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C249" w14:textId="77777777" w:rsidR="002020B7" w:rsidRPr="008D2F75" w:rsidRDefault="002020B7" w:rsidP="002020B7">
      <w:pPr>
        <w:pStyle w:val="Heading1"/>
        <w:jc w:val="center"/>
        <w:rPr>
          <w:b/>
          <w:bCs/>
          <w:color w:val="000000" w:themeColor="text1"/>
          <w:szCs w:val="24"/>
        </w:rPr>
      </w:pPr>
      <w:r w:rsidRPr="008D2F75">
        <w:rPr>
          <w:b/>
          <w:color w:val="000000" w:themeColor="text1"/>
          <w:szCs w:val="24"/>
        </w:rPr>
        <w:t>COMMONWEALTH OF MASSACHUSETTS</w:t>
      </w:r>
    </w:p>
    <w:p w14:paraId="5BF04734" w14:textId="77777777" w:rsidR="002020B7" w:rsidRPr="008D2F75" w:rsidRDefault="002020B7" w:rsidP="002020B7">
      <w:pPr>
        <w:jc w:val="center"/>
        <w:rPr>
          <w:b/>
          <w:smallCaps/>
          <w:color w:val="000000" w:themeColor="text1"/>
          <w:sz w:val="24"/>
          <w:szCs w:val="24"/>
        </w:rPr>
      </w:pPr>
      <w:r w:rsidRPr="008D2F75">
        <w:rPr>
          <w:b/>
          <w:smallCaps/>
          <w:color w:val="000000" w:themeColor="text1"/>
          <w:sz w:val="24"/>
          <w:szCs w:val="24"/>
        </w:rPr>
        <w:t>Division of Administrative Law Appeals</w:t>
      </w:r>
    </w:p>
    <w:p w14:paraId="2BE88A2E" w14:textId="77777777" w:rsidR="0090429E" w:rsidRPr="008D2F75" w:rsidRDefault="002020B7" w:rsidP="002020B7">
      <w:pPr>
        <w:jc w:val="center"/>
        <w:rPr>
          <w:b/>
          <w:color w:val="000000" w:themeColor="text1"/>
          <w:sz w:val="24"/>
          <w:szCs w:val="24"/>
        </w:rPr>
      </w:pPr>
      <w:r w:rsidRPr="008D2F75">
        <w:rPr>
          <w:b/>
          <w:bCs/>
          <w:smallCaps/>
          <w:color w:val="000000" w:themeColor="text1"/>
          <w:sz w:val="24"/>
          <w:szCs w:val="24"/>
        </w:rPr>
        <w:t>Bureau of Special Education Appeals</w:t>
      </w:r>
    </w:p>
    <w:p w14:paraId="1309DCF5" w14:textId="77777777" w:rsidR="0090429E" w:rsidRPr="008D2F75" w:rsidRDefault="0090429E" w:rsidP="0090429E">
      <w:pPr>
        <w:jc w:val="center"/>
        <w:rPr>
          <w:color w:val="000000" w:themeColor="text1"/>
          <w:sz w:val="24"/>
          <w:szCs w:val="24"/>
        </w:rPr>
      </w:pPr>
    </w:p>
    <w:p w14:paraId="7C6E5919" w14:textId="77777777" w:rsidR="0090429E" w:rsidRPr="008D2F75" w:rsidRDefault="0090429E" w:rsidP="0090429E">
      <w:pPr>
        <w:pStyle w:val="Heading1"/>
        <w:rPr>
          <w:color w:val="000000" w:themeColor="text1"/>
          <w:szCs w:val="24"/>
        </w:rPr>
      </w:pPr>
      <w:r w:rsidRPr="008D2F75">
        <w:rPr>
          <w:color w:val="000000" w:themeColor="text1"/>
          <w:szCs w:val="24"/>
        </w:rPr>
        <w:t>__________________________________</w:t>
      </w:r>
    </w:p>
    <w:p w14:paraId="305D19D5" w14:textId="77777777" w:rsidR="0090429E" w:rsidRPr="008D2F75" w:rsidRDefault="0090429E" w:rsidP="0090429E">
      <w:pPr>
        <w:pStyle w:val="Heading1"/>
        <w:rPr>
          <w:color w:val="000000" w:themeColor="text1"/>
          <w:szCs w:val="24"/>
        </w:rPr>
      </w:pPr>
      <w:r w:rsidRPr="008D2F75">
        <w:rPr>
          <w:color w:val="000000" w:themeColor="text1"/>
          <w:szCs w:val="24"/>
        </w:rPr>
        <w:tab/>
      </w:r>
      <w:r w:rsidRPr="008D2F75">
        <w:rPr>
          <w:color w:val="000000" w:themeColor="text1"/>
          <w:szCs w:val="24"/>
        </w:rPr>
        <w:tab/>
      </w:r>
      <w:r w:rsidRPr="008D2F75">
        <w:rPr>
          <w:color w:val="000000" w:themeColor="text1"/>
          <w:szCs w:val="24"/>
        </w:rPr>
        <w:tab/>
      </w:r>
      <w:r w:rsidRPr="008D2F75">
        <w:rPr>
          <w:color w:val="000000" w:themeColor="text1"/>
          <w:szCs w:val="24"/>
        </w:rPr>
        <w:tab/>
      </w:r>
      <w:r w:rsidRPr="008D2F75">
        <w:rPr>
          <w:color w:val="000000" w:themeColor="text1"/>
          <w:szCs w:val="24"/>
        </w:rPr>
        <w:tab/>
      </w:r>
      <w:r w:rsidRPr="008D2F75">
        <w:rPr>
          <w:color w:val="000000" w:themeColor="text1"/>
          <w:szCs w:val="24"/>
        </w:rPr>
        <w:tab/>
        <w:t>)</w:t>
      </w:r>
    </w:p>
    <w:p w14:paraId="7EB4BCB1" w14:textId="22254BA1" w:rsidR="0090429E" w:rsidRPr="008D2F75" w:rsidRDefault="004B4AF7" w:rsidP="0090429E">
      <w:pPr>
        <w:rPr>
          <w:color w:val="000000" w:themeColor="text1"/>
          <w:sz w:val="24"/>
          <w:szCs w:val="24"/>
        </w:rPr>
      </w:pPr>
      <w:r w:rsidRPr="008D2F75">
        <w:rPr>
          <w:color w:val="000000" w:themeColor="text1"/>
          <w:sz w:val="24"/>
          <w:szCs w:val="24"/>
        </w:rPr>
        <w:t xml:space="preserve">In Re: </w:t>
      </w:r>
      <w:r w:rsidR="00810615" w:rsidRPr="008D2F75">
        <w:rPr>
          <w:color w:val="000000" w:themeColor="text1"/>
          <w:sz w:val="24"/>
          <w:szCs w:val="24"/>
        </w:rPr>
        <w:t>Student</w:t>
      </w:r>
      <w:r w:rsidR="003D6892" w:rsidRPr="008D2F75">
        <w:rPr>
          <w:color w:val="000000" w:themeColor="text1"/>
          <w:sz w:val="24"/>
          <w:szCs w:val="24"/>
        </w:rPr>
        <w:tab/>
      </w:r>
      <w:r w:rsidR="00225651" w:rsidRPr="008D2F75">
        <w:rPr>
          <w:color w:val="000000" w:themeColor="text1"/>
          <w:sz w:val="24"/>
          <w:szCs w:val="24"/>
        </w:rPr>
        <w:tab/>
      </w:r>
      <w:r w:rsidR="00270654" w:rsidRPr="008D2F75">
        <w:rPr>
          <w:color w:val="000000" w:themeColor="text1"/>
          <w:sz w:val="24"/>
          <w:szCs w:val="24"/>
        </w:rPr>
        <w:tab/>
      </w:r>
      <w:r w:rsidR="003D6892" w:rsidRPr="008D2F75">
        <w:rPr>
          <w:color w:val="000000" w:themeColor="text1"/>
          <w:sz w:val="24"/>
          <w:szCs w:val="24"/>
        </w:rPr>
        <w:tab/>
      </w:r>
      <w:r w:rsidR="00DC4FB6" w:rsidRPr="008D2F75">
        <w:rPr>
          <w:color w:val="000000" w:themeColor="text1"/>
          <w:sz w:val="24"/>
          <w:szCs w:val="24"/>
        </w:rPr>
        <w:tab/>
      </w:r>
      <w:r w:rsidR="0090429E" w:rsidRPr="008D2F75">
        <w:rPr>
          <w:color w:val="000000" w:themeColor="text1"/>
          <w:sz w:val="24"/>
          <w:szCs w:val="24"/>
        </w:rPr>
        <w:t>)</w:t>
      </w:r>
    </w:p>
    <w:p w14:paraId="76B7DAF8" w14:textId="77777777" w:rsidR="0090429E" w:rsidRPr="008D2F75" w:rsidRDefault="0090429E" w:rsidP="0090429E">
      <w:pPr>
        <w:rPr>
          <w:color w:val="000000" w:themeColor="text1"/>
          <w:sz w:val="24"/>
          <w:szCs w:val="24"/>
        </w:rPr>
      </w:pP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t>)</w:t>
      </w:r>
    </w:p>
    <w:p w14:paraId="065841ED" w14:textId="7E353631" w:rsidR="0090429E" w:rsidRPr="008D2F75" w:rsidRDefault="0090429E" w:rsidP="0090429E">
      <w:pPr>
        <w:rPr>
          <w:color w:val="000000" w:themeColor="text1"/>
          <w:sz w:val="24"/>
          <w:szCs w:val="24"/>
        </w:rPr>
      </w:pPr>
      <w:r w:rsidRPr="008D2F75">
        <w:rPr>
          <w:color w:val="000000" w:themeColor="text1"/>
          <w:sz w:val="24"/>
          <w:szCs w:val="24"/>
        </w:rPr>
        <w:t>&amp;</w:t>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t>)</w:t>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009A613C" w:rsidRPr="008D2F75">
        <w:rPr>
          <w:color w:val="000000" w:themeColor="text1"/>
          <w:sz w:val="24"/>
          <w:szCs w:val="24"/>
        </w:rPr>
        <w:t xml:space="preserve">BSEA </w:t>
      </w:r>
      <w:r w:rsidR="004B4AF7" w:rsidRPr="008D2F75">
        <w:rPr>
          <w:color w:val="000000" w:themeColor="text1"/>
          <w:sz w:val="24"/>
          <w:szCs w:val="24"/>
        </w:rPr>
        <w:t xml:space="preserve"># </w:t>
      </w:r>
      <w:r w:rsidR="00810615" w:rsidRPr="008D2F75">
        <w:rPr>
          <w:color w:val="000000" w:themeColor="text1"/>
          <w:sz w:val="24"/>
          <w:szCs w:val="24"/>
        </w:rPr>
        <w:t xml:space="preserve"> </w:t>
      </w:r>
      <w:r w:rsidR="00F72212" w:rsidRPr="008D2F75">
        <w:rPr>
          <w:color w:val="000000" w:themeColor="text1"/>
          <w:sz w:val="24"/>
          <w:szCs w:val="24"/>
        </w:rPr>
        <w:t>2107071</w:t>
      </w:r>
    </w:p>
    <w:p w14:paraId="02E5CEE2" w14:textId="77777777" w:rsidR="00436500" w:rsidRPr="008D2F75" w:rsidRDefault="00436500" w:rsidP="0090429E">
      <w:pPr>
        <w:rPr>
          <w:color w:val="000000" w:themeColor="text1"/>
          <w:sz w:val="24"/>
          <w:szCs w:val="24"/>
        </w:rPr>
      </w:pP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r>
      <w:r w:rsidRPr="008D2F75">
        <w:rPr>
          <w:color w:val="000000" w:themeColor="text1"/>
          <w:sz w:val="24"/>
          <w:szCs w:val="24"/>
        </w:rPr>
        <w:tab/>
        <w:t>)</w:t>
      </w:r>
    </w:p>
    <w:p w14:paraId="453E66E7" w14:textId="7E629E5E" w:rsidR="000F7D22" w:rsidRPr="008D2F75" w:rsidRDefault="00810615" w:rsidP="0090429E">
      <w:pPr>
        <w:rPr>
          <w:color w:val="000000" w:themeColor="text1"/>
          <w:sz w:val="24"/>
          <w:szCs w:val="24"/>
        </w:rPr>
      </w:pPr>
      <w:r w:rsidRPr="008D2F75">
        <w:rPr>
          <w:color w:val="000000" w:themeColor="text1"/>
          <w:sz w:val="24"/>
          <w:szCs w:val="24"/>
        </w:rPr>
        <w:t>Lawrence</w:t>
      </w:r>
      <w:r w:rsidR="00452377" w:rsidRPr="008D2F75">
        <w:rPr>
          <w:color w:val="000000" w:themeColor="text1"/>
          <w:sz w:val="24"/>
          <w:szCs w:val="24"/>
        </w:rPr>
        <w:t xml:space="preserve"> Public Schools</w:t>
      </w:r>
      <w:r w:rsidR="00452377" w:rsidRPr="008D2F75">
        <w:rPr>
          <w:color w:val="000000" w:themeColor="text1"/>
          <w:sz w:val="24"/>
          <w:szCs w:val="24"/>
        </w:rPr>
        <w:tab/>
      </w:r>
      <w:r w:rsidR="00452377" w:rsidRPr="008D2F75">
        <w:rPr>
          <w:color w:val="000000" w:themeColor="text1"/>
          <w:sz w:val="24"/>
          <w:szCs w:val="24"/>
        </w:rPr>
        <w:tab/>
      </w:r>
      <w:r w:rsidR="00D94081" w:rsidRPr="008D2F75">
        <w:rPr>
          <w:color w:val="000000" w:themeColor="text1"/>
          <w:sz w:val="24"/>
          <w:szCs w:val="24"/>
        </w:rPr>
        <w:tab/>
      </w:r>
      <w:r w:rsidR="000F7D22" w:rsidRPr="008D2F75">
        <w:rPr>
          <w:color w:val="000000" w:themeColor="text1"/>
          <w:sz w:val="24"/>
          <w:szCs w:val="24"/>
        </w:rPr>
        <w:t>)</w:t>
      </w:r>
    </w:p>
    <w:p w14:paraId="05FE8B9C" w14:textId="77777777" w:rsidR="0090429E" w:rsidRPr="008D2F75" w:rsidRDefault="0090429E" w:rsidP="0090429E">
      <w:pPr>
        <w:rPr>
          <w:color w:val="000000" w:themeColor="text1"/>
          <w:sz w:val="24"/>
          <w:szCs w:val="24"/>
        </w:rPr>
      </w:pPr>
      <w:r w:rsidRPr="008D2F75">
        <w:rPr>
          <w:color w:val="000000" w:themeColor="text1"/>
          <w:sz w:val="24"/>
          <w:szCs w:val="24"/>
        </w:rPr>
        <w:t>__________________________________</w:t>
      </w:r>
      <w:r w:rsidRPr="008D2F75">
        <w:rPr>
          <w:color w:val="000000" w:themeColor="text1"/>
          <w:sz w:val="24"/>
          <w:szCs w:val="24"/>
        </w:rPr>
        <w:tab/>
        <w:t>)</w:t>
      </w:r>
    </w:p>
    <w:p w14:paraId="113E8211" w14:textId="77777777" w:rsidR="00EE6F13" w:rsidRPr="008D2F75" w:rsidRDefault="00EE6F13" w:rsidP="00EE6F13">
      <w:pPr>
        <w:rPr>
          <w:color w:val="000000" w:themeColor="text1"/>
          <w:sz w:val="24"/>
          <w:szCs w:val="24"/>
        </w:rPr>
      </w:pPr>
    </w:p>
    <w:p w14:paraId="261087F7" w14:textId="77777777" w:rsidR="009556B0" w:rsidRPr="008D2F75" w:rsidRDefault="009556B0" w:rsidP="00EE6F13">
      <w:pPr>
        <w:rPr>
          <w:color w:val="000000" w:themeColor="text1"/>
          <w:sz w:val="24"/>
          <w:szCs w:val="24"/>
        </w:rPr>
      </w:pPr>
    </w:p>
    <w:p w14:paraId="633CD4A3" w14:textId="445A7527" w:rsidR="007B74D3" w:rsidRPr="008D2F75" w:rsidRDefault="00252534" w:rsidP="007B74D3">
      <w:pPr>
        <w:pStyle w:val="Heading3"/>
        <w:ind w:left="0"/>
        <w:rPr>
          <w:color w:val="000000" w:themeColor="text1"/>
          <w:szCs w:val="24"/>
        </w:rPr>
      </w:pPr>
      <w:r w:rsidRPr="008D2F75">
        <w:rPr>
          <w:color w:val="000000" w:themeColor="text1"/>
          <w:szCs w:val="24"/>
        </w:rPr>
        <w:t>RULING DISMISSING MATTER FOR FAILURE TO PROSECUTE</w:t>
      </w:r>
    </w:p>
    <w:p w14:paraId="1A22C4A0" w14:textId="42DDE87F" w:rsidR="00D241E1" w:rsidRPr="008D2F75" w:rsidRDefault="00D241E1" w:rsidP="002C20BB">
      <w:pPr>
        <w:pStyle w:val="BodyText"/>
        <w:rPr>
          <w:color w:val="000000" w:themeColor="text1"/>
          <w:sz w:val="24"/>
          <w:szCs w:val="24"/>
        </w:rPr>
      </w:pPr>
    </w:p>
    <w:p w14:paraId="06CF611E" w14:textId="1DB531CB" w:rsidR="001E0D59" w:rsidRPr="008D2F75" w:rsidRDefault="00D241E1" w:rsidP="00A86047">
      <w:pPr>
        <w:pStyle w:val="BodyText"/>
        <w:rPr>
          <w:color w:val="000000" w:themeColor="text1"/>
          <w:sz w:val="24"/>
          <w:szCs w:val="24"/>
        </w:rPr>
      </w:pPr>
      <w:r w:rsidRPr="008D2F75">
        <w:rPr>
          <w:color w:val="000000" w:themeColor="text1"/>
          <w:sz w:val="24"/>
          <w:szCs w:val="24"/>
        </w:rPr>
        <w:t xml:space="preserve">On April 28, 2021, Parent attended </w:t>
      </w:r>
      <w:r w:rsidR="003701C1" w:rsidRPr="008D2F75">
        <w:rPr>
          <w:color w:val="000000" w:themeColor="text1"/>
          <w:sz w:val="24"/>
          <w:szCs w:val="24"/>
        </w:rPr>
        <w:t>the</w:t>
      </w:r>
      <w:r w:rsidRPr="008D2F75">
        <w:rPr>
          <w:color w:val="000000" w:themeColor="text1"/>
          <w:sz w:val="24"/>
          <w:szCs w:val="24"/>
        </w:rPr>
        <w:t xml:space="preserve"> Hearing in this matter but refused to </w:t>
      </w:r>
      <w:r w:rsidR="00373969" w:rsidRPr="008D2F75">
        <w:rPr>
          <w:color w:val="000000" w:themeColor="text1"/>
          <w:sz w:val="24"/>
          <w:szCs w:val="24"/>
        </w:rPr>
        <w:t xml:space="preserve">proceed with the presentation of her case.  She </w:t>
      </w:r>
      <w:r w:rsidR="0022731D" w:rsidRPr="008D2F75">
        <w:rPr>
          <w:color w:val="000000" w:themeColor="text1"/>
          <w:sz w:val="24"/>
          <w:szCs w:val="24"/>
        </w:rPr>
        <w:t>indicated</w:t>
      </w:r>
      <w:r w:rsidR="00373969" w:rsidRPr="008D2F75">
        <w:rPr>
          <w:color w:val="000000" w:themeColor="text1"/>
          <w:sz w:val="24"/>
          <w:szCs w:val="24"/>
        </w:rPr>
        <w:t xml:space="preserve"> that she </w:t>
      </w:r>
      <w:r w:rsidR="0043528A" w:rsidRPr="008D2F75">
        <w:rPr>
          <w:color w:val="000000" w:themeColor="text1"/>
          <w:sz w:val="24"/>
          <w:szCs w:val="24"/>
        </w:rPr>
        <w:t>desired</w:t>
      </w:r>
      <w:r w:rsidR="00373969" w:rsidRPr="008D2F75">
        <w:rPr>
          <w:color w:val="000000" w:themeColor="text1"/>
          <w:sz w:val="24"/>
          <w:szCs w:val="24"/>
        </w:rPr>
        <w:t xml:space="preserve"> legal representation and </w:t>
      </w:r>
      <w:r w:rsidR="0043528A" w:rsidRPr="008D2F75">
        <w:rPr>
          <w:color w:val="000000" w:themeColor="text1"/>
          <w:sz w:val="24"/>
          <w:szCs w:val="24"/>
        </w:rPr>
        <w:t>did</w:t>
      </w:r>
      <w:r w:rsidR="00373969" w:rsidRPr="008D2F75">
        <w:rPr>
          <w:color w:val="000000" w:themeColor="text1"/>
          <w:sz w:val="24"/>
          <w:szCs w:val="24"/>
        </w:rPr>
        <w:t xml:space="preserve"> not </w:t>
      </w:r>
      <w:r w:rsidR="0043528A" w:rsidRPr="008D2F75">
        <w:rPr>
          <w:color w:val="000000" w:themeColor="text1"/>
          <w:sz w:val="24"/>
          <w:szCs w:val="24"/>
        </w:rPr>
        <w:t>wish</w:t>
      </w:r>
      <w:r w:rsidR="00373969" w:rsidRPr="008D2F75">
        <w:rPr>
          <w:color w:val="000000" w:themeColor="text1"/>
          <w:sz w:val="24"/>
          <w:szCs w:val="24"/>
        </w:rPr>
        <w:t xml:space="preserve"> </w:t>
      </w:r>
      <w:r w:rsidR="008E5942" w:rsidRPr="008D2F75">
        <w:rPr>
          <w:color w:val="000000" w:themeColor="text1"/>
          <w:sz w:val="24"/>
          <w:szCs w:val="24"/>
        </w:rPr>
        <w:t xml:space="preserve">to </w:t>
      </w:r>
      <w:r w:rsidR="00373969" w:rsidRPr="008D2F75">
        <w:rPr>
          <w:color w:val="000000" w:themeColor="text1"/>
          <w:sz w:val="24"/>
          <w:szCs w:val="24"/>
        </w:rPr>
        <w:t>proce</w:t>
      </w:r>
      <w:r w:rsidR="0043528A" w:rsidRPr="008D2F75">
        <w:rPr>
          <w:color w:val="000000" w:themeColor="text1"/>
          <w:sz w:val="24"/>
          <w:szCs w:val="24"/>
        </w:rPr>
        <w:t>e</w:t>
      </w:r>
      <w:r w:rsidR="00373969" w:rsidRPr="008D2F75">
        <w:rPr>
          <w:color w:val="000000" w:themeColor="text1"/>
          <w:sz w:val="24"/>
          <w:szCs w:val="24"/>
        </w:rPr>
        <w:t xml:space="preserve">d in front of the BSEA; she asked </w:t>
      </w:r>
      <w:r w:rsidR="0022731D" w:rsidRPr="008D2F75">
        <w:rPr>
          <w:color w:val="000000" w:themeColor="text1"/>
          <w:sz w:val="24"/>
          <w:szCs w:val="24"/>
        </w:rPr>
        <w:t>repeat</w:t>
      </w:r>
      <w:r w:rsidR="0043528A" w:rsidRPr="008D2F75">
        <w:rPr>
          <w:color w:val="000000" w:themeColor="text1"/>
          <w:sz w:val="24"/>
          <w:szCs w:val="24"/>
        </w:rPr>
        <w:t>e</w:t>
      </w:r>
      <w:r w:rsidR="0022731D" w:rsidRPr="008D2F75">
        <w:rPr>
          <w:color w:val="000000" w:themeColor="text1"/>
          <w:sz w:val="24"/>
          <w:szCs w:val="24"/>
        </w:rPr>
        <w:t>dl</w:t>
      </w:r>
      <w:r w:rsidR="0043528A" w:rsidRPr="008D2F75">
        <w:rPr>
          <w:color w:val="000000" w:themeColor="text1"/>
          <w:sz w:val="24"/>
          <w:szCs w:val="24"/>
        </w:rPr>
        <w:t>y</w:t>
      </w:r>
      <w:r w:rsidR="00373969" w:rsidRPr="008D2F75">
        <w:rPr>
          <w:color w:val="000000" w:themeColor="text1"/>
          <w:sz w:val="24"/>
          <w:szCs w:val="24"/>
        </w:rPr>
        <w:t xml:space="preserve"> for the matter to be transferred to a court </w:t>
      </w:r>
      <w:r w:rsidR="00F72212" w:rsidRPr="008D2F75">
        <w:rPr>
          <w:color w:val="000000" w:themeColor="text1"/>
          <w:sz w:val="24"/>
          <w:szCs w:val="24"/>
        </w:rPr>
        <w:t>for the matter to</w:t>
      </w:r>
      <w:r w:rsidR="00373969" w:rsidRPr="008D2F75">
        <w:rPr>
          <w:color w:val="000000" w:themeColor="text1"/>
          <w:sz w:val="24"/>
          <w:szCs w:val="24"/>
        </w:rPr>
        <w:t xml:space="preserve"> be hea</w:t>
      </w:r>
      <w:r w:rsidR="00F72212" w:rsidRPr="008D2F75">
        <w:rPr>
          <w:color w:val="000000" w:themeColor="text1"/>
          <w:sz w:val="24"/>
          <w:szCs w:val="24"/>
        </w:rPr>
        <w:t>r</w:t>
      </w:r>
      <w:r w:rsidR="00373969" w:rsidRPr="008D2F75">
        <w:rPr>
          <w:color w:val="000000" w:themeColor="text1"/>
          <w:sz w:val="24"/>
          <w:szCs w:val="24"/>
        </w:rPr>
        <w:t xml:space="preserve">d </w:t>
      </w:r>
      <w:r w:rsidR="00F72212" w:rsidRPr="008D2F75">
        <w:rPr>
          <w:color w:val="000000" w:themeColor="text1"/>
          <w:sz w:val="24"/>
          <w:szCs w:val="24"/>
        </w:rPr>
        <w:t>before</w:t>
      </w:r>
      <w:r w:rsidR="00373969" w:rsidRPr="008D2F75">
        <w:rPr>
          <w:color w:val="000000" w:themeColor="text1"/>
          <w:sz w:val="24"/>
          <w:szCs w:val="24"/>
        </w:rPr>
        <w:t xml:space="preserve"> a judge.</w:t>
      </w:r>
      <w:r w:rsidR="00A86047" w:rsidRPr="008D2F75">
        <w:rPr>
          <w:color w:val="000000" w:themeColor="text1"/>
          <w:sz w:val="24"/>
          <w:szCs w:val="24"/>
        </w:rPr>
        <w:t xml:space="preserve"> </w:t>
      </w:r>
    </w:p>
    <w:p w14:paraId="50254852" w14:textId="77777777" w:rsidR="001E0D59" w:rsidRPr="008D2F75" w:rsidRDefault="001E0D59" w:rsidP="00A86047">
      <w:pPr>
        <w:pStyle w:val="BodyText"/>
        <w:rPr>
          <w:color w:val="000000" w:themeColor="text1"/>
          <w:sz w:val="24"/>
          <w:szCs w:val="24"/>
        </w:rPr>
      </w:pPr>
    </w:p>
    <w:p w14:paraId="15E7E440" w14:textId="60DB81B9" w:rsidR="00A86047" w:rsidRPr="008D2F75" w:rsidRDefault="00A86047" w:rsidP="00A86047">
      <w:pPr>
        <w:pStyle w:val="BodyText"/>
        <w:rPr>
          <w:color w:val="000000" w:themeColor="text1"/>
          <w:sz w:val="24"/>
          <w:szCs w:val="24"/>
        </w:rPr>
      </w:pPr>
      <w:r w:rsidRPr="008D2F75">
        <w:rPr>
          <w:color w:val="000000" w:themeColor="text1"/>
          <w:sz w:val="24"/>
          <w:szCs w:val="24"/>
        </w:rPr>
        <w:t>Prior to the Hearing, Parent</w:t>
      </w:r>
      <w:r w:rsidR="003701C1" w:rsidRPr="008D2F75">
        <w:rPr>
          <w:color w:val="000000" w:themeColor="text1"/>
          <w:sz w:val="24"/>
          <w:szCs w:val="24"/>
        </w:rPr>
        <w:t xml:space="preserve"> repeatedly</w:t>
      </w:r>
      <w:r w:rsidRPr="008D2F75">
        <w:rPr>
          <w:color w:val="000000" w:themeColor="text1"/>
          <w:sz w:val="24"/>
          <w:szCs w:val="24"/>
        </w:rPr>
        <w:t xml:space="preserve"> failed to respond to motions of opposing parties or to the </w:t>
      </w:r>
      <w:r w:rsidR="003701C1" w:rsidRPr="008D2F75">
        <w:rPr>
          <w:color w:val="000000" w:themeColor="text1"/>
          <w:sz w:val="24"/>
          <w:szCs w:val="24"/>
        </w:rPr>
        <w:t>O</w:t>
      </w:r>
      <w:r w:rsidRPr="008D2F75">
        <w:rPr>
          <w:color w:val="000000" w:themeColor="text1"/>
          <w:sz w:val="24"/>
          <w:szCs w:val="24"/>
        </w:rPr>
        <w:t xml:space="preserve">rders and </w:t>
      </w:r>
      <w:r w:rsidR="003701C1" w:rsidRPr="008D2F75">
        <w:rPr>
          <w:color w:val="000000" w:themeColor="text1"/>
          <w:sz w:val="24"/>
          <w:szCs w:val="24"/>
        </w:rPr>
        <w:t>R</w:t>
      </w:r>
      <w:r w:rsidRPr="008D2F75">
        <w:rPr>
          <w:color w:val="000000" w:themeColor="text1"/>
          <w:sz w:val="24"/>
          <w:szCs w:val="24"/>
        </w:rPr>
        <w:t>ulings issued by the Hearing Officer.  Parent also did not participate in the pre-hearing conference on April 16, 2021.</w:t>
      </w:r>
    </w:p>
    <w:p w14:paraId="33133219" w14:textId="77777777" w:rsidR="00373969" w:rsidRPr="008D2F75" w:rsidRDefault="00373969" w:rsidP="002C20BB">
      <w:pPr>
        <w:pStyle w:val="BodyText"/>
        <w:rPr>
          <w:color w:val="000000" w:themeColor="text1"/>
          <w:sz w:val="24"/>
          <w:szCs w:val="24"/>
        </w:rPr>
      </w:pPr>
    </w:p>
    <w:p w14:paraId="576F2E70" w14:textId="6B84EFA2" w:rsidR="00373969" w:rsidRPr="008D2F75" w:rsidRDefault="00373969" w:rsidP="007B74D3">
      <w:pPr>
        <w:pStyle w:val="BodyText"/>
        <w:rPr>
          <w:b/>
          <w:bCs/>
          <w:color w:val="000000" w:themeColor="text1"/>
          <w:sz w:val="24"/>
          <w:szCs w:val="24"/>
        </w:rPr>
      </w:pPr>
      <w:r w:rsidRPr="008D2F75">
        <w:rPr>
          <w:color w:val="000000" w:themeColor="text1"/>
          <w:sz w:val="24"/>
          <w:szCs w:val="24"/>
        </w:rPr>
        <w:t xml:space="preserve">The </w:t>
      </w:r>
      <w:r w:rsidR="0022731D" w:rsidRPr="008D2F75">
        <w:rPr>
          <w:color w:val="000000" w:themeColor="text1"/>
          <w:sz w:val="24"/>
          <w:szCs w:val="24"/>
        </w:rPr>
        <w:t xml:space="preserve">above-referenced matter is therefore </w:t>
      </w:r>
      <w:r w:rsidR="003701C1" w:rsidRPr="008D2F75">
        <w:rPr>
          <w:b/>
          <w:bCs/>
          <w:color w:val="000000" w:themeColor="text1"/>
          <w:sz w:val="24"/>
          <w:szCs w:val="24"/>
          <w:u w:val="single"/>
        </w:rPr>
        <w:t>D</w:t>
      </w:r>
      <w:r w:rsidR="0022731D" w:rsidRPr="008D2F75">
        <w:rPr>
          <w:b/>
          <w:bCs/>
          <w:color w:val="000000" w:themeColor="text1"/>
          <w:sz w:val="24"/>
          <w:szCs w:val="24"/>
          <w:u w:val="single"/>
        </w:rPr>
        <w:t xml:space="preserve">ismissed </w:t>
      </w:r>
      <w:r w:rsidR="003701C1" w:rsidRPr="008D2F75">
        <w:rPr>
          <w:b/>
          <w:bCs/>
          <w:color w:val="000000" w:themeColor="text1"/>
          <w:sz w:val="24"/>
          <w:szCs w:val="24"/>
          <w:u w:val="single"/>
        </w:rPr>
        <w:t>W</w:t>
      </w:r>
      <w:r w:rsidR="0022731D" w:rsidRPr="008D2F75">
        <w:rPr>
          <w:b/>
          <w:bCs/>
          <w:color w:val="000000" w:themeColor="text1"/>
          <w:sz w:val="24"/>
          <w:szCs w:val="24"/>
          <w:u w:val="single"/>
        </w:rPr>
        <w:t xml:space="preserve">ithout </w:t>
      </w:r>
      <w:r w:rsidR="003701C1" w:rsidRPr="008D2F75">
        <w:rPr>
          <w:b/>
          <w:bCs/>
          <w:color w:val="000000" w:themeColor="text1"/>
          <w:sz w:val="24"/>
          <w:szCs w:val="24"/>
          <w:u w:val="single"/>
        </w:rPr>
        <w:t>P</w:t>
      </w:r>
      <w:r w:rsidR="0022731D" w:rsidRPr="008D2F75">
        <w:rPr>
          <w:b/>
          <w:bCs/>
          <w:color w:val="000000" w:themeColor="text1"/>
          <w:sz w:val="24"/>
          <w:szCs w:val="24"/>
          <w:u w:val="single"/>
        </w:rPr>
        <w:t>rejudice</w:t>
      </w:r>
      <w:r w:rsidR="0022731D" w:rsidRPr="008D2F75">
        <w:rPr>
          <w:b/>
          <w:bCs/>
          <w:color w:val="000000" w:themeColor="text1"/>
          <w:sz w:val="24"/>
          <w:szCs w:val="24"/>
        </w:rPr>
        <w:t xml:space="preserve">. </w:t>
      </w:r>
    </w:p>
    <w:p w14:paraId="044A834F" w14:textId="399C2064" w:rsidR="008E5942" w:rsidRPr="008D2F75" w:rsidRDefault="008E5942" w:rsidP="007B74D3">
      <w:pPr>
        <w:pStyle w:val="BodyText"/>
        <w:rPr>
          <w:b/>
          <w:bCs/>
          <w:color w:val="000000" w:themeColor="text1"/>
          <w:sz w:val="24"/>
          <w:szCs w:val="24"/>
        </w:rPr>
      </w:pPr>
    </w:p>
    <w:p w14:paraId="359369E0" w14:textId="75D434F2" w:rsidR="008E5942" w:rsidRPr="008D2F75" w:rsidRDefault="008E5942" w:rsidP="007B74D3">
      <w:pPr>
        <w:pStyle w:val="BodyText"/>
        <w:rPr>
          <w:b/>
          <w:bCs/>
          <w:color w:val="000000" w:themeColor="text1"/>
          <w:sz w:val="24"/>
          <w:szCs w:val="24"/>
        </w:rPr>
      </w:pPr>
      <w:r w:rsidRPr="008D2F75">
        <w:rPr>
          <w:b/>
          <w:bCs/>
          <w:color w:val="000000" w:themeColor="text1"/>
          <w:sz w:val="24"/>
          <w:szCs w:val="24"/>
        </w:rPr>
        <w:t>FACTS:</w:t>
      </w:r>
    </w:p>
    <w:p w14:paraId="4A90D524" w14:textId="77777777" w:rsidR="003701C1" w:rsidRPr="008D2F75" w:rsidRDefault="003701C1" w:rsidP="007B74D3">
      <w:pPr>
        <w:pStyle w:val="BodyText"/>
        <w:rPr>
          <w:color w:val="000000" w:themeColor="text1"/>
          <w:sz w:val="24"/>
          <w:szCs w:val="24"/>
        </w:rPr>
      </w:pPr>
    </w:p>
    <w:p w14:paraId="16796E7A" w14:textId="29EF5D5E" w:rsidR="008A4CD3" w:rsidRPr="008D2F75" w:rsidRDefault="00CD6712" w:rsidP="0074099D">
      <w:pPr>
        <w:pStyle w:val="BodyText"/>
        <w:numPr>
          <w:ilvl w:val="0"/>
          <w:numId w:val="14"/>
        </w:numPr>
        <w:rPr>
          <w:color w:val="000000" w:themeColor="text1"/>
          <w:sz w:val="24"/>
          <w:szCs w:val="24"/>
        </w:rPr>
      </w:pPr>
      <w:r w:rsidRPr="008D2F75">
        <w:rPr>
          <w:color w:val="000000" w:themeColor="text1"/>
          <w:sz w:val="24"/>
          <w:szCs w:val="24"/>
        </w:rPr>
        <w:t xml:space="preserve">During </w:t>
      </w:r>
      <w:r w:rsidR="0074099D" w:rsidRPr="008D2F75">
        <w:rPr>
          <w:color w:val="000000" w:themeColor="text1"/>
          <w:sz w:val="24"/>
          <w:szCs w:val="24"/>
        </w:rPr>
        <w:t>a</w:t>
      </w:r>
      <w:r w:rsidRPr="008D2F75">
        <w:rPr>
          <w:color w:val="000000" w:themeColor="text1"/>
          <w:sz w:val="24"/>
          <w:szCs w:val="24"/>
        </w:rPr>
        <w:t xml:space="preserve"> conference call on March 18, 202</w:t>
      </w:r>
      <w:r w:rsidR="00683DEB" w:rsidRPr="008D2F75">
        <w:rPr>
          <w:color w:val="000000" w:themeColor="text1"/>
          <w:sz w:val="24"/>
          <w:szCs w:val="24"/>
        </w:rPr>
        <w:t>1</w:t>
      </w:r>
      <w:r w:rsidRPr="008D2F75">
        <w:rPr>
          <w:color w:val="000000" w:themeColor="text1"/>
          <w:sz w:val="24"/>
          <w:szCs w:val="24"/>
        </w:rPr>
        <w:t>, Parent indicated that she wished to retain an attorney.</w:t>
      </w:r>
      <w:r w:rsidR="008A4CD3" w:rsidRPr="008D2F75">
        <w:rPr>
          <w:color w:val="000000" w:themeColor="text1"/>
          <w:sz w:val="24"/>
          <w:szCs w:val="24"/>
        </w:rPr>
        <w:t xml:space="preserve">  When asked whether she wished to postpone the Hearing date in order to do so, Parent indicated that she did not wish to po</w:t>
      </w:r>
      <w:r w:rsidR="0074099D" w:rsidRPr="008D2F75">
        <w:rPr>
          <w:color w:val="000000" w:themeColor="text1"/>
          <w:sz w:val="24"/>
          <w:szCs w:val="24"/>
        </w:rPr>
        <w:t>st</w:t>
      </w:r>
      <w:r w:rsidR="008A4CD3" w:rsidRPr="008D2F75">
        <w:rPr>
          <w:color w:val="000000" w:themeColor="text1"/>
          <w:sz w:val="24"/>
          <w:szCs w:val="24"/>
        </w:rPr>
        <w:t xml:space="preserve">pone the Hearing </w:t>
      </w:r>
      <w:proofErr w:type="gramStart"/>
      <w:r w:rsidR="007168DE">
        <w:rPr>
          <w:color w:val="000000" w:themeColor="text1"/>
          <w:sz w:val="24"/>
          <w:szCs w:val="24"/>
        </w:rPr>
        <w:t>date</w:t>
      </w:r>
      <w:proofErr w:type="gramEnd"/>
      <w:r w:rsidR="007168DE">
        <w:rPr>
          <w:color w:val="000000" w:themeColor="text1"/>
          <w:sz w:val="24"/>
          <w:szCs w:val="24"/>
        </w:rPr>
        <w:t xml:space="preserve"> </w:t>
      </w:r>
      <w:r w:rsidR="008A4CD3" w:rsidRPr="008D2F75">
        <w:rPr>
          <w:color w:val="000000" w:themeColor="text1"/>
          <w:sz w:val="24"/>
          <w:szCs w:val="24"/>
        </w:rPr>
        <w:t xml:space="preserve">nor </w:t>
      </w:r>
      <w:r w:rsidR="007168DE">
        <w:rPr>
          <w:color w:val="000000" w:themeColor="text1"/>
          <w:sz w:val="24"/>
          <w:szCs w:val="24"/>
        </w:rPr>
        <w:t>did she plan to</w:t>
      </w:r>
      <w:r w:rsidR="008A4CD3" w:rsidRPr="008D2F75">
        <w:rPr>
          <w:color w:val="000000" w:themeColor="text1"/>
          <w:sz w:val="24"/>
          <w:szCs w:val="24"/>
        </w:rPr>
        <w:t xml:space="preserve"> proceed to Hearing without legal </w:t>
      </w:r>
      <w:r w:rsidR="007168DE">
        <w:rPr>
          <w:color w:val="000000" w:themeColor="text1"/>
          <w:sz w:val="24"/>
          <w:szCs w:val="24"/>
        </w:rPr>
        <w:t>representation</w:t>
      </w:r>
      <w:r w:rsidR="008A4CD3" w:rsidRPr="008D2F75">
        <w:rPr>
          <w:color w:val="000000" w:themeColor="text1"/>
          <w:sz w:val="24"/>
          <w:szCs w:val="24"/>
        </w:rPr>
        <w:t xml:space="preserve">.  </w:t>
      </w:r>
      <w:r w:rsidR="0074099D" w:rsidRPr="008D2F75">
        <w:rPr>
          <w:color w:val="000000" w:themeColor="text1"/>
          <w:sz w:val="24"/>
          <w:szCs w:val="24"/>
        </w:rPr>
        <w:t xml:space="preserve">Thereafter, </w:t>
      </w:r>
      <w:r w:rsidR="008A4CD3" w:rsidRPr="008D2F75">
        <w:rPr>
          <w:color w:val="000000" w:themeColor="text1"/>
          <w:sz w:val="24"/>
          <w:szCs w:val="24"/>
        </w:rPr>
        <w:t>Parent refused to participate in any more conference calls.</w:t>
      </w:r>
    </w:p>
    <w:p w14:paraId="149F40C6" w14:textId="25272507" w:rsidR="002850CD" w:rsidRPr="008D2F75" w:rsidRDefault="004E0B66" w:rsidP="0074099D">
      <w:pPr>
        <w:pStyle w:val="BodyText"/>
        <w:numPr>
          <w:ilvl w:val="0"/>
          <w:numId w:val="14"/>
        </w:numPr>
        <w:rPr>
          <w:color w:val="000000" w:themeColor="text1"/>
          <w:sz w:val="24"/>
          <w:szCs w:val="24"/>
        </w:rPr>
      </w:pPr>
      <w:r w:rsidRPr="008D2F75">
        <w:rPr>
          <w:color w:val="000000" w:themeColor="text1"/>
          <w:sz w:val="24"/>
          <w:szCs w:val="24"/>
        </w:rPr>
        <w:t xml:space="preserve">On </w:t>
      </w:r>
      <w:r w:rsidR="00683DEB" w:rsidRPr="008D2F75">
        <w:rPr>
          <w:color w:val="000000" w:themeColor="text1"/>
          <w:sz w:val="24"/>
          <w:szCs w:val="24"/>
        </w:rPr>
        <w:t xml:space="preserve">April 6, 2021, the District requested a postponement of the automatic Hearing date which was scheduled for </w:t>
      </w:r>
      <w:r w:rsidR="008811E2" w:rsidRPr="008D2F75">
        <w:rPr>
          <w:color w:val="000000" w:themeColor="text1"/>
          <w:sz w:val="24"/>
          <w:szCs w:val="24"/>
        </w:rPr>
        <w:t xml:space="preserve">April 28, 2021. </w:t>
      </w:r>
      <w:r w:rsidR="002850CD" w:rsidRPr="008D2F75">
        <w:rPr>
          <w:color w:val="000000" w:themeColor="text1"/>
          <w:sz w:val="24"/>
          <w:szCs w:val="24"/>
        </w:rPr>
        <w:t xml:space="preserve">Parent did not </w:t>
      </w:r>
      <w:r w:rsidR="002D40F3" w:rsidRPr="008D2F75">
        <w:rPr>
          <w:color w:val="000000" w:themeColor="text1"/>
          <w:sz w:val="24"/>
          <w:szCs w:val="24"/>
        </w:rPr>
        <w:t>respond</w:t>
      </w:r>
      <w:r w:rsidR="002850CD" w:rsidRPr="008D2F75">
        <w:rPr>
          <w:color w:val="000000" w:themeColor="text1"/>
          <w:sz w:val="24"/>
          <w:szCs w:val="24"/>
        </w:rPr>
        <w:t>.</w:t>
      </w:r>
    </w:p>
    <w:p w14:paraId="329F4617" w14:textId="77777777" w:rsidR="002850CD" w:rsidRPr="008D2F75" w:rsidRDefault="002850CD" w:rsidP="0074099D">
      <w:pPr>
        <w:pStyle w:val="BodyText"/>
        <w:numPr>
          <w:ilvl w:val="0"/>
          <w:numId w:val="14"/>
        </w:numPr>
        <w:rPr>
          <w:color w:val="000000" w:themeColor="text1"/>
          <w:sz w:val="24"/>
          <w:szCs w:val="24"/>
        </w:rPr>
      </w:pPr>
      <w:r w:rsidRPr="008D2F75">
        <w:rPr>
          <w:color w:val="000000" w:themeColor="text1"/>
          <w:sz w:val="24"/>
          <w:szCs w:val="24"/>
        </w:rPr>
        <w:t>On April 6, 2021 and again on April 8, 2021, Parent emailed the Hearing Officer indicating that she wanted the matter transferred to a court.</w:t>
      </w:r>
    </w:p>
    <w:p w14:paraId="67A48945" w14:textId="600C713E" w:rsidR="00FF2FF3" w:rsidRDefault="002D40F3" w:rsidP="0074099D">
      <w:pPr>
        <w:pStyle w:val="BodyText"/>
        <w:numPr>
          <w:ilvl w:val="0"/>
          <w:numId w:val="14"/>
        </w:numPr>
        <w:rPr>
          <w:color w:val="000000" w:themeColor="text1"/>
          <w:sz w:val="24"/>
          <w:szCs w:val="24"/>
        </w:rPr>
      </w:pPr>
      <w:r w:rsidRPr="008D2F75">
        <w:rPr>
          <w:color w:val="000000" w:themeColor="text1"/>
          <w:sz w:val="24"/>
          <w:szCs w:val="24"/>
        </w:rPr>
        <w:t xml:space="preserve">In </w:t>
      </w:r>
      <w:r w:rsidR="007168DE">
        <w:rPr>
          <w:color w:val="000000" w:themeColor="text1"/>
          <w:sz w:val="24"/>
          <w:szCs w:val="24"/>
        </w:rPr>
        <w:t xml:space="preserve">an </w:t>
      </w:r>
      <w:r w:rsidRPr="008D2F75">
        <w:rPr>
          <w:color w:val="000000" w:themeColor="text1"/>
          <w:sz w:val="24"/>
          <w:szCs w:val="24"/>
        </w:rPr>
        <w:t xml:space="preserve">Order issued on April 2, 2021 and in </w:t>
      </w:r>
      <w:r w:rsidR="007168DE">
        <w:rPr>
          <w:color w:val="000000" w:themeColor="text1"/>
          <w:sz w:val="24"/>
          <w:szCs w:val="24"/>
        </w:rPr>
        <w:t>a</w:t>
      </w:r>
      <w:r w:rsidRPr="008D2F75">
        <w:rPr>
          <w:color w:val="000000" w:themeColor="text1"/>
          <w:sz w:val="24"/>
          <w:szCs w:val="24"/>
        </w:rPr>
        <w:t xml:space="preserve"> Revise</w:t>
      </w:r>
      <w:r w:rsidR="001E50A1">
        <w:rPr>
          <w:color w:val="000000" w:themeColor="text1"/>
          <w:sz w:val="24"/>
          <w:szCs w:val="24"/>
        </w:rPr>
        <w:t>d</w:t>
      </w:r>
      <w:r w:rsidRPr="008D2F75">
        <w:rPr>
          <w:color w:val="000000" w:themeColor="text1"/>
          <w:sz w:val="24"/>
          <w:szCs w:val="24"/>
        </w:rPr>
        <w:t xml:space="preserve"> Order issued on April 8, 2021</w:t>
      </w:r>
      <w:r w:rsidR="007D19E7" w:rsidRPr="008D2F75">
        <w:rPr>
          <w:color w:val="000000" w:themeColor="text1"/>
          <w:sz w:val="24"/>
          <w:szCs w:val="24"/>
        </w:rPr>
        <w:t xml:space="preserve">, the Hearing </w:t>
      </w:r>
      <w:r w:rsidR="007168DE">
        <w:rPr>
          <w:color w:val="000000" w:themeColor="text1"/>
          <w:sz w:val="24"/>
          <w:szCs w:val="24"/>
        </w:rPr>
        <w:t>O</w:t>
      </w:r>
      <w:r w:rsidR="007D19E7" w:rsidRPr="008D2F75">
        <w:rPr>
          <w:color w:val="000000" w:themeColor="text1"/>
          <w:sz w:val="24"/>
          <w:szCs w:val="24"/>
        </w:rPr>
        <w:t>fficer scheduled a Pre-Hearing Conference intended</w:t>
      </w:r>
      <w:r w:rsidR="007168DE">
        <w:rPr>
          <w:color w:val="000000" w:themeColor="text1"/>
          <w:sz w:val="24"/>
          <w:szCs w:val="24"/>
        </w:rPr>
        <w:t>, in part, to clarify the issues for Hearing and</w:t>
      </w:r>
      <w:r w:rsidR="007D19E7" w:rsidRPr="008D2F75">
        <w:rPr>
          <w:color w:val="000000" w:themeColor="text1"/>
          <w:sz w:val="24"/>
          <w:szCs w:val="24"/>
        </w:rPr>
        <w:t xml:space="preserve"> to discuss </w:t>
      </w:r>
      <w:r w:rsidR="007168DE">
        <w:rPr>
          <w:color w:val="000000" w:themeColor="text1"/>
          <w:sz w:val="24"/>
          <w:szCs w:val="24"/>
        </w:rPr>
        <w:t>scheduling matters</w:t>
      </w:r>
      <w:r w:rsidR="00FF2FF3">
        <w:rPr>
          <w:color w:val="000000" w:themeColor="text1"/>
          <w:sz w:val="24"/>
          <w:szCs w:val="24"/>
        </w:rPr>
        <w:t>, including</w:t>
      </w:r>
      <w:r w:rsidR="007168DE">
        <w:rPr>
          <w:color w:val="000000" w:themeColor="text1"/>
          <w:sz w:val="24"/>
          <w:szCs w:val="24"/>
        </w:rPr>
        <w:t xml:space="preserve"> </w:t>
      </w:r>
      <w:r w:rsidR="007D19E7" w:rsidRPr="008D2F75">
        <w:rPr>
          <w:color w:val="000000" w:themeColor="text1"/>
          <w:sz w:val="24"/>
          <w:szCs w:val="24"/>
        </w:rPr>
        <w:t>whether Parent wished to postpone the  Hearing date since she had yet to secure counsel. Parent did not attend</w:t>
      </w:r>
      <w:r w:rsidR="00FF2FF3">
        <w:rPr>
          <w:color w:val="000000" w:themeColor="text1"/>
          <w:sz w:val="24"/>
          <w:szCs w:val="24"/>
        </w:rPr>
        <w:t xml:space="preserve"> the Pre-hearing Conference</w:t>
      </w:r>
      <w:r w:rsidR="007D19E7" w:rsidRPr="008D2F75">
        <w:rPr>
          <w:color w:val="000000" w:themeColor="text1"/>
          <w:sz w:val="24"/>
          <w:szCs w:val="24"/>
        </w:rPr>
        <w:t xml:space="preserve">. </w:t>
      </w:r>
    </w:p>
    <w:p w14:paraId="2779D9B5" w14:textId="78C7E0A2" w:rsidR="008120BE" w:rsidRPr="008D2F75" w:rsidRDefault="007D19E7" w:rsidP="00FF2FF3">
      <w:pPr>
        <w:pStyle w:val="BodyText"/>
        <w:numPr>
          <w:ilvl w:val="0"/>
          <w:numId w:val="14"/>
        </w:numPr>
        <w:rPr>
          <w:color w:val="000000" w:themeColor="text1"/>
          <w:sz w:val="24"/>
          <w:szCs w:val="24"/>
        </w:rPr>
      </w:pPr>
      <w:r w:rsidRPr="008D2F75">
        <w:rPr>
          <w:color w:val="000000" w:themeColor="text1"/>
          <w:sz w:val="24"/>
          <w:szCs w:val="24"/>
        </w:rPr>
        <w:t xml:space="preserve">On April </w:t>
      </w:r>
      <w:r w:rsidR="008120BE" w:rsidRPr="008D2F75">
        <w:rPr>
          <w:color w:val="000000" w:themeColor="text1"/>
          <w:sz w:val="24"/>
          <w:szCs w:val="24"/>
        </w:rPr>
        <w:t>23</w:t>
      </w:r>
      <w:r w:rsidR="002850CD" w:rsidRPr="008D2F75">
        <w:rPr>
          <w:color w:val="000000" w:themeColor="text1"/>
          <w:sz w:val="24"/>
          <w:szCs w:val="24"/>
        </w:rPr>
        <w:t>,</w:t>
      </w:r>
      <w:r w:rsidR="008120BE" w:rsidRPr="008D2F75">
        <w:rPr>
          <w:color w:val="000000" w:themeColor="text1"/>
          <w:sz w:val="24"/>
          <w:szCs w:val="24"/>
        </w:rPr>
        <w:t xml:space="preserve"> 2021, Parent again wrote to the Hearing Officer requesting that the matter be transferred to a court. </w:t>
      </w:r>
      <w:r w:rsidR="002850CD" w:rsidRPr="008D2F75">
        <w:rPr>
          <w:color w:val="000000" w:themeColor="text1"/>
          <w:sz w:val="24"/>
          <w:szCs w:val="24"/>
        </w:rPr>
        <w:t xml:space="preserve"> </w:t>
      </w:r>
    </w:p>
    <w:p w14:paraId="0F79A4A1" w14:textId="70FC82A5" w:rsidR="0094320D" w:rsidRPr="008D2F75" w:rsidRDefault="00D040FF" w:rsidP="0074099D">
      <w:pPr>
        <w:pStyle w:val="BodyText"/>
        <w:numPr>
          <w:ilvl w:val="0"/>
          <w:numId w:val="14"/>
        </w:numPr>
        <w:rPr>
          <w:color w:val="000000" w:themeColor="text1"/>
          <w:sz w:val="24"/>
          <w:szCs w:val="24"/>
        </w:rPr>
      </w:pPr>
      <w:r w:rsidRPr="008D2F75">
        <w:rPr>
          <w:color w:val="000000" w:themeColor="text1"/>
          <w:sz w:val="24"/>
          <w:szCs w:val="24"/>
        </w:rPr>
        <w:lastRenderedPageBreak/>
        <w:t>On April 28, 2021, Parent</w:t>
      </w:r>
      <w:r w:rsidR="00530008" w:rsidRPr="008D2F75">
        <w:rPr>
          <w:color w:val="000000" w:themeColor="text1"/>
          <w:sz w:val="24"/>
          <w:szCs w:val="24"/>
        </w:rPr>
        <w:t>, th</w:t>
      </w:r>
      <w:r w:rsidR="001E0D59" w:rsidRPr="008D2F75">
        <w:rPr>
          <w:color w:val="000000" w:themeColor="text1"/>
          <w:sz w:val="24"/>
          <w:szCs w:val="24"/>
        </w:rPr>
        <w:t>r</w:t>
      </w:r>
      <w:r w:rsidR="00530008" w:rsidRPr="008D2F75">
        <w:rPr>
          <w:color w:val="000000" w:themeColor="text1"/>
          <w:sz w:val="24"/>
          <w:szCs w:val="24"/>
        </w:rPr>
        <w:t xml:space="preserve">ough an interpreter, </w:t>
      </w:r>
      <w:r w:rsidR="004915FD" w:rsidRPr="008D2F75">
        <w:rPr>
          <w:color w:val="000000" w:themeColor="text1"/>
          <w:sz w:val="24"/>
          <w:szCs w:val="24"/>
        </w:rPr>
        <w:t xml:space="preserve">indicated that she did not wish to present her case without an attorney.  </w:t>
      </w:r>
      <w:r w:rsidR="00A04298" w:rsidRPr="008D2F75">
        <w:rPr>
          <w:color w:val="000000" w:themeColor="text1"/>
          <w:sz w:val="24"/>
          <w:szCs w:val="24"/>
        </w:rPr>
        <w:t>However, when encouraged and invited by the Hearing Officer to ask for a postponement in order to secure counsel, Parent refused.</w:t>
      </w:r>
    </w:p>
    <w:p w14:paraId="697386B9" w14:textId="54B2D000" w:rsidR="008E5942" w:rsidRPr="008D2F75" w:rsidRDefault="00A86047" w:rsidP="0074099D">
      <w:pPr>
        <w:pStyle w:val="BodyText"/>
        <w:numPr>
          <w:ilvl w:val="0"/>
          <w:numId w:val="14"/>
        </w:numPr>
        <w:rPr>
          <w:color w:val="000000" w:themeColor="text1"/>
          <w:sz w:val="24"/>
          <w:szCs w:val="24"/>
        </w:rPr>
      </w:pPr>
      <w:r w:rsidRPr="008D2F75">
        <w:rPr>
          <w:color w:val="000000" w:themeColor="text1"/>
          <w:sz w:val="24"/>
          <w:szCs w:val="24"/>
        </w:rPr>
        <w:t xml:space="preserve">Parent </w:t>
      </w:r>
      <w:r w:rsidR="004915FD" w:rsidRPr="008D2F75">
        <w:rPr>
          <w:color w:val="000000" w:themeColor="text1"/>
          <w:sz w:val="24"/>
          <w:szCs w:val="24"/>
        </w:rPr>
        <w:t xml:space="preserve">stated that she </w:t>
      </w:r>
      <w:r w:rsidRPr="008D2F75">
        <w:rPr>
          <w:color w:val="000000" w:themeColor="text1"/>
          <w:sz w:val="24"/>
          <w:szCs w:val="24"/>
        </w:rPr>
        <w:t>would not</w:t>
      </w:r>
      <w:r w:rsidR="004915FD" w:rsidRPr="008D2F75">
        <w:rPr>
          <w:color w:val="000000" w:themeColor="text1"/>
          <w:sz w:val="24"/>
          <w:szCs w:val="24"/>
        </w:rPr>
        <w:t xml:space="preserve"> </w:t>
      </w:r>
      <w:r w:rsidRPr="008D2F75">
        <w:rPr>
          <w:color w:val="000000" w:themeColor="text1"/>
          <w:sz w:val="24"/>
          <w:szCs w:val="24"/>
        </w:rPr>
        <w:t xml:space="preserve">proceed </w:t>
      </w:r>
      <w:r w:rsidR="004915FD" w:rsidRPr="008D2F75">
        <w:rPr>
          <w:color w:val="000000" w:themeColor="text1"/>
          <w:sz w:val="24"/>
          <w:szCs w:val="24"/>
        </w:rPr>
        <w:t>in front of the BSEA</w:t>
      </w:r>
      <w:r w:rsidRPr="008D2F75">
        <w:rPr>
          <w:color w:val="000000" w:themeColor="text1"/>
          <w:sz w:val="24"/>
          <w:szCs w:val="24"/>
        </w:rPr>
        <w:t>.  She</w:t>
      </w:r>
      <w:r w:rsidR="004915FD" w:rsidRPr="008D2F75">
        <w:rPr>
          <w:color w:val="000000" w:themeColor="text1"/>
          <w:sz w:val="24"/>
          <w:szCs w:val="24"/>
        </w:rPr>
        <w:t xml:space="preserve"> wished the matter to be transferred to a court </w:t>
      </w:r>
      <w:r w:rsidR="008838CA" w:rsidRPr="008D2F75">
        <w:rPr>
          <w:color w:val="000000" w:themeColor="text1"/>
          <w:sz w:val="24"/>
          <w:szCs w:val="24"/>
        </w:rPr>
        <w:t xml:space="preserve">and </w:t>
      </w:r>
      <w:r w:rsidR="004915FD" w:rsidRPr="008D2F75">
        <w:rPr>
          <w:color w:val="000000" w:themeColor="text1"/>
          <w:sz w:val="24"/>
          <w:szCs w:val="24"/>
        </w:rPr>
        <w:t xml:space="preserve">to be heard </w:t>
      </w:r>
      <w:r w:rsidR="008838CA" w:rsidRPr="008D2F75">
        <w:rPr>
          <w:color w:val="000000" w:themeColor="text1"/>
          <w:sz w:val="24"/>
          <w:szCs w:val="24"/>
        </w:rPr>
        <w:t>in front of</w:t>
      </w:r>
      <w:r w:rsidR="004915FD" w:rsidRPr="008D2F75">
        <w:rPr>
          <w:color w:val="000000" w:themeColor="text1"/>
          <w:sz w:val="24"/>
          <w:szCs w:val="24"/>
        </w:rPr>
        <w:t xml:space="preserve"> a judge.</w:t>
      </w:r>
    </w:p>
    <w:p w14:paraId="196A9052" w14:textId="6AE26318" w:rsidR="004915FD" w:rsidRPr="008D2F75" w:rsidRDefault="004915FD" w:rsidP="0074099D">
      <w:pPr>
        <w:pStyle w:val="BodyText"/>
        <w:numPr>
          <w:ilvl w:val="0"/>
          <w:numId w:val="14"/>
        </w:numPr>
        <w:rPr>
          <w:color w:val="000000" w:themeColor="text1"/>
          <w:sz w:val="24"/>
          <w:szCs w:val="24"/>
        </w:rPr>
      </w:pPr>
      <w:r w:rsidRPr="008D2F75">
        <w:rPr>
          <w:color w:val="000000" w:themeColor="text1"/>
          <w:sz w:val="24"/>
          <w:szCs w:val="24"/>
        </w:rPr>
        <w:t xml:space="preserve">The Hearing Officer </w:t>
      </w:r>
      <w:r w:rsidR="00F42F1E" w:rsidRPr="008D2F75">
        <w:rPr>
          <w:color w:val="000000" w:themeColor="text1"/>
          <w:sz w:val="24"/>
          <w:szCs w:val="24"/>
        </w:rPr>
        <w:t xml:space="preserve">asserted that she has no authority to transfer the matter to </w:t>
      </w:r>
      <w:r w:rsidR="008838CA" w:rsidRPr="008D2F75">
        <w:rPr>
          <w:color w:val="000000" w:themeColor="text1"/>
          <w:sz w:val="24"/>
          <w:szCs w:val="24"/>
        </w:rPr>
        <w:t>be hear</w:t>
      </w:r>
      <w:r w:rsidR="00B555CA" w:rsidRPr="008D2F75">
        <w:rPr>
          <w:color w:val="000000" w:themeColor="text1"/>
          <w:sz w:val="24"/>
          <w:szCs w:val="24"/>
        </w:rPr>
        <w:t>d</w:t>
      </w:r>
      <w:r w:rsidR="008838CA" w:rsidRPr="008D2F75">
        <w:rPr>
          <w:color w:val="000000" w:themeColor="text1"/>
          <w:sz w:val="24"/>
          <w:szCs w:val="24"/>
        </w:rPr>
        <w:t xml:space="preserve"> in front of a judge</w:t>
      </w:r>
      <w:r w:rsidR="00F42F1E" w:rsidRPr="008D2F75">
        <w:rPr>
          <w:color w:val="000000" w:themeColor="text1"/>
          <w:sz w:val="24"/>
          <w:szCs w:val="24"/>
        </w:rPr>
        <w:t>.</w:t>
      </w:r>
    </w:p>
    <w:p w14:paraId="01759C0D" w14:textId="7A1BD921" w:rsidR="002B0A30" w:rsidRPr="008D2F75" w:rsidRDefault="008838CA" w:rsidP="0074099D">
      <w:pPr>
        <w:pStyle w:val="BodyText"/>
        <w:numPr>
          <w:ilvl w:val="0"/>
          <w:numId w:val="14"/>
        </w:numPr>
        <w:rPr>
          <w:color w:val="000000" w:themeColor="text1"/>
          <w:sz w:val="24"/>
          <w:szCs w:val="24"/>
        </w:rPr>
      </w:pPr>
      <w:r w:rsidRPr="008D2F75">
        <w:rPr>
          <w:color w:val="000000" w:themeColor="text1"/>
          <w:sz w:val="24"/>
          <w:szCs w:val="24"/>
        </w:rPr>
        <w:t xml:space="preserve">At Hearing, the </w:t>
      </w:r>
      <w:r w:rsidR="00151640">
        <w:rPr>
          <w:color w:val="000000" w:themeColor="text1"/>
          <w:sz w:val="24"/>
          <w:szCs w:val="24"/>
        </w:rPr>
        <w:t>District</w:t>
      </w:r>
      <w:r w:rsidR="002B0A30" w:rsidRPr="008D2F75">
        <w:rPr>
          <w:color w:val="000000" w:themeColor="text1"/>
          <w:sz w:val="24"/>
          <w:szCs w:val="24"/>
        </w:rPr>
        <w:t xml:space="preserve"> made an oral </w:t>
      </w:r>
      <w:r w:rsidR="003701C1" w:rsidRPr="008D2F75">
        <w:rPr>
          <w:color w:val="000000" w:themeColor="text1"/>
          <w:sz w:val="24"/>
          <w:szCs w:val="24"/>
        </w:rPr>
        <w:t>M</w:t>
      </w:r>
      <w:r w:rsidR="002B0A30" w:rsidRPr="008D2F75">
        <w:rPr>
          <w:color w:val="000000" w:themeColor="text1"/>
          <w:sz w:val="24"/>
          <w:szCs w:val="24"/>
        </w:rPr>
        <w:t xml:space="preserve">otion to </w:t>
      </w:r>
      <w:r w:rsidR="003701C1" w:rsidRPr="008D2F75">
        <w:rPr>
          <w:color w:val="000000" w:themeColor="text1"/>
          <w:sz w:val="24"/>
          <w:szCs w:val="24"/>
        </w:rPr>
        <w:t>D</w:t>
      </w:r>
      <w:r w:rsidR="002B0A30" w:rsidRPr="008D2F75">
        <w:rPr>
          <w:color w:val="000000" w:themeColor="text1"/>
          <w:sz w:val="24"/>
          <w:szCs w:val="24"/>
        </w:rPr>
        <w:t>ismiss the matter without prejudice.</w:t>
      </w:r>
    </w:p>
    <w:p w14:paraId="76F11365" w14:textId="75968103" w:rsidR="00113F0C" w:rsidRPr="008D2F75" w:rsidRDefault="00F42F1E" w:rsidP="0074099D">
      <w:pPr>
        <w:pStyle w:val="BodyText"/>
        <w:numPr>
          <w:ilvl w:val="0"/>
          <w:numId w:val="14"/>
        </w:numPr>
        <w:rPr>
          <w:color w:val="000000" w:themeColor="text1"/>
          <w:sz w:val="24"/>
          <w:szCs w:val="24"/>
        </w:rPr>
      </w:pPr>
      <w:r w:rsidRPr="008D2F75">
        <w:rPr>
          <w:color w:val="000000" w:themeColor="text1"/>
          <w:sz w:val="24"/>
          <w:szCs w:val="24"/>
        </w:rPr>
        <w:t>Parent refused to present her case</w:t>
      </w:r>
      <w:r w:rsidR="00113F0C" w:rsidRPr="008D2F75">
        <w:rPr>
          <w:color w:val="000000" w:themeColor="text1"/>
          <w:sz w:val="24"/>
          <w:szCs w:val="24"/>
        </w:rPr>
        <w:t>.</w:t>
      </w:r>
    </w:p>
    <w:p w14:paraId="72D65926" w14:textId="5D7E25A5" w:rsidR="00F42F1E" w:rsidRPr="008D2F75" w:rsidRDefault="00113F0C" w:rsidP="0074099D">
      <w:pPr>
        <w:pStyle w:val="BodyText"/>
        <w:numPr>
          <w:ilvl w:val="0"/>
          <w:numId w:val="14"/>
        </w:numPr>
        <w:rPr>
          <w:color w:val="000000" w:themeColor="text1"/>
          <w:sz w:val="24"/>
          <w:szCs w:val="24"/>
        </w:rPr>
      </w:pPr>
      <w:r w:rsidRPr="008D2F75">
        <w:rPr>
          <w:color w:val="000000" w:themeColor="text1"/>
          <w:sz w:val="24"/>
          <w:szCs w:val="24"/>
        </w:rPr>
        <w:t>T</w:t>
      </w:r>
      <w:r w:rsidR="00F42F1E" w:rsidRPr="008D2F75">
        <w:rPr>
          <w:color w:val="000000" w:themeColor="text1"/>
          <w:sz w:val="24"/>
          <w:szCs w:val="24"/>
        </w:rPr>
        <w:t xml:space="preserve">he Hearing </w:t>
      </w:r>
      <w:r w:rsidR="008838CA" w:rsidRPr="008D2F75">
        <w:rPr>
          <w:color w:val="000000" w:themeColor="text1"/>
          <w:sz w:val="24"/>
          <w:szCs w:val="24"/>
        </w:rPr>
        <w:t>O</w:t>
      </w:r>
      <w:r w:rsidR="00F42F1E" w:rsidRPr="008D2F75">
        <w:rPr>
          <w:color w:val="000000" w:themeColor="text1"/>
          <w:sz w:val="24"/>
          <w:szCs w:val="24"/>
        </w:rPr>
        <w:t>fficer</w:t>
      </w:r>
      <w:r w:rsidR="008154BC" w:rsidRPr="008D2F75">
        <w:rPr>
          <w:color w:val="000000" w:themeColor="text1"/>
          <w:sz w:val="24"/>
          <w:szCs w:val="24"/>
        </w:rPr>
        <w:t xml:space="preserve"> allowed the </w:t>
      </w:r>
      <w:r w:rsidR="00E60A45" w:rsidRPr="008D2F75">
        <w:rPr>
          <w:color w:val="000000" w:themeColor="text1"/>
          <w:sz w:val="24"/>
          <w:szCs w:val="24"/>
        </w:rPr>
        <w:t>Motion</w:t>
      </w:r>
      <w:r w:rsidR="008154BC" w:rsidRPr="008D2F75">
        <w:rPr>
          <w:color w:val="000000" w:themeColor="text1"/>
          <w:sz w:val="24"/>
          <w:szCs w:val="24"/>
        </w:rPr>
        <w:t xml:space="preserve"> of the Lawrence Pub</w:t>
      </w:r>
      <w:r w:rsidR="008D2F75" w:rsidRPr="008D2F75">
        <w:rPr>
          <w:color w:val="000000" w:themeColor="text1"/>
          <w:sz w:val="24"/>
          <w:szCs w:val="24"/>
        </w:rPr>
        <w:t>l</w:t>
      </w:r>
      <w:r w:rsidR="008154BC" w:rsidRPr="008D2F75">
        <w:rPr>
          <w:color w:val="000000" w:themeColor="text1"/>
          <w:sz w:val="24"/>
          <w:szCs w:val="24"/>
        </w:rPr>
        <w:t>ic Schools and</w:t>
      </w:r>
      <w:r w:rsidR="00F42F1E" w:rsidRPr="008D2F75">
        <w:rPr>
          <w:color w:val="000000" w:themeColor="text1"/>
          <w:sz w:val="24"/>
          <w:szCs w:val="24"/>
        </w:rPr>
        <w:t xml:space="preserve"> </w:t>
      </w:r>
      <w:r w:rsidR="003701C1" w:rsidRPr="008D2F75">
        <w:rPr>
          <w:color w:val="000000" w:themeColor="text1"/>
          <w:sz w:val="24"/>
          <w:szCs w:val="24"/>
        </w:rPr>
        <w:t>D</w:t>
      </w:r>
      <w:r w:rsidR="00530008" w:rsidRPr="008D2F75">
        <w:rPr>
          <w:color w:val="000000" w:themeColor="text1"/>
          <w:sz w:val="24"/>
          <w:szCs w:val="24"/>
        </w:rPr>
        <w:t xml:space="preserve">ismissed the matter </w:t>
      </w:r>
      <w:r w:rsidR="003701C1" w:rsidRPr="008D2F75">
        <w:rPr>
          <w:color w:val="000000" w:themeColor="text1"/>
          <w:sz w:val="24"/>
          <w:szCs w:val="24"/>
        </w:rPr>
        <w:t>W</w:t>
      </w:r>
      <w:r w:rsidR="00530008" w:rsidRPr="008D2F75">
        <w:rPr>
          <w:color w:val="000000" w:themeColor="text1"/>
          <w:sz w:val="24"/>
          <w:szCs w:val="24"/>
        </w:rPr>
        <w:t xml:space="preserve">ithout </w:t>
      </w:r>
      <w:r w:rsidR="003701C1" w:rsidRPr="008D2F75">
        <w:rPr>
          <w:color w:val="000000" w:themeColor="text1"/>
          <w:sz w:val="24"/>
          <w:szCs w:val="24"/>
        </w:rPr>
        <w:t>P</w:t>
      </w:r>
      <w:r w:rsidR="00530008" w:rsidRPr="008D2F75">
        <w:rPr>
          <w:color w:val="000000" w:themeColor="text1"/>
          <w:sz w:val="24"/>
          <w:szCs w:val="24"/>
        </w:rPr>
        <w:t>rejudice</w:t>
      </w:r>
      <w:r w:rsidR="008154BC" w:rsidRPr="008D2F75">
        <w:rPr>
          <w:color w:val="000000" w:themeColor="text1"/>
          <w:sz w:val="24"/>
          <w:szCs w:val="24"/>
        </w:rPr>
        <w:t xml:space="preserve"> for Failure to Prosecute.</w:t>
      </w:r>
      <w:r w:rsidR="00A86047" w:rsidRPr="008D2F75">
        <w:rPr>
          <w:color w:val="000000" w:themeColor="text1"/>
          <w:sz w:val="24"/>
          <w:szCs w:val="24"/>
        </w:rPr>
        <w:t xml:space="preserve"> </w:t>
      </w:r>
    </w:p>
    <w:p w14:paraId="3A5F48F9" w14:textId="77777777" w:rsidR="0022731D" w:rsidRPr="008D2F75" w:rsidRDefault="0022731D" w:rsidP="007B74D3">
      <w:pPr>
        <w:pStyle w:val="BodyText"/>
        <w:rPr>
          <w:b/>
          <w:bCs/>
          <w:color w:val="000000" w:themeColor="text1"/>
          <w:sz w:val="24"/>
          <w:szCs w:val="24"/>
        </w:rPr>
      </w:pPr>
    </w:p>
    <w:p w14:paraId="59B3CEC6" w14:textId="5F0F91B8" w:rsidR="009735FA" w:rsidRPr="008D2F75" w:rsidRDefault="009735FA" w:rsidP="00530008">
      <w:pPr>
        <w:widowControl w:val="0"/>
        <w:rPr>
          <w:color w:val="000000" w:themeColor="text1"/>
          <w:sz w:val="24"/>
          <w:szCs w:val="24"/>
        </w:rPr>
      </w:pPr>
      <w:r w:rsidRPr="008D2F75">
        <w:rPr>
          <w:b/>
          <w:bCs/>
          <w:color w:val="000000" w:themeColor="text1"/>
          <w:sz w:val="24"/>
          <w:szCs w:val="24"/>
        </w:rPr>
        <w:t>LEGAL STANDARD:</w:t>
      </w:r>
      <w:r w:rsidRPr="008D2F75">
        <w:rPr>
          <w:color w:val="000000" w:themeColor="text1"/>
          <w:sz w:val="24"/>
          <w:szCs w:val="24"/>
        </w:rPr>
        <w:t xml:space="preserve"> </w:t>
      </w:r>
    </w:p>
    <w:p w14:paraId="02546529" w14:textId="77777777" w:rsidR="009735FA" w:rsidRPr="008D2F75" w:rsidRDefault="009735FA" w:rsidP="00530008">
      <w:pPr>
        <w:widowControl w:val="0"/>
        <w:rPr>
          <w:i/>
          <w:iCs/>
          <w:color w:val="000000" w:themeColor="text1"/>
          <w:sz w:val="24"/>
          <w:szCs w:val="24"/>
        </w:rPr>
      </w:pPr>
    </w:p>
    <w:p w14:paraId="464FB9CC" w14:textId="17D7F7F6" w:rsidR="009735FA" w:rsidRPr="008D2F75" w:rsidRDefault="009735FA" w:rsidP="00530008">
      <w:pPr>
        <w:pStyle w:val="ListParagraph"/>
        <w:widowControl w:val="0"/>
        <w:numPr>
          <w:ilvl w:val="0"/>
          <w:numId w:val="13"/>
        </w:numPr>
        <w:contextualSpacing/>
        <w:rPr>
          <w:i/>
          <w:iCs/>
          <w:color w:val="000000" w:themeColor="text1"/>
          <w:sz w:val="24"/>
          <w:szCs w:val="24"/>
        </w:rPr>
      </w:pPr>
      <w:r w:rsidRPr="008D2F75">
        <w:rPr>
          <w:i/>
          <w:iCs/>
          <w:color w:val="000000" w:themeColor="text1"/>
          <w:sz w:val="24"/>
          <w:szCs w:val="24"/>
        </w:rPr>
        <w:t xml:space="preserve">Exhaustion  </w:t>
      </w:r>
    </w:p>
    <w:p w14:paraId="7B97A18B" w14:textId="77777777" w:rsidR="009735FA" w:rsidRPr="008D2F75" w:rsidRDefault="009735FA" w:rsidP="009735FA">
      <w:pPr>
        <w:pStyle w:val="ListParagraph"/>
        <w:widowControl w:val="0"/>
        <w:rPr>
          <w:i/>
          <w:iCs/>
          <w:color w:val="000000" w:themeColor="text1"/>
          <w:sz w:val="24"/>
          <w:szCs w:val="24"/>
        </w:rPr>
      </w:pPr>
    </w:p>
    <w:p w14:paraId="55557D75" w14:textId="5ECEF4D6" w:rsidR="009735FA" w:rsidRPr="008D2F75" w:rsidRDefault="009735FA" w:rsidP="009735FA">
      <w:pPr>
        <w:widowControl w:val="0"/>
        <w:rPr>
          <w:color w:val="000000" w:themeColor="text1"/>
          <w:sz w:val="24"/>
          <w:szCs w:val="24"/>
        </w:rPr>
      </w:pPr>
      <w:r w:rsidRPr="008D2F75">
        <w:rPr>
          <w:color w:val="000000" w:themeColor="text1"/>
          <w:sz w:val="24"/>
          <w:szCs w:val="24"/>
        </w:rPr>
        <w:t>A party seeking judicial relief under the IDEA must first “exhaust” or complete all the administrative due process procedures set out in the statute before seeking relief in court.</w:t>
      </w:r>
      <w:r w:rsidRPr="008D2F75">
        <w:rPr>
          <w:rStyle w:val="FootnoteReference"/>
          <w:color w:val="000000" w:themeColor="text1"/>
          <w:sz w:val="24"/>
          <w:szCs w:val="24"/>
        </w:rPr>
        <w:footnoteReference w:id="2"/>
      </w:r>
      <w:r w:rsidRPr="008D2F75">
        <w:rPr>
          <w:color w:val="000000" w:themeColor="text1"/>
          <w:sz w:val="24"/>
          <w:szCs w:val="24"/>
        </w:rPr>
        <w:t xml:space="preserve">   The IDEA's exhaustion requirement ensures that the BSEA is able to develop a factual record and apply its "specialized knowledge" in an IDEA-based claim.</w:t>
      </w:r>
      <w:r w:rsidRPr="008D2F75">
        <w:rPr>
          <w:rStyle w:val="FootnoteReference"/>
          <w:color w:val="000000" w:themeColor="text1"/>
          <w:sz w:val="24"/>
          <w:szCs w:val="24"/>
        </w:rPr>
        <w:footnoteReference w:id="3"/>
      </w:r>
      <w:r w:rsidRPr="008D2F75">
        <w:rPr>
          <w:color w:val="000000" w:themeColor="text1"/>
          <w:sz w:val="24"/>
          <w:szCs w:val="24"/>
        </w:rPr>
        <w:t xml:space="preserve">  </w:t>
      </w:r>
    </w:p>
    <w:p w14:paraId="0CB4C269" w14:textId="77777777" w:rsidR="00390D02" w:rsidRPr="008D2F75" w:rsidRDefault="00390D02" w:rsidP="007B74D3">
      <w:pPr>
        <w:pStyle w:val="BodyText"/>
        <w:rPr>
          <w:color w:val="000000" w:themeColor="text1"/>
          <w:sz w:val="24"/>
          <w:szCs w:val="24"/>
        </w:rPr>
      </w:pPr>
    </w:p>
    <w:p w14:paraId="573BF464" w14:textId="77777777" w:rsidR="00390D02" w:rsidRPr="008D2F75" w:rsidRDefault="00390D02" w:rsidP="00530008">
      <w:pPr>
        <w:pStyle w:val="ListParagraph"/>
        <w:widowControl w:val="0"/>
        <w:numPr>
          <w:ilvl w:val="0"/>
          <w:numId w:val="13"/>
        </w:numPr>
        <w:contextualSpacing/>
        <w:rPr>
          <w:i/>
          <w:iCs/>
          <w:color w:val="000000" w:themeColor="text1"/>
          <w:sz w:val="24"/>
          <w:szCs w:val="24"/>
        </w:rPr>
      </w:pPr>
      <w:r w:rsidRPr="008D2F75">
        <w:rPr>
          <w:i/>
          <w:iCs/>
          <w:color w:val="000000" w:themeColor="text1"/>
          <w:sz w:val="24"/>
          <w:szCs w:val="24"/>
        </w:rPr>
        <w:t>Failure to Prosecute or Defend</w:t>
      </w:r>
    </w:p>
    <w:p w14:paraId="3FF94F68" w14:textId="77777777" w:rsidR="008D2F75" w:rsidRDefault="00390D02" w:rsidP="0074099D">
      <w:pPr>
        <w:pStyle w:val="NormalWeb"/>
        <w:spacing w:before="0" w:beforeAutospacing="0"/>
        <w:rPr>
          <w:color w:val="000000" w:themeColor="text1"/>
        </w:rPr>
      </w:pPr>
      <w:r w:rsidRPr="008D2F75">
        <w:rPr>
          <w:b/>
          <w:color w:val="000000" w:themeColor="text1"/>
        </w:rPr>
        <w:t xml:space="preserve">                                                                                                                                                                                                       </w:t>
      </w:r>
      <w:r w:rsidRPr="008D2F75">
        <w:rPr>
          <w:bCs/>
          <w:color w:val="000000" w:themeColor="text1"/>
        </w:rPr>
        <w:t>According to BSEA Hearing Rule IX(F), “</w:t>
      </w:r>
      <w:r w:rsidRPr="008D2F75">
        <w:rPr>
          <w:color w:val="000000" w:themeColor="text1"/>
        </w:rPr>
        <w:t>If a party fails to file documents required by statute or regulation, to respond to notices or correspondence, to comply with orders of the Hearing Officer, to appear at the scheduled hearing or otherwise indicates an intention not to continue with prosecution of the claim, the Hearing Officer may dismiss the case with or without prejudice through a ten (10) day Order to Show Cause, or may take evidence and issue such orders as may be necessary including, but not limited to, ordering an educational program or placement for the student.”</w:t>
      </w:r>
      <w:r w:rsidR="001711BA" w:rsidRPr="008D2F75">
        <w:rPr>
          <w:color w:val="000000" w:themeColor="text1"/>
        </w:rPr>
        <w:t xml:space="preserve"> </w:t>
      </w:r>
      <w:r w:rsidR="00D538F8" w:rsidRPr="008D2F75">
        <w:rPr>
          <w:color w:val="000000" w:themeColor="text1"/>
        </w:rPr>
        <w:t>In addition, pursuant to 801 Mass. Reg. 1.01</w:t>
      </w:r>
      <w:r w:rsidR="00616624" w:rsidRPr="008D2F75">
        <w:rPr>
          <w:color w:val="000000" w:themeColor="text1"/>
        </w:rPr>
        <w:t>(7)(g)(2),</w:t>
      </w:r>
      <w:r w:rsidR="00790493" w:rsidRPr="008D2F75">
        <w:rPr>
          <w:color w:val="000000" w:themeColor="text1"/>
        </w:rPr>
        <w:t xml:space="preserve"> </w:t>
      </w:r>
    </w:p>
    <w:p w14:paraId="6B609A71" w14:textId="77777777" w:rsidR="008D2F75" w:rsidRDefault="008D2F75" w:rsidP="008D2F75">
      <w:pPr>
        <w:pStyle w:val="NormalWeb"/>
        <w:spacing w:before="0" w:beforeAutospacing="0"/>
        <w:ind w:left="1440"/>
        <w:rPr>
          <w:color w:val="000000" w:themeColor="text1"/>
        </w:rPr>
      </w:pPr>
      <w:r>
        <w:rPr>
          <w:color w:val="000000" w:themeColor="text1"/>
        </w:rPr>
        <w:t xml:space="preserve">When </w:t>
      </w:r>
      <w:r w:rsidR="00D538F8" w:rsidRPr="008D2F75">
        <w:rPr>
          <w:color w:val="000000" w:themeColor="text1"/>
        </w:rPr>
        <w:t>the record discloses the failure of a Party to file documents required by statute or by</w:t>
      </w:r>
      <w:r w:rsidR="00D538F8" w:rsidRPr="008D2F75">
        <w:rPr>
          <w:rStyle w:val="apple-converted-space"/>
          <w:color w:val="000000" w:themeColor="text1"/>
        </w:rPr>
        <w:t> </w:t>
      </w:r>
      <w:r w:rsidR="00D538F8" w:rsidRPr="008D2F75">
        <w:rPr>
          <w:rStyle w:val="unlinked-ref"/>
          <w:color w:val="000000" w:themeColor="text1"/>
        </w:rPr>
        <w:t>801 CMR 1.00</w:t>
      </w:r>
      <w:r w:rsidR="00D538F8" w:rsidRPr="008D2F75">
        <w:rPr>
          <w:color w:val="000000" w:themeColor="text1"/>
        </w:rPr>
        <w:t xml:space="preserve">, to respond to notices or correspondence, to comply with orders of the Presiding Officer, or otherwise indicates an intention not to continue with the prosecution of a claim, the Presiding Officer may </w:t>
      </w:r>
      <w:proofErr w:type="gramStart"/>
      <w:r w:rsidR="00D538F8" w:rsidRPr="008D2F75">
        <w:rPr>
          <w:color w:val="000000" w:themeColor="text1"/>
        </w:rPr>
        <w:t>initiate</w:t>
      </w:r>
      <w:proofErr w:type="gramEnd"/>
      <w:r w:rsidR="00D538F8" w:rsidRPr="008D2F75">
        <w:rPr>
          <w:color w:val="000000" w:themeColor="text1"/>
        </w:rPr>
        <w:t xml:space="preserve"> or a Party may move for an order requiring the Party to show cause why the claim shall not be dismissed for lack of prosecution. If a Party fails to respond to such order within ten days, or a Party's response fails to establish such cause, the Presiding Officer may dismiss the claim with or without prejudice.</w:t>
      </w:r>
    </w:p>
    <w:p w14:paraId="6B5A3CE1" w14:textId="071C7FD4" w:rsidR="00390D02" w:rsidRPr="008D2F75" w:rsidRDefault="00390D02" w:rsidP="008D2F75">
      <w:pPr>
        <w:pStyle w:val="NormalWeb"/>
        <w:spacing w:before="0" w:beforeAutospacing="0"/>
        <w:rPr>
          <w:color w:val="000000" w:themeColor="text1"/>
        </w:rPr>
      </w:pPr>
      <w:r w:rsidRPr="008D2F75">
        <w:rPr>
          <w:color w:val="000000" w:themeColor="text1"/>
        </w:rPr>
        <w:t>Although the BSEA is not bound by the Federal Rules of Civil Procedure, we often examine them for guidance. Pursuant to the Federal Rules of Civil Procedure, “If the plaintiff fails to prosecute or to comply with these rules or a court order, a defendant may move to dismiss the action or any claim against it.”</w:t>
      </w:r>
      <w:r w:rsidRPr="008D2F75">
        <w:rPr>
          <w:rStyle w:val="FootnoteReference"/>
          <w:color w:val="000000" w:themeColor="text1"/>
        </w:rPr>
        <w:footnoteReference w:id="4"/>
      </w:r>
      <w:r w:rsidRPr="008D2F75">
        <w:rPr>
          <w:color w:val="000000" w:themeColor="text1"/>
        </w:rPr>
        <w:t xml:space="preserve"> </w:t>
      </w:r>
      <w:r w:rsidR="00DC4FB6" w:rsidRPr="008D2F75">
        <w:rPr>
          <w:color w:val="000000" w:themeColor="text1"/>
        </w:rPr>
        <w:t xml:space="preserve"> </w:t>
      </w:r>
      <w:r w:rsidR="001711BA" w:rsidRPr="008D2F75">
        <w:rPr>
          <w:color w:val="000000" w:themeColor="text1"/>
        </w:rPr>
        <w:t xml:space="preserve"> </w:t>
      </w:r>
    </w:p>
    <w:p w14:paraId="19AE06AE" w14:textId="77777777" w:rsidR="00390D02" w:rsidRPr="008D2F75" w:rsidRDefault="00390D02" w:rsidP="007B74D3">
      <w:pPr>
        <w:pStyle w:val="BodyText"/>
        <w:rPr>
          <w:color w:val="000000" w:themeColor="text1"/>
          <w:sz w:val="24"/>
          <w:szCs w:val="24"/>
        </w:rPr>
      </w:pPr>
    </w:p>
    <w:p w14:paraId="5980A0C9" w14:textId="37BB64C3" w:rsidR="00390D02" w:rsidRPr="008D2F75" w:rsidRDefault="00D22054" w:rsidP="007B74D3">
      <w:pPr>
        <w:pStyle w:val="BodyText"/>
        <w:rPr>
          <w:b/>
          <w:bCs/>
          <w:color w:val="000000" w:themeColor="text1"/>
          <w:sz w:val="24"/>
          <w:szCs w:val="24"/>
        </w:rPr>
      </w:pPr>
      <w:r w:rsidRPr="008D2F75">
        <w:rPr>
          <w:b/>
          <w:bCs/>
          <w:color w:val="000000" w:themeColor="text1"/>
          <w:sz w:val="24"/>
          <w:szCs w:val="24"/>
        </w:rPr>
        <w:t xml:space="preserve">APPLICATION OF LEGAL STANDARD: </w:t>
      </w:r>
    </w:p>
    <w:p w14:paraId="62850E0F" w14:textId="77777777" w:rsidR="005D1D9E" w:rsidRPr="008D2F75" w:rsidRDefault="005D1D9E" w:rsidP="007B74D3">
      <w:pPr>
        <w:pStyle w:val="BodyText"/>
        <w:rPr>
          <w:color w:val="000000" w:themeColor="text1"/>
          <w:sz w:val="24"/>
          <w:szCs w:val="24"/>
        </w:rPr>
      </w:pPr>
    </w:p>
    <w:p w14:paraId="22E00254" w14:textId="0C9DCF15" w:rsidR="00000E84" w:rsidRPr="008D2F75" w:rsidRDefault="001711BA" w:rsidP="007B74D3">
      <w:pPr>
        <w:rPr>
          <w:color w:val="000000" w:themeColor="text1"/>
          <w:sz w:val="24"/>
          <w:szCs w:val="24"/>
        </w:rPr>
      </w:pPr>
      <w:r w:rsidRPr="008D2F75">
        <w:rPr>
          <w:color w:val="000000" w:themeColor="text1"/>
          <w:sz w:val="24"/>
          <w:szCs w:val="24"/>
        </w:rPr>
        <w:t>In accordance with the Notice issued on March 26, 2021, t</w:t>
      </w:r>
      <w:r w:rsidR="008E5942" w:rsidRPr="008D2F75">
        <w:rPr>
          <w:color w:val="000000" w:themeColor="text1"/>
          <w:sz w:val="24"/>
          <w:szCs w:val="24"/>
        </w:rPr>
        <w:t>he BSEA has afforded Parent the opportunity to present her case</w:t>
      </w:r>
      <w:r w:rsidRPr="008D2F75">
        <w:rPr>
          <w:color w:val="000000" w:themeColor="text1"/>
          <w:sz w:val="24"/>
          <w:szCs w:val="24"/>
        </w:rPr>
        <w:t>-</w:t>
      </w:r>
      <w:r w:rsidR="008E5942" w:rsidRPr="008D2F75">
        <w:rPr>
          <w:color w:val="000000" w:themeColor="text1"/>
          <w:sz w:val="24"/>
          <w:szCs w:val="24"/>
        </w:rPr>
        <w:t>in</w:t>
      </w:r>
      <w:r w:rsidRPr="008D2F75">
        <w:rPr>
          <w:color w:val="000000" w:themeColor="text1"/>
          <w:sz w:val="24"/>
          <w:szCs w:val="24"/>
        </w:rPr>
        <w:t>-</w:t>
      </w:r>
      <w:r w:rsidR="008E5942" w:rsidRPr="008D2F75">
        <w:rPr>
          <w:color w:val="000000" w:themeColor="text1"/>
          <w:sz w:val="24"/>
          <w:szCs w:val="24"/>
        </w:rPr>
        <w:t>chief on April 28, 2021</w:t>
      </w:r>
      <w:r w:rsidR="00333355" w:rsidRPr="008D2F75">
        <w:rPr>
          <w:color w:val="000000" w:themeColor="text1"/>
          <w:sz w:val="24"/>
          <w:szCs w:val="24"/>
        </w:rPr>
        <w:t>.</w:t>
      </w:r>
      <w:r w:rsidR="008E5942" w:rsidRPr="008D2F75">
        <w:rPr>
          <w:color w:val="000000" w:themeColor="text1"/>
          <w:sz w:val="24"/>
          <w:szCs w:val="24"/>
        </w:rPr>
        <w:t xml:space="preserve">  </w:t>
      </w:r>
      <w:r w:rsidR="005830A8" w:rsidRPr="008D2F75">
        <w:rPr>
          <w:color w:val="000000" w:themeColor="text1"/>
          <w:sz w:val="24"/>
          <w:szCs w:val="24"/>
        </w:rPr>
        <w:t xml:space="preserve">On April 28, 2021, Parent reiterated several times that she did not wish to present her case in front of the Hearing Officer and requested that the matter should be transferred to a court to be heard in front of a judge. </w:t>
      </w:r>
      <w:r w:rsidR="002F594E" w:rsidRPr="008D2F75">
        <w:rPr>
          <w:color w:val="000000" w:themeColor="text1"/>
          <w:sz w:val="24"/>
          <w:szCs w:val="24"/>
        </w:rPr>
        <w:t>Th</w:t>
      </w:r>
      <w:r w:rsidR="008154BC" w:rsidRPr="008D2F75">
        <w:rPr>
          <w:color w:val="000000" w:themeColor="text1"/>
          <w:sz w:val="24"/>
          <w:szCs w:val="24"/>
        </w:rPr>
        <w:t xml:space="preserve">is was not within the Hearing Officer’s authority in </w:t>
      </w:r>
      <w:r w:rsidR="00E60A45" w:rsidRPr="008D2F75">
        <w:rPr>
          <w:color w:val="000000" w:themeColor="text1"/>
          <w:sz w:val="24"/>
          <w:szCs w:val="24"/>
        </w:rPr>
        <w:t>light</w:t>
      </w:r>
      <w:r w:rsidR="008154BC" w:rsidRPr="008D2F75">
        <w:rPr>
          <w:color w:val="000000" w:themeColor="text1"/>
          <w:sz w:val="24"/>
          <w:szCs w:val="24"/>
        </w:rPr>
        <w:t xml:space="preserve"> of the exhaustion requirement discussed </w:t>
      </w:r>
      <w:r w:rsidR="008154BC" w:rsidRPr="008D2F75">
        <w:rPr>
          <w:i/>
          <w:color w:val="000000" w:themeColor="text1"/>
          <w:sz w:val="24"/>
          <w:szCs w:val="24"/>
        </w:rPr>
        <w:t>supra</w:t>
      </w:r>
      <w:r w:rsidR="001E50A1">
        <w:rPr>
          <w:iCs/>
          <w:color w:val="000000" w:themeColor="text1"/>
          <w:sz w:val="24"/>
          <w:szCs w:val="24"/>
        </w:rPr>
        <w:t>.</w:t>
      </w:r>
      <w:r w:rsidR="002F594E" w:rsidRPr="008D2F75">
        <w:rPr>
          <w:color w:val="000000" w:themeColor="text1"/>
          <w:sz w:val="24"/>
          <w:szCs w:val="24"/>
        </w:rPr>
        <w:t>.</w:t>
      </w:r>
      <w:r w:rsidR="002F594E" w:rsidRPr="008D2F75">
        <w:rPr>
          <w:rStyle w:val="FootnoteReference"/>
          <w:color w:val="000000" w:themeColor="text1"/>
          <w:sz w:val="24"/>
          <w:szCs w:val="24"/>
        </w:rPr>
        <w:footnoteReference w:id="5"/>
      </w:r>
      <w:r w:rsidR="002F594E" w:rsidRPr="008D2F75">
        <w:rPr>
          <w:color w:val="000000" w:themeColor="text1"/>
          <w:sz w:val="24"/>
          <w:szCs w:val="24"/>
        </w:rPr>
        <w:t xml:space="preserve">  </w:t>
      </w:r>
      <w:r w:rsidR="005830A8" w:rsidRPr="008D2F75">
        <w:rPr>
          <w:color w:val="000000" w:themeColor="text1"/>
          <w:sz w:val="24"/>
          <w:szCs w:val="24"/>
        </w:rPr>
        <w:t>At that time, the Lawrence Public Schools</w:t>
      </w:r>
      <w:r w:rsidR="00054DD9" w:rsidRPr="008D2F75">
        <w:rPr>
          <w:color w:val="000000" w:themeColor="text1"/>
          <w:sz w:val="24"/>
          <w:szCs w:val="24"/>
        </w:rPr>
        <w:t xml:space="preserve"> </w:t>
      </w:r>
      <w:r w:rsidR="005830A8" w:rsidRPr="008D2F75">
        <w:rPr>
          <w:color w:val="000000" w:themeColor="text1"/>
          <w:sz w:val="24"/>
          <w:szCs w:val="24"/>
        </w:rPr>
        <w:t>made an oral motion to dismiss the matter for failure to prosecute.</w:t>
      </w:r>
      <w:r w:rsidR="005830A8" w:rsidRPr="008D2F75">
        <w:rPr>
          <w:rStyle w:val="FootnoteReference"/>
          <w:color w:val="000000" w:themeColor="text1"/>
          <w:sz w:val="24"/>
          <w:szCs w:val="24"/>
        </w:rPr>
        <w:footnoteReference w:id="6"/>
      </w:r>
      <w:r w:rsidR="005830A8" w:rsidRPr="008D2F75">
        <w:rPr>
          <w:color w:val="000000" w:themeColor="text1"/>
          <w:sz w:val="24"/>
          <w:szCs w:val="24"/>
        </w:rPr>
        <w:t xml:space="preserve">  </w:t>
      </w:r>
      <w:r w:rsidR="00A436AC" w:rsidRPr="008D2F75">
        <w:rPr>
          <w:color w:val="000000" w:themeColor="text1"/>
          <w:sz w:val="24"/>
          <w:szCs w:val="24"/>
        </w:rPr>
        <w:t xml:space="preserve">Because the Hearing Officer could not </w:t>
      </w:r>
      <w:r w:rsidR="00894203" w:rsidRPr="008D2F75">
        <w:rPr>
          <w:color w:val="000000" w:themeColor="text1"/>
          <w:sz w:val="24"/>
          <w:szCs w:val="24"/>
        </w:rPr>
        <w:t>accommodate Parent’s request</w:t>
      </w:r>
      <w:r w:rsidR="004C46D1" w:rsidRPr="008D2F75">
        <w:rPr>
          <w:color w:val="000000" w:themeColor="text1"/>
          <w:sz w:val="24"/>
          <w:szCs w:val="24"/>
        </w:rPr>
        <w:t xml:space="preserve"> to transfer the matter</w:t>
      </w:r>
      <w:r w:rsidR="00A436AC" w:rsidRPr="008D2F75">
        <w:rPr>
          <w:rStyle w:val="FootnoteReference"/>
          <w:color w:val="000000" w:themeColor="text1"/>
          <w:sz w:val="24"/>
          <w:szCs w:val="24"/>
        </w:rPr>
        <w:footnoteReference w:id="7"/>
      </w:r>
      <w:r w:rsidR="00A436AC" w:rsidRPr="008D2F75">
        <w:rPr>
          <w:color w:val="000000" w:themeColor="text1"/>
          <w:sz w:val="24"/>
          <w:szCs w:val="24"/>
        </w:rPr>
        <w:t xml:space="preserve"> </w:t>
      </w:r>
      <w:r w:rsidR="00D71CA1" w:rsidRPr="008D2F75">
        <w:rPr>
          <w:color w:val="000000" w:themeColor="text1"/>
          <w:sz w:val="24"/>
          <w:szCs w:val="24"/>
        </w:rPr>
        <w:t>and Parent refused to proceed</w:t>
      </w:r>
      <w:r w:rsidR="0080381B">
        <w:rPr>
          <w:color w:val="000000" w:themeColor="text1"/>
          <w:sz w:val="24"/>
          <w:szCs w:val="24"/>
        </w:rPr>
        <w:t xml:space="preserve"> or to seek a postponement of the matter in order to secure counsel</w:t>
      </w:r>
      <w:r w:rsidR="00D71CA1" w:rsidRPr="008D2F75">
        <w:rPr>
          <w:color w:val="000000" w:themeColor="text1"/>
          <w:sz w:val="24"/>
          <w:szCs w:val="24"/>
        </w:rPr>
        <w:t xml:space="preserve">, </w:t>
      </w:r>
      <w:r w:rsidR="00F1624C" w:rsidRPr="008D2F75">
        <w:rPr>
          <w:color w:val="000000" w:themeColor="text1"/>
          <w:sz w:val="24"/>
          <w:szCs w:val="24"/>
        </w:rPr>
        <w:t>the</w:t>
      </w:r>
      <w:r w:rsidR="00000E84" w:rsidRPr="008D2F75">
        <w:rPr>
          <w:color w:val="000000" w:themeColor="text1"/>
          <w:sz w:val="24"/>
          <w:szCs w:val="24"/>
        </w:rPr>
        <w:t xml:space="preserve"> Hearing Officer</w:t>
      </w:r>
      <w:r w:rsidR="001F37A3" w:rsidRPr="008D2F75">
        <w:rPr>
          <w:color w:val="000000" w:themeColor="text1"/>
          <w:sz w:val="24"/>
          <w:szCs w:val="24"/>
        </w:rPr>
        <w:t xml:space="preserve"> </w:t>
      </w:r>
      <w:r w:rsidR="00000E84" w:rsidRPr="008D2F75">
        <w:rPr>
          <w:color w:val="000000" w:themeColor="text1"/>
          <w:sz w:val="24"/>
          <w:szCs w:val="24"/>
        </w:rPr>
        <w:t>ruled that the matter be dismissed without prejudice</w:t>
      </w:r>
      <w:r w:rsidR="008154BC" w:rsidRPr="008D2F75">
        <w:rPr>
          <w:color w:val="000000" w:themeColor="text1"/>
          <w:sz w:val="24"/>
          <w:szCs w:val="24"/>
        </w:rPr>
        <w:t>.</w:t>
      </w:r>
      <w:r w:rsidR="004C46D1" w:rsidRPr="008D2F75">
        <w:rPr>
          <w:color w:val="000000" w:themeColor="text1"/>
          <w:sz w:val="24"/>
          <w:szCs w:val="24"/>
        </w:rPr>
        <w:t xml:space="preserve"> </w:t>
      </w:r>
    </w:p>
    <w:p w14:paraId="55F70DB1" w14:textId="77777777" w:rsidR="004E3910" w:rsidRPr="008D2F75" w:rsidRDefault="004E3910" w:rsidP="007B74D3">
      <w:pPr>
        <w:rPr>
          <w:color w:val="000000" w:themeColor="text1"/>
          <w:sz w:val="24"/>
          <w:szCs w:val="24"/>
        </w:rPr>
      </w:pPr>
    </w:p>
    <w:p w14:paraId="28515087" w14:textId="63E96C2B" w:rsidR="00000E84" w:rsidRPr="008D2F75" w:rsidRDefault="00000E84" w:rsidP="007B74D3">
      <w:pPr>
        <w:rPr>
          <w:color w:val="000000" w:themeColor="text1"/>
          <w:sz w:val="24"/>
          <w:szCs w:val="24"/>
        </w:rPr>
      </w:pPr>
      <w:r w:rsidRPr="008D2F75">
        <w:rPr>
          <w:b/>
          <w:bCs/>
          <w:color w:val="000000" w:themeColor="text1"/>
          <w:sz w:val="24"/>
          <w:szCs w:val="24"/>
        </w:rPr>
        <w:t>ORDER</w:t>
      </w:r>
      <w:r w:rsidRPr="008D2F75">
        <w:rPr>
          <w:color w:val="000000" w:themeColor="text1"/>
          <w:sz w:val="24"/>
          <w:szCs w:val="24"/>
        </w:rPr>
        <w:t>:</w:t>
      </w:r>
    </w:p>
    <w:p w14:paraId="0CE79001" w14:textId="77777777" w:rsidR="008B7B9C" w:rsidRPr="008D2F75" w:rsidRDefault="008B7B9C" w:rsidP="007B74D3">
      <w:pPr>
        <w:rPr>
          <w:color w:val="000000" w:themeColor="text1"/>
          <w:sz w:val="24"/>
          <w:szCs w:val="24"/>
        </w:rPr>
      </w:pPr>
    </w:p>
    <w:p w14:paraId="25792DB7" w14:textId="5D4D20CC" w:rsidR="007B74D3" w:rsidRPr="008D2F75" w:rsidRDefault="005854CB" w:rsidP="007B74D3">
      <w:pPr>
        <w:rPr>
          <w:color w:val="000000" w:themeColor="text1"/>
          <w:sz w:val="24"/>
          <w:szCs w:val="24"/>
        </w:rPr>
      </w:pPr>
      <w:r w:rsidRPr="008D2F75">
        <w:rPr>
          <w:color w:val="000000" w:themeColor="text1"/>
          <w:sz w:val="24"/>
          <w:szCs w:val="24"/>
        </w:rPr>
        <w:t>As Parent</w:t>
      </w:r>
      <w:r w:rsidR="00675E2F" w:rsidRPr="008D2F75">
        <w:rPr>
          <w:color w:val="000000" w:themeColor="text1"/>
          <w:sz w:val="24"/>
          <w:szCs w:val="24"/>
        </w:rPr>
        <w:t xml:space="preserve"> refused to </w:t>
      </w:r>
      <w:r w:rsidR="001F37A3" w:rsidRPr="008D2F75">
        <w:rPr>
          <w:color w:val="000000" w:themeColor="text1"/>
          <w:sz w:val="24"/>
          <w:szCs w:val="24"/>
        </w:rPr>
        <w:t>prosecute</w:t>
      </w:r>
      <w:r w:rsidR="00675E2F" w:rsidRPr="008D2F75">
        <w:rPr>
          <w:color w:val="000000" w:themeColor="text1"/>
          <w:sz w:val="24"/>
          <w:szCs w:val="24"/>
        </w:rPr>
        <w:t xml:space="preserve"> her case on the date of the Hearing</w:t>
      </w:r>
      <w:r w:rsidR="001F37A3" w:rsidRPr="008D2F75">
        <w:rPr>
          <w:color w:val="000000" w:themeColor="text1"/>
          <w:sz w:val="24"/>
          <w:szCs w:val="24"/>
        </w:rPr>
        <w:t xml:space="preserve">, </w:t>
      </w:r>
      <w:r w:rsidRPr="008D2F75">
        <w:rPr>
          <w:color w:val="000000" w:themeColor="text1"/>
          <w:sz w:val="24"/>
          <w:szCs w:val="24"/>
        </w:rPr>
        <w:t xml:space="preserve">the above-referenced matter is hereby </w:t>
      </w:r>
      <w:r w:rsidRPr="008D2F75">
        <w:rPr>
          <w:b/>
          <w:bCs/>
          <w:color w:val="000000" w:themeColor="text1"/>
          <w:sz w:val="24"/>
          <w:szCs w:val="24"/>
        </w:rPr>
        <w:t xml:space="preserve">DISMISSED </w:t>
      </w:r>
      <w:r w:rsidR="00ED3C64" w:rsidRPr="008D2F75">
        <w:rPr>
          <w:b/>
          <w:bCs/>
          <w:color w:val="000000" w:themeColor="text1"/>
          <w:sz w:val="24"/>
          <w:szCs w:val="24"/>
        </w:rPr>
        <w:t>WITHOUT PREJUDICE</w:t>
      </w:r>
      <w:r w:rsidRPr="008D2F75">
        <w:rPr>
          <w:color w:val="000000" w:themeColor="text1"/>
          <w:sz w:val="24"/>
          <w:szCs w:val="24"/>
        </w:rPr>
        <w:t>.</w:t>
      </w:r>
      <w:r w:rsidR="00D22F0E" w:rsidRPr="008D2F75">
        <w:rPr>
          <w:color w:val="000000" w:themeColor="text1"/>
          <w:sz w:val="24"/>
          <w:szCs w:val="24"/>
        </w:rPr>
        <w:t xml:space="preserve">  </w:t>
      </w:r>
      <w:r w:rsidR="00D22F0E" w:rsidRPr="008D2F75">
        <w:rPr>
          <w:color w:val="000000" w:themeColor="text1"/>
          <w:sz w:val="24"/>
          <w:szCs w:val="24"/>
        </w:rPr>
        <w:tab/>
      </w:r>
    </w:p>
    <w:p w14:paraId="34DB9E46" w14:textId="77777777" w:rsidR="00827443" w:rsidRPr="008D2F75" w:rsidRDefault="00827443" w:rsidP="00DC7547">
      <w:pPr>
        <w:rPr>
          <w:color w:val="000000" w:themeColor="text1"/>
          <w:sz w:val="24"/>
          <w:szCs w:val="24"/>
        </w:rPr>
      </w:pPr>
    </w:p>
    <w:p w14:paraId="6853A045" w14:textId="77777777" w:rsidR="00EE6F13" w:rsidRPr="008D2F75" w:rsidRDefault="00EE6F13" w:rsidP="00EE6F13">
      <w:pPr>
        <w:rPr>
          <w:color w:val="000000" w:themeColor="text1"/>
          <w:sz w:val="24"/>
          <w:szCs w:val="24"/>
        </w:rPr>
      </w:pPr>
    </w:p>
    <w:p w14:paraId="6B3863C9" w14:textId="77777777" w:rsidR="00EE6F13" w:rsidRPr="008D2F75" w:rsidRDefault="00EE6F13" w:rsidP="00EE6F13">
      <w:pPr>
        <w:rPr>
          <w:color w:val="000000" w:themeColor="text1"/>
          <w:sz w:val="24"/>
          <w:szCs w:val="24"/>
        </w:rPr>
      </w:pPr>
      <w:r w:rsidRPr="008D2F75">
        <w:rPr>
          <w:color w:val="000000" w:themeColor="text1"/>
          <w:sz w:val="24"/>
          <w:szCs w:val="24"/>
        </w:rPr>
        <w:t>By the Hearing Officer,</w:t>
      </w:r>
    </w:p>
    <w:p w14:paraId="6D59055C" w14:textId="77777777" w:rsidR="005854CB" w:rsidRPr="008D2F75" w:rsidRDefault="005854CB" w:rsidP="00EE6F13">
      <w:pPr>
        <w:rPr>
          <w:color w:val="000000" w:themeColor="text1"/>
          <w:sz w:val="24"/>
          <w:szCs w:val="24"/>
        </w:rPr>
      </w:pPr>
    </w:p>
    <w:p w14:paraId="0B2F97A1" w14:textId="12D824B0" w:rsidR="005854CB" w:rsidRPr="007168DE" w:rsidRDefault="005854CB" w:rsidP="00EE6F13">
      <w:pPr>
        <w:rPr>
          <w:rFonts w:ascii="Apple Chancery" w:hAnsi="Apple Chancery" w:cs="Apple Chancery"/>
          <w:color w:val="000000" w:themeColor="text1"/>
          <w:sz w:val="24"/>
          <w:szCs w:val="24"/>
          <w:u w:val="single"/>
        </w:rPr>
      </w:pPr>
      <w:r w:rsidRPr="008D2F75">
        <w:rPr>
          <w:color w:val="000000" w:themeColor="text1"/>
          <w:sz w:val="24"/>
          <w:szCs w:val="24"/>
          <w:u w:val="single"/>
        </w:rPr>
        <w:t xml:space="preserve">     /s/ </w:t>
      </w:r>
      <w:r w:rsidR="0043528A" w:rsidRPr="007168DE">
        <w:rPr>
          <w:rFonts w:ascii="Apple Chancery" w:hAnsi="Apple Chancery" w:cs="Apple Chancery" w:hint="cs"/>
          <w:color w:val="000000" w:themeColor="text1"/>
          <w:sz w:val="24"/>
          <w:szCs w:val="24"/>
          <w:u w:val="single"/>
        </w:rPr>
        <w:t>Alina Kantor Nir</w:t>
      </w:r>
    </w:p>
    <w:p w14:paraId="3BD8C30C" w14:textId="730EACA6" w:rsidR="00EE6F13" w:rsidRPr="008D2F75" w:rsidRDefault="0043528A" w:rsidP="00EE6F13">
      <w:pPr>
        <w:rPr>
          <w:color w:val="000000" w:themeColor="text1"/>
          <w:sz w:val="24"/>
          <w:szCs w:val="24"/>
        </w:rPr>
      </w:pPr>
      <w:r w:rsidRPr="008D2F75">
        <w:rPr>
          <w:color w:val="000000" w:themeColor="text1"/>
          <w:sz w:val="24"/>
          <w:szCs w:val="24"/>
        </w:rPr>
        <w:t>Alina Kantor Nir</w:t>
      </w:r>
    </w:p>
    <w:p w14:paraId="05BF68BF" w14:textId="423A6E5F" w:rsidR="00842B5D" w:rsidRPr="008D2F75" w:rsidRDefault="00DA7BC9" w:rsidP="00C737BD">
      <w:pPr>
        <w:rPr>
          <w:color w:val="000000" w:themeColor="text1"/>
          <w:sz w:val="24"/>
          <w:szCs w:val="24"/>
        </w:rPr>
      </w:pPr>
      <w:r w:rsidRPr="008D2F75">
        <w:rPr>
          <w:color w:val="000000" w:themeColor="text1"/>
          <w:sz w:val="24"/>
          <w:szCs w:val="24"/>
        </w:rPr>
        <w:t>Date:</w:t>
      </w:r>
      <w:r w:rsidR="007B74D3" w:rsidRPr="008D2F75">
        <w:rPr>
          <w:color w:val="000000" w:themeColor="text1"/>
          <w:sz w:val="24"/>
          <w:szCs w:val="24"/>
        </w:rPr>
        <w:t xml:space="preserve">  </w:t>
      </w:r>
      <w:r w:rsidR="0043528A" w:rsidRPr="008D2F75">
        <w:rPr>
          <w:color w:val="000000" w:themeColor="text1"/>
          <w:sz w:val="24"/>
          <w:szCs w:val="24"/>
        </w:rPr>
        <w:t xml:space="preserve">May </w:t>
      </w:r>
      <w:r w:rsidR="007168DE">
        <w:rPr>
          <w:color w:val="000000" w:themeColor="text1"/>
          <w:sz w:val="24"/>
          <w:szCs w:val="24"/>
        </w:rPr>
        <w:t>3</w:t>
      </w:r>
      <w:r w:rsidR="005D1D9E" w:rsidRPr="008D2F75">
        <w:rPr>
          <w:color w:val="000000" w:themeColor="text1"/>
          <w:sz w:val="24"/>
          <w:szCs w:val="24"/>
        </w:rPr>
        <w:t>, 202</w:t>
      </w:r>
      <w:r w:rsidR="0043528A" w:rsidRPr="008D2F75">
        <w:rPr>
          <w:color w:val="000000" w:themeColor="text1"/>
          <w:sz w:val="24"/>
          <w:szCs w:val="24"/>
        </w:rPr>
        <w:t>1</w:t>
      </w:r>
    </w:p>
    <w:sectPr w:rsidR="00842B5D" w:rsidRPr="008D2F75">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10EA" w14:textId="77777777" w:rsidR="00C269CA" w:rsidRDefault="00C269CA" w:rsidP="00F71506">
      <w:r>
        <w:separator/>
      </w:r>
    </w:p>
  </w:endnote>
  <w:endnote w:type="continuationSeparator" w:id="0">
    <w:p w14:paraId="22444D08" w14:textId="77777777" w:rsidR="00C269CA" w:rsidRDefault="00C269CA" w:rsidP="00F71506">
      <w:r>
        <w:continuationSeparator/>
      </w:r>
    </w:p>
  </w:endnote>
  <w:endnote w:type="continuationNotice" w:id="1">
    <w:p w14:paraId="4B1272BE" w14:textId="77777777" w:rsidR="00C269CA" w:rsidRDefault="00C26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085B" w14:textId="77777777" w:rsidR="00E60A45" w:rsidRDefault="00E6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F93E" w14:textId="77777777" w:rsidR="00C269CA" w:rsidRDefault="00C269CA" w:rsidP="00F71506">
      <w:r>
        <w:separator/>
      </w:r>
    </w:p>
  </w:footnote>
  <w:footnote w:type="continuationSeparator" w:id="0">
    <w:p w14:paraId="4EF78C50" w14:textId="77777777" w:rsidR="00C269CA" w:rsidRDefault="00C269CA" w:rsidP="00F71506">
      <w:r>
        <w:continuationSeparator/>
      </w:r>
    </w:p>
  </w:footnote>
  <w:footnote w:type="continuationNotice" w:id="1">
    <w:p w14:paraId="5A83F026" w14:textId="77777777" w:rsidR="00C269CA" w:rsidRDefault="00C269CA"/>
  </w:footnote>
  <w:footnote w:id="2">
    <w:p w14:paraId="592BD278" w14:textId="77777777" w:rsidR="009735FA" w:rsidRDefault="009735FA" w:rsidP="009735FA">
      <w:pPr>
        <w:pStyle w:val="FootnoteText"/>
      </w:pPr>
      <w:r>
        <w:rPr>
          <w:rStyle w:val="FootnoteReference"/>
        </w:rPr>
        <w:footnoteRef/>
      </w:r>
      <w:r>
        <w:t xml:space="preserve"> </w:t>
      </w:r>
      <w:r w:rsidRPr="00C33A35">
        <w:rPr>
          <w:color w:val="000000" w:themeColor="text1"/>
        </w:rPr>
        <w:t>20 U.S.C. 1415 (l); 34 CFR 300.516(e).</w:t>
      </w:r>
    </w:p>
  </w:footnote>
  <w:footnote w:id="3">
    <w:p w14:paraId="013632FE" w14:textId="77777777" w:rsidR="009735FA" w:rsidRDefault="009735FA" w:rsidP="009735FA">
      <w:pPr>
        <w:pStyle w:val="FootnoteText"/>
      </w:pPr>
      <w:r>
        <w:rPr>
          <w:rStyle w:val="FootnoteReference"/>
        </w:rPr>
        <w:footnoteRef/>
      </w:r>
      <w:r>
        <w:t xml:space="preserve"> </w:t>
      </w:r>
      <w:r w:rsidRPr="00C33A35">
        <w:rPr>
          <w:i/>
          <w:iCs/>
          <w:color w:val="000000" w:themeColor="text1"/>
        </w:rPr>
        <w:t>See</w:t>
      </w:r>
      <w:r w:rsidRPr="00C33A35">
        <w:rPr>
          <w:color w:val="000000" w:themeColor="text1"/>
        </w:rPr>
        <w:t> </w:t>
      </w:r>
      <w:r w:rsidRPr="00C33A35">
        <w:rPr>
          <w:i/>
          <w:iCs/>
          <w:color w:val="000000" w:themeColor="text1"/>
        </w:rPr>
        <w:t>Frazier v. Fairhaven Sch. Comm.</w:t>
      </w:r>
      <w:r w:rsidRPr="00C33A35">
        <w:rPr>
          <w:color w:val="000000" w:themeColor="text1"/>
        </w:rPr>
        <w:t>, 276 F.3d 52, 59, 64 (1st Cir. 2002).</w:t>
      </w:r>
    </w:p>
  </w:footnote>
  <w:footnote w:id="4">
    <w:p w14:paraId="7FDE655E" w14:textId="77777777" w:rsidR="00390D02" w:rsidRDefault="00390D02" w:rsidP="00390D02">
      <w:pPr>
        <w:pStyle w:val="FootnoteText"/>
      </w:pPr>
      <w:r>
        <w:rPr>
          <w:rStyle w:val="FootnoteReference"/>
        </w:rPr>
        <w:footnoteRef/>
      </w:r>
      <w:r>
        <w:t xml:space="preserve"> </w:t>
      </w:r>
      <w:r w:rsidRPr="00ED2FF8">
        <w:t>Fed. R. Civ. P. 41(b).</w:t>
      </w:r>
    </w:p>
  </w:footnote>
  <w:footnote w:id="5">
    <w:p w14:paraId="0704ABA8" w14:textId="35098368" w:rsidR="002F594E" w:rsidRDefault="002F594E">
      <w:pPr>
        <w:pStyle w:val="FootnoteText"/>
      </w:pPr>
      <w:r>
        <w:rPr>
          <w:rStyle w:val="FootnoteReference"/>
        </w:rPr>
        <w:footnoteRef/>
      </w:r>
      <w:r>
        <w:t xml:space="preserve"> </w:t>
      </w:r>
      <w:r w:rsidRPr="00C33A35">
        <w:rPr>
          <w:color w:val="000000" w:themeColor="text1"/>
        </w:rPr>
        <w:t>20 U.S.C. 1415 (l); 34 CFR 300.516(e).</w:t>
      </w:r>
    </w:p>
  </w:footnote>
  <w:footnote w:id="6">
    <w:p w14:paraId="5BDA4D54" w14:textId="77777777" w:rsidR="005830A8" w:rsidRDefault="005830A8" w:rsidP="005830A8">
      <w:pPr>
        <w:pStyle w:val="FootnoteText"/>
      </w:pPr>
      <w:r>
        <w:rPr>
          <w:rStyle w:val="FootnoteReference"/>
        </w:rPr>
        <w:footnoteRef/>
      </w:r>
      <w:r>
        <w:t xml:space="preserve"> </w:t>
      </w:r>
      <w:r w:rsidRPr="00252534">
        <w:rPr>
          <w:bCs/>
          <w:i/>
          <w:iCs/>
        </w:rPr>
        <w:t>BSEA Hearing Rule</w:t>
      </w:r>
      <w:r w:rsidRPr="00A1048F">
        <w:rPr>
          <w:bCs/>
        </w:rPr>
        <w:t xml:space="preserve"> IX(F)</w:t>
      </w:r>
      <w:r>
        <w:rPr>
          <w:bCs/>
        </w:rPr>
        <w:t>.</w:t>
      </w:r>
    </w:p>
  </w:footnote>
  <w:footnote w:id="7">
    <w:p w14:paraId="493964DB" w14:textId="36578536" w:rsidR="00A436AC" w:rsidRDefault="00A436AC">
      <w:pPr>
        <w:pStyle w:val="FootnoteText"/>
      </w:pPr>
      <w:r>
        <w:rPr>
          <w:rStyle w:val="FootnoteReference"/>
        </w:rPr>
        <w:footnoteRef/>
      </w:r>
      <w:r w:rsidR="004C46D1" w:rsidRPr="00C33A35">
        <w:rPr>
          <w:color w:val="000000" w:themeColor="text1"/>
        </w:rPr>
        <w:t>20 U.S.C. 1415 (l); 34 CFR 300.516(e).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6E04" w14:textId="77777777" w:rsidR="00E60A45" w:rsidRDefault="00E60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32E3"/>
    <w:multiLevelType w:val="hybridMultilevel"/>
    <w:tmpl w:val="E3E8BF36"/>
    <w:lvl w:ilvl="0" w:tplc="7F6E3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3A4688"/>
    <w:multiLevelType w:val="hybridMultilevel"/>
    <w:tmpl w:val="24A64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83010"/>
    <w:multiLevelType w:val="hybridMultilevel"/>
    <w:tmpl w:val="7C6C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F4A90"/>
    <w:multiLevelType w:val="hybridMultilevel"/>
    <w:tmpl w:val="9ED83C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C2C6E"/>
    <w:multiLevelType w:val="hybridMultilevel"/>
    <w:tmpl w:val="9D1852EE"/>
    <w:lvl w:ilvl="0" w:tplc="64E63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002807"/>
    <w:multiLevelType w:val="hybridMultilevel"/>
    <w:tmpl w:val="AFB2C576"/>
    <w:lvl w:ilvl="0" w:tplc="FAC4FB3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DE06BCC"/>
    <w:multiLevelType w:val="hybridMultilevel"/>
    <w:tmpl w:val="C56AEBD6"/>
    <w:lvl w:ilvl="0" w:tplc="5FBE4F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475DA"/>
    <w:multiLevelType w:val="hybridMultilevel"/>
    <w:tmpl w:val="676047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6B540A2"/>
    <w:multiLevelType w:val="hybridMultilevel"/>
    <w:tmpl w:val="348AFFE8"/>
    <w:lvl w:ilvl="0" w:tplc="858C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011EED"/>
    <w:multiLevelType w:val="hybridMultilevel"/>
    <w:tmpl w:val="3D0EB2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92131CC"/>
    <w:multiLevelType w:val="hybridMultilevel"/>
    <w:tmpl w:val="23B2C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2B60F7"/>
    <w:multiLevelType w:val="hybridMultilevel"/>
    <w:tmpl w:val="46DCD6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C8248AD"/>
    <w:multiLevelType w:val="hybridMultilevel"/>
    <w:tmpl w:val="0C9E58F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1"/>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2"/>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EC"/>
    <w:rsid w:val="00000E84"/>
    <w:rsid w:val="00036DCA"/>
    <w:rsid w:val="000423D0"/>
    <w:rsid w:val="00052E3B"/>
    <w:rsid w:val="00054DD9"/>
    <w:rsid w:val="00073B38"/>
    <w:rsid w:val="000753BA"/>
    <w:rsid w:val="0009710D"/>
    <w:rsid w:val="000A5D30"/>
    <w:rsid w:val="000B487A"/>
    <w:rsid w:val="000C0A10"/>
    <w:rsid w:val="000D1797"/>
    <w:rsid w:val="000F1364"/>
    <w:rsid w:val="000F174A"/>
    <w:rsid w:val="000F7D22"/>
    <w:rsid w:val="00105EB2"/>
    <w:rsid w:val="00113F0C"/>
    <w:rsid w:val="0012419D"/>
    <w:rsid w:val="00134FDA"/>
    <w:rsid w:val="00151640"/>
    <w:rsid w:val="00161461"/>
    <w:rsid w:val="001637D8"/>
    <w:rsid w:val="001711BA"/>
    <w:rsid w:val="00171C25"/>
    <w:rsid w:val="00180465"/>
    <w:rsid w:val="00196121"/>
    <w:rsid w:val="001B5C6E"/>
    <w:rsid w:val="001C2DF1"/>
    <w:rsid w:val="001D6068"/>
    <w:rsid w:val="001E0D59"/>
    <w:rsid w:val="001E2965"/>
    <w:rsid w:val="001E50A1"/>
    <w:rsid w:val="001F37A3"/>
    <w:rsid w:val="002020B7"/>
    <w:rsid w:val="00211E4A"/>
    <w:rsid w:val="00215D9B"/>
    <w:rsid w:val="00225651"/>
    <w:rsid w:val="0022731D"/>
    <w:rsid w:val="00227EEE"/>
    <w:rsid w:val="0023213F"/>
    <w:rsid w:val="002363D2"/>
    <w:rsid w:val="00241D27"/>
    <w:rsid w:val="00252534"/>
    <w:rsid w:val="002531D8"/>
    <w:rsid w:val="00253A7A"/>
    <w:rsid w:val="00270654"/>
    <w:rsid w:val="00284197"/>
    <w:rsid w:val="002850CD"/>
    <w:rsid w:val="0029619D"/>
    <w:rsid w:val="002B0A30"/>
    <w:rsid w:val="002C15C7"/>
    <w:rsid w:val="002C20BB"/>
    <w:rsid w:val="002D40F3"/>
    <w:rsid w:val="002D6D14"/>
    <w:rsid w:val="002E53D2"/>
    <w:rsid w:val="002F594E"/>
    <w:rsid w:val="00317C6C"/>
    <w:rsid w:val="00333355"/>
    <w:rsid w:val="00352D05"/>
    <w:rsid w:val="003701C1"/>
    <w:rsid w:val="00373969"/>
    <w:rsid w:val="00390D02"/>
    <w:rsid w:val="003A7B3C"/>
    <w:rsid w:val="003D4626"/>
    <w:rsid w:val="003D6892"/>
    <w:rsid w:val="0043528A"/>
    <w:rsid w:val="00436500"/>
    <w:rsid w:val="00452377"/>
    <w:rsid w:val="00454CBE"/>
    <w:rsid w:val="00471AB8"/>
    <w:rsid w:val="004915FD"/>
    <w:rsid w:val="004A06F3"/>
    <w:rsid w:val="004B4AF7"/>
    <w:rsid w:val="004B66A1"/>
    <w:rsid w:val="004B7C72"/>
    <w:rsid w:val="004C14E8"/>
    <w:rsid w:val="004C46D1"/>
    <w:rsid w:val="004D5205"/>
    <w:rsid w:val="004E0B66"/>
    <w:rsid w:val="004E3910"/>
    <w:rsid w:val="004F515D"/>
    <w:rsid w:val="00501AF0"/>
    <w:rsid w:val="00530008"/>
    <w:rsid w:val="0054568E"/>
    <w:rsid w:val="005477D0"/>
    <w:rsid w:val="005830A8"/>
    <w:rsid w:val="005854CB"/>
    <w:rsid w:val="0058564C"/>
    <w:rsid w:val="005B5C91"/>
    <w:rsid w:val="005C7478"/>
    <w:rsid w:val="005D11DE"/>
    <w:rsid w:val="005D1D9E"/>
    <w:rsid w:val="005D28D8"/>
    <w:rsid w:val="005D31DE"/>
    <w:rsid w:val="00616624"/>
    <w:rsid w:val="006237C9"/>
    <w:rsid w:val="00640CA0"/>
    <w:rsid w:val="00663211"/>
    <w:rsid w:val="0066526E"/>
    <w:rsid w:val="00675E2F"/>
    <w:rsid w:val="006826BD"/>
    <w:rsid w:val="00683DEB"/>
    <w:rsid w:val="006935D5"/>
    <w:rsid w:val="006A2311"/>
    <w:rsid w:val="006A54CC"/>
    <w:rsid w:val="006B0D35"/>
    <w:rsid w:val="006D147E"/>
    <w:rsid w:val="006D19A2"/>
    <w:rsid w:val="006D36E1"/>
    <w:rsid w:val="006E5E6E"/>
    <w:rsid w:val="006F0682"/>
    <w:rsid w:val="007168DE"/>
    <w:rsid w:val="0074099D"/>
    <w:rsid w:val="0074378C"/>
    <w:rsid w:val="007556B0"/>
    <w:rsid w:val="00790493"/>
    <w:rsid w:val="007B607E"/>
    <w:rsid w:val="007B74D3"/>
    <w:rsid w:val="007C21EE"/>
    <w:rsid w:val="007C2A7A"/>
    <w:rsid w:val="007D19E7"/>
    <w:rsid w:val="007E6938"/>
    <w:rsid w:val="007F548C"/>
    <w:rsid w:val="007F7890"/>
    <w:rsid w:val="0080381B"/>
    <w:rsid w:val="00806373"/>
    <w:rsid w:val="00810615"/>
    <w:rsid w:val="008120BE"/>
    <w:rsid w:val="008154BC"/>
    <w:rsid w:val="00827443"/>
    <w:rsid w:val="00842B5D"/>
    <w:rsid w:val="00860C8B"/>
    <w:rsid w:val="00861923"/>
    <w:rsid w:val="008811E2"/>
    <w:rsid w:val="00882126"/>
    <w:rsid w:val="008838CA"/>
    <w:rsid w:val="00886922"/>
    <w:rsid w:val="00894203"/>
    <w:rsid w:val="008A4CD3"/>
    <w:rsid w:val="008A7097"/>
    <w:rsid w:val="008B1C51"/>
    <w:rsid w:val="008B4A3F"/>
    <w:rsid w:val="008B794A"/>
    <w:rsid w:val="008B7B9C"/>
    <w:rsid w:val="008C5E5D"/>
    <w:rsid w:val="008D02A7"/>
    <w:rsid w:val="008D2F75"/>
    <w:rsid w:val="008D6F02"/>
    <w:rsid w:val="008E5942"/>
    <w:rsid w:val="0090429E"/>
    <w:rsid w:val="00912986"/>
    <w:rsid w:val="00923CB8"/>
    <w:rsid w:val="00942EBD"/>
    <w:rsid w:val="0094320D"/>
    <w:rsid w:val="009556B0"/>
    <w:rsid w:val="00972A6C"/>
    <w:rsid w:val="009735FA"/>
    <w:rsid w:val="009A613C"/>
    <w:rsid w:val="009E5E12"/>
    <w:rsid w:val="00A04298"/>
    <w:rsid w:val="00A0552A"/>
    <w:rsid w:val="00A1048F"/>
    <w:rsid w:val="00A12EB3"/>
    <w:rsid w:val="00A14E2C"/>
    <w:rsid w:val="00A2605E"/>
    <w:rsid w:val="00A436AC"/>
    <w:rsid w:val="00A45461"/>
    <w:rsid w:val="00A62843"/>
    <w:rsid w:val="00A86047"/>
    <w:rsid w:val="00AB3F8A"/>
    <w:rsid w:val="00AC514F"/>
    <w:rsid w:val="00AC516E"/>
    <w:rsid w:val="00AE0F46"/>
    <w:rsid w:val="00B02033"/>
    <w:rsid w:val="00B43A07"/>
    <w:rsid w:val="00B45AFA"/>
    <w:rsid w:val="00B509D0"/>
    <w:rsid w:val="00B555CA"/>
    <w:rsid w:val="00B56869"/>
    <w:rsid w:val="00B674C9"/>
    <w:rsid w:val="00BC15AC"/>
    <w:rsid w:val="00BD4702"/>
    <w:rsid w:val="00BD6F14"/>
    <w:rsid w:val="00C269CA"/>
    <w:rsid w:val="00C5626A"/>
    <w:rsid w:val="00C737BD"/>
    <w:rsid w:val="00C92315"/>
    <w:rsid w:val="00C93C27"/>
    <w:rsid w:val="00C962BB"/>
    <w:rsid w:val="00CB30BD"/>
    <w:rsid w:val="00CC0B6F"/>
    <w:rsid w:val="00CD6447"/>
    <w:rsid w:val="00CD6712"/>
    <w:rsid w:val="00CE16A6"/>
    <w:rsid w:val="00CE5634"/>
    <w:rsid w:val="00D040FF"/>
    <w:rsid w:val="00D22054"/>
    <w:rsid w:val="00D22F0E"/>
    <w:rsid w:val="00D241E1"/>
    <w:rsid w:val="00D538F8"/>
    <w:rsid w:val="00D54A11"/>
    <w:rsid w:val="00D7015E"/>
    <w:rsid w:val="00D71CA1"/>
    <w:rsid w:val="00D758C2"/>
    <w:rsid w:val="00D94081"/>
    <w:rsid w:val="00D94C2B"/>
    <w:rsid w:val="00D96CCF"/>
    <w:rsid w:val="00DA37CB"/>
    <w:rsid w:val="00DA7BC9"/>
    <w:rsid w:val="00DB243C"/>
    <w:rsid w:val="00DC29E7"/>
    <w:rsid w:val="00DC4FB6"/>
    <w:rsid w:val="00DC7547"/>
    <w:rsid w:val="00DD4CAA"/>
    <w:rsid w:val="00E00CA6"/>
    <w:rsid w:val="00E0733F"/>
    <w:rsid w:val="00E11E0A"/>
    <w:rsid w:val="00E2360B"/>
    <w:rsid w:val="00E30E00"/>
    <w:rsid w:val="00E336BB"/>
    <w:rsid w:val="00E345C0"/>
    <w:rsid w:val="00E46841"/>
    <w:rsid w:val="00E60A45"/>
    <w:rsid w:val="00E767EC"/>
    <w:rsid w:val="00E909F7"/>
    <w:rsid w:val="00EA08F2"/>
    <w:rsid w:val="00EA1BE3"/>
    <w:rsid w:val="00EC0A90"/>
    <w:rsid w:val="00ED3C64"/>
    <w:rsid w:val="00EE19F9"/>
    <w:rsid w:val="00EE6F13"/>
    <w:rsid w:val="00F1624C"/>
    <w:rsid w:val="00F17993"/>
    <w:rsid w:val="00F236B0"/>
    <w:rsid w:val="00F42F1E"/>
    <w:rsid w:val="00F60FB1"/>
    <w:rsid w:val="00F65A65"/>
    <w:rsid w:val="00F71506"/>
    <w:rsid w:val="00F72212"/>
    <w:rsid w:val="00F82D34"/>
    <w:rsid w:val="00F9119C"/>
    <w:rsid w:val="00FC4B02"/>
    <w:rsid w:val="00FC5672"/>
    <w:rsid w:val="00FD607D"/>
    <w:rsid w:val="00FF103E"/>
    <w:rsid w:val="00FF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D8D1B"/>
  <w15:docId w15:val="{FD90BC03-8341-B342-8760-8882EF51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link w:val="Heading3Char"/>
    <w:qFormat/>
    <w:pPr>
      <w:keepNext/>
      <w:ind w:left="360"/>
      <w:jc w:val="center"/>
      <w:outlineLvl w:val="2"/>
    </w:pPr>
    <w:rPr>
      <w:b/>
      <w:bCs/>
      <w:sz w:val="24"/>
    </w:rPr>
  </w:style>
  <w:style w:type="paragraph" w:styleId="Heading4">
    <w:name w:val="heading 4"/>
    <w:basedOn w:val="Normal"/>
    <w:next w:val="Normal"/>
    <w:qFormat/>
    <w:pPr>
      <w:keepNext/>
      <w:outlineLvl w:val="3"/>
    </w:pPr>
    <w:rPr>
      <w:sz w:val="25"/>
      <w:u w:val="single"/>
    </w:rPr>
  </w:style>
  <w:style w:type="paragraph" w:styleId="Heading5">
    <w:name w:val="heading 5"/>
    <w:basedOn w:val="Normal"/>
    <w:next w:val="Normal"/>
    <w:qFormat/>
    <w:pPr>
      <w:keepNext/>
      <w:ind w:left="360"/>
      <w:outlineLvl w:val="4"/>
    </w:pPr>
    <w:rPr>
      <w:sz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link w:val="BodyText2Char"/>
    <w:rPr>
      <w:sz w:val="25"/>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itle">
    <w:name w:val="Title"/>
    <w:basedOn w:val="Normal"/>
    <w:qFormat/>
    <w:rsid w:val="0090429E"/>
    <w:pPr>
      <w:jc w:val="center"/>
    </w:pPr>
    <w:rPr>
      <w:b/>
      <w:sz w:val="25"/>
    </w:rPr>
  </w:style>
  <w:style w:type="character" w:customStyle="1" w:styleId="BodyTextChar">
    <w:name w:val="Body Text Char"/>
    <w:link w:val="BodyText"/>
    <w:rsid w:val="00A12EB3"/>
    <w:rPr>
      <w:sz w:val="22"/>
    </w:rPr>
  </w:style>
  <w:style w:type="character" w:customStyle="1" w:styleId="BodyText2Char">
    <w:name w:val="Body Text 2 Char"/>
    <w:link w:val="BodyText2"/>
    <w:rsid w:val="00A12EB3"/>
    <w:rPr>
      <w:sz w:val="25"/>
    </w:rPr>
  </w:style>
  <w:style w:type="paragraph" w:styleId="ListParagraph">
    <w:name w:val="List Paragraph"/>
    <w:basedOn w:val="Normal"/>
    <w:uiPriority w:val="34"/>
    <w:qFormat/>
    <w:rsid w:val="001D6068"/>
    <w:pPr>
      <w:ind w:left="720"/>
    </w:pPr>
  </w:style>
  <w:style w:type="paragraph" w:styleId="Header">
    <w:name w:val="header"/>
    <w:basedOn w:val="Normal"/>
    <w:link w:val="HeaderChar"/>
    <w:rsid w:val="008B794A"/>
    <w:pPr>
      <w:tabs>
        <w:tab w:val="center" w:pos="4680"/>
        <w:tab w:val="right" w:pos="9360"/>
      </w:tabs>
    </w:pPr>
  </w:style>
  <w:style w:type="character" w:customStyle="1" w:styleId="HeaderChar">
    <w:name w:val="Header Char"/>
    <w:basedOn w:val="DefaultParagraphFont"/>
    <w:link w:val="Header"/>
    <w:rsid w:val="008B794A"/>
  </w:style>
  <w:style w:type="paragraph" w:styleId="Footer">
    <w:name w:val="footer"/>
    <w:basedOn w:val="Normal"/>
    <w:link w:val="FooterChar"/>
    <w:rsid w:val="008B794A"/>
    <w:pPr>
      <w:tabs>
        <w:tab w:val="center" w:pos="4680"/>
        <w:tab w:val="right" w:pos="9360"/>
      </w:tabs>
    </w:pPr>
  </w:style>
  <w:style w:type="character" w:customStyle="1" w:styleId="FooterChar">
    <w:name w:val="Footer Char"/>
    <w:basedOn w:val="DefaultParagraphFont"/>
    <w:link w:val="Footer"/>
    <w:rsid w:val="008B794A"/>
  </w:style>
  <w:style w:type="character" w:customStyle="1" w:styleId="Heading3Char">
    <w:name w:val="Heading 3 Char"/>
    <w:link w:val="Heading3"/>
    <w:rsid w:val="007B607E"/>
    <w:rPr>
      <w:b/>
      <w:bCs/>
      <w:sz w:val="24"/>
    </w:rPr>
  </w:style>
  <w:style w:type="paragraph" w:styleId="NoSpacing">
    <w:name w:val="No Spacing"/>
    <w:uiPriority w:val="1"/>
    <w:qFormat/>
    <w:rsid w:val="00C962BB"/>
    <w:rPr>
      <w:rFonts w:ascii="Calibri" w:eastAsia="Calibri" w:hAnsi="Calibri" w:cs="Arial"/>
      <w:sz w:val="22"/>
      <w:szCs w:val="22"/>
    </w:rPr>
  </w:style>
  <w:style w:type="character" w:customStyle="1" w:styleId="FootnoteTextChar">
    <w:name w:val="Footnote Text Char"/>
    <w:link w:val="FootnoteText"/>
    <w:rsid w:val="00C962BB"/>
    <w:rPr>
      <w:lang w:eastAsia="en-US"/>
    </w:rPr>
  </w:style>
  <w:style w:type="paragraph" w:styleId="BalloonText">
    <w:name w:val="Balloon Text"/>
    <w:basedOn w:val="Normal"/>
    <w:link w:val="BalloonTextChar"/>
    <w:rsid w:val="003701C1"/>
    <w:rPr>
      <w:rFonts w:ascii="Tahoma" w:hAnsi="Tahoma" w:cs="Tahoma"/>
      <w:sz w:val="16"/>
      <w:szCs w:val="16"/>
    </w:rPr>
  </w:style>
  <w:style w:type="character" w:customStyle="1" w:styleId="BalloonTextChar">
    <w:name w:val="Balloon Text Char"/>
    <w:basedOn w:val="DefaultParagraphFont"/>
    <w:link w:val="BalloonText"/>
    <w:rsid w:val="003701C1"/>
    <w:rPr>
      <w:rFonts w:ascii="Tahoma" w:hAnsi="Tahoma" w:cs="Tahoma"/>
      <w:sz w:val="16"/>
      <w:szCs w:val="16"/>
    </w:rPr>
  </w:style>
  <w:style w:type="paragraph" w:styleId="Revision">
    <w:name w:val="Revision"/>
    <w:hidden/>
    <w:uiPriority w:val="99"/>
    <w:semiHidden/>
    <w:rsid w:val="00E60A45"/>
  </w:style>
  <w:style w:type="character" w:customStyle="1" w:styleId="apple-converted-space">
    <w:name w:val="apple-converted-space"/>
    <w:basedOn w:val="DefaultParagraphFont"/>
    <w:rsid w:val="004E3910"/>
  </w:style>
  <w:style w:type="paragraph" w:customStyle="1" w:styleId="blockquote">
    <w:name w:val="blockquote"/>
    <w:basedOn w:val="Normal"/>
    <w:rsid w:val="00D538F8"/>
    <w:pPr>
      <w:spacing w:before="100" w:beforeAutospacing="1" w:after="100" w:afterAutospacing="1"/>
    </w:pPr>
    <w:rPr>
      <w:sz w:val="24"/>
      <w:szCs w:val="24"/>
    </w:rPr>
  </w:style>
  <w:style w:type="character" w:customStyle="1" w:styleId="unlinked-ref">
    <w:name w:val="unlinked-ref"/>
    <w:basedOn w:val="DefaultParagraphFont"/>
    <w:rsid w:val="00D538F8"/>
  </w:style>
  <w:style w:type="paragraph" w:styleId="NormalWeb">
    <w:name w:val="Normal (Web)"/>
    <w:basedOn w:val="Normal"/>
    <w:uiPriority w:val="99"/>
    <w:unhideWhenUsed/>
    <w:rsid w:val="00D538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93510">
      <w:bodyDiv w:val="1"/>
      <w:marLeft w:val="0"/>
      <w:marRight w:val="0"/>
      <w:marTop w:val="0"/>
      <w:marBottom w:val="0"/>
      <w:divBdr>
        <w:top w:val="none" w:sz="0" w:space="0" w:color="auto"/>
        <w:left w:val="none" w:sz="0" w:space="0" w:color="auto"/>
        <w:bottom w:val="none" w:sz="0" w:space="0" w:color="auto"/>
        <w:right w:val="none" w:sz="0" w:space="0" w:color="auto"/>
      </w:divBdr>
    </w:div>
    <w:div w:id="548302908">
      <w:bodyDiv w:val="1"/>
      <w:marLeft w:val="0"/>
      <w:marRight w:val="0"/>
      <w:marTop w:val="0"/>
      <w:marBottom w:val="0"/>
      <w:divBdr>
        <w:top w:val="none" w:sz="0" w:space="0" w:color="auto"/>
        <w:left w:val="none" w:sz="0" w:space="0" w:color="auto"/>
        <w:bottom w:val="none" w:sz="0" w:space="0" w:color="auto"/>
        <w:right w:val="none" w:sz="0" w:space="0" w:color="auto"/>
      </w:divBdr>
    </w:div>
    <w:div w:id="19931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0F66D-05A5-455D-9D74-1E4A24C9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OF DISMISSAL</vt:lpstr>
    </vt:vector>
  </TitlesOfParts>
  <Company>DOE</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DISMISSAL</dc:title>
  <dc:creator>SKP</dc:creator>
  <cp:lastModifiedBy>Erlichman, Reece (ALA)</cp:lastModifiedBy>
  <cp:revision>2</cp:revision>
  <cp:lastPrinted>2020-01-07T21:32:00Z</cp:lastPrinted>
  <dcterms:created xsi:type="dcterms:W3CDTF">2021-05-06T20:29:00Z</dcterms:created>
  <dcterms:modified xsi:type="dcterms:W3CDTF">2021-05-06T20:29:00Z</dcterms:modified>
</cp:coreProperties>
</file>