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82D48" w14:textId="77777777" w:rsidR="005E47F3" w:rsidRPr="0086100D" w:rsidRDefault="005E47F3" w:rsidP="005E47F3">
      <w:pPr>
        <w:rPr>
          <w:b/>
          <w:bCs/>
          <w:color w:val="000000" w:themeColor="text1"/>
        </w:rPr>
      </w:pPr>
    </w:p>
    <w:p w14:paraId="6F3E05B0" w14:textId="77777777" w:rsidR="005E47F3" w:rsidRPr="0086100D" w:rsidRDefault="005E47F3" w:rsidP="005E47F3">
      <w:pPr>
        <w:pStyle w:val="NoSpacing"/>
        <w:jc w:val="center"/>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COMMONWEALTH OF MASSACHUSETTS</w:t>
      </w:r>
    </w:p>
    <w:p w14:paraId="396D1C4F" w14:textId="77777777" w:rsidR="005E47F3" w:rsidRPr="0086100D" w:rsidRDefault="005E47F3" w:rsidP="005E47F3">
      <w:pPr>
        <w:pStyle w:val="NoSpacing"/>
        <w:jc w:val="center"/>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DIVISION OF ADMINISTRATIVE LAW APPEALS</w:t>
      </w:r>
    </w:p>
    <w:p w14:paraId="29E3E7C7" w14:textId="77777777" w:rsidR="005E47F3" w:rsidRPr="0086100D" w:rsidRDefault="005E47F3" w:rsidP="005E47F3">
      <w:pPr>
        <w:pStyle w:val="NoSpacing"/>
        <w:jc w:val="center"/>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BUREAU OF SPECIAL EDUCATION APPEALS</w:t>
      </w:r>
    </w:p>
    <w:p w14:paraId="273F9868" w14:textId="77777777" w:rsidR="005E47F3" w:rsidRPr="0086100D" w:rsidRDefault="005E47F3" w:rsidP="005E47F3">
      <w:pPr>
        <w:pStyle w:val="NoSpacing"/>
        <w:tabs>
          <w:tab w:val="left" w:pos="5446"/>
        </w:tabs>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ab/>
      </w:r>
    </w:p>
    <w:p w14:paraId="4DC6A2D3" w14:textId="56B9BB5D" w:rsidR="005E47F3" w:rsidRPr="0086100D" w:rsidRDefault="005E47F3" w:rsidP="005E47F3">
      <w:pPr>
        <w:pStyle w:val="NoSpacing"/>
        <w:tabs>
          <w:tab w:val="left" w:pos="5446"/>
        </w:tabs>
        <w:rPr>
          <w:rFonts w:ascii="Times New Roman" w:hAnsi="Times New Roman" w:cs="Times New Roman"/>
          <w:b/>
          <w:bCs/>
          <w:color w:val="000000" w:themeColor="text1"/>
          <w:sz w:val="24"/>
          <w:szCs w:val="24"/>
        </w:rPr>
      </w:pPr>
    </w:p>
    <w:p w14:paraId="586158B6" w14:textId="77777777" w:rsidR="005E47F3" w:rsidRPr="0086100D" w:rsidRDefault="005E47F3" w:rsidP="005E47F3">
      <w:pPr>
        <w:pStyle w:val="NoSpacing"/>
        <w:rPr>
          <w:rFonts w:ascii="Times New Roman" w:hAnsi="Times New Roman" w:cs="Times New Roman"/>
          <w:b/>
          <w:bCs/>
          <w:color w:val="000000" w:themeColor="text1"/>
          <w:sz w:val="24"/>
          <w:szCs w:val="24"/>
        </w:rPr>
      </w:pPr>
    </w:p>
    <w:p w14:paraId="299512B7" w14:textId="70F4D422" w:rsidR="005E47F3" w:rsidRPr="0086100D" w:rsidRDefault="005E47F3" w:rsidP="005E47F3">
      <w:pPr>
        <w:pStyle w:val="NoSpacing"/>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In Re:</w:t>
      </w:r>
      <w:r w:rsidRPr="0086100D">
        <w:rPr>
          <w:rFonts w:ascii="Times New Roman" w:hAnsi="Times New Roman" w:cs="Times New Roman"/>
          <w:b/>
          <w:bCs/>
          <w:color w:val="000000" w:themeColor="text1"/>
          <w:sz w:val="24"/>
          <w:szCs w:val="24"/>
        </w:rPr>
        <w:tab/>
        <w:t xml:space="preserve"> Student v. Lawrence Public Schools</w:t>
      </w:r>
      <w:r w:rsidR="00E02E85">
        <w:rPr>
          <w:rFonts w:ascii="Times New Roman" w:hAnsi="Times New Roman" w:cs="Times New Roman"/>
          <w:b/>
          <w:bCs/>
          <w:color w:val="000000" w:themeColor="text1"/>
          <w:sz w:val="24"/>
          <w:szCs w:val="24"/>
        </w:rPr>
        <w:t xml:space="preserve"> and DESE</w:t>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r w:rsidRPr="0086100D">
        <w:rPr>
          <w:rFonts w:ascii="Times New Roman" w:hAnsi="Times New Roman" w:cs="Times New Roman"/>
          <w:b/>
          <w:bCs/>
          <w:color w:val="000000" w:themeColor="text1"/>
          <w:sz w:val="24"/>
          <w:szCs w:val="24"/>
        </w:rPr>
        <w:tab/>
      </w:r>
    </w:p>
    <w:p w14:paraId="56FBACBA" w14:textId="77777777" w:rsidR="005E47F3" w:rsidRPr="0086100D" w:rsidRDefault="005E47F3" w:rsidP="005E47F3">
      <w:pPr>
        <w:pStyle w:val="NoSpacing"/>
        <w:ind w:left="5760" w:firstLine="720"/>
        <w:rPr>
          <w:rFonts w:ascii="Times New Roman" w:hAnsi="Times New Roman" w:cs="Times New Roman"/>
          <w:b/>
          <w:bCs/>
          <w:color w:val="000000" w:themeColor="text1"/>
          <w:sz w:val="24"/>
          <w:szCs w:val="24"/>
        </w:rPr>
      </w:pPr>
      <w:r w:rsidRPr="0086100D">
        <w:rPr>
          <w:rFonts w:ascii="Times New Roman" w:hAnsi="Times New Roman" w:cs="Times New Roman"/>
          <w:b/>
          <w:bCs/>
          <w:color w:val="000000" w:themeColor="text1"/>
          <w:sz w:val="24"/>
          <w:szCs w:val="24"/>
        </w:rPr>
        <w:t>BSEA #  2107071</w:t>
      </w:r>
    </w:p>
    <w:p w14:paraId="101E48E5" w14:textId="77777777" w:rsidR="005E47F3" w:rsidRPr="0086100D" w:rsidRDefault="005E47F3" w:rsidP="005E47F3">
      <w:pPr>
        <w:jc w:val="center"/>
        <w:rPr>
          <w:b/>
          <w:bCs/>
          <w:color w:val="000000" w:themeColor="text1"/>
          <w:u w:val="single"/>
        </w:rPr>
      </w:pPr>
    </w:p>
    <w:p w14:paraId="24536D69" w14:textId="4C0602F3" w:rsidR="00B128F9" w:rsidRPr="0086100D" w:rsidRDefault="005E47F3" w:rsidP="00F21186">
      <w:pPr>
        <w:jc w:val="center"/>
        <w:rPr>
          <w:b/>
          <w:bCs/>
          <w:color w:val="000000" w:themeColor="text1"/>
          <w:u w:val="single"/>
        </w:rPr>
      </w:pPr>
      <w:r w:rsidRPr="0086100D">
        <w:rPr>
          <w:b/>
          <w:bCs/>
          <w:color w:val="000000" w:themeColor="text1"/>
          <w:u w:val="single"/>
        </w:rPr>
        <w:t>RULING ON LAWRENCE PUBLIC SCHOOLS’ MOTION TO CHALLENEGE THE SUFFICIENCY</w:t>
      </w:r>
      <w:r w:rsidR="0092606B">
        <w:rPr>
          <w:b/>
          <w:bCs/>
          <w:color w:val="000000" w:themeColor="text1"/>
          <w:u w:val="single"/>
        </w:rPr>
        <w:t xml:space="preserve"> </w:t>
      </w:r>
      <w:r w:rsidRPr="0086100D">
        <w:rPr>
          <w:b/>
          <w:bCs/>
          <w:color w:val="000000" w:themeColor="text1"/>
          <w:u w:val="single"/>
        </w:rPr>
        <w:t xml:space="preserve"> </w:t>
      </w:r>
      <w:r w:rsidR="0092606B">
        <w:rPr>
          <w:b/>
          <w:bCs/>
          <w:color w:val="000000" w:themeColor="text1"/>
          <w:u w:val="single"/>
        </w:rPr>
        <w:t>OF THE HEARING REQUEST</w:t>
      </w:r>
    </w:p>
    <w:p w14:paraId="76B6B93C" w14:textId="77777777" w:rsidR="00EA5D68" w:rsidRPr="0086100D" w:rsidRDefault="005E47F3" w:rsidP="00875915">
      <w:pPr>
        <w:spacing w:before="100" w:beforeAutospacing="1" w:after="100" w:afterAutospacing="1"/>
        <w:rPr>
          <w:color w:val="000000" w:themeColor="text1"/>
        </w:rPr>
      </w:pPr>
      <w:r w:rsidRPr="0086100D">
        <w:rPr>
          <w:color w:val="000000" w:themeColor="text1"/>
        </w:rPr>
        <w:t xml:space="preserve">This matter comes before the Hearing Officer on the Lawrence Public Schools’ (District) </w:t>
      </w:r>
      <w:r w:rsidRPr="0086100D">
        <w:rPr>
          <w:i/>
          <w:iCs/>
          <w:color w:val="000000" w:themeColor="text1"/>
        </w:rPr>
        <w:t>Motion to Remove Hearing Request from Accelerated Status, Partial Motion to Dismiss for Lack of Jurisdiction and/or Failure to State a Claim, and Motion to Challenge the Sufficiency on any Remaining Claim</w:t>
      </w:r>
      <w:r w:rsidRPr="0086100D">
        <w:rPr>
          <w:color w:val="000000" w:themeColor="text1"/>
        </w:rPr>
        <w:t xml:space="preserve"> (</w:t>
      </w:r>
      <w:r w:rsidRPr="0086100D">
        <w:rPr>
          <w:i/>
          <w:iCs/>
          <w:color w:val="000000" w:themeColor="text1"/>
        </w:rPr>
        <w:t>Motion</w:t>
      </w:r>
      <w:r w:rsidRPr="0086100D">
        <w:rPr>
          <w:color w:val="000000" w:themeColor="text1"/>
        </w:rPr>
        <w:t xml:space="preserve">) which was filed with the BSEA on March 25, 2020.  </w:t>
      </w:r>
      <w:r w:rsidR="00EA00BD" w:rsidRPr="0086100D">
        <w:rPr>
          <w:color w:val="000000" w:themeColor="text1"/>
        </w:rPr>
        <w:t xml:space="preserve"> </w:t>
      </w:r>
    </w:p>
    <w:p w14:paraId="0647F06D" w14:textId="342D0A64" w:rsidR="005E47F3" w:rsidRPr="0086100D" w:rsidRDefault="005F04BE" w:rsidP="00EA5D68">
      <w:pPr>
        <w:spacing w:before="100" w:beforeAutospacing="1" w:after="100" w:afterAutospacing="1"/>
        <w:rPr>
          <w:color w:val="000000" w:themeColor="text1"/>
        </w:rPr>
      </w:pPr>
      <w:r w:rsidRPr="0086100D">
        <w:rPr>
          <w:color w:val="000000" w:themeColor="text1"/>
        </w:rPr>
        <w:t xml:space="preserve">This Ruling addresses the challenge to the Hearing Request’s sufficiency </w:t>
      </w:r>
      <w:r w:rsidRPr="0086100D">
        <w:rPr>
          <w:color w:val="000000" w:themeColor="text1"/>
          <w:u w:val="single"/>
        </w:rPr>
        <w:t>only</w:t>
      </w:r>
      <w:r w:rsidRPr="0086100D">
        <w:rPr>
          <w:color w:val="000000" w:themeColor="text1"/>
        </w:rPr>
        <w:t>.</w:t>
      </w:r>
      <w:r w:rsidR="00EA5D68" w:rsidRPr="0086100D">
        <w:rPr>
          <w:color w:val="000000" w:themeColor="text1"/>
        </w:rPr>
        <w:t xml:space="preserve"> </w:t>
      </w:r>
      <w:r w:rsidR="005E47F3" w:rsidRPr="0086100D">
        <w:rPr>
          <w:color w:val="000000" w:themeColor="text1"/>
        </w:rPr>
        <w:t xml:space="preserve">For the reasons set forth below, the District’s </w:t>
      </w:r>
      <w:r w:rsidR="005E47F3" w:rsidRPr="0086100D">
        <w:rPr>
          <w:i/>
          <w:iCs/>
          <w:color w:val="000000" w:themeColor="text1"/>
        </w:rPr>
        <w:t xml:space="preserve">Motion </w:t>
      </w:r>
      <w:r w:rsidR="005E47F3" w:rsidRPr="0086100D">
        <w:rPr>
          <w:color w:val="000000" w:themeColor="text1"/>
        </w:rPr>
        <w:t xml:space="preserve">is hereby </w:t>
      </w:r>
      <w:r w:rsidR="005E47F3" w:rsidRPr="0086100D">
        <w:rPr>
          <w:b/>
          <w:bCs/>
          <w:color w:val="000000" w:themeColor="text1"/>
        </w:rPr>
        <w:t>DENIED</w:t>
      </w:r>
      <w:r w:rsidR="005E47F3" w:rsidRPr="0086100D">
        <w:rPr>
          <w:color w:val="000000" w:themeColor="text1"/>
        </w:rPr>
        <w:t xml:space="preserve">.  </w:t>
      </w:r>
    </w:p>
    <w:p w14:paraId="13B0EFD1" w14:textId="77777777" w:rsidR="000C453B" w:rsidRPr="0086100D" w:rsidRDefault="005E47F3" w:rsidP="000C453B">
      <w:pPr>
        <w:rPr>
          <w:b/>
          <w:bCs/>
          <w:color w:val="000000" w:themeColor="text1"/>
        </w:rPr>
      </w:pPr>
      <w:r w:rsidRPr="0086100D">
        <w:rPr>
          <w:b/>
          <w:bCs/>
          <w:color w:val="000000" w:themeColor="text1"/>
        </w:rPr>
        <w:t>RELEVANT PROCEDURAL HISTORY:</w:t>
      </w:r>
    </w:p>
    <w:p w14:paraId="012B595E" w14:textId="77777777" w:rsidR="0082043B" w:rsidRPr="0086100D" w:rsidRDefault="0082043B" w:rsidP="0082043B">
      <w:pPr>
        <w:pStyle w:val="paragraph"/>
        <w:spacing w:before="0" w:beforeAutospacing="0" w:after="0" w:afterAutospacing="0"/>
        <w:textAlignment w:val="baseline"/>
        <w:rPr>
          <w:color w:val="000000" w:themeColor="text1"/>
        </w:rPr>
      </w:pPr>
    </w:p>
    <w:p w14:paraId="3DB5DDFD" w14:textId="3096F225" w:rsidR="0082043B" w:rsidRPr="0086100D" w:rsidRDefault="005E47F3" w:rsidP="0082043B">
      <w:pPr>
        <w:pStyle w:val="paragraph"/>
        <w:spacing w:before="0" w:beforeAutospacing="0" w:after="0" w:afterAutospacing="0"/>
        <w:textAlignment w:val="baseline"/>
        <w:rPr>
          <w:color w:val="000000" w:themeColor="text1"/>
        </w:rPr>
      </w:pPr>
      <w:r w:rsidRPr="0086100D">
        <w:rPr>
          <w:color w:val="000000" w:themeColor="text1"/>
        </w:rPr>
        <w:t xml:space="preserve">On February 26, 2021, Parent filed a Hearing Request in the above-referenced matter.  </w:t>
      </w:r>
      <w:r w:rsidR="000C453B" w:rsidRPr="0086100D">
        <w:rPr>
          <w:color w:val="000000" w:themeColor="text1"/>
        </w:rPr>
        <w:t>In it she allege</w:t>
      </w:r>
      <w:r w:rsidR="000D5110" w:rsidRPr="0086100D">
        <w:rPr>
          <w:color w:val="000000" w:themeColor="text1"/>
        </w:rPr>
        <w:t>d</w:t>
      </w:r>
      <w:r w:rsidR="000C453B" w:rsidRPr="0086100D">
        <w:rPr>
          <w:color w:val="000000" w:themeColor="text1"/>
        </w:rPr>
        <w:t xml:space="preserve"> </w:t>
      </w:r>
      <w:r w:rsidR="003B2936" w:rsidRPr="0086100D">
        <w:rPr>
          <w:color w:val="000000" w:themeColor="text1"/>
        </w:rPr>
        <w:t xml:space="preserve">that </w:t>
      </w:r>
      <w:r w:rsidR="000C453B" w:rsidRPr="0086100D">
        <w:rPr>
          <w:rStyle w:val="eop"/>
          <w:color w:val="000000" w:themeColor="text1"/>
        </w:rPr>
        <w:t>Student</w:t>
      </w:r>
      <w:r w:rsidR="003B2936" w:rsidRPr="0086100D">
        <w:rPr>
          <w:rStyle w:val="eop"/>
          <w:color w:val="000000" w:themeColor="text1"/>
        </w:rPr>
        <w:t xml:space="preserve">, who </w:t>
      </w:r>
      <w:r w:rsidR="000C453B" w:rsidRPr="0086100D">
        <w:rPr>
          <w:rStyle w:val="eop"/>
          <w:color w:val="000000" w:themeColor="text1"/>
        </w:rPr>
        <w:t>is 19 year</w:t>
      </w:r>
      <w:r w:rsidR="002F371A" w:rsidRPr="0086100D">
        <w:rPr>
          <w:rStyle w:val="eop"/>
          <w:color w:val="000000" w:themeColor="text1"/>
        </w:rPr>
        <w:t>s</w:t>
      </w:r>
      <w:r w:rsidR="000C453B" w:rsidRPr="0086100D">
        <w:rPr>
          <w:rStyle w:val="eop"/>
          <w:color w:val="000000" w:themeColor="text1"/>
        </w:rPr>
        <w:t xml:space="preserve"> old</w:t>
      </w:r>
      <w:r w:rsidR="000A3B01" w:rsidRPr="0086100D">
        <w:rPr>
          <w:rStyle w:val="eop"/>
          <w:color w:val="000000" w:themeColor="text1"/>
        </w:rPr>
        <w:t>,</w:t>
      </w:r>
      <w:r w:rsidR="000C453B" w:rsidRPr="0086100D">
        <w:rPr>
          <w:rStyle w:val="eop"/>
          <w:color w:val="000000" w:themeColor="text1"/>
        </w:rPr>
        <w:t xml:space="preserve"> </w:t>
      </w:r>
      <w:r w:rsidR="000A3B01" w:rsidRPr="0086100D">
        <w:rPr>
          <w:rStyle w:val="eop"/>
          <w:color w:val="000000" w:themeColor="text1"/>
        </w:rPr>
        <w:t xml:space="preserve">has been </w:t>
      </w:r>
      <w:r w:rsidR="000C453B" w:rsidRPr="0086100D">
        <w:rPr>
          <w:rStyle w:val="eop"/>
          <w:color w:val="000000" w:themeColor="text1"/>
        </w:rPr>
        <w:t>resid</w:t>
      </w:r>
      <w:r w:rsidR="000A3B01" w:rsidRPr="0086100D">
        <w:rPr>
          <w:rStyle w:val="eop"/>
          <w:color w:val="000000" w:themeColor="text1"/>
        </w:rPr>
        <w:t>ing</w:t>
      </w:r>
      <w:r w:rsidR="000C453B" w:rsidRPr="0086100D">
        <w:rPr>
          <w:rStyle w:val="eop"/>
          <w:color w:val="000000" w:themeColor="text1"/>
        </w:rPr>
        <w:t xml:space="preserve"> in</w:t>
      </w:r>
      <w:r w:rsidR="003B2936" w:rsidRPr="0086100D">
        <w:rPr>
          <w:rStyle w:val="eop"/>
          <w:color w:val="000000" w:themeColor="text1"/>
        </w:rPr>
        <w:t xml:space="preserve"> Lawrence, MA since June 2020</w:t>
      </w:r>
      <w:r w:rsidR="00447130" w:rsidRPr="0086100D">
        <w:rPr>
          <w:rStyle w:val="eop"/>
          <w:color w:val="000000" w:themeColor="text1"/>
        </w:rPr>
        <w:t xml:space="preserve"> but </w:t>
      </w:r>
      <w:r w:rsidR="000173D1" w:rsidRPr="0086100D">
        <w:rPr>
          <w:rStyle w:val="eop"/>
          <w:color w:val="000000" w:themeColor="text1"/>
        </w:rPr>
        <w:t xml:space="preserve">has </w:t>
      </w:r>
      <w:r w:rsidR="00447130" w:rsidRPr="0086100D">
        <w:rPr>
          <w:rStyle w:val="eop"/>
          <w:color w:val="000000" w:themeColor="text1"/>
        </w:rPr>
        <w:t xml:space="preserve">not </w:t>
      </w:r>
      <w:r w:rsidR="000173D1" w:rsidRPr="0086100D">
        <w:rPr>
          <w:rStyle w:val="eop"/>
          <w:color w:val="000000" w:themeColor="text1"/>
        </w:rPr>
        <w:t>been</w:t>
      </w:r>
      <w:r w:rsidR="003B2936" w:rsidRPr="0086100D">
        <w:rPr>
          <w:rStyle w:val="eop"/>
          <w:color w:val="000000" w:themeColor="text1"/>
        </w:rPr>
        <w:t xml:space="preserve"> receiving special education and related services in accordance with his IEP from Puerto Rico.</w:t>
      </w:r>
      <w:r w:rsidR="00D94604" w:rsidRPr="0086100D">
        <w:rPr>
          <w:rStyle w:val="eop"/>
          <w:color w:val="000000" w:themeColor="text1"/>
        </w:rPr>
        <w:t xml:space="preserve"> She also allege</w:t>
      </w:r>
      <w:r w:rsidR="000D5110" w:rsidRPr="0086100D">
        <w:rPr>
          <w:rStyle w:val="eop"/>
          <w:color w:val="000000" w:themeColor="text1"/>
        </w:rPr>
        <w:t>d</w:t>
      </w:r>
      <w:r w:rsidR="00D94604" w:rsidRPr="0086100D">
        <w:rPr>
          <w:rStyle w:val="eop"/>
          <w:color w:val="000000" w:themeColor="text1"/>
        </w:rPr>
        <w:t xml:space="preserve"> </w:t>
      </w:r>
      <w:r w:rsidR="002959DB" w:rsidRPr="0086100D">
        <w:rPr>
          <w:rStyle w:val="eop"/>
          <w:color w:val="000000" w:themeColor="text1"/>
        </w:rPr>
        <w:t xml:space="preserve">that the District has not evaluated Student and that </w:t>
      </w:r>
      <w:r w:rsidR="00D94604" w:rsidRPr="0086100D">
        <w:rPr>
          <w:rStyle w:val="eop"/>
          <w:color w:val="000000" w:themeColor="text1"/>
        </w:rPr>
        <w:t xml:space="preserve">his program </w:t>
      </w:r>
      <w:r w:rsidR="002959DB" w:rsidRPr="0086100D">
        <w:rPr>
          <w:rStyle w:val="eop"/>
          <w:color w:val="000000" w:themeColor="text1"/>
        </w:rPr>
        <w:t>does not offer him a FAPE</w:t>
      </w:r>
      <w:r w:rsidR="0082043B" w:rsidRPr="0086100D">
        <w:rPr>
          <w:rStyle w:val="normaltextrun"/>
          <w:color w:val="000000" w:themeColor="text1"/>
        </w:rPr>
        <w:t xml:space="preserve">. Parent asked for </w:t>
      </w:r>
      <w:r w:rsidR="000D5110" w:rsidRPr="0086100D">
        <w:rPr>
          <w:rStyle w:val="normaltextrun"/>
          <w:color w:val="000000" w:themeColor="text1"/>
        </w:rPr>
        <w:t>relief</w:t>
      </w:r>
      <w:r w:rsidR="00EA5D68" w:rsidRPr="0086100D">
        <w:rPr>
          <w:rStyle w:val="normaltextrun"/>
          <w:color w:val="000000" w:themeColor="text1"/>
        </w:rPr>
        <w:t xml:space="preserve"> as follows</w:t>
      </w:r>
      <w:r w:rsidR="0082043B" w:rsidRPr="0086100D">
        <w:rPr>
          <w:rStyle w:val="normaltextrun"/>
          <w:color w:val="000000" w:themeColor="text1"/>
        </w:rPr>
        <w:t xml:space="preserve">: </w:t>
      </w:r>
    </w:p>
    <w:p w14:paraId="0511F5AD" w14:textId="77777777" w:rsidR="0082043B" w:rsidRPr="0086100D" w:rsidRDefault="0082043B" w:rsidP="0082043B">
      <w:pPr>
        <w:pStyle w:val="paragraph"/>
        <w:numPr>
          <w:ilvl w:val="1"/>
          <w:numId w:val="9"/>
        </w:numPr>
        <w:spacing w:before="0" w:beforeAutospacing="0" w:after="0" w:afterAutospacing="0"/>
        <w:textAlignment w:val="baseline"/>
        <w:rPr>
          <w:color w:val="000000" w:themeColor="text1"/>
        </w:rPr>
      </w:pPr>
      <w:r w:rsidRPr="0086100D">
        <w:rPr>
          <w:rStyle w:val="normaltextrun"/>
          <w:color w:val="000000" w:themeColor="text1"/>
        </w:rPr>
        <w:t>“200,000 dollars for all of the mistreatment, abuse of power, discrimination, emotional damage, and mismanagement</w:t>
      </w:r>
      <w:r w:rsidRPr="0086100D">
        <w:rPr>
          <w:rStyle w:val="apple-converted-space"/>
          <w:color w:val="000000" w:themeColor="text1"/>
        </w:rPr>
        <w:t> </w:t>
      </w:r>
      <w:r w:rsidRPr="0086100D">
        <w:rPr>
          <w:rStyle w:val="normaltextrun"/>
          <w:color w:val="000000" w:themeColor="text1"/>
        </w:rPr>
        <w:t>of the case”;</w:t>
      </w:r>
      <w:r w:rsidRPr="0086100D">
        <w:rPr>
          <w:rStyle w:val="tabchar"/>
          <w:color w:val="000000" w:themeColor="text1"/>
        </w:rPr>
        <w:t xml:space="preserve"> </w:t>
      </w:r>
      <w:r w:rsidRPr="0086100D">
        <w:rPr>
          <w:rStyle w:val="eop"/>
          <w:color w:val="000000" w:themeColor="text1"/>
        </w:rPr>
        <w:t> </w:t>
      </w:r>
    </w:p>
    <w:p w14:paraId="1D0A9B42" w14:textId="65F9D27E" w:rsidR="0082043B" w:rsidRPr="0086100D" w:rsidRDefault="0092606B" w:rsidP="0082043B">
      <w:pPr>
        <w:pStyle w:val="paragraph"/>
        <w:numPr>
          <w:ilvl w:val="1"/>
          <w:numId w:val="9"/>
        </w:numPr>
        <w:spacing w:before="0" w:beforeAutospacing="0" w:after="0" w:afterAutospacing="0"/>
        <w:textAlignment w:val="baseline"/>
        <w:rPr>
          <w:color w:val="000000" w:themeColor="text1"/>
        </w:rPr>
      </w:pPr>
      <w:r>
        <w:rPr>
          <w:rStyle w:val="normaltextrun"/>
          <w:color w:val="000000" w:themeColor="text1"/>
        </w:rPr>
        <w:t>t</w:t>
      </w:r>
      <w:r w:rsidR="0082043B" w:rsidRPr="0086100D">
        <w:rPr>
          <w:rStyle w:val="normaltextrun"/>
          <w:color w:val="000000" w:themeColor="text1"/>
        </w:rPr>
        <w:t>hat “the Department of Education take responsibility</w:t>
      </w:r>
      <w:r w:rsidR="0082043B" w:rsidRPr="0086100D">
        <w:rPr>
          <w:rStyle w:val="apple-converted-space"/>
          <w:color w:val="000000" w:themeColor="text1"/>
        </w:rPr>
        <w:t> </w:t>
      </w:r>
      <w:r w:rsidR="0082043B" w:rsidRPr="0086100D">
        <w:rPr>
          <w:rStyle w:val="normaltextrun"/>
          <w:color w:val="000000" w:themeColor="text1"/>
        </w:rPr>
        <w:t>for offering [Student] a fair and appropriate education with all services</w:t>
      </w:r>
      <w:r w:rsidR="0082043B" w:rsidRPr="0086100D">
        <w:rPr>
          <w:rStyle w:val="apple-converted-space"/>
          <w:color w:val="000000" w:themeColor="text1"/>
        </w:rPr>
        <w:t> </w:t>
      </w:r>
      <w:r w:rsidR="0082043B" w:rsidRPr="0086100D">
        <w:rPr>
          <w:rStyle w:val="normaltextrun"/>
          <w:color w:val="000000" w:themeColor="text1"/>
        </w:rPr>
        <w:t>in a timely manner</w:t>
      </w:r>
      <w:r w:rsidR="0082043B" w:rsidRPr="0086100D">
        <w:rPr>
          <w:rStyle w:val="apple-converted-space"/>
          <w:color w:val="000000" w:themeColor="text1"/>
        </w:rPr>
        <w:t> </w:t>
      </w:r>
      <w:r w:rsidR="0082043B" w:rsidRPr="0086100D">
        <w:rPr>
          <w:rStyle w:val="normaltextrun"/>
          <w:color w:val="000000" w:themeColor="text1"/>
        </w:rPr>
        <w:t>and with all of the benefits that correspond to him”;</w:t>
      </w:r>
    </w:p>
    <w:p w14:paraId="3AF2E94D" w14:textId="3C0D1F77" w:rsidR="0082043B" w:rsidRPr="0086100D" w:rsidRDefault="0092606B" w:rsidP="0082043B">
      <w:pPr>
        <w:pStyle w:val="paragraph"/>
        <w:numPr>
          <w:ilvl w:val="1"/>
          <w:numId w:val="9"/>
        </w:numPr>
        <w:spacing w:before="0" w:beforeAutospacing="0" w:after="0" w:afterAutospacing="0"/>
        <w:textAlignment w:val="baseline"/>
        <w:rPr>
          <w:color w:val="000000" w:themeColor="text1"/>
        </w:rPr>
      </w:pPr>
      <w:r>
        <w:rPr>
          <w:rStyle w:val="eop"/>
          <w:color w:val="000000" w:themeColor="text1"/>
        </w:rPr>
        <w:t>t</w:t>
      </w:r>
      <w:r w:rsidR="0082043B" w:rsidRPr="0086100D">
        <w:rPr>
          <w:rStyle w:val="eop"/>
          <w:color w:val="000000" w:themeColor="text1"/>
        </w:rPr>
        <w:t>hat “</w:t>
      </w:r>
      <w:r w:rsidR="0082043B" w:rsidRPr="0086100D">
        <w:rPr>
          <w:rStyle w:val="normaltextrun"/>
          <w:color w:val="000000" w:themeColor="text1"/>
        </w:rPr>
        <w:t>the Department of Education take responsibility if for some reason or another the student is not able to complete the fourth year of high school (12</w:t>
      </w:r>
      <w:r w:rsidR="0082043B" w:rsidRPr="0086100D">
        <w:rPr>
          <w:rStyle w:val="normaltextrun"/>
          <w:color w:val="000000" w:themeColor="text1"/>
          <w:vertAlign w:val="superscript"/>
        </w:rPr>
        <w:t>th</w:t>
      </w:r>
      <w:r w:rsidR="0082043B" w:rsidRPr="0086100D">
        <w:rPr>
          <w:rStyle w:val="apple-converted-space"/>
          <w:color w:val="000000" w:themeColor="text1"/>
        </w:rPr>
        <w:t> </w:t>
      </w:r>
      <w:r w:rsidR="0082043B" w:rsidRPr="0086100D">
        <w:rPr>
          <w:rStyle w:val="normaltextrun"/>
          <w:color w:val="000000" w:themeColor="text1"/>
        </w:rPr>
        <w:t>grade) before 21 or 22 years of age, the Department of Education</w:t>
      </w:r>
      <w:r w:rsidR="0082043B" w:rsidRPr="0086100D">
        <w:rPr>
          <w:rStyle w:val="apple-converted-space"/>
          <w:color w:val="000000" w:themeColor="text1"/>
        </w:rPr>
        <w:t> </w:t>
      </w:r>
      <w:r w:rsidR="0082043B" w:rsidRPr="0086100D">
        <w:rPr>
          <w:rStyle w:val="normaltextrun"/>
          <w:color w:val="000000" w:themeColor="text1"/>
        </w:rPr>
        <w:t>should be required</w:t>
      </w:r>
      <w:r w:rsidR="0082043B" w:rsidRPr="0086100D">
        <w:rPr>
          <w:rStyle w:val="apple-converted-space"/>
          <w:color w:val="000000" w:themeColor="text1"/>
        </w:rPr>
        <w:t> </w:t>
      </w:r>
      <w:r w:rsidR="0082043B" w:rsidRPr="0086100D">
        <w:rPr>
          <w:rStyle w:val="normaltextrun"/>
          <w:color w:val="000000" w:themeColor="text1"/>
        </w:rPr>
        <w:t>to continue providing him his classes and studies with all of his special education services and assistance until he</w:t>
      </w:r>
      <w:r w:rsidR="0082043B" w:rsidRPr="0086100D">
        <w:rPr>
          <w:rStyle w:val="apple-converted-space"/>
          <w:color w:val="000000" w:themeColor="text1"/>
        </w:rPr>
        <w:t> </w:t>
      </w:r>
      <w:r w:rsidR="0082043B" w:rsidRPr="0086100D">
        <w:rPr>
          <w:rStyle w:val="normaltextrun"/>
          <w:color w:val="000000" w:themeColor="text1"/>
        </w:rPr>
        <w:t>goes to</w:t>
      </w:r>
      <w:r w:rsidR="0082043B" w:rsidRPr="0086100D">
        <w:rPr>
          <w:rStyle w:val="apple-converted-space"/>
          <w:color w:val="000000" w:themeColor="text1"/>
        </w:rPr>
        <w:t> </w:t>
      </w:r>
      <w:r w:rsidR="0082043B" w:rsidRPr="0086100D">
        <w:rPr>
          <w:rStyle w:val="normaltextrun"/>
          <w:color w:val="000000" w:themeColor="text1"/>
        </w:rPr>
        <w:t>or finishes 12</w:t>
      </w:r>
      <w:r w:rsidR="0082043B" w:rsidRPr="0086100D">
        <w:rPr>
          <w:rStyle w:val="normaltextrun"/>
          <w:color w:val="000000" w:themeColor="text1"/>
          <w:vertAlign w:val="superscript"/>
        </w:rPr>
        <w:t>th</w:t>
      </w:r>
      <w:r w:rsidR="0082043B" w:rsidRPr="0086100D">
        <w:rPr>
          <w:rStyle w:val="apple-converted-space"/>
          <w:color w:val="000000" w:themeColor="text1"/>
        </w:rPr>
        <w:t> </w:t>
      </w:r>
      <w:r w:rsidR="0082043B" w:rsidRPr="0086100D">
        <w:rPr>
          <w:rStyle w:val="normaltextrun"/>
          <w:color w:val="000000" w:themeColor="text1"/>
        </w:rPr>
        <w:t>grade and</w:t>
      </w:r>
      <w:r w:rsidR="0082043B" w:rsidRPr="0086100D">
        <w:rPr>
          <w:rStyle w:val="apple-converted-space"/>
          <w:color w:val="000000" w:themeColor="text1"/>
        </w:rPr>
        <w:t> </w:t>
      </w:r>
      <w:r w:rsidR="0082043B" w:rsidRPr="0086100D">
        <w:rPr>
          <w:rStyle w:val="normaltextrun"/>
          <w:color w:val="000000" w:themeColor="text1"/>
        </w:rPr>
        <w:t>goes to</w:t>
      </w:r>
      <w:r w:rsidR="0082043B" w:rsidRPr="0086100D">
        <w:rPr>
          <w:rStyle w:val="apple-converted-space"/>
          <w:color w:val="000000" w:themeColor="text1"/>
        </w:rPr>
        <w:t> </w:t>
      </w:r>
      <w:r w:rsidR="0082043B" w:rsidRPr="0086100D">
        <w:rPr>
          <w:rStyle w:val="normaltextrun"/>
          <w:color w:val="000000" w:themeColor="text1"/>
        </w:rPr>
        <w:t>university”;</w:t>
      </w:r>
      <w:r w:rsidR="0082043B" w:rsidRPr="0086100D">
        <w:rPr>
          <w:rStyle w:val="eop"/>
          <w:color w:val="000000" w:themeColor="text1"/>
        </w:rPr>
        <w:t> </w:t>
      </w:r>
    </w:p>
    <w:p w14:paraId="13ECFCE7" w14:textId="5E7CDD17" w:rsidR="0082043B" w:rsidRPr="0086100D" w:rsidRDefault="0092606B" w:rsidP="0082043B">
      <w:pPr>
        <w:pStyle w:val="paragraph"/>
        <w:numPr>
          <w:ilvl w:val="1"/>
          <w:numId w:val="9"/>
        </w:numPr>
        <w:spacing w:before="0" w:beforeAutospacing="0" w:after="0" w:afterAutospacing="0"/>
        <w:textAlignment w:val="baseline"/>
        <w:rPr>
          <w:color w:val="000000" w:themeColor="text1"/>
        </w:rPr>
      </w:pPr>
      <w:r>
        <w:rPr>
          <w:rStyle w:val="normaltextrun"/>
          <w:color w:val="000000" w:themeColor="text1"/>
        </w:rPr>
        <w:t>t</w:t>
      </w:r>
      <w:r w:rsidR="0082043B" w:rsidRPr="0086100D">
        <w:rPr>
          <w:rStyle w:val="normaltextrun"/>
          <w:color w:val="000000" w:themeColor="text1"/>
        </w:rPr>
        <w:t>hat “the Department of Education</w:t>
      </w:r>
      <w:r w:rsidR="0082043B" w:rsidRPr="0086100D">
        <w:rPr>
          <w:rStyle w:val="apple-converted-space"/>
          <w:color w:val="000000" w:themeColor="text1"/>
        </w:rPr>
        <w:t> </w:t>
      </w:r>
      <w:r w:rsidR="0082043B" w:rsidRPr="0086100D">
        <w:rPr>
          <w:rStyle w:val="normaltextrun"/>
          <w:color w:val="000000" w:themeColor="text1"/>
        </w:rPr>
        <w:t>make up</w:t>
      </w:r>
      <w:r w:rsidR="0082043B" w:rsidRPr="0086100D">
        <w:rPr>
          <w:rStyle w:val="apple-converted-space"/>
          <w:color w:val="000000" w:themeColor="text1"/>
        </w:rPr>
        <w:t> </w:t>
      </w:r>
      <w:r w:rsidR="0082043B" w:rsidRPr="0086100D">
        <w:rPr>
          <w:rStyle w:val="normaltextrun"/>
          <w:color w:val="000000" w:themeColor="text1"/>
        </w:rPr>
        <w:t>for the psychological, occupational therapy times that have not been offered to the student since he entered Lawrence High School, and order all</w:t>
      </w:r>
      <w:r w:rsidR="0082043B" w:rsidRPr="0086100D">
        <w:rPr>
          <w:rStyle w:val="apple-converted-space"/>
          <w:color w:val="000000" w:themeColor="text1"/>
        </w:rPr>
        <w:t> </w:t>
      </w:r>
      <w:r w:rsidR="0082043B" w:rsidRPr="0086100D">
        <w:rPr>
          <w:rStyle w:val="normaltextrun"/>
          <w:color w:val="000000" w:themeColor="text1"/>
        </w:rPr>
        <w:t>of the</w:t>
      </w:r>
      <w:r w:rsidR="0082043B" w:rsidRPr="0086100D">
        <w:rPr>
          <w:rStyle w:val="apple-converted-space"/>
          <w:color w:val="000000" w:themeColor="text1"/>
        </w:rPr>
        <w:t> </w:t>
      </w:r>
      <w:r w:rsidR="0082043B" w:rsidRPr="0086100D">
        <w:rPr>
          <w:rStyle w:val="normaltextrun"/>
          <w:color w:val="000000" w:themeColor="text1"/>
        </w:rPr>
        <w:t>types of evaluations that the student needs”;</w:t>
      </w:r>
    </w:p>
    <w:p w14:paraId="05AED9CD" w14:textId="773A926B" w:rsidR="0082043B" w:rsidRPr="0086100D" w:rsidRDefault="0092606B" w:rsidP="0082043B">
      <w:pPr>
        <w:pStyle w:val="paragraph"/>
        <w:numPr>
          <w:ilvl w:val="1"/>
          <w:numId w:val="9"/>
        </w:numPr>
        <w:spacing w:before="0" w:beforeAutospacing="0" w:after="0" w:afterAutospacing="0"/>
        <w:textAlignment w:val="baseline"/>
        <w:rPr>
          <w:color w:val="000000" w:themeColor="text1"/>
        </w:rPr>
      </w:pPr>
      <w:r>
        <w:rPr>
          <w:rStyle w:val="normaltextrun"/>
          <w:color w:val="000000" w:themeColor="text1"/>
        </w:rPr>
        <w:t>t</w:t>
      </w:r>
      <w:r w:rsidR="0082043B" w:rsidRPr="0086100D">
        <w:rPr>
          <w:rStyle w:val="normaltextrun"/>
          <w:color w:val="000000" w:themeColor="text1"/>
        </w:rPr>
        <w:t>hat “the student be given a vocational evaluation and registered in the vocational rehabilitation program”; and</w:t>
      </w:r>
    </w:p>
    <w:p w14:paraId="07F3ECBD" w14:textId="1D1015A0" w:rsidR="00526812" w:rsidRPr="0086100D" w:rsidRDefault="0092606B" w:rsidP="0082043B">
      <w:pPr>
        <w:pStyle w:val="paragraph"/>
        <w:numPr>
          <w:ilvl w:val="1"/>
          <w:numId w:val="9"/>
        </w:numPr>
        <w:spacing w:before="0" w:beforeAutospacing="0" w:after="0" w:afterAutospacing="0"/>
        <w:textAlignment w:val="baseline"/>
        <w:rPr>
          <w:color w:val="000000" w:themeColor="text1"/>
        </w:rPr>
      </w:pPr>
      <w:r>
        <w:rPr>
          <w:rStyle w:val="normaltextrun"/>
          <w:color w:val="000000" w:themeColor="text1"/>
        </w:rPr>
        <w:lastRenderedPageBreak/>
        <w:t>t</w:t>
      </w:r>
      <w:r w:rsidR="0082043B" w:rsidRPr="0086100D">
        <w:rPr>
          <w:rStyle w:val="normaltextrun"/>
          <w:color w:val="000000" w:themeColor="text1"/>
        </w:rPr>
        <w:t>hat “the transfer of rights since they never explained what that was to me in Puerto Rico and they always put not applicable in the summary because in Puerto Rico the age of majority is 21 years old.”</w:t>
      </w:r>
    </w:p>
    <w:p w14:paraId="515288F8" w14:textId="5A8FA42F" w:rsidR="005E47F3" w:rsidRPr="0086100D" w:rsidRDefault="004C072B" w:rsidP="00F67CFA">
      <w:pPr>
        <w:spacing w:before="100" w:beforeAutospacing="1" w:after="100" w:afterAutospacing="1"/>
        <w:rPr>
          <w:color w:val="000000" w:themeColor="text1"/>
        </w:rPr>
      </w:pPr>
      <w:r w:rsidRPr="0086100D">
        <w:rPr>
          <w:color w:val="000000" w:themeColor="text1"/>
        </w:rPr>
        <w:t xml:space="preserve">Although </w:t>
      </w:r>
      <w:r w:rsidR="008B3A7D" w:rsidRPr="0086100D">
        <w:rPr>
          <w:color w:val="000000" w:themeColor="text1"/>
        </w:rPr>
        <w:t xml:space="preserve">originally </w:t>
      </w:r>
      <w:r w:rsidR="005E47F3" w:rsidRPr="0086100D">
        <w:rPr>
          <w:color w:val="000000" w:themeColor="text1"/>
        </w:rPr>
        <w:t>granted accelerated status</w:t>
      </w:r>
      <w:r w:rsidR="00C433DB" w:rsidRPr="0086100D">
        <w:rPr>
          <w:color w:val="000000" w:themeColor="text1"/>
        </w:rPr>
        <w:t>, f</w:t>
      </w:r>
      <w:r w:rsidR="005E47F3" w:rsidRPr="0086100D">
        <w:rPr>
          <w:color w:val="000000" w:themeColor="text1"/>
        </w:rPr>
        <w:t xml:space="preserve">ollowing a conference call on March 22, 2021, the matter was removed from the accelerated calendar. </w:t>
      </w:r>
      <w:r w:rsidR="00971B1D" w:rsidRPr="0086100D">
        <w:rPr>
          <w:color w:val="000000" w:themeColor="text1"/>
        </w:rPr>
        <w:t>It was also noted</w:t>
      </w:r>
      <w:r w:rsidR="0092606B">
        <w:rPr>
          <w:color w:val="000000" w:themeColor="text1"/>
        </w:rPr>
        <w:t xml:space="preserve"> during that call</w:t>
      </w:r>
      <w:r w:rsidR="00971B1D" w:rsidRPr="0086100D">
        <w:rPr>
          <w:color w:val="000000" w:themeColor="text1"/>
        </w:rPr>
        <w:t xml:space="preserve"> that</w:t>
      </w:r>
      <w:r w:rsidR="00E549DC" w:rsidRPr="0086100D">
        <w:rPr>
          <w:color w:val="000000" w:themeColor="text1"/>
        </w:rPr>
        <w:t xml:space="preserve"> </w:t>
      </w:r>
      <w:r w:rsidR="005E47F3" w:rsidRPr="0086100D">
        <w:rPr>
          <w:color w:val="000000" w:themeColor="text1"/>
        </w:rPr>
        <w:t xml:space="preserve">Parent </w:t>
      </w:r>
      <w:r w:rsidR="00296113" w:rsidRPr="0086100D">
        <w:rPr>
          <w:color w:val="000000" w:themeColor="text1"/>
        </w:rPr>
        <w:t>failed</w:t>
      </w:r>
      <w:r w:rsidR="005E47F3" w:rsidRPr="0086100D">
        <w:rPr>
          <w:color w:val="000000" w:themeColor="text1"/>
        </w:rPr>
        <w:t xml:space="preserve"> to serve</w:t>
      </w:r>
      <w:r w:rsidR="00E12384" w:rsidRPr="0086100D">
        <w:rPr>
          <w:color w:val="000000" w:themeColor="text1"/>
        </w:rPr>
        <w:t xml:space="preserve"> DESE,</w:t>
      </w:r>
      <w:r w:rsidR="005E47F3" w:rsidRPr="0086100D">
        <w:rPr>
          <w:color w:val="000000" w:themeColor="text1"/>
        </w:rPr>
        <w:t xml:space="preserve"> an intended party to the appeal</w:t>
      </w:r>
      <w:r w:rsidR="00296113" w:rsidRPr="0086100D">
        <w:rPr>
          <w:color w:val="000000" w:themeColor="text1"/>
        </w:rPr>
        <w:t>.  Hence,</w:t>
      </w:r>
      <w:r w:rsidR="005E47F3" w:rsidRPr="0086100D">
        <w:rPr>
          <w:color w:val="000000" w:themeColor="text1"/>
        </w:rPr>
        <w:t xml:space="preserve"> on March 26, 2021, </w:t>
      </w:r>
      <w:r w:rsidR="0092606B">
        <w:rPr>
          <w:color w:val="000000" w:themeColor="text1"/>
        </w:rPr>
        <w:t xml:space="preserve">the BSEA sent the DESE a copy of Parent’s hearing request and further sent </w:t>
      </w:r>
      <w:r w:rsidR="005E47F3" w:rsidRPr="0086100D">
        <w:rPr>
          <w:color w:val="000000" w:themeColor="text1"/>
        </w:rPr>
        <w:t>all Parties, including DESE, a recalculated Notice of Hearing</w:t>
      </w:r>
      <w:r w:rsidR="0086100D" w:rsidRPr="0086100D">
        <w:rPr>
          <w:color w:val="000000" w:themeColor="text1"/>
        </w:rPr>
        <w:t>,</w:t>
      </w:r>
      <w:r w:rsidR="0092606B">
        <w:rPr>
          <w:color w:val="000000" w:themeColor="text1"/>
        </w:rPr>
        <w:t xml:space="preserve"> reflecting</w:t>
      </w:r>
      <w:r w:rsidR="005E47F3" w:rsidRPr="0086100D">
        <w:rPr>
          <w:color w:val="000000" w:themeColor="text1"/>
        </w:rPr>
        <w:t xml:space="preserve"> </w:t>
      </w:r>
      <w:r w:rsidR="009B4522">
        <w:rPr>
          <w:color w:val="000000" w:themeColor="text1"/>
        </w:rPr>
        <w:t xml:space="preserve">an </w:t>
      </w:r>
      <w:r w:rsidR="005E47F3" w:rsidRPr="0086100D">
        <w:rPr>
          <w:color w:val="000000" w:themeColor="text1"/>
        </w:rPr>
        <w:t>April 28, 2021</w:t>
      </w:r>
      <w:r w:rsidR="0092606B">
        <w:rPr>
          <w:color w:val="000000" w:themeColor="text1"/>
        </w:rPr>
        <w:t xml:space="preserve"> Hearing date.</w:t>
      </w:r>
      <w:r w:rsidR="005E47F3" w:rsidRPr="0086100D">
        <w:rPr>
          <w:color w:val="000000" w:themeColor="text1"/>
        </w:rPr>
        <w:t xml:space="preserve">  </w:t>
      </w:r>
    </w:p>
    <w:p w14:paraId="0BFD9CFD" w14:textId="389E9DC4" w:rsidR="0086144E" w:rsidRPr="0086100D" w:rsidRDefault="009B3753" w:rsidP="00C15CA6">
      <w:pPr>
        <w:rPr>
          <w:color w:val="000000" w:themeColor="text1"/>
        </w:rPr>
      </w:pPr>
      <w:r w:rsidRPr="0086100D">
        <w:rPr>
          <w:color w:val="000000" w:themeColor="text1"/>
        </w:rPr>
        <w:t xml:space="preserve">On March 25, 2021, the District filed a  </w:t>
      </w:r>
      <w:r w:rsidRPr="0086100D">
        <w:rPr>
          <w:i/>
          <w:iCs/>
          <w:color w:val="000000" w:themeColor="text1"/>
        </w:rPr>
        <w:t>Motion to Remove Hearing Request from Accelerated Status, Partial Motion to Dismiss for Lack of Jurisdiction and/or Failure to State a Claim, and Motion to Challenge the Sufficiency on any Remaining Claim</w:t>
      </w:r>
      <w:r w:rsidRPr="0086100D">
        <w:rPr>
          <w:color w:val="000000" w:themeColor="text1"/>
        </w:rPr>
        <w:t xml:space="preserve">.  </w:t>
      </w:r>
      <w:r w:rsidR="005E47F3" w:rsidRPr="0086100D">
        <w:rPr>
          <w:color w:val="000000" w:themeColor="text1"/>
        </w:rPr>
        <w:t xml:space="preserve">Because the matter was removed from the accelerated track on March 24, 2021, the District’s </w:t>
      </w:r>
      <w:r w:rsidR="005E47F3" w:rsidRPr="0086100D">
        <w:rPr>
          <w:i/>
          <w:iCs/>
          <w:color w:val="000000" w:themeColor="text1"/>
        </w:rPr>
        <w:t>Motion to Remove Hearing Request from Accelerated Track</w:t>
      </w:r>
      <w:r w:rsidR="005E47F3" w:rsidRPr="0086100D">
        <w:rPr>
          <w:color w:val="000000" w:themeColor="text1"/>
        </w:rPr>
        <w:t xml:space="preserve"> </w:t>
      </w:r>
      <w:r w:rsidR="00097559" w:rsidRPr="0086100D">
        <w:rPr>
          <w:color w:val="000000" w:themeColor="text1"/>
        </w:rPr>
        <w:t>need</w:t>
      </w:r>
      <w:r w:rsidR="005E47F3" w:rsidRPr="0086100D">
        <w:rPr>
          <w:color w:val="000000" w:themeColor="text1"/>
        </w:rPr>
        <w:t xml:space="preserve"> not </w:t>
      </w:r>
      <w:r w:rsidR="00097559" w:rsidRPr="0086100D">
        <w:rPr>
          <w:color w:val="000000" w:themeColor="text1"/>
        </w:rPr>
        <w:t xml:space="preserve">be </w:t>
      </w:r>
      <w:r w:rsidR="005E47F3" w:rsidRPr="0086100D">
        <w:rPr>
          <w:color w:val="000000" w:themeColor="text1"/>
        </w:rPr>
        <w:t>address</w:t>
      </w:r>
      <w:r w:rsidR="00097559" w:rsidRPr="0086100D">
        <w:rPr>
          <w:color w:val="000000" w:themeColor="text1"/>
        </w:rPr>
        <w:t xml:space="preserve">ed. </w:t>
      </w:r>
      <w:r w:rsidR="00C15CA6" w:rsidRPr="0086100D">
        <w:rPr>
          <w:color w:val="000000" w:themeColor="text1"/>
        </w:rPr>
        <w:t xml:space="preserve"> </w:t>
      </w:r>
      <w:r w:rsidR="00097559" w:rsidRPr="0086100D">
        <w:rPr>
          <w:color w:val="000000" w:themeColor="text1"/>
        </w:rPr>
        <w:t xml:space="preserve">In addition, </w:t>
      </w:r>
      <w:r w:rsidR="00E53B69" w:rsidRPr="0086100D">
        <w:rPr>
          <w:color w:val="000000" w:themeColor="text1"/>
        </w:rPr>
        <w:t xml:space="preserve">I defer consideration of the </w:t>
      </w:r>
      <w:r w:rsidR="00E53B69" w:rsidRPr="0086100D">
        <w:rPr>
          <w:i/>
          <w:iCs/>
          <w:color w:val="000000" w:themeColor="text1"/>
        </w:rPr>
        <w:t>Partial Motion to Dismiss for Lack of Jurisdiction and/or Failure to State a Claim</w:t>
      </w:r>
      <w:r w:rsidR="00E53B69" w:rsidRPr="0086100D">
        <w:rPr>
          <w:color w:val="000000" w:themeColor="text1"/>
        </w:rPr>
        <w:t xml:space="preserve"> until Parent has filed her response to the </w:t>
      </w:r>
      <w:r w:rsidR="00E53B69" w:rsidRPr="0086100D">
        <w:rPr>
          <w:i/>
          <w:iCs/>
          <w:color w:val="000000" w:themeColor="text1"/>
        </w:rPr>
        <w:t>Motion</w:t>
      </w:r>
      <w:r w:rsidR="00E53B69" w:rsidRPr="0086100D">
        <w:rPr>
          <w:color w:val="000000" w:themeColor="text1"/>
        </w:rPr>
        <w:t xml:space="preserve">, due seven days from her receipt of </w:t>
      </w:r>
      <w:r w:rsidR="0092606B">
        <w:rPr>
          <w:color w:val="000000" w:themeColor="text1"/>
        </w:rPr>
        <w:t>said motion</w:t>
      </w:r>
      <w:r w:rsidR="00E53B69" w:rsidRPr="0086100D">
        <w:rPr>
          <w:color w:val="000000" w:themeColor="text1"/>
        </w:rPr>
        <w:t xml:space="preserve">. </w:t>
      </w:r>
    </w:p>
    <w:p w14:paraId="603DE5CA" w14:textId="36EF89AA" w:rsidR="00C15CA6" w:rsidRPr="0086100D" w:rsidRDefault="00E53B69" w:rsidP="0082043B">
      <w:pPr>
        <w:spacing w:before="100" w:beforeAutospacing="1" w:after="100" w:afterAutospacing="1"/>
        <w:rPr>
          <w:color w:val="000000" w:themeColor="text1"/>
        </w:rPr>
      </w:pPr>
      <w:r w:rsidRPr="0086100D">
        <w:rPr>
          <w:color w:val="000000" w:themeColor="text1"/>
        </w:rPr>
        <w:t>I address</w:t>
      </w:r>
      <w:r w:rsidR="009E1294" w:rsidRPr="0086100D">
        <w:rPr>
          <w:color w:val="000000" w:themeColor="text1"/>
        </w:rPr>
        <w:t xml:space="preserve"> the</w:t>
      </w:r>
      <w:r w:rsidRPr="0086100D">
        <w:rPr>
          <w:color w:val="000000" w:themeColor="text1"/>
        </w:rPr>
        <w:t xml:space="preserve"> </w:t>
      </w:r>
      <w:r w:rsidR="009E1294" w:rsidRPr="0086100D">
        <w:rPr>
          <w:i/>
          <w:iCs/>
          <w:color w:val="000000" w:themeColor="text1"/>
        </w:rPr>
        <w:t>Motion to Challenge the Sufficiency on any Remaining Claim</w:t>
      </w:r>
      <w:r w:rsidR="009E1294" w:rsidRPr="0086100D">
        <w:rPr>
          <w:color w:val="000000" w:themeColor="text1"/>
        </w:rPr>
        <w:t xml:space="preserve"> </w:t>
      </w:r>
      <w:r w:rsidRPr="0086100D">
        <w:rPr>
          <w:color w:val="000000" w:themeColor="text1"/>
        </w:rPr>
        <w:t xml:space="preserve">below. </w:t>
      </w:r>
    </w:p>
    <w:p w14:paraId="15566D72" w14:textId="1DE77F61" w:rsidR="001017AE" w:rsidRPr="0086100D" w:rsidRDefault="005E47F3" w:rsidP="00D60AC9">
      <w:pPr>
        <w:widowControl w:val="0"/>
        <w:rPr>
          <w:b/>
          <w:bCs/>
          <w:color w:val="000000" w:themeColor="text1"/>
        </w:rPr>
      </w:pPr>
      <w:r w:rsidRPr="0086100D">
        <w:rPr>
          <w:b/>
          <w:bCs/>
          <w:color w:val="000000" w:themeColor="text1"/>
        </w:rPr>
        <w:t>LEGAL STANDARD:</w:t>
      </w:r>
    </w:p>
    <w:p w14:paraId="54D78F50" w14:textId="77777777" w:rsidR="001017AE" w:rsidRPr="0086100D" w:rsidRDefault="001017AE" w:rsidP="001017AE">
      <w:pPr>
        <w:widowControl w:val="0"/>
        <w:rPr>
          <w:color w:val="000000" w:themeColor="text1"/>
        </w:rPr>
      </w:pPr>
    </w:p>
    <w:p w14:paraId="1F4500C1" w14:textId="77777777" w:rsidR="0092606B" w:rsidRDefault="003C4ECC" w:rsidP="006564E4">
      <w:pPr>
        <w:widowControl w:val="0"/>
        <w:rPr>
          <w:color w:val="000000" w:themeColor="text1"/>
        </w:rPr>
      </w:pPr>
      <w:r w:rsidRPr="0086100D">
        <w:rPr>
          <w:color w:val="000000" w:themeColor="text1"/>
        </w:rPr>
        <w:t xml:space="preserve">Pursuant to Rule IE of the BSEA </w:t>
      </w:r>
      <w:r w:rsidRPr="0086100D">
        <w:rPr>
          <w:i/>
          <w:iCs/>
          <w:color w:val="000000" w:themeColor="text1"/>
        </w:rPr>
        <w:t xml:space="preserve">Hearing Rules for Special Education Appeals </w:t>
      </w:r>
      <w:r w:rsidRPr="0086100D">
        <w:rPr>
          <w:color w:val="000000" w:themeColor="text1"/>
        </w:rPr>
        <w:t>(hereinafter “Hearing Rules”), “[i]f the hearing request does not contain the elements set out in Rule 1B,</w:t>
      </w:r>
    </w:p>
    <w:p w14:paraId="2D2DD86A" w14:textId="6455DD0A" w:rsidR="003C4ECC" w:rsidRPr="0086100D" w:rsidRDefault="003C4ECC" w:rsidP="006564E4">
      <w:pPr>
        <w:widowControl w:val="0"/>
        <w:rPr>
          <w:i/>
          <w:iCs/>
          <w:color w:val="000000" w:themeColor="text1"/>
        </w:rPr>
      </w:pPr>
      <w:r w:rsidRPr="0086100D">
        <w:rPr>
          <w:color w:val="000000" w:themeColor="text1"/>
        </w:rPr>
        <w:t xml:space="preserve"> </w:t>
      </w:r>
      <w:r w:rsidR="00CE3B09">
        <w:rPr>
          <w:color w:val="000000" w:themeColor="text1"/>
        </w:rPr>
        <w:t>[the</w:t>
      </w:r>
      <w:r w:rsidRPr="0086100D">
        <w:rPr>
          <w:color w:val="000000" w:themeColor="text1"/>
        </w:rPr>
        <w:t xml:space="preserve"> non-moving] party may file a written challenge to the sufficiency of the hearing request with the Hearing Officer and the other party(</w:t>
      </w:r>
      <w:proofErr w:type="spellStart"/>
      <w:r w:rsidRPr="0086100D">
        <w:rPr>
          <w:color w:val="000000" w:themeColor="text1"/>
        </w:rPr>
        <w:t>ies</w:t>
      </w:r>
      <w:proofErr w:type="spellEnd"/>
      <w:r w:rsidRPr="0086100D">
        <w:rPr>
          <w:color w:val="000000" w:themeColor="text1"/>
        </w:rPr>
        <w:t>) within fifteen (15) calendar days of receipt of the hearing request.”</w:t>
      </w:r>
      <w:r w:rsidR="009E7548" w:rsidRPr="0086100D">
        <w:rPr>
          <w:color w:val="000000" w:themeColor="text1"/>
        </w:rPr>
        <w:t xml:space="preserve">. </w:t>
      </w:r>
      <w:r w:rsidR="006564E4" w:rsidRPr="0086100D">
        <w:rPr>
          <w:i/>
          <w:iCs/>
          <w:color w:val="000000" w:themeColor="text1"/>
        </w:rPr>
        <w:t xml:space="preserve"> </w:t>
      </w:r>
      <w:r w:rsidRPr="0086100D">
        <w:rPr>
          <w:color w:val="000000" w:themeColor="text1"/>
        </w:rPr>
        <w:t>Rule I</w:t>
      </w:r>
      <w:r w:rsidR="009E7548" w:rsidRPr="0086100D">
        <w:rPr>
          <w:color w:val="000000" w:themeColor="text1"/>
        </w:rPr>
        <w:t xml:space="preserve"> </w:t>
      </w:r>
      <w:r w:rsidRPr="0086100D">
        <w:rPr>
          <w:color w:val="000000" w:themeColor="text1"/>
        </w:rPr>
        <w:t xml:space="preserve">B of the </w:t>
      </w:r>
      <w:r w:rsidRPr="00CE3B09">
        <w:rPr>
          <w:i/>
          <w:iCs/>
          <w:color w:val="000000" w:themeColor="text1"/>
        </w:rPr>
        <w:t>Hearing Rules</w:t>
      </w:r>
      <w:r w:rsidR="0092606B">
        <w:rPr>
          <w:color w:val="000000" w:themeColor="text1"/>
        </w:rPr>
        <w:t>,</w:t>
      </w:r>
      <w:r w:rsidR="00745037" w:rsidRPr="0086100D">
        <w:rPr>
          <w:color w:val="000000" w:themeColor="text1"/>
        </w:rPr>
        <w:t xml:space="preserve"> which track</w:t>
      </w:r>
      <w:r w:rsidR="000D6AB0">
        <w:rPr>
          <w:color w:val="000000" w:themeColor="text1"/>
        </w:rPr>
        <w:t>s the</w:t>
      </w:r>
      <w:r w:rsidR="00745037" w:rsidRPr="0086100D">
        <w:rPr>
          <w:color w:val="000000" w:themeColor="text1"/>
        </w:rPr>
        <w:t xml:space="preserve"> </w:t>
      </w:r>
      <w:r w:rsidR="00745037" w:rsidRPr="0086100D">
        <w:rPr>
          <w:color w:val="000000" w:themeColor="text1"/>
          <w:shd w:val="clear" w:color="auto" w:fill="FFFFFF"/>
        </w:rPr>
        <w:t>Individuals with Disabilities Education Act,</w:t>
      </w:r>
      <w:r w:rsidR="00E13E5F" w:rsidRPr="0086100D">
        <w:rPr>
          <w:color w:val="000000" w:themeColor="text1"/>
          <w:shd w:val="clear" w:color="auto" w:fill="FFFFFF"/>
        </w:rPr>
        <w:t xml:space="preserve"> </w:t>
      </w:r>
      <w:r w:rsidR="00745037" w:rsidRPr="0086100D">
        <w:rPr>
          <w:color w:val="000000" w:themeColor="text1"/>
          <w:shd w:val="clear" w:color="auto" w:fill="FFFFFF"/>
        </w:rPr>
        <w:t>§</w:t>
      </w:r>
      <w:r w:rsidR="00745037" w:rsidRPr="0086100D">
        <w:rPr>
          <w:rStyle w:val="apple-converted-space"/>
          <w:color w:val="000000" w:themeColor="text1"/>
          <w:shd w:val="clear" w:color="auto" w:fill="FFFFFF"/>
        </w:rPr>
        <w:t> </w:t>
      </w:r>
      <w:r w:rsidR="00745037" w:rsidRPr="0086100D">
        <w:rPr>
          <w:rStyle w:val="cosearchterm"/>
          <w:color w:val="000000" w:themeColor="text1"/>
          <w:bdr w:val="none" w:sz="0" w:space="0" w:color="auto" w:frame="1"/>
        </w:rPr>
        <w:t>615</w:t>
      </w:r>
      <w:r w:rsidR="00745037" w:rsidRPr="0086100D">
        <w:rPr>
          <w:color w:val="000000" w:themeColor="text1"/>
          <w:shd w:val="clear" w:color="auto" w:fill="FFFFFF"/>
        </w:rPr>
        <w:t>(</w:t>
      </w:r>
      <w:r w:rsidR="00745037" w:rsidRPr="0086100D">
        <w:rPr>
          <w:rStyle w:val="cosearchterm"/>
          <w:color w:val="000000" w:themeColor="text1"/>
          <w:bdr w:val="none" w:sz="0" w:space="0" w:color="auto" w:frame="1"/>
        </w:rPr>
        <w:t>b</w:t>
      </w:r>
      <w:r w:rsidR="00745037" w:rsidRPr="0086100D">
        <w:rPr>
          <w:color w:val="000000" w:themeColor="text1"/>
          <w:shd w:val="clear" w:color="auto" w:fill="FFFFFF"/>
        </w:rPr>
        <w:t>)(</w:t>
      </w:r>
      <w:r w:rsidR="00745037" w:rsidRPr="0086100D">
        <w:rPr>
          <w:rStyle w:val="cosearchterm"/>
          <w:color w:val="000000" w:themeColor="text1"/>
          <w:bdr w:val="none" w:sz="0" w:space="0" w:color="auto" w:frame="1"/>
        </w:rPr>
        <w:t>7</w:t>
      </w:r>
      <w:r w:rsidR="00745037" w:rsidRPr="0086100D">
        <w:rPr>
          <w:color w:val="000000" w:themeColor="text1"/>
          <w:shd w:val="clear" w:color="auto" w:fill="FFFFFF"/>
        </w:rPr>
        <w:t>)(</w:t>
      </w:r>
      <w:r w:rsidR="00745037" w:rsidRPr="0086100D">
        <w:rPr>
          <w:rStyle w:val="cosearchterm"/>
          <w:color w:val="000000" w:themeColor="text1"/>
          <w:bdr w:val="none" w:sz="0" w:space="0" w:color="auto" w:frame="1"/>
        </w:rPr>
        <w:t>A</w:t>
      </w:r>
      <w:r w:rsidR="00745037" w:rsidRPr="0086100D">
        <w:rPr>
          <w:color w:val="000000" w:themeColor="text1"/>
          <w:shd w:val="clear" w:color="auto" w:fill="FFFFFF"/>
        </w:rPr>
        <w:t>)</w:t>
      </w:r>
      <w:r w:rsidR="00D63588" w:rsidRPr="0086100D">
        <w:rPr>
          <w:color w:val="000000" w:themeColor="text1"/>
          <w:shd w:val="clear" w:color="auto" w:fill="FFFFFF"/>
        </w:rPr>
        <w:t>,</w:t>
      </w:r>
      <w:r w:rsidR="006564E4" w:rsidRPr="0086100D">
        <w:rPr>
          <w:color w:val="000000" w:themeColor="text1"/>
          <w:shd w:val="clear" w:color="auto" w:fill="FFFFFF"/>
        </w:rPr>
        <w:t xml:space="preserve"> 20 USCA §</w:t>
      </w:r>
      <w:r w:rsidR="006564E4" w:rsidRPr="0086100D">
        <w:rPr>
          <w:rStyle w:val="apple-converted-space"/>
          <w:color w:val="000000" w:themeColor="text1"/>
          <w:shd w:val="clear" w:color="auto" w:fill="FFFFFF"/>
        </w:rPr>
        <w:t> </w:t>
      </w:r>
      <w:r w:rsidR="006564E4" w:rsidRPr="0086100D">
        <w:rPr>
          <w:color w:val="000000" w:themeColor="text1"/>
          <w:shd w:val="clear" w:color="auto" w:fill="FFFFFF"/>
        </w:rPr>
        <w:t>1415(b)(7)A(ii), 34 CFR §</w:t>
      </w:r>
      <w:r w:rsidR="006564E4" w:rsidRPr="0086100D">
        <w:rPr>
          <w:rStyle w:val="apple-converted-space"/>
          <w:color w:val="000000" w:themeColor="text1"/>
          <w:shd w:val="clear" w:color="auto" w:fill="FFFFFF"/>
        </w:rPr>
        <w:t> </w:t>
      </w:r>
      <w:r w:rsidR="006564E4" w:rsidRPr="0086100D">
        <w:rPr>
          <w:color w:val="000000" w:themeColor="text1"/>
          <w:shd w:val="clear" w:color="auto" w:fill="FFFFFF"/>
        </w:rPr>
        <w:t>300.508(b)</w:t>
      </w:r>
      <w:r w:rsidR="006564E4" w:rsidRPr="0086100D">
        <w:rPr>
          <w:color w:val="000000" w:themeColor="text1"/>
        </w:rPr>
        <w:t>,</w:t>
      </w:r>
      <w:r w:rsidR="00E13E5F" w:rsidRPr="0086100D">
        <w:rPr>
          <w:color w:val="000000" w:themeColor="text1"/>
          <w:shd w:val="clear" w:color="auto" w:fill="FFFFFF"/>
        </w:rPr>
        <w:t xml:space="preserve"> </w:t>
      </w:r>
      <w:r w:rsidRPr="0086100D">
        <w:rPr>
          <w:color w:val="000000" w:themeColor="text1"/>
        </w:rPr>
        <w:t xml:space="preserve">sets forth the required content of a hearing request as follows: </w:t>
      </w:r>
    </w:p>
    <w:p w14:paraId="52D4145A" w14:textId="77777777" w:rsidR="003C4ECC" w:rsidRPr="0086100D" w:rsidRDefault="003C4ECC" w:rsidP="003C4ECC">
      <w:pPr>
        <w:numPr>
          <w:ilvl w:val="0"/>
          <w:numId w:val="6"/>
        </w:numPr>
        <w:spacing w:before="100" w:beforeAutospacing="1" w:after="100" w:afterAutospacing="1"/>
        <w:rPr>
          <w:color w:val="000000" w:themeColor="text1"/>
        </w:rPr>
      </w:pPr>
      <w:r w:rsidRPr="0086100D">
        <w:rPr>
          <w:color w:val="000000" w:themeColor="text1"/>
        </w:rPr>
        <w:t xml:space="preserve">Name and address of student; </w:t>
      </w:r>
    </w:p>
    <w:p w14:paraId="2D1DA33A" w14:textId="77777777" w:rsidR="003C4ECC" w:rsidRPr="0086100D" w:rsidRDefault="003C4ECC" w:rsidP="003C4ECC">
      <w:pPr>
        <w:numPr>
          <w:ilvl w:val="0"/>
          <w:numId w:val="6"/>
        </w:numPr>
        <w:spacing w:before="100" w:beforeAutospacing="1" w:after="100" w:afterAutospacing="1"/>
        <w:rPr>
          <w:color w:val="000000" w:themeColor="text1"/>
        </w:rPr>
      </w:pPr>
      <w:r w:rsidRPr="0086100D">
        <w:rPr>
          <w:color w:val="000000" w:themeColor="text1"/>
        </w:rPr>
        <w:t xml:space="preserve">Name, address, and telephone number of: </w:t>
      </w:r>
    </w:p>
    <w:p w14:paraId="650BBC70" w14:textId="77777777" w:rsidR="003C4ECC" w:rsidRPr="0086100D" w:rsidRDefault="003C4ECC" w:rsidP="00465A13">
      <w:pPr>
        <w:numPr>
          <w:ilvl w:val="4"/>
          <w:numId w:val="7"/>
        </w:numPr>
        <w:spacing w:before="100" w:beforeAutospacing="1" w:after="100" w:afterAutospacing="1"/>
        <w:rPr>
          <w:color w:val="000000" w:themeColor="text1"/>
        </w:rPr>
      </w:pPr>
      <w:r w:rsidRPr="0086100D">
        <w:rPr>
          <w:color w:val="000000" w:themeColor="text1"/>
        </w:rPr>
        <w:t xml:space="preserve">Person requesting hearing; </w:t>
      </w:r>
    </w:p>
    <w:p w14:paraId="0E4902C3" w14:textId="77777777" w:rsidR="003C4ECC" w:rsidRPr="0086100D" w:rsidRDefault="003C4ECC" w:rsidP="00465A13">
      <w:pPr>
        <w:numPr>
          <w:ilvl w:val="4"/>
          <w:numId w:val="7"/>
        </w:numPr>
        <w:spacing w:before="100" w:beforeAutospacing="1" w:after="100" w:afterAutospacing="1"/>
        <w:rPr>
          <w:color w:val="000000" w:themeColor="text1"/>
        </w:rPr>
      </w:pPr>
      <w:r w:rsidRPr="0086100D">
        <w:rPr>
          <w:color w:val="000000" w:themeColor="text1"/>
        </w:rPr>
        <w:t xml:space="preserve">Parent(s); </w:t>
      </w:r>
    </w:p>
    <w:p w14:paraId="21FB9FCD" w14:textId="77777777" w:rsidR="003C4ECC" w:rsidRPr="0086100D" w:rsidRDefault="003C4ECC" w:rsidP="00465A13">
      <w:pPr>
        <w:numPr>
          <w:ilvl w:val="4"/>
          <w:numId w:val="7"/>
        </w:numPr>
        <w:spacing w:before="100" w:beforeAutospacing="1" w:after="100" w:afterAutospacing="1"/>
        <w:rPr>
          <w:color w:val="000000" w:themeColor="text1"/>
        </w:rPr>
      </w:pPr>
      <w:r w:rsidRPr="0086100D">
        <w:rPr>
          <w:color w:val="000000" w:themeColor="text1"/>
        </w:rPr>
        <w:t xml:space="preserve">Legal Guardian, if any; </w:t>
      </w:r>
    </w:p>
    <w:p w14:paraId="7FB4F2FB" w14:textId="08E70C6F" w:rsidR="003C4ECC" w:rsidRPr="0086100D" w:rsidRDefault="003C4ECC" w:rsidP="00465A13">
      <w:pPr>
        <w:numPr>
          <w:ilvl w:val="4"/>
          <w:numId w:val="7"/>
        </w:numPr>
        <w:spacing w:before="100" w:beforeAutospacing="1" w:after="100" w:afterAutospacing="1"/>
        <w:rPr>
          <w:color w:val="000000" w:themeColor="text1"/>
        </w:rPr>
      </w:pPr>
      <w:r w:rsidRPr="0086100D">
        <w:rPr>
          <w:color w:val="000000" w:themeColor="text1"/>
        </w:rPr>
        <w:t xml:space="preserve">Individual given court-appointed educational decision-making authority, if any; </w:t>
      </w:r>
    </w:p>
    <w:p w14:paraId="5BDA818A" w14:textId="77777777" w:rsidR="003C4ECC" w:rsidRPr="0086100D" w:rsidRDefault="003C4ECC" w:rsidP="00465A13">
      <w:pPr>
        <w:numPr>
          <w:ilvl w:val="4"/>
          <w:numId w:val="7"/>
        </w:numPr>
        <w:spacing w:before="100" w:beforeAutospacing="1" w:after="100" w:afterAutospacing="1"/>
        <w:rPr>
          <w:color w:val="000000" w:themeColor="text1"/>
        </w:rPr>
      </w:pPr>
      <w:r w:rsidRPr="0086100D">
        <w:rPr>
          <w:color w:val="000000" w:themeColor="text1"/>
        </w:rPr>
        <w:t xml:space="preserve">Duly appointed educational surrogate parent, if any; and </w:t>
      </w:r>
    </w:p>
    <w:p w14:paraId="1B827B8B" w14:textId="38B79285" w:rsidR="00AF1657" w:rsidRPr="0086100D" w:rsidRDefault="003C4ECC" w:rsidP="00465A13">
      <w:pPr>
        <w:pStyle w:val="ListParagraph"/>
        <w:numPr>
          <w:ilvl w:val="4"/>
          <w:numId w:val="7"/>
        </w:numPr>
        <w:spacing w:before="100" w:beforeAutospacing="1" w:after="100" w:afterAutospacing="1"/>
        <w:rPr>
          <w:color w:val="000000" w:themeColor="text1"/>
        </w:rPr>
      </w:pPr>
      <w:r w:rsidRPr="0086100D">
        <w:rPr>
          <w:color w:val="000000" w:themeColor="text1"/>
        </w:rPr>
        <w:t>Individual with whom the child lives and who is acting in the place of the parent;</w:t>
      </w:r>
    </w:p>
    <w:p w14:paraId="757CD1ED" w14:textId="77777777" w:rsidR="00465A13" w:rsidRPr="0086100D" w:rsidRDefault="00465A13" w:rsidP="00465A13">
      <w:pPr>
        <w:pStyle w:val="ListParagraph"/>
        <w:spacing w:before="100" w:beforeAutospacing="1" w:after="100" w:afterAutospacing="1"/>
        <w:ind w:left="1800"/>
        <w:rPr>
          <w:color w:val="000000" w:themeColor="text1"/>
        </w:rPr>
      </w:pPr>
    </w:p>
    <w:p w14:paraId="73E9AB66" w14:textId="77777777" w:rsidR="00AF1657" w:rsidRPr="0086100D" w:rsidRDefault="003C4ECC" w:rsidP="00AF1657">
      <w:pPr>
        <w:pStyle w:val="ListParagraph"/>
        <w:numPr>
          <w:ilvl w:val="0"/>
          <w:numId w:val="6"/>
        </w:numPr>
        <w:spacing w:before="100" w:beforeAutospacing="1" w:after="100" w:afterAutospacing="1"/>
        <w:rPr>
          <w:color w:val="000000" w:themeColor="text1"/>
        </w:rPr>
      </w:pPr>
      <w:r w:rsidRPr="0086100D">
        <w:rPr>
          <w:color w:val="000000" w:themeColor="text1"/>
        </w:rPr>
        <w:t xml:space="preserve">Relationship to student of person requesting hearing; </w:t>
      </w:r>
    </w:p>
    <w:p w14:paraId="4FF36252" w14:textId="77777777" w:rsidR="00AF1657" w:rsidRPr="0086100D" w:rsidRDefault="003C4ECC" w:rsidP="00AF1657">
      <w:pPr>
        <w:pStyle w:val="ListParagraph"/>
        <w:numPr>
          <w:ilvl w:val="0"/>
          <w:numId w:val="6"/>
        </w:numPr>
        <w:spacing w:before="100" w:beforeAutospacing="1" w:after="100" w:afterAutospacing="1"/>
        <w:rPr>
          <w:color w:val="000000" w:themeColor="text1"/>
        </w:rPr>
      </w:pPr>
      <w:r w:rsidRPr="0086100D">
        <w:rPr>
          <w:color w:val="000000" w:themeColor="text1"/>
        </w:rPr>
        <w:t xml:space="preserve">Name of programmatically and fiscally responsible school district(s) and/or name of state educational agency or other state agency(ies); </w:t>
      </w:r>
    </w:p>
    <w:p w14:paraId="64B62EB5" w14:textId="77777777" w:rsidR="00AF1657" w:rsidRPr="0086100D" w:rsidRDefault="003C4ECC" w:rsidP="00AF1657">
      <w:pPr>
        <w:pStyle w:val="ListParagraph"/>
        <w:numPr>
          <w:ilvl w:val="0"/>
          <w:numId w:val="6"/>
        </w:numPr>
        <w:spacing w:before="100" w:beforeAutospacing="1" w:after="100" w:afterAutospacing="1"/>
        <w:rPr>
          <w:color w:val="000000" w:themeColor="text1"/>
        </w:rPr>
      </w:pPr>
      <w:r w:rsidRPr="0086100D">
        <w:rPr>
          <w:color w:val="000000" w:themeColor="text1"/>
        </w:rPr>
        <w:t xml:space="preserve">Name of the school the child is attending; </w:t>
      </w:r>
    </w:p>
    <w:p w14:paraId="0F292213" w14:textId="77777777" w:rsidR="00AF1657" w:rsidRPr="0086100D" w:rsidRDefault="003C4ECC" w:rsidP="00AF1657">
      <w:pPr>
        <w:pStyle w:val="ListParagraph"/>
        <w:numPr>
          <w:ilvl w:val="0"/>
          <w:numId w:val="6"/>
        </w:numPr>
        <w:spacing w:before="100" w:beforeAutospacing="1" w:after="100" w:afterAutospacing="1"/>
        <w:rPr>
          <w:color w:val="000000" w:themeColor="text1"/>
        </w:rPr>
      </w:pPr>
      <w:r w:rsidRPr="0086100D">
        <w:rPr>
          <w:color w:val="000000" w:themeColor="text1"/>
        </w:rPr>
        <w:lastRenderedPageBreak/>
        <w:t xml:space="preserve">In the case of a homeless child or youth within the meaning of the McKinney-Vento Homeless Assistance Act (42 U.S.C. Sec. 11434a(2)), available contact information for the child and the name of the school the child is attending; </w:t>
      </w:r>
    </w:p>
    <w:p w14:paraId="4C54F3E6" w14:textId="507E0F98" w:rsidR="00EC7B16" w:rsidRPr="0086100D" w:rsidRDefault="003C4ECC" w:rsidP="00AF1657">
      <w:pPr>
        <w:pStyle w:val="ListParagraph"/>
        <w:numPr>
          <w:ilvl w:val="0"/>
          <w:numId w:val="6"/>
        </w:numPr>
        <w:spacing w:before="100" w:beforeAutospacing="1" w:after="100" w:afterAutospacing="1"/>
        <w:rPr>
          <w:color w:val="000000" w:themeColor="text1"/>
        </w:rPr>
      </w:pPr>
      <w:r w:rsidRPr="0086100D">
        <w:rPr>
          <w:color w:val="000000" w:themeColor="text1"/>
        </w:rPr>
        <w:t xml:space="preserve">If applicable, the name, address, phone number, and fax number of the attorney or advocate representing the party who is requesting a hearing; </w:t>
      </w:r>
    </w:p>
    <w:p w14:paraId="69A0F92C" w14:textId="77777777" w:rsidR="006A2BA3" w:rsidRPr="0086100D" w:rsidRDefault="003C4ECC" w:rsidP="006A2BA3">
      <w:pPr>
        <w:pStyle w:val="ListParagraph"/>
        <w:numPr>
          <w:ilvl w:val="0"/>
          <w:numId w:val="6"/>
        </w:numPr>
        <w:spacing w:before="100" w:beforeAutospacing="1" w:after="100" w:afterAutospacing="1"/>
        <w:rPr>
          <w:color w:val="000000" w:themeColor="text1"/>
        </w:rPr>
      </w:pPr>
      <w:r w:rsidRPr="0086100D">
        <w:rPr>
          <w:color w:val="000000" w:themeColor="text1"/>
        </w:rPr>
        <w:t xml:space="preserve">The nature of the disagreement, including facts relating to such disagreement; </w:t>
      </w:r>
    </w:p>
    <w:p w14:paraId="51D6DFBC" w14:textId="217A3DC9" w:rsidR="003C4ECC" w:rsidRPr="0086100D" w:rsidRDefault="003C4ECC" w:rsidP="006A2BA3">
      <w:pPr>
        <w:pStyle w:val="ListParagraph"/>
        <w:numPr>
          <w:ilvl w:val="0"/>
          <w:numId w:val="6"/>
        </w:numPr>
        <w:spacing w:before="100" w:beforeAutospacing="1" w:after="100" w:afterAutospacing="1"/>
        <w:rPr>
          <w:color w:val="000000" w:themeColor="text1"/>
        </w:rPr>
      </w:pPr>
      <w:r w:rsidRPr="0086100D">
        <w:rPr>
          <w:color w:val="000000" w:themeColor="text1"/>
        </w:rPr>
        <w:t xml:space="preserve">A proposed resolution of the disagreement to the extent known and available to the party at the time. </w:t>
      </w:r>
    </w:p>
    <w:p w14:paraId="583A4382" w14:textId="2124365A" w:rsidR="00DB2B88" w:rsidRPr="0086100D" w:rsidRDefault="00DB2B88" w:rsidP="00DB2B88">
      <w:pPr>
        <w:widowControl w:val="0"/>
        <w:rPr>
          <w:color w:val="000000" w:themeColor="text1"/>
        </w:rPr>
      </w:pPr>
      <w:r w:rsidRPr="0086100D">
        <w:rPr>
          <w:color w:val="000000" w:themeColor="text1"/>
        </w:rPr>
        <w:t xml:space="preserve">As with the </w:t>
      </w:r>
      <w:r w:rsidR="000D6AB0">
        <w:rPr>
          <w:color w:val="000000" w:themeColor="text1"/>
        </w:rPr>
        <w:t>F</w:t>
      </w:r>
      <w:r w:rsidRPr="0086100D">
        <w:rPr>
          <w:color w:val="000000" w:themeColor="text1"/>
        </w:rPr>
        <w:t xml:space="preserve">ederal </w:t>
      </w:r>
      <w:r w:rsidR="000D6AB0">
        <w:rPr>
          <w:color w:val="000000" w:themeColor="text1"/>
        </w:rPr>
        <w:t>R</w:t>
      </w:r>
      <w:r w:rsidRPr="0086100D">
        <w:rPr>
          <w:color w:val="000000" w:themeColor="text1"/>
        </w:rPr>
        <w:t xml:space="preserve">ules of Civil Procedure, the purpose of the pleading rules under the </w:t>
      </w:r>
      <w:r w:rsidR="00BA2A92" w:rsidRPr="0086100D">
        <w:rPr>
          <w:color w:val="000000" w:themeColor="text1"/>
        </w:rPr>
        <w:t>IDEA</w:t>
      </w:r>
      <w:r w:rsidRPr="0086100D">
        <w:rPr>
          <w:color w:val="000000" w:themeColor="text1"/>
        </w:rPr>
        <w:t xml:space="preserve"> is to provide fair notice to the opposing party. The United </w:t>
      </w:r>
      <w:r w:rsidR="000D6AB0">
        <w:rPr>
          <w:color w:val="000000" w:themeColor="text1"/>
        </w:rPr>
        <w:t>S</w:t>
      </w:r>
      <w:r w:rsidRPr="0086100D">
        <w:rPr>
          <w:color w:val="000000" w:themeColor="text1"/>
        </w:rPr>
        <w:t xml:space="preserve">tates Supreme Court has explained: </w:t>
      </w:r>
    </w:p>
    <w:p w14:paraId="6694096B" w14:textId="7891C341" w:rsidR="00DB2B88" w:rsidRPr="0086100D" w:rsidRDefault="00BA2A92" w:rsidP="005048D5">
      <w:pPr>
        <w:spacing w:before="100" w:beforeAutospacing="1" w:after="100" w:afterAutospacing="1"/>
        <w:ind w:left="720"/>
        <w:rPr>
          <w:color w:val="000000" w:themeColor="text1"/>
        </w:rPr>
      </w:pPr>
      <w:r w:rsidRPr="0086100D">
        <w:rPr>
          <w:color w:val="000000" w:themeColor="text1"/>
        </w:rPr>
        <w:t xml:space="preserve">The </w:t>
      </w:r>
      <w:r w:rsidR="000D6AB0">
        <w:rPr>
          <w:color w:val="000000" w:themeColor="text1"/>
        </w:rPr>
        <w:t>F</w:t>
      </w:r>
      <w:r w:rsidRPr="0086100D">
        <w:rPr>
          <w:color w:val="000000" w:themeColor="text1"/>
        </w:rPr>
        <w:t xml:space="preserve">ederal </w:t>
      </w:r>
      <w:r w:rsidR="000D6AB0">
        <w:rPr>
          <w:color w:val="000000" w:themeColor="text1"/>
        </w:rPr>
        <w:t>R</w:t>
      </w:r>
      <w:r w:rsidRPr="0086100D">
        <w:rPr>
          <w:color w:val="000000" w:themeColor="text1"/>
        </w:rPr>
        <w:t>ules of Civil Procedure do not require a claimant to set out in detail the facts upon which he bases his claim</w:t>
      </w:r>
      <w:r w:rsidR="0070536A" w:rsidRPr="0086100D">
        <w:rPr>
          <w:color w:val="000000" w:themeColor="text1"/>
        </w:rPr>
        <w:t>. T</w:t>
      </w:r>
      <w:r w:rsidRPr="0086100D">
        <w:rPr>
          <w:color w:val="000000" w:themeColor="text1"/>
        </w:rPr>
        <w:t xml:space="preserve">o the contrary, </w:t>
      </w:r>
      <w:r w:rsidR="0070536A" w:rsidRPr="0086100D">
        <w:rPr>
          <w:color w:val="000000" w:themeColor="text1"/>
        </w:rPr>
        <w:t>all the</w:t>
      </w:r>
      <w:r w:rsidRPr="0086100D">
        <w:rPr>
          <w:color w:val="000000" w:themeColor="text1"/>
        </w:rPr>
        <w:t xml:space="preserve"> </w:t>
      </w:r>
      <w:r w:rsidR="0070536A" w:rsidRPr="0086100D">
        <w:rPr>
          <w:color w:val="000000" w:themeColor="text1"/>
        </w:rPr>
        <w:t>R</w:t>
      </w:r>
      <w:r w:rsidRPr="0086100D">
        <w:rPr>
          <w:color w:val="000000" w:themeColor="text1"/>
        </w:rPr>
        <w:t xml:space="preserve">ules require is a </w:t>
      </w:r>
      <w:r w:rsidR="000D6AB0">
        <w:rPr>
          <w:color w:val="000000" w:themeColor="text1"/>
        </w:rPr>
        <w:t>“</w:t>
      </w:r>
      <w:r w:rsidRPr="0086100D">
        <w:rPr>
          <w:color w:val="000000" w:themeColor="text1"/>
        </w:rPr>
        <w:t>short and plain statement of the claim</w:t>
      </w:r>
      <w:r w:rsidR="000D6AB0">
        <w:rPr>
          <w:color w:val="000000" w:themeColor="text1"/>
        </w:rPr>
        <w:t>”</w:t>
      </w:r>
      <w:r w:rsidRPr="0086100D">
        <w:rPr>
          <w:color w:val="000000" w:themeColor="text1"/>
        </w:rPr>
        <w:t xml:space="preserve"> that will give the defendant fair notice of what </w:t>
      </w:r>
      <w:r w:rsidR="005048D5" w:rsidRPr="0086100D">
        <w:rPr>
          <w:color w:val="000000" w:themeColor="text1"/>
        </w:rPr>
        <w:t xml:space="preserve">the plaintiffs claim is and the grounds upon which it rests. </w:t>
      </w:r>
      <w:r w:rsidR="005048D5" w:rsidRPr="0086100D">
        <w:rPr>
          <w:color w:val="000000" w:themeColor="text1"/>
        </w:rPr>
        <w:tab/>
      </w:r>
    </w:p>
    <w:p w14:paraId="7B3975D6" w14:textId="6C872E08" w:rsidR="003C4ECC" w:rsidRPr="0086100D" w:rsidRDefault="00DF653C" w:rsidP="00D60AC9">
      <w:pPr>
        <w:spacing w:before="100" w:beforeAutospacing="1" w:after="100" w:afterAutospacing="1"/>
        <w:rPr>
          <w:color w:val="000000" w:themeColor="text1"/>
        </w:rPr>
      </w:pPr>
      <w:r w:rsidRPr="0086100D">
        <w:rPr>
          <w:i/>
          <w:iCs/>
          <w:color w:val="000000" w:themeColor="text1"/>
        </w:rPr>
        <w:t>Leatherman v. Tarrant County N ICU</w:t>
      </w:r>
      <w:r w:rsidRPr="0086100D">
        <w:rPr>
          <w:color w:val="000000" w:themeColor="text1"/>
        </w:rPr>
        <w:t>, 507 U.S. 163,</w:t>
      </w:r>
      <w:r w:rsidR="000D6AB0">
        <w:rPr>
          <w:color w:val="000000" w:themeColor="text1"/>
        </w:rPr>
        <w:t xml:space="preserve"> </w:t>
      </w:r>
      <w:r w:rsidRPr="0086100D">
        <w:rPr>
          <w:color w:val="000000" w:themeColor="text1"/>
        </w:rPr>
        <w:t>168 (1993)</w:t>
      </w:r>
      <w:r w:rsidR="00DF5A43" w:rsidRPr="0086100D">
        <w:rPr>
          <w:color w:val="000000" w:themeColor="text1"/>
        </w:rPr>
        <w:t xml:space="preserve">. </w:t>
      </w:r>
      <w:r w:rsidR="00565631">
        <w:rPr>
          <w:color w:val="000000" w:themeColor="text1"/>
        </w:rPr>
        <w:t>In addition, w</w:t>
      </w:r>
      <w:r w:rsidR="003C4ECC" w:rsidRPr="0086100D">
        <w:rPr>
          <w:color w:val="000000" w:themeColor="text1"/>
        </w:rPr>
        <w:t>here</w:t>
      </w:r>
      <w:r w:rsidR="00A92904" w:rsidRPr="0086100D">
        <w:rPr>
          <w:color w:val="000000" w:themeColor="text1"/>
        </w:rPr>
        <w:t xml:space="preserve"> a p</w:t>
      </w:r>
      <w:r w:rsidR="003C4ECC" w:rsidRPr="0086100D">
        <w:rPr>
          <w:color w:val="000000" w:themeColor="text1"/>
        </w:rPr>
        <w:t xml:space="preserve">arent proceeds </w:t>
      </w:r>
      <w:r w:rsidR="003C4ECC" w:rsidRPr="0086100D">
        <w:rPr>
          <w:i/>
          <w:iCs/>
          <w:color w:val="000000" w:themeColor="text1"/>
        </w:rPr>
        <w:t>pro se</w:t>
      </w:r>
      <w:r w:rsidR="003C4ECC" w:rsidRPr="0086100D">
        <w:rPr>
          <w:color w:val="000000" w:themeColor="text1"/>
        </w:rPr>
        <w:t>, a Hearing Request should be construed liberally</w:t>
      </w:r>
      <w:r w:rsidR="00A92904" w:rsidRPr="0086100D">
        <w:rPr>
          <w:color w:val="000000" w:themeColor="text1"/>
        </w:rPr>
        <w:t xml:space="preserve">. </w:t>
      </w:r>
      <w:r w:rsidR="009E7548" w:rsidRPr="0086100D">
        <w:rPr>
          <w:i/>
          <w:iCs/>
          <w:color w:val="000000" w:themeColor="text1"/>
        </w:rPr>
        <w:t xml:space="preserve">See Ahmed v. Rosenblatt, </w:t>
      </w:r>
      <w:r w:rsidR="009E7548" w:rsidRPr="0086100D">
        <w:rPr>
          <w:color w:val="000000" w:themeColor="text1"/>
        </w:rPr>
        <w:t>118 F.3d 886, 890 (1st Cir. 1997)</w:t>
      </w:r>
      <w:r w:rsidR="00A92904" w:rsidRPr="0086100D">
        <w:rPr>
          <w:color w:val="000000" w:themeColor="text1"/>
        </w:rPr>
        <w:t>.</w:t>
      </w:r>
      <w:r w:rsidR="00A92904" w:rsidRPr="0086100D">
        <w:rPr>
          <w:i/>
          <w:iCs/>
          <w:color w:val="000000" w:themeColor="text1"/>
        </w:rPr>
        <w:t xml:space="preserve"> </w:t>
      </w:r>
      <w:r w:rsidR="00A92904" w:rsidRPr="0086100D">
        <w:rPr>
          <w:color w:val="000000" w:themeColor="text1"/>
        </w:rPr>
        <w:t>A</w:t>
      </w:r>
      <w:r w:rsidR="003C4ECC" w:rsidRPr="0086100D">
        <w:rPr>
          <w:color w:val="000000" w:themeColor="text1"/>
        </w:rPr>
        <w:t>s the First Circuit explained in the context of summary judgment, “[t]he policy behind affording pro se plaintiffs liberal interpretation is that if they present sufficient facts [to state a claim], the court may intuit the correct cause of action, even if it was imperfectly pled.”</w:t>
      </w:r>
      <w:r w:rsidR="00A92904" w:rsidRPr="0086100D">
        <w:rPr>
          <w:color w:val="000000" w:themeColor="text1"/>
        </w:rPr>
        <w:t xml:space="preserve"> </w:t>
      </w:r>
      <w:r w:rsidR="00A92904" w:rsidRPr="0086100D">
        <w:rPr>
          <w:i/>
          <w:iCs/>
          <w:color w:val="000000" w:themeColor="text1"/>
        </w:rPr>
        <w:t>Id.</w:t>
      </w:r>
      <w:r w:rsidR="00A92904" w:rsidRPr="0086100D">
        <w:rPr>
          <w:color w:val="000000" w:themeColor="text1"/>
        </w:rPr>
        <w:t xml:space="preserve"> T</w:t>
      </w:r>
      <w:r w:rsidR="003C4ECC" w:rsidRPr="0086100D">
        <w:rPr>
          <w:color w:val="000000" w:themeColor="text1"/>
        </w:rPr>
        <w:t>his principle aligns with “[o]ur judicial system</w:t>
      </w:r>
      <w:r w:rsidR="00FF16B9">
        <w:rPr>
          <w:color w:val="000000" w:themeColor="text1"/>
        </w:rPr>
        <w:t xml:space="preserve"> </w:t>
      </w:r>
      <w:r w:rsidR="003C4ECC" w:rsidRPr="0086100D">
        <w:rPr>
          <w:color w:val="000000" w:themeColor="text1"/>
        </w:rPr>
        <w:t>[, which] zealously guards the attempts of pro se litigants on their own behalf” while not ignoring the need for compliance with procedural and substantive law</w:t>
      </w:r>
      <w:r w:rsidR="00A92904" w:rsidRPr="0086100D">
        <w:rPr>
          <w:color w:val="000000" w:themeColor="text1"/>
        </w:rPr>
        <w:t xml:space="preserve">. </w:t>
      </w:r>
      <w:r w:rsidR="00A92904" w:rsidRPr="0086100D">
        <w:rPr>
          <w:i/>
          <w:iCs/>
          <w:color w:val="000000" w:themeColor="text1"/>
        </w:rPr>
        <w:t xml:space="preserve">Id. </w:t>
      </w:r>
      <w:r w:rsidR="005E47F3" w:rsidRPr="0086100D">
        <w:rPr>
          <w:color w:val="000000" w:themeColor="text1"/>
        </w:rPr>
        <w:t xml:space="preserve">  </w:t>
      </w:r>
      <w:r w:rsidR="005E47F3" w:rsidRPr="0086100D">
        <w:rPr>
          <w:color w:val="000000" w:themeColor="text1"/>
        </w:rPr>
        <w:tab/>
      </w:r>
    </w:p>
    <w:p w14:paraId="219462B4" w14:textId="79A2F261" w:rsidR="005E47F3" w:rsidRPr="0086100D" w:rsidRDefault="005E47F3" w:rsidP="005E47F3">
      <w:pPr>
        <w:widowControl w:val="0"/>
        <w:rPr>
          <w:color w:val="000000" w:themeColor="text1"/>
        </w:rPr>
      </w:pPr>
      <w:r w:rsidRPr="0086100D">
        <w:rPr>
          <w:b/>
          <w:bCs/>
          <w:color w:val="000000" w:themeColor="text1"/>
        </w:rPr>
        <w:t>APPLICATION OF LEGAL STANDARD</w:t>
      </w:r>
      <w:r w:rsidRPr="0086100D">
        <w:rPr>
          <w:color w:val="000000" w:themeColor="text1"/>
        </w:rPr>
        <w:t>:</w:t>
      </w:r>
    </w:p>
    <w:p w14:paraId="27F82154" w14:textId="77777777" w:rsidR="005E47F3" w:rsidRPr="0086100D" w:rsidRDefault="005E47F3" w:rsidP="005E47F3">
      <w:pPr>
        <w:widowControl w:val="0"/>
        <w:rPr>
          <w:color w:val="000000" w:themeColor="text1"/>
        </w:rPr>
      </w:pPr>
    </w:p>
    <w:p w14:paraId="58E4F04D" w14:textId="1B60502D" w:rsidR="00780FF7" w:rsidRPr="0086100D" w:rsidRDefault="00427BF7" w:rsidP="005E47F3">
      <w:pPr>
        <w:widowControl w:val="0"/>
        <w:rPr>
          <w:color w:val="000000" w:themeColor="text1"/>
        </w:rPr>
      </w:pPr>
      <w:r w:rsidRPr="0086100D">
        <w:rPr>
          <w:color w:val="000000" w:themeColor="text1"/>
        </w:rPr>
        <w:t>Here, t</w:t>
      </w:r>
      <w:r w:rsidR="005E47F3" w:rsidRPr="0086100D">
        <w:rPr>
          <w:color w:val="000000" w:themeColor="text1"/>
        </w:rPr>
        <w:t xml:space="preserve">he District asserts that </w:t>
      </w:r>
      <w:r w:rsidRPr="0086100D">
        <w:rPr>
          <w:color w:val="000000" w:themeColor="text1"/>
        </w:rPr>
        <w:t>Parent’s Hearing Request is</w:t>
      </w:r>
      <w:r w:rsidR="005E47F3" w:rsidRPr="0086100D">
        <w:rPr>
          <w:color w:val="000000" w:themeColor="text1"/>
        </w:rPr>
        <w:t xml:space="preserve"> insufficien</w:t>
      </w:r>
      <w:r w:rsidRPr="0086100D">
        <w:rPr>
          <w:color w:val="000000" w:themeColor="text1"/>
        </w:rPr>
        <w:t>t</w:t>
      </w:r>
      <w:r w:rsidR="00565631">
        <w:rPr>
          <w:color w:val="000000" w:themeColor="text1"/>
        </w:rPr>
        <w:t xml:space="preserve"> and</w:t>
      </w:r>
      <w:r w:rsidR="0061267F">
        <w:rPr>
          <w:color w:val="000000" w:themeColor="text1"/>
        </w:rPr>
        <w:t xml:space="preserve"> </w:t>
      </w:r>
      <w:r w:rsidR="00C15CA6" w:rsidRPr="0086100D">
        <w:rPr>
          <w:color w:val="000000" w:themeColor="text1"/>
        </w:rPr>
        <w:t xml:space="preserve"> failed to identify what aspects of Student’s program is</w:t>
      </w:r>
      <w:r w:rsidR="00FF16B9">
        <w:rPr>
          <w:color w:val="000000" w:themeColor="text1"/>
        </w:rPr>
        <w:t xml:space="preserve"> alleged to</w:t>
      </w:r>
      <w:r w:rsidR="00C15CA6" w:rsidRPr="0086100D">
        <w:rPr>
          <w:color w:val="000000" w:themeColor="text1"/>
        </w:rPr>
        <w:t xml:space="preserve"> not</w:t>
      </w:r>
      <w:r w:rsidR="00FF16B9">
        <w:rPr>
          <w:color w:val="000000" w:themeColor="text1"/>
        </w:rPr>
        <w:t xml:space="preserve"> be</w:t>
      </w:r>
      <w:r w:rsidR="00C15CA6" w:rsidRPr="0086100D">
        <w:rPr>
          <w:color w:val="000000" w:themeColor="text1"/>
        </w:rPr>
        <w:t xml:space="preserve"> providing FAPE. </w:t>
      </w:r>
      <w:r w:rsidR="0061267F">
        <w:rPr>
          <w:color w:val="000000" w:themeColor="text1"/>
        </w:rPr>
        <w:t xml:space="preserve"> The District also argues that b</w:t>
      </w:r>
      <w:r w:rsidR="00C15CA6" w:rsidRPr="0086100D">
        <w:rPr>
          <w:color w:val="000000" w:themeColor="text1"/>
        </w:rPr>
        <w:t xml:space="preserve">ecause </w:t>
      </w:r>
      <w:r w:rsidR="00FF16B9">
        <w:rPr>
          <w:color w:val="000000" w:themeColor="text1"/>
        </w:rPr>
        <w:t xml:space="preserve">Student </w:t>
      </w:r>
      <w:r w:rsidR="00C15CA6" w:rsidRPr="0086100D">
        <w:rPr>
          <w:color w:val="000000" w:themeColor="text1"/>
        </w:rPr>
        <w:t xml:space="preserve">is 19 years old and an adult, it would be inappropriate to proceed with the matter until </w:t>
      </w:r>
      <w:r w:rsidR="00FF16B9">
        <w:rPr>
          <w:color w:val="000000" w:themeColor="text1"/>
        </w:rPr>
        <w:t xml:space="preserve">he </w:t>
      </w:r>
      <w:r w:rsidR="00C15CA6" w:rsidRPr="0086100D">
        <w:rPr>
          <w:color w:val="000000" w:themeColor="text1"/>
        </w:rPr>
        <w:t xml:space="preserve"> executes the Age of Majority paperwork. Last, the District assert</w:t>
      </w:r>
      <w:r w:rsidR="0061267F">
        <w:rPr>
          <w:color w:val="000000" w:themeColor="text1"/>
        </w:rPr>
        <w:t>s</w:t>
      </w:r>
      <w:r w:rsidR="00C15CA6" w:rsidRPr="0086100D">
        <w:rPr>
          <w:color w:val="000000" w:themeColor="text1"/>
        </w:rPr>
        <w:t xml:space="preserve"> that Parent intended to file against DESE and not </w:t>
      </w:r>
      <w:r w:rsidR="00565631">
        <w:rPr>
          <w:color w:val="000000" w:themeColor="text1"/>
        </w:rPr>
        <w:t xml:space="preserve">against </w:t>
      </w:r>
      <w:r w:rsidR="00C15CA6" w:rsidRPr="0086100D">
        <w:rPr>
          <w:color w:val="000000" w:themeColor="text1"/>
        </w:rPr>
        <w:t>the District.</w:t>
      </w:r>
    </w:p>
    <w:p w14:paraId="463418D9" w14:textId="5FEF18B4" w:rsidR="005E47F3" w:rsidRPr="0086100D" w:rsidRDefault="00CE3B09" w:rsidP="00962F9E">
      <w:pPr>
        <w:spacing w:before="100" w:beforeAutospacing="1" w:after="100" w:afterAutospacing="1"/>
        <w:rPr>
          <w:color w:val="000000" w:themeColor="text1"/>
        </w:rPr>
      </w:pPr>
      <w:r>
        <w:rPr>
          <w:color w:val="000000" w:themeColor="text1"/>
        </w:rPr>
        <w:t>I</w:t>
      </w:r>
      <w:r w:rsidR="00FC40C2">
        <w:rPr>
          <w:color w:val="000000" w:themeColor="text1"/>
        </w:rPr>
        <w:t>n</w:t>
      </w:r>
      <w:r w:rsidR="00FC40C2" w:rsidRPr="0086100D">
        <w:rPr>
          <w:color w:val="000000" w:themeColor="text1"/>
        </w:rPr>
        <w:t xml:space="preserve"> light of Parent’s </w:t>
      </w:r>
      <w:r w:rsidR="00FC40C2" w:rsidRPr="0086100D">
        <w:rPr>
          <w:i/>
          <w:iCs/>
          <w:color w:val="000000" w:themeColor="text1"/>
        </w:rPr>
        <w:t xml:space="preserve">pro se </w:t>
      </w:r>
      <w:r w:rsidR="00FC40C2" w:rsidRPr="0086100D">
        <w:rPr>
          <w:color w:val="000000" w:themeColor="text1"/>
        </w:rPr>
        <w:t>status, the Hearing Request must be liberally construed.</w:t>
      </w:r>
      <w:r w:rsidR="00FC40C2">
        <w:rPr>
          <w:color w:val="000000" w:themeColor="text1"/>
        </w:rPr>
        <w:t xml:space="preserve"> When viewed through that </w:t>
      </w:r>
      <w:r w:rsidR="009B4522">
        <w:rPr>
          <w:color w:val="000000" w:themeColor="text1"/>
        </w:rPr>
        <w:t>lens</w:t>
      </w:r>
      <w:r w:rsidR="00FC40C2">
        <w:rPr>
          <w:color w:val="000000" w:themeColor="text1"/>
        </w:rPr>
        <w:t xml:space="preserve">, </w:t>
      </w:r>
      <w:r w:rsidR="009B4522">
        <w:rPr>
          <w:color w:val="000000" w:themeColor="text1"/>
        </w:rPr>
        <w:t xml:space="preserve">Parent’s Hearing Request meets the federal statutory requirements and the criteria articulated in the </w:t>
      </w:r>
      <w:r w:rsidR="009B4522" w:rsidRPr="00CE3B09">
        <w:rPr>
          <w:i/>
          <w:iCs/>
          <w:color w:val="000000" w:themeColor="text1"/>
        </w:rPr>
        <w:t>Hearing Rules</w:t>
      </w:r>
      <w:r w:rsidR="009B4522">
        <w:rPr>
          <w:color w:val="000000" w:themeColor="text1"/>
        </w:rPr>
        <w:t xml:space="preserve">. </w:t>
      </w:r>
      <w:r w:rsidR="00D3401E">
        <w:rPr>
          <w:color w:val="000000" w:themeColor="text1"/>
        </w:rPr>
        <w:t>Parent’s</w:t>
      </w:r>
      <w:r w:rsidR="00DC6560" w:rsidRPr="0086100D">
        <w:rPr>
          <w:color w:val="000000" w:themeColor="text1"/>
        </w:rPr>
        <w:t xml:space="preserve"> </w:t>
      </w:r>
      <w:r w:rsidR="00D3401E">
        <w:rPr>
          <w:color w:val="000000" w:themeColor="text1"/>
        </w:rPr>
        <w:t>H</w:t>
      </w:r>
      <w:r w:rsidR="00DC6560" w:rsidRPr="0086100D">
        <w:rPr>
          <w:color w:val="000000" w:themeColor="text1"/>
        </w:rPr>
        <w:t>earing Request</w:t>
      </w:r>
      <w:r w:rsidR="00B57EFB" w:rsidRPr="0086100D">
        <w:rPr>
          <w:color w:val="000000" w:themeColor="text1"/>
        </w:rPr>
        <w:t xml:space="preserve"> sets out the “nature of the disagreement, including facts relating to such disagreement</w:t>
      </w:r>
      <w:r w:rsidR="001D2ECB" w:rsidRPr="0086100D">
        <w:rPr>
          <w:color w:val="000000" w:themeColor="text1"/>
        </w:rPr>
        <w:t>.” Rule I E (8)</w:t>
      </w:r>
      <w:r w:rsidR="007C1889" w:rsidRPr="0086100D">
        <w:rPr>
          <w:color w:val="000000" w:themeColor="text1"/>
        </w:rPr>
        <w:t xml:space="preserve">. </w:t>
      </w:r>
      <w:r w:rsidR="006564E4" w:rsidRPr="0086100D">
        <w:rPr>
          <w:color w:val="000000" w:themeColor="text1"/>
        </w:rPr>
        <w:t xml:space="preserve"> </w:t>
      </w:r>
      <w:r w:rsidR="00D3401E">
        <w:rPr>
          <w:color w:val="000000" w:themeColor="text1"/>
        </w:rPr>
        <w:t>Parent</w:t>
      </w:r>
      <w:r w:rsidR="007C1889" w:rsidRPr="0086100D">
        <w:rPr>
          <w:color w:val="000000" w:themeColor="text1"/>
        </w:rPr>
        <w:t xml:space="preserve"> disputes both the </w:t>
      </w:r>
      <w:r w:rsidR="00E06281" w:rsidRPr="0086100D">
        <w:rPr>
          <w:color w:val="000000" w:themeColor="text1"/>
        </w:rPr>
        <w:t xml:space="preserve">implementation of the Student’s IEP from Puerto Rico and the </w:t>
      </w:r>
      <w:r w:rsidR="007C1889" w:rsidRPr="0086100D">
        <w:rPr>
          <w:color w:val="000000" w:themeColor="text1"/>
        </w:rPr>
        <w:t>appro</w:t>
      </w:r>
      <w:r w:rsidR="00E06281" w:rsidRPr="0086100D">
        <w:rPr>
          <w:color w:val="000000" w:themeColor="text1"/>
        </w:rPr>
        <w:t>p</w:t>
      </w:r>
      <w:r w:rsidR="007C1889" w:rsidRPr="0086100D">
        <w:rPr>
          <w:color w:val="000000" w:themeColor="text1"/>
        </w:rPr>
        <w:t>r</w:t>
      </w:r>
      <w:r w:rsidR="00E06281" w:rsidRPr="0086100D">
        <w:rPr>
          <w:color w:val="000000" w:themeColor="text1"/>
        </w:rPr>
        <w:t>ia</w:t>
      </w:r>
      <w:r w:rsidR="007C1889" w:rsidRPr="0086100D">
        <w:rPr>
          <w:color w:val="000000" w:themeColor="text1"/>
        </w:rPr>
        <w:t>teness of Stu</w:t>
      </w:r>
      <w:r w:rsidR="00E06281" w:rsidRPr="0086100D">
        <w:rPr>
          <w:color w:val="000000" w:themeColor="text1"/>
        </w:rPr>
        <w:t>d</w:t>
      </w:r>
      <w:r w:rsidR="007C1889" w:rsidRPr="0086100D">
        <w:rPr>
          <w:color w:val="000000" w:themeColor="text1"/>
        </w:rPr>
        <w:t>ent’s current programming</w:t>
      </w:r>
      <w:r w:rsidR="000A58CC">
        <w:rPr>
          <w:color w:val="000000" w:themeColor="text1"/>
        </w:rPr>
        <w:t>.</w:t>
      </w:r>
      <w:r w:rsidR="00E06281" w:rsidRPr="0086100D">
        <w:rPr>
          <w:color w:val="000000" w:themeColor="text1"/>
        </w:rPr>
        <w:t xml:space="preserve">  In addition, she makes allegations as to the District’s failure to evaluate</w:t>
      </w:r>
      <w:r w:rsidR="0036429A" w:rsidRPr="0086100D">
        <w:rPr>
          <w:color w:val="000000" w:themeColor="text1"/>
        </w:rPr>
        <w:t xml:space="preserve"> Student and to </w:t>
      </w:r>
      <w:r w:rsidR="00D3401E">
        <w:rPr>
          <w:color w:val="000000" w:themeColor="text1"/>
        </w:rPr>
        <w:t>refer Student to the Massachusetts Rehabilitation Com</w:t>
      </w:r>
      <w:r w:rsidR="009B4522">
        <w:rPr>
          <w:color w:val="000000" w:themeColor="text1"/>
        </w:rPr>
        <w:t>m</w:t>
      </w:r>
      <w:r w:rsidR="00D3401E">
        <w:rPr>
          <w:color w:val="000000" w:themeColor="text1"/>
        </w:rPr>
        <w:t>is</w:t>
      </w:r>
      <w:r>
        <w:rPr>
          <w:color w:val="000000" w:themeColor="text1"/>
        </w:rPr>
        <w:t>s</w:t>
      </w:r>
      <w:r w:rsidR="00D3401E">
        <w:rPr>
          <w:color w:val="000000" w:themeColor="text1"/>
        </w:rPr>
        <w:t>io</w:t>
      </w:r>
      <w:r w:rsidR="009B4522">
        <w:rPr>
          <w:color w:val="000000" w:themeColor="text1"/>
        </w:rPr>
        <w:t>n</w:t>
      </w:r>
      <w:r>
        <w:rPr>
          <w:color w:val="000000" w:themeColor="text1"/>
        </w:rPr>
        <w:t xml:space="preserve">. </w:t>
      </w:r>
      <w:r w:rsidR="0036429A" w:rsidRPr="0086100D">
        <w:rPr>
          <w:color w:val="000000" w:themeColor="text1"/>
        </w:rPr>
        <w:t>Parent also sets out a</w:t>
      </w:r>
      <w:r w:rsidR="00B57EFB" w:rsidRPr="0086100D">
        <w:rPr>
          <w:color w:val="000000" w:themeColor="text1"/>
        </w:rPr>
        <w:t xml:space="preserve"> </w:t>
      </w:r>
      <w:r w:rsidR="0036429A" w:rsidRPr="0086100D">
        <w:rPr>
          <w:color w:val="000000" w:themeColor="text1"/>
        </w:rPr>
        <w:t>“</w:t>
      </w:r>
      <w:r w:rsidR="00B57EFB" w:rsidRPr="0086100D">
        <w:rPr>
          <w:color w:val="000000" w:themeColor="text1"/>
        </w:rPr>
        <w:t>proposed resolution of the disagreement to the extent known and available to the party at the time</w:t>
      </w:r>
      <w:r w:rsidR="0036429A" w:rsidRPr="0086100D">
        <w:rPr>
          <w:color w:val="000000" w:themeColor="text1"/>
        </w:rPr>
        <w:t xml:space="preserve">.” Rule I E (9).  She seeks, in part, </w:t>
      </w:r>
      <w:r w:rsidR="003D6597">
        <w:rPr>
          <w:color w:val="000000" w:themeColor="text1"/>
        </w:rPr>
        <w:t xml:space="preserve">monetary damages, </w:t>
      </w:r>
      <w:r w:rsidR="0036429A" w:rsidRPr="0086100D">
        <w:rPr>
          <w:color w:val="000000" w:themeColor="text1"/>
        </w:rPr>
        <w:t xml:space="preserve">compensatory services, the development of an appropriate IEP, and </w:t>
      </w:r>
      <w:r w:rsidR="000A58CC">
        <w:rPr>
          <w:color w:val="000000" w:themeColor="text1"/>
        </w:rPr>
        <w:t xml:space="preserve">an </w:t>
      </w:r>
      <w:r w:rsidR="00FC5269" w:rsidRPr="0086100D">
        <w:rPr>
          <w:color w:val="000000" w:themeColor="text1"/>
        </w:rPr>
        <w:t>evaluation</w:t>
      </w:r>
      <w:r w:rsidR="000A4430">
        <w:rPr>
          <w:color w:val="000000" w:themeColor="text1"/>
        </w:rPr>
        <w:t xml:space="preserve"> of Student</w:t>
      </w:r>
      <w:r w:rsidR="00FC5269" w:rsidRPr="0086100D">
        <w:rPr>
          <w:color w:val="000000" w:themeColor="text1"/>
        </w:rPr>
        <w:t xml:space="preserve">. </w:t>
      </w:r>
      <w:r w:rsidR="003D6597">
        <w:rPr>
          <w:color w:val="000000" w:themeColor="text1"/>
        </w:rPr>
        <w:t xml:space="preserve"> </w:t>
      </w:r>
    </w:p>
    <w:p w14:paraId="31296DB2" w14:textId="58B0FA04" w:rsidR="005E47F3" w:rsidRDefault="005E47F3" w:rsidP="005E47F3">
      <w:pPr>
        <w:widowControl w:val="0"/>
        <w:rPr>
          <w:color w:val="000000" w:themeColor="text1"/>
        </w:rPr>
      </w:pPr>
      <w:r w:rsidRPr="0086100D">
        <w:rPr>
          <w:color w:val="000000" w:themeColor="text1"/>
        </w:rPr>
        <w:t xml:space="preserve">After careful review of the </w:t>
      </w:r>
      <w:r w:rsidR="000A58CC">
        <w:rPr>
          <w:color w:val="000000" w:themeColor="text1"/>
        </w:rPr>
        <w:t>H</w:t>
      </w:r>
      <w:r w:rsidRPr="0086100D">
        <w:rPr>
          <w:color w:val="000000" w:themeColor="text1"/>
        </w:rPr>
        <w:t xml:space="preserve">earing </w:t>
      </w:r>
      <w:r w:rsidR="000A58CC">
        <w:rPr>
          <w:color w:val="000000" w:themeColor="text1"/>
        </w:rPr>
        <w:t>R</w:t>
      </w:r>
      <w:r w:rsidRPr="0086100D">
        <w:rPr>
          <w:color w:val="000000" w:themeColor="text1"/>
        </w:rPr>
        <w:t xml:space="preserve">equest and the </w:t>
      </w:r>
      <w:r w:rsidR="000A58CC">
        <w:rPr>
          <w:color w:val="000000" w:themeColor="text1"/>
        </w:rPr>
        <w:t xml:space="preserve">District’s </w:t>
      </w:r>
      <w:r w:rsidRPr="0086100D">
        <w:rPr>
          <w:color w:val="000000" w:themeColor="text1"/>
        </w:rPr>
        <w:t xml:space="preserve">allegations of insufficiency, I find </w:t>
      </w:r>
      <w:r w:rsidR="00044AA5" w:rsidRPr="0086100D">
        <w:rPr>
          <w:color w:val="000000" w:themeColor="text1"/>
        </w:rPr>
        <w:lastRenderedPageBreak/>
        <w:t>that the</w:t>
      </w:r>
      <w:r w:rsidRPr="0086100D">
        <w:rPr>
          <w:color w:val="000000" w:themeColor="text1"/>
        </w:rPr>
        <w:t xml:space="preserve"> </w:t>
      </w:r>
      <w:r w:rsidR="00044AA5" w:rsidRPr="0086100D">
        <w:rPr>
          <w:color w:val="000000" w:themeColor="text1"/>
        </w:rPr>
        <w:t>H</w:t>
      </w:r>
      <w:r w:rsidRPr="0086100D">
        <w:rPr>
          <w:color w:val="000000" w:themeColor="text1"/>
        </w:rPr>
        <w:t xml:space="preserve">earing </w:t>
      </w:r>
      <w:r w:rsidR="00044AA5" w:rsidRPr="0086100D">
        <w:rPr>
          <w:color w:val="000000" w:themeColor="text1"/>
        </w:rPr>
        <w:t>R</w:t>
      </w:r>
      <w:r w:rsidRPr="0086100D">
        <w:rPr>
          <w:color w:val="000000" w:themeColor="text1"/>
        </w:rPr>
        <w:t xml:space="preserve">equest is sufficient </w:t>
      </w:r>
      <w:r w:rsidR="00FC40C2">
        <w:rPr>
          <w:color w:val="000000" w:themeColor="text1"/>
        </w:rPr>
        <w:t xml:space="preserve">as it </w:t>
      </w:r>
      <w:r w:rsidRPr="0086100D">
        <w:rPr>
          <w:color w:val="000000" w:themeColor="text1"/>
        </w:rPr>
        <w:t xml:space="preserve">  satisfies the requirements of Section 615(b)(7)(a) of the IDEA 2004 and </w:t>
      </w:r>
      <w:r w:rsidR="004B4293" w:rsidRPr="0086100D">
        <w:rPr>
          <w:color w:val="000000" w:themeColor="text1"/>
        </w:rPr>
        <w:t>Rule IB</w:t>
      </w:r>
      <w:r w:rsidRPr="0086100D">
        <w:rPr>
          <w:color w:val="000000" w:themeColor="text1"/>
        </w:rPr>
        <w:t xml:space="preserve">. </w:t>
      </w:r>
    </w:p>
    <w:p w14:paraId="2B0C7123" w14:textId="175D05F0" w:rsidR="00FC40C2" w:rsidRDefault="00FC40C2" w:rsidP="005E47F3">
      <w:pPr>
        <w:widowControl w:val="0"/>
        <w:rPr>
          <w:color w:val="000000" w:themeColor="text1"/>
        </w:rPr>
      </w:pPr>
    </w:p>
    <w:p w14:paraId="75905181" w14:textId="7FE550F9" w:rsidR="00FC40C2" w:rsidRPr="0086100D" w:rsidRDefault="00FC40C2" w:rsidP="00FC40C2">
      <w:pPr>
        <w:widowControl w:val="0"/>
        <w:rPr>
          <w:color w:val="000000" w:themeColor="text1"/>
        </w:rPr>
      </w:pPr>
      <w:r>
        <w:rPr>
          <w:color w:val="000000" w:themeColor="text1"/>
        </w:rPr>
        <w:t xml:space="preserve">Furthermore, </w:t>
      </w:r>
      <w:r w:rsidRPr="0086100D">
        <w:rPr>
          <w:color w:val="000000" w:themeColor="text1"/>
        </w:rPr>
        <w:t xml:space="preserve">Student is clearly a complainant in this dispute; </w:t>
      </w:r>
      <w:r>
        <w:rPr>
          <w:color w:val="000000" w:themeColor="text1"/>
        </w:rPr>
        <w:t>his signature on</w:t>
      </w:r>
      <w:r w:rsidRPr="0086100D">
        <w:rPr>
          <w:color w:val="000000" w:themeColor="text1"/>
        </w:rPr>
        <w:t xml:space="preserve"> the Hearing Request</w:t>
      </w:r>
      <w:r>
        <w:rPr>
          <w:color w:val="000000" w:themeColor="text1"/>
        </w:rPr>
        <w:t xml:space="preserve"> suggests</w:t>
      </w:r>
      <w:r w:rsidRPr="0086100D">
        <w:rPr>
          <w:color w:val="000000" w:themeColor="text1"/>
        </w:rPr>
        <w:t xml:space="preserve"> that his interests are aligned with the assertions therein.  </w:t>
      </w:r>
      <w:r w:rsidR="00CE3B09">
        <w:rPr>
          <w:color w:val="000000" w:themeColor="text1"/>
        </w:rPr>
        <w:t>Although</w:t>
      </w:r>
      <w:r w:rsidRPr="0086100D">
        <w:rPr>
          <w:color w:val="000000" w:themeColor="text1"/>
        </w:rPr>
        <w:t xml:space="preserve"> Parent may be confused about the dis</w:t>
      </w:r>
      <w:r w:rsidR="00711493">
        <w:rPr>
          <w:color w:val="000000" w:themeColor="text1"/>
        </w:rPr>
        <w:t xml:space="preserve">crete </w:t>
      </w:r>
      <w:r w:rsidRPr="0086100D">
        <w:rPr>
          <w:color w:val="000000" w:themeColor="text1"/>
        </w:rPr>
        <w:t>roles of DESE and the District with regard to Student’s right to a FAPE, both</w:t>
      </w:r>
      <w:r>
        <w:rPr>
          <w:color w:val="000000" w:themeColor="text1"/>
        </w:rPr>
        <w:t xml:space="preserve"> are named in the description of the issues</w:t>
      </w:r>
      <w:r w:rsidRPr="0086100D">
        <w:rPr>
          <w:color w:val="000000" w:themeColor="text1"/>
        </w:rPr>
        <w:t>.</w:t>
      </w:r>
      <w:r>
        <w:rPr>
          <w:color w:val="000000" w:themeColor="text1"/>
        </w:rPr>
        <w:t xml:space="preserve"> In keeping with this, the BSEA</w:t>
      </w:r>
      <w:r w:rsidRPr="0086100D">
        <w:rPr>
          <w:color w:val="000000" w:themeColor="text1"/>
        </w:rPr>
        <w:t xml:space="preserve"> </w:t>
      </w:r>
      <w:r>
        <w:rPr>
          <w:color w:val="000000" w:themeColor="text1"/>
        </w:rPr>
        <w:t xml:space="preserve">Hearing </w:t>
      </w:r>
      <w:r w:rsidRPr="0086100D">
        <w:rPr>
          <w:color w:val="000000" w:themeColor="text1"/>
        </w:rPr>
        <w:t>Notice dated March 26, 2021</w:t>
      </w:r>
      <w:r>
        <w:rPr>
          <w:color w:val="000000" w:themeColor="text1"/>
        </w:rPr>
        <w:t xml:space="preserve"> names </w:t>
      </w:r>
      <w:r w:rsidRPr="0086100D">
        <w:rPr>
          <w:color w:val="000000" w:themeColor="text1"/>
        </w:rPr>
        <w:t>both</w:t>
      </w:r>
      <w:r>
        <w:rPr>
          <w:color w:val="000000" w:themeColor="text1"/>
        </w:rPr>
        <w:t xml:space="preserve"> entities</w:t>
      </w:r>
      <w:r w:rsidRPr="0086100D">
        <w:rPr>
          <w:color w:val="000000" w:themeColor="text1"/>
        </w:rPr>
        <w:t xml:space="preserve"> as parties</w:t>
      </w:r>
      <w:r>
        <w:rPr>
          <w:color w:val="000000" w:themeColor="text1"/>
        </w:rPr>
        <w:t xml:space="preserve"> to the dispute.</w:t>
      </w:r>
    </w:p>
    <w:p w14:paraId="24063AFC" w14:textId="77777777" w:rsidR="00153D12" w:rsidRPr="0086100D" w:rsidRDefault="00153D12" w:rsidP="00153D12">
      <w:pPr>
        <w:spacing w:before="100" w:beforeAutospacing="1" w:after="100" w:afterAutospacing="1"/>
        <w:rPr>
          <w:color w:val="000000" w:themeColor="text1"/>
        </w:rPr>
      </w:pPr>
      <w:r w:rsidRPr="0086100D">
        <w:rPr>
          <w:b/>
          <w:bCs/>
          <w:color w:val="000000" w:themeColor="text1"/>
        </w:rPr>
        <w:t xml:space="preserve">ORDER </w:t>
      </w:r>
    </w:p>
    <w:p w14:paraId="1E1199E2" w14:textId="18744B70" w:rsidR="00153D12" w:rsidRPr="0086100D" w:rsidRDefault="00690764" w:rsidP="00153D12">
      <w:pPr>
        <w:spacing w:before="100" w:beforeAutospacing="1" w:after="100" w:afterAutospacing="1"/>
        <w:rPr>
          <w:color w:val="000000" w:themeColor="text1"/>
        </w:rPr>
      </w:pPr>
      <w:r w:rsidRPr="0086100D">
        <w:rPr>
          <w:color w:val="000000" w:themeColor="text1"/>
        </w:rPr>
        <w:t>For the reasons discussed, t</w:t>
      </w:r>
      <w:r w:rsidRPr="0086100D">
        <w:rPr>
          <w:color w:val="000000" w:themeColor="text1"/>
          <w:shd w:val="clear" w:color="auto" w:fill="FFFFFF"/>
        </w:rPr>
        <w:t xml:space="preserve">he District’s </w:t>
      </w:r>
      <w:r w:rsidRPr="0086100D">
        <w:rPr>
          <w:i/>
          <w:iCs/>
          <w:color w:val="000000" w:themeColor="text1"/>
        </w:rPr>
        <w:t>Motion</w:t>
      </w:r>
      <w:r w:rsidR="001301B2" w:rsidRPr="0086100D">
        <w:rPr>
          <w:color w:val="000000" w:themeColor="text1"/>
          <w:shd w:val="clear" w:color="auto" w:fill="FFFFFF"/>
        </w:rPr>
        <w:t xml:space="preserve"> challenging the sufficiency of Parent’s Hearing Request</w:t>
      </w:r>
      <w:r w:rsidRPr="0086100D">
        <w:rPr>
          <w:color w:val="000000" w:themeColor="text1"/>
          <w:shd w:val="clear" w:color="auto" w:fill="FFFFFF"/>
        </w:rPr>
        <w:t xml:space="preserve"> is hereby </w:t>
      </w:r>
      <w:r w:rsidRPr="0086100D">
        <w:rPr>
          <w:b/>
          <w:bCs/>
          <w:color w:val="000000" w:themeColor="text1"/>
          <w:shd w:val="clear" w:color="auto" w:fill="FFFFFF"/>
        </w:rPr>
        <w:t>DENIED</w:t>
      </w:r>
      <w:r w:rsidRPr="0086100D">
        <w:rPr>
          <w:color w:val="000000" w:themeColor="text1"/>
          <w:shd w:val="clear" w:color="auto" w:fill="FFFFFF"/>
        </w:rPr>
        <w:t xml:space="preserve">. </w:t>
      </w:r>
      <w:r w:rsidR="00153D12" w:rsidRPr="0086100D">
        <w:rPr>
          <w:color w:val="000000" w:themeColor="text1"/>
        </w:rPr>
        <w:t xml:space="preserve">The matter will proceed as provided in the </w:t>
      </w:r>
      <w:r w:rsidRPr="0086100D">
        <w:rPr>
          <w:color w:val="000000" w:themeColor="text1"/>
        </w:rPr>
        <w:t>March 26, 2021</w:t>
      </w:r>
      <w:r w:rsidR="00153D12" w:rsidRPr="0086100D">
        <w:rPr>
          <w:color w:val="000000" w:themeColor="text1"/>
        </w:rPr>
        <w:t xml:space="preserve"> </w:t>
      </w:r>
      <w:r w:rsidR="00153D12" w:rsidRPr="0086100D">
        <w:rPr>
          <w:i/>
          <w:iCs/>
          <w:color w:val="000000" w:themeColor="text1"/>
        </w:rPr>
        <w:t xml:space="preserve">Notice of Hearing </w:t>
      </w:r>
      <w:r w:rsidR="00153D12" w:rsidRPr="0086100D">
        <w:rPr>
          <w:color w:val="000000" w:themeColor="text1"/>
        </w:rPr>
        <w:t xml:space="preserve">issued by the BSEA. </w:t>
      </w:r>
      <w:r w:rsidR="00044AA5" w:rsidRPr="0086100D">
        <w:rPr>
          <w:color w:val="000000" w:themeColor="text1"/>
        </w:rPr>
        <w:t xml:space="preserve"> </w:t>
      </w:r>
      <w:r w:rsidR="00D114E6" w:rsidRPr="0086100D">
        <w:rPr>
          <w:color w:val="000000" w:themeColor="text1"/>
        </w:rPr>
        <w:t>Furthermore, a</w:t>
      </w:r>
      <w:r w:rsidR="00044AA5" w:rsidRPr="0086100D">
        <w:rPr>
          <w:color w:val="000000" w:themeColor="text1"/>
        </w:rPr>
        <w:t xml:space="preserve"> conference call will be scheduled </w:t>
      </w:r>
      <w:r w:rsidR="00FC40C2">
        <w:rPr>
          <w:color w:val="000000" w:themeColor="text1"/>
        </w:rPr>
        <w:t xml:space="preserve">to give </w:t>
      </w:r>
      <w:r w:rsidR="00044AA5" w:rsidRPr="0086100D">
        <w:rPr>
          <w:color w:val="000000" w:themeColor="text1"/>
        </w:rPr>
        <w:t>the partie</w:t>
      </w:r>
      <w:r w:rsidR="000A4430">
        <w:rPr>
          <w:color w:val="000000" w:themeColor="text1"/>
        </w:rPr>
        <w:t>s</w:t>
      </w:r>
      <w:r w:rsidR="00FC40C2">
        <w:rPr>
          <w:color w:val="000000" w:themeColor="text1"/>
        </w:rPr>
        <w:t xml:space="preserve"> an opportunity</w:t>
      </w:r>
      <w:r w:rsidR="00044AA5" w:rsidRPr="0086100D">
        <w:rPr>
          <w:color w:val="000000" w:themeColor="text1"/>
        </w:rPr>
        <w:t xml:space="preserve"> to further articulate the issues for Hearing.</w:t>
      </w:r>
    </w:p>
    <w:p w14:paraId="24493FC1" w14:textId="77777777" w:rsidR="00153D12" w:rsidRPr="0086100D" w:rsidRDefault="00153D12" w:rsidP="00153D12">
      <w:pPr>
        <w:spacing w:before="100" w:beforeAutospacing="1" w:after="100" w:afterAutospacing="1"/>
        <w:rPr>
          <w:color w:val="000000" w:themeColor="text1"/>
        </w:rPr>
      </w:pPr>
      <w:r w:rsidRPr="0086100D">
        <w:rPr>
          <w:color w:val="000000" w:themeColor="text1"/>
        </w:rPr>
        <w:t xml:space="preserve">By the Hearing Officer: </w:t>
      </w:r>
    </w:p>
    <w:p w14:paraId="36B233E9" w14:textId="77777777" w:rsidR="00690764" w:rsidRPr="0086100D" w:rsidRDefault="00690764" w:rsidP="00153D12">
      <w:pPr>
        <w:spacing w:before="100" w:beforeAutospacing="1" w:after="100" w:afterAutospacing="1"/>
        <w:rPr>
          <w:color w:val="000000" w:themeColor="text1"/>
          <w:u w:val="single"/>
        </w:rPr>
      </w:pPr>
      <w:r w:rsidRPr="0086100D">
        <w:rPr>
          <w:color w:val="000000" w:themeColor="text1"/>
          <w:u w:val="single"/>
        </w:rPr>
        <w:t xml:space="preserve">/s/ </w:t>
      </w:r>
      <w:r w:rsidRPr="0086100D">
        <w:rPr>
          <w:rFonts w:ascii="Apple Chancery" w:hAnsi="Apple Chancery" w:cs="Apple Chancery" w:hint="cs"/>
          <w:color w:val="000000" w:themeColor="text1"/>
          <w:u w:val="single"/>
        </w:rPr>
        <w:t>Alina Kantor Nir</w:t>
      </w:r>
    </w:p>
    <w:p w14:paraId="291FA1FC" w14:textId="5CCA3ECB" w:rsidR="00153D12" w:rsidRPr="0086100D" w:rsidRDefault="00690764" w:rsidP="00153D12">
      <w:pPr>
        <w:spacing w:before="100" w:beforeAutospacing="1" w:after="100" w:afterAutospacing="1"/>
        <w:rPr>
          <w:color w:val="000000" w:themeColor="text1"/>
        </w:rPr>
      </w:pPr>
      <w:r w:rsidRPr="0086100D">
        <w:rPr>
          <w:color w:val="000000" w:themeColor="text1"/>
        </w:rPr>
        <w:t>Alina Kantor Nir</w:t>
      </w:r>
      <w:r w:rsidR="00153D12" w:rsidRPr="0086100D">
        <w:rPr>
          <w:color w:val="000000" w:themeColor="text1"/>
        </w:rPr>
        <w:br/>
        <w:t xml:space="preserve">Dated: </w:t>
      </w:r>
      <w:r w:rsidRPr="0086100D">
        <w:rPr>
          <w:color w:val="000000" w:themeColor="text1"/>
        </w:rPr>
        <w:t xml:space="preserve">March </w:t>
      </w:r>
      <w:r w:rsidR="00EB268E">
        <w:rPr>
          <w:color w:val="000000" w:themeColor="text1"/>
        </w:rPr>
        <w:t>29</w:t>
      </w:r>
      <w:r w:rsidRPr="0086100D">
        <w:rPr>
          <w:color w:val="000000" w:themeColor="text1"/>
        </w:rPr>
        <w:t>, 2021</w:t>
      </w:r>
    </w:p>
    <w:p w14:paraId="04252254" w14:textId="77777777" w:rsidR="00963DA6" w:rsidRPr="0086100D" w:rsidRDefault="00831C96">
      <w:pPr>
        <w:rPr>
          <w:color w:val="000000" w:themeColor="text1"/>
        </w:rPr>
      </w:pPr>
    </w:p>
    <w:sectPr w:rsidR="00963DA6" w:rsidRPr="008610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204CF" w14:textId="77777777" w:rsidR="00831C96" w:rsidRDefault="00831C96" w:rsidP="005E47F3">
      <w:r>
        <w:separator/>
      </w:r>
    </w:p>
  </w:endnote>
  <w:endnote w:type="continuationSeparator" w:id="0">
    <w:p w14:paraId="3C24286A" w14:textId="77777777" w:rsidR="00831C96" w:rsidRDefault="00831C96" w:rsidP="005E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045157"/>
      <w:docPartObj>
        <w:docPartGallery w:val="Page Numbers (Bottom of Page)"/>
        <w:docPartUnique/>
      </w:docPartObj>
    </w:sdtPr>
    <w:sdtEndPr>
      <w:rPr>
        <w:noProof/>
      </w:rPr>
    </w:sdtEndPr>
    <w:sdtContent>
      <w:p w14:paraId="67974CFC" w14:textId="77777777" w:rsidR="002E5563" w:rsidRDefault="00FE4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13B2F" w14:textId="77777777" w:rsidR="002E5563" w:rsidRDefault="00831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E8E" w14:textId="77777777" w:rsidR="00831C96" w:rsidRDefault="00831C96" w:rsidP="005E47F3">
      <w:r>
        <w:separator/>
      </w:r>
    </w:p>
  </w:footnote>
  <w:footnote w:type="continuationSeparator" w:id="0">
    <w:p w14:paraId="0DD9FFD2" w14:textId="77777777" w:rsidR="00831C96" w:rsidRDefault="00831C96" w:rsidP="005E4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16F1"/>
    <w:multiLevelType w:val="hybridMultilevel"/>
    <w:tmpl w:val="B5E6BE42"/>
    <w:lvl w:ilvl="0" w:tplc="6674E0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87A90"/>
    <w:multiLevelType w:val="multilevel"/>
    <w:tmpl w:val="0A34C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0200B"/>
    <w:multiLevelType w:val="multilevel"/>
    <w:tmpl w:val="0A34C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F10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AA07BE"/>
    <w:multiLevelType w:val="hybridMultilevel"/>
    <w:tmpl w:val="5AFC09D4"/>
    <w:lvl w:ilvl="0" w:tplc="DAA474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B475DA"/>
    <w:multiLevelType w:val="hybridMultilevel"/>
    <w:tmpl w:val="6760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FC4022"/>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7" w15:restartNumberingAfterBreak="0">
    <w:nsid w:val="7C8248AD"/>
    <w:multiLevelType w:val="hybridMultilevel"/>
    <w:tmpl w:val="0C9E58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C2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F3"/>
    <w:rsid w:val="000173D1"/>
    <w:rsid w:val="000343BE"/>
    <w:rsid w:val="00044AA5"/>
    <w:rsid w:val="000455C5"/>
    <w:rsid w:val="00097559"/>
    <w:rsid w:val="000A3B01"/>
    <w:rsid w:val="000A4430"/>
    <w:rsid w:val="000A58CC"/>
    <w:rsid w:val="000B4369"/>
    <w:rsid w:val="000C0997"/>
    <w:rsid w:val="000C453B"/>
    <w:rsid w:val="000D5110"/>
    <w:rsid w:val="000D6AB0"/>
    <w:rsid w:val="001017AE"/>
    <w:rsid w:val="001301B2"/>
    <w:rsid w:val="00153D12"/>
    <w:rsid w:val="00160440"/>
    <w:rsid w:val="0016062E"/>
    <w:rsid w:val="001C5FCC"/>
    <w:rsid w:val="001D2ECB"/>
    <w:rsid w:val="001E1537"/>
    <w:rsid w:val="0021413D"/>
    <w:rsid w:val="002959DB"/>
    <w:rsid w:val="00296113"/>
    <w:rsid w:val="002F371A"/>
    <w:rsid w:val="0030540D"/>
    <w:rsid w:val="00314C2D"/>
    <w:rsid w:val="00326E2A"/>
    <w:rsid w:val="0036429A"/>
    <w:rsid w:val="00373192"/>
    <w:rsid w:val="00387BC3"/>
    <w:rsid w:val="003B2936"/>
    <w:rsid w:val="003C4ECC"/>
    <w:rsid w:val="003D6597"/>
    <w:rsid w:val="003E627A"/>
    <w:rsid w:val="00427BF7"/>
    <w:rsid w:val="0044559A"/>
    <w:rsid w:val="00447130"/>
    <w:rsid w:val="00465A13"/>
    <w:rsid w:val="00481BF6"/>
    <w:rsid w:val="004A5236"/>
    <w:rsid w:val="004B4293"/>
    <w:rsid w:val="004C072B"/>
    <w:rsid w:val="005048D5"/>
    <w:rsid w:val="005072E9"/>
    <w:rsid w:val="00526812"/>
    <w:rsid w:val="00565631"/>
    <w:rsid w:val="00565C70"/>
    <w:rsid w:val="00574AC5"/>
    <w:rsid w:val="005B0E44"/>
    <w:rsid w:val="005D3543"/>
    <w:rsid w:val="005E3558"/>
    <w:rsid w:val="005E47F3"/>
    <w:rsid w:val="005F04BE"/>
    <w:rsid w:val="006012E9"/>
    <w:rsid w:val="0061267F"/>
    <w:rsid w:val="006564E4"/>
    <w:rsid w:val="00690764"/>
    <w:rsid w:val="006A2BA3"/>
    <w:rsid w:val="006C6DEA"/>
    <w:rsid w:val="0070536A"/>
    <w:rsid w:val="00711493"/>
    <w:rsid w:val="00726577"/>
    <w:rsid w:val="00745037"/>
    <w:rsid w:val="00746E1D"/>
    <w:rsid w:val="00767FA5"/>
    <w:rsid w:val="00780FF7"/>
    <w:rsid w:val="007C1889"/>
    <w:rsid w:val="007C5BF2"/>
    <w:rsid w:val="0082043B"/>
    <w:rsid w:val="00831C96"/>
    <w:rsid w:val="0086100D"/>
    <w:rsid w:val="0086144E"/>
    <w:rsid w:val="00875915"/>
    <w:rsid w:val="008B3A7D"/>
    <w:rsid w:val="008B7976"/>
    <w:rsid w:val="008F658F"/>
    <w:rsid w:val="00924477"/>
    <w:rsid w:val="0092606B"/>
    <w:rsid w:val="00947BBD"/>
    <w:rsid w:val="00962F9E"/>
    <w:rsid w:val="00971B1D"/>
    <w:rsid w:val="00992191"/>
    <w:rsid w:val="009A5678"/>
    <w:rsid w:val="009B3753"/>
    <w:rsid w:val="009B4522"/>
    <w:rsid w:val="009E1294"/>
    <w:rsid w:val="009E7548"/>
    <w:rsid w:val="009F4D13"/>
    <w:rsid w:val="00A5743C"/>
    <w:rsid w:val="00A92904"/>
    <w:rsid w:val="00AA02AE"/>
    <w:rsid w:val="00AC5333"/>
    <w:rsid w:val="00AF1657"/>
    <w:rsid w:val="00B00947"/>
    <w:rsid w:val="00B128F9"/>
    <w:rsid w:val="00B2017C"/>
    <w:rsid w:val="00B56A65"/>
    <w:rsid w:val="00B57EFB"/>
    <w:rsid w:val="00B81435"/>
    <w:rsid w:val="00BA2A92"/>
    <w:rsid w:val="00BB507A"/>
    <w:rsid w:val="00C026A0"/>
    <w:rsid w:val="00C15CA6"/>
    <w:rsid w:val="00C433DB"/>
    <w:rsid w:val="00C70FC5"/>
    <w:rsid w:val="00CE3B09"/>
    <w:rsid w:val="00D114E6"/>
    <w:rsid w:val="00D32C33"/>
    <w:rsid w:val="00D3401E"/>
    <w:rsid w:val="00D60AC9"/>
    <w:rsid w:val="00D63588"/>
    <w:rsid w:val="00D91E43"/>
    <w:rsid w:val="00D92894"/>
    <w:rsid w:val="00D94604"/>
    <w:rsid w:val="00DB0B5F"/>
    <w:rsid w:val="00DB2B88"/>
    <w:rsid w:val="00DC6560"/>
    <w:rsid w:val="00DF5A43"/>
    <w:rsid w:val="00DF653C"/>
    <w:rsid w:val="00E02E85"/>
    <w:rsid w:val="00E06281"/>
    <w:rsid w:val="00E12384"/>
    <w:rsid w:val="00E13E5F"/>
    <w:rsid w:val="00E21094"/>
    <w:rsid w:val="00E5321D"/>
    <w:rsid w:val="00E53B69"/>
    <w:rsid w:val="00E549DC"/>
    <w:rsid w:val="00EA00BD"/>
    <w:rsid w:val="00EA5D68"/>
    <w:rsid w:val="00EB268E"/>
    <w:rsid w:val="00EC4A18"/>
    <w:rsid w:val="00EC7B16"/>
    <w:rsid w:val="00F21186"/>
    <w:rsid w:val="00F257E0"/>
    <w:rsid w:val="00F67CFA"/>
    <w:rsid w:val="00F81EDD"/>
    <w:rsid w:val="00FA04C7"/>
    <w:rsid w:val="00FC40C2"/>
    <w:rsid w:val="00FC5269"/>
    <w:rsid w:val="00FC7A39"/>
    <w:rsid w:val="00FE4012"/>
    <w:rsid w:val="00FF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C822"/>
  <w15:chartTrackingRefBased/>
  <w15:docId w15:val="{C802D5A3-247B-4543-8C9C-ED7F21BB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E47F3"/>
    <w:rPr>
      <w:sz w:val="20"/>
      <w:szCs w:val="20"/>
    </w:rPr>
  </w:style>
  <w:style w:type="character" w:customStyle="1" w:styleId="FootnoteTextChar">
    <w:name w:val="Footnote Text Char"/>
    <w:basedOn w:val="DefaultParagraphFont"/>
    <w:link w:val="FootnoteText"/>
    <w:semiHidden/>
    <w:rsid w:val="005E47F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E47F3"/>
    <w:rPr>
      <w:vertAlign w:val="superscript"/>
    </w:rPr>
  </w:style>
  <w:style w:type="paragraph" w:styleId="Footer">
    <w:name w:val="footer"/>
    <w:basedOn w:val="Normal"/>
    <w:link w:val="FooterChar"/>
    <w:uiPriority w:val="99"/>
    <w:unhideWhenUsed/>
    <w:rsid w:val="005E47F3"/>
    <w:pPr>
      <w:tabs>
        <w:tab w:val="center" w:pos="4680"/>
        <w:tab w:val="right" w:pos="9360"/>
      </w:tabs>
    </w:pPr>
  </w:style>
  <w:style w:type="character" w:customStyle="1" w:styleId="FooterChar">
    <w:name w:val="Footer Char"/>
    <w:basedOn w:val="DefaultParagraphFont"/>
    <w:link w:val="Footer"/>
    <w:uiPriority w:val="99"/>
    <w:rsid w:val="005E47F3"/>
    <w:rPr>
      <w:rFonts w:ascii="Times New Roman" w:eastAsia="Times New Roman" w:hAnsi="Times New Roman" w:cs="Times New Roman"/>
    </w:rPr>
  </w:style>
  <w:style w:type="paragraph" w:styleId="NoSpacing">
    <w:name w:val="No Spacing"/>
    <w:uiPriority w:val="1"/>
    <w:qFormat/>
    <w:rsid w:val="005E47F3"/>
    <w:rPr>
      <w:sz w:val="22"/>
      <w:szCs w:val="22"/>
    </w:rPr>
  </w:style>
  <w:style w:type="paragraph" w:styleId="ListParagraph">
    <w:name w:val="List Paragraph"/>
    <w:basedOn w:val="Normal"/>
    <w:uiPriority w:val="34"/>
    <w:qFormat/>
    <w:rsid w:val="005E47F3"/>
    <w:pPr>
      <w:ind w:left="720"/>
      <w:contextualSpacing/>
    </w:pPr>
  </w:style>
  <w:style w:type="paragraph" w:styleId="BodyText">
    <w:name w:val="Body Text"/>
    <w:basedOn w:val="Normal"/>
    <w:link w:val="BodyTextChar"/>
    <w:rsid w:val="005E47F3"/>
    <w:pPr>
      <w:autoSpaceDE w:val="0"/>
      <w:autoSpaceDN w:val="0"/>
      <w:spacing w:after="120"/>
    </w:pPr>
  </w:style>
  <w:style w:type="character" w:customStyle="1" w:styleId="BodyTextChar">
    <w:name w:val="Body Text Char"/>
    <w:basedOn w:val="DefaultParagraphFont"/>
    <w:link w:val="BodyText"/>
    <w:rsid w:val="005E47F3"/>
    <w:rPr>
      <w:rFonts w:ascii="Times New Roman" w:eastAsia="Times New Roman" w:hAnsi="Times New Roman" w:cs="Times New Roman"/>
    </w:rPr>
  </w:style>
  <w:style w:type="character" w:customStyle="1" w:styleId="apple-converted-space">
    <w:name w:val="apple-converted-space"/>
    <w:basedOn w:val="DefaultParagraphFont"/>
    <w:rsid w:val="005E47F3"/>
  </w:style>
  <w:style w:type="paragraph" w:styleId="NormalWeb">
    <w:name w:val="Normal (Web)"/>
    <w:basedOn w:val="Normal"/>
    <w:uiPriority w:val="99"/>
    <w:unhideWhenUsed/>
    <w:rsid w:val="005E47F3"/>
    <w:pPr>
      <w:spacing w:before="100" w:beforeAutospacing="1" w:after="100" w:afterAutospacing="1"/>
    </w:pPr>
  </w:style>
  <w:style w:type="paragraph" w:customStyle="1" w:styleId="paragraph">
    <w:name w:val="paragraph"/>
    <w:basedOn w:val="Normal"/>
    <w:rsid w:val="005E47F3"/>
    <w:pPr>
      <w:spacing w:before="100" w:beforeAutospacing="1" w:after="100" w:afterAutospacing="1"/>
    </w:pPr>
  </w:style>
  <w:style w:type="character" w:customStyle="1" w:styleId="normaltextrun">
    <w:name w:val="normaltextrun"/>
    <w:basedOn w:val="DefaultParagraphFont"/>
    <w:rsid w:val="005E47F3"/>
  </w:style>
  <w:style w:type="character" w:customStyle="1" w:styleId="eop">
    <w:name w:val="eop"/>
    <w:basedOn w:val="DefaultParagraphFont"/>
    <w:rsid w:val="005E47F3"/>
  </w:style>
  <w:style w:type="character" w:customStyle="1" w:styleId="tabchar">
    <w:name w:val="tabchar"/>
    <w:basedOn w:val="DefaultParagraphFont"/>
    <w:rsid w:val="005E47F3"/>
  </w:style>
  <w:style w:type="character" w:customStyle="1" w:styleId="pagebreaktextspan">
    <w:name w:val="pagebreaktextspan"/>
    <w:basedOn w:val="DefaultParagraphFont"/>
    <w:rsid w:val="005E47F3"/>
  </w:style>
  <w:style w:type="character" w:customStyle="1" w:styleId="cosearchterm">
    <w:name w:val="co_searchterm"/>
    <w:basedOn w:val="DefaultParagraphFont"/>
    <w:rsid w:val="00745037"/>
  </w:style>
  <w:style w:type="character" w:styleId="Hyperlink">
    <w:name w:val="Hyperlink"/>
    <w:basedOn w:val="DefaultParagraphFont"/>
    <w:uiPriority w:val="99"/>
    <w:semiHidden/>
    <w:unhideWhenUsed/>
    <w:rsid w:val="00745037"/>
    <w:rPr>
      <w:color w:val="0000FF"/>
      <w:u w:val="single"/>
    </w:rPr>
  </w:style>
  <w:style w:type="character" w:styleId="FollowedHyperlink">
    <w:name w:val="FollowedHyperlink"/>
    <w:basedOn w:val="DefaultParagraphFont"/>
    <w:uiPriority w:val="99"/>
    <w:semiHidden/>
    <w:unhideWhenUsed/>
    <w:rsid w:val="00D63588"/>
    <w:rPr>
      <w:color w:val="954F72" w:themeColor="followedHyperlink"/>
      <w:u w:val="single"/>
    </w:rPr>
  </w:style>
  <w:style w:type="paragraph" w:styleId="BalloonText">
    <w:name w:val="Balloon Text"/>
    <w:basedOn w:val="Normal"/>
    <w:link w:val="BalloonTextChar"/>
    <w:uiPriority w:val="99"/>
    <w:semiHidden/>
    <w:unhideWhenUsed/>
    <w:rsid w:val="00926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4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5CC7-6A75-E74B-B181-A1ADD4FA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2021-03-26T19:43:00Z</cp:lastPrinted>
  <dcterms:created xsi:type="dcterms:W3CDTF">2021-04-06T15:16:00Z</dcterms:created>
  <dcterms:modified xsi:type="dcterms:W3CDTF">2021-04-06T15:16:00Z</dcterms:modified>
</cp:coreProperties>
</file>