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0D58" w14:textId="3F03F220" w:rsidR="001B4DFD" w:rsidRPr="004E3D8C" w:rsidRDefault="001B4DFD" w:rsidP="001B4DFD">
      <w:pPr>
        <w:jc w:val="center"/>
        <w:rPr>
          <w:b/>
          <w:color w:val="000000" w:themeColor="text1"/>
          <w:sz w:val="22"/>
          <w:szCs w:val="22"/>
        </w:rPr>
      </w:pPr>
      <w:r w:rsidRPr="004E3D8C">
        <w:rPr>
          <w:b/>
          <w:color w:val="000000" w:themeColor="text1"/>
          <w:sz w:val="22"/>
          <w:szCs w:val="22"/>
        </w:rPr>
        <w:t>COMMONWEALTH OF MASSACHUSETTS</w:t>
      </w:r>
    </w:p>
    <w:p w14:paraId="240D9614" w14:textId="77777777" w:rsidR="001B4DFD" w:rsidRPr="004E3D8C" w:rsidRDefault="001B4DFD" w:rsidP="001B4DFD">
      <w:pPr>
        <w:jc w:val="center"/>
        <w:rPr>
          <w:b/>
          <w:color w:val="000000" w:themeColor="text1"/>
          <w:sz w:val="22"/>
          <w:szCs w:val="22"/>
        </w:rPr>
      </w:pPr>
      <w:r w:rsidRPr="004E3D8C">
        <w:rPr>
          <w:b/>
          <w:color w:val="000000" w:themeColor="text1"/>
          <w:sz w:val="22"/>
          <w:szCs w:val="22"/>
        </w:rPr>
        <w:t>DIVISION OF ADMINISTRATIVE LAW APPEALS</w:t>
      </w:r>
    </w:p>
    <w:p w14:paraId="38433E14" w14:textId="6EBCDE84" w:rsidR="001B4DFD" w:rsidRPr="004E3D8C" w:rsidRDefault="001B4DFD" w:rsidP="001B4DFD">
      <w:pPr>
        <w:jc w:val="center"/>
        <w:rPr>
          <w:b/>
          <w:color w:val="000000" w:themeColor="text1"/>
          <w:sz w:val="22"/>
          <w:szCs w:val="22"/>
        </w:rPr>
      </w:pPr>
      <w:r w:rsidRPr="004E3D8C">
        <w:rPr>
          <w:b/>
          <w:color w:val="000000" w:themeColor="text1"/>
          <w:sz w:val="22"/>
          <w:szCs w:val="22"/>
        </w:rPr>
        <w:t>BUREAU OF SPECIAL EDUCATION APPEALS</w:t>
      </w:r>
    </w:p>
    <w:p w14:paraId="5EB150C8" w14:textId="77777777" w:rsidR="00CA240D" w:rsidRPr="004E3D8C" w:rsidRDefault="00CA240D" w:rsidP="001B4DFD">
      <w:pPr>
        <w:jc w:val="center"/>
        <w:rPr>
          <w:b/>
          <w:color w:val="000000" w:themeColor="text1"/>
          <w:sz w:val="22"/>
          <w:szCs w:val="22"/>
        </w:rPr>
      </w:pPr>
    </w:p>
    <w:p w14:paraId="06B163AE" w14:textId="77777777" w:rsidR="001B4DFD" w:rsidRPr="004E3D8C" w:rsidRDefault="001B4DFD" w:rsidP="001B4DFD">
      <w:pPr>
        <w:jc w:val="center"/>
        <w:rPr>
          <w:b/>
          <w:color w:val="000000" w:themeColor="text1"/>
          <w:sz w:val="22"/>
          <w:szCs w:val="22"/>
        </w:rPr>
      </w:pPr>
    </w:p>
    <w:p w14:paraId="5E49B897" w14:textId="5374F8F9" w:rsidR="001B4DFD" w:rsidRPr="004E3D8C" w:rsidRDefault="001B4DFD" w:rsidP="001B4DFD">
      <w:pPr>
        <w:rPr>
          <w:b/>
          <w:bCs/>
          <w:color w:val="000000" w:themeColor="text1"/>
          <w:sz w:val="22"/>
          <w:szCs w:val="22"/>
        </w:rPr>
      </w:pPr>
      <w:r w:rsidRPr="004E3D8C">
        <w:rPr>
          <w:b/>
          <w:color w:val="000000" w:themeColor="text1"/>
          <w:sz w:val="22"/>
          <w:szCs w:val="22"/>
        </w:rPr>
        <w:t>In Re</w:t>
      </w:r>
      <w:r w:rsidRPr="004E3D8C">
        <w:rPr>
          <w:color w:val="000000" w:themeColor="text1"/>
          <w:sz w:val="22"/>
          <w:szCs w:val="22"/>
        </w:rPr>
        <w:t xml:space="preserve">:  </w:t>
      </w:r>
      <w:r w:rsidR="0051346D" w:rsidRPr="004E3D8C">
        <w:rPr>
          <w:b/>
          <w:bCs/>
          <w:color w:val="000000" w:themeColor="text1"/>
          <w:sz w:val="22"/>
          <w:szCs w:val="22"/>
        </w:rPr>
        <w:t>Student</w:t>
      </w:r>
      <w:r w:rsidR="0023651B" w:rsidRPr="004E3D8C">
        <w:rPr>
          <w:b/>
          <w:bCs/>
          <w:color w:val="000000" w:themeColor="text1"/>
          <w:sz w:val="22"/>
          <w:szCs w:val="22"/>
        </w:rPr>
        <w:t xml:space="preserve"> v. </w:t>
      </w:r>
      <w:r w:rsidR="00BA6B7B" w:rsidRPr="004E3D8C">
        <w:rPr>
          <w:b/>
          <w:bCs/>
          <w:color w:val="000000" w:themeColor="text1"/>
          <w:sz w:val="22"/>
          <w:szCs w:val="22"/>
        </w:rPr>
        <w:t>Harvard Public School</w:t>
      </w:r>
      <w:r w:rsidR="00CA240D" w:rsidRPr="004E3D8C">
        <w:rPr>
          <w:b/>
          <w:bCs/>
          <w:color w:val="000000" w:themeColor="text1"/>
          <w:sz w:val="22"/>
          <w:szCs w:val="22"/>
        </w:rPr>
        <w:t>s</w:t>
      </w:r>
      <w:r w:rsidRPr="004E3D8C">
        <w:rPr>
          <w:b/>
          <w:bCs/>
          <w:color w:val="000000" w:themeColor="text1"/>
          <w:sz w:val="22"/>
          <w:szCs w:val="22"/>
        </w:rPr>
        <w:tab/>
      </w:r>
      <w:r w:rsidRPr="004E3D8C">
        <w:rPr>
          <w:b/>
          <w:bCs/>
          <w:color w:val="000000" w:themeColor="text1"/>
          <w:sz w:val="22"/>
          <w:szCs w:val="22"/>
        </w:rPr>
        <w:tab/>
      </w:r>
      <w:r w:rsidRPr="004E3D8C">
        <w:rPr>
          <w:b/>
          <w:bCs/>
          <w:color w:val="000000" w:themeColor="text1"/>
          <w:sz w:val="22"/>
          <w:szCs w:val="22"/>
        </w:rPr>
        <w:tab/>
      </w:r>
      <w:r w:rsidRPr="004E3D8C">
        <w:rPr>
          <w:b/>
          <w:bCs/>
          <w:color w:val="000000" w:themeColor="text1"/>
          <w:sz w:val="22"/>
          <w:szCs w:val="22"/>
        </w:rPr>
        <w:tab/>
        <w:t>BSEA#</w:t>
      </w:r>
      <w:r w:rsidR="00BA6B7B" w:rsidRPr="004E3D8C">
        <w:rPr>
          <w:b/>
          <w:bCs/>
          <w:color w:val="000000" w:themeColor="text1"/>
          <w:sz w:val="22"/>
          <w:szCs w:val="22"/>
        </w:rPr>
        <w:t xml:space="preserve"> </w:t>
      </w:r>
      <w:r w:rsidR="00CD4B03" w:rsidRPr="004E3D8C">
        <w:rPr>
          <w:b/>
          <w:bCs/>
          <w:color w:val="000000" w:themeColor="text1"/>
          <w:sz w:val="22"/>
          <w:szCs w:val="22"/>
        </w:rPr>
        <w:t>2108881</w:t>
      </w:r>
    </w:p>
    <w:p w14:paraId="49804D03" w14:textId="77777777" w:rsidR="00CA240D" w:rsidRPr="004E3D8C" w:rsidRDefault="00CA240D" w:rsidP="001B4DFD">
      <w:pPr>
        <w:rPr>
          <w:b/>
          <w:bCs/>
          <w:color w:val="000000" w:themeColor="text1"/>
          <w:sz w:val="22"/>
          <w:szCs w:val="22"/>
        </w:rPr>
      </w:pPr>
    </w:p>
    <w:p w14:paraId="4D3B6367" w14:textId="77777777" w:rsidR="001B4DFD" w:rsidRPr="004E3D8C" w:rsidRDefault="001B4DFD" w:rsidP="001B4DFD">
      <w:pPr>
        <w:rPr>
          <w:color w:val="000000" w:themeColor="text1"/>
          <w:sz w:val="22"/>
          <w:szCs w:val="22"/>
        </w:rPr>
      </w:pPr>
    </w:p>
    <w:p w14:paraId="7A614B7E" w14:textId="3B058153" w:rsidR="001B4DFD" w:rsidRPr="004E3D8C" w:rsidRDefault="0051346D" w:rsidP="001B4DFD">
      <w:pPr>
        <w:jc w:val="center"/>
        <w:rPr>
          <w:b/>
          <w:color w:val="000000" w:themeColor="text1"/>
          <w:sz w:val="22"/>
          <w:szCs w:val="22"/>
          <w:u w:val="single"/>
        </w:rPr>
      </w:pPr>
      <w:r w:rsidRPr="004E3D8C">
        <w:rPr>
          <w:b/>
          <w:color w:val="000000" w:themeColor="text1"/>
          <w:sz w:val="22"/>
          <w:szCs w:val="22"/>
          <w:u w:val="single"/>
        </w:rPr>
        <w:t>RULING</w:t>
      </w:r>
    </w:p>
    <w:p w14:paraId="019A2241" w14:textId="77777777" w:rsidR="001B4DFD" w:rsidRPr="004E3D8C" w:rsidRDefault="001B4DFD" w:rsidP="001B4DFD">
      <w:pPr>
        <w:rPr>
          <w:color w:val="000000" w:themeColor="text1"/>
          <w:sz w:val="22"/>
          <w:szCs w:val="22"/>
        </w:rPr>
      </w:pPr>
    </w:p>
    <w:p w14:paraId="01956F41" w14:textId="2991D570" w:rsidR="00E06DFE" w:rsidRPr="004E3D8C" w:rsidRDefault="00D345E4" w:rsidP="00203D2D">
      <w:pPr>
        <w:rPr>
          <w:bCs/>
          <w:color w:val="000000" w:themeColor="text1"/>
          <w:sz w:val="22"/>
          <w:szCs w:val="22"/>
        </w:rPr>
      </w:pPr>
      <w:r w:rsidRPr="004E3D8C">
        <w:rPr>
          <w:color w:val="000000" w:themeColor="text1"/>
          <w:sz w:val="22"/>
          <w:szCs w:val="22"/>
        </w:rPr>
        <w:t xml:space="preserve">On June 21, 2021, the Hearing Officer issued an </w:t>
      </w:r>
      <w:r w:rsidR="00704D2A" w:rsidRPr="004E3D8C">
        <w:rPr>
          <w:color w:val="000000" w:themeColor="text1"/>
          <w:sz w:val="22"/>
          <w:szCs w:val="22"/>
        </w:rPr>
        <w:t>O</w:t>
      </w:r>
      <w:r w:rsidR="00B80A85" w:rsidRPr="004E3D8C">
        <w:rPr>
          <w:color w:val="000000" w:themeColor="text1"/>
          <w:sz w:val="22"/>
          <w:szCs w:val="22"/>
        </w:rPr>
        <w:t>r</w:t>
      </w:r>
      <w:r w:rsidRPr="004E3D8C">
        <w:rPr>
          <w:color w:val="000000" w:themeColor="text1"/>
          <w:sz w:val="22"/>
          <w:szCs w:val="22"/>
        </w:rPr>
        <w:t>der in the above-referenced matter identifying the sole issue for Hearing</w:t>
      </w:r>
      <w:r w:rsidR="00E06DFE" w:rsidRPr="004E3D8C">
        <w:rPr>
          <w:color w:val="000000" w:themeColor="text1"/>
          <w:sz w:val="22"/>
          <w:szCs w:val="22"/>
        </w:rPr>
        <w:t xml:space="preserve"> and asking the Parties to respond if the issue was </w:t>
      </w:r>
      <w:r w:rsidR="00CA240D" w:rsidRPr="004E3D8C">
        <w:rPr>
          <w:color w:val="000000" w:themeColor="text1"/>
          <w:sz w:val="22"/>
          <w:szCs w:val="22"/>
        </w:rPr>
        <w:t>not accurately</w:t>
      </w:r>
      <w:r w:rsidR="00E06DFE" w:rsidRPr="004E3D8C">
        <w:rPr>
          <w:color w:val="000000" w:themeColor="text1"/>
          <w:sz w:val="22"/>
          <w:szCs w:val="22"/>
        </w:rPr>
        <w:t xml:space="preserve"> stated.  Th</w:t>
      </w:r>
      <w:r w:rsidR="008D76EA" w:rsidRPr="004E3D8C">
        <w:rPr>
          <w:color w:val="000000" w:themeColor="text1"/>
          <w:sz w:val="22"/>
          <w:szCs w:val="22"/>
        </w:rPr>
        <w:t>e Order indicated the issue</w:t>
      </w:r>
      <w:r w:rsidRPr="004E3D8C">
        <w:rPr>
          <w:color w:val="000000" w:themeColor="text1"/>
          <w:sz w:val="22"/>
          <w:szCs w:val="22"/>
        </w:rPr>
        <w:t xml:space="preserve"> as follows: </w:t>
      </w:r>
      <w:r w:rsidRPr="004E3D8C">
        <w:rPr>
          <w:bCs/>
          <w:color w:val="000000" w:themeColor="text1"/>
          <w:sz w:val="22"/>
          <w:szCs w:val="22"/>
        </w:rPr>
        <w:t xml:space="preserve">whether Student is entitled to continued special education eligibility and transition services with continued placement at Riverview’s GROW transition program for ESY 2021 and school year 2021-2022 </w:t>
      </w:r>
      <w:proofErr w:type="gramStart"/>
      <w:r w:rsidRPr="004E3D8C">
        <w:rPr>
          <w:bCs/>
          <w:color w:val="000000" w:themeColor="text1"/>
          <w:sz w:val="22"/>
          <w:szCs w:val="22"/>
        </w:rPr>
        <w:t>in order to</w:t>
      </w:r>
      <w:proofErr w:type="gramEnd"/>
      <w:r w:rsidRPr="004E3D8C">
        <w:rPr>
          <w:bCs/>
          <w:color w:val="000000" w:themeColor="text1"/>
          <w:sz w:val="22"/>
          <w:szCs w:val="22"/>
        </w:rPr>
        <w:t xml:space="preserve"> receive a FAPE.</w:t>
      </w:r>
      <w:r w:rsidR="00E06DFE" w:rsidRPr="004E3D8C">
        <w:rPr>
          <w:bCs/>
          <w:color w:val="000000" w:themeColor="text1"/>
          <w:sz w:val="22"/>
          <w:szCs w:val="22"/>
        </w:rPr>
        <w:t xml:space="preserve"> </w:t>
      </w:r>
    </w:p>
    <w:p w14:paraId="2897FFCA" w14:textId="77777777" w:rsidR="00E06DFE" w:rsidRPr="004E3D8C" w:rsidRDefault="00E06DFE" w:rsidP="00203D2D">
      <w:pPr>
        <w:rPr>
          <w:bCs/>
          <w:color w:val="000000" w:themeColor="text1"/>
          <w:sz w:val="22"/>
          <w:szCs w:val="22"/>
        </w:rPr>
      </w:pPr>
    </w:p>
    <w:p w14:paraId="71155A38" w14:textId="251AEBD9" w:rsidR="001B4DFD" w:rsidRPr="004E3D8C" w:rsidRDefault="00E06DFE" w:rsidP="00203D2D">
      <w:pPr>
        <w:rPr>
          <w:color w:val="000000" w:themeColor="text1"/>
          <w:sz w:val="22"/>
          <w:szCs w:val="22"/>
        </w:rPr>
      </w:pPr>
      <w:r w:rsidRPr="004E3D8C">
        <w:rPr>
          <w:color w:val="000000" w:themeColor="text1"/>
          <w:sz w:val="22"/>
          <w:szCs w:val="22"/>
        </w:rPr>
        <w:t xml:space="preserve">On June 22, 2021, </w:t>
      </w:r>
      <w:r w:rsidR="008D76EA" w:rsidRPr="004E3D8C">
        <w:rPr>
          <w:color w:val="000000" w:themeColor="text1"/>
          <w:sz w:val="22"/>
          <w:szCs w:val="22"/>
        </w:rPr>
        <w:t>t</w:t>
      </w:r>
      <w:r w:rsidRPr="004E3D8C">
        <w:rPr>
          <w:color w:val="000000" w:themeColor="text1"/>
          <w:sz w:val="22"/>
          <w:szCs w:val="22"/>
        </w:rPr>
        <w:t xml:space="preserve">he District </w:t>
      </w:r>
      <w:r w:rsidR="008D76EA" w:rsidRPr="004E3D8C">
        <w:rPr>
          <w:color w:val="000000" w:themeColor="text1"/>
          <w:sz w:val="22"/>
          <w:szCs w:val="22"/>
        </w:rPr>
        <w:t>responded</w:t>
      </w:r>
      <w:r w:rsidR="003711D7" w:rsidRPr="004E3D8C">
        <w:rPr>
          <w:color w:val="000000" w:themeColor="text1"/>
          <w:sz w:val="22"/>
          <w:szCs w:val="22"/>
        </w:rPr>
        <w:t xml:space="preserve"> clarifying the issues as follows:</w:t>
      </w:r>
    </w:p>
    <w:p w14:paraId="14D6973C" w14:textId="16BF4C61" w:rsidR="003711D7" w:rsidRPr="004E3D8C" w:rsidRDefault="003711D7" w:rsidP="003711D7">
      <w:pPr>
        <w:pStyle w:val="ListParagraph"/>
        <w:numPr>
          <w:ilvl w:val="0"/>
          <w:numId w:val="2"/>
        </w:numPr>
        <w:rPr>
          <w:color w:val="000000" w:themeColor="text1"/>
          <w:sz w:val="22"/>
          <w:szCs w:val="22"/>
        </w:rPr>
      </w:pPr>
      <w:r w:rsidRPr="004E3D8C">
        <w:rPr>
          <w:color w:val="000000" w:themeColor="text1"/>
          <w:sz w:val="22"/>
          <w:szCs w:val="22"/>
        </w:rPr>
        <w:t>Whether Student is entitled to continued special education</w:t>
      </w:r>
      <w:r w:rsidR="00456DA6" w:rsidRPr="004E3D8C">
        <w:rPr>
          <w:color w:val="000000" w:themeColor="text1"/>
          <w:sz w:val="22"/>
          <w:szCs w:val="22"/>
        </w:rPr>
        <w:t xml:space="preserve"> eligibility </w:t>
      </w:r>
      <w:r w:rsidRPr="004E3D8C">
        <w:rPr>
          <w:color w:val="000000" w:themeColor="text1"/>
          <w:sz w:val="22"/>
          <w:szCs w:val="22"/>
        </w:rPr>
        <w:t>from or through Harvard Public Schools for ESY 2021 and school year 2021-2022?</w:t>
      </w:r>
    </w:p>
    <w:p w14:paraId="3FC6C44C" w14:textId="5FE0A5B1" w:rsidR="003711D7" w:rsidRPr="004E3D8C" w:rsidRDefault="003711D7" w:rsidP="003711D7">
      <w:pPr>
        <w:pStyle w:val="ListParagraph"/>
        <w:numPr>
          <w:ilvl w:val="0"/>
          <w:numId w:val="2"/>
        </w:numPr>
        <w:rPr>
          <w:color w:val="000000" w:themeColor="text1"/>
          <w:sz w:val="22"/>
          <w:szCs w:val="22"/>
        </w:rPr>
      </w:pPr>
      <w:r w:rsidRPr="004E3D8C">
        <w:rPr>
          <w:color w:val="000000" w:themeColor="text1"/>
          <w:sz w:val="22"/>
          <w:szCs w:val="22"/>
        </w:rPr>
        <w:t>If so, does Student require</w:t>
      </w:r>
      <w:r w:rsidR="00DF2050" w:rsidRPr="004E3D8C">
        <w:rPr>
          <w:color w:val="000000" w:themeColor="text1"/>
          <w:sz w:val="22"/>
          <w:szCs w:val="22"/>
        </w:rPr>
        <w:t xml:space="preserve"> a </w:t>
      </w:r>
      <w:r w:rsidR="00C634DE" w:rsidRPr="004E3D8C">
        <w:rPr>
          <w:color w:val="000000" w:themeColor="text1"/>
          <w:sz w:val="22"/>
          <w:szCs w:val="22"/>
        </w:rPr>
        <w:t>residential</w:t>
      </w:r>
      <w:r w:rsidR="00DF2050" w:rsidRPr="004E3D8C">
        <w:rPr>
          <w:color w:val="000000" w:themeColor="text1"/>
          <w:sz w:val="22"/>
          <w:szCs w:val="22"/>
        </w:rPr>
        <w:t xml:space="preserve"> placement</w:t>
      </w:r>
      <w:r w:rsidR="00E43CF9" w:rsidRPr="004E3D8C">
        <w:rPr>
          <w:color w:val="000000" w:themeColor="text1"/>
          <w:sz w:val="22"/>
          <w:szCs w:val="22"/>
        </w:rPr>
        <w:t xml:space="preserve"> </w:t>
      </w:r>
      <w:r w:rsidR="00C634DE" w:rsidRPr="004E3D8C">
        <w:rPr>
          <w:color w:val="000000" w:themeColor="text1"/>
          <w:sz w:val="22"/>
          <w:szCs w:val="22"/>
        </w:rPr>
        <w:t>d</w:t>
      </w:r>
      <w:r w:rsidR="00E43CF9" w:rsidRPr="004E3D8C">
        <w:rPr>
          <w:color w:val="000000" w:themeColor="text1"/>
          <w:sz w:val="22"/>
          <w:szCs w:val="22"/>
        </w:rPr>
        <w:t>uring summer 2021 and/or the 2021-2022 school year to receive a FAPE?</w:t>
      </w:r>
    </w:p>
    <w:p w14:paraId="484164B2" w14:textId="77777777" w:rsidR="00CA240D" w:rsidRPr="004E3D8C" w:rsidRDefault="00CA240D" w:rsidP="00241961">
      <w:pPr>
        <w:pStyle w:val="ListParagraph"/>
        <w:ind w:left="1080"/>
        <w:rPr>
          <w:color w:val="000000" w:themeColor="text1"/>
          <w:sz w:val="22"/>
          <w:szCs w:val="22"/>
        </w:rPr>
      </w:pPr>
    </w:p>
    <w:p w14:paraId="50D1E253" w14:textId="014E66B6" w:rsidR="00E43CF9" w:rsidRPr="004E3D8C" w:rsidRDefault="00E43CF9" w:rsidP="00E43CF9">
      <w:pPr>
        <w:rPr>
          <w:color w:val="000000" w:themeColor="text1"/>
          <w:sz w:val="22"/>
          <w:szCs w:val="22"/>
        </w:rPr>
      </w:pPr>
      <w:r w:rsidRPr="004E3D8C">
        <w:rPr>
          <w:color w:val="000000" w:themeColor="text1"/>
          <w:sz w:val="22"/>
          <w:szCs w:val="22"/>
        </w:rPr>
        <w:t xml:space="preserve">On the same </w:t>
      </w:r>
      <w:r w:rsidR="00FB561B" w:rsidRPr="004E3D8C">
        <w:rPr>
          <w:color w:val="000000" w:themeColor="text1"/>
          <w:sz w:val="22"/>
          <w:szCs w:val="22"/>
        </w:rPr>
        <w:t>day</w:t>
      </w:r>
      <w:r w:rsidRPr="004E3D8C">
        <w:rPr>
          <w:color w:val="000000" w:themeColor="text1"/>
          <w:sz w:val="22"/>
          <w:szCs w:val="22"/>
        </w:rPr>
        <w:t xml:space="preserve">, </w:t>
      </w:r>
      <w:r w:rsidR="00C634DE" w:rsidRPr="004E3D8C">
        <w:rPr>
          <w:color w:val="000000" w:themeColor="text1"/>
          <w:sz w:val="22"/>
          <w:szCs w:val="22"/>
        </w:rPr>
        <w:t>Parents</w:t>
      </w:r>
      <w:r w:rsidR="002D335E" w:rsidRPr="004E3D8C">
        <w:rPr>
          <w:color w:val="000000" w:themeColor="text1"/>
          <w:sz w:val="22"/>
          <w:szCs w:val="22"/>
        </w:rPr>
        <w:t>/Guardians</w:t>
      </w:r>
      <w:r w:rsidR="00C634DE" w:rsidRPr="004E3D8C">
        <w:rPr>
          <w:color w:val="000000" w:themeColor="text1"/>
          <w:sz w:val="22"/>
          <w:szCs w:val="22"/>
        </w:rPr>
        <w:t xml:space="preserve"> responded, amending the District’s proposed issues as follows:</w:t>
      </w:r>
    </w:p>
    <w:p w14:paraId="48288FAD" w14:textId="43E1F051" w:rsidR="00C634DE" w:rsidRPr="004E3D8C" w:rsidRDefault="00C634DE" w:rsidP="00C634DE">
      <w:pPr>
        <w:pStyle w:val="ListParagraph"/>
        <w:numPr>
          <w:ilvl w:val="0"/>
          <w:numId w:val="3"/>
        </w:numPr>
        <w:rPr>
          <w:color w:val="000000" w:themeColor="text1"/>
          <w:sz w:val="22"/>
          <w:szCs w:val="22"/>
        </w:rPr>
      </w:pPr>
      <w:r w:rsidRPr="004E3D8C">
        <w:rPr>
          <w:color w:val="000000" w:themeColor="text1"/>
          <w:sz w:val="22"/>
          <w:szCs w:val="22"/>
        </w:rPr>
        <w:t xml:space="preserve">Whether Student is entitled to continued special education eligibility </w:t>
      </w:r>
      <w:r w:rsidR="00F65143" w:rsidRPr="004E3D8C">
        <w:rPr>
          <w:b/>
          <w:bCs/>
          <w:color w:val="000000" w:themeColor="text1"/>
          <w:sz w:val="22"/>
          <w:szCs w:val="22"/>
        </w:rPr>
        <w:t xml:space="preserve">and/or transition services </w:t>
      </w:r>
      <w:r w:rsidRPr="004E3D8C">
        <w:rPr>
          <w:color w:val="000000" w:themeColor="text1"/>
          <w:sz w:val="22"/>
          <w:szCs w:val="22"/>
        </w:rPr>
        <w:t>from or through Harvard Public Schools for ESY 2021 and school year 2021-2022?</w:t>
      </w:r>
    </w:p>
    <w:p w14:paraId="571CBCC2" w14:textId="6816B3ED" w:rsidR="00C634DE" w:rsidRPr="004E3D8C" w:rsidRDefault="00C634DE" w:rsidP="00C634DE">
      <w:pPr>
        <w:pStyle w:val="ListParagraph"/>
        <w:numPr>
          <w:ilvl w:val="0"/>
          <w:numId w:val="3"/>
        </w:numPr>
        <w:rPr>
          <w:color w:val="000000" w:themeColor="text1"/>
          <w:sz w:val="22"/>
          <w:szCs w:val="22"/>
        </w:rPr>
      </w:pPr>
      <w:r w:rsidRPr="004E3D8C">
        <w:rPr>
          <w:color w:val="000000" w:themeColor="text1"/>
          <w:sz w:val="22"/>
          <w:szCs w:val="22"/>
        </w:rPr>
        <w:t xml:space="preserve">If so, does Student require </w:t>
      </w:r>
      <w:r w:rsidR="00F65143" w:rsidRPr="004E3D8C">
        <w:rPr>
          <w:b/>
          <w:bCs/>
          <w:color w:val="000000" w:themeColor="text1"/>
          <w:sz w:val="22"/>
          <w:szCs w:val="22"/>
        </w:rPr>
        <w:t xml:space="preserve">placement at MGH’s Aspire Virtual Summer Program for ESY 2021 and/ </w:t>
      </w:r>
      <w:r w:rsidR="00D91993" w:rsidRPr="004E3D8C">
        <w:rPr>
          <w:b/>
          <w:bCs/>
          <w:color w:val="000000" w:themeColor="text1"/>
          <w:sz w:val="22"/>
          <w:szCs w:val="22"/>
        </w:rPr>
        <w:t xml:space="preserve">or </w:t>
      </w:r>
      <w:r w:rsidRPr="004E3D8C">
        <w:rPr>
          <w:b/>
          <w:bCs/>
          <w:color w:val="000000" w:themeColor="text1"/>
          <w:sz w:val="22"/>
          <w:szCs w:val="22"/>
        </w:rPr>
        <w:t>a residential placement</w:t>
      </w:r>
      <w:r w:rsidR="00D91993" w:rsidRPr="004E3D8C">
        <w:rPr>
          <w:b/>
          <w:bCs/>
          <w:color w:val="000000" w:themeColor="text1"/>
          <w:sz w:val="22"/>
          <w:szCs w:val="22"/>
        </w:rPr>
        <w:t xml:space="preserve"> at Riverview School’s GRO</w:t>
      </w:r>
      <w:r w:rsidR="00FB561B" w:rsidRPr="004E3D8C">
        <w:rPr>
          <w:b/>
          <w:bCs/>
          <w:color w:val="000000" w:themeColor="text1"/>
          <w:sz w:val="22"/>
          <w:szCs w:val="22"/>
        </w:rPr>
        <w:t>W</w:t>
      </w:r>
      <w:r w:rsidR="00D91993" w:rsidRPr="004E3D8C">
        <w:rPr>
          <w:b/>
          <w:bCs/>
          <w:color w:val="000000" w:themeColor="text1"/>
          <w:sz w:val="22"/>
          <w:szCs w:val="22"/>
        </w:rPr>
        <w:t xml:space="preserve"> transition program</w:t>
      </w:r>
      <w:r w:rsidRPr="004E3D8C">
        <w:rPr>
          <w:color w:val="000000" w:themeColor="text1"/>
          <w:sz w:val="22"/>
          <w:szCs w:val="22"/>
        </w:rPr>
        <w:t xml:space="preserve"> during summer 2021 and/or the 2021-2022 school year to receive a FAPE?</w:t>
      </w:r>
    </w:p>
    <w:p w14:paraId="6527EFD4" w14:textId="77777777" w:rsidR="00C634DE" w:rsidRPr="004E3D8C" w:rsidRDefault="00C634DE" w:rsidP="00E43CF9">
      <w:pPr>
        <w:rPr>
          <w:color w:val="000000" w:themeColor="text1"/>
          <w:sz w:val="22"/>
          <w:szCs w:val="22"/>
        </w:rPr>
      </w:pPr>
    </w:p>
    <w:p w14:paraId="64C3D20E" w14:textId="4E20BB93" w:rsidR="00203D2D" w:rsidRPr="004E3D8C" w:rsidRDefault="009A36A7" w:rsidP="00203D2D">
      <w:pPr>
        <w:rPr>
          <w:color w:val="000000" w:themeColor="text1"/>
          <w:sz w:val="22"/>
          <w:szCs w:val="22"/>
        </w:rPr>
      </w:pPr>
      <w:r w:rsidRPr="004E3D8C">
        <w:rPr>
          <w:color w:val="000000" w:themeColor="text1"/>
          <w:sz w:val="22"/>
          <w:szCs w:val="22"/>
        </w:rPr>
        <w:t>On June 23, 2021, the District responded</w:t>
      </w:r>
      <w:r w:rsidR="00FB561B" w:rsidRPr="004E3D8C">
        <w:rPr>
          <w:color w:val="000000" w:themeColor="text1"/>
          <w:sz w:val="22"/>
          <w:szCs w:val="22"/>
        </w:rPr>
        <w:t xml:space="preserve"> disagreeing</w:t>
      </w:r>
      <w:r w:rsidR="00C425B0" w:rsidRPr="004E3D8C">
        <w:rPr>
          <w:color w:val="000000" w:themeColor="text1"/>
          <w:sz w:val="22"/>
          <w:szCs w:val="22"/>
        </w:rPr>
        <w:t xml:space="preserve"> </w:t>
      </w:r>
      <w:r w:rsidR="00D858A5" w:rsidRPr="004E3D8C">
        <w:rPr>
          <w:color w:val="000000" w:themeColor="text1"/>
          <w:sz w:val="22"/>
          <w:szCs w:val="22"/>
        </w:rPr>
        <w:t>with</w:t>
      </w:r>
      <w:r w:rsidR="00C425B0" w:rsidRPr="004E3D8C">
        <w:rPr>
          <w:color w:val="000000" w:themeColor="text1"/>
          <w:sz w:val="22"/>
          <w:szCs w:val="22"/>
        </w:rPr>
        <w:t xml:space="preserve"> the inclusion of the additional language in Issue #1</w:t>
      </w:r>
      <w:r w:rsidR="00FB561B" w:rsidRPr="004E3D8C">
        <w:rPr>
          <w:color w:val="000000" w:themeColor="text1"/>
          <w:sz w:val="22"/>
          <w:szCs w:val="22"/>
        </w:rPr>
        <w:t>.  As grounds thereof, the District asserted that</w:t>
      </w:r>
      <w:r w:rsidR="00C425B0" w:rsidRPr="004E3D8C">
        <w:rPr>
          <w:color w:val="000000" w:themeColor="text1"/>
          <w:sz w:val="22"/>
          <w:szCs w:val="22"/>
        </w:rPr>
        <w:t xml:space="preserve"> </w:t>
      </w:r>
      <w:r w:rsidR="00D858A5" w:rsidRPr="004E3D8C">
        <w:rPr>
          <w:color w:val="000000" w:themeColor="text1"/>
          <w:sz w:val="22"/>
          <w:szCs w:val="22"/>
        </w:rPr>
        <w:t>said language “incorrectly suggests that there is a separate and distinct entitlement to transition services” under the IDEA</w:t>
      </w:r>
      <w:r w:rsidR="00A04B8C" w:rsidRPr="004E3D8C">
        <w:rPr>
          <w:color w:val="000000" w:themeColor="text1"/>
          <w:sz w:val="22"/>
          <w:szCs w:val="22"/>
        </w:rPr>
        <w:t xml:space="preserve"> and/or MGL c. 71B “even where a student is not, or is no longer, eligible for special education services.” </w:t>
      </w:r>
      <w:r w:rsidR="004E6A17" w:rsidRPr="004E3D8C">
        <w:rPr>
          <w:color w:val="000000" w:themeColor="text1"/>
          <w:sz w:val="22"/>
          <w:szCs w:val="22"/>
        </w:rPr>
        <w:t xml:space="preserve"> </w:t>
      </w:r>
      <w:r w:rsidR="00FB561B" w:rsidRPr="004E3D8C">
        <w:rPr>
          <w:color w:val="000000" w:themeColor="text1"/>
          <w:sz w:val="22"/>
          <w:szCs w:val="22"/>
        </w:rPr>
        <w:t>The District</w:t>
      </w:r>
      <w:r w:rsidR="004E6A17" w:rsidRPr="004E3D8C">
        <w:rPr>
          <w:color w:val="000000" w:themeColor="text1"/>
          <w:sz w:val="22"/>
          <w:szCs w:val="22"/>
        </w:rPr>
        <w:t xml:space="preserve"> also “strenuously” objected to a</w:t>
      </w:r>
      <w:r w:rsidR="00F113BD" w:rsidRPr="004E3D8C">
        <w:rPr>
          <w:color w:val="000000" w:themeColor="text1"/>
          <w:sz w:val="22"/>
          <w:szCs w:val="22"/>
        </w:rPr>
        <w:t>n</w:t>
      </w:r>
      <w:r w:rsidR="004E6A17" w:rsidRPr="004E3D8C">
        <w:rPr>
          <w:color w:val="000000" w:themeColor="text1"/>
          <w:sz w:val="22"/>
          <w:szCs w:val="22"/>
        </w:rPr>
        <w:t xml:space="preserve">y reference to the MGH Aspire Program as it was not referenced </w:t>
      </w:r>
      <w:r w:rsidR="008160B3" w:rsidRPr="004E3D8C">
        <w:rPr>
          <w:color w:val="000000" w:themeColor="text1"/>
          <w:sz w:val="22"/>
          <w:szCs w:val="22"/>
        </w:rPr>
        <w:t xml:space="preserve">in </w:t>
      </w:r>
      <w:r w:rsidR="004E6A17" w:rsidRPr="004E3D8C">
        <w:rPr>
          <w:color w:val="000000" w:themeColor="text1"/>
          <w:sz w:val="22"/>
          <w:szCs w:val="22"/>
        </w:rPr>
        <w:t>the Hearing Request</w:t>
      </w:r>
      <w:r w:rsidR="008160B3" w:rsidRPr="004E3D8C">
        <w:rPr>
          <w:color w:val="000000" w:themeColor="text1"/>
          <w:sz w:val="22"/>
          <w:szCs w:val="22"/>
        </w:rPr>
        <w:t xml:space="preserve">. </w:t>
      </w:r>
      <w:r w:rsidR="00C21743" w:rsidRPr="004E3D8C">
        <w:rPr>
          <w:color w:val="000000" w:themeColor="text1"/>
          <w:sz w:val="22"/>
          <w:szCs w:val="22"/>
        </w:rPr>
        <w:t xml:space="preserve">The District argued that </w:t>
      </w:r>
      <w:r w:rsidR="002D335E" w:rsidRPr="004E3D8C">
        <w:rPr>
          <w:color w:val="000000" w:themeColor="text1"/>
          <w:sz w:val="22"/>
          <w:szCs w:val="22"/>
        </w:rPr>
        <w:t xml:space="preserve">“this new, specific claim for relief a mere ten (10) days prior to an </w:t>
      </w:r>
      <w:r w:rsidR="00CC7BF5" w:rsidRPr="004E3D8C">
        <w:rPr>
          <w:color w:val="000000" w:themeColor="text1"/>
          <w:sz w:val="22"/>
          <w:szCs w:val="22"/>
        </w:rPr>
        <w:t>A</w:t>
      </w:r>
      <w:r w:rsidR="002D335E" w:rsidRPr="004E3D8C">
        <w:rPr>
          <w:color w:val="000000" w:themeColor="text1"/>
          <w:sz w:val="22"/>
          <w:szCs w:val="22"/>
        </w:rPr>
        <w:t xml:space="preserve">ccelerated </w:t>
      </w:r>
      <w:r w:rsidR="00CC7BF5" w:rsidRPr="004E3D8C">
        <w:rPr>
          <w:color w:val="000000" w:themeColor="text1"/>
          <w:sz w:val="22"/>
          <w:szCs w:val="22"/>
        </w:rPr>
        <w:t>H</w:t>
      </w:r>
      <w:r w:rsidR="002D335E" w:rsidRPr="004E3D8C">
        <w:rPr>
          <w:color w:val="000000" w:themeColor="text1"/>
          <w:sz w:val="22"/>
          <w:szCs w:val="22"/>
        </w:rPr>
        <w:t>earing</w:t>
      </w:r>
      <w:r w:rsidR="008C5A7E" w:rsidRPr="004E3D8C">
        <w:rPr>
          <w:color w:val="000000" w:themeColor="text1"/>
          <w:sz w:val="22"/>
          <w:szCs w:val="22"/>
        </w:rPr>
        <w:t>,</w:t>
      </w:r>
      <w:r w:rsidR="002D335E" w:rsidRPr="004E3D8C">
        <w:rPr>
          <w:color w:val="000000" w:themeColor="text1"/>
          <w:sz w:val="22"/>
          <w:szCs w:val="22"/>
        </w:rPr>
        <w:t xml:space="preserve"> and only three </w:t>
      </w:r>
      <w:r w:rsidR="00CC7BF5" w:rsidRPr="004E3D8C">
        <w:rPr>
          <w:color w:val="000000" w:themeColor="text1"/>
          <w:sz w:val="22"/>
          <w:szCs w:val="22"/>
        </w:rPr>
        <w:t xml:space="preserve">(3) </w:t>
      </w:r>
      <w:r w:rsidR="002D335E" w:rsidRPr="004E3D8C">
        <w:rPr>
          <w:color w:val="000000" w:themeColor="text1"/>
          <w:sz w:val="22"/>
          <w:szCs w:val="22"/>
        </w:rPr>
        <w:t xml:space="preserve">days prior to the submission of </w:t>
      </w:r>
      <w:r w:rsidR="00CC7BF5" w:rsidRPr="004E3D8C">
        <w:rPr>
          <w:color w:val="000000" w:themeColor="text1"/>
          <w:sz w:val="22"/>
          <w:szCs w:val="22"/>
        </w:rPr>
        <w:t>E</w:t>
      </w:r>
      <w:r w:rsidR="002D335E" w:rsidRPr="004E3D8C">
        <w:rPr>
          <w:color w:val="000000" w:themeColor="text1"/>
          <w:sz w:val="22"/>
          <w:szCs w:val="22"/>
        </w:rPr>
        <w:t xml:space="preserve">xhibits and </w:t>
      </w:r>
      <w:r w:rsidR="00CC7BF5" w:rsidRPr="004E3D8C">
        <w:rPr>
          <w:color w:val="000000" w:themeColor="text1"/>
          <w:sz w:val="22"/>
          <w:szCs w:val="22"/>
        </w:rPr>
        <w:t>W</w:t>
      </w:r>
      <w:r w:rsidR="002D335E" w:rsidRPr="004E3D8C">
        <w:rPr>
          <w:color w:val="000000" w:themeColor="text1"/>
          <w:sz w:val="22"/>
          <w:szCs w:val="22"/>
        </w:rPr>
        <w:t xml:space="preserve">itness </w:t>
      </w:r>
      <w:r w:rsidR="00CC7BF5" w:rsidRPr="004E3D8C">
        <w:rPr>
          <w:color w:val="000000" w:themeColor="text1"/>
          <w:sz w:val="22"/>
          <w:szCs w:val="22"/>
        </w:rPr>
        <w:t>L</w:t>
      </w:r>
      <w:r w:rsidR="002D335E" w:rsidRPr="004E3D8C">
        <w:rPr>
          <w:color w:val="000000" w:themeColor="text1"/>
          <w:sz w:val="22"/>
          <w:szCs w:val="22"/>
        </w:rPr>
        <w:t xml:space="preserve">ists in this matter has prevented </w:t>
      </w:r>
      <w:r w:rsidR="00CC7BF5" w:rsidRPr="004E3D8C">
        <w:rPr>
          <w:color w:val="000000" w:themeColor="text1"/>
          <w:sz w:val="22"/>
          <w:szCs w:val="22"/>
        </w:rPr>
        <w:t>the D</w:t>
      </w:r>
      <w:r w:rsidR="002D335E" w:rsidRPr="004E3D8C">
        <w:rPr>
          <w:color w:val="000000" w:themeColor="text1"/>
          <w:sz w:val="22"/>
          <w:szCs w:val="22"/>
        </w:rPr>
        <w:t xml:space="preserve">istrict from conducting any discovery or investigation relative to the MGH </w:t>
      </w:r>
      <w:r w:rsidR="00CC7BF5" w:rsidRPr="004E3D8C">
        <w:rPr>
          <w:color w:val="000000" w:themeColor="text1"/>
          <w:sz w:val="22"/>
          <w:szCs w:val="22"/>
        </w:rPr>
        <w:t>A</w:t>
      </w:r>
      <w:r w:rsidR="002D335E" w:rsidRPr="004E3D8C">
        <w:rPr>
          <w:color w:val="000000" w:themeColor="text1"/>
          <w:sz w:val="22"/>
          <w:szCs w:val="22"/>
        </w:rPr>
        <w:t>spire program</w:t>
      </w:r>
      <w:r w:rsidR="008C5A7E" w:rsidRPr="004E3D8C">
        <w:rPr>
          <w:color w:val="000000" w:themeColor="text1"/>
          <w:sz w:val="22"/>
          <w:szCs w:val="22"/>
        </w:rPr>
        <w:t>,</w:t>
      </w:r>
      <w:r w:rsidR="002D335E" w:rsidRPr="004E3D8C">
        <w:rPr>
          <w:color w:val="000000" w:themeColor="text1"/>
          <w:sz w:val="22"/>
          <w:szCs w:val="22"/>
        </w:rPr>
        <w:t xml:space="preserve"> </w:t>
      </w:r>
      <w:proofErr w:type="gramStart"/>
      <w:r w:rsidR="002D335E" w:rsidRPr="004E3D8C">
        <w:rPr>
          <w:color w:val="000000" w:themeColor="text1"/>
          <w:sz w:val="22"/>
          <w:szCs w:val="22"/>
        </w:rPr>
        <w:t>and</w:t>
      </w:r>
      <w:r w:rsidR="008C5A7E" w:rsidRPr="004E3D8C">
        <w:rPr>
          <w:color w:val="000000" w:themeColor="text1"/>
          <w:sz w:val="22"/>
          <w:szCs w:val="22"/>
        </w:rPr>
        <w:t>,</w:t>
      </w:r>
      <w:proofErr w:type="gramEnd"/>
      <w:r w:rsidR="002D335E" w:rsidRPr="004E3D8C">
        <w:rPr>
          <w:color w:val="000000" w:themeColor="text1"/>
          <w:sz w:val="22"/>
          <w:szCs w:val="22"/>
        </w:rPr>
        <w:t xml:space="preserve"> consequently would materially and substantially impact the </w:t>
      </w:r>
      <w:r w:rsidR="008C5A7E" w:rsidRPr="004E3D8C">
        <w:rPr>
          <w:color w:val="000000" w:themeColor="text1"/>
          <w:sz w:val="22"/>
          <w:szCs w:val="22"/>
        </w:rPr>
        <w:t>D</w:t>
      </w:r>
      <w:r w:rsidR="002D335E" w:rsidRPr="004E3D8C">
        <w:rPr>
          <w:color w:val="000000" w:themeColor="text1"/>
          <w:sz w:val="22"/>
          <w:szCs w:val="22"/>
        </w:rPr>
        <w:t>istrict's right to due process and ability to defend itself against the parents claims in this matter.</w:t>
      </w:r>
      <w:r w:rsidR="00CC7BF5" w:rsidRPr="004E3D8C">
        <w:rPr>
          <w:color w:val="000000" w:themeColor="text1"/>
          <w:sz w:val="22"/>
          <w:szCs w:val="22"/>
        </w:rPr>
        <w:t xml:space="preserve">” </w:t>
      </w:r>
      <w:r w:rsidR="008160B3" w:rsidRPr="004E3D8C">
        <w:rPr>
          <w:color w:val="000000" w:themeColor="text1"/>
          <w:sz w:val="22"/>
          <w:szCs w:val="22"/>
        </w:rPr>
        <w:t>The District noted that Parents</w:t>
      </w:r>
      <w:r w:rsidR="00C75EE4" w:rsidRPr="004E3D8C">
        <w:rPr>
          <w:color w:val="000000" w:themeColor="text1"/>
          <w:sz w:val="22"/>
          <w:szCs w:val="22"/>
        </w:rPr>
        <w:t>/Guardians</w:t>
      </w:r>
      <w:r w:rsidR="008160B3" w:rsidRPr="004E3D8C">
        <w:rPr>
          <w:color w:val="000000" w:themeColor="text1"/>
          <w:sz w:val="22"/>
          <w:szCs w:val="22"/>
        </w:rPr>
        <w:t xml:space="preserve"> may file an Amended Request</w:t>
      </w:r>
      <w:r w:rsidR="00F113BD" w:rsidRPr="004E3D8C">
        <w:rPr>
          <w:color w:val="000000" w:themeColor="text1"/>
          <w:sz w:val="22"/>
          <w:szCs w:val="22"/>
        </w:rPr>
        <w:t xml:space="preserve"> for Hearing which will result in a revision of the timelines in this matter. </w:t>
      </w:r>
    </w:p>
    <w:p w14:paraId="11FA69C1" w14:textId="4CD53E74" w:rsidR="00F113BD" w:rsidRPr="004E3D8C" w:rsidRDefault="00F113BD" w:rsidP="00203D2D">
      <w:pPr>
        <w:rPr>
          <w:color w:val="000000" w:themeColor="text1"/>
          <w:sz w:val="22"/>
          <w:szCs w:val="22"/>
        </w:rPr>
      </w:pPr>
    </w:p>
    <w:p w14:paraId="734443FF" w14:textId="72225DD5" w:rsidR="001251F1" w:rsidRPr="004E3D8C" w:rsidRDefault="00F113BD" w:rsidP="00203D2D">
      <w:pPr>
        <w:rPr>
          <w:color w:val="000000" w:themeColor="text1"/>
          <w:sz w:val="22"/>
          <w:szCs w:val="22"/>
        </w:rPr>
      </w:pPr>
      <w:r w:rsidRPr="004E3D8C">
        <w:rPr>
          <w:color w:val="000000" w:themeColor="text1"/>
          <w:sz w:val="22"/>
          <w:szCs w:val="22"/>
        </w:rPr>
        <w:t xml:space="preserve">Also on June 23, Parents responded </w:t>
      </w:r>
      <w:r w:rsidR="00507ECC" w:rsidRPr="004E3D8C">
        <w:rPr>
          <w:color w:val="000000" w:themeColor="text1"/>
          <w:sz w:val="22"/>
          <w:szCs w:val="22"/>
        </w:rPr>
        <w:t>to the District’s objections.  Parents</w:t>
      </w:r>
      <w:r w:rsidR="00C75EE4" w:rsidRPr="004E3D8C">
        <w:rPr>
          <w:color w:val="000000" w:themeColor="text1"/>
          <w:sz w:val="22"/>
          <w:szCs w:val="22"/>
        </w:rPr>
        <w:t>/Guardians</w:t>
      </w:r>
      <w:r w:rsidR="00507ECC" w:rsidRPr="004E3D8C">
        <w:rPr>
          <w:color w:val="000000" w:themeColor="text1"/>
          <w:sz w:val="22"/>
          <w:szCs w:val="22"/>
        </w:rPr>
        <w:t xml:space="preserve"> argue</w:t>
      </w:r>
      <w:r w:rsidR="00C75EE4" w:rsidRPr="004E3D8C">
        <w:rPr>
          <w:color w:val="000000" w:themeColor="text1"/>
          <w:sz w:val="22"/>
          <w:szCs w:val="22"/>
        </w:rPr>
        <w:t>d</w:t>
      </w:r>
      <w:r w:rsidR="00507ECC" w:rsidRPr="004E3D8C">
        <w:rPr>
          <w:color w:val="000000" w:themeColor="text1"/>
          <w:sz w:val="22"/>
          <w:szCs w:val="22"/>
        </w:rPr>
        <w:t xml:space="preserve"> that in </w:t>
      </w:r>
      <w:r w:rsidR="00507ECC" w:rsidRPr="004E3D8C">
        <w:rPr>
          <w:i/>
          <w:iCs/>
          <w:color w:val="000000" w:themeColor="text1"/>
          <w:sz w:val="22"/>
          <w:szCs w:val="22"/>
        </w:rPr>
        <w:t>Dr</w:t>
      </w:r>
      <w:r w:rsidR="00C45249" w:rsidRPr="004E3D8C">
        <w:rPr>
          <w:i/>
          <w:iCs/>
          <w:color w:val="000000" w:themeColor="text1"/>
          <w:sz w:val="22"/>
          <w:szCs w:val="22"/>
        </w:rPr>
        <w:t>acut Public Schools</w:t>
      </w:r>
      <w:r w:rsidR="00C45249" w:rsidRPr="004E3D8C">
        <w:rPr>
          <w:color w:val="000000" w:themeColor="text1"/>
          <w:sz w:val="22"/>
          <w:szCs w:val="22"/>
        </w:rPr>
        <w:t xml:space="preserve">, BSEA # </w:t>
      </w:r>
      <w:r w:rsidR="00443C58" w:rsidRPr="004E3D8C">
        <w:rPr>
          <w:color w:val="000000" w:themeColor="text1"/>
          <w:sz w:val="22"/>
          <w:szCs w:val="22"/>
        </w:rPr>
        <w:t>08-</w:t>
      </w:r>
      <w:r w:rsidR="00485ED1" w:rsidRPr="004E3D8C">
        <w:rPr>
          <w:color w:val="000000" w:themeColor="text1"/>
          <w:sz w:val="22"/>
          <w:szCs w:val="22"/>
        </w:rPr>
        <w:t xml:space="preserve">5330, Hearing Officer William Crane </w:t>
      </w:r>
      <w:r w:rsidR="00225069" w:rsidRPr="004E3D8C">
        <w:rPr>
          <w:color w:val="000000" w:themeColor="text1"/>
          <w:sz w:val="22"/>
          <w:szCs w:val="22"/>
        </w:rPr>
        <w:t>found that the district did not propose or provide transition services reasonably calculated to facilitate the student</w:t>
      </w:r>
      <w:r w:rsidR="000804CF" w:rsidRPr="004E3D8C">
        <w:rPr>
          <w:color w:val="000000" w:themeColor="text1"/>
          <w:sz w:val="22"/>
          <w:szCs w:val="22"/>
        </w:rPr>
        <w:t>’s</w:t>
      </w:r>
      <w:r w:rsidR="00225069" w:rsidRPr="004E3D8C">
        <w:rPr>
          <w:color w:val="000000" w:themeColor="text1"/>
          <w:sz w:val="22"/>
          <w:szCs w:val="22"/>
        </w:rPr>
        <w:t xml:space="preserve"> successful transition to postsecondary education employment and independent living. However</w:t>
      </w:r>
      <w:r w:rsidR="000804CF" w:rsidRPr="004E3D8C">
        <w:rPr>
          <w:color w:val="000000" w:themeColor="text1"/>
          <w:sz w:val="22"/>
          <w:szCs w:val="22"/>
        </w:rPr>
        <w:t xml:space="preserve">, Hearing Officer Crane </w:t>
      </w:r>
      <w:r w:rsidR="00225069" w:rsidRPr="004E3D8C">
        <w:rPr>
          <w:color w:val="000000" w:themeColor="text1"/>
          <w:sz w:val="22"/>
          <w:szCs w:val="22"/>
        </w:rPr>
        <w:t xml:space="preserve">ordered </w:t>
      </w:r>
      <w:r w:rsidR="000804CF" w:rsidRPr="004E3D8C">
        <w:rPr>
          <w:color w:val="000000" w:themeColor="text1"/>
          <w:sz w:val="22"/>
          <w:szCs w:val="22"/>
        </w:rPr>
        <w:t>“</w:t>
      </w:r>
      <w:r w:rsidR="00225069" w:rsidRPr="004E3D8C">
        <w:rPr>
          <w:color w:val="000000" w:themeColor="text1"/>
          <w:sz w:val="22"/>
          <w:szCs w:val="22"/>
        </w:rPr>
        <w:t>extended special education eligibility</w:t>
      </w:r>
      <w:r w:rsidR="00AA442E" w:rsidRPr="004E3D8C">
        <w:rPr>
          <w:color w:val="000000" w:themeColor="text1"/>
          <w:sz w:val="22"/>
          <w:szCs w:val="22"/>
        </w:rPr>
        <w:t>”</w:t>
      </w:r>
      <w:r w:rsidR="00225069" w:rsidRPr="004E3D8C">
        <w:rPr>
          <w:color w:val="000000" w:themeColor="text1"/>
          <w:sz w:val="22"/>
          <w:szCs w:val="22"/>
        </w:rPr>
        <w:t xml:space="preserve"> after graduation.</w:t>
      </w:r>
      <w:r w:rsidR="00AA442E" w:rsidRPr="004E3D8C">
        <w:rPr>
          <w:color w:val="000000" w:themeColor="text1"/>
          <w:sz w:val="22"/>
          <w:szCs w:val="22"/>
        </w:rPr>
        <w:t xml:space="preserve"> Parents</w:t>
      </w:r>
      <w:r w:rsidR="00C75EE4" w:rsidRPr="004E3D8C">
        <w:rPr>
          <w:color w:val="000000" w:themeColor="text1"/>
          <w:sz w:val="22"/>
          <w:szCs w:val="22"/>
        </w:rPr>
        <w:t>/Guardians</w:t>
      </w:r>
      <w:r w:rsidR="00AA442E" w:rsidRPr="004E3D8C">
        <w:rPr>
          <w:color w:val="000000" w:themeColor="text1"/>
          <w:sz w:val="22"/>
          <w:szCs w:val="22"/>
        </w:rPr>
        <w:t xml:space="preserve"> explained,</w:t>
      </w:r>
      <w:r w:rsidR="00225069" w:rsidRPr="004E3D8C">
        <w:rPr>
          <w:color w:val="000000" w:themeColor="text1"/>
          <w:sz w:val="22"/>
          <w:szCs w:val="22"/>
        </w:rPr>
        <w:t xml:space="preserve"> </w:t>
      </w:r>
      <w:r w:rsidR="00AA442E" w:rsidRPr="004E3D8C">
        <w:rPr>
          <w:color w:val="000000" w:themeColor="text1"/>
          <w:sz w:val="22"/>
          <w:szCs w:val="22"/>
        </w:rPr>
        <w:t>“</w:t>
      </w:r>
      <w:r w:rsidR="00225069" w:rsidRPr="004E3D8C">
        <w:rPr>
          <w:color w:val="000000" w:themeColor="text1"/>
          <w:sz w:val="22"/>
          <w:szCs w:val="22"/>
        </w:rPr>
        <w:t>In order to address all possible outcomes the parents included the additional language.</w:t>
      </w:r>
      <w:r w:rsidR="00AA442E" w:rsidRPr="004E3D8C">
        <w:rPr>
          <w:color w:val="000000" w:themeColor="text1"/>
          <w:sz w:val="22"/>
          <w:szCs w:val="22"/>
        </w:rPr>
        <w:t>”</w:t>
      </w:r>
      <w:r w:rsidR="00225069" w:rsidRPr="004E3D8C">
        <w:rPr>
          <w:color w:val="000000" w:themeColor="text1"/>
          <w:sz w:val="22"/>
          <w:szCs w:val="22"/>
        </w:rPr>
        <w:t xml:space="preserve"> However</w:t>
      </w:r>
      <w:r w:rsidR="00AA442E" w:rsidRPr="004E3D8C">
        <w:rPr>
          <w:color w:val="000000" w:themeColor="text1"/>
          <w:sz w:val="22"/>
          <w:szCs w:val="22"/>
        </w:rPr>
        <w:t>,</w:t>
      </w:r>
      <w:r w:rsidR="00225069" w:rsidRPr="004E3D8C">
        <w:rPr>
          <w:color w:val="000000" w:themeColor="text1"/>
          <w:sz w:val="22"/>
          <w:szCs w:val="22"/>
        </w:rPr>
        <w:t xml:space="preserve"> </w:t>
      </w:r>
      <w:r w:rsidR="00C75EE4" w:rsidRPr="004E3D8C">
        <w:rPr>
          <w:color w:val="000000" w:themeColor="text1"/>
          <w:sz w:val="22"/>
          <w:szCs w:val="22"/>
        </w:rPr>
        <w:t>Parents/Guardians</w:t>
      </w:r>
      <w:r w:rsidR="00225069" w:rsidRPr="004E3D8C">
        <w:rPr>
          <w:color w:val="000000" w:themeColor="text1"/>
          <w:sz w:val="22"/>
          <w:szCs w:val="22"/>
        </w:rPr>
        <w:t xml:space="preserve"> would agree </w:t>
      </w:r>
      <w:r w:rsidR="001251F1" w:rsidRPr="004E3D8C">
        <w:rPr>
          <w:color w:val="000000" w:themeColor="text1"/>
          <w:sz w:val="22"/>
          <w:szCs w:val="22"/>
        </w:rPr>
        <w:t xml:space="preserve">with Harvard </w:t>
      </w:r>
      <w:r w:rsidR="00225069" w:rsidRPr="004E3D8C">
        <w:rPr>
          <w:color w:val="000000" w:themeColor="text1"/>
          <w:sz w:val="22"/>
          <w:szCs w:val="22"/>
        </w:rPr>
        <w:t>to utilize</w:t>
      </w:r>
      <w:r w:rsidR="00AA442E" w:rsidRPr="004E3D8C">
        <w:rPr>
          <w:color w:val="000000" w:themeColor="text1"/>
          <w:sz w:val="22"/>
          <w:szCs w:val="22"/>
        </w:rPr>
        <w:t xml:space="preserve"> </w:t>
      </w:r>
      <w:r w:rsidR="00225069" w:rsidRPr="004E3D8C">
        <w:rPr>
          <w:color w:val="000000" w:themeColor="text1"/>
          <w:sz w:val="22"/>
          <w:szCs w:val="22"/>
        </w:rPr>
        <w:t xml:space="preserve">the </w:t>
      </w:r>
      <w:r w:rsidR="00AA442E" w:rsidRPr="004E3D8C">
        <w:rPr>
          <w:color w:val="000000" w:themeColor="text1"/>
          <w:sz w:val="22"/>
          <w:szCs w:val="22"/>
        </w:rPr>
        <w:t>H</w:t>
      </w:r>
      <w:r w:rsidR="00225069" w:rsidRPr="004E3D8C">
        <w:rPr>
          <w:color w:val="000000" w:themeColor="text1"/>
          <w:sz w:val="22"/>
          <w:szCs w:val="22"/>
        </w:rPr>
        <w:t xml:space="preserve">earing </w:t>
      </w:r>
      <w:r w:rsidR="00AA442E" w:rsidRPr="004E3D8C">
        <w:rPr>
          <w:color w:val="000000" w:themeColor="text1"/>
          <w:sz w:val="22"/>
          <w:szCs w:val="22"/>
        </w:rPr>
        <w:t>O</w:t>
      </w:r>
      <w:r w:rsidR="00225069" w:rsidRPr="004E3D8C">
        <w:rPr>
          <w:color w:val="000000" w:themeColor="text1"/>
          <w:sz w:val="22"/>
          <w:szCs w:val="22"/>
        </w:rPr>
        <w:t>fficer</w:t>
      </w:r>
      <w:r w:rsidR="00AA442E" w:rsidRPr="004E3D8C">
        <w:rPr>
          <w:color w:val="000000" w:themeColor="text1"/>
          <w:sz w:val="22"/>
          <w:szCs w:val="22"/>
        </w:rPr>
        <w:t>’</w:t>
      </w:r>
      <w:r w:rsidR="00225069" w:rsidRPr="004E3D8C">
        <w:rPr>
          <w:color w:val="000000" w:themeColor="text1"/>
          <w:sz w:val="22"/>
          <w:szCs w:val="22"/>
        </w:rPr>
        <w:t xml:space="preserve">s original language of </w:t>
      </w:r>
      <w:r w:rsidR="001251F1" w:rsidRPr="004E3D8C">
        <w:rPr>
          <w:color w:val="000000" w:themeColor="text1"/>
          <w:sz w:val="22"/>
          <w:szCs w:val="22"/>
        </w:rPr>
        <w:t>“</w:t>
      </w:r>
      <w:r w:rsidR="00225069" w:rsidRPr="004E3D8C">
        <w:rPr>
          <w:color w:val="000000" w:themeColor="text1"/>
          <w:sz w:val="22"/>
          <w:szCs w:val="22"/>
        </w:rPr>
        <w:t>special education eligibility and transition services</w:t>
      </w:r>
      <w:r w:rsidR="001251F1" w:rsidRPr="004E3D8C">
        <w:rPr>
          <w:color w:val="000000" w:themeColor="text1"/>
          <w:sz w:val="22"/>
          <w:szCs w:val="22"/>
        </w:rPr>
        <w:t>”</w:t>
      </w:r>
      <w:r w:rsidR="00225069" w:rsidRPr="004E3D8C">
        <w:rPr>
          <w:color w:val="000000" w:themeColor="text1"/>
          <w:sz w:val="22"/>
          <w:szCs w:val="22"/>
        </w:rPr>
        <w:t xml:space="preserve"> in the </w:t>
      </w:r>
      <w:r w:rsidR="001251F1" w:rsidRPr="004E3D8C">
        <w:rPr>
          <w:color w:val="000000" w:themeColor="text1"/>
          <w:sz w:val="22"/>
          <w:szCs w:val="22"/>
        </w:rPr>
        <w:t>O</w:t>
      </w:r>
      <w:r w:rsidR="00225069" w:rsidRPr="004E3D8C">
        <w:rPr>
          <w:color w:val="000000" w:themeColor="text1"/>
          <w:sz w:val="22"/>
          <w:szCs w:val="22"/>
        </w:rPr>
        <w:t>rder dated June 21</w:t>
      </w:r>
      <w:r w:rsidR="001251F1" w:rsidRPr="004E3D8C">
        <w:rPr>
          <w:color w:val="000000" w:themeColor="text1"/>
          <w:sz w:val="22"/>
          <w:szCs w:val="22"/>
        </w:rPr>
        <w:t>,</w:t>
      </w:r>
      <w:r w:rsidR="00225069" w:rsidRPr="004E3D8C">
        <w:rPr>
          <w:color w:val="000000" w:themeColor="text1"/>
          <w:sz w:val="22"/>
          <w:szCs w:val="22"/>
        </w:rPr>
        <w:t xml:space="preserve"> 2021. </w:t>
      </w:r>
      <w:r w:rsidR="000E4EDB" w:rsidRPr="004E3D8C">
        <w:rPr>
          <w:color w:val="000000" w:themeColor="text1"/>
          <w:sz w:val="22"/>
          <w:szCs w:val="22"/>
        </w:rPr>
        <w:t xml:space="preserve"> </w:t>
      </w:r>
    </w:p>
    <w:p w14:paraId="75BF322F" w14:textId="77777777" w:rsidR="001251F1" w:rsidRPr="004E3D8C" w:rsidRDefault="001251F1" w:rsidP="00203D2D">
      <w:pPr>
        <w:rPr>
          <w:color w:val="000000" w:themeColor="text1"/>
          <w:sz w:val="22"/>
          <w:szCs w:val="22"/>
        </w:rPr>
      </w:pPr>
    </w:p>
    <w:p w14:paraId="2BC9C3EE" w14:textId="75FF63E8" w:rsidR="00F113BD" w:rsidRPr="004E3D8C" w:rsidRDefault="001251F1" w:rsidP="00203D2D">
      <w:pPr>
        <w:rPr>
          <w:rStyle w:val="SubtleEmphasis"/>
          <w:color w:val="000000" w:themeColor="text1"/>
          <w:sz w:val="22"/>
          <w:szCs w:val="22"/>
        </w:rPr>
      </w:pPr>
      <w:r w:rsidRPr="004E3D8C">
        <w:rPr>
          <w:color w:val="000000" w:themeColor="text1"/>
          <w:sz w:val="22"/>
          <w:szCs w:val="22"/>
        </w:rPr>
        <w:lastRenderedPageBreak/>
        <w:t xml:space="preserve">At the same time, </w:t>
      </w:r>
      <w:r w:rsidR="00225069" w:rsidRPr="004E3D8C">
        <w:rPr>
          <w:color w:val="000000" w:themeColor="text1"/>
          <w:sz w:val="22"/>
          <w:szCs w:val="22"/>
        </w:rPr>
        <w:t xml:space="preserve">Parents filed an </w:t>
      </w:r>
      <w:r w:rsidRPr="004E3D8C">
        <w:rPr>
          <w:color w:val="000000" w:themeColor="text1"/>
          <w:sz w:val="22"/>
          <w:szCs w:val="22"/>
        </w:rPr>
        <w:t>A</w:t>
      </w:r>
      <w:r w:rsidR="00225069" w:rsidRPr="004E3D8C">
        <w:rPr>
          <w:color w:val="000000" w:themeColor="text1"/>
          <w:sz w:val="22"/>
          <w:szCs w:val="22"/>
        </w:rPr>
        <w:t xml:space="preserve">mended </w:t>
      </w:r>
      <w:r w:rsidRPr="004E3D8C">
        <w:rPr>
          <w:color w:val="000000" w:themeColor="text1"/>
          <w:sz w:val="22"/>
          <w:szCs w:val="22"/>
        </w:rPr>
        <w:t>A</w:t>
      </w:r>
      <w:r w:rsidR="00225069" w:rsidRPr="004E3D8C">
        <w:rPr>
          <w:color w:val="000000" w:themeColor="text1"/>
          <w:sz w:val="22"/>
          <w:szCs w:val="22"/>
        </w:rPr>
        <w:t xml:space="preserve">ccelerated </w:t>
      </w:r>
      <w:r w:rsidRPr="004E3D8C">
        <w:rPr>
          <w:color w:val="000000" w:themeColor="text1"/>
          <w:sz w:val="22"/>
          <w:szCs w:val="22"/>
        </w:rPr>
        <w:t>H</w:t>
      </w:r>
      <w:r w:rsidR="00225069" w:rsidRPr="004E3D8C">
        <w:rPr>
          <w:color w:val="000000" w:themeColor="text1"/>
          <w:sz w:val="22"/>
          <w:szCs w:val="22"/>
        </w:rPr>
        <w:t xml:space="preserve">earing </w:t>
      </w:r>
      <w:r w:rsidRPr="004E3D8C">
        <w:rPr>
          <w:color w:val="000000" w:themeColor="text1"/>
          <w:sz w:val="22"/>
          <w:szCs w:val="22"/>
        </w:rPr>
        <w:t>R</w:t>
      </w:r>
      <w:r w:rsidR="00225069" w:rsidRPr="004E3D8C">
        <w:rPr>
          <w:color w:val="000000" w:themeColor="text1"/>
          <w:sz w:val="22"/>
          <w:szCs w:val="22"/>
        </w:rPr>
        <w:t>equest to incorporate the reimbursement for student</w:t>
      </w:r>
      <w:r w:rsidRPr="004E3D8C">
        <w:rPr>
          <w:color w:val="000000" w:themeColor="text1"/>
          <w:sz w:val="22"/>
          <w:szCs w:val="22"/>
        </w:rPr>
        <w:t>’</w:t>
      </w:r>
      <w:r w:rsidR="00225069" w:rsidRPr="004E3D8C">
        <w:rPr>
          <w:color w:val="000000" w:themeColor="text1"/>
          <w:sz w:val="22"/>
          <w:szCs w:val="22"/>
        </w:rPr>
        <w:t>s unilateral placement at MGH</w:t>
      </w:r>
      <w:r w:rsidRPr="004E3D8C">
        <w:rPr>
          <w:color w:val="000000" w:themeColor="text1"/>
          <w:sz w:val="22"/>
          <w:szCs w:val="22"/>
        </w:rPr>
        <w:t>’s</w:t>
      </w:r>
      <w:r w:rsidR="00225069" w:rsidRPr="004E3D8C">
        <w:rPr>
          <w:color w:val="000000" w:themeColor="text1"/>
          <w:sz w:val="22"/>
          <w:szCs w:val="22"/>
        </w:rPr>
        <w:t xml:space="preserve"> </w:t>
      </w:r>
      <w:r w:rsidR="00C31071" w:rsidRPr="004E3D8C">
        <w:rPr>
          <w:color w:val="000000" w:themeColor="text1"/>
          <w:sz w:val="22"/>
          <w:szCs w:val="22"/>
        </w:rPr>
        <w:t>Aspire</w:t>
      </w:r>
      <w:r w:rsidR="00225069" w:rsidRPr="004E3D8C">
        <w:rPr>
          <w:color w:val="000000" w:themeColor="text1"/>
          <w:sz w:val="22"/>
          <w:szCs w:val="22"/>
        </w:rPr>
        <w:t xml:space="preserve"> </w:t>
      </w:r>
      <w:r w:rsidRPr="004E3D8C">
        <w:rPr>
          <w:color w:val="000000" w:themeColor="text1"/>
          <w:sz w:val="22"/>
          <w:szCs w:val="22"/>
        </w:rPr>
        <w:t>V</w:t>
      </w:r>
      <w:r w:rsidR="00225069" w:rsidRPr="004E3D8C">
        <w:rPr>
          <w:color w:val="000000" w:themeColor="text1"/>
          <w:sz w:val="22"/>
          <w:szCs w:val="22"/>
        </w:rPr>
        <w:t xml:space="preserve">irtual ESY program. Parents </w:t>
      </w:r>
      <w:r w:rsidR="00C31071" w:rsidRPr="004E3D8C">
        <w:rPr>
          <w:color w:val="000000" w:themeColor="text1"/>
          <w:sz w:val="22"/>
          <w:szCs w:val="22"/>
        </w:rPr>
        <w:t>argued</w:t>
      </w:r>
      <w:r w:rsidR="00225069" w:rsidRPr="004E3D8C">
        <w:rPr>
          <w:color w:val="000000" w:themeColor="text1"/>
          <w:sz w:val="22"/>
          <w:szCs w:val="22"/>
        </w:rPr>
        <w:t xml:space="preserve"> that </w:t>
      </w:r>
      <w:r w:rsidR="00C31071" w:rsidRPr="004E3D8C">
        <w:rPr>
          <w:color w:val="000000" w:themeColor="text1"/>
          <w:sz w:val="22"/>
          <w:szCs w:val="22"/>
        </w:rPr>
        <w:t>“</w:t>
      </w:r>
      <w:r w:rsidR="00225069" w:rsidRPr="004E3D8C">
        <w:rPr>
          <w:color w:val="000000" w:themeColor="text1"/>
          <w:sz w:val="22"/>
          <w:szCs w:val="22"/>
        </w:rPr>
        <w:t xml:space="preserve">there is no prejudice to the </w:t>
      </w:r>
      <w:r w:rsidR="00C31071" w:rsidRPr="004E3D8C">
        <w:rPr>
          <w:color w:val="000000" w:themeColor="text1"/>
          <w:sz w:val="22"/>
          <w:szCs w:val="22"/>
        </w:rPr>
        <w:t>D</w:t>
      </w:r>
      <w:r w:rsidR="00225069" w:rsidRPr="004E3D8C">
        <w:rPr>
          <w:color w:val="000000" w:themeColor="text1"/>
          <w:sz w:val="22"/>
          <w:szCs w:val="22"/>
        </w:rPr>
        <w:t>istrict since it failed to propose any ESY programming for 2021</w:t>
      </w:r>
      <w:r w:rsidR="00C31071" w:rsidRPr="004E3D8C">
        <w:rPr>
          <w:color w:val="000000" w:themeColor="text1"/>
          <w:sz w:val="22"/>
          <w:szCs w:val="22"/>
        </w:rPr>
        <w:t>,</w:t>
      </w:r>
      <w:r w:rsidR="00225069" w:rsidRPr="004E3D8C">
        <w:rPr>
          <w:color w:val="000000" w:themeColor="text1"/>
          <w:sz w:val="22"/>
          <w:szCs w:val="22"/>
        </w:rPr>
        <w:t xml:space="preserve"> necessitating unilateral placement</w:t>
      </w:r>
      <w:r w:rsidR="00C31071" w:rsidRPr="004E3D8C">
        <w:rPr>
          <w:color w:val="000000" w:themeColor="text1"/>
          <w:sz w:val="22"/>
          <w:szCs w:val="22"/>
        </w:rPr>
        <w:t>”</w:t>
      </w:r>
      <w:r w:rsidR="00225069" w:rsidRPr="004E3D8C">
        <w:rPr>
          <w:color w:val="000000" w:themeColor="text1"/>
          <w:sz w:val="22"/>
          <w:szCs w:val="22"/>
        </w:rPr>
        <w:t xml:space="preserve"> by the </w:t>
      </w:r>
      <w:r w:rsidR="00C31071" w:rsidRPr="004E3D8C">
        <w:rPr>
          <w:color w:val="000000" w:themeColor="text1"/>
          <w:sz w:val="22"/>
          <w:szCs w:val="22"/>
        </w:rPr>
        <w:t>P</w:t>
      </w:r>
      <w:r w:rsidR="00225069" w:rsidRPr="004E3D8C">
        <w:rPr>
          <w:color w:val="000000" w:themeColor="text1"/>
          <w:sz w:val="22"/>
          <w:szCs w:val="22"/>
        </w:rPr>
        <w:t xml:space="preserve">arents. </w:t>
      </w:r>
      <w:r w:rsidR="00780ADD" w:rsidRPr="004E3D8C">
        <w:rPr>
          <w:color w:val="000000" w:themeColor="text1"/>
          <w:sz w:val="22"/>
          <w:szCs w:val="22"/>
        </w:rPr>
        <w:t>Parents added that “</w:t>
      </w:r>
      <w:r w:rsidR="00225069" w:rsidRPr="004E3D8C">
        <w:rPr>
          <w:color w:val="000000" w:themeColor="text1"/>
          <w:sz w:val="22"/>
          <w:szCs w:val="22"/>
        </w:rPr>
        <w:t>an order was sought in the original hearing request for an appropriate ESY 2021 program and placement</w:t>
      </w:r>
      <w:r w:rsidR="00780ADD" w:rsidRPr="004E3D8C">
        <w:rPr>
          <w:color w:val="000000" w:themeColor="text1"/>
          <w:sz w:val="22"/>
          <w:szCs w:val="22"/>
        </w:rPr>
        <w:t xml:space="preserve">, ESY </w:t>
      </w:r>
      <w:r w:rsidR="00225069" w:rsidRPr="004E3D8C">
        <w:rPr>
          <w:color w:val="000000" w:themeColor="text1"/>
          <w:sz w:val="22"/>
          <w:szCs w:val="22"/>
        </w:rPr>
        <w:t>is very limited in scope</w:t>
      </w:r>
      <w:r w:rsidR="00DB744C" w:rsidRPr="004E3D8C">
        <w:rPr>
          <w:color w:val="000000" w:themeColor="text1"/>
          <w:sz w:val="22"/>
          <w:szCs w:val="22"/>
        </w:rPr>
        <w:t>,</w:t>
      </w:r>
      <w:r w:rsidR="00897322" w:rsidRPr="004E3D8C">
        <w:rPr>
          <w:color w:val="000000" w:themeColor="text1"/>
          <w:sz w:val="22"/>
          <w:szCs w:val="22"/>
        </w:rPr>
        <w:t xml:space="preserve"> such that the </w:t>
      </w:r>
      <w:r w:rsidR="00DB744C" w:rsidRPr="004E3D8C">
        <w:rPr>
          <w:color w:val="000000" w:themeColor="text1"/>
          <w:sz w:val="22"/>
          <w:szCs w:val="22"/>
        </w:rPr>
        <w:t>D</w:t>
      </w:r>
      <w:r w:rsidR="00897322" w:rsidRPr="004E3D8C">
        <w:rPr>
          <w:color w:val="000000" w:themeColor="text1"/>
          <w:sz w:val="22"/>
          <w:szCs w:val="22"/>
        </w:rPr>
        <w:t xml:space="preserve">istrict could cross examine the witnesses regarding the </w:t>
      </w:r>
      <w:r w:rsidR="00780ADD" w:rsidRPr="004E3D8C">
        <w:rPr>
          <w:color w:val="000000" w:themeColor="text1"/>
          <w:sz w:val="22"/>
          <w:szCs w:val="22"/>
        </w:rPr>
        <w:t>Aspire</w:t>
      </w:r>
      <w:r w:rsidR="00897322" w:rsidRPr="004E3D8C">
        <w:rPr>
          <w:color w:val="000000" w:themeColor="text1"/>
          <w:sz w:val="22"/>
          <w:szCs w:val="22"/>
        </w:rPr>
        <w:t xml:space="preserve"> ESY 2021.</w:t>
      </w:r>
      <w:r w:rsidR="00DB744C" w:rsidRPr="004E3D8C">
        <w:rPr>
          <w:color w:val="000000" w:themeColor="text1"/>
          <w:sz w:val="22"/>
          <w:szCs w:val="22"/>
        </w:rPr>
        <w:t>”</w:t>
      </w:r>
      <w:r w:rsidR="00897322" w:rsidRPr="004E3D8C">
        <w:rPr>
          <w:color w:val="000000" w:themeColor="text1"/>
          <w:sz w:val="22"/>
          <w:szCs w:val="22"/>
        </w:rPr>
        <w:t xml:space="preserve"> Parents also indicated that if the </w:t>
      </w:r>
      <w:r w:rsidR="00DB744C" w:rsidRPr="004E3D8C">
        <w:rPr>
          <w:color w:val="000000" w:themeColor="text1"/>
          <w:sz w:val="22"/>
          <w:szCs w:val="22"/>
        </w:rPr>
        <w:t>H</w:t>
      </w:r>
      <w:r w:rsidR="00897322" w:rsidRPr="004E3D8C">
        <w:rPr>
          <w:color w:val="000000" w:themeColor="text1"/>
          <w:sz w:val="22"/>
          <w:szCs w:val="22"/>
        </w:rPr>
        <w:t xml:space="preserve">earing </w:t>
      </w:r>
      <w:r w:rsidR="00DB744C" w:rsidRPr="004E3D8C">
        <w:rPr>
          <w:color w:val="000000" w:themeColor="text1"/>
          <w:sz w:val="22"/>
          <w:szCs w:val="22"/>
        </w:rPr>
        <w:t>O</w:t>
      </w:r>
      <w:r w:rsidR="00897322" w:rsidRPr="004E3D8C">
        <w:rPr>
          <w:color w:val="000000" w:themeColor="text1"/>
          <w:sz w:val="22"/>
          <w:szCs w:val="22"/>
        </w:rPr>
        <w:t xml:space="preserve">fficer believes that the timeline for this hearing must be revised based on the </w:t>
      </w:r>
      <w:r w:rsidR="00DB744C" w:rsidRPr="004E3D8C">
        <w:rPr>
          <w:caps/>
          <w:color w:val="000000" w:themeColor="text1"/>
          <w:sz w:val="22"/>
          <w:szCs w:val="22"/>
        </w:rPr>
        <w:t>A</w:t>
      </w:r>
      <w:r w:rsidR="00897322" w:rsidRPr="004E3D8C">
        <w:rPr>
          <w:color w:val="000000" w:themeColor="text1"/>
          <w:sz w:val="22"/>
          <w:szCs w:val="22"/>
        </w:rPr>
        <w:t xml:space="preserve">mended </w:t>
      </w:r>
      <w:r w:rsidR="00DB744C" w:rsidRPr="004E3D8C">
        <w:rPr>
          <w:color w:val="000000" w:themeColor="text1"/>
          <w:sz w:val="22"/>
          <w:szCs w:val="22"/>
        </w:rPr>
        <w:t>H</w:t>
      </w:r>
      <w:r w:rsidR="00897322" w:rsidRPr="004E3D8C">
        <w:rPr>
          <w:color w:val="000000" w:themeColor="text1"/>
          <w:sz w:val="22"/>
          <w:szCs w:val="22"/>
        </w:rPr>
        <w:t xml:space="preserve">earing </w:t>
      </w:r>
      <w:r w:rsidR="00DB744C" w:rsidRPr="004E3D8C">
        <w:rPr>
          <w:color w:val="000000" w:themeColor="text1"/>
          <w:sz w:val="22"/>
          <w:szCs w:val="22"/>
        </w:rPr>
        <w:t>R</w:t>
      </w:r>
      <w:r w:rsidR="00897322" w:rsidRPr="004E3D8C">
        <w:rPr>
          <w:color w:val="000000" w:themeColor="text1"/>
          <w:sz w:val="22"/>
          <w:szCs w:val="22"/>
        </w:rPr>
        <w:t>equest</w:t>
      </w:r>
      <w:r w:rsidR="00DB744C" w:rsidRPr="004E3D8C">
        <w:rPr>
          <w:color w:val="000000" w:themeColor="text1"/>
          <w:sz w:val="22"/>
          <w:szCs w:val="22"/>
        </w:rPr>
        <w:t>,</w:t>
      </w:r>
      <w:r w:rsidR="00897322" w:rsidRPr="004E3D8C">
        <w:rPr>
          <w:color w:val="000000" w:themeColor="text1"/>
          <w:sz w:val="22"/>
          <w:szCs w:val="22"/>
        </w:rPr>
        <w:t xml:space="preserve"> </w:t>
      </w:r>
      <w:r w:rsidR="00DB744C" w:rsidRPr="004E3D8C">
        <w:rPr>
          <w:color w:val="000000" w:themeColor="text1"/>
          <w:sz w:val="22"/>
          <w:szCs w:val="22"/>
        </w:rPr>
        <w:t>P</w:t>
      </w:r>
      <w:r w:rsidR="00897322" w:rsidRPr="004E3D8C">
        <w:rPr>
          <w:color w:val="000000" w:themeColor="text1"/>
          <w:sz w:val="22"/>
          <w:szCs w:val="22"/>
        </w:rPr>
        <w:t xml:space="preserve">arents would agree to waive seeking reimbursement for their costs associated with </w:t>
      </w:r>
      <w:r w:rsidR="00DB744C" w:rsidRPr="004E3D8C">
        <w:rPr>
          <w:color w:val="000000" w:themeColor="text1"/>
          <w:sz w:val="22"/>
          <w:szCs w:val="22"/>
        </w:rPr>
        <w:t>S</w:t>
      </w:r>
      <w:r w:rsidR="00897322" w:rsidRPr="004E3D8C">
        <w:rPr>
          <w:color w:val="000000" w:themeColor="text1"/>
          <w:sz w:val="22"/>
          <w:szCs w:val="22"/>
        </w:rPr>
        <w:t>tudent</w:t>
      </w:r>
      <w:r w:rsidR="00DB744C" w:rsidRPr="004E3D8C">
        <w:rPr>
          <w:color w:val="000000" w:themeColor="text1"/>
          <w:sz w:val="22"/>
          <w:szCs w:val="22"/>
        </w:rPr>
        <w:t>’</w:t>
      </w:r>
      <w:r w:rsidR="00897322" w:rsidRPr="004E3D8C">
        <w:rPr>
          <w:color w:val="000000" w:themeColor="text1"/>
          <w:sz w:val="22"/>
          <w:szCs w:val="22"/>
        </w:rPr>
        <w:t xml:space="preserve">s placement at </w:t>
      </w:r>
      <w:r w:rsidR="00DB744C" w:rsidRPr="004E3D8C">
        <w:rPr>
          <w:color w:val="000000" w:themeColor="text1"/>
          <w:sz w:val="22"/>
          <w:szCs w:val="22"/>
        </w:rPr>
        <w:t>Aspire</w:t>
      </w:r>
      <w:r w:rsidR="00897322" w:rsidRPr="004E3D8C">
        <w:rPr>
          <w:color w:val="000000" w:themeColor="text1"/>
          <w:sz w:val="22"/>
          <w:szCs w:val="22"/>
        </w:rPr>
        <w:t xml:space="preserve"> for ESY 2021 and proceed solely on the issue of the </w:t>
      </w:r>
      <w:r w:rsidR="00DB744C" w:rsidRPr="004E3D8C">
        <w:rPr>
          <w:color w:val="000000" w:themeColor="text1"/>
          <w:sz w:val="22"/>
          <w:szCs w:val="22"/>
        </w:rPr>
        <w:t>S</w:t>
      </w:r>
      <w:r w:rsidR="00897322" w:rsidRPr="004E3D8C">
        <w:rPr>
          <w:color w:val="000000" w:themeColor="text1"/>
          <w:sz w:val="22"/>
          <w:szCs w:val="22"/>
        </w:rPr>
        <w:t>tudent</w:t>
      </w:r>
      <w:r w:rsidR="00DB744C" w:rsidRPr="004E3D8C">
        <w:rPr>
          <w:color w:val="000000" w:themeColor="text1"/>
          <w:sz w:val="22"/>
          <w:szCs w:val="22"/>
        </w:rPr>
        <w:t>’</w:t>
      </w:r>
      <w:r w:rsidR="00897322" w:rsidRPr="004E3D8C">
        <w:rPr>
          <w:color w:val="000000" w:themeColor="text1"/>
          <w:sz w:val="22"/>
          <w:szCs w:val="22"/>
        </w:rPr>
        <w:t xml:space="preserve">s continued special education eligibility and transition services for the 2021-2022 school year in </w:t>
      </w:r>
      <w:r w:rsidR="00DB744C" w:rsidRPr="004E3D8C">
        <w:rPr>
          <w:color w:val="000000" w:themeColor="text1"/>
          <w:sz w:val="22"/>
          <w:szCs w:val="22"/>
        </w:rPr>
        <w:t>R</w:t>
      </w:r>
      <w:r w:rsidR="00897322" w:rsidRPr="004E3D8C">
        <w:rPr>
          <w:color w:val="000000" w:themeColor="text1"/>
          <w:sz w:val="22"/>
          <w:szCs w:val="22"/>
        </w:rPr>
        <w:t>iverview</w:t>
      </w:r>
      <w:r w:rsidR="00DB744C" w:rsidRPr="004E3D8C">
        <w:rPr>
          <w:color w:val="000000" w:themeColor="text1"/>
          <w:sz w:val="22"/>
          <w:szCs w:val="22"/>
        </w:rPr>
        <w:t>’</w:t>
      </w:r>
      <w:r w:rsidR="00897322" w:rsidRPr="004E3D8C">
        <w:rPr>
          <w:color w:val="000000" w:themeColor="text1"/>
          <w:sz w:val="22"/>
          <w:szCs w:val="22"/>
        </w:rPr>
        <w:t xml:space="preserve">s </w:t>
      </w:r>
      <w:r w:rsidR="00DB744C" w:rsidRPr="004E3D8C">
        <w:rPr>
          <w:color w:val="000000" w:themeColor="text1"/>
          <w:sz w:val="22"/>
          <w:szCs w:val="22"/>
        </w:rPr>
        <w:t>GROW</w:t>
      </w:r>
      <w:r w:rsidR="00897322" w:rsidRPr="004E3D8C">
        <w:rPr>
          <w:color w:val="000000" w:themeColor="text1"/>
          <w:sz w:val="22"/>
          <w:szCs w:val="22"/>
        </w:rPr>
        <w:t xml:space="preserve"> transition program</w:t>
      </w:r>
      <w:r w:rsidR="00DB744C" w:rsidRPr="004E3D8C">
        <w:rPr>
          <w:color w:val="000000" w:themeColor="text1"/>
          <w:sz w:val="22"/>
          <w:szCs w:val="22"/>
        </w:rPr>
        <w:t>.</w:t>
      </w:r>
    </w:p>
    <w:p w14:paraId="7D22ADD3" w14:textId="0940736A" w:rsidR="00F113BD" w:rsidRPr="004E3D8C" w:rsidRDefault="00F113BD" w:rsidP="00203D2D">
      <w:pPr>
        <w:rPr>
          <w:color w:val="000000" w:themeColor="text1"/>
          <w:sz w:val="22"/>
          <w:szCs w:val="22"/>
        </w:rPr>
      </w:pPr>
    </w:p>
    <w:p w14:paraId="08985B1D" w14:textId="3F348357" w:rsidR="008C5A7E" w:rsidRPr="004E3D8C" w:rsidRDefault="008C5A7E" w:rsidP="00203D2D">
      <w:pPr>
        <w:rPr>
          <w:b/>
          <w:bCs/>
          <w:color w:val="000000" w:themeColor="text1"/>
          <w:sz w:val="22"/>
          <w:szCs w:val="22"/>
        </w:rPr>
      </w:pPr>
      <w:r w:rsidRPr="004E3D8C">
        <w:rPr>
          <w:b/>
          <w:bCs/>
          <w:color w:val="000000" w:themeColor="text1"/>
          <w:sz w:val="22"/>
          <w:szCs w:val="22"/>
        </w:rPr>
        <w:t>RELEVANT LEGAL STANDARD</w:t>
      </w:r>
      <w:r w:rsidR="00CA240D" w:rsidRPr="004E3D8C">
        <w:rPr>
          <w:b/>
          <w:bCs/>
          <w:color w:val="000000" w:themeColor="text1"/>
          <w:sz w:val="22"/>
          <w:szCs w:val="22"/>
        </w:rPr>
        <w:t>S</w:t>
      </w:r>
      <w:r w:rsidRPr="004E3D8C">
        <w:rPr>
          <w:b/>
          <w:bCs/>
          <w:color w:val="000000" w:themeColor="text1"/>
          <w:sz w:val="22"/>
          <w:szCs w:val="22"/>
        </w:rPr>
        <w:t>:</w:t>
      </w:r>
    </w:p>
    <w:p w14:paraId="475969AF" w14:textId="77777777" w:rsidR="00B418FD" w:rsidRPr="004E3D8C" w:rsidRDefault="00B418FD" w:rsidP="00203D2D">
      <w:pPr>
        <w:rPr>
          <w:b/>
          <w:bCs/>
          <w:color w:val="000000" w:themeColor="text1"/>
          <w:sz w:val="22"/>
          <w:szCs w:val="22"/>
        </w:rPr>
      </w:pPr>
    </w:p>
    <w:p w14:paraId="4A19982B" w14:textId="4AB222F1" w:rsidR="008C5A7E" w:rsidRPr="004E3D8C" w:rsidRDefault="008C5A7E" w:rsidP="008C5A7E">
      <w:pPr>
        <w:pStyle w:val="ListParagraph"/>
        <w:numPr>
          <w:ilvl w:val="0"/>
          <w:numId w:val="4"/>
        </w:numPr>
        <w:rPr>
          <w:i/>
          <w:iCs/>
          <w:color w:val="000000" w:themeColor="text1"/>
          <w:sz w:val="22"/>
          <w:szCs w:val="22"/>
        </w:rPr>
      </w:pPr>
      <w:r w:rsidRPr="004E3D8C">
        <w:rPr>
          <w:i/>
          <w:iCs/>
          <w:color w:val="000000" w:themeColor="text1"/>
          <w:sz w:val="22"/>
          <w:szCs w:val="22"/>
        </w:rPr>
        <w:t>Amending a Hearing Request</w:t>
      </w:r>
    </w:p>
    <w:p w14:paraId="5F33088E" w14:textId="77777777" w:rsidR="00965658" w:rsidRPr="004E3D8C" w:rsidRDefault="00965658" w:rsidP="00C073B4">
      <w:pPr>
        <w:rPr>
          <w:color w:val="000000" w:themeColor="text1"/>
          <w:sz w:val="22"/>
          <w:szCs w:val="22"/>
        </w:rPr>
      </w:pPr>
    </w:p>
    <w:p w14:paraId="7826F8D0" w14:textId="004481C5" w:rsidR="00C073B4" w:rsidRPr="004E3D8C" w:rsidRDefault="00C073B4" w:rsidP="00C073B4">
      <w:pPr>
        <w:rPr>
          <w:color w:val="000000" w:themeColor="text1"/>
          <w:sz w:val="22"/>
          <w:szCs w:val="22"/>
        </w:rPr>
      </w:pPr>
      <w:r w:rsidRPr="004E3D8C">
        <w:rPr>
          <w:i/>
          <w:iCs/>
          <w:color w:val="000000" w:themeColor="text1"/>
          <w:sz w:val="22"/>
          <w:szCs w:val="22"/>
        </w:rPr>
        <w:t>BSEA Hearing Rule 1G</w:t>
      </w:r>
      <w:r w:rsidRPr="004E3D8C">
        <w:rPr>
          <w:color w:val="000000" w:themeColor="text1"/>
          <w:sz w:val="22"/>
          <w:szCs w:val="22"/>
        </w:rPr>
        <w:t xml:space="preserve"> states that the moving party may amend the hearing request under two circumstances:</w:t>
      </w:r>
    </w:p>
    <w:p w14:paraId="0A244DCF" w14:textId="77777777" w:rsidR="00C073B4" w:rsidRPr="004E3D8C" w:rsidRDefault="00C073B4" w:rsidP="00C073B4">
      <w:pPr>
        <w:rPr>
          <w:color w:val="000000" w:themeColor="text1"/>
          <w:sz w:val="22"/>
          <w:szCs w:val="22"/>
        </w:rPr>
      </w:pPr>
    </w:p>
    <w:p w14:paraId="2DC9B69F" w14:textId="77777777" w:rsidR="00C073B4" w:rsidRPr="004E3D8C" w:rsidRDefault="00C073B4" w:rsidP="00965658">
      <w:pPr>
        <w:ind w:left="2160" w:hanging="720"/>
        <w:rPr>
          <w:color w:val="000000" w:themeColor="text1"/>
          <w:sz w:val="22"/>
          <w:szCs w:val="22"/>
        </w:rPr>
      </w:pPr>
      <w:r w:rsidRPr="004E3D8C">
        <w:rPr>
          <w:color w:val="000000" w:themeColor="text1"/>
          <w:sz w:val="22"/>
          <w:szCs w:val="22"/>
        </w:rPr>
        <w:t>1.</w:t>
      </w:r>
      <w:r w:rsidRPr="004E3D8C">
        <w:rPr>
          <w:color w:val="000000" w:themeColor="text1"/>
          <w:sz w:val="22"/>
          <w:szCs w:val="22"/>
        </w:rPr>
        <w:tab/>
        <w:t xml:space="preserve">In response to a Hearing Officer’s determination that a hearing request is insufficient, as described in E, above, the moving party may file an amended hearing request within fourteen (14) calendar days of the date of the Hearing Officer’s determination.  </w:t>
      </w:r>
    </w:p>
    <w:p w14:paraId="2E6FC2FC" w14:textId="77777777" w:rsidR="00C073B4" w:rsidRPr="004E3D8C" w:rsidRDefault="00C073B4" w:rsidP="00C073B4">
      <w:pPr>
        <w:rPr>
          <w:color w:val="000000" w:themeColor="text1"/>
          <w:sz w:val="22"/>
          <w:szCs w:val="22"/>
        </w:rPr>
      </w:pPr>
    </w:p>
    <w:p w14:paraId="1098137E" w14:textId="77777777" w:rsidR="00C073B4" w:rsidRPr="004E3D8C" w:rsidRDefault="00C073B4" w:rsidP="00965658">
      <w:pPr>
        <w:ind w:left="2160" w:hanging="720"/>
        <w:rPr>
          <w:i/>
          <w:iCs/>
          <w:color w:val="000000" w:themeColor="text1"/>
          <w:sz w:val="22"/>
          <w:szCs w:val="22"/>
        </w:rPr>
      </w:pPr>
      <w:r w:rsidRPr="004E3D8C">
        <w:rPr>
          <w:color w:val="000000" w:themeColor="text1"/>
          <w:sz w:val="22"/>
          <w:szCs w:val="22"/>
        </w:rPr>
        <w:t>2.</w:t>
      </w:r>
      <w:r w:rsidRPr="004E3D8C">
        <w:rPr>
          <w:color w:val="000000" w:themeColor="text1"/>
          <w:sz w:val="22"/>
          <w:szCs w:val="22"/>
        </w:rPr>
        <w:tab/>
        <w:t xml:space="preserve">If the other party consents in writing, or the Hearing Officer grants permission.  (The Hearing Officer may not grant such permission later than five (5) calendar days before the start of the hearing.)  </w:t>
      </w:r>
    </w:p>
    <w:p w14:paraId="3530895D" w14:textId="77777777" w:rsidR="00C073B4" w:rsidRPr="004E3D8C" w:rsidRDefault="00C073B4" w:rsidP="00C073B4">
      <w:pPr>
        <w:rPr>
          <w:i/>
          <w:iCs/>
          <w:color w:val="000000" w:themeColor="text1"/>
          <w:sz w:val="22"/>
          <w:szCs w:val="22"/>
        </w:rPr>
      </w:pPr>
    </w:p>
    <w:p w14:paraId="22127E4B" w14:textId="60883DD2" w:rsidR="00C073B4" w:rsidRPr="004E3D8C" w:rsidRDefault="00C073B4" w:rsidP="00965658">
      <w:pPr>
        <w:ind w:left="1080"/>
        <w:rPr>
          <w:color w:val="000000" w:themeColor="text1"/>
          <w:sz w:val="22"/>
          <w:szCs w:val="22"/>
        </w:rPr>
      </w:pPr>
      <w:r w:rsidRPr="004E3D8C">
        <w:rPr>
          <w:color w:val="000000" w:themeColor="text1"/>
          <w:sz w:val="22"/>
          <w:szCs w:val="22"/>
        </w:rPr>
        <w:t>Whenever a hearing request is amended, the entire process starts over for the purpose of timelines, as if the amended hearing request were a new request. However, to the extent the amendment merely clarifies issues raised in the initial hearing request, the date of the initial hearing request shall be controlling for statute of limitations purposes. For issues not included in the original hearing request, the date of the amended hearing request shall be controlling for statute of limitations purposes.</w:t>
      </w:r>
    </w:p>
    <w:p w14:paraId="7E507C34" w14:textId="65B891C1" w:rsidR="00C073B4" w:rsidRPr="004E3D8C" w:rsidRDefault="00C073B4" w:rsidP="000C5E81">
      <w:pPr>
        <w:rPr>
          <w:color w:val="000000" w:themeColor="text1"/>
          <w:sz w:val="22"/>
          <w:szCs w:val="22"/>
        </w:rPr>
      </w:pPr>
    </w:p>
    <w:p w14:paraId="74BC8B9A" w14:textId="77777777" w:rsidR="00965658" w:rsidRPr="004E3D8C" w:rsidRDefault="00965658" w:rsidP="000C5E81">
      <w:pPr>
        <w:rPr>
          <w:color w:val="000000" w:themeColor="text1"/>
          <w:sz w:val="22"/>
          <w:szCs w:val="22"/>
        </w:rPr>
      </w:pPr>
    </w:p>
    <w:p w14:paraId="1B4D1B34" w14:textId="58C8C873" w:rsidR="008C5A7E" w:rsidRPr="004E3D8C" w:rsidRDefault="00A06E2F" w:rsidP="008C5A7E">
      <w:pPr>
        <w:pStyle w:val="ListParagraph"/>
        <w:numPr>
          <w:ilvl w:val="0"/>
          <w:numId w:val="4"/>
        </w:numPr>
        <w:rPr>
          <w:i/>
          <w:iCs/>
          <w:color w:val="000000" w:themeColor="text1"/>
          <w:sz w:val="22"/>
          <w:szCs w:val="22"/>
        </w:rPr>
      </w:pPr>
      <w:r w:rsidRPr="004E3D8C">
        <w:rPr>
          <w:i/>
          <w:iCs/>
          <w:color w:val="000000" w:themeColor="text1"/>
          <w:sz w:val="22"/>
          <w:szCs w:val="22"/>
        </w:rPr>
        <w:t>Transition Services</w:t>
      </w:r>
    </w:p>
    <w:p w14:paraId="64298D51" w14:textId="77777777" w:rsidR="00FD71BF" w:rsidRPr="004E3D8C" w:rsidRDefault="00FD71BF" w:rsidP="002C1888">
      <w:pPr>
        <w:contextualSpacing/>
        <w:rPr>
          <w:color w:val="000000" w:themeColor="text1"/>
          <w:sz w:val="22"/>
          <w:szCs w:val="22"/>
        </w:rPr>
      </w:pPr>
    </w:p>
    <w:p w14:paraId="7B43EC49" w14:textId="425FFDBC" w:rsidR="002C1888" w:rsidRPr="004E3D8C" w:rsidRDefault="002C1888" w:rsidP="00D151B9">
      <w:pPr>
        <w:contextualSpacing/>
        <w:rPr>
          <w:rStyle w:val="apple-converted-space"/>
          <w:color w:val="000000" w:themeColor="text1"/>
          <w:sz w:val="22"/>
          <w:szCs w:val="22"/>
        </w:rPr>
      </w:pPr>
      <w:r w:rsidRPr="004E3D8C">
        <w:rPr>
          <w:color w:val="000000" w:themeColor="text1"/>
          <w:sz w:val="22"/>
          <w:szCs w:val="22"/>
        </w:rPr>
        <w:t>The Individuals with Disabilities Education Act (IDEA) was enacted "to ensure that all children with disabilities have available to them a free appropriate public education" (FAPE).</w:t>
      </w:r>
      <w:r w:rsidRPr="004E3D8C">
        <w:rPr>
          <w:rStyle w:val="FootnoteReference"/>
          <w:color w:val="000000" w:themeColor="text1"/>
          <w:sz w:val="22"/>
          <w:szCs w:val="22"/>
        </w:rPr>
        <w:footnoteReference w:id="1"/>
      </w:r>
      <w:r w:rsidRPr="004E3D8C">
        <w:rPr>
          <w:color w:val="000000" w:themeColor="text1"/>
          <w:sz w:val="22"/>
          <w:szCs w:val="22"/>
        </w:rPr>
        <w:t xml:space="preserve">  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regular education setting and curriculum as appropriate for that student so as "to enable the student to progress effectively in the </w:t>
      </w:r>
      <w:r w:rsidRPr="004E3D8C">
        <w:rPr>
          <w:color w:val="000000" w:themeColor="text1"/>
          <w:sz w:val="22"/>
          <w:szCs w:val="22"/>
        </w:rPr>
        <w:lastRenderedPageBreak/>
        <w:t>content areas of the general curriculum.”</w:t>
      </w:r>
      <w:r w:rsidRPr="004E3D8C">
        <w:rPr>
          <w:rStyle w:val="FootnoteReference"/>
          <w:color w:val="000000" w:themeColor="text1"/>
          <w:sz w:val="22"/>
          <w:szCs w:val="22"/>
        </w:rPr>
        <w:footnoteReference w:id="2"/>
      </w:r>
      <w:r w:rsidRPr="004E3D8C">
        <w:rPr>
          <w:color w:val="000000" w:themeColor="text1"/>
          <w:sz w:val="22"/>
          <w:szCs w:val="22"/>
        </w:rPr>
        <w:t>  The IEP must be individually tailored for the student for whom it is created</w:t>
      </w:r>
      <w:r w:rsidR="00A25DC8" w:rsidRPr="004E3D8C">
        <w:rPr>
          <w:color w:val="000000" w:themeColor="text1"/>
          <w:sz w:val="22"/>
          <w:szCs w:val="22"/>
        </w:rPr>
        <w:t>.</w:t>
      </w:r>
      <w:r w:rsidR="00A25DC8" w:rsidRPr="004E3D8C">
        <w:rPr>
          <w:rStyle w:val="FootnoteReference"/>
          <w:color w:val="000000" w:themeColor="text1"/>
          <w:sz w:val="22"/>
          <w:szCs w:val="22"/>
        </w:rPr>
        <w:footnoteReference w:id="3"/>
      </w:r>
    </w:p>
    <w:p w14:paraId="600B87E9" w14:textId="77777777" w:rsidR="006617F4" w:rsidRPr="004E3D8C" w:rsidRDefault="006617F4" w:rsidP="001B4DFD">
      <w:pPr>
        <w:rPr>
          <w:bCs/>
          <w:color w:val="000000" w:themeColor="text1"/>
          <w:sz w:val="22"/>
          <w:szCs w:val="22"/>
        </w:rPr>
      </w:pPr>
    </w:p>
    <w:p w14:paraId="1A9156BD" w14:textId="05F84F5D" w:rsidR="002A5F47" w:rsidRPr="004E3D8C" w:rsidRDefault="00705F51" w:rsidP="00613D72">
      <w:pPr>
        <w:rPr>
          <w:bCs/>
          <w:color w:val="000000" w:themeColor="text1"/>
          <w:sz w:val="22"/>
          <w:szCs w:val="22"/>
        </w:rPr>
      </w:pPr>
      <w:r w:rsidRPr="004E3D8C">
        <w:rPr>
          <w:bCs/>
          <w:color w:val="000000" w:themeColor="text1"/>
          <w:sz w:val="22"/>
          <w:szCs w:val="22"/>
        </w:rPr>
        <w:t>The IDEA requires transition services, which are developed through transition planning by the IEP Team.</w:t>
      </w:r>
      <w:r w:rsidR="00C11942" w:rsidRPr="004E3D8C">
        <w:rPr>
          <w:rStyle w:val="FootnoteReference"/>
          <w:bCs/>
          <w:color w:val="000000" w:themeColor="text1"/>
          <w:sz w:val="22"/>
          <w:szCs w:val="22"/>
        </w:rPr>
        <w:t xml:space="preserve"> </w:t>
      </w:r>
      <w:r w:rsidR="00C11942" w:rsidRPr="004E3D8C">
        <w:rPr>
          <w:rStyle w:val="FootnoteReference"/>
          <w:bCs/>
          <w:color w:val="000000" w:themeColor="text1"/>
          <w:sz w:val="22"/>
          <w:szCs w:val="22"/>
        </w:rPr>
        <w:footnoteReference w:id="4"/>
      </w:r>
      <w:r w:rsidR="00C11942" w:rsidRPr="004E3D8C">
        <w:rPr>
          <w:color w:val="000000" w:themeColor="text1"/>
          <w:sz w:val="22"/>
          <w:szCs w:val="22"/>
        </w:rPr>
        <w:t xml:space="preserve"> </w:t>
      </w:r>
      <w:r w:rsidRPr="004E3D8C">
        <w:rPr>
          <w:bCs/>
          <w:color w:val="000000" w:themeColor="text1"/>
          <w:sz w:val="22"/>
          <w:szCs w:val="22"/>
        </w:rPr>
        <w:t xml:space="preserve"> Beginning not later than the first IEP to be in effect when the child is 16, and updated annually thereafter, the IEP Team must include the following within each IEP:</w:t>
      </w:r>
    </w:p>
    <w:p w14:paraId="6207A96E" w14:textId="77777777" w:rsidR="002A5F47" w:rsidRPr="004E3D8C" w:rsidRDefault="00705F51" w:rsidP="002A5F47">
      <w:pPr>
        <w:ind w:left="1440"/>
        <w:rPr>
          <w:bCs/>
          <w:color w:val="000000" w:themeColor="text1"/>
          <w:sz w:val="22"/>
          <w:szCs w:val="22"/>
        </w:rPr>
      </w:pPr>
      <w:r w:rsidRPr="004E3D8C">
        <w:rPr>
          <w:bCs/>
          <w:color w:val="000000" w:themeColor="text1"/>
          <w:sz w:val="22"/>
          <w:szCs w:val="22"/>
        </w:rPr>
        <w:t>(aa) appropriate measurable postsecondary goals based upon age appropriate transition assessments related to training, education, employment, and, where appropriate, independent living skills;               </w:t>
      </w:r>
    </w:p>
    <w:p w14:paraId="469FDF88" w14:textId="13BDED4D" w:rsidR="00705F51" w:rsidRPr="004E3D8C" w:rsidRDefault="00705F51" w:rsidP="002A5F47">
      <w:pPr>
        <w:ind w:left="1440"/>
        <w:rPr>
          <w:bCs/>
          <w:color w:val="000000" w:themeColor="text1"/>
          <w:sz w:val="22"/>
          <w:szCs w:val="22"/>
        </w:rPr>
      </w:pPr>
      <w:r w:rsidRPr="004E3D8C">
        <w:rPr>
          <w:bCs/>
          <w:color w:val="000000" w:themeColor="text1"/>
          <w:sz w:val="22"/>
          <w:szCs w:val="22"/>
        </w:rPr>
        <w:t>(bb) the transition services (including courses of study) needed to assist the child in reaching those goals ….</w:t>
      </w:r>
      <w:r w:rsidR="00D25CD0" w:rsidRPr="004E3D8C">
        <w:rPr>
          <w:rStyle w:val="FootnoteReference"/>
          <w:bCs/>
          <w:color w:val="000000" w:themeColor="text1"/>
          <w:sz w:val="22"/>
          <w:szCs w:val="22"/>
        </w:rPr>
        <w:footnoteReference w:id="5"/>
      </w:r>
    </w:p>
    <w:p w14:paraId="255BD6F3" w14:textId="4DDBA2CD" w:rsidR="00D97E25" w:rsidRPr="004E3D8C" w:rsidRDefault="00C75EE4" w:rsidP="00D97E25">
      <w:pPr>
        <w:rPr>
          <w:bCs/>
          <w:color w:val="000000" w:themeColor="text1"/>
          <w:sz w:val="22"/>
          <w:szCs w:val="22"/>
        </w:rPr>
      </w:pPr>
      <w:r w:rsidRPr="004E3D8C">
        <w:rPr>
          <w:bCs/>
          <w:color w:val="000000" w:themeColor="text1"/>
          <w:sz w:val="22"/>
          <w:szCs w:val="22"/>
        </w:rPr>
        <w:t xml:space="preserve">In </w:t>
      </w:r>
      <w:r w:rsidR="00705F51" w:rsidRPr="004E3D8C">
        <w:rPr>
          <w:bCs/>
          <w:color w:val="000000" w:themeColor="text1"/>
          <w:sz w:val="22"/>
          <w:szCs w:val="22"/>
        </w:rPr>
        <w:t>Massachusetts</w:t>
      </w:r>
      <w:r w:rsidRPr="004E3D8C">
        <w:rPr>
          <w:bCs/>
          <w:color w:val="000000" w:themeColor="text1"/>
          <w:sz w:val="22"/>
          <w:szCs w:val="22"/>
        </w:rPr>
        <w:t>, students begin transition services</w:t>
      </w:r>
      <w:r w:rsidR="00705F51" w:rsidRPr="004E3D8C">
        <w:rPr>
          <w:bCs/>
          <w:color w:val="000000" w:themeColor="text1"/>
          <w:sz w:val="22"/>
          <w:szCs w:val="22"/>
        </w:rPr>
        <w:t xml:space="preserve"> </w:t>
      </w:r>
      <w:r w:rsidRPr="004E3D8C">
        <w:rPr>
          <w:bCs/>
          <w:color w:val="000000" w:themeColor="text1"/>
          <w:sz w:val="22"/>
          <w:szCs w:val="22"/>
        </w:rPr>
        <w:t>at</w:t>
      </w:r>
      <w:r w:rsidR="00705F51" w:rsidRPr="004E3D8C">
        <w:rPr>
          <w:bCs/>
          <w:color w:val="000000" w:themeColor="text1"/>
          <w:sz w:val="22"/>
          <w:szCs w:val="22"/>
        </w:rPr>
        <w:t xml:space="preserve"> age 14.</w:t>
      </w:r>
      <w:r w:rsidR="00D24502" w:rsidRPr="004E3D8C">
        <w:rPr>
          <w:rStyle w:val="FootnoteReference"/>
          <w:bCs/>
          <w:color w:val="000000" w:themeColor="text1"/>
          <w:sz w:val="22"/>
          <w:szCs w:val="22"/>
        </w:rPr>
        <w:footnoteReference w:id="6"/>
      </w:r>
      <w:r w:rsidR="00571DF9" w:rsidRPr="004E3D8C">
        <w:rPr>
          <w:bCs/>
          <w:color w:val="000000" w:themeColor="text1"/>
          <w:sz w:val="22"/>
          <w:szCs w:val="22"/>
        </w:rPr>
        <w:t xml:space="preserve"> </w:t>
      </w:r>
      <w:r w:rsidR="00CA7452" w:rsidRPr="004E3D8C">
        <w:rPr>
          <w:bCs/>
          <w:color w:val="000000" w:themeColor="text1"/>
          <w:sz w:val="22"/>
          <w:szCs w:val="22"/>
        </w:rPr>
        <w:t xml:space="preserve"> </w:t>
      </w:r>
      <w:r w:rsidR="00D25CD0" w:rsidRPr="004E3D8C">
        <w:rPr>
          <w:bCs/>
          <w:color w:val="000000" w:themeColor="text1"/>
          <w:sz w:val="22"/>
          <w:szCs w:val="22"/>
        </w:rPr>
        <w:t>“</w:t>
      </w:r>
      <w:r w:rsidR="00705F51" w:rsidRPr="004E3D8C">
        <w:rPr>
          <w:bCs/>
          <w:color w:val="000000" w:themeColor="text1"/>
          <w:sz w:val="22"/>
          <w:szCs w:val="22"/>
        </w:rPr>
        <w:t>Transition services are part of, and not separate from, a school district’s responsibility to provide FAPE.</w:t>
      </w:r>
      <w:r w:rsidR="00D25CD0" w:rsidRPr="004E3D8C">
        <w:rPr>
          <w:bCs/>
          <w:color w:val="000000" w:themeColor="text1"/>
          <w:sz w:val="22"/>
          <w:szCs w:val="22"/>
        </w:rPr>
        <w:t>”</w:t>
      </w:r>
      <w:r w:rsidR="00D25CD0" w:rsidRPr="004E3D8C">
        <w:rPr>
          <w:rStyle w:val="FootnoteReference"/>
          <w:bCs/>
          <w:color w:val="000000" w:themeColor="text1"/>
          <w:sz w:val="22"/>
          <w:szCs w:val="22"/>
        </w:rPr>
        <w:footnoteReference w:id="7"/>
      </w:r>
      <w:r w:rsidR="00D25CD0" w:rsidRPr="004E3D8C">
        <w:rPr>
          <w:bCs/>
          <w:color w:val="000000" w:themeColor="text1"/>
          <w:sz w:val="22"/>
          <w:szCs w:val="22"/>
        </w:rPr>
        <w:t xml:space="preserve"> </w:t>
      </w:r>
      <w:r w:rsidR="00705F51" w:rsidRPr="004E3D8C">
        <w:rPr>
          <w:bCs/>
          <w:color w:val="000000" w:themeColor="text1"/>
          <w:sz w:val="22"/>
          <w:szCs w:val="22"/>
        </w:rPr>
        <w:t>Whether a student’s transition planning and services are appropriate must therefore be considered within the context of the purposes of FAPE, as well as within the court decisions interpreting the FAPE standard.</w:t>
      </w:r>
      <w:r w:rsidR="00D84384" w:rsidRPr="004E3D8C">
        <w:rPr>
          <w:rStyle w:val="FootnoteReference"/>
          <w:bCs/>
          <w:color w:val="000000" w:themeColor="text1"/>
          <w:sz w:val="22"/>
          <w:szCs w:val="22"/>
        </w:rPr>
        <w:footnoteReference w:id="8"/>
      </w:r>
      <w:r w:rsidR="00D84384" w:rsidRPr="004E3D8C">
        <w:rPr>
          <w:bCs/>
          <w:color w:val="000000" w:themeColor="text1"/>
          <w:sz w:val="22"/>
          <w:szCs w:val="22"/>
        </w:rPr>
        <w:t xml:space="preserve"> </w:t>
      </w:r>
      <w:r w:rsidR="00571DF9" w:rsidRPr="004E3D8C">
        <w:rPr>
          <w:bCs/>
          <w:color w:val="000000" w:themeColor="text1"/>
          <w:sz w:val="22"/>
          <w:szCs w:val="22"/>
        </w:rPr>
        <w:t xml:space="preserve"> </w:t>
      </w:r>
      <w:r w:rsidR="00611D7A" w:rsidRPr="004E3D8C">
        <w:rPr>
          <w:bCs/>
          <w:color w:val="000000" w:themeColor="text1"/>
          <w:sz w:val="22"/>
          <w:szCs w:val="22"/>
        </w:rPr>
        <w:t>T</w:t>
      </w:r>
      <w:r w:rsidR="00705F51" w:rsidRPr="004E3D8C">
        <w:rPr>
          <w:bCs/>
          <w:color w:val="000000" w:themeColor="text1"/>
          <w:sz w:val="22"/>
          <w:szCs w:val="22"/>
        </w:rPr>
        <w:t>ransition services must be considered “in the aggregate and in light of the child’s overall needs.”</w:t>
      </w:r>
      <w:r w:rsidR="008E6E49" w:rsidRPr="004E3D8C">
        <w:rPr>
          <w:rStyle w:val="FootnoteReference"/>
          <w:bCs/>
          <w:color w:val="000000" w:themeColor="text1"/>
          <w:sz w:val="22"/>
          <w:szCs w:val="22"/>
        </w:rPr>
        <w:footnoteReference w:id="9"/>
      </w:r>
      <w:r w:rsidR="008E6E49" w:rsidRPr="004E3D8C">
        <w:rPr>
          <w:bCs/>
          <w:color w:val="000000" w:themeColor="text1"/>
          <w:sz w:val="22"/>
          <w:szCs w:val="22"/>
        </w:rPr>
        <w:t xml:space="preserve"> </w:t>
      </w:r>
      <w:r w:rsidR="0072374E" w:rsidRPr="004E3D8C">
        <w:rPr>
          <w:bCs/>
          <w:color w:val="000000" w:themeColor="text1"/>
          <w:sz w:val="22"/>
          <w:szCs w:val="22"/>
        </w:rPr>
        <w:t xml:space="preserve"> </w:t>
      </w:r>
      <w:r w:rsidR="008E6E49" w:rsidRPr="004E3D8C">
        <w:rPr>
          <w:bCs/>
          <w:color w:val="000000" w:themeColor="text1"/>
          <w:sz w:val="22"/>
          <w:szCs w:val="22"/>
        </w:rPr>
        <w:t xml:space="preserve"> </w:t>
      </w:r>
      <w:r w:rsidR="00D97E25" w:rsidRPr="004E3D8C">
        <w:rPr>
          <w:bCs/>
          <w:color w:val="000000" w:themeColor="text1"/>
          <w:sz w:val="22"/>
          <w:szCs w:val="22"/>
        </w:rPr>
        <w:t xml:space="preserve"> </w:t>
      </w:r>
    </w:p>
    <w:p w14:paraId="2EAD6870" w14:textId="77777777" w:rsidR="001D1F4F" w:rsidRPr="004E3D8C" w:rsidRDefault="001D1F4F" w:rsidP="001B4DFD">
      <w:pPr>
        <w:rPr>
          <w:b/>
          <w:color w:val="000000" w:themeColor="text1"/>
          <w:sz w:val="22"/>
          <w:szCs w:val="22"/>
        </w:rPr>
      </w:pPr>
    </w:p>
    <w:p w14:paraId="09CC682E" w14:textId="24DA97CE" w:rsidR="003D0AA2" w:rsidRPr="004E3D8C" w:rsidRDefault="00D32256" w:rsidP="001B4DFD">
      <w:pPr>
        <w:rPr>
          <w:b/>
          <w:color w:val="000000" w:themeColor="text1"/>
          <w:sz w:val="22"/>
          <w:szCs w:val="22"/>
        </w:rPr>
      </w:pPr>
      <w:r w:rsidRPr="004E3D8C">
        <w:rPr>
          <w:b/>
          <w:color w:val="000000" w:themeColor="text1"/>
          <w:sz w:val="22"/>
          <w:szCs w:val="22"/>
        </w:rPr>
        <w:t>APPLICATION</w:t>
      </w:r>
      <w:r w:rsidR="003D0AA2" w:rsidRPr="004E3D8C">
        <w:rPr>
          <w:b/>
          <w:color w:val="000000" w:themeColor="text1"/>
          <w:sz w:val="22"/>
          <w:szCs w:val="22"/>
        </w:rPr>
        <w:t xml:space="preserve"> OF LEGAL STANDARD</w:t>
      </w:r>
      <w:r w:rsidR="00CA240D" w:rsidRPr="004E3D8C">
        <w:rPr>
          <w:b/>
          <w:color w:val="000000" w:themeColor="text1"/>
          <w:sz w:val="22"/>
          <w:szCs w:val="22"/>
        </w:rPr>
        <w:t>S</w:t>
      </w:r>
      <w:r w:rsidR="003D0AA2" w:rsidRPr="004E3D8C">
        <w:rPr>
          <w:b/>
          <w:color w:val="000000" w:themeColor="text1"/>
          <w:sz w:val="22"/>
          <w:szCs w:val="22"/>
        </w:rPr>
        <w:t>:</w:t>
      </w:r>
    </w:p>
    <w:p w14:paraId="70FE7540" w14:textId="77777777" w:rsidR="00241961" w:rsidRPr="004E3D8C" w:rsidRDefault="00241961" w:rsidP="001B4DFD">
      <w:pPr>
        <w:rPr>
          <w:b/>
          <w:color w:val="000000" w:themeColor="text1"/>
          <w:sz w:val="22"/>
          <w:szCs w:val="22"/>
        </w:rPr>
      </w:pPr>
    </w:p>
    <w:p w14:paraId="0AEE2FC9" w14:textId="54F4660A" w:rsidR="003D0AA2" w:rsidRPr="004E3D8C" w:rsidRDefault="009517E5" w:rsidP="003D0AA2">
      <w:pPr>
        <w:pStyle w:val="ListParagraph"/>
        <w:numPr>
          <w:ilvl w:val="0"/>
          <w:numId w:val="5"/>
        </w:numPr>
        <w:rPr>
          <w:bCs/>
          <w:i/>
          <w:iCs/>
          <w:color w:val="000000" w:themeColor="text1"/>
          <w:sz w:val="22"/>
          <w:szCs w:val="22"/>
        </w:rPr>
      </w:pPr>
      <w:r w:rsidRPr="004E3D8C">
        <w:rPr>
          <w:bCs/>
          <w:i/>
          <w:iCs/>
          <w:color w:val="000000" w:themeColor="text1"/>
          <w:sz w:val="22"/>
          <w:szCs w:val="22"/>
        </w:rPr>
        <w:t xml:space="preserve">Parents/Guardians May Not Amend the </w:t>
      </w:r>
      <w:r w:rsidR="00DE1D1A" w:rsidRPr="004E3D8C">
        <w:rPr>
          <w:bCs/>
          <w:i/>
          <w:iCs/>
          <w:color w:val="000000" w:themeColor="text1"/>
          <w:sz w:val="22"/>
          <w:szCs w:val="22"/>
        </w:rPr>
        <w:t xml:space="preserve">Hearing Request Without </w:t>
      </w:r>
      <w:r w:rsidR="003F5DF3" w:rsidRPr="004E3D8C">
        <w:rPr>
          <w:bCs/>
          <w:i/>
          <w:iCs/>
          <w:color w:val="000000" w:themeColor="text1"/>
          <w:sz w:val="22"/>
          <w:szCs w:val="22"/>
        </w:rPr>
        <w:t>Revising the Timeline for the Accelerate</w:t>
      </w:r>
      <w:r w:rsidR="00CA240D" w:rsidRPr="004E3D8C">
        <w:rPr>
          <w:bCs/>
          <w:i/>
          <w:iCs/>
          <w:color w:val="000000" w:themeColor="text1"/>
          <w:sz w:val="22"/>
          <w:szCs w:val="22"/>
        </w:rPr>
        <w:t>d</w:t>
      </w:r>
      <w:r w:rsidR="003F5DF3" w:rsidRPr="004E3D8C">
        <w:rPr>
          <w:bCs/>
          <w:i/>
          <w:iCs/>
          <w:color w:val="000000" w:themeColor="text1"/>
          <w:sz w:val="22"/>
          <w:szCs w:val="22"/>
        </w:rPr>
        <w:t xml:space="preserve"> Hearing.</w:t>
      </w:r>
    </w:p>
    <w:p w14:paraId="0B8C95BC" w14:textId="77777777" w:rsidR="00D10D63" w:rsidRPr="004E3D8C" w:rsidRDefault="00D10D63" w:rsidP="003F5DF3">
      <w:pPr>
        <w:rPr>
          <w:bCs/>
          <w:color w:val="000000" w:themeColor="text1"/>
          <w:sz w:val="22"/>
          <w:szCs w:val="22"/>
        </w:rPr>
      </w:pPr>
    </w:p>
    <w:p w14:paraId="60419EE3" w14:textId="6DBAC94D" w:rsidR="008651D2" w:rsidRPr="004E3D8C" w:rsidRDefault="003F5DF3" w:rsidP="003F5DF3">
      <w:pPr>
        <w:rPr>
          <w:rFonts w:eastAsiaTheme="minorHAnsi"/>
          <w:i/>
          <w:iCs/>
          <w:color w:val="000000" w:themeColor="text1"/>
          <w:sz w:val="22"/>
          <w:szCs w:val="22"/>
        </w:rPr>
      </w:pPr>
      <w:r w:rsidRPr="004E3D8C">
        <w:rPr>
          <w:bCs/>
          <w:color w:val="000000" w:themeColor="text1"/>
          <w:sz w:val="22"/>
          <w:szCs w:val="22"/>
        </w:rPr>
        <w:t xml:space="preserve">In the instant matter, </w:t>
      </w:r>
      <w:r w:rsidR="008651D2" w:rsidRPr="004E3D8C">
        <w:rPr>
          <w:bCs/>
          <w:color w:val="000000" w:themeColor="text1"/>
          <w:sz w:val="22"/>
          <w:szCs w:val="22"/>
        </w:rPr>
        <w:t xml:space="preserve">with respect to ESY 2021, </w:t>
      </w:r>
      <w:r w:rsidRPr="004E3D8C">
        <w:rPr>
          <w:bCs/>
          <w:color w:val="000000" w:themeColor="text1"/>
          <w:sz w:val="22"/>
          <w:szCs w:val="22"/>
        </w:rPr>
        <w:t>Parents’</w:t>
      </w:r>
      <w:r w:rsidR="008651D2" w:rsidRPr="004E3D8C">
        <w:rPr>
          <w:bCs/>
          <w:color w:val="000000" w:themeColor="text1"/>
          <w:sz w:val="22"/>
          <w:szCs w:val="22"/>
        </w:rPr>
        <w:t>/Guardians’</w:t>
      </w:r>
      <w:r w:rsidRPr="004E3D8C">
        <w:rPr>
          <w:bCs/>
          <w:color w:val="000000" w:themeColor="text1"/>
          <w:sz w:val="22"/>
          <w:szCs w:val="22"/>
        </w:rPr>
        <w:t xml:space="preserve"> original</w:t>
      </w:r>
      <w:r w:rsidR="008651D2" w:rsidRPr="004E3D8C">
        <w:rPr>
          <w:bCs/>
          <w:color w:val="000000" w:themeColor="text1"/>
          <w:sz w:val="22"/>
          <w:szCs w:val="22"/>
        </w:rPr>
        <w:t xml:space="preserve"> Hearing Request seeks</w:t>
      </w:r>
      <w:r w:rsidR="0054290A" w:rsidRPr="004E3D8C">
        <w:rPr>
          <w:bCs/>
          <w:color w:val="000000" w:themeColor="text1"/>
          <w:sz w:val="22"/>
          <w:szCs w:val="22"/>
        </w:rPr>
        <w:t>, in part,</w:t>
      </w:r>
      <w:r w:rsidR="00D10D63" w:rsidRPr="004E3D8C">
        <w:rPr>
          <w:bCs/>
          <w:color w:val="000000" w:themeColor="text1"/>
          <w:sz w:val="22"/>
          <w:szCs w:val="22"/>
        </w:rPr>
        <w:t xml:space="preserve"> </w:t>
      </w:r>
      <w:r w:rsidR="00184E9D" w:rsidRPr="004E3D8C">
        <w:rPr>
          <w:bCs/>
          <w:color w:val="000000" w:themeColor="text1"/>
          <w:sz w:val="22"/>
          <w:szCs w:val="22"/>
        </w:rPr>
        <w:t>an “or</w:t>
      </w:r>
      <w:r w:rsidR="000554C4" w:rsidRPr="004E3D8C">
        <w:rPr>
          <w:bCs/>
          <w:color w:val="000000" w:themeColor="text1"/>
          <w:sz w:val="22"/>
          <w:szCs w:val="22"/>
        </w:rPr>
        <w:t>d</w:t>
      </w:r>
      <w:r w:rsidR="00184E9D" w:rsidRPr="004E3D8C">
        <w:rPr>
          <w:bCs/>
          <w:color w:val="000000" w:themeColor="text1"/>
          <w:sz w:val="22"/>
          <w:szCs w:val="22"/>
        </w:rPr>
        <w:t xml:space="preserve">er </w:t>
      </w:r>
      <w:r w:rsidR="000554C4" w:rsidRPr="004E3D8C">
        <w:rPr>
          <w:bCs/>
          <w:color w:val="000000" w:themeColor="text1"/>
          <w:sz w:val="22"/>
          <w:szCs w:val="22"/>
        </w:rPr>
        <w:t>requiring Harvard to fund [Student’s] placement</w:t>
      </w:r>
      <w:r w:rsidR="0054290A" w:rsidRPr="004E3D8C">
        <w:rPr>
          <w:bCs/>
          <w:color w:val="000000" w:themeColor="text1"/>
          <w:sz w:val="22"/>
          <w:szCs w:val="22"/>
        </w:rPr>
        <w:t xml:space="preserve"> at Riverview for ESY 2021</w:t>
      </w:r>
      <w:r w:rsidR="008651D2" w:rsidRPr="004E3D8C">
        <w:rPr>
          <w:bCs/>
          <w:color w:val="000000" w:themeColor="text1"/>
          <w:sz w:val="22"/>
          <w:szCs w:val="22"/>
        </w:rPr>
        <w:t>.</w:t>
      </w:r>
      <w:r w:rsidR="0054290A" w:rsidRPr="004E3D8C">
        <w:rPr>
          <w:bCs/>
          <w:color w:val="000000" w:themeColor="text1"/>
          <w:sz w:val="22"/>
          <w:szCs w:val="22"/>
        </w:rPr>
        <w:t>”</w:t>
      </w:r>
      <w:r w:rsidR="008651D2" w:rsidRPr="004E3D8C">
        <w:rPr>
          <w:bCs/>
          <w:color w:val="000000" w:themeColor="text1"/>
          <w:sz w:val="22"/>
          <w:szCs w:val="22"/>
        </w:rPr>
        <w:t xml:space="preserve"> </w:t>
      </w:r>
      <w:r w:rsidR="008F6BEF" w:rsidRPr="004E3D8C">
        <w:rPr>
          <w:bCs/>
          <w:color w:val="000000" w:themeColor="text1"/>
          <w:sz w:val="22"/>
          <w:szCs w:val="22"/>
        </w:rPr>
        <w:t>T</w:t>
      </w:r>
      <w:r w:rsidR="00D10D63" w:rsidRPr="004E3D8C">
        <w:rPr>
          <w:bCs/>
          <w:color w:val="000000" w:themeColor="text1"/>
          <w:sz w:val="22"/>
          <w:szCs w:val="22"/>
        </w:rPr>
        <w:t>he Hearing in the matter is scheduled to begin on July 2, 2021</w:t>
      </w:r>
      <w:r w:rsidR="008F6BEF" w:rsidRPr="004E3D8C">
        <w:rPr>
          <w:bCs/>
          <w:color w:val="000000" w:themeColor="text1"/>
          <w:sz w:val="22"/>
          <w:szCs w:val="22"/>
        </w:rPr>
        <w:t xml:space="preserve">, only eight (8) calendar days from the date of Parents’/Guardians’ filing of the Amended Hearing Request. </w:t>
      </w:r>
      <w:r w:rsidR="008651D2" w:rsidRPr="004E3D8C">
        <w:rPr>
          <w:bCs/>
          <w:color w:val="000000" w:themeColor="text1"/>
          <w:sz w:val="22"/>
          <w:szCs w:val="22"/>
        </w:rPr>
        <w:t>The District is correct that it has not had an opportunity to engage in any discovery</w:t>
      </w:r>
      <w:r w:rsidR="00286A35" w:rsidRPr="004E3D8C">
        <w:rPr>
          <w:bCs/>
          <w:color w:val="000000" w:themeColor="text1"/>
          <w:sz w:val="22"/>
          <w:szCs w:val="22"/>
        </w:rPr>
        <w:t xml:space="preserve"> relative to the MGH Aspire program.</w:t>
      </w:r>
      <w:r w:rsidR="008F6BEF" w:rsidRPr="004E3D8C">
        <w:rPr>
          <w:bCs/>
          <w:color w:val="000000" w:themeColor="text1"/>
          <w:sz w:val="22"/>
          <w:szCs w:val="22"/>
        </w:rPr>
        <w:t xml:space="preserve"> </w:t>
      </w:r>
      <w:r w:rsidR="00E5123E" w:rsidRPr="004E3D8C">
        <w:rPr>
          <w:bCs/>
          <w:color w:val="000000" w:themeColor="text1"/>
          <w:sz w:val="22"/>
          <w:szCs w:val="22"/>
        </w:rPr>
        <w:t>T</w:t>
      </w:r>
      <w:r w:rsidR="00C174F7" w:rsidRPr="004E3D8C">
        <w:rPr>
          <w:bCs/>
          <w:color w:val="000000" w:themeColor="text1"/>
          <w:sz w:val="22"/>
          <w:szCs w:val="22"/>
        </w:rPr>
        <w:t>herefore</w:t>
      </w:r>
      <w:r w:rsidR="00E5123E" w:rsidRPr="004E3D8C">
        <w:rPr>
          <w:bCs/>
          <w:color w:val="000000" w:themeColor="text1"/>
          <w:sz w:val="22"/>
          <w:szCs w:val="22"/>
        </w:rPr>
        <w:t xml:space="preserve">, Parents’/Guardians’ request to </w:t>
      </w:r>
      <w:r w:rsidR="000F089A" w:rsidRPr="004E3D8C">
        <w:rPr>
          <w:bCs/>
          <w:color w:val="000000" w:themeColor="text1"/>
          <w:sz w:val="22"/>
          <w:szCs w:val="22"/>
        </w:rPr>
        <w:t xml:space="preserve">proceed based on the </w:t>
      </w:r>
      <w:r w:rsidR="000F089A" w:rsidRPr="004E3D8C">
        <w:rPr>
          <w:caps/>
          <w:color w:val="000000" w:themeColor="text1"/>
          <w:sz w:val="22"/>
          <w:szCs w:val="22"/>
        </w:rPr>
        <w:t>A</w:t>
      </w:r>
      <w:r w:rsidR="000F089A" w:rsidRPr="004E3D8C">
        <w:rPr>
          <w:color w:val="000000" w:themeColor="text1"/>
          <w:sz w:val="22"/>
          <w:szCs w:val="22"/>
        </w:rPr>
        <w:t>mended Hearing Request</w:t>
      </w:r>
      <w:r w:rsidR="000F089A" w:rsidRPr="004E3D8C">
        <w:rPr>
          <w:bCs/>
          <w:color w:val="000000" w:themeColor="text1"/>
          <w:sz w:val="22"/>
          <w:szCs w:val="22"/>
        </w:rPr>
        <w:t xml:space="preserve"> with the current timeline is denied.</w:t>
      </w:r>
      <w:r w:rsidR="00D877B6" w:rsidRPr="004E3D8C">
        <w:rPr>
          <w:bCs/>
          <w:color w:val="000000" w:themeColor="text1"/>
          <w:sz w:val="22"/>
          <w:szCs w:val="22"/>
        </w:rPr>
        <w:t xml:space="preserve"> As such, Parents may </w:t>
      </w:r>
      <w:r w:rsidR="0054290A" w:rsidRPr="004E3D8C">
        <w:rPr>
          <w:color w:val="000000" w:themeColor="text1"/>
          <w:sz w:val="22"/>
          <w:szCs w:val="22"/>
        </w:rPr>
        <w:t xml:space="preserve">waive seeking reimbursement for their costs associated with Student’s placement at Aspire for ESY 2021 and proceed </w:t>
      </w:r>
      <w:r w:rsidR="00CA240D" w:rsidRPr="004E3D8C">
        <w:rPr>
          <w:color w:val="000000" w:themeColor="text1"/>
          <w:sz w:val="22"/>
          <w:szCs w:val="22"/>
        </w:rPr>
        <w:t xml:space="preserve">with the current timeline </w:t>
      </w:r>
      <w:r w:rsidR="0054290A" w:rsidRPr="004E3D8C">
        <w:rPr>
          <w:color w:val="000000" w:themeColor="text1"/>
          <w:sz w:val="22"/>
          <w:szCs w:val="22"/>
        </w:rPr>
        <w:t>solely on the issue of Student’s continued special education eligibility and transition services for the 2021-2022 school year in Riverview’s GROW transition program.</w:t>
      </w:r>
    </w:p>
    <w:p w14:paraId="5B0CAA2A" w14:textId="77777777" w:rsidR="008651D2" w:rsidRPr="004E3D8C" w:rsidRDefault="008651D2" w:rsidP="003F5DF3">
      <w:pPr>
        <w:rPr>
          <w:bCs/>
          <w:color w:val="000000" w:themeColor="text1"/>
          <w:sz w:val="22"/>
          <w:szCs w:val="22"/>
        </w:rPr>
      </w:pPr>
    </w:p>
    <w:p w14:paraId="6AA2B077" w14:textId="4432BF78" w:rsidR="003F5DF3" w:rsidRPr="004E3D8C" w:rsidRDefault="005E5C0D" w:rsidP="003D0AA2">
      <w:pPr>
        <w:pStyle w:val="ListParagraph"/>
        <w:numPr>
          <w:ilvl w:val="0"/>
          <w:numId w:val="5"/>
        </w:numPr>
        <w:rPr>
          <w:bCs/>
          <w:i/>
          <w:iCs/>
          <w:color w:val="000000" w:themeColor="text1"/>
          <w:sz w:val="22"/>
          <w:szCs w:val="22"/>
        </w:rPr>
      </w:pPr>
      <w:r w:rsidRPr="004E3D8C">
        <w:rPr>
          <w:bCs/>
          <w:i/>
          <w:iCs/>
          <w:color w:val="000000" w:themeColor="text1"/>
          <w:sz w:val="22"/>
          <w:szCs w:val="22"/>
        </w:rPr>
        <w:t xml:space="preserve">Parents </w:t>
      </w:r>
      <w:r w:rsidR="00C5305C" w:rsidRPr="004E3D8C">
        <w:rPr>
          <w:bCs/>
          <w:i/>
          <w:iCs/>
          <w:color w:val="000000" w:themeColor="text1"/>
          <w:sz w:val="22"/>
          <w:szCs w:val="22"/>
        </w:rPr>
        <w:t xml:space="preserve">May Not </w:t>
      </w:r>
      <w:r w:rsidR="00C47075" w:rsidRPr="004E3D8C">
        <w:rPr>
          <w:bCs/>
          <w:i/>
          <w:iCs/>
          <w:color w:val="000000" w:themeColor="text1"/>
          <w:sz w:val="22"/>
          <w:szCs w:val="22"/>
        </w:rPr>
        <w:t xml:space="preserve">Modify Issue #1 to </w:t>
      </w:r>
      <w:r w:rsidRPr="004E3D8C">
        <w:rPr>
          <w:i/>
          <w:iCs/>
          <w:color w:val="000000" w:themeColor="text1"/>
          <w:sz w:val="22"/>
          <w:szCs w:val="22"/>
        </w:rPr>
        <w:t xml:space="preserve">Include </w:t>
      </w:r>
      <w:r w:rsidR="006474EA" w:rsidRPr="004E3D8C">
        <w:rPr>
          <w:i/>
          <w:iCs/>
          <w:color w:val="000000" w:themeColor="text1"/>
          <w:sz w:val="22"/>
          <w:szCs w:val="22"/>
        </w:rPr>
        <w:t>the Language</w:t>
      </w:r>
      <w:r w:rsidR="002C4050" w:rsidRPr="004E3D8C">
        <w:rPr>
          <w:i/>
          <w:iCs/>
          <w:color w:val="000000" w:themeColor="text1"/>
          <w:sz w:val="22"/>
          <w:szCs w:val="22"/>
        </w:rPr>
        <w:t xml:space="preserve"> </w:t>
      </w:r>
      <w:r w:rsidR="006474EA" w:rsidRPr="004E3D8C">
        <w:rPr>
          <w:i/>
          <w:iCs/>
          <w:color w:val="000000" w:themeColor="text1"/>
          <w:sz w:val="22"/>
          <w:szCs w:val="22"/>
        </w:rPr>
        <w:t>“</w:t>
      </w:r>
      <w:r w:rsidR="00492291" w:rsidRPr="004E3D8C">
        <w:rPr>
          <w:b/>
          <w:bCs/>
          <w:i/>
          <w:iCs/>
          <w:color w:val="000000" w:themeColor="text1"/>
          <w:sz w:val="22"/>
          <w:szCs w:val="22"/>
        </w:rPr>
        <w:t>And/</w:t>
      </w:r>
      <w:r w:rsidR="006474EA" w:rsidRPr="004E3D8C">
        <w:rPr>
          <w:b/>
          <w:bCs/>
          <w:i/>
          <w:iCs/>
          <w:color w:val="000000" w:themeColor="text1"/>
          <w:sz w:val="22"/>
          <w:szCs w:val="22"/>
        </w:rPr>
        <w:t>O</w:t>
      </w:r>
      <w:r w:rsidR="002C4050" w:rsidRPr="004E3D8C">
        <w:rPr>
          <w:b/>
          <w:bCs/>
          <w:i/>
          <w:iCs/>
          <w:color w:val="000000" w:themeColor="text1"/>
          <w:sz w:val="22"/>
          <w:szCs w:val="22"/>
        </w:rPr>
        <w:t xml:space="preserve">r </w:t>
      </w:r>
      <w:r w:rsidR="006474EA" w:rsidRPr="004E3D8C">
        <w:rPr>
          <w:b/>
          <w:bCs/>
          <w:i/>
          <w:iCs/>
          <w:color w:val="000000" w:themeColor="text1"/>
          <w:sz w:val="22"/>
          <w:szCs w:val="22"/>
        </w:rPr>
        <w:t>T</w:t>
      </w:r>
      <w:r w:rsidR="002C4050" w:rsidRPr="004E3D8C">
        <w:rPr>
          <w:b/>
          <w:bCs/>
          <w:i/>
          <w:iCs/>
          <w:color w:val="000000" w:themeColor="text1"/>
          <w:sz w:val="22"/>
          <w:szCs w:val="22"/>
        </w:rPr>
        <w:t xml:space="preserve">ransition </w:t>
      </w:r>
      <w:r w:rsidR="006474EA" w:rsidRPr="004E3D8C">
        <w:rPr>
          <w:b/>
          <w:bCs/>
          <w:i/>
          <w:iCs/>
          <w:color w:val="000000" w:themeColor="text1"/>
          <w:sz w:val="22"/>
          <w:szCs w:val="22"/>
        </w:rPr>
        <w:t>S</w:t>
      </w:r>
      <w:r w:rsidR="002C4050" w:rsidRPr="004E3D8C">
        <w:rPr>
          <w:b/>
          <w:bCs/>
          <w:i/>
          <w:iCs/>
          <w:color w:val="000000" w:themeColor="text1"/>
          <w:sz w:val="22"/>
          <w:szCs w:val="22"/>
        </w:rPr>
        <w:t>ervices</w:t>
      </w:r>
      <w:r w:rsidRPr="004E3D8C">
        <w:rPr>
          <w:b/>
          <w:bCs/>
          <w:i/>
          <w:iCs/>
          <w:color w:val="000000" w:themeColor="text1"/>
          <w:sz w:val="22"/>
          <w:szCs w:val="22"/>
        </w:rPr>
        <w:t>.</w:t>
      </w:r>
      <w:r w:rsidR="006474EA" w:rsidRPr="004E3D8C">
        <w:rPr>
          <w:b/>
          <w:bCs/>
          <w:i/>
          <w:iCs/>
          <w:color w:val="000000" w:themeColor="text1"/>
          <w:sz w:val="22"/>
          <w:szCs w:val="22"/>
        </w:rPr>
        <w:t>”</w:t>
      </w:r>
    </w:p>
    <w:p w14:paraId="170AE4B6" w14:textId="4F41BE1B" w:rsidR="003A6515" w:rsidRPr="004E3D8C" w:rsidRDefault="003A6515" w:rsidP="001B4DFD">
      <w:pPr>
        <w:rPr>
          <w:bCs/>
          <w:i/>
          <w:iCs/>
          <w:color w:val="000000" w:themeColor="text1"/>
          <w:sz w:val="22"/>
          <w:szCs w:val="22"/>
        </w:rPr>
      </w:pPr>
    </w:p>
    <w:p w14:paraId="0FFABF7F" w14:textId="55990627" w:rsidR="005630C2" w:rsidRPr="004E3D8C" w:rsidRDefault="00785322" w:rsidP="00BE1673">
      <w:pPr>
        <w:rPr>
          <w:color w:val="000000" w:themeColor="text1"/>
          <w:sz w:val="22"/>
          <w:szCs w:val="22"/>
        </w:rPr>
      </w:pPr>
      <w:r w:rsidRPr="004E3D8C">
        <w:rPr>
          <w:bCs/>
          <w:color w:val="000000" w:themeColor="text1"/>
          <w:sz w:val="22"/>
          <w:szCs w:val="22"/>
        </w:rPr>
        <w:lastRenderedPageBreak/>
        <w:t>I</w:t>
      </w:r>
      <w:r w:rsidR="00E72186" w:rsidRPr="004E3D8C">
        <w:rPr>
          <w:bCs/>
          <w:color w:val="000000" w:themeColor="text1"/>
          <w:sz w:val="22"/>
          <w:szCs w:val="22"/>
        </w:rPr>
        <w:t xml:space="preserve">n the instant matter, Parents rely on </w:t>
      </w:r>
      <w:r w:rsidR="00F25D5A" w:rsidRPr="004E3D8C">
        <w:rPr>
          <w:i/>
          <w:iCs/>
          <w:color w:val="000000" w:themeColor="text1"/>
          <w:sz w:val="22"/>
          <w:szCs w:val="22"/>
        </w:rPr>
        <w:t>Dracut Public Schools</w:t>
      </w:r>
      <w:r w:rsidR="00F25D5A" w:rsidRPr="004E3D8C">
        <w:rPr>
          <w:color w:val="000000" w:themeColor="text1"/>
          <w:sz w:val="22"/>
          <w:szCs w:val="22"/>
        </w:rPr>
        <w:t xml:space="preserve">, BSEA # 08-5330 in arguing that Student may be found eligible for </w:t>
      </w:r>
      <w:r w:rsidR="008B2C61" w:rsidRPr="004E3D8C">
        <w:rPr>
          <w:color w:val="000000" w:themeColor="text1"/>
          <w:sz w:val="22"/>
          <w:szCs w:val="22"/>
        </w:rPr>
        <w:t xml:space="preserve">“continued special education eligibility </w:t>
      </w:r>
      <w:r w:rsidR="008B2C61" w:rsidRPr="004E3D8C">
        <w:rPr>
          <w:b/>
          <w:bCs/>
          <w:color w:val="000000" w:themeColor="text1"/>
          <w:sz w:val="22"/>
          <w:szCs w:val="22"/>
        </w:rPr>
        <w:t xml:space="preserve">and/or transition services </w:t>
      </w:r>
      <w:r w:rsidR="008B2C61" w:rsidRPr="004E3D8C">
        <w:rPr>
          <w:color w:val="000000" w:themeColor="text1"/>
          <w:sz w:val="22"/>
          <w:szCs w:val="22"/>
        </w:rPr>
        <w:t>from or through Harvard Public Schools for ESY 2021 and school year 2021-2022.”</w:t>
      </w:r>
      <w:r w:rsidR="00F25D5A" w:rsidRPr="004E3D8C">
        <w:rPr>
          <w:color w:val="000000" w:themeColor="text1"/>
          <w:sz w:val="22"/>
          <w:szCs w:val="22"/>
        </w:rPr>
        <w:t xml:space="preserve"> </w:t>
      </w:r>
      <w:r w:rsidR="008B2C61" w:rsidRPr="004E3D8C">
        <w:rPr>
          <w:color w:val="000000" w:themeColor="text1"/>
          <w:sz w:val="22"/>
          <w:szCs w:val="22"/>
        </w:rPr>
        <w:t xml:space="preserve"> </w:t>
      </w:r>
      <w:r w:rsidR="005630C2" w:rsidRPr="004E3D8C">
        <w:rPr>
          <w:color w:val="000000" w:themeColor="text1"/>
          <w:sz w:val="22"/>
          <w:szCs w:val="22"/>
        </w:rPr>
        <w:t xml:space="preserve"> </w:t>
      </w:r>
      <w:r w:rsidR="006D61CF" w:rsidRPr="004E3D8C">
        <w:rPr>
          <w:color w:val="000000" w:themeColor="text1"/>
          <w:sz w:val="22"/>
          <w:szCs w:val="22"/>
        </w:rPr>
        <w:t xml:space="preserve">Parents/Guardians indicate that they included the additional language in Issue #1 “[i]n order to address all possible outcomes.” </w:t>
      </w:r>
      <w:r w:rsidR="005630C2" w:rsidRPr="004E3D8C">
        <w:rPr>
          <w:color w:val="000000" w:themeColor="text1"/>
          <w:sz w:val="22"/>
          <w:szCs w:val="22"/>
        </w:rPr>
        <w:t xml:space="preserve">The District, however, argues that the language is inappropriate since there </w:t>
      </w:r>
      <w:proofErr w:type="gramStart"/>
      <w:r w:rsidR="005630C2" w:rsidRPr="004E3D8C">
        <w:rPr>
          <w:color w:val="000000" w:themeColor="text1"/>
          <w:sz w:val="22"/>
          <w:szCs w:val="22"/>
        </w:rPr>
        <w:t xml:space="preserve">is </w:t>
      </w:r>
      <w:r w:rsidR="00B304C0" w:rsidRPr="004E3D8C">
        <w:rPr>
          <w:color w:val="000000" w:themeColor="text1"/>
          <w:sz w:val="22"/>
          <w:szCs w:val="22"/>
        </w:rPr>
        <w:t xml:space="preserve"> no</w:t>
      </w:r>
      <w:proofErr w:type="gramEnd"/>
      <w:r w:rsidR="00B304C0" w:rsidRPr="004E3D8C">
        <w:rPr>
          <w:color w:val="000000" w:themeColor="text1"/>
          <w:sz w:val="22"/>
          <w:szCs w:val="22"/>
        </w:rPr>
        <w:t xml:space="preserve"> separate</w:t>
      </w:r>
      <w:r w:rsidR="005630C2" w:rsidRPr="004E3D8C">
        <w:rPr>
          <w:color w:val="000000" w:themeColor="text1"/>
          <w:sz w:val="22"/>
          <w:szCs w:val="22"/>
        </w:rPr>
        <w:t xml:space="preserve"> and distinct entitlement to transition services under the IDEA and/or MGL c. 71B </w:t>
      </w:r>
      <w:r w:rsidR="00822C4B" w:rsidRPr="004E3D8C">
        <w:rPr>
          <w:color w:val="000000" w:themeColor="text1"/>
          <w:sz w:val="22"/>
          <w:szCs w:val="22"/>
        </w:rPr>
        <w:t>if</w:t>
      </w:r>
      <w:r w:rsidR="005630C2" w:rsidRPr="004E3D8C">
        <w:rPr>
          <w:color w:val="000000" w:themeColor="text1"/>
          <w:sz w:val="22"/>
          <w:szCs w:val="22"/>
        </w:rPr>
        <w:t xml:space="preserve"> a student is not, or is no longer, eligible for special education services. </w:t>
      </w:r>
    </w:p>
    <w:p w14:paraId="5A5E1B87" w14:textId="77777777" w:rsidR="005630C2" w:rsidRPr="004E3D8C" w:rsidRDefault="005630C2" w:rsidP="00BE1673">
      <w:pPr>
        <w:rPr>
          <w:color w:val="000000" w:themeColor="text1"/>
          <w:sz w:val="22"/>
          <w:szCs w:val="22"/>
        </w:rPr>
      </w:pPr>
    </w:p>
    <w:p w14:paraId="17969FD6" w14:textId="18B7E673" w:rsidR="009F6214" w:rsidRPr="004E3D8C" w:rsidRDefault="005630C2" w:rsidP="00BE1673">
      <w:pPr>
        <w:rPr>
          <w:color w:val="000000" w:themeColor="text1"/>
          <w:sz w:val="22"/>
          <w:szCs w:val="22"/>
        </w:rPr>
      </w:pPr>
      <w:r w:rsidRPr="004E3D8C">
        <w:rPr>
          <w:color w:val="000000" w:themeColor="text1"/>
          <w:sz w:val="22"/>
          <w:szCs w:val="22"/>
        </w:rPr>
        <w:t>In this matter,</w:t>
      </w:r>
      <w:r w:rsidR="00904A16" w:rsidRPr="004E3D8C">
        <w:rPr>
          <w:color w:val="000000" w:themeColor="text1"/>
          <w:sz w:val="22"/>
          <w:szCs w:val="22"/>
        </w:rPr>
        <w:t xml:space="preserve"> </w:t>
      </w:r>
      <w:r w:rsidR="00304291" w:rsidRPr="004E3D8C">
        <w:rPr>
          <w:color w:val="000000" w:themeColor="text1"/>
          <w:sz w:val="22"/>
          <w:szCs w:val="22"/>
        </w:rPr>
        <w:t xml:space="preserve">Parents’/Guardians’ reliance on </w:t>
      </w:r>
      <w:r w:rsidR="00304291" w:rsidRPr="004E3D8C">
        <w:rPr>
          <w:i/>
          <w:iCs/>
          <w:color w:val="000000" w:themeColor="text1"/>
          <w:sz w:val="22"/>
          <w:szCs w:val="22"/>
        </w:rPr>
        <w:t>Dracut</w:t>
      </w:r>
      <w:r w:rsidR="00304291" w:rsidRPr="004E3D8C">
        <w:rPr>
          <w:color w:val="000000" w:themeColor="text1"/>
          <w:sz w:val="22"/>
          <w:szCs w:val="22"/>
        </w:rPr>
        <w:t xml:space="preserve"> is misplaced.</w:t>
      </w:r>
      <w:r w:rsidR="00EE4BAF" w:rsidRPr="004E3D8C">
        <w:rPr>
          <w:color w:val="000000" w:themeColor="text1"/>
          <w:sz w:val="22"/>
          <w:szCs w:val="22"/>
        </w:rPr>
        <w:t xml:space="preserve"> My reasoning follows.</w:t>
      </w:r>
      <w:r w:rsidR="00304291" w:rsidRPr="004E3D8C">
        <w:rPr>
          <w:color w:val="000000" w:themeColor="text1"/>
          <w:sz w:val="22"/>
          <w:szCs w:val="22"/>
        </w:rPr>
        <w:t xml:space="preserve"> </w:t>
      </w:r>
    </w:p>
    <w:p w14:paraId="7D27D0E1" w14:textId="77777777" w:rsidR="009F6214" w:rsidRPr="004E3D8C" w:rsidRDefault="009F6214" w:rsidP="00BE1673">
      <w:pPr>
        <w:rPr>
          <w:color w:val="000000" w:themeColor="text1"/>
          <w:sz w:val="22"/>
          <w:szCs w:val="22"/>
        </w:rPr>
      </w:pPr>
    </w:p>
    <w:p w14:paraId="1236D122" w14:textId="07D15AA6" w:rsidR="00821C78" w:rsidRPr="004E3D8C" w:rsidRDefault="003F3E60" w:rsidP="00821C78">
      <w:pPr>
        <w:pStyle w:val="NormalWeb"/>
        <w:rPr>
          <w:color w:val="000000" w:themeColor="text1"/>
          <w:sz w:val="22"/>
          <w:szCs w:val="22"/>
        </w:rPr>
      </w:pPr>
      <w:r w:rsidRPr="004E3D8C">
        <w:rPr>
          <w:color w:val="000000" w:themeColor="text1"/>
          <w:sz w:val="22"/>
          <w:szCs w:val="22"/>
        </w:rPr>
        <w:t xml:space="preserve">In </w:t>
      </w:r>
      <w:r w:rsidRPr="004E3D8C">
        <w:rPr>
          <w:i/>
          <w:iCs/>
          <w:color w:val="000000" w:themeColor="text1"/>
          <w:sz w:val="22"/>
          <w:szCs w:val="22"/>
        </w:rPr>
        <w:t>Dracut</w:t>
      </w:r>
      <w:r w:rsidRPr="004E3D8C">
        <w:rPr>
          <w:color w:val="000000" w:themeColor="text1"/>
          <w:sz w:val="22"/>
          <w:szCs w:val="22"/>
        </w:rPr>
        <w:t xml:space="preserve">, Hearing Officer Crane noted that </w:t>
      </w:r>
      <w:r w:rsidRPr="004E3D8C">
        <w:rPr>
          <w:bCs/>
          <w:color w:val="000000" w:themeColor="text1"/>
          <w:sz w:val="22"/>
          <w:szCs w:val="22"/>
        </w:rPr>
        <w:t>t</w:t>
      </w:r>
      <w:r w:rsidR="0072374E" w:rsidRPr="004E3D8C">
        <w:rPr>
          <w:bCs/>
          <w:color w:val="000000" w:themeColor="text1"/>
          <w:sz w:val="22"/>
          <w:szCs w:val="22"/>
        </w:rPr>
        <w:t xml:space="preserve">ransition services are </w:t>
      </w:r>
      <w:r w:rsidRPr="004E3D8C">
        <w:rPr>
          <w:bCs/>
          <w:color w:val="000000" w:themeColor="text1"/>
          <w:sz w:val="22"/>
          <w:szCs w:val="22"/>
        </w:rPr>
        <w:t>“</w:t>
      </w:r>
      <w:r w:rsidR="0072374E" w:rsidRPr="004E3D8C">
        <w:rPr>
          <w:bCs/>
          <w:color w:val="000000" w:themeColor="text1"/>
          <w:sz w:val="22"/>
          <w:szCs w:val="22"/>
        </w:rPr>
        <w:t>part of, and not separate from, a school district’s responsibility to provide FAPE.”</w:t>
      </w:r>
      <w:r w:rsidR="0072374E" w:rsidRPr="004E3D8C">
        <w:rPr>
          <w:rStyle w:val="FootnoteReference"/>
          <w:bCs/>
          <w:color w:val="000000" w:themeColor="text1"/>
          <w:sz w:val="22"/>
          <w:szCs w:val="22"/>
        </w:rPr>
        <w:footnoteReference w:id="10"/>
      </w:r>
      <w:r w:rsidR="0072374E" w:rsidRPr="004E3D8C">
        <w:rPr>
          <w:bCs/>
          <w:color w:val="000000" w:themeColor="text1"/>
          <w:sz w:val="22"/>
          <w:szCs w:val="22"/>
        </w:rPr>
        <w:t xml:space="preserve"> </w:t>
      </w:r>
      <w:r w:rsidR="00304291" w:rsidRPr="004E3D8C">
        <w:rPr>
          <w:color w:val="000000" w:themeColor="text1"/>
          <w:sz w:val="22"/>
          <w:szCs w:val="22"/>
        </w:rPr>
        <w:t xml:space="preserve">In </w:t>
      </w:r>
      <w:r w:rsidR="00304291" w:rsidRPr="004E3D8C">
        <w:rPr>
          <w:i/>
          <w:iCs/>
          <w:color w:val="000000" w:themeColor="text1"/>
          <w:sz w:val="22"/>
          <w:szCs w:val="22"/>
        </w:rPr>
        <w:t>Dracut</w:t>
      </w:r>
      <w:r w:rsidR="00304291" w:rsidRPr="004E3D8C">
        <w:rPr>
          <w:color w:val="000000" w:themeColor="text1"/>
          <w:sz w:val="22"/>
          <w:szCs w:val="22"/>
        </w:rPr>
        <w:t xml:space="preserve">, </w:t>
      </w:r>
      <w:r w:rsidR="00904A16" w:rsidRPr="004E3D8C">
        <w:rPr>
          <w:color w:val="000000" w:themeColor="text1"/>
          <w:sz w:val="22"/>
          <w:szCs w:val="22"/>
        </w:rPr>
        <w:t>Hearing Officer</w:t>
      </w:r>
      <w:r w:rsidR="008B2C61" w:rsidRPr="004E3D8C">
        <w:rPr>
          <w:color w:val="000000" w:themeColor="text1"/>
          <w:sz w:val="22"/>
          <w:szCs w:val="22"/>
        </w:rPr>
        <w:t xml:space="preserve"> </w:t>
      </w:r>
      <w:r w:rsidR="00904A16" w:rsidRPr="004E3D8C">
        <w:rPr>
          <w:color w:val="000000" w:themeColor="text1"/>
          <w:sz w:val="22"/>
          <w:szCs w:val="22"/>
        </w:rPr>
        <w:t>Crane</w:t>
      </w:r>
      <w:r w:rsidR="004D4A3E" w:rsidRPr="004E3D8C">
        <w:rPr>
          <w:color w:val="000000" w:themeColor="text1"/>
          <w:sz w:val="22"/>
          <w:szCs w:val="22"/>
        </w:rPr>
        <w:t xml:space="preserve"> </w:t>
      </w:r>
      <w:r w:rsidR="004D4A3E" w:rsidRPr="004E3D8C">
        <w:rPr>
          <w:color w:val="000000" w:themeColor="text1"/>
          <w:sz w:val="22"/>
          <w:szCs w:val="22"/>
          <w:shd w:val="clear" w:color="auto" w:fill="FFFFFF"/>
        </w:rPr>
        <w:t xml:space="preserve">extended student’s statutory eligibility for two years after graduation </w:t>
      </w:r>
      <w:r w:rsidR="0068361E" w:rsidRPr="004E3D8C">
        <w:rPr>
          <w:color w:val="000000" w:themeColor="text1"/>
          <w:sz w:val="22"/>
          <w:szCs w:val="22"/>
          <w:shd w:val="clear" w:color="auto" w:fill="FFFFFF"/>
        </w:rPr>
        <w:t>for the purpose</w:t>
      </w:r>
      <w:r w:rsidR="000535E1" w:rsidRPr="004E3D8C">
        <w:rPr>
          <w:color w:val="000000" w:themeColor="text1"/>
          <w:sz w:val="22"/>
          <w:szCs w:val="22"/>
          <w:shd w:val="clear" w:color="auto" w:fill="FFFFFF"/>
        </w:rPr>
        <w:t xml:space="preserve"> of receiving</w:t>
      </w:r>
      <w:r w:rsidR="004D4A3E" w:rsidRPr="004E3D8C">
        <w:rPr>
          <w:color w:val="000000" w:themeColor="text1"/>
          <w:sz w:val="22"/>
          <w:szCs w:val="22"/>
          <w:shd w:val="clear" w:color="auto" w:fill="FFFFFF"/>
        </w:rPr>
        <w:t xml:space="preserve"> compensatory services during that time</w:t>
      </w:r>
      <w:r w:rsidR="000535E1" w:rsidRPr="004E3D8C">
        <w:rPr>
          <w:color w:val="000000" w:themeColor="text1"/>
          <w:sz w:val="22"/>
          <w:szCs w:val="22"/>
          <w:shd w:val="clear" w:color="auto" w:fill="FFFFFF"/>
        </w:rPr>
        <w:t>.</w:t>
      </w:r>
      <w:r w:rsidR="003C31BC" w:rsidRPr="004E3D8C">
        <w:rPr>
          <w:rStyle w:val="FootnoteReference"/>
          <w:color w:val="000000" w:themeColor="text1"/>
          <w:sz w:val="22"/>
          <w:szCs w:val="22"/>
          <w:shd w:val="clear" w:color="auto" w:fill="FFFFFF"/>
        </w:rPr>
        <w:footnoteReference w:id="11"/>
      </w:r>
      <w:r w:rsidR="00EE4BAF" w:rsidRPr="004E3D8C">
        <w:rPr>
          <w:color w:val="000000" w:themeColor="text1"/>
          <w:sz w:val="22"/>
          <w:szCs w:val="22"/>
          <w:shd w:val="clear" w:color="auto" w:fill="FFFFFF"/>
        </w:rPr>
        <w:t xml:space="preserve"> </w:t>
      </w:r>
      <w:r w:rsidR="006D61CF" w:rsidRPr="004E3D8C">
        <w:rPr>
          <w:color w:val="000000" w:themeColor="text1"/>
          <w:sz w:val="22"/>
          <w:szCs w:val="22"/>
        </w:rPr>
        <w:t xml:space="preserve"> </w:t>
      </w:r>
      <w:r w:rsidR="00B154F8" w:rsidRPr="004E3D8C">
        <w:rPr>
          <w:color w:val="000000" w:themeColor="text1"/>
          <w:sz w:val="22"/>
          <w:szCs w:val="22"/>
          <w:shd w:val="clear" w:color="auto" w:fill="FFFFFF"/>
        </w:rPr>
        <w:t>C</w:t>
      </w:r>
      <w:r w:rsidR="007A57CE" w:rsidRPr="004E3D8C">
        <w:rPr>
          <w:color w:val="000000" w:themeColor="text1"/>
          <w:sz w:val="22"/>
          <w:szCs w:val="22"/>
          <w:shd w:val="clear" w:color="auto" w:fill="FFFFFF"/>
        </w:rPr>
        <w:t>ompensatory education is appropriate for a student deprived of services to which he was entitled under the IDEA, regardless of his eligibility for current or future services under the statute.</w:t>
      </w:r>
      <w:r w:rsidR="00785322" w:rsidRPr="004E3D8C">
        <w:rPr>
          <w:rStyle w:val="FootnoteReference"/>
          <w:color w:val="000000" w:themeColor="text1"/>
          <w:sz w:val="22"/>
          <w:szCs w:val="22"/>
          <w:shd w:val="clear" w:color="auto" w:fill="FFFFFF"/>
        </w:rPr>
        <w:footnoteReference w:id="12"/>
      </w:r>
      <w:r w:rsidR="007A57CE" w:rsidRPr="004E3D8C">
        <w:rPr>
          <w:color w:val="000000" w:themeColor="text1"/>
          <w:sz w:val="22"/>
          <w:szCs w:val="22"/>
          <w:shd w:val="clear" w:color="auto" w:fill="FFFFFF"/>
        </w:rPr>
        <w:t xml:space="preserve"> </w:t>
      </w:r>
      <w:r w:rsidR="00821C78" w:rsidRPr="004E3D8C">
        <w:rPr>
          <w:color w:val="000000" w:themeColor="text1"/>
          <w:sz w:val="22"/>
          <w:szCs w:val="22"/>
          <w:shd w:val="clear" w:color="auto" w:fill="FFFFFF"/>
        </w:rPr>
        <w:t xml:space="preserve">In contrast, </w:t>
      </w:r>
      <w:r w:rsidR="00B20DBE" w:rsidRPr="004E3D8C">
        <w:rPr>
          <w:color w:val="000000" w:themeColor="text1"/>
          <w:sz w:val="22"/>
          <w:szCs w:val="22"/>
        </w:rPr>
        <w:t>t</w:t>
      </w:r>
      <w:r w:rsidR="00821C78" w:rsidRPr="004E3D8C">
        <w:rPr>
          <w:color w:val="000000" w:themeColor="text1"/>
          <w:sz w:val="22"/>
          <w:szCs w:val="22"/>
        </w:rPr>
        <w:t xml:space="preserve">ransition services </w:t>
      </w:r>
      <w:r w:rsidR="009E443D" w:rsidRPr="004E3D8C">
        <w:rPr>
          <w:color w:val="000000" w:themeColor="text1"/>
          <w:sz w:val="22"/>
          <w:szCs w:val="22"/>
        </w:rPr>
        <w:t xml:space="preserve">are </w:t>
      </w:r>
      <w:r w:rsidR="00B20DBE" w:rsidRPr="004E3D8C">
        <w:rPr>
          <w:color w:val="000000" w:themeColor="text1"/>
          <w:sz w:val="22"/>
          <w:szCs w:val="22"/>
        </w:rPr>
        <w:t>“</w:t>
      </w:r>
      <w:r w:rsidR="00821C78" w:rsidRPr="004E3D8C">
        <w:rPr>
          <w:color w:val="000000" w:themeColor="text1"/>
          <w:sz w:val="22"/>
          <w:szCs w:val="22"/>
        </w:rPr>
        <w:t>special education or related services, with no explicit limit placed on the amount or duration of transition services to be provided so long as the student remains eligible for special education and is in need of those services.</w:t>
      </w:r>
      <w:r w:rsidR="00B20DBE" w:rsidRPr="004E3D8C">
        <w:rPr>
          <w:color w:val="000000" w:themeColor="text1"/>
          <w:sz w:val="22"/>
          <w:szCs w:val="22"/>
        </w:rPr>
        <w:t>”</w:t>
      </w:r>
      <w:r w:rsidR="001A44A4" w:rsidRPr="004E3D8C">
        <w:rPr>
          <w:rStyle w:val="FootnoteReference"/>
          <w:color w:val="000000" w:themeColor="text1"/>
          <w:sz w:val="22"/>
          <w:szCs w:val="22"/>
        </w:rPr>
        <w:footnoteReference w:id="13"/>
      </w:r>
      <w:r w:rsidR="00821C78" w:rsidRPr="004E3D8C">
        <w:rPr>
          <w:color w:val="000000" w:themeColor="text1"/>
          <w:sz w:val="22"/>
          <w:szCs w:val="22"/>
        </w:rPr>
        <w:t xml:space="preserve"> </w:t>
      </w:r>
      <w:r w:rsidR="00B20DBE" w:rsidRPr="004E3D8C">
        <w:rPr>
          <w:color w:val="000000" w:themeColor="text1"/>
          <w:sz w:val="22"/>
          <w:szCs w:val="22"/>
        </w:rPr>
        <w:t xml:space="preserve"> </w:t>
      </w:r>
    </w:p>
    <w:p w14:paraId="7AD12576" w14:textId="77777777" w:rsidR="00280A14" w:rsidRPr="004E3D8C" w:rsidRDefault="00280A14" w:rsidP="001B4DFD">
      <w:pPr>
        <w:rPr>
          <w:color w:val="000000" w:themeColor="text1"/>
          <w:sz w:val="22"/>
          <w:szCs w:val="22"/>
        </w:rPr>
      </w:pPr>
    </w:p>
    <w:p w14:paraId="37F48EEB" w14:textId="6A8DF728" w:rsidR="00E72186" w:rsidRPr="004E3D8C" w:rsidRDefault="006E5A88" w:rsidP="00B344ED">
      <w:pPr>
        <w:rPr>
          <w:bCs/>
          <w:color w:val="000000" w:themeColor="text1"/>
          <w:sz w:val="22"/>
          <w:szCs w:val="22"/>
        </w:rPr>
      </w:pPr>
      <w:r w:rsidRPr="004E3D8C">
        <w:rPr>
          <w:color w:val="000000" w:themeColor="text1"/>
          <w:sz w:val="22"/>
          <w:szCs w:val="22"/>
        </w:rPr>
        <w:t xml:space="preserve">Apart from compensatory services, </w:t>
      </w:r>
      <w:r w:rsidR="009E443D" w:rsidRPr="004E3D8C">
        <w:rPr>
          <w:color w:val="000000" w:themeColor="text1"/>
          <w:sz w:val="22"/>
          <w:szCs w:val="22"/>
        </w:rPr>
        <w:t>Student may not be found eligible for transition services without also being found eligible for special education</w:t>
      </w:r>
      <w:r w:rsidRPr="004E3D8C">
        <w:rPr>
          <w:color w:val="000000" w:themeColor="text1"/>
          <w:sz w:val="22"/>
          <w:szCs w:val="22"/>
        </w:rPr>
        <w:t>. Here,</w:t>
      </w:r>
      <w:r w:rsidR="009E443D" w:rsidRPr="004E3D8C">
        <w:rPr>
          <w:color w:val="000000" w:themeColor="text1"/>
          <w:sz w:val="22"/>
          <w:szCs w:val="22"/>
        </w:rPr>
        <w:t xml:space="preserve"> </w:t>
      </w:r>
      <w:r w:rsidR="00A95B28" w:rsidRPr="004E3D8C">
        <w:rPr>
          <w:color w:val="000000" w:themeColor="text1"/>
          <w:sz w:val="22"/>
          <w:szCs w:val="22"/>
        </w:rPr>
        <w:t xml:space="preserve">Parents/Guardians </w:t>
      </w:r>
      <w:r w:rsidR="003715B1" w:rsidRPr="004E3D8C">
        <w:rPr>
          <w:color w:val="000000" w:themeColor="text1"/>
          <w:sz w:val="22"/>
          <w:szCs w:val="22"/>
        </w:rPr>
        <w:t>are not seeking</w:t>
      </w:r>
      <w:r w:rsidR="00A95B28" w:rsidRPr="004E3D8C">
        <w:rPr>
          <w:color w:val="000000" w:themeColor="text1"/>
          <w:sz w:val="22"/>
          <w:szCs w:val="22"/>
        </w:rPr>
        <w:t xml:space="preserve"> compensatory services. </w:t>
      </w:r>
      <w:r w:rsidR="00F00723" w:rsidRPr="004E3D8C">
        <w:rPr>
          <w:color w:val="000000" w:themeColor="text1"/>
          <w:sz w:val="22"/>
          <w:szCs w:val="22"/>
        </w:rPr>
        <w:t xml:space="preserve">Instead, they </w:t>
      </w:r>
      <w:r w:rsidR="007702B3" w:rsidRPr="004E3D8C">
        <w:rPr>
          <w:color w:val="000000" w:themeColor="text1"/>
          <w:sz w:val="22"/>
          <w:szCs w:val="22"/>
        </w:rPr>
        <w:t xml:space="preserve">argue </w:t>
      </w:r>
      <w:proofErr w:type="gramStart"/>
      <w:r w:rsidR="007702B3" w:rsidRPr="004E3D8C">
        <w:rPr>
          <w:color w:val="000000" w:themeColor="text1"/>
          <w:sz w:val="22"/>
          <w:szCs w:val="22"/>
        </w:rPr>
        <w:t>that  due</w:t>
      </w:r>
      <w:proofErr w:type="gramEnd"/>
      <w:r w:rsidR="007702B3" w:rsidRPr="004E3D8C">
        <w:rPr>
          <w:color w:val="000000" w:themeColor="text1"/>
          <w:sz w:val="22"/>
          <w:szCs w:val="22"/>
        </w:rPr>
        <w:t xml:space="preserve"> to his unique special needs,</w:t>
      </w:r>
      <w:r w:rsidR="00925171" w:rsidRPr="004E3D8C">
        <w:rPr>
          <w:color w:val="000000" w:themeColor="text1"/>
          <w:sz w:val="22"/>
          <w:szCs w:val="22"/>
        </w:rPr>
        <w:t xml:space="preserve"> Student </w:t>
      </w:r>
      <w:r w:rsidR="007702B3" w:rsidRPr="004E3D8C">
        <w:rPr>
          <w:color w:val="000000" w:themeColor="text1"/>
          <w:sz w:val="22"/>
          <w:szCs w:val="22"/>
        </w:rPr>
        <w:t xml:space="preserve"> is</w:t>
      </w:r>
      <w:r w:rsidR="007702B3" w:rsidRPr="004E3D8C">
        <w:rPr>
          <w:color w:val="000000" w:themeColor="text1"/>
          <w:sz w:val="22"/>
          <w:szCs w:val="22"/>
          <w:shd w:val="clear" w:color="auto" w:fill="FFFFFF"/>
        </w:rPr>
        <w:t xml:space="preserve"> not prepared to make the transition into the post-school environment</w:t>
      </w:r>
      <w:r w:rsidR="00925171" w:rsidRPr="004E3D8C">
        <w:rPr>
          <w:color w:val="000000" w:themeColor="text1"/>
          <w:sz w:val="22"/>
          <w:szCs w:val="22"/>
          <w:shd w:val="clear" w:color="auto" w:fill="FFFFFF"/>
        </w:rPr>
        <w:t>,</w:t>
      </w:r>
      <w:r w:rsidR="007702B3" w:rsidRPr="004E3D8C">
        <w:rPr>
          <w:color w:val="000000" w:themeColor="text1"/>
          <w:sz w:val="22"/>
          <w:szCs w:val="22"/>
          <w:shd w:val="clear" w:color="auto" w:fill="FFFFFF"/>
        </w:rPr>
        <w:t> </w:t>
      </w:r>
      <w:r w:rsidR="00B908C3" w:rsidRPr="004E3D8C">
        <w:rPr>
          <w:color w:val="000000" w:themeColor="text1"/>
          <w:sz w:val="22"/>
          <w:szCs w:val="22"/>
        </w:rPr>
        <w:t xml:space="preserve">and </w:t>
      </w:r>
      <w:r w:rsidR="00925171" w:rsidRPr="004E3D8C">
        <w:rPr>
          <w:color w:val="000000" w:themeColor="text1"/>
          <w:sz w:val="22"/>
          <w:szCs w:val="22"/>
        </w:rPr>
        <w:t xml:space="preserve">they </w:t>
      </w:r>
      <w:r w:rsidR="003715B1" w:rsidRPr="004E3D8C">
        <w:rPr>
          <w:color w:val="000000" w:themeColor="text1"/>
          <w:sz w:val="22"/>
          <w:szCs w:val="22"/>
        </w:rPr>
        <w:t xml:space="preserve">seek </w:t>
      </w:r>
      <w:r w:rsidR="00280A14" w:rsidRPr="004E3D8C">
        <w:rPr>
          <w:color w:val="000000" w:themeColor="text1"/>
          <w:sz w:val="22"/>
          <w:szCs w:val="22"/>
        </w:rPr>
        <w:t xml:space="preserve">an additional school year of </w:t>
      </w:r>
      <w:r w:rsidR="003715B1" w:rsidRPr="004E3D8C">
        <w:rPr>
          <w:color w:val="000000" w:themeColor="text1"/>
          <w:sz w:val="22"/>
          <w:szCs w:val="22"/>
        </w:rPr>
        <w:t>FAPE</w:t>
      </w:r>
      <w:r w:rsidR="0080171E" w:rsidRPr="004E3D8C">
        <w:rPr>
          <w:color w:val="000000" w:themeColor="text1"/>
          <w:sz w:val="22"/>
          <w:szCs w:val="22"/>
        </w:rPr>
        <w:t>.  They request</w:t>
      </w:r>
      <w:r w:rsidR="00692211" w:rsidRPr="004E3D8C">
        <w:rPr>
          <w:color w:val="000000" w:themeColor="text1"/>
          <w:sz w:val="22"/>
          <w:szCs w:val="22"/>
        </w:rPr>
        <w:t xml:space="preserve"> that Student remain eligible for special education services </w:t>
      </w:r>
      <w:r w:rsidR="00754884" w:rsidRPr="004E3D8C">
        <w:rPr>
          <w:color w:val="000000" w:themeColor="text1"/>
          <w:sz w:val="22"/>
          <w:szCs w:val="22"/>
        </w:rPr>
        <w:t xml:space="preserve">with placement at </w:t>
      </w:r>
      <w:r w:rsidR="00111CCB" w:rsidRPr="004E3D8C">
        <w:rPr>
          <w:color w:val="000000" w:themeColor="text1"/>
          <w:sz w:val="22"/>
          <w:szCs w:val="22"/>
        </w:rPr>
        <w:t xml:space="preserve">Riverview’s </w:t>
      </w:r>
      <w:r w:rsidR="00754884" w:rsidRPr="004E3D8C">
        <w:rPr>
          <w:color w:val="000000" w:themeColor="text1"/>
          <w:sz w:val="22"/>
          <w:szCs w:val="22"/>
        </w:rPr>
        <w:t>GROW</w:t>
      </w:r>
      <w:r w:rsidR="00111CCB" w:rsidRPr="004E3D8C">
        <w:rPr>
          <w:color w:val="000000" w:themeColor="text1"/>
          <w:sz w:val="22"/>
          <w:szCs w:val="22"/>
        </w:rPr>
        <w:t xml:space="preserve"> program </w:t>
      </w:r>
      <w:r w:rsidR="00754884" w:rsidRPr="004E3D8C">
        <w:rPr>
          <w:color w:val="000000" w:themeColor="text1"/>
          <w:sz w:val="22"/>
          <w:szCs w:val="22"/>
        </w:rPr>
        <w:t>where</w:t>
      </w:r>
      <w:r w:rsidR="00111CCB" w:rsidRPr="004E3D8C">
        <w:rPr>
          <w:color w:val="000000" w:themeColor="text1"/>
          <w:sz w:val="22"/>
          <w:szCs w:val="22"/>
        </w:rPr>
        <w:t xml:space="preserve"> Student “has and will continue to</w:t>
      </w:r>
      <w:r w:rsidR="007B383B" w:rsidRPr="004E3D8C">
        <w:rPr>
          <w:color w:val="000000" w:themeColor="text1"/>
          <w:sz w:val="22"/>
          <w:szCs w:val="22"/>
        </w:rPr>
        <w:t>”</w:t>
      </w:r>
      <w:r w:rsidR="00111CCB" w:rsidRPr="004E3D8C">
        <w:rPr>
          <w:color w:val="000000" w:themeColor="text1"/>
          <w:sz w:val="22"/>
          <w:szCs w:val="22"/>
        </w:rPr>
        <w:t xml:space="preserve"> </w:t>
      </w:r>
      <w:r w:rsidR="007B383B" w:rsidRPr="004E3D8C">
        <w:rPr>
          <w:color w:val="000000" w:themeColor="text1"/>
          <w:sz w:val="22"/>
          <w:szCs w:val="22"/>
        </w:rPr>
        <w:t>receive “</w:t>
      </w:r>
      <w:r w:rsidR="00F611E8" w:rsidRPr="004E3D8C">
        <w:rPr>
          <w:color w:val="000000" w:themeColor="text1"/>
          <w:sz w:val="22"/>
          <w:szCs w:val="22"/>
        </w:rPr>
        <w:t xml:space="preserve">FAPE for his transition needs.” </w:t>
      </w:r>
      <w:r w:rsidR="006E50A0" w:rsidRPr="004E3D8C">
        <w:rPr>
          <w:color w:val="000000" w:themeColor="text1"/>
          <w:sz w:val="22"/>
          <w:szCs w:val="22"/>
        </w:rPr>
        <w:t>In the present matter</w:t>
      </w:r>
      <w:r w:rsidR="00041710" w:rsidRPr="004E3D8C">
        <w:rPr>
          <w:color w:val="000000" w:themeColor="text1"/>
          <w:sz w:val="22"/>
          <w:szCs w:val="22"/>
        </w:rPr>
        <w:t>,</w:t>
      </w:r>
      <w:r w:rsidR="00F611E8" w:rsidRPr="004E3D8C">
        <w:rPr>
          <w:color w:val="000000" w:themeColor="text1"/>
          <w:sz w:val="22"/>
          <w:szCs w:val="22"/>
        </w:rPr>
        <w:t xml:space="preserve"> </w:t>
      </w:r>
      <w:r w:rsidR="00B908C3" w:rsidRPr="004E3D8C">
        <w:rPr>
          <w:color w:val="000000" w:themeColor="text1"/>
          <w:sz w:val="22"/>
          <w:szCs w:val="22"/>
        </w:rPr>
        <w:t>Student’s FAPE, or</w:t>
      </w:r>
      <w:r w:rsidR="00A914FA" w:rsidRPr="004E3D8C">
        <w:rPr>
          <w:color w:val="000000" w:themeColor="text1"/>
          <w:sz w:val="22"/>
          <w:szCs w:val="22"/>
        </w:rPr>
        <w:t xml:space="preserve"> IEP</w:t>
      </w:r>
      <w:r w:rsidR="00B908C3" w:rsidRPr="004E3D8C">
        <w:rPr>
          <w:color w:val="000000" w:themeColor="text1"/>
          <w:sz w:val="22"/>
          <w:szCs w:val="22"/>
        </w:rPr>
        <w:t>,</w:t>
      </w:r>
      <w:r w:rsidR="00A914FA" w:rsidRPr="004E3D8C">
        <w:rPr>
          <w:color w:val="000000" w:themeColor="text1"/>
          <w:sz w:val="22"/>
          <w:szCs w:val="22"/>
        </w:rPr>
        <w:t xml:space="preserve"> </w:t>
      </w:r>
      <w:r w:rsidR="0039723E" w:rsidRPr="004E3D8C">
        <w:rPr>
          <w:color w:val="000000" w:themeColor="text1"/>
          <w:sz w:val="22"/>
          <w:szCs w:val="22"/>
        </w:rPr>
        <w:t xml:space="preserve">may </w:t>
      </w:r>
      <w:r w:rsidR="006E50A0" w:rsidRPr="004E3D8C">
        <w:rPr>
          <w:color w:val="000000" w:themeColor="text1"/>
          <w:sz w:val="22"/>
          <w:szCs w:val="22"/>
        </w:rPr>
        <w:t xml:space="preserve">very well </w:t>
      </w:r>
      <w:r w:rsidR="0039723E" w:rsidRPr="004E3D8C">
        <w:rPr>
          <w:color w:val="000000" w:themeColor="text1"/>
          <w:sz w:val="22"/>
          <w:szCs w:val="22"/>
        </w:rPr>
        <w:t xml:space="preserve">be solely comprised of transition goals and </w:t>
      </w:r>
      <w:r w:rsidR="00A914FA" w:rsidRPr="004E3D8C">
        <w:rPr>
          <w:color w:val="000000" w:themeColor="text1"/>
          <w:sz w:val="22"/>
          <w:szCs w:val="22"/>
        </w:rPr>
        <w:t>services</w:t>
      </w:r>
      <w:r w:rsidR="0039723E" w:rsidRPr="004E3D8C">
        <w:rPr>
          <w:color w:val="000000" w:themeColor="text1"/>
          <w:sz w:val="22"/>
          <w:szCs w:val="22"/>
        </w:rPr>
        <w:t xml:space="preserve">, </w:t>
      </w:r>
      <w:r w:rsidR="00781873" w:rsidRPr="004E3D8C">
        <w:rPr>
          <w:color w:val="000000" w:themeColor="text1"/>
          <w:sz w:val="22"/>
          <w:szCs w:val="22"/>
        </w:rPr>
        <w:t>but</w:t>
      </w:r>
      <w:r w:rsidR="00041710" w:rsidRPr="004E3D8C">
        <w:rPr>
          <w:color w:val="000000" w:themeColor="text1"/>
          <w:sz w:val="22"/>
          <w:szCs w:val="22"/>
        </w:rPr>
        <w:t>, without a claim for compensatory education,</w:t>
      </w:r>
      <w:r w:rsidR="00781873" w:rsidRPr="004E3D8C">
        <w:rPr>
          <w:color w:val="000000" w:themeColor="text1"/>
          <w:sz w:val="22"/>
          <w:szCs w:val="22"/>
        </w:rPr>
        <w:t xml:space="preserve"> </w:t>
      </w:r>
      <w:r w:rsidR="00E954C8" w:rsidRPr="004E3D8C">
        <w:rPr>
          <w:color w:val="000000" w:themeColor="text1"/>
          <w:sz w:val="22"/>
          <w:szCs w:val="22"/>
        </w:rPr>
        <w:t>Student may not be found eligible for</w:t>
      </w:r>
      <w:r w:rsidR="00B344ED" w:rsidRPr="004E3D8C">
        <w:rPr>
          <w:color w:val="000000" w:themeColor="text1"/>
          <w:sz w:val="22"/>
          <w:szCs w:val="22"/>
        </w:rPr>
        <w:t xml:space="preserve"> transition ser</w:t>
      </w:r>
      <w:r w:rsidR="00056B29" w:rsidRPr="004E3D8C">
        <w:rPr>
          <w:color w:val="000000" w:themeColor="text1"/>
          <w:sz w:val="22"/>
          <w:szCs w:val="22"/>
        </w:rPr>
        <w:t>v</w:t>
      </w:r>
      <w:r w:rsidR="00B344ED" w:rsidRPr="004E3D8C">
        <w:rPr>
          <w:color w:val="000000" w:themeColor="text1"/>
          <w:sz w:val="22"/>
          <w:szCs w:val="22"/>
        </w:rPr>
        <w:t>ices</w:t>
      </w:r>
      <w:r w:rsidR="00E954C8" w:rsidRPr="004E3D8C">
        <w:rPr>
          <w:color w:val="000000" w:themeColor="text1"/>
          <w:sz w:val="22"/>
          <w:szCs w:val="22"/>
        </w:rPr>
        <w:t xml:space="preserve"> </w:t>
      </w:r>
      <w:r w:rsidR="00B344ED" w:rsidRPr="004E3D8C">
        <w:rPr>
          <w:color w:val="000000" w:themeColor="text1"/>
          <w:sz w:val="22"/>
          <w:szCs w:val="22"/>
        </w:rPr>
        <w:t>distinct</w:t>
      </w:r>
      <w:r w:rsidR="00AB42C7" w:rsidRPr="004E3D8C">
        <w:rPr>
          <w:color w:val="000000" w:themeColor="text1"/>
          <w:sz w:val="22"/>
          <w:szCs w:val="22"/>
        </w:rPr>
        <w:t>ly</w:t>
      </w:r>
      <w:r w:rsidR="00B344ED" w:rsidRPr="004E3D8C">
        <w:rPr>
          <w:color w:val="000000" w:themeColor="text1"/>
          <w:sz w:val="22"/>
          <w:szCs w:val="22"/>
        </w:rPr>
        <w:t xml:space="preserve"> and sep</w:t>
      </w:r>
      <w:r w:rsidR="00056B29" w:rsidRPr="004E3D8C">
        <w:rPr>
          <w:color w:val="000000" w:themeColor="text1"/>
          <w:sz w:val="22"/>
          <w:szCs w:val="22"/>
        </w:rPr>
        <w:t>a</w:t>
      </w:r>
      <w:r w:rsidR="00B344ED" w:rsidRPr="004E3D8C">
        <w:rPr>
          <w:color w:val="000000" w:themeColor="text1"/>
          <w:sz w:val="22"/>
          <w:szCs w:val="22"/>
        </w:rPr>
        <w:t>rate</w:t>
      </w:r>
      <w:r w:rsidR="00AB42C7" w:rsidRPr="004E3D8C">
        <w:rPr>
          <w:color w:val="000000" w:themeColor="text1"/>
          <w:sz w:val="22"/>
          <w:szCs w:val="22"/>
        </w:rPr>
        <w:t>ly</w:t>
      </w:r>
      <w:r w:rsidR="00B344ED" w:rsidRPr="004E3D8C">
        <w:rPr>
          <w:color w:val="000000" w:themeColor="text1"/>
          <w:sz w:val="22"/>
          <w:szCs w:val="22"/>
        </w:rPr>
        <w:t xml:space="preserve"> from</w:t>
      </w:r>
      <w:r w:rsidR="00AB42C7" w:rsidRPr="004E3D8C">
        <w:rPr>
          <w:color w:val="000000" w:themeColor="text1"/>
          <w:sz w:val="22"/>
          <w:szCs w:val="22"/>
        </w:rPr>
        <w:t xml:space="preserve"> being found</w:t>
      </w:r>
      <w:r w:rsidR="00B344ED" w:rsidRPr="004E3D8C">
        <w:rPr>
          <w:color w:val="000000" w:themeColor="text1"/>
          <w:sz w:val="22"/>
          <w:szCs w:val="22"/>
        </w:rPr>
        <w:t xml:space="preserve"> </w:t>
      </w:r>
      <w:r w:rsidR="00AB42C7" w:rsidRPr="004E3D8C">
        <w:rPr>
          <w:color w:val="000000" w:themeColor="text1"/>
          <w:sz w:val="22"/>
          <w:szCs w:val="22"/>
        </w:rPr>
        <w:t>eligible</w:t>
      </w:r>
      <w:r w:rsidR="00B344ED" w:rsidRPr="004E3D8C">
        <w:rPr>
          <w:color w:val="000000" w:themeColor="text1"/>
          <w:sz w:val="22"/>
          <w:szCs w:val="22"/>
        </w:rPr>
        <w:t xml:space="preserve"> for special education.</w:t>
      </w:r>
      <w:r w:rsidR="00B344ED" w:rsidRPr="004E3D8C">
        <w:rPr>
          <w:bCs/>
          <w:color w:val="000000" w:themeColor="text1"/>
          <w:sz w:val="22"/>
          <w:szCs w:val="22"/>
        </w:rPr>
        <w:t xml:space="preserve"> </w:t>
      </w:r>
      <w:r w:rsidR="00056B29" w:rsidRPr="004E3D8C">
        <w:rPr>
          <w:bCs/>
          <w:color w:val="000000" w:themeColor="text1"/>
          <w:sz w:val="22"/>
          <w:szCs w:val="22"/>
        </w:rPr>
        <w:t xml:space="preserve"> Therefore,</w:t>
      </w:r>
      <w:r w:rsidR="00E5123E" w:rsidRPr="004E3D8C">
        <w:rPr>
          <w:bCs/>
          <w:color w:val="000000" w:themeColor="text1"/>
          <w:sz w:val="22"/>
          <w:szCs w:val="22"/>
        </w:rPr>
        <w:t xml:space="preserve"> </w:t>
      </w:r>
      <w:r w:rsidR="00925171" w:rsidRPr="004E3D8C">
        <w:rPr>
          <w:bCs/>
          <w:color w:val="000000" w:themeColor="text1"/>
          <w:sz w:val="22"/>
          <w:szCs w:val="22"/>
        </w:rPr>
        <w:t xml:space="preserve">inclusion of </w:t>
      </w:r>
      <w:r w:rsidR="00E5123E" w:rsidRPr="004E3D8C">
        <w:rPr>
          <w:bCs/>
          <w:color w:val="000000" w:themeColor="text1"/>
          <w:sz w:val="22"/>
          <w:szCs w:val="22"/>
        </w:rPr>
        <w:t>the additional language proposed by Parents for Issue #1 is denied.</w:t>
      </w:r>
    </w:p>
    <w:p w14:paraId="41591A48" w14:textId="57B647F5" w:rsidR="00E72186" w:rsidRPr="004E3D8C" w:rsidRDefault="00E72186" w:rsidP="001B4DFD">
      <w:pPr>
        <w:rPr>
          <w:bCs/>
          <w:color w:val="000000" w:themeColor="text1"/>
          <w:sz w:val="22"/>
          <w:szCs w:val="22"/>
        </w:rPr>
      </w:pPr>
    </w:p>
    <w:p w14:paraId="06F3594D" w14:textId="7F72B07F" w:rsidR="00AB42C7" w:rsidRPr="004E3D8C" w:rsidRDefault="00AB42C7" w:rsidP="001B4DFD">
      <w:pPr>
        <w:rPr>
          <w:b/>
          <w:color w:val="000000" w:themeColor="text1"/>
          <w:sz w:val="22"/>
          <w:szCs w:val="22"/>
        </w:rPr>
      </w:pPr>
      <w:r w:rsidRPr="004E3D8C">
        <w:rPr>
          <w:b/>
          <w:color w:val="000000" w:themeColor="text1"/>
          <w:sz w:val="22"/>
          <w:szCs w:val="22"/>
        </w:rPr>
        <w:t>ORDER:</w:t>
      </w:r>
    </w:p>
    <w:p w14:paraId="6DE9FC3C" w14:textId="77777777" w:rsidR="00AB42C7" w:rsidRPr="004E3D8C" w:rsidRDefault="00AB42C7" w:rsidP="001B4DFD">
      <w:pPr>
        <w:rPr>
          <w:bCs/>
          <w:color w:val="000000" w:themeColor="text1"/>
          <w:sz w:val="22"/>
          <w:szCs w:val="22"/>
        </w:rPr>
      </w:pPr>
    </w:p>
    <w:p w14:paraId="5B33040A" w14:textId="3569CF69" w:rsidR="001B4DFD" w:rsidRPr="004E3D8C" w:rsidRDefault="001B4DFD" w:rsidP="001B4DFD">
      <w:pPr>
        <w:rPr>
          <w:bCs/>
          <w:color w:val="000000" w:themeColor="text1"/>
          <w:sz w:val="22"/>
          <w:szCs w:val="22"/>
        </w:rPr>
      </w:pPr>
      <w:r w:rsidRPr="004E3D8C">
        <w:rPr>
          <w:bCs/>
          <w:color w:val="000000" w:themeColor="text1"/>
          <w:sz w:val="22"/>
          <w:szCs w:val="22"/>
        </w:rPr>
        <w:t>Accordingly, the above-referenced matter will proceed as follows:</w:t>
      </w:r>
    </w:p>
    <w:p w14:paraId="4F2ECA79" w14:textId="77777777" w:rsidR="001B4DFD" w:rsidRPr="004E3D8C" w:rsidRDefault="001B4DFD" w:rsidP="001B4DFD">
      <w:pPr>
        <w:rPr>
          <w:color w:val="000000" w:themeColor="text1"/>
          <w:sz w:val="22"/>
          <w:szCs w:val="22"/>
        </w:rPr>
      </w:pPr>
    </w:p>
    <w:p w14:paraId="54A9F621" w14:textId="4DB1021D" w:rsidR="00FF078F" w:rsidRPr="004E3D8C" w:rsidRDefault="00FF078F" w:rsidP="00116353">
      <w:pPr>
        <w:numPr>
          <w:ilvl w:val="0"/>
          <w:numId w:val="1"/>
        </w:numPr>
        <w:rPr>
          <w:bCs/>
          <w:color w:val="000000" w:themeColor="text1"/>
          <w:sz w:val="22"/>
          <w:szCs w:val="22"/>
        </w:rPr>
      </w:pPr>
      <w:r w:rsidRPr="004E3D8C">
        <w:rPr>
          <w:bCs/>
          <w:color w:val="000000" w:themeColor="text1"/>
          <w:sz w:val="22"/>
          <w:szCs w:val="22"/>
        </w:rPr>
        <w:t xml:space="preserve">A practice Zoom session will take place on </w:t>
      </w:r>
      <w:r w:rsidR="008E1184" w:rsidRPr="004E3D8C">
        <w:rPr>
          <w:bCs/>
          <w:color w:val="000000" w:themeColor="text1"/>
          <w:sz w:val="22"/>
          <w:szCs w:val="22"/>
        </w:rPr>
        <w:t>June 30, 2021 at 10:00AM.  The names and email addresses of witnesses/participants must be emailed to Alexander Loos</w:t>
      </w:r>
      <w:r w:rsidR="00116353" w:rsidRPr="004E3D8C">
        <w:rPr>
          <w:bCs/>
          <w:color w:val="000000" w:themeColor="text1"/>
          <w:sz w:val="22"/>
          <w:szCs w:val="22"/>
        </w:rPr>
        <w:t xml:space="preserve"> at</w:t>
      </w:r>
      <w:r w:rsidR="008E1184" w:rsidRPr="004E3D8C">
        <w:rPr>
          <w:bCs/>
          <w:color w:val="000000" w:themeColor="text1"/>
          <w:sz w:val="22"/>
          <w:szCs w:val="22"/>
        </w:rPr>
        <w:t> </w:t>
      </w:r>
      <w:hyperlink r:id="rId8" w:tgtFrame="_blank" w:history="1">
        <w:r w:rsidR="008E1184" w:rsidRPr="004E3D8C">
          <w:rPr>
            <w:rStyle w:val="Hyperlink"/>
            <w:bCs/>
            <w:color w:val="000000" w:themeColor="text1"/>
            <w:sz w:val="22"/>
            <w:szCs w:val="22"/>
          </w:rPr>
          <w:t>aloos@doriswong.com</w:t>
        </w:r>
      </w:hyperlink>
      <w:r w:rsidR="008E1184" w:rsidRPr="004E3D8C">
        <w:rPr>
          <w:bCs/>
          <w:color w:val="000000" w:themeColor="text1"/>
          <w:sz w:val="22"/>
          <w:szCs w:val="22"/>
        </w:rPr>
        <w:t>.</w:t>
      </w:r>
    </w:p>
    <w:p w14:paraId="37FB9157" w14:textId="602DB5F2" w:rsidR="00515BC2" w:rsidRPr="004E3D8C" w:rsidRDefault="00515BC2" w:rsidP="00515BC2">
      <w:pPr>
        <w:numPr>
          <w:ilvl w:val="0"/>
          <w:numId w:val="1"/>
        </w:numPr>
        <w:rPr>
          <w:bCs/>
          <w:color w:val="000000" w:themeColor="text1"/>
          <w:sz w:val="22"/>
          <w:szCs w:val="22"/>
        </w:rPr>
      </w:pPr>
      <w:r w:rsidRPr="004E3D8C">
        <w:rPr>
          <w:bCs/>
          <w:color w:val="000000" w:themeColor="text1"/>
          <w:sz w:val="22"/>
          <w:szCs w:val="22"/>
        </w:rPr>
        <w:lastRenderedPageBreak/>
        <w:t xml:space="preserve">The Hearing will take place via Zoom on July 2, 2021. It will begin at </w:t>
      </w:r>
      <w:r w:rsidR="00941A89" w:rsidRPr="004E3D8C">
        <w:rPr>
          <w:bCs/>
          <w:color w:val="000000" w:themeColor="text1"/>
          <w:sz w:val="22"/>
          <w:szCs w:val="22"/>
        </w:rPr>
        <w:t>10</w:t>
      </w:r>
      <w:r w:rsidRPr="004E3D8C">
        <w:rPr>
          <w:bCs/>
          <w:color w:val="000000" w:themeColor="text1"/>
          <w:sz w:val="22"/>
          <w:szCs w:val="22"/>
        </w:rPr>
        <w:t>:00AM.</w:t>
      </w:r>
      <w:r w:rsidRPr="004E3D8C">
        <w:rPr>
          <w:bCs/>
          <w:color w:val="000000" w:themeColor="text1"/>
          <w:sz w:val="22"/>
          <w:szCs w:val="22"/>
          <w:vertAlign w:val="superscript"/>
        </w:rPr>
        <w:footnoteReference w:id="14"/>
      </w:r>
    </w:p>
    <w:p w14:paraId="76BEF5D0" w14:textId="779F8AFC" w:rsidR="000619C7" w:rsidRPr="004E3D8C" w:rsidRDefault="00870CCD" w:rsidP="00515BC2">
      <w:pPr>
        <w:numPr>
          <w:ilvl w:val="0"/>
          <w:numId w:val="1"/>
        </w:numPr>
        <w:rPr>
          <w:bCs/>
          <w:color w:val="000000" w:themeColor="text1"/>
          <w:sz w:val="22"/>
          <w:szCs w:val="22"/>
        </w:rPr>
      </w:pPr>
      <w:r w:rsidRPr="004E3D8C">
        <w:rPr>
          <w:bCs/>
          <w:color w:val="000000" w:themeColor="text1"/>
          <w:sz w:val="22"/>
          <w:szCs w:val="22"/>
        </w:rPr>
        <w:t>The sole issue</w:t>
      </w:r>
      <w:r w:rsidR="009E5604" w:rsidRPr="004E3D8C">
        <w:rPr>
          <w:bCs/>
          <w:color w:val="000000" w:themeColor="text1"/>
          <w:sz w:val="22"/>
          <w:szCs w:val="22"/>
        </w:rPr>
        <w:t>s</w:t>
      </w:r>
      <w:r w:rsidRPr="004E3D8C">
        <w:rPr>
          <w:bCs/>
          <w:color w:val="000000" w:themeColor="text1"/>
          <w:sz w:val="22"/>
          <w:szCs w:val="22"/>
        </w:rPr>
        <w:t xml:space="preserve"> for Hearing </w:t>
      </w:r>
      <w:r w:rsidR="009E5604" w:rsidRPr="004E3D8C">
        <w:rPr>
          <w:bCs/>
          <w:color w:val="000000" w:themeColor="text1"/>
          <w:sz w:val="22"/>
          <w:szCs w:val="22"/>
        </w:rPr>
        <w:t>are</w:t>
      </w:r>
      <w:r w:rsidRPr="004E3D8C">
        <w:rPr>
          <w:bCs/>
          <w:color w:val="000000" w:themeColor="text1"/>
          <w:sz w:val="22"/>
          <w:szCs w:val="22"/>
        </w:rPr>
        <w:t>:</w:t>
      </w:r>
      <w:r w:rsidR="004509E9" w:rsidRPr="004E3D8C">
        <w:rPr>
          <w:bCs/>
          <w:color w:val="000000" w:themeColor="text1"/>
          <w:sz w:val="22"/>
          <w:szCs w:val="22"/>
        </w:rPr>
        <w:t xml:space="preserve">  </w:t>
      </w:r>
    </w:p>
    <w:p w14:paraId="5FC4E229" w14:textId="77777777" w:rsidR="005F5227" w:rsidRPr="004E3D8C" w:rsidRDefault="005F5227" w:rsidP="005F5227">
      <w:pPr>
        <w:pStyle w:val="ListParagraph"/>
        <w:numPr>
          <w:ilvl w:val="1"/>
          <w:numId w:val="1"/>
        </w:numPr>
        <w:rPr>
          <w:color w:val="000000" w:themeColor="text1"/>
          <w:sz w:val="22"/>
          <w:szCs w:val="22"/>
        </w:rPr>
      </w:pPr>
      <w:r w:rsidRPr="004E3D8C">
        <w:rPr>
          <w:color w:val="000000" w:themeColor="text1"/>
          <w:sz w:val="22"/>
          <w:szCs w:val="22"/>
        </w:rPr>
        <w:t>Whether Student is entitled to continued special education eligibility from or through Harvard Public Schools for school year 2021-2022?</w:t>
      </w:r>
    </w:p>
    <w:p w14:paraId="05EB5A2F" w14:textId="61F13201" w:rsidR="00870CCD" w:rsidRPr="004E3D8C" w:rsidRDefault="005F5227" w:rsidP="00607CC5">
      <w:pPr>
        <w:pStyle w:val="ListParagraph"/>
        <w:numPr>
          <w:ilvl w:val="1"/>
          <w:numId w:val="1"/>
        </w:numPr>
        <w:rPr>
          <w:color w:val="000000" w:themeColor="text1"/>
          <w:sz w:val="22"/>
          <w:szCs w:val="22"/>
        </w:rPr>
      </w:pPr>
      <w:r w:rsidRPr="004E3D8C">
        <w:rPr>
          <w:color w:val="000000" w:themeColor="text1"/>
          <w:sz w:val="22"/>
          <w:szCs w:val="22"/>
        </w:rPr>
        <w:t>If so, does Student require a residential placement during the 2021-2022 school year to receive a FAPE?</w:t>
      </w:r>
    </w:p>
    <w:p w14:paraId="7294B24B" w14:textId="26369AA0" w:rsidR="00116353" w:rsidRPr="004E3D8C" w:rsidRDefault="001B4DFD" w:rsidP="00116353">
      <w:pPr>
        <w:numPr>
          <w:ilvl w:val="0"/>
          <w:numId w:val="1"/>
        </w:numPr>
        <w:rPr>
          <w:bCs/>
          <w:color w:val="000000" w:themeColor="text1"/>
          <w:sz w:val="22"/>
          <w:szCs w:val="22"/>
        </w:rPr>
      </w:pPr>
      <w:r w:rsidRPr="004E3D8C">
        <w:rPr>
          <w:bCs/>
          <w:color w:val="000000" w:themeColor="text1"/>
          <w:sz w:val="22"/>
          <w:szCs w:val="22"/>
        </w:rPr>
        <w:t xml:space="preserve">Exhibits and witness lists are due by the close of business </w:t>
      </w:r>
      <w:r w:rsidR="00925171" w:rsidRPr="004E3D8C">
        <w:rPr>
          <w:bCs/>
          <w:color w:val="000000" w:themeColor="text1"/>
          <w:sz w:val="22"/>
          <w:szCs w:val="22"/>
        </w:rPr>
        <w:t>on</w:t>
      </w:r>
      <w:r w:rsidRPr="004E3D8C">
        <w:rPr>
          <w:bCs/>
          <w:color w:val="000000" w:themeColor="text1"/>
          <w:sz w:val="22"/>
          <w:szCs w:val="22"/>
        </w:rPr>
        <w:t xml:space="preserve"> </w:t>
      </w:r>
      <w:r w:rsidR="00870CCD" w:rsidRPr="004E3D8C">
        <w:rPr>
          <w:bCs/>
          <w:color w:val="000000" w:themeColor="text1"/>
          <w:sz w:val="22"/>
          <w:szCs w:val="22"/>
        </w:rPr>
        <w:t>June</w:t>
      </w:r>
      <w:r w:rsidR="00CF0D2A" w:rsidRPr="004E3D8C">
        <w:rPr>
          <w:bCs/>
          <w:color w:val="000000" w:themeColor="text1"/>
          <w:sz w:val="22"/>
          <w:szCs w:val="22"/>
        </w:rPr>
        <w:t xml:space="preserve"> </w:t>
      </w:r>
      <w:r w:rsidR="00870CCD" w:rsidRPr="004E3D8C">
        <w:rPr>
          <w:bCs/>
          <w:color w:val="000000" w:themeColor="text1"/>
          <w:sz w:val="22"/>
          <w:szCs w:val="22"/>
        </w:rPr>
        <w:t>25</w:t>
      </w:r>
      <w:r w:rsidRPr="004E3D8C">
        <w:rPr>
          <w:bCs/>
          <w:color w:val="000000" w:themeColor="text1"/>
          <w:sz w:val="22"/>
          <w:szCs w:val="22"/>
        </w:rPr>
        <w:t>, 2021</w:t>
      </w:r>
      <w:r w:rsidR="00925171" w:rsidRPr="004E3D8C">
        <w:rPr>
          <w:bCs/>
          <w:color w:val="000000" w:themeColor="text1"/>
          <w:sz w:val="22"/>
          <w:szCs w:val="22"/>
        </w:rPr>
        <w:t xml:space="preserve">, and should be sent </w:t>
      </w:r>
      <w:r w:rsidR="00870CCD" w:rsidRPr="004E3D8C">
        <w:rPr>
          <w:bCs/>
          <w:color w:val="000000" w:themeColor="text1"/>
          <w:sz w:val="22"/>
          <w:szCs w:val="22"/>
        </w:rPr>
        <w:t>to</w:t>
      </w:r>
      <w:r w:rsidR="00116353" w:rsidRPr="004E3D8C">
        <w:rPr>
          <w:bCs/>
          <w:color w:val="000000" w:themeColor="text1"/>
          <w:sz w:val="22"/>
          <w:szCs w:val="22"/>
        </w:rPr>
        <w:t xml:space="preserve"> the Hearing Officer</w:t>
      </w:r>
      <w:r w:rsidR="00925171" w:rsidRPr="004E3D8C">
        <w:rPr>
          <w:bCs/>
          <w:color w:val="000000" w:themeColor="text1"/>
          <w:sz w:val="22"/>
          <w:szCs w:val="22"/>
        </w:rPr>
        <w:t xml:space="preserve"> at</w:t>
      </w:r>
      <w:r w:rsidR="00870CCD" w:rsidRPr="004E3D8C">
        <w:rPr>
          <w:bCs/>
          <w:color w:val="000000" w:themeColor="text1"/>
          <w:sz w:val="22"/>
          <w:szCs w:val="22"/>
        </w:rPr>
        <w:t xml:space="preserve"> 49 Camelot Drive, Shrewsbury, MA 01545</w:t>
      </w:r>
      <w:r w:rsidR="007837D8" w:rsidRPr="004E3D8C">
        <w:rPr>
          <w:bCs/>
          <w:color w:val="000000" w:themeColor="text1"/>
          <w:sz w:val="22"/>
          <w:szCs w:val="22"/>
        </w:rPr>
        <w:t xml:space="preserve"> and to </w:t>
      </w:r>
      <w:r w:rsidR="00116353" w:rsidRPr="004E3D8C">
        <w:rPr>
          <w:bCs/>
          <w:color w:val="000000" w:themeColor="text1"/>
          <w:sz w:val="22"/>
          <w:szCs w:val="22"/>
        </w:rPr>
        <w:t>Alex Loos at 65 Cottage Street, #1, Melrose, MA 02176.</w:t>
      </w:r>
    </w:p>
    <w:p w14:paraId="1BD895D8" w14:textId="77777777" w:rsidR="001B4DFD" w:rsidRPr="004E3D8C" w:rsidRDefault="001B4DFD" w:rsidP="001B4DFD">
      <w:pPr>
        <w:rPr>
          <w:color w:val="000000" w:themeColor="text1"/>
          <w:sz w:val="22"/>
          <w:szCs w:val="22"/>
          <w:u w:val="single"/>
        </w:rPr>
      </w:pPr>
    </w:p>
    <w:p w14:paraId="5EF942C1" w14:textId="51B8BD23" w:rsidR="001B4DFD" w:rsidRPr="004E3D8C" w:rsidRDefault="001B4DFD" w:rsidP="001B4DFD">
      <w:pPr>
        <w:rPr>
          <w:color w:val="000000" w:themeColor="text1"/>
          <w:sz w:val="22"/>
          <w:szCs w:val="22"/>
        </w:rPr>
      </w:pPr>
      <w:r w:rsidRPr="004E3D8C">
        <w:rPr>
          <w:color w:val="000000" w:themeColor="text1"/>
          <w:sz w:val="22"/>
          <w:szCs w:val="22"/>
        </w:rPr>
        <w:t>Should the parties reach a settlement agreement prior to the Hearing, the moving party shall submit a withdrawal of the Hearing.  Failure to appear at the Hearing may result in dismissal of the matter with or without prejudice.</w:t>
      </w:r>
    </w:p>
    <w:p w14:paraId="1B82C44D" w14:textId="77777777" w:rsidR="001B4DFD" w:rsidRPr="004E3D8C" w:rsidRDefault="001B4DFD" w:rsidP="001B4DFD">
      <w:pPr>
        <w:rPr>
          <w:color w:val="000000" w:themeColor="text1"/>
          <w:sz w:val="22"/>
          <w:szCs w:val="22"/>
        </w:rPr>
      </w:pPr>
    </w:p>
    <w:p w14:paraId="6C06816B" w14:textId="77777777" w:rsidR="00241961" w:rsidRPr="004E3D8C" w:rsidRDefault="001B4DFD" w:rsidP="001B4DFD">
      <w:pPr>
        <w:rPr>
          <w:color w:val="000000" w:themeColor="text1"/>
          <w:sz w:val="22"/>
          <w:szCs w:val="22"/>
        </w:rPr>
      </w:pPr>
      <w:r w:rsidRPr="004E3D8C">
        <w:rPr>
          <w:color w:val="000000" w:themeColor="text1"/>
          <w:sz w:val="22"/>
          <w:szCs w:val="22"/>
        </w:rPr>
        <w:t>So Ordered by the Hearing Officer</w:t>
      </w:r>
      <w:r w:rsidR="00925171" w:rsidRPr="004E3D8C">
        <w:rPr>
          <w:color w:val="000000" w:themeColor="text1"/>
          <w:sz w:val="22"/>
          <w:szCs w:val="22"/>
        </w:rPr>
        <w:t>,</w:t>
      </w:r>
    </w:p>
    <w:p w14:paraId="4B2E7321" w14:textId="30E9E832" w:rsidR="00241961" w:rsidRPr="004E3D8C" w:rsidRDefault="001B4DFD" w:rsidP="001B4DFD">
      <w:pPr>
        <w:rPr>
          <w:rFonts w:ascii="Apple Chancery" w:hAnsi="Apple Chancery" w:cs="Apple Chancery"/>
          <w:color w:val="000000" w:themeColor="text1"/>
          <w:sz w:val="22"/>
          <w:szCs w:val="22"/>
          <w:u w:val="single"/>
        </w:rPr>
      </w:pPr>
      <w:r w:rsidRPr="004E3D8C">
        <w:rPr>
          <w:color w:val="000000" w:themeColor="text1"/>
          <w:sz w:val="22"/>
          <w:szCs w:val="22"/>
          <w:u w:val="single"/>
        </w:rPr>
        <w:t xml:space="preserve">/s/ </w:t>
      </w:r>
      <w:r w:rsidRPr="004E3D8C">
        <w:rPr>
          <w:rFonts w:ascii="Apple Chancery" w:hAnsi="Apple Chancery" w:cs="Apple Chancery" w:hint="cs"/>
          <w:color w:val="000000" w:themeColor="text1"/>
          <w:sz w:val="22"/>
          <w:szCs w:val="22"/>
          <w:u w:val="single"/>
        </w:rPr>
        <w:t>Alina Kantor Nir</w:t>
      </w:r>
    </w:p>
    <w:p w14:paraId="50BFD63A" w14:textId="64068E59" w:rsidR="001B4DFD" w:rsidRPr="004E3D8C" w:rsidRDefault="001B4DFD" w:rsidP="001B4DFD">
      <w:pPr>
        <w:rPr>
          <w:color w:val="000000" w:themeColor="text1"/>
          <w:sz w:val="22"/>
          <w:szCs w:val="22"/>
        </w:rPr>
      </w:pPr>
      <w:r w:rsidRPr="004E3D8C">
        <w:rPr>
          <w:color w:val="000000" w:themeColor="text1"/>
          <w:sz w:val="22"/>
          <w:szCs w:val="22"/>
        </w:rPr>
        <w:t>Alina Kantor Nir</w:t>
      </w:r>
    </w:p>
    <w:p w14:paraId="6A8A4E4D" w14:textId="7EC68DFC" w:rsidR="001B4DFD" w:rsidRPr="004E3D8C" w:rsidRDefault="001B4DFD" w:rsidP="001B4DFD">
      <w:pPr>
        <w:rPr>
          <w:color w:val="000000" w:themeColor="text1"/>
          <w:sz w:val="22"/>
          <w:szCs w:val="22"/>
        </w:rPr>
      </w:pPr>
      <w:r w:rsidRPr="004E3D8C">
        <w:rPr>
          <w:color w:val="000000" w:themeColor="text1"/>
          <w:sz w:val="22"/>
          <w:szCs w:val="22"/>
        </w:rPr>
        <w:t>Dated:</w:t>
      </w:r>
      <w:r w:rsidR="006E0CD3" w:rsidRPr="004E3D8C">
        <w:rPr>
          <w:color w:val="000000" w:themeColor="text1"/>
          <w:sz w:val="22"/>
          <w:szCs w:val="22"/>
        </w:rPr>
        <w:t xml:space="preserve"> </w:t>
      </w:r>
      <w:r w:rsidR="002A2F08" w:rsidRPr="004E3D8C">
        <w:rPr>
          <w:color w:val="000000" w:themeColor="text1"/>
          <w:sz w:val="22"/>
          <w:szCs w:val="22"/>
        </w:rPr>
        <w:t xml:space="preserve">June </w:t>
      </w:r>
      <w:r w:rsidR="00D77A98" w:rsidRPr="004E3D8C">
        <w:rPr>
          <w:color w:val="000000" w:themeColor="text1"/>
          <w:sz w:val="22"/>
          <w:szCs w:val="22"/>
        </w:rPr>
        <w:t>2</w:t>
      </w:r>
      <w:r w:rsidR="007837D8" w:rsidRPr="004E3D8C">
        <w:rPr>
          <w:color w:val="000000" w:themeColor="text1"/>
          <w:sz w:val="22"/>
          <w:szCs w:val="22"/>
        </w:rPr>
        <w:t>3</w:t>
      </w:r>
      <w:r w:rsidR="002A2F08" w:rsidRPr="004E3D8C">
        <w:rPr>
          <w:color w:val="000000" w:themeColor="text1"/>
          <w:sz w:val="22"/>
          <w:szCs w:val="22"/>
        </w:rPr>
        <w:t>, 2021</w:t>
      </w:r>
      <w:r w:rsidRPr="004E3D8C">
        <w:rPr>
          <w:color w:val="000000" w:themeColor="text1"/>
          <w:sz w:val="22"/>
          <w:szCs w:val="22"/>
        </w:rPr>
        <w:t xml:space="preserve"> </w:t>
      </w:r>
    </w:p>
    <w:p w14:paraId="56EADB01" w14:textId="77777777" w:rsidR="001B4DFD" w:rsidRPr="004E3D8C" w:rsidRDefault="001B4DFD" w:rsidP="001B4DFD">
      <w:pPr>
        <w:rPr>
          <w:color w:val="000000" w:themeColor="text1"/>
          <w:sz w:val="22"/>
          <w:szCs w:val="22"/>
        </w:rPr>
      </w:pPr>
    </w:p>
    <w:p w14:paraId="0AE098F2" w14:textId="77777777" w:rsidR="001B4DFD" w:rsidRPr="004E3D8C" w:rsidRDefault="001B4DFD" w:rsidP="001B4DFD">
      <w:pPr>
        <w:rPr>
          <w:color w:val="000000" w:themeColor="text1"/>
          <w:sz w:val="22"/>
          <w:szCs w:val="22"/>
        </w:rPr>
      </w:pPr>
    </w:p>
    <w:p w14:paraId="36001DD5" w14:textId="77777777" w:rsidR="00963DA6" w:rsidRPr="004E3D8C" w:rsidRDefault="00B6249E">
      <w:pPr>
        <w:rPr>
          <w:color w:val="000000" w:themeColor="text1"/>
          <w:sz w:val="22"/>
          <w:szCs w:val="22"/>
        </w:rPr>
      </w:pPr>
    </w:p>
    <w:sectPr w:rsidR="00963DA6" w:rsidRPr="004E3D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1FA0" w14:textId="77777777" w:rsidR="00B6249E" w:rsidRDefault="00B6249E" w:rsidP="001B4DFD">
      <w:r>
        <w:separator/>
      </w:r>
    </w:p>
  </w:endnote>
  <w:endnote w:type="continuationSeparator" w:id="0">
    <w:p w14:paraId="63EDE1D4" w14:textId="77777777" w:rsidR="00B6249E" w:rsidRDefault="00B6249E" w:rsidP="001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F7E6" w14:textId="77777777" w:rsidR="00B6249E" w:rsidRDefault="00B6249E" w:rsidP="001B4DFD">
      <w:r>
        <w:separator/>
      </w:r>
    </w:p>
  </w:footnote>
  <w:footnote w:type="continuationSeparator" w:id="0">
    <w:p w14:paraId="3D42A288" w14:textId="77777777" w:rsidR="00B6249E" w:rsidRDefault="00B6249E" w:rsidP="001B4DFD">
      <w:r>
        <w:continuationSeparator/>
      </w:r>
    </w:p>
  </w:footnote>
  <w:footnote w:id="1">
    <w:p w14:paraId="609F3A4D" w14:textId="77777777" w:rsidR="002C1888" w:rsidRPr="00C35105" w:rsidRDefault="002C1888" w:rsidP="002C1888">
      <w:pPr>
        <w:pStyle w:val="FootnoteText"/>
        <w:rPr>
          <w:color w:val="000000" w:themeColor="text1"/>
        </w:rPr>
      </w:pPr>
      <w:r w:rsidRPr="00C35105">
        <w:rPr>
          <w:rStyle w:val="FootnoteReference"/>
          <w:color w:val="000000" w:themeColor="text1"/>
        </w:rPr>
        <w:footnoteRef/>
      </w:r>
      <w:r w:rsidRPr="00C35105">
        <w:rPr>
          <w:color w:val="000000" w:themeColor="text1"/>
        </w:rPr>
        <w:t xml:space="preserve"> Individuals with Disabilities Education Act (IDEA), 20 U.S.C. § 1400 (d)(1)(A).</w:t>
      </w:r>
    </w:p>
  </w:footnote>
  <w:footnote w:id="2">
    <w:p w14:paraId="578C7CEE" w14:textId="77777777" w:rsidR="002C1888" w:rsidRPr="00C35105" w:rsidRDefault="002C1888" w:rsidP="002C1888">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Pr="00C35105">
        <w:rPr>
          <w:i/>
          <w:iCs/>
          <w:color w:val="000000" w:themeColor="text1"/>
        </w:rPr>
        <w:t>See</w:t>
      </w:r>
      <w:r w:rsidRPr="00C35105">
        <w:rPr>
          <w:color w:val="000000" w:themeColor="text1"/>
        </w:rPr>
        <w:t xml:space="preserve"> </w:t>
      </w:r>
      <w:r w:rsidRPr="00C35105">
        <w:rPr>
          <w:color w:val="000000" w:themeColor="text1"/>
          <w:shd w:val="clear" w:color="auto" w:fill="FFFFFF"/>
        </w:rPr>
        <w:t>20 USC§1401 (9), (26), (29)</w:t>
      </w:r>
      <w:r w:rsidRPr="00C35105">
        <w:rPr>
          <w:color w:val="000000" w:themeColor="text1"/>
        </w:rPr>
        <w:t xml:space="preserve">; 603 CMR 28.05(4)(b); </w:t>
      </w:r>
      <w:r w:rsidRPr="00C35105">
        <w:rPr>
          <w:rStyle w:val="Emphasis"/>
          <w:color w:val="000000" w:themeColor="text1"/>
          <w:bdr w:val="none" w:sz="0" w:space="0" w:color="auto" w:frame="1"/>
        </w:rPr>
        <w:t>Sebastian M. v. King Philip Reg'l Sch. Dist.</w:t>
      </w:r>
      <w:r w:rsidRPr="00C35105">
        <w:rPr>
          <w:color w:val="000000" w:themeColor="text1"/>
        </w:rPr>
        <w:t xml:space="preserve">, 685 F.3d 84, 84 (1st Cir. 2012); </w:t>
      </w:r>
      <w:r w:rsidRPr="00C35105">
        <w:rPr>
          <w:rStyle w:val="Emphasis"/>
          <w:color w:val="000000" w:themeColor="text1"/>
          <w:bdr w:val="none" w:sz="0" w:space="0" w:color="auto" w:frame="1"/>
        </w:rPr>
        <w:t>C.D. v. Natick Public School District, et al.</w:t>
      </w:r>
      <w:r w:rsidRPr="00C35105">
        <w:rPr>
          <w:color w:val="000000" w:themeColor="text1"/>
          <w:shd w:val="clear" w:color="auto" w:fill="FFFFFF"/>
        </w:rPr>
        <w:t>, No. 18-1794, at 4 (1</w:t>
      </w:r>
      <w:r w:rsidRPr="00C35105">
        <w:rPr>
          <w:color w:val="000000" w:themeColor="text1"/>
          <w:bdr w:val="none" w:sz="0" w:space="0" w:color="auto" w:frame="1"/>
          <w:vertAlign w:val="superscript"/>
        </w:rPr>
        <w:t>st</w:t>
      </w:r>
      <w:r w:rsidRPr="00C35105">
        <w:rPr>
          <w:rStyle w:val="apple-converted-space"/>
          <w:color w:val="000000" w:themeColor="text1"/>
          <w:shd w:val="clear" w:color="auto" w:fill="FFFFFF"/>
        </w:rPr>
        <w:t> </w:t>
      </w:r>
      <w:r w:rsidRPr="00C35105">
        <w:rPr>
          <w:color w:val="000000" w:themeColor="text1"/>
          <w:shd w:val="clear" w:color="auto" w:fill="FFFFFF"/>
        </w:rPr>
        <w:t>Cir. 2019) (quoting</w:t>
      </w:r>
      <w:r w:rsidRPr="00C35105">
        <w:rPr>
          <w:rStyle w:val="apple-converted-space"/>
          <w:color w:val="000000" w:themeColor="text1"/>
          <w:shd w:val="clear" w:color="auto" w:fill="FFFFFF"/>
        </w:rPr>
        <w:t> </w:t>
      </w:r>
      <w:r w:rsidRPr="00C35105">
        <w:rPr>
          <w:rStyle w:val="Emphasis"/>
          <w:color w:val="000000" w:themeColor="text1"/>
          <w:bdr w:val="none" w:sz="0" w:space="0" w:color="auto" w:frame="1"/>
        </w:rPr>
        <w:t>Fry v. Napoleon Community Schools</w:t>
      </w:r>
      <w:r w:rsidRPr="00C35105">
        <w:rPr>
          <w:color w:val="000000" w:themeColor="text1"/>
          <w:shd w:val="clear" w:color="auto" w:fill="FFFFFF"/>
        </w:rPr>
        <w:t>, 137 S. Ct. 743, 748-749 (2017));</w:t>
      </w:r>
      <w:r w:rsidRPr="00C35105">
        <w:rPr>
          <w:i/>
          <w:iCs/>
          <w:color w:val="000000" w:themeColor="text1"/>
        </w:rPr>
        <w:t> Lessard v. Wilton Lyndeborough Cooperative School Dist.,</w:t>
      </w:r>
      <w:r w:rsidRPr="00C35105">
        <w:rPr>
          <w:color w:val="000000" w:themeColor="text1"/>
        </w:rPr>
        <w:t> 518 F. 3d 18 (1st Cir. 2008); </w:t>
      </w:r>
      <w:r w:rsidRPr="00C35105">
        <w:rPr>
          <w:i/>
          <w:iCs/>
          <w:color w:val="000000" w:themeColor="text1"/>
        </w:rPr>
        <w:t>C.G. ex rel. A.S. v. Five Town Community School Dist.,</w:t>
      </w:r>
      <w:r w:rsidRPr="00C35105">
        <w:rPr>
          <w:color w:val="000000" w:themeColor="text1"/>
        </w:rPr>
        <w:t xml:space="preserve">513 F. 3d 279 (1st Cir. 2008); </w:t>
      </w:r>
      <w:r w:rsidRPr="00C35105">
        <w:rPr>
          <w:i/>
          <w:iCs/>
          <w:color w:val="000000" w:themeColor="text1"/>
        </w:rPr>
        <w:t>In Re: Chicopee Public Schools,</w:t>
      </w:r>
      <w:r w:rsidRPr="00C35105">
        <w:rPr>
          <w:color w:val="000000" w:themeColor="text1"/>
        </w:rPr>
        <w:t xml:space="preserve"> BSEA #</w:t>
      </w:r>
      <w:r w:rsidRPr="00C35105">
        <w:rPr>
          <w:b/>
          <w:bCs/>
          <w:color w:val="000000" w:themeColor="text1"/>
          <w:shd w:val="clear" w:color="auto" w:fill="FFFFFF"/>
        </w:rPr>
        <w:t xml:space="preserve"> </w:t>
      </w:r>
      <w:r w:rsidRPr="00C35105">
        <w:rPr>
          <w:color w:val="000000" w:themeColor="text1"/>
        </w:rPr>
        <w:t>1307346, 19 MSER 224 (Byrne, 2013).</w:t>
      </w:r>
    </w:p>
  </w:footnote>
  <w:footnote w:id="3">
    <w:p w14:paraId="7795FFD8" w14:textId="6C43FC5E" w:rsidR="00A25DC8" w:rsidRPr="00C35105" w:rsidRDefault="00A25DC8">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Pr="00C35105">
        <w:rPr>
          <w:i/>
          <w:iCs/>
          <w:color w:val="000000" w:themeColor="text1"/>
        </w:rPr>
        <w:t>Endrew F. v. Douglas Cty. Reg'l Sch. Dist.</w:t>
      </w:r>
      <w:r w:rsidRPr="00C35105">
        <w:rPr>
          <w:color w:val="000000" w:themeColor="text1"/>
        </w:rPr>
        <w:t>, 137 S. Ct. 988, 1001 (2017).</w:t>
      </w:r>
    </w:p>
  </w:footnote>
  <w:footnote w:id="4">
    <w:p w14:paraId="34F9EAFF" w14:textId="04449E4B" w:rsidR="00C11942" w:rsidRPr="00C35105" w:rsidRDefault="00C11942" w:rsidP="00C11942">
      <w:pPr>
        <w:pStyle w:val="FootnoteText"/>
        <w:rPr>
          <w:color w:val="000000" w:themeColor="text1"/>
        </w:rPr>
      </w:pPr>
      <w:r w:rsidRPr="00C35105">
        <w:rPr>
          <w:rStyle w:val="FootnoteReference"/>
          <w:color w:val="000000" w:themeColor="text1"/>
        </w:rPr>
        <w:footnoteRef/>
      </w:r>
      <w:r w:rsidRPr="00C35105">
        <w:rPr>
          <w:color w:val="000000" w:themeColor="text1"/>
        </w:rPr>
        <w:t xml:space="preserve"> 20 USC </w:t>
      </w:r>
      <w:r w:rsidR="00A25DC8" w:rsidRPr="00C35105">
        <w:rPr>
          <w:color w:val="000000" w:themeColor="text1"/>
        </w:rPr>
        <w:t>§</w:t>
      </w:r>
      <w:r w:rsidRPr="00C35105">
        <w:rPr>
          <w:color w:val="000000" w:themeColor="text1"/>
        </w:rPr>
        <w:t>1401(34)</w:t>
      </w:r>
      <w:r w:rsidR="00225E11" w:rsidRPr="00C35105">
        <w:rPr>
          <w:color w:val="000000" w:themeColor="text1"/>
        </w:rPr>
        <w:t xml:space="preserve">; 34 CFR </w:t>
      </w:r>
      <w:r w:rsidR="00A25DC8" w:rsidRPr="00C35105">
        <w:rPr>
          <w:color w:val="000000" w:themeColor="text1"/>
        </w:rPr>
        <w:t>§</w:t>
      </w:r>
      <w:r w:rsidR="00225E11" w:rsidRPr="00C35105">
        <w:rPr>
          <w:color w:val="000000" w:themeColor="text1"/>
        </w:rPr>
        <w:t>300.43.</w:t>
      </w:r>
    </w:p>
  </w:footnote>
  <w:footnote w:id="5">
    <w:p w14:paraId="784554A6" w14:textId="63A7D865" w:rsidR="00D25CD0" w:rsidRPr="00C35105" w:rsidRDefault="00D25CD0">
      <w:pPr>
        <w:pStyle w:val="FootnoteText"/>
        <w:rPr>
          <w:color w:val="000000" w:themeColor="text1"/>
        </w:rPr>
      </w:pPr>
      <w:r w:rsidRPr="00C35105">
        <w:rPr>
          <w:rStyle w:val="FootnoteReference"/>
          <w:color w:val="000000" w:themeColor="text1"/>
        </w:rPr>
        <w:footnoteRef/>
      </w:r>
      <w:r w:rsidRPr="00C35105">
        <w:rPr>
          <w:color w:val="000000" w:themeColor="text1"/>
        </w:rPr>
        <w:t xml:space="preserve"> 20 USC §1414 (d)(1)(A)(i)(VIII). See also 34 CFR §300.320(b).</w:t>
      </w:r>
    </w:p>
  </w:footnote>
  <w:footnote w:id="6">
    <w:p w14:paraId="2DFFC132" w14:textId="1A3F865F" w:rsidR="00D24502" w:rsidRPr="00C35105" w:rsidRDefault="00D24502" w:rsidP="00D24502">
      <w:pPr>
        <w:rPr>
          <w:color w:val="000000" w:themeColor="text1"/>
          <w:sz w:val="20"/>
          <w:szCs w:val="20"/>
        </w:rPr>
      </w:pPr>
      <w:r w:rsidRPr="00C35105">
        <w:rPr>
          <w:rStyle w:val="FootnoteReference"/>
          <w:color w:val="000000" w:themeColor="text1"/>
          <w:sz w:val="20"/>
          <w:szCs w:val="20"/>
        </w:rPr>
        <w:footnoteRef/>
      </w:r>
      <w:r w:rsidRPr="00C35105">
        <w:rPr>
          <w:color w:val="000000" w:themeColor="text1"/>
          <w:sz w:val="20"/>
          <w:szCs w:val="20"/>
        </w:rPr>
        <w:t xml:space="preserve"> </w:t>
      </w:r>
      <w:r w:rsidRPr="00C35105">
        <w:rPr>
          <w:color w:val="000000" w:themeColor="text1"/>
          <w:sz w:val="20"/>
          <w:szCs w:val="20"/>
          <w:shd w:val="clear" w:color="auto" w:fill="FFFFFF"/>
        </w:rPr>
        <w:t>Section 2 of chapter 71B of the Massachusetts General Laws was amended by Chapter 285 of the Acts of 2008 to require that beginning at age 14, or sooner if determined appropriate by the IEP Team, school age children with disabilities are entitled to transition services and measurable postsecondary goals, as provided under the IDEA.</w:t>
      </w:r>
    </w:p>
  </w:footnote>
  <w:footnote w:id="7">
    <w:p w14:paraId="2A556548" w14:textId="0AB841EB" w:rsidR="00D25CD0" w:rsidRPr="00C35105" w:rsidRDefault="00D25CD0">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Pr="00C35105">
        <w:rPr>
          <w:i/>
          <w:iCs/>
          <w:color w:val="000000" w:themeColor="text1"/>
        </w:rPr>
        <w:t>Dracut Public Schools</w:t>
      </w:r>
      <w:r w:rsidRPr="00C35105">
        <w:rPr>
          <w:color w:val="000000" w:themeColor="text1"/>
        </w:rPr>
        <w:t>, BSEA # 08-5330, (Crane, 2009).</w:t>
      </w:r>
    </w:p>
  </w:footnote>
  <w:footnote w:id="8">
    <w:p w14:paraId="2C780093" w14:textId="646CBF3C" w:rsidR="00D84384" w:rsidRPr="00C35105" w:rsidRDefault="00D84384">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Pr="00C35105">
        <w:rPr>
          <w:i/>
          <w:iCs/>
          <w:color w:val="000000" w:themeColor="text1"/>
        </w:rPr>
        <w:t>Lessard v. Wilton Lyndeborough Cooperative School Dist</w:t>
      </w:r>
      <w:r w:rsidRPr="00C35105">
        <w:rPr>
          <w:color w:val="000000" w:themeColor="text1"/>
        </w:rPr>
        <w:t xml:space="preserve">., 518 F.3d 18, 28-30 (1 </w:t>
      </w:r>
      <w:r w:rsidRPr="00C35105">
        <w:rPr>
          <w:color w:val="000000" w:themeColor="text1"/>
        </w:rPr>
        <w:t>st Cir. 2008) (applying FAPE standards to determine whether transition services were appropriate).</w:t>
      </w:r>
    </w:p>
  </w:footnote>
  <w:footnote w:id="9">
    <w:p w14:paraId="59E81D8A" w14:textId="1E790AB1" w:rsidR="008E6E49" w:rsidRPr="00C35105" w:rsidRDefault="008E6E49">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00D151B9" w:rsidRPr="00C35105">
        <w:rPr>
          <w:i/>
          <w:iCs/>
          <w:color w:val="000000" w:themeColor="text1"/>
        </w:rPr>
        <w:t>I</w:t>
      </w:r>
      <w:r w:rsidR="00A25DC8" w:rsidRPr="00C35105">
        <w:rPr>
          <w:i/>
          <w:iCs/>
          <w:color w:val="000000" w:themeColor="text1"/>
        </w:rPr>
        <w:t>d</w:t>
      </w:r>
      <w:r w:rsidR="00A25DC8" w:rsidRPr="00C35105">
        <w:rPr>
          <w:color w:val="000000" w:themeColor="text1"/>
        </w:rPr>
        <w:t xml:space="preserve">. at </w:t>
      </w:r>
      <w:r w:rsidRPr="00C35105">
        <w:rPr>
          <w:color w:val="000000" w:themeColor="text1"/>
        </w:rPr>
        <w:t>30</w:t>
      </w:r>
      <w:r w:rsidR="00A25DC8" w:rsidRPr="00C35105">
        <w:rPr>
          <w:color w:val="000000" w:themeColor="text1"/>
        </w:rPr>
        <w:t>.</w:t>
      </w:r>
    </w:p>
  </w:footnote>
  <w:footnote w:id="10">
    <w:p w14:paraId="759A95D8" w14:textId="77777777" w:rsidR="0072374E" w:rsidRPr="00C35105" w:rsidRDefault="0072374E" w:rsidP="0072374E">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Pr="00C35105">
        <w:rPr>
          <w:i/>
          <w:iCs/>
          <w:color w:val="000000" w:themeColor="text1"/>
        </w:rPr>
        <w:t>Dracut Public Schools</w:t>
      </w:r>
      <w:r w:rsidRPr="00C35105">
        <w:rPr>
          <w:color w:val="000000" w:themeColor="text1"/>
        </w:rPr>
        <w:t>, BSEA # 08-5330, (Crane, 2009).</w:t>
      </w:r>
    </w:p>
  </w:footnote>
  <w:footnote w:id="11">
    <w:p w14:paraId="21A4907F" w14:textId="2BAAB61E" w:rsidR="003C31BC" w:rsidRPr="00C35105" w:rsidRDefault="003C31BC" w:rsidP="003C31BC">
      <w:pPr>
        <w:rPr>
          <w:color w:val="000000" w:themeColor="text1"/>
          <w:sz w:val="20"/>
          <w:szCs w:val="20"/>
          <w:shd w:val="clear" w:color="auto" w:fill="FFFFFF"/>
        </w:rPr>
      </w:pPr>
      <w:r w:rsidRPr="00C35105">
        <w:rPr>
          <w:rStyle w:val="FootnoteReference"/>
          <w:color w:val="000000" w:themeColor="text1"/>
          <w:sz w:val="20"/>
          <w:szCs w:val="20"/>
        </w:rPr>
        <w:footnoteRef/>
      </w:r>
      <w:r w:rsidRPr="00C35105">
        <w:rPr>
          <w:color w:val="000000" w:themeColor="text1"/>
          <w:sz w:val="20"/>
          <w:szCs w:val="20"/>
        </w:rPr>
        <w:t xml:space="preserve"> I note that, </w:t>
      </w:r>
      <w:r w:rsidRPr="00C35105">
        <w:rPr>
          <w:color w:val="000000" w:themeColor="text1"/>
          <w:sz w:val="20"/>
          <w:szCs w:val="20"/>
          <w:shd w:val="clear" w:color="auto" w:fill="FFFFFF"/>
        </w:rPr>
        <w:t>subsequently, the District Court found that Hearing Officer Crane improperly</w:t>
      </w:r>
      <w:r w:rsidR="00C36B6F" w:rsidRPr="00C35105">
        <w:rPr>
          <w:color w:val="000000" w:themeColor="text1"/>
          <w:sz w:val="20"/>
          <w:szCs w:val="20"/>
          <w:shd w:val="clear" w:color="auto" w:fill="FFFFFF"/>
        </w:rPr>
        <w:t xml:space="preserve"> extended Student’s eligibility</w:t>
      </w:r>
      <w:r w:rsidRPr="00C35105">
        <w:rPr>
          <w:color w:val="000000" w:themeColor="text1"/>
          <w:sz w:val="20"/>
          <w:szCs w:val="20"/>
          <w:shd w:val="clear" w:color="auto" w:fill="FFFFFF"/>
        </w:rPr>
        <w:t>. Specifically, the Court held,</w:t>
      </w:r>
    </w:p>
    <w:p w14:paraId="41481A39" w14:textId="75104917" w:rsidR="003C31BC" w:rsidRPr="00C35105" w:rsidRDefault="003C31BC" w:rsidP="003C31BC">
      <w:pPr>
        <w:ind w:left="1440"/>
        <w:rPr>
          <w:color w:val="000000" w:themeColor="text1"/>
          <w:sz w:val="20"/>
          <w:szCs w:val="20"/>
        </w:rPr>
      </w:pPr>
      <w:r w:rsidRPr="00C35105">
        <w:rPr>
          <w:color w:val="000000" w:themeColor="text1"/>
          <w:sz w:val="20"/>
          <w:szCs w:val="20"/>
          <w:shd w:val="clear" w:color="auto" w:fill="FFFFFF"/>
        </w:rPr>
        <w:t>Here the issuance of the diploma was improper because C.A. was denied a FAPE. If the Hearing Officer had wanted to continue eligibility, he should have continued the “stay put” order, issued pursuant to 20 U.S.C. § 1415(j), which would have prohibited </w:t>
      </w:r>
      <w:r w:rsidRPr="00C35105">
        <w:rPr>
          <w:color w:val="000000" w:themeColor="text1"/>
          <w:sz w:val="20"/>
          <w:szCs w:val="20"/>
          <w:bdr w:val="none" w:sz="0" w:space="0" w:color="auto" w:frame="1"/>
          <w:shd w:val="clear" w:color="auto" w:fill="FFFFFF"/>
        </w:rPr>
        <w:t>Dracut</w:t>
      </w:r>
      <w:r w:rsidRPr="00C35105">
        <w:rPr>
          <w:color w:val="000000" w:themeColor="text1"/>
          <w:sz w:val="20"/>
          <w:szCs w:val="20"/>
          <w:shd w:val="clear" w:color="auto" w:fill="FFFFFF"/>
        </w:rPr>
        <w:t> from giving C.A. his diploma. Now that </w:t>
      </w:r>
      <w:r w:rsidRPr="00C35105">
        <w:rPr>
          <w:color w:val="000000" w:themeColor="text1"/>
          <w:sz w:val="20"/>
          <w:szCs w:val="20"/>
          <w:bdr w:val="none" w:sz="0" w:space="0" w:color="auto" w:frame="1"/>
          <w:shd w:val="clear" w:color="auto" w:fill="FFFFFF"/>
        </w:rPr>
        <w:t>Dracut</w:t>
      </w:r>
      <w:r w:rsidRPr="00C35105">
        <w:rPr>
          <w:color w:val="000000" w:themeColor="text1"/>
          <w:sz w:val="20"/>
          <w:szCs w:val="20"/>
          <w:shd w:val="clear" w:color="auto" w:fill="FFFFFF"/>
        </w:rPr>
        <w:t> has issued the diploma, the proper remedy is compensatory services.</w:t>
      </w:r>
    </w:p>
    <w:p w14:paraId="30B4BD4B" w14:textId="0622DE7E" w:rsidR="003C31BC" w:rsidRPr="00C35105" w:rsidRDefault="003C31BC" w:rsidP="003C31BC">
      <w:pPr>
        <w:pStyle w:val="FootnoteText"/>
        <w:rPr>
          <w:color w:val="000000" w:themeColor="text1"/>
        </w:rPr>
      </w:pPr>
      <w:r w:rsidRPr="00BE1673">
        <w:rPr>
          <w:i/>
          <w:iCs/>
          <w:color w:val="000000" w:themeColor="text1"/>
          <w:bdr w:val="none" w:sz="0" w:space="0" w:color="auto" w:frame="1"/>
        </w:rPr>
        <w:t xml:space="preserve">Dracut Sch. Comm. v. Bureau of Special Educ. Appeals of the Massachusetts </w:t>
      </w:r>
      <w:r w:rsidRPr="00BE1673">
        <w:rPr>
          <w:i/>
          <w:iCs/>
          <w:color w:val="000000" w:themeColor="text1"/>
          <w:bdr w:val="none" w:sz="0" w:space="0" w:color="auto" w:frame="1"/>
        </w:rPr>
        <w:t>Dep't of Elementary &amp; Secondary Educ.</w:t>
      </w:r>
      <w:r w:rsidRPr="00BE1673">
        <w:rPr>
          <w:i/>
          <w:iCs/>
          <w:color w:val="000000" w:themeColor="text1"/>
        </w:rPr>
        <w:t>,</w:t>
      </w:r>
      <w:r w:rsidRPr="00BE1673">
        <w:rPr>
          <w:color w:val="000000" w:themeColor="text1"/>
        </w:rPr>
        <w:t xml:space="preserve"> 737 F. Supp. 2d 35, 55 (D. Mass. 2010)</w:t>
      </w:r>
    </w:p>
  </w:footnote>
  <w:footnote w:id="12">
    <w:p w14:paraId="142C2A6F" w14:textId="197AF68E" w:rsidR="00785322" w:rsidRPr="00C35105" w:rsidRDefault="00785322">
      <w:pPr>
        <w:pStyle w:val="FootnoteText"/>
        <w:rPr>
          <w:color w:val="000000" w:themeColor="text1"/>
        </w:rPr>
      </w:pPr>
      <w:r w:rsidRPr="00C35105">
        <w:rPr>
          <w:rStyle w:val="FootnoteReference"/>
          <w:color w:val="000000" w:themeColor="text1"/>
        </w:rPr>
        <w:footnoteRef/>
      </w:r>
      <w:r w:rsidRPr="00C35105">
        <w:rPr>
          <w:color w:val="000000" w:themeColor="text1"/>
        </w:rPr>
        <w:t xml:space="preserve"> </w:t>
      </w:r>
      <w:r w:rsidR="00EE4BAF" w:rsidRPr="00C35105">
        <w:rPr>
          <w:color w:val="000000" w:themeColor="text1"/>
        </w:rPr>
        <w:t xml:space="preserve">See </w:t>
      </w:r>
      <w:r w:rsidRPr="007A57CE">
        <w:rPr>
          <w:i/>
          <w:iCs/>
          <w:color w:val="000000" w:themeColor="text1"/>
        </w:rPr>
        <w:t xml:space="preserve">Dracut Sch. Comm. v. Bureau of Special Educ. Appeals of the Massachusetts </w:t>
      </w:r>
      <w:r w:rsidRPr="007A57CE">
        <w:rPr>
          <w:i/>
          <w:iCs/>
          <w:color w:val="000000" w:themeColor="text1"/>
        </w:rPr>
        <w:t>Dep't of Elementary &amp; Secondary Educ.,</w:t>
      </w:r>
      <w:r w:rsidRPr="007A57CE">
        <w:rPr>
          <w:color w:val="000000" w:themeColor="text1"/>
        </w:rPr>
        <w:t xml:space="preserve"> 737 F. Supp. 2d 35, 54 (D. Mass. 2010)</w:t>
      </w:r>
      <w:r w:rsidRPr="00C35105">
        <w:rPr>
          <w:color w:val="000000" w:themeColor="text1"/>
        </w:rPr>
        <w:t>.</w:t>
      </w:r>
    </w:p>
  </w:footnote>
  <w:footnote w:id="13">
    <w:p w14:paraId="4E9CA3B3" w14:textId="1D9E36A5" w:rsidR="0062246C" w:rsidRPr="00C35105" w:rsidRDefault="001A44A4" w:rsidP="0062246C">
      <w:pPr>
        <w:pStyle w:val="NormalWeb"/>
        <w:rPr>
          <w:sz w:val="20"/>
          <w:szCs w:val="20"/>
        </w:rPr>
      </w:pPr>
      <w:r w:rsidRPr="00C35105">
        <w:rPr>
          <w:rStyle w:val="FootnoteReference"/>
          <w:sz w:val="20"/>
          <w:szCs w:val="20"/>
        </w:rPr>
        <w:footnoteRef/>
      </w:r>
      <w:r w:rsidRPr="00C35105">
        <w:rPr>
          <w:sz w:val="20"/>
          <w:szCs w:val="20"/>
        </w:rPr>
        <w:t xml:space="preserve"> </w:t>
      </w:r>
      <w:r w:rsidR="0062246C" w:rsidRPr="00C35105">
        <w:rPr>
          <w:i/>
          <w:iCs/>
          <w:sz w:val="20"/>
          <w:szCs w:val="20"/>
        </w:rPr>
        <w:t>Quabbin Regional School District</w:t>
      </w:r>
      <w:r w:rsidR="00C35105" w:rsidRPr="00C35105">
        <w:rPr>
          <w:sz w:val="20"/>
          <w:szCs w:val="20"/>
        </w:rPr>
        <w:t xml:space="preserve">, </w:t>
      </w:r>
      <w:r w:rsidR="0062246C" w:rsidRPr="00C35105">
        <w:rPr>
          <w:sz w:val="20"/>
          <w:szCs w:val="20"/>
        </w:rPr>
        <w:t>BSEA # 05-3115 and 05-4356</w:t>
      </w:r>
      <w:r w:rsidR="00C35105" w:rsidRPr="00C35105">
        <w:rPr>
          <w:sz w:val="20"/>
          <w:szCs w:val="20"/>
        </w:rPr>
        <w:t>, (Crane, 2005); see also</w:t>
      </w:r>
    </w:p>
    <w:p w14:paraId="5FF7E893" w14:textId="6A40F193" w:rsidR="001A44A4" w:rsidRPr="00C35105" w:rsidRDefault="001A44A4" w:rsidP="001A44A4">
      <w:pPr>
        <w:pStyle w:val="NormalWeb"/>
        <w:rPr>
          <w:sz w:val="20"/>
          <w:szCs w:val="20"/>
        </w:rPr>
      </w:pPr>
      <w:r w:rsidRPr="00C35105">
        <w:rPr>
          <w:i/>
          <w:iCs/>
          <w:sz w:val="20"/>
          <w:szCs w:val="20"/>
        </w:rPr>
        <w:t xml:space="preserve">Yankton School District, </w:t>
      </w:r>
      <w:r w:rsidRPr="00C35105">
        <w:rPr>
          <w:sz w:val="20"/>
          <w:szCs w:val="20"/>
        </w:rPr>
        <w:t xml:space="preserve">21 IDELR 772 (South Dakota SEA 1994) ("transitional services such as are requested by TS's parents can stand alone as a special education program"). </w:t>
      </w:r>
    </w:p>
    <w:p w14:paraId="55CBFDE6" w14:textId="44A225F2" w:rsidR="001A44A4" w:rsidRPr="00C35105" w:rsidRDefault="001A44A4">
      <w:pPr>
        <w:pStyle w:val="FootnoteText"/>
      </w:pPr>
    </w:p>
  </w:footnote>
  <w:footnote w:id="14">
    <w:p w14:paraId="2681B157" w14:textId="77777777" w:rsidR="00515BC2" w:rsidRPr="00C35105" w:rsidRDefault="00515BC2" w:rsidP="00515BC2">
      <w:pPr>
        <w:pStyle w:val="FootnoteText"/>
        <w:rPr>
          <w:color w:val="000000" w:themeColor="text1"/>
        </w:rPr>
      </w:pPr>
      <w:r w:rsidRPr="00C35105">
        <w:rPr>
          <w:rStyle w:val="FootnoteReference"/>
          <w:color w:val="000000" w:themeColor="text1"/>
        </w:rPr>
        <w:footnoteRef/>
      </w:r>
      <w:r w:rsidRPr="00C35105">
        <w:rPr>
          <w:color w:val="000000" w:themeColor="text1"/>
        </w:rPr>
        <w:t>The BSEA is currently not holding in-person Hearings due to the COVID-10 pandemic.  If the situation remains the same by the Hearing dates, the Hearing will proceed virtually as scheduled unless either party files a motion to postpone and it is granted for good cause. Additional details regarding the virtual proceeding will be disseminated to the Parties as the Hearing Dates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8F4"/>
    <w:multiLevelType w:val="hybridMultilevel"/>
    <w:tmpl w:val="9E52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517ED"/>
    <w:multiLevelType w:val="hybridMultilevel"/>
    <w:tmpl w:val="ECC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3F"/>
    <w:multiLevelType w:val="hybridMultilevel"/>
    <w:tmpl w:val="6DA493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F24AD"/>
    <w:multiLevelType w:val="hybridMultilevel"/>
    <w:tmpl w:val="6DA493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FD"/>
    <w:rsid w:val="00011201"/>
    <w:rsid w:val="00023F98"/>
    <w:rsid w:val="00041710"/>
    <w:rsid w:val="000535E1"/>
    <w:rsid w:val="000554C4"/>
    <w:rsid w:val="00056B29"/>
    <w:rsid w:val="000619C7"/>
    <w:rsid w:val="000804CF"/>
    <w:rsid w:val="000A7F3D"/>
    <w:rsid w:val="000C5E81"/>
    <w:rsid w:val="000C67A7"/>
    <w:rsid w:val="000D5D59"/>
    <w:rsid w:val="000E3B96"/>
    <w:rsid w:val="000E4EDB"/>
    <w:rsid w:val="000F089A"/>
    <w:rsid w:val="00111CCB"/>
    <w:rsid w:val="00116353"/>
    <w:rsid w:val="001251F1"/>
    <w:rsid w:val="00142354"/>
    <w:rsid w:val="00184E9D"/>
    <w:rsid w:val="001A44A4"/>
    <w:rsid w:val="001B2F5D"/>
    <w:rsid w:val="001B4DFD"/>
    <w:rsid w:val="001D1F4F"/>
    <w:rsid w:val="00203D2D"/>
    <w:rsid w:val="00225069"/>
    <w:rsid w:val="00225E11"/>
    <w:rsid w:val="0023651B"/>
    <w:rsid w:val="00241961"/>
    <w:rsid w:val="00247D85"/>
    <w:rsid w:val="002514A4"/>
    <w:rsid w:val="0026610E"/>
    <w:rsid w:val="00280A14"/>
    <w:rsid w:val="00282A2B"/>
    <w:rsid w:val="0028588F"/>
    <w:rsid w:val="00286A35"/>
    <w:rsid w:val="002A2F08"/>
    <w:rsid w:val="002A5F47"/>
    <w:rsid w:val="002B1542"/>
    <w:rsid w:val="002C0A91"/>
    <w:rsid w:val="002C1888"/>
    <w:rsid w:val="002C4050"/>
    <w:rsid w:val="002D2BD0"/>
    <w:rsid w:val="002D335E"/>
    <w:rsid w:val="002D649D"/>
    <w:rsid w:val="002F4725"/>
    <w:rsid w:val="00304291"/>
    <w:rsid w:val="00351233"/>
    <w:rsid w:val="003711D7"/>
    <w:rsid w:val="003715B1"/>
    <w:rsid w:val="003844DB"/>
    <w:rsid w:val="0039723E"/>
    <w:rsid w:val="003A6515"/>
    <w:rsid w:val="003C31BC"/>
    <w:rsid w:val="003C4964"/>
    <w:rsid w:val="003D0AA2"/>
    <w:rsid w:val="003D7034"/>
    <w:rsid w:val="003E1D87"/>
    <w:rsid w:val="003F2666"/>
    <w:rsid w:val="003F3E60"/>
    <w:rsid w:val="003F5DF3"/>
    <w:rsid w:val="00440C20"/>
    <w:rsid w:val="00443C58"/>
    <w:rsid w:val="00450720"/>
    <w:rsid w:val="004509E9"/>
    <w:rsid w:val="00456DA6"/>
    <w:rsid w:val="00485ED1"/>
    <w:rsid w:val="004917ED"/>
    <w:rsid w:val="00492291"/>
    <w:rsid w:val="00497AFF"/>
    <w:rsid w:val="004B7D6C"/>
    <w:rsid w:val="004D4A3E"/>
    <w:rsid w:val="004E3D8C"/>
    <w:rsid w:val="004E6A17"/>
    <w:rsid w:val="00507ECC"/>
    <w:rsid w:val="0051346D"/>
    <w:rsid w:val="00515BC2"/>
    <w:rsid w:val="0054290A"/>
    <w:rsid w:val="00561C82"/>
    <w:rsid w:val="005630C2"/>
    <w:rsid w:val="00571DF9"/>
    <w:rsid w:val="0058103C"/>
    <w:rsid w:val="005D5E39"/>
    <w:rsid w:val="005E5C0D"/>
    <w:rsid w:val="005F5227"/>
    <w:rsid w:val="005F6901"/>
    <w:rsid w:val="00607CC5"/>
    <w:rsid w:val="00611D7A"/>
    <w:rsid w:val="00613D72"/>
    <w:rsid w:val="0062246C"/>
    <w:rsid w:val="006470DA"/>
    <w:rsid w:val="006474EA"/>
    <w:rsid w:val="00660D50"/>
    <w:rsid w:val="006617F4"/>
    <w:rsid w:val="0068361E"/>
    <w:rsid w:val="00686FA1"/>
    <w:rsid w:val="00692211"/>
    <w:rsid w:val="006927F1"/>
    <w:rsid w:val="00695C5B"/>
    <w:rsid w:val="006A4D47"/>
    <w:rsid w:val="006B6931"/>
    <w:rsid w:val="006B7F2B"/>
    <w:rsid w:val="006C66B5"/>
    <w:rsid w:val="006D61CF"/>
    <w:rsid w:val="006E0CD3"/>
    <w:rsid w:val="006E2C0D"/>
    <w:rsid w:val="006E50A0"/>
    <w:rsid w:val="006E5A88"/>
    <w:rsid w:val="006F7D42"/>
    <w:rsid w:val="00704D2A"/>
    <w:rsid w:val="00705737"/>
    <w:rsid w:val="00705F51"/>
    <w:rsid w:val="0072374E"/>
    <w:rsid w:val="00745266"/>
    <w:rsid w:val="00754884"/>
    <w:rsid w:val="00755221"/>
    <w:rsid w:val="00757C1A"/>
    <w:rsid w:val="00764EE0"/>
    <w:rsid w:val="007702B3"/>
    <w:rsid w:val="00777BEA"/>
    <w:rsid w:val="00780ADD"/>
    <w:rsid w:val="00781873"/>
    <w:rsid w:val="007837D8"/>
    <w:rsid w:val="00785322"/>
    <w:rsid w:val="007855D7"/>
    <w:rsid w:val="007A048E"/>
    <w:rsid w:val="007A57CE"/>
    <w:rsid w:val="007B383B"/>
    <w:rsid w:val="007B5669"/>
    <w:rsid w:val="007F2EA6"/>
    <w:rsid w:val="0080171E"/>
    <w:rsid w:val="00804160"/>
    <w:rsid w:val="00804A06"/>
    <w:rsid w:val="00815355"/>
    <w:rsid w:val="008160B3"/>
    <w:rsid w:val="00821C78"/>
    <w:rsid w:val="00822C4B"/>
    <w:rsid w:val="008340AD"/>
    <w:rsid w:val="008574A1"/>
    <w:rsid w:val="008651D2"/>
    <w:rsid w:val="00870CCD"/>
    <w:rsid w:val="00896C26"/>
    <w:rsid w:val="00897322"/>
    <w:rsid w:val="008B2C61"/>
    <w:rsid w:val="008C2DA4"/>
    <w:rsid w:val="008C5A7E"/>
    <w:rsid w:val="008D76EA"/>
    <w:rsid w:val="008E1184"/>
    <w:rsid w:val="008E34E7"/>
    <w:rsid w:val="008E4DB4"/>
    <w:rsid w:val="008E6E49"/>
    <w:rsid w:val="008F69A2"/>
    <w:rsid w:val="008F6BEA"/>
    <w:rsid w:val="008F6BEF"/>
    <w:rsid w:val="00902F72"/>
    <w:rsid w:val="00904A16"/>
    <w:rsid w:val="00921D92"/>
    <w:rsid w:val="009229E6"/>
    <w:rsid w:val="00925171"/>
    <w:rsid w:val="00937075"/>
    <w:rsid w:val="00941A89"/>
    <w:rsid w:val="009478F7"/>
    <w:rsid w:val="009517E5"/>
    <w:rsid w:val="009567DD"/>
    <w:rsid w:val="00965658"/>
    <w:rsid w:val="0096691F"/>
    <w:rsid w:val="00971088"/>
    <w:rsid w:val="009747BA"/>
    <w:rsid w:val="009847D6"/>
    <w:rsid w:val="009900EE"/>
    <w:rsid w:val="00992543"/>
    <w:rsid w:val="009945B8"/>
    <w:rsid w:val="00995BC3"/>
    <w:rsid w:val="009A1D5D"/>
    <w:rsid w:val="009A36A7"/>
    <w:rsid w:val="009A7377"/>
    <w:rsid w:val="009B4F7F"/>
    <w:rsid w:val="009D0508"/>
    <w:rsid w:val="009D514E"/>
    <w:rsid w:val="009E443D"/>
    <w:rsid w:val="009E5604"/>
    <w:rsid w:val="009F374F"/>
    <w:rsid w:val="009F6214"/>
    <w:rsid w:val="00A00B04"/>
    <w:rsid w:val="00A03938"/>
    <w:rsid w:val="00A04B8C"/>
    <w:rsid w:val="00A06E2F"/>
    <w:rsid w:val="00A25DC8"/>
    <w:rsid w:val="00A31053"/>
    <w:rsid w:val="00A42C22"/>
    <w:rsid w:val="00A74044"/>
    <w:rsid w:val="00A75264"/>
    <w:rsid w:val="00A914FA"/>
    <w:rsid w:val="00A95B28"/>
    <w:rsid w:val="00AA442E"/>
    <w:rsid w:val="00AB38A6"/>
    <w:rsid w:val="00AB42C7"/>
    <w:rsid w:val="00AE69F5"/>
    <w:rsid w:val="00AF7C51"/>
    <w:rsid w:val="00B016EF"/>
    <w:rsid w:val="00B154F8"/>
    <w:rsid w:val="00B20DBE"/>
    <w:rsid w:val="00B279DF"/>
    <w:rsid w:val="00B304C0"/>
    <w:rsid w:val="00B344ED"/>
    <w:rsid w:val="00B418FD"/>
    <w:rsid w:val="00B42BBF"/>
    <w:rsid w:val="00B6249E"/>
    <w:rsid w:val="00B76372"/>
    <w:rsid w:val="00B80A85"/>
    <w:rsid w:val="00B908C3"/>
    <w:rsid w:val="00BA6B7B"/>
    <w:rsid w:val="00BB6772"/>
    <w:rsid w:val="00BD4BBE"/>
    <w:rsid w:val="00BD6282"/>
    <w:rsid w:val="00BE048C"/>
    <w:rsid w:val="00BE1673"/>
    <w:rsid w:val="00BE4EC4"/>
    <w:rsid w:val="00BF4BE5"/>
    <w:rsid w:val="00C073B4"/>
    <w:rsid w:val="00C0793D"/>
    <w:rsid w:val="00C07A79"/>
    <w:rsid w:val="00C11942"/>
    <w:rsid w:val="00C14A70"/>
    <w:rsid w:val="00C174F7"/>
    <w:rsid w:val="00C21743"/>
    <w:rsid w:val="00C31071"/>
    <w:rsid w:val="00C35105"/>
    <w:rsid w:val="00C36B6F"/>
    <w:rsid w:val="00C425B0"/>
    <w:rsid w:val="00C45249"/>
    <w:rsid w:val="00C47075"/>
    <w:rsid w:val="00C510DE"/>
    <w:rsid w:val="00C5305C"/>
    <w:rsid w:val="00C634DE"/>
    <w:rsid w:val="00C6755E"/>
    <w:rsid w:val="00C70FC5"/>
    <w:rsid w:val="00C75EE4"/>
    <w:rsid w:val="00C8223B"/>
    <w:rsid w:val="00CA240D"/>
    <w:rsid w:val="00CA26AA"/>
    <w:rsid w:val="00CA7452"/>
    <w:rsid w:val="00CC7BF5"/>
    <w:rsid w:val="00CD4B03"/>
    <w:rsid w:val="00CE503B"/>
    <w:rsid w:val="00CF0D2A"/>
    <w:rsid w:val="00D036D1"/>
    <w:rsid w:val="00D10D63"/>
    <w:rsid w:val="00D151B9"/>
    <w:rsid w:val="00D24502"/>
    <w:rsid w:val="00D253C2"/>
    <w:rsid w:val="00D25CD0"/>
    <w:rsid w:val="00D31EDB"/>
    <w:rsid w:val="00D32256"/>
    <w:rsid w:val="00D345E4"/>
    <w:rsid w:val="00D77A98"/>
    <w:rsid w:val="00D84384"/>
    <w:rsid w:val="00D858A5"/>
    <w:rsid w:val="00D877B6"/>
    <w:rsid w:val="00D91993"/>
    <w:rsid w:val="00D91F98"/>
    <w:rsid w:val="00D97E25"/>
    <w:rsid w:val="00DA5111"/>
    <w:rsid w:val="00DB744C"/>
    <w:rsid w:val="00DC5C2A"/>
    <w:rsid w:val="00DD22D5"/>
    <w:rsid w:val="00DD7741"/>
    <w:rsid w:val="00DE1D1A"/>
    <w:rsid w:val="00DF2050"/>
    <w:rsid w:val="00DF491C"/>
    <w:rsid w:val="00E06DFE"/>
    <w:rsid w:val="00E43CF9"/>
    <w:rsid w:val="00E5123E"/>
    <w:rsid w:val="00E51515"/>
    <w:rsid w:val="00E72186"/>
    <w:rsid w:val="00E954C8"/>
    <w:rsid w:val="00EB49BA"/>
    <w:rsid w:val="00EE4BAF"/>
    <w:rsid w:val="00F00723"/>
    <w:rsid w:val="00F10015"/>
    <w:rsid w:val="00F113BD"/>
    <w:rsid w:val="00F23404"/>
    <w:rsid w:val="00F2503B"/>
    <w:rsid w:val="00F25D5A"/>
    <w:rsid w:val="00F539CE"/>
    <w:rsid w:val="00F611E8"/>
    <w:rsid w:val="00F65143"/>
    <w:rsid w:val="00F738E9"/>
    <w:rsid w:val="00F81EDD"/>
    <w:rsid w:val="00F91059"/>
    <w:rsid w:val="00FB561B"/>
    <w:rsid w:val="00FD40C4"/>
    <w:rsid w:val="00FD71BF"/>
    <w:rsid w:val="00FE5CE4"/>
    <w:rsid w:val="00FF078F"/>
    <w:rsid w:val="00FF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35F9"/>
  <w15:chartTrackingRefBased/>
  <w15:docId w15:val="{BCE71A4B-494C-7E43-B5EA-2240080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02"/>
    <w:rPr>
      <w:rFonts w:ascii="Times New Roman" w:eastAsia="Times New Roman" w:hAnsi="Times New Roman" w:cs="Times New Roman"/>
    </w:rPr>
  </w:style>
  <w:style w:type="paragraph" w:styleId="Heading1">
    <w:name w:val="heading 1"/>
    <w:basedOn w:val="Normal"/>
    <w:next w:val="Normal"/>
    <w:link w:val="Heading1Char"/>
    <w:uiPriority w:val="9"/>
    <w:qFormat/>
    <w:rsid w:val="006224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4DFD"/>
    <w:rPr>
      <w:sz w:val="20"/>
      <w:szCs w:val="20"/>
    </w:rPr>
  </w:style>
  <w:style w:type="character" w:customStyle="1" w:styleId="FootnoteTextChar">
    <w:name w:val="Footnote Text Char"/>
    <w:basedOn w:val="DefaultParagraphFont"/>
    <w:link w:val="FootnoteText"/>
    <w:uiPriority w:val="99"/>
    <w:rsid w:val="001B4DFD"/>
    <w:rPr>
      <w:sz w:val="20"/>
      <w:szCs w:val="20"/>
    </w:rPr>
  </w:style>
  <w:style w:type="character" w:styleId="FootnoteReference">
    <w:name w:val="footnote reference"/>
    <w:basedOn w:val="DefaultParagraphFont"/>
    <w:uiPriority w:val="99"/>
    <w:unhideWhenUsed/>
    <w:rsid w:val="001B4DFD"/>
    <w:rPr>
      <w:vertAlign w:val="superscript"/>
    </w:rPr>
  </w:style>
  <w:style w:type="paragraph" w:styleId="ListParagraph">
    <w:name w:val="List Paragraph"/>
    <w:basedOn w:val="Normal"/>
    <w:uiPriority w:val="34"/>
    <w:qFormat/>
    <w:rsid w:val="003711D7"/>
    <w:pPr>
      <w:ind w:left="720"/>
      <w:contextualSpacing/>
    </w:pPr>
  </w:style>
  <w:style w:type="character" w:styleId="SubtleEmphasis">
    <w:name w:val="Subtle Emphasis"/>
    <w:basedOn w:val="DefaultParagraphFont"/>
    <w:uiPriority w:val="19"/>
    <w:qFormat/>
    <w:rsid w:val="00897322"/>
    <w:rPr>
      <w:i/>
      <w:iCs/>
      <w:color w:val="404040" w:themeColor="text1" w:themeTint="BF"/>
    </w:rPr>
  </w:style>
  <w:style w:type="paragraph" w:styleId="NormalWeb">
    <w:name w:val="Normal (Web)"/>
    <w:basedOn w:val="Normal"/>
    <w:uiPriority w:val="99"/>
    <w:unhideWhenUsed/>
    <w:rsid w:val="008E1184"/>
  </w:style>
  <w:style w:type="character" w:styleId="Hyperlink">
    <w:name w:val="Hyperlink"/>
    <w:basedOn w:val="DefaultParagraphFont"/>
    <w:uiPriority w:val="99"/>
    <w:unhideWhenUsed/>
    <w:rsid w:val="008E1184"/>
    <w:rPr>
      <w:color w:val="0563C1" w:themeColor="hyperlink"/>
      <w:u w:val="single"/>
    </w:rPr>
  </w:style>
  <w:style w:type="character" w:styleId="UnresolvedMention">
    <w:name w:val="Unresolved Mention"/>
    <w:basedOn w:val="DefaultParagraphFont"/>
    <w:uiPriority w:val="99"/>
    <w:semiHidden/>
    <w:unhideWhenUsed/>
    <w:rsid w:val="008E1184"/>
    <w:rPr>
      <w:color w:val="605E5C"/>
      <w:shd w:val="clear" w:color="auto" w:fill="E1DFDD"/>
    </w:rPr>
  </w:style>
  <w:style w:type="character" w:customStyle="1" w:styleId="apple-converted-space">
    <w:name w:val="apple-converted-space"/>
    <w:basedOn w:val="DefaultParagraphFont"/>
    <w:rsid w:val="002C1888"/>
  </w:style>
  <w:style w:type="character" w:styleId="Emphasis">
    <w:name w:val="Emphasis"/>
    <w:uiPriority w:val="20"/>
    <w:qFormat/>
    <w:rsid w:val="002C1888"/>
    <w:rPr>
      <w:i/>
      <w:iCs/>
    </w:rPr>
  </w:style>
  <w:style w:type="character" w:customStyle="1" w:styleId="coconcept16">
    <w:name w:val="co_concept_1_6"/>
    <w:basedOn w:val="DefaultParagraphFont"/>
    <w:rsid w:val="004D4A3E"/>
  </w:style>
  <w:style w:type="character" w:customStyle="1" w:styleId="Heading1Char">
    <w:name w:val="Heading 1 Char"/>
    <w:basedOn w:val="DefaultParagraphFont"/>
    <w:link w:val="Heading1"/>
    <w:uiPriority w:val="9"/>
    <w:rsid w:val="006224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623">
      <w:bodyDiv w:val="1"/>
      <w:marLeft w:val="0"/>
      <w:marRight w:val="0"/>
      <w:marTop w:val="0"/>
      <w:marBottom w:val="0"/>
      <w:divBdr>
        <w:top w:val="none" w:sz="0" w:space="0" w:color="auto"/>
        <w:left w:val="none" w:sz="0" w:space="0" w:color="auto"/>
        <w:bottom w:val="none" w:sz="0" w:space="0" w:color="auto"/>
        <w:right w:val="none" w:sz="0" w:space="0" w:color="auto"/>
      </w:divBdr>
    </w:div>
    <w:div w:id="403143584">
      <w:bodyDiv w:val="1"/>
      <w:marLeft w:val="0"/>
      <w:marRight w:val="0"/>
      <w:marTop w:val="0"/>
      <w:marBottom w:val="0"/>
      <w:divBdr>
        <w:top w:val="none" w:sz="0" w:space="0" w:color="auto"/>
        <w:left w:val="none" w:sz="0" w:space="0" w:color="auto"/>
        <w:bottom w:val="none" w:sz="0" w:space="0" w:color="auto"/>
        <w:right w:val="none" w:sz="0" w:space="0" w:color="auto"/>
      </w:divBdr>
    </w:div>
    <w:div w:id="43479256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20458351">
      <w:bodyDiv w:val="1"/>
      <w:marLeft w:val="0"/>
      <w:marRight w:val="0"/>
      <w:marTop w:val="0"/>
      <w:marBottom w:val="0"/>
      <w:divBdr>
        <w:top w:val="none" w:sz="0" w:space="0" w:color="auto"/>
        <w:left w:val="none" w:sz="0" w:space="0" w:color="auto"/>
        <w:bottom w:val="none" w:sz="0" w:space="0" w:color="auto"/>
        <w:right w:val="none" w:sz="0" w:space="0" w:color="auto"/>
      </w:divBdr>
      <w:divsChild>
        <w:div w:id="1399405630">
          <w:marLeft w:val="0"/>
          <w:marRight w:val="0"/>
          <w:marTop w:val="0"/>
          <w:marBottom w:val="0"/>
          <w:divBdr>
            <w:top w:val="none" w:sz="0" w:space="0" w:color="auto"/>
            <w:left w:val="none" w:sz="0" w:space="0" w:color="auto"/>
            <w:bottom w:val="none" w:sz="0" w:space="0" w:color="auto"/>
            <w:right w:val="none" w:sz="0" w:space="0" w:color="auto"/>
          </w:divBdr>
          <w:divsChild>
            <w:div w:id="2127265032">
              <w:marLeft w:val="0"/>
              <w:marRight w:val="0"/>
              <w:marTop w:val="0"/>
              <w:marBottom w:val="0"/>
              <w:divBdr>
                <w:top w:val="none" w:sz="0" w:space="0" w:color="auto"/>
                <w:left w:val="none" w:sz="0" w:space="0" w:color="auto"/>
                <w:bottom w:val="none" w:sz="0" w:space="0" w:color="auto"/>
                <w:right w:val="none" w:sz="0" w:space="0" w:color="auto"/>
              </w:divBdr>
              <w:divsChild>
                <w:div w:id="16985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1603">
      <w:bodyDiv w:val="1"/>
      <w:marLeft w:val="0"/>
      <w:marRight w:val="0"/>
      <w:marTop w:val="0"/>
      <w:marBottom w:val="0"/>
      <w:divBdr>
        <w:top w:val="none" w:sz="0" w:space="0" w:color="auto"/>
        <w:left w:val="none" w:sz="0" w:space="0" w:color="auto"/>
        <w:bottom w:val="none" w:sz="0" w:space="0" w:color="auto"/>
        <w:right w:val="none" w:sz="0" w:space="0" w:color="auto"/>
      </w:divBdr>
    </w:div>
    <w:div w:id="797143050">
      <w:bodyDiv w:val="1"/>
      <w:marLeft w:val="0"/>
      <w:marRight w:val="0"/>
      <w:marTop w:val="0"/>
      <w:marBottom w:val="0"/>
      <w:divBdr>
        <w:top w:val="none" w:sz="0" w:space="0" w:color="auto"/>
        <w:left w:val="none" w:sz="0" w:space="0" w:color="auto"/>
        <w:bottom w:val="none" w:sz="0" w:space="0" w:color="auto"/>
        <w:right w:val="none" w:sz="0" w:space="0" w:color="auto"/>
      </w:divBdr>
      <w:divsChild>
        <w:div w:id="2055500456">
          <w:marLeft w:val="0"/>
          <w:marRight w:val="0"/>
          <w:marTop w:val="0"/>
          <w:marBottom w:val="0"/>
          <w:divBdr>
            <w:top w:val="none" w:sz="0" w:space="0" w:color="auto"/>
            <w:left w:val="none" w:sz="0" w:space="0" w:color="auto"/>
            <w:bottom w:val="none" w:sz="0" w:space="0" w:color="auto"/>
            <w:right w:val="none" w:sz="0" w:space="0" w:color="auto"/>
          </w:divBdr>
        </w:div>
      </w:divsChild>
    </w:div>
    <w:div w:id="931544746">
      <w:bodyDiv w:val="1"/>
      <w:marLeft w:val="0"/>
      <w:marRight w:val="0"/>
      <w:marTop w:val="0"/>
      <w:marBottom w:val="0"/>
      <w:divBdr>
        <w:top w:val="none" w:sz="0" w:space="0" w:color="auto"/>
        <w:left w:val="none" w:sz="0" w:space="0" w:color="auto"/>
        <w:bottom w:val="none" w:sz="0" w:space="0" w:color="auto"/>
        <w:right w:val="none" w:sz="0" w:space="0" w:color="auto"/>
      </w:divBdr>
    </w:div>
    <w:div w:id="1011952188">
      <w:bodyDiv w:val="1"/>
      <w:marLeft w:val="0"/>
      <w:marRight w:val="0"/>
      <w:marTop w:val="0"/>
      <w:marBottom w:val="0"/>
      <w:divBdr>
        <w:top w:val="none" w:sz="0" w:space="0" w:color="auto"/>
        <w:left w:val="none" w:sz="0" w:space="0" w:color="auto"/>
        <w:bottom w:val="none" w:sz="0" w:space="0" w:color="auto"/>
        <w:right w:val="none" w:sz="0" w:space="0" w:color="auto"/>
      </w:divBdr>
    </w:div>
    <w:div w:id="1060404113">
      <w:bodyDiv w:val="1"/>
      <w:marLeft w:val="0"/>
      <w:marRight w:val="0"/>
      <w:marTop w:val="0"/>
      <w:marBottom w:val="0"/>
      <w:divBdr>
        <w:top w:val="none" w:sz="0" w:space="0" w:color="auto"/>
        <w:left w:val="none" w:sz="0" w:space="0" w:color="auto"/>
        <w:bottom w:val="none" w:sz="0" w:space="0" w:color="auto"/>
        <w:right w:val="none" w:sz="0" w:space="0" w:color="auto"/>
      </w:divBdr>
      <w:divsChild>
        <w:div w:id="1760758806">
          <w:marLeft w:val="0"/>
          <w:marRight w:val="0"/>
          <w:marTop w:val="0"/>
          <w:marBottom w:val="0"/>
          <w:divBdr>
            <w:top w:val="none" w:sz="0" w:space="0" w:color="auto"/>
            <w:left w:val="none" w:sz="0" w:space="0" w:color="auto"/>
            <w:bottom w:val="none" w:sz="0" w:space="0" w:color="auto"/>
            <w:right w:val="none" w:sz="0" w:space="0" w:color="auto"/>
          </w:divBdr>
          <w:divsChild>
            <w:div w:id="1973554333">
              <w:marLeft w:val="0"/>
              <w:marRight w:val="0"/>
              <w:marTop w:val="0"/>
              <w:marBottom w:val="0"/>
              <w:divBdr>
                <w:top w:val="none" w:sz="0" w:space="0" w:color="auto"/>
                <w:left w:val="none" w:sz="0" w:space="0" w:color="auto"/>
                <w:bottom w:val="none" w:sz="0" w:space="0" w:color="auto"/>
                <w:right w:val="none" w:sz="0" w:space="0" w:color="auto"/>
              </w:divBdr>
              <w:divsChild>
                <w:div w:id="10318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7079">
      <w:bodyDiv w:val="1"/>
      <w:marLeft w:val="0"/>
      <w:marRight w:val="0"/>
      <w:marTop w:val="0"/>
      <w:marBottom w:val="0"/>
      <w:divBdr>
        <w:top w:val="none" w:sz="0" w:space="0" w:color="auto"/>
        <w:left w:val="none" w:sz="0" w:space="0" w:color="auto"/>
        <w:bottom w:val="none" w:sz="0" w:space="0" w:color="auto"/>
        <w:right w:val="none" w:sz="0" w:space="0" w:color="auto"/>
      </w:divBdr>
    </w:div>
    <w:div w:id="1411537760">
      <w:bodyDiv w:val="1"/>
      <w:marLeft w:val="0"/>
      <w:marRight w:val="0"/>
      <w:marTop w:val="0"/>
      <w:marBottom w:val="0"/>
      <w:divBdr>
        <w:top w:val="none" w:sz="0" w:space="0" w:color="auto"/>
        <w:left w:val="none" w:sz="0" w:space="0" w:color="auto"/>
        <w:bottom w:val="none" w:sz="0" w:space="0" w:color="auto"/>
        <w:right w:val="none" w:sz="0" w:space="0" w:color="auto"/>
      </w:divBdr>
      <w:divsChild>
        <w:div w:id="1799489759">
          <w:marLeft w:val="0"/>
          <w:marRight w:val="0"/>
          <w:marTop w:val="0"/>
          <w:marBottom w:val="0"/>
          <w:divBdr>
            <w:top w:val="none" w:sz="0" w:space="0" w:color="auto"/>
            <w:left w:val="none" w:sz="0" w:space="0" w:color="auto"/>
            <w:bottom w:val="none" w:sz="0" w:space="0" w:color="auto"/>
            <w:right w:val="none" w:sz="0" w:space="0" w:color="auto"/>
          </w:divBdr>
        </w:div>
      </w:divsChild>
    </w:div>
    <w:div w:id="1454786747">
      <w:bodyDiv w:val="1"/>
      <w:marLeft w:val="0"/>
      <w:marRight w:val="0"/>
      <w:marTop w:val="0"/>
      <w:marBottom w:val="0"/>
      <w:divBdr>
        <w:top w:val="none" w:sz="0" w:space="0" w:color="auto"/>
        <w:left w:val="none" w:sz="0" w:space="0" w:color="auto"/>
        <w:bottom w:val="none" w:sz="0" w:space="0" w:color="auto"/>
        <w:right w:val="none" w:sz="0" w:space="0" w:color="auto"/>
      </w:divBdr>
    </w:div>
    <w:div w:id="1808626258">
      <w:bodyDiv w:val="1"/>
      <w:marLeft w:val="0"/>
      <w:marRight w:val="0"/>
      <w:marTop w:val="0"/>
      <w:marBottom w:val="0"/>
      <w:divBdr>
        <w:top w:val="none" w:sz="0" w:space="0" w:color="auto"/>
        <w:left w:val="none" w:sz="0" w:space="0" w:color="auto"/>
        <w:bottom w:val="none" w:sz="0" w:space="0" w:color="auto"/>
        <w:right w:val="none" w:sz="0" w:space="0" w:color="auto"/>
      </w:divBdr>
    </w:div>
    <w:div w:id="1995210379">
      <w:bodyDiv w:val="1"/>
      <w:marLeft w:val="0"/>
      <w:marRight w:val="0"/>
      <w:marTop w:val="0"/>
      <w:marBottom w:val="0"/>
      <w:divBdr>
        <w:top w:val="none" w:sz="0" w:space="0" w:color="auto"/>
        <w:left w:val="none" w:sz="0" w:space="0" w:color="auto"/>
        <w:bottom w:val="none" w:sz="0" w:space="0" w:color="auto"/>
        <w:right w:val="none" w:sz="0" w:space="0" w:color="auto"/>
      </w:divBdr>
    </w:div>
    <w:div w:id="2125806289">
      <w:bodyDiv w:val="1"/>
      <w:marLeft w:val="0"/>
      <w:marRight w:val="0"/>
      <w:marTop w:val="0"/>
      <w:marBottom w:val="0"/>
      <w:divBdr>
        <w:top w:val="none" w:sz="0" w:space="0" w:color="auto"/>
        <w:left w:val="none" w:sz="0" w:space="0" w:color="auto"/>
        <w:bottom w:val="none" w:sz="0" w:space="0" w:color="auto"/>
        <w:right w:val="none" w:sz="0" w:space="0" w:color="auto"/>
      </w:divBdr>
      <w:divsChild>
        <w:div w:id="1866094751">
          <w:marLeft w:val="0"/>
          <w:marRight w:val="0"/>
          <w:marTop w:val="0"/>
          <w:marBottom w:val="0"/>
          <w:divBdr>
            <w:top w:val="none" w:sz="0" w:space="0" w:color="auto"/>
            <w:left w:val="none" w:sz="0" w:space="0" w:color="auto"/>
            <w:bottom w:val="none" w:sz="0" w:space="0" w:color="auto"/>
            <w:right w:val="none" w:sz="0" w:space="0" w:color="auto"/>
          </w:divBdr>
          <w:divsChild>
            <w:div w:id="1506478087">
              <w:marLeft w:val="0"/>
              <w:marRight w:val="0"/>
              <w:marTop w:val="0"/>
              <w:marBottom w:val="0"/>
              <w:divBdr>
                <w:top w:val="none" w:sz="0" w:space="0" w:color="auto"/>
                <w:left w:val="none" w:sz="0" w:space="0" w:color="auto"/>
                <w:bottom w:val="none" w:sz="0" w:space="0" w:color="auto"/>
                <w:right w:val="none" w:sz="0" w:space="0" w:color="auto"/>
              </w:divBdr>
              <w:divsChild>
                <w:div w:id="7986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os@dorisw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A75C-0FC0-DE41-9A46-03D6915B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2021-06-23T22:40:00Z</cp:lastPrinted>
  <dcterms:created xsi:type="dcterms:W3CDTF">2021-06-24T14:55:00Z</dcterms:created>
  <dcterms:modified xsi:type="dcterms:W3CDTF">2021-06-24T14:55:00Z</dcterms:modified>
</cp:coreProperties>
</file>