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3D" w:rsidRPr="00466F90" w:rsidRDefault="00C8763D" w:rsidP="00416ED0">
      <w:pPr>
        <w:jc w:val="center"/>
        <w:rPr>
          <w:b/>
          <w:color w:val="000000" w:themeColor="text1"/>
        </w:rPr>
      </w:pPr>
      <w:r w:rsidRPr="00466F90">
        <w:rPr>
          <w:b/>
          <w:color w:val="000000" w:themeColor="text1"/>
        </w:rPr>
        <w:t>COMMONWEALTH OF MASSACHUSETTS</w:t>
      </w:r>
    </w:p>
    <w:p w:rsidR="00C8763D" w:rsidRPr="00466F90" w:rsidRDefault="00C8763D" w:rsidP="00416ED0">
      <w:pPr>
        <w:jc w:val="center"/>
        <w:rPr>
          <w:b/>
          <w:color w:val="000000" w:themeColor="text1"/>
        </w:rPr>
      </w:pPr>
      <w:r w:rsidRPr="00466F90">
        <w:rPr>
          <w:b/>
          <w:color w:val="000000" w:themeColor="text1"/>
        </w:rPr>
        <w:t>DIVISION OF ADMINISTRATIVE LAW APPEALS</w:t>
      </w:r>
    </w:p>
    <w:p w:rsidR="00C8763D" w:rsidRPr="00466F90" w:rsidRDefault="00C8763D" w:rsidP="00416ED0">
      <w:pPr>
        <w:jc w:val="center"/>
        <w:rPr>
          <w:b/>
          <w:color w:val="000000" w:themeColor="text1"/>
        </w:rPr>
      </w:pPr>
      <w:r w:rsidRPr="00466F90">
        <w:rPr>
          <w:b/>
          <w:color w:val="000000" w:themeColor="text1"/>
        </w:rPr>
        <w:t>BUREAU OF SPECIAL EDUCATION APPEALS</w:t>
      </w:r>
    </w:p>
    <w:p w:rsidR="00C8763D" w:rsidRPr="00466F90" w:rsidRDefault="00C8763D" w:rsidP="00416ED0">
      <w:pPr>
        <w:rPr>
          <w:color w:val="000000" w:themeColor="text1"/>
        </w:rPr>
      </w:pPr>
    </w:p>
    <w:p w:rsidR="00C8763D" w:rsidRPr="00466F90" w:rsidRDefault="00C8763D" w:rsidP="00416ED0">
      <w:pPr>
        <w:rPr>
          <w:color w:val="000000" w:themeColor="text1"/>
        </w:rPr>
      </w:pPr>
      <w:r w:rsidRPr="00466F90">
        <w:rPr>
          <w:b/>
          <w:color w:val="000000" w:themeColor="text1"/>
        </w:rPr>
        <w:t>In Re</w:t>
      </w:r>
      <w:r w:rsidRPr="00466F90">
        <w:rPr>
          <w:color w:val="000000" w:themeColor="text1"/>
        </w:rPr>
        <w:t xml:space="preserve">:   </w:t>
      </w:r>
      <w:r w:rsidR="009F43BA" w:rsidRPr="00466F90">
        <w:rPr>
          <w:color w:val="000000" w:themeColor="text1"/>
        </w:rPr>
        <w:t>Student</w:t>
      </w:r>
      <w:r w:rsidR="00CA6EB4" w:rsidRPr="00466F90">
        <w:rPr>
          <w:color w:val="000000" w:themeColor="text1"/>
        </w:rPr>
        <w:t xml:space="preserve"> </w:t>
      </w:r>
      <w:r w:rsidRPr="00466F90">
        <w:rPr>
          <w:color w:val="000000" w:themeColor="text1"/>
        </w:rPr>
        <w:t>v.</w:t>
      </w:r>
      <w:r w:rsidR="00CD3352" w:rsidRPr="00466F90">
        <w:rPr>
          <w:color w:val="000000" w:themeColor="text1"/>
        </w:rPr>
        <w:t xml:space="preserve"> Westfield Public Schools</w:t>
      </w:r>
      <w:r w:rsidRPr="00466F90">
        <w:rPr>
          <w:color w:val="000000" w:themeColor="text1"/>
        </w:rPr>
        <w:tab/>
      </w:r>
      <w:r w:rsidRPr="00466F90">
        <w:rPr>
          <w:color w:val="000000" w:themeColor="text1"/>
        </w:rPr>
        <w:tab/>
      </w:r>
      <w:r w:rsidRPr="00466F90">
        <w:rPr>
          <w:color w:val="000000" w:themeColor="text1"/>
        </w:rPr>
        <w:tab/>
      </w:r>
      <w:r w:rsidRPr="00466F90">
        <w:rPr>
          <w:color w:val="000000" w:themeColor="text1"/>
        </w:rPr>
        <w:tab/>
      </w:r>
      <w:r w:rsidRPr="00466F90">
        <w:rPr>
          <w:color w:val="000000" w:themeColor="text1"/>
        </w:rPr>
        <w:tab/>
      </w:r>
      <w:r w:rsidRPr="00466F90">
        <w:rPr>
          <w:b/>
          <w:color w:val="000000" w:themeColor="text1"/>
        </w:rPr>
        <w:t>BSEA #</w:t>
      </w:r>
      <w:r w:rsidR="0035071C" w:rsidRPr="00466F90">
        <w:rPr>
          <w:b/>
          <w:color w:val="000000" w:themeColor="text1"/>
        </w:rPr>
        <w:t xml:space="preserve"> </w:t>
      </w:r>
      <w:r w:rsidR="00022210" w:rsidRPr="00466F90">
        <w:rPr>
          <w:b/>
          <w:color w:val="000000" w:themeColor="text1"/>
        </w:rPr>
        <w:t xml:space="preserve"> </w:t>
      </w:r>
      <w:r w:rsidR="00CD3352" w:rsidRPr="00466F90">
        <w:rPr>
          <w:bCs/>
          <w:color w:val="000000" w:themeColor="text1"/>
        </w:rPr>
        <w:t>2200773</w:t>
      </w:r>
    </w:p>
    <w:p w:rsidR="00C8763D" w:rsidRPr="00466F90" w:rsidRDefault="00C8763D" w:rsidP="00C4014B">
      <w:pPr>
        <w:rPr>
          <w:color w:val="000000" w:themeColor="text1"/>
        </w:rPr>
      </w:pPr>
      <w:r w:rsidRPr="00466F90">
        <w:rPr>
          <w:color w:val="000000" w:themeColor="text1"/>
        </w:rPr>
        <w:tab/>
        <w:t xml:space="preserve">  </w:t>
      </w:r>
      <w:r w:rsidR="0035071C" w:rsidRPr="00466F90">
        <w:rPr>
          <w:color w:val="000000" w:themeColor="text1"/>
        </w:rPr>
        <w:t xml:space="preserve"> </w:t>
      </w:r>
    </w:p>
    <w:p w:rsidR="00C8763D" w:rsidRPr="00466F90" w:rsidRDefault="00C8763D" w:rsidP="00C4014B">
      <w:pPr>
        <w:rPr>
          <w:color w:val="000000" w:themeColor="text1"/>
        </w:rPr>
      </w:pPr>
    </w:p>
    <w:p w:rsidR="00C8763D" w:rsidRPr="00466F90" w:rsidRDefault="00C8763D" w:rsidP="00C4014B">
      <w:pPr>
        <w:jc w:val="center"/>
        <w:rPr>
          <w:b/>
          <w:color w:val="000000" w:themeColor="text1"/>
        </w:rPr>
      </w:pPr>
      <w:r w:rsidRPr="00466F90">
        <w:rPr>
          <w:b/>
          <w:color w:val="000000" w:themeColor="text1"/>
        </w:rPr>
        <w:t xml:space="preserve">RULING ON </w:t>
      </w:r>
      <w:r w:rsidR="00CD3352" w:rsidRPr="00466F90">
        <w:rPr>
          <w:b/>
          <w:color w:val="000000" w:themeColor="text1"/>
        </w:rPr>
        <w:t>WESTFIELD</w:t>
      </w:r>
      <w:r w:rsidRPr="00466F90">
        <w:rPr>
          <w:b/>
          <w:color w:val="000000" w:themeColor="text1"/>
        </w:rPr>
        <w:t xml:space="preserve"> PUBLIC SCHOOLS’ MOTION TO JOIN </w:t>
      </w:r>
    </w:p>
    <w:p w:rsidR="00C8763D" w:rsidRPr="00466F90" w:rsidRDefault="0035071C" w:rsidP="00C4014B">
      <w:pPr>
        <w:jc w:val="center"/>
        <w:rPr>
          <w:b/>
          <w:color w:val="000000" w:themeColor="text1"/>
        </w:rPr>
      </w:pPr>
      <w:r w:rsidRPr="00466F90">
        <w:rPr>
          <w:b/>
          <w:color w:val="000000" w:themeColor="text1"/>
        </w:rPr>
        <w:t xml:space="preserve"> </w:t>
      </w:r>
      <w:r w:rsidR="00271941" w:rsidRPr="00466F90">
        <w:rPr>
          <w:b/>
          <w:color w:val="000000" w:themeColor="text1"/>
        </w:rPr>
        <w:t>THE DEPARTMENT OF MENTAL HEALTH</w:t>
      </w:r>
    </w:p>
    <w:p w:rsidR="00C8763D" w:rsidRPr="00466F90" w:rsidRDefault="00C8763D" w:rsidP="00C4014B">
      <w:pPr>
        <w:jc w:val="center"/>
        <w:rPr>
          <w:b/>
          <w:color w:val="000000" w:themeColor="text1"/>
          <w:u w:val="single"/>
        </w:rPr>
      </w:pPr>
    </w:p>
    <w:p w:rsidR="000E64C1" w:rsidRPr="00466F90" w:rsidRDefault="004E3F4E" w:rsidP="00C4014B">
      <w:pPr>
        <w:rPr>
          <w:color w:val="000000" w:themeColor="text1"/>
        </w:rPr>
      </w:pPr>
      <w:r w:rsidRPr="00466F90">
        <w:rPr>
          <w:color w:val="000000" w:themeColor="text1"/>
        </w:rPr>
        <w:t>This matter comes before the Hearing Officer on</w:t>
      </w:r>
      <w:r w:rsidR="007C6F06" w:rsidRPr="00466F90">
        <w:rPr>
          <w:color w:val="000000" w:themeColor="text1"/>
        </w:rPr>
        <w:t xml:space="preserve"> the September 3, 2021 Westfield Public Schools’ (Westfield or the District) Motion to Join the Department of Mental Health (Motion)</w:t>
      </w:r>
      <w:r w:rsidR="006678DB" w:rsidRPr="00466F90">
        <w:rPr>
          <w:color w:val="000000" w:themeColor="text1"/>
        </w:rPr>
        <w:t xml:space="preserve">. In it, the District argues that the Department of Mental Health (DMH) </w:t>
      </w:r>
      <w:r w:rsidR="000E64C1" w:rsidRPr="00466F90">
        <w:rPr>
          <w:color w:val="000000" w:themeColor="text1"/>
        </w:rPr>
        <w:t xml:space="preserve">must be joined as a necessary party in the above-entitled action. </w:t>
      </w:r>
      <w:r w:rsidR="00276078" w:rsidRPr="00466F90">
        <w:rPr>
          <w:color w:val="000000" w:themeColor="text1"/>
        </w:rPr>
        <w:t>Parents assented to the Motion.</w:t>
      </w:r>
      <w:r w:rsidR="001701B9" w:rsidRPr="00466F90">
        <w:rPr>
          <w:color w:val="000000" w:themeColor="text1"/>
        </w:rPr>
        <w:t xml:space="preserve"> </w:t>
      </w:r>
      <w:r w:rsidR="000E64C1" w:rsidRPr="00466F90">
        <w:rPr>
          <w:color w:val="000000" w:themeColor="text1"/>
        </w:rPr>
        <w:t>On</w:t>
      </w:r>
      <w:r w:rsidR="00BA4EDB" w:rsidRPr="00466F90">
        <w:rPr>
          <w:color w:val="000000" w:themeColor="text1"/>
        </w:rPr>
        <w:t xml:space="preserve"> September 16, 2021,</w:t>
      </w:r>
      <w:r w:rsidR="00F36594" w:rsidRPr="00466F90">
        <w:rPr>
          <w:color w:val="000000" w:themeColor="text1"/>
        </w:rPr>
        <w:t xml:space="preserve"> DMH filed </w:t>
      </w:r>
      <w:r w:rsidR="00BA4EDB" w:rsidRPr="00466F90">
        <w:rPr>
          <w:color w:val="000000" w:themeColor="text1"/>
        </w:rPr>
        <w:t xml:space="preserve">an Opposition to Motion to Join </w:t>
      </w:r>
      <w:r w:rsidR="001D6993" w:rsidRPr="00466F90">
        <w:rPr>
          <w:color w:val="000000" w:themeColor="text1"/>
        </w:rPr>
        <w:t>Department</w:t>
      </w:r>
      <w:r w:rsidR="00BA4EDB" w:rsidRPr="00466F90">
        <w:rPr>
          <w:color w:val="000000" w:themeColor="text1"/>
        </w:rPr>
        <w:t xml:space="preserve"> of Mental Health</w:t>
      </w:r>
      <w:r w:rsidR="001D6993" w:rsidRPr="00466F90">
        <w:rPr>
          <w:color w:val="000000" w:themeColor="text1"/>
        </w:rPr>
        <w:t xml:space="preserve"> (Opposition).</w:t>
      </w:r>
      <w:r w:rsidR="00F63C76" w:rsidRPr="00466F90">
        <w:rPr>
          <w:color w:val="000000" w:themeColor="text1"/>
        </w:rPr>
        <w:t xml:space="preserve">  </w:t>
      </w:r>
    </w:p>
    <w:p w:rsidR="000E64C1" w:rsidRPr="00466F90" w:rsidRDefault="000E64C1" w:rsidP="00C4014B">
      <w:pPr>
        <w:rPr>
          <w:color w:val="000000" w:themeColor="text1"/>
        </w:rPr>
      </w:pPr>
    </w:p>
    <w:p w:rsidR="00FC680F" w:rsidRPr="00466F90" w:rsidRDefault="00F36594" w:rsidP="00FC680F">
      <w:pPr>
        <w:pStyle w:val="BodyText"/>
        <w:rPr>
          <w:color w:val="000000" w:themeColor="text1"/>
          <w:szCs w:val="24"/>
        </w:rPr>
      </w:pPr>
      <w:r w:rsidRPr="00466F90">
        <w:rPr>
          <w:color w:val="000000" w:themeColor="text1"/>
          <w:szCs w:val="24"/>
        </w:rPr>
        <w:t>The parties did not</w:t>
      </w:r>
      <w:r w:rsidR="00FC680F" w:rsidRPr="00466F90">
        <w:rPr>
          <w:color w:val="000000" w:themeColor="text1"/>
          <w:szCs w:val="24"/>
        </w:rPr>
        <w:t xml:space="preserve"> request a hearing on the Motion, and I find that a hearing is not needed because it would not likely advance my understanding of the issues.</w:t>
      </w:r>
      <w:r w:rsidR="00FC680F" w:rsidRPr="00466F90">
        <w:rPr>
          <w:color w:val="000000" w:themeColor="text1"/>
          <w:szCs w:val="24"/>
          <w:vertAlign w:val="superscript"/>
        </w:rPr>
        <w:footnoteReference w:id="1"/>
      </w:r>
      <w:r w:rsidR="00FC680F" w:rsidRPr="00466F90">
        <w:rPr>
          <w:color w:val="000000" w:themeColor="text1"/>
          <w:szCs w:val="24"/>
        </w:rPr>
        <w:t xml:space="preserve"> </w:t>
      </w:r>
    </w:p>
    <w:p w:rsidR="00752A1B" w:rsidRPr="00466F90" w:rsidRDefault="00752A1B" w:rsidP="00FC680F">
      <w:pPr>
        <w:pStyle w:val="BodyText"/>
        <w:rPr>
          <w:color w:val="000000" w:themeColor="text1"/>
          <w:szCs w:val="24"/>
        </w:rPr>
      </w:pPr>
    </w:p>
    <w:p w:rsidR="00752A1B" w:rsidRPr="00466F90" w:rsidRDefault="00752A1B" w:rsidP="00FC680F">
      <w:pPr>
        <w:pStyle w:val="BodyText"/>
        <w:rPr>
          <w:color w:val="000000" w:themeColor="text1"/>
          <w:szCs w:val="24"/>
        </w:rPr>
      </w:pPr>
      <w:r w:rsidRPr="00466F90">
        <w:rPr>
          <w:color w:val="000000" w:themeColor="text1"/>
          <w:szCs w:val="24"/>
        </w:rPr>
        <w:t>For the reasons set forth below, the District’s Motion is hereby GRANTED.</w:t>
      </w:r>
    </w:p>
    <w:p w:rsidR="00FC680F" w:rsidRPr="00466F90" w:rsidRDefault="00FC680F" w:rsidP="00FC680F">
      <w:pPr>
        <w:pStyle w:val="BodyText"/>
        <w:rPr>
          <w:color w:val="000000" w:themeColor="text1"/>
          <w:szCs w:val="24"/>
        </w:rPr>
      </w:pPr>
    </w:p>
    <w:p w:rsidR="00FC680F" w:rsidRPr="00466F90" w:rsidRDefault="00FC680F" w:rsidP="00FC680F">
      <w:pPr>
        <w:pStyle w:val="BodyText"/>
        <w:rPr>
          <w:b/>
          <w:bCs/>
          <w:color w:val="000000" w:themeColor="text1"/>
          <w:szCs w:val="24"/>
        </w:rPr>
      </w:pPr>
      <w:r w:rsidRPr="00466F90">
        <w:rPr>
          <w:b/>
          <w:bCs/>
          <w:color w:val="000000" w:themeColor="text1"/>
          <w:szCs w:val="24"/>
        </w:rPr>
        <w:t>RELEVANT FACTS</w:t>
      </w:r>
      <w:r w:rsidRPr="00466F90">
        <w:rPr>
          <w:b/>
          <w:bCs/>
          <w:color w:val="000000" w:themeColor="text1"/>
          <w:szCs w:val="24"/>
          <w:vertAlign w:val="superscript"/>
        </w:rPr>
        <w:footnoteReference w:id="2"/>
      </w:r>
      <w:r w:rsidRPr="00466F90">
        <w:rPr>
          <w:b/>
          <w:bCs/>
          <w:color w:val="000000" w:themeColor="text1"/>
          <w:szCs w:val="24"/>
        </w:rPr>
        <w:t xml:space="preserve"> AND PROCEDURAL HISTORY:</w:t>
      </w:r>
    </w:p>
    <w:p w:rsidR="00C8763D" w:rsidRPr="00466F90" w:rsidRDefault="00C8763D" w:rsidP="00C4014B">
      <w:pPr>
        <w:rPr>
          <w:color w:val="000000" w:themeColor="text1"/>
        </w:rPr>
      </w:pPr>
    </w:p>
    <w:p w:rsidR="009F750B" w:rsidRPr="00466F90" w:rsidRDefault="009F750B" w:rsidP="00C4014B">
      <w:pPr>
        <w:pStyle w:val="ListParagraph"/>
        <w:numPr>
          <w:ilvl w:val="0"/>
          <w:numId w:val="2"/>
        </w:numPr>
        <w:rPr>
          <w:color w:val="000000" w:themeColor="text1"/>
        </w:rPr>
      </w:pPr>
      <w:r w:rsidRPr="00466F90">
        <w:rPr>
          <w:color w:val="000000" w:themeColor="text1"/>
        </w:rPr>
        <w:t xml:space="preserve">Student is a 14-year-old </w:t>
      </w:r>
      <w:r w:rsidR="00C12B3A" w:rsidRPr="00466F90">
        <w:rPr>
          <w:color w:val="000000" w:themeColor="text1"/>
        </w:rPr>
        <w:t>boy who was adopted by Parents at a young age. Student carries many diagnosis, including PTSD</w:t>
      </w:r>
      <w:r w:rsidR="00287829" w:rsidRPr="00466F90">
        <w:rPr>
          <w:color w:val="000000" w:themeColor="text1"/>
        </w:rPr>
        <w:t xml:space="preserve">, Reactive Attachment Disorder, ADHD, anxiety disorder, and mood disorder. He also </w:t>
      </w:r>
      <w:r w:rsidR="00273E28" w:rsidRPr="00466F90">
        <w:rPr>
          <w:color w:val="000000" w:themeColor="text1"/>
        </w:rPr>
        <w:t>suffers</w:t>
      </w:r>
      <w:r w:rsidR="00287829" w:rsidRPr="00466F90">
        <w:rPr>
          <w:color w:val="000000" w:themeColor="text1"/>
        </w:rPr>
        <w:t xml:space="preserve"> from learning and cognitive disabilities</w:t>
      </w:r>
      <w:r w:rsidR="00DC325A" w:rsidRPr="00466F90">
        <w:rPr>
          <w:color w:val="000000" w:themeColor="text1"/>
        </w:rPr>
        <w:t xml:space="preserve">, and his </w:t>
      </w:r>
      <w:r w:rsidR="007237EE" w:rsidRPr="00466F90">
        <w:rPr>
          <w:color w:val="000000" w:themeColor="text1"/>
        </w:rPr>
        <w:t>adaptive functioning is</w:t>
      </w:r>
      <w:r w:rsidR="00FF4A39" w:rsidRPr="00466F90">
        <w:rPr>
          <w:color w:val="000000" w:themeColor="text1"/>
        </w:rPr>
        <w:t xml:space="preserve"> </w:t>
      </w:r>
      <w:r w:rsidR="00DC325A" w:rsidRPr="00466F90">
        <w:rPr>
          <w:color w:val="000000" w:themeColor="text1"/>
        </w:rPr>
        <w:t>limited</w:t>
      </w:r>
      <w:r w:rsidR="007237EE" w:rsidRPr="00466F90">
        <w:rPr>
          <w:color w:val="000000" w:themeColor="text1"/>
        </w:rPr>
        <w:t>.</w:t>
      </w:r>
    </w:p>
    <w:p w:rsidR="004345B1" w:rsidRPr="00466F90" w:rsidRDefault="004345B1" w:rsidP="008B7C23">
      <w:pPr>
        <w:pStyle w:val="ListParagraph"/>
        <w:numPr>
          <w:ilvl w:val="0"/>
          <w:numId w:val="2"/>
        </w:numPr>
        <w:rPr>
          <w:color w:val="000000" w:themeColor="text1"/>
        </w:rPr>
      </w:pPr>
      <w:r w:rsidRPr="00466F90">
        <w:rPr>
          <w:color w:val="000000" w:themeColor="text1"/>
        </w:rPr>
        <w:t>Beginning in second grade and until the middle of fourth grade, Student was placed by the District in a substantially separate language-based classroom. During such time, Student was challenged by anxiety, hypervigilance and episodes of rage and aggression at home.</w:t>
      </w:r>
    </w:p>
    <w:p w:rsidR="00C8763D" w:rsidRPr="00466F90" w:rsidRDefault="00273E28" w:rsidP="007257C6">
      <w:pPr>
        <w:pStyle w:val="ListParagraph"/>
        <w:numPr>
          <w:ilvl w:val="0"/>
          <w:numId w:val="2"/>
        </w:numPr>
        <w:rPr>
          <w:color w:val="000000" w:themeColor="text1"/>
        </w:rPr>
      </w:pPr>
      <w:r w:rsidRPr="00466F90">
        <w:rPr>
          <w:color w:val="000000" w:themeColor="text1"/>
        </w:rPr>
        <w:t xml:space="preserve">Student was found eligible </w:t>
      </w:r>
      <w:r w:rsidR="001325BE" w:rsidRPr="00466F90">
        <w:rPr>
          <w:color w:val="000000" w:themeColor="text1"/>
        </w:rPr>
        <w:t>for</w:t>
      </w:r>
      <w:r w:rsidR="00C04259" w:rsidRPr="00466F90">
        <w:rPr>
          <w:color w:val="000000" w:themeColor="text1"/>
        </w:rPr>
        <w:t xml:space="preserve"> services through DMH in March 2016.  </w:t>
      </w:r>
      <w:r w:rsidR="004345B1" w:rsidRPr="00466F90">
        <w:rPr>
          <w:color w:val="000000" w:themeColor="text1"/>
        </w:rPr>
        <w:t xml:space="preserve">From September 2016 to May 2019, </w:t>
      </w:r>
      <w:r w:rsidR="000C53C8" w:rsidRPr="00466F90">
        <w:rPr>
          <w:color w:val="000000" w:themeColor="text1"/>
        </w:rPr>
        <w:t>Student</w:t>
      </w:r>
      <w:r w:rsidR="004345B1" w:rsidRPr="00466F90">
        <w:rPr>
          <w:color w:val="000000" w:themeColor="text1"/>
        </w:rPr>
        <w:t xml:space="preserve"> and his family received a variety of DMH-funded wrap-around services</w:t>
      </w:r>
      <w:r w:rsidR="000C53C8" w:rsidRPr="00466F90">
        <w:rPr>
          <w:color w:val="000000" w:themeColor="text1"/>
        </w:rPr>
        <w:t>.</w:t>
      </w:r>
      <w:r w:rsidR="00C04259" w:rsidRPr="00466F90">
        <w:rPr>
          <w:color w:val="000000" w:themeColor="text1"/>
        </w:rPr>
        <w:t xml:space="preserve"> </w:t>
      </w:r>
      <w:r w:rsidR="008B7C23" w:rsidRPr="00466F90">
        <w:rPr>
          <w:color w:val="000000" w:themeColor="text1"/>
        </w:rPr>
        <w:t>During said time period, Student was hospitalized frequently due to “out of control aggressive and unmanageable behaviors at home despite a significant level of support.”</w:t>
      </w:r>
    </w:p>
    <w:p w:rsidR="00B203FB" w:rsidRPr="00466F90" w:rsidRDefault="00B203FB" w:rsidP="007257C6">
      <w:pPr>
        <w:pStyle w:val="ListParagraph"/>
        <w:numPr>
          <w:ilvl w:val="0"/>
          <w:numId w:val="2"/>
        </w:numPr>
        <w:rPr>
          <w:color w:val="000000" w:themeColor="text1"/>
        </w:rPr>
      </w:pPr>
      <w:r w:rsidRPr="00466F90">
        <w:rPr>
          <w:color w:val="000000" w:themeColor="text1"/>
        </w:rPr>
        <w:t xml:space="preserve">In January 2017, the District placed Student at the New England Adolescent </w:t>
      </w:r>
      <w:r w:rsidR="00624B15" w:rsidRPr="00466F90">
        <w:rPr>
          <w:color w:val="000000" w:themeColor="text1"/>
        </w:rPr>
        <w:t>Research</w:t>
      </w:r>
      <w:r w:rsidRPr="00466F90">
        <w:rPr>
          <w:color w:val="000000" w:themeColor="text1"/>
        </w:rPr>
        <w:t xml:space="preserve"> Institute (NEARI), a private</w:t>
      </w:r>
      <w:r w:rsidR="00624B15" w:rsidRPr="00466F90">
        <w:rPr>
          <w:color w:val="000000" w:themeColor="text1"/>
        </w:rPr>
        <w:t>, therapeutic special education school in Easthampton, Massachusetts</w:t>
      </w:r>
      <w:r w:rsidR="00FF4A39" w:rsidRPr="00466F90">
        <w:rPr>
          <w:color w:val="000000" w:themeColor="text1"/>
        </w:rPr>
        <w:t xml:space="preserve">, </w:t>
      </w:r>
      <w:r w:rsidR="009219C1" w:rsidRPr="00466F90">
        <w:rPr>
          <w:color w:val="000000" w:themeColor="text1"/>
        </w:rPr>
        <w:t>which</w:t>
      </w:r>
      <w:r w:rsidR="00FF4A39" w:rsidRPr="00466F90">
        <w:rPr>
          <w:color w:val="000000" w:themeColor="text1"/>
        </w:rPr>
        <w:t xml:space="preserve"> he continues to </w:t>
      </w:r>
      <w:r w:rsidR="009219C1" w:rsidRPr="00466F90">
        <w:rPr>
          <w:color w:val="000000" w:themeColor="text1"/>
        </w:rPr>
        <w:t>attend</w:t>
      </w:r>
      <w:r w:rsidR="005F7A08">
        <w:rPr>
          <w:color w:val="000000" w:themeColor="text1"/>
        </w:rPr>
        <w:t xml:space="preserve"> to date</w:t>
      </w:r>
      <w:r w:rsidR="00B05A22">
        <w:rPr>
          <w:color w:val="000000" w:themeColor="text1"/>
        </w:rPr>
        <w:t>.</w:t>
      </w:r>
    </w:p>
    <w:p w:rsidR="002E1CE5" w:rsidRPr="00466F90" w:rsidRDefault="002E1CE5" w:rsidP="007257C6">
      <w:pPr>
        <w:pStyle w:val="ListParagraph"/>
        <w:numPr>
          <w:ilvl w:val="0"/>
          <w:numId w:val="2"/>
        </w:numPr>
        <w:rPr>
          <w:color w:val="000000" w:themeColor="text1"/>
        </w:rPr>
      </w:pPr>
      <w:r w:rsidRPr="00466F90">
        <w:rPr>
          <w:color w:val="000000" w:themeColor="text1"/>
        </w:rPr>
        <w:t xml:space="preserve">In </w:t>
      </w:r>
      <w:r w:rsidR="007B0814" w:rsidRPr="00466F90">
        <w:rPr>
          <w:color w:val="000000" w:themeColor="text1"/>
        </w:rPr>
        <w:t>M</w:t>
      </w:r>
      <w:r w:rsidRPr="00466F90">
        <w:rPr>
          <w:color w:val="000000" w:themeColor="text1"/>
        </w:rPr>
        <w:t>arch 2019</w:t>
      </w:r>
      <w:r w:rsidR="00B82BA2" w:rsidRPr="00466F90">
        <w:rPr>
          <w:color w:val="000000" w:themeColor="text1"/>
        </w:rPr>
        <w:t xml:space="preserve">, following another hospitalization, Student was placed at the Northampton Center </w:t>
      </w:r>
      <w:r w:rsidR="00E40C8F" w:rsidRPr="00466F90">
        <w:rPr>
          <w:color w:val="000000" w:themeColor="text1"/>
        </w:rPr>
        <w:t>for Children and Families (NCCF), a DMH-funded residential</w:t>
      </w:r>
      <w:r w:rsidR="00586D6D" w:rsidRPr="00466F90">
        <w:rPr>
          <w:color w:val="000000" w:themeColor="text1"/>
        </w:rPr>
        <w:t xml:space="preserve"> treatment center, part of the Cutchins Program for Children and Families, </w:t>
      </w:r>
      <w:r w:rsidR="003E425E" w:rsidRPr="00466F90">
        <w:rPr>
          <w:color w:val="000000" w:themeColor="text1"/>
        </w:rPr>
        <w:t>where he</w:t>
      </w:r>
      <w:r w:rsidR="00586D6D" w:rsidRPr="00466F90">
        <w:rPr>
          <w:color w:val="000000" w:themeColor="text1"/>
        </w:rPr>
        <w:t xml:space="preserve"> continues to reside</w:t>
      </w:r>
      <w:r w:rsidR="005F7A08">
        <w:rPr>
          <w:color w:val="000000" w:themeColor="text1"/>
        </w:rPr>
        <w:t xml:space="preserve"> to date</w:t>
      </w:r>
      <w:r w:rsidR="00B95518">
        <w:rPr>
          <w:color w:val="000000" w:themeColor="text1"/>
        </w:rPr>
        <w:t>.</w:t>
      </w:r>
    </w:p>
    <w:p w:rsidR="00586D6D" w:rsidRPr="00466F90" w:rsidRDefault="00491F7E" w:rsidP="007257C6">
      <w:pPr>
        <w:pStyle w:val="ListParagraph"/>
        <w:numPr>
          <w:ilvl w:val="0"/>
          <w:numId w:val="2"/>
        </w:numPr>
        <w:rPr>
          <w:color w:val="000000" w:themeColor="text1"/>
        </w:rPr>
      </w:pPr>
      <w:r w:rsidRPr="00466F90">
        <w:rPr>
          <w:color w:val="000000" w:themeColor="text1"/>
        </w:rPr>
        <w:t>Student</w:t>
      </w:r>
      <w:r w:rsidR="009D0E17" w:rsidRPr="00466F90">
        <w:rPr>
          <w:color w:val="000000" w:themeColor="text1"/>
        </w:rPr>
        <w:t xml:space="preserve"> </w:t>
      </w:r>
      <w:r w:rsidRPr="00466F90">
        <w:rPr>
          <w:color w:val="000000" w:themeColor="text1"/>
        </w:rPr>
        <w:t xml:space="preserve">continues to be very closed emotionally and to have limited insight into the causes of his ongoing </w:t>
      </w:r>
      <w:r w:rsidR="009D0E17" w:rsidRPr="00466F90">
        <w:rPr>
          <w:color w:val="000000" w:themeColor="text1"/>
        </w:rPr>
        <w:t>emotional distress. His self-help and independent living skills are extremely limited.</w:t>
      </w:r>
    </w:p>
    <w:p w:rsidR="009D0E17" w:rsidRPr="00466F90" w:rsidRDefault="009D0E17" w:rsidP="007257C6">
      <w:pPr>
        <w:pStyle w:val="ListParagraph"/>
        <w:numPr>
          <w:ilvl w:val="0"/>
          <w:numId w:val="2"/>
        </w:numPr>
        <w:rPr>
          <w:color w:val="000000" w:themeColor="text1"/>
        </w:rPr>
      </w:pPr>
      <w:r w:rsidRPr="00466F90">
        <w:rPr>
          <w:color w:val="000000" w:themeColor="text1"/>
        </w:rPr>
        <w:t>On April 28, 2021, following Stu</w:t>
      </w:r>
      <w:r w:rsidR="007B0814" w:rsidRPr="00466F90">
        <w:rPr>
          <w:color w:val="000000" w:themeColor="text1"/>
        </w:rPr>
        <w:t>d</w:t>
      </w:r>
      <w:r w:rsidRPr="00466F90">
        <w:rPr>
          <w:color w:val="000000" w:themeColor="text1"/>
        </w:rPr>
        <w:t xml:space="preserve">ent’s </w:t>
      </w:r>
      <w:r w:rsidR="007B0814" w:rsidRPr="00466F90">
        <w:rPr>
          <w:color w:val="000000" w:themeColor="text1"/>
        </w:rPr>
        <w:t xml:space="preserve">three-year </w:t>
      </w:r>
      <w:r w:rsidRPr="00466F90">
        <w:rPr>
          <w:color w:val="000000" w:themeColor="text1"/>
        </w:rPr>
        <w:t>re-revaluation</w:t>
      </w:r>
      <w:r w:rsidR="00810FD9" w:rsidRPr="00466F90">
        <w:rPr>
          <w:color w:val="000000" w:themeColor="text1"/>
        </w:rPr>
        <w:t xml:space="preserve">, the Team agreed that NEARI </w:t>
      </w:r>
      <w:r w:rsidR="004E295D" w:rsidRPr="00466F90">
        <w:rPr>
          <w:color w:val="000000" w:themeColor="text1"/>
        </w:rPr>
        <w:t>was no longer an appropriate school placement for Student.</w:t>
      </w:r>
    </w:p>
    <w:p w:rsidR="004E295D" w:rsidRPr="00466F90" w:rsidRDefault="004E295D" w:rsidP="007257C6">
      <w:pPr>
        <w:pStyle w:val="ListParagraph"/>
        <w:numPr>
          <w:ilvl w:val="0"/>
          <w:numId w:val="2"/>
        </w:numPr>
        <w:rPr>
          <w:color w:val="000000" w:themeColor="text1"/>
        </w:rPr>
      </w:pPr>
      <w:r w:rsidRPr="00466F90">
        <w:rPr>
          <w:color w:val="000000" w:themeColor="text1"/>
        </w:rPr>
        <w:t xml:space="preserve">On June 4, 2021, DMH informed Parents that it would not cost-share a placement with the District. </w:t>
      </w:r>
    </w:p>
    <w:p w:rsidR="00404B42" w:rsidRPr="00466F90" w:rsidRDefault="00604DB6" w:rsidP="00404B42">
      <w:pPr>
        <w:pStyle w:val="ListParagraph"/>
        <w:numPr>
          <w:ilvl w:val="0"/>
          <w:numId w:val="2"/>
        </w:numPr>
        <w:rPr>
          <w:color w:val="000000" w:themeColor="text1"/>
        </w:rPr>
      </w:pPr>
      <w:r w:rsidRPr="00466F90">
        <w:rPr>
          <w:color w:val="000000" w:themeColor="text1"/>
        </w:rPr>
        <w:t xml:space="preserve">The District has sent referral packets to </w:t>
      </w:r>
      <w:r w:rsidR="00E70EC1" w:rsidRPr="00466F90">
        <w:rPr>
          <w:color w:val="000000" w:themeColor="text1"/>
        </w:rPr>
        <w:t xml:space="preserve">three </w:t>
      </w:r>
      <w:r w:rsidRPr="00466F90">
        <w:rPr>
          <w:color w:val="000000" w:themeColor="text1"/>
        </w:rPr>
        <w:t>private day programs</w:t>
      </w:r>
      <w:r w:rsidR="00E70EC1" w:rsidRPr="00466F90">
        <w:rPr>
          <w:color w:val="000000" w:themeColor="text1"/>
        </w:rPr>
        <w:t xml:space="preserve">, including the May </w:t>
      </w:r>
      <w:r w:rsidR="00723590" w:rsidRPr="00466F90">
        <w:rPr>
          <w:color w:val="000000" w:themeColor="text1"/>
        </w:rPr>
        <w:t>Center School in West Springfield, Massachusetts</w:t>
      </w:r>
      <w:r w:rsidRPr="00466F90">
        <w:rPr>
          <w:color w:val="000000" w:themeColor="text1"/>
        </w:rPr>
        <w:t>.</w:t>
      </w:r>
    </w:p>
    <w:p w:rsidR="00723590" w:rsidRPr="00466F90" w:rsidRDefault="00723590" w:rsidP="008F36CC">
      <w:pPr>
        <w:pStyle w:val="ListParagraph"/>
        <w:numPr>
          <w:ilvl w:val="0"/>
          <w:numId w:val="2"/>
        </w:numPr>
        <w:rPr>
          <w:color w:val="000000" w:themeColor="text1"/>
        </w:rPr>
      </w:pPr>
      <w:r w:rsidRPr="00466F90">
        <w:rPr>
          <w:color w:val="000000" w:themeColor="text1"/>
        </w:rPr>
        <w:t>On July 27, 2021, Parents filed the instant appeal alleging, in part, that the District’s proposed placement at a private day program fails to offer Student a FAPE and that Student requires placement in a residential program.</w:t>
      </w:r>
      <w:r w:rsidR="00404B42" w:rsidRPr="00466F90">
        <w:rPr>
          <w:color w:val="000000" w:themeColor="text1"/>
        </w:rPr>
        <w:t xml:space="preserve"> In response, the District asserted that DMH is responsible for addressing Student’s mental health needs, which are distinct and separate from his learning needs.</w:t>
      </w:r>
    </w:p>
    <w:p w:rsidR="00723590" w:rsidRPr="00466F90" w:rsidRDefault="00BF2655" w:rsidP="009118C2">
      <w:pPr>
        <w:pStyle w:val="ListParagraph"/>
        <w:numPr>
          <w:ilvl w:val="0"/>
          <w:numId w:val="2"/>
        </w:numPr>
        <w:rPr>
          <w:color w:val="000000" w:themeColor="text1"/>
        </w:rPr>
      </w:pPr>
      <w:r w:rsidRPr="00466F90">
        <w:rPr>
          <w:color w:val="000000" w:themeColor="text1"/>
        </w:rPr>
        <w:t xml:space="preserve">On September 3, 2021, </w:t>
      </w:r>
      <w:r w:rsidR="00D802A3" w:rsidRPr="00466F90">
        <w:rPr>
          <w:color w:val="000000" w:themeColor="text1"/>
        </w:rPr>
        <w:t>the District filed the instant assented-to Motion to join DM</w:t>
      </w:r>
      <w:r w:rsidR="00893C79" w:rsidRPr="00466F90">
        <w:rPr>
          <w:color w:val="000000" w:themeColor="text1"/>
        </w:rPr>
        <w:t>H, and on September 16, 2021, DMH filed its Opposition.</w:t>
      </w:r>
    </w:p>
    <w:p w:rsidR="00D802A3" w:rsidRPr="00466F90" w:rsidRDefault="00D802A3" w:rsidP="00C4014B">
      <w:pPr>
        <w:rPr>
          <w:b/>
          <w:color w:val="000000" w:themeColor="text1"/>
        </w:rPr>
      </w:pPr>
    </w:p>
    <w:p w:rsidR="001D5779" w:rsidRPr="00466F90" w:rsidRDefault="001D5779" w:rsidP="00C4014B">
      <w:pPr>
        <w:rPr>
          <w:b/>
          <w:color w:val="000000" w:themeColor="text1"/>
        </w:rPr>
      </w:pPr>
      <w:r w:rsidRPr="00466F90">
        <w:rPr>
          <w:b/>
          <w:color w:val="000000" w:themeColor="text1"/>
        </w:rPr>
        <w:t>LEGAL STANDARD</w:t>
      </w:r>
      <w:r w:rsidR="00D802A3" w:rsidRPr="00466F90">
        <w:rPr>
          <w:b/>
          <w:color w:val="000000" w:themeColor="text1"/>
        </w:rPr>
        <w:t>S</w:t>
      </w:r>
      <w:r w:rsidRPr="00466F90">
        <w:rPr>
          <w:b/>
          <w:color w:val="000000" w:themeColor="text1"/>
        </w:rPr>
        <w:t>:</w:t>
      </w:r>
    </w:p>
    <w:p w:rsidR="001D5779" w:rsidRPr="00466F90" w:rsidRDefault="001D5779" w:rsidP="00C4014B">
      <w:pPr>
        <w:rPr>
          <w:b/>
          <w:color w:val="000000" w:themeColor="text1"/>
        </w:rPr>
      </w:pPr>
    </w:p>
    <w:p w:rsidR="00C8763D" w:rsidRPr="00466F90" w:rsidRDefault="001D5779" w:rsidP="001D5779">
      <w:pPr>
        <w:pStyle w:val="ListParagraph"/>
        <w:numPr>
          <w:ilvl w:val="0"/>
          <w:numId w:val="4"/>
        </w:numPr>
        <w:rPr>
          <w:bCs/>
          <w:i/>
          <w:iCs/>
          <w:color w:val="000000" w:themeColor="text1"/>
        </w:rPr>
      </w:pPr>
      <w:r w:rsidRPr="00466F90">
        <w:rPr>
          <w:bCs/>
          <w:i/>
          <w:iCs/>
          <w:color w:val="000000" w:themeColor="text1"/>
        </w:rPr>
        <w:t>Joinder</w:t>
      </w:r>
      <w:r w:rsidR="00C8763D" w:rsidRPr="00466F90">
        <w:rPr>
          <w:bCs/>
          <w:i/>
          <w:iCs/>
          <w:color w:val="000000" w:themeColor="text1"/>
        </w:rPr>
        <w:t>:</w:t>
      </w:r>
    </w:p>
    <w:p w:rsidR="00C8763D" w:rsidRPr="00466F90" w:rsidRDefault="00C8763D" w:rsidP="00C4014B">
      <w:pPr>
        <w:rPr>
          <w:color w:val="000000" w:themeColor="text1"/>
        </w:rPr>
      </w:pPr>
    </w:p>
    <w:p w:rsidR="00C062C9" w:rsidRPr="00466F90" w:rsidRDefault="00C8763D" w:rsidP="00805F97">
      <w:pPr>
        <w:rPr>
          <w:color w:val="000000" w:themeColor="text1"/>
        </w:rPr>
      </w:pPr>
      <w:r w:rsidRPr="00466F90">
        <w:rPr>
          <w:color w:val="000000" w:themeColor="text1"/>
        </w:rPr>
        <w:t xml:space="preserve">Rule 1(J) of the </w:t>
      </w:r>
      <w:r w:rsidRPr="00466F90">
        <w:rPr>
          <w:i/>
          <w:color w:val="000000" w:themeColor="text1"/>
        </w:rPr>
        <w:t>Hearing Rules for Special Education Appeals</w:t>
      </w:r>
      <w:r w:rsidRPr="00466F90">
        <w:rPr>
          <w:color w:val="000000" w:themeColor="text1"/>
        </w:rPr>
        <w:t xml:space="preserve"> (Hearing Rules) allows a Hearing Officer to join a party upon written request, in cases where “complete relief cannot be granted among those who are already parties, or the person being joined has an interest relating to the subject matter of the case and is so situated that the case cannot be disposed of in their absence.” This Rule lists the following factors to be considered in determining whether a person or entity should be joined: “the risk of prejudice to the present parties in the absence of the proposed party; the range of alternatives for fashioning relief; the inadequacy of a judgment entered in the proposed party’s absence; and the existence of an alternative forum to resolve the issues.”</w:t>
      </w:r>
      <w:r w:rsidR="00BC05A2" w:rsidRPr="00466F90">
        <w:rPr>
          <w:rStyle w:val="FootnoteReference"/>
          <w:color w:val="000000" w:themeColor="text1"/>
        </w:rPr>
        <w:footnoteReference w:id="3"/>
      </w:r>
      <w:r w:rsidRPr="00466F90">
        <w:rPr>
          <w:color w:val="000000" w:themeColor="text1"/>
        </w:rPr>
        <w:t xml:space="preserve"> </w:t>
      </w:r>
      <w:r w:rsidR="00C062C9" w:rsidRPr="00466F90">
        <w:rPr>
          <w:color w:val="000000" w:themeColor="text1"/>
        </w:rPr>
        <w:t xml:space="preserve">In the instant case, in order to determine whether these criteria are met, the Hearing Officer must consider the statutory language regarding the jurisdiction of a BSEA Hearing Officer over state agencies. </w:t>
      </w:r>
    </w:p>
    <w:p w:rsidR="00C8763D" w:rsidRPr="00466F90" w:rsidRDefault="00C8763D" w:rsidP="00C4014B">
      <w:pPr>
        <w:rPr>
          <w:color w:val="000000" w:themeColor="text1"/>
        </w:rPr>
      </w:pPr>
    </w:p>
    <w:p w:rsidR="00BC05A2" w:rsidRPr="00466F90" w:rsidRDefault="00BC05A2" w:rsidP="00BC05A2">
      <w:pPr>
        <w:pStyle w:val="ListParagraph"/>
        <w:numPr>
          <w:ilvl w:val="0"/>
          <w:numId w:val="4"/>
        </w:numPr>
        <w:rPr>
          <w:i/>
          <w:iCs/>
          <w:color w:val="000000" w:themeColor="text1"/>
        </w:rPr>
      </w:pPr>
      <w:r w:rsidRPr="00466F90">
        <w:rPr>
          <w:i/>
          <w:iCs/>
          <w:color w:val="000000" w:themeColor="text1"/>
        </w:rPr>
        <w:t>BSEA Jurisdiction Over State Agencies</w:t>
      </w:r>
    </w:p>
    <w:p w:rsidR="00B83741" w:rsidRPr="00466F90" w:rsidRDefault="00B83741" w:rsidP="00B83741">
      <w:pPr>
        <w:rPr>
          <w:color w:val="000000" w:themeColor="text1"/>
        </w:rPr>
      </w:pPr>
    </w:p>
    <w:p w:rsidR="001B3BC6" w:rsidRPr="00466F90" w:rsidRDefault="001B3BC6" w:rsidP="00B83741">
      <w:pPr>
        <w:rPr>
          <w:color w:val="000000" w:themeColor="text1"/>
        </w:rPr>
      </w:pPr>
      <w:r w:rsidRPr="00466F90">
        <w:rPr>
          <w:color w:val="000000" w:themeColor="text1"/>
        </w:rPr>
        <w:t>The extent to which the BSEA may order</w:t>
      </w:r>
      <w:r w:rsidR="002E12FC">
        <w:rPr>
          <w:color w:val="000000" w:themeColor="text1"/>
        </w:rPr>
        <w:t xml:space="preserve"> </w:t>
      </w:r>
      <w:r w:rsidRPr="00466F90">
        <w:rPr>
          <w:color w:val="000000" w:themeColor="text1"/>
        </w:rPr>
        <w:t xml:space="preserve">services </w:t>
      </w:r>
      <w:r w:rsidR="002E12FC">
        <w:rPr>
          <w:color w:val="000000" w:themeColor="text1"/>
        </w:rPr>
        <w:t xml:space="preserve">to be provided by another state agency </w:t>
      </w:r>
      <w:r w:rsidRPr="00466F90">
        <w:rPr>
          <w:color w:val="000000" w:themeColor="text1"/>
        </w:rPr>
        <w:t xml:space="preserve">is set forth in Mass. Gen. Laws ch. 71B, § 3, which provides: </w:t>
      </w:r>
    </w:p>
    <w:p w:rsidR="001B3BC6" w:rsidRPr="00466F90" w:rsidRDefault="001B3BC6" w:rsidP="00B95518">
      <w:pPr>
        <w:pStyle w:val="NormalWeb"/>
        <w:spacing w:before="0" w:beforeAutospacing="0" w:after="0" w:afterAutospacing="0"/>
        <w:ind w:left="720" w:right="720"/>
        <w:rPr>
          <w:color w:val="000000" w:themeColor="text1"/>
        </w:rPr>
      </w:pPr>
      <w:r w:rsidRPr="00466F90">
        <w:rPr>
          <w:color w:val="000000" w:themeColor="text1"/>
        </w:rPr>
        <w:t>“The [BSEA] hearing officer may determine, in accordance with the rules, regulations and policies of the respective agencies, that services shall be provided by the department of children and families, the department of mental retardation [now the department of developmental services], the department of mental health, the department of public health, or any other state agency or program, in addition to the program and related services to be provided by the school committee.”</w:t>
      </w:r>
      <w:r w:rsidR="00CE10D9" w:rsidRPr="00466F90">
        <w:rPr>
          <w:rStyle w:val="FootnoteReference"/>
          <w:color w:val="000000" w:themeColor="text1"/>
        </w:rPr>
        <w:footnoteReference w:id="4"/>
      </w:r>
    </w:p>
    <w:p w:rsidR="001F3D63" w:rsidRPr="00466F90" w:rsidRDefault="00A271A2" w:rsidP="001F3D63">
      <w:pPr>
        <w:pStyle w:val="NormalWeb"/>
        <w:rPr>
          <w:color w:val="000000" w:themeColor="text1"/>
        </w:rPr>
      </w:pPr>
      <w:r w:rsidRPr="00466F90">
        <w:rPr>
          <w:color w:val="000000" w:themeColor="text1"/>
        </w:rPr>
        <w:t>Hence,</w:t>
      </w:r>
      <w:r w:rsidR="001B3BC6" w:rsidRPr="00466F90">
        <w:rPr>
          <w:color w:val="000000" w:themeColor="text1"/>
        </w:rPr>
        <w:t xml:space="preserve"> although it is a school district’s responsibility to provide a student with </w:t>
      </w:r>
      <w:r w:rsidR="00326744" w:rsidRPr="00466F90">
        <w:rPr>
          <w:color w:val="000000" w:themeColor="text1"/>
        </w:rPr>
        <w:t xml:space="preserve">a </w:t>
      </w:r>
      <w:r w:rsidR="001B3BC6" w:rsidRPr="00466F90">
        <w:rPr>
          <w:color w:val="000000" w:themeColor="text1"/>
        </w:rPr>
        <w:t>FAPE, the BSEA may order a state agency to provide services over and above those that are the responsibility of the school district if the services are fo</w:t>
      </w:r>
      <w:r w:rsidR="001F3D63" w:rsidRPr="00466F90">
        <w:rPr>
          <w:color w:val="000000" w:themeColor="text1"/>
        </w:rPr>
        <w:t>u</w:t>
      </w:r>
      <w:r w:rsidR="001B3BC6" w:rsidRPr="00466F90">
        <w:rPr>
          <w:color w:val="000000" w:themeColor="text1"/>
        </w:rPr>
        <w:t>nd to be necessary to ensure that the student is able to access or benefit from the special education program and services offered by the school district.</w:t>
      </w:r>
      <w:r w:rsidR="00326744" w:rsidRPr="00466F90">
        <w:rPr>
          <w:rStyle w:val="FootnoteReference"/>
          <w:color w:val="000000" w:themeColor="text1"/>
        </w:rPr>
        <w:footnoteReference w:id="5"/>
      </w:r>
      <w:r w:rsidR="00A02C1C" w:rsidRPr="00466F90">
        <w:rPr>
          <w:color w:val="000000" w:themeColor="text1"/>
        </w:rPr>
        <w:t xml:space="preserve"> </w:t>
      </w:r>
      <w:r w:rsidR="00347E32">
        <w:rPr>
          <w:color w:val="000000" w:themeColor="text1"/>
        </w:rPr>
        <w:t>As</w:t>
      </w:r>
      <w:r w:rsidR="001F3D63" w:rsidRPr="00466F90">
        <w:rPr>
          <w:color w:val="000000" w:themeColor="text1"/>
        </w:rPr>
        <w:t xml:space="preserve"> explained by Hearing </w:t>
      </w:r>
      <w:r w:rsidR="00B40FFD" w:rsidRPr="00466F90">
        <w:rPr>
          <w:color w:val="000000" w:themeColor="text1"/>
        </w:rPr>
        <w:t>O</w:t>
      </w:r>
      <w:r w:rsidR="001F3D63" w:rsidRPr="00466F90">
        <w:rPr>
          <w:color w:val="000000" w:themeColor="text1"/>
        </w:rPr>
        <w:t xml:space="preserve">fficer William Crane in </w:t>
      </w:r>
      <w:r w:rsidR="001F3D63" w:rsidRPr="00466F90">
        <w:rPr>
          <w:i/>
          <w:iCs/>
          <w:color w:val="000000" w:themeColor="text1"/>
        </w:rPr>
        <w:t>In Re: Plymouth Public Schools</w:t>
      </w:r>
      <w:r w:rsidR="001F3D63" w:rsidRPr="00466F90">
        <w:rPr>
          <w:color w:val="000000" w:themeColor="text1"/>
        </w:rPr>
        <w:t xml:space="preserve"> </w:t>
      </w:r>
      <w:r w:rsidR="001F3D63" w:rsidRPr="00466F90">
        <w:rPr>
          <w:i/>
          <w:iCs/>
          <w:color w:val="000000" w:themeColor="text1"/>
        </w:rPr>
        <w:t>(Ruling),</w:t>
      </w:r>
      <w:r w:rsidR="001F3D63" w:rsidRPr="00466F90">
        <w:rPr>
          <w:color w:val="000000" w:themeColor="text1"/>
        </w:rPr>
        <w:t xml:space="preserve"> BSEA # 06-2584</w:t>
      </w:r>
      <w:r w:rsidR="00B40FFD" w:rsidRPr="00466F90">
        <w:rPr>
          <w:color w:val="000000" w:themeColor="text1"/>
        </w:rPr>
        <w:t>,</w:t>
      </w:r>
      <w:r w:rsidR="00716679" w:rsidRPr="00466F90">
        <w:rPr>
          <w:color w:val="000000" w:themeColor="text1"/>
        </w:rPr>
        <w:t xml:space="preserve"> </w:t>
      </w:r>
    </w:p>
    <w:p w:rsidR="00760B54" w:rsidRPr="009D2804" w:rsidRDefault="009711E7" w:rsidP="00B95518">
      <w:pPr>
        <w:pStyle w:val="NormalWeb"/>
        <w:ind w:left="720" w:right="720"/>
        <w:rPr>
          <w:color w:val="000000" w:themeColor="text1"/>
        </w:rPr>
      </w:pPr>
      <w:r w:rsidRPr="00466F90">
        <w:rPr>
          <w:color w:val="000000" w:themeColor="text1"/>
        </w:rPr>
        <w:t>[t]</w:t>
      </w:r>
      <w:r w:rsidR="00A02C1C" w:rsidRPr="00466F90">
        <w:rPr>
          <w:color w:val="000000" w:themeColor="text1"/>
        </w:rPr>
        <w:t xml:space="preserve">he “in addition to” language within </w:t>
      </w:r>
      <w:r w:rsidR="00660AA2" w:rsidRPr="00466F90">
        <w:rPr>
          <w:color w:val="000000" w:themeColor="text1"/>
        </w:rPr>
        <w:t xml:space="preserve">M.G.L. c. 71B, § 3 </w:t>
      </w:r>
      <w:r w:rsidR="00A02C1C" w:rsidRPr="00466F90">
        <w:rPr>
          <w:color w:val="000000" w:themeColor="text1"/>
        </w:rPr>
        <w:t xml:space="preserve">has been interpreted by BSEA Hearing Officers to mean that if a student’s needs can be met through the special education and related services which are the responsibility of the school district, complete relief can be granted without the need for the human service agency to become a party and joinder is not warranted, at least for the purpose of requiring the agency to provide services. This maintains the school district as the entity with sole responsibility for all those services to which the student is entitled pursuant to state and federal special education law. On the other hand, if additional services from a human services agency (over and above those services that are the responsibility of the school district) may be necessary to ensure that the student will be able to access or benefit from the school district’s special education program and services, then joinder of the state agency may be </w:t>
      </w:r>
      <w:r w:rsidR="00A02C1C" w:rsidRPr="009D2804">
        <w:rPr>
          <w:color w:val="000000" w:themeColor="text1"/>
        </w:rPr>
        <w:t>appropriat</w:t>
      </w:r>
      <w:r w:rsidR="00B6223F" w:rsidRPr="009D2804">
        <w:rPr>
          <w:color w:val="000000" w:themeColor="text1"/>
        </w:rPr>
        <w:t>e.</w:t>
      </w:r>
      <w:r w:rsidR="00B6223F" w:rsidRPr="009D2804">
        <w:rPr>
          <w:rStyle w:val="FootnoteReference"/>
          <w:color w:val="000000" w:themeColor="text1"/>
        </w:rPr>
        <w:footnoteReference w:id="6"/>
      </w:r>
      <w:r w:rsidR="00B6223F" w:rsidRPr="009D2804">
        <w:rPr>
          <w:color w:val="000000" w:themeColor="text1"/>
        </w:rPr>
        <w:t xml:space="preserve"> </w:t>
      </w:r>
    </w:p>
    <w:p w:rsidR="00760B54" w:rsidRPr="00466F90" w:rsidRDefault="002E12FC" w:rsidP="00760B54">
      <w:pPr>
        <w:pStyle w:val="NormalWeb"/>
        <w:rPr>
          <w:color w:val="000000" w:themeColor="text1"/>
        </w:rPr>
      </w:pPr>
      <w:r>
        <w:rPr>
          <w:color w:val="000000" w:themeColor="text1"/>
        </w:rPr>
        <w:t>Ther</w:t>
      </w:r>
      <w:r w:rsidR="00AA591D">
        <w:rPr>
          <w:color w:val="000000" w:themeColor="text1"/>
        </w:rPr>
        <w:t>e</w:t>
      </w:r>
      <w:r>
        <w:rPr>
          <w:color w:val="000000" w:themeColor="text1"/>
        </w:rPr>
        <w:t>fore</w:t>
      </w:r>
      <w:r w:rsidR="00760B54" w:rsidRPr="009D2804">
        <w:rPr>
          <w:color w:val="000000" w:themeColor="text1"/>
        </w:rPr>
        <w:t xml:space="preserve">, in order to join a state agency, </w:t>
      </w:r>
      <w:r w:rsidR="00756779" w:rsidRPr="009D2804">
        <w:rPr>
          <w:color w:val="000000" w:themeColor="text1"/>
        </w:rPr>
        <w:t>“</w:t>
      </w:r>
      <w:r w:rsidR="00760B54" w:rsidRPr="009D2804">
        <w:rPr>
          <w:color w:val="000000" w:themeColor="text1"/>
        </w:rPr>
        <w:t xml:space="preserve">the moving party </w:t>
      </w:r>
      <w:r w:rsidR="00756779" w:rsidRPr="009D2804">
        <w:rPr>
          <w:color w:val="000000" w:themeColor="text1"/>
        </w:rPr>
        <w:t>must be able to show, at least in a preliminary way, that it will be able to present evidence at a Hearing that may result in the entity being found responsible to offer some service … to the student.”</w:t>
      </w:r>
      <w:r w:rsidR="00756779" w:rsidRPr="009D2804">
        <w:rPr>
          <w:rStyle w:val="FootnoteReference"/>
          <w:color w:val="000000" w:themeColor="text1"/>
        </w:rPr>
        <w:footnoteReference w:id="7"/>
      </w:r>
      <w:r w:rsidR="00756779" w:rsidRPr="00466F90">
        <w:rPr>
          <w:color w:val="000000" w:themeColor="text1"/>
        </w:rPr>
        <w:t xml:space="preserve"> </w:t>
      </w:r>
    </w:p>
    <w:p w:rsidR="002D180F" w:rsidRPr="00466F90" w:rsidRDefault="00EC508D" w:rsidP="00EC508D">
      <w:pPr>
        <w:pStyle w:val="ListParagraph"/>
        <w:numPr>
          <w:ilvl w:val="0"/>
          <w:numId w:val="8"/>
        </w:numPr>
        <w:rPr>
          <w:i/>
          <w:iCs/>
          <w:color w:val="000000" w:themeColor="text1"/>
          <w:shd w:val="clear" w:color="auto" w:fill="FFFFFF"/>
        </w:rPr>
      </w:pPr>
      <w:r w:rsidRPr="00466F90">
        <w:rPr>
          <w:i/>
          <w:iCs/>
          <w:color w:val="000000" w:themeColor="text1"/>
          <w:shd w:val="clear" w:color="auto" w:fill="FFFFFF"/>
        </w:rPr>
        <w:t>Department of Mental Health (DMH)</w:t>
      </w:r>
    </w:p>
    <w:p w:rsidR="006D5FC5" w:rsidRPr="00466F90" w:rsidRDefault="000A782F" w:rsidP="007C59E9">
      <w:pPr>
        <w:pStyle w:val="NormalWeb"/>
      </w:pPr>
      <w:r w:rsidRPr="00466F90">
        <w:rPr>
          <w:color w:val="000000" w:themeColor="text1"/>
          <w:shd w:val="clear" w:color="auto" w:fill="FFFFFF"/>
        </w:rPr>
        <w:t>DMH is a</w:t>
      </w:r>
      <w:r w:rsidRPr="00291B85">
        <w:rPr>
          <w:color w:val="000000" w:themeColor="text1"/>
          <w:shd w:val="clear" w:color="auto" w:fill="FFFFFF"/>
        </w:rPr>
        <w:t xml:space="preserve"> state agenc</w:t>
      </w:r>
      <w:r w:rsidRPr="00466F90">
        <w:rPr>
          <w:color w:val="000000" w:themeColor="text1"/>
          <w:shd w:val="clear" w:color="auto" w:fill="FFFFFF"/>
        </w:rPr>
        <w:t>y</w:t>
      </w:r>
      <w:r w:rsidRPr="00291B85">
        <w:rPr>
          <w:color w:val="000000" w:themeColor="text1"/>
          <w:shd w:val="clear" w:color="auto" w:fill="FFFFFF"/>
        </w:rPr>
        <w:t xml:space="preserve"> falling squarely within the grant of authority conferred to the BSEA under the aforementioned regulations.</w:t>
      </w:r>
      <w:r w:rsidRPr="00466F90">
        <w:rPr>
          <w:color w:val="000000" w:themeColor="text1"/>
        </w:rPr>
        <w:t xml:space="preserve"> </w:t>
      </w:r>
      <w:r w:rsidR="00AA591D">
        <w:rPr>
          <w:color w:val="000000" w:themeColor="text1"/>
        </w:rPr>
        <w:t>A</w:t>
      </w:r>
      <w:r w:rsidRPr="00466F90">
        <w:rPr>
          <w:color w:val="000000" w:themeColor="text1"/>
        </w:rPr>
        <w:t xml:space="preserve"> </w:t>
      </w:r>
      <w:r w:rsidRPr="00466F90">
        <w:rPr>
          <w:color w:val="000000" w:themeColor="text1"/>
          <w:shd w:val="clear" w:color="auto" w:fill="FFFFFF"/>
        </w:rPr>
        <w:t>“BSEA Hearing Officer may require DMH</w:t>
      </w:r>
      <w:r w:rsidRPr="00466F90">
        <w:rPr>
          <w:rStyle w:val="apple-converted-space"/>
          <w:color w:val="000000" w:themeColor="text1"/>
          <w:shd w:val="clear" w:color="auto" w:fill="FFFFFF"/>
        </w:rPr>
        <w:t> </w:t>
      </w:r>
      <w:r w:rsidRPr="00466F90">
        <w:rPr>
          <w:color w:val="000000" w:themeColor="text1"/>
          <w:shd w:val="clear" w:color="auto" w:fill="FFFFFF"/>
        </w:rPr>
        <w:t>to provide additional services but only in accordance with the</w:t>
      </w:r>
      <w:r w:rsidRPr="00466F90">
        <w:rPr>
          <w:rStyle w:val="apple-converted-space"/>
          <w:color w:val="000000" w:themeColor="text1"/>
          <w:shd w:val="clear" w:color="auto" w:fill="FFFFFF"/>
        </w:rPr>
        <w:t xml:space="preserve"> DMH </w:t>
      </w:r>
      <w:r w:rsidRPr="00466F90">
        <w:rPr>
          <w:color w:val="000000" w:themeColor="text1"/>
          <w:shd w:val="clear" w:color="auto" w:fill="FFFFFF"/>
        </w:rPr>
        <w:t>rules, regulations, and policies.</w:t>
      </w:r>
      <w:r w:rsidR="007B7E50" w:rsidRPr="00466F90">
        <w:rPr>
          <w:color w:val="000000" w:themeColor="text1"/>
          <w:shd w:val="clear" w:color="auto" w:fill="FFFFFF"/>
        </w:rPr>
        <w:t>”</w:t>
      </w:r>
      <w:r w:rsidR="007B7E50" w:rsidRPr="00466F90">
        <w:rPr>
          <w:rStyle w:val="FootnoteReference"/>
          <w:color w:val="000000" w:themeColor="text1"/>
          <w:shd w:val="clear" w:color="auto" w:fill="FFFFFF"/>
        </w:rPr>
        <w:footnoteReference w:id="8"/>
      </w:r>
      <w:r w:rsidRPr="00466F90">
        <w:rPr>
          <w:rStyle w:val="apple-converted-space"/>
          <w:color w:val="000000" w:themeColor="text1"/>
          <w:shd w:val="clear" w:color="auto" w:fill="FFFFFF"/>
        </w:rPr>
        <w:t> </w:t>
      </w:r>
      <w:r w:rsidR="007B7E50" w:rsidRPr="00466F90">
        <w:rPr>
          <w:color w:val="000000" w:themeColor="text1"/>
        </w:rPr>
        <w:t xml:space="preserve"> </w:t>
      </w:r>
      <w:r w:rsidR="00896256" w:rsidRPr="00466F90">
        <w:rPr>
          <w:color w:val="000000" w:themeColor="text1"/>
          <w:shd w:val="clear" w:color="auto" w:fill="FFFFFF"/>
        </w:rPr>
        <w:t xml:space="preserve"> </w:t>
      </w:r>
      <w:r w:rsidR="003729DB" w:rsidRPr="000F1618">
        <w:t xml:space="preserve">When an agency has found a client eligible for services, the BSEA may order the provision of specific services, even if the agency originally exercised its discretion to withhold them. </w:t>
      </w:r>
      <w:r w:rsidR="003729DB">
        <w:rPr>
          <w:rStyle w:val="FootnoteReference"/>
        </w:rPr>
        <w:footnoteReference w:id="9"/>
      </w:r>
      <w:r w:rsidR="003729DB">
        <w:t xml:space="preserve"> </w:t>
      </w:r>
      <w:r w:rsidR="00EC508D" w:rsidRPr="00466F90">
        <w:rPr>
          <w:color w:val="000000" w:themeColor="text1"/>
          <w:shd w:val="clear" w:color="auto" w:fill="FFFFFF"/>
        </w:rPr>
        <w:t>On October 30, 2019</w:t>
      </w:r>
      <w:r w:rsidR="0082636E" w:rsidRPr="00466F90">
        <w:rPr>
          <w:color w:val="000000" w:themeColor="text1"/>
          <w:shd w:val="clear" w:color="auto" w:fill="FFFFFF"/>
        </w:rPr>
        <w:t>, DMH offered g</w:t>
      </w:r>
      <w:r w:rsidR="0082636E" w:rsidRPr="00466F90">
        <w:t>uidance and clarification in the implementation of DMH</w:t>
      </w:r>
      <w:r w:rsidR="007C59E9" w:rsidRPr="00466F90">
        <w:t>’s</w:t>
      </w:r>
      <w:r w:rsidR="0082636E" w:rsidRPr="00466F90">
        <w:t xml:space="preserve"> service authorization regulations, 104 CMR 29.00</w:t>
      </w:r>
      <w:r w:rsidR="00856619">
        <w:t>,</w:t>
      </w:r>
      <w:r w:rsidR="0082636E" w:rsidRPr="00466F90">
        <w:t xml:space="preserve"> with respect to provision of residential intervention for children, youth and young adults</w:t>
      </w:r>
      <w:r w:rsidR="007C59E9" w:rsidRPr="00466F90">
        <w:t xml:space="preserve"> (“2019 Guidance”)</w:t>
      </w:r>
      <w:r w:rsidR="0082636E" w:rsidRPr="00466F90">
        <w:t xml:space="preserve">. </w:t>
      </w:r>
      <w:r w:rsidR="00C32199" w:rsidRPr="00466F90">
        <w:t>Specifically</w:t>
      </w:r>
      <w:r w:rsidR="007C59E9" w:rsidRPr="00466F90">
        <w:t xml:space="preserve">, the 2019 Guidance indicated </w:t>
      </w:r>
      <w:r w:rsidR="006D5FC5" w:rsidRPr="00466F90">
        <w:t>as follows:</w:t>
      </w:r>
    </w:p>
    <w:p w:rsidR="006D5FC5" w:rsidRPr="00466F90" w:rsidRDefault="007C59E9" w:rsidP="007C532F">
      <w:pPr>
        <w:pStyle w:val="NormalWeb"/>
        <w:ind w:left="720" w:right="720"/>
      </w:pPr>
      <w:r w:rsidRPr="00466F90">
        <w:t>DMH will not fund residential placements in 24/7 residential schools when it is determined that the youth needs such a service to make educational progress, which includes the generalization of skills necessary for safe community living. For DMH service authorized youth who require such placements, DMH may be involved to provide ancillary services within its service system as clinically indicated, and will assist the youth in transitioning back to a community based setting as soon as possible.</w:t>
      </w:r>
    </w:p>
    <w:p w:rsidR="00F76999" w:rsidRPr="00466F90" w:rsidRDefault="006D5FC5" w:rsidP="007C532F">
      <w:pPr>
        <w:spacing w:before="100" w:beforeAutospacing="1" w:after="100" w:afterAutospacing="1"/>
        <w:ind w:left="720" w:right="720"/>
      </w:pPr>
      <w:r w:rsidRPr="006D5FC5">
        <w:t>DMH will fund the residential portion of a 24/7 residential school placement in extraordinary circumstances; typically in cases where the youth could function in a less restrictive community setting, but where there are no appropriate openings within DMH’s group care system. DMH will authorize and fund this service on a short-term basis only.</w:t>
      </w:r>
      <w:r w:rsidR="00463808" w:rsidRPr="00466F90">
        <w:rPr>
          <w:rStyle w:val="FootnoteReference"/>
        </w:rPr>
        <w:footnoteReference w:id="10"/>
      </w:r>
      <w:r w:rsidR="007C59E9" w:rsidRPr="00466F90">
        <w:t xml:space="preserve"> </w:t>
      </w:r>
    </w:p>
    <w:p w:rsidR="00822277" w:rsidRPr="00466F90" w:rsidRDefault="00D802A3" w:rsidP="004A36E0">
      <w:pPr>
        <w:rPr>
          <w:color w:val="000000" w:themeColor="text1"/>
        </w:rPr>
      </w:pPr>
      <w:r w:rsidRPr="00466F90">
        <w:rPr>
          <w:b/>
          <w:bCs/>
          <w:color w:val="000000" w:themeColor="text1"/>
        </w:rPr>
        <w:t>APPLICATION OF LEGAL STANDARDS</w:t>
      </w:r>
      <w:r w:rsidR="002B3215" w:rsidRPr="00466F90">
        <w:rPr>
          <w:b/>
          <w:bCs/>
          <w:color w:val="000000" w:themeColor="text1"/>
        </w:rPr>
        <w:t xml:space="preserve"> AND CONCLUSION</w:t>
      </w:r>
      <w:r w:rsidRPr="00466F90">
        <w:rPr>
          <w:b/>
          <w:bCs/>
          <w:color w:val="000000" w:themeColor="text1"/>
        </w:rPr>
        <w:t>:</w:t>
      </w:r>
    </w:p>
    <w:p w:rsidR="0041149D" w:rsidRPr="00466F90" w:rsidRDefault="002B3215" w:rsidP="0081553B">
      <w:pPr>
        <w:pStyle w:val="NormalWeb"/>
        <w:rPr>
          <w:color w:val="000000" w:themeColor="text1"/>
        </w:rPr>
      </w:pPr>
      <w:r w:rsidRPr="00466F90">
        <w:rPr>
          <w:color w:val="000000" w:themeColor="text1"/>
        </w:rPr>
        <w:t>In order to decide whether joinder</w:t>
      </w:r>
      <w:r w:rsidR="00A271A2" w:rsidRPr="00466F90">
        <w:rPr>
          <w:color w:val="000000" w:themeColor="text1"/>
        </w:rPr>
        <w:t xml:space="preserve"> </w:t>
      </w:r>
      <w:r w:rsidR="00B321C6" w:rsidRPr="00466F90">
        <w:rPr>
          <w:color w:val="000000" w:themeColor="text1"/>
        </w:rPr>
        <w:t xml:space="preserve">of DMH </w:t>
      </w:r>
      <w:r w:rsidR="00A271A2" w:rsidRPr="00466F90">
        <w:rPr>
          <w:color w:val="000000" w:themeColor="text1"/>
        </w:rPr>
        <w:t>in this matter</w:t>
      </w:r>
      <w:r w:rsidRPr="00466F90">
        <w:rPr>
          <w:color w:val="000000" w:themeColor="text1"/>
        </w:rPr>
        <w:t xml:space="preserve"> is appropriate</w:t>
      </w:r>
      <w:r w:rsidR="00B321C6" w:rsidRPr="00466F90">
        <w:rPr>
          <w:color w:val="000000" w:themeColor="text1"/>
        </w:rPr>
        <w:t xml:space="preserve">, </w:t>
      </w:r>
      <w:r w:rsidR="00E75AA2" w:rsidRPr="00466F90">
        <w:rPr>
          <w:color w:val="000000" w:themeColor="text1"/>
        </w:rPr>
        <w:t xml:space="preserve">I must first determine whether complete relief may be granted among those who are already parties, or if </w:t>
      </w:r>
      <w:r w:rsidR="00B321C6" w:rsidRPr="00466F90">
        <w:rPr>
          <w:color w:val="000000" w:themeColor="text1"/>
        </w:rPr>
        <w:t>DMH</w:t>
      </w:r>
      <w:r w:rsidR="00E75AA2" w:rsidRPr="00466F90">
        <w:rPr>
          <w:color w:val="000000" w:themeColor="text1"/>
        </w:rPr>
        <w:t xml:space="preserve"> has an interest relating to the subject matter of the case and is so situated that the case cannot be disposed of in its absence</w:t>
      </w:r>
      <w:r w:rsidR="003729DB">
        <w:rPr>
          <w:color w:val="000000" w:themeColor="text1"/>
        </w:rPr>
        <w:t>.</w:t>
      </w:r>
      <w:r w:rsidR="00E75AA2" w:rsidRPr="00466F90">
        <w:rPr>
          <w:rStyle w:val="FootnoteReference"/>
          <w:color w:val="000000" w:themeColor="text1"/>
        </w:rPr>
        <w:footnoteReference w:id="11"/>
      </w:r>
      <w:r w:rsidR="007C532F">
        <w:rPr>
          <w:color w:val="000000" w:themeColor="text1"/>
        </w:rPr>
        <w:t xml:space="preserve"> I</w:t>
      </w:r>
      <w:r w:rsidR="00E75AA2" w:rsidRPr="00466F90">
        <w:rPr>
          <w:color w:val="000000" w:themeColor="text1"/>
        </w:rPr>
        <w:t xml:space="preserve">f so, </w:t>
      </w:r>
      <w:r w:rsidR="007C532F">
        <w:rPr>
          <w:color w:val="000000" w:themeColor="text1"/>
        </w:rPr>
        <w:t xml:space="preserve">I must then determine </w:t>
      </w:r>
      <w:r w:rsidR="00E75AA2" w:rsidRPr="00466F90">
        <w:rPr>
          <w:color w:val="000000" w:themeColor="text1"/>
        </w:rPr>
        <w:t xml:space="preserve">whether joinder of </w:t>
      </w:r>
      <w:r w:rsidR="00B321C6" w:rsidRPr="00466F90">
        <w:rPr>
          <w:color w:val="000000" w:themeColor="text1"/>
        </w:rPr>
        <w:t>DMH</w:t>
      </w:r>
      <w:r w:rsidR="00E75AA2" w:rsidRPr="00466F90">
        <w:rPr>
          <w:color w:val="000000" w:themeColor="text1"/>
        </w:rPr>
        <w:t xml:space="preserve"> is in accordance with the agency’s rules, regulations, and policies.</w:t>
      </w:r>
      <w:r w:rsidR="00E75AA2" w:rsidRPr="00466F90">
        <w:rPr>
          <w:rStyle w:val="FootnoteReference"/>
          <w:color w:val="000000" w:themeColor="text1"/>
        </w:rPr>
        <w:footnoteReference w:id="12"/>
      </w:r>
      <w:r w:rsidR="00E75AA2" w:rsidRPr="00466F90">
        <w:rPr>
          <w:color w:val="000000" w:themeColor="text1"/>
        </w:rPr>
        <w:t xml:space="preserve"> </w:t>
      </w:r>
    </w:p>
    <w:p w:rsidR="00822277" w:rsidRPr="00466F90" w:rsidRDefault="00822277" w:rsidP="00822277">
      <w:pPr>
        <w:rPr>
          <w:color w:val="000000" w:themeColor="text1"/>
        </w:rPr>
      </w:pPr>
      <w:r w:rsidRPr="00466F90">
        <w:rPr>
          <w:color w:val="000000" w:themeColor="text1"/>
        </w:rPr>
        <w:t>It is not disputed that pursuant to its own rules, regulations and policies relative to providing services for children with a serious emotional disturbance, Student is eligible to receive DMH continuing care services</w:t>
      </w:r>
      <w:r w:rsidR="00A15E4B" w:rsidRPr="00466F90">
        <w:rPr>
          <w:color w:val="000000" w:themeColor="text1"/>
        </w:rPr>
        <w:t>.</w:t>
      </w:r>
      <w:r w:rsidRPr="00466F90">
        <w:rPr>
          <w:color w:val="000000" w:themeColor="text1"/>
        </w:rPr>
        <w:t xml:space="preserve"> </w:t>
      </w:r>
      <w:r w:rsidR="00A15E4B" w:rsidRPr="00466F90">
        <w:rPr>
          <w:color w:val="000000" w:themeColor="text1"/>
        </w:rPr>
        <w:t xml:space="preserve">Beginning in March 2016 and until Student entered a DMH-funded residential treatment program, </w:t>
      </w:r>
      <w:r w:rsidRPr="00466F90">
        <w:rPr>
          <w:color w:val="000000" w:themeColor="text1"/>
        </w:rPr>
        <w:t>DMH provid</w:t>
      </w:r>
      <w:r w:rsidR="00A15E4B" w:rsidRPr="00466F90">
        <w:rPr>
          <w:color w:val="000000" w:themeColor="text1"/>
        </w:rPr>
        <w:t>ed</w:t>
      </w:r>
      <w:r w:rsidRPr="00466F90">
        <w:rPr>
          <w:color w:val="000000" w:themeColor="text1"/>
        </w:rPr>
        <w:t xml:space="preserve"> the family with therapeutic services </w:t>
      </w:r>
      <w:r w:rsidR="00497D78" w:rsidRPr="00466F90">
        <w:rPr>
          <w:color w:val="000000" w:themeColor="text1"/>
        </w:rPr>
        <w:t>at home</w:t>
      </w:r>
      <w:r w:rsidR="00D035FC" w:rsidRPr="00466F90">
        <w:rPr>
          <w:color w:val="000000" w:themeColor="text1"/>
        </w:rPr>
        <w:t xml:space="preserve">.  Furthermore, </w:t>
      </w:r>
      <w:r w:rsidR="00347204" w:rsidRPr="00466F90">
        <w:rPr>
          <w:color w:val="000000" w:themeColor="text1"/>
        </w:rPr>
        <w:t>since March 2019</w:t>
      </w:r>
      <w:r w:rsidR="00461BB7" w:rsidRPr="00466F90">
        <w:rPr>
          <w:color w:val="000000" w:themeColor="text1"/>
        </w:rPr>
        <w:t>,</w:t>
      </w:r>
      <w:r w:rsidR="00497D78" w:rsidRPr="00466F90">
        <w:rPr>
          <w:color w:val="000000" w:themeColor="text1"/>
        </w:rPr>
        <w:t xml:space="preserve"> Student </w:t>
      </w:r>
      <w:r w:rsidR="00461BB7" w:rsidRPr="00466F90">
        <w:rPr>
          <w:color w:val="000000" w:themeColor="text1"/>
        </w:rPr>
        <w:t xml:space="preserve">has been residing </w:t>
      </w:r>
      <w:r w:rsidR="00497D78" w:rsidRPr="00466F90">
        <w:rPr>
          <w:color w:val="000000" w:themeColor="text1"/>
        </w:rPr>
        <w:t>in a</w:t>
      </w:r>
      <w:r w:rsidR="00461BB7" w:rsidRPr="00466F90">
        <w:rPr>
          <w:color w:val="000000" w:themeColor="text1"/>
        </w:rPr>
        <w:t xml:space="preserve"> DMH</w:t>
      </w:r>
      <w:r w:rsidR="00497D78" w:rsidRPr="00466F90">
        <w:rPr>
          <w:color w:val="000000" w:themeColor="text1"/>
        </w:rPr>
        <w:t xml:space="preserve"> group home.</w:t>
      </w:r>
      <w:r w:rsidRPr="00466F90">
        <w:rPr>
          <w:color w:val="000000" w:themeColor="text1"/>
        </w:rPr>
        <w:t xml:space="preserve"> </w:t>
      </w:r>
      <w:r w:rsidR="00497D78" w:rsidRPr="00466F90">
        <w:rPr>
          <w:color w:val="000000" w:themeColor="text1"/>
        </w:rPr>
        <w:t xml:space="preserve"> </w:t>
      </w:r>
    </w:p>
    <w:p w:rsidR="00DF3189" w:rsidRPr="00466F90" w:rsidRDefault="00DF3189" w:rsidP="00822277">
      <w:pPr>
        <w:rPr>
          <w:color w:val="000000" w:themeColor="text1"/>
        </w:rPr>
      </w:pPr>
    </w:p>
    <w:p w:rsidR="00DF3189" w:rsidRPr="00466F90" w:rsidRDefault="0016735C" w:rsidP="00822277">
      <w:pPr>
        <w:rPr>
          <w:color w:val="000000" w:themeColor="text1"/>
        </w:rPr>
      </w:pPr>
      <w:r>
        <w:t xml:space="preserve">Parents now seek a residential school placement for Student.  The District disputes it is responsible to fund the residential cost, and, along with Parents, assert that DMH is responsible </w:t>
      </w:r>
      <w:r w:rsidR="00404B42" w:rsidRPr="00466F90">
        <w:rPr>
          <w:color w:val="000000" w:themeColor="text1"/>
        </w:rPr>
        <w:t>for addressing Student’s mental health needs, which are distinct and separate from his learning needs.</w:t>
      </w:r>
      <w:r w:rsidR="00384BB7" w:rsidRPr="00466F90">
        <w:rPr>
          <w:color w:val="000000" w:themeColor="text1"/>
        </w:rPr>
        <w:t xml:space="preserve"> </w:t>
      </w:r>
      <w:r w:rsidR="00893C79" w:rsidRPr="00466F90">
        <w:rPr>
          <w:color w:val="000000" w:themeColor="text1"/>
        </w:rPr>
        <w:t xml:space="preserve">However, </w:t>
      </w:r>
      <w:r w:rsidR="00384BB7" w:rsidRPr="00466F90">
        <w:rPr>
          <w:color w:val="000000" w:themeColor="text1"/>
        </w:rPr>
        <w:t xml:space="preserve">DMH asserts </w:t>
      </w:r>
      <w:r w:rsidR="00893C79" w:rsidRPr="00466F90">
        <w:rPr>
          <w:color w:val="000000" w:themeColor="text1"/>
        </w:rPr>
        <w:t>that it has no interest in the matter</w:t>
      </w:r>
      <w:r w:rsidR="00586E71" w:rsidRPr="00466F90">
        <w:rPr>
          <w:color w:val="000000" w:themeColor="text1"/>
        </w:rPr>
        <w:t xml:space="preserve">, which may be disposed of </w:t>
      </w:r>
      <w:r w:rsidR="00856619">
        <w:rPr>
          <w:color w:val="000000" w:themeColor="text1"/>
        </w:rPr>
        <w:t>absent</w:t>
      </w:r>
      <w:r w:rsidR="00586E71" w:rsidRPr="00466F90">
        <w:rPr>
          <w:color w:val="000000" w:themeColor="text1"/>
        </w:rPr>
        <w:t xml:space="preserve"> its participation without any prejudice to the parties.  DMH argues that </w:t>
      </w:r>
      <w:r w:rsidR="00893C79" w:rsidRPr="00466F90">
        <w:rPr>
          <w:color w:val="000000" w:themeColor="text1"/>
        </w:rPr>
        <w:t xml:space="preserve">the District seeks joinder of DMH solely so that DMH could be ordered to pay for the residential portion of a private residential school placement for Student or that DMH be ordered to provide other services to Student in the event that the Hearing Officer determines that a day placement is appropriate. </w:t>
      </w:r>
      <w:r w:rsidR="005E4869">
        <w:rPr>
          <w:color w:val="000000" w:themeColor="text1"/>
        </w:rPr>
        <w:t xml:space="preserve">Moreover, </w:t>
      </w:r>
      <w:r w:rsidR="00893C79" w:rsidRPr="00466F90">
        <w:rPr>
          <w:color w:val="000000" w:themeColor="text1"/>
        </w:rPr>
        <w:t xml:space="preserve">DMH </w:t>
      </w:r>
      <w:r>
        <w:rPr>
          <w:color w:val="000000" w:themeColor="text1"/>
        </w:rPr>
        <w:t>asserts</w:t>
      </w:r>
      <w:r w:rsidRPr="00466F90">
        <w:rPr>
          <w:color w:val="000000" w:themeColor="text1"/>
        </w:rPr>
        <w:t xml:space="preserve"> </w:t>
      </w:r>
      <w:r w:rsidR="00893C79" w:rsidRPr="00466F90">
        <w:rPr>
          <w:color w:val="000000" w:themeColor="text1"/>
        </w:rPr>
        <w:t>that DMH policy generally prohibits DMH from funding a residential school placement and that there is no suggestion here from either Parents or the District that there are any additional DMH services which are needed to meet Student’s mental health needs or to assist him in accessing a FAPE.</w:t>
      </w:r>
    </w:p>
    <w:p w:rsidR="00AE466F" w:rsidRPr="00466F90" w:rsidRDefault="00AE466F" w:rsidP="00822277">
      <w:pPr>
        <w:rPr>
          <w:color w:val="000000" w:themeColor="text1"/>
        </w:rPr>
      </w:pPr>
    </w:p>
    <w:p w:rsidR="002F622B" w:rsidRDefault="007579FA" w:rsidP="00F55977">
      <w:pPr>
        <w:rPr>
          <w:color w:val="000000" w:themeColor="text1"/>
        </w:rPr>
      </w:pPr>
      <w:r w:rsidRPr="00466F90">
        <w:rPr>
          <w:color w:val="000000" w:themeColor="text1"/>
        </w:rPr>
        <w:t>I find DMH’s argument unpersuasive</w:t>
      </w:r>
      <w:r w:rsidR="00846122">
        <w:rPr>
          <w:color w:val="000000" w:themeColor="text1"/>
        </w:rPr>
        <w:t xml:space="preserve"> because it </w:t>
      </w:r>
      <w:r w:rsidR="00846122" w:rsidRPr="00466F90">
        <w:rPr>
          <w:color w:val="000000" w:themeColor="text1"/>
        </w:rPr>
        <w:t xml:space="preserve">ignores </w:t>
      </w:r>
      <w:r w:rsidR="00846122">
        <w:rPr>
          <w:color w:val="000000" w:themeColor="text1"/>
        </w:rPr>
        <w:t>the</w:t>
      </w:r>
      <w:r w:rsidR="00846122" w:rsidRPr="00466F90">
        <w:rPr>
          <w:color w:val="000000" w:themeColor="text1"/>
        </w:rPr>
        <w:t xml:space="preserve"> </w:t>
      </w:r>
      <w:r w:rsidR="001D6845">
        <w:rPr>
          <w:color w:val="000000" w:themeColor="text1"/>
        </w:rPr>
        <w:t xml:space="preserve">broad </w:t>
      </w:r>
      <w:r w:rsidR="00846122" w:rsidRPr="00466F90">
        <w:rPr>
          <w:color w:val="000000" w:themeColor="text1"/>
        </w:rPr>
        <w:t>authority</w:t>
      </w:r>
      <w:r w:rsidR="00846122" w:rsidRPr="00466F90">
        <w:rPr>
          <w:rStyle w:val="FootnoteReference"/>
          <w:color w:val="000000" w:themeColor="text1"/>
        </w:rPr>
        <w:t xml:space="preserve"> </w:t>
      </w:r>
      <w:r w:rsidR="00846122">
        <w:rPr>
          <w:color w:val="000000" w:themeColor="text1"/>
        </w:rPr>
        <w:t xml:space="preserve">of </w:t>
      </w:r>
      <w:r w:rsidR="00F523D4">
        <w:rPr>
          <w:color w:val="000000" w:themeColor="text1"/>
        </w:rPr>
        <w:t xml:space="preserve">a </w:t>
      </w:r>
      <w:r w:rsidR="00846122">
        <w:rPr>
          <w:color w:val="000000" w:themeColor="text1"/>
        </w:rPr>
        <w:t xml:space="preserve">Hearing Officer </w:t>
      </w:r>
      <w:r w:rsidR="00846122" w:rsidRPr="00466F90">
        <w:rPr>
          <w:color w:val="000000" w:themeColor="text1"/>
        </w:rPr>
        <w:t xml:space="preserve">to fashion the relief </w:t>
      </w:r>
      <w:r w:rsidR="00F523D4">
        <w:rPr>
          <w:color w:val="000000" w:themeColor="text1"/>
        </w:rPr>
        <w:t>she</w:t>
      </w:r>
      <w:r w:rsidR="00846122" w:rsidRPr="00466F90">
        <w:rPr>
          <w:color w:val="000000" w:themeColor="text1"/>
        </w:rPr>
        <w:t xml:space="preserve"> deems appropriate</w:t>
      </w:r>
      <w:r w:rsidR="00846122" w:rsidRPr="00466F90">
        <w:rPr>
          <w:rStyle w:val="FootnoteReference"/>
          <w:color w:val="000000" w:themeColor="text1"/>
        </w:rPr>
        <w:footnoteReference w:id="13"/>
      </w:r>
      <w:r w:rsidR="00846122" w:rsidRPr="00466F90">
        <w:rPr>
          <w:color w:val="000000" w:themeColor="text1"/>
        </w:rPr>
        <w:t xml:space="preserve"> and presumes findings which can only be made following a hearing on the evidence. </w:t>
      </w:r>
      <w:r w:rsidR="000F1E15">
        <w:rPr>
          <w:color w:val="000000" w:themeColor="text1"/>
        </w:rPr>
        <w:t>Here</w:t>
      </w:r>
      <w:r w:rsidR="006C6D95" w:rsidRPr="00F55977">
        <w:rPr>
          <w:color w:val="000000" w:themeColor="text1"/>
        </w:rPr>
        <w:t>,</w:t>
      </w:r>
      <w:r w:rsidRPr="00F55977">
        <w:rPr>
          <w:color w:val="000000" w:themeColor="text1"/>
        </w:rPr>
        <w:t xml:space="preserve"> </w:t>
      </w:r>
      <w:r w:rsidR="00B05A22" w:rsidRPr="00B05A22">
        <w:rPr>
          <w:color w:val="000000" w:themeColor="text1"/>
        </w:rPr>
        <w:t xml:space="preserve">although </w:t>
      </w:r>
      <w:r w:rsidR="00B05A22" w:rsidRPr="00546BE5">
        <w:rPr>
          <w:color w:val="000000" w:themeColor="text1"/>
        </w:rPr>
        <w:t>I would not be considering a residential cost-share</w:t>
      </w:r>
      <w:r w:rsidR="00896DCA">
        <w:rPr>
          <w:color w:val="000000" w:themeColor="text1"/>
        </w:rPr>
        <w:t xml:space="preserve"> against DMH</w:t>
      </w:r>
      <w:r w:rsidR="00B05A22" w:rsidRPr="00546BE5">
        <w:rPr>
          <w:color w:val="000000" w:themeColor="text1"/>
        </w:rPr>
        <w:t>, as to do so would be violative of DMH policy,</w:t>
      </w:r>
      <w:r w:rsidR="00B05A22" w:rsidRPr="00F55977">
        <w:rPr>
          <w:color w:val="000000" w:themeColor="text1"/>
        </w:rPr>
        <w:t xml:space="preserve"> </w:t>
      </w:r>
      <w:r w:rsidR="00AE466F" w:rsidRPr="00F55977">
        <w:rPr>
          <w:color w:val="000000" w:themeColor="text1"/>
        </w:rPr>
        <w:t xml:space="preserve">it </w:t>
      </w:r>
      <w:r w:rsidR="004A166F" w:rsidRPr="00F55977">
        <w:rPr>
          <w:color w:val="000000" w:themeColor="text1"/>
        </w:rPr>
        <w:t>is</w:t>
      </w:r>
      <w:r w:rsidR="00AE466F" w:rsidRPr="00F55977">
        <w:rPr>
          <w:color w:val="000000" w:themeColor="text1"/>
        </w:rPr>
        <w:t xml:space="preserve"> premature to disregard the possibility that Student may need </w:t>
      </w:r>
      <w:r w:rsidRPr="00F55977">
        <w:rPr>
          <w:color w:val="000000" w:themeColor="text1"/>
        </w:rPr>
        <w:t>ancillary services</w:t>
      </w:r>
      <w:r w:rsidR="007322FA" w:rsidRPr="00F55977">
        <w:rPr>
          <w:color w:val="000000" w:themeColor="text1"/>
        </w:rPr>
        <w:t xml:space="preserve"> not currently provided </w:t>
      </w:r>
      <w:r w:rsidR="00CC3B3D" w:rsidRPr="00F55977">
        <w:rPr>
          <w:color w:val="000000" w:themeColor="text1"/>
        </w:rPr>
        <w:t xml:space="preserve">- and </w:t>
      </w:r>
      <w:r w:rsidR="007D2A64" w:rsidRPr="00F55977">
        <w:rPr>
          <w:color w:val="000000" w:themeColor="text1"/>
        </w:rPr>
        <w:t>separate from</w:t>
      </w:r>
      <w:r w:rsidR="00CC3B3D" w:rsidRPr="00F55977">
        <w:rPr>
          <w:color w:val="000000" w:themeColor="text1"/>
        </w:rPr>
        <w:t xml:space="preserve"> a residential placement</w:t>
      </w:r>
      <w:r w:rsidR="007D2A64" w:rsidRPr="00F55977">
        <w:rPr>
          <w:color w:val="000000" w:themeColor="text1"/>
        </w:rPr>
        <w:t xml:space="preserve">- </w:t>
      </w:r>
      <w:r w:rsidR="00AE466F" w:rsidRPr="00F55977">
        <w:rPr>
          <w:color w:val="000000" w:themeColor="text1"/>
        </w:rPr>
        <w:t xml:space="preserve">within the array of supports that can be provided by </w:t>
      </w:r>
      <w:r w:rsidR="007322FA" w:rsidRPr="00F55977">
        <w:rPr>
          <w:color w:val="000000" w:themeColor="text1"/>
        </w:rPr>
        <w:t>DMH</w:t>
      </w:r>
      <w:r w:rsidR="00AE466F" w:rsidRPr="00F55977">
        <w:rPr>
          <w:color w:val="000000" w:themeColor="text1"/>
        </w:rPr>
        <w:t xml:space="preserve"> and which </w:t>
      </w:r>
      <w:r w:rsidR="007322FA" w:rsidRPr="00F55977">
        <w:rPr>
          <w:color w:val="000000" w:themeColor="text1"/>
        </w:rPr>
        <w:t>DMH</w:t>
      </w:r>
      <w:r w:rsidR="00AE466F" w:rsidRPr="00F55977">
        <w:rPr>
          <w:color w:val="000000" w:themeColor="text1"/>
        </w:rPr>
        <w:t xml:space="preserve"> is uniquely situated to offer. </w:t>
      </w:r>
      <w:r w:rsidR="00CF2816" w:rsidRPr="00F55977">
        <w:rPr>
          <w:color w:val="000000" w:themeColor="text1"/>
        </w:rPr>
        <w:t xml:space="preserve">What those supports may </w:t>
      </w:r>
      <w:r w:rsidR="00F16F59" w:rsidRPr="00F55977">
        <w:rPr>
          <w:color w:val="000000" w:themeColor="text1"/>
        </w:rPr>
        <w:t>include</w:t>
      </w:r>
      <w:r w:rsidR="00CF2816" w:rsidRPr="00F55977">
        <w:rPr>
          <w:color w:val="000000" w:themeColor="text1"/>
        </w:rPr>
        <w:t xml:space="preserve"> will d</w:t>
      </w:r>
      <w:r w:rsidR="00560949" w:rsidRPr="00F55977">
        <w:rPr>
          <w:color w:val="000000" w:themeColor="text1"/>
        </w:rPr>
        <w:t>e</w:t>
      </w:r>
      <w:r w:rsidR="00CF2816" w:rsidRPr="00F55977">
        <w:rPr>
          <w:color w:val="000000" w:themeColor="text1"/>
        </w:rPr>
        <w:t>pend on the evidence elicited at Hearing.</w:t>
      </w:r>
      <w:r w:rsidR="00560949" w:rsidRPr="00F55977">
        <w:rPr>
          <w:color w:val="000000" w:themeColor="text1"/>
        </w:rPr>
        <w:t xml:space="preserve"> </w:t>
      </w:r>
    </w:p>
    <w:p w:rsidR="002F622B" w:rsidRDefault="002F622B" w:rsidP="00F55977">
      <w:pPr>
        <w:rPr>
          <w:color w:val="000000" w:themeColor="text1"/>
        </w:rPr>
      </w:pPr>
    </w:p>
    <w:p w:rsidR="00DD1AEE" w:rsidRDefault="009D2804" w:rsidP="00F55977">
      <w:pPr>
        <w:rPr>
          <w:color w:val="000000" w:themeColor="text1"/>
        </w:rPr>
      </w:pPr>
      <w:r w:rsidRPr="006F49C0">
        <w:rPr>
          <w:color w:val="000000" w:themeColor="text1"/>
        </w:rPr>
        <w:t xml:space="preserve">Furthermore, DMH </w:t>
      </w:r>
      <w:r w:rsidR="00610788">
        <w:rPr>
          <w:color w:val="000000" w:themeColor="text1"/>
        </w:rPr>
        <w:t>argues</w:t>
      </w:r>
      <w:r w:rsidR="00DD1AEE" w:rsidRPr="006F49C0">
        <w:rPr>
          <w:color w:val="000000" w:themeColor="text1"/>
        </w:rPr>
        <w:t xml:space="preserve"> that, in order to join a state agency, “the moving party must be able to show, at least in a preliminary way, that it will be able to present evidence at a Hearing that may result in the entity being found responsible to offer some service … to the student</w:t>
      </w:r>
      <w:r w:rsidR="00036841">
        <w:rPr>
          <w:color w:val="000000" w:themeColor="text1"/>
        </w:rPr>
        <w:t>.</w:t>
      </w:r>
      <w:r w:rsidR="00DD1AEE" w:rsidRPr="006F49C0">
        <w:rPr>
          <w:color w:val="000000" w:themeColor="text1"/>
        </w:rPr>
        <w:t>”</w:t>
      </w:r>
      <w:r w:rsidR="00DD1AEE" w:rsidRPr="006F49C0">
        <w:rPr>
          <w:rStyle w:val="FootnoteReference"/>
          <w:color w:val="000000" w:themeColor="text1"/>
        </w:rPr>
        <w:footnoteReference w:id="14"/>
      </w:r>
      <w:r w:rsidR="00DD1AEE" w:rsidRPr="00F55977">
        <w:rPr>
          <w:color w:val="000000" w:themeColor="text1"/>
        </w:rPr>
        <w:t xml:space="preserve"> </w:t>
      </w:r>
      <w:r w:rsidR="00036841">
        <w:rPr>
          <w:color w:val="000000" w:themeColor="text1"/>
        </w:rPr>
        <w:t xml:space="preserve">In </w:t>
      </w:r>
      <w:r w:rsidR="00A4004B" w:rsidRPr="00F55977">
        <w:rPr>
          <w:color w:val="000000" w:themeColor="text1"/>
        </w:rPr>
        <w:t xml:space="preserve">this case, </w:t>
      </w:r>
      <w:r w:rsidR="00036841">
        <w:rPr>
          <w:color w:val="000000" w:themeColor="text1"/>
        </w:rPr>
        <w:t xml:space="preserve">DMH submits that </w:t>
      </w:r>
      <w:r w:rsidR="00A4004B" w:rsidRPr="00F55977">
        <w:rPr>
          <w:color w:val="000000" w:themeColor="text1"/>
        </w:rPr>
        <w:t xml:space="preserve">the </w:t>
      </w:r>
      <w:r w:rsidR="00036841">
        <w:rPr>
          <w:color w:val="000000" w:themeColor="text1"/>
        </w:rPr>
        <w:t xml:space="preserve">District and Parents </w:t>
      </w:r>
      <w:r w:rsidR="00A4004B" w:rsidRPr="00F55977">
        <w:rPr>
          <w:color w:val="000000" w:themeColor="text1"/>
        </w:rPr>
        <w:t>ha</w:t>
      </w:r>
      <w:r w:rsidR="00036841">
        <w:rPr>
          <w:color w:val="000000" w:themeColor="text1"/>
        </w:rPr>
        <w:t>ve</w:t>
      </w:r>
      <w:r w:rsidR="00A4004B" w:rsidRPr="00F55977">
        <w:rPr>
          <w:color w:val="000000" w:themeColor="text1"/>
        </w:rPr>
        <w:t xml:space="preserve"> </w:t>
      </w:r>
      <w:r w:rsidR="001A4EFE">
        <w:rPr>
          <w:color w:val="000000" w:themeColor="text1"/>
        </w:rPr>
        <w:t>failed to do</w:t>
      </w:r>
      <w:r w:rsidR="00A4004B" w:rsidRPr="00F55977">
        <w:rPr>
          <w:color w:val="000000" w:themeColor="text1"/>
        </w:rPr>
        <w:t xml:space="preserve"> so.</w:t>
      </w:r>
      <w:r w:rsidRPr="00F55977">
        <w:rPr>
          <w:color w:val="000000" w:themeColor="text1"/>
        </w:rPr>
        <w:t xml:space="preserve"> However, </w:t>
      </w:r>
      <w:r w:rsidR="00036841">
        <w:rPr>
          <w:color w:val="000000" w:themeColor="text1"/>
        </w:rPr>
        <w:t xml:space="preserve">I disagree. Instead, I find </w:t>
      </w:r>
      <w:r w:rsidRPr="00F55977">
        <w:rPr>
          <w:color w:val="000000" w:themeColor="text1"/>
        </w:rPr>
        <w:t xml:space="preserve">in a “preliminary way,” the District </w:t>
      </w:r>
      <w:r w:rsidR="00036841">
        <w:rPr>
          <w:color w:val="000000" w:themeColor="text1"/>
        </w:rPr>
        <w:t xml:space="preserve">and Parents </w:t>
      </w:r>
      <w:r w:rsidRPr="00F55977">
        <w:rPr>
          <w:color w:val="000000" w:themeColor="text1"/>
        </w:rPr>
        <w:t>ha</w:t>
      </w:r>
      <w:r w:rsidR="00036841">
        <w:rPr>
          <w:color w:val="000000" w:themeColor="text1"/>
        </w:rPr>
        <w:t>ve</w:t>
      </w:r>
      <w:r w:rsidR="001A4EFE">
        <w:rPr>
          <w:color w:val="000000" w:themeColor="text1"/>
        </w:rPr>
        <w:t>, in fact, done just that</w:t>
      </w:r>
      <w:r w:rsidRPr="00F55977">
        <w:rPr>
          <w:color w:val="000000" w:themeColor="text1"/>
        </w:rPr>
        <w:t>.</w:t>
      </w:r>
      <w:r w:rsidR="00EC2E45" w:rsidRPr="00F55977">
        <w:rPr>
          <w:color w:val="000000" w:themeColor="text1"/>
        </w:rPr>
        <w:t xml:space="preserve"> Both Parents and the District </w:t>
      </w:r>
      <w:r w:rsidR="00F55977">
        <w:rPr>
          <w:color w:val="000000" w:themeColor="text1"/>
        </w:rPr>
        <w:t xml:space="preserve">assert that </w:t>
      </w:r>
      <w:r w:rsidR="00F55977" w:rsidRPr="00F55977">
        <w:rPr>
          <w:color w:val="000000" w:themeColor="text1"/>
        </w:rPr>
        <w:t>Student continues to be very closed emotionally</w:t>
      </w:r>
      <w:r w:rsidR="00036841">
        <w:rPr>
          <w:color w:val="000000" w:themeColor="text1"/>
        </w:rPr>
        <w:t xml:space="preserve">, </w:t>
      </w:r>
      <w:r w:rsidR="00F55977" w:rsidRPr="00F55977">
        <w:rPr>
          <w:color w:val="000000" w:themeColor="text1"/>
        </w:rPr>
        <w:t>to have limited insight into the causes of his ongoing emotional distress</w:t>
      </w:r>
      <w:r w:rsidR="00F55977">
        <w:rPr>
          <w:color w:val="000000" w:themeColor="text1"/>
        </w:rPr>
        <w:t xml:space="preserve"> and that </w:t>
      </w:r>
      <w:r w:rsidR="00036841">
        <w:rPr>
          <w:color w:val="000000" w:themeColor="text1"/>
        </w:rPr>
        <w:t xml:space="preserve">he has extremely limited </w:t>
      </w:r>
      <w:r w:rsidR="00F55977" w:rsidRPr="00F55977">
        <w:rPr>
          <w:color w:val="000000" w:themeColor="text1"/>
        </w:rPr>
        <w:t>self-help and independent living skills.</w:t>
      </w:r>
      <w:r w:rsidR="00EA7892">
        <w:rPr>
          <w:color w:val="000000" w:themeColor="text1"/>
        </w:rPr>
        <w:t xml:space="preserve"> Such skill deficits</w:t>
      </w:r>
      <w:r w:rsidR="006F49C0">
        <w:rPr>
          <w:color w:val="000000" w:themeColor="text1"/>
        </w:rPr>
        <w:t xml:space="preserve">, if non-educational in </w:t>
      </w:r>
      <w:r w:rsidR="00856619">
        <w:rPr>
          <w:color w:val="000000" w:themeColor="text1"/>
        </w:rPr>
        <w:t>nature</w:t>
      </w:r>
      <w:r w:rsidR="006F49C0">
        <w:rPr>
          <w:color w:val="000000" w:themeColor="text1"/>
        </w:rPr>
        <w:t>,</w:t>
      </w:r>
      <w:r w:rsidR="00EA7892">
        <w:rPr>
          <w:color w:val="000000" w:themeColor="text1"/>
        </w:rPr>
        <w:t xml:space="preserve"> may, in fact, be DMH’s responsibility to </w:t>
      </w:r>
      <w:r w:rsidR="006F49C0">
        <w:rPr>
          <w:color w:val="000000" w:themeColor="text1"/>
        </w:rPr>
        <w:t>address.</w:t>
      </w:r>
    </w:p>
    <w:p w:rsidR="006F49C0" w:rsidRPr="00466F90" w:rsidRDefault="006F49C0" w:rsidP="00F55977">
      <w:pPr>
        <w:rPr>
          <w:color w:val="000000" w:themeColor="text1"/>
        </w:rPr>
      </w:pPr>
    </w:p>
    <w:p w:rsidR="00F63C76" w:rsidRPr="00B50EF1" w:rsidRDefault="006F49C0" w:rsidP="00C465C7">
      <w:r>
        <w:rPr>
          <w:color w:val="000000" w:themeColor="text1"/>
        </w:rPr>
        <w:t>Hence,</w:t>
      </w:r>
      <w:r w:rsidR="00AE466F" w:rsidRPr="00AE466F">
        <w:rPr>
          <w:color w:val="000000" w:themeColor="text1"/>
        </w:rPr>
        <w:t xml:space="preserve"> </w:t>
      </w:r>
      <w:r w:rsidR="004E703C" w:rsidRPr="00466F90">
        <w:rPr>
          <w:color w:val="000000" w:themeColor="text1"/>
        </w:rPr>
        <w:t>if I find that any additional supports</w:t>
      </w:r>
      <w:r w:rsidR="00036841">
        <w:rPr>
          <w:color w:val="000000" w:themeColor="text1"/>
        </w:rPr>
        <w:t xml:space="preserve"> beyond those </w:t>
      </w:r>
      <w:r w:rsidR="00036841" w:rsidRPr="00466F90">
        <w:rPr>
          <w:color w:val="000000" w:themeColor="text1"/>
        </w:rPr>
        <w:t xml:space="preserve">that are the responsibility of </w:t>
      </w:r>
      <w:r w:rsidR="00036841">
        <w:rPr>
          <w:color w:val="000000" w:themeColor="text1"/>
        </w:rPr>
        <w:t xml:space="preserve">the District are </w:t>
      </w:r>
      <w:r w:rsidR="00036841" w:rsidRPr="00466F90">
        <w:rPr>
          <w:color w:val="000000" w:themeColor="text1"/>
        </w:rPr>
        <w:t xml:space="preserve">necessary to ensure that </w:t>
      </w:r>
      <w:r w:rsidR="00036841">
        <w:rPr>
          <w:color w:val="000000" w:themeColor="text1"/>
        </w:rPr>
        <w:t xml:space="preserve">Student </w:t>
      </w:r>
      <w:r w:rsidR="00036841" w:rsidRPr="00466F90">
        <w:rPr>
          <w:color w:val="000000" w:themeColor="text1"/>
        </w:rPr>
        <w:t xml:space="preserve">will be able to access or benefit from </w:t>
      </w:r>
      <w:r w:rsidR="00036841">
        <w:rPr>
          <w:color w:val="000000" w:themeColor="text1"/>
        </w:rPr>
        <w:t xml:space="preserve">his </w:t>
      </w:r>
      <w:r w:rsidR="00036841" w:rsidRPr="00466F90">
        <w:rPr>
          <w:color w:val="000000" w:themeColor="text1"/>
        </w:rPr>
        <w:t>special education program and services</w:t>
      </w:r>
      <w:r w:rsidR="00036841">
        <w:rPr>
          <w:color w:val="000000" w:themeColor="text1"/>
        </w:rPr>
        <w:t xml:space="preserve">, </w:t>
      </w:r>
      <w:r w:rsidR="00CC3B3D" w:rsidRPr="00466F90">
        <w:rPr>
          <w:color w:val="000000" w:themeColor="text1"/>
        </w:rPr>
        <w:t>then</w:t>
      </w:r>
      <w:r w:rsidR="00AE466F" w:rsidRPr="00AE466F">
        <w:rPr>
          <w:color w:val="000000" w:themeColor="text1"/>
        </w:rPr>
        <w:t xml:space="preserve"> without</w:t>
      </w:r>
      <w:r w:rsidR="00CC3B3D" w:rsidRPr="00466F90">
        <w:rPr>
          <w:color w:val="000000" w:themeColor="text1"/>
        </w:rPr>
        <w:t xml:space="preserve"> joinder of DMH, </w:t>
      </w:r>
      <w:r w:rsidR="00AE466F" w:rsidRPr="00AE466F">
        <w:rPr>
          <w:color w:val="000000" w:themeColor="text1"/>
        </w:rPr>
        <w:t>complete relief cannot be granted in the instant case.</w:t>
      </w:r>
      <w:r w:rsidR="00E23C28" w:rsidRPr="00E23C28">
        <w:rPr>
          <w:rStyle w:val="FootnoteReference"/>
          <w:color w:val="000000" w:themeColor="text1"/>
        </w:rPr>
        <w:t xml:space="preserve"> </w:t>
      </w:r>
      <w:r w:rsidR="00E23C28" w:rsidRPr="00466F90">
        <w:rPr>
          <w:rStyle w:val="FootnoteReference"/>
          <w:color w:val="000000" w:themeColor="text1"/>
        </w:rPr>
        <w:footnoteReference w:id="15"/>
      </w:r>
      <w:r w:rsidR="00E23C28" w:rsidRPr="00466F90">
        <w:rPr>
          <w:color w:val="000000" w:themeColor="text1"/>
        </w:rPr>
        <w:t xml:space="preserve"> </w:t>
      </w:r>
      <w:r w:rsidR="00AE466F" w:rsidRPr="00AE466F">
        <w:rPr>
          <w:color w:val="000000" w:themeColor="text1"/>
        </w:rPr>
        <w:t xml:space="preserve"> </w:t>
      </w:r>
      <w:r w:rsidR="00E03182">
        <w:rPr>
          <w:color w:val="000000" w:themeColor="text1"/>
        </w:rPr>
        <w:t>In addition</w:t>
      </w:r>
      <w:r w:rsidR="00750E01" w:rsidRPr="00466F90">
        <w:rPr>
          <w:color w:val="000000" w:themeColor="text1"/>
        </w:rPr>
        <w:t>, a</w:t>
      </w:r>
      <w:r w:rsidR="00AE466F" w:rsidRPr="00AE466F">
        <w:rPr>
          <w:color w:val="000000" w:themeColor="text1"/>
        </w:rPr>
        <w:t xml:space="preserve">dministrative </w:t>
      </w:r>
      <w:r w:rsidR="00036841">
        <w:rPr>
          <w:color w:val="000000" w:themeColor="text1"/>
        </w:rPr>
        <w:t>efficiency</w:t>
      </w:r>
      <w:r w:rsidR="00036841" w:rsidRPr="00AE466F">
        <w:rPr>
          <w:color w:val="000000" w:themeColor="text1"/>
        </w:rPr>
        <w:t xml:space="preserve"> </w:t>
      </w:r>
      <w:r w:rsidR="00AE466F" w:rsidRPr="00AE466F">
        <w:rPr>
          <w:color w:val="000000" w:themeColor="text1"/>
        </w:rPr>
        <w:t>supports</w:t>
      </w:r>
      <w:r w:rsidR="007D2A64" w:rsidRPr="00466F90">
        <w:rPr>
          <w:color w:val="000000" w:themeColor="text1"/>
        </w:rPr>
        <w:t xml:space="preserve"> joinder of DMH</w:t>
      </w:r>
      <w:r w:rsidR="00AE466F" w:rsidRPr="00AE466F">
        <w:rPr>
          <w:color w:val="000000" w:themeColor="text1"/>
        </w:rPr>
        <w:t xml:space="preserve"> so that</w:t>
      </w:r>
      <w:r w:rsidR="0017013F">
        <w:rPr>
          <w:color w:val="000000" w:themeColor="text1"/>
        </w:rPr>
        <w:t>, if needed,</w:t>
      </w:r>
      <w:r w:rsidR="00AE466F" w:rsidRPr="00AE466F">
        <w:rPr>
          <w:color w:val="000000" w:themeColor="text1"/>
        </w:rPr>
        <w:t xml:space="preserve"> </w:t>
      </w:r>
      <w:r w:rsidR="0017013F">
        <w:rPr>
          <w:color w:val="000000" w:themeColor="text1"/>
        </w:rPr>
        <w:t xml:space="preserve">all </w:t>
      </w:r>
      <w:r w:rsidR="00AE466F" w:rsidRPr="00AE466F">
        <w:rPr>
          <w:color w:val="000000" w:themeColor="text1"/>
        </w:rPr>
        <w:t>viable alternatives and relief are available and can be fashioned to assure Student’s access to FAPE in a thoughtful and well-coordinated manner</w:t>
      </w:r>
      <w:r w:rsidR="0017013F">
        <w:rPr>
          <w:color w:val="000000" w:themeColor="text1"/>
        </w:rPr>
        <w:t>, at the conclusion of the Hearing</w:t>
      </w:r>
      <w:r w:rsidR="00AE466F" w:rsidRPr="00AE466F">
        <w:rPr>
          <w:color w:val="000000" w:themeColor="text1"/>
        </w:rPr>
        <w:t>.</w:t>
      </w:r>
      <w:r w:rsidR="00856619">
        <w:rPr>
          <w:rStyle w:val="FootnoteReference"/>
          <w:color w:val="000000" w:themeColor="text1"/>
        </w:rPr>
        <w:footnoteReference w:id="16"/>
      </w:r>
      <w:r w:rsidR="00822277" w:rsidRPr="00466F90">
        <w:rPr>
          <w:color w:val="000000" w:themeColor="text1"/>
        </w:rPr>
        <w:t xml:space="preserve"> </w:t>
      </w:r>
      <w:r w:rsidR="00E23C28">
        <w:rPr>
          <w:color w:val="000000" w:themeColor="text1"/>
        </w:rPr>
        <w:t>Moreover</w:t>
      </w:r>
      <w:r w:rsidR="00822277" w:rsidRPr="00466F90">
        <w:rPr>
          <w:color w:val="000000" w:themeColor="text1"/>
        </w:rPr>
        <w:t>, </w:t>
      </w:r>
      <w:r w:rsidR="000B2E85">
        <w:rPr>
          <w:color w:val="000000" w:themeColor="text1"/>
        </w:rPr>
        <w:t>none of DMH’s rules, regulations or policies prohibit joinder in this case</w:t>
      </w:r>
      <w:r w:rsidR="00C465C7">
        <w:rPr>
          <w:color w:val="000000" w:themeColor="text1"/>
        </w:rPr>
        <w:t xml:space="preserve">, as  responsibility for a </w:t>
      </w:r>
      <w:r w:rsidR="00B50EF1">
        <w:rPr>
          <w:color w:val="000000" w:themeColor="text1"/>
        </w:rPr>
        <w:t xml:space="preserve">residential component </w:t>
      </w:r>
      <w:r w:rsidR="00C465C7">
        <w:rPr>
          <w:color w:val="000000" w:themeColor="text1"/>
        </w:rPr>
        <w:t xml:space="preserve">is </w:t>
      </w:r>
      <w:r w:rsidR="00B50EF1">
        <w:rPr>
          <w:color w:val="000000" w:themeColor="text1"/>
        </w:rPr>
        <w:t xml:space="preserve">not </w:t>
      </w:r>
      <w:r w:rsidR="00C465C7">
        <w:rPr>
          <w:color w:val="000000" w:themeColor="text1"/>
        </w:rPr>
        <w:t xml:space="preserve">among the remedies that will be </w:t>
      </w:r>
      <w:r w:rsidR="00B50EF1">
        <w:rPr>
          <w:color w:val="000000" w:themeColor="text1"/>
        </w:rPr>
        <w:t xml:space="preserve">considered </w:t>
      </w:r>
      <w:r w:rsidR="00C465C7">
        <w:rPr>
          <w:color w:val="000000" w:themeColor="text1"/>
        </w:rPr>
        <w:t>against DMH in this matter.</w:t>
      </w:r>
      <w:r w:rsidR="00B50EF1">
        <w:rPr>
          <w:color w:val="000000" w:themeColor="text1"/>
        </w:rPr>
        <w:t xml:space="preserve">  </w:t>
      </w:r>
    </w:p>
    <w:p w:rsidR="00C8763D" w:rsidRPr="00466F90" w:rsidRDefault="00C8763D" w:rsidP="00C4014B">
      <w:pPr>
        <w:rPr>
          <w:color w:val="000000" w:themeColor="text1"/>
        </w:rPr>
      </w:pPr>
    </w:p>
    <w:p w:rsidR="00E967C3" w:rsidRPr="00AD04D6" w:rsidRDefault="00C8763D" w:rsidP="00AD04D6">
      <w:pPr>
        <w:pStyle w:val="NormalWeb"/>
        <w:shd w:val="clear" w:color="auto" w:fill="FFFFFF"/>
        <w:spacing w:before="0" w:beforeAutospacing="0" w:after="150" w:afterAutospacing="0"/>
        <w:textAlignment w:val="baseline"/>
        <w:rPr>
          <w:color w:val="000000" w:themeColor="text1"/>
        </w:rPr>
      </w:pPr>
      <w:r w:rsidRPr="00466F90">
        <w:rPr>
          <w:color w:val="000000" w:themeColor="text1"/>
        </w:rPr>
        <w:t xml:space="preserve">Therefore, </w:t>
      </w:r>
      <w:r w:rsidR="00086452" w:rsidRPr="00466F90">
        <w:rPr>
          <w:color w:val="000000" w:themeColor="text1"/>
        </w:rPr>
        <w:t>based on the facts recited above and the applicable Joinder rules</w:t>
      </w:r>
      <w:r w:rsidR="00290082" w:rsidRPr="00466F90">
        <w:rPr>
          <w:color w:val="000000" w:themeColor="text1"/>
        </w:rPr>
        <w:t xml:space="preserve"> and in order to </w:t>
      </w:r>
      <w:r w:rsidR="0017013F">
        <w:rPr>
          <w:color w:val="000000" w:themeColor="text1"/>
        </w:rPr>
        <w:t xml:space="preserve">be able to </w:t>
      </w:r>
      <w:r w:rsidR="00290082" w:rsidRPr="00466F90">
        <w:rPr>
          <w:color w:val="000000" w:themeColor="text1"/>
        </w:rPr>
        <w:t>dispose of this matter</w:t>
      </w:r>
      <w:r w:rsidR="0017013F">
        <w:rPr>
          <w:color w:val="000000" w:themeColor="text1"/>
        </w:rPr>
        <w:t xml:space="preserve"> fully</w:t>
      </w:r>
      <w:r w:rsidR="00290082" w:rsidRPr="00466F90">
        <w:rPr>
          <w:color w:val="000000" w:themeColor="text1"/>
        </w:rPr>
        <w:t xml:space="preserve">, I find that </w:t>
      </w:r>
      <w:r w:rsidR="0083128C" w:rsidRPr="00466F90">
        <w:rPr>
          <w:color w:val="000000" w:themeColor="text1"/>
        </w:rPr>
        <w:t>DMH</w:t>
      </w:r>
      <w:r w:rsidR="00290082" w:rsidRPr="00466F90">
        <w:rPr>
          <w:color w:val="000000" w:themeColor="text1"/>
        </w:rPr>
        <w:t xml:space="preserve"> must be joined as a necessary Party to this proceeding. </w:t>
      </w:r>
      <w:r w:rsidR="006C1A6D">
        <w:rPr>
          <w:color w:val="000000" w:themeColor="text1"/>
        </w:rPr>
        <w:t xml:space="preserve"> </w:t>
      </w:r>
    </w:p>
    <w:p w:rsidR="00F36594" w:rsidRPr="00466F90" w:rsidRDefault="00F36594" w:rsidP="00C4014B">
      <w:pPr>
        <w:rPr>
          <w:b/>
          <w:color w:val="000000" w:themeColor="text1"/>
        </w:rPr>
      </w:pPr>
    </w:p>
    <w:p w:rsidR="00C8763D" w:rsidRPr="00466F90" w:rsidRDefault="00C8763D" w:rsidP="00C4014B">
      <w:pPr>
        <w:rPr>
          <w:color w:val="000000" w:themeColor="text1"/>
        </w:rPr>
      </w:pPr>
      <w:r w:rsidRPr="00466F90">
        <w:rPr>
          <w:b/>
          <w:color w:val="000000" w:themeColor="text1"/>
        </w:rPr>
        <w:t>ORDER</w:t>
      </w:r>
      <w:r w:rsidRPr="00466F90">
        <w:rPr>
          <w:color w:val="000000" w:themeColor="text1"/>
        </w:rPr>
        <w:t>:</w:t>
      </w:r>
    </w:p>
    <w:p w:rsidR="00C8763D" w:rsidRPr="00466F90" w:rsidRDefault="00C8763D" w:rsidP="00C4014B">
      <w:pPr>
        <w:rPr>
          <w:color w:val="000000" w:themeColor="text1"/>
        </w:rPr>
      </w:pPr>
    </w:p>
    <w:p w:rsidR="00C8763D" w:rsidRPr="00466F90" w:rsidRDefault="00535C71" w:rsidP="00C4014B">
      <w:pPr>
        <w:rPr>
          <w:color w:val="000000" w:themeColor="text1"/>
        </w:rPr>
      </w:pPr>
      <w:r w:rsidRPr="00466F90">
        <w:rPr>
          <w:color w:val="000000" w:themeColor="text1"/>
        </w:rPr>
        <w:t>The District’s</w:t>
      </w:r>
      <w:r w:rsidR="00C8763D" w:rsidRPr="00466F90">
        <w:rPr>
          <w:color w:val="000000" w:themeColor="text1"/>
        </w:rPr>
        <w:t xml:space="preserve"> Motion to Join </w:t>
      </w:r>
      <w:r w:rsidRPr="00466F90">
        <w:rPr>
          <w:color w:val="000000" w:themeColor="text1"/>
        </w:rPr>
        <w:t xml:space="preserve">the Department of Mental </w:t>
      </w:r>
      <w:r w:rsidR="00AB279A">
        <w:rPr>
          <w:color w:val="000000" w:themeColor="text1"/>
        </w:rPr>
        <w:t>Health</w:t>
      </w:r>
      <w:r w:rsidR="00AB279A" w:rsidRPr="00466F90">
        <w:rPr>
          <w:color w:val="000000" w:themeColor="text1"/>
        </w:rPr>
        <w:t xml:space="preserve"> </w:t>
      </w:r>
      <w:r w:rsidR="00C8763D" w:rsidRPr="00466F90">
        <w:rPr>
          <w:color w:val="000000" w:themeColor="text1"/>
        </w:rPr>
        <w:t xml:space="preserve">is hereby </w:t>
      </w:r>
      <w:r w:rsidR="00C8763D" w:rsidRPr="00466F90">
        <w:rPr>
          <w:b/>
          <w:color w:val="000000" w:themeColor="text1"/>
        </w:rPr>
        <w:t>GRANTED</w:t>
      </w:r>
      <w:r w:rsidR="00C8763D" w:rsidRPr="00466F90">
        <w:rPr>
          <w:color w:val="000000" w:themeColor="text1"/>
        </w:rPr>
        <w:t xml:space="preserve">.  </w:t>
      </w:r>
      <w:r w:rsidRPr="00466F90">
        <w:rPr>
          <w:color w:val="000000" w:themeColor="text1"/>
        </w:rPr>
        <w:t xml:space="preserve">The Department of Mental </w:t>
      </w:r>
      <w:r w:rsidR="00AB279A">
        <w:rPr>
          <w:color w:val="000000" w:themeColor="text1"/>
        </w:rPr>
        <w:t>Health</w:t>
      </w:r>
      <w:r w:rsidR="00AB279A" w:rsidRPr="00466F90">
        <w:rPr>
          <w:color w:val="000000" w:themeColor="text1"/>
        </w:rPr>
        <w:t xml:space="preserve"> </w:t>
      </w:r>
      <w:r w:rsidR="00C8763D" w:rsidRPr="00466F90">
        <w:rPr>
          <w:color w:val="000000" w:themeColor="text1"/>
        </w:rPr>
        <w:t>is joined as a necessary party to this proceeding.</w:t>
      </w:r>
    </w:p>
    <w:p w:rsidR="00C8763D" w:rsidRPr="00466F90" w:rsidRDefault="00C8763D" w:rsidP="00C4014B">
      <w:pPr>
        <w:rPr>
          <w:color w:val="000000" w:themeColor="text1"/>
        </w:rPr>
      </w:pPr>
    </w:p>
    <w:p w:rsidR="00C8763D" w:rsidRPr="00466F90" w:rsidRDefault="00C8763D" w:rsidP="00C4014B">
      <w:pPr>
        <w:rPr>
          <w:color w:val="000000" w:themeColor="text1"/>
        </w:rPr>
      </w:pPr>
      <w:r w:rsidRPr="00466F90">
        <w:rPr>
          <w:color w:val="000000" w:themeColor="text1"/>
        </w:rPr>
        <w:t>So Ordered by the Hearing Officer,</w:t>
      </w:r>
    </w:p>
    <w:p w:rsidR="00C8763D" w:rsidRPr="00466F90" w:rsidRDefault="00C8763D" w:rsidP="00C4014B">
      <w:pPr>
        <w:rPr>
          <w:color w:val="000000" w:themeColor="text1"/>
        </w:rPr>
      </w:pPr>
    </w:p>
    <w:p w:rsidR="0047392F" w:rsidRPr="00466F90" w:rsidRDefault="0047392F" w:rsidP="00C4014B">
      <w:pPr>
        <w:rPr>
          <w:color w:val="000000" w:themeColor="text1"/>
          <w:u w:val="single"/>
        </w:rPr>
      </w:pPr>
      <w:r w:rsidRPr="00466F90">
        <w:rPr>
          <w:color w:val="000000" w:themeColor="text1"/>
          <w:u w:val="single"/>
        </w:rPr>
        <w:t xml:space="preserve">/s/ </w:t>
      </w:r>
      <w:r w:rsidRPr="008339C8">
        <w:rPr>
          <w:rFonts w:ascii="Apple Chancery" w:hAnsi="Apple Chancery" w:cs="Apple Chancery" w:hint="cs"/>
          <w:color w:val="000000" w:themeColor="text1"/>
          <w:u w:val="single"/>
        </w:rPr>
        <w:t>Alina Kantor Nir</w:t>
      </w:r>
    </w:p>
    <w:p w:rsidR="0047392F" w:rsidRPr="00466F90" w:rsidRDefault="0047392F" w:rsidP="00C4014B">
      <w:pPr>
        <w:rPr>
          <w:color w:val="000000" w:themeColor="text1"/>
        </w:rPr>
      </w:pPr>
      <w:r w:rsidRPr="00466F90">
        <w:rPr>
          <w:color w:val="000000" w:themeColor="text1"/>
        </w:rPr>
        <w:t>Hearing Officer</w:t>
      </w:r>
    </w:p>
    <w:p w:rsidR="00C8763D" w:rsidRPr="00466F90" w:rsidRDefault="00C8763D" w:rsidP="00C4014B">
      <w:pPr>
        <w:rPr>
          <w:color w:val="000000" w:themeColor="text1"/>
        </w:rPr>
      </w:pPr>
      <w:r w:rsidRPr="00466F90">
        <w:rPr>
          <w:color w:val="000000" w:themeColor="text1"/>
        </w:rPr>
        <w:t xml:space="preserve">Dated: </w:t>
      </w:r>
      <w:r w:rsidR="00176F31">
        <w:rPr>
          <w:color w:val="000000" w:themeColor="text1"/>
        </w:rPr>
        <w:t>September 20</w:t>
      </w:r>
      <w:r w:rsidRPr="00466F90">
        <w:rPr>
          <w:color w:val="000000" w:themeColor="text1"/>
        </w:rPr>
        <w:t>, 202</w:t>
      </w:r>
      <w:r w:rsidR="00654505">
        <w:rPr>
          <w:color w:val="000000" w:themeColor="text1"/>
        </w:rPr>
        <w:t>1</w:t>
      </w:r>
    </w:p>
    <w:p w:rsidR="000A782F" w:rsidRPr="00466F90" w:rsidRDefault="000A782F">
      <w:pPr>
        <w:rPr>
          <w:color w:val="000000" w:themeColor="text1"/>
        </w:rPr>
      </w:pPr>
    </w:p>
    <w:sectPr w:rsidR="000A782F" w:rsidRPr="00466F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91" w:rsidRDefault="00CB1F91" w:rsidP="00A757E1">
      <w:r>
        <w:separator/>
      </w:r>
    </w:p>
  </w:endnote>
  <w:endnote w:type="continuationSeparator" w:id="0">
    <w:p w:rsidR="00CB1F91" w:rsidRDefault="00CB1F91" w:rsidP="00A7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B1"/>
    <w:family w:val="script"/>
    <w:pitch w:val="variable"/>
    <w:sig w:usb0="00000000"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98246"/>
      <w:docPartObj>
        <w:docPartGallery w:val="Page Numbers (Bottom of Page)"/>
        <w:docPartUnique/>
      </w:docPartObj>
    </w:sdtPr>
    <w:sdtEndPr>
      <w:rPr>
        <w:noProof/>
      </w:rPr>
    </w:sdtEndPr>
    <w:sdtContent>
      <w:p w:rsidR="00615A5E" w:rsidRDefault="00615A5E">
        <w:pPr>
          <w:pStyle w:val="Footer"/>
          <w:jc w:val="center"/>
        </w:pPr>
        <w:r>
          <w:fldChar w:fldCharType="begin"/>
        </w:r>
        <w:r>
          <w:instrText xml:space="preserve"> PAGE   \* MERGEFORMAT </w:instrText>
        </w:r>
        <w:r>
          <w:fldChar w:fldCharType="separate"/>
        </w:r>
        <w:r w:rsidR="00654505">
          <w:rPr>
            <w:noProof/>
          </w:rPr>
          <w:t>6</w:t>
        </w:r>
        <w:r>
          <w:rPr>
            <w:noProof/>
          </w:rPr>
          <w:fldChar w:fldCharType="end"/>
        </w:r>
      </w:p>
    </w:sdtContent>
  </w:sdt>
  <w:p w:rsidR="00615A5E" w:rsidRDefault="00615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91" w:rsidRDefault="00CB1F91" w:rsidP="00A757E1">
      <w:r>
        <w:separator/>
      </w:r>
    </w:p>
  </w:footnote>
  <w:footnote w:type="continuationSeparator" w:id="0">
    <w:p w:rsidR="00CB1F91" w:rsidRDefault="00CB1F91" w:rsidP="00A757E1">
      <w:r>
        <w:continuationSeparator/>
      </w:r>
    </w:p>
  </w:footnote>
  <w:footnote w:id="1">
    <w:p w:rsidR="00FC680F" w:rsidRPr="000F1618" w:rsidRDefault="00FC680F" w:rsidP="00FC680F">
      <w:pPr>
        <w:pStyle w:val="FootnoteText"/>
        <w:rPr>
          <w:color w:val="000000" w:themeColor="text1"/>
        </w:rPr>
      </w:pPr>
      <w:r w:rsidRPr="000F1618">
        <w:rPr>
          <w:rStyle w:val="FootnoteReference"/>
          <w:color w:val="000000" w:themeColor="text1"/>
        </w:rPr>
        <w:footnoteRef/>
      </w:r>
      <w:r w:rsidRPr="000F1618">
        <w:rPr>
          <w:color w:val="000000" w:themeColor="text1"/>
        </w:rPr>
        <w:t xml:space="preserve"> See BSEA Hearing Rule VI D.</w:t>
      </w:r>
    </w:p>
  </w:footnote>
  <w:footnote w:id="2">
    <w:p w:rsidR="00FC680F" w:rsidRPr="000F1618" w:rsidRDefault="00FC680F" w:rsidP="00FC680F">
      <w:pPr>
        <w:pStyle w:val="FootnoteText"/>
        <w:rPr>
          <w:color w:val="000000" w:themeColor="text1"/>
        </w:rPr>
      </w:pPr>
      <w:r w:rsidRPr="000F1618">
        <w:rPr>
          <w:rStyle w:val="FootnoteReference"/>
          <w:color w:val="000000" w:themeColor="text1"/>
        </w:rPr>
        <w:t>2</w:t>
      </w:r>
      <w:r w:rsidRPr="000F1618">
        <w:rPr>
          <w:color w:val="000000" w:themeColor="text1"/>
        </w:rPr>
        <w:t xml:space="preserve"> </w:t>
      </w:r>
      <w:r w:rsidR="00943786" w:rsidRPr="000F1618">
        <w:rPr>
          <w:color w:val="000000" w:themeColor="text1"/>
        </w:rPr>
        <w:t>The following facts are not in dispute and are taken as true for the purposes of this </w:t>
      </w:r>
      <w:r w:rsidR="00943786" w:rsidRPr="000F1618">
        <w:rPr>
          <w:i/>
          <w:iCs/>
          <w:color w:val="000000" w:themeColor="text1"/>
        </w:rPr>
        <w:t>Motion</w:t>
      </w:r>
      <w:r w:rsidR="00943786" w:rsidRPr="000F1618">
        <w:rPr>
          <w:color w:val="000000" w:themeColor="text1"/>
        </w:rPr>
        <w:t>. These facts may be subject to revision in subsequent proceedings.</w:t>
      </w:r>
      <w:r w:rsidRPr="000F1618">
        <w:rPr>
          <w:color w:val="000000" w:themeColor="text1"/>
        </w:rPr>
        <w:t xml:space="preserve">   </w:t>
      </w:r>
    </w:p>
  </w:footnote>
  <w:footnote w:id="3">
    <w:p w:rsidR="00BC05A2" w:rsidRPr="000F1618" w:rsidRDefault="00BC05A2">
      <w:pPr>
        <w:pStyle w:val="FootnoteText"/>
      </w:pPr>
      <w:r w:rsidRPr="000F1618">
        <w:rPr>
          <w:rStyle w:val="FootnoteReference"/>
        </w:rPr>
        <w:footnoteRef/>
      </w:r>
      <w:r w:rsidRPr="000F1618">
        <w:t xml:space="preserve"> </w:t>
      </w:r>
      <w:r w:rsidRPr="000F1618">
        <w:rPr>
          <w:color w:val="000000" w:themeColor="text1"/>
        </w:rPr>
        <w:t xml:space="preserve">BSEA Hearing Rule </w:t>
      </w:r>
      <w:r w:rsidR="00120180" w:rsidRPr="000F1618">
        <w:t>I</w:t>
      </w:r>
      <w:r w:rsidRPr="000F1618">
        <w:t>(J).</w:t>
      </w:r>
    </w:p>
  </w:footnote>
  <w:footnote w:id="4">
    <w:p w:rsidR="00CE10D9" w:rsidRPr="000F1618" w:rsidRDefault="00CE10D9">
      <w:pPr>
        <w:pStyle w:val="FootnoteText"/>
      </w:pPr>
      <w:r w:rsidRPr="000F1618">
        <w:rPr>
          <w:rStyle w:val="FootnoteReference"/>
        </w:rPr>
        <w:footnoteRef/>
      </w:r>
      <w:r w:rsidRPr="000F1618">
        <w:t xml:space="preserve"> MGL c. 71B, s. 3.; see also 603 CMR 28.08(3) (regulatory language similar to above-quoted statutory language).</w:t>
      </w:r>
    </w:p>
  </w:footnote>
  <w:footnote w:id="5">
    <w:p w:rsidR="00326744" w:rsidRPr="000F1618" w:rsidRDefault="00326744">
      <w:pPr>
        <w:pStyle w:val="FootnoteText"/>
      </w:pPr>
      <w:r w:rsidRPr="000F1618">
        <w:rPr>
          <w:rStyle w:val="FootnoteReference"/>
        </w:rPr>
        <w:footnoteRef/>
      </w:r>
      <w:r w:rsidRPr="000F1618">
        <w:t xml:space="preserve"> See, e.g., </w:t>
      </w:r>
      <w:r w:rsidR="00E410D8" w:rsidRPr="000F1618">
        <w:rPr>
          <w:i/>
          <w:iCs/>
        </w:rPr>
        <w:t>Ugo v. Westford Public Schools</w:t>
      </w:r>
      <w:r w:rsidR="00E410D8" w:rsidRPr="000F1618">
        <w:t xml:space="preserve">, BSEA # 16-07922 R2 (Reichbach, 2016); </w:t>
      </w:r>
      <w:r w:rsidRPr="000F1618">
        <w:rPr>
          <w:i/>
          <w:iCs/>
        </w:rPr>
        <w:t>In Re Stoughton Public Schools, Department of Developmental Services and Department of Mental Health</w:t>
      </w:r>
      <w:r w:rsidRPr="000F1618">
        <w:t>, BSEA #14</w:t>
      </w:r>
      <w:r w:rsidR="002140AE" w:rsidRPr="000F1618">
        <w:t>-</w:t>
      </w:r>
      <w:r w:rsidRPr="000F1618">
        <w:t>06800 (Crane</w:t>
      </w:r>
      <w:r w:rsidR="00E410D8" w:rsidRPr="000F1618">
        <w:t>,</w:t>
      </w:r>
      <w:r w:rsidRPr="000F1618">
        <w:t xml:space="preserve"> 2014); </w:t>
      </w:r>
      <w:r w:rsidRPr="000F1618">
        <w:rPr>
          <w:i/>
          <w:iCs/>
        </w:rPr>
        <w:t>In Re Lexington Public Schools</w:t>
      </w:r>
      <w:r w:rsidRPr="000F1618">
        <w:t>, BSEA #13</w:t>
      </w:r>
      <w:r w:rsidR="002140AE" w:rsidRPr="000F1618">
        <w:t>-</w:t>
      </w:r>
      <w:r w:rsidRPr="000F1618">
        <w:t>05048 (Figueroa</w:t>
      </w:r>
      <w:r w:rsidR="00E410D8" w:rsidRPr="000F1618">
        <w:t>,</w:t>
      </w:r>
      <w:r w:rsidRPr="000F1618">
        <w:t xml:space="preserve"> 2013).</w:t>
      </w:r>
    </w:p>
  </w:footnote>
  <w:footnote w:id="6">
    <w:p w:rsidR="00B6223F" w:rsidRPr="000F1618" w:rsidRDefault="00B6223F">
      <w:pPr>
        <w:pStyle w:val="FootnoteText"/>
      </w:pPr>
      <w:r w:rsidRPr="000F1618">
        <w:rPr>
          <w:rStyle w:val="FootnoteReference"/>
        </w:rPr>
        <w:footnoteRef/>
      </w:r>
      <w:r w:rsidRPr="000F1618">
        <w:t xml:space="preserve"> </w:t>
      </w:r>
      <w:r w:rsidR="009711E7" w:rsidRPr="000F1618">
        <w:rPr>
          <w:i/>
          <w:iCs/>
        </w:rPr>
        <w:t>In Re: Plymouth Public Schools</w:t>
      </w:r>
      <w:r w:rsidR="009711E7" w:rsidRPr="000F1618">
        <w:t xml:space="preserve"> </w:t>
      </w:r>
      <w:r w:rsidR="009711E7" w:rsidRPr="000F1618">
        <w:rPr>
          <w:i/>
          <w:iCs/>
        </w:rPr>
        <w:t>(Ruling),</w:t>
      </w:r>
      <w:r w:rsidR="009711E7" w:rsidRPr="000F1618">
        <w:t xml:space="preserve"> BSEA # 06-2584 (Crane, 2006).</w:t>
      </w:r>
    </w:p>
  </w:footnote>
  <w:footnote w:id="7">
    <w:p w:rsidR="00756779" w:rsidRPr="000F1618" w:rsidRDefault="00756779">
      <w:pPr>
        <w:pStyle w:val="FootnoteText"/>
      </w:pPr>
      <w:r w:rsidRPr="000F1618">
        <w:rPr>
          <w:rStyle w:val="FootnoteReference"/>
        </w:rPr>
        <w:footnoteRef/>
      </w:r>
      <w:r w:rsidRPr="000F1618">
        <w:t xml:space="preserve"> </w:t>
      </w:r>
      <w:r w:rsidR="006C26E9" w:rsidRPr="000F1618">
        <w:rPr>
          <w:i/>
          <w:iCs/>
        </w:rPr>
        <w:t xml:space="preserve">In Re: Boston Public Schools District, </w:t>
      </w:r>
      <w:r w:rsidR="006C26E9" w:rsidRPr="000F1618">
        <w:t>BSEA #02-4553 (Figueroa, 2002).</w:t>
      </w:r>
    </w:p>
  </w:footnote>
  <w:footnote w:id="8">
    <w:p w:rsidR="007B7E50" w:rsidRPr="000F1618" w:rsidRDefault="007B7E50">
      <w:pPr>
        <w:pStyle w:val="FootnoteText"/>
      </w:pPr>
      <w:r w:rsidRPr="000F1618">
        <w:rPr>
          <w:rStyle w:val="FootnoteReference"/>
        </w:rPr>
        <w:footnoteRef/>
      </w:r>
      <w:r w:rsidRPr="000F1618">
        <w:t xml:space="preserve"> </w:t>
      </w:r>
      <w:r w:rsidRPr="000F1618">
        <w:rPr>
          <w:i/>
          <w:iCs/>
        </w:rPr>
        <w:t>In Re: Stoughton Public Schools, Department of Developmental Services, and Department of Mental Health</w:t>
      </w:r>
      <w:r w:rsidRPr="000F1618">
        <w:t>, BSEA #14</w:t>
      </w:r>
      <w:r w:rsidR="002140AE" w:rsidRPr="000F1618">
        <w:t>-</w:t>
      </w:r>
      <w:r w:rsidRPr="000F1618">
        <w:t>06800 (Crane, 2014).</w:t>
      </w:r>
      <w:r w:rsidR="00896256" w:rsidRPr="000F1618">
        <w:t xml:space="preserve">  </w:t>
      </w:r>
    </w:p>
  </w:footnote>
  <w:footnote w:id="9">
    <w:p w:rsidR="003729DB" w:rsidRDefault="003729DB">
      <w:pPr>
        <w:pStyle w:val="FootnoteText"/>
      </w:pPr>
      <w:r>
        <w:rPr>
          <w:rStyle w:val="FootnoteReference"/>
        </w:rPr>
        <w:footnoteRef/>
      </w:r>
      <w:r>
        <w:t xml:space="preserve"> </w:t>
      </w:r>
      <w:r w:rsidRPr="000F1618">
        <w:t xml:space="preserve">See, e.g., </w:t>
      </w:r>
      <w:r w:rsidRPr="000F1618">
        <w:rPr>
          <w:i/>
          <w:iCs/>
        </w:rPr>
        <w:t>In Re: Southern Berkshire Regional School District</w:t>
      </w:r>
      <w:r w:rsidRPr="000F1618">
        <w:t>, BSEA #03-2013 (2003, Byrne</w:t>
      </w:r>
      <w:r w:rsidRPr="000F1618">
        <w:rPr>
          <w:i/>
          <w:iCs/>
        </w:rPr>
        <w:t>); In Re: Brockton Public Schools Distri</w:t>
      </w:r>
      <w:r w:rsidRPr="000F1618">
        <w:t xml:space="preserve">ct, BSEA # 02-0310 (2002, Figueroa); </w:t>
      </w:r>
      <w:r w:rsidRPr="000F1618">
        <w:rPr>
          <w:i/>
          <w:iCs/>
        </w:rPr>
        <w:t>In Re: Medford Public Schools</w:t>
      </w:r>
      <w:r w:rsidRPr="000F1618">
        <w:t>, BSEA #01-3941 (2001, Crane)</w:t>
      </w:r>
      <w:r>
        <w:t>.</w:t>
      </w:r>
    </w:p>
  </w:footnote>
  <w:footnote w:id="10">
    <w:p w:rsidR="00463808" w:rsidRPr="000F1618" w:rsidRDefault="00463808">
      <w:pPr>
        <w:pStyle w:val="FootnoteText"/>
      </w:pPr>
      <w:r w:rsidRPr="000F1618">
        <w:rPr>
          <w:rStyle w:val="FootnoteReference"/>
        </w:rPr>
        <w:footnoteRef/>
      </w:r>
      <w:r w:rsidRPr="000F1618">
        <w:t xml:space="preserve"> The 2019 Guidance may be found at </w:t>
      </w:r>
      <w:hyperlink r:id="rId1" w:history="1">
        <w:r w:rsidRPr="000F1618">
          <w:rPr>
            <w:rStyle w:val="Hyperlink"/>
          </w:rPr>
          <w:t>https://www.mass.gov/doc/19-02-dmh-child-youth-and-families-division-residential-intervention-policy-effective-october/download</w:t>
        </w:r>
      </w:hyperlink>
      <w:r w:rsidRPr="000F1618">
        <w:t xml:space="preserve">. </w:t>
      </w:r>
    </w:p>
  </w:footnote>
  <w:footnote w:id="11">
    <w:p w:rsidR="00E75AA2" w:rsidRPr="000F1618" w:rsidRDefault="00E75AA2" w:rsidP="00E75AA2">
      <w:pPr>
        <w:pStyle w:val="FootnoteText"/>
      </w:pPr>
      <w:r w:rsidRPr="000F1618">
        <w:rPr>
          <w:rStyle w:val="FootnoteReference"/>
        </w:rPr>
        <w:footnoteRef/>
      </w:r>
      <w:r w:rsidRPr="000F1618">
        <w:t xml:space="preserve"> BSEA Hearing Rule I(J).</w:t>
      </w:r>
    </w:p>
  </w:footnote>
  <w:footnote w:id="12">
    <w:p w:rsidR="00E75AA2" w:rsidRPr="000F1618" w:rsidRDefault="00E75AA2" w:rsidP="00E75AA2">
      <w:pPr>
        <w:pStyle w:val="FootnoteText"/>
      </w:pPr>
      <w:r w:rsidRPr="000F1618">
        <w:rPr>
          <w:rStyle w:val="FootnoteReference"/>
        </w:rPr>
        <w:footnoteRef/>
      </w:r>
      <w:r w:rsidRPr="000F1618">
        <w:t xml:space="preserve"> M.G.L. c. 71B, § 3.</w:t>
      </w:r>
    </w:p>
  </w:footnote>
  <w:footnote w:id="13">
    <w:p w:rsidR="00846122" w:rsidRPr="000F1618" w:rsidRDefault="00846122" w:rsidP="00846122">
      <w:pPr>
        <w:pStyle w:val="FootnoteText"/>
      </w:pPr>
      <w:r w:rsidRPr="000F1618">
        <w:rPr>
          <w:rStyle w:val="FootnoteReference"/>
        </w:rPr>
        <w:footnoteRef/>
      </w:r>
      <w:r w:rsidRPr="000F1618">
        <w:t xml:space="preserve"> </w:t>
      </w:r>
      <w:r w:rsidR="000A7451" w:rsidRPr="00466F90">
        <w:rPr>
          <w:color w:val="000000" w:themeColor="text1"/>
        </w:rPr>
        <w:t>M.G.L. c. 71B, § 3</w:t>
      </w:r>
      <w:r w:rsidR="000A7451">
        <w:rPr>
          <w:color w:val="000000" w:themeColor="text1"/>
        </w:rPr>
        <w:t xml:space="preserve">; see also </w:t>
      </w:r>
      <w:r w:rsidRPr="000F1618">
        <w:rPr>
          <w:i/>
          <w:iCs/>
          <w:color w:val="000000" w:themeColor="text1"/>
        </w:rPr>
        <w:t>School Comm. of Burlington v. Department of Ed. of Mass.,</w:t>
      </w:r>
      <w:r w:rsidRPr="000F1618">
        <w:rPr>
          <w:color w:val="000000" w:themeColor="text1"/>
        </w:rPr>
        <w:t>471 U.S. 359, 363(1985) (rel</w:t>
      </w:r>
      <w:r>
        <w:rPr>
          <w:color w:val="000000" w:themeColor="text1"/>
        </w:rPr>
        <w:t>y</w:t>
      </w:r>
      <w:r w:rsidRPr="000F1618">
        <w:rPr>
          <w:color w:val="000000" w:themeColor="text1"/>
        </w:rPr>
        <w:t>ing on 20 U.S.C. § 1415(i)(2)(C)(iii))</w:t>
      </w:r>
      <w:r w:rsidR="001D6845">
        <w:rPr>
          <w:color w:val="000000" w:themeColor="text1"/>
        </w:rPr>
        <w:t xml:space="preserve">; see also </w:t>
      </w:r>
      <w:r w:rsidR="001D6845" w:rsidRPr="00A5191F">
        <w:rPr>
          <w:i/>
          <w:iCs/>
          <w:color w:val="000000"/>
          <w:shd w:val="clear" w:color="auto" w:fill="FFFFFF"/>
        </w:rPr>
        <w:t>Forest Grove Sch. Dist. v. T.A.,</w:t>
      </w:r>
      <w:r w:rsidR="001D6845" w:rsidRPr="00A5191F">
        <w:rPr>
          <w:color w:val="000000"/>
          <w:shd w:val="clear" w:color="auto" w:fill="FFFFFF"/>
        </w:rPr>
        <w:t xml:space="preserve"> 557 U.S. 230, 244, 129 S. Ct. 2484, 2494, 174 L. Ed. 2d 168 (2009)</w:t>
      </w:r>
      <w:r w:rsidR="001D6845" w:rsidRPr="000F1618">
        <w:rPr>
          <w:color w:val="000000"/>
          <w:shd w:val="clear" w:color="auto" w:fill="FFFFFF"/>
        </w:rPr>
        <w:t xml:space="preserve"> (“§1415(i)(2)(C)(iii) authorize[es] hearing officers as well as courts to award reimbursement notwithstanding the provision's silence with regard to hearing officers”).</w:t>
      </w:r>
    </w:p>
  </w:footnote>
  <w:footnote w:id="14">
    <w:p w:rsidR="00DD1AEE" w:rsidRPr="000F1618" w:rsidRDefault="00DD1AEE" w:rsidP="00DD1AEE">
      <w:pPr>
        <w:pStyle w:val="FootnoteText"/>
      </w:pPr>
      <w:r w:rsidRPr="000F1618">
        <w:rPr>
          <w:rStyle w:val="FootnoteReference"/>
        </w:rPr>
        <w:footnoteRef/>
      </w:r>
      <w:r w:rsidRPr="000F1618">
        <w:t xml:space="preserve"> </w:t>
      </w:r>
      <w:r w:rsidRPr="000F1618">
        <w:rPr>
          <w:i/>
          <w:iCs/>
        </w:rPr>
        <w:t xml:space="preserve">In Re: Boston Public Schools District, </w:t>
      </w:r>
      <w:r w:rsidRPr="000F1618">
        <w:t>BSEA #02-4553 (Figueroa, 2002).</w:t>
      </w:r>
    </w:p>
  </w:footnote>
  <w:footnote w:id="15">
    <w:p w:rsidR="00E23C28" w:rsidRPr="00896DCA" w:rsidRDefault="00E23C28" w:rsidP="00896DCA">
      <w:pPr>
        <w:rPr>
          <w:sz w:val="20"/>
          <w:szCs w:val="20"/>
        </w:rPr>
      </w:pPr>
      <w:r w:rsidRPr="000F1618">
        <w:rPr>
          <w:rStyle w:val="FootnoteReference"/>
          <w:sz w:val="20"/>
          <w:szCs w:val="20"/>
        </w:rPr>
        <w:footnoteRef/>
      </w:r>
      <w:r w:rsidRPr="000F1618">
        <w:rPr>
          <w:sz w:val="20"/>
          <w:szCs w:val="20"/>
        </w:rPr>
        <w:t xml:space="preserve"> </w:t>
      </w:r>
      <w:r w:rsidRPr="00ED67E9">
        <w:rPr>
          <w:sz w:val="20"/>
          <w:szCs w:val="20"/>
        </w:rPr>
        <w:t xml:space="preserve">See, e.g., </w:t>
      </w:r>
      <w:r w:rsidRPr="00ED67E9">
        <w:rPr>
          <w:i/>
          <w:iCs/>
          <w:sz w:val="20"/>
          <w:szCs w:val="20"/>
        </w:rPr>
        <w:t>In Re: Plymouth Public Schools,</w:t>
      </w:r>
      <w:r w:rsidRPr="00ED67E9">
        <w:rPr>
          <w:sz w:val="20"/>
          <w:szCs w:val="20"/>
        </w:rPr>
        <w:t xml:space="preserve"> BSEA #06-2584 (Crane, 2006); </w:t>
      </w:r>
      <w:r w:rsidRPr="00ED67E9">
        <w:rPr>
          <w:i/>
          <w:iCs/>
          <w:sz w:val="20"/>
          <w:szCs w:val="20"/>
        </w:rPr>
        <w:t>In Re: Lunenburg Public Schools and Department of Mental Health</w:t>
      </w:r>
      <w:r w:rsidRPr="00ED67E9">
        <w:rPr>
          <w:sz w:val="20"/>
          <w:szCs w:val="20"/>
        </w:rPr>
        <w:t>, BSEA #05-0799 (Byrne, 2004).</w:t>
      </w:r>
    </w:p>
  </w:footnote>
  <w:footnote w:id="16">
    <w:p w:rsidR="00856619" w:rsidRDefault="00856619">
      <w:pPr>
        <w:pStyle w:val="FootnoteText"/>
      </w:pPr>
      <w:r>
        <w:rPr>
          <w:rStyle w:val="FootnoteReference"/>
        </w:rPr>
        <w:footnoteRef/>
      </w:r>
      <w:r>
        <w:t xml:space="preserve"> </w:t>
      </w:r>
      <w:r w:rsidRPr="00466F90">
        <w:rPr>
          <w:color w:val="000000" w:themeColor="text1"/>
        </w:rPr>
        <w:t xml:space="preserve">Furthermore, </w:t>
      </w:r>
      <w:r>
        <w:rPr>
          <w:color w:val="000000" w:themeColor="text1"/>
        </w:rPr>
        <w:t xml:space="preserve">although joinder </w:t>
      </w:r>
      <w:r w:rsidRPr="00B05A22">
        <w:rPr>
          <w:i/>
          <w:iCs/>
          <w:color w:val="000000" w:themeColor="text1"/>
        </w:rPr>
        <w:t>per se</w:t>
      </w:r>
      <w:r>
        <w:rPr>
          <w:color w:val="000000" w:themeColor="text1"/>
        </w:rPr>
        <w:t xml:space="preserve"> </w:t>
      </w:r>
      <w:r w:rsidR="00861A11">
        <w:rPr>
          <w:color w:val="000000" w:themeColor="text1"/>
        </w:rPr>
        <w:t>may</w:t>
      </w:r>
      <w:r>
        <w:rPr>
          <w:color w:val="000000" w:themeColor="text1"/>
        </w:rPr>
        <w:t xml:space="preserve"> not </w:t>
      </w:r>
      <w:r w:rsidR="00861A11">
        <w:rPr>
          <w:color w:val="000000" w:themeColor="text1"/>
        </w:rPr>
        <w:t xml:space="preserve">be </w:t>
      </w:r>
      <w:r>
        <w:rPr>
          <w:color w:val="000000" w:themeColor="text1"/>
        </w:rPr>
        <w:t xml:space="preserve">necessary to ensure </w:t>
      </w:r>
      <w:r w:rsidRPr="00466F90">
        <w:rPr>
          <w:color w:val="000000" w:themeColor="text1"/>
        </w:rPr>
        <w:t>DMH’s participation in the evidentiary Hearing</w:t>
      </w:r>
      <w:r w:rsidR="00861A11">
        <w:rPr>
          <w:color w:val="000000" w:themeColor="text1"/>
        </w:rPr>
        <w:t>, such participation</w:t>
      </w:r>
      <w:r w:rsidRPr="00466F90">
        <w:rPr>
          <w:color w:val="000000" w:themeColor="text1"/>
        </w:rPr>
        <w:t xml:space="preserve"> will </w:t>
      </w:r>
      <w:r>
        <w:rPr>
          <w:color w:val="000000" w:themeColor="text1"/>
        </w:rPr>
        <w:t xml:space="preserve">be beneficial to the hearing process </w:t>
      </w:r>
      <w:r w:rsidRPr="00466F90">
        <w:rPr>
          <w:color w:val="000000" w:themeColor="text1"/>
        </w:rPr>
        <w:t>because of DMH’s involvement with and expertise regarding Student’s mental health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C21"/>
    <w:multiLevelType w:val="hybridMultilevel"/>
    <w:tmpl w:val="317CC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D0336"/>
    <w:multiLevelType w:val="hybridMultilevel"/>
    <w:tmpl w:val="EFF2D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C0C5B"/>
    <w:multiLevelType w:val="hybridMultilevel"/>
    <w:tmpl w:val="45FC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A481D"/>
    <w:multiLevelType w:val="hybridMultilevel"/>
    <w:tmpl w:val="11DC961C"/>
    <w:lvl w:ilvl="0" w:tplc="7E1A2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E4336B"/>
    <w:multiLevelType w:val="hybridMultilevel"/>
    <w:tmpl w:val="74348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A34E1"/>
    <w:multiLevelType w:val="hybridMultilevel"/>
    <w:tmpl w:val="5F967600"/>
    <w:lvl w:ilvl="0" w:tplc="E154F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3F26ABD"/>
    <w:multiLevelType w:val="hybridMultilevel"/>
    <w:tmpl w:val="7FBCB09A"/>
    <w:lvl w:ilvl="0" w:tplc="3F96CE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9394432"/>
    <w:multiLevelType w:val="hybridMultilevel"/>
    <w:tmpl w:val="45FC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95F83"/>
    <w:multiLevelType w:val="hybridMultilevel"/>
    <w:tmpl w:val="248A05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8"/>
  </w:num>
  <w:num w:numId="5">
    <w:abstractNumId w:val="0"/>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A6"/>
    <w:rsid w:val="00005336"/>
    <w:rsid w:val="000056D0"/>
    <w:rsid w:val="000058B5"/>
    <w:rsid w:val="00010B7F"/>
    <w:rsid w:val="00022210"/>
    <w:rsid w:val="00027CB2"/>
    <w:rsid w:val="00036841"/>
    <w:rsid w:val="0004565F"/>
    <w:rsid w:val="00061AFC"/>
    <w:rsid w:val="000624A5"/>
    <w:rsid w:val="00076AEF"/>
    <w:rsid w:val="00085111"/>
    <w:rsid w:val="00085DE4"/>
    <w:rsid w:val="00086452"/>
    <w:rsid w:val="000928E5"/>
    <w:rsid w:val="00094C77"/>
    <w:rsid w:val="00094DDF"/>
    <w:rsid w:val="000A7451"/>
    <w:rsid w:val="000A782F"/>
    <w:rsid w:val="000B2E85"/>
    <w:rsid w:val="000C53C8"/>
    <w:rsid w:val="000C60D3"/>
    <w:rsid w:val="000D3C03"/>
    <w:rsid w:val="000D7965"/>
    <w:rsid w:val="000E3129"/>
    <w:rsid w:val="000E381D"/>
    <w:rsid w:val="000E64C1"/>
    <w:rsid w:val="000F1618"/>
    <w:rsid w:val="000F1E15"/>
    <w:rsid w:val="00101E25"/>
    <w:rsid w:val="001020D0"/>
    <w:rsid w:val="00103940"/>
    <w:rsid w:val="001159CF"/>
    <w:rsid w:val="00120180"/>
    <w:rsid w:val="00127334"/>
    <w:rsid w:val="001325BE"/>
    <w:rsid w:val="00142C91"/>
    <w:rsid w:val="0014732C"/>
    <w:rsid w:val="0015179E"/>
    <w:rsid w:val="0016735C"/>
    <w:rsid w:val="0017013F"/>
    <w:rsid w:val="001701B9"/>
    <w:rsid w:val="0017147C"/>
    <w:rsid w:val="00176F31"/>
    <w:rsid w:val="001A4EFE"/>
    <w:rsid w:val="001B3BC6"/>
    <w:rsid w:val="001B4830"/>
    <w:rsid w:val="001B78FF"/>
    <w:rsid w:val="001C3C03"/>
    <w:rsid w:val="001C5765"/>
    <w:rsid w:val="001D08C5"/>
    <w:rsid w:val="001D0F26"/>
    <w:rsid w:val="001D5779"/>
    <w:rsid w:val="001D6845"/>
    <w:rsid w:val="001D6993"/>
    <w:rsid w:val="001D756D"/>
    <w:rsid w:val="001E070F"/>
    <w:rsid w:val="001E44C7"/>
    <w:rsid w:val="001E67DA"/>
    <w:rsid w:val="001F3D63"/>
    <w:rsid w:val="001F76E1"/>
    <w:rsid w:val="0020050D"/>
    <w:rsid w:val="0020381D"/>
    <w:rsid w:val="002076E9"/>
    <w:rsid w:val="002140AE"/>
    <w:rsid w:val="00217EEA"/>
    <w:rsid w:val="00220299"/>
    <w:rsid w:val="002310AB"/>
    <w:rsid w:val="0023600C"/>
    <w:rsid w:val="0024506A"/>
    <w:rsid w:val="002572E1"/>
    <w:rsid w:val="00267D37"/>
    <w:rsid w:val="00271941"/>
    <w:rsid w:val="00273956"/>
    <w:rsid w:val="00273E28"/>
    <w:rsid w:val="00276078"/>
    <w:rsid w:val="00287829"/>
    <w:rsid w:val="00290082"/>
    <w:rsid w:val="00291B85"/>
    <w:rsid w:val="00295F61"/>
    <w:rsid w:val="002B3215"/>
    <w:rsid w:val="002D180F"/>
    <w:rsid w:val="002E12FC"/>
    <w:rsid w:val="002E1676"/>
    <w:rsid w:val="002E1CE5"/>
    <w:rsid w:val="002E7A0D"/>
    <w:rsid w:val="002F2AC9"/>
    <w:rsid w:val="002F622B"/>
    <w:rsid w:val="0030591C"/>
    <w:rsid w:val="00313E2E"/>
    <w:rsid w:val="00326744"/>
    <w:rsid w:val="00335E39"/>
    <w:rsid w:val="003414DD"/>
    <w:rsid w:val="003424B2"/>
    <w:rsid w:val="00342C31"/>
    <w:rsid w:val="00347204"/>
    <w:rsid w:val="00347E32"/>
    <w:rsid w:val="0035071C"/>
    <w:rsid w:val="00356704"/>
    <w:rsid w:val="003656EF"/>
    <w:rsid w:val="003729DB"/>
    <w:rsid w:val="003841D1"/>
    <w:rsid w:val="00384BB7"/>
    <w:rsid w:val="00386A8C"/>
    <w:rsid w:val="003910B7"/>
    <w:rsid w:val="003A6057"/>
    <w:rsid w:val="003B0095"/>
    <w:rsid w:val="003B0FC0"/>
    <w:rsid w:val="003B6CB6"/>
    <w:rsid w:val="003B739E"/>
    <w:rsid w:val="003C5BE1"/>
    <w:rsid w:val="003C6E1B"/>
    <w:rsid w:val="003D2B4E"/>
    <w:rsid w:val="003D593D"/>
    <w:rsid w:val="003E32A4"/>
    <w:rsid w:val="003E425E"/>
    <w:rsid w:val="003F3591"/>
    <w:rsid w:val="003F7391"/>
    <w:rsid w:val="00404B42"/>
    <w:rsid w:val="0041149D"/>
    <w:rsid w:val="00416ED0"/>
    <w:rsid w:val="00424869"/>
    <w:rsid w:val="00426303"/>
    <w:rsid w:val="0042676F"/>
    <w:rsid w:val="0043334B"/>
    <w:rsid w:val="004345B1"/>
    <w:rsid w:val="00453E80"/>
    <w:rsid w:val="00461BB7"/>
    <w:rsid w:val="00463808"/>
    <w:rsid w:val="00466F90"/>
    <w:rsid w:val="004709D8"/>
    <w:rsid w:val="0047280A"/>
    <w:rsid w:val="0047392F"/>
    <w:rsid w:val="00473E8F"/>
    <w:rsid w:val="004854E3"/>
    <w:rsid w:val="00491F7E"/>
    <w:rsid w:val="00497D78"/>
    <w:rsid w:val="004A166F"/>
    <w:rsid w:val="004A36E0"/>
    <w:rsid w:val="004B7ED1"/>
    <w:rsid w:val="004C2365"/>
    <w:rsid w:val="004C57F5"/>
    <w:rsid w:val="004E295D"/>
    <w:rsid w:val="004E3F4E"/>
    <w:rsid w:val="004E703C"/>
    <w:rsid w:val="004F0570"/>
    <w:rsid w:val="00515A3D"/>
    <w:rsid w:val="005305BB"/>
    <w:rsid w:val="00535C71"/>
    <w:rsid w:val="00544958"/>
    <w:rsid w:val="00546BE5"/>
    <w:rsid w:val="00560949"/>
    <w:rsid w:val="00573968"/>
    <w:rsid w:val="00580957"/>
    <w:rsid w:val="005835DC"/>
    <w:rsid w:val="00586D6D"/>
    <w:rsid w:val="00586E71"/>
    <w:rsid w:val="00591767"/>
    <w:rsid w:val="00594BA4"/>
    <w:rsid w:val="005A267E"/>
    <w:rsid w:val="005B2F99"/>
    <w:rsid w:val="005C47C4"/>
    <w:rsid w:val="005D666D"/>
    <w:rsid w:val="005E4869"/>
    <w:rsid w:val="005F3B27"/>
    <w:rsid w:val="005F7661"/>
    <w:rsid w:val="005F7A08"/>
    <w:rsid w:val="00602547"/>
    <w:rsid w:val="00603076"/>
    <w:rsid w:val="00604DB6"/>
    <w:rsid w:val="00610788"/>
    <w:rsid w:val="00615A5E"/>
    <w:rsid w:val="006206C9"/>
    <w:rsid w:val="006221AC"/>
    <w:rsid w:val="00622DF4"/>
    <w:rsid w:val="00624B15"/>
    <w:rsid w:val="00630040"/>
    <w:rsid w:val="00633039"/>
    <w:rsid w:val="00633209"/>
    <w:rsid w:val="00635FE2"/>
    <w:rsid w:val="0064089A"/>
    <w:rsid w:val="00654505"/>
    <w:rsid w:val="00660AA2"/>
    <w:rsid w:val="006678DB"/>
    <w:rsid w:val="0067123C"/>
    <w:rsid w:val="006763A4"/>
    <w:rsid w:val="00676F5A"/>
    <w:rsid w:val="00685EE3"/>
    <w:rsid w:val="006A1B9C"/>
    <w:rsid w:val="006A289B"/>
    <w:rsid w:val="006B030F"/>
    <w:rsid w:val="006C1A6D"/>
    <w:rsid w:val="006C26E9"/>
    <w:rsid w:val="006C4B59"/>
    <w:rsid w:val="006C54A3"/>
    <w:rsid w:val="006C6D95"/>
    <w:rsid w:val="006D3EC1"/>
    <w:rsid w:val="006D5FC5"/>
    <w:rsid w:val="006D6BA6"/>
    <w:rsid w:val="006E3FB4"/>
    <w:rsid w:val="006F1D80"/>
    <w:rsid w:val="006F3DD2"/>
    <w:rsid w:val="006F49C0"/>
    <w:rsid w:val="006F7C20"/>
    <w:rsid w:val="00707BAB"/>
    <w:rsid w:val="007134C8"/>
    <w:rsid w:val="00716679"/>
    <w:rsid w:val="00720B61"/>
    <w:rsid w:val="00723590"/>
    <w:rsid w:val="007237EE"/>
    <w:rsid w:val="0072770F"/>
    <w:rsid w:val="007304B1"/>
    <w:rsid w:val="007322FA"/>
    <w:rsid w:val="00750E01"/>
    <w:rsid w:val="00752A1B"/>
    <w:rsid w:val="00756779"/>
    <w:rsid w:val="007579FA"/>
    <w:rsid w:val="00760B54"/>
    <w:rsid w:val="00793143"/>
    <w:rsid w:val="007A437E"/>
    <w:rsid w:val="007B0814"/>
    <w:rsid w:val="007B629D"/>
    <w:rsid w:val="007B7E50"/>
    <w:rsid w:val="007C45CF"/>
    <w:rsid w:val="007C532F"/>
    <w:rsid w:val="007C59E9"/>
    <w:rsid w:val="007C6F06"/>
    <w:rsid w:val="007D1C7E"/>
    <w:rsid w:val="007D2A64"/>
    <w:rsid w:val="007D3A65"/>
    <w:rsid w:val="007E016D"/>
    <w:rsid w:val="007E2364"/>
    <w:rsid w:val="007F29CB"/>
    <w:rsid w:val="007F2D98"/>
    <w:rsid w:val="00805F97"/>
    <w:rsid w:val="00810FD9"/>
    <w:rsid w:val="0081553B"/>
    <w:rsid w:val="00822277"/>
    <w:rsid w:val="0082636E"/>
    <w:rsid w:val="0083128C"/>
    <w:rsid w:val="008339C8"/>
    <w:rsid w:val="00840A63"/>
    <w:rsid w:val="00844638"/>
    <w:rsid w:val="00846122"/>
    <w:rsid w:val="008479AC"/>
    <w:rsid w:val="00854264"/>
    <w:rsid w:val="00856619"/>
    <w:rsid w:val="00860D45"/>
    <w:rsid w:val="00861A11"/>
    <w:rsid w:val="00862445"/>
    <w:rsid w:val="00862755"/>
    <w:rsid w:val="00873DE9"/>
    <w:rsid w:val="00875E70"/>
    <w:rsid w:val="008873D8"/>
    <w:rsid w:val="00892FF3"/>
    <w:rsid w:val="00893C79"/>
    <w:rsid w:val="00896256"/>
    <w:rsid w:val="00896DCA"/>
    <w:rsid w:val="008A277E"/>
    <w:rsid w:val="008B48B4"/>
    <w:rsid w:val="008B7C23"/>
    <w:rsid w:val="008D2642"/>
    <w:rsid w:val="008D57ED"/>
    <w:rsid w:val="008D7328"/>
    <w:rsid w:val="008F30E3"/>
    <w:rsid w:val="008F36CC"/>
    <w:rsid w:val="00903126"/>
    <w:rsid w:val="00907590"/>
    <w:rsid w:val="0091534B"/>
    <w:rsid w:val="00917306"/>
    <w:rsid w:val="009219C1"/>
    <w:rsid w:val="009331B4"/>
    <w:rsid w:val="009409BE"/>
    <w:rsid w:val="009417C5"/>
    <w:rsid w:val="0094180E"/>
    <w:rsid w:val="00942242"/>
    <w:rsid w:val="00943786"/>
    <w:rsid w:val="009516DA"/>
    <w:rsid w:val="0095202B"/>
    <w:rsid w:val="009711E7"/>
    <w:rsid w:val="0098264E"/>
    <w:rsid w:val="009A153D"/>
    <w:rsid w:val="009C605D"/>
    <w:rsid w:val="009D0E17"/>
    <w:rsid w:val="009D2804"/>
    <w:rsid w:val="009E5031"/>
    <w:rsid w:val="009F43BA"/>
    <w:rsid w:val="009F4F69"/>
    <w:rsid w:val="009F750B"/>
    <w:rsid w:val="00A02C1C"/>
    <w:rsid w:val="00A15E4B"/>
    <w:rsid w:val="00A207FA"/>
    <w:rsid w:val="00A24DD5"/>
    <w:rsid w:val="00A271A2"/>
    <w:rsid w:val="00A3200B"/>
    <w:rsid w:val="00A4004B"/>
    <w:rsid w:val="00A460BE"/>
    <w:rsid w:val="00A5191F"/>
    <w:rsid w:val="00A55F70"/>
    <w:rsid w:val="00A65DA5"/>
    <w:rsid w:val="00A7016D"/>
    <w:rsid w:val="00A70573"/>
    <w:rsid w:val="00A72C4C"/>
    <w:rsid w:val="00A757E1"/>
    <w:rsid w:val="00AA5727"/>
    <w:rsid w:val="00AA591D"/>
    <w:rsid w:val="00AB279A"/>
    <w:rsid w:val="00AB360B"/>
    <w:rsid w:val="00AD04D6"/>
    <w:rsid w:val="00AD4B3B"/>
    <w:rsid w:val="00AD5030"/>
    <w:rsid w:val="00AE466F"/>
    <w:rsid w:val="00AE4B4E"/>
    <w:rsid w:val="00AF5C83"/>
    <w:rsid w:val="00B010D5"/>
    <w:rsid w:val="00B01BB9"/>
    <w:rsid w:val="00B05332"/>
    <w:rsid w:val="00B05A22"/>
    <w:rsid w:val="00B12D87"/>
    <w:rsid w:val="00B203FB"/>
    <w:rsid w:val="00B2173F"/>
    <w:rsid w:val="00B308A4"/>
    <w:rsid w:val="00B321C6"/>
    <w:rsid w:val="00B40FFD"/>
    <w:rsid w:val="00B41CDE"/>
    <w:rsid w:val="00B47A72"/>
    <w:rsid w:val="00B50EF1"/>
    <w:rsid w:val="00B53563"/>
    <w:rsid w:val="00B53873"/>
    <w:rsid w:val="00B6223F"/>
    <w:rsid w:val="00B74274"/>
    <w:rsid w:val="00B82BA2"/>
    <w:rsid w:val="00B83741"/>
    <w:rsid w:val="00B85F22"/>
    <w:rsid w:val="00B95518"/>
    <w:rsid w:val="00BA0812"/>
    <w:rsid w:val="00BA4EDB"/>
    <w:rsid w:val="00BA634E"/>
    <w:rsid w:val="00BC05A2"/>
    <w:rsid w:val="00BC5CCA"/>
    <w:rsid w:val="00BD12F9"/>
    <w:rsid w:val="00BD32B0"/>
    <w:rsid w:val="00BD559E"/>
    <w:rsid w:val="00BE1612"/>
    <w:rsid w:val="00BF0DAD"/>
    <w:rsid w:val="00BF2655"/>
    <w:rsid w:val="00BF7BF4"/>
    <w:rsid w:val="00C00452"/>
    <w:rsid w:val="00C030AD"/>
    <w:rsid w:val="00C04259"/>
    <w:rsid w:val="00C0511F"/>
    <w:rsid w:val="00C062C9"/>
    <w:rsid w:val="00C12B3A"/>
    <w:rsid w:val="00C16151"/>
    <w:rsid w:val="00C20BDB"/>
    <w:rsid w:val="00C21675"/>
    <w:rsid w:val="00C32199"/>
    <w:rsid w:val="00C35A39"/>
    <w:rsid w:val="00C4014B"/>
    <w:rsid w:val="00C465C7"/>
    <w:rsid w:val="00C569F9"/>
    <w:rsid w:val="00C72004"/>
    <w:rsid w:val="00C810D4"/>
    <w:rsid w:val="00C8763D"/>
    <w:rsid w:val="00C9510D"/>
    <w:rsid w:val="00CA6EB4"/>
    <w:rsid w:val="00CB1F91"/>
    <w:rsid w:val="00CB3072"/>
    <w:rsid w:val="00CB40DB"/>
    <w:rsid w:val="00CC3B3D"/>
    <w:rsid w:val="00CD1A71"/>
    <w:rsid w:val="00CD3352"/>
    <w:rsid w:val="00CD43B2"/>
    <w:rsid w:val="00CD49DE"/>
    <w:rsid w:val="00CE10D9"/>
    <w:rsid w:val="00CE3728"/>
    <w:rsid w:val="00CE3880"/>
    <w:rsid w:val="00CE79A3"/>
    <w:rsid w:val="00CF2816"/>
    <w:rsid w:val="00CF2CDA"/>
    <w:rsid w:val="00CF66D0"/>
    <w:rsid w:val="00CF6F62"/>
    <w:rsid w:val="00D035FC"/>
    <w:rsid w:val="00D418FC"/>
    <w:rsid w:val="00D520AD"/>
    <w:rsid w:val="00D802A3"/>
    <w:rsid w:val="00D875EE"/>
    <w:rsid w:val="00D937F0"/>
    <w:rsid w:val="00D94022"/>
    <w:rsid w:val="00DB6819"/>
    <w:rsid w:val="00DC325A"/>
    <w:rsid w:val="00DD1AEE"/>
    <w:rsid w:val="00DD1C6E"/>
    <w:rsid w:val="00DD40D7"/>
    <w:rsid w:val="00DD4F3F"/>
    <w:rsid w:val="00DF3189"/>
    <w:rsid w:val="00DF6429"/>
    <w:rsid w:val="00E0035D"/>
    <w:rsid w:val="00E02C0B"/>
    <w:rsid w:val="00E03182"/>
    <w:rsid w:val="00E04F02"/>
    <w:rsid w:val="00E05796"/>
    <w:rsid w:val="00E0732D"/>
    <w:rsid w:val="00E23089"/>
    <w:rsid w:val="00E23C28"/>
    <w:rsid w:val="00E33A46"/>
    <w:rsid w:val="00E36FC7"/>
    <w:rsid w:val="00E40C8F"/>
    <w:rsid w:val="00E410D8"/>
    <w:rsid w:val="00E51A31"/>
    <w:rsid w:val="00E603A6"/>
    <w:rsid w:val="00E60F2D"/>
    <w:rsid w:val="00E61EF9"/>
    <w:rsid w:val="00E65E1B"/>
    <w:rsid w:val="00E70EC1"/>
    <w:rsid w:val="00E716E4"/>
    <w:rsid w:val="00E722D3"/>
    <w:rsid w:val="00E75AA2"/>
    <w:rsid w:val="00E84E7C"/>
    <w:rsid w:val="00E86C40"/>
    <w:rsid w:val="00E87A6D"/>
    <w:rsid w:val="00E91601"/>
    <w:rsid w:val="00E967C3"/>
    <w:rsid w:val="00E97126"/>
    <w:rsid w:val="00EA7892"/>
    <w:rsid w:val="00EA7B57"/>
    <w:rsid w:val="00EB066C"/>
    <w:rsid w:val="00EB1B27"/>
    <w:rsid w:val="00EC2E45"/>
    <w:rsid w:val="00EC3ADB"/>
    <w:rsid w:val="00EC4D78"/>
    <w:rsid w:val="00EC508D"/>
    <w:rsid w:val="00EC5634"/>
    <w:rsid w:val="00EC5BB4"/>
    <w:rsid w:val="00ED0E6A"/>
    <w:rsid w:val="00ED67E9"/>
    <w:rsid w:val="00EE7C7B"/>
    <w:rsid w:val="00EF2184"/>
    <w:rsid w:val="00EF498C"/>
    <w:rsid w:val="00F00AC1"/>
    <w:rsid w:val="00F00D0A"/>
    <w:rsid w:val="00F01FC4"/>
    <w:rsid w:val="00F04271"/>
    <w:rsid w:val="00F16F59"/>
    <w:rsid w:val="00F264D5"/>
    <w:rsid w:val="00F27CDB"/>
    <w:rsid w:val="00F36594"/>
    <w:rsid w:val="00F41AFF"/>
    <w:rsid w:val="00F46FAB"/>
    <w:rsid w:val="00F523D4"/>
    <w:rsid w:val="00F55977"/>
    <w:rsid w:val="00F60D72"/>
    <w:rsid w:val="00F62B29"/>
    <w:rsid w:val="00F62BE5"/>
    <w:rsid w:val="00F63C76"/>
    <w:rsid w:val="00F76999"/>
    <w:rsid w:val="00F959DC"/>
    <w:rsid w:val="00FC4576"/>
    <w:rsid w:val="00FC680F"/>
    <w:rsid w:val="00FE4B96"/>
    <w:rsid w:val="00FF0FAC"/>
    <w:rsid w:val="00FF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B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30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F3D6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57E1"/>
    <w:rPr>
      <w:sz w:val="20"/>
      <w:szCs w:val="20"/>
    </w:rPr>
  </w:style>
  <w:style w:type="character" w:customStyle="1" w:styleId="FootnoteTextChar">
    <w:name w:val="Footnote Text Char"/>
    <w:basedOn w:val="DefaultParagraphFont"/>
    <w:link w:val="FootnoteText"/>
    <w:uiPriority w:val="99"/>
    <w:semiHidden/>
    <w:rsid w:val="00A757E1"/>
    <w:rPr>
      <w:sz w:val="20"/>
      <w:szCs w:val="20"/>
    </w:rPr>
  </w:style>
  <w:style w:type="character" w:styleId="FootnoteReference">
    <w:name w:val="footnote reference"/>
    <w:basedOn w:val="DefaultParagraphFont"/>
    <w:uiPriority w:val="99"/>
    <w:semiHidden/>
    <w:unhideWhenUsed/>
    <w:rsid w:val="00A757E1"/>
    <w:rPr>
      <w:vertAlign w:val="superscript"/>
    </w:rPr>
  </w:style>
  <w:style w:type="paragraph" w:styleId="ListParagraph">
    <w:name w:val="List Paragraph"/>
    <w:basedOn w:val="Normal"/>
    <w:uiPriority w:val="34"/>
    <w:qFormat/>
    <w:rsid w:val="00A207FA"/>
    <w:pPr>
      <w:ind w:left="720"/>
      <w:contextualSpacing/>
    </w:pPr>
  </w:style>
  <w:style w:type="character" w:styleId="Hyperlink">
    <w:name w:val="Hyperlink"/>
    <w:basedOn w:val="DefaultParagraphFont"/>
    <w:uiPriority w:val="99"/>
    <w:unhideWhenUsed/>
    <w:rsid w:val="00CB3072"/>
    <w:rPr>
      <w:color w:val="0000FF" w:themeColor="hyperlink"/>
      <w:u w:val="single"/>
    </w:rPr>
  </w:style>
  <w:style w:type="character" w:customStyle="1" w:styleId="Heading1Char">
    <w:name w:val="Heading 1 Char"/>
    <w:basedOn w:val="DefaultParagraphFont"/>
    <w:link w:val="Heading1"/>
    <w:uiPriority w:val="9"/>
    <w:rsid w:val="00CB30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34C8"/>
    <w:rPr>
      <w:rFonts w:ascii="Tahoma" w:hAnsi="Tahoma" w:cs="Tahoma"/>
      <w:sz w:val="16"/>
      <w:szCs w:val="16"/>
    </w:rPr>
  </w:style>
  <w:style w:type="character" w:customStyle="1" w:styleId="BalloonTextChar">
    <w:name w:val="Balloon Text Char"/>
    <w:basedOn w:val="DefaultParagraphFont"/>
    <w:link w:val="BalloonText"/>
    <w:uiPriority w:val="99"/>
    <w:semiHidden/>
    <w:rsid w:val="007134C8"/>
    <w:rPr>
      <w:rFonts w:ascii="Tahoma" w:hAnsi="Tahoma" w:cs="Tahoma"/>
      <w:sz w:val="16"/>
      <w:szCs w:val="16"/>
    </w:rPr>
  </w:style>
  <w:style w:type="paragraph" w:styleId="Header">
    <w:name w:val="header"/>
    <w:basedOn w:val="Normal"/>
    <w:link w:val="HeaderChar"/>
    <w:uiPriority w:val="99"/>
    <w:unhideWhenUsed/>
    <w:rsid w:val="0072770F"/>
    <w:pPr>
      <w:tabs>
        <w:tab w:val="center" w:pos="4680"/>
        <w:tab w:val="right" w:pos="9360"/>
      </w:tabs>
    </w:pPr>
  </w:style>
  <w:style w:type="character" w:customStyle="1" w:styleId="HeaderChar">
    <w:name w:val="Header Char"/>
    <w:basedOn w:val="DefaultParagraphFont"/>
    <w:link w:val="Header"/>
    <w:uiPriority w:val="99"/>
    <w:rsid w:val="0072770F"/>
  </w:style>
  <w:style w:type="paragraph" w:styleId="Footer">
    <w:name w:val="footer"/>
    <w:basedOn w:val="Normal"/>
    <w:link w:val="FooterChar"/>
    <w:uiPriority w:val="99"/>
    <w:unhideWhenUsed/>
    <w:rsid w:val="0072770F"/>
    <w:pPr>
      <w:tabs>
        <w:tab w:val="center" w:pos="4680"/>
        <w:tab w:val="right" w:pos="9360"/>
      </w:tabs>
    </w:pPr>
  </w:style>
  <w:style w:type="character" w:customStyle="1" w:styleId="FooterChar">
    <w:name w:val="Footer Char"/>
    <w:basedOn w:val="DefaultParagraphFont"/>
    <w:link w:val="Footer"/>
    <w:uiPriority w:val="99"/>
    <w:rsid w:val="0072770F"/>
  </w:style>
  <w:style w:type="paragraph" w:styleId="NormalWeb">
    <w:name w:val="Normal (Web)"/>
    <w:basedOn w:val="Normal"/>
    <w:uiPriority w:val="99"/>
    <w:unhideWhenUsed/>
    <w:rsid w:val="00086452"/>
    <w:pPr>
      <w:spacing w:before="100" w:beforeAutospacing="1" w:after="100" w:afterAutospacing="1"/>
    </w:pPr>
  </w:style>
  <w:style w:type="character" w:styleId="Strong">
    <w:name w:val="Strong"/>
    <w:basedOn w:val="DefaultParagraphFont"/>
    <w:uiPriority w:val="22"/>
    <w:qFormat/>
    <w:rsid w:val="00085DE4"/>
    <w:rPr>
      <w:b/>
      <w:bCs/>
    </w:rPr>
  </w:style>
  <w:style w:type="character" w:customStyle="1" w:styleId="UnresolvedMention">
    <w:name w:val="Unresolved Mention"/>
    <w:basedOn w:val="DefaultParagraphFont"/>
    <w:uiPriority w:val="99"/>
    <w:semiHidden/>
    <w:unhideWhenUsed/>
    <w:rsid w:val="00DB6819"/>
    <w:rPr>
      <w:color w:val="605E5C"/>
      <w:shd w:val="clear" w:color="auto" w:fill="E1DFDD"/>
    </w:rPr>
  </w:style>
  <w:style w:type="paragraph" w:styleId="BodyText">
    <w:name w:val="Body Text"/>
    <w:basedOn w:val="Normal"/>
    <w:link w:val="BodyTextChar"/>
    <w:rsid w:val="00FC680F"/>
    <w:rPr>
      <w:szCs w:val="20"/>
    </w:rPr>
  </w:style>
  <w:style w:type="character" w:customStyle="1" w:styleId="BodyTextChar">
    <w:name w:val="Body Text Char"/>
    <w:basedOn w:val="DefaultParagraphFont"/>
    <w:link w:val="BodyText"/>
    <w:rsid w:val="00FC680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F3D63"/>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AE466F"/>
  </w:style>
  <w:style w:type="character" w:styleId="CommentReference">
    <w:name w:val="annotation reference"/>
    <w:basedOn w:val="DefaultParagraphFont"/>
    <w:uiPriority w:val="99"/>
    <w:semiHidden/>
    <w:unhideWhenUsed/>
    <w:rsid w:val="00B95518"/>
    <w:rPr>
      <w:sz w:val="16"/>
      <w:szCs w:val="16"/>
    </w:rPr>
  </w:style>
  <w:style w:type="paragraph" w:styleId="CommentText">
    <w:name w:val="annotation text"/>
    <w:basedOn w:val="Normal"/>
    <w:link w:val="CommentTextChar"/>
    <w:uiPriority w:val="99"/>
    <w:semiHidden/>
    <w:unhideWhenUsed/>
    <w:rsid w:val="00B95518"/>
    <w:rPr>
      <w:sz w:val="20"/>
      <w:szCs w:val="20"/>
    </w:rPr>
  </w:style>
  <w:style w:type="character" w:customStyle="1" w:styleId="CommentTextChar">
    <w:name w:val="Comment Text Char"/>
    <w:basedOn w:val="DefaultParagraphFont"/>
    <w:link w:val="CommentText"/>
    <w:uiPriority w:val="99"/>
    <w:semiHidden/>
    <w:rsid w:val="00B95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5518"/>
    <w:rPr>
      <w:b/>
      <w:bCs/>
    </w:rPr>
  </w:style>
  <w:style w:type="character" w:customStyle="1" w:styleId="CommentSubjectChar">
    <w:name w:val="Comment Subject Char"/>
    <w:basedOn w:val="CommentTextChar"/>
    <w:link w:val="CommentSubject"/>
    <w:uiPriority w:val="99"/>
    <w:semiHidden/>
    <w:rsid w:val="00B9551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B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30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F3D6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57E1"/>
    <w:rPr>
      <w:sz w:val="20"/>
      <w:szCs w:val="20"/>
    </w:rPr>
  </w:style>
  <w:style w:type="character" w:customStyle="1" w:styleId="FootnoteTextChar">
    <w:name w:val="Footnote Text Char"/>
    <w:basedOn w:val="DefaultParagraphFont"/>
    <w:link w:val="FootnoteText"/>
    <w:uiPriority w:val="99"/>
    <w:semiHidden/>
    <w:rsid w:val="00A757E1"/>
    <w:rPr>
      <w:sz w:val="20"/>
      <w:szCs w:val="20"/>
    </w:rPr>
  </w:style>
  <w:style w:type="character" w:styleId="FootnoteReference">
    <w:name w:val="footnote reference"/>
    <w:basedOn w:val="DefaultParagraphFont"/>
    <w:uiPriority w:val="99"/>
    <w:semiHidden/>
    <w:unhideWhenUsed/>
    <w:rsid w:val="00A757E1"/>
    <w:rPr>
      <w:vertAlign w:val="superscript"/>
    </w:rPr>
  </w:style>
  <w:style w:type="paragraph" w:styleId="ListParagraph">
    <w:name w:val="List Paragraph"/>
    <w:basedOn w:val="Normal"/>
    <w:uiPriority w:val="34"/>
    <w:qFormat/>
    <w:rsid w:val="00A207FA"/>
    <w:pPr>
      <w:ind w:left="720"/>
      <w:contextualSpacing/>
    </w:pPr>
  </w:style>
  <w:style w:type="character" w:styleId="Hyperlink">
    <w:name w:val="Hyperlink"/>
    <w:basedOn w:val="DefaultParagraphFont"/>
    <w:uiPriority w:val="99"/>
    <w:unhideWhenUsed/>
    <w:rsid w:val="00CB3072"/>
    <w:rPr>
      <w:color w:val="0000FF" w:themeColor="hyperlink"/>
      <w:u w:val="single"/>
    </w:rPr>
  </w:style>
  <w:style w:type="character" w:customStyle="1" w:styleId="Heading1Char">
    <w:name w:val="Heading 1 Char"/>
    <w:basedOn w:val="DefaultParagraphFont"/>
    <w:link w:val="Heading1"/>
    <w:uiPriority w:val="9"/>
    <w:rsid w:val="00CB30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34C8"/>
    <w:rPr>
      <w:rFonts w:ascii="Tahoma" w:hAnsi="Tahoma" w:cs="Tahoma"/>
      <w:sz w:val="16"/>
      <w:szCs w:val="16"/>
    </w:rPr>
  </w:style>
  <w:style w:type="character" w:customStyle="1" w:styleId="BalloonTextChar">
    <w:name w:val="Balloon Text Char"/>
    <w:basedOn w:val="DefaultParagraphFont"/>
    <w:link w:val="BalloonText"/>
    <w:uiPriority w:val="99"/>
    <w:semiHidden/>
    <w:rsid w:val="007134C8"/>
    <w:rPr>
      <w:rFonts w:ascii="Tahoma" w:hAnsi="Tahoma" w:cs="Tahoma"/>
      <w:sz w:val="16"/>
      <w:szCs w:val="16"/>
    </w:rPr>
  </w:style>
  <w:style w:type="paragraph" w:styleId="Header">
    <w:name w:val="header"/>
    <w:basedOn w:val="Normal"/>
    <w:link w:val="HeaderChar"/>
    <w:uiPriority w:val="99"/>
    <w:unhideWhenUsed/>
    <w:rsid w:val="0072770F"/>
    <w:pPr>
      <w:tabs>
        <w:tab w:val="center" w:pos="4680"/>
        <w:tab w:val="right" w:pos="9360"/>
      </w:tabs>
    </w:pPr>
  </w:style>
  <w:style w:type="character" w:customStyle="1" w:styleId="HeaderChar">
    <w:name w:val="Header Char"/>
    <w:basedOn w:val="DefaultParagraphFont"/>
    <w:link w:val="Header"/>
    <w:uiPriority w:val="99"/>
    <w:rsid w:val="0072770F"/>
  </w:style>
  <w:style w:type="paragraph" w:styleId="Footer">
    <w:name w:val="footer"/>
    <w:basedOn w:val="Normal"/>
    <w:link w:val="FooterChar"/>
    <w:uiPriority w:val="99"/>
    <w:unhideWhenUsed/>
    <w:rsid w:val="0072770F"/>
    <w:pPr>
      <w:tabs>
        <w:tab w:val="center" w:pos="4680"/>
        <w:tab w:val="right" w:pos="9360"/>
      </w:tabs>
    </w:pPr>
  </w:style>
  <w:style w:type="character" w:customStyle="1" w:styleId="FooterChar">
    <w:name w:val="Footer Char"/>
    <w:basedOn w:val="DefaultParagraphFont"/>
    <w:link w:val="Footer"/>
    <w:uiPriority w:val="99"/>
    <w:rsid w:val="0072770F"/>
  </w:style>
  <w:style w:type="paragraph" w:styleId="NormalWeb">
    <w:name w:val="Normal (Web)"/>
    <w:basedOn w:val="Normal"/>
    <w:uiPriority w:val="99"/>
    <w:unhideWhenUsed/>
    <w:rsid w:val="00086452"/>
    <w:pPr>
      <w:spacing w:before="100" w:beforeAutospacing="1" w:after="100" w:afterAutospacing="1"/>
    </w:pPr>
  </w:style>
  <w:style w:type="character" w:styleId="Strong">
    <w:name w:val="Strong"/>
    <w:basedOn w:val="DefaultParagraphFont"/>
    <w:uiPriority w:val="22"/>
    <w:qFormat/>
    <w:rsid w:val="00085DE4"/>
    <w:rPr>
      <w:b/>
      <w:bCs/>
    </w:rPr>
  </w:style>
  <w:style w:type="character" w:customStyle="1" w:styleId="UnresolvedMention">
    <w:name w:val="Unresolved Mention"/>
    <w:basedOn w:val="DefaultParagraphFont"/>
    <w:uiPriority w:val="99"/>
    <w:semiHidden/>
    <w:unhideWhenUsed/>
    <w:rsid w:val="00DB6819"/>
    <w:rPr>
      <w:color w:val="605E5C"/>
      <w:shd w:val="clear" w:color="auto" w:fill="E1DFDD"/>
    </w:rPr>
  </w:style>
  <w:style w:type="paragraph" w:styleId="BodyText">
    <w:name w:val="Body Text"/>
    <w:basedOn w:val="Normal"/>
    <w:link w:val="BodyTextChar"/>
    <w:rsid w:val="00FC680F"/>
    <w:rPr>
      <w:szCs w:val="20"/>
    </w:rPr>
  </w:style>
  <w:style w:type="character" w:customStyle="1" w:styleId="BodyTextChar">
    <w:name w:val="Body Text Char"/>
    <w:basedOn w:val="DefaultParagraphFont"/>
    <w:link w:val="BodyText"/>
    <w:rsid w:val="00FC680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F3D63"/>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AE466F"/>
  </w:style>
  <w:style w:type="character" w:styleId="CommentReference">
    <w:name w:val="annotation reference"/>
    <w:basedOn w:val="DefaultParagraphFont"/>
    <w:uiPriority w:val="99"/>
    <w:semiHidden/>
    <w:unhideWhenUsed/>
    <w:rsid w:val="00B95518"/>
    <w:rPr>
      <w:sz w:val="16"/>
      <w:szCs w:val="16"/>
    </w:rPr>
  </w:style>
  <w:style w:type="paragraph" w:styleId="CommentText">
    <w:name w:val="annotation text"/>
    <w:basedOn w:val="Normal"/>
    <w:link w:val="CommentTextChar"/>
    <w:uiPriority w:val="99"/>
    <w:semiHidden/>
    <w:unhideWhenUsed/>
    <w:rsid w:val="00B95518"/>
    <w:rPr>
      <w:sz w:val="20"/>
      <w:szCs w:val="20"/>
    </w:rPr>
  </w:style>
  <w:style w:type="character" w:customStyle="1" w:styleId="CommentTextChar">
    <w:name w:val="Comment Text Char"/>
    <w:basedOn w:val="DefaultParagraphFont"/>
    <w:link w:val="CommentText"/>
    <w:uiPriority w:val="99"/>
    <w:semiHidden/>
    <w:rsid w:val="00B95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5518"/>
    <w:rPr>
      <w:b/>
      <w:bCs/>
    </w:rPr>
  </w:style>
  <w:style w:type="character" w:customStyle="1" w:styleId="CommentSubjectChar">
    <w:name w:val="Comment Subject Char"/>
    <w:basedOn w:val="CommentTextChar"/>
    <w:link w:val="CommentSubject"/>
    <w:uiPriority w:val="99"/>
    <w:semiHidden/>
    <w:rsid w:val="00B9551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753">
      <w:bodyDiv w:val="1"/>
      <w:marLeft w:val="0"/>
      <w:marRight w:val="0"/>
      <w:marTop w:val="0"/>
      <w:marBottom w:val="0"/>
      <w:divBdr>
        <w:top w:val="none" w:sz="0" w:space="0" w:color="auto"/>
        <w:left w:val="none" w:sz="0" w:space="0" w:color="auto"/>
        <w:bottom w:val="none" w:sz="0" w:space="0" w:color="auto"/>
        <w:right w:val="none" w:sz="0" w:space="0" w:color="auto"/>
      </w:divBdr>
    </w:div>
    <w:div w:id="79110423">
      <w:bodyDiv w:val="1"/>
      <w:marLeft w:val="0"/>
      <w:marRight w:val="0"/>
      <w:marTop w:val="0"/>
      <w:marBottom w:val="0"/>
      <w:divBdr>
        <w:top w:val="none" w:sz="0" w:space="0" w:color="auto"/>
        <w:left w:val="none" w:sz="0" w:space="0" w:color="auto"/>
        <w:bottom w:val="none" w:sz="0" w:space="0" w:color="auto"/>
        <w:right w:val="none" w:sz="0" w:space="0" w:color="auto"/>
      </w:divBdr>
    </w:div>
    <w:div w:id="88235011">
      <w:bodyDiv w:val="1"/>
      <w:marLeft w:val="0"/>
      <w:marRight w:val="0"/>
      <w:marTop w:val="0"/>
      <w:marBottom w:val="0"/>
      <w:divBdr>
        <w:top w:val="none" w:sz="0" w:space="0" w:color="auto"/>
        <w:left w:val="none" w:sz="0" w:space="0" w:color="auto"/>
        <w:bottom w:val="none" w:sz="0" w:space="0" w:color="auto"/>
        <w:right w:val="none" w:sz="0" w:space="0" w:color="auto"/>
      </w:divBdr>
      <w:divsChild>
        <w:div w:id="208106921">
          <w:blockQuote w:val="1"/>
          <w:marLeft w:val="0"/>
          <w:marRight w:val="0"/>
          <w:marTop w:val="0"/>
          <w:marBottom w:val="150"/>
          <w:divBdr>
            <w:top w:val="none" w:sz="0" w:space="0" w:color="auto"/>
            <w:left w:val="none" w:sz="0" w:space="0" w:color="auto"/>
            <w:bottom w:val="none" w:sz="0" w:space="0" w:color="auto"/>
            <w:right w:val="none" w:sz="0" w:space="0" w:color="auto"/>
          </w:divBdr>
        </w:div>
        <w:div w:id="4037201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9737035">
      <w:bodyDiv w:val="1"/>
      <w:marLeft w:val="0"/>
      <w:marRight w:val="0"/>
      <w:marTop w:val="0"/>
      <w:marBottom w:val="0"/>
      <w:divBdr>
        <w:top w:val="none" w:sz="0" w:space="0" w:color="auto"/>
        <w:left w:val="none" w:sz="0" w:space="0" w:color="auto"/>
        <w:bottom w:val="none" w:sz="0" w:space="0" w:color="auto"/>
        <w:right w:val="none" w:sz="0" w:space="0" w:color="auto"/>
      </w:divBdr>
    </w:div>
    <w:div w:id="175506415">
      <w:bodyDiv w:val="1"/>
      <w:marLeft w:val="0"/>
      <w:marRight w:val="0"/>
      <w:marTop w:val="0"/>
      <w:marBottom w:val="0"/>
      <w:divBdr>
        <w:top w:val="none" w:sz="0" w:space="0" w:color="auto"/>
        <w:left w:val="none" w:sz="0" w:space="0" w:color="auto"/>
        <w:bottom w:val="none" w:sz="0" w:space="0" w:color="auto"/>
        <w:right w:val="none" w:sz="0" w:space="0" w:color="auto"/>
      </w:divBdr>
    </w:div>
    <w:div w:id="178585928">
      <w:bodyDiv w:val="1"/>
      <w:marLeft w:val="0"/>
      <w:marRight w:val="0"/>
      <w:marTop w:val="0"/>
      <w:marBottom w:val="0"/>
      <w:divBdr>
        <w:top w:val="none" w:sz="0" w:space="0" w:color="auto"/>
        <w:left w:val="none" w:sz="0" w:space="0" w:color="auto"/>
        <w:bottom w:val="none" w:sz="0" w:space="0" w:color="auto"/>
        <w:right w:val="none" w:sz="0" w:space="0" w:color="auto"/>
      </w:divBdr>
    </w:div>
    <w:div w:id="228421719">
      <w:bodyDiv w:val="1"/>
      <w:marLeft w:val="0"/>
      <w:marRight w:val="0"/>
      <w:marTop w:val="0"/>
      <w:marBottom w:val="0"/>
      <w:divBdr>
        <w:top w:val="none" w:sz="0" w:space="0" w:color="auto"/>
        <w:left w:val="none" w:sz="0" w:space="0" w:color="auto"/>
        <w:bottom w:val="none" w:sz="0" w:space="0" w:color="auto"/>
        <w:right w:val="none" w:sz="0" w:space="0" w:color="auto"/>
      </w:divBdr>
    </w:div>
    <w:div w:id="272397128">
      <w:bodyDiv w:val="1"/>
      <w:marLeft w:val="0"/>
      <w:marRight w:val="0"/>
      <w:marTop w:val="0"/>
      <w:marBottom w:val="0"/>
      <w:divBdr>
        <w:top w:val="none" w:sz="0" w:space="0" w:color="auto"/>
        <w:left w:val="none" w:sz="0" w:space="0" w:color="auto"/>
        <w:bottom w:val="none" w:sz="0" w:space="0" w:color="auto"/>
        <w:right w:val="none" w:sz="0" w:space="0" w:color="auto"/>
      </w:divBdr>
      <w:divsChild>
        <w:div w:id="24915104">
          <w:marLeft w:val="0"/>
          <w:marRight w:val="0"/>
          <w:marTop w:val="0"/>
          <w:marBottom w:val="0"/>
          <w:divBdr>
            <w:top w:val="none" w:sz="0" w:space="0" w:color="auto"/>
            <w:left w:val="none" w:sz="0" w:space="0" w:color="auto"/>
            <w:bottom w:val="none" w:sz="0" w:space="0" w:color="auto"/>
            <w:right w:val="none" w:sz="0" w:space="0" w:color="auto"/>
          </w:divBdr>
        </w:div>
      </w:divsChild>
    </w:div>
    <w:div w:id="310328833">
      <w:bodyDiv w:val="1"/>
      <w:marLeft w:val="0"/>
      <w:marRight w:val="0"/>
      <w:marTop w:val="0"/>
      <w:marBottom w:val="0"/>
      <w:divBdr>
        <w:top w:val="none" w:sz="0" w:space="0" w:color="auto"/>
        <w:left w:val="none" w:sz="0" w:space="0" w:color="auto"/>
        <w:bottom w:val="none" w:sz="0" w:space="0" w:color="auto"/>
        <w:right w:val="none" w:sz="0" w:space="0" w:color="auto"/>
      </w:divBdr>
    </w:div>
    <w:div w:id="348869483">
      <w:bodyDiv w:val="1"/>
      <w:marLeft w:val="0"/>
      <w:marRight w:val="0"/>
      <w:marTop w:val="0"/>
      <w:marBottom w:val="0"/>
      <w:divBdr>
        <w:top w:val="none" w:sz="0" w:space="0" w:color="auto"/>
        <w:left w:val="none" w:sz="0" w:space="0" w:color="auto"/>
        <w:bottom w:val="none" w:sz="0" w:space="0" w:color="auto"/>
        <w:right w:val="none" w:sz="0" w:space="0" w:color="auto"/>
      </w:divBdr>
    </w:div>
    <w:div w:id="366640329">
      <w:bodyDiv w:val="1"/>
      <w:marLeft w:val="0"/>
      <w:marRight w:val="0"/>
      <w:marTop w:val="0"/>
      <w:marBottom w:val="0"/>
      <w:divBdr>
        <w:top w:val="none" w:sz="0" w:space="0" w:color="auto"/>
        <w:left w:val="none" w:sz="0" w:space="0" w:color="auto"/>
        <w:bottom w:val="none" w:sz="0" w:space="0" w:color="auto"/>
        <w:right w:val="none" w:sz="0" w:space="0" w:color="auto"/>
      </w:divBdr>
      <w:divsChild>
        <w:div w:id="1012292825">
          <w:marLeft w:val="0"/>
          <w:marRight w:val="0"/>
          <w:marTop w:val="0"/>
          <w:marBottom w:val="0"/>
          <w:divBdr>
            <w:top w:val="none" w:sz="0" w:space="0" w:color="auto"/>
            <w:left w:val="none" w:sz="0" w:space="0" w:color="auto"/>
            <w:bottom w:val="none" w:sz="0" w:space="0" w:color="auto"/>
            <w:right w:val="none" w:sz="0" w:space="0" w:color="auto"/>
          </w:divBdr>
          <w:divsChild>
            <w:div w:id="235408843">
              <w:marLeft w:val="0"/>
              <w:marRight w:val="0"/>
              <w:marTop w:val="0"/>
              <w:marBottom w:val="0"/>
              <w:divBdr>
                <w:top w:val="none" w:sz="0" w:space="0" w:color="auto"/>
                <w:left w:val="none" w:sz="0" w:space="0" w:color="auto"/>
                <w:bottom w:val="none" w:sz="0" w:space="0" w:color="auto"/>
                <w:right w:val="none" w:sz="0" w:space="0" w:color="auto"/>
              </w:divBdr>
              <w:divsChild>
                <w:div w:id="20632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98300">
      <w:bodyDiv w:val="1"/>
      <w:marLeft w:val="0"/>
      <w:marRight w:val="0"/>
      <w:marTop w:val="0"/>
      <w:marBottom w:val="0"/>
      <w:divBdr>
        <w:top w:val="none" w:sz="0" w:space="0" w:color="auto"/>
        <w:left w:val="none" w:sz="0" w:space="0" w:color="auto"/>
        <w:bottom w:val="none" w:sz="0" w:space="0" w:color="auto"/>
        <w:right w:val="none" w:sz="0" w:space="0" w:color="auto"/>
      </w:divBdr>
    </w:div>
    <w:div w:id="416900277">
      <w:bodyDiv w:val="1"/>
      <w:marLeft w:val="0"/>
      <w:marRight w:val="0"/>
      <w:marTop w:val="0"/>
      <w:marBottom w:val="0"/>
      <w:divBdr>
        <w:top w:val="none" w:sz="0" w:space="0" w:color="auto"/>
        <w:left w:val="none" w:sz="0" w:space="0" w:color="auto"/>
        <w:bottom w:val="none" w:sz="0" w:space="0" w:color="auto"/>
        <w:right w:val="none" w:sz="0" w:space="0" w:color="auto"/>
      </w:divBdr>
    </w:div>
    <w:div w:id="441152434">
      <w:bodyDiv w:val="1"/>
      <w:marLeft w:val="0"/>
      <w:marRight w:val="0"/>
      <w:marTop w:val="0"/>
      <w:marBottom w:val="0"/>
      <w:divBdr>
        <w:top w:val="none" w:sz="0" w:space="0" w:color="auto"/>
        <w:left w:val="none" w:sz="0" w:space="0" w:color="auto"/>
        <w:bottom w:val="none" w:sz="0" w:space="0" w:color="auto"/>
        <w:right w:val="none" w:sz="0" w:space="0" w:color="auto"/>
      </w:divBdr>
    </w:div>
    <w:div w:id="534658595">
      <w:bodyDiv w:val="1"/>
      <w:marLeft w:val="0"/>
      <w:marRight w:val="0"/>
      <w:marTop w:val="0"/>
      <w:marBottom w:val="0"/>
      <w:divBdr>
        <w:top w:val="none" w:sz="0" w:space="0" w:color="auto"/>
        <w:left w:val="none" w:sz="0" w:space="0" w:color="auto"/>
        <w:bottom w:val="none" w:sz="0" w:space="0" w:color="auto"/>
        <w:right w:val="none" w:sz="0" w:space="0" w:color="auto"/>
      </w:divBdr>
    </w:div>
    <w:div w:id="599266481">
      <w:bodyDiv w:val="1"/>
      <w:marLeft w:val="0"/>
      <w:marRight w:val="0"/>
      <w:marTop w:val="0"/>
      <w:marBottom w:val="0"/>
      <w:divBdr>
        <w:top w:val="none" w:sz="0" w:space="0" w:color="auto"/>
        <w:left w:val="none" w:sz="0" w:space="0" w:color="auto"/>
        <w:bottom w:val="none" w:sz="0" w:space="0" w:color="auto"/>
        <w:right w:val="none" w:sz="0" w:space="0" w:color="auto"/>
      </w:divBdr>
    </w:div>
    <w:div w:id="642926740">
      <w:bodyDiv w:val="1"/>
      <w:marLeft w:val="0"/>
      <w:marRight w:val="0"/>
      <w:marTop w:val="0"/>
      <w:marBottom w:val="0"/>
      <w:divBdr>
        <w:top w:val="none" w:sz="0" w:space="0" w:color="auto"/>
        <w:left w:val="none" w:sz="0" w:space="0" w:color="auto"/>
        <w:bottom w:val="none" w:sz="0" w:space="0" w:color="auto"/>
        <w:right w:val="none" w:sz="0" w:space="0" w:color="auto"/>
      </w:divBdr>
    </w:div>
    <w:div w:id="670985785">
      <w:bodyDiv w:val="1"/>
      <w:marLeft w:val="0"/>
      <w:marRight w:val="0"/>
      <w:marTop w:val="0"/>
      <w:marBottom w:val="0"/>
      <w:divBdr>
        <w:top w:val="none" w:sz="0" w:space="0" w:color="auto"/>
        <w:left w:val="none" w:sz="0" w:space="0" w:color="auto"/>
        <w:bottom w:val="none" w:sz="0" w:space="0" w:color="auto"/>
        <w:right w:val="none" w:sz="0" w:space="0" w:color="auto"/>
      </w:divBdr>
    </w:div>
    <w:div w:id="685643610">
      <w:bodyDiv w:val="1"/>
      <w:marLeft w:val="0"/>
      <w:marRight w:val="0"/>
      <w:marTop w:val="0"/>
      <w:marBottom w:val="0"/>
      <w:divBdr>
        <w:top w:val="none" w:sz="0" w:space="0" w:color="auto"/>
        <w:left w:val="none" w:sz="0" w:space="0" w:color="auto"/>
        <w:bottom w:val="none" w:sz="0" w:space="0" w:color="auto"/>
        <w:right w:val="none" w:sz="0" w:space="0" w:color="auto"/>
      </w:divBdr>
    </w:div>
    <w:div w:id="709653298">
      <w:bodyDiv w:val="1"/>
      <w:marLeft w:val="0"/>
      <w:marRight w:val="0"/>
      <w:marTop w:val="0"/>
      <w:marBottom w:val="0"/>
      <w:divBdr>
        <w:top w:val="none" w:sz="0" w:space="0" w:color="auto"/>
        <w:left w:val="none" w:sz="0" w:space="0" w:color="auto"/>
        <w:bottom w:val="none" w:sz="0" w:space="0" w:color="auto"/>
        <w:right w:val="none" w:sz="0" w:space="0" w:color="auto"/>
      </w:divBdr>
    </w:div>
    <w:div w:id="792939764">
      <w:bodyDiv w:val="1"/>
      <w:marLeft w:val="0"/>
      <w:marRight w:val="0"/>
      <w:marTop w:val="0"/>
      <w:marBottom w:val="0"/>
      <w:divBdr>
        <w:top w:val="none" w:sz="0" w:space="0" w:color="auto"/>
        <w:left w:val="none" w:sz="0" w:space="0" w:color="auto"/>
        <w:bottom w:val="none" w:sz="0" w:space="0" w:color="auto"/>
        <w:right w:val="none" w:sz="0" w:space="0" w:color="auto"/>
      </w:divBdr>
    </w:div>
    <w:div w:id="848982734">
      <w:bodyDiv w:val="1"/>
      <w:marLeft w:val="0"/>
      <w:marRight w:val="0"/>
      <w:marTop w:val="0"/>
      <w:marBottom w:val="0"/>
      <w:divBdr>
        <w:top w:val="none" w:sz="0" w:space="0" w:color="auto"/>
        <w:left w:val="none" w:sz="0" w:space="0" w:color="auto"/>
        <w:bottom w:val="none" w:sz="0" w:space="0" w:color="auto"/>
        <w:right w:val="none" w:sz="0" w:space="0" w:color="auto"/>
      </w:divBdr>
      <w:divsChild>
        <w:div w:id="734664824">
          <w:marLeft w:val="0"/>
          <w:marRight w:val="0"/>
          <w:marTop w:val="0"/>
          <w:marBottom w:val="0"/>
          <w:divBdr>
            <w:top w:val="none" w:sz="0" w:space="0" w:color="auto"/>
            <w:left w:val="none" w:sz="0" w:space="0" w:color="auto"/>
            <w:bottom w:val="none" w:sz="0" w:space="0" w:color="auto"/>
            <w:right w:val="none" w:sz="0" w:space="0" w:color="auto"/>
          </w:divBdr>
        </w:div>
        <w:div w:id="1045837525">
          <w:marLeft w:val="0"/>
          <w:marRight w:val="0"/>
          <w:marTop w:val="0"/>
          <w:marBottom w:val="0"/>
          <w:divBdr>
            <w:top w:val="none" w:sz="0" w:space="0" w:color="auto"/>
            <w:left w:val="none" w:sz="0" w:space="0" w:color="auto"/>
            <w:bottom w:val="none" w:sz="0" w:space="0" w:color="auto"/>
            <w:right w:val="none" w:sz="0" w:space="0" w:color="auto"/>
          </w:divBdr>
        </w:div>
      </w:divsChild>
    </w:div>
    <w:div w:id="890967377">
      <w:bodyDiv w:val="1"/>
      <w:marLeft w:val="0"/>
      <w:marRight w:val="0"/>
      <w:marTop w:val="0"/>
      <w:marBottom w:val="0"/>
      <w:divBdr>
        <w:top w:val="none" w:sz="0" w:space="0" w:color="auto"/>
        <w:left w:val="none" w:sz="0" w:space="0" w:color="auto"/>
        <w:bottom w:val="none" w:sz="0" w:space="0" w:color="auto"/>
        <w:right w:val="none" w:sz="0" w:space="0" w:color="auto"/>
      </w:divBdr>
    </w:div>
    <w:div w:id="995500584">
      <w:bodyDiv w:val="1"/>
      <w:marLeft w:val="0"/>
      <w:marRight w:val="0"/>
      <w:marTop w:val="0"/>
      <w:marBottom w:val="0"/>
      <w:divBdr>
        <w:top w:val="none" w:sz="0" w:space="0" w:color="auto"/>
        <w:left w:val="none" w:sz="0" w:space="0" w:color="auto"/>
        <w:bottom w:val="none" w:sz="0" w:space="0" w:color="auto"/>
        <w:right w:val="none" w:sz="0" w:space="0" w:color="auto"/>
      </w:divBdr>
      <w:divsChild>
        <w:div w:id="1298217199">
          <w:marLeft w:val="0"/>
          <w:marRight w:val="0"/>
          <w:marTop w:val="0"/>
          <w:marBottom w:val="0"/>
          <w:divBdr>
            <w:top w:val="none" w:sz="0" w:space="0" w:color="auto"/>
            <w:left w:val="none" w:sz="0" w:space="0" w:color="auto"/>
            <w:bottom w:val="none" w:sz="0" w:space="0" w:color="auto"/>
            <w:right w:val="none" w:sz="0" w:space="0" w:color="auto"/>
          </w:divBdr>
          <w:divsChild>
            <w:div w:id="345981135">
              <w:marLeft w:val="0"/>
              <w:marRight w:val="0"/>
              <w:marTop w:val="0"/>
              <w:marBottom w:val="0"/>
              <w:divBdr>
                <w:top w:val="none" w:sz="0" w:space="0" w:color="auto"/>
                <w:left w:val="none" w:sz="0" w:space="0" w:color="auto"/>
                <w:bottom w:val="none" w:sz="0" w:space="0" w:color="auto"/>
                <w:right w:val="none" w:sz="0" w:space="0" w:color="auto"/>
              </w:divBdr>
              <w:divsChild>
                <w:div w:id="10214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8045">
      <w:bodyDiv w:val="1"/>
      <w:marLeft w:val="0"/>
      <w:marRight w:val="0"/>
      <w:marTop w:val="0"/>
      <w:marBottom w:val="0"/>
      <w:divBdr>
        <w:top w:val="none" w:sz="0" w:space="0" w:color="auto"/>
        <w:left w:val="none" w:sz="0" w:space="0" w:color="auto"/>
        <w:bottom w:val="none" w:sz="0" w:space="0" w:color="auto"/>
        <w:right w:val="none" w:sz="0" w:space="0" w:color="auto"/>
      </w:divBdr>
    </w:div>
    <w:div w:id="1113592299">
      <w:bodyDiv w:val="1"/>
      <w:marLeft w:val="0"/>
      <w:marRight w:val="0"/>
      <w:marTop w:val="0"/>
      <w:marBottom w:val="0"/>
      <w:divBdr>
        <w:top w:val="none" w:sz="0" w:space="0" w:color="auto"/>
        <w:left w:val="none" w:sz="0" w:space="0" w:color="auto"/>
        <w:bottom w:val="none" w:sz="0" w:space="0" w:color="auto"/>
        <w:right w:val="none" w:sz="0" w:space="0" w:color="auto"/>
      </w:divBdr>
    </w:div>
    <w:div w:id="1127967115">
      <w:bodyDiv w:val="1"/>
      <w:marLeft w:val="0"/>
      <w:marRight w:val="0"/>
      <w:marTop w:val="0"/>
      <w:marBottom w:val="0"/>
      <w:divBdr>
        <w:top w:val="none" w:sz="0" w:space="0" w:color="auto"/>
        <w:left w:val="none" w:sz="0" w:space="0" w:color="auto"/>
        <w:bottom w:val="none" w:sz="0" w:space="0" w:color="auto"/>
        <w:right w:val="none" w:sz="0" w:space="0" w:color="auto"/>
      </w:divBdr>
    </w:div>
    <w:div w:id="1142235038">
      <w:bodyDiv w:val="1"/>
      <w:marLeft w:val="0"/>
      <w:marRight w:val="0"/>
      <w:marTop w:val="0"/>
      <w:marBottom w:val="0"/>
      <w:divBdr>
        <w:top w:val="none" w:sz="0" w:space="0" w:color="auto"/>
        <w:left w:val="none" w:sz="0" w:space="0" w:color="auto"/>
        <w:bottom w:val="none" w:sz="0" w:space="0" w:color="auto"/>
        <w:right w:val="none" w:sz="0" w:space="0" w:color="auto"/>
      </w:divBdr>
    </w:div>
    <w:div w:id="1175992551">
      <w:bodyDiv w:val="1"/>
      <w:marLeft w:val="0"/>
      <w:marRight w:val="0"/>
      <w:marTop w:val="0"/>
      <w:marBottom w:val="0"/>
      <w:divBdr>
        <w:top w:val="none" w:sz="0" w:space="0" w:color="auto"/>
        <w:left w:val="none" w:sz="0" w:space="0" w:color="auto"/>
        <w:bottom w:val="none" w:sz="0" w:space="0" w:color="auto"/>
        <w:right w:val="none" w:sz="0" w:space="0" w:color="auto"/>
      </w:divBdr>
    </w:div>
    <w:div w:id="1234311366">
      <w:bodyDiv w:val="1"/>
      <w:marLeft w:val="0"/>
      <w:marRight w:val="0"/>
      <w:marTop w:val="0"/>
      <w:marBottom w:val="0"/>
      <w:divBdr>
        <w:top w:val="none" w:sz="0" w:space="0" w:color="auto"/>
        <w:left w:val="none" w:sz="0" w:space="0" w:color="auto"/>
        <w:bottom w:val="none" w:sz="0" w:space="0" w:color="auto"/>
        <w:right w:val="none" w:sz="0" w:space="0" w:color="auto"/>
      </w:divBdr>
    </w:div>
    <w:div w:id="1405376831">
      <w:bodyDiv w:val="1"/>
      <w:marLeft w:val="0"/>
      <w:marRight w:val="0"/>
      <w:marTop w:val="0"/>
      <w:marBottom w:val="0"/>
      <w:divBdr>
        <w:top w:val="none" w:sz="0" w:space="0" w:color="auto"/>
        <w:left w:val="none" w:sz="0" w:space="0" w:color="auto"/>
        <w:bottom w:val="none" w:sz="0" w:space="0" w:color="auto"/>
        <w:right w:val="none" w:sz="0" w:space="0" w:color="auto"/>
      </w:divBdr>
    </w:div>
    <w:div w:id="1447429006">
      <w:bodyDiv w:val="1"/>
      <w:marLeft w:val="0"/>
      <w:marRight w:val="0"/>
      <w:marTop w:val="0"/>
      <w:marBottom w:val="0"/>
      <w:divBdr>
        <w:top w:val="none" w:sz="0" w:space="0" w:color="auto"/>
        <w:left w:val="none" w:sz="0" w:space="0" w:color="auto"/>
        <w:bottom w:val="none" w:sz="0" w:space="0" w:color="auto"/>
        <w:right w:val="none" w:sz="0" w:space="0" w:color="auto"/>
      </w:divBdr>
    </w:div>
    <w:div w:id="1500274160">
      <w:bodyDiv w:val="1"/>
      <w:marLeft w:val="0"/>
      <w:marRight w:val="0"/>
      <w:marTop w:val="0"/>
      <w:marBottom w:val="0"/>
      <w:divBdr>
        <w:top w:val="none" w:sz="0" w:space="0" w:color="auto"/>
        <w:left w:val="none" w:sz="0" w:space="0" w:color="auto"/>
        <w:bottom w:val="none" w:sz="0" w:space="0" w:color="auto"/>
        <w:right w:val="none" w:sz="0" w:space="0" w:color="auto"/>
      </w:divBdr>
    </w:div>
    <w:div w:id="1535850825">
      <w:bodyDiv w:val="1"/>
      <w:marLeft w:val="0"/>
      <w:marRight w:val="0"/>
      <w:marTop w:val="0"/>
      <w:marBottom w:val="0"/>
      <w:divBdr>
        <w:top w:val="none" w:sz="0" w:space="0" w:color="auto"/>
        <w:left w:val="none" w:sz="0" w:space="0" w:color="auto"/>
        <w:bottom w:val="none" w:sz="0" w:space="0" w:color="auto"/>
        <w:right w:val="none" w:sz="0" w:space="0" w:color="auto"/>
      </w:divBdr>
    </w:div>
    <w:div w:id="1567568905">
      <w:bodyDiv w:val="1"/>
      <w:marLeft w:val="0"/>
      <w:marRight w:val="0"/>
      <w:marTop w:val="0"/>
      <w:marBottom w:val="0"/>
      <w:divBdr>
        <w:top w:val="none" w:sz="0" w:space="0" w:color="auto"/>
        <w:left w:val="none" w:sz="0" w:space="0" w:color="auto"/>
        <w:bottom w:val="none" w:sz="0" w:space="0" w:color="auto"/>
        <w:right w:val="none" w:sz="0" w:space="0" w:color="auto"/>
      </w:divBdr>
    </w:div>
    <w:div w:id="1612859890">
      <w:bodyDiv w:val="1"/>
      <w:marLeft w:val="0"/>
      <w:marRight w:val="0"/>
      <w:marTop w:val="0"/>
      <w:marBottom w:val="0"/>
      <w:divBdr>
        <w:top w:val="none" w:sz="0" w:space="0" w:color="auto"/>
        <w:left w:val="none" w:sz="0" w:space="0" w:color="auto"/>
        <w:bottom w:val="none" w:sz="0" w:space="0" w:color="auto"/>
        <w:right w:val="none" w:sz="0" w:space="0" w:color="auto"/>
      </w:divBdr>
      <w:divsChild>
        <w:div w:id="1986079406">
          <w:marLeft w:val="0"/>
          <w:marRight w:val="0"/>
          <w:marTop w:val="0"/>
          <w:marBottom w:val="0"/>
          <w:divBdr>
            <w:top w:val="none" w:sz="0" w:space="0" w:color="auto"/>
            <w:left w:val="none" w:sz="0" w:space="0" w:color="auto"/>
            <w:bottom w:val="none" w:sz="0" w:space="0" w:color="auto"/>
            <w:right w:val="none" w:sz="0" w:space="0" w:color="auto"/>
          </w:divBdr>
          <w:divsChild>
            <w:div w:id="1769083404">
              <w:marLeft w:val="0"/>
              <w:marRight w:val="0"/>
              <w:marTop w:val="0"/>
              <w:marBottom w:val="0"/>
              <w:divBdr>
                <w:top w:val="none" w:sz="0" w:space="0" w:color="auto"/>
                <w:left w:val="none" w:sz="0" w:space="0" w:color="auto"/>
                <w:bottom w:val="none" w:sz="0" w:space="0" w:color="auto"/>
                <w:right w:val="none" w:sz="0" w:space="0" w:color="auto"/>
              </w:divBdr>
              <w:divsChild>
                <w:div w:id="18792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3480">
      <w:bodyDiv w:val="1"/>
      <w:marLeft w:val="0"/>
      <w:marRight w:val="0"/>
      <w:marTop w:val="0"/>
      <w:marBottom w:val="0"/>
      <w:divBdr>
        <w:top w:val="none" w:sz="0" w:space="0" w:color="auto"/>
        <w:left w:val="none" w:sz="0" w:space="0" w:color="auto"/>
        <w:bottom w:val="none" w:sz="0" w:space="0" w:color="auto"/>
        <w:right w:val="none" w:sz="0" w:space="0" w:color="auto"/>
      </w:divBdr>
    </w:div>
    <w:div w:id="1802458250">
      <w:bodyDiv w:val="1"/>
      <w:marLeft w:val="0"/>
      <w:marRight w:val="0"/>
      <w:marTop w:val="0"/>
      <w:marBottom w:val="0"/>
      <w:divBdr>
        <w:top w:val="none" w:sz="0" w:space="0" w:color="auto"/>
        <w:left w:val="none" w:sz="0" w:space="0" w:color="auto"/>
        <w:bottom w:val="none" w:sz="0" w:space="0" w:color="auto"/>
        <w:right w:val="none" w:sz="0" w:space="0" w:color="auto"/>
      </w:divBdr>
    </w:div>
    <w:div w:id="1914700121">
      <w:bodyDiv w:val="1"/>
      <w:marLeft w:val="0"/>
      <w:marRight w:val="0"/>
      <w:marTop w:val="0"/>
      <w:marBottom w:val="0"/>
      <w:divBdr>
        <w:top w:val="none" w:sz="0" w:space="0" w:color="auto"/>
        <w:left w:val="none" w:sz="0" w:space="0" w:color="auto"/>
        <w:bottom w:val="none" w:sz="0" w:space="0" w:color="auto"/>
        <w:right w:val="none" w:sz="0" w:space="0" w:color="auto"/>
      </w:divBdr>
      <w:divsChild>
        <w:div w:id="749472098">
          <w:marLeft w:val="0"/>
          <w:marRight w:val="0"/>
          <w:marTop w:val="0"/>
          <w:marBottom w:val="0"/>
          <w:divBdr>
            <w:top w:val="none" w:sz="0" w:space="0" w:color="auto"/>
            <w:left w:val="none" w:sz="0" w:space="0" w:color="auto"/>
            <w:bottom w:val="none" w:sz="0" w:space="0" w:color="auto"/>
            <w:right w:val="none" w:sz="0" w:space="0" w:color="auto"/>
          </w:divBdr>
        </w:div>
      </w:divsChild>
    </w:div>
    <w:div w:id="1918830560">
      <w:bodyDiv w:val="1"/>
      <w:marLeft w:val="0"/>
      <w:marRight w:val="0"/>
      <w:marTop w:val="0"/>
      <w:marBottom w:val="0"/>
      <w:divBdr>
        <w:top w:val="none" w:sz="0" w:space="0" w:color="auto"/>
        <w:left w:val="none" w:sz="0" w:space="0" w:color="auto"/>
        <w:bottom w:val="none" w:sz="0" w:space="0" w:color="auto"/>
        <w:right w:val="none" w:sz="0" w:space="0" w:color="auto"/>
      </w:divBdr>
    </w:div>
    <w:div w:id="1924483037">
      <w:bodyDiv w:val="1"/>
      <w:marLeft w:val="0"/>
      <w:marRight w:val="0"/>
      <w:marTop w:val="0"/>
      <w:marBottom w:val="0"/>
      <w:divBdr>
        <w:top w:val="none" w:sz="0" w:space="0" w:color="auto"/>
        <w:left w:val="none" w:sz="0" w:space="0" w:color="auto"/>
        <w:bottom w:val="none" w:sz="0" w:space="0" w:color="auto"/>
        <w:right w:val="none" w:sz="0" w:space="0" w:color="auto"/>
      </w:divBdr>
    </w:div>
    <w:div w:id="1925871752">
      <w:bodyDiv w:val="1"/>
      <w:marLeft w:val="0"/>
      <w:marRight w:val="0"/>
      <w:marTop w:val="0"/>
      <w:marBottom w:val="0"/>
      <w:divBdr>
        <w:top w:val="none" w:sz="0" w:space="0" w:color="auto"/>
        <w:left w:val="none" w:sz="0" w:space="0" w:color="auto"/>
        <w:bottom w:val="none" w:sz="0" w:space="0" w:color="auto"/>
        <w:right w:val="none" w:sz="0" w:space="0" w:color="auto"/>
      </w:divBdr>
    </w:div>
    <w:div w:id="1971857959">
      <w:bodyDiv w:val="1"/>
      <w:marLeft w:val="0"/>
      <w:marRight w:val="0"/>
      <w:marTop w:val="0"/>
      <w:marBottom w:val="0"/>
      <w:divBdr>
        <w:top w:val="none" w:sz="0" w:space="0" w:color="auto"/>
        <w:left w:val="none" w:sz="0" w:space="0" w:color="auto"/>
        <w:bottom w:val="none" w:sz="0" w:space="0" w:color="auto"/>
        <w:right w:val="none" w:sz="0" w:space="0" w:color="auto"/>
      </w:divBdr>
    </w:div>
    <w:div w:id="2029523317">
      <w:bodyDiv w:val="1"/>
      <w:marLeft w:val="0"/>
      <w:marRight w:val="0"/>
      <w:marTop w:val="0"/>
      <w:marBottom w:val="0"/>
      <w:divBdr>
        <w:top w:val="none" w:sz="0" w:space="0" w:color="auto"/>
        <w:left w:val="none" w:sz="0" w:space="0" w:color="auto"/>
        <w:bottom w:val="none" w:sz="0" w:space="0" w:color="auto"/>
        <w:right w:val="none" w:sz="0" w:space="0" w:color="auto"/>
      </w:divBdr>
      <w:divsChild>
        <w:div w:id="1580872557">
          <w:marLeft w:val="0"/>
          <w:marRight w:val="0"/>
          <w:marTop w:val="0"/>
          <w:marBottom w:val="0"/>
          <w:divBdr>
            <w:top w:val="none" w:sz="0" w:space="0" w:color="auto"/>
            <w:left w:val="none" w:sz="0" w:space="0" w:color="auto"/>
            <w:bottom w:val="none" w:sz="0" w:space="0" w:color="auto"/>
            <w:right w:val="none" w:sz="0" w:space="0" w:color="auto"/>
          </w:divBdr>
          <w:divsChild>
            <w:div w:id="628322271">
              <w:marLeft w:val="0"/>
              <w:marRight w:val="0"/>
              <w:marTop w:val="0"/>
              <w:marBottom w:val="0"/>
              <w:divBdr>
                <w:top w:val="none" w:sz="0" w:space="0" w:color="auto"/>
                <w:left w:val="none" w:sz="0" w:space="0" w:color="auto"/>
                <w:bottom w:val="none" w:sz="0" w:space="0" w:color="auto"/>
                <w:right w:val="none" w:sz="0" w:space="0" w:color="auto"/>
              </w:divBdr>
              <w:divsChild>
                <w:div w:id="377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2515">
      <w:bodyDiv w:val="1"/>
      <w:marLeft w:val="0"/>
      <w:marRight w:val="0"/>
      <w:marTop w:val="0"/>
      <w:marBottom w:val="0"/>
      <w:divBdr>
        <w:top w:val="none" w:sz="0" w:space="0" w:color="auto"/>
        <w:left w:val="none" w:sz="0" w:space="0" w:color="auto"/>
        <w:bottom w:val="none" w:sz="0" w:space="0" w:color="auto"/>
        <w:right w:val="none" w:sz="0" w:space="0" w:color="auto"/>
      </w:divBdr>
      <w:divsChild>
        <w:div w:id="1402017712">
          <w:blockQuote w:val="1"/>
          <w:marLeft w:val="0"/>
          <w:marRight w:val="0"/>
          <w:marTop w:val="0"/>
          <w:marBottom w:val="150"/>
          <w:divBdr>
            <w:top w:val="none" w:sz="0" w:space="0" w:color="auto"/>
            <w:left w:val="none" w:sz="0" w:space="0" w:color="auto"/>
            <w:bottom w:val="none" w:sz="0" w:space="0" w:color="auto"/>
            <w:right w:val="none" w:sz="0" w:space="0" w:color="auto"/>
          </w:divBdr>
        </w:div>
        <w:div w:id="1219904333">
          <w:blockQuote w:val="1"/>
          <w:marLeft w:val="0"/>
          <w:marRight w:val="0"/>
          <w:marTop w:val="0"/>
          <w:marBottom w:val="150"/>
          <w:divBdr>
            <w:top w:val="none" w:sz="0" w:space="0" w:color="auto"/>
            <w:left w:val="none" w:sz="0" w:space="0" w:color="auto"/>
            <w:bottom w:val="none" w:sz="0" w:space="0" w:color="auto"/>
            <w:right w:val="none" w:sz="0" w:space="0" w:color="auto"/>
          </w:divBdr>
        </w:div>
        <w:div w:id="2019887876">
          <w:blockQuote w:val="1"/>
          <w:marLeft w:val="0"/>
          <w:marRight w:val="0"/>
          <w:marTop w:val="0"/>
          <w:marBottom w:val="150"/>
          <w:divBdr>
            <w:top w:val="none" w:sz="0" w:space="0" w:color="auto"/>
            <w:left w:val="none" w:sz="0" w:space="0" w:color="auto"/>
            <w:bottom w:val="none" w:sz="0" w:space="0" w:color="auto"/>
            <w:right w:val="none" w:sz="0" w:space="0" w:color="auto"/>
          </w:divBdr>
        </w:div>
        <w:div w:id="64894330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5711000">
      <w:bodyDiv w:val="1"/>
      <w:marLeft w:val="0"/>
      <w:marRight w:val="0"/>
      <w:marTop w:val="0"/>
      <w:marBottom w:val="0"/>
      <w:divBdr>
        <w:top w:val="none" w:sz="0" w:space="0" w:color="auto"/>
        <w:left w:val="none" w:sz="0" w:space="0" w:color="auto"/>
        <w:bottom w:val="none" w:sz="0" w:space="0" w:color="auto"/>
        <w:right w:val="none" w:sz="0" w:space="0" w:color="auto"/>
      </w:divBdr>
      <w:divsChild>
        <w:div w:id="799494029">
          <w:marLeft w:val="0"/>
          <w:marRight w:val="0"/>
          <w:marTop w:val="0"/>
          <w:marBottom w:val="0"/>
          <w:divBdr>
            <w:top w:val="none" w:sz="0" w:space="0" w:color="auto"/>
            <w:left w:val="none" w:sz="0" w:space="0" w:color="auto"/>
            <w:bottom w:val="none" w:sz="0" w:space="0" w:color="auto"/>
            <w:right w:val="none" w:sz="0" w:space="0" w:color="auto"/>
          </w:divBdr>
          <w:divsChild>
            <w:div w:id="1427655216">
              <w:marLeft w:val="0"/>
              <w:marRight w:val="0"/>
              <w:marTop w:val="0"/>
              <w:marBottom w:val="0"/>
              <w:divBdr>
                <w:top w:val="none" w:sz="0" w:space="0" w:color="auto"/>
                <w:left w:val="none" w:sz="0" w:space="0" w:color="auto"/>
                <w:bottom w:val="none" w:sz="0" w:space="0" w:color="auto"/>
                <w:right w:val="none" w:sz="0" w:space="0" w:color="auto"/>
              </w:divBdr>
              <w:divsChild>
                <w:div w:id="6944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2224">
      <w:bodyDiv w:val="1"/>
      <w:marLeft w:val="0"/>
      <w:marRight w:val="0"/>
      <w:marTop w:val="0"/>
      <w:marBottom w:val="0"/>
      <w:divBdr>
        <w:top w:val="none" w:sz="0" w:space="0" w:color="auto"/>
        <w:left w:val="none" w:sz="0" w:space="0" w:color="auto"/>
        <w:bottom w:val="none" w:sz="0" w:space="0" w:color="auto"/>
        <w:right w:val="none" w:sz="0" w:space="0" w:color="auto"/>
      </w:divBdr>
    </w:div>
    <w:div w:id="2105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19-02-dmh-child-youth-and-families-division-residential-intervention-policy-effective-october/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6FB5-DF92-4382-9DE0-C4F3B5C6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2021-09-21T15:49:00Z</cp:lastPrinted>
  <dcterms:created xsi:type="dcterms:W3CDTF">2021-09-21T20:37:00Z</dcterms:created>
  <dcterms:modified xsi:type="dcterms:W3CDTF">2021-09-21T20:37:00Z</dcterms:modified>
</cp:coreProperties>
</file>