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1E4E" w14:textId="77777777" w:rsidR="00C532E7" w:rsidRPr="00756C52" w:rsidRDefault="000D68F0">
      <w:pPr>
        <w:spacing w:line="360" w:lineRule="auto"/>
        <w:jc w:val="center"/>
        <w:rPr>
          <w:color w:val="000000" w:themeColor="text1"/>
        </w:rPr>
      </w:pPr>
      <w:r w:rsidRPr="00756C52">
        <w:rPr>
          <w:b/>
          <w:color w:val="000000" w:themeColor="text1"/>
        </w:rPr>
        <w:t>COMMONWEALTH OF MASSACHUSETTS</w:t>
      </w:r>
    </w:p>
    <w:p w14:paraId="69276C47" w14:textId="77777777" w:rsidR="00C532E7" w:rsidRPr="00756C52" w:rsidRDefault="000D68F0">
      <w:pPr>
        <w:spacing w:line="360" w:lineRule="auto"/>
        <w:jc w:val="center"/>
        <w:rPr>
          <w:color w:val="000000" w:themeColor="text1"/>
        </w:rPr>
      </w:pPr>
      <w:r w:rsidRPr="00756C52">
        <w:rPr>
          <w:b/>
          <w:color w:val="000000" w:themeColor="text1"/>
        </w:rPr>
        <w:t>DIVISION OF ADMINISTRATIVE LAW APPEALS</w:t>
      </w:r>
    </w:p>
    <w:p w14:paraId="2871C6BF" w14:textId="77777777" w:rsidR="00C532E7" w:rsidRPr="00756C52" w:rsidRDefault="000D68F0">
      <w:pPr>
        <w:spacing w:line="360" w:lineRule="auto"/>
        <w:jc w:val="center"/>
        <w:rPr>
          <w:color w:val="000000" w:themeColor="text1"/>
        </w:rPr>
      </w:pPr>
      <w:r w:rsidRPr="00756C52">
        <w:rPr>
          <w:b/>
          <w:color w:val="000000" w:themeColor="text1"/>
        </w:rPr>
        <w:t>BUREAU OF SPECIAL EDUCATION APPEALS</w:t>
      </w:r>
    </w:p>
    <w:p w14:paraId="2FE256E5" w14:textId="77777777" w:rsidR="00C532E7" w:rsidRPr="00756C52" w:rsidRDefault="000D68F0">
      <w:pPr>
        <w:spacing w:line="360" w:lineRule="auto"/>
        <w:rPr>
          <w:color w:val="000000" w:themeColor="text1"/>
        </w:rPr>
      </w:pPr>
      <w:r w:rsidRPr="00756C52">
        <w:rPr>
          <w:color w:val="000000" w:themeColor="text1"/>
        </w:rPr>
        <w:t> </w:t>
      </w:r>
    </w:p>
    <w:p w14:paraId="192C49F0" w14:textId="77777777" w:rsidR="00C532E7" w:rsidRPr="00756C52" w:rsidRDefault="000D68F0">
      <w:pPr>
        <w:pBdr>
          <w:top w:val="nil"/>
          <w:left w:val="nil"/>
          <w:bottom w:val="nil"/>
          <w:right w:val="nil"/>
          <w:between w:val="nil"/>
        </w:pBdr>
        <w:rPr>
          <w:color w:val="000000" w:themeColor="text1"/>
        </w:rPr>
      </w:pPr>
      <w:r w:rsidRPr="00756C52">
        <w:rPr>
          <w:color w:val="000000" w:themeColor="text1"/>
        </w:rPr>
        <w:t>_________________________________________</w:t>
      </w:r>
    </w:p>
    <w:p w14:paraId="531D3F3F" w14:textId="77777777" w:rsidR="00C532E7" w:rsidRPr="00756C52" w:rsidRDefault="00C532E7">
      <w:pPr>
        <w:pBdr>
          <w:top w:val="nil"/>
          <w:left w:val="nil"/>
          <w:bottom w:val="nil"/>
          <w:right w:val="nil"/>
          <w:between w:val="nil"/>
        </w:pBdr>
        <w:rPr>
          <w:color w:val="000000" w:themeColor="text1"/>
        </w:rPr>
      </w:pPr>
    </w:p>
    <w:p w14:paraId="24104388" w14:textId="77777777" w:rsidR="00C532E7" w:rsidRPr="00F903D5" w:rsidRDefault="000D68F0">
      <w:pPr>
        <w:spacing w:line="360" w:lineRule="auto"/>
        <w:rPr>
          <w:b/>
          <w:bCs/>
          <w:color w:val="000000" w:themeColor="text1"/>
        </w:rPr>
      </w:pPr>
      <w:r w:rsidRPr="00597432">
        <w:rPr>
          <w:b/>
          <w:bCs/>
          <w:color w:val="000000" w:themeColor="text1"/>
        </w:rPr>
        <w:t>IN RE:</w:t>
      </w:r>
      <w:r w:rsidRPr="00756C52">
        <w:rPr>
          <w:color w:val="000000" w:themeColor="text1"/>
        </w:rPr>
        <w:t xml:space="preserve">    </w:t>
      </w:r>
      <w:r w:rsidRPr="00F903D5">
        <w:rPr>
          <w:b/>
          <w:bCs/>
          <w:color w:val="000000" w:themeColor="text1"/>
        </w:rPr>
        <w:t xml:space="preserve">STUDENT  V. </w:t>
      </w:r>
    </w:p>
    <w:p w14:paraId="1EFB849C" w14:textId="07D65B12" w:rsidR="00C532E7" w:rsidRPr="00756C52" w:rsidRDefault="00412FC8">
      <w:pPr>
        <w:spacing w:line="360" w:lineRule="auto"/>
        <w:rPr>
          <w:color w:val="000000" w:themeColor="text1"/>
        </w:rPr>
      </w:pPr>
      <w:r w:rsidRPr="00F903D5">
        <w:rPr>
          <w:b/>
          <w:bCs/>
          <w:color w:val="000000" w:themeColor="text1"/>
        </w:rPr>
        <w:t>WOBURN PUBLIC SCHOOLS</w:t>
      </w:r>
      <w:r w:rsidRPr="00F903D5">
        <w:rPr>
          <w:b/>
          <w:bCs/>
          <w:color w:val="000000" w:themeColor="text1"/>
        </w:rPr>
        <w:tab/>
      </w:r>
      <w:r w:rsidRPr="00756C52">
        <w:rPr>
          <w:color w:val="000000" w:themeColor="text1"/>
        </w:rPr>
        <w:tab/>
      </w:r>
      <w:r w:rsidRPr="00756C52">
        <w:rPr>
          <w:color w:val="000000" w:themeColor="text1"/>
        </w:rPr>
        <w:tab/>
      </w:r>
      <w:r w:rsidR="00576FDE" w:rsidRPr="00756C52">
        <w:rPr>
          <w:color w:val="000000" w:themeColor="text1"/>
        </w:rPr>
        <w:t xml:space="preserve"> </w:t>
      </w:r>
      <w:r w:rsidR="00576FDE" w:rsidRPr="00756C52">
        <w:rPr>
          <w:color w:val="000000" w:themeColor="text1"/>
        </w:rPr>
        <w:tab/>
      </w:r>
      <w:r w:rsidR="00576FDE" w:rsidRPr="00756C52">
        <w:rPr>
          <w:color w:val="000000" w:themeColor="text1"/>
        </w:rPr>
        <w:tab/>
      </w:r>
      <w:r w:rsidR="00576FDE" w:rsidRPr="00597432">
        <w:rPr>
          <w:b/>
          <w:bCs/>
          <w:color w:val="000000" w:themeColor="text1"/>
        </w:rPr>
        <w:t xml:space="preserve">BSEA # </w:t>
      </w:r>
      <w:r w:rsidRPr="00597432">
        <w:rPr>
          <w:b/>
          <w:bCs/>
          <w:color w:val="000000" w:themeColor="text1"/>
        </w:rPr>
        <w:t>2203102</w:t>
      </w:r>
    </w:p>
    <w:p w14:paraId="321B2419" w14:textId="77777777" w:rsidR="00C532E7" w:rsidRPr="00756C52" w:rsidRDefault="000D68F0">
      <w:pPr>
        <w:spacing w:line="360" w:lineRule="auto"/>
        <w:rPr>
          <w:color w:val="000000" w:themeColor="text1"/>
        </w:rPr>
      </w:pPr>
      <w:r w:rsidRPr="00756C52">
        <w:rPr>
          <w:color w:val="000000" w:themeColor="text1"/>
        </w:rPr>
        <w:t xml:space="preserve"> </w:t>
      </w:r>
    </w:p>
    <w:p w14:paraId="56449B3D" w14:textId="77777777" w:rsidR="00C532E7" w:rsidRPr="00756C52" w:rsidRDefault="000D68F0">
      <w:pPr>
        <w:spacing w:line="360" w:lineRule="auto"/>
        <w:rPr>
          <w:color w:val="000000" w:themeColor="text1"/>
        </w:rPr>
      </w:pPr>
      <w:r w:rsidRPr="00756C52">
        <w:rPr>
          <w:color w:val="000000" w:themeColor="text1"/>
        </w:rPr>
        <w:t>_________________________________________</w:t>
      </w:r>
    </w:p>
    <w:p w14:paraId="210449EE" w14:textId="77777777" w:rsidR="00C532E7" w:rsidRPr="00756C52" w:rsidRDefault="000D68F0">
      <w:pPr>
        <w:spacing w:line="360" w:lineRule="auto"/>
        <w:rPr>
          <w:color w:val="000000" w:themeColor="text1"/>
        </w:rPr>
      </w:pPr>
      <w:r w:rsidRPr="00756C52">
        <w:rPr>
          <w:color w:val="000000" w:themeColor="text1"/>
        </w:rPr>
        <w:t> </w:t>
      </w:r>
    </w:p>
    <w:p w14:paraId="3C94EFFA" w14:textId="06586784" w:rsidR="00C532E7" w:rsidRPr="00756C52" w:rsidRDefault="000D68F0">
      <w:pPr>
        <w:spacing w:line="360" w:lineRule="auto"/>
        <w:jc w:val="center"/>
        <w:rPr>
          <w:b/>
          <w:color w:val="000000" w:themeColor="text1"/>
          <w:u w:val="single"/>
        </w:rPr>
      </w:pPr>
      <w:r w:rsidRPr="00756C52">
        <w:rPr>
          <w:b/>
          <w:color w:val="000000" w:themeColor="text1"/>
          <w:u w:val="single"/>
        </w:rPr>
        <w:t xml:space="preserve">RULING ON PARENTS’ </w:t>
      </w:r>
      <w:r w:rsidR="00B03C56" w:rsidRPr="00756C52">
        <w:rPr>
          <w:b/>
          <w:color w:val="000000" w:themeColor="text1"/>
          <w:u w:val="single"/>
        </w:rPr>
        <w:t>REQUEST TO DETERMINE</w:t>
      </w:r>
      <w:r w:rsidR="00066A34" w:rsidRPr="00756C52">
        <w:rPr>
          <w:b/>
          <w:color w:val="000000" w:themeColor="text1"/>
          <w:u w:val="single"/>
        </w:rPr>
        <w:t xml:space="preserve"> STAY PUT PLACEMENT </w:t>
      </w:r>
    </w:p>
    <w:p w14:paraId="38C70C5B" w14:textId="77777777" w:rsidR="00C532E7" w:rsidRPr="00756C52" w:rsidRDefault="00C532E7">
      <w:pPr>
        <w:spacing w:line="360" w:lineRule="auto"/>
        <w:jc w:val="center"/>
        <w:rPr>
          <w:color w:val="000000" w:themeColor="text1"/>
        </w:rPr>
      </w:pPr>
    </w:p>
    <w:p w14:paraId="4731E449" w14:textId="3E88CEF7" w:rsidR="00C532E7" w:rsidRPr="00756C52" w:rsidRDefault="000D68F0">
      <w:pPr>
        <w:rPr>
          <w:color w:val="000000" w:themeColor="text1"/>
        </w:rPr>
      </w:pPr>
      <w:r w:rsidRPr="00756C52">
        <w:rPr>
          <w:color w:val="000000" w:themeColor="text1"/>
        </w:rPr>
        <w:t>This matter comes before the Hearing Officer on Parents’</w:t>
      </w:r>
      <w:r w:rsidR="00B03C56" w:rsidRPr="00756C52">
        <w:rPr>
          <w:color w:val="000000" w:themeColor="text1"/>
        </w:rPr>
        <w:t xml:space="preserve"> request to determine</w:t>
      </w:r>
      <w:r w:rsidR="00066A34" w:rsidRPr="00756C52">
        <w:rPr>
          <w:color w:val="000000" w:themeColor="text1"/>
        </w:rPr>
        <w:t xml:space="preserve"> Student’s stay put placement</w:t>
      </w:r>
      <w:r w:rsidR="00341B9E" w:rsidRPr="00756C52">
        <w:rPr>
          <w:color w:val="000000" w:themeColor="text1"/>
        </w:rPr>
        <w:t xml:space="preserve"> (Motion)</w:t>
      </w:r>
      <w:r w:rsidRPr="00756C52">
        <w:rPr>
          <w:i/>
          <w:color w:val="000000" w:themeColor="text1"/>
        </w:rPr>
        <w:t>,</w:t>
      </w:r>
      <w:r w:rsidRPr="00756C52">
        <w:rPr>
          <w:color w:val="000000" w:themeColor="text1"/>
        </w:rPr>
        <w:t xml:space="preserve"> which was filed with the BSEA on </w:t>
      </w:r>
      <w:r w:rsidR="006E6A62" w:rsidRPr="00756C52">
        <w:rPr>
          <w:color w:val="000000" w:themeColor="text1"/>
        </w:rPr>
        <w:t xml:space="preserve">October 14, 2021 as part of </w:t>
      </w:r>
      <w:r w:rsidR="008564FF" w:rsidRPr="00756C52">
        <w:rPr>
          <w:color w:val="000000" w:themeColor="text1"/>
        </w:rPr>
        <w:t>Parents’</w:t>
      </w:r>
      <w:r w:rsidR="006E6A62" w:rsidRPr="00756C52">
        <w:rPr>
          <w:color w:val="000000" w:themeColor="text1"/>
        </w:rPr>
        <w:t xml:space="preserve"> Request for Hearing</w:t>
      </w:r>
      <w:r w:rsidR="00A03EC4" w:rsidRPr="00756C52">
        <w:rPr>
          <w:color w:val="000000" w:themeColor="text1"/>
        </w:rPr>
        <w:t xml:space="preserve">.  The </w:t>
      </w:r>
      <w:r w:rsidR="006E6A62" w:rsidRPr="00756C52">
        <w:rPr>
          <w:color w:val="000000" w:themeColor="text1"/>
        </w:rPr>
        <w:t>Woburn Public Schools</w:t>
      </w:r>
      <w:r w:rsidRPr="00756C52">
        <w:rPr>
          <w:color w:val="000000" w:themeColor="text1"/>
        </w:rPr>
        <w:t xml:space="preserve"> (the District) filed </w:t>
      </w:r>
      <w:r w:rsidR="002C5D07" w:rsidRPr="00756C52">
        <w:rPr>
          <w:color w:val="000000" w:themeColor="text1"/>
        </w:rPr>
        <w:t xml:space="preserve">a </w:t>
      </w:r>
      <w:r w:rsidR="002C5D07" w:rsidRPr="00756C52">
        <w:rPr>
          <w:i/>
          <w:iCs/>
          <w:color w:val="000000" w:themeColor="text1"/>
        </w:rPr>
        <w:t>Response</w:t>
      </w:r>
      <w:r w:rsidRPr="00756C52">
        <w:rPr>
          <w:color w:val="000000" w:themeColor="text1"/>
        </w:rPr>
        <w:t xml:space="preserve"> </w:t>
      </w:r>
      <w:r w:rsidR="00487946" w:rsidRPr="00756C52">
        <w:rPr>
          <w:i/>
          <w:iCs/>
          <w:color w:val="000000" w:themeColor="text1"/>
        </w:rPr>
        <w:t>to Parents’ Request for Hearing</w:t>
      </w:r>
      <w:r w:rsidR="00487946" w:rsidRPr="00756C52">
        <w:rPr>
          <w:color w:val="000000" w:themeColor="text1"/>
        </w:rPr>
        <w:t xml:space="preserve"> </w:t>
      </w:r>
      <w:r w:rsidRPr="00756C52">
        <w:rPr>
          <w:color w:val="000000" w:themeColor="text1"/>
        </w:rPr>
        <w:t xml:space="preserve">on </w:t>
      </w:r>
      <w:r w:rsidR="00487946" w:rsidRPr="00756C52">
        <w:rPr>
          <w:color w:val="000000" w:themeColor="text1"/>
        </w:rPr>
        <w:t>October 25</w:t>
      </w:r>
      <w:r w:rsidRPr="00756C52">
        <w:rPr>
          <w:color w:val="000000" w:themeColor="text1"/>
        </w:rPr>
        <w:t>, 2021</w:t>
      </w:r>
      <w:r w:rsidR="006A00B0" w:rsidRPr="00756C52">
        <w:rPr>
          <w:color w:val="000000" w:themeColor="text1"/>
        </w:rPr>
        <w:t xml:space="preserve">, in </w:t>
      </w:r>
      <w:r w:rsidR="00C40ED0" w:rsidRPr="00756C52">
        <w:rPr>
          <w:color w:val="000000" w:themeColor="text1"/>
        </w:rPr>
        <w:t>part,</w:t>
      </w:r>
      <w:r w:rsidR="00092867" w:rsidRPr="00756C52">
        <w:rPr>
          <w:color w:val="000000" w:themeColor="text1"/>
        </w:rPr>
        <w:t xml:space="preserve"> </w:t>
      </w:r>
      <w:r w:rsidR="006A00B0" w:rsidRPr="00756C52">
        <w:rPr>
          <w:color w:val="000000" w:themeColor="text1"/>
        </w:rPr>
        <w:t>disput</w:t>
      </w:r>
      <w:r w:rsidR="00C22C27" w:rsidRPr="00756C52">
        <w:rPr>
          <w:color w:val="000000" w:themeColor="text1"/>
        </w:rPr>
        <w:t>ing</w:t>
      </w:r>
      <w:r w:rsidR="006A00B0" w:rsidRPr="00756C52">
        <w:rPr>
          <w:color w:val="000000" w:themeColor="text1"/>
        </w:rPr>
        <w:t xml:space="preserve"> Parents’ stay</w:t>
      </w:r>
      <w:r w:rsidR="00C40ED0" w:rsidRPr="00756C52">
        <w:rPr>
          <w:color w:val="000000" w:themeColor="text1"/>
        </w:rPr>
        <w:t xml:space="preserve"> put argument</w:t>
      </w:r>
      <w:r w:rsidRPr="00756C52">
        <w:rPr>
          <w:i/>
          <w:color w:val="000000" w:themeColor="text1"/>
        </w:rPr>
        <w:t>.</w:t>
      </w:r>
      <w:r w:rsidRPr="00756C52">
        <w:rPr>
          <w:color w:val="000000" w:themeColor="text1"/>
        </w:rPr>
        <w:t xml:space="preserve">  </w:t>
      </w:r>
      <w:r w:rsidR="00C40ED0" w:rsidRPr="00756C52">
        <w:rPr>
          <w:color w:val="000000" w:themeColor="text1"/>
        </w:rPr>
        <w:t xml:space="preserve"> </w:t>
      </w:r>
    </w:p>
    <w:p w14:paraId="600FAD91" w14:textId="77777777" w:rsidR="00C532E7" w:rsidRPr="00756C52" w:rsidRDefault="00C532E7">
      <w:pPr>
        <w:rPr>
          <w:color w:val="000000" w:themeColor="text1"/>
        </w:rPr>
      </w:pPr>
    </w:p>
    <w:p w14:paraId="7B88746D" w14:textId="77777777" w:rsidR="00490119" w:rsidRPr="00756C52" w:rsidRDefault="00490119" w:rsidP="00490119">
      <w:pPr>
        <w:pStyle w:val="BodyText"/>
        <w:rPr>
          <w:color w:val="000000" w:themeColor="text1"/>
          <w:szCs w:val="24"/>
        </w:rPr>
      </w:pPr>
      <w:r w:rsidRPr="00756C52">
        <w:rPr>
          <w:color w:val="000000" w:themeColor="text1"/>
          <w:szCs w:val="24"/>
        </w:rPr>
        <w:t>The parties did not request a hearing on the Motion, and I found that a hearing was not needed because it was not likely to advance my understanding of the issues.</w:t>
      </w:r>
      <w:r w:rsidRPr="00756C52">
        <w:rPr>
          <w:color w:val="000000" w:themeColor="text1"/>
          <w:szCs w:val="24"/>
          <w:vertAlign w:val="superscript"/>
        </w:rPr>
        <w:footnoteReference w:id="1"/>
      </w:r>
      <w:r w:rsidRPr="00756C52">
        <w:rPr>
          <w:color w:val="000000" w:themeColor="text1"/>
          <w:szCs w:val="24"/>
        </w:rPr>
        <w:t xml:space="preserve"> </w:t>
      </w:r>
    </w:p>
    <w:p w14:paraId="3CE78052" w14:textId="77777777" w:rsidR="00490119" w:rsidRPr="00756C52" w:rsidRDefault="00490119" w:rsidP="00490119">
      <w:pPr>
        <w:pStyle w:val="BodyText"/>
        <w:rPr>
          <w:color w:val="000000" w:themeColor="text1"/>
          <w:szCs w:val="24"/>
        </w:rPr>
      </w:pPr>
    </w:p>
    <w:p w14:paraId="1BB40284" w14:textId="1659D4B2" w:rsidR="003731C7" w:rsidRPr="00756C52" w:rsidRDefault="000D68F0" w:rsidP="00A03EC4">
      <w:pPr>
        <w:rPr>
          <w:color w:val="000000" w:themeColor="text1"/>
        </w:rPr>
      </w:pPr>
      <w:r w:rsidRPr="00756C52">
        <w:rPr>
          <w:color w:val="000000" w:themeColor="text1"/>
        </w:rPr>
        <w:t>For the reasons set forth below, the Parents’</w:t>
      </w:r>
      <w:r w:rsidR="00A03EC4" w:rsidRPr="00756C52">
        <w:rPr>
          <w:color w:val="000000" w:themeColor="text1"/>
        </w:rPr>
        <w:t xml:space="preserve"> Motion</w:t>
      </w:r>
      <w:r w:rsidRPr="00756C52">
        <w:rPr>
          <w:i/>
          <w:color w:val="000000" w:themeColor="text1"/>
        </w:rPr>
        <w:t xml:space="preserve"> </w:t>
      </w:r>
      <w:r w:rsidRPr="00756C52">
        <w:rPr>
          <w:color w:val="000000" w:themeColor="text1"/>
        </w:rPr>
        <w:t>is hereby</w:t>
      </w:r>
      <w:r w:rsidR="00A03EC4" w:rsidRPr="00756C52">
        <w:rPr>
          <w:color w:val="000000" w:themeColor="text1"/>
        </w:rPr>
        <w:t xml:space="preserve"> GRANTED</w:t>
      </w:r>
      <w:r w:rsidRPr="00756C52">
        <w:rPr>
          <w:color w:val="000000" w:themeColor="text1"/>
        </w:rPr>
        <w:t>.</w:t>
      </w:r>
    </w:p>
    <w:p w14:paraId="595D794E" w14:textId="77777777" w:rsidR="00C532E7" w:rsidRPr="00756C52" w:rsidRDefault="00C532E7">
      <w:pPr>
        <w:pBdr>
          <w:top w:val="nil"/>
          <w:left w:val="nil"/>
          <w:bottom w:val="nil"/>
          <w:right w:val="nil"/>
          <w:between w:val="nil"/>
        </w:pBdr>
        <w:rPr>
          <w:color w:val="000000" w:themeColor="text1"/>
        </w:rPr>
      </w:pPr>
    </w:p>
    <w:p w14:paraId="72038ED5" w14:textId="67818BB9" w:rsidR="00C532E7" w:rsidRPr="00756C52" w:rsidRDefault="00A03EC4">
      <w:pPr>
        <w:pBdr>
          <w:top w:val="nil"/>
          <w:left w:val="nil"/>
          <w:bottom w:val="nil"/>
          <w:right w:val="nil"/>
          <w:between w:val="nil"/>
        </w:pBdr>
        <w:rPr>
          <w:b/>
          <w:color w:val="000000" w:themeColor="text1"/>
        </w:rPr>
      </w:pPr>
      <w:r w:rsidRPr="00756C52">
        <w:rPr>
          <w:b/>
          <w:color w:val="000000" w:themeColor="text1"/>
        </w:rPr>
        <w:t xml:space="preserve">RELEVANT PROCEDURAL HISTORY AND </w:t>
      </w:r>
      <w:r w:rsidR="000D68F0" w:rsidRPr="00756C52">
        <w:rPr>
          <w:b/>
          <w:color w:val="000000" w:themeColor="text1"/>
        </w:rPr>
        <w:t>FACTUAL FINDINGS:</w:t>
      </w:r>
    </w:p>
    <w:p w14:paraId="0D8B77FE" w14:textId="77777777" w:rsidR="00C532E7" w:rsidRPr="00756C52" w:rsidRDefault="00C532E7">
      <w:pPr>
        <w:rPr>
          <w:color w:val="000000" w:themeColor="text1"/>
        </w:rPr>
      </w:pPr>
    </w:p>
    <w:p w14:paraId="3A87136E" w14:textId="1641CB70" w:rsidR="00C532E7" w:rsidRPr="00756C52" w:rsidRDefault="000D68F0">
      <w:pPr>
        <w:rPr>
          <w:color w:val="000000" w:themeColor="text1"/>
        </w:rPr>
      </w:pPr>
      <w:r w:rsidRPr="00756C52">
        <w:rPr>
          <w:color w:val="000000" w:themeColor="text1"/>
        </w:rPr>
        <w:t xml:space="preserve">These findings are made for the purposes of this </w:t>
      </w:r>
      <w:r w:rsidRPr="00756C52">
        <w:rPr>
          <w:i/>
          <w:color w:val="000000" w:themeColor="text1"/>
        </w:rPr>
        <w:t>Ruling</w:t>
      </w:r>
      <w:r w:rsidRPr="00756C52">
        <w:rPr>
          <w:color w:val="000000" w:themeColor="text1"/>
        </w:rPr>
        <w:t xml:space="preserve"> only</w:t>
      </w:r>
      <w:r w:rsidR="00635967" w:rsidRPr="00756C52">
        <w:rPr>
          <w:color w:val="000000" w:themeColor="text1"/>
        </w:rPr>
        <w:t xml:space="preserve"> and are subject to change in subsequent rulings and decision</w:t>
      </w:r>
      <w:r w:rsidRPr="00756C52">
        <w:rPr>
          <w:color w:val="000000" w:themeColor="text1"/>
        </w:rPr>
        <w:t>:</w:t>
      </w:r>
    </w:p>
    <w:p w14:paraId="6B0139BA" w14:textId="77777777" w:rsidR="00C532E7" w:rsidRPr="00756C52" w:rsidRDefault="00C532E7">
      <w:pPr>
        <w:rPr>
          <w:color w:val="000000" w:themeColor="text1"/>
        </w:rPr>
      </w:pPr>
    </w:p>
    <w:p w14:paraId="07ED9452" w14:textId="1191782E" w:rsidR="00C532E7" w:rsidRPr="00756C52" w:rsidRDefault="000D68F0" w:rsidP="009E4BC8">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Student is a </w:t>
      </w:r>
      <w:r w:rsidR="00AD29A7" w:rsidRPr="00756C52">
        <w:rPr>
          <w:color w:val="000000" w:themeColor="text1"/>
        </w:rPr>
        <w:t>1</w:t>
      </w:r>
      <w:r w:rsidR="0048144C" w:rsidRPr="00756C52">
        <w:rPr>
          <w:color w:val="000000" w:themeColor="text1"/>
        </w:rPr>
        <w:t>4</w:t>
      </w:r>
      <w:r w:rsidR="00AD29A7" w:rsidRPr="00756C52">
        <w:rPr>
          <w:color w:val="000000" w:themeColor="text1"/>
        </w:rPr>
        <w:t xml:space="preserve"> year old </w:t>
      </w:r>
      <w:r w:rsidR="0048144C" w:rsidRPr="00756C52">
        <w:rPr>
          <w:color w:val="000000" w:themeColor="text1"/>
        </w:rPr>
        <w:t xml:space="preserve">(DOB 9/18/2007) </w:t>
      </w:r>
      <w:r w:rsidR="00AD29A7" w:rsidRPr="00756C52">
        <w:rPr>
          <w:color w:val="000000" w:themeColor="text1"/>
        </w:rPr>
        <w:t xml:space="preserve">resident of Woburn, Massachusetts. </w:t>
      </w:r>
      <w:r w:rsidR="0048144C" w:rsidRPr="00756C52">
        <w:rPr>
          <w:color w:val="000000" w:themeColor="text1"/>
        </w:rPr>
        <w:t>He has been found eligible for special education and related services under the</w:t>
      </w:r>
      <w:r w:rsidR="00B22D7F" w:rsidRPr="00756C52">
        <w:rPr>
          <w:color w:val="000000" w:themeColor="text1"/>
        </w:rPr>
        <w:t xml:space="preserve"> primary </w:t>
      </w:r>
      <w:r w:rsidR="0048144C" w:rsidRPr="00756C52">
        <w:rPr>
          <w:color w:val="000000" w:themeColor="text1"/>
        </w:rPr>
        <w:t>disability categor</w:t>
      </w:r>
      <w:r w:rsidR="00B22D7F" w:rsidRPr="00756C52">
        <w:rPr>
          <w:color w:val="000000" w:themeColor="text1"/>
        </w:rPr>
        <w:t>y of intellectual disability</w:t>
      </w:r>
      <w:r w:rsidR="0048144C" w:rsidRPr="00756C52">
        <w:rPr>
          <w:color w:val="000000" w:themeColor="text1"/>
        </w:rPr>
        <w:t>.</w:t>
      </w:r>
    </w:p>
    <w:p w14:paraId="12FC46C0" w14:textId="2F68AC43" w:rsidR="00F95901" w:rsidRPr="00756C52" w:rsidRDefault="003A1F9D" w:rsidP="007215D2">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On May 24, 201</w:t>
      </w:r>
      <w:r w:rsidR="004D33C5" w:rsidRPr="00756C52">
        <w:rPr>
          <w:color w:val="000000" w:themeColor="text1"/>
        </w:rPr>
        <w:t>8</w:t>
      </w:r>
      <w:r w:rsidRPr="00756C52">
        <w:rPr>
          <w:color w:val="000000" w:themeColor="text1"/>
        </w:rPr>
        <w:t>, the District proposed</w:t>
      </w:r>
      <w:r w:rsidR="00386CFD" w:rsidRPr="00756C52">
        <w:rPr>
          <w:color w:val="000000" w:themeColor="text1"/>
        </w:rPr>
        <w:t>,</w:t>
      </w:r>
      <w:r w:rsidRPr="00756C52">
        <w:rPr>
          <w:color w:val="000000" w:themeColor="text1"/>
        </w:rPr>
        <w:t xml:space="preserve"> and Parent fully accepted</w:t>
      </w:r>
      <w:r w:rsidR="00386CFD" w:rsidRPr="00756C52">
        <w:rPr>
          <w:color w:val="000000" w:themeColor="text1"/>
        </w:rPr>
        <w:t>,</w:t>
      </w:r>
      <w:r w:rsidRPr="00756C52">
        <w:rPr>
          <w:color w:val="000000" w:themeColor="text1"/>
        </w:rPr>
        <w:t xml:space="preserve"> an IEP for the period </w:t>
      </w:r>
      <w:r w:rsidR="00A26940" w:rsidRPr="00756C52">
        <w:rPr>
          <w:color w:val="000000" w:themeColor="text1"/>
        </w:rPr>
        <w:t>5/15/2018</w:t>
      </w:r>
      <w:r w:rsidR="00321C81" w:rsidRPr="00756C52">
        <w:rPr>
          <w:color w:val="000000" w:themeColor="text1"/>
        </w:rPr>
        <w:t xml:space="preserve"> to </w:t>
      </w:r>
      <w:r w:rsidR="00A26940" w:rsidRPr="00756C52">
        <w:rPr>
          <w:color w:val="000000" w:themeColor="text1"/>
        </w:rPr>
        <w:t xml:space="preserve">5/14/2019 </w:t>
      </w:r>
      <w:r w:rsidR="00CD73A9" w:rsidRPr="00756C52">
        <w:rPr>
          <w:color w:val="000000" w:themeColor="text1"/>
        </w:rPr>
        <w:t xml:space="preserve">with placement at </w:t>
      </w:r>
      <w:r w:rsidR="0003384D" w:rsidRPr="00756C52">
        <w:rPr>
          <w:color w:val="000000" w:themeColor="text1"/>
        </w:rPr>
        <w:t>the Language Based Learning Disabilities Program (LEAP)</w:t>
      </w:r>
      <w:r w:rsidR="00A26940" w:rsidRPr="00756C52">
        <w:rPr>
          <w:color w:val="000000" w:themeColor="text1"/>
        </w:rPr>
        <w:t>,</w:t>
      </w:r>
      <w:r w:rsidR="0003384D" w:rsidRPr="00756C52">
        <w:rPr>
          <w:color w:val="000000" w:themeColor="text1"/>
        </w:rPr>
        <w:t xml:space="preserve"> a partial inclusion program</w:t>
      </w:r>
      <w:r w:rsidR="00A26940" w:rsidRPr="00756C52">
        <w:rPr>
          <w:color w:val="000000" w:themeColor="text1"/>
        </w:rPr>
        <w:t>, at the Altavesta School</w:t>
      </w:r>
      <w:r w:rsidR="00386CFD" w:rsidRPr="00756C52">
        <w:rPr>
          <w:color w:val="000000" w:themeColor="text1"/>
        </w:rPr>
        <w:t xml:space="preserve"> in Woburn, Massachusetts</w:t>
      </w:r>
      <w:r w:rsidR="0003384D" w:rsidRPr="00756C52">
        <w:rPr>
          <w:color w:val="000000" w:themeColor="text1"/>
        </w:rPr>
        <w:t>.</w:t>
      </w:r>
    </w:p>
    <w:p w14:paraId="7FDF6640" w14:textId="4A008131" w:rsidR="000944A5" w:rsidRPr="00756C52" w:rsidRDefault="000944A5" w:rsidP="007215D2">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In March 2019, the District proposed </w:t>
      </w:r>
      <w:r w:rsidR="007215D2" w:rsidRPr="00756C52">
        <w:rPr>
          <w:color w:val="000000" w:themeColor="text1"/>
        </w:rPr>
        <w:t xml:space="preserve">an IEP for the period 03/20/2019 to 3/19/2020 with </w:t>
      </w:r>
      <w:r w:rsidRPr="00756C52">
        <w:rPr>
          <w:color w:val="000000" w:themeColor="text1"/>
        </w:rPr>
        <w:t>p</w:t>
      </w:r>
      <w:r w:rsidR="00043F9E" w:rsidRPr="00756C52">
        <w:rPr>
          <w:color w:val="000000" w:themeColor="text1"/>
        </w:rPr>
        <w:t xml:space="preserve">lacement in </w:t>
      </w:r>
      <w:r w:rsidR="0003384D" w:rsidRPr="00756C52">
        <w:rPr>
          <w:color w:val="000000" w:themeColor="text1"/>
        </w:rPr>
        <w:t xml:space="preserve">LEAP </w:t>
      </w:r>
      <w:r w:rsidR="00043F9E" w:rsidRPr="00756C52">
        <w:rPr>
          <w:color w:val="000000" w:themeColor="text1"/>
        </w:rPr>
        <w:t xml:space="preserve">through June 2019 and then </w:t>
      </w:r>
      <w:r w:rsidR="00321C81" w:rsidRPr="00756C52">
        <w:rPr>
          <w:color w:val="000000" w:themeColor="text1"/>
        </w:rPr>
        <w:t xml:space="preserve">in </w:t>
      </w:r>
      <w:r w:rsidR="00043F9E" w:rsidRPr="00756C52">
        <w:rPr>
          <w:color w:val="000000" w:themeColor="text1"/>
        </w:rPr>
        <w:t xml:space="preserve">a substantially separate classroom at the RISE </w:t>
      </w:r>
      <w:r w:rsidR="001B0B3E" w:rsidRPr="00756C52">
        <w:rPr>
          <w:color w:val="000000" w:themeColor="text1"/>
        </w:rPr>
        <w:t xml:space="preserve">I </w:t>
      </w:r>
      <w:r w:rsidR="00043F9E" w:rsidRPr="00756C52">
        <w:rPr>
          <w:color w:val="000000" w:themeColor="text1"/>
        </w:rPr>
        <w:t xml:space="preserve">Program at </w:t>
      </w:r>
      <w:r w:rsidR="002036B4" w:rsidRPr="00756C52">
        <w:rPr>
          <w:color w:val="000000" w:themeColor="text1"/>
        </w:rPr>
        <w:t xml:space="preserve">Daniel L. </w:t>
      </w:r>
      <w:r w:rsidR="00043F9E" w:rsidRPr="00756C52">
        <w:rPr>
          <w:color w:val="000000" w:themeColor="text1"/>
        </w:rPr>
        <w:t>Joyce Middle School</w:t>
      </w:r>
      <w:r w:rsidR="00321C81" w:rsidRPr="00756C52">
        <w:rPr>
          <w:color w:val="000000" w:themeColor="text1"/>
        </w:rPr>
        <w:t xml:space="preserve"> in Woburn, Massachusetts</w:t>
      </w:r>
      <w:r w:rsidR="00043F9E" w:rsidRPr="00756C52">
        <w:rPr>
          <w:color w:val="000000" w:themeColor="text1"/>
        </w:rPr>
        <w:t>.</w:t>
      </w:r>
      <w:r w:rsidR="002F4833" w:rsidRPr="00756C52">
        <w:rPr>
          <w:color w:val="000000" w:themeColor="text1"/>
        </w:rPr>
        <w:t xml:space="preserve"> </w:t>
      </w:r>
      <w:r w:rsidR="00D01D69" w:rsidRPr="00756C52">
        <w:rPr>
          <w:color w:val="000000" w:themeColor="text1"/>
        </w:rPr>
        <w:t xml:space="preserve">Via </w:t>
      </w:r>
      <w:r w:rsidR="00B707D8" w:rsidRPr="00756C52">
        <w:rPr>
          <w:color w:val="000000" w:themeColor="text1"/>
        </w:rPr>
        <w:t xml:space="preserve">an </w:t>
      </w:r>
      <w:r w:rsidR="00D01D69" w:rsidRPr="00756C52">
        <w:rPr>
          <w:color w:val="000000" w:themeColor="text1"/>
        </w:rPr>
        <w:lastRenderedPageBreak/>
        <w:t xml:space="preserve">N1 issued on April </w:t>
      </w:r>
      <w:r w:rsidR="00773409" w:rsidRPr="00756C52">
        <w:rPr>
          <w:color w:val="000000" w:themeColor="text1"/>
        </w:rPr>
        <w:t xml:space="preserve">2, 2019, the </w:t>
      </w:r>
      <w:r w:rsidR="00B707D8" w:rsidRPr="00756C52">
        <w:rPr>
          <w:color w:val="000000" w:themeColor="text1"/>
        </w:rPr>
        <w:t>D</w:t>
      </w:r>
      <w:r w:rsidR="00773409" w:rsidRPr="00756C52">
        <w:rPr>
          <w:color w:val="000000" w:themeColor="text1"/>
        </w:rPr>
        <w:t xml:space="preserve">istrict </w:t>
      </w:r>
      <w:r w:rsidR="003167EF" w:rsidRPr="00756C52">
        <w:rPr>
          <w:color w:val="000000" w:themeColor="text1"/>
        </w:rPr>
        <w:t>explained</w:t>
      </w:r>
      <w:r w:rsidR="00773409" w:rsidRPr="00756C52">
        <w:rPr>
          <w:color w:val="000000" w:themeColor="text1"/>
        </w:rPr>
        <w:t xml:space="preserve"> that the LEA</w:t>
      </w:r>
      <w:r w:rsidR="003167EF" w:rsidRPr="00756C52">
        <w:rPr>
          <w:color w:val="000000" w:themeColor="text1"/>
        </w:rPr>
        <w:t>P</w:t>
      </w:r>
      <w:r w:rsidR="00773409" w:rsidRPr="00756C52">
        <w:rPr>
          <w:color w:val="000000" w:themeColor="text1"/>
        </w:rPr>
        <w:t xml:space="preserve"> Program at the middle school was not appropriate because of the type </w:t>
      </w:r>
      <w:r w:rsidR="00FD3BE9" w:rsidRPr="00756C52">
        <w:rPr>
          <w:color w:val="000000" w:themeColor="text1"/>
        </w:rPr>
        <w:t>o</w:t>
      </w:r>
      <w:r w:rsidR="00773409" w:rsidRPr="00756C52">
        <w:rPr>
          <w:color w:val="000000" w:themeColor="text1"/>
        </w:rPr>
        <w:t xml:space="preserve">f methodology and individualization that </w:t>
      </w:r>
      <w:r w:rsidR="009A6633" w:rsidRPr="00756C52">
        <w:rPr>
          <w:color w:val="000000" w:themeColor="text1"/>
        </w:rPr>
        <w:t xml:space="preserve">Student </w:t>
      </w:r>
      <w:r w:rsidR="00FD3BE9" w:rsidRPr="00756C52">
        <w:rPr>
          <w:color w:val="000000" w:themeColor="text1"/>
        </w:rPr>
        <w:t xml:space="preserve">required. </w:t>
      </w:r>
      <w:r w:rsidR="002F4833" w:rsidRPr="00756C52">
        <w:rPr>
          <w:color w:val="000000" w:themeColor="text1"/>
        </w:rPr>
        <w:t>On May 15, 2019, Parents refused placement</w:t>
      </w:r>
      <w:r w:rsidR="006A6709" w:rsidRPr="00756C52">
        <w:rPr>
          <w:color w:val="000000" w:themeColor="text1"/>
        </w:rPr>
        <w:t xml:space="preserve"> at RISE I</w:t>
      </w:r>
      <w:r w:rsidR="002F4833" w:rsidRPr="00756C52">
        <w:rPr>
          <w:color w:val="000000" w:themeColor="text1"/>
        </w:rPr>
        <w:t>.</w:t>
      </w:r>
      <w:r w:rsidR="00E917D8" w:rsidRPr="00756C52">
        <w:rPr>
          <w:color w:val="000000" w:themeColor="text1"/>
        </w:rPr>
        <w:t xml:space="preserve"> </w:t>
      </w:r>
    </w:p>
    <w:p w14:paraId="106F118B" w14:textId="24B1EE72" w:rsidR="00E917D8" w:rsidRPr="00756C52" w:rsidRDefault="007215D2" w:rsidP="009E4BC8">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In June</w:t>
      </w:r>
      <w:r w:rsidR="00E917D8" w:rsidRPr="00756C52">
        <w:rPr>
          <w:color w:val="000000" w:themeColor="text1"/>
        </w:rPr>
        <w:t xml:space="preserve"> 2019, </w:t>
      </w:r>
      <w:r w:rsidRPr="00756C52">
        <w:rPr>
          <w:color w:val="000000" w:themeColor="text1"/>
        </w:rPr>
        <w:t>the District issued an Amendment to the IEP for the period 03/20/2019 to 3/19/2020</w:t>
      </w:r>
      <w:r w:rsidR="00145E59" w:rsidRPr="00756C52">
        <w:rPr>
          <w:color w:val="000000" w:themeColor="text1"/>
        </w:rPr>
        <w:t>, in part,</w:t>
      </w:r>
      <w:r w:rsidRPr="00756C52">
        <w:rPr>
          <w:color w:val="000000" w:themeColor="text1"/>
        </w:rPr>
        <w:t xml:space="preserve"> acknowledging Parents’ invocation of stay put </w:t>
      </w:r>
      <w:r w:rsidR="00DD0871" w:rsidRPr="00756C52">
        <w:rPr>
          <w:color w:val="000000" w:themeColor="text1"/>
        </w:rPr>
        <w:t xml:space="preserve">rights </w:t>
      </w:r>
      <w:r w:rsidRPr="00756C52">
        <w:rPr>
          <w:color w:val="000000" w:themeColor="text1"/>
        </w:rPr>
        <w:t>to Student’s placement in the LEAP Program.</w:t>
      </w:r>
    </w:p>
    <w:p w14:paraId="11E1497D" w14:textId="55234C88" w:rsidR="001E4974" w:rsidRPr="00756C52" w:rsidRDefault="001D7247" w:rsidP="00672AB9">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On October 18, 2019, the District proposed placement at </w:t>
      </w:r>
      <w:r w:rsidR="00D133B5" w:rsidRPr="00756C52">
        <w:rPr>
          <w:color w:val="000000" w:themeColor="text1"/>
        </w:rPr>
        <w:t xml:space="preserve">the RISE II Program at </w:t>
      </w:r>
      <w:r w:rsidR="00772703" w:rsidRPr="00756C52">
        <w:rPr>
          <w:color w:val="000000" w:themeColor="text1"/>
        </w:rPr>
        <w:t xml:space="preserve">Daniel L. </w:t>
      </w:r>
      <w:r w:rsidR="00D133B5" w:rsidRPr="00756C52">
        <w:rPr>
          <w:color w:val="000000" w:themeColor="text1"/>
        </w:rPr>
        <w:t>Joyce Middle School in Woburn, Massachusetts.</w:t>
      </w:r>
      <w:r w:rsidR="001B0B3E" w:rsidRPr="00756C52">
        <w:rPr>
          <w:color w:val="000000" w:themeColor="text1"/>
        </w:rPr>
        <w:t xml:space="preserve"> The </w:t>
      </w:r>
      <w:r w:rsidR="00C26497" w:rsidRPr="00756C52">
        <w:rPr>
          <w:color w:val="000000" w:themeColor="text1"/>
        </w:rPr>
        <w:t>N1 stated, in part, “</w:t>
      </w:r>
      <w:r w:rsidR="00B7598D" w:rsidRPr="00756C52">
        <w:rPr>
          <w:color w:val="000000" w:themeColor="text1"/>
        </w:rPr>
        <w:t xml:space="preserve">The team agreed that RISE I was not an appropriate placement for </w:t>
      </w:r>
      <w:r w:rsidR="004F2F1C" w:rsidRPr="00756C52">
        <w:rPr>
          <w:color w:val="000000" w:themeColor="text1"/>
        </w:rPr>
        <w:t>[Student]</w:t>
      </w:r>
      <w:r w:rsidR="000B783A" w:rsidRPr="00756C52">
        <w:rPr>
          <w:color w:val="000000" w:themeColor="text1"/>
        </w:rPr>
        <w:t xml:space="preserve"> and suggested that he be placed in RISE </w:t>
      </w:r>
      <w:r w:rsidR="007B4855" w:rsidRPr="00756C52">
        <w:rPr>
          <w:color w:val="000000" w:themeColor="text1"/>
        </w:rPr>
        <w:t>[II]</w:t>
      </w:r>
      <w:r w:rsidR="000B783A" w:rsidRPr="00756C52">
        <w:rPr>
          <w:color w:val="000000" w:themeColor="text1"/>
        </w:rPr>
        <w:t xml:space="preserve"> which would continue to allow him to attend general education Social Studies and Science classes with supports and a smaller whole </w:t>
      </w:r>
      <w:r w:rsidR="00DF12EF" w:rsidRPr="00756C52">
        <w:rPr>
          <w:color w:val="000000" w:themeColor="text1"/>
        </w:rPr>
        <w:t>language</w:t>
      </w:r>
      <w:r w:rsidR="000B783A" w:rsidRPr="00756C52">
        <w:rPr>
          <w:color w:val="000000" w:themeColor="text1"/>
        </w:rPr>
        <w:t xml:space="preserve"> and math class. </w:t>
      </w:r>
      <w:r w:rsidR="00C26497" w:rsidRPr="00756C52">
        <w:rPr>
          <w:color w:val="000000" w:themeColor="text1"/>
        </w:rPr>
        <w:t xml:space="preserve">It is the belief of the school </w:t>
      </w:r>
      <w:r w:rsidR="000B783A" w:rsidRPr="00756C52">
        <w:rPr>
          <w:color w:val="000000" w:themeColor="text1"/>
        </w:rPr>
        <w:t>district that this</w:t>
      </w:r>
      <w:r w:rsidR="00DF12EF" w:rsidRPr="00756C52">
        <w:rPr>
          <w:color w:val="000000" w:themeColor="text1"/>
        </w:rPr>
        <w:t xml:space="preserve"> program will also be a better social</w:t>
      </w:r>
      <w:r w:rsidR="00640A45">
        <w:rPr>
          <w:color w:val="000000" w:themeColor="text1"/>
        </w:rPr>
        <w:t xml:space="preserve"> fit</w:t>
      </w:r>
      <w:r w:rsidR="00DF12EF" w:rsidRPr="00756C52">
        <w:rPr>
          <w:color w:val="000000" w:themeColor="text1"/>
        </w:rPr>
        <w:t xml:space="preserve"> for [Student] than RISE </w:t>
      </w:r>
      <w:r w:rsidR="00390261" w:rsidRPr="00756C52">
        <w:rPr>
          <w:color w:val="000000" w:themeColor="text1"/>
        </w:rPr>
        <w:t>[I]</w:t>
      </w:r>
      <w:r w:rsidR="00DF12EF" w:rsidRPr="00756C52">
        <w:rPr>
          <w:color w:val="000000" w:themeColor="text1"/>
        </w:rPr>
        <w:t>.”</w:t>
      </w:r>
      <w:r w:rsidR="00AC3885" w:rsidRPr="00756C52">
        <w:rPr>
          <w:color w:val="000000" w:themeColor="text1"/>
        </w:rPr>
        <w:t xml:space="preserve"> </w:t>
      </w:r>
      <w:r w:rsidR="00897239" w:rsidRPr="00756C52">
        <w:rPr>
          <w:color w:val="000000" w:themeColor="text1"/>
        </w:rPr>
        <w:t xml:space="preserve">Parent rejected RISE </w:t>
      </w:r>
      <w:r w:rsidR="007B4855" w:rsidRPr="00756C52">
        <w:rPr>
          <w:color w:val="000000" w:themeColor="text1"/>
        </w:rPr>
        <w:t>II</w:t>
      </w:r>
      <w:r w:rsidR="00897239" w:rsidRPr="00756C52">
        <w:rPr>
          <w:color w:val="000000" w:themeColor="text1"/>
        </w:rPr>
        <w:t xml:space="preserve">. </w:t>
      </w:r>
    </w:p>
    <w:p w14:paraId="4593C5CB" w14:textId="6D458E6F" w:rsidR="001D7247" w:rsidRPr="00756C52" w:rsidRDefault="001E4974" w:rsidP="00672AB9">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In January 2020, the District proposed a hybrid program with RISE </w:t>
      </w:r>
      <w:r w:rsidR="007B4855" w:rsidRPr="00756C52">
        <w:rPr>
          <w:color w:val="000000" w:themeColor="text1"/>
        </w:rPr>
        <w:t xml:space="preserve">II </w:t>
      </w:r>
      <w:r w:rsidRPr="00756C52">
        <w:rPr>
          <w:color w:val="000000" w:themeColor="text1"/>
        </w:rPr>
        <w:t>and LEAP</w:t>
      </w:r>
      <w:r w:rsidR="00E14721" w:rsidRPr="00756C52">
        <w:rPr>
          <w:color w:val="000000" w:themeColor="text1"/>
        </w:rPr>
        <w:t xml:space="preserve">. </w:t>
      </w:r>
      <w:r w:rsidR="007F7C38" w:rsidRPr="00756C52">
        <w:rPr>
          <w:color w:val="000000" w:themeColor="text1"/>
        </w:rPr>
        <w:t xml:space="preserve">Following a subsequent meeting on January 29, 2020, </w:t>
      </w:r>
      <w:r w:rsidR="00AC3885" w:rsidRPr="00756C52">
        <w:rPr>
          <w:color w:val="000000" w:themeColor="text1"/>
        </w:rPr>
        <w:t xml:space="preserve">Parents </w:t>
      </w:r>
      <w:r w:rsidR="00897239" w:rsidRPr="00756C52">
        <w:rPr>
          <w:color w:val="000000" w:themeColor="text1"/>
        </w:rPr>
        <w:t xml:space="preserve">continued to </w:t>
      </w:r>
      <w:r w:rsidR="00AC3885" w:rsidRPr="00756C52">
        <w:rPr>
          <w:color w:val="000000" w:themeColor="text1"/>
        </w:rPr>
        <w:t xml:space="preserve">reject RISE </w:t>
      </w:r>
      <w:r w:rsidR="00A96B11" w:rsidRPr="00756C52">
        <w:rPr>
          <w:color w:val="000000" w:themeColor="text1"/>
        </w:rPr>
        <w:t>II</w:t>
      </w:r>
      <w:r w:rsidR="00E14721" w:rsidRPr="00756C52">
        <w:rPr>
          <w:color w:val="000000" w:themeColor="text1"/>
        </w:rPr>
        <w:t xml:space="preserve"> and the hybrid program</w:t>
      </w:r>
      <w:r w:rsidR="00AC3885" w:rsidRPr="00756C52">
        <w:rPr>
          <w:color w:val="000000" w:themeColor="text1"/>
        </w:rPr>
        <w:t>.</w:t>
      </w:r>
    </w:p>
    <w:p w14:paraId="1562028D" w14:textId="40545A52" w:rsidR="001E3022" w:rsidRPr="00756C52" w:rsidRDefault="00B55CA3" w:rsidP="00672AB9">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In February 2020, the District issued an N1 maintaining that RISE II </w:t>
      </w:r>
      <w:r w:rsidR="00F630D7" w:rsidRPr="00756C52">
        <w:rPr>
          <w:color w:val="000000" w:themeColor="text1"/>
        </w:rPr>
        <w:t>was</w:t>
      </w:r>
      <w:r w:rsidRPr="00756C52">
        <w:rPr>
          <w:color w:val="000000" w:themeColor="text1"/>
        </w:rPr>
        <w:t xml:space="preserve"> the most appropriate placement for Student.</w:t>
      </w:r>
      <w:r w:rsidR="00AD2CC7" w:rsidRPr="00756C52">
        <w:rPr>
          <w:rStyle w:val="FootnoteReference"/>
          <w:color w:val="000000" w:themeColor="text1"/>
        </w:rPr>
        <w:footnoteReference w:id="2"/>
      </w:r>
    </w:p>
    <w:p w14:paraId="318A4CB5" w14:textId="3C809AF3" w:rsidR="008A1A0C" w:rsidRPr="00756C52" w:rsidRDefault="008A1A0C" w:rsidP="00672AB9">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On October 19, 2020, the District proposed a neuropsycholo</w:t>
      </w:r>
      <w:r w:rsidR="008E1C86" w:rsidRPr="00756C52">
        <w:rPr>
          <w:color w:val="000000" w:themeColor="text1"/>
        </w:rPr>
        <w:t xml:space="preserve">gical assessment which Parents rejected. </w:t>
      </w:r>
    </w:p>
    <w:p w14:paraId="392A1781" w14:textId="1E212E16" w:rsidR="00646ECE" w:rsidRPr="00756C52" w:rsidRDefault="008C7DDB" w:rsidP="00672AB9">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On</w:t>
      </w:r>
      <w:r w:rsidR="00686DE0" w:rsidRPr="00756C52">
        <w:rPr>
          <w:color w:val="000000" w:themeColor="text1"/>
        </w:rPr>
        <w:t xml:space="preserve"> December </w:t>
      </w:r>
      <w:r w:rsidRPr="00756C52">
        <w:rPr>
          <w:color w:val="000000" w:themeColor="text1"/>
        </w:rPr>
        <w:t xml:space="preserve">22, </w:t>
      </w:r>
      <w:r w:rsidR="00686DE0" w:rsidRPr="00756C52">
        <w:rPr>
          <w:color w:val="000000" w:themeColor="text1"/>
        </w:rPr>
        <w:t xml:space="preserve">2020, the District </w:t>
      </w:r>
      <w:r w:rsidRPr="00756C52">
        <w:rPr>
          <w:color w:val="000000" w:themeColor="text1"/>
        </w:rPr>
        <w:t>proposed</w:t>
      </w:r>
      <w:r w:rsidR="00686DE0" w:rsidRPr="00756C52">
        <w:rPr>
          <w:color w:val="000000" w:themeColor="text1"/>
        </w:rPr>
        <w:t xml:space="preserve"> an extended evaluation</w:t>
      </w:r>
      <w:r w:rsidR="008F7CCA" w:rsidRPr="00756C52">
        <w:rPr>
          <w:color w:val="000000" w:themeColor="text1"/>
        </w:rPr>
        <w:t xml:space="preserve"> </w:t>
      </w:r>
      <w:r w:rsidRPr="00756C52">
        <w:rPr>
          <w:color w:val="000000" w:themeColor="text1"/>
        </w:rPr>
        <w:t xml:space="preserve">of Student </w:t>
      </w:r>
      <w:r w:rsidR="008F7CCA" w:rsidRPr="00756C52">
        <w:rPr>
          <w:color w:val="000000" w:themeColor="text1"/>
        </w:rPr>
        <w:t>at RISE</w:t>
      </w:r>
      <w:r w:rsidR="008269DE" w:rsidRPr="00756C52">
        <w:rPr>
          <w:color w:val="000000" w:themeColor="text1"/>
        </w:rPr>
        <w:t xml:space="preserve"> I</w:t>
      </w:r>
      <w:r w:rsidR="00606C28" w:rsidRPr="00756C52">
        <w:rPr>
          <w:color w:val="000000" w:themeColor="text1"/>
        </w:rPr>
        <w:t xml:space="preserve">. </w:t>
      </w:r>
      <w:r w:rsidR="008F7CCA" w:rsidRPr="00756C52">
        <w:rPr>
          <w:color w:val="000000" w:themeColor="text1"/>
        </w:rPr>
        <w:t>Parents agreed</w:t>
      </w:r>
      <w:r w:rsidR="00522BAE" w:rsidRPr="00756C52">
        <w:rPr>
          <w:color w:val="000000" w:themeColor="text1"/>
        </w:rPr>
        <w:t xml:space="preserve">, and </w:t>
      </w:r>
      <w:r w:rsidR="00781B07" w:rsidRPr="00756C52">
        <w:rPr>
          <w:color w:val="000000" w:themeColor="text1"/>
        </w:rPr>
        <w:t>Student completed the extended evaluation on March 15, 2021</w:t>
      </w:r>
      <w:r w:rsidR="0030658D" w:rsidRPr="00756C52">
        <w:rPr>
          <w:color w:val="000000" w:themeColor="text1"/>
        </w:rPr>
        <w:t>.</w:t>
      </w:r>
    </w:p>
    <w:p w14:paraId="17B00277" w14:textId="67F5124B" w:rsidR="008F7CCA" w:rsidRPr="00756C52" w:rsidRDefault="008F7CCA" w:rsidP="00672AB9">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The Team convened on March 19, 2021 to review the results of the extended evaluation, and the Team propose</w:t>
      </w:r>
      <w:r w:rsidR="004931D0" w:rsidRPr="00756C52">
        <w:rPr>
          <w:color w:val="000000" w:themeColor="text1"/>
        </w:rPr>
        <w:t xml:space="preserve">d </w:t>
      </w:r>
      <w:r w:rsidR="00512695" w:rsidRPr="00756C52">
        <w:rPr>
          <w:color w:val="000000" w:themeColor="text1"/>
        </w:rPr>
        <w:t xml:space="preserve">an IEP for the period 12/14/2020 to 12/13/2021 </w:t>
      </w:r>
      <w:r w:rsidR="00522BAE" w:rsidRPr="00756C52">
        <w:rPr>
          <w:color w:val="000000" w:themeColor="text1"/>
        </w:rPr>
        <w:t>with</w:t>
      </w:r>
      <w:r w:rsidR="00512695" w:rsidRPr="00756C52">
        <w:rPr>
          <w:color w:val="000000" w:themeColor="text1"/>
        </w:rPr>
        <w:t xml:space="preserve"> </w:t>
      </w:r>
      <w:r w:rsidR="004931D0" w:rsidRPr="00756C52">
        <w:rPr>
          <w:color w:val="000000" w:themeColor="text1"/>
        </w:rPr>
        <w:t xml:space="preserve">placement </w:t>
      </w:r>
      <w:r w:rsidR="00522BAE" w:rsidRPr="00756C52">
        <w:rPr>
          <w:color w:val="000000" w:themeColor="text1"/>
        </w:rPr>
        <w:t>in</w:t>
      </w:r>
      <w:r w:rsidR="004931D0" w:rsidRPr="00756C52">
        <w:rPr>
          <w:color w:val="000000" w:themeColor="text1"/>
        </w:rPr>
        <w:t xml:space="preserve"> the substantially separate classroom in RISE I at </w:t>
      </w:r>
      <w:r w:rsidR="009F609F" w:rsidRPr="00756C52">
        <w:rPr>
          <w:color w:val="000000" w:themeColor="text1"/>
        </w:rPr>
        <w:t>Daniel L. Joyce Middle School</w:t>
      </w:r>
      <w:r w:rsidR="00512695" w:rsidRPr="00756C52">
        <w:rPr>
          <w:color w:val="000000" w:themeColor="text1"/>
        </w:rPr>
        <w:t xml:space="preserve"> for the remainder of 2019-2020 and for 2020-202</w:t>
      </w:r>
      <w:r w:rsidR="00522BAE" w:rsidRPr="00756C52">
        <w:rPr>
          <w:color w:val="000000" w:themeColor="text1"/>
        </w:rPr>
        <w:t>1</w:t>
      </w:r>
      <w:r w:rsidR="008C2504" w:rsidRPr="00756C52">
        <w:rPr>
          <w:color w:val="000000" w:themeColor="text1"/>
        </w:rPr>
        <w:t>. On May 8, 2021, Parents rejected the placement</w:t>
      </w:r>
      <w:r w:rsidR="00146BA7" w:rsidRPr="00756C52">
        <w:rPr>
          <w:color w:val="000000" w:themeColor="text1"/>
        </w:rPr>
        <w:t xml:space="preserve"> and filed </w:t>
      </w:r>
      <w:r w:rsidR="00522BAE" w:rsidRPr="00756C52">
        <w:rPr>
          <w:color w:val="000000" w:themeColor="text1"/>
        </w:rPr>
        <w:t>a Request for</w:t>
      </w:r>
      <w:r w:rsidR="00146BA7" w:rsidRPr="00756C52">
        <w:rPr>
          <w:color w:val="000000" w:themeColor="text1"/>
        </w:rPr>
        <w:t xml:space="preserve"> </w:t>
      </w:r>
      <w:r w:rsidR="00522BAE" w:rsidRPr="00756C52">
        <w:rPr>
          <w:color w:val="000000" w:themeColor="text1"/>
        </w:rPr>
        <w:t>H</w:t>
      </w:r>
      <w:r w:rsidR="00146BA7" w:rsidRPr="00756C52">
        <w:rPr>
          <w:color w:val="000000" w:themeColor="text1"/>
        </w:rPr>
        <w:t>earing on May 27, 2021 (BSEA #2110850).</w:t>
      </w:r>
    </w:p>
    <w:p w14:paraId="32911FBD" w14:textId="64402CAC" w:rsidR="00272C44" w:rsidRPr="00756C52" w:rsidRDefault="0054602E" w:rsidP="009E4BC8">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On </w:t>
      </w:r>
      <w:r w:rsidR="007A7155" w:rsidRPr="00756C52">
        <w:rPr>
          <w:color w:val="000000" w:themeColor="text1"/>
        </w:rPr>
        <w:t>August 24, 2021</w:t>
      </w:r>
      <w:r w:rsidRPr="00756C52">
        <w:rPr>
          <w:color w:val="000000" w:themeColor="text1"/>
        </w:rPr>
        <w:t xml:space="preserve"> the parties </w:t>
      </w:r>
      <w:r w:rsidR="00816089" w:rsidRPr="00756C52">
        <w:rPr>
          <w:color w:val="000000" w:themeColor="text1"/>
        </w:rPr>
        <w:t xml:space="preserve">resolved </w:t>
      </w:r>
      <w:r w:rsidR="00756B5F" w:rsidRPr="00756C52">
        <w:rPr>
          <w:color w:val="000000" w:themeColor="text1"/>
        </w:rPr>
        <w:t>BSEA #2110850 via a fully executed</w:t>
      </w:r>
      <w:r w:rsidRPr="00756C52">
        <w:rPr>
          <w:color w:val="000000" w:themeColor="text1"/>
        </w:rPr>
        <w:t xml:space="preserve"> Settlement Agreement</w:t>
      </w:r>
      <w:r w:rsidR="009226F2" w:rsidRPr="00756C52">
        <w:rPr>
          <w:color w:val="000000" w:themeColor="text1"/>
        </w:rPr>
        <w:t xml:space="preserve"> (</w:t>
      </w:r>
      <w:r w:rsidR="007A7155" w:rsidRPr="00756C52">
        <w:rPr>
          <w:color w:val="000000" w:themeColor="text1"/>
        </w:rPr>
        <w:t xml:space="preserve">the </w:t>
      </w:r>
      <w:r w:rsidR="009226F2" w:rsidRPr="00756C52">
        <w:rPr>
          <w:color w:val="000000" w:themeColor="text1"/>
        </w:rPr>
        <w:t>Settlement Agreement)</w:t>
      </w:r>
      <w:r w:rsidR="00756B5F" w:rsidRPr="00756C52">
        <w:rPr>
          <w:color w:val="000000" w:themeColor="text1"/>
        </w:rPr>
        <w:t xml:space="preserve">. </w:t>
      </w:r>
      <w:r w:rsidR="001E682B" w:rsidRPr="00756C52">
        <w:rPr>
          <w:color w:val="000000" w:themeColor="text1"/>
        </w:rPr>
        <w:t xml:space="preserve">Both parties were represented by counsel. </w:t>
      </w:r>
      <w:r w:rsidR="00756B5F" w:rsidRPr="00756C52">
        <w:rPr>
          <w:color w:val="000000" w:themeColor="text1"/>
        </w:rPr>
        <w:t>As a result, Parents withdrew the Request for Hearing in that matter</w:t>
      </w:r>
      <w:r w:rsidR="009226F2" w:rsidRPr="00756C52">
        <w:rPr>
          <w:color w:val="000000" w:themeColor="text1"/>
        </w:rPr>
        <w:t>.</w:t>
      </w:r>
      <w:r w:rsidR="00816089" w:rsidRPr="00756C52">
        <w:rPr>
          <w:color w:val="000000" w:themeColor="text1"/>
        </w:rPr>
        <w:t xml:space="preserve"> </w:t>
      </w:r>
    </w:p>
    <w:p w14:paraId="5F69DB94" w14:textId="3FCBAB6D" w:rsidR="007A7155" w:rsidRPr="00756C52" w:rsidRDefault="007A7155" w:rsidP="009E4BC8">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The Settlement Agreement stated, in part, </w:t>
      </w:r>
      <w:r w:rsidR="00975D28" w:rsidRPr="00756C52">
        <w:rPr>
          <w:color w:val="000000" w:themeColor="text1"/>
        </w:rPr>
        <w:t xml:space="preserve">that the parties sought to resolve any dispute regarding Student’s educational placement for 2021-2022 and 2022-2023.  It also stated </w:t>
      </w:r>
      <w:r w:rsidRPr="00756C52">
        <w:rPr>
          <w:color w:val="000000" w:themeColor="text1"/>
        </w:rPr>
        <w:t>as follows:</w:t>
      </w:r>
    </w:p>
    <w:p w14:paraId="5CB1D5BD" w14:textId="5AEF0830" w:rsidR="002036B4" w:rsidRPr="00756C52" w:rsidRDefault="00564CD9" w:rsidP="00564CD9">
      <w:pPr>
        <w:pBdr>
          <w:top w:val="nil"/>
          <w:left w:val="nil"/>
          <w:bottom w:val="nil"/>
          <w:right w:val="nil"/>
          <w:between w:val="nil"/>
        </w:pBdr>
        <w:spacing w:line="259" w:lineRule="auto"/>
        <w:ind w:left="1440"/>
        <w:rPr>
          <w:color w:val="000000" w:themeColor="text1"/>
        </w:rPr>
      </w:pPr>
      <w:r w:rsidRPr="00756C52">
        <w:rPr>
          <w:b/>
          <w:bCs/>
          <w:color w:val="000000" w:themeColor="text1"/>
        </w:rPr>
        <w:t>Paragraph 1:</w:t>
      </w:r>
      <w:r w:rsidRPr="00756C52">
        <w:rPr>
          <w:color w:val="000000" w:themeColor="text1"/>
        </w:rPr>
        <w:t xml:space="preserve"> </w:t>
      </w:r>
      <w:r w:rsidR="00975D28" w:rsidRPr="00756C52">
        <w:rPr>
          <w:color w:val="000000" w:themeColor="text1"/>
        </w:rPr>
        <w:t xml:space="preserve">Subject to the Student’s acceptance at one </w:t>
      </w:r>
      <w:r w:rsidR="00242699" w:rsidRPr="00756C52">
        <w:rPr>
          <w:color w:val="000000" w:themeColor="text1"/>
        </w:rPr>
        <w:t>of</w:t>
      </w:r>
      <w:r w:rsidR="00975D28" w:rsidRPr="00756C52">
        <w:rPr>
          <w:color w:val="000000" w:themeColor="text1"/>
        </w:rPr>
        <w:t xml:space="preserve"> the following schools to which referral packets have </w:t>
      </w:r>
      <w:r w:rsidR="00242699" w:rsidRPr="00756C52">
        <w:rPr>
          <w:color w:val="000000" w:themeColor="text1"/>
        </w:rPr>
        <w:t>previously</w:t>
      </w:r>
      <w:r w:rsidR="00975D28" w:rsidRPr="00756C52">
        <w:rPr>
          <w:color w:val="000000" w:themeColor="text1"/>
        </w:rPr>
        <w:t xml:space="preserve"> been sent [i.e., SEEM Collaborative, </w:t>
      </w:r>
      <w:r w:rsidR="00242699" w:rsidRPr="00756C52">
        <w:rPr>
          <w:color w:val="000000" w:themeColor="text1"/>
        </w:rPr>
        <w:t>etc.</w:t>
      </w:r>
      <w:r w:rsidR="00975D28" w:rsidRPr="00756C52">
        <w:rPr>
          <w:color w:val="000000" w:themeColor="text1"/>
        </w:rPr>
        <w:t>]</w:t>
      </w:r>
      <w:r w:rsidR="00302D05" w:rsidRPr="00756C52">
        <w:rPr>
          <w:color w:val="000000" w:themeColor="text1"/>
        </w:rPr>
        <w:t xml:space="preserve">, the District agrees to annually </w:t>
      </w:r>
      <w:r w:rsidR="00242699" w:rsidRPr="00756C52">
        <w:rPr>
          <w:color w:val="000000" w:themeColor="text1"/>
        </w:rPr>
        <w:t>administratively</w:t>
      </w:r>
      <w:r w:rsidR="00302D05" w:rsidRPr="00756C52">
        <w:rPr>
          <w:color w:val="000000" w:themeColor="text1"/>
        </w:rPr>
        <w:t xml:space="preserve"> develop an Individualized Education Program (“IEP”) and Team </w:t>
      </w:r>
      <w:r w:rsidR="00242699" w:rsidRPr="00756C52">
        <w:rPr>
          <w:color w:val="000000" w:themeColor="text1"/>
        </w:rPr>
        <w:t>Determination</w:t>
      </w:r>
      <w:r w:rsidR="00302D05" w:rsidRPr="00756C52">
        <w:rPr>
          <w:color w:val="000000" w:themeColor="text1"/>
        </w:rPr>
        <w:t xml:space="preserve"> </w:t>
      </w:r>
      <w:r w:rsidR="009F4196" w:rsidRPr="00756C52">
        <w:rPr>
          <w:color w:val="000000" w:themeColor="text1"/>
        </w:rPr>
        <w:t>of Placement providing for the Student’s day placement at one of the schools (hereafter, the agreed upon program is referred to as “The Out-</w:t>
      </w:r>
      <w:r w:rsidR="00B148DF" w:rsidRPr="00756C52">
        <w:rPr>
          <w:color w:val="000000" w:themeColor="text1"/>
        </w:rPr>
        <w:t xml:space="preserve">if-District </w:t>
      </w:r>
      <w:r w:rsidR="00242699" w:rsidRPr="00756C52">
        <w:rPr>
          <w:color w:val="000000" w:themeColor="text1"/>
        </w:rPr>
        <w:t>Program</w:t>
      </w:r>
      <w:r w:rsidR="00B148DF" w:rsidRPr="00756C52">
        <w:rPr>
          <w:color w:val="000000" w:themeColor="text1"/>
        </w:rPr>
        <w:t xml:space="preserve">”) for the 2021-2022 and 2022-2023 school years.  The Parents agree to accept the </w:t>
      </w:r>
      <w:r w:rsidR="00242699" w:rsidRPr="00756C52">
        <w:rPr>
          <w:color w:val="000000" w:themeColor="text1"/>
        </w:rPr>
        <w:t>administratively</w:t>
      </w:r>
      <w:r w:rsidR="00B148DF" w:rsidRPr="00756C52">
        <w:rPr>
          <w:color w:val="000000" w:themeColor="text1"/>
        </w:rPr>
        <w:t xml:space="preserve"> drafted </w:t>
      </w:r>
      <w:r w:rsidR="00B148DF" w:rsidRPr="00756C52">
        <w:rPr>
          <w:color w:val="000000" w:themeColor="text1"/>
        </w:rPr>
        <w:lastRenderedPageBreak/>
        <w:t xml:space="preserve">IEPs and the Team Determination of </w:t>
      </w:r>
      <w:r w:rsidR="00242699" w:rsidRPr="00756C52">
        <w:rPr>
          <w:color w:val="000000" w:themeColor="text1"/>
        </w:rPr>
        <w:t>Placement</w:t>
      </w:r>
      <w:r w:rsidR="00B148DF" w:rsidRPr="00756C52">
        <w:rPr>
          <w:color w:val="000000" w:themeColor="text1"/>
        </w:rPr>
        <w:t xml:space="preserve"> within ten (10) school days of </w:t>
      </w:r>
      <w:r w:rsidR="00242699" w:rsidRPr="00756C52">
        <w:rPr>
          <w:color w:val="000000" w:themeColor="text1"/>
        </w:rPr>
        <w:t>receipt</w:t>
      </w:r>
      <w:r w:rsidR="00B148DF" w:rsidRPr="00756C52">
        <w:rPr>
          <w:color w:val="000000" w:themeColor="text1"/>
        </w:rPr>
        <w:t xml:space="preserve"> from the District.</w:t>
      </w:r>
    </w:p>
    <w:p w14:paraId="15394E20" w14:textId="207BADC6" w:rsidR="0078782A" w:rsidRPr="00756C52" w:rsidRDefault="00F907F0" w:rsidP="00564CD9">
      <w:pPr>
        <w:pBdr>
          <w:top w:val="nil"/>
          <w:left w:val="nil"/>
          <w:bottom w:val="nil"/>
          <w:right w:val="nil"/>
          <w:between w:val="nil"/>
        </w:pBdr>
        <w:spacing w:line="259" w:lineRule="auto"/>
        <w:ind w:left="1440"/>
        <w:rPr>
          <w:color w:val="000000" w:themeColor="text1"/>
        </w:rPr>
      </w:pPr>
      <w:r w:rsidRPr="00756C52">
        <w:rPr>
          <w:b/>
          <w:bCs/>
          <w:color w:val="000000" w:themeColor="text1"/>
        </w:rPr>
        <w:t xml:space="preserve">Paragraph </w:t>
      </w:r>
      <w:r w:rsidR="0078782A" w:rsidRPr="00756C52">
        <w:rPr>
          <w:b/>
          <w:bCs/>
          <w:color w:val="000000" w:themeColor="text1"/>
        </w:rPr>
        <w:t>2</w:t>
      </w:r>
      <w:r w:rsidR="0078782A" w:rsidRPr="00756C52">
        <w:rPr>
          <w:color w:val="000000" w:themeColor="text1"/>
        </w:rPr>
        <w:t>:</w:t>
      </w:r>
      <w:r w:rsidR="002C47E4" w:rsidRPr="00756C52">
        <w:rPr>
          <w:color w:val="000000" w:themeColor="text1"/>
        </w:rPr>
        <w:t xml:space="preserve"> Once the Student is accepted to one (1) of the four (4) school programs identified in paragraph 2, the Parents and the Student shall have no entitlement to any other</w:t>
      </w:r>
      <w:r w:rsidR="004170D5" w:rsidRPr="00756C52">
        <w:rPr>
          <w:color w:val="000000" w:themeColor="text1"/>
        </w:rPr>
        <w:t xml:space="preserve"> out-of-district program or placement through the </w:t>
      </w:r>
      <w:r w:rsidR="00242699" w:rsidRPr="00756C52">
        <w:rPr>
          <w:color w:val="000000" w:themeColor="text1"/>
        </w:rPr>
        <w:t>District</w:t>
      </w:r>
      <w:r w:rsidR="004170D5" w:rsidRPr="00756C52">
        <w:rPr>
          <w:color w:val="000000" w:themeColor="text1"/>
        </w:rPr>
        <w:t>, and no entitlement to enrollment in, or contribution to</w:t>
      </w:r>
      <w:r w:rsidR="005C6461" w:rsidRPr="00756C52">
        <w:rPr>
          <w:color w:val="000000" w:themeColor="text1"/>
        </w:rPr>
        <w:t>, the other school programs identified in this paragraph or any other out-of-</w:t>
      </w:r>
      <w:r w:rsidR="00310978" w:rsidRPr="00756C52">
        <w:rPr>
          <w:color w:val="000000" w:themeColor="text1"/>
        </w:rPr>
        <w:t xml:space="preserve">district </w:t>
      </w:r>
      <w:r w:rsidR="005C6461" w:rsidRPr="00756C52">
        <w:rPr>
          <w:color w:val="000000" w:themeColor="text1"/>
        </w:rPr>
        <w:t>school</w:t>
      </w:r>
      <w:r w:rsidR="00310978" w:rsidRPr="00756C52">
        <w:rPr>
          <w:color w:val="000000" w:themeColor="text1"/>
        </w:rPr>
        <w:t xml:space="preserve"> </w:t>
      </w:r>
      <w:r w:rsidR="00242699" w:rsidRPr="00756C52">
        <w:rPr>
          <w:color w:val="000000" w:themeColor="text1"/>
        </w:rPr>
        <w:t>during</w:t>
      </w:r>
      <w:r w:rsidR="00310978" w:rsidRPr="00756C52">
        <w:rPr>
          <w:color w:val="000000" w:themeColor="text1"/>
        </w:rPr>
        <w:t xml:space="preserve"> </w:t>
      </w:r>
      <w:r w:rsidR="00F57DA6" w:rsidRPr="00756C52">
        <w:rPr>
          <w:color w:val="000000" w:themeColor="text1"/>
        </w:rPr>
        <w:t>t</w:t>
      </w:r>
      <w:r w:rsidR="00310978" w:rsidRPr="00756C52">
        <w:rPr>
          <w:color w:val="000000" w:themeColor="text1"/>
        </w:rPr>
        <w:t>he period covered by this Agreement ….</w:t>
      </w:r>
    </w:p>
    <w:p w14:paraId="4AE0B50C" w14:textId="21F4AB37" w:rsidR="0078782A" w:rsidRPr="00756C52" w:rsidRDefault="00F907F0" w:rsidP="00564CD9">
      <w:pPr>
        <w:pBdr>
          <w:top w:val="nil"/>
          <w:left w:val="nil"/>
          <w:bottom w:val="nil"/>
          <w:right w:val="nil"/>
          <w:between w:val="nil"/>
        </w:pBdr>
        <w:spacing w:line="259" w:lineRule="auto"/>
        <w:ind w:left="1440"/>
        <w:rPr>
          <w:color w:val="000000" w:themeColor="text1"/>
        </w:rPr>
      </w:pPr>
      <w:r w:rsidRPr="00756C52">
        <w:rPr>
          <w:b/>
          <w:bCs/>
          <w:color w:val="000000" w:themeColor="text1"/>
        </w:rPr>
        <w:t xml:space="preserve">Paragraph </w:t>
      </w:r>
      <w:r w:rsidR="0078782A" w:rsidRPr="00756C52">
        <w:rPr>
          <w:b/>
          <w:bCs/>
          <w:color w:val="000000" w:themeColor="text1"/>
        </w:rPr>
        <w:t>3</w:t>
      </w:r>
      <w:r w:rsidR="0078782A" w:rsidRPr="00756C52">
        <w:rPr>
          <w:color w:val="000000" w:themeColor="text1"/>
        </w:rPr>
        <w:t>:</w:t>
      </w:r>
      <w:r w:rsidR="007439A9" w:rsidRPr="00756C52">
        <w:rPr>
          <w:color w:val="000000" w:themeColor="text1"/>
        </w:rPr>
        <w:t xml:space="preserve"> Subject to Parents’ acceptance of the IEPs and Team Determinations of Placement set forth above in accordance with </w:t>
      </w:r>
      <w:r w:rsidR="0051468C" w:rsidRPr="00756C52">
        <w:rPr>
          <w:color w:val="000000" w:themeColor="text1"/>
        </w:rPr>
        <w:t>Paragraph</w:t>
      </w:r>
      <w:r w:rsidR="007439A9" w:rsidRPr="00756C52">
        <w:rPr>
          <w:color w:val="000000" w:themeColor="text1"/>
        </w:rPr>
        <w:t xml:space="preserve"> 1, the District agrees to </w:t>
      </w:r>
      <w:r w:rsidR="00C13A17" w:rsidRPr="00756C52">
        <w:rPr>
          <w:color w:val="000000" w:themeColor="text1"/>
        </w:rPr>
        <w:t xml:space="preserve">fund </w:t>
      </w:r>
      <w:r w:rsidR="0051468C" w:rsidRPr="00756C52">
        <w:rPr>
          <w:color w:val="000000" w:themeColor="text1"/>
        </w:rPr>
        <w:t xml:space="preserve">… </w:t>
      </w:r>
      <w:r w:rsidR="00C13A17" w:rsidRPr="00756C52">
        <w:rPr>
          <w:color w:val="000000" w:themeColor="text1"/>
        </w:rPr>
        <w:t xml:space="preserve">the </w:t>
      </w:r>
      <w:r w:rsidR="0051468C" w:rsidRPr="00756C52">
        <w:rPr>
          <w:color w:val="000000" w:themeColor="text1"/>
        </w:rPr>
        <w:t>… day tuition …</w:t>
      </w:r>
      <w:r w:rsidR="00F57DA6" w:rsidRPr="00756C52">
        <w:rPr>
          <w:color w:val="000000" w:themeColor="text1"/>
        </w:rPr>
        <w:t>[of The-Out-of-District-</w:t>
      </w:r>
      <w:r w:rsidR="00250F32" w:rsidRPr="00756C52">
        <w:rPr>
          <w:color w:val="000000" w:themeColor="text1"/>
        </w:rPr>
        <w:t>Program</w:t>
      </w:r>
      <w:r w:rsidR="00F57DA6" w:rsidRPr="00756C52">
        <w:rPr>
          <w:color w:val="000000" w:themeColor="text1"/>
        </w:rPr>
        <w:t>]</w:t>
      </w:r>
      <w:r w:rsidR="00250F32" w:rsidRPr="00756C52">
        <w:rPr>
          <w:color w:val="000000" w:themeColor="text1"/>
        </w:rPr>
        <w:t>….</w:t>
      </w:r>
      <w:r w:rsidR="0051468C" w:rsidRPr="00756C52">
        <w:rPr>
          <w:color w:val="000000" w:themeColor="text1"/>
        </w:rPr>
        <w:t xml:space="preserve"> </w:t>
      </w:r>
    </w:p>
    <w:p w14:paraId="5F3BFD49" w14:textId="6F8856C6" w:rsidR="00DC1282" w:rsidRPr="00756C52" w:rsidRDefault="000839FC" w:rsidP="00564CD9">
      <w:pPr>
        <w:pBdr>
          <w:top w:val="nil"/>
          <w:left w:val="nil"/>
          <w:bottom w:val="nil"/>
          <w:right w:val="nil"/>
          <w:between w:val="nil"/>
        </w:pBdr>
        <w:spacing w:line="259" w:lineRule="auto"/>
        <w:ind w:left="1440"/>
        <w:rPr>
          <w:color w:val="000000" w:themeColor="text1"/>
        </w:rPr>
      </w:pPr>
      <w:r w:rsidRPr="00756C52">
        <w:rPr>
          <w:b/>
          <w:bCs/>
          <w:color w:val="000000" w:themeColor="text1"/>
        </w:rPr>
        <w:t>Paragraph</w:t>
      </w:r>
      <w:r w:rsidR="00DC1282" w:rsidRPr="00756C52">
        <w:rPr>
          <w:b/>
          <w:bCs/>
          <w:color w:val="000000" w:themeColor="text1"/>
        </w:rPr>
        <w:t xml:space="preserve"> 6</w:t>
      </w:r>
      <w:r w:rsidR="00DC1282" w:rsidRPr="00756C52">
        <w:rPr>
          <w:color w:val="000000" w:themeColor="text1"/>
        </w:rPr>
        <w:t>:</w:t>
      </w:r>
      <w:r w:rsidR="00951213" w:rsidRPr="00756C52">
        <w:rPr>
          <w:color w:val="000000" w:themeColor="text1"/>
        </w:rPr>
        <w:t xml:space="preserve"> …</w:t>
      </w:r>
      <w:r w:rsidR="00250F32" w:rsidRPr="00756C52">
        <w:rPr>
          <w:color w:val="000000" w:themeColor="text1"/>
        </w:rPr>
        <w:t>.</w:t>
      </w:r>
      <w:r w:rsidR="003371E2" w:rsidRPr="00756C52">
        <w:rPr>
          <w:color w:val="000000" w:themeColor="text1"/>
        </w:rPr>
        <w:t>In the event that, prior to June 30, 2023, the Student</w:t>
      </w:r>
      <w:r w:rsidR="00A97317" w:rsidRPr="00756C52">
        <w:rPr>
          <w:color w:val="000000" w:themeColor="text1"/>
        </w:rPr>
        <w:t xml:space="preserve"> is involuntarily </w:t>
      </w:r>
      <w:r w:rsidR="00242699" w:rsidRPr="00756C52">
        <w:rPr>
          <w:color w:val="000000" w:themeColor="text1"/>
        </w:rPr>
        <w:t>dismissed</w:t>
      </w:r>
      <w:r w:rsidR="00A97317" w:rsidRPr="00756C52">
        <w:rPr>
          <w:color w:val="000000" w:themeColor="text1"/>
        </w:rPr>
        <w:t xml:space="preserve"> from The Out-of</w:t>
      </w:r>
      <w:r w:rsidR="00250F32" w:rsidRPr="00756C52">
        <w:rPr>
          <w:color w:val="000000" w:themeColor="text1"/>
        </w:rPr>
        <w:t>-</w:t>
      </w:r>
      <w:r w:rsidR="00A97317" w:rsidRPr="00756C52">
        <w:rPr>
          <w:color w:val="000000" w:themeColor="text1"/>
        </w:rPr>
        <w:t>District Program or there is a material and substantial change in the nature and type of the Student’s disability</w:t>
      </w:r>
      <w:r w:rsidR="00D957AA" w:rsidRPr="00756C52">
        <w:rPr>
          <w:color w:val="000000" w:themeColor="text1"/>
        </w:rPr>
        <w:t xml:space="preserve"> during the period </w:t>
      </w:r>
      <w:r w:rsidR="00242699" w:rsidRPr="00756C52">
        <w:rPr>
          <w:color w:val="000000" w:themeColor="text1"/>
        </w:rPr>
        <w:t>of</w:t>
      </w:r>
      <w:r w:rsidR="00D957AA" w:rsidRPr="00756C52">
        <w:rPr>
          <w:color w:val="000000" w:themeColor="text1"/>
        </w:rPr>
        <w:t xml:space="preserve"> this Agreement…</w:t>
      </w:r>
      <w:r w:rsidR="00250F32" w:rsidRPr="00756C52">
        <w:rPr>
          <w:color w:val="000000" w:themeColor="text1"/>
        </w:rPr>
        <w:t>,</w:t>
      </w:r>
      <w:r w:rsidR="00D957AA" w:rsidRPr="00756C52">
        <w:rPr>
          <w:color w:val="000000" w:themeColor="text1"/>
        </w:rPr>
        <w:t>the parties agree to reconvene a Team meeting on an expedited schedule</w:t>
      </w:r>
      <w:r w:rsidR="00F953DD" w:rsidRPr="00756C52">
        <w:rPr>
          <w:color w:val="000000" w:themeColor="text1"/>
        </w:rPr>
        <w:t xml:space="preserve"> to review the Student’s status, develop an IEP and determine placement …. In the event of any </w:t>
      </w:r>
      <w:r w:rsidR="000D7AF5" w:rsidRPr="00756C52">
        <w:rPr>
          <w:color w:val="000000" w:themeColor="text1"/>
        </w:rPr>
        <w:t xml:space="preserve">dispute between the Parents and the District regarding the services and placement of the Student proposed by the District under such circumstances, the Student’s placement pending resolution of said dispute (“Stay Put Placement”) shall be the placement </w:t>
      </w:r>
      <w:r w:rsidR="00242699" w:rsidRPr="00756C52">
        <w:rPr>
          <w:color w:val="000000" w:themeColor="text1"/>
        </w:rPr>
        <w:t>proposed</w:t>
      </w:r>
      <w:r w:rsidR="000D7AF5" w:rsidRPr="00756C52">
        <w:rPr>
          <w:color w:val="000000" w:themeColor="text1"/>
        </w:rPr>
        <w:t xml:space="preserve"> by the IEP Team at the meeting </w:t>
      </w:r>
      <w:r w:rsidR="00242699" w:rsidRPr="00756C52">
        <w:rPr>
          <w:color w:val="000000" w:themeColor="text1"/>
        </w:rPr>
        <w:t>referenced</w:t>
      </w:r>
      <w:r w:rsidR="000D7AF5" w:rsidRPr="00756C52">
        <w:rPr>
          <w:color w:val="000000" w:themeColor="text1"/>
        </w:rPr>
        <w:t xml:space="preserve"> in this Paragraph.</w:t>
      </w:r>
    </w:p>
    <w:p w14:paraId="37C5650A" w14:textId="6BA55EAD" w:rsidR="0078782A" w:rsidRPr="00756C52" w:rsidRDefault="00F907F0" w:rsidP="00564CD9">
      <w:pPr>
        <w:pBdr>
          <w:top w:val="nil"/>
          <w:left w:val="nil"/>
          <w:bottom w:val="nil"/>
          <w:right w:val="nil"/>
          <w:between w:val="nil"/>
        </w:pBdr>
        <w:spacing w:line="259" w:lineRule="auto"/>
        <w:ind w:left="1440"/>
        <w:rPr>
          <w:color w:val="000000" w:themeColor="text1"/>
        </w:rPr>
      </w:pPr>
      <w:r w:rsidRPr="00756C52">
        <w:rPr>
          <w:b/>
          <w:bCs/>
          <w:color w:val="000000" w:themeColor="text1"/>
        </w:rPr>
        <w:t xml:space="preserve">Paragraph </w:t>
      </w:r>
      <w:r w:rsidR="00134D7A" w:rsidRPr="00756C52">
        <w:rPr>
          <w:b/>
          <w:bCs/>
          <w:color w:val="000000" w:themeColor="text1"/>
        </w:rPr>
        <w:t>11</w:t>
      </w:r>
      <w:r w:rsidR="00134D7A" w:rsidRPr="00756C52">
        <w:rPr>
          <w:color w:val="000000" w:themeColor="text1"/>
        </w:rPr>
        <w:t>:</w:t>
      </w:r>
      <w:r w:rsidR="006C402B" w:rsidRPr="00756C52">
        <w:rPr>
          <w:color w:val="000000" w:themeColor="text1"/>
        </w:rPr>
        <w:t xml:space="preserve"> This Agreement and the IEPs providing placement at the Out-of-</w:t>
      </w:r>
      <w:r w:rsidR="00242699" w:rsidRPr="00756C52">
        <w:rPr>
          <w:color w:val="000000" w:themeColor="text1"/>
        </w:rPr>
        <w:t>District</w:t>
      </w:r>
      <w:r w:rsidR="006C402B" w:rsidRPr="00756C52">
        <w:rPr>
          <w:color w:val="000000" w:themeColor="text1"/>
        </w:rPr>
        <w:t xml:space="preserve"> Program in accordance with </w:t>
      </w:r>
      <w:r w:rsidR="00242699" w:rsidRPr="00756C52">
        <w:rPr>
          <w:color w:val="000000" w:themeColor="text1"/>
        </w:rPr>
        <w:t>Paragraphs</w:t>
      </w:r>
      <w:r w:rsidR="006C402B" w:rsidRPr="00756C52">
        <w:rPr>
          <w:color w:val="000000" w:themeColor="text1"/>
        </w:rPr>
        <w:t xml:space="preserve"> 1 and 3 do not constitute an admission by either party that either The Out-of-District Program placement or the </w:t>
      </w:r>
      <w:r w:rsidR="00242699" w:rsidRPr="00756C52">
        <w:rPr>
          <w:color w:val="000000" w:themeColor="text1"/>
        </w:rPr>
        <w:t>previously</w:t>
      </w:r>
      <w:r w:rsidR="006C402B" w:rsidRPr="00756C52">
        <w:rPr>
          <w:color w:val="000000" w:themeColor="text1"/>
        </w:rPr>
        <w:t xml:space="preserve"> proposed in-district program constitutes the least restrictive</w:t>
      </w:r>
      <w:r w:rsidR="0062440B" w:rsidRPr="00756C52">
        <w:rPr>
          <w:color w:val="000000" w:themeColor="text1"/>
        </w:rPr>
        <w:t xml:space="preserve">, appropriate </w:t>
      </w:r>
      <w:r w:rsidR="00242699" w:rsidRPr="00756C52">
        <w:rPr>
          <w:color w:val="000000" w:themeColor="text1"/>
        </w:rPr>
        <w:t>placement</w:t>
      </w:r>
      <w:r w:rsidR="0062440B" w:rsidRPr="00756C52">
        <w:rPr>
          <w:color w:val="000000" w:themeColor="text1"/>
        </w:rPr>
        <w:t xml:space="preserve"> </w:t>
      </w:r>
      <w:r w:rsidR="00F7044F" w:rsidRPr="00756C52">
        <w:rPr>
          <w:color w:val="000000" w:themeColor="text1"/>
        </w:rPr>
        <w:t>capable</w:t>
      </w:r>
      <w:r w:rsidR="0062440B" w:rsidRPr="00756C52">
        <w:rPr>
          <w:color w:val="000000" w:themeColor="text1"/>
        </w:rPr>
        <w:t xml:space="preserve"> of assuring the provision of a free appropriate public education to </w:t>
      </w:r>
      <w:r w:rsidR="00242699" w:rsidRPr="00756C52">
        <w:rPr>
          <w:color w:val="000000" w:themeColor="text1"/>
        </w:rPr>
        <w:t>Student</w:t>
      </w:r>
      <w:r w:rsidR="0062440B" w:rsidRPr="00756C52">
        <w:rPr>
          <w:color w:val="000000" w:themeColor="text1"/>
        </w:rPr>
        <w:t xml:space="preserve">.  Further, the parents </w:t>
      </w:r>
      <w:r w:rsidR="00242699" w:rsidRPr="00756C52">
        <w:rPr>
          <w:color w:val="000000" w:themeColor="text1"/>
        </w:rPr>
        <w:t>stipulate</w:t>
      </w:r>
      <w:r w:rsidR="0062440B" w:rsidRPr="00756C52">
        <w:rPr>
          <w:color w:val="000000" w:themeColor="text1"/>
        </w:rPr>
        <w:t xml:space="preserve"> that they relied solely on their own and their consultants’/experts’ evaluation of the placement to determine its </w:t>
      </w:r>
      <w:r w:rsidR="0022591F" w:rsidRPr="00756C52">
        <w:rPr>
          <w:color w:val="000000" w:themeColor="text1"/>
        </w:rPr>
        <w:t>appropriateness.</w:t>
      </w:r>
    </w:p>
    <w:p w14:paraId="3F8991A9" w14:textId="5C75E556" w:rsidR="00F907F0" w:rsidRPr="00756C52" w:rsidRDefault="00F907F0" w:rsidP="00564CD9">
      <w:pPr>
        <w:pBdr>
          <w:top w:val="nil"/>
          <w:left w:val="nil"/>
          <w:bottom w:val="nil"/>
          <w:right w:val="nil"/>
          <w:between w:val="nil"/>
        </w:pBdr>
        <w:spacing w:line="259" w:lineRule="auto"/>
        <w:ind w:left="1440"/>
        <w:rPr>
          <w:color w:val="000000" w:themeColor="text1"/>
        </w:rPr>
      </w:pPr>
      <w:r w:rsidRPr="00756C52">
        <w:rPr>
          <w:b/>
          <w:bCs/>
          <w:color w:val="000000" w:themeColor="text1"/>
        </w:rPr>
        <w:t>Paragraph 14</w:t>
      </w:r>
      <w:r w:rsidRPr="00756C52">
        <w:rPr>
          <w:color w:val="000000" w:themeColor="text1"/>
        </w:rPr>
        <w:t>:</w:t>
      </w:r>
      <w:r w:rsidR="00250F32" w:rsidRPr="00756C52">
        <w:rPr>
          <w:color w:val="000000" w:themeColor="text1"/>
        </w:rPr>
        <w:t xml:space="preserve"> </w:t>
      </w:r>
      <w:r w:rsidR="0022591F" w:rsidRPr="00756C52">
        <w:rPr>
          <w:color w:val="000000" w:themeColor="text1"/>
        </w:rPr>
        <w:t xml:space="preserve">On or before May 1, 2023, the District shall convene a Team to develop an IEP and identify a placement for the 2023-2024 </w:t>
      </w:r>
      <w:r w:rsidR="00251F6E" w:rsidRPr="00756C52">
        <w:rPr>
          <w:color w:val="000000" w:themeColor="text1"/>
        </w:rPr>
        <w:t>school year ….</w:t>
      </w:r>
    </w:p>
    <w:p w14:paraId="73D9A4E1" w14:textId="463BD2F9" w:rsidR="00501304" w:rsidRPr="00756C52" w:rsidRDefault="00242699" w:rsidP="00564CD9">
      <w:pPr>
        <w:pBdr>
          <w:top w:val="nil"/>
          <w:left w:val="nil"/>
          <w:bottom w:val="nil"/>
          <w:right w:val="nil"/>
          <w:between w:val="nil"/>
        </w:pBdr>
        <w:spacing w:line="259" w:lineRule="auto"/>
        <w:ind w:left="1440"/>
        <w:rPr>
          <w:color w:val="000000" w:themeColor="text1"/>
        </w:rPr>
      </w:pPr>
      <w:r w:rsidRPr="00756C52">
        <w:rPr>
          <w:b/>
          <w:bCs/>
          <w:color w:val="000000" w:themeColor="text1"/>
        </w:rPr>
        <w:t>Paragraph</w:t>
      </w:r>
      <w:r w:rsidR="00501304" w:rsidRPr="00756C52">
        <w:rPr>
          <w:b/>
          <w:bCs/>
          <w:color w:val="000000" w:themeColor="text1"/>
        </w:rPr>
        <w:t xml:space="preserve"> 15</w:t>
      </w:r>
      <w:r w:rsidR="00501304" w:rsidRPr="00756C52">
        <w:rPr>
          <w:color w:val="000000" w:themeColor="text1"/>
        </w:rPr>
        <w:t>: The Parents agree that they shall respond to said IEP for the 2023-2024 school year within fifteen (15) calendar days of receipt thereof</w:t>
      </w:r>
      <w:r w:rsidR="00C83831" w:rsidRPr="00756C52">
        <w:rPr>
          <w:color w:val="000000" w:themeColor="text1"/>
        </w:rPr>
        <w:t xml:space="preserve"> and that their failure to respond within this timeframe shall constitute a rejection of the proposed IEP and placement.  In the event that any such </w:t>
      </w:r>
      <w:r w:rsidR="006055D8" w:rsidRPr="00756C52">
        <w:rPr>
          <w:color w:val="000000" w:themeColor="text1"/>
        </w:rPr>
        <w:t>dispute</w:t>
      </w:r>
      <w:r w:rsidR="00C83831" w:rsidRPr="00756C52">
        <w:rPr>
          <w:color w:val="000000" w:themeColor="text1"/>
        </w:rPr>
        <w:t xml:space="preserve"> is not resolved at the start of the 2023-2</w:t>
      </w:r>
      <w:r w:rsidR="004B1119">
        <w:rPr>
          <w:color w:val="000000" w:themeColor="text1"/>
        </w:rPr>
        <w:t>0</w:t>
      </w:r>
      <w:r w:rsidR="00C83831" w:rsidRPr="00756C52">
        <w:rPr>
          <w:color w:val="000000" w:themeColor="text1"/>
        </w:rPr>
        <w:t xml:space="preserve">24 school year, the Parents and/or Student shall not have a right to “stay put” at The Out-of-District Program or any other </w:t>
      </w:r>
      <w:r w:rsidR="004E6A02" w:rsidRPr="00756C52">
        <w:rPr>
          <w:color w:val="000000" w:themeColor="text1"/>
        </w:rPr>
        <w:t xml:space="preserve">out of district placement for </w:t>
      </w:r>
      <w:r w:rsidR="00AF656F" w:rsidRPr="00756C52">
        <w:rPr>
          <w:color w:val="000000" w:themeColor="text1"/>
        </w:rPr>
        <w:t>the</w:t>
      </w:r>
      <w:r w:rsidR="004E6A02" w:rsidRPr="00756C52">
        <w:rPr>
          <w:color w:val="000000" w:themeColor="text1"/>
        </w:rPr>
        <w:t xml:space="preserve"> 2023-2024 school year…. [Instead,] the </w:t>
      </w:r>
      <w:r w:rsidR="00AF656F" w:rsidRPr="00756C52">
        <w:rPr>
          <w:color w:val="000000" w:themeColor="text1"/>
        </w:rPr>
        <w:t>Student’s</w:t>
      </w:r>
      <w:r w:rsidR="004E6A02" w:rsidRPr="00756C52">
        <w:rPr>
          <w:color w:val="000000" w:themeColor="text1"/>
        </w:rPr>
        <w:t xml:space="preserve"> placement pending resolution of said dispute (“Stay Put Placement”) shall be the placement proposed by the IEP Team at the meeting referenced in </w:t>
      </w:r>
      <w:r w:rsidR="00AF656F" w:rsidRPr="00756C52">
        <w:rPr>
          <w:color w:val="000000" w:themeColor="text1"/>
        </w:rPr>
        <w:t>Paragraph</w:t>
      </w:r>
      <w:r w:rsidR="004E6A02" w:rsidRPr="00756C52">
        <w:rPr>
          <w:color w:val="000000" w:themeColor="text1"/>
        </w:rPr>
        <w:t xml:space="preserve"> 14.</w:t>
      </w:r>
    </w:p>
    <w:p w14:paraId="7CD7AE60" w14:textId="28ED3791" w:rsidR="0035271F" w:rsidRPr="00756C52" w:rsidRDefault="0035271F" w:rsidP="002E5E0C">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Although referral packets were sent to multiple programs, only SEEM </w:t>
      </w:r>
      <w:r w:rsidR="000839FC" w:rsidRPr="00756C52">
        <w:rPr>
          <w:color w:val="000000" w:themeColor="text1"/>
        </w:rPr>
        <w:t>Collaborative</w:t>
      </w:r>
      <w:r w:rsidRPr="00756C52">
        <w:rPr>
          <w:color w:val="000000" w:themeColor="text1"/>
        </w:rPr>
        <w:t xml:space="preserve"> accepted Student.</w:t>
      </w:r>
    </w:p>
    <w:p w14:paraId="405FD57F" w14:textId="146F7454" w:rsidR="00C532E7" w:rsidRPr="00756C52" w:rsidRDefault="002E5E0C" w:rsidP="002E5E0C">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lastRenderedPageBreak/>
        <w:t>On August 27, 2021, the District proposed, pursuant to the Settlement Agreement, an administrative IEP for the period 9/1/2021</w:t>
      </w:r>
      <w:r w:rsidR="00250F32" w:rsidRPr="00756C52">
        <w:rPr>
          <w:color w:val="000000" w:themeColor="text1"/>
        </w:rPr>
        <w:t xml:space="preserve"> to </w:t>
      </w:r>
      <w:r w:rsidRPr="00756C52">
        <w:rPr>
          <w:color w:val="000000" w:themeColor="text1"/>
        </w:rPr>
        <w:t xml:space="preserve">8/31/2022 </w:t>
      </w:r>
      <w:r w:rsidR="0082775F" w:rsidRPr="00756C52">
        <w:rPr>
          <w:color w:val="000000" w:themeColor="text1"/>
        </w:rPr>
        <w:t>with placement at a public day program at SEEM Collaborative Middle School.</w:t>
      </w:r>
      <w:r w:rsidR="00250F32" w:rsidRPr="00756C52">
        <w:rPr>
          <w:color w:val="000000" w:themeColor="text1"/>
        </w:rPr>
        <w:t xml:space="preserve"> </w:t>
      </w:r>
      <w:r w:rsidR="00AC0100" w:rsidRPr="00756C52">
        <w:rPr>
          <w:color w:val="000000" w:themeColor="text1"/>
        </w:rPr>
        <w:t xml:space="preserve"> </w:t>
      </w:r>
    </w:p>
    <w:p w14:paraId="518D6BE7" w14:textId="001984EF" w:rsidR="00F9613F" w:rsidRPr="00756C52" w:rsidRDefault="00F9613F" w:rsidP="002E5E0C">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Following a tour </w:t>
      </w:r>
      <w:r w:rsidR="004B1119">
        <w:rPr>
          <w:color w:val="000000" w:themeColor="text1"/>
        </w:rPr>
        <w:t>of</w:t>
      </w:r>
      <w:r w:rsidRPr="00756C52">
        <w:rPr>
          <w:color w:val="000000" w:themeColor="text1"/>
        </w:rPr>
        <w:t xml:space="preserve"> SEEM Collaborative on September 2, 2021, Parents informed the District that </w:t>
      </w:r>
      <w:r w:rsidR="00821AD8" w:rsidRPr="00756C52">
        <w:rPr>
          <w:color w:val="000000" w:themeColor="text1"/>
        </w:rPr>
        <w:t xml:space="preserve">they would not be enrolling Student at SEEM as it was inappropriate and asked to brainstorm additional programs.  The District proposed placement in </w:t>
      </w:r>
      <w:r w:rsidR="00705B01" w:rsidRPr="00756C52">
        <w:rPr>
          <w:color w:val="000000" w:themeColor="text1"/>
        </w:rPr>
        <w:t>its RISE programs.</w:t>
      </w:r>
    </w:p>
    <w:p w14:paraId="75D665FB" w14:textId="6E0D7C92" w:rsidR="004B1119" w:rsidRDefault="003402F5" w:rsidP="002E5E0C">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Subsequently, Student began </w:t>
      </w:r>
      <w:r w:rsidR="00597D09" w:rsidRPr="00756C52">
        <w:rPr>
          <w:color w:val="000000" w:themeColor="text1"/>
        </w:rPr>
        <w:t>attending</w:t>
      </w:r>
      <w:r w:rsidRPr="00756C52">
        <w:rPr>
          <w:color w:val="000000" w:themeColor="text1"/>
        </w:rPr>
        <w:t xml:space="preserve"> RISE I</w:t>
      </w:r>
      <w:r w:rsidR="00597D09" w:rsidRPr="00756C52">
        <w:rPr>
          <w:color w:val="000000" w:themeColor="text1"/>
        </w:rPr>
        <w:t xml:space="preserve"> </w:t>
      </w:r>
      <w:r w:rsidR="006D0BFF">
        <w:rPr>
          <w:color w:val="000000" w:themeColor="text1"/>
        </w:rPr>
        <w:t xml:space="preserve">as no other placement was identified for </w:t>
      </w:r>
      <w:r w:rsidR="00F36475">
        <w:rPr>
          <w:color w:val="000000" w:themeColor="text1"/>
        </w:rPr>
        <w:t>him,</w:t>
      </w:r>
      <w:r w:rsidR="00F36475">
        <w:t xml:space="preserve"> as</w:t>
      </w:r>
      <w:r w:rsidR="004B1119">
        <w:t xml:space="preserve"> the expectation was that he would be attending SEEM pursuant to the Settlement Agreement</w:t>
      </w:r>
      <w:r w:rsidR="006D0BFF">
        <w:rPr>
          <w:color w:val="000000" w:themeColor="text1"/>
        </w:rPr>
        <w:t>.</w:t>
      </w:r>
      <w:r w:rsidR="009620B5">
        <w:rPr>
          <w:rStyle w:val="FootnoteReference"/>
          <w:color w:val="000000" w:themeColor="text1"/>
        </w:rPr>
        <w:footnoteReference w:id="3"/>
      </w:r>
      <w:r w:rsidR="006D0BFF">
        <w:rPr>
          <w:color w:val="000000" w:themeColor="text1"/>
        </w:rPr>
        <w:t xml:space="preserve">  </w:t>
      </w:r>
    </w:p>
    <w:p w14:paraId="495DA473" w14:textId="46278998" w:rsidR="003402F5" w:rsidRPr="00756C52" w:rsidRDefault="006D0BFF" w:rsidP="002E5E0C">
      <w:pPr>
        <w:numPr>
          <w:ilvl w:val="0"/>
          <w:numId w:val="1"/>
        </w:numPr>
        <w:pBdr>
          <w:top w:val="nil"/>
          <w:left w:val="nil"/>
          <w:bottom w:val="nil"/>
          <w:right w:val="nil"/>
          <w:between w:val="nil"/>
        </w:pBdr>
        <w:spacing w:line="259" w:lineRule="auto"/>
        <w:rPr>
          <w:color w:val="000000" w:themeColor="text1"/>
        </w:rPr>
      </w:pPr>
      <w:r>
        <w:rPr>
          <w:color w:val="000000" w:themeColor="text1"/>
        </w:rPr>
        <w:t xml:space="preserve">At RISE I, Student has been </w:t>
      </w:r>
      <w:r w:rsidR="00597D09" w:rsidRPr="00756C52">
        <w:rPr>
          <w:color w:val="000000" w:themeColor="text1"/>
        </w:rPr>
        <w:t>struggl</w:t>
      </w:r>
      <w:r>
        <w:rPr>
          <w:color w:val="000000" w:themeColor="text1"/>
        </w:rPr>
        <w:t>ing</w:t>
      </w:r>
      <w:r w:rsidR="003E2F6C" w:rsidRPr="00756C52">
        <w:rPr>
          <w:color w:val="000000" w:themeColor="text1"/>
        </w:rPr>
        <w:t xml:space="preserve"> behaviorally, often leaving the classroom without permission.</w:t>
      </w:r>
    </w:p>
    <w:p w14:paraId="03EBC97C" w14:textId="2229E8A9" w:rsidR="0082775F" w:rsidRPr="00756C52" w:rsidRDefault="005B7261" w:rsidP="002E5E0C">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On October </w:t>
      </w:r>
      <w:r w:rsidR="00453697" w:rsidRPr="00756C52">
        <w:rPr>
          <w:color w:val="000000" w:themeColor="text1"/>
        </w:rPr>
        <w:t>14</w:t>
      </w:r>
      <w:r w:rsidRPr="00756C52">
        <w:rPr>
          <w:color w:val="000000" w:themeColor="text1"/>
        </w:rPr>
        <w:t xml:space="preserve">, 2021, </w:t>
      </w:r>
      <w:r w:rsidR="00453697" w:rsidRPr="00756C52">
        <w:rPr>
          <w:color w:val="000000" w:themeColor="text1"/>
        </w:rPr>
        <w:t>Parents filed the instant appeal arguing that LEAP</w:t>
      </w:r>
      <w:r w:rsidR="007D4D69" w:rsidRPr="00756C52">
        <w:rPr>
          <w:color w:val="000000" w:themeColor="text1"/>
        </w:rPr>
        <w:t xml:space="preserve"> is Student’s stay put placement as it is the placement identified in Student’s last accepted IEP and it is “the last placement Student was actually in.”</w:t>
      </w:r>
    </w:p>
    <w:p w14:paraId="3CCF5889" w14:textId="206711A4" w:rsidR="007D4D69" w:rsidRPr="00756C52" w:rsidRDefault="007D4D69" w:rsidP="002E5E0C">
      <w:pPr>
        <w:numPr>
          <w:ilvl w:val="0"/>
          <w:numId w:val="1"/>
        </w:numPr>
        <w:pBdr>
          <w:top w:val="nil"/>
          <w:left w:val="nil"/>
          <w:bottom w:val="nil"/>
          <w:right w:val="nil"/>
          <w:between w:val="nil"/>
        </w:pBdr>
        <w:spacing w:line="259" w:lineRule="auto"/>
        <w:rPr>
          <w:color w:val="000000" w:themeColor="text1"/>
        </w:rPr>
      </w:pPr>
      <w:r w:rsidRPr="00756C52">
        <w:rPr>
          <w:color w:val="000000" w:themeColor="text1"/>
        </w:rPr>
        <w:t xml:space="preserve">On </w:t>
      </w:r>
      <w:r w:rsidR="000839FC" w:rsidRPr="00756C52">
        <w:rPr>
          <w:color w:val="000000" w:themeColor="text1"/>
        </w:rPr>
        <w:t xml:space="preserve">October 25, 2021, the District </w:t>
      </w:r>
      <w:r w:rsidR="009E34E9" w:rsidRPr="00756C52">
        <w:rPr>
          <w:color w:val="000000" w:themeColor="text1"/>
        </w:rPr>
        <w:t xml:space="preserve">responded, </w:t>
      </w:r>
      <w:r w:rsidR="000839FC" w:rsidRPr="00756C52">
        <w:rPr>
          <w:color w:val="000000" w:themeColor="text1"/>
        </w:rPr>
        <w:t>assert</w:t>
      </w:r>
      <w:r w:rsidR="009E34E9" w:rsidRPr="00756C52">
        <w:rPr>
          <w:color w:val="000000" w:themeColor="text1"/>
        </w:rPr>
        <w:t xml:space="preserve">ing </w:t>
      </w:r>
      <w:r w:rsidR="000839FC" w:rsidRPr="00756C52">
        <w:rPr>
          <w:color w:val="000000" w:themeColor="text1"/>
        </w:rPr>
        <w:t xml:space="preserve">that the Student’s stay put placement is SEEM Collaborative by virtue of the Settlement Agreement. </w:t>
      </w:r>
    </w:p>
    <w:p w14:paraId="5A842037" w14:textId="77777777" w:rsidR="00635967" w:rsidRPr="00756C52" w:rsidRDefault="00635967" w:rsidP="00635967">
      <w:pPr>
        <w:pBdr>
          <w:top w:val="nil"/>
          <w:left w:val="nil"/>
          <w:bottom w:val="nil"/>
          <w:right w:val="nil"/>
          <w:between w:val="nil"/>
        </w:pBdr>
        <w:spacing w:line="259" w:lineRule="auto"/>
        <w:ind w:left="720"/>
        <w:rPr>
          <w:color w:val="000000" w:themeColor="text1"/>
        </w:rPr>
      </w:pPr>
    </w:p>
    <w:p w14:paraId="378E3C75" w14:textId="77777777" w:rsidR="00C532E7" w:rsidRPr="00756C52" w:rsidRDefault="000D68F0">
      <w:pPr>
        <w:pBdr>
          <w:top w:val="nil"/>
          <w:left w:val="nil"/>
          <w:bottom w:val="nil"/>
          <w:right w:val="nil"/>
          <w:between w:val="nil"/>
        </w:pBdr>
        <w:rPr>
          <w:b/>
          <w:color w:val="000000" w:themeColor="text1"/>
        </w:rPr>
      </w:pPr>
      <w:r w:rsidRPr="00756C52">
        <w:rPr>
          <w:b/>
          <w:color w:val="000000" w:themeColor="text1"/>
        </w:rPr>
        <w:t>DISCUSSION:</w:t>
      </w:r>
    </w:p>
    <w:p w14:paraId="66B22DBE" w14:textId="77777777" w:rsidR="00C532E7" w:rsidRPr="00756C52" w:rsidRDefault="00C532E7">
      <w:pPr>
        <w:pBdr>
          <w:top w:val="nil"/>
          <w:left w:val="nil"/>
          <w:bottom w:val="nil"/>
          <w:right w:val="nil"/>
          <w:between w:val="nil"/>
        </w:pBdr>
        <w:rPr>
          <w:b/>
          <w:color w:val="000000" w:themeColor="text1"/>
        </w:rPr>
      </w:pPr>
    </w:p>
    <w:p w14:paraId="5C91B8AC" w14:textId="77777777" w:rsidR="00C532E7" w:rsidRPr="00756C52" w:rsidRDefault="000D68F0">
      <w:pPr>
        <w:numPr>
          <w:ilvl w:val="0"/>
          <w:numId w:val="3"/>
        </w:numPr>
        <w:pBdr>
          <w:top w:val="nil"/>
          <w:left w:val="nil"/>
          <w:bottom w:val="nil"/>
          <w:right w:val="nil"/>
          <w:between w:val="nil"/>
        </w:pBdr>
        <w:rPr>
          <w:b/>
          <w:color w:val="000000" w:themeColor="text1"/>
        </w:rPr>
      </w:pPr>
      <w:r w:rsidRPr="00756C52">
        <w:rPr>
          <w:b/>
          <w:color w:val="000000" w:themeColor="text1"/>
        </w:rPr>
        <w:t>Legal Framework:</w:t>
      </w:r>
    </w:p>
    <w:p w14:paraId="5D6698D7" w14:textId="77777777" w:rsidR="00C532E7" w:rsidRPr="00756C52" w:rsidRDefault="00C532E7">
      <w:pPr>
        <w:pBdr>
          <w:top w:val="nil"/>
          <w:left w:val="nil"/>
          <w:bottom w:val="nil"/>
          <w:right w:val="nil"/>
          <w:between w:val="nil"/>
        </w:pBdr>
        <w:rPr>
          <w:color w:val="000000" w:themeColor="text1"/>
        </w:rPr>
      </w:pPr>
    </w:p>
    <w:p w14:paraId="440261B2" w14:textId="1BF75A90" w:rsidR="00C532E7" w:rsidRPr="00756C52" w:rsidRDefault="000D68F0">
      <w:pPr>
        <w:numPr>
          <w:ilvl w:val="0"/>
          <w:numId w:val="4"/>
        </w:numPr>
        <w:pBdr>
          <w:top w:val="nil"/>
          <w:left w:val="nil"/>
          <w:bottom w:val="nil"/>
          <w:right w:val="nil"/>
          <w:between w:val="nil"/>
        </w:pBdr>
        <w:rPr>
          <w:i/>
          <w:color w:val="000000" w:themeColor="text1"/>
        </w:rPr>
      </w:pPr>
      <w:r w:rsidRPr="00756C52">
        <w:rPr>
          <w:i/>
          <w:color w:val="000000" w:themeColor="text1"/>
        </w:rPr>
        <w:t>Stay</w:t>
      </w:r>
      <w:r w:rsidR="00DF37DA" w:rsidRPr="00756C52">
        <w:rPr>
          <w:i/>
          <w:color w:val="000000" w:themeColor="text1"/>
        </w:rPr>
        <w:t xml:space="preserve"> </w:t>
      </w:r>
      <w:r w:rsidRPr="00756C52">
        <w:rPr>
          <w:i/>
          <w:color w:val="000000" w:themeColor="text1"/>
        </w:rPr>
        <w:t>Put</w:t>
      </w:r>
    </w:p>
    <w:p w14:paraId="2A6AD197" w14:textId="77777777" w:rsidR="00C532E7" w:rsidRPr="00756C52" w:rsidRDefault="00C532E7">
      <w:pPr>
        <w:pBdr>
          <w:top w:val="nil"/>
          <w:left w:val="nil"/>
          <w:bottom w:val="nil"/>
          <w:right w:val="nil"/>
          <w:between w:val="nil"/>
        </w:pBdr>
        <w:ind w:left="720"/>
        <w:rPr>
          <w:color w:val="000000" w:themeColor="text1"/>
        </w:rPr>
      </w:pPr>
    </w:p>
    <w:p w14:paraId="763B58C7" w14:textId="5F84C541" w:rsidR="0038231F" w:rsidRPr="00756C52" w:rsidRDefault="000D68F0">
      <w:pPr>
        <w:rPr>
          <w:color w:val="000000" w:themeColor="text1"/>
        </w:rPr>
      </w:pPr>
      <w:r w:rsidRPr="00756C52">
        <w:rPr>
          <w:color w:val="000000" w:themeColor="text1"/>
        </w:rPr>
        <w:t>The IDEA’s “stay</w:t>
      </w:r>
      <w:r w:rsidR="00DF37DA" w:rsidRPr="00756C52">
        <w:rPr>
          <w:color w:val="000000" w:themeColor="text1"/>
        </w:rPr>
        <w:t xml:space="preserve"> </w:t>
      </w:r>
      <w:r w:rsidRPr="00756C52">
        <w:rPr>
          <w:color w:val="000000" w:themeColor="text1"/>
        </w:rPr>
        <w:t>put” provision requires that unless the State or local educational agency and the parents otherwise agree, during the time that a parent and school district are engaged in an IDEA dispute resolution process, “the child shall remain in the then-current educational placement of the child</w:t>
      </w:r>
      <w:r w:rsidR="00D86E8E" w:rsidRPr="00756C52">
        <w:rPr>
          <w:color w:val="000000" w:themeColor="text1"/>
          <w:shd w:val="clear" w:color="auto" w:fill="FFFFFF"/>
        </w:rPr>
        <w:t xml:space="preserve"> </w:t>
      </w:r>
      <w:r w:rsidR="00D86E8E" w:rsidRPr="00756C52">
        <w:rPr>
          <w:color w:val="000000" w:themeColor="text1"/>
        </w:rPr>
        <w:t>during the pendency of any administrative or judicial proceeding resulting from a due process complaint unless the parent and the district agree otherwise.</w:t>
      </w:r>
      <w:r w:rsidRPr="00756C52">
        <w:rPr>
          <w:color w:val="000000" w:themeColor="text1"/>
        </w:rPr>
        <w:t>”</w:t>
      </w:r>
      <w:r w:rsidRPr="00756C52">
        <w:rPr>
          <w:color w:val="000000" w:themeColor="text1"/>
          <w:vertAlign w:val="superscript"/>
        </w:rPr>
        <w:footnoteReference w:id="4"/>
      </w:r>
      <w:r w:rsidRPr="00756C52">
        <w:rPr>
          <w:color w:val="000000" w:themeColor="text1"/>
        </w:rPr>
        <w:t xml:space="preserve">  </w:t>
      </w:r>
      <w:r w:rsidR="00702534" w:rsidRPr="00756C52">
        <w:rPr>
          <w:color w:val="000000" w:themeColor="text1"/>
          <w:shd w:val="clear" w:color="auto" w:fill="FFFFFF"/>
        </w:rPr>
        <w:t xml:space="preserve"> </w:t>
      </w:r>
      <w:r w:rsidRPr="00756C52">
        <w:rPr>
          <w:color w:val="000000" w:themeColor="text1"/>
        </w:rPr>
        <w:t>Preservation of the “status quo” assures that the student “stay</w:t>
      </w:r>
      <w:r w:rsidR="009E34E9" w:rsidRPr="00756C52">
        <w:rPr>
          <w:color w:val="000000" w:themeColor="text1"/>
        </w:rPr>
        <w:t xml:space="preserve">s </w:t>
      </w:r>
      <w:r w:rsidRPr="00756C52">
        <w:rPr>
          <w:color w:val="000000" w:themeColor="text1"/>
        </w:rPr>
        <w:t>put” in the last placement the parents and the local education agency (LEA) agreed was appropriate for him.</w:t>
      </w:r>
      <w:r w:rsidRPr="00756C52">
        <w:rPr>
          <w:color w:val="000000" w:themeColor="text1"/>
          <w:vertAlign w:val="superscript"/>
        </w:rPr>
        <w:footnoteReference w:id="5"/>
      </w:r>
      <w:r w:rsidRPr="00756C52">
        <w:rPr>
          <w:color w:val="000000" w:themeColor="text1"/>
        </w:rPr>
        <w:t xml:space="preserve">  In addition, the stay</w:t>
      </w:r>
      <w:r w:rsidR="00DF37DA" w:rsidRPr="00756C52">
        <w:rPr>
          <w:color w:val="000000" w:themeColor="text1"/>
        </w:rPr>
        <w:t xml:space="preserve"> </w:t>
      </w:r>
      <w:r w:rsidRPr="00756C52">
        <w:rPr>
          <w:color w:val="000000" w:themeColor="text1"/>
        </w:rPr>
        <w:t xml:space="preserve">put </w:t>
      </w:r>
      <w:r w:rsidRPr="00756C52">
        <w:rPr>
          <w:color w:val="000000" w:themeColor="text1"/>
        </w:rPr>
        <w:lastRenderedPageBreak/>
        <w:t>provision reflects “the preference of Congress for maintaining the stability of a disabled child’s placement and minimizing disruption to the child while the parents and school are resolving disputes.”</w:t>
      </w:r>
      <w:r w:rsidRPr="00756C52">
        <w:rPr>
          <w:color w:val="000000" w:themeColor="text1"/>
          <w:vertAlign w:val="superscript"/>
        </w:rPr>
        <w:footnoteReference w:id="6"/>
      </w:r>
      <w:r w:rsidR="00242256" w:rsidRPr="00756C52">
        <w:rPr>
          <w:color w:val="000000" w:themeColor="text1"/>
        </w:rPr>
        <w:t> </w:t>
      </w:r>
      <w:r w:rsidRPr="00756C52">
        <w:rPr>
          <w:color w:val="000000" w:themeColor="text1"/>
        </w:rPr>
        <w:t xml:space="preserve">  </w:t>
      </w:r>
    </w:p>
    <w:p w14:paraId="2116DFB6" w14:textId="77777777" w:rsidR="0038231F" w:rsidRPr="00756C52" w:rsidRDefault="0038231F">
      <w:pPr>
        <w:rPr>
          <w:color w:val="000000" w:themeColor="text1"/>
        </w:rPr>
      </w:pPr>
    </w:p>
    <w:p w14:paraId="4C490D78" w14:textId="05DFE5D3" w:rsidR="00FA21C1" w:rsidRPr="00756C52" w:rsidRDefault="000D68F0" w:rsidP="00ED15B6">
      <w:pPr>
        <w:rPr>
          <w:color w:val="000000" w:themeColor="text1"/>
        </w:rPr>
      </w:pPr>
      <w:r w:rsidRPr="00756C52">
        <w:rPr>
          <w:color w:val="000000" w:themeColor="text1"/>
        </w:rPr>
        <w:t>Generally, the last accepted IEP is the stay</w:t>
      </w:r>
      <w:r w:rsidR="009E34E9" w:rsidRPr="00756C52">
        <w:rPr>
          <w:color w:val="000000" w:themeColor="text1"/>
        </w:rPr>
        <w:t xml:space="preserve"> </w:t>
      </w:r>
      <w:r w:rsidRPr="00756C52">
        <w:rPr>
          <w:color w:val="000000" w:themeColor="text1"/>
        </w:rPr>
        <w:t>put IEP</w:t>
      </w:r>
      <w:r w:rsidR="00185CFA" w:rsidRPr="00756C52">
        <w:rPr>
          <w:color w:val="000000" w:themeColor="text1"/>
        </w:rPr>
        <w:t>,</w:t>
      </w:r>
      <w:r w:rsidRPr="00756C52">
        <w:rPr>
          <w:color w:val="000000" w:themeColor="text1"/>
          <w:vertAlign w:val="superscript"/>
        </w:rPr>
        <w:footnoteReference w:id="7"/>
      </w:r>
      <w:r w:rsidR="00185CFA" w:rsidRPr="00756C52">
        <w:rPr>
          <w:color w:val="000000" w:themeColor="text1"/>
        </w:rPr>
        <w:t xml:space="preserve"> but</w:t>
      </w:r>
      <w:r w:rsidR="00F86CDA" w:rsidRPr="00756C52">
        <w:rPr>
          <w:color w:val="000000" w:themeColor="text1"/>
        </w:rPr>
        <w:t>, more often,</w:t>
      </w:r>
      <w:r w:rsidR="00185CFA" w:rsidRPr="00756C52">
        <w:rPr>
          <w:color w:val="000000" w:themeColor="text1"/>
        </w:rPr>
        <w:t xml:space="preserve"> an individualized assessment of the facts is required.</w:t>
      </w:r>
      <w:r w:rsidR="0033224A" w:rsidRPr="00756C52">
        <w:rPr>
          <w:rStyle w:val="FootnoteReference"/>
          <w:color w:val="000000" w:themeColor="text1"/>
        </w:rPr>
        <w:footnoteReference w:id="8"/>
      </w:r>
      <w:r w:rsidR="0038231F" w:rsidRPr="00756C52">
        <w:rPr>
          <w:color w:val="000000" w:themeColor="text1"/>
        </w:rPr>
        <w:t xml:space="preserve"> </w:t>
      </w:r>
      <w:r w:rsidRPr="00756C52">
        <w:rPr>
          <w:color w:val="000000" w:themeColor="text1"/>
        </w:rPr>
        <w:t>To determine a child’s “stay</w:t>
      </w:r>
      <w:r w:rsidR="009E34E9" w:rsidRPr="00756C52">
        <w:rPr>
          <w:color w:val="000000" w:themeColor="text1"/>
        </w:rPr>
        <w:t xml:space="preserve"> </w:t>
      </w:r>
      <w:r w:rsidRPr="00756C52">
        <w:rPr>
          <w:color w:val="000000" w:themeColor="text1"/>
        </w:rPr>
        <w:t>put”, courts often look for the “operative placement,” or the IEP that is “actually functioning at the time the dispute first arises.”</w:t>
      </w:r>
      <w:r w:rsidRPr="00756C52">
        <w:rPr>
          <w:color w:val="000000" w:themeColor="text1"/>
          <w:vertAlign w:val="superscript"/>
        </w:rPr>
        <w:footnoteReference w:id="9"/>
      </w:r>
      <w:r w:rsidR="00B264DF" w:rsidRPr="00756C52">
        <w:rPr>
          <w:color w:val="000000" w:themeColor="text1"/>
        </w:rPr>
        <w:t xml:space="preserve"> </w:t>
      </w:r>
      <w:r w:rsidR="00137BF5" w:rsidRPr="00756C52">
        <w:rPr>
          <w:color w:val="000000" w:themeColor="text1"/>
        </w:rPr>
        <w:t>In general, where parties agree that a placement is for temporary purposes only, no stay put rights attach.</w:t>
      </w:r>
      <w:r w:rsidR="00137BF5" w:rsidRPr="00756C52">
        <w:rPr>
          <w:rStyle w:val="FootnoteReference"/>
          <w:color w:val="000000" w:themeColor="text1"/>
        </w:rPr>
        <w:footnoteReference w:id="10"/>
      </w:r>
      <w:r w:rsidR="00137BF5" w:rsidRPr="00756C52">
        <w:rPr>
          <w:color w:val="000000" w:themeColor="text1"/>
        </w:rPr>
        <w:t xml:space="preserve">  </w:t>
      </w:r>
      <w:r w:rsidR="00ED15B6" w:rsidRPr="00756C52">
        <w:rPr>
          <w:color w:val="000000" w:themeColor="text1"/>
        </w:rPr>
        <w:t xml:space="preserve">However, many </w:t>
      </w:r>
      <w:r w:rsidRPr="00756C52">
        <w:rPr>
          <w:color w:val="000000" w:themeColor="text1"/>
        </w:rPr>
        <w:t xml:space="preserve">circuits have </w:t>
      </w:r>
      <w:r w:rsidR="00137BF5" w:rsidRPr="00756C52">
        <w:rPr>
          <w:color w:val="000000" w:themeColor="text1"/>
        </w:rPr>
        <w:t xml:space="preserve">also </w:t>
      </w:r>
      <w:r w:rsidR="00ED15B6" w:rsidRPr="00756C52">
        <w:rPr>
          <w:color w:val="000000" w:themeColor="text1"/>
        </w:rPr>
        <w:t>placed great emphasis</w:t>
      </w:r>
      <w:r w:rsidRPr="00756C52">
        <w:rPr>
          <w:color w:val="000000" w:themeColor="text1"/>
        </w:rPr>
        <w:t xml:space="preserve"> </w:t>
      </w:r>
      <w:r w:rsidR="00ED15B6" w:rsidRPr="00756C52">
        <w:rPr>
          <w:color w:val="000000" w:themeColor="text1"/>
        </w:rPr>
        <w:t>on</w:t>
      </w:r>
      <w:r w:rsidRPr="00756C52">
        <w:rPr>
          <w:color w:val="000000" w:themeColor="text1"/>
        </w:rPr>
        <w:t xml:space="preserve"> the impact of the proposed change on the student.</w:t>
      </w:r>
      <w:r w:rsidRPr="00756C52">
        <w:rPr>
          <w:color w:val="000000" w:themeColor="text1"/>
          <w:vertAlign w:val="superscript"/>
        </w:rPr>
        <w:footnoteReference w:id="11"/>
      </w:r>
      <w:r w:rsidRPr="00756C52">
        <w:rPr>
          <w:i/>
          <w:color w:val="000000" w:themeColor="text1"/>
        </w:rPr>
        <w:t>  </w:t>
      </w:r>
      <w:r w:rsidRPr="00756C52">
        <w:rPr>
          <w:color w:val="000000" w:themeColor="text1"/>
        </w:rPr>
        <w:t xml:space="preserve">Recent BSEA decisions and rulings have </w:t>
      </w:r>
      <w:r w:rsidR="00346C58" w:rsidRPr="00756C52">
        <w:rPr>
          <w:color w:val="000000" w:themeColor="text1"/>
        </w:rPr>
        <w:t xml:space="preserve">similarly </w:t>
      </w:r>
      <w:r w:rsidRPr="00756C52">
        <w:rPr>
          <w:color w:val="000000" w:themeColor="text1"/>
        </w:rPr>
        <w:t>examine</w:t>
      </w:r>
      <w:r w:rsidR="00346C58" w:rsidRPr="00756C52">
        <w:rPr>
          <w:color w:val="000000" w:themeColor="text1"/>
        </w:rPr>
        <w:t>d</w:t>
      </w:r>
      <w:r w:rsidRPr="00756C52">
        <w:rPr>
          <w:color w:val="000000" w:themeColor="text1"/>
        </w:rPr>
        <w:t xml:space="preserve"> the impact </w:t>
      </w:r>
      <w:r w:rsidR="00D20D75" w:rsidRPr="00756C52">
        <w:rPr>
          <w:color w:val="000000" w:themeColor="text1"/>
        </w:rPr>
        <w:t xml:space="preserve">of the proposed change </w:t>
      </w:r>
      <w:r w:rsidRPr="00756C52">
        <w:rPr>
          <w:color w:val="000000" w:themeColor="text1"/>
        </w:rPr>
        <w:t>on the student</w:t>
      </w:r>
      <w:r w:rsidRPr="00756C52">
        <w:rPr>
          <w:color w:val="000000" w:themeColor="text1"/>
          <w:vertAlign w:val="superscript"/>
        </w:rPr>
        <w:footnoteReference w:id="12"/>
      </w:r>
      <w:r w:rsidR="00D20D75" w:rsidRPr="00756C52">
        <w:rPr>
          <w:color w:val="000000" w:themeColor="text1"/>
        </w:rPr>
        <w:t xml:space="preserve"> and the extent of </w:t>
      </w:r>
      <w:r w:rsidR="009B329F" w:rsidRPr="00756C52">
        <w:rPr>
          <w:iCs/>
          <w:color w:val="000000" w:themeColor="text1"/>
        </w:rPr>
        <w:t xml:space="preserve">the </w:t>
      </w:r>
      <w:r w:rsidR="0033224A" w:rsidRPr="00756C52">
        <w:rPr>
          <w:iCs/>
          <w:color w:val="000000" w:themeColor="text1"/>
        </w:rPr>
        <w:t>disruption to the student’s educational life.</w:t>
      </w:r>
      <w:r w:rsidR="00F86CDA" w:rsidRPr="00756C52">
        <w:rPr>
          <w:rStyle w:val="FootnoteReference"/>
          <w:iCs/>
          <w:color w:val="000000" w:themeColor="text1"/>
        </w:rPr>
        <w:footnoteReference w:id="13"/>
      </w:r>
      <w:r w:rsidR="00237C84" w:rsidRPr="00756C52">
        <w:rPr>
          <w:iCs/>
          <w:color w:val="000000" w:themeColor="text1"/>
        </w:rPr>
        <w:t xml:space="preserve"> Hence, in one BSEA matter, a Hearing Officer concluded that even though an IEP had been accepted by the parents, where it was not yet implemented</w:t>
      </w:r>
      <w:r w:rsidR="00A052B3" w:rsidRPr="00756C52">
        <w:rPr>
          <w:iCs/>
          <w:color w:val="000000" w:themeColor="text1"/>
        </w:rPr>
        <w:t>, maintenance of the status quo called for the student to remain at his last attended placement rather than the one identified in the most recently accepted IEP.</w:t>
      </w:r>
      <w:r w:rsidR="00A052B3" w:rsidRPr="00756C52">
        <w:rPr>
          <w:rStyle w:val="FootnoteReference"/>
          <w:iCs/>
          <w:color w:val="000000" w:themeColor="text1"/>
        </w:rPr>
        <w:footnoteReference w:id="14"/>
      </w:r>
    </w:p>
    <w:p w14:paraId="7B6DD367" w14:textId="77777777" w:rsidR="00CC596C" w:rsidRPr="00756C52" w:rsidRDefault="00CC596C" w:rsidP="00CC596C">
      <w:pPr>
        <w:pBdr>
          <w:top w:val="nil"/>
          <w:left w:val="nil"/>
          <w:bottom w:val="nil"/>
          <w:right w:val="nil"/>
          <w:between w:val="nil"/>
        </w:pBdr>
        <w:rPr>
          <w:i/>
          <w:iCs/>
          <w:color w:val="000000" w:themeColor="text1"/>
        </w:rPr>
      </w:pPr>
    </w:p>
    <w:p w14:paraId="5420D953" w14:textId="77784FFB" w:rsidR="009226F2" w:rsidRPr="00756C52" w:rsidRDefault="00820CF5">
      <w:pPr>
        <w:numPr>
          <w:ilvl w:val="0"/>
          <w:numId w:val="4"/>
        </w:numPr>
        <w:pBdr>
          <w:top w:val="nil"/>
          <w:left w:val="nil"/>
          <w:bottom w:val="nil"/>
          <w:right w:val="nil"/>
          <w:between w:val="nil"/>
        </w:pBdr>
        <w:rPr>
          <w:i/>
          <w:iCs/>
          <w:color w:val="000000" w:themeColor="text1"/>
        </w:rPr>
      </w:pPr>
      <w:r w:rsidRPr="00756C52">
        <w:rPr>
          <w:i/>
          <w:iCs/>
          <w:color w:val="000000" w:themeColor="text1"/>
        </w:rPr>
        <w:t>Settlement Agreements</w:t>
      </w:r>
      <w:r w:rsidR="005764A2" w:rsidRPr="00756C52">
        <w:rPr>
          <w:i/>
          <w:iCs/>
          <w:color w:val="000000" w:themeColor="text1"/>
        </w:rPr>
        <w:t xml:space="preserve"> and Stay Put</w:t>
      </w:r>
    </w:p>
    <w:p w14:paraId="38EFC760" w14:textId="77777777" w:rsidR="00CE408A" w:rsidRPr="00756C52" w:rsidRDefault="00CE408A" w:rsidP="00820CF5">
      <w:pPr>
        <w:rPr>
          <w:color w:val="000000" w:themeColor="text1"/>
        </w:rPr>
      </w:pPr>
    </w:p>
    <w:p w14:paraId="776E92B5" w14:textId="53207E85" w:rsidR="00820CF5" w:rsidRPr="00756C52" w:rsidRDefault="00C1622F" w:rsidP="00C91AF7">
      <w:pPr>
        <w:rPr>
          <w:color w:val="000000" w:themeColor="text1"/>
        </w:rPr>
      </w:pPr>
      <w:r w:rsidRPr="00756C52">
        <w:rPr>
          <w:color w:val="000000" w:themeColor="text1"/>
        </w:rPr>
        <w:t>Although a Hearing Officer has no authority to enforce a settlement agreement</w:t>
      </w:r>
      <w:r w:rsidR="001C3541" w:rsidRPr="00756C52">
        <w:rPr>
          <w:rStyle w:val="FootnoteReference"/>
          <w:color w:val="000000" w:themeColor="text1"/>
        </w:rPr>
        <w:footnoteReference w:id="15"/>
      </w:r>
      <w:r w:rsidRPr="00756C52">
        <w:rPr>
          <w:color w:val="000000" w:themeColor="text1"/>
        </w:rPr>
        <w:t xml:space="preserve">, </w:t>
      </w:r>
      <w:r w:rsidR="001C3541" w:rsidRPr="00756C52">
        <w:rPr>
          <w:color w:val="000000" w:themeColor="text1"/>
        </w:rPr>
        <w:t>i</w:t>
      </w:r>
      <w:r w:rsidR="005A76BF" w:rsidRPr="00756C52">
        <w:rPr>
          <w:color w:val="000000" w:themeColor="text1"/>
        </w:rPr>
        <w:t xml:space="preserve">n general, “the BSEA's practice has been to consider the existence and scope of a settlement agreement when </w:t>
      </w:r>
      <w:r w:rsidR="005A76BF" w:rsidRPr="00756C52">
        <w:rPr>
          <w:color w:val="000000" w:themeColor="text1"/>
        </w:rPr>
        <w:lastRenderedPageBreak/>
        <w:t xml:space="preserve">adjudicating cases. Hearing </w:t>
      </w:r>
      <w:r w:rsidR="00BF7532" w:rsidRPr="00756C52">
        <w:rPr>
          <w:color w:val="000000" w:themeColor="text1"/>
        </w:rPr>
        <w:t>O</w:t>
      </w:r>
      <w:r w:rsidR="005A76BF" w:rsidRPr="00756C52">
        <w:rPr>
          <w:color w:val="000000" w:themeColor="text1"/>
        </w:rPr>
        <w:t>fficers do not ‘undo’ settlement agreements, or proceed to an evidentiary hearing on a matter that has been addressed and resolved via a settlement agreement.”</w:t>
      </w:r>
      <w:r w:rsidR="005A76BF" w:rsidRPr="00756C52">
        <w:rPr>
          <w:rStyle w:val="FootnoteReference"/>
          <w:color w:val="000000" w:themeColor="text1"/>
        </w:rPr>
        <w:footnoteReference w:id="16"/>
      </w:r>
      <w:r w:rsidR="00820CF5" w:rsidRPr="00756C52">
        <w:rPr>
          <w:color w:val="000000" w:themeColor="text1"/>
        </w:rPr>
        <w:t xml:space="preserve"> Nevertheless, if an agreement is ambiguous, and that the ambiguity "cannot be resolved by parsing the relevant language,” then there must be “an inquiry into circumstances surrounding the negotiation of the [agreement] to determine whether or not there was a 'meeting of the minds.' Such inquiry is within the purview of a court with jurisdiction over contract disputes, and not the BSEA.”</w:t>
      </w:r>
      <w:r w:rsidR="00820CF5" w:rsidRPr="00756C52">
        <w:rPr>
          <w:rStyle w:val="FootnoteReference"/>
          <w:color w:val="000000" w:themeColor="text1"/>
        </w:rPr>
        <w:footnoteReference w:id="17"/>
      </w:r>
    </w:p>
    <w:p w14:paraId="0B16E398" w14:textId="77777777" w:rsidR="00A35B18" w:rsidRPr="00756C52" w:rsidRDefault="00A35B18" w:rsidP="004A7A6B">
      <w:pPr>
        <w:rPr>
          <w:color w:val="000000" w:themeColor="text1"/>
          <w:shd w:val="clear" w:color="auto" w:fill="FFFFFF"/>
        </w:rPr>
      </w:pPr>
    </w:p>
    <w:p w14:paraId="3BBCFCB7" w14:textId="2F81B854" w:rsidR="008054C4" w:rsidRPr="00756C52" w:rsidRDefault="005C421B" w:rsidP="008054C4">
      <w:pPr>
        <w:shd w:val="clear" w:color="auto" w:fill="FFFFFF"/>
        <w:textAlignment w:val="baseline"/>
        <w:rPr>
          <w:color w:val="000000" w:themeColor="text1"/>
        </w:rPr>
      </w:pPr>
      <w:r w:rsidRPr="00756C52">
        <w:rPr>
          <w:color w:val="000000" w:themeColor="text1"/>
          <w:shd w:val="clear" w:color="auto" w:fill="FFFFFF"/>
        </w:rPr>
        <w:t xml:space="preserve">Whether a settlement agreement can dictate a student’s stay put placement </w:t>
      </w:r>
      <w:r w:rsidR="008054C4">
        <w:rPr>
          <w:color w:val="000000" w:themeColor="text1"/>
          <w:shd w:val="clear" w:color="auto" w:fill="FFFFFF"/>
        </w:rPr>
        <w:t>may be fact dependent.</w:t>
      </w:r>
      <w:r w:rsidR="00842F26" w:rsidRPr="00756C52">
        <w:rPr>
          <w:color w:val="000000" w:themeColor="text1"/>
          <w:shd w:val="clear" w:color="auto" w:fill="FFFFFF"/>
        </w:rPr>
        <w:t xml:space="preserve"> </w:t>
      </w:r>
      <w:r w:rsidR="0076602D" w:rsidRPr="00756C52">
        <w:rPr>
          <w:color w:val="000000" w:themeColor="text1"/>
          <w:shd w:val="clear" w:color="auto" w:fill="FFFFFF"/>
        </w:rPr>
        <w:t xml:space="preserve"> </w:t>
      </w:r>
      <w:r w:rsidR="001B1321" w:rsidRPr="00756C52">
        <w:rPr>
          <w:color w:val="000000" w:themeColor="text1"/>
          <w:shd w:val="clear" w:color="auto" w:fill="FFFFFF"/>
        </w:rPr>
        <w:t>One issue is whether the parties inten</w:t>
      </w:r>
      <w:r w:rsidR="00C239EB" w:rsidRPr="00756C52">
        <w:rPr>
          <w:color w:val="000000" w:themeColor="text1"/>
          <w:shd w:val="clear" w:color="auto" w:fill="FFFFFF"/>
        </w:rPr>
        <w:t xml:space="preserve">ded for a program indicated in a </w:t>
      </w:r>
      <w:r w:rsidR="001B1321" w:rsidRPr="00756C52">
        <w:rPr>
          <w:color w:val="000000" w:themeColor="text1"/>
          <w:shd w:val="clear" w:color="auto" w:fill="FFFFFF"/>
        </w:rPr>
        <w:t xml:space="preserve">settlement agreement </w:t>
      </w:r>
      <w:r w:rsidR="00C239EB" w:rsidRPr="00756C52">
        <w:rPr>
          <w:color w:val="000000" w:themeColor="text1"/>
          <w:shd w:val="clear" w:color="auto" w:fill="FFFFFF"/>
        </w:rPr>
        <w:t xml:space="preserve">to be a permanent or a temporary placement. </w:t>
      </w:r>
      <w:r w:rsidR="00C239EB" w:rsidRPr="00756C52">
        <w:rPr>
          <w:color w:val="000000" w:themeColor="text1"/>
        </w:rPr>
        <w:t xml:space="preserve">For instance, in </w:t>
      </w:r>
      <w:r w:rsidR="00C239EB" w:rsidRPr="00756C52">
        <w:rPr>
          <w:i/>
          <w:iCs/>
          <w:color w:val="000000" w:themeColor="text1"/>
          <w:bdr w:val="none" w:sz="0" w:space="0" w:color="auto" w:frame="1"/>
        </w:rPr>
        <w:t>Verhoeven v. Brunswick Sch. Comm.</w:t>
      </w:r>
      <w:r w:rsidR="00C239EB" w:rsidRPr="00756C52">
        <w:rPr>
          <w:i/>
          <w:iCs/>
          <w:color w:val="000000" w:themeColor="text1"/>
        </w:rPr>
        <w:t>,</w:t>
      </w:r>
      <w:r w:rsidR="00C239EB" w:rsidRPr="00756C52">
        <w:rPr>
          <w:color w:val="000000" w:themeColor="text1"/>
        </w:rPr>
        <w:t xml:space="preserve"> 207 F.3d 1, 10 (1st Cir. 1999)</w:t>
      </w:r>
      <w:r w:rsidR="00C53C3A">
        <w:rPr>
          <w:color w:val="000000" w:themeColor="text1"/>
        </w:rPr>
        <w:t>,</w:t>
      </w:r>
      <w:r w:rsidR="00C239EB" w:rsidRPr="00756C52">
        <w:rPr>
          <w:color w:val="000000" w:themeColor="text1"/>
        </w:rPr>
        <w:t xml:space="preserve"> </w:t>
      </w:r>
      <w:r w:rsidR="00D6167D" w:rsidRPr="00756C52">
        <w:rPr>
          <w:color w:val="000000" w:themeColor="text1"/>
        </w:rPr>
        <w:t xml:space="preserve">the First Circuit confirmed </w:t>
      </w:r>
      <w:r w:rsidR="00C239EB" w:rsidRPr="00756C52">
        <w:rPr>
          <w:color w:val="000000" w:themeColor="text1"/>
        </w:rPr>
        <w:t xml:space="preserve">that </w:t>
      </w:r>
      <w:r w:rsidR="00C239EB" w:rsidRPr="00756C52">
        <w:rPr>
          <w:color w:val="000000" w:themeColor="text1"/>
          <w:shd w:val="clear" w:color="auto" w:fill="FFFFFF"/>
        </w:rPr>
        <w:t xml:space="preserve">“the preservation of the status quo ensures that the student remains in the last placement that the parents and the educational authority </w:t>
      </w:r>
      <w:r w:rsidR="00C239EB" w:rsidRPr="00756C52">
        <w:rPr>
          <w:color w:val="000000" w:themeColor="text1"/>
          <w:u w:val="single"/>
          <w:shd w:val="clear" w:color="auto" w:fill="FFFFFF"/>
        </w:rPr>
        <w:t>agreed to be appropriate</w:t>
      </w:r>
      <w:r w:rsidR="00C239EB" w:rsidRPr="00756C52">
        <w:rPr>
          <w:color w:val="000000" w:themeColor="text1"/>
          <w:shd w:val="clear" w:color="auto" w:fill="FFFFFF"/>
        </w:rPr>
        <w:t xml:space="preserve">” </w:t>
      </w:r>
      <w:r w:rsidR="00D6167D" w:rsidRPr="00756C52">
        <w:rPr>
          <w:color w:val="000000" w:themeColor="text1"/>
          <w:shd w:val="clear" w:color="auto" w:fill="FFFFFF"/>
        </w:rPr>
        <w:t>but found that where a</w:t>
      </w:r>
      <w:r w:rsidR="00C239EB" w:rsidRPr="00756C52">
        <w:rPr>
          <w:color w:val="000000" w:themeColor="text1"/>
          <w:shd w:val="clear" w:color="auto" w:fill="FFFFFF"/>
        </w:rPr>
        <w:t xml:space="preserve"> private placement was never intended to be permanent, as understood by the parties in the settlement agreement</w:t>
      </w:r>
      <w:r w:rsidR="00D6167D" w:rsidRPr="00756C52">
        <w:rPr>
          <w:color w:val="000000" w:themeColor="text1"/>
          <w:shd w:val="clear" w:color="auto" w:fill="FFFFFF"/>
        </w:rPr>
        <w:t>, the Court could not order</w:t>
      </w:r>
      <w:r w:rsidR="00C239EB" w:rsidRPr="00756C52">
        <w:rPr>
          <w:color w:val="000000" w:themeColor="text1"/>
          <w:shd w:val="clear" w:color="auto" w:fill="FFFFFF"/>
        </w:rPr>
        <w:t xml:space="preserve"> the school to fund the </w:t>
      </w:r>
      <w:r w:rsidR="00F46B61" w:rsidRPr="00756C52">
        <w:rPr>
          <w:color w:val="000000" w:themeColor="text1"/>
          <w:shd w:val="clear" w:color="auto" w:fill="FFFFFF"/>
        </w:rPr>
        <w:t xml:space="preserve">student’s </w:t>
      </w:r>
      <w:r w:rsidR="00C239EB" w:rsidRPr="00756C52">
        <w:rPr>
          <w:color w:val="000000" w:themeColor="text1"/>
          <w:shd w:val="clear" w:color="auto" w:fill="FFFFFF"/>
        </w:rPr>
        <w:t xml:space="preserve">private placement during a challenge to the IEP, </w:t>
      </w:r>
      <w:r w:rsidR="00D6167D" w:rsidRPr="00756C52">
        <w:rPr>
          <w:color w:val="000000" w:themeColor="text1"/>
          <w:shd w:val="clear" w:color="auto" w:fill="FFFFFF"/>
        </w:rPr>
        <w:t>because this</w:t>
      </w:r>
      <w:r w:rsidR="00C239EB" w:rsidRPr="00756C52">
        <w:rPr>
          <w:color w:val="000000" w:themeColor="text1"/>
          <w:shd w:val="clear" w:color="auto" w:fill="FFFFFF"/>
        </w:rPr>
        <w:t xml:space="preserve"> was not the type of status quo maintenance that Section 1415(j) envisioned. </w:t>
      </w:r>
      <w:r w:rsidR="00F46B61" w:rsidRPr="00756C52">
        <w:rPr>
          <w:color w:val="000000" w:themeColor="text1"/>
          <w:shd w:val="clear" w:color="auto" w:fill="FFFFFF"/>
        </w:rPr>
        <w:t>The Court reasoned that t</w:t>
      </w:r>
      <w:r w:rsidR="00C239EB" w:rsidRPr="00756C52">
        <w:rPr>
          <w:color w:val="000000" w:themeColor="text1"/>
          <w:shd w:val="clear" w:color="auto" w:fill="FFFFFF"/>
        </w:rPr>
        <w:t>he policy behind Section 1415(j) supported an interpretation of "current educational placement" that excluded temporary placements</w:t>
      </w:r>
      <w:r w:rsidR="00F46B61" w:rsidRPr="00756C52">
        <w:rPr>
          <w:color w:val="000000" w:themeColor="text1"/>
          <w:shd w:val="clear" w:color="auto" w:fill="FFFFFF"/>
        </w:rPr>
        <w:t>, and that t</w:t>
      </w:r>
      <w:r w:rsidR="00C239EB" w:rsidRPr="00756C52">
        <w:rPr>
          <w:color w:val="000000" w:themeColor="text1"/>
          <w:shd w:val="clear" w:color="auto" w:fill="FFFFFF"/>
        </w:rPr>
        <w:t xml:space="preserve">he maintenance of </w:t>
      </w:r>
      <w:r w:rsidR="00F46B61" w:rsidRPr="00756C52">
        <w:rPr>
          <w:color w:val="000000" w:themeColor="text1"/>
          <w:shd w:val="clear" w:color="auto" w:fill="FFFFFF"/>
        </w:rPr>
        <w:t>the</w:t>
      </w:r>
      <w:r w:rsidR="00C239EB" w:rsidRPr="00756C52">
        <w:rPr>
          <w:color w:val="000000" w:themeColor="text1"/>
          <w:shd w:val="clear" w:color="auto" w:fill="FFFFFF"/>
        </w:rPr>
        <w:t xml:space="preserve"> placement </w:t>
      </w:r>
      <w:r w:rsidR="00756C52" w:rsidRPr="00756C52">
        <w:rPr>
          <w:color w:val="000000" w:themeColor="text1"/>
          <w:shd w:val="clear" w:color="auto" w:fill="FFFFFF"/>
        </w:rPr>
        <w:t xml:space="preserve">delineated in the settlement agreement </w:t>
      </w:r>
      <w:r w:rsidR="00C239EB" w:rsidRPr="00756C52">
        <w:rPr>
          <w:color w:val="000000" w:themeColor="text1"/>
          <w:shd w:val="clear" w:color="auto" w:fill="FFFFFF"/>
        </w:rPr>
        <w:t>would actually change the agreed-upon status quo, not preserve it.</w:t>
      </w:r>
      <w:r w:rsidR="00C239EB" w:rsidRPr="00756C52">
        <w:rPr>
          <w:rStyle w:val="FootnoteReference"/>
          <w:color w:val="000000" w:themeColor="text1"/>
          <w:shd w:val="clear" w:color="auto" w:fill="FFFFFF"/>
        </w:rPr>
        <w:footnoteReference w:id="18"/>
      </w:r>
      <w:r w:rsidR="00C239EB" w:rsidRPr="00756C52">
        <w:rPr>
          <w:color w:val="000000" w:themeColor="text1"/>
        </w:rPr>
        <w:t xml:space="preserve"> </w:t>
      </w:r>
      <w:r w:rsidR="00C239EB" w:rsidRPr="00756C52">
        <w:rPr>
          <w:color w:val="000000" w:themeColor="text1"/>
          <w:shd w:val="clear" w:color="auto" w:fill="FFFFFF"/>
        </w:rPr>
        <w:t xml:space="preserve"> </w:t>
      </w:r>
      <w:r w:rsidR="00F5603E">
        <w:rPr>
          <w:color w:val="000000" w:themeColor="text1"/>
          <w:shd w:val="clear" w:color="auto" w:fill="FFFFFF"/>
        </w:rPr>
        <w:t xml:space="preserve">Similarly, </w:t>
      </w:r>
      <w:r w:rsidR="00F5603E">
        <w:rPr>
          <w:color w:val="000000" w:themeColor="text1"/>
        </w:rPr>
        <w:t>t</w:t>
      </w:r>
      <w:r w:rsidR="00F5603E" w:rsidRPr="00756C52">
        <w:rPr>
          <w:color w:val="000000" w:themeColor="text1"/>
        </w:rPr>
        <w:t>he Ninth Circuit held that where a settlement agreement required a district to “pay” rather than to “place” a student in a private program, the stay put provision did not apply especially since the settlement agreement was for a limited duration.</w:t>
      </w:r>
      <w:r w:rsidR="00F5603E" w:rsidRPr="00756C52">
        <w:rPr>
          <w:rStyle w:val="FootnoteReference"/>
          <w:color w:val="000000" w:themeColor="text1"/>
        </w:rPr>
        <w:footnoteReference w:id="19"/>
      </w:r>
      <w:r w:rsidR="008054C4">
        <w:rPr>
          <w:color w:val="000000" w:themeColor="text1"/>
        </w:rPr>
        <w:t xml:space="preserve"> </w:t>
      </w:r>
      <w:r w:rsidR="004678AA">
        <w:rPr>
          <w:color w:val="000000" w:themeColor="text1"/>
        </w:rPr>
        <w:t>T</w:t>
      </w:r>
      <w:r w:rsidR="008054C4" w:rsidRPr="00756C52">
        <w:rPr>
          <w:color w:val="000000" w:themeColor="text1"/>
        </w:rPr>
        <w:t>he Sixth Circuit</w:t>
      </w:r>
      <w:r w:rsidR="004678AA">
        <w:rPr>
          <w:color w:val="000000" w:themeColor="text1"/>
        </w:rPr>
        <w:t xml:space="preserve"> similarly</w:t>
      </w:r>
      <w:r w:rsidR="008054C4" w:rsidRPr="00756C52">
        <w:rPr>
          <w:color w:val="000000" w:themeColor="text1"/>
        </w:rPr>
        <w:t xml:space="preserve"> found that where a school district agreed in a settlement agreement to “fund” a placement but did not expressly agree that the educational placement was appropriate, the child’s placement pursuant to the agreement was not the child’s current-educational placement.</w:t>
      </w:r>
      <w:r w:rsidR="008054C4" w:rsidRPr="00756C52">
        <w:rPr>
          <w:rStyle w:val="FootnoteReference"/>
          <w:color w:val="000000" w:themeColor="text1"/>
        </w:rPr>
        <w:footnoteReference w:id="20"/>
      </w:r>
      <w:r w:rsidR="008054C4" w:rsidRPr="00756C52">
        <w:rPr>
          <w:color w:val="000000" w:themeColor="text1"/>
        </w:rPr>
        <w:t xml:space="preserve"> </w:t>
      </w:r>
    </w:p>
    <w:p w14:paraId="4D01C348" w14:textId="77777777" w:rsidR="00F5603E" w:rsidRDefault="00F5603E" w:rsidP="00756C52">
      <w:pPr>
        <w:rPr>
          <w:color w:val="000000" w:themeColor="text1"/>
        </w:rPr>
      </w:pPr>
    </w:p>
    <w:p w14:paraId="1EE072F6" w14:textId="12CE9AC8" w:rsidR="00AE5022" w:rsidRPr="00756C52" w:rsidRDefault="008054C4" w:rsidP="00F903D5">
      <w:pPr>
        <w:rPr>
          <w:color w:val="000000" w:themeColor="text1"/>
        </w:rPr>
      </w:pPr>
      <w:r>
        <w:rPr>
          <w:color w:val="000000" w:themeColor="text1"/>
          <w:shd w:val="clear" w:color="auto" w:fill="FFFFFF"/>
        </w:rPr>
        <w:t xml:space="preserve">The BSEA has considered the issue of whether a settlement agreement can define stay </w:t>
      </w:r>
      <w:r w:rsidR="00F36475">
        <w:rPr>
          <w:color w:val="000000" w:themeColor="text1"/>
          <w:shd w:val="clear" w:color="auto" w:fill="FFFFFF"/>
        </w:rPr>
        <w:t>put</w:t>
      </w:r>
      <w:r w:rsidR="00D435A6" w:rsidRPr="00756C52">
        <w:rPr>
          <w:color w:val="000000" w:themeColor="text1"/>
          <w:shd w:val="clear" w:color="auto" w:fill="FFFFFF"/>
        </w:rPr>
        <w:t xml:space="preserve"> i</w:t>
      </w:r>
      <w:r w:rsidR="005C421B" w:rsidRPr="00756C52">
        <w:rPr>
          <w:color w:val="000000" w:themeColor="text1"/>
          <w:shd w:val="clear" w:color="auto" w:fill="FFFFFF"/>
        </w:rPr>
        <w:t>n</w:t>
      </w:r>
      <w:r w:rsidR="004A7D43" w:rsidRPr="00756C52">
        <w:rPr>
          <w:color w:val="000000" w:themeColor="text1"/>
          <w:shd w:val="clear" w:color="auto" w:fill="FFFFFF"/>
        </w:rPr>
        <w:t xml:space="preserve"> </w:t>
      </w:r>
      <w:r w:rsidR="004A7D43" w:rsidRPr="00756C52">
        <w:rPr>
          <w:i/>
          <w:iCs/>
          <w:color w:val="000000" w:themeColor="text1"/>
          <w:shd w:val="clear" w:color="auto" w:fill="FFFFFF"/>
        </w:rPr>
        <w:t>In Re: Billerica Public Schools</w:t>
      </w:r>
      <w:r w:rsidR="004A7D43" w:rsidRPr="00756C52">
        <w:rPr>
          <w:color w:val="000000" w:themeColor="text1"/>
          <w:shd w:val="clear" w:color="auto" w:fill="FFFFFF"/>
        </w:rPr>
        <w:t>, BSEA#00-0265, 8 MSER 137 (2002</w:t>
      </w:r>
      <w:r w:rsidR="0034650D" w:rsidRPr="00756C52">
        <w:rPr>
          <w:color w:val="000000" w:themeColor="text1"/>
          <w:shd w:val="clear" w:color="auto" w:fill="FFFFFF"/>
        </w:rPr>
        <w:t>)</w:t>
      </w:r>
      <w:r>
        <w:rPr>
          <w:color w:val="000000" w:themeColor="text1"/>
          <w:shd w:val="clear" w:color="auto" w:fill="FFFFFF"/>
        </w:rPr>
        <w:t>. Here</w:t>
      </w:r>
      <w:r w:rsidR="0034650D" w:rsidRPr="00756C52">
        <w:rPr>
          <w:color w:val="000000" w:themeColor="text1"/>
          <w:shd w:val="clear" w:color="auto" w:fill="FFFFFF"/>
        </w:rPr>
        <w:t xml:space="preserve"> the Hearing Officer found that</w:t>
      </w:r>
      <w:r w:rsidR="00BA19B6" w:rsidRPr="00756C52">
        <w:rPr>
          <w:color w:val="000000" w:themeColor="text1"/>
          <w:shd w:val="clear" w:color="auto" w:fill="FFFFFF"/>
        </w:rPr>
        <w:t xml:space="preserve"> although</w:t>
      </w:r>
      <w:r w:rsidR="0034650D" w:rsidRPr="00756C52">
        <w:rPr>
          <w:color w:val="000000" w:themeColor="text1"/>
          <w:shd w:val="clear" w:color="auto" w:fill="FFFFFF"/>
        </w:rPr>
        <w:t xml:space="preserve"> the </w:t>
      </w:r>
      <w:r w:rsidR="0050581B" w:rsidRPr="00756C52">
        <w:rPr>
          <w:color w:val="000000" w:themeColor="text1"/>
          <w:shd w:val="clear" w:color="auto" w:fill="FFFFFF"/>
        </w:rPr>
        <w:t xml:space="preserve">law </w:t>
      </w:r>
      <w:r w:rsidR="00BA19B6" w:rsidRPr="00756C52">
        <w:rPr>
          <w:color w:val="000000" w:themeColor="text1"/>
          <w:shd w:val="clear" w:color="auto" w:fill="FFFFFF"/>
        </w:rPr>
        <w:t>requires</w:t>
      </w:r>
      <w:r w:rsidR="0050581B" w:rsidRPr="00756C52">
        <w:rPr>
          <w:color w:val="000000" w:themeColor="text1"/>
          <w:shd w:val="clear" w:color="auto" w:fill="FFFFFF"/>
        </w:rPr>
        <w:t xml:space="preserve"> </w:t>
      </w:r>
      <w:r w:rsidR="00BA19B6" w:rsidRPr="00756C52">
        <w:rPr>
          <w:color w:val="000000" w:themeColor="text1"/>
          <w:shd w:val="clear" w:color="auto" w:fill="FFFFFF"/>
        </w:rPr>
        <w:t>stay put services</w:t>
      </w:r>
      <w:r w:rsidR="00C2118C" w:rsidRPr="00756C52">
        <w:rPr>
          <w:color w:val="000000" w:themeColor="text1"/>
          <w:shd w:val="clear" w:color="auto" w:fill="FFFFFF"/>
        </w:rPr>
        <w:t xml:space="preserve"> until there is another “signed IEP, an agreement to alternate services can over-ride [stay put] rights.”</w:t>
      </w:r>
      <w:r w:rsidR="003F0CA6" w:rsidRPr="00756C52">
        <w:rPr>
          <w:rStyle w:val="FootnoteReference"/>
          <w:color w:val="000000" w:themeColor="text1"/>
          <w:shd w:val="clear" w:color="auto" w:fill="FFFFFF"/>
        </w:rPr>
        <w:footnoteReference w:id="21"/>
      </w:r>
      <w:r w:rsidR="002123FD" w:rsidRPr="00756C52">
        <w:rPr>
          <w:color w:val="000000" w:themeColor="text1"/>
          <w:shd w:val="clear" w:color="auto" w:fill="FFFFFF"/>
        </w:rPr>
        <w:t xml:space="preserve"> </w:t>
      </w:r>
    </w:p>
    <w:p w14:paraId="3D696285" w14:textId="26333384" w:rsidR="00347568" w:rsidRPr="00756C52" w:rsidRDefault="00347568" w:rsidP="004678AA">
      <w:pPr>
        <w:pStyle w:val="ListParagraph"/>
        <w:numPr>
          <w:ilvl w:val="0"/>
          <w:numId w:val="4"/>
        </w:numPr>
        <w:pBdr>
          <w:top w:val="nil"/>
          <w:left w:val="nil"/>
          <w:bottom w:val="nil"/>
          <w:right w:val="nil"/>
          <w:between w:val="nil"/>
        </w:pBdr>
        <w:rPr>
          <w:rFonts w:ascii="Times New Roman" w:hAnsi="Times New Roman" w:cs="Times New Roman"/>
          <w:i/>
          <w:iCs/>
          <w:color w:val="000000" w:themeColor="text1"/>
          <w:sz w:val="24"/>
          <w:szCs w:val="24"/>
        </w:rPr>
      </w:pPr>
      <w:r w:rsidRPr="00756C52">
        <w:rPr>
          <w:rFonts w:ascii="Times New Roman" w:hAnsi="Times New Roman" w:cs="Times New Roman"/>
          <w:i/>
          <w:iCs/>
          <w:color w:val="000000" w:themeColor="text1"/>
          <w:sz w:val="24"/>
          <w:szCs w:val="24"/>
        </w:rPr>
        <w:lastRenderedPageBreak/>
        <w:t xml:space="preserve">Extended Evaluations </w:t>
      </w:r>
    </w:p>
    <w:p w14:paraId="2B36528C" w14:textId="19A38168" w:rsidR="00C532E7" w:rsidRPr="00756C52" w:rsidRDefault="00347568" w:rsidP="005764A2">
      <w:pPr>
        <w:spacing w:after="100" w:afterAutospacing="1"/>
        <w:rPr>
          <w:color w:val="000000" w:themeColor="text1"/>
        </w:rPr>
      </w:pPr>
      <w:r w:rsidRPr="00756C52">
        <w:rPr>
          <w:color w:val="000000" w:themeColor="text1"/>
        </w:rPr>
        <w:t>An extended evaluation is not considered to be a placement.</w:t>
      </w:r>
      <w:r w:rsidRPr="00756C52">
        <w:rPr>
          <w:rStyle w:val="FootnoteReference"/>
          <w:color w:val="000000" w:themeColor="text1"/>
        </w:rPr>
        <w:footnoteReference w:id="22"/>
      </w:r>
      <w:r w:rsidRPr="00756C52">
        <w:rPr>
          <w:color w:val="000000" w:themeColor="text1"/>
        </w:rPr>
        <w:t xml:space="preserve"> The Department of Elementary and Secondary Education (DESE) has clarified that if “the school district is referring the student to a collaborative or approved special education school for the extended evaluation…[the] collaborative or approved special education school is not the student's placement, but rather is the location where the additional assessment(s) is being conducted.”</w:t>
      </w:r>
      <w:r w:rsidRPr="00756C52">
        <w:rPr>
          <w:rStyle w:val="FootnoteReference"/>
          <w:color w:val="000000" w:themeColor="text1"/>
        </w:rPr>
        <w:footnoteReference w:id="23"/>
      </w:r>
      <w:r w:rsidR="0045121C" w:rsidRPr="00756C52">
        <w:rPr>
          <w:color w:val="000000" w:themeColor="text1"/>
        </w:rPr>
        <w:t xml:space="preserve"> </w:t>
      </w:r>
      <w:r w:rsidR="006F0B8A" w:rsidRPr="00756C52">
        <w:rPr>
          <w:color w:val="000000" w:themeColor="text1"/>
        </w:rPr>
        <w:t xml:space="preserve"> </w:t>
      </w:r>
      <w:r w:rsidR="00312C54" w:rsidRPr="00756C52">
        <w:rPr>
          <w:color w:val="000000" w:themeColor="text1"/>
        </w:rPr>
        <w:t>Therefore</w:t>
      </w:r>
      <w:r w:rsidR="0045121C" w:rsidRPr="00756C52">
        <w:rPr>
          <w:color w:val="000000" w:themeColor="text1"/>
        </w:rPr>
        <w:t>,</w:t>
      </w:r>
      <w:r w:rsidR="00D8453C" w:rsidRPr="00756C52">
        <w:rPr>
          <w:color w:val="000000" w:themeColor="text1"/>
        </w:rPr>
        <w:t xml:space="preserve"> “the normal procedural requirements releva</w:t>
      </w:r>
      <w:r w:rsidR="00DD22A0" w:rsidRPr="00756C52">
        <w:rPr>
          <w:color w:val="000000" w:themeColor="text1"/>
        </w:rPr>
        <w:t>n</w:t>
      </w:r>
      <w:r w:rsidR="00D8453C" w:rsidRPr="00756C52">
        <w:rPr>
          <w:color w:val="000000" w:themeColor="text1"/>
        </w:rPr>
        <w:t>t to a student’s educational placement (including stay put</w:t>
      </w:r>
      <w:r w:rsidR="00DD22A0" w:rsidRPr="00756C52">
        <w:rPr>
          <w:color w:val="000000" w:themeColor="text1"/>
        </w:rPr>
        <w:t>) do not apply to an extended evaluation.”</w:t>
      </w:r>
      <w:r w:rsidR="000C3BF9" w:rsidRPr="00756C52">
        <w:rPr>
          <w:rStyle w:val="FootnoteReference"/>
          <w:color w:val="000000" w:themeColor="text1"/>
        </w:rPr>
        <w:footnoteReference w:id="24"/>
      </w:r>
      <w:r w:rsidR="0045121C" w:rsidRPr="00756C52">
        <w:rPr>
          <w:color w:val="000000" w:themeColor="text1"/>
        </w:rPr>
        <w:t xml:space="preserve"> </w:t>
      </w:r>
    </w:p>
    <w:p w14:paraId="5E098C0A" w14:textId="77777777" w:rsidR="00C532E7" w:rsidRPr="00756C52" w:rsidRDefault="00C532E7">
      <w:pPr>
        <w:pBdr>
          <w:top w:val="nil"/>
          <w:left w:val="nil"/>
          <w:bottom w:val="nil"/>
          <w:right w:val="nil"/>
          <w:between w:val="nil"/>
        </w:pBdr>
        <w:rPr>
          <w:color w:val="000000" w:themeColor="text1"/>
        </w:rPr>
      </w:pPr>
    </w:p>
    <w:p w14:paraId="2F4E4AE7" w14:textId="188ABCE4" w:rsidR="00C532E7" w:rsidRPr="00756C52" w:rsidRDefault="007423B3">
      <w:pPr>
        <w:numPr>
          <w:ilvl w:val="0"/>
          <w:numId w:val="3"/>
        </w:numPr>
        <w:pBdr>
          <w:top w:val="nil"/>
          <w:left w:val="nil"/>
          <w:bottom w:val="nil"/>
          <w:right w:val="nil"/>
          <w:between w:val="nil"/>
        </w:pBdr>
        <w:rPr>
          <w:b/>
          <w:color w:val="000000" w:themeColor="text1"/>
        </w:rPr>
      </w:pPr>
      <w:r w:rsidRPr="00756C52">
        <w:rPr>
          <w:b/>
          <w:color w:val="000000" w:themeColor="text1"/>
        </w:rPr>
        <w:t>Application of Legal Standard</w:t>
      </w:r>
      <w:r w:rsidR="000D68F0" w:rsidRPr="00756C52">
        <w:rPr>
          <w:b/>
          <w:color w:val="000000" w:themeColor="text1"/>
        </w:rPr>
        <w:t>:</w:t>
      </w:r>
    </w:p>
    <w:p w14:paraId="699C4FA4" w14:textId="77777777" w:rsidR="00C532E7" w:rsidRPr="00756C52" w:rsidRDefault="00C532E7">
      <w:pPr>
        <w:pBdr>
          <w:top w:val="nil"/>
          <w:left w:val="nil"/>
          <w:bottom w:val="nil"/>
          <w:right w:val="nil"/>
          <w:between w:val="nil"/>
        </w:pBdr>
        <w:rPr>
          <w:color w:val="000000" w:themeColor="text1"/>
        </w:rPr>
      </w:pPr>
    </w:p>
    <w:p w14:paraId="0D1D0DA0" w14:textId="3D68E53A" w:rsidR="00C532E7" w:rsidRPr="00756C52" w:rsidRDefault="000D68F0" w:rsidP="00B75C02">
      <w:pPr>
        <w:pBdr>
          <w:top w:val="nil"/>
          <w:left w:val="nil"/>
          <w:bottom w:val="nil"/>
          <w:right w:val="nil"/>
          <w:between w:val="nil"/>
        </w:pBdr>
        <w:rPr>
          <w:color w:val="000000" w:themeColor="text1"/>
        </w:rPr>
      </w:pPr>
      <w:r w:rsidRPr="00756C52">
        <w:rPr>
          <w:color w:val="000000" w:themeColor="text1"/>
        </w:rPr>
        <w:t>In the instant case, I am asked to identify whether Student’s “stay</w:t>
      </w:r>
      <w:r w:rsidR="00DF37DA" w:rsidRPr="00756C52">
        <w:rPr>
          <w:color w:val="000000" w:themeColor="text1"/>
        </w:rPr>
        <w:t xml:space="preserve"> </w:t>
      </w:r>
      <w:r w:rsidRPr="00756C52">
        <w:rPr>
          <w:color w:val="000000" w:themeColor="text1"/>
        </w:rPr>
        <w:t>put”</w:t>
      </w:r>
      <w:r w:rsidR="00B75C02" w:rsidRPr="00756C52">
        <w:rPr>
          <w:color w:val="000000" w:themeColor="text1"/>
        </w:rPr>
        <w:t xml:space="preserve"> </w:t>
      </w:r>
      <w:r w:rsidR="005764A2" w:rsidRPr="00756C52">
        <w:rPr>
          <w:color w:val="000000" w:themeColor="text1"/>
        </w:rPr>
        <w:t xml:space="preserve">is </w:t>
      </w:r>
      <w:r w:rsidR="003E64BB" w:rsidRPr="00756C52">
        <w:rPr>
          <w:color w:val="000000" w:themeColor="text1"/>
        </w:rPr>
        <w:t xml:space="preserve">the LEAP </w:t>
      </w:r>
      <w:r w:rsidR="00484DF7" w:rsidRPr="00756C52">
        <w:rPr>
          <w:color w:val="000000" w:themeColor="text1"/>
        </w:rPr>
        <w:t>P</w:t>
      </w:r>
      <w:r w:rsidR="003E64BB" w:rsidRPr="00756C52">
        <w:rPr>
          <w:color w:val="000000" w:themeColor="text1"/>
        </w:rPr>
        <w:t>rogram</w:t>
      </w:r>
      <w:r w:rsidR="003A063E" w:rsidRPr="00756C52">
        <w:rPr>
          <w:color w:val="000000" w:themeColor="text1"/>
        </w:rPr>
        <w:t xml:space="preserve">, </w:t>
      </w:r>
      <w:r w:rsidR="003E64BB" w:rsidRPr="00756C52">
        <w:rPr>
          <w:color w:val="000000" w:themeColor="text1"/>
        </w:rPr>
        <w:t xml:space="preserve">the RISE </w:t>
      </w:r>
      <w:r w:rsidR="00AB7062" w:rsidRPr="00756C52">
        <w:rPr>
          <w:color w:val="000000" w:themeColor="text1"/>
        </w:rPr>
        <w:t xml:space="preserve">I </w:t>
      </w:r>
      <w:r w:rsidR="003E64BB" w:rsidRPr="00756C52">
        <w:rPr>
          <w:color w:val="000000" w:themeColor="text1"/>
        </w:rPr>
        <w:t xml:space="preserve">program where </w:t>
      </w:r>
      <w:r w:rsidR="00AB7062" w:rsidRPr="00756C52">
        <w:rPr>
          <w:color w:val="000000" w:themeColor="text1"/>
        </w:rPr>
        <w:t>Student participated in an extended evaluation in December 2020</w:t>
      </w:r>
      <w:r w:rsidR="003765BA" w:rsidRPr="00756C52">
        <w:rPr>
          <w:color w:val="000000" w:themeColor="text1"/>
        </w:rPr>
        <w:t>/January 2021</w:t>
      </w:r>
      <w:r w:rsidR="003E64BB" w:rsidRPr="00756C52">
        <w:rPr>
          <w:color w:val="000000" w:themeColor="text1"/>
        </w:rPr>
        <w:t xml:space="preserve"> </w:t>
      </w:r>
      <w:r w:rsidR="005912FD">
        <w:rPr>
          <w:color w:val="000000" w:themeColor="text1"/>
        </w:rPr>
        <w:t xml:space="preserve">and which he </w:t>
      </w:r>
      <w:r w:rsidR="001D5685">
        <w:rPr>
          <w:color w:val="000000" w:themeColor="text1"/>
        </w:rPr>
        <w:t>has begun</w:t>
      </w:r>
      <w:r w:rsidR="005912FD">
        <w:rPr>
          <w:color w:val="000000" w:themeColor="text1"/>
        </w:rPr>
        <w:t xml:space="preserve"> attending </w:t>
      </w:r>
      <w:r w:rsidR="001D5685">
        <w:rPr>
          <w:color w:val="000000" w:themeColor="text1"/>
        </w:rPr>
        <w:t xml:space="preserve">in September 2021, </w:t>
      </w:r>
      <w:r w:rsidR="003E64BB" w:rsidRPr="00756C52">
        <w:rPr>
          <w:color w:val="000000" w:themeColor="text1"/>
        </w:rPr>
        <w:t xml:space="preserve">or </w:t>
      </w:r>
      <w:proofErr w:type="spellStart"/>
      <w:r w:rsidR="003E64BB" w:rsidRPr="00756C52">
        <w:rPr>
          <w:color w:val="000000" w:themeColor="text1"/>
        </w:rPr>
        <w:t>the</w:t>
      </w:r>
      <w:proofErr w:type="spellEnd"/>
      <w:r w:rsidR="003E64BB" w:rsidRPr="00756C52">
        <w:rPr>
          <w:color w:val="000000" w:themeColor="text1"/>
        </w:rPr>
        <w:t xml:space="preserve"> SEEM Collaborative, </w:t>
      </w:r>
      <w:r w:rsidR="00C47250" w:rsidRPr="00756C52">
        <w:rPr>
          <w:color w:val="000000" w:themeColor="text1"/>
        </w:rPr>
        <w:t>by the terms of the Settlement Agreement.</w:t>
      </w:r>
      <w:r w:rsidR="008D066C" w:rsidRPr="00756C52">
        <w:rPr>
          <w:color w:val="000000" w:themeColor="text1"/>
        </w:rPr>
        <w:t xml:space="preserve"> </w:t>
      </w:r>
      <w:r w:rsidR="00CD6A9D" w:rsidRPr="00756C52">
        <w:rPr>
          <w:color w:val="000000" w:themeColor="text1"/>
        </w:rPr>
        <w:t>A</w:t>
      </w:r>
      <w:r w:rsidR="008D066C" w:rsidRPr="00756C52">
        <w:rPr>
          <w:color w:val="000000" w:themeColor="text1"/>
        </w:rPr>
        <w:t>f</w:t>
      </w:r>
      <w:r w:rsidR="00CD6A9D" w:rsidRPr="00756C52">
        <w:rPr>
          <w:color w:val="000000" w:themeColor="text1"/>
        </w:rPr>
        <w:t xml:space="preserve">ter considering </w:t>
      </w:r>
      <w:r w:rsidR="00484DF7" w:rsidRPr="00756C52">
        <w:rPr>
          <w:color w:val="000000" w:themeColor="text1"/>
        </w:rPr>
        <w:t>the documents presented in this matter and the thoughtful argument</w:t>
      </w:r>
      <w:r w:rsidR="00FA4F95">
        <w:rPr>
          <w:color w:val="000000" w:themeColor="text1"/>
        </w:rPr>
        <w:t>s</w:t>
      </w:r>
      <w:r w:rsidR="00484DF7" w:rsidRPr="00756C52">
        <w:rPr>
          <w:color w:val="000000" w:themeColor="text1"/>
        </w:rPr>
        <w:t xml:space="preserve"> of counsel,</w:t>
      </w:r>
      <w:r w:rsidR="00CD6A9D" w:rsidRPr="00756C52">
        <w:rPr>
          <w:color w:val="000000" w:themeColor="text1"/>
        </w:rPr>
        <w:t xml:space="preserve"> I find that Student’s stay put placement is </w:t>
      </w:r>
      <w:r w:rsidR="00484DF7" w:rsidRPr="00756C52">
        <w:rPr>
          <w:color w:val="000000" w:themeColor="text1"/>
        </w:rPr>
        <w:t>the LEAP Program.</w:t>
      </w:r>
    </w:p>
    <w:p w14:paraId="2EA066E7" w14:textId="62A179C2" w:rsidR="00C532E7" w:rsidRPr="00756C52" w:rsidRDefault="00C532E7">
      <w:pPr>
        <w:pBdr>
          <w:top w:val="nil"/>
          <w:left w:val="nil"/>
          <w:bottom w:val="nil"/>
          <w:right w:val="nil"/>
          <w:between w:val="nil"/>
        </w:pBdr>
        <w:rPr>
          <w:color w:val="000000" w:themeColor="text1"/>
        </w:rPr>
      </w:pPr>
    </w:p>
    <w:p w14:paraId="6291AB8A" w14:textId="74B65F14" w:rsidR="004678AA" w:rsidRPr="00756C52" w:rsidRDefault="00922F2F" w:rsidP="00F903D5">
      <w:pPr>
        <w:rPr>
          <w:color w:val="000000" w:themeColor="text1"/>
        </w:rPr>
      </w:pPr>
      <w:r w:rsidRPr="00756C52">
        <w:rPr>
          <w:color w:val="000000" w:themeColor="text1"/>
        </w:rPr>
        <w:t xml:space="preserve">The District asserts that SEEM Collaborative is Student’s stay put placement as Parents agreed to it by the terms of the Settlement Agreement.  </w:t>
      </w:r>
      <w:r w:rsidR="00F81C68" w:rsidRPr="00756C52">
        <w:rPr>
          <w:color w:val="000000" w:themeColor="text1"/>
        </w:rPr>
        <w:t xml:space="preserve">For several reasons, </w:t>
      </w:r>
      <w:r w:rsidRPr="00756C52">
        <w:rPr>
          <w:color w:val="000000" w:themeColor="text1"/>
        </w:rPr>
        <w:t>I disagree</w:t>
      </w:r>
      <w:r w:rsidR="00F81C68" w:rsidRPr="00756C52">
        <w:rPr>
          <w:color w:val="000000" w:themeColor="text1"/>
        </w:rPr>
        <w:t xml:space="preserve">. </w:t>
      </w:r>
      <w:r w:rsidR="002A4375" w:rsidRPr="00756C52">
        <w:rPr>
          <w:color w:val="000000" w:themeColor="text1"/>
        </w:rPr>
        <w:t xml:space="preserve">The District is correct that the </w:t>
      </w:r>
      <w:r w:rsidR="00FE6B64" w:rsidRPr="00756C52">
        <w:rPr>
          <w:color w:val="000000" w:themeColor="text1"/>
        </w:rPr>
        <w:t>P</w:t>
      </w:r>
      <w:r w:rsidR="002A4375" w:rsidRPr="00756C52">
        <w:rPr>
          <w:color w:val="000000" w:themeColor="text1"/>
        </w:rPr>
        <w:t xml:space="preserve">arties executed the Settlement Agreement voluntarily </w:t>
      </w:r>
      <w:r w:rsidR="00FE6B64" w:rsidRPr="00756C52">
        <w:rPr>
          <w:color w:val="000000" w:themeColor="text1"/>
        </w:rPr>
        <w:t xml:space="preserve">and </w:t>
      </w:r>
      <w:r w:rsidR="002A4375" w:rsidRPr="00756C52">
        <w:rPr>
          <w:color w:val="000000" w:themeColor="text1"/>
        </w:rPr>
        <w:t xml:space="preserve">with the </w:t>
      </w:r>
      <w:r w:rsidR="00C822B2" w:rsidRPr="00756C52">
        <w:rPr>
          <w:color w:val="000000" w:themeColor="text1"/>
        </w:rPr>
        <w:t>advice</w:t>
      </w:r>
      <w:r w:rsidR="002A4375" w:rsidRPr="00756C52">
        <w:rPr>
          <w:color w:val="000000" w:themeColor="text1"/>
        </w:rPr>
        <w:t xml:space="preserve"> of counsel</w:t>
      </w:r>
      <w:r w:rsidR="00FF0D2F">
        <w:rPr>
          <w:color w:val="000000" w:themeColor="text1"/>
        </w:rPr>
        <w:t>.</w:t>
      </w:r>
      <w:r w:rsidR="004678AA">
        <w:rPr>
          <w:color w:val="000000" w:themeColor="text1"/>
        </w:rPr>
        <w:t xml:space="preserve"> </w:t>
      </w:r>
      <w:r w:rsidR="00FF0D2F">
        <w:rPr>
          <w:color w:val="000000" w:themeColor="text1"/>
        </w:rPr>
        <w:t>H</w:t>
      </w:r>
      <w:r w:rsidR="004678AA">
        <w:rPr>
          <w:color w:val="000000" w:themeColor="text1"/>
        </w:rPr>
        <w:t>owever</w:t>
      </w:r>
      <w:r w:rsidR="00FF0D2F">
        <w:rPr>
          <w:color w:val="000000" w:themeColor="text1"/>
        </w:rPr>
        <w:t xml:space="preserve">, </w:t>
      </w:r>
      <w:r w:rsidR="004678AA" w:rsidRPr="00756C52">
        <w:rPr>
          <w:color w:val="000000" w:themeColor="text1"/>
        </w:rPr>
        <w:t>the Settlement Agreement</w:t>
      </w:r>
      <w:r w:rsidR="004165FA">
        <w:rPr>
          <w:color w:val="000000" w:themeColor="text1"/>
        </w:rPr>
        <w:t xml:space="preserve"> does not</w:t>
      </w:r>
      <w:r w:rsidR="004678AA" w:rsidRPr="00756C52">
        <w:rPr>
          <w:color w:val="000000" w:themeColor="text1"/>
        </w:rPr>
        <w:t xml:space="preserve"> contemplate SEEM Collaborative as Student’s stay put placement except under very specific circumstances (see Paragraph 6) which are not present in the instant matter</w:t>
      </w:r>
      <w:r w:rsidR="004678AA">
        <w:rPr>
          <w:color w:val="000000" w:themeColor="text1"/>
        </w:rPr>
        <w:t>. In fact,</w:t>
      </w:r>
      <w:r w:rsidR="004678AA" w:rsidRPr="00756C52">
        <w:rPr>
          <w:color w:val="000000" w:themeColor="text1"/>
        </w:rPr>
        <w:t xml:space="preserve"> </w:t>
      </w:r>
      <w:r w:rsidR="004678AA">
        <w:rPr>
          <w:color w:val="000000" w:themeColor="text1"/>
        </w:rPr>
        <w:t>t</w:t>
      </w:r>
      <w:r w:rsidR="004678AA" w:rsidRPr="00756C52">
        <w:rPr>
          <w:color w:val="000000" w:themeColor="text1"/>
        </w:rPr>
        <w:t>he Settlement Agreement does not entertain that Student would continue to attend SEEM Collaborative beyond the term of the Agreement;</w:t>
      </w:r>
      <w:r w:rsidR="004678AA" w:rsidRPr="00756C52">
        <w:rPr>
          <w:rStyle w:val="FootnoteReference"/>
          <w:color w:val="000000" w:themeColor="text1"/>
        </w:rPr>
        <w:footnoteReference w:id="25"/>
      </w:r>
      <w:r w:rsidR="004678AA" w:rsidRPr="00756C52">
        <w:rPr>
          <w:color w:val="000000" w:themeColor="text1"/>
        </w:rPr>
        <w:t xml:space="preserve"> to the contrary, it quite emphatically disputes such a proposition in Paragraph 15, stating that the “Parents and/or Student shall not have a right to ‘stay put’ at The Out-of-District Program or any out-of-district program for the 2023-2024 school year.” In other words, SEEM Collaborative was never intended to be anything by a temporary placement for 2021-2022 and 2022-2023.</w:t>
      </w:r>
      <w:r w:rsidR="004678AA" w:rsidRPr="00756C52">
        <w:rPr>
          <w:rStyle w:val="FootnoteReference"/>
          <w:color w:val="000000" w:themeColor="text1"/>
        </w:rPr>
        <w:footnoteReference w:id="26"/>
      </w:r>
    </w:p>
    <w:p w14:paraId="096EADF2" w14:textId="77777777" w:rsidR="004678AA" w:rsidRPr="00756C52" w:rsidRDefault="004678AA" w:rsidP="004678AA">
      <w:pPr>
        <w:pBdr>
          <w:top w:val="nil"/>
          <w:left w:val="nil"/>
          <w:bottom w:val="nil"/>
          <w:right w:val="nil"/>
          <w:between w:val="nil"/>
        </w:pBdr>
        <w:rPr>
          <w:color w:val="000000" w:themeColor="text1"/>
        </w:rPr>
      </w:pPr>
    </w:p>
    <w:p w14:paraId="348E448F" w14:textId="58E03B8A" w:rsidR="00A876AD" w:rsidRPr="00756C52" w:rsidRDefault="004165FA" w:rsidP="00A876AD">
      <w:pPr>
        <w:rPr>
          <w:color w:val="000000" w:themeColor="text1"/>
        </w:rPr>
      </w:pPr>
      <w:r>
        <w:rPr>
          <w:color w:val="000000" w:themeColor="text1"/>
        </w:rPr>
        <w:t>Moreover</w:t>
      </w:r>
      <w:r w:rsidR="00956B71" w:rsidRPr="00756C52">
        <w:rPr>
          <w:color w:val="000000" w:themeColor="text1"/>
        </w:rPr>
        <w:t xml:space="preserve">, </w:t>
      </w:r>
      <w:r w:rsidR="008912BF" w:rsidRPr="00756C52">
        <w:rPr>
          <w:color w:val="000000" w:themeColor="text1"/>
        </w:rPr>
        <w:t xml:space="preserve">SEEM Collaborative satisfies none of the </w:t>
      </w:r>
      <w:r w:rsidR="00FE6B64" w:rsidRPr="00756C52">
        <w:rPr>
          <w:color w:val="000000" w:themeColor="text1"/>
        </w:rPr>
        <w:t>purposes</w:t>
      </w:r>
      <w:r w:rsidR="00EF5C5C" w:rsidRPr="00756C52">
        <w:rPr>
          <w:color w:val="000000" w:themeColor="text1"/>
        </w:rPr>
        <w:t xml:space="preserve"> of IDEA’s stay put provision.</w:t>
      </w:r>
      <w:r w:rsidR="006444C9" w:rsidRPr="00756C52">
        <w:rPr>
          <w:color w:val="000000" w:themeColor="text1"/>
        </w:rPr>
        <w:t xml:space="preserve"> </w:t>
      </w:r>
      <w:r w:rsidR="00E83A02" w:rsidRPr="00756C52">
        <w:rPr>
          <w:color w:val="000000" w:themeColor="text1"/>
        </w:rPr>
        <w:t>Parent</w:t>
      </w:r>
      <w:r w:rsidR="00FE6B64" w:rsidRPr="00756C52">
        <w:rPr>
          <w:color w:val="000000" w:themeColor="text1"/>
        </w:rPr>
        <w:t>s</w:t>
      </w:r>
      <w:r w:rsidR="00E83A02" w:rsidRPr="00756C52">
        <w:rPr>
          <w:color w:val="000000" w:themeColor="text1"/>
        </w:rPr>
        <w:t xml:space="preserve"> </w:t>
      </w:r>
      <w:r w:rsidR="00FE6B64" w:rsidRPr="00756C52">
        <w:rPr>
          <w:color w:val="000000" w:themeColor="text1"/>
        </w:rPr>
        <w:t>have</w:t>
      </w:r>
      <w:r w:rsidR="00E83A02" w:rsidRPr="00756C52">
        <w:rPr>
          <w:color w:val="000000" w:themeColor="text1"/>
        </w:rPr>
        <w:t xml:space="preserve"> </w:t>
      </w:r>
      <w:r w:rsidR="005F3B9D" w:rsidRPr="00756C52">
        <w:rPr>
          <w:color w:val="000000" w:themeColor="text1"/>
        </w:rPr>
        <w:t>neither</w:t>
      </w:r>
      <w:r w:rsidR="00E83A02" w:rsidRPr="00756C52">
        <w:rPr>
          <w:color w:val="000000" w:themeColor="text1"/>
        </w:rPr>
        <w:t xml:space="preserve"> accepted the </w:t>
      </w:r>
      <w:r w:rsidR="00FE6B64" w:rsidRPr="00756C52">
        <w:rPr>
          <w:color w:val="000000" w:themeColor="text1"/>
        </w:rPr>
        <w:t xml:space="preserve">administrative </w:t>
      </w:r>
      <w:r w:rsidR="00E83A02" w:rsidRPr="00756C52">
        <w:rPr>
          <w:color w:val="000000" w:themeColor="text1"/>
        </w:rPr>
        <w:t xml:space="preserve">IEP </w:t>
      </w:r>
      <w:r w:rsidR="00FE6B64" w:rsidRPr="00756C52">
        <w:rPr>
          <w:color w:val="000000" w:themeColor="text1"/>
        </w:rPr>
        <w:t>which</w:t>
      </w:r>
      <w:r w:rsidR="00E83A02" w:rsidRPr="00756C52">
        <w:rPr>
          <w:color w:val="000000" w:themeColor="text1"/>
        </w:rPr>
        <w:t xml:space="preserve"> identif</w:t>
      </w:r>
      <w:r w:rsidR="00FE6B64" w:rsidRPr="00756C52">
        <w:rPr>
          <w:color w:val="000000" w:themeColor="text1"/>
        </w:rPr>
        <w:t>ied</w:t>
      </w:r>
      <w:r w:rsidR="00E83A02" w:rsidRPr="00756C52">
        <w:rPr>
          <w:color w:val="000000" w:themeColor="text1"/>
        </w:rPr>
        <w:t xml:space="preserve"> SEEM Collaborative as </w:t>
      </w:r>
      <w:r w:rsidR="00E83A02" w:rsidRPr="00756C52">
        <w:rPr>
          <w:color w:val="000000" w:themeColor="text1"/>
        </w:rPr>
        <w:lastRenderedPageBreak/>
        <w:t>Student’s placement</w:t>
      </w:r>
      <w:r w:rsidR="005F3B9D" w:rsidRPr="00756C52">
        <w:rPr>
          <w:color w:val="000000" w:themeColor="text1"/>
        </w:rPr>
        <w:t xml:space="preserve"> for 2021-2022</w:t>
      </w:r>
      <w:r w:rsidR="00E83A02" w:rsidRPr="00756C52">
        <w:rPr>
          <w:rStyle w:val="FootnoteReference"/>
          <w:color w:val="000000" w:themeColor="text1"/>
        </w:rPr>
        <w:footnoteReference w:id="27"/>
      </w:r>
      <w:r w:rsidR="00E83A02" w:rsidRPr="00756C52">
        <w:rPr>
          <w:color w:val="000000" w:themeColor="text1"/>
        </w:rPr>
        <w:t xml:space="preserve"> nor has </w:t>
      </w:r>
      <w:r w:rsidR="009A7136" w:rsidRPr="00756C52">
        <w:rPr>
          <w:color w:val="000000" w:themeColor="text1"/>
        </w:rPr>
        <w:t xml:space="preserve">Student </w:t>
      </w:r>
      <w:r w:rsidR="00C1346C" w:rsidRPr="00756C52">
        <w:rPr>
          <w:color w:val="000000" w:themeColor="text1"/>
        </w:rPr>
        <w:t>ever</w:t>
      </w:r>
      <w:r w:rsidR="009A7136" w:rsidRPr="00756C52">
        <w:rPr>
          <w:color w:val="000000" w:themeColor="text1"/>
        </w:rPr>
        <w:t xml:space="preserve"> attended SEEM Collaborative</w:t>
      </w:r>
      <w:r w:rsidR="00C1346C" w:rsidRPr="00756C52">
        <w:rPr>
          <w:color w:val="000000" w:themeColor="text1"/>
        </w:rPr>
        <w:t>.</w:t>
      </w:r>
      <w:r w:rsidR="00E83A02" w:rsidRPr="00756C52">
        <w:rPr>
          <w:rStyle w:val="FootnoteReference"/>
          <w:color w:val="000000" w:themeColor="text1"/>
        </w:rPr>
        <w:footnoteReference w:id="28"/>
      </w:r>
      <w:r w:rsidR="006444C9" w:rsidRPr="00756C52">
        <w:rPr>
          <w:color w:val="000000" w:themeColor="text1"/>
        </w:rPr>
        <w:t xml:space="preserve">  </w:t>
      </w:r>
      <w:r w:rsidR="00A876AD" w:rsidRPr="00756C52">
        <w:rPr>
          <w:color w:val="000000" w:themeColor="text1"/>
        </w:rPr>
        <w:t>SEEM Collaborative is neither the program “actually functioning” at the time that the present dispute arose nor the “operative placement” under which Student is actually receiving instruction, nor where Student has ever received instruction.</w:t>
      </w:r>
      <w:r w:rsidR="00A876AD" w:rsidRPr="00756C52">
        <w:rPr>
          <w:rStyle w:val="FootnoteReference"/>
          <w:color w:val="000000" w:themeColor="text1"/>
        </w:rPr>
        <w:footnoteReference w:id="29"/>
      </w:r>
      <w:r w:rsidR="00A876AD" w:rsidRPr="00756C52">
        <w:rPr>
          <w:color w:val="000000" w:themeColor="text1"/>
        </w:rPr>
        <w:t xml:space="preserve">  At this time, placement at SEEM Collaborative would be </w:t>
      </w:r>
      <w:r w:rsidR="004678AA">
        <w:rPr>
          <w:color w:val="000000" w:themeColor="text1"/>
        </w:rPr>
        <w:t>antithetical</w:t>
      </w:r>
      <w:r w:rsidR="00A876AD" w:rsidRPr="00756C52">
        <w:rPr>
          <w:color w:val="000000" w:themeColor="text1"/>
        </w:rPr>
        <w:t xml:space="preserve"> to the status quo, constituting, instead, a drastic change in Student’s educational career.</w:t>
      </w:r>
    </w:p>
    <w:p w14:paraId="2E3E2C14" w14:textId="77777777" w:rsidR="00156DCE" w:rsidRDefault="00156DCE">
      <w:pPr>
        <w:pBdr>
          <w:top w:val="nil"/>
          <w:left w:val="nil"/>
          <w:bottom w:val="nil"/>
          <w:right w:val="nil"/>
          <w:between w:val="nil"/>
        </w:pBdr>
        <w:rPr>
          <w:color w:val="000000" w:themeColor="text1"/>
        </w:rPr>
      </w:pPr>
    </w:p>
    <w:p w14:paraId="516C9477" w14:textId="77777777" w:rsidR="00156DCE" w:rsidRDefault="00E36A18">
      <w:pPr>
        <w:pBdr>
          <w:top w:val="nil"/>
          <w:left w:val="nil"/>
          <w:bottom w:val="nil"/>
          <w:right w:val="nil"/>
          <w:between w:val="nil"/>
        </w:pBdr>
        <w:rPr>
          <w:color w:val="000000" w:themeColor="text1"/>
        </w:rPr>
      </w:pPr>
      <w:r w:rsidRPr="00756C52">
        <w:rPr>
          <w:color w:val="000000" w:themeColor="text1"/>
        </w:rPr>
        <w:t xml:space="preserve">In addition, Parents and the District never agreed that SEEM Collaborative </w:t>
      </w:r>
      <w:r w:rsidR="007902BF" w:rsidRPr="00756C52">
        <w:rPr>
          <w:color w:val="000000" w:themeColor="text1"/>
        </w:rPr>
        <w:t>was</w:t>
      </w:r>
      <w:r w:rsidRPr="00756C52">
        <w:rPr>
          <w:color w:val="000000" w:themeColor="text1"/>
        </w:rPr>
        <w:t xml:space="preserve"> a</w:t>
      </w:r>
      <w:r w:rsidR="00B102B3" w:rsidRPr="00756C52">
        <w:rPr>
          <w:color w:val="000000" w:themeColor="text1"/>
        </w:rPr>
        <w:t>n</w:t>
      </w:r>
      <w:r w:rsidRPr="00756C52">
        <w:rPr>
          <w:color w:val="000000" w:themeColor="text1"/>
        </w:rPr>
        <w:t xml:space="preserve"> appropriate placement for Student</w:t>
      </w:r>
      <w:r w:rsidR="00060E08" w:rsidRPr="00756C52">
        <w:rPr>
          <w:rStyle w:val="FootnoteReference"/>
          <w:color w:val="000000" w:themeColor="text1"/>
        </w:rPr>
        <w:footnoteReference w:id="30"/>
      </w:r>
      <w:r w:rsidR="00B102B3" w:rsidRPr="00756C52">
        <w:rPr>
          <w:color w:val="000000" w:themeColor="text1"/>
        </w:rPr>
        <w:t xml:space="preserve">; </w:t>
      </w:r>
      <w:r w:rsidR="00060E08">
        <w:rPr>
          <w:color w:val="000000" w:themeColor="text1"/>
        </w:rPr>
        <w:t xml:space="preserve">in fact, </w:t>
      </w:r>
      <w:r w:rsidR="007902BF" w:rsidRPr="00756C52">
        <w:rPr>
          <w:color w:val="000000" w:themeColor="text1"/>
        </w:rPr>
        <w:t>the parties</w:t>
      </w:r>
      <w:r w:rsidR="00B102B3" w:rsidRPr="00756C52">
        <w:rPr>
          <w:color w:val="000000" w:themeColor="text1"/>
        </w:rPr>
        <w:t xml:space="preserve"> assert the opposite</w:t>
      </w:r>
      <w:r w:rsidR="007902BF" w:rsidRPr="00756C52">
        <w:rPr>
          <w:color w:val="000000" w:themeColor="text1"/>
        </w:rPr>
        <w:t xml:space="preserve"> in</w:t>
      </w:r>
      <w:r w:rsidR="00B239AB" w:rsidRPr="00756C52">
        <w:rPr>
          <w:color w:val="000000" w:themeColor="text1"/>
        </w:rPr>
        <w:t xml:space="preserve"> </w:t>
      </w:r>
      <w:r w:rsidR="00CB4354" w:rsidRPr="00756C52">
        <w:rPr>
          <w:color w:val="000000" w:themeColor="text1"/>
        </w:rPr>
        <w:t>Paragraph</w:t>
      </w:r>
      <w:r w:rsidR="00B239AB" w:rsidRPr="00756C52">
        <w:rPr>
          <w:color w:val="000000" w:themeColor="text1"/>
        </w:rPr>
        <w:t xml:space="preserve"> </w:t>
      </w:r>
      <w:r w:rsidR="00F7044F" w:rsidRPr="00756C52">
        <w:rPr>
          <w:color w:val="000000" w:themeColor="text1"/>
        </w:rPr>
        <w:t>11</w:t>
      </w:r>
      <w:r w:rsidR="007902BF" w:rsidRPr="00756C52">
        <w:rPr>
          <w:color w:val="000000" w:themeColor="text1"/>
        </w:rPr>
        <w:t xml:space="preserve"> of the Settlement Agreement, stating, </w:t>
      </w:r>
      <w:r w:rsidR="00F7044F" w:rsidRPr="00756C52">
        <w:rPr>
          <w:color w:val="000000" w:themeColor="text1"/>
        </w:rPr>
        <w:t xml:space="preserve">“This Agreement and the IEPs providing placement at the Out-of-District Program in accordance with Paragraphs 1 and 3 do not constitute an admission by either party that either The Out-of-District Program placement or the previously proposed in-district program constitutes the least restrictive, appropriate placement capable of assuring the provision of a free appropriate public education to Student.” </w:t>
      </w:r>
    </w:p>
    <w:p w14:paraId="08233AA9" w14:textId="77777777" w:rsidR="00156DCE" w:rsidRDefault="00156DCE">
      <w:pPr>
        <w:pBdr>
          <w:top w:val="nil"/>
          <w:left w:val="nil"/>
          <w:bottom w:val="nil"/>
          <w:right w:val="nil"/>
          <w:between w:val="nil"/>
        </w:pBdr>
        <w:rPr>
          <w:color w:val="000000" w:themeColor="text1"/>
        </w:rPr>
      </w:pPr>
    </w:p>
    <w:p w14:paraId="43E49E00" w14:textId="4311240C" w:rsidR="00A876AD" w:rsidRDefault="00DF6B22" w:rsidP="00A876AD">
      <w:pPr>
        <w:rPr>
          <w:color w:val="000000" w:themeColor="text1"/>
        </w:rPr>
      </w:pPr>
      <w:r w:rsidRPr="00756C52">
        <w:rPr>
          <w:color w:val="000000" w:themeColor="text1"/>
        </w:rPr>
        <w:t>The District relies on</w:t>
      </w:r>
      <w:r w:rsidR="00DB5979" w:rsidRPr="00756C52">
        <w:rPr>
          <w:color w:val="000000" w:themeColor="text1"/>
        </w:rPr>
        <w:t xml:space="preserve"> </w:t>
      </w:r>
      <w:r w:rsidR="00DB5979" w:rsidRPr="00756C52">
        <w:rPr>
          <w:i/>
          <w:iCs/>
          <w:color w:val="000000" w:themeColor="text1"/>
        </w:rPr>
        <w:t>In Re: Randolph Public Schools</w:t>
      </w:r>
      <w:r w:rsidR="00DB5979" w:rsidRPr="00756C52">
        <w:rPr>
          <w:color w:val="000000" w:themeColor="text1"/>
        </w:rPr>
        <w:t xml:space="preserve"> </w:t>
      </w:r>
      <w:r w:rsidR="00D5525F">
        <w:rPr>
          <w:color w:val="000000" w:themeColor="text1"/>
        </w:rPr>
        <w:t xml:space="preserve">in arguing that stay put attaches regardless of the time a student spends in a </w:t>
      </w:r>
      <w:r w:rsidR="004A5842">
        <w:rPr>
          <w:color w:val="000000" w:themeColor="text1"/>
        </w:rPr>
        <w:t>program and</w:t>
      </w:r>
      <w:r w:rsidR="004A5842" w:rsidRPr="00756C52">
        <w:rPr>
          <w:color w:val="000000" w:themeColor="text1"/>
        </w:rPr>
        <w:t xml:space="preserve"> that to find that SEEM Collaborative is not student’s stay put would in effect set aside a fully executed agreement.</w:t>
      </w:r>
      <w:r w:rsidR="004A5842" w:rsidRPr="00756C52">
        <w:rPr>
          <w:rStyle w:val="FootnoteReference"/>
          <w:color w:val="000000" w:themeColor="text1"/>
        </w:rPr>
        <w:footnoteReference w:id="31"/>
      </w:r>
      <w:r w:rsidR="004A5842">
        <w:rPr>
          <w:color w:val="000000" w:themeColor="text1"/>
        </w:rPr>
        <w:t xml:space="preserve"> I find the</w:t>
      </w:r>
      <w:r w:rsidR="004165FA">
        <w:rPr>
          <w:color w:val="000000" w:themeColor="text1"/>
        </w:rPr>
        <w:t>se</w:t>
      </w:r>
      <w:r w:rsidR="004A5842">
        <w:rPr>
          <w:color w:val="000000" w:themeColor="text1"/>
        </w:rPr>
        <w:t xml:space="preserve"> argument</w:t>
      </w:r>
      <w:r w:rsidR="009809F6">
        <w:rPr>
          <w:color w:val="000000" w:themeColor="text1"/>
        </w:rPr>
        <w:t>s</w:t>
      </w:r>
      <w:r w:rsidR="004A5842">
        <w:rPr>
          <w:color w:val="000000" w:themeColor="text1"/>
        </w:rPr>
        <w:t xml:space="preserve"> unpersuasive. </w:t>
      </w:r>
      <w:r w:rsidR="009809F6">
        <w:rPr>
          <w:color w:val="000000" w:themeColor="text1"/>
        </w:rPr>
        <w:t xml:space="preserve"> </w:t>
      </w:r>
      <w:r w:rsidR="00D5525F">
        <w:rPr>
          <w:color w:val="000000" w:themeColor="text1"/>
        </w:rPr>
        <w:t xml:space="preserve">In </w:t>
      </w:r>
      <w:r w:rsidR="00D5525F" w:rsidRPr="00756C52">
        <w:rPr>
          <w:i/>
          <w:iCs/>
          <w:color w:val="000000" w:themeColor="text1"/>
        </w:rPr>
        <w:t>In Re: Randolph Public Schools</w:t>
      </w:r>
      <w:r w:rsidR="00D5525F">
        <w:rPr>
          <w:color w:val="000000" w:themeColor="text1"/>
        </w:rPr>
        <w:t xml:space="preserve">, </w:t>
      </w:r>
      <w:r w:rsidR="00DB5979" w:rsidRPr="00756C52">
        <w:rPr>
          <w:color w:val="000000" w:themeColor="text1"/>
        </w:rPr>
        <w:t xml:space="preserve">Hearing Officer </w:t>
      </w:r>
      <w:r w:rsidR="00D5525F">
        <w:rPr>
          <w:color w:val="000000" w:themeColor="text1"/>
        </w:rPr>
        <w:t xml:space="preserve">Sara </w:t>
      </w:r>
      <w:r w:rsidR="00DB5979" w:rsidRPr="00756C52">
        <w:rPr>
          <w:color w:val="000000" w:themeColor="text1"/>
        </w:rPr>
        <w:t xml:space="preserve">Berman found that the Victor School, </w:t>
      </w:r>
      <w:r w:rsidR="00062D2F">
        <w:rPr>
          <w:color w:val="000000" w:themeColor="text1"/>
        </w:rPr>
        <w:t xml:space="preserve">a </w:t>
      </w:r>
      <w:r w:rsidR="00AA20C2">
        <w:rPr>
          <w:color w:val="000000" w:themeColor="text1"/>
        </w:rPr>
        <w:t>placement</w:t>
      </w:r>
      <w:r w:rsidR="00062D2F">
        <w:rPr>
          <w:color w:val="000000" w:themeColor="text1"/>
        </w:rPr>
        <w:t xml:space="preserve"> to which Parents agreed via a settlement agreement and a subsequently accepted IEP</w:t>
      </w:r>
      <w:r w:rsidR="00AA20C2">
        <w:rPr>
          <w:color w:val="000000" w:themeColor="text1"/>
        </w:rPr>
        <w:t xml:space="preserve">, was the student’s stay put placement even though </w:t>
      </w:r>
      <w:r w:rsidR="004165FA">
        <w:rPr>
          <w:color w:val="000000" w:themeColor="text1"/>
        </w:rPr>
        <w:t>the student had</w:t>
      </w:r>
      <w:r w:rsidR="00AA20C2">
        <w:rPr>
          <w:color w:val="000000" w:themeColor="text1"/>
        </w:rPr>
        <w:t xml:space="preserve"> only attended </w:t>
      </w:r>
      <w:r w:rsidR="004165FA">
        <w:rPr>
          <w:color w:val="000000" w:themeColor="text1"/>
        </w:rPr>
        <w:t>Victor</w:t>
      </w:r>
      <w:r w:rsidR="00AA20C2">
        <w:rPr>
          <w:color w:val="000000" w:themeColor="text1"/>
        </w:rPr>
        <w:t xml:space="preserve"> for a single day</w:t>
      </w:r>
      <w:r w:rsidRPr="00756C52">
        <w:rPr>
          <w:color w:val="000000" w:themeColor="text1"/>
        </w:rPr>
        <w:t>.</w:t>
      </w:r>
      <w:r w:rsidR="009977EC" w:rsidRPr="00756C52">
        <w:rPr>
          <w:color w:val="000000" w:themeColor="text1"/>
        </w:rPr>
        <w:t xml:space="preserve"> </w:t>
      </w:r>
      <w:r w:rsidR="001925EF" w:rsidRPr="00756C52">
        <w:rPr>
          <w:color w:val="000000" w:themeColor="text1"/>
        </w:rPr>
        <w:t>In contrast</w:t>
      </w:r>
      <w:r w:rsidR="00062D2F">
        <w:rPr>
          <w:color w:val="000000" w:themeColor="text1"/>
        </w:rPr>
        <w:t>, in th</w:t>
      </w:r>
      <w:r w:rsidR="009809F6">
        <w:rPr>
          <w:color w:val="000000" w:themeColor="text1"/>
        </w:rPr>
        <w:t>e instant matter</w:t>
      </w:r>
      <w:r w:rsidR="001925EF" w:rsidRPr="00756C52">
        <w:rPr>
          <w:color w:val="000000" w:themeColor="text1"/>
        </w:rPr>
        <w:t>,</w:t>
      </w:r>
      <w:r w:rsidR="00035AFA" w:rsidRPr="00756C52">
        <w:rPr>
          <w:color w:val="000000" w:themeColor="text1"/>
        </w:rPr>
        <w:t xml:space="preserve"> </w:t>
      </w:r>
      <w:r w:rsidR="00821265" w:rsidRPr="00756C52">
        <w:rPr>
          <w:color w:val="000000" w:themeColor="text1"/>
        </w:rPr>
        <w:t>Parent</w:t>
      </w:r>
      <w:r w:rsidR="00035AFA" w:rsidRPr="00756C52">
        <w:rPr>
          <w:color w:val="000000" w:themeColor="text1"/>
        </w:rPr>
        <w:t>s</w:t>
      </w:r>
      <w:r w:rsidR="00821265" w:rsidRPr="00756C52">
        <w:rPr>
          <w:color w:val="000000" w:themeColor="text1"/>
        </w:rPr>
        <w:t xml:space="preserve"> ha</w:t>
      </w:r>
      <w:r w:rsidR="00035AFA" w:rsidRPr="00756C52">
        <w:rPr>
          <w:color w:val="000000" w:themeColor="text1"/>
        </w:rPr>
        <w:t>ve</w:t>
      </w:r>
      <w:r w:rsidR="00821265" w:rsidRPr="00756C52">
        <w:rPr>
          <w:color w:val="000000" w:themeColor="text1"/>
        </w:rPr>
        <w:t xml:space="preserve"> yet to accept the</w:t>
      </w:r>
      <w:r w:rsidR="001976B4" w:rsidRPr="00756C52">
        <w:rPr>
          <w:color w:val="000000" w:themeColor="text1"/>
        </w:rPr>
        <w:t xml:space="preserve"> administrative</w:t>
      </w:r>
      <w:r w:rsidR="00821265" w:rsidRPr="00756C52">
        <w:rPr>
          <w:color w:val="000000" w:themeColor="text1"/>
        </w:rPr>
        <w:t xml:space="preserve"> IEP and placement at SEEM </w:t>
      </w:r>
      <w:r w:rsidR="00035AFA" w:rsidRPr="00756C52">
        <w:rPr>
          <w:color w:val="000000" w:themeColor="text1"/>
        </w:rPr>
        <w:t>Collaborative</w:t>
      </w:r>
      <w:r w:rsidR="0084117B" w:rsidRPr="00756C52">
        <w:rPr>
          <w:rStyle w:val="FootnoteReference"/>
          <w:color w:val="000000" w:themeColor="text1"/>
        </w:rPr>
        <w:footnoteReference w:id="32"/>
      </w:r>
      <w:r w:rsidR="00821265" w:rsidRPr="00756C52">
        <w:rPr>
          <w:color w:val="000000" w:themeColor="text1"/>
        </w:rPr>
        <w:t>; and</w:t>
      </w:r>
      <w:r w:rsidR="00F36475">
        <w:rPr>
          <w:color w:val="000000" w:themeColor="text1"/>
        </w:rPr>
        <w:t xml:space="preserve"> </w:t>
      </w:r>
      <w:r w:rsidR="00AE134C" w:rsidRPr="00756C52">
        <w:rPr>
          <w:color w:val="000000" w:themeColor="text1"/>
        </w:rPr>
        <w:t xml:space="preserve">Student has </w:t>
      </w:r>
      <w:r w:rsidR="001976B4" w:rsidRPr="00756C52">
        <w:rPr>
          <w:color w:val="000000" w:themeColor="text1"/>
        </w:rPr>
        <w:t>yet to</w:t>
      </w:r>
      <w:r w:rsidR="00AE134C" w:rsidRPr="00756C52">
        <w:rPr>
          <w:color w:val="000000" w:themeColor="text1"/>
        </w:rPr>
        <w:t xml:space="preserve"> set foot </w:t>
      </w:r>
      <w:r w:rsidR="004165FA">
        <w:rPr>
          <w:color w:val="000000" w:themeColor="text1"/>
        </w:rPr>
        <w:t>in</w:t>
      </w:r>
      <w:r w:rsidR="00AE134C" w:rsidRPr="00756C52">
        <w:rPr>
          <w:color w:val="000000" w:themeColor="text1"/>
        </w:rPr>
        <w:t xml:space="preserve"> SEEM Collaborative.</w:t>
      </w:r>
      <w:r w:rsidR="003966C7" w:rsidRPr="00756C52">
        <w:rPr>
          <w:rStyle w:val="FootnoteReference"/>
          <w:color w:val="000000" w:themeColor="text1"/>
        </w:rPr>
        <w:footnoteReference w:id="33"/>
      </w:r>
      <w:r w:rsidR="00AE134C" w:rsidRPr="00756C52">
        <w:rPr>
          <w:color w:val="000000" w:themeColor="text1"/>
        </w:rPr>
        <w:t xml:space="preserve"> </w:t>
      </w:r>
    </w:p>
    <w:p w14:paraId="40DFA3F9" w14:textId="77777777" w:rsidR="006D0BFF" w:rsidRPr="00756C52" w:rsidRDefault="006D0BFF" w:rsidP="00A876AD">
      <w:pPr>
        <w:rPr>
          <w:color w:val="000000" w:themeColor="text1"/>
        </w:rPr>
      </w:pPr>
    </w:p>
    <w:p w14:paraId="5992F383" w14:textId="253E8C22" w:rsidR="00796B57" w:rsidRPr="00756C52" w:rsidRDefault="006D0BFF">
      <w:pPr>
        <w:pBdr>
          <w:top w:val="nil"/>
          <w:left w:val="nil"/>
          <w:bottom w:val="nil"/>
          <w:right w:val="nil"/>
          <w:between w:val="nil"/>
        </w:pBdr>
        <w:rPr>
          <w:color w:val="000000" w:themeColor="text1"/>
        </w:rPr>
      </w:pPr>
      <w:r>
        <w:rPr>
          <w:color w:val="000000" w:themeColor="text1"/>
        </w:rPr>
        <w:t xml:space="preserve">Moreover, </w:t>
      </w:r>
      <w:r w:rsidR="007F53BD" w:rsidRPr="00756C52">
        <w:rPr>
          <w:color w:val="000000" w:themeColor="text1"/>
        </w:rPr>
        <w:t xml:space="preserve">although </w:t>
      </w:r>
      <w:r w:rsidR="003D576E" w:rsidRPr="00756C52">
        <w:rPr>
          <w:color w:val="000000" w:themeColor="text1"/>
        </w:rPr>
        <w:t>Student</w:t>
      </w:r>
      <w:r w:rsidR="007F53BD" w:rsidRPr="00756C52">
        <w:rPr>
          <w:color w:val="000000" w:themeColor="text1"/>
        </w:rPr>
        <w:t xml:space="preserve"> is currently attending RISE I, </w:t>
      </w:r>
      <w:r>
        <w:rPr>
          <w:color w:val="000000" w:themeColor="text1"/>
        </w:rPr>
        <w:t>this</w:t>
      </w:r>
      <w:r w:rsidR="007F53BD" w:rsidRPr="00756C52">
        <w:rPr>
          <w:color w:val="000000" w:themeColor="text1"/>
        </w:rPr>
        <w:t xml:space="preserve"> cannot be </w:t>
      </w:r>
      <w:r w:rsidR="003D576E" w:rsidRPr="00756C52">
        <w:rPr>
          <w:color w:val="000000" w:themeColor="text1"/>
        </w:rPr>
        <w:t>Student’s</w:t>
      </w:r>
      <w:r w:rsidR="007F53BD" w:rsidRPr="00756C52">
        <w:rPr>
          <w:color w:val="000000" w:themeColor="text1"/>
        </w:rPr>
        <w:t xml:space="preserve"> </w:t>
      </w:r>
      <w:r w:rsidR="004C793D" w:rsidRPr="00756C52">
        <w:rPr>
          <w:color w:val="000000" w:themeColor="text1"/>
        </w:rPr>
        <w:t>stay put placement</w:t>
      </w:r>
      <w:r w:rsidR="003D576E" w:rsidRPr="00756C52">
        <w:rPr>
          <w:color w:val="000000" w:themeColor="text1"/>
        </w:rPr>
        <w:t>.</w:t>
      </w:r>
      <w:r w:rsidR="001F1E4E" w:rsidRPr="00756C52">
        <w:rPr>
          <w:color w:val="000000" w:themeColor="text1"/>
        </w:rPr>
        <w:t xml:space="preserve"> </w:t>
      </w:r>
      <w:r w:rsidR="00B811D1" w:rsidRPr="00756C52">
        <w:rPr>
          <w:color w:val="000000" w:themeColor="text1"/>
        </w:rPr>
        <w:t xml:space="preserve"> </w:t>
      </w:r>
      <w:r w:rsidR="0032260F" w:rsidRPr="00756C52">
        <w:rPr>
          <w:color w:val="000000" w:themeColor="text1"/>
        </w:rPr>
        <w:t>603 CMR 28.05(2)(b)</w:t>
      </w:r>
      <w:r w:rsidR="002E7F1B" w:rsidRPr="00756C52">
        <w:rPr>
          <w:color w:val="000000" w:themeColor="text1"/>
        </w:rPr>
        <w:t>(</w:t>
      </w:r>
      <w:r w:rsidR="0032260F" w:rsidRPr="00756C52">
        <w:rPr>
          <w:color w:val="000000" w:themeColor="text1"/>
        </w:rPr>
        <w:t>5</w:t>
      </w:r>
      <w:r w:rsidR="002E7F1B" w:rsidRPr="00756C52">
        <w:rPr>
          <w:color w:val="000000" w:themeColor="text1"/>
        </w:rPr>
        <w:t>)</w:t>
      </w:r>
      <w:r w:rsidR="0032260F" w:rsidRPr="00756C52">
        <w:rPr>
          <w:color w:val="000000" w:themeColor="text1"/>
        </w:rPr>
        <w:t xml:space="preserve"> specifically states that an extended evaluation is not to be considered a “placement</w:t>
      </w:r>
      <w:r>
        <w:rPr>
          <w:color w:val="000000" w:themeColor="text1"/>
        </w:rPr>
        <w:t>.</w:t>
      </w:r>
      <w:r w:rsidR="0032260F" w:rsidRPr="00756C52">
        <w:rPr>
          <w:color w:val="000000" w:themeColor="text1"/>
        </w:rPr>
        <w:t>” Therefore, the normal procedural requirements relevant to a student’s educational placement (including stay put) do not apply to an extended evaluation.</w:t>
      </w:r>
      <w:r w:rsidR="0032260F" w:rsidRPr="00756C52">
        <w:rPr>
          <w:rStyle w:val="FootnoteReference"/>
          <w:color w:val="000000" w:themeColor="text1"/>
        </w:rPr>
        <w:footnoteReference w:id="34"/>
      </w:r>
      <w:r w:rsidR="0032260F" w:rsidRPr="00756C52">
        <w:rPr>
          <w:color w:val="000000" w:themeColor="text1"/>
        </w:rPr>
        <w:t xml:space="preserve"> Here, n</w:t>
      </w:r>
      <w:r w:rsidR="00B811D1" w:rsidRPr="00756C52">
        <w:rPr>
          <w:color w:val="000000" w:themeColor="text1"/>
        </w:rPr>
        <w:t xml:space="preserve">o IEP and placement page have identified RISE I as Student’s agreed upon placement. </w:t>
      </w:r>
      <w:r w:rsidR="0032260F" w:rsidRPr="00756C52">
        <w:rPr>
          <w:color w:val="000000" w:themeColor="text1"/>
        </w:rPr>
        <w:t xml:space="preserve">In fact, Parents have repeatedly rejected it as an appropriate placement for Student, </w:t>
      </w:r>
      <w:r w:rsidR="00607EBC" w:rsidRPr="00756C52">
        <w:rPr>
          <w:color w:val="000000" w:themeColor="text1"/>
        </w:rPr>
        <w:t>agreeing</w:t>
      </w:r>
      <w:r w:rsidR="0032260F" w:rsidRPr="00756C52">
        <w:rPr>
          <w:color w:val="000000" w:themeColor="text1"/>
        </w:rPr>
        <w:t xml:space="preserve"> to </w:t>
      </w:r>
      <w:r w:rsidR="004165FA">
        <w:rPr>
          <w:color w:val="000000" w:themeColor="text1"/>
        </w:rPr>
        <w:t>RISE I</w:t>
      </w:r>
      <w:r w:rsidR="0032260F" w:rsidRPr="00756C52">
        <w:rPr>
          <w:color w:val="000000" w:themeColor="text1"/>
        </w:rPr>
        <w:t xml:space="preserve"> </w:t>
      </w:r>
      <w:r w:rsidR="00607EBC" w:rsidRPr="00756C52">
        <w:rPr>
          <w:color w:val="000000" w:themeColor="text1"/>
        </w:rPr>
        <w:t xml:space="preserve">only for the purposes of </w:t>
      </w:r>
      <w:r w:rsidR="00B811D1" w:rsidRPr="00756C52">
        <w:rPr>
          <w:color w:val="000000" w:themeColor="text1"/>
        </w:rPr>
        <w:t>an extended evaluation</w:t>
      </w:r>
      <w:r w:rsidR="0032260F" w:rsidRPr="00756C52">
        <w:rPr>
          <w:color w:val="000000" w:themeColor="text1"/>
        </w:rPr>
        <w:t>.</w:t>
      </w:r>
      <w:r>
        <w:rPr>
          <w:color w:val="000000" w:themeColor="text1"/>
        </w:rPr>
        <w:t xml:space="preserve"> </w:t>
      </w:r>
      <w:r w:rsidR="0060526F">
        <w:rPr>
          <w:color w:val="000000" w:themeColor="text1"/>
        </w:rPr>
        <w:t xml:space="preserve">Although </w:t>
      </w:r>
      <w:r>
        <w:rPr>
          <w:color w:val="000000" w:themeColor="text1"/>
        </w:rPr>
        <w:t>Student</w:t>
      </w:r>
      <w:r w:rsidR="0060526F">
        <w:rPr>
          <w:color w:val="000000" w:themeColor="text1"/>
        </w:rPr>
        <w:t xml:space="preserve"> has been attending RISE I since the start </w:t>
      </w:r>
      <w:r w:rsidR="00F36475">
        <w:rPr>
          <w:color w:val="000000" w:themeColor="text1"/>
        </w:rPr>
        <w:t xml:space="preserve">of </w:t>
      </w:r>
      <w:r w:rsidR="0060526F">
        <w:rPr>
          <w:color w:val="000000" w:themeColor="text1"/>
        </w:rPr>
        <w:t xml:space="preserve">the 2021-2022 school year, the District acknowledges that this </w:t>
      </w:r>
      <w:r w:rsidR="00642944">
        <w:rPr>
          <w:color w:val="000000" w:themeColor="text1"/>
        </w:rPr>
        <w:t xml:space="preserve">arrangement </w:t>
      </w:r>
      <w:r w:rsidR="0060526F">
        <w:rPr>
          <w:color w:val="000000" w:themeColor="text1"/>
        </w:rPr>
        <w:t>was viewed as “temporary</w:t>
      </w:r>
      <w:r w:rsidR="00642944">
        <w:rPr>
          <w:color w:val="000000" w:themeColor="text1"/>
        </w:rPr>
        <w:t>.</w:t>
      </w:r>
      <w:r w:rsidR="0060526F">
        <w:rPr>
          <w:color w:val="000000" w:themeColor="text1"/>
        </w:rPr>
        <w:t>”</w:t>
      </w:r>
      <w:r w:rsidR="00642944">
        <w:rPr>
          <w:color w:val="000000" w:themeColor="text1"/>
        </w:rPr>
        <w:t xml:space="preserve">  </w:t>
      </w:r>
      <w:r w:rsidR="0032260F" w:rsidRPr="00756C52">
        <w:rPr>
          <w:color w:val="000000" w:themeColor="text1"/>
        </w:rPr>
        <w:t>Hence, RISE I cannot be Student’s stay put placement.</w:t>
      </w:r>
      <w:r w:rsidR="002E4B70" w:rsidRPr="00756C52">
        <w:rPr>
          <w:color w:val="000000" w:themeColor="text1"/>
        </w:rPr>
        <w:t xml:space="preserve"> </w:t>
      </w:r>
    </w:p>
    <w:p w14:paraId="6E8AE1DB" w14:textId="4B0B336E" w:rsidR="00C63F2B" w:rsidRPr="00756C52" w:rsidRDefault="00C63F2B">
      <w:pPr>
        <w:pBdr>
          <w:top w:val="nil"/>
          <w:left w:val="nil"/>
          <w:bottom w:val="nil"/>
          <w:right w:val="nil"/>
          <w:between w:val="nil"/>
        </w:pBdr>
        <w:rPr>
          <w:color w:val="000000" w:themeColor="text1"/>
        </w:rPr>
      </w:pPr>
      <w:bookmarkStart w:id="0" w:name="_gjdgxs" w:colFirst="0" w:colLast="0"/>
      <w:bookmarkEnd w:id="0"/>
    </w:p>
    <w:p w14:paraId="5A987319" w14:textId="6B92B9F5" w:rsidR="00C532E7" w:rsidRPr="00756C52" w:rsidRDefault="0032260F" w:rsidP="00040E77">
      <w:pPr>
        <w:pBdr>
          <w:top w:val="nil"/>
          <w:left w:val="nil"/>
          <w:bottom w:val="nil"/>
          <w:right w:val="nil"/>
          <w:between w:val="nil"/>
        </w:pBdr>
        <w:spacing w:line="259" w:lineRule="auto"/>
        <w:rPr>
          <w:color w:val="000000" w:themeColor="text1"/>
        </w:rPr>
      </w:pPr>
      <w:r w:rsidRPr="00756C52">
        <w:rPr>
          <w:color w:val="000000" w:themeColor="text1"/>
        </w:rPr>
        <w:t>Parents assert that LEA</w:t>
      </w:r>
      <w:r w:rsidR="009D5F9F" w:rsidRPr="00756C52">
        <w:rPr>
          <w:color w:val="000000" w:themeColor="text1"/>
        </w:rPr>
        <w:t>P</w:t>
      </w:r>
      <w:r w:rsidRPr="00756C52">
        <w:rPr>
          <w:color w:val="000000" w:themeColor="text1"/>
        </w:rPr>
        <w:t xml:space="preserve"> is </w:t>
      </w:r>
      <w:r w:rsidR="00AF656F" w:rsidRPr="00756C52">
        <w:rPr>
          <w:color w:val="000000" w:themeColor="text1"/>
        </w:rPr>
        <w:t>Student’s</w:t>
      </w:r>
      <w:r w:rsidRPr="00756C52">
        <w:rPr>
          <w:color w:val="000000" w:themeColor="text1"/>
        </w:rPr>
        <w:t xml:space="preserve"> stay put </w:t>
      </w:r>
      <w:r w:rsidR="009D5F9F" w:rsidRPr="00756C52">
        <w:rPr>
          <w:color w:val="000000" w:themeColor="text1"/>
        </w:rPr>
        <w:t>placement</w:t>
      </w:r>
      <w:r w:rsidRPr="00756C52">
        <w:rPr>
          <w:color w:val="000000" w:themeColor="text1"/>
        </w:rPr>
        <w:t xml:space="preserve">, as this was the </w:t>
      </w:r>
      <w:r w:rsidR="009D5F9F" w:rsidRPr="00756C52">
        <w:rPr>
          <w:color w:val="000000" w:themeColor="text1"/>
        </w:rPr>
        <w:t>placement</w:t>
      </w:r>
      <w:r w:rsidRPr="00756C52">
        <w:rPr>
          <w:color w:val="000000" w:themeColor="text1"/>
        </w:rPr>
        <w:t xml:space="preserve"> last agreed upon by the parties as appropriate for Student</w:t>
      </w:r>
      <w:r w:rsidR="00CC68C7">
        <w:rPr>
          <w:color w:val="000000" w:themeColor="text1"/>
        </w:rPr>
        <w:t xml:space="preserve"> via the </w:t>
      </w:r>
      <w:r w:rsidR="00CC68C7" w:rsidRPr="00756C52">
        <w:rPr>
          <w:color w:val="000000" w:themeColor="text1"/>
        </w:rPr>
        <w:t>IEP for the period 5/15/2018 to 5/14/2019</w:t>
      </w:r>
      <w:r w:rsidRPr="00756C52">
        <w:rPr>
          <w:color w:val="000000" w:themeColor="text1"/>
        </w:rPr>
        <w:t xml:space="preserve">. </w:t>
      </w:r>
      <w:r w:rsidR="00CC68C7">
        <w:rPr>
          <w:color w:val="000000" w:themeColor="text1"/>
        </w:rPr>
        <w:t>In addition,</w:t>
      </w:r>
      <w:r w:rsidR="00861EBF" w:rsidRPr="00756C52">
        <w:rPr>
          <w:color w:val="000000" w:themeColor="text1"/>
        </w:rPr>
        <w:t xml:space="preserve"> Parents have asserted stay put rights </w:t>
      </w:r>
      <w:r w:rsidR="00CC68C7">
        <w:rPr>
          <w:color w:val="000000" w:themeColor="text1"/>
        </w:rPr>
        <w:t xml:space="preserve">to LEAP </w:t>
      </w:r>
      <w:r w:rsidR="00861EBF" w:rsidRPr="00756C52">
        <w:rPr>
          <w:color w:val="000000" w:themeColor="text1"/>
        </w:rPr>
        <w:t>since May 2019</w:t>
      </w:r>
      <w:r w:rsidR="00A8649D">
        <w:rPr>
          <w:color w:val="000000" w:themeColor="text1"/>
        </w:rPr>
        <w:t>, as acknowledged by t</w:t>
      </w:r>
      <w:r w:rsidR="002F6BDB" w:rsidRPr="00756C52">
        <w:rPr>
          <w:color w:val="000000" w:themeColor="text1"/>
        </w:rPr>
        <w:t>he District</w:t>
      </w:r>
      <w:r w:rsidR="00A8649D">
        <w:rPr>
          <w:color w:val="000000" w:themeColor="text1"/>
        </w:rPr>
        <w:t xml:space="preserve"> in its</w:t>
      </w:r>
      <w:r w:rsidR="002F6BDB" w:rsidRPr="00756C52">
        <w:rPr>
          <w:color w:val="000000" w:themeColor="text1"/>
        </w:rPr>
        <w:t xml:space="preserve"> June 2019 Amendment to the IEP for the period beginning from 03/20/2019 to 3/19/2020. </w:t>
      </w:r>
      <w:r w:rsidR="00B354D4">
        <w:rPr>
          <w:color w:val="000000" w:themeColor="text1"/>
        </w:rPr>
        <w:t>The District continued to implement Student’s placement at LEAP save for Student’s tenure at RISE</w:t>
      </w:r>
      <w:r w:rsidR="004165FA">
        <w:rPr>
          <w:color w:val="000000" w:themeColor="text1"/>
        </w:rPr>
        <w:t xml:space="preserve"> I</w:t>
      </w:r>
      <w:r w:rsidR="00B354D4">
        <w:rPr>
          <w:color w:val="000000" w:themeColor="text1"/>
        </w:rPr>
        <w:t xml:space="preserve"> for the extended evaluation, and </w:t>
      </w:r>
      <w:r w:rsidR="002F6BDB" w:rsidRPr="00756C52">
        <w:rPr>
          <w:color w:val="000000" w:themeColor="text1"/>
        </w:rPr>
        <w:t xml:space="preserve">Parents </w:t>
      </w:r>
      <w:r w:rsidR="005828F8">
        <w:rPr>
          <w:color w:val="000000" w:themeColor="text1"/>
        </w:rPr>
        <w:t>have</w:t>
      </w:r>
      <w:r w:rsidR="002F6BDB" w:rsidRPr="00756C52">
        <w:rPr>
          <w:color w:val="000000" w:themeColor="text1"/>
        </w:rPr>
        <w:t xml:space="preserve"> not </w:t>
      </w:r>
      <w:r w:rsidR="00F36475">
        <w:rPr>
          <w:color w:val="000000" w:themeColor="text1"/>
        </w:rPr>
        <w:t xml:space="preserve">subsequently </w:t>
      </w:r>
      <w:r w:rsidR="002F6BDB" w:rsidRPr="00756C52">
        <w:rPr>
          <w:color w:val="000000" w:themeColor="text1"/>
        </w:rPr>
        <w:t>accept</w:t>
      </w:r>
      <w:r w:rsidR="005828F8">
        <w:rPr>
          <w:color w:val="000000" w:themeColor="text1"/>
        </w:rPr>
        <w:t>ed</w:t>
      </w:r>
      <w:r w:rsidR="002F6BDB" w:rsidRPr="00756C52">
        <w:rPr>
          <w:color w:val="000000" w:themeColor="text1"/>
        </w:rPr>
        <w:t xml:space="preserve"> any other IEP or placement.</w:t>
      </w:r>
      <w:r w:rsidR="000D2192" w:rsidRPr="00756C52">
        <w:rPr>
          <w:color w:val="000000" w:themeColor="text1"/>
        </w:rPr>
        <w:t xml:space="preserve"> Although the District asserts that Parents’ argument that LEAP is Student’s stay put placement is “disingenuous given the history of the Parents’ dissatisfaction with the LEAP Program</w:t>
      </w:r>
      <w:r w:rsidR="00B354D4">
        <w:rPr>
          <w:color w:val="000000" w:themeColor="text1"/>
        </w:rPr>
        <w:t>,</w:t>
      </w:r>
      <w:r w:rsidR="005828F8">
        <w:rPr>
          <w:color w:val="000000" w:themeColor="text1"/>
        </w:rPr>
        <w:t>”</w:t>
      </w:r>
      <w:r w:rsidR="00970E40" w:rsidRPr="00756C52">
        <w:rPr>
          <w:color w:val="000000" w:themeColor="text1"/>
        </w:rPr>
        <w:t xml:space="preserve"> the District’s</w:t>
      </w:r>
      <w:r w:rsidR="00360395" w:rsidRPr="00756C52">
        <w:rPr>
          <w:color w:val="000000" w:themeColor="text1"/>
        </w:rPr>
        <w:t xml:space="preserve"> argument </w:t>
      </w:r>
      <w:r w:rsidR="003D576E" w:rsidRPr="00756C52">
        <w:rPr>
          <w:color w:val="000000" w:themeColor="text1"/>
        </w:rPr>
        <w:t>is unpersuasive</w:t>
      </w:r>
      <w:r w:rsidR="00EC2441" w:rsidRPr="00756C52">
        <w:rPr>
          <w:color w:val="000000" w:themeColor="text1"/>
        </w:rPr>
        <w:t xml:space="preserve">. For </w:t>
      </w:r>
      <w:r w:rsidR="00BD7532" w:rsidRPr="00756C52">
        <w:rPr>
          <w:color w:val="000000" w:themeColor="text1"/>
        </w:rPr>
        <w:t xml:space="preserve">the </w:t>
      </w:r>
      <w:r w:rsidR="003D576E" w:rsidRPr="00756C52">
        <w:rPr>
          <w:color w:val="000000" w:themeColor="text1"/>
        </w:rPr>
        <w:t>purposes</w:t>
      </w:r>
      <w:r w:rsidR="00BD7532" w:rsidRPr="00756C52">
        <w:rPr>
          <w:color w:val="000000" w:themeColor="text1"/>
        </w:rPr>
        <w:t xml:space="preserve"> </w:t>
      </w:r>
      <w:r w:rsidR="00EC2441" w:rsidRPr="00756C52">
        <w:rPr>
          <w:color w:val="000000" w:themeColor="text1"/>
        </w:rPr>
        <w:t>of determining Student’s</w:t>
      </w:r>
      <w:r w:rsidR="00BD7532" w:rsidRPr="00756C52">
        <w:rPr>
          <w:color w:val="000000" w:themeColor="text1"/>
        </w:rPr>
        <w:t xml:space="preserve"> stay put</w:t>
      </w:r>
      <w:r w:rsidR="00EC2441" w:rsidRPr="00756C52">
        <w:rPr>
          <w:color w:val="000000" w:themeColor="text1"/>
        </w:rPr>
        <w:t xml:space="preserve"> placement</w:t>
      </w:r>
      <w:r w:rsidR="00BD7532" w:rsidRPr="00756C52">
        <w:rPr>
          <w:color w:val="000000" w:themeColor="text1"/>
        </w:rPr>
        <w:t xml:space="preserve">, the question before me is not whether the stay put program is currently appropriate but </w:t>
      </w:r>
      <w:r w:rsidR="00EC2441" w:rsidRPr="00756C52">
        <w:rPr>
          <w:color w:val="000000" w:themeColor="text1"/>
        </w:rPr>
        <w:t>rather</w:t>
      </w:r>
      <w:r w:rsidR="00BD7532" w:rsidRPr="00756C52">
        <w:rPr>
          <w:color w:val="000000" w:themeColor="text1"/>
        </w:rPr>
        <w:t xml:space="preserve"> whether this was the program last agreed upon as appropriate.</w:t>
      </w:r>
      <w:r w:rsidR="00EC2441" w:rsidRPr="00756C52">
        <w:rPr>
          <w:rStyle w:val="FootnoteReference"/>
          <w:color w:val="000000" w:themeColor="text1"/>
        </w:rPr>
        <w:footnoteReference w:id="35"/>
      </w:r>
      <w:r w:rsidR="00970E40" w:rsidRPr="00756C52">
        <w:rPr>
          <w:color w:val="000000" w:themeColor="text1"/>
        </w:rPr>
        <w:t xml:space="preserve"> </w:t>
      </w:r>
      <w:r w:rsidR="000D2192" w:rsidRPr="00756C52">
        <w:rPr>
          <w:color w:val="000000" w:themeColor="text1"/>
        </w:rPr>
        <w:t xml:space="preserve">Because </w:t>
      </w:r>
      <w:r w:rsidR="00970E40" w:rsidRPr="00756C52">
        <w:rPr>
          <w:color w:val="000000" w:themeColor="text1"/>
        </w:rPr>
        <w:t xml:space="preserve">LEAP is the last agreed upon </w:t>
      </w:r>
      <w:r w:rsidR="00341B9E" w:rsidRPr="00756C52">
        <w:rPr>
          <w:color w:val="000000" w:themeColor="text1"/>
        </w:rPr>
        <w:t xml:space="preserve">implemented </w:t>
      </w:r>
      <w:r w:rsidR="00AF656F" w:rsidRPr="00756C52">
        <w:rPr>
          <w:color w:val="000000" w:themeColor="text1"/>
        </w:rPr>
        <w:t>placement</w:t>
      </w:r>
      <w:r w:rsidR="00040E77" w:rsidRPr="00756C52">
        <w:rPr>
          <w:color w:val="000000" w:themeColor="text1"/>
        </w:rPr>
        <w:t>, it is also Student’s stay put program.</w:t>
      </w:r>
      <w:r w:rsidR="00341B9E" w:rsidRPr="00756C52">
        <w:rPr>
          <w:rStyle w:val="FootnoteReference"/>
          <w:color w:val="000000" w:themeColor="text1"/>
        </w:rPr>
        <w:footnoteReference w:id="36"/>
      </w:r>
    </w:p>
    <w:p w14:paraId="2584755A" w14:textId="77777777" w:rsidR="00C532E7" w:rsidRPr="00756C52" w:rsidRDefault="00C532E7">
      <w:pPr>
        <w:pBdr>
          <w:top w:val="nil"/>
          <w:left w:val="nil"/>
          <w:bottom w:val="nil"/>
          <w:right w:val="nil"/>
          <w:between w:val="nil"/>
        </w:pBdr>
        <w:rPr>
          <w:color w:val="000000" w:themeColor="text1"/>
          <w:u w:val="single"/>
        </w:rPr>
      </w:pPr>
    </w:p>
    <w:p w14:paraId="6596CD6B" w14:textId="77777777" w:rsidR="00C532E7" w:rsidRPr="00756C52" w:rsidRDefault="000D68F0">
      <w:pPr>
        <w:pBdr>
          <w:top w:val="nil"/>
          <w:left w:val="nil"/>
          <w:bottom w:val="nil"/>
          <w:right w:val="nil"/>
          <w:between w:val="nil"/>
        </w:pBdr>
        <w:rPr>
          <w:color w:val="000000" w:themeColor="text1"/>
        </w:rPr>
      </w:pPr>
      <w:r w:rsidRPr="00756C52">
        <w:rPr>
          <w:color w:val="000000" w:themeColor="text1"/>
          <w:u w:val="single"/>
        </w:rPr>
        <w:t>ORDER</w:t>
      </w:r>
    </w:p>
    <w:p w14:paraId="655365E6" w14:textId="77777777" w:rsidR="00C532E7" w:rsidRPr="00756C52" w:rsidRDefault="00C532E7">
      <w:pPr>
        <w:pBdr>
          <w:top w:val="nil"/>
          <w:left w:val="nil"/>
          <w:bottom w:val="nil"/>
          <w:right w:val="nil"/>
          <w:between w:val="nil"/>
        </w:pBdr>
        <w:rPr>
          <w:color w:val="000000" w:themeColor="text1"/>
        </w:rPr>
      </w:pPr>
    </w:p>
    <w:p w14:paraId="4B791533" w14:textId="39EE6765" w:rsidR="00C532E7" w:rsidRPr="00756C52" w:rsidRDefault="000D68F0">
      <w:pPr>
        <w:pBdr>
          <w:top w:val="nil"/>
          <w:left w:val="nil"/>
          <w:bottom w:val="nil"/>
          <w:right w:val="nil"/>
          <w:between w:val="nil"/>
        </w:pBdr>
        <w:rPr>
          <w:color w:val="000000" w:themeColor="text1"/>
        </w:rPr>
      </w:pPr>
      <w:r w:rsidRPr="00756C52">
        <w:rPr>
          <w:color w:val="000000" w:themeColor="text1"/>
        </w:rPr>
        <w:t xml:space="preserve">Parents’ </w:t>
      </w:r>
      <w:r w:rsidR="001B2142" w:rsidRPr="00825D90">
        <w:rPr>
          <w:i/>
          <w:iCs/>
          <w:color w:val="000000" w:themeColor="text1"/>
        </w:rPr>
        <w:t>Motion</w:t>
      </w:r>
      <w:r w:rsidR="001B2142" w:rsidRPr="00756C52">
        <w:rPr>
          <w:color w:val="000000" w:themeColor="text1"/>
        </w:rPr>
        <w:t xml:space="preserve"> is </w:t>
      </w:r>
      <w:r w:rsidR="00824A00" w:rsidRPr="00756C52">
        <w:rPr>
          <w:color w:val="000000" w:themeColor="text1"/>
        </w:rPr>
        <w:t>GRANTED</w:t>
      </w:r>
      <w:r w:rsidR="001B2142" w:rsidRPr="00756C52">
        <w:rPr>
          <w:color w:val="000000" w:themeColor="text1"/>
        </w:rPr>
        <w:t>.  LEAP is Student’s stay put placement during the pendency of this appeal.</w:t>
      </w:r>
      <w:r w:rsidRPr="00756C52">
        <w:rPr>
          <w:color w:val="000000" w:themeColor="text1"/>
        </w:rPr>
        <w:t xml:space="preserve"> </w:t>
      </w:r>
      <w:bookmarkStart w:id="1" w:name="30j0zll" w:colFirst="0" w:colLast="0"/>
      <w:bookmarkEnd w:id="1"/>
      <w:r w:rsidR="00B75C02" w:rsidRPr="00756C52">
        <w:rPr>
          <w:color w:val="000000" w:themeColor="text1"/>
        </w:rPr>
        <w:t xml:space="preserve"> </w:t>
      </w:r>
    </w:p>
    <w:p w14:paraId="464E3E89" w14:textId="77777777" w:rsidR="001B2142" w:rsidRPr="00756C52" w:rsidRDefault="001B2142" w:rsidP="00CF7E70">
      <w:pPr>
        <w:pBdr>
          <w:top w:val="nil"/>
          <w:left w:val="nil"/>
          <w:bottom w:val="nil"/>
          <w:right w:val="nil"/>
          <w:between w:val="nil"/>
        </w:pBdr>
        <w:rPr>
          <w:color w:val="000000" w:themeColor="text1"/>
        </w:rPr>
      </w:pPr>
    </w:p>
    <w:p w14:paraId="7F2F2DE6" w14:textId="2BB035A4" w:rsidR="00C532E7" w:rsidRPr="00756C52" w:rsidRDefault="00703108" w:rsidP="00CF7E70">
      <w:pPr>
        <w:pBdr>
          <w:top w:val="nil"/>
          <w:left w:val="nil"/>
          <w:bottom w:val="nil"/>
          <w:right w:val="nil"/>
          <w:between w:val="nil"/>
        </w:pBdr>
        <w:rPr>
          <w:color w:val="000000" w:themeColor="text1"/>
        </w:rPr>
      </w:pPr>
      <w:r w:rsidRPr="00756C52">
        <w:rPr>
          <w:color w:val="000000" w:themeColor="text1"/>
        </w:rPr>
        <w:t xml:space="preserve">The </w:t>
      </w:r>
      <w:r w:rsidR="00CF7E70" w:rsidRPr="00756C52">
        <w:rPr>
          <w:color w:val="000000" w:themeColor="text1"/>
        </w:rPr>
        <w:t xml:space="preserve">parties will participate in a conference call on </w:t>
      </w:r>
      <w:r w:rsidR="001B2142" w:rsidRPr="00756C52">
        <w:rPr>
          <w:color w:val="000000" w:themeColor="text1"/>
        </w:rPr>
        <w:t>November</w:t>
      </w:r>
      <w:r w:rsidR="00824A00" w:rsidRPr="00756C52">
        <w:rPr>
          <w:color w:val="000000" w:themeColor="text1"/>
        </w:rPr>
        <w:t xml:space="preserve"> 9, 2021 at 9:00AM</w:t>
      </w:r>
      <w:r w:rsidR="00CF7E70" w:rsidRPr="00756C52">
        <w:rPr>
          <w:color w:val="000000" w:themeColor="text1"/>
        </w:rPr>
        <w:t xml:space="preserve"> to discuss the remaining issues for Hearing.  </w:t>
      </w:r>
      <w:r w:rsidR="00824A00" w:rsidRPr="00756C52">
        <w:rPr>
          <w:color w:val="000000" w:themeColor="text1"/>
        </w:rPr>
        <w:t>The Parties should inform the Hearing Officer of their preferred contact information for the purposes of said conference call</w:t>
      </w:r>
      <w:r w:rsidR="009B5C4F" w:rsidRPr="00756C52">
        <w:rPr>
          <w:color w:val="000000" w:themeColor="text1"/>
        </w:rPr>
        <w:t>.</w:t>
      </w:r>
    </w:p>
    <w:p w14:paraId="4917B2AB" w14:textId="77777777" w:rsidR="00CF7E70" w:rsidRPr="00756C52" w:rsidRDefault="00CF7E70" w:rsidP="00CF7E70">
      <w:pPr>
        <w:pBdr>
          <w:top w:val="nil"/>
          <w:left w:val="nil"/>
          <w:bottom w:val="nil"/>
          <w:right w:val="nil"/>
          <w:between w:val="nil"/>
        </w:pBdr>
        <w:rPr>
          <w:color w:val="000000" w:themeColor="text1"/>
        </w:rPr>
      </w:pPr>
    </w:p>
    <w:p w14:paraId="5000D1BB" w14:textId="77777777" w:rsidR="00C532E7" w:rsidRPr="00756C52" w:rsidRDefault="000D68F0">
      <w:pPr>
        <w:rPr>
          <w:color w:val="000000" w:themeColor="text1"/>
        </w:rPr>
      </w:pPr>
      <w:r w:rsidRPr="00756C52">
        <w:rPr>
          <w:color w:val="000000" w:themeColor="text1"/>
        </w:rPr>
        <w:t>By the Hearing Officer,</w:t>
      </w:r>
    </w:p>
    <w:p w14:paraId="4A7AD278" w14:textId="77777777" w:rsidR="00C532E7" w:rsidRPr="00756C52" w:rsidRDefault="00C532E7">
      <w:pPr>
        <w:rPr>
          <w:color w:val="000000" w:themeColor="text1"/>
        </w:rPr>
      </w:pPr>
    </w:p>
    <w:p w14:paraId="5FD1DD43" w14:textId="52C83A0C" w:rsidR="00824A00" w:rsidRPr="00756C52" w:rsidRDefault="000D68F0">
      <w:pPr>
        <w:rPr>
          <w:i/>
          <w:iCs/>
          <w:color w:val="000000" w:themeColor="text1"/>
          <w:u w:val="single"/>
        </w:rPr>
      </w:pPr>
      <w:r w:rsidRPr="00756C52">
        <w:rPr>
          <w:color w:val="000000" w:themeColor="text1"/>
          <w:u w:val="single"/>
        </w:rPr>
        <w:t>/s/</w:t>
      </w:r>
      <w:r w:rsidR="00824A00" w:rsidRPr="00756C52">
        <w:rPr>
          <w:color w:val="000000" w:themeColor="text1"/>
          <w:u w:val="single"/>
        </w:rPr>
        <w:t xml:space="preserve"> </w:t>
      </w:r>
      <w:r w:rsidRPr="00756C52">
        <w:rPr>
          <w:i/>
          <w:iCs/>
          <w:color w:val="000000" w:themeColor="text1"/>
          <w:u w:val="single"/>
        </w:rPr>
        <w:t>Alina Kantor Nir</w:t>
      </w:r>
    </w:p>
    <w:p w14:paraId="5C0EF206" w14:textId="2FCFD26C" w:rsidR="00C532E7" w:rsidRPr="00756C52" w:rsidRDefault="00824A00">
      <w:pPr>
        <w:rPr>
          <w:color w:val="000000" w:themeColor="text1"/>
        </w:rPr>
      </w:pPr>
      <w:r w:rsidRPr="00756C52">
        <w:rPr>
          <w:color w:val="000000" w:themeColor="text1"/>
        </w:rPr>
        <w:t xml:space="preserve"> </w:t>
      </w:r>
    </w:p>
    <w:p w14:paraId="688ABF9A" w14:textId="63258F93" w:rsidR="00824A00" w:rsidRPr="00756C52" w:rsidRDefault="00824A00">
      <w:pPr>
        <w:rPr>
          <w:color w:val="000000" w:themeColor="text1"/>
        </w:rPr>
      </w:pPr>
      <w:r w:rsidRPr="00756C52">
        <w:rPr>
          <w:color w:val="000000" w:themeColor="text1"/>
        </w:rPr>
        <w:t>Alina Kantor Nir, Hearing Officer</w:t>
      </w:r>
    </w:p>
    <w:p w14:paraId="4467BAE1" w14:textId="703E9CFC" w:rsidR="00C532E7" w:rsidRPr="00756C52" w:rsidRDefault="00824A00">
      <w:pPr>
        <w:rPr>
          <w:color w:val="000000" w:themeColor="text1"/>
        </w:rPr>
      </w:pPr>
      <w:r w:rsidRPr="00756C52">
        <w:rPr>
          <w:color w:val="000000" w:themeColor="text1"/>
        </w:rPr>
        <w:t xml:space="preserve">November </w:t>
      </w:r>
      <w:r w:rsidR="00825D90">
        <w:rPr>
          <w:color w:val="000000" w:themeColor="text1"/>
        </w:rPr>
        <w:t>3</w:t>
      </w:r>
      <w:r w:rsidRPr="00756C52">
        <w:rPr>
          <w:color w:val="000000" w:themeColor="text1"/>
        </w:rPr>
        <w:t>, 2021</w:t>
      </w:r>
    </w:p>
    <w:p w14:paraId="5A791663" w14:textId="77777777" w:rsidR="00C532E7" w:rsidRPr="00756C52" w:rsidRDefault="00C532E7">
      <w:pPr>
        <w:rPr>
          <w:color w:val="000000" w:themeColor="text1"/>
        </w:rPr>
      </w:pPr>
    </w:p>
    <w:p w14:paraId="725CCD32" w14:textId="77777777" w:rsidR="00C532E7" w:rsidRPr="00756C52" w:rsidRDefault="00C532E7">
      <w:pPr>
        <w:rPr>
          <w:color w:val="000000" w:themeColor="text1"/>
        </w:rPr>
      </w:pPr>
    </w:p>
    <w:sectPr w:rsidR="00C532E7" w:rsidRPr="00756C5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0296" w14:textId="77777777" w:rsidR="00D33E23" w:rsidRDefault="00D33E23">
      <w:r>
        <w:separator/>
      </w:r>
    </w:p>
  </w:endnote>
  <w:endnote w:type="continuationSeparator" w:id="0">
    <w:p w14:paraId="75D4410E" w14:textId="77777777" w:rsidR="00D33E23" w:rsidRDefault="00D3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058B" w14:textId="77777777" w:rsidR="00C532E7" w:rsidRDefault="000D68F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76FDE">
      <w:rPr>
        <w:rFonts w:ascii="Calibri" w:eastAsia="Calibri" w:hAnsi="Calibri" w:cs="Calibri"/>
        <w:noProof/>
        <w:color w:val="000000"/>
        <w:sz w:val="22"/>
        <w:szCs w:val="22"/>
      </w:rPr>
      <w:t>12</w:t>
    </w:r>
    <w:r>
      <w:rPr>
        <w:rFonts w:ascii="Calibri" w:eastAsia="Calibri" w:hAnsi="Calibri" w:cs="Calibri"/>
        <w:color w:val="000000"/>
        <w:sz w:val="22"/>
        <w:szCs w:val="22"/>
      </w:rPr>
      <w:fldChar w:fldCharType="end"/>
    </w:r>
  </w:p>
  <w:p w14:paraId="37A4858E" w14:textId="77777777" w:rsidR="00C532E7" w:rsidRDefault="00C532E7">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A112" w14:textId="77777777" w:rsidR="00D33E23" w:rsidRDefault="00D33E23">
      <w:r>
        <w:separator/>
      </w:r>
    </w:p>
  </w:footnote>
  <w:footnote w:type="continuationSeparator" w:id="0">
    <w:p w14:paraId="07B4FD16" w14:textId="77777777" w:rsidR="00D33E23" w:rsidRDefault="00D33E23">
      <w:r>
        <w:continuationSeparator/>
      </w:r>
    </w:p>
  </w:footnote>
  <w:footnote w:id="1">
    <w:p w14:paraId="6766440F" w14:textId="77777777" w:rsidR="00490119" w:rsidRPr="00597432" w:rsidRDefault="00490119" w:rsidP="00490119">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See BSEA Hearing Rule VI D.</w:t>
      </w:r>
    </w:p>
  </w:footnote>
  <w:footnote w:id="2">
    <w:p w14:paraId="4D2C8527" w14:textId="79792CF6" w:rsidR="00AD2CC7" w:rsidRPr="00597432" w:rsidRDefault="00AD2CC7">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Although the N1 refers to RISE I, a subsequent letter from the District clarifies that the reference was in error</w:t>
      </w:r>
      <w:r w:rsidR="00F630D7" w:rsidRPr="00597432">
        <w:rPr>
          <w:rFonts w:ascii="Times New Roman" w:hAnsi="Times New Roman" w:cs="Times New Roman"/>
          <w:color w:val="000000" w:themeColor="text1"/>
        </w:rPr>
        <w:t xml:space="preserve"> and should have been to RISE II.</w:t>
      </w:r>
    </w:p>
  </w:footnote>
  <w:footnote w:id="3">
    <w:p w14:paraId="078945AF" w14:textId="456E36A8" w:rsidR="009620B5" w:rsidRPr="00597432" w:rsidRDefault="009620B5">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On November 1, 2021, counsel for the District explained </w:t>
      </w:r>
      <w:r w:rsidR="004A159C" w:rsidRPr="00597432">
        <w:rPr>
          <w:rFonts w:ascii="Times New Roman" w:hAnsi="Times New Roman" w:cs="Times New Roman"/>
          <w:color w:val="000000" w:themeColor="text1"/>
        </w:rPr>
        <w:t xml:space="preserve">via email </w:t>
      </w:r>
      <w:r w:rsidRPr="00597432">
        <w:rPr>
          <w:rFonts w:ascii="Times New Roman" w:hAnsi="Times New Roman" w:cs="Times New Roman"/>
          <w:color w:val="000000" w:themeColor="text1"/>
        </w:rPr>
        <w:t xml:space="preserve">as follows: </w:t>
      </w:r>
    </w:p>
    <w:p w14:paraId="42D35DAB" w14:textId="3406FD3B" w:rsidR="009620B5" w:rsidRPr="00597432" w:rsidRDefault="009620B5" w:rsidP="009620B5">
      <w:pPr>
        <w:ind w:left="1440"/>
        <w:rPr>
          <w:color w:val="000000" w:themeColor="text1"/>
          <w:sz w:val="20"/>
          <w:szCs w:val="20"/>
        </w:rPr>
      </w:pPr>
      <w:r w:rsidRPr="00597432">
        <w:rPr>
          <w:color w:val="000000" w:themeColor="text1"/>
          <w:sz w:val="20"/>
          <w:szCs w:val="20"/>
          <w:shd w:val="clear" w:color="auto" w:fill="FFFFFF"/>
        </w:rPr>
        <w:t xml:space="preserve">On the first day of school when the student arrived, the principal was not planning for him to be in the building as the expectation was that he was going to SEEM.  The assistant principal and special education director met with the student.  The student was asked if he would be more comfortable with the peers in RISE 1 or RISE 2 and we talked about the schedules. He stated he could go either way.  </w:t>
      </w:r>
      <w:r w:rsidR="004A159C" w:rsidRPr="00597432">
        <w:rPr>
          <w:color w:val="000000" w:themeColor="text1"/>
          <w:sz w:val="20"/>
          <w:szCs w:val="20"/>
          <w:shd w:val="clear" w:color="auto" w:fill="FFFFFF"/>
        </w:rPr>
        <w:t>[The District]</w:t>
      </w:r>
      <w:r w:rsidRPr="00597432">
        <w:rPr>
          <w:color w:val="000000" w:themeColor="text1"/>
          <w:sz w:val="20"/>
          <w:szCs w:val="20"/>
          <w:shd w:val="clear" w:color="auto" w:fill="FFFFFF"/>
        </w:rPr>
        <w:t xml:space="preserve"> tried to make a student-centered decision and also communicated the same with the parent.  </w:t>
      </w:r>
      <w:r w:rsidR="004A159C" w:rsidRPr="00597432">
        <w:rPr>
          <w:color w:val="000000" w:themeColor="text1"/>
          <w:sz w:val="20"/>
          <w:szCs w:val="20"/>
          <w:shd w:val="clear" w:color="auto" w:fill="FFFFFF"/>
        </w:rPr>
        <w:t>[This was viewed]</w:t>
      </w:r>
      <w:r w:rsidRPr="00597432">
        <w:rPr>
          <w:color w:val="000000" w:themeColor="text1"/>
          <w:sz w:val="20"/>
          <w:szCs w:val="20"/>
          <w:shd w:val="clear" w:color="auto" w:fill="FFFFFF"/>
        </w:rPr>
        <w:t xml:space="preserve"> as temporary given that he was to be at SEEM per the agreement and did not do anything formally.</w:t>
      </w:r>
    </w:p>
  </w:footnote>
  <w:footnote w:id="4">
    <w:p w14:paraId="59C76434" w14:textId="6AD4998C" w:rsidR="00C532E7" w:rsidRPr="00597432" w:rsidRDefault="000D68F0">
      <w:pPr>
        <w:pBdr>
          <w:top w:val="nil"/>
          <w:left w:val="nil"/>
          <w:bottom w:val="nil"/>
          <w:right w:val="nil"/>
          <w:between w:val="nil"/>
        </w:pBdr>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w:t>
      </w:r>
      <w:r w:rsidR="002E5480" w:rsidRPr="00597432">
        <w:rPr>
          <w:color w:val="000000" w:themeColor="text1"/>
          <w:sz w:val="20"/>
          <w:szCs w:val="20"/>
        </w:rPr>
        <w:t xml:space="preserve">34 CFR 300.518(a); </w:t>
      </w:r>
      <w:r w:rsidRPr="00597432">
        <w:rPr>
          <w:color w:val="000000" w:themeColor="text1"/>
          <w:sz w:val="20"/>
          <w:szCs w:val="20"/>
        </w:rPr>
        <w:t>20 U.S.C. §1415(j); 34 CFR §300.514;</w:t>
      </w:r>
      <w:r w:rsidR="005F4C42" w:rsidRPr="00597432">
        <w:rPr>
          <w:color w:val="000000" w:themeColor="text1"/>
          <w:sz w:val="20"/>
          <w:szCs w:val="20"/>
        </w:rPr>
        <w:t xml:space="preserve"> 603 CMR 28.08(7); </w:t>
      </w:r>
      <w:r w:rsidR="00451B59" w:rsidRPr="00597432">
        <w:rPr>
          <w:i/>
          <w:color w:val="000000" w:themeColor="text1"/>
          <w:sz w:val="20"/>
          <w:szCs w:val="20"/>
        </w:rPr>
        <w:t>Honig v. Doe</w:t>
      </w:r>
      <w:r w:rsidR="00451B59" w:rsidRPr="00597432">
        <w:rPr>
          <w:color w:val="000000" w:themeColor="text1"/>
          <w:sz w:val="20"/>
          <w:szCs w:val="20"/>
        </w:rPr>
        <w:t xml:space="preserve">, 484 U.S. 305, 325 (1988); </w:t>
      </w:r>
      <w:r w:rsidR="005F4C42" w:rsidRPr="00597432">
        <w:rPr>
          <w:i/>
          <w:color w:val="000000" w:themeColor="text1"/>
          <w:sz w:val="20"/>
          <w:szCs w:val="20"/>
        </w:rPr>
        <w:t>Verhoven v. Brunswick School Committee</w:t>
      </w:r>
      <w:r w:rsidR="005F4C42" w:rsidRPr="00597432">
        <w:rPr>
          <w:color w:val="000000" w:themeColor="text1"/>
          <w:sz w:val="20"/>
          <w:szCs w:val="20"/>
        </w:rPr>
        <w:t>, 207 F.3d 1, 10 (1st Cir. 1999); </w:t>
      </w:r>
      <w:r w:rsidR="005F4C42" w:rsidRPr="00597432">
        <w:rPr>
          <w:i/>
          <w:color w:val="000000" w:themeColor="text1"/>
          <w:sz w:val="20"/>
          <w:szCs w:val="20"/>
        </w:rPr>
        <w:t>M.R. and J.R. v. Ridley School District</w:t>
      </w:r>
      <w:r w:rsidR="005F4C42" w:rsidRPr="00597432">
        <w:rPr>
          <w:color w:val="000000" w:themeColor="text1"/>
          <w:sz w:val="20"/>
          <w:szCs w:val="20"/>
        </w:rPr>
        <w:t>, 744 F.3d 112, 117 (3d Cir. 2014)</w:t>
      </w:r>
      <w:r w:rsidR="00451B59" w:rsidRPr="00597432">
        <w:rPr>
          <w:color w:val="000000" w:themeColor="text1"/>
          <w:sz w:val="20"/>
          <w:szCs w:val="20"/>
        </w:rPr>
        <w:t xml:space="preserve">; </w:t>
      </w:r>
      <w:r w:rsidRPr="00597432">
        <w:rPr>
          <w:i/>
          <w:color w:val="000000" w:themeColor="text1"/>
          <w:sz w:val="20"/>
          <w:szCs w:val="20"/>
        </w:rPr>
        <w:t>In Re: Framingham Public Schools and Quin</w:t>
      </w:r>
      <w:r w:rsidRPr="00597432">
        <w:rPr>
          <w:color w:val="000000" w:themeColor="text1"/>
          <w:sz w:val="20"/>
          <w:szCs w:val="20"/>
        </w:rPr>
        <w:t>, BSEA</w:t>
      </w:r>
      <w:r w:rsidRPr="00597432">
        <w:rPr>
          <w:b/>
          <w:color w:val="000000" w:themeColor="text1"/>
          <w:sz w:val="20"/>
          <w:szCs w:val="20"/>
        </w:rPr>
        <w:t> #</w:t>
      </w:r>
      <w:r w:rsidRPr="00597432">
        <w:rPr>
          <w:color w:val="000000" w:themeColor="text1"/>
          <w:sz w:val="20"/>
          <w:szCs w:val="20"/>
        </w:rPr>
        <w:t xml:space="preserve">1605247, 22 MSER 12 (Reichbach, 2016); </w:t>
      </w:r>
      <w:r w:rsidRPr="00597432">
        <w:rPr>
          <w:i/>
          <w:color w:val="000000" w:themeColor="text1"/>
          <w:sz w:val="20"/>
          <w:szCs w:val="20"/>
        </w:rPr>
        <w:t>In Re: Abington Public Schools</w:t>
      </w:r>
      <w:r w:rsidRPr="00597432">
        <w:rPr>
          <w:color w:val="000000" w:themeColor="text1"/>
          <w:sz w:val="20"/>
          <w:szCs w:val="20"/>
        </w:rPr>
        <w:t>, BSEA # 1407763, 20 MSER 198 (Figueroa, 2014).</w:t>
      </w:r>
    </w:p>
  </w:footnote>
  <w:footnote w:id="5">
    <w:p w14:paraId="515C0DDC" w14:textId="6C6AAD84" w:rsidR="00C532E7" w:rsidRPr="00597432" w:rsidRDefault="000D68F0">
      <w:pPr>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w:t>
      </w:r>
      <w:r w:rsidRPr="00597432">
        <w:rPr>
          <w:iCs/>
          <w:color w:val="000000" w:themeColor="text1"/>
          <w:sz w:val="20"/>
          <w:szCs w:val="20"/>
        </w:rPr>
        <w:t>See</w:t>
      </w:r>
      <w:r w:rsidRPr="00597432">
        <w:rPr>
          <w:i/>
          <w:color w:val="000000" w:themeColor="text1"/>
          <w:sz w:val="20"/>
          <w:szCs w:val="20"/>
        </w:rPr>
        <w:t xml:space="preserve"> Doe </w:t>
      </w:r>
      <w:r w:rsidRPr="00597432">
        <w:rPr>
          <w:color w:val="000000" w:themeColor="text1"/>
          <w:sz w:val="20"/>
          <w:szCs w:val="20"/>
        </w:rPr>
        <w:t>v.</w:t>
      </w:r>
      <w:r w:rsidRPr="00597432">
        <w:rPr>
          <w:i/>
          <w:color w:val="000000" w:themeColor="text1"/>
          <w:sz w:val="20"/>
          <w:szCs w:val="20"/>
        </w:rPr>
        <w:t xml:space="preserve"> Brookline School Committee</w:t>
      </w:r>
      <w:r w:rsidRPr="00597432">
        <w:rPr>
          <w:color w:val="000000" w:themeColor="text1"/>
          <w:sz w:val="20"/>
          <w:szCs w:val="20"/>
        </w:rPr>
        <w:t>, 722 F.2d 910, 918 (1st Cir. 1983) (“</w:t>
      </w:r>
      <w:r w:rsidRPr="00597432">
        <w:rPr>
          <w:color w:val="000000" w:themeColor="text1"/>
          <w:sz w:val="20"/>
          <w:szCs w:val="20"/>
          <w:highlight w:val="white"/>
        </w:rPr>
        <w:t>We therefore join the Seventh Circuit in its view that (e)(3) establishes a strong preference, but not a statutory duty, for maintenance of the status quo .</w:t>
      </w:r>
      <w:r w:rsidRPr="00597432">
        <w:rPr>
          <w:i/>
          <w:color w:val="000000" w:themeColor="text1"/>
          <w:sz w:val="20"/>
          <w:szCs w:val="20"/>
          <w:highlight w:val="white"/>
        </w:rPr>
        <w:t xml:space="preserve">… </w:t>
      </w:r>
      <w:r w:rsidRPr="00597432">
        <w:rPr>
          <w:color w:val="000000" w:themeColor="text1"/>
          <w:sz w:val="20"/>
          <w:szCs w:val="20"/>
          <w:highlight w:val="white"/>
        </w:rPr>
        <w:t>We do not believe Congress intended to freeze an arguably inappropriate placement and program for the three to five years of review proceedings. To construe (e)(3) in this manner would thwart the express central goal of the Act: provision of a free </w:t>
      </w:r>
      <w:r w:rsidRPr="00597432">
        <w:rPr>
          <w:i/>
          <w:color w:val="000000" w:themeColor="text1"/>
          <w:sz w:val="20"/>
          <w:szCs w:val="20"/>
          <w:highlight w:val="white"/>
        </w:rPr>
        <w:t>appropriate</w:t>
      </w:r>
      <w:r w:rsidRPr="00597432">
        <w:rPr>
          <w:color w:val="000000" w:themeColor="text1"/>
          <w:sz w:val="20"/>
          <w:szCs w:val="20"/>
          <w:highlight w:val="white"/>
        </w:rPr>
        <w:t> education to disabled children”) (internal citations omitted </w:t>
      </w:r>
    </w:p>
  </w:footnote>
  <w:footnote w:id="6">
    <w:p w14:paraId="538C8B22" w14:textId="0DD88702" w:rsidR="00C532E7" w:rsidRPr="00597432" w:rsidRDefault="000D68F0">
      <w:pPr>
        <w:pBdr>
          <w:top w:val="nil"/>
          <w:left w:val="nil"/>
          <w:bottom w:val="nil"/>
          <w:right w:val="nil"/>
          <w:between w:val="nil"/>
        </w:pBdr>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w:t>
      </w:r>
      <w:r w:rsidRPr="00597432">
        <w:rPr>
          <w:i/>
          <w:color w:val="000000" w:themeColor="text1"/>
          <w:sz w:val="20"/>
          <w:szCs w:val="20"/>
        </w:rPr>
        <w:t>Student &amp; Concord &amp; Natick Public Schools</w:t>
      </w:r>
      <w:r w:rsidRPr="00597432">
        <w:rPr>
          <w:color w:val="000000" w:themeColor="text1"/>
          <w:sz w:val="20"/>
          <w:szCs w:val="20"/>
        </w:rPr>
        <w:t>, BSEA #18-00182, 23 MSER 210 (</w:t>
      </w:r>
      <w:r w:rsidR="00167A42" w:rsidRPr="00597432">
        <w:rPr>
          <w:color w:val="000000" w:themeColor="text1"/>
          <w:sz w:val="20"/>
          <w:szCs w:val="20"/>
        </w:rPr>
        <w:t xml:space="preserve">Berman, </w:t>
      </w:r>
      <w:r w:rsidRPr="00597432">
        <w:rPr>
          <w:color w:val="000000" w:themeColor="text1"/>
          <w:sz w:val="20"/>
          <w:szCs w:val="20"/>
        </w:rPr>
        <w:t>2017).</w:t>
      </w:r>
    </w:p>
  </w:footnote>
  <w:footnote w:id="7">
    <w:p w14:paraId="51C28BDD" w14:textId="77777777" w:rsidR="00C532E7" w:rsidRPr="00597432" w:rsidRDefault="000D68F0">
      <w:pPr>
        <w:pBdr>
          <w:top w:val="nil"/>
          <w:left w:val="nil"/>
          <w:bottom w:val="nil"/>
          <w:right w:val="nil"/>
          <w:between w:val="nil"/>
        </w:pBdr>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w:t>
      </w:r>
      <w:r w:rsidRPr="00597432">
        <w:rPr>
          <w:iCs/>
          <w:color w:val="000000" w:themeColor="text1"/>
          <w:sz w:val="20"/>
          <w:szCs w:val="20"/>
        </w:rPr>
        <w:t>See</w:t>
      </w:r>
      <w:r w:rsidRPr="00597432">
        <w:rPr>
          <w:i/>
          <w:color w:val="000000" w:themeColor="text1"/>
          <w:sz w:val="20"/>
          <w:szCs w:val="20"/>
        </w:rPr>
        <w:t xml:space="preserve"> </w:t>
      </w:r>
      <w:r w:rsidRPr="00597432">
        <w:rPr>
          <w:color w:val="000000" w:themeColor="text1"/>
          <w:sz w:val="20"/>
          <w:szCs w:val="20"/>
        </w:rPr>
        <w:t>20 U.S.C. §1415(j); 34 CFR §300.514.</w:t>
      </w:r>
    </w:p>
  </w:footnote>
  <w:footnote w:id="8">
    <w:p w14:paraId="00C642A1" w14:textId="528E63A3" w:rsidR="0033224A" w:rsidRPr="00597432" w:rsidRDefault="0033224A">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00BB3303" w:rsidRPr="00597432">
        <w:rPr>
          <w:rFonts w:ascii="Times New Roman" w:hAnsi="Times New Roman" w:cs="Times New Roman"/>
          <w:color w:val="000000" w:themeColor="text1"/>
        </w:rPr>
        <w:t xml:space="preserve">See </w:t>
      </w:r>
      <w:r w:rsidR="00167A42" w:rsidRPr="00597432">
        <w:rPr>
          <w:rFonts w:ascii="Times New Roman" w:hAnsi="Times New Roman" w:cs="Times New Roman"/>
          <w:i/>
          <w:color w:val="000000" w:themeColor="text1"/>
        </w:rPr>
        <w:t>Student &amp; Concord &amp; Natick Public Schools</w:t>
      </w:r>
      <w:r w:rsidR="00167A42" w:rsidRPr="00597432">
        <w:rPr>
          <w:rFonts w:ascii="Times New Roman" w:hAnsi="Times New Roman" w:cs="Times New Roman"/>
          <w:color w:val="000000" w:themeColor="text1"/>
        </w:rPr>
        <w:t>, BSEA # 18-00182, 23 MSER 210 (Berman, 2017).</w:t>
      </w:r>
    </w:p>
  </w:footnote>
  <w:footnote w:id="9">
    <w:p w14:paraId="2F7C886F" w14:textId="363C4E63" w:rsidR="00C532E7" w:rsidRPr="00597432" w:rsidRDefault="000D68F0">
      <w:pPr>
        <w:pBdr>
          <w:top w:val="nil"/>
          <w:left w:val="nil"/>
          <w:bottom w:val="nil"/>
          <w:right w:val="nil"/>
          <w:between w:val="nil"/>
        </w:pBdr>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w:t>
      </w:r>
      <w:r w:rsidRPr="00597432">
        <w:rPr>
          <w:i/>
          <w:color w:val="000000" w:themeColor="text1"/>
          <w:sz w:val="20"/>
          <w:szCs w:val="20"/>
        </w:rPr>
        <w:t>Drinker</w:t>
      </w:r>
      <w:r w:rsidRPr="00597432">
        <w:rPr>
          <w:color w:val="000000" w:themeColor="text1"/>
          <w:sz w:val="20"/>
          <w:szCs w:val="20"/>
        </w:rPr>
        <w:t xml:space="preserve">, 73 F.3d </w:t>
      </w:r>
      <w:r w:rsidR="006C4891" w:rsidRPr="00597432">
        <w:rPr>
          <w:color w:val="000000" w:themeColor="text1"/>
          <w:sz w:val="20"/>
          <w:szCs w:val="20"/>
        </w:rPr>
        <w:t>at</w:t>
      </w:r>
      <w:r w:rsidRPr="00597432">
        <w:rPr>
          <w:color w:val="000000" w:themeColor="text1"/>
          <w:sz w:val="20"/>
          <w:szCs w:val="20"/>
        </w:rPr>
        <w:t xml:space="preserve"> 867</w:t>
      </w:r>
      <w:r w:rsidR="006C4891" w:rsidRPr="00597432">
        <w:rPr>
          <w:color w:val="000000" w:themeColor="text1"/>
          <w:sz w:val="20"/>
          <w:szCs w:val="20"/>
        </w:rPr>
        <w:t xml:space="preserve">; </w:t>
      </w:r>
      <w:r w:rsidRPr="00597432">
        <w:rPr>
          <w:i/>
          <w:color w:val="000000" w:themeColor="text1"/>
          <w:sz w:val="20"/>
          <w:szCs w:val="20"/>
        </w:rPr>
        <w:t>Thomas</w:t>
      </w:r>
      <w:r w:rsidRPr="00597432">
        <w:rPr>
          <w:color w:val="000000" w:themeColor="text1"/>
          <w:sz w:val="20"/>
          <w:szCs w:val="20"/>
        </w:rPr>
        <w:t xml:space="preserve">, 918 F. 2d </w:t>
      </w:r>
      <w:r w:rsidR="006C4891" w:rsidRPr="00597432">
        <w:rPr>
          <w:color w:val="000000" w:themeColor="text1"/>
          <w:sz w:val="20"/>
          <w:szCs w:val="20"/>
        </w:rPr>
        <w:t>at</w:t>
      </w:r>
      <w:r w:rsidRPr="00597432">
        <w:rPr>
          <w:color w:val="000000" w:themeColor="text1"/>
          <w:sz w:val="20"/>
          <w:szCs w:val="20"/>
        </w:rPr>
        <w:t xml:space="preserve"> 626. </w:t>
      </w:r>
    </w:p>
  </w:footnote>
  <w:footnote w:id="10">
    <w:p w14:paraId="5373DDCA" w14:textId="78AF8F69" w:rsidR="00137BF5" w:rsidRPr="00597432" w:rsidRDefault="00137BF5" w:rsidP="00137BF5">
      <w:pPr>
        <w:shd w:val="clear" w:color="auto" w:fill="FFFFFF"/>
        <w:textAlignment w:val="baseline"/>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See </w:t>
      </w:r>
      <w:r w:rsidRPr="00597432">
        <w:rPr>
          <w:i/>
          <w:iCs/>
          <w:color w:val="000000" w:themeColor="text1"/>
          <w:sz w:val="20"/>
          <w:szCs w:val="20"/>
          <w:bdr w:val="none" w:sz="0" w:space="0" w:color="auto" w:frame="1"/>
        </w:rPr>
        <w:t>Verhoeven</w:t>
      </w:r>
      <w:r w:rsidRPr="00597432">
        <w:rPr>
          <w:i/>
          <w:iCs/>
          <w:color w:val="000000" w:themeColor="text1"/>
          <w:sz w:val="20"/>
          <w:szCs w:val="20"/>
        </w:rPr>
        <w:t>,</w:t>
      </w:r>
      <w:r w:rsidRPr="00597432">
        <w:rPr>
          <w:color w:val="000000" w:themeColor="text1"/>
          <w:sz w:val="20"/>
          <w:szCs w:val="20"/>
        </w:rPr>
        <w:t xml:space="preserve"> 207 F.3d </w:t>
      </w:r>
      <w:r w:rsidR="006C4891" w:rsidRPr="00597432">
        <w:rPr>
          <w:color w:val="000000" w:themeColor="text1"/>
          <w:sz w:val="20"/>
          <w:szCs w:val="20"/>
        </w:rPr>
        <w:t>at</w:t>
      </w:r>
      <w:r w:rsidRPr="00597432">
        <w:rPr>
          <w:color w:val="000000" w:themeColor="text1"/>
          <w:sz w:val="20"/>
          <w:szCs w:val="20"/>
        </w:rPr>
        <w:t xml:space="preserve"> 10 (1st Cir. 1999) (</w:t>
      </w:r>
      <w:r w:rsidRPr="00597432">
        <w:rPr>
          <w:color w:val="000000" w:themeColor="text1"/>
          <w:sz w:val="20"/>
          <w:szCs w:val="20"/>
          <w:shd w:val="clear" w:color="auto" w:fill="FFFFFF"/>
        </w:rPr>
        <w:t>“a reading of ‘current educational placement’ that includes the temporary … placement at issue here would thwart the purpose of</w:t>
      </w:r>
      <w:r w:rsidRPr="00597432">
        <w:rPr>
          <w:rStyle w:val="apple-converted-space"/>
          <w:color w:val="000000" w:themeColor="text1"/>
          <w:sz w:val="20"/>
          <w:szCs w:val="20"/>
          <w:shd w:val="clear" w:color="auto" w:fill="FFFFFF"/>
        </w:rPr>
        <w:t> </w:t>
      </w:r>
      <w:r w:rsidRPr="00597432">
        <w:rPr>
          <w:color w:val="000000" w:themeColor="text1"/>
          <w:sz w:val="20"/>
          <w:szCs w:val="20"/>
          <w:shd w:val="clear" w:color="auto" w:fill="FFFFFF"/>
        </w:rPr>
        <w:t>section 1415(j), [and] we decline to adopt such a reading”).</w:t>
      </w:r>
    </w:p>
  </w:footnote>
  <w:footnote w:id="11">
    <w:p w14:paraId="578ADA6C" w14:textId="77777777" w:rsidR="00C532E7" w:rsidRPr="00597432" w:rsidRDefault="000D68F0">
      <w:pPr>
        <w:pBdr>
          <w:top w:val="nil"/>
          <w:left w:val="nil"/>
          <w:bottom w:val="nil"/>
          <w:right w:val="nil"/>
          <w:between w:val="nil"/>
        </w:pBdr>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w:t>
      </w:r>
      <w:r w:rsidRPr="00597432">
        <w:rPr>
          <w:iCs/>
          <w:color w:val="000000" w:themeColor="text1"/>
          <w:sz w:val="20"/>
          <w:szCs w:val="20"/>
        </w:rPr>
        <w:t>See</w:t>
      </w:r>
      <w:r w:rsidRPr="00597432">
        <w:rPr>
          <w:color w:val="000000" w:themeColor="text1"/>
          <w:sz w:val="20"/>
          <w:szCs w:val="20"/>
        </w:rPr>
        <w:t> </w:t>
      </w:r>
      <w:r w:rsidRPr="00597432">
        <w:rPr>
          <w:i/>
          <w:color w:val="000000" w:themeColor="text1"/>
          <w:sz w:val="20"/>
          <w:szCs w:val="20"/>
        </w:rPr>
        <w:t>AW. v. Fairfax County School</w:t>
      </w:r>
      <w:r w:rsidRPr="00597432">
        <w:rPr>
          <w:color w:val="000000" w:themeColor="text1"/>
          <w:sz w:val="20"/>
          <w:szCs w:val="20"/>
        </w:rPr>
        <w:t> </w:t>
      </w:r>
      <w:r w:rsidRPr="00597432">
        <w:rPr>
          <w:i/>
          <w:color w:val="000000" w:themeColor="text1"/>
          <w:sz w:val="20"/>
          <w:szCs w:val="20"/>
        </w:rPr>
        <w:t>Board</w:t>
      </w:r>
      <w:r w:rsidRPr="00597432">
        <w:rPr>
          <w:color w:val="000000" w:themeColor="text1"/>
          <w:sz w:val="20"/>
          <w:szCs w:val="20"/>
        </w:rPr>
        <w:t>, 41 IDELR 119 (4</w:t>
      </w:r>
      <w:r w:rsidRPr="00597432">
        <w:rPr>
          <w:color w:val="000000" w:themeColor="text1"/>
          <w:sz w:val="20"/>
          <w:szCs w:val="20"/>
          <w:vertAlign w:val="superscript"/>
        </w:rPr>
        <w:t>th</w:t>
      </w:r>
      <w:r w:rsidRPr="00597432">
        <w:rPr>
          <w:color w:val="000000" w:themeColor="text1"/>
          <w:sz w:val="20"/>
          <w:szCs w:val="20"/>
        </w:rPr>
        <w:t xml:space="preserve"> Cir. 2004).</w:t>
      </w:r>
    </w:p>
  </w:footnote>
  <w:footnote w:id="12">
    <w:p w14:paraId="04EA41BF" w14:textId="77777777" w:rsidR="00C532E7" w:rsidRPr="00597432" w:rsidRDefault="000D68F0">
      <w:pPr>
        <w:pBdr>
          <w:top w:val="nil"/>
          <w:left w:val="nil"/>
          <w:bottom w:val="nil"/>
          <w:right w:val="nil"/>
          <w:between w:val="nil"/>
        </w:pBdr>
        <w:rPr>
          <w:i/>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w:t>
      </w:r>
      <w:r w:rsidRPr="00597432">
        <w:rPr>
          <w:iCs/>
          <w:color w:val="000000" w:themeColor="text1"/>
          <w:sz w:val="20"/>
          <w:szCs w:val="20"/>
        </w:rPr>
        <w:t>See</w:t>
      </w:r>
      <w:r w:rsidRPr="00597432">
        <w:rPr>
          <w:i/>
          <w:color w:val="000000" w:themeColor="text1"/>
          <w:sz w:val="20"/>
          <w:szCs w:val="20"/>
        </w:rPr>
        <w:t xml:space="preserve"> In Re Agawam Public Schools and Melmark-New England, </w:t>
      </w:r>
      <w:r w:rsidRPr="00597432">
        <w:rPr>
          <w:color w:val="000000" w:themeColor="text1"/>
          <w:sz w:val="20"/>
          <w:szCs w:val="20"/>
        </w:rPr>
        <w:t>BSEA #1504488</w:t>
      </w:r>
      <w:r w:rsidRPr="00597432">
        <w:rPr>
          <w:i/>
          <w:color w:val="000000" w:themeColor="text1"/>
          <w:sz w:val="20"/>
          <w:szCs w:val="20"/>
        </w:rPr>
        <w:t xml:space="preserve">, </w:t>
      </w:r>
      <w:r w:rsidRPr="00597432">
        <w:rPr>
          <w:color w:val="000000" w:themeColor="text1"/>
          <w:sz w:val="20"/>
          <w:szCs w:val="20"/>
        </w:rPr>
        <w:t>21 MSER 81 (Berman, 2015).</w:t>
      </w:r>
      <w:r w:rsidRPr="00597432">
        <w:rPr>
          <w:i/>
          <w:color w:val="000000" w:themeColor="text1"/>
          <w:sz w:val="20"/>
          <w:szCs w:val="20"/>
        </w:rPr>
        <w:t> </w:t>
      </w:r>
    </w:p>
  </w:footnote>
  <w:footnote w:id="13">
    <w:p w14:paraId="1EE238F9" w14:textId="1DCAB86F" w:rsidR="00F86CDA" w:rsidRPr="00597432" w:rsidRDefault="00F86CDA">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See </w:t>
      </w:r>
      <w:r w:rsidR="000C3AEA" w:rsidRPr="00597432">
        <w:rPr>
          <w:rFonts w:ascii="Times New Roman" w:hAnsi="Times New Roman" w:cs="Times New Roman"/>
          <w:i/>
          <w:color w:val="000000" w:themeColor="text1"/>
        </w:rPr>
        <w:t>Student &amp; Concord &amp; Natick Public Schools</w:t>
      </w:r>
      <w:r w:rsidR="000C3AEA" w:rsidRPr="00597432">
        <w:rPr>
          <w:rFonts w:ascii="Times New Roman" w:hAnsi="Times New Roman" w:cs="Times New Roman"/>
          <w:color w:val="000000" w:themeColor="text1"/>
        </w:rPr>
        <w:t>, BSEA # 18-00182, 23 MSER 210 (Berman, 2017</w:t>
      </w:r>
      <w:r w:rsidR="00FC6FED" w:rsidRPr="00597432">
        <w:rPr>
          <w:rFonts w:ascii="Times New Roman" w:hAnsi="Times New Roman" w:cs="Times New Roman"/>
          <w:color w:val="000000" w:themeColor="text1"/>
        </w:rPr>
        <w:t>)</w:t>
      </w:r>
      <w:r w:rsidR="000C3AEA" w:rsidRPr="00597432">
        <w:rPr>
          <w:rFonts w:ascii="Times New Roman" w:hAnsi="Times New Roman" w:cs="Times New Roman"/>
          <w:color w:val="000000" w:themeColor="text1"/>
        </w:rPr>
        <w:t>.</w:t>
      </w:r>
    </w:p>
  </w:footnote>
  <w:footnote w:id="14">
    <w:p w14:paraId="41893007" w14:textId="0512452E" w:rsidR="00A052B3" w:rsidRPr="00597432" w:rsidRDefault="00A052B3">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00530EA4" w:rsidRPr="00597432">
        <w:rPr>
          <w:rFonts w:ascii="Times New Roman" w:hAnsi="Times New Roman" w:cs="Times New Roman"/>
          <w:color w:val="000000" w:themeColor="text1"/>
        </w:rPr>
        <w:t xml:space="preserve">See </w:t>
      </w:r>
      <w:r w:rsidR="00530EA4" w:rsidRPr="00597432">
        <w:rPr>
          <w:rFonts w:ascii="Times New Roman" w:hAnsi="Times New Roman" w:cs="Times New Roman"/>
          <w:i/>
          <w:iCs/>
          <w:color w:val="000000" w:themeColor="text1"/>
        </w:rPr>
        <w:t>In Re: Brockton Public Schools v. Student</w:t>
      </w:r>
      <w:r w:rsidR="00530EA4" w:rsidRPr="00597432">
        <w:rPr>
          <w:rFonts w:ascii="Times New Roman" w:hAnsi="Times New Roman" w:cs="Times New Roman"/>
          <w:color w:val="000000" w:themeColor="text1"/>
        </w:rPr>
        <w:t xml:space="preserve">, BSEA # 16-01536 (Figueroa, </w:t>
      </w:r>
      <w:r w:rsidR="00C57D96" w:rsidRPr="00597432">
        <w:rPr>
          <w:rFonts w:ascii="Times New Roman" w:hAnsi="Times New Roman" w:cs="Times New Roman"/>
          <w:color w:val="000000" w:themeColor="text1"/>
        </w:rPr>
        <w:t xml:space="preserve">2015) (citing </w:t>
      </w:r>
      <w:r w:rsidR="00C57D96" w:rsidRPr="00597432">
        <w:rPr>
          <w:rFonts w:ascii="Times New Roman" w:hAnsi="Times New Roman" w:cs="Times New Roman"/>
          <w:i/>
          <w:iCs/>
          <w:color w:val="000000" w:themeColor="text1"/>
        </w:rPr>
        <w:t xml:space="preserve">Thomas v. </w:t>
      </w:r>
      <w:r w:rsidR="00AF656F" w:rsidRPr="00597432">
        <w:rPr>
          <w:rFonts w:ascii="Times New Roman" w:hAnsi="Times New Roman" w:cs="Times New Roman"/>
          <w:i/>
          <w:iCs/>
          <w:color w:val="000000" w:themeColor="text1"/>
        </w:rPr>
        <w:t>Cincinnati</w:t>
      </w:r>
      <w:r w:rsidR="00C57D96" w:rsidRPr="00597432">
        <w:rPr>
          <w:rFonts w:ascii="Times New Roman" w:hAnsi="Times New Roman" w:cs="Times New Roman"/>
          <w:i/>
          <w:iCs/>
          <w:color w:val="000000" w:themeColor="text1"/>
        </w:rPr>
        <w:t xml:space="preserve"> Bd. Of Educ.</w:t>
      </w:r>
      <w:r w:rsidR="00C57D96" w:rsidRPr="00597432">
        <w:rPr>
          <w:rFonts w:ascii="Times New Roman" w:hAnsi="Times New Roman" w:cs="Times New Roman"/>
          <w:color w:val="000000" w:themeColor="text1"/>
        </w:rPr>
        <w:t>, 918 F.2d 618, 626 (6</w:t>
      </w:r>
      <w:r w:rsidR="00C57D96" w:rsidRPr="00597432">
        <w:rPr>
          <w:rFonts w:ascii="Times New Roman" w:hAnsi="Times New Roman" w:cs="Times New Roman"/>
          <w:color w:val="000000" w:themeColor="text1"/>
          <w:vertAlign w:val="superscript"/>
        </w:rPr>
        <w:t>th</w:t>
      </w:r>
      <w:r w:rsidR="00C57D96" w:rsidRPr="00597432">
        <w:rPr>
          <w:rFonts w:ascii="Times New Roman" w:hAnsi="Times New Roman" w:cs="Times New Roman"/>
          <w:color w:val="000000" w:themeColor="text1"/>
        </w:rPr>
        <w:t xml:space="preserve"> Cir. 199</w:t>
      </w:r>
      <w:r w:rsidR="00BB40E7" w:rsidRPr="00597432">
        <w:rPr>
          <w:rFonts w:ascii="Times New Roman" w:hAnsi="Times New Roman" w:cs="Times New Roman"/>
          <w:color w:val="000000" w:themeColor="text1"/>
        </w:rPr>
        <w:t>0)</w:t>
      </w:r>
      <w:r w:rsidR="00FC6FED" w:rsidRPr="00597432">
        <w:rPr>
          <w:rFonts w:ascii="Times New Roman" w:hAnsi="Times New Roman" w:cs="Times New Roman"/>
          <w:color w:val="000000" w:themeColor="text1"/>
        </w:rPr>
        <w:t>)</w:t>
      </w:r>
      <w:r w:rsidR="00BB40E7" w:rsidRPr="00597432">
        <w:rPr>
          <w:rFonts w:ascii="Times New Roman" w:hAnsi="Times New Roman" w:cs="Times New Roman"/>
          <w:color w:val="000000" w:themeColor="text1"/>
        </w:rPr>
        <w:t>.</w:t>
      </w:r>
    </w:p>
  </w:footnote>
  <w:footnote w:id="15">
    <w:p w14:paraId="46795F76" w14:textId="173E6837" w:rsidR="001C3541" w:rsidRPr="00597432" w:rsidRDefault="001C3541" w:rsidP="001C3541">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See, e.g., </w:t>
      </w:r>
      <w:r w:rsidRPr="00597432">
        <w:rPr>
          <w:rFonts w:ascii="Times New Roman" w:hAnsi="Times New Roman" w:cs="Times New Roman"/>
          <w:i/>
          <w:iCs/>
          <w:color w:val="000000" w:themeColor="text1"/>
        </w:rPr>
        <w:t>In Re: Triton Regional School District and Trevor</w:t>
      </w:r>
      <w:r w:rsidRPr="00597432">
        <w:rPr>
          <w:rFonts w:ascii="Times New Roman" w:hAnsi="Times New Roman" w:cs="Times New Roman"/>
          <w:color w:val="000000" w:themeColor="text1"/>
        </w:rPr>
        <w:t xml:space="preserve">, BSEA #2105891, 27 MSER 217 (Reichbach, 2021) (finding the need for inquiry into circumstances surrounding the negotiation of the settlement agreement to determine whether or not there was a 'meeting of the minds' and that such inquiry is within the purview of a court with jurisdiction over contract disputes, and not the BSEA); </w:t>
      </w:r>
      <w:r w:rsidRPr="00597432">
        <w:rPr>
          <w:rFonts w:ascii="Times New Roman" w:hAnsi="Times New Roman" w:cs="Times New Roman"/>
          <w:i/>
          <w:iCs/>
          <w:color w:val="000000" w:themeColor="text1"/>
        </w:rPr>
        <w:t>In Re: Student and Andover Public Schools</w:t>
      </w:r>
      <w:r w:rsidRPr="00597432">
        <w:rPr>
          <w:rFonts w:ascii="Times New Roman" w:hAnsi="Times New Roman" w:cs="Times New Roman"/>
          <w:color w:val="000000" w:themeColor="text1"/>
        </w:rPr>
        <w:t>, BSEA #2007733, 26 MSER 137 (Berman 2020) (concluding that in situations where ambiguity exists in the language of a settlement agreement and cannot be parsed, inquiry into whether there was a "meeting of the minds" is within the purview of a court of competent jurisdiction, rather than the BSEA); </w:t>
      </w:r>
      <w:r w:rsidRPr="00597432">
        <w:rPr>
          <w:rFonts w:ascii="Times New Roman" w:hAnsi="Times New Roman" w:cs="Times New Roman"/>
          <w:i/>
          <w:iCs/>
          <w:color w:val="000000" w:themeColor="text1"/>
        </w:rPr>
        <w:t>In Re:</w:t>
      </w:r>
      <w:r w:rsidRPr="00597432">
        <w:rPr>
          <w:rFonts w:ascii="Times New Roman" w:hAnsi="Times New Roman" w:cs="Times New Roman"/>
          <w:color w:val="000000" w:themeColor="text1"/>
        </w:rPr>
        <w:t xml:space="preserve"> </w:t>
      </w:r>
      <w:r w:rsidRPr="00597432">
        <w:rPr>
          <w:rFonts w:ascii="Times New Roman" w:hAnsi="Times New Roman" w:cs="Times New Roman"/>
          <w:i/>
          <w:iCs/>
          <w:color w:val="000000" w:themeColor="text1"/>
        </w:rPr>
        <w:t>Student v. Worcester Public Schools</w:t>
      </w:r>
      <w:r w:rsidRPr="00597432">
        <w:rPr>
          <w:rFonts w:ascii="Times New Roman" w:hAnsi="Times New Roman" w:cs="Times New Roman"/>
          <w:color w:val="000000" w:themeColor="text1"/>
        </w:rPr>
        <w:t>, BSEA #1302473, 19 MSER 68 (Putney-Yaceshyn</w:t>
      </w:r>
      <w:r w:rsidR="0097274C" w:rsidRPr="00597432">
        <w:rPr>
          <w:rFonts w:ascii="Times New Roman" w:hAnsi="Times New Roman" w:cs="Times New Roman"/>
          <w:color w:val="000000" w:themeColor="text1"/>
        </w:rPr>
        <w:t>,</w:t>
      </w:r>
      <w:r w:rsidRPr="00597432">
        <w:rPr>
          <w:rFonts w:ascii="Times New Roman" w:hAnsi="Times New Roman" w:cs="Times New Roman"/>
          <w:color w:val="000000" w:themeColor="text1"/>
        </w:rPr>
        <w:t xml:space="preserve"> 2013) (finding "that the BSEA does not have authority to interpret or enforce the terms of private settlement agreements" and, at the same time, relying on the existence of a settlement agreement and its terms barring the re-opening of the matter to dismiss a case); </w:t>
      </w:r>
      <w:r w:rsidRPr="00597432">
        <w:rPr>
          <w:rFonts w:ascii="Times New Roman" w:hAnsi="Times New Roman" w:cs="Times New Roman"/>
          <w:i/>
          <w:iCs/>
          <w:color w:val="000000" w:themeColor="text1"/>
        </w:rPr>
        <w:t>In Re: Student and Pentucket Regional High School,</w:t>
      </w:r>
      <w:r w:rsidRPr="00597432">
        <w:rPr>
          <w:rFonts w:ascii="Times New Roman" w:hAnsi="Times New Roman" w:cs="Times New Roman"/>
          <w:color w:val="000000" w:themeColor="text1"/>
        </w:rPr>
        <w:t> BSEA # 128636 (Figueroa</w:t>
      </w:r>
      <w:r w:rsidR="0097274C" w:rsidRPr="00597432">
        <w:rPr>
          <w:rFonts w:ascii="Times New Roman" w:hAnsi="Times New Roman" w:cs="Times New Roman"/>
          <w:color w:val="000000" w:themeColor="text1"/>
        </w:rPr>
        <w:t>,</w:t>
      </w:r>
      <w:r w:rsidRPr="00597432">
        <w:rPr>
          <w:rFonts w:ascii="Times New Roman" w:hAnsi="Times New Roman" w:cs="Times New Roman"/>
          <w:color w:val="000000" w:themeColor="text1"/>
        </w:rPr>
        <w:t xml:space="preserve"> 2013) (relying on "clear and unequivocal language of a settlement agreement" to dismiss a claim); </w:t>
      </w:r>
      <w:r w:rsidRPr="00597432">
        <w:rPr>
          <w:rFonts w:ascii="Times New Roman" w:hAnsi="Times New Roman" w:cs="Times New Roman"/>
          <w:i/>
          <w:iCs/>
          <w:color w:val="000000" w:themeColor="text1"/>
        </w:rPr>
        <w:t>In Re Israel and Monson Public Schools</w:t>
      </w:r>
      <w:r w:rsidRPr="00597432">
        <w:rPr>
          <w:rFonts w:ascii="Times New Roman" w:hAnsi="Times New Roman" w:cs="Times New Roman"/>
          <w:color w:val="000000" w:themeColor="text1"/>
        </w:rPr>
        <w:t>, BSEA #105064 (Byrne</w:t>
      </w:r>
      <w:r w:rsidR="0097274C" w:rsidRPr="00597432">
        <w:rPr>
          <w:rFonts w:ascii="Times New Roman" w:hAnsi="Times New Roman" w:cs="Times New Roman"/>
          <w:color w:val="000000" w:themeColor="text1"/>
        </w:rPr>
        <w:t>,</w:t>
      </w:r>
      <w:r w:rsidRPr="00597432">
        <w:rPr>
          <w:rFonts w:ascii="Times New Roman" w:hAnsi="Times New Roman" w:cs="Times New Roman"/>
          <w:color w:val="000000" w:themeColor="text1"/>
        </w:rPr>
        <w:t xml:space="preserve"> 2010) (declining "to assert subject matter jurisdiction of a dispute that relates solely to the interpretation of a privately negotiated settlement agreement not incorporated into an IEP or BSEA order," because, among other things, hearing officers lack experience and expertise in interpreting contract language and due to the very real possibility that the BSEA's obligation to "enforce the public duties set out in the IDEA" would be inconsistent with enforcing, or otherwise endorsing, the terms of a privately negotiated settlement agreement); </w:t>
      </w:r>
      <w:r w:rsidRPr="00597432">
        <w:rPr>
          <w:rFonts w:ascii="Times New Roman" w:hAnsi="Times New Roman" w:cs="Times New Roman"/>
          <w:i/>
          <w:iCs/>
          <w:color w:val="000000" w:themeColor="text1"/>
        </w:rPr>
        <w:t>In Re Peabody Public Schools</w:t>
      </w:r>
      <w:r w:rsidRPr="00597432">
        <w:rPr>
          <w:rFonts w:ascii="Times New Roman" w:hAnsi="Times New Roman" w:cs="Times New Roman"/>
          <w:color w:val="000000" w:themeColor="text1"/>
        </w:rPr>
        <w:t>, BSEA # 96506 (Crane</w:t>
      </w:r>
      <w:r w:rsidR="0097274C" w:rsidRPr="00597432">
        <w:rPr>
          <w:rFonts w:ascii="Times New Roman" w:hAnsi="Times New Roman" w:cs="Times New Roman"/>
          <w:color w:val="000000" w:themeColor="text1"/>
        </w:rPr>
        <w:t>,</w:t>
      </w:r>
      <w:r w:rsidRPr="00597432">
        <w:rPr>
          <w:rFonts w:ascii="Times New Roman" w:hAnsi="Times New Roman" w:cs="Times New Roman"/>
          <w:color w:val="000000" w:themeColor="text1"/>
        </w:rPr>
        <w:t xml:space="preserve"> 2009) (concluding that it is within the BSEA's jurisdiction to review a settlement agreement reached through a settlement conference and consider its implications for Parent's right to proceed to a hearing and determining, on the basis of the settlement agreement's "clear and unambiguous language," that the District had fulfilled its obligation).</w:t>
      </w:r>
    </w:p>
  </w:footnote>
  <w:footnote w:id="16">
    <w:p w14:paraId="36009A1C" w14:textId="00BFA931" w:rsidR="005A76BF" w:rsidRPr="00597432" w:rsidRDefault="005A76BF" w:rsidP="005A76BF">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00FC6FED" w:rsidRPr="00597432">
        <w:rPr>
          <w:rFonts w:ascii="Times New Roman" w:hAnsi="Times New Roman" w:cs="Times New Roman"/>
          <w:i/>
          <w:iCs/>
          <w:color w:val="000000" w:themeColor="text1"/>
        </w:rPr>
        <w:t>In Re: Student and Andover Public Schools</w:t>
      </w:r>
      <w:r w:rsidR="00FC6FED" w:rsidRPr="00597432">
        <w:rPr>
          <w:rFonts w:ascii="Times New Roman" w:hAnsi="Times New Roman" w:cs="Times New Roman"/>
          <w:color w:val="000000" w:themeColor="text1"/>
        </w:rPr>
        <w:t>, BSEA #2007733, 26 MSER 137 (Berman, 2020).</w:t>
      </w:r>
    </w:p>
  </w:footnote>
  <w:footnote w:id="17">
    <w:p w14:paraId="2619E280" w14:textId="172AFDB3" w:rsidR="00820CF5" w:rsidRPr="00597432" w:rsidRDefault="00820CF5" w:rsidP="00820CF5">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Pr="00597432">
        <w:rPr>
          <w:rFonts w:ascii="Times New Roman" w:hAnsi="Times New Roman" w:cs="Times New Roman"/>
          <w:i/>
          <w:iCs/>
          <w:color w:val="000000" w:themeColor="text1"/>
        </w:rPr>
        <w:t>I</w:t>
      </w:r>
      <w:r w:rsidR="00FC6FED" w:rsidRPr="00597432">
        <w:rPr>
          <w:rFonts w:ascii="Times New Roman" w:hAnsi="Times New Roman" w:cs="Times New Roman"/>
          <w:i/>
          <w:iCs/>
          <w:color w:val="000000" w:themeColor="text1"/>
        </w:rPr>
        <w:t>d.</w:t>
      </w:r>
    </w:p>
  </w:footnote>
  <w:footnote w:id="18">
    <w:p w14:paraId="6A355437" w14:textId="21CC5CA3" w:rsidR="00C239EB" w:rsidRPr="00597432" w:rsidRDefault="00C239EB" w:rsidP="00C239EB">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Pr="00597432">
        <w:rPr>
          <w:rFonts w:ascii="Times New Roman" w:hAnsi="Times New Roman" w:cs="Times New Roman"/>
          <w:i/>
          <w:iCs/>
          <w:color w:val="000000" w:themeColor="text1"/>
        </w:rPr>
        <w:t>Verhoeven,</w:t>
      </w:r>
      <w:r w:rsidRPr="00597432">
        <w:rPr>
          <w:rFonts w:ascii="Times New Roman" w:hAnsi="Times New Roman" w:cs="Times New Roman"/>
          <w:color w:val="000000" w:themeColor="text1"/>
        </w:rPr>
        <w:t xml:space="preserve"> 207 F.3d </w:t>
      </w:r>
      <w:r w:rsidR="00FD25B9" w:rsidRPr="00597432">
        <w:rPr>
          <w:rFonts w:ascii="Times New Roman" w:hAnsi="Times New Roman" w:cs="Times New Roman"/>
          <w:color w:val="000000" w:themeColor="text1"/>
        </w:rPr>
        <w:t>at</w:t>
      </w:r>
      <w:r w:rsidRPr="00597432">
        <w:rPr>
          <w:rFonts w:ascii="Times New Roman" w:hAnsi="Times New Roman" w:cs="Times New Roman"/>
          <w:color w:val="000000" w:themeColor="text1"/>
        </w:rPr>
        <w:t xml:space="preserve"> 10 (emphasis added); see </w:t>
      </w:r>
      <w:r w:rsidRPr="00597432">
        <w:rPr>
          <w:rFonts w:ascii="Times New Roman" w:hAnsi="Times New Roman" w:cs="Times New Roman"/>
          <w:i/>
          <w:iCs/>
          <w:color w:val="000000" w:themeColor="text1"/>
        </w:rPr>
        <w:t>Delvan-Darien School District</w:t>
      </w:r>
      <w:r w:rsidRPr="00597432">
        <w:rPr>
          <w:rFonts w:ascii="Times New Roman" w:hAnsi="Times New Roman" w:cs="Times New Roman"/>
          <w:color w:val="000000" w:themeColor="text1"/>
        </w:rPr>
        <w:t xml:space="preserve">, LEA-03-048, 40 IDELR 200 (SEA WI 2003) (distinguishing </w:t>
      </w:r>
      <w:r w:rsidRPr="00597432">
        <w:rPr>
          <w:rFonts w:ascii="Times New Roman" w:hAnsi="Times New Roman" w:cs="Times New Roman"/>
          <w:i/>
          <w:iCs/>
          <w:color w:val="000000" w:themeColor="text1"/>
          <w:bdr w:val="none" w:sz="0" w:space="0" w:color="auto" w:frame="1"/>
        </w:rPr>
        <w:t>Zvi D. by Shirley D. v. Ambach</w:t>
      </w:r>
      <w:r w:rsidRPr="00597432">
        <w:rPr>
          <w:rFonts w:ascii="Times New Roman" w:hAnsi="Times New Roman" w:cs="Times New Roman"/>
          <w:color w:val="000000" w:themeColor="text1"/>
        </w:rPr>
        <w:t xml:space="preserve">, 694 F.2d 904 (2d Cir. 1982) and </w:t>
      </w:r>
      <w:r w:rsidRPr="00597432">
        <w:rPr>
          <w:rFonts w:ascii="Times New Roman" w:hAnsi="Times New Roman" w:cs="Times New Roman"/>
          <w:i/>
          <w:iCs/>
          <w:color w:val="000000" w:themeColor="text1"/>
        </w:rPr>
        <w:t xml:space="preserve">Verhoeven </w:t>
      </w:r>
      <w:r w:rsidRPr="00597432">
        <w:rPr>
          <w:rFonts w:ascii="Times New Roman" w:hAnsi="Times New Roman" w:cs="Times New Roman"/>
          <w:color w:val="000000" w:themeColor="text1"/>
        </w:rPr>
        <w:t>because in the instant case the parties agreed that the placement and services described in the settlement agreement constituted a FAPE).</w:t>
      </w:r>
    </w:p>
  </w:footnote>
  <w:footnote w:id="19">
    <w:p w14:paraId="452CC6EF" w14:textId="3546CEFD" w:rsidR="00F5603E" w:rsidRPr="00597432" w:rsidRDefault="00F5603E" w:rsidP="00F5603E">
      <w:pPr>
        <w:shd w:val="clear" w:color="auto" w:fill="FFFFFF"/>
        <w:textAlignment w:val="baseline"/>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See </w:t>
      </w:r>
      <w:r w:rsidRPr="00597432">
        <w:rPr>
          <w:i/>
          <w:iCs/>
          <w:color w:val="000000" w:themeColor="text1"/>
          <w:sz w:val="20"/>
          <w:szCs w:val="20"/>
          <w:bdr w:val="none" w:sz="0" w:space="0" w:color="auto" w:frame="1"/>
        </w:rPr>
        <w:t>K.D. ex rel. C.L. v. Dep't of Educ., Hawaii</w:t>
      </w:r>
      <w:r w:rsidRPr="00597432">
        <w:rPr>
          <w:color w:val="000000" w:themeColor="text1"/>
          <w:sz w:val="20"/>
          <w:szCs w:val="20"/>
        </w:rPr>
        <w:t xml:space="preserve">, 665 F.3d 1110, 1121 (9th Cir. 2011) (Finding that a </w:t>
      </w:r>
      <w:r w:rsidRPr="00597432">
        <w:rPr>
          <w:color w:val="000000" w:themeColor="text1"/>
          <w:sz w:val="20"/>
          <w:szCs w:val="20"/>
          <w:shd w:val="clear" w:color="auto" w:fill="FFFFFF"/>
        </w:rPr>
        <w:t xml:space="preserve">settlement agreement does not have the same legal effect as an affirmative agency decision to define a student's “current educational placement”); </w:t>
      </w:r>
      <w:r w:rsidRPr="00597432">
        <w:rPr>
          <w:color w:val="000000" w:themeColor="text1"/>
          <w:sz w:val="20"/>
          <w:szCs w:val="20"/>
        </w:rPr>
        <w:t xml:space="preserve">see also </w:t>
      </w:r>
      <w:r w:rsidRPr="00597432">
        <w:rPr>
          <w:i/>
          <w:iCs/>
          <w:color w:val="000000" w:themeColor="text1"/>
          <w:sz w:val="20"/>
          <w:szCs w:val="20"/>
          <w:bdr w:val="none" w:sz="0" w:space="0" w:color="auto" w:frame="1"/>
        </w:rPr>
        <w:t>Bayonne Bd. of Educ. v. R.S. by K.S.</w:t>
      </w:r>
      <w:r w:rsidRPr="00597432">
        <w:rPr>
          <w:i/>
          <w:iCs/>
          <w:color w:val="000000" w:themeColor="text1"/>
          <w:sz w:val="20"/>
          <w:szCs w:val="20"/>
        </w:rPr>
        <w:t>,</w:t>
      </w:r>
      <w:r w:rsidRPr="00597432">
        <w:rPr>
          <w:color w:val="000000" w:themeColor="text1"/>
          <w:sz w:val="20"/>
          <w:szCs w:val="20"/>
        </w:rPr>
        <w:t xml:space="preserve"> 954 F. Supp. 933, 942 (D.N.J. 1997); </w:t>
      </w:r>
      <w:r w:rsidRPr="00597432">
        <w:rPr>
          <w:i/>
          <w:iCs/>
          <w:color w:val="000000" w:themeColor="text1"/>
          <w:sz w:val="20"/>
          <w:szCs w:val="20"/>
          <w:bdr w:val="none" w:sz="0" w:space="0" w:color="auto" w:frame="1"/>
        </w:rPr>
        <w:t>Zvi D.</w:t>
      </w:r>
      <w:r w:rsidRPr="00597432">
        <w:rPr>
          <w:color w:val="000000" w:themeColor="text1"/>
          <w:sz w:val="20"/>
          <w:szCs w:val="20"/>
        </w:rPr>
        <w:t xml:space="preserve">, 694 F.2d </w:t>
      </w:r>
      <w:r w:rsidR="0008031F" w:rsidRPr="00597432">
        <w:rPr>
          <w:color w:val="000000" w:themeColor="text1"/>
          <w:sz w:val="20"/>
          <w:szCs w:val="20"/>
        </w:rPr>
        <w:t>at</w:t>
      </w:r>
      <w:r w:rsidRPr="00597432">
        <w:rPr>
          <w:color w:val="000000" w:themeColor="text1"/>
          <w:sz w:val="20"/>
          <w:szCs w:val="20"/>
        </w:rPr>
        <w:t xml:space="preserve"> 908</w:t>
      </w:r>
      <w:r w:rsidR="0008031F" w:rsidRPr="00597432">
        <w:rPr>
          <w:color w:val="000000" w:themeColor="text1"/>
          <w:sz w:val="20"/>
          <w:szCs w:val="20"/>
        </w:rPr>
        <w:t>.</w:t>
      </w:r>
    </w:p>
  </w:footnote>
  <w:footnote w:id="20">
    <w:p w14:paraId="4634B250" w14:textId="77777777" w:rsidR="008054C4" w:rsidRPr="00597432" w:rsidRDefault="008054C4" w:rsidP="008054C4">
      <w:pPr>
        <w:shd w:val="clear" w:color="auto" w:fill="FFFFFF"/>
        <w:textAlignment w:val="baseline"/>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See </w:t>
      </w:r>
      <w:r w:rsidRPr="00597432">
        <w:rPr>
          <w:i/>
          <w:iCs/>
          <w:color w:val="000000" w:themeColor="text1"/>
          <w:sz w:val="20"/>
          <w:szCs w:val="20"/>
          <w:bdr w:val="none" w:sz="0" w:space="0" w:color="auto" w:frame="1"/>
        </w:rPr>
        <w:t>N.W. ex rel. J.W. v. Boone Cty. Bd. of Educ.</w:t>
      </w:r>
      <w:r w:rsidRPr="00597432">
        <w:rPr>
          <w:i/>
          <w:iCs/>
          <w:color w:val="000000" w:themeColor="text1"/>
          <w:sz w:val="20"/>
          <w:szCs w:val="20"/>
        </w:rPr>
        <w:t>,</w:t>
      </w:r>
      <w:r w:rsidRPr="00597432">
        <w:rPr>
          <w:color w:val="000000" w:themeColor="text1"/>
          <w:sz w:val="20"/>
          <w:szCs w:val="20"/>
        </w:rPr>
        <w:t xml:space="preserve"> 763 F.3d 611, 618 (6th Cir. 2014).</w:t>
      </w:r>
    </w:p>
  </w:footnote>
  <w:footnote w:id="21">
    <w:p w14:paraId="7C3CFF6E" w14:textId="649C67A4" w:rsidR="003F0CA6" w:rsidRPr="00597432" w:rsidRDefault="003F0CA6">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Pr="00597432">
        <w:rPr>
          <w:rFonts w:ascii="Times New Roman" w:hAnsi="Times New Roman" w:cs="Times New Roman"/>
          <w:i/>
          <w:iCs/>
          <w:color w:val="000000" w:themeColor="text1"/>
          <w:shd w:val="clear" w:color="auto" w:fill="FFFFFF"/>
        </w:rPr>
        <w:t>In Re: Billerica Public Schools</w:t>
      </w:r>
      <w:r w:rsidRPr="00597432">
        <w:rPr>
          <w:rFonts w:ascii="Times New Roman" w:hAnsi="Times New Roman" w:cs="Times New Roman"/>
          <w:color w:val="000000" w:themeColor="text1"/>
          <w:shd w:val="clear" w:color="auto" w:fill="FFFFFF"/>
        </w:rPr>
        <w:t>, BSEA</w:t>
      </w:r>
      <w:r w:rsidR="00EE7F7E" w:rsidRPr="00597432">
        <w:rPr>
          <w:rFonts w:ascii="Times New Roman" w:hAnsi="Times New Roman" w:cs="Times New Roman"/>
          <w:color w:val="000000" w:themeColor="text1"/>
          <w:shd w:val="clear" w:color="auto" w:fill="FFFFFF"/>
        </w:rPr>
        <w:t xml:space="preserve"> </w:t>
      </w:r>
      <w:r w:rsidRPr="00597432">
        <w:rPr>
          <w:rFonts w:ascii="Times New Roman" w:hAnsi="Times New Roman" w:cs="Times New Roman"/>
          <w:color w:val="000000" w:themeColor="text1"/>
          <w:shd w:val="clear" w:color="auto" w:fill="FFFFFF"/>
        </w:rPr>
        <w:t>#00-0265, 8 MSER 137 (</w:t>
      </w:r>
      <w:r w:rsidR="0097274C" w:rsidRPr="00597432">
        <w:rPr>
          <w:rFonts w:ascii="Times New Roman" w:hAnsi="Times New Roman" w:cs="Times New Roman"/>
          <w:color w:val="000000" w:themeColor="text1"/>
          <w:shd w:val="clear" w:color="auto" w:fill="FFFFFF"/>
        </w:rPr>
        <w:t xml:space="preserve">Sherwood, </w:t>
      </w:r>
      <w:r w:rsidRPr="00597432">
        <w:rPr>
          <w:rFonts w:ascii="Times New Roman" w:hAnsi="Times New Roman" w:cs="Times New Roman"/>
          <w:color w:val="000000" w:themeColor="text1"/>
          <w:shd w:val="clear" w:color="auto" w:fill="FFFFFF"/>
        </w:rPr>
        <w:t>2002).</w:t>
      </w:r>
    </w:p>
  </w:footnote>
  <w:footnote w:id="22">
    <w:p w14:paraId="7858B7F7" w14:textId="77777777" w:rsidR="00347568" w:rsidRPr="00597432" w:rsidRDefault="00347568" w:rsidP="00347568">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603 CMR 28.05(2)(b)(5).</w:t>
      </w:r>
    </w:p>
  </w:footnote>
  <w:footnote w:id="23">
    <w:p w14:paraId="7E9678DC" w14:textId="77777777" w:rsidR="00347568" w:rsidRPr="00597432" w:rsidRDefault="00347568" w:rsidP="00347568">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Pr="00597432">
        <w:rPr>
          <w:rFonts w:ascii="Times New Roman" w:hAnsi="Times New Roman" w:cs="Times New Roman"/>
          <w:i/>
          <w:iCs/>
          <w:color w:val="000000" w:themeColor="text1"/>
        </w:rPr>
        <w:t>Administrative Advisory SPED 2019-2</w:t>
      </w:r>
      <w:r w:rsidRPr="00597432">
        <w:rPr>
          <w:rFonts w:ascii="Times New Roman" w:hAnsi="Times New Roman" w:cs="Times New Roman"/>
          <w:color w:val="000000" w:themeColor="text1"/>
        </w:rPr>
        <w:t xml:space="preserve">: </w:t>
      </w:r>
      <w:r w:rsidRPr="00597432">
        <w:rPr>
          <w:rFonts w:ascii="Times New Roman" w:hAnsi="Times New Roman" w:cs="Times New Roman"/>
          <w:i/>
          <w:iCs/>
          <w:color w:val="000000" w:themeColor="text1"/>
        </w:rPr>
        <w:t>Extended Evaluation</w:t>
      </w:r>
      <w:r w:rsidRPr="00597432">
        <w:rPr>
          <w:rFonts w:ascii="Times New Roman" w:hAnsi="Times New Roman" w:cs="Times New Roman"/>
          <w:color w:val="000000" w:themeColor="text1"/>
        </w:rPr>
        <w:t>s which may be found at https://www.doe.mass.edu/sped/advisories/2019-2.html.</w:t>
      </w:r>
    </w:p>
  </w:footnote>
  <w:footnote w:id="24">
    <w:p w14:paraId="33A85062" w14:textId="6F53909C" w:rsidR="000C3BF9" w:rsidRPr="00597432" w:rsidRDefault="000C3BF9">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Se</w:t>
      </w:r>
      <w:r w:rsidR="00800D4E" w:rsidRPr="00597432">
        <w:rPr>
          <w:rFonts w:ascii="Times New Roman" w:hAnsi="Times New Roman" w:cs="Times New Roman"/>
          <w:color w:val="000000" w:themeColor="text1"/>
        </w:rPr>
        <w:t>e</w:t>
      </w:r>
      <w:r w:rsidRPr="00597432">
        <w:rPr>
          <w:rFonts w:ascii="Times New Roman" w:hAnsi="Times New Roman" w:cs="Times New Roman"/>
          <w:color w:val="000000" w:themeColor="text1"/>
        </w:rPr>
        <w:t xml:space="preserve"> </w:t>
      </w:r>
      <w:r w:rsidRPr="00597432">
        <w:rPr>
          <w:rFonts w:ascii="Times New Roman" w:hAnsi="Times New Roman" w:cs="Times New Roman"/>
          <w:i/>
          <w:iCs/>
          <w:color w:val="000000" w:themeColor="text1"/>
        </w:rPr>
        <w:t>In Re: Sharon Public Schools</w:t>
      </w:r>
      <w:r w:rsidR="00800D4E" w:rsidRPr="00597432">
        <w:rPr>
          <w:rFonts w:ascii="Times New Roman" w:hAnsi="Times New Roman" w:cs="Times New Roman"/>
          <w:color w:val="000000" w:themeColor="text1"/>
        </w:rPr>
        <w:t>, BSEA #09-2797, 14 MSER 411 (Crane, 2008); see also</w:t>
      </w:r>
      <w:r w:rsidR="00FF3E0F" w:rsidRPr="00597432">
        <w:rPr>
          <w:rFonts w:ascii="Times New Roman" w:hAnsi="Times New Roman" w:cs="Times New Roman"/>
          <w:color w:val="000000" w:themeColor="text1"/>
        </w:rPr>
        <w:t xml:space="preserve"> </w:t>
      </w:r>
      <w:r w:rsidR="00FF3E0F" w:rsidRPr="00597432">
        <w:rPr>
          <w:rFonts w:ascii="Times New Roman" w:hAnsi="Times New Roman" w:cs="Times New Roman"/>
          <w:i/>
          <w:iCs/>
          <w:color w:val="000000" w:themeColor="text1"/>
        </w:rPr>
        <w:t xml:space="preserve">In Re: Melrose </w:t>
      </w:r>
      <w:r w:rsidR="000035B9" w:rsidRPr="00597432">
        <w:rPr>
          <w:rFonts w:ascii="Times New Roman" w:hAnsi="Times New Roman" w:cs="Times New Roman"/>
          <w:i/>
          <w:iCs/>
          <w:color w:val="000000" w:themeColor="text1"/>
        </w:rPr>
        <w:t>Public Schools &amp; C.M.</w:t>
      </w:r>
      <w:r w:rsidR="000035B9" w:rsidRPr="00597432">
        <w:rPr>
          <w:rFonts w:ascii="Times New Roman" w:hAnsi="Times New Roman" w:cs="Times New Roman"/>
          <w:color w:val="000000" w:themeColor="text1"/>
        </w:rPr>
        <w:t>, BSEA #07-4987, 13 MSER 70 (</w:t>
      </w:r>
      <w:r w:rsidR="00E2094E" w:rsidRPr="00597432">
        <w:rPr>
          <w:rFonts w:ascii="Times New Roman" w:hAnsi="Times New Roman" w:cs="Times New Roman"/>
          <w:color w:val="000000" w:themeColor="text1"/>
        </w:rPr>
        <w:t xml:space="preserve">Byrne, </w:t>
      </w:r>
      <w:r w:rsidR="000035B9" w:rsidRPr="00597432">
        <w:rPr>
          <w:rFonts w:ascii="Times New Roman" w:hAnsi="Times New Roman" w:cs="Times New Roman"/>
          <w:color w:val="000000" w:themeColor="text1"/>
        </w:rPr>
        <w:t>2007)</w:t>
      </w:r>
      <w:r w:rsidR="00B87182" w:rsidRPr="00597432">
        <w:rPr>
          <w:rFonts w:ascii="Times New Roman" w:hAnsi="Times New Roman" w:cs="Times New Roman"/>
          <w:color w:val="000000" w:themeColor="text1"/>
        </w:rPr>
        <w:t>.</w:t>
      </w:r>
    </w:p>
  </w:footnote>
  <w:footnote w:id="25">
    <w:p w14:paraId="7613C419" w14:textId="77777777" w:rsidR="004678AA" w:rsidRPr="00597432" w:rsidRDefault="004678AA" w:rsidP="004678AA">
      <w:pPr>
        <w:shd w:val="clear" w:color="auto" w:fill="FFFFFF"/>
        <w:textAlignment w:val="baseline"/>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See </w:t>
      </w:r>
      <w:r w:rsidRPr="00597432">
        <w:rPr>
          <w:i/>
          <w:iCs/>
          <w:color w:val="000000" w:themeColor="text1"/>
          <w:sz w:val="20"/>
          <w:szCs w:val="20"/>
          <w:bdr w:val="none" w:sz="0" w:space="0" w:color="auto" w:frame="1"/>
        </w:rPr>
        <w:t>Taylor F. ex rel. Jon F. v. Arapahoe Cty. Sch. Dist. 5</w:t>
      </w:r>
      <w:r w:rsidRPr="00597432">
        <w:rPr>
          <w:i/>
          <w:iCs/>
          <w:color w:val="000000" w:themeColor="text1"/>
          <w:sz w:val="20"/>
          <w:szCs w:val="20"/>
        </w:rPr>
        <w:t xml:space="preserve">, </w:t>
      </w:r>
      <w:r w:rsidRPr="00597432">
        <w:rPr>
          <w:color w:val="000000" w:themeColor="text1"/>
          <w:sz w:val="20"/>
          <w:szCs w:val="20"/>
        </w:rPr>
        <w:t>954 F. Supp. 2d 1197, 1203 (D. Colo. 2013)</w:t>
      </w:r>
    </w:p>
    <w:p w14:paraId="6F56F335" w14:textId="77777777" w:rsidR="004678AA" w:rsidRPr="00597432" w:rsidRDefault="004678AA" w:rsidP="004678AA">
      <w:pPr>
        <w:rPr>
          <w:color w:val="000000" w:themeColor="text1"/>
          <w:sz w:val="20"/>
          <w:szCs w:val="20"/>
        </w:rPr>
      </w:pPr>
      <w:r w:rsidRPr="00597432">
        <w:rPr>
          <w:color w:val="000000" w:themeColor="text1"/>
          <w:sz w:val="20"/>
          <w:szCs w:val="20"/>
          <w:shd w:val="clear" w:color="auto" w:fill="FFFFFF"/>
        </w:rPr>
        <w:t>(finding that “had the District intended for the ‘stay-put’ placement to remain Cherokee Trail for the duration of the dispute and that Plaintiffs were waiving application of Section 300.518(d),</w:t>
      </w:r>
      <w:r w:rsidRPr="00597432">
        <w:rPr>
          <w:rStyle w:val="apple-converted-space"/>
          <w:color w:val="000000" w:themeColor="text1"/>
          <w:sz w:val="20"/>
          <w:szCs w:val="20"/>
          <w:shd w:val="clear" w:color="auto" w:fill="FFFFFF"/>
        </w:rPr>
        <w:t> </w:t>
      </w:r>
      <w:r w:rsidRPr="00597432">
        <w:rPr>
          <w:rStyle w:val="Emphasis"/>
          <w:color w:val="000000" w:themeColor="text1"/>
          <w:sz w:val="20"/>
          <w:szCs w:val="20"/>
          <w:bdr w:val="none" w:sz="0" w:space="0" w:color="auto" w:frame="1"/>
          <w:shd w:val="clear" w:color="auto" w:fill="FFFFFF"/>
        </w:rPr>
        <w:t>it</w:t>
      </w:r>
      <w:r w:rsidRPr="00597432">
        <w:rPr>
          <w:rStyle w:val="apple-converted-space"/>
          <w:color w:val="000000" w:themeColor="text1"/>
          <w:sz w:val="20"/>
          <w:szCs w:val="20"/>
          <w:shd w:val="clear" w:color="auto" w:fill="FFFFFF"/>
        </w:rPr>
        <w:t> </w:t>
      </w:r>
      <w:r w:rsidRPr="00597432">
        <w:rPr>
          <w:color w:val="000000" w:themeColor="text1"/>
          <w:sz w:val="20"/>
          <w:szCs w:val="20"/>
          <w:shd w:val="clear" w:color="auto" w:fill="FFFFFF"/>
        </w:rPr>
        <w:t>could have explicitly said so in the Settlement—but it did not”).</w:t>
      </w:r>
    </w:p>
  </w:footnote>
  <w:footnote w:id="26">
    <w:p w14:paraId="75BD2978" w14:textId="60CE4B11" w:rsidR="004678AA" w:rsidRPr="00597432" w:rsidRDefault="004678AA" w:rsidP="004678AA">
      <w:pPr>
        <w:shd w:val="clear" w:color="auto" w:fill="FFFFFF"/>
        <w:textAlignment w:val="baseline"/>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See </w:t>
      </w:r>
      <w:r w:rsidRPr="00597432">
        <w:rPr>
          <w:i/>
          <w:iCs/>
          <w:color w:val="000000" w:themeColor="text1"/>
          <w:sz w:val="20"/>
          <w:szCs w:val="20"/>
          <w:bdr w:val="none" w:sz="0" w:space="0" w:color="auto" w:frame="1"/>
        </w:rPr>
        <w:t>Verhoeven</w:t>
      </w:r>
      <w:r w:rsidRPr="00597432">
        <w:rPr>
          <w:i/>
          <w:iCs/>
          <w:color w:val="000000" w:themeColor="text1"/>
          <w:sz w:val="20"/>
          <w:szCs w:val="20"/>
        </w:rPr>
        <w:t>,</w:t>
      </w:r>
      <w:r w:rsidRPr="00597432">
        <w:rPr>
          <w:color w:val="000000" w:themeColor="text1"/>
          <w:sz w:val="20"/>
          <w:szCs w:val="20"/>
        </w:rPr>
        <w:t xml:space="preserve"> 207 F.3d </w:t>
      </w:r>
      <w:r w:rsidR="008854D9">
        <w:rPr>
          <w:color w:val="000000" w:themeColor="text1"/>
          <w:sz w:val="20"/>
          <w:szCs w:val="20"/>
        </w:rPr>
        <w:t>at</w:t>
      </w:r>
      <w:r w:rsidRPr="00597432">
        <w:rPr>
          <w:color w:val="000000" w:themeColor="text1"/>
          <w:sz w:val="20"/>
          <w:szCs w:val="20"/>
        </w:rPr>
        <w:t xml:space="preserve"> 9 (finding that the </w:t>
      </w:r>
      <w:r w:rsidRPr="00597432">
        <w:rPr>
          <w:color w:val="000000" w:themeColor="text1"/>
          <w:sz w:val="20"/>
          <w:szCs w:val="20"/>
          <w:shd w:val="clear" w:color="auto" w:fill="FFFFFF"/>
        </w:rPr>
        <w:t>placement sought by parents for stay-put purposes was never intended to be anything more than a temporary placement and that, to the contrary, placement therein would be an extension of a temporary placement to a degree well beyond the parties' intentions at the time of the settlement agreement).</w:t>
      </w:r>
    </w:p>
  </w:footnote>
  <w:footnote w:id="27">
    <w:p w14:paraId="49EC930B" w14:textId="1CA1CE13" w:rsidR="00E83A02" w:rsidRPr="00597432" w:rsidRDefault="00E83A02">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00505C1E" w:rsidRPr="00597432">
        <w:rPr>
          <w:rFonts w:ascii="Times New Roman" w:hAnsi="Times New Roman" w:cs="Times New Roman"/>
          <w:color w:val="000000" w:themeColor="text1"/>
        </w:rPr>
        <w:t xml:space="preserve">See </w:t>
      </w:r>
      <w:r w:rsidR="00505C1E" w:rsidRPr="00597432">
        <w:rPr>
          <w:rFonts w:ascii="Times New Roman" w:hAnsi="Times New Roman" w:cs="Times New Roman"/>
          <w:i/>
          <w:color w:val="000000" w:themeColor="text1"/>
        </w:rPr>
        <w:t>Student &amp; Concord &amp; Natick Public Schools</w:t>
      </w:r>
      <w:r w:rsidR="00505C1E" w:rsidRPr="00597432">
        <w:rPr>
          <w:rFonts w:ascii="Times New Roman" w:hAnsi="Times New Roman" w:cs="Times New Roman"/>
          <w:color w:val="000000" w:themeColor="text1"/>
        </w:rPr>
        <w:t>, BSEA # 18-00182, 23 MSER 210 (Berman, 2017) (</w:t>
      </w:r>
      <w:r w:rsidR="00505C1E" w:rsidRPr="00597432">
        <w:rPr>
          <w:rFonts w:ascii="Times New Roman" w:hAnsi="Times New Roman" w:cs="Times New Roman"/>
          <w:i/>
          <w:color w:val="000000" w:themeColor="text1"/>
        </w:rPr>
        <w:t>Corrected Ruling on Mother’s Request for “Stay Put” Order</w:t>
      </w:r>
      <w:r w:rsidR="00505C1E" w:rsidRPr="00597432">
        <w:rPr>
          <w:rFonts w:ascii="Times New Roman" w:hAnsi="Times New Roman" w:cs="Times New Roman"/>
          <w:color w:val="000000" w:themeColor="text1"/>
        </w:rPr>
        <w:t>).</w:t>
      </w:r>
    </w:p>
  </w:footnote>
  <w:footnote w:id="28">
    <w:p w14:paraId="4A6F79F7" w14:textId="75457ACF" w:rsidR="00E83A02" w:rsidRPr="00597432" w:rsidRDefault="00E83A02">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00E84B74" w:rsidRPr="00597432">
        <w:rPr>
          <w:rFonts w:ascii="Times New Roman" w:hAnsi="Times New Roman" w:cs="Times New Roman"/>
          <w:color w:val="000000" w:themeColor="text1"/>
        </w:rPr>
        <w:t xml:space="preserve">See </w:t>
      </w:r>
      <w:r w:rsidR="00E84B74" w:rsidRPr="00597432">
        <w:rPr>
          <w:rFonts w:ascii="Times New Roman" w:hAnsi="Times New Roman" w:cs="Times New Roman"/>
          <w:i/>
          <w:iCs/>
          <w:color w:val="000000" w:themeColor="text1"/>
        </w:rPr>
        <w:t>In Re: Brockton Public Schools v. Student</w:t>
      </w:r>
      <w:r w:rsidR="00E84B74" w:rsidRPr="00597432">
        <w:rPr>
          <w:rFonts w:ascii="Times New Roman" w:hAnsi="Times New Roman" w:cs="Times New Roman"/>
          <w:color w:val="000000" w:themeColor="text1"/>
        </w:rPr>
        <w:t>, BSEA #16-01536, (Figueroa, 2015).</w:t>
      </w:r>
    </w:p>
  </w:footnote>
  <w:footnote w:id="29">
    <w:p w14:paraId="00D12F94" w14:textId="77777777" w:rsidR="00A876AD" w:rsidRPr="00597432" w:rsidRDefault="00A876AD" w:rsidP="00A876AD">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See </w:t>
      </w:r>
      <w:r w:rsidRPr="00597432">
        <w:rPr>
          <w:rFonts w:ascii="Times New Roman" w:hAnsi="Times New Roman" w:cs="Times New Roman"/>
          <w:i/>
          <w:color w:val="000000" w:themeColor="text1"/>
        </w:rPr>
        <w:t>Student &amp; Concord &amp; Natick Public Schools</w:t>
      </w:r>
      <w:r w:rsidRPr="00597432">
        <w:rPr>
          <w:rFonts w:ascii="Times New Roman" w:hAnsi="Times New Roman" w:cs="Times New Roman"/>
          <w:color w:val="000000" w:themeColor="text1"/>
        </w:rPr>
        <w:t>, BSEA # 18-00182, 23 MSER 210 (Berman, 2017) (</w:t>
      </w:r>
      <w:r w:rsidRPr="00597432">
        <w:rPr>
          <w:rFonts w:ascii="Times New Roman" w:hAnsi="Times New Roman" w:cs="Times New Roman"/>
          <w:i/>
          <w:color w:val="000000" w:themeColor="text1"/>
        </w:rPr>
        <w:t>Corrected Ruling on Mother’s Request for “Stay Put” Order</w:t>
      </w:r>
      <w:r w:rsidRPr="00597432">
        <w:rPr>
          <w:rFonts w:ascii="Times New Roman" w:hAnsi="Times New Roman" w:cs="Times New Roman"/>
          <w:color w:val="000000" w:themeColor="text1"/>
        </w:rPr>
        <w:t>).</w:t>
      </w:r>
    </w:p>
  </w:footnote>
  <w:footnote w:id="30">
    <w:p w14:paraId="317513CE" w14:textId="77777777" w:rsidR="00060E08" w:rsidRPr="00597432" w:rsidRDefault="00060E08" w:rsidP="00060E08">
      <w:pPr>
        <w:textAlignment w:val="baseline"/>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See </w:t>
      </w:r>
      <w:r w:rsidRPr="00597432">
        <w:rPr>
          <w:i/>
          <w:iCs/>
          <w:color w:val="000000" w:themeColor="text1"/>
          <w:sz w:val="20"/>
          <w:szCs w:val="20"/>
          <w:bdr w:val="none" w:sz="0" w:space="0" w:color="auto" w:frame="1"/>
        </w:rPr>
        <w:t>N.W. ex rel. J.W. v. Boone Cty. Bd. of Educ.</w:t>
      </w:r>
      <w:r w:rsidRPr="00597432">
        <w:rPr>
          <w:i/>
          <w:iCs/>
          <w:color w:val="000000" w:themeColor="text1"/>
          <w:sz w:val="20"/>
          <w:szCs w:val="20"/>
        </w:rPr>
        <w:t>,</w:t>
      </w:r>
      <w:r w:rsidRPr="00597432">
        <w:rPr>
          <w:color w:val="000000" w:themeColor="text1"/>
          <w:sz w:val="20"/>
          <w:szCs w:val="20"/>
        </w:rPr>
        <w:t xml:space="preserve"> 763 F.3d 611, 617 (6th Cir. 2014)</w:t>
      </w:r>
    </w:p>
  </w:footnote>
  <w:footnote w:id="31">
    <w:p w14:paraId="75BB7BC2" w14:textId="77777777" w:rsidR="004A5842" w:rsidRPr="00597432" w:rsidRDefault="004A5842" w:rsidP="004A5842">
      <w:pPr>
        <w:shd w:val="clear" w:color="auto" w:fill="FFFFFF"/>
        <w:textAlignment w:val="baseline"/>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See </w:t>
      </w:r>
      <w:r w:rsidRPr="00597432">
        <w:rPr>
          <w:i/>
          <w:iCs/>
          <w:color w:val="000000" w:themeColor="text1"/>
          <w:sz w:val="20"/>
          <w:szCs w:val="20"/>
          <w:bdr w:val="none" w:sz="0" w:space="0" w:color="auto" w:frame="1"/>
        </w:rPr>
        <w:t>S. Kingstown Sch. Comm. v. Joanna S</w:t>
      </w:r>
      <w:r w:rsidRPr="00597432">
        <w:rPr>
          <w:color w:val="000000" w:themeColor="text1"/>
          <w:sz w:val="20"/>
          <w:szCs w:val="20"/>
          <w:bdr w:val="none" w:sz="0" w:space="0" w:color="auto" w:frame="1"/>
        </w:rPr>
        <w:t>.</w:t>
      </w:r>
      <w:r w:rsidRPr="00597432">
        <w:rPr>
          <w:color w:val="000000" w:themeColor="text1"/>
          <w:sz w:val="20"/>
          <w:szCs w:val="20"/>
        </w:rPr>
        <w:t>, 773 F.3d 344, 356 (1st Cir. 2014) (“</w:t>
      </w:r>
      <w:r w:rsidRPr="00597432">
        <w:rPr>
          <w:color w:val="000000" w:themeColor="text1"/>
          <w:sz w:val="20"/>
          <w:szCs w:val="20"/>
          <w:shd w:val="clear" w:color="auto" w:fill="FFFFFF"/>
        </w:rPr>
        <w:t>Congress also expressly allowed parties to resolve them through settlements. And when parties do so, the settlements must be given appropriate effect</w:t>
      </w:r>
      <w:r w:rsidRPr="00597432">
        <w:rPr>
          <w:color w:val="000000" w:themeColor="text1"/>
          <w:sz w:val="20"/>
          <w:szCs w:val="20"/>
        </w:rPr>
        <w:t>”).</w:t>
      </w:r>
    </w:p>
  </w:footnote>
  <w:footnote w:id="32">
    <w:p w14:paraId="574D648E" w14:textId="1B2A2685" w:rsidR="0084117B" w:rsidRPr="00597432" w:rsidRDefault="0084117B">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00253605" w:rsidRPr="00597432">
        <w:rPr>
          <w:rFonts w:ascii="Times New Roman" w:hAnsi="Times New Roman" w:cs="Times New Roman"/>
          <w:color w:val="000000" w:themeColor="text1"/>
        </w:rPr>
        <w:t xml:space="preserve">See </w:t>
      </w:r>
      <w:r w:rsidR="00253605" w:rsidRPr="00597432">
        <w:rPr>
          <w:rFonts w:ascii="Times New Roman" w:hAnsi="Times New Roman" w:cs="Times New Roman"/>
          <w:i/>
          <w:iCs/>
          <w:color w:val="000000" w:themeColor="text1"/>
        </w:rPr>
        <w:t>In</w:t>
      </w:r>
      <w:r w:rsidR="00374D9B" w:rsidRPr="00597432">
        <w:rPr>
          <w:rFonts w:ascii="Times New Roman" w:hAnsi="Times New Roman" w:cs="Times New Roman"/>
          <w:i/>
          <w:iCs/>
          <w:color w:val="000000" w:themeColor="text1"/>
        </w:rPr>
        <w:t xml:space="preserve"> Re: Harrison &amp; Isabella</w:t>
      </w:r>
      <w:r w:rsidR="00374D9B" w:rsidRPr="00597432">
        <w:rPr>
          <w:rFonts w:ascii="Times New Roman" w:hAnsi="Times New Roman" w:cs="Times New Roman"/>
          <w:color w:val="000000" w:themeColor="text1"/>
        </w:rPr>
        <w:t>, BSEA # 15-04277, 15-04</w:t>
      </w:r>
      <w:r w:rsidR="00DF4BC8" w:rsidRPr="00597432">
        <w:rPr>
          <w:rFonts w:ascii="Times New Roman" w:hAnsi="Times New Roman" w:cs="Times New Roman"/>
          <w:color w:val="000000" w:themeColor="text1"/>
        </w:rPr>
        <w:t xml:space="preserve">282 (Putney-Yaceshyn, 2015) </w:t>
      </w:r>
      <w:r w:rsidR="00253605" w:rsidRPr="00597432">
        <w:rPr>
          <w:rFonts w:ascii="Times New Roman" w:hAnsi="Times New Roman" w:cs="Times New Roman"/>
          <w:color w:val="000000" w:themeColor="text1"/>
        </w:rPr>
        <w:t>(“I</w:t>
      </w:r>
      <w:r w:rsidRPr="00597432">
        <w:rPr>
          <w:rFonts w:ascii="Times New Roman" w:hAnsi="Times New Roman" w:cs="Times New Roman"/>
          <w:color w:val="000000" w:themeColor="text1"/>
        </w:rPr>
        <w:t xml:space="preserve">f an IEP has been implemented, then that </w:t>
      </w:r>
      <w:r w:rsidR="001F1E4E" w:rsidRPr="00597432">
        <w:rPr>
          <w:rFonts w:ascii="Times New Roman" w:hAnsi="Times New Roman" w:cs="Times New Roman"/>
          <w:color w:val="000000" w:themeColor="text1"/>
        </w:rPr>
        <w:t>program’s</w:t>
      </w:r>
      <w:r w:rsidRPr="00597432">
        <w:rPr>
          <w:rFonts w:ascii="Times New Roman" w:hAnsi="Times New Roman" w:cs="Times New Roman"/>
          <w:color w:val="000000" w:themeColor="text1"/>
        </w:rPr>
        <w:t xml:space="preserve"> </w:t>
      </w:r>
      <w:r w:rsidR="001F1E4E" w:rsidRPr="00597432">
        <w:rPr>
          <w:rFonts w:ascii="Times New Roman" w:hAnsi="Times New Roman" w:cs="Times New Roman"/>
          <w:color w:val="000000" w:themeColor="text1"/>
        </w:rPr>
        <w:t>placement</w:t>
      </w:r>
      <w:r w:rsidRPr="00597432">
        <w:rPr>
          <w:rFonts w:ascii="Times New Roman" w:hAnsi="Times New Roman" w:cs="Times New Roman"/>
          <w:color w:val="000000" w:themeColor="text1"/>
        </w:rPr>
        <w:t xml:space="preserve"> will be the</w:t>
      </w:r>
      <w:r w:rsidR="00374D9B" w:rsidRPr="00597432">
        <w:rPr>
          <w:rFonts w:ascii="Times New Roman" w:hAnsi="Times New Roman" w:cs="Times New Roman"/>
          <w:color w:val="000000" w:themeColor="text1"/>
        </w:rPr>
        <w:t xml:space="preserve"> one</w:t>
      </w:r>
      <w:r w:rsidRPr="00597432">
        <w:rPr>
          <w:rFonts w:ascii="Times New Roman" w:hAnsi="Times New Roman" w:cs="Times New Roman"/>
          <w:color w:val="000000" w:themeColor="text1"/>
        </w:rPr>
        <w:t xml:space="preserve"> subject</w:t>
      </w:r>
      <w:r w:rsidR="00374D9B" w:rsidRPr="00597432">
        <w:rPr>
          <w:rFonts w:ascii="Times New Roman" w:hAnsi="Times New Roman" w:cs="Times New Roman"/>
          <w:color w:val="000000" w:themeColor="text1"/>
        </w:rPr>
        <w:t xml:space="preserve"> to the </w:t>
      </w:r>
      <w:r w:rsidR="00DF37DA" w:rsidRPr="00597432">
        <w:rPr>
          <w:rFonts w:ascii="Times New Roman" w:hAnsi="Times New Roman" w:cs="Times New Roman"/>
          <w:color w:val="000000" w:themeColor="text1"/>
        </w:rPr>
        <w:t>[st</w:t>
      </w:r>
      <w:r w:rsidR="00374D9B" w:rsidRPr="00597432">
        <w:rPr>
          <w:rFonts w:ascii="Times New Roman" w:hAnsi="Times New Roman" w:cs="Times New Roman"/>
          <w:color w:val="000000" w:themeColor="text1"/>
        </w:rPr>
        <w:t>ay</w:t>
      </w:r>
      <w:r w:rsidR="00DF37DA" w:rsidRPr="00597432">
        <w:rPr>
          <w:rFonts w:ascii="Times New Roman" w:hAnsi="Times New Roman" w:cs="Times New Roman"/>
          <w:color w:val="000000" w:themeColor="text1"/>
        </w:rPr>
        <w:t>-</w:t>
      </w:r>
      <w:r w:rsidR="00374D9B" w:rsidRPr="00597432">
        <w:rPr>
          <w:rFonts w:ascii="Times New Roman" w:hAnsi="Times New Roman" w:cs="Times New Roman"/>
          <w:color w:val="000000" w:themeColor="text1"/>
        </w:rPr>
        <w:t>put</w:t>
      </w:r>
      <w:r w:rsidR="00DF37DA" w:rsidRPr="00597432">
        <w:rPr>
          <w:rFonts w:ascii="Times New Roman" w:hAnsi="Times New Roman" w:cs="Times New Roman"/>
          <w:color w:val="000000" w:themeColor="text1"/>
        </w:rPr>
        <w:t>]</w:t>
      </w:r>
      <w:r w:rsidR="00374D9B" w:rsidRPr="00597432">
        <w:rPr>
          <w:rFonts w:ascii="Times New Roman" w:hAnsi="Times New Roman" w:cs="Times New Roman"/>
          <w:color w:val="000000" w:themeColor="text1"/>
        </w:rPr>
        <w:t xml:space="preserve"> provision</w:t>
      </w:r>
      <w:r w:rsidR="00253605" w:rsidRPr="00597432">
        <w:rPr>
          <w:rFonts w:ascii="Times New Roman" w:hAnsi="Times New Roman" w:cs="Times New Roman"/>
          <w:color w:val="000000" w:themeColor="text1"/>
        </w:rPr>
        <w:t>”).</w:t>
      </w:r>
    </w:p>
  </w:footnote>
  <w:footnote w:id="33">
    <w:p w14:paraId="492FA259" w14:textId="6B91B64E" w:rsidR="003966C7" w:rsidRPr="00597432" w:rsidRDefault="003966C7">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00253605" w:rsidRPr="00597432">
        <w:rPr>
          <w:rFonts w:ascii="Times New Roman" w:hAnsi="Times New Roman" w:cs="Times New Roman"/>
          <w:color w:val="000000" w:themeColor="text1"/>
        </w:rPr>
        <w:t xml:space="preserve">See </w:t>
      </w:r>
      <w:r w:rsidRPr="00597432">
        <w:rPr>
          <w:rFonts w:ascii="Times New Roman" w:hAnsi="Times New Roman" w:cs="Times New Roman"/>
          <w:i/>
          <w:iCs/>
          <w:color w:val="000000" w:themeColor="text1"/>
        </w:rPr>
        <w:t xml:space="preserve">In Re: Brockton </w:t>
      </w:r>
      <w:r w:rsidR="0021143E" w:rsidRPr="00597432">
        <w:rPr>
          <w:rFonts w:ascii="Times New Roman" w:hAnsi="Times New Roman" w:cs="Times New Roman"/>
          <w:i/>
          <w:iCs/>
          <w:color w:val="000000" w:themeColor="text1"/>
        </w:rPr>
        <w:t>Public</w:t>
      </w:r>
      <w:r w:rsidRPr="00597432">
        <w:rPr>
          <w:rFonts w:ascii="Times New Roman" w:hAnsi="Times New Roman" w:cs="Times New Roman"/>
          <w:i/>
          <w:iCs/>
          <w:color w:val="000000" w:themeColor="text1"/>
        </w:rPr>
        <w:t xml:space="preserve"> Schools v. </w:t>
      </w:r>
      <w:r w:rsidR="0021143E" w:rsidRPr="00597432">
        <w:rPr>
          <w:rFonts w:ascii="Times New Roman" w:hAnsi="Times New Roman" w:cs="Times New Roman"/>
          <w:i/>
          <w:iCs/>
          <w:color w:val="000000" w:themeColor="text1"/>
        </w:rPr>
        <w:t>Student</w:t>
      </w:r>
      <w:r w:rsidRPr="00597432">
        <w:rPr>
          <w:rFonts w:ascii="Times New Roman" w:hAnsi="Times New Roman" w:cs="Times New Roman"/>
          <w:color w:val="000000" w:themeColor="text1"/>
        </w:rPr>
        <w:t xml:space="preserve">, BSEA #16-01536, (Figueroa, </w:t>
      </w:r>
      <w:r w:rsidR="0021143E" w:rsidRPr="00597432">
        <w:rPr>
          <w:rFonts w:ascii="Times New Roman" w:hAnsi="Times New Roman" w:cs="Times New Roman"/>
          <w:color w:val="000000" w:themeColor="text1"/>
        </w:rPr>
        <w:t>2015)</w:t>
      </w:r>
      <w:r w:rsidR="00E84B74" w:rsidRPr="00597432">
        <w:rPr>
          <w:rFonts w:ascii="Times New Roman" w:hAnsi="Times New Roman" w:cs="Times New Roman"/>
          <w:color w:val="000000" w:themeColor="text1"/>
        </w:rPr>
        <w:t>.</w:t>
      </w:r>
    </w:p>
  </w:footnote>
  <w:footnote w:id="34">
    <w:p w14:paraId="50E89E02" w14:textId="02B149F3" w:rsidR="0032260F" w:rsidRPr="00597432" w:rsidRDefault="0032260F" w:rsidP="00BA6BB7">
      <w:pPr>
        <w:pBdr>
          <w:top w:val="nil"/>
          <w:left w:val="nil"/>
          <w:bottom w:val="nil"/>
          <w:right w:val="nil"/>
          <w:between w:val="nil"/>
        </w:pBdr>
        <w:rPr>
          <w:color w:val="000000" w:themeColor="text1"/>
          <w:sz w:val="20"/>
          <w:szCs w:val="20"/>
        </w:rPr>
      </w:pPr>
      <w:r w:rsidRPr="00597432">
        <w:rPr>
          <w:rStyle w:val="FootnoteReference"/>
          <w:color w:val="000000" w:themeColor="text1"/>
          <w:sz w:val="20"/>
          <w:szCs w:val="20"/>
        </w:rPr>
        <w:footnoteRef/>
      </w:r>
      <w:r w:rsidRPr="00597432">
        <w:rPr>
          <w:color w:val="000000" w:themeColor="text1"/>
          <w:sz w:val="20"/>
          <w:szCs w:val="20"/>
        </w:rPr>
        <w:t xml:space="preserve"> See</w:t>
      </w:r>
      <w:r w:rsidR="000C3AEA" w:rsidRPr="00597432">
        <w:rPr>
          <w:color w:val="000000" w:themeColor="text1"/>
          <w:sz w:val="20"/>
          <w:szCs w:val="20"/>
        </w:rPr>
        <w:t xml:space="preserve"> </w:t>
      </w:r>
      <w:r w:rsidR="000C3AEA" w:rsidRPr="00597432">
        <w:rPr>
          <w:i/>
          <w:iCs/>
          <w:color w:val="000000" w:themeColor="text1"/>
          <w:sz w:val="20"/>
          <w:szCs w:val="20"/>
        </w:rPr>
        <w:t>In Re: Sharon Public Schools</w:t>
      </w:r>
      <w:r w:rsidR="000C3AEA" w:rsidRPr="00597432">
        <w:rPr>
          <w:color w:val="000000" w:themeColor="text1"/>
          <w:sz w:val="20"/>
          <w:szCs w:val="20"/>
        </w:rPr>
        <w:t xml:space="preserve">, BSEA # 09-2797 (Crane, 2008) (citing </w:t>
      </w:r>
      <w:r w:rsidR="00BA6BB7" w:rsidRPr="00597432">
        <w:rPr>
          <w:color w:val="000000" w:themeColor="text1"/>
          <w:sz w:val="20"/>
          <w:szCs w:val="20"/>
        </w:rPr>
        <w:t>additional BSEA matters which state that</w:t>
      </w:r>
      <w:r w:rsidRPr="00597432">
        <w:rPr>
          <w:color w:val="000000" w:themeColor="text1"/>
          <w:sz w:val="20"/>
          <w:szCs w:val="20"/>
        </w:rPr>
        <w:t xml:space="preserve"> </w:t>
      </w:r>
      <w:r w:rsidR="00BA6BB7" w:rsidRPr="00597432">
        <w:rPr>
          <w:color w:val="000000" w:themeColor="text1"/>
          <w:sz w:val="20"/>
          <w:szCs w:val="20"/>
        </w:rPr>
        <w:t>a d</w:t>
      </w:r>
      <w:r w:rsidRPr="00597432">
        <w:rPr>
          <w:color w:val="000000" w:themeColor="text1"/>
          <w:sz w:val="20"/>
          <w:szCs w:val="20"/>
        </w:rPr>
        <w:t xml:space="preserve">iagnostic program cannot, by regulation, be a </w:t>
      </w:r>
      <w:r w:rsidR="00BA6BB7" w:rsidRPr="00597432">
        <w:rPr>
          <w:color w:val="000000" w:themeColor="text1"/>
          <w:sz w:val="20"/>
          <w:szCs w:val="20"/>
        </w:rPr>
        <w:t>s</w:t>
      </w:r>
      <w:r w:rsidRPr="00597432">
        <w:rPr>
          <w:color w:val="000000" w:themeColor="text1"/>
          <w:sz w:val="20"/>
          <w:szCs w:val="20"/>
        </w:rPr>
        <w:t xml:space="preserve">tudent’s </w:t>
      </w:r>
      <w:r w:rsidR="00A4416C" w:rsidRPr="00597432">
        <w:rPr>
          <w:color w:val="000000" w:themeColor="text1"/>
          <w:sz w:val="20"/>
          <w:szCs w:val="20"/>
        </w:rPr>
        <w:t>s</w:t>
      </w:r>
      <w:r w:rsidRPr="00597432">
        <w:rPr>
          <w:color w:val="000000" w:themeColor="text1"/>
          <w:sz w:val="20"/>
          <w:szCs w:val="20"/>
        </w:rPr>
        <w:t xml:space="preserve">tay </w:t>
      </w:r>
      <w:r w:rsidR="00A4416C" w:rsidRPr="00597432">
        <w:rPr>
          <w:color w:val="000000" w:themeColor="text1"/>
          <w:sz w:val="20"/>
          <w:szCs w:val="20"/>
        </w:rPr>
        <w:t>p</w:t>
      </w:r>
      <w:r w:rsidRPr="00597432">
        <w:rPr>
          <w:color w:val="000000" w:themeColor="text1"/>
          <w:sz w:val="20"/>
          <w:szCs w:val="20"/>
        </w:rPr>
        <w:t>ut placement</w:t>
      </w:r>
      <w:r w:rsidR="00BA6BB7" w:rsidRPr="00597432">
        <w:rPr>
          <w:color w:val="000000" w:themeColor="text1"/>
          <w:sz w:val="20"/>
          <w:szCs w:val="20"/>
        </w:rPr>
        <w:t>).</w:t>
      </w:r>
    </w:p>
  </w:footnote>
  <w:footnote w:id="35">
    <w:p w14:paraId="24C06FE9" w14:textId="3DFAD069" w:rsidR="00EC2441" w:rsidRPr="00597432" w:rsidRDefault="00EC2441">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w:t>
      </w:r>
      <w:r w:rsidR="00341B9E" w:rsidRPr="00597432">
        <w:rPr>
          <w:rFonts w:ascii="Times New Roman" w:hAnsi="Times New Roman" w:cs="Times New Roman"/>
          <w:color w:val="000000" w:themeColor="text1"/>
        </w:rPr>
        <w:t xml:space="preserve">See </w:t>
      </w:r>
      <w:r w:rsidR="0062099E" w:rsidRPr="00597432">
        <w:rPr>
          <w:rFonts w:ascii="Times New Roman" w:hAnsi="Times New Roman" w:cs="Times New Roman"/>
          <w:i/>
          <w:iCs/>
          <w:color w:val="000000" w:themeColor="text1"/>
        </w:rPr>
        <w:t>I</w:t>
      </w:r>
      <w:r w:rsidR="002B5804" w:rsidRPr="00597432">
        <w:rPr>
          <w:rFonts w:ascii="Times New Roman" w:hAnsi="Times New Roman" w:cs="Times New Roman"/>
          <w:i/>
          <w:iCs/>
          <w:color w:val="000000" w:themeColor="text1"/>
        </w:rPr>
        <w:t>n Re Quincy Public Schools</w:t>
      </w:r>
      <w:r w:rsidR="002B5804" w:rsidRPr="00597432">
        <w:rPr>
          <w:rFonts w:ascii="Times New Roman" w:hAnsi="Times New Roman" w:cs="Times New Roman"/>
          <w:color w:val="000000" w:themeColor="text1"/>
        </w:rPr>
        <w:t>, BSEA #1307468, 19 MSER 173 (</w:t>
      </w:r>
      <w:r w:rsidR="001F1E4E" w:rsidRPr="00597432">
        <w:rPr>
          <w:rFonts w:ascii="Times New Roman" w:hAnsi="Times New Roman" w:cs="Times New Roman"/>
          <w:color w:val="000000" w:themeColor="text1"/>
        </w:rPr>
        <w:t xml:space="preserve">Crane, </w:t>
      </w:r>
      <w:r w:rsidR="002B5804" w:rsidRPr="00597432">
        <w:rPr>
          <w:rFonts w:ascii="Times New Roman" w:hAnsi="Times New Roman" w:cs="Times New Roman"/>
          <w:color w:val="000000" w:themeColor="text1"/>
        </w:rPr>
        <w:t>2013)</w:t>
      </w:r>
      <w:r w:rsidR="001F1E4E" w:rsidRPr="00597432">
        <w:rPr>
          <w:rFonts w:ascii="Times New Roman" w:hAnsi="Times New Roman" w:cs="Times New Roman"/>
          <w:color w:val="000000" w:themeColor="text1"/>
        </w:rPr>
        <w:t xml:space="preserve"> </w:t>
      </w:r>
      <w:r w:rsidR="00341B9E" w:rsidRPr="00597432">
        <w:rPr>
          <w:rFonts w:ascii="Times New Roman" w:hAnsi="Times New Roman" w:cs="Times New Roman"/>
          <w:color w:val="000000" w:themeColor="text1"/>
        </w:rPr>
        <w:t>(“</w:t>
      </w:r>
      <w:r w:rsidR="002814AB" w:rsidRPr="00597432">
        <w:rPr>
          <w:rFonts w:ascii="Times New Roman" w:hAnsi="Times New Roman" w:cs="Times New Roman"/>
          <w:color w:val="000000" w:themeColor="text1"/>
        </w:rPr>
        <w:t xml:space="preserve">The </w:t>
      </w:r>
      <w:r w:rsidR="0062099E" w:rsidRPr="00597432">
        <w:rPr>
          <w:rFonts w:ascii="Times New Roman" w:hAnsi="Times New Roman" w:cs="Times New Roman"/>
          <w:color w:val="000000" w:themeColor="text1"/>
        </w:rPr>
        <w:t>stay-p</w:t>
      </w:r>
      <w:r w:rsidR="002814AB" w:rsidRPr="00597432">
        <w:rPr>
          <w:rFonts w:ascii="Times New Roman" w:hAnsi="Times New Roman" w:cs="Times New Roman"/>
          <w:color w:val="000000" w:themeColor="text1"/>
        </w:rPr>
        <w:t xml:space="preserve">ut ruling did </w:t>
      </w:r>
      <w:r w:rsidR="00341B9E" w:rsidRPr="00597432">
        <w:rPr>
          <w:rFonts w:ascii="Times New Roman" w:hAnsi="Times New Roman" w:cs="Times New Roman"/>
          <w:color w:val="000000" w:themeColor="text1"/>
        </w:rPr>
        <w:t>n</w:t>
      </w:r>
      <w:r w:rsidR="002814AB" w:rsidRPr="00597432">
        <w:rPr>
          <w:rFonts w:ascii="Times New Roman" w:hAnsi="Times New Roman" w:cs="Times New Roman"/>
          <w:color w:val="000000" w:themeColor="text1"/>
        </w:rPr>
        <w:t>ot consider</w:t>
      </w:r>
      <w:r w:rsidR="00C50169" w:rsidRPr="00597432">
        <w:rPr>
          <w:rFonts w:ascii="Times New Roman" w:hAnsi="Times New Roman" w:cs="Times New Roman"/>
          <w:color w:val="000000" w:themeColor="text1"/>
        </w:rPr>
        <w:t>, nor would it have been appropriate to consider, the appropriateness of the Clarke School placement.</w:t>
      </w:r>
      <w:r w:rsidR="00D72584" w:rsidRPr="00597432">
        <w:rPr>
          <w:rFonts w:ascii="Times New Roman" w:hAnsi="Times New Roman" w:cs="Times New Roman"/>
          <w:color w:val="000000" w:themeColor="text1"/>
        </w:rPr>
        <w:t xml:space="preserve"> Stay</w:t>
      </w:r>
      <w:r w:rsidR="0062099E" w:rsidRPr="00597432">
        <w:rPr>
          <w:rFonts w:ascii="Times New Roman" w:hAnsi="Times New Roman" w:cs="Times New Roman"/>
          <w:color w:val="000000" w:themeColor="text1"/>
        </w:rPr>
        <w:t>-</w:t>
      </w:r>
      <w:r w:rsidR="00D72584" w:rsidRPr="00597432">
        <w:rPr>
          <w:rFonts w:ascii="Times New Roman" w:hAnsi="Times New Roman" w:cs="Times New Roman"/>
          <w:color w:val="000000" w:themeColor="text1"/>
        </w:rPr>
        <w:t xml:space="preserve">put’s essential purpose is </w:t>
      </w:r>
      <w:r w:rsidR="00A20C30" w:rsidRPr="00597432">
        <w:rPr>
          <w:rFonts w:ascii="Times New Roman" w:hAnsi="Times New Roman" w:cs="Times New Roman"/>
          <w:color w:val="000000" w:themeColor="text1"/>
        </w:rPr>
        <w:t xml:space="preserve">‘to preserve the status quo pending resolution of </w:t>
      </w:r>
      <w:r w:rsidR="00341B9E" w:rsidRPr="00597432">
        <w:rPr>
          <w:rFonts w:ascii="Times New Roman" w:hAnsi="Times New Roman" w:cs="Times New Roman"/>
          <w:color w:val="000000" w:themeColor="text1"/>
        </w:rPr>
        <w:t>challenge</w:t>
      </w:r>
      <w:r w:rsidR="00A20C30" w:rsidRPr="00597432">
        <w:rPr>
          <w:rFonts w:ascii="Times New Roman" w:hAnsi="Times New Roman" w:cs="Times New Roman"/>
          <w:color w:val="000000" w:themeColor="text1"/>
        </w:rPr>
        <w:t xml:space="preserve"> proceedings under the IDEA’ </w:t>
      </w:r>
      <w:r w:rsidR="00341B9E" w:rsidRPr="00597432">
        <w:rPr>
          <w:rFonts w:ascii="Times New Roman" w:hAnsi="Times New Roman" w:cs="Times New Roman"/>
          <w:color w:val="000000" w:themeColor="text1"/>
        </w:rPr>
        <w:t>rather</w:t>
      </w:r>
      <w:r w:rsidR="00A20C30" w:rsidRPr="00597432">
        <w:rPr>
          <w:rFonts w:ascii="Times New Roman" w:hAnsi="Times New Roman" w:cs="Times New Roman"/>
          <w:color w:val="000000" w:themeColor="text1"/>
        </w:rPr>
        <w:t xml:space="preserve"> than </w:t>
      </w:r>
      <w:r w:rsidR="00341B9E" w:rsidRPr="00597432">
        <w:rPr>
          <w:rFonts w:ascii="Times New Roman" w:hAnsi="Times New Roman" w:cs="Times New Roman"/>
          <w:color w:val="000000" w:themeColor="text1"/>
        </w:rPr>
        <w:t>t</w:t>
      </w:r>
      <w:r w:rsidR="00A20C30" w:rsidRPr="00597432">
        <w:rPr>
          <w:rFonts w:ascii="Times New Roman" w:hAnsi="Times New Roman" w:cs="Times New Roman"/>
          <w:color w:val="000000" w:themeColor="text1"/>
        </w:rPr>
        <w:t xml:space="preserve">o resolve the question of whether status quo is reasonably calculated to provide </w:t>
      </w:r>
      <w:r w:rsidR="0062099E" w:rsidRPr="00597432">
        <w:rPr>
          <w:rFonts w:ascii="Times New Roman" w:hAnsi="Times New Roman" w:cs="Times New Roman"/>
          <w:color w:val="000000" w:themeColor="text1"/>
        </w:rPr>
        <w:t>a student with FAPE”</w:t>
      </w:r>
      <w:r w:rsidR="00341B9E" w:rsidRPr="00597432">
        <w:rPr>
          <w:rFonts w:ascii="Times New Roman" w:hAnsi="Times New Roman" w:cs="Times New Roman"/>
          <w:color w:val="000000" w:themeColor="text1"/>
        </w:rPr>
        <w:t>).</w:t>
      </w:r>
    </w:p>
  </w:footnote>
  <w:footnote w:id="36">
    <w:p w14:paraId="03223AB1" w14:textId="05F9A576" w:rsidR="00341B9E" w:rsidRPr="00597432" w:rsidRDefault="00341B9E">
      <w:pPr>
        <w:pStyle w:val="FootnoteText"/>
        <w:rPr>
          <w:rFonts w:ascii="Times New Roman" w:hAnsi="Times New Roman" w:cs="Times New Roman"/>
          <w:color w:val="000000" w:themeColor="text1"/>
        </w:rPr>
      </w:pPr>
      <w:r w:rsidRPr="00597432">
        <w:rPr>
          <w:rStyle w:val="FootnoteReference"/>
          <w:rFonts w:ascii="Times New Roman" w:hAnsi="Times New Roman" w:cs="Times New Roman"/>
          <w:color w:val="000000" w:themeColor="text1"/>
        </w:rPr>
        <w:footnoteRef/>
      </w:r>
      <w:r w:rsidRPr="00597432">
        <w:rPr>
          <w:rFonts w:ascii="Times New Roman" w:hAnsi="Times New Roman" w:cs="Times New Roman"/>
          <w:color w:val="000000" w:themeColor="text1"/>
        </w:rPr>
        <w:t xml:space="preserve"> See </w:t>
      </w:r>
      <w:r w:rsidRPr="00597432">
        <w:rPr>
          <w:rFonts w:ascii="Times New Roman" w:hAnsi="Times New Roman" w:cs="Times New Roman"/>
          <w:i/>
          <w:iCs/>
          <w:color w:val="000000" w:themeColor="text1"/>
        </w:rPr>
        <w:t>In Re: Harrison &amp; Isabella</w:t>
      </w:r>
      <w:r w:rsidRPr="00597432">
        <w:rPr>
          <w:rFonts w:ascii="Times New Roman" w:hAnsi="Times New Roman" w:cs="Times New Roman"/>
          <w:color w:val="000000" w:themeColor="text1"/>
        </w:rPr>
        <w:t>, BSEA # 15-04277, 15-04282 (Putney-Yaceshyn, 2015) (“If an IEP has been implemented, then that program’s placement will be the one subject to the stay put provision”).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FA1"/>
    <w:multiLevelType w:val="multilevel"/>
    <w:tmpl w:val="6EBA3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B4324E"/>
    <w:multiLevelType w:val="multilevel"/>
    <w:tmpl w:val="0DE69F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5F1F7C"/>
    <w:multiLevelType w:val="multilevel"/>
    <w:tmpl w:val="3DB25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B97A89"/>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B74A65"/>
    <w:multiLevelType w:val="multilevel"/>
    <w:tmpl w:val="947C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6A0604"/>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DE2770"/>
    <w:multiLevelType w:val="multilevel"/>
    <w:tmpl w:val="6EBA3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CF0900"/>
    <w:multiLevelType w:val="multilevel"/>
    <w:tmpl w:val="D5E0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E7"/>
    <w:rsid w:val="000035B9"/>
    <w:rsid w:val="000175F6"/>
    <w:rsid w:val="00021D78"/>
    <w:rsid w:val="00024245"/>
    <w:rsid w:val="0003384D"/>
    <w:rsid w:val="00035AFA"/>
    <w:rsid w:val="00040E77"/>
    <w:rsid w:val="00043F9E"/>
    <w:rsid w:val="0004463F"/>
    <w:rsid w:val="00045B0D"/>
    <w:rsid w:val="00060E08"/>
    <w:rsid w:val="00062D2F"/>
    <w:rsid w:val="00063041"/>
    <w:rsid w:val="00066A34"/>
    <w:rsid w:val="00066CAA"/>
    <w:rsid w:val="0008031F"/>
    <w:rsid w:val="000839FC"/>
    <w:rsid w:val="00085AC6"/>
    <w:rsid w:val="00091897"/>
    <w:rsid w:val="00092867"/>
    <w:rsid w:val="000944A5"/>
    <w:rsid w:val="00096387"/>
    <w:rsid w:val="000A67C2"/>
    <w:rsid w:val="000B004B"/>
    <w:rsid w:val="000B0D9C"/>
    <w:rsid w:val="000B6BEB"/>
    <w:rsid w:val="000B783A"/>
    <w:rsid w:val="000C3AEA"/>
    <w:rsid w:val="000C3BF9"/>
    <w:rsid w:val="000D2192"/>
    <w:rsid w:val="000D68F0"/>
    <w:rsid w:val="000D7AF5"/>
    <w:rsid w:val="000F08EE"/>
    <w:rsid w:val="000F111A"/>
    <w:rsid w:val="00104B92"/>
    <w:rsid w:val="001066E6"/>
    <w:rsid w:val="001249B5"/>
    <w:rsid w:val="00132315"/>
    <w:rsid w:val="00134D7A"/>
    <w:rsid w:val="00135258"/>
    <w:rsid w:val="00137BF5"/>
    <w:rsid w:val="00141EC0"/>
    <w:rsid w:val="00145E59"/>
    <w:rsid w:val="00146BA7"/>
    <w:rsid w:val="00152B73"/>
    <w:rsid w:val="001558EB"/>
    <w:rsid w:val="00156DCE"/>
    <w:rsid w:val="0016739D"/>
    <w:rsid w:val="00167A42"/>
    <w:rsid w:val="00185CFA"/>
    <w:rsid w:val="001925EF"/>
    <w:rsid w:val="001948BA"/>
    <w:rsid w:val="001976B4"/>
    <w:rsid w:val="001B0B3E"/>
    <w:rsid w:val="001B1321"/>
    <w:rsid w:val="001B16D7"/>
    <w:rsid w:val="001B2142"/>
    <w:rsid w:val="001C3541"/>
    <w:rsid w:val="001D0E79"/>
    <w:rsid w:val="001D5685"/>
    <w:rsid w:val="001D68AD"/>
    <w:rsid w:val="001D7247"/>
    <w:rsid w:val="001D7B04"/>
    <w:rsid w:val="001E0F9E"/>
    <w:rsid w:val="001E3022"/>
    <w:rsid w:val="001E4974"/>
    <w:rsid w:val="001E682B"/>
    <w:rsid w:val="001F0263"/>
    <w:rsid w:val="001F1E4E"/>
    <w:rsid w:val="001F5C85"/>
    <w:rsid w:val="002036B4"/>
    <w:rsid w:val="0021143E"/>
    <w:rsid w:val="002123FD"/>
    <w:rsid w:val="0022591F"/>
    <w:rsid w:val="00225AFF"/>
    <w:rsid w:val="002271C8"/>
    <w:rsid w:val="00231A16"/>
    <w:rsid w:val="00237C84"/>
    <w:rsid w:val="00242256"/>
    <w:rsid w:val="00242699"/>
    <w:rsid w:val="00250F32"/>
    <w:rsid w:val="00251F6E"/>
    <w:rsid w:val="00253605"/>
    <w:rsid w:val="00255871"/>
    <w:rsid w:val="00255D3F"/>
    <w:rsid w:val="00257441"/>
    <w:rsid w:val="00265DD1"/>
    <w:rsid w:val="002717D3"/>
    <w:rsid w:val="00272C44"/>
    <w:rsid w:val="002814AB"/>
    <w:rsid w:val="00283388"/>
    <w:rsid w:val="00285892"/>
    <w:rsid w:val="0029041F"/>
    <w:rsid w:val="002913AA"/>
    <w:rsid w:val="00291648"/>
    <w:rsid w:val="002A30FE"/>
    <w:rsid w:val="002A4375"/>
    <w:rsid w:val="002B3A70"/>
    <w:rsid w:val="002B5804"/>
    <w:rsid w:val="002C03D9"/>
    <w:rsid w:val="002C47E4"/>
    <w:rsid w:val="002C5D07"/>
    <w:rsid w:val="002E428B"/>
    <w:rsid w:val="002E4B70"/>
    <w:rsid w:val="002E5480"/>
    <w:rsid w:val="002E5E0C"/>
    <w:rsid w:val="002E622B"/>
    <w:rsid w:val="002E7F1B"/>
    <w:rsid w:val="002F334F"/>
    <w:rsid w:val="002F4833"/>
    <w:rsid w:val="002F4B2D"/>
    <w:rsid w:val="002F6BDB"/>
    <w:rsid w:val="00302D05"/>
    <w:rsid w:val="0030658D"/>
    <w:rsid w:val="00306624"/>
    <w:rsid w:val="00307162"/>
    <w:rsid w:val="00310978"/>
    <w:rsid w:val="00312C54"/>
    <w:rsid w:val="003167EF"/>
    <w:rsid w:val="00321C81"/>
    <w:rsid w:val="0032260F"/>
    <w:rsid w:val="0033224A"/>
    <w:rsid w:val="003371E2"/>
    <w:rsid w:val="003402F5"/>
    <w:rsid w:val="00341B9E"/>
    <w:rsid w:val="0034650D"/>
    <w:rsid w:val="00346C58"/>
    <w:rsid w:val="00347568"/>
    <w:rsid w:val="0035271F"/>
    <w:rsid w:val="00352758"/>
    <w:rsid w:val="00356725"/>
    <w:rsid w:val="00360395"/>
    <w:rsid w:val="00363EA3"/>
    <w:rsid w:val="003731C7"/>
    <w:rsid w:val="00374D9B"/>
    <w:rsid w:val="003765BA"/>
    <w:rsid w:val="0038231F"/>
    <w:rsid w:val="00386CFD"/>
    <w:rsid w:val="00390261"/>
    <w:rsid w:val="003905E4"/>
    <w:rsid w:val="003966C7"/>
    <w:rsid w:val="003A063E"/>
    <w:rsid w:val="003A1F9D"/>
    <w:rsid w:val="003A36D9"/>
    <w:rsid w:val="003B323F"/>
    <w:rsid w:val="003C3C90"/>
    <w:rsid w:val="003D576E"/>
    <w:rsid w:val="003E0F84"/>
    <w:rsid w:val="003E2F6C"/>
    <w:rsid w:val="003E42F2"/>
    <w:rsid w:val="003E64BB"/>
    <w:rsid w:val="003F0CA6"/>
    <w:rsid w:val="003F61F3"/>
    <w:rsid w:val="00406B06"/>
    <w:rsid w:val="00410830"/>
    <w:rsid w:val="00412FC8"/>
    <w:rsid w:val="004165DC"/>
    <w:rsid w:val="004165FA"/>
    <w:rsid w:val="004170D5"/>
    <w:rsid w:val="0041776F"/>
    <w:rsid w:val="004202FA"/>
    <w:rsid w:val="00420D11"/>
    <w:rsid w:val="00425E11"/>
    <w:rsid w:val="0044014D"/>
    <w:rsid w:val="00444742"/>
    <w:rsid w:val="004502A4"/>
    <w:rsid w:val="0045121C"/>
    <w:rsid w:val="00451B59"/>
    <w:rsid w:val="00452FDD"/>
    <w:rsid w:val="00453697"/>
    <w:rsid w:val="00457995"/>
    <w:rsid w:val="00464339"/>
    <w:rsid w:val="004678AA"/>
    <w:rsid w:val="00480CFD"/>
    <w:rsid w:val="0048144C"/>
    <w:rsid w:val="00484DF7"/>
    <w:rsid w:val="00485460"/>
    <w:rsid w:val="00487946"/>
    <w:rsid w:val="00490119"/>
    <w:rsid w:val="004931D0"/>
    <w:rsid w:val="004A0DAE"/>
    <w:rsid w:val="004A159C"/>
    <w:rsid w:val="004A5842"/>
    <w:rsid w:val="004A7A6B"/>
    <w:rsid w:val="004A7D43"/>
    <w:rsid w:val="004B1119"/>
    <w:rsid w:val="004C11A7"/>
    <w:rsid w:val="004C793D"/>
    <w:rsid w:val="004D19A4"/>
    <w:rsid w:val="004D33C5"/>
    <w:rsid w:val="004E6A02"/>
    <w:rsid w:val="004F2F1C"/>
    <w:rsid w:val="0050065D"/>
    <w:rsid w:val="00501304"/>
    <w:rsid w:val="00504723"/>
    <w:rsid w:val="0050581B"/>
    <w:rsid w:val="00505C1E"/>
    <w:rsid w:val="00512695"/>
    <w:rsid w:val="0051468C"/>
    <w:rsid w:val="005166F6"/>
    <w:rsid w:val="00522BAE"/>
    <w:rsid w:val="00530EA4"/>
    <w:rsid w:val="0054089B"/>
    <w:rsid w:val="0054602E"/>
    <w:rsid w:val="00547EBC"/>
    <w:rsid w:val="00564CD9"/>
    <w:rsid w:val="005736F4"/>
    <w:rsid w:val="005764A2"/>
    <w:rsid w:val="00576FDE"/>
    <w:rsid w:val="005828F8"/>
    <w:rsid w:val="00587868"/>
    <w:rsid w:val="005912FD"/>
    <w:rsid w:val="00597432"/>
    <w:rsid w:val="00597D09"/>
    <w:rsid w:val="005A76BF"/>
    <w:rsid w:val="005B32E4"/>
    <w:rsid w:val="005B7261"/>
    <w:rsid w:val="005C421B"/>
    <w:rsid w:val="005C6461"/>
    <w:rsid w:val="005F3B9D"/>
    <w:rsid w:val="005F4C42"/>
    <w:rsid w:val="005F593F"/>
    <w:rsid w:val="005F76EE"/>
    <w:rsid w:val="00604DB2"/>
    <w:rsid w:val="0060526F"/>
    <w:rsid w:val="006055D8"/>
    <w:rsid w:val="00606C28"/>
    <w:rsid w:val="00607EBC"/>
    <w:rsid w:val="00610ADA"/>
    <w:rsid w:val="0062099E"/>
    <w:rsid w:val="00623AD8"/>
    <w:rsid w:val="0062440B"/>
    <w:rsid w:val="00633B81"/>
    <w:rsid w:val="00635967"/>
    <w:rsid w:val="00637FC7"/>
    <w:rsid w:val="00640A45"/>
    <w:rsid w:val="00642944"/>
    <w:rsid w:val="006444C9"/>
    <w:rsid w:val="00646ECE"/>
    <w:rsid w:val="00653C0A"/>
    <w:rsid w:val="00672AB9"/>
    <w:rsid w:val="00674BF9"/>
    <w:rsid w:val="00683902"/>
    <w:rsid w:val="00683CAA"/>
    <w:rsid w:val="00686DE0"/>
    <w:rsid w:val="00687F84"/>
    <w:rsid w:val="00692074"/>
    <w:rsid w:val="00696990"/>
    <w:rsid w:val="006A00B0"/>
    <w:rsid w:val="006A6709"/>
    <w:rsid w:val="006A6C13"/>
    <w:rsid w:val="006B4DAF"/>
    <w:rsid w:val="006C402B"/>
    <w:rsid w:val="006C4891"/>
    <w:rsid w:val="006D0BFF"/>
    <w:rsid w:val="006D2037"/>
    <w:rsid w:val="006E0089"/>
    <w:rsid w:val="006E44D1"/>
    <w:rsid w:val="006E6A62"/>
    <w:rsid w:val="006F0B8A"/>
    <w:rsid w:val="00702534"/>
    <w:rsid w:val="00703108"/>
    <w:rsid w:val="00705B01"/>
    <w:rsid w:val="00707942"/>
    <w:rsid w:val="00717B74"/>
    <w:rsid w:val="007215D2"/>
    <w:rsid w:val="00737451"/>
    <w:rsid w:val="007378A5"/>
    <w:rsid w:val="00741BD9"/>
    <w:rsid w:val="007423B3"/>
    <w:rsid w:val="007439A9"/>
    <w:rsid w:val="00745CC1"/>
    <w:rsid w:val="00756B5F"/>
    <w:rsid w:val="00756C52"/>
    <w:rsid w:val="0076602D"/>
    <w:rsid w:val="00772703"/>
    <w:rsid w:val="00773409"/>
    <w:rsid w:val="00781B07"/>
    <w:rsid w:val="0078782A"/>
    <w:rsid w:val="007902BF"/>
    <w:rsid w:val="00791995"/>
    <w:rsid w:val="00796B57"/>
    <w:rsid w:val="007A7155"/>
    <w:rsid w:val="007A73FB"/>
    <w:rsid w:val="007B0A80"/>
    <w:rsid w:val="007B4855"/>
    <w:rsid w:val="007B6856"/>
    <w:rsid w:val="007C6166"/>
    <w:rsid w:val="007D20EB"/>
    <w:rsid w:val="007D2D95"/>
    <w:rsid w:val="007D4D69"/>
    <w:rsid w:val="007E06A7"/>
    <w:rsid w:val="007E2752"/>
    <w:rsid w:val="007F2EC1"/>
    <w:rsid w:val="007F53BD"/>
    <w:rsid w:val="007F7C38"/>
    <w:rsid w:val="00800D4E"/>
    <w:rsid w:val="008054C4"/>
    <w:rsid w:val="008131C1"/>
    <w:rsid w:val="00816089"/>
    <w:rsid w:val="00817EB9"/>
    <w:rsid w:val="00820CF5"/>
    <w:rsid w:val="00821265"/>
    <w:rsid w:val="00821AD8"/>
    <w:rsid w:val="00823814"/>
    <w:rsid w:val="00824A00"/>
    <w:rsid w:val="00825D90"/>
    <w:rsid w:val="008269DE"/>
    <w:rsid w:val="00827337"/>
    <w:rsid w:val="0082775F"/>
    <w:rsid w:val="00830D10"/>
    <w:rsid w:val="0084117B"/>
    <w:rsid w:val="00842F26"/>
    <w:rsid w:val="00846E11"/>
    <w:rsid w:val="008564FF"/>
    <w:rsid w:val="00861EBF"/>
    <w:rsid w:val="0087477A"/>
    <w:rsid w:val="00881BAB"/>
    <w:rsid w:val="008854D9"/>
    <w:rsid w:val="00890B35"/>
    <w:rsid w:val="008912BF"/>
    <w:rsid w:val="00897239"/>
    <w:rsid w:val="008A1A0C"/>
    <w:rsid w:val="008C2504"/>
    <w:rsid w:val="008C7DDB"/>
    <w:rsid w:val="008D066C"/>
    <w:rsid w:val="008E1C86"/>
    <w:rsid w:val="008E21C3"/>
    <w:rsid w:val="008E23A6"/>
    <w:rsid w:val="008F03D6"/>
    <w:rsid w:val="008F7CCA"/>
    <w:rsid w:val="00905261"/>
    <w:rsid w:val="009226F2"/>
    <w:rsid w:val="00922F2F"/>
    <w:rsid w:val="00925863"/>
    <w:rsid w:val="00935895"/>
    <w:rsid w:val="00947A4D"/>
    <w:rsid w:val="00951213"/>
    <w:rsid w:val="00956B71"/>
    <w:rsid w:val="009620B5"/>
    <w:rsid w:val="0097072D"/>
    <w:rsid w:val="00970E40"/>
    <w:rsid w:val="0097274C"/>
    <w:rsid w:val="00975D28"/>
    <w:rsid w:val="009809F6"/>
    <w:rsid w:val="00987184"/>
    <w:rsid w:val="00993374"/>
    <w:rsid w:val="009977EC"/>
    <w:rsid w:val="009A3B44"/>
    <w:rsid w:val="009A6633"/>
    <w:rsid w:val="009A7136"/>
    <w:rsid w:val="009B329F"/>
    <w:rsid w:val="009B5C4F"/>
    <w:rsid w:val="009D0F49"/>
    <w:rsid w:val="009D5F9F"/>
    <w:rsid w:val="009D78D3"/>
    <w:rsid w:val="009E34E9"/>
    <w:rsid w:val="009E4BC8"/>
    <w:rsid w:val="009E4E8C"/>
    <w:rsid w:val="009E72B0"/>
    <w:rsid w:val="009F4196"/>
    <w:rsid w:val="009F609F"/>
    <w:rsid w:val="009F67C3"/>
    <w:rsid w:val="00A03EC4"/>
    <w:rsid w:val="00A052B3"/>
    <w:rsid w:val="00A15350"/>
    <w:rsid w:val="00A20C30"/>
    <w:rsid w:val="00A26940"/>
    <w:rsid w:val="00A27452"/>
    <w:rsid w:val="00A35B18"/>
    <w:rsid w:val="00A4416C"/>
    <w:rsid w:val="00A452B0"/>
    <w:rsid w:val="00A54E47"/>
    <w:rsid w:val="00A7025E"/>
    <w:rsid w:val="00A735E0"/>
    <w:rsid w:val="00A74293"/>
    <w:rsid w:val="00A83844"/>
    <w:rsid w:val="00A8649D"/>
    <w:rsid w:val="00A876AD"/>
    <w:rsid w:val="00A96B11"/>
    <w:rsid w:val="00A97317"/>
    <w:rsid w:val="00AA20C2"/>
    <w:rsid w:val="00AA3D37"/>
    <w:rsid w:val="00AB460D"/>
    <w:rsid w:val="00AB7062"/>
    <w:rsid w:val="00AC0100"/>
    <w:rsid w:val="00AC3885"/>
    <w:rsid w:val="00AC752B"/>
    <w:rsid w:val="00AD232A"/>
    <w:rsid w:val="00AD29A7"/>
    <w:rsid w:val="00AD2CC7"/>
    <w:rsid w:val="00AE134C"/>
    <w:rsid w:val="00AE5022"/>
    <w:rsid w:val="00AE7DF0"/>
    <w:rsid w:val="00AF656F"/>
    <w:rsid w:val="00B03C56"/>
    <w:rsid w:val="00B102B3"/>
    <w:rsid w:val="00B148DF"/>
    <w:rsid w:val="00B22D7F"/>
    <w:rsid w:val="00B239AB"/>
    <w:rsid w:val="00B264DF"/>
    <w:rsid w:val="00B354D4"/>
    <w:rsid w:val="00B4484A"/>
    <w:rsid w:val="00B5097A"/>
    <w:rsid w:val="00B55CA3"/>
    <w:rsid w:val="00B5677F"/>
    <w:rsid w:val="00B63540"/>
    <w:rsid w:val="00B66E17"/>
    <w:rsid w:val="00B707D8"/>
    <w:rsid w:val="00B707E2"/>
    <w:rsid w:val="00B7598D"/>
    <w:rsid w:val="00B75C02"/>
    <w:rsid w:val="00B76D43"/>
    <w:rsid w:val="00B811D1"/>
    <w:rsid w:val="00B87182"/>
    <w:rsid w:val="00B91CAB"/>
    <w:rsid w:val="00B97946"/>
    <w:rsid w:val="00BA19B6"/>
    <w:rsid w:val="00BA59B0"/>
    <w:rsid w:val="00BA6BB7"/>
    <w:rsid w:val="00BB1B1F"/>
    <w:rsid w:val="00BB3303"/>
    <w:rsid w:val="00BB40E7"/>
    <w:rsid w:val="00BC1F1B"/>
    <w:rsid w:val="00BC4698"/>
    <w:rsid w:val="00BC7E4C"/>
    <w:rsid w:val="00BD1BD1"/>
    <w:rsid w:val="00BD7532"/>
    <w:rsid w:val="00BF7532"/>
    <w:rsid w:val="00C038DB"/>
    <w:rsid w:val="00C04820"/>
    <w:rsid w:val="00C0565A"/>
    <w:rsid w:val="00C10186"/>
    <w:rsid w:val="00C1346C"/>
    <w:rsid w:val="00C13A17"/>
    <w:rsid w:val="00C1622F"/>
    <w:rsid w:val="00C169AF"/>
    <w:rsid w:val="00C2118C"/>
    <w:rsid w:val="00C22C27"/>
    <w:rsid w:val="00C239EB"/>
    <w:rsid w:val="00C25530"/>
    <w:rsid w:val="00C26497"/>
    <w:rsid w:val="00C317FD"/>
    <w:rsid w:val="00C40ED0"/>
    <w:rsid w:val="00C470B9"/>
    <w:rsid w:val="00C47250"/>
    <w:rsid w:val="00C50169"/>
    <w:rsid w:val="00C532E7"/>
    <w:rsid w:val="00C53C3A"/>
    <w:rsid w:val="00C57D96"/>
    <w:rsid w:val="00C63F2B"/>
    <w:rsid w:val="00C67A7C"/>
    <w:rsid w:val="00C822B2"/>
    <w:rsid w:val="00C83831"/>
    <w:rsid w:val="00C84F2D"/>
    <w:rsid w:val="00C85DA5"/>
    <w:rsid w:val="00C91AF7"/>
    <w:rsid w:val="00CB4354"/>
    <w:rsid w:val="00CB4FC6"/>
    <w:rsid w:val="00CC596C"/>
    <w:rsid w:val="00CC68C7"/>
    <w:rsid w:val="00CD6A9D"/>
    <w:rsid w:val="00CD73A9"/>
    <w:rsid w:val="00CE408A"/>
    <w:rsid w:val="00CF7E70"/>
    <w:rsid w:val="00D01AA4"/>
    <w:rsid w:val="00D01D69"/>
    <w:rsid w:val="00D12C4F"/>
    <w:rsid w:val="00D133B5"/>
    <w:rsid w:val="00D14872"/>
    <w:rsid w:val="00D20D75"/>
    <w:rsid w:val="00D27797"/>
    <w:rsid w:val="00D27D0B"/>
    <w:rsid w:val="00D33E23"/>
    <w:rsid w:val="00D421E2"/>
    <w:rsid w:val="00D435A6"/>
    <w:rsid w:val="00D5525F"/>
    <w:rsid w:val="00D6167D"/>
    <w:rsid w:val="00D70886"/>
    <w:rsid w:val="00D72584"/>
    <w:rsid w:val="00D8453C"/>
    <w:rsid w:val="00D86086"/>
    <w:rsid w:val="00D86E8E"/>
    <w:rsid w:val="00D957AA"/>
    <w:rsid w:val="00DB0280"/>
    <w:rsid w:val="00DB1AB4"/>
    <w:rsid w:val="00DB5163"/>
    <w:rsid w:val="00DB5979"/>
    <w:rsid w:val="00DC1282"/>
    <w:rsid w:val="00DC39B7"/>
    <w:rsid w:val="00DD0871"/>
    <w:rsid w:val="00DD22A0"/>
    <w:rsid w:val="00DE07E0"/>
    <w:rsid w:val="00DF12EF"/>
    <w:rsid w:val="00DF37DA"/>
    <w:rsid w:val="00DF4BC8"/>
    <w:rsid w:val="00DF6B22"/>
    <w:rsid w:val="00E06041"/>
    <w:rsid w:val="00E14721"/>
    <w:rsid w:val="00E2094E"/>
    <w:rsid w:val="00E225B6"/>
    <w:rsid w:val="00E2506F"/>
    <w:rsid w:val="00E25FAB"/>
    <w:rsid w:val="00E34081"/>
    <w:rsid w:val="00E36A18"/>
    <w:rsid w:val="00E5570F"/>
    <w:rsid w:val="00E729A9"/>
    <w:rsid w:val="00E73ED9"/>
    <w:rsid w:val="00E76CA2"/>
    <w:rsid w:val="00E83A02"/>
    <w:rsid w:val="00E84B74"/>
    <w:rsid w:val="00E917D8"/>
    <w:rsid w:val="00EB6C57"/>
    <w:rsid w:val="00EC2441"/>
    <w:rsid w:val="00EC2899"/>
    <w:rsid w:val="00ED0297"/>
    <w:rsid w:val="00ED15B6"/>
    <w:rsid w:val="00EE7F7E"/>
    <w:rsid w:val="00EF1A4E"/>
    <w:rsid w:val="00EF5C5C"/>
    <w:rsid w:val="00F152B4"/>
    <w:rsid w:val="00F36475"/>
    <w:rsid w:val="00F37FA4"/>
    <w:rsid w:val="00F453DA"/>
    <w:rsid w:val="00F46B61"/>
    <w:rsid w:val="00F50E9B"/>
    <w:rsid w:val="00F55833"/>
    <w:rsid w:val="00F5603E"/>
    <w:rsid w:val="00F57DA6"/>
    <w:rsid w:val="00F630D7"/>
    <w:rsid w:val="00F7044F"/>
    <w:rsid w:val="00F808A0"/>
    <w:rsid w:val="00F80F87"/>
    <w:rsid w:val="00F81C68"/>
    <w:rsid w:val="00F84DE2"/>
    <w:rsid w:val="00F86CDA"/>
    <w:rsid w:val="00F903D5"/>
    <w:rsid w:val="00F907F0"/>
    <w:rsid w:val="00F953DD"/>
    <w:rsid w:val="00F95901"/>
    <w:rsid w:val="00F9613F"/>
    <w:rsid w:val="00FA21C1"/>
    <w:rsid w:val="00FA4F95"/>
    <w:rsid w:val="00FA5150"/>
    <w:rsid w:val="00FB0B5A"/>
    <w:rsid w:val="00FB2D66"/>
    <w:rsid w:val="00FB4AA9"/>
    <w:rsid w:val="00FC6FED"/>
    <w:rsid w:val="00FD25B9"/>
    <w:rsid w:val="00FD3BE9"/>
    <w:rsid w:val="00FD5202"/>
    <w:rsid w:val="00FE00F6"/>
    <w:rsid w:val="00FE22FD"/>
    <w:rsid w:val="00FE3428"/>
    <w:rsid w:val="00FE4E39"/>
    <w:rsid w:val="00FE6B64"/>
    <w:rsid w:val="00FF0D2F"/>
    <w:rsid w:val="00FF1E1C"/>
    <w:rsid w:val="00FF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27E7"/>
  <w15:docId w15:val="{050EF570-9E94-C74D-977B-02C24EA1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41F"/>
  </w:style>
  <w:style w:type="paragraph" w:styleId="Heading1">
    <w:name w:val="heading 1"/>
    <w:basedOn w:val="Normal"/>
    <w:next w:val="Normal"/>
    <w:link w:val="Heading1Char"/>
    <w:uiPriority w:val="9"/>
    <w:qFormat/>
    <w:rsid w:val="007E2BD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D26EF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64EE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C6CC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C6CCD"/>
    <w:rPr>
      <w:sz w:val="20"/>
      <w:szCs w:val="20"/>
    </w:rPr>
  </w:style>
  <w:style w:type="character" w:styleId="FootnoteReference">
    <w:name w:val="footnote reference"/>
    <w:basedOn w:val="DefaultParagraphFont"/>
    <w:unhideWhenUsed/>
    <w:rsid w:val="00EC6CCD"/>
    <w:rPr>
      <w:vertAlign w:val="superscript"/>
    </w:rPr>
  </w:style>
  <w:style w:type="paragraph" w:styleId="Footer">
    <w:name w:val="footer"/>
    <w:basedOn w:val="Normal"/>
    <w:link w:val="FooterChar"/>
    <w:uiPriority w:val="99"/>
    <w:unhideWhenUsed/>
    <w:rsid w:val="00EC6CC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C6CCD"/>
    <w:rPr>
      <w:sz w:val="22"/>
      <w:szCs w:val="22"/>
    </w:rPr>
  </w:style>
  <w:style w:type="paragraph" w:styleId="NoSpacing">
    <w:name w:val="No Spacing"/>
    <w:uiPriority w:val="1"/>
    <w:qFormat/>
    <w:rsid w:val="00EC6CCD"/>
    <w:rPr>
      <w:sz w:val="22"/>
      <w:szCs w:val="22"/>
    </w:rPr>
  </w:style>
  <w:style w:type="character" w:styleId="Hyperlink">
    <w:name w:val="Hyperlink"/>
    <w:basedOn w:val="DefaultParagraphFont"/>
    <w:uiPriority w:val="99"/>
    <w:unhideWhenUsed/>
    <w:rsid w:val="00EC6CCD"/>
    <w:rPr>
      <w:color w:val="0563C1" w:themeColor="hyperlink"/>
      <w:u w:val="single"/>
    </w:rPr>
  </w:style>
  <w:style w:type="character" w:customStyle="1" w:styleId="UnresolvedMention1">
    <w:name w:val="Unresolved Mention1"/>
    <w:basedOn w:val="DefaultParagraphFont"/>
    <w:uiPriority w:val="99"/>
    <w:semiHidden/>
    <w:unhideWhenUsed/>
    <w:rsid w:val="00EC6CCD"/>
    <w:rPr>
      <w:color w:val="605E5C"/>
      <w:shd w:val="clear" w:color="auto" w:fill="E1DFDD"/>
    </w:rPr>
  </w:style>
  <w:style w:type="paragraph" w:styleId="NormalWeb">
    <w:name w:val="Normal (Web)"/>
    <w:basedOn w:val="Normal"/>
    <w:uiPriority w:val="99"/>
    <w:unhideWhenUsed/>
    <w:rsid w:val="005E2C22"/>
    <w:pPr>
      <w:spacing w:after="160" w:line="259" w:lineRule="auto"/>
    </w:pPr>
    <w:rPr>
      <w:rFonts w:eastAsiaTheme="minorHAnsi"/>
    </w:rPr>
  </w:style>
  <w:style w:type="character" w:customStyle="1" w:styleId="apple-converted-space">
    <w:name w:val="apple-converted-space"/>
    <w:basedOn w:val="DefaultParagraphFont"/>
    <w:rsid w:val="00D26EF9"/>
  </w:style>
  <w:style w:type="character" w:customStyle="1" w:styleId="Heading3Char">
    <w:name w:val="Heading 3 Char"/>
    <w:basedOn w:val="DefaultParagraphFont"/>
    <w:link w:val="Heading3"/>
    <w:uiPriority w:val="9"/>
    <w:rsid w:val="00D26EF9"/>
    <w:rPr>
      <w:rFonts w:ascii="Times New Roman" w:eastAsia="Times New Roman" w:hAnsi="Times New Roman" w:cs="Times New Roman"/>
      <w:b/>
      <w:bCs/>
      <w:sz w:val="27"/>
      <w:szCs w:val="27"/>
    </w:rPr>
  </w:style>
  <w:style w:type="character" w:styleId="Emphasis">
    <w:name w:val="Emphasis"/>
    <w:basedOn w:val="DefaultParagraphFont"/>
    <w:uiPriority w:val="20"/>
    <w:qFormat/>
    <w:rsid w:val="00D26EF9"/>
    <w:rPr>
      <w:i/>
      <w:iCs/>
    </w:rPr>
  </w:style>
  <w:style w:type="character" w:customStyle="1" w:styleId="tooltipsall">
    <w:name w:val="tooltipsall"/>
    <w:basedOn w:val="DefaultParagraphFont"/>
    <w:rsid w:val="00D26EF9"/>
  </w:style>
  <w:style w:type="character" w:styleId="Strong">
    <w:name w:val="Strong"/>
    <w:basedOn w:val="DefaultParagraphFont"/>
    <w:uiPriority w:val="22"/>
    <w:qFormat/>
    <w:rsid w:val="00D26EF9"/>
    <w:rPr>
      <w:b/>
      <w:bCs/>
    </w:rPr>
  </w:style>
  <w:style w:type="paragraph" w:styleId="ListParagraph">
    <w:name w:val="List Paragraph"/>
    <w:basedOn w:val="Normal"/>
    <w:uiPriority w:val="34"/>
    <w:qFormat/>
    <w:rsid w:val="00BC2887"/>
    <w:pPr>
      <w:spacing w:after="160" w:line="259" w:lineRule="auto"/>
      <w:ind w:left="720"/>
      <w:contextualSpacing/>
    </w:pPr>
    <w:rPr>
      <w:rFonts w:asciiTheme="minorHAnsi" w:eastAsiaTheme="minorHAnsi" w:hAnsiTheme="minorHAnsi" w:cstheme="minorBidi"/>
      <w:sz w:val="22"/>
      <w:szCs w:val="22"/>
    </w:rPr>
  </w:style>
  <w:style w:type="paragraph" w:customStyle="1" w:styleId="casepara">
    <w:name w:val="casepara"/>
    <w:basedOn w:val="Normal"/>
    <w:rsid w:val="00AE62CF"/>
    <w:pPr>
      <w:spacing w:before="100" w:beforeAutospacing="1" w:after="100" w:afterAutospacing="1"/>
    </w:pPr>
  </w:style>
  <w:style w:type="paragraph" w:customStyle="1" w:styleId="blockquote">
    <w:name w:val="blockquote"/>
    <w:basedOn w:val="Normal"/>
    <w:rsid w:val="0024794A"/>
    <w:pPr>
      <w:spacing w:before="100" w:beforeAutospacing="1" w:after="100" w:afterAutospacing="1"/>
    </w:pPr>
  </w:style>
  <w:style w:type="character" w:customStyle="1" w:styleId="Heading1Char">
    <w:name w:val="Heading 1 Char"/>
    <w:basedOn w:val="DefaultParagraphFont"/>
    <w:link w:val="Heading1"/>
    <w:uiPriority w:val="9"/>
    <w:rsid w:val="007E2BD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42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1436"/>
    <w:rPr>
      <w:color w:val="954F72" w:themeColor="followedHyperlink"/>
      <w:u w:val="single"/>
    </w:rPr>
  </w:style>
  <w:style w:type="character" w:customStyle="1" w:styleId="Heading4Char">
    <w:name w:val="Heading 4 Char"/>
    <w:basedOn w:val="DefaultParagraphFont"/>
    <w:link w:val="Heading4"/>
    <w:uiPriority w:val="9"/>
    <w:rsid w:val="00B64EEE"/>
    <w:rPr>
      <w:rFonts w:asciiTheme="majorHAnsi" w:eastAsiaTheme="majorEastAsia" w:hAnsiTheme="majorHAnsi" w:cstheme="majorBidi"/>
      <w:i/>
      <w:iCs/>
      <w:color w:val="2F5496" w:themeColor="accent1" w:themeShade="BF"/>
    </w:rPr>
  </w:style>
  <w:style w:type="paragraph" w:customStyle="1" w:styleId="statutory-body">
    <w:name w:val="statutory-body"/>
    <w:basedOn w:val="Normal"/>
    <w:rsid w:val="00B64EEE"/>
    <w:pPr>
      <w:spacing w:before="100" w:beforeAutospacing="1" w:after="100" w:afterAutospacing="1"/>
    </w:pPr>
  </w:style>
  <w:style w:type="paragraph" w:styleId="BalloonText">
    <w:name w:val="Balloon Text"/>
    <w:basedOn w:val="Normal"/>
    <w:link w:val="BalloonTextChar"/>
    <w:uiPriority w:val="99"/>
    <w:semiHidden/>
    <w:unhideWhenUsed/>
    <w:rsid w:val="004A4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F03"/>
    <w:rPr>
      <w:rFonts w:ascii="Segoe UI" w:eastAsia="Times New Roman" w:hAnsi="Segoe UI" w:cs="Segoe UI"/>
      <w:sz w:val="18"/>
      <w:szCs w:val="18"/>
    </w:rPr>
  </w:style>
  <w:style w:type="paragraph" w:styleId="Revision">
    <w:name w:val="Revision"/>
    <w:hidden/>
    <w:uiPriority w:val="99"/>
    <w:semiHidden/>
    <w:rsid w:val="00CA6217"/>
  </w:style>
  <w:style w:type="character" w:styleId="CommentReference">
    <w:name w:val="annotation reference"/>
    <w:basedOn w:val="DefaultParagraphFont"/>
    <w:uiPriority w:val="99"/>
    <w:semiHidden/>
    <w:unhideWhenUsed/>
    <w:rsid w:val="000B22AD"/>
    <w:rPr>
      <w:sz w:val="16"/>
      <w:szCs w:val="16"/>
    </w:rPr>
  </w:style>
  <w:style w:type="paragraph" w:styleId="CommentText">
    <w:name w:val="annotation text"/>
    <w:basedOn w:val="Normal"/>
    <w:link w:val="CommentTextChar"/>
    <w:uiPriority w:val="99"/>
    <w:semiHidden/>
    <w:unhideWhenUsed/>
    <w:rsid w:val="000B22AD"/>
    <w:rPr>
      <w:sz w:val="20"/>
      <w:szCs w:val="20"/>
    </w:rPr>
  </w:style>
  <w:style w:type="character" w:customStyle="1" w:styleId="CommentTextChar">
    <w:name w:val="Comment Text Char"/>
    <w:basedOn w:val="DefaultParagraphFont"/>
    <w:link w:val="CommentText"/>
    <w:uiPriority w:val="99"/>
    <w:semiHidden/>
    <w:rsid w:val="000B22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2AD"/>
    <w:rPr>
      <w:b/>
      <w:bCs/>
    </w:rPr>
  </w:style>
  <w:style w:type="character" w:customStyle="1" w:styleId="CommentSubjectChar">
    <w:name w:val="Comment Subject Char"/>
    <w:basedOn w:val="CommentTextChar"/>
    <w:link w:val="CommentSubject"/>
    <w:uiPriority w:val="99"/>
    <w:semiHidden/>
    <w:rsid w:val="000B22AD"/>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DB4257"/>
    <w:rPr>
      <w:sz w:val="20"/>
      <w:szCs w:val="20"/>
    </w:rPr>
  </w:style>
  <w:style w:type="character" w:customStyle="1" w:styleId="EndnoteTextChar">
    <w:name w:val="Endnote Text Char"/>
    <w:basedOn w:val="DefaultParagraphFont"/>
    <w:link w:val="EndnoteText"/>
    <w:uiPriority w:val="99"/>
    <w:semiHidden/>
    <w:rsid w:val="00DB425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B4257"/>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odyText">
    <w:name w:val="Body Text"/>
    <w:basedOn w:val="Normal"/>
    <w:link w:val="BodyTextChar"/>
    <w:rsid w:val="00490119"/>
    <w:rPr>
      <w:szCs w:val="20"/>
    </w:rPr>
  </w:style>
  <w:style w:type="character" w:customStyle="1" w:styleId="BodyTextChar">
    <w:name w:val="Body Text Char"/>
    <w:basedOn w:val="DefaultParagraphFont"/>
    <w:link w:val="BodyText"/>
    <w:rsid w:val="00490119"/>
    <w:rPr>
      <w:szCs w:val="20"/>
    </w:rPr>
  </w:style>
  <w:style w:type="character" w:styleId="UnresolvedMention">
    <w:name w:val="Unresolved Mention"/>
    <w:basedOn w:val="DefaultParagraphFont"/>
    <w:uiPriority w:val="99"/>
    <w:semiHidden/>
    <w:unhideWhenUsed/>
    <w:rsid w:val="00452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0336">
      <w:bodyDiv w:val="1"/>
      <w:marLeft w:val="0"/>
      <w:marRight w:val="0"/>
      <w:marTop w:val="0"/>
      <w:marBottom w:val="0"/>
      <w:divBdr>
        <w:top w:val="none" w:sz="0" w:space="0" w:color="auto"/>
        <w:left w:val="none" w:sz="0" w:space="0" w:color="auto"/>
        <w:bottom w:val="none" w:sz="0" w:space="0" w:color="auto"/>
        <w:right w:val="none" w:sz="0" w:space="0" w:color="auto"/>
      </w:divBdr>
    </w:div>
    <w:div w:id="109863496">
      <w:bodyDiv w:val="1"/>
      <w:marLeft w:val="0"/>
      <w:marRight w:val="0"/>
      <w:marTop w:val="0"/>
      <w:marBottom w:val="0"/>
      <w:divBdr>
        <w:top w:val="none" w:sz="0" w:space="0" w:color="auto"/>
        <w:left w:val="none" w:sz="0" w:space="0" w:color="auto"/>
        <w:bottom w:val="none" w:sz="0" w:space="0" w:color="auto"/>
        <w:right w:val="none" w:sz="0" w:space="0" w:color="auto"/>
      </w:divBdr>
    </w:div>
    <w:div w:id="144398905">
      <w:bodyDiv w:val="1"/>
      <w:marLeft w:val="0"/>
      <w:marRight w:val="0"/>
      <w:marTop w:val="0"/>
      <w:marBottom w:val="0"/>
      <w:divBdr>
        <w:top w:val="none" w:sz="0" w:space="0" w:color="auto"/>
        <w:left w:val="none" w:sz="0" w:space="0" w:color="auto"/>
        <w:bottom w:val="none" w:sz="0" w:space="0" w:color="auto"/>
        <w:right w:val="none" w:sz="0" w:space="0" w:color="auto"/>
      </w:divBdr>
    </w:div>
    <w:div w:id="150492574">
      <w:bodyDiv w:val="1"/>
      <w:marLeft w:val="0"/>
      <w:marRight w:val="0"/>
      <w:marTop w:val="0"/>
      <w:marBottom w:val="0"/>
      <w:divBdr>
        <w:top w:val="none" w:sz="0" w:space="0" w:color="auto"/>
        <w:left w:val="none" w:sz="0" w:space="0" w:color="auto"/>
        <w:bottom w:val="none" w:sz="0" w:space="0" w:color="auto"/>
        <w:right w:val="none" w:sz="0" w:space="0" w:color="auto"/>
      </w:divBdr>
    </w:div>
    <w:div w:id="170068138">
      <w:bodyDiv w:val="1"/>
      <w:marLeft w:val="0"/>
      <w:marRight w:val="0"/>
      <w:marTop w:val="0"/>
      <w:marBottom w:val="0"/>
      <w:divBdr>
        <w:top w:val="none" w:sz="0" w:space="0" w:color="auto"/>
        <w:left w:val="none" w:sz="0" w:space="0" w:color="auto"/>
        <w:bottom w:val="none" w:sz="0" w:space="0" w:color="auto"/>
        <w:right w:val="none" w:sz="0" w:space="0" w:color="auto"/>
      </w:divBdr>
    </w:div>
    <w:div w:id="337585357">
      <w:bodyDiv w:val="1"/>
      <w:marLeft w:val="0"/>
      <w:marRight w:val="0"/>
      <w:marTop w:val="0"/>
      <w:marBottom w:val="0"/>
      <w:divBdr>
        <w:top w:val="none" w:sz="0" w:space="0" w:color="auto"/>
        <w:left w:val="none" w:sz="0" w:space="0" w:color="auto"/>
        <w:bottom w:val="none" w:sz="0" w:space="0" w:color="auto"/>
        <w:right w:val="none" w:sz="0" w:space="0" w:color="auto"/>
      </w:divBdr>
      <w:divsChild>
        <w:div w:id="198595012">
          <w:marLeft w:val="0"/>
          <w:marRight w:val="0"/>
          <w:marTop w:val="0"/>
          <w:marBottom w:val="0"/>
          <w:divBdr>
            <w:top w:val="none" w:sz="0" w:space="0" w:color="auto"/>
            <w:left w:val="none" w:sz="0" w:space="0" w:color="auto"/>
            <w:bottom w:val="none" w:sz="0" w:space="0" w:color="auto"/>
            <w:right w:val="none" w:sz="0" w:space="0" w:color="auto"/>
          </w:divBdr>
          <w:divsChild>
            <w:div w:id="357782734">
              <w:marLeft w:val="0"/>
              <w:marRight w:val="0"/>
              <w:marTop w:val="0"/>
              <w:marBottom w:val="0"/>
              <w:divBdr>
                <w:top w:val="none" w:sz="0" w:space="0" w:color="auto"/>
                <w:left w:val="none" w:sz="0" w:space="0" w:color="auto"/>
                <w:bottom w:val="none" w:sz="0" w:space="0" w:color="auto"/>
                <w:right w:val="none" w:sz="0" w:space="0" w:color="auto"/>
              </w:divBdr>
            </w:div>
          </w:divsChild>
        </w:div>
        <w:div w:id="418451975">
          <w:marLeft w:val="0"/>
          <w:marRight w:val="0"/>
          <w:marTop w:val="0"/>
          <w:marBottom w:val="0"/>
          <w:divBdr>
            <w:top w:val="none" w:sz="0" w:space="0" w:color="auto"/>
            <w:left w:val="none" w:sz="0" w:space="0" w:color="auto"/>
            <w:bottom w:val="none" w:sz="0" w:space="0" w:color="auto"/>
            <w:right w:val="none" w:sz="0" w:space="0" w:color="auto"/>
          </w:divBdr>
          <w:divsChild>
            <w:div w:id="17323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6247">
      <w:bodyDiv w:val="1"/>
      <w:marLeft w:val="0"/>
      <w:marRight w:val="0"/>
      <w:marTop w:val="0"/>
      <w:marBottom w:val="0"/>
      <w:divBdr>
        <w:top w:val="none" w:sz="0" w:space="0" w:color="auto"/>
        <w:left w:val="none" w:sz="0" w:space="0" w:color="auto"/>
        <w:bottom w:val="none" w:sz="0" w:space="0" w:color="auto"/>
        <w:right w:val="none" w:sz="0" w:space="0" w:color="auto"/>
      </w:divBdr>
      <w:divsChild>
        <w:div w:id="1511486232">
          <w:marLeft w:val="0"/>
          <w:marRight w:val="0"/>
          <w:marTop w:val="0"/>
          <w:marBottom w:val="0"/>
          <w:divBdr>
            <w:top w:val="none" w:sz="0" w:space="0" w:color="auto"/>
            <w:left w:val="none" w:sz="0" w:space="0" w:color="auto"/>
            <w:bottom w:val="none" w:sz="0" w:space="0" w:color="auto"/>
            <w:right w:val="none" w:sz="0" w:space="0" w:color="auto"/>
          </w:divBdr>
        </w:div>
      </w:divsChild>
    </w:div>
    <w:div w:id="430510651">
      <w:bodyDiv w:val="1"/>
      <w:marLeft w:val="0"/>
      <w:marRight w:val="0"/>
      <w:marTop w:val="0"/>
      <w:marBottom w:val="0"/>
      <w:divBdr>
        <w:top w:val="none" w:sz="0" w:space="0" w:color="auto"/>
        <w:left w:val="none" w:sz="0" w:space="0" w:color="auto"/>
        <w:bottom w:val="none" w:sz="0" w:space="0" w:color="auto"/>
        <w:right w:val="none" w:sz="0" w:space="0" w:color="auto"/>
      </w:divBdr>
      <w:divsChild>
        <w:div w:id="2073771056">
          <w:marLeft w:val="0"/>
          <w:marRight w:val="0"/>
          <w:marTop w:val="0"/>
          <w:marBottom w:val="0"/>
          <w:divBdr>
            <w:top w:val="none" w:sz="0" w:space="0" w:color="auto"/>
            <w:left w:val="none" w:sz="0" w:space="0" w:color="auto"/>
            <w:bottom w:val="none" w:sz="0" w:space="0" w:color="auto"/>
            <w:right w:val="none" w:sz="0" w:space="0" w:color="auto"/>
          </w:divBdr>
        </w:div>
      </w:divsChild>
    </w:div>
    <w:div w:id="464008218">
      <w:bodyDiv w:val="1"/>
      <w:marLeft w:val="0"/>
      <w:marRight w:val="0"/>
      <w:marTop w:val="0"/>
      <w:marBottom w:val="0"/>
      <w:divBdr>
        <w:top w:val="none" w:sz="0" w:space="0" w:color="auto"/>
        <w:left w:val="none" w:sz="0" w:space="0" w:color="auto"/>
        <w:bottom w:val="none" w:sz="0" w:space="0" w:color="auto"/>
        <w:right w:val="none" w:sz="0" w:space="0" w:color="auto"/>
      </w:divBdr>
      <w:divsChild>
        <w:div w:id="2051372815">
          <w:marLeft w:val="0"/>
          <w:marRight w:val="0"/>
          <w:marTop w:val="0"/>
          <w:marBottom w:val="0"/>
          <w:divBdr>
            <w:top w:val="none" w:sz="0" w:space="0" w:color="auto"/>
            <w:left w:val="none" w:sz="0" w:space="0" w:color="auto"/>
            <w:bottom w:val="none" w:sz="0" w:space="0" w:color="auto"/>
            <w:right w:val="none" w:sz="0" w:space="0" w:color="auto"/>
          </w:divBdr>
        </w:div>
      </w:divsChild>
    </w:div>
    <w:div w:id="465663087">
      <w:bodyDiv w:val="1"/>
      <w:marLeft w:val="0"/>
      <w:marRight w:val="0"/>
      <w:marTop w:val="0"/>
      <w:marBottom w:val="0"/>
      <w:divBdr>
        <w:top w:val="none" w:sz="0" w:space="0" w:color="auto"/>
        <w:left w:val="none" w:sz="0" w:space="0" w:color="auto"/>
        <w:bottom w:val="none" w:sz="0" w:space="0" w:color="auto"/>
        <w:right w:val="none" w:sz="0" w:space="0" w:color="auto"/>
      </w:divBdr>
      <w:divsChild>
        <w:div w:id="2087650405">
          <w:marLeft w:val="0"/>
          <w:marRight w:val="0"/>
          <w:marTop w:val="0"/>
          <w:marBottom w:val="0"/>
          <w:divBdr>
            <w:top w:val="none" w:sz="0" w:space="0" w:color="auto"/>
            <w:left w:val="none" w:sz="0" w:space="0" w:color="auto"/>
            <w:bottom w:val="none" w:sz="0" w:space="0" w:color="auto"/>
            <w:right w:val="none" w:sz="0" w:space="0" w:color="auto"/>
          </w:divBdr>
        </w:div>
      </w:divsChild>
    </w:div>
    <w:div w:id="468321297">
      <w:bodyDiv w:val="1"/>
      <w:marLeft w:val="0"/>
      <w:marRight w:val="0"/>
      <w:marTop w:val="0"/>
      <w:marBottom w:val="0"/>
      <w:divBdr>
        <w:top w:val="none" w:sz="0" w:space="0" w:color="auto"/>
        <w:left w:val="none" w:sz="0" w:space="0" w:color="auto"/>
        <w:bottom w:val="none" w:sz="0" w:space="0" w:color="auto"/>
        <w:right w:val="none" w:sz="0" w:space="0" w:color="auto"/>
      </w:divBdr>
      <w:divsChild>
        <w:div w:id="1353726150">
          <w:marLeft w:val="0"/>
          <w:marRight w:val="0"/>
          <w:marTop w:val="0"/>
          <w:marBottom w:val="0"/>
          <w:divBdr>
            <w:top w:val="none" w:sz="0" w:space="0" w:color="auto"/>
            <w:left w:val="none" w:sz="0" w:space="0" w:color="auto"/>
            <w:bottom w:val="none" w:sz="0" w:space="0" w:color="auto"/>
            <w:right w:val="none" w:sz="0" w:space="0" w:color="auto"/>
          </w:divBdr>
        </w:div>
      </w:divsChild>
    </w:div>
    <w:div w:id="532351556">
      <w:bodyDiv w:val="1"/>
      <w:marLeft w:val="0"/>
      <w:marRight w:val="0"/>
      <w:marTop w:val="0"/>
      <w:marBottom w:val="0"/>
      <w:divBdr>
        <w:top w:val="none" w:sz="0" w:space="0" w:color="auto"/>
        <w:left w:val="none" w:sz="0" w:space="0" w:color="auto"/>
        <w:bottom w:val="none" w:sz="0" w:space="0" w:color="auto"/>
        <w:right w:val="none" w:sz="0" w:space="0" w:color="auto"/>
      </w:divBdr>
    </w:div>
    <w:div w:id="747338519">
      <w:bodyDiv w:val="1"/>
      <w:marLeft w:val="0"/>
      <w:marRight w:val="0"/>
      <w:marTop w:val="0"/>
      <w:marBottom w:val="0"/>
      <w:divBdr>
        <w:top w:val="none" w:sz="0" w:space="0" w:color="auto"/>
        <w:left w:val="none" w:sz="0" w:space="0" w:color="auto"/>
        <w:bottom w:val="none" w:sz="0" w:space="0" w:color="auto"/>
        <w:right w:val="none" w:sz="0" w:space="0" w:color="auto"/>
      </w:divBdr>
    </w:div>
    <w:div w:id="790783895">
      <w:bodyDiv w:val="1"/>
      <w:marLeft w:val="0"/>
      <w:marRight w:val="0"/>
      <w:marTop w:val="0"/>
      <w:marBottom w:val="0"/>
      <w:divBdr>
        <w:top w:val="none" w:sz="0" w:space="0" w:color="auto"/>
        <w:left w:val="none" w:sz="0" w:space="0" w:color="auto"/>
        <w:bottom w:val="none" w:sz="0" w:space="0" w:color="auto"/>
        <w:right w:val="none" w:sz="0" w:space="0" w:color="auto"/>
      </w:divBdr>
    </w:div>
    <w:div w:id="793795820">
      <w:bodyDiv w:val="1"/>
      <w:marLeft w:val="0"/>
      <w:marRight w:val="0"/>
      <w:marTop w:val="0"/>
      <w:marBottom w:val="0"/>
      <w:divBdr>
        <w:top w:val="none" w:sz="0" w:space="0" w:color="auto"/>
        <w:left w:val="none" w:sz="0" w:space="0" w:color="auto"/>
        <w:bottom w:val="none" w:sz="0" w:space="0" w:color="auto"/>
        <w:right w:val="none" w:sz="0" w:space="0" w:color="auto"/>
      </w:divBdr>
    </w:div>
    <w:div w:id="796030479">
      <w:bodyDiv w:val="1"/>
      <w:marLeft w:val="0"/>
      <w:marRight w:val="0"/>
      <w:marTop w:val="0"/>
      <w:marBottom w:val="0"/>
      <w:divBdr>
        <w:top w:val="none" w:sz="0" w:space="0" w:color="auto"/>
        <w:left w:val="none" w:sz="0" w:space="0" w:color="auto"/>
        <w:bottom w:val="none" w:sz="0" w:space="0" w:color="auto"/>
        <w:right w:val="none" w:sz="0" w:space="0" w:color="auto"/>
      </w:divBdr>
    </w:div>
    <w:div w:id="811752807">
      <w:bodyDiv w:val="1"/>
      <w:marLeft w:val="0"/>
      <w:marRight w:val="0"/>
      <w:marTop w:val="0"/>
      <w:marBottom w:val="0"/>
      <w:divBdr>
        <w:top w:val="none" w:sz="0" w:space="0" w:color="auto"/>
        <w:left w:val="none" w:sz="0" w:space="0" w:color="auto"/>
        <w:bottom w:val="none" w:sz="0" w:space="0" w:color="auto"/>
        <w:right w:val="none" w:sz="0" w:space="0" w:color="auto"/>
      </w:divBdr>
    </w:div>
    <w:div w:id="815730710">
      <w:bodyDiv w:val="1"/>
      <w:marLeft w:val="0"/>
      <w:marRight w:val="0"/>
      <w:marTop w:val="0"/>
      <w:marBottom w:val="0"/>
      <w:divBdr>
        <w:top w:val="none" w:sz="0" w:space="0" w:color="auto"/>
        <w:left w:val="none" w:sz="0" w:space="0" w:color="auto"/>
        <w:bottom w:val="none" w:sz="0" w:space="0" w:color="auto"/>
        <w:right w:val="none" w:sz="0" w:space="0" w:color="auto"/>
      </w:divBdr>
    </w:div>
    <w:div w:id="848983720">
      <w:bodyDiv w:val="1"/>
      <w:marLeft w:val="0"/>
      <w:marRight w:val="0"/>
      <w:marTop w:val="0"/>
      <w:marBottom w:val="0"/>
      <w:divBdr>
        <w:top w:val="none" w:sz="0" w:space="0" w:color="auto"/>
        <w:left w:val="none" w:sz="0" w:space="0" w:color="auto"/>
        <w:bottom w:val="none" w:sz="0" w:space="0" w:color="auto"/>
        <w:right w:val="none" w:sz="0" w:space="0" w:color="auto"/>
      </w:divBdr>
      <w:divsChild>
        <w:div w:id="320425837">
          <w:marLeft w:val="0"/>
          <w:marRight w:val="0"/>
          <w:marTop w:val="0"/>
          <w:marBottom w:val="0"/>
          <w:divBdr>
            <w:top w:val="none" w:sz="0" w:space="0" w:color="auto"/>
            <w:left w:val="none" w:sz="0" w:space="0" w:color="auto"/>
            <w:bottom w:val="none" w:sz="0" w:space="0" w:color="auto"/>
            <w:right w:val="none" w:sz="0" w:space="0" w:color="auto"/>
          </w:divBdr>
        </w:div>
      </w:divsChild>
    </w:div>
    <w:div w:id="998458195">
      <w:bodyDiv w:val="1"/>
      <w:marLeft w:val="0"/>
      <w:marRight w:val="0"/>
      <w:marTop w:val="0"/>
      <w:marBottom w:val="0"/>
      <w:divBdr>
        <w:top w:val="none" w:sz="0" w:space="0" w:color="auto"/>
        <w:left w:val="none" w:sz="0" w:space="0" w:color="auto"/>
        <w:bottom w:val="none" w:sz="0" w:space="0" w:color="auto"/>
        <w:right w:val="none" w:sz="0" w:space="0" w:color="auto"/>
      </w:divBdr>
      <w:divsChild>
        <w:div w:id="11076686">
          <w:marLeft w:val="0"/>
          <w:marRight w:val="0"/>
          <w:marTop w:val="0"/>
          <w:marBottom w:val="0"/>
          <w:divBdr>
            <w:top w:val="none" w:sz="0" w:space="0" w:color="auto"/>
            <w:left w:val="none" w:sz="0" w:space="0" w:color="auto"/>
            <w:bottom w:val="none" w:sz="0" w:space="0" w:color="auto"/>
            <w:right w:val="none" w:sz="0" w:space="0" w:color="auto"/>
          </w:divBdr>
        </w:div>
      </w:divsChild>
    </w:div>
    <w:div w:id="1054163845">
      <w:bodyDiv w:val="1"/>
      <w:marLeft w:val="0"/>
      <w:marRight w:val="0"/>
      <w:marTop w:val="0"/>
      <w:marBottom w:val="0"/>
      <w:divBdr>
        <w:top w:val="none" w:sz="0" w:space="0" w:color="auto"/>
        <w:left w:val="none" w:sz="0" w:space="0" w:color="auto"/>
        <w:bottom w:val="none" w:sz="0" w:space="0" w:color="auto"/>
        <w:right w:val="none" w:sz="0" w:space="0" w:color="auto"/>
      </w:divBdr>
    </w:div>
    <w:div w:id="1147822436">
      <w:bodyDiv w:val="1"/>
      <w:marLeft w:val="0"/>
      <w:marRight w:val="0"/>
      <w:marTop w:val="0"/>
      <w:marBottom w:val="0"/>
      <w:divBdr>
        <w:top w:val="none" w:sz="0" w:space="0" w:color="auto"/>
        <w:left w:val="none" w:sz="0" w:space="0" w:color="auto"/>
        <w:bottom w:val="none" w:sz="0" w:space="0" w:color="auto"/>
        <w:right w:val="none" w:sz="0" w:space="0" w:color="auto"/>
      </w:divBdr>
    </w:div>
    <w:div w:id="1203438016">
      <w:bodyDiv w:val="1"/>
      <w:marLeft w:val="0"/>
      <w:marRight w:val="0"/>
      <w:marTop w:val="0"/>
      <w:marBottom w:val="0"/>
      <w:divBdr>
        <w:top w:val="none" w:sz="0" w:space="0" w:color="auto"/>
        <w:left w:val="none" w:sz="0" w:space="0" w:color="auto"/>
        <w:bottom w:val="none" w:sz="0" w:space="0" w:color="auto"/>
        <w:right w:val="none" w:sz="0" w:space="0" w:color="auto"/>
      </w:divBdr>
    </w:div>
    <w:div w:id="1283809308">
      <w:bodyDiv w:val="1"/>
      <w:marLeft w:val="0"/>
      <w:marRight w:val="0"/>
      <w:marTop w:val="0"/>
      <w:marBottom w:val="0"/>
      <w:divBdr>
        <w:top w:val="none" w:sz="0" w:space="0" w:color="auto"/>
        <w:left w:val="none" w:sz="0" w:space="0" w:color="auto"/>
        <w:bottom w:val="none" w:sz="0" w:space="0" w:color="auto"/>
        <w:right w:val="none" w:sz="0" w:space="0" w:color="auto"/>
      </w:divBdr>
      <w:divsChild>
        <w:div w:id="1138838518">
          <w:marLeft w:val="0"/>
          <w:marRight w:val="0"/>
          <w:marTop w:val="0"/>
          <w:marBottom w:val="0"/>
          <w:divBdr>
            <w:top w:val="none" w:sz="0" w:space="0" w:color="auto"/>
            <w:left w:val="none" w:sz="0" w:space="0" w:color="auto"/>
            <w:bottom w:val="none" w:sz="0" w:space="0" w:color="auto"/>
            <w:right w:val="none" w:sz="0" w:space="0" w:color="auto"/>
          </w:divBdr>
        </w:div>
      </w:divsChild>
    </w:div>
    <w:div w:id="1306278040">
      <w:bodyDiv w:val="1"/>
      <w:marLeft w:val="0"/>
      <w:marRight w:val="0"/>
      <w:marTop w:val="0"/>
      <w:marBottom w:val="0"/>
      <w:divBdr>
        <w:top w:val="none" w:sz="0" w:space="0" w:color="auto"/>
        <w:left w:val="none" w:sz="0" w:space="0" w:color="auto"/>
        <w:bottom w:val="none" w:sz="0" w:space="0" w:color="auto"/>
        <w:right w:val="none" w:sz="0" w:space="0" w:color="auto"/>
      </w:divBdr>
    </w:div>
    <w:div w:id="1468667855">
      <w:bodyDiv w:val="1"/>
      <w:marLeft w:val="0"/>
      <w:marRight w:val="0"/>
      <w:marTop w:val="0"/>
      <w:marBottom w:val="0"/>
      <w:divBdr>
        <w:top w:val="none" w:sz="0" w:space="0" w:color="auto"/>
        <w:left w:val="none" w:sz="0" w:space="0" w:color="auto"/>
        <w:bottom w:val="none" w:sz="0" w:space="0" w:color="auto"/>
        <w:right w:val="none" w:sz="0" w:space="0" w:color="auto"/>
      </w:divBdr>
      <w:divsChild>
        <w:div w:id="915014692">
          <w:marLeft w:val="0"/>
          <w:marRight w:val="0"/>
          <w:marTop w:val="0"/>
          <w:marBottom w:val="0"/>
          <w:divBdr>
            <w:top w:val="none" w:sz="0" w:space="0" w:color="auto"/>
            <w:left w:val="none" w:sz="0" w:space="0" w:color="auto"/>
            <w:bottom w:val="none" w:sz="0" w:space="0" w:color="auto"/>
            <w:right w:val="none" w:sz="0" w:space="0" w:color="auto"/>
          </w:divBdr>
        </w:div>
      </w:divsChild>
    </w:div>
    <w:div w:id="1504274497">
      <w:bodyDiv w:val="1"/>
      <w:marLeft w:val="0"/>
      <w:marRight w:val="0"/>
      <w:marTop w:val="0"/>
      <w:marBottom w:val="0"/>
      <w:divBdr>
        <w:top w:val="none" w:sz="0" w:space="0" w:color="auto"/>
        <w:left w:val="none" w:sz="0" w:space="0" w:color="auto"/>
        <w:bottom w:val="none" w:sz="0" w:space="0" w:color="auto"/>
        <w:right w:val="none" w:sz="0" w:space="0" w:color="auto"/>
      </w:divBdr>
      <w:divsChild>
        <w:div w:id="1135566804">
          <w:marLeft w:val="0"/>
          <w:marRight w:val="0"/>
          <w:marTop w:val="0"/>
          <w:marBottom w:val="0"/>
          <w:divBdr>
            <w:top w:val="none" w:sz="0" w:space="0" w:color="auto"/>
            <w:left w:val="none" w:sz="0" w:space="0" w:color="auto"/>
            <w:bottom w:val="none" w:sz="0" w:space="0" w:color="auto"/>
            <w:right w:val="none" w:sz="0" w:space="0" w:color="auto"/>
          </w:divBdr>
        </w:div>
      </w:divsChild>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1521821213">
          <w:marLeft w:val="0"/>
          <w:marRight w:val="0"/>
          <w:marTop w:val="0"/>
          <w:marBottom w:val="0"/>
          <w:divBdr>
            <w:top w:val="none" w:sz="0" w:space="0" w:color="auto"/>
            <w:left w:val="none" w:sz="0" w:space="0" w:color="auto"/>
            <w:bottom w:val="none" w:sz="0" w:space="0" w:color="auto"/>
            <w:right w:val="none" w:sz="0" w:space="0" w:color="auto"/>
          </w:divBdr>
          <w:divsChild>
            <w:div w:id="1513913712">
              <w:marLeft w:val="0"/>
              <w:marRight w:val="0"/>
              <w:marTop w:val="0"/>
              <w:marBottom w:val="0"/>
              <w:divBdr>
                <w:top w:val="none" w:sz="0" w:space="0" w:color="auto"/>
                <w:left w:val="none" w:sz="0" w:space="0" w:color="auto"/>
                <w:bottom w:val="none" w:sz="0" w:space="0" w:color="auto"/>
                <w:right w:val="none" w:sz="0" w:space="0" w:color="auto"/>
              </w:divBdr>
            </w:div>
          </w:divsChild>
        </w:div>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10226">
      <w:bodyDiv w:val="1"/>
      <w:marLeft w:val="0"/>
      <w:marRight w:val="0"/>
      <w:marTop w:val="0"/>
      <w:marBottom w:val="0"/>
      <w:divBdr>
        <w:top w:val="none" w:sz="0" w:space="0" w:color="auto"/>
        <w:left w:val="none" w:sz="0" w:space="0" w:color="auto"/>
        <w:bottom w:val="none" w:sz="0" w:space="0" w:color="auto"/>
        <w:right w:val="none" w:sz="0" w:space="0" w:color="auto"/>
      </w:divBdr>
      <w:divsChild>
        <w:div w:id="528565342">
          <w:marLeft w:val="0"/>
          <w:marRight w:val="0"/>
          <w:marTop w:val="0"/>
          <w:marBottom w:val="0"/>
          <w:divBdr>
            <w:top w:val="none" w:sz="0" w:space="0" w:color="auto"/>
            <w:left w:val="none" w:sz="0" w:space="0" w:color="auto"/>
            <w:bottom w:val="none" w:sz="0" w:space="0" w:color="auto"/>
            <w:right w:val="none" w:sz="0" w:space="0" w:color="auto"/>
          </w:divBdr>
        </w:div>
      </w:divsChild>
    </w:div>
    <w:div w:id="1733312610">
      <w:bodyDiv w:val="1"/>
      <w:marLeft w:val="0"/>
      <w:marRight w:val="0"/>
      <w:marTop w:val="0"/>
      <w:marBottom w:val="0"/>
      <w:divBdr>
        <w:top w:val="none" w:sz="0" w:space="0" w:color="auto"/>
        <w:left w:val="none" w:sz="0" w:space="0" w:color="auto"/>
        <w:bottom w:val="none" w:sz="0" w:space="0" w:color="auto"/>
        <w:right w:val="none" w:sz="0" w:space="0" w:color="auto"/>
      </w:divBdr>
    </w:div>
    <w:div w:id="1774520672">
      <w:bodyDiv w:val="1"/>
      <w:marLeft w:val="0"/>
      <w:marRight w:val="0"/>
      <w:marTop w:val="0"/>
      <w:marBottom w:val="0"/>
      <w:divBdr>
        <w:top w:val="none" w:sz="0" w:space="0" w:color="auto"/>
        <w:left w:val="none" w:sz="0" w:space="0" w:color="auto"/>
        <w:bottom w:val="none" w:sz="0" w:space="0" w:color="auto"/>
        <w:right w:val="none" w:sz="0" w:space="0" w:color="auto"/>
      </w:divBdr>
    </w:div>
    <w:div w:id="1798377562">
      <w:bodyDiv w:val="1"/>
      <w:marLeft w:val="0"/>
      <w:marRight w:val="0"/>
      <w:marTop w:val="0"/>
      <w:marBottom w:val="0"/>
      <w:divBdr>
        <w:top w:val="none" w:sz="0" w:space="0" w:color="auto"/>
        <w:left w:val="none" w:sz="0" w:space="0" w:color="auto"/>
        <w:bottom w:val="none" w:sz="0" w:space="0" w:color="auto"/>
        <w:right w:val="none" w:sz="0" w:space="0" w:color="auto"/>
      </w:divBdr>
    </w:div>
    <w:div w:id="1867984287">
      <w:bodyDiv w:val="1"/>
      <w:marLeft w:val="0"/>
      <w:marRight w:val="0"/>
      <w:marTop w:val="0"/>
      <w:marBottom w:val="0"/>
      <w:divBdr>
        <w:top w:val="none" w:sz="0" w:space="0" w:color="auto"/>
        <w:left w:val="none" w:sz="0" w:space="0" w:color="auto"/>
        <w:bottom w:val="none" w:sz="0" w:space="0" w:color="auto"/>
        <w:right w:val="none" w:sz="0" w:space="0" w:color="auto"/>
      </w:divBdr>
      <w:divsChild>
        <w:div w:id="1613778562">
          <w:marLeft w:val="0"/>
          <w:marRight w:val="0"/>
          <w:marTop w:val="0"/>
          <w:marBottom w:val="0"/>
          <w:divBdr>
            <w:top w:val="none" w:sz="0" w:space="0" w:color="auto"/>
            <w:left w:val="none" w:sz="0" w:space="0" w:color="auto"/>
            <w:bottom w:val="none" w:sz="0" w:space="0" w:color="auto"/>
            <w:right w:val="none" w:sz="0" w:space="0" w:color="auto"/>
          </w:divBdr>
        </w:div>
      </w:divsChild>
    </w:div>
    <w:div w:id="1903562939">
      <w:bodyDiv w:val="1"/>
      <w:marLeft w:val="0"/>
      <w:marRight w:val="0"/>
      <w:marTop w:val="0"/>
      <w:marBottom w:val="0"/>
      <w:divBdr>
        <w:top w:val="none" w:sz="0" w:space="0" w:color="auto"/>
        <w:left w:val="none" w:sz="0" w:space="0" w:color="auto"/>
        <w:bottom w:val="none" w:sz="0" w:space="0" w:color="auto"/>
        <w:right w:val="none" w:sz="0" w:space="0" w:color="auto"/>
      </w:divBdr>
      <w:divsChild>
        <w:div w:id="594943071">
          <w:marLeft w:val="0"/>
          <w:marRight w:val="0"/>
          <w:marTop w:val="0"/>
          <w:marBottom w:val="0"/>
          <w:divBdr>
            <w:top w:val="none" w:sz="0" w:space="0" w:color="auto"/>
            <w:left w:val="none" w:sz="0" w:space="0" w:color="auto"/>
            <w:bottom w:val="none" w:sz="0" w:space="0" w:color="auto"/>
            <w:right w:val="none" w:sz="0" w:space="0" w:color="auto"/>
          </w:divBdr>
        </w:div>
      </w:divsChild>
    </w:div>
    <w:div w:id="1904170622">
      <w:bodyDiv w:val="1"/>
      <w:marLeft w:val="0"/>
      <w:marRight w:val="0"/>
      <w:marTop w:val="0"/>
      <w:marBottom w:val="0"/>
      <w:divBdr>
        <w:top w:val="none" w:sz="0" w:space="0" w:color="auto"/>
        <w:left w:val="none" w:sz="0" w:space="0" w:color="auto"/>
        <w:bottom w:val="none" w:sz="0" w:space="0" w:color="auto"/>
        <w:right w:val="none" w:sz="0" w:space="0" w:color="auto"/>
      </w:divBdr>
      <w:divsChild>
        <w:div w:id="1653409171">
          <w:marLeft w:val="0"/>
          <w:marRight w:val="0"/>
          <w:marTop w:val="0"/>
          <w:marBottom w:val="0"/>
          <w:divBdr>
            <w:top w:val="none" w:sz="0" w:space="0" w:color="auto"/>
            <w:left w:val="none" w:sz="0" w:space="0" w:color="auto"/>
            <w:bottom w:val="none" w:sz="0" w:space="0" w:color="auto"/>
            <w:right w:val="none" w:sz="0" w:space="0" w:color="auto"/>
          </w:divBdr>
        </w:div>
      </w:divsChild>
    </w:div>
    <w:div w:id="1939362274">
      <w:bodyDiv w:val="1"/>
      <w:marLeft w:val="0"/>
      <w:marRight w:val="0"/>
      <w:marTop w:val="0"/>
      <w:marBottom w:val="0"/>
      <w:divBdr>
        <w:top w:val="none" w:sz="0" w:space="0" w:color="auto"/>
        <w:left w:val="none" w:sz="0" w:space="0" w:color="auto"/>
        <w:bottom w:val="none" w:sz="0" w:space="0" w:color="auto"/>
        <w:right w:val="none" w:sz="0" w:space="0" w:color="auto"/>
      </w:divBdr>
      <w:divsChild>
        <w:div w:id="1915119593">
          <w:marLeft w:val="0"/>
          <w:marRight w:val="0"/>
          <w:marTop w:val="0"/>
          <w:marBottom w:val="0"/>
          <w:divBdr>
            <w:top w:val="none" w:sz="0" w:space="0" w:color="auto"/>
            <w:left w:val="none" w:sz="0" w:space="0" w:color="auto"/>
            <w:bottom w:val="none" w:sz="0" w:space="0" w:color="auto"/>
            <w:right w:val="none" w:sz="0" w:space="0" w:color="auto"/>
          </w:divBdr>
        </w:div>
      </w:divsChild>
    </w:div>
    <w:div w:id="1959750307">
      <w:bodyDiv w:val="1"/>
      <w:marLeft w:val="0"/>
      <w:marRight w:val="0"/>
      <w:marTop w:val="0"/>
      <w:marBottom w:val="0"/>
      <w:divBdr>
        <w:top w:val="none" w:sz="0" w:space="0" w:color="auto"/>
        <w:left w:val="none" w:sz="0" w:space="0" w:color="auto"/>
        <w:bottom w:val="none" w:sz="0" w:space="0" w:color="auto"/>
        <w:right w:val="none" w:sz="0" w:space="0" w:color="auto"/>
      </w:divBdr>
    </w:div>
    <w:div w:id="1969361785">
      <w:bodyDiv w:val="1"/>
      <w:marLeft w:val="0"/>
      <w:marRight w:val="0"/>
      <w:marTop w:val="0"/>
      <w:marBottom w:val="0"/>
      <w:divBdr>
        <w:top w:val="none" w:sz="0" w:space="0" w:color="auto"/>
        <w:left w:val="none" w:sz="0" w:space="0" w:color="auto"/>
        <w:bottom w:val="none" w:sz="0" w:space="0" w:color="auto"/>
        <w:right w:val="none" w:sz="0" w:space="0" w:color="auto"/>
      </w:divBdr>
    </w:div>
    <w:div w:id="1973435858">
      <w:bodyDiv w:val="1"/>
      <w:marLeft w:val="0"/>
      <w:marRight w:val="0"/>
      <w:marTop w:val="0"/>
      <w:marBottom w:val="0"/>
      <w:divBdr>
        <w:top w:val="none" w:sz="0" w:space="0" w:color="auto"/>
        <w:left w:val="none" w:sz="0" w:space="0" w:color="auto"/>
        <w:bottom w:val="none" w:sz="0" w:space="0" w:color="auto"/>
        <w:right w:val="none" w:sz="0" w:space="0" w:color="auto"/>
      </w:divBdr>
      <w:divsChild>
        <w:div w:id="1767118789">
          <w:marLeft w:val="0"/>
          <w:marRight w:val="0"/>
          <w:marTop w:val="0"/>
          <w:marBottom w:val="0"/>
          <w:divBdr>
            <w:top w:val="none" w:sz="0" w:space="0" w:color="auto"/>
            <w:left w:val="none" w:sz="0" w:space="0" w:color="auto"/>
            <w:bottom w:val="none" w:sz="0" w:space="0" w:color="auto"/>
            <w:right w:val="none" w:sz="0" w:space="0" w:color="auto"/>
          </w:divBdr>
        </w:div>
      </w:divsChild>
    </w:div>
    <w:div w:id="1997344403">
      <w:bodyDiv w:val="1"/>
      <w:marLeft w:val="0"/>
      <w:marRight w:val="0"/>
      <w:marTop w:val="0"/>
      <w:marBottom w:val="0"/>
      <w:divBdr>
        <w:top w:val="none" w:sz="0" w:space="0" w:color="auto"/>
        <w:left w:val="none" w:sz="0" w:space="0" w:color="auto"/>
        <w:bottom w:val="none" w:sz="0" w:space="0" w:color="auto"/>
        <w:right w:val="none" w:sz="0" w:space="0" w:color="auto"/>
      </w:divBdr>
      <w:divsChild>
        <w:div w:id="10140666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8D6D-E3F5-7641-A319-C776C639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3063</Words>
  <Characters>17460</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Kantor Nir</dc:creator>
  <cp:lastModifiedBy>Reece Erlichman</cp:lastModifiedBy>
  <cp:revision>2</cp:revision>
  <cp:lastPrinted>2021-11-03T15:15:00Z</cp:lastPrinted>
  <dcterms:created xsi:type="dcterms:W3CDTF">2021-11-03T16:44:00Z</dcterms:created>
  <dcterms:modified xsi:type="dcterms:W3CDTF">2021-11-03T16:44:00Z</dcterms:modified>
</cp:coreProperties>
</file>