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0D2" w14:textId="77777777" w:rsidR="00740E5D" w:rsidRDefault="005057BB">
      <w:pPr>
        <w:pStyle w:val="Heading1"/>
        <w:spacing w:before="81"/>
        <w:ind w:left="2093" w:right="2073" w:firstLine="4"/>
        <w:jc w:val="center"/>
      </w:pPr>
      <w:r>
        <w:t>COMMONWEALTH OF MASSACHUSETTS</w:t>
      </w:r>
      <w:r>
        <w:rPr>
          <w:spacing w:val="1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 ADMINISTRATIVE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APPEALS</w:t>
      </w:r>
      <w:r>
        <w:rPr>
          <w:spacing w:val="-64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APPEALS</w:t>
      </w:r>
    </w:p>
    <w:p w14:paraId="0C57179B" w14:textId="77777777" w:rsidR="00740E5D" w:rsidRDefault="00740E5D">
      <w:pPr>
        <w:pStyle w:val="BodyText"/>
        <w:rPr>
          <w:b/>
          <w:sz w:val="20"/>
        </w:rPr>
      </w:pPr>
    </w:p>
    <w:p w14:paraId="04315B72" w14:textId="77777777" w:rsidR="00740E5D" w:rsidRDefault="005057BB">
      <w:pPr>
        <w:pStyle w:val="BodyText"/>
        <w:spacing w:before="8"/>
        <w:rPr>
          <w:b/>
        </w:rPr>
      </w:pPr>
      <w:r>
        <w:pict w14:anchorId="21AF19C0">
          <v:shape id="docshape1" o:spid="_x0000_s2054" style="position:absolute;margin-left:1in;margin-top:15.45pt;width:160.3pt;height:.1pt;z-index:-15728640;mso-wrap-distance-left:0;mso-wrap-distance-right:0;mso-position-horizontal-relative:page" coordorigin="1440,309" coordsize="3206,0" path="m1440,309r3206,e" filled="f" strokeweight=".37678mm">
            <v:path arrowok="t"/>
            <w10:wrap type="topAndBottom" anchorx="page"/>
          </v:shape>
        </w:pict>
      </w:r>
    </w:p>
    <w:p w14:paraId="748DD87D" w14:textId="77777777" w:rsidR="00740E5D" w:rsidRDefault="005057BB">
      <w:pPr>
        <w:pStyle w:val="BodyText"/>
        <w:spacing w:before="1"/>
        <w:ind w:left="100"/>
      </w:pPr>
      <w:r>
        <w:t>In Re:</w:t>
      </w:r>
      <w:r>
        <w:rPr>
          <w:spacing w:val="1"/>
        </w:rPr>
        <w:t xml:space="preserve"> </w:t>
      </w:r>
      <w:r>
        <w:t>Student</w:t>
      </w:r>
    </w:p>
    <w:p w14:paraId="00B71678" w14:textId="77777777" w:rsidR="00740E5D" w:rsidRDefault="00740E5D">
      <w:pPr>
        <w:pStyle w:val="BodyText"/>
      </w:pPr>
    </w:p>
    <w:p w14:paraId="0AE5B22B" w14:textId="77777777" w:rsidR="00740E5D" w:rsidRDefault="005057BB">
      <w:pPr>
        <w:pStyle w:val="BodyText"/>
        <w:tabs>
          <w:tab w:val="left" w:pos="5862"/>
        </w:tabs>
        <w:ind w:left="100"/>
      </w:pPr>
      <w:r>
        <w:t>&amp;</w:t>
      </w:r>
      <w:r>
        <w:tab/>
        <w:t>BSEA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2204488</w:t>
      </w:r>
    </w:p>
    <w:p w14:paraId="28F0D46B" w14:textId="77777777" w:rsidR="00740E5D" w:rsidRDefault="00740E5D">
      <w:pPr>
        <w:pStyle w:val="BodyText"/>
      </w:pPr>
    </w:p>
    <w:p w14:paraId="3A11E613" w14:textId="77777777" w:rsidR="00740E5D" w:rsidRDefault="005057BB">
      <w:pPr>
        <w:pStyle w:val="BodyText"/>
        <w:ind w:left="100"/>
      </w:pPr>
      <w:r>
        <w:t>Dracut Public</w:t>
      </w:r>
      <w:r>
        <w:rPr>
          <w:spacing w:val="-2"/>
        </w:rPr>
        <w:t xml:space="preserve"> </w:t>
      </w:r>
      <w:r>
        <w:t>Schools</w:t>
      </w:r>
    </w:p>
    <w:p w14:paraId="5BB436E3" w14:textId="77777777" w:rsidR="00740E5D" w:rsidRDefault="005057BB">
      <w:pPr>
        <w:pStyle w:val="BodyText"/>
        <w:spacing w:before="2"/>
        <w:rPr>
          <w:sz w:val="21"/>
        </w:rPr>
      </w:pPr>
      <w:r>
        <w:pict w14:anchorId="557BA334">
          <v:shape id="docshape2" o:spid="_x0000_s2053" style="position:absolute;margin-left:1in;margin-top:13.4pt;width:153.35pt;height:.1pt;z-index:-15728128;mso-wrap-distance-left:0;mso-wrap-distance-right:0;mso-position-horizontal-relative:page" coordorigin="1440,268" coordsize="3067,0" path="m1440,268r3067,e" filled="f" strokeweight=".26669mm">
            <v:path arrowok="t"/>
            <w10:wrap type="topAndBottom" anchorx="page"/>
          </v:shape>
        </w:pict>
      </w:r>
    </w:p>
    <w:p w14:paraId="2BAA8BAA" w14:textId="77777777" w:rsidR="00740E5D" w:rsidRDefault="00740E5D">
      <w:pPr>
        <w:pStyle w:val="BodyText"/>
        <w:spacing w:before="3"/>
        <w:rPr>
          <w:sz w:val="16"/>
        </w:rPr>
      </w:pPr>
    </w:p>
    <w:p w14:paraId="48BCD37F" w14:textId="77777777" w:rsidR="00740E5D" w:rsidRDefault="005057BB">
      <w:pPr>
        <w:pStyle w:val="Heading1"/>
        <w:spacing w:before="92"/>
        <w:rPr>
          <w:i/>
        </w:rPr>
      </w:pPr>
      <w:r>
        <w:t>RULING</w:t>
      </w:r>
      <w:r>
        <w:rPr>
          <w:spacing w:val="-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MOTIONS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QUASH</w:t>
      </w:r>
      <w:r>
        <w:rPr>
          <w:spacing w:val="-2"/>
        </w:rPr>
        <w:t xml:space="preserve"> </w:t>
      </w:r>
      <w:r>
        <w:t xml:space="preserve">SUBPOENAS </w:t>
      </w:r>
      <w:r>
        <w:rPr>
          <w:i/>
        </w:rPr>
        <w:t>DUCES</w:t>
      </w:r>
      <w:r>
        <w:rPr>
          <w:i/>
          <w:spacing w:val="-4"/>
        </w:rPr>
        <w:t xml:space="preserve"> </w:t>
      </w:r>
      <w:r>
        <w:rPr>
          <w:i/>
        </w:rPr>
        <w:t>TECUM</w:t>
      </w:r>
    </w:p>
    <w:p w14:paraId="0F0A87B5" w14:textId="77777777" w:rsidR="00740E5D" w:rsidRDefault="00740E5D">
      <w:pPr>
        <w:pStyle w:val="BodyText"/>
        <w:rPr>
          <w:b/>
          <w:i/>
        </w:rPr>
      </w:pPr>
    </w:p>
    <w:p w14:paraId="2204D2B1" w14:textId="77777777" w:rsidR="00740E5D" w:rsidRDefault="005057BB">
      <w:pPr>
        <w:pStyle w:val="BodyText"/>
        <w:ind w:left="100" w:right="174"/>
      </w:pPr>
      <w:r>
        <w:t xml:space="preserve">On January 13, 2022, pursuant to the request of the Parent, who is appearing </w:t>
      </w:r>
      <w:r>
        <w:rPr>
          <w:i/>
        </w:rPr>
        <w:t xml:space="preserve">pro se </w:t>
      </w:r>
      <w:r>
        <w:t>in</w:t>
      </w:r>
      <w:r>
        <w:rPr>
          <w:spacing w:val="-64"/>
        </w:rPr>
        <w:t xml:space="preserve"> </w:t>
      </w:r>
      <w:r>
        <w:t xml:space="preserve">this matter, the BSEA issued subpoenas </w:t>
      </w:r>
      <w:r>
        <w:rPr>
          <w:i/>
        </w:rPr>
        <w:t xml:space="preserve">duces tecum </w:t>
      </w:r>
      <w:r>
        <w:t>directing nine named employees</w:t>
      </w:r>
      <w:r>
        <w:rPr>
          <w:spacing w:val="-64"/>
        </w:rPr>
        <w:t xml:space="preserve"> </w:t>
      </w:r>
      <w:r>
        <w:t>of the Dracut Public Schools to appear and testify at the hearing on January 20, 2022,</w:t>
      </w:r>
      <w:r>
        <w:rPr>
          <w:spacing w:val="1"/>
        </w:rPr>
        <w:t xml:space="preserve"> </w:t>
      </w:r>
      <w:r>
        <w:t>and to provide Parent with certain documents by January 18, 2022.</w:t>
      </w:r>
      <w:r>
        <w:rPr>
          <w:spacing w:val="1"/>
        </w:rPr>
        <w:t xml:space="preserve"> </w:t>
      </w:r>
      <w:r>
        <w:t>On January 18,</w:t>
      </w:r>
      <w:r>
        <w:rPr>
          <w:spacing w:val="1"/>
        </w:rPr>
        <w:t xml:space="preserve"> </w:t>
      </w:r>
      <w:r>
        <w:t xml:space="preserve">2022, the School filed a </w:t>
      </w:r>
      <w:r>
        <w:rPr>
          <w:i/>
        </w:rPr>
        <w:t>Motion to Quash the Subpoenas Duces Tecum to the Extent</w:t>
      </w:r>
      <w:r>
        <w:rPr>
          <w:i/>
          <w:spacing w:val="1"/>
        </w:rPr>
        <w:t xml:space="preserve"> </w:t>
      </w:r>
      <w:r>
        <w:rPr>
          <w:i/>
        </w:rPr>
        <w:t>they Se</w:t>
      </w:r>
      <w:r>
        <w:rPr>
          <w:i/>
        </w:rPr>
        <w:t>ek Documents from a Party</w:t>
      </w:r>
      <w:r>
        <w:t>, asserting that “such subpoenas cannot be issued</w:t>
      </w:r>
      <w:r>
        <w:rPr>
          <w:spacing w:val="1"/>
        </w:rPr>
        <w:t xml:space="preserve"> </w:t>
      </w:r>
      <w:r>
        <w:t>under the BSEA’s</w:t>
      </w:r>
      <w:r>
        <w:rPr>
          <w:spacing w:val="-2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and…801 CMR</w:t>
      </w:r>
      <w:r>
        <w:rPr>
          <w:spacing w:val="-2"/>
        </w:rPr>
        <w:t xml:space="preserve"> </w:t>
      </w:r>
      <w:r>
        <w:t>1.01…</w:t>
      </w:r>
    </w:p>
    <w:p w14:paraId="2E13A306" w14:textId="77777777" w:rsidR="00740E5D" w:rsidRDefault="00740E5D">
      <w:pPr>
        <w:pStyle w:val="BodyText"/>
        <w:spacing w:before="1"/>
      </w:pPr>
    </w:p>
    <w:p w14:paraId="4261E509" w14:textId="77777777" w:rsidR="00740E5D" w:rsidRDefault="005057BB">
      <w:pPr>
        <w:pStyle w:val="BodyText"/>
        <w:ind w:left="100"/>
      </w:pPr>
      <w:r>
        <w:t xml:space="preserve">In its </w:t>
      </w:r>
      <w:r>
        <w:rPr>
          <w:i/>
        </w:rPr>
        <w:t>Motion</w:t>
      </w:r>
      <w:r>
        <w:t xml:space="preserve">, the School asserts that a party “may only request documents from a </w:t>
      </w:r>
      <w:r>
        <w:rPr>
          <w:u w:val="single"/>
        </w:rPr>
        <w:t>non-</w:t>
      </w:r>
      <w:r>
        <w:rPr>
          <w:spacing w:val="1"/>
        </w:rPr>
        <w:t xml:space="preserve"> </w:t>
      </w:r>
      <w:r>
        <w:rPr>
          <w:u w:val="single"/>
        </w:rPr>
        <w:t>party</w:t>
      </w:r>
      <w:r>
        <w:t xml:space="preserve"> [emphasis added] through a subpoena </w:t>
      </w:r>
      <w:r>
        <w:rPr>
          <w:i/>
        </w:rPr>
        <w:t>du</w:t>
      </w:r>
      <w:r>
        <w:rPr>
          <w:i/>
        </w:rPr>
        <w:t xml:space="preserve">ces tecum </w:t>
      </w:r>
      <w:r>
        <w:t>duly issued by the [BSEA].”</w:t>
      </w:r>
      <w:r>
        <w:rPr>
          <w:spacing w:val="1"/>
        </w:rPr>
        <w:t xml:space="preserve"> </w:t>
      </w:r>
      <w:r>
        <w:t xml:space="preserve">The School refers to Rule VII.B.1 of the BSEA </w:t>
      </w:r>
      <w:r>
        <w:rPr>
          <w:i/>
        </w:rPr>
        <w:t>Hearing Rules for Special Education</w:t>
      </w:r>
      <w:r>
        <w:rPr>
          <w:i/>
          <w:spacing w:val="1"/>
        </w:rPr>
        <w:t xml:space="preserve"> </w:t>
      </w:r>
      <w:r>
        <w:rPr>
          <w:i/>
        </w:rPr>
        <w:t>Appeals</w:t>
      </w:r>
      <w:r>
        <w:rPr>
          <w:i/>
          <w:spacing w:val="-2"/>
        </w:rPr>
        <w:t xml:space="preserve"> </w:t>
      </w:r>
      <w:r>
        <w:rPr>
          <w:i/>
        </w:rPr>
        <w:t>(Hearing</w:t>
      </w:r>
      <w:r>
        <w:rPr>
          <w:i/>
          <w:spacing w:val="-2"/>
        </w:rPr>
        <w:t xml:space="preserve"> </w:t>
      </w:r>
      <w:r>
        <w:rPr>
          <w:i/>
        </w:rPr>
        <w:t>Rules)</w:t>
      </w:r>
      <w:r>
        <w:rPr>
          <w:i/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position.</w:t>
      </w:r>
      <w:r>
        <w:rPr>
          <w:spacing w:val="6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argues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“[t]o</w:t>
      </w:r>
      <w:r>
        <w:rPr>
          <w:spacing w:val="-6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otherwise would</w:t>
      </w:r>
      <w:r>
        <w:rPr>
          <w:spacing w:val="-3"/>
        </w:rPr>
        <w:t xml:space="preserve"> </w:t>
      </w:r>
      <w:r>
        <w:t>fundamentally</w:t>
      </w:r>
      <w:r>
        <w:rPr>
          <w:spacing w:val="-3"/>
        </w:rPr>
        <w:t xml:space="preserve"> </w:t>
      </w:r>
      <w:r>
        <w:t>undermine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District’s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</w:p>
    <w:p w14:paraId="409C6B87" w14:textId="77777777" w:rsidR="00740E5D" w:rsidRDefault="005057BB">
      <w:pPr>
        <w:pStyle w:val="BodyText"/>
        <w:spacing w:line="274" w:lineRule="exact"/>
        <w:ind w:left="100"/>
      </w:pP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district.”</w:t>
      </w:r>
    </w:p>
    <w:p w14:paraId="4BD5EB0A" w14:textId="77777777" w:rsidR="00740E5D" w:rsidRDefault="00740E5D">
      <w:pPr>
        <w:pStyle w:val="BodyText"/>
      </w:pPr>
    </w:p>
    <w:p w14:paraId="68A6C608" w14:textId="77777777" w:rsidR="00740E5D" w:rsidRDefault="005057BB">
      <w:pPr>
        <w:pStyle w:val="BodyText"/>
        <w:spacing w:before="1" w:line="242" w:lineRule="auto"/>
        <w:ind w:left="100" w:right="694"/>
      </w:pPr>
      <w:r>
        <w:t xml:space="preserve">Parent’s </w:t>
      </w:r>
      <w:r>
        <w:rPr>
          <w:i/>
        </w:rPr>
        <w:t xml:space="preserve">Response </w:t>
      </w:r>
      <w:r>
        <w:t xml:space="preserve">to the </w:t>
      </w:r>
      <w:r>
        <w:rPr>
          <w:i/>
        </w:rPr>
        <w:t>Motion to Quash</w:t>
      </w:r>
      <w:r>
        <w:t>, filed on January 18, 2022, counters, in</w:t>
      </w:r>
      <w:r>
        <w:rPr>
          <w:spacing w:val="-64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part, that she</w:t>
      </w:r>
      <w:r>
        <w:rPr>
          <w:spacing w:val="-1"/>
        </w:rPr>
        <w:t xml:space="preserve"> </w:t>
      </w:r>
      <w:r>
        <w:t>disagrees 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position.</w:t>
      </w:r>
      <w:r>
        <w:rPr>
          <w:vertAlign w:val="superscript"/>
        </w:rPr>
        <w:t>1</w:t>
      </w:r>
    </w:p>
    <w:p w14:paraId="61081438" w14:textId="77777777" w:rsidR="00740E5D" w:rsidRDefault="00740E5D">
      <w:pPr>
        <w:pStyle w:val="BodyText"/>
        <w:spacing w:before="8"/>
        <w:rPr>
          <w:sz w:val="23"/>
        </w:rPr>
      </w:pPr>
    </w:p>
    <w:p w14:paraId="0DFC9717" w14:textId="77777777" w:rsidR="00740E5D" w:rsidRDefault="005057BB">
      <w:pPr>
        <w:pStyle w:val="Heading2"/>
        <w:spacing w:line="275" w:lineRule="exact"/>
      </w:pPr>
      <w:r>
        <w:rPr>
          <w:u w:val="single"/>
        </w:rPr>
        <w:t>Legal</w:t>
      </w:r>
      <w:r>
        <w:rPr>
          <w:spacing w:val="-7"/>
          <w:u w:val="single"/>
        </w:rPr>
        <w:t xml:space="preserve"> </w:t>
      </w:r>
      <w:r>
        <w:rPr>
          <w:u w:val="single"/>
        </w:rPr>
        <w:t>Framework</w:t>
      </w:r>
    </w:p>
    <w:p w14:paraId="2E3D12AA" w14:textId="77777777" w:rsidR="00740E5D" w:rsidRDefault="005057BB">
      <w:pPr>
        <w:spacing w:line="275" w:lineRule="exact"/>
        <w:ind w:left="821"/>
        <w:rPr>
          <w:sz w:val="24"/>
        </w:rPr>
      </w:pPr>
      <w:r>
        <w:rPr>
          <w:sz w:val="24"/>
        </w:rPr>
        <w:t>.</w:t>
      </w:r>
    </w:p>
    <w:p w14:paraId="7801DE45" w14:textId="77777777" w:rsidR="00740E5D" w:rsidRDefault="005057BB">
      <w:pPr>
        <w:pStyle w:val="BodyText"/>
        <w:spacing w:before="3"/>
        <w:ind w:left="100" w:right="148"/>
      </w:pPr>
      <w:r>
        <w:t xml:space="preserve">Rule VII of the </w:t>
      </w:r>
      <w:r>
        <w:rPr>
          <w:i/>
        </w:rPr>
        <w:t xml:space="preserve">Hearing Rules </w:t>
      </w:r>
      <w:r>
        <w:t>states that at the request of a party, the BSEA must issue</w:t>
      </w:r>
      <w:r>
        <w:rPr>
          <w:spacing w:val="-64"/>
        </w:rPr>
        <w:t xml:space="preserve"> </w:t>
      </w:r>
      <w:r>
        <w:t>subpoenas requiring appearance of witnesses at due process hearings as set forth</w:t>
      </w:r>
      <w:r>
        <w:rPr>
          <w:spacing w:val="1"/>
        </w:rPr>
        <w:t xml:space="preserve"> </w:t>
      </w:r>
      <w:r>
        <w:t>below:</w:t>
      </w:r>
    </w:p>
    <w:p w14:paraId="7AB8E716" w14:textId="77777777" w:rsidR="00740E5D" w:rsidRDefault="00740E5D">
      <w:pPr>
        <w:pStyle w:val="BodyText"/>
      </w:pPr>
    </w:p>
    <w:p w14:paraId="22863819" w14:textId="77777777" w:rsidR="00740E5D" w:rsidRDefault="005057BB">
      <w:pPr>
        <w:pStyle w:val="Heading2"/>
        <w:spacing w:line="275" w:lineRule="exact"/>
        <w:ind w:left="749"/>
      </w:pPr>
      <w:r>
        <w:t>B.</w:t>
      </w:r>
      <w:r>
        <w:rPr>
          <w:spacing w:val="-1"/>
        </w:rPr>
        <w:t xml:space="preserve"> </w:t>
      </w:r>
      <w:r>
        <w:t>Issuance</w:t>
      </w:r>
    </w:p>
    <w:p w14:paraId="1222C95D" w14:textId="77777777" w:rsidR="00740E5D" w:rsidRDefault="005057BB">
      <w:pPr>
        <w:ind w:left="1109" w:right="1128"/>
        <w:rPr>
          <w:sz w:val="24"/>
        </w:rPr>
      </w:pPr>
      <w:r>
        <w:rPr>
          <w:sz w:val="24"/>
        </w:rPr>
        <w:t>Upon 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party,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BSEA</w:t>
      </w:r>
      <w:r>
        <w:rPr>
          <w:spacing w:val="2"/>
          <w:sz w:val="24"/>
        </w:rPr>
        <w:t xml:space="preserve"> </w:t>
      </w:r>
      <w:r>
        <w:rPr>
          <w:sz w:val="24"/>
        </w:rPr>
        <w:t>shall issue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subpoena to require a person to appear and testify </w:t>
      </w:r>
      <w:r>
        <w:rPr>
          <w:i/>
          <w:sz w:val="24"/>
        </w:rPr>
        <w:t>and, if requested,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to produce documents at the hearing. </w:t>
      </w:r>
      <w:r>
        <w:rPr>
          <w:sz w:val="24"/>
        </w:rPr>
        <w:t>[emphasis supplied]. A party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subpoena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duces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tecum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</w:p>
    <w:p w14:paraId="5B93A3B0" w14:textId="77777777" w:rsidR="00740E5D" w:rsidRDefault="005057BB">
      <w:pPr>
        <w:pStyle w:val="BodyText"/>
        <w:spacing w:before="10"/>
        <w:rPr>
          <w:sz w:val="22"/>
        </w:rPr>
      </w:pPr>
      <w:r>
        <w:pict w14:anchorId="0330F489">
          <v:rect id="docshape3" o:spid="_x0000_s2052" style="position:absolute;margin-left:1in;margin-top:14.3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9FB8BE6" w14:textId="77777777" w:rsidR="00740E5D" w:rsidRDefault="005057BB">
      <w:pPr>
        <w:spacing w:before="100"/>
        <w:ind w:left="100" w:right="285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Parent also argued that none of the individuals to whom s</w:t>
      </w:r>
      <w:r>
        <w:rPr>
          <w:sz w:val="20"/>
        </w:rPr>
        <w:t>ubpoenas were issued is listed as a party in</w:t>
      </w:r>
      <w:r>
        <w:rPr>
          <w:spacing w:val="1"/>
          <w:sz w:val="20"/>
        </w:rPr>
        <w:t xml:space="preserve"> </w:t>
      </w:r>
      <w:r>
        <w:rPr>
          <w:sz w:val="20"/>
        </w:rPr>
        <w:t>the case.</w:t>
      </w:r>
      <w:r>
        <w:rPr>
          <w:spacing w:val="1"/>
          <w:sz w:val="20"/>
        </w:rPr>
        <w:t xml:space="preserve"> </w:t>
      </w:r>
      <w:r>
        <w:rPr>
          <w:sz w:val="20"/>
        </w:rPr>
        <w:t>However, because these persons are to appear in their capacity as employees of the District,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subpoenas are deemed</w:t>
      </w:r>
      <w:r>
        <w:rPr>
          <w:spacing w:val="-1"/>
          <w:sz w:val="20"/>
        </w:rPr>
        <w:t xml:space="preserve"> </w:t>
      </w:r>
      <w:r>
        <w:rPr>
          <w:sz w:val="20"/>
        </w:rPr>
        <w:t>as being issued</w:t>
      </w:r>
      <w:r>
        <w:rPr>
          <w:spacing w:val="-1"/>
          <w:sz w:val="20"/>
        </w:rPr>
        <w:t xml:space="preserve"> </w:t>
      </w:r>
      <w:r>
        <w:rPr>
          <w:sz w:val="20"/>
        </w:rPr>
        <w:t>to a</w:t>
      </w:r>
      <w:r>
        <w:rPr>
          <w:spacing w:val="-1"/>
          <w:sz w:val="20"/>
        </w:rPr>
        <w:t xml:space="preserve"> </w:t>
      </w:r>
      <w:r>
        <w:rPr>
          <w:sz w:val="20"/>
        </w:rPr>
        <w:t>party,</w:t>
      </w:r>
      <w:r>
        <w:rPr>
          <w:spacing w:val="-3"/>
          <w:sz w:val="20"/>
        </w:rPr>
        <w:t xml:space="preserve"> </w:t>
      </w:r>
      <w:r>
        <w:rPr>
          <w:sz w:val="20"/>
        </w:rPr>
        <w:t>namely,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Dracut</w:t>
      </w:r>
      <w:r>
        <w:rPr>
          <w:spacing w:val="-2"/>
          <w:sz w:val="20"/>
        </w:rPr>
        <w:t xml:space="preserve"> </w:t>
      </w:r>
      <w:r>
        <w:rPr>
          <w:sz w:val="20"/>
        </w:rPr>
        <w:t>Public Schools.</w:t>
      </w:r>
    </w:p>
    <w:p w14:paraId="5232E526" w14:textId="77777777" w:rsidR="00740E5D" w:rsidRDefault="00740E5D">
      <w:pPr>
        <w:jc w:val="both"/>
        <w:rPr>
          <w:sz w:val="20"/>
        </w:rPr>
        <w:sectPr w:rsidR="00740E5D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058DC08B" w14:textId="77777777" w:rsidR="00740E5D" w:rsidRDefault="005057BB">
      <w:pPr>
        <w:pStyle w:val="BodyText"/>
        <w:spacing w:before="83" w:line="237" w:lineRule="auto"/>
        <w:ind w:left="1109" w:right="1073"/>
      </w:pPr>
      <w:r>
        <w:lastRenderedPageBreak/>
        <w:t>documents subpoenaed from a non-party be delivered to the office 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 documents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hearing</w:t>
      </w:r>
      <w:r>
        <w:rPr>
          <w:spacing w:val="-1"/>
        </w:rPr>
        <w:t xml:space="preserve"> </w:t>
      </w:r>
      <w:r>
        <w:t>date.</w:t>
      </w:r>
    </w:p>
    <w:p w14:paraId="2A2050E4" w14:textId="77777777" w:rsidR="00740E5D" w:rsidRDefault="00740E5D">
      <w:pPr>
        <w:pStyle w:val="BodyText"/>
        <w:spacing w:before="1"/>
      </w:pPr>
    </w:p>
    <w:p w14:paraId="34CBFDBD" w14:textId="77777777" w:rsidR="00740E5D" w:rsidRDefault="005057BB">
      <w:pPr>
        <w:pStyle w:val="BodyText"/>
        <w:spacing w:line="242" w:lineRule="auto"/>
        <w:ind w:left="100" w:right="694"/>
      </w:pPr>
      <w:r>
        <w:t>Rule</w:t>
      </w:r>
      <w:r>
        <w:rPr>
          <w:spacing w:val="-3"/>
        </w:rPr>
        <w:t xml:space="preserve"> </w:t>
      </w:r>
      <w:r>
        <w:t>VII.C. describes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contesting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subpoena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63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their representative)</w:t>
      </w:r>
      <w:r>
        <w:rPr>
          <w:spacing w:val="1"/>
        </w:rPr>
        <w:t xml:space="preserve"> </w:t>
      </w:r>
      <w:r>
        <w:t>as follows:</w:t>
      </w:r>
    </w:p>
    <w:p w14:paraId="10D21D5F" w14:textId="77777777" w:rsidR="00740E5D" w:rsidRDefault="00740E5D">
      <w:pPr>
        <w:pStyle w:val="BodyText"/>
        <w:spacing w:before="11"/>
        <w:rPr>
          <w:sz w:val="22"/>
        </w:rPr>
      </w:pPr>
    </w:p>
    <w:p w14:paraId="67BD7397" w14:textId="77777777" w:rsidR="00740E5D" w:rsidRDefault="005057BB">
      <w:pPr>
        <w:pStyle w:val="Heading2"/>
        <w:ind w:left="749"/>
      </w:pPr>
      <w:r>
        <w:t>C.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Contests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Subpoena</w:t>
      </w:r>
    </w:p>
    <w:p w14:paraId="6A085CE4" w14:textId="77777777" w:rsidR="00740E5D" w:rsidRDefault="005057BB">
      <w:pPr>
        <w:pStyle w:val="BodyText"/>
        <w:spacing w:before="2"/>
        <w:ind w:left="1109" w:right="1180"/>
      </w:pPr>
      <w:r>
        <w:t>A person receiving a subpoena may request that a Hearing Officer</w:t>
      </w:r>
      <w:r>
        <w:rPr>
          <w:spacing w:val="1"/>
        </w:rPr>
        <w:t xml:space="preserve"> </w:t>
      </w:r>
      <w:r>
        <w:t>vacate or modify the subpoena. A Hearing Officer may so do upon a</w:t>
      </w:r>
      <w:r>
        <w:rPr>
          <w:spacing w:val="-64"/>
        </w:rPr>
        <w:t xml:space="preserve"> </w:t>
      </w:r>
      <w:r>
        <w:t>finding that the testimony or documents sought are not relevant to</w:t>
      </w:r>
      <w:r>
        <w:rPr>
          <w:spacing w:val="1"/>
        </w:rPr>
        <w:t xml:space="preserve"> </w:t>
      </w:r>
      <w:r>
        <w:t>any matter in question or that the time or place specified for</w:t>
      </w:r>
      <w:r>
        <w:rPr>
          <w:spacing w:val="1"/>
        </w:rPr>
        <w:t xml:space="preserve"> </w:t>
      </w:r>
      <w:proofErr w:type="gramStart"/>
      <w:r>
        <w:t>compliance</w:t>
      </w:r>
      <w:proofErr w:type="gramEnd"/>
      <w:r>
        <w:t xml:space="preserve"> or the breadth of the material sought imposes an undue</w:t>
      </w:r>
      <w:r>
        <w:rPr>
          <w:spacing w:val="-64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person subpoenaed.</w:t>
      </w:r>
    </w:p>
    <w:p w14:paraId="5DE08C64" w14:textId="77777777" w:rsidR="00740E5D" w:rsidRDefault="00740E5D">
      <w:pPr>
        <w:pStyle w:val="BodyText"/>
        <w:spacing w:before="10"/>
        <w:rPr>
          <w:sz w:val="23"/>
        </w:rPr>
      </w:pPr>
    </w:p>
    <w:p w14:paraId="0A76B1F2" w14:textId="77777777" w:rsidR="00740E5D" w:rsidRDefault="005057BB">
      <w:pPr>
        <w:pStyle w:val="Heading2"/>
      </w:pPr>
      <w:r>
        <w:rPr>
          <w:u w:val="single"/>
        </w:rPr>
        <w:t>Analysis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Conclusions</w:t>
      </w:r>
    </w:p>
    <w:p w14:paraId="06954DAF" w14:textId="77777777" w:rsidR="00740E5D" w:rsidRDefault="00740E5D">
      <w:pPr>
        <w:pStyle w:val="BodyText"/>
        <w:rPr>
          <w:b/>
          <w:sz w:val="16"/>
        </w:rPr>
      </w:pPr>
    </w:p>
    <w:p w14:paraId="28D1F1F7" w14:textId="77777777" w:rsidR="00740E5D" w:rsidRDefault="005057BB">
      <w:pPr>
        <w:pStyle w:val="BodyText"/>
        <w:spacing w:before="92" w:line="242" w:lineRule="auto"/>
        <w:ind w:left="100"/>
      </w:pPr>
      <w:r>
        <w:t>The</w:t>
      </w:r>
      <w:r>
        <w:rPr>
          <w:spacing w:val="-3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VII.B.</w:t>
      </w:r>
      <w:r>
        <w:rPr>
          <w:spacing w:val="-3"/>
        </w:rPr>
        <w:t xml:space="preserve"> </w:t>
      </w:r>
      <w:r>
        <w:t>authorizes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BSEA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subpoenas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“a</w:t>
      </w:r>
      <w:r>
        <w:rPr>
          <w:spacing w:val="-63"/>
        </w:rPr>
        <w:t xml:space="preserve"> </w:t>
      </w:r>
      <w:r>
        <w:t>person”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testify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hearing,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“if</w:t>
      </w:r>
      <w:r>
        <w:rPr>
          <w:spacing w:val="-3"/>
        </w:rPr>
        <w:t xml:space="preserve"> </w:t>
      </w:r>
      <w:r>
        <w:t>requested,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at</w:t>
      </w:r>
    </w:p>
    <w:p w14:paraId="193C5DD6" w14:textId="77777777" w:rsidR="00740E5D" w:rsidRDefault="005057BB">
      <w:pPr>
        <w:pStyle w:val="BodyText"/>
        <w:spacing w:line="271" w:lineRule="exact"/>
        <w:ind w:left="100"/>
      </w:pPr>
      <w:r>
        <w:t>the</w:t>
      </w:r>
      <w:r>
        <w:rPr>
          <w:spacing w:val="-2"/>
        </w:rPr>
        <w:t xml:space="preserve"> </w:t>
      </w:r>
      <w:r>
        <w:t>hearing.”</w:t>
      </w:r>
      <w:r>
        <w:rPr>
          <w:spacing w:val="62"/>
        </w:rPr>
        <w:t xml:space="preserve"> </w:t>
      </w:r>
      <w:r>
        <w:t>Clearly,</w:t>
      </w:r>
      <w:r>
        <w:rPr>
          <w:spacing w:val="-4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person”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or non-party</w:t>
      </w:r>
      <w:r>
        <w:rPr>
          <w:spacing w:val="-1"/>
        </w:rPr>
        <w:t xml:space="preserve"> </w:t>
      </w:r>
      <w:r>
        <w:t>witness.</w:t>
      </w:r>
    </w:p>
    <w:p w14:paraId="3BE88AB2" w14:textId="77777777" w:rsidR="00740E5D" w:rsidRDefault="00740E5D">
      <w:pPr>
        <w:pStyle w:val="BodyText"/>
      </w:pPr>
    </w:p>
    <w:p w14:paraId="631DB218" w14:textId="77777777" w:rsidR="00740E5D" w:rsidRDefault="005057BB">
      <w:pPr>
        <w:pStyle w:val="BodyText"/>
        <w:ind w:left="100" w:right="187"/>
      </w:pPr>
      <w:r>
        <w:t xml:space="preserve">The language referring to a subpoena </w:t>
      </w:r>
      <w:r>
        <w:rPr>
          <w:i/>
        </w:rPr>
        <w:t xml:space="preserve">duces tecum </w:t>
      </w:r>
      <w:r>
        <w:t>issued to a non-party does not limit</w:t>
      </w:r>
      <w:r>
        <w:rPr>
          <w:spacing w:val="-64"/>
        </w:rPr>
        <w:t xml:space="preserve"> </w:t>
      </w:r>
      <w:r>
        <w:t>issuance of such to non-parties.</w:t>
      </w:r>
      <w:r>
        <w:rPr>
          <w:spacing w:val="1"/>
        </w:rPr>
        <w:t xml:space="preserve"> </w:t>
      </w:r>
      <w:r>
        <w:t>Rather, the language clarifies that the subpoena</w:t>
      </w:r>
      <w:r>
        <w:rPr>
          <w:spacing w:val="1"/>
        </w:rPr>
        <w:t xml:space="preserve"> </w:t>
      </w:r>
      <w:r>
        <w:t>authority of the BSEA extends to non-parties, including those who</w:t>
      </w:r>
      <w:r>
        <w:t xml:space="preserve"> may not be asked to</w:t>
      </w:r>
      <w:r>
        <w:rPr>
          <w:spacing w:val="-64"/>
        </w:rPr>
        <w:t xml:space="preserve"> </w:t>
      </w:r>
      <w:r>
        <w:t>testify, and that such persons may be required to provide documents to the requesting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hearing.</w:t>
      </w:r>
      <w:r>
        <w:rPr>
          <w:vertAlign w:val="superscript"/>
        </w:rPr>
        <w:t>2</w:t>
      </w:r>
    </w:p>
    <w:p w14:paraId="05461DFC" w14:textId="77777777" w:rsidR="00740E5D" w:rsidRDefault="00740E5D">
      <w:pPr>
        <w:pStyle w:val="BodyText"/>
        <w:spacing w:before="1"/>
      </w:pPr>
    </w:p>
    <w:p w14:paraId="6DF90929" w14:textId="77777777" w:rsidR="00740E5D" w:rsidRDefault="005057BB">
      <w:pPr>
        <w:pStyle w:val="BodyText"/>
        <w:ind w:left="100" w:right="165"/>
      </w:pPr>
      <w:r>
        <w:t xml:space="preserve">Finally, the School’s argument that allowing a subpoena </w:t>
      </w:r>
      <w:r>
        <w:rPr>
          <w:i/>
        </w:rPr>
        <w:t xml:space="preserve">duces tecum </w:t>
      </w:r>
      <w:r>
        <w:t>to issue to a</w:t>
      </w:r>
      <w:r>
        <w:rPr>
          <w:spacing w:val="1"/>
        </w:rPr>
        <w:t xml:space="preserve"> </w:t>
      </w:r>
      <w:r>
        <w:t>District employee would undermine the</w:t>
      </w:r>
      <w:r>
        <w:t xml:space="preserve"> discovery process and prejudice the District is</w:t>
      </w:r>
      <w:r>
        <w:rPr>
          <w:spacing w:val="1"/>
        </w:rPr>
        <w:t xml:space="preserve"> </w:t>
      </w:r>
      <w:r>
        <w:t>not persuasive.</w:t>
      </w:r>
      <w:r>
        <w:rPr>
          <w:spacing w:val="1"/>
        </w:rPr>
        <w:t xml:space="preserve"> </w:t>
      </w:r>
      <w:r>
        <w:t>Rule V.B. of the Hearing Rules makes discovery available to parties in</w:t>
      </w:r>
      <w:r>
        <w:rPr>
          <w:spacing w:val="1"/>
        </w:rPr>
        <w:t xml:space="preserve"> </w:t>
      </w:r>
      <w:r>
        <w:t>non-expedited BSEA proceedings,</w:t>
      </w:r>
      <w:r>
        <w:rPr>
          <w:vertAlign w:val="superscript"/>
        </w:rPr>
        <w:t>3</w:t>
      </w:r>
      <w:r>
        <w:t xml:space="preserve"> but does not require parties to conduct discovery at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certainly</w:t>
      </w:r>
      <w:r>
        <w:rPr>
          <w:spacing w:val="-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</w:t>
      </w:r>
      <w:r>
        <w:t>signate</w:t>
      </w:r>
      <w:r>
        <w:rPr>
          <w:spacing w:val="-4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exclusive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</w:p>
    <w:p w14:paraId="05E16814" w14:textId="77777777" w:rsidR="00740E5D" w:rsidRDefault="005057BB">
      <w:pPr>
        <w:pStyle w:val="BodyText"/>
        <w:spacing w:before="3"/>
        <w:ind w:left="100" w:right="148"/>
      </w:pPr>
      <w:r>
        <w:t>obtaining</w:t>
      </w:r>
      <w:r>
        <w:rPr>
          <w:spacing w:val="-3"/>
        </w:rPr>
        <w:t xml:space="preserve"> </w:t>
      </w:r>
      <w:r>
        <w:t>information.</w:t>
      </w:r>
      <w:r>
        <w:rPr>
          <w:spacing w:val="6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contrary,</w:t>
      </w:r>
      <w:r>
        <w:rPr>
          <w:spacing w:val="-2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V.A.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“parties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exchange information cooperatively and by agreement prior to the hearing,” and</w:t>
      </w:r>
      <w:r>
        <w:rPr>
          <w:spacing w:val="1"/>
        </w:rPr>
        <w:t xml:space="preserve"> </w:t>
      </w:r>
      <w:r>
        <w:t>reminds parties that parents are entitled to receive copies of the child’s student record.</w:t>
      </w:r>
      <w:r>
        <w:rPr>
          <w:spacing w:val="1"/>
        </w:rPr>
        <w:t xml:space="preserve"> </w:t>
      </w:r>
      <w:r>
        <w:t>This provision is consistent with the overall preference in the IDEA for cooperative a</w:t>
      </w:r>
      <w:r>
        <w:t>nd</w:t>
      </w:r>
      <w:r>
        <w:rPr>
          <w:spacing w:val="1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resolution of disputes.</w:t>
      </w:r>
    </w:p>
    <w:p w14:paraId="3362763F" w14:textId="77777777" w:rsidR="00740E5D" w:rsidRDefault="00740E5D">
      <w:pPr>
        <w:pStyle w:val="BodyText"/>
        <w:spacing w:before="1"/>
      </w:pPr>
    </w:p>
    <w:p w14:paraId="635F2474" w14:textId="77777777" w:rsidR="00740E5D" w:rsidRDefault="005057BB">
      <w:pPr>
        <w:pStyle w:val="BodyText"/>
        <w:ind w:left="100" w:right="28"/>
      </w:pPr>
      <w:r>
        <w:t>The only question here is whether the District’s witnesses may be required to produce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prior 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hearing,</w:t>
      </w:r>
      <w:r>
        <w:rPr>
          <w:spacing w:val="-7"/>
        </w:rPr>
        <w:t xml:space="preserve"> </w:t>
      </w:r>
      <w:r>
        <w:t>or whether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suffices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documents on the date of the hearing.</w:t>
      </w:r>
      <w:r>
        <w:rPr>
          <w:spacing w:val="1"/>
        </w:rPr>
        <w:t xml:space="preserve"> </w:t>
      </w:r>
      <w:r>
        <w:t>Whil</w:t>
      </w:r>
      <w:r>
        <w:t>e it may be permissible to require party</w:t>
      </w:r>
      <w:r>
        <w:rPr>
          <w:spacing w:val="1"/>
        </w:rPr>
        <w:t xml:space="preserve"> </w:t>
      </w:r>
      <w:r>
        <w:t>witnesses to produce documents prior to the hearing, for purposes of absolute</w:t>
      </w:r>
      <w:r>
        <w:rPr>
          <w:spacing w:val="1"/>
        </w:rPr>
        <w:t xml:space="preserve"> </w:t>
      </w:r>
      <w:r>
        <w:t xml:space="preserve">consistency with the first sentence of Rule VII.B., the subpoenas </w:t>
      </w:r>
      <w:r>
        <w:rPr>
          <w:i/>
        </w:rPr>
        <w:t xml:space="preserve">duces tecum </w:t>
      </w:r>
      <w:r>
        <w:t>are</w:t>
      </w:r>
      <w:r>
        <w:rPr>
          <w:spacing w:val="1"/>
        </w:rPr>
        <w:t xml:space="preserve"> </w:t>
      </w:r>
      <w:r>
        <w:t>modified to</w:t>
      </w:r>
      <w:r>
        <w:rPr>
          <w:spacing w:val="-5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witnesses affected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</w:t>
      </w:r>
      <w:r>
        <w:t>equested documents</w:t>
      </w:r>
      <w:r>
        <w:rPr>
          <w:spacing w:val="-5"/>
        </w:rPr>
        <w:t xml:space="preserve"> </w:t>
      </w:r>
      <w:r>
        <w:t>for</w:t>
      </w:r>
    </w:p>
    <w:p w14:paraId="5406609D" w14:textId="77777777" w:rsidR="00740E5D" w:rsidRDefault="005057BB">
      <w:pPr>
        <w:pStyle w:val="BodyText"/>
        <w:spacing w:before="1"/>
        <w:rPr>
          <w:sz w:val="22"/>
        </w:rPr>
      </w:pPr>
      <w:r>
        <w:pict w14:anchorId="0821DBCD">
          <v:rect id="docshape5" o:spid="_x0000_s2051" style="position:absolute;margin-left:1in;margin-top:13.9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3B54526" w14:textId="77777777" w:rsidR="00740E5D" w:rsidRDefault="005057BB">
      <w:pPr>
        <w:spacing w:before="102"/>
        <w:ind w:left="100" w:right="174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practice,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subpoenas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often</w:t>
      </w:r>
      <w:r>
        <w:rPr>
          <w:spacing w:val="-1"/>
          <w:sz w:val="20"/>
        </w:rPr>
        <w:t xml:space="preserve"> </w:t>
      </w:r>
      <w:r>
        <w:rPr>
          <w:sz w:val="20"/>
        </w:rPr>
        <w:t>directed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“keeper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records,”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nothing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 Rule restricts</w:t>
      </w:r>
      <w:r>
        <w:rPr>
          <w:spacing w:val="-3"/>
          <w:sz w:val="20"/>
        </w:rPr>
        <w:t xml:space="preserve"> </w:t>
      </w:r>
      <w:r>
        <w:rPr>
          <w:sz w:val="20"/>
        </w:rPr>
        <w:t>issuance to such</w:t>
      </w:r>
      <w:r>
        <w:rPr>
          <w:spacing w:val="-5"/>
          <w:sz w:val="20"/>
        </w:rPr>
        <w:t xml:space="preserve"> </w:t>
      </w:r>
      <w:r>
        <w:rPr>
          <w:sz w:val="20"/>
        </w:rPr>
        <w:t>persons.</w:t>
      </w:r>
    </w:p>
    <w:p w14:paraId="2C2A7BAD" w14:textId="77777777" w:rsidR="00740E5D" w:rsidRDefault="005057BB">
      <w:pPr>
        <w:spacing w:line="230" w:lineRule="exact"/>
        <w:ind w:left="1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accelerated</w:t>
      </w:r>
      <w:r>
        <w:rPr>
          <w:spacing w:val="-1"/>
          <w:sz w:val="20"/>
        </w:rPr>
        <w:t xml:space="preserve"> </w:t>
      </w:r>
      <w:r>
        <w:rPr>
          <w:sz w:val="20"/>
        </w:rPr>
        <w:t>matters.</w:t>
      </w:r>
    </w:p>
    <w:p w14:paraId="74D77084" w14:textId="77777777" w:rsidR="00740E5D" w:rsidRDefault="00740E5D">
      <w:pPr>
        <w:spacing w:line="230" w:lineRule="exact"/>
        <w:rPr>
          <w:sz w:val="20"/>
        </w:rPr>
        <w:sectPr w:rsidR="00740E5D">
          <w:footerReference w:type="default" r:id="rId6"/>
          <w:pgSz w:w="12240" w:h="15840"/>
          <w:pgMar w:top="1360" w:right="1360" w:bottom="1200" w:left="1340" w:header="0" w:footer="1008" w:gutter="0"/>
          <w:pgNumType w:start="2"/>
          <w:cols w:space="720"/>
        </w:sectPr>
      </w:pPr>
    </w:p>
    <w:p w14:paraId="08045B89" w14:textId="77777777" w:rsidR="00740E5D" w:rsidRDefault="005057BB">
      <w:pPr>
        <w:pStyle w:val="BodyText"/>
        <w:spacing w:before="81"/>
        <w:ind w:left="100" w:right="174"/>
      </w:pPr>
      <w:r>
        <w:lastRenderedPageBreak/>
        <w:t>production at the hearing.</w:t>
      </w:r>
      <w:r>
        <w:rPr>
          <w:spacing w:val="1"/>
        </w:rPr>
        <w:t xml:space="preserve"> </w:t>
      </w:r>
      <w:r>
        <w:t>The Parent will be afforded time to review the documents</w:t>
      </w:r>
      <w:r>
        <w:rPr>
          <w:spacing w:val="1"/>
        </w:rPr>
        <w:t xml:space="preserve"> </w:t>
      </w:r>
      <w:r>
        <w:t>prior to opening of the record and during such breaks as may be necessary.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sufficient</w:t>
      </w:r>
      <w:r>
        <w:rPr>
          <w:spacing w:val="-6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 review or otherwise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hearing.</w:t>
      </w:r>
    </w:p>
    <w:p w14:paraId="2A3859AF" w14:textId="77777777" w:rsidR="00740E5D" w:rsidRDefault="00740E5D">
      <w:pPr>
        <w:pStyle w:val="BodyText"/>
        <w:spacing w:before="9"/>
        <w:rPr>
          <w:sz w:val="23"/>
        </w:rPr>
      </w:pPr>
    </w:p>
    <w:p w14:paraId="4ED549EB" w14:textId="77777777" w:rsidR="00740E5D" w:rsidRDefault="005057BB">
      <w:pPr>
        <w:pStyle w:val="Heading1"/>
        <w:ind w:left="3572"/>
      </w:pPr>
      <w:r>
        <w:t>CONCLUSION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ORDER</w:t>
      </w:r>
    </w:p>
    <w:p w14:paraId="678190D0" w14:textId="77777777" w:rsidR="00740E5D" w:rsidRDefault="00740E5D">
      <w:pPr>
        <w:pStyle w:val="BodyText"/>
        <w:rPr>
          <w:b/>
        </w:rPr>
      </w:pPr>
    </w:p>
    <w:p w14:paraId="709D7099" w14:textId="77777777" w:rsidR="00740E5D" w:rsidRDefault="005057BB">
      <w:pPr>
        <w:pStyle w:val="BodyText"/>
        <w:ind w:left="100"/>
      </w:pPr>
      <w:r>
        <w:t xml:space="preserve">For reasons stated above, the School’s </w:t>
      </w:r>
      <w:r>
        <w:rPr>
          <w:i/>
        </w:rPr>
        <w:t xml:space="preserve">Motion to Quash </w:t>
      </w:r>
      <w:r>
        <w:t>is DENIED; however, the</w:t>
      </w:r>
      <w:r>
        <w:rPr>
          <w:spacing w:val="1"/>
        </w:rPr>
        <w:t xml:space="preserve"> </w:t>
      </w:r>
      <w:r>
        <w:t>subpoenas at issue are modified to allow the affected witnesses to produce the</w:t>
      </w:r>
      <w:r>
        <w:rPr>
          <w:spacing w:val="1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hearing.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 reasonable</w:t>
      </w:r>
      <w:r>
        <w:rPr>
          <w:spacing w:val="-64"/>
        </w:rPr>
        <w:t xml:space="preserve"> </w:t>
      </w:r>
      <w:r>
        <w:t>opportunity to review the documents before the record is opened and, if necessary,</w:t>
      </w:r>
      <w:r>
        <w:rPr>
          <w:spacing w:val="1"/>
        </w:rPr>
        <w:t xml:space="preserve"> </w:t>
      </w:r>
      <w:r>
        <w:t>during bre</w:t>
      </w:r>
      <w:r>
        <w:t xml:space="preserve">aks granted </w:t>
      </w:r>
      <w:proofErr w:type="gramStart"/>
      <w:r>
        <w:t>during 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hearing.</w:t>
      </w:r>
    </w:p>
    <w:p w14:paraId="62F59325" w14:textId="77777777" w:rsidR="00740E5D" w:rsidRDefault="00740E5D">
      <w:pPr>
        <w:pStyle w:val="BodyText"/>
        <w:rPr>
          <w:sz w:val="26"/>
        </w:rPr>
      </w:pPr>
    </w:p>
    <w:p w14:paraId="021ACC22" w14:textId="77777777" w:rsidR="00740E5D" w:rsidRDefault="00740E5D">
      <w:pPr>
        <w:pStyle w:val="BodyText"/>
        <w:rPr>
          <w:sz w:val="26"/>
        </w:rPr>
      </w:pPr>
    </w:p>
    <w:p w14:paraId="5915F816" w14:textId="77777777" w:rsidR="00740E5D" w:rsidRDefault="00740E5D">
      <w:pPr>
        <w:pStyle w:val="BodyText"/>
        <w:rPr>
          <w:sz w:val="26"/>
        </w:rPr>
      </w:pPr>
    </w:p>
    <w:p w14:paraId="3ADB45A0" w14:textId="77777777" w:rsidR="00740E5D" w:rsidRDefault="00740E5D">
      <w:pPr>
        <w:pStyle w:val="BodyText"/>
        <w:rPr>
          <w:sz w:val="26"/>
        </w:rPr>
      </w:pPr>
    </w:p>
    <w:p w14:paraId="090AEF9C" w14:textId="77777777" w:rsidR="00740E5D" w:rsidRDefault="005057BB">
      <w:pPr>
        <w:pStyle w:val="BodyText"/>
        <w:spacing w:before="186"/>
        <w:ind w:left="100"/>
      </w:pPr>
      <w:r>
        <w:t>By the</w:t>
      </w:r>
      <w:r>
        <w:rPr>
          <w:spacing w:val="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Officer,</w:t>
      </w:r>
    </w:p>
    <w:p w14:paraId="0396D70B" w14:textId="77777777" w:rsidR="00740E5D" w:rsidRDefault="00740E5D">
      <w:pPr>
        <w:pStyle w:val="BodyText"/>
        <w:spacing w:before="10"/>
        <w:rPr>
          <w:sz w:val="23"/>
        </w:rPr>
      </w:pPr>
    </w:p>
    <w:p w14:paraId="4CC46A48" w14:textId="77777777" w:rsidR="00740E5D" w:rsidRDefault="005057BB">
      <w:pPr>
        <w:ind w:left="100"/>
        <w:rPr>
          <w:rFonts w:ascii="Brush Script MT"/>
          <w:i/>
          <w:sz w:val="40"/>
        </w:rPr>
      </w:pPr>
      <w:r>
        <w:rPr>
          <w:rFonts w:ascii="Brush Script MT"/>
          <w:i/>
          <w:sz w:val="40"/>
        </w:rPr>
        <w:t>/s/Sara</w:t>
      </w:r>
      <w:r>
        <w:rPr>
          <w:rFonts w:ascii="Brush Script MT"/>
          <w:i/>
          <w:spacing w:val="-5"/>
          <w:sz w:val="40"/>
        </w:rPr>
        <w:t xml:space="preserve"> </w:t>
      </w:r>
      <w:r>
        <w:rPr>
          <w:rFonts w:ascii="Brush Script MT"/>
          <w:i/>
          <w:sz w:val="40"/>
        </w:rPr>
        <w:t>Berman</w:t>
      </w:r>
    </w:p>
    <w:p w14:paraId="262E2938" w14:textId="77777777" w:rsidR="00740E5D" w:rsidRDefault="00740E5D">
      <w:pPr>
        <w:pStyle w:val="BodyText"/>
        <w:rPr>
          <w:rFonts w:ascii="Brush Script MT"/>
          <w:i/>
          <w:sz w:val="20"/>
        </w:rPr>
      </w:pPr>
    </w:p>
    <w:p w14:paraId="53F013BF" w14:textId="77777777" w:rsidR="00740E5D" w:rsidRDefault="005057BB">
      <w:pPr>
        <w:pStyle w:val="BodyText"/>
        <w:spacing w:before="5"/>
        <w:rPr>
          <w:rFonts w:ascii="Brush Script MT"/>
          <w:i/>
          <w:sz w:val="22"/>
        </w:rPr>
      </w:pPr>
      <w:r>
        <w:pict w14:anchorId="15FA0B83">
          <v:shape id="docshape6" o:spid="_x0000_s2050" style="position:absolute;margin-left:1in;margin-top:14.95pt;width:193.45pt;height:.1pt;z-index:-15726592;mso-wrap-distance-left:0;mso-wrap-distance-right:0;mso-position-horizontal-relative:page" coordorigin="1440,299" coordsize="3869,0" path="m1440,299r3869,e" filled="f" strokeweight=".26669mm">
            <v:path arrowok="t"/>
            <w10:wrap type="topAndBottom" anchorx="page"/>
          </v:shape>
        </w:pict>
      </w:r>
    </w:p>
    <w:p w14:paraId="3C326E63" w14:textId="77777777" w:rsidR="00740E5D" w:rsidRDefault="005057BB">
      <w:pPr>
        <w:pStyle w:val="BodyText"/>
        <w:spacing w:before="5" w:line="275" w:lineRule="exact"/>
        <w:ind w:left="100"/>
      </w:pPr>
      <w:r>
        <w:t>Sara</w:t>
      </w:r>
      <w:r>
        <w:rPr>
          <w:spacing w:val="-1"/>
        </w:rPr>
        <w:t xml:space="preserve"> </w:t>
      </w:r>
      <w:r>
        <w:t>Berman</w:t>
      </w:r>
    </w:p>
    <w:p w14:paraId="75C1AA4C" w14:textId="77777777" w:rsidR="00740E5D" w:rsidRDefault="005057BB">
      <w:pPr>
        <w:pStyle w:val="BodyText"/>
        <w:spacing w:line="275" w:lineRule="exact"/>
        <w:ind w:left="100"/>
      </w:pPr>
      <w:r>
        <w:t>Date: January 18,</w:t>
      </w:r>
      <w:r>
        <w:rPr>
          <w:spacing w:val="-4"/>
        </w:rPr>
        <w:t xml:space="preserve"> </w:t>
      </w:r>
      <w:r>
        <w:t>2022</w:t>
      </w:r>
    </w:p>
    <w:sectPr w:rsidR="00740E5D">
      <w:pgSz w:w="12240" w:h="15840"/>
      <w:pgMar w:top="1360" w:right="136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5518" w14:textId="77777777" w:rsidR="005057BB" w:rsidRDefault="005057BB">
      <w:r>
        <w:separator/>
      </w:r>
    </w:p>
  </w:endnote>
  <w:endnote w:type="continuationSeparator" w:id="0">
    <w:p w14:paraId="148E33B4" w14:textId="77777777" w:rsidR="005057BB" w:rsidRDefault="005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6C52" w14:textId="77777777" w:rsidR="00740E5D" w:rsidRDefault="005057BB">
    <w:pPr>
      <w:pStyle w:val="BodyText"/>
      <w:spacing w:line="14" w:lineRule="auto"/>
      <w:rPr>
        <w:sz w:val="20"/>
      </w:rPr>
    </w:pPr>
    <w:r>
      <w:pict w14:anchorId="17C36AB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00.25pt;margin-top:730.6pt;width:12.6pt;height:13.05pt;z-index:-251658752;mso-position-horizontal-relative:page;mso-position-vertical-relative:page" filled="f" stroked="f">
          <v:textbox inset="0,0,0,0">
            <w:txbxContent>
              <w:p w14:paraId="3EE136A9" w14:textId="77777777" w:rsidR="00740E5D" w:rsidRDefault="005057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9210" w14:textId="77777777" w:rsidR="005057BB" w:rsidRDefault="005057BB">
      <w:r>
        <w:separator/>
      </w:r>
    </w:p>
  </w:footnote>
  <w:footnote w:type="continuationSeparator" w:id="0">
    <w:p w14:paraId="1B070454" w14:textId="77777777" w:rsidR="005057BB" w:rsidRDefault="0050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E5D"/>
    <w:rsid w:val="005057BB"/>
    <w:rsid w:val="00740E5D"/>
    <w:rsid w:val="007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C1E6250"/>
  <w15:docId w15:val="{275632CE-4ACF-40BB-A376-527D2D2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Erlichman, Reece (ALA)</cp:lastModifiedBy>
  <cp:revision>2</cp:revision>
  <dcterms:created xsi:type="dcterms:W3CDTF">2022-01-31T15:51:00Z</dcterms:created>
  <dcterms:modified xsi:type="dcterms:W3CDTF">2022-01-31T15:51:00Z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2022-01-31T00:00:00Z</vt:filetime>
  </property>
</Properties>
</file>