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COMMONWEALTH OF MASSACHUSETTS</w:t>
      </w:r>
    </w:p>
    <w:p w14:paraId="0D424EA2"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DIVISION OF ADMININSTRATIVE LAW APPEALS</w:t>
      </w:r>
    </w:p>
    <w:p w14:paraId="43CF5379"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BUREAU OF SPECIAL EDUCATION APPEALS</w:t>
      </w:r>
    </w:p>
    <w:p w14:paraId="03C232C3" w14:textId="77777777" w:rsidR="000B300C" w:rsidRPr="000B300C"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0B300C" w:rsidRDefault="000B300C" w:rsidP="000B300C">
      <w:pPr>
        <w:spacing w:after="0" w:line="240" w:lineRule="auto"/>
        <w:jc w:val="center"/>
        <w:rPr>
          <w:rFonts w:ascii="Times New Roman" w:eastAsia="Calibri" w:hAnsi="Times New Roman" w:cs="Times New Roman"/>
          <w:sz w:val="24"/>
          <w:szCs w:val="24"/>
        </w:rPr>
      </w:pPr>
    </w:p>
    <w:p w14:paraId="4FBC95C2" w14:textId="4CC638B7" w:rsidR="000B300C" w:rsidRPr="000B300C" w:rsidRDefault="000B300C" w:rsidP="000B300C">
      <w:pPr>
        <w:spacing w:after="0" w:line="240" w:lineRule="auto"/>
        <w:rPr>
          <w:rFonts w:ascii="Times New Roman" w:eastAsia="Calibri" w:hAnsi="Times New Roman" w:cs="Times New Roman"/>
          <w:sz w:val="24"/>
          <w:szCs w:val="24"/>
        </w:rPr>
      </w:pPr>
      <w:r w:rsidRPr="000B300C">
        <w:rPr>
          <w:rFonts w:ascii="Times New Roman" w:eastAsia="Calibri" w:hAnsi="Times New Roman" w:cs="Times New Roman"/>
          <w:sz w:val="24"/>
          <w:szCs w:val="24"/>
        </w:rPr>
        <w:t xml:space="preserve">In re:    </w:t>
      </w:r>
      <w:r w:rsidR="002B6503">
        <w:rPr>
          <w:rFonts w:ascii="Times New Roman" w:eastAsia="Calibri" w:hAnsi="Times New Roman" w:cs="Times New Roman"/>
          <w:sz w:val="24"/>
          <w:szCs w:val="24"/>
        </w:rPr>
        <w:t>Yakov</w:t>
      </w:r>
      <w:r w:rsidR="006C467F">
        <w:rPr>
          <w:rStyle w:val="FootnoteReference"/>
          <w:rFonts w:ascii="Times New Roman" w:eastAsia="Calibri" w:hAnsi="Times New Roman" w:cs="Times New Roman"/>
          <w:sz w:val="24"/>
          <w:szCs w:val="24"/>
        </w:rPr>
        <w:footnoteReference w:id="1"/>
      </w:r>
      <w:r w:rsidR="006C467F">
        <w:rPr>
          <w:rFonts w:ascii="Times New Roman" w:eastAsia="Calibri" w:hAnsi="Times New Roman" w:cs="Times New Roman"/>
          <w:sz w:val="24"/>
          <w:szCs w:val="24"/>
        </w:rPr>
        <w:t xml:space="preserve"> </w:t>
      </w:r>
      <w:r w:rsidRPr="000B300C">
        <w:rPr>
          <w:rFonts w:ascii="Times New Roman" w:eastAsia="Calibri" w:hAnsi="Times New Roman" w:cs="Times New Roman"/>
          <w:sz w:val="24"/>
          <w:szCs w:val="24"/>
        </w:rPr>
        <w:tab/>
      </w:r>
      <w:r w:rsidRPr="000B300C">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Pr="000B300C">
        <w:rPr>
          <w:rFonts w:ascii="Times New Roman" w:eastAsia="Calibri" w:hAnsi="Times New Roman" w:cs="Times New Roman"/>
          <w:sz w:val="24"/>
          <w:szCs w:val="24"/>
        </w:rPr>
        <w:t>BSEA</w:t>
      </w:r>
      <w:r w:rsidRPr="000B30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2B6503">
        <w:rPr>
          <w:rFonts w:ascii="Times New Roman" w:eastAsia="Calibri" w:hAnsi="Times New Roman" w:cs="Times New Roman"/>
          <w:sz w:val="24"/>
          <w:szCs w:val="24"/>
        </w:rPr>
        <w:t>2205881</w:t>
      </w:r>
    </w:p>
    <w:p w14:paraId="10CA04C7" w14:textId="77777777" w:rsidR="000B300C" w:rsidRPr="000B300C" w:rsidRDefault="000B300C" w:rsidP="000B300C">
      <w:pPr>
        <w:spacing w:after="0" w:line="240" w:lineRule="auto"/>
        <w:rPr>
          <w:rFonts w:ascii="Times New Roman" w:eastAsia="Calibri" w:hAnsi="Times New Roman" w:cs="Times New Roman"/>
          <w:b/>
          <w:sz w:val="24"/>
          <w:szCs w:val="24"/>
        </w:rPr>
      </w:pPr>
    </w:p>
    <w:p w14:paraId="3125FCD8" w14:textId="77777777" w:rsidR="000B300C" w:rsidRPr="000B300C" w:rsidRDefault="000B300C" w:rsidP="000B300C">
      <w:pPr>
        <w:spacing w:after="0" w:line="240" w:lineRule="auto"/>
        <w:rPr>
          <w:rFonts w:ascii="Times New Roman" w:eastAsia="Calibri" w:hAnsi="Times New Roman" w:cs="Times New Roman"/>
          <w:b/>
          <w:sz w:val="24"/>
          <w:szCs w:val="24"/>
        </w:rPr>
      </w:pPr>
    </w:p>
    <w:p w14:paraId="1961A6F0" w14:textId="20D31E47" w:rsidR="000B300C" w:rsidRDefault="000B300C" w:rsidP="000B300C">
      <w:pPr>
        <w:spacing w:after="0" w:line="240" w:lineRule="auto"/>
        <w:jc w:val="center"/>
        <w:rPr>
          <w:rFonts w:ascii="Times New Roman" w:eastAsia="Calibri" w:hAnsi="Times New Roman" w:cs="Times New Roman"/>
          <w:b/>
          <w:sz w:val="24"/>
          <w:szCs w:val="24"/>
          <w:u w:val="single"/>
        </w:rPr>
      </w:pPr>
      <w:r w:rsidRPr="000B300C">
        <w:rPr>
          <w:rFonts w:ascii="Times New Roman" w:eastAsia="Calibri" w:hAnsi="Times New Roman" w:cs="Times New Roman"/>
          <w:b/>
          <w:sz w:val="24"/>
          <w:szCs w:val="24"/>
          <w:u w:val="single"/>
        </w:rPr>
        <w:t xml:space="preserve">RULING ON </w:t>
      </w:r>
      <w:r w:rsidR="00663525">
        <w:rPr>
          <w:rFonts w:ascii="Times New Roman" w:eastAsia="Calibri" w:hAnsi="Times New Roman" w:cs="Times New Roman"/>
          <w:b/>
          <w:sz w:val="24"/>
          <w:szCs w:val="24"/>
          <w:u w:val="single"/>
        </w:rPr>
        <w:t>PARENT</w:t>
      </w:r>
      <w:r w:rsidR="00C01B01">
        <w:rPr>
          <w:rFonts w:ascii="Times New Roman" w:eastAsia="Calibri" w:hAnsi="Times New Roman" w:cs="Times New Roman"/>
          <w:b/>
          <w:sz w:val="24"/>
          <w:szCs w:val="24"/>
          <w:u w:val="single"/>
        </w:rPr>
        <w:t>’</w:t>
      </w:r>
      <w:r w:rsidR="00663525">
        <w:rPr>
          <w:rFonts w:ascii="Times New Roman" w:eastAsia="Calibri" w:hAnsi="Times New Roman" w:cs="Times New Roman"/>
          <w:b/>
          <w:sz w:val="24"/>
          <w:szCs w:val="24"/>
          <w:u w:val="single"/>
        </w:rPr>
        <w:t>S</w:t>
      </w:r>
      <w:r w:rsidRPr="000B300C">
        <w:rPr>
          <w:rFonts w:ascii="Times New Roman" w:eastAsia="Calibri" w:hAnsi="Times New Roman" w:cs="Times New Roman"/>
          <w:b/>
          <w:sz w:val="24"/>
          <w:szCs w:val="24"/>
          <w:u w:val="single"/>
        </w:rPr>
        <w:t xml:space="preserve"> MOTIO</w:t>
      </w:r>
      <w:r w:rsidR="00EB124C">
        <w:rPr>
          <w:rFonts w:ascii="Times New Roman" w:eastAsia="Calibri" w:hAnsi="Times New Roman" w:cs="Times New Roman"/>
          <w:b/>
          <w:sz w:val="24"/>
          <w:szCs w:val="24"/>
          <w:u w:val="single"/>
        </w:rPr>
        <w:t>N</w:t>
      </w:r>
      <w:r w:rsidRPr="000B300C">
        <w:rPr>
          <w:rFonts w:ascii="Times New Roman" w:eastAsia="Calibri" w:hAnsi="Times New Roman" w:cs="Times New Roman"/>
          <w:b/>
          <w:sz w:val="24"/>
          <w:szCs w:val="24"/>
          <w:u w:val="single"/>
        </w:rPr>
        <w:t xml:space="preserve"> TO JOIN THE DEPARMENT OF </w:t>
      </w:r>
      <w:r w:rsidR="0077613A">
        <w:rPr>
          <w:rFonts w:ascii="Times New Roman" w:eastAsia="Calibri" w:hAnsi="Times New Roman" w:cs="Times New Roman"/>
          <w:b/>
          <w:sz w:val="24"/>
          <w:szCs w:val="24"/>
          <w:u w:val="single"/>
        </w:rPr>
        <w:t>CHILDREN AND FAMILIES</w:t>
      </w:r>
    </w:p>
    <w:p w14:paraId="29E8C908" w14:textId="62750827" w:rsidR="00F97A17" w:rsidRDefault="00F97A17" w:rsidP="000B300C">
      <w:pPr>
        <w:spacing w:after="0" w:line="240" w:lineRule="auto"/>
        <w:jc w:val="center"/>
        <w:rPr>
          <w:rFonts w:ascii="Times New Roman" w:eastAsia="Calibri" w:hAnsi="Times New Roman" w:cs="Times New Roman"/>
          <w:b/>
          <w:sz w:val="24"/>
          <w:szCs w:val="24"/>
          <w:u w:val="single"/>
        </w:rPr>
      </w:pPr>
    </w:p>
    <w:p w14:paraId="456790E3" w14:textId="708EA8F2" w:rsidR="002B6503" w:rsidRDefault="00F97A17" w:rsidP="00F97A17">
      <w:pPr>
        <w:pStyle w:val="BodyText2"/>
      </w:pPr>
      <w:r>
        <w:tab/>
      </w:r>
      <w:r w:rsidRPr="00F97A17">
        <w:t>This matter comes before the Hearing Officer on</w:t>
      </w:r>
      <w:r w:rsidR="002B6503">
        <w:t xml:space="preserve"> Parent’s</w:t>
      </w:r>
      <w:r w:rsidRPr="00F97A17">
        <w:t xml:space="preserve"> </w:t>
      </w:r>
      <w:r w:rsidR="006C467F" w:rsidRPr="006C467F">
        <w:rPr>
          <w:i/>
          <w:iCs/>
        </w:rPr>
        <w:t>Motion to Join</w:t>
      </w:r>
      <w:r w:rsidR="00C70A9A">
        <w:rPr>
          <w:i/>
          <w:iCs/>
        </w:rPr>
        <w:t xml:space="preserve"> the Department of Children and Families</w:t>
      </w:r>
      <w:r w:rsidR="00C70A9A">
        <w:t xml:space="preserve"> </w:t>
      </w:r>
      <w:r w:rsidR="002B6503">
        <w:t>(</w:t>
      </w:r>
      <w:r w:rsidR="002B6503">
        <w:rPr>
          <w:i/>
          <w:iCs/>
        </w:rPr>
        <w:t>Motion</w:t>
      </w:r>
      <w:r w:rsidR="002B6503">
        <w:t>)</w:t>
      </w:r>
      <w:r w:rsidR="002B6503">
        <w:rPr>
          <w:i/>
          <w:iCs/>
        </w:rPr>
        <w:t xml:space="preserve"> </w:t>
      </w:r>
      <w:r w:rsidRPr="00F97A17">
        <w:t>in a</w:t>
      </w:r>
      <w:r w:rsidR="0068476E">
        <w:t xml:space="preserve"> </w:t>
      </w:r>
      <w:r w:rsidRPr="00F97A17">
        <w:t xml:space="preserve">matter pending before the Bureau of Special Education Appeals (BSEA). </w:t>
      </w:r>
      <w:r w:rsidR="002B6503">
        <w:t xml:space="preserve">Parent initially filed her </w:t>
      </w:r>
      <w:r w:rsidR="002B6503">
        <w:rPr>
          <w:i/>
          <w:iCs/>
        </w:rPr>
        <w:t>Motion</w:t>
      </w:r>
      <w:r w:rsidR="002B6503">
        <w:t xml:space="preserve"> on February 9, 2022. On February 23, 2022, following a Pre-Hearing Conference in which Counsel for the Department of Children and Families (DCF, or the Department) participated </w:t>
      </w:r>
      <w:r w:rsidR="001D4FC2">
        <w:t>(</w:t>
      </w:r>
      <w:r w:rsidR="002B6503">
        <w:t>though the Department had not been joined</w:t>
      </w:r>
      <w:r w:rsidR="001D4FC2">
        <w:t>)</w:t>
      </w:r>
      <w:r w:rsidR="002B6503">
        <w:t xml:space="preserve">, DCF requested that I stay my ruling on Parent’s </w:t>
      </w:r>
      <w:r w:rsidR="002B6503">
        <w:rPr>
          <w:i/>
          <w:iCs/>
        </w:rPr>
        <w:t>Motion</w:t>
      </w:r>
      <w:r w:rsidR="002B6503">
        <w:t xml:space="preserve"> to permit Parent, Lynn Public Schools (Lynn, </w:t>
      </w:r>
      <w:r w:rsidR="008E6ADC">
        <w:t xml:space="preserve">LPS, </w:t>
      </w:r>
      <w:r w:rsidR="002B6503">
        <w:t xml:space="preserve">or the District), and DCF to explore options and otherwise work together toward resolution. </w:t>
      </w:r>
      <w:r w:rsidR="004E5466">
        <w:t xml:space="preserve">Parent and Lynn assented, and all three entities agreed that any responses to Parent’s </w:t>
      </w:r>
      <w:r w:rsidR="004E5466">
        <w:rPr>
          <w:i/>
          <w:iCs/>
        </w:rPr>
        <w:t xml:space="preserve">Motion </w:t>
      </w:r>
      <w:r w:rsidR="004E5466">
        <w:t>would be due by close of business on April 29, 2022</w:t>
      </w:r>
      <w:r w:rsidR="00032344">
        <w:t>. Responses were filed in mid-April due to the Hearing Officer’s limited availability.</w:t>
      </w:r>
      <w:r w:rsidR="00032344">
        <w:rPr>
          <w:rStyle w:val="FootnoteReference"/>
        </w:rPr>
        <w:footnoteReference w:id="2"/>
      </w:r>
    </w:p>
    <w:p w14:paraId="099696A6" w14:textId="711E0B7C" w:rsidR="004E5466" w:rsidRDefault="004E5466" w:rsidP="00F97A17">
      <w:pPr>
        <w:pStyle w:val="BodyText2"/>
      </w:pPr>
    </w:p>
    <w:p w14:paraId="28AB8231" w14:textId="431AABF6" w:rsidR="004E5466" w:rsidRDefault="004E5466" w:rsidP="00F97A17">
      <w:pPr>
        <w:pStyle w:val="BodyText2"/>
      </w:pPr>
      <w:r>
        <w:tab/>
        <w:t xml:space="preserve">For the reasons below, Parent’s </w:t>
      </w:r>
      <w:r>
        <w:rPr>
          <w:i/>
          <w:iCs/>
        </w:rPr>
        <w:t xml:space="preserve">Motion </w:t>
      </w:r>
      <w:r>
        <w:t>is hereby ALLOWED.</w:t>
      </w:r>
    </w:p>
    <w:p w14:paraId="7143C26C" w14:textId="4F86A311" w:rsidR="004E5466" w:rsidRDefault="004E5466" w:rsidP="00F97A17">
      <w:pPr>
        <w:pStyle w:val="BodyText2"/>
      </w:pPr>
    </w:p>
    <w:p w14:paraId="7B2AAA80" w14:textId="43151F33" w:rsidR="004E5466" w:rsidRPr="004E5466" w:rsidRDefault="004E5466" w:rsidP="00F97A17">
      <w:pPr>
        <w:pStyle w:val="BodyText2"/>
        <w:rPr>
          <w:u w:val="single"/>
        </w:rPr>
      </w:pPr>
      <w:r>
        <w:rPr>
          <w:u w:val="single"/>
        </w:rPr>
        <w:t>PROCEDURAL HISTORY</w:t>
      </w:r>
    </w:p>
    <w:p w14:paraId="5500A901" w14:textId="77777777" w:rsidR="002B6503" w:rsidRDefault="002B6503" w:rsidP="00F97A17">
      <w:pPr>
        <w:pStyle w:val="BodyText2"/>
      </w:pPr>
    </w:p>
    <w:p w14:paraId="35089AEE" w14:textId="118D6994" w:rsidR="008A24D1" w:rsidRDefault="00C01B01" w:rsidP="009D291F">
      <w:pPr>
        <w:pStyle w:val="BodyText2"/>
        <w:ind w:firstLine="720"/>
      </w:pPr>
      <w:r>
        <w:t>On January 2</w:t>
      </w:r>
      <w:r w:rsidR="004B3E2F">
        <w:t>0</w:t>
      </w:r>
      <w:r>
        <w:t xml:space="preserve">, 2022, Parent </w:t>
      </w:r>
      <w:r w:rsidR="00F97A17" w:rsidRPr="00F97A17">
        <w:t xml:space="preserve">filed a </w:t>
      </w:r>
      <w:r w:rsidR="00F97A17" w:rsidRPr="0068476E">
        <w:rPr>
          <w:i/>
          <w:iCs/>
        </w:rPr>
        <w:t>Hearing Request</w:t>
      </w:r>
      <w:r w:rsidR="00F97A17" w:rsidRPr="00F97A17">
        <w:t xml:space="preserve"> </w:t>
      </w:r>
      <w:r w:rsidR="004B3E2F">
        <w:t>for an Accelerated Hearing against Lynn</w:t>
      </w:r>
      <w:r w:rsidR="00322F01">
        <w:t xml:space="preserve">, asserting that Yakov’s health and safety would be endangered by delay and </w:t>
      </w:r>
      <w:r w:rsidR="009D291F">
        <w:t>his</w:t>
      </w:r>
      <w:r w:rsidR="00DE6CC1">
        <w:t xml:space="preserve"> </w:t>
      </w:r>
      <w:r w:rsidR="009D291F">
        <w:t xml:space="preserve">current </w:t>
      </w:r>
      <w:r w:rsidR="00322F01">
        <w:t xml:space="preserve">special education services </w:t>
      </w:r>
      <w:r w:rsidR="00DE6CC1">
        <w:t xml:space="preserve">are </w:t>
      </w:r>
      <w:r w:rsidR="00322F01">
        <w:t>sufficiently inadequate that harm to him is likely.</w:t>
      </w:r>
      <w:r w:rsidR="009D291F">
        <w:t xml:space="preserve"> </w:t>
      </w:r>
      <w:r w:rsidR="008A24D1">
        <w:t xml:space="preserve">According to Parent, </w:t>
      </w:r>
      <w:r w:rsidR="00322F01">
        <w:t>Yakov has a long history of psychiatr</w:t>
      </w:r>
      <w:r w:rsidR="009D291F">
        <w:t xml:space="preserve">ic hospitalizations and screenings, despite Parent’s best efforts to work with community-based mental health providers, and Parent has been requesting a residential educational placement since December 2020. Most recently, Yakov </w:t>
      </w:r>
      <w:r w:rsidR="00E74D93">
        <w:t>was</w:t>
      </w:r>
      <w:r w:rsidR="00322F01">
        <w:t xml:space="preserve"> psychiatrically hospitalized for suicidal and homicidal ideation in September and December 2021, with his</w:t>
      </w:r>
      <w:r w:rsidR="009D291F">
        <w:t xml:space="preserve"> last </w:t>
      </w:r>
      <w:r w:rsidR="00322F01">
        <w:t>discharge on January 10, 2022.</w:t>
      </w:r>
      <w:r w:rsidR="009D291F">
        <w:t xml:space="preserve"> Parent requested that the BSEA find that </w:t>
      </w:r>
      <w:r w:rsidR="00DE6CC1">
        <w:t>Lynn’s</w:t>
      </w:r>
      <w:r w:rsidR="009D291F">
        <w:t xml:space="preserve"> most recent Individualized Education Program (IEP), and its corresponding placement in </w:t>
      </w:r>
      <w:r w:rsidR="00687334">
        <w:t>an in-district substantially separate classroom,</w:t>
      </w:r>
      <w:r w:rsidR="009D291F">
        <w:t xml:space="preserve"> is not reasonably calculated to provide Yakov with a free appropriate public education (FAPE) in the </w:t>
      </w:r>
      <w:r w:rsidR="00687334">
        <w:t>least restrictive environment (LRE), and</w:t>
      </w:r>
      <w:r w:rsidR="00EF6A0C">
        <w:t xml:space="preserve"> order LPS to place Yakov</w:t>
      </w:r>
      <w:r w:rsidR="00687334">
        <w:t xml:space="preserve"> </w:t>
      </w:r>
      <w:r w:rsidR="00413B62">
        <w:t xml:space="preserve">in </w:t>
      </w:r>
      <w:r w:rsidR="00687334">
        <w:t>a residential school.</w:t>
      </w:r>
      <w:r w:rsidR="00EF6A0C">
        <w:rPr>
          <w:rStyle w:val="FootnoteReference"/>
        </w:rPr>
        <w:footnoteReference w:id="3"/>
      </w:r>
      <w:r w:rsidR="008234B3">
        <w:t xml:space="preserve"> An </w:t>
      </w:r>
      <w:r w:rsidR="00DE6CC1">
        <w:t>A</w:t>
      </w:r>
      <w:r w:rsidR="008234B3">
        <w:t>ccelerated Hearing was scheduled for February 22, 2022.</w:t>
      </w:r>
    </w:p>
    <w:p w14:paraId="79FC0A3C" w14:textId="55219E46" w:rsidR="00F66064" w:rsidRDefault="00F66064" w:rsidP="00F97A17">
      <w:pPr>
        <w:pStyle w:val="BodyText2"/>
      </w:pPr>
    </w:p>
    <w:p w14:paraId="36BF7AEC" w14:textId="1D08C4F7" w:rsidR="006C05D3" w:rsidRDefault="006C05D3" w:rsidP="00F66064">
      <w:pPr>
        <w:pStyle w:val="BodyText2"/>
        <w:ind w:firstLine="720"/>
      </w:pPr>
      <w:r>
        <w:lastRenderedPageBreak/>
        <w:t xml:space="preserve">On </w:t>
      </w:r>
      <w:r w:rsidR="00F66064">
        <w:t xml:space="preserve">February </w:t>
      </w:r>
      <w:r>
        <w:t>4</w:t>
      </w:r>
      <w:r w:rsidR="00F66064">
        <w:t xml:space="preserve">, 2022, </w:t>
      </w:r>
      <w:r>
        <w:t xml:space="preserve">Lynn filed its </w:t>
      </w:r>
      <w:r>
        <w:rPr>
          <w:i/>
          <w:iCs/>
        </w:rPr>
        <w:t xml:space="preserve">Response </w:t>
      </w:r>
      <w:r>
        <w:t xml:space="preserve">to Parent’s </w:t>
      </w:r>
      <w:r>
        <w:rPr>
          <w:i/>
          <w:iCs/>
        </w:rPr>
        <w:t>Hearing Request</w:t>
      </w:r>
      <w:r>
        <w:t>. Lynn assert</w:t>
      </w:r>
      <w:r w:rsidR="00277563">
        <w:t>ed</w:t>
      </w:r>
      <w:r>
        <w:t xml:space="preserve"> that its most recently proposed IEP, including placement in a substantial</w:t>
      </w:r>
      <w:r w:rsidR="00DE6CC1">
        <w:t>ly</w:t>
      </w:r>
      <w:r>
        <w:t xml:space="preserve"> separate classroom, provides Yakov with a FAPE, and that to the extent the BSEA may determine that Yakov requires a residential placement, such placement is not for educational purposes and, as such, is not the District’s responsibility. Moreover, the District has offered additional</w:t>
      </w:r>
      <w:r w:rsidR="00DE6CC1">
        <w:t xml:space="preserve"> home-based</w:t>
      </w:r>
      <w:r>
        <w:t xml:space="preserve"> support</w:t>
      </w:r>
      <w:r w:rsidR="00DE6CC1">
        <w:t>s for Yakov,</w:t>
      </w:r>
      <w:r>
        <w:t xml:space="preserve"> but Parent has not allowed Lynn’s providers into the home because of her own medical needs. Lynn also indicated that </w:t>
      </w:r>
      <w:r w:rsidR="00DE6CC1">
        <w:t>DCF</w:t>
      </w:r>
      <w:r>
        <w:t>, which is currently providing services to Yakov, should be joined, and that the Department of Developmental Services (DDS) would also be an appropriate party given its long-standing involvement with the family. Finally, Lynn questioned whether the matter met standards for accelerated status.</w:t>
      </w:r>
    </w:p>
    <w:p w14:paraId="6C95AA19" w14:textId="44AB7E96" w:rsidR="00126508" w:rsidRDefault="00126508" w:rsidP="00F66064">
      <w:pPr>
        <w:pStyle w:val="BodyText2"/>
        <w:ind w:firstLine="720"/>
      </w:pPr>
    </w:p>
    <w:p w14:paraId="7035C3F7" w14:textId="02B0ECF7" w:rsidR="00CF43CA" w:rsidRDefault="00126508" w:rsidP="00126508">
      <w:pPr>
        <w:pStyle w:val="BodyText2"/>
        <w:ind w:firstLine="720"/>
      </w:pPr>
      <w:r>
        <w:t xml:space="preserve">On February 9, 2022, Parent requested that the matter be removed from the accelerated track and the Hearing was </w:t>
      </w:r>
      <w:r w:rsidR="000271EE">
        <w:t>re-</w:t>
      </w:r>
      <w:r>
        <w:t xml:space="preserve">scheduled, by agreement, for March 7, 11, 14, and 15, 2022. </w:t>
      </w:r>
      <w:r w:rsidR="00CF43CA">
        <w:t xml:space="preserve">On the same date, Parent filed her </w:t>
      </w:r>
      <w:r w:rsidR="00CF43CA" w:rsidRPr="00CF43CA">
        <w:rPr>
          <w:i/>
          <w:iCs/>
        </w:rPr>
        <w:t>Motion</w:t>
      </w:r>
      <w:r w:rsidR="00CF43CA">
        <w:t xml:space="preserve">, asserting that DCF is a necessary party because of its open clinical case and involvement with Yakov and his family, in light of Lynn’s contention that </w:t>
      </w:r>
      <w:r w:rsidR="00456C7A">
        <w:t>to the extent</w:t>
      </w:r>
      <w:r w:rsidR="00DE6CC1">
        <w:t xml:space="preserve"> </w:t>
      </w:r>
      <w:r w:rsidR="00456C7A">
        <w:t xml:space="preserve">Yakov requires an out-of-home placement, it is not for educational reasons. </w:t>
      </w:r>
    </w:p>
    <w:p w14:paraId="3073BA93" w14:textId="77777777" w:rsidR="00CF43CA" w:rsidRDefault="00CF43CA" w:rsidP="00126508">
      <w:pPr>
        <w:pStyle w:val="BodyText2"/>
        <w:ind w:firstLine="720"/>
      </w:pPr>
    </w:p>
    <w:p w14:paraId="355FCDBE" w14:textId="3C6BDBAB" w:rsidR="00126508" w:rsidRDefault="00CF43CA" w:rsidP="00126508">
      <w:pPr>
        <w:pStyle w:val="BodyText2"/>
        <w:ind w:firstLine="720"/>
      </w:pPr>
      <w:r>
        <w:t xml:space="preserve"> </w:t>
      </w:r>
      <w:r w:rsidR="00126508" w:rsidRPr="00CF43CA">
        <w:t>The</w:t>
      </w:r>
      <w:r w:rsidR="00126508">
        <w:t xml:space="preserve"> parties participated in a Pre-Hearing Conference on February 15, 2022. </w:t>
      </w:r>
      <w:r w:rsidR="00277563">
        <w:t>Gretchen</w:t>
      </w:r>
      <w:r w:rsidR="00126508">
        <w:t xml:space="preserve"> Timmel</w:t>
      </w:r>
      <w:r w:rsidR="00A46898">
        <w:t xml:space="preserve"> of</w:t>
      </w:r>
      <w:r w:rsidR="00277563">
        <w:t xml:space="preserve"> MGH’s Lurie Center for Autism</w:t>
      </w:r>
      <w:r w:rsidR="00126508">
        <w:t xml:space="preserve"> also participated, as did </w:t>
      </w:r>
      <w:r w:rsidR="00025461">
        <w:t>C</w:t>
      </w:r>
      <w:r w:rsidR="001D4FC2">
        <w:t>ounsel</w:t>
      </w:r>
      <w:r w:rsidR="00126508">
        <w:t xml:space="preserve"> for DC</w:t>
      </w:r>
      <w:r w:rsidR="00A46898">
        <w:t xml:space="preserve">F, the latter </w:t>
      </w:r>
      <w:r w:rsidR="00126508">
        <w:t xml:space="preserve">without waiving any potential objections to joinder, particularly as she had not yet received Parent’s </w:t>
      </w:r>
      <w:r w:rsidR="00126508">
        <w:rPr>
          <w:i/>
          <w:iCs/>
        </w:rPr>
        <w:t>Motion</w:t>
      </w:r>
      <w:r w:rsidR="00126508">
        <w:t xml:space="preserve">. On February 23, 2022, </w:t>
      </w:r>
      <w:r w:rsidR="00DE6CC1">
        <w:t>Counsel for DCF</w:t>
      </w:r>
      <w:r w:rsidR="00126508">
        <w:t xml:space="preserve"> requested that any ruling regarding joinder be stayed to permit her to ascertain her client’s position and to permit </w:t>
      </w:r>
      <w:r w:rsidR="00DE6CC1">
        <w:t xml:space="preserve">the Department </w:t>
      </w:r>
      <w:r w:rsidR="00126508">
        <w:t xml:space="preserve">to </w:t>
      </w:r>
      <w:r w:rsidR="00DE6CC1">
        <w:t>explore potential resolution</w:t>
      </w:r>
      <w:r w:rsidR="00126508">
        <w:t xml:space="preserve"> with Lynn and Parent. </w:t>
      </w:r>
      <w:r>
        <w:t xml:space="preserve">On the same date, the parties agreed to such a stay and requested that the Hearing be postponed to May 31 and June 1, 2, and 3, 2022. During a conference call shortly thereafter, the parties agreed that any responses to Parent’s </w:t>
      </w:r>
      <w:r>
        <w:rPr>
          <w:i/>
          <w:iCs/>
        </w:rPr>
        <w:t xml:space="preserve">Motion to Join </w:t>
      </w:r>
      <w:r>
        <w:t xml:space="preserve">would be due by </w:t>
      </w:r>
      <w:r w:rsidR="000271EE">
        <w:t xml:space="preserve">the </w:t>
      </w:r>
      <w:r>
        <w:t>close of business on April 29, 2022.</w:t>
      </w:r>
    </w:p>
    <w:p w14:paraId="79F8E84A" w14:textId="5CF4495B" w:rsidR="00456C7A" w:rsidRDefault="00456C7A" w:rsidP="00126508">
      <w:pPr>
        <w:pStyle w:val="BodyText2"/>
        <w:ind w:firstLine="720"/>
      </w:pPr>
    </w:p>
    <w:p w14:paraId="69C30BBA" w14:textId="07491867" w:rsidR="00456C7A" w:rsidRPr="00456C7A" w:rsidRDefault="00456C7A" w:rsidP="00456C7A">
      <w:pPr>
        <w:pStyle w:val="BodyText2"/>
        <w:ind w:firstLine="720"/>
      </w:pPr>
      <w:r>
        <w:t xml:space="preserve">On April 14, 2022, DCF filed an </w:t>
      </w:r>
      <w:r>
        <w:rPr>
          <w:i/>
          <w:iCs/>
        </w:rPr>
        <w:t xml:space="preserve">Opposition to Motion to Join Department of Children and Families </w:t>
      </w:r>
      <w:r>
        <w:t>(</w:t>
      </w:r>
      <w:r>
        <w:rPr>
          <w:i/>
          <w:iCs/>
        </w:rPr>
        <w:t>Opposition</w:t>
      </w:r>
      <w:r>
        <w:t>).</w:t>
      </w:r>
      <w:r w:rsidR="00AB7A5B">
        <w:t xml:space="preserve"> According to DCF, although the Department has an open clinical case with Yakov and his mother, it does not have care or custody of Yakov and, as such, there is no legally cognizable relationship between DCF and Yakov that would serve as a basis for an order compelling </w:t>
      </w:r>
      <w:r w:rsidR="008E6ADC">
        <w:t>the Department</w:t>
      </w:r>
      <w:r w:rsidR="00AB7A5B">
        <w:t xml:space="preserve"> to provide any services to him.</w:t>
      </w:r>
    </w:p>
    <w:p w14:paraId="648C0C63" w14:textId="77777777" w:rsidR="00456C7A" w:rsidRDefault="00456C7A" w:rsidP="00AB7A5B">
      <w:pPr>
        <w:pStyle w:val="BodyText2"/>
      </w:pPr>
    </w:p>
    <w:p w14:paraId="22AF063F" w14:textId="2FD2882C" w:rsidR="00456C7A" w:rsidRPr="00456C7A" w:rsidRDefault="00456C7A" w:rsidP="00126508">
      <w:pPr>
        <w:pStyle w:val="BodyText2"/>
        <w:ind w:firstLine="720"/>
      </w:pPr>
      <w:r>
        <w:t xml:space="preserve">On April 15, 2022, Lynn filed a letter in support of Parent’s </w:t>
      </w:r>
      <w:r>
        <w:rPr>
          <w:i/>
          <w:iCs/>
        </w:rPr>
        <w:t>Motion</w:t>
      </w:r>
      <w:r>
        <w:t>, noting that to the extent the BSEA might determine that Yakov requires residential placement, such placement would be for non-educational reasons (i.e.</w:t>
      </w:r>
      <w:r w:rsidR="008A5092">
        <w:t>,</w:t>
      </w:r>
      <w:r>
        <w:t xml:space="preserve"> Parent’s health condition, which prevents the family from accessing home services), and should be provide</w:t>
      </w:r>
      <w:r w:rsidR="008E6ADC">
        <w:t>d</w:t>
      </w:r>
      <w:r>
        <w:t xml:space="preserve"> by DCF, given the Department’s current involvement with the family.</w:t>
      </w:r>
    </w:p>
    <w:p w14:paraId="4BB2D3DD" w14:textId="77777777" w:rsidR="005074DE" w:rsidRDefault="005074DE" w:rsidP="00F97A17">
      <w:pPr>
        <w:spacing w:after="0" w:line="240" w:lineRule="auto"/>
        <w:rPr>
          <w:rFonts w:ascii="Times New Roman" w:eastAsia="Calibri" w:hAnsi="Times New Roman" w:cs="Times New Roman"/>
          <w:bCs/>
          <w:sz w:val="24"/>
          <w:szCs w:val="24"/>
        </w:rPr>
      </w:pPr>
    </w:p>
    <w:p w14:paraId="06E8CC31" w14:textId="4A636C90" w:rsidR="00F97A17" w:rsidRPr="00D7621E" w:rsidRDefault="00F31B65" w:rsidP="00D7621E">
      <w:pPr>
        <w:pStyle w:val="NoSpacing"/>
        <w:rPr>
          <w:rFonts w:ascii="Times New Roman" w:hAnsi="Times New Roman"/>
          <w:sz w:val="24"/>
          <w:szCs w:val="24"/>
        </w:rPr>
      </w:pPr>
      <w:r>
        <w:rPr>
          <w:b/>
          <w:bCs/>
        </w:rPr>
        <w:tab/>
      </w:r>
      <w:r>
        <w:rPr>
          <w:rFonts w:ascii="Times New Roman" w:hAnsi="Times New Roman"/>
          <w:sz w:val="24"/>
          <w:szCs w:val="24"/>
        </w:rPr>
        <w:t xml:space="preserve">As no party has requested a hearing on the </w:t>
      </w:r>
      <w:r w:rsidRPr="00F31B65">
        <w:rPr>
          <w:rFonts w:ascii="Times New Roman" w:hAnsi="Times New Roman"/>
          <w:i/>
          <w:iCs/>
          <w:sz w:val="24"/>
          <w:szCs w:val="24"/>
        </w:rPr>
        <w:t>Motion</w:t>
      </w:r>
      <w:r>
        <w:rPr>
          <w:rFonts w:ascii="Times New Roman" w:hAnsi="Times New Roman"/>
          <w:sz w:val="24"/>
          <w:szCs w:val="24"/>
        </w:rPr>
        <w:t xml:space="preserve">, and as neither testimony nor oral argument would advance the Hearing Officer’s understanding of the issues involved, this Ruling is being issued without a hearing pursuant to </w:t>
      </w:r>
      <w:r w:rsidRPr="0091339B">
        <w:rPr>
          <w:rFonts w:ascii="Times New Roman" w:hAnsi="Times New Roman"/>
          <w:i/>
          <w:sz w:val="24"/>
          <w:szCs w:val="24"/>
        </w:rPr>
        <w:t>B</w:t>
      </w:r>
      <w:r>
        <w:rPr>
          <w:rFonts w:ascii="Times New Roman" w:hAnsi="Times New Roman"/>
          <w:i/>
          <w:sz w:val="24"/>
          <w:szCs w:val="24"/>
        </w:rPr>
        <w:t xml:space="preserve">SEA </w:t>
      </w:r>
      <w:r w:rsidRPr="0091339B">
        <w:rPr>
          <w:rFonts w:ascii="Times New Roman" w:hAnsi="Times New Roman"/>
          <w:i/>
          <w:sz w:val="24"/>
          <w:szCs w:val="24"/>
        </w:rPr>
        <w:t>Hearing Rule VII(D)</w:t>
      </w:r>
      <w:r>
        <w:rPr>
          <w:rFonts w:ascii="Times New Roman" w:hAnsi="Times New Roman"/>
          <w:sz w:val="24"/>
          <w:szCs w:val="24"/>
        </w:rPr>
        <w:t xml:space="preserve">.  </w:t>
      </w:r>
    </w:p>
    <w:p w14:paraId="4D464D96" w14:textId="2E7EB264" w:rsidR="00F97A17" w:rsidRDefault="00F97A17" w:rsidP="007F00D7">
      <w:pPr>
        <w:pStyle w:val="BodyText"/>
        <w:rPr>
          <w:b w:val="0"/>
          <w:bCs/>
          <w:u w:val="none"/>
        </w:rPr>
      </w:pPr>
      <w:r>
        <w:rPr>
          <w:b w:val="0"/>
          <w:bCs/>
          <w:u w:val="none"/>
        </w:rPr>
        <w:tab/>
      </w:r>
    </w:p>
    <w:p w14:paraId="4D8E8197" w14:textId="6F0E60D5" w:rsidR="005E61EA" w:rsidRDefault="005E61EA" w:rsidP="007F00D7">
      <w:pPr>
        <w:pStyle w:val="BodyText"/>
        <w:rPr>
          <w:b w:val="0"/>
          <w:bCs/>
          <w:u w:val="none"/>
        </w:rPr>
      </w:pPr>
    </w:p>
    <w:p w14:paraId="15A5C990" w14:textId="77777777" w:rsidR="005E61EA" w:rsidRDefault="005E61EA" w:rsidP="007F00D7">
      <w:pPr>
        <w:pStyle w:val="BodyText"/>
        <w:rPr>
          <w:b w:val="0"/>
          <w:bCs/>
          <w:u w:val="none"/>
        </w:rPr>
      </w:pPr>
    </w:p>
    <w:p w14:paraId="739957F7" w14:textId="77777777" w:rsidR="00AB7A5B" w:rsidRDefault="00AB7A5B" w:rsidP="007F00D7">
      <w:pPr>
        <w:pStyle w:val="BodyText"/>
      </w:pPr>
    </w:p>
    <w:p w14:paraId="0F373BC6" w14:textId="317366A1" w:rsidR="00F97A17" w:rsidRPr="00F97A17" w:rsidRDefault="00010BE1" w:rsidP="00F97A17">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RELEVANT FACTUAL BACKGROUND</w:t>
      </w:r>
    </w:p>
    <w:p w14:paraId="54FCC590" w14:textId="77777777" w:rsidR="00F97A17" w:rsidRPr="00F97A17" w:rsidRDefault="00F97A17" w:rsidP="00F97A17">
      <w:pPr>
        <w:spacing w:after="0" w:line="240" w:lineRule="auto"/>
        <w:rPr>
          <w:rFonts w:ascii="Times New Roman" w:eastAsia="Calibri" w:hAnsi="Times New Roman" w:cs="Times New Roman"/>
          <w:sz w:val="24"/>
          <w:szCs w:val="24"/>
          <w:u w:val="single"/>
        </w:rPr>
      </w:pPr>
    </w:p>
    <w:p w14:paraId="6B64A005" w14:textId="4AD863FD" w:rsidR="004B7A7E" w:rsidRDefault="00F97A17" w:rsidP="00D7621E">
      <w:pPr>
        <w:spacing w:after="0" w:line="240" w:lineRule="auto"/>
        <w:ind w:firstLine="720"/>
        <w:rPr>
          <w:rFonts w:ascii="Times New Roman" w:eastAsia="Times New Roman" w:hAnsi="Times New Roman" w:cs="Times New Roman"/>
          <w:sz w:val="24"/>
          <w:szCs w:val="24"/>
        </w:rPr>
      </w:pPr>
      <w:r w:rsidRPr="00F97A17">
        <w:rPr>
          <w:rFonts w:ascii="Times New Roman" w:eastAsia="Times New Roman" w:hAnsi="Times New Roman" w:cs="Times New Roman"/>
          <w:sz w:val="24"/>
          <w:szCs w:val="24"/>
        </w:rPr>
        <w:t xml:space="preserve">The following facts are not in dispute and are taken as true for the purposes of this </w:t>
      </w:r>
      <w:r w:rsidR="00000B9D">
        <w:rPr>
          <w:rFonts w:ascii="Times New Roman" w:eastAsia="Times New Roman" w:hAnsi="Times New Roman" w:cs="Times New Roman"/>
          <w:i/>
          <w:sz w:val="24"/>
          <w:szCs w:val="24"/>
        </w:rPr>
        <w:t>Ruling</w:t>
      </w:r>
      <w:r w:rsidRPr="00F97A17">
        <w:rPr>
          <w:rFonts w:ascii="Times New Roman" w:eastAsia="Times New Roman" w:hAnsi="Times New Roman" w:cs="Times New Roman"/>
          <w:sz w:val="24"/>
          <w:szCs w:val="24"/>
        </w:rPr>
        <w:t>. These facts may be subject to revision in subsequent proceedings.</w:t>
      </w:r>
    </w:p>
    <w:p w14:paraId="6A80C982" w14:textId="77777777" w:rsidR="00D7621E" w:rsidRPr="00D7621E" w:rsidRDefault="00D7621E" w:rsidP="00D7621E">
      <w:pPr>
        <w:spacing w:after="0" w:line="240" w:lineRule="auto"/>
        <w:ind w:firstLine="720"/>
        <w:rPr>
          <w:rFonts w:ascii="Times New Roman" w:eastAsia="Times New Roman" w:hAnsi="Times New Roman" w:cs="Times New Roman"/>
          <w:sz w:val="24"/>
          <w:szCs w:val="24"/>
        </w:rPr>
      </w:pPr>
    </w:p>
    <w:p w14:paraId="7ED615E9" w14:textId="4C1CCC6A" w:rsidR="00C016F5" w:rsidRDefault="00687334" w:rsidP="00C016F5">
      <w:pPr>
        <w:pStyle w:val="ListParagraph"/>
        <w:numPr>
          <w:ilvl w:val="0"/>
          <w:numId w:val="1"/>
        </w:numPr>
        <w:ind w:left="1440" w:hanging="720"/>
        <w:rPr>
          <w:rFonts w:ascii="Times New Roman" w:hAnsi="Times New Roman" w:cs="Times New Roman"/>
          <w:sz w:val="24"/>
          <w:szCs w:val="24"/>
        </w:rPr>
      </w:pPr>
      <w:r w:rsidRPr="00687334">
        <w:rPr>
          <w:rFonts w:ascii="Times New Roman" w:hAnsi="Times New Roman" w:cs="Times New Roman"/>
          <w:sz w:val="24"/>
          <w:szCs w:val="24"/>
        </w:rPr>
        <w:t>Yakov is 15</w:t>
      </w:r>
      <w:r w:rsidR="008E6ADC">
        <w:rPr>
          <w:rFonts w:ascii="Times New Roman" w:hAnsi="Times New Roman" w:cs="Times New Roman"/>
          <w:sz w:val="24"/>
          <w:szCs w:val="24"/>
        </w:rPr>
        <w:t xml:space="preserve"> years old</w:t>
      </w:r>
      <w:r w:rsidRPr="00687334">
        <w:rPr>
          <w:rFonts w:ascii="Times New Roman" w:hAnsi="Times New Roman" w:cs="Times New Roman"/>
          <w:sz w:val="24"/>
          <w:szCs w:val="24"/>
        </w:rPr>
        <w:t xml:space="preserve"> </w:t>
      </w:r>
      <w:r w:rsidR="008234B3">
        <w:rPr>
          <w:rFonts w:ascii="Times New Roman" w:hAnsi="Times New Roman" w:cs="Times New Roman"/>
          <w:sz w:val="24"/>
          <w:szCs w:val="24"/>
        </w:rPr>
        <w:t>and</w:t>
      </w:r>
      <w:r w:rsidRPr="00687334">
        <w:rPr>
          <w:rFonts w:ascii="Times New Roman" w:hAnsi="Times New Roman" w:cs="Times New Roman"/>
          <w:sz w:val="24"/>
          <w:szCs w:val="24"/>
        </w:rPr>
        <w:t xml:space="preserve"> lives with his mother in Lynn</w:t>
      </w:r>
      <w:r w:rsidR="008234B3">
        <w:rPr>
          <w:rFonts w:ascii="Times New Roman" w:hAnsi="Times New Roman" w:cs="Times New Roman"/>
          <w:sz w:val="24"/>
          <w:szCs w:val="24"/>
        </w:rPr>
        <w:t>, Massachusetts</w:t>
      </w:r>
      <w:r w:rsidRPr="00687334">
        <w:rPr>
          <w:rFonts w:ascii="Times New Roman" w:hAnsi="Times New Roman" w:cs="Times New Roman"/>
          <w:sz w:val="24"/>
          <w:szCs w:val="24"/>
        </w:rPr>
        <w:t>. He was diagnosed with autism spectrum disorder (ASD)</w:t>
      </w:r>
      <w:r>
        <w:rPr>
          <w:rFonts w:ascii="Times New Roman" w:hAnsi="Times New Roman" w:cs="Times New Roman"/>
          <w:sz w:val="24"/>
          <w:szCs w:val="24"/>
        </w:rPr>
        <w:t xml:space="preserve"> before the age of three and received early intervention for his speech delays. </w:t>
      </w:r>
      <w:r w:rsidR="008A5092">
        <w:rPr>
          <w:rFonts w:ascii="Times New Roman" w:hAnsi="Times New Roman" w:cs="Times New Roman"/>
          <w:sz w:val="24"/>
          <w:szCs w:val="24"/>
        </w:rPr>
        <w:t xml:space="preserve">Yakov is currently in ninth grade at Lynn Classical High School. </w:t>
      </w:r>
      <w:r>
        <w:rPr>
          <w:rFonts w:ascii="Times New Roman" w:hAnsi="Times New Roman" w:cs="Times New Roman"/>
          <w:sz w:val="24"/>
          <w:szCs w:val="24"/>
        </w:rPr>
        <w:t xml:space="preserve">He has been eligible for </w:t>
      </w:r>
      <w:r w:rsidR="008E6ADC">
        <w:rPr>
          <w:rFonts w:ascii="Times New Roman" w:hAnsi="Times New Roman" w:cs="Times New Roman"/>
          <w:sz w:val="24"/>
          <w:szCs w:val="24"/>
        </w:rPr>
        <w:t xml:space="preserve">DDS </w:t>
      </w:r>
      <w:r>
        <w:rPr>
          <w:rFonts w:ascii="Times New Roman" w:hAnsi="Times New Roman" w:cs="Times New Roman"/>
          <w:sz w:val="24"/>
          <w:szCs w:val="24"/>
        </w:rPr>
        <w:t>services for over eight year</w:t>
      </w:r>
      <w:r w:rsidR="00A46898">
        <w:rPr>
          <w:rFonts w:ascii="Times New Roman" w:hAnsi="Times New Roman" w:cs="Times New Roman"/>
          <w:sz w:val="24"/>
          <w:szCs w:val="24"/>
        </w:rPr>
        <w:t>s. DCF has had an open case as a result of a 51A filing for Yakov since December 2020.</w:t>
      </w:r>
    </w:p>
    <w:p w14:paraId="615B3D9E" w14:textId="77777777" w:rsidR="00FD696D" w:rsidRDefault="00FD696D" w:rsidP="00FD696D">
      <w:pPr>
        <w:pStyle w:val="ListParagraph"/>
        <w:ind w:left="1440"/>
        <w:rPr>
          <w:rFonts w:ascii="Times New Roman" w:hAnsi="Times New Roman" w:cs="Times New Roman"/>
          <w:sz w:val="24"/>
          <w:szCs w:val="24"/>
        </w:rPr>
      </w:pPr>
    </w:p>
    <w:p w14:paraId="324BC8D1" w14:textId="03C1BF62" w:rsidR="0048247E" w:rsidRPr="00AF25C7" w:rsidRDefault="00AB7A5B" w:rsidP="00AF25C7">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From Pre-K through </w:t>
      </w:r>
      <w:r w:rsidR="00AF25C7">
        <w:rPr>
          <w:rFonts w:ascii="Times New Roman" w:hAnsi="Times New Roman" w:cs="Times New Roman"/>
          <w:sz w:val="24"/>
          <w:szCs w:val="24"/>
        </w:rPr>
        <w:t>the beginning of the 2021-2022 school year</w:t>
      </w:r>
      <w:r>
        <w:rPr>
          <w:rFonts w:ascii="Times New Roman" w:hAnsi="Times New Roman" w:cs="Times New Roman"/>
          <w:sz w:val="24"/>
          <w:szCs w:val="24"/>
        </w:rPr>
        <w:t>, when he switched to a different substantially separate program, Yakov attended COAC</w:t>
      </w:r>
      <w:r w:rsidRPr="005E61EA">
        <w:rPr>
          <w:rFonts w:ascii="Times New Roman" w:hAnsi="Times New Roman" w:cs="Times New Roman"/>
          <w:sz w:val="24"/>
          <w:szCs w:val="24"/>
        </w:rPr>
        <w:t>h,</w:t>
      </w:r>
      <w:r>
        <w:rPr>
          <w:rFonts w:ascii="Times New Roman" w:hAnsi="Times New Roman" w:cs="Times New Roman"/>
          <w:sz w:val="24"/>
          <w:szCs w:val="24"/>
        </w:rPr>
        <w:t xml:space="preserve"> a substantially separate program for L</w:t>
      </w:r>
      <w:r w:rsidR="00FA490D">
        <w:rPr>
          <w:rFonts w:ascii="Times New Roman" w:hAnsi="Times New Roman" w:cs="Times New Roman"/>
          <w:sz w:val="24"/>
          <w:szCs w:val="24"/>
        </w:rPr>
        <w:t>PS</w:t>
      </w:r>
      <w:r>
        <w:rPr>
          <w:rFonts w:ascii="Times New Roman" w:hAnsi="Times New Roman" w:cs="Times New Roman"/>
          <w:sz w:val="24"/>
          <w:szCs w:val="24"/>
        </w:rPr>
        <w:t xml:space="preserve"> students with ASD. </w:t>
      </w:r>
      <w:r w:rsidR="008A5092">
        <w:rPr>
          <w:rFonts w:ascii="Times New Roman" w:hAnsi="Times New Roman" w:cs="Times New Roman"/>
          <w:sz w:val="24"/>
          <w:szCs w:val="24"/>
        </w:rPr>
        <w:t xml:space="preserve">Yakov’s </w:t>
      </w:r>
      <w:r w:rsidR="00FD696D">
        <w:rPr>
          <w:rFonts w:ascii="Times New Roman" w:hAnsi="Times New Roman" w:cs="Times New Roman"/>
          <w:sz w:val="24"/>
          <w:szCs w:val="24"/>
        </w:rPr>
        <w:t>ASD diagnosis affects his verbal</w:t>
      </w:r>
      <w:r w:rsidR="00D063AF">
        <w:rPr>
          <w:rFonts w:ascii="Times New Roman" w:hAnsi="Times New Roman" w:cs="Times New Roman"/>
          <w:sz w:val="24"/>
          <w:szCs w:val="24"/>
        </w:rPr>
        <w:t>,</w:t>
      </w:r>
      <w:r w:rsidR="00FD696D">
        <w:rPr>
          <w:rFonts w:ascii="Times New Roman" w:hAnsi="Times New Roman" w:cs="Times New Roman"/>
          <w:sz w:val="24"/>
          <w:szCs w:val="24"/>
        </w:rPr>
        <w:t xml:space="preserve"> nonverbal communication and social interaction</w:t>
      </w:r>
      <w:r w:rsidR="008E6ADC">
        <w:rPr>
          <w:rFonts w:ascii="Times New Roman" w:hAnsi="Times New Roman" w:cs="Times New Roman"/>
          <w:sz w:val="24"/>
          <w:szCs w:val="24"/>
        </w:rPr>
        <w:t>s</w:t>
      </w:r>
      <w:r w:rsidR="00FD696D">
        <w:rPr>
          <w:rFonts w:ascii="Times New Roman" w:hAnsi="Times New Roman" w:cs="Times New Roman"/>
          <w:sz w:val="24"/>
          <w:szCs w:val="24"/>
        </w:rPr>
        <w:t>, and he often engages in repetitive activities and stereotyped movements.</w:t>
      </w:r>
      <w:r w:rsidR="00AF25C7">
        <w:rPr>
          <w:rFonts w:ascii="Times New Roman" w:hAnsi="Times New Roman" w:cs="Times New Roman"/>
          <w:sz w:val="24"/>
          <w:szCs w:val="24"/>
        </w:rPr>
        <w:t xml:space="preserve"> </w:t>
      </w:r>
      <w:r w:rsidR="008E6ADC">
        <w:rPr>
          <w:rFonts w:ascii="Times New Roman" w:hAnsi="Times New Roman" w:cs="Times New Roman"/>
          <w:sz w:val="24"/>
          <w:szCs w:val="24"/>
        </w:rPr>
        <w:t>Yakov</w:t>
      </w:r>
      <w:r w:rsidR="0048247E" w:rsidRPr="00AF25C7">
        <w:rPr>
          <w:rFonts w:ascii="Times New Roman" w:hAnsi="Times New Roman" w:cs="Times New Roman"/>
          <w:sz w:val="24"/>
          <w:szCs w:val="24"/>
        </w:rPr>
        <w:t xml:space="preserve"> has reported bullying in school, particularly on the school bus.</w:t>
      </w:r>
    </w:p>
    <w:p w14:paraId="31221F9A" w14:textId="77777777" w:rsidR="00C016F5" w:rsidRPr="00C016F5" w:rsidRDefault="00C016F5" w:rsidP="00C016F5">
      <w:pPr>
        <w:pStyle w:val="ListParagraph"/>
        <w:ind w:left="1440"/>
        <w:rPr>
          <w:rFonts w:ascii="Times New Roman" w:hAnsi="Times New Roman" w:cs="Times New Roman"/>
          <w:sz w:val="24"/>
          <w:szCs w:val="24"/>
        </w:rPr>
      </w:pPr>
    </w:p>
    <w:p w14:paraId="591A70E0" w14:textId="0C5EF2A7" w:rsidR="00687334" w:rsidRDefault="00C016F5" w:rsidP="003361F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Yakov was first hospitalized psychiatrically in November 2017, while in elementary school. </w:t>
      </w:r>
      <w:r w:rsidR="0048247E">
        <w:rPr>
          <w:rFonts w:ascii="Times New Roman" w:hAnsi="Times New Roman" w:cs="Times New Roman"/>
          <w:sz w:val="24"/>
          <w:szCs w:val="24"/>
        </w:rPr>
        <w:t>Around that time, he was diagnosed with Post-Traumatic Stress Disorder (PTSD).</w:t>
      </w:r>
      <w:r w:rsidR="006A6C43" w:rsidRPr="00D063AF">
        <w:rPr>
          <w:rStyle w:val="FootnoteReference"/>
          <w:rFonts w:ascii="Times New Roman" w:hAnsi="Times New Roman" w:cs="Times New Roman"/>
          <w:sz w:val="24"/>
          <w:szCs w:val="24"/>
        </w:rPr>
        <w:t xml:space="preserve"> </w:t>
      </w:r>
      <w:r w:rsidR="006A6C43">
        <w:rPr>
          <w:rStyle w:val="FootnoteReference"/>
          <w:rFonts w:ascii="Times New Roman" w:hAnsi="Times New Roman" w:cs="Times New Roman"/>
          <w:sz w:val="24"/>
          <w:szCs w:val="24"/>
        </w:rPr>
        <w:footnoteReference w:id="4"/>
      </w:r>
      <w:r w:rsidR="005E61EA">
        <w:rPr>
          <w:rFonts w:ascii="Times New Roman" w:hAnsi="Times New Roman" w:cs="Times New Roman"/>
          <w:sz w:val="24"/>
          <w:szCs w:val="24"/>
        </w:rPr>
        <w:t xml:space="preserve"> </w:t>
      </w:r>
      <w:r>
        <w:rPr>
          <w:rFonts w:ascii="Times New Roman" w:hAnsi="Times New Roman" w:cs="Times New Roman"/>
          <w:sz w:val="24"/>
          <w:szCs w:val="24"/>
        </w:rPr>
        <w:t>Between 2017 and 2019, he had 9 psychiatric screenings in emergency rooms.</w:t>
      </w:r>
    </w:p>
    <w:p w14:paraId="318FAABD" w14:textId="77777777" w:rsidR="00221562" w:rsidRPr="00221562" w:rsidRDefault="00221562" w:rsidP="00221562">
      <w:pPr>
        <w:pStyle w:val="ListParagraph"/>
        <w:ind w:left="1440"/>
        <w:rPr>
          <w:rFonts w:ascii="Times New Roman" w:hAnsi="Times New Roman" w:cs="Times New Roman"/>
          <w:sz w:val="24"/>
          <w:szCs w:val="24"/>
        </w:rPr>
      </w:pPr>
    </w:p>
    <w:p w14:paraId="6086F577" w14:textId="6BB7C02F" w:rsidR="0048247E" w:rsidRDefault="00687334" w:rsidP="0048247E">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Over the years, Parent has </w:t>
      </w:r>
      <w:r w:rsidR="00C016F5">
        <w:rPr>
          <w:rFonts w:ascii="Times New Roman" w:hAnsi="Times New Roman" w:cs="Times New Roman"/>
          <w:sz w:val="24"/>
          <w:szCs w:val="24"/>
        </w:rPr>
        <w:t>obtained</w:t>
      </w:r>
      <w:r>
        <w:rPr>
          <w:rFonts w:ascii="Times New Roman" w:hAnsi="Times New Roman" w:cs="Times New Roman"/>
          <w:sz w:val="24"/>
          <w:szCs w:val="24"/>
        </w:rPr>
        <w:t xml:space="preserve"> in-home therapy and/or wraparound services </w:t>
      </w:r>
      <w:r w:rsidR="00C016F5">
        <w:rPr>
          <w:rFonts w:ascii="Times New Roman" w:hAnsi="Times New Roman" w:cs="Times New Roman"/>
          <w:sz w:val="24"/>
          <w:szCs w:val="24"/>
        </w:rPr>
        <w:t xml:space="preserve">for Yakov </w:t>
      </w:r>
      <w:r>
        <w:rPr>
          <w:rFonts w:ascii="Times New Roman" w:hAnsi="Times New Roman" w:cs="Times New Roman"/>
          <w:sz w:val="24"/>
          <w:szCs w:val="24"/>
        </w:rPr>
        <w:t>through the Children’s Behavioral Health Initiative</w:t>
      </w:r>
      <w:r w:rsidR="008E6ADC">
        <w:rPr>
          <w:rFonts w:ascii="Times New Roman" w:hAnsi="Times New Roman" w:cs="Times New Roman"/>
          <w:sz w:val="24"/>
          <w:szCs w:val="24"/>
        </w:rPr>
        <w:t xml:space="preserve"> (CBHI)</w:t>
      </w:r>
      <w:r>
        <w:rPr>
          <w:rFonts w:ascii="Times New Roman" w:hAnsi="Times New Roman" w:cs="Times New Roman"/>
          <w:sz w:val="24"/>
          <w:szCs w:val="24"/>
        </w:rPr>
        <w:t xml:space="preserve">, South </w:t>
      </w:r>
      <w:r w:rsidR="00FA490D">
        <w:rPr>
          <w:rFonts w:ascii="Times New Roman" w:hAnsi="Times New Roman" w:cs="Times New Roman"/>
          <w:sz w:val="24"/>
          <w:szCs w:val="24"/>
        </w:rPr>
        <w:t>Bay</w:t>
      </w:r>
      <w:r>
        <w:rPr>
          <w:rFonts w:ascii="Times New Roman" w:hAnsi="Times New Roman" w:cs="Times New Roman"/>
          <w:sz w:val="24"/>
          <w:szCs w:val="24"/>
        </w:rPr>
        <w:t xml:space="preserve"> Mental Health, Lahey Behavioral Health</w:t>
      </w:r>
      <w:r w:rsidR="008E6ADC">
        <w:rPr>
          <w:rFonts w:ascii="Times New Roman" w:hAnsi="Times New Roman" w:cs="Times New Roman"/>
          <w:sz w:val="24"/>
          <w:szCs w:val="24"/>
        </w:rPr>
        <w:t xml:space="preserve"> (Lahey)</w:t>
      </w:r>
      <w:r>
        <w:rPr>
          <w:rFonts w:ascii="Times New Roman" w:hAnsi="Times New Roman" w:cs="Times New Roman"/>
          <w:sz w:val="24"/>
          <w:szCs w:val="24"/>
        </w:rPr>
        <w:t xml:space="preserve">, Family Continuity </w:t>
      </w:r>
      <w:r w:rsidR="00D063AF">
        <w:rPr>
          <w:rFonts w:ascii="Times New Roman" w:hAnsi="Times New Roman" w:cs="Times New Roman"/>
          <w:sz w:val="24"/>
          <w:szCs w:val="24"/>
        </w:rPr>
        <w:t>S</w:t>
      </w:r>
      <w:r>
        <w:rPr>
          <w:rFonts w:ascii="Times New Roman" w:hAnsi="Times New Roman" w:cs="Times New Roman"/>
          <w:sz w:val="24"/>
          <w:szCs w:val="24"/>
        </w:rPr>
        <w:t>ervices, and Children’s Friend and Family Services</w:t>
      </w:r>
      <w:r w:rsidR="00C016F5">
        <w:rPr>
          <w:rFonts w:ascii="Times New Roman" w:hAnsi="Times New Roman" w:cs="Times New Roman"/>
          <w:sz w:val="24"/>
          <w:szCs w:val="24"/>
        </w:rPr>
        <w:t>. Parent has also engaged with several types of community and home-based supports through DDS and is working with a community-based Applied Behavioral Analysis program.</w:t>
      </w:r>
    </w:p>
    <w:p w14:paraId="698A99D8" w14:textId="77777777" w:rsidR="0048247E" w:rsidRPr="0048247E" w:rsidRDefault="0048247E" w:rsidP="0048247E">
      <w:pPr>
        <w:pStyle w:val="ListParagraph"/>
        <w:ind w:left="1440"/>
        <w:rPr>
          <w:rFonts w:ascii="Times New Roman" w:hAnsi="Times New Roman" w:cs="Times New Roman"/>
          <w:sz w:val="24"/>
          <w:szCs w:val="24"/>
        </w:rPr>
      </w:pPr>
    </w:p>
    <w:p w14:paraId="038888EB" w14:textId="01D3FE6D" w:rsidR="0048247E" w:rsidRDefault="0048247E" w:rsidP="00000B9D">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March 2019, Parent partially rejected LPS’ proposed IEP for Yakov, raising concerns about bullying and rejecting the omission of therapeutic components, direct ABA instruction, and behavioral consultation. She accepted placement in a substantially separate middle school classroom.</w:t>
      </w:r>
    </w:p>
    <w:p w14:paraId="3CD4566B" w14:textId="77777777" w:rsidR="0048247E" w:rsidRDefault="0048247E" w:rsidP="0048247E">
      <w:pPr>
        <w:pStyle w:val="ListParagraph"/>
        <w:ind w:left="1440"/>
        <w:rPr>
          <w:rFonts w:ascii="Times New Roman" w:hAnsi="Times New Roman" w:cs="Times New Roman"/>
          <w:sz w:val="24"/>
          <w:szCs w:val="24"/>
        </w:rPr>
      </w:pPr>
    </w:p>
    <w:p w14:paraId="12E7C170" w14:textId="60435B3E" w:rsidR="0048247E" w:rsidRDefault="0048247E" w:rsidP="00FD32FD">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When schools closed in the spring of 2020 due to the COVID-19 pandemic, Parent began working with both in-home therapy (IHT) services through Lahey </w:t>
      </w:r>
      <w:r w:rsidR="00FD32FD">
        <w:rPr>
          <w:rFonts w:ascii="Times New Roman" w:hAnsi="Times New Roman" w:cs="Times New Roman"/>
          <w:sz w:val="24"/>
          <w:szCs w:val="24"/>
        </w:rPr>
        <w:t xml:space="preserve"> </w:t>
      </w:r>
      <w:r w:rsidR="008E6ADC">
        <w:rPr>
          <w:rFonts w:ascii="Times New Roman" w:hAnsi="Times New Roman" w:cs="Times New Roman"/>
          <w:sz w:val="24"/>
          <w:szCs w:val="24"/>
        </w:rPr>
        <w:t>a</w:t>
      </w:r>
      <w:r>
        <w:rPr>
          <w:rFonts w:ascii="Times New Roman" w:hAnsi="Times New Roman" w:cs="Times New Roman"/>
          <w:sz w:val="24"/>
          <w:szCs w:val="24"/>
        </w:rPr>
        <w:t xml:space="preserve">nd </w:t>
      </w:r>
      <w:r w:rsidR="00FD32FD">
        <w:rPr>
          <w:rFonts w:ascii="Times New Roman" w:hAnsi="Times New Roman" w:cs="Times New Roman"/>
          <w:sz w:val="24"/>
          <w:szCs w:val="24"/>
        </w:rPr>
        <w:t xml:space="preserve">Fidelity House, through a DDS Intensive Flexible Family Support Program (IFFS) contract, with the goal of keeping </w:t>
      </w:r>
      <w:r w:rsidR="008E6ADC">
        <w:rPr>
          <w:rFonts w:ascii="Times New Roman" w:hAnsi="Times New Roman" w:cs="Times New Roman"/>
          <w:sz w:val="24"/>
          <w:szCs w:val="24"/>
        </w:rPr>
        <w:t>Yakov</w:t>
      </w:r>
      <w:r w:rsidR="00FD32FD">
        <w:rPr>
          <w:rFonts w:ascii="Times New Roman" w:hAnsi="Times New Roman" w:cs="Times New Roman"/>
          <w:sz w:val="24"/>
          <w:szCs w:val="24"/>
        </w:rPr>
        <w:t xml:space="preserve"> in a familiar environment rather than a residential program. IHT providers noted that Yakov can be impulsive, </w:t>
      </w:r>
      <w:r w:rsidR="00FD32FD">
        <w:rPr>
          <w:rFonts w:ascii="Times New Roman" w:hAnsi="Times New Roman" w:cs="Times New Roman"/>
          <w:sz w:val="24"/>
          <w:szCs w:val="24"/>
        </w:rPr>
        <w:lastRenderedPageBreak/>
        <w:t xml:space="preserve">struggles with sleep, and had been resistant to showering, and that his mother reported a history of violent and aggressive behaviors. </w:t>
      </w:r>
      <w:r w:rsidR="00FD32FD" w:rsidRPr="00FD32FD">
        <w:rPr>
          <w:rFonts w:ascii="Times New Roman" w:hAnsi="Times New Roman" w:cs="Times New Roman"/>
          <w:sz w:val="24"/>
          <w:szCs w:val="24"/>
        </w:rPr>
        <w:t xml:space="preserve">Parent </w:t>
      </w:r>
      <w:r w:rsidR="00FD32FD">
        <w:rPr>
          <w:rFonts w:ascii="Times New Roman" w:hAnsi="Times New Roman" w:cs="Times New Roman"/>
          <w:sz w:val="24"/>
          <w:szCs w:val="24"/>
        </w:rPr>
        <w:t xml:space="preserve">then </w:t>
      </w:r>
      <w:r w:rsidR="00FD32FD" w:rsidRPr="00FD32FD">
        <w:rPr>
          <w:rFonts w:ascii="Times New Roman" w:hAnsi="Times New Roman" w:cs="Times New Roman"/>
          <w:sz w:val="24"/>
          <w:szCs w:val="24"/>
        </w:rPr>
        <w:t>engaged CBHI wraparound services. Records from these providers</w:t>
      </w:r>
      <w:r w:rsidR="00480A5E">
        <w:rPr>
          <w:rFonts w:ascii="Times New Roman" w:hAnsi="Times New Roman" w:cs="Times New Roman"/>
          <w:sz w:val="24"/>
          <w:szCs w:val="24"/>
        </w:rPr>
        <w:t>, which include Parent reports of rageful, aggressive behavior,</w:t>
      </w:r>
      <w:r w:rsidR="00FD32FD">
        <w:rPr>
          <w:rFonts w:ascii="Times New Roman" w:hAnsi="Times New Roman" w:cs="Times New Roman"/>
          <w:sz w:val="24"/>
          <w:szCs w:val="24"/>
        </w:rPr>
        <w:t xml:space="preserve"> indicate a history of OCD</w:t>
      </w:r>
      <w:r w:rsidR="00FD696D">
        <w:rPr>
          <w:rFonts w:ascii="Times New Roman" w:hAnsi="Times New Roman" w:cs="Times New Roman"/>
          <w:sz w:val="24"/>
          <w:szCs w:val="24"/>
        </w:rPr>
        <w:t>-</w:t>
      </w:r>
      <w:r w:rsidR="00FD32FD">
        <w:rPr>
          <w:rFonts w:ascii="Times New Roman" w:hAnsi="Times New Roman" w:cs="Times New Roman"/>
          <w:sz w:val="24"/>
          <w:szCs w:val="24"/>
        </w:rPr>
        <w:t>type behaviors</w:t>
      </w:r>
      <w:r w:rsidR="00480A5E">
        <w:rPr>
          <w:rFonts w:ascii="Times New Roman" w:hAnsi="Times New Roman" w:cs="Times New Roman"/>
          <w:sz w:val="24"/>
          <w:szCs w:val="24"/>
        </w:rPr>
        <w:t>.</w:t>
      </w:r>
    </w:p>
    <w:p w14:paraId="559FDDCA" w14:textId="77777777" w:rsidR="00FD32FD" w:rsidRDefault="00FD32FD" w:rsidP="00FD32FD">
      <w:pPr>
        <w:pStyle w:val="ListParagraph"/>
        <w:ind w:left="1440"/>
        <w:rPr>
          <w:rFonts w:ascii="Times New Roman" w:hAnsi="Times New Roman" w:cs="Times New Roman"/>
          <w:sz w:val="24"/>
          <w:szCs w:val="24"/>
        </w:rPr>
      </w:pPr>
    </w:p>
    <w:p w14:paraId="61450F74" w14:textId="602E96D5" w:rsidR="00FD696D" w:rsidRDefault="00CF3C25" w:rsidP="00FD32FD">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S</w:t>
      </w:r>
      <w:r w:rsidR="00FD696D">
        <w:rPr>
          <w:rFonts w:ascii="Times New Roman" w:hAnsi="Times New Roman" w:cs="Times New Roman"/>
          <w:sz w:val="24"/>
          <w:szCs w:val="24"/>
        </w:rPr>
        <w:t xml:space="preserve">chool staff have not witnessed </w:t>
      </w:r>
      <w:r>
        <w:rPr>
          <w:rFonts w:ascii="Times New Roman" w:hAnsi="Times New Roman" w:cs="Times New Roman"/>
          <w:sz w:val="24"/>
          <w:szCs w:val="24"/>
        </w:rPr>
        <w:t>Yakov’s</w:t>
      </w:r>
      <w:r w:rsidR="00FD696D">
        <w:rPr>
          <w:rFonts w:ascii="Times New Roman" w:hAnsi="Times New Roman" w:cs="Times New Roman"/>
          <w:sz w:val="24"/>
          <w:szCs w:val="24"/>
        </w:rPr>
        <w:t xml:space="preserve"> aggression, nor have they heard him engage in threatening or concerning statements about himself or others.</w:t>
      </w:r>
      <w:r>
        <w:rPr>
          <w:rFonts w:ascii="Times New Roman" w:hAnsi="Times New Roman" w:cs="Times New Roman"/>
          <w:sz w:val="24"/>
          <w:szCs w:val="24"/>
        </w:rPr>
        <w:t xml:space="preserve"> As Parent has historically raised concerns about </w:t>
      </w:r>
      <w:r w:rsidR="00472E38">
        <w:rPr>
          <w:rFonts w:ascii="Times New Roman" w:hAnsi="Times New Roman" w:cs="Times New Roman"/>
          <w:sz w:val="24"/>
          <w:szCs w:val="24"/>
        </w:rPr>
        <w:t xml:space="preserve">Yakov’s </w:t>
      </w:r>
      <w:r>
        <w:rPr>
          <w:rFonts w:ascii="Times New Roman" w:hAnsi="Times New Roman" w:cs="Times New Roman"/>
          <w:sz w:val="24"/>
          <w:szCs w:val="24"/>
        </w:rPr>
        <w:t>behavior at home, Lynn has proposed to conduct home assessments and provide home services and parent training for Yakov and his mother, but Parent has rejected these offers for multiple years.</w:t>
      </w:r>
    </w:p>
    <w:p w14:paraId="02E2815E" w14:textId="77777777" w:rsidR="00FD32FD" w:rsidRDefault="00FD32FD" w:rsidP="00FD32FD">
      <w:pPr>
        <w:pStyle w:val="ListParagraph"/>
        <w:ind w:left="1440"/>
        <w:rPr>
          <w:rFonts w:ascii="Times New Roman" w:hAnsi="Times New Roman" w:cs="Times New Roman"/>
          <w:sz w:val="24"/>
          <w:szCs w:val="24"/>
        </w:rPr>
      </w:pPr>
    </w:p>
    <w:p w14:paraId="5EF38843" w14:textId="371FD859" w:rsidR="00B2526B" w:rsidRPr="00B2526B" w:rsidRDefault="00FD32FD" w:rsidP="00B2526B">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During remote learning through the end of the 2019-2020 school year and until </w:t>
      </w:r>
      <w:r w:rsidR="00B2526B">
        <w:rPr>
          <w:rFonts w:ascii="Times New Roman" w:hAnsi="Times New Roman" w:cs="Times New Roman"/>
          <w:sz w:val="24"/>
          <w:szCs w:val="24"/>
        </w:rPr>
        <w:t>about February 2021</w:t>
      </w:r>
      <w:r>
        <w:rPr>
          <w:rFonts w:ascii="Times New Roman" w:hAnsi="Times New Roman" w:cs="Times New Roman"/>
          <w:sz w:val="24"/>
          <w:szCs w:val="24"/>
        </w:rPr>
        <w:t>, Yaakov</w:t>
      </w:r>
      <w:r w:rsidR="00B2526B">
        <w:rPr>
          <w:rFonts w:ascii="Times New Roman" w:hAnsi="Times New Roman" w:cs="Times New Roman"/>
          <w:sz w:val="24"/>
          <w:szCs w:val="24"/>
        </w:rPr>
        <w:t xml:space="preserve"> struggled academically. </w:t>
      </w:r>
      <w:r>
        <w:rPr>
          <w:rFonts w:ascii="Times New Roman" w:hAnsi="Times New Roman" w:cs="Times New Roman"/>
          <w:sz w:val="24"/>
          <w:szCs w:val="24"/>
        </w:rPr>
        <w:t xml:space="preserve"> </w:t>
      </w:r>
    </w:p>
    <w:p w14:paraId="2CCDF433" w14:textId="77777777" w:rsidR="00B2526B" w:rsidRDefault="00B2526B" w:rsidP="00B2526B">
      <w:pPr>
        <w:pStyle w:val="ListParagraph"/>
        <w:ind w:left="1440"/>
        <w:rPr>
          <w:rFonts w:ascii="Times New Roman" w:hAnsi="Times New Roman" w:cs="Times New Roman"/>
          <w:sz w:val="24"/>
          <w:szCs w:val="24"/>
        </w:rPr>
      </w:pPr>
    </w:p>
    <w:p w14:paraId="2A94FE78" w14:textId="11F8D958" w:rsidR="00B2526B" w:rsidRDefault="00B2526B"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October 2020, DDS contracted</w:t>
      </w:r>
      <w:r w:rsidR="00402188">
        <w:rPr>
          <w:rFonts w:ascii="Times New Roman" w:hAnsi="Times New Roman" w:cs="Times New Roman"/>
          <w:sz w:val="24"/>
          <w:szCs w:val="24"/>
        </w:rPr>
        <w:t xml:space="preserve"> with</w:t>
      </w:r>
      <w:r>
        <w:rPr>
          <w:rFonts w:ascii="Times New Roman" w:hAnsi="Times New Roman" w:cs="Times New Roman"/>
          <w:sz w:val="24"/>
          <w:szCs w:val="24"/>
        </w:rPr>
        <w:t xml:space="preserve"> an educational advocate for the family. Around this time, several transitions occurred with respect to in-home and wraparound service providers. Parent brough</w:t>
      </w:r>
      <w:r w:rsidR="005D294B">
        <w:rPr>
          <w:rFonts w:ascii="Times New Roman" w:hAnsi="Times New Roman" w:cs="Times New Roman"/>
          <w:sz w:val="24"/>
          <w:szCs w:val="24"/>
        </w:rPr>
        <w:t>t</w:t>
      </w:r>
      <w:r>
        <w:rPr>
          <w:rFonts w:ascii="Times New Roman" w:hAnsi="Times New Roman" w:cs="Times New Roman"/>
          <w:sz w:val="24"/>
          <w:szCs w:val="24"/>
        </w:rPr>
        <w:t xml:space="preserve"> Yakov to the emergency room in early October for psychiatric triage/screening following multiple behavioral episodes in the home the previous night that included knocking over furniture and throwing things at his mother; he had been unable to process these incidents with his in-home therapist, though he did report that he gets triggered by his mother’s voice. He was sent home from screening; the same thing happened later that month, as he did not meet inpatient level of care</w:t>
      </w:r>
      <w:r w:rsidR="005D294B">
        <w:rPr>
          <w:rFonts w:ascii="Times New Roman" w:hAnsi="Times New Roman" w:cs="Times New Roman"/>
          <w:sz w:val="24"/>
          <w:szCs w:val="24"/>
        </w:rPr>
        <w:t xml:space="preserve"> when he was first seen at the emergency room</w:t>
      </w:r>
      <w:r>
        <w:rPr>
          <w:rFonts w:ascii="Times New Roman" w:hAnsi="Times New Roman" w:cs="Times New Roman"/>
          <w:sz w:val="24"/>
          <w:szCs w:val="24"/>
        </w:rPr>
        <w:t>.</w:t>
      </w:r>
    </w:p>
    <w:p w14:paraId="1D7B1B21" w14:textId="77777777" w:rsidR="00FD696D" w:rsidRDefault="00FD696D" w:rsidP="00FD696D">
      <w:pPr>
        <w:pStyle w:val="ListParagraph"/>
        <w:ind w:left="1440"/>
        <w:rPr>
          <w:rFonts w:ascii="Times New Roman" w:hAnsi="Times New Roman" w:cs="Times New Roman"/>
          <w:sz w:val="24"/>
          <w:szCs w:val="24"/>
        </w:rPr>
      </w:pPr>
    </w:p>
    <w:p w14:paraId="4838894F" w14:textId="528D66B4" w:rsidR="00C016F5" w:rsidRDefault="00B2526B" w:rsidP="006C58E2">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On October 28, 2020, Yakov was involuntarily hospitalized through Section 12. At this time, he was</w:t>
      </w:r>
      <w:r w:rsidR="0097089D">
        <w:rPr>
          <w:rFonts w:ascii="Times New Roman" w:hAnsi="Times New Roman" w:cs="Times New Roman"/>
          <w:sz w:val="24"/>
          <w:szCs w:val="24"/>
        </w:rPr>
        <w:t xml:space="preserve"> agitated,</w:t>
      </w:r>
      <w:r>
        <w:rPr>
          <w:rFonts w:ascii="Times New Roman" w:hAnsi="Times New Roman" w:cs="Times New Roman"/>
          <w:sz w:val="24"/>
          <w:szCs w:val="24"/>
        </w:rPr>
        <w:t xml:space="preserve"> expressing active homicidal ideation toward mother, had difficulty engaging in safet</w:t>
      </w:r>
      <w:r w:rsidR="0097089D">
        <w:rPr>
          <w:rFonts w:ascii="Times New Roman" w:hAnsi="Times New Roman" w:cs="Times New Roman"/>
          <w:sz w:val="24"/>
          <w:szCs w:val="24"/>
        </w:rPr>
        <w:t xml:space="preserve">y planning, and reported that he was getting angry at his mother whenever he saw or heard her. When he was discharged on November 13, 2020, the discharge summary noted that he would likely need a 24-hour support care setting due to his perpetual cycle of decompensating at home. </w:t>
      </w:r>
    </w:p>
    <w:p w14:paraId="15A9DB03" w14:textId="77777777" w:rsidR="006C58E2" w:rsidRPr="006C58E2" w:rsidRDefault="006C58E2" w:rsidP="006C58E2">
      <w:pPr>
        <w:pStyle w:val="ListParagraph"/>
        <w:ind w:left="1440"/>
        <w:rPr>
          <w:rFonts w:ascii="Times New Roman" w:hAnsi="Times New Roman" w:cs="Times New Roman"/>
          <w:sz w:val="24"/>
          <w:szCs w:val="24"/>
        </w:rPr>
      </w:pPr>
    </w:p>
    <w:p w14:paraId="196F8273" w14:textId="41BDFFB5" w:rsidR="00CF1767" w:rsidRDefault="006C58E2"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December 2020, Yakov underwent a neurodevelopmental evaluation</w:t>
      </w:r>
      <w:r w:rsidR="008E6375">
        <w:rPr>
          <w:rFonts w:ascii="Times New Roman" w:hAnsi="Times New Roman" w:cs="Times New Roman"/>
          <w:sz w:val="24"/>
          <w:szCs w:val="24"/>
        </w:rPr>
        <w:t xml:space="preserve"> with Dr. Nicole Morrero, Psy.D. at MassGeneral for Children</w:t>
      </w:r>
      <w:r>
        <w:rPr>
          <w:rFonts w:ascii="Times New Roman" w:hAnsi="Times New Roman" w:cs="Times New Roman"/>
          <w:sz w:val="24"/>
          <w:szCs w:val="24"/>
        </w:rPr>
        <w:t xml:space="preserve">, at the request of his CBHI team, due to concerns regarding increased dysregulation and aggression in the home. The </w:t>
      </w:r>
      <w:r w:rsidR="008E6375">
        <w:rPr>
          <w:rFonts w:ascii="Times New Roman" w:hAnsi="Times New Roman" w:cs="Times New Roman"/>
          <w:sz w:val="24"/>
          <w:szCs w:val="24"/>
        </w:rPr>
        <w:t>Multi-Disciplinary Evaluation Center</w:t>
      </w:r>
      <w:r w:rsidR="00BA4187">
        <w:rPr>
          <w:rFonts w:ascii="Times New Roman" w:hAnsi="Times New Roman" w:cs="Times New Roman"/>
          <w:sz w:val="24"/>
          <w:szCs w:val="24"/>
        </w:rPr>
        <w:t xml:space="preserve"> (MDEC) Report</w:t>
      </w:r>
      <w:r w:rsidR="008E6375">
        <w:rPr>
          <w:rFonts w:ascii="Times New Roman" w:hAnsi="Times New Roman" w:cs="Times New Roman"/>
          <w:sz w:val="24"/>
          <w:szCs w:val="24"/>
        </w:rPr>
        <w:t xml:space="preserve"> indicated that Yakov met the criteria for ASD, Level 2; that his social challenges and tendency to become dysregulated easily impaired his functioning significantly; and that he was unsafe in the home (as was his mother) because he was easily triggered by simple requests from his mother and resorted to aggression as he was unable to regulate his emotions. Dr. Marrero recommended a residential therapeutic living </w:t>
      </w:r>
      <w:r w:rsidR="008E6375">
        <w:rPr>
          <w:rFonts w:ascii="Times New Roman" w:hAnsi="Times New Roman" w:cs="Times New Roman"/>
          <w:sz w:val="24"/>
          <w:szCs w:val="24"/>
        </w:rPr>
        <w:lastRenderedPageBreak/>
        <w:t xml:space="preserve">environment and suggested that without residential treatment, </w:t>
      </w:r>
      <w:r w:rsidR="00F1572B">
        <w:rPr>
          <w:rFonts w:ascii="Times New Roman" w:hAnsi="Times New Roman" w:cs="Times New Roman"/>
          <w:sz w:val="24"/>
          <w:szCs w:val="24"/>
        </w:rPr>
        <w:t>Yakov</w:t>
      </w:r>
      <w:r w:rsidR="008E6375">
        <w:rPr>
          <w:rFonts w:ascii="Times New Roman" w:hAnsi="Times New Roman" w:cs="Times New Roman"/>
          <w:sz w:val="24"/>
          <w:szCs w:val="24"/>
        </w:rPr>
        <w:t xml:space="preserve"> would likely be hospitalized periodically, which would be detrimental to his development.</w:t>
      </w:r>
    </w:p>
    <w:p w14:paraId="155998AE" w14:textId="77777777" w:rsidR="008E6375" w:rsidRDefault="008E6375" w:rsidP="008E6375">
      <w:pPr>
        <w:pStyle w:val="ListParagraph"/>
        <w:ind w:left="1440"/>
        <w:rPr>
          <w:rFonts w:ascii="Times New Roman" w:hAnsi="Times New Roman" w:cs="Times New Roman"/>
          <w:sz w:val="24"/>
          <w:szCs w:val="24"/>
        </w:rPr>
      </w:pPr>
    </w:p>
    <w:p w14:paraId="6A501B78" w14:textId="4E94AB13" w:rsidR="008E6375" w:rsidRDefault="008E6375"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Around this time, Parent’s educational advocate informed LPS that Yakov was having difficulty generalizing skills from the classroom to the home and community. She requested a meeting to discuss residential placement.</w:t>
      </w:r>
    </w:p>
    <w:p w14:paraId="3873DB42" w14:textId="77777777" w:rsidR="008E6375" w:rsidRDefault="008E6375" w:rsidP="008E6375">
      <w:pPr>
        <w:pStyle w:val="ListParagraph"/>
        <w:ind w:left="1440"/>
        <w:rPr>
          <w:rFonts w:ascii="Times New Roman" w:hAnsi="Times New Roman" w:cs="Times New Roman"/>
          <w:sz w:val="24"/>
          <w:szCs w:val="24"/>
        </w:rPr>
      </w:pPr>
    </w:p>
    <w:p w14:paraId="3D6D1171" w14:textId="78F60ADB" w:rsidR="008E6375" w:rsidRDefault="008E6375"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Also in December 2020, Lynn filed a 51A report with DCF</w:t>
      </w:r>
      <w:r w:rsidR="00F1572B">
        <w:rPr>
          <w:rFonts w:ascii="Times New Roman" w:hAnsi="Times New Roman" w:cs="Times New Roman"/>
          <w:sz w:val="24"/>
          <w:szCs w:val="24"/>
        </w:rPr>
        <w:t xml:space="preserve"> </w:t>
      </w:r>
      <w:r>
        <w:rPr>
          <w:rFonts w:ascii="Times New Roman" w:hAnsi="Times New Roman" w:cs="Times New Roman"/>
          <w:sz w:val="24"/>
          <w:szCs w:val="24"/>
        </w:rPr>
        <w:t xml:space="preserve">due to </w:t>
      </w:r>
      <w:r w:rsidR="00BB4D56">
        <w:rPr>
          <w:rFonts w:ascii="Times New Roman" w:hAnsi="Times New Roman" w:cs="Times New Roman"/>
          <w:sz w:val="24"/>
          <w:szCs w:val="24"/>
        </w:rPr>
        <w:t>Yakov’s struggles with remote education. DCF substantiated the 51A and opened a clinical case with the family, which remains open to this day.</w:t>
      </w:r>
    </w:p>
    <w:p w14:paraId="04116BBE" w14:textId="77777777" w:rsidR="00BB4D56" w:rsidRDefault="00BB4D56" w:rsidP="00BB4D56">
      <w:pPr>
        <w:pStyle w:val="ListParagraph"/>
        <w:ind w:left="1440"/>
        <w:rPr>
          <w:rFonts w:ascii="Times New Roman" w:hAnsi="Times New Roman" w:cs="Times New Roman"/>
          <w:sz w:val="24"/>
          <w:szCs w:val="24"/>
        </w:rPr>
      </w:pPr>
    </w:p>
    <w:p w14:paraId="53AE7732" w14:textId="4B2416F5" w:rsidR="00BB4D56" w:rsidRDefault="00BB4D56"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In January 2021, </w:t>
      </w:r>
      <w:r w:rsidR="00F1572B">
        <w:rPr>
          <w:rFonts w:ascii="Times New Roman" w:hAnsi="Times New Roman" w:cs="Times New Roman"/>
          <w:sz w:val="24"/>
          <w:szCs w:val="24"/>
        </w:rPr>
        <w:t>Yakov</w:t>
      </w:r>
      <w:r>
        <w:rPr>
          <w:rFonts w:ascii="Times New Roman" w:hAnsi="Times New Roman" w:cs="Times New Roman"/>
          <w:sz w:val="24"/>
          <w:szCs w:val="24"/>
        </w:rPr>
        <w:t xml:space="preserve">’s IHT closed out services and recommended ABA instead. </w:t>
      </w:r>
    </w:p>
    <w:p w14:paraId="77F37B96" w14:textId="77777777" w:rsidR="00BB4D56" w:rsidRDefault="00BB4D56" w:rsidP="00BB4D56">
      <w:pPr>
        <w:pStyle w:val="ListParagraph"/>
        <w:ind w:left="1440"/>
        <w:rPr>
          <w:rFonts w:ascii="Times New Roman" w:hAnsi="Times New Roman" w:cs="Times New Roman"/>
          <w:sz w:val="24"/>
          <w:szCs w:val="24"/>
        </w:rPr>
      </w:pPr>
    </w:p>
    <w:p w14:paraId="1988E35C" w14:textId="2048E07F" w:rsidR="00BB4D56" w:rsidRDefault="00BB4D56"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Multiple providers of home-based services, including a </w:t>
      </w:r>
      <w:r w:rsidRPr="003361F6">
        <w:rPr>
          <w:rFonts w:ascii="Times New Roman" w:hAnsi="Times New Roman" w:cs="Times New Roman"/>
          <w:sz w:val="24"/>
          <w:szCs w:val="24"/>
        </w:rPr>
        <w:t>D</w:t>
      </w:r>
      <w:r w:rsidR="00402188" w:rsidRPr="003361F6">
        <w:rPr>
          <w:rFonts w:ascii="Times New Roman" w:hAnsi="Times New Roman" w:cs="Times New Roman"/>
          <w:sz w:val="24"/>
          <w:szCs w:val="24"/>
        </w:rPr>
        <w:t>DS</w:t>
      </w:r>
      <w:r>
        <w:rPr>
          <w:rFonts w:ascii="Times New Roman" w:hAnsi="Times New Roman" w:cs="Times New Roman"/>
          <w:sz w:val="24"/>
          <w:szCs w:val="24"/>
        </w:rPr>
        <w:t xml:space="preserve"> children’s service coordinator, attended Yakov’s annual review </w:t>
      </w:r>
      <w:r w:rsidR="00F1572B">
        <w:rPr>
          <w:rFonts w:ascii="Times New Roman" w:hAnsi="Times New Roman" w:cs="Times New Roman"/>
          <w:sz w:val="24"/>
          <w:szCs w:val="24"/>
        </w:rPr>
        <w:t xml:space="preserve">meeting </w:t>
      </w:r>
      <w:r>
        <w:rPr>
          <w:rFonts w:ascii="Times New Roman" w:hAnsi="Times New Roman" w:cs="Times New Roman"/>
          <w:sz w:val="24"/>
          <w:szCs w:val="24"/>
        </w:rPr>
        <w:t>on January 13, 2021. The Team proposed</w:t>
      </w:r>
      <w:r w:rsidR="00B91E58">
        <w:rPr>
          <w:rFonts w:ascii="Times New Roman" w:hAnsi="Times New Roman" w:cs="Times New Roman"/>
          <w:sz w:val="24"/>
          <w:szCs w:val="24"/>
        </w:rPr>
        <w:t xml:space="preserve"> </w:t>
      </w:r>
      <w:r w:rsidR="00F1572B">
        <w:rPr>
          <w:rFonts w:ascii="Times New Roman" w:hAnsi="Times New Roman" w:cs="Times New Roman"/>
          <w:sz w:val="24"/>
          <w:szCs w:val="24"/>
        </w:rPr>
        <w:t xml:space="preserve">continued placement in the COACh program and </w:t>
      </w:r>
      <w:r>
        <w:rPr>
          <w:rFonts w:ascii="Times New Roman" w:hAnsi="Times New Roman" w:cs="Times New Roman"/>
          <w:sz w:val="24"/>
          <w:szCs w:val="24"/>
        </w:rPr>
        <w:t>an extended evaluation at a private day schoo</w:t>
      </w:r>
      <w:r w:rsidR="00E33344">
        <w:rPr>
          <w:rFonts w:ascii="Times New Roman" w:hAnsi="Times New Roman" w:cs="Times New Roman"/>
          <w:sz w:val="24"/>
          <w:szCs w:val="24"/>
        </w:rPr>
        <w:t>l</w:t>
      </w:r>
      <w:r w:rsidR="00CF3C25">
        <w:rPr>
          <w:rFonts w:ascii="Times New Roman" w:hAnsi="Times New Roman" w:cs="Times New Roman"/>
          <w:sz w:val="24"/>
          <w:szCs w:val="24"/>
        </w:rPr>
        <w:t xml:space="preserve"> to gather more information about Yakov’s needs; he</w:t>
      </w:r>
      <w:r w:rsidR="00B91E58">
        <w:rPr>
          <w:rFonts w:ascii="Times New Roman" w:hAnsi="Times New Roman" w:cs="Times New Roman"/>
          <w:sz w:val="24"/>
          <w:szCs w:val="24"/>
        </w:rPr>
        <w:t xml:space="preserve"> continued to struggle </w:t>
      </w:r>
      <w:r w:rsidR="00CF3C25">
        <w:rPr>
          <w:rFonts w:ascii="Times New Roman" w:hAnsi="Times New Roman" w:cs="Times New Roman"/>
          <w:sz w:val="24"/>
          <w:szCs w:val="24"/>
        </w:rPr>
        <w:t>with remote learning</w:t>
      </w:r>
      <w:r w:rsidR="00D56118">
        <w:rPr>
          <w:rFonts w:ascii="Times New Roman" w:hAnsi="Times New Roman" w:cs="Times New Roman"/>
          <w:sz w:val="24"/>
          <w:szCs w:val="24"/>
        </w:rPr>
        <w:t>,</w:t>
      </w:r>
      <w:r w:rsidR="00CF3C25">
        <w:rPr>
          <w:rFonts w:ascii="Times New Roman" w:hAnsi="Times New Roman" w:cs="Times New Roman"/>
          <w:sz w:val="24"/>
          <w:szCs w:val="24"/>
        </w:rPr>
        <w:t xml:space="preserve"> and L</w:t>
      </w:r>
      <w:r w:rsidR="00F1572B">
        <w:rPr>
          <w:rFonts w:ascii="Times New Roman" w:hAnsi="Times New Roman" w:cs="Times New Roman"/>
          <w:sz w:val="24"/>
          <w:szCs w:val="24"/>
        </w:rPr>
        <w:t>PS</w:t>
      </w:r>
      <w:r w:rsidR="00CF3C25">
        <w:rPr>
          <w:rFonts w:ascii="Times New Roman" w:hAnsi="Times New Roman" w:cs="Times New Roman"/>
          <w:sz w:val="24"/>
          <w:szCs w:val="24"/>
        </w:rPr>
        <w:t xml:space="preserve"> </w:t>
      </w:r>
      <w:r w:rsidR="0080733B">
        <w:rPr>
          <w:rFonts w:ascii="Times New Roman" w:hAnsi="Times New Roman" w:cs="Times New Roman"/>
          <w:sz w:val="24"/>
          <w:szCs w:val="24"/>
        </w:rPr>
        <w:t>remained</w:t>
      </w:r>
      <w:r w:rsidR="00CF3C25">
        <w:rPr>
          <w:rFonts w:ascii="Times New Roman" w:hAnsi="Times New Roman" w:cs="Times New Roman"/>
          <w:sz w:val="24"/>
          <w:szCs w:val="24"/>
        </w:rPr>
        <w:t xml:space="preserve"> fully remote. Lynn t</w:t>
      </w:r>
      <w:r w:rsidR="00E33344">
        <w:rPr>
          <w:rFonts w:ascii="Times New Roman" w:hAnsi="Times New Roman" w:cs="Times New Roman"/>
          <w:sz w:val="24"/>
          <w:szCs w:val="24"/>
        </w:rPr>
        <w:t xml:space="preserve">hen mailed consent forms </w:t>
      </w:r>
      <w:r w:rsidR="00D56118">
        <w:rPr>
          <w:rFonts w:ascii="Times New Roman" w:hAnsi="Times New Roman" w:cs="Times New Roman"/>
          <w:sz w:val="24"/>
          <w:szCs w:val="24"/>
        </w:rPr>
        <w:t>to Parent f</w:t>
      </w:r>
      <w:r w:rsidR="00E33344">
        <w:rPr>
          <w:rFonts w:ascii="Times New Roman" w:hAnsi="Times New Roman" w:cs="Times New Roman"/>
          <w:sz w:val="24"/>
          <w:szCs w:val="24"/>
        </w:rPr>
        <w:t>or permission to send packets to several programs. The Team also proposed</w:t>
      </w:r>
      <w:r>
        <w:rPr>
          <w:rFonts w:ascii="Times New Roman" w:hAnsi="Times New Roman" w:cs="Times New Roman"/>
          <w:sz w:val="24"/>
          <w:szCs w:val="24"/>
        </w:rPr>
        <w:t xml:space="preserve"> behavioral consults to both staff and Parent. Parent rejected continued placement at LPS</w:t>
      </w:r>
      <w:r w:rsidR="00E33344">
        <w:rPr>
          <w:rFonts w:ascii="Times New Roman" w:hAnsi="Times New Roman" w:cs="Times New Roman"/>
          <w:sz w:val="24"/>
          <w:szCs w:val="24"/>
        </w:rPr>
        <w:t xml:space="preserve"> and rejected a parent consult because she felt home services in the past had not yielded results or progress.</w:t>
      </w:r>
    </w:p>
    <w:p w14:paraId="495813B9" w14:textId="08039862" w:rsidR="00BE0758" w:rsidRPr="00BE0758" w:rsidRDefault="00BE0758" w:rsidP="00BE0758">
      <w:pPr>
        <w:pStyle w:val="ListParagraph"/>
        <w:ind w:left="1440"/>
        <w:rPr>
          <w:rFonts w:ascii="Times New Roman" w:hAnsi="Times New Roman" w:cs="Times New Roman"/>
          <w:sz w:val="24"/>
          <w:szCs w:val="24"/>
        </w:rPr>
      </w:pPr>
    </w:p>
    <w:p w14:paraId="20031F55" w14:textId="26D92F65" w:rsidR="00BA4187" w:rsidRDefault="00BA4187" w:rsidP="000D1B68">
      <w:pPr>
        <w:pStyle w:val="ListParagraph"/>
        <w:numPr>
          <w:ilvl w:val="0"/>
          <w:numId w:val="1"/>
        </w:numPr>
        <w:ind w:left="1440" w:hanging="720"/>
        <w:rPr>
          <w:rFonts w:ascii="Times New Roman" w:hAnsi="Times New Roman" w:cs="Times New Roman"/>
          <w:sz w:val="24"/>
          <w:szCs w:val="24"/>
        </w:rPr>
      </w:pPr>
      <w:r w:rsidRPr="00BA4187">
        <w:rPr>
          <w:rFonts w:ascii="Times New Roman" w:hAnsi="Times New Roman" w:cs="Times New Roman"/>
          <w:sz w:val="24"/>
          <w:szCs w:val="24"/>
        </w:rPr>
        <w:t xml:space="preserve">A week later, Parent informed the District that she was opting out of </w:t>
      </w:r>
      <w:r w:rsidR="00323179">
        <w:rPr>
          <w:rFonts w:ascii="Times New Roman" w:hAnsi="Times New Roman" w:cs="Times New Roman"/>
          <w:sz w:val="24"/>
          <w:szCs w:val="24"/>
        </w:rPr>
        <w:t xml:space="preserve">all offered </w:t>
      </w:r>
      <w:r w:rsidRPr="00BA4187">
        <w:rPr>
          <w:rFonts w:ascii="Times New Roman" w:hAnsi="Times New Roman" w:cs="Times New Roman"/>
          <w:sz w:val="24"/>
          <w:szCs w:val="24"/>
        </w:rPr>
        <w:t>home services</w:t>
      </w:r>
      <w:r w:rsidR="002467DA">
        <w:rPr>
          <w:rFonts w:ascii="Times New Roman" w:hAnsi="Times New Roman" w:cs="Times New Roman"/>
          <w:sz w:val="24"/>
          <w:szCs w:val="24"/>
        </w:rPr>
        <w:t xml:space="preserve"> Lynn had offered </w:t>
      </w:r>
      <w:r w:rsidRPr="00BA4187">
        <w:rPr>
          <w:rFonts w:ascii="Times New Roman" w:hAnsi="Times New Roman" w:cs="Times New Roman"/>
          <w:sz w:val="24"/>
          <w:szCs w:val="24"/>
        </w:rPr>
        <w:t xml:space="preserve">for multiple reasons. </w:t>
      </w:r>
      <w:r>
        <w:rPr>
          <w:rFonts w:ascii="Times New Roman" w:hAnsi="Times New Roman" w:cs="Times New Roman"/>
          <w:sz w:val="24"/>
          <w:szCs w:val="24"/>
        </w:rPr>
        <w:t xml:space="preserve">She is </w:t>
      </w:r>
      <w:r w:rsidRPr="00BA4187">
        <w:rPr>
          <w:rFonts w:ascii="Times New Roman" w:hAnsi="Times New Roman" w:cs="Times New Roman"/>
          <w:sz w:val="24"/>
          <w:szCs w:val="24"/>
        </w:rPr>
        <w:t>Yakov’s sole caretaker, has been diagnosed with COPD</w:t>
      </w:r>
      <w:r>
        <w:rPr>
          <w:rFonts w:ascii="Times New Roman" w:hAnsi="Times New Roman" w:cs="Times New Roman"/>
          <w:sz w:val="24"/>
          <w:szCs w:val="24"/>
        </w:rPr>
        <w:t>,</w:t>
      </w:r>
      <w:r w:rsidRPr="00BA4187">
        <w:rPr>
          <w:rFonts w:ascii="Times New Roman" w:hAnsi="Times New Roman" w:cs="Times New Roman"/>
          <w:sz w:val="24"/>
          <w:szCs w:val="24"/>
        </w:rPr>
        <w:t xml:space="preserve"> and has been told by her medical providers that COVID would be very dangerous for her.</w:t>
      </w:r>
      <w:r>
        <w:rPr>
          <w:rFonts w:ascii="Times New Roman" w:hAnsi="Times New Roman" w:cs="Times New Roman"/>
          <w:sz w:val="24"/>
          <w:szCs w:val="24"/>
        </w:rPr>
        <w:t xml:space="preserve"> She stated that she did not want people in her home. Moreover, she believed that </w:t>
      </w:r>
      <w:r w:rsidR="00D56118">
        <w:rPr>
          <w:rFonts w:ascii="Times New Roman" w:hAnsi="Times New Roman" w:cs="Times New Roman"/>
          <w:sz w:val="24"/>
          <w:szCs w:val="24"/>
        </w:rPr>
        <w:t xml:space="preserve">past </w:t>
      </w:r>
      <w:r>
        <w:rPr>
          <w:rFonts w:ascii="Times New Roman" w:hAnsi="Times New Roman" w:cs="Times New Roman"/>
          <w:sz w:val="24"/>
          <w:szCs w:val="24"/>
        </w:rPr>
        <w:t xml:space="preserve">home services with multiple providers had not </w:t>
      </w:r>
      <w:r w:rsidR="00F1572B">
        <w:rPr>
          <w:rFonts w:ascii="Times New Roman" w:hAnsi="Times New Roman" w:cs="Times New Roman"/>
          <w:sz w:val="24"/>
          <w:szCs w:val="24"/>
        </w:rPr>
        <w:t xml:space="preserve">resulted in </w:t>
      </w:r>
      <w:r>
        <w:rPr>
          <w:rFonts w:ascii="Times New Roman" w:hAnsi="Times New Roman" w:cs="Times New Roman"/>
          <w:sz w:val="24"/>
          <w:szCs w:val="24"/>
        </w:rPr>
        <w:t>progress, and that Yakov needed another level of services. On January 27, 2021, Parent consented to referral packets</w:t>
      </w:r>
      <w:r w:rsidR="006D102B">
        <w:rPr>
          <w:rFonts w:ascii="Times New Roman" w:hAnsi="Times New Roman" w:cs="Times New Roman"/>
          <w:sz w:val="24"/>
          <w:szCs w:val="24"/>
        </w:rPr>
        <w:t xml:space="preserve"> for an extended evaluation</w:t>
      </w:r>
      <w:r>
        <w:rPr>
          <w:rFonts w:ascii="Times New Roman" w:hAnsi="Times New Roman" w:cs="Times New Roman"/>
          <w:sz w:val="24"/>
          <w:szCs w:val="24"/>
        </w:rPr>
        <w:t>, and on February 8, 2021, she provided the Team with the MDEC Report.</w:t>
      </w:r>
      <w:r w:rsidR="00B91E58">
        <w:rPr>
          <w:rFonts w:ascii="Times New Roman" w:hAnsi="Times New Roman" w:cs="Times New Roman"/>
          <w:sz w:val="24"/>
          <w:szCs w:val="24"/>
        </w:rPr>
        <w:t xml:space="preserve"> The Team agreed to review that Report at the same time it discussed the results from the extended evaluation.</w:t>
      </w:r>
    </w:p>
    <w:p w14:paraId="268F2B92" w14:textId="77777777" w:rsidR="009C4AE9" w:rsidRPr="009C4AE9" w:rsidRDefault="009C4AE9" w:rsidP="009C4AE9">
      <w:pPr>
        <w:pStyle w:val="ListParagraph"/>
        <w:ind w:left="1440"/>
        <w:rPr>
          <w:rFonts w:ascii="Times New Roman" w:hAnsi="Times New Roman" w:cs="Times New Roman"/>
          <w:sz w:val="24"/>
          <w:szCs w:val="24"/>
        </w:rPr>
      </w:pPr>
    </w:p>
    <w:p w14:paraId="0B1EF1BB" w14:textId="54E94DF1" w:rsidR="00BA4187" w:rsidRDefault="0062074F"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Between February and May </w:t>
      </w:r>
      <w:r w:rsidRPr="002467DA">
        <w:rPr>
          <w:rFonts w:ascii="Times New Roman" w:hAnsi="Times New Roman" w:cs="Times New Roman"/>
          <w:sz w:val="24"/>
          <w:szCs w:val="24"/>
        </w:rPr>
        <w:t>2021, additional transitions</w:t>
      </w:r>
      <w:r w:rsidR="0080733B">
        <w:rPr>
          <w:rFonts w:ascii="Times New Roman" w:hAnsi="Times New Roman" w:cs="Times New Roman"/>
          <w:sz w:val="24"/>
          <w:szCs w:val="24"/>
        </w:rPr>
        <w:t xml:space="preserve"> occurred</w:t>
      </w:r>
      <w:r w:rsidRPr="002467DA">
        <w:rPr>
          <w:rFonts w:ascii="Times New Roman" w:hAnsi="Times New Roman" w:cs="Times New Roman"/>
          <w:sz w:val="24"/>
          <w:szCs w:val="24"/>
        </w:rPr>
        <w:t xml:space="preserve"> with Yakov’s </w:t>
      </w:r>
      <w:r w:rsidR="002467DA" w:rsidRPr="002467DA">
        <w:rPr>
          <w:rFonts w:ascii="Times New Roman" w:hAnsi="Times New Roman" w:cs="Times New Roman"/>
          <w:sz w:val="24"/>
          <w:szCs w:val="24"/>
        </w:rPr>
        <w:t xml:space="preserve">community-based </w:t>
      </w:r>
      <w:r w:rsidRPr="002467DA">
        <w:rPr>
          <w:rFonts w:ascii="Times New Roman" w:hAnsi="Times New Roman" w:cs="Times New Roman"/>
          <w:sz w:val="24"/>
          <w:szCs w:val="24"/>
        </w:rPr>
        <w:t>in-home service providers.</w:t>
      </w:r>
      <w:r w:rsidR="003D20DE">
        <w:rPr>
          <w:rFonts w:ascii="Times New Roman" w:hAnsi="Times New Roman" w:cs="Times New Roman"/>
          <w:sz w:val="24"/>
          <w:szCs w:val="24"/>
        </w:rPr>
        <w:t xml:space="preserve"> In June 2021, he began working </w:t>
      </w:r>
      <w:r w:rsidR="00F510CD">
        <w:rPr>
          <w:rFonts w:ascii="Times New Roman" w:hAnsi="Times New Roman" w:cs="Times New Roman"/>
          <w:sz w:val="24"/>
          <w:szCs w:val="24"/>
        </w:rPr>
        <w:t xml:space="preserve">with </w:t>
      </w:r>
      <w:r w:rsidR="003D20DE">
        <w:rPr>
          <w:rFonts w:ascii="Times New Roman" w:hAnsi="Times New Roman" w:cs="Times New Roman"/>
          <w:sz w:val="24"/>
          <w:szCs w:val="24"/>
        </w:rPr>
        <w:t>an ABA therapist through a community-based provider, Positive Behavior Supports.</w:t>
      </w:r>
    </w:p>
    <w:p w14:paraId="000496DF" w14:textId="77777777" w:rsidR="0062074F" w:rsidRDefault="0062074F" w:rsidP="0062074F">
      <w:pPr>
        <w:pStyle w:val="ListParagraph"/>
        <w:ind w:left="1440"/>
        <w:rPr>
          <w:rFonts w:ascii="Times New Roman" w:hAnsi="Times New Roman" w:cs="Times New Roman"/>
          <w:sz w:val="24"/>
          <w:szCs w:val="24"/>
        </w:rPr>
      </w:pPr>
    </w:p>
    <w:p w14:paraId="57032D94" w14:textId="421381D7" w:rsidR="00CF1767" w:rsidRDefault="003D20DE"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the meantime,</w:t>
      </w:r>
      <w:r w:rsidR="000D1B68">
        <w:rPr>
          <w:rFonts w:ascii="Times New Roman" w:hAnsi="Times New Roman" w:cs="Times New Roman"/>
          <w:sz w:val="24"/>
          <w:szCs w:val="24"/>
        </w:rPr>
        <w:t xml:space="preserve"> no program had been identified that had accepted Yakov, had availability for a timely extended evaluation, and was acceptable to Parent.</w:t>
      </w:r>
      <w:r>
        <w:rPr>
          <w:rFonts w:ascii="Times New Roman" w:hAnsi="Times New Roman" w:cs="Times New Roman"/>
          <w:sz w:val="24"/>
          <w:szCs w:val="24"/>
        </w:rPr>
        <w:t xml:space="preserve"> </w:t>
      </w:r>
      <w:r w:rsidR="000D1B68">
        <w:rPr>
          <w:rFonts w:ascii="Times New Roman" w:hAnsi="Times New Roman" w:cs="Times New Roman"/>
          <w:sz w:val="24"/>
          <w:szCs w:val="24"/>
        </w:rPr>
        <w:lastRenderedPageBreak/>
        <w:t>F</w:t>
      </w:r>
      <w:r w:rsidR="0062074F">
        <w:rPr>
          <w:rFonts w:ascii="Times New Roman" w:hAnsi="Times New Roman" w:cs="Times New Roman"/>
          <w:sz w:val="24"/>
          <w:szCs w:val="24"/>
        </w:rPr>
        <w:t>ollowing mediation</w:t>
      </w:r>
      <w:r w:rsidR="00471FB4">
        <w:rPr>
          <w:rFonts w:ascii="Times New Roman" w:hAnsi="Times New Roman" w:cs="Times New Roman"/>
          <w:sz w:val="24"/>
          <w:szCs w:val="24"/>
        </w:rPr>
        <w:t xml:space="preserve"> with the BSEA</w:t>
      </w:r>
      <w:r w:rsidR="0062074F">
        <w:rPr>
          <w:rFonts w:ascii="Times New Roman" w:hAnsi="Times New Roman" w:cs="Times New Roman"/>
          <w:sz w:val="24"/>
          <w:szCs w:val="24"/>
        </w:rPr>
        <w:t xml:space="preserve">, the District and Parent agreed to independent testing and observation by </w:t>
      </w:r>
      <w:r w:rsidR="009456DC">
        <w:rPr>
          <w:rFonts w:ascii="Times New Roman" w:hAnsi="Times New Roman" w:cs="Times New Roman"/>
          <w:sz w:val="24"/>
          <w:szCs w:val="24"/>
        </w:rPr>
        <w:t>Ms. Timmel.</w:t>
      </w:r>
      <w:r w:rsidR="0062074F">
        <w:rPr>
          <w:rFonts w:ascii="Times New Roman" w:hAnsi="Times New Roman" w:cs="Times New Roman"/>
          <w:sz w:val="24"/>
          <w:szCs w:val="24"/>
        </w:rPr>
        <w:t xml:space="preserve"> The evaluation was conducted in April 2021, and the observation in July 2021 during Yakov’s Extended School Year programming.</w:t>
      </w:r>
      <w:r w:rsidR="00B91E58">
        <w:rPr>
          <w:rFonts w:ascii="Times New Roman" w:hAnsi="Times New Roman" w:cs="Times New Roman"/>
          <w:sz w:val="24"/>
          <w:szCs w:val="24"/>
        </w:rPr>
        <w:t xml:space="preserve"> Lynn then hired Ms. Timmel to remain involved with Yakov’s educational program and consult with his Team members.</w:t>
      </w:r>
    </w:p>
    <w:p w14:paraId="27E8BB70" w14:textId="77777777" w:rsidR="00F63115" w:rsidRDefault="00F63115" w:rsidP="00F63115">
      <w:pPr>
        <w:pStyle w:val="ListParagraph"/>
        <w:ind w:left="1440"/>
        <w:rPr>
          <w:rFonts w:ascii="Times New Roman" w:hAnsi="Times New Roman" w:cs="Times New Roman"/>
          <w:sz w:val="24"/>
          <w:szCs w:val="24"/>
        </w:rPr>
      </w:pPr>
    </w:p>
    <w:p w14:paraId="39E736B2" w14:textId="155FFC75" w:rsidR="00F63115" w:rsidRDefault="003D20DE"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Yakov began the 2021-2022 school year at Lynn Classical High School</w:t>
      </w:r>
      <w:r w:rsidR="008701E1">
        <w:rPr>
          <w:rFonts w:ascii="Times New Roman" w:hAnsi="Times New Roman" w:cs="Times New Roman"/>
          <w:sz w:val="24"/>
          <w:szCs w:val="24"/>
        </w:rPr>
        <w:t>, and he struggled to attend</w:t>
      </w:r>
      <w:r>
        <w:rPr>
          <w:rFonts w:ascii="Times New Roman" w:hAnsi="Times New Roman" w:cs="Times New Roman"/>
          <w:sz w:val="24"/>
          <w:szCs w:val="24"/>
        </w:rPr>
        <w:t>. His program was changed from COACh to TLC</w:t>
      </w:r>
      <w:r w:rsidR="00CF3C25">
        <w:rPr>
          <w:rFonts w:ascii="Times New Roman" w:hAnsi="Times New Roman" w:cs="Times New Roman"/>
          <w:sz w:val="24"/>
          <w:szCs w:val="24"/>
        </w:rPr>
        <w:t>, a substantially separate program with a high staff to student ratio</w:t>
      </w:r>
      <w:r>
        <w:rPr>
          <w:rFonts w:ascii="Times New Roman" w:hAnsi="Times New Roman" w:cs="Times New Roman"/>
          <w:sz w:val="24"/>
          <w:szCs w:val="24"/>
        </w:rPr>
        <w:t>. TLC has no more than 15 students for core academics</w:t>
      </w:r>
      <w:r w:rsidR="00471FB4">
        <w:rPr>
          <w:rFonts w:ascii="Times New Roman" w:hAnsi="Times New Roman" w:cs="Times New Roman"/>
          <w:sz w:val="24"/>
          <w:szCs w:val="24"/>
        </w:rPr>
        <w:t>, and</w:t>
      </w:r>
      <w:r>
        <w:rPr>
          <w:rFonts w:ascii="Times New Roman" w:hAnsi="Times New Roman" w:cs="Times New Roman"/>
          <w:sz w:val="24"/>
          <w:szCs w:val="24"/>
        </w:rPr>
        <w:t xml:space="preserve"> students </w:t>
      </w:r>
      <w:r w:rsidR="00CF3C25">
        <w:rPr>
          <w:rFonts w:ascii="Times New Roman" w:hAnsi="Times New Roman" w:cs="Times New Roman"/>
          <w:sz w:val="24"/>
          <w:szCs w:val="24"/>
        </w:rPr>
        <w:t xml:space="preserve">are integrated for </w:t>
      </w:r>
      <w:r>
        <w:rPr>
          <w:rFonts w:ascii="Times New Roman" w:hAnsi="Times New Roman" w:cs="Times New Roman"/>
          <w:sz w:val="24"/>
          <w:szCs w:val="24"/>
        </w:rPr>
        <w:t>electives in the general education setting with about 30 students per class. Yakov</w:t>
      </w:r>
      <w:r w:rsidR="009C4AE9">
        <w:rPr>
          <w:rFonts w:ascii="Times New Roman" w:hAnsi="Times New Roman" w:cs="Times New Roman"/>
          <w:sz w:val="24"/>
          <w:szCs w:val="24"/>
        </w:rPr>
        <w:t xml:space="preserve"> shares a </w:t>
      </w:r>
      <w:r>
        <w:rPr>
          <w:rFonts w:ascii="Times New Roman" w:hAnsi="Times New Roman" w:cs="Times New Roman"/>
          <w:sz w:val="24"/>
          <w:szCs w:val="24"/>
        </w:rPr>
        <w:t xml:space="preserve">paraprofessional with one other student. </w:t>
      </w:r>
    </w:p>
    <w:p w14:paraId="37DD991C" w14:textId="77777777" w:rsidR="00BE1012" w:rsidRDefault="00BE1012" w:rsidP="00BE1012">
      <w:pPr>
        <w:pStyle w:val="ListParagraph"/>
        <w:ind w:left="1440"/>
        <w:rPr>
          <w:rFonts w:ascii="Times New Roman" w:hAnsi="Times New Roman" w:cs="Times New Roman"/>
          <w:sz w:val="24"/>
          <w:szCs w:val="24"/>
        </w:rPr>
      </w:pPr>
    </w:p>
    <w:p w14:paraId="1F46252A" w14:textId="542B1708" w:rsidR="00BE1012" w:rsidRDefault="0067700C"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Around the beginning of the school year, Parent noticed increased anxiety and had to call Mobile Crisis on September 20, 26, and 27, 2021 due to unsafe behaviors in the home as well as homicidal and suicidal threats. </w:t>
      </w:r>
      <w:r w:rsidR="00F1572B">
        <w:rPr>
          <w:rFonts w:ascii="Times New Roman" w:hAnsi="Times New Roman" w:cs="Times New Roman"/>
          <w:sz w:val="24"/>
          <w:szCs w:val="24"/>
        </w:rPr>
        <w:t>Yakov</w:t>
      </w:r>
      <w:r>
        <w:rPr>
          <w:rFonts w:ascii="Times New Roman" w:hAnsi="Times New Roman" w:cs="Times New Roman"/>
          <w:sz w:val="24"/>
          <w:szCs w:val="24"/>
        </w:rPr>
        <w:t xml:space="preserve"> was admitted to the Epstein Center Child Psychiatry Unit after the third occasion.</w:t>
      </w:r>
    </w:p>
    <w:p w14:paraId="5F4E280C" w14:textId="77777777" w:rsidR="00F63115" w:rsidRDefault="00F63115" w:rsidP="00F63115">
      <w:pPr>
        <w:pStyle w:val="ListParagraph"/>
        <w:ind w:left="1440"/>
        <w:rPr>
          <w:rFonts w:ascii="Times New Roman" w:hAnsi="Times New Roman" w:cs="Times New Roman"/>
          <w:sz w:val="24"/>
          <w:szCs w:val="24"/>
        </w:rPr>
      </w:pPr>
    </w:p>
    <w:p w14:paraId="1207AE45" w14:textId="2D7BAF14" w:rsidR="00BE0758" w:rsidRDefault="0067700C" w:rsidP="00C13A6F">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Ms. Timmel attended Yakov’s Team meeting on September 27, 2021, at which time she had not completed her written report. She stressed concerns regarding his safety in the home and community and his inability to generalize skills</w:t>
      </w:r>
      <w:r w:rsidR="008701E1">
        <w:rPr>
          <w:rFonts w:ascii="Times New Roman" w:hAnsi="Times New Roman" w:cs="Times New Roman"/>
          <w:sz w:val="24"/>
          <w:szCs w:val="24"/>
        </w:rPr>
        <w:t>, but stated that she believed Lynn’s program was appropriate for Yakov</w:t>
      </w:r>
      <w:r>
        <w:rPr>
          <w:rFonts w:ascii="Times New Roman" w:hAnsi="Times New Roman" w:cs="Times New Roman"/>
          <w:sz w:val="24"/>
          <w:szCs w:val="24"/>
        </w:rPr>
        <w:t xml:space="preserve">. </w:t>
      </w:r>
      <w:r w:rsidR="008701E1">
        <w:rPr>
          <w:rFonts w:ascii="Times New Roman" w:hAnsi="Times New Roman" w:cs="Times New Roman"/>
          <w:sz w:val="24"/>
          <w:szCs w:val="24"/>
        </w:rPr>
        <w:t xml:space="preserve">Ms. Timmel recommended home services for Yakov and expressed a preference for those services being provided by the District rather than another agency. </w:t>
      </w:r>
      <w:r>
        <w:rPr>
          <w:rFonts w:ascii="Times New Roman" w:hAnsi="Times New Roman" w:cs="Times New Roman"/>
          <w:sz w:val="24"/>
          <w:szCs w:val="24"/>
        </w:rPr>
        <w:t xml:space="preserve">She </w:t>
      </w:r>
      <w:r w:rsidR="008701E1">
        <w:rPr>
          <w:rFonts w:ascii="Times New Roman" w:hAnsi="Times New Roman" w:cs="Times New Roman"/>
          <w:sz w:val="24"/>
          <w:szCs w:val="24"/>
        </w:rPr>
        <w:t xml:space="preserve">also </w:t>
      </w:r>
      <w:r>
        <w:rPr>
          <w:rFonts w:ascii="Times New Roman" w:hAnsi="Times New Roman" w:cs="Times New Roman"/>
          <w:sz w:val="24"/>
          <w:szCs w:val="24"/>
        </w:rPr>
        <w:t>recommended an extended evaluation in a residential setting</w:t>
      </w:r>
      <w:r w:rsidR="008701E1">
        <w:rPr>
          <w:rFonts w:ascii="Times New Roman" w:hAnsi="Times New Roman" w:cs="Times New Roman"/>
          <w:sz w:val="24"/>
          <w:szCs w:val="24"/>
        </w:rPr>
        <w:t>, in light of safety concerns and Parent’s medical condition</w:t>
      </w:r>
      <w:r>
        <w:rPr>
          <w:rFonts w:ascii="Times New Roman" w:hAnsi="Times New Roman" w:cs="Times New Roman"/>
          <w:sz w:val="24"/>
          <w:szCs w:val="24"/>
        </w:rPr>
        <w:t xml:space="preserve">. Lynn rejected that option and proposed a re-entry plan with the School Adjustment Counselor and BCBA going to the family’s apartment </w:t>
      </w:r>
      <w:r w:rsidR="009518D6">
        <w:rPr>
          <w:rFonts w:ascii="Times New Roman" w:hAnsi="Times New Roman" w:cs="Times New Roman"/>
          <w:sz w:val="24"/>
          <w:szCs w:val="24"/>
        </w:rPr>
        <w:t xml:space="preserve">(but not inside) </w:t>
      </w:r>
      <w:r>
        <w:rPr>
          <w:rFonts w:ascii="Times New Roman" w:hAnsi="Times New Roman" w:cs="Times New Roman"/>
          <w:sz w:val="24"/>
          <w:szCs w:val="24"/>
        </w:rPr>
        <w:t>to assist Yakov in boarding the bus in the mornings.</w:t>
      </w:r>
      <w:r w:rsidR="008701E1">
        <w:rPr>
          <w:rFonts w:ascii="Times New Roman" w:hAnsi="Times New Roman" w:cs="Times New Roman"/>
          <w:sz w:val="24"/>
          <w:szCs w:val="24"/>
        </w:rPr>
        <w:t xml:space="preserve"> Parent accepted that plan but rejected a home assessment and additional services. Ms. Timmel planned to conduct an additional observation of Yakov when he was back in school before completing her written evaluation.</w:t>
      </w:r>
    </w:p>
    <w:p w14:paraId="5B518B26" w14:textId="77777777" w:rsidR="00000B9D" w:rsidRPr="00000B9D" w:rsidRDefault="00000B9D" w:rsidP="00000B9D">
      <w:pPr>
        <w:pStyle w:val="ListParagraph"/>
        <w:ind w:left="1440"/>
        <w:rPr>
          <w:rFonts w:ascii="Times New Roman" w:hAnsi="Times New Roman" w:cs="Times New Roman"/>
          <w:sz w:val="24"/>
          <w:szCs w:val="24"/>
        </w:rPr>
      </w:pPr>
    </w:p>
    <w:p w14:paraId="3F10A2AD" w14:textId="6682C9EE" w:rsidR="00141775" w:rsidRDefault="0067700C"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Yakov’s treatment team at Epstein reported that Yakov was displaying OCD behaviors, perseverating on school (particularly its size), and struggling with ADLs, especially around using the bathroom</w:t>
      </w:r>
      <w:r w:rsidR="00C93660">
        <w:rPr>
          <w:rFonts w:ascii="Times New Roman" w:hAnsi="Times New Roman" w:cs="Times New Roman"/>
          <w:sz w:val="24"/>
          <w:szCs w:val="24"/>
        </w:rPr>
        <w:t>. He was discharged from Epst</w:t>
      </w:r>
      <w:r w:rsidR="006D3075">
        <w:rPr>
          <w:rFonts w:ascii="Times New Roman" w:hAnsi="Times New Roman" w:cs="Times New Roman"/>
          <w:sz w:val="24"/>
          <w:szCs w:val="24"/>
        </w:rPr>
        <w:t xml:space="preserve">ein on </w:t>
      </w:r>
      <w:r w:rsidR="00C93660">
        <w:rPr>
          <w:rFonts w:ascii="Times New Roman" w:hAnsi="Times New Roman" w:cs="Times New Roman"/>
          <w:sz w:val="24"/>
          <w:szCs w:val="24"/>
        </w:rPr>
        <w:t>October 21, 2021.</w:t>
      </w:r>
    </w:p>
    <w:p w14:paraId="5A515594" w14:textId="77777777" w:rsidR="00F73FB4" w:rsidRDefault="00F73FB4" w:rsidP="00F73FB4">
      <w:pPr>
        <w:pStyle w:val="ListParagraph"/>
        <w:ind w:left="1440"/>
        <w:rPr>
          <w:rFonts w:ascii="Times New Roman" w:hAnsi="Times New Roman" w:cs="Times New Roman"/>
          <w:sz w:val="24"/>
          <w:szCs w:val="24"/>
        </w:rPr>
      </w:pPr>
    </w:p>
    <w:p w14:paraId="4EE1C7B4" w14:textId="3D835CE9" w:rsidR="00F73FB4" w:rsidRDefault="006D3075"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Shortly thereafter, Lynn’s BCBA and School Adjustment Counselor worked with Yakov at his home, getting him on the bus, through an incentive</w:t>
      </w:r>
      <w:r w:rsidR="00F510CD">
        <w:rPr>
          <w:rFonts w:ascii="Times New Roman" w:hAnsi="Times New Roman" w:cs="Times New Roman"/>
          <w:sz w:val="24"/>
          <w:szCs w:val="24"/>
        </w:rPr>
        <w:t xml:space="preserve"> plan</w:t>
      </w:r>
      <w:r>
        <w:rPr>
          <w:rFonts w:ascii="Times New Roman" w:hAnsi="Times New Roman" w:cs="Times New Roman"/>
          <w:sz w:val="24"/>
          <w:szCs w:val="24"/>
        </w:rPr>
        <w:t>. After a few weeks, these supports ended</w:t>
      </w:r>
      <w:r w:rsidR="009456DC">
        <w:rPr>
          <w:rFonts w:ascii="Times New Roman" w:hAnsi="Times New Roman" w:cs="Times New Roman"/>
          <w:sz w:val="24"/>
          <w:szCs w:val="24"/>
        </w:rPr>
        <w:t>.</w:t>
      </w:r>
    </w:p>
    <w:p w14:paraId="5C6E37E0" w14:textId="77777777" w:rsidR="006D3075" w:rsidRDefault="006D3075" w:rsidP="006D3075">
      <w:pPr>
        <w:pStyle w:val="ListParagraph"/>
        <w:ind w:left="1440"/>
        <w:rPr>
          <w:rFonts w:ascii="Times New Roman" w:hAnsi="Times New Roman" w:cs="Times New Roman"/>
          <w:sz w:val="24"/>
          <w:szCs w:val="24"/>
        </w:rPr>
      </w:pPr>
    </w:p>
    <w:p w14:paraId="7A62C5AC" w14:textId="14938980" w:rsidR="006D3075" w:rsidRDefault="006D3075"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In November, Yakov continued to have behavioral challenges at home; Parent called Mobile Crisis when he threatened to kill himself or run away. In December, </w:t>
      </w:r>
      <w:r>
        <w:rPr>
          <w:rFonts w:ascii="Times New Roman" w:hAnsi="Times New Roman" w:cs="Times New Roman"/>
          <w:sz w:val="24"/>
          <w:szCs w:val="24"/>
        </w:rPr>
        <w:lastRenderedPageBreak/>
        <w:t>Parent called Mobile Crisis on multiple occasions, and once Yakov called himself. He was psychiatrically screened at an emergency department on December 14, discharged December 16, and admitted to the hospital via a Section 12 on December 20, 2021. He remained hospitalized through January 10, 2022.</w:t>
      </w:r>
    </w:p>
    <w:p w14:paraId="56878D77" w14:textId="77777777" w:rsidR="002B7E28" w:rsidRDefault="002B7E28" w:rsidP="002B7E28">
      <w:pPr>
        <w:pStyle w:val="ListParagraph"/>
        <w:ind w:left="1440"/>
        <w:rPr>
          <w:rFonts w:ascii="Times New Roman" w:hAnsi="Times New Roman" w:cs="Times New Roman"/>
          <w:sz w:val="24"/>
          <w:szCs w:val="24"/>
        </w:rPr>
      </w:pPr>
    </w:p>
    <w:p w14:paraId="4727A6BD" w14:textId="739036C6" w:rsidR="002B7E28" w:rsidRDefault="006D3075"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DCF informed Parent that a new social worker would take over the case and discussed with her options such as filing a Child Requiring Assistance case in Juvenile Court. D</w:t>
      </w:r>
      <w:r w:rsidR="005D656F">
        <w:rPr>
          <w:rFonts w:ascii="Times New Roman" w:hAnsi="Times New Roman" w:cs="Times New Roman"/>
          <w:sz w:val="24"/>
          <w:szCs w:val="24"/>
        </w:rPr>
        <w:t xml:space="preserve">epartment representatives </w:t>
      </w:r>
      <w:r>
        <w:rPr>
          <w:rFonts w:ascii="Times New Roman" w:hAnsi="Times New Roman" w:cs="Times New Roman"/>
          <w:sz w:val="24"/>
          <w:szCs w:val="24"/>
        </w:rPr>
        <w:t xml:space="preserve">attended a hospital meeting on January 6, 2022 and reported that the Department would not support any out-of-home placement until in-home services had been exhausted. Parent agreed to the DCF worker’s plan to make another CBHI referral but </w:t>
      </w:r>
      <w:r w:rsidR="00D0445D">
        <w:rPr>
          <w:rFonts w:ascii="Times New Roman" w:hAnsi="Times New Roman" w:cs="Times New Roman"/>
          <w:sz w:val="24"/>
          <w:szCs w:val="24"/>
        </w:rPr>
        <w:t>reminded DCF that she had already engaged with these services.</w:t>
      </w:r>
      <w:r w:rsidR="009518D6">
        <w:rPr>
          <w:rFonts w:ascii="Times New Roman" w:hAnsi="Times New Roman" w:cs="Times New Roman"/>
          <w:sz w:val="24"/>
          <w:szCs w:val="24"/>
        </w:rPr>
        <w:t xml:space="preserve"> According to </w:t>
      </w:r>
      <w:r w:rsidR="005D656F">
        <w:rPr>
          <w:rFonts w:ascii="Times New Roman" w:hAnsi="Times New Roman" w:cs="Times New Roman"/>
          <w:sz w:val="24"/>
          <w:szCs w:val="24"/>
        </w:rPr>
        <w:t>LPS</w:t>
      </w:r>
      <w:r w:rsidR="009518D6">
        <w:rPr>
          <w:rFonts w:ascii="Times New Roman" w:hAnsi="Times New Roman" w:cs="Times New Roman"/>
          <w:sz w:val="24"/>
          <w:szCs w:val="24"/>
        </w:rPr>
        <w:t>, Parent has not permitted DCF to deliver</w:t>
      </w:r>
      <w:r w:rsidR="00F510CD">
        <w:rPr>
          <w:rFonts w:ascii="Times New Roman" w:hAnsi="Times New Roman" w:cs="Times New Roman"/>
          <w:sz w:val="24"/>
          <w:szCs w:val="24"/>
        </w:rPr>
        <w:t xml:space="preserve"> the</w:t>
      </w:r>
      <w:r w:rsidR="009518D6">
        <w:rPr>
          <w:rFonts w:ascii="Times New Roman" w:hAnsi="Times New Roman" w:cs="Times New Roman"/>
          <w:sz w:val="24"/>
          <w:szCs w:val="24"/>
        </w:rPr>
        <w:t xml:space="preserve"> in-home services it has offered, including a clinical team going into the home.</w:t>
      </w:r>
    </w:p>
    <w:p w14:paraId="3EF29EBC" w14:textId="77777777" w:rsidR="00B623A3" w:rsidRDefault="00B623A3" w:rsidP="00B623A3">
      <w:pPr>
        <w:pStyle w:val="ListParagraph"/>
        <w:ind w:left="1440"/>
        <w:rPr>
          <w:rFonts w:ascii="Times New Roman" w:hAnsi="Times New Roman" w:cs="Times New Roman"/>
          <w:sz w:val="24"/>
          <w:szCs w:val="24"/>
        </w:rPr>
      </w:pPr>
    </w:p>
    <w:p w14:paraId="085073CC" w14:textId="7E924BDA" w:rsidR="00B623A3" w:rsidRPr="00002828" w:rsidRDefault="00D0445D"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Yakov’s Team convened to discuss Ms. Timmel’s report on or about January 14, 2022, though Ms. Timmel had provided it earlier. Ms. Timmel indicated that it was difficult to reach a cohesive conclusion regarding Yakov’s educational programming, as his needs in all settings </w:t>
      </w:r>
      <w:r w:rsidR="00B3063E">
        <w:rPr>
          <w:rFonts w:ascii="Times New Roman" w:hAnsi="Times New Roman" w:cs="Times New Roman"/>
          <w:sz w:val="24"/>
          <w:szCs w:val="24"/>
        </w:rPr>
        <w:t xml:space="preserve">had </w:t>
      </w:r>
      <w:r>
        <w:rPr>
          <w:rFonts w:ascii="Times New Roman" w:hAnsi="Times New Roman" w:cs="Times New Roman"/>
          <w:sz w:val="24"/>
          <w:szCs w:val="24"/>
        </w:rPr>
        <w:t xml:space="preserve">to be met, and his safety and emotional well being had to be prioritized. She did recommend </w:t>
      </w:r>
      <w:r w:rsidR="00101C81">
        <w:rPr>
          <w:rFonts w:ascii="Times New Roman" w:hAnsi="Times New Roman" w:cs="Times New Roman"/>
          <w:sz w:val="24"/>
          <w:szCs w:val="24"/>
        </w:rPr>
        <w:t>a smaller, highly structured exposure to learning both academically and with respect to daily living, direct services in the therapeutic arena, and placement in learning and living environments that contain a therapeutic milieu.</w:t>
      </w:r>
    </w:p>
    <w:p w14:paraId="63858371" w14:textId="19D494A2" w:rsidR="00E375B7" w:rsidRPr="00CF1767" w:rsidRDefault="00F97A17" w:rsidP="00CF1767">
      <w:pPr>
        <w:pStyle w:val="ListParagraph"/>
        <w:rPr>
          <w:rFonts w:ascii="Times New Roman" w:hAnsi="Times New Roman" w:cs="Times New Roman"/>
          <w:sz w:val="24"/>
          <w:szCs w:val="24"/>
        </w:rPr>
      </w:pPr>
      <w:r w:rsidRPr="00002828">
        <w:rPr>
          <w:rFonts w:ascii="Times New Roman" w:hAnsi="Times New Roman" w:cs="Times New Roman"/>
          <w:sz w:val="24"/>
          <w:szCs w:val="24"/>
        </w:rPr>
        <w:tab/>
      </w:r>
    </w:p>
    <w:p w14:paraId="1D2A81AE" w14:textId="2DB7B6E8" w:rsidR="009518D6" w:rsidRPr="009518D6" w:rsidRDefault="00101C81" w:rsidP="009518D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During the January 14, 2022 Team meeting, Lynn again rejected Parent’s request for a residential placement or residential extended evaluation. The District proposed an in-home assessment by the May Institute, </w:t>
      </w:r>
      <w:r w:rsidR="0034029B">
        <w:rPr>
          <w:rFonts w:ascii="Times New Roman" w:hAnsi="Times New Roman" w:cs="Times New Roman"/>
          <w:sz w:val="24"/>
          <w:szCs w:val="24"/>
        </w:rPr>
        <w:t xml:space="preserve">to </w:t>
      </w:r>
      <w:r>
        <w:rPr>
          <w:rFonts w:ascii="Times New Roman" w:hAnsi="Times New Roman" w:cs="Times New Roman"/>
          <w:sz w:val="24"/>
          <w:szCs w:val="24"/>
        </w:rPr>
        <w:t>which Parent agreed, but Parent and Ms. Timmel asked for an assessment in a residential educational setting as well. Lynn proposed continued placement in the TLC Program at Classical High School and discussed ways in which the May Institute could work with Parent and Yakov following the assessment.</w:t>
      </w:r>
    </w:p>
    <w:p w14:paraId="323A47FE" w14:textId="77777777" w:rsidR="002B7E28" w:rsidRDefault="002B7E28" w:rsidP="002B7E28">
      <w:pPr>
        <w:pStyle w:val="ListParagraph"/>
        <w:ind w:left="1440"/>
        <w:rPr>
          <w:rFonts w:ascii="Times New Roman" w:hAnsi="Times New Roman" w:cs="Times New Roman"/>
          <w:sz w:val="24"/>
          <w:szCs w:val="24"/>
        </w:rPr>
      </w:pPr>
    </w:p>
    <w:p w14:paraId="416C9D0C" w14:textId="002E0843" w:rsidR="002B7E28" w:rsidRDefault="00101C81"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To date, Parent’s voice appears to be a trigger for Yakov, and despite her learning and using techniques with in-home service providers, Yakov continues to escalate to the point of aggression.</w:t>
      </w:r>
    </w:p>
    <w:p w14:paraId="00FFA5AB" w14:textId="77777777" w:rsidR="009518D6" w:rsidRDefault="009518D6" w:rsidP="009518D6">
      <w:pPr>
        <w:pStyle w:val="ListParagraph"/>
        <w:ind w:left="1440"/>
        <w:rPr>
          <w:rFonts w:ascii="Times New Roman" w:hAnsi="Times New Roman" w:cs="Times New Roman"/>
          <w:sz w:val="24"/>
          <w:szCs w:val="24"/>
        </w:rPr>
      </w:pPr>
    </w:p>
    <w:p w14:paraId="4DF8FDFD" w14:textId="50CF0650" w:rsidR="009518D6" w:rsidRDefault="009518D6" w:rsidP="009518D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Parent filed for Hearing on January 20, 2022; on the same date, Yakov’s </w:t>
      </w:r>
      <w:r w:rsidRPr="009518D6">
        <w:rPr>
          <w:rFonts w:ascii="Times New Roman" w:hAnsi="Times New Roman" w:cs="Times New Roman"/>
          <w:sz w:val="24"/>
          <w:szCs w:val="24"/>
        </w:rPr>
        <w:t>psychiatrist wrote a letter requesting that his recent absences be excused due to his unstable mental health condition.</w:t>
      </w:r>
    </w:p>
    <w:p w14:paraId="313213D0" w14:textId="77777777" w:rsidR="009518D6" w:rsidRDefault="009518D6" w:rsidP="009518D6">
      <w:pPr>
        <w:pStyle w:val="ListParagraph"/>
        <w:ind w:left="1440"/>
        <w:rPr>
          <w:rFonts w:ascii="Times New Roman" w:hAnsi="Times New Roman" w:cs="Times New Roman"/>
          <w:sz w:val="24"/>
          <w:szCs w:val="24"/>
        </w:rPr>
      </w:pPr>
    </w:p>
    <w:p w14:paraId="4B5B4590" w14:textId="2C8B972D" w:rsidR="009518D6" w:rsidRDefault="009518D6" w:rsidP="009518D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At Yakov’s Annual Review meeting, which convened on January 24, 2022, the Team formally proposed that the May Center conduct the home assessment and that home services be implemented immediately, 10 hours per week, subject to </w:t>
      </w:r>
      <w:r>
        <w:rPr>
          <w:rFonts w:ascii="Times New Roman" w:hAnsi="Times New Roman" w:cs="Times New Roman"/>
          <w:sz w:val="24"/>
          <w:szCs w:val="24"/>
        </w:rPr>
        <w:lastRenderedPageBreak/>
        <w:t>change based on May Center recommendations. The District also proposed supp</w:t>
      </w:r>
      <w:r w:rsidR="005D656F">
        <w:rPr>
          <w:rFonts w:ascii="Times New Roman" w:hAnsi="Times New Roman" w:cs="Times New Roman"/>
          <w:sz w:val="24"/>
          <w:szCs w:val="24"/>
        </w:rPr>
        <w:t>ort</w:t>
      </w:r>
      <w:r>
        <w:rPr>
          <w:rFonts w:ascii="Times New Roman" w:hAnsi="Times New Roman" w:cs="Times New Roman"/>
          <w:sz w:val="24"/>
          <w:szCs w:val="24"/>
        </w:rPr>
        <w:t xml:space="preserve"> for Yakov in the community to </w:t>
      </w:r>
      <w:r w:rsidR="005D656F">
        <w:rPr>
          <w:rFonts w:ascii="Times New Roman" w:hAnsi="Times New Roman" w:cs="Times New Roman"/>
          <w:sz w:val="24"/>
          <w:szCs w:val="24"/>
        </w:rPr>
        <w:t xml:space="preserve">promote </w:t>
      </w:r>
      <w:r>
        <w:rPr>
          <w:rFonts w:ascii="Times New Roman" w:hAnsi="Times New Roman" w:cs="Times New Roman"/>
          <w:sz w:val="24"/>
          <w:szCs w:val="24"/>
        </w:rPr>
        <w:t xml:space="preserve">generalization of skills. </w:t>
      </w:r>
    </w:p>
    <w:p w14:paraId="1EEC3D2E" w14:textId="77777777" w:rsidR="009931E7" w:rsidRDefault="009931E7" w:rsidP="009931E7">
      <w:pPr>
        <w:pStyle w:val="ListParagraph"/>
        <w:ind w:left="1440"/>
        <w:rPr>
          <w:rFonts w:ascii="Times New Roman" w:hAnsi="Times New Roman" w:cs="Times New Roman"/>
          <w:sz w:val="24"/>
          <w:szCs w:val="24"/>
        </w:rPr>
      </w:pPr>
    </w:p>
    <w:p w14:paraId="50154A8F" w14:textId="023374EA" w:rsidR="009931E7" w:rsidRDefault="009931E7" w:rsidP="009518D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Following this meeting, Parent declined a re-entry meeting, notified Lynn that Yakov would not be returning to school, a</w:t>
      </w:r>
      <w:r w:rsidR="005D656F">
        <w:rPr>
          <w:rFonts w:ascii="Times New Roman" w:hAnsi="Times New Roman" w:cs="Times New Roman"/>
          <w:sz w:val="24"/>
          <w:szCs w:val="24"/>
        </w:rPr>
        <w:t>n</w:t>
      </w:r>
      <w:r>
        <w:rPr>
          <w:rFonts w:ascii="Times New Roman" w:hAnsi="Times New Roman" w:cs="Times New Roman"/>
          <w:sz w:val="24"/>
          <w:szCs w:val="24"/>
        </w:rPr>
        <w:t xml:space="preserve">d submitted a Physician’s Affidavit for Home/Hospital Tutoring. </w:t>
      </w:r>
    </w:p>
    <w:p w14:paraId="2A136571" w14:textId="77777777" w:rsidR="009931E7" w:rsidRDefault="009931E7" w:rsidP="009931E7">
      <w:pPr>
        <w:pStyle w:val="ListParagraph"/>
        <w:ind w:left="1440"/>
        <w:rPr>
          <w:rFonts w:ascii="Times New Roman" w:hAnsi="Times New Roman" w:cs="Times New Roman"/>
          <w:sz w:val="24"/>
          <w:szCs w:val="24"/>
        </w:rPr>
      </w:pPr>
    </w:p>
    <w:p w14:paraId="00E40BC6" w14:textId="0B18E723" w:rsidR="009931E7" w:rsidRDefault="00F1572B" w:rsidP="009518D6">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Although </w:t>
      </w:r>
      <w:r w:rsidR="009931E7">
        <w:rPr>
          <w:rFonts w:ascii="Times New Roman" w:hAnsi="Times New Roman" w:cs="Times New Roman"/>
          <w:sz w:val="24"/>
          <w:szCs w:val="24"/>
        </w:rPr>
        <w:t>DCF has maintained an open clinical case with Yakov and his mother since December 2020</w:t>
      </w:r>
      <w:r>
        <w:rPr>
          <w:rFonts w:ascii="Times New Roman" w:hAnsi="Times New Roman" w:cs="Times New Roman"/>
          <w:sz w:val="24"/>
          <w:szCs w:val="24"/>
        </w:rPr>
        <w:t>, the Department does not have care or custody of him</w:t>
      </w:r>
      <w:r w:rsidR="009931E7">
        <w:rPr>
          <w:rFonts w:ascii="Times New Roman" w:hAnsi="Times New Roman" w:cs="Times New Roman"/>
          <w:sz w:val="24"/>
          <w:szCs w:val="24"/>
        </w:rPr>
        <w:t>. The current DCF social worker has attended treatment planning meetings for Yakov during inpatient psychiatric hospitalizations and attended his most recent Team meeting.</w:t>
      </w:r>
    </w:p>
    <w:p w14:paraId="5567F10C" w14:textId="77777777" w:rsidR="005D656F" w:rsidRPr="009518D6" w:rsidRDefault="005D656F" w:rsidP="005D656F">
      <w:pPr>
        <w:pStyle w:val="ListParagraph"/>
        <w:ind w:left="1440"/>
        <w:rPr>
          <w:rFonts w:ascii="Times New Roman" w:hAnsi="Times New Roman" w:cs="Times New Roman"/>
          <w:sz w:val="24"/>
          <w:szCs w:val="24"/>
        </w:rPr>
      </w:pPr>
    </w:p>
    <w:p w14:paraId="06A3DEF5" w14:textId="09B9331D" w:rsidR="00D65D85" w:rsidRPr="00D65D85" w:rsidRDefault="00FB7FB4" w:rsidP="0068476E">
      <w:pPr>
        <w:pStyle w:val="NormalWeb"/>
        <w:textAlignment w:val="baseline"/>
        <w:rPr>
          <w:color w:val="000000"/>
        </w:rPr>
      </w:pPr>
      <w:r>
        <w:rPr>
          <w:color w:val="000000"/>
          <w:u w:val="single"/>
        </w:rPr>
        <w:t>LEGAL STANDARDS</w:t>
      </w:r>
    </w:p>
    <w:p w14:paraId="091FC16C" w14:textId="7FADF17C" w:rsidR="0068476E" w:rsidRDefault="0068476E" w:rsidP="0068476E">
      <w:pPr>
        <w:pStyle w:val="NormalWeb"/>
        <w:spacing w:before="0" w:beforeAutospacing="0" w:after="0" w:afterAutospacing="0"/>
        <w:textAlignment w:val="baseline"/>
        <w:rPr>
          <w:color w:val="000000"/>
        </w:rPr>
      </w:pPr>
      <w:r>
        <w:rPr>
          <w:color w:val="000000"/>
        </w:rPr>
        <w:tab/>
      </w:r>
      <w:r w:rsidR="009569FC" w:rsidRPr="009569FC">
        <w:rPr>
          <w:color w:val="000000"/>
        </w:rPr>
        <w:t>The BSEA has jurisdiction to resolve “differences of opinion among school districts, private schools, parents, and state agencies.”</w:t>
      </w:r>
      <w:r w:rsidR="009569FC">
        <w:rPr>
          <w:rStyle w:val="FootnoteReference"/>
          <w:color w:val="000000"/>
        </w:rPr>
        <w:footnoteReference w:id="5"/>
      </w:r>
      <w:r w:rsidR="009569FC" w:rsidRPr="009569FC">
        <w:rPr>
          <w:color w:val="000000"/>
        </w:rPr>
        <w:t xml:space="preserve"> </w:t>
      </w:r>
      <w:r>
        <w:rPr>
          <w:color w:val="000000"/>
        </w:rPr>
        <w:t xml:space="preserve">The </w:t>
      </w:r>
      <w:r w:rsidR="00E93C8B">
        <w:rPr>
          <w:color w:val="000000"/>
        </w:rPr>
        <w:t>o</w:t>
      </w:r>
      <w:r>
        <w:rPr>
          <w:color w:val="000000"/>
        </w:rPr>
        <w:t xml:space="preserve">utcome of </w:t>
      </w:r>
      <w:r w:rsidR="009931E7">
        <w:rPr>
          <w:color w:val="000000"/>
        </w:rPr>
        <w:t>Parent</w:t>
      </w:r>
      <w:r>
        <w:rPr>
          <w:color w:val="000000"/>
        </w:rPr>
        <w:t xml:space="preserve">’s </w:t>
      </w:r>
      <w:r w:rsidRPr="0068476E">
        <w:rPr>
          <w:i/>
          <w:iCs/>
          <w:color w:val="000000"/>
        </w:rPr>
        <w:t xml:space="preserve">Motion to Join </w:t>
      </w:r>
      <w:r w:rsidR="002B72FD">
        <w:rPr>
          <w:i/>
          <w:iCs/>
          <w:color w:val="000000"/>
        </w:rPr>
        <w:t>the Department of Children and Families</w:t>
      </w:r>
      <w:r>
        <w:rPr>
          <w:color w:val="000000"/>
        </w:rPr>
        <w:t xml:space="preserve"> </w:t>
      </w:r>
      <w:r w:rsidR="002B72FD">
        <w:rPr>
          <w:color w:val="000000"/>
        </w:rPr>
        <w:t>is</w:t>
      </w:r>
      <w:r>
        <w:rPr>
          <w:color w:val="000000"/>
        </w:rPr>
        <w:t xml:space="preserve"> governed by the BSEA rules for joinder. Pursuant to BSEA </w:t>
      </w:r>
      <w:r w:rsidRPr="0068476E">
        <w:rPr>
          <w:i/>
          <w:iCs/>
          <w:color w:val="000000"/>
        </w:rPr>
        <w:t>Hearing Rule</w:t>
      </w:r>
      <w:r>
        <w:rPr>
          <w:color w:val="000000"/>
        </w:rPr>
        <w:t xml:space="preserve"> I(J):  </w:t>
      </w:r>
    </w:p>
    <w:p w14:paraId="6D67CEFC" w14:textId="5C5F10C4" w:rsidR="0068476E" w:rsidRDefault="0068476E" w:rsidP="0068476E">
      <w:pPr>
        <w:pStyle w:val="NormalWeb"/>
        <w:spacing w:before="0" w:beforeAutospacing="0" w:after="0" w:afterAutospacing="0"/>
        <w:textAlignment w:val="baseline"/>
        <w:rPr>
          <w:color w:val="000000"/>
        </w:rPr>
      </w:pPr>
    </w:p>
    <w:p w14:paraId="301C27B9" w14:textId="77777777" w:rsidR="0068476E" w:rsidRDefault="0068476E" w:rsidP="0068476E">
      <w:pPr>
        <w:pStyle w:val="NoSpacing"/>
        <w:ind w:left="1440"/>
        <w:rPr>
          <w:rFonts w:ascii="Times New Roman" w:hAnsi="Times New Roman" w:cs="Times New Roman"/>
          <w:sz w:val="24"/>
          <w:szCs w:val="24"/>
        </w:rPr>
      </w:pPr>
      <w:r>
        <w:rPr>
          <w:rFonts w:ascii="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4613193A" w14:textId="5C1B9B5F" w:rsidR="0068476E" w:rsidRDefault="0068476E" w:rsidP="0068476E">
      <w:pPr>
        <w:pStyle w:val="NormalWeb"/>
        <w:spacing w:before="0" w:beforeAutospacing="0" w:after="0" w:afterAutospacing="0"/>
        <w:textAlignment w:val="baseline"/>
        <w:rPr>
          <w:color w:val="000000"/>
        </w:rPr>
      </w:pPr>
    </w:p>
    <w:p w14:paraId="2A247756" w14:textId="00E4AC59" w:rsidR="00BB7DBC" w:rsidRDefault="00BB7DBC" w:rsidP="0068476E">
      <w:pPr>
        <w:pStyle w:val="NormalWeb"/>
        <w:spacing w:before="0" w:beforeAutospacing="0" w:after="0" w:afterAutospacing="0"/>
        <w:textAlignment w:val="baseline"/>
        <w:rPr>
          <w:color w:val="000000"/>
        </w:rPr>
      </w:pPr>
      <w:r>
        <w:rPr>
          <w:color w:val="000000"/>
        </w:rPr>
        <w:tab/>
        <w:t xml:space="preserve">Parties often use this rule to join </w:t>
      </w:r>
      <w:r w:rsidR="009F19AD">
        <w:rPr>
          <w:color w:val="000000"/>
        </w:rPr>
        <w:t xml:space="preserve">a </w:t>
      </w:r>
      <w:r>
        <w:rPr>
          <w:color w:val="000000"/>
        </w:rPr>
        <w:t xml:space="preserve">state </w:t>
      </w:r>
      <w:r w:rsidR="009F19AD">
        <w:rPr>
          <w:color w:val="000000"/>
        </w:rPr>
        <w:t xml:space="preserve">agency </w:t>
      </w:r>
      <w:r>
        <w:rPr>
          <w:color w:val="000000"/>
        </w:rPr>
        <w:t>(such as D</w:t>
      </w:r>
      <w:r w:rsidR="002B72FD">
        <w:rPr>
          <w:color w:val="000000"/>
        </w:rPr>
        <w:t>CF</w:t>
      </w:r>
      <w:r>
        <w:rPr>
          <w:color w:val="000000"/>
        </w:rPr>
        <w:t xml:space="preserve">) that the BSEA may determine </w:t>
      </w:r>
      <w:r w:rsidR="00E351DD">
        <w:rPr>
          <w:color w:val="000000"/>
        </w:rPr>
        <w:t xml:space="preserve">is responsible for </w:t>
      </w:r>
      <w:r>
        <w:rPr>
          <w:color w:val="000000"/>
        </w:rPr>
        <w:t>provid</w:t>
      </w:r>
      <w:r w:rsidR="00E351DD">
        <w:rPr>
          <w:color w:val="000000"/>
        </w:rPr>
        <w:t>ing s</w:t>
      </w:r>
      <w:r>
        <w:rPr>
          <w:color w:val="000000"/>
        </w:rPr>
        <w:t>ervices to a student in a matter before it</w:t>
      </w:r>
      <w:r w:rsidR="00CE2773">
        <w:rPr>
          <w:color w:val="000000"/>
        </w:rPr>
        <w:t>, if such services are necessary for the student to receive a FAPE</w:t>
      </w:r>
      <w:r w:rsidR="00D7621E">
        <w:rPr>
          <w:color w:val="000000"/>
        </w:rPr>
        <w:t xml:space="preserve"> in the least restrictive environment</w:t>
      </w:r>
      <w:r>
        <w:rPr>
          <w:color w:val="000000"/>
        </w:rPr>
        <w:t>.</w:t>
      </w:r>
      <w:r w:rsidR="00CE2773">
        <w:rPr>
          <w:rStyle w:val="FootnoteReference"/>
          <w:color w:val="000000"/>
        </w:rPr>
        <w:footnoteReference w:id="6"/>
      </w:r>
      <w:r>
        <w:rPr>
          <w:color w:val="000000"/>
        </w:rPr>
        <w:t xml:space="preserve"> The relief the BSEA may </w:t>
      </w:r>
      <w:r w:rsidR="00E351DD">
        <w:rPr>
          <w:color w:val="000000"/>
        </w:rPr>
        <w:t xml:space="preserve">order state agencies to </w:t>
      </w:r>
      <w:r>
        <w:rPr>
          <w:color w:val="000000"/>
        </w:rPr>
        <w:t xml:space="preserve">provide is limited by Mass. Gen. Laws ch. 71B, § 3, </w:t>
      </w:r>
      <w:r w:rsidR="00E93C8B">
        <w:rPr>
          <w:color w:val="000000"/>
        </w:rPr>
        <w:t>which states</w:t>
      </w:r>
      <w:r>
        <w:rPr>
          <w:color w:val="000000"/>
        </w:rPr>
        <w:t>:</w:t>
      </w:r>
    </w:p>
    <w:p w14:paraId="00C92FDF" w14:textId="036BE2DE" w:rsidR="00BB7DBC" w:rsidRDefault="00BB7DBC" w:rsidP="0068476E">
      <w:pPr>
        <w:pStyle w:val="NormalWeb"/>
        <w:spacing w:before="0" w:beforeAutospacing="0" w:after="0" w:afterAutospacing="0"/>
        <w:textAlignment w:val="baseline"/>
        <w:rPr>
          <w:color w:val="000000"/>
        </w:rPr>
      </w:pPr>
    </w:p>
    <w:p w14:paraId="45F56E5F" w14:textId="02BFDE4C" w:rsidR="00BB7DBC" w:rsidRDefault="00BB7DBC" w:rsidP="00BB7DBC">
      <w:pPr>
        <w:spacing w:after="0" w:line="240" w:lineRule="auto"/>
        <w:ind w:left="1440"/>
        <w:rPr>
          <w:rFonts w:ascii="Times New Roman" w:eastAsia="Calibri" w:hAnsi="Times New Roman" w:cs="Times New Roman"/>
          <w:color w:val="252525"/>
          <w:sz w:val="24"/>
          <w:szCs w:val="24"/>
        </w:rPr>
      </w:pPr>
      <w:r w:rsidRPr="00BB7DBC">
        <w:rPr>
          <w:rFonts w:ascii="Times New Roman" w:eastAsia="Calibri" w:hAnsi="Times New Roman" w:cs="Times New Roman"/>
          <w:sz w:val="24"/>
          <w:szCs w:val="24"/>
        </w:rPr>
        <w:t>“</w:t>
      </w:r>
      <w:r w:rsidRPr="00BB7DBC">
        <w:rPr>
          <w:rFonts w:ascii="Times New Roman" w:eastAsia="Calibri" w:hAnsi="Times New Roman" w:cs="Times New Roman"/>
          <w:color w:val="252525"/>
          <w:sz w:val="24"/>
          <w:szCs w:val="24"/>
        </w:rPr>
        <w:t xml:space="preserve">The [BSEA]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w:t>
      </w:r>
      <w:r w:rsidRPr="00BB7DBC">
        <w:rPr>
          <w:rFonts w:ascii="Times New Roman" w:eastAsia="Calibri" w:hAnsi="Times New Roman" w:cs="Times New Roman"/>
          <w:color w:val="252525"/>
          <w:sz w:val="24"/>
          <w:szCs w:val="24"/>
        </w:rPr>
        <w:lastRenderedPageBreak/>
        <w:t>the department of public health, or any other state agency or program, in addition to the program and related services to be provided by the school committee.”</w:t>
      </w:r>
      <w:r w:rsidRPr="00BB7DBC">
        <w:rPr>
          <w:rFonts w:ascii="Times New Roman" w:eastAsia="Calibri" w:hAnsi="Times New Roman" w:cs="Times New Roman"/>
          <w:color w:val="252525"/>
          <w:sz w:val="24"/>
          <w:szCs w:val="24"/>
          <w:vertAlign w:val="superscript"/>
        </w:rPr>
        <w:footnoteReference w:id="7"/>
      </w:r>
    </w:p>
    <w:p w14:paraId="2713A755" w14:textId="38072A57" w:rsidR="00BB7DBC" w:rsidRDefault="00BB7DBC" w:rsidP="00BB7DBC">
      <w:pPr>
        <w:spacing w:after="0" w:line="240" w:lineRule="auto"/>
        <w:ind w:left="1440"/>
        <w:rPr>
          <w:rFonts w:ascii="Times New Roman" w:eastAsia="Calibri" w:hAnsi="Times New Roman" w:cs="Times New Roman"/>
          <w:color w:val="252525"/>
          <w:sz w:val="24"/>
          <w:szCs w:val="24"/>
        </w:rPr>
      </w:pPr>
    </w:p>
    <w:p w14:paraId="2004A6F2" w14:textId="0EBF3CD1" w:rsidR="00177848" w:rsidRDefault="00BB7DBC" w:rsidP="00BB7DBC">
      <w:pPr>
        <w:spacing w:after="0" w:line="240" w:lineRule="auto"/>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ab/>
        <w:t>Therefore, to de</w:t>
      </w:r>
      <w:r w:rsidR="00E351DD">
        <w:rPr>
          <w:rFonts w:ascii="Times New Roman" w:eastAsia="Calibri" w:hAnsi="Times New Roman" w:cs="Times New Roman"/>
          <w:color w:val="252525"/>
          <w:sz w:val="24"/>
          <w:szCs w:val="24"/>
        </w:rPr>
        <w:t>cide</w:t>
      </w:r>
      <w:r>
        <w:rPr>
          <w:rFonts w:ascii="Times New Roman" w:eastAsia="Calibri" w:hAnsi="Times New Roman" w:cs="Times New Roman"/>
          <w:color w:val="252525"/>
          <w:sz w:val="24"/>
          <w:szCs w:val="24"/>
        </w:rPr>
        <w:t xml:space="preserve"> </w:t>
      </w:r>
      <w:r w:rsidR="002B72FD">
        <w:rPr>
          <w:rFonts w:ascii="Times New Roman" w:eastAsia="Calibri" w:hAnsi="Times New Roman" w:cs="Times New Roman"/>
          <w:color w:val="252525"/>
          <w:sz w:val="24"/>
          <w:szCs w:val="24"/>
        </w:rPr>
        <w:t>whether DCF</w:t>
      </w:r>
      <w:r>
        <w:rPr>
          <w:rFonts w:ascii="Times New Roman" w:eastAsia="Calibri" w:hAnsi="Times New Roman" w:cs="Times New Roman"/>
          <w:color w:val="252525"/>
          <w:sz w:val="24"/>
          <w:szCs w:val="24"/>
        </w:rPr>
        <w:t xml:space="preserve"> should be joined as a party in </w:t>
      </w:r>
      <w:r w:rsidR="00E83BAB">
        <w:rPr>
          <w:rFonts w:ascii="Times New Roman" w:eastAsia="Calibri" w:hAnsi="Times New Roman" w:cs="Times New Roman"/>
          <w:color w:val="252525"/>
          <w:sz w:val="24"/>
          <w:szCs w:val="24"/>
        </w:rPr>
        <w:t xml:space="preserve">the instant matter, I must </w:t>
      </w:r>
      <w:r>
        <w:rPr>
          <w:rFonts w:ascii="Times New Roman" w:eastAsia="Calibri" w:hAnsi="Times New Roman" w:cs="Times New Roman"/>
          <w:color w:val="252525"/>
          <w:sz w:val="24"/>
          <w:szCs w:val="24"/>
        </w:rPr>
        <w:t>determine</w:t>
      </w:r>
      <w:r w:rsidR="00E351DD">
        <w:rPr>
          <w:rFonts w:ascii="Times New Roman" w:eastAsia="Calibri" w:hAnsi="Times New Roman" w:cs="Times New Roman"/>
          <w:color w:val="252525"/>
          <w:sz w:val="24"/>
          <w:szCs w:val="24"/>
        </w:rPr>
        <w:t>, upon consideration of the joinder factors,</w:t>
      </w:r>
      <w:r w:rsidR="00D65D85">
        <w:rPr>
          <w:rFonts w:ascii="Times New Roman" w:eastAsia="Calibri" w:hAnsi="Times New Roman" w:cs="Times New Roman"/>
          <w:color w:val="252525"/>
          <w:sz w:val="24"/>
          <w:szCs w:val="24"/>
        </w:rPr>
        <w:t xml:space="preserve"> </w:t>
      </w:r>
      <w:r>
        <w:rPr>
          <w:rFonts w:ascii="Times New Roman" w:eastAsia="Calibri" w:hAnsi="Times New Roman" w:cs="Times New Roman"/>
          <w:color w:val="252525"/>
          <w:sz w:val="24"/>
          <w:szCs w:val="24"/>
        </w:rPr>
        <w:t xml:space="preserve">whether complete relief may be granted among those who are already parties, </w:t>
      </w:r>
      <w:r w:rsidR="009569FC">
        <w:rPr>
          <w:rFonts w:ascii="Times New Roman" w:eastAsia="Calibri" w:hAnsi="Times New Roman" w:cs="Times New Roman"/>
          <w:color w:val="252525"/>
          <w:sz w:val="24"/>
          <w:szCs w:val="24"/>
        </w:rPr>
        <w:t xml:space="preserve">or if </w:t>
      </w:r>
      <w:r w:rsidR="00E83BAB">
        <w:rPr>
          <w:rFonts w:ascii="Times New Roman" w:eastAsia="Calibri" w:hAnsi="Times New Roman" w:cs="Times New Roman"/>
          <w:color w:val="252525"/>
          <w:sz w:val="24"/>
          <w:szCs w:val="24"/>
        </w:rPr>
        <w:t>DCF has</w:t>
      </w:r>
      <w:r w:rsidR="009569FC">
        <w:rPr>
          <w:rFonts w:ascii="Times New Roman" w:eastAsia="Calibri" w:hAnsi="Times New Roman" w:cs="Times New Roman"/>
          <w:color w:val="252525"/>
          <w:sz w:val="24"/>
          <w:szCs w:val="24"/>
        </w:rPr>
        <w:t xml:space="preserve"> an interest relating to the subject matter of the case and is so situated that the case cannot be disposed of in its absence.</w:t>
      </w:r>
      <w:r w:rsidR="009569FC" w:rsidRPr="009569FC">
        <w:rPr>
          <w:rFonts w:ascii="Times New Roman" w:eastAsia="Calibri" w:hAnsi="Times New Roman" w:cs="Times New Roman"/>
          <w:sz w:val="24"/>
          <w:szCs w:val="24"/>
          <w:vertAlign w:val="superscript"/>
        </w:rPr>
        <w:footnoteReference w:id="8"/>
      </w:r>
      <w:r w:rsidR="009569FC">
        <w:rPr>
          <w:rFonts w:ascii="Times New Roman" w:eastAsia="Calibri" w:hAnsi="Times New Roman" w:cs="Times New Roman"/>
          <w:color w:val="252525"/>
          <w:sz w:val="24"/>
          <w:szCs w:val="24"/>
        </w:rPr>
        <w:t xml:space="preserve"> </w:t>
      </w:r>
      <w:r w:rsidR="00496E97">
        <w:rPr>
          <w:rFonts w:ascii="Times New Roman" w:eastAsia="Calibri" w:hAnsi="Times New Roman" w:cs="Times New Roman"/>
          <w:color w:val="252525"/>
          <w:sz w:val="24"/>
          <w:szCs w:val="24"/>
        </w:rPr>
        <w:t xml:space="preserve">If I find that joinder is appropriate under these </w:t>
      </w:r>
      <w:r w:rsidR="003C1CE3">
        <w:rPr>
          <w:rFonts w:ascii="Times New Roman" w:eastAsia="Calibri" w:hAnsi="Times New Roman" w:cs="Times New Roman"/>
          <w:color w:val="252525"/>
          <w:sz w:val="24"/>
          <w:szCs w:val="24"/>
        </w:rPr>
        <w:t>criteria</w:t>
      </w:r>
      <w:r w:rsidR="00496E97">
        <w:rPr>
          <w:rFonts w:ascii="Times New Roman" w:eastAsia="Calibri" w:hAnsi="Times New Roman" w:cs="Times New Roman"/>
          <w:color w:val="252525"/>
          <w:sz w:val="24"/>
          <w:szCs w:val="24"/>
        </w:rPr>
        <w:t>, I must then decide whether joinder is consistent with DCF’s rules, regulations, and policies.</w:t>
      </w:r>
    </w:p>
    <w:p w14:paraId="6A66607B" w14:textId="77777777" w:rsidR="00DE7A13" w:rsidRDefault="00DE7A13" w:rsidP="00BB7DBC">
      <w:pPr>
        <w:spacing w:after="0" w:line="240" w:lineRule="auto"/>
        <w:rPr>
          <w:rFonts w:ascii="Times New Roman" w:eastAsia="Calibri" w:hAnsi="Times New Roman" w:cs="Times New Roman"/>
          <w:color w:val="252525"/>
          <w:sz w:val="24"/>
          <w:szCs w:val="24"/>
        </w:rPr>
      </w:pPr>
    </w:p>
    <w:p w14:paraId="07550C48" w14:textId="77777777" w:rsidR="009569FC" w:rsidRDefault="009569FC" w:rsidP="00BB7DBC">
      <w:pPr>
        <w:spacing w:after="0" w:line="240" w:lineRule="auto"/>
        <w:rPr>
          <w:rFonts w:ascii="Times New Roman" w:eastAsia="Calibri" w:hAnsi="Times New Roman" w:cs="Times New Roman"/>
          <w:color w:val="252525"/>
          <w:sz w:val="24"/>
          <w:szCs w:val="24"/>
        </w:rPr>
      </w:pPr>
    </w:p>
    <w:p w14:paraId="613929A7" w14:textId="15F89214" w:rsidR="009569FC" w:rsidRPr="00FB7FB4" w:rsidRDefault="00FB7FB4" w:rsidP="00FB7FB4">
      <w:pPr>
        <w:pStyle w:val="Heading1"/>
      </w:pPr>
      <w:r w:rsidRPr="00FB7FB4">
        <w:t>ANALYSIS</w:t>
      </w:r>
    </w:p>
    <w:p w14:paraId="7C7B09B1" w14:textId="6B3F5625" w:rsidR="009569FC" w:rsidRDefault="009569FC" w:rsidP="00BB7DBC">
      <w:pPr>
        <w:spacing w:after="0" w:line="240" w:lineRule="auto"/>
        <w:rPr>
          <w:rFonts w:ascii="Times New Roman" w:eastAsia="Calibri" w:hAnsi="Times New Roman" w:cs="Times New Roman"/>
          <w:color w:val="252525"/>
          <w:sz w:val="24"/>
          <w:szCs w:val="24"/>
        </w:rPr>
      </w:pPr>
    </w:p>
    <w:p w14:paraId="4B37231C" w14:textId="35C84184" w:rsidR="00692952" w:rsidRDefault="00E351DD" w:rsidP="00692952">
      <w:pPr>
        <w:pStyle w:val="NoSpacing"/>
        <w:ind w:firstLine="720"/>
        <w:rPr>
          <w:rFonts w:ascii="Times New Roman" w:hAnsi="Times New Roman" w:cs="Times New Roman"/>
          <w:sz w:val="24"/>
          <w:szCs w:val="24"/>
        </w:rPr>
      </w:pPr>
      <w:r>
        <w:rPr>
          <w:rFonts w:ascii="Times New Roman" w:hAnsi="Times New Roman" w:cs="Times New Roman"/>
          <w:sz w:val="24"/>
          <w:szCs w:val="24"/>
        </w:rPr>
        <w:t>After a hearing on the underlying case,</w:t>
      </w:r>
      <w:r w:rsidR="00692952">
        <w:rPr>
          <w:rFonts w:ascii="Times New Roman" w:hAnsi="Times New Roman" w:cs="Times New Roman"/>
          <w:sz w:val="24"/>
          <w:szCs w:val="24"/>
        </w:rPr>
        <w:t xml:space="preserve"> </w:t>
      </w:r>
      <w:r w:rsidR="00E93C8B">
        <w:rPr>
          <w:rFonts w:ascii="Times New Roman" w:hAnsi="Times New Roman" w:cs="Times New Roman"/>
          <w:sz w:val="24"/>
          <w:szCs w:val="24"/>
        </w:rPr>
        <w:t xml:space="preserve">I may find </w:t>
      </w:r>
      <w:r w:rsidR="00692952">
        <w:rPr>
          <w:rFonts w:ascii="Times New Roman" w:hAnsi="Times New Roman" w:cs="Times New Roman"/>
          <w:sz w:val="24"/>
          <w:szCs w:val="24"/>
        </w:rPr>
        <w:t xml:space="preserve">that </w:t>
      </w:r>
      <w:r w:rsidR="00DF640A">
        <w:rPr>
          <w:rFonts w:ascii="Times New Roman" w:hAnsi="Times New Roman" w:cs="Times New Roman"/>
          <w:sz w:val="24"/>
          <w:szCs w:val="24"/>
        </w:rPr>
        <w:t xml:space="preserve">Lynn’s proposed IEP, placing Yakov in </w:t>
      </w:r>
      <w:r w:rsidR="0034029B">
        <w:rPr>
          <w:rFonts w:ascii="Times New Roman" w:hAnsi="Times New Roman" w:cs="Times New Roman"/>
          <w:sz w:val="24"/>
          <w:szCs w:val="24"/>
        </w:rPr>
        <w:t>the</w:t>
      </w:r>
      <w:r w:rsidR="00DF640A">
        <w:rPr>
          <w:rFonts w:ascii="Times New Roman" w:hAnsi="Times New Roman" w:cs="Times New Roman"/>
          <w:sz w:val="24"/>
          <w:szCs w:val="24"/>
        </w:rPr>
        <w:t xml:space="preserve"> substantially separate TLC program, is reasonably calculated to provide </w:t>
      </w:r>
      <w:r w:rsidR="00DE7A13">
        <w:rPr>
          <w:rFonts w:ascii="Times New Roman" w:hAnsi="Times New Roman" w:cs="Times New Roman"/>
          <w:sz w:val="24"/>
          <w:szCs w:val="24"/>
        </w:rPr>
        <w:t>him</w:t>
      </w:r>
      <w:r w:rsidR="00DF640A">
        <w:rPr>
          <w:rFonts w:ascii="Times New Roman" w:hAnsi="Times New Roman" w:cs="Times New Roman"/>
          <w:sz w:val="24"/>
          <w:szCs w:val="24"/>
        </w:rPr>
        <w:t xml:space="preserve"> with a FAPE</w:t>
      </w:r>
      <w:r w:rsidR="000261FE">
        <w:rPr>
          <w:rFonts w:ascii="Times New Roman" w:hAnsi="Times New Roman" w:cs="Times New Roman"/>
          <w:sz w:val="24"/>
          <w:szCs w:val="24"/>
        </w:rPr>
        <w:t>, or that he requires a residential placement for educational reasons.</w:t>
      </w:r>
      <w:r w:rsidR="00692952">
        <w:rPr>
          <w:rFonts w:ascii="Times New Roman" w:hAnsi="Times New Roman" w:cs="Times New Roman"/>
          <w:sz w:val="24"/>
          <w:szCs w:val="24"/>
        </w:rPr>
        <w:t xml:space="preserve"> </w:t>
      </w:r>
      <w:r>
        <w:rPr>
          <w:rFonts w:ascii="Times New Roman" w:hAnsi="Times New Roman" w:cs="Times New Roman"/>
          <w:sz w:val="24"/>
          <w:szCs w:val="24"/>
        </w:rPr>
        <w:t>A</w:t>
      </w:r>
      <w:r w:rsidR="00692952">
        <w:rPr>
          <w:rFonts w:ascii="Times New Roman" w:hAnsi="Times New Roman" w:cs="Times New Roman"/>
          <w:sz w:val="24"/>
          <w:szCs w:val="24"/>
        </w:rPr>
        <w:t>lternative</w:t>
      </w:r>
      <w:r>
        <w:rPr>
          <w:rFonts w:ascii="Times New Roman" w:hAnsi="Times New Roman" w:cs="Times New Roman"/>
          <w:sz w:val="24"/>
          <w:szCs w:val="24"/>
        </w:rPr>
        <w:t>ly</w:t>
      </w:r>
      <w:r w:rsidR="000261FE">
        <w:rPr>
          <w:rFonts w:ascii="Times New Roman" w:hAnsi="Times New Roman" w:cs="Times New Roman"/>
          <w:sz w:val="24"/>
          <w:szCs w:val="24"/>
        </w:rPr>
        <w:t xml:space="preserve">, however, </w:t>
      </w:r>
      <w:r w:rsidR="00692952">
        <w:rPr>
          <w:rFonts w:ascii="Times New Roman" w:hAnsi="Times New Roman" w:cs="Times New Roman"/>
          <w:sz w:val="24"/>
          <w:szCs w:val="24"/>
        </w:rPr>
        <w:t xml:space="preserve">I may find that </w:t>
      </w:r>
      <w:r w:rsidR="00DF640A">
        <w:rPr>
          <w:rFonts w:ascii="Times New Roman" w:hAnsi="Times New Roman" w:cs="Times New Roman"/>
          <w:sz w:val="24"/>
          <w:szCs w:val="24"/>
        </w:rPr>
        <w:t>Yakov</w:t>
      </w:r>
      <w:r w:rsidR="000261FE">
        <w:rPr>
          <w:rFonts w:ascii="Times New Roman" w:hAnsi="Times New Roman" w:cs="Times New Roman"/>
          <w:sz w:val="24"/>
          <w:szCs w:val="24"/>
        </w:rPr>
        <w:t xml:space="preserve"> requires other home services to access his education, or that he</w:t>
      </w:r>
      <w:r w:rsidR="00DF640A">
        <w:rPr>
          <w:rFonts w:ascii="Times New Roman" w:hAnsi="Times New Roman" w:cs="Times New Roman"/>
          <w:sz w:val="24"/>
          <w:szCs w:val="24"/>
        </w:rPr>
        <w:t xml:space="preserve"> </w:t>
      </w:r>
      <w:r w:rsidR="00692952">
        <w:rPr>
          <w:rFonts w:ascii="Times New Roman" w:hAnsi="Times New Roman" w:cs="Times New Roman"/>
          <w:sz w:val="24"/>
          <w:szCs w:val="24"/>
        </w:rPr>
        <w:t>requires a residential</w:t>
      </w:r>
      <w:r w:rsidR="000261FE">
        <w:rPr>
          <w:rFonts w:ascii="Times New Roman" w:hAnsi="Times New Roman" w:cs="Times New Roman"/>
          <w:sz w:val="24"/>
          <w:szCs w:val="24"/>
        </w:rPr>
        <w:t xml:space="preserve"> component to his</w:t>
      </w:r>
      <w:r w:rsidR="00692952">
        <w:rPr>
          <w:rFonts w:ascii="Times New Roman" w:hAnsi="Times New Roman" w:cs="Times New Roman"/>
          <w:sz w:val="24"/>
          <w:szCs w:val="24"/>
        </w:rPr>
        <w:t xml:space="preserve"> </w:t>
      </w:r>
      <w:r w:rsidR="00DE7A13">
        <w:rPr>
          <w:rFonts w:ascii="Times New Roman" w:hAnsi="Times New Roman" w:cs="Times New Roman"/>
          <w:sz w:val="24"/>
          <w:szCs w:val="24"/>
        </w:rPr>
        <w:t>placement</w:t>
      </w:r>
      <w:r w:rsidR="00692952">
        <w:rPr>
          <w:rFonts w:ascii="Times New Roman" w:hAnsi="Times New Roman" w:cs="Times New Roman"/>
          <w:sz w:val="24"/>
          <w:szCs w:val="24"/>
        </w:rPr>
        <w:t xml:space="preserve"> </w:t>
      </w:r>
      <w:r w:rsidR="000261FE">
        <w:rPr>
          <w:rFonts w:ascii="Times New Roman" w:hAnsi="Times New Roman" w:cs="Times New Roman"/>
          <w:sz w:val="24"/>
          <w:szCs w:val="24"/>
        </w:rPr>
        <w:t>in order to access FAPE</w:t>
      </w:r>
      <w:r w:rsidR="00692952">
        <w:rPr>
          <w:rFonts w:ascii="Times New Roman" w:hAnsi="Times New Roman" w:cs="Times New Roman"/>
          <w:sz w:val="24"/>
          <w:szCs w:val="24"/>
        </w:rPr>
        <w:t>. It appears, therefore, that the first part of the analysis weighs in favor of joinder. But</w:t>
      </w:r>
      <w:r w:rsidR="002467DA">
        <w:rPr>
          <w:rFonts w:ascii="Times New Roman" w:hAnsi="Times New Roman" w:cs="Times New Roman"/>
          <w:sz w:val="24"/>
          <w:szCs w:val="24"/>
        </w:rPr>
        <w:t xml:space="preserve"> the</w:t>
      </w:r>
      <w:r w:rsidR="000261FE">
        <w:rPr>
          <w:rFonts w:ascii="Times New Roman" w:hAnsi="Times New Roman" w:cs="Times New Roman"/>
          <w:sz w:val="24"/>
          <w:szCs w:val="24"/>
        </w:rPr>
        <w:t xml:space="preserve"> analysis may not sto</w:t>
      </w:r>
      <w:r w:rsidR="006A6C43">
        <w:rPr>
          <w:rFonts w:ascii="Times New Roman" w:hAnsi="Times New Roman" w:cs="Times New Roman"/>
          <w:sz w:val="24"/>
          <w:szCs w:val="24"/>
        </w:rPr>
        <w:t>p</w:t>
      </w:r>
      <w:r w:rsidR="00575717">
        <w:rPr>
          <w:rFonts w:ascii="Times New Roman" w:hAnsi="Times New Roman" w:cs="Times New Roman"/>
          <w:sz w:val="24"/>
          <w:szCs w:val="24"/>
        </w:rPr>
        <w:t xml:space="preserve"> </w:t>
      </w:r>
      <w:r w:rsidR="000261FE">
        <w:rPr>
          <w:rFonts w:ascii="Times New Roman" w:hAnsi="Times New Roman" w:cs="Times New Roman"/>
          <w:sz w:val="24"/>
          <w:szCs w:val="24"/>
        </w:rPr>
        <w:t xml:space="preserve">here, as </w:t>
      </w:r>
      <w:r w:rsidR="00692952">
        <w:rPr>
          <w:rFonts w:ascii="Times New Roman" w:hAnsi="Times New Roman" w:cs="Times New Roman"/>
          <w:sz w:val="24"/>
          <w:szCs w:val="24"/>
        </w:rPr>
        <w:t xml:space="preserve"> I cannot order DCF to provide any services, residential or home-based, if to do so would contravene DCF’s own regulations.</w:t>
      </w:r>
    </w:p>
    <w:p w14:paraId="1D4ACC4E" w14:textId="77777777" w:rsidR="00692952" w:rsidRDefault="00692952" w:rsidP="00692952">
      <w:pPr>
        <w:pStyle w:val="NoSpacing"/>
        <w:ind w:firstLine="720"/>
        <w:rPr>
          <w:rFonts w:ascii="Times New Roman" w:hAnsi="Times New Roman" w:cs="Times New Roman"/>
          <w:sz w:val="24"/>
          <w:szCs w:val="24"/>
        </w:rPr>
      </w:pPr>
    </w:p>
    <w:p w14:paraId="69AC98BC" w14:textId="59253055" w:rsidR="00B72631" w:rsidRDefault="00692952" w:rsidP="00B72631">
      <w:pPr>
        <w:pStyle w:val="NoSpacing"/>
        <w:ind w:firstLine="720"/>
        <w:rPr>
          <w:rFonts w:ascii="Times New Roman" w:eastAsia="Calibri" w:hAnsi="Times New Roman" w:cs="Times New Roman"/>
          <w:color w:val="252525"/>
          <w:sz w:val="24"/>
          <w:szCs w:val="24"/>
        </w:rPr>
      </w:pPr>
      <w:r w:rsidRPr="00E27E3E">
        <w:rPr>
          <w:rFonts w:ascii="Times New Roman" w:hAnsi="Times New Roman" w:cs="Times New Roman"/>
          <w:sz w:val="24"/>
          <w:szCs w:val="24"/>
        </w:rPr>
        <w:t>Pursuant to its regulations, DCF may share the cost of a residential placement for a child under certain circumstances.</w:t>
      </w:r>
      <w:r w:rsidRPr="00E27E3E">
        <w:rPr>
          <w:rStyle w:val="FootnoteReference"/>
          <w:rFonts w:ascii="Times New Roman" w:hAnsi="Times New Roman" w:cs="Times New Roman"/>
          <w:sz w:val="24"/>
          <w:szCs w:val="24"/>
        </w:rPr>
        <w:footnoteReference w:id="9"/>
      </w:r>
      <w:r w:rsidRPr="00E27E3E">
        <w:rPr>
          <w:rFonts w:ascii="Times New Roman" w:hAnsi="Times New Roman" w:cs="Times New Roman"/>
          <w:sz w:val="24"/>
          <w:szCs w:val="24"/>
        </w:rPr>
        <w:t xml:space="preserve"> It may not, however, provide a placement for a child who is not in </w:t>
      </w:r>
      <w:r w:rsidRPr="00E93C8B">
        <w:rPr>
          <w:rFonts w:ascii="Times New Roman" w:hAnsi="Times New Roman" w:cs="Times New Roman"/>
          <w:sz w:val="24"/>
          <w:szCs w:val="24"/>
        </w:rPr>
        <w:t>its care or custody, voluntarily or otherwise.</w:t>
      </w:r>
      <w:r w:rsidRPr="00E93C8B">
        <w:rPr>
          <w:rStyle w:val="FootnoteReference"/>
          <w:rFonts w:ascii="Times New Roman" w:hAnsi="Times New Roman" w:cs="Times New Roman"/>
          <w:sz w:val="24"/>
          <w:szCs w:val="24"/>
        </w:rPr>
        <w:footnoteReference w:id="10"/>
      </w:r>
      <w:r w:rsidRPr="00E93C8B">
        <w:rPr>
          <w:rFonts w:ascii="Times New Roman" w:hAnsi="Times New Roman" w:cs="Times New Roman"/>
          <w:sz w:val="24"/>
          <w:szCs w:val="24"/>
        </w:rPr>
        <w:t xml:space="preserve"> For a child to receive voluntary DCF services, up to and including placement, DCF must first determine that he is an appropriate candidate for its services.</w:t>
      </w:r>
      <w:r w:rsidRPr="00E93C8B">
        <w:rPr>
          <w:rStyle w:val="FootnoteReference"/>
          <w:rFonts w:ascii="Times New Roman" w:hAnsi="Times New Roman" w:cs="Times New Roman"/>
          <w:sz w:val="24"/>
          <w:szCs w:val="24"/>
        </w:rPr>
        <w:footnoteReference w:id="11"/>
      </w:r>
      <w:r w:rsidRPr="00E93C8B">
        <w:rPr>
          <w:rFonts w:ascii="Times New Roman" w:hAnsi="Times New Roman" w:cs="Times New Roman"/>
          <w:sz w:val="24"/>
          <w:szCs w:val="24"/>
        </w:rPr>
        <w:t xml:space="preserve"> In this</w:t>
      </w:r>
      <w:r>
        <w:rPr>
          <w:rFonts w:ascii="Times New Roman" w:hAnsi="Times New Roman" w:cs="Times New Roman"/>
          <w:sz w:val="24"/>
          <w:szCs w:val="24"/>
        </w:rPr>
        <w:t xml:space="preserve"> case,</w:t>
      </w:r>
      <w:r w:rsidR="00496E97">
        <w:rPr>
          <w:rFonts w:ascii="Times New Roman" w:hAnsi="Times New Roman" w:cs="Times New Roman"/>
          <w:sz w:val="24"/>
          <w:szCs w:val="24"/>
        </w:rPr>
        <w:t xml:space="preserve"> DCF</w:t>
      </w:r>
      <w:r>
        <w:rPr>
          <w:rFonts w:ascii="Times New Roman" w:hAnsi="Times New Roman" w:cs="Times New Roman"/>
          <w:sz w:val="24"/>
          <w:szCs w:val="24"/>
        </w:rPr>
        <w:t xml:space="preserve"> </w:t>
      </w:r>
      <w:r w:rsidR="00496E97">
        <w:rPr>
          <w:rFonts w:ascii="Times New Roman" w:hAnsi="Times New Roman" w:cs="Times New Roman"/>
          <w:sz w:val="24"/>
          <w:szCs w:val="24"/>
        </w:rPr>
        <w:t xml:space="preserve">does not have care or custody of Yakov; as such, unless that were to change, I could not order the Department to place him residentially. </w:t>
      </w:r>
      <w:r>
        <w:rPr>
          <w:rFonts w:ascii="Times New Roman" w:hAnsi="Times New Roman" w:cs="Times New Roman"/>
          <w:sz w:val="24"/>
          <w:szCs w:val="24"/>
        </w:rPr>
        <w:t>DCF</w:t>
      </w:r>
      <w:r w:rsidR="00DE7A13">
        <w:rPr>
          <w:rFonts w:ascii="Times New Roman" w:hAnsi="Times New Roman" w:cs="Times New Roman"/>
          <w:sz w:val="24"/>
          <w:szCs w:val="24"/>
        </w:rPr>
        <w:t xml:space="preserve"> has</w:t>
      </w:r>
      <w:r w:rsidR="00496E97">
        <w:rPr>
          <w:rFonts w:ascii="Times New Roman" w:hAnsi="Times New Roman" w:cs="Times New Roman"/>
          <w:sz w:val="24"/>
          <w:szCs w:val="24"/>
        </w:rPr>
        <w:t>, however,</w:t>
      </w:r>
      <w:r w:rsidR="00DE7A13">
        <w:rPr>
          <w:rFonts w:ascii="Times New Roman" w:hAnsi="Times New Roman" w:cs="Times New Roman"/>
          <w:sz w:val="24"/>
          <w:szCs w:val="24"/>
        </w:rPr>
        <w:t xml:space="preserve"> determined that Yakov is an appropriate candidate for its services and, in fact, maintains an open clinical case involving the family.</w:t>
      </w:r>
      <w:r w:rsidR="00457FFA">
        <w:rPr>
          <w:rFonts w:ascii="Times New Roman" w:hAnsi="Times New Roman" w:cs="Times New Roman"/>
          <w:sz w:val="24"/>
          <w:szCs w:val="24"/>
        </w:rPr>
        <w:t xml:space="preserve"> As such</w:t>
      </w:r>
      <w:r w:rsidR="00F62F7F">
        <w:rPr>
          <w:rFonts w:ascii="Times New Roman" w:hAnsi="Times New Roman" w:cs="Times New Roman"/>
          <w:sz w:val="24"/>
          <w:szCs w:val="24"/>
        </w:rPr>
        <w:t xml:space="preserve">, should I find, after a hearing, that Yakov </w:t>
      </w:r>
      <w:r w:rsidR="00B72631">
        <w:rPr>
          <w:rFonts w:ascii="Times New Roman" w:eastAsia="Calibri" w:hAnsi="Times New Roman" w:cs="Times New Roman"/>
          <w:color w:val="252525"/>
          <w:sz w:val="24"/>
          <w:szCs w:val="24"/>
        </w:rPr>
        <w:t>does not require residential placement</w:t>
      </w:r>
      <w:r w:rsidR="00412B4A">
        <w:rPr>
          <w:rFonts w:ascii="Times New Roman" w:eastAsia="Calibri" w:hAnsi="Times New Roman" w:cs="Times New Roman"/>
          <w:color w:val="252525"/>
          <w:sz w:val="24"/>
          <w:szCs w:val="24"/>
        </w:rPr>
        <w:t xml:space="preserve"> for educational reasons</w:t>
      </w:r>
      <w:r w:rsidR="00B72631">
        <w:rPr>
          <w:rFonts w:ascii="Times New Roman" w:eastAsia="Calibri" w:hAnsi="Times New Roman" w:cs="Times New Roman"/>
          <w:color w:val="252525"/>
          <w:sz w:val="24"/>
          <w:szCs w:val="24"/>
        </w:rPr>
        <w:t>, but that he requires additional home-based services</w:t>
      </w:r>
      <w:r w:rsidR="00412B4A">
        <w:rPr>
          <w:rFonts w:ascii="Times New Roman" w:hAnsi="Times New Roman" w:cs="Times New Roman"/>
          <w:sz w:val="24"/>
          <w:szCs w:val="24"/>
        </w:rPr>
        <w:t xml:space="preserve"> </w:t>
      </w:r>
      <w:r w:rsidR="00B72631">
        <w:rPr>
          <w:rFonts w:ascii="Times New Roman" w:eastAsia="Calibri" w:hAnsi="Times New Roman" w:cs="Times New Roman"/>
          <w:color w:val="252525"/>
          <w:sz w:val="24"/>
          <w:szCs w:val="24"/>
        </w:rPr>
        <w:t>to access</w:t>
      </w:r>
      <w:r w:rsidR="00641F7B">
        <w:rPr>
          <w:rFonts w:ascii="Times New Roman" w:eastAsia="Calibri" w:hAnsi="Times New Roman" w:cs="Times New Roman"/>
          <w:color w:val="252525"/>
          <w:sz w:val="24"/>
          <w:szCs w:val="24"/>
        </w:rPr>
        <w:t xml:space="preserve"> his education</w:t>
      </w:r>
      <w:r w:rsidR="00B72631">
        <w:rPr>
          <w:rFonts w:ascii="Times New Roman" w:eastAsia="Calibri" w:hAnsi="Times New Roman" w:cs="Times New Roman"/>
          <w:color w:val="252525"/>
          <w:sz w:val="24"/>
          <w:szCs w:val="24"/>
        </w:rPr>
        <w:t xml:space="preserve">, I may well find that these services are within DCF’s purview and that providing them is consistent with the Department’s rules and regulations. </w:t>
      </w:r>
    </w:p>
    <w:p w14:paraId="256CBA35" w14:textId="77777777" w:rsidR="003B2143" w:rsidRDefault="003B2143" w:rsidP="00B72631">
      <w:pPr>
        <w:pStyle w:val="NoSpacing"/>
        <w:rPr>
          <w:rFonts w:ascii="Times New Roman" w:eastAsia="Calibri" w:hAnsi="Times New Roman" w:cs="Times New Roman"/>
          <w:color w:val="252525"/>
          <w:sz w:val="24"/>
          <w:szCs w:val="24"/>
        </w:rPr>
      </w:pPr>
    </w:p>
    <w:p w14:paraId="39FABEDC" w14:textId="1B266D18" w:rsidR="009569FC" w:rsidRPr="00D7621E" w:rsidRDefault="00B5198D" w:rsidP="00D7621E">
      <w:pPr>
        <w:pStyle w:val="NoSpacing"/>
        <w:ind w:firstLine="720"/>
        <w:rPr>
          <w:rFonts w:ascii="Times New Roman" w:hAnsi="Times New Roman" w:cs="Times New Roman"/>
          <w:sz w:val="24"/>
          <w:szCs w:val="24"/>
        </w:rPr>
      </w:pPr>
      <w:r>
        <w:rPr>
          <w:rFonts w:ascii="Times New Roman" w:eastAsia="Calibri" w:hAnsi="Times New Roman" w:cs="Times New Roman"/>
          <w:color w:val="252525"/>
          <w:sz w:val="24"/>
          <w:szCs w:val="24"/>
        </w:rPr>
        <w:t>As I cannot rule out th</w:t>
      </w:r>
      <w:r w:rsidR="00724C52">
        <w:rPr>
          <w:rFonts w:ascii="Times New Roman" w:eastAsia="Calibri" w:hAnsi="Times New Roman" w:cs="Times New Roman"/>
          <w:color w:val="252525"/>
          <w:sz w:val="24"/>
          <w:szCs w:val="24"/>
        </w:rPr>
        <w:t>is</w:t>
      </w:r>
      <w:r>
        <w:rPr>
          <w:rFonts w:ascii="Times New Roman" w:eastAsia="Calibri" w:hAnsi="Times New Roman" w:cs="Times New Roman"/>
          <w:color w:val="252525"/>
          <w:sz w:val="24"/>
          <w:szCs w:val="24"/>
        </w:rPr>
        <w:t xml:space="preserve"> poss</w:t>
      </w:r>
      <w:r w:rsidR="003B2143">
        <w:rPr>
          <w:rFonts w:ascii="Times New Roman" w:eastAsia="Calibri" w:hAnsi="Times New Roman" w:cs="Times New Roman"/>
          <w:color w:val="252525"/>
          <w:sz w:val="24"/>
          <w:szCs w:val="24"/>
        </w:rPr>
        <w:t>ibilit</w:t>
      </w:r>
      <w:r w:rsidR="00724C52">
        <w:rPr>
          <w:rFonts w:ascii="Times New Roman" w:eastAsia="Calibri" w:hAnsi="Times New Roman" w:cs="Times New Roman"/>
          <w:color w:val="252525"/>
          <w:sz w:val="24"/>
          <w:szCs w:val="24"/>
        </w:rPr>
        <w:t>y</w:t>
      </w:r>
      <w:r w:rsidR="003B2143">
        <w:rPr>
          <w:rFonts w:ascii="Times New Roman" w:eastAsia="Calibri" w:hAnsi="Times New Roman" w:cs="Times New Roman"/>
          <w:color w:val="252525"/>
          <w:sz w:val="24"/>
          <w:szCs w:val="24"/>
        </w:rPr>
        <w:t xml:space="preserve"> at this early stage in the proceeding</w:t>
      </w:r>
      <w:r>
        <w:rPr>
          <w:rFonts w:ascii="Times New Roman" w:eastAsia="Calibri" w:hAnsi="Times New Roman" w:cs="Times New Roman"/>
          <w:color w:val="252525"/>
          <w:sz w:val="24"/>
          <w:szCs w:val="24"/>
        </w:rPr>
        <w:t xml:space="preserve">s, joinder of DCF </w:t>
      </w:r>
      <w:r w:rsidR="002050B5">
        <w:rPr>
          <w:rFonts w:ascii="Times New Roman" w:eastAsia="Calibri" w:hAnsi="Times New Roman" w:cs="Times New Roman"/>
          <w:color w:val="252525"/>
          <w:sz w:val="24"/>
          <w:szCs w:val="24"/>
        </w:rPr>
        <w:t xml:space="preserve">is appropriate. DCF may have an interest in the matter, </w:t>
      </w:r>
      <w:r w:rsidR="0028577A">
        <w:rPr>
          <w:rFonts w:ascii="Times New Roman" w:eastAsia="Calibri" w:hAnsi="Times New Roman" w:cs="Times New Roman"/>
          <w:color w:val="252525"/>
          <w:sz w:val="24"/>
          <w:szCs w:val="24"/>
        </w:rPr>
        <w:t xml:space="preserve">and </w:t>
      </w:r>
      <w:r w:rsidR="002050B5">
        <w:rPr>
          <w:rFonts w:ascii="Times New Roman" w:eastAsia="Calibri" w:hAnsi="Times New Roman" w:cs="Times New Roman"/>
          <w:color w:val="252525"/>
          <w:sz w:val="24"/>
          <w:szCs w:val="24"/>
        </w:rPr>
        <w:t xml:space="preserve">because </w:t>
      </w:r>
      <w:r>
        <w:rPr>
          <w:rFonts w:ascii="Times New Roman" w:eastAsia="Calibri" w:hAnsi="Times New Roman" w:cs="Times New Roman"/>
          <w:color w:val="252525"/>
          <w:sz w:val="24"/>
          <w:szCs w:val="24"/>
        </w:rPr>
        <w:t xml:space="preserve">I may not be able to </w:t>
      </w:r>
      <w:r w:rsidR="002050B5">
        <w:rPr>
          <w:rFonts w:ascii="Times New Roman" w:eastAsia="Calibri" w:hAnsi="Times New Roman" w:cs="Times New Roman"/>
          <w:color w:val="252525"/>
          <w:sz w:val="24"/>
          <w:szCs w:val="24"/>
        </w:rPr>
        <w:t xml:space="preserve">fashion </w:t>
      </w:r>
      <w:r w:rsidR="002050B5">
        <w:rPr>
          <w:rFonts w:ascii="Times New Roman" w:eastAsia="Calibri" w:hAnsi="Times New Roman" w:cs="Times New Roman"/>
          <w:color w:val="252525"/>
          <w:sz w:val="24"/>
          <w:szCs w:val="24"/>
        </w:rPr>
        <w:lastRenderedPageBreak/>
        <w:t xml:space="preserve">the </w:t>
      </w:r>
      <w:r>
        <w:rPr>
          <w:rFonts w:ascii="Times New Roman" w:eastAsia="Calibri" w:hAnsi="Times New Roman" w:cs="Times New Roman"/>
          <w:color w:val="252525"/>
          <w:sz w:val="24"/>
          <w:szCs w:val="24"/>
        </w:rPr>
        <w:t>complete relief</w:t>
      </w:r>
      <w:r w:rsidR="002050B5">
        <w:rPr>
          <w:rFonts w:ascii="Times New Roman" w:eastAsia="Calibri" w:hAnsi="Times New Roman" w:cs="Times New Roman"/>
          <w:color w:val="252525"/>
          <w:sz w:val="24"/>
          <w:szCs w:val="24"/>
        </w:rPr>
        <w:t xml:space="preserve"> needed to support</w:t>
      </w:r>
      <w:r w:rsidR="00B72631">
        <w:rPr>
          <w:rFonts w:ascii="Times New Roman" w:eastAsia="Calibri" w:hAnsi="Times New Roman" w:cs="Times New Roman"/>
          <w:color w:val="252525"/>
          <w:sz w:val="24"/>
          <w:szCs w:val="24"/>
        </w:rPr>
        <w:t xml:space="preserve"> Yakov’s n</w:t>
      </w:r>
      <w:r w:rsidR="002050B5">
        <w:rPr>
          <w:rFonts w:ascii="Times New Roman" w:eastAsia="Calibri" w:hAnsi="Times New Roman" w:cs="Times New Roman"/>
          <w:color w:val="252525"/>
          <w:sz w:val="24"/>
          <w:szCs w:val="24"/>
        </w:rPr>
        <w:t>eeds, or otherwise enter an appropriate judgment after a hearing</w:t>
      </w:r>
      <w:r>
        <w:rPr>
          <w:rFonts w:ascii="Times New Roman" w:eastAsia="Calibri" w:hAnsi="Times New Roman" w:cs="Times New Roman"/>
          <w:color w:val="252525"/>
          <w:sz w:val="24"/>
          <w:szCs w:val="24"/>
        </w:rPr>
        <w:t xml:space="preserve"> in the </w:t>
      </w:r>
      <w:r w:rsidR="00B72631">
        <w:rPr>
          <w:rFonts w:ascii="Times New Roman" w:eastAsia="Calibri" w:hAnsi="Times New Roman" w:cs="Times New Roman"/>
          <w:color w:val="252525"/>
          <w:sz w:val="24"/>
          <w:szCs w:val="24"/>
        </w:rPr>
        <w:t>Department</w:t>
      </w:r>
      <w:r>
        <w:rPr>
          <w:rFonts w:ascii="Times New Roman" w:eastAsia="Calibri" w:hAnsi="Times New Roman" w:cs="Times New Roman"/>
          <w:color w:val="252525"/>
          <w:sz w:val="24"/>
          <w:szCs w:val="24"/>
        </w:rPr>
        <w:t>’s absence</w:t>
      </w:r>
      <w:r w:rsidR="002050B5">
        <w:rPr>
          <w:rFonts w:ascii="Times New Roman" w:eastAsia="Calibri" w:hAnsi="Times New Roman" w:cs="Times New Roman"/>
          <w:color w:val="252525"/>
          <w:sz w:val="24"/>
          <w:szCs w:val="24"/>
        </w:rPr>
        <w:t>, the risk of prejudice to the present parties in the absence of joinder is great</w:t>
      </w:r>
      <w:r w:rsidR="0028577A">
        <w:rPr>
          <w:rFonts w:ascii="Times New Roman" w:eastAsia="Calibri" w:hAnsi="Times New Roman" w:cs="Times New Roman"/>
          <w:color w:val="252525"/>
          <w:sz w:val="24"/>
          <w:szCs w:val="24"/>
        </w:rPr>
        <w:t>. Moreover, joining DCF would foster administrative efficiency</w:t>
      </w:r>
      <w:r w:rsidR="00724C52">
        <w:rPr>
          <w:rFonts w:ascii="Times New Roman" w:eastAsia="Calibri" w:hAnsi="Times New Roman" w:cs="Times New Roman"/>
          <w:color w:val="252525"/>
          <w:sz w:val="24"/>
          <w:szCs w:val="24"/>
        </w:rPr>
        <w:t xml:space="preserve">. Finally, where DCF has an open clinical </w:t>
      </w:r>
      <w:r w:rsidR="007D6896">
        <w:rPr>
          <w:rFonts w:ascii="Times New Roman" w:eastAsia="Calibri" w:hAnsi="Times New Roman" w:cs="Times New Roman"/>
          <w:color w:val="252525"/>
          <w:sz w:val="24"/>
          <w:szCs w:val="24"/>
        </w:rPr>
        <w:t xml:space="preserve">case </w:t>
      </w:r>
      <w:r w:rsidR="00724C52">
        <w:rPr>
          <w:rFonts w:ascii="Times New Roman" w:eastAsia="Calibri" w:hAnsi="Times New Roman" w:cs="Times New Roman"/>
          <w:color w:val="252525"/>
          <w:sz w:val="24"/>
          <w:szCs w:val="24"/>
        </w:rPr>
        <w:t>involving a chil</w:t>
      </w:r>
      <w:r w:rsidR="007D6896">
        <w:rPr>
          <w:rFonts w:ascii="Times New Roman" w:eastAsia="Calibri" w:hAnsi="Times New Roman" w:cs="Times New Roman"/>
          <w:color w:val="252525"/>
          <w:sz w:val="24"/>
          <w:szCs w:val="24"/>
        </w:rPr>
        <w:t>d the Department</w:t>
      </w:r>
      <w:r w:rsidR="00724C52">
        <w:rPr>
          <w:rFonts w:ascii="Times New Roman" w:eastAsia="Calibri" w:hAnsi="Times New Roman" w:cs="Times New Roman"/>
          <w:color w:val="252525"/>
          <w:sz w:val="24"/>
          <w:szCs w:val="24"/>
        </w:rPr>
        <w:t xml:space="preserve"> has found appropriate for services, joinder for purposes other than residential placement is not inconsistent with </w:t>
      </w:r>
      <w:r w:rsidR="007D6896">
        <w:rPr>
          <w:rFonts w:ascii="Times New Roman" w:eastAsia="Calibri" w:hAnsi="Times New Roman" w:cs="Times New Roman"/>
          <w:color w:val="252525"/>
          <w:sz w:val="24"/>
          <w:szCs w:val="24"/>
        </w:rPr>
        <w:t>DCF</w:t>
      </w:r>
      <w:r w:rsidR="00724C52">
        <w:rPr>
          <w:rFonts w:ascii="Times New Roman" w:eastAsia="Calibri" w:hAnsi="Times New Roman" w:cs="Times New Roman"/>
          <w:color w:val="252525"/>
          <w:sz w:val="24"/>
          <w:szCs w:val="24"/>
        </w:rPr>
        <w:t>’s rules, regulations, or policies</w:t>
      </w:r>
      <w:r w:rsidR="0028577A">
        <w:rPr>
          <w:rFonts w:ascii="Times New Roman" w:eastAsia="Calibri" w:hAnsi="Times New Roman" w:cs="Times New Roman"/>
          <w:color w:val="252525"/>
          <w:sz w:val="24"/>
          <w:szCs w:val="24"/>
        </w:rPr>
        <w:t>.</w:t>
      </w:r>
    </w:p>
    <w:p w14:paraId="76F96423" w14:textId="3229B80A" w:rsidR="0028577A" w:rsidRDefault="0028577A" w:rsidP="00BB7DBC">
      <w:pPr>
        <w:spacing w:after="0" w:line="240" w:lineRule="auto"/>
        <w:rPr>
          <w:rFonts w:ascii="Times New Roman" w:eastAsia="Calibri" w:hAnsi="Times New Roman" w:cs="Times New Roman"/>
          <w:color w:val="252525"/>
          <w:sz w:val="24"/>
          <w:szCs w:val="24"/>
        </w:rPr>
      </w:pPr>
    </w:p>
    <w:p w14:paraId="53C67223" w14:textId="77777777" w:rsidR="002F617D" w:rsidRPr="002F617D" w:rsidRDefault="002F617D" w:rsidP="002F617D">
      <w:pPr>
        <w:spacing w:after="0" w:line="240" w:lineRule="auto"/>
        <w:rPr>
          <w:rFonts w:ascii="Times New Roman" w:eastAsia="Calibri" w:hAnsi="Times New Roman" w:cs="Times New Roman"/>
          <w:color w:val="252525"/>
          <w:sz w:val="24"/>
          <w:szCs w:val="24"/>
          <w:u w:val="single"/>
        </w:rPr>
      </w:pPr>
      <w:r w:rsidRPr="002F617D">
        <w:rPr>
          <w:rFonts w:ascii="Times New Roman" w:eastAsia="Calibri" w:hAnsi="Times New Roman" w:cs="Times New Roman"/>
          <w:color w:val="252525"/>
          <w:sz w:val="24"/>
          <w:szCs w:val="24"/>
          <w:u w:val="single"/>
        </w:rPr>
        <w:t>CONCLUSION</w:t>
      </w:r>
    </w:p>
    <w:p w14:paraId="5EE4B7EA" w14:textId="77777777" w:rsidR="002F617D" w:rsidRDefault="002F617D" w:rsidP="00BB7DBC">
      <w:pPr>
        <w:spacing w:after="0" w:line="240" w:lineRule="auto"/>
        <w:rPr>
          <w:rFonts w:ascii="Times New Roman" w:eastAsia="Calibri" w:hAnsi="Times New Roman" w:cs="Times New Roman"/>
          <w:color w:val="252525"/>
          <w:sz w:val="24"/>
          <w:szCs w:val="24"/>
        </w:rPr>
      </w:pPr>
    </w:p>
    <w:p w14:paraId="641EF9AA" w14:textId="73866C54" w:rsidR="002F617D" w:rsidRDefault="00B5198D" w:rsidP="00BB7DBC">
      <w:pPr>
        <w:spacing w:after="0" w:line="240" w:lineRule="auto"/>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ab/>
        <w:t>For the reasons above, DCF is a necessary party in this matter.</w:t>
      </w:r>
    </w:p>
    <w:p w14:paraId="6C9EE3B0" w14:textId="77777777" w:rsidR="002F617D" w:rsidRDefault="002F617D" w:rsidP="00BB7DBC">
      <w:pPr>
        <w:spacing w:after="0" w:line="240" w:lineRule="auto"/>
        <w:rPr>
          <w:rFonts w:ascii="Times New Roman" w:eastAsia="Calibri" w:hAnsi="Times New Roman" w:cs="Times New Roman"/>
          <w:color w:val="252525"/>
          <w:sz w:val="24"/>
          <w:szCs w:val="24"/>
        </w:rPr>
      </w:pPr>
    </w:p>
    <w:p w14:paraId="7A9B7E2D" w14:textId="77777777" w:rsidR="002F617D" w:rsidRPr="002F617D" w:rsidRDefault="002F617D" w:rsidP="002F617D">
      <w:pPr>
        <w:spacing w:after="0" w:line="240" w:lineRule="auto"/>
        <w:rPr>
          <w:rFonts w:ascii="Times New Roman" w:eastAsia="Calibri" w:hAnsi="Times New Roman" w:cs="Times New Roman"/>
          <w:b/>
          <w:sz w:val="24"/>
          <w:szCs w:val="24"/>
        </w:rPr>
      </w:pPr>
      <w:r w:rsidRPr="002F617D">
        <w:rPr>
          <w:rFonts w:ascii="Times New Roman" w:eastAsia="Calibri" w:hAnsi="Times New Roman" w:cs="Times New Roman"/>
          <w:b/>
          <w:sz w:val="24"/>
          <w:szCs w:val="24"/>
        </w:rPr>
        <w:t>ORDER</w:t>
      </w:r>
    </w:p>
    <w:p w14:paraId="1367EFFF" w14:textId="77777777" w:rsidR="00681402" w:rsidRDefault="00681402" w:rsidP="00681402">
      <w:pPr>
        <w:spacing w:after="0" w:line="240" w:lineRule="auto"/>
        <w:ind w:left="720"/>
        <w:contextualSpacing/>
        <w:rPr>
          <w:rFonts w:ascii="Times New Roman" w:eastAsia="Calibri" w:hAnsi="Times New Roman" w:cs="Times New Roman"/>
          <w:b/>
          <w:sz w:val="24"/>
          <w:szCs w:val="24"/>
        </w:rPr>
      </w:pPr>
    </w:p>
    <w:p w14:paraId="2129DB23" w14:textId="54820513" w:rsidR="00B5198D" w:rsidRDefault="00681402" w:rsidP="00B72631">
      <w:pPr>
        <w:spacing w:after="0" w:line="240" w:lineRule="auto"/>
        <w:contextualSpacing/>
        <w:rPr>
          <w:rFonts w:ascii="Times New Roman" w:eastAsia="Calibri" w:hAnsi="Times New Roman" w:cs="Times New Roman"/>
          <w:sz w:val="24"/>
          <w:szCs w:val="24"/>
        </w:rPr>
      </w:pPr>
      <w:r w:rsidRPr="00681402">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B72631">
        <w:rPr>
          <w:rFonts w:ascii="Times New Roman" w:eastAsia="Calibri" w:hAnsi="Times New Roman" w:cs="Times New Roman"/>
          <w:sz w:val="24"/>
          <w:szCs w:val="24"/>
        </w:rPr>
        <w:t>Parent</w:t>
      </w:r>
      <w:r w:rsidR="002F617D" w:rsidRPr="002F617D">
        <w:rPr>
          <w:rFonts w:ascii="Times New Roman" w:eastAsia="Calibri" w:hAnsi="Times New Roman" w:cs="Times New Roman"/>
          <w:sz w:val="24"/>
          <w:szCs w:val="24"/>
        </w:rPr>
        <w:t xml:space="preserve">’s </w:t>
      </w:r>
      <w:r w:rsidRPr="00681402">
        <w:rPr>
          <w:rFonts w:ascii="Times New Roman" w:eastAsia="Calibri" w:hAnsi="Times New Roman" w:cs="Times New Roman"/>
          <w:i/>
          <w:sz w:val="24"/>
          <w:szCs w:val="24"/>
        </w:rPr>
        <w:t xml:space="preserve">Motion to Join </w:t>
      </w:r>
      <w:r w:rsidR="00C179E0">
        <w:rPr>
          <w:rFonts w:ascii="Times New Roman" w:eastAsia="Calibri" w:hAnsi="Times New Roman" w:cs="Times New Roman"/>
          <w:i/>
          <w:sz w:val="24"/>
          <w:szCs w:val="24"/>
        </w:rPr>
        <w:t>the Department of Children and Families</w:t>
      </w:r>
      <w:r w:rsidRPr="00681402">
        <w:rPr>
          <w:rFonts w:ascii="Times New Roman" w:eastAsia="Calibri" w:hAnsi="Times New Roman" w:cs="Times New Roman"/>
          <w:i/>
          <w:sz w:val="24"/>
          <w:szCs w:val="24"/>
        </w:rPr>
        <w:t xml:space="preserve"> </w:t>
      </w:r>
      <w:r w:rsidR="002F617D" w:rsidRPr="002F617D">
        <w:rPr>
          <w:rFonts w:ascii="Times New Roman" w:eastAsia="Calibri" w:hAnsi="Times New Roman" w:cs="Times New Roman"/>
          <w:sz w:val="24"/>
          <w:szCs w:val="24"/>
        </w:rPr>
        <w:t xml:space="preserve">is hereby </w:t>
      </w:r>
      <w:r w:rsidR="00C179E0">
        <w:rPr>
          <w:rFonts w:ascii="Times New Roman" w:eastAsia="Calibri" w:hAnsi="Times New Roman" w:cs="Times New Roman"/>
          <w:sz w:val="24"/>
          <w:szCs w:val="24"/>
        </w:rPr>
        <w:tab/>
      </w:r>
      <w:r w:rsidR="002F617D" w:rsidRPr="002F617D">
        <w:rPr>
          <w:rFonts w:ascii="Times New Roman" w:eastAsia="Calibri" w:hAnsi="Times New Roman" w:cs="Times New Roman"/>
          <w:sz w:val="24"/>
          <w:szCs w:val="24"/>
          <w:u w:val="single"/>
        </w:rPr>
        <w:t>ALLOWED</w:t>
      </w:r>
      <w:r w:rsidR="002F617D" w:rsidRPr="002F617D">
        <w:rPr>
          <w:rFonts w:ascii="Times New Roman" w:eastAsia="Calibri" w:hAnsi="Times New Roman" w:cs="Times New Roman"/>
          <w:sz w:val="24"/>
          <w:szCs w:val="24"/>
        </w:rPr>
        <w:t>.</w:t>
      </w:r>
    </w:p>
    <w:p w14:paraId="36A5E131" w14:textId="77777777" w:rsidR="00B5198D" w:rsidRDefault="00B5198D" w:rsidP="00681402">
      <w:pPr>
        <w:spacing w:after="0" w:line="240" w:lineRule="auto"/>
        <w:contextualSpacing/>
        <w:rPr>
          <w:rFonts w:ascii="Times New Roman" w:eastAsia="Calibri" w:hAnsi="Times New Roman" w:cs="Times New Roman"/>
          <w:sz w:val="24"/>
          <w:szCs w:val="24"/>
        </w:rPr>
      </w:pPr>
    </w:p>
    <w:p w14:paraId="2F1BF3EE" w14:textId="4C8F6DD7" w:rsidR="00E375B7" w:rsidRDefault="00E375B7" w:rsidP="00EE4E2C">
      <w:pPr>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E4E2C">
        <w:rPr>
          <w:rFonts w:ascii="Times New Roman" w:eastAsia="Calibri" w:hAnsi="Times New Roman" w:cs="Times New Roman"/>
          <w:sz w:val="24"/>
          <w:szCs w:val="24"/>
        </w:rPr>
        <w:tab/>
      </w:r>
      <w:r>
        <w:rPr>
          <w:rFonts w:ascii="Times New Roman" w:eastAsia="Calibri" w:hAnsi="Times New Roman" w:cs="Times New Roman"/>
          <w:sz w:val="24"/>
          <w:szCs w:val="24"/>
        </w:rPr>
        <w:t xml:space="preserve">The Hearing will </w:t>
      </w:r>
      <w:r w:rsidR="00B5198D">
        <w:rPr>
          <w:rFonts w:ascii="Times New Roman" w:eastAsia="Calibri" w:hAnsi="Times New Roman" w:cs="Times New Roman"/>
          <w:sz w:val="24"/>
          <w:szCs w:val="24"/>
        </w:rPr>
        <w:t>take</w:t>
      </w:r>
      <w:r>
        <w:rPr>
          <w:rFonts w:ascii="Times New Roman" w:eastAsia="Calibri" w:hAnsi="Times New Roman" w:cs="Times New Roman"/>
          <w:sz w:val="24"/>
          <w:szCs w:val="24"/>
        </w:rPr>
        <w:t xml:space="preserve"> place via Zoom on </w:t>
      </w:r>
      <w:r w:rsidR="00B72631">
        <w:rPr>
          <w:rFonts w:ascii="Times New Roman" w:eastAsia="Calibri" w:hAnsi="Times New Roman" w:cs="Times New Roman"/>
          <w:sz w:val="24"/>
          <w:szCs w:val="24"/>
        </w:rPr>
        <w:t>May 31 and June 1, 2, and 3</w:t>
      </w:r>
      <w:r>
        <w:rPr>
          <w:rFonts w:ascii="Times New Roman" w:eastAsia="Calibri" w:hAnsi="Times New Roman" w:cs="Times New Roman"/>
          <w:sz w:val="24"/>
          <w:szCs w:val="24"/>
        </w:rPr>
        <w:t xml:space="preserve">, 2022, beginning at 10:00 AM each day. Exhibits and witness lists are due </w:t>
      </w:r>
      <w:r w:rsidR="00B72631">
        <w:rPr>
          <w:rFonts w:ascii="Times New Roman" w:eastAsia="Calibri" w:hAnsi="Times New Roman" w:cs="Times New Roman"/>
          <w:sz w:val="24"/>
          <w:szCs w:val="24"/>
        </w:rPr>
        <w:t xml:space="preserve">May 24, </w:t>
      </w:r>
      <w:r>
        <w:rPr>
          <w:rFonts w:ascii="Times New Roman" w:eastAsia="Calibri" w:hAnsi="Times New Roman" w:cs="Times New Roman"/>
          <w:sz w:val="24"/>
          <w:szCs w:val="24"/>
        </w:rPr>
        <w:t>2022, with a copy to the Court Reporter.</w:t>
      </w:r>
    </w:p>
    <w:p w14:paraId="3673F9DD" w14:textId="1A455A8B" w:rsidR="00B5198D" w:rsidRPr="00A6129F" w:rsidRDefault="00B5198D" w:rsidP="00A6129F">
      <w:pPr>
        <w:spacing w:after="0" w:line="240" w:lineRule="auto"/>
        <w:contextualSpacing/>
        <w:rPr>
          <w:rFonts w:ascii="Times New Roman" w:eastAsia="Calibri" w:hAnsi="Times New Roman" w:cs="Times New Roman"/>
          <w:sz w:val="24"/>
          <w:szCs w:val="24"/>
        </w:rPr>
      </w:pPr>
    </w:p>
    <w:p w14:paraId="71AF565E" w14:textId="6E91461D" w:rsidR="00B5198D" w:rsidRPr="00A6129F" w:rsidRDefault="00B5198D" w:rsidP="00A6129F">
      <w:pPr>
        <w:spacing w:after="0" w:line="240" w:lineRule="auto"/>
        <w:contextualSpacing/>
        <w:rPr>
          <w:rFonts w:ascii="Times New Roman" w:eastAsia="Calibri" w:hAnsi="Times New Roman" w:cs="Times New Roman"/>
          <w:sz w:val="24"/>
          <w:szCs w:val="24"/>
        </w:rPr>
      </w:pPr>
    </w:p>
    <w:p w14:paraId="0D7BE4B0" w14:textId="519EE76A" w:rsidR="00A6129F" w:rsidRDefault="00A6129F" w:rsidP="00A6129F">
      <w:pPr>
        <w:spacing w:after="0"/>
        <w:rPr>
          <w:rFonts w:ascii="Times New Roman" w:hAnsi="Times New Roman" w:cs="Times New Roman"/>
          <w:sz w:val="24"/>
          <w:szCs w:val="24"/>
        </w:rPr>
      </w:pPr>
      <w:r w:rsidRPr="00A6129F">
        <w:rPr>
          <w:rFonts w:ascii="Times New Roman" w:hAnsi="Times New Roman" w:cs="Times New Roman"/>
          <w:sz w:val="24"/>
          <w:szCs w:val="24"/>
        </w:rPr>
        <w:t>By the Hearing Officer:</w:t>
      </w:r>
    </w:p>
    <w:p w14:paraId="5820BDD3" w14:textId="77777777" w:rsidR="00F62F7F" w:rsidRPr="00A6129F" w:rsidRDefault="00F62F7F" w:rsidP="00A6129F">
      <w:pPr>
        <w:spacing w:after="0"/>
        <w:rPr>
          <w:rFonts w:ascii="Times New Roman" w:hAnsi="Times New Roman" w:cs="Times New Roman"/>
          <w:sz w:val="24"/>
          <w:szCs w:val="24"/>
        </w:rPr>
      </w:pPr>
    </w:p>
    <w:p w14:paraId="6500E431" w14:textId="77777777" w:rsidR="00A6129F" w:rsidRPr="00A6129F" w:rsidRDefault="00A6129F" w:rsidP="00A6129F">
      <w:pPr>
        <w:spacing w:after="0"/>
        <w:rPr>
          <w:rFonts w:ascii="Times New Roman" w:hAnsi="Times New Roman" w:cs="Times New Roman"/>
          <w:sz w:val="24"/>
          <w:szCs w:val="24"/>
          <w:u w:val="single"/>
        </w:rPr>
      </w:pPr>
      <w:r w:rsidRPr="00A6129F">
        <w:rPr>
          <w:rFonts w:ascii="Times New Roman" w:hAnsi="Times New Roman" w:cs="Times New Roman"/>
          <w:sz w:val="24"/>
          <w:szCs w:val="24"/>
          <w:u w:val="single"/>
        </w:rPr>
        <w:t xml:space="preserve">      /s/</w:t>
      </w:r>
      <w:r w:rsidRPr="00A6129F">
        <w:rPr>
          <w:rFonts w:ascii="Times New Roman" w:hAnsi="Times New Roman" w:cs="Times New Roman"/>
          <w:sz w:val="24"/>
          <w:szCs w:val="24"/>
          <w:u w:val="single"/>
        </w:rPr>
        <w:tab/>
      </w:r>
      <w:r w:rsidRPr="00A6129F">
        <w:rPr>
          <w:rFonts w:ascii="Freestyle Script" w:hAnsi="Freestyle Script" w:cs="Times New Roman"/>
          <w:sz w:val="32"/>
          <w:szCs w:val="32"/>
          <w:u w:val="single"/>
        </w:rPr>
        <w:t>Amy M. Reichbach</w:t>
      </w:r>
    </w:p>
    <w:p w14:paraId="5CEB095B" w14:textId="681C53C5" w:rsidR="00BB7DBC" w:rsidRPr="00D7621E" w:rsidRDefault="00A6129F" w:rsidP="00D7621E">
      <w:pPr>
        <w:spacing w:after="0"/>
        <w:rPr>
          <w:rFonts w:ascii="Times New Roman" w:eastAsia="Times New Roman" w:hAnsi="Times New Roman" w:cs="Times New Roman"/>
          <w:sz w:val="24"/>
          <w:szCs w:val="24"/>
        </w:rPr>
      </w:pPr>
      <w:r w:rsidRPr="00A6129F">
        <w:rPr>
          <w:rFonts w:ascii="Times New Roman" w:hAnsi="Times New Roman" w:cs="Times New Roman"/>
          <w:sz w:val="24"/>
          <w:szCs w:val="24"/>
        </w:rPr>
        <w:t xml:space="preserve">Dated: </w:t>
      </w:r>
      <w:r>
        <w:rPr>
          <w:rFonts w:ascii="Times New Roman" w:hAnsi="Times New Roman" w:cs="Times New Roman"/>
          <w:sz w:val="24"/>
          <w:szCs w:val="24"/>
        </w:rPr>
        <w:t>Ma</w:t>
      </w:r>
      <w:r w:rsidR="00B72631">
        <w:rPr>
          <w:rFonts w:ascii="Times New Roman" w:hAnsi="Times New Roman" w:cs="Times New Roman"/>
          <w:sz w:val="24"/>
          <w:szCs w:val="24"/>
        </w:rPr>
        <w:t>y</w:t>
      </w:r>
      <w:r>
        <w:rPr>
          <w:rFonts w:ascii="Times New Roman" w:hAnsi="Times New Roman" w:cs="Times New Roman"/>
          <w:sz w:val="24"/>
          <w:szCs w:val="24"/>
        </w:rPr>
        <w:t xml:space="preserve"> </w:t>
      </w:r>
      <w:r w:rsidR="00B72631">
        <w:rPr>
          <w:rFonts w:ascii="Times New Roman" w:hAnsi="Times New Roman" w:cs="Times New Roman"/>
          <w:sz w:val="24"/>
          <w:szCs w:val="24"/>
        </w:rPr>
        <w:t>1</w:t>
      </w:r>
      <w:r w:rsidR="00412B4A">
        <w:rPr>
          <w:rFonts w:ascii="Times New Roman" w:hAnsi="Times New Roman" w:cs="Times New Roman"/>
          <w:sz w:val="24"/>
          <w:szCs w:val="24"/>
        </w:rPr>
        <w:t>9</w:t>
      </w:r>
      <w:r>
        <w:rPr>
          <w:rFonts w:ascii="Times New Roman" w:hAnsi="Times New Roman" w:cs="Times New Roman"/>
          <w:sz w:val="24"/>
          <w:szCs w:val="24"/>
        </w:rPr>
        <w:t>, 2022</w:t>
      </w:r>
    </w:p>
    <w:sectPr w:rsidR="00BB7DBC" w:rsidRPr="00D762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07F8" w14:textId="77777777" w:rsidR="005D4B61" w:rsidRDefault="005D4B61" w:rsidP="000B300C">
      <w:pPr>
        <w:spacing w:after="0" w:line="240" w:lineRule="auto"/>
      </w:pPr>
      <w:r>
        <w:separator/>
      </w:r>
    </w:p>
  </w:endnote>
  <w:endnote w:type="continuationSeparator" w:id="0">
    <w:p w14:paraId="426B271D" w14:textId="77777777" w:rsidR="005D4B61" w:rsidRDefault="005D4B61"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F948" w14:textId="77777777" w:rsidR="005D4B61" w:rsidRDefault="005D4B61" w:rsidP="000B300C">
      <w:pPr>
        <w:spacing w:after="0" w:line="240" w:lineRule="auto"/>
      </w:pPr>
      <w:r>
        <w:separator/>
      </w:r>
    </w:p>
  </w:footnote>
  <w:footnote w:type="continuationSeparator" w:id="0">
    <w:p w14:paraId="7ACE98D2" w14:textId="77777777" w:rsidR="005D4B61" w:rsidRDefault="005D4B61" w:rsidP="000B300C">
      <w:pPr>
        <w:spacing w:after="0" w:line="240" w:lineRule="auto"/>
      </w:pPr>
      <w:r>
        <w:continuationSeparator/>
      </w:r>
    </w:p>
  </w:footnote>
  <w:footnote w:id="1">
    <w:p w14:paraId="4C8759D3" w14:textId="30834D97" w:rsidR="006C467F" w:rsidRDefault="006C467F">
      <w:pPr>
        <w:pStyle w:val="FootnoteText"/>
      </w:pPr>
      <w:r>
        <w:rPr>
          <w:rStyle w:val="FootnoteReference"/>
        </w:rPr>
        <w:footnoteRef/>
      </w:r>
      <w:r>
        <w:t xml:space="preserve"> </w:t>
      </w:r>
      <w:r w:rsidR="00687334">
        <w:t xml:space="preserve">Yakov </w:t>
      </w:r>
      <w:r>
        <w:t xml:space="preserve">is a pseudonym chosen by the Hearing Officer to protect the student’s identity in public documents. </w:t>
      </w:r>
    </w:p>
  </w:footnote>
  <w:footnote w:id="2">
    <w:p w14:paraId="6EB87697" w14:textId="5ED47BEF" w:rsidR="00032344" w:rsidRDefault="00032344">
      <w:pPr>
        <w:pStyle w:val="FootnoteText"/>
      </w:pPr>
      <w:r>
        <w:rPr>
          <w:rStyle w:val="FootnoteReference"/>
        </w:rPr>
        <w:footnoteRef/>
      </w:r>
      <w:r>
        <w:t xml:space="preserve"> The undersigned Hearing Officer was seated on a grand jury the first week in April.</w:t>
      </w:r>
    </w:p>
  </w:footnote>
  <w:footnote w:id="3">
    <w:p w14:paraId="01DFC2C4" w14:textId="5382F05B" w:rsidR="00EF6A0C" w:rsidRDefault="00EF6A0C">
      <w:pPr>
        <w:pStyle w:val="FootnoteText"/>
      </w:pPr>
      <w:r>
        <w:rPr>
          <w:rStyle w:val="FootnoteReference"/>
        </w:rPr>
        <w:footnoteRef/>
      </w:r>
      <w:r>
        <w:t xml:space="preserve"> Parent also requested a finding that Lynn Public Schools violated procedural protections by failing to reconvene the Team within ten days after receipt of an independent evaluation report on October 6, 2021, and an order that Lynn compensate Yakov for the time he has spent, or will spend, without appropriate educational services.</w:t>
      </w:r>
    </w:p>
  </w:footnote>
  <w:footnote w:id="4">
    <w:p w14:paraId="6AB07E85" w14:textId="77777777" w:rsidR="006A6C43" w:rsidRPr="00DF640A" w:rsidRDefault="006A6C43" w:rsidP="006A6C43">
      <w:pPr>
        <w:pStyle w:val="FootnoteText"/>
      </w:pPr>
      <w:r>
        <w:rPr>
          <w:rStyle w:val="FootnoteReference"/>
        </w:rPr>
        <w:footnoteRef/>
      </w:r>
      <w:r>
        <w:t xml:space="preserve"> Although the Requested Relief section of Parent’s </w:t>
      </w:r>
      <w:r>
        <w:rPr>
          <w:i/>
          <w:iCs/>
        </w:rPr>
        <w:t xml:space="preserve">Hearing Request </w:t>
      </w:r>
      <w:r>
        <w:t>refers to Intermittent Explosive Disorder, the origin of this diagnosis is unclear.</w:t>
      </w:r>
    </w:p>
  </w:footnote>
  <w:footnote w:id="5">
    <w:p w14:paraId="414D7A26" w14:textId="2BFACBDF" w:rsidR="009569FC" w:rsidRDefault="009569FC">
      <w:pPr>
        <w:pStyle w:val="FootnoteText"/>
      </w:pPr>
      <w:r>
        <w:rPr>
          <w:rStyle w:val="FootnoteReference"/>
        </w:rPr>
        <w:footnoteRef/>
      </w:r>
      <w:r>
        <w:t xml:space="preserve"> </w:t>
      </w:r>
      <w:r w:rsidRPr="009569FC">
        <w:t xml:space="preserve">M.G.L. c 71B, § </w:t>
      </w:r>
      <w:r>
        <w:t>2A</w:t>
      </w:r>
      <w:r w:rsidRPr="009569FC">
        <w:t xml:space="preserve">; </w:t>
      </w:r>
      <w:r w:rsidRPr="00F31B65">
        <w:t>see</w:t>
      </w:r>
      <w:r w:rsidRPr="009569FC">
        <w:t xml:space="preserve"> 603 CMR 28.08(3) (corresponding regulations).</w:t>
      </w:r>
    </w:p>
  </w:footnote>
  <w:footnote w:id="6">
    <w:p w14:paraId="1A784FA3" w14:textId="44503A3C" w:rsidR="00CE2773" w:rsidRDefault="00CE2773" w:rsidP="005F2191">
      <w:pPr>
        <w:pStyle w:val="FootnoteText"/>
        <w:tabs>
          <w:tab w:val="left" w:pos="2770"/>
        </w:tabs>
      </w:pPr>
      <w:r>
        <w:rPr>
          <w:rStyle w:val="FootnoteReference"/>
        </w:rPr>
        <w:footnoteRef/>
      </w:r>
      <w:r>
        <w:t xml:space="preserve"> </w:t>
      </w:r>
      <w:r w:rsidR="00D7621E">
        <w:t xml:space="preserve">See </w:t>
      </w:r>
      <w:r w:rsidRPr="007F593A">
        <w:rPr>
          <w:rFonts w:cs="Times New Roman"/>
        </w:rPr>
        <w:t>M.G.L. c 71B, §§</w:t>
      </w:r>
      <w:r>
        <w:rPr>
          <w:rFonts w:cs="Times New Roman"/>
        </w:rPr>
        <w:t xml:space="preserve"> 2A,</w:t>
      </w:r>
      <w:r w:rsidRPr="007F593A">
        <w:rPr>
          <w:rFonts w:cs="Times New Roman"/>
        </w:rPr>
        <w:t xml:space="preserve"> 3</w:t>
      </w:r>
      <w:r w:rsidR="005F2191">
        <w:rPr>
          <w:rFonts w:cs="Times New Roman"/>
        </w:rPr>
        <w:t xml:space="preserve">; </w:t>
      </w:r>
      <w:r w:rsidR="005F2191" w:rsidRPr="007F593A">
        <w:rPr>
          <w:rFonts w:cs="Times New Roman"/>
        </w:rPr>
        <w:t>603 CMR 28.08(3).</w:t>
      </w:r>
    </w:p>
  </w:footnote>
  <w:footnote w:id="7">
    <w:p w14:paraId="73981F88" w14:textId="520CBCE4" w:rsidR="00BB7DBC" w:rsidRPr="007F593A" w:rsidRDefault="00BB7DBC" w:rsidP="00BB7DBC">
      <w:pPr>
        <w:pStyle w:val="FootnoteText"/>
        <w:rPr>
          <w:rFonts w:cs="Times New Roman"/>
        </w:rPr>
      </w:pPr>
      <w:r w:rsidRPr="007F593A">
        <w:rPr>
          <w:rStyle w:val="FootnoteReference"/>
          <w:rFonts w:cs="Times New Roman"/>
        </w:rPr>
        <w:footnoteRef/>
      </w:r>
      <w:r w:rsidRPr="007F593A">
        <w:rPr>
          <w:rFonts w:cs="Times New Roman"/>
        </w:rPr>
        <w:t xml:space="preserve"> M.G.L. c 71B, § 3; </w:t>
      </w:r>
      <w:r w:rsidRPr="00E27E3E">
        <w:rPr>
          <w:rFonts w:cs="Times New Roman"/>
        </w:rPr>
        <w:t>see</w:t>
      </w:r>
      <w:r w:rsidRPr="007F593A">
        <w:rPr>
          <w:rFonts w:cs="Times New Roman"/>
          <w:i/>
        </w:rPr>
        <w:t xml:space="preserve"> </w:t>
      </w:r>
      <w:r w:rsidRPr="007F593A">
        <w:rPr>
          <w:rFonts w:cs="Times New Roman"/>
        </w:rPr>
        <w:t>603 CMR 28.08(3).</w:t>
      </w:r>
    </w:p>
  </w:footnote>
  <w:footnote w:id="8">
    <w:p w14:paraId="6499483F" w14:textId="6C39DBA8" w:rsidR="009569FC" w:rsidRPr="007F593A" w:rsidRDefault="009569FC" w:rsidP="009569FC">
      <w:pPr>
        <w:pStyle w:val="FootnoteText"/>
        <w:rPr>
          <w:rFonts w:cs="Times New Roman"/>
        </w:rPr>
      </w:pPr>
      <w:r w:rsidRPr="007F593A">
        <w:rPr>
          <w:rStyle w:val="FootnoteReference"/>
          <w:rFonts w:cs="Times New Roman"/>
        </w:rPr>
        <w:footnoteRef/>
      </w:r>
      <w:r w:rsidRPr="007F593A">
        <w:rPr>
          <w:rFonts w:cs="Times New Roman"/>
        </w:rPr>
        <w:t xml:space="preserve"> </w:t>
      </w:r>
      <w:r w:rsidR="00E93C8B">
        <w:rPr>
          <w:rFonts w:cs="Times New Roman"/>
        </w:rPr>
        <w:t xml:space="preserve">See </w:t>
      </w:r>
      <w:r w:rsidRPr="007F593A">
        <w:rPr>
          <w:rFonts w:cs="Times New Roman"/>
        </w:rPr>
        <w:t xml:space="preserve">BSEA </w:t>
      </w:r>
      <w:r w:rsidRPr="007F593A">
        <w:rPr>
          <w:rFonts w:cs="Times New Roman"/>
          <w:i/>
        </w:rPr>
        <w:t>Hearing Rule</w:t>
      </w:r>
      <w:r w:rsidRPr="007F593A">
        <w:rPr>
          <w:rFonts w:cs="Times New Roman"/>
        </w:rPr>
        <w:t xml:space="preserve"> I(J).</w:t>
      </w:r>
    </w:p>
  </w:footnote>
  <w:footnote w:id="9">
    <w:p w14:paraId="7E9C0AE6" w14:textId="77777777" w:rsidR="00692952" w:rsidRPr="007F593A" w:rsidRDefault="00692952" w:rsidP="00692952">
      <w:pPr>
        <w:pStyle w:val="FootnoteText"/>
        <w:contextualSpacing/>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7.404(2) </w:t>
      </w:r>
      <w:r>
        <w:rPr>
          <w:rFonts w:cs="Times New Roman"/>
        </w:rPr>
        <w:t>(</w:t>
      </w:r>
      <w:r w:rsidRPr="007F593A">
        <w:rPr>
          <w:rFonts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Pr>
          <w:rFonts w:cs="Times New Roman"/>
        </w:rPr>
        <w:t>)</w:t>
      </w:r>
    </w:p>
  </w:footnote>
  <w:footnote w:id="10">
    <w:p w14:paraId="6951F192" w14:textId="5CE45E13" w:rsidR="00457FFA" w:rsidRPr="00457FFA" w:rsidRDefault="00692952" w:rsidP="00692952">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w:t>
      </w:r>
      <w:r w:rsidR="00F63C57">
        <w:rPr>
          <w:sz w:val="20"/>
          <w:szCs w:val="20"/>
        </w:rPr>
        <w:t>7.</w:t>
      </w:r>
      <w:r w:rsidRPr="007F593A">
        <w:rPr>
          <w:sz w:val="20"/>
          <w:szCs w:val="20"/>
        </w:rPr>
        <w:t xml:space="preserve">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 xml:space="preserve">10 (pertaining to voluntary </w:t>
      </w:r>
      <w:r w:rsidR="00E93C8B">
        <w:rPr>
          <w:sz w:val="20"/>
          <w:szCs w:val="20"/>
        </w:rPr>
        <w:t>placement agreements</w:t>
      </w:r>
      <w:r w:rsidRPr="007F593A">
        <w:rPr>
          <w:sz w:val="20"/>
          <w:szCs w:val="20"/>
        </w:rPr>
        <w:t>).</w:t>
      </w:r>
      <w:r w:rsidR="00457FFA">
        <w:rPr>
          <w:sz w:val="20"/>
          <w:szCs w:val="20"/>
        </w:rPr>
        <w:t xml:space="preserve"> See </w:t>
      </w:r>
      <w:r w:rsidR="00457FFA">
        <w:rPr>
          <w:i/>
          <w:iCs/>
          <w:sz w:val="20"/>
          <w:szCs w:val="20"/>
        </w:rPr>
        <w:t>In Re Westford Public Schools and Ugo</w:t>
      </w:r>
      <w:r w:rsidR="00457FFA">
        <w:rPr>
          <w:sz w:val="20"/>
          <w:szCs w:val="20"/>
        </w:rPr>
        <w:t>, BSEA #1607899 (Reichbach 2016).</w:t>
      </w:r>
    </w:p>
  </w:footnote>
  <w:footnote w:id="11">
    <w:p w14:paraId="192E96D8" w14:textId="77777777" w:rsidR="00692952" w:rsidRPr="007F593A" w:rsidRDefault="00692952" w:rsidP="00692952">
      <w:pPr>
        <w:pStyle w:val="FootnoteText"/>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4.04-4.06</w:t>
      </w:r>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267008461">
    <w:abstractNumId w:val="2"/>
  </w:num>
  <w:num w:numId="2" w16cid:durableId="668338477">
    <w:abstractNumId w:val="1"/>
    <w:lvlOverride w:ilvl="0">
      <w:lvl w:ilvl="0">
        <w:numFmt w:val="upperLetter"/>
        <w:lvlText w:val="%1."/>
        <w:lvlJc w:val="left"/>
      </w:lvl>
    </w:lvlOverride>
  </w:num>
  <w:num w:numId="3" w16cid:durableId="1995791776">
    <w:abstractNumId w:val="0"/>
    <w:lvlOverride w:ilvl="0">
      <w:lvl w:ilvl="0">
        <w:numFmt w:val="upperLetter"/>
        <w:lvlText w:val="%1."/>
        <w:lvlJc w:val="left"/>
      </w:lvl>
    </w:lvlOverride>
  </w:num>
  <w:num w:numId="4" w16cid:durableId="1889878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B9D"/>
    <w:rsid w:val="00002804"/>
    <w:rsid w:val="00002828"/>
    <w:rsid w:val="00010BE1"/>
    <w:rsid w:val="00025461"/>
    <w:rsid w:val="000261FE"/>
    <w:rsid w:val="000271EE"/>
    <w:rsid w:val="00032344"/>
    <w:rsid w:val="00057FF2"/>
    <w:rsid w:val="00061CF1"/>
    <w:rsid w:val="000901BB"/>
    <w:rsid w:val="000B2A27"/>
    <w:rsid w:val="000B300C"/>
    <w:rsid w:val="000C3A96"/>
    <w:rsid w:val="000C7BF3"/>
    <w:rsid w:val="000D1B68"/>
    <w:rsid w:val="000D3D3D"/>
    <w:rsid w:val="00101C81"/>
    <w:rsid w:val="00126508"/>
    <w:rsid w:val="00141775"/>
    <w:rsid w:val="00154589"/>
    <w:rsid w:val="00177848"/>
    <w:rsid w:val="001A17B3"/>
    <w:rsid w:val="001B49DA"/>
    <w:rsid w:val="001C3CE5"/>
    <w:rsid w:val="001D4FC2"/>
    <w:rsid w:val="001F7C6D"/>
    <w:rsid w:val="002050B5"/>
    <w:rsid w:val="00221562"/>
    <w:rsid w:val="002467DA"/>
    <w:rsid w:val="00275CFD"/>
    <w:rsid w:val="00277563"/>
    <w:rsid w:val="002818C1"/>
    <w:rsid w:val="0028577A"/>
    <w:rsid w:val="002B6503"/>
    <w:rsid w:val="002B72FD"/>
    <w:rsid w:val="002B7E28"/>
    <w:rsid w:val="002D1194"/>
    <w:rsid w:val="002F617D"/>
    <w:rsid w:val="0030553F"/>
    <w:rsid w:val="00322F01"/>
    <w:rsid w:val="00323179"/>
    <w:rsid w:val="00326AE6"/>
    <w:rsid w:val="003361F6"/>
    <w:rsid w:val="0034029B"/>
    <w:rsid w:val="00394962"/>
    <w:rsid w:val="003B166F"/>
    <w:rsid w:val="003B2143"/>
    <w:rsid w:val="003C1CE3"/>
    <w:rsid w:val="003D20DE"/>
    <w:rsid w:val="00402188"/>
    <w:rsid w:val="00412B4A"/>
    <w:rsid w:val="00413B62"/>
    <w:rsid w:val="00455C08"/>
    <w:rsid w:val="00456C7A"/>
    <w:rsid w:val="00457FFA"/>
    <w:rsid w:val="00471FB4"/>
    <w:rsid w:val="00472E38"/>
    <w:rsid w:val="00480A5E"/>
    <w:rsid w:val="0048247E"/>
    <w:rsid w:val="00496E97"/>
    <w:rsid w:val="004B3E2F"/>
    <w:rsid w:val="004B7A7E"/>
    <w:rsid w:val="004E5466"/>
    <w:rsid w:val="005074DE"/>
    <w:rsid w:val="005377BB"/>
    <w:rsid w:val="00547EA6"/>
    <w:rsid w:val="00564D7D"/>
    <w:rsid w:val="00575717"/>
    <w:rsid w:val="00586699"/>
    <w:rsid w:val="005A5AC0"/>
    <w:rsid w:val="005A6F91"/>
    <w:rsid w:val="005B7085"/>
    <w:rsid w:val="005C1200"/>
    <w:rsid w:val="005D294B"/>
    <w:rsid w:val="005D4B61"/>
    <w:rsid w:val="005D656F"/>
    <w:rsid w:val="005E61EA"/>
    <w:rsid w:val="005F2191"/>
    <w:rsid w:val="00606E57"/>
    <w:rsid w:val="0062074F"/>
    <w:rsid w:val="00641F7B"/>
    <w:rsid w:val="00663525"/>
    <w:rsid w:val="006677F4"/>
    <w:rsid w:val="0067700C"/>
    <w:rsid w:val="00681402"/>
    <w:rsid w:val="0068476E"/>
    <w:rsid w:val="00684935"/>
    <w:rsid w:val="00687334"/>
    <w:rsid w:val="00692952"/>
    <w:rsid w:val="006A6C43"/>
    <w:rsid w:val="006B4207"/>
    <w:rsid w:val="006B5F1B"/>
    <w:rsid w:val="006C05D3"/>
    <w:rsid w:val="006C467F"/>
    <w:rsid w:val="006C58E2"/>
    <w:rsid w:val="006C7802"/>
    <w:rsid w:val="006D102B"/>
    <w:rsid w:val="006D2091"/>
    <w:rsid w:val="006D3075"/>
    <w:rsid w:val="006E3DBF"/>
    <w:rsid w:val="00702395"/>
    <w:rsid w:val="00710530"/>
    <w:rsid w:val="00724C52"/>
    <w:rsid w:val="0077613A"/>
    <w:rsid w:val="00777DC8"/>
    <w:rsid w:val="00784FEC"/>
    <w:rsid w:val="007A32FF"/>
    <w:rsid w:val="007A4572"/>
    <w:rsid w:val="007D6896"/>
    <w:rsid w:val="007D767A"/>
    <w:rsid w:val="007E5059"/>
    <w:rsid w:val="007F00D7"/>
    <w:rsid w:val="008052F1"/>
    <w:rsid w:val="0080733B"/>
    <w:rsid w:val="008234B3"/>
    <w:rsid w:val="00854FEC"/>
    <w:rsid w:val="008701E1"/>
    <w:rsid w:val="00873E2B"/>
    <w:rsid w:val="008A24D1"/>
    <w:rsid w:val="008A5092"/>
    <w:rsid w:val="008D6429"/>
    <w:rsid w:val="008E3E93"/>
    <w:rsid w:val="008E6375"/>
    <w:rsid w:val="008E6ADC"/>
    <w:rsid w:val="008F240A"/>
    <w:rsid w:val="009456DC"/>
    <w:rsid w:val="009518D6"/>
    <w:rsid w:val="009569FC"/>
    <w:rsid w:val="0097089D"/>
    <w:rsid w:val="009931E7"/>
    <w:rsid w:val="009C4AE9"/>
    <w:rsid w:val="009D291F"/>
    <w:rsid w:val="009F19AD"/>
    <w:rsid w:val="00A158FA"/>
    <w:rsid w:val="00A46898"/>
    <w:rsid w:val="00A6129F"/>
    <w:rsid w:val="00A647D7"/>
    <w:rsid w:val="00AB7A5B"/>
    <w:rsid w:val="00AD78CD"/>
    <w:rsid w:val="00AF25C7"/>
    <w:rsid w:val="00AF72FC"/>
    <w:rsid w:val="00B05529"/>
    <w:rsid w:val="00B22FFD"/>
    <w:rsid w:val="00B2526B"/>
    <w:rsid w:val="00B3063E"/>
    <w:rsid w:val="00B33AAF"/>
    <w:rsid w:val="00B4565E"/>
    <w:rsid w:val="00B5198D"/>
    <w:rsid w:val="00B623A3"/>
    <w:rsid w:val="00B72631"/>
    <w:rsid w:val="00B91E58"/>
    <w:rsid w:val="00B93286"/>
    <w:rsid w:val="00BA4187"/>
    <w:rsid w:val="00BB4D56"/>
    <w:rsid w:val="00BB7DBC"/>
    <w:rsid w:val="00BE0758"/>
    <w:rsid w:val="00BE1012"/>
    <w:rsid w:val="00BE7FAC"/>
    <w:rsid w:val="00C016F5"/>
    <w:rsid w:val="00C01B01"/>
    <w:rsid w:val="00C05555"/>
    <w:rsid w:val="00C179E0"/>
    <w:rsid w:val="00C678CB"/>
    <w:rsid w:val="00C70A9A"/>
    <w:rsid w:val="00C86A5F"/>
    <w:rsid w:val="00C9101E"/>
    <w:rsid w:val="00C93660"/>
    <w:rsid w:val="00CD5D05"/>
    <w:rsid w:val="00CE2773"/>
    <w:rsid w:val="00CF1767"/>
    <w:rsid w:val="00CF39E3"/>
    <w:rsid w:val="00CF3C25"/>
    <w:rsid w:val="00CF3DBD"/>
    <w:rsid w:val="00CF43CA"/>
    <w:rsid w:val="00D0445D"/>
    <w:rsid w:val="00D063AF"/>
    <w:rsid w:val="00D56118"/>
    <w:rsid w:val="00D65D85"/>
    <w:rsid w:val="00D7621E"/>
    <w:rsid w:val="00D91F27"/>
    <w:rsid w:val="00DD095E"/>
    <w:rsid w:val="00DE6CC1"/>
    <w:rsid w:val="00DE7A13"/>
    <w:rsid w:val="00DF51E6"/>
    <w:rsid w:val="00DF640A"/>
    <w:rsid w:val="00E11984"/>
    <w:rsid w:val="00E27E3E"/>
    <w:rsid w:val="00E33344"/>
    <w:rsid w:val="00E351DD"/>
    <w:rsid w:val="00E375B7"/>
    <w:rsid w:val="00E74D7B"/>
    <w:rsid w:val="00E74D93"/>
    <w:rsid w:val="00E76824"/>
    <w:rsid w:val="00E83BAB"/>
    <w:rsid w:val="00E93C8B"/>
    <w:rsid w:val="00EB124C"/>
    <w:rsid w:val="00EE4E2C"/>
    <w:rsid w:val="00EF6A0C"/>
    <w:rsid w:val="00F1572B"/>
    <w:rsid w:val="00F31B65"/>
    <w:rsid w:val="00F510CD"/>
    <w:rsid w:val="00F5253E"/>
    <w:rsid w:val="00F62F7F"/>
    <w:rsid w:val="00F63115"/>
    <w:rsid w:val="00F63C57"/>
    <w:rsid w:val="00F66064"/>
    <w:rsid w:val="00F72943"/>
    <w:rsid w:val="00F73FB4"/>
    <w:rsid w:val="00F97A17"/>
    <w:rsid w:val="00FA363F"/>
    <w:rsid w:val="00FA39A4"/>
    <w:rsid w:val="00FA490D"/>
    <w:rsid w:val="00FB7FB4"/>
    <w:rsid w:val="00FC6F4A"/>
    <w:rsid w:val="00FD32FD"/>
    <w:rsid w:val="00FD47A2"/>
    <w:rsid w:val="00FD696D"/>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B33AAF"/>
    <w:rPr>
      <w:rFonts w:ascii="Times New Roman" w:hAnsi="Times New Roman"/>
      <w:sz w:val="20"/>
      <w:szCs w:val="20"/>
    </w:rPr>
  </w:style>
  <w:style w:type="character" w:styleId="FootnoteReference">
    <w:name w:val="footnote reference"/>
    <w:basedOn w:val="DefaultParagraphFont"/>
    <w:uiPriority w:val="99"/>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 w:type="paragraph" w:styleId="Revision">
    <w:name w:val="Revision"/>
    <w:hidden/>
    <w:uiPriority w:val="99"/>
    <w:semiHidden/>
    <w:rsid w:val="00413B62"/>
    <w:pPr>
      <w:spacing w:after="0" w:line="240" w:lineRule="auto"/>
    </w:pPr>
  </w:style>
  <w:style w:type="character" w:styleId="CommentReference">
    <w:name w:val="annotation reference"/>
    <w:basedOn w:val="DefaultParagraphFont"/>
    <w:uiPriority w:val="99"/>
    <w:semiHidden/>
    <w:unhideWhenUsed/>
    <w:rsid w:val="00472E38"/>
    <w:rPr>
      <w:sz w:val="16"/>
      <w:szCs w:val="16"/>
    </w:rPr>
  </w:style>
  <w:style w:type="paragraph" w:styleId="CommentText">
    <w:name w:val="annotation text"/>
    <w:basedOn w:val="Normal"/>
    <w:link w:val="CommentTextChar"/>
    <w:uiPriority w:val="99"/>
    <w:semiHidden/>
    <w:unhideWhenUsed/>
    <w:rsid w:val="00472E38"/>
    <w:pPr>
      <w:spacing w:line="240" w:lineRule="auto"/>
    </w:pPr>
    <w:rPr>
      <w:sz w:val="20"/>
      <w:szCs w:val="20"/>
    </w:rPr>
  </w:style>
  <w:style w:type="character" w:customStyle="1" w:styleId="CommentTextChar">
    <w:name w:val="Comment Text Char"/>
    <w:basedOn w:val="DefaultParagraphFont"/>
    <w:link w:val="CommentText"/>
    <w:uiPriority w:val="99"/>
    <w:semiHidden/>
    <w:rsid w:val="00472E38"/>
    <w:rPr>
      <w:sz w:val="20"/>
      <w:szCs w:val="20"/>
    </w:rPr>
  </w:style>
  <w:style w:type="paragraph" w:styleId="CommentSubject">
    <w:name w:val="annotation subject"/>
    <w:basedOn w:val="CommentText"/>
    <w:next w:val="CommentText"/>
    <w:link w:val="CommentSubjectChar"/>
    <w:uiPriority w:val="99"/>
    <w:semiHidden/>
    <w:unhideWhenUsed/>
    <w:rsid w:val="00472E38"/>
    <w:rPr>
      <w:b/>
      <w:bCs/>
    </w:rPr>
  </w:style>
  <w:style w:type="character" w:customStyle="1" w:styleId="CommentSubjectChar">
    <w:name w:val="Comment Subject Char"/>
    <w:basedOn w:val="CommentTextChar"/>
    <w:link w:val="CommentSubject"/>
    <w:uiPriority w:val="99"/>
    <w:semiHidden/>
    <w:rsid w:val="00472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Reichbach, Amy (ALA)</cp:lastModifiedBy>
  <cp:revision>3</cp:revision>
  <cp:lastPrinted>2022-05-19T19:50:00Z</cp:lastPrinted>
  <dcterms:created xsi:type="dcterms:W3CDTF">2022-05-19T20:05:00Z</dcterms:created>
  <dcterms:modified xsi:type="dcterms:W3CDTF">2022-05-19T21:00:00Z</dcterms:modified>
</cp:coreProperties>
</file>