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4448" w14:textId="77777777" w:rsidR="000B300C" w:rsidRPr="00BD3EA7" w:rsidRDefault="000B300C" w:rsidP="000B300C">
      <w:pPr>
        <w:spacing w:after="0" w:line="240" w:lineRule="auto"/>
        <w:jc w:val="center"/>
        <w:rPr>
          <w:rFonts w:ascii="Times New Roman" w:eastAsia="Calibri" w:hAnsi="Times New Roman" w:cs="Times New Roman"/>
          <w:b/>
          <w:sz w:val="25"/>
          <w:szCs w:val="25"/>
        </w:rPr>
      </w:pPr>
      <w:r w:rsidRPr="00BD3EA7">
        <w:rPr>
          <w:rFonts w:ascii="Times New Roman" w:eastAsia="Calibri" w:hAnsi="Times New Roman" w:cs="Times New Roman"/>
          <w:b/>
          <w:sz w:val="25"/>
          <w:szCs w:val="25"/>
        </w:rPr>
        <w:t>COMMONWEALTH OF MASSACHUSETTS</w:t>
      </w:r>
    </w:p>
    <w:p w14:paraId="0D424EA2" w14:textId="77777777" w:rsidR="000B300C" w:rsidRPr="00BD3EA7" w:rsidRDefault="000B300C" w:rsidP="000B300C">
      <w:pPr>
        <w:spacing w:after="0" w:line="240" w:lineRule="auto"/>
        <w:jc w:val="center"/>
        <w:rPr>
          <w:rFonts w:ascii="Times New Roman" w:eastAsia="Calibri" w:hAnsi="Times New Roman" w:cs="Times New Roman"/>
          <w:b/>
          <w:sz w:val="25"/>
          <w:szCs w:val="25"/>
        </w:rPr>
      </w:pPr>
      <w:r w:rsidRPr="00BD3EA7">
        <w:rPr>
          <w:rFonts w:ascii="Times New Roman" w:eastAsia="Calibri" w:hAnsi="Times New Roman" w:cs="Times New Roman"/>
          <w:b/>
          <w:sz w:val="25"/>
          <w:szCs w:val="25"/>
        </w:rPr>
        <w:t>DIVISION OF ADMININSTRATIVE LAW APPEALS</w:t>
      </w:r>
    </w:p>
    <w:p w14:paraId="43CF5379" w14:textId="77777777" w:rsidR="000B300C" w:rsidRPr="00BD3EA7" w:rsidRDefault="000B300C" w:rsidP="000B300C">
      <w:pPr>
        <w:spacing w:after="0" w:line="240" w:lineRule="auto"/>
        <w:jc w:val="center"/>
        <w:rPr>
          <w:rFonts w:ascii="Times New Roman" w:eastAsia="Calibri" w:hAnsi="Times New Roman" w:cs="Times New Roman"/>
          <w:b/>
          <w:sz w:val="25"/>
          <w:szCs w:val="25"/>
        </w:rPr>
      </w:pPr>
      <w:r w:rsidRPr="00BD3EA7">
        <w:rPr>
          <w:rFonts w:ascii="Times New Roman" w:eastAsia="Calibri" w:hAnsi="Times New Roman" w:cs="Times New Roman"/>
          <w:b/>
          <w:sz w:val="25"/>
          <w:szCs w:val="25"/>
        </w:rPr>
        <w:t>BUREAU OF SPECIAL EDUCATION APPEALS</w:t>
      </w:r>
    </w:p>
    <w:p w14:paraId="03C232C3" w14:textId="77777777" w:rsidR="000B300C" w:rsidRPr="00BD3EA7" w:rsidRDefault="000B300C" w:rsidP="000B300C">
      <w:pPr>
        <w:spacing w:after="0" w:line="240" w:lineRule="auto"/>
        <w:jc w:val="center"/>
        <w:rPr>
          <w:rFonts w:ascii="Times New Roman" w:eastAsia="Calibri" w:hAnsi="Times New Roman" w:cs="Times New Roman"/>
          <w:sz w:val="25"/>
          <w:szCs w:val="25"/>
        </w:rPr>
      </w:pPr>
    </w:p>
    <w:p w14:paraId="4C22023C" w14:textId="77777777" w:rsidR="000B300C" w:rsidRPr="00BD3EA7" w:rsidRDefault="000B300C" w:rsidP="000B300C">
      <w:pPr>
        <w:spacing w:after="0" w:line="240" w:lineRule="auto"/>
        <w:jc w:val="center"/>
        <w:rPr>
          <w:rFonts w:ascii="Times New Roman" w:eastAsia="Calibri" w:hAnsi="Times New Roman" w:cs="Times New Roman"/>
          <w:sz w:val="24"/>
          <w:szCs w:val="24"/>
        </w:rPr>
      </w:pPr>
    </w:p>
    <w:p w14:paraId="4FBC95C2" w14:textId="037BBFF5" w:rsidR="000B300C" w:rsidRPr="00BD3EA7" w:rsidRDefault="000B300C" w:rsidP="000B300C">
      <w:pPr>
        <w:spacing w:after="0" w:line="240" w:lineRule="auto"/>
        <w:rPr>
          <w:rFonts w:ascii="Times New Roman" w:eastAsia="Calibri" w:hAnsi="Times New Roman" w:cs="Times New Roman"/>
          <w:sz w:val="24"/>
          <w:szCs w:val="24"/>
        </w:rPr>
      </w:pPr>
      <w:r w:rsidRPr="00BD3EA7">
        <w:rPr>
          <w:rFonts w:ascii="Times New Roman" w:eastAsia="Calibri" w:hAnsi="Times New Roman" w:cs="Times New Roman"/>
          <w:sz w:val="24"/>
          <w:szCs w:val="24"/>
        </w:rPr>
        <w:t xml:space="preserve">In re:    </w:t>
      </w:r>
      <w:proofErr w:type="spellStart"/>
      <w:r w:rsidR="00C70A9A" w:rsidRPr="00BD3EA7">
        <w:rPr>
          <w:rFonts w:ascii="Times New Roman" w:eastAsia="Calibri" w:hAnsi="Times New Roman" w:cs="Times New Roman"/>
          <w:sz w:val="24"/>
          <w:szCs w:val="24"/>
        </w:rPr>
        <w:t>Xili</w:t>
      </w:r>
      <w:proofErr w:type="spellEnd"/>
      <w:r w:rsidR="006C467F" w:rsidRPr="00BD3EA7">
        <w:rPr>
          <w:rStyle w:val="FootnoteReference"/>
          <w:rFonts w:ascii="Times New Roman" w:eastAsia="Calibri" w:hAnsi="Times New Roman" w:cs="Times New Roman"/>
          <w:sz w:val="24"/>
          <w:szCs w:val="24"/>
        </w:rPr>
        <w:footnoteReference w:id="1"/>
      </w:r>
      <w:r w:rsidR="006C467F" w:rsidRPr="00BD3EA7">
        <w:rPr>
          <w:rFonts w:ascii="Times New Roman" w:eastAsia="Calibri" w:hAnsi="Times New Roman" w:cs="Times New Roman"/>
          <w:sz w:val="24"/>
          <w:szCs w:val="24"/>
        </w:rPr>
        <w:t xml:space="preserve"> </w:t>
      </w:r>
      <w:r w:rsidRPr="00BD3EA7">
        <w:rPr>
          <w:rFonts w:ascii="Times New Roman" w:eastAsia="Calibri" w:hAnsi="Times New Roman" w:cs="Times New Roman"/>
          <w:sz w:val="24"/>
          <w:szCs w:val="24"/>
        </w:rPr>
        <w:tab/>
      </w:r>
      <w:r w:rsidRPr="00BD3EA7">
        <w:rPr>
          <w:rFonts w:ascii="Times New Roman" w:eastAsia="Calibri" w:hAnsi="Times New Roman" w:cs="Times New Roman"/>
          <w:sz w:val="24"/>
          <w:szCs w:val="24"/>
        </w:rPr>
        <w:tab/>
      </w:r>
      <w:r w:rsidR="00702395" w:rsidRPr="00BD3EA7">
        <w:rPr>
          <w:rFonts w:ascii="Times New Roman" w:eastAsia="Calibri" w:hAnsi="Times New Roman" w:cs="Times New Roman"/>
          <w:sz w:val="24"/>
          <w:szCs w:val="24"/>
        </w:rPr>
        <w:tab/>
      </w:r>
      <w:r w:rsidR="00702395" w:rsidRPr="00BD3EA7">
        <w:rPr>
          <w:rFonts w:ascii="Times New Roman" w:eastAsia="Calibri" w:hAnsi="Times New Roman" w:cs="Times New Roman"/>
          <w:sz w:val="24"/>
          <w:szCs w:val="24"/>
        </w:rPr>
        <w:tab/>
      </w:r>
      <w:r w:rsidR="00702395" w:rsidRPr="00BD3EA7">
        <w:rPr>
          <w:rFonts w:ascii="Times New Roman" w:eastAsia="Calibri" w:hAnsi="Times New Roman" w:cs="Times New Roman"/>
          <w:sz w:val="24"/>
          <w:szCs w:val="24"/>
        </w:rPr>
        <w:tab/>
      </w:r>
      <w:r w:rsidR="00C70A9A" w:rsidRPr="00BD3EA7">
        <w:rPr>
          <w:rFonts w:ascii="Times New Roman" w:eastAsia="Calibri" w:hAnsi="Times New Roman" w:cs="Times New Roman"/>
          <w:sz w:val="24"/>
          <w:szCs w:val="24"/>
        </w:rPr>
        <w:tab/>
      </w:r>
      <w:r w:rsidR="00C70A9A" w:rsidRPr="00BD3EA7">
        <w:rPr>
          <w:rFonts w:ascii="Times New Roman" w:eastAsia="Calibri" w:hAnsi="Times New Roman" w:cs="Times New Roman"/>
          <w:sz w:val="24"/>
          <w:szCs w:val="24"/>
        </w:rPr>
        <w:tab/>
      </w:r>
      <w:r w:rsidR="00C70A9A" w:rsidRPr="00BD3EA7">
        <w:rPr>
          <w:rFonts w:ascii="Times New Roman" w:eastAsia="Calibri" w:hAnsi="Times New Roman" w:cs="Times New Roman"/>
          <w:sz w:val="24"/>
          <w:szCs w:val="24"/>
        </w:rPr>
        <w:tab/>
      </w:r>
      <w:r w:rsidR="00C70A9A" w:rsidRPr="00BD3EA7">
        <w:rPr>
          <w:rFonts w:ascii="Times New Roman" w:eastAsia="Calibri" w:hAnsi="Times New Roman" w:cs="Times New Roman"/>
          <w:sz w:val="24"/>
          <w:szCs w:val="24"/>
        </w:rPr>
        <w:tab/>
      </w:r>
      <w:r w:rsidRPr="00BD3EA7">
        <w:rPr>
          <w:rFonts w:ascii="Times New Roman" w:eastAsia="Calibri" w:hAnsi="Times New Roman" w:cs="Times New Roman"/>
          <w:sz w:val="24"/>
          <w:szCs w:val="24"/>
        </w:rPr>
        <w:t>BSEA</w:t>
      </w:r>
      <w:r w:rsidRPr="00BD3EA7">
        <w:rPr>
          <w:rFonts w:ascii="Times New Roman" w:eastAsia="Calibri" w:hAnsi="Times New Roman" w:cs="Times New Roman"/>
          <w:b/>
          <w:sz w:val="24"/>
          <w:szCs w:val="24"/>
        </w:rPr>
        <w:t xml:space="preserve"> #</w:t>
      </w:r>
      <w:r w:rsidRPr="00BD3EA7">
        <w:rPr>
          <w:rFonts w:ascii="Times New Roman" w:eastAsia="Calibri" w:hAnsi="Times New Roman" w:cs="Times New Roman"/>
          <w:sz w:val="24"/>
          <w:szCs w:val="24"/>
        </w:rPr>
        <w:t xml:space="preserve"> </w:t>
      </w:r>
      <w:r w:rsidR="006C467F" w:rsidRPr="00BD3EA7">
        <w:rPr>
          <w:rFonts w:ascii="Times New Roman" w:eastAsia="Calibri" w:hAnsi="Times New Roman" w:cs="Times New Roman"/>
          <w:sz w:val="24"/>
          <w:szCs w:val="24"/>
        </w:rPr>
        <w:t>220600</w:t>
      </w:r>
      <w:r w:rsidR="00372F42">
        <w:rPr>
          <w:rFonts w:ascii="Times New Roman" w:eastAsia="Calibri" w:hAnsi="Times New Roman" w:cs="Times New Roman"/>
          <w:sz w:val="24"/>
          <w:szCs w:val="24"/>
        </w:rPr>
        <w:t>0</w:t>
      </w:r>
    </w:p>
    <w:p w14:paraId="10CA04C7" w14:textId="77777777" w:rsidR="000B300C" w:rsidRPr="00BD3EA7" w:rsidRDefault="000B300C" w:rsidP="000B300C">
      <w:pPr>
        <w:spacing w:after="0" w:line="240" w:lineRule="auto"/>
        <w:rPr>
          <w:rFonts w:ascii="Times New Roman" w:eastAsia="Calibri" w:hAnsi="Times New Roman" w:cs="Times New Roman"/>
          <w:b/>
          <w:sz w:val="24"/>
          <w:szCs w:val="24"/>
        </w:rPr>
      </w:pPr>
    </w:p>
    <w:p w14:paraId="3125FCD8" w14:textId="77777777" w:rsidR="000B300C" w:rsidRPr="00BD3EA7" w:rsidRDefault="000B300C" w:rsidP="000B300C">
      <w:pPr>
        <w:spacing w:after="0" w:line="240" w:lineRule="auto"/>
        <w:rPr>
          <w:rFonts w:ascii="Times New Roman" w:eastAsia="Calibri" w:hAnsi="Times New Roman" w:cs="Times New Roman"/>
          <w:b/>
          <w:sz w:val="24"/>
          <w:szCs w:val="24"/>
        </w:rPr>
      </w:pPr>
    </w:p>
    <w:p w14:paraId="1961A6F0" w14:textId="09AB611B" w:rsidR="000B300C" w:rsidRPr="00BD3EA7" w:rsidRDefault="000B300C" w:rsidP="000B300C">
      <w:pPr>
        <w:spacing w:after="0" w:line="240" w:lineRule="auto"/>
        <w:jc w:val="center"/>
        <w:rPr>
          <w:rFonts w:ascii="Times New Roman" w:eastAsia="Calibri" w:hAnsi="Times New Roman" w:cs="Times New Roman"/>
          <w:b/>
          <w:sz w:val="24"/>
          <w:szCs w:val="24"/>
          <w:u w:val="single"/>
        </w:rPr>
      </w:pPr>
      <w:r w:rsidRPr="00BD3EA7">
        <w:rPr>
          <w:rFonts w:ascii="Times New Roman" w:eastAsia="Calibri" w:hAnsi="Times New Roman" w:cs="Times New Roman"/>
          <w:b/>
          <w:sz w:val="24"/>
          <w:szCs w:val="24"/>
          <w:u w:val="single"/>
        </w:rPr>
        <w:t xml:space="preserve">RULING ON </w:t>
      </w:r>
      <w:r w:rsidR="00DB532C" w:rsidRPr="00BD3EA7">
        <w:rPr>
          <w:rFonts w:ascii="Times New Roman" w:eastAsia="Calibri" w:hAnsi="Times New Roman" w:cs="Times New Roman"/>
          <w:b/>
          <w:sz w:val="24"/>
          <w:szCs w:val="24"/>
          <w:u w:val="single"/>
        </w:rPr>
        <w:t>THE DEPARTMENT OF CHILDREN AND FAMILIES’ MOTION TO FOR RECONSIDERATION OF PREVIOUS RULING JOINING THE DEPARTMENT</w:t>
      </w:r>
    </w:p>
    <w:p w14:paraId="29E8C908" w14:textId="62750827" w:rsidR="00F97A17" w:rsidRPr="00BD3EA7" w:rsidRDefault="00F97A17" w:rsidP="000B300C">
      <w:pPr>
        <w:spacing w:after="0" w:line="240" w:lineRule="auto"/>
        <w:jc w:val="center"/>
        <w:rPr>
          <w:rFonts w:ascii="Times New Roman" w:eastAsia="Calibri" w:hAnsi="Times New Roman" w:cs="Times New Roman"/>
          <w:b/>
          <w:sz w:val="24"/>
          <w:szCs w:val="24"/>
          <w:u w:val="single"/>
        </w:rPr>
      </w:pPr>
    </w:p>
    <w:p w14:paraId="075B0B5E" w14:textId="4DDFFBB7" w:rsidR="00DB532C" w:rsidRPr="00BD3EA7" w:rsidRDefault="00F97A17" w:rsidP="00F97A17">
      <w:pPr>
        <w:pStyle w:val="BodyText2"/>
      </w:pPr>
      <w:r w:rsidRPr="00BD3EA7">
        <w:tab/>
        <w:t xml:space="preserve">This matter comes before the Hearing Officer on </w:t>
      </w:r>
      <w:r w:rsidR="00C70A9A" w:rsidRPr="00BD3EA7">
        <w:t>the</w:t>
      </w:r>
      <w:r w:rsidR="004270D6">
        <w:t xml:space="preserve"> Department of Children and Families’ (DCF, or the Department)</w:t>
      </w:r>
      <w:r w:rsidRPr="00BD3EA7">
        <w:t xml:space="preserve"> </w:t>
      </w:r>
      <w:r w:rsidR="006C467F" w:rsidRPr="00BD3EA7">
        <w:rPr>
          <w:i/>
          <w:iCs/>
        </w:rPr>
        <w:t xml:space="preserve">Motion </w:t>
      </w:r>
      <w:r w:rsidR="00DB532C" w:rsidRPr="00BD3EA7">
        <w:rPr>
          <w:i/>
          <w:iCs/>
        </w:rPr>
        <w:t xml:space="preserve">for Reconsideration </w:t>
      </w:r>
      <w:r w:rsidR="00DB532C" w:rsidRPr="00BD3EA7">
        <w:t xml:space="preserve">of my March 31, 2022 </w:t>
      </w:r>
      <w:r w:rsidR="00DB532C" w:rsidRPr="00BD3EA7">
        <w:rPr>
          <w:i/>
          <w:iCs/>
        </w:rPr>
        <w:t>Ruling on Lexington Public Schools’ Motion</w:t>
      </w:r>
      <w:r w:rsidR="006C467F" w:rsidRPr="00BD3EA7">
        <w:rPr>
          <w:i/>
          <w:iCs/>
        </w:rPr>
        <w:t xml:space="preserve"> Join</w:t>
      </w:r>
      <w:r w:rsidR="00C70A9A" w:rsidRPr="00BD3EA7">
        <w:rPr>
          <w:i/>
          <w:iCs/>
        </w:rPr>
        <w:t xml:space="preserve"> the Department of Children and Families</w:t>
      </w:r>
      <w:r w:rsidRPr="00BD3EA7">
        <w:t xml:space="preserve"> </w:t>
      </w:r>
      <w:r w:rsidR="00DB532C" w:rsidRPr="00BD3EA7">
        <w:t>(</w:t>
      </w:r>
      <w:r w:rsidR="00DB532C" w:rsidRPr="00BD3EA7">
        <w:rPr>
          <w:i/>
          <w:iCs/>
        </w:rPr>
        <w:t>Joinder Ruling</w:t>
      </w:r>
      <w:r w:rsidR="00DB532C" w:rsidRPr="00BD3EA7">
        <w:t>)</w:t>
      </w:r>
      <w:r w:rsidRPr="00BD3EA7">
        <w:t>.</w:t>
      </w:r>
      <w:r w:rsidR="00DB532C" w:rsidRPr="00BD3EA7">
        <w:t xml:space="preserve"> </w:t>
      </w:r>
      <w:r w:rsidR="00245593" w:rsidRPr="00BD3EA7">
        <w:t xml:space="preserve">In that </w:t>
      </w:r>
      <w:r w:rsidR="00245593" w:rsidRPr="00BD3EA7">
        <w:rPr>
          <w:i/>
          <w:iCs/>
        </w:rPr>
        <w:t>Ruling</w:t>
      </w:r>
      <w:r w:rsidR="00245593" w:rsidRPr="00BD3EA7">
        <w:t xml:space="preserve">, I noted that </w:t>
      </w:r>
      <w:r w:rsidR="006157EA" w:rsidRPr="00BD3EA7">
        <w:t>DCF had not filed any document in response to</w:t>
      </w:r>
      <w:r w:rsidR="006F4C12" w:rsidRPr="00BD3EA7">
        <w:t xml:space="preserve"> the</w:t>
      </w:r>
      <w:r w:rsidR="006157EA" w:rsidRPr="00BD3EA7">
        <w:t xml:space="preserve"> </w:t>
      </w:r>
      <w:r w:rsidR="006157EA" w:rsidRPr="00BD3EA7">
        <w:rPr>
          <w:i/>
          <w:iCs/>
        </w:rPr>
        <w:t>Motion to Join</w:t>
      </w:r>
      <w:r w:rsidR="00DE6182" w:rsidRPr="00BD3EA7">
        <w:rPr>
          <w:i/>
          <w:iCs/>
        </w:rPr>
        <w:t xml:space="preserve"> the Department of Children and Families </w:t>
      </w:r>
      <w:r w:rsidR="00DE6182" w:rsidRPr="00BD3EA7">
        <w:t>(</w:t>
      </w:r>
      <w:r w:rsidR="00DE6182" w:rsidRPr="00BD3EA7">
        <w:rPr>
          <w:i/>
          <w:iCs/>
        </w:rPr>
        <w:t>Joinder Motion</w:t>
      </w:r>
      <w:r w:rsidR="00DE6182" w:rsidRPr="00BD3EA7">
        <w:t>)</w:t>
      </w:r>
      <w:r w:rsidR="006157EA" w:rsidRPr="00BD3EA7">
        <w:t xml:space="preserve">, which had been filed </w:t>
      </w:r>
      <w:r w:rsidR="006F4C12" w:rsidRPr="00BD3EA7">
        <w:t xml:space="preserve">by Lexington Public Schools (Lexington or the District) on </w:t>
      </w:r>
      <w:r w:rsidR="006157EA" w:rsidRPr="00BD3EA7">
        <w:t>March 4, 2022, although Lexington properly served the agency. Based on the standards governing joinder</w:t>
      </w:r>
      <w:r w:rsidR="00DE6182" w:rsidRPr="00BD3EA7">
        <w:t xml:space="preserve"> and</w:t>
      </w:r>
      <w:r w:rsidR="006157EA" w:rsidRPr="00BD3EA7">
        <w:t xml:space="preserve"> the facts</w:t>
      </w:r>
      <w:r w:rsidR="00DE6182" w:rsidRPr="00BD3EA7">
        <w:t xml:space="preserve"> and legal arguments</w:t>
      </w:r>
      <w:r w:rsidR="006157EA" w:rsidRPr="00BD3EA7">
        <w:t xml:space="preserve"> presented by Lexington and Parents, I granted Lexington’s </w:t>
      </w:r>
      <w:r w:rsidR="00DE6182" w:rsidRPr="00BD3EA7">
        <w:rPr>
          <w:i/>
          <w:iCs/>
        </w:rPr>
        <w:t xml:space="preserve">Joinder </w:t>
      </w:r>
      <w:r w:rsidR="006157EA" w:rsidRPr="00BD3EA7">
        <w:rPr>
          <w:i/>
          <w:iCs/>
        </w:rPr>
        <w:t>Motion</w:t>
      </w:r>
      <w:r w:rsidR="006157EA" w:rsidRPr="00BD3EA7">
        <w:t xml:space="preserve"> and joined DCF</w:t>
      </w:r>
      <w:r w:rsidR="00EB2B53" w:rsidRPr="00BD3EA7">
        <w:t xml:space="preserve">, in part because I found that although DCF no longer had custody of </w:t>
      </w:r>
      <w:proofErr w:type="spellStart"/>
      <w:r w:rsidR="00EB2B53" w:rsidRPr="00BD3EA7">
        <w:t>Xili</w:t>
      </w:r>
      <w:proofErr w:type="spellEnd"/>
      <w:r w:rsidR="00EB2B53" w:rsidRPr="00BD3EA7">
        <w:t xml:space="preserve">, it was unclear whether the Department maintained an open case, whether DCF would find </w:t>
      </w:r>
      <w:proofErr w:type="spellStart"/>
      <w:r w:rsidR="00EB2B53" w:rsidRPr="00BD3EA7">
        <w:t>Xili</w:t>
      </w:r>
      <w:proofErr w:type="spellEnd"/>
      <w:r w:rsidR="00EB2B53" w:rsidRPr="00BD3EA7">
        <w:t xml:space="preserve"> appropriate for voluntary services, and/or whether the parties would consider a voluntary placement agreement.</w:t>
      </w:r>
    </w:p>
    <w:p w14:paraId="71E6D09B" w14:textId="3EDDCFFB" w:rsidR="00245593" w:rsidRPr="00BD3EA7" w:rsidRDefault="00245593" w:rsidP="00F97A17">
      <w:pPr>
        <w:pStyle w:val="BodyText2"/>
      </w:pPr>
    </w:p>
    <w:p w14:paraId="5E80ABD2" w14:textId="1A1069A6" w:rsidR="00245593" w:rsidRPr="00BD3EA7" w:rsidRDefault="00245593" w:rsidP="00AE4B4B">
      <w:pPr>
        <w:pStyle w:val="BodyText2"/>
      </w:pPr>
      <w:r w:rsidRPr="00BD3EA7">
        <w:tab/>
      </w:r>
      <w:r w:rsidR="004270D6">
        <w:t>On April 1, 2022, f</w:t>
      </w:r>
      <w:r w:rsidRPr="00BD3EA7">
        <w:t xml:space="preserve">ollowing the issuance of the </w:t>
      </w:r>
      <w:r w:rsidRPr="00BD3EA7">
        <w:rPr>
          <w:i/>
          <w:iCs/>
        </w:rPr>
        <w:t>Joinder Ruling</w:t>
      </w:r>
      <w:r w:rsidRPr="00BD3EA7">
        <w:t xml:space="preserve">, DCF, through Counsel, alerted me that the Department </w:t>
      </w:r>
      <w:r w:rsidR="006157EA" w:rsidRPr="00BD3EA7">
        <w:t xml:space="preserve">had, in fact, filed an </w:t>
      </w:r>
      <w:r w:rsidR="006157EA" w:rsidRPr="00BD3EA7">
        <w:rPr>
          <w:i/>
          <w:iCs/>
        </w:rPr>
        <w:t xml:space="preserve">Opposition </w:t>
      </w:r>
      <w:r w:rsidR="006157EA" w:rsidRPr="00BD3EA7">
        <w:t xml:space="preserve">to Lexington’s </w:t>
      </w:r>
      <w:r w:rsidR="00DE6182" w:rsidRPr="00BD3EA7">
        <w:rPr>
          <w:i/>
          <w:iCs/>
        </w:rPr>
        <w:t xml:space="preserve">Joinder </w:t>
      </w:r>
      <w:r w:rsidR="006157EA" w:rsidRPr="00BD3EA7">
        <w:rPr>
          <w:i/>
          <w:iCs/>
        </w:rPr>
        <w:t xml:space="preserve">Motion </w:t>
      </w:r>
      <w:r w:rsidR="00C238E9" w:rsidRPr="00BD3EA7">
        <w:t xml:space="preserve">on March 23, 2022. </w:t>
      </w:r>
      <w:r w:rsidR="00DE6182" w:rsidRPr="00BD3EA7">
        <w:t>Unfortunately, due to an inadvertent administrative error,</w:t>
      </w:r>
      <w:r w:rsidR="006157EA" w:rsidRPr="00BD3EA7">
        <w:t xml:space="preserve"> I did not receive this </w:t>
      </w:r>
      <w:r w:rsidR="006157EA" w:rsidRPr="00BD3EA7">
        <w:rPr>
          <w:i/>
          <w:iCs/>
        </w:rPr>
        <w:t>Opposition</w:t>
      </w:r>
      <w:r w:rsidR="00D96B94" w:rsidRPr="00BD3EA7">
        <w:t xml:space="preserve"> and, consequently,</w:t>
      </w:r>
      <w:r w:rsidR="006157EA" w:rsidRPr="00BD3EA7">
        <w:t xml:space="preserve"> issued my </w:t>
      </w:r>
      <w:r w:rsidR="006157EA" w:rsidRPr="00BD3EA7">
        <w:rPr>
          <w:i/>
          <w:iCs/>
        </w:rPr>
        <w:t>Joinder Ruling</w:t>
      </w:r>
      <w:r w:rsidR="006157EA" w:rsidRPr="00BD3EA7">
        <w:t xml:space="preserve"> without DCF’s input.</w:t>
      </w:r>
      <w:r w:rsidR="00AE4B4B" w:rsidRPr="00BD3EA7">
        <w:t xml:space="preserve"> </w:t>
      </w:r>
      <w:r w:rsidR="00C238E9" w:rsidRPr="00BD3EA7">
        <w:t>The</w:t>
      </w:r>
      <w:r w:rsidR="00AE4B4B" w:rsidRPr="00BD3EA7">
        <w:t xml:space="preserve"> </w:t>
      </w:r>
      <w:r w:rsidR="00C238E9" w:rsidRPr="00BD3EA7">
        <w:t xml:space="preserve">Department recognized that its </w:t>
      </w:r>
      <w:r w:rsidR="00C238E9" w:rsidRPr="00BD3EA7">
        <w:rPr>
          <w:i/>
          <w:iCs/>
        </w:rPr>
        <w:t xml:space="preserve">Opposition </w:t>
      </w:r>
      <w:r w:rsidR="00C238E9" w:rsidRPr="00BD3EA7">
        <w:t>had been filed outside of the seven calendar days provided by</w:t>
      </w:r>
      <w:r w:rsidR="004270D6">
        <w:t xml:space="preserve"> the</w:t>
      </w:r>
      <w:r w:rsidR="00C238E9" w:rsidRPr="00BD3EA7">
        <w:t xml:space="preserve"> BSEA </w:t>
      </w:r>
      <w:r w:rsidR="00F228A6" w:rsidRPr="00BD3EA7">
        <w:rPr>
          <w:i/>
          <w:iCs/>
        </w:rPr>
        <w:t>Hearing Rules for Special Education Appeals</w:t>
      </w:r>
      <w:r w:rsidR="00AE4B4B" w:rsidRPr="00BD3EA7">
        <w:t>,</w:t>
      </w:r>
      <w:r w:rsidR="00C238E9" w:rsidRPr="00BD3EA7">
        <w:rPr>
          <w:rStyle w:val="FootnoteReference"/>
        </w:rPr>
        <w:footnoteReference w:id="2"/>
      </w:r>
      <w:r w:rsidR="00AE4B4B" w:rsidRPr="00BD3EA7">
        <w:t xml:space="preserve"> in part because the Assistant General Counsel listed by Lexington on its </w:t>
      </w:r>
      <w:r w:rsidR="00AE4B4B" w:rsidRPr="00BD3EA7">
        <w:rPr>
          <w:i/>
          <w:iCs/>
        </w:rPr>
        <w:t xml:space="preserve">Joinder Motion </w:t>
      </w:r>
      <w:r w:rsidR="00AE4B4B" w:rsidRPr="00BD3EA7">
        <w:t xml:space="preserve">had since taken paternity leave. </w:t>
      </w:r>
      <w:r w:rsidR="00FE20B1" w:rsidRPr="00BD3EA7">
        <w:t xml:space="preserve">Because of the legal standards governing joinder, explained below more fully, I determined that the proper course of action would be to reconsider my </w:t>
      </w:r>
      <w:r w:rsidR="00FE20B1" w:rsidRPr="00BD3EA7">
        <w:rPr>
          <w:i/>
          <w:iCs/>
        </w:rPr>
        <w:t xml:space="preserve">Joinder Ruling </w:t>
      </w:r>
      <w:r w:rsidR="00FE20B1" w:rsidRPr="00BD3EA7">
        <w:t xml:space="preserve">and invited DCF to file a </w:t>
      </w:r>
      <w:r w:rsidR="00FE20B1" w:rsidRPr="00BD3EA7">
        <w:rPr>
          <w:i/>
          <w:iCs/>
        </w:rPr>
        <w:t>Motion</w:t>
      </w:r>
      <w:r w:rsidR="00FE20B1" w:rsidRPr="00BD3EA7">
        <w:t xml:space="preserve"> </w:t>
      </w:r>
      <w:r w:rsidR="00FE20B1" w:rsidRPr="00BD3EA7">
        <w:rPr>
          <w:i/>
          <w:iCs/>
        </w:rPr>
        <w:t>to</w:t>
      </w:r>
      <w:r w:rsidR="00FE20B1" w:rsidRPr="00BD3EA7">
        <w:t xml:space="preserve"> </w:t>
      </w:r>
      <w:r w:rsidR="00FE20B1" w:rsidRPr="00BD3EA7">
        <w:rPr>
          <w:i/>
          <w:iCs/>
        </w:rPr>
        <w:t>Reconsider</w:t>
      </w:r>
      <w:r w:rsidR="00FE20B1" w:rsidRPr="00BD3EA7">
        <w:t xml:space="preserve"> offering its facts and legal argument against the </w:t>
      </w:r>
      <w:r w:rsidR="004270D6">
        <w:t>Department</w:t>
      </w:r>
      <w:r w:rsidR="00FE20B1" w:rsidRPr="00BD3EA7">
        <w:t>’s joinder.</w:t>
      </w:r>
    </w:p>
    <w:p w14:paraId="43F840C1" w14:textId="4504655F" w:rsidR="00FE20B1" w:rsidRPr="00BD3EA7" w:rsidRDefault="00FE20B1" w:rsidP="00AE4B4B">
      <w:pPr>
        <w:pStyle w:val="BodyText2"/>
      </w:pPr>
    </w:p>
    <w:p w14:paraId="0AAEA24F" w14:textId="7285F038" w:rsidR="00CB51E3" w:rsidRPr="00BD3EA7" w:rsidRDefault="00FE20B1" w:rsidP="00EB2B53">
      <w:pPr>
        <w:pStyle w:val="BodyText2"/>
      </w:pPr>
      <w:r w:rsidRPr="00BD3EA7">
        <w:tab/>
        <w:t xml:space="preserve">On April 1, 2022, DCF did just that. In its </w:t>
      </w:r>
      <w:r w:rsidRPr="00BD3EA7">
        <w:rPr>
          <w:i/>
          <w:iCs/>
        </w:rPr>
        <w:t>Motion for Reconsideration of Order to Join</w:t>
      </w:r>
      <w:r w:rsidR="00097C07" w:rsidRPr="00BD3EA7">
        <w:t xml:space="preserve"> (</w:t>
      </w:r>
      <w:r w:rsidR="00097C07" w:rsidRPr="00BD3EA7">
        <w:rPr>
          <w:i/>
          <w:iCs/>
        </w:rPr>
        <w:t>Motion to Reconsider</w:t>
      </w:r>
      <w:r w:rsidR="00097C07" w:rsidRPr="00BD3EA7">
        <w:t xml:space="preserve">) </w:t>
      </w:r>
      <w:r w:rsidRPr="00BD3EA7">
        <w:t xml:space="preserve">the Department explained that </w:t>
      </w:r>
      <w:r w:rsidR="00EB2B53" w:rsidRPr="00BD3EA7">
        <w:t xml:space="preserve">it currently has no ongoing relationship with </w:t>
      </w:r>
      <w:proofErr w:type="spellStart"/>
      <w:r w:rsidR="00EB2B53" w:rsidRPr="00BD3EA7">
        <w:t>Xili</w:t>
      </w:r>
      <w:proofErr w:type="spellEnd"/>
      <w:r w:rsidR="00EB2B53" w:rsidRPr="00BD3EA7">
        <w:t xml:space="preserve">. According to the Department, </w:t>
      </w:r>
      <w:r w:rsidR="00F81AC9" w:rsidRPr="00BD3EA7">
        <w:t xml:space="preserve">the </w:t>
      </w:r>
      <w:r w:rsidR="00EB2B53" w:rsidRPr="00BD3EA7">
        <w:t>Child Requiring Assistance (CRA) petition</w:t>
      </w:r>
      <w:r w:rsidR="00F81AC9" w:rsidRPr="00BD3EA7">
        <w:t xml:space="preserve"> had been</w:t>
      </w:r>
      <w:r w:rsidR="00EB2B53" w:rsidRPr="00BD3EA7">
        <w:t xml:space="preserve"> dismissed by the </w:t>
      </w:r>
      <w:r w:rsidR="00F228A6" w:rsidRPr="00BD3EA7">
        <w:t>Juvenile C</w:t>
      </w:r>
      <w:r w:rsidR="00EB2B53" w:rsidRPr="00BD3EA7">
        <w:t>ourt</w:t>
      </w:r>
      <w:r w:rsidR="00F228A6" w:rsidRPr="00BD3EA7">
        <w:t xml:space="preserve"> on March 4, 2022</w:t>
      </w:r>
      <w:r w:rsidR="00EB2B53" w:rsidRPr="00BD3EA7">
        <w:t xml:space="preserve">, DCF </w:t>
      </w:r>
      <w:r w:rsidR="00F81AC9" w:rsidRPr="00BD3EA7">
        <w:t xml:space="preserve">had </w:t>
      </w:r>
      <w:r w:rsidR="00EB2B53" w:rsidRPr="00BD3EA7">
        <w:t>determined</w:t>
      </w:r>
      <w:r w:rsidR="00F81AC9" w:rsidRPr="00BD3EA7">
        <w:t xml:space="preserve"> that</w:t>
      </w:r>
      <w:r w:rsidR="00EB2B53" w:rsidRPr="00BD3EA7">
        <w:t xml:space="preserve"> no further services were necessary, and the</w:t>
      </w:r>
      <w:r w:rsidR="00F81AC9" w:rsidRPr="00BD3EA7">
        <w:t xml:space="preserve"> </w:t>
      </w:r>
      <w:r w:rsidR="00EB2B53" w:rsidRPr="00BD3EA7">
        <w:t>family</w:t>
      </w:r>
      <w:r w:rsidR="00F81AC9" w:rsidRPr="00BD3EA7">
        <w:t xml:space="preserve"> had</w:t>
      </w:r>
      <w:r w:rsidR="00EB2B53" w:rsidRPr="00BD3EA7">
        <w:t xml:space="preserve"> received a Case Closing Letter with an opportunity to request a fair hearin</w:t>
      </w:r>
      <w:r w:rsidR="00F81AC9" w:rsidRPr="00BD3EA7">
        <w:t xml:space="preserve">g in the event it believed ongoing DCF involvement to be warranted or necessary. To date, </w:t>
      </w:r>
      <w:r w:rsidR="00EB2B53" w:rsidRPr="00BD3EA7">
        <w:t>no</w:t>
      </w:r>
      <w:r w:rsidR="00F81AC9" w:rsidRPr="00BD3EA7">
        <w:t xml:space="preserve"> such request </w:t>
      </w:r>
      <w:r w:rsidR="00EB2B53" w:rsidRPr="00BD3EA7">
        <w:t>ha</w:t>
      </w:r>
      <w:r w:rsidR="00D96B94" w:rsidRPr="00BD3EA7">
        <w:t>d</w:t>
      </w:r>
      <w:r w:rsidR="00EB2B53" w:rsidRPr="00BD3EA7">
        <w:t xml:space="preserve"> been filed</w:t>
      </w:r>
      <w:r w:rsidR="00F228A6" w:rsidRPr="00BD3EA7">
        <w:t xml:space="preserve"> by the family with DCF</w:t>
      </w:r>
      <w:r w:rsidR="00EB2B53" w:rsidRPr="00BD3EA7">
        <w:t xml:space="preserve">. </w:t>
      </w:r>
    </w:p>
    <w:p w14:paraId="30F61CAD" w14:textId="77777777" w:rsidR="009A3B5D" w:rsidRPr="00BD3EA7" w:rsidRDefault="009A3B5D" w:rsidP="00CB51E3">
      <w:pPr>
        <w:pStyle w:val="BodyText2"/>
        <w:ind w:firstLine="720"/>
      </w:pPr>
    </w:p>
    <w:p w14:paraId="78F64C1D" w14:textId="433ED73E" w:rsidR="00EB2B53" w:rsidRPr="00BD3EA7" w:rsidRDefault="00B27FD6" w:rsidP="00D96B94">
      <w:pPr>
        <w:pStyle w:val="BodyText2"/>
        <w:ind w:firstLine="720"/>
      </w:pPr>
      <w:r w:rsidRPr="00BD3EA7">
        <w:t xml:space="preserve">DCF contends that in the absence of an existing legally cognizable relationship between DCF and </w:t>
      </w:r>
      <w:proofErr w:type="spellStart"/>
      <w:r w:rsidRPr="00BD3EA7">
        <w:t>Xili</w:t>
      </w:r>
      <w:proofErr w:type="spellEnd"/>
      <w:r w:rsidRPr="00BD3EA7">
        <w:t>, the BSEA does not have the authority to compel services from</w:t>
      </w:r>
      <w:r w:rsidR="00C47A8A" w:rsidRPr="00BD3EA7">
        <w:t xml:space="preserve"> the Department</w:t>
      </w:r>
      <w:r w:rsidRPr="00BD3EA7">
        <w:t>.</w:t>
      </w:r>
      <w:r w:rsidRPr="00BD3EA7">
        <w:rPr>
          <w:rStyle w:val="FootnoteReference"/>
        </w:rPr>
        <w:footnoteReference w:id="3"/>
      </w:r>
      <w:r w:rsidR="00C47A8A" w:rsidRPr="00BD3EA7">
        <w:t xml:space="preserve"> </w:t>
      </w:r>
      <w:r w:rsidR="00D96B94" w:rsidRPr="00BD3EA7">
        <w:t>First, t</w:t>
      </w:r>
      <w:r w:rsidRPr="00BD3EA7">
        <w:t xml:space="preserve">he </w:t>
      </w:r>
      <w:r w:rsidR="00F228A6" w:rsidRPr="00BD3EA7">
        <w:t>Department</w:t>
      </w:r>
      <w:r w:rsidR="00CB51E3" w:rsidRPr="00BD3EA7">
        <w:t xml:space="preserve"> </w:t>
      </w:r>
      <w:r w:rsidR="00324841" w:rsidRPr="00BD3EA7">
        <w:t>has no obligation to provide services to a child not in its care or custody</w:t>
      </w:r>
      <w:r w:rsidRPr="00BD3EA7">
        <w:t>.</w:t>
      </w:r>
      <w:r w:rsidR="00324841" w:rsidRPr="00BD3EA7">
        <w:rPr>
          <w:rStyle w:val="FootnoteReference"/>
        </w:rPr>
        <w:footnoteReference w:id="4"/>
      </w:r>
      <w:r w:rsidRPr="00BD3EA7">
        <w:t xml:space="preserve"> </w:t>
      </w:r>
      <w:r w:rsidR="00D96B94" w:rsidRPr="00BD3EA7">
        <w:t>Second, a</w:t>
      </w:r>
      <w:r w:rsidR="00C47A8A" w:rsidRPr="00BD3EA7">
        <w:t>lthough</w:t>
      </w:r>
      <w:r w:rsidR="00AC0B9E" w:rsidRPr="00BD3EA7">
        <w:t xml:space="preserve"> families may obtain</w:t>
      </w:r>
      <w:r w:rsidR="00C47A8A" w:rsidRPr="00BD3EA7">
        <w:t xml:space="preserve"> voluntary servic</w:t>
      </w:r>
      <w:r w:rsidR="00AC0B9E" w:rsidRPr="00BD3EA7">
        <w:t xml:space="preserve">es for a child not in DCF </w:t>
      </w:r>
      <w:r w:rsidR="00C47A8A" w:rsidRPr="00BD3EA7">
        <w:t xml:space="preserve">care or custody, such services </w:t>
      </w:r>
      <w:r w:rsidRPr="00BD3EA7">
        <w:t>require the agreement of Parent</w:t>
      </w:r>
      <w:r w:rsidR="00C47A8A" w:rsidRPr="00BD3EA7">
        <w:t>s</w:t>
      </w:r>
      <w:r w:rsidRPr="00BD3EA7">
        <w:t xml:space="preserve"> and DCF</w:t>
      </w:r>
      <w:r w:rsidR="00191EF5" w:rsidRPr="00BD3EA7">
        <w:t>.</w:t>
      </w:r>
      <w:r w:rsidR="00191EF5" w:rsidRPr="00BD3EA7">
        <w:rPr>
          <w:rStyle w:val="FootnoteReference"/>
        </w:rPr>
        <w:footnoteReference w:id="5"/>
      </w:r>
      <w:r w:rsidR="00191EF5" w:rsidRPr="00BD3EA7">
        <w:t xml:space="preserve"> Thus, an</w:t>
      </w:r>
      <w:r w:rsidRPr="00BD3EA7">
        <w:t xml:space="preserve"> order by the BSEA for DCF to provide services to </w:t>
      </w:r>
      <w:proofErr w:type="spellStart"/>
      <w:r w:rsidRPr="00BD3EA7">
        <w:t>Xili</w:t>
      </w:r>
      <w:proofErr w:type="spellEnd"/>
      <w:r w:rsidRPr="00BD3EA7">
        <w:t xml:space="preserve"> at this time, when there is no such agreement and Parents have not indicated that they are seeking continued DCF involvement, would </w:t>
      </w:r>
      <w:r w:rsidR="00AC0B9E" w:rsidRPr="00BD3EA7">
        <w:t xml:space="preserve">essentially </w:t>
      </w:r>
      <w:r w:rsidRPr="00BD3EA7">
        <w:t>requi</w:t>
      </w:r>
      <w:r w:rsidR="00AC0B9E" w:rsidRPr="00BD3EA7">
        <w:t>re</w:t>
      </w:r>
      <w:r w:rsidRPr="00BD3EA7">
        <w:t xml:space="preserve"> </w:t>
      </w:r>
      <w:proofErr w:type="spellStart"/>
      <w:r w:rsidRPr="00BD3EA7">
        <w:t>Xili</w:t>
      </w:r>
      <w:proofErr w:type="spellEnd"/>
      <w:r w:rsidR="00AC0B9E" w:rsidRPr="00BD3EA7">
        <w:t xml:space="preserve"> to</w:t>
      </w:r>
      <w:r w:rsidRPr="00BD3EA7">
        <w:t xml:space="preserve"> engage in DCF services</w:t>
      </w:r>
      <w:r w:rsidR="00AC0B9E" w:rsidRPr="00BD3EA7">
        <w:t>,</w:t>
      </w:r>
      <w:r w:rsidRPr="00BD3EA7">
        <w:t xml:space="preserve"> in violation of DCF’s own regulations. For these reasons, any argument</w:t>
      </w:r>
      <w:r w:rsidR="00324841" w:rsidRPr="00BD3EA7">
        <w:t xml:space="preserve"> that </w:t>
      </w:r>
      <w:r w:rsidRPr="00BD3EA7">
        <w:t>the Department</w:t>
      </w:r>
      <w:r w:rsidR="00324841" w:rsidRPr="00BD3EA7">
        <w:t xml:space="preserve"> might bear some responsibility for services in the future is speculative</w:t>
      </w:r>
      <w:r w:rsidR="00191EF5" w:rsidRPr="00BD3EA7">
        <w:t>. Furthermore, the</w:t>
      </w:r>
      <w:r w:rsidR="00AC0B9E" w:rsidRPr="00BD3EA7">
        <w:t xml:space="preserve"> BSEA cannot order DCF to provide s</w:t>
      </w:r>
      <w:r w:rsidR="00C47A8A" w:rsidRPr="00BD3EA7">
        <w:t>ervices to a child</w:t>
      </w:r>
      <w:r w:rsidR="00AC0B9E" w:rsidRPr="00BD3EA7">
        <w:t xml:space="preserve"> who, like </w:t>
      </w:r>
      <w:proofErr w:type="spellStart"/>
      <w:r w:rsidR="00AC0B9E" w:rsidRPr="00BD3EA7">
        <w:t>Xili</w:t>
      </w:r>
      <w:proofErr w:type="spellEnd"/>
      <w:r w:rsidR="00AC0B9E" w:rsidRPr="00BD3EA7">
        <w:t>, is</w:t>
      </w:r>
      <w:r w:rsidR="00C47A8A" w:rsidRPr="00BD3EA7">
        <w:t xml:space="preserve"> not in its care or custod</w:t>
      </w:r>
      <w:r w:rsidR="00AC0B9E" w:rsidRPr="00BD3EA7">
        <w:t>y or</w:t>
      </w:r>
      <w:r w:rsidR="00C47A8A" w:rsidRPr="00BD3EA7">
        <w:t xml:space="preserve"> the </w:t>
      </w:r>
      <w:r w:rsidR="00AC0B9E" w:rsidRPr="00BD3EA7">
        <w:t>subject of a</w:t>
      </w:r>
      <w:r w:rsidR="00C47A8A" w:rsidRPr="00BD3EA7">
        <w:t xml:space="preserve"> voluntary agreement</w:t>
      </w:r>
      <w:r w:rsidR="00AC0B9E" w:rsidRPr="00BD3EA7">
        <w:t>, without</w:t>
      </w:r>
      <w:r w:rsidR="00C47A8A" w:rsidRPr="00BD3EA7">
        <w:t xml:space="preserve"> violat</w:t>
      </w:r>
      <w:r w:rsidR="00AC0B9E" w:rsidRPr="00BD3EA7">
        <w:t>ing</w:t>
      </w:r>
      <w:r w:rsidR="00C47A8A" w:rsidRPr="00BD3EA7">
        <w:t xml:space="preserve"> its regulations</w:t>
      </w:r>
      <w:r w:rsidR="00191EF5" w:rsidRPr="00BD3EA7">
        <w:t>. As such,</w:t>
      </w:r>
      <w:r w:rsidR="00AC0B9E" w:rsidRPr="00BD3EA7">
        <w:t xml:space="preserve"> DCF is not a necessary party</w:t>
      </w:r>
      <w:r w:rsidR="00D96B94" w:rsidRPr="00BD3EA7">
        <w:t xml:space="preserve">. </w:t>
      </w:r>
      <w:r w:rsidR="00EB2B53" w:rsidRPr="00BD3EA7">
        <w:t xml:space="preserve">Therefore, DCF requests that </w:t>
      </w:r>
      <w:r w:rsidR="00D96B94" w:rsidRPr="00BD3EA7">
        <w:t>my</w:t>
      </w:r>
      <w:r w:rsidR="00EB2B53" w:rsidRPr="00BD3EA7">
        <w:t xml:space="preserve"> </w:t>
      </w:r>
      <w:r w:rsidR="00191EF5" w:rsidRPr="00BD3EA7">
        <w:rPr>
          <w:i/>
          <w:iCs/>
        </w:rPr>
        <w:t>Joinder Ruling</w:t>
      </w:r>
      <w:r w:rsidR="00EB2B53" w:rsidRPr="00BD3EA7">
        <w:t xml:space="preserve"> be reconsidere</w:t>
      </w:r>
      <w:r w:rsidR="00787295" w:rsidRPr="00BD3EA7">
        <w:t>d</w:t>
      </w:r>
      <w:r w:rsidR="00EB2B53" w:rsidRPr="00BD3EA7">
        <w:t>, and that DCF be dismissed as a party</w:t>
      </w:r>
      <w:r w:rsidR="00191EF5" w:rsidRPr="00BD3EA7">
        <w:t xml:space="preserve"> to this matter.</w:t>
      </w:r>
    </w:p>
    <w:p w14:paraId="0A8FCF2B" w14:textId="4A0B692E" w:rsidR="006F4C12" w:rsidRPr="00BD3EA7" w:rsidRDefault="006F4C12" w:rsidP="00EB2B53">
      <w:pPr>
        <w:pStyle w:val="BodyText2"/>
      </w:pPr>
    </w:p>
    <w:p w14:paraId="6CB98C70" w14:textId="60B22F31" w:rsidR="006B0D2F" w:rsidRPr="00BD3EA7" w:rsidRDefault="006F4C12" w:rsidP="00EB2B53">
      <w:pPr>
        <w:pStyle w:val="BodyText2"/>
      </w:pPr>
      <w:r w:rsidRPr="00BD3EA7">
        <w:tab/>
      </w:r>
      <w:r w:rsidR="006B0D2F" w:rsidRPr="00BD3EA7">
        <w:t xml:space="preserve">I held a Conference Call on April 8, 2022 with Counsel for Parents, the District, and the Department, during which the parties discussed the status of the matter and supplemented their written submissions on the issue of joinder of DCF with oral argument. Although Parents once again declined to take a position, they confirmed, through Counsel, that they are not currently seeking DCF placement or services for </w:t>
      </w:r>
      <w:proofErr w:type="spellStart"/>
      <w:r w:rsidR="006B0D2F" w:rsidRPr="00BD3EA7">
        <w:t>Xili</w:t>
      </w:r>
      <w:proofErr w:type="spellEnd"/>
      <w:r w:rsidR="006B0D2F" w:rsidRPr="00BD3EA7">
        <w:t>.</w:t>
      </w:r>
    </w:p>
    <w:p w14:paraId="2E233781" w14:textId="77777777" w:rsidR="006B0D2F" w:rsidRPr="00BD3EA7" w:rsidRDefault="006B0D2F" w:rsidP="00EB2B53">
      <w:pPr>
        <w:pStyle w:val="BodyText2"/>
      </w:pPr>
    </w:p>
    <w:p w14:paraId="5E796306" w14:textId="30342E3C" w:rsidR="00097C07" w:rsidRPr="00BD3EA7" w:rsidRDefault="00191EF5" w:rsidP="006B0D2F">
      <w:pPr>
        <w:pStyle w:val="BodyText2"/>
        <w:ind w:firstLine="720"/>
      </w:pPr>
      <w:r w:rsidRPr="00BD3EA7">
        <w:t xml:space="preserve">Following </w:t>
      </w:r>
      <w:r w:rsidR="006B0D2F" w:rsidRPr="00BD3EA7">
        <w:t>the</w:t>
      </w:r>
      <w:r w:rsidRPr="00BD3EA7">
        <w:t xml:space="preserve"> Conference Call</w:t>
      </w:r>
      <w:r w:rsidR="006B0D2F" w:rsidRPr="00BD3EA7">
        <w:t xml:space="preserve">, </w:t>
      </w:r>
      <w:r w:rsidR="006F4C12" w:rsidRPr="00BD3EA7">
        <w:t>Lexington filed a</w:t>
      </w:r>
      <w:r w:rsidR="006B0D2F" w:rsidRPr="00BD3EA7">
        <w:t xml:space="preserve"> written</w:t>
      </w:r>
      <w:r w:rsidR="006F4C12" w:rsidRPr="00BD3EA7">
        <w:t xml:space="preserve"> </w:t>
      </w:r>
      <w:r w:rsidR="006F4C12" w:rsidRPr="00BD3EA7">
        <w:rPr>
          <w:i/>
          <w:iCs/>
        </w:rPr>
        <w:t>Opposition to Motion to Reconsider</w:t>
      </w:r>
      <w:r w:rsidRPr="00BD3EA7">
        <w:t xml:space="preserve"> on April 13, 2022,</w:t>
      </w:r>
      <w:r w:rsidR="006F4C12" w:rsidRPr="00BD3EA7">
        <w:t xml:space="preserve"> arguing that DCF previously had physical custody of </w:t>
      </w:r>
      <w:proofErr w:type="spellStart"/>
      <w:r w:rsidR="006F4C12" w:rsidRPr="00BD3EA7">
        <w:t>Xili</w:t>
      </w:r>
      <w:proofErr w:type="spellEnd"/>
      <w:r w:rsidR="006F4C12" w:rsidRPr="00BD3EA7">
        <w:t xml:space="preserve">, and that evidence presented at Hearing may suggest that </w:t>
      </w:r>
      <w:proofErr w:type="spellStart"/>
      <w:r w:rsidR="006F4C12" w:rsidRPr="00BD3EA7">
        <w:t>Xili</w:t>
      </w:r>
      <w:proofErr w:type="spellEnd"/>
      <w:r w:rsidR="006F4C12" w:rsidRPr="00BD3EA7">
        <w:t xml:space="preserve"> would benefit from DCF services. The District cited to prior BSEA rulings joining state agencies where such agencies might be determined to be responsible for the non-educational services portion of a residential placement sought by parents</w:t>
      </w:r>
      <w:r w:rsidR="00563D4F" w:rsidRPr="00BD3EA7">
        <w:t>, or for other non-educational services that could be provided to a student to assist him in accessing a free appropriate public education (FAPE), and argued that joinder in the present matter would advance the interest of administrative efficiency.</w:t>
      </w:r>
    </w:p>
    <w:p w14:paraId="2159B358" w14:textId="77777777" w:rsidR="00097C07" w:rsidRPr="00BD3EA7" w:rsidRDefault="00097C07" w:rsidP="00EB2B53">
      <w:pPr>
        <w:spacing w:after="0" w:line="240" w:lineRule="auto"/>
        <w:rPr>
          <w:rFonts w:ascii="Times New Roman" w:eastAsia="Calibri" w:hAnsi="Times New Roman" w:cs="Times New Roman"/>
          <w:bCs/>
          <w:sz w:val="24"/>
          <w:szCs w:val="24"/>
        </w:rPr>
      </w:pPr>
    </w:p>
    <w:p w14:paraId="05ECF508" w14:textId="71D8B30B" w:rsidR="00EB2B53" w:rsidRPr="00BD3EA7" w:rsidRDefault="00787295" w:rsidP="00097C07">
      <w:pPr>
        <w:spacing w:after="0" w:line="240" w:lineRule="auto"/>
        <w:ind w:firstLine="720"/>
        <w:rPr>
          <w:rFonts w:ascii="Times New Roman" w:eastAsia="Calibri" w:hAnsi="Times New Roman" w:cs="Times New Roman"/>
          <w:bCs/>
          <w:sz w:val="24"/>
          <w:szCs w:val="24"/>
        </w:rPr>
      </w:pPr>
      <w:r w:rsidRPr="00BD3EA7">
        <w:rPr>
          <w:rFonts w:ascii="Times New Roman" w:eastAsia="Calibri" w:hAnsi="Times New Roman" w:cs="Times New Roman"/>
          <w:bCs/>
          <w:sz w:val="24"/>
          <w:szCs w:val="24"/>
        </w:rPr>
        <w:t xml:space="preserve">The matter is currently scheduled for </w:t>
      </w:r>
      <w:r w:rsidR="00563D4F" w:rsidRPr="00BD3EA7">
        <w:rPr>
          <w:rFonts w:ascii="Times New Roman" w:eastAsia="Calibri" w:hAnsi="Times New Roman" w:cs="Times New Roman"/>
          <w:bCs/>
          <w:sz w:val="24"/>
          <w:szCs w:val="24"/>
        </w:rPr>
        <w:t>Hearing on July 11, 12, and 14, 2022</w:t>
      </w:r>
      <w:r w:rsidRPr="00BD3EA7">
        <w:rPr>
          <w:rFonts w:ascii="Times New Roman" w:eastAsia="Calibri" w:hAnsi="Times New Roman" w:cs="Times New Roman"/>
          <w:bCs/>
          <w:sz w:val="24"/>
          <w:szCs w:val="24"/>
        </w:rPr>
        <w:t xml:space="preserve">, </w:t>
      </w:r>
      <w:r w:rsidR="00563D4F" w:rsidRPr="00BD3EA7">
        <w:rPr>
          <w:rFonts w:ascii="Times New Roman" w:eastAsia="Calibri" w:hAnsi="Times New Roman" w:cs="Times New Roman"/>
          <w:bCs/>
          <w:sz w:val="24"/>
          <w:szCs w:val="24"/>
        </w:rPr>
        <w:t xml:space="preserve">following two assented-to postponements for good cause pursuant to Parents’ February 14 and April 15, 2022 requests, to gather additional information regarding </w:t>
      </w:r>
      <w:proofErr w:type="spellStart"/>
      <w:r w:rsidR="00563D4F" w:rsidRPr="00BD3EA7">
        <w:rPr>
          <w:rFonts w:ascii="Times New Roman" w:eastAsia="Calibri" w:hAnsi="Times New Roman" w:cs="Times New Roman"/>
          <w:bCs/>
          <w:sz w:val="24"/>
          <w:szCs w:val="24"/>
        </w:rPr>
        <w:t>Xili’s</w:t>
      </w:r>
      <w:proofErr w:type="spellEnd"/>
      <w:r w:rsidR="00563D4F" w:rsidRPr="00BD3EA7">
        <w:rPr>
          <w:rFonts w:ascii="Times New Roman" w:eastAsia="Calibri" w:hAnsi="Times New Roman" w:cs="Times New Roman"/>
          <w:bCs/>
          <w:sz w:val="24"/>
          <w:szCs w:val="24"/>
        </w:rPr>
        <w:t xml:space="preserve"> needs and performance, and to permit the parties to continue </w:t>
      </w:r>
      <w:r w:rsidRPr="00BD3EA7">
        <w:rPr>
          <w:rFonts w:ascii="Times New Roman" w:eastAsia="Calibri" w:hAnsi="Times New Roman" w:cs="Times New Roman"/>
          <w:bCs/>
          <w:sz w:val="24"/>
          <w:szCs w:val="24"/>
        </w:rPr>
        <w:t>work</w:t>
      </w:r>
      <w:r w:rsidR="00563D4F" w:rsidRPr="00BD3EA7">
        <w:rPr>
          <w:rFonts w:ascii="Times New Roman" w:eastAsia="Calibri" w:hAnsi="Times New Roman" w:cs="Times New Roman"/>
          <w:bCs/>
          <w:sz w:val="24"/>
          <w:szCs w:val="24"/>
        </w:rPr>
        <w:t xml:space="preserve">ing </w:t>
      </w:r>
      <w:r w:rsidRPr="00BD3EA7">
        <w:rPr>
          <w:rFonts w:ascii="Times New Roman" w:eastAsia="Calibri" w:hAnsi="Times New Roman" w:cs="Times New Roman"/>
          <w:bCs/>
          <w:sz w:val="24"/>
          <w:szCs w:val="24"/>
        </w:rPr>
        <w:t>together toward resolution</w:t>
      </w:r>
      <w:r w:rsidR="00563D4F" w:rsidRPr="00BD3EA7">
        <w:rPr>
          <w:rFonts w:ascii="Times New Roman" w:eastAsia="Calibri" w:hAnsi="Times New Roman" w:cs="Times New Roman"/>
          <w:bCs/>
          <w:sz w:val="24"/>
          <w:szCs w:val="24"/>
        </w:rPr>
        <w:t>.</w:t>
      </w:r>
    </w:p>
    <w:p w14:paraId="036FF428" w14:textId="77777777" w:rsidR="00EB2B53" w:rsidRPr="00BD3EA7" w:rsidRDefault="00EB2B53" w:rsidP="00AE4B4B">
      <w:pPr>
        <w:pStyle w:val="BodyText2"/>
      </w:pPr>
    </w:p>
    <w:p w14:paraId="06E8CC31" w14:textId="78E3EAB9" w:rsidR="00F97A17" w:rsidRPr="00BD3EA7" w:rsidRDefault="00F31B65" w:rsidP="00097C07">
      <w:pPr>
        <w:pStyle w:val="NoSpacing"/>
        <w:ind w:firstLine="720"/>
        <w:rPr>
          <w:rFonts w:ascii="Times New Roman" w:hAnsi="Times New Roman"/>
          <w:sz w:val="24"/>
          <w:szCs w:val="24"/>
        </w:rPr>
      </w:pPr>
      <w:r w:rsidRPr="00BD3EA7">
        <w:rPr>
          <w:rFonts w:ascii="Times New Roman" w:hAnsi="Times New Roman"/>
          <w:sz w:val="24"/>
          <w:szCs w:val="24"/>
        </w:rPr>
        <w:t xml:space="preserve">For the reasons set forth below, </w:t>
      </w:r>
      <w:r w:rsidR="00097C07" w:rsidRPr="00BD3EA7">
        <w:rPr>
          <w:rFonts w:ascii="Times New Roman" w:hAnsi="Times New Roman"/>
          <w:sz w:val="24"/>
          <w:szCs w:val="24"/>
        </w:rPr>
        <w:t xml:space="preserve">DCF’S </w:t>
      </w:r>
      <w:r w:rsidR="00097C07" w:rsidRPr="00BD3EA7">
        <w:rPr>
          <w:rFonts w:ascii="Times New Roman" w:hAnsi="Times New Roman"/>
          <w:i/>
          <w:iCs/>
          <w:sz w:val="24"/>
          <w:szCs w:val="24"/>
        </w:rPr>
        <w:t xml:space="preserve">Motion </w:t>
      </w:r>
      <w:r w:rsidRPr="00BD3EA7">
        <w:rPr>
          <w:rFonts w:ascii="Times New Roman" w:hAnsi="Times New Roman"/>
          <w:i/>
          <w:iCs/>
          <w:sz w:val="24"/>
          <w:szCs w:val="24"/>
        </w:rPr>
        <w:t xml:space="preserve">to </w:t>
      </w:r>
      <w:r w:rsidR="00097C07" w:rsidRPr="00BD3EA7">
        <w:rPr>
          <w:rFonts w:ascii="Times New Roman" w:hAnsi="Times New Roman"/>
          <w:i/>
          <w:iCs/>
          <w:sz w:val="24"/>
          <w:szCs w:val="24"/>
        </w:rPr>
        <w:t xml:space="preserve">Reconsider </w:t>
      </w:r>
      <w:r w:rsidRPr="00BD3EA7">
        <w:rPr>
          <w:rFonts w:ascii="Times New Roman" w:hAnsi="Times New Roman"/>
          <w:sz w:val="24"/>
          <w:szCs w:val="24"/>
        </w:rPr>
        <w:t xml:space="preserve">is hereby ALLOWED. </w:t>
      </w:r>
    </w:p>
    <w:p w14:paraId="611D7102" w14:textId="64D14C40" w:rsidR="000A7625" w:rsidRDefault="000A7625" w:rsidP="007F00D7">
      <w:pPr>
        <w:pStyle w:val="BodyText"/>
        <w:rPr>
          <w:b w:val="0"/>
          <w:bCs/>
          <w:u w:val="none"/>
        </w:rPr>
      </w:pPr>
    </w:p>
    <w:p w14:paraId="4C672298" w14:textId="2BA6F7EA" w:rsidR="000A7625" w:rsidRDefault="000A7625" w:rsidP="007F00D7">
      <w:pPr>
        <w:pStyle w:val="BodyText"/>
        <w:rPr>
          <w:b w:val="0"/>
          <w:bCs/>
          <w:u w:val="none"/>
        </w:rPr>
      </w:pPr>
    </w:p>
    <w:p w14:paraId="3F81858E" w14:textId="66ED5F3E" w:rsidR="000A7625" w:rsidRDefault="000A7625" w:rsidP="007F00D7">
      <w:pPr>
        <w:pStyle w:val="BodyText"/>
        <w:rPr>
          <w:b w:val="0"/>
          <w:bCs/>
          <w:u w:val="none"/>
        </w:rPr>
      </w:pPr>
    </w:p>
    <w:p w14:paraId="3B6BB261" w14:textId="77777777" w:rsidR="000A7625" w:rsidRPr="000A7625" w:rsidRDefault="000A7625" w:rsidP="007F00D7">
      <w:pPr>
        <w:pStyle w:val="BodyText"/>
        <w:rPr>
          <w:b w:val="0"/>
          <w:bCs/>
          <w:u w:val="none"/>
        </w:rPr>
      </w:pPr>
    </w:p>
    <w:p w14:paraId="0F373BC6" w14:textId="317366A1" w:rsidR="00F97A17" w:rsidRPr="00BD3EA7" w:rsidRDefault="00010BE1" w:rsidP="00F97A17">
      <w:pPr>
        <w:spacing w:after="0" w:line="240" w:lineRule="auto"/>
        <w:rPr>
          <w:rFonts w:ascii="Times New Roman" w:eastAsia="Calibri" w:hAnsi="Times New Roman" w:cs="Times New Roman"/>
          <w:sz w:val="24"/>
          <w:szCs w:val="24"/>
          <w:u w:val="single"/>
        </w:rPr>
      </w:pPr>
      <w:r w:rsidRPr="00BD3EA7">
        <w:rPr>
          <w:rFonts w:ascii="Times New Roman" w:eastAsia="Calibri" w:hAnsi="Times New Roman" w:cs="Times New Roman"/>
          <w:sz w:val="24"/>
          <w:szCs w:val="24"/>
          <w:u w:val="single"/>
        </w:rPr>
        <w:lastRenderedPageBreak/>
        <w:t>RELEVANT FACTUAL BACKGROUND</w:t>
      </w:r>
    </w:p>
    <w:p w14:paraId="54FCC590" w14:textId="77777777" w:rsidR="00F97A17" w:rsidRPr="00BD3EA7" w:rsidRDefault="00F97A17" w:rsidP="00F97A17">
      <w:pPr>
        <w:spacing w:after="0" w:line="240" w:lineRule="auto"/>
        <w:rPr>
          <w:rFonts w:ascii="Times New Roman" w:eastAsia="Calibri" w:hAnsi="Times New Roman" w:cs="Times New Roman"/>
          <w:sz w:val="24"/>
          <w:szCs w:val="24"/>
          <w:u w:val="single"/>
        </w:rPr>
      </w:pPr>
    </w:p>
    <w:p w14:paraId="289E9915" w14:textId="250A4F5B" w:rsidR="00EF3E21" w:rsidRPr="00BD3EA7" w:rsidRDefault="00F97A17" w:rsidP="00EF3E21">
      <w:pPr>
        <w:spacing w:after="0" w:line="240" w:lineRule="auto"/>
        <w:ind w:firstLine="720"/>
        <w:rPr>
          <w:rFonts w:ascii="Times New Roman" w:eastAsia="Times New Roman" w:hAnsi="Times New Roman" w:cs="Times New Roman"/>
          <w:sz w:val="24"/>
          <w:szCs w:val="24"/>
        </w:rPr>
      </w:pPr>
      <w:r w:rsidRPr="00BD3EA7">
        <w:rPr>
          <w:rFonts w:ascii="Times New Roman" w:eastAsia="Times New Roman" w:hAnsi="Times New Roman" w:cs="Times New Roman"/>
          <w:sz w:val="24"/>
          <w:szCs w:val="24"/>
        </w:rPr>
        <w:t>The</w:t>
      </w:r>
      <w:r w:rsidR="00EF3E21" w:rsidRPr="00BD3EA7">
        <w:rPr>
          <w:rFonts w:ascii="Times New Roman" w:eastAsia="Times New Roman" w:hAnsi="Times New Roman" w:cs="Times New Roman"/>
          <w:sz w:val="24"/>
          <w:szCs w:val="24"/>
        </w:rPr>
        <w:t xml:space="preserve"> facts recited in my </w:t>
      </w:r>
      <w:r w:rsidR="00EF3E21" w:rsidRPr="00BD3EA7">
        <w:rPr>
          <w:rFonts w:ascii="Times New Roman" w:eastAsia="Times New Roman" w:hAnsi="Times New Roman" w:cs="Times New Roman"/>
          <w:i/>
          <w:iCs/>
          <w:sz w:val="24"/>
          <w:szCs w:val="24"/>
        </w:rPr>
        <w:t>Joinder Ruling</w:t>
      </w:r>
      <w:r w:rsidR="00EF3E21" w:rsidRPr="00BD3EA7">
        <w:rPr>
          <w:rFonts w:ascii="Times New Roman" w:eastAsia="Times New Roman" w:hAnsi="Times New Roman" w:cs="Times New Roman"/>
          <w:sz w:val="24"/>
          <w:szCs w:val="24"/>
        </w:rPr>
        <w:t xml:space="preserve"> summarize the pleadings prior to DCF’s </w:t>
      </w:r>
      <w:r w:rsidR="00EF3E21" w:rsidRPr="00BD3EA7">
        <w:rPr>
          <w:rFonts w:ascii="Times New Roman" w:eastAsia="Times New Roman" w:hAnsi="Times New Roman" w:cs="Times New Roman"/>
          <w:i/>
          <w:iCs/>
          <w:sz w:val="24"/>
          <w:szCs w:val="24"/>
        </w:rPr>
        <w:t>Motion to Reconsider</w:t>
      </w:r>
      <w:r w:rsidR="00EF3E21" w:rsidRPr="00BD3EA7">
        <w:rPr>
          <w:rFonts w:ascii="Times New Roman" w:eastAsia="Times New Roman" w:hAnsi="Times New Roman" w:cs="Times New Roman"/>
          <w:sz w:val="24"/>
          <w:szCs w:val="24"/>
        </w:rPr>
        <w:t xml:space="preserve"> and need not be repeated here. The new information provided by DCF clarifies that the agency has no present involvement with </w:t>
      </w:r>
      <w:proofErr w:type="spellStart"/>
      <w:r w:rsidR="00EF3E21" w:rsidRPr="00BD3EA7">
        <w:rPr>
          <w:rFonts w:ascii="Times New Roman" w:eastAsia="Times New Roman" w:hAnsi="Times New Roman" w:cs="Times New Roman"/>
          <w:sz w:val="24"/>
          <w:szCs w:val="24"/>
        </w:rPr>
        <w:t>Xili</w:t>
      </w:r>
      <w:proofErr w:type="spellEnd"/>
      <w:r w:rsidR="00EF3E21" w:rsidRPr="00BD3EA7">
        <w:rPr>
          <w:rFonts w:ascii="Times New Roman" w:eastAsia="Times New Roman" w:hAnsi="Times New Roman" w:cs="Times New Roman"/>
          <w:sz w:val="24"/>
          <w:szCs w:val="24"/>
        </w:rPr>
        <w:t xml:space="preserve"> or his family, as the CRA was dismissed by the Juvenile Court on March 4, 2022, and DCF</w:t>
      </w:r>
      <w:r w:rsidR="00D11C1E" w:rsidRPr="00BD3EA7">
        <w:rPr>
          <w:rFonts w:ascii="Times New Roman" w:eastAsia="Times New Roman" w:hAnsi="Times New Roman" w:cs="Times New Roman"/>
          <w:sz w:val="24"/>
          <w:szCs w:val="24"/>
        </w:rPr>
        <w:t xml:space="preserve"> has since closed its clinical case. Although Parents ha</w:t>
      </w:r>
      <w:r w:rsidR="006B0D2F" w:rsidRPr="00BD3EA7">
        <w:rPr>
          <w:rFonts w:ascii="Times New Roman" w:eastAsia="Times New Roman" w:hAnsi="Times New Roman" w:cs="Times New Roman"/>
          <w:sz w:val="24"/>
          <w:szCs w:val="24"/>
        </w:rPr>
        <w:t>ve had</w:t>
      </w:r>
      <w:r w:rsidR="00D11C1E" w:rsidRPr="00BD3EA7">
        <w:rPr>
          <w:rFonts w:ascii="Times New Roman" w:eastAsia="Times New Roman" w:hAnsi="Times New Roman" w:cs="Times New Roman"/>
          <w:sz w:val="24"/>
          <w:szCs w:val="24"/>
        </w:rPr>
        <w:t xml:space="preserve"> the opportunity to appeal this closure and seek further services from DCF</w:t>
      </w:r>
      <w:r w:rsidR="006B0D2F" w:rsidRPr="00BD3EA7">
        <w:rPr>
          <w:rFonts w:ascii="Times New Roman" w:eastAsia="Times New Roman" w:hAnsi="Times New Roman" w:cs="Times New Roman"/>
          <w:sz w:val="24"/>
          <w:szCs w:val="24"/>
        </w:rPr>
        <w:t xml:space="preserve"> since that time</w:t>
      </w:r>
      <w:r w:rsidR="00D11C1E" w:rsidRPr="00BD3EA7">
        <w:rPr>
          <w:rFonts w:ascii="Times New Roman" w:eastAsia="Times New Roman" w:hAnsi="Times New Roman" w:cs="Times New Roman"/>
          <w:sz w:val="24"/>
          <w:szCs w:val="24"/>
        </w:rPr>
        <w:t xml:space="preserve">, they </w:t>
      </w:r>
      <w:r w:rsidR="006B0D2F" w:rsidRPr="00BD3EA7">
        <w:rPr>
          <w:rFonts w:ascii="Times New Roman" w:eastAsia="Times New Roman" w:hAnsi="Times New Roman" w:cs="Times New Roman"/>
          <w:sz w:val="24"/>
          <w:szCs w:val="24"/>
        </w:rPr>
        <w:t xml:space="preserve">continue to </w:t>
      </w:r>
      <w:r w:rsidR="00D11C1E" w:rsidRPr="00BD3EA7">
        <w:rPr>
          <w:rFonts w:ascii="Times New Roman" w:eastAsia="Times New Roman" w:hAnsi="Times New Roman" w:cs="Times New Roman"/>
          <w:sz w:val="24"/>
          <w:szCs w:val="24"/>
        </w:rPr>
        <w:t>decline to do so.</w:t>
      </w:r>
    </w:p>
    <w:p w14:paraId="4B727552" w14:textId="77777777" w:rsidR="00D11C1E" w:rsidRPr="00BD3EA7" w:rsidRDefault="00D11C1E" w:rsidP="00EF3E21">
      <w:pPr>
        <w:spacing w:after="0" w:line="240" w:lineRule="auto"/>
        <w:ind w:firstLine="720"/>
        <w:rPr>
          <w:rFonts w:ascii="Times New Roman" w:eastAsia="Times New Roman" w:hAnsi="Times New Roman" w:cs="Times New Roman"/>
          <w:sz w:val="24"/>
          <w:szCs w:val="24"/>
        </w:rPr>
      </w:pPr>
    </w:p>
    <w:p w14:paraId="06A3DEF5" w14:textId="09B9331D" w:rsidR="00D65D85" w:rsidRPr="00BD3EA7" w:rsidRDefault="00FB7FB4" w:rsidP="0068476E">
      <w:pPr>
        <w:pStyle w:val="NormalWeb"/>
        <w:textAlignment w:val="baseline"/>
      </w:pPr>
      <w:r w:rsidRPr="00BD3EA7">
        <w:rPr>
          <w:u w:val="single"/>
        </w:rPr>
        <w:t>LEGAL STANDARDS</w:t>
      </w:r>
    </w:p>
    <w:p w14:paraId="339EBB1B" w14:textId="1CBFE751" w:rsidR="002D7E4B" w:rsidRPr="00BD3EA7" w:rsidRDefault="002D7E4B" w:rsidP="0068476E">
      <w:pPr>
        <w:pStyle w:val="NormalWeb"/>
        <w:spacing w:before="0" w:beforeAutospacing="0" w:after="0" w:afterAutospacing="0"/>
        <w:textAlignment w:val="baseline"/>
      </w:pPr>
      <w:r w:rsidRPr="00BD3EA7">
        <w:tab/>
        <w:t xml:space="preserve">As a preface to my discussion of standards governing joinder, I clarify that although DCF’s filing is captioned a </w:t>
      </w:r>
      <w:r w:rsidRPr="00BD3EA7">
        <w:rPr>
          <w:i/>
          <w:iCs/>
        </w:rPr>
        <w:t>Motion to Reconsider</w:t>
      </w:r>
      <w:r w:rsidRPr="00BD3EA7">
        <w:t>, I do not apply the</w:t>
      </w:r>
      <w:r w:rsidR="007906B9" w:rsidRPr="00BD3EA7">
        <w:t xml:space="preserve"> </w:t>
      </w:r>
      <w:r w:rsidRPr="00BD3EA7">
        <w:t>standards set forth in the Federal Rules of Civil Procedure</w:t>
      </w:r>
      <w:r w:rsidR="00E63B62" w:rsidRPr="00BD3EA7">
        <w:t xml:space="preserve"> 59 or 60</w:t>
      </w:r>
      <w:r w:rsidRPr="00BD3EA7">
        <w:t xml:space="preserve"> for motions to alter or amend judgments, as courts may do</w:t>
      </w:r>
      <w:r w:rsidR="00AA6893" w:rsidRPr="00BD3EA7">
        <w:t xml:space="preserve"> when they rule on such motions</w:t>
      </w:r>
      <w:r w:rsidRPr="00BD3EA7">
        <w:t>.</w:t>
      </w:r>
      <w:r w:rsidR="006C61BE" w:rsidRPr="00BD3EA7">
        <w:rPr>
          <w:rStyle w:val="FootnoteReference"/>
        </w:rPr>
        <w:footnoteReference w:id="6"/>
      </w:r>
      <w:r w:rsidRPr="00BD3EA7">
        <w:t xml:space="preserve"> </w:t>
      </w:r>
      <w:r w:rsidR="007906B9" w:rsidRPr="00BD3EA7">
        <w:t>I</w:t>
      </w:r>
      <w:r w:rsidR="00071E20" w:rsidRPr="00BD3EA7">
        <w:t>n this case, I did not consider DCF’s</w:t>
      </w:r>
      <w:r w:rsidR="007906B9" w:rsidRPr="00BD3EA7">
        <w:t xml:space="preserve"> </w:t>
      </w:r>
      <w:r w:rsidR="00071E20" w:rsidRPr="00BD3EA7">
        <w:rPr>
          <w:i/>
          <w:iCs/>
        </w:rPr>
        <w:t>Opposition</w:t>
      </w:r>
      <w:r w:rsidR="00071E20" w:rsidRPr="00BD3EA7">
        <w:t xml:space="preserve"> before issuing the initial </w:t>
      </w:r>
      <w:r w:rsidR="00071E20" w:rsidRPr="00BD3EA7">
        <w:rPr>
          <w:i/>
          <w:iCs/>
        </w:rPr>
        <w:t>Joinder Ruling</w:t>
      </w:r>
      <w:r w:rsidR="007906B9" w:rsidRPr="00BD3EA7">
        <w:t>,</w:t>
      </w:r>
      <w:r w:rsidR="00071E20" w:rsidRPr="00BD3EA7">
        <w:rPr>
          <w:i/>
          <w:iCs/>
        </w:rPr>
        <w:t xml:space="preserve"> </w:t>
      </w:r>
      <w:r w:rsidR="00071E20" w:rsidRPr="00BD3EA7">
        <w:t>in part because of an administrative error committed by the BSEA. As such,</w:t>
      </w:r>
      <w:r w:rsidR="007906B9" w:rsidRPr="00BD3EA7">
        <w:t xml:space="preserve"> it is not appropriate to utilize the strict standards applicable to motions for reconsideration, which are granted sparing</w:t>
      </w:r>
      <w:r w:rsidR="00A9070F" w:rsidRPr="00BD3EA7">
        <w:t>ly.</w:t>
      </w:r>
      <w:r w:rsidRPr="00BD3EA7">
        <w:rPr>
          <w:rStyle w:val="FootnoteReference"/>
        </w:rPr>
        <w:footnoteReference w:id="7"/>
      </w:r>
      <w:r w:rsidRPr="00BD3EA7">
        <w:t xml:space="preserve"> </w:t>
      </w:r>
      <w:r w:rsidR="00A9070F" w:rsidRPr="00BD3EA7">
        <w:t xml:space="preserve">Instead, I apply the same standards for joinder that I applied in my </w:t>
      </w:r>
      <w:r w:rsidR="00A9070F" w:rsidRPr="00BD3EA7">
        <w:rPr>
          <w:i/>
          <w:iCs/>
        </w:rPr>
        <w:t>Joinder Ruling</w:t>
      </w:r>
      <w:r w:rsidR="00A9070F" w:rsidRPr="00BD3EA7">
        <w:t xml:space="preserve">, </w:t>
      </w:r>
      <w:r w:rsidR="00F47CB4" w:rsidRPr="00BD3EA7">
        <w:t xml:space="preserve">this time </w:t>
      </w:r>
      <w:proofErr w:type="gramStart"/>
      <w:r w:rsidR="00A9070F" w:rsidRPr="00BD3EA7">
        <w:t>taking into account</w:t>
      </w:r>
      <w:proofErr w:type="gramEnd"/>
      <w:r w:rsidR="00A9070F" w:rsidRPr="00BD3EA7">
        <w:t xml:space="preserve"> the information provided by DCF.</w:t>
      </w:r>
    </w:p>
    <w:p w14:paraId="7D147BFD" w14:textId="77777777" w:rsidR="002168F3" w:rsidRPr="00BD3EA7" w:rsidRDefault="002168F3" w:rsidP="0068476E">
      <w:pPr>
        <w:pStyle w:val="NormalWeb"/>
        <w:spacing w:before="0" w:beforeAutospacing="0" w:after="0" w:afterAutospacing="0"/>
        <w:textAlignment w:val="baseline"/>
        <w:rPr>
          <w:i/>
          <w:iCs/>
        </w:rPr>
      </w:pPr>
    </w:p>
    <w:p w14:paraId="091FC16C" w14:textId="26749777" w:rsidR="0068476E" w:rsidRPr="00BD3EA7" w:rsidRDefault="009569FC" w:rsidP="002168F3">
      <w:pPr>
        <w:pStyle w:val="NormalWeb"/>
        <w:spacing w:before="0" w:beforeAutospacing="0" w:after="0" w:afterAutospacing="0"/>
        <w:ind w:firstLine="720"/>
        <w:textAlignment w:val="baseline"/>
      </w:pPr>
      <w:r w:rsidRPr="00BD3EA7">
        <w:t>The BSEA has jurisdiction to resolve “differences of opinion among school districts, private schools, parents, and state agencies.”</w:t>
      </w:r>
      <w:r w:rsidRPr="00BD3EA7">
        <w:rPr>
          <w:rStyle w:val="FootnoteReference"/>
        </w:rPr>
        <w:footnoteReference w:id="8"/>
      </w:r>
      <w:r w:rsidR="00135CA9" w:rsidRPr="00BD3EA7">
        <w:t xml:space="preserve"> </w:t>
      </w:r>
      <w:r w:rsidR="0068476E" w:rsidRPr="00BD3EA7">
        <w:t xml:space="preserve">Pursuant to BSEA </w:t>
      </w:r>
      <w:r w:rsidR="0068476E" w:rsidRPr="00BD3EA7">
        <w:rPr>
          <w:i/>
          <w:iCs/>
        </w:rPr>
        <w:t>Hearing Rule</w:t>
      </w:r>
      <w:r w:rsidR="0068476E" w:rsidRPr="00BD3EA7">
        <w:t xml:space="preserve"> I(J):  </w:t>
      </w:r>
    </w:p>
    <w:p w14:paraId="6D67CEFC" w14:textId="5C5F10C4" w:rsidR="0068476E" w:rsidRPr="00BD3EA7" w:rsidRDefault="0068476E" w:rsidP="0068476E">
      <w:pPr>
        <w:pStyle w:val="NormalWeb"/>
        <w:spacing w:before="0" w:beforeAutospacing="0" w:after="0" w:afterAutospacing="0"/>
        <w:textAlignment w:val="baseline"/>
      </w:pPr>
    </w:p>
    <w:p w14:paraId="301C27B9" w14:textId="77777777" w:rsidR="0068476E" w:rsidRPr="00BD3EA7" w:rsidRDefault="0068476E" w:rsidP="0068476E">
      <w:pPr>
        <w:pStyle w:val="NoSpacing"/>
        <w:ind w:left="1440"/>
        <w:rPr>
          <w:rFonts w:ascii="Times New Roman" w:hAnsi="Times New Roman" w:cs="Times New Roman"/>
          <w:sz w:val="24"/>
          <w:szCs w:val="24"/>
        </w:rPr>
      </w:pPr>
      <w:r w:rsidRPr="00BD3EA7">
        <w:rPr>
          <w:rFonts w:ascii="Times New Roman" w:hAnsi="Times New Roman" w:cs="Times New Roman"/>
          <w:sz w:val="24"/>
          <w:szCs w:val="24"/>
        </w:rPr>
        <w:t xml:space="preserve">“Upon written request of a party, a Hearing Officer may allow for the joinder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of joinder </w:t>
      </w:r>
      <w:proofErr w:type="gramStart"/>
      <w:r w:rsidRPr="00BD3EA7">
        <w:rPr>
          <w:rFonts w:ascii="Times New Roman" w:hAnsi="Times New Roman" w:cs="Times New Roman"/>
          <w:sz w:val="24"/>
          <w:szCs w:val="24"/>
        </w:rPr>
        <w:t>are:</w:t>
      </w:r>
      <w:proofErr w:type="gramEnd"/>
      <w:r w:rsidRPr="00BD3EA7">
        <w:rPr>
          <w:rFonts w:ascii="Times New Roman" w:hAnsi="Times New Roman" w:cs="Times New Roman"/>
          <w:sz w:val="24"/>
          <w:szCs w:val="24"/>
        </w:rPr>
        <w:t xml:space="preserve"> the risk of prejudice to the present parties in the absence of the proposed party; the range of alternatives for fashioning relief; the inadequacy of a judgment entered in the proposed party’s absence; and the existence of an alternative forum to resolve the issues.”</w:t>
      </w:r>
    </w:p>
    <w:p w14:paraId="4613193A" w14:textId="5C1B9B5F" w:rsidR="0068476E" w:rsidRPr="00BD3EA7" w:rsidRDefault="0068476E" w:rsidP="0068476E">
      <w:pPr>
        <w:pStyle w:val="NormalWeb"/>
        <w:spacing w:before="0" w:beforeAutospacing="0" w:after="0" w:afterAutospacing="0"/>
        <w:textAlignment w:val="baseline"/>
      </w:pPr>
    </w:p>
    <w:p w14:paraId="2A247756" w14:textId="4642BCF0" w:rsidR="00BB7DBC" w:rsidRPr="00BD3EA7" w:rsidRDefault="00BB7DBC" w:rsidP="0068476E">
      <w:pPr>
        <w:pStyle w:val="NormalWeb"/>
        <w:spacing w:before="0" w:beforeAutospacing="0" w:after="0" w:afterAutospacing="0"/>
        <w:textAlignment w:val="baseline"/>
      </w:pPr>
      <w:r w:rsidRPr="00BD3EA7">
        <w:tab/>
        <w:t xml:space="preserve">Parties often use this rule to join </w:t>
      </w:r>
      <w:r w:rsidR="000A7625">
        <w:t xml:space="preserve">a </w:t>
      </w:r>
      <w:r w:rsidRPr="00BD3EA7">
        <w:t>state agenc</w:t>
      </w:r>
      <w:r w:rsidR="000A7625">
        <w:t>y</w:t>
      </w:r>
      <w:r w:rsidRPr="00BD3EA7">
        <w:t xml:space="preserve"> (such as D</w:t>
      </w:r>
      <w:r w:rsidR="002B72FD" w:rsidRPr="00BD3EA7">
        <w:t>CF</w:t>
      </w:r>
      <w:r w:rsidRPr="00BD3EA7">
        <w:t xml:space="preserve">) that the BSEA may determine </w:t>
      </w:r>
      <w:r w:rsidR="00E351DD" w:rsidRPr="00BD3EA7">
        <w:t xml:space="preserve">is responsible for </w:t>
      </w:r>
      <w:r w:rsidRPr="00BD3EA7">
        <w:t>provid</w:t>
      </w:r>
      <w:r w:rsidR="00E351DD" w:rsidRPr="00BD3EA7">
        <w:t>ing s</w:t>
      </w:r>
      <w:r w:rsidRPr="00BD3EA7">
        <w:t>ervices to a student in a matter before it</w:t>
      </w:r>
      <w:r w:rsidR="00CE2773" w:rsidRPr="00BD3EA7">
        <w:t>, if such services are necessary for the student to receive a FAPE</w:t>
      </w:r>
      <w:r w:rsidR="00D7621E" w:rsidRPr="00BD3EA7">
        <w:t xml:space="preserve"> in the least restrictive environment</w:t>
      </w:r>
      <w:r w:rsidRPr="00BD3EA7">
        <w:t>.</w:t>
      </w:r>
      <w:r w:rsidR="00CE2773" w:rsidRPr="00BD3EA7">
        <w:rPr>
          <w:rStyle w:val="FootnoteReference"/>
        </w:rPr>
        <w:footnoteReference w:id="9"/>
      </w:r>
      <w:r w:rsidRPr="00BD3EA7">
        <w:t xml:space="preserve"> </w:t>
      </w:r>
      <w:r w:rsidR="00135CA9" w:rsidRPr="00BD3EA7">
        <w:t>However, t</w:t>
      </w:r>
      <w:r w:rsidRPr="00BD3EA7">
        <w:t xml:space="preserve">he relief the BSEA may </w:t>
      </w:r>
      <w:r w:rsidR="00E351DD" w:rsidRPr="00BD3EA7">
        <w:t xml:space="preserve">order state agencies to </w:t>
      </w:r>
      <w:r w:rsidRPr="00BD3EA7">
        <w:t xml:space="preserve">provide is limited by Mass. Gen. Laws ch. 71B, § 3, </w:t>
      </w:r>
      <w:r w:rsidR="00E93C8B" w:rsidRPr="00BD3EA7">
        <w:t>which states</w:t>
      </w:r>
      <w:r w:rsidRPr="00BD3EA7">
        <w:t>:</w:t>
      </w:r>
    </w:p>
    <w:p w14:paraId="00C92FDF" w14:textId="036BE2DE" w:rsidR="00BB7DBC" w:rsidRPr="00BD3EA7" w:rsidRDefault="00BB7DBC" w:rsidP="0068476E">
      <w:pPr>
        <w:pStyle w:val="NormalWeb"/>
        <w:spacing w:before="0" w:beforeAutospacing="0" w:after="0" w:afterAutospacing="0"/>
        <w:textAlignment w:val="baseline"/>
      </w:pPr>
    </w:p>
    <w:p w14:paraId="45F56E5F" w14:textId="02BFDE4C" w:rsidR="00BB7DBC" w:rsidRPr="00BD3EA7" w:rsidRDefault="00BB7DBC" w:rsidP="00BB7DBC">
      <w:pPr>
        <w:spacing w:after="0" w:line="240" w:lineRule="auto"/>
        <w:ind w:left="1440"/>
        <w:rPr>
          <w:rFonts w:ascii="Times New Roman" w:eastAsia="Calibri" w:hAnsi="Times New Roman" w:cs="Times New Roman"/>
          <w:sz w:val="24"/>
          <w:szCs w:val="24"/>
        </w:rPr>
      </w:pPr>
      <w:r w:rsidRPr="00BD3EA7">
        <w:rPr>
          <w:rFonts w:ascii="Times New Roman" w:eastAsia="Calibri" w:hAnsi="Times New Roman" w:cs="Times New Roman"/>
          <w:sz w:val="24"/>
          <w:szCs w:val="24"/>
        </w:rPr>
        <w:lastRenderedPageBreak/>
        <w:t>“The [BSEA] hearing officer may determine, in accordance with the rules, regulations and policies of the respective agencies, that services shall be provided by the department of children and families, the department of mental retardation [now the department of developmental services], the department of mental health, the department of public health, or any other state agency or program, in addition to the program and related services to be provided by the school committee.”</w:t>
      </w:r>
      <w:r w:rsidRPr="00BD3EA7">
        <w:rPr>
          <w:rFonts w:ascii="Times New Roman" w:eastAsia="Calibri" w:hAnsi="Times New Roman" w:cs="Times New Roman"/>
          <w:sz w:val="24"/>
          <w:szCs w:val="24"/>
          <w:vertAlign w:val="superscript"/>
        </w:rPr>
        <w:footnoteReference w:id="10"/>
      </w:r>
    </w:p>
    <w:p w14:paraId="2713A755" w14:textId="38072A57" w:rsidR="00BB7DBC" w:rsidRPr="00BD3EA7" w:rsidRDefault="00BB7DBC" w:rsidP="00BB7DBC">
      <w:pPr>
        <w:spacing w:after="0" w:line="240" w:lineRule="auto"/>
        <w:ind w:left="1440"/>
        <w:rPr>
          <w:rFonts w:ascii="Times New Roman" w:eastAsia="Calibri" w:hAnsi="Times New Roman" w:cs="Times New Roman"/>
          <w:sz w:val="24"/>
          <w:szCs w:val="24"/>
        </w:rPr>
      </w:pPr>
    </w:p>
    <w:p w14:paraId="2004A6F2" w14:textId="31583F6C" w:rsidR="00177848" w:rsidRPr="00BD3EA7" w:rsidRDefault="00BB7DBC" w:rsidP="00BB7DBC">
      <w:pPr>
        <w:spacing w:after="0" w:line="240" w:lineRule="auto"/>
        <w:rPr>
          <w:rFonts w:ascii="Times New Roman" w:eastAsia="Calibri" w:hAnsi="Times New Roman" w:cs="Times New Roman"/>
          <w:sz w:val="24"/>
          <w:szCs w:val="24"/>
        </w:rPr>
      </w:pPr>
      <w:r w:rsidRPr="00BD3EA7">
        <w:rPr>
          <w:rFonts w:ascii="Times New Roman" w:eastAsia="Calibri" w:hAnsi="Times New Roman" w:cs="Times New Roman"/>
          <w:sz w:val="24"/>
          <w:szCs w:val="24"/>
        </w:rPr>
        <w:tab/>
        <w:t>Therefore, to de</w:t>
      </w:r>
      <w:r w:rsidR="00E351DD" w:rsidRPr="00BD3EA7">
        <w:rPr>
          <w:rFonts w:ascii="Times New Roman" w:eastAsia="Calibri" w:hAnsi="Times New Roman" w:cs="Times New Roman"/>
          <w:sz w:val="24"/>
          <w:szCs w:val="24"/>
        </w:rPr>
        <w:t>cide</w:t>
      </w:r>
      <w:r w:rsidRPr="00BD3EA7">
        <w:rPr>
          <w:rFonts w:ascii="Times New Roman" w:eastAsia="Calibri" w:hAnsi="Times New Roman" w:cs="Times New Roman"/>
          <w:sz w:val="24"/>
          <w:szCs w:val="24"/>
        </w:rPr>
        <w:t xml:space="preserve"> </w:t>
      </w:r>
      <w:r w:rsidR="002B72FD" w:rsidRPr="00BD3EA7">
        <w:rPr>
          <w:rFonts w:ascii="Times New Roman" w:eastAsia="Calibri" w:hAnsi="Times New Roman" w:cs="Times New Roman"/>
          <w:sz w:val="24"/>
          <w:szCs w:val="24"/>
        </w:rPr>
        <w:t>whether DCF</w:t>
      </w:r>
      <w:r w:rsidRPr="00BD3EA7">
        <w:rPr>
          <w:rFonts w:ascii="Times New Roman" w:eastAsia="Calibri" w:hAnsi="Times New Roman" w:cs="Times New Roman"/>
          <w:sz w:val="24"/>
          <w:szCs w:val="24"/>
        </w:rPr>
        <w:t xml:space="preserve"> should be joined as a party in </w:t>
      </w:r>
      <w:r w:rsidR="00E83BAB" w:rsidRPr="00BD3EA7">
        <w:rPr>
          <w:rFonts w:ascii="Times New Roman" w:eastAsia="Calibri" w:hAnsi="Times New Roman" w:cs="Times New Roman"/>
          <w:sz w:val="24"/>
          <w:szCs w:val="24"/>
        </w:rPr>
        <w:t xml:space="preserve">the instant matter, I must </w:t>
      </w:r>
      <w:r w:rsidRPr="00BD3EA7">
        <w:rPr>
          <w:rFonts w:ascii="Times New Roman" w:eastAsia="Calibri" w:hAnsi="Times New Roman" w:cs="Times New Roman"/>
          <w:sz w:val="24"/>
          <w:szCs w:val="24"/>
        </w:rPr>
        <w:t>determine</w:t>
      </w:r>
      <w:r w:rsidR="00E351DD" w:rsidRPr="00BD3EA7">
        <w:rPr>
          <w:rFonts w:ascii="Times New Roman" w:eastAsia="Calibri" w:hAnsi="Times New Roman" w:cs="Times New Roman"/>
          <w:sz w:val="24"/>
          <w:szCs w:val="24"/>
        </w:rPr>
        <w:t>, upon consideration of the joinder factors,</w:t>
      </w:r>
      <w:r w:rsidR="00D65D85" w:rsidRPr="00BD3EA7">
        <w:rPr>
          <w:rFonts w:ascii="Times New Roman" w:eastAsia="Calibri" w:hAnsi="Times New Roman" w:cs="Times New Roman"/>
          <w:sz w:val="24"/>
          <w:szCs w:val="24"/>
        </w:rPr>
        <w:t xml:space="preserve"> </w:t>
      </w:r>
      <w:r w:rsidRPr="00BD3EA7">
        <w:rPr>
          <w:rFonts w:ascii="Times New Roman" w:eastAsia="Calibri" w:hAnsi="Times New Roman" w:cs="Times New Roman"/>
          <w:sz w:val="24"/>
          <w:szCs w:val="24"/>
        </w:rPr>
        <w:t xml:space="preserve">whether complete relief may be granted among those who are already parties, </w:t>
      </w:r>
      <w:r w:rsidR="009569FC" w:rsidRPr="00BD3EA7">
        <w:rPr>
          <w:rFonts w:ascii="Times New Roman" w:eastAsia="Calibri" w:hAnsi="Times New Roman" w:cs="Times New Roman"/>
          <w:sz w:val="24"/>
          <w:szCs w:val="24"/>
        </w:rPr>
        <w:t xml:space="preserve">or if </w:t>
      </w:r>
      <w:r w:rsidR="00E83BAB" w:rsidRPr="00BD3EA7">
        <w:rPr>
          <w:rFonts w:ascii="Times New Roman" w:eastAsia="Calibri" w:hAnsi="Times New Roman" w:cs="Times New Roman"/>
          <w:sz w:val="24"/>
          <w:szCs w:val="24"/>
        </w:rPr>
        <w:t>DCF has</w:t>
      </w:r>
      <w:r w:rsidR="009569FC" w:rsidRPr="00BD3EA7">
        <w:rPr>
          <w:rFonts w:ascii="Times New Roman" w:eastAsia="Calibri" w:hAnsi="Times New Roman" w:cs="Times New Roman"/>
          <w:sz w:val="24"/>
          <w:szCs w:val="24"/>
        </w:rPr>
        <w:t xml:space="preserve"> an interest relating to the subject matter of the case and is so situated that the case cannot be disposed of in its absence</w:t>
      </w:r>
      <w:r w:rsidR="00BD3EA7">
        <w:rPr>
          <w:rFonts w:ascii="Times New Roman" w:eastAsia="Calibri" w:hAnsi="Times New Roman" w:cs="Times New Roman"/>
          <w:sz w:val="24"/>
          <w:szCs w:val="24"/>
        </w:rPr>
        <w:t>,</w:t>
      </w:r>
      <w:r w:rsidR="009569FC" w:rsidRPr="00BD3EA7">
        <w:rPr>
          <w:rFonts w:ascii="Times New Roman" w:eastAsia="Calibri" w:hAnsi="Times New Roman" w:cs="Times New Roman"/>
          <w:sz w:val="24"/>
          <w:szCs w:val="24"/>
          <w:vertAlign w:val="superscript"/>
        </w:rPr>
        <w:footnoteReference w:id="11"/>
      </w:r>
      <w:r w:rsidR="00135CA9" w:rsidRPr="00BD3EA7">
        <w:rPr>
          <w:rFonts w:ascii="Times New Roman" w:eastAsia="Calibri" w:hAnsi="Times New Roman" w:cs="Times New Roman"/>
          <w:sz w:val="24"/>
          <w:szCs w:val="24"/>
        </w:rPr>
        <w:t xml:space="preserve"> </w:t>
      </w:r>
      <w:r w:rsidR="00BD3EA7">
        <w:rPr>
          <w:rFonts w:ascii="Times New Roman" w:eastAsia="Calibri" w:hAnsi="Times New Roman" w:cs="Times New Roman"/>
          <w:sz w:val="24"/>
          <w:szCs w:val="24"/>
        </w:rPr>
        <w:t>provided such joinder is not contrary to the Department’s rules, regulations, and policies.</w:t>
      </w:r>
      <w:r w:rsidR="00BD3EA7">
        <w:rPr>
          <w:rStyle w:val="FootnoteReference"/>
          <w:rFonts w:ascii="Times New Roman" w:eastAsia="Calibri" w:hAnsi="Times New Roman" w:cs="Times New Roman"/>
          <w:sz w:val="24"/>
          <w:szCs w:val="24"/>
        </w:rPr>
        <w:footnoteReference w:id="12"/>
      </w:r>
    </w:p>
    <w:p w14:paraId="07550C48" w14:textId="77777777" w:rsidR="009569FC" w:rsidRPr="00BD3EA7" w:rsidRDefault="009569FC" w:rsidP="00BB7DBC">
      <w:pPr>
        <w:spacing w:after="0" w:line="240" w:lineRule="auto"/>
        <w:rPr>
          <w:rFonts w:ascii="Times New Roman" w:eastAsia="Calibri" w:hAnsi="Times New Roman" w:cs="Times New Roman"/>
          <w:sz w:val="24"/>
          <w:szCs w:val="24"/>
        </w:rPr>
      </w:pPr>
    </w:p>
    <w:p w14:paraId="613929A7" w14:textId="15F89214" w:rsidR="009569FC" w:rsidRPr="00BD3EA7" w:rsidRDefault="00FB7FB4" w:rsidP="00FB7FB4">
      <w:pPr>
        <w:pStyle w:val="Heading1"/>
        <w:rPr>
          <w:color w:val="auto"/>
        </w:rPr>
      </w:pPr>
      <w:r w:rsidRPr="00BD3EA7">
        <w:rPr>
          <w:color w:val="auto"/>
        </w:rPr>
        <w:t>ANALYSIS</w:t>
      </w:r>
    </w:p>
    <w:p w14:paraId="7C7B09B1" w14:textId="6B3F5625" w:rsidR="009569FC" w:rsidRPr="00BD3EA7" w:rsidRDefault="009569FC" w:rsidP="00BB7DBC">
      <w:pPr>
        <w:spacing w:after="0" w:line="240" w:lineRule="auto"/>
        <w:rPr>
          <w:rFonts w:ascii="Times New Roman" w:eastAsia="Calibri" w:hAnsi="Times New Roman" w:cs="Times New Roman"/>
          <w:sz w:val="24"/>
          <w:szCs w:val="24"/>
        </w:rPr>
      </w:pPr>
    </w:p>
    <w:p w14:paraId="4B37231C" w14:textId="4D416287" w:rsidR="00692952" w:rsidRPr="00BD3EA7" w:rsidRDefault="00E351DD" w:rsidP="00692952">
      <w:pPr>
        <w:pStyle w:val="NoSpacing"/>
        <w:ind w:firstLine="720"/>
        <w:rPr>
          <w:rFonts w:ascii="Times New Roman" w:hAnsi="Times New Roman" w:cs="Times New Roman"/>
          <w:sz w:val="24"/>
          <w:szCs w:val="24"/>
        </w:rPr>
      </w:pPr>
      <w:r w:rsidRPr="00BD3EA7">
        <w:rPr>
          <w:rFonts w:ascii="Times New Roman" w:hAnsi="Times New Roman" w:cs="Times New Roman"/>
          <w:sz w:val="24"/>
          <w:szCs w:val="24"/>
        </w:rPr>
        <w:t>After a hearing on the underlying case,</w:t>
      </w:r>
      <w:r w:rsidR="00692952" w:rsidRPr="00BD3EA7">
        <w:rPr>
          <w:rFonts w:ascii="Times New Roman" w:hAnsi="Times New Roman" w:cs="Times New Roman"/>
          <w:sz w:val="24"/>
          <w:szCs w:val="24"/>
        </w:rPr>
        <w:t xml:space="preserve"> </w:t>
      </w:r>
      <w:r w:rsidR="00E93C8B" w:rsidRPr="00BD3EA7">
        <w:rPr>
          <w:rFonts w:ascii="Times New Roman" w:hAnsi="Times New Roman" w:cs="Times New Roman"/>
          <w:sz w:val="24"/>
          <w:szCs w:val="24"/>
        </w:rPr>
        <w:t xml:space="preserve">I may find </w:t>
      </w:r>
      <w:r w:rsidR="00692952" w:rsidRPr="00BD3EA7">
        <w:rPr>
          <w:rFonts w:ascii="Times New Roman" w:hAnsi="Times New Roman" w:cs="Times New Roman"/>
          <w:sz w:val="24"/>
          <w:szCs w:val="24"/>
        </w:rPr>
        <w:t xml:space="preserve">that </w:t>
      </w:r>
      <w:proofErr w:type="spellStart"/>
      <w:r w:rsidR="00692952" w:rsidRPr="00BD3EA7">
        <w:rPr>
          <w:rFonts w:ascii="Times New Roman" w:hAnsi="Times New Roman" w:cs="Times New Roman"/>
          <w:sz w:val="24"/>
          <w:szCs w:val="24"/>
        </w:rPr>
        <w:t>Xili</w:t>
      </w:r>
      <w:proofErr w:type="spellEnd"/>
      <w:r w:rsidR="00692952" w:rsidRPr="00BD3EA7">
        <w:rPr>
          <w:rFonts w:ascii="Times New Roman" w:hAnsi="Times New Roman" w:cs="Times New Roman"/>
          <w:sz w:val="24"/>
          <w:szCs w:val="24"/>
        </w:rPr>
        <w:t xml:space="preserve"> requires nothing more than </w:t>
      </w:r>
      <w:r w:rsidR="00C9101E" w:rsidRPr="00BD3EA7">
        <w:rPr>
          <w:rFonts w:ascii="Times New Roman" w:hAnsi="Times New Roman" w:cs="Times New Roman"/>
          <w:sz w:val="24"/>
          <w:szCs w:val="24"/>
        </w:rPr>
        <w:t xml:space="preserve">an </w:t>
      </w:r>
      <w:r w:rsidR="00692952" w:rsidRPr="00BD3EA7">
        <w:rPr>
          <w:rFonts w:ascii="Times New Roman" w:hAnsi="Times New Roman" w:cs="Times New Roman"/>
          <w:sz w:val="24"/>
          <w:szCs w:val="24"/>
        </w:rPr>
        <w:t>assessment in a</w:t>
      </w:r>
      <w:r w:rsidR="00C9101E" w:rsidRPr="00BD3EA7">
        <w:rPr>
          <w:rFonts w:ascii="Times New Roman" w:hAnsi="Times New Roman" w:cs="Times New Roman"/>
          <w:sz w:val="24"/>
          <w:szCs w:val="24"/>
        </w:rPr>
        <w:t xml:space="preserve"> therapeutic</w:t>
      </w:r>
      <w:r w:rsidR="00692952" w:rsidRPr="00BD3EA7">
        <w:rPr>
          <w:rFonts w:ascii="Times New Roman" w:hAnsi="Times New Roman" w:cs="Times New Roman"/>
          <w:sz w:val="24"/>
          <w:szCs w:val="24"/>
        </w:rPr>
        <w:t xml:space="preserve"> day program</w:t>
      </w:r>
      <w:r w:rsidR="00C9101E" w:rsidRPr="00BD3EA7">
        <w:rPr>
          <w:rFonts w:ascii="Times New Roman" w:hAnsi="Times New Roman" w:cs="Times New Roman"/>
          <w:sz w:val="24"/>
          <w:szCs w:val="24"/>
        </w:rPr>
        <w:t>, as</w:t>
      </w:r>
      <w:r w:rsidR="00692952" w:rsidRPr="00BD3EA7">
        <w:rPr>
          <w:rFonts w:ascii="Times New Roman" w:hAnsi="Times New Roman" w:cs="Times New Roman"/>
          <w:sz w:val="24"/>
          <w:szCs w:val="24"/>
        </w:rPr>
        <w:t xml:space="preserve"> Lexington has proposed. </w:t>
      </w:r>
      <w:r w:rsidRPr="00BD3EA7">
        <w:rPr>
          <w:rFonts w:ascii="Times New Roman" w:hAnsi="Times New Roman" w:cs="Times New Roman"/>
          <w:sz w:val="24"/>
          <w:szCs w:val="24"/>
        </w:rPr>
        <w:t>A</w:t>
      </w:r>
      <w:r w:rsidR="00692952" w:rsidRPr="00BD3EA7">
        <w:rPr>
          <w:rFonts w:ascii="Times New Roman" w:hAnsi="Times New Roman" w:cs="Times New Roman"/>
          <w:sz w:val="24"/>
          <w:szCs w:val="24"/>
        </w:rPr>
        <w:t>lternative</w:t>
      </w:r>
      <w:r w:rsidRPr="00BD3EA7">
        <w:rPr>
          <w:rFonts w:ascii="Times New Roman" w:hAnsi="Times New Roman" w:cs="Times New Roman"/>
          <w:sz w:val="24"/>
          <w:szCs w:val="24"/>
        </w:rPr>
        <w:t>ly</w:t>
      </w:r>
      <w:r w:rsidR="00692952" w:rsidRPr="00BD3EA7">
        <w:rPr>
          <w:rFonts w:ascii="Times New Roman" w:hAnsi="Times New Roman" w:cs="Times New Roman"/>
          <w:sz w:val="24"/>
          <w:szCs w:val="24"/>
        </w:rPr>
        <w:t>, I may find that he requires a residential therapeutic assessment for educational (as Parents contend) or non-educational (as Lexington asserts may be possible) purposes, or that he requires other home services to access his education. It appears, therefore, that the first part of the analysis weighs in favor of joinder. But I cannot order DCF to provide any services, residential or home-based, if to do so would contravene DCF’s own regulations.</w:t>
      </w:r>
    </w:p>
    <w:p w14:paraId="1D4ACC4E" w14:textId="77777777" w:rsidR="00692952" w:rsidRPr="00BD3EA7" w:rsidRDefault="00692952" w:rsidP="00692952">
      <w:pPr>
        <w:pStyle w:val="NoSpacing"/>
        <w:ind w:firstLine="720"/>
        <w:rPr>
          <w:rFonts w:ascii="Times New Roman" w:hAnsi="Times New Roman" w:cs="Times New Roman"/>
          <w:sz w:val="24"/>
          <w:szCs w:val="24"/>
        </w:rPr>
      </w:pPr>
    </w:p>
    <w:p w14:paraId="42F60847" w14:textId="21395564" w:rsidR="00921DF6" w:rsidRPr="00BD3EA7" w:rsidRDefault="00692952" w:rsidP="003B2143">
      <w:pPr>
        <w:pStyle w:val="NoSpacing"/>
        <w:ind w:firstLine="720"/>
        <w:rPr>
          <w:rFonts w:ascii="Times New Roman" w:hAnsi="Times New Roman" w:cs="Times New Roman"/>
          <w:sz w:val="24"/>
          <w:szCs w:val="24"/>
        </w:rPr>
      </w:pPr>
      <w:r w:rsidRPr="00BD3EA7">
        <w:rPr>
          <w:rFonts w:ascii="Times New Roman" w:hAnsi="Times New Roman" w:cs="Times New Roman"/>
          <w:sz w:val="24"/>
          <w:szCs w:val="24"/>
        </w:rPr>
        <w:t>Pursuant to its regulations, DCF may share the cost of a residential placement for a child under certain circumstances.</w:t>
      </w:r>
      <w:r w:rsidRPr="00BD3EA7">
        <w:rPr>
          <w:rStyle w:val="FootnoteReference"/>
          <w:rFonts w:ascii="Times New Roman" w:hAnsi="Times New Roman" w:cs="Times New Roman"/>
          <w:sz w:val="24"/>
          <w:szCs w:val="24"/>
        </w:rPr>
        <w:footnoteReference w:id="13"/>
      </w:r>
      <w:r w:rsidRPr="00BD3EA7">
        <w:rPr>
          <w:rFonts w:ascii="Times New Roman" w:hAnsi="Times New Roman" w:cs="Times New Roman"/>
          <w:sz w:val="24"/>
          <w:szCs w:val="24"/>
        </w:rPr>
        <w:t xml:space="preserve"> It may not, however, provide a placement for a child who is not in its care or custody, voluntarily or otherwise.</w:t>
      </w:r>
      <w:r w:rsidRPr="00BD3EA7">
        <w:rPr>
          <w:rStyle w:val="FootnoteReference"/>
          <w:rFonts w:ascii="Times New Roman" w:hAnsi="Times New Roman" w:cs="Times New Roman"/>
          <w:sz w:val="24"/>
          <w:szCs w:val="24"/>
        </w:rPr>
        <w:footnoteReference w:id="14"/>
      </w:r>
      <w:r w:rsidRPr="00BD3EA7">
        <w:rPr>
          <w:rFonts w:ascii="Times New Roman" w:hAnsi="Times New Roman" w:cs="Times New Roman"/>
          <w:sz w:val="24"/>
          <w:szCs w:val="24"/>
        </w:rPr>
        <w:t xml:space="preserve"> </w:t>
      </w:r>
      <w:r w:rsidR="00C971BE" w:rsidRPr="00BD3EA7">
        <w:rPr>
          <w:rFonts w:ascii="Times New Roman" w:hAnsi="Times New Roman" w:cs="Times New Roman"/>
          <w:sz w:val="24"/>
          <w:szCs w:val="24"/>
        </w:rPr>
        <w:t xml:space="preserve">As DCF contends in its </w:t>
      </w:r>
      <w:r w:rsidR="00C971BE" w:rsidRPr="00BD3EA7">
        <w:rPr>
          <w:rFonts w:ascii="Times New Roman" w:hAnsi="Times New Roman" w:cs="Times New Roman"/>
          <w:i/>
          <w:iCs/>
          <w:sz w:val="24"/>
          <w:szCs w:val="24"/>
        </w:rPr>
        <w:t>Motion to Reconsider</w:t>
      </w:r>
      <w:r w:rsidR="00C971BE" w:rsidRPr="00BD3EA7">
        <w:rPr>
          <w:rFonts w:ascii="Times New Roman" w:hAnsi="Times New Roman" w:cs="Times New Roman"/>
          <w:sz w:val="24"/>
          <w:szCs w:val="24"/>
        </w:rPr>
        <w:t>, f</w:t>
      </w:r>
      <w:r w:rsidRPr="00BD3EA7">
        <w:rPr>
          <w:rFonts w:ascii="Times New Roman" w:hAnsi="Times New Roman" w:cs="Times New Roman"/>
          <w:sz w:val="24"/>
          <w:szCs w:val="24"/>
        </w:rPr>
        <w:t>or a child to receive voluntary DCF services, up to and including placement, DCF must first determine that he is an appropriate candidate for its services.</w:t>
      </w:r>
      <w:r w:rsidRPr="00BD3EA7">
        <w:rPr>
          <w:rStyle w:val="FootnoteReference"/>
          <w:rFonts w:ascii="Times New Roman" w:hAnsi="Times New Roman" w:cs="Times New Roman"/>
          <w:sz w:val="24"/>
          <w:szCs w:val="24"/>
        </w:rPr>
        <w:footnoteReference w:id="15"/>
      </w:r>
      <w:r w:rsidR="00C971BE" w:rsidRPr="00BD3EA7">
        <w:rPr>
          <w:rFonts w:ascii="Times New Roman" w:hAnsi="Times New Roman" w:cs="Times New Roman"/>
          <w:sz w:val="24"/>
          <w:szCs w:val="24"/>
        </w:rPr>
        <w:t xml:space="preserve"> In the past, </w:t>
      </w:r>
      <w:proofErr w:type="spellStart"/>
      <w:r w:rsidR="00C971BE" w:rsidRPr="00BD3EA7">
        <w:rPr>
          <w:rFonts w:ascii="Times New Roman" w:hAnsi="Times New Roman" w:cs="Times New Roman"/>
          <w:sz w:val="24"/>
          <w:szCs w:val="24"/>
        </w:rPr>
        <w:t>Xili</w:t>
      </w:r>
      <w:proofErr w:type="spellEnd"/>
      <w:r w:rsidR="00C971BE" w:rsidRPr="00BD3EA7">
        <w:rPr>
          <w:rFonts w:ascii="Times New Roman" w:hAnsi="Times New Roman" w:cs="Times New Roman"/>
          <w:sz w:val="24"/>
          <w:szCs w:val="24"/>
        </w:rPr>
        <w:t xml:space="preserve"> was placed in DCF custody by the Juvenile Court through a CRA</w:t>
      </w:r>
      <w:r w:rsidR="00921DF6" w:rsidRPr="00BD3EA7">
        <w:rPr>
          <w:rFonts w:ascii="Times New Roman" w:hAnsi="Times New Roman" w:cs="Times New Roman"/>
          <w:sz w:val="24"/>
          <w:szCs w:val="24"/>
        </w:rPr>
        <w:t xml:space="preserve"> petition</w:t>
      </w:r>
      <w:r w:rsidR="00C971BE" w:rsidRPr="00BD3EA7">
        <w:rPr>
          <w:rFonts w:ascii="Times New Roman" w:hAnsi="Times New Roman" w:cs="Times New Roman"/>
          <w:sz w:val="24"/>
          <w:szCs w:val="24"/>
        </w:rPr>
        <w:t>, but subsequently returned to his parents’ custody</w:t>
      </w:r>
      <w:r w:rsidR="00921DF6" w:rsidRPr="00BD3EA7">
        <w:rPr>
          <w:rFonts w:ascii="Times New Roman" w:hAnsi="Times New Roman" w:cs="Times New Roman"/>
          <w:sz w:val="24"/>
          <w:szCs w:val="24"/>
        </w:rPr>
        <w:t xml:space="preserve">, and the CRA case was closed on March 4, 2022. As DCF’s clinical case is also closed, and Parents have indicated that they do not intend to seek further services for </w:t>
      </w:r>
      <w:proofErr w:type="spellStart"/>
      <w:r w:rsidR="00921DF6" w:rsidRPr="00BD3EA7">
        <w:rPr>
          <w:rFonts w:ascii="Times New Roman" w:hAnsi="Times New Roman" w:cs="Times New Roman"/>
          <w:sz w:val="24"/>
          <w:szCs w:val="24"/>
        </w:rPr>
        <w:t>Xili</w:t>
      </w:r>
      <w:proofErr w:type="spellEnd"/>
      <w:r w:rsidR="00921DF6" w:rsidRPr="00BD3EA7">
        <w:rPr>
          <w:rFonts w:ascii="Times New Roman" w:hAnsi="Times New Roman" w:cs="Times New Roman"/>
          <w:sz w:val="24"/>
          <w:szCs w:val="24"/>
        </w:rPr>
        <w:t xml:space="preserve"> from DCF, there is no current relationship between </w:t>
      </w:r>
      <w:proofErr w:type="spellStart"/>
      <w:r w:rsidR="00921DF6" w:rsidRPr="00BD3EA7">
        <w:rPr>
          <w:rFonts w:ascii="Times New Roman" w:hAnsi="Times New Roman" w:cs="Times New Roman"/>
          <w:sz w:val="24"/>
          <w:szCs w:val="24"/>
        </w:rPr>
        <w:t>Xili</w:t>
      </w:r>
      <w:proofErr w:type="spellEnd"/>
      <w:r w:rsidR="00921DF6" w:rsidRPr="00BD3EA7">
        <w:rPr>
          <w:rFonts w:ascii="Times New Roman" w:hAnsi="Times New Roman" w:cs="Times New Roman"/>
          <w:sz w:val="24"/>
          <w:szCs w:val="24"/>
        </w:rPr>
        <w:t xml:space="preserve"> and </w:t>
      </w:r>
      <w:r w:rsidR="000A7625">
        <w:rPr>
          <w:rFonts w:ascii="Times New Roman" w:hAnsi="Times New Roman" w:cs="Times New Roman"/>
          <w:sz w:val="24"/>
          <w:szCs w:val="24"/>
        </w:rPr>
        <w:t>the Department</w:t>
      </w:r>
      <w:r w:rsidR="00921DF6" w:rsidRPr="00BD3EA7">
        <w:rPr>
          <w:rFonts w:ascii="Times New Roman" w:hAnsi="Times New Roman" w:cs="Times New Roman"/>
          <w:sz w:val="24"/>
          <w:szCs w:val="24"/>
        </w:rPr>
        <w:t xml:space="preserve">. As such, even if I were to find that </w:t>
      </w:r>
      <w:proofErr w:type="spellStart"/>
      <w:r w:rsidR="00921DF6" w:rsidRPr="00BD3EA7">
        <w:rPr>
          <w:rFonts w:ascii="Times New Roman" w:hAnsi="Times New Roman" w:cs="Times New Roman"/>
          <w:sz w:val="24"/>
          <w:szCs w:val="24"/>
        </w:rPr>
        <w:t>Xili</w:t>
      </w:r>
      <w:proofErr w:type="spellEnd"/>
      <w:r w:rsidR="00921DF6" w:rsidRPr="00BD3EA7">
        <w:rPr>
          <w:rFonts w:ascii="Times New Roman" w:hAnsi="Times New Roman" w:cs="Times New Roman"/>
          <w:sz w:val="24"/>
          <w:szCs w:val="24"/>
        </w:rPr>
        <w:t xml:space="preserve"> requires a residential therapeutic assessment for non-educational </w:t>
      </w:r>
      <w:r w:rsidR="00BD3EA7">
        <w:rPr>
          <w:rFonts w:ascii="Times New Roman" w:hAnsi="Times New Roman" w:cs="Times New Roman"/>
          <w:sz w:val="24"/>
          <w:szCs w:val="24"/>
        </w:rPr>
        <w:t>reasons</w:t>
      </w:r>
      <w:r w:rsidR="00921DF6" w:rsidRPr="00BD3EA7">
        <w:rPr>
          <w:rFonts w:ascii="Times New Roman" w:hAnsi="Times New Roman" w:cs="Times New Roman"/>
          <w:sz w:val="24"/>
          <w:szCs w:val="24"/>
        </w:rPr>
        <w:t>, or requires other home services to access his education that are not Lexington’s responsibility, I could not order DCF to provide any of it</w:t>
      </w:r>
      <w:r w:rsidR="00A00C4A" w:rsidRPr="00BD3EA7">
        <w:rPr>
          <w:rFonts w:ascii="Times New Roman" w:hAnsi="Times New Roman" w:cs="Times New Roman"/>
          <w:sz w:val="24"/>
          <w:szCs w:val="24"/>
        </w:rPr>
        <w:t xml:space="preserve"> without violating the agency’s rules and regulations.</w:t>
      </w:r>
    </w:p>
    <w:p w14:paraId="4ADAAB01" w14:textId="271298C4" w:rsidR="003B2143" w:rsidRPr="00BD3EA7" w:rsidRDefault="003B2143" w:rsidP="003B2143">
      <w:pPr>
        <w:pStyle w:val="NoSpacing"/>
        <w:ind w:firstLine="720"/>
        <w:rPr>
          <w:rFonts w:ascii="Times New Roman" w:eastAsia="Calibri" w:hAnsi="Times New Roman" w:cs="Times New Roman"/>
          <w:sz w:val="24"/>
          <w:szCs w:val="24"/>
        </w:rPr>
      </w:pPr>
    </w:p>
    <w:p w14:paraId="76F96423" w14:textId="3229B80A" w:rsidR="0028577A" w:rsidRPr="00BD3EA7" w:rsidRDefault="0028577A" w:rsidP="00BB7DBC">
      <w:pPr>
        <w:spacing w:after="0" w:line="240" w:lineRule="auto"/>
        <w:rPr>
          <w:rFonts w:ascii="Times New Roman" w:eastAsia="Calibri" w:hAnsi="Times New Roman" w:cs="Times New Roman"/>
          <w:sz w:val="24"/>
          <w:szCs w:val="24"/>
        </w:rPr>
      </w:pPr>
    </w:p>
    <w:p w14:paraId="53C67223" w14:textId="77777777" w:rsidR="002F617D" w:rsidRPr="00BD3EA7" w:rsidRDefault="002F617D" w:rsidP="002F617D">
      <w:pPr>
        <w:spacing w:after="0" w:line="240" w:lineRule="auto"/>
        <w:rPr>
          <w:rFonts w:ascii="Times New Roman" w:eastAsia="Calibri" w:hAnsi="Times New Roman" w:cs="Times New Roman"/>
          <w:sz w:val="24"/>
          <w:szCs w:val="24"/>
          <w:u w:val="single"/>
        </w:rPr>
      </w:pPr>
      <w:r w:rsidRPr="00BD3EA7">
        <w:rPr>
          <w:rFonts w:ascii="Times New Roman" w:eastAsia="Calibri" w:hAnsi="Times New Roman" w:cs="Times New Roman"/>
          <w:sz w:val="24"/>
          <w:szCs w:val="24"/>
          <w:u w:val="single"/>
        </w:rPr>
        <w:t>CONCLUSION</w:t>
      </w:r>
    </w:p>
    <w:p w14:paraId="5EE4B7EA" w14:textId="77777777" w:rsidR="002F617D" w:rsidRPr="00BD3EA7" w:rsidRDefault="002F617D" w:rsidP="00BB7DBC">
      <w:pPr>
        <w:spacing w:after="0" w:line="240" w:lineRule="auto"/>
        <w:rPr>
          <w:rFonts w:ascii="Times New Roman" w:eastAsia="Calibri" w:hAnsi="Times New Roman" w:cs="Times New Roman"/>
          <w:sz w:val="24"/>
          <w:szCs w:val="24"/>
        </w:rPr>
      </w:pPr>
    </w:p>
    <w:p w14:paraId="641EF9AA" w14:textId="4E78CC72" w:rsidR="002F617D" w:rsidRPr="00BD3EA7" w:rsidRDefault="00B5198D" w:rsidP="00BB7DBC">
      <w:pPr>
        <w:spacing w:after="0" w:line="240" w:lineRule="auto"/>
        <w:rPr>
          <w:rFonts w:ascii="Times New Roman" w:eastAsia="Calibri" w:hAnsi="Times New Roman" w:cs="Times New Roman"/>
          <w:sz w:val="24"/>
          <w:szCs w:val="24"/>
        </w:rPr>
      </w:pPr>
      <w:r w:rsidRPr="00BD3EA7">
        <w:rPr>
          <w:rFonts w:ascii="Times New Roman" w:eastAsia="Calibri" w:hAnsi="Times New Roman" w:cs="Times New Roman"/>
          <w:sz w:val="24"/>
          <w:szCs w:val="24"/>
        </w:rPr>
        <w:tab/>
        <w:t xml:space="preserve">For the reasons above, </w:t>
      </w:r>
      <w:r w:rsidR="00BD3EA7">
        <w:rPr>
          <w:rFonts w:ascii="Times New Roman" w:eastAsia="Calibri" w:hAnsi="Times New Roman" w:cs="Times New Roman"/>
          <w:sz w:val="24"/>
          <w:szCs w:val="24"/>
        </w:rPr>
        <w:t xml:space="preserve">upon reconsideration, I have determined that </w:t>
      </w:r>
      <w:r w:rsidRPr="00BD3EA7">
        <w:rPr>
          <w:rFonts w:ascii="Times New Roman" w:eastAsia="Calibri" w:hAnsi="Times New Roman" w:cs="Times New Roman"/>
          <w:sz w:val="24"/>
          <w:szCs w:val="24"/>
        </w:rPr>
        <w:t xml:space="preserve">DCF is </w:t>
      </w:r>
      <w:r w:rsidR="00A00C4A" w:rsidRPr="00BD3EA7">
        <w:rPr>
          <w:rFonts w:ascii="Times New Roman" w:eastAsia="Calibri" w:hAnsi="Times New Roman" w:cs="Times New Roman"/>
          <w:sz w:val="24"/>
          <w:szCs w:val="24"/>
        </w:rPr>
        <w:t>not a</w:t>
      </w:r>
      <w:r w:rsidRPr="00BD3EA7">
        <w:rPr>
          <w:rFonts w:ascii="Times New Roman" w:eastAsia="Calibri" w:hAnsi="Times New Roman" w:cs="Times New Roman"/>
          <w:sz w:val="24"/>
          <w:szCs w:val="24"/>
        </w:rPr>
        <w:t xml:space="preserve"> necessary party </w:t>
      </w:r>
      <w:r w:rsidR="002E2586">
        <w:rPr>
          <w:rFonts w:ascii="Times New Roman" w:eastAsia="Calibri" w:hAnsi="Times New Roman" w:cs="Times New Roman"/>
          <w:sz w:val="24"/>
          <w:szCs w:val="24"/>
        </w:rPr>
        <w:t>and should not be joined in this matter</w:t>
      </w:r>
      <w:r w:rsidRPr="00BD3EA7">
        <w:rPr>
          <w:rFonts w:ascii="Times New Roman" w:eastAsia="Calibri" w:hAnsi="Times New Roman" w:cs="Times New Roman"/>
          <w:sz w:val="24"/>
          <w:szCs w:val="24"/>
        </w:rPr>
        <w:t>.</w:t>
      </w:r>
    </w:p>
    <w:p w14:paraId="6C9EE3B0" w14:textId="77777777" w:rsidR="002F617D" w:rsidRPr="00BD3EA7" w:rsidRDefault="002F617D" w:rsidP="00BB7DBC">
      <w:pPr>
        <w:spacing w:after="0" w:line="240" w:lineRule="auto"/>
        <w:rPr>
          <w:rFonts w:ascii="Times New Roman" w:eastAsia="Calibri" w:hAnsi="Times New Roman" w:cs="Times New Roman"/>
          <w:sz w:val="24"/>
          <w:szCs w:val="24"/>
        </w:rPr>
      </w:pPr>
    </w:p>
    <w:p w14:paraId="7A9B7E2D" w14:textId="77777777" w:rsidR="002F617D" w:rsidRPr="00BD3EA7" w:rsidRDefault="002F617D" w:rsidP="002F617D">
      <w:pPr>
        <w:spacing w:after="0" w:line="240" w:lineRule="auto"/>
        <w:rPr>
          <w:rFonts w:ascii="Times New Roman" w:eastAsia="Calibri" w:hAnsi="Times New Roman" w:cs="Times New Roman"/>
          <w:b/>
          <w:sz w:val="24"/>
          <w:szCs w:val="24"/>
        </w:rPr>
      </w:pPr>
      <w:r w:rsidRPr="00BD3EA7">
        <w:rPr>
          <w:rFonts w:ascii="Times New Roman" w:eastAsia="Calibri" w:hAnsi="Times New Roman" w:cs="Times New Roman"/>
          <w:b/>
          <w:sz w:val="24"/>
          <w:szCs w:val="24"/>
        </w:rPr>
        <w:t>ORDER</w:t>
      </w:r>
    </w:p>
    <w:p w14:paraId="1367EFFF" w14:textId="77777777" w:rsidR="00681402" w:rsidRPr="00BD3EA7" w:rsidRDefault="00681402" w:rsidP="00681402">
      <w:pPr>
        <w:spacing w:after="0" w:line="240" w:lineRule="auto"/>
        <w:ind w:left="720"/>
        <w:contextualSpacing/>
        <w:rPr>
          <w:rFonts w:ascii="Times New Roman" w:eastAsia="Calibri" w:hAnsi="Times New Roman" w:cs="Times New Roman"/>
          <w:b/>
          <w:sz w:val="24"/>
          <w:szCs w:val="24"/>
        </w:rPr>
      </w:pPr>
    </w:p>
    <w:p w14:paraId="658C0AE9" w14:textId="77777777" w:rsidR="00A00C4A" w:rsidRPr="00BD3EA7" w:rsidRDefault="00681402" w:rsidP="00681402">
      <w:pPr>
        <w:spacing w:after="0" w:line="240" w:lineRule="auto"/>
        <w:contextualSpacing/>
        <w:rPr>
          <w:rFonts w:ascii="Times New Roman" w:eastAsia="Calibri" w:hAnsi="Times New Roman" w:cs="Times New Roman"/>
          <w:i/>
          <w:sz w:val="24"/>
          <w:szCs w:val="24"/>
        </w:rPr>
      </w:pPr>
      <w:r w:rsidRPr="00BD3EA7">
        <w:rPr>
          <w:rFonts w:ascii="Times New Roman" w:eastAsia="Calibri" w:hAnsi="Times New Roman" w:cs="Times New Roman"/>
          <w:bCs/>
          <w:sz w:val="24"/>
          <w:szCs w:val="24"/>
        </w:rPr>
        <w:t>1)</w:t>
      </w:r>
      <w:r w:rsidRPr="00BD3EA7">
        <w:rPr>
          <w:rFonts w:ascii="Times New Roman" w:eastAsia="Calibri" w:hAnsi="Times New Roman" w:cs="Times New Roman"/>
          <w:b/>
          <w:sz w:val="24"/>
          <w:szCs w:val="24"/>
        </w:rPr>
        <w:t xml:space="preserve"> </w:t>
      </w:r>
      <w:r w:rsidRPr="00BD3EA7">
        <w:rPr>
          <w:rFonts w:ascii="Times New Roman" w:eastAsia="Calibri" w:hAnsi="Times New Roman" w:cs="Times New Roman"/>
          <w:b/>
          <w:sz w:val="24"/>
          <w:szCs w:val="24"/>
        </w:rPr>
        <w:tab/>
      </w:r>
      <w:r w:rsidR="00A00C4A" w:rsidRPr="00BD3EA7">
        <w:rPr>
          <w:rFonts w:ascii="Times New Roman" w:eastAsia="Calibri" w:hAnsi="Times New Roman" w:cs="Times New Roman"/>
          <w:bCs/>
          <w:sz w:val="24"/>
          <w:szCs w:val="24"/>
        </w:rPr>
        <w:t xml:space="preserve">My previous </w:t>
      </w:r>
      <w:r w:rsidR="00A00C4A" w:rsidRPr="00BD3EA7">
        <w:rPr>
          <w:rFonts w:ascii="Times New Roman" w:eastAsia="Calibri" w:hAnsi="Times New Roman" w:cs="Times New Roman"/>
          <w:bCs/>
          <w:i/>
          <w:iCs/>
          <w:sz w:val="24"/>
          <w:szCs w:val="24"/>
        </w:rPr>
        <w:t xml:space="preserve">Ruling on </w:t>
      </w:r>
      <w:r w:rsidR="00C179E0" w:rsidRPr="00BD3EA7">
        <w:rPr>
          <w:rFonts w:ascii="Times New Roman" w:eastAsia="Calibri" w:hAnsi="Times New Roman" w:cs="Times New Roman"/>
          <w:i/>
          <w:iCs/>
          <w:sz w:val="24"/>
          <w:szCs w:val="24"/>
        </w:rPr>
        <w:t>Lexington</w:t>
      </w:r>
      <w:r w:rsidR="002F617D" w:rsidRPr="00BD3EA7">
        <w:rPr>
          <w:rFonts w:ascii="Times New Roman" w:eastAsia="Calibri" w:hAnsi="Times New Roman" w:cs="Times New Roman"/>
          <w:i/>
          <w:iCs/>
          <w:sz w:val="24"/>
          <w:szCs w:val="24"/>
        </w:rPr>
        <w:t>’s</w:t>
      </w:r>
      <w:r w:rsidR="002F617D" w:rsidRPr="00BD3EA7">
        <w:rPr>
          <w:rFonts w:ascii="Times New Roman" w:eastAsia="Calibri" w:hAnsi="Times New Roman" w:cs="Times New Roman"/>
          <w:sz w:val="24"/>
          <w:szCs w:val="24"/>
        </w:rPr>
        <w:t xml:space="preserve"> </w:t>
      </w:r>
      <w:r w:rsidRPr="00BD3EA7">
        <w:rPr>
          <w:rFonts w:ascii="Times New Roman" w:eastAsia="Calibri" w:hAnsi="Times New Roman" w:cs="Times New Roman"/>
          <w:i/>
          <w:sz w:val="24"/>
          <w:szCs w:val="24"/>
        </w:rPr>
        <w:t xml:space="preserve">Motion to Join </w:t>
      </w:r>
      <w:r w:rsidR="00C179E0" w:rsidRPr="00BD3EA7">
        <w:rPr>
          <w:rFonts w:ascii="Times New Roman" w:eastAsia="Calibri" w:hAnsi="Times New Roman" w:cs="Times New Roman"/>
          <w:i/>
          <w:sz w:val="24"/>
          <w:szCs w:val="24"/>
        </w:rPr>
        <w:t xml:space="preserve">the Department of Children and </w:t>
      </w:r>
    </w:p>
    <w:p w14:paraId="63C985E1" w14:textId="3F51C874" w:rsidR="002F617D" w:rsidRPr="00BD3EA7" w:rsidRDefault="00C179E0" w:rsidP="002E2586">
      <w:pPr>
        <w:spacing w:after="0" w:line="240" w:lineRule="auto"/>
        <w:ind w:left="720"/>
        <w:contextualSpacing/>
        <w:rPr>
          <w:rFonts w:ascii="Times New Roman" w:eastAsia="Calibri" w:hAnsi="Times New Roman" w:cs="Times New Roman"/>
          <w:sz w:val="24"/>
          <w:szCs w:val="24"/>
        </w:rPr>
      </w:pPr>
      <w:r w:rsidRPr="00BD3EA7">
        <w:rPr>
          <w:rFonts w:ascii="Times New Roman" w:eastAsia="Calibri" w:hAnsi="Times New Roman" w:cs="Times New Roman"/>
          <w:i/>
          <w:sz w:val="24"/>
          <w:szCs w:val="24"/>
        </w:rPr>
        <w:t>Families</w:t>
      </w:r>
      <w:r w:rsidR="00681402" w:rsidRPr="00BD3EA7">
        <w:rPr>
          <w:rFonts w:ascii="Times New Roman" w:eastAsia="Calibri" w:hAnsi="Times New Roman" w:cs="Times New Roman"/>
          <w:i/>
          <w:sz w:val="24"/>
          <w:szCs w:val="24"/>
        </w:rPr>
        <w:t xml:space="preserve"> </w:t>
      </w:r>
      <w:r w:rsidR="002F617D" w:rsidRPr="00BD3EA7">
        <w:rPr>
          <w:rFonts w:ascii="Times New Roman" w:eastAsia="Calibri" w:hAnsi="Times New Roman" w:cs="Times New Roman"/>
          <w:sz w:val="24"/>
          <w:szCs w:val="24"/>
        </w:rPr>
        <w:t>is hereby</w:t>
      </w:r>
      <w:r w:rsidR="00A00C4A" w:rsidRPr="00BD3EA7">
        <w:rPr>
          <w:rFonts w:ascii="Times New Roman" w:eastAsia="Calibri" w:hAnsi="Times New Roman" w:cs="Times New Roman"/>
          <w:sz w:val="24"/>
          <w:szCs w:val="24"/>
        </w:rPr>
        <w:t xml:space="preserve"> </w:t>
      </w:r>
      <w:r w:rsidR="00A31B2D">
        <w:rPr>
          <w:rFonts w:ascii="Times New Roman" w:eastAsia="Calibri" w:hAnsi="Times New Roman" w:cs="Times New Roman"/>
          <w:sz w:val="24"/>
          <w:szCs w:val="24"/>
        </w:rPr>
        <w:t>VACAT</w:t>
      </w:r>
      <w:r w:rsidR="00A00C4A" w:rsidRPr="00BD3EA7">
        <w:rPr>
          <w:rFonts w:ascii="Times New Roman" w:eastAsia="Calibri" w:hAnsi="Times New Roman" w:cs="Times New Roman"/>
          <w:sz w:val="24"/>
          <w:szCs w:val="24"/>
        </w:rPr>
        <w:t>ED upon reconsideration. DCF is no</w:t>
      </w:r>
      <w:r w:rsidR="002E2586">
        <w:rPr>
          <w:rFonts w:ascii="Times New Roman" w:eastAsia="Calibri" w:hAnsi="Times New Roman" w:cs="Times New Roman"/>
          <w:sz w:val="24"/>
          <w:szCs w:val="24"/>
        </w:rPr>
        <w:t xml:space="preserve"> longer</w:t>
      </w:r>
      <w:r w:rsidR="00A31B2D">
        <w:rPr>
          <w:rFonts w:ascii="Times New Roman" w:eastAsia="Calibri" w:hAnsi="Times New Roman" w:cs="Times New Roman"/>
          <w:sz w:val="24"/>
          <w:szCs w:val="24"/>
        </w:rPr>
        <w:t xml:space="preserve"> </w:t>
      </w:r>
      <w:r w:rsidR="00A00C4A" w:rsidRPr="00BD3EA7">
        <w:rPr>
          <w:rFonts w:ascii="Times New Roman" w:eastAsia="Calibri" w:hAnsi="Times New Roman" w:cs="Times New Roman"/>
          <w:sz w:val="24"/>
          <w:szCs w:val="24"/>
        </w:rPr>
        <w:t>a party to the matter.</w:t>
      </w:r>
    </w:p>
    <w:p w14:paraId="45EA8F6C" w14:textId="77777777" w:rsidR="00B5198D" w:rsidRPr="00BD3EA7" w:rsidRDefault="00B5198D" w:rsidP="00681402">
      <w:pPr>
        <w:spacing w:after="0" w:line="240" w:lineRule="auto"/>
        <w:contextualSpacing/>
        <w:rPr>
          <w:rFonts w:ascii="Times New Roman" w:eastAsia="Calibri" w:hAnsi="Times New Roman" w:cs="Times New Roman"/>
          <w:sz w:val="24"/>
          <w:szCs w:val="24"/>
        </w:rPr>
      </w:pPr>
    </w:p>
    <w:p w14:paraId="2129DB23" w14:textId="525C0AFC" w:rsidR="00B5198D" w:rsidRPr="00BD3EA7" w:rsidRDefault="00E375B7" w:rsidP="00EE4E2C">
      <w:pPr>
        <w:spacing w:after="0" w:line="240" w:lineRule="auto"/>
        <w:ind w:left="720" w:hanging="720"/>
        <w:contextualSpacing/>
        <w:rPr>
          <w:rFonts w:ascii="Times New Roman" w:eastAsia="Calibri" w:hAnsi="Times New Roman" w:cs="Times New Roman"/>
          <w:sz w:val="24"/>
          <w:szCs w:val="24"/>
        </w:rPr>
      </w:pPr>
      <w:r w:rsidRPr="00BD3EA7">
        <w:rPr>
          <w:rFonts w:ascii="Times New Roman" w:eastAsia="Calibri" w:hAnsi="Times New Roman" w:cs="Times New Roman"/>
          <w:sz w:val="24"/>
          <w:szCs w:val="24"/>
        </w:rPr>
        <w:t>2)</w:t>
      </w:r>
      <w:r w:rsidRPr="00BD3EA7">
        <w:rPr>
          <w:rFonts w:ascii="Times New Roman" w:eastAsia="Calibri" w:hAnsi="Times New Roman" w:cs="Times New Roman"/>
          <w:sz w:val="24"/>
          <w:szCs w:val="24"/>
        </w:rPr>
        <w:tab/>
        <w:t>A Virtual Pre-Hearing Conference will take place via Zoom at 1</w:t>
      </w:r>
      <w:r w:rsidR="00A00C4A" w:rsidRPr="00BD3EA7">
        <w:rPr>
          <w:rFonts w:ascii="Times New Roman" w:eastAsia="Calibri" w:hAnsi="Times New Roman" w:cs="Times New Roman"/>
          <w:sz w:val="24"/>
          <w:szCs w:val="24"/>
        </w:rPr>
        <w:t>0</w:t>
      </w:r>
      <w:r w:rsidRPr="00BD3EA7">
        <w:rPr>
          <w:rFonts w:ascii="Times New Roman" w:eastAsia="Calibri" w:hAnsi="Times New Roman" w:cs="Times New Roman"/>
          <w:sz w:val="24"/>
          <w:szCs w:val="24"/>
        </w:rPr>
        <w:t xml:space="preserve">:00 AM on </w:t>
      </w:r>
      <w:r w:rsidR="00A00C4A" w:rsidRPr="00BD3EA7">
        <w:rPr>
          <w:rFonts w:ascii="Times New Roman" w:eastAsia="Calibri" w:hAnsi="Times New Roman" w:cs="Times New Roman"/>
          <w:sz w:val="24"/>
          <w:szCs w:val="24"/>
        </w:rPr>
        <w:t>June 10</w:t>
      </w:r>
      <w:r w:rsidRPr="00BD3EA7">
        <w:rPr>
          <w:rFonts w:ascii="Times New Roman" w:eastAsia="Calibri" w:hAnsi="Times New Roman" w:cs="Times New Roman"/>
          <w:sz w:val="24"/>
          <w:szCs w:val="24"/>
        </w:rPr>
        <w:t xml:space="preserve">, 2022. The parties are directed to send email addresses for all participants to the Hearing Officer by close </w:t>
      </w:r>
      <w:r w:rsidR="00EE4E2C" w:rsidRPr="00BD3EA7">
        <w:rPr>
          <w:rFonts w:ascii="Times New Roman" w:eastAsia="Calibri" w:hAnsi="Times New Roman" w:cs="Times New Roman"/>
          <w:sz w:val="24"/>
          <w:szCs w:val="24"/>
        </w:rPr>
        <w:t>of</w:t>
      </w:r>
      <w:r w:rsidRPr="00BD3EA7">
        <w:rPr>
          <w:rFonts w:ascii="Times New Roman" w:eastAsia="Calibri" w:hAnsi="Times New Roman" w:cs="Times New Roman"/>
          <w:sz w:val="24"/>
          <w:szCs w:val="24"/>
        </w:rPr>
        <w:t xml:space="preserve"> business on </w:t>
      </w:r>
      <w:r w:rsidR="002E2586">
        <w:rPr>
          <w:rFonts w:ascii="Times New Roman" w:eastAsia="Calibri" w:hAnsi="Times New Roman" w:cs="Times New Roman"/>
          <w:sz w:val="24"/>
          <w:szCs w:val="24"/>
        </w:rPr>
        <w:t>June</w:t>
      </w:r>
      <w:r w:rsidRPr="00BD3EA7">
        <w:rPr>
          <w:rFonts w:ascii="Times New Roman" w:eastAsia="Calibri" w:hAnsi="Times New Roman" w:cs="Times New Roman"/>
          <w:sz w:val="24"/>
          <w:szCs w:val="24"/>
        </w:rPr>
        <w:t xml:space="preserve"> </w:t>
      </w:r>
      <w:r w:rsidR="002E2586">
        <w:rPr>
          <w:rFonts w:ascii="Times New Roman" w:eastAsia="Calibri" w:hAnsi="Times New Roman" w:cs="Times New Roman"/>
          <w:sz w:val="24"/>
          <w:szCs w:val="24"/>
        </w:rPr>
        <w:t>3</w:t>
      </w:r>
      <w:r w:rsidRPr="00BD3EA7">
        <w:rPr>
          <w:rFonts w:ascii="Times New Roman" w:eastAsia="Calibri" w:hAnsi="Times New Roman" w:cs="Times New Roman"/>
          <w:sz w:val="24"/>
          <w:szCs w:val="24"/>
        </w:rPr>
        <w:t>, 2022.</w:t>
      </w:r>
    </w:p>
    <w:p w14:paraId="36A5E131" w14:textId="77777777" w:rsidR="00B5198D" w:rsidRPr="00BD3EA7" w:rsidRDefault="00B5198D" w:rsidP="00681402">
      <w:pPr>
        <w:spacing w:after="0" w:line="240" w:lineRule="auto"/>
        <w:contextualSpacing/>
        <w:rPr>
          <w:rFonts w:ascii="Times New Roman" w:eastAsia="Calibri" w:hAnsi="Times New Roman" w:cs="Times New Roman"/>
          <w:sz w:val="24"/>
          <w:szCs w:val="24"/>
        </w:rPr>
      </w:pPr>
    </w:p>
    <w:p w14:paraId="2F1BF3EE" w14:textId="301E5052" w:rsidR="00E375B7" w:rsidRPr="00BD3EA7" w:rsidRDefault="00E375B7" w:rsidP="00EE4E2C">
      <w:pPr>
        <w:spacing w:after="0" w:line="240" w:lineRule="auto"/>
        <w:ind w:left="720" w:hanging="720"/>
        <w:contextualSpacing/>
        <w:rPr>
          <w:rFonts w:ascii="Times New Roman" w:eastAsia="Calibri" w:hAnsi="Times New Roman" w:cs="Times New Roman"/>
          <w:sz w:val="24"/>
          <w:szCs w:val="24"/>
        </w:rPr>
      </w:pPr>
      <w:r w:rsidRPr="00BD3EA7">
        <w:rPr>
          <w:rFonts w:ascii="Times New Roman" w:eastAsia="Calibri" w:hAnsi="Times New Roman" w:cs="Times New Roman"/>
          <w:sz w:val="24"/>
          <w:szCs w:val="24"/>
        </w:rPr>
        <w:t xml:space="preserve">3) </w:t>
      </w:r>
      <w:r w:rsidR="00EE4E2C" w:rsidRPr="00BD3EA7">
        <w:rPr>
          <w:rFonts w:ascii="Times New Roman" w:eastAsia="Calibri" w:hAnsi="Times New Roman" w:cs="Times New Roman"/>
          <w:sz w:val="24"/>
          <w:szCs w:val="24"/>
        </w:rPr>
        <w:tab/>
      </w:r>
      <w:r w:rsidRPr="00BD3EA7">
        <w:rPr>
          <w:rFonts w:ascii="Times New Roman" w:eastAsia="Calibri" w:hAnsi="Times New Roman" w:cs="Times New Roman"/>
          <w:sz w:val="24"/>
          <w:szCs w:val="24"/>
        </w:rPr>
        <w:t xml:space="preserve">The Hearing will </w:t>
      </w:r>
      <w:r w:rsidR="00B5198D" w:rsidRPr="00BD3EA7">
        <w:rPr>
          <w:rFonts w:ascii="Times New Roman" w:eastAsia="Calibri" w:hAnsi="Times New Roman" w:cs="Times New Roman"/>
          <w:sz w:val="24"/>
          <w:szCs w:val="24"/>
        </w:rPr>
        <w:t>take</w:t>
      </w:r>
      <w:r w:rsidRPr="00BD3EA7">
        <w:rPr>
          <w:rFonts w:ascii="Times New Roman" w:eastAsia="Calibri" w:hAnsi="Times New Roman" w:cs="Times New Roman"/>
          <w:sz w:val="24"/>
          <w:szCs w:val="24"/>
        </w:rPr>
        <w:t xml:space="preserve"> place via Zoom on</w:t>
      </w:r>
      <w:r w:rsidR="00A00C4A" w:rsidRPr="00BD3EA7">
        <w:rPr>
          <w:rFonts w:ascii="Times New Roman" w:eastAsia="Calibri" w:hAnsi="Times New Roman" w:cs="Times New Roman"/>
          <w:sz w:val="24"/>
          <w:szCs w:val="24"/>
        </w:rPr>
        <w:t xml:space="preserve"> July 11, 12, and 14</w:t>
      </w:r>
      <w:r w:rsidRPr="00BD3EA7">
        <w:rPr>
          <w:rFonts w:ascii="Times New Roman" w:eastAsia="Calibri" w:hAnsi="Times New Roman" w:cs="Times New Roman"/>
          <w:sz w:val="24"/>
          <w:szCs w:val="24"/>
        </w:rPr>
        <w:t xml:space="preserve">, 2022, beginning at 10:00 AM each day. Exhibits and witness lists are due </w:t>
      </w:r>
      <w:r w:rsidR="00A00C4A" w:rsidRPr="00BD3EA7">
        <w:rPr>
          <w:rFonts w:ascii="Times New Roman" w:eastAsia="Calibri" w:hAnsi="Times New Roman" w:cs="Times New Roman"/>
          <w:sz w:val="24"/>
          <w:szCs w:val="24"/>
        </w:rPr>
        <w:t>July 3</w:t>
      </w:r>
      <w:r w:rsidR="002E2586">
        <w:rPr>
          <w:rFonts w:ascii="Times New Roman" w:eastAsia="Calibri" w:hAnsi="Times New Roman" w:cs="Times New Roman"/>
          <w:sz w:val="24"/>
          <w:szCs w:val="24"/>
        </w:rPr>
        <w:t>,</w:t>
      </w:r>
      <w:r w:rsidRPr="00BD3EA7">
        <w:rPr>
          <w:rFonts w:ascii="Times New Roman" w:eastAsia="Calibri" w:hAnsi="Times New Roman" w:cs="Times New Roman"/>
          <w:sz w:val="24"/>
          <w:szCs w:val="24"/>
        </w:rPr>
        <w:t xml:space="preserve"> 2022, with a copy to the Court Reporter.</w:t>
      </w:r>
    </w:p>
    <w:p w14:paraId="3673F9DD" w14:textId="1A455A8B" w:rsidR="00B5198D" w:rsidRPr="00BD3EA7" w:rsidRDefault="00B5198D" w:rsidP="00A6129F">
      <w:pPr>
        <w:spacing w:after="0" w:line="240" w:lineRule="auto"/>
        <w:contextualSpacing/>
        <w:rPr>
          <w:rFonts w:ascii="Times New Roman" w:eastAsia="Calibri" w:hAnsi="Times New Roman" w:cs="Times New Roman"/>
          <w:sz w:val="24"/>
          <w:szCs w:val="24"/>
        </w:rPr>
      </w:pPr>
    </w:p>
    <w:p w14:paraId="71AF565E" w14:textId="6E91461D" w:rsidR="00B5198D" w:rsidRPr="00BD3EA7" w:rsidRDefault="00B5198D" w:rsidP="00A6129F">
      <w:pPr>
        <w:spacing w:after="0" w:line="240" w:lineRule="auto"/>
        <w:contextualSpacing/>
        <w:rPr>
          <w:rFonts w:ascii="Times New Roman" w:eastAsia="Calibri" w:hAnsi="Times New Roman" w:cs="Times New Roman"/>
          <w:sz w:val="24"/>
          <w:szCs w:val="24"/>
        </w:rPr>
      </w:pPr>
    </w:p>
    <w:p w14:paraId="0149F656" w14:textId="299DFFE6" w:rsidR="00A6129F" w:rsidRPr="00BD3EA7" w:rsidRDefault="00A6129F" w:rsidP="00A6129F">
      <w:pPr>
        <w:spacing w:after="0"/>
        <w:rPr>
          <w:rFonts w:ascii="Times New Roman" w:hAnsi="Times New Roman" w:cs="Times New Roman"/>
          <w:sz w:val="24"/>
          <w:szCs w:val="24"/>
        </w:rPr>
      </w:pPr>
      <w:r w:rsidRPr="00BD3EA7">
        <w:rPr>
          <w:rFonts w:ascii="Times New Roman" w:hAnsi="Times New Roman" w:cs="Times New Roman"/>
          <w:sz w:val="24"/>
          <w:szCs w:val="24"/>
        </w:rPr>
        <w:t>By the Hearing Officer:</w:t>
      </w:r>
    </w:p>
    <w:p w14:paraId="0D7BE4B0" w14:textId="77777777" w:rsidR="00A6129F" w:rsidRPr="00BD3EA7" w:rsidRDefault="00A6129F" w:rsidP="00A6129F">
      <w:pPr>
        <w:spacing w:after="0"/>
        <w:rPr>
          <w:rFonts w:ascii="Times New Roman" w:hAnsi="Times New Roman" w:cs="Times New Roman"/>
          <w:sz w:val="24"/>
          <w:szCs w:val="24"/>
        </w:rPr>
      </w:pPr>
    </w:p>
    <w:p w14:paraId="6500E431" w14:textId="77777777" w:rsidR="00A6129F" w:rsidRPr="00BD3EA7" w:rsidRDefault="00A6129F" w:rsidP="00A6129F">
      <w:pPr>
        <w:spacing w:after="0"/>
        <w:rPr>
          <w:rFonts w:ascii="Times New Roman" w:hAnsi="Times New Roman" w:cs="Times New Roman"/>
          <w:sz w:val="24"/>
          <w:szCs w:val="24"/>
          <w:u w:val="single"/>
        </w:rPr>
      </w:pPr>
      <w:r w:rsidRPr="00BD3EA7">
        <w:rPr>
          <w:rFonts w:ascii="Times New Roman" w:hAnsi="Times New Roman" w:cs="Times New Roman"/>
          <w:sz w:val="24"/>
          <w:szCs w:val="24"/>
          <w:u w:val="single"/>
        </w:rPr>
        <w:t xml:space="preserve">      /s/</w:t>
      </w:r>
      <w:r w:rsidRPr="00BD3EA7">
        <w:rPr>
          <w:rFonts w:ascii="Times New Roman" w:hAnsi="Times New Roman" w:cs="Times New Roman"/>
          <w:sz w:val="24"/>
          <w:szCs w:val="24"/>
          <w:u w:val="single"/>
        </w:rPr>
        <w:tab/>
      </w:r>
      <w:r w:rsidRPr="00BD3EA7">
        <w:rPr>
          <w:rFonts w:ascii="Freestyle Script" w:hAnsi="Freestyle Script" w:cs="Times New Roman"/>
          <w:sz w:val="32"/>
          <w:szCs w:val="32"/>
          <w:u w:val="single"/>
        </w:rPr>
        <w:t>Amy M. Reichbach</w:t>
      </w:r>
    </w:p>
    <w:p w14:paraId="5CEB095B" w14:textId="43F8ACE5" w:rsidR="00BB7DBC" w:rsidRPr="00BD3EA7" w:rsidRDefault="00A6129F" w:rsidP="00D7621E">
      <w:pPr>
        <w:spacing w:after="0"/>
        <w:rPr>
          <w:rFonts w:ascii="Times New Roman" w:eastAsia="Times New Roman" w:hAnsi="Times New Roman" w:cs="Times New Roman"/>
          <w:sz w:val="24"/>
          <w:szCs w:val="24"/>
        </w:rPr>
      </w:pPr>
      <w:r w:rsidRPr="00BD3EA7">
        <w:rPr>
          <w:rFonts w:ascii="Times New Roman" w:hAnsi="Times New Roman" w:cs="Times New Roman"/>
          <w:sz w:val="24"/>
          <w:szCs w:val="24"/>
        </w:rPr>
        <w:t xml:space="preserve">Dated: </w:t>
      </w:r>
      <w:r w:rsidR="00A00C4A" w:rsidRPr="00BD3EA7">
        <w:rPr>
          <w:rFonts w:ascii="Times New Roman" w:hAnsi="Times New Roman" w:cs="Times New Roman"/>
          <w:sz w:val="24"/>
          <w:szCs w:val="24"/>
        </w:rPr>
        <w:t>April 2</w:t>
      </w:r>
      <w:r w:rsidR="00A31B2D">
        <w:rPr>
          <w:rFonts w:ascii="Times New Roman" w:hAnsi="Times New Roman" w:cs="Times New Roman"/>
          <w:sz w:val="24"/>
          <w:szCs w:val="24"/>
        </w:rPr>
        <w:t>8</w:t>
      </w:r>
      <w:r w:rsidRPr="00BD3EA7">
        <w:rPr>
          <w:rFonts w:ascii="Times New Roman" w:hAnsi="Times New Roman" w:cs="Times New Roman"/>
          <w:sz w:val="24"/>
          <w:szCs w:val="24"/>
        </w:rPr>
        <w:t>, 2022</w:t>
      </w:r>
    </w:p>
    <w:sectPr w:rsidR="00BB7DBC" w:rsidRPr="00BD3E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48F1" w14:textId="77777777" w:rsidR="00F82F32" w:rsidRDefault="00F82F32" w:rsidP="000B300C">
      <w:pPr>
        <w:spacing w:after="0" w:line="240" w:lineRule="auto"/>
      </w:pPr>
      <w:r>
        <w:separator/>
      </w:r>
    </w:p>
  </w:endnote>
  <w:endnote w:type="continuationSeparator" w:id="0">
    <w:p w14:paraId="2B8B3860" w14:textId="77777777" w:rsidR="00F82F32" w:rsidRDefault="00F82F32" w:rsidP="000B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62624"/>
      <w:docPartObj>
        <w:docPartGallery w:val="Page Numbers (Bottom of Page)"/>
        <w:docPartUnique/>
      </w:docPartObj>
    </w:sdtPr>
    <w:sdtEndPr>
      <w:rPr>
        <w:noProof/>
      </w:rPr>
    </w:sdtEndPr>
    <w:sdtContent>
      <w:p w14:paraId="0C60507E" w14:textId="2AE8DC91" w:rsidR="00000B9D" w:rsidRDefault="00000B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9EAA7" w14:textId="77777777" w:rsidR="00000B9D" w:rsidRDefault="00000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582A" w14:textId="77777777" w:rsidR="00F82F32" w:rsidRDefault="00F82F32" w:rsidP="000B300C">
      <w:pPr>
        <w:spacing w:after="0" w:line="240" w:lineRule="auto"/>
      </w:pPr>
      <w:r>
        <w:separator/>
      </w:r>
    </w:p>
  </w:footnote>
  <w:footnote w:type="continuationSeparator" w:id="0">
    <w:p w14:paraId="7FF0B74B" w14:textId="77777777" w:rsidR="00F82F32" w:rsidRDefault="00F82F32" w:rsidP="000B300C">
      <w:pPr>
        <w:spacing w:after="0" w:line="240" w:lineRule="auto"/>
      </w:pPr>
      <w:r>
        <w:continuationSeparator/>
      </w:r>
    </w:p>
  </w:footnote>
  <w:footnote w:id="1">
    <w:p w14:paraId="4C8759D3" w14:textId="2E8D0ACC" w:rsidR="006C467F" w:rsidRDefault="006C467F">
      <w:pPr>
        <w:pStyle w:val="FootnoteText"/>
      </w:pPr>
      <w:r>
        <w:rPr>
          <w:rStyle w:val="FootnoteReference"/>
        </w:rPr>
        <w:footnoteRef/>
      </w:r>
      <w:r>
        <w:t xml:space="preserve"> </w:t>
      </w:r>
      <w:proofErr w:type="spellStart"/>
      <w:r w:rsidR="00C70A9A">
        <w:t>Xili</w:t>
      </w:r>
      <w:proofErr w:type="spellEnd"/>
      <w:r>
        <w:t xml:space="preserve"> is a pseudonym chosen by the Hearing Officer to protect the student’s identity in public documents. </w:t>
      </w:r>
    </w:p>
  </w:footnote>
  <w:footnote w:id="2">
    <w:p w14:paraId="2344E2D8" w14:textId="590B6783" w:rsidR="00C238E9" w:rsidRPr="00C238E9" w:rsidRDefault="00C238E9">
      <w:pPr>
        <w:pStyle w:val="FootnoteText"/>
      </w:pPr>
      <w:r>
        <w:rPr>
          <w:rStyle w:val="FootnoteReference"/>
        </w:rPr>
        <w:footnoteRef/>
      </w:r>
      <w:r>
        <w:t xml:space="preserve"> See </w:t>
      </w:r>
      <w:r w:rsidR="00F228A6">
        <w:t>BSEA</w:t>
      </w:r>
      <w:r>
        <w:t xml:space="preserve"> </w:t>
      </w:r>
      <w:r>
        <w:rPr>
          <w:i/>
          <w:iCs/>
        </w:rPr>
        <w:t xml:space="preserve">Hearing Rule </w:t>
      </w:r>
      <w:r>
        <w:t>VI(C) (“Any party may file written objections to the allowance of the motion and may request a hearing on the motion within seven (7) calendar days after a written motion is filed with the Hearing Officer and the opposing party, unless the Hearing Officer determines that a shorter or longer time is warranted”).</w:t>
      </w:r>
    </w:p>
  </w:footnote>
  <w:footnote w:id="3">
    <w:p w14:paraId="5761DEC7" w14:textId="100C1632" w:rsidR="00B27FD6" w:rsidRDefault="00B27FD6" w:rsidP="00B27FD6">
      <w:pPr>
        <w:pStyle w:val="FootnoteText"/>
      </w:pPr>
      <w:r>
        <w:rPr>
          <w:rStyle w:val="FootnoteReference"/>
        </w:rPr>
        <w:footnoteRef/>
      </w:r>
      <w:r>
        <w:t xml:space="preserve"> </w:t>
      </w:r>
      <w:r w:rsidR="00D96B94">
        <w:rPr>
          <w:i/>
          <w:iCs/>
        </w:rPr>
        <w:t xml:space="preserve">Cf. Hearing Rule </w:t>
      </w:r>
      <w:r w:rsidR="00D96B94">
        <w:t xml:space="preserve">I(J); </w:t>
      </w:r>
      <w:r w:rsidRPr="00215EFD">
        <w:t>G.L. c. 71B, §</w:t>
      </w:r>
      <w:r w:rsidR="00D96B94" w:rsidRPr="00215EFD">
        <w:t xml:space="preserve">§ </w:t>
      </w:r>
      <w:r w:rsidR="00D96B94">
        <w:t>2A,</w:t>
      </w:r>
      <w:r w:rsidRPr="00215EFD">
        <w:t xml:space="preserve"> 3</w:t>
      </w:r>
      <w:r w:rsidR="00D96B94">
        <w:t>; 603 CMR 28.08(</w:t>
      </w:r>
      <w:r w:rsidR="000A7625">
        <w:t>3</w:t>
      </w:r>
      <w:r w:rsidR="00D96B94">
        <w:t>).</w:t>
      </w:r>
    </w:p>
  </w:footnote>
  <w:footnote w:id="4">
    <w:p w14:paraId="5471B438" w14:textId="57BBF11F" w:rsidR="00324841" w:rsidRDefault="00324841">
      <w:pPr>
        <w:pStyle w:val="FootnoteText"/>
      </w:pPr>
      <w:r>
        <w:rPr>
          <w:rStyle w:val="FootnoteReference"/>
        </w:rPr>
        <w:footnoteRef/>
      </w:r>
      <w:r>
        <w:t xml:space="preserve"> </w:t>
      </w:r>
      <w:r w:rsidR="00E63B62" w:rsidRPr="00D82341">
        <w:rPr>
          <w:i/>
        </w:rPr>
        <w:t>Cf</w:t>
      </w:r>
      <w:r w:rsidR="00E63B62" w:rsidRPr="007F593A">
        <w:t xml:space="preserve">. M.G.L. c. 119, § 21 (defining as “custody” the power to, </w:t>
      </w:r>
      <w:r w:rsidR="00E63B62" w:rsidRPr="007F593A">
        <w:rPr>
          <w:i/>
        </w:rPr>
        <w:t>inter alia</w:t>
      </w:r>
      <w:r w:rsidR="00E63B62" w:rsidRPr="007F593A">
        <w:t>, “determine a child’s place of abode, medical care and education” and defining “child requiring assistance</w:t>
      </w:r>
      <w:r w:rsidR="00E63B62">
        <w:t>”</w:t>
      </w:r>
      <w:r w:rsidR="00E63B62" w:rsidRPr="007F593A">
        <w:t xml:space="preserve">); 110 CMR </w:t>
      </w:r>
      <w:r w:rsidR="00E63B62">
        <w:t>7.</w:t>
      </w:r>
      <w:r w:rsidR="00E63B62" w:rsidRPr="007F593A">
        <w:t xml:space="preserve">400 (providing for education services for children </w:t>
      </w:r>
      <w:r w:rsidR="00E63B62" w:rsidRPr="007F593A">
        <w:rPr>
          <w:i/>
        </w:rPr>
        <w:t>in the Department’s care or custody”</w:t>
      </w:r>
      <w:r w:rsidR="00E63B62" w:rsidRPr="007F593A">
        <w:t xml:space="preserve"> (emphasis added)); 110 CMR 4</w:t>
      </w:r>
      <w:r w:rsidR="00E63B62">
        <w:t>.</w:t>
      </w:r>
      <w:r w:rsidR="00E63B62" w:rsidRPr="007F593A">
        <w:t xml:space="preserve">10 (pertaining to voluntary </w:t>
      </w:r>
      <w:r w:rsidR="00E63B62">
        <w:t>placement agreements</w:t>
      </w:r>
      <w:r w:rsidR="00E63B62" w:rsidRPr="007F593A">
        <w:t xml:space="preserve">). </w:t>
      </w:r>
      <w:r w:rsidR="00E63B62" w:rsidRPr="007F593A">
        <w:rPr>
          <w:color w:val="444444"/>
        </w:rPr>
        <w:t xml:space="preserve"> </w:t>
      </w:r>
    </w:p>
  </w:footnote>
  <w:footnote w:id="5">
    <w:p w14:paraId="1747EAFD" w14:textId="77777777" w:rsidR="00191EF5" w:rsidRPr="00E63B62" w:rsidRDefault="00191EF5" w:rsidP="00191EF5">
      <w:pPr>
        <w:pStyle w:val="FootnoteText"/>
        <w:rPr>
          <w:i/>
          <w:iCs/>
        </w:rPr>
      </w:pPr>
      <w:r>
        <w:rPr>
          <w:rStyle w:val="FootnoteReference"/>
        </w:rPr>
        <w:footnoteRef/>
      </w:r>
      <w:r>
        <w:t xml:space="preserve"> </w:t>
      </w:r>
      <w:r w:rsidRPr="00C47A8A">
        <w:t>See</w:t>
      </w:r>
      <w:r w:rsidRPr="00215EFD">
        <w:rPr>
          <w:i/>
          <w:iCs/>
        </w:rPr>
        <w:t xml:space="preserve"> </w:t>
      </w:r>
      <w:r w:rsidRPr="00215EFD">
        <w:t>110 CMR 4.02</w:t>
      </w:r>
      <w:r>
        <w:t xml:space="preserve"> – 4.05 (requests and applications for services, responses, eligibility determinations), 4.10 – 4.11 (voluntary placement agreements).</w:t>
      </w:r>
    </w:p>
  </w:footnote>
  <w:footnote w:id="6">
    <w:p w14:paraId="49FB4ED3" w14:textId="33C1A96A" w:rsidR="006C61BE" w:rsidRDefault="006C61BE">
      <w:pPr>
        <w:pStyle w:val="FootnoteText"/>
      </w:pPr>
      <w:r>
        <w:rPr>
          <w:rStyle w:val="FootnoteReference"/>
        </w:rPr>
        <w:footnoteRef/>
      </w:r>
      <w:r>
        <w:t xml:space="preserve"> See </w:t>
      </w:r>
      <w:r w:rsidRPr="00AA6893">
        <w:rPr>
          <w:i/>
          <w:iCs/>
        </w:rPr>
        <w:t>Villanueva</w:t>
      </w:r>
      <w:r w:rsidRPr="007665EC">
        <w:t>-</w:t>
      </w:r>
      <w:r w:rsidRPr="00AA6893">
        <w:rPr>
          <w:i/>
          <w:iCs/>
        </w:rPr>
        <w:t>Mendez v. Nieves Vazquez</w:t>
      </w:r>
      <w:r w:rsidRPr="007665EC">
        <w:t>, 360 F.Supp.2d 320, 323 (D.P.R. 2005) (citations omitted).</w:t>
      </w:r>
    </w:p>
  </w:footnote>
  <w:footnote w:id="7">
    <w:p w14:paraId="3D9C7731" w14:textId="24B4AB2A" w:rsidR="002D7E4B" w:rsidRDefault="002D7E4B" w:rsidP="002D7E4B">
      <w:pPr>
        <w:pStyle w:val="FootnoteText"/>
      </w:pPr>
      <w:r>
        <w:rPr>
          <w:rStyle w:val="FootnoteReference"/>
        </w:rPr>
        <w:footnoteRef/>
      </w:r>
      <w:r>
        <w:t xml:space="preserve"> </w:t>
      </w:r>
      <w:r w:rsidR="007906B9">
        <w:t xml:space="preserve">See </w:t>
      </w:r>
      <w:r w:rsidR="007906B9">
        <w:rPr>
          <w:i/>
          <w:iCs/>
        </w:rPr>
        <w:t>i</w:t>
      </w:r>
      <w:r w:rsidRPr="007665EC">
        <w:rPr>
          <w:i/>
          <w:iCs/>
        </w:rPr>
        <w:t>d</w:t>
      </w:r>
      <w:r w:rsidRPr="007665EC">
        <w:t>. at 3</w:t>
      </w:r>
      <w:r w:rsidR="007906B9">
        <w:t>2</w:t>
      </w:r>
      <w:r w:rsidRPr="007665EC">
        <w:t>4 (citations omitted)</w:t>
      </w:r>
      <w:r w:rsidR="007906B9">
        <w:t xml:space="preserve"> (explaining that a motion to reconsider may be </w:t>
      </w:r>
      <w:r w:rsidR="00A9070F">
        <w:t xml:space="preserve">granted when the movant demonstrates </w:t>
      </w:r>
      <w:r w:rsidR="007906B9">
        <w:rPr>
          <w:color w:val="000000"/>
        </w:rPr>
        <w:t>“</w:t>
      </w:r>
      <w:r w:rsidR="007906B9" w:rsidRPr="003E57BD">
        <w:rPr>
          <w:color w:val="000000"/>
        </w:rPr>
        <w:t>(1) the availability of new evidence not previously available, (2) an intervening change in controlling law, or (3) the need to correct a clear error of law or to prevent manifest injustice.</w:t>
      </w:r>
      <w:r w:rsidR="007906B9">
        <w:rPr>
          <w:color w:val="000000"/>
        </w:rPr>
        <w:t>”</w:t>
      </w:r>
      <w:r w:rsidR="00A9070F">
        <w:rPr>
          <w:color w:val="000000"/>
        </w:rPr>
        <w:t>)</w:t>
      </w:r>
    </w:p>
  </w:footnote>
  <w:footnote w:id="8">
    <w:p w14:paraId="414D7A26" w14:textId="2BFACBDF" w:rsidR="009569FC" w:rsidRDefault="009569FC">
      <w:pPr>
        <w:pStyle w:val="FootnoteText"/>
      </w:pPr>
      <w:r>
        <w:rPr>
          <w:rStyle w:val="FootnoteReference"/>
        </w:rPr>
        <w:footnoteRef/>
      </w:r>
      <w:r>
        <w:t xml:space="preserve"> </w:t>
      </w:r>
      <w:r w:rsidRPr="009569FC">
        <w:t xml:space="preserve">M.G.L. c 71B, § </w:t>
      </w:r>
      <w:r>
        <w:t>2A</w:t>
      </w:r>
      <w:r w:rsidRPr="009569FC">
        <w:t xml:space="preserve">; </w:t>
      </w:r>
      <w:r w:rsidRPr="00F31B65">
        <w:t>see</w:t>
      </w:r>
      <w:r w:rsidRPr="009569FC">
        <w:t xml:space="preserve"> 603 CMR 28.08(3) (corresponding regulations).</w:t>
      </w:r>
    </w:p>
  </w:footnote>
  <w:footnote w:id="9">
    <w:p w14:paraId="1A784FA3" w14:textId="44503A3C" w:rsidR="00CE2773" w:rsidRDefault="00CE2773" w:rsidP="005F2191">
      <w:pPr>
        <w:pStyle w:val="FootnoteText"/>
        <w:tabs>
          <w:tab w:val="left" w:pos="2770"/>
        </w:tabs>
      </w:pPr>
      <w:r>
        <w:rPr>
          <w:rStyle w:val="FootnoteReference"/>
        </w:rPr>
        <w:footnoteRef/>
      </w:r>
      <w:r>
        <w:t xml:space="preserve"> </w:t>
      </w:r>
      <w:r w:rsidR="00D7621E">
        <w:t xml:space="preserve">See </w:t>
      </w:r>
      <w:r w:rsidRPr="007F593A">
        <w:rPr>
          <w:rFonts w:cs="Times New Roman"/>
        </w:rPr>
        <w:t>M.G.L. c 71B, §§</w:t>
      </w:r>
      <w:r>
        <w:rPr>
          <w:rFonts w:cs="Times New Roman"/>
        </w:rPr>
        <w:t xml:space="preserve"> 2A,</w:t>
      </w:r>
      <w:r w:rsidRPr="007F593A">
        <w:rPr>
          <w:rFonts w:cs="Times New Roman"/>
        </w:rPr>
        <w:t xml:space="preserve"> 3</w:t>
      </w:r>
      <w:r w:rsidR="005F2191">
        <w:rPr>
          <w:rFonts w:cs="Times New Roman"/>
        </w:rPr>
        <w:t xml:space="preserve">; </w:t>
      </w:r>
      <w:r w:rsidR="005F2191" w:rsidRPr="007F593A">
        <w:rPr>
          <w:rFonts w:cs="Times New Roman"/>
        </w:rPr>
        <w:t>603 CMR 28.08(3).</w:t>
      </w:r>
    </w:p>
  </w:footnote>
  <w:footnote w:id="10">
    <w:p w14:paraId="73981F88" w14:textId="520CBCE4" w:rsidR="00BB7DBC" w:rsidRPr="007F593A" w:rsidRDefault="00BB7DBC" w:rsidP="00BB7DBC">
      <w:pPr>
        <w:pStyle w:val="FootnoteText"/>
        <w:rPr>
          <w:rFonts w:cs="Times New Roman"/>
        </w:rPr>
      </w:pPr>
      <w:r w:rsidRPr="007F593A">
        <w:rPr>
          <w:rStyle w:val="FootnoteReference"/>
          <w:rFonts w:cs="Times New Roman"/>
        </w:rPr>
        <w:footnoteRef/>
      </w:r>
      <w:r w:rsidRPr="007F593A">
        <w:rPr>
          <w:rFonts w:cs="Times New Roman"/>
        </w:rPr>
        <w:t xml:space="preserve"> M.G.L. c 71B, § 3; </w:t>
      </w:r>
      <w:r w:rsidRPr="00E27E3E">
        <w:rPr>
          <w:rFonts w:cs="Times New Roman"/>
        </w:rPr>
        <w:t>see</w:t>
      </w:r>
      <w:r w:rsidRPr="007F593A">
        <w:rPr>
          <w:rFonts w:cs="Times New Roman"/>
          <w:i/>
        </w:rPr>
        <w:t xml:space="preserve"> </w:t>
      </w:r>
      <w:r w:rsidRPr="007F593A">
        <w:rPr>
          <w:rFonts w:cs="Times New Roman"/>
        </w:rPr>
        <w:t>603 CMR 28.08(3).</w:t>
      </w:r>
    </w:p>
  </w:footnote>
  <w:footnote w:id="11">
    <w:p w14:paraId="6499483F" w14:textId="6C39DBA8" w:rsidR="009569FC" w:rsidRPr="007F593A" w:rsidRDefault="009569FC" w:rsidP="009569FC">
      <w:pPr>
        <w:pStyle w:val="FootnoteText"/>
        <w:rPr>
          <w:rFonts w:cs="Times New Roman"/>
        </w:rPr>
      </w:pPr>
      <w:r w:rsidRPr="007F593A">
        <w:rPr>
          <w:rStyle w:val="FootnoteReference"/>
          <w:rFonts w:cs="Times New Roman"/>
        </w:rPr>
        <w:footnoteRef/>
      </w:r>
      <w:r w:rsidRPr="007F593A">
        <w:rPr>
          <w:rFonts w:cs="Times New Roman"/>
        </w:rPr>
        <w:t xml:space="preserve"> </w:t>
      </w:r>
      <w:r w:rsidR="00E93C8B">
        <w:rPr>
          <w:rFonts w:cs="Times New Roman"/>
        </w:rPr>
        <w:t xml:space="preserve">See </w:t>
      </w:r>
      <w:r w:rsidRPr="007F593A">
        <w:rPr>
          <w:rFonts w:cs="Times New Roman"/>
        </w:rPr>
        <w:t xml:space="preserve">BSEA </w:t>
      </w:r>
      <w:r w:rsidRPr="007F593A">
        <w:rPr>
          <w:rFonts w:cs="Times New Roman"/>
          <w:i/>
        </w:rPr>
        <w:t>Hearing Rule</w:t>
      </w:r>
      <w:r w:rsidRPr="007F593A">
        <w:rPr>
          <w:rFonts w:cs="Times New Roman"/>
        </w:rPr>
        <w:t xml:space="preserve"> I(J).</w:t>
      </w:r>
    </w:p>
  </w:footnote>
  <w:footnote w:id="12">
    <w:p w14:paraId="2185D659" w14:textId="13C733B9" w:rsidR="00BD3EA7" w:rsidRDefault="00BD3EA7">
      <w:pPr>
        <w:pStyle w:val="FootnoteText"/>
      </w:pPr>
      <w:r>
        <w:rPr>
          <w:rStyle w:val="FootnoteReference"/>
        </w:rPr>
        <w:footnoteRef/>
      </w:r>
      <w:r>
        <w:t xml:space="preserve"> See </w:t>
      </w:r>
      <w:r w:rsidRPr="007F593A">
        <w:rPr>
          <w:rFonts w:cs="Times New Roman"/>
        </w:rPr>
        <w:t>M.G.L. c 71B, § 3</w:t>
      </w:r>
      <w:r>
        <w:rPr>
          <w:rFonts w:cs="Times New Roman"/>
        </w:rPr>
        <w:t>.</w:t>
      </w:r>
    </w:p>
  </w:footnote>
  <w:footnote w:id="13">
    <w:p w14:paraId="7E9C0AE6" w14:textId="77777777" w:rsidR="00692952" w:rsidRPr="007F593A" w:rsidRDefault="00692952" w:rsidP="00692952">
      <w:pPr>
        <w:pStyle w:val="FootnoteText"/>
        <w:contextualSpacing/>
        <w:rPr>
          <w:rFonts w:cs="Times New Roman"/>
        </w:rPr>
      </w:pPr>
      <w:r w:rsidRPr="007F593A">
        <w:rPr>
          <w:rStyle w:val="FootnoteReference"/>
          <w:rFonts w:cs="Times New Roman"/>
        </w:rPr>
        <w:footnoteRef/>
      </w:r>
      <w:r w:rsidRPr="007F593A">
        <w:rPr>
          <w:rFonts w:cs="Times New Roman"/>
        </w:rPr>
        <w:t xml:space="preserve"> </w:t>
      </w:r>
      <w:r w:rsidRPr="00143F48">
        <w:rPr>
          <w:rFonts w:cs="Times New Roman"/>
        </w:rPr>
        <w:t>See</w:t>
      </w:r>
      <w:r w:rsidRPr="007F593A">
        <w:rPr>
          <w:rFonts w:cs="Times New Roman"/>
        </w:rPr>
        <w:t xml:space="preserve"> 110 CMR 7.404(2) </w:t>
      </w:r>
      <w:r>
        <w:rPr>
          <w:rFonts w:cs="Times New Roman"/>
        </w:rPr>
        <w:t>(</w:t>
      </w:r>
      <w:r w:rsidRPr="007F593A">
        <w:rPr>
          <w:rFonts w:cs="Times New Roman"/>
        </w:rPr>
        <w:t>“If a child's IEP specifies that a private day school program . . . is necessary to meet the child's special education needs and the Department determines that the child should be placed in community residential care for non-educational reasons, then the Department shall share the cost of the placement with the local educational agency.”</w:t>
      </w:r>
      <w:r>
        <w:rPr>
          <w:rFonts w:cs="Times New Roman"/>
        </w:rPr>
        <w:t>)</w:t>
      </w:r>
    </w:p>
  </w:footnote>
  <w:footnote w:id="14">
    <w:p w14:paraId="435B1B2E" w14:textId="45CE6689" w:rsidR="00692952" w:rsidRPr="007F593A" w:rsidRDefault="00692952" w:rsidP="00692952">
      <w:pPr>
        <w:pStyle w:val="NormalWeb"/>
        <w:shd w:val="clear" w:color="auto" w:fill="FFFFFF"/>
        <w:spacing w:before="0" w:beforeAutospacing="0" w:after="0" w:afterAutospacing="0"/>
        <w:contextualSpacing/>
        <w:rPr>
          <w:color w:val="444444"/>
          <w:sz w:val="20"/>
          <w:szCs w:val="20"/>
        </w:rPr>
      </w:pPr>
      <w:r w:rsidRPr="007F593A">
        <w:rPr>
          <w:rStyle w:val="FootnoteReference"/>
          <w:sz w:val="20"/>
          <w:szCs w:val="20"/>
        </w:rPr>
        <w:footnoteRef/>
      </w:r>
      <w:r w:rsidRPr="007F593A">
        <w:rPr>
          <w:sz w:val="20"/>
          <w:szCs w:val="20"/>
        </w:rPr>
        <w:t xml:space="preserve"> </w:t>
      </w:r>
      <w:r w:rsidRPr="00D82341">
        <w:rPr>
          <w:i/>
          <w:sz w:val="20"/>
          <w:szCs w:val="20"/>
        </w:rPr>
        <w:t>Cf</w:t>
      </w:r>
      <w:r w:rsidRPr="007F593A">
        <w:rPr>
          <w:sz w:val="20"/>
          <w:szCs w:val="20"/>
        </w:rPr>
        <w:t xml:space="preserve">. M.G.L. c. 119, § 21 (defining as “custody” the power to, </w:t>
      </w:r>
      <w:r w:rsidRPr="007F593A">
        <w:rPr>
          <w:i/>
          <w:sz w:val="20"/>
          <w:szCs w:val="20"/>
        </w:rPr>
        <w:t>inter alia</w:t>
      </w:r>
      <w:r w:rsidRPr="007F593A">
        <w:rPr>
          <w:sz w:val="20"/>
          <w:szCs w:val="20"/>
        </w:rPr>
        <w:t>, “determine a child’s place of abode, medical care and education” and defining “child requiring assistance</w:t>
      </w:r>
      <w:r>
        <w:rPr>
          <w:sz w:val="20"/>
          <w:szCs w:val="20"/>
        </w:rPr>
        <w:t>”</w:t>
      </w:r>
      <w:r w:rsidRPr="007F593A">
        <w:rPr>
          <w:sz w:val="20"/>
          <w:szCs w:val="20"/>
        </w:rPr>
        <w:t xml:space="preserve">); 110 CMR </w:t>
      </w:r>
      <w:r w:rsidR="00F63C57">
        <w:rPr>
          <w:sz w:val="20"/>
          <w:szCs w:val="20"/>
        </w:rPr>
        <w:t>7.</w:t>
      </w:r>
      <w:r w:rsidRPr="007F593A">
        <w:rPr>
          <w:sz w:val="20"/>
          <w:szCs w:val="20"/>
        </w:rPr>
        <w:t xml:space="preserve">400 (providing for education services for children </w:t>
      </w:r>
      <w:r w:rsidRPr="007F593A">
        <w:rPr>
          <w:i/>
          <w:sz w:val="20"/>
          <w:szCs w:val="20"/>
        </w:rPr>
        <w:t>in the Department’s care or custody”</w:t>
      </w:r>
      <w:r w:rsidRPr="007F593A">
        <w:rPr>
          <w:sz w:val="20"/>
          <w:szCs w:val="20"/>
        </w:rPr>
        <w:t xml:space="preserve"> (emphasis added)); 110 CMR 4</w:t>
      </w:r>
      <w:r>
        <w:rPr>
          <w:sz w:val="20"/>
          <w:szCs w:val="20"/>
        </w:rPr>
        <w:t>.</w:t>
      </w:r>
      <w:r w:rsidRPr="007F593A">
        <w:rPr>
          <w:sz w:val="20"/>
          <w:szCs w:val="20"/>
        </w:rPr>
        <w:t xml:space="preserve">10 (pertaining to voluntary </w:t>
      </w:r>
      <w:r w:rsidR="00E93C8B">
        <w:rPr>
          <w:sz w:val="20"/>
          <w:szCs w:val="20"/>
        </w:rPr>
        <w:t>placement agreements</w:t>
      </w:r>
      <w:r w:rsidRPr="007F593A">
        <w:rPr>
          <w:sz w:val="20"/>
          <w:szCs w:val="20"/>
        </w:rPr>
        <w:t xml:space="preserve">). </w:t>
      </w:r>
      <w:r w:rsidRPr="007F593A">
        <w:rPr>
          <w:color w:val="444444"/>
          <w:sz w:val="20"/>
          <w:szCs w:val="20"/>
        </w:rPr>
        <w:t xml:space="preserve"> </w:t>
      </w:r>
    </w:p>
  </w:footnote>
  <w:footnote w:id="15">
    <w:p w14:paraId="192E96D8" w14:textId="77777777" w:rsidR="00692952" w:rsidRPr="007F593A" w:rsidRDefault="00692952" w:rsidP="00692952">
      <w:pPr>
        <w:pStyle w:val="FootnoteText"/>
        <w:rPr>
          <w:rFonts w:cs="Times New Roman"/>
        </w:rPr>
      </w:pPr>
      <w:r w:rsidRPr="007F593A">
        <w:rPr>
          <w:rStyle w:val="FootnoteReference"/>
          <w:rFonts w:cs="Times New Roman"/>
        </w:rPr>
        <w:footnoteRef/>
      </w:r>
      <w:r w:rsidRPr="007F593A">
        <w:rPr>
          <w:rFonts w:cs="Times New Roman"/>
        </w:rPr>
        <w:t xml:space="preserve"> </w:t>
      </w:r>
      <w:r w:rsidRPr="00143F48">
        <w:rPr>
          <w:rFonts w:cs="Times New Roman"/>
        </w:rPr>
        <w:t>See</w:t>
      </w:r>
      <w:r w:rsidRPr="007F593A">
        <w:rPr>
          <w:rFonts w:cs="Times New Roman"/>
        </w:rPr>
        <w:t xml:space="preserve"> 110 CMR 4.04-4.06</w:t>
      </w:r>
      <w:r>
        <w:rPr>
          <w:rFonts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63A"/>
    <w:multiLevelType w:val="multilevel"/>
    <w:tmpl w:val="340A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3E74CF"/>
    <w:multiLevelType w:val="multilevel"/>
    <w:tmpl w:val="0A42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A50A7D"/>
    <w:multiLevelType w:val="hybridMultilevel"/>
    <w:tmpl w:val="329880F6"/>
    <w:lvl w:ilvl="0" w:tplc="EA0EDEB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149E5"/>
    <w:multiLevelType w:val="hybridMultilevel"/>
    <w:tmpl w:val="B576EFD2"/>
    <w:lvl w:ilvl="0" w:tplc="9FC82A3C">
      <w:start w:val="1"/>
      <w:numFmt w:val="decimal"/>
      <w:lvlText w:val="%1)"/>
      <w:lvlJc w:val="left"/>
      <w:pPr>
        <w:ind w:left="3960" w:hanging="360"/>
      </w:pPr>
      <w:rPr>
        <w:rFonts w:hint="default"/>
        <w:b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
  </w:num>
  <w:num w:numId="2">
    <w:abstractNumId w:val="1"/>
    <w:lvlOverride w:ilvl="0">
      <w:lvl w:ilvl="0">
        <w:numFmt w:val="upperLetter"/>
        <w:lvlText w:val="%1."/>
        <w:lvlJc w:val="left"/>
      </w:lvl>
    </w:lvlOverride>
  </w:num>
  <w:num w:numId="3">
    <w:abstractNumId w:val="0"/>
    <w:lvlOverride w:ilvl="0">
      <w:lvl w:ilvl="0">
        <w:numFmt w:val="upperLetter"/>
        <w:lvlText w:val="%1."/>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85"/>
    <w:rsid w:val="00000B9D"/>
    <w:rsid w:val="00002804"/>
    <w:rsid w:val="00002828"/>
    <w:rsid w:val="00010BE1"/>
    <w:rsid w:val="00061CF1"/>
    <w:rsid w:val="00071E20"/>
    <w:rsid w:val="000901BB"/>
    <w:rsid w:val="00097C07"/>
    <w:rsid w:val="000A7625"/>
    <w:rsid w:val="000B2A27"/>
    <w:rsid w:val="000B300C"/>
    <w:rsid w:val="000C7BF3"/>
    <w:rsid w:val="00135CA9"/>
    <w:rsid w:val="00141775"/>
    <w:rsid w:val="00177848"/>
    <w:rsid w:val="00191EF5"/>
    <w:rsid w:val="001B49DA"/>
    <w:rsid w:val="001C3CE5"/>
    <w:rsid w:val="001F7C6D"/>
    <w:rsid w:val="002050B5"/>
    <w:rsid w:val="002168F3"/>
    <w:rsid w:val="00224532"/>
    <w:rsid w:val="00245593"/>
    <w:rsid w:val="00254F20"/>
    <w:rsid w:val="00275CFD"/>
    <w:rsid w:val="002818C1"/>
    <w:rsid w:val="0028577A"/>
    <w:rsid w:val="002B72FD"/>
    <w:rsid w:val="002B7E28"/>
    <w:rsid w:val="002D1194"/>
    <w:rsid w:val="002D7E4B"/>
    <w:rsid w:val="002E2586"/>
    <w:rsid w:val="002F617D"/>
    <w:rsid w:val="0030553F"/>
    <w:rsid w:val="00324841"/>
    <w:rsid w:val="00326AE6"/>
    <w:rsid w:val="00372F42"/>
    <w:rsid w:val="003B2143"/>
    <w:rsid w:val="004270D6"/>
    <w:rsid w:val="00455C08"/>
    <w:rsid w:val="004B7A7E"/>
    <w:rsid w:val="005074DE"/>
    <w:rsid w:val="00547EA6"/>
    <w:rsid w:val="00563D4F"/>
    <w:rsid w:val="005A6F91"/>
    <w:rsid w:val="005B7085"/>
    <w:rsid w:val="005F2191"/>
    <w:rsid w:val="006157EA"/>
    <w:rsid w:val="00681402"/>
    <w:rsid w:val="0068476E"/>
    <w:rsid w:val="00684935"/>
    <w:rsid w:val="00692952"/>
    <w:rsid w:val="006B0D2F"/>
    <w:rsid w:val="006B5F1B"/>
    <w:rsid w:val="006C467F"/>
    <w:rsid w:val="006C57F7"/>
    <w:rsid w:val="006C61BE"/>
    <w:rsid w:val="006C7802"/>
    <w:rsid w:val="006D2091"/>
    <w:rsid w:val="006F4C12"/>
    <w:rsid w:val="00702395"/>
    <w:rsid w:val="00710530"/>
    <w:rsid w:val="0077613A"/>
    <w:rsid w:val="00777DC8"/>
    <w:rsid w:val="00784FEC"/>
    <w:rsid w:val="00787295"/>
    <w:rsid w:val="007906B9"/>
    <w:rsid w:val="007A32FF"/>
    <w:rsid w:val="007D767A"/>
    <w:rsid w:val="007F00D7"/>
    <w:rsid w:val="008844C7"/>
    <w:rsid w:val="008D6429"/>
    <w:rsid w:val="008E3E93"/>
    <w:rsid w:val="00921DF6"/>
    <w:rsid w:val="009569FC"/>
    <w:rsid w:val="009A3B5D"/>
    <w:rsid w:val="00A00C4A"/>
    <w:rsid w:val="00A158FA"/>
    <w:rsid w:val="00A31B2D"/>
    <w:rsid w:val="00A6129F"/>
    <w:rsid w:val="00A647D7"/>
    <w:rsid w:val="00A9070F"/>
    <w:rsid w:val="00AA6893"/>
    <w:rsid w:val="00AB412A"/>
    <w:rsid w:val="00AC0B9E"/>
    <w:rsid w:val="00AE4B4B"/>
    <w:rsid w:val="00AF72FC"/>
    <w:rsid w:val="00B05529"/>
    <w:rsid w:val="00B22FFD"/>
    <w:rsid w:val="00B27FD6"/>
    <w:rsid w:val="00B33AAF"/>
    <w:rsid w:val="00B4565E"/>
    <w:rsid w:val="00B50055"/>
    <w:rsid w:val="00B5198D"/>
    <w:rsid w:val="00B623A3"/>
    <w:rsid w:val="00B93286"/>
    <w:rsid w:val="00BB7DBC"/>
    <w:rsid w:val="00BD3EA7"/>
    <w:rsid w:val="00BE0758"/>
    <w:rsid w:val="00BE1012"/>
    <w:rsid w:val="00BE7FAC"/>
    <w:rsid w:val="00C01B01"/>
    <w:rsid w:val="00C05555"/>
    <w:rsid w:val="00C179E0"/>
    <w:rsid w:val="00C238E9"/>
    <w:rsid w:val="00C47A8A"/>
    <w:rsid w:val="00C678CB"/>
    <w:rsid w:val="00C70A9A"/>
    <w:rsid w:val="00C86A5F"/>
    <w:rsid w:val="00C9101E"/>
    <w:rsid w:val="00C971BE"/>
    <w:rsid w:val="00CB51E3"/>
    <w:rsid w:val="00CD5D05"/>
    <w:rsid w:val="00CE2773"/>
    <w:rsid w:val="00CF1767"/>
    <w:rsid w:val="00CF39E3"/>
    <w:rsid w:val="00CF3DBD"/>
    <w:rsid w:val="00D11C1E"/>
    <w:rsid w:val="00D65D85"/>
    <w:rsid w:val="00D7621E"/>
    <w:rsid w:val="00D96B94"/>
    <w:rsid w:val="00DB532C"/>
    <w:rsid w:val="00DD095E"/>
    <w:rsid w:val="00DE6182"/>
    <w:rsid w:val="00DF51E6"/>
    <w:rsid w:val="00E27E3E"/>
    <w:rsid w:val="00E351DD"/>
    <w:rsid w:val="00E375B7"/>
    <w:rsid w:val="00E63B62"/>
    <w:rsid w:val="00E74D7B"/>
    <w:rsid w:val="00E83BAB"/>
    <w:rsid w:val="00E93C8B"/>
    <w:rsid w:val="00EB2B53"/>
    <w:rsid w:val="00EE4E2C"/>
    <w:rsid w:val="00EF3E21"/>
    <w:rsid w:val="00F228A6"/>
    <w:rsid w:val="00F31B65"/>
    <w:rsid w:val="00F47CB4"/>
    <w:rsid w:val="00F5253E"/>
    <w:rsid w:val="00F63115"/>
    <w:rsid w:val="00F63C57"/>
    <w:rsid w:val="00F66064"/>
    <w:rsid w:val="00F72943"/>
    <w:rsid w:val="00F73FB4"/>
    <w:rsid w:val="00F81AC9"/>
    <w:rsid w:val="00F82F32"/>
    <w:rsid w:val="00F97A17"/>
    <w:rsid w:val="00FA39A4"/>
    <w:rsid w:val="00FB7FB4"/>
    <w:rsid w:val="00FD47A2"/>
    <w:rsid w:val="00FE20B1"/>
    <w:rsid w:val="00FF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0572"/>
  <w15:chartTrackingRefBased/>
  <w15:docId w15:val="{84F00A1B-5E73-45EF-9AAE-73347E0D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FB4"/>
    <w:pPr>
      <w:keepNext/>
      <w:spacing w:after="0" w:line="240" w:lineRule="auto"/>
      <w:outlineLvl w:val="0"/>
    </w:pPr>
    <w:rPr>
      <w:rFonts w:ascii="Times New Roman" w:eastAsia="Calibri" w:hAnsi="Times New Roman" w:cs="Times New Roman"/>
      <w:color w:val="252525"/>
      <w:sz w:val="24"/>
      <w:szCs w:val="24"/>
      <w:u w:val="single"/>
    </w:rPr>
  </w:style>
  <w:style w:type="paragraph" w:styleId="Heading3">
    <w:name w:val="heading 3"/>
    <w:basedOn w:val="Normal"/>
    <w:next w:val="Normal"/>
    <w:link w:val="Heading3Char"/>
    <w:uiPriority w:val="9"/>
    <w:semiHidden/>
    <w:unhideWhenUsed/>
    <w:qFormat/>
    <w:rsid w:val="00F660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33AA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B33AAF"/>
    <w:rPr>
      <w:rFonts w:ascii="Times New Roman" w:hAnsi="Times New Roman"/>
      <w:sz w:val="20"/>
      <w:szCs w:val="20"/>
    </w:rPr>
  </w:style>
  <w:style w:type="character" w:styleId="FootnoteReference">
    <w:name w:val="footnote reference"/>
    <w:basedOn w:val="DefaultParagraphFont"/>
    <w:uiPriority w:val="99"/>
    <w:unhideWhenUsed/>
    <w:rsid w:val="000B300C"/>
    <w:rPr>
      <w:vertAlign w:val="superscript"/>
    </w:rPr>
  </w:style>
  <w:style w:type="paragraph" w:styleId="BodyText">
    <w:name w:val="Body Text"/>
    <w:basedOn w:val="Normal"/>
    <w:link w:val="BodyTextChar"/>
    <w:uiPriority w:val="99"/>
    <w:unhideWhenUsed/>
    <w:rsid w:val="00F97A17"/>
    <w:pPr>
      <w:spacing w:after="0" w:line="240" w:lineRule="auto"/>
    </w:pPr>
    <w:rPr>
      <w:rFonts w:ascii="Times New Roman" w:eastAsia="Calibri" w:hAnsi="Times New Roman" w:cs="Times New Roman"/>
      <w:b/>
      <w:sz w:val="24"/>
      <w:szCs w:val="24"/>
      <w:u w:val="single"/>
    </w:rPr>
  </w:style>
  <w:style w:type="character" w:customStyle="1" w:styleId="BodyTextChar">
    <w:name w:val="Body Text Char"/>
    <w:basedOn w:val="DefaultParagraphFont"/>
    <w:link w:val="BodyText"/>
    <w:uiPriority w:val="99"/>
    <w:rsid w:val="00F97A17"/>
    <w:rPr>
      <w:rFonts w:ascii="Times New Roman" w:eastAsia="Calibri" w:hAnsi="Times New Roman" w:cs="Times New Roman"/>
      <w:b/>
      <w:sz w:val="24"/>
      <w:szCs w:val="24"/>
      <w:u w:val="single"/>
    </w:rPr>
  </w:style>
  <w:style w:type="paragraph" w:styleId="BodyText2">
    <w:name w:val="Body Text 2"/>
    <w:basedOn w:val="Normal"/>
    <w:link w:val="BodyText2Char"/>
    <w:uiPriority w:val="99"/>
    <w:unhideWhenUsed/>
    <w:rsid w:val="00F97A17"/>
    <w:pPr>
      <w:spacing w:after="0" w:line="240" w:lineRule="auto"/>
    </w:pPr>
    <w:rPr>
      <w:rFonts w:ascii="Times New Roman" w:eastAsia="Calibri" w:hAnsi="Times New Roman" w:cs="Times New Roman"/>
      <w:bCs/>
      <w:sz w:val="24"/>
      <w:szCs w:val="24"/>
    </w:rPr>
  </w:style>
  <w:style w:type="character" w:customStyle="1" w:styleId="BodyText2Char">
    <w:name w:val="Body Text 2 Char"/>
    <w:basedOn w:val="DefaultParagraphFont"/>
    <w:link w:val="BodyText2"/>
    <w:uiPriority w:val="99"/>
    <w:rsid w:val="00F97A17"/>
    <w:rPr>
      <w:rFonts w:ascii="Times New Roman" w:eastAsia="Calibri" w:hAnsi="Times New Roman" w:cs="Times New Roman"/>
      <w:bCs/>
      <w:sz w:val="24"/>
      <w:szCs w:val="24"/>
    </w:rPr>
  </w:style>
  <w:style w:type="paragraph" w:styleId="ListParagraph">
    <w:name w:val="List Paragraph"/>
    <w:basedOn w:val="Normal"/>
    <w:uiPriority w:val="34"/>
    <w:qFormat/>
    <w:rsid w:val="00F97A17"/>
    <w:pPr>
      <w:ind w:left="720"/>
      <w:contextualSpacing/>
    </w:pPr>
  </w:style>
  <w:style w:type="paragraph" w:styleId="NormalWeb">
    <w:name w:val="Normal (Web)"/>
    <w:basedOn w:val="Normal"/>
    <w:uiPriority w:val="99"/>
    <w:unhideWhenUsed/>
    <w:rsid w:val="0000282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8476E"/>
    <w:pPr>
      <w:spacing w:after="0" w:line="240" w:lineRule="auto"/>
    </w:pPr>
  </w:style>
  <w:style w:type="character" w:customStyle="1" w:styleId="Heading1Char">
    <w:name w:val="Heading 1 Char"/>
    <w:basedOn w:val="DefaultParagraphFont"/>
    <w:link w:val="Heading1"/>
    <w:uiPriority w:val="9"/>
    <w:rsid w:val="00FB7FB4"/>
    <w:rPr>
      <w:rFonts w:ascii="Times New Roman" w:eastAsia="Calibri" w:hAnsi="Times New Roman" w:cs="Times New Roman"/>
      <w:color w:val="252525"/>
      <w:sz w:val="24"/>
      <w:szCs w:val="24"/>
      <w:u w:val="single"/>
    </w:rPr>
  </w:style>
  <w:style w:type="character" w:customStyle="1" w:styleId="Heading3Char">
    <w:name w:val="Heading 3 Char"/>
    <w:basedOn w:val="DefaultParagraphFont"/>
    <w:link w:val="Heading3"/>
    <w:uiPriority w:val="9"/>
    <w:semiHidden/>
    <w:rsid w:val="00F6606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00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9D"/>
  </w:style>
  <w:style w:type="paragraph" w:styleId="Footer">
    <w:name w:val="footer"/>
    <w:basedOn w:val="Normal"/>
    <w:link w:val="FooterChar"/>
    <w:uiPriority w:val="99"/>
    <w:unhideWhenUsed/>
    <w:rsid w:val="00000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7010">
      <w:bodyDiv w:val="1"/>
      <w:marLeft w:val="0"/>
      <w:marRight w:val="0"/>
      <w:marTop w:val="0"/>
      <w:marBottom w:val="0"/>
      <w:divBdr>
        <w:top w:val="none" w:sz="0" w:space="0" w:color="auto"/>
        <w:left w:val="none" w:sz="0" w:space="0" w:color="auto"/>
        <w:bottom w:val="none" w:sz="0" w:space="0" w:color="auto"/>
        <w:right w:val="none" w:sz="0" w:space="0" w:color="auto"/>
      </w:divBdr>
    </w:div>
    <w:div w:id="477039202">
      <w:bodyDiv w:val="1"/>
      <w:marLeft w:val="0"/>
      <w:marRight w:val="0"/>
      <w:marTop w:val="0"/>
      <w:marBottom w:val="0"/>
      <w:divBdr>
        <w:top w:val="none" w:sz="0" w:space="0" w:color="auto"/>
        <w:left w:val="none" w:sz="0" w:space="0" w:color="auto"/>
        <w:bottom w:val="none" w:sz="0" w:space="0" w:color="auto"/>
        <w:right w:val="none" w:sz="0" w:space="0" w:color="auto"/>
      </w:divBdr>
    </w:div>
    <w:div w:id="693656543">
      <w:bodyDiv w:val="1"/>
      <w:marLeft w:val="0"/>
      <w:marRight w:val="0"/>
      <w:marTop w:val="0"/>
      <w:marBottom w:val="0"/>
      <w:divBdr>
        <w:top w:val="none" w:sz="0" w:space="0" w:color="auto"/>
        <w:left w:val="none" w:sz="0" w:space="0" w:color="auto"/>
        <w:bottom w:val="none" w:sz="0" w:space="0" w:color="auto"/>
        <w:right w:val="none" w:sz="0" w:space="0" w:color="auto"/>
      </w:divBdr>
    </w:div>
    <w:div w:id="767314962">
      <w:bodyDiv w:val="1"/>
      <w:marLeft w:val="0"/>
      <w:marRight w:val="0"/>
      <w:marTop w:val="0"/>
      <w:marBottom w:val="0"/>
      <w:divBdr>
        <w:top w:val="none" w:sz="0" w:space="0" w:color="auto"/>
        <w:left w:val="none" w:sz="0" w:space="0" w:color="auto"/>
        <w:bottom w:val="none" w:sz="0" w:space="0" w:color="auto"/>
        <w:right w:val="none" w:sz="0" w:space="0" w:color="auto"/>
      </w:divBdr>
    </w:div>
    <w:div w:id="919172142">
      <w:bodyDiv w:val="1"/>
      <w:marLeft w:val="0"/>
      <w:marRight w:val="0"/>
      <w:marTop w:val="0"/>
      <w:marBottom w:val="0"/>
      <w:divBdr>
        <w:top w:val="none" w:sz="0" w:space="0" w:color="auto"/>
        <w:left w:val="none" w:sz="0" w:space="0" w:color="auto"/>
        <w:bottom w:val="none" w:sz="0" w:space="0" w:color="auto"/>
        <w:right w:val="none" w:sz="0" w:space="0" w:color="auto"/>
      </w:divBdr>
    </w:div>
    <w:div w:id="993797588">
      <w:bodyDiv w:val="1"/>
      <w:marLeft w:val="0"/>
      <w:marRight w:val="0"/>
      <w:marTop w:val="0"/>
      <w:marBottom w:val="0"/>
      <w:divBdr>
        <w:top w:val="none" w:sz="0" w:space="0" w:color="auto"/>
        <w:left w:val="none" w:sz="0" w:space="0" w:color="auto"/>
        <w:bottom w:val="none" w:sz="0" w:space="0" w:color="auto"/>
        <w:right w:val="none" w:sz="0" w:space="0" w:color="auto"/>
      </w:divBdr>
    </w:div>
    <w:div w:id="1240408128">
      <w:bodyDiv w:val="1"/>
      <w:marLeft w:val="0"/>
      <w:marRight w:val="0"/>
      <w:marTop w:val="0"/>
      <w:marBottom w:val="0"/>
      <w:divBdr>
        <w:top w:val="none" w:sz="0" w:space="0" w:color="auto"/>
        <w:left w:val="none" w:sz="0" w:space="0" w:color="auto"/>
        <w:bottom w:val="none" w:sz="0" w:space="0" w:color="auto"/>
        <w:right w:val="none" w:sz="0" w:space="0" w:color="auto"/>
      </w:divBdr>
    </w:div>
    <w:div w:id="1463618024">
      <w:bodyDiv w:val="1"/>
      <w:marLeft w:val="0"/>
      <w:marRight w:val="0"/>
      <w:marTop w:val="0"/>
      <w:marBottom w:val="0"/>
      <w:divBdr>
        <w:top w:val="none" w:sz="0" w:space="0" w:color="auto"/>
        <w:left w:val="none" w:sz="0" w:space="0" w:color="auto"/>
        <w:bottom w:val="none" w:sz="0" w:space="0" w:color="auto"/>
        <w:right w:val="none" w:sz="0" w:space="0" w:color="auto"/>
      </w:divBdr>
    </w:div>
    <w:div w:id="1527595132">
      <w:bodyDiv w:val="1"/>
      <w:marLeft w:val="0"/>
      <w:marRight w:val="0"/>
      <w:marTop w:val="0"/>
      <w:marBottom w:val="0"/>
      <w:divBdr>
        <w:top w:val="none" w:sz="0" w:space="0" w:color="auto"/>
        <w:left w:val="none" w:sz="0" w:space="0" w:color="auto"/>
        <w:bottom w:val="none" w:sz="0" w:space="0" w:color="auto"/>
        <w:right w:val="none" w:sz="0" w:space="0" w:color="auto"/>
      </w:divBdr>
    </w:div>
    <w:div w:id="1563833166">
      <w:bodyDiv w:val="1"/>
      <w:marLeft w:val="0"/>
      <w:marRight w:val="0"/>
      <w:marTop w:val="0"/>
      <w:marBottom w:val="0"/>
      <w:divBdr>
        <w:top w:val="none" w:sz="0" w:space="0" w:color="auto"/>
        <w:left w:val="none" w:sz="0" w:space="0" w:color="auto"/>
        <w:bottom w:val="none" w:sz="0" w:space="0" w:color="auto"/>
        <w:right w:val="none" w:sz="0" w:space="0" w:color="auto"/>
      </w:divBdr>
    </w:div>
    <w:div w:id="1582056064">
      <w:bodyDiv w:val="1"/>
      <w:marLeft w:val="0"/>
      <w:marRight w:val="0"/>
      <w:marTop w:val="0"/>
      <w:marBottom w:val="0"/>
      <w:divBdr>
        <w:top w:val="none" w:sz="0" w:space="0" w:color="auto"/>
        <w:left w:val="none" w:sz="0" w:space="0" w:color="auto"/>
        <w:bottom w:val="none" w:sz="0" w:space="0" w:color="auto"/>
        <w:right w:val="none" w:sz="0" w:space="0" w:color="auto"/>
      </w:divBdr>
    </w:div>
    <w:div w:id="1641423257">
      <w:bodyDiv w:val="1"/>
      <w:marLeft w:val="0"/>
      <w:marRight w:val="0"/>
      <w:marTop w:val="0"/>
      <w:marBottom w:val="0"/>
      <w:divBdr>
        <w:top w:val="none" w:sz="0" w:space="0" w:color="auto"/>
        <w:left w:val="none" w:sz="0" w:space="0" w:color="auto"/>
        <w:bottom w:val="none" w:sz="0" w:space="0" w:color="auto"/>
        <w:right w:val="none" w:sz="0" w:space="0" w:color="auto"/>
      </w:divBdr>
    </w:div>
    <w:div w:id="2041005325">
      <w:bodyDiv w:val="1"/>
      <w:marLeft w:val="0"/>
      <w:marRight w:val="0"/>
      <w:marTop w:val="0"/>
      <w:marBottom w:val="0"/>
      <w:divBdr>
        <w:top w:val="none" w:sz="0" w:space="0" w:color="auto"/>
        <w:left w:val="none" w:sz="0" w:space="0" w:color="auto"/>
        <w:bottom w:val="none" w:sz="0" w:space="0" w:color="auto"/>
        <w:right w:val="none" w:sz="0" w:space="0" w:color="auto"/>
      </w:divBdr>
    </w:div>
    <w:div w:id="2063284438">
      <w:bodyDiv w:val="1"/>
      <w:marLeft w:val="0"/>
      <w:marRight w:val="0"/>
      <w:marTop w:val="0"/>
      <w:marBottom w:val="0"/>
      <w:divBdr>
        <w:top w:val="none" w:sz="0" w:space="0" w:color="auto"/>
        <w:left w:val="none" w:sz="0" w:space="0" w:color="auto"/>
        <w:bottom w:val="none" w:sz="0" w:space="0" w:color="auto"/>
        <w:right w:val="none" w:sz="0" w:space="0" w:color="auto"/>
      </w:divBdr>
    </w:div>
    <w:div w:id="20896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21155-EC7B-49FD-88D4-967C23AD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brosnahan</dc:creator>
  <cp:keywords/>
  <dc:description/>
  <cp:lastModifiedBy>Erlichman, Reece (ALA)</cp:lastModifiedBy>
  <cp:revision>2</cp:revision>
  <cp:lastPrinted>2022-04-28T13:19:00Z</cp:lastPrinted>
  <dcterms:created xsi:type="dcterms:W3CDTF">2022-04-28T18:56:00Z</dcterms:created>
  <dcterms:modified xsi:type="dcterms:W3CDTF">2022-04-28T18:56:00Z</dcterms:modified>
</cp:coreProperties>
</file>