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4448" w14:textId="77777777" w:rsidR="000B300C" w:rsidRPr="000B300C" w:rsidRDefault="000B300C" w:rsidP="000B300C">
      <w:pPr>
        <w:spacing w:after="0" w:line="240" w:lineRule="auto"/>
        <w:jc w:val="center"/>
        <w:rPr>
          <w:rFonts w:ascii="Times New Roman" w:eastAsia="Calibri" w:hAnsi="Times New Roman" w:cs="Times New Roman"/>
          <w:b/>
          <w:sz w:val="25"/>
          <w:szCs w:val="25"/>
        </w:rPr>
      </w:pPr>
      <w:r w:rsidRPr="000B300C">
        <w:rPr>
          <w:rFonts w:ascii="Times New Roman" w:eastAsia="Calibri" w:hAnsi="Times New Roman" w:cs="Times New Roman"/>
          <w:b/>
          <w:sz w:val="25"/>
          <w:szCs w:val="25"/>
        </w:rPr>
        <w:t>COMMONWEALTH OF MASSACHUSETTS</w:t>
      </w:r>
    </w:p>
    <w:p w14:paraId="0D424EA2" w14:textId="77777777" w:rsidR="000B300C" w:rsidRPr="000B300C" w:rsidRDefault="000B300C" w:rsidP="000B300C">
      <w:pPr>
        <w:spacing w:after="0" w:line="240" w:lineRule="auto"/>
        <w:jc w:val="center"/>
        <w:rPr>
          <w:rFonts w:ascii="Times New Roman" w:eastAsia="Calibri" w:hAnsi="Times New Roman" w:cs="Times New Roman"/>
          <w:b/>
          <w:sz w:val="25"/>
          <w:szCs w:val="25"/>
        </w:rPr>
      </w:pPr>
      <w:r w:rsidRPr="000B300C">
        <w:rPr>
          <w:rFonts w:ascii="Times New Roman" w:eastAsia="Calibri" w:hAnsi="Times New Roman" w:cs="Times New Roman"/>
          <w:b/>
          <w:sz w:val="25"/>
          <w:szCs w:val="25"/>
        </w:rPr>
        <w:t>DIVISION OF ADMININSTRATIVE LAW APPEALS</w:t>
      </w:r>
    </w:p>
    <w:p w14:paraId="43CF5379" w14:textId="77777777" w:rsidR="000B300C" w:rsidRPr="000B300C" w:rsidRDefault="000B300C" w:rsidP="000B300C">
      <w:pPr>
        <w:spacing w:after="0" w:line="240" w:lineRule="auto"/>
        <w:jc w:val="center"/>
        <w:rPr>
          <w:rFonts w:ascii="Times New Roman" w:eastAsia="Calibri" w:hAnsi="Times New Roman" w:cs="Times New Roman"/>
          <w:b/>
          <w:sz w:val="25"/>
          <w:szCs w:val="25"/>
        </w:rPr>
      </w:pPr>
      <w:r w:rsidRPr="000B300C">
        <w:rPr>
          <w:rFonts w:ascii="Times New Roman" w:eastAsia="Calibri" w:hAnsi="Times New Roman" w:cs="Times New Roman"/>
          <w:b/>
          <w:sz w:val="25"/>
          <w:szCs w:val="25"/>
        </w:rPr>
        <w:t>BUREAU OF SPECIAL EDUCATION APPEALS</w:t>
      </w:r>
    </w:p>
    <w:p w14:paraId="03C232C3" w14:textId="77777777" w:rsidR="000B300C" w:rsidRPr="000B300C" w:rsidRDefault="000B300C" w:rsidP="000B300C">
      <w:pPr>
        <w:spacing w:after="0" w:line="240" w:lineRule="auto"/>
        <w:jc w:val="center"/>
        <w:rPr>
          <w:rFonts w:ascii="Times New Roman" w:eastAsia="Calibri" w:hAnsi="Times New Roman" w:cs="Times New Roman"/>
          <w:sz w:val="25"/>
          <w:szCs w:val="25"/>
        </w:rPr>
      </w:pPr>
    </w:p>
    <w:p w14:paraId="4C22023C" w14:textId="77777777" w:rsidR="000B300C" w:rsidRPr="000B300C" w:rsidRDefault="000B300C" w:rsidP="000B300C">
      <w:pPr>
        <w:spacing w:after="0" w:line="240" w:lineRule="auto"/>
        <w:jc w:val="center"/>
        <w:rPr>
          <w:rFonts w:ascii="Times New Roman" w:eastAsia="Calibri" w:hAnsi="Times New Roman" w:cs="Times New Roman"/>
          <w:sz w:val="24"/>
          <w:szCs w:val="24"/>
        </w:rPr>
      </w:pPr>
    </w:p>
    <w:p w14:paraId="4FBC95C2" w14:textId="32F3BEC2" w:rsidR="000B300C" w:rsidRPr="000B300C" w:rsidRDefault="000B300C" w:rsidP="000B300C">
      <w:pPr>
        <w:spacing w:after="0" w:line="240" w:lineRule="auto"/>
        <w:rPr>
          <w:rFonts w:ascii="Times New Roman" w:eastAsia="Calibri" w:hAnsi="Times New Roman" w:cs="Times New Roman"/>
          <w:sz w:val="24"/>
          <w:szCs w:val="24"/>
        </w:rPr>
      </w:pPr>
      <w:r w:rsidRPr="000B300C">
        <w:rPr>
          <w:rFonts w:ascii="Times New Roman" w:eastAsia="Calibri" w:hAnsi="Times New Roman" w:cs="Times New Roman"/>
          <w:sz w:val="24"/>
          <w:szCs w:val="24"/>
        </w:rPr>
        <w:t xml:space="preserve">In re:    </w:t>
      </w:r>
      <w:proofErr w:type="spellStart"/>
      <w:r w:rsidR="00C70A9A">
        <w:rPr>
          <w:rFonts w:ascii="Times New Roman" w:eastAsia="Calibri" w:hAnsi="Times New Roman" w:cs="Times New Roman"/>
          <w:sz w:val="24"/>
          <w:szCs w:val="24"/>
        </w:rPr>
        <w:t>Xili</w:t>
      </w:r>
      <w:proofErr w:type="spellEnd"/>
      <w:r w:rsidR="006C467F">
        <w:rPr>
          <w:rStyle w:val="FootnoteReference"/>
          <w:rFonts w:ascii="Times New Roman" w:eastAsia="Calibri" w:hAnsi="Times New Roman" w:cs="Times New Roman"/>
          <w:sz w:val="24"/>
          <w:szCs w:val="24"/>
        </w:rPr>
        <w:footnoteReference w:id="1"/>
      </w:r>
      <w:r w:rsidR="006C467F">
        <w:rPr>
          <w:rFonts w:ascii="Times New Roman" w:eastAsia="Calibri" w:hAnsi="Times New Roman" w:cs="Times New Roman"/>
          <w:sz w:val="24"/>
          <w:szCs w:val="24"/>
        </w:rPr>
        <w:t xml:space="preserve"> </w:t>
      </w:r>
      <w:r w:rsidRPr="000B300C">
        <w:rPr>
          <w:rFonts w:ascii="Times New Roman" w:eastAsia="Calibri" w:hAnsi="Times New Roman" w:cs="Times New Roman"/>
          <w:sz w:val="24"/>
          <w:szCs w:val="24"/>
        </w:rPr>
        <w:tab/>
      </w:r>
      <w:r w:rsidRPr="000B300C">
        <w:rPr>
          <w:rFonts w:ascii="Times New Roman" w:eastAsia="Calibri" w:hAnsi="Times New Roman" w:cs="Times New Roman"/>
          <w:sz w:val="24"/>
          <w:szCs w:val="24"/>
        </w:rPr>
        <w:tab/>
      </w:r>
      <w:r w:rsidR="00702395">
        <w:rPr>
          <w:rFonts w:ascii="Times New Roman" w:eastAsia="Calibri" w:hAnsi="Times New Roman" w:cs="Times New Roman"/>
          <w:sz w:val="24"/>
          <w:szCs w:val="24"/>
        </w:rPr>
        <w:tab/>
      </w:r>
      <w:r w:rsidR="00702395">
        <w:rPr>
          <w:rFonts w:ascii="Times New Roman" w:eastAsia="Calibri" w:hAnsi="Times New Roman" w:cs="Times New Roman"/>
          <w:sz w:val="24"/>
          <w:szCs w:val="24"/>
        </w:rPr>
        <w:tab/>
      </w:r>
      <w:r w:rsidR="00702395">
        <w:rPr>
          <w:rFonts w:ascii="Times New Roman" w:eastAsia="Calibri" w:hAnsi="Times New Roman" w:cs="Times New Roman"/>
          <w:sz w:val="24"/>
          <w:szCs w:val="24"/>
        </w:rPr>
        <w:tab/>
      </w:r>
      <w:r w:rsidR="00C70A9A">
        <w:rPr>
          <w:rFonts w:ascii="Times New Roman" w:eastAsia="Calibri" w:hAnsi="Times New Roman" w:cs="Times New Roman"/>
          <w:sz w:val="24"/>
          <w:szCs w:val="24"/>
        </w:rPr>
        <w:tab/>
      </w:r>
      <w:r w:rsidR="00C70A9A">
        <w:rPr>
          <w:rFonts w:ascii="Times New Roman" w:eastAsia="Calibri" w:hAnsi="Times New Roman" w:cs="Times New Roman"/>
          <w:sz w:val="24"/>
          <w:szCs w:val="24"/>
        </w:rPr>
        <w:tab/>
      </w:r>
      <w:r w:rsidR="00C70A9A">
        <w:rPr>
          <w:rFonts w:ascii="Times New Roman" w:eastAsia="Calibri" w:hAnsi="Times New Roman" w:cs="Times New Roman"/>
          <w:sz w:val="24"/>
          <w:szCs w:val="24"/>
        </w:rPr>
        <w:tab/>
      </w:r>
      <w:r w:rsidR="00C70A9A">
        <w:rPr>
          <w:rFonts w:ascii="Times New Roman" w:eastAsia="Calibri" w:hAnsi="Times New Roman" w:cs="Times New Roman"/>
          <w:sz w:val="24"/>
          <w:szCs w:val="24"/>
        </w:rPr>
        <w:tab/>
      </w:r>
      <w:r w:rsidRPr="000B300C">
        <w:rPr>
          <w:rFonts w:ascii="Times New Roman" w:eastAsia="Calibri" w:hAnsi="Times New Roman" w:cs="Times New Roman"/>
          <w:sz w:val="24"/>
          <w:szCs w:val="24"/>
        </w:rPr>
        <w:t>BSEA</w:t>
      </w:r>
      <w:r w:rsidRPr="000B300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sidR="006C467F">
        <w:rPr>
          <w:rFonts w:ascii="Times New Roman" w:eastAsia="Calibri" w:hAnsi="Times New Roman" w:cs="Times New Roman"/>
          <w:sz w:val="24"/>
          <w:szCs w:val="24"/>
        </w:rPr>
        <w:t>220600</w:t>
      </w:r>
      <w:r w:rsidR="00BD250C">
        <w:rPr>
          <w:rFonts w:ascii="Times New Roman" w:eastAsia="Calibri" w:hAnsi="Times New Roman" w:cs="Times New Roman"/>
          <w:sz w:val="24"/>
          <w:szCs w:val="24"/>
        </w:rPr>
        <w:t>0</w:t>
      </w:r>
      <w:r w:rsidRPr="000B300C">
        <w:rPr>
          <w:rFonts w:ascii="Times New Roman" w:eastAsia="Calibri" w:hAnsi="Times New Roman" w:cs="Times New Roman"/>
          <w:sz w:val="24"/>
          <w:szCs w:val="24"/>
        </w:rPr>
        <w:t xml:space="preserve"> </w:t>
      </w:r>
    </w:p>
    <w:p w14:paraId="10CA04C7" w14:textId="77777777" w:rsidR="000B300C" w:rsidRPr="000B300C" w:rsidRDefault="000B300C" w:rsidP="000B300C">
      <w:pPr>
        <w:spacing w:after="0" w:line="240" w:lineRule="auto"/>
        <w:rPr>
          <w:rFonts w:ascii="Times New Roman" w:eastAsia="Calibri" w:hAnsi="Times New Roman" w:cs="Times New Roman"/>
          <w:b/>
          <w:sz w:val="24"/>
          <w:szCs w:val="24"/>
        </w:rPr>
      </w:pPr>
    </w:p>
    <w:p w14:paraId="3125FCD8" w14:textId="77777777" w:rsidR="000B300C" w:rsidRPr="000B300C" w:rsidRDefault="000B300C" w:rsidP="000B300C">
      <w:pPr>
        <w:spacing w:after="0" w:line="240" w:lineRule="auto"/>
        <w:rPr>
          <w:rFonts w:ascii="Times New Roman" w:eastAsia="Calibri" w:hAnsi="Times New Roman" w:cs="Times New Roman"/>
          <w:b/>
          <w:sz w:val="24"/>
          <w:szCs w:val="24"/>
        </w:rPr>
      </w:pPr>
    </w:p>
    <w:p w14:paraId="1961A6F0" w14:textId="560BC843" w:rsidR="000B300C" w:rsidRDefault="000B300C" w:rsidP="000B300C">
      <w:pPr>
        <w:spacing w:after="0" w:line="240" w:lineRule="auto"/>
        <w:jc w:val="center"/>
        <w:rPr>
          <w:rFonts w:ascii="Times New Roman" w:eastAsia="Calibri" w:hAnsi="Times New Roman" w:cs="Times New Roman"/>
          <w:b/>
          <w:sz w:val="24"/>
          <w:szCs w:val="24"/>
          <w:u w:val="single"/>
        </w:rPr>
      </w:pPr>
      <w:r w:rsidRPr="000B300C">
        <w:rPr>
          <w:rFonts w:ascii="Times New Roman" w:eastAsia="Calibri" w:hAnsi="Times New Roman" w:cs="Times New Roman"/>
          <w:b/>
          <w:sz w:val="24"/>
          <w:szCs w:val="24"/>
          <w:u w:val="single"/>
        </w:rPr>
        <w:t xml:space="preserve">RULING ON </w:t>
      </w:r>
      <w:r w:rsidR="0077613A">
        <w:rPr>
          <w:rFonts w:ascii="Times New Roman" w:eastAsia="Calibri" w:hAnsi="Times New Roman" w:cs="Times New Roman"/>
          <w:b/>
          <w:sz w:val="24"/>
          <w:szCs w:val="24"/>
          <w:u w:val="single"/>
        </w:rPr>
        <w:t>LEXINGTON</w:t>
      </w:r>
      <w:r>
        <w:rPr>
          <w:rFonts w:ascii="Times New Roman" w:eastAsia="Calibri" w:hAnsi="Times New Roman" w:cs="Times New Roman"/>
          <w:b/>
          <w:sz w:val="24"/>
          <w:szCs w:val="24"/>
          <w:u w:val="single"/>
        </w:rPr>
        <w:t xml:space="preserve"> </w:t>
      </w:r>
      <w:r w:rsidRPr="000B300C">
        <w:rPr>
          <w:rFonts w:ascii="Times New Roman" w:eastAsia="Calibri" w:hAnsi="Times New Roman" w:cs="Times New Roman"/>
          <w:b/>
          <w:sz w:val="24"/>
          <w:szCs w:val="24"/>
          <w:u w:val="single"/>
        </w:rPr>
        <w:t>PUBLIC SCHOOLS</w:t>
      </w:r>
      <w:r w:rsidR="00C01B01">
        <w:rPr>
          <w:rFonts w:ascii="Times New Roman" w:eastAsia="Calibri" w:hAnsi="Times New Roman" w:cs="Times New Roman"/>
          <w:b/>
          <w:sz w:val="24"/>
          <w:szCs w:val="24"/>
          <w:u w:val="single"/>
        </w:rPr>
        <w:t>’</w:t>
      </w:r>
      <w:r w:rsidRPr="000B300C">
        <w:rPr>
          <w:rFonts w:ascii="Times New Roman" w:eastAsia="Calibri" w:hAnsi="Times New Roman" w:cs="Times New Roman"/>
          <w:b/>
          <w:sz w:val="24"/>
          <w:szCs w:val="24"/>
          <w:u w:val="single"/>
        </w:rPr>
        <w:t xml:space="preserve"> MOTION TO JOIN THE DEPARMENT OF </w:t>
      </w:r>
      <w:r w:rsidR="0077613A">
        <w:rPr>
          <w:rFonts w:ascii="Times New Roman" w:eastAsia="Calibri" w:hAnsi="Times New Roman" w:cs="Times New Roman"/>
          <w:b/>
          <w:sz w:val="24"/>
          <w:szCs w:val="24"/>
          <w:u w:val="single"/>
        </w:rPr>
        <w:t>CHILDREN AND FAMILIES</w:t>
      </w:r>
    </w:p>
    <w:p w14:paraId="29E8C908" w14:textId="62750827" w:rsidR="00F97A17" w:rsidRDefault="00F97A17" w:rsidP="000B300C">
      <w:pPr>
        <w:spacing w:after="0" w:line="240" w:lineRule="auto"/>
        <w:jc w:val="center"/>
        <w:rPr>
          <w:rFonts w:ascii="Times New Roman" w:eastAsia="Calibri" w:hAnsi="Times New Roman" w:cs="Times New Roman"/>
          <w:b/>
          <w:sz w:val="24"/>
          <w:szCs w:val="24"/>
          <w:u w:val="single"/>
        </w:rPr>
      </w:pPr>
    </w:p>
    <w:p w14:paraId="1F87B747" w14:textId="7D47B1CE" w:rsidR="00F97A17" w:rsidRDefault="00F97A17" w:rsidP="00F97A17">
      <w:pPr>
        <w:pStyle w:val="BodyText2"/>
      </w:pPr>
      <w:r>
        <w:tab/>
      </w:r>
      <w:r w:rsidRPr="00F97A17">
        <w:t xml:space="preserve">This matter comes before the Hearing Officer on </w:t>
      </w:r>
      <w:r w:rsidR="00C70A9A">
        <w:t>the</w:t>
      </w:r>
      <w:r w:rsidRPr="00F97A17">
        <w:t xml:space="preserve"> </w:t>
      </w:r>
      <w:r w:rsidR="006C467F" w:rsidRPr="006C467F">
        <w:rPr>
          <w:i/>
          <w:iCs/>
        </w:rPr>
        <w:t>Motion to Join</w:t>
      </w:r>
      <w:r w:rsidR="00C70A9A">
        <w:rPr>
          <w:i/>
          <w:iCs/>
        </w:rPr>
        <w:t xml:space="preserve"> the Department of Children and Families</w:t>
      </w:r>
      <w:r w:rsidRPr="00F97A17">
        <w:t xml:space="preserve"> filed by </w:t>
      </w:r>
      <w:r w:rsidR="00C70A9A">
        <w:t xml:space="preserve">the </w:t>
      </w:r>
      <w:r w:rsidR="006C467F">
        <w:t>Lexington</w:t>
      </w:r>
      <w:r w:rsidRPr="00F97A17">
        <w:t xml:space="preserve"> Public Schools </w:t>
      </w:r>
      <w:r w:rsidR="00C70A9A">
        <w:t xml:space="preserve">(Lexington, or the District) </w:t>
      </w:r>
      <w:r w:rsidRPr="00F97A17">
        <w:t>in a</w:t>
      </w:r>
      <w:r w:rsidR="0068476E">
        <w:t xml:space="preserve"> </w:t>
      </w:r>
      <w:r w:rsidRPr="00F97A17">
        <w:t xml:space="preserve">matter pending before the Bureau of Special Education Appeals (BSEA). </w:t>
      </w:r>
      <w:r w:rsidR="00C01B01">
        <w:t xml:space="preserve">On January 25, 2022, Parents </w:t>
      </w:r>
      <w:r w:rsidRPr="00F97A17">
        <w:t xml:space="preserve">filed a </w:t>
      </w:r>
      <w:r w:rsidRPr="0068476E">
        <w:rPr>
          <w:i/>
          <w:iCs/>
        </w:rPr>
        <w:t>Hearing Request</w:t>
      </w:r>
      <w:r w:rsidRPr="00F97A17">
        <w:t xml:space="preserve"> against </w:t>
      </w:r>
      <w:r w:rsidR="00B93286">
        <w:t>Lexington</w:t>
      </w:r>
      <w:r w:rsidRPr="00F97A17">
        <w:t xml:space="preserve"> </w:t>
      </w:r>
      <w:r w:rsidR="00C01B01">
        <w:t>seeking a</w:t>
      </w:r>
      <w:r w:rsidR="00B05529">
        <w:t>n extended evaluation in</w:t>
      </w:r>
      <w:r w:rsidR="00F63C57">
        <w:t xml:space="preserve"> a</w:t>
      </w:r>
      <w:r w:rsidR="00B05529">
        <w:t xml:space="preserve"> therapeutic residential school;</w:t>
      </w:r>
      <w:r w:rsidR="00C01B01">
        <w:t xml:space="preserve"> </w:t>
      </w:r>
      <w:r w:rsidR="00B05529">
        <w:t xml:space="preserve">compensatory services for the District’s failure to provide the special education services and placement for </w:t>
      </w:r>
      <w:proofErr w:type="spellStart"/>
      <w:r w:rsidR="00B05529">
        <w:t>Xili</w:t>
      </w:r>
      <w:proofErr w:type="spellEnd"/>
      <w:r w:rsidR="00B05529">
        <w:t xml:space="preserve"> to make effective progress since January 26, 2020; and attorney’s fees. According to Parents, </w:t>
      </w:r>
      <w:proofErr w:type="spellStart"/>
      <w:r w:rsidR="00B05529">
        <w:t>Xili</w:t>
      </w:r>
      <w:proofErr w:type="spellEnd"/>
      <w:r w:rsidR="00B05529">
        <w:t xml:space="preserve"> has received extensive services</w:t>
      </w:r>
      <w:r w:rsidR="00C9101E">
        <w:t xml:space="preserve"> pursuant to an Individualized Education Program (IEP) for</w:t>
      </w:r>
      <w:r w:rsidR="00B05529">
        <w:t xml:space="preserve"> an emotional disability for more than two years, but his emotional needs and oppositional behaviors have increased</w:t>
      </w:r>
      <w:r w:rsidR="00002804">
        <w:t xml:space="preserve">, such that Lexington is not providing him with a free appropriate public education (FAPE). </w:t>
      </w:r>
      <w:r w:rsidR="00F66064">
        <w:t>On December 16, 2021, Parents</w:t>
      </w:r>
      <w:r w:rsidR="00002804">
        <w:t xml:space="preserve"> </w:t>
      </w:r>
      <w:r w:rsidR="00F66064">
        <w:t xml:space="preserve">partially </w:t>
      </w:r>
      <w:r w:rsidR="00002804">
        <w:t xml:space="preserve">rejected the IEP proposed by Lexington for the period from November 30, 2021 to November 29, 2022, which would have continued his current inclusion placement in </w:t>
      </w:r>
      <w:r w:rsidR="00DD095E">
        <w:t xml:space="preserve">the Therapeutic </w:t>
      </w:r>
      <w:r w:rsidR="0077613A">
        <w:t>Learning Program (TLP) at Lexington High School</w:t>
      </w:r>
      <w:r w:rsidR="00DD095E">
        <w:t>.</w:t>
      </w:r>
      <w:r w:rsidR="00F66064">
        <w:t xml:space="preserve"> They seek an assessment within a “high ratio 24/7 therapeutic milieu which includes a college preparatory curriculum.”</w:t>
      </w:r>
    </w:p>
    <w:p w14:paraId="79FC0A3C" w14:textId="55219E46" w:rsidR="00F66064" w:rsidRDefault="00F66064" w:rsidP="00F97A17">
      <w:pPr>
        <w:pStyle w:val="BodyText2"/>
      </w:pPr>
    </w:p>
    <w:p w14:paraId="3B7AC543" w14:textId="43757F75" w:rsidR="00C01B01" w:rsidRPr="005074DE" w:rsidRDefault="00F66064" w:rsidP="00F66064">
      <w:pPr>
        <w:pStyle w:val="BodyText2"/>
        <w:ind w:firstLine="720"/>
      </w:pPr>
      <w:r>
        <w:t>On February 11, 2022, Lexin</w:t>
      </w:r>
      <w:r w:rsidR="005074DE">
        <w:t xml:space="preserve">gton filed its </w:t>
      </w:r>
      <w:r w:rsidR="005074DE">
        <w:rPr>
          <w:i/>
          <w:iCs/>
        </w:rPr>
        <w:t>Response</w:t>
      </w:r>
      <w:r w:rsidR="005074DE">
        <w:t xml:space="preserve"> to Parents’ </w:t>
      </w:r>
      <w:r w:rsidR="005074DE">
        <w:rPr>
          <w:i/>
          <w:iCs/>
        </w:rPr>
        <w:t>Hearing Request</w:t>
      </w:r>
      <w:r w:rsidR="005074DE">
        <w:t xml:space="preserve">, asserting that Parents had accepted </w:t>
      </w:r>
      <w:proofErr w:type="spellStart"/>
      <w:r w:rsidR="005074DE">
        <w:t>Xili’s</w:t>
      </w:r>
      <w:proofErr w:type="spellEnd"/>
      <w:r w:rsidR="005074DE">
        <w:t xml:space="preserve"> IEPs and placements in full until November 2021; that a residential setting would be too restrictive for </w:t>
      </w:r>
      <w:proofErr w:type="spellStart"/>
      <w:r w:rsidR="005074DE">
        <w:t>Xili</w:t>
      </w:r>
      <w:proofErr w:type="spellEnd"/>
      <w:r w:rsidR="005074DE">
        <w:t xml:space="preserve">; and that its February 3, 2022 proposals for an extended evaluation in a day placement and a </w:t>
      </w:r>
      <w:r w:rsidR="00E93C8B">
        <w:t>h</w:t>
      </w:r>
      <w:r w:rsidR="005074DE">
        <w:t xml:space="preserve">ome </w:t>
      </w:r>
      <w:r w:rsidR="00E93C8B">
        <w:t>a</w:t>
      </w:r>
      <w:r w:rsidR="005074DE">
        <w:t xml:space="preserve">ssessment are appropriate for </w:t>
      </w:r>
      <w:proofErr w:type="spellStart"/>
      <w:r w:rsidR="005074DE">
        <w:t>Xili</w:t>
      </w:r>
      <w:proofErr w:type="spellEnd"/>
      <w:r w:rsidR="005074DE">
        <w:t>.</w:t>
      </w:r>
    </w:p>
    <w:p w14:paraId="2F826ACD" w14:textId="77777777" w:rsidR="00F97A17" w:rsidRDefault="00F97A17" w:rsidP="00F97A17">
      <w:pPr>
        <w:spacing w:after="0" w:line="240" w:lineRule="auto"/>
        <w:rPr>
          <w:rFonts w:ascii="Times New Roman" w:eastAsia="Calibri" w:hAnsi="Times New Roman" w:cs="Times New Roman"/>
          <w:bCs/>
          <w:sz w:val="24"/>
          <w:szCs w:val="24"/>
        </w:rPr>
      </w:pPr>
    </w:p>
    <w:p w14:paraId="45F3EB48" w14:textId="427D187B" w:rsidR="00D7621E" w:rsidRDefault="00F97A17" w:rsidP="00F97A1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1F7C6D">
        <w:rPr>
          <w:rFonts w:ascii="Times New Roman" w:eastAsia="Calibri" w:hAnsi="Times New Roman" w:cs="Times New Roman"/>
          <w:bCs/>
          <w:sz w:val="24"/>
          <w:szCs w:val="24"/>
        </w:rPr>
        <w:t xml:space="preserve">On March 4, 2022, </w:t>
      </w:r>
      <w:r w:rsidR="00B93286">
        <w:rPr>
          <w:rFonts w:ascii="Times New Roman" w:eastAsia="Calibri" w:hAnsi="Times New Roman" w:cs="Times New Roman"/>
          <w:bCs/>
          <w:sz w:val="24"/>
          <w:szCs w:val="24"/>
        </w:rPr>
        <w:t>Lexington</w:t>
      </w:r>
      <w:r w:rsidRPr="00F97A17">
        <w:rPr>
          <w:rFonts w:ascii="Times New Roman" w:eastAsia="Calibri" w:hAnsi="Times New Roman" w:cs="Times New Roman"/>
          <w:bCs/>
          <w:sz w:val="24"/>
          <w:szCs w:val="24"/>
        </w:rPr>
        <w:t xml:space="preserve"> </w:t>
      </w:r>
      <w:r w:rsidR="005074DE">
        <w:rPr>
          <w:rFonts w:ascii="Times New Roman" w:eastAsia="Calibri" w:hAnsi="Times New Roman" w:cs="Times New Roman"/>
          <w:bCs/>
          <w:sz w:val="24"/>
          <w:szCs w:val="24"/>
        </w:rPr>
        <w:t xml:space="preserve">filed the instant </w:t>
      </w:r>
      <w:r w:rsidR="005074DE">
        <w:rPr>
          <w:rFonts w:ascii="Times New Roman" w:eastAsia="Calibri" w:hAnsi="Times New Roman" w:cs="Times New Roman"/>
          <w:bCs/>
          <w:i/>
          <w:iCs/>
          <w:sz w:val="24"/>
          <w:szCs w:val="24"/>
        </w:rPr>
        <w:t>Motion to Join</w:t>
      </w:r>
      <w:r w:rsidR="00547EA6">
        <w:rPr>
          <w:rFonts w:ascii="Times New Roman" w:eastAsia="Calibri" w:hAnsi="Times New Roman" w:cs="Times New Roman"/>
          <w:bCs/>
          <w:sz w:val="24"/>
          <w:szCs w:val="24"/>
        </w:rPr>
        <w:t xml:space="preserve">, asserting that DCF is a necessary party. Although the District contends that </w:t>
      </w:r>
      <w:proofErr w:type="spellStart"/>
      <w:r w:rsidR="00547EA6">
        <w:rPr>
          <w:rFonts w:ascii="Times New Roman" w:eastAsia="Calibri" w:hAnsi="Times New Roman" w:cs="Times New Roman"/>
          <w:bCs/>
          <w:sz w:val="24"/>
          <w:szCs w:val="24"/>
        </w:rPr>
        <w:t>Xili</w:t>
      </w:r>
      <w:proofErr w:type="spellEnd"/>
      <w:r w:rsidR="00547EA6">
        <w:rPr>
          <w:rFonts w:ascii="Times New Roman" w:eastAsia="Calibri" w:hAnsi="Times New Roman" w:cs="Times New Roman"/>
          <w:bCs/>
          <w:sz w:val="24"/>
          <w:szCs w:val="24"/>
        </w:rPr>
        <w:t xml:space="preserve"> does not need a residential therapeutic assessment, to the extent the Hearing Officer disagrees,</w:t>
      </w:r>
      <w:r w:rsidR="00000B9D">
        <w:rPr>
          <w:rFonts w:ascii="Times New Roman" w:eastAsia="Calibri" w:hAnsi="Times New Roman" w:cs="Times New Roman"/>
          <w:bCs/>
          <w:sz w:val="24"/>
          <w:szCs w:val="24"/>
        </w:rPr>
        <w:t xml:space="preserve"> Lexington asserts,</w:t>
      </w:r>
      <w:r w:rsidR="00547EA6">
        <w:rPr>
          <w:rFonts w:ascii="Times New Roman" w:eastAsia="Calibri" w:hAnsi="Times New Roman" w:cs="Times New Roman"/>
          <w:bCs/>
          <w:sz w:val="24"/>
          <w:szCs w:val="24"/>
        </w:rPr>
        <w:t xml:space="preserve"> the residential aspect of that assessment would be for non-educational reasons, and therefore would not be Lexington’s responsibility. Because DCF had custody of </w:t>
      </w:r>
      <w:proofErr w:type="spellStart"/>
      <w:r w:rsidR="00547EA6">
        <w:rPr>
          <w:rFonts w:ascii="Times New Roman" w:eastAsia="Calibri" w:hAnsi="Times New Roman" w:cs="Times New Roman"/>
          <w:bCs/>
          <w:sz w:val="24"/>
          <w:szCs w:val="24"/>
        </w:rPr>
        <w:t>Xili</w:t>
      </w:r>
      <w:proofErr w:type="spellEnd"/>
      <w:r w:rsidR="00547EA6">
        <w:rPr>
          <w:rFonts w:ascii="Times New Roman" w:eastAsia="Calibri" w:hAnsi="Times New Roman" w:cs="Times New Roman"/>
          <w:bCs/>
          <w:sz w:val="24"/>
          <w:szCs w:val="24"/>
        </w:rPr>
        <w:t xml:space="preserve"> for some time and maintains an open case, and because </w:t>
      </w:r>
      <w:proofErr w:type="spellStart"/>
      <w:r w:rsidR="00547EA6">
        <w:rPr>
          <w:rFonts w:ascii="Times New Roman" w:eastAsia="Calibri" w:hAnsi="Times New Roman" w:cs="Times New Roman"/>
          <w:bCs/>
          <w:sz w:val="24"/>
          <w:szCs w:val="24"/>
        </w:rPr>
        <w:t>Xili</w:t>
      </w:r>
      <w:proofErr w:type="spellEnd"/>
      <w:r w:rsidR="00547EA6">
        <w:rPr>
          <w:rFonts w:ascii="Times New Roman" w:eastAsia="Calibri" w:hAnsi="Times New Roman" w:cs="Times New Roman"/>
          <w:bCs/>
          <w:sz w:val="24"/>
          <w:szCs w:val="24"/>
        </w:rPr>
        <w:t xml:space="preserve"> remains eligible for DCF services, </w:t>
      </w:r>
      <w:r w:rsidR="00684935">
        <w:rPr>
          <w:rFonts w:ascii="Times New Roman" w:eastAsia="Calibri" w:hAnsi="Times New Roman" w:cs="Times New Roman"/>
          <w:bCs/>
          <w:sz w:val="24"/>
          <w:szCs w:val="24"/>
        </w:rPr>
        <w:t xml:space="preserve">the District argues that </w:t>
      </w:r>
      <w:r w:rsidR="00547EA6">
        <w:rPr>
          <w:rFonts w:ascii="Times New Roman" w:eastAsia="Calibri" w:hAnsi="Times New Roman" w:cs="Times New Roman"/>
          <w:bCs/>
          <w:sz w:val="24"/>
          <w:szCs w:val="24"/>
        </w:rPr>
        <w:t xml:space="preserve">I might find that DCF is the appropriate entity to fund the residential portion of a residential therapeutic assessment. Moreover, </w:t>
      </w:r>
      <w:r w:rsidR="00A158FA">
        <w:rPr>
          <w:rFonts w:ascii="Times New Roman" w:eastAsia="Calibri" w:hAnsi="Times New Roman" w:cs="Times New Roman"/>
          <w:bCs/>
          <w:sz w:val="24"/>
          <w:szCs w:val="24"/>
        </w:rPr>
        <w:t xml:space="preserve">even if I agree with Lexington that a residential assessment is not necessary, I might find that additional home-based services are necessary for </w:t>
      </w:r>
      <w:proofErr w:type="spellStart"/>
      <w:r w:rsidR="00A158FA">
        <w:rPr>
          <w:rFonts w:ascii="Times New Roman" w:eastAsia="Calibri" w:hAnsi="Times New Roman" w:cs="Times New Roman"/>
          <w:bCs/>
          <w:sz w:val="24"/>
          <w:szCs w:val="24"/>
        </w:rPr>
        <w:t>Xili</w:t>
      </w:r>
      <w:proofErr w:type="spellEnd"/>
      <w:r w:rsidR="00A158FA">
        <w:rPr>
          <w:rFonts w:ascii="Times New Roman" w:eastAsia="Calibri" w:hAnsi="Times New Roman" w:cs="Times New Roman"/>
          <w:bCs/>
          <w:sz w:val="24"/>
          <w:szCs w:val="24"/>
        </w:rPr>
        <w:t xml:space="preserve"> to receive a FAPE, and that those services should be provided by DCF.</w:t>
      </w:r>
    </w:p>
    <w:p w14:paraId="54210F35" w14:textId="77777777" w:rsidR="00D7621E" w:rsidRDefault="00D7621E" w:rsidP="00F97A17">
      <w:pPr>
        <w:spacing w:after="0" w:line="240" w:lineRule="auto"/>
        <w:rPr>
          <w:rFonts w:ascii="Times New Roman" w:eastAsia="Calibri" w:hAnsi="Times New Roman" w:cs="Times New Roman"/>
          <w:bCs/>
          <w:sz w:val="24"/>
          <w:szCs w:val="24"/>
        </w:rPr>
      </w:pPr>
    </w:p>
    <w:p w14:paraId="3B6664C5" w14:textId="303D97C3" w:rsidR="00A158FA" w:rsidRDefault="00A158FA" w:rsidP="00D7621E">
      <w:pPr>
        <w:spacing w:after="0" w:line="24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Parents filed a </w:t>
      </w:r>
      <w:r>
        <w:rPr>
          <w:rFonts w:ascii="Times New Roman" w:eastAsia="Calibri" w:hAnsi="Times New Roman" w:cs="Times New Roman"/>
          <w:bCs/>
          <w:i/>
          <w:iCs/>
          <w:sz w:val="24"/>
          <w:szCs w:val="24"/>
        </w:rPr>
        <w:t>Response</w:t>
      </w:r>
      <w:r>
        <w:rPr>
          <w:rFonts w:ascii="Times New Roman" w:eastAsia="Calibri" w:hAnsi="Times New Roman" w:cs="Times New Roman"/>
          <w:bCs/>
          <w:sz w:val="24"/>
          <w:szCs w:val="24"/>
        </w:rPr>
        <w:t xml:space="preserve"> to Lexington’s </w:t>
      </w:r>
      <w:r>
        <w:rPr>
          <w:rFonts w:ascii="Times New Roman" w:eastAsia="Calibri" w:hAnsi="Times New Roman" w:cs="Times New Roman"/>
          <w:bCs/>
          <w:i/>
          <w:iCs/>
          <w:sz w:val="24"/>
          <w:szCs w:val="24"/>
        </w:rPr>
        <w:t>Motion to Join</w:t>
      </w:r>
      <w:r>
        <w:rPr>
          <w:rFonts w:ascii="Times New Roman" w:eastAsia="Calibri" w:hAnsi="Times New Roman" w:cs="Times New Roman"/>
          <w:bCs/>
          <w:sz w:val="24"/>
          <w:szCs w:val="24"/>
        </w:rPr>
        <w:t xml:space="preserve"> on March 9, 2022. They neither opposed nor supported the </w:t>
      </w:r>
      <w:r w:rsidR="00C9101E">
        <w:rPr>
          <w:rFonts w:ascii="Times New Roman" w:eastAsia="Calibri" w:hAnsi="Times New Roman" w:cs="Times New Roman"/>
          <w:bCs/>
          <w:i/>
          <w:iCs/>
          <w:sz w:val="24"/>
          <w:szCs w:val="24"/>
        </w:rPr>
        <w:t>Motion</w:t>
      </w:r>
      <w:r>
        <w:rPr>
          <w:rFonts w:ascii="Times New Roman" w:eastAsia="Calibri" w:hAnsi="Times New Roman" w:cs="Times New Roman"/>
          <w:bCs/>
          <w:sz w:val="24"/>
          <w:szCs w:val="24"/>
        </w:rPr>
        <w:t xml:space="preserve">, but reiterated their position that </w:t>
      </w:r>
      <w:proofErr w:type="spellStart"/>
      <w:r>
        <w:rPr>
          <w:rFonts w:ascii="Times New Roman" w:eastAsia="Calibri" w:hAnsi="Times New Roman" w:cs="Times New Roman"/>
          <w:bCs/>
          <w:sz w:val="24"/>
          <w:szCs w:val="24"/>
        </w:rPr>
        <w:t>Xili’s</w:t>
      </w:r>
      <w:proofErr w:type="spellEnd"/>
      <w:r>
        <w:rPr>
          <w:rFonts w:ascii="Times New Roman" w:eastAsia="Calibri" w:hAnsi="Times New Roman" w:cs="Times New Roman"/>
          <w:bCs/>
          <w:sz w:val="24"/>
          <w:szCs w:val="24"/>
        </w:rPr>
        <w:t xml:space="preserve"> social/emotional and behavioral needs are inextricably entwined.</w:t>
      </w:r>
    </w:p>
    <w:p w14:paraId="2F8A36E6" w14:textId="6468F47D" w:rsidR="00A158FA" w:rsidRDefault="00A158FA" w:rsidP="00F97A17">
      <w:pPr>
        <w:spacing w:after="0" w:line="240" w:lineRule="auto"/>
        <w:rPr>
          <w:rFonts w:ascii="Times New Roman" w:eastAsia="Calibri" w:hAnsi="Times New Roman" w:cs="Times New Roman"/>
          <w:bCs/>
          <w:sz w:val="24"/>
          <w:szCs w:val="24"/>
        </w:rPr>
      </w:pPr>
    </w:p>
    <w:p w14:paraId="29783E92" w14:textId="357C67D6" w:rsidR="00A158FA" w:rsidRPr="00FD47A2" w:rsidRDefault="00A158FA" w:rsidP="00F97A1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DCF </w:t>
      </w:r>
      <w:r w:rsidR="00F31B65">
        <w:rPr>
          <w:rFonts w:ascii="Times New Roman" w:eastAsia="Calibri" w:hAnsi="Times New Roman" w:cs="Times New Roman"/>
          <w:bCs/>
          <w:sz w:val="24"/>
          <w:szCs w:val="24"/>
        </w:rPr>
        <w:t>did not file a</w:t>
      </w:r>
      <w:r w:rsidR="00FD47A2">
        <w:rPr>
          <w:rFonts w:ascii="Times New Roman" w:eastAsia="Calibri" w:hAnsi="Times New Roman" w:cs="Times New Roman"/>
          <w:bCs/>
          <w:sz w:val="24"/>
          <w:szCs w:val="24"/>
        </w:rPr>
        <w:t xml:space="preserve">ny document in response to the </w:t>
      </w:r>
      <w:r w:rsidR="00FD47A2" w:rsidRPr="00FD47A2">
        <w:rPr>
          <w:rFonts w:ascii="Times New Roman" w:eastAsia="Calibri" w:hAnsi="Times New Roman" w:cs="Times New Roman"/>
          <w:bCs/>
          <w:i/>
          <w:iCs/>
          <w:sz w:val="24"/>
          <w:szCs w:val="24"/>
        </w:rPr>
        <w:t>Motion</w:t>
      </w:r>
      <w:r w:rsidR="00FD47A2">
        <w:rPr>
          <w:rFonts w:ascii="Times New Roman" w:eastAsia="Calibri" w:hAnsi="Times New Roman" w:cs="Times New Roman"/>
          <w:bCs/>
          <w:sz w:val="24"/>
          <w:szCs w:val="24"/>
        </w:rPr>
        <w:t>, although Lexington properly served the agency.</w:t>
      </w:r>
    </w:p>
    <w:p w14:paraId="728B62C9" w14:textId="6859A8A9" w:rsidR="00E375B7" w:rsidRDefault="00E375B7" w:rsidP="00F97A17">
      <w:pPr>
        <w:spacing w:after="0" w:line="240" w:lineRule="auto"/>
        <w:rPr>
          <w:rFonts w:ascii="Times New Roman" w:eastAsia="Calibri" w:hAnsi="Times New Roman" w:cs="Times New Roman"/>
          <w:bCs/>
          <w:i/>
          <w:iCs/>
          <w:sz w:val="24"/>
          <w:szCs w:val="24"/>
        </w:rPr>
      </w:pPr>
    </w:p>
    <w:p w14:paraId="52A84E1C" w14:textId="0D2CDA5A" w:rsidR="00E375B7" w:rsidRPr="00E375B7" w:rsidRDefault="00E375B7" w:rsidP="00F97A1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
          <w:iCs/>
          <w:sz w:val="24"/>
          <w:szCs w:val="24"/>
        </w:rPr>
        <w:tab/>
      </w:r>
      <w:r w:rsidR="00FD47A2">
        <w:rPr>
          <w:rFonts w:ascii="Times New Roman" w:eastAsia="Calibri" w:hAnsi="Times New Roman" w:cs="Times New Roman"/>
          <w:bCs/>
          <w:sz w:val="24"/>
          <w:szCs w:val="24"/>
        </w:rPr>
        <w:t xml:space="preserve">Although the Hearing was initially scheduled for March 1, 2022, Parents filed an </w:t>
      </w:r>
      <w:r>
        <w:rPr>
          <w:rFonts w:ascii="Times New Roman" w:eastAsia="Calibri" w:hAnsi="Times New Roman" w:cs="Times New Roman"/>
          <w:bCs/>
          <w:sz w:val="24"/>
          <w:szCs w:val="24"/>
        </w:rPr>
        <w:t>assented-to request</w:t>
      </w:r>
      <w:r w:rsidR="00FD47A2">
        <w:rPr>
          <w:rFonts w:ascii="Times New Roman" w:eastAsia="Calibri" w:hAnsi="Times New Roman" w:cs="Times New Roman"/>
          <w:bCs/>
          <w:sz w:val="24"/>
          <w:szCs w:val="24"/>
        </w:rPr>
        <w:t xml:space="preserve"> for postponement on </w:t>
      </w:r>
      <w:r>
        <w:rPr>
          <w:rFonts w:ascii="Times New Roman" w:eastAsia="Calibri" w:hAnsi="Times New Roman" w:cs="Times New Roman"/>
          <w:bCs/>
          <w:sz w:val="24"/>
          <w:szCs w:val="24"/>
        </w:rPr>
        <w:t>February 14, 2022</w:t>
      </w:r>
      <w:r w:rsidR="00FD47A2">
        <w:rPr>
          <w:rFonts w:ascii="Times New Roman" w:eastAsia="Calibri" w:hAnsi="Times New Roman" w:cs="Times New Roman"/>
          <w:bCs/>
          <w:sz w:val="24"/>
          <w:szCs w:val="24"/>
        </w:rPr>
        <w:t xml:space="preserve">, and </w:t>
      </w:r>
      <w:r w:rsidR="00684935">
        <w:rPr>
          <w:rFonts w:ascii="Times New Roman" w:eastAsia="Calibri" w:hAnsi="Times New Roman" w:cs="Times New Roman"/>
          <w:bCs/>
          <w:sz w:val="24"/>
          <w:szCs w:val="24"/>
        </w:rPr>
        <w:t>the Hearing</w:t>
      </w:r>
      <w:r>
        <w:rPr>
          <w:rFonts w:ascii="Times New Roman" w:eastAsia="Calibri" w:hAnsi="Times New Roman" w:cs="Times New Roman"/>
          <w:bCs/>
          <w:sz w:val="24"/>
          <w:szCs w:val="24"/>
        </w:rPr>
        <w:t xml:space="preserve"> was postponed for good cause to May 4, 2022 to permit the parties to work together toward resolution.</w:t>
      </w:r>
    </w:p>
    <w:p w14:paraId="4BB2D3DD" w14:textId="77777777" w:rsidR="005074DE" w:rsidRDefault="005074DE" w:rsidP="00F97A17">
      <w:pPr>
        <w:spacing w:after="0" w:line="240" w:lineRule="auto"/>
        <w:rPr>
          <w:rFonts w:ascii="Times New Roman" w:eastAsia="Calibri" w:hAnsi="Times New Roman" w:cs="Times New Roman"/>
          <w:bCs/>
          <w:sz w:val="24"/>
          <w:szCs w:val="24"/>
        </w:rPr>
      </w:pPr>
    </w:p>
    <w:p w14:paraId="06E8CC31" w14:textId="24C38B1A" w:rsidR="00F97A17" w:rsidRPr="00D7621E" w:rsidRDefault="00F31B65" w:rsidP="00D7621E">
      <w:pPr>
        <w:pStyle w:val="NoSpacing"/>
        <w:rPr>
          <w:rFonts w:ascii="Times New Roman" w:hAnsi="Times New Roman"/>
          <w:sz w:val="24"/>
          <w:szCs w:val="24"/>
        </w:rPr>
      </w:pPr>
      <w:r>
        <w:rPr>
          <w:b/>
          <w:bCs/>
        </w:rPr>
        <w:tab/>
      </w:r>
      <w:r>
        <w:rPr>
          <w:rFonts w:ascii="Times New Roman" w:hAnsi="Times New Roman"/>
          <w:sz w:val="24"/>
          <w:szCs w:val="24"/>
        </w:rPr>
        <w:t xml:space="preserve">As no party has requested a hearing on the </w:t>
      </w:r>
      <w:r w:rsidRPr="00F31B65">
        <w:rPr>
          <w:rFonts w:ascii="Times New Roman" w:hAnsi="Times New Roman"/>
          <w:i/>
          <w:iCs/>
          <w:sz w:val="24"/>
          <w:szCs w:val="24"/>
        </w:rPr>
        <w:t>Motion</w:t>
      </w:r>
      <w:r>
        <w:rPr>
          <w:rFonts w:ascii="Times New Roman" w:hAnsi="Times New Roman"/>
          <w:sz w:val="24"/>
          <w:szCs w:val="24"/>
        </w:rPr>
        <w:t xml:space="preserve">, and as neither testimony nor oral argument would advance the Hearing Officer’s understanding of the issues involved, this Ruling is being issued without a hearing pursuant to </w:t>
      </w:r>
      <w:r w:rsidRPr="0091339B">
        <w:rPr>
          <w:rFonts w:ascii="Times New Roman" w:hAnsi="Times New Roman"/>
          <w:i/>
          <w:sz w:val="24"/>
          <w:szCs w:val="24"/>
        </w:rPr>
        <w:t>B</w:t>
      </w:r>
      <w:r>
        <w:rPr>
          <w:rFonts w:ascii="Times New Roman" w:hAnsi="Times New Roman"/>
          <w:i/>
          <w:sz w:val="24"/>
          <w:szCs w:val="24"/>
        </w:rPr>
        <w:t xml:space="preserve">SEA </w:t>
      </w:r>
      <w:r w:rsidRPr="0091339B">
        <w:rPr>
          <w:rFonts w:ascii="Times New Roman" w:hAnsi="Times New Roman"/>
          <w:i/>
          <w:sz w:val="24"/>
          <w:szCs w:val="24"/>
        </w:rPr>
        <w:t>Hearing Rule VII(D)</w:t>
      </w:r>
      <w:r>
        <w:rPr>
          <w:rFonts w:ascii="Times New Roman" w:hAnsi="Times New Roman"/>
          <w:sz w:val="24"/>
          <w:szCs w:val="24"/>
        </w:rPr>
        <w:t xml:space="preserve">.  For the reasons set forth below, Lexington’s </w:t>
      </w:r>
      <w:r>
        <w:rPr>
          <w:rFonts w:ascii="Times New Roman" w:hAnsi="Times New Roman"/>
          <w:i/>
          <w:iCs/>
          <w:sz w:val="24"/>
          <w:szCs w:val="24"/>
        </w:rPr>
        <w:t xml:space="preserve">Motion to Join DCF </w:t>
      </w:r>
      <w:r>
        <w:rPr>
          <w:rFonts w:ascii="Times New Roman" w:hAnsi="Times New Roman"/>
          <w:sz w:val="24"/>
          <w:szCs w:val="24"/>
        </w:rPr>
        <w:t xml:space="preserve">is hereby ALLOWED. </w:t>
      </w:r>
    </w:p>
    <w:p w14:paraId="4D464D96" w14:textId="01EB8064" w:rsidR="00F97A17" w:rsidRDefault="00F97A17" w:rsidP="007F00D7">
      <w:pPr>
        <w:pStyle w:val="BodyText"/>
      </w:pPr>
      <w:r>
        <w:rPr>
          <w:b w:val="0"/>
          <w:bCs/>
          <w:u w:val="none"/>
        </w:rPr>
        <w:tab/>
      </w:r>
    </w:p>
    <w:p w14:paraId="0F373BC6" w14:textId="317366A1" w:rsidR="00F97A17" w:rsidRPr="00F97A17" w:rsidRDefault="00010BE1" w:rsidP="00F97A1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RELEVANT FACTUAL BACKGROUND</w:t>
      </w:r>
    </w:p>
    <w:p w14:paraId="54FCC590" w14:textId="77777777" w:rsidR="00F97A17" w:rsidRPr="00F97A17" w:rsidRDefault="00F97A17" w:rsidP="00F97A17">
      <w:pPr>
        <w:spacing w:after="0" w:line="240" w:lineRule="auto"/>
        <w:rPr>
          <w:rFonts w:ascii="Times New Roman" w:eastAsia="Calibri" w:hAnsi="Times New Roman" w:cs="Times New Roman"/>
          <w:sz w:val="24"/>
          <w:szCs w:val="24"/>
          <w:u w:val="single"/>
        </w:rPr>
      </w:pPr>
    </w:p>
    <w:p w14:paraId="6B64A005" w14:textId="4AD863FD" w:rsidR="004B7A7E" w:rsidRDefault="00F97A17" w:rsidP="00D7621E">
      <w:pPr>
        <w:spacing w:after="0" w:line="240" w:lineRule="auto"/>
        <w:ind w:firstLine="720"/>
        <w:rPr>
          <w:rFonts w:ascii="Times New Roman" w:eastAsia="Times New Roman" w:hAnsi="Times New Roman" w:cs="Times New Roman"/>
          <w:sz w:val="24"/>
          <w:szCs w:val="24"/>
        </w:rPr>
      </w:pPr>
      <w:r w:rsidRPr="00F97A17">
        <w:rPr>
          <w:rFonts w:ascii="Times New Roman" w:eastAsia="Times New Roman" w:hAnsi="Times New Roman" w:cs="Times New Roman"/>
          <w:sz w:val="24"/>
          <w:szCs w:val="24"/>
        </w:rPr>
        <w:t xml:space="preserve">The following facts are not in dispute and are taken as true for the purposes of this </w:t>
      </w:r>
      <w:r w:rsidR="00000B9D">
        <w:rPr>
          <w:rFonts w:ascii="Times New Roman" w:eastAsia="Times New Roman" w:hAnsi="Times New Roman" w:cs="Times New Roman"/>
          <w:i/>
          <w:sz w:val="24"/>
          <w:szCs w:val="24"/>
        </w:rPr>
        <w:t>Ruling</w:t>
      </w:r>
      <w:r w:rsidRPr="00F97A17">
        <w:rPr>
          <w:rFonts w:ascii="Times New Roman" w:eastAsia="Times New Roman" w:hAnsi="Times New Roman" w:cs="Times New Roman"/>
          <w:sz w:val="24"/>
          <w:szCs w:val="24"/>
        </w:rPr>
        <w:t>. These facts may be subject to revision in subsequent proceedings.</w:t>
      </w:r>
    </w:p>
    <w:p w14:paraId="6A80C982" w14:textId="77777777" w:rsidR="00D7621E" w:rsidRPr="00D7621E" w:rsidRDefault="00D7621E" w:rsidP="00D7621E">
      <w:pPr>
        <w:spacing w:after="0" w:line="240" w:lineRule="auto"/>
        <w:ind w:firstLine="720"/>
        <w:rPr>
          <w:rFonts w:ascii="Times New Roman" w:eastAsia="Times New Roman" w:hAnsi="Times New Roman" w:cs="Times New Roman"/>
          <w:sz w:val="24"/>
          <w:szCs w:val="24"/>
        </w:rPr>
      </w:pPr>
    </w:p>
    <w:p w14:paraId="51ACAEAC" w14:textId="06ADA123" w:rsidR="00F97A17" w:rsidRDefault="00B05529" w:rsidP="00010BE1">
      <w:pPr>
        <w:pStyle w:val="ListParagraph"/>
        <w:numPr>
          <w:ilvl w:val="0"/>
          <w:numId w:val="1"/>
        </w:numPr>
        <w:ind w:left="1440" w:hanging="720"/>
        <w:rPr>
          <w:rFonts w:ascii="Times New Roman" w:hAnsi="Times New Roman" w:cs="Times New Roman"/>
          <w:sz w:val="24"/>
          <w:szCs w:val="24"/>
        </w:rPr>
      </w:pPr>
      <w:proofErr w:type="spellStart"/>
      <w:r>
        <w:rPr>
          <w:rFonts w:ascii="Times New Roman" w:hAnsi="Times New Roman" w:cs="Times New Roman"/>
          <w:sz w:val="24"/>
          <w:szCs w:val="24"/>
        </w:rPr>
        <w:t>Xili</w:t>
      </w:r>
      <w:proofErr w:type="spellEnd"/>
      <w:r w:rsidR="00326AE6">
        <w:rPr>
          <w:rFonts w:ascii="Times New Roman" w:hAnsi="Times New Roman" w:cs="Times New Roman"/>
          <w:sz w:val="24"/>
          <w:szCs w:val="24"/>
        </w:rPr>
        <w:t xml:space="preserve"> is a seventeen-year-old </w:t>
      </w:r>
      <w:r>
        <w:rPr>
          <w:rFonts w:ascii="Times New Roman" w:hAnsi="Times New Roman" w:cs="Times New Roman"/>
          <w:sz w:val="24"/>
          <w:szCs w:val="24"/>
        </w:rPr>
        <w:t>eleventh grade student</w:t>
      </w:r>
      <w:r w:rsidR="00326AE6">
        <w:rPr>
          <w:rFonts w:ascii="Times New Roman" w:hAnsi="Times New Roman" w:cs="Times New Roman"/>
          <w:sz w:val="24"/>
          <w:szCs w:val="24"/>
        </w:rPr>
        <w:t xml:space="preserve"> </w:t>
      </w:r>
      <w:r>
        <w:rPr>
          <w:rFonts w:ascii="Times New Roman" w:hAnsi="Times New Roman" w:cs="Times New Roman"/>
          <w:sz w:val="24"/>
          <w:szCs w:val="24"/>
        </w:rPr>
        <w:t>currently placed in</w:t>
      </w:r>
      <w:r w:rsidR="00326AE6">
        <w:rPr>
          <w:rFonts w:ascii="Times New Roman" w:hAnsi="Times New Roman" w:cs="Times New Roman"/>
          <w:sz w:val="24"/>
          <w:szCs w:val="24"/>
        </w:rPr>
        <w:t xml:space="preserve"> </w:t>
      </w:r>
      <w:r w:rsidR="00FD47A2">
        <w:rPr>
          <w:rFonts w:ascii="Times New Roman" w:hAnsi="Times New Roman" w:cs="Times New Roman"/>
          <w:sz w:val="24"/>
          <w:szCs w:val="24"/>
        </w:rPr>
        <w:t xml:space="preserve">the TLP at </w:t>
      </w:r>
      <w:r w:rsidR="00326AE6">
        <w:rPr>
          <w:rFonts w:ascii="Times New Roman" w:hAnsi="Times New Roman" w:cs="Times New Roman"/>
          <w:sz w:val="24"/>
          <w:szCs w:val="24"/>
        </w:rPr>
        <w:t>Lexington High School</w:t>
      </w:r>
      <w:r>
        <w:rPr>
          <w:rFonts w:ascii="Times New Roman" w:hAnsi="Times New Roman" w:cs="Times New Roman"/>
          <w:sz w:val="24"/>
          <w:szCs w:val="24"/>
        </w:rPr>
        <w:t>.</w:t>
      </w:r>
      <w:r w:rsidR="007D767A">
        <w:rPr>
          <w:rFonts w:ascii="Times New Roman" w:hAnsi="Times New Roman" w:cs="Times New Roman"/>
          <w:sz w:val="24"/>
          <w:szCs w:val="24"/>
        </w:rPr>
        <w:t xml:space="preserve"> As described by Lexington, TLP offers a continuum of integrated academic and social/emotional supports for students. Most major content subject classes are taught collaboratively and/or co-taught by special education and general education teachers. Some content subject classes are delivered in small-group, self-contained settings, as needed. The program provides therapeutic supports during the day.</w:t>
      </w:r>
    </w:p>
    <w:p w14:paraId="1FB890E9" w14:textId="77777777" w:rsidR="00BE0758" w:rsidRDefault="00BE0758" w:rsidP="00BE0758">
      <w:pPr>
        <w:pStyle w:val="ListParagraph"/>
        <w:ind w:left="1440"/>
        <w:rPr>
          <w:rFonts w:ascii="Times New Roman" w:hAnsi="Times New Roman" w:cs="Times New Roman"/>
          <w:sz w:val="24"/>
          <w:szCs w:val="24"/>
        </w:rPr>
      </w:pPr>
    </w:p>
    <w:p w14:paraId="459E491F" w14:textId="55D99BE3" w:rsidR="00BE0758" w:rsidRPr="00000B9D" w:rsidRDefault="00BE0758" w:rsidP="00000B9D">
      <w:pPr>
        <w:pStyle w:val="ListParagraph"/>
        <w:numPr>
          <w:ilvl w:val="0"/>
          <w:numId w:val="1"/>
        </w:numPr>
        <w:ind w:left="1440" w:hanging="720"/>
        <w:rPr>
          <w:rFonts w:ascii="Times New Roman" w:hAnsi="Times New Roman" w:cs="Times New Roman"/>
          <w:sz w:val="24"/>
          <w:szCs w:val="24"/>
        </w:rPr>
      </w:pP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has been diagnosed with Attention Deficit Disorder, Disruptive Mood Dysregulation Disorder, and Oppositional Defiant Disorder. He tests in the cognitively gifted range but has a history of defiance, off-task behavior, school refusal, work avoidance, isolation, and technology addiction.</w:t>
      </w:r>
      <w:r w:rsidR="00000B9D">
        <w:rPr>
          <w:rFonts w:ascii="Times New Roman" w:hAnsi="Times New Roman" w:cs="Times New Roman"/>
          <w:sz w:val="24"/>
          <w:szCs w:val="24"/>
        </w:rPr>
        <w:t xml:space="preserve"> Parents report that over the years, they have battled with </w:t>
      </w:r>
      <w:proofErr w:type="spellStart"/>
      <w:r w:rsidR="00000B9D">
        <w:rPr>
          <w:rFonts w:ascii="Times New Roman" w:hAnsi="Times New Roman" w:cs="Times New Roman"/>
          <w:sz w:val="24"/>
          <w:szCs w:val="24"/>
        </w:rPr>
        <w:t>Xili</w:t>
      </w:r>
      <w:proofErr w:type="spellEnd"/>
      <w:r w:rsidR="00000B9D">
        <w:rPr>
          <w:rFonts w:ascii="Times New Roman" w:hAnsi="Times New Roman" w:cs="Times New Roman"/>
          <w:sz w:val="24"/>
          <w:szCs w:val="24"/>
        </w:rPr>
        <w:t xml:space="preserve"> over technology and limit-setting.</w:t>
      </w:r>
    </w:p>
    <w:p w14:paraId="26ADECF2" w14:textId="77777777" w:rsidR="00CF1767" w:rsidRDefault="00CF1767" w:rsidP="00CF1767">
      <w:pPr>
        <w:pStyle w:val="ListParagraph"/>
        <w:ind w:left="1440"/>
        <w:rPr>
          <w:rFonts w:ascii="Times New Roman" w:hAnsi="Times New Roman" w:cs="Times New Roman"/>
          <w:sz w:val="24"/>
          <w:szCs w:val="24"/>
        </w:rPr>
      </w:pPr>
    </w:p>
    <w:p w14:paraId="1DA4A217" w14:textId="52A91FF0" w:rsidR="00CF1767" w:rsidRDefault="00CF1767"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was in eight</w:t>
      </w:r>
      <w:r w:rsidR="00BE0758">
        <w:rPr>
          <w:rFonts w:ascii="Times New Roman" w:hAnsi="Times New Roman" w:cs="Times New Roman"/>
          <w:sz w:val="24"/>
          <w:szCs w:val="24"/>
        </w:rPr>
        <w:t>h</w:t>
      </w:r>
      <w:r>
        <w:rPr>
          <w:rFonts w:ascii="Times New Roman" w:hAnsi="Times New Roman" w:cs="Times New Roman"/>
          <w:sz w:val="24"/>
          <w:szCs w:val="24"/>
        </w:rPr>
        <w:t xml:space="preserve"> grade, Lexington filed a Child Requiring Assistance (CRA) petition for truancy. DCF became involved and provided support services. Parents requested a special education evaluation;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was found ineligible.</w:t>
      </w:r>
    </w:p>
    <w:p w14:paraId="35B5704E" w14:textId="77777777" w:rsidR="00E375B7" w:rsidRDefault="00E375B7" w:rsidP="00E375B7">
      <w:pPr>
        <w:pStyle w:val="ListParagraph"/>
        <w:ind w:left="1440"/>
        <w:rPr>
          <w:rFonts w:ascii="Times New Roman" w:hAnsi="Times New Roman" w:cs="Times New Roman"/>
          <w:sz w:val="24"/>
          <w:szCs w:val="24"/>
        </w:rPr>
      </w:pPr>
    </w:p>
    <w:p w14:paraId="196F8273" w14:textId="6FA03316" w:rsidR="00CF1767" w:rsidRDefault="00CF1767" w:rsidP="00BE0758">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The following school year, in December 2019, when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was in the ninth grade, he was found </w:t>
      </w:r>
      <w:r w:rsidR="00F66064">
        <w:rPr>
          <w:rFonts w:ascii="Times New Roman" w:hAnsi="Times New Roman" w:cs="Times New Roman"/>
          <w:sz w:val="24"/>
          <w:szCs w:val="24"/>
        </w:rPr>
        <w:t>eligible for special education services</w:t>
      </w:r>
      <w:r>
        <w:rPr>
          <w:rFonts w:ascii="Times New Roman" w:hAnsi="Times New Roman" w:cs="Times New Roman"/>
          <w:sz w:val="24"/>
          <w:szCs w:val="24"/>
        </w:rPr>
        <w:t xml:space="preserve"> </w:t>
      </w:r>
      <w:r w:rsidR="005074DE">
        <w:rPr>
          <w:rFonts w:ascii="Times New Roman" w:hAnsi="Times New Roman" w:cs="Times New Roman"/>
          <w:sz w:val="24"/>
          <w:szCs w:val="24"/>
        </w:rPr>
        <w:t>under the emotional disability category</w:t>
      </w:r>
      <w:r w:rsidR="007D767A">
        <w:rPr>
          <w:rFonts w:ascii="Times New Roman" w:hAnsi="Times New Roman" w:cs="Times New Roman"/>
          <w:sz w:val="24"/>
          <w:szCs w:val="24"/>
        </w:rPr>
        <w:t>. The IEP proposed at that time included academic support by special educators for 2 x 55 minutes, and em</w:t>
      </w:r>
      <w:r w:rsidR="00BE0758">
        <w:rPr>
          <w:rFonts w:ascii="Times New Roman" w:hAnsi="Times New Roman" w:cs="Times New Roman"/>
          <w:sz w:val="24"/>
          <w:szCs w:val="24"/>
        </w:rPr>
        <w:t>otional</w:t>
      </w:r>
      <w:r w:rsidR="007D767A">
        <w:rPr>
          <w:rFonts w:ascii="Times New Roman" w:hAnsi="Times New Roman" w:cs="Times New Roman"/>
          <w:sz w:val="24"/>
          <w:szCs w:val="24"/>
        </w:rPr>
        <w:t>/social support by a social worker for 1 x 30 minutes, per</w:t>
      </w:r>
      <w:r w:rsidR="00BE0758">
        <w:rPr>
          <w:rFonts w:ascii="Times New Roman" w:hAnsi="Times New Roman" w:cs="Times New Roman"/>
          <w:sz w:val="24"/>
          <w:szCs w:val="24"/>
        </w:rPr>
        <w:t xml:space="preserve"> </w:t>
      </w:r>
      <w:r w:rsidR="007D767A">
        <w:rPr>
          <w:rFonts w:ascii="Times New Roman" w:hAnsi="Times New Roman" w:cs="Times New Roman"/>
          <w:sz w:val="24"/>
          <w:szCs w:val="24"/>
        </w:rPr>
        <w:t>6</w:t>
      </w:r>
      <w:r w:rsidR="00BE0758">
        <w:rPr>
          <w:rFonts w:ascii="Times New Roman" w:hAnsi="Times New Roman" w:cs="Times New Roman"/>
          <w:sz w:val="24"/>
          <w:szCs w:val="24"/>
        </w:rPr>
        <w:t>-</w:t>
      </w:r>
      <w:r w:rsidR="007D767A">
        <w:rPr>
          <w:rFonts w:ascii="Times New Roman" w:hAnsi="Times New Roman" w:cs="Times New Roman"/>
          <w:sz w:val="24"/>
          <w:szCs w:val="24"/>
        </w:rPr>
        <w:t>day cycle</w:t>
      </w:r>
      <w:r w:rsidR="00BE0758">
        <w:rPr>
          <w:rFonts w:ascii="Times New Roman" w:hAnsi="Times New Roman" w:cs="Times New Roman"/>
          <w:sz w:val="24"/>
          <w:szCs w:val="24"/>
        </w:rPr>
        <w:t xml:space="preserve">, as well as consultation/team planning between </w:t>
      </w:r>
      <w:r w:rsidR="00BE0758">
        <w:rPr>
          <w:rFonts w:ascii="Times New Roman" w:hAnsi="Times New Roman" w:cs="Times New Roman"/>
          <w:sz w:val="24"/>
          <w:szCs w:val="24"/>
        </w:rPr>
        <w:lastRenderedPageBreak/>
        <w:t>general and special educators and the social worker 1 x 15 minutes per cycle. Parents accepted this IEP and placement in full.</w:t>
      </w:r>
      <w:r w:rsidR="007D767A">
        <w:rPr>
          <w:rFonts w:ascii="Times New Roman" w:hAnsi="Times New Roman" w:cs="Times New Roman"/>
          <w:sz w:val="24"/>
          <w:szCs w:val="24"/>
        </w:rPr>
        <w:t xml:space="preserve"> </w:t>
      </w:r>
    </w:p>
    <w:p w14:paraId="495813B9" w14:textId="77777777" w:rsidR="00BE0758" w:rsidRPr="00BE0758" w:rsidRDefault="00BE0758" w:rsidP="00BE0758">
      <w:pPr>
        <w:pStyle w:val="ListParagraph"/>
        <w:ind w:left="1440"/>
        <w:rPr>
          <w:rFonts w:ascii="Times New Roman" w:hAnsi="Times New Roman" w:cs="Times New Roman"/>
          <w:sz w:val="24"/>
          <w:szCs w:val="24"/>
        </w:rPr>
      </w:pPr>
    </w:p>
    <w:p w14:paraId="314C5D2C" w14:textId="599F3354" w:rsidR="00FA39A4" w:rsidRDefault="00CF1767"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During the COVID-19 pandemic,</w:t>
      </w:r>
      <w:r w:rsidR="00F63115">
        <w:rPr>
          <w:rFonts w:ascii="Times New Roman" w:hAnsi="Times New Roman" w:cs="Times New Roman"/>
          <w:sz w:val="24"/>
          <w:szCs w:val="24"/>
        </w:rPr>
        <w:t xml:space="preserve"> which began </w:t>
      </w:r>
      <w:r w:rsidR="00FA39A4">
        <w:rPr>
          <w:rFonts w:ascii="Times New Roman" w:hAnsi="Times New Roman" w:cs="Times New Roman"/>
          <w:sz w:val="24"/>
          <w:szCs w:val="24"/>
        </w:rPr>
        <w:t>that spring</w:t>
      </w:r>
      <w:r w:rsidR="00F6311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w:t>
      </w:r>
      <w:r w:rsidR="00F63115">
        <w:rPr>
          <w:rFonts w:ascii="Times New Roman" w:hAnsi="Times New Roman" w:cs="Times New Roman"/>
          <w:sz w:val="24"/>
          <w:szCs w:val="24"/>
        </w:rPr>
        <w:t xml:space="preserve">rarely participated in remote learning. </w:t>
      </w:r>
    </w:p>
    <w:p w14:paraId="4B810F42" w14:textId="77777777" w:rsidR="00FA39A4" w:rsidRDefault="00FA39A4" w:rsidP="00FA39A4">
      <w:pPr>
        <w:pStyle w:val="ListParagraph"/>
        <w:ind w:left="1440"/>
        <w:rPr>
          <w:rFonts w:ascii="Times New Roman" w:hAnsi="Times New Roman" w:cs="Times New Roman"/>
          <w:sz w:val="24"/>
          <w:szCs w:val="24"/>
        </w:rPr>
      </w:pPr>
    </w:p>
    <w:p w14:paraId="57032D94" w14:textId="4E672892" w:rsidR="00CF1767" w:rsidRDefault="00F63115"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Due to difficulties in the home</w:t>
      </w:r>
      <w:r w:rsidR="00BE0758">
        <w:rPr>
          <w:rFonts w:ascii="Times New Roman" w:hAnsi="Times New Roman" w:cs="Times New Roman"/>
          <w:sz w:val="24"/>
          <w:szCs w:val="24"/>
        </w:rPr>
        <w:t xml:space="preserve"> and failure to follow outpatient treatment</w:t>
      </w:r>
      <w:r>
        <w:rPr>
          <w:rFonts w:ascii="Times New Roman" w:hAnsi="Times New Roman" w:cs="Times New Roman"/>
          <w:sz w:val="24"/>
          <w:szCs w:val="24"/>
        </w:rPr>
        <w:t xml:space="preserve"> during </w:t>
      </w:r>
      <w:proofErr w:type="spellStart"/>
      <w:r>
        <w:rPr>
          <w:rFonts w:ascii="Times New Roman" w:hAnsi="Times New Roman" w:cs="Times New Roman"/>
          <w:sz w:val="24"/>
          <w:szCs w:val="24"/>
        </w:rPr>
        <w:t>Xili’s</w:t>
      </w:r>
      <w:proofErr w:type="spellEnd"/>
      <w:r>
        <w:rPr>
          <w:rFonts w:ascii="Times New Roman" w:hAnsi="Times New Roman" w:cs="Times New Roman"/>
          <w:sz w:val="24"/>
          <w:szCs w:val="24"/>
        </w:rPr>
        <w:t xml:space="preserve"> tenth grade year, Parents filed a CRA application with the Juvenile Court. </w:t>
      </w:r>
      <w:r w:rsidR="00BE0758">
        <w:rPr>
          <w:rFonts w:ascii="Times New Roman" w:hAnsi="Times New Roman" w:cs="Times New Roman"/>
          <w:sz w:val="24"/>
          <w:szCs w:val="24"/>
        </w:rPr>
        <w:t xml:space="preserve">DCF assumed custody of </w:t>
      </w:r>
      <w:proofErr w:type="spellStart"/>
      <w:r w:rsidR="00BE0758">
        <w:rPr>
          <w:rFonts w:ascii="Times New Roman" w:hAnsi="Times New Roman" w:cs="Times New Roman"/>
          <w:sz w:val="24"/>
          <w:szCs w:val="24"/>
        </w:rPr>
        <w:t>Xili</w:t>
      </w:r>
      <w:proofErr w:type="spellEnd"/>
      <w:r w:rsidR="00BE0758">
        <w:rPr>
          <w:rFonts w:ascii="Times New Roman" w:hAnsi="Times New Roman" w:cs="Times New Roman"/>
          <w:sz w:val="24"/>
          <w:szCs w:val="24"/>
        </w:rPr>
        <w:t xml:space="preserve"> and placed him </w:t>
      </w:r>
      <w:r>
        <w:rPr>
          <w:rFonts w:ascii="Times New Roman" w:hAnsi="Times New Roman" w:cs="Times New Roman"/>
          <w:sz w:val="24"/>
          <w:szCs w:val="24"/>
        </w:rPr>
        <w:t xml:space="preserve">residentially at Brandon Residential Treatment Center from April to August of 2021, at which time he was discharged. During his time at Brandon, </w:t>
      </w:r>
      <w:proofErr w:type="spellStart"/>
      <w:r>
        <w:rPr>
          <w:rFonts w:ascii="Times New Roman" w:hAnsi="Times New Roman" w:cs="Times New Roman"/>
          <w:sz w:val="24"/>
          <w:szCs w:val="24"/>
        </w:rPr>
        <w:t>Xili’s</w:t>
      </w:r>
      <w:proofErr w:type="spellEnd"/>
      <w:r>
        <w:rPr>
          <w:rFonts w:ascii="Times New Roman" w:hAnsi="Times New Roman" w:cs="Times New Roman"/>
          <w:sz w:val="24"/>
          <w:szCs w:val="24"/>
        </w:rPr>
        <w:t xml:space="preserve"> educational placement continued to be Lexington High School. His attendance increased, but his disengagement continued.</w:t>
      </w:r>
      <w:r w:rsidR="00BE0758">
        <w:rPr>
          <w:rFonts w:ascii="Times New Roman" w:hAnsi="Times New Roman" w:cs="Times New Roman"/>
          <w:sz w:val="24"/>
          <w:szCs w:val="24"/>
        </w:rPr>
        <w:t xml:space="preserve"> The District proposed additional assessments of </w:t>
      </w:r>
      <w:proofErr w:type="spellStart"/>
      <w:r w:rsidR="00BE0758">
        <w:rPr>
          <w:rFonts w:ascii="Times New Roman" w:hAnsi="Times New Roman" w:cs="Times New Roman"/>
          <w:sz w:val="24"/>
          <w:szCs w:val="24"/>
        </w:rPr>
        <w:t>Xili</w:t>
      </w:r>
      <w:proofErr w:type="spellEnd"/>
      <w:r w:rsidR="00BE0758">
        <w:rPr>
          <w:rFonts w:ascii="Times New Roman" w:hAnsi="Times New Roman" w:cs="Times New Roman"/>
          <w:sz w:val="24"/>
          <w:szCs w:val="24"/>
        </w:rPr>
        <w:t>, and during a Team meeting in May 2021, proposed additional accommodations</w:t>
      </w:r>
      <w:r w:rsidR="00BE1012">
        <w:rPr>
          <w:rFonts w:ascii="Times New Roman" w:hAnsi="Times New Roman" w:cs="Times New Roman"/>
          <w:sz w:val="24"/>
          <w:szCs w:val="24"/>
        </w:rPr>
        <w:t xml:space="preserve"> and </w:t>
      </w:r>
      <w:r w:rsidR="00BE0758">
        <w:rPr>
          <w:rFonts w:ascii="Times New Roman" w:hAnsi="Times New Roman" w:cs="Times New Roman"/>
          <w:sz w:val="24"/>
          <w:szCs w:val="24"/>
        </w:rPr>
        <w:t>supports, including a</w:t>
      </w:r>
      <w:r w:rsidR="00BE1012">
        <w:rPr>
          <w:rFonts w:ascii="Times New Roman" w:hAnsi="Times New Roman" w:cs="Times New Roman"/>
          <w:sz w:val="24"/>
          <w:szCs w:val="24"/>
        </w:rPr>
        <w:t xml:space="preserve"> modified work option, a</w:t>
      </w:r>
      <w:r w:rsidR="00BE0758">
        <w:rPr>
          <w:rFonts w:ascii="Times New Roman" w:hAnsi="Times New Roman" w:cs="Times New Roman"/>
          <w:sz w:val="24"/>
          <w:szCs w:val="24"/>
        </w:rPr>
        <w:t xml:space="preserve"> speech consult, another resource block, up to 20 hours of behavior consult to </w:t>
      </w:r>
      <w:r w:rsidR="00C9101E">
        <w:rPr>
          <w:rFonts w:ascii="Times New Roman" w:hAnsi="Times New Roman" w:cs="Times New Roman"/>
          <w:sz w:val="24"/>
          <w:szCs w:val="24"/>
        </w:rPr>
        <w:t>P</w:t>
      </w:r>
      <w:r w:rsidR="00BE0758">
        <w:rPr>
          <w:rFonts w:ascii="Times New Roman" w:hAnsi="Times New Roman" w:cs="Times New Roman"/>
          <w:sz w:val="24"/>
          <w:szCs w:val="24"/>
        </w:rPr>
        <w:t>arents</w:t>
      </w:r>
      <w:r w:rsidR="00000B9D">
        <w:rPr>
          <w:rFonts w:ascii="Times New Roman" w:hAnsi="Times New Roman" w:cs="Times New Roman"/>
          <w:sz w:val="24"/>
          <w:szCs w:val="24"/>
        </w:rPr>
        <w:t>,</w:t>
      </w:r>
      <w:r w:rsidR="00BE1012">
        <w:rPr>
          <w:rFonts w:ascii="Times New Roman" w:hAnsi="Times New Roman" w:cs="Times New Roman"/>
          <w:sz w:val="24"/>
          <w:szCs w:val="24"/>
        </w:rPr>
        <w:t xml:space="preserve"> and consultation to the Team regarding therapeutic strategies by TLP staff. Parents accepted the IEP that was developed after this meeting, and the corresponding placement, in full.</w:t>
      </w:r>
    </w:p>
    <w:p w14:paraId="27E8BB70" w14:textId="77777777" w:rsidR="00F63115" w:rsidRDefault="00F63115" w:rsidP="00F63115">
      <w:pPr>
        <w:pStyle w:val="ListParagraph"/>
        <w:ind w:left="1440"/>
        <w:rPr>
          <w:rFonts w:ascii="Times New Roman" w:hAnsi="Times New Roman" w:cs="Times New Roman"/>
          <w:sz w:val="24"/>
          <w:szCs w:val="24"/>
        </w:rPr>
      </w:pPr>
    </w:p>
    <w:p w14:paraId="39E736B2" w14:textId="503E8308" w:rsidR="00F63115" w:rsidRDefault="00BE1012"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The Team reconvened in June 2021 to consider how </w:t>
      </w:r>
      <w:proofErr w:type="spellStart"/>
      <w:r w:rsidR="00F63115">
        <w:rPr>
          <w:rFonts w:ascii="Times New Roman" w:hAnsi="Times New Roman" w:cs="Times New Roman"/>
          <w:sz w:val="24"/>
          <w:szCs w:val="24"/>
        </w:rPr>
        <w:t>Xili</w:t>
      </w:r>
      <w:proofErr w:type="spellEnd"/>
      <w:r>
        <w:rPr>
          <w:rFonts w:ascii="Times New Roman" w:hAnsi="Times New Roman" w:cs="Times New Roman"/>
          <w:sz w:val="24"/>
          <w:szCs w:val="24"/>
        </w:rPr>
        <w:t xml:space="preserve"> has responded to the additional supports, and at that time proposed a change of placement to the TLP with additional goals and services.</w:t>
      </w:r>
      <w:r w:rsidR="00F63115">
        <w:rPr>
          <w:rFonts w:ascii="Times New Roman" w:hAnsi="Times New Roman" w:cs="Times New Roman"/>
          <w:sz w:val="24"/>
          <w:szCs w:val="24"/>
        </w:rPr>
        <w:t xml:space="preserve"> </w:t>
      </w:r>
      <w:r>
        <w:rPr>
          <w:rFonts w:ascii="Times New Roman" w:hAnsi="Times New Roman" w:cs="Times New Roman"/>
          <w:sz w:val="24"/>
          <w:szCs w:val="24"/>
        </w:rPr>
        <w:t xml:space="preserve">Parents accepted the IEP and placement in full, and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w:t>
      </w:r>
      <w:r w:rsidR="00F63115">
        <w:rPr>
          <w:rFonts w:ascii="Times New Roman" w:hAnsi="Times New Roman" w:cs="Times New Roman"/>
          <w:sz w:val="24"/>
          <w:szCs w:val="24"/>
        </w:rPr>
        <w:t>was placed in TLP for the 2021-2022 school year, with increased in-school supports that included additional direct social work services, two periods of substantially separate Academic Support, and four periods of substantially separate Metacognitive services.</w:t>
      </w:r>
    </w:p>
    <w:p w14:paraId="37DD991C" w14:textId="77777777" w:rsidR="00BE1012" w:rsidRDefault="00BE1012" w:rsidP="00BE1012">
      <w:pPr>
        <w:pStyle w:val="ListParagraph"/>
        <w:ind w:left="1440"/>
        <w:rPr>
          <w:rFonts w:ascii="Times New Roman" w:hAnsi="Times New Roman" w:cs="Times New Roman"/>
          <w:sz w:val="24"/>
          <w:szCs w:val="24"/>
        </w:rPr>
      </w:pPr>
    </w:p>
    <w:p w14:paraId="1F46252A" w14:textId="1F3D8E92" w:rsidR="00BE1012" w:rsidRDefault="00BE1012"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The Team reconvened for </w:t>
      </w:r>
      <w:proofErr w:type="spellStart"/>
      <w:r>
        <w:rPr>
          <w:rFonts w:ascii="Times New Roman" w:hAnsi="Times New Roman" w:cs="Times New Roman"/>
          <w:sz w:val="24"/>
          <w:szCs w:val="24"/>
        </w:rPr>
        <w:t>Xili’s</w:t>
      </w:r>
      <w:proofErr w:type="spellEnd"/>
      <w:r>
        <w:rPr>
          <w:rFonts w:ascii="Times New Roman" w:hAnsi="Times New Roman" w:cs="Times New Roman"/>
          <w:sz w:val="24"/>
          <w:szCs w:val="24"/>
        </w:rPr>
        <w:t xml:space="preserve"> annual review in November 2021</w:t>
      </w:r>
      <w:r w:rsidR="00E27E3E">
        <w:rPr>
          <w:rFonts w:ascii="Times New Roman" w:hAnsi="Times New Roman" w:cs="Times New Roman"/>
          <w:sz w:val="24"/>
          <w:szCs w:val="24"/>
        </w:rPr>
        <w:t xml:space="preserve"> and proposed an IEP dated November </w:t>
      </w:r>
      <w:r w:rsidR="00FA39A4">
        <w:rPr>
          <w:rFonts w:ascii="Times New Roman" w:hAnsi="Times New Roman" w:cs="Times New Roman"/>
          <w:sz w:val="24"/>
          <w:szCs w:val="24"/>
        </w:rPr>
        <w:t>3</w:t>
      </w:r>
      <w:r w:rsidR="00E27E3E">
        <w:rPr>
          <w:rFonts w:ascii="Times New Roman" w:hAnsi="Times New Roman" w:cs="Times New Roman"/>
          <w:sz w:val="24"/>
          <w:szCs w:val="24"/>
        </w:rPr>
        <w:t>0, 2021 to November 29, 2022 (2021-2022 IEP), with</w:t>
      </w:r>
      <w:r>
        <w:rPr>
          <w:rFonts w:ascii="Times New Roman" w:hAnsi="Times New Roman" w:cs="Times New Roman"/>
          <w:sz w:val="24"/>
          <w:szCs w:val="24"/>
        </w:rPr>
        <w:t xml:space="preserve"> continued placement in the TLP.</w:t>
      </w:r>
    </w:p>
    <w:p w14:paraId="5F4E280C" w14:textId="77777777" w:rsidR="00F63115" w:rsidRDefault="00F63115" w:rsidP="00F63115">
      <w:pPr>
        <w:pStyle w:val="ListParagraph"/>
        <w:ind w:left="1440"/>
        <w:rPr>
          <w:rFonts w:ascii="Times New Roman" w:hAnsi="Times New Roman" w:cs="Times New Roman"/>
          <w:sz w:val="24"/>
          <w:szCs w:val="24"/>
        </w:rPr>
      </w:pPr>
    </w:p>
    <w:p w14:paraId="1207AE45" w14:textId="33DDB410" w:rsidR="00BE0758" w:rsidRDefault="00141775" w:rsidP="00C13A6F">
      <w:pPr>
        <w:pStyle w:val="ListParagraph"/>
        <w:numPr>
          <w:ilvl w:val="0"/>
          <w:numId w:val="1"/>
        </w:numPr>
        <w:ind w:left="1440" w:hanging="720"/>
        <w:rPr>
          <w:rFonts w:ascii="Times New Roman" w:hAnsi="Times New Roman" w:cs="Times New Roman"/>
          <w:sz w:val="24"/>
          <w:szCs w:val="24"/>
        </w:rPr>
      </w:pPr>
      <w:r w:rsidRPr="00000B9D">
        <w:rPr>
          <w:rFonts w:ascii="Times New Roman" w:hAnsi="Times New Roman" w:cs="Times New Roman"/>
          <w:sz w:val="24"/>
          <w:szCs w:val="24"/>
        </w:rPr>
        <w:t xml:space="preserve">In December 2021, </w:t>
      </w:r>
      <w:proofErr w:type="spellStart"/>
      <w:r w:rsidR="00F63115" w:rsidRPr="00000B9D">
        <w:rPr>
          <w:rFonts w:ascii="Times New Roman" w:hAnsi="Times New Roman" w:cs="Times New Roman"/>
          <w:sz w:val="24"/>
          <w:szCs w:val="24"/>
        </w:rPr>
        <w:t>Xili</w:t>
      </w:r>
      <w:proofErr w:type="spellEnd"/>
      <w:r w:rsidR="00F63115" w:rsidRPr="00000B9D">
        <w:rPr>
          <w:rFonts w:ascii="Times New Roman" w:hAnsi="Times New Roman" w:cs="Times New Roman"/>
          <w:sz w:val="24"/>
          <w:szCs w:val="24"/>
        </w:rPr>
        <w:t xml:space="preserve"> refused to attend school on several occasions </w:t>
      </w:r>
      <w:r w:rsidRPr="00000B9D">
        <w:rPr>
          <w:rFonts w:ascii="Times New Roman" w:hAnsi="Times New Roman" w:cs="Times New Roman"/>
          <w:sz w:val="24"/>
          <w:szCs w:val="24"/>
        </w:rPr>
        <w:t>and twice assaulted one or both Parents over the use of his cell phone. This resulted in a five-day psychiatric hospitalization, which was followed by ten days of isolation due to a positive COVID-19 test.</w:t>
      </w:r>
      <w:r w:rsidR="002B7E28" w:rsidRPr="00000B9D">
        <w:rPr>
          <w:rFonts w:ascii="Times New Roman" w:hAnsi="Times New Roman" w:cs="Times New Roman"/>
          <w:sz w:val="24"/>
          <w:szCs w:val="24"/>
        </w:rPr>
        <w:t xml:space="preserve"> </w:t>
      </w:r>
    </w:p>
    <w:p w14:paraId="5B518B26" w14:textId="77777777" w:rsidR="00000B9D" w:rsidRPr="00000B9D" w:rsidRDefault="00000B9D" w:rsidP="00000B9D">
      <w:pPr>
        <w:pStyle w:val="ListParagraph"/>
        <w:ind w:left="1440"/>
        <w:rPr>
          <w:rFonts w:ascii="Times New Roman" w:hAnsi="Times New Roman" w:cs="Times New Roman"/>
          <w:sz w:val="24"/>
          <w:szCs w:val="24"/>
        </w:rPr>
      </w:pPr>
    </w:p>
    <w:p w14:paraId="3F10A2AD" w14:textId="2D3C7633" w:rsidR="00141775" w:rsidRDefault="00141775"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On December 16, 2021, Parents partially rejected the</w:t>
      </w:r>
      <w:r w:rsidR="00E27E3E">
        <w:rPr>
          <w:rFonts w:ascii="Times New Roman" w:hAnsi="Times New Roman" w:cs="Times New Roman"/>
          <w:sz w:val="24"/>
          <w:szCs w:val="24"/>
        </w:rPr>
        <w:t xml:space="preserve"> 2021-2022</w:t>
      </w:r>
      <w:r>
        <w:rPr>
          <w:rFonts w:ascii="Times New Roman" w:hAnsi="Times New Roman" w:cs="Times New Roman"/>
          <w:sz w:val="24"/>
          <w:szCs w:val="24"/>
        </w:rPr>
        <w:t xml:space="preserve"> IEP proposed by Lexington</w:t>
      </w:r>
      <w:r w:rsidR="00E27E3E">
        <w:rPr>
          <w:rFonts w:ascii="Times New Roman" w:hAnsi="Times New Roman" w:cs="Times New Roman"/>
          <w:sz w:val="24"/>
          <w:szCs w:val="24"/>
        </w:rPr>
        <w:t>.</w:t>
      </w:r>
    </w:p>
    <w:p w14:paraId="5A515594" w14:textId="77777777" w:rsidR="00F73FB4" w:rsidRDefault="00F73FB4" w:rsidP="00F73FB4">
      <w:pPr>
        <w:pStyle w:val="ListParagraph"/>
        <w:ind w:left="1440"/>
        <w:rPr>
          <w:rFonts w:ascii="Times New Roman" w:hAnsi="Times New Roman" w:cs="Times New Roman"/>
          <w:sz w:val="24"/>
          <w:szCs w:val="24"/>
        </w:rPr>
      </w:pPr>
    </w:p>
    <w:p w14:paraId="4EE1C7B4" w14:textId="4F37610B" w:rsidR="00F73FB4" w:rsidRDefault="00F73FB4"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Progress reports issued on January 21, 2022 indicate ongoing issues with attendance and lack of measurable progress on </w:t>
      </w:r>
      <w:proofErr w:type="spellStart"/>
      <w:r>
        <w:rPr>
          <w:rFonts w:ascii="Times New Roman" w:hAnsi="Times New Roman" w:cs="Times New Roman"/>
          <w:sz w:val="24"/>
          <w:szCs w:val="24"/>
        </w:rPr>
        <w:t>Xili’s</w:t>
      </w:r>
      <w:proofErr w:type="spellEnd"/>
      <w:r>
        <w:rPr>
          <w:rFonts w:ascii="Times New Roman" w:hAnsi="Times New Roman" w:cs="Times New Roman"/>
          <w:sz w:val="24"/>
          <w:szCs w:val="24"/>
        </w:rPr>
        <w:t xml:space="preserve"> social/emotional and metacognitive goals.</w:t>
      </w:r>
    </w:p>
    <w:p w14:paraId="56878D77" w14:textId="77777777" w:rsidR="002B7E28" w:rsidRDefault="002B7E28" w:rsidP="002B7E28">
      <w:pPr>
        <w:pStyle w:val="ListParagraph"/>
        <w:ind w:left="1440"/>
        <w:rPr>
          <w:rFonts w:ascii="Times New Roman" w:hAnsi="Times New Roman" w:cs="Times New Roman"/>
          <w:sz w:val="24"/>
          <w:szCs w:val="24"/>
        </w:rPr>
      </w:pPr>
    </w:p>
    <w:p w14:paraId="4727A6BD" w14:textId="1CE6024A" w:rsidR="002B7E28" w:rsidRDefault="002B7E28"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lastRenderedPageBreak/>
        <w:t xml:space="preserve">On January 24, 2022,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got into an altercation with Parents over technology use, again resulting in a call to the police.</w:t>
      </w:r>
    </w:p>
    <w:p w14:paraId="3EF29EBC" w14:textId="77777777" w:rsidR="00B623A3" w:rsidRDefault="00B623A3" w:rsidP="00B623A3">
      <w:pPr>
        <w:pStyle w:val="ListParagraph"/>
        <w:ind w:left="1440"/>
        <w:rPr>
          <w:rFonts w:ascii="Times New Roman" w:hAnsi="Times New Roman" w:cs="Times New Roman"/>
          <w:sz w:val="24"/>
          <w:szCs w:val="24"/>
        </w:rPr>
      </w:pPr>
    </w:p>
    <w:p w14:paraId="085073CC" w14:textId="63E2A966" w:rsidR="00B623A3" w:rsidRPr="00002828" w:rsidRDefault="00CE2773" w:rsidP="00010BE1">
      <w:pPr>
        <w:pStyle w:val="ListParagraph"/>
        <w:numPr>
          <w:ilvl w:val="0"/>
          <w:numId w:val="1"/>
        </w:numPr>
        <w:ind w:left="1440" w:hanging="720"/>
        <w:rPr>
          <w:rFonts w:ascii="Times New Roman" w:hAnsi="Times New Roman" w:cs="Times New Roman"/>
          <w:sz w:val="24"/>
          <w:szCs w:val="24"/>
        </w:rPr>
      </w:pP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underwent an independent</w:t>
      </w:r>
      <w:r w:rsidR="00B623A3">
        <w:rPr>
          <w:rFonts w:ascii="Times New Roman" w:hAnsi="Times New Roman" w:cs="Times New Roman"/>
          <w:sz w:val="24"/>
          <w:szCs w:val="24"/>
        </w:rPr>
        <w:t xml:space="preserve"> neuropsychological assessment in early February 2022</w:t>
      </w:r>
      <w:r>
        <w:rPr>
          <w:rFonts w:ascii="Times New Roman" w:hAnsi="Times New Roman" w:cs="Times New Roman"/>
          <w:sz w:val="24"/>
          <w:szCs w:val="24"/>
        </w:rPr>
        <w:t xml:space="preserve">. The independent evaluator </w:t>
      </w:r>
      <w:r w:rsidR="00B623A3">
        <w:rPr>
          <w:rFonts w:ascii="Times New Roman" w:hAnsi="Times New Roman" w:cs="Times New Roman"/>
          <w:sz w:val="24"/>
          <w:szCs w:val="24"/>
        </w:rPr>
        <w:t xml:space="preserve">concluded that </w:t>
      </w:r>
      <w:proofErr w:type="spellStart"/>
      <w:r w:rsidR="00B623A3">
        <w:rPr>
          <w:rFonts w:ascii="Times New Roman" w:hAnsi="Times New Roman" w:cs="Times New Roman"/>
          <w:sz w:val="24"/>
          <w:szCs w:val="24"/>
        </w:rPr>
        <w:t>Xili’s</w:t>
      </w:r>
      <w:proofErr w:type="spellEnd"/>
      <w:r w:rsidR="00B623A3">
        <w:rPr>
          <w:rFonts w:ascii="Times New Roman" w:hAnsi="Times New Roman" w:cs="Times New Roman"/>
          <w:sz w:val="24"/>
          <w:szCs w:val="24"/>
        </w:rPr>
        <w:t xml:space="preserve"> disabilities prevent him from progressing effectively in regular education, as evidenced by his lack of engagement in school and dangerous and disruptive behavior at home when limits are set. She recommended placement in a residential therapeutic program that could provide </w:t>
      </w:r>
      <w:proofErr w:type="spellStart"/>
      <w:r w:rsidR="00B623A3">
        <w:rPr>
          <w:rFonts w:ascii="Times New Roman" w:hAnsi="Times New Roman" w:cs="Times New Roman"/>
          <w:sz w:val="24"/>
          <w:szCs w:val="24"/>
        </w:rPr>
        <w:t>Xili</w:t>
      </w:r>
      <w:proofErr w:type="spellEnd"/>
      <w:r w:rsidR="00B623A3">
        <w:rPr>
          <w:rFonts w:ascii="Times New Roman" w:hAnsi="Times New Roman" w:cs="Times New Roman"/>
          <w:sz w:val="24"/>
          <w:szCs w:val="24"/>
        </w:rPr>
        <w:t xml:space="preserve"> with consistent, highly individualized, intensive therapeutic supports, including “in-vivo” support, daily group therapy, psychoeducation, project-based and high interest academics, and executive function skills.</w:t>
      </w:r>
    </w:p>
    <w:p w14:paraId="63858371" w14:textId="19D494A2" w:rsidR="00E375B7" w:rsidRPr="00CF1767" w:rsidRDefault="00F97A17" w:rsidP="00CF1767">
      <w:pPr>
        <w:pStyle w:val="ListParagraph"/>
        <w:rPr>
          <w:rFonts w:ascii="Times New Roman" w:hAnsi="Times New Roman" w:cs="Times New Roman"/>
          <w:sz w:val="24"/>
          <w:szCs w:val="24"/>
        </w:rPr>
      </w:pPr>
      <w:r w:rsidRPr="00002828">
        <w:rPr>
          <w:rFonts w:ascii="Times New Roman" w:hAnsi="Times New Roman" w:cs="Times New Roman"/>
          <w:sz w:val="24"/>
          <w:szCs w:val="24"/>
        </w:rPr>
        <w:tab/>
      </w:r>
    </w:p>
    <w:p w14:paraId="460CF09E" w14:textId="2D6446E5" w:rsidR="00E375B7" w:rsidRDefault="00E375B7"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As of the filing of the </w:t>
      </w:r>
      <w:r>
        <w:rPr>
          <w:rFonts w:ascii="Times New Roman" w:hAnsi="Times New Roman" w:cs="Times New Roman"/>
          <w:i/>
          <w:iCs/>
          <w:sz w:val="24"/>
          <w:szCs w:val="24"/>
        </w:rPr>
        <w:t>Hearing Request</w:t>
      </w:r>
      <w:r>
        <w:rPr>
          <w:rFonts w:ascii="Times New Roman" w:hAnsi="Times New Roman" w:cs="Times New Roman"/>
          <w:sz w:val="24"/>
          <w:szCs w:val="24"/>
        </w:rPr>
        <w:t xml:space="preserve">,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was </w:t>
      </w:r>
      <w:r w:rsidR="00FA39A4">
        <w:rPr>
          <w:rFonts w:ascii="Times New Roman" w:hAnsi="Times New Roman" w:cs="Times New Roman"/>
          <w:sz w:val="24"/>
          <w:szCs w:val="24"/>
        </w:rPr>
        <w:t xml:space="preserve">exhibiting </w:t>
      </w:r>
      <w:r>
        <w:rPr>
          <w:rFonts w:ascii="Times New Roman" w:hAnsi="Times New Roman" w:cs="Times New Roman"/>
          <w:sz w:val="24"/>
          <w:szCs w:val="24"/>
        </w:rPr>
        <w:t>to</w:t>
      </w:r>
      <w:r w:rsidR="00FA39A4">
        <w:rPr>
          <w:rFonts w:ascii="Times New Roman" w:hAnsi="Times New Roman" w:cs="Times New Roman"/>
          <w:sz w:val="24"/>
          <w:szCs w:val="24"/>
        </w:rPr>
        <w:t xml:space="preserve"> </w:t>
      </w:r>
      <w:r>
        <w:rPr>
          <w:rFonts w:ascii="Times New Roman" w:hAnsi="Times New Roman" w:cs="Times New Roman"/>
          <w:sz w:val="24"/>
          <w:szCs w:val="24"/>
        </w:rPr>
        <w:t>school</w:t>
      </w:r>
      <w:r w:rsidR="00FA39A4">
        <w:rPr>
          <w:rFonts w:ascii="Times New Roman" w:hAnsi="Times New Roman" w:cs="Times New Roman"/>
          <w:sz w:val="24"/>
          <w:szCs w:val="24"/>
        </w:rPr>
        <w:t xml:space="preserve"> refusal. He was also refusing to</w:t>
      </w:r>
      <w:r>
        <w:rPr>
          <w:rFonts w:ascii="Times New Roman" w:hAnsi="Times New Roman" w:cs="Times New Roman"/>
          <w:sz w:val="24"/>
          <w:szCs w:val="24"/>
        </w:rPr>
        <w:t xml:space="preserve"> engage when in school, complete schoolwork or homework, attend appointments with his therapist, </w:t>
      </w:r>
      <w:r w:rsidR="00CF1767">
        <w:rPr>
          <w:rFonts w:ascii="Times New Roman" w:hAnsi="Times New Roman" w:cs="Times New Roman"/>
          <w:sz w:val="24"/>
          <w:szCs w:val="24"/>
        </w:rPr>
        <w:t>take prescribed psychiatric medications, and comply</w:t>
      </w:r>
      <w:r w:rsidR="00E93C8B">
        <w:rPr>
          <w:rFonts w:ascii="Times New Roman" w:hAnsi="Times New Roman" w:cs="Times New Roman"/>
          <w:sz w:val="24"/>
          <w:szCs w:val="24"/>
        </w:rPr>
        <w:t xml:space="preserve"> with</w:t>
      </w:r>
      <w:r w:rsidR="00CF1767">
        <w:rPr>
          <w:rFonts w:ascii="Times New Roman" w:hAnsi="Times New Roman" w:cs="Times New Roman"/>
          <w:sz w:val="24"/>
          <w:szCs w:val="24"/>
        </w:rPr>
        <w:t xml:space="preserve"> rules for technology. He was scheduled to begin a ten-day partial hospitalization program</w:t>
      </w:r>
      <w:r w:rsidR="00CE2773">
        <w:rPr>
          <w:rFonts w:ascii="Times New Roman" w:hAnsi="Times New Roman" w:cs="Times New Roman"/>
          <w:sz w:val="24"/>
          <w:szCs w:val="24"/>
        </w:rPr>
        <w:t>.</w:t>
      </w:r>
    </w:p>
    <w:p w14:paraId="323A47FE" w14:textId="77777777" w:rsidR="002B7E28" w:rsidRDefault="002B7E28" w:rsidP="002B7E28">
      <w:pPr>
        <w:pStyle w:val="ListParagraph"/>
        <w:ind w:left="1440"/>
        <w:rPr>
          <w:rFonts w:ascii="Times New Roman" w:hAnsi="Times New Roman" w:cs="Times New Roman"/>
          <w:sz w:val="24"/>
          <w:szCs w:val="24"/>
        </w:rPr>
      </w:pPr>
    </w:p>
    <w:p w14:paraId="416C9D0C" w14:textId="6E838D78" w:rsidR="002B7E28" w:rsidRDefault="002B7E28"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As of the filing of the instant </w:t>
      </w:r>
      <w:r>
        <w:rPr>
          <w:rFonts w:ascii="Times New Roman" w:hAnsi="Times New Roman" w:cs="Times New Roman"/>
          <w:i/>
          <w:iCs/>
          <w:sz w:val="24"/>
          <w:szCs w:val="24"/>
        </w:rPr>
        <w:t>Motion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was attending the Arbor-Fuller Partial Hospital Program remotely.</w:t>
      </w:r>
    </w:p>
    <w:p w14:paraId="47D71B3F" w14:textId="77777777" w:rsidR="002B7E28" w:rsidRDefault="002B7E28" w:rsidP="002B7E28">
      <w:pPr>
        <w:pStyle w:val="ListParagraph"/>
        <w:ind w:left="1440"/>
        <w:rPr>
          <w:rFonts w:ascii="Times New Roman" w:hAnsi="Times New Roman" w:cs="Times New Roman"/>
          <w:sz w:val="24"/>
          <w:szCs w:val="24"/>
        </w:rPr>
      </w:pPr>
    </w:p>
    <w:p w14:paraId="64BE0DBD" w14:textId="77EFFE43" w:rsidR="002B7E28" w:rsidRDefault="00E351DD" w:rsidP="00010BE1">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In the meantime</w:t>
      </w:r>
      <w:r w:rsidR="002B7E28">
        <w:rPr>
          <w:rFonts w:ascii="Times New Roman" w:hAnsi="Times New Roman" w:cs="Times New Roman"/>
          <w:sz w:val="24"/>
          <w:szCs w:val="24"/>
        </w:rPr>
        <w:t xml:space="preserve">, </w:t>
      </w:r>
      <w:r w:rsidR="00B623A3">
        <w:rPr>
          <w:rFonts w:ascii="Times New Roman" w:hAnsi="Times New Roman" w:cs="Times New Roman"/>
          <w:sz w:val="24"/>
          <w:szCs w:val="24"/>
        </w:rPr>
        <w:t xml:space="preserve">on or about February 15, 2022, </w:t>
      </w:r>
      <w:r w:rsidR="002B7E28">
        <w:rPr>
          <w:rFonts w:ascii="Times New Roman" w:hAnsi="Times New Roman" w:cs="Times New Roman"/>
          <w:sz w:val="24"/>
          <w:szCs w:val="24"/>
        </w:rPr>
        <w:t xml:space="preserve">Lexington proposed an extended evaluation in a therapeutic day placement, </w:t>
      </w:r>
      <w:r w:rsidR="00B623A3">
        <w:rPr>
          <w:rFonts w:ascii="Times New Roman" w:hAnsi="Times New Roman" w:cs="Times New Roman"/>
          <w:sz w:val="24"/>
          <w:szCs w:val="24"/>
        </w:rPr>
        <w:t xml:space="preserve">a </w:t>
      </w:r>
      <w:r w:rsidR="002B7E28">
        <w:rPr>
          <w:rFonts w:ascii="Times New Roman" w:hAnsi="Times New Roman" w:cs="Times New Roman"/>
          <w:sz w:val="24"/>
          <w:szCs w:val="24"/>
        </w:rPr>
        <w:t>home assessment, and an early triennial evaluation. Parents accepted the extended evaluation in a therapeutic placement and the early reevaluation</w:t>
      </w:r>
      <w:r w:rsidR="00E83BAB">
        <w:rPr>
          <w:rFonts w:ascii="Times New Roman" w:hAnsi="Times New Roman" w:cs="Times New Roman"/>
          <w:sz w:val="24"/>
          <w:szCs w:val="24"/>
        </w:rPr>
        <w:t>, though they rejected the District’s failure to provide the evaluations in a therapeutic residential school</w:t>
      </w:r>
      <w:r w:rsidR="00F73FB4">
        <w:rPr>
          <w:rFonts w:ascii="Times New Roman" w:hAnsi="Times New Roman" w:cs="Times New Roman"/>
          <w:sz w:val="24"/>
          <w:szCs w:val="24"/>
        </w:rPr>
        <w:t>. Lexington contends that Parents</w:t>
      </w:r>
      <w:r w:rsidR="002B7E28">
        <w:rPr>
          <w:rFonts w:ascii="Times New Roman" w:hAnsi="Times New Roman" w:cs="Times New Roman"/>
          <w:sz w:val="24"/>
          <w:szCs w:val="24"/>
        </w:rPr>
        <w:t xml:space="preserve"> rejected the home assessment</w:t>
      </w:r>
      <w:r w:rsidR="00F73FB4">
        <w:rPr>
          <w:rFonts w:ascii="Times New Roman" w:hAnsi="Times New Roman" w:cs="Times New Roman"/>
          <w:sz w:val="24"/>
          <w:szCs w:val="24"/>
        </w:rPr>
        <w:t xml:space="preserve">, but Parents dispute this claim and assert that this evaluation </w:t>
      </w:r>
      <w:r>
        <w:rPr>
          <w:rFonts w:ascii="Times New Roman" w:hAnsi="Times New Roman" w:cs="Times New Roman"/>
          <w:sz w:val="24"/>
          <w:szCs w:val="24"/>
        </w:rPr>
        <w:t>wa</w:t>
      </w:r>
      <w:r w:rsidR="00F73FB4">
        <w:rPr>
          <w:rFonts w:ascii="Times New Roman" w:hAnsi="Times New Roman" w:cs="Times New Roman"/>
          <w:sz w:val="24"/>
          <w:szCs w:val="24"/>
        </w:rPr>
        <w:t>s scheduled to take place in March</w:t>
      </w:r>
      <w:r w:rsidR="00E83BAB">
        <w:rPr>
          <w:rFonts w:ascii="Times New Roman" w:hAnsi="Times New Roman" w:cs="Times New Roman"/>
          <w:sz w:val="24"/>
          <w:szCs w:val="24"/>
        </w:rPr>
        <w:t>, though they do not believe such assessment is necessary.</w:t>
      </w:r>
    </w:p>
    <w:p w14:paraId="3983BB48" w14:textId="77777777" w:rsidR="002B7E28" w:rsidRDefault="002B7E28" w:rsidP="002B7E28">
      <w:pPr>
        <w:pStyle w:val="ListParagraph"/>
        <w:ind w:left="1440"/>
        <w:rPr>
          <w:rFonts w:ascii="Times New Roman" w:hAnsi="Times New Roman" w:cs="Times New Roman"/>
          <w:sz w:val="24"/>
          <w:szCs w:val="24"/>
        </w:rPr>
      </w:pPr>
    </w:p>
    <w:p w14:paraId="6D332041" w14:textId="4EC819B7" w:rsidR="001C3CE5" w:rsidRPr="00D7621E" w:rsidRDefault="00E83BAB" w:rsidP="00C9101E">
      <w:pPr>
        <w:pStyle w:val="ListParagraph"/>
        <w:numPr>
          <w:ilvl w:val="0"/>
          <w:numId w:val="1"/>
        </w:numPr>
        <w:ind w:left="1440" w:hanging="720"/>
        <w:rPr>
          <w:rFonts w:ascii="Times New Roman" w:hAnsi="Times New Roman" w:cs="Times New Roman"/>
          <w:sz w:val="24"/>
          <w:szCs w:val="24"/>
        </w:rPr>
      </w:pPr>
      <w:r>
        <w:rPr>
          <w:rFonts w:ascii="Times New Roman" w:hAnsi="Times New Roman" w:cs="Times New Roman"/>
          <w:sz w:val="24"/>
          <w:szCs w:val="24"/>
        </w:rPr>
        <w:t xml:space="preserve">The CRA case was closed on March 4, 2022, the same day the instant </w:t>
      </w:r>
      <w:r>
        <w:rPr>
          <w:rFonts w:ascii="Times New Roman" w:hAnsi="Times New Roman" w:cs="Times New Roman"/>
          <w:i/>
          <w:iCs/>
          <w:sz w:val="24"/>
          <w:szCs w:val="24"/>
        </w:rPr>
        <w:t xml:space="preserve">Motion </w:t>
      </w:r>
      <w:r>
        <w:rPr>
          <w:rFonts w:ascii="Times New Roman" w:hAnsi="Times New Roman" w:cs="Times New Roman"/>
          <w:sz w:val="24"/>
          <w:szCs w:val="24"/>
        </w:rPr>
        <w:t xml:space="preserve">was filed. It is unclear whether DCF’s </w:t>
      </w:r>
      <w:r w:rsidR="005F2191">
        <w:rPr>
          <w:rFonts w:ascii="Times New Roman" w:hAnsi="Times New Roman" w:cs="Times New Roman"/>
          <w:sz w:val="24"/>
          <w:szCs w:val="24"/>
        </w:rPr>
        <w:t xml:space="preserve">clinical </w:t>
      </w:r>
      <w:r>
        <w:rPr>
          <w:rFonts w:ascii="Times New Roman" w:hAnsi="Times New Roman" w:cs="Times New Roman"/>
          <w:sz w:val="24"/>
          <w:szCs w:val="24"/>
        </w:rPr>
        <w:t>case has been closed; the District asserts that it remains open, whereas Parents “understand” that it has been closed. DCF has not offered any clarification on this point.</w:t>
      </w:r>
    </w:p>
    <w:p w14:paraId="06A3DEF5" w14:textId="09B9331D" w:rsidR="00D65D85" w:rsidRPr="00D65D85" w:rsidRDefault="00FB7FB4" w:rsidP="0068476E">
      <w:pPr>
        <w:pStyle w:val="NormalWeb"/>
        <w:textAlignment w:val="baseline"/>
        <w:rPr>
          <w:color w:val="000000"/>
        </w:rPr>
      </w:pPr>
      <w:r>
        <w:rPr>
          <w:color w:val="000000"/>
          <w:u w:val="single"/>
        </w:rPr>
        <w:t>LEGAL STANDARDS</w:t>
      </w:r>
    </w:p>
    <w:p w14:paraId="091FC16C" w14:textId="79C467D5" w:rsidR="0068476E" w:rsidRDefault="0068476E" w:rsidP="0068476E">
      <w:pPr>
        <w:pStyle w:val="NormalWeb"/>
        <w:spacing w:before="0" w:beforeAutospacing="0" w:after="0" w:afterAutospacing="0"/>
        <w:textAlignment w:val="baseline"/>
        <w:rPr>
          <w:color w:val="000000"/>
        </w:rPr>
      </w:pPr>
      <w:r>
        <w:rPr>
          <w:color w:val="000000"/>
        </w:rPr>
        <w:tab/>
      </w:r>
      <w:r w:rsidR="009569FC" w:rsidRPr="009569FC">
        <w:rPr>
          <w:color w:val="000000"/>
        </w:rPr>
        <w:t>The BSEA has jurisdiction to resolve “differences of opinion among school districts, private schools, parents, and state agencies.”</w:t>
      </w:r>
      <w:r w:rsidR="009569FC">
        <w:rPr>
          <w:rStyle w:val="FootnoteReference"/>
          <w:color w:val="000000"/>
        </w:rPr>
        <w:footnoteReference w:id="2"/>
      </w:r>
      <w:r w:rsidR="009569FC" w:rsidRPr="009569FC">
        <w:rPr>
          <w:color w:val="000000"/>
        </w:rPr>
        <w:t xml:space="preserve"> </w:t>
      </w:r>
      <w:r>
        <w:rPr>
          <w:color w:val="000000"/>
        </w:rPr>
        <w:t xml:space="preserve">The </w:t>
      </w:r>
      <w:r w:rsidR="00E93C8B">
        <w:rPr>
          <w:color w:val="000000"/>
        </w:rPr>
        <w:t>o</w:t>
      </w:r>
      <w:r>
        <w:rPr>
          <w:color w:val="000000"/>
        </w:rPr>
        <w:t xml:space="preserve">utcome of </w:t>
      </w:r>
      <w:r w:rsidR="002B72FD">
        <w:rPr>
          <w:color w:val="000000"/>
        </w:rPr>
        <w:t>Lexington</w:t>
      </w:r>
      <w:r>
        <w:rPr>
          <w:color w:val="000000"/>
        </w:rPr>
        <w:t xml:space="preserve">’s </w:t>
      </w:r>
      <w:r w:rsidRPr="0068476E">
        <w:rPr>
          <w:i/>
          <w:iCs/>
          <w:color w:val="000000"/>
        </w:rPr>
        <w:t xml:space="preserve">Motion to Join </w:t>
      </w:r>
      <w:r w:rsidR="002B72FD">
        <w:rPr>
          <w:i/>
          <w:iCs/>
          <w:color w:val="000000"/>
        </w:rPr>
        <w:t>the Department of Children and Families</w:t>
      </w:r>
      <w:r>
        <w:rPr>
          <w:color w:val="000000"/>
        </w:rPr>
        <w:t xml:space="preserve"> </w:t>
      </w:r>
      <w:r w:rsidR="002B72FD">
        <w:rPr>
          <w:color w:val="000000"/>
        </w:rPr>
        <w:t>is</w:t>
      </w:r>
      <w:r>
        <w:rPr>
          <w:color w:val="000000"/>
        </w:rPr>
        <w:t xml:space="preserve"> governed by the BSEA rules for joinder. Pursuant to BSEA </w:t>
      </w:r>
      <w:r w:rsidRPr="0068476E">
        <w:rPr>
          <w:i/>
          <w:iCs/>
          <w:color w:val="000000"/>
        </w:rPr>
        <w:t>Hearing Rule</w:t>
      </w:r>
      <w:r>
        <w:rPr>
          <w:color w:val="000000"/>
        </w:rPr>
        <w:t xml:space="preserve"> I(J):  </w:t>
      </w:r>
    </w:p>
    <w:p w14:paraId="6D67CEFC" w14:textId="5C5F10C4" w:rsidR="0068476E" w:rsidRDefault="0068476E" w:rsidP="0068476E">
      <w:pPr>
        <w:pStyle w:val="NormalWeb"/>
        <w:spacing w:before="0" w:beforeAutospacing="0" w:after="0" w:afterAutospacing="0"/>
        <w:textAlignment w:val="baseline"/>
        <w:rPr>
          <w:color w:val="000000"/>
        </w:rPr>
      </w:pPr>
    </w:p>
    <w:p w14:paraId="301C27B9" w14:textId="77777777" w:rsidR="0068476E" w:rsidRDefault="0068476E" w:rsidP="0068476E">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4613193A" w14:textId="5C1B9B5F" w:rsidR="0068476E" w:rsidRDefault="0068476E" w:rsidP="0068476E">
      <w:pPr>
        <w:pStyle w:val="NormalWeb"/>
        <w:spacing w:before="0" w:beforeAutospacing="0" w:after="0" w:afterAutospacing="0"/>
        <w:textAlignment w:val="baseline"/>
        <w:rPr>
          <w:color w:val="000000"/>
        </w:rPr>
      </w:pPr>
    </w:p>
    <w:p w14:paraId="2A247756" w14:textId="4B0EEFA4" w:rsidR="00BB7DBC" w:rsidRDefault="00BB7DBC" w:rsidP="0068476E">
      <w:pPr>
        <w:pStyle w:val="NormalWeb"/>
        <w:spacing w:before="0" w:beforeAutospacing="0" w:after="0" w:afterAutospacing="0"/>
        <w:textAlignment w:val="baseline"/>
        <w:rPr>
          <w:color w:val="000000"/>
        </w:rPr>
      </w:pPr>
      <w:r>
        <w:rPr>
          <w:color w:val="000000"/>
        </w:rPr>
        <w:tab/>
        <w:t>Parties often use this rule to join state agencies (such as D</w:t>
      </w:r>
      <w:r w:rsidR="002B72FD">
        <w:rPr>
          <w:color w:val="000000"/>
        </w:rPr>
        <w:t>CF</w:t>
      </w:r>
      <w:r>
        <w:rPr>
          <w:color w:val="000000"/>
        </w:rPr>
        <w:t xml:space="preserve">) that the BSEA may determine </w:t>
      </w:r>
      <w:r w:rsidR="00E351DD">
        <w:rPr>
          <w:color w:val="000000"/>
        </w:rPr>
        <w:t xml:space="preserve">is responsible for </w:t>
      </w:r>
      <w:r>
        <w:rPr>
          <w:color w:val="000000"/>
        </w:rPr>
        <w:t>provid</w:t>
      </w:r>
      <w:r w:rsidR="00E351DD">
        <w:rPr>
          <w:color w:val="000000"/>
        </w:rPr>
        <w:t>ing s</w:t>
      </w:r>
      <w:r>
        <w:rPr>
          <w:color w:val="000000"/>
        </w:rPr>
        <w:t>ervices to a student in a matter before it</w:t>
      </w:r>
      <w:r w:rsidR="00CE2773">
        <w:rPr>
          <w:color w:val="000000"/>
        </w:rPr>
        <w:t>, if such services are necessary for the student to receive a FAPE</w:t>
      </w:r>
      <w:r w:rsidR="00D7621E">
        <w:rPr>
          <w:color w:val="000000"/>
        </w:rPr>
        <w:t xml:space="preserve"> in the least restrictive environment</w:t>
      </w:r>
      <w:r>
        <w:rPr>
          <w:color w:val="000000"/>
        </w:rPr>
        <w:t>.</w:t>
      </w:r>
      <w:r w:rsidR="00CE2773">
        <w:rPr>
          <w:rStyle w:val="FootnoteReference"/>
          <w:color w:val="000000"/>
        </w:rPr>
        <w:footnoteReference w:id="3"/>
      </w:r>
      <w:r>
        <w:rPr>
          <w:color w:val="000000"/>
        </w:rPr>
        <w:t xml:space="preserve"> The relief the BSEA may </w:t>
      </w:r>
      <w:r w:rsidR="00E351DD">
        <w:rPr>
          <w:color w:val="000000"/>
        </w:rPr>
        <w:t xml:space="preserve">order state agencies to </w:t>
      </w:r>
      <w:r>
        <w:rPr>
          <w:color w:val="000000"/>
        </w:rPr>
        <w:t xml:space="preserve">provide is limited by Mass. Gen. Laws ch. 71B, § 3, </w:t>
      </w:r>
      <w:r w:rsidR="00E93C8B">
        <w:rPr>
          <w:color w:val="000000"/>
        </w:rPr>
        <w:t>which states</w:t>
      </w:r>
      <w:r>
        <w:rPr>
          <w:color w:val="000000"/>
        </w:rPr>
        <w:t>:</w:t>
      </w:r>
    </w:p>
    <w:p w14:paraId="00C92FDF" w14:textId="036BE2DE" w:rsidR="00BB7DBC" w:rsidRDefault="00BB7DBC" w:rsidP="0068476E">
      <w:pPr>
        <w:pStyle w:val="NormalWeb"/>
        <w:spacing w:before="0" w:beforeAutospacing="0" w:after="0" w:afterAutospacing="0"/>
        <w:textAlignment w:val="baseline"/>
        <w:rPr>
          <w:color w:val="000000"/>
        </w:rPr>
      </w:pPr>
    </w:p>
    <w:p w14:paraId="45F56E5F" w14:textId="02BFDE4C" w:rsidR="00BB7DBC" w:rsidRDefault="00BB7DBC" w:rsidP="00BB7DBC">
      <w:pPr>
        <w:spacing w:after="0" w:line="240" w:lineRule="auto"/>
        <w:ind w:left="1440"/>
        <w:rPr>
          <w:rFonts w:ascii="Times New Roman" w:eastAsia="Calibri" w:hAnsi="Times New Roman" w:cs="Times New Roman"/>
          <w:color w:val="252525"/>
          <w:sz w:val="24"/>
          <w:szCs w:val="24"/>
        </w:rPr>
      </w:pPr>
      <w:r w:rsidRPr="00BB7DBC">
        <w:rPr>
          <w:rFonts w:ascii="Times New Roman" w:eastAsia="Calibri" w:hAnsi="Times New Roman" w:cs="Times New Roman"/>
          <w:sz w:val="24"/>
          <w:szCs w:val="24"/>
        </w:rPr>
        <w:t>“</w:t>
      </w:r>
      <w:r w:rsidRPr="00BB7DBC">
        <w:rPr>
          <w:rFonts w:ascii="Times New Roman" w:eastAsia="Calibri" w:hAnsi="Times New Roman" w:cs="Times New Roman"/>
          <w:color w:val="252525"/>
          <w:sz w:val="24"/>
          <w:szCs w:val="24"/>
        </w:rPr>
        <w:t>The [BSEA] hearing officer may determine, in accordance with the rules, regulations and policies of the respective agencies, that services shall be provided by the department of children and families, the department of mental retardation [now the department of developmental services], the department of mental health, the department of public health, or any other state agency or program, in addition to the program and related services to be provided by the school committee.”</w:t>
      </w:r>
      <w:r w:rsidRPr="00BB7DBC">
        <w:rPr>
          <w:rFonts w:ascii="Times New Roman" w:eastAsia="Calibri" w:hAnsi="Times New Roman" w:cs="Times New Roman"/>
          <w:color w:val="252525"/>
          <w:sz w:val="24"/>
          <w:szCs w:val="24"/>
          <w:vertAlign w:val="superscript"/>
        </w:rPr>
        <w:footnoteReference w:id="4"/>
      </w:r>
    </w:p>
    <w:p w14:paraId="2713A755" w14:textId="38072A57" w:rsidR="00BB7DBC" w:rsidRDefault="00BB7DBC" w:rsidP="00BB7DBC">
      <w:pPr>
        <w:spacing w:after="0" w:line="240" w:lineRule="auto"/>
        <w:ind w:left="1440"/>
        <w:rPr>
          <w:rFonts w:ascii="Times New Roman" w:eastAsia="Calibri" w:hAnsi="Times New Roman" w:cs="Times New Roman"/>
          <w:color w:val="252525"/>
          <w:sz w:val="24"/>
          <w:szCs w:val="24"/>
        </w:rPr>
      </w:pPr>
    </w:p>
    <w:p w14:paraId="2004A6F2" w14:textId="7CBC34EA" w:rsidR="00177848" w:rsidRDefault="00BB7DBC" w:rsidP="00BB7DBC">
      <w:pPr>
        <w:spacing w:after="0" w:line="240" w:lineRule="auto"/>
        <w:rPr>
          <w:rFonts w:ascii="Times New Roman" w:eastAsia="Calibri" w:hAnsi="Times New Roman" w:cs="Times New Roman"/>
          <w:color w:val="252525"/>
          <w:sz w:val="24"/>
          <w:szCs w:val="24"/>
        </w:rPr>
      </w:pPr>
      <w:r>
        <w:rPr>
          <w:rFonts w:ascii="Times New Roman" w:eastAsia="Calibri" w:hAnsi="Times New Roman" w:cs="Times New Roman"/>
          <w:color w:val="252525"/>
          <w:sz w:val="24"/>
          <w:szCs w:val="24"/>
        </w:rPr>
        <w:tab/>
        <w:t>Therefore, to de</w:t>
      </w:r>
      <w:r w:rsidR="00E351DD">
        <w:rPr>
          <w:rFonts w:ascii="Times New Roman" w:eastAsia="Calibri" w:hAnsi="Times New Roman" w:cs="Times New Roman"/>
          <w:color w:val="252525"/>
          <w:sz w:val="24"/>
          <w:szCs w:val="24"/>
        </w:rPr>
        <w:t>cide</w:t>
      </w:r>
      <w:r>
        <w:rPr>
          <w:rFonts w:ascii="Times New Roman" w:eastAsia="Calibri" w:hAnsi="Times New Roman" w:cs="Times New Roman"/>
          <w:color w:val="252525"/>
          <w:sz w:val="24"/>
          <w:szCs w:val="24"/>
        </w:rPr>
        <w:t xml:space="preserve"> </w:t>
      </w:r>
      <w:r w:rsidR="002B72FD">
        <w:rPr>
          <w:rFonts w:ascii="Times New Roman" w:eastAsia="Calibri" w:hAnsi="Times New Roman" w:cs="Times New Roman"/>
          <w:color w:val="252525"/>
          <w:sz w:val="24"/>
          <w:szCs w:val="24"/>
        </w:rPr>
        <w:t>whether DCF</w:t>
      </w:r>
      <w:r>
        <w:rPr>
          <w:rFonts w:ascii="Times New Roman" w:eastAsia="Calibri" w:hAnsi="Times New Roman" w:cs="Times New Roman"/>
          <w:color w:val="252525"/>
          <w:sz w:val="24"/>
          <w:szCs w:val="24"/>
        </w:rPr>
        <w:t xml:space="preserve"> should be joined as a party in </w:t>
      </w:r>
      <w:r w:rsidR="00E83BAB">
        <w:rPr>
          <w:rFonts w:ascii="Times New Roman" w:eastAsia="Calibri" w:hAnsi="Times New Roman" w:cs="Times New Roman"/>
          <w:color w:val="252525"/>
          <w:sz w:val="24"/>
          <w:szCs w:val="24"/>
        </w:rPr>
        <w:t xml:space="preserve">the instant matter, I must </w:t>
      </w:r>
      <w:r>
        <w:rPr>
          <w:rFonts w:ascii="Times New Roman" w:eastAsia="Calibri" w:hAnsi="Times New Roman" w:cs="Times New Roman"/>
          <w:color w:val="252525"/>
          <w:sz w:val="24"/>
          <w:szCs w:val="24"/>
        </w:rPr>
        <w:t>determine</w:t>
      </w:r>
      <w:r w:rsidR="00E351DD">
        <w:rPr>
          <w:rFonts w:ascii="Times New Roman" w:eastAsia="Calibri" w:hAnsi="Times New Roman" w:cs="Times New Roman"/>
          <w:color w:val="252525"/>
          <w:sz w:val="24"/>
          <w:szCs w:val="24"/>
        </w:rPr>
        <w:t>, upon consideration of the joinder factors,</w:t>
      </w:r>
      <w:r w:rsidR="00D65D85">
        <w:rPr>
          <w:rFonts w:ascii="Times New Roman" w:eastAsia="Calibri" w:hAnsi="Times New Roman" w:cs="Times New Roman"/>
          <w:color w:val="252525"/>
          <w:sz w:val="24"/>
          <w:szCs w:val="24"/>
        </w:rPr>
        <w:t xml:space="preserve"> </w:t>
      </w:r>
      <w:r>
        <w:rPr>
          <w:rFonts w:ascii="Times New Roman" w:eastAsia="Calibri" w:hAnsi="Times New Roman" w:cs="Times New Roman"/>
          <w:color w:val="252525"/>
          <w:sz w:val="24"/>
          <w:szCs w:val="24"/>
        </w:rPr>
        <w:t xml:space="preserve">whether complete relief may be granted among those who are already parties, </w:t>
      </w:r>
      <w:r w:rsidR="009569FC">
        <w:rPr>
          <w:rFonts w:ascii="Times New Roman" w:eastAsia="Calibri" w:hAnsi="Times New Roman" w:cs="Times New Roman"/>
          <w:color w:val="252525"/>
          <w:sz w:val="24"/>
          <w:szCs w:val="24"/>
        </w:rPr>
        <w:t xml:space="preserve">or if </w:t>
      </w:r>
      <w:r w:rsidR="00E83BAB">
        <w:rPr>
          <w:rFonts w:ascii="Times New Roman" w:eastAsia="Calibri" w:hAnsi="Times New Roman" w:cs="Times New Roman"/>
          <w:color w:val="252525"/>
          <w:sz w:val="24"/>
          <w:szCs w:val="24"/>
        </w:rPr>
        <w:t>DCF has</w:t>
      </w:r>
      <w:r w:rsidR="009569FC">
        <w:rPr>
          <w:rFonts w:ascii="Times New Roman" w:eastAsia="Calibri" w:hAnsi="Times New Roman" w:cs="Times New Roman"/>
          <w:color w:val="252525"/>
          <w:sz w:val="24"/>
          <w:szCs w:val="24"/>
        </w:rPr>
        <w:t xml:space="preserve"> an interest relating to the subject matter of the case and is so situated that the case cannot be disposed of in its absence.</w:t>
      </w:r>
      <w:r w:rsidR="009569FC" w:rsidRPr="009569FC">
        <w:rPr>
          <w:rFonts w:ascii="Times New Roman" w:eastAsia="Calibri" w:hAnsi="Times New Roman" w:cs="Times New Roman"/>
          <w:sz w:val="24"/>
          <w:szCs w:val="24"/>
          <w:vertAlign w:val="superscript"/>
        </w:rPr>
        <w:footnoteReference w:id="5"/>
      </w:r>
      <w:r w:rsidR="009569FC">
        <w:rPr>
          <w:rFonts w:ascii="Times New Roman" w:eastAsia="Calibri" w:hAnsi="Times New Roman" w:cs="Times New Roman"/>
          <w:color w:val="252525"/>
          <w:sz w:val="24"/>
          <w:szCs w:val="24"/>
        </w:rPr>
        <w:t xml:space="preserve"> </w:t>
      </w:r>
    </w:p>
    <w:p w14:paraId="07550C48" w14:textId="77777777" w:rsidR="009569FC" w:rsidRDefault="009569FC" w:rsidP="00BB7DBC">
      <w:pPr>
        <w:spacing w:after="0" w:line="240" w:lineRule="auto"/>
        <w:rPr>
          <w:rFonts w:ascii="Times New Roman" w:eastAsia="Calibri" w:hAnsi="Times New Roman" w:cs="Times New Roman"/>
          <w:color w:val="252525"/>
          <w:sz w:val="24"/>
          <w:szCs w:val="24"/>
        </w:rPr>
      </w:pPr>
    </w:p>
    <w:p w14:paraId="613929A7" w14:textId="15F89214" w:rsidR="009569FC" w:rsidRPr="00FB7FB4" w:rsidRDefault="00FB7FB4" w:rsidP="00FB7FB4">
      <w:pPr>
        <w:pStyle w:val="Heading1"/>
      </w:pPr>
      <w:r w:rsidRPr="00FB7FB4">
        <w:t>ANALYSIS</w:t>
      </w:r>
    </w:p>
    <w:p w14:paraId="7C7B09B1" w14:textId="6B3F5625" w:rsidR="009569FC" w:rsidRDefault="009569FC" w:rsidP="00BB7DBC">
      <w:pPr>
        <w:spacing w:after="0" w:line="240" w:lineRule="auto"/>
        <w:rPr>
          <w:rFonts w:ascii="Times New Roman" w:eastAsia="Calibri" w:hAnsi="Times New Roman" w:cs="Times New Roman"/>
          <w:color w:val="252525"/>
          <w:sz w:val="24"/>
          <w:szCs w:val="24"/>
        </w:rPr>
      </w:pPr>
    </w:p>
    <w:p w14:paraId="4B37231C" w14:textId="4D416287" w:rsidR="00692952" w:rsidRDefault="00E351DD" w:rsidP="00692952">
      <w:pPr>
        <w:pStyle w:val="NoSpacing"/>
        <w:ind w:firstLine="720"/>
        <w:rPr>
          <w:rFonts w:ascii="Times New Roman" w:hAnsi="Times New Roman" w:cs="Times New Roman"/>
          <w:sz w:val="24"/>
          <w:szCs w:val="24"/>
        </w:rPr>
      </w:pPr>
      <w:r>
        <w:rPr>
          <w:rFonts w:ascii="Times New Roman" w:hAnsi="Times New Roman" w:cs="Times New Roman"/>
          <w:sz w:val="24"/>
          <w:szCs w:val="24"/>
        </w:rPr>
        <w:t>After a hearing on the underlying case,</w:t>
      </w:r>
      <w:r w:rsidR="00692952">
        <w:rPr>
          <w:rFonts w:ascii="Times New Roman" w:hAnsi="Times New Roman" w:cs="Times New Roman"/>
          <w:sz w:val="24"/>
          <w:szCs w:val="24"/>
        </w:rPr>
        <w:t xml:space="preserve"> </w:t>
      </w:r>
      <w:r w:rsidR="00E93C8B">
        <w:rPr>
          <w:rFonts w:ascii="Times New Roman" w:hAnsi="Times New Roman" w:cs="Times New Roman"/>
          <w:sz w:val="24"/>
          <w:szCs w:val="24"/>
        </w:rPr>
        <w:t xml:space="preserve">I may find </w:t>
      </w:r>
      <w:r w:rsidR="00692952">
        <w:rPr>
          <w:rFonts w:ascii="Times New Roman" w:hAnsi="Times New Roman" w:cs="Times New Roman"/>
          <w:sz w:val="24"/>
          <w:szCs w:val="24"/>
        </w:rPr>
        <w:t xml:space="preserve">that </w:t>
      </w:r>
      <w:proofErr w:type="spellStart"/>
      <w:r w:rsidR="00692952">
        <w:rPr>
          <w:rFonts w:ascii="Times New Roman" w:hAnsi="Times New Roman" w:cs="Times New Roman"/>
          <w:sz w:val="24"/>
          <w:szCs w:val="24"/>
        </w:rPr>
        <w:t>Xili</w:t>
      </w:r>
      <w:proofErr w:type="spellEnd"/>
      <w:r w:rsidR="00692952">
        <w:rPr>
          <w:rFonts w:ascii="Times New Roman" w:hAnsi="Times New Roman" w:cs="Times New Roman"/>
          <w:sz w:val="24"/>
          <w:szCs w:val="24"/>
        </w:rPr>
        <w:t xml:space="preserve"> requires nothing more than </w:t>
      </w:r>
      <w:r w:rsidR="00C9101E">
        <w:rPr>
          <w:rFonts w:ascii="Times New Roman" w:hAnsi="Times New Roman" w:cs="Times New Roman"/>
          <w:sz w:val="24"/>
          <w:szCs w:val="24"/>
        </w:rPr>
        <w:t xml:space="preserve">an </w:t>
      </w:r>
      <w:r w:rsidR="00692952">
        <w:rPr>
          <w:rFonts w:ascii="Times New Roman" w:hAnsi="Times New Roman" w:cs="Times New Roman"/>
          <w:sz w:val="24"/>
          <w:szCs w:val="24"/>
        </w:rPr>
        <w:t>assessment in a</w:t>
      </w:r>
      <w:r w:rsidR="00C9101E">
        <w:rPr>
          <w:rFonts w:ascii="Times New Roman" w:hAnsi="Times New Roman" w:cs="Times New Roman"/>
          <w:sz w:val="24"/>
          <w:szCs w:val="24"/>
        </w:rPr>
        <w:t xml:space="preserve"> therapeutic</w:t>
      </w:r>
      <w:r w:rsidR="00692952">
        <w:rPr>
          <w:rFonts w:ascii="Times New Roman" w:hAnsi="Times New Roman" w:cs="Times New Roman"/>
          <w:sz w:val="24"/>
          <w:szCs w:val="24"/>
        </w:rPr>
        <w:t xml:space="preserve"> day program</w:t>
      </w:r>
      <w:r w:rsidR="00C9101E">
        <w:rPr>
          <w:rFonts w:ascii="Times New Roman" w:hAnsi="Times New Roman" w:cs="Times New Roman"/>
          <w:sz w:val="24"/>
          <w:szCs w:val="24"/>
        </w:rPr>
        <w:t>, as</w:t>
      </w:r>
      <w:r w:rsidR="00692952">
        <w:rPr>
          <w:rFonts w:ascii="Times New Roman" w:hAnsi="Times New Roman" w:cs="Times New Roman"/>
          <w:sz w:val="24"/>
          <w:szCs w:val="24"/>
        </w:rPr>
        <w:t xml:space="preserve"> Lexington has proposed. </w:t>
      </w:r>
      <w:r>
        <w:rPr>
          <w:rFonts w:ascii="Times New Roman" w:hAnsi="Times New Roman" w:cs="Times New Roman"/>
          <w:sz w:val="24"/>
          <w:szCs w:val="24"/>
        </w:rPr>
        <w:t>A</w:t>
      </w:r>
      <w:r w:rsidR="00692952">
        <w:rPr>
          <w:rFonts w:ascii="Times New Roman" w:hAnsi="Times New Roman" w:cs="Times New Roman"/>
          <w:sz w:val="24"/>
          <w:szCs w:val="24"/>
        </w:rPr>
        <w:t>lternative</w:t>
      </w:r>
      <w:r>
        <w:rPr>
          <w:rFonts w:ascii="Times New Roman" w:hAnsi="Times New Roman" w:cs="Times New Roman"/>
          <w:sz w:val="24"/>
          <w:szCs w:val="24"/>
        </w:rPr>
        <w:t>ly</w:t>
      </w:r>
      <w:r w:rsidR="00692952">
        <w:rPr>
          <w:rFonts w:ascii="Times New Roman" w:hAnsi="Times New Roman" w:cs="Times New Roman"/>
          <w:sz w:val="24"/>
          <w:szCs w:val="24"/>
        </w:rPr>
        <w:t>, I may find that he requires a residential therapeutic assessment for educational (as Parents contend) or non-educational (as Lexington asserts may be possible) purposes, or that he requires other home services to access his education. It appears, therefore, that the first part of the analysis weighs in favor of joinder. But I cannot order DCF to provide any services, residential or home-based, if to do so would contravene DCF’s own regulations.</w:t>
      </w:r>
    </w:p>
    <w:p w14:paraId="1D4ACC4E" w14:textId="77777777" w:rsidR="00692952" w:rsidRDefault="00692952" w:rsidP="00692952">
      <w:pPr>
        <w:pStyle w:val="NoSpacing"/>
        <w:ind w:firstLine="720"/>
        <w:rPr>
          <w:rFonts w:ascii="Times New Roman" w:hAnsi="Times New Roman" w:cs="Times New Roman"/>
          <w:sz w:val="24"/>
          <w:szCs w:val="24"/>
        </w:rPr>
      </w:pPr>
    </w:p>
    <w:p w14:paraId="4ADAAB01" w14:textId="1FC289D4" w:rsidR="003B2143" w:rsidRDefault="00692952" w:rsidP="003B2143">
      <w:pPr>
        <w:pStyle w:val="NoSpacing"/>
        <w:ind w:firstLine="720"/>
        <w:rPr>
          <w:rFonts w:ascii="Times New Roman" w:eastAsia="Calibri" w:hAnsi="Times New Roman" w:cs="Times New Roman"/>
          <w:color w:val="252525"/>
          <w:sz w:val="24"/>
          <w:szCs w:val="24"/>
        </w:rPr>
      </w:pPr>
      <w:r w:rsidRPr="00E27E3E">
        <w:rPr>
          <w:rFonts w:ascii="Times New Roman" w:hAnsi="Times New Roman" w:cs="Times New Roman"/>
          <w:sz w:val="24"/>
          <w:szCs w:val="24"/>
        </w:rPr>
        <w:t>Pursuant to its regulations, DCF may share the cost of a residential placement for a child under certain circumstances.</w:t>
      </w:r>
      <w:r w:rsidRPr="00E27E3E">
        <w:rPr>
          <w:rStyle w:val="FootnoteReference"/>
          <w:rFonts w:ascii="Times New Roman" w:hAnsi="Times New Roman" w:cs="Times New Roman"/>
          <w:sz w:val="24"/>
          <w:szCs w:val="24"/>
        </w:rPr>
        <w:footnoteReference w:id="6"/>
      </w:r>
      <w:r w:rsidRPr="00E27E3E">
        <w:rPr>
          <w:rFonts w:ascii="Times New Roman" w:hAnsi="Times New Roman" w:cs="Times New Roman"/>
          <w:sz w:val="24"/>
          <w:szCs w:val="24"/>
        </w:rPr>
        <w:t xml:space="preserve"> It may not, however, provide a placement for a child who is not in </w:t>
      </w:r>
      <w:r w:rsidRPr="00E93C8B">
        <w:rPr>
          <w:rFonts w:ascii="Times New Roman" w:hAnsi="Times New Roman" w:cs="Times New Roman"/>
          <w:sz w:val="24"/>
          <w:szCs w:val="24"/>
        </w:rPr>
        <w:lastRenderedPageBreak/>
        <w:t>its care or custody, voluntarily or otherwise.</w:t>
      </w:r>
      <w:r w:rsidRPr="00E93C8B">
        <w:rPr>
          <w:rStyle w:val="FootnoteReference"/>
          <w:rFonts w:ascii="Times New Roman" w:hAnsi="Times New Roman" w:cs="Times New Roman"/>
          <w:sz w:val="24"/>
          <w:szCs w:val="24"/>
        </w:rPr>
        <w:footnoteReference w:id="7"/>
      </w:r>
      <w:r w:rsidRPr="00E93C8B">
        <w:rPr>
          <w:rFonts w:ascii="Times New Roman" w:hAnsi="Times New Roman" w:cs="Times New Roman"/>
          <w:sz w:val="24"/>
          <w:szCs w:val="24"/>
        </w:rPr>
        <w:t xml:space="preserve"> For a child to receive voluntary DCF services, up to and including placement, DCF must first determine that he is an appropriate candidate for its services.</w:t>
      </w:r>
      <w:r w:rsidRPr="00E93C8B">
        <w:rPr>
          <w:rStyle w:val="FootnoteReference"/>
          <w:rFonts w:ascii="Times New Roman" w:hAnsi="Times New Roman" w:cs="Times New Roman"/>
          <w:sz w:val="24"/>
          <w:szCs w:val="24"/>
        </w:rPr>
        <w:footnoteReference w:id="8"/>
      </w:r>
      <w:r w:rsidRPr="00E93C8B">
        <w:rPr>
          <w:rFonts w:ascii="Times New Roman" w:hAnsi="Times New Roman" w:cs="Times New Roman"/>
          <w:sz w:val="24"/>
          <w:szCs w:val="24"/>
        </w:rPr>
        <w:t xml:space="preserve"> In this</w:t>
      </w:r>
      <w:r>
        <w:rPr>
          <w:rFonts w:ascii="Times New Roman" w:hAnsi="Times New Roman" w:cs="Times New Roman"/>
          <w:sz w:val="24"/>
          <w:szCs w:val="24"/>
        </w:rPr>
        <w:t xml:space="preserve"> case, DCF has been awarded custody of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xml:space="preserve"> in the past, and has provided residential placement</w:t>
      </w:r>
      <w:r w:rsidR="00E93C8B">
        <w:rPr>
          <w:rFonts w:ascii="Times New Roman" w:hAnsi="Times New Roman" w:cs="Times New Roman"/>
          <w:sz w:val="24"/>
          <w:szCs w:val="24"/>
        </w:rPr>
        <w:t xml:space="preserve"> for him</w:t>
      </w:r>
      <w:r>
        <w:rPr>
          <w:rFonts w:ascii="Times New Roman" w:hAnsi="Times New Roman" w:cs="Times New Roman"/>
          <w:sz w:val="24"/>
          <w:szCs w:val="24"/>
        </w:rPr>
        <w:t xml:space="preserve">. Although DCF no longer has custody of </w:t>
      </w:r>
      <w:proofErr w:type="spellStart"/>
      <w:r>
        <w:rPr>
          <w:rFonts w:ascii="Times New Roman" w:hAnsi="Times New Roman" w:cs="Times New Roman"/>
          <w:sz w:val="24"/>
          <w:szCs w:val="24"/>
        </w:rPr>
        <w:t>Xili</w:t>
      </w:r>
      <w:proofErr w:type="spellEnd"/>
      <w:r>
        <w:rPr>
          <w:rFonts w:ascii="Times New Roman" w:hAnsi="Times New Roman" w:cs="Times New Roman"/>
          <w:sz w:val="24"/>
          <w:szCs w:val="24"/>
        </w:rPr>
        <w:t>, it is unclear whether the agency maintains an open case,</w:t>
      </w:r>
      <w:r w:rsidR="003B2143">
        <w:rPr>
          <w:rFonts w:ascii="Times New Roman" w:hAnsi="Times New Roman" w:cs="Times New Roman"/>
          <w:sz w:val="24"/>
          <w:szCs w:val="24"/>
        </w:rPr>
        <w:t xml:space="preserve"> whether DCF would find </w:t>
      </w:r>
      <w:proofErr w:type="spellStart"/>
      <w:r w:rsidR="003B2143">
        <w:rPr>
          <w:rFonts w:ascii="Times New Roman" w:hAnsi="Times New Roman" w:cs="Times New Roman"/>
          <w:sz w:val="24"/>
          <w:szCs w:val="24"/>
        </w:rPr>
        <w:t>Xili</w:t>
      </w:r>
      <w:proofErr w:type="spellEnd"/>
      <w:r w:rsidR="003B2143">
        <w:rPr>
          <w:rFonts w:ascii="Times New Roman" w:hAnsi="Times New Roman" w:cs="Times New Roman"/>
          <w:sz w:val="24"/>
          <w:szCs w:val="24"/>
        </w:rPr>
        <w:t xml:space="preserve"> appropriate for voluntary services, </w:t>
      </w:r>
      <w:r w:rsidR="00EE4E2C">
        <w:rPr>
          <w:rFonts w:ascii="Times New Roman" w:hAnsi="Times New Roman" w:cs="Times New Roman"/>
          <w:sz w:val="24"/>
          <w:szCs w:val="24"/>
        </w:rPr>
        <w:t>and/</w:t>
      </w:r>
      <w:r>
        <w:rPr>
          <w:rFonts w:ascii="Times New Roman" w:hAnsi="Times New Roman" w:cs="Times New Roman"/>
          <w:sz w:val="24"/>
          <w:szCs w:val="24"/>
        </w:rPr>
        <w:t>or whether the parties would consider a voluntary</w:t>
      </w:r>
      <w:r w:rsidR="003B2143">
        <w:rPr>
          <w:rFonts w:ascii="Times New Roman" w:hAnsi="Times New Roman" w:cs="Times New Roman"/>
          <w:sz w:val="24"/>
          <w:szCs w:val="24"/>
        </w:rPr>
        <w:t xml:space="preserve"> placement</w:t>
      </w:r>
      <w:r>
        <w:rPr>
          <w:rFonts w:ascii="Times New Roman" w:hAnsi="Times New Roman" w:cs="Times New Roman"/>
          <w:sz w:val="24"/>
          <w:szCs w:val="24"/>
        </w:rPr>
        <w:t xml:space="preserve"> agreement.</w:t>
      </w:r>
      <w:r w:rsidR="003B2143">
        <w:rPr>
          <w:rFonts w:ascii="Times New Roman" w:hAnsi="Times New Roman" w:cs="Times New Roman"/>
          <w:sz w:val="24"/>
          <w:szCs w:val="24"/>
        </w:rPr>
        <w:t xml:space="preserve"> Furthermore, it is possible that I will find, as Lexington asserts, that </w:t>
      </w:r>
      <w:proofErr w:type="spellStart"/>
      <w:r w:rsidR="006D2091">
        <w:rPr>
          <w:rFonts w:ascii="Times New Roman" w:eastAsia="Calibri" w:hAnsi="Times New Roman" w:cs="Times New Roman"/>
          <w:color w:val="252525"/>
          <w:sz w:val="24"/>
          <w:szCs w:val="24"/>
        </w:rPr>
        <w:t>Xili</w:t>
      </w:r>
      <w:proofErr w:type="spellEnd"/>
      <w:r w:rsidR="006D2091">
        <w:rPr>
          <w:rFonts w:ascii="Times New Roman" w:eastAsia="Calibri" w:hAnsi="Times New Roman" w:cs="Times New Roman"/>
          <w:color w:val="252525"/>
          <w:sz w:val="24"/>
          <w:szCs w:val="24"/>
        </w:rPr>
        <w:t xml:space="preserve"> does not need to be evaluated residentially, </w:t>
      </w:r>
      <w:r w:rsidR="003B2143">
        <w:rPr>
          <w:rFonts w:ascii="Times New Roman" w:eastAsia="Calibri" w:hAnsi="Times New Roman" w:cs="Times New Roman"/>
          <w:color w:val="252525"/>
          <w:sz w:val="24"/>
          <w:szCs w:val="24"/>
        </w:rPr>
        <w:t>but</w:t>
      </w:r>
      <w:r w:rsidR="006D2091">
        <w:rPr>
          <w:rFonts w:ascii="Times New Roman" w:eastAsia="Calibri" w:hAnsi="Times New Roman" w:cs="Times New Roman"/>
          <w:color w:val="252525"/>
          <w:sz w:val="24"/>
          <w:szCs w:val="24"/>
        </w:rPr>
        <w:t xml:space="preserve"> that he requires additional home-based services </w:t>
      </w:r>
      <w:proofErr w:type="gramStart"/>
      <w:r w:rsidR="00D7621E">
        <w:rPr>
          <w:rFonts w:ascii="Times New Roman" w:eastAsia="Calibri" w:hAnsi="Times New Roman" w:cs="Times New Roman"/>
          <w:color w:val="252525"/>
          <w:sz w:val="24"/>
          <w:szCs w:val="24"/>
        </w:rPr>
        <w:t>in order to</w:t>
      </w:r>
      <w:proofErr w:type="gramEnd"/>
      <w:r w:rsidR="00D7621E">
        <w:rPr>
          <w:rFonts w:ascii="Times New Roman" w:eastAsia="Calibri" w:hAnsi="Times New Roman" w:cs="Times New Roman"/>
          <w:color w:val="252525"/>
          <w:sz w:val="24"/>
          <w:szCs w:val="24"/>
        </w:rPr>
        <w:t xml:space="preserve"> access FAPE</w:t>
      </w:r>
      <w:r w:rsidR="00DF51E6">
        <w:rPr>
          <w:rFonts w:ascii="Times New Roman" w:eastAsia="Calibri" w:hAnsi="Times New Roman" w:cs="Times New Roman"/>
          <w:color w:val="252525"/>
          <w:sz w:val="24"/>
          <w:szCs w:val="24"/>
        </w:rPr>
        <w:t>, that these services</w:t>
      </w:r>
      <w:r w:rsidR="006D2091">
        <w:rPr>
          <w:rFonts w:ascii="Times New Roman" w:eastAsia="Calibri" w:hAnsi="Times New Roman" w:cs="Times New Roman"/>
          <w:color w:val="252525"/>
          <w:sz w:val="24"/>
          <w:szCs w:val="24"/>
        </w:rPr>
        <w:t xml:space="preserve"> </w:t>
      </w:r>
      <w:r w:rsidR="00DF51E6">
        <w:rPr>
          <w:rFonts w:ascii="Times New Roman" w:eastAsia="Calibri" w:hAnsi="Times New Roman" w:cs="Times New Roman"/>
          <w:color w:val="252525"/>
          <w:sz w:val="24"/>
          <w:szCs w:val="24"/>
        </w:rPr>
        <w:t>ar</w:t>
      </w:r>
      <w:r w:rsidR="006D2091">
        <w:rPr>
          <w:rFonts w:ascii="Times New Roman" w:eastAsia="Calibri" w:hAnsi="Times New Roman" w:cs="Times New Roman"/>
          <w:color w:val="252525"/>
          <w:sz w:val="24"/>
          <w:szCs w:val="24"/>
        </w:rPr>
        <w:t>e within DCF’s purview</w:t>
      </w:r>
      <w:r w:rsidR="00DF51E6">
        <w:rPr>
          <w:rFonts w:ascii="Times New Roman" w:eastAsia="Calibri" w:hAnsi="Times New Roman" w:cs="Times New Roman"/>
          <w:color w:val="252525"/>
          <w:sz w:val="24"/>
          <w:szCs w:val="24"/>
        </w:rPr>
        <w:t xml:space="preserve">, and that providing them is consistent with DCF’s rules and regulations. </w:t>
      </w:r>
    </w:p>
    <w:p w14:paraId="256CBA35" w14:textId="77777777" w:rsidR="003B2143" w:rsidRDefault="003B2143" w:rsidP="003B2143">
      <w:pPr>
        <w:pStyle w:val="NoSpacing"/>
        <w:ind w:firstLine="720"/>
        <w:rPr>
          <w:rFonts w:ascii="Times New Roman" w:eastAsia="Calibri" w:hAnsi="Times New Roman" w:cs="Times New Roman"/>
          <w:color w:val="252525"/>
          <w:sz w:val="24"/>
          <w:szCs w:val="24"/>
        </w:rPr>
      </w:pPr>
    </w:p>
    <w:p w14:paraId="39FABEDC" w14:textId="5B46F85B" w:rsidR="009569FC" w:rsidRPr="00D7621E" w:rsidRDefault="00B5198D" w:rsidP="00D7621E">
      <w:pPr>
        <w:pStyle w:val="NoSpacing"/>
        <w:ind w:firstLine="720"/>
        <w:rPr>
          <w:rFonts w:ascii="Times New Roman" w:hAnsi="Times New Roman" w:cs="Times New Roman"/>
          <w:sz w:val="24"/>
          <w:szCs w:val="24"/>
        </w:rPr>
      </w:pPr>
      <w:r>
        <w:rPr>
          <w:rFonts w:ascii="Times New Roman" w:eastAsia="Calibri" w:hAnsi="Times New Roman" w:cs="Times New Roman"/>
          <w:color w:val="252525"/>
          <w:sz w:val="24"/>
          <w:szCs w:val="24"/>
        </w:rPr>
        <w:t>As I cannot rule out these poss</w:t>
      </w:r>
      <w:r w:rsidR="003B2143">
        <w:rPr>
          <w:rFonts w:ascii="Times New Roman" w:eastAsia="Calibri" w:hAnsi="Times New Roman" w:cs="Times New Roman"/>
          <w:color w:val="252525"/>
          <w:sz w:val="24"/>
          <w:szCs w:val="24"/>
        </w:rPr>
        <w:t>ibilities at this early stage in the proceeding</w:t>
      </w:r>
      <w:r>
        <w:rPr>
          <w:rFonts w:ascii="Times New Roman" w:eastAsia="Calibri" w:hAnsi="Times New Roman" w:cs="Times New Roman"/>
          <w:color w:val="252525"/>
          <w:sz w:val="24"/>
          <w:szCs w:val="24"/>
        </w:rPr>
        <w:t xml:space="preserve">s, joinder of DCF </w:t>
      </w:r>
      <w:r w:rsidR="002050B5">
        <w:rPr>
          <w:rFonts w:ascii="Times New Roman" w:eastAsia="Calibri" w:hAnsi="Times New Roman" w:cs="Times New Roman"/>
          <w:color w:val="252525"/>
          <w:sz w:val="24"/>
          <w:szCs w:val="24"/>
        </w:rPr>
        <w:t xml:space="preserve">is appropriate. DCF may have an interest in the matter, </w:t>
      </w:r>
      <w:r w:rsidR="0028577A">
        <w:rPr>
          <w:rFonts w:ascii="Times New Roman" w:eastAsia="Calibri" w:hAnsi="Times New Roman" w:cs="Times New Roman"/>
          <w:color w:val="252525"/>
          <w:sz w:val="24"/>
          <w:szCs w:val="24"/>
        </w:rPr>
        <w:t xml:space="preserve">and </w:t>
      </w:r>
      <w:r w:rsidR="002050B5">
        <w:rPr>
          <w:rFonts w:ascii="Times New Roman" w:eastAsia="Calibri" w:hAnsi="Times New Roman" w:cs="Times New Roman"/>
          <w:color w:val="252525"/>
          <w:sz w:val="24"/>
          <w:szCs w:val="24"/>
        </w:rPr>
        <w:t xml:space="preserve">because </w:t>
      </w:r>
      <w:r>
        <w:rPr>
          <w:rFonts w:ascii="Times New Roman" w:eastAsia="Calibri" w:hAnsi="Times New Roman" w:cs="Times New Roman"/>
          <w:color w:val="252525"/>
          <w:sz w:val="24"/>
          <w:szCs w:val="24"/>
        </w:rPr>
        <w:t xml:space="preserve">I may not be able to </w:t>
      </w:r>
      <w:r w:rsidR="002050B5">
        <w:rPr>
          <w:rFonts w:ascii="Times New Roman" w:eastAsia="Calibri" w:hAnsi="Times New Roman" w:cs="Times New Roman"/>
          <w:color w:val="252525"/>
          <w:sz w:val="24"/>
          <w:szCs w:val="24"/>
        </w:rPr>
        <w:t xml:space="preserve">fashion the </w:t>
      </w:r>
      <w:r>
        <w:rPr>
          <w:rFonts w:ascii="Times New Roman" w:eastAsia="Calibri" w:hAnsi="Times New Roman" w:cs="Times New Roman"/>
          <w:color w:val="252525"/>
          <w:sz w:val="24"/>
          <w:szCs w:val="24"/>
        </w:rPr>
        <w:t>complete relief</w:t>
      </w:r>
      <w:r w:rsidR="002050B5">
        <w:rPr>
          <w:rFonts w:ascii="Times New Roman" w:eastAsia="Calibri" w:hAnsi="Times New Roman" w:cs="Times New Roman"/>
          <w:color w:val="252525"/>
          <w:sz w:val="24"/>
          <w:szCs w:val="24"/>
        </w:rPr>
        <w:t xml:space="preserve"> needed to support </w:t>
      </w:r>
      <w:proofErr w:type="spellStart"/>
      <w:r w:rsidR="002050B5">
        <w:rPr>
          <w:rFonts w:ascii="Times New Roman" w:eastAsia="Calibri" w:hAnsi="Times New Roman" w:cs="Times New Roman"/>
          <w:color w:val="252525"/>
          <w:sz w:val="24"/>
          <w:szCs w:val="24"/>
        </w:rPr>
        <w:t>Xili’s</w:t>
      </w:r>
      <w:proofErr w:type="spellEnd"/>
      <w:r w:rsidR="002050B5">
        <w:rPr>
          <w:rFonts w:ascii="Times New Roman" w:eastAsia="Calibri" w:hAnsi="Times New Roman" w:cs="Times New Roman"/>
          <w:color w:val="252525"/>
          <w:sz w:val="24"/>
          <w:szCs w:val="24"/>
        </w:rPr>
        <w:t xml:space="preserve"> needs, or otherwise enter an appropriate judgment after a hearing</w:t>
      </w:r>
      <w:r w:rsidR="001C3CE5">
        <w:rPr>
          <w:rFonts w:ascii="Times New Roman" w:eastAsia="Calibri" w:hAnsi="Times New Roman" w:cs="Times New Roman"/>
          <w:color w:val="252525"/>
          <w:sz w:val="24"/>
          <w:szCs w:val="24"/>
        </w:rPr>
        <w:t>,</w:t>
      </w:r>
      <w:r>
        <w:rPr>
          <w:rFonts w:ascii="Times New Roman" w:eastAsia="Calibri" w:hAnsi="Times New Roman" w:cs="Times New Roman"/>
          <w:color w:val="252525"/>
          <w:sz w:val="24"/>
          <w:szCs w:val="24"/>
        </w:rPr>
        <w:t xml:space="preserve"> in the agency’s absence</w:t>
      </w:r>
      <w:r w:rsidR="002050B5">
        <w:rPr>
          <w:rFonts w:ascii="Times New Roman" w:eastAsia="Calibri" w:hAnsi="Times New Roman" w:cs="Times New Roman"/>
          <w:color w:val="252525"/>
          <w:sz w:val="24"/>
          <w:szCs w:val="24"/>
        </w:rPr>
        <w:t>, the risk of prejudice to the present parties in the absence of joinder is great</w:t>
      </w:r>
      <w:r w:rsidR="0028577A">
        <w:rPr>
          <w:rFonts w:ascii="Times New Roman" w:eastAsia="Calibri" w:hAnsi="Times New Roman" w:cs="Times New Roman"/>
          <w:color w:val="252525"/>
          <w:sz w:val="24"/>
          <w:szCs w:val="24"/>
        </w:rPr>
        <w:t>. Moreover, joining DCF would foster administrative efficiency.</w:t>
      </w:r>
    </w:p>
    <w:p w14:paraId="76F96423" w14:textId="3229B80A" w:rsidR="0028577A" w:rsidRDefault="0028577A" w:rsidP="00BB7DBC">
      <w:pPr>
        <w:spacing w:after="0" w:line="240" w:lineRule="auto"/>
        <w:rPr>
          <w:rFonts w:ascii="Times New Roman" w:eastAsia="Calibri" w:hAnsi="Times New Roman" w:cs="Times New Roman"/>
          <w:color w:val="252525"/>
          <w:sz w:val="24"/>
          <w:szCs w:val="24"/>
        </w:rPr>
      </w:pPr>
    </w:p>
    <w:p w14:paraId="53C67223" w14:textId="77777777" w:rsidR="002F617D" w:rsidRPr="002F617D" w:rsidRDefault="002F617D" w:rsidP="002F617D">
      <w:pPr>
        <w:spacing w:after="0" w:line="240" w:lineRule="auto"/>
        <w:rPr>
          <w:rFonts w:ascii="Times New Roman" w:eastAsia="Calibri" w:hAnsi="Times New Roman" w:cs="Times New Roman"/>
          <w:color w:val="252525"/>
          <w:sz w:val="24"/>
          <w:szCs w:val="24"/>
          <w:u w:val="single"/>
        </w:rPr>
      </w:pPr>
      <w:r w:rsidRPr="002F617D">
        <w:rPr>
          <w:rFonts w:ascii="Times New Roman" w:eastAsia="Calibri" w:hAnsi="Times New Roman" w:cs="Times New Roman"/>
          <w:color w:val="252525"/>
          <w:sz w:val="24"/>
          <w:szCs w:val="24"/>
          <w:u w:val="single"/>
        </w:rPr>
        <w:t>CONCLUSION</w:t>
      </w:r>
    </w:p>
    <w:p w14:paraId="5EE4B7EA" w14:textId="77777777" w:rsidR="002F617D" w:rsidRDefault="002F617D" w:rsidP="00BB7DBC">
      <w:pPr>
        <w:spacing w:after="0" w:line="240" w:lineRule="auto"/>
        <w:rPr>
          <w:rFonts w:ascii="Times New Roman" w:eastAsia="Calibri" w:hAnsi="Times New Roman" w:cs="Times New Roman"/>
          <w:color w:val="252525"/>
          <w:sz w:val="24"/>
          <w:szCs w:val="24"/>
        </w:rPr>
      </w:pPr>
    </w:p>
    <w:p w14:paraId="641EF9AA" w14:textId="73866C54" w:rsidR="002F617D" w:rsidRDefault="00B5198D" w:rsidP="00BB7DBC">
      <w:pPr>
        <w:spacing w:after="0" w:line="240" w:lineRule="auto"/>
        <w:rPr>
          <w:rFonts w:ascii="Times New Roman" w:eastAsia="Calibri" w:hAnsi="Times New Roman" w:cs="Times New Roman"/>
          <w:color w:val="252525"/>
          <w:sz w:val="24"/>
          <w:szCs w:val="24"/>
        </w:rPr>
      </w:pPr>
      <w:r>
        <w:rPr>
          <w:rFonts w:ascii="Times New Roman" w:eastAsia="Calibri" w:hAnsi="Times New Roman" w:cs="Times New Roman"/>
          <w:color w:val="252525"/>
          <w:sz w:val="24"/>
          <w:szCs w:val="24"/>
        </w:rPr>
        <w:tab/>
        <w:t>For the reasons above, DCF is a necessary party in this matter.</w:t>
      </w:r>
    </w:p>
    <w:p w14:paraId="6C9EE3B0" w14:textId="77777777" w:rsidR="002F617D" w:rsidRDefault="002F617D" w:rsidP="00BB7DBC">
      <w:pPr>
        <w:spacing w:after="0" w:line="240" w:lineRule="auto"/>
        <w:rPr>
          <w:rFonts w:ascii="Times New Roman" w:eastAsia="Calibri" w:hAnsi="Times New Roman" w:cs="Times New Roman"/>
          <w:color w:val="252525"/>
          <w:sz w:val="24"/>
          <w:szCs w:val="24"/>
        </w:rPr>
      </w:pPr>
    </w:p>
    <w:p w14:paraId="7A9B7E2D" w14:textId="77777777" w:rsidR="002F617D" w:rsidRPr="002F617D" w:rsidRDefault="002F617D" w:rsidP="002F617D">
      <w:pPr>
        <w:spacing w:after="0" w:line="240" w:lineRule="auto"/>
        <w:rPr>
          <w:rFonts w:ascii="Times New Roman" w:eastAsia="Calibri" w:hAnsi="Times New Roman" w:cs="Times New Roman"/>
          <w:b/>
          <w:sz w:val="24"/>
          <w:szCs w:val="24"/>
        </w:rPr>
      </w:pPr>
      <w:r w:rsidRPr="002F617D">
        <w:rPr>
          <w:rFonts w:ascii="Times New Roman" w:eastAsia="Calibri" w:hAnsi="Times New Roman" w:cs="Times New Roman"/>
          <w:b/>
          <w:sz w:val="24"/>
          <w:szCs w:val="24"/>
        </w:rPr>
        <w:t>ORDER</w:t>
      </w:r>
    </w:p>
    <w:p w14:paraId="1367EFFF" w14:textId="77777777" w:rsidR="00681402" w:rsidRDefault="00681402" w:rsidP="00681402">
      <w:pPr>
        <w:spacing w:after="0" w:line="240" w:lineRule="auto"/>
        <w:ind w:left="720"/>
        <w:contextualSpacing/>
        <w:rPr>
          <w:rFonts w:ascii="Times New Roman" w:eastAsia="Calibri" w:hAnsi="Times New Roman" w:cs="Times New Roman"/>
          <w:b/>
          <w:sz w:val="24"/>
          <w:szCs w:val="24"/>
        </w:rPr>
      </w:pPr>
    </w:p>
    <w:p w14:paraId="63C985E1" w14:textId="06F6D232" w:rsidR="002F617D" w:rsidRDefault="00681402" w:rsidP="00681402">
      <w:pPr>
        <w:spacing w:after="0" w:line="240" w:lineRule="auto"/>
        <w:contextualSpacing/>
        <w:rPr>
          <w:rFonts w:ascii="Times New Roman" w:eastAsia="Calibri" w:hAnsi="Times New Roman" w:cs="Times New Roman"/>
          <w:sz w:val="24"/>
          <w:szCs w:val="24"/>
        </w:rPr>
      </w:pPr>
      <w:r w:rsidRPr="00681402">
        <w:rPr>
          <w:rFonts w:ascii="Times New Roman" w:eastAsia="Calibri" w:hAnsi="Times New Roman" w:cs="Times New Roman"/>
          <w:bCs/>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00C179E0">
        <w:rPr>
          <w:rFonts w:ascii="Times New Roman" w:eastAsia="Calibri" w:hAnsi="Times New Roman" w:cs="Times New Roman"/>
          <w:sz w:val="24"/>
          <w:szCs w:val="24"/>
        </w:rPr>
        <w:t>Lexington</w:t>
      </w:r>
      <w:r w:rsidR="002F617D" w:rsidRPr="002F617D">
        <w:rPr>
          <w:rFonts w:ascii="Times New Roman" w:eastAsia="Calibri" w:hAnsi="Times New Roman" w:cs="Times New Roman"/>
          <w:sz w:val="24"/>
          <w:szCs w:val="24"/>
        </w:rPr>
        <w:t xml:space="preserve">’s </w:t>
      </w:r>
      <w:r w:rsidRPr="00681402">
        <w:rPr>
          <w:rFonts w:ascii="Times New Roman" w:eastAsia="Calibri" w:hAnsi="Times New Roman" w:cs="Times New Roman"/>
          <w:i/>
          <w:sz w:val="24"/>
          <w:szCs w:val="24"/>
        </w:rPr>
        <w:t xml:space="preserve">Motion to Join </w:t>
      </w:r>
      <w:r w:rsidR="00C179E0">
        <w:rPr>
          <w:rFonts w:ascii="Times New Roman" w:eastAsia="Calibri" w:hAnsi="Times New Roman" w:cs="Times New Roman"/>
          <w:i/>
          <w:sz w:val="24"/>
          <w:szCs w:val="24"/>
        </w:rPr>
        <w:t>the Department of Children and Families</w:t>
      </w:r>
      <w:r w:rsidRPr="00681402">
        <w:rPr>
          <w:rFonts w:ascii="Times New Roman" w:eastAsia="Calibri" w:hAnsi="Times New Roman" w:cs="Times New Roman"/>
          <w:i/>
          <w:sz w:val="24"/>
          <w:szCs w:val="24"/>
        </w:rPr>
        <w:t xml:space="preserve"> </w:t>
      </w:r>
      <w:r w:rsidR="002F617D" w:rsidRPr="002F617D">
        <w:rPr>
          <w:rFonts w:ascii="Times New Roman" w:eastAsia="Calibri" w:hAnsi="Times New Roman" w:cs="Times New Roman"/>
          <w:sz w:val="24"/>
          <w:szCs w:val="24"/>
        </w:rPr>
        <w:t xml:space="preserve">is hereby </w:t>
      </w:r>
      <w:r w:rsidR="00C179E0">
        <w:rPr>
          <w:rFonts w:ascii="Times New Roman" w:eastAsia="Calibri" w:hAnsi="Times New Roman" w:cs="Times New Roman"/>
          <w:sz w:val="24"/>
          <w:szCs w:val="24"/>
        </w:rPr>
        <w:tab/>
      </w:r>
      <w:r w:rsidR="002F617D" w:rsidRPr="002F617D">
        <w:rPr>
          <w:rFonts w:ascii="Times New Roman" w:eastAsia="Calibri" w:hAnsi="Times New Roman" w:cs="Times New Roman"/>
          <w:sz w:val="24"/>
          <w:szCs w:val="24"/>
          <w:u w:val="single"/>
        </w:rPr>
        <w:t>ALLOWED</w:t>
      </w:r>
      <w:r w:rsidR="002F617D" w:rsidRPr="002F617D">
        <w:rPr>
          <w:rFonts w:ascii="Times New Roman" w:eastAsia="Calibri" w:hAnsi="Times New Roman" w:cs="Times New Roman"/>
          <w:sz w:val="24"/>
          <w:szCs w:val="24"/>
        </w:rPr>
        <w:t>.</w:t>
      </w:r>
    </w:p>
    <w:p w14:paraId="45EA8F6C" w14:textId="77777777" w:rsidR="00B5198D" w:rsidRDefault="00B5198D" w:rsidP="00681402">
      <w:pPr>
        <w:spacing w:after="0" w:line="240" w:lineRule="auto"/>
        <w:contextualSpacing/>
        <w:rPr>
          <w:rFonts w:ascii="Times New Roman" w:eastAsia="Calibri" w:hAnsi="Times New Roman" w:cs="Times New Roman"/>
          <w:sz w:val="24"/>
          <w:szCs w:val="24"/>
        </w:rPr>
      </w:pPr>
    </w:p>
    <w:p w14:paraId="2129DB23" w14:textId="2B5AF8F9" w:rsidR="00B5198D" w:rsidRDefault="00E375B7" w:rsidP="00EE4E2C">
      <w:pPr>
        <w:spacing w:after="0" w:line="240" w:lineRule="auto"/>
        <w:ind w:left="720" w:hanging="72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t xml:space="preserve">A Virtual Pre-Hearing Conference will take place via Zoom at 11:00 AM on April 8, 2022. The parties are directed to send email addresses for all participants to the Hearing Officer by close </w:t>
      </w:r>
      <w:r w:rsidR="00EE4E2C">
        <w:rPr>
          <w:rFonts w:ascii="Times New Roman" w:eastAsia="Calibri" w:hAnsi="Times New Roman" w:cs="Times New Roman"/>
          <w:sz w:val="24"/>
          <w:szCs w:val="24"/>
        </w:rPr>
        <w:t>of</w:t>
      </w:r>
      <w:r>
        <w:rPr>
          <w:rFonts w:ascii="Times New Roman" w:eastAsia="Calibri" w:hAnsi="Times New Roman" w:cs="Times New Roman"/>
          <w:sz w:val="24"/>
          <w:szCs w:val="24"/>
        </w:rPr>
        <w:t xml:space="preserve"> business on April 1, 2022.</w:t>
      </w:r>
    </w:p>
    <w:p w14:paraId="36A5E131" w14:textId="77777777" w:rsidR="00B5198D" w:rsidRDefault="00B5198D" w:rsidP="00681402">
      <w:pPr>
        <w:spacing w:after="0" w:line="240" w:lineRule="auto"/>
        <w:contextualSpacing/>
        <w:rPr>
          <w:rFonts w:ascii="Times New Roman" w:eastAsia="Calibri" w:hAnsi="Times New Roman" w:cs="Times New Roman"/>
          <w:sz w:val="24"/>
          <w:szCs w:val="24"/>
        </w:rPr>
      </w:pPr>
    </w:p>
    <w:p w14:paraId="2F1BF3EE" w14:textId="5C0E4358" w:rsidR="00E375B7" w:rsidRDefault="00E375B7" w:rsidP="00EE4E2C">
      <w:pPr>
        <w:spacing w:after="0" w:line="240" w:lineRule="auto"/>
        <w:ind w:left="720" w:hanging="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EE4E2C">
        <w:rPr>
          <w:rFonts w:ascii="Times New Roman" w:eastAsia="Calibri" w:hAnsi="Times New Roman" w:cs="Times New Roman"/>
          <w:sz w:val="24"/>
          <w:szCs w:val="24"/>
        </w:rPr>
        <w:tab/>
      </w:r>
      <w:r>
        <w:rPr>
          <w:rFonts w:ascii="Times New Roman" w:eastAsia="Calibri" w:hAnsi="Times New Roman" w:cs="Times New Roman"/>
          <w:sz w:val="24"/>
          <w:szCs w:val="24"/>
        </w:rPr>
        <w:t xml:space="preserve">The Hearing will </w:t>
      </w:r>
      <w:r w:rsidR="00B5198D">
        <w:rPr>
          <w:rFonts w:ascii="Times New Roman" w:eastAsia="Calibri" w:hAnsi="Times New Roman" w:cs="Times New Roman"/>
          <w:sz w:val="24"/>
          <w:szCs w:val="24"/>
        </w:rPr>
        <w:t>take</w:t>
      </w:r>
      <w:r>
        <w:rPr>
          <w:rFonts w:ascii="Times New Roman" w:eastAsia="Calibri" w:hAnsi="Times New Roman" w:cs="Times New Roman"/>
          <w:sz w:val="24"/>
          <w:szCs w:val="24"/>
        </w:rPr>
        <w:t xml:space="preserve"> place via Zoom on May 4, 9, and 10, 2022, beginning at 10:00 AM each day. Exhibits and witness lists are due April 27, 2022, with a copy to the Court Reporter.</w:t>
      </w:r>
    </w:p>
    <w:p w14:paraId="3673F9DD" w14:textId="1A455A8B" w:rsidR="00B5198D" w:rsidRPr="00A6129F" w:rsidRDefault="00B5198D" w:rsidP="00A6129F">
      <w:pPr>
        <w:spacing w:after="0" w:line="240" w:lineRule="auto"/>
        <w:contextualSpacing/>
        <w:rPr>
          <w:rFonts w:ascii="Times New Roman" w:eastAsia="Calibri" w:hAnsi="Times New Roman" w:cs="Times New Roman"/>
          <w:sz w:val="24"/>
          <w:szCs w:val="24"/>
        </w:rPr>
      </w:pPr>
    </w:p>
    <w:p w14:paraId="71AF565E" w14:textId="6E91461D" w:rsidR="00B5198D" w:rsidRPr="00A6129F" w:rsidRDefault="00B5198D" w:rsidP="00A6129F">
      <w:pPr>
        <w:spacing w:after="0" w:line="240" w:lineRule="auto"/>
        <w:contextualSpacing/>
        <w:rPr>
          <w:rFonts w:ascii="Times New Roman" w:eastAsia="Calibri" w:hAnsi="Times New Roman" w:cs="Times New Roman"/>
          <w:sz w:val="24"/>
          <w:szCs w:val="24"/>
        </w:rPr>
      </w:pPr>
    </w:p>
    <w:p w14:paraId="0149F656" w14:textId="77777777" w:rsidR="00A6129F" w:rsidRPr="00A6129F" w:rsidRDefault="00A6129F" w:rsidP="00A6129F">
      <w:pPr>
        <w:spacing w:after="0"/>
        <w:rPr>
          <w:rFonts w:ascii="Times New Roman" w:hAnsi="Times New Roman" w:cs="Times New Roman"/>
          <w:sz w:val="24"/>
          <w:szCs w:val="24"/>
        </w:rPr>
      </w:pPr>
      <w:r w:rsidRPr="00A6129F">
        <w:rPr>
          <w:rFonts w:ascii="Times New Roman" w:hAnsi="Times New Roman" w:cs="Times New Roman"/>
          <w:sz w:val="24"/>
          <w:szCs w:val="24"/>
        </w:rPr>
        <w:t>By the Hearing Officer:</w:t>
      </w:r>
      <w:r w:rsidRPr="00A6129F">
        <w:rPr>
          <w:rStyle w:val="FootnoteReference"/>
          <w:rFonts w:ascii="Times New Roman" w:hAnsi="Times New Roman" w:cs="Times New Roman"/>
          <w:sz w:val="24"/>
          <w:szCs w:val="24"/>
        </w:rPr>
        <w:footnoteReference w:id="9"/>
      </w:r>
    </w:p>
    <w:p w14:paraId="0D7BE4B0" w14:textId="77777777" w:rsidR="00A6129F" w:rsidRPr="00A6129F" w:rsidRDefault="00A6129F" w:rsidP="00A6129F">
      <w:pPr>
        <w:spacing w:after="0"/>
        <w:rPr>
          <w:rFonts w:ascii="Times New Roman" w:hAnsi="Times New Roman" w:cs="Times New Roman"/>
          <w:sz w:val="24"/>
          <w:szCs w:val="24"/>
        </w:rPr>
      </w:pPr>
    </w:p>
    <w:p w14:paraId="6500E431" w14:textId="77777777" w:rsidR="00A6129F" w:rsidRPr="00A6129F" w:rsidRDefault="00A6129F" w:rsidP="00A6129F">
      <w:pPr>
        <w:spacing w:after="0"/>
        <w:rPr>
          <w:rFonts w:ascii="Times New Roman" w:hAnsi="Times New Roman" w:cs="Times New Roman"/>
          <w:sz w:val="24"/>
          <w:szCs w:val="24"/>
          <w:u w:val="single"/>
        </w:rPr>
      </w:pPr>
      <w:r w:rsidRPr="00A6129F">
        <w:rPr>
          <w:rFonts w:ascii="Times New Roman" w:hAnsi="Times New Roman" w:cs="Times New Roman"/>
          <w:sz w:val="24"/>
          <w:szCs w:val="24"/>
          <w:u w:val="single"/>
        </w:rPr>
        <w:t xml:space="preserve">      /s/</w:t>
      </w:r>
      <w:r w:rsidRPr="00A6129F">
        <w:rPr>
          <w:rFonts w:ascii="Times New Roman" w:hAnsi="Times New Roman" w:cs="Times New Roman"/>
          <w:sz w:val="24"/>
          <w:szCs w:val="24"/>
          <w:u w:val="single"/>
        </w:rPr>
        <w:tab/>
      </w:r>
      <w:r w:rsidRPr="00A6129F">
        <w:rPr>
          <w:rFonts w:ascii="Freestyle Script" w:hAnsi="Freestyle Script" w:cs="Times New Roman"/>
          <w:sz w:val="32"/>
          <w:szCs w:val="32"/>
          <w:u w:val="single"/>
        </w:rPr>
        <w:t>Amy M. Reichbach</w:t>
      </w:r>
    </w:p>
    <w:p w14:paraId="5CEB095B" w14:textId="4C6163F6" w:rsidR="00BB7DBC" w:rsidRPr="00D7621E" w:rsidRDefault="00A6129F" w:rsidP="00D7621E">
      <w:pPr>
        <w:spacing w:after="0"/>
        <w:rPr>
          <w:rFonts w:ascii="Times New Roman" w:eastAsia="Times New Roman" w:hAnsi="Times New Roman" w:cs="Times New Roman"/>
          <w:sz w:val="24"/>
          <w:szCs w:val="24"/>
        </w:rPr>
      </w:pPr>
      <w:r w:rsidRPr="00A6129F">
        <w:rPr>
          <w:rFonts w:ascii="Times New Roman" w:hAnsi="Times New Roman" w:cs="Times New Roman"/>
          <w:sz w:val="24"/>
          <w:szCs w:val="24"/>
        </w:rPr>
        <w:t xml:space="preserve">Dated: </w:t>
      </w:r>
      <w:r>
        <w:rPr>
          <w:rFonts w:ascii="Times New Roman" w:hAnsi="Times New Roman" w:cs="Times New Roman"/>
          <w:sz w:val="24"/>
          <w:szCs w:val="24"/>
        </w:rPr>
        <w:t>March 3</w:t>
      </w:r>
      <w:r w:rsidR="00D7621E">
        <w:rPr>
          <w:rFonts w:ascii="Times New Roman" w:hAnsi="Times New Roman" w:cs="Times New Roman"/>
          <w:sz w:val="24"/>
          <w:szCs w:val="24"/>
        </w:rPr>
        <w:t>1</w:t>
      </w:r>
      <w:r>
        <w:rPr>
          <w:rFonts w:ascii="Times New Roman" w:hAnsi="Times New Roman" w:cs="Times New Roman"/>
          <w:sz w:val="24"/>
          <w:szCs w:val="24"/>
        </w:rPr>
        <w:t>, 2022</w:t>
      </w:r>
    </w:p>
    <w:sectPr w:rsidR="00BB7DBC" w:rsidRPr="00D762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2EE5" w14:textId="77777777" w:rsidR="00492A56" w:rsidRDefault="00492A56" w:rsidP="000B300C">
      <w:pPr>
        <w:spacing w:after="0" w:line="240" w:lineRule="auto"/>
      </w:pPr>
      <w:r>
        <w:separator/>
      </w:r>
    </w:p>
  </w:endnote>
  <w:endnote w:type="continuationSeparator" w:id="0">
    <w:p w14:paraId="779DF25F" w14:textId="77777777" w:rsidR="00492A56" w:rsidRDefault="00492A56" w:rsidP="000B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62624"/>
      <w:docPartObj>
        <w:docPartGallery w:val="Page Numbers (Bottom of Page)"/>
        <w:docPartUnique/>
      </w:docPartObj>
    </w:sdtPr>
    <w:sdtEndPr>
      <w:rPr>
        <w:noProof/>
      </w:rPr>
    </w:sdtEndPr>
    <w:sdtContent>
      <w:p w14:paraId="0C60507E" w14:textId="2AE8DC91" w:rsidR="00000B9D" w:rsidRDefault="00000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D9EAA7" w14:textId="77777777" w:rsidR="00000B9D" w:rsidRDefault="0000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4BC9" w14:textId="77777777" w:rsidR="00492A56" w:rsidRDefault="00492A56" w:rsidP="000B300C">
      <w:pPr>
        <w:spacing w:after="0" w:line="240" w:lineRule="auto"/>
      </w:pPr>
      <w:r>
        <w:separator/>
      </w:r>
    </w:p>
  </w:footnote>
  <w:footnote w:type="continuationSeparator" w:id="0">
    <w:p w14:paraId="1E0D8888" w14:textId="77777777" w:rsidR="00492A56" w:rsidRDefault="00492A56" w:rsidP="000B300C">
      <w:pPr>
        <w:spacing w:after="0" w:line="240" w:lineRule="auto"/>
      </w:pPr>
      <w:r>
        <w:continuationSeparator/>
      </w:r>
    </w:p>
  </w:footnote>
  <w:footnote w:id="1">
    <w:p w14:paraId="4C8759D3" w14:textId="2E8D0ACC" w:rsidR="006C467F" w:rsidRDefault="006C467F">
      <w:pPr>
        <w:pStyle w:val="FootnoteText"/>
      </w:pPr>
      <w:r>
        <w:rPr>
          <w:rStyle w:val="FootnoteReference"/>
        </w:rPr>
        <w:footnoteRef/>
      </w:r>
      <w:r>
        <w:t xml:space="preserve"> </w:t>
      </w:r>
      <w:proofErr w:type="spellStart"/>
      <w:r w:rsidR="00C70A9A">
        <w:t>Xili</w:t>
      </w:r>
      <w:proofErr w:type="spellEnd"/>
      <w:r>
        <w:t xml:space="preserve"> is a pseudonym chosen by the Hearing Officer to protect the student’s identity in public documents. </w:t>
      </w:r>
    </w:p>
  </w:footnote>
  <w:footnote w:id="2">
    <w:p w14:paraId="414D7A26" w14:textId="2BFACBDF" w:rsidR="009569FC" w:rsidRDefault="009569FC">
      <w:pPr>
        <w:pStyle w:val="FootnoteText"/>
      </w:pPr>
      <w:r>
        <w:rPr>
          <w:rStyle w:val="FootnoteReference"/>
        </w:rPr>
        <w:footnoteRef/>
      </w:r>
      <w:r>
        <w:t xml:space="preserve"> </w:t>
      </w:r>
      <w:r w:rsidRPr="009569FC">
        <w:t xml:space="preserve">M.G.L. c 71B, § </w:t>
      </w:r>
      <w:r>
        <w:t>2A</w:t>
      </w:r>
      <w:r w:rsidRPr="009569FC">
        <w:t xml:space="preserve">; </w:t>
      </w:r>
      <w:r w:rsidRPr="00F31B65">
        <w:t>see</w:t>
      </w:r>
      <w:r w:rsidRPr="009569FC">
        <w:t xml:space="preserve"> 603 CMR 28.08(3) (corresponding regulations).</w:t>
      </w:r>
    </w:p>
  </w:footnote>
  <w:footnote w:id="3">
    <w:p w14:paraId="1A784FA3" w14:textId="44503A3C" w:rsidR="00CE2773" w:rsidRDefault="00CE2773" w:rsidP="005F2191">
      <w:pPr>
        <w:pStyle w:val="FootnoteText"/>
        <w:tabs>
          <w:tab w:val="left" w:pos="2770"/>
        </w:tabs>
      </w:pPr>
      <w:r>
        <w:rPr>
          <w:rStyle w:val="FootnoteReference"/>
        </w:rPr>
        <w:footnoteRef/>
      </w:r>
      <w:r>
        <w:t xml:space="preserve"> </w:t>
      </w:r>
      <w:r w:rsidR="00D7621E">
        <w:t xml:space="preserve">See </w:t>
      </w:r>
      <w:r w:rsidRPr="007F593A">
        <w:rPr>
          <w:rFonts w:cs="Times New Roman"/>
        </w:rPr>
        <w:t>M.G.L. c 71B, §§</w:t>
      </w:r>
      <w:r>
        <w:rPr>
          <w:rFonts w:cs="Times New Roman"/>
        </w:rPr>
        <w:t xml:space="preserve"> 2A,</w:t>
      </w:r>
      <w:r w:rsidRPr="007F593A">
        <w:rPr>
          <w:rFonts w:cs="Times New Roman"/>
        </w:rPr>
        <w:t xml:space="preserve"> 3</w:t>
      </w:r>
      <w:r w:rsidR="005F2191">
        <w:rPr>
          <w:rFonts w:cs="Times New Roman"/>
        </w:rPr>
        <w:t xml:space="preserve">; </w:t>
      </w:r>
      <w:r w:rsidR="005F2191" w:rsidRPr="007F593A">
        <w:rPr>
          <w:rFonts w:cs="Times New Roman"/>
        </w:rPr>
        <w:t>603 CMR 28.08(3).</w:t>
      </w:r>
    </w:p>
  </w:footnote>
  <w:footnote w:id="4">
    <w:p w14:paraId="73981F88" w14:textId="520CBCE4" w:rsidR="00BB7DBC" w:rsidRPr="007F593A" w:rsidRDefault="00BB7DBC" w:rsidP="00BB7DBC">
      <w:pPr>
        <w:pStyle w:val="FootnoteText"/>
        <w:rPr>
          <w:rFonts w:cs="Times New Roman"/>
        </w:rPr>
      </w:pPr>
      <w:r w:rsidRPr="007F593A">
        <w:rPr>
          <w:rStyle w:val="FootnoteReference"/>
          <w:rFonts w:cs="Times New Roman"/>
        </w:rPr>
        <w:footnoteRef/>
      </w:r>
      <w:r w:rsidRPr="007F593A">
        <w:rPr>
          <w:rFonts w:cs="Times New Roman"/>
        </w:rPr>
        <w:t xml:space="preserve"> M.G.L. c 71B, § 3; </w:t>
      </w:r>
      <w:r w:rsidRPr="00E27E3E">
        <w:rPr>
          <w:rFonts w:cs="Times New Roman"/>
        </w:rPr>
        <w:t>see</w:t>
      </w:r>
      <w:r w:rsidRPr="007F593A">
        <w:rPr>
          <w:rFonts w:cs="Times New Roman"/>
          <w:i/>
        </w:rPr>
        <w:t xml:space="preserve"> </w:t>
      </w:r>
      <w:r w:rsidRPr="007F593A">
        <w:rPr>
          <w:rFonts w:cs="Times New Roman"/>
        </w:rPr>
        <w:t>603 CMR 28.08(3).</w:t>
      </w:r>
    </w:p>
  </w:footnote>
  <w:footnote w:id="5">
    <w:p w14:paraId="6499483F" w14:textId="6C39DBA8" w:rsidR="009569FC" w:rsidRPr="007F593A" w:rsidRDefault="009569FC" w:rsidP="009569FC">
      <w:pPr>
        <w:pStyle w:val="FootnoteText"/>
        <w:rPr>
          <w:rFonts w:cs="Times New Roman"/>
        </w:rPr>
      </w:pPr>
      <w:r w:rsidRPr="007F593A">
        <w:rPr>
          <w:rStyle w:val="FootnoteReference"/>
          <w:rFonts w:cs="Times New Roman"/>
        </w:rPr>
        <w:footnoteRef/>
      </w:r>
      <w:r w:rsidRPr="007F593A">
        <w:rPr>
          <w:rFonts w:cs="Times New Roman"/>
        </w:rPr>
        <w:t xml:space="preserve"> </w:t>
      </w:r>
      <w:r w:rsidR="00E93C8B">
        <w:rPr>
          <w:rFonts w:cs="Times New Roman"/>
        </w:rPr>
        <w:t xml:space="preserve">See </w:t>
      </w:r>
      <w:r w:rsidRPr="007F593A">
        <w:rPr>
          <w:rFonts w:cs="Times New Roman"/>
        </w:rPr>
        <w:t xml:space="preserve">BSEA </w:t>
      </w:r>
      <w:r w:rsidRPr="007F593A">
        <w:rPr>
          <w:rFonts w:cs="Times New Roman"/>
          <w:i/>
        </w:rPr>
        <w:t>Hearing Rule</w:t>
      </w:r>
      <w:r w:rsidRPr="007F593A">
        <w:rPr>
          <w:rFonts w:cs="Times New Roman"/>
        </w:rPr>
        <w:t xml:space="preserve"> I(J).</w:t>
      </w:r>
    </w:p>
  </w:footnote>
  <w:footnote w:id="6">
    <w:p w14:paraId="7E9C0AE6" w14:textId="77777777" w:rsidR="00692952" w:rsidRPr="007F593A" w:rsidRDefault="00692952" w:rsidP="00692952">
      <w:pPr>
        <w:pStyle w:val="FootnoteText"/>
        <w:contextualSpacing/>
        <w:rPr>
          <w:rFonts w:cs="Times New Roman"/>
        </w:rPr>
      </w:pPr>
      <w:r w:rsidRPr="007F593A">
        <w:rPr>
          <w:rStyle w:val="FootnoteReference"/>
          <w:rFonts w:cs="Times New Roman"/>
        </w:rPr>
        <w:footnoteRef/>
      </w:r>
      <w:r w:rsidRPr="007F593A">
        <w:rPr>
          <w:rFonts w:cs="Times New Roman"/>
        </w:rPr>
        <w:t xml:space="preserve"> </w:t>
      </w:r>
      <w:r w:rsidRPr="00143F48">
        <w:rPr>
          <w:rFonts w:cs="Times New Roman"/>
        </w:rPr>
        <w:t>See</w:t>
      </w:r>
      <w:r w:rsidRPr="007F593A">
        <w:rPr>
          <w:rFonts w:cs="Times New Roman"/>
        </w:rPr>
        <w:t xml:space="preserve"> 110 CMR 7.404(2) </w:t>
      </w:r>
      <w:r>
        <w:rPr>
          <w:rFonts w:cs="Times New Roman"/>
        </w:rPr>
        <w:t>(</w:t>
      </w:r>
      <w:r w:rsidRPr="007F593A">
        <w:rPr>
          <w:rFonts w:cs="Times New Roman"/>
        </w:rPr>
        <w:t>“If a child's IEP specifies that a private day school program . . . is necessary to meet the child's special education needs and the Department determines that the child should be placed in community residential care for non-educational reasons, then the Department shall share the cost of the placement with the local educational agency.”</w:t>
      </w:r>
      <w:r>
        <w:rPr>
          <w:rFonts w:cs="Times New Roman"/>
        </w:rPr>
        <w:t>)</w:t>
      </w:r>
    </w:p>
  </w:footnote>
  <w:footnote w:id="7">
    <w:p w14:paraId="435B1B2E" w14:textId="45CE6689" w:rsidR="00692952" w:rsidRPr="007F593A" w:rsidRDefault="00692952" w:rsidP="00692952">
      <w:pPr>
        <w:pStyle w:val="NormalWeb"/>
        <w:shd w:val="clear" w:color="auto" w:fill="FFFFFF"/>
        <w:spacing w:before="0" w:beforeAutospacing="0" w:after="0" w:afterAutospacing="0"/>
        <w:contextualSpacing/>
        <w:rPr>
          <w:color w:val="444444"/>
          <w:sz w:val="20"/>
          <w:szCs w:val="20"/>
        </w:rPr>
      </w:pPr>
      <w:r w:rsidRPr="007F593A">
        <w:rPr>
          <w:rStyle w:val="FootnoteReference"/>
          <w:sz w:val="20"/>
          <w:szCs w:val="20"/>
        </w:rPr>
        <w:footnoteRef/>
      </w:r>
      <w:r w:rsidRPr="007F593A">
        <w:rPr>
          <w:sz w:val="20"/>
          <w:szCs w:val="20"/>
        </w:rPr>
        <w:t xml:space="preserve"> </w:t>
      </w:r>
      <w:r w:rsidRPr="00D82341">
        <w:rPr>
          <w:i/>
          <w:sz w:val="20"/>
          <w:szCs w:val="20"/>
        </w:rPr>
        <w:t>Cf</w:t>
      </w:r>
      <w:r w:rsidRPr="007F593A">
        <w:rPr>
          <w:sz w:val="20"/>
          <w:szCs w:val="20"/>
        </w:rPr>
        <w:t xml:space="preserve">. M.G.L. c. 119, § 21 (defining as “custody” the power to, </w:t>
      </w:r>
      <w:r w:rsidRPr="007F593A">
        <w:rPr>
          <w:i/>
          <w:sz w:val="20"/>
          <w:szCs w:val="20"/>
        </w:rPr>
        <w:t>inter alia</w:t>
      </w:r>
      <w:r w:rsidRPr="007F593A">
        <w:rPr>
          <w:sz w:val="20"/>
          <w:szCs w:val="20"/>
        </w:rPr>
        <w:t>, “determine a child’s place of abode, medical care and education” and defining “child requiring assistance</w:t>
      </w:r>
      <w:r>
        <w:rPr>
          <w:sz w:val="20"/>
          <w:szCs w:val="20"/>
        </w:rPr>
        <w:t>”</w:t>
      </w:r>
      <w:r w:rsidRPr="007F593A">
        <w:rPr>
          <w:sz w:val="20"/>
          <w:szCs w:val="20"/>
        </w:rPr>
        <w:t xml:space="preserve">); 110 CMR </w:t>
      </w:r>
      <w:r w:rsidR="00F63C57">
        <w:rPr>
          <w:sz w:val="20"/>
          <w:szCs w:val="20"/>
        </w:rPr>
        <w:t>7.</w:t>
      </w:r>
      <w:r w:rsidRPr="007F593A">
        <w:rPr>
          <w:sz w:val="20"/>
          <w:szCs w:val="20"/>
        </w:rPr>
        <w:t xml:space="preserve">400 (providing for education services for children </w:t>
      </w:r>
      <w:r w:rsidRPr="007F593A">
        <w:rPr>
          <w:i/>
          <w:sz w:val="20"/>
          <w:szCs w:val="20"/>
        </w:rPr>
        <w:t>in the Department’s care or custody”</w:t>
      </w:r>
      <w:r w:rsidRPr="007F593A">
        <w:rPr>
          <w:sz w:val="20"/>
          <w:szCs w:val="20"/>
        </w:rPr>
        <w:t xml:space="preserve"> (emphasis added)); 110 CMR 4</w:t>
      </w:r>
      <w:r>
        <w:rPr>
          <w:sz w:val="20"/>
          <w:szCs w:val="20"/>
        </w:rPr>
        <w:t>.</w:t>
      </w:r>
      <w:r w:rsidRPr="007F593A">
        <w:rPr>
          <w:sz w:val="20"/>
          <w:szCs w:val="20"/>
        </w:rPr>
        <w:t xml:space="preserve">10 (pertaining to voluntary </w:t>
      </w:r>
      <w:r w:rsidR="00E93C8B">
        <w:rPr>
          <w:sz w:val="20"/>
          <w:szCs w:val="20"/>
        </w:rPr>
        <w:t>placement agreements</w:t>
      </w:r>
      <w:r w:rsidRPr="007F593A">
        <w:rPr>
          <w:sz w:val="20"/>
          <w:szCs w:val="20"/>
        </w:rPr>
        <w:t xml:space="preserve">). </w:t>
      </w:r>
      <w:r w:rsidRPr="007F593A">
        <w:rPr>
          <w:color w:val="444444"/>
          <w:sz w:val="20"/>
          <w:szCs w:val="20"/>
        </w:rPr>
        <w:t xml:space="preserve"> </w:t>
      </w:r>
    </w:p>
  </w:footnote>
  <w:footnote w:id="8">
    <w:p w14:paraId="192E96D8" w14:textId="77777777" w:rsidR="00692952" w:rsidRPr="007F593A" w:rsidRDefault="00692952" w:rsidP="00692952">
      <w:pPr>
        <w:pStyle w:val="FootnoteText"/>
        <w:rPr>
          <w:rFonts w:cs="Times New Roman"/>
        </w:rPr>
      </w:pPr>
      <w:r w:rsidRPr="007F593A">
        <w:rPr>
          <w:rStyle w:val="FootnoteReference"/>
          <w:rFonts w:cs="Times New Roman"/>
        </w:rPr>
        <w:footnoteRef/>
      </w:r>
      <w:r w:rsidRPr="007F593A">
        <w:rPr>
          <w:rFonts w:cs="Times New Roman"/>
        </w:rPr>
        <w:t xml:space="preserve"> </w:t>
      </w:r>
      <w:r w:rsidRPr="00143F48">
        <w:rPr>
          <w:rFonts w:cs="Times New Roman"/>
        </w:rPr>
        <w:t>See</w:t>
      </w:r>
      <w:r w:rsidRPr="007F593A">
        <w:rPr>
          <w:rFonts w:cs="Times New Roman"/>
        </w:rPr>
        <w:t xml:space="preserve"> 110 CMR 4.04-4.06</w:t>
      </w:r>
      <w:r>
        <w:rPr>
          <w:rFonts w:cs="Times New Roman"/>
        </w:rPr>
        <w:t>.</w:t>
      </w:r>
    </w:p>
  </w:footnote>
  <w:footnote w:id="9">
    <w:p w14:paraId="045EF3FE" w14:textId="2D29E88D" w:rsidR="00A6129F" w:rsidRPr="00995BE9" w:rsidRDefault="00A6129F" w:rsidP="00A6129F">
      <w:pPr>
        <w:pStyle w:val="FootnoteText"/>
      </w:pPr>
      <w:r>
        <w:rPr>
          <w:rStyle w:val="FootnoteReference"/>
        </w:rPr>
        <w:footnoteRef/>
      </w:r>
      <w:r>
        <w:t xml:space="preserve"> The Hearing Officer gratefully acknowledges the assistance of legal intern </w:t>
      </w:r>
      <w:r w:rsidR="00C678CB">
        <w:t>Christopher Brosnahan</w:t>
      </w:r>
      <w:r>
        <w:t xml:space="preserve"> in the preparation of this </w:t>
      </w:r>
      <w:r w:rsidRPr="00C3578E">
        <w:t>Ruling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63A"/>
    <w:multiLevelType w:val="multilevel"/>
    <w:tmpl w:val="340A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E74CF"/>
    <w:multiLevelType w:val="multilevel"/>
    <w:tmpl w:val="0A42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A50A7D"/>
    <w:multiLevelType w:val="hybridMultilevel"/>
    <w:tmpl w:val="329880F6"/>
    <w:lvl w:ilvl="0" w:tplc="EA0EDEB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149E5"/>
    <w:multiLevelType w:val="hybridMultilevel"/>
    <w:tmpl w:val="B576EFD2"/>
    <w:lvl w:ilvl="0" w:tplc="9FC82A3C">
      <w:start w:val="1"/>
      <w:numFmt w:val="decimal"/>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
  </w:num>
  <w:num w:numId="2">
    <w:abstractNumId w:val="1"/>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85"/>
    <w:rsid w:val="00000B9D"/>
    <w:rsid w:val="00002804"/>
    <w:rsid w:val="00002828"/>
    <w:rsid w:val="00010BE1"/>
    <w:rsid w:val="00061CF1"/>
    <w:rsid w:val="000901BB"/>
    <w:rsid w:val="000B2A27"/>
    <w:rsid w:val="000B300C"/>
    <w:rsid w:val="000C7BF3"/>
    <w:rsid w:val="00141775"/>
    <w:rsid w:val="00177848"/>
    <w:rsid w:val="001B49DA"/>
    <w:rsid w:val="001C3CE5"/>
    <w:rsid w:val="001F7C6D"/>
    <w:rsid w:val="002050B5"/>
    <w:rsid w:val="00275CFD"/>
    <w:rsid w:val="002818C1"/>
    <w:rsid w:val="0028577A"/>
    <w:rsid w:val="002B72FD"/>
    <w:rsid w:val="002B7E28"/>
    <w:rsid w:val="002D1194"/>
    <w:rsid w:val="002F617D"/>
    <w:rsid w:val="0030553F"/>
    <w:rsid w:val="00326AE6"/>
    <w:rsid w:val="003B2143"/>
    <w:rsid w:val="00455C08"/>
    <w:rsid w:val="00492A56"/>
    <w:rsid w:val="004B7A7E"/>
    <w:rsid w:val="005074DE"/>
    <w:rsid w:val="00547EA6"/>
    <w:rsid w:val="005A6F91"/>
    <w:rsid w:val="005B7085"/>
    <w:rsid w:val="005F2191"/>
    <w:rsid w:val="00681402"/>
    <w:rsid w:val="0068476E"/>
    <w:rsid w:val="00684935"/>
    <w:rsid w:val="00692952"/>
    <w:rsid w:val="006B5F1B"/>
    <w:rsid w:val="006C467F"/>
    <w:rsid w:val="006C7802"/>
    <w:rsid w:val="006D2091"/>
    <w:rsid w:val="00702395"/>
    <w:rsid w:val="00710530"/>
    <w:rsid w:val="0077613A"/>
    <w:rsid w:val="00777DC8"/>
    <w:rsid w:val="00784FEC"/>
    <w:rsid w:val="007A32FF"/>
    <w:rsid w:val="007D767A"/>
    <w:rsid w:val="007F00D7"/>
    <w:rsid w:val="008D6429"/>
    <w:rsid w:val="008E3E93"/>
    <w:rsid w:val="009569FC"/>
    <w:rsid w:val="00A158FA"/>
    <w:rsid w:val="00A6129F"/>
    <w:rsid w:val="00A647D7"/>
    <w:rsid w:val="00AF72FC"/>
    <w:rsid w:val="00B05529"/>
    <w:rsid w:val="00B22FFD"/>
    <w:rsid w:val="00B33AAF"/>
    <w:rsid w:val="00B4565E"/>
    <w:rsid w:val="00B5198D"/>
    <w:rsid w:val="00B623A3"/>
    <w:rsid w:val="00B93286"/>
    <w:rsid w:val="00BB7DBC"/>
    <w:rsid w:val="00BD250C"/>
    <w:rsid w:val="00BE0758"/>
    <w:rsid w:val="00BE1012"/>
    <w:rsid w:val="00BE7FAC"/>
    <w:rsid w:val="00C01B01"/>
    <w:rsid w:val="00C05555"/>
    <w:rsid w:val="00C179E0"/>
    <w:rsid w:val="00C678CB"/>
    <w:rsid w:val="00C70A9A"/>
    <w:rsid w:val="00C86A5F"/>
    <w:rsid w:val="00C9101E"/>
    <w:rsid w:val="00CD5D05"/>
    <w:rsid w:val="00CE2773"/>
    <w:rsid w:val="00CF1767"/>
    <w:rsid w:val="00CF39E3"/>
    <w:rsid w:val="00CF3DBD"/>
    <w:rsid w:val="00D65D85"/>
    <w:rsid w:val="00D7621E"/>
    <w:rsid w:val="00DD095E"/>
    <w:rsid w:val="00DF51E6"/>
    <w:rsid w:val="00E27E3E"/>
    <w:rsid w:val="00E351DD"/>
    <w:rsid w:val="00E375B7"/>
    <w:rsid w:val="00E74D7B"/>
    <w:rsid w:val="00E83BAB"/>
    <w:rsid w:val="00E93C8B"/>
    <w:rsid w:val="00EE4E2C"/>
    <w:rsid w:val="00F31B65"/>
    <w:rsid w:val="00F5253E"/>
    <w:rsid w:val="00F63115"/>
    <w:rsid w:val="00F63C57"/>
    <w:rsid w:val="00F66064"/>
    <w:rsid w:val="00F72943"/>
    <w:rsid w:val="00F73FB4"/>
    <w:rsid w:val="00F97A17"/>
    <w:rsid w:val="00FA39A4"/>
    <w:rsid w:val="00FB7FB4"/>
    <w:rsid w:val="00FD47A2"/>
    <w:rsid w:val="00FF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0572"/>
  <w15:chartTrackingRefBased/>
  <w15:docId w15:val="{84F00A1B-5E73-45EF-9AAE-73347E0D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FB4"/>
    <w:pPr>
      <w:keepNext/>
      <w:spacing w:after="0" w:line="240" w:lineRule="auto"/>
      <w:outlineLvl w:val="0"/>
    </w:pPr>
    <w:rPr>
      <w:rFonts w:ascii="Times New Roman" w:eastAsia="Calibri" w:hAnsi="Times New Roman" w:cs="Times New Roman"/>
      <w:color w:val="252525"/>
      <w:sz w:val="24"/>
      <w:szCs w:val="24"/>
      <w:u w:val="single"/>
    </w:rPr>
  </w:style>
  <w:style w:type="paragraph" w:styleId="Heading3">
    <w:name w:val="heading 3"/>
    <w:basedOn w:val="Normal"/>
    <w:next w:val="Normal"/>
    <w:link w:val="Heading3Char"/>
    <w:uiPriority w:val="9"/>
    <w:semiHidden/>
    <w:unhideWhenUsed/>
    <w:qFormat/>
    <w:rsid w:val="00F660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33AA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B33AAF"/>
    <w:rPr>
      <w:rFonts w:ascii="Times New Roman" w:hAnsi="Times New Roman"/>
      <w:sz w:val="20"/>
      <w:szCs w:val="20"/>
    </w:rPr>
  </w:style>
  <w:style w:type="character" w:styleId="FootnoteReference">
    <w:name w:val="footnote reference"/>
    <w:basedOn w:val="DefaultParagraphFont"/>
    <w:uiPriority w:val="99"/>
    <w:unhideWhenUsed/>
    <w:rsid w:val="000B300C"/>
    <w:rPr>
      <w:vertAlign w:val="superscript"/>
    </w:rPr>
  </w:style>
  <w:style w:type="paragraph" w:styleId="BodyText">
    <w:name w:val="Body Text"/>
    <w:basedOn w:val="Normal"/>
    <w:link w:val="BodyTextChar"/>
    <w:uiPriority w:val="99"/>
    <w:unhideWhenUsed/>
    <w:rsid w:val="00F97A17"/>
    <w:pPr>
      <w:spacing w:after="0" w:line="240" w:lineRule="auto"/>
    </w:pPr>
    <w:rPr>
      <w:rFonts w:ascii="Times New Roman" w:eastAsia="Calibri" w:hAnsi="Times New Roman" w:cs="Times New Roman"/>
      <w:b/>
      <w:sz w:val="24"/>
      <w:szCs w:val="24"/>
      <w:u w:val="single"/>
    </w:rPr>
  </w:style>
  <w:style w:type="character" w:customStyle="1" w:styleId="BodyTextChar">
    <w:name w:val="Body Text Char"/>
    <w:basedOn w:val="DefaultParagraphFont"/>
    <w:link w:val="BodyText"/>
    <w:uiPriority w:val="99"/>
    <w:rsid w:val="00F97A17"/>
    <w:rPr>
      <w:rFonts w:ascii="Times New Roman" w:eastAsia="Calibri" w:hAnsi="Times New Roman" w:cs="Times New Roman"/>
      <w:b/>
      <w:sz w:val="24"/>
      <w:szCs w:val="24"/>
      <w:u w:val="single"/>
    </w:rPr>
  </w:style>
  <w:style w:type="paragraph" w:styleId="BodyText2">
    <w:name w:val="Body Text 2"/>
    <w:basedOn w:val="Normal"/>
    <w:link w:val="BodyText2Char"/>
    <w:uiPriority w:val="99"/>
    <w:unhideWhenUsed/>
    <w:rsid w:val="00F97A17"/>
    <w:pPr>
      <w:spacing w:after="0" w:line="240" w:lineRule="auto"/>
    </w:pPr>
    <w:rPr>
      <w:rFonts w:ascii="Times New Roman" w:eastAsia="Calibri" w:hAnsi="Times New Roman" w:cs="Times New Roman"/>
      <w:bCs/>
      <w:sz w:val="24"/>
      <w:szCs w:val="24"/>
    </w:rPr>
  </w:style>
  <w:style w:type="character" w:customStyle="1" w:styleId="BodyText2Char">
    <w:name w:val="Body Text 2 Char"/>
    <w:basedOn w:val="DefaultParagraphFont"/>
    <w:link w:val="BodyText2"/>
    <w:uiPriority w:val="99"/>
    <w:rsid w:val="00F97A17"/>
    <w:rPr>
      <w:rFonts w:ascii="Times New Roman" w:eastAsia="Calibri" w:hAnsi="Times New Roman" w:cs="Times New Roman"/>
      <w:bCs/>
      <w:sz w:val="24"/>
      <w:szCs w:val="24"/>
    </w:rPr>
  </w:style>
  <w:style w:type="paragraph" w:styleId="ListParagraph">
    <w:name w:val="List Paragraph"/>
    <w:basedOn w:val="Normal"/>
    <w:uiPriority w:val="34"/>
    <w:qFormat/>
    <w:rsid w:val="00F97A17"/>
    <w:pPr>
      <w:ind w:left="720"/>
      <w:contextualSpacing/>
    </w:pPr>
  </w:style>
  <w:style w:type="paragraph" w:styleId="NormalWeb">
    <w:name w:val="Normal (Web)"/>
    <w:basedOn w:val="Normal"/>
    <w:uiPriority w:val="99"/>
    <w:unhideWhenUsed/>
    <w:rsid w:val="000028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8476E"/>
    <w:pPr>
      <w:spacing w:after="0" w:line="240" w:lineRule="auto"/>
    </w:pPr>
  </w:style>
  <w:style w:type="character" w:customStyle="1" w:styleId="Heading1Char">
    <w:name w:val="Heading 1 Char"/>
    <w:basedOn w:val="DefaultParagraphFont"/>
    <w:link w:val="Heading1"/>
    <w:uiPriority w:val="9"/>
    <w:rsid w:val="00FB7FB4"/>
    <w:rPr>
      <w:rFonts w:ascii="Times New Roman" w:eastAsia="Calibri" w:hAnsi="Times New Roman" w:cs="Times New Roman"/>
      <w:color w:val="252525"/>
      <w:sz w:val="24"/>
      <w:szCs w:val="24"/>
      <w:u w:val="single"/>
    </w:rPr>
  </w:style>
  <w:style w:type="character" w:customStyle="1" w:styleId="Heading3Char">
    <w:name w:val="Heading 3 Char"/>
    <w:basedOn w:val="DefaultParagraphFont"/>
    <w:link w:val="Heading3"/>
    <w:uiPriority w:val="9"/>
    <w:semiHidden/>
    <w:rsid w:val="00F6606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00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9D"/>
  </w:style>
  <w:style w:type="paragraph" w:styleId="Footer">
    <w:name w:val="footer"/>
    <w:basedOn w:val="Normal"/>
    <w:link w:val="FooterChar"/>
    <w:uiPriority w:val="99"/>
    <w:unhideWhenUsed/>
    <w:rsid w:val="00000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010">
      <w:bodyDiv w:val="1"/>
      <w:marLeft w:val="0"/>
      <w:marRight w:val="0"/>
      <w:marTop w:val="0"/>
      <w:marBottom w:val="0"/>
      <w:divBdr>
        <w:top w:val="none" w:sz="0" w:space="0" w:color="auto"/>
        <w:left w:val="none" w:sz="0" w:space="0" w:color="auto"/>
        <w:bottom w:val="none" w:sz="0" w:space="0" w:color="auto"/>
        <w:right w:val="none" w:sz="0" w:space="0" w:color="auto"/>
      </w:divBdr>
    </w:div>
    <w:div w:id="477039202">
      <w:bodyDiv w:val="1"/>
      <w:marLeft w:val="0"/>
      <w:marRight w:val="0"/>
      <w:marTop w:val="0"/>
      <w:marBottom w:val="0"/>
      <w:divBdr>
        <w:top w:val="none" w:sz="0" w:space="0" w:color="auto"/>
        <w:left w:val="none" w:sz="0" w:space="0" w:color="auto"/>
        <w:bottom w:val="none" w:sz="0" w:space="0" w:color="auto"/>
        <w:right w:val="none" w:sz="0" w:space="0" w:color="auto"/>
      </w:divBdr>
    </w:div>
    <w:div w:id="693656543">
      <w:bodyDiv w:val="1"/>
      <w:marLeft w:val="0"/>
      <w:marRight w:val="0"/>
      <w:marTop w:val="0"/>
      <w:marBottom w:val="0"/>
      <w:divBdr>
        <w:top w:val="none" w:sz="0" w:space="0" w:color="auto"/>
        <w:left w:val="none" w:sz="0" w:space="0" w:color="auto"/>
        <w:bottom w:val="none" w:sz="0" w:space="0" w:color="auto"/>
        <w:right w:val="none" w:sz="0" w:space="0" w:color="auto"/>
      </w:divBdr>
    </w:div>
    <w:div w:id="767314962">
      <w:bodyDiv w:val="1"/>
      <w:marLeft w:val="0"/>
      <w:marRight w:val="0"/>
      <w:marTop w:val="0"/>
      <w:marBottom w:val="0"/>
      <w:divBdr>
        <w:top w:val="none" w:sz="0" w:space="0" w:color="auto"/>
        <w:left w:val="none" w:sz="0" w:space="0" w:color="auto"/>
        <w:bottom w:val="none" w:sz="0" w:space="0" w:color="auto"/>
        <w:right w:val="none" w:sz="0" w:space="0" w:color="auto"/>
      </w:divBdr>
    </w:div>
    <w:div w:id="919172142">
      <w:bodyDiv w:val="1"/>
      <w:marLeft w:val="0"/>
      <w:marRight w:val="0"/>
      <w:marTop w:val="0"/>
      <w:marBottom w:val="0"/>
      <w:divBdr>
        <w:top w:val="none" w:sz="0" w:space="0" w:color="auto"/>
        <w:left w:val="none" w:sz="0" w:space="0" w:color="auto"/>
        <w:bottom w:val="none" w:sz="0" w:space="0" w:color="auto"/>
        <w:right w:val="none" w:sz="0" w:space="0" w:color="auto"/>
      </w:divBdr>
    </w:div>
    <w:div w:id="993797588">
      <w:bodyDiv w:val="1"/>
      <w:marLeft w:val="0"/>
      <w:marRight w:val="0"/>
      <w:marTop w:val="0"/>
      <w:marBottom w:val="0"/>
      <w:divBdr>
        <w:top w:val="none" w:sz="0" w:space="0" w:color="auto"/>
        <w:left w:val="none" w:sz="0" w:space="0" w:color="auto"/>
        <w:bottom w:val="none" w:sz="0" w:space="0" w:color="auto"/>
        <w:right w:val="none" w:sz="0" w:space="0" w:color="auto"/>
      </w:divBdr>
    </w:div>
    <w:div w:id="1463618024">
      <w:bodyDiv w:val="1"/>
      <w:marLeft w:val="0"/>
      <w:marRight w:val="0"/>
      <w:marTop w:val="0"/>
      <w:marBottom w:val="0"/>
      <w:divBdr>
        <w:top w:val="none" w:sz="0" w:space="0" w:color="auto"/>
        <w:left w:val="none" w:sz="0" w:space="0" w:color="auto"/>
        <w:bottom w:val="none" w:sz="0" w:space="0" w:color="auto"/>
        <w:right w:val="none" w:sz="0" w:space="0" w:color="auto"/>
      </w:divBdr>
    </w:div>
    <w:div w:id="1527595132">
      <w:bodyDiv w:val="1"/>
      <w:marLeft w:val="0"/>
      <w:marRight w:val="0"/>
      <w:marTop w:val="0"/>
      <w:marBottom w:val="0"/>
      <w:divBdr>
        <w:top w:val="none" w:sz="0" w:space="0" w:color="auto"/>
        <w:left w:val="none" w:sz="0" w:space="0" w:color="auto"/>
        <w:bottom w:val="none" w:sz="0" w:space="0" w:color="auto"/>
        <w:right w:val="none" w:sz="0" w:space="0" w:color="auto"/>
      </w:divBdr>
    </w:div>
    <w:div w:id="1563833166">
      <w:bodyDiv w:val="1"/>
      <w:marLeft w:val="0"/>
      <w:marRight w:val="0"/>
      <w:marTop w:val="0"/>
      <w:marBottom w:val="0"/>
      <w:divBdr>
        <w:top w:val="none" w:sz="0" w:space="0" w:color="auto"/>
        <w:left w:val="none" w:sz="0" w:space="0" w:color="auto"/>
        <w:bottom w:val="none" w:sz="0" w:space="0" w:color="auto"/>
        <w:right w:val="none" w:sz="0" w:space="0" w:color="auto"/>
      </w:divBdr>
    </w:div>
    <w:div w:id="1582056064">
      <w:bodyDiv w:val="1"/>
      <w:marLeft w:val="0"/>
      <w:marRight w:val="0"/>
      <w:marTop w:val="0"/>
      <w:marBottom w:val="0"/>
      <w:divBdr>
        <w:top w:val="none" w:sz="0" w:space="0" w:color="auto"/>
        <w:left w:val="none" w:sz="0" w:space="0" w:color="auto"/>
        <w:bottom w:val="none" w:sz="0" w:space="0" w:color="auto"/>
        <w:right w:val="none" w:sz="0" w:space="0" w:color="auto"/>
      </w:divBdr>
    </w:div>
    <w:div w:id="1641423257">
      <w:bodyDiv w:val="1"/>
      <w:marLeft w:val="0"/>
      <w:marRight w:val="0"/>
      <w:marTop w:val="0"/>
      <w:marBottom w:val="0"/>
      <w:divBdr>
        <w:top w:val="none" w:sz="0" w:space="0" w:color="auto"/>
        <w:left w:val="none" w:sz="0" w:space="0" w:color="auto"/>
        <w:bottom w:val="none" w:sz="0" w:space="0" w:color="auto"/>
        <w:right w:val="none" w:sz="0" w:space="0" w:color="auto"/>
      </w:divBdr>
    </w:div>
    <w:div w:id="2041005325">
      <w:bodyDiv w:val="1"/>
      <w:marLeft w:val="0"/>
      <w:marRight w:val="0"/>
      <w:marTop w:val="0"/>
      <w:marBottom w:val="0"/>
      <w:divBdr>
        <w:top w:val="none" w:sz="0" w:space="0" w:color="auto"/>
        <w:left w:val="none" w:sz="0" w:space="0" w:color="auto"/>
        <w:bottom w:val="none" w:sz="0" w:space="0" w:color="auto"/>
        <w:right w:val="none" w:sz="0" w:space="0" w:color="auto"/>
      </w:divBdr>
    </w:div>
    <w:div w:id="2063284438">
      <w:bodyDiv w:val="1"/>
      <w:marLeft w:val="0"/>
      <w:marRight w:val="0"/>
      <w:marTop w:val="0"/>
      <w:marBottom w:val="0"/>
      <w:divBdr>
        <w:top w:val="none" w:sz="0" w:space="0" w:color="auto"/>
        <w:left w:val="none" w:sz="0" w:space="0" w:color="auto"/>
        <w:bottom w:val="none" w:sz="0" w:space="0" w:color="auto"/>
        <w:right w:val="none" w:sz="0" w:space="0" w:color="auto"/>
      </w:divBdr>
    </w:div>
    <w:div w:id="20896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21155-EC7B-49FD-88D4-967C23AD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brosnahan</dc:creator>
  <cp:keywords/>
  <dc:description/>
  <cp:lastModifiedBy>Erlichman, Reece (ALA)</cp:lastModifiedBy>
  <cp:revision>2</cp:revision>
  <cp:lastPrinted>2022-03-29T15:50:00Z</cp:lastPrinted>
  <dcterms:created xsi:type="dcterms:W3CDTF">2022-04-29T09:45:00Z</dcterms:created>
  <dcterms:modified xsi:type="dcterms:W3CDTF">2022-04-29T09:45:00Z</dcterms:modified>
</cp:coreProperties>
</file>