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05D73" w14:textId="77777777" w:rsidR="001A5733" w:rsidRPr="002C7E68" w:rsidRDefault="001A5733" w:rsidP="001A573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E68">
        <w:rPr>
          <w:rFonts w:ascii="Times New Roman" w:hAnsi="Times New Roman" w:cs="Times New Roman"/>
          <w:b/>
          <w:sz w:val="24"/>
          <w:szCs w:val="24"/>
        </w:rPr>
        <w:t>COMMONWEALTH OF MASSACHUSETTS</w:t>
      </w:r>
    </w:p>
    <w:p w14:paraId="69CDE49C" w14:textId="77777777" w:rsidR="001A5733" w:rsidRPr="002C7E68" w:rsidRDefault="001A5733" w:rsidP="001A573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E68">
        <w:rPr>
          <w:rFonts w:ascii="Times New Roman" w:hAnsi="Times New Roman" w:cs="Times New Roman"/>
          <w:b/>
          <w:sz w:val="24"/>
          <w:szCs w:val="24"/>
        </w:rPr>
        <w:t>DIVISION OF ADMININSTRATIVE LAW APPEALS</w:t>
      </w:r>
    </w:p>
    <w:p w14:paraId="1AC81ABA" w14:textId="77777777" w:rsidR="001A5733" w:rsidRPr="002C7E68" w:rsidRDefault="001A5733" w:rsidP="001A573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E68">
        <w:rPr>
          <w:rFonts w:ascii="Times New Roman" w:hAnsi="Times New Roman" w:cs="Times New Roman"/>
          <w:b/>
          <w:sz w:val="24"/>
          <w:szCs w:val="24"/>
        </w:rPr>
        <w:t>BUREAU OF SPECIAL EDUCATION APPEALS</w:t>
      </w:r>
    </w:p>
    <w:p w14:paraId="09B6142F" w14:textId="77777777" w:rsidR="001A5733" w:rsidRPr="002C7E68" w:rsidRDefault="001A5733" w:rsidP="001A573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3114E9" w14:textId="44E41462" w:rsidR="001A5733" w:rsidRPr="00117595" w:rsidRDefault="001A5733" w:rsidP="001A573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17595">
        <w:rPr>
          <w:rFonts w:ascii="Times New Roman" w:hAnsi="Times New Roman" w:cs="Times New Roman"/>
          <w:b/>
          <w:bCs/>
          <w:sz w:val="24"/>
          <w:szCs w:val="24"/>
        </w:rPr>
        <w:t xml:space="preserve">In re:   </w:t>
      </w:r>
      <w:r w:rsidRPr="001175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117595" w:rsidRPr="001175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Wendy</w:t>
      </w:r>
      <w:r w:rsidRPr="00117595">
        <w:rPr>
          <w:rStyle w:val="FootnoteReference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ootnoteReference w:id="1"/>
      </w:r>
      <w:r w:rsidRPr="00117595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Pr="0011759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759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759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759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759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759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7595">
        <w:rPr>
          <w:rFonts w:ascii="Times New Roman" w:hAnsi="Times New Roman" w:cs="Times New Roman"/>
          <w:b/>
          <w:bCs/>
          <w:sz w:val="24"/>
          <w:szCs w:val="24"/>
        </w:rPr>
        <w:tab/>
        <w:t>BSEA #</w:t>
      </w:r>
      <w:r w:rsidR="00117595" w:rsidRPr="00117595">
        <w:rPr>
          <w:rFonts w:ascii="Times New Roman" w:hAnsi="Times New Roman" w:cs="Times New Roman"/>
          <w:b/>
          <w:bCs/>
          <w:sz w:val="24"/>
          <w:szCs w:val="24"/>
        </w:rPr>
        <w:t>2206283</w:t>
      </w:r>
    </w:p>
    <w:p w14:paraId="5AFBED35" w14:textId="77777777" w:rsidR="001A5733" w:rsidRPr="002C7E68" w:rsidRDefault="001A5733" w:rsidP="001A57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C7FDCC" w14:textId="4FF3E6C6" w:rsidR="001A5733" w:rsidRPr="002C7E68" w:rsidRDefault="001A5733" w:rsidP="001A5733">
      <w:pPr>
        <w:pStyle w:val="NoSpacing"/>
        <w:spacing w:after="100" w:afterAutospacing="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7E68">
        <w:rPr>
          <w:rFonts w:ascii="Times New Roman" w:hAnsi="Times New Roman" w:cs="Times New Roman"/>
          <w:b/>
          <w:sz w:val="24"/>
          <w:szCs w:val="24"/>
          <w:u w:val="single"/>
        </w:rPr>
        <w:t>RULING</w:t>
      </w:r>
      <w:r w:rsidR="00DF7663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Pr="002C7E68">
        <w:rPr>
          <w:rFonts w:ascii="Times New Roman" w:hAnsi="Times New Roman" w:cs="Times New Roman"/>
          <w:b/>
          <w:sz w:val="24"/>
          <w:szCs w:val="24"/>
          <w:u w:val="single"/>
        </w:rPr>
        <w:t xml:space="preserve"> ON </w:t>
      </w:r>
      <w:r w:rsidR="00EE60D9">
        <w:rPr>
          <w:rFonts w:ascii="Times New Roman" w:hAnsi="Times New Roman" w:cs="Times New Roman"/>
          <w:b/>
          <w:sz w:val="24"/>
          <w:szCs w:val="24"/>
          <w:u w:val="single"/>
        </w:rPr>
        <w:t>GUARDIAN</w:t>
      </w:r>
      <w:r w:rsidRPr="002C7E68">
        <w:rPr>
          <w:rFonts w:ascii="Times New Roman" w:hAnsi="Times New Roman" w:cs="Times New Roman"/>
          <w:b/>
          <w:sz w:val="24"/>
          <w:szCs w:val="24"/>
          <w:u w:val="single"/>
        </w:rPr>
        <w:t xml:space="preserve">’S MOTION </w:t>
      </w:r>
      <w:r w:rsidR="00DF7663">
        <w:rPr>
          <w:rFonts w:ascii="Times New Roman" w:hAnsi="Times New Roman" w:cs="Times New Roman"/>
          <w:b/>
          <w:sz w:val="24"/>
          <w:szCs w:val="24"/>
          <w:u w:val="single"/>
        </w:rPr>
        <w:t>TO RECUSE</w:t>
      </w:r>
    </w:p>
    <w:p w14:paraId="4C603208" w14:textId="3AC1EC67" w:rsidR="004032BB" w:rsidRPr="00EE60D9" w:rsidRDefault="001A5733" w:rsidP="00EE60D9">
      <w:pPr>
        <w:ind w:firstLine="720"/>
        <w:rPr>
          <w:rFonts w:ascii="Times New Roman" w:hAnsi="Times New Roman" w:cs="Times New Roman"/>
          <w:iCs/>
          <w:sz w:val="24"/>
          <w:szCs w:val="24"/>
        </w:rPr>
      </w:pPr>
      <w:r w:rsidRPr="002C7E68">
        <w:rPr>
          <w:rFonts w:ascii="Times New Roman" w:hAnsi="Times New Roman" w:cs="Times New Roman"/>
          <w:sz w:val="24"/>
          <w:szCs w:val="24"/>
        </w:rPr>
        <w:t>This matter comes before</w:t>
      </w:r>
      <w:r w:rsidR="005C22A1" w:rsidRPr="002C7E68">
        <w:rPr>
          <w:rFonts w:ascii="Times New Roman" w:hAnsi="Times New Roman" w:cs="Times New Roman"/>
          <w:sz w:val="24"/>
          <w:szCs w:val="24"/>
        </w:rPr>
        <w:t xml:space="preserve"> the Hearing Officer on </w:t>
      </w:r>
      <w:r w:rsidR="00EE60D9">
        <w:rPr>
          <w:rFonts w:ascii="Times New Roman" w:hAnsi="Times New Roman" w:cs="Times New Roman"/>
          <w:sz w:val="24"/>
          <w:szCs w:val="24"/>
        </w:rPr>
        <w:t>Guardian</w:t>
      </w:r>
      <w:r w:rsidR="005C22A1" w:rsidRPr="002C7E68">
        <w:rPr>
          <w:rFonts w:ascii="Times New Roman" w:hAnsi="Times New Roman" w:cs="Times New Roman"/>
          <w:sz w:val="24"/>
          <w:szCs w:val="24"/>
        </w:rPr>
        <w:t>’s</w:t>
      </w:r>
      <w:r w:rsidRPr="002C7E68">
        <w:rPr>
          <w:rFonts w:ascii="Times New Roman" w:hAnsi="Times New Roman" w:cs="Times New Roman"/>
          <w:sz w:val="24"/>
          <w:szCs w:val="24"/>
        </w:rPr>
        <w:t xml:space="preserve"> </w:t>
      </w:r>
      <w:r w:rsidR="00E956D9">
        <w:rPr>
          <w:rFonts w:ascii="Times New Roman" w:hAnsi="Times New Roman" w:cs="Times New Roman"/>
          <w:i/>
          <w:iCs/>
          <w:sz w:val="24"/>
          <w:szCs w:val="24"/>
        </w:rPr>
        <w:t xml:space="preserve">Motion Requesting Administrative Law Judge Recuse Or Reassignment </w:t>
      </w:r>
      <w:r w:rsidR="00E956D9">
        <w:rPr>
          <w:rFonts w:ascii="Times New Roman" w:hAnsi="Times New Roman" w:cs="Times New Roman"/>
          <w:sz w:val="24"/>
          <w:szCs w:val="24"/>
        </w:rPr>
        <w:t>(</w:t>
      </w:r>
      <w:r w:rsidR="00E956D9">
        <w:rPr>
          <w:rFonts w:ascii="Times New Roman" w:hAnsi="Times New Roman" w:cs="Times New Roman"/>
          <w:i/>
          <w:iCs/>
          <w:sz w:val="24"/>
          <w:szCs w:val="24"/>
        </w:rPr>
        <w:t>sic</w:t>
      </w:r>
      <w:r w:rsidR="00E956D9">
        <w:rPr>
          <w:rFonts w:ascii="Times New Roman" w:hAnsi="Times New Roman" w:cs="Times New Roman"/>
          <w:sz w:val="24"/>
          <w:szCs w:val="24"/>
        </w:rPr>
        <w:t xml:space="preserve">) </w:t>
      </w:r>
      <w:r w:rsidR="00E956D9">
        <w:rPr>
          <w:rFonts w:ascii="Times New Roman" w:hAnsi="Times New Roman" w:cs="Times New Roman"/>
          <w:i/>
          <w:iCs/>
          <w:sz w:val="24"/>
          <w:szCs w:val="24"/>
        </w:rPr>
        <w:t xml:space="preserve">This BSEA Hearing </w:t>
      </w:r>
      <w:r w:rsidR="00E956D9">
        <w:rPr>
          <w:rFonts w:ascii="Times New Roman" w:hAnsi="Times New Roman" w:cs="Times New Roman"/>
          <w:sz w:val="24"/>
          <w:szCs w:val="24"/>
        </w:rPr>
        <w:t>(</w:t>
      </w:r>
      <w:r w:rsidR="00E956D9">
        <w:rPr>
          <w:rFonts w:ascii="Times New Roman" w:hAnsi="Times New Roman" w:cs="Times New Roman"/>
          <w:i/>
          <w:iCs/>
          <w:sz w:val="24"/>
          <w:szCs w:val="24"/>
        </w:rPr>
        <w:t>Motion</w:t>
      </w:r>
      <w:r w:rsidR="00E956D9">
        <w:rPr>
          <w:rFonts w:ascii="Times New Roman" w:hAnsi="Times New Roman" w:cs="Times New Roman"/>
          <w:sz w:val="24"/>
          <w:szCs w:val="24"/>
        </w:rPr>
        <w:t>)</w:t>
      </w:r>
      <w:r w:rsidR="00EE60D9">
        <w:rPr>
          <w:rFonts w:ascii="Times New Roman" w:hAnsi="Times New Roman" w:cs="Times New Roman"/>
          <w:iCs/>
          <w:sz w:val="24"/>
          <w:szCs w:val="24"/>
        </w:rPr>
        <w:t xml:space="preserve"> filed on </w:t>
      </w:r>
      <w:r w:rsidR="00E956D9">
        <w:rPr>
          <w:rFonts w:ascii="Times New Roman" w:hAnsi="Times New Roman" w:cs="Times New Roman"/>
          <w:iCs/>
          <w:sz w:val="24"/>
          <w:szCs w:val="24"/>
        </w:rPr>
        <w:t>February 14, 2022</w:t>
      </w:r>
      <w:r w:rsidR="00EE60D9">
        <w:rPr>
          <w:rFonts w:ascii="Times New Roman" w:hAnsi="Times New Roman" w:cs="Times New Roman"/>
          <w:iCs/>
          <w:sz w:val="24"/>
          <w:szCs w:val="24"/>
        </w:rPr>
        <w:t>. Amherst-Pelham Regional School District (Amherst-Pelham or the District)</w:t>
      </w:r>
      <w:r w:rsidRPr="002C7E68">
        <w:rPr>
          <w:rFonts w:ascii="Times New Roman" w:hAnsi="Times New Roman" w:cs="Times New Roman"/>
          <w:sz w:val="24"/>
          <w:szCs w:val="24"/>
        </w:rPr>
        <w:t xml:space="preserve"> initially filed its </w:t>
      </w:r>
      <w:r w:rsidRPr="002C7E68">
        <w:rPr>
          <w:rFonts w:ascii="Times New Roman" w:hAnsi="Times New Roman" w:cs="Times New Roman"/>
          <w:i/>
          <w:sz w:val="24"/>
          <w:szCs w:val="24"/>
        </w:rPr>
        <w:t>Hearing Request</w:t>
      </w:r>
      <w:r w:rsidR="001F73FE">
        <w:rPr>
          <w:rFonts w:ascii="Times New Roman" w:hAnsi="Times New Roman" w:cs="Times New Roman"/>
          <w:sz w:val="24"/>
          <w:szCs w:val="24"/>
        </w:rPr>
        <w:t xml:space="preserve"> regarding </w:t>
      </w:r>
      <w:r w:rsidR="00EE60D9">
        <w:rPr>
          <w:rFonts w:ascii="Times New Roman" w:hAnsi="Times New Roman" w:cs="Times New Roman"/>
          <w:sz w:val="24"/>
          <w:szCs w:val="24"/>
        </w:rPr>
        <w:t>Wendy</w:t>
      </w:r>
      <w:r w:rsidR="004032BB" w:rsidRPr="002C7E68">
        <w:rPr>
          <w:rFonts w:ascii="Times New Roman" w:hAnsi="Times New Roman" w:cs="Times New Roman"/>
          <w:sz w:val="24"/>
          <w:szCs w:val="24"/>
        </w:rPr>
        <w:t xml:space="preserve"> </w:t>
      </w:r>
      <w:r w:rsidR="00EE60D9">
        <w:rPr>
          <w:rFonts w:ascii="Times New Roman" w:hAnsi="Times New Roman" w:cs="Times New Roman"/>
          <w:sz w:val="24"/>
          <w:szCs w:val="24"/>
        </w:rPr>
        <w:t>on February 2, 2022</w:t>
      </w:r>
      <w:r w:rsidR="004032BB" w:rsidRPr="002C7E68">
        <w:rPr>
          <w:rFonts w:ascii="Times New Roman" w:hAnsi="Times New Roman" w:cs="Times New Roman"/>
          <w:sz w:val="24"/>
          <w:szCs w:val="24"/>
        </w:rPr>
        <w:t xml:space="preserve">, seeking an order that its proposed Individualized </w:t>
      </w:r>
      <w:r w:rsidR="002841DA">
        <w:rPr>
          <w:rFonts w:ascii="Times New Roman" w:hAnsi="Times New Roman" w:cs="Times New Roman"/>
          <w:sz w:val="24"/>
          <w:szCs w:val="24"/>
        </w:rPr>
        <w:t>Education Program (IEP)</w:t>
      </w:r>
      <w:r w:rsidR="00EE60D9">
        <w:rPr>
          <w:rFonts w:ascii="Times New Roman" w:hAnsi="Times New Roman" w:cs="Times New Roman"/>
          <w:sz w:val="24"/>
          <w:szCs w:val="24"/>
        </w:rPr>
        <w:t>, dated December 20, 2021 to December 19, 2022, with</w:t>
      </w:r>
      <w:r w:rsidR="00182591">
        <w:rPr>
          <w:rFonts w:ascii="Times New Roman" w:hAnsi="Times New Roman" w:cs="Times New Roman"/>
          <w:sz w:val="24"/>
          <w:szCs w:val="24"/>
        </w:rPr>
        <w:t xml:space="preserve"> placement </w:t>
      </w:r>
      <w:r w:rsidR="00EE60D9">
        <w:rPr>
          <w:rFonts w:ascii="Times New Roman" w:hAnsi="Times New Roman" w:cs="Times New Roman"/>
          <w:sz w:val="24"/>
          <w:szCs w:val="24"/>
        </w:rPr>
        <w:t xml:space="preserve">in a private day school, is </w:t>
      </w:r>
      <w:r w:rsidR="004032BB" w:rsidRPr="002C7E68">
        <w:rPr>
          <w:rFonts w:ascii="Times New Roman" w:hAnsi="Times New Roman" w:cs="Times New Roman"/>
          <w:sz w:val="24"/>
          <w:szCs w:val="24"/>
        </w:rPr>
        <w:t>reasonably calculated to provide h</w:t>
      </w:r>
      <w:r w:rsidR="00EE60D9">
        <w:rPr>
          <w:rFonts w:ascii="Times New Roman" w:hAnsi="Times New Roman" w:cs="Times New Roman"/>
          <w:sz w:val="24"/>
          <w:szCs w:val="24"/>
        </w:rPr>
        <w:t>er</w:t>
      </w:r>
      <w:r w:rsidR="004032BB" w:rsidRPr="002C7E68">
        <w:rPr>
          <w:rFonts w:ascii="Times New Roman" w:hAnsi="Times New Roman" w:cs="Times New Roman"/>
          <w:sz w:val="24"/>
          <w:szCs w:val="24"/>
        </w:rPr>
        <w:t xml:space="preserve"> with a free, appropriate public education (FAPE) in the least restrictive environment.</w:t>
      </w:r>
      <w:r w:rsidR="00E818B3">
        <w:rPr>
          <w:rFonts w:ascii="Times New Roman" w:hAnsi="Times New Roman" w:cs="Times New Roman"/>
          <w:sz w:val="24"/>
          <w:szCs w:val="24"/>
        </w:rPr>
        <w:t xml:space="preserve"> </w:t>
      </w:r>
      <w:r w:rsidR="006809C4">
        <w:rPr>
          <w:rFonts w:ascii="Times New Roman" w:hAnsi="Times New Roman" w:cs="Times New Roman"/>
          <w:sz w:val="24"/>
          <w:szCs w:val="24"/>
        </w:rPr>
        <w:t xml:space="preserve">The Hearing was scheduled for February 23, 2022. </w:t>
      </w:r>
    </w:p>
    <w:p w14:paraId="216C3C38" w14:textId="77777777" w:rsidR="004032BB" w:rsidRPr="002C7E68" w:rsidRDefault="004032BB" w:rsidP="004032BB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15CD7588" w14:textId="698C55CE" w:rsidR="006809C4" w:rsidRPr="00C16CF9" w:rsidRDefault="00182591" w:rsidP="00C16CF9">
      <w:pPr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</w:t>
      </w:r>
      <w:r w:rsidR="006809C4">
        <w:rPr>
          <w:rFonts w:ascii="Times New Roman" w:hAnsi="Times New Roman" w:cs="Times New Roman"/>
          <w:sz w:val="24"/>
          <w:szCs w:val="24"/>
        </w:rPr>
        <w:t xml:space="preserve"> February 11, 2022, the District requested postponement of the Hearing due to the unavailability of Counsel. On February 14, 2022, Guardian filed a </w:t>
      </w:r>
      <w:r w:rsidR="006809C4">
        <w:rPr>
          <w:rFonts w:ascii="Times New Roman" w:hAnsi="Times New Roman" w:cs="Times New Roman"/>
          <w:i/>
          <w:iCs/>
          <w:sz w:val="24"/>
          <w:szCs w:val="24"/>
        </w:rPr>
        <w:t>Response to District’s Hearing Request and Motion to Dismiss Complaint</w:t>
      </w:r>
      <w:r w:rsidR="006809C4">
        <w:rPr>
          <w:rFonts w:ascii="Times New Roman" w:hAnsi="Times New Roman" w:cs="Times New Roman"/>
          <w:sz w:val="24"/>
          <w:szCs w:val="24"/>
        </w:rPr>
        <w:t>.</w:t>
      </w:r>
      <w:r w:rsidR="00E818B3">
        <w:rPr>
          <w:rFonts w:ascii="Times New Roman" w:hAnsi="Times New Roman" w:cs="Times New Roman"/>
          <w:sz w:val="24"/>
          <w:szCs w:val="24"/>
        </w:rPr>
        <w:t xml:space="preserve"> Following a Conference Call that took place on February 15, 2022</w:t>
      </w:r>
      <w:r w:rsidR="00E818B3" w:rsidRPr="00211D1F">
        <w:rPr>
          <w:rFonts w:ascii="Times New Roman" w:hAnsi="Times New Roman" w:cs="Times New Roman"/>
          <w:sz w:val="24"/>
          <w:szCs w:val="24"/>
        </w:rPr>
        <w:t xml:space="preserve">, the District filed a joint request to postpone the Hearing for three months given the unavailability of Counsel and to permit the parties to work together toward resolution, particularly as </w:t>
      </w:r>
      <w:r w:rsidR="00211D1F">
        <w:rPr>
          <w:rFonts w:ascii="Times New Roman" w:hAnsi="Times New Roman" w:cs="Times New Roman"/>
          <w:sz w:val="24"/>
          <w:szCs w:val="24"/>
        </w:rPr>
        <w:t>Amherst-Pelham</w:t>
      </w:r>
      <w:r w:rsidR="00E818B3" w:rsidRPr="00211D1F">
        <w:rPr>
          <w:rFonts w:ascii="Times New Roman" w:hAnsi="Times New Roman" w:cs="Times New Roman"/>
          <w:sz w:val="24"/>
          <w:szCs w:val="24"/>
        </w:rPr>
        <w:t xml:space="preserve"> would be conducting additional evaluations</w:t>
      </w:r>
      <w:r w:rsidR="0033666A">
        <w:rPr>
          <w:rFonts w:ascii="Times New Roman" w:hAnsi="Times New Roman" w:cs="Times New Roman"/>
          <w:sz w:val="24"/>
          <w:szCs w:val="24"/>
        </w:rPr>
        <w:t xml:space="preserve"> of Wendy</w:t>
      </w:r>
      <w:r w:rsidR="00E818B3" w:rsidRPr="00211D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818B3" w:rsidRPr="00211D1F">
        <w:rPr>
          <w:rFonts w:ascii="Times New Roman" w:hAnsi="Times New Roman" w:cs="Times New Roman"/>
          <w:sz w:val="24"/>
          <w:szCs w:val="24"/>
        </w:rPr>
        <w:t>in the near future</w:t>
      </w:r>
      <w:proofErr w:type="gramEnd"/>
      <w:r w:rsidR="00E818B3" w:rsidRPr="00211D1F">
        <w:rPr>
          <w:rFonts w:ascii="Times New Roman" w:hAnsi="Times New Roman" w:cs="Times New Roman"/>
          <w:sz w:val="24"/>
          <w:szCs w:val="24"/>
        </w:rPr>
        <w:t>.</w:t>
      </w:r>
      <w:r w:rsidR="00E818B3" w:rsidRPr="00211D1F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E818B3" w:rsidRPr="00211D1F">
        <w:rPr>
          <w:rFonts w:ascii="Times New Roman" w:hAnsi="Times New Roman" w:cs="Times New Roman"/>
          <w:sz w:val="24"/>
          <w:szCs w:val="24"/>
        </w:rPr>
        <w:t xml:space="preserve"> </w:t>
      </w:r>
      <w:r w:rsidR="00211D1F" w:rsidRPr="00211D1F">
        <w:rPr>
          <w:rFonts w:ascii="Times New Roman" w:hAnsi="Times New Roman" w:cs="Times New Roman"/>
          <w:sz w:val="24"/>
          <w:szCs w:val="24"/>
        </w:rPr>
        <w:t xml:space="preserve">The District also requested, and was allowed, an extension to respond to Guardian’s </w:t>
      </w:r>
      <w:r w:rsidR="00211D1F" w:rsidRPr="00211D1F">
        <w:rPr>
          <w:rFonts w:ascii="Times New Roman" w:hAnsi="Times New Roman" w:cs="Times New Roman"/>
          <w:i/>
          <w:iCs/>
          <w:sz w:val="24"/>
          <w:szCs w:val="24"/>
        </w:rPr>
        <w:t>Motion to Dismiss</w:t>
      </w:r>
      <w:r w:rsidR="00211D1F">
        <w:rPr>
          <w:rFonts w:ascii="Times New Roman" w:hAnsi="Times New Roman" w:cs="Times New Roman"/>
          <w:sz w:val="24"/>
          <w:szCs w:val="24"/>
        </w:rPr>
        <w:t xml:space="preserve">; this </w:t>
      </w:r>
      <w:r w:rsidR="00211D1F">
        <w:rPr>
          <w:rFonts w:ascii="Times New Roman" w:hAnsi="Times New Roman" w:cs="Times New Roman"/>
          <w:i/>
          <w:iCs/>
          <w:sz w:val="24"/>
          <w:szCs w:val="24"/>
        </w:rPr>
        <w:t xml:space="preserve">Response </w:t>
      </w:r>
      <w:r w:rsidR="00211D1F">
        <w:rPr>
          <w:rFonts w:ascii="Times New Roman" w:hAnsi="Times New Roman" w:cs="Times New Roman"/>
          <w:sz w:val="24"/>
          <w:szCs w:val="24"/>
        </w:rPr>
        <w:t xml:space="preserve">was filed on February 23, 2022. </w:t>
      </w:r>
      <w:r w:rsidR="00E818B3" w:rsidRPr="00211D1F">
        <w:rPr>
          <w:rFonts w:ascii="Times New Roman" w:hAnsi="Times New Roman" w:cs="Times New Roman"/>
          <w:sz w:val="24"/>
          <w:szCs w:val="24"/>
        </w:rPr>
        <w:t xml:space="preserve">The Hearing was postponed for good cause to May 5, 6, and 11, and a Pre-Hearing was scheduled for </w:t>
      </w:r>
      <w:r w:rsidR="00211D1F" w:rsidRPr="00211D1F">
        <w:rPr>
          <w:rFonts w:ascii="Times New Roman" w:hAnsi="Times New Roman" w:cs="Times New Roman"/>
          <w:sz w:val="24"/>
          <w:szCs w:val="24"/>
        </w:rPr>
        <w:t>March 15, 2022.</w:t>
      </w:r>
    </w:p>
    <w:p w14:paraId="7B6C07C6" w14:textId="538F539B" w:rsidR="006809C4" w:rsidRPr="00E2750F" w:rsidRDefault="00211D1F" w:rsidP="00E2750F">
      <w:pPr>
        <w:spacing w:before="24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meantime, </w:t>
      </w:r>
      <w:r w:rsidR="006809C4">
        <w:rPr>
          <w:rFonts w:ascii="Times New Roman" w:hAnsi="Times New Roman" w:cs="Times New Roman"/>
          <w:sz w:val="24"/>
          <w:szCs w:val="24"/>
        </w:rPr>
        <w:t xml:space="preserve">Guardian, through her advocate, filed the instant </w:t>
      </w:r>
      <w:r w:rsidR="006809C4">
        <w:rPr>
          <w:rFonts w:ascii="Times New Roman" w:hAnsi="Times New Roman" w:cs="Times New Roman"/>
          <w:i/>
          <w:iCs/>
          <w:sz w:val="24"/>
          <w:szCs w:val="24"/>
        </w:rPr>
        <w:t>Moti</w:t>
      </w:r>
      <w:r w:rsidR="00E956D9">
        <w:rPr>
          <w:rFonts w:ascii="Times New Roman" w:hAnsi="Times New Roman" w:cs="Times New Roman"/>
          <w:i/>
          <w:iCs/>
          <w:sz w:val="24"/>
          <w:szCs w:val="24"/>
        </w:rPr>
        <w:t xml:space="preserve">on </w:t>
      </w:r>
      <w:r w:rsidR="00E2750F">
        <w:rPr>
          <w:rFonts w:ascii="Times New Roman" w:hAnsi="Times New Roman" w:cs="Times New Roman"/>
          <w:sz w:val="24"/>
          <w:szCs w:val="24"/>
        </w:rPr>
        <w:t>asserting that her advocate’s involvement in the appeal of an unrelated matter pending before the federal court creates a conflict of interest. Guardian argues that the</w:t>
      </w:r>
      <w:r w:rsidR="004D3CD3">
        <w:rPr>
          <w:rFonts w:ascii="Times New Roman" w:hAnsi="Times New Roman" w:cs="Times New Roman"/>
          <w:sz w:val="24"/>
          <w:szCs w:val="24"/>
        </w:rPr>
        <w:t xml:space="preserve"> federal court</w:t>
      </w:r>
      <w:r w:rsidR="00E2750F">
        <w:rPr>
          <w:rFonts w:ascii="Times New Roman" w:hAnsi="Times New Roman" w:cs="Times New Roman"/>
          <w:sz w:val="24"/>
          <w:szCs w:val="24"/>
        </w:rPr>
        <w:t xml:space="preserve"> appeal challenging</w:t>
      </w:r>
      <w:r w:rsidR="004D3CD3">
        <w:rPr>
          <w:rFonts w:ascii="Times New Roman" w:hAnsi="Times New Roman" w:cs="Times New Roman"/>
          <w:sz w:val="24"/>
          <w:szCs w:val="24"/>
        </w:rPr>
        <w:t xml:space="preserve"> a decision by this </w:t>
      </w:r>
      <w:r w:rsidR="00E2750F">
        <w:rPr>
          <w:rFonts w:ascii="Times New Roman" w:hAnsi="Times New Roman" w:cs="Times New Roman"/>
          <w:sz w:val="24"/>
          <w:szCs w:val="24"/>
        </w:rPr>
        <w:t xml:space="preserve">Hearing Officer </w:t>
      </w:r>
      <w:r w:rsidR="004D3CD3">
        <w:rPr>
          <w:rFonts w:ascii="Times New Roman" w:hAnsi="Times New Roman" w:cs="Times New Roman"/>
          <w:sz w:val="24"/>
          <w:szCs w:val="24"/>
        </w:rPr>
        <w:t xml:space="preserve">in the unrelated matter </w:t>
      </w:r>
      <w:r w:rsidR="00E2750F">
        <w:rPr>
          <w:rFonts w:ascii="Times New Roman" w:hAnsi="Times New Roman" w:cs="Times New Roman"/>
          <w:sz w:val="24"/>
          <w:szCs w:val="24"/>
        </w:rPr>
        <w:t>“intertwines her both personally and professionally;” that reassignment is the “only certain way to ensure [advocate is] not prejudice (</w:t>
      </w:r>
      <w:r w:rsidR="00E2750F">
        <w:rPr>
          <w:rFonts w:ascii="Times New Roman" w:hAnsi="Times New Roman" w:cs="Times New Roman"/>
          <w:i/>
          <w:iCs/>
          <w:sz w:val="24"/>
          <w:szCs w:val="24"/>
        </w:rPr>
        <w:t>sic</w:t>
      </w:r>
      <w:r w:rsidR="00E2750F">
        <w:rPr>
          <w:rFonts w:ascii="Times New Roman" w:hAnsi="Times New Roman" w:cs="Times New Roman"/>
          <w:sz w:val="24"/>
          <w:szCs w:val="24"/>
        </w:rPr>
        <w:t xml:space="preserve">) in [her] Federal Appeal;” </w:t>
      </w:r>
      <w:r w:rsidR="00C16CF9">
        <w:rPr>
          <w:rFonts w:ascii="Times New Roman" w:hAnsi="Times New Roman" w:cs="Times New Roman"/>
          <w:sz w:val="24"/>
          <w:szCs w:val="24"/>
        </w:rPr>
        <w:t>and that reassignment will protect the interest of all parties involved.</w:t>
      </w:r>
    </w:p>
    <w:p w14:paraId="68B3BC43" w14:textId="77777777" w:rsidR="0025015D" w:rsidRPr="002C7E68" w:rsidRDefault="0025015D" w:rsidP="0051794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524A4A2E" w14:textId="63C756D7" w:rsidR="002C51A2" w:rsidRPr="002C7E68" w:rsidRDefault="00594CF5" w:rsidP="0051794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2C7E68">
        <w:rPr>
          <w:rFonts w:ascii="Times New Roman" w:hAnsi="Times New Roman" w:cs="Times New Roman"/>
          <w:sz w:val="24"/>
          <w:szCs w:val="24"/>
        </w:rPr>
        <w:t>As neither testimony nor oral argument would advance my understanding of the issues involved,</w:t>
      </w:r>
      <w:r w:rsidR="008D6BB3">
        <w:rPr>
          <w:rFonts w:ascii="Times New Roman" w:hAnsi="Times New Roman" w:cs="Times New Roman"/>
          <w:sz w:val="24"/>
          <w:szCs w:val="24"/>
        </w:rPr>
        <w:t xml:space="preserve"> I am issuing </w:t>
      </w:r>
      <w:r w:rsidR="00C16CF9">
        <w:rPr>
          <w:rFonts w:ascii="Times New Roman" w:hAnsi="Times New Roman" w:cs="Times New Roman"/>
          <w:sz w:val="24"/>
          <w:szCs w:val="24"/>
        </w:rPr>
        <w:t xml:space="preserve">my ruling on this </w:t>
      </w:r>
      <w:r w:rsidR="00C16CF9">
        <w:rPr>
          <w:rFonts w:ascii="Times New Roman" w:hAnsi="Times New Roman" w:cs="Times New Roman"/>
          <w:i/>
          <w:iCs/>
          <w:sz w:val="24"/>
          <w:szCs w:val="24"/>
        </w:rPr>
        <w:t>Motion</w:t>
      </w:r>
      <w:r w:rsidRPr="002C7E68">
        <w:rPr>
          <w:rFonts w:ascii="Times New Roman" w:hAnsi="Times New Roman" w:cs="Times New Roman"/>
          <w:sz w:val="24"/>
          <w:szCs w:val="24"/>
        </w:rPr>
        <w:t xml:space="preserve"> without a hearing, pursuant to</w:t>
      </w:r>
      <w:r w:rsidR="00D7595E">
        <w:rPr>
          <w:rFonts w:ascii="Times New Roman" w:hAnsi="Times New Roman" w:cs="Times New Roman"/>
          <w:sz w:val="24"/>
          <w:szCs w:val="24"/>
        </w:rPr>
        <w:t xml:space="preserve"> BSEA</w:t>
      </w:r>
      <w:r w:rsidRPr="002C7E68">
        <w:rPr>
          <w:rFonts w:ascii="Times New Roman" w:hAnsi="Times New Roman" w:cs="Times New Roman"/>
          <w:sz w:val="24"/>
          <w:szCs w:val="24"/>
        </w:rPr>
        <w:t xml:space="preserve"> </w:t>
      </w:r>
      <w:r w:rsidRPr="002C7E68">
        <w:rPr>
          <w:rFonts w:ascii="Times New Roman" w:hAnsi="Times New Roman" w:cs="Times New Roman"/>
          <w:i/>
          <w:sz w:val="24"/>
          <w:szCs w:val="24"/>
        </w:rPr>
        <w:t xml:space="preserve">Hearing Rule </w:t>
      </w:r>
      <w:r w:rsidR="008D6BB3">
        <w:rPr>
          <w:rFonts w:ascii="Times New Roman" w:hAnsi="Times New Roman" w:cs="Times New Roman"/>
          <w:sz w:val="24"/>
          <w:szCs w:val="24"/>
        </w:rPr>
        <w:t>VII(D).</w:t>
      </w:r>
      <w:r w:rsidR="00C16CF9">
        <w:rPr>
          <w:rFonts w:ascii="Times New Roman" w:hAnsi="Times New Roman" w:cs="Times New Roman"/>
          <w:sz w:val="24"/>
          <w:szCs w:val="24"/>
        </w:rPr>
        <w:t xml:space="preserve"> </w:t>
      </w:r>
      <w:r w:rsidRPr="002C7E68">
        <w:rPr>
          <w:rFonts w:ascii="Times New Roman" w:hAnsi="Times New Roman" w:cs="Times New Roman"/>
          <w:sz w:val="24"/>
          <w:szCs w:val="24"/>
        </w:rPr>
        <w:t xml:space="preserve">For the reasons set forth below, </w:t>
      </w:r>
      <w:r w:rsidR="00C16CF9">
        <w:rPr>
          <w:rFonts w:ascii="Times New Roman" w:hAnsi="Times New Roman" w:cs="Times New Roman"/>
          <w:sz w:val="24"/>
          <w:szCs w:val="24"/>
        </w:rPr>
        <w:t>Guardian’s</w:t>
      </w:r>
      <w:r w:rsidRPr="002C7E68">
        <w:rPr>
          <w:rFonts w:ascii="Times New Roman" w:hAnsi="Times New Roman" w:cs="Times New Roman"/>
          <w:sz w:val="24"/>
          <w:szCs w:val="24"/>
        </w:rPr>
        <w:t xml:space="preserve"> </w:t>
      </w:r>
      <w:r w:rsidR="008D6BB3">
        <w:rPr>
          <w:rFonts w:ascii="Times New Roman" w:hAnsi="Times New Roman" w:cs="Times New Roman"/>
          <w:i/>
          <w:sz w:val="24"/>
          <w:szCs w:val="24"/>
        </w:rPr>
        <w:t>Motion</w:t>
      </w:r>
      <w:r w:rsidR="00C16C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6CF9">
        <w:rPr>
          <w:rFonts w:ascii="Times New Roman" w:hAnsi="Times New Roman" w:cs="Times New Roman"/>
          <w:iCs/>
          <w:sz w:val="24"/>
          <w:szCs w:val="24"/>
        </w:rPr>
        <w:t>is</w:t>
      </w:r>
      <w:r w:rsidRPr="002C7E68">
        <w:rPr>
          <w:rFonts w:ascii="Times New Roman" w:hAnsi="Times New Roman" w:cs="Times New Roman"/>
          <w:sz w:val="24"/>
          <w:szCs w:val="24"/>
        </w:rPr>
        <w:t xml:space="preserve"> hereby DENIED.</w:t>
      </w:r>
    </w:p>
    <w:p w14:paraId="070C9983" w14:textId="1733D760" w:rsidR="00FB2C24" w:rsidRDefault="00FB2C24" w:rsidP="00594CF5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3ADA2B35" w14:textId="5EB865F8" w:rsidR="00796D27" w:rsidRDefault="00796D27" w:rsidP="00594CF5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632CD380" w14:textId="49BAD1BB" w:rsidR="00796D27" w:rsidRDefault="00796D27" w:rsidP="00594CF5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1F0CD2EB" w14:textId="77777777" w:rsidR="00796D27" w:rsidRPr="002C7E68" w:rsidRDefault="00796D27" w:rsidP="00594CF5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378F493B" w14:textId="18C92DA8" w:rsidR="00E36615" w:rsidRPr="00575322" w:rsidRDefault="003043C6" w:rsidP="003043C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2C7E68">
        <w:rPr>
          <w:rFonts w:ascii="Times New Roman" w:hAnsi="Times New Roman" w:cs="Times New Roman"/>
          <w:sz w:val="24"/>
          <w:szCs w:val="24"/>
          <w:u w:val="single"/>
        </w:rPr>
        <w:lastRenderedPageBreak/>
        <w:t>LEGAL STANDARDS</w:t>
      </w:r>
      <w:r w:rsidR="00E35FDF">
        <w:rPr>
          <w:rFonts w:ascii="Times New Roman" w:hAnsi="Times New Roman" w:cs="Times New Roman"/>
          <w:sz w:val="24"/>
          <w:szCs w:val="24"/>
          <w:u w:val="single"/>
        </w:rPr>
        <w:t xml:space="preserve"> FOR RECUSAL</w:t>
      </w:r>
    </w:p>
    <w:p w14:paraId="06961048" w14:textId="77777777" w:rsidR="00E36615" w:rsidRDefault="00E36615" w:rsidP="003043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0C134C" w14:textId="1F0003C7" w:rsidR="003043C6" w:rsidRPr="002C7E68" w:rsidRDefault="00825534" w:rsidP="0057532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a party objects to the assignment of a Hearing Officer, </w:t>
      </w:r>
      <w:r w:rsidR="00575322">
        <w:rPr>
          <w:rFonts w:ascii="Times New Roman" w:hAnsi="Times New Roman" w:cs="Times New Roman"/>
          <w:sz w:val="24"/>
          <w:szCs w:val="24"/>
        </w:rPr>
        <w:t xml:space="preserve">that Hearing Officer must consider whether her impartiality might reasonably be questioned; </w:t>
      </w:r>
      <w:r>
        <w:rPr>
          <w:rFonts w:ascii="Times New Roman" w:hAnsi="Times New Roman" w:cs="Times New Roman"/>
          <w:sz w:val="24"/>
          <w:szCs w:val="24"/>
        </w:rPr>
        <w:t>reassignment or recusal is not automatic.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5322">
        <w:rPr>
          <w:rFonts w:ascii="Times New Roman" w:hAnsi="Times New Roman" w:cs="Times New Roman"/>
          <w:sz w:val="24"/>
          <w:szCs w:val="24"/>
        </w:rPr>
        <w:t>Specifically, a BSEA Hearing Officer f</w:t>
      </w:r>
      <w:r w:rsidR="003043C6" w:rsidRPr="002C7E68">
        <w:rPr>
          <w:rFonts w:ascii="Times New Roman" w:hAnsi="Times New Roman" w:cs="Times New Roman"/>
          <w:sz w:val="24"/>
          <w:szCs w:val="24"/>
        </w:rPr>
        <w:t>aced with a Motion</w:t>
      </w:r>
      <w:r w:rsidR="00FD3799">
        <w:rPr>
          <w:rFonts w:ascii="Times New Roman" w:hAnsi="Times New Roman" w:cs="Times New Roman"/>
          <w:sz w:val="24"/>
          <w:szCs w:val="24"/>
        </w:rPr>
        <w:t xml:space="preserve"> to Recuse</w:t>
      </w:r>
      <w:r w:rsidR="003043C6" w:rsidRPr="002C7E68">
        <w:rPr>
          <w:rFonts w:ascii="Times New Roman" w:hAnsi="Times New Roman" w:cs="Times New Roman"/>
          <w:sz w:val="24"/>
          <w:szCs w:val="24"/>
        </w:rPr>
        <w:t xml:space="preserve"> to must engage in a two-part analysis of whether impermissible bias exists.</w:t>
      </w:r>
      <w:r w:rsidR="002E67F0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="003043C6" w:rsidRPr="002C7E68">
        <w:rPr>
          <w:rFonts w:ascii="Times New Roman" w:hAnsi="Times New Roman" w:cs="Times New Roman"/>
          <w:sz w:val="24"/>
          <w:szCs w:val="24"/>
        </w:rPr>
        <w:t xml:space="preserve"> The first part of this analysis requires that the Hearing Officer examine her conscience and emotions to determine whether she could preside over the matter free from prejudice.</w:t>
      </w:r>
      <w:r w:rsidR="003043C6" w:rsidRPr="002C7E68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 w:rsidR="003043C6" w:rsidRPr="002C7E68">
        <w:rPr>
          <w:rFonts w:ascii="Times New Roman" w:hAnsi="Times New Roman" w:cs="Times New Roman"/>
          <w:sz w:val="24"/>
          <w:szCs w:val="24"/>
        </w:rPr>
        <w:t xml:space="preserve"> The second part requires the Hearing Officer to make an objective, fact-based inquiry as to whether there exists a reasonable basis for the moving party’s concerns regarding her ability to be fair and impartial.</w:t>
      </w:r>
      <w:r w:rsidR="003043C6" w:rsidRPr="002C7E68"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  <w:r w:rsidR="003043C6" w:rsidRPr="002C7E68">
        <w:rPr>
          <w:rFonts w:ascii="Times New Roman" w:hAnsi="Times New Roman" w:cs="Times New Roman"/>
          <w:sz w:val="24"/>
          <w:szCs w:val="24"/>
        </w:rPr>
        <w:t xml:space="preserve"> </w:t>
      </w:r>
      <w:r w:rsidR="0043694D" w:rsidRPr="002C7E68">
        <w:rPr>
          <w:rFonts w:ascii="Times New Roman" w:hAnsi="Times New Roman" w:cs="Times New Roman"/>
          <w:sz w:val="24"/>
          <w:szCs w:val="24"/>
        </w:rPr>
        <w:t>The First Circuit has held that a “charge of partiality must be supported by a factual basis</w:t>
      </w:r>
      <w:r w:rsidR="0043694D">
        <w:rPr>
          <w:rFonts w:ascii="Times New Roman" w:hAnsi="Times New Roman" w:cs="Times New Roman"/>
          <w:sz w:val="24"/>
          <w:szCs w:val="24"/>
        </w:rPr>
        <w:t>,</w:t>
      </w:r>
      <w:r w:rsidR="0043694D" w:rsidRPr="002C7E68">
        <w:rPr>
          <w:rFonts w:ascii="Times New Roman" w:hAnsi="Times New Roman" w:cs="Times New Roman"/>
          <w:sz w:val="24"/>
          <w:szCs w:val="24"/>
        </w:rPr>
        <w:t>”</w:t>
      </w:r>
      <w:r w:rsidR="0043694D" w:rsidRPr="002C7E68">
        <w:rPr>
          <w:rStyle w:val="FootnoteReference"/>
          <w:rFonts w:ascii="Times New Roman" w:hAnsi="Times New Roman" w:cs="Times New Roman"/>
          <w:sz w:val="24"/>
          <w:szCs w:val="24"/>
        </w:rPr>
        <w:footnoteReference w:id="7"/>
      </w:r>
      <w:r w:rsidR="0043694D">
        <w:rPr>
          <w:rFonts w:ascii="Times New Roman" w:hAnsi="Times New Roman" w:cs="Times New Roman"/>
          <w:sz w:val="24"/>
          <w:szCs w:val="24"/>
        </w:rPr>
        <w:t xml:space="preserve"> and that </w:t>
      </w:r>
      <w:r w:rsidR="0043694D" w:rsidRPr="002C7E68">
        <w:rPr>
          <w:rFonts w:ascii="Times New Roman" w:hAnsi="Times New Roman" w:cs="Times New Roman"/>
          <w:sz w:val="24"/>
          <w:szCs w:val="24"/>
        </w:rPr>
        <w:t>disqualification would be appropriate only if these “facts provide what an objective, knowledgeable member of the public would find to be a reasonable basis for doubting the [Hearing Officer]’s impartiality.”</w:t>
      </w:r>
      <w:r w:rsidR="0043694D" w:rsidRPr="002C7E68">
        <w:rPr>
          <w:rStyle w:val="FootnoteReference"/>
          <w:rFonts w:ascii="Times New Roman" w:hAnsi="Times New Roman" w:cs="Times New Roman"/>
          <w:sz w:val="24"/>
          <w:szCs w:val="24"/>
        </w:rPr>
        <w:footnoteReference w:id="8"/>
      </w:r>
      <w:r w:rsidR="00575322">
        <w:rPr>
          <w:rFonts w:ascii="Times New Roman" w:hAnsi="Times New Roman" w:cs="Times New Roman"/>
          <w:sz w:val="24"/>
          <w:szCs w:val="24"/>
        </w:rPr>
        <w:t xml:space="preserve"> </w:t>
      </w:r>
      <w:r w:rsidR="003043C6" w:rsidRPr="002C7E68">
        <w:rPr>
          <w:rFonts w:ascii="Times New Roman" w:hAnsi="Times New Roman" w:cs="Times New Roman"/>
          <w:sz w:val="24"/>
          <w:szCs w:val="24"/>
        </w:rPr>
        <w:t>In the absence of either of these circumstances, a Hearing Officer should not recuse herself.</w:t>
      </w:r>
      <w:r w:rsidR="000D50DA">
        <w:rPr>
          <w:rStyle w:val="FootnoteReference"/>
          <w:rFonts w:ascii="Times New Roman" w:hAnsi="Times New Roman" w:cs="Times New Roman"/>
          <w:sz w:val="24"/>
          <w:szCs w:val="24"/>
        </w:rPr>
        <w:footnoteReference w:id="9"/>
      </w:r>
    </w:p>
    <w:p w14:paraId="174D0821" w14:textId="77777777" w:rsidR="003043C6" w:rsidRPr="002C7E68" w:rsidRDefault="003043C6" w:rsidP="003043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3D9257" w14:textId="53A5742C" w:rsidR="003043C6" w:rsidRDefault="003043C6" w:rsidP="003043C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C7E68">
        <w:rPr>
          <w:rFonts w:ascii="Times New Roman" w:hAnsi="Times New Roman" w:cs="Times New Roman"/>
          <w:sz w:val="24"/>
          <w:szCs w:val="24"/>
        </w:rPr>
        <w:tab/>
        <w:t xml:space="preserve">Underlying these standards are “twin – and sometimes competing – </w:t>
      </w:r>
      <w:proofErr w:type="spellStart"/>
      <w:r w:rsidRPr="002C7E68">
        <w:rPr>
          <w:rFonts w:ascii="Times New Roman" w:hAnsi="Times New Roman" w:cs="Times New Roman"/>
          <w:sz w:val="24"/>
          <w:szCs w:val="24"/>
        </w:rPr>
        <w:t>polic</w:t>
      </w:r>
      <w:proofErr w:type="spellEnd"/>
      <w:r w:rsidRPr="002C7E68">
        <w:rPr>
          <w:rFonts w:ascii="Times New Roman" w:hAnsi="Times New Roman" w:cs="Times New Roman"/>
          <w:sz w:val="24"/>
          <w:szCs w:val="24"/>
        </w:rPr>
        <w:t>[y]” concerns: first, that courts (and administrative agencies) “must not only be, but must seem to be, free of bias or prejudice . . . [which requires that] the situation . . . be viewed through the eyes of the objective person,” and second, “that a judge [or hearing officer] once having drawn a case should not recuse himself on an unsupported, irrational, or highly tenuous speculation; were he to do so, the price of maintaining the purity of appearance would be the power of litigants or third parties to exercise a negative veto over the assignment of judges.”</w:t>
      </w:r>
      <w:r w:rsidRPr="002C7E68">
        <w:rPr>
          <w:rStyle w:val="FootnoteReference"/>
          <w:rFonts w:ascii="Times New Roman" w:hAnsi="Times New Roman" w:cs="Times New Roman"/>
          <w:sz w:val="24"/>
          <w:szCs w:val="24"/>
        </w:rPr>
        <w:footnoteReference w:id="10"/>
      </w:r>
    </w:p>
    <w:p w14:paraId="0D6696BA" w14:textId="2F8E582B" w:rsidR="00825534" w:rsidRDefault="00825534" w:rsidP="003043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D92E09" w14:textId="7D03D1EF" w:rsidR="00825534" w:rsidRDefault="00825534" w:rsidP="003043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Court</w:t>
      </w:r>
      <w:r w:rsidR="00BB3A2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have found recusal </w:t>
      </w:r>
      <w:r w:rsidR="00E94A66">
        <w:rPr>
          <w:rFonts w:ascii="Times New Roman" w:hAnsi="Times New Roman" w:cs="Times New Roman"/>
          <w:sz w:val="24"/>
          <w:szCs w:val="24"/>
        </w:rPr>
        <w:t xml:space="preserve">appropriate </w:t>
      </w:r>
      <w:r>
        <w:rPr>
          <w:rFonts w:ascii="Times New Roman" w:hAnsi="Times New Roman" w:cs="Times New Roman"/>
          <w:sz w:val="24"/>
          <w:szCs w:val="24"/>
        </w:rPr>
        <w:t>where a judge has a “direct, substantial, pecuniary interest in a case,”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11"/>
      </w:r>
      <w:r>
        <w:rPr>
          <w:rFonts w:ascii="Times New Roman" w:hAnsi="Times New Roman" w:cs="Times New Roman"/>
          <w:sz w:val="24"/>
          <w:szCs w:val="24"/>
        </w:rPr>
        <w:t xml:space="preserve"> and where the judge has already determined, as to a party in a criminal case, that his conduct merits charges of perjury or contempt.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12"/>
      </w:r>
      <w:r w:rsidR="0043694D">
        <w:rPr>
          <w:rFonts w:ascii="Times New Roman" w:hAnsi="Times New Roman" w:cs="Times New Roman"/>
          <w:sz w:val="24"/>
          <w:szCs w:val="24"/>
        </w:rPr>
        <w:t xml:space="preserve"> On the other hand, comments by a judge about previously, publicly-established facts regarding a case (specifically, a comment to a </w:t>
      </w:r>
      <w:r w:rsidR="0043694D">
        <w:rPr>
          <w:rFonts w:ascii="Times New Roman" w:hAnsi="Times New Roman" w:cs="Times New Roman"/>
          <w:sz w:val="24"/>
          <w:szCs w:val="24"/>
        </w:rPr>
        <w:lastRenderedPageBreak/>
        <w:t>reporter about</w:t>
      </w:r>
      <w:r w:rsidR="00E36615">
        <w:rPr>
          <w:rFonts w:ascii="Times New Roman" w:hAnsi="Times New Roman" w:cs="Times New Roman"/>
          <w:sz w:val="24"/>
          <w:szCs w:val="24"/>
        </w:rPr>
        <w:t xml:space="preserve"> a factual finding regarding standing that was already in the record</w:t>
      </w:r>
      <w:r w:rsidR="0043694D">
        <w:rPr>
          <w:rFonts w:ascii="Times New Roman" w:hAnsi="Times New Roman" w:cs="Times New Roman"/>
          <w:sz w:val="24"/>
          <w:szCs w:val="24"/>
        </w:rPr>
        <w:t>) do not merit recusal</w:t>
      </w:r>
      <w:r w:rsidR="000D50DA">
        <w:rPr>
          <w:rFonts w:ascii="Times New Roman" w:hAnsi="Times New Roman" w:cs="Times New Roman"/>
          <w:sz w:val="24"/>
          <w:szCs w:val="24"/>
        </w:rPr>
        <w:t>, nor do previous rulings against a party</w:t>
      </w:r>
      <w:r w:rsidR="00796D27">
        <w:rPr>
          <w:rFonts w:ascii="Times New Roman" w:hAnsi="Times New Roman" w:cs="Times New Roman"/>
          <w:sz w:val="24"/>
          <w:szCs w:val="24"/>
        </w:rPr>
        <w:t xml:space="preserve"> or orders</w:t>
      </w:r>
      <w:r w:rsidR="004D3CD3">
        <w:rPr>
          <w:rFonts w:ascii="Times New Roman" w:hAnsi="Times New Roman" w:cs="Times New Roman"/>
          <w:sz w:val="24"/>
          <w:szCs w:val="24"/>
        </w:rPr>
        <w:t xml:space="preserve"> with which that party disagrees</w:t>
      </w:r>
      <w:r w:rsidR="0043694D">
        <w:rPr>
          <w:rFonts w:ascii="Times New Roman" w:hAnsi="Times New Roman" w:cs="Times New Roman"/>
          <w:sz w:val="24"/>
          <w:szCs w:val="24"/>
        </w:rPr>
        <w:t>.</w:t>
      </w:r>
      <w:r w:rsidR="00E36615">
        <w:rPr>
          <w:rStyle w:val="FootnoteReference"/>
          <w:rFonts w:ascii="Times New Roman" w:hAnsi="Times New Roman" w:cs="Times New Roman"/>
          <w:sz w:val="24"/>
          <w:szCs w:val="24"/>
        </w:rPr>
        <w:footnoteReference w:id="13"/>
      </w:r>
    </w:p>
    <w:p w14:paraId="22576D5F" w14:textId="77777777" w:rsidR="00796D27" w:rsidRDefault="00796D27" w:rsidP="003043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212B9F" w14:textId="77777777" w:rsidR="00E94A66" w:rsidRPr="002C7E68" w:rsidRDefault="00E94A66" w:rsidP="00E94A66">
      <w:pPr>
        <w:rPr>
          <w:rFonts w:ascii="Times New Roman" w:hAnsi="Times New Roman" w:cs="Times New Roman"/>
          <w:sz w:val="24"/>
          <w:szCs w:val="24"/>
        </w:rPr>
      </w:pPr>
    </w:p>
    <w:p w14:paraId="1F435D34" w14:textId="230D490A" w:rsidR="003043C6" w:rsidRPr="002C7E68" w:rsidRDefault="003043C6" w:rsidP="00A4500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C7E68">
        <w:rPr>
          <w:rFonts w:ascii="Times New Roman" w:hAnsi="Times New Roman" w:cs="Times New Roman"/>
          <w:sz w:val="24"/>
          <w:szCs w:val="24"/>
          <w:u w:val="single"/>
        </w:rPr>
        <w:t>ANALYSI</w:t>
      </w:r>
      <w:r w:rsidR="0020476B">
        <w:rPr>
          <w:rFonts w:ascii="Times New Roman" w:hAnsi="Times New Roman" w:cs="Times New Roman"/>
          <w:sz w:val="24"/>
          <w:szCs w:val="24"/>
          <w:u w:val="single"/>
        </w:rPr>
        <w:t>S</w:t>
      </w:r>
    </w:p>
    <w:p w14:paraId="765B5F9A" w14:textId="77777777" w:rsidR="003043C6" w:rsidRPr="002C7E68" w:rsidRDefault="003043C6" w:rsidP="00A45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1D4CEA" w14:textId="166AF329" w:rsidR="00A4500D" w:rsidRDefault="003043C6" w:rsidP="00A4500D">
      <w:pPr>
        <w:ind w:left="19" w:right="172" w:firstLine="701"/>
        <w:rPr>
          <w:rFonts w:ascii="Times New Roman" w:hAnsi="Times New Roman" w:cs="Times New Roman"/>
          <w:sz w:val="24"/>
          <w:szCs w:val="24"/>
        </w:rPr>
      </w:pPr>
      <w:r w:rsidRPr="002C7E68">
        <w:rPr>
          <w:rFonts w:ascii="Times New Roman" w:hAnsi="Times New Roman" w:cs="Times New Roman"/>
          <w:sz w:val="24"/>
          <w:szCs w:val="24"/>
        </w:rPr>
        <w:t>To engage in the first part of the analysis, I examine my conscience and emotions.</w:t>
      </w:r>
      <w:r w:rsidR="00381297" w:rsidRPr="002C7E68">
        <w:rPr>
          <w:rFonts w:ascii="Times New Roman" w:hAnsi="Times New Roman" w:cs="Times New Roman"/>
          <w:sz w:val="24"/>
          <w:szCs w:val="24"/>
        </w:rPr>
        <w:t xml:space="preserve"> </w:t>
      </w:r>
      <w:r w:rsidR="00D7595E">
        <w:rPr>
          <w:rFonts w:ascii="Times New Roman" w:hAnsi="Times New Roman" w:cs="Times New Roman"/>
          <w:sz w:val="24"/>
          <w:szCs w:val="24"/>
        </w:rPr>
        <w:t>After consider</w:t>
      </w:r>
      <w:r w:rsidR="0055495B" w:rsidRPr="002C7E68">
        <w:rPr>
          <w:rFonts w:ascii="Times New Roman" w:hAnsi="Times New Roman" w:cs="Times New Roman"/>
          <w:sz w:val="24"/>
          <w:szCs w:val="24"/>
        </w:rPr>
        <w:t xml:space="preserve">ing </w:t>
      </w:r>
      <w:r w:rsidR="003C3870">
        <w:rPr>
          <w:rFonts w:ascii="Times New Roman" w:hAnsi="Times New Roman" w:cs="Times New Roman"/>
          <w:sz w:val="24"/>
          <w:szCs w:val="24"/>
        </w:rPr>
        <w:t xml:space="preserve">Guardian’s </w:t>
      </w:r>
      <w:r w:rsidR="0055495B" w:rsidRPr="002C7E68">
        <w:rPr>
          <w:rFonts w:ascii="Times New Roman" w:hAnsi="Times New Roman" w:cs="Times New Roman"/>
          <w:sz w:val="24"/>
          <w:szCs w:val="24"/>
        </w:rPr>
        <w:t>concerns, I have concluded that I will be able to preside over this matter without prejudice to any party</w:t>
      </w:r>
      <w:r w:rsidR="003C3870">
        <w:rPr>
          <w:rFonts w:ascii="Times New Roman" w:hAnsi="Times New Roman" w:cs="Times New Roman"/>
          <w:sz w:val="24"/>
          <w:szCs w:val="24"/>
        </w:rPr>
        <w:t xml:space="preserve">. I decided the previous, unrelated matter by applying the law to the facts before me. </w:t>
      </w:r>
      <w:r w:rsidR="00A4500D">
        <w:rPr>
          <w:rFonts w:ascii="Times New Roman" w:hAnsi="Times New Roman" w:cs="Times New Roman"/>
          <w:sz w:val="24"/>
          <w:szCs w:val="24"/>
        </w:rPr>
        <w:t>The decision of Guardian’s advocate to exercise her right under the Individuals with Disabilities Education Act (IDEA) to</w:t>
      </w:r>
      <w:r w:rsidR="00B5454E">
        <w:rPr>
          <w:rFonts w:ascii="Times New Roman" w:hAnsi="Times New Roman" w:cs="Times New Roman"/>
          <w:sz w:val="24"/>
          <w:szCs w:val="24"/>
        </w:rPr>
        <w:t xml:space="preserve"> appeal</w:t>
      </w:r>
      <w:r w:rsidR="00A4500D">
        <w:rPr>
          <w:rFonts w:ascii="Times New Roman" w:hAnsi="Times New Roman" w:cs="Times New Roman"/>
          <w:sz w:val="24"/>
          <w:szCs w:val="24"/>
        </w:rPr>
        <w:t xml:space="preserve"> that decision causes me no concern personally or professionally.</w:t>
      </w:r>
      <w:r w:rsidR="00A4500D">
        <w:rPr>
          <w:rStyle w:val="FootnoteReference"/>
          <w:rFonts w:ascii="Times New Roman" w:hAnsi="Times New Roman" w:cs="Times New Roman"/>
          <w:sz w:val="24"/>
          <w:szCs w:val="24"/>
        </w:rPr>
        <w:footnoteReference w:id="14"/>
      </w:r>
      <w:r w:rsidR="00A4500D">
        <w:rPr>
          <w:rFonts w:ascii="Times New Roman" w:hAnsi="Times New Roman" w:cs="Times New Roman"/>
          <w:sz w:val="24"/>
          <w:szCs w:val="24"/>
        </w:rPr>
        <w:t xml:space="preserve"> </w:t>
      </w:r>
      <w:r w:rsidR="0055495B" w:rsidRPr="002C7E68">
        <w:rPr>
          <w:rFonts w:ascii="Times New Roman" w:hAnsi="Times New Roman" w:cs="Times New Roman"/>
          <w:sz w:val="24"/>
          <w:szCs w:val="24"/>
        </w:rPr>
        <w:t>Therefore I should not recuse myself on this basis.</w:t>
      </w:r>
    </w:p>
    <w:p w14:paraId="1FFF25D1" w14:textId="77777777" w:rsidR="00A4500D" w:rsidRDefault="00A4500D" w:rsidP="00A4500D">
      <w:pPr>
        <w:ind w:left="19" w:right="172" w:firstLine="701"/>
      </w:pPr>
    </w:p>
    <w:p w14:paraId="1709C35E" w14:textId="089AEE6C" w:rsidR="00381297" w:rsidRDefault="003043C6" w:rsidP="00E956D9">
      <w:pPr>
        <w:ind w:left="19" w:right="172" w:firstLine="701"/>
        <w:rPr>
          <w:rFonts w:ascii="Times New Roman" w:hAnsi="Times New Roman" w:cs="Times New Roman"/>
          <w:sz w:val="24"/>
          <w:szCs w:val="24"/>
        </w:rPr>
      </w:pPr>
      <w:r w:rsidRPr="002C7E68">
        <w:rPr>
          <w:rFonts w:ascii="Times New Roman" w:hAnsi="Times New Roman" w:cs="Times New Roman"/>
          <w:sz w:val="24"/>
          <w:szCs w:val="24"/>
        </w:rPr>
        <w:t>The second part of this analysis requires that I conduct an objective, fact-based inquiry as to whether</w:t>
      </w:r>
      <w:r w:rsidR="003910C2">
        <w:rPr>
          <w:rFonts w:ascii="Times New Roman" w:hAnsi="Times New Roman" w:cs="Times New Roman"/>
          <w:sz w:val="24"/>
          <w:szCs w:val="24"/>
        </w:rPr>
        <w:t xml:space="preserve"> this is “a proceeding in which</w:t>
      </w:r>
      <w:r w:rsidRPr="002C7E68">
        <w:rPr>
          <w:rFonts w:ascii="Times New Roman" w:hAnsi="Times New Roman" w:cs="Times New Roman"/>
          <w:sz w:val="24"/>
          <w:szCs w:val="24"/>
        </w:rPr>
        <w:t xml:space="preserve"> </w:t>
      </w:r>
      <w:r w:rsidR="003910C2">
        <w:rPr>
          <w:rFonts w:ascii="Times New Roman" w:hAnsi="Times New Roman" w:cs="Times New Roman"/>
          <w:sz w:val="24"/>
          <w:szCs w:val="24"/>
        </w:rPr>
        <w:t>[</w:t>
      </w:r>
      <w:r w:rsidRPr="002C7E68">
        <w:rPr>
          <w:rFonts w:ascii="Times New Roman" w:hAnsi="Times New Roman" w:cs="Times New Roman"/>
          <w:sz w:val="24"/>
          <w:szCs w:val="24"/>
        </w:rPr>
        <w:t>my</w:t>
      </w:r>
      <w:r w:rsidR="003910C2">
        <w:rPr>
          <w:rFonts w:ascii="Times New Roman" w:hAnsi="Times New Roman" w:cs="Times New Roman"/>
          <w:sz w:val="24"/>
          <w:szCs w:val="24"/>
        </w:rPr>
        <w:t xml:space="preserve">] </w:t>
      </w:r>
      <w:r w:rsidRPr="002C7E68">
        <w:rPr>
          <w:rFonts w:ascii="Times New Roman" w:hAnsi="Times New Roman" w:cs="Times New Roman"/>
          <w:sz w:val="24"/>
          <w:szCs w:val="24"/>
        </w:rPr>
        <w:t>impartiality might reasonably be questioned.”</w:t>
      </w:r>
      <w:r w:rsidRPr="002C7E68">
        <w:rPr>
          <w:rStyle w:val="FootnoteReference"/>
          <w:rFonts w:ascii="Times New Roman" w:hAnsi="Times New Roman" w:cs="Times New Roman"/>
          <w:sz w:val="24"/>
          <w:szCs w:val="24"/>
        </w:rPr>
        <w:footnoteReference w:id="15"/>
      </w:r>
      <w:r w:rsidRPr="002C7E68">
        <w:rPr>
          <w:rFonts w:ascii="Times New Roman" w:hAnsi="Times New Roman" w:cs="Times New Roman"/>
          <w:sz w:val="24"/>
          <w:szCs w:val="24"/>
        </w:rPr>
        <w:t xml:space="preserve"> The facts asserted by</w:t>
      </w:r>
      <w:r w:rsidR="00A4500D">
        <w:rPr>
          <w:rFonts w:ascii="Times New Roman" w:hAnsi="Times New Roman" w:cs="Times New Roman"/>
          <w:sz w:val="24"/>
          <w:szCs w:val="24"/>
        </w:rPr>
        <w:t xml:space="preserve"> Guardian</w:t>
      </w:r>
      <w:r w:rsidRPr="002C7E68">
        <w:rPr>
          <w:rFonts w:ascii="Times New Roman" w:hAnsi="Times New Roman" w:cs="Times New Roman"/>
          <w:sz w:val="24"/>
          <w:szCs w:val="24"/>
        </w:rPr>
        <w:t xml:space="preserve"> </w:t>
      </w:r>
      <w:r w:rsidR="0055495B" w:rsidRPr="002C7E68">
        <w:rPr>
          <w:rFonts w:ascii="Times New Roman" w:hAnsi="Times New Roman" w:cs="Times New Roman"/>
          <w:sz w:val="24"/>
          <w:szCs w:val="24"/>
        </w:rPr>
        <w:t>ar</w:t>
      </w:r>
      <w:r w:rsidR="00981987" w:rsidRPr="002C7E68">
        <w:rPr>
          <w:rFonts w:ascii="Times New Roman" w:hAnsi="Times New Roman" w:cs="Times New Roman"/>
          <w:sz w:val="24"/>
          <w:szCs w:val="24"/>
        </w:rPr>
        <w:t xml:space="preserve">e described above: </w:t>
      </w:r>
      <w:r w:rsidR="00E956D9">
        <w:rPr>
          <w:rFonts w:ascii="Times New Roman" w:hAnsi="Times New Roman" w:cs="Times New Roman"/>
          <w:sz w:val="24"/>
          <w:szCs w:val="24"/>
        </w:rPr>
        <w:t>her advocate was involved personally in a previous case I decided in the o</w:t>
      </w:r>
      <w:r w:rsidR="00FD3799">
        <w:rPr>
          <w:rFonts w:ascii="Times New Roman" w:hAnsi="Times New Roman" w:cs="Times New Roman"/>
          <w:sz w:val="24"/>
          <w:szCs w:val="24"/>
        </w:rPr>
        <w:t>pposing</w:t>
      </w:r>
      <w:r w:rsidR="00E956D9">
        <w:rPr>
          <w:rFonts w:ascii="Times New Roman" w:hAnsi="Times New Roman" w:cs="Times New Roman"/>
          <w:sz w:val="24"/>
          <w:szCs w:val="24"/>
        </w:rPr>
        <w:t xml:space="preserve"> party’s favor, and her advocate has appealed that case</w:t>
      </w:r>
      <w:r w:rsidR="0020476B">
        <w:rPr>
          <w:rFonts w:ascii="Times New Roman" w:hAnsi="Times New Roman" w:cs="Times New Roman"/>
          <w:sz w:val="24"/>
          <w:szCs w:val="24"/>
        </w:rPr>
        <w:t xml:space="preserve">. </w:t>
      </w:r>
      <w:r w:rsidR="0055495B" w:rsidRPr="002C7E68">
        <w:rPr>
          <w:rFonts w:ascii="Times New Roman" w:hAnsi="Times New Roman" w:cs="Times New Roman"/>
          <w:sz w:val="24"/>
          <w:szCs w:val="24"/>
        </w:rPr>
        <w:t>According to the First Circuit, disqualification would be appropriate only if these “facts provide what an objective, knowledgeable member of the public would find to be a reasonable basis for doubting [</w:t>
      </w:r>
      <w:r w:rsidR="00FD3799">
        <w:rPr>
          <w:rFonts w:ascii="Times New Roman" w:hAnsi="Times New Roman" w:cs="Times New Roman"/>
          <w:sz w:val="24"/>
          <w:szCs w:val="24"/>
        </w:rPr>
        <w:t>my</w:t>
      </w:r>
      <w:r w:rsidR="0055495B" w:rsidRPr="002C7E68">
        <w:rPr>
          <w:rFonts w:ascii="Times New Roman" w:hAnsi="Times New Roman" w:cs="Times New Roman"/>
          <w:sz w:val="24"/>
          <w:szCs w:val="24"/>
        </w:rPr>
        <w:t>] impartiality.”</w:t>
      </w:r>
      <w:r w:rsidR="0055495B" w:rsidRPr="002C7E68">
        <w:rPr>
          <w:rStyle w:val="FootnoteReference"/>
          <w:rFonts w:ascii="Times New Roman" w:hAnsi="Times New Roman" w:cs="Times New Roman"/>
          <w:sz w:val="24"/>
          <w:szCs w:val="24"/>
        </w:rPr>
        <w:footnoteReference w:id="16"/>
      </w:r>
      <w:r w:rsidR="00381297" w:rsidRPr="002C7E68">
        <w:rPr>
          <w:rFonts w:ascii="Times New Roman" w:hAnsi="Times New Roman" w:cs="Times New Roman"/>
          <w:sz w:val="24"/>
          <w:szCs w:val="24"/>
        </w:rPr>
        <w:t xml:space="preserve"> </w:t>
      </w:r>
      <w:r w:rsidR="00FD3799">
        <w:rPr>
          <w:rFonts w:ascii="Times New Roman" w:hAnsi="Times New Roman" w:cs="Times New Roman"/>
          <w:sz w:val="24"/>
          <w:szCs w:val="24"/>
        </w:rPr>
        <w:t>Canon 2 of t</w:t>
      </w:r>
      <w:r w:rsidR="0020476B">
        <w:rPr>
          <w:rFonts w:ascii="Times New Roman" w:hAnsi="Times New Roman" w:cs="Times New Roman"/>
          <w:sz w:val="24"/>
          <w:szCs w:val="24"/>
        </w:rPr>
        <w:t>he Massachusetts Code of Judicial Conduct</w:t>
      </w:r>
      <w:r w:rsidR="00FD3799">
        <w:rPr>
          <w:rFonts w:ascii="Times New Roman" w:hAnsi="Times New Roman" w:cs="Times New Roman"/>
          <w:sz w:val="24"/>
          <w:szCs w:val="24"/>
        </w:rPr>
        <w:t>, pertaining to a judge’s obligations to perform her job impartially, competently, and diligently,</w:t>
      </w:r>
      <w:r w:rsidR="0020476B">
        <w:rPr>
          <w:rFonts w:ascii="Times New Roman" w:hAnsi="Times New Roman" w:cs="Times New Roman"/>
          <w:sz w:val="24"/>
          <w:szCs w:val="24"/>
        </w:rPr>
        <w:t xml:space="preserve"> provide</w:t>
      </w:r>
      <w:r w:rsidR="00FD3799">
        <w:rPr>
          <w:rFonts w:ascii="Times New Roman" w:hAnsi="Times New Roman" w:cs="Times New Roman"/>
          <w:sz w:val="24"/>
          <w:szCs w:val="24"/>
        </w:rPr>
        <w:t>s</w:t>
      </w:r>
      <w:r w:rsidR="0020476B">
        <w:rPr>
          <w:rFonts w:ascii="Times New Roman" w:hAnsi="Times New Roman" w:cs="Times New Roman"/>
          <w:sz w:val="24"/>
          <w:szCs w:val="24"/>
        </w:rPr>
        <w:t xml:space="preserve"> helpful guidance</w:t>
      </w:r>
      <w:r w:rsidR="00FD3799">
        <w:rPr>
          <w:rFonts w:ascii="Times New Roman" w:hAnsi="Times New Roman" w:cs="Times New Roman"/>
          <w:sz w:val="24"/>
          <w:szCs w:val="24"/>
        </w:rPr>
        <w:t xml:space="preserve"> in a case which, like this one, involves an advocate who appears before the BSEA on a regular basis</w:t>
      </w:r>
      <w:r w:rsidR="0020476B">
        <w:rPr>
          <w:rFonts w:ascii="Times New Roman" w:hAnsi="Times New Roman" w:cs="Times New Roman"/>
          <w:sz w:val="24"/>
          <w:szCs w:val="24"/>
        </w:rPr>
        <w:t>. The relevant portion includes as a basis for disqualification that the judge “has a personal bias or prejudice concerning a party or a party’s lawyer.”</w:t>
      </w:r>
      <w:r w:rsidR="0020476B">
        <w:rPr>
          <w:rStyle w:val="FootnoteReference"/>
          <w:rFonts w:ascii="Times New Roman" w:hAnsi="Times New Roman" w:cs="Times New Roman"/>
          <w:sz w:val="24"/>
          <w:szCs w:val="24"/>
        </w:rPr>
        <w:footnoteReference w:id="17"/>
      </w:r>
    </w:p>
    <w:p w14:paraId="6C989E39" w14:textId="77777777" w:rsidR="00381297" w:rsidRPr="002C7E68" w:rsidRDefault="00381297" w:rsidP="0020476B">
      <w:pPr>
        <w:rPr>
          <w:rFonts w:ascii="Times New Roman" w:hAnsi="Times New Roman" w:cs="Times New Roman"/>
          <w:sz w:val="24"/>
          <w:szCs w:val="24"/>
        </w:rPr>
      </w:pPr>
    </w:p>
    <w:p w14:paraId="76D38E25" w14:textId="54554073" w:rsidR="0055495B" w:rsidRDefault="00E956D9" w:rsidP="007F495B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I explained above, I decided the prior case, involving Guardian’s advocate, in accordance with my responsibilities as a Hearing Officer.</w:t>
      </w:r>
      <w:r w:rsidR="003910C2">
        <w:rPr>
          <w:rFonts w:ascii="Times New Roman" w:hAnsi="Times New Roman" w:cs="Times New Roman"/>
          <w:sz w:val="24"/>
          <w:szCs w:val="24"/>
        </w:rPr>
        <w:t xml:space="preserve"> </w:t>
      </w:r>
      <w:r w:rsidR="001F0E8A">
        <w:rPr>
          <w:rFonts w:ascii="Times New Roman" w:hAnsi="Times New Roman" w:cs="Times New Roman"/>
          <w:sz w:val="24"/>
          <w:szCs w:val="24"/>
        </w:rPr>
        <w:t xml:space="preserve">Hearing Officers </w:t>
      </w:r>
      <w:r w:rsidR="004D3CD3">
        <w:rPr>
          <w:rFonts w:ascii="Times New Roman" w:hAnsi="Times New Roman" w:cs="Times New Roman"/>
          <w:sz w:val="24"/>
          <w:szCs w:val="24"/>
        </w:rPr>
        <w:t>respect and understand the right of an aggrieved party to appeal an administrative decision as an integral part of due process.</w:t>
      </w:r>
      <w:r w:rsidR="003910C2">
        <w:rPr>
          <w:rFonts w:ascii="Times New Roman" w:hAnsi="Times New Roman" w:cs="Times New Roman"/>
          <w:sz w:val="24"/>
          <w:szCs w:val="24"/>
        </w:rPr>
        <w:t xml:space="preserve"> I hold no bias or prejudice against Guardian or her a</w:t>
      </w:r>
      <w:r w:rsidR="004D3CD3">
        <w:rPr>
          <w:rFonts w:ascii="Times New Roman" w:hAnsi="Times New Roman" w:cs="Times New Roman"/>
          <w:sz w:val="24"/>
          <w:szCs w:val="24"/>
        </w:rPr>
        <w:t>dvocate for exercising this right</w:t>
      </w:r>
      <w:r w:rsidR="003910C2">
        <w:rPr>
          <w:rFonts w:ascii="Times New Roman" w:hAnsi="Times New Roman" w:cs="Times New Roman"/>
          <w:sz w:val="24"/>
          <w:szCs w:val="24"/>
        </w:rPr>
        <w:t xml:space="preserve">. </w:t>
      </w:r>
      <w:r w:rsidR="001F0E8A">
        <w:rPr>
          <w:rFonts w:ascii="Times New Roman" w:hAnsi="Times New Roman" w:cs="Times New Roman"/>
          <w:sz w:val="24"/>
          <w:szCs w:val="24"/>
        </w:rPr>
        <w:t xml:space="preserve">Guardian’s request for reassignment or recusal is speculative; she has offered </w:t>
      </w:r>
      <w:r w:rsidR="007F495B">
        <w:rPr>
          <w:rFonts w:ascii="Times New Roman" w:hAnsi="Times New Roman" w:cs="Times New Roman"/>
          <w:sz w:val="24"/>
          <w:szCs w:val="24"/>
        </w:rPr>
        <w:t>no basis for her assertion that a conflict of interest exists, other than</w:t>
      </w:r>
      <w:r w:rsidR="001F0E8A">
        <w:rPr>
          <w:rFonts w:ascii="Times New Roman" w:hAnsi="Times New Roman" w:cs="Times New Roman"/>
          <w:sz w:val="24"/>
          <w:szCs w:val="24"/>
        </w:rPr>
        <w:t xml:space="preserve"> the </w:t>
      </w:r>
      <w:r w:rsidR="007F495B">
        <w:rPr>
          <w:rFonts w:ascii="Times New Roman" w:hAnsi="Times New Roman" w:cs="Times New Roman"/>
          <w:sz w:val="24"/>
          <w:szCs w:val="24"/>
        </w:rPr>
        <w:t>pendency</w:t>
      </w:r>
      <w:r w:rsidR="001F0E8A">
        <w:rPr>
          <w:rFonts w:ascii="Times New Roman" w:hAnsi="Times New Roman" w:cs="Times New Roman"/>
          <w:sz w:val="24"/>
          <w:szCs w:val="24"/>
        </w:rPr>
        <w:t xml:space="preserve"> of an appeal involving her advocate. </w:t>
      </w:r>
    </w:p>
    <w:p w14:paraId="39CEF54E" w14:textId="77777777" w:rsidR="00825534" w:rsidRPr="002C7E68" w:rsidRDefault="00825534" w:rsidP="007F495B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2D0117FB" w14:textId="65702BE9" w:rsidR="00E35FDF" w:rsidRPr="002C7E68" w:rsidRDefault="0055495B" w:rsidP="00E35FD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2C7E68">
        <w:rPr>
          <w:rFonts w:ascii="Times New Roman" w:hAnsi="Times New Roman" w:cs="Times New Roman"/>
          <w:sz w:val="24"/>
          <w:szCs w:val="24"/>
        </w:rPr>
        <w:t xml:space="preserve">As such, </w:t>
      </w:r>
      <w:r w:rsidR="00B462EE">
        <w:rPr>
          <w:rFonts w:ascii="Times New Roman" w:hAnsi="Times New Roman" w:cs="Times New Roman"/>
          <w:sz w:val="24"/>
          <w:szCs w:val="24"/>
        </w:rPr>
        <w:t xml:space="preserve">I find that </w:t>
      </w:r>
      <w:r w:rsidRPr="002C7E68">
        <w:rPr>
          <w:rFonts w:ascii="Times New Roman" w:hAnsi="Times New Roman" w:cs="Times New Roman"/>
          <w:sz w:val="24"/>
          <w:szCs w:val="24"/>
        </w:rPr>
        <w:t>the fa</w:t>
      </w:r>
      <w:r w:rsidR="00054CD5" w:rsidRPr="002C7E68">
        <w:rPr>
          <w:rFonts w:ascii="Times New Roman" w:hAnsi="Times New Roman" w:cs="Times New Roman"/>
          <w:sz w:val="24"/>
          <w:szCs w:val="24"/>
        </w:rPr>
        <w:t xml:space="preserve">cts asserted by </w:t>
      </w:r>
      <w:r w:rsidR="007F495B">
        <w:rPr>
          <w:rFonts w:ascii="Times New Roman" w:hAnsi="Times New Roman" w:cs="Times New Roman"/>
          <w:sz w:val="24"/>
          <w:szCs w:val="24"/>
        </w:rPr>
        <w:t xml:space="preserve">Guardian </w:t>
      </w:r>
      <w:r w:rsidR="00054CD5" w:rsidRPr="002C7E68">
        <w:rPr>
          <w:rFonts w:ascii="Times New Roman" w:hAnsi="Times New Roman" w:cs="Times New Roman"/>
          <w:sz w:val="24"/>
          <w:szCs w:val="24"/>
        </w:rPr>
        <w:t>in her</w:t>
      </w:r>
      <w:r w:rsidRPr="002C7E68">
        <w:rPr>
          <w:rFonts w:ascii="Times New Roman" w:hAnsi="Times New Roman" w:cs="Times New Roman"/>
          <w:sz w:val="24"/>
          <w:szCs w:val="24"/>
        </w:rPr>
        <w:t xml:space="preserve"> </w:t>
      </w:r>
      <w:r w:rsidRPr="007F495B">
        <w:rPr>
          <w:rFonts w:ascii="Times New Roman" w:hAnsi="Times New Roman" w:cs="Times New Roman"/>
          <w:i/>
          <w:iCs/>
          <w:sz w:val="24"/>
          <w:szCs w:val="24"/>
        </w:rPr>
        <w:t>Motion</w:t>
      </w:r>
      <w:r w:rsidRPr="002C7E68">
        <w:rPr>
          <w:rFonts w:ascii="Times New Roman" w:hAnsi="Times New Roman" w:cs="Times New Roman"/>
          <w:sz w:val="24"/>
          <w:szCs w:val="24"/>
        </w:rPr>
        <w:t xml:space="preserve"> do not provide what a “knowledgeable member of the public would find to be a reasonable basis for doubting the [Hearing Officer]’s impartiality.”</w:t>
      </w:r>
      <w:r w:rsidRPr="002C7E68">
        <w:rPr>
          <w:rStyle w:val="FootnoteReference"/>
          <w:rFonts w:ascii="Times New Roman" w:hAnsi="Times New Roman" w:cs="Times New Roman"/>
          <w:sz w:val="24"/>
          <w:szCs w:val="24"/>
        </w:rPr>
        <w:footnoteReference w:id="18"/>
      </w:r>
    </w:p>
    <w:p w14:paraId="43933573" w14:textId="6AF87113" w:rsidR="00883B44" w:rsidRPr="00E658A5" w:rsidRDefault="00883B44" w:rsidP="00E956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FD3E91" w14:textId="78F9836D" w:rsidR="00E35FDF" w:rsidRPr="00796D27" w:rsidRDefault="00E35FDF" w:rsidP="000E2F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14:paraId="7E56133F" w14:textId="77777777" w:rsidR="000E2F5F" w:rsidRPr="002C7E68" w:rsidRDefault="000E2F5F" w:rsidP="000E2F5F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2C7E68">
        <w:rPr>
          <w:rFonts w:ascii="Times New Roman" w:hAnsi="Times New Roman" w:cs="Times New Roman"/>
          <w:sz w:val="24"/>
          <w:szCs w:val="24"/>
          <w:u w:val="single"/>
        </w:rPr>
        <w:t>CONCLUSION</w:t>
      </w:r>
    </w:p>
    <w:p w14:paraId="472D43AC" w14:textId="77777777" w:rsidR="000E2F5F" w:rsidRPr="002C7E68" w:rsidRDefault="000E2F5F" w:rsidP="000E2F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89EF62" w14:textId="513B0007" w:rsidR="000E2F5F" w:rsidRDefault="00B462EE" w:rsidP="000E2F5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the reasons </w:t>
      </w:r>
      <w:r w:rsidR="000E2F5F" w:rsidRPr="002C7E68">
        <w:rPr>
          <w:rFonts w:ascii="Times New Roman" w:hAnsi="Times New Roman" w:cs="Times New Roman"/>
          <w:sz w:val="24"/>
          <w:szCs w:val="24"/>
        </w:rPr>
        <w:t>above,</w:t>
      </w:r>
      <w:r w:rsidR="00E658A5">
        <w:rPr>
          <w:rFonts w:ascii="Times New Roman" w:hAnsi="Times New Roman" w:cs="Times New Roman"/>
          <w:sz w:val="24"/>
          <w:szCs w:val="24"/>
        </w:rPr>
        <w:t xml:space="preserve"> recusal</w:t>
      </w:r>
      <w:r w:rsidR="000E2F5F" w:rsidRPr="002C7E68">
        <w:rPr>
          <w:rFonts w:ascii="Times New Roman" w:hAnsi="Times New Roman" w:cs="Times New Roman"/>
          <w:sz w:val="24"/>
          <w:szCs w:val="24"/>
        </w:rPr>
        <w:t xml:space="preserve"> in the above-referenced matter is ne</w:t>
      </w:r>
      <w:r w:rsidR="00E658A5">
        <w:rPr>
          <w:rFonts w:ascii="Times New Roman" w:hAnsi="Times New Roman" w:cs="Times New Roman"/>
          <w:sz w:val="24"/>
          <w:szCs w:val="24"/>
        </w:rPr>
        <w:t>ither necessary nor appropriate.</w:t>
      </w:r>
    </w:p>
    <w:p w14:paraId="5F7CEAF3" w14:textId="77777777" w:rsidR="007F495B" w:rsidRPr="00E658A5" w:rsidRDefault="007F495B" w:rsidP="000E2F5F">
      <w:pPr>
        <w:ind w:firstLine="720"/>
        <w:rPr>
          <w:rFonts w:ascii="Times New Roman" w:hAnsi="Times New Roman" w:cs="Times New Roman"/>
          <w:i/>
          <w:sz w:val="24"/>
          <w:szCs w:val="24"/>
        </w:rPr>
      </w:pPr>
    </w:p>
    <w:p w14:paraId="7CB14A88" w14:textId="77777777" w:rsidR="000E2F5F" w:rsidRPr="002C7E68" w:rsidRDefault="000E2F5F" w:rsidP="000E2F5F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38852BA2" w14:textId="77777777" w:rsidR="000E2F5F" w:rsidRDefault="000E2F5F" w:rsidP="000E2F5F">
      <w:pPr>
        <w:rPr>
          <w:rFonts w:ascii="Times New Roman" w:hAnsi="Times New Roman" w:cs="Times New Roman"/>
          <w:b/>
          <w:sz w:val="24"/>
          <w:szCs w:val="24"/>
        </w:rPr>
      </w:pPr>
      <w:r w:rsidRPr="002C7E68">
        <w:rPr>
          <w:rFonts w:ascii="Times New Roman" w:hAnsi="Times New Roman" w:cs="Times New Roman"/>
          <w:b/>
          <w:sz w:val="24"/>
          <w:szCs w:val="24"/>
        </w:rPr>
        <w:t>ORDER</w:t>
      </w:r>
    </w:p>
    <w:p w14:paraId="67E7B2CD" w14:textId="77777777" w:rsidR="003B01BA" w:rsidRPr="002C7E68" w:rsidRDefault="003B01BA" w:rsidP="000E2F5F">
      <w:pPr>
        <w:rPr>
          <w:rFonts w:ascii="Times New Roman" w:hAnsi="Times New Roman" w:cs="Times New Roman"/>
          <w:b/>
          <w:sz w:val="24"/>
          <w:szCs w:val="24"/>
        </w:rPr>
      </w:pPr>
    </w:p>
    <w:p w14:paraId="3EC35138" w14:textId="2B2BFAA3" w:rsidR="003B01BA" w:rsidRDefault="00E658A5" w:rsidP="000E2F5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</w:t>
      </w:r>
      <w:r w:rsidR="000E2F5F" w:rsidRPr="002C7E68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</w:t>
      </w:r>
      <w:r w:rsidR="000E2F5F" w:rsidRPr="002C7E68">
        <w:rPr>
          <w:rFonts w:ascii="Times New Roman" w:hAnsi="Times New Roman" w:cs="Times New Roman"/>
          <w:sz w:val="24"/>
          <w:szCs w:val="24"/>
        </w:rPr>
        <w:t xml:space="preserve"> </w:t>
      </w:r>
      <w:r w:rsidR="000E2F5F" w:rsidRPr="00E658A5">
        <w:rPr>
          <w:rFonts w:ascii="Times New Roman" w:hAnsi="Times New Roman" w:cs="Times New Roman"/>
          <w:i/>
          <w:sz w:val="24"/>
          <w:szCs w:val="24"/>
        </w:rPr>
        <w:t xml:space="preserve">Motion </w:t>
      </w:r>
      <w:r w:rsidR="007F495B">
        <w:rPr>
          <w:rFonts w:ascii="Times New Roman" w:hAnsi="Times New Roman" w:cs="Times New Roman"/>
          <w:i/>
          <w:sz w:val="24"/>
          <w:szCs w:val="24"/>
        </w:rPr>
        <w:t xml:space="preserve">Requesting Administrative Law Judge Recuse or Reassignment </w:t>
      </w:r>
      <w:r w:rsidR="007F495B">
        <w:rPr>
          <w:rFonts w:ascii="Times New Roman" w:hAnsi="Times New Roman" w:cs="Times New Roman"/>
          <w:iCs/>
          <w:sz w:val="24"/>
          <w:szCs w:val="24"/>
        </w:rPr>
        <w:t>(</w:t>
      </w:r>
      <w:r w:rsidR="007F495B">
        <w:rPr>
          <w:rFonts w:ascii="Times New Roman" w:hAnsi="Times New Roman" w:cs="Times New Roman"/>
          <w:i/>
          <w:sz w:val="24"/>
          <w:szCs w:val="24"/>
        </w:rPr>
        <w:t>sic</w:t>
      </w:r>
      <w:r w:rsidR="007F495B">
        <w:rPr>
          <w:rFonts w:ascii="Times New Roman" w:hAnsi="Times New Roman" w:cs="Times New Roman"/>
          <w:iCs/>
          <w:sz w:val="24"/>
          <w:szCs w:val="24"/>
        </w:rPr>
        <w:t>)</w:t>
      </w:r>
      <w:r w:rsidR="007F495B">
        <w:rPr>
          <w:rFonts w:ascii="Times New Roman" w:hAnsi="Times New Roman" w:cs="Times New Roman"/>
          <w:i/>
          <w:sz w:val="24"/>
          <w:szCs w:val="24"/>
        </w:rPr>
        <w:t xml:space="preserve"> This BSEA Hearing </w:t>
      </w:r>
      <w:r w:rsidR="000E2F5F" w:rsidRPr="00E658A5">
        <w:rPr>
          <w:rFonts w:ascii="Times New Roman" w:hAnsi="Times New Roman" w:cs="Times New Roman"/>
          <w:i/>
          <w:sz w:val="24"/>
          <w:szCs w:val="24"/>
        </w:rPr>
        <w:t>for Recusal</w:t>
      </w:r>
      <w:r w:rsidR="000E2F5F" w:rsidRPr="002C7E68">
        <w:rPr>
          <w:rFonts w:ascii="Times New Roman" w:hAnsi="Times New Roman" w:cs="Times New Roman"/>
          <w:sz w:val="24"/>
          <w:szCs w:val="24"/>
        </w:rPr>
        <w:t xml:space="preserve"> is hereby </w:t>
      </w:r>
      <w:r w:rsidR="000E2F5F" w:rsidRPr="002C7E68">
        <w:rPr>
          <w:rFonts w:ascii="Times New Roman" w:hAnsi="Times New Roman" w:cs="Times New Roman"/>
          <w:sz w:val="24"/>
          <w:szCs w:val="24"/>
          <w:u w:val="single"/>
        </w:rPr>
        <w:t>DENIED</w:t>
      </w:r>
      <w:r w:rsidR="000E2F5F" w:rsidRPr="002C7E68">
        <w:rPr>
          <w:rFonts w:ascii="Times New Roman" w:hAnsi="Times New Roman" w:cs="Times New Roman"/>
          <w:sz w:val="24"/>
          <w:szCs w:val="24"/>
        </w:rPr>
        <w:t>.</w:t>
      </w:r>
      <w:r w:rsidR="003B01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0F96A7" w14:textId="77777777" w:rsidR="000E2F5F" w:rsidRPr="002C7E68" w:rsidRDefault="003B01BA" w:rsidP="000E2F5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135F2E" w14:textId="77777777" w:rsidR="000E2F5F" w:rsidRPr="002C7E68" w:rsidRDefault="000E2F5F" w:rsidP="000E2F5F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253751BD" w14:textId="61948086" w:rsidR="000E2F5F" w:rsidRPr="002C7E68" w:rsidRDefault="000E2F5F" w:rsidP="000E2F5F">
      <w:pPr>
        <w:rPr>
          <w:rFonts w:ascii="Times New Roman" w:hAnsi="Times New Roman" w:cs="Times New Roman"/>
          <w:sz w:val="24"/>
          <w:szCs w:val="24"/>
        </w:rPr>
      </w:pPr>
      <w:r w:rsidRPr="002C7E68">
        <w:rPr>
          <w:rFonts w:ascii="Times New Roman" w:hAnsi="Times New Roman" w:cs="Times New Roman"/>
          <w:sz w:val="24"/>
          <w:szCs w:val="24"/>
        </w:rPr>
        <w:t>By the Hearing Officer:</w:t>
      </w:r>
      <w:r w:rsidR="00CF1F6D">
        <w:rPr>
          <w:rStyle w:val="FootnoteReference"/>
          <w:rFonts w:ascii="Times New Roman" w:hAnsi="Times New Roman" w:cs="Times New Roman"/>
          <w:sz w:val="24"/>
          <w:szCs w:val="24"/>
        </w:rPr>
        <w:footnoteReference w:id="19"/>
      </w:r>
    </w:p>
    <w:p w14:paraId="18E12404" w14:textId="77777777" w:rsidR="00FD3799" w:rsidRDefault="00FD3799" w:rsidP="000E2F5F">
      <w:pPr>
        <w:rPr>
          <w:rFonts w:ascii="Times New Roman" w:hAnsi="Times New Roman" w:cs="Times New Roman"/>
          <w:sz w:val="24"/>
          <w:szCs w:val="24"/>
        </w:rPr>
      </w:pPr>
    </w:p>
    <w:p w14:paraId="6EDB4634" w14:textId="1D747CB6" w:rsidR="00FD3799" w:rsidRDefault="00FD3799" w:rsidP="000E2F5F">
      <w:pPr>
        <w:rPr>
          <w:rFonts w:ascii="Freestyle Script" w:hAnsi="Freestyle Script" w:cs="Times New Roman"/>
          <w:sz w:val="32"/>
          <w:szCs w:val="32"/>
          <w:u w:val="single"/>
        </w:rPr>
      </w:pPr>
      <w:r w:rsidRPr="004D7025">
        <w:rPr>
          <w:rFonts w:ascii="Times New Roman" w:hAnsi="Times New Roman" w:cs="Times New Roman"/>
          <w:sz w:val="24"/>
          <w:szCs w:val="24"/>
          <w:u w:val="single"/>
        </w:rPr>
        <w:t xml:space="preserve">   /s/</w:t>
      </w:r>
      <w:r w:rsidRPr="004D7025">
        <w:rPr>
          <w:rFonts w:ascii="Freestyle Script" w:hAnsi="Freestyle Script" w:cs="Times New Roman"/>
          <w:sz w:val="32"/>
          <w:szCs w:val="32"/>
          <w:u w:val="single"/>
        </w:rPr>
        <w:t xml:space="preserve"> Amy Reichbach    </w:t>
      </w:r>
    </w:p>
    <w:p w14:paraId="1558C10C" w14:textId="46C78237" w:rsidR="000E2F5F" w:rsidRPr="00FD3799" w:rsidRDefault="000E2F5F" w:rsidP="000E2F5F">
      <w:pPr>
        <w:rPr>
          <w:rFonts w:ascii="Freestyle Script" w:hAnsi="Freestyle Script" w:cs="Times New Roman"/>
          <w:sz w:val="32"/>
          <w:szCs w:val="32"/>
          <w:u w:val="single"/>
        </w:rPr>
      </w:pPr>
      <w:r w:rsidRPr="002C7E68">
        <w:rPr>
          <w:rFonts w:ascii="Times New Roman" w:hAnsi="Times New Roman" w:cs="Times New Roman"/>
          <w:sz w:val="24"/>
          <w:szCs w:val="24"/>
        </w:rPr>
        <w:t>Amy M. Reichbach</w:t>
      </w:r>
    </w:p>
    <w:p w14:paraId="08F295B8" w14:textId="657200C5" w:rsidR="000E2F5F" w:rsidRPr="002C7E68" w:rsidRDefault="003B01BA" w:rsidP="000E2F5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Dated: </w:t>
      </w:r>
      <w:r w:rsidR="00CF1F6D">
        <w:rPr>
          <w:rFonts w:ascii="Times New Roman" w:hAnsi="Times New Roman" w:cs="Times New Roman"/>
          <w:sz w:val="24"/>
          <w:szCs w:val="24"/>
        </w:rPr>
        <w:t>March 1, 2022</w:t>
      </w:r>
    </w:p>
    <w:p w14:paraId="5D667BB3" w14:textId="77777777" w:rsidR="00FB2C24" w:rsidRPr="002C7E68" w:rsidRDefault="00FB2C24" w:rsidP="00FB2C2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FA46349" w14:textId="77777777" w:rsidR="00FB2C24" w:rsidRPr="002C7E68" w:rsidRDefault="00FB2C24" w:rsidP="00FB2C24">
      <w:pPr>
        <w:rPr>
          <w:rFonts w:ascii="Times New Roman" w:eastAsia="Times New Roman" w:hAnsi="Times New Roman" w:cs="Times New Roman"/>
          <w:sz w:val="24"/>
          <w:szCs w:val="24"/>
        </w:rPr>
      </w:pPr>
      <w:r w:rsidRPr="002C7E6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2081B885" w14:textId="77777777" w:rsidR="00FB2C24" w:rsidRPr="002C7E68" w:rsidRDefault="00FB2C24" w:rsidP="00594CF5">
      <w:pPr>
        <w:ind w:firstLine="720"/>
        <w:rPr>
          <w:rFonts w:ascii="Times New Roman" w:hAnsi="Times New Roman" w:cs="Times New Roman"/>
          <w:sz w:val="24"/>
          <w:szCs w:val="24"/>
        </w:rPr>
      </w:pPr>
    </w:p>
    <w:sectPr w:rsidR="00FB2C24" w:rsidRPr="002C7E6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13653" w14:textId="77777777" w:rsidR="00EB0DAA" w:rsidRDefault="00EB0DAA" w:rsidP="001A5733">
      <w:r>
        <w:separator/>
      </w:r>
    </w:p>
  </w:endnote>
  <w:endnote w:type="continuationSeparator" w:id="0">
    <w:p w14:paraId="0DFD6543" w14:textId="77777777" w:rsidR="00EB0DAA" w:rsidRDefault="00EB0DAA" w:rsidP="001A5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23761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EE7F34" w14:textId="1DCF331B" w:rsidR="000D50DA" w:rsidRDefault="000D50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29A6A9" w14:textId="77777777" w:rsidR="000D50DA" w:rsidRDefault="000D50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070A6" w14:textId="77777777" w:rsidR="00EB0DAA" w:rsidRDefault="00EB0DAA" w:rsidP="001A5733">
      <w:r>
        <w:separator/>
      </w:r>
    </w:p>
  </w:footnote>
  <w:footnote w:type="continuationSeparator" w:id="0">
    <w:p w14:paraId="103ADF1E" w14:textId="77777777" w:rsidR="00EB0DAA" w:rsidRDefault="00EB0DAA" w:rsidP="001A5733">
      <w:r>
        <w:continuationSeparator/>
      </w:r>
    </w:p>
  </w:footnote>
  <w:footnote w:id="1">
    <w:p w14:paraId="537B9E4D" w14:textId="4ACF960A" w:rsidR="001A5733" w:rsidRPr="00C16CF9" w:rsidRDefault="001A5733" w:rsidP="001A5733">
      <w:pPr>
        <w:pStyle w:val="FootnoteText"/>
        <w:rPr>
          <w:sz w:val="20"/>
          <w:szCs w:val="20"/>
        </w:rPr>
      </w:pPr>
      <w:r w:rsidRPr="00C16CF9">
        <w:rPr>
          <w:rStyle w:val="FootnoteReference"/>
          <w:sz w:val="20"/>
          <w:szCs w:val="20"/>
        </w:rPr>
        <w:footnoteRef/>
      </w:r>
      <w:r w:rsidRPr="00C16CF9">
        <w:rPr>
          <w:sz w:val="20"/>
          <w:szCs w:val="20"/>
        </w:rPr>
        <w:t xml:space="preserve"> “</w:t>
      </w:r>
      <w:r w:rsidR="00117595" w:rsidRPr="00C16CF9">
        <w:rPr>
          <w:sz w:val="20"/>
          <w:szCs w:val="20"/>
        </w:rPr>
        <w:t>Wendy</w:t>
      </w:r>
      <w:r w:rsidRPr="00C16CF9">
        <w:rPr>
          <w:sz w:val="20"/>
          <w:szCs w:val="20"/>
        </w:rPr>
        <w:t xml:space="preserve">” is a pseudonym chosen by the Hearing Officer to protect the privacy of the Student in the documents available to the public. </w:t>
      </w:r>
    </w:p>
  </w:footnote>
  <w:footnote w:id="2">
    <w:p w14:paraId="0C2201F4" w14:textId="207999D2" w:rsidR="00E818B3" w:rsidRPr="00E818B3" w:rsidRDefault="00E818B3">
      <w:pPr>
        <w:pStyle w:val="FootnoteText"/>
      </w:pPr>
      <w:r w:rsidRPr="00C16CF9">
        <w:rPr>
          <w:rStyle w:val="FootnoteReference"/>
          <w:sz w:val="20"/>
          <w:szCs w:val="20"/>
        </w:rPr>
        <w:footnoteRef/>
      </w:r>
      <w:r w:rsidRPr="00C16CF9">
        <w:rPr>
          <w:sz w:val="20"/>
          <w:szCs w:val="20"/>
        </w:rPr>
        <w:t xml:space="preserve"> Guardian, through her advocate, emailed the Hearing Officer on</w:t>
      </w:r>
      <w:r w:rsidR="00C16CF9" w:rsidRPr="00C16CF9">
        <w:rPr>
          <w:sz w:val="20"/>
          <w:szCs w:val="20"/>
        </w:rPr>
        <w:t xml:space="preserve"> February 24, 2022</w:t>
      </w:r>
      <w:r w:rsidRPr="00C16CF9">
        <w:rPr>
          <w:sz w:val="20"/>
          <w:szCs w:val="20"/>
        </w:rPr>
        <w:t xml:space="preserve"> to indicate that it was not, in fact, a joint request, but she did not object to the postponement.</w:t>
      </w:r>
      <w:r>
        <w:t xml:space="preserve"> </w:t>
      </w:r>
    </w:p>
  </w:footnote>
  <w:footnote w:id="3">
    <w:p w14:paraId="799B920A" w14:textId="7FF1E61D" w:rsidR="00825534" w:rsidRPr="00FD3799" w:rsidRDefault="00825534">
      <w:pPr>
        <w:pStyle w:val="FootnoteText"/>
        <w:rPr>
          <w:sz w:val="20"/>
          <w:szCs w:val="20"/>
        </w:rPr>
      </w:pPr>
      <w:r w:rsidRPr="002E67F0">
        <w:rPr>
          <w:rStyle w:val="FootnoteReference"/>
          <w:sz w:val="20"/>
          <w:szCs w:val="20"/>
        </w:rPr>
        <w:footnoteRef/>
      </w:r>
      <w:r w:rsidRPr="002E67F0">
        <w:rPr>
          <w:sz w:val="20"/>
          <w:szCs w:val="20"/>
        </w:rPr>
        <w:t xml:space="preserve"> See </w:t>
      </w:r>
      <w:r w:rsidRPr="002E67F0">
        <w:rPr>
          <w:i/>
          <w:iCs/>
          <w:sz w:val="20"/>
          <w:szCs w:val="20"/>
        </w:rPr>
        <w:t>Caperton v. A.T. Massey Coal Co., Inc.</w:t>
      </w:r>
      <w:r w:rsidRPr="002E67F0">
        <w:rPr>
          <w:sz w:val="20"/>
          <w:szCs w:val="20"/>
        </w:rPr>
        <w:t xml:space="preserve">, 556 U.S. 868, 881 (citing </w:t>
      </w:r>
      <w:r w:rsidRPr="002E67F0">
        <w:rPr>
          <w:i/>
          <w:iCs/>
          <w:sz w:val="20"/>
          <w:szCs w:val="20"/>
        </w:rPr>
        <w:t>Mayberry v. Pennsylvania</w:t>
      </w:r>
      <w:r w:rsidRPr="002E67F0">
        <w:rPr>
          <w:sz w:val="20"/>
          <w:szCs w:val="20"/>
        </w:rPr>
        <w:t xml:space="preserve">, 400 U.S. 455, 465-66 (“not every attack on a judge . . . disqualifies him from sitting”); </w:t>
      </w:r>
      <w:r w:rsidRPr="002E67F0">
        <w:rPr>
          <w:i/>
          <w:iCs/>
          <w:sz w:val="20"/>
          <w:szCs w:val="20"/>
        </w:rPr>
        <w:t>id</w:t>
      </w:r>
      <w:r w:rsidRPr="002E67F0">
        <w:rPr>
          <w:sz w:val="20"/>
          <w:szCs w:val="20"/>
        </w:rPr>
        <w:t xml:space="preserve">. at 872 (noting that recusal is appropriate where “the probability of actual bias on the part of the judge or decisionmaker is too high to be constitutionally </w:t>
      </w:r>
      <w:r w:rsidRPr="00FD3799">
        <w:rPr>
          <w:sz w:val="20"/>
          <w:szCs w:val="20"/>
        </w:rPr>
        <w:t>tolerable”)</w:t>
      </w:r>
      <w:r w:rsidR="00575322" w:rsidRPr="00FD3799">
        <w:rPr>
          <w:sz w:val="20"/>
          <w:szCs w:val="20"/>
        </w:rPr>
        <w:t xml:space="preserve">. See also 28 U.S.C. 455 (providing </w:t>
      </w:r>
      <w:proofErr w:type="gramStart"/>
      <w:r w:rsidR="00575322" w:rsidRPr="00FD3799">
        <w:rPr>
          <w:sz w:val="20"/>
          <w:szCs w:val="20"/>
        </w:rPr>
        <w:t xml:space="preserve">that federal justices, judges, </w:t>
      </w:r>
      <w:r w:rsidR="002E67F0" w:rsidRPr="00FD3799">
        <w:rPr>
          <w:sz w:val="20"/>
          <w:szCs w:val="20"/>
        </w:rPr>
        <w:t>and</w:t>
      </w:r>
      <w:r w:rsidR="00575322" w:rsidRPr="00FD3799">
        <w:rPr>
          <w:sz w:val="20"/>
          <w:szCs w:val="20"/>
        </w:rPr>
        <w:t xml:space="preserve"> magistrates</w:t>
      </w:r>
      <w:proofErr w:type="gramEnd"/>
      <w:r w:rsidR="00575322" w:rsidRPr="00FD3799">
        <w:rPr>
          <w:sz w:val="20"/>
          <w:szCs w:val="20"/>
        </w:rPr>
        <w:t xml:space="preserve"> shall disqualify themselves when they have a personal bias or prejudice concerning a party, or personal knowledge of disputed evidentiary facts concerning a proceeding</w:t>
      </w:r>
      <w:r w:rsidR="002E67F0" w:rsidRPr="00FD3799">
        <w:rPr>
          <w:sz w:val="20"/>
          <w:szCs w:val="20"/>
        </w:rPr>
        <w:t>)</w:t>
      </w:r>
      <w:r w:rsidR="00FD3799">
        <w:rPr>
          <w:sz w:val="20"/>
          <w:szCs w:val="20"/>
        </w:rPr>
        <w:t>.</w:t>
      </w:r>
    </w:p>
  </w:footnote>
  <w:footnote w:id="4">
    <w:p w14:paraId="45DB5B9D" w14:textId="7E856F12" w:rsidR="002E67F0" w:rsidRPr="00FD3799" w:rsidRDefault="002E67F0">
      <w:pPr>
        <w:pStyle w:val="FootnoteText"/>
        <w:rPr>
          <w:sz w:val="20"/>
          <w:szCs w:val="20"/>
        </w:rPr>
      </w:pPr>
      <w:r w:rsidRPr="00FD3799">
        <w:rPr>
          <w:rStyle w:val="FootnoteReference"/>
          <w:sz w:val="20"/>
          <w:szCs w:val="20"/>
        </w:rPr>
        <w:footnoteRef/>
      </w:r>
      <w:r w:rsidRPr="00FD3799">
        <w:rPr>
          <w:sz w:val="20"/>
          <w:szCs w:val="20"/>
        </w:rPr>
        <w:t xml:space="preserve"> </w:t>
      </w:r>
      <w:r w:rsidRPr="00FD3799">
        <w:rPr>
          <w:rFonts w:cs="Times New Roman"/>
          <w:sz w:val="20"/>
          <w:szCs w:val="20"/>
        </w:rPr>
        <w:t xml:space="preserve">See </w:t>
      </w:r>
      <w:r w:rsidRPr="00FD3799">
        <w:rPr>
          <w:rFonts w:cs="Times New Roman"/>
          <w:i/>
          <w:sz w:val="20"/>
          <w:szCs w:val="20"/>
        </w:rPr>
        <w:t>Lena v. Commonwealth</w:t>
      </w:r>
      <w:r w:rsidRPr="00FD3799">
        <w:rPr>
          <w:rFonts w:cs="Times New Roman"/>
          <w:sz w:val="20"/>
          <w:szCs w:val="20"/>
        </w:rPr>
        <w:t>, 369 Mass. 571, 575 (1976).</w:t>
      </w:r>
    </w:p>
  </w:footnote>
  <w:footnote w:id="5">
    <w:p w14:paraId="5ABEE0C6" w14:textId="208DDC71" w:rsidR="003043C6" w:rsidRPr="00FD3799" w:rsidRDefault="003043C6" w:rsidP="003043C6">
      <w:pPr>
        <w:pStyle w:val="FootnoteText"/>
        <w:rPr>
          <w:rFonts w:cs="Times New Roman"/>
          <w:sz w:val="20"/>
          <w:szCs w:val="20"/>
        </w:rPr>
      </w:pPr>
      <w:r w:rsidRPr="00FD3799">
        <w:rPr>
          <w:rStyle w:val="FootnoteReference"/>
          <w:rFonts w:cs="Times New Roman"/>
          <w:sz w:val="20"/>
          <w:szCs w:val="20"/>
        </w:rPr>
        <w:footnoteRef/>
      </w:r>
      <w:r w:rsidRPr="00FD3799">
        <w:rPr>
          <w:rFonts w:cs="Times New Roman"/>
          <w:sz w:val="20"/>
          <w:szCs w:val="20"/>
        </w:rPr>
        <w:t xml:space="preserve"> See </w:t>
      </w:r>
      <w:r w:rsidR="002E67F0" w:rsidRPr="00FD3799">
        <w:rPr>
          <w:rFonts w:cs="Times New Roman"/>
          <w:i/>
          <w:sz w:val="20"/>
          <w:szCs w:val="20"/>
        </w:rPr>
        <w:t>id</w:t>
      </w:r>
      <w:r w:rsidRPr="00FD3799">
        <w:rPr>
          <w:rFonts w:cs="Times New Roman"/>
          <w:i/>
          <w:sz w:val="20"/>
          <w:szCs w:val="20"/>
        </w:rPr>
        <w:t>.</w:t>
      </w:r>
    </w:p>
  </w:footnote>
  <w:footnote w:id="6">
    <w:p w14:paraId="67C1EDEF" w14:textId="0796F73F" w:rsidR="003043C6" w:rsidRPr="00FD3799" w:rsidRDefault="003043C6" w:rsidP="003043C6">
      <w:pPr>
        <w:pStyle w:val="FootnoteText"/>
        <w:rPr>
          <w:rFonts w:cs="Times New Roman"/>
          <w:sz w:val="20"/>
          <w:szCs w:val="20"/>
        </w:rPr>
      </w:pPr>
      <w:r w:rsidRPr="00FD3799">
        <w:rPr>
          <w:rStyle w:val="FootnoteReference"/>
          <w:rFonts w:cs="Times New Roman"/>
          <w:sz w:val="20"/>
          <w:szCs w:val="20"/>
        </w:rPr>
        <w:footnoteRef/>
      </w:r>
      <w:r w:rsidRPr="00FD3799">
        <w:rPr>
          <w:rFonts w:cs="Times New Roman"/>
          <w:sz w:val="20"/>
          <w:szCs w:val="20"/>
        </w:rPr>
        <w:t xml:space="preserve"> See </w:t>
      </w:r>
      <w:r w:rsidRPr="00FD3799">
        <w:rPr>
          <w:rFonts w:cs="Times New Roman"/>
          <w:i/>
          <w:sz w:val="20"/>
          <w:szCs w:val="20"/>
        </w:rPr>
        <w:t>Haddad v. Gonzalez</w:t>
      </w:r>
      <w:r w:rsidRPr="00FD3799">
        <w:rPr>
          <w:rFonts w:cs="Times New Roman"/>
          <w:sz w:val="20"/>
          <w:szCs w:val="20"/>
        </w:rPr>
        <w:t>, 410 Mass. 855, 862</w:t>
      </w:r>
      <w:r w:rsidR="002E67F0" w:rsidRPr="00FD3799">
        <w:rPr>
          <w:rFonts w:cs="Times New Roman"/>
          <w:sz w:val="20"/>
          <w:szCs w:val="20"/>
        </w:rPr>
        <w:t>-63</w:t>
      </w:r>
      <w:r w:rsidRPr="00FD3799">
        <w:rPr>
          <w:rFonts w:cs="Times New Roman"/>
          <w:sz w:val="20"/>
          <w:szCs w:val="20"/>
        </w:rPr>
        <w:t xml:space="preserve"> (1991); </w:t>
      </w:r>
      <w:r w:rsidRPr="00FD3799">
        <w:rPr>
          <w:rFonts w:cs="Times New Roman"/>
          <w:i/>
          <w:sz w:val="20"/>
          <w:szCs w:val="20"/>
        </w:rPr>
        <w:t>Lena</w:t>
      </w:r>
      <w:r w:rsidRPr="00FD3799">
        <w:rPr>
          <w:rFonts w:cs="Times New Roman"/>
          <w:sz w:val="20"/>
          <w:szCs w:val="20"/>
        </w:rPr>
        <w:t>, 369</w:t>
      </w:r>
      <w:r w:rsidR="002E67F0" w:rsidRPr="00FD3799">
        <w:rPr>
          <w:rFonts w:cs="Times New Roman"/>
          <w:sz w:val="20"/>
          <w:szCs w:val="20"/>
        </w:rPr>
        <w:t xml:space="preserve"> Mass.</w:t>
      </w:r>
      <w:r w:rsidRPr="00FD3799">
        <w:rPr>
          <w:rFonts w:cs="Times New Roman"/>
          <w:sz w:val="20"/>
          <w:szCs w:val="20"/>
        </w:rPr>
        <w:t xml:space="preserve"> at 575 (internal citations omitted).</w:t>
      </w:r>
    </w:p>
  </w:footnote>
  <w:footnote w:id="7">
    <w:p w14:paraId="77A861EF" w14:textId="5B65A29F" w:rsidR="0043694D" w:rsidRPr="005745F0" w:rsidRDefault="0043694D" w:rsidP="0043694D">
      <w:pPr>
        <w:pStyle w:val="FootnoteText"/>
        <w:rPr>
          <w:rFonts w:cs="Times New Roman"/>
          <w:sz w:val="20"/>
          <w:szCs w:val="20"/>
        </w:rPr>
      </w:pPr>
      <w:r w:rsidRPr="00FD3799">
        <w:rPr>
          <w:rStyle w:val="FootnoteReference"/>
          <w:rFonts w:cs="Times New Roman"/>
          <w:sz w:val="20"/>
          <w:szCs w:val="20"/>
        </w:rPr>
        <w:footnoteRef/>
      </w:r>
      <w:r w:rsidRPr="00FD3799">
        <w:rPr>
          <w:rFonts w:cs="Times New Roman"/>
          <w:sz w:val="20"/>
          <w:szCs w:val="20"/>
        </w:rPr>
        <w:t xml:space="preserve"> </w:t>
      </w:r>
      <w:r w:rsidRPr="00FD3799">
        <w:rPr>
          <w:rFonts w:cs="Times New Roman"/>
          <w:i/>
          <w:sz w:val="20"/>
          <w:szCs w:val="20"/>
        </w:rPr>
        <w:t>In Re United States</w:t>
      </w:r>
      <w:r w:rsidRPr="00FD3799">
        <w:rPr>
          <w:rFonts w:cs="Times New Roman"/>
          <w:sz w:val="20"/>
          <w:szCs w:val="20"/>
        </w:rPr>
        <w:t xml:space="preserve">, </w:t>
      </w:r>
      <w:r w:rsidR="002E67F0" w:rsidRPr="00FD3799">
        <w:rPr>
          <w:rFonts w:cs="Times New Roman"/>
          <w:sz w:val="20"/>
          <w:szCs w:val="20"/>
        </w:rPr>
        <w:t>666</w:t>
      </w:r>
      <w:r w:rsidR="002E67F0" w:rsidRPr="005745F0">
        <w:rPr>
          <w:rFonts w:cs="Times New Roman"/>
          <w:sz w:val="20"/>
          <w:szCs w:val="20"/>
        </w:rPr>
        <w:t xml:space="preserve"> F.2d 690, 69</w:t>
      </w:r>
      <w:r w:rsidR="002E67F0">
        <w:rPr>
          <w:rFonts w:cs="Times New Roman"/>
          <w:sz w:val="20"/>
          <w:szCs w:val="20"/>
        </w:rPr>
        <w:t>5</w:t>
      </w:r>
      <w:r w:rsidR="002E67F0" w:rsidRPr="005745F0">
        <w:rPr>
          <w:rFonts w:cs="Times New Roman"/>
          <w:sz w:val="20"/>
          <w:szCs w:val="20"/>
        </w:rPr>
        <w:t xml:space="preserve"> (1st Cir. 1981)</w:t>
      </w:r>
      <w:r w:rsidR="002E67F0">
        <w:rPr>
          <w:rFonts w:cs="Times New Roman"/>
          <w:sz w:val="20"/>
          <w:szCs w:val="20"/>
        </w:rPr>
        <w:t xml:space="preserve">; </w:t>
      </w:r>
      <w:r w:rsidR="002E67F0" w:rsidRPr="002E67F0">
        <w:rPr>
          <w:rFonts w:cs="Times New Roman"/>
          <w:sz w:val="20"/>
          <w:szCs w:val="20"/>
        </w:rPr>
        <w:t>see</w:t>
      </w:r>
      <w:r w:rsidR="002E67F0">
        <w:rPr>
          <w:rFonts w:cs="Times New Roman"/>
          <w:sz w:val="20"/>
          <w:szCs w:val="20"/>
        </w:rPr>
        <w:t xml:space="preserve"> </w:t>
      </w:r>
      <w:r w:rsidR="002E67F0">
        <w:rPr>
          <w:rFonts w:cs="Times New Roman"/>
          <w:i/>
          <w:iCs/>
          <w:sz w:val="20"/>
          <w:szCs w:val="20"/>
        </w:rPr>
        <w:t>F</w:t>
      </w:r>
      <w:r w:rsidR="00E36615">
        <w:rPr>
          <w:rFonts w:cs="Times New Roman"/>
          <w:i/>
          <w:iCs/>
          <w:sz w:val="20"/>
          <w:szCs w:val="20"/>
        </w:rPr>
        <w:t>ord v. Suffolk</w:t>
      </w:r>
      <w:r w:rsidR="003910C2">
        <w:rPr>
          <w:rFonts w:cs="Times New Roman"/>
          <w:i/>
          <w:iCs/>
          <w:sz w:val="20"/>
          <w:szCs w:val="20"/>
        </w:rPr>
        <w:t xml:space="preserve"> County</w:t>
      </w:r>
      <w:r w:rsidR="003910C2">
        <w:rPr>
          <w:rFonts w:cs="Times New Roman"/>
          <w:sz w:val="20"/>
          <w:szCs w:val="20"/>
        </w:rPr>
        <w:t>,</w:t>
      </w:r>
      <w:r w:rsidR="00E36615">
        <w:rPr>
          <w:rFonts w:cs="Times New Roman"/>
          <w:sz w:val="20"/>
          <w:szCs w:val="20"/>
        </w:rPr>
        <w:t xml:space="preserve"> 133 F. Supp. 2d 116, 119 (D. Mass. </w:t>
      </w:r>
      <w:r w:rsidR="00E36615" w:rsidRPr="002E67F0">
        <w:rPr>
          <w:rFonts w:cs="Times New Roman"/>
          <w:sz w:val="20"/>
          <w:szCs w:val="20"/>
        </w:rPr>
        <w:t>2001)</w:t>
      </w:r>
      <w:r w:rsidR="00E94A66">
        <w:rPr>
          <w:rFonts w:cs="Times New Roman"/>
          <w:sz w:val="20"/>
          <w:szCs w:val="20"/>
        </w:rPr>
        <w:t>.</w:t>
      </w:r>
    </w:p>
  </w:footnote>
  <w:footnote w:id="8">
    <w:p w14:paraId="76783937" w14:textId="2F9E1078" w:rsidR="0043694D" w:rsidRPr="000E6FAB" w:rsidRDefault="0043694D" w:rsidP="002E67F0">
      <w:pPr>
        <w:pStyle w:val="FootnoteText"/>
        <w:tabs>
          <w:tab w:val="left" w:pos="2280"/>
        </w:tabs>
        <w:rPr>
          <w:sz w:val="20"/>
          <w:szCs w:val="20"/>
        </w:rPr>
      </w:pPr>
      <w:r w:rsidRPr="000E6FAB">
        <w:rPr>
          <w:rStyle w:val="FootnoteReference"/>
          <w:sz w:val="20"/>
          <w:szCs w:val="20"/>
        </w:rPr>
        <w:footnoteRef/>
      </w:r>
      <w:r w:rsidRPr="000E6FAB">
        <w:rPr>
          <w:sz w:val="20"/>
          <w:szCs w:val="20"/>
        </w:rPr>
        <w:t xml:space="preserve"> </w:t>
      </w:r>
      <w:r w:rsidR="002E67F0" w:rsidRPr="000E6FAB">
        <w:rPr>
          <w:rFonts w:cs="Times New Roman"/>
          <w:i/>
          <w:sz w:val="20"/>
          <w:szCs w:val="20"/>
        </w:rPr>
        <w:t>In Re United States</w:t>
      </w:r>
      <w:r w:rsidR="002E67F0" w:rsidRPr="000E6FAB">
        <w:rPr>
          <w:rFonts w:cs="Times New Roman"/>
          <w:sz w:val="20"/>
          <w:szCs w:val="20"/>
        </w:rPr>
        <w:t>, 666 F.2d at 695.</w:t>
      </w:r>
    </w:p>
  </w:footnote>
  <w:footnote w:id="9">
    <w:p w14:paraId="5E9DA097" w14:textId="0AC96C51" w:rsidR="000D50DA" w:rsidRDefault="000D50DA">
      <w:pPr>
        <w:pStyle w:val="FootnoteText"/>
      </w:pPr>
      <w:r w:rsidRPr="000E6FAB">
        <w:rPr>
          <w:rStyle w:val="FootnoteReference"/>
          <w:sz w:val="20"/>
          <w:szCs w:val="20"/>
        </w:rPr>
        <w:footnoteRef/>
      </w:r>
      <w:r w:rsidR="000E6FAB" w:rsidRPr="000E6FAB">
        <w:rPr>
          <w:sz w:val="20"/>
          <w:szCs w:val="20"/>
        </w:rPr>
        <w:t xml:space="preserve"> </w:t>
      </w:r>
      <w:r w:rsidRPr="000E6FAB">
        <w:rPr>
          <w:sz w:val="20"/>
          <w:szCs w:val="20"/>
        </w:rPr>
        <w:t xml:space="preserve">See </w:t>
      </w:r>
      <w:r w:rsidR="000E6FAB" w:rsidRPr="000E6FAB">
        <w:rPr>
          <w:i/>
          <w:iCs/>
          <w:sz w:val="20"/>
          <w:szCs w:val="20"/>
        </w:rPr>
        <w:t>Leavitt</w:t>
      </w:r>
      <w:r w:rsidR="000E6FAB">
        <w:rPr>
          <w:i/>
          <w:iCs/>
          <w:sz w:val="20"/>
          <w:szCs w:val="20"/>
        </w:rPr>
        <w:t xml:space="preserve"> v. United States Automobile Assoc.</w:t>
      </w:r>
      <w:r w:rsidR="000E6FAB">
        <w:rPr>
          <w:sz w:val="20"/>
          <w:szCs w:val="20"/>
        </w:rPr>
        <w:t>, 2021 WL 135770 at *1 (2021) (unpublished) (“To avoid delays and a waste of judicial resources, however, unnecessary recusals are to be avoided”).</w:t>
      </w:r>
    </w:p>
  </w:footnote>
  <w:footnote w:id="10">
    <w:p w14:paraId="15D1DA25" w14:textId="4FBAE5D7" w:rsidR="003043C6" w:rsidRPr="00FD3799" w:rsidRDefault="003043C6" w:rsidP="002E67F0">
      <w:pPr>
        <w:pStyle w:val="FootnoteText"/>
        <w:rPr>
          <w:rFonts w:cs="Times New Roman"/>
          <w:sz w:val="20"/>
          <w:szCs w:val="20"/>
        </w:rPr>
      </w:pPr>
      <w:r w:rsidRPr="005745F0">
        <w:rPr>
          <w:rStyle w:val="FootnoteReference"/>
          <w:rFonts w:cs="Times New Roman"/>
          <w:sz w:val="20"/>
          <w:szCs w:val="20"/>
        </w:rPr>
        <w:footnoteRef/>
      </w:r>
      <w:r w:rsidRPr="005745F0">
        <w:rPr>
          <w:rFonts w:cs="Times New Roman"/>
          <w:sz w:val="20"/>
          <w:szCs w:val="20"/>
        </w:rPr>
        <w:t xml:space="preserve"> </w:t>
      </w:r>
      <w:r w:rsidRPr="005745F0">
        <w:rPr>
          <w:rFonts w:cs="Times New Roman"/>
          <w:i/>
          <w:sz w:val="20"/>
          <w:szCs w:val="20"/>
        </w:rPr>
        <w:t>In Re United States</w:t>
      </w:r>
      <w:r w:rsidRPr="005745F0">
        <w:rPr>
          <w:rFonts w:cs="Times New Roman"/>
          <w:sz w:val="20"/>
          <w:szCs w:val="20"/>
        </w:rPr>
        <w:t xml:space="preserve">, 666 F.2d </w:t>
      </w:r>
      <w:r w:rsidR="004D3CD3">
        <w:rPr>
          <w:rFonts w:cs="Times New Roman"/>
          <w:sz w:val="20"/>
          <w:szCs w:val="20"/>
        </w:rPr>
        <w:t xml:space="preserve">at </w:t>
      </w:r>
      <w:r w:rsidRPr="005745F0">
        <w:rPr>
          <w:rFonts w:cs="Times New Roman"/>
          <w:sz w:val="20"/>
          <w:szCs w:val="20"/>
        </w:rPr>
        <w:t>694 (1st Cir. 1981)</w:t>
      </w:r>
      <w:r w:rsidR="0043694D">
        <w:rPr>
          <w:rFonts w:cs="Times New Roman"/>
          <w:sz w:val="20"/>
          <w:szCs w:val="20"/>
        </w:rPr>
        <w:t>;</w:t>
      </w:r>
      <w:r w:rsidR="002E67F0">
        <w:rPr>
          <w:rFonts w:cs="Times New Roman"/>
          <w:sz w:val="20"/>
          <w:szCs w:val="20"/>
        </w:rPr>
        <w:t xml:space="preserve"> see </w:t>
      </w:r>
      <w:r w:rsidR="002E67F0">
        <w:rPr>
          <w:rFonts w:cs="Times New Roman"/>
          <w:i/>
          <w:iCs/>
          <w:sz w:val="20"/>
          <w:szCs w:val="20"/>
        </w:rPr>
        <w:t>Ford</w:t>
      </w:r>
      <w:r w:rsidR="00E94A66">
        <w:rPr>
          <w:rFonts w:cs="Times New Roman"/>
          <w:sz w:val="20"/>
          <w:szCs w:val="20"/>
        </w:rPr>
        <w:t>,</w:t>
      </w:r>
      <w:r w:rsidR="002E67F0">
        <w:rPr>
          <w:rFonts w:cs="Times New Roman"/>
          <w:sz w:val="20"/>
          <w:szCs w:val="20"/>
        </w:rPr>
        <w:t xml:space="preserve"> 133 F. Supp. 2d </w:t>
      </w:r>
      <w:r w:rsidR="00E94A66">
        <w:rPr>
          <w:rFonts w:cs="Times New Roman"/>
          <w:sz w:val="20"/>
          <w:szCs w:val="20"/>
        </w:rPr>
        <w:t>at 121</w:t>
      </w:r>
      <w:r w:rsidR="004D3CD3">
        <w:rPr>
          <w:rFonts w:cs="Times New Roman"/>
          <w:sz w:val="20"/>
          <w:szCs w:val="20"/>
        </w:rPr>
        <w:t>.</w:t>
      </w:r>
    </w:p>
  </w:footnote>
  <w:footnote w:id="11">
    <w:p w14:paraId="2FCA8675" w14:textId="4919F2FE" w:rsidR="00825534" w:rsidRPr="00FD3799" w:rsidRDefault="00825534">
      <w:pPr>
        <w:pStyle w:val="FootnoteText"/>
        <w:rPr>
          <w:sz w:val="20"/>
          <w:szCs w:val="20"/>
        </w:rPr>
      </w:pPr>
      <w:r w:rsidRPr="00FD3799">
        <w:rPr>
          <w:rStyle w:val="FootnoteReference"/>
          <w:sz w:val="20"/>
          <w:szCs w:val="20"/>
        </w:rPr>
        <w:footnoteRef/>
      </w:r>
      <w:r w:rsidRPr="00FD3799">
        <w:rPr>
          <w:sz w:val="20"/>
          <w:szCs w:val="20"/>
        </w:rPr>
        <w:t xml:space="preserve"> </w:t>
      </w:r>
      <w:r w:rsidRPr="00FD3799">
        <w:rPr>
          <w:i/>
          <w:iCs/>
          <w:sz w:val="20"/>
          <w:szCs w:val="20"/>
        </w:rPr>
        <w:t>Caperton</w:t>
      </w:r>
      <w:r w:rsidRPr="00FD3799">
        <w:rPr>
          <w:sz w:val="20"/>
          <w:szCs w:val="20"/>
        </w:rPr>
        <w:t>, 556 U.S. at 876 (internal citation omitted)</w:t>
      </w:r>
    </w:p>
  </w:footnote>
  <w:footnote w:id="12">
    <w:p w14:paraId="2BCBB841" w14:textId="4E31FBA8" w:rsidR="00825534" w:rsidRPr="00E94A66" w:rsidRDefault="00825534">
      <w:pPr>
        <w:pStyle w:val="FootnoteText"/>
        <w:rPr>
          <w:sz w:val="20"/>
          <w:szCs w:val="20"/>
        </w:rPr>
      </w:pPr>
      <w:r w:rsidRPr="00FD3799">
        <w:rPr>
          <w:rStyle w:val="FootnoteReference"/>
          <w:sz w:val="20"/>
          <w:szCs w:val="20"/>
        </w:rPr>
        <w:footnoteRef/>
      </w:r>
      <w:r w:rsidRPr="00FD3799">
        <w:rPr>
          <w:sz w:val="20"/>
          <w:szCs w:val="20"/>
        </w:rPr>
        <w:t xml:space="preserve"> See </w:t>
      </w:r>
      <w:r w:rsidRPr="00FD3799">
        <w:rPr>
          <w:i/>
          <w:iCs/>
          <w:sz w:val="20"/>
          <w:szCs w:val="20"/>
        </w:rPr>
        <w:t>id</w:t>
      </w:r>
      <w:r w:rsidRPr="00FD3799">
        <w:rPr>
          <w:sz w:val="20"/>
          <w:szCs w:val="20"/>
        </w:rPr>
        <w:t>. at 880-81 (noting that the judge’s “prior relationship with the defendant, as well as the information acquired [about the defendant himself and the case during proceedings to determine whether charges should issue] was of critical import”).</w:t>
      </w:r>
    </w:p>
  </w:footnote>
  <w:footnote w:id="13">
    <w:p w14:paraId="3138504A" w14:textId="649D1347" w:rsidR="00E36615" w:rsidRPr="000D50DA" w:rsidRDefault="00E36615">
      <w:pPr>
        <w:pStyle w:val="FootnoteText"/>
      </w:pPr>
      <w:r w:rsidRPr="00E94A66">
        <w:rPr>
          <w:rStyle w:val="FootnoteReference"/>
          <w:sz w:val="20"/>
          <w:szCs w:val="20"/>
        </w:rPr>
        <w:footnoteRef/>
      </w:r>
      <w:r w:rsidRPr="00E94A66">
        <w:rPr>
          <w:sz w:val="20"/>
          <w:szCs w:val="20"/>
        </w:rPr>
        <w:t xml:space="preserve"> See </w:t>
      </w:r>
      <w:r w:rsidRPr="00E94A66">
        <w:rPr>
          <w:i/>
          <w:iCs/>
          <w:sz w:val="20"/>
          <w:szCs w:val="20"/>
        </w:rPr>
        <w:t>Ford</w:t>
      </w:r>
      <w:r w:rsidRPr="00E94A66">
        <w:rPr>
          <w:sz w:val="20"/>
          <w:szCs w:val="20"/>
        </w:rPr>
        <w:t>, 144 F. Supp. 2d at 121</w:t>
      </w:r>
      <w:r w:rsidR="004D3CD3">
        <w:rPr>
          <w:sz w:val="20"/>
          <w:szCs w:val="20"/>
        </w:rPr>
        <w:t xml:space="preserve"> ([“t]o hold that my recitation of </w:t>
      </w:r>
      <w:r w:rsidR="00796D27">
        <w:rPr>
          <w:sz w:val="20"/>
          <w:szCs w:val="20"/>
        </w:rPr>
        <w:t>previously – and publicly-established facts casts doubt on a judge’s impartiality, thereby necessitating recusal, would establish a judicial code of silence that reason cannot bear)</w:t>
      </w:r>
      <w:r w:rsidR="000D50DA">
        <w:rPr>
          <w:sz w:val="20"/>
          <w:szCs w:val="20"/>
        </w:rPr>
        <w:t xml:space="preserve">; </w:t>
      </w:r>
      <w:r w:rsidR="000D50DA" w:rsidRPr="000E6FAB">
        <w:rPr>
          <w:i/>
          <w:iCs/>
          <w:sz w:val="20"/>
          <w:szCs w:val="20"/>
        </w:rPr>
        <w:t>Leavitt</w:t>
      </w:r>
      <w:r w:rsidR="000E6FAB">
        <w:rPr>
          <w:sz w:val="20"/>
          <w:szCs w:val="20"/>
        </w:rPr>
        <w:t xml:space="preserve">, </w:t>
      </w:r>
      <w:r w:rsidR="000D50DA" w:rsidRPr="000E6FAB">
        <w:rPr>
          <w:sz w:val="20"/>
          <w:szCs w:val="20"/>
        </w:rPr>
        <w:t>2021</w:t>
      </w:r>
      <w:r w:rsidR="000D50DA">
        <w:rPr>
          <w:sz w:val="20"/>
          <w:szCs w:val="20"/>
        </w:rPr>
        <w:t xml:space="preserve"> WL 135770 </w:t>
      </w:r>
      <w:r w:rsidR="000E6FAB">
        <w:rPr>
          <w:sz w:val="20"/>
          <w:szCs w:val="20"/>
        </w:rPr>
        <w:t xml:space="preserve">at *1 </w:t>
      </w:r>
      <w:r w:rsidR="000D50DA">
        <w:rPr>
          <w:sz w:val="20"/>
          <w:szCs w:val="20"/>
        </w:rPr>
        <w:t>(2021)</w:t>
      </w:r>
      <w:r w:rsidR="000E6FAB">
        <w:rPr>
          <w:sz w:val="20"/>
          <w:szCs w:val="20"/>
        </w:rPr>
        <w:t xml:space="preserve"> (unpublished)</w:t>
      </w:r>
      <w:r w:rsidR="000D50DA">
        <w:rPr>
          <w:sz w:val="20"/>
          <w:szCs w:val="20"/>
        </w:rPr>
        <w:t xml:space="preserve"> (“[Judicial rulings alone almost never constitute a valid basis for a bias or partiality motion”) (citing and quoting </w:t>
      </w:r>
      <w:proofErr w:type="spellStart"/>
      <w:r w:rsidR="000D50DA">
        <w:rPr>
          <w:i/>
          <w:iCs/>
          <w:sz w:val="20"/>
          <w:szCs w:val="20"/>
        </w:rPr>
        <w:t>Liteky</w:t>
      </w:r>
      <w:proofErr w:type="spellEnd"/>
      <w:r w:rsidR="000D50DA">
        <w:rPr>
          <w:i/>
          <w:iCs/>
          <w:sz w:val="20"/>
          <w:szCs w:val="20"/>
        </w:rPr>
        <w:t xml:space="preserve"> v. United States</w:t>
      </w:r>
      <w:r w:rsidR="000D50DA">
        <w:rPr>
          <w:sz w:val="20"/>
          <w:szCs w:val="20"/>
        </w:rPr>
        <w:t>, 510 U.S. 540, 555)).</w:t>
      </w:r>
    </w:p>
  </w:footnote>
  <w:footnote w:id="14">
    <w:p w14:paraId="59A73AD2" w14:textId="1ADDBB61" w:rsidR="00A4500D" w:rsidRPr="00CF1F6D" w:rsidRDefault="00A4500D">
      <w:pPr>
        <w:pStyle w:val="FootnoteText"/>
        <w:rPr>
          <w:sz w:val="20"/>
          <w:szCs w:val="20"/>
        </w:rPr>
      </w:pPr>
      <w:r w:rsidRPr="00CF1F6D">
        <w:rPr>
          <w:rStyle w:val="FootnoteReference"/>
          <w:sz w:val="20"/>
          <w:szCs w:val="20"/>
        </w:rPr>
        <w:footnoteRef/>
      </w:r>
      <w:r w:rsidRPr="00CF1F6D">
        <w:rPr>
          <w:sz w:val="20"/>
          <w:szCs w:val="20"/>
        </w:rPr>
        <w:t xml:space="preserve"> See 20 U.S.C. s. 1415(i)(2).</w:t>
      </w:r>
    </w:p>
  </w:footnote>
  <w:footnote w:id="15">
    <w:p w14:paraId="5D55C68C" w14:textId="77777777" w:rsidR="003043C6" w:rsidRPr="00CF1F6D" w:rsidRDefault="003043C6" w:rsidP="003043C6">
      <w:pPr>
        <w:pStyle w:val="FootnoteText"/>
        <w:rPr>
          <w:rFonts w:cs="Times New Roman"/>
          <w:sz w:val="20"/>
          <w:szCs w:val="20"/>
        </w:rPr>
      </w:pPr>
      <w:r w:rsidRPr="00CF1F6D">
        <w:rPr>
          <w:rStyle w:val="FootnoteReference"/>
          <w:rFonts w:cs="Times New Roman"/>
          <w:sz w:val="20"/>
          <w:szCs w:val="20"/>
        </w:rPr>
        <w:footnoteRef/>
      </w:r>
      <w:r w:rsidRPr="00CF1F6D">
        <w:rPr>
          <w:rFonts w:cs="Times New Roman"/>
          <w:sz w:val="20"/>
          <w:szCs w:val="20"/>
        </w:rPr>
        <w:t xml:space="preserve"> </w:t>
      </w:r>
      <w:r w:rsidRPr="00CF1F6D">
        <w:rPr>
          <w:rFonts w:cs="Times New Roman"/>
          <w:i/>
          <w:sz w:val="20"/>
          <w:szCs w:val="20"/>
        </w:rPr>
        <w:t>Lena</w:t>
      </w:r>
      <w:r w:rsidRPr="00CF1F6D">
        <w:rPr>
          <w:rFonts w:cs="Times New Roman"/>
          <w:sz w:val="20"/>
          <w:szCs w:val="20"/>
        </w:rPr>
        <w:t>, 369 Mass. at 575 (quotation omitted).</w:t>
      </w:r>
    </w:p>
  </w:footnote>
  <w:footnote w:id="16">
    <w:p w14:paraId="550AD52F" w14:textId="34F2B128" w:rsidR="0055495B" w:rsidRPr="00CF1F6D" w:rsidRDefault="0055495B" w:rsidP="0055495B">
      <w:pPr>
        <w:pStyle w:val="FootnoteText"/>
        <w:rPr>
          <w:sz w:val="20"/>
          <w:szCs w:val="20"/>
        </w:rPr>
      </w:pPr>
      <w:r w:rsidRPr="00CF1F6D">
        <w:rPr>
          <w:rStyle w:val="FootnoteReference"/>
          <w:sz w:val="20"/>
          <w:szCs w:val="20"/>
        </w:rPr>
        <w:footnoteRef/>
      </w:r>
      <w:r w:rsidRPr="00CF1F6D">
        <w:rPr>
          <w:sz w:val="20"/>
          <w:szCs w:val="20"/>
        </w:rPr>
        <w:t xml:space="preserve"> </w:t>
      </w:r>
      <w:r w:rsidR="003910C2" w:rsidRPr="00CF1F6D">
        <w:rPr>
          <w:rFonts w:cs="Times New Roman"/>
          <w:i/>
          <w:sz w:val="20"/>
          <w:szCs w:val="20"/>
        </w:rPr>
        <w:t>In Re United States</w:t>
      </w:r>
      <w:r w:rsidR="003910C2" w:rsidRPr="00CF1F6D">
        <w:rPr>
          <w:rFonts w:cs="Times New Roman"/>
          <w:sz w:val="20"/>
          <w:szCs w:val="20"/>
        </w:rPr>
        <w:t>, 666 F.2d at 695.</w:t>
      </w:r>
    </w:p>
  </w:footnote>
  <w:footnote w:id="17">
    <w:p w14:paraId="675FBDD8" w14:textId="6D757031" w:rsidR="0020476B" w:rsidRPr="00CF1F6D" w:rsidRDefault="0020476B">
      <w:pPr>
        <w:pStyle w:val="FootnoteText"/>
        <w:rPr>
          <w:sz w:val="20"/>
          <w:szCs w:val="20"/>
        </w:rPr>
      </w:pPr>
      <w:r w:rsidRPr="00CF1F6D">
        <w:rPr>
          <w:rStyle w:val="FootnoteReference"/>
          <w:sz w:val="20"/>
          <w:szCs w:val="20"/>
        </w:rPr>
        <w:footnoteRef/>
      </w:r>
      <w:r w:rsidRPr="00CF1F6D">
        <w:rPr>
          <w:sz w:val="20"/>
          <w:szCs w:val="20"/>
        </w:rPr>
        <w:t xml:space="preserve"> </w:t>
      </w:r>
      <w:r w:rsidR="00CF1F6D" w:rsidRPr="00CF1F6D">
        <w:rPr>
          <w:sz w:val="20"/>
          <w:szCs w:val="20"/>
        </w:rPr>
        <w:t>Massachusetts S.J.C. Rule 3.09, as amended Jan. 1, 2016 (Cannon 2, Rule 2.11(A)(1)).</w:t>
      </w:r>
    </w:p>
  </w:footnote>
  <w:footnote w:id="18">
    <w:p w14:paraId="17EC7230" w14:textId="77777777" w:rsidR="0055495B" w:rsidRPr="005745F0" w:rsidRDefault="0055495B" w:rsidP="0055495B">
      <w:pPr>
        <w:pStyle w:val="FootnoteText"/>
        <w:rPr>
          <w:sz w:val="20"/>
          <w:szCs w:val="20"/>
        </w:rPr>
      </w:pPr>
      <w:r w:rsidRPr="00CF1F6D">
        <w:rPr>
          <w:rStyle w:val="FootnoteReference"/>
          <w:sz w:val="20"/>
          <w:szCs w:val="20"/>
        </w:rPr>
        <w:footnoteRef/>
      </w:r>
      <w:r w:rsidRPr="00CF1F6D">
        <w:rPr>
          <w:sz w:val="20"/>
          <w:szCs w:val="20"/>
        </w:rPr>
        <w:t xml:space="preserve"> </w:t>
      </w:r>
      <w:r w:rsidR="00B462EE" w:rsidRPr="00CF1F6D">
        <w:rPr>
          <w:rFonts w:cs="Times New Roman"/>
          <w:i/>
          <w:sz w:val="20"/>
          <w:szCs w:val="20"/>
        </w:rPr>
        <w:t>In Re United States</w:t>
      </w:r>
      <w:r w:rsidR="00B462EE" w:rsidRPr="00CF1F6D">
        <w:rPr>
          <w:rFonts w:cs="Times New Roman"/>
          <w:sz w:val="20"/>
          <w:szCs w:val="20"/>
        </w:rPr>
        <w:t>, 666 F.2d at 695.</w:t>
      </w:r>
    </w:p>
  </w:footnote>
  <w:footnote w:id="19">
    <w:p w14:paraId="62B9FBE5" w14:textId="237958CF" w:rsidR="00CF1F6D" w:rsidRPr="008D3DBF" w:rsidRDefault="00CF1F6D" w:rsidP="00CF1F6D">
      <w:pPr>
        <w:pStyle w:val="FootnoteText"/>
        <w:rPr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8D3DBF">
        <w:rPr>
          <w:rFonts w:cs="Times New Roman"/>
          <w:sz w:val="20"/>
          <w:szCs w:val="20"/>
        </w:rPr>
        <w:t xml:space="preserve">The Hearing Officer gratefully acknowledges the </w:t>
      </w:r>
      <w:r w:rsidR="00C10CBD">
        <w:rPr>
          <w:rFonts w:cs="Times New Roman"/>
          <w:sz w:val="20"/>
          <w:szCs w:val="20"/>
        </w:rPr>
        <w:t xml:space="preserve">research </w:t>
      </w:r>
      <w:r w:rsidRPr="008D3DBF">
        <w:rPr>
          <w:rFonts w:cs="Times New Roman"/>
          <w:sz w:val="20"/>
          <w:szCs w:val="20"/>
        </w:rPr>
        <w:t xml:space="preserve">assistance of legal intern </w:t>
      </w:r>
      <w:r>
        <w:rPr>
          <w:rFonts w:cs="Times New Roman"/>
          <w:sz w:val="20"/>
          <w:szCs w:val="20"/>
        </w:rPr>
        <w:t>Christopher Brosnahan</w:t>
      </w:r>
      <w:r w:rsidRPr="008D3DBF">
        <w:rPr>
          <w:rFonts w:cs="Times New Roman"/>
          <w:sz w:val="20"/>
          <w:szCs w:val="20"/>
        </w:rPr>
        <w:t xml:space="preserve"> in the preparation of this Ruling.</w:t>
      </w:r>
    </w:p>
    <w:p w14:paraId="1913714B" w14:textId="14017216" w:rsidR="00CF1F6D" w:rsidRDefault="00CF1F6D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33"/>
    <w:rsid w:val="00014098"/>
    <w:rsid w:val="000142B4"/>
    <w:rsid w:val="00027984"/>
    <w:rsid w:val="000453A0"/>
    <w:rsid w:val="00054CD5"/>
    <w:rsid w:val="00077473"/>
    <w:rsid w:val="000D50DA"/>
    <w:rsid w:val="000D5A82"/>
    <w:rsid w:val="000E2F5F"/>
    <w:rsid w:val="000E6FAB"/>
    <w:rsid w:val="00106572"/>
    <w:rsid w:val="00117595"/>
    <w:rsid w:val="0013247C"/>
    <w:rsid w:val="00182591"/>
    <w:rsid w:val="00186701"/>
    <w:rsid w:val="001A5733"/>
    <w:rsid w:val="001C5CF6"/>
    <w:rsid w:val="001F0E8A"/>
    <w:rsid w:val="001F73FE"/>
    <w:rsid w:val="00200A52"/>
    <w:rsid w:val="0020476B"/>
    <w:rsid w:val="00211D1F"/>
    <w:rsid w:val="0025015D"/>
    <w:rsid w:val="002841DA"/>
    <w:rsid w:val="002B0EB8"/>
    <w:rsid w:val="002C51A2"/>
    <w:rsid w:val="002C7E68"/>
    <w:rsid w:val="002E67F0"/>
    <w:rsid w:val="003043C6"/>
    <w:rsid w:val="0033666A"/>
    <w:rsid w:val="00343504"/>
    <w:rsid w:val="003604B7"/>
    <w:rsid w:val="003649D6"/>
    <w:rsid w:val="00381297"/>
    <w:rsid w:val="003820D8"/>
    <w:rsid w:val="003910C2"/>
    <w:rsid w:val="00397D26"/>
    <w:rsid w:val="003B01BA"/>
    <w:rsid w:val="003B5A9F"/>
    <w:rsid w:val="003B5DAC"/>
    <w:rsid w:val="003C2FFC"/>
    <w:rsid w:val="003C3870"/>
    <w:rsid w:val="004032BB"/>
    <w:rsid w:val="00413416"/>
    <w:rsid w:val="0043694D"/>
    <w:rsid w:val="004A5F09"/>
    <w:rsid w:val="004D3CD3"/>
    <w:rsid w:val="00517945"/>
    <w:rsid w:val="0055495B"/>
    <w:rsid w:val="00573DEA"/>
    <w:rsid w:val="005745F0"/>
    <w:rsid w:val="00575322"/>
    <w:rsid w:val="00594CF5"/>
    <w:rsid w:val="005C22A1"/>
    <w:rsid w:val="005D7C31"/>
    <w:rsid w:val="005F01C0"/>
    <w:rsid w:val="00634A75"/>
    <w:rsid w:val="00653459"/>
    <w:rsid w:val="006809C4"/>
    <w:rsid w:val="006A1EFC"/>
    <w:rsid w:val="006C4531"/>
    <w:rsid w:val="006E72BD"/>
    <w:rsid w:val="006F5DB7"/>
    <w:rsid w:val="00723987"/>
    <w:rsid w:val="00772915"/>
    <w:rsid w:val="00792F8A"/>
    <w:rsid w:val="00796D27"/>
    <w:rsid w:val="007F495B"/>
    <w:rsid w:val="008025D8"/>
    <w:rsid w:val="00810A2A"/>
    <w:rsid w:val="00825534"/>
    <w:rsid w:val="008315B7"/>
    <w:rsid w:val="00844CAB"/>
    <w:rsid w:val="00852F0A"/>
    <w:rsid w:val="00883B44"/>
    <w:rsid w:val="00897FA5"/>
    <w:rsid w:val="008C079F"/>
    <w:rsid w:val="008D3DBF"/>
    <w:rsid w:val="008D6BB3"/>
    <w:rsid w:val="008F51FD"/>
    <w:rsid w:val="00946414"/>
    <w:rsid w:val="00950EAB"/>
    <w:rsid w:val="00981987"/>
    <w:rsid w:val="00A4500D"/>
    <w:rsid w:val="00A46C6B"/>
    <w:rsid w:val="00AA0174"/>
    <w:rsid w:val="00AA65F7"/>
    <w:rsid w:val="00AD0F47"/>
    <w:rsid w:val="00B07DD8"/>
    <w:rsid w:val="00B462EE"/>
    <w:rsid w:val="00B5454E"/>
    <w:rsid w:val="00B64EAA"/>
    <w:rsid w:val="00B968D4"/>
    <w:rsid w:val="00BB3A29"/>
    <w:rsid w:val="00BB5CBA"/>
    <w:rsid w:val="00BC7E4A"/>
    <w:rsid w:val="00BF739A"/>
    <w:rsid w:val="00C0177B"/>
    <w:rsid w:val="00C10CBD"/>
    <w:rsid w:val="00C16CF9"/>
    <w:rsid w:val="00C77BF7"/>
    <w:rsid w:val="00CF1F6D"/>
    <w:rsid w:val="00CF3A4A"/>
    <w:rsid w:val="00D7595E"/>
    <w:rsid w:val="00D962F1"/>
    <w:rsid w:val="00DA7C52"/>
    <w:rsid w:val="00DD00DD"/>
    <w:rsid w:val="00DD6CCD"/>
    <w:rsid w:val="00DF7663"/>
    <w:rsid w:val="00E00CAF"/>
    <w:rsid w:val="00E2750F"/>
    <w:rsid w:val="00E35FDF"/>
    <w:rsid w:val="00E36615"/>
    <w:rsid w:val="00E658A5"/>
    <w:rsid w:val="00E818B3"/>
    <w:rsid w:val="00E851F7"/>
    <w:rsid w:val="00E94A66"/>
    <w:rsid w:val="00E956D9"/>
    <w:rsid w:val="00EB0DAA"/>
    <w:rsid w:val="00EE60D9"/>
    <w:rsid w:val="00F0194C"/>
    <w:rsid w:val="00F037CA"/>
    <w:rsid w:val="00F20ECA"/>
    <w:rsid w:val="00F4588B"/>
    <w:rsid w:val="00F8187E"/>
    <w:rsid w:val="00FB2C24"/>
    <w:rsid w:val="00FD3799"/>
    <w:rsid w:val="00FE42EC"/>
    <w:rsid w:val="00F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1641A"/>
  <w15:docId w15:val="{1ECC0E84-6D71-4C8A-BE29-6E9820E5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5733"/>
  </w:style>
  <w:style w:type="paragraph" w:styleId="FootnoteText">
    <w:name w:val="footnote text"/>
    <w:basedOn w:val="Normal"/>
    <w:link w:val="FootnoteTextChar"/>
    <w:uiPriority w:val="99"/>
    <w:unhideWhenUsed/>
    <w:rsid w:val="001A5733"/>
    <w:rPr>
      <w:rFonts w:ascii="Times New Roman" w:hAnsi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5733"/>
    <w:rPr>
      <w:rFonts w:ascii="Times New Roman" w:hAnsi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1A573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2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2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50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0DA"/>
  </w:style>
  <w:style w:type="paragraph" w:styleId="Footer">
    <w:name w:val="footer"/>
    <w:basedOn w:val="Normal"/>
    <w:link w:val="FooterChar"/>
    <w:uiPriority w:val="99"/>
    <w:unhideWhenUsed/>
    <w:rsid w:val="000D50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7A7B1-3F74-4BF0-8553-978685CA4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1140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Erlichman, Reece (ALA)</cp:lastModifiedBy>
  <cp:revision>2</cp:revision>
  <cp:lastPrinted>2022-02-28T18:11:00Z</cp:lastPrinted>
  <dcterms:created xsi:type="dcterms:W3CDTF">2022-03-01T21:49:00Z</dcterms:created>
  <dcterms:modified xsi:type="dcterms:W3CDTF">2022-03-01T21:49:00Z</dcterms:modified>
</cp:coreProperties>
</file>