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2C0" w14:textId="77777777" w:rsidR="006D5FA1" w:rsidRPr="006D5FA1" w:rsidRDefault="006D5FA1" w:rsidP="0094354B">
      <w:pPr>
        <w:jc w:val="center"/>
        <w:rPr>
          <w:b/>
          <w:sz w:val="24"/>
          <w:szCs w:val="24"/>
        </w:rPr>
      </w:pPr>
      <w:r w:rsidRPr="006D5FA1">
        <w:rPr>
          <w:b/>
          <w:sz w:val="24"/>
          <w:szCs w:val="24"/>
        </w:rPr>
        <w:t>COMMONWEALTH OF MASSACHUSETTS</w:t>
      </w:r>
    </w:p>
    <w:p w14:paraId="66121160" w14:textId="77777777" w:rsidR="006D5FA1" w:rsidRPr="006D5FA1" w:rsidRDefault="006D5FA1" w:rsidP="006D5FA1">
      <w:pPr>
        <w:jc w:val="center"/>
        <w:rPr>
          <w:b/>
          <w:sz w:val="24"/>
          <w:szCs w:val="24"/>
        </w:rPr>
      </w:pPr>
      <w:r w:rsidRPr="006D5FA1">
        <w:rPr>
          <w:b/>
          <w:sz w:val="24"/>
          <w:szCs w:val="24"/>
        </w:rPr>
        <w:t>BUREAU OF SPECIAL EDUCATION APPEALS</w:t>
      </w:r>
    </w:p>
    <w:p w14:paraId="5E317780" w14:textId="77777777" w:rsidR="006D5FA1" w:rsidRPr="006D5FA1" w:rsidRDefault="006D5FA1" w:rsidP="006D5FA1">
      <w:pPr>
        <w:jc w:val="center"/>
        <w:rPr>
          <w:b/>
          <w:sz w:val="24"/>
          <w:szCs w:val="24"/>
        </w:rPr>
      </w:pPr>
    </w:p>
    <w:p w14:paraId="529F38EA" w14:textId="77777777" w:rsidR="006C39AD" w:rsidRDefault="006C39AD" w:rsidP="006D5FA1">
      <w:pPr>
        <w:rPr>
          <w:b/>
          <w:sz w:val="24"/>
          <w:szCs w:val="24"/>
        </w:rPr>
      </w:pPr>
    </w:p>
    <w:p w14:paraId="2AC24B5C" w14:textId="060DFE7A" w:rsidR="006D5FA1" w:rsidRPr="006D5FA1" w:rsidRDefault="006D5FA1" w:rsidP="006D5FA1">
      <w:pPr>
        <w:rPr>
          <w:b/>
          <w:sz w:val="24"/>
          <w:szCs w:val="24"/>
        </w:rPr>
      </w:pPr>
      <w:r w:rsidRPr="006D5FA1">
        <w:rPr>
          <w:b/>
          <w:sz w:val="24"/>
          <w:szCs w:val="24"/>
        </w:rPr>
        <w:t>Student</w:t>
      </w:r>
      <w:r>
        <w:rPr>
          <w:b/>
          <w:sz w:val="24"/>
          <w:szCs w:val="24"/>
        </w:rPr>
        <w:t xml:space="preserve"> v. </w:t>
      </w:r>
      <w:r w:rsidR="00B71A66">
        <w:rPr>
          <w:b/>
          <w:sz w:val="24"/>
          <w:szCs w:val="24"/>
        </w:rPr>
        <w:t>Scituate</w:t>
      </w:r>
      <w:r>
        <w:rPr>
          <w:b/>
          <w:sz w:val="24"/>
          <w:szCs w:val="24"/>
        </w:rPr>
        <w:t xml:space="preserve"> Public Schools</w:t>
      </w:r>
      <w:r w:rsidRPr="006D5FA1">
        <w:rPr>
          <w:b/>
          <w:sz w:val="24"/>
          <w:szCs w:val="24"/>
        </w:rPr>
        <w:tab/>
      </w:r>
      <w:r w:rsidRPr="006D5FA1">
        <w:rPr>
          <w:b/>
          <w:sz w:val="24"/>
          <w:szCs w:val="24"/>
        </w:rPr>
        <w:tab/>
      </w:r>
      <w:r w:rsidRPr="006D5FA1">
        <w:rPr>
          <w:b/>
          <w:sz w:val="24"/>
          <w:szCs w:val="24"/>
        </w:rPr>
        <w:tab/>
      </w:r>
      <w:r w:rsidRPr="006D5FA1">
        <w:rPr>
          <w:b/>
          <w:sz w:val="24"/>
          <w:szCs w:val="24"/>
        </w:rPr>
        <w:tab/>
      </w:r>
      <w:r w:rsidR="00B71A66">
        <w:rPr>
          <w:b/>
          <w:sz w:val="24"/>
          <w:szCs w:val="24"/>
        </w:rPr>
        <w:tab/>
      </w:r>
      <w:r w:rsidR="00B71A66">
        <w:rPr>
          <w:b/>
          <w:sz w:val="24"/>
          <w:szCs w:val="24"/>
        </w:rPr>
        <w:tab/>
      </w:r>
      <w:r>
        <w:rPr>
          <w:b/>
          <w:sz w:val="24"/>
          <w:szCs w:val="24"/>
        </w:rPr>
        <w:t xml:space="preserve">BSEA # </w:t>
      </w:r>
      <w:r w:rsidR="00F6301F">
        <w:rPr>
          <w:b/>
          <w:sz w:val="24"/>
          <w:szCs w:val="24"/>
        </w:rPr>
        <w:t>22</w:t>
      </w:r>
      <w:r w:rsidR="00B71A66">
        <w:rPr>
          <w:b/>
          <w:sz w:val="24"/>
          <w:szCs w:val="24"/>
        </w:rPr>
        <w:t>12423</w:t>
      </w:r>
    </w:p>
    <w:p w14:paraId="7AD1C470" w14:textId="76F93472" w:rsidR="006D5FA1" w:rsidRDefault="006D5FA1" w:rsidP="006D5FA1">
      <w:pPr>
        <w:rPr>
          <w:sz w:val="24"/>
          <w:szCs w:val="24"/>
        </w:rPr>
      </w:pPr>
    </w:p>
    <w:p w14:paraId="5C69E97B" w14:textId="77777777" w:rsidR="009229ED" w:rsidRPr="006D5FA1" w:rsidRDefault="009229ED" w:rsidP="009229ED">
      <w:pPr>
        <w:jc w:val="center"/>
        <w:rPr>
          <w:sz w:val="24"/>
          <w:szCs w:val="24"/>
        </w:rPr>
      </w:pPr>
    </w:p>
    <w:p w14:paraId="662F09FE" w14:textId="6A5DB0A7" w:rsidR="009229ED" w:rsidRPr="007B6DAD" w:rsidRDefault="006C626F" w:rsidP="009229ED">
      <w:pPr>
        <w:jc w:val="center"/>
        <w:rPr>
          <w:b/>
          <w:bCs/>
          <w:sz w:val="24"/>
          <w:szCs w:val="24"/>
        </w:rPr>
      </w:pPr>
      <w:r w:rsidRPr="007B6DAD">
        <w:rPr>
          <w:b/>
          <w:bCs/>
          <w:sz w:val="24"/>
          <w:szCs w:val="24"/>
        </w:rPr>
        <w:t xml:space="preserve">RULING ON </w:t>
      </w:r>
      <w:r w:rsidR="00B71A66">
        <w:rPr>
          <w:b/>
          <w:bCs/>
          <w:sz w:val="24"/>
          <w:szCs w:val="24"/>
        </w:rPr>
        <w:t>SCITUATE</w:t>
      </w:r>
      <w:r w:rsidR="00D36AA0">
        <w:rPr>
          <w:b/>
          <w:bCs/>
          <w:sz w:val="24"/>
          <w:szCs w:val="24"/>
        </w:rPr>
        <w:t xml:space="preserve"> PUBLIC SCHOOLS</w:t>
      </w:r>
      <w:r w:rsidR="00A9409D">
        <w:rPr>
          <w:b/>
          <w:bCs/>
          <w:sz w:val="24"/>
          <w:szCs w:val="24"/>
        </w:rPr>
        <w:t>’</w:t>
      </w:r>
      <w:r w:rsidR="00F6301F" w:rsidRPr="007B6DAD">
        <w:rPr>
          <w:b/>
          <w:bCs/>
          <w:sz w:val="24"/>
          <w:szCs w:val="24"/>
        </w:rPr>
        <w:t xml:space="preserve"> </w:t>
      </w:r>
      <w:r w:rsidRPr="007B6DAD">
        <w:rPr>
          <w:b/>
          <w:bCs/>
          <w:sz w:val="24"/>
          <w:szCs w:val="24"/>
        </w:rPr>
        <w:t>MOTION</w:t>
      </w:r>
      <w:r w:rsidR="000377FE" w:rsidRPr="007B6DAD">
        <w:rPr>
          <w:b/>
          <w:bCs/>
          <w:sz w:val="24"/>
          <w:szCs w:val="24"/>
        </w:rPr>
        <w:t xml:space="preserve"> TO</w:t>
      </w:r>
      <w:r w:rsidRPr="007B6DAD">
        <w:rPr>
          <w:b/>
          <w:bCs/>
          <w:sz w:val="24"/>
          <w:szCs w:val="24"/>
        </w:rPr>
        <w:t xml:space="preserve"> DIS</w:t>
      </w:r>
      <w:r w:rsidR="000377FE" w:rsidRPr="007B6DAD">
        <w:rPr>
          <w:b/>
          <w:bCs/>
          <w:sz w:val="24"/>
          <w:szCs w:val="24"/>
        </w:rPr>
        <w:t>MIS</w:t>
      </w:r>
      <w:r w:rsidRPr="007B6DAD">
        <w:rPr>
          <w:b/>
          <w:bCs/>
          <w:sz w:val="24"/>
          <w:szCs w:val="24"/>
        </w:rPr>
        <w:t>S</w:t>
      </w:r>
    </w:p>
    <w:p w14:paraId="49214633" w14:textId="77777777" w:rsidR="006C39AD" w:rsidRPr="006D5FA1" w:rsidRDefault="006C39AD" w:rsidP="009229ED">
      <w:pPr>
        <w:rPr>
          <w:sz w:val="24"/>
          <w:szCs w:val="24"/>
        </w:rPr>
      </w:pPr>
    </w:p>
    <w:p w14:paraId="3B88278A" w14:textId="77777777" w:rsidR="001945AA" w:rsidRPr="00B91315" w:rsidRDefault="001945AA" w:rsidP="001945AA">
      <w:pPr>
        <w:jc w:val="center"/>
        <w:rPr>
          <w:i/>
          <w:iCs/>
          <w:sz w:val="24"/>
          <w:szCs w:val="24"/>
        </w:rPr>
      </w:pPr>
      <w:r w:rsidRPr="00B91315">
        <w:rPr>
          <w:i/>
          <w:iCs/>
          <w:sz w:val="24"/>
          <w:szCs w:val="24"/>
        </w:rPr>
        <w:t>PROCEDURAL HISTORY</w:t>
      </w:r>
    </w:p>
    <w:p w14:paraId="71619C44" w14:textId="77777777" w:rsidR="001945AA" w:rsidRPr="006D5FA1" w:rsidRDefault="001945AA" w:rsidP="001945AA">
      <w:pPr>
        <w:jc w:val="center"/>
        <w:rPr>
          <w:sz w:val="24"/>
          <w:szCs w:val="24"/>
        </w:rPr>
      </w:pPr>
    </w:p>
    <w:p w14:paraId="48B4D350" w14:textId="3B89DD50" w:rsidR="001945AA" w:rsidRDefault="001945AA" w:rsidP="001945AA">
      <w:pPr>
        <w:rPr>
          <w:sz w:val="24"/>
          <w:szCs w:val="24"/>
        </w:rPr>
      </w:pPr>
      <w:r w:rsidRPr="006D5FA1">
        <w:rPr>
          <w:sz w:val="24"/>
          <w:szCs w:val="24"/>
        </w:rPr>
        <w:t xml:space="preserve">Parent filed a </w:t>
      </w:r>
      <w:r w:rsidR="00D85169">
        <w:rPr>
          <w:sz w:val="24"/>
          <w:szCs w:val="24"/>
        </w:rPr>
        <w:t>R</w:t>
      </w:r>
      <w:r w:rsidRPr="006D5FA1">
        <w:rPr>
          <w:sz w:val="24"/>
          <w:szCs w:val="24"/>
        </w:rPr>
        <w:t xml:space="preserve">equest for </w:t>
      </w:r>
      <w:r w:rsidR="00D85169">
        <w:rPr>
          <w:sz w:val="24"/>
          <w:szCs w:val="24"/>
        </w:rPr>
        <w:t>H</w:t>
      </w:r>
      <w:r w:rsidR="00F428E2" w:rsidRPr="006D5FA1">
        <w:rPr>
          <w:sz w:val="24"/>
          <w:szCs w:val="24"/>
        </w:rPr>
        <w:t xml:space="preserve">earing on </w:t>
      </w:r>
      <w:r w:rsidR="00DF5484">
        <w:rPr>
          <w:sz w:val="24"/>
          <w:szCs w:val="24"/>
        </w:rPr>
        <w:t>June 23, 2022</w:t>
      </w:r>
      <w:r w:rsidR="00F428E2" w:rsidRPr="006D5FA1">
        <w:rPr>
          <w:sz w:val="24"/>
          <w:szCs w:val="24"/>
        </w:rPr>
        <w:t>,</w:t>
      </w:r>
      <w:r w:rsidR="00DF5484">
        <w:rPr>
          <w:sz w:val="24"/>
          <w:szCs w:val="24"/>
        </w:rPr>
        <w:t xml:space="preserve"> with respect to Student and two of his siblings.  </w:t>
      </w:r>
      <w:r w:rsidR="00F428E2" w:rsidRPr="006D5FA1">
        <w:rPr>
          <w:sz w:val="24"/>
          <w:szCs w:val="24"/>
        </w:rPr>
        <w:t xml:space="preserve"> </w:t>
      </w:r>
      <w:r w:rsidR="00D85169">
        <w:rPr>
          <w:sz w:val="24"/>
          <w:szCs w:val="24"/>
        </w:rPr>
        <w:t xml:space="preserve">It was unclear which claims pertained to Student and which claims pertained to Student’s siblings.  </w:t>
      </w:r>
      <w:r w:rsidR="00253D89">
        <w:rPr>
          <w:sz w:val="24"/>
          <w:szCs w:val="24"/>
        </w:rPr>
        <w:t xml:space="preserve">The </w:t>
      </w:r>
      <w:r w:rsidR="00872CCF">
        <w:rPr>
          <w:sz w:val="24"/>
          <w:szCs w:val="24"/>
        </w:rPr>
        <w:t>S</w:t>
      </w:r>
      <w:r w:rsidR="00253D89">
        <w:rPr>
          <w:sz w:val="24"/>
          <w:szCs w:val="24"/>
        </w:rPr>
        <w:t>tatement of Issues included the following:  “Misappropriation of funds;  to identify children for special education; fundamental corruption of both state and local governments; inappropriate communication; civil and human rights violations; physical and cyber stalking; batter</w:t>
      </w:r>
      <w:r w:rsidR="004B5569">
        <w:rPr>
          <w:sz w:val="24"/>
          <w:szCs w:val="24"/>
        </w:rPr>
        <w:t>y</w:t>
      </w:r>
      <w:r w:rsidR="00253D89">
        <w:rPr>
          <w:sz w:val="24"/>
          <w:szCs w:val="24"/>
        </w:rPr>
        <w:t xml:space="preserve">/assault at SPS; property destruction/vandalism; home intrusions.”  </w:t>
      </w:r>
      <w:r w:rsidR="00D85169">
        <w:rPr>
          <w:sz w:val="24"/>
          <w:szCs w:val="24"/>
        </w:rPr>
        <w:t xml:space="preserve"> </w:t>
      </w:r>
      <w:r w:rsidR="00253D89">
        <w:rPr>
          <w:sz w:val="24"/>
          <w:szCs w:val="24"/>
        </w:rPr>
        <w:t xml:space="preserve">The relief sought by Parent included:  secondary and post-secondary schools of choice; family homes with security; 2023 vehicles of choice; significant monetary damages; phones, computers and other devices with security and a direct contact who is reliable and will advocate for continued family support.  </w:t>
      </w:r>
      <w:r w:rsidR="004475A1">
        <w:rPr>
          <w:sz w:val="24"/>
          <w:szCs w:val="24"/>
        </w:rPr>
        <w:t>Scituate</w:t>
      </w:r>
      <w:r w:rsidR="00D36AA0">
        <w:rPr>
          <w:sz w:val="24"/>
          <w:szCs w:val="24"/>
        </w:rPr>
        <w:t xml:space="preserve"> Public Schools (Scituate)</w:t>
      </w:r>
      <w:r w:rsidR="004475A1">
        <w:rPr>
          <w:sz w:val="24"/>
          <w:szCs w:val="24"/>
        </w:rPr>
        <w:t xml:space="preserve"> filed a Motion to Dismiss on June 30, 2022.  Parent did not provide a response by the July 7, 2022 due date and the Hearing Officer emailed the Parties and offered to provide Parent with an extension to respond until July 15, as she was not represented by counsel.  During </w:t>
      </w:r>
      <w:r w:rsidR="004B5569">
        <w:rPr>
          <w:sz w:val="24"/>
          <w:szCs w:val="24"/>
        </w:rPr>
        <w:t xml:space="preserve">the </w:t>
      </w:r>
      <w:r w:rsidR="004475A1">
        <w:rPr>
          <w:sz w:val="24"/>
          <w:szCs w:val="24"/>
        </w:rPr>
        <w:t>July 15, 2022</w:t>
      </w:r>
      <w:r w:rsidR="004B5569">
        <w:rPr>
          <w:sz w:val="24"/>
          <w:szCs w:val="24"/>
        </w:rPr>
        <w:t xml:space="preserve"> </w:t>
      </w:r>
      <w:r w:rsidR="004475A1">
        <w:rPr>
          <w:sz w:val="24"/>
          <w:szCs w:val="24"/>
        </w:rPr>
        <w:t>conference call</w:t>
      </w:r>
      <w:r w:rsidR="00D36AA0">
        <w:rPr>
          <w:sz w:val="24"/>
          <w:szCs w:val="24"/>
        </w:rPr>
        <w:t>,</w:t>
      </w:r>
      <w:r w:rsidR="004475A1">
        <w:rPr>
          <w:sz w:val="24"/>
          <w:szCs w:val="24"/>
        </w:rPr>
        <w:t xml:space="preserve"> Parent requested a further extension and the Hearing Officer allowed Parent’s request to mail her response by July 19.  Parent’s Opposition to Scituate’s Motion to Dismiss was received</w:t>
      </w:r>
      <w:r w:rsidR="00D36AA0">
        <w:rPr>
          <w:sz w:val="24"/>
          <w:szCs w:val="24"/>
        </w:rPr>
        <w:t xml:space="preserve"> by</w:t>
      </w:r>
      <w:r w:rsidR="004B5569">
        <w:rPr>
          <w:sz w:val="24"/>
          <w:szCs w:val="24"/>
        </w:rPr>
        <w:t xml:space="preserve"> </w:t>
      </w:r>
      <w:r w:rsidR="004475A1">
        <w:rPr>
          <w:sz w:val="24"/>
          <w:szCs w:val="24"/>
        </w:rPr>
        <w:t xml:space="preserve">the BSEA on July 22, 2022.   </w:t>
      </w:r>
    </w:p>
    <w:p w14:paraId="253DA909" w14:textId="77777777" w:rsidR="00861F43" w:rsidRPr="006D5FA1" w:rsidRDefault="00861F43" w:rsidP="001945AA">
      <w:pPr>
        <w:rPr>
          <w:sz w:val="24"/>
          <w:szCs w:val="24"/>
        </w:rPr>
      </w:pPr>
    </w:p>
    <w:p w14:paraId="5C1B9295" w14:textId="7A36F9F6" w:rsidR="001945AA" w:rsidRPr="00B91315" w:rsidRDefault="00980249" w:rsidP="00171EA0">
      <w:pPr>
        <w:jc w:val="center"/>
        <w:rPr>
          <w:i/>
          <w:iCs/>
          <w:sz w:val="24"/>
          <w:szCs w:val="24"/>
        </w:rPr>
      </w:pPr>
      <w:r>
        <w:rPr>
          <w:i/>
          <w:iCs/>
          <w:sz w:val="24"/>
          <w:szCs w:val="24"/>
        </w:rPr>
        <w:t>SCITUATE</w:t>
      </w:r>
      <w:r w:rsidR="00171EA0" w:rsidRPr="00B91315">
        <w:rPr>
          <w:i/>
          <w:iCs/>
          <w:sz w:val="24"/>
          <w:szCs w:val="24"/>
        </w:rPr>
        <w:t>’</w:t>
      </w:r>
      <w:r w:rsidR="000377FE" w:rsidRPr="00B91315">
        <w:rPr>
          <w:i/>
          <w:iCs/>
          <w:sz w:val="24"/>
          <w:szCs w:val="24"/>
        </w:rPr>
        <w:t>S</w:t>
      </w:r>
      <w:r w:rsidR="00171EA0" w:rsidRPr="00B91315">
        <w:rPr>
          <w:i/>
          <w:iCs/>
          <w:sz w:val="24"/>
          <w:szCs w:val="24"/>
        </w:rPr>
        <w:t xml:space="preserve"> POSITION</w:t>
      </w:r>
    </w:p>
    <w:p w14:paraId="28D334E6" w14:textId="77777777" w:rsidR="0013400B" w:rsidRDefault="0013400B" w:rsidP="00171EA0">
      <w:pPr>
        <w:jc w:val="center"/>
        <w:rPr>
          <w:sz w:val="24"/>
          <w:szCs w:val="24"/>
        </w:rPr>
      </w:pPr>
    </w:p>
    <w:p w14:paraId="2B55F28C" w14:textId="210CA4B9" w:rsidR="00C4633C" w:rsidRPr="006D5FA1" w:rsidRDefault="0079625F" w:rsidP="00392C8D">
      <w:pPr>
        <w:rPr>
          <w:sz w:val="24"/>
          <w:szCs w:val="24"/>
        </w:rPr>
      </w:pPr>
      <w:r>
        <w:rPr>
          <w:sz w:val="24"/>
          <w:szCs w:val="24"/>
        </w:rPr>
        <w:t>Scituate</w:t>
      </w:r>
      <w:r w:rsidR="00C4633C">
        <w:rPr>
          <w:sz w:val="24"/>
          <w:szCs w:val="24"/>
        </w:rPr>
        <w:t xml:space="preserve"> argues that the BSEA does not have jurisdiction to decide </w:t>
      </w:r>
      <w:r>
        <w:rPr>
          <w:sz w:val="24"/>
          <w:szCs w:val="24"/>
        </w:rPr>
        <w:t>many of Parent’s claims.  It notes that many of Parent’s claims relate to non-special education related matters such as criminal and private civil matters that Parent might raise on her own behalf</w:t>
      </w:r>
      <w:r w:rsidR="00D36AA0">
        <w:rPr>
          <w:sz w:val="24"/>
          <w:szCs w:val="24"/>
        </w:rPr>
        <w:t xml:space="preserve"> in another forum</w:t>
      </w:r>
      <w:r>
        <w:rPr>
          <w:sz w:val="24"/>
          <w:szCs w:val="24"/>
        </w:rPr>
        <w:t>.  It further notes that Parent has failed to state a claim on which relief can be granted because the BSEA is not authorized to award the relief that Parent</w:t>
      </w:r>
      <w:r w:rsidR="003816E4">
        <w:rPr>
          <w:sz w:val="24"/>
          <w:szCs w:val="24"/>
        </w:rPr>
        <w:t xml:space="preserve"> s</w:t>
      </w:r>
      <w:r w:rsidR="00D36AA0">
        <w:rPr>
          <w:sz w:val="24"/>
          <w:szCs w:val="24"/>
        </w:rPr>
        <w:t>eeks.</w:t>
      </w:r>
      <w:r w:rsidR="003816E4">
        <w:rPr>
          <w:sz w:val="24"/>
          <w:szCs w:val="24"/>
        </w:rPr>
        <w:t xml:space="preserve">  Finally, it argues that any remaining FAPE claims are well beyond the statute of limitations allowed under the IDEA.  Thus, it argues, Parent’s claims must be dismissed in their entirety as a matter of law.</w:t>
      </w:r>
    </w:p>
    <w:p w14:paraId="60363B21" w14:textId="38628766" w:rsidR="00171EA0" w:rsidRPr="006D5FA1" w:rsidRDefault="00171EA0" w:rsidP="00171EA0">
      <w:pPr>
        <w:jc w:val="center"/>
        <w:rPr>
          <w:sz w:val="24"/>
          <w:szCs w:val="24"/>
        </w:rPr>
      </w:pPr>
    </w:p>
    <w:p w14:paraId="1B874A0A" w14:textId="77777777" w:rsidR="00171EA0" w:rsidRPr="00B91315" w:rsidRDefault="000377FE" w:rsidP="00171EA0">
      <w:pPr>
        <w:jc w:val="center"/>
        <w:rPr>
          <w:i/>
          <w:iCs/>
          <w:sz w:val="24"/>
          <w:szCs w:val="24"/>
        </w:rPr>
      </w:pPr>
      <w:r w:rsidRPr="00B91315">
        <w:rPr>
          <w:i/>
          <w:iCs/>
          <w:sz w:val="24"/>
          <w:szCs w:val="24"/>
        </w:rPr>
        <w:t xml:space="preserve">PARENTS’ </w:t>
      </w:r>
      <w:r w:rsidR="00171EA0" w:rsidRPr="00B91315">
        <w:rPr>
          <w:i/>
          <w:iCs/>
          <w:sz w:val="24"/>
          <w:szCs w:val="24"/>
        </w:rPr>
        <w:t>POSITION</w:t>
      </w:r>
    </w:p>
    <w:p w14:paraId="30302E70" w14:textId="77777777" w:rsidR="001945AA" w:rsidRPr="006D5FA1" w:rsidRDefault="001945AA" w:rsidP="001945AA">
      <w:pPr>
        <w:rPr>
          <w:sz w:val="24"/>
          <w:szCs w:val="24"/>
        </w:rPr>
      </w:pPr>
    </w:p>
    <w:p w14:paraId="43723922" w14:textId="131A4678" w:rsidR="001039FB" w:rsidRDefault="0065060A" w:rsidP="001945AA">
      <w:pPr>
        <w:rPr>
          <w:sz w:val="24"/>
          <w:szCs w:val="24"/>
        </w:rPr>
      </w:pPr>
      <w:r>
        <w:rPr>
          <w:sz w:val="24"/>
          <w:szCs w:val="24"/>
        </w:rPr>
        <w:t xml:space="preserve">Parent </w:t>
      </w:r>
      <w:r w:rsidR="0079625F">
        <w:rPr>
          <w:sz w:val="24"/>
          <w:szCs w:val="24"/>
        </w:rPr>
        <w:t>argues</w:t>
      </w:r>
      <w:r>
        <w:rPr>
          <w:sz w:val="24"/>
          <w:szCs w:val="24"/>
        </w:rPr>
        <w:t xml:space="preserve"> that </w:t>
      </w:r>
      <w:r w:rsidR="003816E4">
        <w:rPr>
          <w:sz w:val="24"/>
          <w:szCs w:val="24"/>
        </w:rPr>
        <w:t xml:space="preserve">the BSEA has jurisdiction over her claims regarding Scituate’s refusal to identify and evaluate Student for special education.  She notes that Parent identified a reading learning disability in 2008 and requested support from </w:t>
      </w:r>
      <w:r w:rsidR="003231CB">
        <w:rPr>
          <w:sz w:val="24"/>
          <w:szCs w:val="24"/>
        </w:rPr>
        <w:t>S</w:t>
      </w:r>
      <w:r w:rsidR="003816E4">
        <w:rPr>
          <w:sz w:val="24"/>
          <w:szCs w:val="24"/>
        </w:rPr>
        <w:t xml:space="preserve">tudent’s teacher.  She states that Student began receiving services from a reading specialist.  She further argues that the BSEA has jurisdiction over her claims regarding inappropriate communication and </w:t>
      </w:r>
      <w:r w:rsidR="00C3046D">
        <w:rPr>
          <w:sz w:val="24"/>
          <w:szCs w:val="24"/>
        </w:rPr>
        <w:t>civil</w:t>
      </w:r>
      <w:r w:rsidR="003816E4">
        <w:rPr>
          <w:sz w:val="24"/>
          <w:szCs w:val="24"/>
        </w:rPr>
        <w:t xml:space="preserve"> and human rights violations</w:t>
      </w:r>
      <w:r w:rsidR="003111C9">
        <w:rPr>
          <w:sz w:val="24"/>
          <w:szCs w:val="24"/>
        </w:rPr>
        <w:t xml:space="preserve">, including Scituate Police Department stalking Student in 2014 </w:t>
      </w:r>
      <w:r w:rsidR="003231CB">
        <w:rPr>
          <w:sz w:val="24"/>
          <w:szCs w:val="24"/>
        </w:rPr>
        <w:t xml:space="preserve">in coordination </w:t>
      </w:r>
      <w:r w:rsidR="003111C9">
        <w:rPr>
          <w:sz w:val="24"/>
          <w:szCs w:val="24"/>
        </w:rPr>
        <w:t xml:space="preserve">with </w:t>
      </w:r>
      <w:r w:rsidR="003111C9">
        <w:rPr>
          <w:sz w:val="24"/>
          <w:szCs w:val="24"/>
        </w:rPr>
        <w:lastRenderedPageBreak/>
        <w:t>Scituate Public Schools’.  She further states that BSEA has jurisdiction over her claims regarding</w:t>
      </w:r>
      <w:r w:rsidR="00C3046D">
        <w:rPr>
          <w:sz w:val="24"/>
          <w:szCs w:val="24"/>
        </w:rPr>
        <w:t xml:space="preserve"> </w:t>
      </w:r>
      <w:r w:rsidR="003231CB">
        <w:rPr>
          <w:sz w:val="24"/>
          <w:szCs w:val="24"/>
        </w:rPr>
        <w:t xml:space="preserve">a </w:t>
      </w:r>
      <w:r w:rsidR="003111C9">
        <w:rPr>
          <w:sz w:val="24"/>
          <w:szCs w:val="24"/>
        </w:rPr>
        <w:t xml:space="preserve">2015 assault and battery inflicted by another </w:t>
      </w:r>
      <w:r w:rsidR="003231CB">
        <w:rPr>
          <w:sz w:val="24"/>
          <w:szCs w:val="24"/>
        </w:rPr>
        <w:t>s</w:t>
      </w:r>
      <w:r w:rsidR="003111C9">
        <w:rPr>
          <w:sz w:val="24"/>
          <w:szCs w:val="24"/>
        </w:rPr>
        <w:t>tudent on “sibling</w:t>
      </w:r>
      <w:r w:rsidR="003231CB">
        <w:rPr>
          <w:sz w:val="24"/>
          <w:szCs w:val="24"/>
        </w:rPr>
        <w:t>,</w:t>
      </w:r>
      <w:r w:rsidR="003111C9">
        <w:rPr>
          <w:sz w:val="24"/>
          <w:szCs w:val="24"/>
        </w:rPr>
        <w:t xml:space="preserve">”  </w:t>
      </w:r>
      <w:r w:rsidR="003231CB">
        <w:rPr>
          <w:sz w:val="24"/>
          <w:szCs w:val="24"/>
        </w:rPr>
        <w:t xml:space="preserve">and that </w:t>
      </w:r>
      <w:r w:rsidR="003111C9">
        <w:rPr>
          <w:sz w:val="24"/>
          <w:szCs w:val="24"/>
        </w:rPr>
        <w:t xml:space="preserve"> that the BSEA has jurisdiction over her claims pertaining to a January 2016 incident involving civil and human rights violations of the entire family coordinated by Scituate and physical and cyber stalking of Student’s entire family.  Parent further </w:t>
      </w:r>
      <w:r w:rsidR="00F5760F">
        <w:rPr>
          <w:sz w:val="24"/>
          <w:szCs w:val="24"/>
        </w:rPr>
        <w:t>argues</w:t>
      </w:r>
      <w:r w:rsidR="003111C9">
        <w:rPr>
          <w:sz w:val="24"/>
          <w:szCs w:val="24"/>
        </w:rPr>
        <w:t xml:space="preserve"> that the removal of Scituate’s current Special Education Director is necessary.</w:t>
      </w:r>
    </w:p>
    <w:p w14:paraId="3FA726CD" w14:textId="47BE2DF9" w:rsidR="007D6BFD" w:rsidRDefault="007D6BFD" w:rsidP="007D6BFD">
      <w:pPr>
        <w:jc w:val="center"/>
        <w:rPr>
          <w:sz w:val="24"/>
          <w:szCs w:val="24"/>
        </w:rPr>
      </w:pPr>
    </w:p>
    <w:p w14:paraId="65F6731C" w14:textId="3AAAE837" w:rsidR="00F5760F" w:rsidRDefault="00F5760F" w:rsidP="007D6BFD">
      <w:pPr>
        <w:jc w:val="center"/>
        <w:rPr>
          <w:sz w:val="24"/>
          <w:szCs w:val="24"/>
        </w:rPr>
      </w:pPr>
    </w:p>
    <w:p w14:paraId="4FD76ADE" w14:textId="78B2BDE9" w:rsidR="00B72B5B" w:rsidRPr="00502F4E" w:rsidRDefault="00F5760F" w:rsidP="00B72B5B">
      <w:pPr>
        <w:jc w:val="center"/>
      </w:pPr>
      <w:r w:rsidRPr="00F5760F">
        <w:rPr>
          <w:i/>
          <w:iCs/>
          <w:sz w:val="24"/>
          <w:szCs w:val="24"/>
        </w:rPr>
        <w:t>FACTS</w:t>
      </w:r>
      <w:r w:rsidR="00B72B5B">
        <w:rPr>
          <w:rStyle w:val="FootnoteReference"/>
          <w:i/>
          <w:iCs/>
          <w:sz w:val="24"/>
          <w:szCs w:val="24"/>
        </w:rPr>
        <w:footnoteReference w:id="1"/>
      </w:r>
    </w:p>
    <w:p w14:paraId="499B672A" w14:textId="162BB372" w:rsidR="00F5760F" w:rsidRDefault="00F5760F" w:rsidP="00F5760F">
      <w:pPr>
        <w:jc w:val="center"/>
        <w:rPr>
          <w:i/>
          <w:iCs/>
          <w:sz w:val="24"/>
          <w:szCs w:val="24"/>
        </w:rPr>
      </w:pPr>
    </w:p>
    <w:p w14:paraId="04BFF0A3" w14:textId="6D264E54" w:rsidR="00E43CDD" w:rsidRPr="00E43CDD" w:rsidRDefault="00582C52" w:rsidP="00E43CDD">
      <w:pPr>
        <w:rPr>
          <w:sz w:val="24"/>
          <w:szCs w:val="24"/>
        </w:rPr>
      </w:pPr>
      <w:r>
        <w:rPr>
          <w:sz w:val="24"/>
          <w:szCs w:val="24"/>
        </w:rPr>
        <w:t xml:space="preserve">In 2008 Parent identified a reading learning disability and requested support from </w:t>
      </w:r>
      <w:r w:rsidR="00333753">
        <w:rPr>
          <w:sz w:val="24"/>
          <w:szCs w:val="24"/>
        </w:rPr>
        <w:t>Student’s</w:t>
      </w:r>
      <w:r>
        <w:rPr>
          <w:sz w:val="24"/>
          <w:szCs w:val="24"/>
        </w:rPr>
        <w:t xml:space="preserve"> teacher.  Student began receiving services from a reading specialist.  </w:t>
      </w:r>
      <w:r w:rsidR="00E43CDD">
        <w:rPr>
          <w:sz w:val="24"/>
          <w:szCs w:val="24"/>
        </w:rPr>
        <w:t>Student</w:t>
      </w:r>
      <w:r w:rsidR="000D1BBE">
        <w:rPr>
          <w:sz w:val="24"/>
          <w:szCs w:val="24"/>
        </w:rPr>
        <w:t xml:space="preserve"> attended the Scituate Public Schools until May 31, 2019, at which point he had met </w:t>
      </w:r>
      <w:proofErr w:type="gramStart"/>
      <w:r w:rsidR="000D1BBE">
        <w:rPr>
          <w:sz w:val="24"/>
          <w:szCs w:val="24"/>
        </w:rPr>
        <w:t xml:space="preserve">all </w:t>
      </w:r>
      <w:r>
        <w:rPr>
          <w:sz w:val="24"/>
          <w:szCs w:val="24"/>
        </w:rPr>
        <w:t>of</w:t>
      </w:r>
      <w:proofErr w:type="gramEnd"/>
      <w:r w:rsidR="000D1BBE">
        <w:rPr>
          <w:sz w:val="24"/>
          <w:szCs w:val="24"/>
        </w:rPr>
        <w:t xml:space="preserve"> the </w:t>
      </w:r>
      <w:r>
        <w:rPr>
          <w:sz w:val="24"/>
          <w:szCs w:val="24"/>
        </w:rPr>
        <w:t>state</w:t>
      </w:r>
      <w:r w:rsidR="000D1BBE">
        <w:rPr>
          <w:sz w:val="24"/>
          <w:szCs w:val="24"/>
        </w:rPr>
        <w:t xml:space="preserve"> and local requirements for graduation and graduated with his high school diploma.  While a </w:t>
      </w:r>
      <w:r w:rsidR="003231CB">
        <w:rPr>
          <w:sz w:val="24"/>
          <w:szCs w:val="24"/>
        </w:rPr>
        <w:t>s</w:t>
      </w:r>
      <w:r w:rsidR="000D1BBE">
        <w:rPr>
          <w:sz w:val="24"/>
          <w:szCs w:val="24"/>
        </w:rPr>
        <w:t xml:space="preserve">tudent at Scituate, Student was never referred for a special education evaluation or evaluated or found eligible under section 504 as a student with a disability.  </w:t>
      </w:r>
      <w:r w:rsidR="00333753">
        <w:rPr>
          <w:sz w:val="24"/>
          <w:szCs w:val="24"/>
        </w:rPr>
        <w:t xml:space="preserve">Most of the classes taken by Student in high school were Honors, College Prep, or Advanced Placement level classes.  </w:t>
      </w:r>
      <w:r w:rsidR="000D1BBE">
        <w:rPr>
          <w:sz w:val="24"/>
          <w:szCs w:val="24"/>
        </w:rPr>
        <w:t xml:space="preserve">Student graduated with a grade point average of 4.17.  </w:t>
      </w:r>
    </w:p>
    <w:p w14:paraId="687169AE" w14:textId="77777777" w:rsidR="001945AA" w:rsidRPr="00B91315" w:rsidRDefault="001945AA" w:rsidP="000377FE">
      <w:pPr>
        <w:jc w:val="center"/>
        <w:rPr>
          <w:i/>
          <w:iCs/>
          <w:sz w:val="24"/>
          <w:szCs w:val="24"/>
        </w:rPr>
      </w:pPr>
      <w:r w:rsidRPr="00B91315">
        <w:rPr>
          <w:i/>
          <w:iCs/>
          <w:sz w:val="24"/>
          <w:szCs w:val="24"/>
        </w:rPr>
        <w:t>LEGAL STANDARD</w:t>
      </w:r>
    </w:p>
    <w:p w14:paraId="61F02947" w14:textId="77777777" w:rsidR="00F82291" w:rsidRDefault="00F82291" w:rsidP="000377FE">
      <w:pPr>
        <w:jc w:val="center"/>
        <w:rPr>
          <w:sz w:val="24"/>
          <w:szCs w:val="24"/>
        </w:rPr>
      </w:pPr>
    </w:p>
    <w:p w14:paraId="556C664D" w14:textId="77777777" w:rsidR="00606204" w:rsidRPr="00F82291" w:rsidRDefault="00EB325C" w:rsidP="00EB325C">
      <w:pPr>
        <w:rPr>
          <w:sz w:val="24"/>
          <w:szCs w:val="24"/>
        </w:rPr>
      </w:pPr>
      <w:r w:rsidRPr="00F82291">
        <w:rPr>
          <w:sz w:val="24"/>
          <w:szCs w:val="24"/>
        </w:rPr>
        <w:t xml:space="preserve">Under the </w:t>
      </w:r>
      <w:r w:rsidRPr="00F82291">
        <w:rPr>
          <w:i/>
          <w:iCs/>
          <w:sz w:val="24"/>
          <w:szCs w:val="24"/>
        </w:rPr>
        <w:t>Standard Adjudicatory Rules of Practice and Procedure</w:t>
      </w:r>
      <w:r w:rsidRPr="00F82291">
        <w:rPr>
          <w:sz w:val="24"/>
          <w:szCs w:val="24"/>
        </w:rPr>
        <w:t xml:space="preserve">, 801 CMR 1.01(7)(g)(3) and Rule 17B of the BSEA </w:t>
      </w:r>
      <w:r w:rsidRPr="00F82291">
        <w:rPr>
          <w:i/>
          <w:iCs/>
          <w:sz w:val="24"/>
          <w:szCs w:val="24"/>
        </w:rPr>
        <w:t>Hearing Rules for Special Education Appeals</w:t>
      </w:r>
      <w:r w:rsidRPr="00F82291">
        <w:rPr>
          <w:sz w:val="24"/>
          <w:szCs w:val="24"/>
        </w:rPr>
        <w:t>, a BSEA hearing officer may allow a motion to dismiss if the party requesting the appeal fails to state a claim on which relief can be granted.  Since this rule is analogous to Rule 12(b)(6) of the Federal and Massachusetts Rules of Civil Procedure, BSEA hearing officers have generally used the same standards as the courts in deciding motions to dismiss for failure to state a claim.</w:t>
      </w:r>
      <w:r w:rsidRPr="00F82291">
        <w:rPr>
          <w:rStyle w:val="FootnoteReference"/>
          <w:rFonts w:eastAsiaTheme="majorEastAsia"/>
          <w:sz w:val="24"/>
          <w:szCs w:val="24"/>
        </w:rPr>
        <w:footnoteReference w:id="2"/>
      </w:r>
      <w:r w:rsidRPr="00F82291">
        <w:rPr>
          <w:sz w:val="24"/>
          <w:szCs w:val="24"/>
        </w:rPr>
        <w:t xml:space="preserve"> Specifically, a motion to dismiss should be granted only if the party filing the appeal can prove no set of facts in support of his or her claim that would entitle him or her to relief that the BSEA has authority to order.  That is, a hearing officer may dismiss a case if he or she cannot grant relief under either the federal or state special education statutes or the relevant portions of Section 504 of the Rehabilitation Act, after considering as true all allegations made by the party opposing dismissal and drawing all reasonable inferences in his/her favor. See </w:t>
      </w:r>
      <w:proofErr w:type="spellStart"/>
      <w:r w:rsidRPr="00F82291">
        <w:rPr>
          <w:i/>
          <w:sz w:val="24"/>
          <w:szCs w:val="24"/>
        </w:rPr>
        <w:t>Caleron</w:t>
      </w:r>
      <w:proofErr w:type="spellEnd"/>
      <w:r w:rsidRPr="00F82291">
        <w:rPr>
          <w:i/>
          <w:sz w:val="24"/>
          <w:szCs w:val="24"/>
        </w:rPr>
        <w:t>-</w:t>
      </w:r>
      <w:r w:rsidRPr="00F82291">
        <w:rPr>
          <w:sz w:val="24"/>
          <w:szCs w:val="24"/>
        </w:rPr>
        <w:t xml:space="preserve">Ortiz v. </w:t>
      </w:r>
      <w:proofErr w:type="spellStart"/>
      <w:r w:rsidRPr="001F696C">
        <w:rPr>
          <w:i/>
          <w:sz w:val="24"/>
          <w:szCs w:val="24"/>
        </w:rPr>
        <w:t>LaBoy-Alverado</w:t>
      </w:r>
      <w:proofErr w:type="spellEnd"/>
      <w:r w:rsidRPr="00F82291">
        <w:rPr>
          <w:sz w:val="24"/>
          <w:szCs w:val="24"/>
        </w:rPr>
        <w:t>, 300 F.3d 60 (1</w:t>
      </w:r>
      <w:r w:rsidRPr="00F82291">
        <w:rPr>
          <w:sz w:val="24"/>
          <w:szCs w:val="24"/>
          <w:vertAlign w:val="superscript"/>
        </w:rPr>
        <w:t>st</w:t>
      </w:r>
      <w:r w:rsidRPr="00F82291">
        <w:rPr>
          <w:sz w:val="24"/>
          <w:szCs w:val="24"/>
        </w:rPr>
        <w:t xml:space="preserve"> Cir. 2002);</w:t>
      </w:r>
      <w:r w:rsidRPr="00F82291">
        <w:rPr>
          <w:rStyle w:val="FootnoteReference"/>
          <w:rFonts w:eastAsiaTheme="majorEastAsia"/>
          <w:sz w:val="24"/>
          <w:szCs w:val="24"/>
        </w:rPr>
        <w:footnoteReference w:id="3"/>
      </w:r>
      <w:r w:rsidRPr="00F82291">
        <w:rPr>
          <w:sz w:val="24"/>
          <w:szCs w:val="24"/>
        </w:rPr>
        <w:t xml:space="preserve"> </w:t>
      </w:r>
      <w:r w:rsidRPr="001F696C">
        <w:rPr>
          <w:i/>
          <w:sz w:val="24"/>
          <w:szCs w:val="24"/>
        </w:rPr>
        <w:t>Whitinsville Plaza, Inc. v. Kotseas</w:t>
      </w:r>
      <w:r w:rsidRPr="00F82291">
        <w:rPr>
          <w:sz w:val="24"/>
          <w:szCs w:val="24"/>
        </w:rPr>
        <w:t xml:space="preserve">, 378 Mass. 85, 89 (1979); </w:t>
      </w:r>
      <w:r w:rsidRPr="001F696C">
        <w:rPr>
          <w:i/>
          <w:sz w:val="24"/>
          <w:szCs w:val="24"/>
        </w:rPr>
        <w:t>Nader v. Citron</w:t>
      </w:r>
      <w:r w:rsidRPr="00F82291">
        <w:rPr>
          <w:sz w:val="24"/>
          <w:szCs w:val="24"/>
        </w:rPr>
        <w:t>, 372 Mass. 96, 98 (1977).</w:t>
      </w:r>
      <w:r w:rsidR="001F696C">
        <w:rPr>
          <w:sz w:val="24"/>
          <w:szCs w:val="24"/>
        </w:rPr>
        <w:t xml:space="preserve">  </w:t>
      </w:r>
      <w:r w:rsidRPr="001F696C">
        <w:rPr>
          <w:i/>
          <w:sz w:val="24"/>
          <w:szCs w:val="24"/>
        </w:rPr>
        <w:t>Norfolk County Agric</w:t>
      </w:r>
      <w:r w:rsidR="001F696C" w:rsidRPr="001F696C">
        <w:rPr>
          <w:i/>
          <w:sz w:val="24"/>
          <w:szCs w:val="24"/>
        </w:rPr>
        <w:t>ultural School</w:t>
      </w:r>
      <w:r w:rsidR="001F696C">
        <w:rPr>
          <w:i/>
          <w:sz w:val="24"/>
          <w:szCs w:val="24"/>
        </w:rPr>
        <w:t xml:space="preserve">, </w:t>
      </w:r>
      <w:r w:rsidR="001F696C" w:rsidRPr="001F696C">
        <w:rPr>
          <w:sz w:val="24"/>
          <w:szCs w:val="24"/>
        </w:rPr>
        <w:t>45 IDELR 26</w:t>
      </w:r>
      <w:r w:rsidR="001F696C">
        <w:rPr>
          <w:i/>
          <w:sz w:val="24"/>
          <w:szCs w:val="24"/>
        </w:rPr>
        <w:t xml:space="preserve"> (December 28, 2005)</w:t>
      </w:r>
      <w:r w:rsidR="001F696C">
        <w:rPr>
          <w:sz w:val="24"/>
          <w:szCs w:val="24"/>
        </w:rPr>
        <w:t>.</w:t>
      </w:r>
    </w:p>
    <w:p w14:paraId="3A9D8C30" w14:textId="77777777" w:rsidR="00606204" w:rsidRDefault="00606204" w:rsidP="00606204">
      <w:pPr>
        <w:rPr>
          <w:sz w:val="24"/>
          <w:szCs w:val="24"/>
        </w:rPr>
      </w:pPr>
    </w:p>
    <w:p w14:paraId="4917DCB6" w14:textId="4909BBD1" w:rsidR="000B522F" w:rsidRPr="00B91315" w:rsidRDefault="000B522F" w:rsidP="000B522F">
      <w:pPr>
        <w:jc w:val="center"/>
        <w:rPr>
          <w:i/>
          <w:iCs/>
          <w:sz w:val="24"/>
          <w:szCs w:val="24"/>
        </w:rPr>
      </w:pPr>
      <w:r w:rsidRPr="00B91315">
        <w:rPr>
          <w:i/>
          <w:iCs/>
          <w:sz w:val="24"/>
          <w:szCs w:val="24"/>
        </w:rPr>
        <w:t>JURISDICTION</w:t>
      </w:r>
      <w:r w:rsidR="005F4613" w:rsidRPr="00B91315">
        <w:rPr>
          <w:i/>
          <w:iCs/>
          <w:sz w:val="24"/>
          <w:szCs w:val="24"/>
        </w:rPr>
        <w:t xml:space="preserve"> OF THE BSEA</w:t>
      </w:r>
    </w:p>
    <w:p w14:paraId="337B12B3" w14:textId="77777777" w:rsidR="000B522F" w:rsidRPr="006C39AD" w:rsidRDefault="000B522F" w:rsidP="000B522F">
      <w:pPr>
        <w:rPr>
          <w:i/>
          <w:iCs/>
          <w:sz w:val="24"/>
          <w:szCs w:val="24"/>
        </w:rPr>
      </w:pPr>
    </w:p>
    <w:p w14:paraId="3F2EED5E" w14:textId="7F4E16AB" w:rsidR="007A1DE8" w:rsidRPr="007A1DE8" w:rsidRDefault="001A0C3E" w:rsidP="007A1DE8">
      <w:pPr>
        <w:rPr>
          <w:sz w:val="24"/>
          <w:szCs w:val="24"/>
        </w:rPr>
      </w:pPr>
      <w:r>
        <w:rPr>
          <w:sz w:val="24"/>
          <w:szCs w:val="24"/>
        </w:rPr>
        <w:t>The BSEA has jurisdiction</w:t>
      </w:r>
      <w:r w:rsidR="000B522F">
        <w:rPr>
          <w:sz w:val="24"/>
          <w:szCs w:val="24"/>
        </w:rPr>
        <w:t xml:space="preserve"> to consider</w:t>
      </w:r>
      <w:r>
        <w:rPr>
          <w:sz w:val="24"/>
          <w:szCs w:val="24"/>
        </w:rPr>
        <w:t xml:space="preserve"> only those </w:t>
      </w:r>
      <w:r w:rsidR="000B522F">
        <w:rPr>
          <w:sz w:val="24"/>
          <w:szCs w:val="24"/>
        </w:rPr>
        <w:t xml:space="preserve">claims </w:t>
      </w:r>
      <w:r>
        <w:rPr>
          <w:sz w:val="24"/>
          <w:szCs w:val="24"/>
        </w:rPr>
        <w:t>for which it is</w:t>
      </w:r>
      <w:r w:rsidR="000B522F">
        <w:rPr>
          <w:sz w:val="24"/>
          <w:szCs w:val="24"/>
        </w:rPr>
        <w:t xml:space="preserve"> expressly delegated </w:t>
      </w:r>
      <w:r>
        <w:rPr>
          <w:sz w:val="24"/>
          <w:szCs w:val="24"/>
        </w:rPr>
        <w:t>authority</w:t>
      </w:r>
      <w:r w:rsidR="000B522F">
        <w:rPr>
          <w:sz w:val="24"/>
          <w:szCs w:val="24"/>
        </w:rPr>
        <w:t xml:space="preserve"> by its enabling statutes and regulations, and not inconsistent with them.  </w:t>
      </w:r>
      <w:r w:rsidR="000B522F" w:rsidRPr="000B522F">
        <w:rPr>
          <w:i/>
          <w:sz w:val="24"/>
          <w:szCs w:val="24"/>
        </w:rPr>
        <w:t>Globe Newspaper Co. V. Beacon Hill Architectural Comm.</w:t>
      </w:r>
      <w:r w:rsidR="000B522F">
        <w:rPr>
          <w:sz w:val="24"/>
          <w:szCs w:val="24"/>
        </w:rPr>
        <w:t xml:space="preserve">, 847 </w:t>
      </w:r>
      <w:proofErr w:type="spellStart"/>
      <w:r w:rsidR="000B522F">
        <w:rPr>
          <w:sz w:val="24"/>
          <w:szCs w:val="24"/>
        </w:rPr>
        <w:t>F.Supp</w:t>
      </w:r>
      <w:proofErr w:type="spellEnd"/>
      <w:r w:rsidR="000B522F">
        <w:rPr>
          <w:sz w:val="24"/>
          <w:szCs w:val="24"/>
        </w:rPr>
        <w:t>. 179 (D. Mass. 1994)</w:t>
      </w:r>
      <w:r w:rsidR="00606204">
        <w:rPr>
          <w:sz w:val="24"/>
          <w:szCs w:val="24"/>
        </w:rPr>
        <w:t xml:space="preserve"> </w:t>
      </w:r>
      <w:r w:rsidR="007D4158">
        <w:rPr>
          <w:sz w:val="24"/>
          <w:szCs w:val="24"/>
        </w:rPr>
        <w:t>“</w:t>
      </w:r>
      <w:r w:rsidR="00606204">
        <w:rPr>
          <w:sz w:val="24"/>
          <w:szCs w:val="24"/>
        </w:rPr>
        <w:t xml:space="preserve">The </w:t>
      </w:r>
      <w:r w:rsidR="00606204">
        <w:rPr>
          <w:sz w:val="24"/>
          <w:szCs w:val="24"/>
        </w:rPr>
        <w:lastRenderedPageBreak/>
        <w:t>IDEA and conforming Massachusetts law give the BSEA authority to determine the respective rights and obligations of publicly funded agencies and parents/students in the implementation of federal and state special education statutes.</w:t>
      </w:r>
      <w:r w:rsidR="007D4158">
        <w:rPr>
          <w:sz w:val="24"/>
          <w:szCs w:val="24"/>
        </w:rPr>
        <w:t xml:space="preserve">”  </w:t>
      </w:r>
      <w:r w:rsidR="00140C79">
        <w:rPr>
          <w:i/>
          <w:sz w:val="24"/>
          <w:szCs w:val="24"/>
        </w:rPr>
        <w:t xml:space="preserve">In Re: </w:t>
      </w:r>
      <w:r w:rsidR="007D4158" w:rsidRPr="007D4158">
        <w:rPr>
          <w:i/>
          <w:sz w:val="24"/>
          <w:szCs w:val="24"/>
        </w:rPr>
        <w:t>Monson Public Schools</w:t>
      </w:r>
      <w:r w:rsidR="00CE6763" w:rsidRPr="00CE6763">
        <w:rPr>
          <w:sz w:val="24"/>
          <w:szCs w:val="24"/>
        </w:rPr>
        <w:t>, 110 LRP 49101</w:t>
      </w:r>
      <w:r w:rsidR="001F696C">
        <w:rPr>
          <w:sz w:val="24"/>
          <w:szCs w:val="24"/>
        </w:rPr>
        <w:t xml:space="preserve"> (August 23, </w:t>
      </w:r>
      <w:r w:rsidR="007D4158">
        <w:rPr>
          <w:sz w:val="24"/>
          <w:szCs w:val="24"/>
        </w:rPr>
        <w:t>2010)</w:t>
      </w:r>
      <w:r w:rsidR="009046EF">
        <w:rPr>
          <w:sz w:val="24"/>
          <w:szCs w:val="24"/>
        </w:rPr>
        <w:t>.</w:t>
      </w:r>
      <w:r w:rsidR="00606204">
        <w:rPr>
          <w:sz w:val="24"/>
          <w:szCs w:val="24"/>
        </w:rPr>
        <w:t xml:space="preserve"> </w:t>
      </w:r>
      <w:r w:rsidR="00EE61F2">
        <w:rPr>
          <w:sz w:val="24"/>
          <w:szCs w:val="24"/>
        </w:rPr>
        <w:t xml:space="preserve"> </w:t>
      </w:r>
      <w:r w:rsidR="00EE61F2" w:rsidRPr="00EE61F2">
        <w:rPr>
          <w:sz w:val="24"/>
          <w:szCs w:val="24"/>
        </w:rPr>
        <w:t xml:space="preserve">The BSEA has </w:t>
      </w:r>
      <w:r w:rsidR="00254031">
        <w:rPr>
          <w:sz w:val="24"/>
          <w:szCs w:val="24"/>
        </w:rPr>
        <w:t xml:space="preserve">jurisdiction  over </w:t>
      </w:r>
      <w:r w:rsidR="0071342B">
        <w:rPr>
          <w:sz w:val="24"/>
          <w:szCs w:val="24"/>
        </w:rPr>
        <w:t>(i) any matter relating to the identification, evaluation, education program or educational placement of a child with a disability or the provision of a free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29 U.S.C. section 794, and its regulations.  M.G.L. ch. 71B§ 2A(a)(1).</w:t>
      </w:r>
      <w:r w:rsidR="009C25DF">
        <w:rPr>
          <w:sz w:val="24"/>
          <w:szCs w:val="24"/>
        </w:rPr>
        <w:t xml:space="preserve">  </w:t>
      </w:r>
      <w:r w:rsidR="009C25DF" w:rsidRPr="009C25DF">
        <w:rPr>
          <w:color w:val="000000"/>
          <w:sz w:val="24"/>
          <w:szCs w:val="24"/>
        </w:rPr>
        <w:t>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009C25DF" w:rsidRPr="009C25DF">
        <w:rPr>
          <w:rStyle w:val="FootnoteReference"/>
          <w:color w:val="000000"/>
          <w:sz w:val="24"/>
          <w:szCs w:val="24"/>
        </w:rPr>
        <w:footnoteReference w:id="4"/>
      </w:r>
      <w:r w:rsidR="00254031">
        <w:rPr>
          <w:sz w:val="24"/>
          <w:szCs w:val="24"/>
        </w:rPr>
        <w:tab/>
      </w:r>
    </w:p>
    <w:p w14:paraId="2AC769B4" w14:textId="77777777" w:rsidR="007A1DE8" w:rsidRDefault="007A1DE8" w:rsidP="00DE0FEA">
      <w:pPr>
        <w:rPr>
          <w:sz w:val="24"/>
          <w:szCs w:val="24"/>
        </w:rPr>
      </w:pPr>
    </w:p>
    <w:p w14:paraId="12D10B66" w14:textId="77777777" w:rsidR="0092551E" w:rsidRPr="00B91315" w:rsidRDefault="0092551E" w:rsidP="0092551E">
      <w:pPr>
        <w:jc w:val="center"/>
        <w:rPr>
          <w:i/>
          <w:iCs/>
          <w:sz w:val="24"/>
          <w:szCs w:val="24"/>
        </w:rPr>
      </w:pPr>
      <w:r w:rsidRPr="00B91315">
        <w:rPr>
          <w:i/>
          <w:iCs/>
          <w:sz w:val="24"/>
          <w:szCs w:val="24"/>
        </w:rPr>
        <w:t>ANALYSIS/CONCLUSIONS</w:t>
      </w:r>
    </w:p>
    <w:p w14:paraId="15F20900" w14:textId="77777777" w:rsidR="00D5260F" w:rsidRDefault="00D5260F" w:rsidP="00D341BF">
      <w:pPr>
        <w:rPr>
          <w:sz w:val="24"/>
          <w:szCs w:val="24"/>
        </w:rPr>
      </w:pPr>
    </w:p>
    <w:p w14:paraId="2B9551C8" w14:textId="68CF09B7" w:rsidR="00AB148A" w:rsidRDefault="002D6E15" w:rsidP="002D6E15">
      <w:pPr>
        <w:rPr>
          <w:sz w:val="24"/>
          <w:szCs w:val="24"/>
        </w:rPr>
      </w:pPr>
      <w:r>
        <w:rPr>
          <w:sz w:val="24"/>
          <w:szCs w:val="24"/>
        </w:rPr>
        <w:t xml:space="preserve">Scituate’s contention that </w:t>
      </w:r>
      <w:proofErr w:type="gramStart"/>
      <w:r>
        <w:rPr>
          <w:sz w:val="24"/>
          <w:szCs w:val="24"/>
        </w:rPr>
        <w:t>the majority of</w:t>
      </w:r>
      <w:proofErr w:type="gramEnd"/>
      <w:r>
        <w:rPr>
          <w:sz w:val="24"/>
          <w:szCs w:val="24"/>
        </w:rPr>
        <w:t xml:space="preserve"> the claim</w:t>
      </w:r>
      <w:r w:rsidR="00377EF1">
        <w:rPr>
          <w:sz w:val="24"/>
          <w:szCs w:val="24"/>
        </w:rPr>
        <w:t>s</w:t>
      </w:r>
      <w:r>
        <w:rPr>
          <w:sz w:val="24"/>
          <w:szCs w:val="24"/>
        </w:rPr>
        <w:t xml:space="preserve"> raised by Parent’s Hearing Request fall outside of the jurisdiction of the BSEA</w:t>
      </w:r>
      <w:r w:rsidR="00377EF1">
        <w:rPr>
          <w:sz w:val="24"/>
          <w:szCs w:val="24"/>
        </w:rPr>
        <w:t>,</w:t>
      </w:r>
      <w:r>
        <w:rPr>
          <w:sz w:val="24"/>
          <w:szCs w:val="24"/>
        </w:rPr>
        <w:t xml:space="preserve"> as delineated above</w:t>
      </w:r>
      <w:r w:rsidR="00377EF1">
        <w:rPr>
          <w:sz w:val="24"/>
          <w:szCs w:val="24"/>
        </w:rPr>
        <w:t>,</w:t>
      </w:r>
      <w:r>
        <w:rPr>
          <w:sz w:val="24"/>
          <w:szCs w:val="24"/>
        </w:rPr>
        <w:t xml:space="preserve"> is correct.  The claims of </w:t>
      </w:r>
      <w:r w:rsidR="006A45B2">
        <w:rPr>
          <w:sz w:val="24"/>
          <w:szCs w:val="24"/>
        </w:rPr>
        <w:t>m</w:t>
      </w:r>
      <w:r>
        <w:rPr>
          <w:sz w:val="24"/>
          <w:szCs w:val="24"/>
        </w:rPr>
        <w:t xml:space="preserve">isappropriation of funds; fundamental corruption of both state and local governments; inappropriate communication; civil and human rights violations; physical and cyber stalking; battery/assault at </w:t>
      </w:r>
      <w:r w:rsidR="00377EF1">
        <w:rPr>
          <w:sz w:val="24"/>
          <w:szCs w:val="24"/>
        </w:rPr>
        <w:t>Scituate</w:t>
      </w:r>
      <w:r>
        <w:rPr>
          <w:sz w:val="24"/>
          <w:szCs w:val="24"/>
        </w:rPr>
        <w:t>; property destruction/vandalism; and home intrusions fall outside the jurisdiction specifically granted to the BSEA.</w:t>
      </w:r>
      <w:r w:rsidR="00344EE7">
        <w:rPr>
          <w:sz w:val="24"/>
          <w:szCs w:val="24"/>
        </w:rPr>
        <w:t xml:space="preserve">  Likewise, the BSEA does not have any authority over the Scituate Police Department and thus has no jurisdiction over claims that it stalked Student.</w:t>
      </w:r>
      <w:r>
        <w:rPr>
          <w:sz w:val="24"/>
          <w:szCs w:val="24"/>
        </w:rPr>
        <w:t xml:space="preserve">  Thus, the </w:t>
      </w:r>
      <w:proofErr w:type="gramStart"/>
      <w:r>
        <w:rPr>
          <w:sz w:val="24"/>
          <w:szCs w:val="24"/>
        </w:rPr>
        <w:t>aforementioned claims</w:t>
      </w:r>
      <w:proofErr w:type="gramEnd"/>
      <w:r>
        <w:rPr>
          <w:sz w:val="24"/>
          <w:szCs w:val="24"/>
        </w:rPr>
        <w:t xml:space="preserve"> are dismissed </w:t>
      </w:r>
      <w:r w:rsidRPr="002D6E15">
        <w:rPr>
          <w:i/>
          <w:iCs/>
          <w:sz w:val="24"/>
          <w:szCs w:val="24"/>
        </w:rPr>
        <w:t>with prejudice</w:t>
      </w:r>
      <w:r>
        <w:rPr>
          <w:sz w:val="24"/>
          <w:szCs w:val="24"/>
        </w:rPr>
        <w:t>.</w:t>
      </w:r>
      <w:r w:rsidR="00AB148A">
        <w:rPr>
          <w:sz w:val="24"/>
          <w:szCs w:val="24"/>
        </w:rPr>
        <w:t xml:space="preserve"> </w:t>
      </w:r>
    </w:p>
    <w:p w14:paraId="2A543DA5" w14:textId="7CCD9C42" w:rsidR="00AB148A" w:rsidRDefault="00AB148A" w:rsidP="002D6E15">
      <w:pPr>
        <w:rPr>
          <w:sz w:val="24"/>
          <w:szCs w:val="24"/>
        </w:rPr>
      </w:pPr>
    </w:p>
    <w:p w14:paraId="29DF013D" w14:textId="0E4CC676" w:rsidR="002C2C4F" w:rsidRDefault="00AB148A" w:rsidP="002D6E15">
      <w:pPr>
        <w:rPr>
          <w:sz w:val="24"/>
          <w:szCs w:val="24"/>
        </w:rPr>
      </w:pPr>
      <w:r>
        <w:rPr>
          <w:sz w:val="24"/>
          <w:szCs w:val="24"/>
        </w:rPr>
        <w:t>The remaining claim</w:t>
      </w:r>
      <w:r w:rsidR="00377EF1">
        <w:rPr>
          <w:sz w:val="24"/>
          <w:szCs w:val="24"/>
        </w:rPr>
        <w:t>s</w:t>
      </w:r>
      <w:r>
        <w:rPr>
          <w:sz w:val="24"/>
          <w:szCs w:val="24"/>
        </w:rPr>
        <w:t xml:space="preserve">, alleging failure to provide a FAPE and refusal to identify and evaluate children of special education falls within the jurisdiction of the BSEA.  However, these claims are barred by the statute of limitations.  </w:t>
      </w:r>
      <w:r w:rsidR="00344EE7">
        <w:rPr>
          <w:sz w:val="24"/>
          <w:szCs w:val="24"/>
        </w:rPr>
        <w:t>Under the IDEA, a due process complaint is timely if filed within two years of the date that the parent or district knew or should have known about the action forming the basis for the complaint.</w:t>
      </w:r>
      <w:r w:rsidR="006C1E31" w:rsidRPr="006C1E31">
        <w:rPr>
          <w:rStyle w:val="FootnoteReference"/>
          <w:color w:val="4B4D4D"/>
          <w:sz w:val="24"/>
          <w:szCs w:val="24"/>
          <w:shd w:val="clear" w:color="auto" w:fill="FFFFFF"/>
        </w:rPr>
        <w:footnoteReference w:id="5"/>
      </w:r>
      <w:r w:rsidR="006C1E31">
        <w:rPr>
          <w:sz w:val="24"/>
          <w:szCs w:val="24"/>
        </w:rPr>
        <w:t xml:space="preserve">  Even accepting</w:t>
      </w:r>
      <w:r w:rsidR="00377EF1">
        <w:rPr>
          <w:sz w:val="24"/>
          <w:szCs w:val="24"/>
        </w:rPr>
        <w:t xml:space="preserve"> as true</w:t>
      </w:r>
      <w:r w:rsidR="006C1E31">
        <w:rPr>
          <w:sz w:val="24"/>
          <w:szCs w:val="24"/>
        </w:rPr>
        <w:t xml:space="preserve"> Parent’s allegations that Student was</w:t>
      </w:r>
      <w:r w:rsidR="002C2C4F">
        <w:rPr>
          <w:sz w:val="24"/>
          <w:szCs w:val="24"/>
        </w:rPr>
        <w:t xml:space="preserve"> erroneously found not to be eligible for special education in 2008</w:t>
      </w:r>
      <w:r w:rsidR="00A9409D">
        <w:rPr>
          <w:sz w:val="24"/>
          <w:szCs w:val="24"/>
        </w:rPr>
        <w:t>,</w:t>
      </w:r>
      <w:r w:rsidR="002C2C4F">
        <w:rPr>
          <w:sz w:val="24"/>
          <w:szCs w:val="24"/>
        </w:rPr>
        <w:t xml:space="preserve"> </w:t>
      </w:r>
      <w:r w:rsidR="00A9409D">
        <w:rPr>
          <w:sz w:val="24"/>
          <w:szCs w:val="24"/>
        </w:rPr>
        <w:t xml:space="preserve">such claim is  </w:t>
      </w:r>
      <w:r w:rsidR="002C2C4F">
        <w:rPr>
          <w:sz w:val="24"/>
          <w:szCs w:val="24"/>
        </w:rPr>
        <w:t>twelve years</w:t>
      </w:r>
      <w:r w:rsidR="00A9409D">
        <w:rPr>
          <w:sz w:val="24"/>
          <w:szCs w:val="24"/>
        </w:rPr>
        <w:t xml:space="preserve"> outside the statute of limitations.</w:t>
      </w:r>
      <w:r w:rsidR="00C12D63">
        <w:rPr>
          <w:sz w:val="24"/>
          <w:szCs w:val="24"/>
        </w:rPr>
        <w:t xml:space="preserve"> Further claims regarding child find or FAPE should have been raised no later than May 31, 2021, two years after Student graduated and was no longer eligible to receive special education.</w:t>
      </w:r>
      <w:r w:rsidR="006C1E31">
        <w:rPr>
          <w:sz w:val="24"/>
          <w:szCs w:val="24"/>
        </w:rPr>
        <w:t xml:space="preserve">  Parent does not </w:t>
      </w:r>
      <w:r w:rsidR="00C12D63">
        <w:rPr>
          <w:sz w:val="24"/>
          <w:szCs w:val="24"/>
        </w:rPr>
        <w:t>allege</w:t>
      </w:r>
      <w:r w:rsidR="006C1E31">
        <w:rPr>
          <w:sz w:val="24"/>
          <w:szCs w:val="24"/>
        </w:rPr>
        <w:t xml:space="preserve"> any facts </w:t>
      </w:r>
      <w:r w:rsidR="00C12D63">
        <w:rPr>
          <w:sz w:val="24"/>
          <w:szCs w:val="24"/>
        </w:rPr>
        <w:t>that would warrant an exception to the two-year statute of limitations.  See 20 U.S.C. § 1415(f)(3)(D)</w:t>
      </w:r>
      <w:r w:rsidR="00C3046D">
        <w:rPr>
          <w:sz w:val="24"/>
          <w:szCs w:val="24"/>
        </w:rPr>
        <w:t>.</w:t>
      </w:r>
    </w:p>
    <w:p w14:paraId="2B42638F" w14:textId="2CF2290F" w:rsidR="00AB148A" w:rsidRDefault="00AB148A" w:rsidP="002D6E15">
      <w:pPr>
        <w:rPr>
          <w:sz w:val="24"/>
          <w:szCs w:val="24"/>
        </w:rPr>
      </w:pPr>
    </w:p>
    <w:p w14:paraId="00B09BE3" w14:textId="6BC85B79" w:rsidR="00001E21" w:rsidRDefault="00001E21" w:rsidP="00001E21">
      <w:pPr>
        <w:rPr>
          <w:sz w:val="24"/>
          <w:szCs w:val="24"/>
        </w:rPr>
      </w:pPr>
      <w:r>
        <w:rPr>
          <w:sz w:val="24"/>
          <w:szCs w:val="24"/>
        </w:rPr>
        <w:t xml:space="preserve">Finally, although not raised by Scituate, Parent acknowledged during the July 15, 2022 conference call that Student is an adult and Parent does not have legal guardianship of him.  </w:t>
      </w:r>
    </w:p>
    <w:p w14:paraId="474D8718" w14:textId="1B43E7F1" w:rsidR="00075CCB" w:rsidRPr="00001E21" w:rsidRDefault="00001E21" w:rsidP="00075CCB">
      <w:pPr>
        <w:pStyle w:val="NormalWeb"/>
        <w:shd w:val="clear" w:color="auto" w:fill="FFFFFF"/>
        <w:spacing w:before="0" w:beforeAutospacing="0" w:after="375" w:afterAutospacing="0"/>
        <w:rPr>
          <w:color w:val="4B4D4D"/>
        </w:rPr>
      </w:pPr>
      <w:r w:rsidRPr="00001E21">
        <w:rPr>
          <w:color w:val="4B4D4D"/>
        </w:rPr>
        <w:t>B</w:t>
      </w:r>
      <w:r w:rsidR="00075CCB" w:rsidRPr="00001E21">
        <w:rPr>
          <w:color w:val="4B4D4D"/>
        </w:rPr>
        <w:t xml:space="preserve">oth 20 USC §1415(m) and 603 CMR 28.01(15) provide </w:t>
      </w:r>
      <w:proofErr w:type="gramStart"/>
      <w:r w:rsidR="00075CCB" w:rsidRPr="00001E21">
        <w:rPr>
          <w:color w:val="4B4D4D"/>
        </w:rPr>
        <w:t>that parental rights and educational decision</w:t>
      </w:r>
      <w:proofErr w:type="gramEnd"/>
      <w:r w:rsidR="00075CCB" w:rsidRPr="00001E21">
        <w:rPr>
          <w:color w:val="4B4D4D"/>
        </w:rPr>
        <w:t>–making transfers to the student when s/he turns eighteen years of age. Similarly, 34 CFR 300.520(a)(1)(ii) provides that when the student reaches the age of majority “[a]</w:t>
      </w:r>
      <w:proofErr w:type="spellStart"/>
      <w:r w:rsidR="00075CCB" w:rsidRPr="00001E21">
        <w:rPr>
          <w:color w:val="4B4D4D"/>
        </w:rPr>
        <w:t>ll</w:t>
      </w:r>
      <w:proofErr w:type="spellEnd"/>
      <w:r w:rsidR="00075CCB" w:rsidRPr="00001E21">
        <w:rPr>
          <w:color w:val="4B4D4D"/>
        </w:rPr>
        <w:t xml:space="preserve"> rights accorded to parents under Part B of the Act transfer to the child.”</w:t>
      </w:r>
      <w:r>
        <w:rPr>
          <w:color w:val="4B4D4D"/>
        </w:rPr>
        <w:t xml:space="preserve">  Thus, even if the claims over which the BSEA has jurisdiction were not barred by the statute of limitations, Parent would not have the right to file these claims on behalf of her adult son.  </w:t>
      </w:r>
    </w:p>
    <w:p w14:paraId="0CFEB937" w14:textId="77777777" w:rsidR="00D96C7C" w:rsidRDefault="00D96C7C" w:rsidP="001945AA">
      <w:pPr>
        <w:jc w:val="center"/>
        <w:rPr>
          <w:b/>
          <w:bCs/>
          <w:sz w:val="24"/>
          <w:szCs w:val="24"/>
        </w:rPr>
      </w:pPr>
    </w:p>
    <w:p w14:paraId="08E74B66" w14:textId="7DDFC7BE" w:rsidR="001945AA" w:rsidRPr="00807D8F" w:rsidRDefault="001945AA" w:rsidP="001945AA">
      <w:pPr>
        <w:jc w:val="center"/>
        <w:rPr>
          <w:b/>
          <w:bCs/>
          <w:sz w:val="24"/>
          <w:szCs w:val="24"/>
        </w:rPr>
      </w:pPr>
      <w:r w:rsidRPr="00807D8F">
        <w:rPr>
          <w:b/>
          <w:bCs/>
          <w:sz w:val="24"/>
          <w:szCs w:val="24"/>
        </w:rPr>
        <w:t>ORDER</w:t>
      </w:r>
    </w:p>
    <w:p w14:paraId="2C442B92" w14:textId="77777777" w:rsidR="0094354B" w:rsidRPr="006D5FA1" w:rsidRDefault="0094354B" w:rsidP="001945AA">
      <w:pPr>
        <w:jc w:val="center"/>
        <w:rPr>
          <w:sz w:val="24"/>
          <w:szCs w:val="24"/>
        </w:rPr>
      </w:pPr>
    </w:p>
    <w:p w14:paraId="4E485DA0" w14:textId="01B4B11E" w:rsidR="001945AA" w:rsidRDefault="007A1DE8" w:rsidP="001945AA">
      <w:pPr>
        <w:rPr>
          <w:sz w:val="24"/>
          <w:szCs w:val="24"/>
        </w:rPr>
      </w:pPr>
      <w:r>
        <w:rPr>
          <w:sz w:val="24"/>
          <w:szCs w:val="24"/>
        </w:rPr>
        <w:t>Scituate</w:t>
      </w:r>
      <w:r w:rsidR="00D2676A">
        <w:rPr>
          <w:sz w:val="24"/>
          <w:szCs w:val="24"/>
        </w:rPr>
        <w:t>’s M</w:t>
      </w:r>
      <w:r w:rsidR="001945AA" w:rsidRPr="006D5FA1">
        <w:rPr>
          <w:sz w:val="24"/>
          <w:szCs w:val="24"/>
        </w:rPr>
        <w:t>otion</w:t>
      </w:r>
      <w:r w:rsidR="001957E6">
        <w:rPr>
          <w:sz w:val="24"/>
          <w:szCs w:val="24"/>
        </w:rPr>
        <w:t xml:space="preserve"> to Dismiss</w:t>
      </w:r>
      <w:r w:rsidR="006E726B">
        <w:rPr>
          <w:sz w:val="24"/>
          <w:szCs w:val="24"/>
        </w:rPr>
        <w:t xml:space="preserve"> </w:t>
      </w:r>
      <w:r>
        <w:rPr>
          <w:sz w:val="24"/>
          <w:szCs w:val="24"/>
        </w:rPr>
        <w:t>is</w:t>
      </w:r>
      <w:r w:rsidR="001957E6">
        <w:rPr>
          <w:sz w:val="24"/>
          <w:szCs w:val="24"/>
        </w:rPr>
        <w:t xml:space="preserve"> ALLOW</w:t>
      </w:r>
      <w:r w:rsidR="00014E45" w:rsidRPr="006D5FA1">
        <w:rPr>
          <w:sz w:val="24"/>
          <w:szCs w:val="24"/>
        </w:rPr>
        <w:t>ED</w:t>
      </w:r>
      <w:r w:rsidR="00C3046D">
        <w:rPr>
          <w:sz w:val="24"/>
          <w:szCs w:val="24"/>
        </w:rPr>
        <w:t xml:space="preserve"> </w:t>
      </w:r>
      <w:r w:rsidR="00C3046D" w:rsidRPr="00C3046D">
        <w:rPr>
          <w:i/>
          <w:iCs/>
          <w:sz w:val="24"/>
          <w:szCs w:val="24"/>
        </w:rPr>
        <w:t>with prejudice</w:t>
      </w:r>
      <w:r w:rsidR="00014E45" w:rsidRPr="006D5FA1">
        <w:rPr>
          <w:sz w:val="24"/>
          <w:szCs w:val="24"/>
        </w:rPr>
        <w:t>.</w:t>
      </w:r>
    </w:p>
    <w:p w14:paraId="1BC946FC" w14:textId="13B4F12A" w:rsidR="006A3157" w:rsidRDefault="006A3157" w:rsidP="001945AA">
      <w:pPr>
        <w:rPr>
          <w:sz w:val="24"/>
          <w:szCs w:val="24"/>
        </w:rPr>
      </w:pPr>
    </w:p>
    <w:p w14:paraId="4CBC5BBE" w14:textId="77777777" w:rsidR="00C3046D" w:rsidRDefault="00C3046D" w:rsidP="001945AA">
      <w:pPr>
        <w:rPr>
          <w:sz w:val="24"/>
          <w:szCs w:val="24"/>
        </w:rPr>
      </w:pPr>
    </w:p>
    <w:p w14:paraId="59FFEEA9" w14:textId="77777777" w:rsidR="00C3046D" w:rsidRPr="002F7140" w:rsidRDefault="00C3046D" w:rsidP="00C3046D">
      <w:pPr>
        <w:tabs>
          <w:tab w:val="left" w:pos="432"/>
        </w:tabs>
        <w:jc w:val="both"/>
        <w:rPr>
          <w:sz w:val="24"/>
          <w:szCs w:val="24"/>
        </w:rPr>
      </w:pPr>
      <w:r>
        <w:rPr>
          <w:rFonts w:ascii="Arial" w:hAnsi="Arial"/>
          <w:noProof/>
          <w:sz w:val="24"/>
        </w:rPr>
        <w:drawing>
          <wp:inline distT="0" distB="0" distL="0" distR="0" wp14:anchorId="5C7F39F8" wp14:editId="17DFCF3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4A73B51B" w14:textId="02A1E1DF" w:rsidR="00C3046D" w:rsidRPr="002F7140" w:rsidRDefault="00C3046D" w:rsidP="00C3046D">
      <w:pPr>
        <w:tabs>
          <w:tab w:val="left" w:pos="432"/>
        </w:tabs>
        <w:jc w:val="both"/>
        <w:rPr>
          <w:sz w:val="24"/>
          <w:szCs w:val="24"/>
        </w:rPr>
      </w:pPr>
      <w:r>
        <w:rPr>
          <w:sz w:val="24"/>
          <w:szCs w:val="24"/>
        </w:rPr>
        <w:t xml:space="preserve">Dated:  </w:t>
      </w:r>
      <w:r w:rsidR="00984F46">
        <w:rPr>
          <w:sz w:val="24"/>
          <w:szCs w:val="24"/>
        </w:rPr>
        <w:t>August 3</w:t>
      </w:r>
      <w:r>
        <w:rPr>
          <w:sz w:val="24"/>
          <w:szCs w:val="24"/>
        </w:rPr>
        <w:t>, 2022</w:t>
      </w:r>
    </w:p>
    <w:p w14:paraId="53F79796" w14:textId="77777777" w:rsidR="00C3046D" w:rsidRDefault="00C3046D" w:rsidP="00C3046D"/>
    <w:p w14:paraId="21DD26F1" w14:textId="1FF6CC14" w:rsidR="000D4A1C" w:rsidRDefault="000D4A1C" w:rsidP="001945AA">
      <w:pPr>
        <w:rPr>
          <w:sz w:val="24"/>
          <w:szCs w:val="24"/>
        </w:rPr>
      </w:pPr>
    </w:p>
    <w:sectPr w:rsidR="000D4A1C" w:rsidSect="008211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8863" w14:textId="77777777" w:rsidR="00512C17" w:rsidRDefault="00512C17" w:rsidP="001945AA">
      <w:r>
        <w:separator/>
      </w:r>
    </w:p>
  </w:endnote>
  <w:endnote w:type="continuationSeparator" w:id="0">
    <w:p w14:paraId="18B5E941" w14:textId="77777777" w:rsidR="00512C17" w:rsidRDefault="00512C17"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69906"/>
      <w:docPartObj>
        <w:docPartGallery w:val="Page Numbers (Bottom of Page)"/>
        <w:docPartUnique/>
      </w:docPartObj>
    </w:sdtPr>
    <w:sdtEndPr>
      <w:rPr>
        <w:noProof/>
      </w:rPr>
    </w:sdtEndPr>
    <w:sdtContent>
      <w:p w14:paraId="65FEDFD8" w14:textId="77777777" w:rsidR="0082111B" w:rsidRDefault="0082111B">
        <w:pPr>
          <w:pStyle w:val="Footer"/>
          <w:jc w:val="center"/>
        </w:pPr>
        <w:r>
          <w:fldChar w:fldCharType="begin"/>
        </w:r>
        <w:r>
          <w:instrText xml:space="preserve"> PAGE   \* MERGEFORMAT </w:instrText>
        </w:r>
        <w:r>
          <w:fldChar w:fldCharType="separate"/>
        </w:r>
        <w:r w:rsidR="00040AF9">
          <w:rPr>
            <w:noProof/>
          </w:rPr>
          <w:t>5</w:t>
        </w:r>
        <w:r>
          <w:rPr>
            <w:noProof/>
          </w:rPr>
          <w:fldChar w:fldCharType="end"/>
        </w:r>
      </w:p>
    </w:sdtContent>
  </w:sdt>
  <w:p w14:paraId="7DDE535B" w14:textId="77777777" w:rsidR="00844E3F" w:rsidRDefault="0084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F00D" w14:textId="77777777" w:rsidR="00512C17" w:rsidRDefault="00512C17" w:rsidP="001945AA">
      <w:r>
        <w:separator/>
      </w:r>
    </w:p>
  </w:footnote>
  <w:footnote w:type="continuationSeparator" w:id="0">
    <w:p w14:paraId="14CE3348" w14:textId="77777777" w:rsidR="00512C17" w:rsidRDefault="00512C17" w:rsidP="001945AA">
      <w:r>
        <w:continuationSeparator/>
      </w:r>
    </w:p>
  </w:footnote>
  <w:footnote w:id="1">
    <w:p w14:paraId="7C2C9CAF" w14:textId="7D19DE09" w:rsidR="00B72B5B" w:rsidRDefault="00B72B5B">
      <w:pPr>
        <w:pStyle w:val="FootnoteText"/>
      </w:pPr>
      <w:r>
        <w:rPr>
          <w:rStyle w:val="FootnoteReference"/>
        </w:rPr>
        <w:footnoteRef/>
      </w:r>
      <w:r>
        <w:t xml:space="preserve"> </w:t>
      </w:r>
      <w:r w:rsidR="00500B25">
        <w:t>The facts are established for purposes of this Ruling only.</w:t>
      </w:r>
    </w:p>
  </w:footnote>
  <w:footnote w:id="2">
    <w:p w14:paraId="03F3FA89" w14:textId="77777777" w:rsidR="00EB325C" w:rsidRDefault="00EB325C" w:rsidP="00EB325C">
      <w:pPr>
        <w:pStyle w:val="FootnoteText"/>
      </w:pPr>
      <w:r>
        <w:rPr>
          <w:rStyle w:val="FootnoteReference"/>
          <w:rFonts w:eastAsiaTheme="majorEastAsia"/>
        </w:rPr>
        <w:footnoteRef/>
      </w:r>
      <w:r>
        <w:t xml:space="preserve"> See, for example, </w:t>
      </w:r>
      <w:r>
        <w:rPr>
          <w:i/>
          <w:iCs/>
        </w:rPr>
        <w:t xml:space="preserve">In Re: </w:t>
      </w:r>
      <w:r>
        <w:rPr>
          <w:i/>
          <w:iCs/>
        </w:rPr>
        <w:t>Inessa R. v. Groton Dunstable School District</w:t>
      </w:r>
      <w:r>
        <w:t xml:space="preserve">, BSEA No. 95-3104 (Byrne, November 1995)  </w:t>
      </w:r>
    </w:p>
  </w:footnote>
  <w:footnote w:id="3">
    <w:p w14:paraId="41DF1650" w14:textId="77777777" w:rsidR="00EB325C" w:rsidRDefault="00EB325C" w:rsidP="00EB325C">
      <w:pPr>
        <w:pStyle w:val="FootnoteText"/>
      </w:pPr>
      <w:r>
        <w:rPr>
          <w:rStyle w:val="FootnoteReference"/>
          <w:rFonts w:eastAsiaTheme="majorEastAsia"/>
        </w:rPr>
        <w:footnoteRef/>
      </w:r>
      <w:r>
        <w:t xml:space="preserve"> A motion to dismiss will be denied if “accepting as true all well-pleaded factual averments and indulging all reasonable inferences in the plaintiff’s favor, if recovery can be justified under any applicable legal theory.  Id </w:t>
      </w:r>
    </w:p>
  </w:footnote>
  <w:footnote w:id="4">
    <w:p w14:paraId="54010288" w14:textId="264B3F7D" w:rsidR="009C25DF" w:rsidRDefault="009C25DF">
      <w:pPr>
        <w:pStyle w:val="FootnoteText"/>
      </w:pPr>
      <w:r>
        <w:rPr>
          <w:rStyle w:val="FootnoteReference"/>
        </w:rPr>
        <w:footnoteRef/>
      </w:r>
      <w:r>
        <w:t xml:space="preserve"> </w:t>
      </w:r>
      <w:r w:rsidRPr="009C25DF">
        <w:rPr>
          <w:i/>
          <w:iCs/>
          <w:color w:val="000000"/>
        </w:rPr>
        <w:t>In Re: Georgetown Pub. Sch</w:t>
      </w:r>
      <w:r w:rsidRPr="009C25DF">
        <w:rPr>
          <w:color w:val="000000"/>
        </w:rPr>
        <w:t>., BSEA #1405352 (Berman, 2014).</w:t>
      </w:r>
    </w:p>
  </w:footnote>
  <w:footnote w:id="5">
    <w:p w14:paraId="693F46E0" w14:textId="62DE9D0B" w:rsidR="006C1E31" w:rsidRDefault="006C1E31">
      <w:pPr>
        <w:pStyle w:val="FootnoteText"/>
      </w:pPr>
      <w:r>
        <w:rPr>
          <w:rStyle w:val="FootnoteReference"/>
        </w:rPr>
        <w:footnoteRef/>
      </w:r>
      <w:r>
        <w:t xml:space="preserve"> </w:t>
      </w:r>
      <w:r w:rsidRPr="006C1E31">
        <w:rPr>
          <w:color w:val="4B4D4D"/>
          <w:shd w:val="clear" w:color="auto" w:fill="FFFFFF"/>
        </w:rPr>
        <w:t>34 CFR 300.507(a)(2).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ED"/>
    <w:rsid w:val="00001E21"/>
    <w:rsid w:val="0000443C"/>
    <w:rsid w:val="00010D7B"/>
    <w:rsid w:val="00011857"/>
    <w:rsid w:val="00011C4B"/>
    <w:rsid w:val="00014E45"/>
    <w:rsid w:val="000213DE"/>
    <w:rsid w:val="0003459E"/>
    <w:rsid w:val="000377FE"/>
    <w:rsid w:val="00040AF9"/>
    <w:rsid w:val="0005223C"/>
    <w:rsid w:val="00053FA1"/>
    <w:rsid w:val="00066D16"/>
    <w:rsid w:val="000705B7"/>
    <w:rsid w:val="000707FE"/>
    <w:rsid w:val="00071CAA"/>
    <w:rsid w:val="00075CCB"/>
    <w:rsid w:val="00091246"/>
    <w:rsid w:val="00092D24"/>
    <w:rsid w:val="000943DB"/>
    <w:rsid w:val="00095360"/>
    <w:rsid w:val="000A34AB"/>
    <w:rsid w:val="000A420E"/>
    <w:rsid w:val="000A52BC"/>
    <w:rsid w:val="000A677C"/>
    <w:rsid w:val="000B0098"/>
    <w:rsid w:val="000B3BB0"/>
    <w:rsid w:val="000B522F"/>
    <w:rsid w:val="000C3EF9"/>
    <w:rsid w:val="000C7E6E"/>
    <w:rsid w:val="000D1BBE"/>
    <w:rsid w:val="000D4A1C"/>
    <w:rsid w:val="000E4A4C"/>
    <w:rsid w:val="001039FB"/>
    <w:rsid w:val="001243B5"/>
    <w:rsid w:val="0013400B"/>
    <w:rsid w:val="00140C79"/>
    <w:rsid w:val="00143F3D"/>
    <w:rsid w:val="00147A1C"/>
    <w:rsid w:val="00152565"/>
    <w:rsid w:val="00153AE4"/>
    <w:rsid w:val="00154052"/>
    <w:rsid w:val="00154A73"/>
    <w:rsid w:val="00157294"/>
    <w:rsid w:val="00161FB9"/>
    <w:rsid w:val="00171154"/>
    <w:rsid w:val="00171EA0"/>
    <w:rsid w:val="001945AA"/>
    <w:rsid w:val="001957E6"/>
    <w:rsid w:val="001A0C3E"/>
    <w:rsid w:val="001A16DE"/>
    <w:rsid w:val="001B4BAC"/>
    <w:rsid w:val="001B5A01"/>
    <w:rsid w:val="001B5AB5"/>
    <w:rsid w:val="001D3B8F"/>
    <w:rsid w:val="001E4287"/>
    <w:rsid w:val="001F04CF"/>
    <w:rsid w:val="001F696C"/>
    <w:rsid w:val="002051D6"/>
    <w:rsid w:val="002153D2"/>
    <w:rsid w:val="0024183B"/>
    <w:rsid w:val="00253D89"/>
    <w:rsid w:val="00254031"/>
    <w:rsid w:val="00271799"/>
    <w:rsid w:val="002C2C4F"/>
    <w:rsid w:val="002C5555"/>
    <w:rsid w:val="002D5129"/>
    <w:rsid w:val="002D6E15"/>
    <w:rsid w:val="002E25A7"/>
    <w:rsid w:val="003111C9"/>
    <w:rsid w:val="003231CB"/>
    <w:rsid w:val="00333753"/>
    <w:rsid w:val="00344EE7"/>
    <w:rsid w:val="003658C2"/>
    <w:rsid w:val="00372E0B"/>
    <w:rsid w:val="00377EF1"/>
    <w:rsid w:val="003816E4"/>
    <w:rsid w:val="00391846"/>
    <w:rsid w:val="0039189B"/>
    <w:rsid w:val="00392C8D"/>
    <w:rsid w:val="003A178F"/>
    <w:rsid w:val="003B227B"/>
    <w:rsid w:val="003C59B4"/>
    <w:rsid w:val="003C731E"/>
    <w:rsid w:val="003C759A"/>
    <w:rsid w:val="003E6EF4"/>
    <w:rsid w:val="00400784"/>
    <w:rsid w:val="00402806"/>
    <w:rsid w:val="00444637"/>
    <w:rsid w:val="00446FF2"/>
    <w:rsid w:val="004475A1"/>
    <w:rsid w:val="00496320"/>
    <w:rsid w:val="004A70B8"/>
    <w:rsid w:val="004B5569"/>
    <w:rsid w:val="004C7523"/>
    <w:rsid w:val="004E28D5"/>
    <w:rsid w:val="004E2E31"/>
    <w:rsid w:val="004F1779"/>
    <w:rsid w:val="00500B25"/>
    <w:rsid w:val="005049E5"/>
    <w:rsid w:val="00512C17"/>
    <w:rsid w:val="00524405"/>
    <w:rsid w:val="005265C1"/>
    <w:rsid w:val="00551104"/>
    <w:rsid w:val="00552AAF"/>
    <w:rsid w:val="005627CE"/>
    <w:rsid w:val="00582C52"/>
    <w:rsid w:val="0058558D"/>
    <w:rsid w:val="005E385D"/>
    <w:rsid w:val="005F052D"/>
    <w:rsid w:val="005F4613"/>
    <w:rsid w:val="006011FD"/>
    <w:rsid w:val="00602CD0"/>
    <w:rsid w:val="00606204"/>
    <w:rsid w:val="00615A2F"/>
    <w:rsid w:val="0063027E"/>
    <w:rsid w:val="006321F9"/>
    <w:rsid w:val="00633FC6"/>
    <w:rsid w:val="006415D2"/>
    <w:rsid w:val="0065060A"/>
    <w:rsid w:val="00676108"/>
    <w:rsid w:val="00681111"/>
    <w:rsid w:val="006852E4"/>
    <w:rsid w:val="006972F0"/>
    <w:rsid w:val="006A3157"/>
    <w:rsid w:val="006A45B2"/>
    <w:rsid w:val="006C1108"/>
    <w:rsid w:val="006C1E31"/>
    <w:rsid w:val="006C29EA"/>
    <w:rsid w:val="006C39AD"/>
    <w:rsid w:val="006C626F"/>
    <w:rsid w:val="006C74D9"/>
    <w:rsid w:val="006D11DC"/>
    <w:rsid w:val="006D5FA1"/>
    <w:rsid w:val="006E726B"/>
    <w:rsid w:val="006E7D5E"/>
    <w:rsid w:val="006F02F1"/>
    <w:rsid w:val="006F5636"/>
    <w:rsid w:val="00713007"/>
    <w:rsid w:val="0071342B"/>
    <w:rsid w:val="00720058"/>
    <w:rsid w:val="00721896"/>
    <w:rsid w:val="00725381"/>
    <w:rsid w:val="00731A10"/>
    <w:rsid w:val="0074382F"/>
    <w:rsid w:val="00773BE2"/>
    <w:rsid w:val="00777463"/>
    <w:rsid w:val="00785743"/>
    <w:rsid w:val="0078752E"/>
    <w:rsid w:val="0079625F"/>
    <w:rsid w:val="007A1DE8"/>
    <w:rsid w:val="007B6DAD"/>
    <w:rsid w:val="007C62E0"/>
    <w:rsid w:val="007D0C41"/>
    <w:rsid w:val="007D4158"/>
    <w:rsid w:val="007D6BFD"/>
    <w:rsid w:val="007F6D3D"/>
    <w:rsid w:val="00807D8F"/>
    <w:rsid w:val="008102A1"/>
    <w:rsid w:val="00814777"/>
    <w:rsid w:val="00814E83"/>
    <w:rsid w:val="00820D9B"/>
    <w:rsid w:val="0082111B"/>
    <w:rsid w:val="00822648"/>
    <w:rsid w:val="00837E90"/>
    <w:rsid w:val="00840726"/>
    <w:rsid w:val="00844E3F"/>
    <w:rsid w:val="00855CF6"/>
    <w:rsid w:val="00860FF7"/>
    <w:rsid w:val="00861F43"/>
    <w:rsid w:val="00863098"/>
    <w:rsid w:val="00872CCF"/>
    <w:rsid w:val="00896BB7"/>
    <w:rsid w:val="008C2EC9"/>
    <w:rsid w:val="008C7C95"/>
    <w:rsid w:val="008E1CEF"/>
    <w:rsid w:val="008E2F9E"/>
    <w:rsid w:val="008E3C87"/>
    <w:rsid w:val="008F379D"/>
    <w:rsid w:val="008F45E4"/>
    <w:rsid w:val="008F4BFF"/>
    <w:rsid w:val="00903DD1"/>
    <w:rsid w:val="009046EF"/>
    <w:rsid w:val="009229ED"/>
    <w:rsid w:val="0092551E"/>
    <w:rsid w:val="00930B9A"/>
    <w:rsid w:val="009408D3"/>
    <w:rsid w:val="0094354B"/>
    <w:rsid w:val="00947355"/>
    <w:rsid w:val="00947E4E"/>
    <w:rsid w:val="0097738C"/>
    <w:rsid w:val="00980249"/>
    <w:rsid w:val="00984F46"/>
    <w:rsid w:val="009911E9"/>
    <w:rsid w:val="009A2888"/>
    <w:rsid w:val="009A5124"/>
    <w:rsid w:val="009B77A9"/>
    <w:rsid w:val="009C25DF"/>
    <w:rsid w:val="009C2A8F"/>
    <w:rsid w:val="009D3959"/>
    <w:rsid w:val="00A160EA"/>
    <w:rsid w:val="00A24D4D"/>
    <w:rsid w:val="00A26FEF"/>
    <w:rsid w:val="00A3202F"/>
    <w:rsid w:val="00A44016"/>
    <w:rsid w:val="00A526F0"/>
    <w:rsid w:val="00A528F2"/>
    <w:rsid w:val="00A55A9F"/>
    <w:rsid w:val="00A6591B"/>
    <w:rsid w:val="00A9409D"/>
    <w:rsid w:val="00AB148A"/>
    <w:rsid w:val="00AB20FB"/>
    <w:rsid w:val="00AC11EA"/>
    <w:rsid w:val="00AC2375"/>
    <w:rsid w:val="00AD175C"/>
    <w:rsid w:val="00AE1F97"/>
    <w:rsid w:val="00AE4E85"/>
    <w:rsid w:val="00B2460E"/>
    <w:rsid w:val="00B26B1F"/>
    <w:rsid w:val="00B32105"/>
    <w:rsid w:val="00B33505"/>
    <w:rsid w:val="00B379A1"/>
    <w:rsid w:val="00B71A66"/>
    <w:rsid w:val="00B72B5B"/>
    <w:rsid w:val="00B73F95"/>
    <w:rsid w:val="00B76C5B"/>
    <w:rsid w:val="00B76CF1"/>
    <w:rsid w:val="00B813DB"/>
    <w:rsid w:val="00B81E80"/>
    <w:rsid w:val="00B91315"/>
    <w:rsid w:val="00BA5AD5"/>
    <w:rsid w:val="00BD0B7C"/>
    <w:rsid w:val="00BF1986"/>
    <w:rsid w:val="00BF534A"/>
    <w:rsid w:val="00BF5AB9"/>
    <w:rsid w:val="00C1100B"/>
    <w:rsid w:val="00C12D63"/>
    <w:rsid w:val="00C21B5A"/>
    <w:rsid w:val="00C23A0E"/>
    <w:rsid w:val="00C3046D"/>
    <w:rsid w:val="00C30735"/>
    <w:rsid w:val="00C321EA"/>
    <w:rsid w:val="00C4633C"/>
    <w:rsid w:val="00C61A37"/>
    <w:rsid w:val="00C715C0"/>
    <w:rsid w:val="00C715DF"/>
    <w:rsid w:val="00C7413E"/>
    <w:rsid w:val="00C86920"/>
    <w:rsid w:val="00C921CD"/>
    <w:rsid w:val="00C9493A"/>
    <w:rsid w:val="00CA191D"/>
    <w:rsid w:val="00CB6C0A"/>
    <w:rsid w:val="00CE4F8C"/>
    <w:rsid w:val="00CE6763"/>
    <w:rsid w:val="00CF71AD"/>
    <w:rsid w:val="00D15ABE"/>
    <w:rsid w:val="00D20120"/>
    <w:rsid w:val="00D22EA4"/>
    <w:rsid w:val="00D23D2E"/>
    <w:rsid w:val="00D2676A"/>
    <w:rsid w:val="00D30153"/>
    <w:rsid w:val="00D32832"/>
    <w:rsid w:val="00D341BF"/>
    <w:rsid w:val="00D36AA0"/>
    <w:rsid w:val="00D37103"/>
    <w:rsid w:val="00D5260F"/>
    <w:rsid w:val="00D715D4"/>
    <w:rsid w:val="00D76EE7"/>
    <w:rsid w:val="00D85169"/>
    <w:rsid w:val="00D94D56"/>
    <w:rsid w:val="00D96C7C"/>
    <w:rsid w:val="00DA267D"/>
    <w:rsid w:val="00DB395D"/>
    <w:rsid w:val="00DC57B4"/>
    <w:rsid w:val="00DE0FEA"/>
    <w:rsid w:val="00DF5484"/>
    <w:rsid w:val="00DF7DAE"/>
    <w:rsid w:val="00E02D6B"/>
    <w:rsid w:val="00E20B0E"/>
    <w:rsid w:val="00E2773B"/>
    <w:rsid w:val="00E30AFB"/>
    <w:rsid w:val="00E3277C"/>
    <w:rsid w:val="00E43CDD"/>
    <w:rsid w:val="00E5265B"/>
    <w:rsid w:val="00E62048"/>
    <w:rsid w:val="00E83208"/>
    <w:rsid w:val="00E836E3"/>
    <w:rsid w:val="00E92E47"/>
    <w:rsid w:val="00EB0645"/>
    <w:rsid w:val="00EB1A86"/>
    <w:rsid w:val="00EB325C"/>
    <w:rsid w:val="00EC06DF"/>
    <w:rsid w:val="00EC0C69"/>
    <w:rsid w:val="00EC690D"/>
    <w:rsid w:val="00ED2775"/>
    <w:rsid w:val="00ED4BF6"/>
    <w:rsid w:val="00ED56FD"/>
    <w:rsid w:val="00EE61F2"/>
    <w:rsid w:val="00EF61ED"/>
    <w:rsid w:val="00F1244F"/>
    <w:rsid w:val="00F12896"/>
    <w:rsid w:val="00F15F54"/>
    <w:rsid w:val="00F2111C"/>
    <w:rsid w:val="00F301CC"/>
    <w:rsid w:val="00F315CF"/>
    <w:rsid w:val="00F33CD5"/>
    <w:rsid w:val="00F428E2"/>
    <w:rsid w:val="00F5760F"/>
    <w:rsid w:val="00F60E6B"/>
    <w:rsid w:val="00F6301F"/>
    <w:rsid w:val="00F65758"/>
    <w:rsid w:val="00F82291"/>
    <w:rsid w:val="00F90CB4"/>
    <w:rsid w:val="00F913BA"/>
    <w:rsid w:val="00F933A9"/>
    <w:rsid w:val="00FB6D31"/>
    <w:rsid w:val="00FC218F"/>
    <w:rsid w:val="00FC511D"/>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BE1"/>
  <w15:docId w15:val="{E494ED95-BA83-4226-AFD1-3CA7C60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 w:type="character" w:styleId="Emphasis">
    <w:name w:val="Emphasis"/>
    <w:basedOn w:val="DefaultParagraphFont"/>
    <w:uiPriority w:val="20"/>
    <w:qFormat/>
    <w:rsid w:val="001B4BAC"/>
    <w:rPr>
      <w:i/>
      <w:iCs/>
    </w:rPr>
  </w:style>
  <w:style w:type="paragraph" w:styleId="Revision">
    <w:name w:val="Revision"/>
    <w:hidden/>
    <w:uiPriority w:val="99"/>
    <w:semiHidden/>
    <w:rsid w:val="006C29E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142">
      <w:bodyDiv w:val="1"/>
      <w:marLeft w:val="0"/>
      <w:marRight w:val="0"/>
      <w:marTop w:val="0"/>
      <w:marBottom w:val="0"/>
      <w:divBdr>
        <w:top w:val="none" w:sz="0" w:space="0" w:color="auto"/>
        <w:left w:val="none" w:sz="0" w:space="0" w:color="auto"/>
        <w:bottom w:val="none" w:sz="0" w:space="0" w:color="auto"/>
        <w:right w:val="none" w:sz="0" w:space="0" w:color="auto"/>
      </w:divBdr>
    </w:div>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EC4-B9AC-4E83-B19C-E65F41E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2022-08-03T11:58:00Z</cp:lastPrinted>
  <dcterms:created xsi:type="dcterms:W3CDTF">2022-08-08T12:25:00Z</dcterms:created>
  <dcterms:modified xsi:type="dcterms:W3CDTF">2022-08-08T12:25:00Z</dcterms:modified>
</cp:coreProperties>
</file>