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4448" w14:textId="77777777" w:rsidR="000B300C" w:rsidRPr="000B300C" w:rsidRDefault="000B300C" w:rsidP="000B300C">
      <w:pPr>
        <w:spacing w:after="0" w:line="240" w:lineRule="auto"/>
        <w:jc w:val="center"/>
        <w:rPr>
          <w:rFonts w:ascii="Times New Roman" w:eastAsia="Calibri" w:hAnsi="Times New Roman" w:cs="Times New Roman"/>
          <w:b/>
          <w:sz w:val="25"/>
          <w:szCs w:val="25"/>
        </w:rPr>
      </w:pPr>
      <w:r w:rsidRPr="000B300C">
        <w:rPr>
          <w:rFonts w:ascii="Times New Roman" w:eastAsia="Calibri" w:hAnsi="Times New Roman" w:cs="Times New Roman"/>
          <w:b/>
          <w:sz w:val="25"/>
          <w:szCs w:val="25"/>
        </w:rPr>
        <w:t>COMMONWEALTH OF MASSACHUSETTS</w:t>
      </w:r>
    </w:p>
    <w:p w14:paraId="0D424EA2" w14:textId="77777777" w:rsidR="000B300C" w:rsidRPr="000B300C" w:rsidRDefault="000B300C" w:rsidP="000B300C">
      <w:pPr>
        <w:spacing w:after="0" w:line="240" w:lineRule="auto"/>
        <w:jc w:val="center"/>
        <w:rPr>
          <w:rFonts w:ascii="Times New Roman" w:eastAsia="Calibri" w:hAnsi="Times New Roman" w:cs="Times New Roman"/>
          <w:b/>
          <w:sz w:val="25"/>
          <w:szCs w:val="25"/>
        </w:rPr>
      </w:pPr>
      <w:r w:rsidRPr="000B300C">
        <w:rPr>
          <w:rFonts w:ascii="Times New Roman" w:eastAsia="Calibri" w:hAnsi="Times New Roman" w:cs="Times New Roman"/>
          <w:b/>
          <w:sz w:val="25"/>
          <w:szCs w:val="25"/>
        </w:rPr>
        <w:t>DIVISION OF ADMININSTRATIVE LAW APPEALS</w:t>
      </w:r>
    </w:p>
    <w:p w14:paraId="43CF5379" w14:textId="77777777" w:rsidR="000B300C" w:rsidRPr="000B300C" w:rsidRDefault="000B300C" w:rsidP="000B300C">
      <w:pPr>
        <w:spacing w:after="0" w:line="240" w:lineRule="auto"/>
        <w:jc w:val="center"/>
        <w:rPr>
          <w:rFonts w:ascii="Times New Roman" w:eastAsia="Calibri" w:hAnsi="Times New Roman" w:cs="Times New Roman"/>
          <w:b/>
          <w:sz w:val="25"/>
          <w:szCs w:val="25"/>
        </w:rPr>
      </w:pPr>
      <w:r w:rsidRPr="000B300C">
        <w:rPr>
          <w:rFonts w:ascii="Times New Roman" w:eastAsia="Calibri" w:hAnsi="Times New Roman" w:cs="Times New Roman"/>
          <w:b/>
          <w:sz w:val="25"/>
          <w:szCs w:val="25"/>
        </w:rPr>
        <w:t>BUREAU OF SPECIAL EDUCATION APPEALS</w:t>
      </w:r>
    </w:p>
    <w:p w14:paraId="03C232C3" w14:textId="77777777" w:rsidR="000B300C" w:rsidRPr="000B300C" w:rsidRDefault="000B300C" w:rsidP="000B300C">
      <w:pPr>
        <w:spacing w:after="0" w:line="240" w:lineRule="auto"/>
        <w:jc w:val="center"/>
        <w:rPr>
          <w:rFonts w:ascii="Times New Roman" w:eastAsia="Calibri" w:hAnsi="Times New Roman" w:cs="Times New Roman"/>
          <w:sz w:val="25"/>
          <w:szCs w:val="25"/>
        </w:rPr>
      </w:pPr>
    </w:p>
    <w:p w14:paraId="4C22023C" w14:textId="77777777" w:rsidR="000B300C" w:rsidRPr="000B300C" w:rsidRDefault="000B300C" w:rsidP="000B300C">
      <w:pPr>
        <w:spacing w:after="0" w:line="240" w:lineRule="auto"/>
        <w:jc w:val="center"/>
        <w:rPr>
          <w:rFonts w:ascii="Times New Roman" w:eastAsia="Calibri" w:hAnsi="Times New Roman" w:cs="Times New Roman"/>
          <w:sz w:val="24"/>
          <w:szCs w:val="24"/>
        </w:rPr>
      </w:pPr>
    </w:p>
    <w:p w14:paraId="10CA04C7" w14:textId="75F87A9D" w:rsidR="000B300C" w:rsidRPr="000B300C" w:rsidRDefault="000B300C" w:rsidP="000B300C">
      <w:pPr>
        <w:spacing w:after="0" w:line="240" w:lineRule="auto"/>
        <w:rPr>
          <w:rFonts w:ascii="Times New Roman" w:eastAsia="Calibri" w:hAnsi="Times New Roman" w:cs="Times New Roman"/>
          <w:b/>
          <w:sz w:val="24"/>
          <w:szCs w:val="24"/>
        </w:rPr>
      </w:pPr>
      <w:r w:rsidRPr="000B300C">
        <w:rPr>
          <w:rFonts w:ascii="Times New Roman" w:eastAsia="Calibri" w:hAnsi="Times New Roman" w:cs="Times New Roman"/>
          <w:sz w:val="24"/>
          <w:szCs w:val="24"/>
        </w:rPr>
        <w:t xml:space="preserve">In re:    </w:t>
      </w:r>
      <w:r w:rsidR="001068CB">
        <w:rPr>
          <w:rFonts w:ascii="Times New Roman" w:eastAsia="Calibri" w:hAnsi="Times New Roman" w:cs="Times New Roman"/>
          <w:sz w:val="24"/>
          <w:szCs w:val="24"/>
        </w:rPr>
        <w:t>Zeke</w:t>
      </w:r>
      <w:r w:rsidR="006C467F">
        <w:rPr>
          <w:rStyle w:val="FootnoteReference"/>
          <w:rFonts w:ascii="Times New Roman" w:eastAsia="Calibri" w:hAnsi="Times New Roman" w:cs="Times New Roman"/>
          <w:sz w:val="24"/>
          <w:szCs w:val="24"/>
        </w:rPr>
        <w:footnoteReference w:id="1"/>
      </w:r>
      <w:r w:rsidR="006C467F">
        <w:rPr>
          <w:rFonts w:ascii="Times New Roman" w:eastAsia="Calibri" w:hAnsi="Times New Roman" w:cs="Times New Roman"/>
          <w:sz w:val="24"/>
          <w:szCs w:val="24"/>
        </w:rPr>
        <w:t xml:space="preserve"> </w:t>
      </w:r>
      <w:r w:rsidRPr="000B300C">
        <w:rPr>
          <w:rFonts w:ascii="Times New Roman" w:eastAsia="Calibri" w:hAnsi="Times New Roman" w:cs="Times New Roman"/>
          <w:sz w:val="24"/>
          <w:szCs w:val="24"/>
        </w:rPr>
        <w:tab/>
      </w:r>
      <w:r w:rsidRPr="000B300C">
        <w:rPr>
          <w:rFonts w:ascii="Times New Roman" w:eastAsia="Calibri" w:hAnsi="Times New Roman" w:cs="Times New Roman"/>
          <w:sz w:val="24"/>
          <w:szCs w:val="24"/>
        </w:rPr>
        <w:tab/>
      </w:r>
      <w:r w:rsidR="00702395">
        <w:rPr>
          <w:rFonts w:ascii="Times New Roman" w:eastAsia="Calibri" w:hAnsi="Times New Roman" w:cs="Times New Roman"/>
          <w:sz w:val="24"/>
          <w:szCs w:val="24"/>
        </w:rPr>
        <w:tab/>
      </w:r>
      <w:r w:rsidR="00702395">
        <w:rPr>
          <w:rFonts w:ascii="Times New Roman" w:eastAsia="Calibri" w:hAnsi="Times New Roman" w:cs="Times New Roman"/>
          <w:sz w:val="24"/>
          <w:szCs w:val="24"/>
        </w:rPr>
        <w:tab/>
      </w:r>
      <w:r w:rsidR="00702395">
        <w:rPr>
          <w:rFonts w:ascii="Times New Roman" w:eastAsia="Calibri" w:hAnsi="Times New Roman" w:cs="Times New Roman"/>
          <w:sz w:val="24"/>
          <w:szCs w:val="24"/>
        </w:rPr>
        <w:tab/>
      </w:r>
      <w:r w:rsidR="00C70A9A">
        <w:rPr>
          <w:rFonts w:ascii="Times New Roman" w:eastAsia="Calibri" w:hAnsi="Times New Roman" w:cs="Times New Roman"/>
          <w:sz w:val="24"/>
          <w:szCs w:val="24"/>
        </w:rPr>
        <w:tab/>
      </w:r>
      <w:r w:rsidR="00C70A9A">
        <w:rPr>
          <w:rFonts w:ascii="Times New Roman" w:eastAsia="Calibri" w:hAnsi="Times New Roman" w:cs="Times New Roman"/>
          <w:sz w:val="24"/>
          <w:szCs w:val="24"/>
        </w:rPr>
        <w:tab/>
      </w:r>
      <w:r w:rsidR="00C70A9A">
        <w:rPr>
          <w:rFonts w:ascii="Times New Roman" w:eastAsia="Calibri" w:hAnsi="Times New Roman" w:cs="Times New Roman"/>
          <w:sz w:val="24"/>
          <w:szCs w:val="24"/>
        </w:rPr>
        <w:tab/>
      </w:r>
      <w:r w:rsidRPr="000B300C">
        <w:rPr>
          <w:rFonts w:ascii="Times New Roman" w:eastAsia="Calibri" w:hAnsi="Times New Roman" w:cs="Times New Roman"/>
          <w:sz w:val="24"/>
          <w:szCs w:val="24"/>
        </w:rPr>
        <w:t>BSEA</w:t>
      </w:r>
      <w:r w:rsidRPr="000B300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002B6503">
        <w:rPr>
          <w:rFonts w:ascii="Times New Roman" w:eastAsia="Calibri" w:hAnsi="Times New Roman" w:cs="Times New Roman"/>
          <w:sz w:val="24"/>
          <w:szCs w:val="24"/>
        </w:rPr>
        <w:t>2</w:t>
      </w:r>
      <w:r w:rsidR="004D1BBF">
        <w:rPr>
          <w:rFonts w:ascii="Times New Roman" w:eastAsia="Calibri" w:hAnsi="Times New Roman" w:cs="Times New Roman"/>
          <w:sz w:val="24"/>
          <w:szCs w:val="24"/>
        </w:rPr>
        <w:t>300305</w:t>
      </w:r>
    </w:p>
    <w:p w14:paraId="3125FCD8" w14:textId="77777777" w:rsidR="000B300C" w:rsidRPr="000B300C" w:rsidRDefault="000B300C" w:rsidP="000B300C">
      <w:pPr>
        <w:spacing w:after="0" w:line="240" w:lineRule="auto"/>
        <w:rPr>
          <w:rFonts w:ascii="Times New Roman" w:eastAsia="Calibri" w:hAnsi="Times New Roman" w:cs="Times New Roman"/>
          <w:b/>
          <w:sz w:val="24"/>
          <w:szCs w:val="24"/>
        </w:rPr>
      </w:pPr>
    </w:p>
    <w:p w14:paraId="1961A6F0" w14:textId="179751A3" w:rsidR="000B300C" w:rsidRDefault="00951824" w:rsidP="008A67A4">
      <w:pPr>
        <w:spacing w:after="0" w:line="240" w:lineRule="auto"/>
        <w:jc w:val="center"/>
        <w:rPr>
          <w:rFonts w:ascii="Times New Roman" w:eastAsia="Calibri" w:hAnsi="Times New Roman" w:cs="Times New Roman"/>
          <w:b/>
          <w:sz w:val="24"/>
          <w:szCs w:val="24"/>
          <w:u w:val="single"/>
        </w:rPr>
      </w:pPr>
      <w:r w:rsidRPr="005831CD">
        <w:rPr>
          <w:rFonts w:ascii="Times New Roman" w:eastAsia="Calibri" w:hAnsi="Times New Roman" w:cs="Times New Roman"/>
          <w:b/>
          <w:i/>
          <w:iCs/>
          <w:sz w:val="24"/>
          <w:szCs w:val="24"/>
          <w:u w:val="single"/>
        </w:rPr>
        <w:t>SUA</w:t>
      </w:r>
      <w:r>
        <w:rPr>
          <w:rFonts w:ascii="Times New Roman" w:eastAsia="Calibri" w:hAnsi="Times New Roman" w:cs="Times New Roman"/>
          <w:b/>
          <w:sz w:val="24"/>
          <w:szCs w:val="24"/>
          <w:u w:val="single"/>
        </w:rPr>
        <w:t xml:space="preserve"> </w:t>
      </w:r>
      <w:r w:rsidRPr="005831CD">
        <w:rPr>
          <w:rFonts w:ascii="Times New Roman" w:eastAsia="Calibri" w:hAnsi="Times New Roman" w:cs="Times New Roman"/>
          <w:b/>
          <w:i/>
          <w:iCs/>
          <w:sz w:val="24"/>
          <w:szCs w:val="24"/>
          <w:u w:val="single"/>
        </w:rPr>
        <w:t>SPONTE</w:t>
      </w:r>
      <w:r>
        <w:rPr>
          <w:rFonts w:ascii="Times New Roman" w:eastAsia="Calibri" w:hAnsi="Times New Roman" w:cs="Times New Roman"/>
          <w:b/>
          <w:sz w:val="24"/>
          <w:szCs w:val="24"/>
          <w:u w:val="single"/>
        </w:rPr>
        <w:t xml:space="preserve"> DISMISSAL OF BUREAU OF SPECIAL EDUCATION APPEALS DIRECTOR AS A PARTY</w:t>
      </w:r>
    </w:p>
    <w:p w14:paraId="29E8C908" w14:textId="62750827" w:rsidR="00F97A17" w:rsidRDefault="00F97A17" w:rsidP="000B300C">
      <w:pPr>
        <w:spacing w:after="0" w:line="240" w:lineRule="auto"/>
        <w:jc w:val="center"/>
        <w:rPr>
          <w:rFonts w:ascii="Times New Roman" w:eastAsia="Calibri" w:hAnsi="Times New Roman" w:cs="Times New Roman"/>
          <w:b/>
          <w:sz w:val="24"/>
          <w:szCs w:val="24"/>
          <w:u w:val="single"/>
        </w:rPr>
      </w:pPr>
    </w:p>
    <w:p w14:paraId="0FD79845" w14:textId="306D830E" w:rsidR="00951824" w:rsidRDefault="00F97A17" w:rsidP="0049715F">
      <w:pPr>
        <w:pStyle w:val="BodyText2"/>
      </w:pPr>
      <w:r>
        <w:tab/>
      </w:r>
      <w:r w:rsidR="00951824">
        <w:t xml:space="preserve">On July 8, 2022, Parent filed a </w:t>
      </w:r>
      <w:r w:rsidR="00951824">
        <w:rPr>
          <w:i/>
          <w:iCs/>
        </w:rPr>
        <w:t>Hearing Request</w:t>
      </w:r>
      <w:r w:rsidR="005831CD">
        <w:rPr>
          <w:i/>
          <w:iCs/>
        </w:rPr>
        <w:t xml:space="preserve"> </w:t>
      </w:r>
      <w:r w:rsidR="005831CD">
        <w:t>against multiple parties</w:t>
      </w:r>
      <w:r w:rsidR="005831CD">
        <w:rPr>
          <w:i/>
          <w:iCs/>
        </w:rPr>
        <w:t xml:space="preserve"> </w:t>
      </w:r>
      <w:r w:rsidR="005831CD">
        <w:t xml:space="preserve">regarding events that took place during the summer of 2022, in connection with </w:t>
      </w:r>
      <w:r w:rsidR="00AB0BD7">
        <w:t>Zeke’s</w:t>
      </w:r>
      <w:r w:rsidR="005831CD">
        <w:t xml:space="preserve"> twenty-second birthday and his transition from special education to adult services. Specifically</w:t>
      </w:r>
      <w:r w:rsidR="005831CD">
        <w:rPr>
          <w:i/>
          <w:iCs/>
        </w:rPr>
        <w:t xml:space="preserve">, </w:t>
      </w:r>
      <w:r w:rsidR="005831CD">
        <w:t xml:space="preserve">Parent named as respondents </w:t>
      </w:r>
      <w:r w:rsidR="00951824">
        <w:t xml:space="preserve">Pembroke Public Schools, the Department of Elementary and Secondary Education, the </w:t>
      </w:r>
      <w:r w:rsidR="005831CD">
        <w:t xml:space="preserve">Director of the </w:t>
      </w:r>
      <w:r w:rsidR="00951824">
        <w:t>Bureau of Special Education Appeals</w:t>
      </w:r>
      <w:r w:rsidR="005831CD">
        <w:t xml:space="preserve"> (BSEA)</w:t>
      </w:r>
      <w:r w:rsidR="00951824">
        <w:t>, the Department of Developmental Services, the Department of Early Education and Care, and the Evergreen Center.</w:t>
      </w:r>
    </w:p>
    <w:p w14:paraId="2CE58391" w14:textId="7BF5260B" w:rsidR="005831CD" w:rsidRDefault="005831CD" w:rsidP="0049715F">
      <w:pPr>
        <w:pStyle w:val="BodyText2"/>
      </w:pPr>
    </w:p>
    <w:p w14:paraId="06C16212" w14:textId="240CD615" w:rsidR="005831CD" w:rsidRPr="005831CD" w:rsidRDefault="005831CD" w:rsidP="0049715F">
      <w:pPr>
        <w:pStyle w:val="BodyText2"/>
      </w:pPr>
      <w:r>
        <w:tab/>
        <w:t xml:space="preserve">Because a Hearing Officer of the BSEA cannot, </w:t>
      </w:r>
      <w:r w:rsidR="004958AB">
        <w:t>consistent</w:t>
      </w:r>
      <w:r>
        <w:t xml:space="preserve"> with BSEA</w:t>
      </w:r>
      <w:r w:rsidR="00821C5B">
        <w:t xml:space="preserve"> jurisdiction</w:t>
      </w:r>
      <w:r>
        <w:t xml:space="preserve"> and </w:t>
      </w:r>
      <w:r w:rsidR="004958AB">
        <w:t>legal</w:t>
      </w:r>
      <w:r>
        <w:t xml:space="preserve"> precedent, hear and decide claims against the BSEA Director, </w:t>
      </w:r>
      <w:r w:rsidR="00CD634B">
        <w:t xml:space="preserve">and because this is not the appropriate forum for Parent’s allegations regarding </w:t>
      </w:r>
      <w:r w:rsidR="001068CB">
        <w:t xml:space="preserve">the BSEA Director’s </w:t>
      </w:r>
      <w:r w:rsidR="00CD634B">
        <w:t>conduct in a separate case, I hereby dismiss the BSEA Director as a party in this matter</w:t>
      </w:r>
      <w:r>
        <w:t xml:space="preserve"> </w:t>
      </w:r>
      <w:proofErr w:type="spellStart"/>
      <w:r>
        <w:rPr>
          <w:i/>
          <w:iCs/>
        </w:rPr>
        <w:t>sua</w:t>
      </w:r>
      <w:proofErr w:type="spellEnd"/>
      <w:r>
        <w:rPr>
          <w:i/>
          <w:iCs/>
        </w:rPr>
        <w:t xml:space="preserve"> sponte</w:t>
      </w:r>
      <w:r w:rsidR="00CD634B">
        <w:t xml:space="preserve">. </w:t>
      </w:r>
      <w:r w:rsidR="0042226D">
        <w:t>As I have concluded that I cannot exercise jurisdiction over the BSEA or its Director</w:t>
      </w:r>
      <w:r w:rsidR="00821C5B">
        <w:t xml:space="preserve"> and that </w:t>
      </w:r>
      <w:r w:rsidR="001068CB">
        <w:t xml:space="preserve">any </w:t>
      </w:r>
      <w:r w:rsidR="00821C5B">
        <w:t>amendment</w:t>
      </w:r>
      <w:r w:rsidR="001068CB">
        <w:t xml:space="preserve"> Parent might make to her </w:t>
      </w:r>
      <w:r w:rsidR="001068CB">
        <w:rPr>
          <w:i/>
          <w:iCs/>
        </w:rPr>
        <w:t>Hearing Request</w:t>
      </w:r>
      <w:r w:rsidR="00821C5B">
        <w:t xml:space="preserve"> in this regard would be futile</w:t>
      </w:r>
      <w:r w:rsidR="0042226D">
        <w:t xml:space="preserve"> for the</w:t>
      </w:r>
      <w:r w:rsidR="00CD634B">
        <w:t xml:space="preserve"> reason</w:t>
      </w:r>
      <w:r w:rsidR="0042226D">
        <w:t>s</w:t>
      </w:r>
      <w:r w:rsidR="00CD634B">
        <w:t xml:space="preserve"> below</w:t>
      </w:r>
      <w:r w:rsidR="0042226D">
        <w:t xml:space="preserve">, I have not </w:t>
      </w:r>
      <w:r w:rsidR="00F96430">
        <w:t>given</w:t>
      </w:r>
      <w:r w:rsidR="0042226D">
        <w:t xml:space="preserve"> the parties the opportunity to offer arguments on the issue. As such, the parties may not</w:t>
      </w:r>
      <w:r w:rsidR="004958AB">
        <w:t>e</w:t>
      </w:r>
      <w:r w:rsidR="0042226D">
        <w:t xml:space="preserve"> their objections </w:t>
      </w:r>
      <w:r w:rsidR="004958AB">
        <w:t xml:space="preserve">to be preserved in the </w:t>
      </w:r>
      <w:r w:rsidR="0042226D">
        <w:t xml:space="preserve">record, as </w:t>
      </w:r>
      <w:r w:rsidR="00F96430">
        <w:t>provided</w:t>
      </w:r>
      <w:r w:rsidR="0042226D">
        <w:t xml:space="preserve"> in the Order below.</w:t>
      </w:r>
    </w:p>
    <w:p w14:paraId="5FFF313D" w14:textId="77777777" w:rsidR="00951824" w:rsidRDefault="00951824" w:rsidP="0049715F">
      <w:pPr>
        <w:pStyle w:val="BodyText2"/>
      </w:pPr>
    </w:p>
    <w:p w14:paraId="7143C26C" w14:textId="4F86A311" w:rsidR="004E5466" w:rsidRDefault="004E5466" w:rsidP="00F97A17">
      <w:pPr>
        <w:pStyle w:val="BodyText2"/>
      </w:pPr>
    </w:p>
    <w:p w14:paraId="7B2AAA80" w14:textId="718EE1E0" w:rsidR="004E5466" w:rsidRPr="004E5466" w:rsidRDefault="00CD634B" w:rsidP="004958AB">
      <w:pPr>
        <w:pStyle w:val="BodyText2"/>
        <w:numPr>
          <w:ilvl w:val="0"/>
          <w:numId w:val="6"/>
        </w:numPr>
        <w:rPr>
          <w:u w:val="single"/>
        </w:rPr>
      </w:pPr>
      <w:r>
        <w:rPr>
          <w:u w:val="single"/>
        </w:rPr>
        <w:t xml:space="preserve">RELEVANT FACTUAL BACKGROUND AND </w:t>
      </w:r>
      <w:r w:rsidR="004E5466">
        <w:rPr>
          <w:u w:val="single"/>
        </w:rPr>
        <w:t>PROCEDURAL HISTORY</w:t>
      </w:r>
    </w:p>
    <w:p w14:paraId="5500A901" w14:textId="77777777" w:rsidR="002B6503" w:rsidRDefault="002B6503" w:rsidP="00F97A17">
      <w:pPr>
        <w:pStyle w:val="BodyText2"/>
      </w:pPr>
    </w:p>
    <w:p w14:paraId="173CAC83" w14:textId="05C4556E" w:rsidR="00CD634B" w:rsidRDefault="00FA7969" w:rsidP="00FA7969">
      <w:pPr>
        <w:pStyle w:val="BodyText2"/>
        <w:ind w:firstLine="720"/>
      </w:pPr>
      <w:r>
        <w:t xml:space="preserve">In her </w:t>
      </w:r>
      <w:r>
        <w:rPr>
          <w:i/>
          <w:iCs/>
        </w:rPr>
        <w:t>Hearing Request</w:t>
      </w:r>
      <w:r>
        <w:t xml:space="preserve">, Parent sets forth her allegations regarding each party under a separate section naming that party – </w:t>
      </w:r>
      <w:proofErr w:type="gramStart"/>
      <w:r>
        <w:t>with the exception of</w:t>
      </w:r>
      <w:proofErr w:type="gramEnd"/>
      <w:r>
        <w:t xml:space="preserve"> the BSEA Director. Allegations regarding the BSEA Director appear </w:t>
      </w:r>
      <w:r w:rsidR="00821C5B">
        <w:t>in the</w:t>
      </w:r>
      <w:r>
        <w:t xml:space="preserve"> section entitled “Department of Elementary and Secondary Education” </w:t>
      </w:r>
      <w:r w:rsidR="00F43AC7">
        <w:t xml:space="preserve">(DESE) </w:t>
      </w:r>
      <w:r>
        <w:t>and</w:t>
      </w:r>
      <w:r w:rsidR="00CD634B">
        <w:t xml:space="preserve"> </w:t>
      </w:r>
      <w:r w:rsidR="00B030DE">
        <w:t xml:space="preserve">generally assert that she has a “close” or “comfortable” relationship with the law firm that represents Pembroke Public Schools, </w:t>
      </w:r>
      <w:r w:rsidR="00F43AC7">
        <w:t xml:space="preserve">constituting a “violation” by DESE </w:t>
      </w:r>
      <w:r w:rsidR="00B030DE">
        <w:t xml:space="preserve">of </w:t>
      </w:r>
      <w:r w:rsidR="00F43AC7">
        <w:t>“</w:t>
      </w:r>
      <w:r w:rsidR="00B030DE">
        <w:t>conflict of interest regulations.</w:t>
      </w:r>
      <w:r w:rsidR="00F43AC7">
        <w:t>”</w:t>
      </w:r>
      <w:r w:rsidR="00B030DE">
        <w:t xml:space="preserve"> The only reference</w:t>
      </w:r>
      <w:r w:rsidR="00AB0BD7">
        <w:t xml:space="preserve"> in the </w:t>
      </w:r>
      <w:r w:rsidR="00AB0BD7">
        <w:rPr>
          <w:i/>
          <w:iCs/>
        </w:rPr>
        <w:t>Hearing Request</w:t>
      </w:r>
      <w:r w:rsidR="00B030DE">
        <w:t xml:space="preserve"> to</w:t>
      </w:r>
      <w:r w:rsidR="00F43AC7">
        <w:t xml:space="preserve"> the BSEA Director</w:t>
      </w:r>
      <w:r w:rsidR="00821C5B">
        <w:t xml:space="preserve"> specific to these parties relates</w:t>
      </w:r>
      <w:r w:rsidR="00CD634B">
        <w:t xml:space="preserve"> </w:t>
      </w:r>
      <w:r w:rsidR="001068CB">
        <w:t xml:space="preserve">to </w:t>
      </w:r>
      <w:r>
        <w:t>a</w:t>
      </w:r>
      <w:r w:rsidR="00CD634B">
        <w:t xml:space="preserve"> previous case involving Parent, </w:t>
      </w:r>
      <w:r w:rsidR="00AB0BD7">
        <w:t>Zeke</w:t>
      </w:r>
      <w:r w:rsidR="00CD634B">
        <w:t>, and the Pembroke Public Schools</w:t>
      </w:r>
      <w:r w:rsidR="00AB0BD7">
        <w:t>, wherein Parent alleges</w:t>
      </w:r>
      <w:r w:rsidR="00B030DE">
        <w:t xml:space="preserve"> that</w:t>
      </w:r>
      <w:r w:rsidR="00A15447">
        <w:t xml:space="preserve"> in the previous matter,</w:t>
      </w:r>
      <w:r w:rsidR="00B030DE">
        <w:t xml:space="preserve"> </w:t>
      </w:r>
      <w:r w:rsidR="00CD634B">
        <w:t xml:space="preserve">the BSEA Director </w:t>
      </w:r>
      <w:r>
        <w:t>improperly discussed scheduling with Pembroke Public Schools’ Attorney</w:t>
      </w:r>
      <w:r w:rsidR="00B030DE">
        <w:t>.</w:t>
      </w:r>
      <w:r w:rsidR="00F43AC7">
        <w:rPr>
          <w:rStyle w:val="FootnoteReference"/>
        </w:rPr>
        <w:footnoteReference w:id="2"/>
      </w:r>
      <w:r w:rsidR="00B030DE">
        <w:t xml:space="preserve"> </w:t>
      </w:r>
    </w:p>
    <w:p w14:paraId="348FA808" w14:textId="062E1BF1" w:rsidR="00CD634B" w:rsidRDefault="00CD634B" w:rsidP="00803225">
      <w:pPr>
        <w:pStyle w:val="BodyText2"/>
        <w:ind w:firstLine="720"/>
      </w:pPr>
    </w:p>
    <w:p w14:paraId="31F2A8A5" w14:textId="439FFD6D" w:rsidR="00CD634B" w:rsidRDefault="00CD634B" w:rsidP="00FD32DE">
      <w:pPr>
        <w:pStyle w:val="BodyText2"/>
        <w:ind w:firstLine="720"/>
      </w:pPr>
      <w:r>
        <w:t>Regarding the BSEA more generally, Parent states that th</w:t>
      </w:r>
      <w:r w:rsidR="001068CB">
        <w:t>e undersigned</w:t>
      </w:r>
      <w:r>
        <w:t xml:space="preserve"> Hearing Officer, who presided over the previous case, improperly permitted a representative of Evergreen, which was not a named party, to participate in a Conference Call regarding that case. </w:t>
      </w:r>
      <w:r w:rsidR="001068CB">
        <w:t>In that case, t</w:t>
      </w:r>
      <w:r>
        <w:t xml:space="preserve">his issue was </w:t>
      </w:r>
      <w:r w:rsidR="00A15447">
        <w:t>brought to the Hearing Officer’s attenti</w:t>
      </w:r>
      <w:r w:rsidR="001068CB">
        <w:t xml:space="preserve">on </w:t>
      </w:r>
      <w:r w:rsidR="00A15447">
        <w:t>shortly before the Hearing. It was addressed then, and the decision in that case is pending.</w:t>
      </w:r>
    </w:p>
    <w:p w14:paraId="22DCCA64" w14:textId="77777777" w:rsidR="00CD634B" w:rsidRDefault="00CD634B" w:rsidP="00FD32DE">
      <w:pPr>
        <w:pStyle w:val="BodyText2"/>
        <w:ind w:firstLine="720"/>
      </w:pPr>
    </w:p>
    <w:p w14:paraId="7E4E6409" w14:textId="11177811" w:rsidR="00CD634B" w:rsidRPr="00A15447" w:rsidRDefault="00CD634B" w:rsidP="00FD32DE">
      <w:pPr>
        <w:spacing w:after="0" w:line="240" w:lineRule="auto"/>
        <w:rPr>
          <w:rFonts w:ascii="Times New Roman" w:eastAsia="Calibri" w:hAnsi="Times New Roman" w:cs="Times New Roman"/>
          <w:sz w:val="24"/>
          <w:szCs w:val="24"/>
          <w:u w:val="single"/>
        </w:rPr>
      </w:pPr>
    </w:p>
    <w:p w14:paraId="36C979D7" w14:textId="73D1DE6F" w:rsidR="00CD634B" w:rsidRPr="004958AB" w:rsidRDefault="00E77FEF" w:rsidP="00FD32DE">
      <w:pPr>
        <w:pStyle w:val="ListParagraph"/>
        <w:numPr>
          <w:ilvl w:val="0"/>
          <w:numId w:val="6"/>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7D001174" w14:textId="06AA895A" w:rsidR="00A15447" w:rsidRDefault="00A15447" w:rsidP="00FD32DE">
      <w:pPr>
        <w:spacing w:after="0" w:line="240" w:lineRule="auto"/>
        <w:rPr>
          <w:rFonts w:ascii="Times New Roman" w:hAnsi="Times New Roman" w:cs="Times New Roman"/>
          <w:sz w:val="24"/>
          <w:szCs w:val="24"/>
          <w:u w:val="single"/>
        </w:rPr>
      </w:pPr>
    </w:p>
    <w:p w14:paraId="14ADEB27" w14:textId="333351FD" w:rsidR="004958AB" w:rsidRDefault="00A15447" w:rsidP="00FD32DE">
      <w:pPr>
        <w:spacing w:after="0" w:line="240" w:lineRule="auto"/>
        <w:rPr>
          <w:rFonts w:ascii="Times New Roman" w:eastAsia="Century Schoolbook" w:hAnsi="Times New Roman" w:cs="Times New Roman"/>
          <w:color w:val="000000"/>
          <w:sz w:val="24"/>
          <w:szCs w:val="24"/>
        </w:rPr>
      </w:pPr>
      <w:r>
        <w:rPr>
          <w:rFonts w:ascii="Times New Roman" w:hAnsi="Times New Roman" w:cs="Times New Roman"/>
          <w:sz w:val="24"/>
          <w:szCs w:val="24"/>
        </w:rPr>
        <w:tab/>
        <w:t xml:space="preserve">Although the BSEA has not </w:t>
      </w:r>
      <w:r w:rsidR="0042226D">
        <w:rPr>
          <w:rFonts w:ascii="Times New Roman" w:hAnsi="Times New Roman" w:cs="Times New Roman"/>
          <w:sz w:val="24"/>
          <w:szCs w:val="24"/>
        </w:rPr>
        <w:t xml:space="preserve">encountered a matter in which the agency, or one of its employees, has been named as a party in a </w:t>
      </w:r>
      <w:r w:rsidR="0042226D">
        <w:rPr>
          <w:rFonts w:ascii="Times New Roman" w:hAnsi="Times New Roman" w:cs="Times New Roman"/>
          <w:i/>
          <w:iCs/>
          <w:sz w:val="24"/>
          <w:szCs w:val="24"/>
        </w:rPr>
        <w:t>Hearing Request</w:t>
      </w:r>
      <w:r w:rsidR="0042226D">
        <w:rPr>
          <w:rFonts w:ascii="Times New Roman" w:hAnsi="Times New Roman" w:cs="Times New Roman"/>
          <w:sz w:val="24"/>
          <w:szCs w:val="24"/>
        </w:rPr>
        <w:t xml:space="preserve">, I am guided </w:t>
      </w:r>
      <w:r w:rsidR="004958AB">
        <w:rPr>
          <w:rFonts w:ascii="Times New Roman" w:hAnsi="Times New Roman" w:cs="Times New Roman"/>
          <w:sz w:val="24"/>
          <w:szCs w:val="24"/>
        </w:rPr>
        <w:t>by the legal standards below.</w:t>
      </w:r>
      <w:r w:rsidR="00E77FEF">
        <w:rPr>
          <w:rFonts w:ascii="Times New Roman" w:hAnsi="Times New Roman" w:cs="Times New Roman"/>
          <w:sz w:val="24"/>
          <w:szCs w:val="24"/>
        </w:rPr>
        <w:t xml:space="preserve"> Moreover, for the purposes of this analysis, as with the evaluation of a motion to dismiss, I take as true “the allegations of the complaint, as well </w:t>
      </w:r>
      <w:r w:rsidR="004958AB" w:rsidRPr="005C2E13">
        <w:rPr>
          <w:rFonts w:ascii="Times New Roman" w:eastAsia="Century Schoolbook" w:hAnsi="Times New Roman" w:cs="Times New Roman"/>
          <w:color w:val="000000"/>
          <w:sz w:val="24"/>
          <w:szCs w:val="24"/>
        </w:rPr>
        <w:t>as such inferences as may be drawn therefrom in the plaintiff's favor.”</w:t>
      </w:r>
      <w:r w:rsidR="004958AB" w:rsidRPr="005C2E13">
        <w:rPr>
          <w:rFonts w:ascii="Times New Roman" w:eastAsia="Century Schoolbook" w:hAnsi="Times New Roman" w:cs="Times New Roman"/>
          <w:color w:val="000000"/>
          <w:sz w:val="24"/>
          <w:szCs w:val="24"/>
          <w:vertAlign w:val="superscript"/>
        </w:rPr>
        <w:footnoteReference w:id="3"/>
      </w:r>
      <w:r w:rsidR="004958AB" w:rsidRPr="005C2E13">
        <w:rPr>
          <w:rFonts w:ascii="Times New Roman" w:eastAsia="Century Schoolbook" w:hAnsi="Times New Roman" w:cs="Times New Roman"/>
          <w:color w:val="000000"/>
          <w:sz w:val="24"/>
          <w:szCs w:val="24"/>
        </w:rPr>
        <w:t xml:space="preserve"> </w:t>
      </w:r>
    </w:p>
    <w:p w14:paraId="52DD3578" w14:textId="0B591F47" w:rsidR="00E77FEF" w:rsidRDefault="00E77FEF" w:rsidP="00FD32DE">
      <w:pPr>
        <w:spacing w:after="0" w:line="240" w:lineRule="auto"/>
        <w:rPr>
          <w:rFonts w:ascii="Times New Roman" w:eastAsia="Century Schoolbook" w:hAnsi="Times New Roman" w:cs="Times New Roman"/>
          <w:color w:val="000000"/>
          <w:sz w:val="24"/>
          <w:szCs w:val="24"/>
        </w:rPr>
      </w:pPr>
    </w:p>
    <w:p w14:paraId="7511A2BC" w14:textId="327CDA2C" w:rsidR="00E77FEF" w:rsidRPr="00E77FEF" w:rsidRDefault="00E77FEF" w:rsidP="00E77FE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i/>
          <w:iCs/>
          <w:sz w:val="24"/>
          <w:szCs w:val="24"/>
        </w:rPr>
        <w:t>Legal Standards</w:t>
      </w:r>
    </w:p>
    <w:p w14:paraId="6F2300F8" w14:textId="77777777" w:rsidR="004958AB" w:rsidRPr="005C2E13" w:rsidRDefault="004958AB" w:rsidP="004958AB">
      <w:pPr>
        <w:spacing w:after="0" w:line="240" w:lineRule="auto"/>
        <w:ind w:firstLine="720"/>
        <w:rPr>
          <w:rFonts w:ascii="Times New Roman" w:eastAsia="Century Schoolbook" w:hAnsi="Times New Roman" w:cs="Times New Roman"/>
          <w:color w:val="000000"/>
          <w:sz w:val="24"/>
          <w:szCs w:val="24"/>
        </w:rPr>
      </w:pPr>
    </w:p>
    <w:p w14:paraId="5448DCAA" w14:textId="49D8A839" w:rsidR="00B83F71" w:rsidRDefault="00B83F71" w:rsidP="00B83F71">
      <w:pPr>
        <w:pStyle w:val="ListParagraph"/>
        <w:numPr>
          <w:ilvl w:val="0"/>
          <w:numId w:val="8"/>
        </w:numPr>
        <w:rPr>
          <w:rFonts w:ascii="Times New Roman" w:hAnsi="Times New Roman" w:cs="Times New Roman"/>
          <w:sz w:val="24"/>
          <w:szCs w:val="24"/>
          <w:u w:val="single"/>
        </w:rPr>
      </w:pPr>
      <w:proofErr w:type="spellStart"/>
      <w:r w:rsidRPr="001068CB">
        <w:rPr>
          <w:rFonts w:ascii="Times New Roman" w:hAnsi="Times New Roman" w:cs="Times New Roman"/>
          <w:i/>
          <w:iCs/>
          <w:sz w:val="24"/>
          <w:szCs w:val="24"/>
          <w:u w:val="single"/>
        </w:rPr>
        <w:t>Sua</w:t>
      </w:r>
      <w:proofErr w:type="spellEnd"/>
      <w:r w:rsidRPr="00B83F71">
        <w:rPr>
          <w:rFonts w:ascii="Times New Roman" w:hAnsi="Times New Roman" w:cs="Times New Roman"/>
          <w:sz w:val="24"/>
          <w:szCs w:val="24"/>
          <w:u w:val="single"/>
        </w:rPr>
        <w:t xml:space="preserve"> </w:t>
      </w:r>
      <w:r w:rsidRPr="001068CB">
        <w:rPr>
          <w:rFonts w:ascii="Times New Roman" w:hAnsi="Times New Roman" w:cs="Times New Roman"/>
          <w:i/>
          <w:iCs/>
          <w:sz w:val="24"/>
          <w:szCs w:val="24"/>
          <w:u w:val="single"/>
        </w:rPr>
        <w:t>Sponte</w:t>
      </w:r>
      <w:r w:rsidRPr="00B83F71">
        <w:rPr>
          <w:rFonts w:ascii="Times New Roman" w:hAnsi="Times New Roman" w:cs="Times New Roman"/>
          <w:sz w:val="24"/>
          <w:szCs w:val="24"/>
          <w:u w:val="single"/>
        </w:rPr>
        <w:t xml:space="preserve"> Dismissals</w:t>
      </w:r>
    </w:p>
    <w:p w14:paraId="7AA84558" w14:textId="48EA1CBF" w:rsidR="00B83F71" w:rsidRPr="007C4A6F" w:rsidRDefault="00FD32DE" w:rsidP="007C4A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It is well-established that judges </w:t>
      </w:r>
      <w:r w:rsidR="007E354F">
        <w:rPr>
          <w:rFonts w:ascii="Times New Roman" w:hAnsi="Times New Roman" w:cs="Times New Roman"/>
          <w:sz w:val="24"/>
          <w:szCs w:val="24"/>
        </w:rPr>
        <w:t>possess inherent authority to</w:t>
      </w:r>
      <w:r>
        <w:rPr>
          <w:rFonts w:ascii="Times New Roman" w:hAnsi="Times New Roman" w:cs="Times New Roman"/>
          <w:sz w:val="24"/>
          <w:szCs w:val="24"/>
        </w:rPr>
        <w:t xml:space="preserve"> dismiss claims </w:t>
      </w:r>
      <w:proofErr w:type="spellStart"/>
      <w:r>
        <w:rPr>
          <w:rFonts w:ascii="Times New Roman" w:hAnsi="Times New Roman" w:cs="Times New Roman"/>
          <w:i/>
          <w:iCs/>
          <w:sz w:val="24"/>
          <w:szCs w:val="24"/>
        </w:rPr>
        <w:t>sua</w:t>
      </w:r>
      <w:proofErr w:type="spellEnd"/>
      <w:r>
        <w:rPr>
          <w:rFonts w:ascii="Times New Roman" w:hAnsi="Times New Roman" w:cs="Times New Roman"/>
          <w:i/>
          <w:iCs/>
          <w:sz w:val="24"/>
          <w:szCs w:val="24"/>
        </w:rPr>
        <w:t xml:space="preserve"> sponte </w:t>
      </w:r>
      <w:r>
        <w:rPr>
          <w:rFonts w:ascii="Times New Roman" w:hAnsi="Times New Roman" w:cs="Times New Roman"/>
          <w:sz w:val="24"/>
          <w:szCs w:val="24"/>
        </w:rPr>
        <w:t xml:space="preserve">in </w:t>
      </w:r>
      <w:r w:rsidR="00712260">
        <w:rPr>
          <w:rFonts w:ascii="Times New Roman" w:hAnsi="Times New Roman" w:cs="Times New Roman"/>
          <w:sz w:val="24"/>
          <w:szCs w:val="24"/>
        </w:rPr>
        <w:t>certain</w:t>
      </w:r>
      <w:r>
        <w:rPr>
          <w:rFonts w:ascii="Times New Roman" w:hAnsi="Times New Roman" w:cs="Times New Roman"/>
          <w:sz w:val="24"/>
          <w:szCs w:val="24"/>
        </w:rPr>
        <w:t xml:space="preserve"> circumstances, such as </w:t>
      </w:r>
      <w:r w:rsidR="009B626A">
        <w:rPr>
          <w:rFonts w:ascii="Times New Roman" w:hAnsi="Times New Roman" w:cs="Times New Roman"/>
          <w:sz w:val="24"/>
          <w:szCs w:val="24"/>
        </w:rPr>
        <w:t>the absence</w:t>
      </w:r>
      <w:r>
        <w:rPr>
          <w:rFonts w:ascii="Times New Roman" w:hAnsi="Times New Roman" w:cs="Times New Roman"/>
          <w:sz w:val="24"/>
          <w:szCs w:val="24"/>
        </w:rPr>
        <w:t xml:space="preserve"> of </w:t>
      </w:r>
      <w:r w:rsidR="00AB0BD7">
        <w:rPr>
          <w:rFonts w:ascii="Times New Roman" w:hAnsi="Times New Roman" w:cs="Times New Roman"/>
          <w:sz w:val="24"/>
          <w:szCs w:val="24"/>
        </w:rPr>
        <w:t xml:space="preserve">certain </w:t>
      </w:r>
      <w:r>
        <w:rPr>
          <w:rFonts w:ascii="Times New Roman" w:hAnsi="Times New Roman" w:cs="Times New Roman"/>
          <w:sz w:val="24"/>
          <w:szCs w:val="24"/>
        </w:rPr>
        <w:t>aspects of subject matter jurisdiction (i.e. standing) or the inability of the plaintiff</w:t>
      </w:r>
      <w:r w:rsidR="007E354F">
        <w:rPr>
          <w:rFonts w:ascii="Times New Roman" w:hAnsi="Times New Roman" w:cs="Times New Roman"/>
          <w:sz w:val="24"/>
          <w:szCs w:val="24"/>
        </w:rPr>
        <w:t xml:space="preserve"> to produce evidence to support the necessary findings to prevail.</w:t>
      </w:r>
      <w:r w:rsidR="007E354F">
        <w:rPr>
          <w:rStyle w:val="FootnoteReference"/>
          <w:rFonts w:ascii="Times New Roman" w:hAnsi="Times New Roman" w:cs="Times New Roman"/>
          <w:sz w:val="24"/>
          <w:szCs w:val="24"/>
        </w:rPr>
        <w:footnoteReference w:id="4"/>
      </w:r>
      <w:r w:rsidR="007C4A6F">
        <w:rPr>
          <w:rFonts w:ascii="Times New Roman" w:hAnsi="Times New Roman" w:cs="Times New Roman"/>
          <w:sz w:val="24"/>
          <w:szCs w:val="24"/>
        </w:rPr>
        <w:t xml:space="preserve"> Such powers are “a necessary incident to the right and duty to keep the judicial system in efficient operation.”</w:t>
      </w:r>
      <w:r w:rsidR="007C4A6F">
        <w:rPr>
          <w:rStyle w:val="FootnoteReference"/>
          <w:rFonts w:ascii="Times New Roman" w:hAnsi="Times New Roman" w:cs="Times New Roman"/>
          <w:sz w:val="24"/>
          <w:szCs w:val="24"/>
        </w:rPr>
        <w:footnoteReference w:id="5"/>
      </w:r>
      <w:r w:rsidR="007C4A6F">
        <w:rPr>
          <w:rFonts w:ascii="Times New Roman" w:hAnsi="Times New Roman" w:cs="Times New Roman"/>
          <w:sz w:val="24"/>
          <w:szCs w:val="24"/>
        </w:rPr>
        <w:t xml:space="preserve"> Generally, parties should be provided notice that the judge is considering dismissal, except where “it is crystal clear that the plaintiff cannot prevail and that amending the complaint would be futile.”</w:t>
      </w:r>
      <w:r w:rsidR="007C4A6F">
        <w:rPr>
          <w:rStyle w:val="FootnoteReference"/>
          <w:rFonts w:ascii="Times New Roman" w:hAnsi="Times New Roman" w:cs="Times New Roman"/>
          <w:sz w:val="24"/>
          <w:szCs w:val="24"/>
        </w:rPr>
        <w:footnoteReference w:id="6"/>
      </w:r>
    </w:p>
    <w:p w14:paraId="5C63F41B" w14:textId="77777777" w:rsidR="00B83F71" w:rsidRPr="00B83F71" w:rsidRDefault="00B83F71" w:rsidP="00B83F71">
      <w:pPr>
        <w:pStyle w:val="ListParagraph"/>
        <w:ind w:left="2160"/>
        <w:rPr>
          <w:rFonts w:ascii="Times New Roman" w:hAnsi="Times New Roman" w:cs="Times New Roman"/>
          <w:sz w:val="24"/>
          <w:szCs w:val="24"/>
          <w:u w:val="single"/>
        </w:rPr>
      </w:pPr>
    </w:p>
    <w:p w14:paraId="131084A4" w14:textId="45402BAF" w:rsidR="00FD32DE" w:rsidRPr="00FD32DE" w:rsidRDefault="004958AB" w:rsidP="00FD32DE">
      <w:pPr>
        <w:pStyle w:val="ListParagraph"/>
        <w:numPr>
          <w:ilvl w:val="0"/>
          <w:numId w:val="8"/>
        </w:numPr>
        <w:rPr>
          <w:rFonts w:ascii="Times New Roman" w:hAnsi="Times New Roman" w:cs="Times New Roman"/>
          <w:sz w:val="24"/>
          <w:szCs w:val="24"/>
          <w:u w:val="single"/>
        </w:rPr>
      </w:pPr>
      <w:r w:rsidRPr="00B83F71">
        <w:rPr>
          <w:rFonts w:ascii="Times New Roman" w:hAnsi="Times New Roman" w:cs="Times New Roman"/>
          <w:sz w:val="24"/>
          <w:szCs w:val="24"/>
          <w:u w:val="single"/>
        </w:rPr>
        <w:t>BSEA Jurisdiction</w:t>
      </w:r>
    </w:p>
    <w:p w14:paraId="487C0874" w14:textId="0F293D26" w:rsidR="00FD32DE" w:rsidRPr="007C4A6F" w:rsidRDefault="00FD32DE" w:rsidP="007C4A6F">
      <w:pPr>
        <w:spacing w:line="240" w:lineRule="auto"/>
        <w:ind w:firstLine="720"/>
      </w:pPr>
      <w:r>
        <w:rPr>
          <w:rFonts w:ascii="Times New Roman" w:hAnsi="Times New Roman" w:cs="Times New Roman"/>
          <w:sz w:val="24"/>
          <w:szCs w:val="24"/>
        </w:rPr>
        <w:t xml:space="preserve">Under 20 U.S.C. § 1415(b)(6), the BSEA has jurisdiction over timely complaints filed by a parent/guardian or school district “with respect to any matter relating to the identification, evaluation, or educational placement of [a] child, or the provision of a free appropriate public </w:t>
      </w:r>
      <w:r>
        <w:rPr>
          <w:rFonts w:ascii="Times New Roman" w:hAnsi="Times New Roman" w:cs="Times New Roman"/>
          <w:sz w:val="24"/>
          <w:szCs w:val="24"/>
        </w:rPr>
        <w:lastRenderedPageBreak/>
        <w:t>education to such child.”</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In Massachusetts, parents may request hearings on any matter concerning the “eligibility, evaluation, placement, IEP, provision of special education in accordance with state and federal law, or procedural protections of state and federal law for students with disabilities.”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39E69B69" w14:textId="7F5F8975" w:rsidR="00E77FEF" w:rsidRPr="007C4A6F" w:rsidRDefault="00FD32DE" w:rsidP="007C4A6F">
      <w:pPr>
        <w:pStyle w:val="ListParagraph"/>
        <w:numPr>
          <w:ilvl w:val="0"/>
          <w:numId w:val="8"/>
        </w:numPr>
        <w:rPr>
          <w:rFonts w:ascii="Times New Roman" w:hAnsi="Times New Roman" w:cs="Times New Roman"/>
          <w:sz w:val="24"/>
          <w:szCs w:val="24"/>
          <w:u w:val="single"/>
        </w:rPr>
      </w:pPr>
      <w:r>
        <w:rPr>
          <w:rFonts w:ascii="Times New Roman" w:hAnsi="Times New Roman" w:cs="Times New Roman"/>
          <w:sz w:val="24"/>
          <w:szCs w:val="24"/>
          <w:u w:val="single"/>
        </w:rPr>
        <w:t>Recusal</w:t>
      </w:r>
    </w:p>
    <w:p w14:paraId="3489A911" w14:textId="1551AE54" w:rsidR="006F7CD4" w:rsidRPr="00404973" w:rsidRDefault="006F7CD4" w:rsidP="006F7CD4">
      <w:pPr>
        <w:pStyle w:val="BlockText"/>
        <w:spacing w:line="240" w:lineRule="auto"/>
        <w:ind w:left="0"/>
      </w:pPr>
      <w:r>
        <w:tab/>
        <w:t>The Supreme Court has recognized that “no man can be a judge in his own case and no man is permitted to try cases where he has an interest in the outcome.”</w:t>
      </w:r>
      <w:r>
        <w:rPr>
          <w:rStyle w:val="FootnoteReference"/>
        </w:rPr>
        <w:footnoteReference w:id="9"/>
      </w:r>
      <w:r>
        <w:t xml:space="preserve"> To “promote confidence in the judiciary by avoiding even the appearance of impropriety whenever possible,”</w:t>
      </w:r>
      <w:r w:rsidR="00510995">
        <w:rPr>
          <w:rStyle w:val="FootnoteReference"/>
        </w:rPr>
        <w:footnoteReference w:id="10"/>
      </w:r>
      <w:r>
        <w:t xml:space="preserve"> judges are expected to recuse themselves in any proceeding in which their </w:t>
      </w:r>
      <w:r w:rsidR="00510995">
        <w:t>“</w:t>
      </w:r>
      <w:r>
        <w:t>impartiality might reasonably be qu</w:t>
      </w:r>
      <w:r w:rsidR="00C410DE">
        <w:t>estioned,</w:t>
      </w:r>
      <w:r w:rsidR="00045A85">
        <w:t>”</w:t>
      </w:r>
      <w:r w:rsidR="00510995">
        <w:rPr>
          <w:rStyle w:val="FootnoteReference"/>
        </w:rPr>
        <w:footnoteReference w:id="11"/>
      </w:r>
      <w:r w:rsidR="00C410DE">
        <w:t xml:space="preserve"> or where specific circumstances exist that might show partiality.</w:t>
      </w:r>
      <w:r w:rsidR="00C410DE">
        <w:rPr>
          <w:rStyle w:val="FootnoteReference"/>
        </w:rPr>
        <w:footnoteReference w:id="12"/>
      </w:r>
      <w:r w:rsidR="00C410DE">
        <w:t xml:space="preserve"> Such circumstances include those in which a judge “has a personal bias or prejudice concerning a party, </w:t>
      </w:r>
      <w:r w:rsidR="006E5B3F">
        <w:t xml:space="preserve">or personal knowledge of disputed evidentiary facts concerning the proceeding,” </w:t>
      </w:r>
      <w:r w:rsidR="00045A85">
        <w:t xml:space="preserve">and </w:t>
      </w:r>
      <w:r w:rsidR="00C410DE">
        <w:t>when the judge is named a party to the proceedings.</w:t>
      </w:r>
      <w:r w:rsidR="00C410DE">
        <w:rPr>
          <w:rStyle w:val="FootnoteReference"/>
        </w:rPr>
        <w:footnoteReference w:id="13"/>
      </w:r>
      <w:r w:rsidR="00C410DE">
        <w:t xml:space="preserve"> Any doubts must be resolved in favor of recusal, particularly </w:t>
      </w:r>
      <w:r w:rsidR="00045A85">
        <w:t>in these circumstances,</w:t>
      </w:r>
      <w:r w:rsidR="00C410DE">
        <w:t xml:space="preserve"> as “the potential for conflicts of interest [is] readily apparent.”</w:t>
      </w:r>
      <w:r w:rsidR="00045A85">
        <w:rPr>
          <w:rStyle w:val="FootnoteReference"/>
        </w:rPr>
        <w:footnoteReference w:id="14"/>
      </w:r>
      <w:r w:rsidR="00045A85">
        <w:t xml:space="preserve"> </w:t>
      </w:r>
      <w:r w:rsidR="00655C18">
        <w:t>G</w:t>
      </w:r>
      <w:r w:rsidR="00045A85">
        <w:t>enerally, when a judge is a named defendant, recus</w:t>
      </w:r>
      <w:r w:rsidR="00655C18">
        <w:t>al is mandatory</w:t>
      </w:r>
      <w:r w:rsidR="00045A85">
        <w:t>.</w:t>
      </w:r>
      <w:r w:rsidR="00045A85">
        <w:rPr>
          <w:rStyle w:val="FootnoteReference"/>
        </w:rPr>
        <w:footnoteReference w:id="15"/>
      </w:r>
      <w:r w:rsidR="003E73AB">
        <w:t xml:space="preserve"> </w:t>
      </w:r>
      <w:r w:rsidR="00994146">
        <w:t xml:space="preserve">There is an </w:t>
      </w:r>
      <w:r w:rsidR="00F72AC6">
        <w:t>“</w:t>
      </w:r>
      <w:r w:rsidR="00994146">
        <w:t>exception to this rule, however, in cases where ‘the case cannot be heard otherwise.’”</w:t>
      </w:r>
      <w:r w:rsidR="00994146">
        <w:rPr>
          <w:rStyle w:val="FootnoteReference"/>
        </w:rPr>
        <w:footnoteReference w:id="16"/>
      </w:r>
      <w:r w:rsidR="00994146">
        <w:t xml:space="preserve"> </w:t>
      </w:r>
      <w:r w:rsidR="00404973">
        <w:t>“Under this ‘rule of necessity,’ a judge is not disqualified due to a personal interest if there is no other judge available to hear the case,” because, for example, they all share that</w:t>
      </w:r>
      <w:r w:rsidR="00F96430">
        <w:t xml:space="preserve"> same</w:t>
      </w:r>
      <w:r w:rsidR="00404973">
        <w:t xml:space="preserve"> interest.</w:t>
      </w:r>
      <w:r w:rsidR="00404973">
        <w:rPr>
          <w:rStyle w:val="FootnoteReference"/>
        </w:rPr>
        <w:footnoteReference w:id="17"/>
      </w:r>
    </w:p>
    <w:p w14:paraId="3E98F65E" w14:textId="2E26C9CF" w:rsidR="004958AB" w:rsidRDefault="004958AB" w:rsidP="004958AB">
      <w:pPr>
        <w:spacing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Pr="00551EC3">
        <w:rPr>
          <w:rFonts w:ascii="Times New Roman" w:hAnsi="Times New Roman" w:cs="Times New Roman"/>
          <w:i/>
          <w:iCs/>
          <w:sz w:val="24"/>
          <w:szCs w:val="24"/>
        </w:rPr>
        <w:t>A</w:t>
      </w:r>
      <w:r w:rsidR="00F72AC6">
        <w:rPr>
          <w:rFonts w:ascii="Times New Roman" w:hAnsi="Times New Roman" w:cs="Times New Roman"/>
          <w:i/>
          <w:iCs/>
          <w:sz w:val="24"/>
          <w:szCs w:val="24"/>
        </w:rPr>
        <w:t>pplication of Legal Standards</w:t>
      </w:r>
      <w:r>
        <w:rPr>
          <w:rFonts w:ascii="Times New Roman" w:hAnsi="Times New Roman" w:cs="Times New Roman"/>
          <w:sz w:val="24"/>
          <w:szCs w:val="24"/>
        </w:rPr>
        <w:t xml:space="preserve"> </w:t>
      </w:r>
    </w:p>
    <w:p w14:paraId="0D7010DF" w14:textId="2EEF32C5" w:rsidR="00404973" w:rsidRDefault="00404973" w:rsidP="004958AB">
      <w:pPr>
        <w:spacing w:line="240" w:lineRule="auto"/>
        <w:ind w:firstLine="720"/>
        <w:rPr>
          <w:rFonts w:ascii="Times New Roman" w:hAnsi="Times New Roman" w:cs="Times New Roman"/>
          <w:sz w:val="24"/>
          <w:szCs w:val="24"/>
        </w:rPr>
      </w:pPr>
      <w:r>
        <w:rPr>
          <w:rFonts w:ascii="Times New Roman" w:hAnsi="Times New Roman" w:cs="Times New Roman"/>
          <w:sz w:val="24"/>
          <w:szCs w:val="24"/>
        </w:rPr>
        <w:t>In this matter, I believe there exist</w:t>
      </w:r>
      <w:r w:rsidR="007B4CC9">
        <w:rPr>
          <w:rFonts w:ascii="Times New Roman" w:hAnsi="Times New Roman" w:cs="Times New Roman"/>
          <w:sz w:val="24"/>
          <w:szCs w:val="24"/>
        </w:rPr>
        <w:t>s a</w:t>
      </w:r>
      <w:r>
        <w:rPr>
          <w:rFonts w:ascii="Times New Roman" w:hAnsi="Times New Roman" w:cs="Times New Roman"/>
          <w:sz w:val="24"/>
          <w:szCs w:val="24"/>
        </w:rPr>
        <w:t xml:space="preserve"> potential ground for recusal – namely, that my supervisor has been named a defendant, which might lead </w:t>
      </w:r>
      <w:r w:rsidR="007B4CC9">
        <w:rPr>
          <w:rFonts w:ascii="Times New Roman" w:hAnsi="Times New Roman" w:cs="Times New Roman"/>
          <w:sz w:val="24"/>
          <w:szCs w:val="24"/>
        </w:rPr>
        <w:t>to the appearance of impropriety.</w:t>
      </w:r>
      <w:r w:rsidR="007B4CC9">
        <w:rPr>
          <w:rStyle w:val="FootnoteReference"/>
          <w:rFonts w:ascii="Times New Roman" w:hAnsi="Times New Roman" w:cs="Times New Roman"/>
          <w:sz w:val="24"/>
          <w:szCs w:val="24"/>
        </w:rPr>
        <w:footnoteReference w:id="18"/>
      </w:r>
      <w:r w:rsidR="007B4CC9">
        <w:rPr>
          <w:rFonts w:ascii="Times New Roman" w:hAnsi="Times New Roman" w:cs="Times New Roman"/>
          <w:sz w:val="24"/>
          <w:szCs w:val="24"/>
        </w:rPr>
        <w:t xml:space="preserve"> All </w:t>
      </w:r>
      <w:r w:rsidR="007B4CC9">
        <w:rPr>
          <w:rFonts w:ascii="Times New Roman" w:hAnsi="Times New Roman" w:cs="Times New Roman"/>
          <w:sz w:val="24"/>
          <w:szCs w:val="24"/>
        </w:rPr>
        <w:lastRenderedPageBreak/>
        <w:t xml:space="preserve">other BSEA Hearing Officers, however, share this </w:t>
      </w:r>
      <w:r w:rsidR="00185F39">
        <w:rPr>
          <w:rFonts w:ascii="Times New Roman" w:hAnsi="Times New Roman" w:cs="Times New Roman"/>
          <w:sz w:val="24"/>
          <w:szCs w:val="24"/>
        </w:rPr>
        <w:t xml:space="preserve">same </w:t>
      </w:r>
      <w:r w:rsidR="007B4CC9">
        <w:rPr>
          <w:rFonts w:ascii="Times New Roman" w:hAnsi="Times New Roman" w:cs="Times New Roman"/>
          <w:sz w:val="24"/>
          <w:szCs w:val="24"/>
        </w:rPr>
        <w:t xml:space="preserve">personal interest, such that under the rule of necessity, I need not </w:t>
      </w:r>
      <w:r w:rsidR="002C01D3">
        <w:rPr>
          <w:rFonts w:ascii="Times New Roman" w:hAnsi="Times New Roman" w:cs="Times New Roman"/>
          <w:sz w:val="24"/>
          <w:szCs w:val="24"/>
        </w:rPr>
        <w:t>disqualify myself from hearing the case. As such, I continue</w:t>
      </w:r>
      <w:r w:rsidR="00185F39">
        <w:rPr>
          <w:rFonts w:ascii="Times New Roman" w:hAnsi="Times New Roman" w:cs="Times New Roman"/>
          <w:sz w:val="24"/>
          <w:szCs w:val="24"/>
        </w:rPr>
        <w:t xml:space="preserve"> my</w:t>
      </w:r>
      <w:r w:rsidR="002C01D3">
        <w:rPr>
          <w:rFonts w:ascii="Times New Roman" w:hAnsi="Times New Roman" w:cs="Times New Roman"/>
          <w:sz w:val="24"/>
          <w:szCs w:val="24"/>
        </w:rPr>
        <w:t xml:space="preserve"> analysis.</w:t>
      </w:r>
    </w:p>
    <w:p w14:paraId="3BAB1EC3" w14:textId="639E9D0E" w:rsidR="002C01D3" w:rsidRDefault="002C01D3" w:rsidP="004958A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Pursuant to my discussion of </w:t>
      </w:r>
      <w:proofErr w:type="spellStart"/>
      <w:r>
        <w:rPr>
          <w:rFonts w:ascii="Times New Roman" w:hAnsi="Times New Roman" w:cs="Times New Roman"/>
          <w:i/>
          <w:iCs/>
          <w:sz w:val="24"/>
          <w:szCs w:val="24"/>
        </w:rPr>
        <w:t>sua</w:t>
      </w:r>
      <w:proofErr w:type="spellEnd"/>
      <w:r>
        <w:rPr>
          <w:rFonts w:ascii="Times New Roman" w:hAnsi="Times New Roman" w:cs="Times New Roman"/>
          <w:i/>
          <w:iCs/>
          <w:sz w:val="24"/>
          <w:szCs w:val="24"/>
        </w:rPr>
        <w:t xml:space="preserve"> sponte </w:t>
      </w:r>
      <w:r>
        <w:rPr>
          <w:rFonts w:ascii="Times New Roman" w:hAnsi="Times New Roman" w:cs="Times New Roman"/>
          <w:sz w:val="24"/>
          <w:szCs w:val="24"/>
        </w:rPr>
        <w:t xml:space="preserve">dismissals, above, I have the authority to dismiss so much of the </w:t>
      </w:r>
      <w:r>
        <w:rPr>
          <w:rFonts w:ascii="Times New Roman" w:hAnsi="Times New Roman" w:cs="Times New Roman"/>
          <w:i/>
          <w:iCs/>
          <w:sz w:val="24"/>
          <w:szCs w:val="24"/>
        </w:rPr>
        <w:t xml:space="preserve">Hearing Request </w:t>
      </w:r>
      <w:r>
        <w:rPr>
          <w:rFonts w:ascii="Times New Roman" w:hAnsi="Times New Roman" w:cs="Times New Roman"/>
          <w:sz w:val="24"/>
          <w:szCs w:val="24"/>
        </w:rPr>
        <w:t xml:space="preserve">as alleges claims against the BSEA </w:t>
      </w:r>
      <w:r w:rsidR="00185F39">
        <w:rPr>
          <w:rFonts w:ascii="Times New Roman" w:hAnsi="Times New Roman" w:cs="Times New Roman"/>
          <w:sz w:val="24"/>
          <w:szCs w:val="24"/>
        </w:rPr>
        <w:t>D</w:t>
      </w:r>
      <w:r>
        <w:rPr>
          <w:rFonts w:ascii="Times New Roman" w:hAnsi="Times New Roman" w:cs="Times New Roman"/>
          <w:sz w:val="24"/>
          <w:szCs w:val="24"/>
        </w:rPr>
        <w:t>irector, should I find that the BSEA lacks subject matter jurisdiction as to these claims.</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 may do so without a hearing only if </w:t>
      </w:r>
      <w:r w:rsidR="00645A0B">
        <w:rPr>
          <w:rFonts w:ascii="Times New Roman" w:hAnsi="Times New Roman" w:cs="Times New Roman"/>
          <w:sz w:val="24"/>
          <w:szCs w:val="24"/>
        </w:rPr>
        <w:t xml:space="preserve">it is evident that Parent cannot prevail in her claims, and amending the </w:t>
      </w:r>
      <w:r w:rsidR="00645A0B">
        <w:rPr>
          <w:rFonts w:ascii="Times New Roman" w:hAnsi="Times New Roman" w:cs="Times New Roman"/>
          <w:i/>
          <w:iCs/>
          <w:sz w:val="24"/>
          <w:szCs w:val="24"/>
        </w:rPr>
        <w:t xml:space="preserve">Hearing Request </w:t>
      </w:r>
      <w:r w:rsidR="00645A0B">
        <w:rPr>
          <w:rFonts w:ascii="Times New Roman" w:hAnsi="Times New Roman" w:cs="Times New Roman"/>
          <w:sz w:val="24"/>
          <w:szCs w:val="24"/>
        </w:rPr>
        <w:t>would not cure the deficits.</w:t>
      </w:r>
      <w:r>
        <w:rPr>
          <w:rStyle w:val="FootnoteReference"/>
          <w:rFonts w:ascii="Times New Roman" w:hAnsi="Times New Roman" w:cs="Times New Roman"/>
          <w:sz w:val="24"/>
          <w:szCs w:val="24"/>
        </w:rPr>
        <w:footnoteReference w:id="20"/>
      </w:r>
    </w:p>
    <w:p w14:paraId="6F00A517" w14:textId="09FBCC05" w:rsidR="002C01D3" w:rsidRDefault="00645A0B" w:rsidP="00243D58">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case, Parent asserts that the BSEA </w:t>
      </w:r>
      <w:r w:rsidR="00243D58">
        <w:rPr>
          <w:rFonts w:ascii="Times New Roman" w:hAnsi="Times New Roman" w:cs="Times New Roman"/>
          <w:sz w:val="24"/>
          <w:szCs w:val="24"/>
        </w:rPr>
        <w:t>D</w:t>
      </w:r>
      <w:r>
        <w:rPr>
          <w:rFonts w:ascii="Times New Roman" w:hAnsi="Times New Roman" w:cs="Times New Roman"/>
          <w:sz w:val="24"/>
          <w:szCs w:val="24"/>
        </w:rPr>
        <w:t xml:space="preserve">irector has a conflict of interest, and/or that she was involved improperly in a case pending before this Hearing Officer that involves some of the same parties. These allegations do not concern the </w:t>
      </w:r>
      <w:r w:rsidR="00243D58">
        <w:rPr>
          <w:rFonts w:ascii="Times New Roman" w:hAnsi="Times New Roman" w:cs="Times New Roman"/>
          <w:sz w:val="24"/>
          <w:szCs w:val="24"/>
        </w:rPr>
        <w:t>eligibility</w:t>
      </w:r>
      <w:r>
        <w:rPr>
          <w:rFonts w:ascii="Times New Roman" w:hAnsi="Times New Roman" w:cs="Times New Roman"/>
          <w:sz w:val="24"/>
          <w:szCs w:val="24"/>
        </w:rPr>
        <w:t>, evaluation, or placement of a child,</w:t>
      </w:r>
      <w:r w:rsidR="00243D58">
        <w:rPr>
          <w:rFonts w:ascii="Times New Roman" w:hAnsi="Times New Roman" w:cs="Times New Roman"/>
          <w:sz w:val="24"/>
          <w:szCs w:val="24"/>
        </w:rPr>
        <w:t xml:space="preserve"> the provision of a free appropriate education to such child, or procedural protections for students with disabilities.</w:t>
      </w:r>
      <w:r>
        <w:rPr>
          <w:rStyle w:val="FootnoteReference"/>
          <w:rFonts w:ascii="Times New Roman" w:hAnsi="Times New Roman" w:cs="Times New Roman"/>
          <w:sz w:val="24"/>
          <w:szCs w:val="24"/>
        </w:rPr>
        <w:footnoteReference w:id="21"/>
      </w:r>
      <w:r w:rsidR="00243D58">
        <w:rPr>
          <w:rFonts w:ascii="Times New Roman" w:hAnsi="Times New Roman" w:cs="Times New Roman"/>
          <w:sz w:val="24"/>
          <w:szCs w:val="24"/>
        </w:rPr>
        <w:t xml:space="preserve"> As such, </w:t>
      </w:r>
      <w:r w:rsidR="002A24D2">
        <w:rPr>
          <w:rFonts w:ascii="Times New Roman" w:hAnsi="Times New Roman" w:cs="Times New Roman"/>
          <w:sz w:val="24"/>
          <w:szCs w:val="24"/>
        </w:rPr>
        <w:t xml:space="preserve">even taking as true </w:t>
      </w:r>
      <w:r w:rsidR="00243D58">
        <w:rPr>
          <w:rFonts w:ascii="Times New Roman" w:hAnsi="Times New Roman" w:cs="Times New Roman"/>
          <w:sz w:val="24"/>
          <w:szCs w:val="24"/>
        </w:rPr>
        <w:t>Parent’s claims against the BSEA Director</w:t>
      </w:r>
      <w:r w:rsidR="008A7618">
        <w:rPr>
          <w:rFonts w:ascii="Times New Roman" w:hAnsi="Times New Roman" w:cs="Times New Roman"/>
          <w:sz w:val="24"/>
          <w:szCs w:val="24"/>
        </w:rPr>
        <w:t xml:space="preserve"> and any inferences that may be drawn therefrom,</w:t>
      </w:r>
      <w:r w:rsidR="008A7618">
        <w:rPr>
          <w:rStyle w:val="FootnoteReference"/>
          <w:rFonts w:ascii="Times New Roman" w:hAnsi="Times New Roman" w:cs="Times New Roman"/>
          <w:sz w:val="24"/>
          <w:szCs w:val="24"/>
        </w:rPr>
        <w:footnoteReference w:id="22"/>
      </w:r>
      <w:r w:rsidR="00243D58">
        <w:rPr>
          <w:rFonts w:ascii="Times New Roman" w:hAnsi="Times New Roman" w:cs="Times New Roman"/>
          <w:sz w:val="24"/>
          <w:szCs w:val="24"/>
        </w:rPr>
        <w:t xml:space="preserve"> </w:t>
      </w:r>
      <w:r w:rsidR="00185F39">
        <w:rPr>
          <w:rFonts w:ascii="Times New Roman" w:hAnsi="Times New Roman" w:cs="Times New Roman"/>
          <w:sz w:val="24"/>
          <w:szCs w:val="24"/>
        </w:rPr>
        <w:t xml:space="preserve">these claims </w:t>
      </w:r>
      <w:r w:rsidR="00243D58">
        <w:rPr>
          <w:rFonts w:ascii="Times New Roman" w:hAnsi="Times New Roman" w:cs="Times New Roman"/>
          <w:sz w:val="24"/>
          <w:szCs w:val="24"/>
        </w:rPr>
        <w:t xml:space="preserve">are not within the jurisdiction of the BSEA. </w:t>
      </w:r>
      <w:r w:rsidR="002A24D2">
        <w:rPr>
          <w:rFonts w:ascii="Times New Roman" w:hAnsi="Times New Roman" w:cs="Times New Roman"/>
          <w:sz w:val="24"/>
          <w:szCs w:val="24"/>
        </w:rPr>
        <w:t xml:space="preserve">As the BSEA cannot hear these claims, Parent cannot possibly prevail on them before the BSEA, and amending her </w:t>
      </w:r>
      <w:r w:rsidR="002A24D2">
        <w:rPr>
          <w:rFonts w:ascii="Times New Roman" w:hAnsi="Times New Roman" w:cs="Times New Roman"/>
          <w:i/>
          <w:iCs/>
          <w:sz w:val="24"/>
          <w:szCs w:val="24"/>
        </w:rPr>
        <w:t xml:space="preserve">Hearing Request </w:t>
      </w:r>
      <w:r w:rsidR="002A24D2">
        <w:rPr>
          <w:rFonts w:ascii="Times New Roman" w:hAnsi="Times New Roman" w:cs="Times New Roman"/>
          <w:sz w:val="24"/>
          <w:szCs w:val="24"/>
        </w:rPr>
        <w:t>would be futile.</w:t>
      </w:r>
      <w:r w:rsidR="002A24D2">
        <w:rPr>
          <w:rStyle w:val="FootnoteReference"/>
          <w:rFonts w:ascii="Times New Roman" w:hAnsi="Times New Roman" w:cs="Times New Roman"/>
          <w:sz w:val="24"/>
          <w:szCs w:val="24"/>
        </w:rPr>
        <w:footnoteReference w:id="23"/>
      </w:r>
      <w:r w:rsidR="002A24D2">
        <w:rPr>
          <w:rFonts w:ascii="Times New Roman" w:hAnsi="Times New Roman" w:cs="Times New Roman"/>
          <w:sz w:val="24"/>
          <w:szCs w:val="24"/>
        </w:rPr>
        <w:t xml:space="preserve"> For this reason, I need not provide notice and an opportunity to be heard before dismissing the BSEA Director as a party to the instant, </w:t>
      </w:r>
      <w:proofErr w:type="spellStart"/>
      <w:r w:rsidR="002A24D2">
        <w:rPr>
          <w:rFonts w:ascii="Times New Roman" w:hAnsi="Times New Roman" w:cs="Times New Roman"/>
          <w:i/>
          <w:iCs/>
          <w:sz w:val="24"/>
          <w:szCs w:val="24"/>
        </w:rPr>
        <w:t>sua</w:t>
      </w:r>
      <w:proofErr w:type="spellEnd"/>
      <w:r w:rsidR="002A24D2">
        <w:rPr>
          <w:rFonts w:ascii="Times New Roman" w:hAnsi="Times New Roman" w:cs="Times New Roman"/>
          <w:i/>
          <w:iCs/>
          <w:sz w:val="24"/>
          <w:szCs w:val="24"/>
        </w:rPr>
        <w:t xml:space="preserve"> </w:t>
      </w:r>
      <w:r w:rsidR="002A24D2" w:rsidRPr="002A24D2">
        <w:rPr>
          <w:rFonts w:ascii="Times New Roman" w:hAnsi="Times New Roman" w:cs="Times New Roman"/>
          <w:i/>
          <w:iCs/>
          <w:sz w:val="24"/>
          <w:szCs w:val="24"/>
        </w:rPr>
        <w:t>sponte</w:t>
      </w:r>
      <w:r w:rsidR="002A24D2">
        <w:rPr>
          <w:rFonts w:ascii="Times New Roman" w:hAnsi="Times New Roman" w:cs="Times New Roman"/>
          <w:sz w:val="24"/>
          <w:szCs w:val="24"/>
        </w:rPr>
        <w:t>.</w:t>
      </w:r>
      <w:r w:rsidR="002A24D2">
        <w:rPr>
          <w:rStyle w:val="FootnoteReference"/>
          <w:rFonts w:ascii="Times New Roman" w:hAnsi="Times New Roman" w:cs="Times New Roman"/>
          <w:sz w:val="24"/>
          <w:szCs w:val="24"/>
        </w:rPr>
        <w:footnoteReference w:id="24"/>
      </w:r>
      <w:r w:rsidR="002A24D2">
        <w:rPr>
          <w:rFonts w:ascii="Times New Roman" w:hAnsi="Times New Roman" w:cs="Times New Roman"/>
          <w:sz w:val="24"/>
          <w:szCs w:val="24"/>
        </w:rPr>
        <w:t xml:space="preserve"> </w:t>
      </w:r>
    </w:p>
    <w:p w14:paraId="0EC2B064" w14:textId="77777777" w:rsidR="004958AB" w:rsidRPr="00CA1136" w:rsidRDefault="004958AB" w:rsidP="002A24D2">
      <w:pPr>
        <w:spacing w:line="240" w:lineRule="auto"/>
        <w:rPr>
          <w:rFonts w:ascii="Times New Roman" w:hAnsi="Times New Roman" w:cs="Times New Roman"/>
          <w:sz w:val="24"/>
          <w:szCs w:val="24"/>
        </w:rPr>
      </w:pPr>
    </w:p>
    <w:p w14:paraId="5DF5A306" w14:textId="77777777" w:rsidR="004958AB" w:rsidRPr="00F6151A" w:rsidRDefault="004958AB" w:rsidP="004958AB">
      <w:pPr>
        <w:rPr>
          <w:rFonts w:ascii="Times New Roman" w:hAnsi="Times New Roman" w:cs="Times New Roman"/>
          <w:sz w:val="24"/>
          <w:szCs w:val="24"/>
          <w:u w:val="single"/>
          <w:shd w:val="clear" w:color="auto" w:fill="FFFFFF"/>
        </w:rPr>
      </w:pPr>
      <w:r w:rsidRPr="00F6151A">
        <w:rPr>
          <w:rFonts w:ascii="Times New Roman" w:hAnsi="Times New Roman" w:cs="Times New Roman"/>
          <w:sz w:val="24"/>
          <w:szCs w:val="24"/>
          <w:u w:val="single"/>
          <w:shd w:val="clear" w:color="auto" w:fill="FFFFFF"/>
        </w:rPr>
        <w:t>CONCLUSION</w:t>
      </w:r>
      <w:r>
        <w:rPr>
          <w:rFonts w:ascii="Times New Roman" w:hAnsi="Times New Roman" w:cs="Times New Roman"/>
          <w:sz w:val="24"/>
          <w:szCs w:val="24"/>
          <w:u w:val="single"/>
          <w:shd w:val="clear" w:color="auto" w:fill="FFFFFF"/>
        </w:rPr>
        <w:t xml:space="preserve"> </w:t>
      </w:r>
    </w:p>
    <w:p w14:paraId="337C0DF3" w14:textId="3AE1DDC9" w:rsidR="004958AB" w:rsidRDefault="002A24D2" w:rsidP="004958A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For the reasons above, the BSEA Director</w:t>
      </w:r>
      <w:r w:rsidR="008A7618">
        <w:rPr>
          <w:rFonts w:ascii="Times New Roman" w:hAnsi="Times New Roman" w:cs="Times New Roman"/>
          <w:sz w:val="24"/>
          <w:szCs w:val="24"/>
        </w:rPr>
        <w:t xml:space="preserve"> is hereby DISMISSED as a party.</w:t>
      </w:r>
    </w:p>
    <w:p w14:paraId="392FE4EA" w14:textId="77777777" w:rsidR="004958AB" w:rsidRPr="00580818" w:rsidRDefault="004958AB" w:rsidP="004958AB">
      <w:pPr>
        <w:spacing w:after="0"/>
        <w:ind w:firstLine="720"/>
        <w:rPr>
          <w:rFonts w:ascii="Times New Roman" w:hAnsi="Times New Roman" w:cs="Times New Roman"/>
          <w:sz w:val="24"/>
          <w:szCs w:val="24"/>
        </w:rPr>
      </w:pPr>
    </w:p>
    <w:p w14:paraId="7D6DC357" w14:textId="77777777" w:rsidR="004958AB" w:rsidRPr="00580818" w:rsidRDefault="004958AB" w:rsidP="004958AB">
      <w:pPr>
        <w:rPr>
          <w:rFonts w:ascii="Times New Roman" w:hAnsi="Times New Roman" w:cs="Times New Roman"/>
          <w:b/>
          <w:sz w:val="24"/>
          <w:szCs w:val="24"/>
        </w:rPr>
      </w:pPr>
      <w:r w:rsidRPr="00580818">
        <w:rPr>
          <w:rFonts w:ascii="Times New Roman" w:hAnsi="Times New Roman" w:cs="Times New Roman"/>
          <w:b/>
          <w:sz w:val="24"/>
          <w:szCs w:val="24"/>
        </w:rPr>
        <w:t>ORDER</w:t>
      </w:r>
      <w:r w:rsidRPr="00580818">
        <w:rPr>
          <w:rFonts w:ascii="Times New Roman" w:hAnsi="Times New Roman" w:cs="Times New Roman"/>
          <w:sz w:val="24"/>
          <w:szCs w:val="24"/>
        </w:rPr>
        <w:t xml:space="preserve"> </w:t>
      </w:r>
    </w:p>
    <w:p w14:paraId="7A9B7E2D" w14:textId="5C3BE9FF" w:rsidR="002F617D" w:rsidRPr="008A7618" w:rsidRDefault="004958AB" w:rsidP="008A7618">
      <w:pPr>
        <w:ind w:firstLine="360"/>
        <w:rPr>
          <w:rFonts w:ascii="Times New Roman" w:hAnsi="Times New Roman" w:cs="Times New Roman"/>
          <w:sz w:val="24"/>
          <w:szCs w:val="24"/>
        </w:rPr>
      </w:pPr>
      <w:r w:rsidRPr="002754FA">
        <w:rPr>
          <w:rFonts w:ascii="Times New Roman" w:hAnsi="Times New Roman" w:cs="Times New Roman"/>
          <w:sz w:val="24"/>
          <w:szCs w:val="24"/>
        </w:rPr>
        <w:t>The</w:t>
      </w:r>
      <w:r w:rsidRPr="00580818">
        <w:rPr>
          <w:rFonts w:ascii="Times New Roman" w:hAnsi="Times New Roman" w:cs="Times New Roman"/>
          <w:sz w:val="24"/>
          <w:szCs w:val="24"/>
        </w:rPr>
        <w:t xml:space="preserve"> </w:t>
      </w:r>
      <w:r>
        <w:rPr>
          <w:rFonts w:ascii="Times New Roman" w:hAnsi="Times New Roman" w:cs="Times New Roman"/>
          <w:sz w:val="24"/>
          <w:szCs w:val="24"/>
        </w:rPr>
        <w:t>matter will proceed as follows</w:t>
      </w:r>
      <w:r w:rsidRPr="00580818">
        <w:rPr>
          <w:rFonts w:ascii="Times New Roman" w:hAnsi="Times New Roman" w:cs="Times New Roman"/>
          <w:sz w:val="24"/>
          <w:szCs w:val="24"/>
        </w:rPr>
        <w:t>.</w:t>
      </w:r>
    </w:p>
    <w:p w14:paraId="1367EFFF" w14:textId="77777777" w:rsidR="00681402" w:rsidRDefault="00681402" w:rsidP="00681402">
      <w:pPr>
        <w:spacing w:after="0" w:line="240" w:lineRule="auto"/>
        <w:ind w:left="720"/>
        <w:contextualSpacing/>
        <w:rPr>
          <w:rFonts w:ascii="Times New Roman" w:eastAsia="Calibri" w:hAnsi="Times New Roman" w:cs="Times New Roman"/>
          <w:b/>
          <w:sz w:val="24"/>
          <w:szCs w:val="24"/>
        </w:rPr>
      </w:pPr>
    </w:p>
    <w:p w14:paraId="6D41D237" w14:textId="6B89658E" w:rsidR="00B16FA2" w:rsidRPr="00F14044" w:rsidRDefault="008A7618" w:rsidP="00F14044">
      <w:pPr>
        <w:pStyle w:val="ListParagraph"/>
        <w:numPr>
          <w:ilvl w:val="0"/>
          <w:numId w:val="9"/>
        </w:numPr>
        <w:spacing w:after="0" w:line="240" w:lineRule="auto"/>
        <w:rPr>
          <w:rFonts w:ascii="Times New Roman" w:eastAsia="Calibri" w:hAnsi="Times New Roman" w:cs="Times New Roman"/>
          <w:bCs/>
          <w:sz w:val="24"/>
          <w:szCs w:val="24"/>
        </w:rPr>
      </w:pPr>
      <w:r w:rsidRPr="00F14044">
        <w:rPr>
          <w:rFonts w:ascii="Times New Roman" w:eastAsia="Calibri" w:hAnsi="Times New Roman" w:cs="Times New Roman"/>
          <w:bCs/>
          <w:sz w:val="24"/>
          <w:szCs w:val="24"/>
        </w:rPr>
        <w:t xml:space="preserve">All remaining parties shall file </w:t>
      </w:r>
      <w:r w:rsidR="00F14044" w:rsidRPr="00F14044">
        <w:rPr>
          <w:rFonts w:ascii="Times New Roman" w:eastAsia="Calibri" w:hAnsi="Times New Roman" w:cs="Times New Roman"/>
          <w:bCs/>
          <w:sz w:val="24"/>
          <w:szCs w:val="24"/>
        </w:rPr>
        <w:t>any</w:t>
      </w:r>
      <w:r w:rsidR="00F14044">
        <w:rPr>
          <w:rFonts w:ascii="Times New Roman" w:eastAsia="Calibri" w:hAnsi="Times New Roman" w:cs="Times New Roman"/>
          <w:bCs/>
          <w:sz w:val="24"/>
          <w:szCs w:val="24"/>
        </w:rPr>
        <w:t xml:space="preserve"> additional</w:t>
      </w:r>
      <w:r w:rsidR="00F14044" w:rsidRPr="00F14044">
        <w:rPr>
          <w:rFonts w:ascii="Times New Roman" w:eastAsia="Calibri" w:hAnsi="Times New Roman" w:cs="Times New Roman"/>
          <w:bCs/>
          <w:sz w:val="24"/>
          <w:szCs w:val="24"/>
        </w:rPr>
        <w:t xml:space="preserve"> responses</w:t>
      </w:r>
      <w:r w:rsidR="00F14044">
        <w:rPr>
          <w:rFonts w:ascii="Times New Roman" w:eastAsia="Calibri" w:hAnsi="Times New Roman" w:cs="Times New Roman"/>
          <w:bCs/>
          <w:sz w:val="24"/>
          <w:szCs w:val="24"/>
        </w:rPr>
        <w:t xml:space="preserve"> and/or motions in response</w:t>
      </w:r>
      <w:r w:rsidR="00F14044" w:rsidRPr="00F14044">
        <w:rPr>
          <w:rFonts w:ascii="Times New Roman" w:eastAsia="Calibri" w:hAnsi="Times New Roman" w:cs="Times New Roman"/>
          <w:bCs/>
          <w:sz w:val="24"/>
          <w:szCs w:val="24"/>
        </w:rPr>
        <w:t xml:space="preserve"> to the </w:t>
      </w:r>
      <w:r w:rsidR="00F14044" w:rsidRPr="00F14044">
        <w:rPr>
          <w:rFonts w:ascii="Times New Roman" w:eastAsia="Calibri" w:hAnsi="Times New Roman" w:cs="Times New Roman"/>
          <w:bCs/>
          <w:i/>
          <w:iCs/>
          <w:sz w:val="24"/>
          <w:szCs w:val="24"/>
        </w:rPr>
        <w:t xml:space="preserve">Hearing Request </w:t>
      </w:r>
      <w:r w:rsidR="00F14044" w:rsidRPr="00F14044">
        <w:rPr>
          <w:rFonts w:ascii="Times New Roman" w:eastAsia="Calibri" w:hAnsi="Times New Roman" w:cs="Times New Roman"/>
          <w:bCs/>
          <w:sz w:val="24"/>
          <w:szCs w:val="24"/>
        </w:rPr>
        <w:t>by close of business on August 31, 2022.</w:t>
      </w:r>
      <w:r w:rsidR="00F14044">
        <w:rPr>
          <w:rFonts w:ascii="Times New Roman" w:eastAsia="Calibri" w:hAnsi="Times New Roman" w:cs="Times New Roman"/>
          <w:bCs/>
          <w:sz w:val="24"/>
          <w:szCs w:val="24"/>
        </w:rPr>
        <w:t xml:space="preserve"> Any party that wishes to file a written objection to this </w:t>
      </w:r>
      <w:r w:rsidR="00F14044">
        <w:rPr>
          <w:rFonts w:ascii="Times New Roman" w:eastAsia="Calibri" w:hAnsi="Times New Roman" w:cs="Times New Roman"/>
          <w:bCs/>
          <w:i/>
          <w:iCs/>
          <w:sz w:val="24"/>
          <w:szCs w:val="24"/>
        </w:rPr>
        <w:t>Ruling</w:t>
      </w:r>
      <w:r w:rsidR="00185F39">
        <w:rPr>
          <w:rFonts w:ascii="Times New Roman" w:eastAsia="Calibri" w:hAnsi="Times New Roman" w:cs="Times New Roman"/>
          <w:bCs/>
          <w:sz w:val="24"/>
          <w:szCs w:val="24"/>
        </w:rPr>
        <w:t xml:space="preserve">, to preserve such objections for the record, </w:t>
      </w:r>
      <w:r w:rsidR="00F14044">
        <w:rPr>
          <w:rFonts w:ascii="Times New Roman" w:eastAsia="Calibri" w:hAnsi="Times New Roman" w:cs="Times New Roman"/>
          <w:bCs/>
          <w:sz w:val="24"/>
          <w:szCs w:val="24"/>
        </w:rPr>
        <w:t>may also do so on or before that date.</w:t>
      </w:r>
    </w:p>
    <w:p w14:paraId="3B853589" w14:textId="77777777" w:rsidR="00B16FA2" w:rsidRDefault="00B16FA2" w:rsidP="00B72631">
      <w:pPr>
        <w:spacing w:after="0" w:line="240" w:lineRule="auto"/>
        <w:contextualSpacing/>
        <w:rPr>
          <w:rFonts w:ascii="Times New Roman" w:eastAsia="Calibri" w:hAnsi="Times New Roman" w:cs="Times New Roman"/>
          <w:sz w:val="24"/>
          <w:szCs w:val="24"/>
          <w:u w:val="single"/>
        </w:rPr>
      </w:pPr>
    </w:p>
    <w:p w14:paraId="66A0A6B3" w14:textId="1EEBB73A" w:rsidR="00B16FA2" w:rsidRDefault="00F14044" w:rsidP="00F14044">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Oral arguments on all motions will take place via a virtual platform on October 21, 2022 at 9:30 AM.</w:t>
      </w:r>
    </w:p>
    <w:p w14:paraId="783FA93F" w14:textId="77777777" w:rsidR="00F14044" w:rsidRPr="00F14044" w:rsidRDefault="00F14044" w:rsidP="00F14044">
      <w:pPr>
        <w:pStyle w:val="ListParagraph"/>
        <w:rPr>
          <w:rFonts w:ascii="Times New Roman" w:eastAsia="Calibri" w:hAnsi="Times New Roman" w:cs="Times New Roman"/>
          <w:sz w:val="24"/>
          <w:szCs w:val="24"/>
        </w:rPr>
      </w:pPr>
    </w:p>
    <w:p w14:paraId="53E0F5B9" w14:textId="03865F0F" w:rsidR="00F14044" w:rsidRDefault="00F14044" w:rsidP="00F14044">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Hearing will take place via a virtual platform on November 14, 15, and 16, 2022, beginning at 9:30 AM each day.</w:t>
      </w:r>
    </w:p>
    <w:p w14:paraId="01EB8E3D" w14:textId="77777777" w:rsidR="00F14044" w:rsidRPr="00F14044" w:rsidRDefault="00F14044" w:rsidP="00F14044">
      <w:pPr>
        <w:pStyle w:val="ListParagraph"/>
        <w:rPr>
          <w:rFonts w:ascii="Times New Roman" w:eastAsia="Calibri" w:hAnsi="Times New Roman" w:cs="Times New Roman"/>
          <w:sz w:val="24"/>
          <w:szCs w:val="24"/>
        </w:rPr>
      </w:pPr>
    </w:p>
    <w:p w14:paraId="54F97ADF" w14:textId="71A1AC1C" w:rsidR="00F14044" w:rsidRPr="00F14044" w:rsidRDefault="00F14044" w:rsidP="00F14044">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Exhibits and witness lists are due by close of business on November 7, 2022.</w:t>
      </w:r>
    </w:p>
    <w:p w14:paraId="36A5E131" w14:textId="417CD35B" w:rsidR="00B5198D" w:rsidRDefault="00B5198D" w:rsidP="00681402">
      <w:pPr>
        <w:spacing w:after="0" w:line="240" w:lineRule="auto"/>
        <w:contextualSpacing/>
        <w:rPr>
          <w:rFonts w:ascii="Times New Roman" w:eastAsia="Calibri" w:hAnsi="Times New Roman" w:cs="Times New Roman"/>
          <w:sz w:val="24"/>
          <w:szCs w:val="24"/>
        </w:rPr>
      </w:pPr>
    </w:p>
    <w:p w14:paraId="71AF565E" w14:textId="6E91461D" w:rsidR="00B5198D" w:rsidRPr="00A6129F" w:rsidRDefault="00B5198D" w:rsidP="00A6129F">
      <w:pPr>
        <w:spacing w:after="0" w:line="240" w:lineRule="auto"/>
        <w:contextualSpacing/>
        <w:rPr>
          <w:rFonts w:ascii="Times New Roman" w:eastAsia="Calibri" w:hAnsi="Times New Roman" w:cs="Times New Roman"/>
          <w:sz w:val="24"/>
          <w:szCs w:val="24"/>
        </w:rPr>
      </w:pPr>
    </w:p>
    <w:p w14:paraId="0D7BE4B0" w14:textId="519EE76A" w:rsidR="00A6129F" w:rsidRDefault="00A6129F" w:rsidP="00A6129F">
      <w:pPr>
        <w:spacing w:after="0"/>
        <w:rPr>
          <w:rFonts w:ascii="Times New Roman" w:hAnsi="Times New Roman" w:cs="Times New Roman"/>
          <w:sz w:val="24"/>
          <w:szCs w:val="24"/>
        </w:rPr>
      </w:pPr>
      <w:r w:rsidRPr="00A6129F">
        <w:rPr>
          <w:rFonts w:ascii="Times New Roman" w:hAnsi="Times New Roman" w:cs="Times New Roman"/>
          <w:sz w:val="24"/>
          <w:szCs w:val="24"/>
        </w:rPr>
        <w:t>By the Hearing Officer:</w:t>
      </w:r>
    </w:p>
    <w:p w14:paraId="5820BDD3" w14:textId="77777777" w:rsidR="00F62F7F" w:rsidRPr="00A6129F" w:rsidRDefault="00F62F7F" w:rsidP="00A6129F">
      <w:pPr>
        <w:spacing w:after="0"/>
        <w:rPr>
          <w:rFonts w:ascii="Times New Roman" w:hAnsi="Times New Roman" w:cs="Times New Roman"/>
          <w:sz w:val="24"/>
          <w:szCs w:val="24"/>
        </w:rPr>
      </w:pPr>
    </w:p>
    <w:p w14:paraId="6500E431" w14:textId="77777777" w:rsidR="00A6129F" w:rsidRPr="00A6129F" w:rsidRDefault="00A6129F" w:rsidP="00A6129F">
      <w:pPr>
        <w:spacing w:after="0"/>
        <w:rPr>
          <w:rFonts w:ascii="Times New Roman" w:hAnsi="Times New Roman" w:cs="Times New Roman"/>
          <w:sz w:val="24"/>
          <w:szCs w:val="24"/>
          <w:u w:val="single"/>
        </w:rPr>
      </w:pPr>
      <w:r w:rsidRPr="00A6129F">
        <w:rPr>
          <w:rFonts w:ascii="Times New Roman" w:hAnsi="Times New Roman" w:cs="Times New Roman"/>
          <w:sz w:val="24"/>
          <w:szCs w:val="24"/>
          <w:u w:val="single"/>
        </w:rPr>
        <w:t xml:space="preserve">      /s/</w:t>
      </w:r>
      <w:r w:rsidRPr="00A6129F">
        <w:rPr>
          <w:rFonts w:ascii="Times New Roman" w:hAnsi="Times New Roman" w:cs="Times New Roman"/>
          <w:sz w:val="24"/>
          <w:szCs w:val="24"/>
          <w:u w:val="single"/>
        </w:rPr>
        <w:tab/>
      </w:r>
      <w:r w:rsidRPr="00A6129F">
        <w:rPr>
          <w:rFonts w:ascii="Freestyle Script" w:hAnsi="Freestyle Script" w:cs="Times New Roman"/>
          <w:sz w:val="32"/>
          <w:szCs w:val="32"/>
          <w:u w:val="single"/>
        </w:rPr>
        <w:t>Amy M. Reichbach</w:t>
      </w:r>
    </w:p>
    <w:p w14:paraId="5CEB095B" w14:textId="6C799FF8" w:rsidR="00BB7DBC" w:rsidRDefault="00A6129F" w:rsidP="00D7621E">
      <w:pPr>
        <w:spacing w:after="0"/>
        <w:rPr>
          <w:rFonts w:ascii="Times New Roman" w:hAnsi="Times New Roman" w:cs="Times New Roman"/>
          <w:sz w:val="24"/>
          <w:szCs w:val="24"/>
        </w:rPr>
      </w:pPr>
      <w:r w:rsidRPr="00A6129F">
        <w:rPr>
          <w:rFonts w:ascii="Times New Roman" w:hAnsi="Times New Roman" w:cs="Times New Roman"/>
          <w:sz w:val="24"/>
          <w:szCs w:val="24"/>
        </w:rPr>
        <w:t xml:space="preserve">Dated: </w:t>
      </w:r>
      <w:r w:rsidR="00F14044">
        <w:rPr>
          <w:rFonts w:ascii="Times New Roman" w:hAnsi="Times New Roman" w:cs="Times New Roman"/>
          <w:sz w:val="24"/>
          <w:szCs w:val="24"/>
        </w:rPr>
        <w:t>August 18</w:t>
      </w:r>
      <w:r>
        <w:rPr>
          <w:rFonts w:ascii="Times New Roman" w:hAnsi="Times New Roman" w:cs="Times New Roman"/>
          <w:sz w:val="24"/>
          <w:szCs w:val="24"/>
        </w:rPr>
        <w:t>, 2022</w:t>
      </w:r>
    </w:p>
    <w:p w14:paraId="10FAEAAD" w14:textId="0509B2D0" w:rsidR="000706F1" w:rsidRDefault="000706F1" w:rsidP="00D7621E">
      <w:pPr>
        <w:spacing w:after="0"/>
        <w:rPr>
          <w:rFonts w:ascii="Times New Roman" w:hAnsi="Times New Roman" w:cs="Times New Roman"/>
          <w:sz w:val="24"/>
          <w:szCs w:val="24"/>
        </w:rPr>
      </w:pPr>
    </w:p>
    <w:p w14:paraId="601D7F5F" w14:textId="66AC46FC" w:rsidR="000706F1" w:rsidRDefault="000706F1" w:rsidP="00D7621E">
      <w:pPr>
        <w:spacing w:after="0"/>
        <w:rPr>
          <w:rFonts w:ascii="Times New Roman" w:hAnsi="Times New Roman" w:cs="Times New Roman"/>
          <w:sz w:val="24"/>
          <w:szCs w:val="24"/>
        </w:rPr>
      </w:pPr>
    </w:p>
    <w:p w14:paraId="7A2C2BD4" w14:textId="0B9A4EA4" w:rsidR="000706F1" w:rsidRDefault="000706F1" w:rsidP="00D7621E">
      <w:pPr>
        <w:spacing w:after="0"/>
        <w:rPr>
          <w:rFonts w:ascii="Times New Roman" w:hAnsi="Times New Roman" w:cs="Times New Roman"/>
          <w:sz w:val="24"/>
          <w:szCs w:val="24"/>
        </w:rPr>
      </w:pPr>
    </w:p>
    <w:p w14:paraId="39C7AF56" w14:textId="3C9E5434" w:rsidR="000706F1" w:rsidRDefault="000706F1" w:rsidP="00D7621E">
      <w:pPr>
        <w:spacing w:after="0"/>
        <w:rPr>
          <w:rFonts w:ascii="Times New Roman" w:hAnsi="Times New Roman" w:cs="Times New Roman"/>
          <w:sz w:val="24"/>
          <w:szCs w:val="24"/>
        </w:rPr>
      </w:pPr>
    </w:p>
    <w:p w14:paraId="21112031" w14:textId="290CAE5A" w:rsidR="000706F1" w:rsidRDefault="000706F1" w:rsidP="00D7621E">
      <w:pPr>
        <w:spacing w:after="0"/>
        <w:rPr>
          <w:rFonts w:ascii="Times New Roman" w:hAnsi="Times New Roman" w:cs="Times New Roman"/>
          <w:sz w:val="24"/>
          <w:szCs w:val="24"/>
        </w:rPr>
      </w:pPr>
    </w:p>
    <w:p w14:paraId="66896F29" w14:textId="417A6823" w:rsidR="000706F1" w:rsidRDefault="000706F1" w:rsidP="00D7621E">
      <w:pPr>
        <w:spacing w:after="0"/>
        <w:rPr>
          <w:rFonts w:ascii="Times New Roman" w:hAnsi="Times New Roman" w:cs="Times New Roman"/>
          <w:sz w:val="24"/>
          <w:szCs w:val="24"/>
        </w:rPr>
      </w:pPr>
    </w:p>
    <w:p w14:paraId="0FF9E44E" w14:textId="00B832CC" w:rsidR="000706F1" w:rsidRDefault="000706F1" w:rsidP="00D7621E">
      <w:pPr>
        <w:spacing w:after="0"/>
        <w:rPr>
          <w:rFonts w:ascii="Times New Roman" w:hAnsi="Times New Roman" w:cs="Times New Roman"/>
          <w:sz w:val="24"/>
          <w:szCs w:val="24"/>
        </w:rPr>
      </w:pPr>
    </w:p>
    <w:p w14:paraId="358160E6" w14:textId="3F6F3883" w:rsidR="000706F1" w:rsidRDefault="000706F1" w:rsidP="00D7621E">
      <w:pPr>
        <w:spacing w:after="0"/>
        <w:rPr>
          <w:rFonts w:ascii="Times New Roman" w:hAnsi="Times New Roman" w:cs="Times New Roman"/>
          <w:sz w:val="24"/>
          <w:szCs w:val="24"/>
        </w:rPr>
      </w:pPr>
    </w:p>
    <w:p w14:paraId="28D7E08B" w14:textId="7CCDFDFF" w:rsidR="000706F1" w:rsidRDefault="000706F1" w:rsidP="00D7621E">
      <w:pPr>
        <w:spacing w:after="0"/>
        <w:rPr>
          <w:rFonts w:ascii="Times New Roman" w:hAnsi="Times New Roman" w:cs="Times New Roman"/>
          <w:sz w:val="24"/>
          <w:szCs w:val="24"/>
        </w:rPr>
      </w:pPr>
    </w:p>
    <w:p w14:paraId="0596271C" w14:textId="6C67203B" w:rsidR="000706F1" w:rsidRDefault="000706F1" w:rsidP="00D7621E">
      <w:pPr>
        <w:spacing w:after="0"/>
        <w:rPr>
          <w:rFonts w:ascii="Times New Roman" w:hAnsi="Times New Roman" w:cs="Times New Roman"/>
          <w:sz w:val="24"/>
          <w:szCs w:val="24"/>
        </w:rPr>
      </w:pPr>
    </w:p>
    <w:p w14:paraId="4B4C6714" w14:textId="4D1B369E" w:rsidR="000706F1" w:rsidRDefault="000706F1" w:rsidP="00D7621E">
      <w:pPr>
        <w:spacing w:after="0"/>
        <w:rPr>
          <w:rFonts w:ascii="Times New Roman" w:hAnsi="Times New Roman" w:cs="Times New Roman"/>
          <w:sz w:val="24"/>
          <w:szCs w:val="24"/>
        </w:rPr>
      </w:pPr>
    </w:p>
    <w:p w14:paraId="280B28C3" w14:textId="4F2780C1" w:rsidR="000706F1" w:rsidRDefault="000706F1" w:rsidP="00D7621E">
      <w:pPr>
        <w:spacing w:after="0"/>
        <w:rPr>
          <w:rFonts w:ascii="Times New Roman" w:hAnsi="Times New Roman" w:cs="Times New Roman"/>
          <w:sz w:val="24"/>
          <w:szCs w:val="24"/>
        </w:rPr>
      </w:pPr>
    </w:p>
    <w:p w14:paraId="398343A1" w14:textId="7BC65751" w:rsidR="000706F1" w:rsidRDefault="000706F1" w:rsidP="00D7621E">
      <w:pPr>
        <w:spacing w:after="0"/>
        <w:rPr>
          <w:rFonts w:ascii="Times New Roman" w:hAnsi="Times New Roman" w:cs="Times New Roman"/>
          <w:sz w:val="24"/>
          <w:szCs w:val="24"/>
        </w:rPr>
      </w:pPr>
    </w:p>
    <w:p w14:paraId="0310CAD8" w14:textId="3642833B" w:rsidR="000706F1" w:rsidRDefault="000706F1" w:rsidP="00D7621E">
      <w:pPr>
        <w:spacing w:after="0"/>
        <w:rPr>
          <w:rFonts w:ascii="Times New Roman" w:hAnsi="Times New Roman" w:cs="Times New Roman"/>
          <w:sz w:val="24"/>
          <w:szCs w:val="24"/>
        </w:rPr>
      </w:pPr>
    </w:p>
    <w:p w14:paraId="30B14235" w14:textId="1B45B895" w:rsidR="000706F1" w:rsidRDefault="000706F1" w:rsidP="00D7621E">
      <w:pPr>
        <w:spacing w:after="0"/>
        <w:rPr>
          <w:rFonts w:ascii="Times New Roman" w:hAnsi="Times New Roman" w:cs="Times New Roman"/>
          <w:sz w:val="24"/>
          <w:szCs w:val="24"/>
        </w:rPr>
      </w:pPr>
    </w:p>
    <w:p w14:paraId="5CC6F0FD" w14:textId="5717F0FA" w:rsidR="000706F1" w:rsidRDefault="000706F1" w:rsidP="00D7621E">
      <w:pPr>
        <w:spacing w:after="0"/>
        <w:rPr>
          <w:rFonts w:ascii="Times New Roman" w:hAnsi="Times New Roman" w:cs="Times New Roman"/>
          <w:sz w:val="24"/>
          <w:szCs w:val="24"/>
        </w:rPr>
      </w:pPr>
    </w:p>
    <w:p w14:paraId="4C848335" w14:textId="12AA60AC" w:rsidR="000706F1" w:rsidRDefault="000706F1" w:rsidP="00D7621E">
      <w:pPr>
        <w:spacing w:after="0"/>
        <w:rPr>
          <w:rFonts w:ascii="Times New Roman" w:hAnsi="Times New Roman" w:cs="Times New Roman"/>
          <w:sz w:val="24"/>
          <w:szCs w:val="24"/>
        </w:rPr>
      </w:pPr>
    </w:p>
    <w:p w14:paraId="2D4B66D9" w14:textId="40B56DCC" w:rsidR="000706F1" w:rsidRDefault="000706F1" w:rsidP="00D7621E">
      <w:pPr>
        <w:spacing w:after="0"/>
        <w:rPr>
          <w:rFonts w:ascii="Times New Roman" w:hAnsi="Times New Roman" w:cs="Times New Roman"/>
          <w:sz w:val="24"/>
          <w:szCs w:val="24"/>
        </w:rPr>
      </w:pPr>
    </w:p>
    <w:p w14:paraId="0B41F238" w14:textId="7BF61047" w:rsidR="000706F1" w:rsidRDefault="000706F1" w:rsidP="00D7621E">
      <w:pPr>
        <w:spacing w:after="0"/>
        <w:rPr>
          <w:rFonts w:ascii="Times New Roman" w:hAnsi="Times New Roman" w:cs="Times New Roman"/>
          <w:sz w:val="24"/>
          <w:szCs w:val="24"/>
        </w:rPr>
      </w:pPr>
    </w:p>
    <w:p w14:paraId="29DB6E01" w14:textId="6217D9BA" w:rsidR="000706F1" w:rsidRDefault="000706F1" w:rsidP="00D7621E">
      <w:pPr>
        <w:spacing w:after="0"/>
        <w:rPr>
          <w:rFonts w:ascii="Times New Roman" w:hAnsi="Times New Roman" w:cs="Times New Roman"/>
          <w:sz w:val="24"/>
          <w:szCs w:val="24"/>
        </w:rPr>
      </w:pPr>
    </w:p>
    <w:p w14:paraId="4808ABB5" w14:textId="0FB01141" w:rsidR="000706F1" w:rsidRDefault="000706F1" w:rsidP="00D7621E">
      <w:pPr>
        <w:spacing w:after="0"/>
        <w:rPr>
          <w:rFonts w:ascii="Times New Roman" w:hAnsi="Times New Roman" w:cs="Times New Roman"/>
          <w:sz w:val="24"/>
          <w:szCs w:val="24"/>
        </w:rPr>
      </w:pPr>
    </w:p>
    <w:p w14:paraId="70929D90" w14:textId="43B38AEF" w:rsidR="000706F1" w:rsidRDefault="000706F1" w:rsidP="00D7621E">
      <w:pPr>
        <w:spacing w:after="0"/>
        <w:rPr>
          <w:rFonts w:ascii="Times New Roman" w:hAnsi="Times New Roman" w:cs="Times New Roman"/>
          <w:sz w:val="24"/>
          <w:szCs w:val="24"/>
        </w:rPr>
      </w:pPr>
    </w:p>
    <w:p w14:paraId="59E5C2C5" w14:textId="5E6DF880" w:rsidR="000706F1" w:rsidRDefault="000706F1" w:rsidP="00D7621E">
      <w:pPr>
        <w:spacing w:after="0"/>
        <w:rPr>
          <w:rFonts w:ascii="Times New Roman" w:hAnsi="Times New Roman" w:cs="Times New Roman"/>
          <w:sz w:val="24"/>
          <w:szCs w:val="24"/>
        </w:rPr>
      </w:pPr>
    </w:p>
    <w:p w14:paraId="3BE326C9" w14:textId="1453B029" w:rsidR="000706F1" w:rsidRDefault="000706F1" w:rsidP="00D7621E">
      <w:pPr>
        <w:spacing w:after="0"/>
        <w:rPr>
          <w:rFonts w:ascii="Times New Roman" w:hAnsi="Times New Roman" w:cs="Times New Roman"/>
          <w:sz w:val="24"/>
          <w:szCs w:val="24"/>
        </w:rPr>
      </w:pPr>
    </w:p>
    <w:p w14:paraId="6999BEC7" w14:textId="4A38C6BD" w:rsidR="000706F1" w:rsidRDefault="000706F1" w:rsidP="00D7621E">
      <w:pPr>
        <w:spacing w:after="0"/>
        <w:rPr>
          <w:rFonts w:ascii="Times New Roman" w:hAnsi="Times New Roman" w:cs="Times New Roman"/>
          <w:sz w:val="24"/>
          <w:szCs w:val="24"/>
        </w:rPr>
      </w:pPr>
    </w:p>
    <w:p w14:paraId="7F2D1075" w14:textId="7EDD437F" w:rsidR="000706F1" w:rsidRDefault="000706F1" w:rsidP="00D7621E">
      <w:pPr>
        <w:spacing w:after="0"/>
        <w:rPr>
          <w:rFonts w:ascii="Times New Roman" w:hAnsi="Times New Roman" w:cs="Times New Roman"/>
          <w:sz w:val="24"/>
          <w:szCs w:val="24"/>
        </w:rPr>
      </w:pPr>
    </w:p>
    <w:p w14:paraId="09736E07" w14:textId="2C50C502" w:rsidR="000706F1" w:rsidRDefault="000706F1" w:rsidP="00D7621E">
      <w:pPr>
        <w:spacing w:after="0"/>
        <w:rPr>
          <w:rFonts w:ascii="Times New Roman" w:hAnsi="Times New Roman" w:cs="Times New Roman"/>
          <w:sz w:val="24"/>
          <w:szCs w:val="24"/>
        </w:rPr>
      </w:pPr>
    </w:p>
    <w:p w14:paraId="31A295A0" w14:textId="4552E1EF" w:rsidR="000706F1" w:rsidRDefault="000706F1" w:rsidP="00D7621E">
      <w:pPr>
        <w:spacing w:after="0"/>
        <w:rPr>
          <w:rFonts w:ascii="Times New Roman" w:hAnsi="Times New Roman" w:cs="Times New Roman"/>
          <w:sz w:val="24"/>
          <w:szCs w:val="24"/>
        </w:rPr>
      </w:pPr>
    </w:p>
    <w:p w14:paraId="17B25A41" w14:textId="303D2D95" w:rsidR="000706F1" w:rsidRDefault="000706F1" w:rsidP="00D7621E">
      <w:pPr>
        <w:spacing w:after="0"/>
        <w:rPr>
          <w:rFonts w:ascii="Times New Roman" w:hAnsi="Times New Roman" w:cs="Times New Roman"/>
          <w:sz w:val="24"/>
          <w:szCs w:val="24"/>
        </w:rPr>
      </w:pPr>
    </w:p>
    <w:p w14:paraId="360A68EC" w14:textId="4867FDA0" w:rsidR="000706F1" w:rsidRDefault="000706F1" w:rsidP="00D7621E">
      <w:pPr>
        <w:spacing w:after="0"/>
        <w:rPr>
          <w:rFonts w:ascii="Times New Roman" w:hAnsi="Times New Roman" w:cs="Times New Roman"/>
          <w:sz w:val="24"/>
          <w:szCs w:val="24"/>
        </w:rPr>
      </w:pPr>
    </w:p>
    <w:p w14:paraId="5879BF6F" w14:textId="51B1FD22" w:rsidR="000706F1" w:rsidRDefault="000706F1" w:rsidP="00D7621E">
      <w:pPr>
        <w:spacing w:after="0"/>
        <w:rPr>
          <w:rFonts w:ascii="Times New Roman" w:hAnsi="Times New Roman" w:cs="Times New Roman"/>
          <w:sz w:val="24"/>
          <w:szCs w:val="24"/>
        </w:rPr>
      </w:pPr>
    </w:p>
    <w:p w14:paraId="3448EC33" w14:textId="6C9A3B1D" w:rsidR="000706F1" w:rsidRDefault="000706F1" w:rsidP="00D7621E">
      <w:pPr>
        <w:spacing w:after="0"/>
        <w:rPr>
          <w:rFonts w:ascii="Times New Roman" w:hAnsi="Times New Roman" w:cs="Times New Roman"/>
          <w:sz w:val="24"/>
          <w:szCs w:val="24"/>
        </w:rPr>
      </w:pPr>
    </w:p>
    <w:p w14:paraId="73DAB886" w14:textId="28E5E996" w:rsidR="000706F1" w:rsidRDefault="000706F1" w:rsidP="00D7621E">
      <w:pPr>
        <w:spacing w:after="0"/>
        <w:rPr>
          <w:rFonts w:ascii="Times New Roman" w:hAnsi="Times New Roman" w:cs="Times New Roman"/>
          <w:sz w:val="24"/>
          <w:szCs w:val="24"/>
        </w:rPr>
      </w:pPr>
    </w:p>
    <w:p w14:paraId="64C51100" w14:textId="77777777" w:rsidR="000706F1" w:rsidRPr="00185E01" w:rsidRDefault="000706F1" w:rsidP="000706F1">
      <w:pPr>
        <w:jc w:val="center"/>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lastRenderedPageBreak/>
        <w:t>COMMONWEALTH OF MASSACHUSETTS</w:t>
      </w:r>
    </w:p>
    <w:p w14:paraId="772A0CFB" w14:textId="77777777" w:rsidR="000706F1" w:rsidRPr="00185E01" w:rsidRDefault="000706F1" w:rsidP="000706F1">
      <w:pPr>
        <w:spacing w:after="591"/>
        <w:ind w:right="250"/>
        <w:jc w:val="center"/>
        <w:rPr>
          <w:rFonts w:ascii="Times New Roman" w:eastAsia="Times New Roman" w:hAnsi="Times New Roman" w:cs="Times New Roman"/>
          <w:color w:val="000000"/>
          <w:sz w:val="24"/>
          <w:szCs w:val="24"/>
        </w:rPr>
      </w:pPr>
      <w:r w:rsidRPr="00185E01">
        <w:rPr>
          <w:rFonts w:ascii="Times New Roman" w:eastAsia="Times New Roman" w:hAnsi="Times New Roman" w:cs="Times New Roman"/>
          <w:noProof/>
          <w:color w:val="000000"/>
          <w:sz w:val="24"/>
          <w:szCs w:val="24"/>
        </w:rPr>
        <w:drawing>
          <wp:inline distT="0" distB="0" distL="0" distR="0" wp14:anchorId="0287B81E" wp14:editId="2BAF16F7">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8"/>
                    <a:stretch>
                      <a:fillRect/>
                    </a:stretch>
                  </pic:blipFill>
                  <pic:spPr>
                    <a:xfrm>
                      <a:off x="0" y="0"/>
                      <a:ext cx="9144" cy="9147"/>
                    </a:xfrm>
                    <a:prstGeom prst="rect">
                      <a:avLst/>
                    </a:prstGeom>
                  </pic:spPr>
                </pic:pic>
              </a:graphicData>
            </a:graphic>
          </wp:inline>
        </w:drawing>
      </w:r>
      <w:r w:rsidRPr="00185E01">
        <w:rPr>
          <w:rFonts w:ascii="Times New Roman" w:eastAsia="Times New Roman" w:hAnsi="Times New Roman" w:cs="Times New Roman"/>
          <w:color w:val="000000"/>
          <w:sz w:val="24"/>
          <w:szCs w:val="24"/>
        </w:rPr>
        <w:t>BUREAU OF SPECIAL EDUCATION APPEALS</w:t>
      </w:r>
    </w:p>
    <w:p w14:paraId="2340ED2D" w14:textId="77777777" w:rsidR="000706F1" w:rsidRPr="00185E01" w:rsidRDefault="000706F1" w:rsidP="000706F1">
      <w:pPr>
        <w:tabs>
          <w:tab w:val="center" w:pos="440"/>
          <w:tab w:val="center" w:pos="4627"/>
        </w:tabs>
        <w:spacing w:after="533"/>
        <w:jc w:val="center"/>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u w:val="single" w:color="000000"/>
        </w:rPr>
        <w:t xml:space="preserve">EFFECT OF FINAL BSEA ACTIONS AND </w:t>
      </w:r>
      <w:r w:rsidRPr="00185E01">
        <w:rPr>
          <w:rFonts w:ascii="Times New Roman" w:eastAsia="Times New Roman" w:hAnsi="Times New Roman" w:cs="Times New Roman"/>
          <w:noProof/>
          <w:color w:val="000000"/>
          <w:sz w:val="24"/>
          <w:szCs w:val="24"/>
        </w:rPr>
        <w:drawing>
          <wp:inline distT="0" distB="0" distL="0" distR="0" wp14:anchorId="7710C0D2" wp14:editId="58C226E2">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9"/>
                    <a:stretch>
                      <a:fillRect/>
                    </a:stretch>
                  </pic:blipFill>
                  <pic:spPr>
                    <a:xfrm>
                      <a:off x="0" y="0"/>
                      <a:ext cx="9144" cy="9147"/>
                    </a:xfrm>
                    <a:prstGeom prst="rect">
                      <a:avLst/>
                    </a:prstGeom>
                  </pic:spPr>
                </pic:pic>
              </a:graphicData>
            </a:graphic>
          </wp:inline>
        </w:drawing>
      </w:r>
      <w:r w:rsidRPr="00185E01">
        <w:rPr>
          <w:rFonts w:ascii="Times New Roman" w:eastAsia="Times New Roman" w:hAnsi="Times New Roman" w:cs="Times New Roman"/>
          <w:color w:val="000000"/>
          <w:sz w:val="24"/>
          <w:szCs w:val="24"/>
          <w:u w:val="single" w:color="000000"/>
        </w:rPr>
        <w:t>RIGHTS OF APPEAL</w:t>
      </w:r>
    </w:p>
    <w:p w14:paraId="0CD791B8" w14:textId="77777777" w:rsidR="000706F1" w:rsidRPr="00185E01" w:rsidRDefault="000706F1" w:rsidP="000706F1">
      <w:pPr>
        <w:keepNext/>
        <w:keepLines/>
        <w:spacing w:after="261"/>
        <w:ind w:left="38"/>
        <w:outlineLvl w:val="0"/>
        <w:rPr>
          <w:rFonts w:ascii="Times New Roman" w:eastAsia="Times New Roman" w:hAnsi="Times New Roman" w:cs="Times New Roman"/>
          <w:color w:val="000000"/>
          <w:sz w:val="24"/>
          <w:szCs w:val="24"/>
          <w:u w:val="single" w:color="000000"/>
        </w:rPr>
      </w:pPr>
      <w:r w:rsidRPr="00185E01">
        <w:rPr>
          <w:rFonts w:ascii="Times New Roman" w:eastAsia="Times New Roman" w:hAnsi="Times New Roman" w:cs="Times New Roman"/>
          <w:color w:val="000000"/>
          <w:sz w:val="24"/>
          <w:szCs w:val="24"/>
          <w:u w:val="single" w:color="000000"/>
        </w:rPr>
        <w:t>Effect of BSEA Decision, Dismissal with Prejudice and Allowance of Motion for Summary Judgment</w:t>
      </w:r>
    </w:p>
    <w:p w14:paraId="44FE066D" w14:textId="77777777" w:rsidR="000706F1" w:rsidRPr="00185E01" w:rsidRDefault="000706F1" w:rsidP="000706F1">
      <w:pPr>
        <w:spacing w:after="312" w:line="250" w:lineRule="auto"/>
        <w:ind w:left="43" w:firstLine="5"/>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6049617B" w14:textId="77777777" w:rsidR="000706F1" w:rsidRPr="00185E01" w:rsidRDefault="000706F1" w:rsidP="000706F1">
      <w:pPr>
        <w:spacing w:after="312" w:line="250" w:lineRule="auto"/>
        <w:ind w:left="43" w:firstLine="5"/>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Accordingly</w:t>
      </w:r>
      <w:r>
        <w:rPr>
          <w:rFonts w:ascii="Times New Roman" w:eastAsia="Times New Roman" w:hAnsi="Times New Roman" w:cs="Times New Roman"/>
          <w:color w:val="000000"/>
          <w:sz w:val="24"/>
          <w:szCs w:val="24"/>
        </w:rPr>
        <w:t>,</w:t>
      </w:r>
      <w:r w:rsidRPr="00185E01">
        <w:rPr>
          <w:rFonts w:ascii="Times New Roman" w:eastAsia="Times New Roman" w:hAnsi="Times New Roman" w:cs="Times New Roman"/>
          <w:color w:val="000000"/>
          <w:sz w:val="24"/>
          <w:szCs w:val="24"/>
        </w:rPr>
        <w:t xml:space="preserve"> the Bureau cannot permit motions to reconsider or to re-open either a Bureau decision or the Rulings set forth above once they have issued. They are final subject only to judicial (court) review.</w:t>
      </w:r>
    </w:p>
    <w:p w14:paraId="7A2D9C5F" w14:textId="77777777" w:rsidR="000706F1" w:rsidRPr="00185E01" w:rsidRDefault="000706F1" w:rsidP="000706F1">
      <w:pPr>
        <w:spacing w:after="292" w:line="243" w:lineRule="auto"/>
        <w:ind w:left="19"/>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w:t>
      </w:r>
      <w:r>
        <w:rPr>
          <w:rFonts w:ascii="Times New Roman" w:eastAsia="Times New Roman" w:hAnsi="Times New Roman" w:cs="Times New Roman"/>
          <w:color w:val="000000"/>
          <w:sz w:val="24"/>
          <w:szCs w:val="24"/>
        </w:rPr>
        <w:t>y–</w:t>
      </w:r>
      <w:r w:rsidRPr="00185E01">
        <w:rPr>
          <w:rFonts w:ascii="Times New Roman" w:eastAsia="Times New Roman" w:hAnsi="Times New Roman" w:cs="Times New Roman"/>
          <w:color w:val="000000"/>
          <w:sz w:val="24"/>
          <w:szCs w:val="24"/>
        </w:rPr>
        <w:t>that is, delay implementation of</w:t>
      </w:r>
      <w:r>
        <w:rPr>
          <w:rFonts w:ascii="Times New Roman" w:eastAsia="Times New Roman" w:hAnsi="Times New Roman" w:cs="Times New Roman"/>
          <w:color w:val="000000"/>
          <w:sz w:val="24"/>
          <w:szCs w:val="24"/>
        </w:rPr>
        <w:t>–</w:t>
      </w:r>
      <w:r w:rsidRPr="00185E01">
        <w:rPr>
          <w:rFonts w:ascii="Times New Roman" w:eastAsia="Times New Roman" w:hAnsi="Times New Roman" w:cs="Times New Roman"/>
          <w:color w:val="000000"/>
          <w:sz w:val="24"/>
          <w:szCs w:val="24"/>
        </w:rPr>
        <w:t>the decision of the Bureau must request and obtain such stay from the court having jurisdiction over the party’s appeal.</w:t>
      </w:r>
    </w:p>
    <w:p w14:paraId="42D4EFE8" w14:textId="77777777" w:rsidR="000706F1" w:rsidRPr="00185E01" w:rsidRDefault="000706F1" w:rsidP="000706F1">
      <w:pPr>
        <w:spacing w:after="292" w:line="243" w:lineRule="auto"/>
        <w:ind w:left="19"/>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7E0479CF" w14:textId="77777777" w:rsidR="000706F1" w:rsidRPr="00185E01" w:rsidRDefault="000706F1" w:rsidP="000706F1">
      <w:pPr>
        <w:spacing w:after="292" w:line="243" w:lineRule="auto"/>
        <w:ind w:left="19"/>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 xml:space="preserve">Therefore, where the Bureau has ordered the public school to place the child in a new placement, and the parents or guardian agree with that order, the public school shall immediately implement the placement ordered by the Bureau.  </w:t>
      </w:r>
      <w:r w:rsidRPr="00185E01">
        <w:rPr>
          <w:rFonts w:ascii="Times New Roman" w:eastAsia="Times New Roman" w:hAnsi="Times New Roman" w:cs="Times New Roman"/>
          <w:i/>
          <w:iCs/>
          <w:color w:val="000000"/>
          <w:sz w:val="24"/>
          <w:szCs w:val="24"/>
        </w:rPr>
        <w:t>School Committee of Burlington v. Massachusetts Department of Education</w:t>
      </w:r>
      <w:r w:rsidRPr="00185E01">
        <w:rPr>
          <w:rFonts w:ascii="Times New Roman" w:eastAsia="Times New Roman" w:hAnsi="Times New Roman" w:cs="Times New Roman"/>
          <w:color w:val="000000"/>
          <w:sz w:val="24"/>
          <w:szCs w:val="24"/>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185E01">
        <w:rPr>
          <w:rFonts w:ascii="Times New Roman" w:eastAsia="Times New Roman" w:hAnsi="Times New Roman" w:cs="Times New Roman"/>
          <w:i/>
          <w:iCs/>
          <w:color w:val="000000"/>
          <w:sz w:val="24"/>
          <w:szCs w:val="24"/>
        </w:rPr>
        <w:t>Honig v. Doe</w:t>
      </w:r>
      <w:r w:rsidRPr="00185E01">
        <w:rPr>
          <w:rFonts w:ascii="Times New Roman" w:eastAsia="Times New Roman" w:hAnsi="Times New Roman" w:cs="Times New Roman"/>
          <w:color w:val="000000"/>
          <w:sz w:val="24"/>
          <w:szCs w:val="24"/>
        </w:rPr>
        <w:t xml:space="preserve">, 484 U.S. 305 (1988); </w:t>
      </w:r>
      <w:r w:rsidRPr="00185E01">
        <w:rPr>
          <w:rFonts w:ascii="Times New Roman" w:eastAsia="Times New Roman" w:hAnsi="Times New Roman" w:cs="Times New Roman"/>
          <w:i/>
          <w:iCs/>
          <w:color w:val="000000"/>
          <w:sz w:val="24"/>
          <w:szCs w:val="24"/>
        </w:rPr>
        <w:t>Doe v. Brookline</w:t>
      </w:r>
      <w:r w:rsidRPr="00185E01">
        <w:rPr>
          <w:rFonts w:ascii="Times New Roman" w:eastAsia="Times New Roman" w:hAnsi="Times New Roman" w:cs="Times New Roman"/>
          <w:color w:val="000000"/>
          <w:sz w:val="24"/>
          <w:szCs w:val="24"/>
        </w:rPr>
        <w:t>, 722 F.2d 910 (1</w:t>
      </w:r>
      <w:r w:rsidRPr="00185E01">
        <w:rPr>
          <w:rFonts w:ascii="Times New Roman" w:eastAsia="Times New Roman" w:hAnsi="Times New Roman" w:cs="Times New Roman"/>
          <w:color w:val="000000"/>
          <w:sz w:val="24"/>
          <w:szCs w:val="24"/>
          <w:vertAlign w:val="superscript"/>
        </w:rPr>
        <w:t>st</w:t>
      </w:r>
      <w:r w:rsidRPr="00185E01">
        <w:rPr>
          <w:rFonts w:ascii="Times New Roman" w:eastAsia="Times New Roman" w:hAnsi="Times New Roman" w:cs="Times New Roman"/>
          <w:color w:val="000000"/>
          <w:sz w:val="24"/>
          <w:szCs w:val="24"/>
        </w:rPr>
        <w:t xml:space="preserve"> Cir. 1983).</w:t>
      </w:r>
    </w:p>
    <w:p w14:paraId="0CC1F4EF" w14:textId="77777777" w:rsidR="000706F1" w:rsidRPr="00185E01" w:rsidRDefault="000706F1" w:rsidP="000706F1">
      <w:pPr>
        <w:keepNext/>
        <w:keepLines/>
        <w:spacing w:after="252"/>
        <w:ind w:left="96" w:hanging="10"/>
        <w:outlineLvl w:val="0"/>
        <w:rPr>
          <w:rFonts w:ascii="Times New Roman" w:eastAsia="Times New Roman" w:hAnsi="Times New Roman" w:cs="Times New Roman"/>
          <w:color w:val="000000"/>
          <w:sz w:val="24"/>
          <w:szCs w:val="24"/>
          <w:u w:val="single" w:color="000000"/>
        </w:rPr>
      </w:pPr>
      <w:r w:rsidRPr="00185E01">
        <w:rPr>
          <w:rFonts w:ascii="Times New Roman" w:eastAsia="Times New Roman" w:hAnsi="Times New Roman" w:cs="Times New Roman"/>
          <w:color w:val="000000"/>
          <w:sz w:val="24"/>
          <w:szCs w:val="24"/>
          <w:u w:val="single" w:color="000000"/>
        </w:rPr>
        <w:lastRenderedPageBreak/>
        <w:t>Compliance</w:t>
      </w:r>
    </w:p>
    <w:p w14:paraId="07DE3CAF" w14:textId="77777777" w:rsidR="000706F1" w:rsidRPr="00185E01" w:rsidRDefault="000706F1" w:rsidP="000706F1">
      <w:pPr>
        <w:spacing w:after="292"/>
        <w:ind w:left="19"/>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73CAC077" w14:textId="77777777" w:rsidR="000706F1" w:rsidRPr="00185E01" w:rsidRDefault="000706F1" w:rsidP="000706F1">
      <w:pPr>
        <w:keepNext/>
        <w:keepLines/>
        <w:spacing w:after="252"/>
        <w:ind w:left="-5" w:hanging="10"/>
        <w:outlineLvl w:val="0"/>
        <w:rPr>
          <w:rFonts w:ascii="Times New Roman" w:eastAsia="Times New Roman" w:hAnsi="Times New Roman" w:cs="Times New Roman"/>
          <w:color w:val="000000"/>
          <w:sz w:val="24"/>
          <w:szCs w:val="24"/>
          <w:u w:val="single" w:color="000000"/>
        </w:rPr>
      </w:pPr>
      <w:r w:rsidRPr="00185E01">
        <w:rPr>
          <w:rFonts w:ascii="Times New Roman" w:eastAsia="Times New Roman" w:hAnsi="Times New Roman" w:cs="Times New Roman"/>
          <w:color w:val="000000"/>
          <w:sz w:val="24"/>
          <w:szCs w:val="24"/>
          <w:u w:val="single" w:color="000000"/>
        </w:rPr>
        <w:t>Rights of Appeal</w:t>
      </w:r>
    </w:p>
    <w:p w14:paraId="44468C97" w14:textId="77777777" w:rsidR="000706F1" w:rsidRPr="00185E01" w:rsidRDefault="000706F1" w:rsidP="000706F1">
      <w:pPr>
        <w:spacing w:after="292" w:line="243" w:lineRule="auto"/>
        <w:ind w:left="19"/>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618C6454" w14:textId="77777777" w:rsidR="000706F1" w:rsidRDefault="000706F1" w:rsidP="000706F1">
      <w:pPr>
        <w:spacing w:after="240"/>
        <w:ind w:left="19"/>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An appeal of a Bureau decision to state superior court or to federal district court must be filed within ninety (90) days from the date of the decision. 20 U.S.C. s. 1415(i)(2)(B).</w:t>
      </w:r>
    </w:p>
    <w:p w14:paraId="61F1E4CC" w14:textId="77777777" w:rsidR="000706F1" w:rsidRPr="00185E01" w:rsidRDefault="000706F1" w:rsidP="000706F1">
      <w:pPr>
        <w:spacing w:after="240"/>
        <w:ind w:left="19"/>
        <w:rPr>
          <w:rFonts w:ascii="Times New Roman" w:eastAsia="Times New Roman" w:hAnsi="Times New Roman" w:cs="Times New Roman"/>
          <w:color w:val="000000"/>
          <w:sz w:val="24"/>
          <w:szCs w:val="24"/>
          <w:u w:val="single" w:color="000000"/>
        </w:rPr>
      </w:pPr>
      <w:r w:rsidRPr="00185E01">
        <w:rPr>
          <w:rFonts w:ascii="Times New Roman" w:eastAsia="Times New Roman" w:hAnsi="Times New Roman" w:cs="Times New Roman"/>
          <w:color w:val="000000"/>
          <w:sz w:val="24"/>
          <w:szCs w:val="24"/>
          <w:u w:val="single" w:color="000000"/>
        </w:rPr>
        <w:t>Confidentiality</w:t>
      </w:r>
    </w:p>
    <w:p w14:paraId="17E350BC" w14:textId="77777777" w:rsidR="000706F1" w:rsidRPr="00185E01" w:rsidRDefault="000706F1" w:rsidP="000706F1">
      <w:pPr>
        <w:spacing w:line="243" w:lineRule="auto"/>
        <w:ind w:left="19"/>
        <w:rPr>
          <w:rFonts w:ascii="Times New Roman" w:eastAsia="Times New Roman" w:hAnsi="Times New Roman" w:cs="Times New Roman"/>
          <w:i/>
          <w:iCs/>
          <w:color w:val="000000"/>
          <w:sz w:val="24"/>
          <w:szCs w:val="24"/>
        </w:rPr>
      </w:pPr>
      <w:r w:rsidRPr="00185E01">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0" wp14:anchorId="2B5A89D7" wp14:editId="4B66B97F">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0"/>
                    <a:stretch>
                      <a:fillRect/>
                    </a:stretch>
                  </pic:blipFill>
                  <pic:spPr>
                    <a:xfrm>
                      <a:off x="0" y="0"/>
                      <a:ext cx="12192" cy="12196"/>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0" wp14:anchorId="3EE72669" wp14:editId="44B96BDA">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1"/>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0" wp14:anchorId="186B5EA4" wp14:editId="6A1A8840">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2"/>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2336" behindDoc="0" locked="0" layoutInCell="1" allowOverlap="0" wp14:anchorId="16E9F4D1" wp14:editId="2861A92E">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3"/>
                    <a:stretch>
                      <a:fillRect/>
                    </a:stretch>
                  </pic:blipFill>
                  <pic:spPr>
                    <a:xfrm>
                      <a:off x="0" y="0"/>
                      <a:ext cx="9144" cy="12196"/>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3360" behindDoc="0" locked="0" layoutInCell="1" allowOverlap="0" wp14:anchorId="45A4067A" wp14:editId="40995C13">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4"/>
                    <a:stretch>
                      <a:fillRect/>
                    </a:stretch>
                  </pic:blipFill>
                  <pic:spPr>
                    <a:xfrm>
                      <a:off x="0" y="0"/>
                      <a:ext cx="15240" cy="12196"/>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4384" behindDoc="0" locked="0" layoutInCell="1" allowOverlap="0" wp14:anchorId="566E1201" wp14:editId="57B586AE">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5"/>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5408" behindDoc="0" locked="0" layoutInCell="1" allowOverlap="0" wp14:anchorId="69FCA4A3" wp14:editId="1C4502D8">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6"/>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6432" behindDoc="0" locked="0" layoutInCell="1" allowOverlap="0" wp14:anchorId="1E8AD517" wp14:editId="4F1D84CF">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7"/>
                    <a:stretch>
                      <a:fillRect/>
                    </a:stretch>
                  </pic:blipFill>
                  <pic:spPr>
                    <a:xfrm>
                      <a:off x="0" y="0"/>
                      <a:ext cx="9144" cy="9147"/>
                    </a:xfrm>
                    <a:prstGeom prst="rect">
                      <a:avLst/>
                    </a:prstGeom>
                  </pic:spPr>
                </pic:pic>
              </a:graphicData>
            </a:graphic>
          </wp:anchor>
        </w:drawing>
      </w:r>
      <w:r w:rsidRPr="00185E01">
        <w:rPr>
          <w:rFonts w:ascii="Times New Roman" w:eastAsia="Times New Roman" w:hAnsi="Times New Roman" w:cs="Times New Roman"/>
          <w:noProof/>
          <w:color w:val="000000"/>
          <w:sz w:val="24"/>
          <w:szCs w:val="24"/>
        </w:rPr>
        <w:drawing>
          <wp:anchor distT="0" distB="0" distL="114300" distR="114300" simplePos="0" relativeHeight="251667456" behindDoc="0" locked="0" layoutInCell="1" allowOverlap="0" wp14:anchorId="3A7CCE8B" wp14:editId="610C8010">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8"/>
                    <a:stretch>
                      <a:fillRect/>
                    </a:stretch>
                  </pic:blipFill>
                  <pic:spPr>
                    <a:xfrm>
                      <a:off x="0" y="0"/>
                      <a:ext cx="18288" cy="15245"/>
                    </a:xfrm>
                    <a:prstGeom prst="rect">
                      <a:avLst/>
                    </a:prstGeom>
                  </pic:spPr>
                </pic:pic>
              </a:graphicData>
            </a:graphic>
          </wp:anchor>
        </w:drawing>
      </w:r>
      <w:proofErr w:type="gramStart"/>
      <w:r w:rsidRPr="00185E01">
        <w:rPr>
          <w:rFonts w:ascii="Times New Roman" w:eastAsia="Times New Roman" w:hAnsi="Times New Roman" w:cs="Times New Roman"/>
          <w:color w:val="000000"/>
          <w:sz w:val="24"/>
          <w:szCs w:val="24"/>
        </w:rPr>
        <w:t>In order to</w:t>
      </w:r>
      <w:proofErr w:type="gramEnd"/>
      <w:r w:rsidRPr="00185E01">
        <w:rPr>
          <w:rFonts w:ascii="Times New Roman" w:eastAsia="Times New Roman" w:hAnsi="Times New Roman" w:cs="Times New Roman"/>
          <w:color w:val="000000"/>
          <w:sz w:val="24"/>
          <w:szCs w:val="24"/>
        </w:rPr>
        <w:t xml:space="preserve"> preserve the confidentiality of the student involved in these proceedings, when an </w:t>
      </w:r>
      <w:r w:rsidRPr="00185E01">
        <w:rPr>
          <w:rFonts w:ascii="Times New Roman" w:eastAsia="Times New Roman" w:hAnsi="Times New Roman" w:cs="Times New Roman"/>
          <w:noProof/>
          <w:color w:val="000000"/>
          <w:sz w:val="24"/>
          <w:szCs w:val="24"/>
        </w:rPr>
        <w:drawing>
          <wp:inline distT="0" distB="0" distL="0" distR="0" wp14:anchorId="3799D049" wp14:editId="22D85EA2">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9"/>
                    <a:stretch>
                      <a:fillRect/>
                    </a:stretch>
                  </pic:blipFill>
                  <pic:spPr>
                    <a:xfrm>
                      <a:off x="0" y="0"/>
                      <a:ext cx="6096" cy="12196"/>
                    </a:xfrm>
                    <a:prstGeom prst="rect">
                      <a:avLst/>
                    </a:prstGeom>
                  </pic:spPr>
                </pic:pic>
              </a:graphicData>
            </a:graphic>
          </wp:inline>
        </w:drawing>
      </w:r>
      <w:r w:rsidRPr="00185E01">
        <w:rPr>
          <w:rFonts w:ascii="Times New Roman" w:eastAsia="Times New Roman" w:hAnsi="Times New Roman" w:cs="Times New Roman"/>
          <w:color w:val="000000"/>
          <w:sz w:val="24"/>
          <w:szCs w:val="24"/>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185E01">
        <w:rPr>
          <w:rFonts w:ascii="Times New Roman" w:eastAsia="Times New Roman" w:hAnsi="Times New Roman" w:cs="Times New Roman"/>
          <w:i/>
          <w:iCs/>
          <w:color w:val="000000"/>
          <w:sz w:val="24"/>
          <w:szCs w:val="24"/>
        </w:rPr>
        <w:t>Webster Grove</w:t>
      </w:r>
      <w:r>
        <w:rPr>
          <w:rFonts w:ascii="Times New Roman" w:eastAsia="Times New Roman" w:hAnsi="Times New Roman" w:cs="Times New Roman"/>
          <w:i/>
          <w:iCs/>
          <w:color w:val="000000"/>
          <w:sz w:val="24"/>
          <w:szCs w:val="24"/>
        </w:rPr>
        <w:t xml:space="preserve"> </w:t>
      </w:r>
      <w:r w:rsidRPr="00185E01">
        <w:rPr>
          <w:rFonts w:ascii="Times New Roman" w:eastAsia="Times New Roman" w:hAnsi="Times New Roman" w:cs="Times New Roman"/>
          <w:i/>
          <w:iCs/>
          <w:color w:val="000000"/>
          <w:sz w:val="24"/>
          <w:szCs w:val="24"/>
        </w:rPr>
        <w:t>School District v. Pulitzer Publishing</w:t>
      </w:r>
    </w:p>
    <w:p w14:paraId="069D01FC" w14:textId="77777777" w:rsidR="000706F1" w:rsidRPr="00185E01" w:rsidRDefault="000706F1" w:rsidP="000706F1">
      <w:pPr>
        <w:spacing w:after="240"/>
        <w:ind w:left="19"/>
        <w:rPr>
          <w:rFonts w:ascii="Times New Roman" w:eastAsia="Times New Roman" w:hAnsi="Times New Roman" w:cs="Times New Roman"/>
          <w:color w:val="000000"/>
          <w:sz w:val="24"/>
          <w:szCs w:val="24"/>
        </w:rPr>
      </w:pPr>
      <w:r w:rsidRPr="00185E01">
        <w:rPr>
          <w:rFonts w:ascii="Times New Roman" w:eastAsia="Times New Roman" w:hAnsi="Times New Roman" w:cs="Times New Roman"/>
          <w:i/>
          <w:iCs/>
          <w:color w:val="000000"/>
          <w:sz w:val="24"/>
          <w:szCs w:val="24"/>
        </w:rPr>
        <w:t>Company</w:t>
      </w:r>
      <w:r w:rsidRPr="00185E01">
        <w:rPr>
          <w:rFonts w:ascii="Times New Roman" w:eastAsia="Times New Roman" w:hAnsi="Times New Roman" w:cs="Times New Roman"/>
          <w:color w:val="000000"/>
          <w:sz w:val="24"/>
          <w:szCs w:val="24"/>
        </w:rPr>
        <w:t>, 898 F.2d 1371 (8th. Cir. 1990). If the appealing party does not seek to impound the documents, the Bureau of Special Education Appeals, through the Attorney General's Office, may move to impound the documents.</w:t>
      </w:r>
    </w:p>
    <w:p w14:paraId="5061D12D" w14:textId="77777777" w:rsidR="000706F1" w:rsidRPr="00185E01" w:rsidRDefault="000706F1" w:rsidP="000706F1">
      <w:pPr>
        <w:spacing w:after="231"/>
        <w:ind w:left="62"/>
        <w:rPr>
          <w:rFonts w:ascii="Times New Roman" w:eastAsia="Times New Roman" w:hAnsi="Times New Roman" w:cs="Times New Roman"/>
          <w:color w:val="000000"/>
          <w:sz w:val="24"/>
          <w:szCs w:val="24"/>
          <w:u w:val="single"/>
        </w:rPr>
      </w:pPr>
      <w:r w:rsidRPr="00185E01">
        <w:rPr>
          <w:rFonts w:ascii="Times New Roman" w:eastAsia="Times New Roman" w:hAnsi="Times New Roman" w:cs="Times New Roman"/>
          <w:color w:val="000000"/>
          <w:sz w:val="24"/>
          <w:szCs w:val="24"/>
          <w:u w:val="single"/>
        </w:rPr>
        <w:t>Record of the Hearing</w:t>
      </w:r>
    </w:p>
    <w:p w14:paraId="53A280C4" w14:textId="77777777" w:rsidR="000706F1" w:rsidRPr="00185E01" w:rsidRDefault="000706F1" w:rsidP="000706F1">
      <w:pPr>
        <w:spacing w:after="292" w:line="243" w:lineRule="auto"/>
        <w:ind w:left="19"/>
        <w:rPr>
          <w:rFonts w:ascii="Times New Roman" w:eastAsia="Times New Roman" w:hAnsi="Times New Roman" w:cs="Times New Roman"/>
          <w:color w:val="000000"/>
          <w:sz w:val="24"/>
          <w:szCs w:val="24"/>
        </w:rPr>
      </w:pPr>
      <w:r w:rsidRPr="00185E01">
        <w:rPr>
          <w:rFonts w:ascii="Times New Roman" w:eastAsia="Times New Roman" w:hAnsi="Times New Roman" w:cs="Times New Roman"/>
          <w:color w:val="000000"/>
          <w:sz w:val="24"/>
          <w:szCs w:val="24"/>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1C32BBBE" w14:textId="77777777" w:rsidR="000706F1" w:rsidRPr="003F0A5A" w:rsidRDefault="000706F1" w:rsidP="000706F1">
      <w:pPr>
        <w:shd w:val="clear" w:color="auto" w:fill="FFFFFF"/>
        <w:rPr>
          <w:rFonts w:ascii="Times New Roman" w:eastAsia="Times New Roman" w:hAnsi="Times New Roman" w:cs="Times New Roman"/>
          <w:sz w:val="24"/>
          <w:szCs w:val="24"/>
        </w:rPr>
      </w:pPr>
    </w:p>
    <w:p w14:paraId="61592803" w14:textId="77777777" w:rsidR="000706F1" w:rsidRPr="003F0A5A" w:rsidRDefault="000706F1" w:rsidP="000706F1"/>
    <w:p w14:paraId="173EF18B" w14:textId="77777777" w:rsidR="000706F1" w:rsidRPr="00D7621E" w:rsidRDefault="000706F1" w:rsidP="00D7621E">
      <w:pPr>
        <w:spacing w:after="0"/>
        <w:rPr>
          <w:rFonts w:ascii="Times New Roman" w:eastAsia="Times New Roman" w:hAnsi="Times New Roman" w:cs="Times New Roman"/>
          <w:sz w:val="24"/>
          <w:szCs w:val="24"/>
        </w:rPr>
      </w:pPr>
    </w:p>
    <w:sectPr w:rsidR="000706F1" w:rsidRPr="00D7621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D10D" w14:textId="77777777" w:rsidR="00004581" w:rsidRDefault="00004581" w:rsidP="000B300C">
      <w:pPr>
        <w:spacing w:after="0" w:line="240" w:lineRule="auto"/>
      </w:pPr>
      <w:r>
        <w:separator/>
      </w:r>
    </w:p>
  </w:endnote>
  <w:endnote w:type="continuationSeparator" w:id="0">
    <w:p w14:paraId="3989BF32" w14:textId="77777777" w:rsidR="00004581" w:rsidRDefault="00004581" w:rsidP="000B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62624"/>
      <w:docPartObj>
        <w:docPartGallery w:val="Page Numbers (Bottom of Page)"/>
        <w:docPartUnique/>
      </w:docPartObj>
    </w:sdtPr>
    <w:sdtEndPr>
      <w:rPr>
        <w:noProof/>
      </w:rPr>
    </w:sdtEndPr>
    <w:sdtContent>
      <w:p w14:paraId="0C60507E" w14:textId="2AE8DC91" w:rsidR="00000B9D" w:rsidRDefault="00000B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9EAA7" w14:textId="77777777" w:rsidR="00000B9D" w:rsidRDefault="00000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4FAA" w14:textId="77777777" w:rsidR="00004581" w:rsidRDefault="00004581" w:rsidP="000B300C">
      <w:pPr>
        <w:spacing w:after="0" w:line="240" w:lineRule="auto"/>
      </w:pPr>
      <w:r>
        <w:separator/>
      </w:r>
    </w:p>
  </w:footnote>
  <w:footnote w:type="continuationSeparator" w:id="0">
    <w:p w14:paraId="5E3EA289" w14:textId="77777777" w:rsidR="00004581" w:rsidRDefault="00004581" w:rsidP="000B300C">
      <w:pPr>
        <w:spacing w:after="0" w:line="240" w:lineRule="auto"/>
      </w:pPr>
      <w:r>
        <w:continuationSeparator/>
      </w:r>
    </w:p>
  </w:footnote>
  <w:footnote w:id="1">
    <w:p w14:paraId="4C8759D3" w14:textId="4C114450" w:rsidR="006C467F" w:rsidRDefault="006C467F">
      <w:pPr>
        <w:pStyle w:val="FootnoteText"/>
      </w:pPr>
      <w:r>
        <w:rPr>
          <w:rStyle w:val="FootnoteReference"/>
        </w:rPr>
        <w:footnoteRef/>
      </w:r>
      <w:r>
        <w:t xml:space="preserve"> </w:t>
      </w:r>
      <w:r w:rsidR="001068CB">
        <w:t>Zeke</w:t>
      </w:r>
      <w:r w:rsidR="00687334">
        <w:t xml:space="preserve"> </w:t>
      </w:r>
      <w:r>
        <w:t>is a pseudonym chosen by the Hearing Officer to protect the student’s identity in public documents.</w:t>
      </w:r>
    </w:p>
  </w:footnote>
  <w:footnote w:id="2">
    <w:p w14:paraId="42F581C2" w14:textId="59C351B0" w:rsidR="00F43AC7" w:rsidRPr="00F43AC7" w:rsidRDefault="00F43AC7">
      <w:pPr>
        <w:pStyle w:val="FootnoteText"/>
      </w:pPr>
      <w:r>
        <w:rPr>
          <w:rStyle w:val="FootnoteReference"/>
        </w:rPr>
        <w:footnoteRef/>
      </w:r>
      <w:r>
        <w:t xml:space="preserve"> Although Parent refers to texts she attached to her </w:t>
      </w:r>
      <w:r>
        <w:rPr>
          <w:i/>
          <w:iCs/>
        </w:rPr>
        <w:t>Hearing Request</w:t>
      </w:r>
      <w:r>
        <w:t xml:space="preserve">, those texts </w:t>
      </w:r>
      <w:r w:rsidR="00A15447">
        <w:t>appear unrelated to the previous matter involving Parent</w:t>
      </w:r>
      <w:r>
        <w:t xml:space="preserve">. To the extent the BSEA Director may have been involved in scheduling of that </w:t>
      </w:r>
      <w:r w:rsidR="00A15447">
        <w:t>case</w:t>
      </w:r>
      <w:r>
        <w:t>, I take judicial notice of my service on a grand jury between April 7 and July 7, 2022, which necessitated the involvement of my colleagues in the scheduling of</w:t>
      </w:r>
      <w:r w:rsidR="00A15447">
        <w:t xml:space="preserve"> matters that remained before me</w:t>
      </w:r>
      <w:r>
        <w:t>.</w:t>
      </w:r>
    </w:p>
  </w:footnote>
  <w:footnote w:id="3">
    <w:p w14:paraId="452F09D2" w14:textId="5E1DAAEE" w:rsidR="004958AB" w:rsidRPr="00CA1136" w:rsidRDefault="004958AB" w:rsidP="004958AB">
      <w:pPr>
        <w:pStyle w:val="NoSpacing"/>
        <w:rPr>
          <w:rFonts w:ascii="Times New Roman" w:hAnsi="Times New Roman" w:cs="Times New Roman"/>
          <w:sz w:val="20"/>
          <w:szCs w:val="20"/>
        </w:rPr>
      </w:pPr>
      <w:r w:rsidRPr="00CA1136">
        <w:rPr>
          <w:rStyle w:val="FootnoteReference"/>
          <w:rFonts w:ascii="Times New Roman" w:hAnsi="Times New Roman" w:cs="Times New Roman"/>
          <w:sz w:val="20"/>
          <w:szCs w:val="20"/>
        </w:rPr>
        <w:footnoteRef/>
      </w:r>
      <w:r w:rsidRPr="00CA1136">
        <w:rPr>
          <w:rFonts w:ascii="Times New Roman" w:hAnsi="Times New Roman" w:cs="Times New Roman"/>
          <w:sz w:val="20"/>
          <w:szCs w:val="20"/>
        </w:rPr>
        <w:t xml:space="preserve"> </w:t>
      </w:r>
      <w:r w:rsidR="00E77FEF" w:rsidRPr="00E77FEF">
        <w:rPr>
          <w:rFonts w:ascii="Times New Roman" w:hAnsi="Times New Roman" w:cs="Times New Roman"/>
          <w:i/>
          <w:iCs/>
          <w:sz w:val="20"/>
          <w:szCs w:val="20"/>
        </w:rPr>
        <w:t>Cf</w:t>
      </w:r>
      <w:r w:rsidR="00E77FEF">
        <w:rPr>
          <w:rFonts w:ascii="Times New Roman" w:hAnsi="Times New Roman" w:cs="Times New Roman"/>
          <w:sz w:val="20"/>
          <w:szCs w:val="20"/>
        </w:rPr>
        <w:t xml:space="preserve">. </w:t>
      </w:r>
      <w:r w:rsidRPr="00CA1136">
        <w:rPr>
          <w:rFonts w:ascii="Times New Roman" w:hAnsi="Times New Roman" w:cs="Times New Roman"/>
          <w:i/>
          <w:iCs/>
          <w:sz w:val="20"/>
          <w:szCs w:val="20"/>
        </w:rPr>
        <w:t>Blank v. Chelmsford Ob/Gyn, P.C.</w:t>
      </w:r>
      <w:r w:rsidRPr="00CA1136">
        <w:rPr>
          <w:rFonts w:ascii="Times New Roman" w:hAnsi="Times New Roman" w:cs="Times New Roman"/>
          <w:sz w:val="20"/>
          <w:szCs w:val="20"/>
        </w:rPr>
        <w:t xml:space="preserve">, 420 Mass. 404, 407 (1995).  </w:t>
      </w:r>
    </w:p>
  </w:footnote>
  <w:footnote w:id="4">
    <w:p w14:paraId="3E890F8C" w14:textId="23DCD52A" w:rsidR="007E354F" w:rsidRPr="007E354F" w:rsidRDefault="007E354F">
      <w:pPr>
        <w:pStyle w:val="FootnoteText"/>
      </w:pPr>
      <w:r>
        <w:rPr>
          <w:rStyle w:val="FootnoteReference"/>
        </w:rPr>
        <w:footnoteRef/>
      </w:r>
      <w:r>
        <w:t xml:space="preserve"> See, e.g., </w:t>
      </w:r>
      <w:r>
        <w:rPr>
          <w:i/>
          <w:iCs/>
        </w:rPr>
        <w:t>Abate v. Freemont Inv. &amp; Loan</w:t>
      </w:r>
      <w:r>
        <w:t xml:space="preserve">, 470 Mass. 821, 828 (2015) (recognizing that a judge may consider, </w:t>
      </w:r>
      <w:proofErr w:type="spellStart"/>
      <w:r>
        <w:rPr>
          <w:i/>
          <w:iCs/>
        </w:rPr>
        <w:t>sua</w:t>
      </w:r>
      <w:proofErr w:type="spellEnd"/>
      <w:r>
        <w:rPr>
          <w:i/>
          <w:iCs/>
        </w:rPr>
        <w:t xml:space="preserve"> sponte</w:t>
      </w:r>
      <w:r>
        <w:t xml:space="preserve">, </w:t>
      </w:r>
      <w:r w:rsidR="00712260">
        <w:t xml:space="preserve">certain </w:t>
      </w:r>
      <w:r>
        <w:t xml:space="preserve">aspects of subject matter jurisdiction at any time and dismiss a claim on this basis); </w:t>
      </w:r>
      <w:r>
        <w:rPr>
          <w:i/>
          <w:iCs/>
        </w:rPr>
        <w:t>Commonwealth v. Dube</w:t>
      </w:r>
      <w:r>
        <w:t xml:space="preserve">, 59 Mass. App. Ct. 478, 488-89 (1992) (recognizing judge’s inherent authority to dismiss a case </w:t>
      </w:r>
      <w:proofErr w:type="spellStart"/>
      <w:r>
        <w:rPr>
          <w:i/>
          <w:iCs/>
        </w:rPr>
        <w:t>sua</w:t>
      </w:r>
      <w:proofErr w:type="spellEnd"/>
      <w:r>
        <w:rPr>
          <w:i/>
          <w:iCs/>
        </w:rPr>
        <w:t xml:space="preserve"> sponte </w:t>
      </w:r>
      <w:r>
        <w:t>where evidence was insufficient to support the necessary finding, specifically, probabl</w:t>
      </w:r>
      <w:r w:rsidR="00AB0BD7">
        <w:t>e</w:t>
      </w:r>
      <w:r>
        <w:t xml:space="preserve"> cause); </w:t>
      </w:r>
      <w:r>
        <w:rPr>
          <w:i/>
          <w:iCs/>
        </w:rPr>
        <w:t>State Realty Co. of Boston v. MacNeil Bros. Co</w:t>
      </w:r>
      <w:r>
        <w:t xml:space="preserve">., 358 Mass. 374, 379 (1970) (noting that courts have inherent, discretionary powers to dismiss cases in certain circumstances, such as failure to prosecute, even in the </w:t>
      </w:r>
      <w:r w:rsidR="007C4A6F">
        <w:t>a</w:t>
      </w:r>
      <w:r>
        <w:t>bsence of any motion by parties to dismiss).</w:t>
      </w:r>
    </w:p>
  </w:footnote>
  <w:footnote w:id="5">
    <w:p w14:paraId="758D106C" w14:textId="29EF0515" w:rsidR="007C4A6F" w:rsidRPr="007C4A6F" w:rsidRDefault="007C4A6F">
      <w:pPr>
        <w:pStyle w:val="FootnoteText"/>
      </w:pPr>
      <w:r>
        <w:rPr>
          <w:rStyle w:val="FootnoteReference"/>
        </w:rPr>
        <w:footnoteRef/>
      </w:r>
      <w:r>
        <w:t xml:space="preserve"> See </w:t>
      </w:r>
      <w:r>
        <w:rPr>
          <w:i/>
          <w:iCs/>
        </w:rPr>
        <w:t>State Realty Co</w:t>
      </w:r>
      <w:r>
        <w:t>., 358 Mass. at 379.</w:t>
      </w:r>
    </w:p>
  </w:footnote>
  <w:footnote w:id="6">
    <w:p w14:paraId="3BEA31E4" w14:textId="71CCFD11" w:rsidR="007C4A6F" w:rsidRPr="00F96430" w:rsidRDefault="007C4A6F">
      <w:pPr>
        <w:pStyle w:val="FootnoteText"/>
      </w:pPr>
      <w:r>
        <w:rPr>
          <w:rStyle w:val="FootnoteReference"/>
        </w:rPr>
        <w:footnoteRef/>
      </w:r>
      <w:r>
        <w:t xml:space="preserve"> </w:t>
      </w:r>
      <w:r>
        <w:rPr>
          <w:i/>
          <w:iCs/>
        </w:rPr>
        <w:t>Chute v. Walker</w:t>
      </w:r>
      <w:r>
        <w:t xml:space="preserve">, 281 F.3rd 314, 319 (2002) (noting that </w:t>
      </w:r>
      <w:proofErr w:type="spellStart"/>
      <w:r>
        <w:rPr>
          <w:i/>
          <w:iCs/>
        </w:rPr>
        <w:t>sua</w:t>
      </w:r>
      <w:proofErr w:type="spellEnd"/>
      <w:r>
        <w:rPr>
          <w:i/>
          <w:iCs/>
        </w:rPr>
        <w:t xml:space="preserve"> sponte </w:t>
      </w:r>
      <w:r>
        <w:t>dismissals of complaints for failure to state a claim may be appropriate where parties “have been afforded notice and the opportunity to amend the complaint o</w:t>
      </w:r>
      <w:r w:rsidR="00AB0BD7">
        <w:t>r</w:t>
      </w:r>
      <w:r>
        <w:t xml:space="preserve"> otherwise respond,” but that prior notice is not necessary where plaintiff cannot prevail)</w:t>
      </w:r>
      <w:r w:rsidR="00821C5B">
        <w:t xml:space="preserve">; see </w:t>
      </w:r>
      <w:r w:rsidR="00821C5B">
        <w:rPr>
          <w:i/>
          <w:iCs/>
        </w:rPr>
        <w:t xml:space="preserve">Davis v. </w:t>
      </w:r>
      <w:proofErr w:type="spellStart"/>
      <w:r w:rsidR="00821C5B">
        <w:rPr>
          <w:i/>
          <w:iCs/>
        </w:rPr>
        <w:t>Kvalheim</w:t>
      </w:r>
      <w:proofErr w:type="spellEnd"/>
      <w:r w:rsidR="00821C5B">
        <w:t>, 261 Fed.</w:t>
      </w:r>
      <w:r w:rsidR="008813E3">
        <w:t xml:space="preserve"> </w:t>
      </w:r>
      <w:r w:rsidR="00821C5B">
        <w:t>Appx. 231, 234-35 (11th Cir. 2008) (unpublished)</w:t>
      </w:r>
      <w:r w:rsidR="008813E3">
        <w:t xml:space="preserve"> (affirming judge’s </w:t>
      </w:r>
      <w:proofErr w:type="spellStart"/>
      <w:r w:rsidR="008813E3">
        <w:rPr>
          <w:i/>
          <w:iCs/>
        </w:rPr>
        <w:t>sua</w:t>
      </w:r>
      <w:proofErr w:type="spellEnd"/>
      <w:r w:rsidR="008813E3">
        <w:rPr>
          <w:i/>
          <w:iCs/>
        </w:rPr>
        <w:t xml:space="preserve"> sponte </w:t>
      </w:r>
      <w:r w:rsidR="008813E3">
        <w:t>dismissal of complaint without notice where complaint was frivolous).</w:t>
      </w:r>
      <w:r w:rsidR="00821C5B">
        <w:t xml:space="preserve"> </w:t>
      </w:r>
    </w:p>
  </w:footnote>
  <w:footnote w:id="7">
    <w:p w14:paraId="63DE5581" w14:textId="77777777" w:rsidR="00FD32DE" w:rsidRDefault="00FD32DE" w:rsidP="00FD32DE">
      <w:pPr>
        <w:pStyle w:val="FootnoteText"/>
      </w:pPr>
      <w:r>
        <w:rPr>
          <w:rStyle w:val="FootnoteReference"/>
        </w:rPr>
        <w:footnoteRef/>
      </w:r>
      <w:r>
        <w:t xml:space="preserve"> See 34 CFR </w:t>
      </w:r>
      <w:r>
        <w:rPr>
          <w:rFonts w:cs="Times New Roman"/>
        </w:rPr>
        <w:t>§</w:t>
      </w:r>
      <w:r>
        <w:t xml:space="preserve"> 300.507(a)(1).</w:t>
      </w:r>
    </w:p>
  </w:footnote>
  <w:footnote w:id="8">
    <w:p w14:paraId="35EA1EF8" w14:textId="1DF2427A" w:rsidR="00FD32DE" w:rsidRDefault="00FD32DE" w:rsidP="00FD32DE">
      <w:pPr>
        <w:pStyle w:val="FootnoteText"/>
        <w:rPr>
          <w:rFonts w:cs="Times New Roman"/>
        </w:rPr>
      </w:pPr>
      <w:r>
        <w:rPr>
          <w:rStyle w:val="FootnoteReference"/>
        </w:rPr>
        <w:footnoteRef/>
      </w:r>
      <w:r>
        <w:t xml:space="preserve"> 603 CMR 28.08(3)(a); see </w:t>
      </w:r>
      <w:r w:rsidRPr="00946871">
        <w:rPr>
          <w:rFonts w:cs="Times New Roman"/>
        </w:rPr>
        <w:t>M.G.L. c. 71B § 2B</w:t>
      </w:r>
      <w:r>
        <w:rPr>
          <w:rFonts w:cs="Times New Roman"/>
        </w:rPr>
        <w:t xml:space="preserve"> (under its governing statue, the BSEA has the authority to provide </w:t>
      </w:r>
    </w:p>
    <w:p w14:paraId="196E0904" w14:textId="63308011" w:rsidR="008A33C4" w:rsidRPr="00F96430" w:rsidRDefault="008A33C4" w:rsidP="008A33C4">
      <w:pPr>
        <w:pStyle w:val="FootnoteText"/>
      </w:pPr>
      <w:r>
        <w:rPr>
          <w:rFonts w:cs="Times New Roman"/>
        </w:rPr>
        <w:t>“</w:t>
      </w:r>
      <w:r w:rsidR="00FD32DE" w:rsidRPr="001423F4">
        <w:t xml:space="preserve">adjudicatory hearings, mediation and other forms of alternative dispute resolution </w:t>
      </w:r>
      <w:r w:rsidR="00FD32DE">
        <w:t>. . .</w:t>
      </w:r>
      <w:r w:rsidR="00FD32DE" w:rsidRPr="001423F4">
        <w:t xml:space="preserve"> for resolution of disputes between and among parents, school districts, private schools and state agencies concerning: (i) any matter relating to the identification, evaluation, education program or educational placement of a child with a disability or the provision of a free and appropriate public education to the child arising under this chapter and regulations</w:t>
      </w:r>
      <w:r>
        <w:t>”</w:t>
      </w:r>
      <w:r w:rsidR="00F96430">
        <w:t>)</w:t>
      </w:r>
      <w:r w:rsidR="00FD32DE">
        <w:t>.</w:t>
      </w:r>
    </w:p>
  </w:footnote>
  <w:footnote w:id="9">
    <w:p w14:paraId="218D2348" w14:textId="3B92BAB0" w:rsidR="006F7CD4" w:rsidRPr="006F7CD4" w:rsidRDefault="006F7CD4">
      <w:pPr>
        <w:pStyle w:val="FootnoteText"/>
      </w:pPr>
      <w:r>
        <w:rPr>
          <w:rStyle w:val="FootnoteReference"/>
        </w:rPr>
        <w:footnoteRef/>
      </w:r>
      <w:r>
        <w:t xml:space="preserve"> </w:t>
      </w:r>
      <w:r>
        <w:rPr>
          <w:i/>
          <w:iCs/>
        </w:rPr>
        <w:t>In Re Murchison</w:t>
      </w:r>
      <w:r>
        <w:t>, 349 U.S 133, 136 (1955).</w:t>
      </w:r>
    </w:p>
  </w:footnote>
  <w:footnote w:id="10">
    <w:p w14:paraId="48C8BD06" w14:textId="386CEE63" w:rsidR="00510995" w:rsidRDefault="00510995">
      <w:pPr>
        <w:pStyle w:val="FootnoteText"/>
      </w:pPr>
      <w:r>
        <w:rPr>
          <w:rStyle w:val="FootnoteReference"/>
        </w:rPr>
        <w:footnoteRef/>
      </w:r>
      <w:r>
        <w:t xml:space="preserve"> </w:t>
      </w:r>
      <w:r>
        <w:rPr>
          <w:i/>
          <w:iCs/>
        </w:rPr>
        <w:t>United States v. Patti</w:t>
      </w:r>
      <w:r>
        <w:t>, 337 F.3d 1317, 1321 (11th Cir</w:t>
      </w:r>
      <w:r w:rsidR="00CF5622">
        <w:t>.</w:t>
      </w:r>
      <w:r>
        <w:t xml:space="preserve"> 2003) (internal citation omitted).</w:t>
      </w:r>
    </w:p>
  </w:footnote>
  <w:footnote w:id="11">
    <w:p w14:paraId="355184FA" w14:textId="5148275A" w:rsidR="00510995" w:rsidRPr="00AB6765" w:rsidRDefault="00510995">
      <w:pPr>
        <w:pStyle w:val="FootnoteText"/>
        <w:rPr>
          <w:i/>
          <w:iCs/>
        </w:rPr>
      </w:pPr>
      <w:r>
        <w:rPr>
          <w:rStyle w:val="FootnoteReference"/>
        </w:rPr>
        <w:footnoteRef/>
      </w:r>
      <w:r>
        <w:t xml:space="preserve"> 28 USC </w:t>
      </w:r>
      <w:r>
        <w:rPr>
          <w:rFonts w:cs="Times New Roman"/>
        </w:rPr>
        <w:t>§</w:t>
      </w:r>
      <w:r>
        <w:t xml:space="preserve"> 455(a).</w:t>
      </w:r>
    </w:p>
  </w:footnote>
  <w:footnote w:id="12">
    <w:p w14:paraId="4BB633FA" w14:textId="7B64C320" w:rsidR="00C410DE" w:rsidRPr="00510995" w:rsidRDefault="00C410DE">
      <w:pPr>
        <w:pStyle w:val="FootnoteText"/>
      </w:pPr>
      <w:r>
        <w:rPr>
          <w:rStyle w:val="FootnoteReference"/>
        </w:rPr>
        <w:footnoteRef/>
      </w:r>
      <w:r>
        <w:t xml:space="preserve"> </w:t>
      </w:r>
      <w:r w:rsidR="0035347D">
        <w:t xml:space="preserve">See </w:t>
      </w:r>
      <w:r w:rsidR="00510995">
        <w:t xml:space="preserve">28 USC </w:t>
      </w:r>
      <w:r w:rsidR="00510995">
        <w:rPr>
          <w:rFonts w:cs="Times New Roman"/>
        </w:rPr>
        <w:t>§</w:t>
      </w:r>
      <w:r w:rsidR="00510995">
        <w:t xml:space="preserve"> 455(b).</w:t>
      </w:r>
    </w:p>
  </w:footnote>
  <w:footnote w:id="13">
    <w:p w14:paraId="4D135E90" w14:textId="285660CA" w:rsidR="00C410DE" w:rsidRPr="00C410DE" w:rsidRDefault="00C410DE">
      <w:pPr>
        <w:pStyle w:val="FootnoteText"/>
      </w:pPr>
      <w:r>
        <w:rPr>
          <w:rStyle w:val="FootnoteReference"/>
        </w:rPr>
        <w:footnoteRef/>
      </w:r>
      <w:r>
        <w:t xml:space="preserve"> 28 USC </w:t>
      </w:r>
      <w:r>
        <w:rPr>
          <w:rFonts w:cs="Times New Roman"/>
        </w:rPr>
        <w:t>§</w:t>
      </w:r>
      <w:r>
        <w:t xml:space="preserve"> 455(b)(</w:t>
      </w:r>
      <w:r w:rsidR="00510995">
        <w:t>1), (5)(i)</w:t>
      </w:r>
      <w:r>
        <w:t xml:space="preserve">, (e); </w:t>
      </w:r>
      <w:r w:rsidR="006E5B3F">
        <w:t xml:space="preserve">see </w:t>
      </w:r>
      <w:r>
        <w:rPr>
          <w:i/>
          <w:iCs/>
        </w:rPr>
        <w:t>Patti</w:t>
      </w:r>
      <w:r>
        <w:t>, 337 F.3d at 1321.</w:t>
      </w:r>
    </w:p>
  </w:footnote>
  <w:footnote w:id="14">
    <w:p w14:paraId="55FFE5AC" w14:textId="6078D23A" w:rsidR="00045A85" w:rsidRPr="00045A85" w:rsidRDefault="00045A85">
      <w:pPr>
        <w:pStyle w:val="FootnoteText"/>
      </w:pPr>
      <w:r>
        <w:rPr>
          <w:rStyle w:val="FootnoteReference"/>
        </w:rPr>
        <w:footnoteRef/>
      </w:r>
      <w:r>
        <w:t xml:space="preserve"> </w:t>
      </w:r>
      <w:r>
        <w:rPr>
          <w:i/>
          <w:iCs/>
        </w:rPr>
        <w:t>Murray v. Scott</w:t>
      </w:r>
      <w:r>
        <w:t>, 253 F.3d 1308, 131</w:t>
      </w:r>
      <w:r w:rsidR="006E5B3F">
        <w:t>0, 131</w:t>
      </w:r>
      <w:r>
        <w:t xml:space="preserve">2 (11th Cir. 2001); </w:t>
      </w:r>
      <w:r w:rsidR="006E5B3F">
        <w:t xml:space="preserve">see </w:t>
      </w:r>
      <w:r>
        <w:rPr>
          <w:i/>
          <w:iCs/>
        </w:rPr>
        <w:t>Patti</w:t>
      </w:r>
      <w:r>
        <w:t>, 337 F.3d at 1321.</w:t>
      </w:r>
    </w:p>
  </w:footnote>
  <w:footnote w:id="15">
    <w:p w14:paraId="05B28060" w14:textId="0F8D7058" w:rsidR="00CF5622" w:rsidRPr="004D5DBF" w:rsidRDefault="00045A85">
      <w:pPr>
        <w:pStyle w:val="FootnoteText"/>
        <w:rPr>
          <w:i/>
          <w:iCs/>
        </w:rPr>
      </w:pPr>
      <w:r>
        <w:rPr>
          <w:rStyle w:val="FootnoteReference"/>
        </w:rPr>
        <w:footnoteRef/>
      </w:r>
      <w:r>
        <w:t xml:space="preserve"> </w:t>
      </w:r>
      <w:r w:rsidR="003E73AB">
        <w:t>See</w:t>
      </w:r>
      <w:r w:rsidR="00655C18">
        <w:t xml:space="preserve"> 28 USC </w:t>
      </w:r>
      <w:r w:rsidR="00655C18">
        <w:rPr>
          <w:rFonts w:cs="Times New Roman"/>
        </w:rPr>
        <w:t>§</w:t>
      </w:r>
      <w:r w:rsidR="00655C18">
        <w:t xml:space="preserve"> 455(b)(5)(i);</w:t>
      </w:r>
      <w:r w:rsidR="003E73AB">
        <w:t xml:space="preserve"> </w:t>
      </w:r>
      <w:r w:rsidR="003E73AB">
        <w:rPr>
          <w:i/>
          <w:iCs/>
        </w:rPr>
        <w:t xml:space="preserve">Akers v. </w:t>
      </w:r>
      <w:proofErr w:type="spellStart"/>
      <w:r w:rsidR="003E73AB">
        <w:rPr>
          <w:i/>
          <w:iCs/>
        </w:rPr>
        <w:t>Weinshienk</w:t>
      </w:r>
      <w:proofErr w:type="spellEnd"/>
      <w:r w:rsidR="003E73AB">
        <w:t xml:space="preserve">, </w:t>
      </w:r>
      <w:r w:rsidR="00CF5622">
        <w:t>350 Fed.</w:t>
      </w:r>
      <w:r w:rsidR="008813E3">
        <w:t xml:space="preserve"> </w:t>
      </w:r>
      <w:r w:rsidR="00CF5622">
        <w:t xml:space="preserve">Appx. 292, </w:t>
      </w:r>
      <w:r w:rsidR="001A498B">
        <w:t>2009 WL 3403183 (10th Cir. 2009) (unpublished)</w:t>
      </w:r>
      <w:r w:rsidR="003E73AB">
        <w:t xml:space="preserve"> (</w:t>
      </w:r>
      <w:r w:rsidR="00BB0261">
        <w:t>judge’s refusal to recuse herself where she was one of the defendants in an action, and no exceptions applied, constituted a violation of section 455(b)(5)(i)).</w:t>
      </w:r>
      <w:r w:rsidR="001A498B">
        <w:t xml:space="preserve"> To guard against judge-shopping, however, </w:t>
      </w:r>
      <w:r w:rsidR="00AB6765">
        <w:t xml:space="preserve">courts have properly “refused to disqualify themselves under Section 455(b)(5)(i) unless there is a legitimate basis for suing the judge.” </w:t>
      </w:r>
      <w:proofErr w:type="spellStart"/>
      <w:r w:rsidR="00AB6765">
        <w:rPr>
          <w:i/>
          <w:iCs/>
        </w:rPr>
        <w:t>Tamburro</w:t>
      </w:r>
      <w:proofErr w:type="spellEnd"/>
      <w:r w:rsidR="00AB6765">
        <w:rPr>
          <w:i/>
          <w:iCs/>
        </w:rPr>
        <w:t xml:space="preserve"> v. East </w:t>
      </w:r>
      <w:r w:rsidR="00AB6765" w:rsidRPr="00AB6765">
        <w:rPr>
          <w:i/>
          <w:iCs/>
        </w:rPr>
        <w:t>Providence</w:t>
      </w:r>
      <w:r w:rsidR="00AB6765">
        <w:t>, 981 F.2d 1245, at *1 (1st Cir. 1992) (unpublished)</w:t>
      </w:r>
      <w:r w:rsidR="004D5DBF">
        <w:t>; see</w:t>
      </w:r>
      <w:r w:rsidR="00AB6765">
        <w:t xml:space="preserve"> </w:t>
      </w:r>
      <w:r w:rsidR="00AB6765" w:rsidRPr="00AB6765">
        <w:rPr>
          <w:i/>
          <w:iCs/>
        </w:rPr>
        <w:t>United</w:t>
      </w:r>
      <w:r w:rsidR="00AB6765">
        <w:rPr>
          <w:i/>
          <w:iCs/>
        </w:rPr>
        <w:t xml:space="preserve"> States v. Pryor</w:t>
      </w:r>
      <w:r w:rsidR="00AB6765">
        <w:t>, 960 F.2d 1, 3 (1st Cir. 1992)</w:t>
      </w:r>
      <w:r w:rsidR="004D5DBF">
        <w:t xml:space="preserve"> (“It cannot be that an automatic recusal can be obtained by the simple act, of suing the judge”; question of recusal is “purely for the court’s own decision”).</w:t>
      </w:r>
    </w:p>
  </w:footnote>
  <w:footnote w:id="16">
    <w:p w14:paraId="2CD2F543" w14:textId="2BB163FA" w:rsidR="00994146" w:rsidRPr="00994146" w:rsidRDefault="00994146">
      <w:pPr>
        <w:pStyle w:val="FootnoteText"/>
      </w:pPr>
      <w:r>
        <w:rPr>
          <w:rStyle w:val="FootnoteReference"/>
        </w:rPr>
        <w:footnoteRef/>
      </w:r>
      <w:r>
        <w:t xml:space="preserve"> </w:t>
      </w:r>
      <w:r>
        <w:rPr>
          <w:i/>
          <w:iCs/>
        </w:rPr>
        <w:t>B</w:t>
      </w:r>
      <w:r w:rsidR="00404973">
        <w:rPr>
          <w:i/>
          <w:iCs/>
        </w:rPr>
        <w:t>o</w:t>
      </w:r>
      <w:r>
        <w:rPr>
          <w:i/>
          <w:iCs/>
        </w:rPr>
        <w:t>lin v. Story</w:t>
      </w:r>
      <w:r>
        <w:t xml:space="preserve">, 225 F.3d 1234, 1238 (11th Cir. 2000) (quoting </w:t>
      </w:r>
      <w:r>
        <w:rPr>
          <w:i/>
          <w:iCs/>
        </w:rPr>
        <w:t>United States v. Will</w:t>
      </w:r>
      <w:r>
        <w:t>, 449 U.S. 200, 213 (1980)</w:t>
      </w:r>
      <w:r w:rsidR="007B4CC9">
        <w:t>)</w:t>
      </w:r>
      <w:r>
        <w:t>.</w:t>
      </w:r>
    </w:p>
  </w:footnote>
  <w:footnote w:id="17">
    <w:p w14:paraId="22B8FA27" w14:textId="7929FA19" w:rsidR="00404973" w:rsidRPr="00F96430" w:rsidRDefault="00404973">
      <w:pPr>
        <w:pStyle w:val="FootnoteText"/>
      </w:pPr>
      <w:r>
        <w:rPr>
          <w:rStyle w:val="FootnoteReference"/>
        </w:rPr>
        <w:footnoteRef/>
      </w:r>
      <w:r>
        <w:t xml:space="preserve"> </w:t>
      </w:r>
      <w:r>
        <w:rPr>
          <w:i/>
          <w:iCs/>
        </w:rPr>
        <w:t>Id</w:t>
      </w:r>
      <w:r>
        <w:t xml:space="preserve">. </w:t>
      </w:r>
      <w:r w:rsidR="007B4CC9">
        <w:t>(internal citations omitted).</w:t>
      </w:r>
      <w:r w:rsidR="00F96430">
        <w:t xml:space="preserve"> See </w:t>
      </w:r>
      <w:r w:rsidR="00F96430">
        <w:rPr>
          <w:i/>
          <w:iCs/>
        </w:rPr>
        <w:t>Davis</w:t>
      </w:r>
      <w:r w:rsidR="00185F39">
        <w:t>, 261 Fed.</w:t>
      </w:r>
      <w:r w:rsidR="008813E3">
        <w:t xml:space="preserve"> </w:t>
      </w:r>
      <w:r w:rsidR="00185F39">
        <w:t>Appx. at 234 (judge named as defendant in lawsuit “was relieved of [his] obligation to recuse [himself] under the rule of necessity</w:t>
      </w:r>
      <w:r w:rsidR="00F72AC6">
        <w:t>”</w:t>
      </w:r>
      <w:r w:rsidR="00185F39">
        <w:t xml:space="preserve"> where plaintiff indicated his intention to name all judges of that court, such that each judge would have shared the same interest).</w:t>
      </w:r>
    </w:p>
  </w:footnote>
  <w:footnote w:id="18">
    <w:p w14:paraId="4CD18E7E" w14:textId="3D7EF235" w:rsidR="007B4CC9" w:rsidRDefault="007B4CC9">
      <w:pPr>
        <w:pStyle w:val="FootnoteText"/>
      </w:pPr>
      <w:r>
        <w:rPr>
          <w:rStyle w:val="FootnoteReference"/>
        </w:rPr>
        <w:footnoteRef/>
      </w:r>
      <w:r>
        <w:t xml:space="preserve"> See 28 USC </w:t>
      </w:r>
      <w:r>
        <w:rPr>
          <w:rFonts w:cs="Times New Roman"/>
        </w:rPr>
        <w:t>§</w:t>
      </w:r>
      <w:r>
        <w:t xml:space="preserve"> 455.</w:t>
      </w:r>
    </w:p>
  </w:footnote>
  <w:footnote w:id="19">
    <w:p w14:paraId="5C48DCDD" w14:textId="55C1C9A7" w:rsidR="002C01D3" w:rsidRPr="00645A0B" w:rsidRDefault="002C01D3">
      <w:pPr>
        <w:pStyle w:val="FootnoteText"/>
      </w:pPr>
      <w:r>
        <w:rPr>
          <w:rStyle w:val="FootnoteReference"/>
        </w:rPr>
        <w:footnoteRef/>
      </w:r>
      <w:r>
        <w:t xml:space="preserve"> </w:t>
      </w:r>
      <w:r>
        <w:rPr>
          <w:i/>
          <w:iCs/>
        </w:rPr>
        <w:t xml:space="preserve">Cf., </w:t>
      </w:r>
      <w:r w:rsidR="00645A0B">
        <w:t xml:space="preserve">e.g., </w:t>
      </w:r>
      <w:r w:rsidR="00645A0B">
        <w:rPr>
          <w:i/>
          <w:iCs/>
        </w:rPr>
        <w:t>Abate</w:t>
      </w:r>
      <w:r w:rsidR="00645A0B">
        <w:t xml:space="preserve">, 470 Mass. at 828; </w:t>
      </w:r>
      <w:r w:rsidR="00645A0B">
        <w:rPr>
          <w:i/>
          <w:iCs/>
        </w:rPr>
        <w:t>State Realty Co.</w:t>
      </w:r>
      <w:r w:rsidR="00645A0B">
        <w:t>, 358 Mass. at 379.</w:t>
      </w:r>
    </w:p>
  </w:footnote>
  <w:footnote w:id="20">
    <w:p w14:paraId="43234F1B" w14:textId="43FDD796" w:rsidR="002C01D3" w:rsidRPr="007C4A6F" w:rsidRDefault="002C01D3" w:rsidP="002C01D3">
      <w:pPr>
        <w:pStyle w:val="FootnoteText"/>
      </w:pPr>
      <w:r>
        <w:rPr>
          <w:rStyle w:val="FootnoteReference"/>
        </w:rPr>
        <w:footnoteRef/>
      </w:r>
      <w:r>
        <w:t xml:space="preserve"> </w:t>
      </w:r>
      <w:r w:rsidR="00645A0B">
        <w:t xml:space="preserve">See </w:t>
      </w:r>
      <w:r w:rsidRPr="00645A0B">
        <w:rPr>
          <w:i/>
          <w:iCs/>
        </w:rPr>
        <w:t>Chute</w:t>
      </w:r>
      <w:r w:rsidR="00645A0B">
        <w:t xml:space="preserve">, </w:t>
      </w:r>
      <w:r w:rsidRPr="00645A0B">
        <w:t>281</w:t>
      </w:r>
      <w:r>
        <w:t xml:space="preserve"> F.3rd </w:t>
      </w:r>
      <w:r w:rsidR="00645A0B">
        <w:t xml:space="preserve">at </w:t>
      </w:r>
      <w:r>
        <w:t>319</w:t>
      </w:r>
      <w:r w:rsidR="00645A0B">
        <w:t>.</w:t>
      </w:r>
    </w:p>
  </w:footnote>
  <w:footnote w:id="21">
    <w:p w14:paraId="1BE65B91" w14:textId="6DEAFD07" w:rsidR="00645A0B" w:rsidRDefault="00645A0B" w:rsidP="00645A0B">
      <w:pPr>
        <w:pStyle w:val="FootnoteText"/>
      </w:pPr>
      <w:r>
        <w:rPr>
          <w:rStyle w:val="FootnoteReference"/>
        </w:rPr>
        <w:footnoteRef/>
      </w:r>
      <w:r>
        <w:t xml:space="preserve"> See 34 CFR </w:t>
      </w:r>
      <w:r>
        <w:rPr>
          <w:rFonts w:cs="Times New Roman"/>
        </w:rPr>
        <w:t>§</w:t>
      </w:r>
      <w:r>
        <w:t xml:space="preserve"> 300.507(a)(1)</w:t>
      </w:r>
      <w:r w:rsidR="00243D58">
        <w:t xml:space="preserve">; </w:t>
      </w:r>
      <w:r w:rsidR="00243D58" w:rsidRPr="00946871">
        <w:rPr>
          <w:rFonts w:cs="Times New Roman"/>
        </w:rPr>
        <w:t>M.G.L. c. 71B § 2B</w:t>
      </w:r>
      <w:r w:rsidR="00243D58">
        <w:rPr>
          <w:rFonts w:cs="Times New Roman"/>
        </w:rPr>
        <w:t xml:space="preserve">; </w:t>
      </w:r>
      <w:r w:rsidR="00243D58">
        <w:t>603 CMR 28.08(3)(a).</w:t>
      </w:r>
    </w:p>
  </w:footnote>
  <w:footnote w:id="22">
    <w:p w14:paraId="13DFA5D4" w14:textId="0E8C0F75" w:rsidR="008A7618" w:rsidRPr="008A7618" w:rsidRDefault="008A7618" w:rsidP="008A7618">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See </w:t>
      </w:r>
      <w:r w:rsidRPr="008A7618">
        <w:rPr>
          <w:rFonts w:ascii="Times New Roman" w:hAnsi="Times New Roman" w:cs="Times New Roman"/>
          <w:i/>
          <w:iCs/>
          <w:sz w:val="20"/>
          <w:szCs w:val="20"/>
        </w:rPr>
        <w:t>Blank</w:t>
      </w:r>
      <w:r>
        <w:rPr>
          <w:rFonts w:ascii="Times New Roman" w:hAnsi="Times New Roman" w:cs="Times New Roman"/>
          <w:sz w:val="20"/>
          <w:szCs w:val="20"/>
        </w:rPr>
        <w:t xml:space="preserve">, </w:t>
      </w:r>
      <w:r w:rsidRPr="008A7618">
        <w:rPr>
          <w:rFonts w:ascii="Times New Roman" w:hAnsi="Times New Roman" w:cs="Times New Roman"/>
          <w:sz w:val="20"/>
          <w:szCs w:val="20"/>
        </w:rPr>
        <w:t>420</w:t>
      </w:r>
      <w:r w:rsidRPr="00CA1136">
        <w:rPr>
          <w:rFonts w:ascii="Times New Roman" w:hAnsi="Times New Roman" w:cs="Times New Roman"/>
          <w:sz w:val="20"/>
          <w:szCs w:val="20"/>
        </w:rPr>
        <w:t xml:space="preserve"> Mass. </w:t>
      </w:r>
      <w:r>
        <w:rPr>
          <w:rFonts w:ascii="Times New Roman" w:hAnsi="Times New Roman" w:cs="Times New Roman"/>
          <w:sz w:val="20"/>
          <w:szCs w:val="20"/>
        </w:rPr>
        <w:t>at</w:t>
      </w:r>
      <w:r w:rsidRPr="00CA1136">
        <w:rPr>
          <w:rFonts w:ascii="Times New Roman" w:hAnsi="Times New Roman" w:cs="Times New Roman"/>
          <w:sz w:val="20"/>
          <w:szCs w:val="20"/>
        </w:rPr>
        <w:t xml:space="preserve"> 407.  </w:t>
      </w:r>
    </w:p>
  </w:footnote>
  <w:footnote w:id="23">
    <w:p w14:paraId="2EAAFACC" w14:textId="7DB7C54A" w:rsidR="002A24D2" w:rsidRPr="002A24D2" w:rsidRDefault="002A24D2">
      <w:pPr>
        <w:pStyle w:val="FootnoteText"/>
      </w:pPr>
      <w:r>
        <w:rPr>
          <w:rStyle w:val="FootnoteReference"/>
        </w:rPr>
        <w:footnoteRef/>
      </w:r>
      <w:r>
        <w:t xml:space="preserve"> See </w:t>
      </w:r>
      <w:r>
        <w:rPr>
          <w:i/>
          <w:iCs/>
        </w:rPr>
        <w:t>Chute</w:t>
      </w:r>
      <w:r>
        <w:t>, 281 F.3d at 319</w:t>
      </w:r>
      <w:r w:rsidR="00185F39">
        <w:t xml:space="preserve">; </w:t>
      </w:r>
      <w:r w:rsidR="00185F39">
        <w:rPr>
          <w:i/>
          <w:iCs/>
        </w:rPr>
        <w:t>Davis</w:t>
      </w:r>
      <w:r w:rsidR="00185F39">
        <w:t>, 261 Fed.</w:t>
      </w:r>
      <w:r w:rsidR="008813E3">
        <w:t xml:space="preserve"> </w:t>
      </w:r>
      <w:r w:rsidR="00185F39">
        <w:t>Appx. at 234-35</w:t>
      </w:r>
      <w:r>
        <w:t xml:space="preserve">. </w:t>
      </w:r>
      <w:r w:rsidR="00185F39">
        <w:t xml:space="preserve">In so finding, I make no conclusion regarding the factual basis or underlying merit of Parent’s claims; I simply find that pursuing them in this forum, as part of the instant </w:t>
      </w:r>
      <w:r w:rsidR="00185F39">
        <w:rPr>
          <w:i/>
          <w:iCs/>
        </w:rPr>
        <w:t xml:space="preserve">Hearing </w:t>
      </w:r>
      <w:r w:rsidR="00185F39" w:rsidRPr="00185F39">
        <w:rPr>
          <w:i/>
          <w:iCs/>
        </w:rPr>
        <w:t>Request</w:t>
      </w:r>
      <w:r w:rsidR="00185F39">
        <w:t xml:space="preserve">, would be futile given the BSEA’s lack of jurisdiction over these claims. </w:t>
      </w:r>
      <w:r w:rsidRPr="00185F39">
        <w:t>To</w:t>
      </w:r>
      <w:r>
        <w:t xml:space="preserve"> the extent Parent believes the actions of the BSEA Director in connection with the previous case may have impacted the outcome of that case, she may opt to challenge those actions in</w:t>
      </w:r>
      <w:r w:rsidR="00DF073C">
        <w:t xml:space="preserve"> court should she</w:t>
      </w:r>
      <w:r>
        <w:t xml:space="preserve"> </w:t>
      </w:r>
      <w:r w:rsidR="00DF073C">
        <w:t xml:space="preserve">choose to </w:t>
      </w:r>
      <w:r>
        <w:t xml:space="preserve">appeal that case. </w:t>
      </w:r>
    </w:p>
  </w:footnote>
  <w:footnote w:id="24">
    <w:p w14:paraId="703E198B" w14:textId="0E189BF3" w:rsidR="002A24D2" w:rsidRPr="002A24D2" w:rsidRDefault="002A24D2">
      <w:pPr>
        <w:pStyle w:val="FootnoteText"/>
      </w:pPr>
      <w:r>
        <w:rPr>
          <w:rStyle w:val="FootnoteReference"/>
        </w:rPr>
        <w:footnoteRef/>
      </w:r>
      <w:r>
        <w:t xml:space="preserve"> </w:t>
      </w:r>
      <w:r w:rsidR="00DF073C">
        <w:t xml:space="preserve">See </w:t>
      </w:r>
      <w:r w:rsidR="00DF073C">
        <w:rPr>
          <w:i/>
          <w:iCs/>
        </w:rPr>
        <w:t>Chute</w:t>
      </w:r>
      <w:r w:rsidR="00DF073C">
        <w:t xml:space="preserve">, 281 F.3d at 319; </w:t>
      </w:r>
      <w:r w:rsidR="00DF073C">
        <w:rPr>
          <w:i/>
          <w:iCs/>
        </w:rPr>
        <w:t>Davis</w:t>
      </w:r>
      <w:r w:rsidR="00DF073C">
        <w:t>, 261 Fed.</w:t>
      </w:r>
      <w:r w:rsidR="008813E3">
        <w:t xml:space="preserve"> </w:t>
      </w:r>
      <w:r w:rsidR="00DF073C">
        <w:t>Appx. at 234-35.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63A"/>
    <w:multiLevelType w:val="multilevel"/>
    <w:tmpl w:val="340A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62F52"/>
    <w:multiLevelType w:val="hybridMultilevel"/>
    <w:tmpl w:val="DA3841AE"/>
    <w:lvl w:ilvl="0" w:tplc="1B40B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06DFE"/>
    <w:multiLevelType w:val="hybridMultilevel"/>
    <w:tmpl w:val="5E5450AA"/>
    <w:lvl w:ilvl="0" w:tplc="09C2AD14">
      <w:start w:val="1"/>
      <w:numFmt w:val="upperLetter"/>
      <w:lvlText w:val="%1."/>
      <w:lvlJc w:val="left"/>
      <w:pPr>
        <w:ind w:left="1080" w:hanging="360"/>
      </w:pPr>
      <w:rPr>
        <w:rFonts w:eastAsia="Century Schoolbook"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11372"/>
    <w:multiLevelType w:val="hybridMultilevel"/>
    <w:tmpl w:val="BEDA2BE0"/>
    <w:lvl w:ilvl="0" w:tplc="403C9AD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3A1C2C"/>
    <w:multiLevelType w:val="hybridMultilevel"/>
    <w:tmpl w:val="6B4E2BC4"/>
    <w:lvl w:ilvl="0" w:tplc="CBA623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E74CF"/>
    <w:multiLevelType w:val="multilevel"/>
    <w:tmpl w:val="0A42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50A7D"/>
    <w:multiLevelType w:val="hybridMultilevel"/>
    <w:tmpl w:val="329880F6"/>
    <w:lvl w:ilvl="0" w:tplc="EA0EDEB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149E5"/>
    <w:multiLevelType w:val="hybridMultilevel"/>
    <w:tmpl w:val="B576EFD2"/>
    <w:lvl w:ilvl="0" w:tplc="9FC82A3C">
      <w:start w:val="1"/>
      <w:numFmt w:val="decimal"/>
      <w:lvlText w:val="%1)"/>
      <w:lvlJc w:val="left"/>
      <w:pPr>
        <w:ind w:left="3960" w:hanging="360"/>
      </w:pPr>
      <w:rPr>
        <w:rFonts w:hint="default"/>
        <w:b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76B540A2"/>
    <w:multiLevelType w:val="hybridMultilevel"/>
    <w:tmpl w:val="348AFFE8"/>
    <w:lvl w:ilvl="0" w:tplc="858CA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5618834">
    <w:abstractNumId w:val="6"/>
  </w:num>
  <w:num w:numId="2" w16cid:durableId="734744836">
    <w:abstractNumId w:val="5"/>
    <w:lvlOverride w:ilvl="0">
      <w:lvl w:ilvl="0">
        <w:numFmt w:val="upperLetter"/>
        <w:lvlText w:val="%1."/>
        <w:lvlJc w:val="left"/>
      </w:lvl>
    </w:lvlOverride>
  </w:num>
  <w:num w:numId="3" w16cid:durableId="1290236022">
    <w:abstractNumId w:val="0"/>
    <w:lvlOverride w:ilvl="0">
      <w:lvl w:ilvl="0">
        <w:numFmt w:val="upperLetter"/>
        <w:lvlText w:val="%1."/>
        <w:lvlJc w:val="left"/>
      </w:lvl>
    </w:lvlOverride>
  </w:num>
  <w:num w:numId="4" w16cid:durableId="1135752430">
    <w:abstractNumId w:val="7"/>
  </w:num>
  <w:num w:numId="5" w16cid:durableId="224723347">
    <w:abstractNumId w:val="8"/>
  </w:num>
  <w:num w:numId="6" w16cid:durableId="318654111">
    <w:abstractNumId w:val="1"/>
  </w:num>
  <w:num w:numId="7" w16cid:durableId="1357928670">
    <w:abstractNumId w:val="2"/>
  </w:num>
  <w:num w:numId="8" w16cid:durableId="1642735388">
    <w:abstractNumId w:val="3"/>
  </w:num>
  <w:num w:numId="9" w16cid:durableId="2040011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85"/>
    <w:rsid w:val="00000B9D"/>
    <w:rsid w:val="00002804"/>
    <w:rsid w:val="00002828"/>
    <w:rsid w:val="00004581"/>
    <w:rsid w:val="00010BE1"/>
    <w:rsid w:val="000271EE"/>
    <w:rsid w:val="00032344"/>
    <w:rsid w:val="00037140"/>
    <w:rsid w:val="00037420"/>
    <w:rsid w:val="00045A85"/>
    <w:rsid w:val="0005077E"/>
    <w:rsid w:val="00057FF2"/>
    <w:rsid w:val="00061CF1"/>
    <w:rsid w:val="00066D78"/>
    <w:rsid w:val="00070573"/>
    <w:rsid w:val="000706F1"/>
    <w:rsid w:val="00085EBB"/>
    <w:rsid w:val="000901BB"/>
    <w:rsid w:val="000A1376"/>
    <w:rsid w:val="000B2A27"/>
    <w:rsid w:val="000B300C"/>
    <w:rsid w:val="000C5116"/>
    <w:rsid w:val="000C7BF3"/>
    <w:rsid w:val="000D1B68"/>
    <w:rsid w:val="000D3D3D"/>
    <w:rsid w:val="000D4657"/>
    <w:rsid w:val="00100B2F"/>
    <w:rsid w:val="00101C81"/>
    <w:rsid w:val="001068CB"/>
    <w:rsid w:val="0011260F"/>
    <w:rsid w:val="00126508"/>
    <w:rsid w:val="0013576A"/>
    <w:rsid w:val="00136BF7"/>
    <w:rsid w:val="00141775"/>
    <w:rsid w:val="00176758"/>
    <w:rsid w:val="00177848"/>
    <w:rsid w:val="00177F97"/>
    <w:rsid w:val="00182B87"/>
    <w:rsid w:val="00185316"/>
    <w:rsid w:val="00185F39"/>
    <w:rsid w:val="0019527D"/>
    <w:rsid w:val="00195E2E"/>
    <w:rsid w:val="001A498B"/>
    <w:rsid w:val="001B49DA"/>
    <w:rsid w:val="001C3CE5"/>
    <w:rsid w:val="001F7C6D"/>
    <w:rsid w:val="002050B5"/>
    <w:rsid w:val="00241228"/>
    <w:rsid w:val="00243D58"/>
    <w:rsid w:val="00250658"/>
    <w:rsid w:val="00270F1C"/>
    <w:rsid w:val="00275CFD"/>
    <w:rsid w:val="00277563"/>
    <w:rsid w:val="002818C1"/>
    <w:rsid w:val="0028577A"/>
    <w:rsid w:val="00286FDE"/>
    <w:rsid w:val="002A22EE"/>
    <w:rsid w:val="002A24D2"/>
    <w:rsid w:val="002B6503"/>
    <w:rsid w:val="002B72FD"/>
    <w:rsid w:val="002B7E28"/>
    <w:rsid w:val="002C01D3"/>
    <w:rsid w:val="002D1194"/>
    <w:rsid w:val="002F5A14"/>
    <w:rsid w:val="002F617D"/>
    <w:rsid w:val="0030553F"/>
    <w:rsid w:val="00316162"/>
    <w:rsid w:val="00322F01"/>
    <w:rsid w:val="00322FEB"/>
    <w:rsid w:val="00323179"/>
    <w:rsid w:val="0032563F"/>
    <w:rsid w:val="00326AE6"/>
    <w:rsid w:val="00327AEA"/>
    <w:rsid w:val="00336F2F"/>
    <w:rsid w:val="0034029B"/>
    <w:rsid w:val="003414EC"/>
    <w:rsid w:val="0035347D"/>
    <w:rsid w:val="00394962"/>
    <w:rsid w:val="003A0614"/>
    <w:rsid w:val="003A71DB"/>
    <w:rsid w:val="003B2143"/>
    <w:rsid w:val="003B3427"/>
    <w:rsid w:val="003C7B37"/>
    <w:rsid w:val="003D20DE"/>
    <w:rsid w:val="003E73AB"/>
    <w:rsid w:val="003F083A"/>
    <w:rsid w:val="003F0D1F"/>
    <w:rsid w:val="00404973"/>
    <w:rsid w:val="00413B62"/>
    <w:rsid w:val="0041475D"/>
    <w:rsid w:val="0042226D"/>
    <w:rsid w:val="00440280"/>
    <w:rsid w:val="00455C08"/>
    <w:rsid w:val="00456C7A"/>
    <w:rsid w:val="00457FFA"/>
    <w:rsid w:val="004628B0"/>
    <w:rsid w:val="00472E38"/>
    <w:rsid w:val="00480A5E"/>
    <w:rsid w:val="0048247E"/>
    <w:rsid w:val="004958AB"/>
    <w:rsid w:val="00496E97"/>
    <w:rsid w:val="0049715F"/>
    <w:rsid w:val="004A28F2"/>
    <w:rsid w:val="004B3E2F"/>
    <w:rsid w:val="004B7A7E"/>
    <w:rsid w:val="004D0AB8"/>
    <w:rsid w:val="004D1BBF"/>
    <w:rsid w:val="004D5DBF"/>
    <w:rsid w:val="004E4EFB"/>
    <w:rsid w:val="004E5466"/>
    <w:rsid w:val="00502F00"/>
    <w:rsid w:val="005074DE"/>
    <w:rsid w:val="00510995"/>
    <w:rsid w:val="005168F4"/>
    <w:rsid w:val="00520405"/>
    <w:rsid w:val="00520460"/>
    <w:rsid w:val="00521819"/>
    <w:rsid w:val="00525BD8"/>
    <w:rsid w:val="00537D5C"/>
    <w:rsid w:val="00547EA6"/>
    <w:rsid w:val="00550B85"/>
    <w:rsid w:val="005623D8"/>
    <w:rsid w:val="0056712A"/>
    <w:rsid w:val="005831CD"/>
    <w:rsid w:val="00586B31"/>
    <w:rsid w:val="005A6F91"/>
    <w:rsid w:val="005B7085"/>
    <w:rsid w:val="005D294B"/>
    <w:rsid w:val="005D656F"/>
    <w:rsid w:val="005E24DE"/>
    <w:rsid w:val="005F2191"/>
    <w:rsid w:val="005F7855"/>
    <w:rsid w:val="00616020"/>
    <w:rsid w:val="00617062"/>
    <w:rsid w:val="0062074F"/>
    <w:rsid w:val="00631959"/>
    <w:rsid w:val="00643816"/>
    <w:rsid w:val="00645A0B"/>
    <w:rsid w:val="00646157"/>
    <w:rsid w:val="00655C18"/>
    <w:rsid w:val="00661756"/>
    <w:rsid w:val="006677F4"/>
    <w:rsid w:val="0067700C"/>
    <w:rsid w:val="00681402"/>
    <w:rsid w:val="0068476E"/>
    <w:rsid w:val="00684935"/>
    <w:rsid w:val="00687334"/>
    <w:rsid w:val="00692952"/>
    <w:rsid w:val="006B5F1B"/>
    <w:rsid w:val="006C05D3"/>
    <w:rsid w:val="006C2684"/>
    <w:rsid w:val="006C467F"/>
    <w:rsid w:val="006C58E2"/>
    <w:rsid w:val="006C7802"/>
    <w:rsid w:val="006D102B"/>
    <w:rsid w:val="006D2091"/>
    <w:rsid w:val="006D3075"/>
    <w:rsid w:val="006E3607"/>
    <w:rsid w:val="006E3DBF"/>
    <w:rsid w:val="006E5B3F"/>
    <w:rsid w:val="006F7CD4"/>
    <w:rsid w:val="00702395"/>
    <w:rsid w:val="00710530"/>
    <w:rsid w:val="00712260"/>
    <w:rsid w:val="00720FC8"/>
    <w:rsid w:val="00724C52"/>
    <w:rsid w:val="007701F9"/>
    <w:rsid w:val="007708B2"/>
    <w:rsid w:val="0077613A"/>
    <w:rsid w:val="00777DC8"/>
    <w:rsid w:val="0078013F"/>
    <w:rsid w:val="00784FEC"/>
    <w:rsid w:val="007A32FF"/>
    <w:rsid w:val="007A40BF"/>
    <w:rsid w:val="007B3706"/>
    <w:rsid w:val="007B4CC9"/>
    <w:rsid w:val="007C4A6F"/>
    <w:rsid w:val="007D6896"/>
    <w:rsid w:val="007D767A"/>
    <w:rsid w:val="007E354F"/>
    <w:rsid w:val="007E3C4A"/>
    <w:rsid w:val="007E5059"/>
    <w:rsid w:val="007F00D7"/>
    <w:rsid w:val="007F282F"/>
    <w:rsid w:val="00803225"/>
    <w:rsid w:val="00810379"/>
    <w:rsid w:val="00813337"/>
    <w:rsid w:val="0081625B"/>
    <w:rsid w:val="00821C5B"/>
    <w:rsid w:val="008234B3"/>
    <w:rsid w:val="008241E2"/>
    <w:rsid w:val="00832D7E"/>
    <w:rsid w:val="00835B23"/>
    <w:rsid w:val="00843CD6"/>
    <w:rsid w:val="00850C6E"/>
    <w:rsid w:val="008678DA"/>
    <w:rsid w:val="008701E1"/>
    <w:rsid w:val="008813E3"/>
    <w:rsid w:val="00887B97"/>
    <w:rsid w:val="0089599C"/>
    <w:rsid w:val="00896357"/>
    <w:rsid w:val="008978E2"/>
    <w:rsid w:val="008A24D1"/>
    <w:rsid w:val="008A33C4"/>
    <w:rsid w:val="008A5092"/>
    <w:rsid w:val="008A67A4"/>
    <w:rsid w:val="008A7618"/>
    <w:rsid w:val="008C4BD0"/>
    <w:rsid w:val="008D4F20"/>
    <w:rsid w:val="008D6429"/>
    <w:rsid w:val="008E3E93"/>
    <w:rsid w:val="008E6375"/>
    <w:rsid w:val="008E6ADC"/>
    <w:rsid w:val="008F240A"/>
    <w:rsid w:val="00905D0D"/>
    <w:rsid w:val="009104CC"/>
    <w:rsid w:val="009204D5"/>
    <w:rsid w:val="00924D44"/>
    <w:rsid w:val="009334C0"/>
    <w:rsid w:val="009456DC"/>
    <w:rsid w:val="00950F80"/>
    <w:rsid w:val="00951824"/>
    <w:rsid w:val="009518D6"/>
    <w:rsid w:val="009569FC"/>
    <w:rsid w:val="0097089D"/>
    <w:rsid w:val="009931E7"/>
    <w:rsid w:val="00994146"/>
    <w:rsid w:val="009A530D"/>
    <w:rsid w:val="009B626A"/>
    <w:rsid w:val="009C2710"/>
    <w:rsid w:val="009C4AE9"/>
    <w:rsid w:val="009C7EF6"/>
    <w:rsid w:val="009D291F"/>
    <w:rsid w:val="009D7C85"/>
    <w:rsid w:val="009F19AD"/>
    <w:rsid w:val="00A0441B"/>
    <w:rsid w:val="00A15447"/>
    <w:rsid w:val="00A158FA"/>
    <w:rsid w:val="00A2224F"/>
    <w:rsid w:val="00A2319E"/>
    <w:rsid w:val="00A32DBC"/>
    <w:rsid w:val="00A362F0"/>
    <w:rsid w:val="00A46898"/>
    <w:rsid w:val="00A50598"/>
    <w:rsid w:val="00A53F06"/>
    <w:rsid w:val="00A6129F"/>
    <w:rsid w:val="00A647D7"/>
    <w:rsid w:val="00A711B8"/>
    <w:rsid w:val="00A76394"/>
    <w:rsid w:val="00A82D90"/>
    <w:rsid w:val="00AB0BD7"/>
    <w:rsid w:val="00AB6765"/>
    <w:rsid w:val="00AB7A5B"/>
    <w:rsid w:val="00AD7184"/>
    <w:rsid w:val="00AD78CD"/>
    <w:rsid w:val="00AF25C7"/>
    <w:rsid w:val="00AF45C2"/>
    <w:rsid w:val="00AF72FC"/>
    <w:rsid w:val="00B01B55"/>
    <w:rsid w:val="00B02E9C"/>
    <w:rsid w:val="00B030DE"/>
    <w:rsid w:val="00B05529"/>
    <w:rsid w:val="00B16FA2"/>
    <w:rsid w:val="00B22FFD"/>
    <w:rsid w:val="00B24A04"/>
    <w:rsid w:val="00B2526B"/>
    <w:rsid w:val="00B3063E"/>
    <w:rsid w:val="00B30BDA"/>
    <w:rsid w:val="00B33AAF"/>
    <w:rsid w:val="00B42552"/>
    <w:rsid w:val="00B43E51"/>
    <w:rsid w:val="00B4565E"/>
    <w:rsid w:val="00B5198D"/>
    <w:rsid w:val="00B605DC"/>
    <w:rsid w:val="00B623A3"/>
    <w:rsid w:val="00B65D69"/>
    <w:rsid w:val="00B67F96"/>
    <w:rsid w:val="00B72631"/>
    <w:rsid w:val="00B83F71"/>
    <w:rsid w:val="00B91E58"/>
    <w:rsid w:val="00B93286"/>
    <w:rsid w:val="00BA4187"/>
    <w:rsid w:val="00BA4E42"/>
    <w:rsid w:val="00BB0261"/>
    <w:rsid w:val="00BB4D56"/>
    <w:rsid w:val="00BB7DBC"/>
    <w:rsid w:val="00BE0758"/>
    <w:rsid w:val="00BE1012"/>
    <w:rsid w:val="00BE265E"/>
    <w:rsid w:val="00BE7FAC"/>
    <w:rsid w:val="00BF49E4"/>
    <w:rsid w:val="00C016F5"/>
    <w:rsid w:val="00C01B01"/>
    <w:rsid w:val="00C05555"/>
    <w:rsid w:val="00C179E0"/>
    <w:rsid w:val="00C26BF8"/>
    <w:rsid w:val="00C410DE"/>
    <w:rsid w:val="00C437EE"/>
    <w:rsid w:val="00C56D4B"/>
    <w:rsid w:val="00C678CB"/>
    <w:rsid w:val="00C67BC9"/>
    <w:rsid w:val="00C70A9A"/>
    <w:rsid w:val="00C86470"/>
    <w:rsid w:val="00C86A5F"/>
    <w:rsid w:val="00C9101E"/>
    <w:rsid w:val="00C933EE"/>
    <w:rsid w:val="00C93660"/>
    <w:rsid w:val="00CC3FD1"/>
    <w:rsid w:val="00CD5D05"/>
    <w:rsid w:val="00CD634B"/>
    <w:rsid w:val="00CE2773"/>
    <w:rsid w:val="00CE466E"/>
    <w:rsid w:val="00CF1767"/>
    <w:rsid w:val="00CF2330"/>
    <w:rsid w:val="00CF39E3"/>
    <w:rsid w:val="00CF3C25"/>
    <w:rsid w:val="00CF3DBD"/>
    <w:rsid w:val="00CF43CA"/>
    <w:rsid w:val="00CF5622"/>
    <w:rsid w:val="00D0445D"/>
    <w:rsid w:val="00D05752"/>
    <w:rsid w:val="00D34228"/>
    <w:rsid w:val="00D47144"/>
    <w:rsid w:val="00D56118"/>
    <w:rsid w:val="00D65D85"/>
    <w:rsid w:val="00D7621E"/>
    <w:rsid w:val="00DB0EC5"/>
    <w:rsid w:val="00DB6DF4"/>
    <w:rsid w:val="00DC5D21"/>
    <w:rsid w:val="00DD095E"/>
    <w:rsid w:val="00DE6CC1"/>
    <w:rsid w:val="00DE7A13"/>
    <w:rsid w:val="00DF073C"/>
    <w:rsid w:val="00DF4ACA"/>
    <w:rsid w:val="00DF51E6"/>
    <w:rsid w:val="00DF640A"/>
    <w:rsid w:val="00E06F3A"/>
    <w:rsid w:val="00E23F2E"/>
    <w:rsid w:val="00E27E3E"/>
    <w:rsid w:val="00E33344"/>
    <w:rsid w:val="00E351DD"/>
    <w:rsid w:val="00E375B7"/>
    <w:rsid w:val="00E45771"/>
    <w:rsid w:val="00E74D7B"/>
    <w:rsid w:val="00E74D93"/>
    <w:rsid w:val="00E77FEF"/>
    <w:rsid w:val="00E83BAB"/>
    <w:rsid w:val="00E841B4"/>
    <w:rsid w:val="00E864DE"/>
    <w:rsid w:val="00E93C8B"/>
    <w:rsid w:val="00ED0DC5"/>
    <w:rsid w:val="00ED3663"/>
    <w:rsid w:val="00EE4E2C"/>
    <w:rsid w:val="00EF6A0C"/>
    <w:rsid w:val="00F01DF2"/>
    <w:rsid w:val="00F127AD"/>
    <w:rsid w:val="00F14044"/>
    <w:rsid w:val="00F1572B"/>
    <w:rsid w:val="00F20A05"/>
    <w:rsid w:val="00F24A7C"/>
    <w:rsid w:val="00F31B65"/>
    <w:rsid w:val="00F32D1C"/>
    <w:rsid w:val="00F43AC7"/>
    <w:rsid w:val="00F43B06"/>
    <w:rsid w:val="00F510CD"/>
    <w:rsid w:val="00F5253E"/>
    <w:rsid w:val="00F53039"/>
    <w:rsid w:val="00F570F3"/>
    <w:rsid w:val="00F61BC7"/>
    <w:rsid w:val="00F62F7F"/>
    <w:rsid w:val="00F63115"/>
    <w:rsid w:val="00F63C57"/>
    <w:rsid w:val="00F64911"/>
    <w:rsid w:val="00F66064"/>
    <w:rsid w:val="00F72943"/>
    <w:rsid w:val="00F72AC6"/>
    <w:rsid w:val="00F73D6E"/>
    <w:rsid w:val="00F73FB4"/>
    <w:rsid w:val="00F74C75"/>
    <w:rsid w:val="00F82B93"/>
    <w:rsid w:val="00F91A8B"/>
    <w:rsid w:val="00F96430"/>
    <w:rsid w:val="00F97A17"/>
    <w:rsid w:val="00FA39A4"/>
    <w:rsid w:val="00FA490D"/>
    <w:rsid w:val="00FA7969"/>
    <w:rsid w:val="00FB7FB4"/>
    <w:rsid w:val="00FC6F4A"/>
    <w:rsid w:val="00FC7E7E"/>
    <w:rsid w:val="00FD32DE"/>
    <w:rsid w:val="00FD32FD"/>
    <w:rsid w:val="00FD47A2"/>
    <w:rsid w:val="00FD696D"/>
    <w:rsid w:val="00FE3E6C"/>
    <w:rsid w:val="00FE57ED"/>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0572"/>
  <w15:chartTrackingRefBased/>
  <w15:docId w15:val="{84F00A1B-5E73-45EF-9AAE-73347E0D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FB4"/>
    <w:pPr>
      <w:keepNext/>
      <w:spacing w:after="0" w:line="240" w:lineRule="auto"/>
      <w:outlineLvl w:val="0"/>
    </w:pPr>
    <w:rPr>
      <w:rFonts w:ascii="Times New Roman" w:eastAsia="Calibri" w:hAnsi="Times New Roman" w:cs="Times New Roman"/>
      <w:color w:val="252525"/>
      <w:sz w:val="24"/>
      <w:szCs w:val="24"/>
      <w:u w:val="single"/>
    </w:rPr>
  </w:style>
  <w:style w:type="paragraph" w:styleId="Heading3">
    <w:name w:val="heading 3"/>
    <w:basedOn w:val="Normal"/>
    <w:next w:val="Normal"/>
    <w:link w:val="Heading3Char"/>
    <w:uiPriority w:val="9"/>
    <w:semiHidden/>
    <w:unhideWhenUsed/>
    <w:qFormat/>
    <w:rsid w:val="00F660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33AA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33AAF"/>
    <w:rPr>
      <w:rFonts w:ascii="Times New Roman" w:hAnsi="Times New Roman"/>
      <w:sz w:val="20"/>
      <w:szCs w:val="20"/>
    </w:rPr>
  </w:style>
  <w:style w:type="character" w:styleId="FootnoteReference">
    <w:name w:val="footnote reference"/>
    <w:basedOn w:val="DefaultParagraphFont"/>
    <w:uiPriority w:val="99"/>
    <w:unhideWhenUsed/>
    <w:rsid w:val="000B300C"/>
    <w:rPr>
      <w:vertAlign w:val="superscript"/>
    </w:rPr>
  </w:style>
  <w:style w:type="paragraph" w:styleId="BodyText">
    <w:name w:val="Body Text"/>
    <w:basedOn w:val="Normal"/>
    <w:link w:val="BodyTextChar"/>
    <w:uiPriority w:val="99"/>
    <w:unhideWhenUsed/>
    <w:rsid w:val="00F97A17"/>
    <w:pPr>
      <w:spacing w:after="0" w:line="240" w:lineRule="auto"/>
    </w:pPr>
    <w:rPr>
      <w:rFonts w:ascii="Times New Roman" w:eastAsia="Calibri" w:hAnsi="Times New Roman" w:cs="Times New Roman"/>
      <w:b/>
      <w:sz w:val="24"/>
      <w:szCs w:val="24"/>
      <w:u w:val="single"/>
    </w:rPr>
  </w:style>
  <w:style w:type="character" w:customStyle="1" w:styleId="BodyTextChar">
    <w:name w:val="Body Text Char"/>
    <w:basedOn w:val="DefaultParagraphFont"/>
    <w:link w:val="BodyText"/>
    <w:uiPriority w:val="99"/>
    <w:rsid w:val="00F97A17"/>
    <w:rPr>
      <w:rFonts w:ascii="Times New Roman" w:eastAsia="Calibri" w:hAnsi="Times New Roman" w:cs="Times New Roman"/>
      <w:b/>
      <w:sz w:val="24"/>
      <w:szCs w:val="24"/>
      <w:u w:val="single"/>
    </w:rPr>
  </w:style>
  <w:style w:type="paragraph" w:styleId="BodyText2">
    <w:name w:val="Body Text 2"/>
    <w:basedOn w:val="Normal"/>
    <w:link w:val="BodyText2Char"/>
    <w:uiPriority w:val="99"/>
    <w:unhideWhenUsed/>
    <w:rsid w:val="00F97A17"/>
    <w:pPr>
      <w:spacing w:after="0" w:line="240" w:lineRule="auto"/>
    </w:pPr>
    <w:rPr>
      <w:rFonts w:ascii="Times New Roman" w:eastAsia="Calibri" w:hAnsi="Times New Roman" w:cs="Times New Roman"/>
      <w:bCs/>
      <w:sz w:val="24"/>
      <w:szCs w:val="24"/>
    </w:rPr>
  </w:style>
  <w:style w:type="character" w:customStyle="1" w:styleId="BodyText2Char">
    <w:name w:val="Body Text 2 Char"/>
    <w:basedOn w:val="DefaultParagraphFont"/>
    <w:link w:val="BodyText2"/>
    <w:uiPriority w:val="99"/>
    <w:rsid w:val="00F97A17"/>
    <w:rPr>
      <w:rFonts w:ascii="Times New Roman" w:eastAsia="Calibri" w:hAnsi="Times New Roman" w:cs="Times New Roman"/>
      <w:bCs/>
      <w:sz w:val="24"/>
      <w:szCs w:val="24"/>
    </w:rPr>
  </w:style>
  <w:style w:type="paragraph" w:styleId="ListParagraph">
    <w:name w:val="List Paragraph"/>
    <w:basedOn w:val="Normal"/>
    <w:uiPriority w:val="34"/>
    <w:qFormat/>
    <w:rsid w:val="00F97A17"/>
    <w:pPr>
      <w:ind w:left="720"/>
      <w:contextualSpacing/>
    </w:pPr>
  </w:style>
  <w:style w:type="paragraph" w:styleId="NormalWeb">
    <w:name w:val="Normal (Web)"/>
    <w:basedOn w:val="Normal"/>
    <w:uiPriority w:val="99"/>
    <w:unhideWhenUsed/>
    <w:rsid w:val="0000282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476E"/>
    <w:pPr>
      <w:spacing w:after="0" w:line="240" w:lineRule="auto"/>
    </w:pPr>
  </w:style>
  <w:style w:type="character" w:customStyle="1" w:styleId="Heading1Char">
    <w:name w:val="Heading 1 Char"/>
    <w:basedOn w:val="DefaultParagraphFont"/>
    <w:link w:val="Heading1"/>
    <w:uiPriority w:val="9"/>
    <w:rsid w:val="00FB7FB4"/>
    <w:rPr>
      <w:rFonts w:ascii="Times New Roman" w:eastAsia="Calibri" w:hAnsi="Times New Roman" w:cs="Times New Roman"/>
      <w:color w:val="252525"/>
      <w:sz w:val="24"/>
      <w:szCs w:val="24"/>
      <w:u w:val="single"/>
    </w:rPr>
  </w:style>
  <w:style w:type="character" w:customStyle="1" w:styleId="Heading3Char">
    <w:name w:val="Heading 3 Char"/>
    <w:basedOn w:val="DefaultParagraphFont"/>
    <w:link w:val="Heading3"/>
    <w:uiPriority w:val="9"/>
    <w:semiHidden/>
    <w:rsid w:val="00F6606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00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9D"/>
  </w:style>
  <w:style w:type="paragraph" w:styleId="Footer">
    <w:name w:val="footer"/>
    <w:basedOn w:val="Normal"/>
    <w:link w:val="FooterChar"/>
    <w:uiPriority w:val="99"/>
    <w:unhideWhenUsed/>
    <w:rsid w:val="00000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9D"/>
  </w:style>
  <w:style w:type="paragraph" w:styleId="Revision">
    <w:name w:val="Revision"/>
    <w:hidden/>
    <w:uiPriority w:val="99"/>
    <w:semiHidden/>
    <w:rsid w:val="00413B62"/>
    <w:pPr>
      <w:spacing w:after="0" w:line="240" w:lineRule="auto"/>
    </w:pPr>
  </w:style>
  <w:style w:type="character" w:styleId="CommentReference">
    <w:name w:val="annotation reference"/>
    <w:basedOn w:val="DefaultParagraphFont"/>
    <w:uiPriority w:val="99"/>
    <w:semiHidden/>
    <w:unhideWhenUsed/>
    <w:rsid w:val="00472E38"/>
    <w:rPr>
      <w:sz w:val="16"/>
      <w:szCs w:val="16"/>
    </w:rPr>
  </w:style>
  <w:style w:type="paragraph" w:styleId="CommentText">
    <w:name w:val="annotation text"/>
    <w:basedOn w:val="Normal"/>
    <w:link w:val="CommentTextChar"/>
    <w:uiPriority w:val="99"/>
    <w:semiHidden/>
    <w:unhideWhenUsed/>
    <w:rsid w:val="00472E38"/>
    <w:pPr>
      <w:spacing w:line="240" w:lineRule="auto"/>
    </w:pPr>
    <w:rPr>
      <w:sz w:val="20"/>
      <w:szCs w:val="20"/>
    </w:rPr>
  </w:style>
  <w:style w:type="character" w:customStyle="1" w:styleId="CommentTextChar">
    <w:name w:val="Comment Text Char"/>
    <w:basedOn w:val="DefaultParagraphFont"/>
    <w:link w:val="CommentText"/>
    <w:uiPriority w:val="99"/>
    <w:semiHidden/>
    <w:rsid w:val="00472E38"/>
    <w:rPr>
      <w:sz w:val="20"/>
      <w:szCs w:val="20"/>
    </w:rPr>
  </w:style>
  <w:style w:type="paragraph" w:styleId="CommentSubject">
    <w:name w:val="annotation subject"/>
    <w:basedOn w:val="CommentText"/>
    <w:next w:val="CommentText"/>
    <w:link w:val="CommentSubjectChar"/>
    <w:uiPriority w:val="99"/>
    <w:semiHidden/>
    <w:unhideWhenUsed/>
    <w:rsid w:val="00472E38"/>
    <w:rPr>
      <w:b/>
      <w:bCs/>
    </w:rPr>
  </w:style>
  <w:style w:type="character" w:customStyle="1" w:styleId="CommentSubjectChar">
    <w:name w:val="Comment Subject Char"/>
    <w:basedOn w:val="CommentTextChar"/>
    <w:link w:val="CommentSubject"/>
    <w:uiPriority w:val="99"/>
    <w:semiHidden/>
    <w:rsid w:val="00472E38"/>
    <w:rPr>
      <w:b/>
      <w:bCs/>
      <w:sz w:val="20"/>
      <w:szCs w:val="20"/>
    </w:rPr>
  </w:style>
  <w:style w:type="character" w:customStyle="1" w:styleId="apple-converted-space">
    <w:name w:val="apple-converted-space"/>
    <w:basedOn w:val="DefaultParagraphFont"/>
    <w:rsid w:val="00631959"/>
  </w:style>
  <w:style w:type="character" w:styleId="Hyperlink">
    <w:name w:val="Hyperlink"/>
    <w:basedOn w:val="DefaultParagraphFont"/>
    <w:uiPriority w:val="99"/>
    <w:semiHidden/>
    <w:unhideWhenUsed/>
    <w:rsid w:val="00F570F3"/>
    <w:rPr>
      <w:color w:val="0000FF"/>
      <w:u w:val="single"/>
    </w:rPr>
  </w:style>
  <w:style w:type="character" w:styleId="FollowedHyperlink">
    <w:name w:val="FollowedHyperlink"/>
    <w:basedOn w:val="DefaultParagraphFont"/>
    <w:uiPriority w:val="99"/>
    <w:semiHidden/>
    <w:unhideWhenUsed/>
    <w:rsid w:val="00F570F3"/>
    <w:rPr>
      <w:color w:val="954F72" w:themeColor="followedHyperlink"/>
      <w:u w:val="single"/>
    </w:rPr>
  </w:style>
  <w:style w:type="paragraph" w:styleId="EndnoteText">
    <w:name w:val="endnote text"/>
    <w:basedOn w:val="Normal"/>
    <w:link w:val="EndnoteTextChar"/>
    <w:uiPriority w:val="99"/>
    <w:semiHidden/>
    <w:unhideWhenUsed/>
    <w:rsid w:val="00270F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F1C"/>
    <w:rPr>
      <w:sz w:val="20"/>
      <w:szCs w:val="20"/>
    </w:rPr>
  </w:style>
  <w:style w:type="character" w:styleId="EndnoteReference">
    <w:name w:val="endnote reference"/>
    <w:basedOn w:val="DefaultParagraphFont"/>
    <w:uiPriority w:val="99"/>
    <w:semiHidden/>
    <w:unhideWhenUsed/>
    <w:rsid w:val="00270F1C"/>
    <w:rPr>
      <w:vertAlign w:val="superscript"/>
    </w:rPr>
  </w:style>
  <w:style w:type="paragraph" w:styleId="BlockText">
    <w:name w:val="Block Text"/>
    <w:basedOn w:val="Normal"/>
    <w:uiPriority w:val="99"/>
    <w:unhideWhenUsed/>
    <w:rsid w:val="004958AB"/>
    <w:pPr>
      <w:spacing w:after="200" w:line="276" w:lineRule="auto"/>
      <w:ind w:left="720" w:right="720"/>
    </w:pPr>
    <w:rPr>
      <w:rFonts w:ascii="Times New Roman" w:hAnsi="Times New Roman" w:cs="Times New Roman"/>
      <w:sz w:val="24"/>
      <w:szCs w:val="24"/>
    </w:rPr>
  </w:style>
  <w:style w:type="character" w:styleId="Emphasis">
    <w:name w:val="Emphasis"/>
    <w:basedOn w:val="DefaultParagraphFont"/>
    <w:uiPriority w:val="20"/>
    <w:qFormat/>
    <w:rsid w:val="00994146"/>
    <w:rPr>
      <w:i/>
      <w:iCs/>
    </w:rPr>
  </w:style>
  <w:style w:type="character" w:customStyle="1" w:styleId="coinlinekeyciteflag">
    <w:name w:val="co_inlinekeyciteflag"/>
    <w:basedOn w:val="DefaultParagraphFont"/>
    <w:rsid w:val="0099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7010">
      <w:bodyDiv w:val="1"/>
      <w:marLeft w:val="0"/>
      <w:marRight w:val="0"/>
      <w:marTop w:val="0"/>
      <w:marBottom w:val="0"/>
      <w:divBdr>
        <w:top w:val="none" w:sz="0" w:space="0" w:color="auto"/>
        <w:left w:val="none" w:sz="0" w:space="0" w:color="auto"/>
        <w:bottom w:val="none" w:sz="0" w:space="0" w:color="auto"/>
        <w:right w:val="none" w:sz="0" w:space="0" w:color="auto"/>
      </w:divBdr>
    </w:div>
    <w:div w:id="477039202">
      <w:bodyDiv w:val="1"/>
      <w:marLeft w:val="0"/>
      <w:marRight w:val="0"/>
      <w:marTop w:val="0"/>
      <w:marBottom w:val="0"/>
      <w:divBdr>
        <w:top w:val="none" w:sz="0" w:space="0" w:color="auto"/>
        <w:left w:val="none" w:sz="0" w:space="0" w:color="auto"/>
        <w:bottom w:val="none" w:sz="0" w:space="0" w:color="auto"/>
        <w:right w:val="none" w:sz="0" w:space="0" w:color="auto"/>
      </w:divBdr>
    </w:div>
    <w:div w:id="693656543">
      <w:bodyDiv w:val="1"/>
      <w:marLeft w:val="0"/>
      <w:marRight w:val="0"/>
      <w:marTop w:val="0"/>
      <w:marBottom w:val="0"/>
      <w:divBdr>
        <w:top w:val="none" w:sz="0" w:space="0" w:color="auto"/>
        <w:left w:val="none" w:sz="0" w:space="0" w:color="auto"/>
        <w:bottom w:val="none" w:sz="0" w:space="0" w:color="auto"/>
        <w:right w:val="none" w:sz="0" w:space="0" w:color="auto"/>
      </w:divBdr>
    </w:div>
    <w:div w:id="767314962">
      <w:bodyDiv w:val="1"/>
      <w:marLeft w:val="0"/>
      <w:marRight w:val="0"/>
      <w:marTop w:val="0"/>
      <w:marBottom w:val="0"/>
      <w:divBdr>
        <w:top w:val="none" w:sz="0" w:space="0" w:color="auto"/>
        <w:left w:val="none" w:sz="0" w:space="0" w:color="auto"/>
        <w:bottom w:val="none" w:sz="0" w:space="0" w:color="auto"/>
        <w:right w:val="none" w:sz="0" w:space="0" w:color="auto"/>
      </w:divBdr>
    </w:div>
    <w:div w:id="919172142">
      <w:bodyDiv w:val="1"/>
      <w:marLeft w:val="0"/>
      <w:marRight w:val="0"/>
      <w:marTop w:val="0"/>
      <w:marBottom w:val="0"/>
      <w:divBdr>
        <w:top w:val="none" w:sz="0" w:space="0" w:color="auto"/>
        <w:left w:val="none" w:sz="0" w:space="0" w:color="auto"/>
        <w:bottom w:val="none" w:sz="0" w:space="0" w:color="auto"/>
        <w:right w:val="none" w:sz="0" w:space="0" w:color="auto"/>
      </w:divBdr>
    </w:div>
    <w:div w:id="924076586">
      <w:bodyDiv w:val="1"/>
      <w:marLeft w:val="0"/>
      <w:marRight w:val="0"/>
      <w:marTop w:val="0"/>
      <w:marBottom w:val="0"/>
      <w:divBdr>
        <w:top w:val="none" w:sz="0" w:space="0" w:color="auto"/>
        <w:left w:val="none" w:sz="0" w:space="0" w:color="auto"/>
        <w:bottom w:val="none" w:sz="0" w:space="0" w:color="auto"/>
        <w:right w:val="none" w:sz="0" w:space="0" w:color="auto"/>
      </w:divBdr>
    </w:div>
    <w:div w:id="993797588">
      <w:bodyDiv w:val="1"/>
      <w:marLeft w:val="0"/>
      <w:marRight w:val="0"/>
      <w:marTop w:val="0"/>
      <w:marBottom w:val="0"/>
      <w:divBdr>
        <w:top w:val="none" w:sz="0" w:space="0" w:color="auto"/>
        <w:left w:val="none" w:sz="0" w:space="0" w:color="auto"/>
        <w:bottom w:val="none" w:sz="0" w:space="0" w:color="auto"/>
        <w:right w:val="none" w:sz="0" w:space="0" w:color="auto"/>
      </w:divBdr>
    </w:div>
    <w:div w:id="1427925416">
      <w:bodyDiv w:val="1"/>
      <w:marLeft w:val="0"/>
      <w:marRight w:val="0"/>
      <w:marTop w:val="0"/>
      <w:marBottom w:val="0"/>
      <w:divBdr>
        <w:top w:val="none" w:sz="0" w:space="0" w:color="auto"/>
        <w:left w:val="none" w:sz="0" w:space="0" w:color="auto"/>
        <w:bottom w:val="none" w:sz="0" w:space="0" w:color="auto"/>
        <w:right w:val="none" w:sz="0" w:space="0" w:color="auto"/>
      </w:divBdr>
    </w:div>
    <w:div w:id="1463618024">
      <w:bodyDiv w:val="1"/>
      <w:marLeft w:val="0"/>
      <w:marRight w:val="0"/>
      <w:marTop w:val="0"/>
      <w:marBottom w:val="0"/>
      <w:divBdr>
        <w:top w:val="none" w:sz="0" w:space="0" w:color="auto"/>
        <w:left w:val="none" w:sz="0" w:space="0" w:color="auto"/>
        <w:bottom w:val="none" w:sz="0" w:space="0" w:color="auto"/>
        <w:right w:val="none" w:sz="0" w:space="0" w:color="auto"/>
      </w:divBdr>
    </w:div>
    <w:div w:id="1527595132">
      <w:bodyDiv w:val="1"/>
      <w:marLeft w:val="0"/>
      <w:marRight w:val="0"/>
      <w:marTop w:val="0"/>
      <w:marBottom w:val="0"/>
      <w:divBdr>
        <w:top w:val="none" w:sz="0" w:space="0" w:color="auto"/>
        <w:left w:val="none" w:sz="0" w:space="0" w:color="auto"/>
        <w:bottom w:val="none" w:sz="0" w:space="0" w:color="auto"/>
        <w:right w:val="none" w:sz="0" w:space="0" w:color="auto"/>
      </w:divBdr>
    </w:div>
    <w:div w:id="1563833166">
      <w:bodyDiv w:val="1"/>
      <w:marLeft w:val="0"/>
      <w:marRight w:val="0"/>
      <w:marTop w:val="0"/>
      <w:marBottom w:val="0"/>
      <w:divBdr>
        <w:top w:val="none" w:sz="0" w:space="0" w:color="auto"/>
        <w:left w:val="none" w:sz="0" w:space="0" w:color="auto"/>
        <w:bottom w:val="none" w:sz="0" w:space="0" w:color="auto"/>
        <w:right w:val="none" w:sz="0" w:space="0" w:color="auto"/>
      </w:divBdr>
    </w:div>
    <w:div w:id="1582056064">
      <w:bodyDiv w:val="1"/>
      <w:marLeft w:val="0"/>
      <w:marRight w:val="0"/>
      <w:marTop w:val="0"/>
      <w:marBottom w:val="0"/>
      <w:divBdr>
        <w:top w:val="none" w:sz="0" w:space="0" w:color="auto"/>
        <w:left w:val="none" w:sz="0" w:space="0" w:color="auto"/>
        <w:bottom w:val="none" w:sz="0" w:space="0" w:color="auto"/>
        <w:right w:val="none" w:sz="0" w:space="0" w:color="auto"/>
      </w:divBdr>
    </w:div>
    <w:div w:id="1641423257">
      <w:bodyDiv w:val="1"/>
      <w:marLeft w:val="0"/>
      <w:marRight w:val="0"/>
      <w:marTop w:val="0"/>
      <w:marBottom w:val="0"/>
      <w:divBdr>
        <w:top w:val="none" w:sz="0" w:space="0" w:color="auto"/>
        <w:left w:val="none" w:sz="0" w:space="0" w:color="auto"/>
        <w:bottom w:val="none" w:sz="0" w:space="0" w:color="auto"/>
        <w:right w:val="none" w:sz="0" w:space="0" w:color="auto"/>
      </w:divBdr>
    </w:div>
    <w:div w:id="2041005325">
      <w:bodyDiv w:val="1"/>
      <w:marLeft w:val="0"/>
      <w:marRight w:val="0"/>
      <w:marTop w:val="0"/>
      <w:marBottom w:val="0"/>
      <w:divBdr>
        <w:top w:val="none" w:sz="0" w:space="0" w:color="auto"/>
        <w:left w:val="none" w:sz="0" w:space="0" w:color="auto"/>
        <w:bottom w:val="none" w:sz="0" w:space="0" w:color="auto"/>
        <w:right w:val="none" w:sz="0" w:space="0" w:color="auto"/>
      </w:divBdr>
    </w:div>
    <w:div w:id="2063284438">
      <w:bodyDiv w:val="1"/>
      <w:marLeft w:val="0"/>
      <w:marRight w:val="0"/>
      <w:marTop w:val="0"/>
      <w:marBottom w:val="0"/>
      <w:divBdr>
        <w:top w:val="none" w:sz="0" w:space="0" w:color="auto"/>
        <w:left w:val="none" w:sz="0" w:space="0" w:color="auto"/>
        <w:bottom w:val="none" w:sz="0" w:space="0" w:color="auto"/>
        <w:right w:val="none" w:sz="0" w:space="0" w:color="auto"/>
      </w:divBdr>
    </w:div>
    <w:div w:id="20896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21155-EC7B-49FD-88D4-967C23AD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brosnahan</dc:creator>
  <cp:keywords/>
  <dc:description/>
  <cp:lastModifiedBy>Erlichman, Reece (ALA)</cp:lastModifiedBy>
  <cp:revision>2</cp:revision>
  <cp:lastPrinted>2022-08-17T20:42:00Z</cp:lastPrinted>
  <dcterms:created xsi:type="dcterms:W3CDTF">2022-08-22T21:14:00Z</dcterms:created>
  <dcterms:modified xsi:type="dcterms:W3CDTF">2022-08-22T21:14:00Z</dcterms:modified>
</cp:coreProperties>
</file>