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22C0" w14:textId="77777777" w:rsidR="006D5FA1" w:rsidRPr="006D5FA1" w:rsidRDefault="006D5FA1" w:rsidP="0094354B">
      <w:pPr>
        <w:jc w:val="center"/>
        <w:rPr>
          <w:b/>
          <w:sz w:val="24"/>
          <w:szCs w:val="24"/>
        </w:rPr>
      </w:pPr>
      <w:r w:rsidRPr="006D5FA1">
        <w:rPr>
          <w:b/>
          <w:sz w:val="24"/>
          <w:szCs w:val="24"/>
        </w:rPr>
        <w:t>COMMONWEALTH OF MASSACHUSETTS</w:t>
      </w:r>
    </w:p>
    <w:p w14:paraId="66121160" w14:textId="77777777" w:rsidR="006D5FA1" w:rsidRPr="006D5FA1" w:rsidRDefault="006D5FA1" w:rsidP="006D5FA1">
      <w:pPr>
        <w:jc w:val="center"/>
        <w:rPr>
          <w:b/>
          <w:sz w:val="24"/>
          <w:szCs w:val="24"/>
        </w:rPr>
      </w:pPr>
      <w:r w:rsidRPr="006D5FA1">
        <w:rPr>
          <w:b/>
          <w:sz w:val="24"/>
          <w:szCs w:val="24"/>
        </w:rPr>
        <w:t>BUREAU OF SPECIAL EDUCATION APPEALS</w:t>
      </w:r>
    </w:p>
    <w:p w14:paraId="5E317780" w14:textId="77777777" w:rsidR="006D5FA1" w:rsidRPr="006D5FA1" w:rsidRDefault="006D5FA1" w:rsidP="006D5FA1">
      <w:pPr>
        <w:jc w:val="center"/>
        <w:rPr>
          <w:b/>
          <w:sz w:val="24"/>
          <w:szCs w:val="24"/>
        </w:rPr>
      </w:pPr>
    </w:p>
    <w:p w14:paraId="529F38EA" w14:textId="77777777" w:rsidR="006C39AD" w:rsidRDefault="006C39AD" w:rsidP="006D5FA1">
      <w:pPr>
        <w:rPr>
          <w:b/>
          <w:sz w:val="24"/>
          <w:szCs w:val="24"/>
        </w:rPr>
      </w:pPr>
    </w:p>
    <w:p w14:paraId="2AC24B5C" w14:textId="3A4358F6" w:rsidR="006D5FA1" w:rsidRPr="006D5FA1" w:rsidRDefault="006D5FA1" w:rsidP="006D5FA1">
      <w:pPr>
        <w:rPr>
          <w:b/>
          <w:sz w:val="24"/>
          <w:szCs w:val="24"/>
        </w:rPr>
      </w:pPr>
      <w:r w:rsidRPr="006D5FA1">
        <w:rPr>
          <w:b/>
          <w:sz w:val="24"/>
          <w:szCs w:val="24"/>
        </w:rPr>
        <w:t>Student</w:t>
      </w:r>
      <w:r>
        <w:rPr>
          <w:b/>
          <w:sz w:val="24"/>
          <w:szCs w:val="24"/>
        </w:rPr>
        <w:t xml:space="preserve"> v. </w:t>
      </w:r>
      <w:r w:rsidR="00DC1D07">
        <w:rPr>
          <w:b/>
          <w:sz w:val="24"/>
          <w:szCs w:val="24"/>
        </w:rPr>
        <w:t>Marshfield</w:t>
      </w:r>
      <w:r>
        <w:rPr>
          <w:b/>
          <w:sz w:val="24"/>
          <w:szCs w:val="24"/>
        </w:rPr>
        <w:t xml:space="preserve"> Public Schools</w:t>
      </w:r>
      <w:r w:rsidRPr="006D5FA1">
        <w:rPr>
          <w:b/>
          <w:sz w:val="24"/>
          <w:szCs w:val="24"/>
        </w:rPr>
        <w:tab/>
      </w:r>
      <w:r w:rsidRPr="006D5FA1">
        <w:rPr>
          <w:b/>
          <w:sz w:val="24"/>
          <w:szCs w:val="24"/>
        </w:rPr>
        <w:tab/>
      </w:r>
      <w:r w:rsidRPr="006D5FA1">
        <w:rPr>
          <w:b/>
          <w:sz w:val="24"/>
          <w:szCs w:val="24"/>
        </w:rPr>
        <w:tab/>
      </w:r>
      <w:r w:rsidR="00B71A66">
        <w:rPr>
          <w:b/>
          <w:sz w:val="24"/>
          <w:szCs w:val="24"/>
        </w:rPr>
        <w:tab/>
      </w:r>
      <w:r w:rsidR="00B71A66">
        <w:rPr>
          <w:b/>
          <w:sz w:val="24"/>
          <w:szCs w:val="24"/>
        </w:rPr>
        <w:tab/>
      </w:r>
      <w:r>
        <w:rPr>
          <w:b/>
          <w:sz w:val="24"/>
          <w:szCs w:val="24"/>
        </w:rPr>
        <w:t xml:space="preserve">BSEA # </w:t>
      </w:r>
      <w:r w:rsidR="00F6301F">
        <w:rPr>
          <w:b/>
          <w:sz w:val="24"/>
          <w:szCs w:val="24"/>
        </w:rPr>
        <w:t>2</w:t>
      </w:r>
      <w:r w:rsidR="00DC1D07">
        <w:rPr>
          <w:b/>
          <w:sz w:val="24"/>
          <w:szCs w:val="24"/>
        </w:rPr>
        <w:t>305747</w:t>
      </w:r>
    </w:p>
    <w:p w14:paraId="7AD1C470" w14:textId="76F93472" w:rsidR="006D5FA1" w:rsidRDefault="006D5FA1" w:rsidP="006D5FA1">
      <w:pPr>
        <w:rPr>
          <w:sz w:val="24"/>
          <w:szCs w:val="24"/>
        </w:rPr>
      </w:pPr>
    </w:p>
    <w:p w14:paraId="5C69E97B" w14:textId="77777777" w:rsidR="009229ED" w:rsidRPr="006D5FA1" w:rsidRDefault="009229ED" w:rsidP="009229ED">
      <w:pPr>
        <w:jc w:val="center"/>
        <w:rPr>
          <w:sz w:val="24"/>
          <w:szCs w:val="24"/>
        </w:rPr>
      </w:pPr>
    </w:p>
    <w:p w14:paraId="662F09FE" w14:textId="440D168A" w:rsidR="009229ED" w:rsidRPr="007B6DAD" w:rsidRDefault="006C626F" w:rsidP="009229ED">
      <w:pPr>
        <w:jc w:val="center"/>
        <w:rPr>
          <w:b/>
          <w:bCs/>
          <w:sz w:val="24"/>
          <w:szCs w:val="24"/>
        </w:rPr>
      </w:pPr>
      <w:r w:rsidRPr="007B6DAD">
        <w:rPr>
          <w:b/>
          <w:bCs/>
          <w:sz w:val="24"/>
          <w:szCs w:val="24"/>
        </w:rPr>
        <w:t xml:space="preserve">RULING ON </w:t>
      </w:r>
      <w:r w:rsidR="00DC1D07">
        <w:rPr>
          <w:b/>
          <w:bCs/>
          <w:sz w:val="24"/>
          <w:szCs w:val="24"/>
        </w:rPr>
        <w:t>MARSHFIELD</w:t>
      </w:r>
      <w:r w:rsidR="00D36AA0">
        <w:rPr>
          <w:b/>
          <w:bCs/>
          <w:sz w:val="24"/>
          <w:szCs w:val="24"/>
        </w:rPr>
        <w:t xml:space="preserve"> PUBLIC SCHOOLS</w:t>
      </w:r>
      <w:r w:rsidR="00A9409D">
        <w:rPr>
          <w:b/>
          <w:bCs/>
          <w:sz w:val="24"/>
          <w:szCs w:val="24"/>
        </w:rPr>
        <w:t>’</w:t>
      </w:r>
      <w:r w:rsidR="00F6301F" w:rsidRPr="007B6DAD">
        <w:rPr>
          <w:b/>
          <w:bCs/>
          <w:sz w:val="24"/>
          <w:szCs w:val="24"/>
        </w:rPr>
        <w:t xml:space="preserve"> </w:t>
      </w:r>
      <w:r w:rsidRPr="007B6DAD">
        <w:rPr>
          <w:b/>
          <w:bCs/>
          <w:sz w:val="24"/>
          <w:szCs w:val="24"/>
        </w:rPr>
        <w:t>MOTION</w:t>
      </w:r>
      <w:r w:rsidR="000377FE" w:rsidRPr="007B6DAD">
        <w:rPr>
          <w:b/>
          <w:bCs/>
          <w:sz w:val="24"/>
          <w:szCs w:val="24"/>
        </w:rPr>
        <w:t xml:space="preserve"> TO</w:t>
      </w:r>
      <w:r w:rsidRPr="007B6DAD">
        <w:rPr>
          <w:b/>
          <w:bCs/>
          <w:sz w:val="24"/>
          <w:szCs w:val="24"/>
        </w:rPr>
        <w:t xml:space="preserve"> DIS</w:t>
      </w:r>
      <w:r w:rsidR="000377FE" w:rsidRPr="007B6DAD">
        <w:rPr>
          <w:b/>
          <w:bCs/>
          <w:sz w:val="24"/>
          <w:szCs w:val="24"/>
        </w:rPr>
        <w:t>MIS</w:t>
      </w:r>
      <w:r w:rsidRPr="007B6DAD">
        <w:rPr>
          <w:b/>
          <w:bCs/>
          <w:sz w:val="24"/>
          <w:szCs w:val="24"/>
        </w:rPr>
        <w:t>S</w:t>
      </w:r>
    </w:p>
    <w:p w14:paraId="49214633" w14:textId="77777777" w:rsidR="006C39AD" w:rsidRPr="006D5FA1" w:rsidRDefault="006C39AD" w:rsidP="009229ED">
      <w:pPr>
        <w:rPr>
          <w:sz w:val="24"/>
          <w:szCs w:val="24"/>
        </w:rPr>
      </w:pPr>
    </w:p>
    <w:p w14:paraId="3B88278A" w14:textId="77777777" w:rsidR="001945AA" w:rsidRPr="00B91315" w:rsidRDefault="001945AA" w:rsidP="001945AA">
      <w:pPr>
        <w:jc w:val="center"/>
        <w:rPr>
          <w:i/>
          <w:iCs/>
          <w:sz w:val="24"/>
          <w:szCs w:val="24"/>
        </w:rPr>
      </w:pPr>
      <w:r w:rsidRPr="00B91315">
        <w:rPr>
          <w:i/>
          <w:iCs/>
          <w:sz w:val="24"/>
          <w:szCs w:val="24"/>
        </w:rPr>
        <w:t>PROCEDURAL HISTORY</w:t>
      </w:r>
    </w:p>
    <w:p w14:paraId="71619C44" w14:textId="77777777" w:rsidR="001945AA" w:rsidRPr="006D5FA1" w:rsidRDefault="001945AA" w:rsidP="001945AA">
      <w:pPr>
        <w:jc w:val="center"/>
        <w:rPr>
          <w:sz w:val="24"/>
          <w:szCs w:val="24"/>
        </w:rPr>
      </w:pPr>
    </w:p>
    <w:p w14:paraId="657E6596" w14:textId="2E3A42FC" w:rsidR="00202355" w:rsidRDefault="001945AA" w:rsidP="001945AA">
      <w:pPr>
        <w:rPr>
          <w:sz w:val="24"/>
          <w:szCs w:val="24"/>
        </w:rPr>
      </w:pPr>
      <w:r w:rsidRPr="006D5FA1">
        <w:rPr>
          <w:sz w:val="24"/>
          <w:szCs w:val="24"/>
        </w:rPr>
        <w:t>Parent</w:t>
      </w:r>
      <w:r w:rsidR="00A737C3">
        <w:rPr>
          <w:sz w:val="24"/>
          <w:szCs w:val="24"/>
        </w:rPr>
        <w:t>, a licensed attorney, as noted in her Hearing Request and as noted by the U.S. District Court’s February 8, 2022 Ruling</w:t>
      </w:r>
      <w:r w:rsidR="004837FB">
        <w:rPr>
          <w:sz w:val="24"/>
          <w:szCs w:val="24"/>
        </w:rPr>
        <w:t xml:space="preserve"> </w:t>
      </w:r>
      <w:r w:rsidRPr="006D5FA1">
        <w:rPr>
          <w:sz w:val="24"/>
          <w:szCs w:val="24"/>
        </w:rPr>
        <w:t xml:space="preserve">filed a </w:t>
      </w:r>
      <w:r w:rsidR="00D85169">
        <w:rPr>
          <w:sz w:val="24"/>
          <w:szCs w:val="24"/>
        </w:rPr>
        <w:t>R</w:t>
      </w:r>
      <w:r w:rsidRPr="006D5FA1">
        <w:rPr>
          <w:sz w:val="24"/>
          <w:szCs w:val="24"/>
        </w:rPr>
        <w:t xml:space="preserve">equest for </w:t>
      </w:r>
      <w:r w:rsidR="00D85169">
        <w:rPr>
          <w:sz w:val="24"/>
          <w:szCs w:val="24"/>
        </w:rPr>
        <w:t>H</w:t>
      </w:r>
      <w:r w:rsidR="00F428E2" w:rsidRPr="006D5FA1">
        <w:rPr>
          <w:sz w:val="24"/>
          <w:szCs w:val="24"/>
        </w:rPr>
        <w:t xml:space="preserve">earing on </w:t>
      </w:r>
      <w:r w:rsidR="00DF5484">
        <w:rPr>
          <w:sz w:val="24"/>
          <w:szCs w:val="24"/>
        </w:rPr>
        <w:t>J</w:t>
      </w:r>
      <w:r w:rsidR="00DC1D07">
        <w:rPr>
          <w:sz w:val="24"/>
          <w:szCs w:val="24"/>
        </w:rPr>
        <w:t>anuary 6</w:t>
      </w:r>
      <w:r w:rsidR="00DF5484">
        <w:rPr>
          <w:sz w:val="24"/>
          <w:szCs w:val="24"/>
        </w:rPr>
        <w:t>, 202</w:t>
      </w:r>
      <w:r w:rsidR="00DC1D07">
        <w:rPr>
          <w:sz w:val="24"/>
          <w:szCs w:val="24"/>
        </w:rPr>
        <w:t>3</w:t>
      </w:r>
      <w:r w:rsidR="00E74CF4">
        <w:rPr>
          <w:sz w:val="24"/>
          <w:szCs w:val="24"/>
        </w:rPr>
        <w:t>.</w:t>
      </w:r>
    </w:p>
    <w:p w14:paraId="156E2EED" w14:textId="77777777" w:rsidR="00202355" w:rsidRDefault="00202355" w:rsidP="001945AA">
      <w:pPr>
        <w:rPr>
          <w:sz w:val="24"/>
          <w:szCs w:val="24"/>
        </w:rPr>
      </w:pPr>
    </w:p>
    <w:p w14:paraId="48B4D350" w14:textId="747C9265" w:rsidR="001945AA" w:rsidRDefault="00604737" w:rsidP="001945AA">
      <w:pPr>
        <w:rPr>
          <w:sz w:val="24"/>
          <w:szCs w:val="24"/>
        </w:rPr>
      </w:pPr>
      <w:r>
        <w:rPr>
          <w:sz w:val="24"/>
          <w:szCs w:val="24"/>
        </w:rPr>
        <w:t>On January 19, 2023, Marshfield</w:t>
      </w:r>
      <w:r w:rsidR="002601E9">
        <w:rPr>
          <w:sz w:val="24"/>
          <w:szCs w:val="24"/>
        </w:rPr>
        <w:t xml:space="preserve"> Public Schools (</w:t>
      </w:r>
      <w:r w:rsidR="00CC3658">
        <w:rPr>
          <w:sz w:val="24"/>
          <w:szCs w:val="24"/>
        </w:rPr>
        <w:t>“</w:t>
      </w:r>
      <w:r w:rsidR="002601E9">
        <w:rPr>
          <w:sz w:val="24"/>
          <w:szCs w:val="24"/>
        </w:rPr>
        <w:t>Marshfield</w:t>
      </w:r>
      <w:r w:rsidR="00CC3658">
        <w:rPr>
          <w:sz w:val="24"/>
          <w:szCs w:val="24"/>
        </w:rPr>
        <w:t>”</w:t>
      </w:r>
      <w:r w:rsidR="00A737C3">
        <w:rPr>
          <w:sz w:val="24"/>
          <w:szCs w:val="24"/>
        </w:rPr>
        <w:t>)</w:t>
      </w:r>
      <w:r>
        <w:rPr>
          <w:sz w:val="24"/>
          <w:szCs w:val="24"/>
        </w:rPr>
        <w:t xml:space="preserve"> filed a Motion to Dismiss/Response to Parent’s Request for Hearing.</w:t>
      </w:r>
      <w:r w:rsidR="00F06195">
        <w:rPr>
          <w:sz w:val="24"/>
          <w:szCs w:val="24"/>
        </w:rPr>
        <w:t xml:space="preserve">  </w:t>
      </w:r>
      <w:r w:rsidR="00F06195" w:rsidRPr="006D5FA1">
        <w:rPr>
          <w:sz w:val="24"/>
          <w:szCs w:val="24"/>
        </w:rPr>
        <w:t xml:space="preserve"> </w:t>
      </w:r>
      <w:r w:rsidR="00D5472E">
        <w:rPr>
          <w:sz w:val="24"/>
          <w:szCs w:val="24"/>
        </w:rPr>
        <w:t xml:space="preserve">Parent </w:t>
      </w:r>
      <w:r w:rsidR="00F06195">
        <w:rPr>
          <w:sz w:val="24"/>
          <w:szCs w:val="24"/>
        </w:rPr>
        <w:t>submitted a response to Marshfield’s Motion to Dismiss on February 21, 2023</w:t>
      </w:r>
      <w:r w:rsidR="00F06195">
        <w:rPr>
          <w:rStyle w:val="FootnoteReference"/>
          <w:sz w:val="24"/>
          <w:szCs w:val="24"/>
        </w:rPr>
        <w:footnoteReference w:id="1"/>
      </w:r>
      <w:r w:rsidR="00F06195">
        <w:rPr>
          <w:sz w:val="24"/>
          <w:szCs w:val="24"/>
        </w:rPr>
        <w:t xml:space="preserve">.  </w:t>
      </w:r>
      <w:r>
        <w:rPr>
          <w:sz w:val="24"/>
          <w:szCs w:val="24"/>
        </w:rPr>
        <w:t xml:space="preserve">  </w:t>
      </w:r>
    </w:p>
    <w:p w14:paraId="253DA909" w14:textId="77777777" w:rsidR="00861F43" w:rsidRPr="006D5FA1" w:rsidRDefault="00861F43" w:rsidP="001945AA">
      <w:pPr>
        <w:rPr>
          <w:sz w:val="24"/>
          <w:szCs w:val="24"/>
        </w:rPr>
      </w:pPr>
    </w:p>
    <w:p w14:paraId="5C1B9295" w14:textId="5FCE76B1" w:rsidR="001945AA" w:rsidRPr="00B91315" w:rsidRDefault="00DC1D07" w:rsidP="00171EA0">
      <w:pPr>
        <w:jc w:val="center"/>
        <w:rPr>
          <w:i/>
          <w:iCs/>
          <w:sz w:val="24"/>
          <w:szCs w:val="24"/>
        </w:rPr>
      </w:pPr>
      <w:r>
        <w:rPr>
          <w:i/>
          <w:iCs/>
          <w:sz w:val="24"/>
          <w:szCs w:val="24"/>
        </w:rPr>
        <w:t>MARSHFIELD</w:t>
      </w:r>
      <w:r w:rsidR="00171EA0" w:rsidRPr="00B91315">
        <w:rPr>
          <w:i/>
          <w:iCs/>
          <w:sz w:val="24"/>
          <w:szCs w:val="24"/>
        </w:rPr>
        <w:t>’</w:t>
      </w:r>
      <w:r w:rsidR="000377FE" w:rsidRPr="00B91315">
        <w:rPr>
          <w:i/>
          <w:iCs/>
          <w:sz w:val="24"/>
          <w:szCs w:val="24"/>
        </w:rPr>
        <w:t>S</w:t>
      </w:r>
      <w:r w:rsidR="00171EA0" w:rsidRPr="00B91315">
        <w:rPr>
          <w:i/>
          <w:iCs/>
          <w:sz w:val="24"/>
          <w:szCs w:val="24"/>
        </w:rPr>
        <w:t xml:space="preserve"> POSITION</w:t>
      </w:r>
    </w:p>
    <w:p w14:paraId="28D334E6" w14:textId="77777777" w:rsidR="0013400B" w:rsidRDefault="0013400B" w:rsidP="00171EA0">
      <w:pPr>
        <w:jc w:val="center"/>
        <w:rPr>
          <w:sz w:val="24"/>
          <w:szCs w:val="24"/>
        </w:rPr>
      </w:pPr>
    </w:p>
    <w:p w14:paraId="2B55F28C" w14:textId="47AA0BB5" w:rsidR="00C4633C" w:rsidRDefault="007E1587" w:rsidP="00392C8D">
      <w:pPr>
        <w:rPr>
          <w:sz w:val="24"/>
          <w:szCs w:val="24"/>
        </w:rPr>
      </w:pPr>
      <w:r>
        <w:rPr>
          <w:sz w:val="24"/>
          <w:szCs w:val="24"/>
        </w:rPr>
        <w:t>Marshfield</w:t>
      </w:r>
      <w:r w:rsidR="00C4633C">
        <w:rPr>
          <w:sz w:val="24"/>
          <w:szCs w:val="24"/>
        </w:rPr>
        <w:t xml:space="preserve"> </w:t>
      </w:r>
      <w:r>
        <w:rPr>
          <w:sz w:val="24"/>
          <w:szCs w:val="24"/>
        </w:rPr>
        <w:t>move</w:t>
      </w:r>
      <w:r w:rsidR="00C4633C">
        <w:rPr>
          <w:sz w:val="24"/>
          <w:szCs w:val="24"/>
        </w:rPr>
        <w:t>s</w:t>
      </w:r>
      <w:r>
        <w:rPr>
          <w:sz w:val="24"/>
          <w:szCs w:val="24"/>
        </w:rPr>
        <w:t xml:space="preserve"> for the dismissal of claims which have already been litigated, are beyond the jurisdiction of the BSEA, or are barred by </w:t>
      </w:r>
      <w:r w:rsidR="00A737C3">
        <w:rPr>
          <w:sz w:val="24"/>
          <w:szCs w:val="24"/>
        </w:rPr>
        <w:t>r</w:t>
      </w:r>
      <w:r>
        <w:rPr>
          <w:sz w:val="24"/>
          <w:szCs w:val="24"/>
        </w:rPr>
        <w:t>es judicata and collateral estoppel.  Marshfield also assets that because the Parent fails to allege any claims for relief, the Hearing Request should be dismissed for failure to state a claim upon which relief may be granted with respect to those claims.</w:t>
      </w:r>
      <w:r w:rsidR="007C0D74">
        <w:rPr>
          <w:sz w:val="24"/>
          <w:szCs w:val="24"/>
        </w:rPr>
        <w:t xml:space="preserve">  It argues that any claims of discrimination, harassment, retaliation and hostile environment are barred due to lack of subject matter jurisdiction a</w:t>
      </w:r>
      <w:r w:rsidR="00A737C3">
        <w:rPr>
          <w:sz w:val="24"/>
          <w:szCs w:val="24"/>
        </w:rPr>
        <w:t xml:space="preserve">s well as </w:t>
      </w:r>
      <w:r w:rsidR="007C0D74">
        <w:rPr>
          <w:sz w:val="24"/>
          <w:szCs w:val="24"/>
        </w:rPr>
        <w:t>res judicata and collateral</w:t>
      </w:r>
      <w:r w:rsidR="00A737C3">
        <w:rPr>
          <w:sz w:val="24"/>
          <w:szCs w:val="24"/>
        </w:rPr>
        <w:t xml:space="preserve"> estoppel</w:t>
      </w:r>
      <w:r w:rsidR="007C0D74">
        <w:rPr>
          <w:sz w:val="24"/>
          <w:szCs w:val="24"/>
        </w:rPr>
        <w:t xml:space="preserve"> principles.  Further, Marshfield states that any claims with respect to access to student records are barred due to lack of subject matter jurisdiction </w:t>
      </w:r>
      <w:r w:rsidR="00A737C3">
        <w:rPr>
          <w:sz w:val="24"/>
          <w:szCs w:val="24"/>
        </w:rPr>
        <w:t xml:space="preserve">as well </w:t>
      </w:r>
      <w:r w:rsidR="008D786D">
        <w:rPr>
          <w:sz w:val="24"/>
          <w:szCs w:val="24"/>
        </w:rPr>
        <w:t>as res</w:t>
      </w:r>
      <w:r w:rsidR="007C0D74">
        <w:rPr>
          <w:sz w:val="24"/>
          <w:szCs w:val="24"/>
        </w:rPr>
        <w:t xml:space="preserve"> judicata and collateral estoppel principles.  </w:t>
      </w:r>
    </w:p>
    <w:p w14:paraId="60363B21" w14:textId="38628766" w:rsidR="00171EA0" w:rsidRPr="006D5FA1" w:rsidRDefault="00171EA0" w:rsidP="00171EA0">
      <w:pPr>
        <w:jc w:val="center"/>
        <w:rPr>
          <w:sz w:val="24"/>
          <w:szCs w:val="24"/>
        </w:rPr>
      </w:pPr>
    </w:p>
    <w:p w14:paraId="1B874A0A" w14:textId="3E4DF6BC" w:rsidR="00171EA0" w:rsidRPr="00B91315" w:rsidRDefault="000377FE" w:rsidP="00171EA0">
      <w:pPr>
        <w:jc w:val="center"/>
        <w:rPr>
          <w:i/>
          <w:iCs/>
          <w:sz w:val="24"/>
          <w:szCs w:val="24"/>
        </w:rPr>
      </w:pPr>
      <w:r w:rsidRPr="00B91315">
        <w:rPr>
          <w:i/>
          <w:iCs/>
          <w:sz w:val="24"/>
          <w:szCs w:val="24"/>
        </w:rPr>
        <w:t>PARENT</w:t>
      </w:r>
      <w:r w:rsidR="00A737C3">
        <w:rPr>
          <w:i/>
          <w:iCs/>
          <w:sz w:val="24"/>
          <w:szCs w:val="24"/>
        </w:rPr>
        <w:t>’S</w:t>
      </w:r>
      <w:r w:rsidRPr="00B91315">
        <w:rPr>
          <w:i/>
          <w:iCs/>
          <w:sz w:val="24"/>
          <w:szCs w:val="24"/>
        </w:rPr>
        <w:t xml:space="preserve"> </w:t>
      </w:r>
      <w:r w:rsidR="00171EA0" w:rsidRPr="00B91315">
        <w:rPr>
          <w:i/>
          <w:iCs/>
          <w:sz w:val="24"/>
          <w:szCs w:val="24"/>
        </w:rPr>
        <w:t>POSITION</w:t>
      </w:r>
    </w:p>
    <w:p w14:paraId="30302E70" w14:textId="77777777" w:rsidR="001945AA" w:rsidRPr="006D5FA1" w:rsidRDefault="001945AA" w:rsidP="001945AA">
      <w:pPr>
        <w:rPr>
          <w:sz w:val="24"/>
          <w:szCs w:val="24"/>
        </w:rPr>
      </w:pPr>
    </w:p>
    <w:p w14:paraId="3FA726CD" w14:textId="0F9C5637" w:rsidR="007D6BFD" w:rsidRDefault="002B2595" w:rsidP="005E086C">
      <w:pPr>
        <w:rPr>
          <w:sz w:val="24"/>
          <w:szCs w:val="24"/>
        </w:rPr>
      </w:pPr>
      <w:r>
        <w:rPr>
          <w:sz w:val="24"/>
          <w:szCs w:val="24"/>
        </w:rPr>
        <w:t xml:space="preserve">Parent’s position is difficult to ascertain from her response.  </w:t>
      </w:r>
      <w:r w:rsidR="00675D7B">
        <w:rPr>
          <w:sz w:val="24"/>
          <w:szCs w:val="24"/>
        </w:rPr>
        <w:t>It</w:t>
      </w:r>
      <w:r w:rsidR="00492A9F">
        <w:rPr>
          <w:sz w:val="24"/>
          <w:szCs w:val="24"/>
        </w:rPr>
        <w:t xml:space="preserve"> consists of twenty-eight pages</w:t>
      </w:r>
      <w:r w:rsidR="00A737C3">
        <w:rPr>
          <w:sz w:val="24"/>
          <w:szCs w:val="24"/>
        </w:rPr>
        <w:t xml:space="preserve">, the first 18 of </w:t>
      </w:r>
      <w:r w:rsidR="0081221F">
        <w:rPr>
          <w:sz w:val="24"/>
          <w:szCs w:val="24"/>
        </w:rPr>
        <w:t>which are</w:t>
      </w:r>
      <w:r w:rsidR="00A737C3">
        <w:rPr>
          <w:sz w:val="24"/>
          <w:szCs w:val="24"/>
        </w:rPr>
        <w:t xml:space="preserve"> not responsive </w:t>
      </w:r>
      <w:r w:rsidR="00492A9F">
        <w:rPr>
          <w:sz w:val="24"/>
          <w:szCs w:val="24"/>
        </w:rPr>
        <w:t xml:space="preserve">  to </w:t>
      </w:r>
      <w:r w:rsidR="004837FB">
        <w:rPr>
          <w:sz w:val="24"/>
          <w:szCs w:val="24"/>
        </w:rPr>
        <w:t>Marshfield’s motion.</w:t>
      </w:r>
      <w:r w:rsidR="00A737C3">
        <w:rPr>
          <w:rStyle w:val="FootnoteReference"/>
          <w:sz w:val="24"/>
          <w:szCs w:val="24"/>
        </w:rPr>
        <w:footnoteReference w:id="2"/>
      </w:r>
      <w:r w:rsidR="005E086C">
        <w:rPr>
          <w:sz w:val="24"/>
          <w:szCs w:val="24"/>
        </w:rPr>
        <w:t xml:space="preserve">  </w:t>
      </w:r>
      <w:r w:rsidR="00FD0863">
        <w:rPr>
          <w:sz w:val="24"/>
          <w:szCs w:val="24"/>
        </w:rPr>
        <w:t>The response further contains what appears to be a chronology of events that purportedly occurred between June 2019 and November 19, 2019.</w:t>
      </w:r>
      <w:r w:rsidR="00177418">
        <w:rPr>
          <w:sz w:val="24"/>
          <w:szCs w:val="24"/>
        </w:rPr>
        <w:t xml:space="preserve">  Parent argues that substantial and irreversible harm would occur if the BSEA granted </w:t>
      </w:r>
      <w:r w:rsidR="00393AD9">
        <w:rPr>
          <w:sz w:val="24"/>
          <w:szCs w:val="24"/>
        </w:rPr>
        <w:t>Marshfield’s</w:t>
      </w:r>
      <w:r w:rsidR="00177418">
        <w:rPr>
          <w:sz w:val="24"/>
          <w:szCs w:val="24"/>
        </w:rPr>
        <w:t xml:space="preserve"> Motion to Dismiss in any part and that little harm would result from the BSEA hearing all of Plaintiff’s claims that have not been adjudicated, even if the BSEA cannot grant remedies that pre-date January 2021.  </w:t>
      </w:r>
      <w:r w:rsidR="00596F1C">
        <w:rPr>
          <w:sz w:val="24"/>
          <w:szCs w:val="24"/>
        </w:rPr>
        <w:t xml:space="preserve">Parent claims that the BSEA has jurisdiction over “disability-advocacy-based </w:t>
      </w:r>
      <w:r w:rsidR="00393AD9">
        <w:rPr>
          <w:sz w:val="24"/>
          <w:szCs w:val="24"/>
        </w:rPr>
        <w:t>retaliation</w:t>
      </w:r>
      <w:r w:rsidR="00596F1C">
        <w:rPr>
          <w:sz w:val="24"/>
          <w:szCs w:val="24"/>
        </w:rPr>
        <w:t xml:space="preserve"> and discrimination against a disabled child and their family” citing to </w:t>
      </w:r>
      <w:r w:rsidR="00596F1C" w:rsidRPr="008C70CB">
        <w:rPr>
          <w:i/>
          <w:iCs/>
          <w:sz w:val="24"/>
          <w:szCs w:val="24"/>
        </w:rPr>
        <w:t xml:space="preserve">In re: Ollie v. Springfield </w:t>
      </w:r>
      <w:r w:rsidR="008C70CB" w:rsidRPr="008C70CB">
        <w:rPr>
          <w:i/>
          <w:iCs/>
          <w:sz w:val="24"/>
          <w:szCs w:val="24"/>
        </w:rPr>
        <w:t>Public</w:t>
      </w:r>
      <w:r w:rsidR="00596F1C" w:rsidRPr="008C70CB">
        <w:rPr>
          <w:i/>
          <w:iCs/>
          <w:sz w:val="24"/>
          <w:szCs w:val="24"/>
        </w:rPr>
        <w:t xml:space="preserve"> Schools</w:t>
      </w:r>
      <w:r w:rsidR="00596F1C">
        <w:rPr>
          <w:sz w:val="24"/>
          <w:szCs w:val="24"/>
        </w:rPr>
        <w:t xml:space="preserve"> (BSEA #2004776</w:t>
      </w:r>
      <w:r w:rsidR="00F10217">
        <w:rPr>
          <w:sz w:val="24"/>
          <w:szCs w:val="24"/>
        </w:rPr>
        <w:t>) Further</w:t>
      </w:r>
      <w:r w:rsidR="004A4BBB">
        <w:rPr>
          <w:sz w:val="24"/>
          <w:szCs w:val="24"/>
        </w:rPr>
        <w:t xml:space="preserve"> Parent </w:t>
      </w:r>
      <w:r w:rsidR="004A4BBB">
        <w:rPr>
          <w:sz w:val="24"/>
          <w:szCs w:val="24"/>
        </w:rPr>
        <w:lastRenderedPageBreak/>
        <w:t xml:space="preserve">cites to a First Circuit case which instructs that a Hearing Request should be construed </w:t>
      </w:r>
      <w:r w:rsidR="007E712D">
        <w:rPr>
          <w:sz w:val="24"/>
          <w:szCs w:val="24"/>
        </w:rPr>
        <w:t>liberally</w:t>
      </w:r>
      <w:r w:rsidR="004A4BBB">
        <w:rPr>
          <w:sz w:val="24"/>
          <w:szCs w:val="24"/>
        </w:rPr>
        <w:t xml:space="preserve"> when filed by a pro se litigant.  </w:t>
      </w:r>
    </w:p>
    <w:p w14:paraId="65F6731C" w14:textId="3AAAE837" w:rsidR="00F5760F" w:rsidRDefault="00F5760F" w:rsidP="007D6BFD">
      <w:pPr>
        <w:jc w:val="center"/>
        <w:rPr>
          <w:sz w:val="24"/>
          <w:szCs w:val="24"/>
        </w:rPr>
      </w:pPr>
    </w:p>
    <w:p w14:paraId="4FD76ADE" w14:textId="78B2BDE9" w:rsidR="00B72B5B" w:rsidRPr="00502F4E" w:rsidRDefault="00F5760F" w:rsidP="00B72B5B">
      <w:pPr>
        <w:jc w:val="center"/>
      </w:pPr>
      <w:r w:rsidRPr="00F5760F">
        <w:rPr>
          <w:i/>
          <w:iCs/>
          <w:sz w:val="24"/>
          <w:szCs w:val="24"/>
        </w:rPr>
        <w:t>FACTS</w:t>
      </w:r>
      <w:r w:rsidR="00B72B5B">
        <w:rPr>
          <w:rStyle w:val="FootnoteReference"/>
          <w:i/>
          <w:iCs/>
          <w:sz w:val="24"/>
          <w:szCs w:val="24"/>
        </w:rPr>
        <w:footnoteReference w:id="3"/>
      </w:r>
    </w:p>
    <w:p w14:paraId="499B672A" w14:textId="162BB372" w:rsidR="00F5760F" w:rsidRDefault="00F5760F" w:rsidP="00F5760F">
      <w:pPr>
        <w:jc w:val="center"/>
        <w:rPr>
          <w:i/>
          <w:iCs/>
          <w:sz w:val="24"/>
          <w:szCs w:val="24"/>
        </w:rPr>
      </w:pPr>
    </w:p>
    <w:p w14:paraId="04BFF0A3" w14:textId="66244B2D" w:rsidR="00E43CDD" w:rsidRDefault="005A7D5E" w:rsidP="00E43CDD">
      <w:pPr>
        <w:rPr>
          <w:sz w:val="24"/>
          <w:szCs w:val="24"/>
        </w:rPr>
      </w:pPr>
      <w:r>
        <w:rPr>
          <w:sz w:val="24"/>
          <w:szCs w:val="24"/>
        </w:rPr>
        <w:t xml:space="preserve">The Parties to this matter have a lengthy history of litigation before the BSEA, the Massachusetts Superior Court, the United States District Court of Massachusetts, and </w:t>
      </w:r>
      <w:r w:rsidR="002E7F33">
        <w:rPr>
          <w:sz w:val="24"/>
          <w:szCs w:val="24"/>
        </w:rPr>
        <w:t xml:space="preserve">as noted by Parent’s recent pleadings, </w:t>
      </w:r>
      <w:r>
        <w:rPr>
          <w:sz w:val="24"/>
          <w:szCs w:val="24"/>
        </w:rPr>
        <w:t xml:space="preserve">the First Circuit Court of Appeals. </w:t>
      </w:r>
      <w:r w:rsidR="00872FE1">
        <w:rPr>
          <w:sz w:val="24"/>
          <w:szCs w:val="24"/>
        </w:rPr>
        <w:t>Student is an eighteen-year-old</w:t>
      </w:r>
      <w:r w:rsidR="00CC2EC5">
        <w:rPr>
          <w:sz w:val="24"/>
          <w:szCs w:val="24"/>
        </w:rPr>
        <w:t xml:space="preserve"> student who attended the </w:t>
      </w:r>
      <w:proofErr w:type="spellStart"/>
      <w:r w:rsidR="00CC2EC5">
        <w:rPr>
          <w:sz w:val="24"/>
          <w:szCs w:val="24"/>
        </w:rPr>
        <w:t>Middlebridge</w:t>
      </w:r>
      <w:proofErr w:type="spellEnd"/>
      <w:r w:rsidR="00CC2EC5">
        <w:rPr>
          <w:sz w:val="24"/>
          <w:szCs w:val="24"/>
        </w:rPr>
        <w:t xml:space="preserve"> School in Rhode Island pursuant to a unilateral placement made by Parent in or around </w:t>
      </w:r>
      <w:r w:rsidR="00E40CD3">
        <w:rPr>
          <w:sz w:val="24"/>
          <w:szCs w:val="24"/>
        </w:rPr>
        <w:t>January 2020</w:t>
      </w:r>
      <w:r w:rsidR="00CC2EC5">
        <w:rPr>
          <w:sz w:val="24"/>
          <w:szCs w:val="24"/>
        </w:rPr>
        <w:t xml:space="preserve">.  </w:t>
      </w:r>
      <w:r w:rsidR="0028088A">
        <w:rPr>
          <w:sz w:val="24"/>
          <w:szCs w:val="24"/>
        </w:rPr>
        <w:t>Marshfield</w:t>
      </w:r>
      <w:r w:rsidR="00872FE1">
        <w:rPr>
          <w:sz w:val="24"/>
          <w:szCs w:val="24"/>
        </w:rPr>
        <w:t xml:space="preserve"> was the school system </w:t>
      </w:r>
      <w:r w:rsidR="00A737C3">
        <w:rPr>
          <w:sz w:val="24"/>
          <w:szCs w:val="24"/>
        </w:rPr>
        <w:t>responsible</w:t>
      </w:r>
      <w:r w:rsidR="00872FE1">
        <w:rPr>
          <w:sz w:val="24"/>
          <w:szCs w:val="24"/>
        </w:rPr>
        <w:t xml:space="preserve"> to provide special education services to Student.  </w:t>
      </w:r>
      <w:r w:rsidR="00AB04EE">
        <w:rPr>
          <w:sz w:val="24"/>
          <w:szCs w:val="24"/>
        </w:rPr>
        <w:t xml:space="preserve"> Before</w:t>
      </w:r>
      <w:r w:rsidR="00872FE1">
        <w:rPr>
          <w:sz w:val="24"/>
          <w:szCs w:val="24"/>
        </w:rPr>
        <w:t xml:space="preserve"> </w:t>
      </w:r>
      <w:proofErr w:type="spellStart"/>
      <w:r w:rsidR="00872FE1">
        <w:rPr>
          <w:sz w:val="24"/>
          <w:szCs w:val="24"/>
        </w:rPr>
        <w:t>Middlebridge</w:t>
      </w:r>
      <w:proofErr w:type="spellEnd"/>
      <w:r w:rsidR="00872FE1">
        <w:rPr>
          <w:sz w:val="24"/>
          <w:szCs w:val="24"/>
        </w:rPr>
        <w:t xml:space="preserve"> School, </w:t>
      </w:r>
      <w:r w:rsidR="00210611">
        <w:rPr>
          <w:sz w:val="24"/>
          <w:szCs w:val="24"/>
        </w:rPr>
        <w:t>Student attended</w:t>
      </w:r>
      <w:r w:rsidR="00872FE1">
        <w:rPr>
          <w:sz w:val="24"/>
          <w:szCs w:val="24"/>
        </w:rPr>
        <w:t xml:space="preserve"> </w:t>
      </w:r>
      <w:r w:rsidR="005E086C">
        <w:rPr>
          <w:sz w:val="24"/>
          <w:szCs w:val="24"/>
        </w:rPr>
        <w:t>Marshfield</w:t>
      </w:r>
      <w:r w:rsidR="00872FE1">
        <w:rPr>
          <w:sz w:val="24"/>
          <w:szCs w:val="24"/>
        </w:rPr>
        <w:t xml:space="preserve"> High School, where she began as a ninth grader in September 2018.  </w:t>
      </w:r>
      <w:r w:rsidR="00AB04EE">
        <w:rPr>
          <w:sz w:val="24"/>
          <w:szCs w:val="24"/>
        </w:rPr>
        <w:t xml:space="preserve">In response to a hearing request filed by </w:t>
      </w:r>
      <w:r w:rsidR="0081221F">
        <w:rPr>
          <w:sz w:val="24"/>
          <w:szCs w:val="24"/>
        </w:rPr>
        <w:t>P</w:t>
      </w:r>
      <w:r w:rsidR="00AB04EE">
        <w:rPr>
          <w:sz w:val="24"/>
          <w:szCs w:val="24"/>
        </w:rPr>
        <w:t>arent</w:t>
      </w:r>
      <w:r w:rsidR="00210611">
        <w:rPr>
          <w:sz w:val="24"/>
          <w:szCs w:val="24"/>
        </w:rPr>
        <w:t xml:space="preserve"> on December 27, </w:t>
      </w:r>
      <w:r w:rsidR="00266A36">
        <w:rPr>
          <w:sz w:val="24"/>
          <w:szCs w:val="24"/>
        </w:rPr>
        <w:t>2019, Hearing</w:t>
      </w:r>
      <w:r w:rsidR="009F5FEA">
        <w:rPr>
          <w:sz w:val="24"/>
          <w:szCs w:val="24"/>
        </w:rPr>
        <w:t xml:space="preserve"> Officer Raymond Oliver </w:t>
      </w:r>
      <w:r w:rsidR="00AB04EE">
        <w:rPr>
          <w:sz w:val="24"/>
          <w:szCs w:val="24"/>
        </w:rPr>
        <w:t>issued</w:t>
      </w:r>
      <w:r w:rsidR="009F5FEA">
        <w:rPr>
          <w:sz w:val="24"/>
          <w:szCs w:val="24"/>
        </w:rPr>
        <w:t xml:space="preserve"> a </w:t>
      </w:r>
      <w:r w:rsidR="0081221F">
        <w:rPr>
          <w:sz w:val="24"/>
          <w:szCs w:val="24"/>
        </w:rPr>
        <w:t>decision, on</w:t>
      </w:r>
      <w:r w:rsidR="00CA5485">
        <w:rPr>
          <w:sz w:val="24"/>
          <w:szCs w:val="24"/>
        </w:rPr>
        <w:t xml:space="preserve"> September 4, 2020.  The decision found that the IEP</w:t>
      </w:r>
      <w:r w:rsidR="00E21B7B">
        <w:rPr>
          <w:sz w:val="24"/>
          <w:szCs w:val="24"/>
        </w:rPr>
        <w:t>s</w:t>
      </w:r>
      <w:r w:rsidR="00CA5485">
        <w:rPr>
          <w:sz w:val="24"/>
          <w:szCs w:val="24"/>
        </w:rPr>
        <w:t xml:space="preserve"> proposed by Marshfield in January 2020 and February 2020 were reasonably calculated to provide </w:t>
      </w:r>
      <w:r w:rsidR="00AB04EE">
        <w:rPr>
          <w:sz w:val="24"/>
          <w:szCs w:val="24"/>
        </w:rPr>
        <w:t>Student</w:t>
      </w:r>
      <w:r w:rsidR="00CA5485">
        <w:rPr>
          <w:sz w:val="24"/>
          <w:szCs w:val="24"/>
        </w:rPr>
        <w:t xml:space="preserve"> with a free appropriate public education in the least restrictive environment and</w:t>
      </w:r>
      <w:r w:rsidR="00AB04EE">
        <w:rPr>
          <w:sz w:val="24"/>
          <w:szCs w:val="24"/>
        </w:rPr>
        <w:t xml:space="preserve"> that</w:t>
      </w:r>
      <w:r w:rsidR="00CA5485">
        <w:rPr>
          <w:sz w:val="24"/>
          <w:szCs w:val="24"/>
        </w:rPr>
        <w:t xml:space="preserve"> Marshfield was not financially </w:t>
      </w:r>
      <w:r w:rsidR="00940208">
        <w:rPr>
          <w:sz w:val="24"/>
          <w:szCs w:val="24"/>
        </w:rPr>
        <w:t>responsible</w:t>
      </w:r>
      <w:r w:rsidR="00CA5485">
        <w:rPr>
          <w:sz w:val="24"/>
          <w:szCs w:val="24"/>
        </w:rPr>
        <w:t xml:space="preserve"> to reimburse Parent for placement at </w:t>
      </w:r>
      <w:proofErr w:type="spellStart"/>
      <w:r w:rsidR="00CA5485">
        <w:rPr>
          <w:sz w:val="24"/>
          <w:szCs w:val="24"/>
        </w:rPr>
        <w:t>Middlebridge</w:t>
      </w:r>
      <w:proofErr w:type="spellEnd"/>
      <w:r w:rsidR="00CA5485">
        <w:rPr>
          <w:sz w:val="24"/>
          <w:szCs w:val="24"/>
        </w:rPr>
        <w:t xml:space="preserve">.  It further held that </w:t>
      </w:r>
      <w:r w:rsidR="00940208">
        <w:rPr>
          <w:sz w:val="24"/>
          <w:szCs w:val="24"/>
        </w:rPr>
        <w:t xml:space="preserve">Marshfield did not owe any compensatory services to Student.  </w:t>
      </w:r>
      <w:r w:rsidR="00AB04EE">
        <w:rPr>
          <w:sz w:val="24"/>
          <w:szCs w:val="24"/>
        </w:rPr>
        <w:t>In addition, t</w:t>
      </w:r>
      <w:r w:rsidR="005C0968">
        <w:rPr>
          <w:sz w:val="24"/>
          <w:szCs w:val="24"/>
        </w:rPr>
        <w:t xml:space="preserve">he </w:t>
      </w:r>
      <w:r w:rsidR="00266A36">
        <w:rPr>
          <w:sz w:val="24"/>
          <w:szCs w:val="24"/>
        </w:rPr>
        <w:t>Decision held</w:t>
      </w:r>
      <w:r w:rsidR="005C0968">
        <w:rPr>
          <w:sz w:val="24"/>
          <w:szCs w:val="24"/>
        </w:rPr>
        <w:t xml:space="preserve"> that Marshfield’s proposed January 2020 IEP</w:t>
      </w:r>
      <w:r w:rsidR="00AB04EE">
        <w:rPr>
          <w:sz w:val="24"/>
          <w:szCs w:val="24"/>
        </w:rPr>
        <w:t xml:space="preserve">, </w:t>
      </w:r>
      <w:r w:rsidR="005C0968">
        <w:rPr>
          <w:sz w:val="24"/>
          <w:szCs w:val="24"/>
        </w:rPr>
        <w:t>proposing placement at a neighboring school system “would be appropriate to address her</w:t>
      </w:r>
      <w:r w:rsidR="00AB04EE">
        <w:rPr>
          <w:sz w:val="24"/>
          <w:szCs w:val="24"/>
        </w:rPr>
        <w:t xml:space="preserve"> [Student’s]</w:t>
      </w:r>
      <w:r w:rsidR="005C0968">
        <w:rPr>
          <w:sz w:val="24"/>
          <w:szCs w:val="24"/>
        </w:rPr>
        <w:t xml:space="preserve"> special education needs so as to provider FAPE in the LRE.”  See </w:t>
      </w:r>
      <w:r w:rsidR="005C0968" w:rsidRPr="005C0968">
        <w:rPr>
          <w:i/>
          <w:iCs/>
          <w:sz w:val="24"/>
          <w:szCs w:val="24"/>
        </w:rPr>
        <w:t>In re: Ruth v. Marshfield Public Schools</w:t>
      </w:r>
      <w:r w:rsidR="005C0968">
        <w:rPr>
          <w:sz w:val="24"/>
          <w:szCs w:val="24"/>
        </w:rPr>
        <w:t xml:space="preserve">, BSEA #2205814.   </w:t>
      </w:r>
    </w:p>
    <w:p w14:paraId="6E0BA208" w14:textId="4F540C0F" w:rsidR="003C71FB" w:rsidRDefault="003C71FB" w:rsidP="00E43CDD">
      <w:pPr>
        <w:rPr>
          <w:sz w:val="24"/>
          <w:szCs w:val="24"/>
        </w:rPr>
      </w:pPr>
    </w:p>
    <w:p w14:paraId="11A4B148" w14:textId="02A5DD04" w:rsidR="001E52D6" w:rsidRDefault="003C71FB" w:rsidP="00E43CDD">
      <w:pPr>
        <w:rPr>
          <w:sz w:val="24"/>
          <w:szCs w:val="24"/>
        </w:rPr>
      </w:pPr>
      <w:r>
        <w:rPr>
          <w:sz w:val="24"/>
          <w:szCs w:val="24"/>
        </w:rPr>
        <w:t xml:space="preserve">Parent appealed the decision </w:t>
      </w:r>
      <w:r w:rsidR="00AB04EE">
        <w:rPr>
          <w:sz w:val="24"/>
          <w:szCs w:val="24"/>
        </w:rPr>
        <w:t xml:space="preserve">to </w:t>
      </w:r>
      <w:r w:rsidR="00210611">
        <w:rPr>
          <w:sz w:val="24"/>
          <w:szCs w:val="24"/>
        </w:rPr>
        <w:t>the Massachusetts</w:t>
      </w:r>
      <w:r>
        <w:rPr>
          <w:sz w:val="24"/>
          <w:szCs w:val="24"/>
        </w:rPr>
        <w:t xml:space="preserve"> Superior Court on December 3, 2020.  Marshfield removed the case to federal court on December 21, 2020.  On February 8, 2022, the U.S. District Court granted Marshfield’s Motion for Summary Judgment holding that Marshfield did not engage in any FAPE violation and the Parent failed to show entitlement to compensatory services.  (See Exhibit A, C.F. v. Scolaro, et. Al, No. 20-12259-LTS (D. Mass. Feb</w:t>
      </w:r>
      <w:r w:rsidR="00FA6636">
        <w:rPr>
          <w:sz w:val="24"/>
          <w:szCs w:val="24"/>
        </w:rPr>
        <w:t>. 9, 2022.)  The Parent also raised claims of discrimination, hostility and retaliation by the District before the U.S. District Court.</w:t>
      </w:r>
      <w:r w:rsidR="001E52D6">
        <w:rPr>
          <w:sz w:val="24"/>
          <w:szCs w:val="24"/>
        </w:rPr>
        <w:t xml:space="preserve">  The Court declined to remand the </w:t>
      </w:r>
      <w:proofErr w:type="gramStart"/>
      <w:r w:rsidR="001E52D6">
        <w:rPr>
          <w:sz w:val="24"/>
          <w:szCs w:val="24"/>
        </w:rPr>
        <w:t>aforementioned issues</w:t>
      </w:r>
      <w:proofErr w:type="gramEnd"/>
      <w:r w:rsidR="001E52D6">
        <w:rPr>
          <w:sz w:val="24"/>
          <w:szCs w:val="24"/>
        </w:rPr>
        <w:t xml:space="preserve"> to the BSEA, stating that Mother had such claims pending in this case </w:t>
      </w:r>
      <w:r w:rsidR="006A299F">
        <w:rPr>
          <w:sz w:val="24"/>
          <w:szCs w:val="24"/>
        </w:rPr>
        <w:t xml:space="preserve">before the court </w:t>
      </w:r>
      <w:r w:rsidR="001E52D6">
        <w:rPr>
          <w:sz w:val="24"/>
          <w:szCs w:val="24"/>
        </w:rPr>
        <w:t xml:space="preserve">that are not addressed in the BSEA decision and are not dependent upon the resolution by the BSEA.  </w:t>
      </w:r>
    </w:p>
    <w:p w14:paraId="45DB69C5" w14:textId="0D7571C0" w:rsidR="00397E40" w:rsidRDefault="00397E40" w:rsidP="00E43CDD">
      <w:pPr>
        <w:rPr>
          <w:sz w:val="24"/>
          <w:szCs w:val="24"/>
        </w:rPr>
      </w:pPr>
    </w:p>
    <w:p w14:paraId="40B0755D" w14:textId="128304F3" w:rsidR="009F037A" w:rsidRDefault="00397E40" w:rsidP="00E43CDD">
      <w:pPr>
        <w:rPr>
          <w:sz w:val="24"/>
          <w:szCs w:val="24"/>
        </w:rPr>
      </w:pPr>
      <w:r>
        <w:rPr>
          <w:sz w:val="24"/>
          <w:szCs w:val="24"/>
        </w:rPr>
        <w:t xml:space="preserve">On April 9, 2022, Parent filed a Request for Hearing with the BSEA.  The District filed a Motion to Dismiss and Partial Motion for Summary Judgment in response.  On May 13, 2022, Hearing Officer Alina Kantor Nir granted in part Marshfield’s Motion to Dismiss and partial Motion for Summary Judgment, dismissing Parent’s claims of discrimination, hostility, and retaliation as well as claims regarding failure to provide student records.  The claims were dismissed based on lack of subject matter jurisdiction </w:t>
      </w:r>
      <w:r w:rsidR="00210611">
        <w:rPr>
          <w:sz w:val="24"/>
          <w:szCs w:val="24"/>
        </w:rPr>
        <w:t>and on</w:t>
      </w:r>
      <w:r>
        <w:rPr>
          <w:sz w:val="24"/>
          <w:szCs w:val="24"/>
        </w:rPr>
        <w:t xml:space="preserve"> principles of res</w:t>
      </w:r>
      <w:r w:rsidR="00D07939">
        <w:rPr>
          <w:sz w:val="24"/>
          <w:szCs w:val="24"/>
        </w:rPr>
        <w:t xml:space="preserve"> </w:t>
      </w:r>
      <w:r>
        <w:rPr>
          <w:sz w:val="24"/>
          <w:szCs w:val="24"/>
        </w:rPr>
        <w:t xml:space="preserve">judicata and collateral estoppel.  (See Exhibit B, </w:t>
      </w:r>
      <w:r w:rsidRPr="003F6702">
        <w:rPr>
          <w:i/>
          <w:iCs/>
          <w:sz w:val="24"/>
          <w:szCs w:val="24"/>
        </w:rPr>
        <w:t>In Re: Student v. Marshfield Public Schools</w:t>
      </w:r>
      <w:r>
        <w:rPr>
          <w:sz w:val="24"/>
          <w:szCs w:val="24"/>
        </w:rPr>
        <w:t>, BSEA #2209242 (</w:t>
      </w:r>
      <w:r w:rsidR="00732C61">
        <w:rPr>
          <w:sz w:val="24"/>
          <w:szCs w:val="24"/>
        </w:rPr>
        <w:t>Ka</w:t>
      </w:r>
      <w:r w:rsidR="00AB04EE">
        <w:rPr>
          <w:sz w:val="24"/>
          <w:szCs w:val="24"/>
        </w:rPr>
        <w:t>nt</w:t>
      </w:r>
      <w:r w:rsidR="00732C61">
        <w:rPr>
          <w:sz w:val="24"/>
          <w:szCs w:val="24"/>
        </w:rPr>
        <w:t xml:space="preserve">or Nir, 2022).  </w:t>
      </w:r>
      <w:r w:rsidR="00D07939">
        <w:rPr>
          <w:sz w:val="24"/>
          <w:szCs w:val="24"/>
        </w:rPr>
        <w:t xml:space="preserve">Parent’s Hearing Request further raised claims that allegedly occurred from 2018 to 2020 </w:t>
      </w:r>
      <w:r w:rsidR="00AB04EE">
        <w:rPr>
          <w:sz w:val="24"/>
          <w:szCs w:val="24"/>
        </w:rPr>
        <w:t>involving</w:t>
      </w:r>
      <w:r w:rsidR="00D07939">
        <w:rPr>
          <w:sz w:val="24"/>
          <w:szCs w:val="24"/>
        </w:rPr>
        <w:t xml:space="preserve"> fraud</w:t>
      </w:r>
      <w:r w:rsidR="00402654">
        <w:rPr>
          <w:sz w:val="24"/>
          <w:szCs w:val="24"/>
        </w:rPr>
        <w:t>,</w:t>
      </w:r>
      <w:r w:rsidR="00D07939">
        <w:rPr>
          <w:sz w:val="24"/>
          <w:szCs w:val="24"/>
        </w:rPr>
        <w:t xml:space="preserve"> discrimination retaliation, concealment of evidence, and denial of FAPE in the LRE for the period from January 7, 2020 to January 6, 2021.  Those claims were dismissed </w:t>
      </w:r>
      <w:proofErr w:type="gramStart"/>
      <w:r w:rsidR="00D07939">
        <w:rPr>
          <w:sz w:val="24"/>
          <w:szCs w:val="24"/>
        </w:rPr>
        <w:t>on</w:t>
      </w:r>
      <w:r w:rsidR="00266A36">
        <w:rPr>
          <w:sz w:val="24"/>
          <w:szCs w:val="24"/>
        </w:rPr>
        <w:t xml:space="preserve"> </w:t>
      </w:r>
      <w:r w:rsidR="00D07939">
        <w:rPr>
          <w:sz w:val="24"/>
          <w:szCs w:val="24"/>
        </w:rPr>
        <w:t>the basis of</w:t>
      </w:r>
      <w:proofErr w:type="gramEnd"/>
      <w:r w:rsidR="00D07939">
        <w:rPr>
          <w:sz w:val="24"/>
          <w:szCs w:val="24"/>
        </w:rPr>
        <w:t xml:space="preserve"> res judicata collateral</w:t>
      </w:r>
      <w:r w:rsidR="00AB04EE">
        <w:rPr>
          <w:sz w:val="24"/>
          <w:szCs w:val="24"/>
        </w:rPr>
        <w:t>,</w:t>
      </w:r>
      <w:r w:rsidR="00D07939">
        <w:rPr>
          <w:sz w:val="24"/>
          <w:szCs w:val="24"/>
        </w:rPr>
        <w:t xml:space="preserve"> estoppel, and statute of limitations.  </w:t>
      </w:r>
      <w:r w:rsidR="00C1290D">
        <w:rPr>
          <w:sz w:val="24"/>
          <w:szCs w:val="24"/>
        </w:rPr>
        <w:t xml:space="preserve">On September 13, 2022, Parent withdrew the remaining claims from her April 9, 2022 Request for Hearing.  </w:t>
      </w:r>
    </w:p>
    <w:p w14:paraId="47528870" w14:textId="77777777" w:rsidR="009F037A" w:rsidRDefault="009F037A" w:rsidP="00E43CDD">
      <w:pPr>
        <w:rPr>
          <w:sz w:val="24"/>
          <w:szCs w:val="24"/>
        </w:rPr>
      </w:pPr>
    </w:p>
    <w:p w14:paraId="63FA7DDE" w14:textId="1D1F305C" w:rsidR="00A542A2" w:rsidRPr="00E43CDD" w:rsidRDefault="009F037A" w:rsidP="00E43CDD">
      <w:pPr>
        <w:rPr>
          <w:sz w:val="24"/>
          <w:szCs w:val="24"/>
        </w:rPr>
      </w:pPr>
      <w:r>
        <w:rPr>
          <w:sz w:val="24"/>
          <w:szCs w:val="24"/>
        </w:rPr>
        <w:lastRenderedPageBreak/>
        <w:t xml:space="preserve">On January 6, 2023, Parent filed the instant case.  </w:t>
      </w:r>
      <w:r w:rsidR="00EF6AC7">
        <w:rPr>
          <w:sz w:val="24"/>
          <w:szCs w:val="24"/>
        </w:rPr>
        <w:t xml:space="preserve">Parent alleged procedural violations regarding the January 6 2021 Team meeting including providing inadequate notice to Parent and Student; the attendance and participation of district counsel at the meeting; </w:t>
      </w:r>
      <w:r w:rsidR="00402654">
        <w:rPr>
          <w:sz w:val="24"/>
          <w:szCs w:val="24"/>
        </w:rPr>
        <w:t xml:space="preserve">and </w:t>
      </w:r>
      <w:r w:rsidR="00EF6AC7">
        <w:rPr>
          <w:sz w:val="24"/>
          <w:szCs w:val="24"/>
        </w:rPr>
        <w:t xml:space="preserve">denial of Parent’s/Student’s right to participate and provide input at the meeting.  The Parent alleged the proposed IEP was not reasonably calculated to allow Student to make effective progress; </w:t>
      </w:r>
      <w:r w:rsidR="009D2237">
        <w:rPr>
          <w:sz w:val="24"/>
          <w:szCs w:val="24"/>
        </w:rPr>
        <w:t xml:space="preserve">and </w:t>
      </w:r>
      <w:r w:rsidR="00EF6AC7">
        <w:rPr>
          <w:sz w:val="24"/>
          <w:szCs w:val="24"/>
        </w:rPr>
        <w:t>the IEP did not identify the least restrictive environment</w:t>
      </w:r>
      <w:r w:rsidR="009D2237">
        <w:rPr>
          <w:sz w:val="24"/>
          <w:szCs w:val="24"/>
        </w:rPr>
        <w:t>. Parent alleged “the prior/proposed IEP fails to address my child’s Special Education (sic) needs in a private school setting and/or in a Covid-19 remote/hybrid education setting.”  Parent alleged Marshfield “failed to adequately and compreh</w:t>
      </w:r>
      <w:r w:rsidR="00361734">
        <w:rPr>
          <w:sz w:val="24"/>
          <w:szCs w:val="24"/>
        </w:rPr>
        <w:t>en</w:t>
      </w:r>
      <w:r w:rsidR="009D2237">
        <w:rPr>
          <w:sz w:val="24"/>
          <w:szCs w:val="24"/>
        </w:rPr>
        <w:t xml:space="preserve">sively address investigate and address its own direct and indirect disability-related discrimination and retaliation (including but not limited to </w:t>
      </w:r>
      <w:r w:rsidR="00AB04EE">
        <w:rPr>
          <w:sz w:val="24"/>
          <w:szCs w:val="24"/>
        </w:rPr>
        <w:t>Bullying</w:t>
      </w:r>
      <w:r w:rsidR="009D2237">
        <w:rPr>
          <w:sz w:val="24"/>
          <w:szCs w:val="24"/>
        </w:rPr>
        <w:t>/Cyber-bullying) by its Staff against my child dating back to 12/2018 which has created a hostile learning environment for my child (directly and indirectly).”</w:t>
      </w:r>
      <w:r w:rsidR="00413B00">
        <w:rPr>
          <w:sz w:val="24"/>
          <w:szCs w:val="24"/>
        </w:rPr>
        <w:t xml:space="preserve">  Parent </w:t>
      </w:r>
      <w:r w:rsidR="006B3FF9">
        <w:rPr>
          <w:sz w:val="24"/>
          <w:szCs w:val="24"/>
        </w:rPr>
        <w:t xml:space="preserve">further alleged that Marshfield never invited out-of-district public school personnel to attend Student’s Team meetings.  She alleged that Marshfield cut and pasted the prior 2020-2021 IEP into the 2021-2022 IEP without Parent’s participation.  Parent </w:t>
      </w:r>
      <w:r w:rsidR="00AB04EE">
        <w:rPr>
          <w:sz w:val="24"/>
          <w:szCs w:val="24"/>
        </w:rPr>
        <w:t xml:space="preserve">additionally claimed </w:t>
      </w:r>
      <w:r w:rsidR="00210611">
        <w:rPr>
          <w:sz w:val="24"/>
          <w:szCs w:val="24"/>
        </w:rPr>
        <w:t>that Marshfield</w:t>
      </w:r>
      <w:r w:rsidR="006B3FF9">
        <w:rPr>
          <w:sz w:val="24"/>
          <w:szCs w:val="24"/>
        </w:rPr>
        <w:t xml:space="preserve"> refused to address </w:t>
      </w:r>
      <w:r w:rsidR="00AB04EE">
        <w:rPr>
          <w:sz w:val="24"/>
          <w:szCs w:val="24"/>
        </w:rPr>
        <w:t>her</w:t>
      </w:r>
      <w:r w:rsidR="006B3FF9">
        <w:rPr>
          <w:sz w:val="24"/>
          <w:szCs w:val="24"/>
        </w:rPr>
        <w:t xml:space="preserve"> questions regarding whether Marshfield Public Schools is a safe, non-hostile, non-</w:t>
      </w:r>
      <w:r w:rsidR="0012332F">
        <w:rPr>
          <w:sz w:val="24"/>
          <w:szCs w:val="24"/>
        </w:rPr>
        <w:t>retaliatory</w:t>
      </w:r>
      <w:r w:rsidR="006B3FF9">
        <w:rPr>
          <w:sz w:val="24"/>
          <w:szCs w:val="24"/>
        </w:rPr>
        <w:t xml:space="preserve"> pendency placement and/or </w:t>
      </w:r>
      <w:r w:rsidR="008E374D">
        <w:rPr>
          <w:sz w:val="24"/>
          <w:szCs w:val="24"/>
        </w:rPr>
        <w:t>prospective</w:t>
      </w:r>
      <w:r w:rsidR="006B3FF9">
        <w:rPr>
          <w:sz w:val="24"/>
          <w:szCs w:val="24"/>
        </w:rPr>
        <w:t xml:space="preserve"> placement for Student.  She claimed that Marshfield has not allowed Parent timely access to student records and that Marshfield issues documents to Parent “in a method that Parent </w:t>
      </w:r>
      <w:r w:rsidR="008E374D">
        <w:rPr>
          <w:sz w:val="24"/>
          <w:szCs w:val="24"/>
        </w:rPr>
        <w:t>cannot</w:t>
      </w:r>
      <w:r w:rsidR="006B3FF9">
        <w:rPr>
          <w:sz w:val="24"/>
          <w:szCs w:val="24"/>
        </w:rPr>
        <w:t xml:space="preserve"> access</w:t>
      </w:r>
      <w:r w:rsidR="008E374D">
        <w:rPr>
          <w:sz w:val="24"/>
          <w:szCs w:val="24"/>
        </w:rPr>
        <w:t xml:space="preserve"> -- </w:t>
      </w:r>
      <w:proofErr w:type="spellStart"/>
      <w:r w:rsidR="006B3FF9">
        <w:rPr>
          <w:sz w:val="24"/>
          <w:szCs w:val="24"/>
        </w:rPr>
        <w:t>Docusign</w:t>
      </w:r>
      <w:proofErr w:type="spellEnd"/>
      <w:r w:rsidR="006B3FF9">
        <w:rPr>
          <w:sz w:val="24"/>
          <w:szCs w:val="24"/>
        </w:rPr>
        <w:t xml:space="preserve">.  Parent alleged that an IEP </w:t>
      </w:r>
      <w:r w:rsidR="00485C84">
        <w:rPr>
          <w:sz w:val="24"/>
          <w:szCs w:val="24"/>
        </w:rPr>
        <w:t xml:space="preserve">proposed on or </w:t>
      </w:r>
      <w:r w:rsidR="008E374D">
        <w:rPr>
          <w:sz w:val="24"/>
          <w:szCs w:val="24"/>
        </w:rPr>
        <w:t>about</w:t>
      </w:r>
      <w:r w:rsidR="00485C84">
        <w:rPr>
          <w:sz w:val="24"/>
          <w:szCs w:val="24"/>
        </w:rPr>
        <w:t xml:space="preserve"> December 2021 or January 2022 was not reasonably calculated to meet Student’s needs.  She alleged that Marshfield did not schedule </w:t>
      </w:r>
      <w:r w:rsidR="00892FB8">
        <w:rPr>
          <w:sz w:val="24"/>
          <w:szCs w:val="24"/>
        </w:rPr>
        <w:t>a Team</w:t>
      </w:r>
      <w:r w:rsidR="00485C84">
        <w:rPr>
          <w:sz w:val="24"/>
          <w:szCs w:val="24"/>
        </w:rPr>
        <w:t xml:space="preserve"> meeting at a mutually agreeable time, did not invite participants from another public school and terminated that meeting instead of answering Parent’s questions about Marshfield had done to ensure the educational environment at Marshfield was non-discriminatory, non-hostile, and non-retaliatory.  She alleged that the 2022 IEP was cut and pasted from the prior 2020 IEP.  Parent claimed that she should be reimbursed for the costs of unilaterally placing Student at the </w:t>
      </w:r>
      <w:proofErr w:type="spellStart"/>
      <w:r w:rsidR="00485C84">
        <w:rPr>
          <w:sz w:val="24"/>
          <w:szCs w:val="24"/>
        </w:rPr>
        <w:t>Middlebridge</w:t>
      </w:r>
      <w:proofErr w:type="spellEnd"/>
      <w:r w:rsidR="00485C84">
        <w:rPr>
          <w:sz w:val="24"/>
          <w:szCs w:val="24"/>
        </w:rPr>
        <w:t xml:space="preserve"> School.  </w:t>
      </w:r>
      <w:r w:rsidR="00F95AC6">
        <w:rPr>
          <w:sz w:val="24"/>
          <w:szCs w:val="24"/>
        </w:rPr>
        <w:t>Parent alleged that Stude</w:t>
      </w:r>
      <w:r w:rsidR="007B7999">
        <w:rPr>
          <w:sz w:val="24"/>
          <w:szCs w:val="24"/>
        </w:rPr>
        <w:t>nt “has not satisfied Massachusetts/DESE requirements (including but not limited to the transition requirements) for secondary education and special education.</w:t>
      </w:r>
      <w:r w:rsidR="00B97931">
        <w:rPr>
          <w:sz w:val="24"/>
          <w:szCs w:val="24"/>
        </w:rPr>
        <w:t>”</w:t>
      </w:r>
      <w:r w:rsidR="007B7999">
        <w:rPr>
          <w:sz w:val="24"/>
          <w:szCs w:val="24"/>
        </w:rPr>
        <w:t xml:space="preserve">  </w:t>
      </w:r>
    </w:p>
    <w:p w14:paraId="135EEB11" w14:textId="77777777" w:rsidR="00AB04EE" w:rsidRDefault="00AB04EE" w:rsidP="000377FE">
      <w:pPr>
        <w:jc w:val="center"/>
        <w:rPr>
          <w:i/>
          <w:iCs/>
          <w:sz w:val="24"/>
          <w:szCs w:val="24"/>
        </w:rPr>
      </w:pPr>
    </w:p>
    <w:p w14:paraId="216AC725" w14:textId="77777777" w:rsidR="00AB04EE" w:rsidRDefault="00AB04EE" w:rsidP="000377FE">
      <w:pPr>
        <w:jc w:val="center"/>
        <w:rPr>
          <w:i/>
          <w:iCs/>
          <w:sz w:val="24"/>
          <w:szCs w:val="24"/>
        </w:rPr>
      </w:pPr>
    </w:p>
    <w:p w14:paraId="687169AE" w14:textId="2B1D62F9" w:rsidR="001945AA" w:rsidRPr="00B91315" w:rsidRDefault="001945AA" w:rsidP="000377FE">
      <w:pPr>
        <w:jc w:val="center"/>
        <w:rPr>
          <w:i/>
          <w:iCs/>
          <w:sz w:val="24"/>
          <w:szCs w:val="24"/>
        </w:rPr>
      </w:pPr>
      <w:r w:rsidRPr="00B91315">
        <w:rPr>
          <w:i/>
          <w:iCs/>
          <w:sz w:val="24"/>
          <w:szCs w:val="24"/>
        </w:rPr>
        <w:t>LEGAL STANDARD</w:t>
      </w:r>
    </w:p>
    <w:p w14:paraId="61F02947" w14:textId="77777777" w:rsidR="00F82291" w:rsidRDefault="00F82291" w:rsidP="000377FE">
      <w:pPr>
        <w:jc w:val="center"/>
        <w:rPr>
          <w:sz w:val="24"/>
          <w:szCs w:val="24"/>
        </w:rPr>
      </w:pPr>
    </w:p>
    <w:p w14:paraId="556C664D" w14:textId="1843156F" w:rsidR="00606204" w:rsidRPr="00F82291" w:rsidRDefault="00EB325C" w:rsidP="00EB325C">
      <w:pPr>
        <w:rPr>
          <w:sz w:val="24"/>
          <w:szCs w:val="24"/>
        </w:rPr>
      </w:pPr>
      <w:r w:rsidRPr="00F82291">
        <w:rPr>
          <w:sz w:val="24"/>
          <w:szCs w:val="24"/>
        </w:rPr>
        <w:t xml:space="preserve">Under the </w:t>
      </w:r>
      <w:r w:rsidRPr="00F82291">
        <w:rPr>
          <w:i/>
          <w:iCs/>
          <w:sz w:val="24"/>
          <w:szCs w:val="24"/>
        </w:rPr>
        <w:t>Standard Adjudicatory Rules of Practice and Procedure</w:t>
      </w:r>
      <w:r w:rsidRPr="00F82291">
        <w:rPr>
          <w:sz w:val="24"/>
          <w:szCs w:val="24"/>
        </w:rPr>
        <w:t xml:space="preserve">, 801 CMR 1.01(7)(g)(3) and Rule 17B of the BSEA </w:t>
      </w:r>
      <w:r w:rsidRPr="00F82291">
        <w:rPr>
          <w:i/>
          <w:iCs/>
          <w:sz w:val="24"/>
          <w:szCs w:val="24"/>
        </w:rPr>
        <w:t>Hearing Rules for Special Education Appeals</w:t>
      </w:r>
      <w:r w:rsidRPr="00F82291">
        <w:rPr>
          <w:sz w:val="24"/>
          <w:szCs w:val="24"/>
        </w:rPr>
        <w:t>, a BSEA hearing officer may allow a motion to dismiss if the party requesting the appeal fails to state a claim on which relief can be granted.</w:t>
      </w:r>
      <w:r w:rsidR="002F3D80">
        <w:rPr>
          <w:rStyle w:val="FootnoteReference"/>
          <w:sz w:val="24"/>
          <w:szCs w:val="24"/>
        </w:rPr>
        <w:footnoteReference w:id="4"/>
      </w:r>
      <w:r w:rsidRPr="00F82291">
        <w:rPr>
          <w:sz w:val="24"/>
          <w:szCs w:val="24"/>
        </w:rPr>
        <w:t xml:space="preserve">  Since this rule is analogous to Rule 12(b)(6) of the Federal and Massachusetts Rules of Civil Procedure, BSEA hearing officers have generally used the same standards as the courts in deciding motions to dismiss for failure to state a claim.</w:t>
      </w:r>
      <w:r w:rsidRPr="00F82291">
        <w:rPr>
          <w:rStyle w:val="FootnoteReference"/>
          <w:rFonts w:eastAsiaTheme="majorEastAsia"/>
          <w:sz w:val="24"/>
          <w:szCs w:val="24"/>
        </w:rPr>
        <w:footnoteReference w:id="5"/>
      </w:r>
      <w:r w:rsidRPr="00F82291">
        <w:rPr>
          <w:sz w:val="24"/>
          <w:szCs w:val="24"/>
        </w:rPr>
        <w:t xml:space="preserve"> Specifically, a motion to dismiss should be granted only if the party filing the appeal can prove no set of facts in support of his or her claim that would entitle him or her to relief that the BSEA has authority to order.  That is, a hearing officer may dismiss a case if he or she cannot grant relief under either </w:t>
      </w:r>
      <w:r w:rsidRPr="00F82291">
        <w:rPr>
          <w:sz w:val="24"/>
          <w:szCs w:val="24"/>
        </w:rPr>
        <w:lastRenderedPageBreak/>
        <w:t xml:space="preserve">the federal or state special education statutes or the relevant portions of Section 504 of the Rehabilitation Act, after considering as true all allegations made by the party opposing dismissal and drawing all reasonable inferences in his/her favor. See </w:t>
      </w:r>
      <w:r w:rsidRPr="00F82291">
        <w:rPr>
          <w:i/>
          <w:sz w:val="24"/>
          <w:szCs w:val="24"/>
        </w:rPr>
        <w:t>Cal</w:t>
      </w:r>
      <w:r w:rsidR="001A2D32">
        <w:rPr>
          <w:i/>
          <w:sz w:val="24"/>
          <w:szCs w:val="24"/>
        </w:rPr>
        <w:t>d</w:t>
      </w:r>
      <w:r w:rsidRPr="00F82291">
        <w:rPr>
          <w:i/>
          <w:sz w:val="24"/>
          <w:szCs w:val="24"/>
        </w:rPr>
        <w:t>eron-</w:t>
      </w:r>
      <w:r w:rsidRPr="00F82291">
        <w:rPr>
          <w:sz w:val="24"/>
          <w:szCs w:val="24"/>
        </w:rPr>
        <w:t xml:space="preserve">Ortiz v. </w:t>
      </w:r>
      <w:proofErr w:type="spellStart"/>
      <w:r w:rsidRPr="001F696C">
        <w:rPr>
          <w:i/>
          <w:sz w:val="24"/>
          <w:szCs w:val="24"/>
        </w:rPr>
        <w:t>LaBoy-Alverado</w:t>
      </w:r>
      <w:proofErr w:type="spellEnd"/>
      <w:r w:rsidRPr="00F82291">
        <w:rPr>
          <w:sz w:val="24"/>
          <w:szCs w:val="24"/>
        </w:rPr>
        <w:t>, 300 F.3d 60 (1</w:t>
      </w:r>
      <w:r w:rsidRPr="00F82291">
        <w:rPr>
          <w:sz w:val="24"/>
          <w:szCs w:val="24"/>
          <w:vertAlign w:val="superscript"/>
        </w:rPr>
        <w:t>st</w:t>
      </w:r>
      <w:r w:rsidRPr="00F82291">
        <w:rPr>
          <w:sz w:val="24"/>
          <w:szCs w:val="24"/>
        </w:rPr>
        <w:t xml:space="preserve"> Cir. 2002);</w:t>
      </w:r>
      <w:r w:rsidRPr="00F82291">
        <w:rPr>
          <w:rStyle w:val="FootnoteReference"/>
          <w:rFonts w:eastAsiaTheme="majorEastAsia"/>
          <w:sz w:val="24"/>
          <w:szCs w:val="24"/>
        </w:rPr>
        <w:footnoteReference w:id="6"/>
      </w:r>
      <w:r w:rsidRPr="00F82291">
        <w:rPr>
          <w:sz w:val="24"/>
          <w:szCs w:val="24"/>
        </w:rPr>
        <w:t xml:space="preserve"> </w:t>
      </w:r>
      <w:r w:rsidRPr="001F696C">
        <w:rPr>
          <w:i/>
          <w:sz w:val="24"/>
          <w:szCs w:val="24"/>
        </w:rPr>
        <w:t>Norfolk County Agric</w:t>
      </w:r>
      <w:r w:rsidR="001F696C" w:rsidRPr="001F696C">
        <w:rPr>
          <w:i/>
          <w:sz w:val="24"/>
          <w:szCs w:val="24"/>
        </w:rPr>
        <w:t>ultural School</w:t>
      </w:r>
      <w:r w:rsidR="001F696C">
        <w:rPr>
          <w:i/>
          <w:sz w:val="24"/>
          <w:szCs w:val="24"/>
        </w:rPr>
        <w:t xml:space="preserve">, </w:t>
      </w:r>
      <w:r w:rsidR="001F696C" w:rsidRPr="001F696C">
        <w:rPr>
          <w:sz w:val="24"/>
          <w:szCs w:val="24"/>
        </w:rPr>
        <w:t>45 IDELR 26</w:t>
      </w:r>
      <w:r w:rsidR="001F696C">
        <w:rPr>
          <w:i/>
          <w:sz w:val="24"/>
          <w:szCs w:val="24"/>
        </w:rPr>
        <w:t xml:space="preserve"> (December 28, 2005)</w:t>
      </w:r>
      <w:r w:rsidR="001F696C">
        <w:rPr>
          <w:sz w:val="24"/>
          <w:szCs w:val="24"/>
        </w:rPr>
        <w:t>.</w:t>
      </w:r>
      <w:r w:rsidR="001A2D32">
        <w:rPr>
          <w:sz w:val="24"/>
          <w:szCs w:val="24"/>
        </w:rPr>
        <w:t xml:space="preserve"> </w:t>
      </w:r>
    </w:p>
    <w:p w14:paraId="3A9D8C30" w14:textId="77777777" w:rsidR="00606204" w:rsidRDefault="00606204" w:rsidP="00606204">
      <w:pPr>
        <w:rPr>
          <w:sz w:val="24"/>
          <w:szCs w:val="24"/>
        </w:rPr>
      </w:pPr>
    </w:p>
    <w:p w14:paraId="4917DCB6" w14:textId="4909BBD1" w:rsidR="000B522F" w:rsidRPr="00B91315" w:rsidRDefault="000B522F" w:rsidP="000B522F">
      <w:pPr>
        <w:jc w:val="center"/>
        <w:rPr>
          <w:i/>
          <w:iCs/>
          <w:sz w:val="24"/>
          <w:szCs w:val="24"/>
        </w:rPr>
      </w:pPr>
      <w:r w:rsidRPr="00B91315">
        <w:rPr>
          <w:i/>
          <w:iCs/>
          <w:sz w:val="24"/>
          <w:szCs w:val="24"/>
        </w:rPr>
        <w:t>JURISDICTION</w:t>
      </w:r>
      <w:r w:rsidR="005F4613" w:rsidRPr="00B91315">
        <w:rPr>
          <w:i/>
          <w:iCs/>
          <w:sz w:val="24"/>
          <w:szCs w:val="24"/>
        </w:rPr>
        <w:t xml:space="preserve"> OF THE BSEA</w:t>
      </w:r>
    </w:p>
    <w:p w14:paraId="337B12B3" w14:textId="77777777" w:rsidR="000B522F" w:rsidRPr="006C39AD" w:rsidRDefault="000B522F" w:rsidP="000B522F">
      <w:pPr>
        <w:rPr>
          <w:i/>
          <w:iCs/>
          <w:sz w:val="24"/>
          <w:szCs w:val="24"/>
        </w:rPr>
      </w:pPr>
    </w:p>
    <w:p w14:paraId="3F2EED5E" w14:textId="7F4E16AB" w:rsidR="007A1DE8" w:rsidRPr="007A1DE8" w:rsidRDefault="001A0C3E" w:rsidP="007A1DE8">
      <w:pPr>
        <w:rPr>
          <w:sz w:val="24"/>
          <w:szCs w:val="24"/>
        </w:rPr>
      </w:pPr>
      <w:r>
        <w:rPr>
          <w:sz w:val="24"/>
          <w:szCs w:val="24"/>
        </w:rPr>
        <w:t>The BSEA has jurisdiction</w:t>
      </w:r>
      <w:r w:rsidR="000B522F">
        <w:rPr>
          <w:sz w:val="24"/>
          <w:szCs w:val="24"/>
        </w:rPr>
        <w:t xml:space="preserve"> to consider</w:t>
      </w:r>
      <w:r>
        <w:rPr>
          <w:sz w:val="24"/>
          <w:szCs w:val="24"/>
        </w:rPr>
        <w:t xml:space="preserve"> only those </w:t>
      </w:r>
      <w:r w:rsidR="000B522F">
        <w:rPr>
          <w:sz w:val="24"/>
          <w:szCs w:val="24"/>
        </w:rPr>
        <w:t xml:space="preserve">claims </w:t>
      </w:r>
      <w:r>
        <w:rPr>
          <w:sz w:val="24"/>
          <w:szCs w:val="24"/>
        </w:rPr>
        <w:t>for which it is</w:t>
      </w:r>
      <w:r w:rsidR="000B522F">
        <w:rPr>
          <w:sz w:val="24"/>
          <w:szCs w:val="24"/>
        </w:rPr>
        <w:t xml:space="preserve"> expressly delegated </w:t>
      </w:r>
      <w:r>
        <w:rPr>
          <w:sz w:val="24"/>
          <w:szCs w:val="24"/>
        </w:rPr>
        <w:t>authority</w:t>
      </w:r>
      <w:r w:rsidR="000B522F">
        <w:rPr>
          <w:sz w:val="24"/>
          <w:szCs w:val="24"/>
        </w:rPr>
        <w:t xml:space="preserve"> by its enabling statutes and regulations, and not inconsistent with them.  </w:t>
      </w:r>
      <w:r w:rsidR="000B522F" w:rsidRPr="000B522F">
        <w:rPr>
          <w:i/>
          <w:sz w:val="24"/>
          <w:szCs w:val="24"/>
        </w:rPr>
        <w:t>Globe Newspaper Co. V. Beacon Hill Architectural Comm.</w:t>
      </w:r>
      <w:r w:rsidR="000B522F">
        <w:rPr>
          <w:sz w:val="24"/>
          <w:szCs w:val="24"/>
        </w:rPr>
        <w:t xml:space="preserve">, 847 </w:t>
      </w:r>
      <w:proofErr w:type="spellStart"/>
      <w:r w:rsidR="000B522F">
        <w:rPr>
          <w:sz w:val="24"/>
          <w:szCs w:val="24"/>
        </w:rPr>
        <w:t>F.Supp</w:t>
      </w:r>
      <w:proofErr w:type="spellEnd"/>
      <w:r w:rsidR="000B522F">
        <w:rPr>
          <w:sz w:val="24"/>
          <w:szCs w:val="24"/>
        </w:rPr>
        <w:t>. 179 (D. Mass. 1994)</w:t>
      </w:r>
      <w:r w:rsidR="00606204">
        <w:rPr>
          <w:sz w:val="24"/>
          <w:szCs w:val="24"/>
        </w:rPr>
        <w:t xml:space="preserve"> </w:t>
      </w:r>
      <w:r w:rsidR="007D4158">
        <w:rPr>
          <w:sz w:val="24"/>
          <w:szCs w:val="24"/>
        </w:rPr>
        <w:t>“</w:t>
      </w:r>
      <w:r w:rsidR="00606204">
        <w:rPr>
          <w:sz w:val="24"/>
          <w:szCs w:val="24"/>
        </w:rPr>
        <w:t>The IDEA and conforming Massachusetts law give the BSEA authority to determine the respective rights and obligations of publicly funded agencies and parents/students in the implementation of federal and state special education statutes.</w:t>
      </w:r>
      <w:r w:rsidR="007D4158">
        <w:rPr>
          <w:sz w:val="24"/>
          <w:szCs w:val="24"/>
        </w:rPr>
        <w:t xml:space="preserve">”  </w:t>
      </w:r>
      <w:r w:rsidR="00140C79">
        <w:rPr>
          <w:i/>
          <w:sz w:val="24"/>
          <w:szCs w:val="24"/>
        </w:rPr>
        <w:t xml:space="preserve">In Re: </w:t>
      </w:r>
      <w:r w:rsidR="007D4158" w:rsidRPr="007D4158">
        <w:rPr>
          <w:i/>
          <w:sz w:val="24"/>
          <w:szCs w:val="24"/>
        </w:rPr>
        <w:t>Monson Public Schools</w:t>
      </w:r>
      <w:r w:rsidR="00CE6763" w:rsidRPr="00CE6763">
        <w:rPr>
          <w:sz w:val="24"/>
          <w:szCs w:val="24"/>
        </w:rPr>
        <w:t>, 110 LRP 49101</w:t>
      </w:r>
      <w:r w:rsidR="001F696C">
        <w:rPr>
          <w:sz w:val="24"/>
          <w:szCs w:val="24"/>
        </w:rPr>
        <w:t xml:space="preserve"> (August 23, </w:t>
      </w:r>
      <w:r w:rsidR="007D4158">
        <w:rPr>
          <w:sz w:val="24"/>
          <w:szCs w:val="24"/>
        </w:rPr>
        <w:t>2010)</w:t>
      </w:r>
      <w:r w:rsidR="009046EF">
        <w:rPr>
          <w:sz w:val="24"/>
          <w:szCs w:val="24"/>
        </w:rPr>
        <w:t>.</w:t>
      </w:r>
      <w:r w:rsidR="00606204">
        <w:rPr>
          <w:sz w:val="24"/>
          <w:szCs w:val="24"/>
        </w:rPr>
        <w:t xml:space="preserve"> </w:t>
      </w:r>
      <w:r w:rsidR="00EE61F2">
        <w:rPr>
          <w:sz w:val="24"/>
          <w:szCs w:val="24"/>
        </w:rPr>
        <w:t xml:space="preserve"> </w:t>
      </w:r>
      <w:r w:rsidR="00EE61F2" w:rsidRPr="00EE61F2">
        <w:rPr>
          <w:sz w:val="24"/>
          <w:szCs w:val="24"/>
        </w:rPr>
        <w:t xml:space="preserve">The BSEA has </w:t>
      </w:r>
      <w:r w:rsidR="00254031">
        <w:rPr>
          <w:sz w:val="24"/>
          <w:szCs w:val="24"/>
        </w:rPr>
        <w:t xml:space="preserve">jurisdiction  over </w:t>
      </w:r>
      <w:r w:rsidR="0071342B">
        <w:rPr>
          <w:sz w:val="24"/>
          <w:szCs w:val="24"/>
        </w:rPr>
        <w:t>(i) any matter relating to the identification, evaluation, education program or educational placement of a child with a disability or the provision of a free appropriate public education to the child arising under this chapter and regulations promulgated hereunder or under the Individuals with Disabilities Education Act, 20 U.S.C. section 1400 et seq., and its regulations; or (ii) a student’s rights under Section 504 of the Rehabilitation Act of 1973, 29 U.S.C. section 794, and its regulations.  M.G.L. ch. 71B§ 2A(a)(1).</w:t>
      </w:r>
      <w:r w:rsidR="009C25DF">
        <w:rPr>
          <w:sz w:val="24"/>
          <w:szCs w:val="24"/>
        </w:rPr>
        <w:t xml:space="preserve">  </w:t>
      </w:r>
      <w:r w:rsidR="009C25DF" w:rsidRPr="009C25DF">
        <w:rPr>
          <w:color w:val="000000"/>
          <w:sz w:val="24"/>
          <w:szCs w:val="24"/>
        </w:rPr>
        <w:t>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009C25DF" w:rsidRPr="009C25DF">
        <w:rPr>
          <w:rStyle w:val="FootnoteReference"/>
          <w:color w:val="000000"/>
          <w:sz w:val="24"/>
          <w:szCs w:val="24"/>
        </w:rPr>
        <w:footnoteReference w:id="7"/>
      </w:r>
      <w:r w:rsidR="00254031">
        <w:rPr>
          <w:sz w:val="24"/>
          <w:szCs w:val="24"/>
        </w:rPr>
        <w:tab/>
      </w:r>
    </w:p>
    <w:p w14:paraId="5D0F5963" w14:textId="524FDB88" w:rsidR="00120620" w:rsidRDefault="00120620" w:rsidP="00120620">
      <w:pPr>
        <w:jc w:val="center"/>
        <w:rPr>
          <w:i/>
          <w:iCs/>
          <w:sz w:val="24"/>
          <w:szCs w:val="24"/>
        </w:rPr>
      </w:pPr>
      <w:r w:rsidRPr="00120620">
        <w:rPr>
          <w:i/>
          <w:iCs/>
          <w:sz w:val="24"/>
          <w:szCs w:val="24"/>
        </w:rPr>
        <w:t>STATUTE OF LIMITATIONS</w:t>
      </w:r>
    </w:p>
    <w:p w14:paraId="5CA5CE5D" w14:textId="77777777" w:rsidR="00B27D00" w:rsidRPr="00120620" w:rsidRDefault="00B27D00" w:rsidP="00120620">
      <w:pPr>
        <w:jc w:val="center"/>
        <w:rPr>
          <w:i/>
          <w:iCs/>
          <w:sz w:val="24"/>
          <w:szCs w:val="24"/>
        </w:rPr>
      </w:pPr>
    </w:p>
    <w:p w14:paraId="6A2B27C6" w14:textId="5FEABD72" w:rsidR="00120620" w:rsidRDefault="00671868" w:rsidP="00120620">
      <w:pPr>
        <w:rPr>
          <w:sz w:val="24"/>
          <w:szCs w:val="24"/>
        </w:rPr>
      </w:pPr>
      <w:r w:rsidRPr="00B27D00">
        <w:rPr>
          <w:color w:val="4B4D4D"/>
          <w:sz w:val="24"/>
          <w:szCs w:val="24"/>
          <w:shd w:val="clear" w:color="auto" w:fill="FFFFFF"/>
        </w:rPr>
        <w:t>Under the IDEA, a due process complaint is timely if filed within two years of the date that the parent or district knew or should have known about the action forming the basis for the complaint.</w:t>
      </w:r>
      <w:r w:rsidRPr="00B27D00">
        <w:rPr>
          <w:rStyle w:val="FootnoteReference"/>
          <w:color w:val="4B4D4D"/>
          <w:sz w:val="24"/>
          <w:szCs w:val="24"/>
          <w:shd w:val="clear" w:color="auto" w:fill="FFFFFF"/>
        </w:rPr>
        <w:footnoteReference w:id="8"/>
      </w:r>
      <w:r w:rsidRPr="00B27D00">
        <w:rPr>
          <w:color w:val="4B4D4D"/>
          <w:sz w:val="24"/>
          <w:szCs w:val="24"/>
          <w:shd w:val="clear" w:color="auto" w:fill="FFFFFF"/>
        </w:rPr>
        <w:t> The two-year statute of limitations period does not apply to a parent if the parent was prevented from filing a due process complaint due to specific misrepresentations by the school district that it had resolved the problem forming the basis of the due process complaint; or the school district’s withholding of information from the parent that was required under this part to be provided to the parent.</w:t>
      </w:r>
      <w:r w:rsidRPr="00B27D00">
        <w:rPr>
          <w:rStyle w:val="FootnoteReference"/>
          <w:color w:val="4B4D4D"/>
          <w:sz w:val="24"/>
          <w:szCs w:val="24"/>
          <w:shd w:val="clear" w:color="auto" w:fill="FFFFFF"/>
        </w:rPr>
        <w:footnoteReference w:id="9"/>
      </w:r>
      <w:r w:rsidRPr="00B27D00">
        <w:rPr>
          <w:color w:val="4B4D4D"/>
          <w:sz w:val="24"/>
          <w:szCs w:val="24"/>
          <w:shd w:val="clear" w:color="auto" w:fill="FFFFFF"/>
        </w:rPr>
        <w:t>  Although the analysis for § 504 and IDEA claims differs,</w:t>
      </w:r>
      <w:bookmarkStart w:id="0" w:name="_ftnref43"/>
      <w:r w:rsidRPr="00B27D00">
        <w:rPr>
          <w:rStyle w:val="FootnoteReference"/>
          <w:color w:val="4B4D4D"/>
          <w:sz w:val="24"/>
          <w:szCs w:val="24"/>
          <w:shd w:val="clear" w:color="auto" w:fill="FFFFFF"/>
        </w:rPr>
        <w:footnoteReference w:id="10"/>
      </w:r>
      <w:hyperlink r:id="rId7" w:anchor="_ftn43" w:history="1"/>
      <w:bookmarkEnd w:id="0"/>
      <w:r w:rsidRPr="00B27D00">
        <w:rPr>
          <w:color w:val="4B4D4D"/>
          <w:sz w:val="24"/>
          <w:szCs w:val="24"/>
          <w:shd w:val="clear" w:color="auto" w:fill="FFFFFF"/>
        </w:rPr>
        <w:t> courts and the BSEA have applied this two-year statute of limitations to FAPE claims brought pursuant to § 504 because the two are intertwined.</w:t>
      </w:r>
      <w:r w:rsidR="00FD6E32" w:rsidRPr="00B27D00">
        <w:rPr>
          <w:rStyle w:val="FootnoteReference"/>
          <w:color w:val="4B4D4D"/>
          <w:sz w:val="24"/>
          <w:szCs w:val="24"/>
          <w:shd w:val="clear" w:color="auto" w:fill="FFFFFF"/>
        </w:rPr>
        <w:footnoteReference w:id="11"/>
      </w:r>
      <w:r w:rsidR="00FD6E32" w:rsidRPr="00B27D00">
        <w:rPr>
          <w:sz w:val="24"/>
          <w:szCs w:val="24"/>
        </w:rPr>
        <w:t xml:space="preserve"> </w:t>
      </w:r>
    </w:p>
    <w:p w14:paraId="4B729B53" w14:textId="1CF88206" w:rsidR="00B27D00" w:rsidRDefault="00B27D00" w:rsidP="00120620">
      <w:pPr>
        <w:rPr>
          <w:sz w:val="24"/>
          <w:szCs w:val="24"/>
        </w:rPr>
      </w:pPr>
    </w:p>
    <w:p w14:paraId="04A0DD8D" w14:textId="77777777" w:rsidR="00F67876" w:rsidRDefault="00F67876" w:rsidP="00120620">
      <w:pPr>
        <w:rPr>
          <w:sz w:val="24"/>
          <w:szCs w:val="24"/>
        </w:rPr>
      </w:pPr>
    </w:p>
    <w:p w14:paraId="062F2836" w14:textId="77777777" w:rsidR="00210611" w:rsidRPr="00B27D00" w:rsidRDefault="00210611" w:rsidP="00120620">
      <w:pPr>
        <w:rPr>
          <w:sz w:val="24"/>
          <w:szCs w:val="24"/>
        </w:rPr>
      </w:pPr>
    </w:p>
    <w:p w14:paraId="40812CAB" w14:textId="6F85B737" w:rsidR="00B27D00" w:rsidRDefault="00B27D00" w:rsidP="00ED58E2">
      <w:pPr>
        <w:jc w:val="center"/>
        <w:rPr>
          <w:i/>
          <w:iCs/>
          <w:sz w:val="24"/>
          <w:szCs w:val="24"/>
        </w:rPr>
      </w:pPr>
      <w:r>
        <w:rPr>
          <w:i/>
          <w:iCs/>
          <w:sz w:val="24"/>
          <w:szCs w:val="24"/>
        </w:rPr>
        <w:t>RES JUDICATA AND COLLATERAL ESTOPPEL</w:t>
      </w:r>
    </w:p>
    <w:p w14:paraId="77D2B0B6" w14:textId="77777777" w:rsidR="000A2761" w:rsidRDefault="000A2761" w:rsidP="00ED58E2">
      <w:pPr>
        <w:jc w:val="center"/>
        <w:rPr>
          <w:i/>
          <w:iCs/>
          <w:sz w:val="24"/>
          <w:szCs w:val="24"/>
        </w:rPr>
      </w:pPr>
    </w:p>
    <w:p w14:paraId="05DE5BD9" w14:textId="77777777" w:rsidR="00394A17" w:rsidRPr="00625B9E" w:rsidRDefault="00394A17" w:rsidP="00394A17">
      <w:pPr>
        <w:pStyle w:val="NormalWeb"/>
        <w:shd w:val="clear" w:color="auto" w:fill="FFFFFF"/>
        <w:spacing w:before="0" w:beforeAutospacing="0" w:after="375" w:afterAutospacing="0"/>
        <w:rPr>
          <w:color w:val="4B4D4D"/>
        </w:rPr>
      </w:pPr>
      <w:r w:rsidRPr="00625B9E">
        <w:rPr>
          <w:color w:val="4B4D4D"/>
        </w:rPr>
        <w:t>The purpose of the doctrines of res judicata and collateral estoppel is to “prevent plaintiffs from splitting their claims by providing a strong incentive for them to plead all factually related allegations and attendant legal theories for recovery the first time they bring suit.”</w:t>
      </w:r>
      <w:r w:rsidRPr="00625B9E">
        <w:rPr>
          <w:rStyle w:val="FootnoteReference"/>
          <w:color w:val="4B4D4D"/>
        </w:rPr>
        <w:footnoteReference w:id="12"/>
      </w:r>
      <w:r w:rsidRPr="00625B9E">
        <w:rPr>
          <w:color w:val="4B4D4D"/>
        </w:rPr>
        <w:t> These doctrines “relieve parties of the cost and vexation of multiple lawsuits, conserve judicial resources, and, by preventing inconsistent decisions, encourage reliance on adjudication.”</w:t>
      </w:r>
      <w:r w:rsidRPr="00625B9E">
        <w:rPr>
          <w:rStyle w:val="FootnoteReference"/>
          <w:color w:val="4B4D4D"/>
        </w:rPr>
        <w:footnoteReference w:id="13"/>
      </w:r>
      <w:r w:rsidRPr="00625B9E">
        <w:rPr>
          <w:color w:val="4B4D4D"/>
        </w:rPr>
        <w:t xml:space="preserve"> </w:t>
      </w:r>
    </w:p>
    <w:p w14:paraId="5EF8BF00" w14:textId="4BF20704" w:rsidR="00394A17" w:rsidRPr="00625B9E" w:rsidRDefault="00ED58E2" w:rsidP="00394A17">
      <w:pPr>
        <w:pStyle w:val="NormalWeb"/>
        <w:shd w:val="clear" w:color="auto" w:fill="FFFFFF"/>
        <w:spacing w:before="0" w:beforeAutospacing="0" w:after="375" w:afterAutospacing="0"/>
        <w:rPr>
          <w:color w:val="4B4D4D"/>
        </w:rPr>
      </w:pPr>
      <w:r w:rsidRPr="00625B9E">
        <w:rPr>
          <w:color w:val="4B4D4D"/>
        </w:rPr>
        <w:t>Under the doctrine of res judicata, a final judgment on the merits of an action precludes the parties from relitigating issues that were or could have been raised in that action.</w:t>
      </w:r>
      <w:bookmarkStart w:id="1" w:name="_ftnref45"/>
      <w:r w:rsidRPr="00625B9E">
        <w:rPr>
          <w:rStyle w:val="FootnoteReference"/>
          <w:color w:val="4B4D4D"/>
        </w:rPr>
        <w:footnoteReference w:id="14"/>
      </w:r>
      <w:hyperlink r:id="rId8" w:anchor="_ftn45" w:history="1"/>
      <w:bookmarkEnd w:id="1"/>
      <w:r w:rsidRPr="00625B9E">
        <w:rPr>
          <w:color w:val="4B4D4D"/>
        </w:rPr>
        <w:t> The three elements of res judicata are (1) a final judgment on the merits in an earlier suit, (2) “sufficient identicality” between the causes of action asserted in the earlier and later suits, and (3) “sufficient identicality” between the parties in the two suits.</w:t>
      </w:r>
      <w:r w:rsidR="005743CB" w:rsidRPr="00625B9E">
        <w:rPr>
          <w:rStyle w:val="FootnoteReference"/>
          <w:color w:val="4B4D4D"/>
        </w:rPr>
        <w:footnoteReference w:id="15"/>
      </w:r>
      <w:r w:rsidRPr="00625B9E">
        <w:rPr>
          <w:color w:val="4B4D4D"/>
        </w:rPr>
        <w:t> </w:t>
      </w:r>
      <w:r w:rsidR="00E34A6C" w:rsidRPr="00625B9E">
        <w:rPr>
          <w:color w:val="4B4D4D"/>
        </w:rPr>
        <w:t>The First Circuit has held that “although a set of facts may give rise to multiple counts based on different legal theories, if the facts form a common nucleus that is identifiable as a transaction or series of related transactions, then those facts represent one cause of action.”</w:t>
      </w:r>
      <w:r w:rsidR="00E34A6C" w:rsidRPr="00625B9E">
        <w:rPr>
          <w:rStyle w:val="FootnoteReference"/>
          <w:color w:val="4B4D4D"/>
        </w:rPr>
        <w:footnoteReference w:id="16"/>
      </w:r>
      <w:r w:rsidR="00E34A6C" w:rsidRPr="00625B9E">
        <w:rPr>
          <w:color w:val="4B4D4D"/>
          <w:shd w:val="clear" w:color="auto" w:fill="FFFFFF"/>
        </w:rPr>
        <w:t>.</w:t>
      </w:r>
      <w:r w:rsidR="00E34A6C" w:rsidRPr="00625B9E">
        <w:rPr>
          <w:color w:val="4B4D4D"/>
        </w:rPr>
        <w:t xml:space="preserve"> </w:t>
      </w:r>
      <w:r w:rsidR="00E34A6C">
        <w:rPr>
          <w:color w:val="4B4D4D"/>
        </w:rPr>
        <w:t>Moreover,</w:t>
      </w:r>
      <w:r w:rsidR="00E34A6C" w:rsidRPr="00625B9E">
        <w:rPr>
          <w:color w:val="4B4D4D"/>
        </w:rPr>
        <w:t xml:space="preserve"> under the doctrine of collateral estoppel, once an issue of fact or law necessary to a judgment has been decided, that decision may preclude relitigating the issue in an appeal on a</w:t>
      </w:r>
      <w:r w:rsidR="00E34A6C">
        <w:rPr>
          <w:color w:val="4B4D4D"/>
        </w:rPr>
        <w:t xml:space="preserve"> different cause of action involving a party to the first case.</w:t>
      </w:r>
      <w:r w:rsidR="00E34A6C">
        <w:rPr>
          <w:rStyle w:val="FootnoteReference"/>
          <w:color w:val="4B4D4D"/>
        </w:rPr>
        <w:footnoteReference w:id="17"/>
      </w:r>
      <w:r w:rsidR="00394A17">
        <w:rPr>
          <w:color w:val="4B4D4D"/>
        </w:rPr>
        <w:t xml:space="preserve"> </w:t>
      </w:r>
      <w:r w:rsidR="00394A17" w:rsidRPr="00625B9E">
        <w:rPr>
          <w:color w:val="4B4D4D"/>
        </w:rPr>
        <w:t xml:space="preserve">These </w:t>
      </w:r>
      <w:r w:rsidR="0022029B">
        <w:rPr>
          <w:color w:val="4B4D4D"/>
        </w:rPr>
        <w:t>doctrines</w:t>
      </w:r>
      <w:r w:rsidR="00394A17" w:rsidRPr="00625B9E">
        <w:rPr>
          <w:color w:val="4B4D4D"/>
        </w:rPr>
        <w:t xml:space="preserve"> both apply to a BSEA Hearing Officer’s decision regarding the merits of a special education dispute.</w:t>
      </w:r>
      <w:r w:rsidR="00D6480F">
        <w:rPr>
          <w:rStyle w:val="FootnoteReference"/>
          <w:color w:val="4B4D4D"/>
        </w:rPr>
        <w:footnoteReference w:id="18"/>
      </w:r>
      <w:r w:rsidR="00394A17" w:rsidRPr="00625B9E">
        <w:rPr>
          <w:color w:val="4B4D4D"/>
        </w:rPr>
        <w:t xml:space="preserve"> </w:t>
      </w:r>
    </w:p>
    <w:p w14:paraId="411D5270" w14:textId="3EE8E678" w:rsidR="00ED58E2" w:rsidRDefault="00ED58E2" w:rsidP="00ED58E2">
      <w:pPr>
        <w:pStyle w:val="NormalWeb"/>
        <w:shd w:val="clear" w:color="auto" w:fill="FFFFFF"/>
        <w:spacing w:before="0" w:beforeAutospacing="0" w:after="375" w:afterAutospacing="0"/>
        <w:rPr>
          <w:color w:val="4B4D4D"/>
        </w:rPr>
      </w:pPr>
      <w:r w:rsidRPr="00625B9E">
        <w:rPr>
          <w:color w:val="4B4D4D"/>
        </w:rPr>
        <w:t>Therefore, the central question</w:t>
      </w:r>
      <w:r w:rsidR="001A2D32">
        <w:rPr>
          <w:color w:val="4B4D4D"/>
        </w:rPr>
        <w:t>s</w:t>
      </w:r>
      <w:r w:rsidRPr="00625B9E">
        <w:rPr>
          <w:color w:val="4B4D4D"/>
        </w:rPr>
        <w:t xml:space="preserve"> here</w:t>
      </w:r>
      <w:r w:rsidR="001A2D32">
        <w:rPr>
          <w:color w:val="4B4D4D"/>
        </w:rPr>
        <w:t xml:space="preserve"> are</w:t>
      </w:r>
      <w:r w:rsidRPr="00625B9E">
        <w:rPr>
          <w:color w:val="4B4D4D"/>
        </w:rPr>
        <w:t xml:space="preserve">  </w:t>
      </w:r>
      <w:r w:rsidR="001A2D32" w:rsidRPr="00625B9E">
        <w:rPr>
          <w:color w:val="4B4D4D"/>
        </w:rPr>
        <w:t xml:space="preserve">whether any present and earlier claims, although not identical, nevertheless derive from a “common nucleus of operative facts” and are barred because the parent could have brought these claims in the earlier </w:t>
      </w:r>
      <w:r w:rsidR="00E34A6C">
        <w:rPr>
          <w:color w:val="4B4D4D"/>
        </w:rPr>
        <w:t>action,</w:t>
      </w:r>
      <w:r w:rsidR="001A2D32" w:rsidRPr="00625B9E">
        <w:rPr>
          <w:rStyle w:val="FootnoteReference"/>
          <w:color w:val="4B4D4D"/>
        </w:rPr>
        <w:footnoteReference w:id="19"/>
      </w:r>
      <w:r w:rsidR="001A2D32" w:rsidRPr="00625B9E">
        <w:rPr>
          <w:color w:val="4B4D4D"/>
        </w:rPr>
        <w:t xml:space="preserve"> </w:t>
      </w:r>
      <w:r w:rsidR="00E34A6C">
        <w:rPr>
          <w:color w:val="4B4D4D"/>
        </w:rPr>
        <w:t xml:space="preserve">or whether </w:t>
      </w:r>
      <w:r w:rsidRPr="00625B9E">
        <w:rPr>
          <w:color w:val="4B4D4D"/>
        </w:rPr>
        <w:t xml:space="preserve"> any earlier and present claims are sufficiently identical so that they may not be relitigated – that is, whether any claims in the instant hearing request are </w:t>
      </w:r>
      <w:r w:rsidR="001A2D32">
        <w:rPr>
          <w:color w:val="4B4D4D"/>
        </w:rPr>
        <w:t xml:space="preserve">sufficiently </w:t>
      </w:r>
      <w:r w:rsidRPr="00625B9E">
        <w:rPr>
          <w:color w:val="4B4D4D"/>
        </w:rPr>
        <w:t>identical to claims asserted in the earlier hearing request and are therefore barred by res judicata</w:t>
      </w:r>
      <w:r w:rsidR="00E34A6C">
        <w:rPr>
          <w:color w:val="4B4D4D"/>
        </w:rPr>
        <w:t>.</w:t>
      </w:r>
      <w:r w:rsidRPr="00625B9E">
        <w:rPr>
          <w:color w:val="4B4D4D"/>
        </w:rPr>
        <w:t xml:space="preserve"> </w:t>
      </w:r>
    </w:p>
    <w:p w14:paraId="07DE6FCD" w14:textId="77777777" w:rsidR="001637E3" w:rsidRPr="00625B9E" w:rsidRDefault="001637E3" w:rsidP="00ED58E2">
      <w:pPr>
        <w:pStyle w:val="NormalWeb"/>
        <w:shd w:val="clear" w:color="auto" w:fill="FFFFFF"/>
        <w:spacing w:before="0" w:beforeAutospacing="0" w:after="375" w:afterAutospacing="0"/>
        <w:rPr>
          <w:color w:val="4B4D4D"/>
        </w:rPr>
      </w:pPr>
    </w:p>
    <w:p w14:paraId="12D10B66" w14:textId="5AD03E68" w:rsidR="0092551E" w:rsidRPr="00B91315" w:rsidRDefault="0092551E" w:rsidP="0092551E">
      <w:pPr>
        <w:jc w:val="center"/>
        <w:rPr>
          <w:i/>
          <w:iCs/>
          <w:sz w:val="24"/>
          <w:szCs w:val="24"/>
        </w:rPr>
      </w:pPr>
      <w:r w:rsidRPr="00B91315">
        <w:rPr>
          <w:i/>
          <w:iCs/>
          <w:sz w:val="24"/>
          <w:szCs w:val="24"/>
        </w:rPr>
        <w:t>ANALYSIS/CONCLUSION</w:t>
      </w:r>
    </w:p>
    <w:p w14:paraId="15F20900" w14:textId="77777777" w:rsidR="00D5260F" w:rsidRDefault="00D5260F" w:rsidP="00D341BF">
      <w:pPr>
        <w:rPr>
          <w:sz w:val="24"/>
          <w:szCs w:val="24"/>
        </w:rPr>
      </w:pPr>
    </w:p>
    <w:p w14:paraId="52AA98DA" w14:textId="049729D1" w:rsidR="00883411" w:rsidRDefault="00704DD3" w:rsidP="002D6E15">
      <w:pPr>
        <w:rPr>
          <w:sz w:val="24"/>
          <w:szCs w:val="24"/>
        </w:rPr>
      </w:pPr>
      <w:r>
        <w:rPr>
          <w:sz w:val="24"/>
          <w:szCs w:val="24"/>
        </w:rPr>
        <w:t xml:space="preserve">Marshfield argues that Parent’s claims of discrimination, harassment, </w:t>
      </w:r>
      <w:r w:rsidR="00954BAC">
        <w:rPr>
          <w:sz w:val="24"/>
          <w:szCs w:val="24"/>
        </w:rPr>
        <w:t>retaliation,</w:t>
      </w:r>
      <w:r>
        <w:rPr>
          <w:sz w:val="24"/>
          <w:szCs w:val="24"/>
        </w:rPr>
        <w:t xml:space="preserve"> and hostile environment are barred by subject matter jurisdiction a</w:t>
      </w:r>
      <w:r w:rsidR="00394A17">
        <w:rPr>
          <w:sz w:val="24"/>
          <w:szCs w:val="24"/>
        </w:rPr>
        <w:t xml:space="preserve">s well </w:t>
      </w:r>
      <w:r w:rsidR="001637E3">
        <w:rPr>
          <w:sz w:val="24"/>
          <w:szCs w:val="24"/>
        </w:rPr>
        <w:t>as res</w:t>
      </w:r>
      <w:r>
        <w:rPr>
          <w:sz w:val="24"/>
          <w:szCs w:val="24"/>
        </w:rPr>
        <w:t xml:space="preserve"> judicata and collateral estoppel principles.  </w:t>
      </w:r>
      <w:r w:rsidR="00E0283D">
        <w:rPr>
          <w:sz w:val="24"/>
          <w:szCs w:val="24"/>
        </w:rPr>
        <w:t>Parent alleges that Marshfield has failed to investigate and address direct and indirect disability related discrimination and retaliation</w:t>
      </w:r>
      <w:r w:rsidR="00954BAC">
        <w:rPr>
          <w:sz w:val="24"/>
          <w:szCs w:val="24"/>
        </w:rPr>
        <w:t xml:space="preserve"> and that Marshfield has included staff members on Student’s Team who allegedly previously participated in retaliation and discrimination </w:t>
      </w:r>
      <w:r w:rsidR="001637E3">
        <w:rPr>
          <w:sz w:val="24"/>
          <w:szCs w:val="24"/>
        </w:rPr>
        <w:t>against Student</w:t>
      </w:r>
      <w:r w:rsidR="00E0283D">
        <w:rPr>
          <w:sz w:val="24"/>
          <w:szCs w:val="24"/>
        </w:rPr>
        <w:t xml:space="preserve">.  She further states she was denied the right to raise </w:t>
      </w:r>
      <w:r w:rsidR="0084278D">
        <w:rPr>
          <w:sz w:val="24"/>
          <w:szCs w:val="24"/>
        </w:rPr>
        <w:t>questions</w:t>
      </w:r>
      <w:r w:rsidR="00E0283D">
        <w:rPr>
          <w:sz w:val="24"/>
          <w:szCs w:val="24"/>
        </w:rPr>
        <w:t xml:space="preserve"> about </w:t>
      </w:r>
      <w:r w:rsidR="0084278D">
        <w:rPr>
          <w:sz w:val="24"/>
          <w:szCs w:val="24"/>
        </w:rPr>
        <w:t>wh</w:t>
      </w:r>
      <w:r w:rsidR="00C15487">
        <w:rPr>
          <w:sz w:val="24"/>
          <w:szCs w:val="24"/>
        </w:rPr>
        <w:t>at steps</w:t>
      </w:r>
      <w:r w:rsidR="0084278D">
        <w:rPr>
          <w:sz w:val="24"/>
          <w:szCs w:val="24"/>
        </w:rPr>
        <w:t xml:space="preserve"> Marshfield Public Schools</w:t>
      </w:r>
      <w:r w:rsidR="00E0283D">
        <w:rPr>
          <w:sz w:val="24"/>
          <w:szCs w:val="24"/>
        </w:rPr>
        <w:t xml:space="preserve"> </w:t>
      </w:r>
      <w:r w:rsidR="00C15487">
        <w:rPr>
          <w:sz w:val="24"/>
          <w:szCs w:val="24"/>
        </w:rPr>
        <w:t xml:space="preserve">has taken to ensure that its schools provide </w:t>
      </w:r>
      <w:r w:rsidR="0084278D">
        <w:rPr>
          <w:sz w:val="24"/>
          <w:szCs w:val="24"/>
        </w:rPr>
        <w:t>a non-hostil</w:t>
      </w:r>
      <w:r w:rsidR="00C15487">
        <w:rPr>
          <w:sz w:val="24"/>
          <w:szCs w:val="24"/>
        </w:rPr>
        <w:t xml:space="preserve">e, non-discriminatory, and non-retaliatory environment.  </w:t>
      </w:r>
      <w:r w:rsidR="0022029B">
        <w:rPr>
          <w:sz w:val="24"/>
          <w:szCs w:val="24"/>
        </w:rPr>
        <w:t>Parent’s claims</w:t>
      </w:r>
      <w:r w:rsidR="00182EF2">
        <w:rPr>
          <w:sz w:val="24"/>
          <w:szCs w:val="24"/>
        </w:rPr>
        <w:t xml:space="preserve"> are</w:t>
      </w:r>
      <w:r w:rsidR="00394A17">
        <w:rPr>
          <w:sz w:val="24"/>
          <w:szCs w:val="24"/>
        </w:rPr>
        <w:t xml:space="preserve"> </w:t>
      </w:r>
      <w:r w:rsidR="001637E3">
        <w:rPr>
          <w:sz w:val="24"/>
          <w:szCs w:val="24"/>
        </w:rPr>
        <w:t>herein Dismissed</w:t>
      </w:r>
      <w:r w:rsidR="00182EF2">
        <w:rPr>
          <w:sz w:val="24"/>
          <w:szCs w:val="24"/>
        </w:rPr>
        <w:t xml:space="preserve"> with prejudice</w:t>
      </w:r>
      <w:r w:rsidR="00394A17">
        <w:rPr>
          <w:sz w:val="24"/>
          <w:szCs w:val="24"/>
        </w:rPr>
        <w:t xml:space="preserve"> based </w:t>
      </w:r>
      <w:r w:rsidR="00DE2E12">
        <w:rPr>
          <w:sz w:val="24"/>
          <w:szCs w:val="24"/>
        </w:rPr>
        <w:t>on lack</w:t>
      </w:r>
      <w:r w:rsidR="00394A17">
        <w:rPr>
          <w:sz w:val="24"/>
          <w:szCs w:val="24"/>
        </w:rPr>
        <w:t xml:space="preserve"> of </w:t>
      </w:r>
      <w:r w:rsidR="00883411">
        <w:rPr>
          <w:sz w:val="24"/>
          <w:szCs w:val="24"/>
        </w:rPr>
        <w:t xml:space="preserve">subject matter </w:t>
      </w:r>
      <w:r w:rsidR="008D786D">
        <w:rPr>
          <w:sz w:val="24"/>
          <w:szCs w:val="24"/>
        </w:rPr>
        <w:t>jurisdiction, res</w:t>
      </w:r>
      <w:r w:rsidR="00883411">
        <w:rPr>
          <w:sz w:val="24"/>
          <w:szCs w:val="24"/>
        </w:rPr>
        <w:t xml:space="preserve"> judicata</w:t>
      </w:r>
      <w:r w:rsidR="00394A17">
        <w:rPr>
          <w:sz w:val="24"/>
          <w:szCs w:val="24"/>
        </w:rPr>
        <w:t>,</w:t>
      </w:r>
      <w:r w:rsidR="00883411">
        <w:rPr>
          <w:sz w:val="24"/>
          <w:szCs w:val="24"/>
        </w:rPr>
        <w:t xml:space="preserve"> collateral estoppel, and the statute of limitations.  </w:t>
      </w:r>
      <w:r w:rsidR="00394A17">
        <w:rPr>
          <w:sz w:val="24"/>
          <w:szCs w:val="24"/>
        </w:rPr>
        <w:t>My reasoning follows.</w:t>
      </w:r>
    </w:p>
    <w:p w14:paraId="00C659B1" w14:textId="77777777" w:rsidR="00883411" w:rsidRDefault="00883411" w:rsidP="002D6E15">
      <w:pPr>
        <w:rPr>
          <w:sz w:val="24"/>
          <w:szCs w:val="24"/>
        </w:rPr>
      </w:pPr>
    </w:p>
    <w:p w14:paraId="7D885702" w14:textId="642FC91C" w:rsidR="00283581" w:rsidRDefault="00394A17" w:rsidP="002D6E15">
      <w:pPr>
        <w:rPr>
          <w:sz w:val="24"/>
          <w:szCs w:val="24"/>
        </w:rPr>
      </w:pPr>
      <w:r>
        <w:rPr>
          <w:sz w:val="24"/>
          <w:szCs w:val="24"/>
        </w:rPr>
        <w:t>Parent’s claims regarding discrimination and retaliation</w:t>
      </w:r>
      <w:r w:rsidR="003333EC">
        <w:rPr>
          <w:sz w:val="24"/>
          <w:szCs w:val="24"/>
        </w:rPr>
        <w:t xml:space="preserve"> are pending in the U.S. District Court</w:t>
      </w:r>
      <w:r w:rsidR="00C50F18">
        <w:rPr>
          <w:sz w:val="24"/>
          <w:szCs w:val="24"/>
        </w:rPr>
        <w:t xml:space="preserve">.  </w:t>
      </w:r>
      <w:r w:rsidR="00710DBA">
        <w:rPr>
          <w:sz w:val="24"/>
          <w:szCs w:val="24"/>
        </w:rPr>
        <w:t xml:space="preserve">In his February 8, 2022 Order, Judge Leo Sorokin declined to remand </w:t>
      </w:r>
      <w:r w:rsidR="00DE2E12">
        <w:rPr>
          <w:sz w:val="24"/>
          <w:szCs w:val="24"/>
        </w:rPr>
        <w:t>said issues</w:t>
      </w:r>
      <w:r w:rsidR="00710DBA">
        <w:rPr>
          <w:sz w:val="24"/>
          <w:szCs w:val="24"/>
        </w:rPr>
        <w:t xml:space="preserve"> of retaliation and discrimination</w:t>
      </w:r>
      <w:r w:rsidR="005F3F4F">
        <w:rPr>
          <w:sz w:val="24"/>
          <w:szCs w:val="24"/>
        </w:rPr>
        <w:t xml:space="preserve"> to the BSEA</w:t>
      </w:r>
      <w:r>
        <w:rPr>
          <w:sz w:val="24"/>
          <w:szCs w:val="24"/>
        </w:rPr>
        <w:t>,</w:t>
      </w:r>
      <w:r w:rsidR="00710DBA">
        <w:rPr>
          <w:sz w:val="24"/>
          <w:szCs w:val="24"/>
        </w:rPr>
        <w:t xml:space="preserve"> not</w:t>
      </w:r>
      <w:r>
        <w:rPr>
          <w:sz w:val="24"/>
          <w:szCs w:val="24"/>
        </w:rPr>
        <w:t>ing</w:t>
      </w:r>
      <w:r w:rsidR="00710DBA">
        <w:rPr>
          <w:sz w:val="24"/>
          <w:szCs w:val="24"/>
        </w:rPr>
        <w:t xml:space="preserve"> that Parent had the same claims pending in District Court.  Further, </w:t>
      </w:r>
      <w:r>
        <w:rPr>
          <w:sz w:val="24"/>
          <w:szCs w:val="24"/>
        </w:rPr>
        <w:t xml:space="preserve">the BSEA has already ruled with respect to Parent’s claims regarding discrimination and retaliation. </w:t>
      </w:r>
      <w:r w:rsidR="007836E6">
        <w:rPr>
          <w:sz w:val="24"/>
          <w:szCs w:val="24"/>
        </w:rPr>
        <w:t>In the</w:t>
      </w:r>
      <w:r w:rsidR="00883411">
        <w:rPr>
          <w:sz w:val="24"/>
          <w:szCs w:val="24"/>
        </w:rPr>
        <w:t xml:space="preserve"> Ruling issued by Hearing Officer Kantor Nir on </w:t>
      </w:r>
      <w:r w:rsidR="00F636C7">
        <w:rPr>
          <w:sz w:val="24"/>
          <w:szCs w:val="24"/>
        </w:rPr>
        <w:t xml:space="preserve">May 13, 2022, </w:t>
      </w:r>
      <w:r w:rsidR="00C50F18">
        <w:rPr>
          <w:sz w:val="24"/>
          <w:szCs w:val="24"/>
        </w:rPr>
        <w:t>Parent’s claims</w:t>
      </w:r>
      <w:r>
        <w:rPr>
          <w:sz w:val="24"/>
          <w:szCs w:val="24"/>
        </w:rPr>
        <w:t xml:space="preserve"> in this regard</w:t>
      </w:r>
      <w:r w:rsidR="00C50F18">
        <w:rPr>
          <w:sz w:val="24"/>
          <w:szCs w:val="24"/>
        </w:rPr>
        <w:t xml:space="preserve"> were dismissed with prejudice</w:t>
      </w:r>
      <w:r w:rsidR="002F3D80">
        <w:rPr>
          <w:sz w:val="24"/>
          <w:szCs w:val="24"/>
        </w:rPr>
        <w:t>.</w:t>
      </w:r>
      <w:r w:rsidR="00C50F18">
        <w:rPr>
          <w:sz w:val="24"/>
          <w:szCs w:val="24"/>
        </w:rPr>
        <w:t xml:space="preserve"> </w:t>
      </w:r>
      <w:r w:rsidR="002F3D80">
        <w:rPr>
          <w:sz w:val="24"/>
          <w:szCs w:val="24"/>
        </w:rPr>
        <w:t xml:space="preserve"> </w:t>
      </w:r>
      <w:r w:rsidR="00200393">
        <w:rPr>
          <w:sz w:val="24"/>
          <w:szCs w:val="24"/>
        </w:rPr>
        <w:t xml:space="preserve">As the hearing officer stated, </w:t>
      </w:r>
      <w:r w:rsidR="009C0951">
        <w:rPr>
          <w:sz w:val="24"/>
          <w:szCs w:val="24"/>
        </w:rPr>
        <w:t xml:space="preserve">“I find that all of Parent’s claims … including fraud, harassment, and retaliation were raised and disposed of (or awaiting disposition by the Federal District Court) and, therefore, are </w:t>
      </w:r>
      <w:r w:rsidR="009C0951" w:rsidRPr="002F3D80">
        <w:rPr>
          <w:sz w:val="24"/>
          <w:szCs w:val="24"/>
        </w:rPr>
        <w:t xml:space="preserve">barred from my consideration in this matter based upon the principles of res judicata and collateral estoppel.  All claims for said </w:t>
      </w:r>
      <w:proofErr w:type="gramStart"/>
      <w:r w:rsidR="009C0951" w:rsidRPr="002F3D80">
        <w:rPr>
          <w:sz w:val="24"/>
          <w:szCs w:val="24"/>
        </w:rPr>
        <w:t>time period</w:t>
      </w:r>
      <w:proofErr w:type="gramEnd"/>
      <w:r w:rsidR="009C0951" w:rsidRPr="002F3D80">
        <w:rPr>
          <w:sz w:val="24"/>
          <w:szCs w:val="24"/>
        </w:rPr>
        <w:t xml:space="preserve"> which were not raised but could have been raised are similarly barred from litigation before me now.</w:t>
      </w:r>
      <w:r w:rsidR="00326632" w:rsidRPr="002F3D80">
        <w:rPr>
          <w:sz w:val="24"/>
          <w:szCs w:val="24"/>
        </w:rPr>
        <w:t>”</w:t>
      </w:r>
      <w:r w:rsidR="005930EE">
        <w:rPr>
          <w:sz w:val="24"/>
          <w:szCs w:val="24"/>
        </w:rPr>
        <w:t xml:space="preserve">  </w:t>
      </w:r>
      <w:r w:rsidR="00B655DB">
        <w:rPr>
          <w:sz w:val="24"/>
          <w:szCs w:val="24"/>
        </w:rPr>
        <w:t xml:space="preserve">I adopt the reasoning of Hearing Officer Kantor Nir </w:t>
      </w:r>
      <w:r w:rsidR="00CA76DD">
        <w:rPr>
          <w:sz w:val="24"/>
          <w:szCs w:val="24"/>
        </w:rPr>
        <w:t xml:space="preserve"> </w:t>
      </w:r>
      <w:r w:rsidR="00283581">
        <w:rPr>
          <w:sz w:val="24"/>
          <w:szCs w:val="24"/>
        </w:rPr>
        <w:t xml:space="preserve"> in </w:t>
      </w:r>
      <w:r w:rsidR="00CA76DD">
        <w:rPr>
          <w:sz w:val="24"/>
          <w:szCs w:val="24"/>
        </w:rPr>
        <w:t>her May 13, 2022 Ruling.  (</w:t>
      </w:r>
      <w:r w:rsidR="003F6702" w:rsidRPr="003F6702">
        <w:rPr>
          <w:i/>
          <w:iCs/>
          <w:sz w:val="24"/>
          <w:szCs w:val="24"/>
        </w:rPr>
        <w:t>In Re: Student v. Marshfield Public Schools</w:t>
      </w:r>
      <w:r w:rsidR="003F6702">
        <w:rPr>
          <w:sz w:val="24"/>
          <w:szCs w:val="24"/>
        </w:rPr>
        <w:t>, BSEA #2209242</w:t>
      </w:r>
      <w:r w:rsidR="00283581">
        <w:rPr>
          <w:sz w:val="24"/>
          <w:szCs w:val="24"/>
        </w:rPr>
        <w:t>, pp 18,1</w:t>
      </w:r>
      <w:r w:rsidR="002F3D80">
        <w:rPr>
          <w:sz w:val="24"/>
          <w:szCs w:val="24"/>
        </w:rPr>
        <w:t>9</w:t>
      </w:r>
      <w:r w:rsidR="003F6702">
        <w:rPr>
          <w:sz w:val="24"/>
          <w:szCs w:val="24"/>
        </w:rPr>
        <w:t xml:space="preserve"> (Ka</w:t>
      </w:r>
      <w:r w:rsidR="00283581">
        <w:rPr>
          <w:sz w:val="24"/>
          <w:szCs w:val="24"/>
        </w:rPr>
        <w:t>nt</w:t>
      </w:r>
      <w:r w:rsidR="003F6702">
        <w:rPr>
          <w:sz w:val="24"/>
          <w:szCs w:val="24"/>
        </w:rPr>
        <w:t>or Nir, 2022)</w:t>
      </w:r>
      <w:r w:rsidR="00283581">
        <w:rPr>
          <w:sz w:val="24"/>
          <w:szCs w:val="24"/>
        </w:rPr>
        <w:t>.</w:t>
      </w:r>
      <w:r w:rsidR="00CE4C3C">
        <w:rPr>
          <w:sz w:val="24"/>
          <w:szCs w:val="24"/>
        </w:rPr>
        <w:t xml:space="preserve">  </w:t>
      </w:r>
    </w:p>
    <w:p w14:paraId="33148F93" w14:textId="77777777" w:rsidR="001637E3" w:rsidRDefault="001637E3" w:rsidP="002D6E15">
      <w:pPr>
        <w:rPr>
          <w:sz w:val="24"/>
          <w:szCs w:val="24"/>
        </w:rPr>
      </w:pPr>
    </w:p>
    <w:p w14:paraId="74130ACC" w14:textId="27E0C90D" w:rsidR="00CE4C3C" w:rsidRDefault="00CE4C3C" w:rsidP="002D6E15">
      <w:pPr>
        <w:rPr>
          <w:sz w:val="24"/>
          <w:szCs w:val="24"/>
        </w:rPr>
      </w:pPr>
      <w:r>
        <w:rPr>
          <w:sz w:val="24"/>
          <w:szCs w:val="24"/>
        </w:rPr>
        <w:t>Although</w:t>
      </w:r>
      <w:r w:rsidR="00283581">
        <w:rPr>
          <w:sz w:val="24"/>
          <w:szCs w:val="24"/>
        </w:rPr>
        <w:t xml:space="preserve"> in the instant matter</w:t>
      </w:r>
      <w:r>
        <w:rPr>
          <w:sz w:val="24"/>
          <w:szCs w:val="24"/>
        </w:rPr>
        <w:t xml:space="preserve"> Parent’s Request for Hearing does not allege specific facts </w:t>
      </w:r>
      <w:r w:rsidR="001637E3">
        <w:rPr>
          <w:sz w:val="24"/>
          <w:szCs w:val="24"/>
        </w:rPr>
        <w:t>regarding claims</w:t>
      </w:r>
      <w:r>
        <w:rPr>
          <w:sz w:val="24"/>
          <w:szCs w:val="24"/>
        </w:rPr>
        <w:t xml:space="preserve"> </w:t>
      </w:r>
      <w:r w:rsidR="00283581">
        <w:rPr>
          <w:sz w:val="24"/>
          <w:szCs w:val="24"/>
        </w:rPr>
        <w:t xml:space="preserve">of </w:t>
      </w:r>
      <w:r>
        <w:rPr>
          <w:sz w:val="24"/>
          <w:szCs w:val="24"/>
        </w:rPr>
        <w:t xml:space="preserve">discrimination and retaliation, Parent’s Opposition to Marshfield’s Motion to Dismiss </w:t>
      </w:r>
      <w:r w:rsidR="00572074">
        <w:rPr>
          <w:sz w:val="24"/>
          <w:szCs w:val="24"/>
        </w:rPr>
        <w:t xml:space="preserve">includes nineteen pages of excerpts from purported emails and a chronology of events that allegedly occurred between 2018 and </w:t>
      </w:r>
      <w:r w:rsidR="00EF0B68">
        <w:rPr>
          <w:sz w:val="24"/>
          <w:szCs w:val="24"/>
        </w:rPr>
        <w:t xml:space="preserve">2019.  Even if the issues were not precluded by res judicata and collateral estoppel, they would be barred by the statute of limitations as described above.  </w:t>
      </w:r>
      <w:r w:rsidR="00F64FE3">
        <w:rPr>
          <w:sz w:val="24"/>
          <w:szCs w:val="24"/>
        </w:rPr>
        <w:t xml:space="preserve">The events alleged by Parent occurred between 2018 and 2019.  She filed her most recent </w:t>
      </w:r>
      <w:r w:rsidR="00283581">
        <w:rPr>
          <w:sz w:val="24"/>
          <w:szCs w:val="24"/>
        </w:rPr>
        <w:t>R</w:t>
      </w:r>
      <w:r w:rsidR="00F64FE3">
        <w:rPr>
          <w:sz w:val="24"/>
          <w:szCs w:val="24"/>
        </w:rPr>
        <w:t xml:space="preserve">equest for Hearing on January 6, 2023.  Thus, as </w:t>
      </w:r>
      <w:r w:rsidR="00283581">
        <w:rPr>
          <w:sz w:val="24"/>
          <w:szCs w:val="24"/>
        </w:rPr>
        <w:t>set forth</w:t>
      </w:r>
      <w:r w:rsidR="00F64FE3">
        <w:rPr>
          <w:sz w:val="24"/>
          <w:szCs w:val="24"/>
        </w:rPr>
        <w:t xml:space="preserve"> above, </w:t>
      </w:r>
      <w:proofErr w:type="gramStart"/>
      <w:r w:rsidR="00283581">
        <w:rPr>
          <w:sz w:val="24"/>
          <w:szCs w:val="24"/>
        </w:rPr>
        <w:t>in order to</w:t>
      </w:r>
      <w:proofErr w:type="gramEnd"/>
      <w:r w:rsidR="00283581">
        <w:rPr>
          <w:sz w:val="24"/>
          <w:szCs w:val="24"/>
        </w:rPr>
        <w:t xml:space="preserve"> be viable, </w:t>
      </w:r>
      <w:r w:rsidR="00F64FE3">
        <w:rPr>
          <w:sz w:val="24"/>
          <w:szCs w:val="24"/>
        </w:rPr>
        <w:t>Parent’s claims would have had to be filed with the BSEA by 2020 and 2021</w:t>
      </w:r>
      <w:r w:rsidR="00283581">
        <w:rPr>
          <w:sz w:val="24"/>
          <w:szCs w:val="24"/>
        </w:rPr>
        <w:t>,</w:t>
      </w:r>
      <w:r w:rsidR="00F64FE3">
        <w:rPr>
          <w:sz w:val="24"/>
          <w:szCs w:val="24"/>
        </w:rPr>
        <w:t xml:space="preserve"> respectively</w:t>
      </w:r>
      <w:r w:rsidR="00283581">
        <w:rPr>
          <w:sz w:val="24"/>
          <w:szCs w:val="24"/>
        </w:rPr>
        <w:t>.</w:t>
      </w:r>
      <w:r w:rsidR="001637E3">
        <w:rPr>
          <w:sz w:val="24"/>
          <w:szCs w:val="24"/>
        </w:rPr>
        <w:t xml:space="preserve"> </w:t>
      </w:r>
      <w:r w:rsidR="003333EC">
        <w:rPr>
          <w:sz w:val="24"/>
          <w:szCs w:val="24"/>
        </w:rPr>
        <w:t xml:space="preserve"> For the foregoing reasons, Parent’s claims with respect to discrimination and retaliation are dismissed </w:t>
      </w:r>
      <w:r w:rsidR="003333EC" w:rsidRPr="003333EC">
        <w:rPr>
          <w:i/>
          <w:iCs/>
          <w:sz w:val="24"/>
          <w:szCs w:val="24"/>
        </w:rPr>
        <w:t>with prejudice</w:t>
      </w:r>
      <w:r w:rsidR="003333EC">
        <w:rPr>
          <w:sz w:val="24"/>
          <w:szCs w:val="24"/>
        </w:rPr>
        <w:t xml:space="preserve">.  </w:t>
      </w:r>
    </w:p>
    <w:p w14:paraId="73FCE08B" w14:textId="473F2723" w:rsidR="0084278D" w:rsidRDefault="0084278D" w:rsidP="002D6E15">
      <w:pPr>
        <w:rPr>
          <w:sz w:val="24"/>
          <w:szCs w:val="24"/>
        </w:rPr>
      </w:pPr>
    </w:p>
    <w:p w14:paraId="73F74E48" w14:textId="1ACE619E" w:rsidR="00D316E8" w:rsidRDefault="003333EC" w:rsidP="00D316E8">
      <w:pPr>
        <w:rPr>
          <w:sz w:val="24"/>
          <w:szCs w:val="24"/>
        </w:rPr>
      </w:pPr>
      <w:r>
        <w:rPr>
          <w:sz w:val="24"/>
          <w:szCs w:val="24"/>
        </w:rPr>
        <w:t>Parent’s Request for Hearing states that Marshfield has not allowed Parent timely access to all education records</w:t>
      </w:r>
      <w:r w:rsidR="00DA4108">
        <w:rPr>
          <w:sz w:val="24"/>
          <w:szCs w:val="24"/>
        </w:rPr>
        <w:t xml:space="preserve"> and that Marshfield “issues documents to Parent in a method that Parent cannot access -- DocuSign</w:t>
      </w:r>
      <w:r>
        <w:rPr>
          <w:sz w:val="24"/>
          <w:szCs w:val="24"/>
        </w:rPr>
        <w:t>.</w:t>
      </w:r>
      <w:r w:rsidR="00DA4108">
        <w:rPr>
          <w:sz w:val="24"/>
          <w:szCs w:val="24"/>
        </w:rPr>
        <w:t>”</w:t>
      </w:r>
      <w:r>
        <w:rPr>
          <w:sz w:val="24"/>
          <w:szCs w:val="24"/>
        </w:rPr>
        <w:t xml:space="preserve">  </w:t>
      </w:r>
      <w:r w:rsidR="00DA4108">
        <w:rPr>
          <w:sz w:val="24"/>
          <w:szCs w:val="24"/>
        </w:rPr>
        <w:t xml:space="preserve">The </w:t>
      </w:r>
      <w:r w:rsidR="004E4983">
        <w:rPr>
          <w:sz w:val="24"/>
          <w:szCs w:val="24"/>
        </w:rPr>
        <w:t>H</w:t>
      </w:r>
      <w:r w:rsidR="00DA4108">
        <w:rPr>
          <w:sz w:val="24"/>
          <w:szCs w:val="24"/>
        </w:rPr>
        <w:t xml:space="preserve">earing </w:t>
      </w:r>
      <w:r w:rsidR="004E4983">
        <w:rPr>
          <w:sz w:val="24"/>
          <w:szCs w:val="24"/>
        </w:rPr>
        <w:t>R</w:t>
      </w:r>
      <w:r w:rsidR="00DA4108">
        <w:rPr>
          <w:sz w:val="24"/>
          <w:szCs w:val="24"/>
        </w:rPr>
        <w:t>equest does not include specific facts to support Parent’s claim</w:t>
      </w:r>
      <w:r w:rsidR="004E4983">
        <w:rPr>
          <w:sz w:val="24"/>
          <w:szCs w:val="24"/>
        </w:rPr>
        <w:t xml:space="preserve"> such as when Parent was allegedly denied access and what if any harm occurred as a result</w:t>
      </w:r>
      <w:r w:rsidR="00DA4108">
        <w:rPr>
          <w:sz w:val="24"/>
          <w:szCs w:val="24"/>
        </w:rPr>
        <w:t>.  Hearing Officer Kantor Nir has ruled</w:t>
      </w:r>
      <w:r w:rsidR="00283581">
        <w:rPr>
          <w:sz w:val="24"/>
          <w:szCs w:val="24"/>
        </w:rPr>
        <w:t xml:space="preserve"> in a previous matter involving the instant </w:t>
      </w:r>
      <w:r w:rsidR="00F67876">
        <w:rPr>
          <w:sz w:val="24"/>
          <w:szCs w:val="24"/>
        </w:rPr>
        <w:t>parties that</w:t>
      </w:r>
      <w:r w:rsidR="00DA4108">
        <w:rPr>
          <w:sz w:val="24"/>
          <w:szCs w:val="24"/>
        </w:rPr>
        <w:t xml:space="preserve"> the BSEA does </w:t>
      </w:r>
      <w:r w:rsidR="00876162">
        <w:rPr>
          <w:sz w:val="24"/>
          <w:szCs w:val="24"/>
        </w:rPr>
        <w:t>not have</w:t>
      </w:r>
      <w:r w:rsidR="00DA4108">
        <w:rPr>
          <w:sz w:val="24"/>
          <w:szCs w:val="24"/>
        </w:rPr>
        <w:t xml:space="preserve"> jurisdiction over claims with respect to accessing student </w:t>
      </w:r>
      <w:r w:rsidR="00DA4108">
        <w:rPr>
          <w:sz w:val="24"/>
          <w:szCs w:val="24"/>
        </w:rPr>
        <w:lastRenderedPageBreak/>
        <w:t xml:space="preserve">records.  See </w:t>
      </w:r>
      <w:r w:rsidR="00ED2D8C" w:rsidRPr="00ED2D8C">
        <w:rPr>
          <w:i/>
          <w:iCs/>
          <w:sz w:val="24"/>
          <w:szCs w:val="24"/>
        </w:rPr>
        <w:t>I</w:t>
      </w:r>
      <w:r w:rsidR="00DA4108" w:rsidRPr="00ED2D8C">
        <w:rPr>
          <w:i/>
          <w:iCs/>
          <w:sz w:val="24"/>
          <w:szCs w:val="24"/>
        </w:rPr>
        <w:t xml:space="preserve">n Re: Student v. </w:t>
      </w:r>
      <w:r w:rsidR="0022029B" w:rsidRPr="00ED2D8C">
        <w:rPr>
          <w:i/>
          <w:iCs/>
          <w:sz w:val="24"/>
          <w:szCs w:val="24"/>
        </w:rPr>
        <w:t>Ma</w:t>
      </w:r>
      <w:r w:rsidR="0022029B">
        <w:rPr>
          <w:i/>
          <w:iCs/>
          <w:sz w:val="24"/>
          <w:szCs w:val="24"/>
        </w:rPr>
        <w:t>rsh</w:t>
      </w:r>
      <w:r w:rsidR="0022029B" w:rsidRPr="00ED2D8C">
        <w:rPr>
          <w:i/>
          <w:iCs/>
          <w:sz w:val="24"/>
          <w:szCs w:val="24"/>
        </w:rPr>
        <w:t>field</w:t>
      </w:r>
      <w:r w:rsidR="00DA4108" w:rsidRPr="00ED2D8C">
        <w:rPr>
          <w:i/>
          <w:iCs/>
          <w:sz w:val="24"/>
          <w:szCs w:val="24"/>
        </w:rPr>
        <w:t xml:space="preserve"> Public Schools</w:t>
      </w:r>
      <w:r w:rsidR="00DA4108">
        <w:rPr>
          <w:sz w:val="24"/>
          <w:szCs w:val="24"/>
        </w:rPr>
        <w:t>, BSEA #2209242 at 16</w:t>
      </w:r>
      <w:r w:rsidR="00283581">
        <w:rPr>
          <w:sz w:val="24"/>
          <w:szCs w:val="24"/>
        </w:rPr>
        <w:t>,</w:t>
      </w:r>
      <w:r w:rsidR="00DA4108">
        <w:rPr>
          <w:sz w:val="24"/>
          <w:szCs w:val="24"/>
        </w:rPr>
        <w:t xml:space="preserve"> </w:t>
      </w:r>
      <w:r w:rsidR="00D316E8">
        <w:rPr>
          <w:sz w:val="24"/>
          <w:szCs w:val="24"/>
        </w:rPr>
        <w:t>“the BSEA is not the appropriate administrative agency to enforce Parent’s rights relative to her educational record violation claims."</w:t>
      </w:r>
      <w:r w:rsidR="0022029B">
        <w:rPr>
          <w:sz w:val="24"/>
          <w:szCs w:val="24"/>
        </w:rPr>
        <w:t>;</w:t>
      </w:r>
      <w:r w:rsidR="00D316E8">
        <w:rPr>
          <w:sz w:val="24"/>
          <w:szCs w:val="24"/>
        </w:rPr>
        <w:t xml:space="preserve"> </w:t>
      </w:r>
      <w:proofErr w:type="gramStart"/>
      <w:r w:rsidR="00D316E8">
        <w:rPr>
          <w:sz w:val="24"/>
          <w:szCs w:val="24"/>
        </w:rPr>
        <w:t>and,</w:t>
      </w:r>
      <w:proofErr w:type="gramEnd"/>
      <w:r w:rsidR="0022029B">
        <w:rPr>
          <w:sz w:val="24"/>
          <w:szCs w:val="24"/>
        </w:rPr>
        <w:t xml:space="preserve"> </w:t>
      </w:r>
      <w:r w:rsidR="00283581">
        <w:rPr>
          <w:sz w:val="24"/>
          <w:szCs w:val="24"/>
        </w:rPr>
        <w:t xml:space="preserve">“Because the BSEA is not the appropriate forum in which to assert claims regarding FERPA and Massachusetts student records law, all non-FAPE based educational record claims must be </w:t>
      </w:r>
      <w:r w:rsidR="00283581" w:rsidRPr="00711824">
        <w:rPr>
          <w:sz w:val="24"/>
          <w:szCs w:val="24"/>
          <w:u w:val="single"/>
        </w:rPr>
        <w:t>dismissed</w:t>
      </w:r>
      <w:r w:rsidR="00283581">
        <w:rPr>
          <w:sz w:val="24"/>
          <w:szCs w:val="24"/>
        </w:rPr>
        <w:t xml:space="preserve"> for lack of subject matter jurisdiction.”  </w:t>
      </w:r>
      <w:r w:rsidR="00283581" w:rsidRPr="00711824">
        <w:rPr>
          <w:i/>
          <w:iCs/>
          <w:sz w:val="24"/>
          <w:szCs w:val="24"/>
        </w:rPr>
        <w:t>Id.</w:t>
      </w:r>
      <w:r w:rsidR="00283581">
        <w:rPr>
          <w:sz w:val="24"/>
          <w:szCs w:val="24"/>
        </w:rPr>
        <w:t xml:space="preserve"> at 16.  </w:t>
      </w:r>
      <w:r w:rsidR="00D316E8">
        <w:rPr>
          <w:sz w:val="24"/>
          <w:szCs w:val="24"/>
        </w:rPr>
        <w:t>This claim regarding educational records is thus</w:t>
      </w:r>
      <w:r w:rsidR="00ED2D8C">
        <w:rPr>
          <w:sz w:val="24"/>
          <w:szCs w:val="24"/>
        </w:rPr>
        <w:t xml:space="preserve"> barred based upon </w:t>
      </w:r>
      <w:r w:rsidR="00D316E8">
        <w:rPr>
          <w:sz w:val="24"/>
          <w:szCs w:val="24"/>
        </w:rPr>
        <w:t xml:space="preserve">the </w:t>
      </w:r>
      <w:r w:rsidR="00ED2D8C">
        <w:rPr>
          <w:sz w:val="24"/>
          <w:szCs w:val="24"/>
        </w:rPr>
        <w:t xml:space="preserve">principles of res judicata and collateral estoppel </w:t>
      </w:r>
      <w:r w:rsidR="00D316E8">
        <w:rPr>
          <w:sz w:val="24"/>
          <w:szCs w:val="24"/>
        </w:rPr>
        <w:t>(</w:t>
      </w:r>
      <w:r w:rsidR="00ED2D8C">
        <w:rPr>
          <w:sz w:val="24"/>
          <w:szCs w:val="24"/>
        </w:rPr>
        <w:t>as the BSEA has already dismissed this claim</w:t>
      </w:r>
      <w:r w:rsidR="00D316E8">
        <w:rPr>
          <w:sz w:val="24"/>
          <w:szCs w:val="24"/>
        </w:rPr>
        <w:t xml:space="preserve">), as well as lack of subject matter </w:t>
      </w:r>
      <w:r w:rsidR="0022029B">
        <w:rPr>
          <w:sz w:val="24"/>
          <w:szCs w:val="24"/>
        </w:rPr>
        <w:t>jurisdiction</w:t>
      </w:r>
      <w:r w:rsidR="00ED2D8C">
        <w:rPr>
          <w:sz w:val="24"/>
          <w:szCs w:val="24"/>
        </w:rPr>
        <w:t xml:space="preserve"> </w:t>
      </w:r>
      <w:r w:rsidR="00D316E8">
        <w:rPr>
          <w:sz w:val="24"/>
          <w:szCs w:val="24"/>
        </w:rPr>
        <w:t xml:space="preserve">and as such is dismissed </w:t>
      </w:r>
      <w:r w:rsidR="00D316E8" w:rsidRPr="004E4983">
        <w:rPr>
          <w:i/>
          <w:iCs/>
          <w:sz w:val="24"/>
          <w:szCs w:val="24"/>
        </w:rPr>
        <w:t>with prejudice</w:t>
      </w:r>
      <w:r w:rsidR="00D316E8">
        <w:rPr>
          <w:sz w:val="24"/>
          <w:szCs w:val="24"/>
        </w:rPr>
        <w:t>.</w:t>
      </w:r>
    </w:p>
    <w:p w14:paraId="4312A826" w14:textId="64F986F4" w:rsidR="00967F67" w:rsidRDefault="00967F67" w:rsidP="002D6E15">
      <w:pPr>
        <w:rPr>
          <w:sz w:val="24"/>
          <w:szCs w:val="24"/>
        </w:rPr>
      </w:pPr>
    </w:p>
    <w:p w14:paraId="77210A68" w14:textId="3780B0AE" w:rsidR="00967F67" w:rsidRDefault="00967F67" w:rsidP="002D6E15">
      <w:pPr>
        <w:rPr>
          <w:sz w:val="24"/>
          <w:szCs w:val="24"/>
        </w:rPr>
      </w:pPr>
      <w:r>
        <w:rPr>
          <w:sz w:val="24"/>
          <w:szCs w:val="24"/>
        </w:rPr>
        <w:t>Parent’s claims with respect to not being permitted to ask questions regarding whether Marshfield Public Schools is a safe, non-hostile, non-retaliatory pendency placement and/or prospective placement fails to state a claim on which relief can be granted</w:t>
      </w:r>
      <w:r w:rsidR="00D316E8">
        <w:rPr>
          <w:sz w:val="24"/>
          <w:szCs w:val="24"/>
        </w:rPr>
        <w:t xml:space="preserve">, as </w:t>
      </w:r>
      <w:r w:rsidR="008C11D2">
        <w:rPr>
          <w:sz w:val="24"/>
          <w:szCs w:val="24"/>
        </w:rPr>
        <w:t>t</w:t>
      </w:r>
      <w:r w:rsidR="00D316E8">
        <w:rPr>
          <w:sz w:val="24"/>
          <w:szCs w:val="24"/>
        </w:rPr>
        <w:t>here</w:t>
      </w:r>
      <w:r>
        <w:rPr>
          <w:sz w:val="24"/>
          <w:szCs w:val="24"/>
        </w:rPr>
        <w:t xml:space="preserve"> is no allegation that Marshfield Public Schools has been proposed as Student’s placement for any of the relevant time</w:t>
      </w:r>
      <w:r w:rsidR="00D316E8">
        <w:rPr>
          <w:sz w:val="24"/>
          <w:szCs w:val="24"/>
        </w:rPr>
        <w:t>frame</w:t>
      </w:r>
      <w:r>
        <w:rPr>
          <w:sz w:val="24"/>
          <w:szCs w:val="24"/>
        </w:rPr>
        <w:t>.</w:t>
      </w:r>
      <w:r w:rsidR="00920E14">
        <w:rPr>
          <w:sz w:val="24"/>
          <w:szCs w:val="24"/>
        </w:rPr>
        <w:t xml:space="preserve">  T</w:t>
      </w:r>
      <w:r w:rsidR="00A73EC6">
        <w:rPr>
          <w:sz w:val="24"/>
          <w:szCs w:val="24"/>
        </w:rPr>
        <w:t xml:space="preserve">his claim is dismissed </w:t>
      </w:r>
      <w:r w:rsidR="00A73EC6" w:rsidRPr="00A73EC6">
        <w:rPr>
          <w:i/>
          <w:iCs/>
          <w:sz w:val="24"/>
          <w:szCs w:val="24"/>
        </w:rPr>
        <w:t>with prejudice</w:t>
      </w:r>
      <w:r w:rsidR="00A73EC6">
        <w:rPr>
          <w:sz w:val="24"/>
          <w:szCs w:val="24"/>
        </w:rPr>
        <w:t>.</w:t>
      </w:r>
      <w:r>
        <w:rPr>
          <w:sz w:val="24"/>
          <w:szCs w:val="24"/>
        </w:rPr>
        <w:t xml:space="preserve"> </w:t>
      </w:r>
    </w:p>
    <w:p w14:paraId="549EA8A0" w14:textId="77777777" w:rsidR="00EE63A3" w:rsidRDefault="00EE63A3" w:rsidP="002D6E15">
      <w:pPr>
        <w:rPr>
          <w:sz w:val="24"/>
          <w:szCs w:val="24"/>
        </w:rPr>
      </w:pPr>
    </w:p>
    <w:p w14:paraId="76B63A2C" w14:textId="1FED4B85" w:rsidR="0084278D" w:rsidRDefault="00EE63A3" w:rsidP="002D6E15">
      <w:pPr>
        <w:rPr>
          <w:sz w:val="24"/>
          <w:szCs w:val="24"/>
        </w:rPr>
      </w:pPr>
      <w:r>
        <w:rPr>
          <w:sz w:val="24"/>
          <w:szCs w:val="24"/>
        </w:rPr>
        <w:t xml:space="preserve">With respect to Parent’s claim regarding Marshfield’s alleged failure to address Student’s needs in a Covid-19 setting, this issue is barred by the statute of limitations.  </w:t>
      </w:r>
      <w:r w:rsidR="00DB039F">
        <w:rPr>
          <w:sz w:val="24"/>
          <w:szCs w:val="24"/>
        </w:rPr>
        <w:t xml:space="preserve">Parent’s Hearing Request contains a section which appears to </w:t>
      </w:r>
      <w:r w:rsidR="00E57B7F">
        <w:rPr>
          <w:sz w:val="24"/>
          <w:szCs w:val="24"/>
        </w:rPr>
        <w:t>be excerpted</w:t>
      </w:r>
      <w:r w:rsidR="00DB039F">
        <w:rPr>
          <w:sz w:val="24"/>
          <w:szCs w:val="24"/>
        </w:rPr>
        <w:t xml:space="preserve"> and</w:t>
      </w:r>
      <w:r w:rsidR="00620E9A">
        <w:rPr>
          <w:sz w:val="24"/>
          <w:szCs w:val="24"/>
        </w:rPr>
        <w:t xml:space="preserve"> cut and paste</w:t>
      </w:r>
      <w:r w:rsidR="008C11D2">
        <w:rPr>
          <w:sz w:val="24"/>
          <w:szCs w:val="24"/>
        </w:rPr>
        <w:t>d</w:t>
      </w:r>
      <w:r w:rsidR="00620E9A">
        <w:rPr>
          <w:sz w:val="24"/>
          <w:szCs w:val="24"/>
        </w:rPr>
        <w:t xml:space="preserve"> from a letter</w:t>
      </w:r>
      <w:r w:rsidR="008C11D2">
        <w:rPr>
          <w:sz w:val="24"/>
          <w:szCs w:val="24"/>
        </w:rPr>
        <w:t xml:space="preserve"> rejecting the January 6, 2021-January 1, 2022 IEP,</w:t>
      </w:r>
      <w:r w:rsidR="00620E9A">
        <w:rPr>
          <w:sz w:val="24"/>
          <w:szCs w:val="24"/>
        </w:rPr>
        <w:t xml:space="preserve"> which the Hearing Requ</w:t>
      </w:r>
      <w:r w:rsidR="008C11D2">
        <w:rPr>
          <w:sz w:val="24"/>
          <w:szCs w:val="24"/>
        </w:rPr>
        <w:t>e</w:t>
      </w:r>
      <w:r w:rsidR="00620E9A">
        <w:rPr>
          <w:sz w:val="24"/>
          <w:szCs w:val="24"/>
        </w:rPr>
        <w:t>st states was written on January 1, 2021</w:t>
      </w:r>
      <w:r w:rsidR="008C11D2">
        <w:rPr>
          <w:sz w:val="24"/>
          <w:szCs w:val="24"/>
        </w:rPr>
        <w:t>,</w:t>
      </w:r>
      <w:r w:rsidR="00620E9A">
        <w:rPr>
          <w:sz w:val="24"/>
          <w:szCs w:val="24"/>
        </w:rPr>
        <w:t xml:space="preserve"> </w:t>
      </w:r>
      <w:r w:rsidR="008C11D2">
        <w:rPr>
          <w:sz w:val="24"/>
          <w:szCs w:val="24"/>
        </w:rPr>
        <w:t xml:space="preserve">and </w:t>
      </w:r>
      <w:r w:rsidR="00620E9A">
        <w:rPr>
          <w:sz w:val="24"/>
          <w:szCs w:val="24"/>
        </w:rPr>
        <w:t xml:space="preserve">previously provided </w:t>
      </w:r>
      <w:r w:rsidR="008C11D2">
        <w:rPr>
          <w:sz w:val="24"/>
          <w:szCs w:val="24"/>
        </w:rPr>
        <w:t xml:space="preserve">to </w:t>
      </w:r>
      <w:r w:rsidR="00620E9A">
        <w:rPr>
          <w:sz w:val="24"/>
          <w:szCs w:val="24"/>
        </w:rPr>
        <w:t>Marshfield</w:t>
      </w:r>
      <w:r w:rsidR="008C11D2">
        <w:rPr>
          <w:sz w:val="24"/>
          <w:szCs w:val="24"/>
        </w:rPr>
        <w:t>.</w:t>
      </w:r>
      <w:r w:rsidR="00620E9A">
        <w:rPr>
          <w:sz w:val="24"/>
          <w:szCs w:val="24"/>
        </w:rPr>
        <w:t xml:space="preserve">  In this purported letter, item #6 states that “The prior/proposed IEP fails to address my child’s special education needs in a private school setting and/or in a Covid-19 remote/hybrid education setting.”  The reference to the prior/proposed IEP in a letter dated January 9, 2021 would have been</w:t>
      </w:r>
      <w:r w:rsidR="008C11D2">
        <w:rPr>
          <w:sz w:val="24"/>
          <w:szCs w:val="24"/>
        </w:rPr>
        <w:t xml:space="preserve"> to</w:t>
      </w:r>
      <w:r w:rsidR="00620E9A">
        <w:rPr>
          <w:sz w:val="24"/>
          <w:szCs w:val="24"/>
        </w:rPr>
        <w:t xml:space="preserve"> the IEP for the period from January 2020-January 2021 and is thus barred by the statute of limitations.</w:t>
      </w:r>
    </w:p>
    <w:p w14:paraId="3A22D4BE" w14:textId="654850B7" w:rsidR="00A8662F" w:rsidRDefault="00A8662F" w:rsidP="002D6E15">
      <w:pPr>
        <w:rPr>
          <w:sz w:val="24"/>
          <w:szCs w:val="24"/>
        </w:rPr>
      </w:pPr>
    </w:p>
    <w:p w14:paraId="0A8458B4" w14:textId="77777777" w:rsidR="008B382F" w:rsidRDefault="00A8662F" w:rsidP="002D6E15">
      <w:pPr>
        <w:rPr>
          <w:sz w:val="24"/>
          <w:szCs w:val="24"/>
        </w:rPr>
      </w:pPr>
      <w:r>
        <w:rPr>
          <w:sz w:val="24"/>
          <w:szCs w:val="24"/>
        </w:rPr>
        <w:t>Parent’s claims regarding alleged procedural violations at the January 6, 2021 survive the Motion to Dismiss.  Parent may raise these procedural issues including the allegation of inadequate notice to Parent and Student</w:t>
      </w:r>
      <w:r w:rsidR="006A2FD6">
        <w:rPr>
          <w:sz w:val="24"/>
          <w:szCs w:val="24"/>
        </w:rPr>
        <w:t>;</w:t>
      </w:r>
      <w:r>
        <w:rPr>
          <w:sz w:val="24"/>
          <w:szCs w:val="24"/>
        </w:rPr>
        <w:t xml:space="preserve"> the attendance and participation of district counsel at the meeting</w:t>
      </w:r>
      <w:r w:rsidR="006A2FD6">
        <w:rPr>
          <w:sz w:val="24"/>
          <w:szCs w:val="24"/>
        </w:rPr>
        <w:t>;</w:t>
      </w:r>
      <w:r>
        <w:rPr>
          <w:sz w:val="24"/>
          <w:szCs w:val="24"/>
        </w:rPr>
        <w:t xml:space="preserve"> and the alleged denial of Parent’s/Student’s right to participate and provide input at the meeting. </w:t>
      </w:r>
      <w:r w:rsidR="00967F67">
        <w:rPr>
          <w:sz w:val="24"/>
          <w:szCs w:val="24"/>
        </w:rPr>
        <w:t xml:space="preserve">Parent may also raise the issue of whether out of district personnel were invited to participate in team meetings. </w:t>
      </w:r>
      <w:r w:rsidR="008B382F">
        <w:rPr>
          <w:sz w:val="24"/>
          <w:szCs w:val="24"/>
        </w:rPr>
        <w:t>Although Marshfield’s Motion to Dismiss includes exhibits which it argues disproves some of Parent’s allegations, the determination of whether a claim survives a Motion to Dismiss is made solely on the Hearing Request, and not additional evidence.</w:t>
      </w:r>
      <w:r w:rsidR="00967F67">
        <w:rPr>
          <w:sz w:val="24"/>
          <w:szCs w:val="24"/>
        </w:rPr>
        <w:t xml:space="preserve"> </w:t>
      </w:r>
      <w:r>
        <w:rPr>
          <w:sz w:val="24"/>
          <w:szCs w:val="24"/>
        </w:rPr>
        <w:t xml:space="preserve"> </w:t>
      </w:r>
    </w:p>
    <w:p w14:paraId="7C39FC38" w14:textId="77777777" w:rsidR="008B382F" w:rsidRDefault="008B382F" w:rsidP="002D6E15">
      <w:pPr>
        <w:rPr>
          <w:sz w:val="24"/>
          <w:szCs w:val="24"/>
        </w:rPr>
      </w:pPr>
    </w:p>
    <w:p w14:paraId="04E9668B" w14:textId="340E133A" w:rsidR="008B382F" w:rsidRDefault="006A2FD6" w:rsidP="002D6E15">
      <w:pPr>
        <w:rPr>
          <w:sz w:val="24"/>
          <w:szCs w:val="24"/>
        </w:rPr>
      </w:pPr>
      <w:r>
        <w:rPr>
          <w:sz w:val="24"/>
          <w:szCs w:val="24"/>
        </w:rPr>
        <w:t xml:space="preserve">Parent’s claims that the proposed IEP was not reasonably calculated to allow Student to make effective </w:t>
      </w:r>
      <w:r w:rsidR="00E35565">
        <w:rPr>
          <w:sz w:val="24"/>
          <w:szCs w:val="24"/>
        </w:rPr>
        <w:t>progress may</w:t>
      </w:r>
      <w:r w:rsidR="008C11D2">
        <w:rPr>
          <w:sz w:val="24"/>
          <w:szCs w:val="24"/>
        </w:rPr>
        <w:t xml:space="preserve"> also</w:t>
      </w:r>
      <w:r>
        <w:rPr>
          <w:sz w:val="24"/>
          <w:szCs w:val="24"/>
        </w:rPr>
        <w:t xml:space="preserve"> proceed</w:t>
      </w:r>
      <w:r w:rsidR="008C11D2">
        <w:rPr>
          <w:sz w:val="24"/>
          <w:szCs w:val="24"/>
        </w:rPr>
        <w:t>, as may</w:t>
      </w:r>
      <w:r w:rsidR="008B382F">
        <w:rPr>
          <w:sz w:val="24"/>
          <w:szCs w:val="24"/>
        </w:rPr>
        <w:t xml:space="preserve"> her claims for reimbursement for the IEP period from January 6, 2021 through January 5, </w:t>
      </w:r>
      <w:r w:rsidR="00DE2E12">
        <w:rPr>
          <w:sz w:val="24"/>
          <w:szCs w:val="24"/>
        </w:rPr>
        <w:t>2022.</w:t>
      </w:r>
      <w:r w:rsidR="008B382F">
        <w:rPr>
          <w:sz w:val="24"/>
          <w:szCs w:val="24"/>
        </w:rPr>
        <w:t xml:space="preserve">  </w:t>
      </w:r>
    </w:p>
    <w:p w14:paraId="3618E1B5" w14:textId="77777777" w:rsidR="008B382F" w:rsidRDefault="008B382F" w:rsidP="002D6E15">
      <w:pPr>
        <w:rPr>
          <w:sz w:val="24"/>
          <w:szCs w:val="24"/>
        </w:rPr>
      </w:pPr>
    </w:p>
    <w:p w14:paraId="224D7890" w14:textId="15F2DFC4" w:rsidR="00A8662F" w:rsidRDefault="008B382F" w:rsidP="002D6E15">
      <w:pPr>
        <w:rPr>
          <w:sz w:val="24"/>
          <w:szCs w:val="24"/>
        </w:rPr>
      </w:pPr>
      <w:r>
        <w:rPr>
          <w:sz w:val="24"/>
          <w:szCs w:val="24"/>
        </w:rPr>
        <w:t>Parent’s claims with respect to the IEP proposed on or about December 2021 or January 2022</w:t>
      </w:r>
      <w:r w:rsidR="00880260">
        <w:rPr>
          <w:sz w:val="24"/>
          <w:szCs w:val="24"/>
        </w:rPr>
        <w:t xml:space="preserve"> and the procedural issues raised with respect to the Team meeting (the meeting not being scheduled at a mutually agreeable time, Marshfield not inviting participants from another public school, and the IEP being allegedly cut and paste</w:t>
      </w:r>
      <w:r w:rsidR="008C11D2">
        <w:rPr>
          <w:sz w:val="24"/>
          <w:szCs w:val="24"/>
        </w:rPr>
        <w:t>d</w:t>
      </w:r>
      <w:r w:rsidR="00880260">
        <w:rPr>
          <w:sz w:val="24"/>
          <w:szCs w:val="24"/>
        </w:rPr>
        <w:t xml:space="preserve"> from a prior IEP) may proceed.</w:t>
      </w:r>
      <w:r w:rsidR="006A2FD6">
        <w:rPr>
          <w:sz w:val="24"/>
          <w:szCs w:val="24"/>
        </w:rPr>
        <w:t xml:space="preserve"> </w:t>
      </w:r>
      <w:r w:rsidR="00880260">
        <w:rPr>
          <w:sz w:val="24"/>
          <w:szCs w:val="24"/>
        </w:rPr>
        <w:t xml:space="preserve">  Parent’s claim with respect to not being permitted to ask questions about what Marshfield had done to ensure the educational environment was non-discriminatory, non-hostile, and non-retaliatory is dismissed with prejudice as discussed above with respect to the January 2021 Team meeting.  </w:t>
      </w:r>
    </w:p>
    <w:p w14:paraId="2BEF4CBE" w14:textId="165FEE6A" w:rsidR="00F61C02" w:rsidRDefault="00F61C02" w:rsidP="002D6E15">
      <w:pPr>
        <w:rPr>
          <w:sz w:val="24"/>
          <w:szCs w:val="24"/>
        </w:rPr>
      </w:pPr>
    </w:p>
    <w:p w14:paraId="794A26BB" w14:textId="16D2626B" w:rsidR="00F61C02" w:rsidRDefault="00F61C02" w:rsidP="002D6E15">
      <w:pPr>
        <w:rPr>
          <w:sz w:val="24"/>
          <w:szCs w:val="24"/>
        </w:rPr>
      </w:pPr>
      <w:r>
        <w:rPr>
          <w:sz w:val="24"/>
          <w:szCs w:val="24"/>
        </w:rPr>
        <w:lastRenderedPageBreak/>
        <w:t xml:space="preserve">Parent’s claim with respect to reimbursement for </w:t>
      </w:r>
      <w:r w:rsidR="000E6C38">
        <w:rPr>
          <w:sz w:val="24"/>
          <w:szCs w:val="24"/>
        </w:rPr>
        <w:t xml:space="preserve">Student’s </w:t>
      </w:r>
      <w:proofErr w:type="spellStart"/>
      <w:r w:rsidR="000E6C38">
        <w:rPr>
          <w:sz w:val="24"/>
          <w:szCs w:val="24"/>
        </w:rPr>
        <w:t>Middlebridge</w:t>
      </w:r>
      <w:proofErr w:type="spellEnd"/>
      <w:r w:rsidR="000E6C38">
        <w:rPr>
          <w:sz w:val="24"/>
          <w:szCs w:val="24"/>
        </w:rPr>
        <w:t xml:space="preserve"> placement beyond the January 2021- January 2022 is dismissed </w:t>
      </w:r>
      <w:r w:rsidR="000E6C38" w:rsidRPr="000E6C38">
        <w:rPr>
          <w:i/>
          <w:iCs/>
          <w:sz w:val="24"/>
          <w:szCs w:val="24"/>
        </w:rPr>
        <w:t>without prejudice</w:t>
      </w:r>
      <w:r w:rsidR="000E6C38">
        <w:rPr>
          <w:sz w:val="24"/>
          <w:szCs w:val="24"/>
        </w:rPr>
        <w:t xml:space="preserve">.  Parent’s Hearing Request fails to specify the </w:t>
      </w:r>
      <w:proofErr w:type="gramStart"/>
      <w:r w:rsidR="000E6C38">
        <w:rPr>
          <w:sz w:val="24"/>
          <w:szCs w:val="24"/>
        </w:rPr>
        <w:t>time period</w:t>
      </w:r>
      <w:proofErr w:type="gramEnd"/>
      <w:r w:rsidR="000E6C38">
        <w:rPr>
          <w:sz w:val="24"/>
          <w:szCs w:val="24"/>
        </w:rPr>
        <w:t xml:space="preserve"> for which the seeks reimbursement for the </w:t>
      </w:r>
      <w:proofErr w:type="spellStart"/>
      <w:r w:rsidR="000E6C38">
        <w:rPr>
          <w:sz w:val="24"/>
          <w:szCs w:val="24"/>
        </w:rPr>
        <w:t>Middebridge</w:t>
      </w:r>
      <w:proofErr w:type="spellEnd"/>
      <w:r w:rsidR="000E6C38">
        <w:rPr>
          <w:sz w:val="24"/>
          <w:szCs w:val="24"/>
        </w:rPr>
        <w:t xml:space="preserve"> placement.  Her request for relief states that Marshfield should be ordered to reimburse Parent for the cost of Student’s unilateral placement since January 2021.  However, her Hearing Request does not provide any specific end point for Student’s</w:t>
      </w:r>
      <w:r w:rsidR="008C11D2">
        <w:rPr>
          <w:sz w:val="24"/>
          <w:szCs w:val="24"/>
        </w:rPr>
        <w:t xml:space="preserve"> attendance and hence</w:t>
      </w:r>
      <w:r w:rsidR="000E6C38">
        <w:rPr>
          <w:sz w:val="24"/>
          <w:szCs w:val="24"/>
        </w:rPr>
        <w:t xml:space="preserve"> reimbursement.  The Hearing Request does not state when (or if) Student graduated from </w:t>
      </w:r>
      <w:proofErr w:type="spellStart"/>
      <w:r w:rsidR="000E6C38">
        <w:rPr>
          <w:sz w:val="24"/>
          <w:szCs w:val="24"/>
        </w:rPr>
        <w:t>Middlebridge</w:t>
      </w:r>
      <w:proofErr w:type="spellEnd"/>
      <w:r w:rsidR="000E6C38">
        <w:rPr>
          <w:sz w:val="24"/>
          <w:szCs w:val="24"/>
        </w:rPr>
        <w:t xml:space="preserve">.  </w:t>
      </w:r>
      <w:r w:rsidR="00F93D4E">
        <w:rPr>
          <w:sz w:val="24"/>
          <w:szCs w:val="24"/>
        </w:rPr>
        <w:t xml:space="preserve">If Parent wishes to proceed on the issue of reimbursement for the IEP term beginning in January 2022, she must amend her Hearing Request to include the specific </w:t>
      </w:r>
      <w:proofErr w:type="gramStart"/>
      <w:r w:rsidR="00F93D4E">
        <w:rPr>
          <w:sz w:val="24"/>
          <w:szCs w:val="24"/>
        </w:rPr>
        <w:t>time period</w:t>
      </w:r>
      <w:proofErr w:type="gramEnd"/>
      <w:r w:rsidR="00F93D4E">
        <w:rPr>
          <w:sz w:val="24"/>
          <w:szCs w:val="24"/>
        </w:rPr>
        <w:t xml:space="preserve"> for which she is seeking reimbursement.</w:t>
      </w:r>
    </w:p>
    <w:p w14:paraId="259AAEB2" w14:textId="3A2CB6E2" w:rsidR="00F72843" w:rsidRDefault="00F72843" w:rsidP="002D6E15">
      <w:pPr>
        <w:rPr>
          <w:sz w:val="24"/>
          <w:szCs w:val="24"/>
        </w:rPr>
      </w:pPr>
    </w:p>
    <w:p w14:paraId="6070DC3C" w14:textId="217F22DE" w:rsidR="00F72843" w:rsidRDefault="00F72843" w:rsidP="002D6E15">
      <w:pPr>
        <w:rPr>
          <w:sz w:val="24"/>
          <w:szCs w:val="24"/>
        </w:rPr>
      </w:pPr>
      <w:r>
        <w:rPr>
          <w:sz w:val="24"/>
          <w:szCs w:val="24"/>
        </w:rPr>
        <w:t xml:space="preserve">Parent’s claim that, “The Child has not satisfied </w:t>
      </w:r>
      <w:r w:rsidR="0022029B">
        <w:rPr>
          <w:sz w:val="24"/>
          <w:szCs w:val="24"/>
        </w:rPr>
        <w:t>Massachusetts</w:t>
      </w:r>
      <w:r>
        <w:rPr>
          <w:sz w:val="24"/>
          <w:szCs w:val="24"/>
        </w:rPr>
        <w:t xml:space="preserve">/DESE requirements (including but not limited to the Transition requirements for secondary education and special education” is dismissed </w:t>
      </w:r>
      <w:r w:rsidRPr="007E44C9">
        <w:rPr>
          <w:i/>
          <w:iCs/>
          <w:sz w:val="24"/>
          <w:szCs w:val="24"/>
        </w:rPr>
        <w:t>without prejudice</w:t>
      </w:r>
      <w:r>
        <w:rPr>
          <w:sz w:val="24"/>
          <w:szCs w:val="24"/>
        </w:rPr>
        <w:t xml:space="preserve"> for failure to state a claim on which relief can be granted.  </w:t>
      </w:r>
      <w:r w:rsidR="007E44C9">
        <w:rPr>
          <w:sz w:val="24"/>
          <w:szCs w:val="24"/>
        </w:rPr>
        <w:t xml:space="preserve">I am not able to ascertain what Parent is alleging from this broad and non-specific allegation.  Parent may Amend her Hearing request to provide sufficient detail regarding what specific requirements she alleges Student has not satisfied and clarify when or if Student received her high school diploma.  </w:t>
      </w:r>
    </w:p>
    <w:p w14:paraId="1502F5B8" w14:textId="2D995A5A" w:rsidR="00256377" w:rsidRDefault="00256377" w:rsidP="002D6E15">
      <w:pPr>
        <w:rPr>
          <w:sz w:val="24"/>
          <w:szCs w:val="24"/>
        </w:rPr>
      </w:pPr>
    </w:p>
    <w:p w14:paraId="12BA419F" w14:textId="79D9708B" w:rsidR="00766A89" w:rsidRDefault="00001E21" w:rsidP="00001E21">
      <w:pPr>
        <w:rPr>
          <w:sz w:val="24"/>
          <w:szCs w:val="24"/>
        </w:rPr>
      </w:pPr>
      <w:r>
        <w:rPr>
          <w:sz w:val="24"/>
          <w:szCs w:val="24"/>
        </w:rPr>
        <w:t xml:space="preserve">Finally, although not raised by </w:t>
      </w:r>
      <w:r w:rsidR="00DC1D07">
        <w:rPr>
          <w:sz w:val="24"/>
          <w:szCs w:val="24"/>
        </w:rPr>
        <w:t>Marshfield</w:t>
      </w:r>
      <w:r>
        <w:rPr>
          <w:sz w:val="24"/>
          <w:szCs w:val="24"/>
        </w:rPr>
        <w:t xml:space="preserve">, Student </w:t>
      </w:r>
      <w:r w:rsidR="003E59D5">
        <w:rPr>
          <w:sz w:val="24"/>
          <w:szCs w:val="24"/>
        </w:rPr>
        <w:t xml:space="preserve">turned 18 during the summer of 2022. </w:t>
      </w:r>
      <w:r w:rsidR="00F51C7C" w:rsidRPr="00F51C7C">
        <w:rPr>
          <w:color w:val="4B4D4D"/>
          <w:sz w:val="24"/>
          <w:szCs w:val="24"/>
        </w:rPr>
        <w:t xml:space="preserve">Both 20 USC §1415(m) and 603 CMR 28.01(15) provide </w:t>
      </w:r>
      <w:proofErr w:type="gramStart"/>
      <w:r w:rsidR="00F51C7C" w:rsidRPr="00F51C7C">
        <w:rPr>
          <w:color w:val="4B4D4D"/>
          <w:sz w:val="24"/>
          <w:szCs w:val="24"/>
        </w:rPr>
        <w:t>that parental rights and educational decision</w:t>
      </w:r>
      <w:proofErr w:type="gramEnd"/>
      <w:r w:rsidR="00F51C7C" w:rsidRPr="00F51C7C">
        <w:rPr>
          <w:color w:val="4B4D4D"/>
          <w:sz w:val="24"/>
          <w:szCs w:val="24"/>
        </w:rPr>
        <w:t>–making transfers to the student when s/he turns eighteen years of age. Similarly, 34 CFR 300.520(a)(1)(ii) provides that when the student reaches the age of majority “[a]</w:t>
      </w:r>
      <w:proofErr w:type="spellStart"/>
      <w:r w:rsidR="00F51C7C" w:rsidRPr="00F51C7C">
        <w:rPr>
          <w:color w:val="4B4D4D"/>
          <w:sz w:val="24"/>
          <w:szCs w:val="24"/>
        </w:rPr>
        <w:t>ll</w:t>
      </w:r>
      <w:proofErr w:type="spellEnd"/>
      <w:r w:rsidR="00F51C7C" w:rsidRPr="00F51C7C">
        <w:rPr>
          <w:color w:val="4B4D4D"/>
          <w:sz w:val="24"/>
          <w:szCs w:val="24"/>
        </w:rPr>
        <w:t xml:space="preserve"> rights accorded to parents under Part B of the Act transfer to the child.”</w:t>
      </w:r>
      <w:r w:rsidR="000C1DF6">
        <w:rPr>
          <w:color w:val="4B4D4D"/>
          <w:sz w:val="24"/>
          <w:szCs w:val="24"/>
        </w:rPr>
        <w:t xml:space="preserve">  Student has not signed the Request for Hearing.  She has not furnished written documentation of her decision to have Parent make her educational decisions for her.</w:t>
      </w:r>
      <w:r w:rsidR="00F51C7C">
        <w:rPr>
          <w:color w:val="4B4D4D"/>
        </w:rPr>
        <w:t xml:space="preserve"> </w:t>
      </w:r>
      <w:r w:rsidR="003E59D5">
        <w:rPr>
          <w:sz w:val="24"/>
          <w:szCs w:val="24"/>
        </w:rPr>
        <w:t xml:space="preserve"> </w:t>
      </w:r>
    </w:p>
    <w:p w14:paraId="37C42EE0" w14:textId="7C4711DA" w:rsidR="00176429" w:rsidRDefault="00176429" w:rsidP="00001E21">
      <w:pPr>
        <w:rPr>
          <w:sz w:val="24"/>
          <w:szCs w:val="24"/>
        </w:rPr>
      </w:pPr>
    </w:p>
    <w:p w14:paraId="482F9841" w14:textId="59CCF1B0" w:rsidR="001D5144" w:rsidRDefault="001D5144" w:rsidP="00001E21">
      <w:pPr>
        <w:rPr>
          <w:sz w:val="24"/>
          <w:szCs w:val="24"/>
        </w:rPr>
      </w:pPr>
      <w:r>
        <w:rPr>
          <w:sz w:val="24"/>
          <w:szCs w:val="24"/>
        </w:rPr>
        <w:t xml:space="preserve">The BSEA Hearing Request Form </w:t>
      </w:r>
      <w:r w:rsidR="008C11D2">
        <w:rPr>
          <w:sz w:val="24"/>
          <w:szCs w:val="24"/>
        </w:rPr>
        <w:t>provides</w:t>
      </w:r>
      <w:r>
        <w:rPr>
          <w:sz w:val="24"/>
          <w:szCs w:val="24"/>
        </w:rPr>
        <w:t xml:space="preserve"> a section where a party identifies who is requesting the Hearing.  It includes the following:</w:t>
      </w:r>
    </w:p>
    <w:p w14:paraId="2660D910" w14:textId="77777777" w:rsidR="00E35565" w:rsidRDefault="00E35565" w:rsidP="00001E21">
      <w:pPr>
        <w:rPr>
          <w:sz w:val="24"/>
          <w:szCs w:val="24"/>
        </w:rPr>
      </w:pPr>
    </w:p>
    <w:p w14:paraId="31086402" w14:textId="58D8D53F" w:rsidR="00C15803" w:rsidRDefault="00F51C7C" w:rsidP="00444B9D">
      <w:pPr>
        <w:rPr>
          <w:rFonts w:asciiTheme="majorBidi" w:hAnsiTheme="majorBidi" w:cstheme="majorBidi"/>
          <w:b/>
          <w:bCs/>
        </w:rPr>
      </w:pPr>
      <w:r>
        <w:rPr>
          <w:sz w:val="24"/>
          <w:szCs w:val="24"/>
        </w:rPr>
        <w:t xml:space="preserve">  </w:t>
      </w:r>
      <w:r w:rsidR="00C15803">
        <w:rPr>
          <w:rFonts w:asciiTheme="majorBidi" w:hAnsiTheme="majorBidi" w:cstheme="majorBidi"/>
          <w:b/>
          <w:bCs/>
        </w:rPr>
        <w:t>II. Person Requesting Hearing:</w:t>
      </w:r>
    </w:p>
    <w:p w14:paraId="29F16463" w14:textId="77777777" w:rsidR="00C15803" w:rsidRDefault="00C15803" w:rsidP="00C15803">
      <w:pPr>
        <w:autoSpaceDE w:val="0"/>
        <w:autoSpaceDN w:val="0"/>
        <w:adjustRightInd w:val="0"/>
        <w:rPr>
          <w:rFonts w:asciiTheme="majorBidi" w:hAnsiTheme="majorBidi" w:cstheme="majorBidi"/>
        </w:rPr>
      </w:pPr>
    </w:p>
    <w:p w14:paraId="2CA504A1" w14:textId="77777777" w:rsidR="00C15803" w:rsidRDefault="00C15803" w:rsidP="00C15803">
      <w:pPr>
        <w:autoSpaceDE w:val="0"/>
        <w:autoSpaceDN w:val="0"/>
        <w:adjustRightInd w:val="0"/>
        <w:rPr>
          <w:rFonts w:asciiTheme="majorBidi" w:hAnsiTheme="majorBidi" w:cstheme="majorBidi"/>
        </w:rPr>
      </w:pPr>
      <w:r>
        <w:rPr>
          <w:rFonts w:asciiTheme="majorBidi" w:hAnsiTheme="majorBidi" w:cstheme="majorBidi"/>
        </w:rPr>
        <w:t xml:space="preserve">1. Name of Person Requesting Hearing: </w:t>
      </w:r>
    </w:p>
    <w:p w14:paraId="51AF6616" w14:textId="77777777" w:rsidR="00C15803" w:rsidRDefault="00C15803" w:rsidP="00C15803">
      <w:pPr>
        <w:autoSpaceDE w:val="0"/>
        <w:autoSpaceDN w:val="0"/>
        <w:adjustRightInd w:val="0"/>
        <w:rPr>
          <w:rFonts w:asciiTheme="majorBidi" w:hAnsiTheme="majorBidi" w:cstheme="majorBidi"/>
        </w:rPr>
      </w:pPr>
    </w:p>
    <w:p w14:paraId="50EC2C6A" w14:textId="77777777" w:rsidR="00C15803" w:rsidRDefault="00C15803" w:rsidP="00C15803">
      <w:pPr>
        <w:autoSpaceDE w:val="0"/>
        <w:autoSpaceDN w:val="0"/>
        <w:adjustRightInd w:val="0"/>
        <w:rPr>
          <w:rFonts w:asciiTheme="majorBidi" w:hAnsiTheme="majorBidi" w:cstheme="majorBidi"/>
        </w:rPr>
      </w:pPr>
      <w:r>
        <w:rPr>
          <w:rFonts w:asciiTheme="majorBidi" w:hAnsiTheme="majorBidi" w:cstheme="majorBidi"/>
        </w:rPr>
        <w:t>2. Please check one:</w:t>
      </w:r>
    </w:p>
    <w:p w14:paraId="0F70B0DB" w14:textId="77777777" w:rsidR="00C15803" w:rsidRDefault="00C15803" w:rsidP="00C15803">
      <w:pPr>
        <w:autoSpaceDE w:val="0"/>
        <w:autoSpaceDN w:val="0"/>
        <w:adjustRightInd w:val="0"/>
        <w:rPr>
          <w:rFonts w:asciiTheme="majorBidi" w:hAnsiTheme="majorBidi" w:cstheme="majorBidi"/>
        </w:rPr>
      </w:pPr>
    </w:p>
    <w:p w14:paraId="713D8CEF" w14:textId="77777777" w:rsidR="00C15803" w:rsidRDefault="00C15803" w:rsidP="00C15803">
      <w:pPr>
        <w:autoSpaceDE w:val="0"/>
        <w:autoSpaceDN w:val="0"/>
        <w:adjustRightInd w:val="0"/>
        <w:ind w:left="2880" w:hanging="2880"/>
        <w:rPr>
          <w:rFonts w:asciiTheme="majorBidi" w:hAnsiTheme="majorBidi" w:cstheme="majorBidi"/>
        </w:rPr>
      </w:pPr>
      <w:r>
        <w:rPr>
          <w:rFonts w:asciiTheme="majorBidi" w:hAnsiTheme="majorBidi" w:cstheme="majorBidi"/>
        </w:rPr>
        <w:fldChar w:fldCharType="begin">
          <w:ffData>
            <w:name w:val="Check3"/>
            <w:enabled/>
            <w:calcOnExit w:val="0"/>
            <w:checkBox>
              <w:sizeAuto/>
              <w:default w:val="0"/>
            </w:checkBox>
          </w:ffData>
        </w:fldChar>
      </w:r>
      <w:bookmarkStart w:id="2" w:name="Check3"/>
      <w:r>
        <w:rPr>
          <w:rFonts w:asciiTheme="majorBidi" w:hAnsiTheme="majorBidi" w:cstheme="majorBidi"/>
        </w:rPr>
        <w:instrText xml:space="preserve"> FORMCHECKBOX </w:instrText>
      </w:r>
      <w:r w:rsidR="00000000">
        <w:rPr>
          <w:rFonts w:asciiTheme="majorBidi" w:hAnsiTheme="majorBidi" w:cstheme="majorBidi"/>
        </w:rPr>
      </w:r>
      <w:r w:rsidR="00000000">
        <w:rPr>
          <w:rFonts w:asciiTheme="majorBidi" w:hAnsiTheme="majorBidi" w:cstheme="majorBidi"/>
        </w:rPr>
        <w:fldChar w:fldCharType="separate"/>
      </w:r>
      <w:r>
        <w:fldChar w:fldCharType="end"/>
      </w:r>
      <w:bookmarkEnd w:id="2"/>
      <w:r>
        <w:rPr>
          <w:rFonts w:asciiTheme="majorBidi" w:hAnsiTheme="majorBidi" w:cstheme="majorBidi"/>
        </w:rPr>
        <w:t xml:space="preserve"> Parent </w:t>
      </w:r>
      <w:r>
        <w:rPr>
          <w:rFonts w:asciiTheme="majorBidi" w:hAnsiTheme="majorBidi" w:cstheme="majorBidi"/>
        </w:rPr>
        <w:tab/>
      </w:r>
      <w:r>
        <w:rPr>
          <w:rFonts w:asciiTheme="majorBidi" w:hAnsiTheme="majorBidi" w:cstheme="majorBidi"/>
        </w:rPr>
        <w:fldChar w:fldCharType="begin">
          <w:ffData>
            <w:name w:val="Check6"/>
            <w:enabled/>
            <w:calcOnExit w:val="0"/>
            <w:checkBox>
              <w:sizeAuto/>
              <w:default w:val="0"/>
            </w:checkBox>
          </w:ffData>
        </w:fldChar>
      </w:r>
      <w:bookmarkStart w:id="3" w:name="Check6"/>
      <w:r>
        <w:rPr>
          <w:rFonts w:asciiTheme="majorBidi" w:hAnsiTheme="majorBidi" w:cstheme="majorBidi"/>
        </w:rPr>
        <w:instrText xml:space="preserve"> FORMCHECKBOX </w:instrText>
      </w:r>
      <w:r w:rsidR="00000000">
        <w:rPr>
          <w:rFonts w:asciiTheme="majorBidi" w:hAnsiTheme="majorBidi" w:cstheme="majorBidi"/>
        </w:rPr>
      </w:r>
      <w:r w:rsidR="00000000">
        <w:rPr>
          <w:rFonts w:asciiTheme="majorBidi" w:hAnsiTheme="majorBidi" w:cstheme="majorBidi"/>
        </w:rPr>
        <w:fldChar w:fldCharType="separate"/>
      </w:r>
      <w:r>
        <w:fldChar w:fldCharType="end"/>
      </w:r>
      <w:bookmarkEnd w:id="3"/>
      <w:r>
        <w:rPr>
          <w:rFonts w:asciiTheme="majorBidi" w:hAnsiTheme="majorBidi" w:cstheme="majorBidi"/>
        </w:rPr>
        <w:t xml:space="preserve"> Attorney for school    </w:t>
      </w:r>
      <w:r>
        <w:rPr>
          <w:rFonts w:asciiTheme="majorBidi" w:hAnsiTheme="majorBidi" w:cstheme="majorBidi"/>
        </w:rPr>
        <w:tab/>
      </w:r>
      <w:r>
        <w:rPr>
          <w:rFonts w:asciiTheme="majorBidi" w:hAnsiTheme="majorBidi" w:cstheme="majorBidi"/>
        </w:rPr>
        <w:tab/>
      </w:r>
      <w:r>
        <w:rPr>
          <w:rFonts w:asciiTheme="majorBidi" w:hAnsiTheme="majorBidi" w:cstheme="majorBidi"/>
        </w:rPr>
        <w:fldChar w:fldCharType="begin">
          <w:ffData>
            <w:name w:val="Check9"/>
            <w:enabled/>
            <w:calcOnExit w:val="0"/>
            <w:checkBox>
              <w:sizeAuto/>
              <w:default w:val="0"/>
            </w:checkBox>
          </w:ffData>
        </w:fldChar>
      </w:r>
      <w:bookmarkStart w:id="4" w:name="Check9"/>
      <w:r>
        <w:rPr>
          <w:rFonts w:asciiTheme="majorBidi" w:hAnsiTheme="majorBidi" w:cstheme="majorBidi"/>
        </w:rPr>
        <w:instrText xml:space="preserve"> FORMCHECKBOX </w:instrText>
      </w:r>
      <w:r w:rsidR="00000000">
        <w:rPr>
          <w:rFonts w:asciiTheme="majorBidi" w:hAnsiTheme="majorBidi" w:cstheme="majorBidi"/>
        </w:rPr>
      </w:r>
      <w:r w:rsidR="00000000">
        <w:rPr>
          <w:rFonts w:asciiTheme="majorBidi" w:hAnsiTheme="majorBidi" w:cstheme="majorBidi"/>
        </w:rPr>
        <w:fldChar w:fldCharType="separate"/>
      </w:r>
      <w:r>
        <w:fldChar w:fldCharType="end"/>
      </w:r>
      <w:bookmarkEnd w:id="4"/>
      <w:r>
        <w:rPr>
          <w:rFonts w:asciiTheme="majorBidi" w:hAnsiTheme="majorBidi" w:cstheme="majorBidi"/>
        </w:rPr>
        <w:t xml:space="preserve"> Educational Surrogate Parent*           </w:t>
      </w:r>
    </w:p>
    <w:p w14:paraId="6154A2AF" w14:textId="77777777" w:rsidR="00C15803" w:rsidRDefault="00C15803" w:rsidP="00C15803">
      <w:pPr>
        <w:autoSpaceDE w:val="0"/>
        <w:autoSpaceDN w:val="0"/>
        <w:adjustRightInd w:val="0"/>
        <w:rPr>
          <w:rFonts w:asciiTheme="majorBidi" w:hAnsiTheme="majorBidi" w:cstheme="majorBidi"/>
        </w:rPr>
      </w:pPr>
    </w:p>
    <w:p w14:paraId="06F20924" w14:textId="77777777" w:rsidR="00C15803" w:rsidRDefault="00C15803" w:rsidP="00C15803">
      <w:pPr>
        <w:autoSpaceDE w:val="0"/>
        <w:autoSpaceDN w:val="0"/>
        <w:adjustRightInd w:val="0"/>
        <w:rPr>
          <w:rFonts w:asciiTheme="majorBidi" w:hAnsiTheme="majorBidi" w:cstheme="majorBidi"/>
        </w:rPr>
      </w:pPr>
      <w:r>
        <w:rPr>
          <w:rFonts w:asciiTheme="majorBidi" w:hAnsiTheme="majorBidi" w:cstheme="majorBidi"/>
        </w:rPr>
        <w:fldChar w:fldCharType="begin">
          <w:ffData>
            <w:name w:val="Check4"/>
            <w:enabled/>
            <w:calcOnExit w:val="0"/>
            <w:checkBox>
              <w:sizeAuto/>
              <w:default w:val="0"/>
            </w:checkBox>
          </w:ffData>
        </w:fldChar>
      </w:r>
      <w:bookmarkStart w:id="5" w:name="Check4"/>
      <w:r>
        <w:rPr>
          <w:rFonts w:asciiTheme="majorBidi" w:hAnsiTheme="majorBidi" w:cstheme="majorBidi"/>
        </w:rPr>
        <w:instrText xml:space="preserve"> FORMCHECKBOX </w:instrText>
      </w:r>
      <w:r w:rsidR="00000000">
        <w:rPr>
          <w:rFonts w:asciiTheme="majorBidi" w:hAnsiTheme="majorBidi" w:cstheme="majorBidi"/>
        </w:rPr>
      </w:r>
      <w:r w:rsidR="00000000">
        <w:rPr>
          <w:rFonts w:asciiTheme="majorBidi" w:hAnsiTheme="majorBidi" w:cstheme="majorBidi"/>
        </w:rPr>
        <w:fldChar w:fldCharType="separate"/>
      </w:r>
      <w:r>
        <w:fldChar w:fldCharType="end"/>
      </w:r>
      <w:bookmarkEnd w:id="5"/>
      <w:r>
        <w:rPr>
          <w:rFonts w:asciiTheme="majorBidi" w:hAnsiTheme="majorBidi" w:cstheme="majorBidi"/>
        </w:rPr>
        <w:t xml:space="preserve"> Student (if 18 or older) </w:t>
      </w:r>
      <w:r>
        <w:rPr>
          <w:rFonts w:asciiTheme="majorBidi" w:hAnsiTheme="majorBidi" w:cstheme="majorBidi"/>
        </w:rPr>
        <w:tab/>
      </w:r>
      <w:r>
        <w:rPr>
          <w:rFonts w:asciiTheme="majorBidi" w:hAnsiTheme="majorBidi" w:cstheme="majorBidi"/>
        </w:rPr>
        <w:fldChar w:fldCharType="begin">
          <w:ffData>
            <w:name w:val="Check7"/>
            <w:enabled/>
            <w:calcOnExit w:val="0"/>
            <w:checkBox>
              <w:sizeAuto/>
              <w:default w:val="0"/>
            </w:checkBox>
          </w:ffData>
        </w:fldChar>
      </w:r>
      <w:bookmarkStart w:id="6" w:name="Check7"/>
      <w:r>
        <w:rPr>
          <w:rFonts w:asciiTheme="majorBidi" w:hAnsiTheme="majorBidi" w:cstheme="majorBidi"/>
        </w:rPr>
        <w:instrText xml:space="preserve"> FORMCHECKBOX </w:instrText>
      </w:r>
      <w:r w:rsidR="00000000">
        <w:rPr>
          <w:rFonts w:asciiTheme="majorBidi" w:hAnsiTheme="majorBidi" w:cstheme="majorBidi"/>
        </w:rPr>
      </w:r>
      <w:r w:rsidR="00000000">
        <w:rPr>
          <w:rFonts w:asciiTheme="majorBidi" w:hAnsiTheme="majorBidi" w:cstheme="majorBidi"/>
        </w:rPr>
        <w:fldChar w:fldCharType="separate"/>
      </w:r>
      <w:r>
        <w:fldChar w:fldCharType="end"/>
      </w:r>
      <w:bookmarkEnd w:id="6"/>
      <w:r>
        <w:rPr>
          <w:rFonts w:asciiTheme="majorBidi" w:hAnsiTheme="majorBidi" w:cstheme="majorBidi"/>
        </w:rPr>
        <w:t xml:space="preserve"> Attorney for parent/student</w:t>
      </w:r>
      <w:r>
        <w:rPr>
          <w:rFonts w:asciiTheme="majorBidi" w:hAnsiTheme="majorBidi" w:cstheme="majorBidi"/>
        </w:rPr>
        <w:tab/>
        <w:t xml:space="preserve">       </w:t>
      </w:r>
      <w:r>
        <w:rPr>
          <w:rFonts w:asciiTheme="majorBidi" w:hAnsiTheme="majorBidi" w:cstheme="majorBidi"/>
        </w:rPr>
        <w:tab/>
      </w:r>
      <w:r>
        <w:rPr>
          <w:rFonts w:asciiTheme="majorBidi" w:hAnsiTheme="majorBidi" w:cstheme="majorBidi"/>
        </w:rPr>
        <w:fldChar w:fldCharType="begin">
          <w:ffData>
            <w:name w:val="Check10"/>
            <w:enabled/>
            <w:calcOnExit w:val="0"/>
            <w:checkBox>
              <w:sizeAuto/>
              <w:default w:val="0"/>
            </w:checkBox>
          </w:ffData>
        </w:fldChar>
      </w:r>
      <w:bookmarkStart w:id="7" w:name="Check10"/>
      <w:r>
        <w:rPr>
          <w:rFonts w:asciiTheme="majorBidi" w:hAnsiTheme="majorBidi" w:cstheme="majorBidi"/>
        </w:rPr>
        <w:instrText xml:space="preserve"> FORMCHECKBOX </w:instrText>
      </w:r>
      <w:r w:rsidR="00000000">
        <w:rPr>
          <w:rFonts w:asciiTheme="majorBidi" w:hAnsiTheme="majorBidi" w:cstheme="majorBidi"/>
        </w:rPr>
      </w:r>
      <w:r w:rsidR="00000000">
        <w:rPr>
          <w:rFonts w:asciiTheme="majorBidi" w:hAnsiTheme="majorBidi" w:cstheme="majorBidi"/>
        </w:rPr>
        <w:fldChar w:fldCharType="separate"/>
      </w:r>
      <w:r>
        <w:fldChar w:fldCharType="end"/>
      </w:r>
      <w:bookmarkEnd w:id="7"/>
      <w:r>
        <w:rPr>
          <w:rFonts w:asciiTheme="majorBidi" w:hAnsiTheme="majorBidi" w:cstheme="majorBidi"/>
        </w:rPr>
        <w:t xml:space="preserve"> Guardian*</w:t>
      </w:r>
      <w:r>
        <w:rPr>
          <w:rFonts w:asciiTheme="majorBidi" w:hAnsiTheme="majorBidi" w:cstheme="majorBidi"/>
        </w:rPr>
        <w:tab/>
      </w:r>
      <w:r>
        <w:rPr>
          <w:rFonts w:asciiTheme="majorBidi" w:hAnsiTheme="majorBidi" w:cstheme="majorBidi"/>
        </w:rPr>
        <w:tab/>
      </w:r>
    </w:p>
    <w:p w14:paraId="0E555D55" w14:textId="77777777" w:rsidR="00C15803" w:rsidRDefault="00C15803" w:rsidP="00C15803">
      <w:pPr>
        <w:autoSpaceDE w:val="0"/>
        <w:autoSpaceDN w:val="0"/>
        <w:adjustRightInd w:val="0"/>
        <w:rPr>
          <w:rFonts w:asciiTheme="majorBidi" w:hAnsiTheme="majorBidi" w:cstheme="majorBidi"/>
        </w:rPr>
      </w:pPr>
    </w:p>
    <w:p w14:paraId="7BEA42A4" w14:textId="0FE25407" w:rsidR="00C15803" w:rsidRDefault="00C15803" w:rsidP="00C15803">
      <w:pPr>
        <w:autoSpaceDE w:val="0"/>
        <w:autoSpaceDN w:val="0"/>
        <w:adjustRightInd w:val="0"/>
        <w:rPr>
          <w:rFonts w:asciiTheme="majorBidi" w:hAnsiTheme="majorBidi" w:cstheme="majorBidi"/>
        </w:rPr>
      </w:pPr>
      <w:r>
        <w:rPr>
          <w:rFonts w:asciiTheme="majorBidi" w:hAnsiTheme="majorBidi" w:cstheme="majorBidi"/>
        </w:rPr>
        <w:fldChar w:fldCharType="begin">
          <w:ffData>
            <w:name w:val="Check5"/>
            <w:enabled/>
            <w:calcOnExit w:val="0"/>
            <w:checkBox>
              <w:sizeAuto/>
              <w:default w:val="0"/>
            </w:checkBox>
          </w:ffData>
        </w:fldChar>
      </w:r>
      <w:bookmarkStart w:id="8" w:name="Check5"/>
      <w:r>
        <w:rPr>
          <w:rFonts w:asciiTheme="majorBidi" w:hAnsiTheme="majorBidi" w:cstheme="majorBidi"/>
        </w:rPr>
        <w:instrText xml:space="preserve"> FORMCHECKBOX </w:instrText>
      </w:r>
      <w:r w:rsidR="00000000">
        <w:rPr>
          <w:rFonts w:asciiTheme="majorBidi" w:hAnsiTheme="majorBidi" w:cstheme="majorBidi"/>
        </w:rPr>
      </w:r>
      <w:r w:rsidR="00000000">
        <w:rPr>
          <w:rFonts w:asciiTheme="majorBidi" w:hAnsiTheme="majorBidi" w:cstheme="majorBidi"/>
        </w:rPr>
        <w:fldChar w:fldCharType="separate"/>
      </w:r>
      <w:r>
        <w:fldChar w:fldCharType="end"/>
      </w:r>
      <w:bookmarkEnd w:id="8"/>
      <w:r>
        <w:rPr>
          <w:rFonts w:asciiTheme="majorBidi" w:hAnsiTheme="majorBidi" w:cstheme="majorBidi"/>
        </w:rPr>
        <w:t xml:space="preserve"> School District</w:t>
      </w:r>
      <w:r>
        <w:rPr>
          <w:rFonts w:asciiTheme="majorBidi" w:hAnsiTheme="majorBidi" w:cstheme="majorBidi"/>
        </w:rPr>
        <w:tab/>
      </w:r>
      <w:r>
        <w:rPr>
          <w:rFonts w:asciiTheme="majorBidi" w:hAnsiTheme="majorBidi" w:cstheme="majorBidi"/>
        </w:rPr>
        <w:tab/>
      </w:r>
      <w:r>
        <w:rPr>
          <w:rFonts w:asciiTheme="majorBidi" w:hAnsiTheme="majorBidi" w:cstheme="majorBidi"/>
        </w:rPr>
        <w:fldChar w:fldCharType="begin">
          <w:ffData>
            <w:name w:val="Check8"/>
            <w:enabled/>
            <w:calcOnExit w:val="0"/>
            <w:checkBox>
              <w:sizeAuto/>
              <w:default w:val="0"/>
            </w:checkBox>
          </w:ffData>
        </w:fldChar>
      </w:r>
      <w:bookmarkStart w:id="9" w:name="Check8"/>
      <w:r>
        <w:rPr>
          <w:rFonts w:asciiTheme="majorBidi" w:hAnsiTheme="majorBidi" w:cstheme="majorBidi"/>
        </w:rPr>
        <w:instrText xml:space="preserve"> FORMCHECKBOX </w:instrText>
      </w:r>
      <w:r w:rsidR="00000000">
        <w:rPr>
          <w:rFonts w:asciiTheme="majorBidi" w:hAnsiTheme="majorBidi" w:cstheme="majorBidi"/>
        </w:rPr>
      </w:r>
      <w:r w:rsidR="00000000">
        <w:rPr>
          <w:rFonts w:asciiTheme="majorBidi" w:hAnsiTheme="majorBidi" w:cstheme="majorBidi"/>
        </w:rPr>
        <w:fldChar w:fldCharType="separate"/>
      </w:r>
      <w:r>
        <w:fldChar w:fldCharType="end"/>
      </w:r>
      <w:bookmarkEnd w:id="9"/>
      <w:r>
        <w:rPr>
          <w:rFonts w:asciiTheme="majorBidi" w:hAnsiTheme="majorBidi" w:cstheme="majorBidi"/>
        </w:rPr>
        <w:t xml:space="preserve"> Advocate for parent/student</w:t>
      </w:r>
      <w:r>
        <w:rPr>
          <w:rFonts w:asciiTheme="majorBidi" w:hAnsiTheme="majorBidi" w:cstheme="majorBidi"/>
        </w:rPr>
        <w:tab/>
      </w:r>
      <w:r>
        <w:rPr>
          <w:rFonts w:asciiTheme="majorBidi" w:hAnsiTheme="majorBidi" w:cstheme="majorBidi"/>
        </w:rPr>
        <w:tab/>
      </w:r>
      <w:r>
        <w:rPr>
          <w:rFonts w:asciiTheme="majorBidi" w:hAnsiTheme="majorBidi" w:cstheme="majorBidi"/>
        </w:rPr>
        <w:fldChar w:fldCharType="begin">
          <w:ffData>
            <w:name w:val="Check11"/>
            <w:enabled/>
            <w:calcOnExit w:val="0"/>
            <w:checkBox>
              <w:sizeAuto/>
              <w:default w:val="0"/>
            </w:checkBox>
          </w:ffData>
        </w:fldChar>
      </w:r>
      <w:bookmarkStart w:id="10" w:name="Check11"/>
      <w:r>
        <w:rPr>
          <w:rFonts w:asciiTheme="majorBidi" w:hAnsiTheme="majorBidi" w:cstheme="majorBidi"/>
        </w:rPr>
        <w:instrText xml:space="preserve"> FORMCHECKBOX </w:instrText>
      </w:r>
      <w:r w:rsidR="00000000">
        <w:rPr>
          <w:rFonts w:asciiTheme="majorBidi" w:hAnsiTheme="majorBidi" w:cstheme="majorBidi"/>
        </w:rPr>
      </w:r>
      <w:r w:rsidR="00000000">
        <w:rPr>
          <w:rFonts w:asciiTheme="majorBidi" w:hAnsiTheme="majorBidi" w:cstheme="majorBidi"/>
        </w:rPr>
        <w:fldChar w:fldCharType="separate"/>
      </w:r>
      <w:r>
        <w:fldChar w:fldCharType="end"/>
      </w:r>
      <w:bookmarkEnd w:id="10"/>
      <w:r>
        <w:rPr>
          <w:rFonts w:asciiTheme="majorBidi" w:hAnsiTheme="majorBidi" w:cstheme="majorBidi"/>
        </w:rPr>
        <w:t xml:space="preserve"> Person appointed by court to</w:t>
      </w:r>
    </w:p>
    <w:p w14:paraId="650B99B1" w14:textId="77777777" w:rsidR="00C15803" w:rsidRDefault="00C15803" w:rsidP="00C15803">
      <w:pPr>
        <w:pStyle w:val="FootnoteText"/>
        <w:autoSpaceDE w:val="0"/>
        <w:autoSpaceDN w:val="0"/>
        <w:adjustRightInd w:val="0"/>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make educational decisions*</w:t>
      </w:r>
    </w:p>
    <w:p w14:paraId="09140EEB" w14:textId="77777777" w:rsidR="00C15803" w:rsidRDefault="00C15803" w:rsidP="00C15803">
      <w:pPr>
        <w:pStyle w:val="FootnoteText"/>
        <w:autoSpaceDE w:val="0"/>
        <w:autoSpaceDN w:val="0"/>
        <w:adjustRightInd w:val="0"/>
        <w:rPr>
          <w:rFonts w:asciiTheme="majorBidi" w:hAnsiTheme="majorBidi" w:cstheme="majorBidi"/>
        </w:rPr>
      </w:pPr>
    </w:p>
    <w:p w14:paraId="7CD82293" w14:textId="618D0B43" w:rsidR="00C15803" w:rsidRDefault="00C15803" w:rsidP="00C15803">
      <w:pPr>
        <w:rPr>
          <w:sz w:val="24"/>
          <w:szCs w:val="24"/>
        </w:rPr>
      </w:pPr>
      <w:r>
        <w:rPr>
          <w:rFonts w:asciiTheme="majorBidi" w:hAnsiTheme="majorBidi" w:cstheme="majorBidi"/>
        </w:rPr>
        <w:fldChar w:fldCharType="begin">
          <w:ffData>
            <w:name w:val="Check12"/>
            <w:enabled/>
            <w:calcOnExit w:val="0"/>
            <w:checkBox>
              <w:sizeAuto/>
              <w:default w:val="0"/>
            </w:checkBox>
          </w:ffData>
        </w:fldChar>
      </w:r>
      <w:bookmarkStart w:id="11" w:name="Check12"/>
      <w:r>
        <w:rPr>
          <w:rFonts w:asciiTheme="majorBidi" w:hAnsiTheme="majorBidi" w:cstheme="majorBidi"/>
        </w:rPr>
        <w:instrText xml:space="preserve"> FORMCHECKBOX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bookmarkEnd w:id="11"/>
      <w:r>
        <w:rPr>
          <w:rFonts w:asciiTheme="majorBidi" w:hAnsiTheme="majorBidi" w:cstheme="majorBidi"/>
        </w:rPr>
        <w:t xml:space="preserve"> Individual with whom the student lives and who is acting in place of parent</w:t>
      </w:r>
      <w:r>
        <w:rPr>
          <w:rFonts w:asciiTheme="majorBidi" w:hAnsiTheme="majorBidi" w:cstheme="majorBidi"/>
        </w:rPr>
        <w:tab/>
      </w:r>
    </w:p>
    <w:p w14:paraId="474D8718" w14:textId="6210C902" w:rsidR="00075CCB" w:rsidRDefault="00075CCB" w:rsidP="00075CCB">
      <w:pPr>
        <w:pStyle w:val="NormalWeb"/>
        <w:shd w:val="clear" w:color="auto" w:fill="FFFFFF"/>
        <w:spacing w:before="0" w:beforeAutospacing="0" w:after="375" w:afterAutospacing="0"/>
        <w:rPr>
          <w:color w:val="4B4D4D"/>
        </w:rPr>
      </w:pPr>
    </w:p>
    <w:p w14:paraId="70714ECB" w14:textId="34D3FCAE" w:rsidR="008A47EC" w:rsidRPr="008A47EC" w:rsidRDefault="00766A89" w:rsidP="008A47EC">
      <w:pPr>
        <w:rPr>
          <w:sz w:val="24"/>
          <w:szCs w:val="24"/>
        </w:rPr>
      </w:pPr>
      <w:r w:rsidRPr="008A47EC">
        <w:rPr>
          <w:color w:val="4B4D4D"/>
          <w:sz w:val="24"/>
          <w:szCs w:val="24"/>
        </w:rPr>
        <w:t>In her Hearing Request, Parent</w:t>
      </w:r>
      <w:r>
        <w:rPr>
          <w:color w:val="4B4D4D"/>
          <w:sz w:val="24"/>
          <w:szCs w:val="24"/>
        </w:rPr>
        <w:t xml:space="preserve"> </w:t>
      </w:r>
      <w:r w:rsidR="00E35565">
        <w:rPr>
          <w:color w:val="4B4D4D"/>
          <w:sz w:val="24"/>
          <w:szCs w:val="24"/>
        </w:rPr>
        <w:t>placed an x in</w:t>
      </w:r>
      <w:r w:rsidRPr="008A47EC">
        <w:rPr>
          <w:color w:val="4B4D4D"/>
          <w:sz w:val="24"/>
          <w:szCs w:val="24"/>
        </w:rPr>
        <w:t xml:space="preserve"> the box beside </w:t>
      </w:r>
      <w:r w:rsidR="00DA33D3">
        <w:rPr>
          <w:color w:val="4B4D4D"/>
          <w:sz w:val="24"/>
          <w:szCs w:val="24"/>
        </w:rPr>
        <w:t>Parent</w:t>
      </w:r>
      <w:r w:rsidRPr="008A47EC">
        <w:rPr>
          <w:color w:val="4B4D4D"/>
          <w:sz w:val="24"/>
          <w:szCs w:val="24"/>
        </w:rPr>
        <w:t xml:space="preserve"> </w:t>
      </w:r>
      <w:r w:rsidR="00E35565">
        <w:rPr>
          <w:color w:val="4B4D4D"/>
          <w:sz w:val="24"/>
          <w:szCs w:val="24"/>
        </w:rPr>
        <w:t xml:space="preserve">and placed an x in the box beside </w:t>
      </w:r>
      <w:r w:rsidR="00DA33D3">
        <w:rPr>
          <w:color w:val="4B4D4D"/>
          <w:sz w:val="24"/>
          <w:szCs w:val="24"/>
        </w:rPr>
        <w:t>Student</w:t>
      </w:r>
      <w:r w:rsidR="00E35565">
        <w:rPr>
          <w:color w:val="4B4D4D"/>
          <w:sz w:val="24"/>
          <w:szCs w:val="24"/>
        </w:rPr>
        <w:t xml:space="preserve">.  Additionally, it </w:t>
      </w:r>
      <w:r w:rsidR="00E35565" w:rsidRPr="008A47EC">
        <w:rPr>
          <w:color w:val="4B4D4D"/>
          <w:sz w:val="24"/>
          <w:szCs w:val="24"/>
        </w:rPr>
        <w:t>appears</w:t>
      </w:r>
      <w:r w:rsidRPr="008A47EC">
        <w:rPr>
          <w:color w:val="4B4D4D"/>
          <w:sz w:val="24"/>
          <w:szCs w:val="24"/>
        </w:rPr>
        <w:t xml:space="preserve"> </w:t>
      </w:r>
      <w:r w:rsidR="00E35565">
        <w:rPr>
          <w:color w:val="4B4D4D"/>
          <w:sz w:val="24"/>
          <w:szCs w:val="24"/>
        </w:rPr>
        <w:t>as though she</w:t>
      </w:r>
      <w:r w:rsidRPr="008A47EC">
        <w:rPr>
          <w:color w:val="4B4D4D"/>
          <w:sz w:val="24"/>
          <w:szCs w:val="24"/>
        </w:rPr>
        <w:t xml:space="preserve"> deleted </w:t>
      </w:r>
      <w:r w:rsidR="00E35565">
        <w:rPr>
          <w:color w:val="4B4D4D"/>
          <w:sz w:val="24"/>
          <w:szCs w:val="24"/>
        </w:rPr>
        <w:t>the phrase, Attorney for parent/student</w:t>
      </w:r>
      <w:r w:rsidR="00F67876">
        <w:rPr>
          <w:color w:val="4B4D4D"/>
          <w:sz w:val="24"/>
          <w:szCs w:val="24"/>
        </w:rPr>
        <w:t>,</w:t>
      </w:r>
      <w:r w:rsidRPr="008A47EC">
        <w:rPr>
          <w:color w:val="4B4D4D"/>
          <w:sz w:val="24"/>
          <w:szCs w:val="24"/>
        </w:rPr>
        <w:t xml:space="preserve"> replaced it with “Parent is Attorney</w:t>
      </w:r>
      <w:r w:rsidR="00F67876">
        <w:rPr>
          <w:color w:val="4B4D4D"/>
          <w:sz w:val="24"/>
          <w:szCs w:val="24"/>
        </w:rPr>
        <w:t>,</w:t>
      </w:r>
      <w:r w:rsidRPr="008A47EC">
        <w:rPr>
          <w:color w:val="4B4D4D"/>
          <w:sz w:val="24"/>
          <w:szCs w:val="24"/>
        </w:rPr>
        <w:t>”</w:t>
      </w:r>
      <w:r w:rsidR="00F67876">
        <w:rPr>
          <w:color w:val="4B4D4D"/>
          <w:sz w:val="24"/>
          <w:szCs w:val="24"/>
        </w:rPr>
        <w:t xml:space="preserve"> and checked the box beside it.</w:t>
      </w:r>
      <w:r w:rsidRPr="008A47EC">
        <w:rPr>
          <w:color w:val="4B4D4D"/>
          <w:sz w:val="24"/>
          <w:szCs w:val="24"/>
        </w:rPr>
        <w:t xml:space="preserve">  (See </w:t>
      </w:r>
      <w:r w:rsidRPr="008A47EC">
        <w:rPr>
          <w:color w:val="4B4D4D"/>
          <w:sz w:val="24"/>
          <w:szCs w:val="24"/>
        </w:rPr>
        <w:lastRenderedPageBreak/>
        <w:t xml:space="preserve">Parent’s Hearing Request Form, page 1.)  </w:t>
      </w:r>
      <w:r>
        <w:rPr>
          <w:color w:val="4B4D4D"/>
          <w:sz w:val="24"/>
          <w:szCs w:val="24"/>
        </w:rPr>
        <w:t>Conversely, h</w:t>
      </w:r>
      <w:r w:rsidR="00FD244F" w:rsidRPr="008A47EC">
        <w:rPr>
          <w:color w:val="4B4D4D"/>
          <w:sz w:val="24"/>
          <w:szCs w:val="24"/>
        </w:rPr>
        <w:t xml:space="preserve">er response to Marshfield’s Motion to Dismiss includes citations to cases which state that when a Parent proceeds pro se a Hearing Request should be construed liberally and that our judicial system </w:t>
      </w:r>
      <w:r w:rsidR="00923AA6" w:rsidRPr="008A47EC">
        <w:rPr>
          <w:color w:val="4B4D4D"/>
          <w:sz w:val="24"/>
          <w:szCs w:val="24"/>
        </w:rPr>
        <w:t>“</w:t>
      </w:r>
      <w:r w:rsidR="00FD244F" w:rsidRPr="008A47EC">
        <w:rPr>
          <w:color w:val="4B4D4D"/>
          <w:sz w:val="24"/>
          <w:szCs w:val="24"/>
        </w:rPr>
        <w:t>zealously</w:t>
      </w:r>
      <w:r w:rsidR="00923AA6" w:rsidRPr="008A47EC">
        <w:rPr>
          <w:color w:val="4B4D4D"/>
          <w:sz w:val="24"/>
          <w:szCs w:val="24"/>
        </w:rPr>
        <w:t xml:space="preserve"> guards the attempts of pro se litigants on their own behalf</w:t>
      </w:r>
      <w:r w:rsidR="00FD244F" w:rsidRPr="008A47EC">
        <w:rPr>
          <w:color w:val="4B4D4D"/>
          <w:sz w:val="24"/>
          <w:szCs w:val="24"/>
        </w:rPr>
        <w:t>.</w:t>
      </w:r>
      <w:r w:rsidR="00923AA6" w:rsidRPr="008A47EC">
        <w:rPr>
          <w:color w:val="4B4D4D"/>
          <w:sz w:val="24"/>
          <w:szCs w:val="24"/>
        </w:rPr>
        <w:t>”</w:t>
      </w:r>
      <w:r w:rsidR="00FD244F" w:rsidRPr="008A47EC">
        <w:rPr>
          <w:color w:val="4B4D4D"/>
          <w:sz w:val="24"/>
          <w:szCs w:val="24"/>
        </w:rPr>
        <w:t xml:space="preserve">  (See Parent’s Opposition to Marshfield’s Motion to Dismiss, pgs. 26-27.)</w:t>
      </w:r>
      <w:r w:rsidR="008A47EC" w:rsidRPr="008A47EC">
        <w:rPr>
          <w:color w:val="4B4D4D"/>
          <w:sz w:val="24"/>
          <w:szCs w:val="24"/>
        </w:rPr>
        <w:t xml:space="preserve">  </w:t>
      </w:r>
      <w:r w:rsidR="008A47EC" w:rsidRPr="008A47EC">
        <w:rPr>
          <w:sz w:val="24"/>
          <w:szCs w:val="24"/>
        </w:rPr>
        <w:t>Further, although Parent states that she is an attorney in her Hearing Request, she has not signed any correspondence as attorney for Student.</w:t>
      </w:r>
      <w:r w:rsidR="00297433">
        <w:rPr>
          <w:sz w:val="24"/>
          <w:szCs w:val="24"/>
        </w:rPr>
        <w:t xml:space="preserve">  Whether or not Parent is appearing in this matter as a pro se parent or as attorney for the Student has an impact on which issues she has standing to bring, and thus must be clarified before this matter can proceed to Hearing.  Parent shall immediately inform the Hearing Officer in writing as to what capacity she is appearing in this matter.</w:t>
      </w:r>
    </w:p>
    <w:p w14:paraId="0CFEB937" w14:textId="7245F4A8" w:rsidR="00D96C7C" w:rsidRDefault="00D96C7C" w:rsidP="001945AA">
      <w:pPr>
        <w:jc w:val="center"/>
        <w:rPr>
          <w:b/>
          <w:bCs/>
          <w:sz w:val="24"/>
          <w:szCs w:val="24"/>
        </w:rPr>
      </w:pPr>
    </w:p>
    <w:p w14:paraId="08E74B66" w14:textId="7DDFC7BE" w:rsidR="001945AA" w:rsidRPr="00807D8F" w:rsidRDefault="001945AA" w:rsidP="001945AA">
      <w:pPr>
        <w:jc w:val="center"/>
        <w:rPr>
          <w:b/>
          <w:bCs/>
          <w:sz w:val="24"/>
          <w:szCs w:val="24"/>
        </w:rPr>
      </w:pPr>
      <w:r w:rsidRPr="00807D8F">
        <w:rPr>
          <w:b/>
          <w:bCs/>
          <w:sz w:val="24"/>
          <w:szCs w:val="24"/>
        </w:rPr>
        <w:t>ORDER</w:t>
      </w:r>
    </w:p>
    <w:p w14:paraId="2C442B92" w14:textId="77777777" w:rsidR="0094354B" w:rsidRPr="006D5FA1" w:rsidRDefault="0094354B" w:rsidP="001945AA">
      <w:pPr>
        <w:jc w:val="center"/>
        <w:rPr>
          <w:sz w:val="24"/>
          <w:szCs w:val="24"/>
        </w:rPr>
      </w:pPr>
    </w:p>
    <w:p w14:paraId="4E485DA0" w14:textId="43917B13" w:rsidR="001945AA" w:rsidRDefault="00AD6DDF" w:rsidP="001945AA">
      <w:pPr>
        <w:rPr>
          <w:sz w:val="24"/>
          <w:szCs w:val="24"/>
        </w:rPr>
      </w:pPr>
      <w:r>
        <w:rPr>
          <w:sz w:val="24"/>
          <w:szCs w:val="24"/>
        </w:rPr>
        <w:t>Marshfield</w:t>
      </w:r>
      <w:r w:rsidR="00D2676A">
        <w:rPr>
          <w:sz w:val="24"/>
          <w:szCs w:val="24"/>
        </w:rPr>
        <w:t>’s M</w:t>
      </w:r>
      <w:r w:rsidR="001945AA" w:rsidRPr="006D5FA1">
        <w:rPr>
          <w:sz w:val="24"/>
          <w:szCs w:val="24"/>
        </w:rPr>
        <w:t>otion</w:t>
      </w:r>
      <w:r w:rsidR="001957E6">
        <w:rPr>
          <w:sz w:val="24"/>
          <w:szCs w:val="24"/>
        </w:rPr>
        <w:t xml:space="preserve"> to Dismiss</w:t>
      </w:r>
      <w:r w:rsidR="006E726B">
        <w:rPr>
          <w:sz w:val="24"/>
          <w:szCs w:val="24"/>
        </w:rPr>
        <w:t xml:space="preserve"> </w:t>
      </w:r>
      <w:r w:rsidR="007A1DE8">
        <w:rPr>
          <w:sz w:val="24"/>
          <w:szCs w:val="24"/>
        </w:rPr>
        <w:t>is</w:t>
      </w:r>
      <w:r w:rsidR="001957E6">
        <w:rPr>
          <w:sz w:val="24"/>
          <w:szCs w:val="24"/>
        </w:rPr>
        <w:t xml:space="preserve"> ALLOW</w:t>
      </w:r>
      <w:r w:rsidR="00014E45" w:rsidRPr="006D5FA1">
        <w:rPr>
          <w:sz w:val="24"/>
          <w:szCs w:val="24"/>
        </w:rPr>
        <w:t>ED</w:t>
      </w:r>
      <w:r>
        <w:rPr>
          <w:sz w:val="24"/>
          <w:szCs w:val="24"/>
        </w:rPr>
        <w:t xml:space="preserve"> in part</w:t>
      </w:r>
      <w:r w:rsidR="00233EB6">
        <w:rPr>
          <w:sz w:val="24"/>
          <w:szCs w:val="24"/>
        </w:rPr>
        <w:t xml:space="preserve"> and denied in part</w:t>
      </w:r>
      <w:r w:rsidR="00014E45" w:rsidRPr="006D5FA1">
        <w:rPr>
          <w:sz w:val="24"/>
          <w:szCs w:val="24"/>
        </w:rPr>
        <w:t>.</w:t>
      </w:r>
      <w:r w:rsidR="00233EB6">
        <w:rPr>
          <w:sz w:val="24"/>
          <w:szCs w:val="24"/>
        </w:rPr>
        <w:t xml:space="preserve">  The issues delineated above will be heard by the BSEA.  </w:t>
      </w:r>
      <w:r w:rsidR="00C40A0A">
        <w:rPr>
          <w:sz w:val="24"/>
          <w:szCs w:val="24"/>
        </w:rPr>
        <w:t xml:space="preserve">The claims that have been dismissed </w:t>
      </w:r>
      <w:r w:rsidR="00C40A0A" w:rsidRPr="00C40A0A">
        <w:rPr>
          <w:i/>
          <w:iCs/>
          <w:sz w:val="24"/>
          <w:szCs w:val="24"/>
        </w:rPr>
        <w:t>without prejudice</w:t>
      </w:r>
      <w:r w:rsidR="00C40A0A">
        <w:rPr>
          <w:sz w:val="24"/>
          <w:szCs w:val="24"/>
        </w:rPr>
        <w:t xml:space="preserve"> may be refiled pursuant to a sufficiently detailed Amended Hearing Request with the BSEA.  </w:t>
      </w:r>
      <w:r w:rsidR="00233EB6">
        <w:rPr>
          <w:sz w:val="24"/>
          <w:szCs w:val="24"/>
        </w:rPr>
        <w:t xml:space="preserve">All other claims are dismissed </w:t>
      </w:r>
      <w:r w:rsidR="00233EB6" w:rsidRPr="00C87B76">
        <w:rPr>
          <w:i/>
          <w:iCs/>
          <w:sz w:val="24"/>
          <w:szCs w:val="24"/>
        </w:rPr>
        <w:t>with prejudice</w:t>
      </w:r>
      <w:r w:rsidR="00233EB6">
        <w:rPr>
          <w:sz w:val="24"/>
          <w:szCs w:val="24"/>
        </w:rPr>
        <w:t xml:space="preserve">.  </w:t>
      </w:r>
    </w:p>
    <w:p w14:paraId="3F2B55E7" w14:textId="7C8B5C20" w:rsidR="00DA33D3" w:rsidRDefault="00DA33D3" w:rsidP="001945AA">
      <w:pPr>
        <w:rPr>
          <w:sz w:val="24"/>
          <w:szCs w:val="24"/>
        </w:rPr>
      </w:pPr>
    </w:p>
    <w:p w14:paraId="095A3655" w14:textId="1746B5B8" w:rsidR="00DA33D3" w:rsidRDefault="00DA33D3" w:rsidP="001945AA">
      <w:pPr>
        <w:rPr>
          <w:sz w:val="24"/>
          <w:szCs w:val="24"/>
        </w:rPr>
      </w:pPr>
      <w:r>
        <w:rPr>
          <w:sz w:val="24"/>
          <w:szCs w:val="24"/>
        </w:rPr>
        <w:t>The Parent shall inform the Hearing Officer in writing whether she is appearing as a pro se party or an attorney by the close of business on March 15, 2023.</w:t>
      </w:r>
    </w:p>
    <w:p w14:paraId="1BC946FC" w14:textId="13B4F12A" w:rsidR="006A3157" w:rsidRDefault="006A3157" w:rsidP="001945AA">
      <w:pPr>
        <w:rPr>
          <w:sz w:val="24"/>
          <w:szCs w:val="24"/>
        </w:rPr>
      </w:pPr>
    </w:p>
    <w:p w14:paraId="4CBC5BBE" w14:textId="77777777" w:rsidR="00C3046D" w:rsidRDefault="00C3046D" w:rsidP="001945AA">
      <w:pPr>
        <w:rPr>
          <w:sz w:val="24"/>
          <w:szCs w:val="24"/>
        </w:rPr>
      </w:pPr>
    </w:p>
    <w:p w14:paraId="59FFEEA9" w14:textId="77777777" w:rsidR="00C3046D" w:rsidRPr="002F7140" w:rsidRDefault="00C3046D" w:rsidP="00C3046D">
      <w:pPr>
        <w:tabs>
          <w:tab w:val="left" w:pos="432"/>
        </w:tabs>
        <w:jc w:val="both"/>
        <w:rPr>
          <w:sz w:val="24"/>
          <w:szCs w:val="24"/>
        </w:rPr>
      </w:pPr>
      <w:r>
        <w:rPr>
          <w:rFonts w:ascii="Arial" w:hAnsi="Arial"/>
          <w:noProof/>
          <w:sz w:val="24"/>
        </w:rPr>
        <w:drawing>
          <wp:inline distT="0" distB="0" distL="0" distR="0" wp14:anchorId="5C7F39F8" wp14:editId="17DFCF30">
            <wp:extent cx="3200400" cy="9141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3214495" cy="918181"/>
                    </a:xfrm>
                    <a:prstGeom prst="rect">
                      <a:avLst/>
                    </a:prstGeom>
                    <a:noFill/>
                    <a:ln>
                      <a:noFill/>
                    </a:ln>
                  </pic:spPr>
                </pic:pic>
              </a:graphicData>
            </a:graphic>
          </wp:inline>
        </w:drawing>
      </w:r>
    </w:p>
    <w:p w14:paraId="53F79796" w14:textId="3BCBAF76" w:rsidR="00C3046D" w:rsidRDefault="00C3046D" w:rsidP="003F54B7">
      <w:pPr>
        <w:tabs>
          <w:tab w:val="left" w:pos="432"/>
        </w:tabs>
        <w:jc w:val="both"/>
        <w:rPr>
          <w:sz w:val="24"/>
          <w:szCs w:val="24"/>
        </w:rPr>
      </w:pPr>
      <w:r>
        <w:rPr>
          <w:sz w:val="24"/>
          <w:szCs w:val="24"/>
        </w:rPr>
        <w:t xml:space="preserve">Dated:  </w:t>
      </w:r>
      <w:r w:rsidR="003F54B7">
        <w:rPr>
          <w:sz w:val="24"/>
          <w:szCs w:val="24"/>
        </w:rPr>
        <w:t xml:space="preserve">March </w:t>
      </w:r>
      <w:r w:rsidR="00A542A2">
        <w:rPr>
          <w:sz w:val="24"/>
          <w:szCs w:val="24"/>
        </w:rPr>
        <w:t>1</w:t>
      </w:r>
      <w:r w:rsidR="00D611ED">
        <w:rPr>
          <w:sz w:val="24"/>
          <w:szCs w:val="24"/>
        </w:rPr>
        <w:t>4</w:t>
      </w:r>
      <w:r>
        <w:rPr>
          <w:sz w:val="24"/>
          <w:szCs w:val="24"/>
        </w:rPr>
        <w:t>, 202</w:t>
      </w:r>
      <w:r w:rsidR="003F54B7">
        <w:rPr>
          <w:sz w:val="24"/>
          <w:szCs w:val="24"/>
        </w:rPr>
        <w:t>3</w:t>
      </w:r>
    </w:p>
    <w:p w14:paraId="1D5EC1EB" w14:textId="57421795" w:rsidR="00DA282C" w:rsidRDefault="00DA282C" w:rsidP="003F54B7">
      <w:pPr>
        <w:tabs>
          <w:tab w:val="left" w:pos="432"/>
        </w:tabs>
        <w:jc w:val="both"/>
        <w:rPr>
          <w:sz w:val="24"/>
          <w:szCs w:val="24"/>
        </w:rPr>
      </w:pPr>
    </w:p>
    <w:p w14:paraId="1D8F8659" w14:textId="2621C84B" w:rsidR="00DA282C" w:rsidRDefault="00DA282C" w:rsidP="003F54B7">
      <w:pPr>
        <w:tabs>
          <w:tab w:val="left" w:pos="432"/>
        </w:tabs>
        <w:jc w:val="both"/>
        <w:rPr>
          <w:sz w:val="24"/>
          <w:szCs w:val="24"/>
        </w:rPr>
      </w:pPr>
    </w:p>
    <w:p w14:paraId="790DB56B" w14:textId="1DF5B159" w:rsidR="00DA282C" w:rsidRDefault="00DA282C" w:rsidP="003F54B7">
      <w:pPr>
        <w:tabs>
          <w:tab w:val="left" w:pos="432"/>
        </w:tabs>
        <w:jc w:val="both"/>
        <w:rPr>
          <w:sz w:val="24"/>
          <w:szCs w:val="24"/>
        </w:rPr>
      </w:pPr>
    </w:p>
    <w:p w14:paraId="75A17753" w14:textId="4E6B9CBE" w:rsidR="00DA282C" w:rsidRDefault="00DA282C" w:rsidP="003F54B7">
      <w:pPr>
        <w:tabs>
          <w:tab w:val="left" w:pos="432"/>
        </w:tabs>
        <w:jc w:val="both"/>
        <w:rPr>
          <w:sz w:val="24"/>
          <w:szCs w:val="24"/>
        </w:rPr>
      </w:pPr>
    </w:p>
    <w:p w14:paraId="11690CF4" w14:textId="06229DA6" w:rsidR="00DA282C" w:rsidRDefault="00DA282C" w:rsidP="003F54B7">
      <w:pPr>
        <w:tabs>
          <w:tab w:val="left" w:pos="432"/>
        </w:tabs>
        <w:jc w:val="both"/>
        <w:rPr>
          <w:sz w:val="24"/>
          <w:szCs w:val="24"/>
        </w:rPr>
      </w:pPr>
    </w:p>
    <w:p w14:paraId="790694D6" w14:textId="0C88C40A" w:rsidR="00DA282C" w:rsidRDefault="00DA282C" w:rsidP="003F54B7">
      <w:pPr>
        <w:tabs>
          <w:tab w:val="left" w:pos="432"/>
        </w:tabs>
        <w:jc w:val="both"/>
        <w:rPr>
          <w:sz w:val="24"/>
          <w:szCs w:val="24"/>
        </w:rPr>
      </w:pPr>
    </w:p>
    <w:p w14:paraId="75D5757E" w14:textId="19095604" w:rsidR="00DA282C" w:rsidRDefault="00DA282C" w:rsidP="003F54B7">
      <w:pPr>
        <w:tabs>
          <w:tab w:val="left" w:pos="432"/>
        </w:tabs>
        <w:jc w:val="both"/>
        <w:rPr>
          <w:sz w:val="24"/>
          <w:szCs w:val="24"/>
        </w:rPr>
      </w:pPr>
    </w:p>
    <w:p w14:paraId="16359905" w14:textId="213C05D2" w:rsidR="00DA282C" w:rsidRDefault="00DA282C" w:rsidP="003F54B7">
      <w:pPr>
        <w:tabs>
          <w:tab w:val="left" w:pos="432"/>
        </w:tabs>
        <w:jc w:val="both"/>
        <w:rPr>
          <w:sz w:val="24"/>
          <w:szCs w:val="24"/>
        </w:rPr>
      </w:pPr>
    </w:p>
    <w:p w14:paraId="16B81B30" w14:textId="2FF7C85F" w:rsidR="00DA282C" w:rsidRDefault="00DA282C" w:rsidP="003F54B7">
      <w:pPr>
        <w:tabs>
          <w:tab w:val="left" w:pos="432"/>
        </w:tabs>
        <w:jc w:val="both"/>
        <w:rPr>
          <w:sz w:val="24"/>
          <w:szCs w:val="24"/>
        </w:rPr>
      </w:pPr>
    </w:p>
    <w:p w14:paraId="4FCEA660" w14:textId="45D17DC0" w:rsidR="00DA282C" w:rsidRDefault="00DA282C" w:rsidP="003F54B7">
      <w:pPr>
        <w:tabs>
          <w:tab w:val="left" w:pos="432"/>
        </w:tabs>
        <w:jc w:val="both"/>
        <w:rPr>
          <w:sz w:val="24"/>
          <w:szCs w:val="24"/>
        </w:rPr>
      </w:pPr>
    </w:p>
    <w:p w14:paraId="10D21687" w14:textId="66B70278" w:rsidR="00DA282C" w:rsidRDefault="00DA282C" w:rsidP="003F54B7">
      <w:pPr>
        <w:tabs>
          <w:tab w:val="left" w:pos="432"/>
        </w:tabs>
        <w:jc w:val="both"/>
        <w:rPr>
          <w:sz w:val="24"/>
          <w:szCs w:val="24"/>
        </w:rPr>
      </w:pPr>
    </w:p>
    <w:p w14:paraId="15E6B619" w14:textId="4EE4A443" w:rsidR="00DA282C" w:rsidRDefault="00DA282C" w:rsidP="003F54B7">
      <w:pPr>
        <w:tabs>
          <w:tab w:val="left" w:pos="432"/>
        </w:tabs>
        <w:jc w:val="both"/>
        <w:rPr>
          <w:sz w:val="24"/>
          <w:szCs w:val="24"/>
        </w:rPr>
      </w:pPr>
    </w:p>
    <w:p w14:paraId="347E8D9C" w14:textId="760B6965" w:rsidR="00DA282C" w:rsidRDefault="00DA282C" w:rsidP="003F54B7">
      <w:pPr>
        <w:tabs>
          <w:tab w:val="left" w:pos="432"/>
        </w:tabs>
        <w:jc w:val="both"/>
        <w:rPr>
          <w:sz w:val="24"/>
          <w:szCs w:val="24"/>
        </w:rPr>
      </w:pPr>
    </w:p>
    <w:p w14:paraId="2ED72BB9" w14:textId="0FB51E91" w:rsidR="00DA282C" w:rsidRDefault="00DA282C" w:rsidP="003F54B7">
      <w:pPr>
        <w:tabs>
          <w:tab w:val="left" w:pos="432"/>
        </w:tabs>
        <w:jc w:val="both"/>
        <w:rPr>
          <w:sz w:val="24"/>
          <w:szCs w:val="24"/>
        </w:rPr>
      </w:pPr>
    </w:p>
    <w:p w14:paraId="326269A8" w14:textId="047C28BA" w:rsidR="00DA282C" w:rsidRDefault="00DA282C" w:rsidP="003F54B7">
      <w:pPr>
        <w:tabs>
          <w:tab w:val="left" w:pos="432"/>
        </w:tabs>
        <w:jc w:val="both"/>
        <w:rPr>
          <w:sz w:val="24"/>
          <w:szCs w:val="24"/>
        </w:rPr>
      </w:pPr>
    </w:p>
    <w:p w14:paraId="2A33211E" w14:textId="068A428F" w:rsidR="00DA282C" w:rsidRDefault="00DA282C" w:rsidP="003F54B7">
      <w:pPr>
        <w:tabs>
          <w:tab w:val="left" w:pos="432"/>
        </w:tabs>
        <w:jc w:val="both"/>
        <w:rPr>
          <w:sz w:val="24"/>
          <w:szCs w:val="24"/>
        </w:rPr>
      </w:pPr>
    </w:p>
    <w:p w14:paraId="01282672" w14:textId="7C578341" w:rsidR="00DA282C" w:rsidRDefault="00DA282C" w:rsidP="003F54B7">
      <w:pPr>
        <w:tabs>
          <w:tab w:val="left" w:pos="432"/>
        </w:tabs>
        <w:jc w:val="both"/>
        <w:rPr>
          <w:sz w:val="24"/>
          <w:szCs w:val="24"/>
        </w:rPr>
      </w:pPr>
    </w:p>
    <w:p w14:paraId="44535C62" w14:textId="4D0C0613" w:rsidR="00DA282C" w:rsidRDefault="00DA282C" w:rsidP="003F54B7">
      <w:pPr>
        <w:tabs>
          <w:tab w:val="left" w:pos="432"/>
        </w:tabs>
        <w:jc w:val="both"/>
        <w:rPr>
          <w:sz w:val="24"/>
          <w:szCs w:val="24"/>
        </w:rPr>
      </w:pPr>
    </w:p>
    <w:p w14:paraId="6151E503" w14:textId="1DCB8353" w:rsidR="00DA282C" w:rsidRDefault="00DA282C" w:rsidP="003F54B7">
      <w:pPr>
        <w:tabs>
          <w:tab w:val="left" w:pos="432"/>
        </w:tabs>
        <w:jc w:val="both"/>
        <w:rPr>
          <w:sz w:val="24"/>
          <w:szCs w:val="24"/>
        </w:rPr>
      </w:pPr>
    </w:p>
    <w:p w14:paraId="2379DBD3" w14:textId="14F2EADF" w:rsidR="00DA282C" w:rsidRDefault="00DA282C" w:rsidP="003F54B7">
      <w:pPr>
        <w:tabs>
          <w:tab w:val="left" w:pos="432"/>
        </w:tabs>
        <w:jc w:val="both"/>
        <w:rPr>
          <w:sz w:val="24"/>
          <w:szCs w:val="24"/>
        </w:rPr>
      </w:pPr>
    </w:p>
    <w:p w14:paraId="45C1239B" w14:textId="1D7FBF9C" w:rsidR="00DA282C" w:rsidRDefault="00DA282C" w:rsidP="003F54B7">
      <w:pPr>
        <w:tabs>
          <w:tab w:val="left" w:pos="432"/>
        </w:tabs>
        <w:jc w:val="both"/>
        <w:rPr>
          <w:sz w:val="24"/>
          <w:szCs w:val="24"/>
        </w:rPr>
      </w:pPr>
    </w:p>
    <w:p w14:paraId="25EE991B" w14:textId="77777777" w:rsidR="00133C42" w:rsidRPr="00AB2F19" w:rsidRDefault="00133C42" w:rsidP="00133C42">
      <w:pPr>
        <w:spacing w:line="259" w:lineRule="auto"/>
        <w:jc w:val="center"/>
        <w:rPr>
          <w:sz w:val="24"/>
          <w:szCs w:val="24"/>
        </w:rPr>
      </w:pPr>
      <w:r w:rsidRPr="00AB2F19">
        <w:rPr>
          <w:noProof/>
          <w:sz w:val="24"/>
          <w:szCs w:val="24"/>
        </w:rPr>
        <w:drawing>
          <wp:inline distT="0" distB="0" distL="0" distR="0" wp14:anchorId="2662CBC3" wp14:editId="372FBA4D">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0"/>
                    <a:stretch>
                      <a:fillRect/>
                    </a:stretch>
                  </pic:blipFill>
                  <pic:spPr>
                    <a:xfrm>
                      <a:off x="0" y="0"/>
                      <a:ext cx="12192" cy="9147"/>
                    </a:xfrm>
                    <a:prstGeom prst="rect">
                      <a:avLst/>
                    </a:prstGeom>
                  </pic:spPr>
                </pic:pic>
              </a:graphicData>
            </a:graphic>
          </wp:inline>
        </w:drawing>
      </w:r>
      <w:r w:rsidRPr="00AB2F19">
        <w:rPr>
          <w:sz w:val="24"/>
          <w:szCs w:val="24"/>
        </w:rPr>
        <w:t>COMMONWEALTH OF MASSACHUSETTS</w:t>
      </w:r>
    </w:p>
    <w:p w14:paraId="4D746C69" w14:textId="77777777" w:rsidR="00133C42" w:rsidRPr="00AB2F19" w:rsidRDefault="00133C42" w:rsidP="00133C42">
      <w:pPr>
        <w:spacing w:after="591" w:line="259" w:lineRule="auto"/>
        <w:ind w:right="250"/>
        <w:jc w:val="center"/>
        <w:rPr>
          <w:sz w:val="24"/>
          <w:szCs w:val="24"/>
        </w:rPr>
      </w:pPr>
      <w:r w:rsidRPr="00AB2F19">
        <w:rPr>
          <w:noProof/>
          <w:sz w:val="24"/>
          <w:szCs w:val="24"/>
        </w:rPr>
        <w:drawing>
          <wp:inline distT="0" distB="0" distL="0" distR="0" wp14:anchorId="3D0AFA3C" wp14:editId="692E969A">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1"/>
                    <a:stretch>
                      <a:fillRect/>
                    </a:stretch>
                  </pic:blipFill>
                  <pic:spPr>
                    <a:xfrm>
                      <a:off x="0" y="0"/>
                      <a:ext cx="9144" cy="9147"/>
                    </a:xfrm>
                    <a:prstGeom prst="rect">
                      <a:avLst/>
                    </a:prstGeom>
                  </pic:spPr>
                </pic:pic>
              </a:graphicData>
            </a:graphic>
          </wp:inline>
        </w:drawing>
      </w:r>
      <w:r w:rsidRPr="00AB2F19">
        <w:rPr>
          <w:sz w:val="24"/>
          <w:szCs w:val="24"/>
        </w:rPr>
        <w:t>BUREAU OF SPECIAL EDUCATION APPEALS</w:t>
      </w:r>
    </w:p>
    <w:p w14:paraId="066FDC8D" w14:textId="77777777" w:rsidR="00133C42" w:rsidRPr="00AB2F19" w:rsidRDefault="00133C42" w:rsidP="00133C42">
      <w:pPr>
        <w:tabs>
          <w:tab w:val="center" w:pos="440"/>
          <w:tab w:val="center" w:pos="4627"/>
        </w:tabs>
        <w:spacing w:after="533" w:line="259" w:lineRule="auto"/>
        <w:jc w:val="center"/>
        <w:rPr>
          <w:sz w:val="24"/>
          <w:szCs w:val="24"/>
        </w:rPr>
      </w:pPr>
      <w:r w:rsidRPr="00AB2F19">
        <w:rPr>
          <w:sz w:val="24"/>
          <w:szCs w:val="24"/>
          <w:u w:val="single" w:color="000000"/>
        </w:rPr>
        <w:t xml:space="preserve">EFFECT OF FINAL BSEA ACTIONS AND </w:t>
      </w:r>
      <w:r w:rsidRPr="00AB2F19">
        <w:rPr>
          <w:noProof/>
          <w:sz w:val="24"/>
          <w:szCs w:val="24"/>
        </w:rPr>
        <w:drawing>
          <wp:inline distT="0" distB="0" distL="0" distR="0" wp14:anchorId="3B5484BC" wp14:editId="347504A0">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2"/>
                    <a:stretch>
                      <a:fillRect/>
                    </a:stretch>
                  </pic:blipFill>
                  <pic:spPr>
                    <a:xfrm>
                      <a:off x="0" y="0"/>
                      <a:ext cx="9144" cy="9147"/>
                    </a:xfrm>
                    <a:prstGeom prst="rect">
                      <a:avLst/>
                    </a:prstGeom>
                  </pic:spPr>
                </pic:pic>
              </a:graphicData>
            </a:graphic>
          </wp:inline>
        </w:drawing>
      </w:r>
      <w:r w:rsidRPr="00AB2F19">
        <w:rPr>
          <w:sz w:val="24"/>
          <w:szCs w:val="24"/>
          <w:u w:val="single" w:color="000000"/>
        </w:rPr>
        <w:t>RIGHTS OF APPEAL</w:t>
      </w:r>
    </w:p>
    <w:p w14:paraId="0C6CCFFD" w14:textId="77777777" w:rsidR="00133C42" w:rsidRPr="00AB2F19" w:rsidRDefault="00133C42" w:rsidP="00133C42">
      <w:pPr>
        <w:pStyle w:val="Heading1"/>
        <w:spacing w:after="261"/>
        <w:ind w:left="38"/>
        <w:rPr>
          <w:rFonts w:ascii="Times New Roman" w:hAnsi="Times New Roman"/>
          <w:sz w:val="24"/>
          <w:szCs w:val="24"/>
        </w:rPr>
      </w:pPr>
      <w:r w:rsidRPr="00AB2F19">
        <w:rPr>
          <w:rFonts w:ascii="Times New Roman" w:hAnsi="Times New Roman"/>
          <w:sz w:val="24"/>
          <w:szCs w:val="24"/>
        </w:rPr>
        <w:t>Effect of BSEA Decision, Dismissal with Prejudice and Allowance of Motion for Summary Judgment</w:t>
      </w:r>
    </w:p>
    <w:p w14:paraId="4573CA51" w14:textId="77777777" w:rsidR="00133C42" w:rsidRPr="00AB2F19" w:rsidRDefault="00133C42" w:rsidP="00133C42">
      <w:pPr>
        <w:spacing w:after="312" w:line="250" w:lineRule="auto"/>
        <w:ind w:left="43" w:firstLine="5"/>
        <w:rPr>
          <w:sz w:val="24"/>
          <w:szCs w:val="24"/>
        </w:rPr>
      </w:pPr>
      <w:r w:rsidRPr="00AB2F19">
        <w:rPr>
          <w:sz w:val="24"/>
          <w:szCs w:val="24"/>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0625621E" w14:textId="77777777" w:rsidR="00133C42" w:rsidRPr="00AB2F19" w:rsidRDefault="00133C42" w:rsidP="00133C42">
      <w:pPr>
        <w:spacing w:after="312" w:line="250" w:lineRule="auto"/>
        <w:ind w:left="43" w:firstLine="5"/>
        <w:rPr>
          <w:sz w:val="24"/>
          <w:szCs w:val="24"/>
        </w:rPr>
      </w:pPr>
      <w:r w:rsidRPr="00AB2F19">
        <w:rPr>
          <w:sz w:val="24"/>
          <w:szCs w:val="24"/>
        </w:rPr>
        <w:t>Accordingly</w:t>
      </w:r>
      <w:r w:rsidRPr="00AB2F19">
        <w:rPr>
          <w:strike/>
          <w:sz w:val="24"/>
          <w:szCs w:val="24"/>
        </w:rPr>
        <w:t>,</w:t>
      </w:r>
      <w:r w:rsidRPr="00AB2F19">
        <w:rPr>
          <w:sz w:val="24"/>
          <w:szCs w:val="24"/>
        </w:rPr>
        <w:t xml:space="preserve"> the Bureau cannot permit motions to reconsider or to re-open either a Bureau decision or the Rulings set forth above once they have issued. They are final subject only to judicial (court) review.</w:t>
      </w:r>
    </w:p>
    <w:p w14:paraId="6331C075" w14:textId="77777777" w:rsidR="00133C42" w:rsidRPr="00AB2F19" w:rsidRDefault="00133C42" w:rsidP="00133C42">
      <w:pPr>
        <w:ind w:left="19" w:right="62"/>
        <w:rPr>
          <w:sz w:val="24"/>
          <w:szCs w:val="24"/>
        </w:rPr>
      </w:pPr>
      <w:r w:rsidRPr="00AB2F19">
        <w:rPr>
          <w:sz w:val="24"/>
          <w:szCs w:val="24"/>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06B1451D" w14:textId="77777777" w:rsidR="00133C42" w:rsidRPr="00AB2F19" w:rsidRDefault="00133C42" w:rsidP="00133C42">
      <w:pPr>
        <w:ind w:left="19" w:right="62"/>
        <w:rPr>
          <w:sz w:val="24"/>
          <w:szCs w:val="24"/>
        </w:rPr>
      </w:pPr>
      <w:r w:rsidRPr="00AB2F19">
        <w:rPr>
          <w:sz w:val="24"/>
          <w:szCs w:val="24"/>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59B51FA2" w14:textId="77777777" w:rsidR="00133C42" w:rsidRPr="00AB2F19" w:rsidRDefault="00133C42" w:rsidP="00133C42">
      <w:pPr>
        <w:ind w:left="19" w:right="62"/>
        <w:rPr>
          <w:sz w:val="24"/>
          <w:szCs w:val="24"/>
        </w:rPr>
      </w:pPr>
      <w:r w:rsidRPr="00AB2F19">
        <w:rPr>
          <w:sz w:val="24"/>
          <w:szCs w:val="24"/>
        </w:rPr>
        <w:t xml:space="preserve">Therefore, where the Bureau has ordered the public school to place the child in a new placement, and the parents or guardian agree with that order, the public school shall immediately implement the placement ordered by the Bureau.  </w:t>
      </w:r>
      <w:r w:rsidRPr="00AB2F19">
        <w:rPr>
          <w:i/>
          <w:iCs/>
          <w:sz w:val="24"/>
          <w:szCs w:val="24"/>
        </w:rPr>
        <w:t>School Committee of Burlington v. Massachusetts Department of Education</w:t>
      </w:r>
      <w:r w:rsidRPr="00AB2F19">
        <w:rPr>
          <w:sz w:val="24"/>
          <w:szCs w:val="24"/>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AB2F19">
        <w:rPr>
          <w:i/>
          <w:iCs/>
          <w:sz w:val="24"/>
          <w:szCs w:val="24"/>
        </w:rPr>
        <w:t>Honig v. Doe</w:t>
      </w:r>
      <w:r w:rsidRPr="00AB2F19">
        <w:rPr>
          <w:sz w:val="24"/>
          <w:szCs w:val="24"/>
        </w:rPr>
        <w:t xml:space="preserve">, 484 U.S. 305 (1988); </w:t>
      </w:r>
      <w:r w:rsidRPr="00AB2F19">
        <w:rPr>
          <w:i/>
          <w:iCs/>
          <w:sz w:val="24"/>
          <w:szCs w:val="24"/>
        </w:rPr>
        <w:t>Doe v. Brookline</w:t>
      </w:r>
      <w:r w:rsidRPr="00AB2F19">
        <w:rPr>
          <w:sz w:val="24"/>
          <w:szCs w:val="24"/>
        </w:rPr>
        <w:t>, 722 F.2d 910 (1</w:t>
      </w:r>
      <w:r w:rsidRPr="00AB2F19">
        <w:rPr>
          <w:sz w:val="24"/>
          <w:szCs w:val="24"/>
          <w:vertAlign w:val="superscript"/>
        </w:rPr>
        <w:t>st</w:t>
      </w:r>
      <w:r w:rsidRPr="00AB2F19">
        <w:rPr>
          <w:sz w:val="24"/>
          <w:szCs w:val="24"/>
        </w:rPr>
        <w:t xml:space="preserve"> Cir. 1983).</w:t>
      </w:r>
    </w:p>
    <w:p w14:paraId="148B693D" w14:textId="77777777" w:rsidR="00133C42" w:rsidRPr="00AB2F19" w:rsidRDefault="00133C42" w:rsidP="00133C42">
      <w:pPr>
        <w:pStyle w:val="Heading1"/>
        <w:ind w:left="96"/>
        <w:rPr>
          <w:rFonts w:ascii="Times New Roman" w:hAnsi="Times New Roman"/>
          <w:sz w:val="24"/>
          <w:szCs w:val="24"/>
        </w:rPr>
      </w:pPr>
      <w:r w:rsidRPr="00AB2F19">
        <w:rPr>
          <w:rFonts w:ascii="Times New Roman" w:hAnsi="Times New Roman"/>
          <w:sz w:val="24"/>
          <w:szCs w:val="24"/>
        </w:rPr>
        <w:lastRenderedPageBreak/>
        <w:t>Compliance</w:t>
      </w:r>
    </w:p>
    <w:p w14:paraId="43510567" w14:textId="77777777" w:rsidR="00133C42" w:rsidRPr="00AB2F19" w:rsidRDefault="00133C42" w:rsidP="00133C42">
      <w:pPr>
        <w:ind w:left="19" w:right="172"/>
        <w:rPr>
          <w:sz w:val="24"/>
          <w:szCs w:val="24"/>
        </w:rPr>
      </w:pPr>
      <w:r w:rsidRPr="00AB2F19">
        <w:rPr>
          <w:sz w:val="24"/>
          <w:szCs w:val="24"/>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16491BC2" w14:textId="77777777" w:rsidR="00133C42" w:rsidRPr="00AB2F19" w:rsidRDefault="00133C42" w:rsidP="00133C42">
      <w:pPr>
        <w:pStyle w:val="Heading1"/>
        <w:ind w:left="-5"/>
        <w:rPr>
          <w:rFonts w:ascii="Times New Roman" w:hAnsi="Times New Roman"/>
          <w:sz w:val="24"/>
          <w:szCs w:val="24"/>
        </w:rPr>
      </w:pPr>
      <w:r w:rsidRPr="00AB2F19">
        <w:rPr>
          <w:rFonts w:ascii="Times New Roman" w:hAnsi="Times New Roman"/>
          <w:sz w:val="24"/>
          <w:szCs w:val="24"/>
        </w:rPr>
        <w:t>Rights of Appeal</w:t>
      </w:r>
    </w:p>
    <w:p w14:paraId="0DBAA511" w14:textId="77777777" w:rsidR="00133C42" w:rsidRPr="00AB2F19" w:rsidRDefault="00133C42" w:rsidP="00133C42">
      <w:pPr>
        <w:ind w:left="19" w:right="172"/>
        <w:rPr>
          <w:sz w:val="24"/>
          <w:szCs w:val="24"/>
        </w:rPr>
      </w:pPr>
      <w:r w:rsidRPr="00AB2F19">
        <w:rPr>
          <w:sz w:val="24"/>
          <w:szCs w:val="24"/>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4C5B2A82" w14:textId="77777777" w:rsidR="00133C42" w:rsidRPr="00AB2F19" w:rsidRDefault="00133C42" w:rsidP="00133C42">
      <w:pPr>
        <w:spacing w:after="566"/>
        <w:ind w:left="19" w:right="172"/>
        <w:rPr>
          <w:sz w:val="24"/>
          <w:szCs w:val="24"/>
        </w:rPr>
      </w:pPr>
      <w:r w:rsidRPr="00AB2F19">
        <w:rPr>
          <w:sz w:val="24"/>
          <w:szCs w:val="24"/>
        </w:rPr>
        <w:t>An appeal of a Bureau decision to state superior court or to federal district court must be filed within ninety (90) days from the date of the decision. 20 U.S.C. s. 1415(i)(2)(B).</w:t>
      </w:r>
    </w:p>
    <w:p w14:paraId="607A92F1" w14:textId="77777777" w:rsidR="00133C42" w:rsidRPr="00AB2F19" w:rsidRDefault="00133C42" w:rsidP="00133C42">
      <w:pPr>
        <w:pStyle w:val="Heading1"/>
        <w:ind w:left="-5"/>
        <w:rPr>
          <w:rFonts w:ascii="Times New Roman" w:hAnsi="Times New Roman"/>
          <w:sz w:val="24"/>
          <w:szCs w:val="24"/>
        </w:rPr>
      </w:pPr>
      <w:r w:rsidRPr="00AB2F19">
        <w:rPr>
          <w:rFonts w:ascii="Times New Roman" w:hAnsi="Times New Roman"/>
          <w:sz w:val="24"/>
          <w:szCs w:val="24"/>
        </w:rPr>
        <w:t>Confidentiality</w:t>
      </w:r>
    </w:p>
    <w:p w14:paraId="59641FF6" w14:textId="77777777" w:rsidR="00133C42" w:rsidRPr="00AB2F19" w:rsidRDefault="00133C42" w:rsidP="00133C42">
      <w:pPr>
        <w:ind w:left="19" w:right="34"/>
        <w:rPr>
          <w:i/>
          <w:iCs/>
          <w:sz w:val="24"/>
          <w:szCs w:val="24"/>
        </w:rPr>
      </w:pPr>
      <w:r w:rsidRPr="00AB2F19">
        <w:rPr>
          <w:noProof/>
          <w:sz w:val="24"/>
          <w:szCs w:val="24"/>
        </w:rPr>
        <w:drawing>
          <wp:anchor distT="0" distB="0" distL="114300" distR="114300" simplePos="0" relativeHeight="251645952" behindDoc="0" locked="0" layoutInCell="1" allowOverlap="0" wp14:anchorId="083F5049" wp14:editId="7FF7B20B">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3"/>
                    <a:stretch>
                      <a:fillRect/>
                    </a:stretch>
                  </pic:blipFill>
                  <pic:spPr>
                    <a:xfrm>
                      <a:off x="0" y="0"/>
                      <a:ext cx="12192" cy="12196"/>
                    </a:xfrm>
                    <a:prstGeom prst="rect">
                      <a:avLst/>
                    </a:prstGeom>
                  </pic:spPr>
                </pic:pic>
              </a:graphicData>
            </a:graphic>
          </wp:anchor>
        </w:drawing>
      </w:r>
      <w:r w:rsidRPr="00AB2F19">
        <w:rPr>
          <w:noProof/>
          <w:sz w:val="24"/>
          <w:szCs w:val="24"/>
        </w:rPr>
        <w:drawing>
          <wp:anchor distT="0" distB="0" distL="114300" distR="114300" simplePos="0" relativeHeight="251649024" behindDoc="0" locked="0" layoutInCell="1" allowOverlap="0" wp14:anchorId="5C7652AB" wp14:editId="424E61EE">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4"/>
                    <a:stretch>
                      <a:fillRect/>
                    </a:stretch>
                  </pic:blipFill>
                  <pic:spPr>
                    <a:xfrm>
                      <a:off x="0" y="0"/>
                      <a:ext cx="9144" cy="9147"/>
                    </a:xfrm>
                    <a:prstGeom prst="rect">
                      <a:avLst/>
                    </a:prstGeom>
                  </pic:spPr>
                </pic:pic>
              </a:graphicData>
            </a:graphic>
          </wp:anchor>
        </w:drawing>
      </w:r>
      <w:r w:rsidRPr="00AB2F19">
        <w:rPr>
          <w:noProof/>
          <w:sz w:val="24"/>
          <w:szCs w:val="24"/>
        </w:rPr>
        <w:drawing>
          <wp:anchor distT="0" distB="0" distL="114300" distR="114300" simplePos="0" relativeHeight="251652096" behindDoc="0" locked="0" layoutInCell="1" allowOverlap="0" wp14:anchorId="540FD24F" wp14:editId="7E03FB49">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5"/>
                    <a:stretch>
                      <a:fillRect/>
                    </a:stretch>
                  </pic:blipFill>
                  <pic:spPr>
                    <a:xfrm>
                      <a:off x="0" y="0"/>
                      <a:ext cx="9144" cy="9147"/>
                    </a:xfrm>
                    <a:prstGeom prst="rect">
                      <a:avLst/>
                    </a:prstGeom>
                  </pic:spPr>
                </pic:pic>
              </a:graphicData>
            </a:graphic>
          </wp:anchor>
        </w:drawing>
      </w:r>
      <w:r w:rsidRPr="00AB2F19">
        <w:rPr>
          <w:noProof/>
          <w:sz w:val="24"/>
          <w:szCs w:val="24"/>
        </w:rPr>
        <w:drawing>
          <wp:anchor distT="0" distB="0" distL="114300" distR="114300" simplePos="0" relativeHeight="251656192" behindDoc="0" locked="0" layoutInCell="1" allowOverlap="0" wp14:anchorId="79CC1082" wp14:editId="24A24822">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6"/>
                    <a:stretch>
                      <a:fillRect/>
                    </a:stretch>
                  </pic:blipFill>
                  <pic:spPr>
                    <a:xfrm>
                      <a:off x="0" y="0"/>
                      <a:ext cx="9144" cy="12196"/>
                    </a:xfrm>
                    <a:prstGeom prst="rect">
                      <a:avLst/>
                    </a:prstGeom>
                  </pic:spPr>
                </pic:pic>
              </a:graphicData>
            </a:graphic>
          </wp:anchor>
        </w:drawing>
      </w:r>
      <w:r w:rsidRPr="00AB2F19">
        <w:rPr>
          <w:noProof/>
          <w:sz w:val="24"/>
          <w:szCs w:val="24"/>
        </w:rPr>
        <w:drawing>
          <wp:anchor distT="0" distB="0" distL="114300" distR="114300" simplePos="0" relativeHeight="251659264" behindDoc="0" locked="0" layoutInCell="1" allowOverlap="0" wp14:anchorId="00B61267" wp14:editId="63ECA8EC">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7"/>
                    <a:stretch>
                      <a:fillRect/>
                    </a:stretch>
                  </pic:blipFill>
                  <pic:spPr>
                    <a:xfrm>
                      <a:off x="0" y="0"/>
                      <a:ext cx="15240" cy="12196"/>
                    </a:xfrm>
                    <a:prstGeom prst="rect">
                      <a:avLst/>
                    </a:prstGeom>
                  </pic:spPr>
                </pic:pic>
              </a:graphicData>
            </a:graphic>
          </wp:anchor>
        </w:drawing>
      </w:r>
      <w:r w:rsidRPr="00AB2F19">
        <w:rPr>
          <w:noProof/>
          <w:sz w:val="24"/>
          <w:szCs w:val="24"/>
        </w:rPr>
        <w:drawing>
          <wp:anchor distT="0" distB="0" distL="114300" distR="114300" simplePos="0" relativeHeight="251662336" behindDoc="0" locked="0" layoutInCell="1" allowOverlap="0" wp14:anchorId="091945B9" wp14:editId="29947CEF">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8"/>
                    <a:stretch>
                      <a:fillRect/>
                    </a:stretch>
                  </pic:blipFill>
                  <pic:spPr>
                    <a:xfrm>
                      <a:off x="0" y="0"/>
                      <a:ext cx="9144" cy="9147"/>
                    </a:xfrm>
                    <a:prstGeom prst="rect">
                      <a:avLst/>
                    </a:prstGeom>
                  </pic:spPr>
                </pic:pic>
              </a:graphicData>
            </a:graphic>
          </wp:anchor>
        </w:drawing>
      </w:r>
      <w:r w:rsidRPr="00AB2F19">
        <w:rPr>
          <w:noProof/>
          <w:sz w:val="24"/>
          <w:szCs w:val="24"/>
        </w:rPr>
        <w:drawing>
          <wp:anchor distT="0" distB="0" distL="114300" distR="114300" simplePos="0" relativeHeight="251666432" behindDoc="0" locked="0" layoutInCell="1" allowOverlap="0" wp14:anchorId="4089B58A" wp14:editId="7E064B5E">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9"/>
                    <a:stretch>
                      <a:fillRect/>
                    </a:stretch>
                  </pic:blipFill>
                  <pic:spPr>
                    <a:xfrm>
                      <a:off x="0" y="0"/>
                      <a:ext cx="9144" cy="9147"/>
                    </a:xfrm>
                    <a:prstGeom prst="rect">
                      <a:avLst/>
                    </a:prstGeom>
                  </pic:spPr>
                </pic:pic>
              </a:graphicData>
            </a:graphic>
          </wp:anchor>
        </w:drawing>
      </w:r>
      <w:r w:rsidRPr="00AB2F19">
        <w:rPr>
          <w:noProof/>
          <w:sz w:val="24"/>
          <w:szCs w:val="24"/>
        </w:rPr>
        <w:drawing>
          <wp:anchor distT="0" distB="0" distL="114300" distR="114300" simplePos="0" relativeHeight="251669504" behindDoc="0" locked="0" layoutInCell="1" allowOverlap="0" wp14:anchorId="528645FD" wp14:editId="0437EA08">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0"/>
                    <a:stretch>
                      <a:fillRect/>
                    </a:stretch>
                  </pic:blipFill>
                  <pic:spPr>
                    <a:xfrm>
                      <a:off x="0" y="0"/>
                      <a:ext cx="9144" cy="9147"/>
                    </a:xfrm>
                    <a:prstGeom prst="rect">
                      <a:avLst/>
                    </a:prstGeom>
                  </pic:spPr>
                </pic:pic>
              </a:graphicData>
            </a:graphic>
          </wp:anchor>
        </w:drawing>
      </w:r>
      <w:r w:rsidRPr="00AB2F19">
        <w:rPr>
          <w:noProof/>
          <w:sz w:val="24"/>
          <w:szCs w:val="24"/>
        </w:rPr>
        <w:drawing>
          <wp:anchor distT="0" distB="0" distL="114300" distR="114300" simplePos="0" relativeHeight="251672576" behindDoc="0" locked="0" layoutInCell="1" allowOverlap="0" wp14:anchorId="7019F6B1" wp14:editId="2F19D093">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1"/>
                    <a:stretch>
                      <a:fillRect/>
                    </a:stretch>
                  </pic:blipFill>
                  <pic:spPr>
                    <a:xfrm>
                      <a:off x="0" y="0"/>
                      <a:ext cx="18288" cy="15245"/>
                    </a:xfrm>
                    <a:prstGeom prst="rect">
                      <a:avLst/>
                    </a:prstGeom>
                  </pic:spPr>
                </pic:pic>
              </a:graphicData>
            </a:graphic>
          </wp:anchor>
        </w:drawing>
      </w:r>
      <w:proofErr w:type="gramStart"/>
      <w:r w:rsidRPr="00AB2F19">
        <w:rPr>
          <w:sz w:val="24"/>
          <w:szCs w:val="24"/>
        </w:rPr>
        <w:t>In order to</w:t>
      </w:r>
      <w:proofErr w:type="gramEnd"/>
      <w:r w:rsidRPr="00AB2F19">
        <w:rPr>
          <w:sz w:val="24"/>
          <w:szCs w:val="24"/>
        </w:rPr>
        <w:t xml:space="preserve"> preserve the confidentiality of the student involved in these proceedings, when an </w:t>
      </w:r>
      <w:r w:rsidRPr="00AB2F19">
        <w:rPr>
          <w:noProof/>
          <w:sz w:val="24"/>
          <w:szCs w:val="24"/>
        </w:rPr>
        <w:drawing>
          <wp:inline distT="0" distB="0" distL="0" distR="0" wp14:anchorId="0C635D04" wp14:editId="5AF40C1D">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2"/>
                    <a:stretch>
                      <a:fillRect/>
                    </a:stretch>
                  </pic:blipFill>
                  <pic:spPr>
                    <a:xfrm>
                      <a:off x="0" y="0"/>
                      <a:ext cx="6096" cy="12196"/>
                    </a:xfrm>
                    <a:prstGeom prst="rect">
                      <a:avLst/>
                    </a:prstGeom>
                  </pic:spPr>
                </pic:pic>
              </a:graphicData>
            </a:graphic>
          </wp:inline>
        </w:drawing>
      </w:r>
      <w:r w:rsidRPr="00AB2F19">
        <w:rPr>
          <w:sz w:val="24"/>
          <w:szCs w:val="24"/>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AB2F19">
        <w:rPr>
          <w:i/>
          <w:iCs/>
          <w:sz w:val="24"/>
          <w:szCs w:val="24"/>
        </w:rPr>
        <w:t xml:space="preserve">Webster </w:t>
      </w:r>
      <w:proofErr w:type="spellStart"/>
      <w:r w:rsidRPr="00AB2F19">
        <w:rPr>
          <w:i/>
          <w:iCs/>
          <w:sz w:val="24"/>
          <w:szCs w:val="24"/>
        </w:rPr>
        <w:t>Grove_School</w:t>
      </w:r>
      <w:proofErr w:type="spellEnd"/>
      <w:r w:rsidRPr="00AB2F19">
        <w:rPr>
          <w:i/>
          <w:iCs/>
          <w:sz w:val="24"/>
          <w:szCs w:val="24"/>
        </w:rPr>
        <w:t xml:space="preserve"> District v. Pulitzer Publishing</w:t>
      </w:r>
    </w:p>
    <w:p w14:paraId="712AF63B" w14:textId="77777777" w:rsidR="00133C42" w:rsidRPr="00AB2F19" w:rsidRDefault="00133C42" w:rsidP="00133C42">
      <w:pPr>
        <w:spacing w:after="562"/>
        <w:ind w:left="19" w:right="172"/>
        <w:rPr>
          <w:sz w:val="24"/>
          <w:szCs w:val="24"/>
        </w:rPr>
      </w:pPr>
      <w:r w:rsidRPr="00AB2F19">
        <w:rPr>
          <w:i/>
          <w:iCs/>
          <w:sz w:val="24"/>
          <w:szCs w:val="24"/>
        </w:rPr>
        <w:t>Company</w:t>
      </w:r>
      <w:r w:rsidRPr="00AB2F19">
        <w:rPr>
          <w:sz w:val="24"/>
          <w:szCs w:val="24"/>
        </w:rPr>
        <w:t>, 898 F.2d 1371 (8th. Cir. 1990). If the appealing party does not seek to impound the documents, the Bureau of Special Education Appeals, through the Attorney General's Office, may move to impound the documents.</w:t>
      </w:r>
    </w:p>
    <w:p w14:paraId="18353BC8" w14:textId="77777777" w:rsidR="00133C42" w:rsidRPr="00AB2F19" w:rsidRDefault="00133C42" w:rsidP="00133C42">
      <w:pPr>
        <w:spacing w:after="231" w:line="259" w:lineRule="auto"/>
        <w:ind w:left="62"/>
        <w:rPr>
          <w:sz w:val="24"/>
          <w:szCs w:val="24"/>
          <w:u w:val="single"/>
        </w:rPr>
      </w:pPr>
      <w:r w:rsidRPr="00AB2F19">
        <w:rPr>
          <w:sz w:val="24"/>
          <w:szCs w:val="24"/>
          <w:u w:val="single"/>
        </w:rPr>
        <w:t>Record of the Hearing</w:t>
      </w:r>
    </w:p>
    <w:p w14:paraId="4D43355B" w14:textId="77777777" w:rsidR="00133C42" w:rsidRPr="00AB2F19" w:rsidRDefault="00133C42" w:rsidP="00133C42">
      <w:pPr>
        <w:ind w:left="19" w:right="172"/>
        <w:rPr>
          <w:sz w:val="24"/>
          <w:szCs w:val="24"/>
        </w:rPr>
      </w:pPr>
      <w:r w:rsidRPr="00AB2F19">
        <w:rPr>
          <w:sz w:val="24"/>
          <w:szCs w:val="24"/>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1DD26F1" w14:textId="1FF6CC14" w:rsidR="000D4A1C" w:rsidRPr="00AB2F19" w:rsidRDefault="000D4A1C" w:rsidP="001945AA">
      <w:pPr>
        <w:rPr>
          <w:sz w:val="24"/>
          <w:szCs w:val="24"/>
        </w:rPr>
      </w:pPr>
    </w:p>
    <w:sectPr w:rsidR="000D4A1C" w:rsidRPr="00AB2F19" w:rsidSect="0082111B">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DB52" w14:textId="77777777" w:rsidR="00A65923" w:rsidRDefault="00A65923" w:rsidP="001945AA">
      <w:r>
        <w:separator/>
      </w:r>
    </w:p>
  </w:endnote>
  <w:endnote w:type="continuationSeparator" w:id="0">
    <w:p w14:paraId="6B8D93D3" w14:textId="77777777" w:rsidR="00A65923" w:rsidRDefault="00A65923" w:rsidP="0019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169906"/>
      <w:docPartObj>
        <w:docPartGallery w:val="Page Numbers (Bottom of Page)"/>
        <w:docPartUnique/>
      </w:docPartObj>
    </w:sdtPr>
    <w:sdtEndPr>
      <w:rPr>
        <w:noProof/>
      </w:rPr>
    </w:sdtEndPr>
    <w:sdtContent>
      <w:p w14:paraId="65FEDFD8" w14:textId="77777777" w:rsidR="0082111B" w:rsidRDefault="0082111B">
        <w:pPr>
          <w:pStyle w:val="Footer"/>
          <w:jc w:val="center"/>
        </w:pPr>
        <w:r>
          <w:fldChar w:fldCharType="begin"/>
        </w:r>
        <w:r>
          <w:instrText xml:space="preserve"> PAGE   \* MERGEFORMAT </w:instrText>
        </w:r>
        <w:r>
          <w:fldChar w:fldCharType="separate"/>
        </w:r>
        <w:r w:rsidR="00040AF9">
          <w:rPr>
            <w:noProof/>
          </w:rPr>
          <w:t>5</w:t>
        </w:r>
        <w:r>
          <w:rPr>
            <w:noProof/>
          </w:rPr>
          <w:fldChar w:fldCharType="end"/>
        </w:r>
      </w:p>
    </w:sdtContent>
  </w:sdt>
  <w:p w14:paraId="7DDE535B" w14:textId="77777777" w:rsidR="00844E3F" w:rsidRDefault="00844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B3CC0" w14:textId="77777777" w:rsidR="00A65923" w:rsidRDefault="00A65923" w:rsidP="001945AA">
      <w:r>
        <w:separator/>
      </w:r>
    </w:p>
  </w:footnote>
  <w:footnote w:type="continuationSeparator" w:id="0">
    <w:p w14:paraId="273AB2F4" w14:textId="77777777" w:rsidR="00A65923" w:rsidRDefault="00A65923" w:rsidP="001945AA">
      <w:r>
        <w:continuationSeparator/>
      </w:r>
    </w:p>
  </w:footnote>
  <w:footnote w:id="1">
    <w:p w14:paraId="1E5A8109" w14:textId="7E50B672" w:rsidR="00F06195" w:rsidRDefault="00F06195" w:rsidP="00F06195">
      <w:pPr>
        <w:pStyle w:val="FootnoteText"/>
      </w:pPr>
      <w:r>
        <w:rPr>
          <w:rStyle w:val="FootnoteReference"/>
        </w:rPr>
        <w:footnoteRef/>
      </w:r>
      <w:r>
        <w:t xml:space="preserve"> The cover sheet states that it was faxed to the BSEA on February 20, 2023.  However, February 20</w:t>
      </w:r>
      <w:r w:rsidR="00730782">
        <w:t>, 2023</w:t>
      </w:r>
      <w:r>
        <w:t xml:space="preserve"> was a holiday, and thus the BSEA offices were closed.</w:t>
      </w:r>
    </w:p>
  </w:footnote>
  <w:footnote w:id="2">
    <w:p w14:paraId="481B4109" w14:textId="6480CE9F" w:rsidR="00A737C3" w:rsidRDefault="00A737C3">
      <w:pPr>
        <w:pStyle w:val="FootnoteText"/>
      </w:pPr>
      <w:r>
        <w:rPr>
          <w:rStyle w:val="FootnoteReference"/>
        </w:rPr>
        <w:footnoteRef/>
      </w:r>
      <w:r>
        <w:t xml:space="preserve"> </w:t>
      </w:r>
      <w:r w:rsidRPr="008D786D">
        <w:t xml:space="preserve">The first 18 pages consist of paragraphs which appear to be selections from documents which pertain to Parent’s allegations </w:t>
      </w:r>
      <w:r w:rsidR="00611132" w:rsidRPr="008D786D">
        <w:t>regarding retaliation</w:t>
      </w:r>
      <w:r w:rsidRPr="008D786D">
        <w:t xml:space="preserve"> and discrimination and appear to be dated between 2018 and 2019.</w:t>
      </w:r>
      <w:r>
        <w:rPr>
          <w:sz w:val="24"/>
          <w:szCs w:val="24"/>
        </w:rPr>
        <w:t xml:space="preserve">  </w:t>
      </w:r>
    </w:p>
  </w:footnote>
  <w:footnote w:id="3">
    <w:p w14:paraId="7C2C9CAF" w14:textId="7D19DE09" w:rsidR="00B72B5B" w:rsidRDefault="00B72B5B">
      <w:pPr>
        <w:pStyle w:val="FootnoteText"/>
      </w:pPr>
      <w:r>
        <w:rPr>
          <w:rStyle w:val="FootnoteReference"/>
        </w:rPr>
        <w:footnoteRef/>
      </w:r>
      <w:r>
        <w:t xml:space="preserve"> </w:t>
      </w:r>
      <w:r w:rsidR="00500B25">
        <w:t>The facts are established for purposes of this Ruling only.</w:t>
      </w:r>
    </w:p>
  </w:footnote>
  <w:footnote w:id="4">
    <w:p w14:paraId="609A0A21" w14:textId="458F0409" w:rsidR="002F3D80" w:rsidRDefault="002F3D80">
      <w:pPr>
        <w:pStyle w:val="FootnoteText"/>
      </w:pPr>
      <w:r>
        <w:rPr>
          <w:rStyle w:val="FootnoteReference"/>
        </w:rPr>
        <w:footnoteRef/>
      </w:r>
      <w:r>
        <w:t xml:space="preserve"> The undersigned is aware of the guidance recently issued by OSEP with respect to Motions to Dismiss.  (</w:t>
      </w:r>
      <w:r w:rsidRPr="00A8490E">
        <w:rPr>
          <w:i/>
          <w:iCs/>
        </w:rPr>
        <w:t>See Letter to Zirkel</w:t>
      </w:r>
      <w:r>
        <w:t xml:space="preserve">, 122 LRP 13029 (OSEP, 2022)  The letter is intended for guidance only and is neither precedential nor binding.  Neither Massachusetts nor the First Circuit has addressed whether a hearing officer may issue a </w:t>
      </w:r>
      <w:r w:rsidR="00A8490E">
        <w:t>dispositive</w:t>
      </w:r>
      <w:r>
        <w:t xml:space="preserve"> ruling in a due process hearing.</w:t>
      </w:r>
      <w:r w:rsidR="00A8490E">
        <w:t xml:space="preserve">  </w:t>
      </w:r>
    </w:p>
  </w:footnote>
  <w:footnote w:id="5">
    <w:p w14:paraId="03F3FA89" w14:textId="77777777" w:rsidR="00EB325C" w:rsidRDefault="00EB325C" w:rsidP="00EB325C">
      <w:pPr>
        <w:pStyle w:val="FootnoteText"/>
      </w:pPr>
      <w:r>
        <w:rPr>
          <w:rStyle w:val="FootnoteReference"/>
          <w:rFonts w:eastAsiaTheme="majorEastAsia"/>
        </w:rPr>
        <w:footnoteRef/>
      </w:r>
      <w:r>
        <w:t xml:space="preserve"> See, for example, </w:t>
      </w:r>
      <w:r>
        <w:rPr>
          <w:i/>
          <w:iCs/>
        </w:rPr>
        <w:t xml:space="preserve">In Re: </w:t>
      </w:r>
      <w:proofErr w:type="spellStart"/>
      <w:r>
        <w:rPr>
          <w:i/>
          <w:iCs/>
        </w:rPr>
        <w:t>Inessa</w:t>
      </w:r>
      <w:proofErr w:type="spellEnd"/>
      <w:r>
        <w:rPr>
          <w:i/>
          <w:iCs/>
        </w:rPr>
        <w:t xml:space="preserve"> R. v. Groton Dunstable School District</w:t>
      </w:r>
      <w:r>
        <w:t xml:space="preserve">, BSEA No. 95-3104 (Byrne, November 1995)  </w:t>
      </w:r>
    </w:p>
  </w:footnote>
  <w:footnote w:id="6">
    <w:p w14:paraId="41DF1650" w14:textId="77777777" w:rsidR="00EB325C" w:rsidRDefault="00EB325C" w:rsidP="00EB325C">
      <w:pPr>
        <w:pStyle w:val="FootnoteText"/>
      </w:pPr>
      <w:r>
        <w:rPr>
          <w:rStyle w:val="FootnoteReference"/>
          <w:rFonts w:eastAsiaTheme="majorEastAsia"/>
        </w:rPr>
        <w:footnoteRef/>
      </w:r>
      <w:r>
        <w:t xml:space="preserve"> A motion to dismiss will be denied if “accepting as true all well-pleaded factual averments and indulging all reasonable inferences in the plaintiff’s favor, if recovery can be justified under any applicable legal theory.  Id </w:t>
      </w:r>
    </w:p>
  </w:footnote>
  <w:footnote w:id="7">
    <w:p w14:paraId="54010288" w14:textId="264B3F7D" w:rsidR="009C25DF" w:rsidRDefault="009C25DF">
      <w:pPr>
        <w:pStyle w:val="FootnoteText"/>
      </w:pPr>
      <w:r>
        <w:rPr>
          <w:rStyle w:val="FootnoteReference"/>
        </w:rPr>
        <w:footnoteRef/>
      </w:r>
      <w:r>
        <w:t xml:space="preserve"> </w:t>
      </w:r>
      <w:r w:rsidRPr="009C25DF">
        <w:rPr>
          <w:i/>
          <w:iCs/>
          <w:color w:val="000000"/>
        </w:rPr>
        <w:t>In Re: Georgetown Pub. Sch</w:t>
      </w:r>
      <w:r w:rsidRPr="009C25DF">
        <w:rPr>
          <w:color w:val="000000"/>
        </w:rPr>
        <w:t>., BSEA #1405352 (Berman, 2014).</w:t>
      </w:r>
    </w:p>
  </w:footnote>
  <w:footnote w:id="8">
    <w:p w14:paraId="65ACC0E0" w14:textId="4786AF3B" w:rsidR="00671868" w:rsidRPr="00671868" w:rsidRDefault="00671868">
      <w:pPr>
        <w:pStyle w:val="FootnoteText"/>
      </w:pPr>
      <w:r w:rsidRPr="00671868">
        <w:rPr>
          <w:rStyle w:val="FootnoteReference"/>
        </w:rPr>
        <w:footnoteRef/>
      </w:r>
      <w:r w:rsidRPr="00671868">
        <w:t xml:space="preserve"> </w:t>
      </w:r>
      <w:r w:rsidRPr="00671868">
        <w:rPr>
          <w:color w:val="4B4D4D"/>
          <w:shd w:val="clear" w:color="auto" w:fill="FFFFFF"/>
        </w:rPr>
        <w:t>34 CFR 300.507(a)(2).</w:t>
      </w:r>
    </w:p>
  </w:footnote>
  <w:footnote w:id="9">
    <w:p w14:paraId="136A430D" w14:textId="33388EC7" w:rsidR="00671868" w:rsidRPr="00671868" w:rsidRDefault="00671868">
      <w:pPr>
        <w:pStyle w:val="FootnoteText"/>
      </w:pPr>
      <w:r w:rsidRPr="00671868">
        <w:rPr>
          <w:rStyle w:val="FootnoteReference"/>
        </w:rPr>
        <w:footnoteRef/>
      </w:r>
      <w:r w:rsidRPr="00671868">
        <w:t xml:space="preserve"> </w:t>
      </w:r>
      <w:r w:rsidRPr="00671868">
        <w:rPr>
          <w:color w:val="4B4D4D"/>
          <w:shd w:val="clear" w:color="auto" w:fill="FFFFFF"/>
        </w:rPr>
        <w:t>See 34 CFR 300.511(f).</w:t>
      </w:r>
    </w:p>
  </w:footnote>
  <w:footnote w:id="10">
    <w:p w14:paraId="2867847F" w14:textId="2E4E6677" w:rsidR="00671868" w:rsidRDefault="00671868">
      <w:pPr>
        <w:pStyle w:val="FootnoteText"/>
      </w:pPr>
      <w:r w:rsidRPr="00671868">
        <w:rPr>
          <w:rStyle w:val="FootnoteReference"/>
        </w:rPr>
        <w:footnoteRef/>
      </w:r>
      <w:r w:rsidRPr="00671868">
        <w:t xml:space="preserve"> </w:t>
      </w:r>
      <w:r w:rsidRPr="00671868">
        <w:rPr>
          <w:color w:val="4B4D4D"/>
          <w:shd w:val="clear" w:color="auto" w:fill="FFFFFF"/>
        </w:rPr>
        <w:t>Whereas to prevail on her IDEA claims Parent must establish that the District failed to provide Student with a FAPE in the LRE, to prevail on her claims pursuant to § 504, Parent must prove that during the relevant time period Student was disabled; she was “otherwise qualified” to participate in school activities; the District received federal financial assistance; and Student was “excluded from participation in or denied the benefits of the educational program receiving the funds, or was subject to discrimination under the program.” </w:t>
      </w:r>
      <w:r w:rsidRPr="00671868">
        <w:rPr>
          <w:rStyle w:val="Emphasis"/>
          <w:color w:val="4B4D4D"/>
          <w:shd w:val="clear" w:color="auto" w:fill="FFFFFF"/>
        </w:rPr>
        <w:t>Blunt v. Lower Merion Sch. Dist.</w:t>
      </w:r>
      <w:r w:rsidRPr="00671868">
        <w:rPr>
          <w:color w:val="4B4D4D"/>
          <w:shd w:val="clear" w:color="auto" w:fill="FFFFFF"/>
        </w:rPr>
        <w:t>, 767 F.3d 247, 274-75 (3rd Cir. 2014).</w:t>
      </w:r>
    </w:p>
  </w:footnote>
  <w:footnote w:id="11">
    <w:p w14:paraId="25D63A94" w14:textId="63114378" w:rsidR="00FD6E32" w:rsidRPr="00FD6E32" w:rsidRDefault="00FD6E32">
      <w:pPr>
        <w:pStyle w:val="FootnoteText"/>
      </w:pPr>
      <w:r>
        <w:rPr>
          <w:rStyle w:val="FootnoteReference"/>
        </w:rPr>
        <w:footnoteRef/>
      </w:r>
      <w:r>
        <w:t xml:space="preserve"> </w:t>
      </w:r>
      <w:r w:rsidRPr="00FD6E32">
        <w:rPr>
          <w:color w:val="4B4D4D"/>
          <w:shd w:val="clear" w:color="auto" w:fill="FFFFFF"/>
        </w:rPr>
        <w:t>See </w:t>
      </w:r>
      <w:r w:rsidRPr="00FD6E32">
        <w:rPr>
          <w:rStyle w:val="Emphasis"/>
          <w:color w:val="4B4D4D"/>
          <w:shd w:val="clear" w:color="auto" w:fill="FFFFFF"/>
        </w:rPr>
        <w:t>P.P. ex rel. Michael P. v. West Chester Area Sch. Dist</w:t>
      </w:r>
      <w:r w:rsidRPr="00FD6E32">
        <w:rPr>
          <w:color w:val="4B4D4D"/>
          <w:shd w:val="clear" w:color="auto" w:fill="FFFFFF"/>
        </w:rPr>
        <w:t>., 585 F.2d 727, 736 (3rd Cir. 2009); </w:t>
      </w:r>
      <w:r w:rsidRPr="00FD6E32">
        <w:rPr>
          <w:rStyle w:val="Emphasis"/>
          <w:color w:val="4B4D4D"/>
          <w:shd w:val="clear" w:color="auto" w:fill="FFFFFF"/>
        </w:rPr>
        <w:t>Blunt</w:t>
      </w:r>
      <w:r w:rsidRPr="00FD6E32">
        <w:rPr>
          <w:color w:val="4B4D4D"/>
          <w:shd w:val="clear" w:color="auto" w:fill="FFFFFF"/>
        </w:rPr>
        <w:t>, 767 F.3d at 274-75</w:t>
      </w:r>
    </w:p>
  </w:footnote>
  <w:footnote w:id="12">
    <w:p w14:paraId="3E765578" w14:textId="77777777" w:rsidR="00394A17" w:rsidRDefault="00394A17" w:rsidP="00394A17">
      <w:pPr>
        <w:pStyle w:val="FootnoteText"/>
      </w:pPr>
      <w:r>
        <w:rPr>
          <w:rStyle w:val="FootnoteReference"/>
        </w:rPr>
        <w:footnoteRef/>
      </w:r>
      <w:r>
        <w:t xml:space="preserve"> </w:t>
      </w:r>
      <w:r>
        <w:rPr>
          <w:rFonts w:ascii="Open Sans" w:hAnsi="Open Sans" w:cs="Open Sans"/>
          <w:color w:val="4B4D4D"/>
          <w:sz w:val="23"/>
          <w:szCs w:val="23"/>
          <w:shd w:val="clear" w:color="auto" w:fill="FFFFFF"/>
        </w:rPr>
        <w:t> </w:t>
      </w:r>
      <w:r w:rsidRPr="00922704">
        <w:rPr>
          <w:rStyle w:val="Emphasis"/>
          <w:color w:val="4B4D4D"/>
          <w:shd w:val="clear" w:color="auto" w:fill="FFFFFF"/>
        </w:rPr>
        <w:t>Id</w:t>
      </w:r>
      <w:r w:rsidRPr="00922704">
        <w:rPr>
          <w:color w:val="4B4D4D"/>
          <w:shd w:val="clear" w:color="auto" w:fill="FFFFFF"/>
        </w:rPr>
        <w:t>.</w:t>
      </w:r>
    </w:p>
  </w:footnote>
  <w:footnote w:id="13">
    <w:p w14:paraId="5CB9BAED" w14:textId="77777777" w:rsidR="00394A17" w:rsidRDefault="00394A17" w:rsidP="00394A17">
      <w:pPr>
        <w:pStyle w:val="FootnoteText"/>
      </w:pPr>
      <w:r>
        <w:rPr>
          <w:rStyle w:val="FootnoteReference"/>
        </w:rPr>
        <w:footnoteRef/>
      </w:r>
      <w:r>
        <w:t xml:space="preserve"> </w:t>
      </w:r>
      <w:r w:rsidRPr="00922704">
        <w:rPr>
          <w:rStyle w:val="Emphasis"/>
          <w:color w:val="4B4D4D"/>
          <w:shd w:val="clear" w:color="auto" w:fill="FFFFFF"/>
        </w:rPr>
        <w:t>Allen v. McCurry</w:t>
      </w:r>
      <w:r w:rsidRPr="00922704">
        <w:rPr>
          <w:color w:val="4B4D4D"/>
          <w:shd w:val="clear" w:color="auto" w:fill="FFFFFF"/>
        </w:rPr>
        <w:t>, 449 U.S. at 94.</w:t>
      </w:r>
    </w:p>
  </w:footnote>
  <w:footnote w:id="14">
    <w:p w14:paraId="3D043E9A" w14:textId="5F17120A" w:rsidR="00ED58E2" w:rsidRDefault="00ED58E2">
      <w:pPr>
        <w:pStyle w:val="FootnoteText"/>
      </w:pPr>
      <w:r>
        <w:rPr>
          <w:rStyle w:val="FootnoteReference"/>
        </w:rPr>
        <w:footnoteRef/>
      </w:r>
      <w:r>
        <w:t xml:space="preserve"> </w:t>
      </w:r>
      <w:r w:rsidRPr="00ED58E2">
        <w:rPr>
          <w:rStyle w:val="Emphasis"/>
          <w:color w:val="4B4D4D"/>
          <w:shd w:val="clear" w:color="auto" w:fill="FFFFFF"/>
        </w:rPr>
        <w:t>Allen v. McCurry</w:t>
      </w:r>
      <w:r w:rsidRPr="00ED58E2">
        <w:rPr>
          <w:color w:val="4B4D4D"/>
          <w:shd w:val="clear" w:color="auto" w:fill="FFFFFF"/>
        </w:rPr>
        <w:t>, 449 U.S. 90, 94 (1980); </w:t>
      </w:r>
      <w:r w:rsidRPr="00ED58E2">
        <w:rPr>
          <w:rStyle w:val="Emphasis"/>
          <w:color w:val="4B4D4D"/>
          <w:shd w:val="clear" w:color="auto" w:fill="FFFFFF"/>
        </w:rPr>
        <w:t xml:space="preserve">In Re </w:t>
      </w:r>
      <w:proofErr w:type="spellStart"/>
      <w:r w:rsidRPr="00ED58E2">
        <w:rPr>
          <w:rStyle w:val="Emphasis"/>
          <w:color w:val="4B4D4D"/>
          <w:shd w:val="clear" w:color="auto" w:fill="FFFFFF"/>
        </w:rPr>
        <w:t>Sonus</w:t>
      </w:r>
      <w:proofErr w:type="spellEnd"/>
      <w:r w:rsidRPr="00ED58E2">
        <w:rPr>
          <w:rStyle w:val="Emphasis"/>
          <w:color w:val="4B4D4D"/>
          <w:shd w:val="clear" w:color="auto" w:fill="FFFFFF"/>
        </w:rPr>
        <w:t xml:space="preserve"> Networks, Inc., Shareholder Derivative Litigation</w:t>
      </w:r>
      <w:r w:rsidRPr="00ED58E2">
        <w:rPr>
          <w:color w:val="4B4D4D"/>
          <w:shd w:val="clear" w:color="auto" w:fill="FFFFFF"/>
        </w:rPr>
        <w:t xml:space="preserve">, 499 F.3d 47, 56-57 (1 </w:t>
      </w:r>
      <w:proofErr w:type="spellStart"/>
      <w:r w:rsidRPr="00ED58E2">
        <w:rPr>
          <w:color w:val="4B4D4D"/>
          <w:shd w:val="clear" w:color="auto" w:fill="FFFFFF"/>
        </w:rPr>
        <w:t>st</w:t>
      </w:r>
      <w:proofErr w:type="spellEnd"/>
      <w:r w:rsidRPr="00ED58E2">
        <w:rPr>
          <w:color w:val="4B4D4D"/>
          <w:shd w:val="clear" w:color="auto" w:fill="FFFFFF"/>
        </w:rPr>
        <w:t xml:space="preserve"> Cir. 2007); </w:t>
      </w:r>
      <w:proofErr w:type="spellStart"/>
      <w:r w:rsidRPr="00ED58E2">
        <w:rPr>
          <w:rStyle w:val="Emphasis"/>
          <w:color w:val="4B4D4D"/>
          <w:shd w:val="clear" w:color="auto" w:fill="FFFFFF"/>
        </w:rPr>
        <w:t>Kobrin</w:t>
      </w:r>
      <w:proofErr w:type="spellEnd"/>
      <w:r w:rsidRPr="00ED58E2">
        <w:rPr>
          <w:rStyle w:val="Emphasis"/>
          <w:color w:val="4B4D4D"/>
          <w:shd w:val="clear" w:color="auto" w:fill="FFFFFF"/>
        </w:rPr>
        <w:t xml:space="preserve"> v. Board of Registration in Medicine</w:t>
      </w:r>
      <w:r w:rsidRPr="00ED58E2">
        <w:rPr>
          <w:color w:val="4B4D4D"/>
          <w:shd w:val="clear" w:color="auto" w:fill="FFFFFF"/>
        </w:rPr>
        <w:t>, 444 Mass. 837, 843 (2005).</w:t>
      </w:r>
    </w:p>
  </w:footnote>
  <w:footnote w:id="15">
    <w:p w14:paraId="2A8CD26A" w14:textId="67B1A0DC" w:rsidR="005743CB" w:rsidRDefault="005743CB">
      <w:pPr>
        <w:pStyle w:val="FootnoteText"/>
      </w:pPr>
      <w:r>
        <w:rPr>
          <w:rStyle w:val="FootnoteReference"/>
        </w:rPr>
        <w:footnoteRef/>
      </w:r>
      <w:r>
        <w:t xml:space="preserve"> </w:t>
      </w:r>
      <w:r w:rsidRPr="005743CB">
        <w:rPr>
          <w:rStyle w:val="Emphasis"/>
          <w:color w:val="4B4D4D"/>
          <w:shd w:val="clear" w:color="auto" w:fill="FFFFFF"/>
        </w:rPr>
        <w:t>Gonzalez-Pina v. Rodriguez</w:t>
      </w:r>
      <w:r w:rsidRPr="005743CB">
        <w:rPr>
          <w:color w:val="4B4D4D"/>
          <w:shd w:val="clear" w:color="auto" w:fill="FFFFFF"/>
        </w:rPr>
        <w:t xml:space="preserve">, 407 F.3d 425, 429 (1 </w:t>
      </w:r>
      <w:proofErr w:type="spellStart"/>
      <w:r w:rsidRPr="005743CB">
        <w:rPr>
          <w:color w:val="4B4D4D"/>
          <w:shd w:val="clear" w:color="auto" w:fill="FFFFFF"/>
        </w:rPr>
        <w:t>st</w:t>
      </w:r>
      <w:proofErr w:type="spellEnd"/>
      <w:r w:rsidRPr="005743CB">
        <w:rPr>
          <w:color w:val="4B4D4D"/>
          <w:shd w:val="clear" w:color="auto" w:fill="FFFFFF"/>
        </w:rPr>
        <w:t xml:space="preserve"> Cir. 2005); </w:t>
      </w:r>
      <w:r w:rsidRPr="005743CB">
        <w:rPr>
          <w:rStyle w:val="Emphasis"/>
          <w:color w:val="4B4D4D"/>
          <w:shd w:val="clear" w:color="auto" w:fill="FFFFFF"/>
        </w:rPr>
        <w:t>Breneman v. U.S. ex rel. F.A.A</w:t>
      </w:r>
      <w:r w:rsidRPr="005743CB">
        <w:rPr>
          <w:color w:val="4B4D4D"/>
          <w:shd w:val="clear" w:color="auto" w:fill="FFFFFF"/>
        </w:rPr>
        <w:t xml:space="preserve">., 381 F.3d 33, 38 (1 </w:t>
      </w:r>
      <w:proofErr w:type="spellStart"/>
      <w:r w:rsidRPr="005743CB">
        <w:rPr>
          <w:color w:val="4B4D4D"/>
          <w:shd w:val="clear" w:color="auto" w:fill="FFFFFF"/>
        </w:rPr>
        <w:t>st</w:t>
      </w:r>
      <w:proofErr w:type="spellEnd"/>
      <w:r w:rsidRPr="005743CB">
        <w:rPr>
          <w:color w:val="4B4D4D"/>
          <w:shd w:val="clear" w:color="auto" w:fill="FFFFFF"/>
        </w:rPr>
        <w:t xml:space="preserve"> Cir. 2004 ).</w:t>
      </w:r>
    </w:p>
  </w:footnote>
  <w:footnote w:id="16">
    <w:p w14:paraId="619FB5FC" w14:textId="77777777" w:rsidR="00E34A6C" w:rsidRPr="00E3762C" w:rsidRDefault="00E34A6C" w:rsidP="00E34A6C">
      <w:pPr>
        <w:pStyle w:val="FootnoteText"/>
      </w:pPr>
      <w:r w:rsidRPr="00E3762C">
        <w:rPr>
          <w:rStyle w:val="FootnoteReference"/>
        </w:rPr>
        <w:footnoteRef/>
      </w:r>
      <w:r w:rsidRPr="00E3762C">
        <w:t xml:space="preserve"> </w:t>
      </w:r>
      <w:r w:rsidRPr="00E3762C">
        <w:rPr>
          <w:rStyle w:val="Emphasis"/>
          <w:color w:val="4B4D4D"/>
          <w:shd w:val="clear" w:color="auto" w:fill="FFFFFF"/>
        </w:rPr>
        <w:t xml:space="preserve">Apparel Art Int’l, Inc. v. </w:t>
      </w:r>
      <w:proofErr w:type="spellStart"/>
      <w:r w:rsidRPr="00E3762C">
        <w:rPr>
          <w:rStyle w:val="Emphasis"/>
          <w:color w:val="4B4D4D"/>
          <w:shd w:val="clear" w:color="auto" w:fill="FFFFFF"/>
        </w:rPr>
        <w:t>Amertex</w:t>
      </w:r>
      <w:proofErr w:type="spellEnd"/>
      <w:r w:rsidRPr="00E3762C">
        <w:rPr>
          <w:rStyle w:val="Emphasis"/>
          <w:color w:val="4B4D4D"/>
          <w:shd w:val="clear" w:color="auto" w:fill="FFFFFF"/>
        </w:rPr>
        <w:t xml:space="preserve"> Enters., Ltd</w:t>
      </w:r>
      <w:r w:rsidRPr="00E3762C">
        <w:rPr>
          <w:color w:val="4B4D4D"/>
          <w:shd w:val="clear" w:color="auto" w:fill="FFFFFF"/>
        </w:rPr>
        <w:t>., 48 F.3d 576, 583-84 (1st Cir. 1995).</w:t>
      </w:r>
    </w:p>
  </w:footnote>
  <w:footnote w:id="17">
    <w:p w14:paraId="12E2A693" w14:textId="10E9B452" w:rsidR="00E34A6C" w:rsidRDefault="00E34A6C">
      <w:pPr>
        <w:pStyle w:val="FootnoteText"/>
      </w:pPr>
      <w:r>
        <w:rPr>
          <w:rStyle w:val="FootnoteReference"/>
        </w:rPr>
        <w:footnoteRef/>
      </w:r>
      <w:r>
        <w:t xml:space="preserve"> </w:t>
      </w:r>
      <w:r>
        <w:rPr>
          <w:rStyle w:val="FootnoteReference"/>
        </w:rPr>
        <w:footnoteRef/>
      </w:r>
      <w:r>
        <w:t xml:space="preserve"> </w:t>
      </w:r>
      <w:r w:rsidRPr="005743CB">
        <w:rPr>
          <w:color w:val="4B4D4D"/>
          <w:shd w:val="clear" w:color="auto" w:fill="FFFFFF"/>
        </w:rPr>
        <w:t>See, e.g., </w:t>
      </w:r>
      <w:r w:rsidRPr="005743CB">
        <w:rPr>
          <w:rStyle w:val="Emphasis"/>
          <w:color w:val="4B4D4D"/>
          <w:shd w:val="clear" w:color="auto" w:fill="FFFFFF"/>
        </w:rPr>
        <w:t>Allen v. McCurry,</w:t>
      </w:r>
      <w:r w:rsidRPr="005743CB">
        <w:rPr>
          <w:color w:val="4B4D4D"/>
          <w:shd w:val="clear" w:color="auto" w:fill="FFFFFF"/>
        </w:rPr>
        <w:t> 449 U.S. at 94.</w:t>
      </w:r>
    </w:p>
  </w:footnote>
  <w:footnote w:id="18">
    <w:p w14:paraId="1F040C15" w14:textId="71276EA6" w:rsidR="00D6480F" w:rsidRPr="00D6480F" w:rsidRDefault="00D6480F">
      <w:pPr>
        <w:pStyle w:val="FootnoteText"/>
      </w:pPr>
      <w:r w:rsidRPr="00D6480F">
        <w:rPr>
          <w:rStyle w:val="FootnoteReference"/>
        </w:rPr>
        <w:footnoteRef/>
      </w:r>
      <w:r w:rsidRPr="00D6480F">
        <w:t xml:space="preserve"> </w:t>
      </w:r>
      <w:r w:rsidRPr="00D6480F">
        <w:rPr>
          <w:color w:val="4B4D4D"/>
          <w:shd w:val="clear" w:color="auto" w:fill="FFFFFF"/>
        </w:rPr>
        <w:t>See </w:t>
      </w:r>
      <w:proofErr w:type="spellStart"/>
      <w:r w:rsidRPr="00D6480F">
        <w:rPr>
          <w:rStyle w:val="Emphasis"/>
          <w:color w:val="4B4D4D"/>
          <w:shd w:val="clear" w:color="auto" w:fill="FFFFFF"/>
        </w:rPr>
        <w:t>Kobrin</w:t>
      </w:r>
      <w:proofErr w:type="spellEnd"/>
      <w:r w:rsidRPr="00D6480F">
        <w:rPr>
          <w:color w:val="4B4D4D"/>
          <w:shd w:val="clear" w:color="auto" w:fill="FFFFFF"/>
        </w:rPr>
        <w:t xml:space="preserve">, 444 Mass. at 844 (“final order of an administrative agency in an adjudicatory proceeding … precludes </w:t>
      </w:r>
      <w:proofErr w:type="spellStart"/>
      <w:r w:rsidRPr="00D6480F">
        <w:rPr>
          <w:color w:val="4B4D4D"/>
          <w:shd w:val="clear" w:color="auto" w:fill="FFFFFF"/>
        </w:rPr>
        <w:t>relitigation</w:t>
      </w:r>
      <w:proofErr w:type="spellEnd"/>
      <w:r w:rsidRPr="00D6480F">
        <w:rPr>
          <w:color w:val="4B4D4D"/>
          <w:shd w:val="clear" w:color="auto" w:fill="FFFFFF"/>
        </w:rPr>
        <w:t xml:space="preserve"> of the same issues between the same parties, just as would a final judgment of a court of competent jurisdiction”).</w:t>
      </w:r>
    </w:p>
  </w:footnote>
  <w:footnote w:id="19">
    <w:p w14:paraId="18C7D53E" w14:textId="77777777" w:rsidR="001A2D32" w:rsidRPr="00E3762C" w:rsidRDefault="001A2D32" w:rsidP="001A2D32">
      <w:pPr>
        <w:pStyle w:val="NormalWeb"/>
        <w:shd w:val="clear" w:color="auto" w:fill="FFFFFF"/>
        <w:spacing w:before="0" w:beforeAutospacing="0" w:after="375" w:afterAutospacing="0"/>
        <w:rPr>
          <w:color w:val="4B4D4D"/>
          <w:sz w:val="20"/>
          <w:szCs w:val="20"/>
        </w:rPr>
      </w:pPr>
      <w:r>
        <w:rPr>
          <w:rStyle w:val="FootnoteReference"/>
        </w:rPr>
        <w:footnoteRef/>
      </w:r>
      <w:r>
        <w:t xml:space="preserve"> </w:t>
      </w:r>
      <w:r w:rsidRPr="00E3762C">
        <w:rPr>
          <w:i/>
          <w:iCs/>
          <w:color w:val="4B4D4D"/>
          <w:sz w:val="20"/>
          <w:szCs w:val="20"/>
        </w:rPr>
        <w:t>Breneman v. U.S. ex rel. F.A.A</w:t>
      </w:r>
      <w:r w:rsidRPr="00E3762C">
        <w:rPr>
          <w:color w:val="4B4D4D"/>
          <w:sz w:val="20"/>
          <w:szCs w:val="20"/>
        </w:rPr>
        <w:t xml:space="preserve">., 381 F.3d 33, 38 (1 </w:t>
      </w:r>
      <w:proofErr w:type="spellStart"/>
      <w:r w:rsidRPr="00E3762C">
        <w:rPr>
          <w:color w:val="4B4D4D"/>
          <w:sz w:val="20"/>
          <w:szCs w:val="20"/>
        </w:rPr>
        <w:t>st</w:t>
      </w:r>
      <w:proofErr w:type="spellEnd"/>
      <w:r w:rsidRPr="00E3762C">
        <w:rPr>
          <w:color w:val="4B4D4D"/>
          <w:sz w:val="20"/>
          <w:szCs w:val="20"/>
        </w:rPr>
        <w:t xml:space="preserve"> Cir. 2004); </w:t>
      </w:r>
      <w:r w:rsidRPr="00E3762C">
        <w:rPr>
          <w:i/>
          <w:iCs/>
          <w:color w:val="4B4D4D"/>
          <w:sz w:val="20"/>
          <w:szCs w:val="20"/>
        </w:rPr>
        <w:t>Gonzalez v. Banco Cent. Corp</w:t>
      </w:r>
      <w:r w:rsidRPr="00E3762C">
        <w:rPr>
          <w:color w:val="4B4D4D"/>
          <w:sz w:val="20"/>
          <w:szCs w:val="20"/>
        </w:rPr>
        <w:t>., 27 F.3d 751, 755 (1st Cir. 1994). Although 34 CFR 300.513(c) permits a parent to file a “separate due process complaint on an issue separate from a due process complaint already filed,” the application of res judicata can be appropriate in considering multiple administrative actions brought under IDEA. 34 CFR 300.513(c) does not bar the application of res judicata to essentially similar multiple actions</w:t>
      </w:r>
      <w:r>
        <w:rPr>
          <w:color w:val="4B4D4D"/>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9ED"/>
    <w:rsid w:val="00001E21"/>
    <w:rsid w:val="0000443C"/>
    <w:rsid w:val="000102CD"/>
    <w:rsid w:val="00010D7B"/>
    <w:rsid w:val="00011857"/>
    <w:rsid w:val="00011C4B"/>
    <w:rsid w:val="000121B0"/>
    <w:rsid w:val="00014E45"/>
    <w:rsid w:val="000213DE"/>
    <w:rsid w:val="0003459E"/>
    <w:rsid w:val="000377FE"/>
    <w:rsid w:val="00040AF9"/>
    <w:rsid w:val="0005223C"/>
    <w:rsid w:val="00053FA1"/>
    <w:rsid w:val="00066D16"/>
    <w:rsid w:val="000705B7"/>
    <w:rsid w:val="000707FE"/>
    <w:rsid w:val="00071CAA"/>
    <w:rsid w:val="00075CCB"/>
    <w:rsid w:val="00091246"/>
    <w:rsid w:val="00092D24"/>
    <w:rsid w:val="000943DB"/>
    <w:rsid w:val="00095360"/>
    <w:rsid w:val="000A2761"/>
    <w:rsid w:val="000A34AB"/>
    <w:rsid w:val="000A420E"/>
    <w:rsid w:val="000A52BC"/>
    <w:rsid w:val="000A677C"/>
    <w:rsid w:val="000B0098"/>
    <w:rsid w:val="000B2693"/>
    <w:rsid w:val="000B3BB0"/>
    <w:rsid w:val="000B522F"/>
    <w:rsid w:val="000C1DF6"/>
    <w:rsid w:val="000C3EF9"/>
    <w:rsid w:val="000C7E6E"/>
    <w:rsid w:val="000D1BBE"/>
    <w:rsid w:val="000D4A1C"/>
    <w:rsid w:val="000E4A4C"/>
    <w:rsid w:val="000E4F29"/>
    <w:rsid w:val="000E6C38"/>
    <w:rsid w:val="001039FB"/>
    <w:rsid w:val="00120620"/>
    <w:rsid w:val="0012332F"/>
    <w:rsid w:val="001243B5"/>
    <w:rsid w:val="0013125C"/>
    <w:rsid w:val="00133C42"/>
    <w:rsid w:val="0013400B"/>
    <w:rsid w:val="00140C79"/>
    <w:rsid w:val="00143F3D"/>
    <w:rsid w:val="00147A1C"/>
    <w:rsid w:val="00152565"/>
    <w:rsid w:val="00153AE4"/>
    <w:rsid w:val="00154A73"/>
    <w:rsid w:val="00157294"/>
    <w:rsid w:val="00161FB9"/>
    <w:rsid w:val="001637E3"/>
    <w:rsid w:val="00170B14"/>
    <w:rsid w:val="00171154"/>
    <w:rsid w:val="00171EA0"/>
    <w:rsid w:val="00176429"/>
    <w:rsid w:val="00177418"/>
    <w:rsid w:val="00182EF2"/>
    <w:rsid w:val="00182F12"/>
    <w:rsid w:val="001945AA"/>
    <w:rsid w:val="001957E6"/>
    <w:rsid w:val="001A0C3E"/>
    <w:rsid w:val="001A16DE"/>
    <w:rsid w:val="001A2D32"/>
    <w:rsid w:val="001B4BAC"/>
    <w:rsid w:val="001B5A01"/>
    <w:rsid w:val="001B5AB5"/>
    <w:rsid w:val="001C6A71"/>
    <w:rsid w:val="001D3B8F"/>
    <w:rsid w:val="001D5144"/>
    <w:rsid w:val="001E4287"/>
    <w:rsid w:val="001E52D6"/>
    <w:rsid w:val="001F04CF"/>
    <w:rsid w:val="001F696C"/>
    <w:rsid w:val="00200393"/>
    <w:rsid w:val="00201B60"/>
    <w:rsid w:val="00202355"/>
    <w:rsid w:val="002051D6"/>
    <w:rsid w:val="00210611"/>
    <w:rsid w:val="00213A87"/>
    <w:rsid w:val="00215135"/>
    <w:rsid w:val="002153D2"/>
    <w:rsid w:val="0022029B"/>
    <w:rsid w:val="00223D6F"/>
    <w:rsid w:val="00233EB6"/>
    <w:rsid w:val="00240213"/>
    <w:rsid w:val="0024183B"/>
    <w:rsid w:val="0024461B"/>
    <w:rsid w:val="0025157C"/>
    <w:rsid w:val="0025322B"/>
    <w:rsid w:val="00253D89"/>
    <w:rsid w:val="00254031"/>
    <w:rsid w:val="00256377"/>
    <w:rsid w:val="002601E9"/>
    <w:rsid w:val="00266A36"/>
    <w:rsid w:val="00267394"/>
    <w:rsid w:val="00271799"/>
    <w:rsid w:val="0027213A"/>
    <w:rsid w:val="0028088A"/>
    <w:rsid w:val="00283581"/>
    <w:rsid w:val="00297433"/>
    <w:rsid w:val="002B2595"/>
    <w:rsid w:val="002C2C4F"/>
    <w:rsid w:val="002C5555"/>
    <w:rsid w:val="002C5E2E"/>
    <w:rsid w:val="002D405A"/>
    <w:rsid w:val="002D5129"/>
    <w:rsid w:val="002D6E15"/>
    <w:rsid w:val="002E25A7"/>
    <w:rsid w:val="002E7F33"/>
    <w:rsid w:val="002F3D80"/>
    <w:rsid w:val="003111C9"/>
    <w:rsid w:val="003231CB"/>
    <w:rsid w:val="00326632"/>
    <w:rsid w:val="00330120"/>
    <w:rsid w:val="003333EC"/>
    <w:rsid w:val="00333753"/>
    <w:rsid w:val="00344EE7"/>
    <w:rsid w:val="00361734"/>
    <w:rsid w:val="003658C2"/>
    <w:rsid w:val="00365933"/>
    <w:rsid w:val="00372E0B"/>
    <w:rsid w:val="00377EF1"/>
    <w:rsid w:val="003816E4"/>
    <w:rsid w:val="00391846"/>
    <w:rsid w:val="0039189B"/>
    <w:rsid w:val="00392C8D"/>
    <w:rsid w:val="00393AD9"/>
    <w:rsid w:val="00394A17"/>
    <w:rsid w:val="00397E40"/>
    <w:rsid w:val="003A178F"/>
    <w:rsid w:val="003B227B"/>
    <w:rsid w:val="003B2F92"/>
    <w:rsid w:val="003C59B4"/>
    <w:rsid w:val="003C71FB"/>
    <w:rsid w:val="003C731E"/>
    <w:rsid w:val="003C759A"/>
    <w:rsid w:val="003E59D5"/>
    <w:rsid w:val="003E6EF4"/>
    <w:rsid w:val="003E7375"/>
    <w:rsid w:val="003E798B"/>
    <w:rsid w:val="003F54B7"/>
    <w:rsid w:val="003F6702"/>
    <w:rsid w:val="00400784"/>
    <w:rsid w:val="00402654"/>
    <w:rsid w:val="00402806"/>
    <w:rsid w:val="00413B00"/>
    <w:rsid w:val="00444637"/>
    <w:rsid w:val="00444B9D"/>
    <w:rsid w:val="00446FF2"/>
    <w:rsid w:val="004475A1"/>
    <w:rsid w:val="004837FB"/>
    <w:rsid w:val="00485C84"/>
    <w:rsid w:val="00492A9F"/>
    <w:rsid w:val="00496320"/>
    <w:rsid w:val="004A4BBB"/>
    <w:rsid w:val="004A70B8"/>
    <w:rsid w:val="004B5569"/>
    <w:rsid w:val="004C0C65"/>
    <w:rsid w:val="004C7523"/>
    <w:rsid w:val="004E28D5"/>
    <w:rsid w:val="004E2E31"/>
    <w:rsid w:val="004E4983"/>
    <w:rsid w:val="004F1779"/>
    <w:rsid w:val="00500B25"/>
    <w:rsid w:val="005049E5"/>
    <w:rsid w:val="00524405"/>
    <w:rsid w:val="005265C1"/>
    <w:rsid w:val="00551104"/>
    <w:rsid w:val="00552AAF"/>
    <w:rsid w:val="005627CE"/>
    <w:rsid w:val="00572074"/>
    <w:rsid w:val="005743CB"/>
    <w:rsid w:val="00582C52"/>
    <w:rsid w:val="0058558D"/>
    <w:rsid w:val="005930EE"/>
    <w:rsid w:val="00596F1C"/>
    <w:rsid w:val="005A7D5E"/>
    <w:rsid w:val="005C0968"/>
    <w:rsid w:val="005C5396"/>
    <w:rsid w:val="005E086C"/>
    <w:rsid w:val="005E385D"/>
    <w:rsid w:val="005F052D"/>
    <w:rsid w:val="005F3F4F"/>
    <w:rsid w:val="005F4613"/>
    <w:rsid w:val="006011FD"/>
    <w:rsid w:val="00602CD0"/>
    <w:rsid w:val="00604737"/>
    <w:rsid w:val="00606204"/>
    <w:rsid w:val="00611132"/>
    <w:rsid w:val="00615A2F"/>
    <w:rsid w:val="00620E9A"/>
    <w:rsid w:val="0062449D"/>
    <w:rsid w:val="00625B9E"/>
    <w:rsid w:val="0063027E"/>
    <w:rsid w:val="006321F9"/>
    <w:rsid w:val="00633FC6"/>
    <w:rsid w:val="006415D2"/>
    <w:rsid w:val="0065060A"/>
    <w:rsid w:val="00671868"/>
    <w:rsid w:val="00675D7B"/>
    <w:rsid w:val="00676108"/>
    <w:rsid w:val="00681111"/>
    <w:rsid w:val="00683F1D"/>
    <w:rsid w:val="006852E4"/>
    <w:rsid w:val="006972F0"/>
    <w:rsid w:val="006A299F"/>
    <w:rsid w:val="006A2FD6"/>
    <w:rsid w:val="006A3157"/>
    <w:rsid w:val="006A3921"/>
    <w:rsid w:val="006A45B2"/>
    <w:rsid w:val="006B3FF9"/>
    <w:rsid w:val="006B4C28"/>
    <w:rsid w:val="006C1108"/>
    <w:rsid w:val="006C1E31"/>
    <w:rsid w:val="006C29EA"/>
    <w:rsid w:val="006C39AD"/>
    <w:rsid w:val="006C57AE"/>
    <w:rsid w:val="006C626F"/>
    <w:rsid w:val="006C74D9"/>
    <w:rsid w:val="006D11DC"/>
    <w:rsid w:val="006D5FA1"/>
    <w:rsid w:val="006E726B"/>
    <w:rsid w:val="006E7D5E"/>
    <w:rsid w:val="006F02F1"/>
    <w:rsid w:val="006F5636"/>
    <w:rsid w:val="00704DD3"/>
    <w:rsid w:val="00710DBA"/>
    <w:rsid w:val="00711824"/>
    <w:rsid w:val="00713007"/>
    <w:rsid w:val="0071342B"/>
    <w:rsid w:val="00720058"/>
    <w:rsid w:val="00721896"/>
    <w:rsid w:val="00722C22"/>
    <w:rsid w:val="00725381"/>
    <w:rsid w:val="007269C2"/>
    <w:rsid w:val="00730782"/>
    <w:rsid w:val="00731A10"/>
    <w:rsid w:val="00732C61"/>
    <w:rsid w:val="0074382F"/>
    <w:rsid w:val="00766A89"/>
    <w:rsid w:val="00773BE2"/>
    <w:rsid w:val="00777463"/>
    <w:rsid w:val="007808A5"/>
    <w:rsid w:val="007836E6"/>
    <w:rsid w:val="00785743"/>
    <w:rsid w:val="0078752E"/>
    <w:rsid w:val="0079625F"/>
    <w:rsid w:val="007A1DE8"/>
    <w:rsid w:val="007B6DAD"/>
    <w:rsid w:val="007B7999"/>
    <w:rsid w:val="007C0D74"/>
    <w:rsid w:val="007C62E0"/>
    <w:rsid w:val="007D0C41"/>
    <w:rsid w:val="007D1EBA"/>
    <w:rsid w:val="007D4158"/>
    <w:rsid w:val="007D6BFD"/>
    <w:rsid w:val="007E05C7"/>
    <w:rsid w:val="007E1587"/>
    <w:rsid w:val="007E1D0A"/>
    <w:rsid w:val="007E44C9"/>
    <w:rsid w:val="007E712D"/>
    <w:rsid w:val="007F6D3D"/>
    <w:rsid w:val="007F7311"/>
    <w:rsid w:val="00804687"/>
    <w:rsid w:val="00807D8F"/>
    <w:rsid w:val="008102A1"/>
    <w:rsid w:val="00810CBA"/>
    <w:rsid w:val="0081221F"/>
    <w:rsid w:val="00814777"/>
    <w:rsid w:val="00814E83"/>
    <w:rsid w:val="00817E18"/>
    <w:rsid w:val="00820D9B"/>
    <w:rsid w:val="0082111B"/>
    <w:rsid w:val="00822648"/>
    <w:rsid w:val="008349A3"/>
    <w:rsid w:val="00837E90"/>
    <w:rsid w:val="00840726"/>
    <w:rsid w:val="0084278D"/>
    <w:rsid w:val="00844E3F"/>
    <w:rsid w:val="00855CF6"/>
    <w:rsid w:val="00860FF7"/>
    <w:rsid w:val="0086196E"/>
    <w:rsid w:val="00861F43"/>
    <w:rsid w:val="00863098"/>
    <w:rsid w:val="00872CCF"/>
    <w:rsid w:val="00872FE1"/>
    <w:rsid w:val="00876162"/>
    <w:rsid w:val="00880260"/>
    <w:rsid w:val="00883411"/>
    <w:rsid w:val="00892FB8"/>
    <w:rsid w:val="00896BB7"/>
    <w:rsid w:val="008A1870"/>
    <w:rsid w:val="008A47EC"/>
    <w:rsid w:val="008B382F"/>
    <w:rsid w:val="008C11D2"/>
    <w:rsid w:val="008C2EC9"/>
    <w:rsid w:val="008C70CB"/>
    <w:rsid w:val="008C7C95"/>
    <w:rsid w:val="008D5712"/>
    <w:rsid w:val="008D786D"/>
    <w:rsid w:val="008E1CEF"/>
    <w:rsid w:val="008E2F9E"/>
    <w:rsid w:val="008E374D"/>
    <w:rsid w:val="008E3C87"/>
    <w:rsid w:val="008F370F"/>
    <w:rsid w:val="008F379D"/>
    <w:rsid w:val="008F45E4"/>
    <w:rsid w:val="008F4BFF"/>
    <w:rsid w:val="00903DD1"/>
    <w:rsid w:val="009046EF"/>
    <w:rsid w:val="00920E14"/>
    <w:rsid w:val="00922704"/>
    <w:rsid w:val="009229ED"/>
    <w:rsid w:val="00923AA6"/>
    <w:rsid w:val="0092551E"/>
    <w:rsid w:val="00930B9A"/>
    <w:rsid w:val="00940208"/>
    <w:rsid w:val="009408D3"/>
    <w:rsid w:val="0094354B"/>
    <w:rsid w:val="00947355"/>
    <w:rsid w:val="00947E4E"/>
    <w:rsid w:val="00954BAC"/>
    <w:rsid w:val="0095677D"/>
    <w:rsid w:val="00967F67"/>
    <w:rsid w:val="0097738C"/>
    <w:rsid w:val="009801DA"/>
    <w:rsid w:val="00980249"/>
    <w:rsid w:val="00981DBE"/>
    <w:rsid w:val="00984F46"/>
    <w:rsid w:val="009911E9"/>
    <w:rsid w:val="009A2888"/>
    <w:rsid w:val="009A5124"/>
    <w:rsid w:val="009B77A9"/>
    <w:rsid w:val="009C0951"/>
    <w:rsid w:val="009C0F6C"/>
    <w:rsid w:val="009C25DF"/>
    <w:rsid w:val="009C2A8F"/>
    <w:rsid w:val="009D2237"/>
    <w:rsid w:val="009D3959"/>
    <w:rsid w:val="009F037A"/>
    <w:rsid w:val="009F5FEA"/>
    <w:rsid w:val="00A160EA"/>
    <w:rsid w:val="00A24D4D"/>
    <w:rsid w:val="00A26FEF"/>
    <w:rsid w:val="00A3202F"/>
    <w:rsid w:val="00A44016"/>
    <w:rsid w:val="00A526F0"/>
    <w:rsid w:val="00A528F2"/>
    <w:rsid w:val="00A542A2"/>
    <w:rsid w:val="00A5450D"/>
    <w:rsid w:val="00A55A9F"/>
    <w:rsid w:val="00A656E4"/>
    <w:rsid w:val="00A6591B"/>
    <w:rsid w:val="00A65923"/>
    <w:rsid w:val="00A737C3"/>
    <w:rsid w:val="00A73EC6"/>
    <w:rsid w:val="00A8490E"/>
    <w:rsid w:val="00A8662F"/>
    <w:rsid w:val="00A871D3"/>
    <w:rsid w:val="00A9409D"/>
    <w:rsid w:val="00AB04EE"/>
    <w:rsid w:val="00AB148A"/>
    <w:rsid w:val="00AB20FB"/>
    <w:rsid w:val="00AB2F19"/>
    <w:rsid w:val="00AC11EA"/>
    <w:rsid w:val="00AC2375"/>
    <w:rsid w:val="00AC3C89"/>
    <w:rsid w:val="00AC5847"/>
    <w:rsid w:val="00AD175C"/>
    <w:rsid w:val="00AD6DDF"/>
    <w:rsid w:val="00AE0C2C"/>
    <w:rsid w:val="00AE1F97"/>
    <w:rsid w:val="00AE4E85"/>
    <w:rsid w:val="00AF5075"/>
    <w:rsid w:val="00B2460E"/>
    <w:rsid w:val="00B26B1F"/>
    <w:rsid w:val="00B27D00"/>
    <w:rsid w:val="00B32105"/>
    <w:rsid w:val="00B33505"/>
    <w:rsid w:val="00B379A1"/>
    <w:rsid w:val="00B4612F"/>
    <w:rsid w:val="00B47795"/>
    <w:rsid w:val="00B655DB"/>
    <w:rsid w:val="00B71A66"/>
    <w:rsid w:val="00B72B5B"/>
    <w:rsid w:val="00B734D9"/>
    <w:rsid w:val="00B73F95"/>
    <w:rsid w:val="00B76C5B"/>
    <w:rsid w:val="00B76CF1"/>
    <w:rsid w:val="00B813DB"/>
    <w:rsid w:val="00B81E80"/>
    <w:rsid w:val="00B91315"/>
    <w:rsid w:val="00B9481F"/>
    <w:rsid w:val="00B97931"/>
    <w:rsid w:val="00BA5AD5"/>
    <w:rsid w:val="00BD0B7C"/>
    <w:rsid w:val="00BF1986"/>
    <w:rsid w:val="00BF534A"/>
    <w:rsid w:val="00BF5AB9"/>
    <w:rsid w:val="00C1100B"/>
    <w:rsid w:val="00C1290D"/>
    <w:rsid w:val="00C12D63"/>
    <w:rsid w:val="00C15487"/>
    <w:rsid w:val="00C15803"/>
    <w:rsid w:val="00C21B5A"/>
    <w:rsid w:val="00C23A0E"/>
    <w:rsid w:val="00C3046D"/>
    <w:rsid w:val="00C30735"/>
    <w:rsid w:val="00C321EA"/>
    <w:rsid w:val="00C40A0A"/>
    <w:rsid w:val="00C44537"/>
    <w:rsid w:val="00C4633C"/>
    <w:rsid w:val="00C50F18"/>
    <w:rsid w:val="00C61A37"/>
    <w:rsid w:val="00C715C0"/>
    <w:rsid w:val="00C715DF"/>
    <w:rsid w:val="00C7413E"/>
    <w:rsid w:val="00C758EA"/>
    <w:rsid w:val="00C86920"/>
    <w:rsid w:val="00C87B76"/>
    <w:rsid w:val="00C921CD"/>
    <w:rsid w:val="00C9493A"/>
    <w:rsid w:val="00CA191D"/>
    <w:rsid w:val="00CA5485"/>
    <w:rsid w:val="00CA76DD"/>
    <w:rsid w:val="00CB6C0A"/>
    <w:rsid w:val="00CC2EC5"/>
    <w:rsid w:val="00CC3658"/>
    <w:rsid w:val="00CE1804"/>
    <w:rsid w:val="00CE4C3C"/>
    <w:rsid w:val="00CE4C93"/>
    <w:rsid w:val="00CE4F8C"/>
    <w:rsid w:val="00CE6763"/>
    <w:rsid w:val="00CF71AD"/>
    <w:rsid w:val="00D07939"/>
    <w:rsid w:val="00D15ABE"/>
    <w:rsid w:val="00D20120"/>
    <w:rsid w:val="00D22318"/>
    <w:rsid w:val="00D22EA4"/>
    <w:rsid w:val="00D23D2E"/>
    <w:rsid w:val="00D2676A"/>
    <w:rsid w:val="00D30153"/>
    <w:rsid w:val="00D316E8"/>
    <w:rsid w:val="00D32832"/>
    <w:rsid w:val="00D341BF"/>
    <w:rsid w:val="00D36AA0"/>
    <w:rsid w:val="00D37103"/>
    <w:rsid w:val="00D5260F"/>
    <w:rsid w:val="00D5472E"/>
    <w:rsid w:val="00D611ED"/>
    <w:rsid w:val="00D6480F"/>
    <w:rsid w:val="00D715D4"/>
    <w:rsid w:val="00D76EE7"/>
    <w:rsid w:val="00D85169"/>
    <w:rsid w:val="00D94D56"/>
    <w:rsid w:val="00D96C7C"/>
    <w:rsid w:val="00DA267D"/>
    <w:rsid w:val="00DA282C"/>
    <w:rsid w:val="00DA33D3"/>
    <w:rsid w:val="00DA4108"/>
    <w:rsid w:val="00DB039F"/>
    <w:rsid w:val="00DB395D"/>
    <w:rsid w:val="00DC1D07"/>
    <w:rsid w:val="00DC57B4"/>
    <w:rsid w:val="00DE0FEA"/>
    <w:rsid w:val="00DE2E12"/>
    <w:rsid w:val="00DE2EC9"/>
    <w:rsid w:val="00DF5484"/>
    <w:rsid w:val="00DF7DAE"/>
    <w:rsid w:val="00E0283D"/>
    <w:rsid w:val="00E02D6B"/>
    <w:rsid w:val="00E06DC2"/>
    <w:rsid w:val="00E20B0E"/>
    <w:rsid w:val="00E21B7B"/>
    <w:rsid w:val="00E268D2"/>
    <w:rsid w:val="00E2773B"/>
    <w:rsid w:val="00E30AFB"/>
    <w:rsid w:val="00E3277C"/>
    <w:rsid w:val="00E34A6C"/>
    <w:rsid w:val="00E35565"/>
    <w:rsid w:val="00E3762C"/>
    <w:rsid w:val="00E40CD3"/>
    <w:rsid w:val="00E43CDD"/>
    <w:rsid w:val="00E5265B"/>
    <w:rsid w:val="00E55ADD"/>
    <w:rsid w:val="00E57B7F"/>
    <w:rsid w:val="00E62048"/>
    <w:rsid w:val="00E74CF4"/>
    <w:rsid w:val="00E83208"/>
    <w:rsid w:val="00E836E3"/>
    <w:rsid w:val="00E92E47"/>
    <w:rsid w:val="00EA38A7"/>
    <w:rsid w:val="00EB0645"/>
    <w:rsid w:val="00EB1A86"/>
    <w:rsid w:val="00EB325C"/>
    <w:rsid w:val="00EC06DF"/>
    <w:rsid w:val="00EC0C69"/>
    <w:rsid w:val="00EC690D"/>
    <w:rsid w:val="00EC6DC8"/>
    <w:rsid w:val="00ED2775"/>
    <w:rsid w:val="00ED2D8C"/>
    <w:rsid w:val="00ED4BF6"/>
    <w:rsid w:val="00ED56FD"/>
    <w:rsid w:val="00ED58E2"/>
    <w:rsid w:val="00ED7364"/>
    <w:rsid w:val="00EE61F2"/>
    <w:rsid w:val="00EE63A3"/>
    <w:rsid w:val="00EF0B68"/>
    <w:rsid w:val="00EF61ED"/>
    <w:rsid w:val="00EF6AC7"/>
    <w:rsid w:val="00F06195"/>
    <w:rsid w:val="00F10217"/>
    <w:rsid w:val="00F1244F"/>
    <w:rsid w:val="00F12896"/>
    <w:rsid w:val="00F15F54"/>
    <w:rsid w:val="00F2111C"/>
    <w:rsid w:val="00F301CC"/>
    <w:rsid w:val="00F315CF"/>
    <w:rsid w:val="00F33CD5"/>
    <w:rsid w:val="00F428E2"/>
    <w:rsid w:val="00F51C7C"/>
    <w:rsid w:val="00F5552B"/>
    <w:rsid w:val="00F5760F"/>
    <w:rsid w:val="00F60E6B"/>
    <w:rsid w:val="00F61C02"/>
    <w:rsid w:val="00F6301F"/>
    <w:rsid w:val="00F636C7"/>
    <w:rsid w:val="00F64FE3"/>
    <w:rsid w:val="00F65758"/>
    <w:rsid w:val="00F67876"/>
    <w:rsid w:val="00F72843"/>
    <w:rsid w:val="00F73B30"/>
    <w:rsid w:val="00F82291"/>
    <w:rsid w:val="00F8748B"/>
    <w:rsid w:val="00F90CB4"/>
    <w:rsid w:val="00F913BA"/>
    <w:rsid w:val="00F933A9"/>
    <w:rsid w:val="00F93D4E"/>
    <w:rsid w:val="00F95AC6"/>
    <w:rsid w:val="00FA6636"/>
    <w:rsid w:val="00FB6D31"/>
    <w:rsid w:val="00FC218F"/>
    <w:rsid w:val="00FC511D"/>
    <w:rsid w:val="00FD0863"/>
    <w:rsid w:val="00FD244F"/>
    <w:rsid w:val="00FD3AB0"/>
    <w:rsid w:val="00FD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FBE1"/>
  <w15:docId w15:val="{E494ED95-BA83-4226-AFD1-3CA7C604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9E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229E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229ED"/>
    <w:pPr>
      <w:keepNext/>
      <w:spacing w:before="240" w:after="60"/>
      <w:outlineLvl w:val="1"/>
    </w:pPr>
    <w:rPr>
      <w:rFonts w:ascii="Arial" w:hAnsi="Arial"/>
      <w:b/>
      <w:i/>
      <w:sz w:val="24"/>
    </w:rPr>
  </w:style>
  <w:style w:type="paragraph" w:styleId="Heading6">
    <w:name w:val="heading 6"/>
    <w:basedOn w:val="Normal"/>
    <w:next w:val="Normal"/>
    <w:link w:val="Heading6Char"/>
    <w:uiPriority w:val="9"/>
    <w:semiHidden/>
    <w:unhideWhenUsed/>
    <w:qFormat/>
    <w:rsid w:val="001945A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9E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9229ED"/>
    <w:rPr>
      <w:rFonts w:ascii="Arial" w:eastAsia="Times New Roman" w:hAnsi="Arial" w:cs="Times New Roman"/>
      <w:b/>
      <w:i/>
      <w:sz w:val="24"/>
      <w:szCs w:val="20"/>
    </w:rPr>
  </w:style>
  <w:style w:type="character" w:customStyle="1" w:styleId="Heading6Char">
    <w:name w:val="Heading 6 Char"/>
    <w:basedOn w:val="DefaultParagraphFont"/>
    <w:link w:val="Heading6"/>
    <w:uiPriority w:val="9"/>
    <w:semiHidden/>
    <w:rsid w:val="001945AA"/>
    <w:rPr>
      <w:rFonts w:asciiTheme="majorHAnsi" w:eastAsiaTheme="majorEastAsia" w:hAnsiTheme="majorHAnsi" w:cstheme="majorBidi"/>
      <w:i/>
      <w:iCs/>
      <w:color w:val="243F60" w:themeColor="accent1" w:themeShade="7F"/>
      <w:sz w:val="20"/>
      <w:szCs w:val="20"/>
    </w:rPr>
  </w:style>
  <w:style w:type="paragraph" w:styleId="FootnoteText">
    <w:name w:val="footnote text"/>
    <w:basedOn w:val="Normal"/>
    <w:link w:val="FootnoteTextChar"/>
    <w:semiHidden/>
    <w:rsid w:val="001945AA"/>
  </w:style>
  <w:style w:type="character" w:customStyle="1" w:styleId="FootnoteTextChar">
    <w:name w:val="Footnote Text Char"/>
    <w:basedOn w:val="DefaultParagraphFont"/>
    <w:link w:val="FootnoteText"/>
    <w:semiHidden/>
    <w:rsid w:val="001945AA"/>
    <w:rPr>
      <w:rFonts w:ascii="Times New Roman" w:eastAsia="Times New Roman" w:hAnsi="Times New Roman" w:cs="Times New Roman"/>
      <w:sz w:val="20"/>
      <w:szCs w:val="20"/>
    </w:rPr>
  </w:style>
  <w:style w:type="character" w:styleId="FootnoteReference">
    <w:name w:val="footnote reference"/>
    <w:semiHidden/>
    <w:rsid w:val="001945AA"/>
    <w:rPr>
      <w:vertAlign w:val="superscript"/>
    </w:rPr>
  </w:style>
  <w:style w:type="paragraph" w:styleId="HTMLPreformatted">
    <w:name w:val="HTML Preformatted"/>
    <w:basedOn w:val="Normal"/>
    <w:link w:val="HTMLPreformattedChar"/>
    <w:rsid w:val="0019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1945AA"/>
    <w:rPr>
      <w:rFonts w:ascii="Courier New" w:eastAsia="Times New Roman" w:hAnsi="Courier New" w:cs="Courier New"/>
      <w:sz w:val="20"/>
      <w:szCs w:val="20"/>
    </w:rPr>
  </w:style>
  <w:style w:type="character" w:styleId="Hyperlink">
    <w:name w:val="Hyperlink"/>
    <w:basedOn w:val="DefaultParagraphFont"/>
    <w:uiPriority w:val="99"/>
    <w:semiHidden/>
    <w:unhideWhenUsed/>
    <w:rsid w:val="00F65758"/>
    <w:rPr>
      <w:color w:val="0000CC"/>
      <w:u w:val="single"/>
    </w:rPr>
  </w:style>
  <w:style w:type="paragraph" w:customStyle="1" w:styleId="sublevel1">
    <w:name w:val="sublevel1"/>
    <w:basedOn w:val="Normal"/>
    <w:rsid w:val="00071CAA"/>
    <w:pPr>
      <w:spacing w:before="100" w:beforeAutospacing="1" w:after="100" w:afterAutospacing="1"/>
    </w:pPr>
    <w:rPr>
      <w:sz w:val="24"/>
      <w:szCs w:val="24"/>
    </w:rPr>
  </w:style>
  <w:style w:type="paragraph" w:customStyle="1" w:styleId="sublevel2">
    <w:name w:val="sublevel2"/>
    <w:basedOn w:val="Normal"/>
    <w:rsid w:val="00071CAA"/>
    <w:pPr>
      <w:spacing w:before="100" w:beforeAutospacing="1" w:after="100" w:afterAutospacing="1"/>
    </w:pPr>
    <w:rPr>
      <w:sz w:val="24"/>
      <w:szCs w:val="24"/>
    </w:rPr>
  </w:style>
  <w:style w:type="character" w:customStyle="1" w:styleId="subindex">
    <w:name w:val="subindex"/>
    <w:basedOn w:val="DefaultParagraphFont"/>
    <w:rsid w:val="00071CAA"/>
  </w:style>
  <w:style w:type="paragraph" w:styleId="NormalWeb">
    <w:name w:val="Normal (Web)"/>
    <w:basedOn w:val="Normal"/>
    <w:uiPriority w:val="99"/>
    <w:unhideWhenUsed/>
    <w:rsid w:val="00071CAA"/>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0D4A1C"/>
    <w:rPr>
      <w:rFonts w:ascii="Tahoma" w:hAnsi="Tahoma" w:cs="Tahoma"/>
      <w:sz w:val="16"/>
      <w:szCs w:val="16"/>
    </w:rPr>
  </w:style>
  <w:style w:type="character" w:customStyle="1" w:styleId="BalloonTextChar">
    <w:name w:val="Balloon Text Char"/>
    <w:basedOn w:val="DefaultParagraphFont"/>
    <w:link w:val="BalloonText"/>
    <w:uiPriority w:val="99"/>
    <w:semiHidden/>
    <w:rsid w:val="000D4A1C"/>
    <w:rPr>
      <w:rFonts w:ascii="Tahoma" w:eastAsia="Times New Roman" w:hAnsi="Tahoma" w:cs="Tahoma"/>
      <w:sz w:val="16"/>
      <w:szCs w:val="16"/>
    </w:rPr>
  </w:style>
  <w:style w:type="paragraph" w:styleId="Header">
    <w:name w:val="header"/>
    <w:basedOn w:val="Normal"/>
    <w:link w:val="HeaderChar"/>
    <w:uiPriority w:val="99"/>
    <w:unhideWhenUsed/>
    <w:rsid w:val="00844E3F"/>
    <w:pPr>
      <w:tabs>
        <w:tab w:val="center" w:pos="4680"/>
        <w:tab w:val="right" w:pos="9360"/>
      </w:tabs>
    </w:pPr>
  </w:style>
  <w:style w:type="character" w:customStyle="1" w:styleId="HeaderChar">
    <w:name w:val="Header Char"/>
    <w:basedOn w:val="DefaultParagraphFont"/>
    <w:link w:val="Header"/>
    <w:uiPriority w:val="99"/>
    <w:rsid w:val="00844E3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44E3F"/>
    <w:pPr>
      <w:tabs>
        <w:tab w:val="center" w:pos="4680"/>
        <w:tab w:val="right" w:pos="9360"/>
      </w:tabs>
    </w:pPr>
  </w:style>
  <w:style w:type="character" w:customStyle="1" w:styleId="FooterChar">
    <w:name w:val="Footer Char"/>
    <w:basedOn w:val="DefaultParagraphFont"/>
    <w:link w:val="Footer"/>
    <w:uiPriority w:val="99"/>
    <w:rsid w:val="00844E3F"/>
    <w:rPr>
      <w:rFonts w:ascii="Times New Roman" w:eastAsia="Times New Roman" w:hAnsi="Times New Roman" w:cs="Times New Roman"/>
      <w:sz w:val="20"/>
      <w:szCs w:val="20"/>
    </w:rPr>
  </w:style>
  <w:style w:type="character" w:styleId="Strong">
    <w:name w:val="Strong"/>
    <w:basedOn w:val="DefaultParagraphFont"/>
    <w:uiPriority w:val="22"/>
    <w:qFormat/>
    <w:rsid w:val="00E3277C"/>
    <w:rPr>
      <w:b/>
      <w:bCs/>
    </w:rPr>
  </w:style>
  <w:style w:type="character" w:styleId="Emphasis">
    <w:name w:val="Emphasis"/>
    <w:basedOn w:val="DefaultParagraphFont"/>
    <w:uiPriority w:val="20"/>
    <w:qFormat/>
    <w:rsid w:val="001B4BAC"/>
    <w:rPr>
      <w:i/>
      <w:iCs/>
    </w:rPr>
  </w:style>
  <w:style w:type="paragraph" w:styleId="Revision">
    <w:name w:val="Revision"/>
    <w:hidden/>
    <w:uiPriority w:val="99"/>
    <w:semiHidden/>
    <w:rsid w:val="006C29EA"/>
    <w:pPr>
      <w:spacing w:after="0" w:line="240" w:lineRule="auto"/>
    </w:pPr>
    <w:rPr>
      <w:rFonts w:ascii="Times New Roman" w:eastAsia="Times New Roman" w:hAnsi="Times New Roman" w:cs="Times New Roman"/>
      <w:sz w:val="20"/>
      <w:szCs w:val="20"/>
    </w:rPr>
  </w:style>
  <w:style w:type="paragraph" w:customStyle="1" w:styleId="paragraph">
    <w:name w:val="paragraph"/>
    <w:basedOn w:val="Normal"/>
    <w:rsid w:val="00DA282C"/>
    <w:pPr>
      <w:spacing w:before="100" w:beforeAutospacing="1" w:after="100" w:afterAutospacing="1"/>
    </w:pPr>
    <w:rPr>
      <w:sz w:val="24"/>
      <w:szCs w:val="24"/>
    </w:rPr>
  </w:style>
  <w:style w:type="character" w:customStyle="1" w:styleId="normaltextrun">
    <w:name w:val="normaltextrun"/>
    <w:basedOn w:val="DefaultParagraphFont"/>
    <w:rsid w:val="00DA282C"/>
  </w:style>
  <w:style w:type="character" w:customStyle="1" w:styleId="eop">
    <w:name w:val="eop"/>
    <w:basedOn w:val="DefaultParagraphFont"/>
    <w:rsid w:val="00DA2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50330">
      <w:bodyDiv w:val="1"/>
      <w:marLeft w:val="0"/>
      <w:marRight w:val="0"/>
      <w:marTop w:val="0"/>
      <w:marBottom w:val="0"/>
      <w:divBdr>
        <w:top w:val="none" w:sz="0" w:space="0" w:color="auto"/>
        <w:left w:val="none" w:sz="0" w:space="0" w:color="auto"/>
        <w:bottom w:val="none" w:sz="0" w:space="0" w:color="auto"/>
        <w:right w:val="none" w:sz="0" w:space="0" w:color="auto"/>
      </w:divBdr>
      <w:divsChild>
        <w:div w:id="715203829">
          <w:marLeft w:val="0"/>
          <w:marRight w:val="0"/>
          <w:marTop w:val="0"/>
          <w:marBottom w:val="0"/>
          <w:divBdr>
            <w:top w:val="none" w:sz="0" w:space="0" w:color="auto"/>
            <w:left w:val="none" w:sz="0" w:space="0" w:color="auto"/>
            <w:bottom w:val="none" w:sz="0" w:space="0" w:color="auto"/>
            <w:right w:val="none" w:sz="0" w:space="0" w:color="auto"/>
          </w:divBdr>
        </w:div>
        <w:div w:id="1685092268">
          <w:marLeft w:val="0"/>
          <w:marRight w:val="0"/>
          <w:marTop w:val="0"/>
          <w:marBottom w:val="0"/>
          <w:divBdr>
            <w:top w:val="none" w:sz="0" w:space="0" w:color="auto"/>
            <w:left w:val="none" w:sz="0" w:space="0" w:color="auto"/>
            <w:bottom w:val="none" w:sz="0" w:space="0" w:color="auto"/>
            <w:right w:val="none" w:sz="0" w:space="0" w:color="auto"/>
          </w:divBdr>
        </w:div>
        <w:div w:id="1072972940">
          <w:marLeft w:val="0"/>
          <w:marRight w:val="0"/>
          <w:marTop w:val="0"/>
          <w:marBottom w:val="0"/>
          <w:divBdr>
            <w:top w:val="none" w:sz="0" w:space="0" w:color="auto"/>
            <w:left w:val="none" w:sz="0" w:space="0" w:color="auto"/>
            <w:bottom w:val="none" w:sz="0" w:space="0" w:color="auto"/>
            <w:right w:val="none" w:sz="0" w:space="0" w:color="auto"/>
          </w:divBdr>
        </w:div>
        <w:div w:id="1217663589">
          <w:marLeft w:val="0"/>
          <w:marRight w:val="0"/>
          <w:marTop w:val="0"/>
          <w:marBottom w:val="0"/>
          <w:divBdr>
            <w:top w:val="none" w:sz="0" w:space="0" w:color="auto"/>
            <w:left w:val="none" w:sz="0" w:space="0" w:color="auto"/>
            <w:bottom w:val="none" w:sz="0" w:space="0" w:color="auto"/>
            <w:right w:val="none" w:sz="0" w:space="0" w:color="auto"/>
          </w:divBdr>
        </w:div>
        <w:div w:id="1069495087">
          <w:marLeft w:val="0"/>
          <w:marRight w:val="0"/>
          <w:marTop w:val="0"/>
          <w:marBottom w:val="0"/>
          <w:divBdr>
            <w:top w:val="none" w:sz="0" w:space="0" w:color="auto"/>
            <w:left w:val="none" w:sz="0" w:space="0" w:color="auto"/>
            <w:bottom w:val="none" w:sz="0" w:space="0" w:color="auto"/>
            <w:right w:val="none" w:sz="0" w:space="0" w:color="auto"/>
          </w:divBdr>
        </w:div>
        <w:div w:id="513764793">
          <w:marLeft w:val="0"/>
          <w:marRight w:val="0"/>
          <w:marTop w:val="0"/>
          <w:marBottom w:val="0"/>
          <w:divBdr>
            <w:top w:val="none" w:sz="0" w:space="0" w:color="auto"/>
            <w:left w:val="none" w:sz="0" w:space="0" w:color="auto"/>
            <w:bottom w:val="none" w:sz="0" w:space="0" w:color="auto"/>
            <w:right w:val="none" w:sz="0" w:space="0" w:color="auto"/>
          </w:divBdr>
        </w:div>
        <w:div w:id="160315304">
          <w:marLeft w:val="0"/>
          <w:marRight w:val="0"/>
          <w:marTop w:val="0"/>
          <w:marBottom w:val="0"/>
          <w:divBdr>
            <w:top w:val="none" w:sz="0" w:space="0" w:color="auto"/>
            <w:left w:val="none" w:sz="0" w:space="0" w:color="auto"/>
            <w:bottom w:val="none" w:sz="0" w:space="0" w:color="auto"/>
            <w:right w:val="none" w:sz="0" w:space="0" w:color="auto"/>
          </w:divBdr>
        </w:div>
        <w:div w:id="1226457186">
          <w:marLeft w:val="0"/>
          <w:marRight w:val="0"/>
          <w:marTop w:val="0"/>
          <w:marBottom w:val="0"/>
          <w:divBdr>
            <w:top w:val="none" w:sz="0" w:space="0" w:color="auto"/>
            <w:left w:val="none" w:sz="0" w:space="0" w:color="auto"/>
            <w:bottom w:val="none" w:sz="0" w:space="0" w:color="auto"/>
            <w:right w:val="none" w:sz="0" w:space="0" w:color="auto"/>
          </w:divBdr>
        </w:div>
        <w:div w:id="390888637">
          <w:marLeft w:val="0"/>
          <w:marRight w:val="0"/>
          <w:marTop w:val="0"/>
          <w:marBottom w:val="0"/>
          <w:divBdr>
            <w:top w:val="none" w:sz="0" w:space="0" w:color="auto"/>
            <w:left w:val="none" w:sz="0" w:space="0" w:color="auto"/>
            <w:bottom w:val="none" w:sz="0" w:space="0" w:color="auto"/>
            <w:right w:val="none" w:sz="0" w:space="0" w:color="auto"/>
          </w:divBdr>
        </w:div>
        <w:div w:id="449709620">
          <w:marLeft w:val="0"/>
          <w:marRight w:val="0"/>
          <w:marTop w:val="0"/>
          <w:marBottom w:val="0"/>
          <w:divBdr>
            <w:top w:val="none" w:sz="0" w:space="0" w:color="auto"/>
            <w:left w:val="none" w:sz="0" w:space="0" w:color="auto"/>
            <w:bottom w:val="none" w:sz="0" w:space="0" w:color="auto"/>
            <w:right w:val="none" w:sz="0" w:space="0" w:color="auto"/>
          </w:divBdr>
        </w:div>
        <w:div w:id="2110151014">
          <w:marLeft w:val="0"/>
          <w:marRight w:val="0"/>
          <w:marTop w:val="0"/>
          <w:marBottom w:val="0"/>
          <w:divBdr>
            <w:top w:val="none" w:sz="0" w:space="0" w:color="auto"/>
            <w:left w:val="none" w:sz="0" w:space="0" w:color="auto"/>
            <w:bottom w:val="none" w:sz="0" w:space="0" w:color="auto"/>
            <w:right w:val="none" w:sz="0" w:space="0" w:color="auto"/>
          </w:divBdr>
        </w:div>
        <w:div w:id="892279148">
          <w:marLeft w:val="0"/>
          <w:marRight w:val="0"/>
          <w:marTop w:val="0"/>
          <w:marBottom w:val="0"/>
          <w:divBdr>
            <w:top w:val="none" w:sz="0" w:space="0" w:color="auto"/>
            <w:left w:val="none" w:sz="0" w:space="0" w:color="auto"/>
            <w:bottom w:val="none" w:sz="0" w:space="0" w:color="auto"/>
            <w:right w:val="none" w:sz="0" w:space="0" w:color="auto"/>
          </w:divBdr>
        </w:div>
        <w:div w:id="1598096601">
          <w:marLeft w:val="0"/>
          <w:marRight w:val="0"/>
          <w:marTop w:val="0"/>
          <w:marBottom w:val="0"/>
          <w:divBdr>
            <w:top w:val="none" w:sz="0" w:space="0" w:color="auto"/>
            <w:left w:val="none" w:sz="0" w:space="0" w:color="auto"/>
            <w:bottom w:val="none" w:sz="0" w:space="0" w:color="auto"/>
            <w:right w:val="none" w:sz="0" w:space="0" w:color="auto"/>
          </w:divBdr>
        </w:div>
        <w:div w:id="1881238072">
          <w:marLeft w:val="0"/>
          <w:marRight w:val="0"/>
          <w:marTop w:val="0"/>
          <w:marBottom w:val="0"/>
          <w:divBdr>
            <w:top w:val="none" w:sz="0" w:space="0" w:color="auto"/>
            <w:left w:val="none" w:sz="0" w:space="0" w:color="auto"/>
            <w:bottom w:val="none" w:sz="0" w:space="0" w:color="auto"/>
            <w:right w:val="none" w:sz="0" w:space="0" w:color="auto"/>
          </w:divBdr>
        </w:div>
        <w:div w:id="2084141325">
          <w:marLeft w:val="0"/>
          <w:marRight w:val="0"/>
          <w:marTop w:val="0"/>
          <w:marBottom w:val="0"/>
          <w:divBdr>
            <w:top w:val="none" w:sz="0" w:space="0" w:color="auto"/>
            <w:left w:val="none" w:sz="0" w:space="0" w:color="auto"/>
            <w:bottom w:val="none" w:sz="0" w:space="0" w:color="auto"/>
            <w:right w:val="none" w:sz="0" w:space="0" w:color="auto"/>
          </w:divBdr>
        </w:div>
        <w:div w:id="447511235">
          <w:marLeft w:val="0"/>
          <w:marRight w:val="0"/>
          <w:marTop w:val="0"/>
          <w:marBottom w:val="0"/>
          <w:divBdr>
            <w:top w:val="none" w:sz="0" w:space="0" w:color="auto"/>
            <w:left w:val="none" w:sz="0" w:space="0" w:color="auto"/>
            <w:bottom w:val="none" w:sz="0" w:space="0" w:color="auto"/>
            <w:right w:val="none" w:sz="0" w:space="0" w:color="auto"/>
          </w:divBdr>
        </w:div>
        <w:div w:id="1091895785">
          <w:marLeft w:val="0"/>
          <w:marRight w:val="0"/>
          <w:marTop w:val="0"/>
          <w:marBottom w:val="0"/>
          <w:divBdr>
            <w:top w:val="none" w:sz="0" w:space="0" w:color="auto"/>
            <w:left w:val="none" w:sz="0" w:space="0" w:color="auto"/>
            <w:bottom w:val="none" w:sz="0" w:space="0" w:color="auto"/>
            <w:right w:val="none" w:sz="0" w:space="0" w:color="auto"/>
          </w:divBdr>
        </w:div>
        <w:div w:id="1626815372">
          <w:marLeft w:val="0"/>
          <w:marRight w:val="0"/>
          <w:marTop w:val="0"/>
          <w:marBottom w:val="0"/>
          <w:divBdr>
            <w:top w:val="none" w:sz="0" w:space="0" w:color="auto"/>
            <w:left w:val="none" w:sz="0" w:space="0" w:color="auto"/>
            <w:bottom w:val="none" w:sz="0" w:space="0" w:color="auto"/>
            <w:right w:val="none" w:sz="0" w:space="0" w:color="auto"/>
          </w:divBdr>
        </w:div>
        <w:div w:id="1985230569">
          <w:marLeft w:val="0"/>
          <w:marRight w:val="0"/>
          <w:marTop w:val="0"/>
          <w:marBottom w:val="0"/>
          <w:divBdr>
            <w:top w:val="none" w:sz="0" w:space="0" w:color="auto"/>
            <w:left w:val="none" w:sz="0" w:space="0" w:color="auto"/>
            <w:bottom w:val="none" w:sz="0" w:space="0" w:color="auto"/>
            <w:right w:val="none" w:sz="0" w:space="0" w:color="auto"/>
          </w:divBdr>
        </w:div>
      </w:divsChild>
    </w:div>
    <w:div w:id="558712142">
      <w:bodyDiv w:val="1"/>
      <w:marLeft w:val="0"/>
      <w:marRight w:val="0"/>
      <w:marTop w:val="0"/>
      <w:marBottom w:val="0"/>
      <w:divBdr>
        <w:top w:val="none" w:sz="0" w:space="0" w:color="auto"/>
        <w:left w:val="none" w:sz="0" w:space="0" w:color="auto"/>
        <w:bottom w:val="none" w:sz="0" w:space="0" w:color="auto"/>
        <w:right w:val="none" w:sz="0" w:space="0" w:color="auto"/>
      </w:divBdr>
    </w:div>
    <w:div w:id="688062729">
      <w:bodyDiv w:val="1"/>
      <w:marLeft w:val="0"/>
      <w:marRight w:val="0"/>
      <w:marTop w:val="0"/>
      <w:marBottom w:val="0"/>
      <w:divBdr>
        <w:top w:val="none" w:sz="0" w:space="0" w:color="auto"/>
        <w:left w:val="none" w:sz="0" w:space="0" w:color="auto"/>
        <w:bottom w:val="none" w:sz="0" w:space="0" w:color="auto"/>
        <w:right w:val="none" w:sz="0" w:space="0" w:color="auto"/>
      </w:divBdr>
    </w:div>
    <w:div w:id="971981074">
      <w:bodyDiv w:val="1"/>
      <w:marLeft w:val="0"/>
      <w:marRight w:val="0"/>
      <w:marTop w:val="0"/>
      <w:marBottom w:val="0"/>
      <w:divBdr>
        <w:top w:val="none" w:sz="0" w:space="0" w:color="auto"/>
        <w:left w:val="none" w:sz="0" w:space="0" w:color="auto"/>
        <w:bottom w:val="none" w:sz="0" w:space="0" w:color="auto"/>
        <w:right w:val="none" w:sz="0" w:space="0" w:color="auto"/>
      </w:divBdr>
      <w:divsChild>
        <w:div w:id="677193228">
          <w:marLeft w:val="0"/>
          <w:marRight w:val="0"/>
          <w:marTop w:val="0"/>
          <w:marBottom w:val="0"/>
          <w:divBdr>
            <w:top w:val="none" w:sz="0" w:space="0" w:color="auto"/>
            <w:left w:val="none" w:sz="0" w:space="0" w:color="auto"/>
            <w:bottom w:val="none" w:sz="0" w:space="0" w:color="auto"/>
            <w:right w:val="none" w:sz="0" w:space="0" w:color="auto"/>
          </w:divBdr>
          <w:divsChild>
            <w:div w:id="1074086437">
              <w:marLeft w:val="0"/>
              <w:marRight w:val="0"/>
              <w:marTop w:val="0"/>
              <w:marBottom w:val="0"/>
              <w:divBdr>
                <w:top w:val="none" w:sz="0" w:space="0" w:color="auto"/>
                <w:left w:val="none" w:sz="0" w:space="0" w:color="auto"/>
                <w:bottom w:val="none" w:sz="0" w:space="0" w:color="auto"/>
                <w:right w:val="none" w:sz="0" w:space="0" w:color="auto"/>
              </w:divBdr>
              <w:divsChild>
                <w:div w:id="1844852538">
                  <w:marLeft w:val="0"/>
                  <w:marRight w:val="0"/>
                  <w:marTop w:val="0"/>
                  <w:marBottom w:val="0"/>
                  <w:divBdr>
                    <w:top w:val="none" w:sz="0" w:space="0" w:color="auto"/>
                    <w:left w:val="none" w:sz="0" w:space="0" w:color="auto"/>
                    <w:bottom w:val="none" w:sz="0" w:space="0" w:color="auto"/>
                    <w:right w:val="none" w:sz="0" w:space="0" w:color="auto"/>
                  </w:divBdr>
                  <w:divsChild>
                    <w:div w:id="14355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673599">
      <w:bodyDiv w:val="1"/>
      <w:marLeft w:val="0"/>
      <w:marRight w:val="0"/>
      <w:marTop w:val="0"/>
      <w:marBottom w:val="0"/>
      <w:divBdr>
        <w:top w:val="none" w:sz="0" w:space="0" w:color="auto"/>
        <w:left w:val="none" w:sz="0" w:space="0" w:color="auto"/>
        <w:bottom w:val="none" w:sz="0" w:space="0" w:color="auto"/>
        <w:right w:val="none" w:sz="0" w:space="0" w:color="auto"/>
      </w:divBdr>
    </w:div>
    <w:div w:id="1884099211">
      <w:bodyDiv w:val="1"/>
      <w:marLeft w:val="0"/>
      <w:marRight w:val="0"/>
      <w:marTop w:val="0"/>
      <w:marBottom w:val="0"/>
      <w:divBdr>
        <w:top w:val="none" w:sz="0" w:space="0" w:color="auto"/>
        <w:left w:val="none" w:sz="0" w:space="0" w:color="auto"/>
        <w:bottom w:val="none" w:sz="0" w:space="0" w:color="auto"/>
        <w:right w:val="none" w:sz="0" w:space="0" w:color="auto"/>
      </w:divBdr>
    </w:div>
    <w:div w:id="195986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ialedlaw.com/database/in-re-student-v-marshfield-public-schools-bsea-22-09242-2/?highlight=22-09242" TargetMode="External"/><Relationship Id="rId13" Type="http://schemas.openxmlformats.org/officeDocument/2006/relationships/image" Target="media/image5.jpg"/><Relationship Id="rId18"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image" Target="media/image13.jpg"/><Relationship Id="rId7" Type="http://schemas.openxmlformats.org/officeDocument/2006/relationships/hyperlink" Target="https://www.specialedlaw.com/database/in-re-student-v-marshfield-public-schools-bsea-22-09242-2/?highlight=22-09242" TargetMode="Externa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jpg"/><Relationship Id="rId22" Type="http://schemas.openxmlformats.org/officeDocument/2006/relationships/image" Target="media/image1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23EC4-B9AC-4E83-B19C-E65F41E0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4648</Words>
  <Characters>26494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Putney-Yaceshyn, Catherine (ALA)</dc:creator>
  <cp:lastModifiedBy>Erlichman, Reece (ALA)</cp:lastModifiedBy>
  <cp:revision>2</cp:revision>
  <cp:lastPrinted>2023-03-15T18:09:00Z</cp:lastPrinted>
  <dcterms:created xsi:type="dcterms:W3CDTF">2023-03-15T19:02:00Z</dcterms:created>
  <dcterms:modified xsi:type="dcterms:W3CDTF">2023-03-15T19:02:00Z</dcterms:modified>
</cp:coreProperties>
</file>