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7FA9" w14:textId="33AABFCA" w:rsidR="007E6E45" w:rsidRPr="00A94F63" w:rsidRDefault="00DA2F7A" w:rsidP="00A94F63">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 </w:t>
      </w:r>
      <w:r w:rsidR="007E6E45"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5B66D8F2"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9A61D6">
        <w:rPr>
          <w:rFonts w:ascii="Times New Roman" w:hAnsi="Times New Roman" w:cs="Times New Roman"/>
          <w:sz w:val="24"/>
          <w:szCs w:val="24"/>
        </w:rPr>
        <w:t>Bobby</w:t>
      </w:r>
      <w:r w:rsidR="00E46BD9">
        <w:rPr>
          <w:rStyle w:val="FootnoteReference"/>
          <w:rFonts w:ascii="Times New Roman" w:hAnsi="Times New Roman" w:cs="Times New Roman"/>
          <w:sz w:val="24"/>
          <w:szCs w:val="24"/>
        </w:rPr>
        <w:footnoteReference w:id="1"/>
      </w:r>
      <w:r w:rsidR="009A61D6">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42446C">
        <w:rPr>
          <w:rFonts w:ascii="Times New Roman" w:hAnsi="Times New Roman" w:cs="Times New Roman"/>
          <w:sz w:val="24"/>
          <w:szCs w:val="24"/>
        </w:rPr>
        <w:t>2</w:t>
      </w:r>
      <w:r w:rsidR="009A61D6">
        <w:rPr>
          <w:rFonts w:ascii="Times New Roman" w:hAnsi="Times New Roman" w:cs="Times New Roman"/>
          <w:sz w:val="24"/>
          <w:szCs w:val="24"/>
        </w:rPr>
        <w:t>311739</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04E75DE1" w:rsidR="00331E3A" w:rsidRPr="00331E3A" w:rsidRDefault="00232690"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RULING ON </w:t>
      </w:r>
      <w:r w:rsidR="009A61D6">
        <w:rPr>
          <w:rFonts w:ascii="Times New Roman" w:hAnsi="Times New Roman" w:cs="Times New Roman"/>
          <w:b/>
          <w:sz w:val="24"/>
          <w:szCs w:val="24"/>
          <w:u w:val="single"/>
        </w:rPr>
        <w:t xml:space="preserve">HINGHAM PUBLIC SCHOOLS’ </w:t>
      </w:r>
      <w:r w:rsidR="001371AB">
        <w:rPr>
          <w:rFonts w:ascii="Times New Roman" w:hAnsi="Times New Roman" w:cs="Times New Roman"/>
          <w:b/>
          <w:sz w:val="24"/>
          <w:szCs w:val="24"/>
          <w:u w:val="single"/>
        </w:rPr>
        <w:t xml:space="preserve">MOTION </w:t>
      </w:r>
      <w:r w:rsidR="0042446C">
        <w:rPr>
          <w:rFonts w:ascii="Times New Roman" w:hAnsi="Times New Roman" w:cs="Times New Roman"/>
          <w:b/>
          <w:sz w:val="24"/>
          <w:szCs w:val="24"/>
          <w:u w:val="single"/>
        </w:rPr>
        <w:t>TO 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0F29F4F8" w14:textId="77777777" w:rsidR="0019058E" w:rsidRDefault="00331E3A" w:rsidP="009A61D6">
      <w:pPr>
        <w:pStyle w:val="NoSpacing"/>
        <w:ind w:firstLine="720"/>
        <w:rPr>
          <w:rFonts w:ascii="Times New Roman" w:hAnsi="Times New Roman"/>
          <w:sz w:val="24"/>
          <w:szCs w:val="24"/>
        </w:rPr>
      </w:pPr>
      <w:r w:rsidRPr="00331E3A">
        <w:rPr>
          <w:rFonts w:ascii="Times New Roman" w:hAnsi="Times New Roman" w:cs="Times New Roman"/>
          <w:sz w:val="24"/>
          <w:szCs w:val="24"/>
        </w:rPr>
        <w:t>This matter comes before the Heari</w:t>
      </w:r>
      <w:r w:rsidR="00F4253C">
        <w:rPr>
          <w:rFonts w:ascii="Times New Roman" w:hAnsi="Times New Roman" w:cs="Times New Roman"/>
          <w:sz w:val="24"/>
          <w:szCs w:val="24"/>
        </w:rPr>
        <w:t xml:space="preserve">ng Officer on </w:t>
      </w:r>
      <w:r w:rsidR="009A61D6">
        <w:rPr>
          <w:rFonts w:ascii="Times New Roman" w:hAnsi="Times New Roman" w:cs="Times New Roman"/>
          <w:sz w:val="24"/>
          <w:szCs w:val="24"/>
        </w:rPr>
        <w:t xml:space="preserve">the </w:t>
      </w:r>
      <w:r w:rsidR="00BB1BAE" w:rsidRPr="00BB1BAE">
        <w:rPr>
          <w:rFonts w:ascii="Times New Roman" w:hAnsi="Times New Roman" w:cs="Times New Roman"/>
          <w:i/>
          <w:iCs/>
          <w:sz w:val="24"/>
          <w:szCs w:val="24"/>
        </w:rPr>
        <w:t xml:space="preserve">Motion to Dismiss </w:t>
      </w:r>
      <w:r w:rsidR="00652D02">
        <w:rPr>
          <w:rFonts w:ascii="Times New Roman" w:hAnsi="Times New Roman" w:cs="Times New Roman"/>
          <w:sz w:val="24"/>
          <w:szCs w:val="24"/>
        </w:rPr>
        <w:t xml:space="preserve">(Motion) </w:t>
      </w:r>
      <w:r w:rsidR="00BE564B">
        <w:rPr>
          <w:rFonts w:ascii="Times New Roman" w:hAnsi="Times New Roman" w:cs="Times New Roman"/>
          <w:sz w:val="24"/>
          <w:szCs w:val="24"/>
        </w:rPr>
        <w:t xml:space="preserve">filed </w:t>
      </w:r>
      <w:r w:rsidR="009A61D6">
        <w:rPr>
          <w:rFonts w:ascii="Times New Roman" w:hAnsi="Times New Roman" w:cs="Times New Roman"/>
          <w:sz w:val="24"/>
          <w:szCs w:val="24"/>
        </w:rPr>
        <w:t xml:space="preserve">by Hingham Public Schools (Hingham, or the District) </w:t>
      </w:r>
      <w:r w:rsidR="00BE564B">
        <w:rPr>
          <w:rFonts w:ascii="Times New Roman" w:hAnsi="Times New Roman" w:cs="Times New Roman"/>
          <w:sz w:val="24"/>
          <w:szCs w:val="24"/>
        </w:rPr>
        <w:t>in response to</w:t>
      </w:r>
      <w:r w:rsidR="009A61D6">
        <w:rPr>
          <w:rFonts w:ascii="Times New Roman" w:hAnsi="Times New Roman" w:cs="Times New Roman"/>
          <w:sz w:val="24"/>
          <w:szCs w:val="24"/>
        </w:rPr>
        <w:t xml:space="preserve"> the </w:t>
      </w:r>
      <w:r w:rsidR="009A61D6">
        <w:rPr>
          <w:rFonts w:ascii="Times New Roman" w:hAnsi="Times New Roman" w:cs="Times New Roman"/>
          <w:i/>
          <w:iCs/>
          <w:sz w:val="24"/>
          <w:szCs w:val="24"/>
        </w:rPr>
        <w:t xml:space="preserve">Hearing </w:t>
      </w:r>
      <w:r w:rsidR="009A61D6" w:rsidRPr="009A61D6">
        <w:rPr>
          <w:rFonts w:ascii="Times New Roman" w:hAnsi="Times New Roman" w:cs="Times New Roman"/>
          <w:i/>
          <w:iCs/>
          <w:sz w:val="24"/>
          <w:szCs w:val="24"/>
        </w:rPr>
        <w:t>Request</w:t>
      </w:r>
      <w:r w:rsidR="009A61D6">
        <w:rPr>
          <w:rFonts w:ascii="Times New Roman" w:hAnsi="Times New Roman" w:cs="Times New Roman"/>
          <w:i/>
          <w:iCs/>
          <w:sz w:val="24"/>
          <w:szCs w:val="24"/>
        </w:rPr>
        <w:t xml:space="preserve"> </w:t>
      </w:r>
      <w:r w:rsidR="009A61D6">
        <w:rPr>
          <w:rFonts w:ascii="Times New Roman" w:hAnsi="Times New Roman" w:cs="Times New Roman"/>
          <w:sz w:val="24"/>
          <w:szCs w:val="24"/>
        </w:rPr>
        <w:t>filed by Parent</w:t>
      </w:r>
      <w:r w:rsidR="004559B1">
        <w:rPr>
          <w:rFonts w:ascii="Times New Roman" w:hAnsi="Times New Roman" w:cs="Times New Roman"/>
          <w:sz w:val="24"/>
          <w:szCs w:val="24"/>
        </w:rPr>
        <w:t>s</w:t>
      </w:r>
      <w:r w:rsidR="009A61D6">
        <w:rPr>
          <w:rFonts w:ascii="Times New Roman" w:hAnsi="Times New Roman" w:cs="Times New Roman"/>
          <w:sz w:val="24"/>
          <w:szCs w:val="24"/>
        </w:rPr>
        <w:t xml:space="preserve"> on May 23, 2023. Neither party has requested</w:t>
      </w:r>
      <w:r w:rsidR="009A61D6">
        <w:rPr>
          <w:rFonts w:ascii="Times New Roman" w:hAnsi="Times New Roman"/>
          <w:sz w:val="24"/>
          <w:szCs w:val="24"/>
        </w:rPr>
        <w:t xml:space="preserve"> a hearing on the </w:t>
      </w:r>
      <w:r w:rsidR="009A61D6" w:rsidRPr="00F31B65">
        <w:rPr>
          <w:rFonts w:ascii="Times New Roman" w:hAnsi="Times New Roman"/>
          <w:i/>
          <w:iCs/>
          <w:sz w:val="24"/>
          <w:szCs w:val="24"/>
        </w:rPr>
        <w:t>Motion</w:t>
      </w:r>
      <w:r w:rsidR="009A61D6">
        <w:rPr>
          <w:rFonts w:ascii="Times New Roman" w:hAnsi="Times New Roman"/>
          <w:sz w:val="24"/>
          <w:szCs w:val="24"/>
        </w:rPr>
        <w:t xml:space="preserve">, and as neither testimony nor oral argument would advance the Hearing Officer’s understanding of the issues involved, this Ruling is being issued without a hearing pursuant to </w:t>
      </w:r>
      <w:r w:rsidR="009A61D6" w:rsidRPr="0091339B">
        <w:rPr>
          <w:rFonts w:ascii="Times New Roman" w:hAnsi="Times New Roman"/>
          <w:i/>
          <w:sz w:val="24"/>
          <w:szCs w:val="24"/>
        </w:rPr>
        <w:t>B</w:t>
      </w:r>
      <w:r w:rsidR="009A61D6">
        <w:rPr>
          <w:rFonts w:ascii="Times New Roman" w:hAnsi="Times New Roman"/>
          <w:i/>
          <w:sz w:val="24"/>
          <w:szCs w:val="24"/>
        </w:rPr>
        <w:t xml:space="preserve">SEA </w:t>
      </w:r>
      <w:r w:rsidR="009A61D6" w:rsidRPr="0091339B">
        <w:rPr>
          <w:rFonts w:ascii="Times New Roman" w:hAnsi="Times New Roman"/>
          <w:i/>
          <w:sz w:val="24"/>
          <w:szCs w:val="24"/>
        </w:rPr>
        <w:t>Hearing Rule VII(D)</w:t>
      </w:r>
      <w:r w:rsidR="009A61D6">
        <w:rPr>
          <w:rFonts w:ascii="Times New Roman" w:hAnsi="Times New Roman"/>
          <w:sz w:val="24"/>
          <w:szCs w:val="24"/>
        </w:rPr>
        <w:t xml:space="preserve">.  </w:t>
      </w:r>
    </w:p>
    <w:p w14:paraId="4E9BA14C" w14:textId="77777777" w:rsidR="0019058E" w:rsidRDefault="0019058E" w:rsidP="009A61D6">
      <w:pPr>
        <w:pStyle w:val="NoSpacing"/>
        <w:ind w:firstLine="720"/>
        <w:rPr>
          <w:rFonts w:ascii="Times New Roman" w:hAnsi="Times New Roman"/>
          <w:sz w:val="24"/>
          <w:szCs w:val="24"/>
        </w:rPr>
      </w:pPr>
    </w:p>
    <w:p w14:paraId="697C218E" w14:textId="57A77761" w:rsidR="009A61D6" w:rsidRPr="009A61D6" w:rsidRDefault="009A61D6" w:rsidP="009A61D6">
      <w:pPr>
        <w:pStyle w:val="NoSpacing"/>
        <w:ind w:firstLine="720"/>
        <w:rPr>
          <w:rFonts w:ascii="Times New Roman" w:hAnsi="Times New Roman" w:cs="Times New Roman"/>
          <w:sz w:val="24"/>
          <w:szCs w:val="24"/>
        </w:rPr>
      </w:pPr>
      <w:r>
        <w:rPr>
          <w:rFonts w:ascii="Times New Roman" w:hAnsi="Times New Roman"/>
          <w:sz w:val="24"/>
          <w:szCs w:val="24"/>
        </w:rPr>
        <w:t xml:space="preserve">For the reasons set forth below, Hingham’s </w:t>
      </w:r>
      <w:r>
        <w:rPr>
          <w:rFonts w:ascii="Times New Roman" w:hAnsi="Times New Roman"/>
          <w:i/>
          <w:iCs/>
          <w:sz w:val="24"/>
          <w:szCs w:val="24"/>
        </w:rPr>
        <w:t xml:space="preserve">Motion to Dismiss </w:t>
      </w:r>
      <w:r>
        <w:rPr>
          <w:rFonts w:ascii="Times New Roman" w:hAnsi="Times New Roman"/>
          <w:sz w:val="24"/>
          <w:szCs w:val="24"/>
        </w:rPr>
        <w:t xml:space="preserve">is hereby ALLOWED. </w:t>
      </w:r>
    </w:p>
    <w:p w14:paraId="295CD5A0" w14:textId="77777777" w:rsidR="009A61D6" w:rsidRDefault="009A61D6" w:rsidP="00946871">
      <w:pPr>
        <w:pStyle w:val="NoSpacing"/>
        <w:ind w:firstLine="720"/>
        <w:rPr>
          <w:rFonts w:ascii="Times New Roman" w:hAnsi="Times New Roman" w:cs="Times New Roman"/>
          <w:sz w:val="24"/>
          <w:szCs w:val="24"/>
        </w:rPr>
      </w:pPr>
    </w:p>
    <w:p w14:paraId="6F066884" w14:textId="77777777" w:rsidR="009A61D6" w:rsidRDefault="009A61D6" w:rsidP="00946871">
      <w:pPr>
        <w:pStyle w:val="NoSpacing"/>
        <w:ind w:firstLine="720"/>
        <w:rPr>
          <w:rFonts w:ascii="Times New Roman" w:hAnsi="Times New Roman" w:cs="Times New Roman"/>
          <w:sz w:val="24"/>
          <w:szCs w:val="24"/>
        </w:rPr>
      </w:pPr>
    </w:p>
    <w:p w14:paraId="3C60DA03" w14:textId="4D87FA4B" w:rsidR="00801BF7" w:rsidRDefault="00E615C5" w:rsidP="0091417D">
      <w:pPr>
        <w:pStyle w:val="NoSpacing"/>
        <w:ind w:firstLine="360"/>
        <w:rPr>
          <w:rFonts w:ascii="Times New Roman" w:hAnsi="Times New Roman" w:cs="Times New Roman"/>
          <w:sz w:val="24"/>
          <w:szCs w:val="24"/>
          <w:u w:val="single"/>
        </w:rPr>
      </w:pPr>
      <w:r w:rsidRPr="00E615C5">
        <w:rPr>
          <w:rFonts w:ascii="Times New Roman" w:hAnsi="Times New Roman" w:cs="Times New Roman"/>
          <w:sz w:val="24"/>
          <w:szCs w:val="24"/>
        </w:rPr>
        <w:t>I.</w:t>
      </w:r>
      <w:r>
        <w:rPr>
          <w:rFonts w:ascii="Times New Roman" w:hAnsi="Times New Roman" w:cs="Times New Roman"/>
          <w:sz w:val="24"/>
          <w:szCs w:val="24"/>
        </w:rPr>
        <w:tab/>
      </w:r>
      <w:r w:rsidR="00801BF7">
        <w:rPr>
          <w:rFonts w:ascii="Times New Roman" w:hAnsi="Times New Roman" w:cs="Times New Roman"/>
          <w:sz w:val="24"/>
          <w:szCs w:val="24"/>
          <w:u w:val="single"/>
        </w:rPr>
        <w:t>BACKGROUND</w:t>
      </w:r>
    </w:p>
    <w:p w14:paraId="7499E171" w14:textId="77777777" w:rsidR="00E20EE5" w:rsidRDefault="00E20EE5" w:rsidP="0091417D">
      <w:pPr>
        <w:pStyle w:val="NoSpacing"/>
        <w:ind w:firstLine="360"/>
        <w:rPr>
          <w:rFonts w:ascii="Times New Roman" w:hAnsi="Times New Roman" w:cs="Times New Roman"/>
          <w:sz w:val="24"/>
          <w:szCs w:val="24"/>
          <w:u w:val="single"/>
        </w:rPr>
      </w:pPr>
    </w:p>
    <w:p w14:paraId="752CE2F1" w14:textId="21BACD9B" w:rsidR="00801BF7" w:rsidRDefault="00801BF7" w:rsidP="0091417D">
      <w:pPr>
        <w:pStyle w:val="NoSpacing"/>
        <w:ind w:firstLine="36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452EE0">
        <w:rPr>
          <w:rFonts w:ascii="Times New Roman" w:hAnsi="Times New Roman" w:cs="Times New Roman"/>
          <w:sz w:val="24"/>
          <w:szCs w:val="24"/>
        </w:rPr>
        <w:t>PROCEDURAL HISTORY</w:t>
      </w:r>
    </w:p>
    <w:p w14:paraId="166E7A91" w14:textId="2760DC8D" w:rsidR="008D7D13" w:rsidRDefault="008D7D13" w:rsidP="0091417D">
      <w:pPr>
        <w:pStyle w:val="NoSpacing"/>
        <w:ind w:firstLine="360"/>
        <w:rPr>
          <w:rFonts w:ascii="Times New Roman" w:hAnsi="Times New Roman" w:cs="Times New Roman"/>
          <w:sz w:val="24"/>
          <w:szCs w:val="24"/>
        </w:rPr>
      </w:pPr>
    </w:p>
    <w:p w14:paraId="45AD1517" w14:textId="435D8E68" w:rsidR="009F5C57" w:rsidRDefault="004559B1" w:rsidP="009F5C5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Parents </w:t>
      </w:r>
      <w:r w:rsidR="008D7D13">
        <w:rPr>
          <w:rFonts w:ascii="Times New Roman" w:hAnsi="Times New Roman" w:cs="Times New Roman"/>
          <w:sz w:val="24"/>
          <w:szCs w:val="24"/>
        </w:rPr>
        <w:t xml:space="preserve">filed a </w:t>
      </w:r>
      <w:r w:rsidR="008D7D13" w:rsidRPr="008D7D13">
        <w:rPr>
          <w:rFonts w:ascii="Times New Roman" w:hAnsi="Times New Roman" w:cs="Times New Roman"/>
          <w:i/>
          <w:iCs/>
          <w:sz w:val="24"/>
          <w:szCs w:val="24"/>
        </w:rPr>
        <w:t>Hearing Request</w:t>
      </w:r>
      <w:r w:rsidR="008D7D13">
        <w:rPr>
          <w:rFonts w:ascii="Times New Roman" w:hAnsi="Times New Roman" w:cs="Times New Roman"/>
          <w:sz w:val="24"/>
          <w:szCs w:val="24"/>
        </w:rPr>
        <w:t xml:space="preserve"> on</w:t>
      </w:r>
      <w:r>
        <w:rPr>
          <w:rFonts w:ascii="Times New Roman" w:hAnsi="Times New Roman" w:cs="Times New Roman"/>
          <w:sz w:val="24"/>
          <w:szCs w:val="24"/>
        </w:rPr>
        <w:t xml:space="preserve"> May 23, 2023, alleging that their son Bobby, who is eligible for special education and receives services </w:t>
      </w:r>
      <w:r w:rsidR="009F5C57">
        <w:rPr>
          <w:rFonts w:ascii="Times New Roman" w:hAnsi="Times New Roman" w:cs="Times New Roman"/>
          <w:sz w:val="24"/>
          <w:szCs w:val="24"/>
        </w:rPr>
        <w:t xml:space="preserve">pursuant to an Individualized Education Program (IEP), was denied the opportunity offered to all other students at Hingham High School to be graded “credit/no credit,” instead of by letter grades, during the 2020-2021 school year. Parents requested, as a remedy for this denial, that Bobby’s transcript be </w:t>
      </w:r>
      <w:r w:rsidR="005F4710">
        <w:rPr>
          <w:rFonts w:ascii="Times New Roman" w:hAnsi="Times New Roman" w:cs="Times New Roman"/>
          <w:sz w:val="24"/>
          <w:szCs w:val="24"/>
        </w:rPr>
        <w:t>“</w:t>
      </w:r>
      <w:r w:rsidR="009F5C57">
        <w:rPr>
          <w:rFonts w:ascii="Times New Roman" w:hAnsi="Times New Roman" w:cs="Times New Roman"/>
          <w:sz w:val="24"/>
          <w:szCs w:val="24"/>
        </w:rPr>
        <w:t>corrected</w:t>
      </w:r>
      <w:r w:rsidR="005F4710">
        <w:rPr>
          <w:rFonts w:ascii="Times New Roman" w:hAnsi="Times New Roman" w:cs="Times New Roman"/>
          <w:sz w:val="24"/>
          <w:szCs w:val="24"/>
        </w:rPr>
        <w:t>”</w:t>
      </w:r>
      <w:r w:rsidR="009F5C57">
        <w:rPr>
          <w:rFonts w:ascii="Times New Roman" w:hAnsi="Times New Roman" w:cs="Times New Roman"/>
          <w:sz w:val="24"/>
          <w:szCs w:val="24"/>
        </w:rPr>
        <w:t xml:space="preserve"> to reflect “credit/no credit” grades for this school year.</w:t>
      </w:r>
    </w:p>
    <w:p w14:paraId="41FD5CA7" w14:textId="2FD84CBC" w:rsidR="009F5C57" w:rsidRDefault="009F5C57" w:rsidP="009F5C57">
      <w:pPr>
        <w:pStyle w:val="NoSpacing"/>
        <w:rPr>
          <w:rFonts w:ascii="Times New Roman" w:hAnsi="Times New Roman" w:cs="Times New Roman"/>
          <w:sz w:val="24"/>
          <w:szCs w:val="24"/>
        </w:rPr>
      </w:pPr>
    </w:p>
    <w:p w14:paraId="18048883" w14:textId="2464CA1F" w:rsidR="009F5C57" w:rsidRDefault="009F5C57" w:rsidP="009F5C57">
      <w:pPr>
        <w:pStyle w:val="NoSpacing"/>
        <w:rPr>
          <w:rFonts w:ascii="Times New Roman" w:hAnsi="Times New Roman" w:cs="Times New Roman"/>
          <w:sz w:val="24"/>
          <w:szCs w:val="24"/>
        </w:rPr>
      </w:pPr>
      <w:r>
        <w:rPr>
          <w:rFonts w:ascii="Times New Roman" w:hAnsi="Times New Roman" w:cs="Times New Roman"/>
          <w:sz w:val="24"/>
          <w:szCs w:val="24"/>
        </w:rPr>
        <w:tab/>
        <w:t xml:space="preserve">The Hearing was scheduled for </w:t>
      </w:r>
      <w:r w:rsidR="003F3CC1">
        <w:rPr>
          <w:rFonts w:ascii="Times New Roman" w:hAnsi="Times New Roman" w:cs="Times New Roman"/>
          <w:sz w:val="24"/>
          <w:szCs w:val="24"/>
        </w:rPr>
        <w:t>June 27, 2023.</w:t>
      </w:r>
    </w:p>
    <w:p w14:paraId="49AAD2B7" w14:textId="39628CF3" w:rsidR="003F3CC1" w:rsidRDefault="003F3CC1" w:rsidP="009F5C57">
      <w:pPr>
        <w:pStyle w:val="NoSpacing"/>
        <w:rPr>
          <w:rFonts w:ascii="Times New Roman" w:hAnsi="Times New Roman" w:cs="Times New Roman"/>
          <w:sz w:val="24"/>
          <w:szCs w:val="24"/>
        </w:rPr>
      </w:pPr>
    </w:p>
    <w:p w14:paraId="14C61149" w14:textId="15422FA6" w:rsidR="003F3CC1" w:rsidRDefault="003F3CC1" w:rsidP="009F5C57">
      <w:pPr>
        <w:pStyle w:val="NoSpacing"/>
        <w:rPr>
          <w:rFonts w:ascii="Times New Roman" w:hAnsi="Times New Roman" w:cs="Times New Roman"/>
          <w:sz w:val="24"/>
          <w:szCs w:val="24"/>
        </w:rPr>
      </w:pPr>
      <w:r>
        <w:rPr>
          <w:rFonts w:ascii="Times New Roman" w:hAnsi="Times New Roman" w:cs="Times New Roman"/>
          <w:sz w:val="24"/>
          <w:szCs w:val="24"/>
        </w:rPr>
        <w:tab/>
        <w:t xml:space="preserve">The District filed a </w:t>
      </w:r>
      <w:r>
        <w:rPr>
          <w:rFonts w:ascii="Times New Roman" w:hAnsi="Times New Roman" w:cs="Times New Roman"/>
          <w:i/>
          <w:iCs/>
          <w:sz w:val="24"/>
          <w:szCs w:val="24"/>
        </w:rPr>
        <w:t xml:space="preserve">Motion to Dismiss </w:t>
      </w:r>
      <w:r>
        <w:rPr>
          <w:rFonts w:ascii="Times New Roman" w:hAnsi="Times New Roman" w:cs="Times New Roman"/>
          <w:sz w:val="24"/>
          <w:szCs w:val="24"/>
        </w:rPr>
        <w:t xml:space="preserve">on May 23, 2023, arguing </w:t>
      </w:r>
      <w:r w:rsidR="00CC7A3E">
        <w:rPr>
          <w:rFonts w:ascii="Times New Roman" w:hAnsi="Times New Roman" w:cs="Times New Roman"/>
          <w:sz w:val="24"/>
          <w:szCs w:val="24"/>
        </w:rPr>
        <w:t>that the Bureau of Special Education Appeals (BSEA) lacks jurisdiction to grant Parents’ requested resolution, namely the</w:t>
      </w:r>
      <w:r w:rsidR="006F79F5">
        <w:rPr>
          <w:rFonts w:ascii="Times New Roman" w:hAnsi="Times New Roman" w:cs="Times New Roman"/>
          <w:sz w:val="24"/>
          <w:szCs w:val="24"/>
        </w:rPr>
        <w:t xml:space="preserve"> “correction” or</w:t>
      </w:r>
      <w:r w:rsidR="00CC7A3E">
        <w:rPr>
          <w:rFonts w:ascii="Times New Roman" w:hAnsi="Times New Roman" w:cs="Times New Roman"/>
          <w:sz w:val="24"/>
          <w:szCs w:val="24"/>
        </w:rPr>
        <w:t xml:space="preserve"> modification of student transcripts</w:t>
      </w:r>
      <w:r w:rsidR="006F79F5">
        <w:rPr>
          <w:rFonts w:ascii="Times New Roman" w:hAnsi="Times New Roman" w:cs="Times New Roman"/>
          <w:sz w:val="24"/>
          <w:szCs w:val="24"/>
        </w:rPr>
        <w:t>.</w:t>
      </w:r>
      <w:r w:rsidR="00655248">
        <w:rPr>
          <w:rFonts w:ascii="Times New Roman" w:hAnsi="Times New Roman" w:cs="Times New Roman"/>
          <w:sz w:val="24"/>
          <w:szCs w:val="24"/>
        </w:rPr>
        <w:t xml:space="preserve"> According to Hingham, </w:t>
      </w:r>
      <w:r w:rsidR="005F4710">
        <w:rPr>
          <w:rFonts w:ascii="Times New Roman" w:hAnsi="Times New Roman" w:cs="Times New Roman"/>
          <w:sz w:val="24"/>
          <w:szCs w:val="24"/>
        </w:rPr>
        <w:t xml:space="preserve">the process for resolving </w:t>
      </w:r>
      <w:r w:rsidR="00655248">
        <w:rPr>
          <w:rFonts w:ascii="Times New Roman" w:hAnsi="Times New Roman" w:cs="Times New Roman"/>
          <w:sz w:val="24"/>
          <w:szCs w:val="24"/>
        </w:rPr>
        <w:t xml:space="preserve">disputes over student records </w:t>
      </w:r>
      <w:r w:rsidR="005F4710">
        <w:rPr>
          <w:rFonts w:ascii="Times New Roman" w:hAnsi="Times New Roman" w:cs="Times New Roman"/>
          <w:sz w:val="24"/>
          <w:szCs w:val="24"/>
        </w:rPr>
        <w:t>is</w:t>
      </w:r>
      <w:r w:rsidR="00655248">
        <w:rPr>
          <w:rFonts w:ascii="Times New Roman" w:hAnsi="Times New Roman" w:cs="Times New Roman"/>
          <w:sz w:val="24"/>
          <w:szCs w:val="24"/>
        </w:rPr>
        <w:t xml:space="preserve"> specified in detail in the state student records regulations, over which the BSEA has no authority.</w:t>
      </w:r>
      <w:r w:rsidR="00D63C2F">
        <w:rPr>
          <w:rStyle w:val="FootnoteReference"/>
          <w:rFonts w:ascii="Times New Roman" w:hAnsi="Times New Roman" w:cs="Times New Roman"/>
          <w:sz w:val="24"/>
          <w:szCs w:val="24"/>
        </w:rPr>
        <w:footnoteReference w:id="2"/>
      </w:r>
    </w:p>
    <w:p w14:paraId="2B593B86" w14:textId="194D4505" w:rsidR="00655248" w:rsidRDefault="00655248" w:rsidP="009F5C57">
      <w:pPr>
        <w:pStyle w:val="NoSpacing"/>
        <w:rPr>
          <w:rFonts w:ascii="Times New Roman" w:hAnsi="Times New Roman" w:cs="Times New Roman"/>
          <w:sz w:val="24"/>
          <w:szCs w:val="24"/>
        </w:rPr>
      </w:pPr>
    </w:p>
    <w:p w14:paraId="445D9347" w14:textId="56341334" w:rsidR="00655248" w:rsidRPr="00655248" w:rsidRDefault="00655248" w:rsidP="009F5C57">
      <w:pPr>
        <w:pStyle w:val="NoSpacing"/>
        <w:rPr>
          <w:rFonts w:ascii="Times New Roman" w:hAnsi="Times New Roman" w:cs="Times New Roman"/>
          <w:sz w:val="24"/>
          <w:szCs w:val="24"/>
        </w:rPr>
      </w:pPr>
      <w:r>
        <w:rPr>
          <w:rFonts w:ascii="Times New Roman" w:hAnsi="Times New Roman" w:cs="Times New Roman"/>
          <w:sz w:val="24"/>
          <w:szCs w:val="24"/>
        </w:rPr>
        <w:tab/>
        <w:t xml:space="preserve">On May 26, 2023, Parents filed their </w:t>
      </w:r>
      <w:r>
        <w:rPr>
          <w:rFonts w:ascii="Times New Roman" w:hAnsi="Times New Roman" w:cs="Times New Roman"/>
          <w:i/>
          <w:iCs/>
          <w:sz w:val="24"/>
          <w:szCs w:val="24"/>
        </w:rPr>
        <w:t>Opposition to Respondent’s Motion to Dismiss</w:t>
      </w:r>
      <w:r>
        <w:rPr>
          <w:rFonts w:ascii="Times New Roman" w:hAnsi="Times New Roman" w:cs="Times New Roman"/>
          <w:sz w:val="24"/>
          <w:szCs w:val="24"/>
        </w:rPr>
        <w:t>.</w:t>
      </w:r>
      <w:r w:rsidR="00D63C2F">
        <w:rPr>
          <w:rFonts w:ascii="Times New Roman" w:hAnsi="Times New Roman" w:cs="Times New Roman"/>
          <w:sz w:val="24"/>
          <w:szCs w:val="24"/>
        </w:rPr>
        <w:t xml:space="preserve"> They asserted that because Bobby is a student with a disability entitled to an IEP, their request that the BSEA order the correction of Bobby’s transcript falls within the agency’s jurisdiction to “provide for the resolution for differences of opinions among school districts [and] parents,” </w:t>
      </w:r>
      <w:r w:rsidR="00D63C2F">
        <w:rPr>
          <w:rFonts w:ascii="Times New Roman" w:hAnsi="Times New Roman" w:cs="Times New Roman"/>
          <w:sz w:val="24"/>
          <w:szCs w:val="24"/>
        </w:rPr>
        <w:lastRenderedPageBreak/>
        <w:t>pursuant to 603 CMR 28.03. Moreover, 603 CMR 2</w:t>
      </w:r>
      <w:r w:rsidR="00480530">
        <w:rPr>
          <w:rFonts w:ascii="Times New Roman" w:hAnsi="Times New Roman" w:cs="Times New Roman"/>
          <w:sz w:val="24"/>
          <w:szCs w:val="24"/>
        </w:rPr>
        <w:t>3</w:t>
      </w:r>
      <w:r w:rsidR="00D63C2F">
        <w:rPr>
          <w:rFonts w:ascii="Times New Roman" w:hAnsi="Times New Roman" w:cs="Times New Roman"/>
          <w:sz w:val="24"/>
          <w:szCs w:val="24"/>
        </w:rPr>
        <w:t>.0</w:t>
      </w:r>
      <w:r w:rsidR="00480530">
        <w:rPr>
          <w:rFonts w:ascii="Times New Roman" w:hAnsi="Times New Roman" w:cs="Times New Roman"/>
          <w:sz w:val="24"/>
          <w:szCs w:val="24"/>
        </w:rPr>
        <w:t>8</w:t>
      </w:r>
      <w:r w:rsidR="00D63C2F">
        <w:rPr>
          <w:rFonts w:ascii="Times New Roman" w:hAnsi="Times New Roman" w:cs="Times New Roman"/>
          <w:sz w:val="24"/>
          <w:szCs w:val="24"/>
        </w:rPr>
        <w:t xml:space="preserve"> specifically provides</w:t>
      </w:r>
      <w:r w:rsidR="00430F99">
        <w:rPr>
          <w:rFonts w:ascii="Times New Roman" w:hAnsi="Times New Roman" w:cs="Times New Roman"/>
          <w:sz w:val="24"/>
          <w:szCs w:val="24"/>
        </w:rPr>
        <w:t>,</w:t>
      </w:r>
      <w:r w:rsidR="00D63C2F">
        <w:rPr>
          <w:rFonts w:ascii="Times New Roman" w:hAnsi="Times New Roman" w:cs="Times New Roman"/>
          <w:sz w:val="24"/>
          <w:szCs w:val="24"/>
        </w:rPr>
        <w:t xml:space="preserve"> in relevant part, that parents “shall have the right to add information, comments, data, or any other relevant written material to the student record” of an eligible student, and “the right to request in writing deletion or amendment of any information contained in the student record, except for information which was inserted into that record by an Evaluation Team.”</w:t>
      </w:r>
      <w:r w:rsidR="00A5267C">
        <w:rPr>
          <w:rFonts w:ascii="Times New Roman" w:hAnsi="Times New Roman" w:cs="Times New Roman"/>
          <w:sz w:val="24"/>
          <w:szCs w:val="24"/>
        </w:rPr>
        <w:t xml:space="preserve"> Furthermore, 603 CMR 23.06(1) allows for the elimination of “misleading” information in a student’s transcript. Finally, Parents contend that the statu</w:t>
      </w:r>
      <w:r w:rsidR="005C28B3">
        <w:rPr>
          <w:rFonts w:ascii="Times New Roman" w:hAnsi="Times New Roman" w:cs="Times New Roman"/>
          <w:sz w:val="24"/>
          <w:szCs w:val="24"/>
        </w:rPr>
        <w:t>t</w:t>
      </w:r>
      <w:r w:rsidR="00A5267C">
        <w:rPr>
          <w:rFonts w:ascii="Times New Roman" w:hAnsi="Times New Roman" w:cs="Times New Roman"/>
          <w:sz w:val="24"/>
          <w:szCs w:val="24"/>
        </w:rPr>
        <w:t>e of limitations would not preclude their claim, as they were not made aware of the District’s credit/no credit offering until June</w:t>
      </w:r>
      <w:r w:rsidR="00FB266D">
        <w:rPr>
          <w:rFonts w:ascii="Times New Roman" w:hAnsi="Times New Roman" w:cs="Times New Roman"/>
          <w:sz w:val="24"/>
          <w:szCs w:val="24"/>
        </w:rPr>
        <w:t xml:space="preserve"> of</w:t>
      </w:r>
      <w:r w:rsidR="0019058E">
        <w:rPr>
          <w:rFonts w:ascii="Times New Roman" w:hAnsi="Times New Roman" w:cs="Times New Roman"/>
          <w:sz w:val="24"/>
          <w:szCs w:val="24"/>
        </w:rPr>
        <w:t xml:space="preserve"> </w:t>
      </w:r>
      <w:r w:rsidR="00A5267C">
        <w:rPr>
          <w:rFonts w:ascii="Times New Roman" w:hAnsi="Times New Roman" w:cs="Times New Roman"/>
          <w:sz w:val="24"/>
          <w:szCs w:val="24"/>
        </w:rPr>
        <w:t>2021.</w:t>
      </w:r>
    </w:p>
    <w:p w14:paraId="0540D6BC" w14:textId="64B07CA4" w:rsidR="009F5C57" w:rsidRDefault="009F5C57" w:rsidP="009F5C57">
      <w:pPr>
        <w:pStyle w:val="NoSpacing"/>
        <w:ind w:firstLine="720"/>
        <w:rPr>
          <w:rFonts w:ascii="Times New Roman" w:hAnsi="Times New Roman" w:cs="Times New Roman"/>
          <w:sz w:val="24"/>
          <w:szCs w:val="24"/>
        </w:rPr>
      </w:pPr>
    </w:p>
    <w:p w14:paraId="61AA796A" w14:textId="66B35E91" w:rsidR="009C35FB" w:rsidRDefault="009C35FB" w:rsidP="009F5C57">
      <w:pPr>
        <w:pStyle w:val="NoSpacing"/>
        <w:ind w:firstLine="720"/>
        <w:rPr>
          <w:rFonts w:ascii="Times New Roman" w:hAnsi="Times New Roman" w:cs="Times New Roman"/>
          <w:sz w:val="24"/>
          <w:szCs w:val="24"/>
        </w:rPr>
      </w:pPr>
      <w:r>
        <w:rPr>
          <w:rFonts w:ascii="Times New Roman" w:hAnsi="Times New Roman" w:cs="Times New Roman"/>
          <w:sz w:val="24"/>
          <w:szCs w:val="24"/>
        </w:rPr>
        <w:t>Following a Conference Call, the parties jointly requested that the Hearing be postponed until early August to allow for further briefing on the issue of jurisdiction, and due to scheduling conflicts over the summer. Shortly thereafter, the parties jointly requested further postponement due to additional scheduling conflicts, and the Hearing was postponed for good cause to August 28 and September 6, 2023.</w:t>
      </w:r>
    </w:p>
    <w:p w14:paraId="0A3FD651" w14:textId="4E0D9BA5" w:rsidR="009C35FB" w:rsidRDefault="009C35FB" w:rsidP="009F5C57">
      <w:pPr>
        <w:pStyle w:val="NoSpacing"/>
        <w:ind w:firstLine="720"/>
        <w:rPr>
          <w:rFonts w:ascii="Times New Roman" w:hAnsi="Times New Roman" w:cs="Times New Roman"/>
          <w:sz w:val="24"/>
          <w:szCs w:val="24"/>
        </w:rPr>
      </w:pPr>
    </w:p>
    <w:p w14:paraId="7B18E7F2" w14:textId="7DB839D9" w:rsidR="009C35FB" w:rsidRDefault="009C35FB" w:rsidP="009C35FB">
      <w:pPr>
        <w:pStyle w:val="NoSpacing"/>
        <w:rPr>
          <w:rFonts w:ascii="Times New Roman" w:hAnsi="Times New Roman" w:cs="Times New Roman"/>
          <w:sz w:val="24"/>
          <w:szCs w:val="24"/>
        </w:rPr>
      </w:pPr>
      <w:r>
        <w:rPr>
          <w:rFonts w:ascii="Times New Roman" w:hAnsi="Times New Roman" w:cs="Times New Roman"/>
          <w:sz w:val="24"/>
          <w:szCs w:val="24"/>
        </w:rPr>
        <w:tab/>
        <w:t xml:space="preserve">In the meantime, on June 22, 2023, Parents filed </w:t>
      </w:r>
      <w:r>
        <w:rPr>
          <w:rFonts w:ascii="Times New Roman" w:hAnsi="Times New Roman" w:cs="Times New Roman"/>
          <w:i/>
          <w:iCs/>
          <w:sz w:val="24"/>
          <w:szCs w:val="24"/>
        </w:rPr>
        <w:t>Petitioner’s Supplemental Memorandum on Jurisdiction of BSEA in this Matter</w:t>
      </w:r>
      <w:r>
        <w:rPr>
          <w:rFonts w:ascii="Times New Roman" w:hAnsi="Times New Roman" w:cs="Times New Roman"/>
          <w:sz w:val="24"/>
          <w:szCs w:val="24"/>
        </w:rPr>
        <w:t>. Parents reiterated</w:t>
      </w:r>
      <w:r w:rsidR="0019058E">
        <w:rPr>
          <w:rFonts w:ascii="Times New Roman" w:hAnsi="Times New Roman" w:cs="Times New Roman"/>
          <w:sz w:val="24"/>
          <w:szCs w:val="24"/>
        </w:rPr>
        <w:t xml:space="preserve"> their assertion</w:t>
      </w:r>
      <w:r>
        <w:rPr>
          <w:rFonts w:ascii="Times New Roman" w:hAnsi="Times New Roman" w:cs="Times New Roman"/>
          <w:sz w:val="24"/>
          <w:szCs w:val="24"/>
        </w:rPr>
        <w:t xml:space="preserve"> that because Bobby is a student with special needs, was not given the same opportunity as his “typical peers during his sophomore year in high school to be graded credit/no credit, without grades,” and has been adversely affected by the District’s “failure . . to correct his transcript,” their claim is properly before the BSEA. They cited several sources of law</w:t>
      </w:r>
      <w:r w:rsidR="00396E5B">
        <w:rPr>
          <w:rFonts w:ascii="Times New Roman" w:hAnsi="Times New Roman" w:cs="Times New Roman"/>
          <w:sz w:val="24"/>
          <w:szCs w:val="24"/>
        </w:rPr>
        <w:t xml:space="preserve"> regarding the jurisdiction of the BSEA over matters relating to the identification, evaluation, education program or educational placement of a child with a disability or the provision of a free and appropriate education to the child, and the duties of hearing officers. </w:t>
      </w:r>
      <w:r w:rsidR="00CD424F">
        <w:rPr>
          <w:rFonts w:ascii="Times New Roman" w:hAnsi="Times New Roman" w:cs="Times New Roman"/>
          <w:sz w:val="24"/>
          <w:szCs w:val="24"/>
        </w:rPr>
        <w:t>Parents also r</w:t>
      </w:r>
      <w:r w:rsidR="00396E5B">
        <w:rPr>
          <w:rFonts w:ascii="Times New Roman" w:hAnsi="Times New Roman" w:cs="Times New Roman"/>
          <w:sz w:val="24"/>
          <w:szCs w:val="24"/>
        </w:rPr>
        <w:t>eferenced law regarding parents’ ability to challenge</w:t>
      </w:r>
      <w:r w:rsidR="00CD424F">
        <w:rPr>
          <w:rFonts w:ascii="Times New Roman" w:hAnsi="Times New Roman" w:cs="Times New Roman"/>
          <w:sz w:val="24"/>
          <w:szCs w:val="24"/>
        </w:rPr>
        <w:t xml:space="preserve">, through hearing, the content of student records that may be </w:t>
      </w:r>
      <w:r w:rsidR="00396E5B">
        <w:rPr>
          <w:rFonts w:ascii="Times New Roman" w:hAnsi="Times New Roman" w:cs="Times New Roman"/>
          <w:sz w:val="24"/>
          <w:szCs w:val="24"/>
        </w:rPr>
        <w:t>inaccurate, misleading, or inappropriate</w:t>
      </w:r>
      <w:r w:rsidR="00CD424F">
        <w:rPr>
          <w:rFonts w:ascii="Times New Roman" w:hAnsi="Times New Roman" w:cs="Times New Roman"/>
          <w:sz w:val="24"/>
          <w:szCs w:val="24"/>
        </w:rPr>
        <w:t>.</w:t>
      </w:r>
      <w:r w:rsidR="00396E5B">
        <w:rPr>
          <w:rFonts w:ascii="Times New Roman" w:hAnsi="Times New Roman" w:cs="Times New Roman"/>
          <w:sz w:val="24"/>
          <w:szCs w:val="24"/>
        </w:rPr>
        <w:t xml:space="preserve">  </w:t>
      </w:r>
    </w:p>
    <w:p w14:paraId="61353BB9" w14:textId="52410185" w:rsidR="00396E5B" w:rsidRDefault="00396E5B" w:rsidP="009C35FB">
      <w:pPr>
        <w:pStyle w:val="NoSpacing"/>
        <w:rPr>
          <w:rFonts w:ascii="Times New Roman" w:hAnsi="Times New Roman" w:cs="Times New Roman"/>
          <w:sz w:val="24"/>
          <w:szCs w:val="24"/>
        </w:rPr>
      </w:pPr>
    </w:p>
    <w:p w14:paraId="22E438F0" w14:textId="521ACBCA" w:rsidR="00396E5B" w:rsidRPr="00396E5B" w:rsidRDefault="00396E5B" w:rsidP="009C35FB">
      <w:pPr>
        <w:pStyle w:val="NoSpacing"/>
        <w:rPr>
          <w:rFonts w:ascii="Times New Roman" w:hAnsi="Times New Roman" w:cs="Times New Roman"/>
          <w:sz w:val="24"/>
          <w:szCs w:val="24"/>
        </w:rPr>
      </w:pPr>
      <w:r>
        <w:rPr>
          <w:rFonts w:ascii="Times New Roman" w:hAnsi="Times New Roman" w:cs="Times New Roman"/>
          <w:sz w:val="24"/>
          <w:szCs w:val="24"/>
        </w:rPr>
        <w:tab/>
        <w:t xml:space="preserve">The same day, </w:t>
      </w:r>
      <w:r w:rsidR="00CD424F">
        <w:rPr>
          <w:rFonts w:ascii="Times New Roman" w:hAnsi="Times New Roman" w:cs="Times New Roman"/>
          <w:sz w:val="24"/>
          <w:szCs w:val="24"/>
        </w:rPr>
        <w:t>Hingham</w:t>
      </w:r>
      <w:r>
        <w:rPr>
          <w:rFonts w:ascii="Times New Roman" w:hAnsi="Times New Roman" w:cs="Times New Roman"/>
          <w:sz w:val="24"/>
          <w:szCs w:val="24"/>
        </w:rPr>
        <w:t xml:space="preserve"> filed its </w:t>
      </w:r>
      <w:r>
        <w:rPr>
          <w:rFonts w:ascii="Times New Roman" w:hAnsi="Times New Roman" w:cs="Times New Roman"/>
          <w:i/>
          <w:iCs/>
          <w:sz w:val="24"/>
          <w:szCs w:val="24"/>
        </w:rPr>
        <w:t>Response to Petitioner’s Supplemental Response</w:t>
      </w:r>
      <w:r>
        <w:rPr>
          <w:rFonts w:ascii="Times New Roman" w:hAnsi="Times New Roman" w:cs="Times New Roman"/>
          <w:sz w:val="24"/>
          <w:szCs w:val="24"/>
        </w:rPr>
        <w:t xml:space="preserve">, arguing that for the BSEA to assert jurisdiction over an issue involving a request for modification of a student transcript, a showing must be made that a procedural protection arising out of state or federal law for students with disabilities </w:t>
      </w:r>
      <w:r w:rsidR="005F4710">
        <w:rPr>
          <w:rFonts w:ascii="Times New Roman" w:hAnsi="Times New Roman" w:cs="Times New Roman"/>
          <w:sz w:val="24"/>
          <w:szCs w:val="24"/>
        </w:rPr>
        <w:t>has been violated by the District. In this case, no showing has been</w:t>
      </w:r>
      <w:r>
        <w:rPr>
          <w:rFonts w:ascii="Times New Roman" w:hAnsi="Times New Roman" w:cs="Times New Roman"/>
          <w:sz w:val="24"/>
          <w:szCs w:val="24"/>
        </w:rPr>
        <w:t xml:space="preserve"> made that a recognized special education </w:t>
      </w:r>
      <w:r w:rsidR="005F4710">
        <w:rPr>
          <w:rFonts w:ascii="Times New Roman" w:hAnsi="Times New Roman" w:cs="Times New Roman"/>
          <w:sz w:val="24"/>
          <w:szCs w:val="24"/>
        </w:rPr>
        <w:t>procedural protection has been violated, as there is no such protection for students with disabilities associated with transcript</w:t>
      </w:r>
      <w:r w:rsidR="0034208F">
        <w:rPr>
          <w:rFonts w:ascii="Times New Roman" w:hAnsi="Times New Roman" w:cs="Times New Roman"/>
          <w:sz w:val="24"/>
          <w:szCs w:val="24"/>
        </w:rPr>
        <w:t>s</w:t>
      </w:r>
      <w:r w:rsidR="005F4710">
        <w:rPr>
          <w:rFonts w:ascii="Times New Roman" w:hAnsi="Times New Roman" w:cs="Times New Roman"/>
          <w:sz w:val="24"/>
          <w:szCs w:val="24"/>
        </w:rPr>
        <w:t>. As such, the BSEA has no jurisdiction, and the matter must be dismissed.</w:t>
      </w:r>
    </w:p>
    <w:p w14:paraId="5BDA5B62" w14:textId="62F0AA92" w:rsidR="00801BF7" w:rsidRDefault="00801BF7" w:rsidP="0091417D">
      <w:pPr>
        <w:pStyle w:val="NoSpacing"/>
        <w:ind w:firstLine="360"/>
        <w:rPr>
          <w:rFonts w:ascii="Times New Roman" w:hAnsi="Times New Roman" w:cs="Times New Roman"/>
          <w:i/>
          <w:sz w:val="24"/>
          <w:szCs w:val="24"/>
        </w:rPr>
      </w:pPr>
      <w:r>
        <w:rPr>
          <w:rFonts w:ascii="Times New Roman" w:hAnsi="Times New Roman" w:cs="Times New Roman"/>
          <w:i/>
          <w:sz w:val="24"/>
          <w:szCs w:val="24"/>
        </w:rPr>
        <w:tab/>
      </w:r>
    </w:p>
    <w:p w14:paraId="45CC996D" w14:textId="14B9AF41" w:rsidR="00801BF7" w:rsidRPr="00452EE0" w:rsidRDefault="00801BF7" w:rsidP="0091417D">
      <w:pPr>
        <w:pStyle w:val="NoSpacing"/>
        <w:ind w:firstLine="36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w:t>
      </w:r>
      <w:r>
        <w:rPr>
          <w:rFonts w:ascii="Times New Roman" w:hAnsi="Times New Roman" w:cs="Times New Roman"/>
          <w:sz w:val="24"/>
          <w:szCs w:val="24"/>
        </w:rPr>
        <w:tab/>
      </w:r>
      <w:r w:rsidR="00452EE0">
        <w:rPr>
          <w:rFonts w:ascii="Times New Roman" w:hAnsi="Times New Roman" w:cs="Times New Roman"/>
          <w:sz w:val="24"/>
          <w:szCs w:val="24"/>
        </w:rPr>
        <w:t>FACTUAL BACKGROUND</w:t>
      </w:r>
      <w:r w:rsidR="00E20EE5">
        <w:rPr>
          <w:rStyle w:val="FootnoteReference"/>
          <w:rFonts w:ascii="Times New Roman" w:hAnsi="Times New Roman" w:cs="Times New Roman"/>
          <w:sz w:val="24"/>
          <w:szCs w:val="24"/>
        </w:rPr>
        <w:footnoteReference w:id="3"/>
      </w:r>
    </w:p>
    <w:p w14:paraId="37DC0EDE" w14:textId="4D08C957" w:rsidR="00163D4B" w:rsidRPr="00CA0397" w:rsidRDefault="0054077F" w:rsidP="00946871">
      <w:pPr>
        <w:pStyle w:val="NoSpacing"/>
        <w:spacing w:before="240"/>
        <w:ind w:firstLine="720"/>
        <w:rPr>
          <w:rFonts w:ascii="Times New Roman" w:hAnsi="Times New Roman" w:cs="Times New Roman"/>
          <w:sz w:val="24"/>
          <w:szCs w:val="24"/>
          <w:u w:val="single"/>
        </w:rPr>
      </w:pPr>
      <w:r w:rsidRPr="00331E3A">
        <w:rPr>
          <w:rFonts w:ascii="Times New Roman" w:hAnsi="Times New Roman" w:cs="Times New Roman"/>
          <w:sz w:val="24"/>
          <w:szCs w:val="24"/>
        </w:rPr>
        <w:t>The following facts are not in dispute and are taken as true</w:t>
      </w:r>
      <w:r>
        <w:rPr>
          <w:rFonts w:ascii="Times New Roman" w:hAnsi="Times New Roman" w:cs="Times New Roman"/>
          <w:sz w:val="24"/>
          <w:szCs w:val="24"/>
        </w:rPr>
        <w:t xml:space="preserve"> for the purposes of this Ruling. </w:t>
      </w:r>
    </w:p>
    <w:p w14:paraId="5EFBBCBA" w14:textId="4D4357F9" w:rsidR="003F3CC1" w:rsidRDefault="00CA0397" w:rsidP="003F3CC1">
      <w:pPr>
        <w:pStyle w:val="NoSpacing"/>
        <w:spacing w:before="240"/>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F5C57">
        <w:rPr>
          <w:rFonts w:ascii="Times New Roman" w:hAnsi="Times New Roman" w:cs="Times New Roman"/>
          <w:sz w:val="24"/>
          <w:szCs w:val="24"/>
        </w:rPr>
        <w:t xml:space="preserve">Bobby </w:t>
      </w:r>
      <w:r w:rsidR="00CD424F">
        <w:rPr>
          <w:rFonts w:ascii="Times New Roman" w:hAnsi="Times New Roman" w:cs="Times New Roman"/>
          <w:sz w:val="24"/>
          <w:szCs w:val="24"/>
        </w:rPr>
        <w:t>was enrolled in</w:t>
      </w:r>
      <w:r w:rsidR="009F5C57">
        <w:rPr>
          <w:rFonts w:ascii="Times New Roman" w:hAnsi="Times New Roman" w:cs="Times New Roman"/>
          <w:sz w:val="24"/>
          <w:szCs w:val="24"/>
        </w:rPr>
        <w:t xml:space="preserve"> Hingham High School as a sophomore during the 2020-2021 school year.</w:t>
      </w:r>
    </w:p>
    <w:p w14:paraId="49D1809C" w14:textId="6908E1D1" w:rsidR="00432422" w:rsidRDefault="003F3CC1" w:rsidP="00CC7A3E">
      <w:pPr>
        <w:pStyle w:val="NoSpacing"/>
        <w:spacing w:before="240"/>
        <w:ind w:left="720" w:hanging="360"/>
        <w:rPr>
          <w:rFonts w:ascii="Times New Roman" w:hAnsi="Times New Roman" w:cs="Times New Roman"/>
          <w:sz w:val="24"/>
          <w:szCs w:val="24"/>
        </w:rPr>
      </w:pPr>
      <w:r>
        <w:rPr>
          <w:rFonts w:ascii="Times New Roman" w:hAnsi="Times New Roman" w:cs="Times New Roman"/>
          <w:sz w:val="24"/>
          <w:szCs w:val="24"/>
        </w:rPr>
        <w:lastRenderedPageBreak/>
        <w:t>2</w:t>
      </w:r>
      <w:r w:rsidR="004D065B">
        <w:rPr>
          <w:rFonts w:ascii="Times New Roman" w:hAnsi="Times New Roman" w:cs="Times New Roman"/>
          <w:sz w:val="24"/>
          <w:szCs w:val="24"/>
        </w:rPr>
        <w:t>.</w:t>
      </w:r>
      <w:r w:rsidR="004D065B">
        <w:rPr>
          <w:rFonts w:ascii="Times New Roman" w:hAnsi="Times New Roman" w:cs="Times New Roman"/>
          <w:sz w:val="24"/>
          <w:szCs w:val="24"/>
        </w:rPr>
        <w:tab/>
      </w:r>
      <w:r>
        <w:rPr>
          <w:rFonts w:ascii="Times New Roman" w:hAnsi="Times New Roman" w:cs="Times New Roman"/>
          <w:sz w:val="24"/>
          <w:szCs w:val="24"/>
        </w:rPr>
        <w:t>During this school year, which included periods of remote learning due to the Covid-19 pandemic, Hingham Public Schools initiated a temporary policy offering student</w:t>
      </w:r>
      <w:r w:rsidR="0034208F">
        <w:rPr>
          <w:rFonts w:ascii="Times New Roman" w:hAnsi="Times New Roman" w:cs="Times New Roman"/>
          <w:sz w:val="24"/>
          <w:szCs w:val="24"/>
        </w:rPr>
        <w:t>s</w:t>
      </w:r>
      <w:r>
        <w:rPr>
          <w:rFonts w:ascii="Times New Roman" w:hAnsi="Times New Roman" w:cs="Times New Roman"/>
          <w:sz w:val="24"/>
          <w:szCs w:val="24"/>
        </w:rPr>
        <w:t xml:space="preserve"> the opportunity to receive grades of “credit” or “no credit,” in order to prioritize the social-emotional well-being of students, promote equity, and hold students harmless from the impact of school closure. </w:t>
      </w:r>
      <w:r w:rsidR="00CC7A3E">
        <w:rPr>
          <w:rFonts w:ascii="Times New Roman" w:hAnsi="Times New Roman" w:cs="Times New Roman"/>
          <w:sz w:val="24"/>
          <w:szCs w:val="24"/>
        </w:rPr>
        <w:t>Parents assert that they were not aware of this option, offered in April of 2020, until June of 2021.</w:t>
      </w:r>
    </w:p>
    <w:p w14:paraId="36FAE432" w14:textId="5E7F882D" w:rsidR="003F3CC1" w:rsidRDefault="00CC7A3E" w:rsidP="00655C60">
      <w:pPr>
        <w:pStyle w:val="NoSpacing"/>
        <w:spacing w:before="240"/>
        <w:ind w:left="720" w:hanging="360"/>
        <w:rPr>
          <w:rFonts w:ascii="Times New Roman" w:hAnsi="Times New Roman" w:cs="Times New Roman"/>
          <w:sz w:val="24"/>
          <w:szCs w:val="24"/>
        </w:rPr>
      </w:pPr>
      <w:r>
        <w:rPr>
          <w:rFonts w:ascii="Times New Roman" w:hAnsi="Times New Roman" w:cs="Times New Roman"/>
          <w:sz w:val="24"/>
          <w:szCs w:val="24"/>
        </w:rPr>
        <w:t>3</w:t>
      </w:r>
      <w:r w:rsidR="003F3CC1">
        <w:rPr>
          <w:rFonts w:ascii="Times New Roman" w:hAnsi="Times New Roman" w:cs="Times New Roman"/>
          <w:sz w:val="24"/>
          <w:szCs w:val="24"/>
        </w:rPr>
        <w:t>.</w:t>
      </w:r>
      <w:r w:rsidR="003F3CC1">
        <w:rPr>
          <w:rFonts w:ascii="Times New Roman" w:hAnsi="Times New Roman" w:cs="Times New Roman"/>
          <w:sz w:val="24"/>
          <w:szCs w:val="24"/>
        </w:rPr>
        <w:tab/>
        <w:t xml:space="preserve">Prior to his sophomore year, Bobby </w:t>
      </w:r>
      <w:r w:rsidR="005C28B3">
        <w:rPr>
          <w:rFonts w:ascii="Times New Roman" w:hAnsi="Times New Roman" w:cs="Times New Roman"/>
          <w:sz w:val="24"/>
          <w:szCs w:val="24"/>
        </w:rPr>
        <w:t>had been deemed a special education eligible student</w:t>
      </w:r>
      <w:r w:rsidR="003F3CC1">
        <w:rPr>
          <w:rFonts w:ascii="Times New Roman" w:hAnsi="Times New Roman" w:cs="Times New Roman"/>
          <w:sz w:val="24"/>
          <w:szCs w:val="24"/>
        </w:rPr>
        <w:t xml:space="preserve"> receiving special education</w:t>
      </w:r>
      <w:r w:rsidR="005C28B3">
        <w:rPr>
          <w:rFonts w:ascii="Times New Roman" w:hAnsi="Times New Roman" w:cs="Times New Roman"/>
          <w:sz w:val="24"/>
          <w:szCs w:val="24"/>
        </w:rPr>
        <w:t xml:space="preserve"> services to address</w:t>
      </w:r>
      <w:r w:rsidR="003F3CC1">
        <w:rPr>
          <w:rFonts w:ascii="Times New Roman" w:hAnsi="Times New Roman" w:cs="Times New Roman"/>
          <w:sz w:val="24"/>
          <w:szCs w:val="24"/>
        </w:rPr>
        <w:t xml:space="preserve"> ADHD “and emotional/anxiety issues.”</w:t>
      </w:r>
      <w:r>
        <w:rPr>
          <w:rFonts w:ascii="Times New Roman" w:hAnsi="Times New Roman" w:cs="Times New Roman"/>
          <w:sz w:val="24"/>
          <w:szCs w:val="24"/>
        </w:rPr>
        <w:t xml:space="preserve"> I</w:t>
      </w:r>
      <w:r w:rsidR="003F3CC1">
        <w:rPr>
          <w:rFonts w:ascii="Times New Roman" w:hAnsi="Times New Roman" w:cs="Times New Roman"/>
          <w:sz w:val="24"/>
          <w:szCs w:val="24"/>
        </w:rPr>
        <w:t xml:space="preserve">n the </w:t>
      </w:r>
      <w:proofErr w:type="gramStart"/>
      <w:r w:rsidR="003F3CC1">
        <w:rPr>
          <w:rFonts w:ascii="Times New Roman" w:hAnsi="Times New Roman" w:cs="Times New Roman"/>
          <w:sz w:val="24"/>
          <w:szCs w:val="24"/>
        </w:rPr>
        <w:t>fall of 2020</w:t>
      </w:r>
      <w:proofErr w:type="gramEnd"/>
      <w:r w:rsidR="003F3CC1">
        <w:rPr>
          <w:rFonts w:ascii="Times New Roman" w:hAnsi="Times New Roman" w:cs="Times New Roman"/>
          <w:sz w:val="24"/>
          <w:szCs w:val="24"/>
        </w:rPr>
        <w:t xml:space="preserve"> he was also diagnosed with PAN/PANDAS, which impacted his ability to access the curriculum and attend school, given his highly compromised immune system.</w:t>
      </w:r>
      <w:r>
        <w:rPr>
          <w:rFonts w:ascii="Times New Roman" w:hAnsi="Times New Roman" w:cs="Times New Roman"/>
          <w:sz w:val="24"/>
          <w:szCs w:val="24"/>
        </w:rPr>
        <w:t xml:space="preserve"> Bobby had been experiencing symptoms since November</w:t>
      </w:r>
      <w:r w:rsidR="00FB266D">
        <w:rPr>
          <w:rFonts w:ascii="Times New Roman" w:hAnsi="Times New Roman" w:cs="Times New Roman"/>
          <w:sz w:val="24"/>
          <w:szCs w:val="24"/>
        </w:rPr>
        <w:t xml:space="preserve"> of</w:t>
      </w:r>
      <w:r>
        <w:rPr>
          <w:rFonts w:ascii="Times New Roman" w:hAnsi="Times New Roman" w:cs="Times New Roman"/>
          <w:sz w:val="24"/>
          <w:szCs w:val="24"/>
        </w:rPr>
        <w:t xml:space="preserve"> 2019, but pharmacological protocols were not established</w:t>
      </w:r>
      <w:r w:rsidR="005C28B3">
        <w:rPr>
          <w:rFonts w:ascii="Times New Roman" w:hAnsi="Times New Roman" w:cs="Times New Roman"/>
          <w:sz w:val="24"/>
          <w:szCs w:val="24"/>
        </w:rPr>
        <w:t xml:space="preserve"> for him</w:t>
      </w:r>
      <w:r>
        <w:rPr>
          <w:rFonts w:ascii="Times New Roman" w:hAnsi="Times New Roman" w:cs="Times New Roman"/>
          <w:sz w:val="24"/>
          <w:szCs w:val="24"/>
        </w:rPr>
        <w:t xml:space="preserve"> until January </w:t>
      </w:r>
      <w:r w:rsidR="00FB266D">
        <w:rPr>
          <w:rFonts w:ascii="Times New Roman" w:hAnsi="Times New Roman" w:cs="Times New Roman"/>
          <w:sz w:val="24"/>
          <w:szCs w:val="24"/>
        </w:rPr>
        <w:t xml:space="preserve">of </w:t>
      </w:r>
      <w:r>
        <w:rPr>
          <w:rFonts w:ascii="Times New Roman" w:hAnsi="Times New Roman" w:cs="Times New Roman"/>
          <w:sz w:val="24"/>
          <w:szCs w:val="24"/>
        </w:rPr>
        <w:t>2021.</w:t>
      </w:r>
    </w:p>
    <w:p w14:paraId="2B8E1347" w14:textId="5F1E31B1" w:rsidR="00CC7A3E" w:rsidRPr="00432422" w:rsidRDefault="00CC7A3E" w:rsidP="00CC7A3E">
      <w:pPr>
        <w:pStyle w:val="NoSpacing"/>
        <w:spacing w:before="240"/>
        <w:ind w:left="72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Bobby was unable to access the curriculum effectively during his sophomore year and, at some point, discontinued remote learning “because of the stresses associated with his diagnosis.” His doctors sent letters to the District to inform them that he was struggling and in May, 2021, Bobby was placed on “MA Physical Affirmed Need for Temporary Home Education for Medically Necessary Reasons</w:t>
      </w:r>
      <w:r w:rsidR="0019058E">
        <w:rPr>
          <w:rFonts w:ascii="Times New Roman" w:hAnsi="Times New Roman" w:cs="Times New Roman"/>
          <w:sz w:val="24"/>
          <w:szCs w:val="24"/>
        </w:rPr>
        <w:t>.</w:t>
      </w:r>
      <w:r>
        <w:rPr>
          <w:rFonts w:ascii="Times New Roman" w:hAnsi="Times New Roman" w:cs="Times New Roman"/>
          <w:sz w:val="24"/>
          <w:szCs w:val="24"/>
        </w:rPr>
        <w:t>”</w:t>
      </w:r>
      <w:r w:rsidR="0019058E">
        <w:rPr>
          <w:rFonts w:ascii="Times New Roman" w:hAnsi="Times New Roman" w:cs="Times New Roman"/>
          <w:sz w:val="24"/>
          <w:szCs w:val="24"/>
        </w:rPr>
        <w:t xml:space="preserve"> </w:t>
      </w:r>
      <w:r>
        <w:rPr>
          <w:rFonts w:ascii="Times New Roman" w:hAnsi="Times New Roman" w:cs="Times New Roman"/>
          <w:sz w:val="24"/>
          <w:szCs w:val="24"/>
        </w:rPr>
        <w:t>At this time, through the efforts of the District and Parents, Hingham arranged for remote tutoring by the retired teacher who had taught Bobby’s strategies class prior to his sophomore year.</w:t>
      </w:r>
    </w:p>
    <w:p w14:paraId="29968339" w14:textId="190650E8" w:rsidR="00655C60" w:rsidRDefault="0019058E" w:rsidP="0019058E">
      <w:pPr>
        <w:pStyle w:val="NoSpacing"/>
        <w:spacing w:before="240"/>
        <w:ind w:left="720" w:hanging="360"/>
        <w:rPr>
          <w:rFonts w:ascii="Times New Roman" w:hAnsi="Times New Roman" w:cs="Times New Roman"/>
          <w:sz w:val="24"/>
          <w:szCs w:val="24"/>
        </w:rPr>
      </w:pPr>
      <w:r>
        <w:rPr>
          <w:rFonts w:ascii="Times New Roman" w:hAnsi="Times New Roman" w:cs="Times New Roman"/>
          <w:sz w:val="24"/>
          <w:szCs w:val="24"/>
        </w:rPr>
        <w:t>5</w:t>
      </w:r>
      <w:r w:rsidR="00E64677">
        <w:rPr>
          <w:rFonts w:ascii="Times New Roman" w:hAnsi="Times New Roman" w:cs="Times New Roman"/>
          <w:sz w:val="24"/>
          <w:szCs w:val="24"/>
        </w:rPr>
        <w:t xml:space="preserve">. </w:t>
      </w:r>
      <w:r w:rsidR="00E64677">
        <w:rPr>
          <w:rFonts w:ascii="Times New Roman" w:hAnsi="Times New Roman" w:cs="Times New Roman"/>
          <w:sz w:val="24"/>
          <w:szCs w:val="24"/>
        </w:rPr>
        <w:tab/>
      </w:r>
      <w:r w:rsidR="00CC7A3E">
        <w:rPr>
          <w:rFonts w:ascii="Times New Roman" w:hAnsi="Times New Roman" w:cs="Times New Roman"/>
          <w:sz w:val="24"/>
          <w:szCs w:val="24"/>
        </w:rPr>
        <w:t>In September</w:t>
      </w:r>
      <w:r w:rsidR="00FB266D">
        <w:rPr>
          <w:rFonts w:ascii="Times New Roman" w:hAnsi="Times New Roman" w:cs="Times New Roman"/>
          <w:sz w:val="24"/>
          <w:szCs w:val="24"/>
        </w:rPr>
        <w:t xml:space="preserve">, </w:t>
      </w:r>
      <w:r w:rsidR="00CC7A3E">
        <w:rPr>
          <w:rFonts w:ascii="Times New Roman" w:hAnsi="Times New Roman" w:cs="Times New Roman"/>
          <w:sz w:val="24"/>
          <w:szCs w:val="24"/>
        </w:rPr>
        <w:t>2022, Bobby returned to in-person learning full-time at Hingham High School. Since that time, while receiving treatment for P</w:t>
      </w:r>
      <w:r w:rsidR="00CD424F">
        <w:rPr>
          <w:rFonts w:ascii="Times New Roman" w:hAnsi="Times New Roman" w:cs="Times New Roman"/>
          <w:sz w:val="24"/>
          <w:szCs w:val="24"/>
        </w:rPr>
        <w:t>ANS,</w:t>
      </w:r>
      <w:r w:rsidR="00CC7A3E">
        <w:rPr>
          <w:rFonts w:ascii="Times New Roman" w:hAnsi="Times New Roman" w:cs="Times New Roman"/>
          <w:sz w:val="24"/>
          <w:szCs w:val="24"/>
        </w:rPr>
        <w:t xml:space="preserve"> he has succeeded academically</w:t>
      </w:r>
      <w:r w:rsidR="0034208F">
        <w:rPr>
          <w:rFonts w:ascii="Times New Roman" w:hAnsi="Times New Roman" w:cs="Times New Roman"/>
          <w:sz w:val="24"/>
          <w:szCs w:val="24"/>
        </w:rPr>
        <w:t xml:space="preserve"> and made</w:t>
      </w:r>
      <w:r w:rsidR="00CC7A3E">
        <w:rPr>
          <w:rFonts w:ascii="Times New Roman" w:hAnsi="Times New Roman" w:cs="Times New Roman"/>
          <w:sz w:val="24"/>
          <w:szCs w:val="24"/>
        </w:rPr>
        <w:t xml:space="preserve"> Honor Roll both junior and senior years.</w:t>
      </w:r>
    </w:p>
    <w:p w14:paraId="2885FAB6" w14:textId="77777777" w:rsidR="0019058E" w:rsidRDefault="0019058E" w:rsidP="007314FD">
      <w:pPr>
        <w:pStyle w:val="NoSpacing"/>
        <w:ind w:firstLine="360"/>
        <w:rPr>
          <w:rFonts w:ascii="Times New Roman" w:hAnsi="Times New Roman" w:cs="Times New Roman"/>
          <w:sz w:val="24"/>
          <w:szCs w:val="24"/>
        </w:rPr>
      </w:pPr>
    </w:p>
    <w:p w14:paraId="2B809C69" w14:textId="47577EB0" w:rsidR="009F4287" w:rsidRDefault="009E0E97" w:rsidP="007314FD">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 </w:t>
      </w:r>
    </w:p>
    <w:p w14:paraId="7557EA7E" w14:textId="77777777" w:rsidR="00514763" w:rsidRDefault="009F4287" w:rsidP="00A4082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II.</w:t>
      </w:r>
      <w:r>
        <w:rPr>
          <w:rFonts w:ascii="Times New Roman" w:hAnsi="Times New Roman" w:cs="Times New Roman"/>
          <w:sz w:val="24"/>
          <w:szCs w:val="24"/>
        </w:rPr>
        <w:tab/>
      </w:r>
      <w:r w:rsidR="00F170F3" w:rsidRPr="00CC48A4">
        <w:rPr>
          <w:rFonts w:ascii="Times New Roman" w:hAnsi="Times New Roman" w:cs="Times New Roman"/>
          <w:sz w:val="24"/>
          <w:szCs w:val="24"/>
          <w:u w:val="single"/>
        </w:rPr>
        <w:t>DISCUSSION</w:t>
      </w:r>
    </w:p>
    <w:p w14:paraId="66BF1A3B" w14:textId="1D5C3487" w:rsidR="00551EC3" w:rsidRPr="00514763" w:rsidRDefault="00551EC3" w:rsidP="00514763">
      <w:pPr>
        <w:spacing w:after="0" w:line="240" w:lineRule="auto"/>
        <w:ind w:firstLine="360"/>
      </w:pPr>
      <w:r w:rsidRPr="00514763">
        <w:tab/>
      </w:r>
      <w:r w:rsidRPr="00514763">
        <w:tab/>
      </w:r>
    </w:p>
    <w:p w14:paraId="14B3683D" w14:textId="4A74CCA8" w:rsidR="00551EC3" w:rsidRDefault="00551EC3" w:rsidP="00514763">
      <w:pPr>
        <w:spacing w:after="0" w:line="240" w:lineRule="auto"/>
        <w:rPr>
          <w:rFonts w:ascii="Times New Roman" w:hAnsi="Times New Roman" w:cs="Times New Roman"/>
          <w:i/>
          <w:iCs/>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551EC3">
        <w:rPr>
          <w:rFonts w:ascii="Times New Roman" w:hAnsi="Times New Roman" w:cs="Times New Roman"/>
          <w:i/>
          <w:iCs/>
          <w:sz w:val="24"/>
          <w:szCs w:val="24"/>
        </w:rPr>
        <w:t>Legal Standards</w:t>
      </w:r>
    </w:p>
    <w:p w14:paraId="7DDC36A6" w14:textId="77777777" w:rsidR="00514763" w:rsidRDefault="00514763" w:rsidP="007F1366">
      <w:pPr>
        <w:spacing w:after="0" w:line="240" w:lineRule="auto"/>
        <w:rPr>
          <w:rFonts w:ascii="Times New Roman" w:hAnsi="Times New Roman" w:cs="Times New Roman"/>
          <w:sz w:val="24"/>
          <w:szCs w:val="24"/>
        </w:rPr>
      </w:pPr>
    </w:p>
    <w:p w14:paraId="45F6B987" w14:textId="05137544" w:rsidR="00551EC3" w:rsidRDefault="00551EC3" w:rsidP="007F136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551EC3">
        <w:rPr>
          <w:rFonts w:ascii="Times New Roman" w:hAnsi="Times New Roman" w:cs="Times New Roman"/>
          <w:sz w:val="24"/>
          <w:szCs w:val="24"/>
          <w:u w:val="single"/>
        </w:rPr>
        <w:t>Motion to Dismiss</w:t>
      </w:r>
      <w:r w:rsidR="00D0177E">
        <w:rPr>
          <w:rFonts w:ascii="Times New Roman" w:hAnsi="Times New Roman" w:cs="Times New Roman"/>
          <w:sz w:val="24"/>
          <w:szCs w:val="24"/>
        </w:rPr>
        <w:tab/>
      </w:r>
    </w:p>
    <w:p w14:paraId="13821804" w14:textId="75413EDC" w:rsidR="005C2E13" w:rsidRDefault="005C2E13" w:rsidP="007F1366">
      <w:pPr>
        <w:spacing w:after="0" w:line="240" w:lineRule="auto"/>
        <w:ind w:firstLine="720"/>
        <w:rPr>
          <w:rFonts w:ascii="Times New Roman" w:eastAsia="Century Schoolbook" w:hAnsi="Times New Roman" w:cs="Times New Roman"/>
          <w:color w:val="000000"/>
          <w:sz w:val="24"/>
          <w:szCs w:val="24"/>
        </w:rPr>
      </w:pPr>
      <w:r w:rsidRPr="005C2E13">
        <w:rPr>
          <w:rFonts w:ascii="Times New Roman" w:eastAsia="Century Schoolbook" w:hAnsi="Times New Roman" w:cs="Times New Roman"/>
          <w:color w:val="000000"/>
          <w:sz w:val="24"/>
          <w:szCs w:val="24"/>
        </w:rPr>
        <w:t xml:space="preserve">Hearing Officers are bound by the </w:t>
      </w:r>
      <w:r w:rsidRPr="005C2E13">
        <w:rPr>
          <w:rFonts w:ascii="Times New Roman" w:eastAsia="Century Schoolbook" w:hAnsi="Times New Roman" w:cs="Times New Roman"/>
          <w:i/>
          <w:iCs/>
          <w:color w:val="000000"/>
          <w:sz w:val="24"/>
          <w:szCs w:val="24"/>
        </w:rPr>
        <w:t>BSEA</w:t>
      </w:r>
      <w:r w:rsidRPr="005C2E13">
        <w:rPr>
          <w:rFonts w:ascii="Times New Roman" w:eastAsia="Century Schoolbook" w:hAnsi="Times New Roman" w:cs="Times New Roman"/>
          <w:color w:val="000000"/>
          <w:sz w:val="24"/>
          <w:szCs w:val="24"/>
        </w:rPr>
        <w:t xml:space="preserve"> </w:t>
      </w:r>
      <w:r w:rsidRPr="005C2E13">
        <w:rPr>
          <w:rFonts w:ascii="Times New Roman" w:eastAsia="Century Schoolbook" w:hAnsi="Times New Roman" w:cs="Times New Roman"/>
          <w:i/>
          <w:color w:val="000000"/>
          <w:sz w:val="24"/>
          <w:szCs w:val="24"/>
        </w:rPr>
        <w:t xml:space="preserve">Hearing Rules for Special Education Appeals </w:t>
      </w:r>
      <w:r w:rsidRPr="005C2E13">
        <w:rPr>
          <w:rFonts w:ascii="Times New Roman" w:eastAsia="Century Schoolbook" w:hAnsi="Times New Roman" w:cs="Times New Roman"/>
          <w:iCs/>
          <w:color w:val="000000"/>
          <w:sz w:val="24"/>
          <w:szCs w:val="24"/>
        </w:rPr>
        <w:t>(</w:t>
      </w:r>
      <w:r w:rsidRPr="005C2E13">
        <w:rPr>
          <w:rFonts w:ascii="Times New Roman" w:eastAsia="Century Schoolbook" w:hAnsi="Times New Roman" w:cs="Times New Roman"/>
          <w:i/>
          <w:color w:val="000000"/>
          <w:sz w:val="24"/>
          <w:szCs w:val="24"/>
        </w:rPr>
        <w:t>Hearing</w:t>
      </w:r>
      <w:r w:rsidRPr="005C2E13">
        <w:rPr>
          <w:rFonts w:ascii="Times New Roman" w:eastAsia="Century Schoolbook" w:hAnsi="Times New Roman" w:cs="Times New Roman"/>
          <w:iCs/>
          <w:color w:val="000000"/>
          <w:sz w:val="24"/>
          <w:szCs w:val="24"/>
        </w:rPr>
        <w:t xml:space="preserve"> </w:t>
      </w:r>
      <w:r w:rsidRPr="005C2E13">
        <w:rPr>
          <w:rFonts w:ascii="Times New Roman" w:eastAsia="Century Schoolbook" w:hAnsi="Times New Roman" w:cs="Times New Roman"/>
          <w:i/>
          <w:color w:val="000000"/>
          <w:sz w:val="24"/>
          <w:szCs w:val="24"/>
        </w:rPr>
        <w:t>Rules</w:t>
      </w:r>
      <w:r w:rsidRPr="005C2E13">
        <w:rPr>
          <w:rFonts w:ascii="Times New Roman" w:eastAsia="Century Schoolbook" w:hAnsi="Times New Roman" w:cs="Times New Roman"/>
          <w:iCs/>
          <w:color w:val="000000"/>
          <w:sz w:val="24"/>
          <w:szCs w:val="24"/>
        </w:rPr>
        <w:t xml:space="preserve">) </w:t>
      </w:r>
      <w:r w:rsidRPr="005C2E13">
        <w:rPr>
          <w:rFonts w:ascii="Times New Roman" w:eastAsia="Century Schoolbook" w:hAnsi="Times New Roman" w:cs="Times New Roman"/>
          <w:color w:val="000000"/>
          <w:sz w:val="24"/>
          <w:szCs w:val="24"/>
        </w:rPr>
        <w:t xml:space="preserve">and the Standard Rules of Adjudicatory Practice and Procedure, 801 Code Mass Regs 1.01. Pursuant to </w:t>
      </w:r>
      <w:r w:rsidRPr="005C2E13">
        <w:rPr>
          <w:rFonts w:ascii="Times New Roman" w:eastAsia="Century Schoolbook" w:hAnsi="Times New Roman" w:cs="Times New Roman"/>
          <w:i/>
          <w:iCs/>
          <w:color w:val="000000"/>
          <w:sz w:val="24"/>
          <w:szCs w:val="24"/>
        </w:rPr>
        <w:t xml:space="preserve">Hearing Rule </w:t>
      </w:r>
      <w:r w:rsidRPr="005C2E13">
        <w:rPr>
          <w:rFonts w:ascii="Times New Roman" w:eastAsia="Century Schoolbook" w:hAnsi="Times New Roman" w:cs="Times New Roman"/>
          <w:color w:val="000000"/>
          <w:sz w:val="24"/>
          <w:szCs w:val="24"/>
        </w:rPr>
        <w:t>XVII (A) and (B)</w:t>
      </w:r>
      <w:r w:rsidRPr="005C2E13">
        <w:rPr>
          <w:rFonts w:ascii="Times New Roman" w:eastAsia="Century Schoolbook" w:hAnsi="Times New Roman" w:cs="Times New Roman"/>
          <w:i/>
          <w:iCs/>
          <w:color w:val="000000"/>
          <w:sz w:val="24"/>
          <w:szCs w:val="24"/>
        </w:rPr>
        <w:t xml:space="preserve"> </w:t>
      </w:r>
      <w:r w:rsidRPr="005C2E13">
        <w:rPr>
          <w:rFonts w:ascii="Times New Roman" w:eastAsia="Century Schoolbook" w:hAnsi="Times New Roman" w:cs="Times New Roman"/>
          <w:color w:val="000000"/>
          <w:sz w:val="24"/>
          <w:szCs w:val="24"/>
        </w:rPr>
        <w:t xml:space="preserve">and 801 CMR 1.01(7)(g)(3), a </w:t>
      </w:r>
      <w:r w:rsidR="00583741">
        <w:rPr>
          <w:rFonts w:ascii="Times New Roman" w:eastAsia="Century Schoolbook" w:hAnsi="Times New Roman" w:cs="Times New Roman"/>
          <w:color w:val="000000"/>
          <w:sz w:val="24"/>
          <w:szCs w:val="24"/>
        </w:rPr>
        <w:t>H</w:t>
      </w:r>
      <w:r w:rsidRPr="005C2E13">
        <w:rPr>
          <w:rFonts w:ascii="Times New Roman" w:eastAsia="Century Schoolbook" w:hAnsi="Times New Roman" w:cs="Times New Roman"/>
          <w:color w:val="000000"/>
          <w:sz w:val="24"/>
          <w:szCs w:val="24"/>
        </w:rPr>
        <w:t xml:space="preserve">earing </w:t>
      </w:r>
      <w:r w:rsidR="00583741">
        <w:rPr>
          <w:rFonts w:ascii="Times New Roman" w:eastAsia="Century Schoolbook" w:hAnsi="Times New Roman" w:cs="Times New Roman"/>
          <w:color w:val="000000"/>
          <w:sz w:val="24"/>
          <w:szCs w:val="24"/>
        </w:rPr>
        <w:t>O</w:t>
      </w:r>
      <w:r w:rsidRPr="005C2E13">
        <w:rPr>
          <w:rFonts w:ascii="Times New Roman" w:eastAsia="Century Schoolbook" w:hAnsi="Times New Roman" w:cs="Times New Roman"/>
          <w:color w:val="000000"/>
          <w:sz w:val="24"/>
          <w:szCs w:val="24"/>
        </w:rPr>
        <w:t xml:space="preserve">fficer may allow a motion to dismiss if the party requesting the hearing fails to state a claim upon which relief can be granted. These rules are analogous to Rule 12(b)(6) of the Federal Rules of Civil Procedure. As such, </w:t>
      </w:r>
      <w:r w:rsidR="007C4364">
        <w:rPr>
          <w:rFonts w:ascii="Times New Roman" w:eastAsia="Century Schoolbook" w:hAnsi="Times New Roman" w:cs="Times New Roman"/>
          <w:color w:val="000000"/>
          <w:sz w:val="24"/>
          <w:szCs w:val="24"/>
        </w:rPr>
        <w:t>H</w:t>
      </w:r>
      <w:r w:rsidRPr="005C2E13">
        <w:rPr>
          <w:rFonts w:ascii="Times New Roman" w:eastAsia="Century Schoolbook" w:hAnsi="Times New Roman" w:cs="Times New Roman"/>
          <w:color w:val="000000"/>
          <w:sz w:val="24"/>
          <w:szCs w:val="24"/>
        </w:rPr>
        <w:t xml:space="preserve">earing </w:t>
      </w:r>
      <w:r w:rsidR="007C4364">
        <w:rPr>
          <w:rFonts w:ascii="Times New Roman" w:eastAsia="Century Schoolbook" w:hAnsi="Times New Roman" w:cs="Times New Roman"/>
          <w:color w:val="000000"/>
          <w:sz w:val="24"/>
          <w:szCs w:val="24"/>
        </w:rPr>
        <w:t>O</w:t>
      </w:r>
      <w:r w:rsidRPr="005C2E13">
        <w:rPr>
          <w:rFonts w:ascii="Times New Roman" w:eastAsia="Century Schoolbook" w:hAnsi="Times New Roman" w:cs="Times New Roman"/>
          <w:color w:val="000000"/>
          <w:sz w:val="24"/>
          <w:szCs w:val="24"/>
        </w:rPr>
        <w:t>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5C2E13">
        <w:rPr>
          <w:rFonts w:ascii="Times New Roman" w:eastAsia="Century Schoolbook" w:hAnsi="Times New Roman" w:cs="Times New Roman"/>
          <w:color w:val="000000"/>
          <w:sz w:val="24"/>
          <w:szCs w:val="24"/>
          <w:vertAlign w:val="superscript"/>
        </w:rPr>
        <w:footnoteReference w:id="4"/>
      </w:r>
      <w:r w:rsidRPr="005C2E13">
        <w:rPr>
          <w:rFonts w:ascii="Times New Roman" w:eastAsia="Century Schoolbook" w:hAnsi="Times New Roman" w:cs="Times New Roman"/>
          <w:color w:val="000000"/>
          <w:sz w:val="24"/>
          <w:szCs w:val="24"/>
        </w:rPr>
        <w:t xml:space="preserve"> In evaluating a motion to dismiss, the </w:t>
      </w:r>
      <w:r w:rsidR="00583741">
        <w:rPr>
          <w:rFonts w:ascii="Times New Roman" w:eastAsia="Century Schoolbook" w:hAnsi="Times New Roman" w:cs="Times New Roman"/>
          <w:color w:val="000000"/>
          <w:sz w:val="24"/>
          <w:szCs w:val="24"/>
        </w:rPr>
        <w:t>H</w:t>
      </w:r>
      <w:r w:rsidRPr="005C2E13">
        <w:rPr>
          <w:rFonts w:ascii="Times New Roman" w:eastAsia="Century Schoolbook" w:hAnsi="Times New Roman" w:cs="Times New Roman"/>
          <w:color w:val="000000"/>
          <w:sz w:val="24"/>
          <w:szCs w:val="24"/>
        </w:rPr>
        <w:t xml:space="preserve">earing </w:t>
      </w:r>
      <w:r w:rsidR="00583741">
        <w:rPr>
          <w:rFonts w:ascii="Times New Roman" w:eastAsia="Century Schoolbook" w:hAnsi="Times New Roman" w:cs="Times New Roman"/>
          <w:color w:val="000000"/>
          <w:sz w:val="24"/>
          <w:szCs w:val="24"/>
        </w:rPr>
        <w:t>O</w:t>
      </w:r>
      <w:r w:rsidRPr="005C2E13">
        <w:rPr>
          <w:rFonts w:ascii="Times New Roman" w:eastAsia="Century Schoolbook" w:hAnsi="Times New Roman" w:cs="Times New Roman"/>
          <w:color w:val="000000"/>
          <w:sz w:val="24"/>
          <w:szCs w:val="24"/>
        </w:rPr>
        <w:t>fficer must take as true “the allegations of the complaint, as well as such inferences as may be drawn therefrom in the plaintiff's favor.”</w:t>
      </w:r>
      <w:r w:rsidRPr="005C2E13">
        <w:rPr>
          <w:rFonts w:ascii="Times New Roman" w:eastAsia="Century Schoolbook" w:hAnsi="Times New Roman" w:cs="Times New Roman"/>
          <w:color w:val="000000"/>
          <w:sz w:val="24"/>
          <w:szCs w:val="24"/>
          <w:vertAlign w:val="superscript"/>
        </w:rPr>
        <w:footnoteReference w:id="5"/>
      </w:r>
      <w:r w:rsidRPr="005C2E13">
        <w:rPr>
          <w:rFonts w:ascii="Times New Roman" w:eastAsia="Century Schoolbook" w:hAnsi="Times New Roman" w:cs="Times New Roman"/>
          <w:color w:val="000000"/>
          <w:sz w:val="24"/>
          <w:szCs w:val="24"/>
        </w:rPr>
        <w:t xml:space="preserve"> These “[f]actual allegations must be enough to raise a right to relief above the </w:t>
      </w:r>
      <w:r w:rsidRPr="005C2E13">
        <w:rPr>
          <w:rFonts w:ascii="Times New Roman" w:eastAsia="Century Schoolbook" w:hAnsi="Times New Roman" w:cs="Times New Roman"/>
          <w:color w:val="000000"/>
          <w:sz w:val="24"/>
          <w:szCs w:val="24"/>
        </w:rPr>
        <w:lastRenderedPageBreak/>
        <w:t>speculative level.</w:t>
      </w:r>
      <w:bookmarkStart w:id="0" w:name="N_8_"/>
      <w:r w:rsidRPr="005C2E13">
        <w:rPr>
          <w:rFonts w:ascii="Times New Roman" w:eastAsia="Century Schoolbook" w:hAnsi="Times New Roman" w:cs="Times New Roman"/>
          <w:color w:val="000000"/>
          <w:sz w:val="24"/>
          <w:szCs w:val="24"/>
        </w:rPr>
        <w:t>”</w:t>
      </w:r>
      <w:r w:rsidRPr="005C2E13">
        <w:rPr>
          <w:rFonts w:ascii="Times New Roman" w:eastAsia="Century Schoolbook" w:hAnsi="Times New Roman" w:cs="Times New Roman"/>
          <w:color w:val="000000"/>
          <w:sz w:val="24"/>
          <w:szCs w:val="24"/>
          <w:vertAlign w:val="superscript"/>
        </w:rPr>
        <w:footnoteReference w:id="6"/>
      </w:r>
      <w:bookmarkEnd w:id="0"/>
      <w:r w:rsidR="005E363D">
        <w:rPr>
          <w:rFonts w:ascii="Times New Roman" w:eastAsia="Century Schoolbook" w:hAnsi="Times New Roman" w:cs="Times New Roman"/>
          <w:color w:val="000000"/>
          <w:sz w:val="24"/>
          <w:szCs w:val="24"/>
        </w:rPr>
        <w:t xml:space="preserve"> If a hearing officer concludes that she cannot grant relief under either federal or state special education statutes or the relevant portions of Section 504 of the Rehabilitation Act, even taking as true all facts alleged by the party opposing dismissal and drawing all reasonable inferences in that party’s favor, the hearing officer may dismiss a case.</w:t>
      </w:r>
      <w:r w:rsidR="005E363D">
        <w:rPr>
          <w:rStyle w:val="FootnoteReference"/>
          <w:rFonts w:ascii="Times New Roman" w:eastAsia="Century Schoolbook" w:hAnsi="Times New Roman" w:cs="Times New Roman"/>
          <w:color w:val="000000"/>
          <w:sz w:val="24"/>
          <w:szCs w:val="24"/>
        </w:rPr>
        <w:footnoteReference w:id="7"/>
      </w:r>
    </w:p>
    <w:p w14:paraId="631577FA" w14:textId="77777777" w:rsidR="007F1366" w:rsidRPr="007F1366" w:rsidRDefault="007F1366" w:rsidP="007F1366">
      <w:pPr>
        <w:spacing w:after="0" w:line="240" w:lineRule="auto"/>
        <w:ind w:firstLine="720"/>
        <w:rPr>
          <w:rFonts w:ascii="Times New Roman" w:eastAsia="Century Schoolbook" w:hAnsi="Times New Roman" w:cs="Times New Roman"/>
          <w:color w:val="000000"/>
          <w:sz w:val="24"/>
          <w:szCs w:val="24"/>
        </w:rPr>
      </w:pPr>
    </w:p>
    <w:p w14:paraId="7F8443F6" w14:textId="7A78CF8D" w:rsidR="00551EC3" w:rsidRDefault="00551EC3" w:rsidP="00386388">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sz w:val="24"/>
          <w:szCs w:val="24"/>
        </w:rPr>
        <w:tab/>
      </w:r>
      <w:r w:rsidRPr="00551EC3">
        <w:rPr>
          <w:rFonts w:ascii="Times New Roman" w:hAnsi="Times New Roman" w:cs="Times New Roman"/>
          <w:sz w:val="24"/>
          <w:szCs w:val="24"/>
          <w:u w:val="single"/>
        </w:rPr>
        <w:t xml:space="preserve">BSEA </w:t>
      </w:r>
      <w:r w:rsidR="00516427">
        <w:rPr>
          <w:rFonts w:ascii="Times New Roman" w:hAnsi="Times New Roman" w:cs="Times New Roman"/>
          <w:sz w:val="24"/>
          <w:szCs w:val="24"/>
          <w:u w:val="single"/>
        </w:rPr>
        <w:t>Jurisdiction</w:t>
      </w:r>
    </w:p>
    <w:p w14:paraId="441346B7" w14:textId="5B8B191B" w:rsidR="00757351" w:rsidRPr="00890DAE" w:rsidRDefault="0055657D" w:rsidP="00946871">
      <w:pPr>
        <w:spacing w:line="240" w:lineRule="auto"/>
        <w:ind w:firstLine="720"/>
        <w:rPr>
          <w:rFonts w:ascii="Times New Roman" w:hAnsi="Times New Roman" w:cs="Times New Roman"/>
          <w:sz w:val="24"/>
          <w:szCs w:val="24"/>
        </w:rPr>
      </w:pPr>
      <w:r>
        <w:rPr>
          <w:rFonts w:ascii="Times New Roman" w:hAnsi="Times New Roman" w:cs="Times New Roman"/>
          <w:sz w:val="24"/>
          <w:szCs w:val="24"/>
        </w:rPr>
        <w:t>To</w:t>
      </w:r>
      <w:r w:rsidR="003F39F6">
        <w:rPr>
          <w:rFonts w:ascii="Times New Roman" w:hAnsi="Times New Roman" w:cs="Times New Roman"/>
          <w:sz w:val="24"/>
          <w:szCs w:val="24"/>
        </w:rPr>
        <w:t xml:space="preserve"> survive a </w:t>
      </w:r>
      <w:r>
        <w:rPr>
          <w:rFonts w:ascii="Times New Roman" w:hAnsi="Times New Roman" w:cs="Times New Roman"/>
          <w:sz w:val="24"/>
          <w:szCs w:val="24"/>
        </w:rPr>
        <w:t>m</w:t>
      </w:r>
      <w:r w:rsidR="003F39F6">
        <w:rPr>
          <w:rFonts w:ascii="Times New Roman" w:hAnsi="Times New Roman" w:cs="Times New Roman"/>
          <w:sz w:val="24"/>
          <w:szCs w:val="24"/>
        </w:rPr>
        <w:t xml:space="preserve">otion to </w:t>
      </w:r>
      <w:r>
        <w:rPr>
          <w:rFonts w:ascii="Times New Roman" w:hAnsi="Times New Roman" w:cs="Times New Roman"/>
          <w:sz w:val="24"/>
          <w:szCs w:val="24"/>
        </w:rPr>
        <w:t>d</w:t>
      </w:r>
      <w:r w:rsidR="003F39F6">
        <w:rPr>
          <w:rFonts w:ascii="Times New Roman" w:hAnsi="Times New Roman" w:cs="Times New Roman"/>
          <w:sz w:val="24"/>
          <w:szCs w:val="24"/>
        </w:rPr>
        <w:t xml:space="preserve">ismiss, the moving party must </w:t>
      </w:r>
      <w:r w:rsidR="00516427">
        <w:rPr>
          <w:rFonts w:ascii="Times New Roman" w:hAnsi="Times New Roman" w:cs="Times New Roman"/>
          <w:sz w:val="24"/>
          <w:szCs w:val="24"/>
        </w:rPr>
        <w:t xml:space="preserve">allege a claim over which the BSEA has </w:t>
      </w:r>
      <w:r w:rsidR="00516427" w:rsidRPr="00890DAE">
        <w:rPr>
          <w:rFonts w:ascii="Times New Roman" w:hAnsi="Times New Roman" w:cs="Times New Roman"/>
          <w:sz w:val="24"/>
          <w:szCs w:val="24"/>
        </w:rPr>
        <w:t>jurisdiction.</w:t>
      </w:r>
      <w:r w:rsidR="0022096D" w:rsidRPr="00890DAE">
        <w:rPr>
          <w:rFonts w:ascii="Times New Roman" w:hAnsi="Times New Roman" w:cs="Times New Roman"/>
          <w:sz w:val="24"/>
          <w:szCs w:val="24"/>
        </w:rPr>
        <w:t xml:space="preserve"> </w:t>
      </w:r>
      <w:r w:rsidR="00365FA4" w:rsidRPr="00890DAE">
        <w:rPr>
          <w:rFonts w:ascii="Times New Roman" w:hAnsi="Times New Roman" w:cs="Times New Roman"/>
          <w:sz w:val="24"/>
          <w:szCs w:val="24"/>
        </w:rPr>
        <w:t xml:space="preserve">Under its governing statue, the BSEA has the authority to provide: </w:t>
      </w:r>
    </w:p>
    <w:p w14:paraId="328CA962" w14:textId="531293B4" w:rsidR="00757351" w:rsidRDefault="00757351" w:rsidP="003F39F6">
      <w:pPr>
        <w:pStyle w:val="BlockText"/>
        <w:spacing w:line="240" w:lineRule="auto"/>
        <w:ind w:left="1440"/>
      </w:pPr>
      <w:r w:rsidRPr="00890DAE">
        <w:t xml:space="preserve">adjudicatory hearings, mediation and other forms of alternative dispute resolution </w:t>
      </w:r>
      <w:r w:rsidR="0055657D" w:rsidRPr="00890DAE">
        <w:t>. . .</w:t>
      </w:r>
      <w:r w:rsidRPr="00890DAE">
        <w:t xml:space="preserve"> for resolution of 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w:t>
      </w:r>
      <w:r w:rsidR="0019058E">
        <w:t>tions promulgated hereunder or under the Individuals with Disabilities Education Act, 20 U.S.C. section 1400, et seq., and its regulations; or (ii) a student’s rights under Section 504 of the Rehabilitation Act of 1983, 29 U.S.C. section 794, and its regulations.</w:t>
      </w:r>
      <w:r w:rsidR="0019058E">
        <w:rPr>
          <w:rStyle w:val="FootnoteReference"/>
        </w:rPr>
        <w:footnoteReference w:id="8"/>
      </w:r>
    </w:p>
    <w:p w14:paraId="6C602F45" w14:textId="1B0224EB" w:rsidR="00CA4DB3" w:rsidRPr="00CA4DB3" w:rsidRDefault="00890DAE" w:rsidP="0017654A">
      <w:pPr>
        <w:pStyle w:val="BlockText"/>
        <w:spacing w:line="240" w:lineRule="auto"/>
        <w:ind w:left="0" w:firstLine="720"/>
        <w:rPr>
          <w:color w:val="000000"/>
        </w:rPr>
      </w:pPr>
      <w:r>
        <w:t xml:space="preserve">The BSEA may “only grant relief that is authorized by these statutes and regulations, </w:t>
      </w:r>
      <w:r>
        <w:rPr>
          <w:color w:val="000000"/>
        </w:rPr>
        <w:t>which generally encompasses orders for changed or additional services, specific placements, additional evaluations, reimbursement for services obtained privately by parents or compensatory services."</w:t>
      </w:r>
      <w:r>
        <w:rPr>
          <w:rStyle w:val="FootnoteReference"/>
          <w:color w:val="000000"/>
        </w:rPr>
        <w:footnoteReference w:id="9"/>
      </w:r>
      <w:r w:rsidR="00CA4DB3">
        <w:rPr>
          <w:color w:val="000000"/>
        </w:rPr>
        <w:t xml:space="preserve"> </w:t>
      </w:r>
      <w:r w:rsidR="002E7C58">
        <w:rPr>
          <w:color w:val="000000"/>
        </w:rPr>
        <w:t xml:space="preserve"> </w:t>
      </w:r>
    </w:p>
    <w:p w14:paraId="42A37F17" w14:textId="0E0813E1" w:rsidR="00A94048" w:rsidRDefault="00A94048" w:rsidP="00A94048">
      <w:pPr>
        <w:pStyle w:val="BlockText"/>
        <w:spacing w:line="240" w:lineRule="auto"/>
        <w:ind w:left="0"/>
      </w:pPr>
      <w:r>
        <w:tab/>
      </w:r>
      <w:r>
        <w:tab/>
        <w:t>3.</w:t>
      </w:r>
      <w:r>
        <w:tab/>
      </w:r>
      <w:r>
        <w:rPr>
          <w:u w:val="single"/>
        </w:rPr>
        <w:t>Student Records</w:t>
      </w:r>
    </w:p>
    <w:p w14:paraId="187E8135" w14:textId="5F0F9E41" w:rsidR="007930CE" w:rsidRDefault="00A94048" w:rsidP="00A94048">
      <w:pPr>
        <w:pStyle w:val="BlockText"/>
        <w:spacing w:line="240" w:lineRule="auto"/>
        <w:ind w:left="0"/>
      </w:pPr>
      <w:r>
        <w:tab/>
      </w:r>
      <w:r w:rsidR="002670D8">
        <w:t>In their filings, b</w:t>
      </w:r>
      <w:r>
        <w:t xml:space="preserve">oth </w:t>
      </w:r>
      <w:r w:rsidR="002670D8">
        <w:t>p</w:t>
      </w:r>
      <w:r>
        <w:t>arties reference Massachusetts regulatory authority governing the maintenance, modification, destruction, etc. of student records and student records issues</w:t>
      </w:r>
      <w:r w:rsidR="002670D8">
        <w:t>, which appear in</w:t>
      </w:r>
      <w:r>
        <w:t xml:space="preserve"> 603 CMR 23.00 </w:t>
      </w:r>
      <w:r>
        <w:rPr>
          <w:i/>
          <w:iCs/>
        </w:rPr>
        <w:t>et seq</w:t>
      </w:r>
      <w:r>
        <w:t>.</w:t>
      </w:r>
      <w:r w:rsidR="002670D8">
        <w:t xml:space="preserve"> </w:t>
      </w:r>
      <w:r w:rsidR="00213A46">
        <w:t>The Massachusetts student records regulations apply to all “eligible students,” a term defined</w:t>
      </w:r>
      <w:r w:rsidR="0034208F">
        <w:t xml:space="preserve"> within the regulations</w:t>
      </w:r>
      <w:r w:rsidR="00213A46">
        <w:t>, in pertinent part, as “any student who is 14 years of age or older or who has entered 9</w:t>
      </w:r>
      <w:r w:rsidR="00213A46" w:rsidRPr="00213A46">
        <w:rPr>
          <w:vertAlign w:val="superscript"/>
        </w:rPr>
        <w:t>th</w:t>
      </w:r>
      <w:r w:rsidR="00213A46">
        <w:t xml:space="preserve"> grade.”</w:t>
      </w:r>
      <w:r w:rsidR="00213A46">
        <w:rPr>
          <w:rStyle w:val="FootnoteReference"/>
        </w:rPr>
        <w:footnoteReference w:id="10"/>
      </w:r>
      <w:r w:rsidR="00213A46">
        <w:t xml:space="preserve"> </w:t>
      </w:r>
      <w:r w:rsidR="002670D8">
        <w:t>Pursuant to t</w:t>
      </w:r>
      <w:r w:rsidR="00655248">
        <w:t>hese regulations</w:t>
      </w:r>
      <w:r w:rsidR="002670D8">
        <w:t>,</w:t>
      </w:r>
      <w:r w:rsidR="00655248">
        <w:t xml:space="preserve"> </w:t>
      </w:r>
      <w:r w:rsidR="002670D8">
        <w:t>m</w:t>
      </w:r>
      <w:r w:rsidR="00655248">
        <w:t>odifications, deletions, or amendments to student records are to be made in accordance with a specified procedure</w:t>
      </w:r>
      <w:r w:rsidR="004824D2">
        <w:t xml:space="preserve"> </w:t>
      </w:r>
      <w:r w:rsidR="00655248">
        <w:t xml:space="preserve">which permits families to make objections to these records by presenting the information in writing </w:t>
      </w:r>
      <w:r w:rsidR="00655248">
        <w:lastRenderedPageBreak/>
        <w:t>and/or through a conference with the principal or his/her designee.</w:t>
      </w:r>
      <w:r w:rsidR="00655248">
        <w:rPr>
          <w:rStyle w:val="FootnoteReference"/>
        </w:rPr>
        <w:footnoteReference w:id="11"/>
      </w:r>
      <w:r w:rsidR="004824D2">
        <w:t xml:space="preserve"> </w:t>
      </w:r>
      <w:r w:rsidR="007930CE">
        <w:t>Should eligible students or their parents wish to challenge the decision of the principal or his/her designee, they may appeal that decision to the superintendent of the school district</w:t>
      </w:r>
      <w:r w:rsidR="00AF6936">
        <w:t xml:space="preserve"> and, ultimately, to the school committee</w:t>
      </w:r>
      <w:r w:rsidR="007930CE">
        <w:t>.</w:t>
      </w:r>
      <w:r w:rsidR="00AF6936">
        <w:rPr>
          <w:rStyle w:val="FootnoteReference"/>
        </w:rPr>
        <w:footnoteReference w:id="12"/>
      </w:r>
      <w:r w:rsidR="007930CE">
        <w:t xml:space="preserve"> </w:t>
      </w:r>
    </w:p>
    <w:p w14:paraId="5C412E47" w14:textId="19456E8B" w:rsidR="00430F99" w:rsidRDefault="007930CE" w:rsidP="007930CE">
      <w:pPr>
        <w:pStyle w:val="BlockText"/>
        <w:spacing w:line="240" w:lineRule="auto"/>
        <w:ind w:left="0" w:firstLine="720"/>
      </w:pPr>
      <w:r>
        <w:t>These student record</w:t>
      </w:r>
      <w:r w:rsidR="00C24231">
        <w:t>s</w:t>
      </w:r>
      <w:r w:rsidR="004824D2">
        <w:t xml:space="preserve"> regulations specifically apply to high school transcripts.</w:t>
      </w:r>
      <w:r w:rsidR="004824D2" w:rsidRPr="004824D2">
        <w:rPr>
          <w:rStyle w:val="FootnoteReference"/>
        </w:rPr>
        <w:t xml:space="preserve"> </w:t>
      </w:r>
      <w:r w:rsidR="004824D2">
        <w:rPr>
          <w:rStyle w:val="FootnoteReference"/>
        </w:rPr>
        <w:footnoteReference w:id="13"/>
      </w:r>
      <w:r w:rsidR="00213A46">
        <w:t xml:space="preserve"> </w:t>
      </w:r>
      <w:r w:rsidR="00AF6936">
        <w:t>In addition to the procedures above, which allow eligible students or their parents to challenge the content of the transcript,</w:t>
      </w:r>
      <w:r>
        <w:t xml:space="preserve"> t</w:t>
      </w:r>
      <w:r w:rsidR="00213A46">
        <w:t>he</w:t>
      </w:r>
      <w:r w:rsidR="0034208F">
        <w:t xml:space="preserve"> regulations </w:t>
      </w:r>
      <w:r w:rsidR="00213A46">
        <w:t xml:space="preserve">provide for the maintenance and ultimate destruction of </w:t>
      </w:r>
      <w:r w:rsidR="00AF6936">
        <w:t>that</w:t>
      </w:r>
      <w:r w:rsidR="00213A46">
        <w:t xml:space="preserve"> transcript</w:t>
      </w:r>
      <w:r w:rsidR="00AF6936">
        <w:t>.</w:t>
      </w:r>
      <w:r w:rsidR="00AF6936">
        <w:rPr>
          <w:rStyle w:val="FootnoteReference"/>
        </w:rPr>
        <w:footnoteReference w:id="14"/>
      </w:r>
      <w:r w:rsidR="00AF6936">
        <w:t xml:space="preserve"> Among other things, the regulations </w:t>
      </w:r>
      <w:r w:rsidR="00213A46">
        <w:t xml:space="preserve">instruct </w:t>
      </w:r>
      <w:r w:rsidR="00430F99">
        <w:t>a principal or his/her designee to “periodically review and destroy misleading, outdated, or irrelevant information” in the temporary record of a student currently enrolled in the district, so long as eligible students and their parents are notified and given the opportunity to receive the information prior to its destruction.</w:t>
      </w:r>
      <w:r w:rsidR="00213A46">
        <w:rPr>
          <w:rStyle w:val="FootnoteReference"/>
        </w:rPr>
        <w:footnoteReference w:id="15"/>
      </w:r>
    </w:p>
    <w:p w14:paraId="511F1E13" w14:textId="6F7E3AF4" w:rsidR="00AF6936" w:rsidRDefault="00AF6936" w:rsidP="00AF6936">
      <w:pPr>
        <w:pStyle w:val="BlockText"/>
        <w:spacing w:line="240" w:lineRule="auto"/>
        <w:ind w:left="0" w:firstLine="720"/>
      </w:pPr>
      <w:r>
        <w:t>Finally, the Massachusetts student record</w:t>
      </w:r>
      <w:r w:rsidR="00C24231">
        <w:t>s</w:t>
      </w:r>
      <w:r>
        <w:t xml:space="preserve"> regulations specify that nothing within them “shall abridge or limit any right of an eligible student or parent to seek enforcement of 603 CMR 23.00 or the statutes regarding student records, in any court </w:t>
      </w:r>
      <w:r w:rsidR="0017654A">
        <w:t xml:space="preserve">or administrative </w:t>
      </w:r>
      <w:r>
        <w:t>agency of competent jurisdiction.”</w:t>
      </w:r>
      <w:r>
        <w:rPr>
          <w:rStyle w:val="FootnoteReference"/>
        </w:rPr>
        <w:footnoteReference w:id="16"/>
      </w:r>
    </w:p>
    <w:p w14:paraId="0088C561" w14:textId="15F2D9B4" w:rsidR="00AD663C" w:rsidRDefault="00213A46" w:rsidP="00A94048">
      <w:pPr>
        <w:pStyle w:val="BlockText"/>
        <w:spacing w:line="240" w:lineRule="auto"/>
        <w:ind w:left="0"/>
      </w:pPr>
      <w:r>
        <w:tab/>
        <w:t>Parents also cite to 20 USC § 1232(g)(a)(2) for the proposition that parents of a student who is</w:t>
      </w:r>
      <w:r w:rsidR="009B4FD3">
        <w:t xml:space="preserve"> attending,</w:t>
      </w:r>
      <w:r>
        <w:t xml:space="preserve"> or has </w:t>
      </w:r>
      <w:r w:rsidR="009B4FD3">
        <w:t>attended,</w:t>
      </w:r>
      <w:r>
        <w:t xml:space="preserve"> a </w:t>
      </w:r>
      <w:r w:rsidR="009B4FD3">
        <w:t>public school</w:t>
      </w:r>
      <w:r>
        <w:t xml:space="preserve"> may</w:t>
      </w:r>
      <w:r w:rsidR="00AD663C">
        <w:t xml:space="preserve"> </w:t>
      </w:r>
    </w:p>
    <w:p w14:paraId="3FAB7F1F" w14:textId="7E8124DC" w:rsidR="00213A46" w:rsidRDefault="00213A46" w:rsidP="00AD663C">
      <w:pPr>
        <w:pStyle w:val="BlockText"/>
        <w:spacing w:line="240" w:lineRule="auto"/>
        <w:ind w:left="1440"/>
      </w:pPr>
      <w:r>
        <w:t xml:space="preserve">challenge the content of such student’s education records, in order to insure that the records are not inaccurate, misleading, or otherwise in violation of the privacy rights of students, and to provide an opportunity for the correction or deletion of any such inaccurate, misleading, or </w:t>
      </w:r>
      <w:r w:rsidR="00AD663C">
        <w:t>otherwise in violation of the privacy rights of students, and to provide an opportunity for the correction or deletion of any such inaccurate, misleading or otherwise inappropriate data contained therein and to insert into such records a written explanation of the parents respecting the content of such records.</w:t>
      </w:r>
    </w:p>
    <w:p w14:paraId="716416D6" w14:textId="5683A97D" w:rsidR="00A94048" w:rsidRPr="00A94048" w:rsidRDefault="00AD663C" w:rsidP="00A94048">
      <w:pPr>
        <w:pStyle w:val="BlockText"/>
        <w:spacing w:line="240" w:lineRule="auto"/>
        <w:ind w:left="0"/>
      </w:pPr>
      <w:r>
        <w:t xml:space="preserve">This provision is part of the </w:t>
      </w:r>
      <w:r w:rsidR="00FE46DA">
        <w:t xml:space="preserve">federal </w:t>
      </w:r>
      <w:r>
        <w:t>Family Educational Rights and Privacy Act</w:t>
      </w:r>
      <w:r w:rsidR="00FE46DA">
        <w:t xml:space="preserve"> (FERPA).</w:t>
      </w:r>
      <w:r w:rsidR="00FE46DA">
        <w:rPr>
          <w:rStyle w:val="FootnoteReference"/>
        </w:rPr>
        <w:footnoteReference w:id="17"/>
      </w:r>
    </w:p>
    <w:p w14:paraId="49932F74" w14:textId="2A22BEA8" w:rsidR="00E07473" w:rsidRDefault="00945CD5" w:rsidP="003F39F6">
      <w:pPr>
        <w:spacing w:line="240" w:lineRule="auto"/>
        <w:rPr>
          <w:rFonts w:ascii="Times New Roman" w:hAnsi="Times New Roman" w:cs="Times New Roman"/>
          <w:sz w:val="24"/>
          <w:szCs w:val="24"/>
        </w:rPr>
      </w:pPr>
      <w:r>
        <w:rPr>
          <w:rFonts w:ascii="Times New Roman" w:hAnsi="Times New Roman" w:cs="Times New Roman"/>
          <w:sz w:val="24"/>
          <w:szCs w:val="24"/>
        </w:rPr>
        <w:tab/>
      </w:r>
      <w:r w:rsidR="00551EC3">
        <w:rPr>
          <w:rFonts w:ascii="Times New Roman" w:hAnsi="Times New Roman" w:cs="Times New Roman"/>
          <w:sz w:val="24"/>
          <w:szCs w:val="24"/>
        </w:rPr>
        <w:t>B.</w:t>
      </w:r>
      <w:r w:rsidR="00551EC3">
        <w:rPr>
          <w:rFonts w:ascii="Times New Roman" w:hAnsi="Times New Roman" w:cs="Times New Roman"/>
          <w:sz w:val="24"/>
          <w:szCs w:val="24"/>
        </w:rPr>
        <w:tab/>
      </w:r>
      <w:r w:rsidR="00551EC3" w:rsidRPr="00551EC3">
        <w:rPr>
          <w:rFonts w:ascii="Times New Roman" w:hAnsi="Times New Roman" w:cs="Times New Roman"/>
          <w:i/>
          <w:iCs/>
          <w:sz w:val="24"/>
          <w:szCs w:val="24"/>
        </w:rPr>
        <w:t>Analysis</w:t>
      </w:r>
      <w:r w:rsidR="00E07473">
        <w:rPr>
          <w:rFonts w:ascii="Times New Roman" w:hAnsi="Times New Roman" w:cs="Times New Roman"/>
          <w:sz w:val="24"/>
          <w:szCs w:val="24"/>
        </w:rPr>
        <w:t xml:space="preserve"> </w:t>
      </w:r>
    </w:p>
    <w:p w14:paraId="6BA4391B" w14:textId="77777777" w:rsidR="000836DD" w:rsidRDefault="00480530" w:rsidP="000836DD">
      <w:pPr>
        <w:spacing w:line="240" w:lineRule="auto"/>
        <w:ind w:firstLine="720"/>
        <w:rPr>
          <w:rFonts w:ascii="Times New Roman" w:hAnsi="Times New Roman" w:cs="Times New Roman"/>
          <w:sz w:val="24"/>
          <w:szCs w:val="24"/>
        </w:rPr>
      </w:pPr>
      <w:r>
        <w:rPr>
          <w:rFonts w:ascii="Times New Roman" w:hAnsi="Times New Roman" w:cs="Times New Roman"/>
          <w:sz w:val="24"/>
          <w:szCs w:val="24"/>
        </w:rPr>
        <w:t>Parents appear to conflate two unrelated sets of regulations</w:t>
      </w:r>
      <w:r w:rsidR="009B4FD3">
        <w:rPr>
          <w:rFonts w:ascii="Times New Roman" w:hAnsi="Times New Roman" w:cs="Times New Roman"/>
          <w:sz w:val="24"/>
          <w:szCs w:val="24"/>
        </w:rPr>
        <w:t xml:space="preserve"> and their accompanying procedures:</w:t>
      </w:r>
      <w:r>
        <w:rPr>
          <w:rFonts w:ascii="Times New Roman" w:hAnsi="Times New Roman" w:cs="Times New Roman"/>
          <w:sz w:val="24"/>
          <w:szCs w:val="24"/>
        </w:rPr>
        <w:t xml:space="preserve"> those governing special education</w:t>
      </w:r>
      <w:r w:rsidR="009C35FB">
        <w:rPr>
          <w:rFonts w:ascii="Times New Roman" w:hAnsi="Times New Roman" w:cs="Times New Roman"/>
          <w:sz w:val="24"/>
          <w:szCs w:val="24"/>
        </w:rPr>
        <w:t xml:space="preserve"> and the jurisdiction of the BSEA, which</w:t>
      </w:r>
      <w:r>
        <w:rPr>
          <w:rFonts w:ascii="Times New Roman" w:hAnsi="Times New Roman" w:cs="Times New Roman"/>
          <w:sz w:val="24"/>
          <w:szCs w:val="24"/>
        </w:rPr>
        <w:t xml:space="preserve"> appear</w:t>
      </w:r>
      <w:r w:rsidR="009B4FD3">
        <w:rPr>
          <w:rFonts w:ascii="Times New Roman" w:hAnsi="Times New Roman" w:cs="Times New Roman"/>
          <w:sz w:val="24"/>
          <w:szCs w:val="24"/>
        </w:rPr>
        <w:t xml:space="preserve"> </w:t>
      </w:r>
      <w:r>
        <w:rPr>
          <w:rFonts w:ascii="Times New Roman" w:hAnsi="Times New Roman" w:cs="Times New Roman"/>
          <w:sz w:val="24"/>
          <w:szCs w:val="24"/>
        </w:rPr>
        <w:t>within 603 CMR 2</w:t>
      </w:r>
      <w:r w:rsidR="00CA4DB3">
        <w:rPr>
          <w:rFonts w:ascii="Times New Roman" w:hAnsi="Times New Roman" w:cs="Times New Roman"/>
          <w:sz w:val="24"/>
          <w:szCs w:val="24"/>
        </w:rPr>
        <w:t xml:space="preserve">8.00 </w:t>
      </w:r>
      <w:r w:rsidR="00CA4DB3">
        <w:rPr>
          <w:rFonts w:ascii="Times New Roman" w:hAnsi="Times New Roman" w:cs="Times New Roman"/>
          <w:i/>
          <w:iCs/>
          <w:sz w:val="24"/>
          <w:szCs w:val="24"/>
        </w:rPr>
        <w:t>et seq</w:t>
      </w:r>
      <w:r w:rsidR="000836DD">
        <w:rPr>
          <w:rFonts w:ascii="Times New Roman" w:hAnsi="Times New Roman" w:cs="Times New Roman"/>
          <w:sz w:val="24"/>
          <w:szCs w:val="24"/>
        </w:rPr>
        <w:t>;</w:t>
      </w:r>
      <w:r>
        <w:rPr>
          <w:rFonts w:ascii="Times New Roman" w:hAnsi="Times New Roman" w:cs="Times New Roman"/>
          <w:sz w:val="24"/>
          <w:szCs w:val="24"/>
        </w:rPr>
        <w:t xml:space="preserve"> and those </w:t>
      </w:r>
      <w:r w:rsidR="009C35FB">
        <w:rPr>
          <w:rFonts w:ascii="Times New Roman" w:hAnsi="Times New Roman" w:cs="Times New Roman"/>
          <w:sz w:val="24"/>
          <w:szCs w:val="24"/>
        </w:rPr>
        <w:t>governing student records, which</w:t>
      </w:r>
      <w:r w:rsidR="00CA4DB3">
        <w:rPr>
          <w:rFonts w:ascii="Times New Roman" w:hAnsi="Times New Roman" w:cs="Times New Roman"/>
          <w:sz w:val="24"/>
          <w:szCs w:val="24"/>
        </w:rPr>
        <w:t xml:space="preserve"> appear within 603 </w:t>
      </w:r>
      <w:r w:rsidR="00CA4DB3">
        <w:rPr>
          <w:rFonts w:ascii="Times New Roman" w:hAnsi="Times New Roman" w:cs="Times New Roman"/>
          <w:sz w:val="24"/>
          <w:szCs w:val="24"/>
        </w:rPr>
        <w:lastRenderedPageBreak/>
        <w:t xml:space="preserve">CMR 23.00 </w:t>
      </w:r>
      <w:r w:rsidR="00CA4DB3">
        <w:rPr>
          <w:rFonts w:ascii="Times New Roman" w:hAnsi="Times New Roman" w:cs="Times New Roman"/>
          <w:i/>
          <w:iCs/>
          <w:sz w:val="24"/>
          <w:szCs w:val="24"/>
        </w:rPr>
        <w:t xml:space="preserve">et </w:t>
      </w:r>
      <w:r w:rsidR="00CA4DB3" w:rsidRPr="00CA4DB3">
        <w:rPr>
          <w:rFonts w:ascii="Times New Roman" w:hAnsi="Times New Roman" w:cs="Times New Roman"/>
          <w:i/>
          <w:iCs/>
          <w:sz w:val="24"/>
          <w:szCs w:val="24"/>
        </w:rPr>
        <w:t>seq</w:t>
      </w:r>
      <w:r w:rsidR="00CA4DB3">
        <w:rPr>
          <w:rFonts w:ascii="Times New Roman" w:hAnsi="Times New Roman" w:cs="Times New Roman"/>
          <w:sz w:val="24"/>
          <w:szCs w:val="24"/>
        </w:rPr>
        <w:t xml:space="preserve">, </w:t>
      </w:r>
      <w:r w:rsidR="009C35FB" w:rsidRPr="00CA4DB3">
        <w:rPr>
          <w:rFonts w:ascii="Times New Roman" w:hAnsi="Times New Roman" w:cs="Times New Roman"/>
          <w:sz w:val="24"/>
          <w:szCs w:val="24"/>
        </w:rPr>
        <w:t>are</w:t>
      </w:r>
      <w:r w:rsidR="009C35FB">
        <w:rPr>
          <w:rFonts w:ascii="Times New Roman" w:hAnsi="Times New Roman" w:cs="Times New Roman"/>
          <w:sz w:val="24"/>
          <w:szCs w:val="24"/>
        </w:rPr>
        <w:t xml:space="preserve"> generally applicable to all student</w:t>
      </w:r>
      <w:r w:rsidR="009B4FD3">
        <w:rPr>
          <w:rFonts w:ascii="Times New Roman" w:hAnsi="Times New Roman" w:cs="Times New Roman"/>
          <w:sz w:val="24"/>
          <w:szCs w:val="24"/>
        </w:rPr>
        <w:t>s</w:t>
      </w:r>
      <w:r w:rsidR="00CA4DB3">
        <w:rPr>
          <w:rFonts w:ascii="Times New Roman" w:hAnsi="Times New Roman" w:cs="Times New Roman"/>
          <w:sz w:val="24"/>
          <w:szCs w:val="24"/>
        </w:rPr>
        <w:t>,</w:t>
      </w:r>
      <w:r w:rsidR="009B4FD3">
        <w:rPr>
          <w:rFonts w:ascii="Times New Roman" w:hAnsi="Times New Roman" w:cs="Times New Roman"/>
          <w:sz w:val="24"/>
          <w:szCs w:val="24"/>
        </w:rPr>
        <w:t xml:space="preserve"> and contain their own proced</w:t>
      </w:r>
      <w:r w:rsidR="00CA4DB3">
        <w:rPr>
          <w:rFonts w:ascii="Times New Roman" w:hAnsi="Times New Roman" w:cs="Times New Roman"/>
          <w:sz w:val="24"/>
          <w:szCs w:val="24"/>
        </w:rPr>
        <w:t>ures for resolution of disputes.</w:t>
      </w:r>
      <w:r w:rsidR="000836DD">
        <w:rPr>
          <w:rFonts w:ascii="Times New Roman" w:hAnsi="Times New Roman" w:cs="Times New Roman"/>
          <w:sz w:val="24"/>
          <w:szCs w:val="24"/>
        </w:rPr>
        <w:t xml:space="preserve"> </w:t>
      </w:r>
    </w:p>
    <w:p w14:paraId="765B65AB" w14:textId="1552D584" w:rsidR="007930CE" w:rsidRDefault="000836DD" w:rsidP="000836DD">
      <w:pPr>
        <w:pStyle w:val="BlockText"/>
        <w:spacing w:line="240" w:lineRule="auto"/>
        <w:ind w:left="0" w:firstLine="720"/>
      </w:pPr>
      <w:r>
        <w:t>Viewing the factual allegations in the light most favorable to Parents,</w:t>
      </w:r>
      <w:r w:rsidR="00C24231">
        <w:t xml:space="preserve"> I find that</w:t>
      </w:r>
      <w:r>
        <w:t xml:space="preserve"> during the relevant time</w:t>
      </w:r>
      <w:r w:rsidR="00005546">
        <w:t>,</w:t>
      </w:r>
      <w:r>
        <w:t xml:space="preserve"> Bobby was an “eligible student,” as defined within both special education and student records regulations. </w:t>
      </w:r>
      <w:r w:rsidR="0022096D">
        <w:t>Because he was a</w:t>
      </w:r>
      <w:r w:rsidR="00AF6936">
        <w:t xml:space="preserve"> high school student, </w:t>
      </w:r>
      <w:r w:rsidR="007930CE">
        <w:t>Bobby</w:t>
      </w:r>
      <w:r w:rsidR="00F736FC">
        <w:t xml:space="preserve"> </w:t>
      </w:r>
      <w:r w:rsidR="0022096D">
        <w:t>could (as could Parents)</w:t>
      </w:r>
      <w:r w:rsidR="00F736FC">
        <w:t xml:space="preserve"> </w:t>
      </w:r>
      <w:r w:rsidR="007930CE">
        <w:t>object to the content of his student record and request, among other things, that it be “corrected</w:t>
      </w:r>
      <w:r w:rsidR="00AF6936">
        <w:t>.</w:t>
      </w:r>
      <w:r w:rsidR="007930CE">
        <w:t>”</w:t>
      </w:r>
      <w:r w:rsidR="007930CE">
        <w:rPr>
          <w:rStyle w:val="FootnoteReference"/>
        </w:rPr>
        <w:footnoteReference w:id="18"/>
      </w:r>
      <w:r w:rsidR="00AF6936">
        <w:t xml:space="preserve"> </w:t>
      </w:r>
      <w:r w:rsidR="00C24231">
        <w:t>Bobby and his parents</w:t>
      </w:r>
      <w:r w:rsidR="00AF6936">
        <w:t xml:space="preserve"> could file written information in support of their position and/or </w:t>
      </w:r>
      <w:r w:rsidR="00F736FC">
        <w:t>present that information in a conference with the principal or his</w:t>
      </w:r>
      <w:r w:rsidR="00FB266D">
        <w:t>/her</w:t>
      </w:r>
      <w:r w:rsidR="00F736FC">
        <w:t xml:space="preserve"> designee.</w:t>
      </w:r>
      <w:r w:rsidR="00F736FC">
        <w:rPr>
          <w:rStyle w:val="FootnoteReference"/>
        </w:rPr>
        <w:footnoteReference w:id="19"/>
      </w:r>
      <w:r w:rsidR="00F736FC">
        <w:t xml:space="preserve"> In the event they were unsatisfied with the results of this process,</w:t>
      </w:r>
      <w:r w:rsidR="00C24231">
        <w:t xml:space="preserve"> they </w:t>
      </w:r>
      <w:r w:rsidR="00F736FC">
        <w:t>could appeal to the superintendent, then to the school committee, and, ultimately, to a court or administrative agency of competent jurisdiction.</w:t>
      </w:r>
      <w:r w:rsidR="00F736FC">
        <w:rPr>
          <w:rStyle w:val="FootnoteReference"/>
        </w:rPr>
        <w:footnoteReference w:id="20"/>
      </w:r>
      <w:r w:rsidR="0034208F">
        <w:t xml:space="preserve"> As a public school district receiving federal funds, Hingham must also comply with the provisions of FERPA, outlined above.</w:t>
      </w:r>
    </w:p>
    <w:p w14:paraId="2EC915FE" w14:textId="7E77666E" w:rsidR="0022096D" w:rsidRDefault="000836DD" w:rsidP="0022096D">
      <w:pPr>
        <w:pStyle w:val="BlockText"/>
        <w:spacing w:line="240" w:lineRule="auto"/>
        <w:ind w:left="0" w:firstLine="720"/>
      </w:pPr>
      <w:r>
        <w:t>As a</w:t>
      </w:r>
      <w:r w:rsidR="00003ABD">
        <w:t xml:space="preserve"> high school sophomore</w:t>
      </w:r>
      <w:r w:rsidR="00F736FC">
        <w:t xml:space="preserve"> who has been found eligible for special education and related services, Bobby is</w:t>
      </w:r>
      <w:r w:rsidR="002E7C58">
        <w:t xml:space="preserve"> also</w:t>
      </w:r>
      <w:r w:rsidR="00F736FC">
        <w:t xml:space="preserve"> entitled to the </w:t>
      </w:r>
      <w:r w:rsidR="007930CE">
        <w:t>procedural and substantive protections of the IDEA</w:t>
      </w:r>
      <w:r w:rsidR="0022096D">
        <w:t xml:space="preserve"> </w:t>
      </w:r>
      <w:r w:rsidR="007930CE">
        <w:t xml:space="preserve">and state special education law. </w:t>
      </w:r>
      <w:r w:rsidR="0022096D">
        <w:t xml:space="preserve">His identity as a student with a disability does not, however, </w:t>
      </w:r>
      <w:r w:rsidR="002E7C58">
        <w:t xml:space="preserve">confer upon </w:t>
      </w:r>
      <w:r w:rsidR="0022096D">
        <w:t>the BSEA jurisdiction over all issues related to his education.</w:t>
      </w:r>
      <w:r w:rsidR="0022096D">
        <w:rPr>
          <w:rStyle w:val="FootnoteReference"/>
        </w:rPr>
        <w:footnoteReference w:id="21"/>
      </w:r>
      <w:r w:rsidR="0022096D">
        <w:t xml:space="preserve"> As described above, Parents may seek a hearing at the BSEA on any matter relating to Bobby’s eligibility, evaluation, education program or educational placement; the provision of a free and appropriate public education (FAPE) to Bobby; or</w:t>
      </w:r>
      <w:r w:rsidR="00140178">
        <w:t xml:space="preserve"> the procedural protection of state and federal law for students with disabilities.</w:t>
      </w:r>
      <w:r w:rsidR="0022096D" w:rsidRPr="00890DAE">
        <w:rPr>
          <w:rStyle w:val="FootnoteReference"/>
        </w:rPr>
        <w:footnoteReference w:id="22"/>
      </w:r>
    </w:p>
    <w:p w14:paraId="3B4F0117" w14:textId="54AB10DE" w:rsidR="00644AF1" w:rsidRDefault="00140178" w:rsidP="0022096D">
      <w:pPr>
        <w:pStyle w:val="BlockText"/>
        <w:spacing w:line="240" w:lineRule="auto"/>
        <w:ind w:left="0" w:firstLine="720"/>
      </w:pPr>
      <w:r>
        <w:t xml:space="preserve">Here, Parents </w:t>
      </w:r>
      <w:r w:rsidR="0034208F">
        <w:t>allege</w:t>
      </w:r>
      <w:r>
        <w:t xml:space="preserve"> that Bobby was denied the opportunity to choose credit/no credit grades for his sophomore year, a</w:t>
      </w:r>
      <w:r w:rsidR="00FB266D">
        <w:t>n opportunity offered to all other students at Hingham High School that school year</w:t>
      </w:r>
      <w:r>
        <w:t xml:space="preserve">. They do not challenge </w:t>
      </w:r>
      <w:r w:rsidR="00FB266D">
        <w:t>Bobby’s</w:t>
      </w:r>
      <w:r>
        <w:t xml:space="preserve"> IEP</w:t>
      </w:r>
      <w:r w:rsidR="0034208F">
        <w:t>,</w:t>
      </w:r>
      <w:r>
        <w:t xml:space="preserve"> </w:t>
      </w:r>
      <w:r w:rsidR="0034208F">
        <w:t xml:space="preserve">nor do they contend </w:t>
      </w:r>
      <w:r>
        <w:t>that he was denied a FAPE</w:t>
      </w:r>
      <w:r w:rsidR="00FB0F8A">
        <w:t xml:space="preserve">. </w:t>
      </w:r>
      <w:r w:rsidR="0034208F">
        <w:t>Parents</w:t>
      </w:r>
      <w:r w:rsidR="00FB0F8A">
        <w:t xml:space="preserve"> do </w:t>
      </w:r>
      <w:r w:rsidR="0034208F">
        <w:t>not</w:t>
      </w:r>
      <w:r w:rsidR="00FB0F8A">
        <w:t xml:space="preserve"> identify a procedural protection </w:t>
      </w:r>
      <w:r w:rsidR="0034208F">
        <w:t xml:space="preserve">applicable to students with disabilities that </w:t>
      </w:r>
      <w:r w:rsidR="00FB0F8A">
        <w:t xml:space="preserve">Bobby was denied, much less argue that any such procedural inadequacies constituted a violation of </w:t>
      </w:r>
      <w:r w:rsidR="00FB266D">
        <w:t>hi</w:t>
      </w:r>
      <w:r w:rsidR="00FB0F8A">
        <w:t>s right to a FAPE.</w:t>
      </w:r>
      <w:r w:rsidR="00FB0F8A">
        <w:rPr>
          <w:rStyle w:val="FootnoteReference"/>
        </w:rPr>
        <w:footnoteReference w:id="23"/>
      </w:r>
      <w:r w:rsidR="00FB0F8A">
        <w:t xml:space="preserve"> Access to a particular form of grading (i.e. credit/no credit) is not a procedural protection guaranteed by state or federal </w:t>
      </w:r>
      <w:r w:rsidR="00C24231">
        <w:t xml:space="preserve">special </w:t>
      </w:r>
      <w:r w:rsidR="00FB0F8A">
        <w:t xml:space="preserve">education law. </w:t>
      </w:r>
    </w:p>
    <w:p w14:paraId="1ECB8359" w14:textId="11CA0B2A" w:rsidR="000836DD" w:rsidRDefault="00644AF1" w:rsidP="00CE76FB">
      <w:pPr>
        <w:pStyle w:val="BlockText"/>
        <w:spacing w:line="240" w:lineRule="auto"/>
        <w:ind w:left="0" w:firstLine="720"/>
      </w:pPr>
      <w:r>
        <w:t xml:space="preserve">As such, even taking as true Parents’ allegations that Bobby was </w:t>
      </w:r>
      <w:r w:rsidR="0034208F">
        <w:t xml:space="preserve">denied the </w:t>
      </w:r>
      <w:r>
        <w:t>option to elect a credit/no credit grading system during his sophomore year</w:t>
      </w:r>
      <w:r w:rsidR="002E7C58">
        <w:t>,</w:t>
      </w:r>
      <w:r>
        <w:t xml:space="preserve"> and that this impacted him negatively, and drawing all reasonable inferences therefrom, I conclude that I cannot grant the relief Parents seek – an order that Hingham “correct” Bobby’s transcript. Parents’ claims are not within the jurisdiction of the BSEA, though nothing in </w:t>
      </w:r>
      <w:r>
        <w:lastRenderedPageBreak/>
        <w:t>this Ruling prevents them from seeking “correction” of Bobby’s transcript through the procedures outlined in the student records regulations, discussed above.</w:t>
      </w:r>
    </w:p>
    <w:p w14:paraId="239BBA70" w14:textId="5FA3CEBD" w:rsidR="00583741" w:rsidRPr="00CA1136" w:rsidRDefault="00583741" w:rsidP="009C35FB">
      <w:pPr>
        <w:spacing w:line="240" w:lineRule="auto"/>
        <w:rPr>
          <w:rFonts w:ascii="Times New Roman" w:hAnsi="Times New Roman" w:cs="Times New Roman"/>
          <w:sz w:val="24"/>
          <w:szCs w:val="24"/>
        </w:rPr>
      </w:pPr>
    </w:p>
    <w:p w14:paraId="6627ECC0" w14:textId="767E453C" w:rsidR="00B44917" w:rsidRPr="00F6151A" w:rsidRDefault="00152824" w:rsidP="00D36895">
      <w:pPr>
        <w:rPr>
          <w:rFonts w:ascii="Times New Roman" w:hAnsi="Times New Roman" w:cs="Times New Roman"/>
          <w:sz w:val="24"/>
          <w:szCs w:val="24"/>
          <w:u w:val="single"/>
          <w:shd w:val="clear" w:color="auto" w:fill="FFFFFF"/>
        </w:rPr>
      </w:pPr>
      <w:r w:rsidRPr="00F6151A">
        <w:rPr>
          <w:rFonts w:ascii="Times New Roman" w:hAnsi="Times New Roman" w:cs="Times New Roman"/>
          <w:sz w:val="24"/>
          <w:szCs w:val="24"/>
          <w:u w:val="single"/>
          <w:shd w:val="clear" w:color="auto" w:fill="FFFFFF"/>
        </w:rPr>
        <w:t>CONCLUSION</w:t>
      </w:r>
      <w:r w:rsidR="00FD4BD0">
        <w:rPr>
          <w:rFonts w:ascii="Times New Roman" w:hAnsi="Times New Roman" w:cs="Times New Roman"/>
          <w:sz w:val="24"/>
          <w:szCs w:val="24"/>
          <w:u w:val="single"/>
          <w:shd w:val="clear" w:color="auto" w:fill="FFFFFF"/>
        </w:rPr>
        <w:t xml:space="preserve"> </w:t>
      </w:r>
    </w:p>
    <w:p w14:paraId="56E9E573" w14:textId="174E6F6C" w:rsidR="00DF3D2A" w:rsidRDefault="00903587" w:rsidP="00CE76FB">
      <w:pPr>
        <w:spacing w:after="0" w:line="240" w:lineRule="auto"/>
        <w:ind w:firstLine="720"/>
        <w:rPr>
          <w:rFonts w:ascii="Times New Roman" w:hAnsi="Times New Roman" w:cs="Times New Roman"/>
          <w:sz w:val="24"/>
          <w:szCs w:val="24"/>
        </w:rPr>
      </w:pPr>
      <w:r w:rsidRPr="00580818">
        <w:rPr>
          <w:rFonts w:ascii="Times New Roman" w:hAnsi="Times New Roman" w:cs="Times New Roman"/>
          <w:sz w:val="24"/>
          <w:szCs w:val="24"/>
        </w:rPr>
        <w:t xml:space="preserve">Upon consideration of </w:t>
      </w:r>
      <w:r w:rsidR="00CE76FB">
        <w:rPr>
          <w:rFonts w:ascii="Times New Roman" w:hAnsi="Times New Roman" w:cs="Times New Roman"/>
          <w:sz w:val="24"/>
          <w:szCs w:val="24"/>
        </w:rPr>
        <w:t xml:space="preserve">Parents’ </w:t>
      </w:r>
      <w:r w:rsidR="00B448B9" w:rsidRPr="00B448B9">
        <w:rPr>
          <w:rFonts w:ascii="Times New Roman" w:hAnsi="Times New Roman" w:cs="Times New Roman"/>
          <w:i/>
          <w:iCs/>
          <w:sz w:val="24"/>
          <w:szCs w:val="24"/>
        </w:rPr>
        <w:t>Hearing Request</w:t>
      </w:r>
      <w:r w:rsidR="00B448B9">
        <w:rPr>
          <w:rFonts w:ascii="Times New Roman" w:hAnsi="Times New Roman" w:cs="Times New Roman"/>
          <w:sz w:val="24"/>
          <w:szCs w:val="24"/>
        </w:rPr>
        <w:t xml:space="preserve">, </w:t>
      </w:r>
      <w:r w:rsidR="00CE76FB">
        <w:rPr>
          <w:rFonts w:ascii="Times New Roman" w:hAnsi="Times New Roman" w:cs="Times New Roman"/>
          <w:sz w:val="24"/>
          <w:szCs w:val="24"/>
        </w:rPr>
        <w:t xml:space="preserve">Hingham’s </w:t>
      </w:r>
      <w:r w:rsidR="00CE76FB">
        <w:rPr>
          <w:rFonts w:ascii="Times New Roman" w:hAnsi="Times New Roman" w:cs="Times New Roman"/>
          <w:i/>
          <w:iCs/>
          <w:sz w:val="24"/>
          <w:szCs w:val="24"/>
        </w:rPr>
        <w:t>Motion to Dismiss</w:t>
      </w:r>
      <w:r w:rsidR="00CE76FB">
        <w:rPr>
          <w:rFonts w:ascii="Times New Roman" w:hAnsi="Times New Roman" w:cs="Times New Roman"/>
          <w:sz w:val="24"/>
          <w:szCs w:val="24"/>
        </w:rPr>
        <w:t xml:space="preserve">, Parents’ </w:t>
      </w:r>
      <w:r w:rsidR="00CE76FB">
        <w:rPr>
          <w:rFonts w:ascii="Times New Roman" w:hAnsi="Times New Roman" w:cs="Times New Roman"/>
          <w:i/>
          <w:iCs/>
          <w:sz w:val="24"/>
          <w:szCs w:val="24"/>
        </w:rPr>
        <w:t xml:space="preserve">Opposition </w:t>
      </w:r>
      <w:r w:rsidR="00CE76FB">
        <w:rPr>
          <w:rFonts w:ascii="Times New Roman" w:hAnsi="Times New Roman" w:cs="Times New Roman"/>
          <w:sz w:val="24"/>
          <w:szCs w:val="24"/>
        </w:rPr>
        <w:t xml:space="preserve">thereto, Parents’ </w:t>
      </w:r>
      <w:r w:rsidR="00CE76FB">
        <w:rPr>
          <w:rFonts w:ascii="Times New Roman" w:hAnsi="Times New Roman" w:cs="Times New Roman"/>
          <w:i/>
          <w:iCs/>
          <w:sz w:val="24"/>
          <w:szCs w:val="24"/>
        </w:rPr>
        <w:t>Supplemental Memorandum</w:t>
      </w:r>
      <w:r w:rsidR="00CE76FB">
        <w:rPr>
          <w:rFonts w:ascii="Times New Roman" w:hAnsi="Times New Roman" w:cs="Times New Roman"/>
          <w:sz w:val="24"/>
          <w:szCs w:val="24"/>
        </w:rPr>
        <w:t xml:space="preserve"> and Hingham’s </w:t>
      </w:r>
      <w:r w:rsidR="00CE76FB">
        <w:rPr>
          <w:rFonts w:ascii="Times New Roman" w:hAnsi="Times New Roman" w:cs="Times New Roman"/>
          <w:i/>
          <w:iCs/>
          <w:sz w:val="24"/>
          <w:szCs w:val="24"/>
        </w:rPr>
        <w:t xml:space="preserve">Response </w:t>
      </w:r>
      <w:r w:rsidR="00CE76FB">
        <w:rPr>
          <w:rFonts w:ascii="Times New Roman" w:hAnsi="Times New Roman" w:cs="Times New Roman"/>
          <w:sz w:val="24"/>
          <w:szCs w:val="24"/>
        </w:rPr>
        <w:t>thereto, I find that Parents have failed to state a claim for which relief may be granted, and dismissal is warranted.</w:t>
      </w:r>
      <w:r w:rsidR="00CE76FB">
        <w:rPr>
          <w:rStyle w:val="FootnoteReference"/>
          <w:rFonts w:ascii="Times New Roman" w:eastAsia="Century Schoolbook" w:hAnsi="Times New Roman" w:cs="Times New Roman"/>
          <w:color w:val="000000"/>
          <w:sz w:val="24"/>
          <w:szCs w:val="24"/>
        </w:rPr>
        <w:footnoteReference w:id="24"/>
      </w:r>
      <w:r w:rsidR="00CE76FB">
        <w:rPr>
          <w:rFonts w:ascii="Times New Roman" w:hAnsi="Times New Roman" w:cs="Times New Roman"/>
          <w:i/>
          <w:iCs/>
          <w:sz w:val="24"/>
          <w:szCs w:val="24"/>
        </w:rPr>
        <w:t xml:space="preserve"> </w:t>
      </w:r>
    </w:p>
    <w:p w14:paraId="37153B41" w14:textId="77777777" w:rsidR="00CE76FB" w:rsidRDefault="00CE76FB" w:rsidP="00CE76FB">
      <w:pPr>
        <w:spacing w:after="0" w:line="240" w:lineRule="auto"/>
        <w:ind w:firstLine="720"/>
        <w:rPr>
          <w:rFonts w:ascii="Times New Roman" w:hAnsi="Times New Roman" w:cs="Times New Roman"/>
          <w:sz w:val="24"/>
          <w:szCs w:val="24"/>
        </w:rPr>
      </w:pPr>
    </w:p>
    <w:p w14:paraId="3CEE479E" w14:textId="77777777" w:rsidR="001371AB" w:rsidRPr="00580818" w:rsidRDefault="001371AB" w:rsidP="00D36895">
      <w:pPr>
        <w:spacing w:after="0"/>
        <w:ind w:firstLine="720"/>
        <w:rPr>
          <w:rFonts w:ascii="Times New Roman" w:hAnsi="Times New Roman" w:cs="Times New Roman"/>
          <w:sz w:val="24"/>
          <w:szCs w:val="24"/>
        </w:rPr>
      </w:pPr>
    </w:p>
    <w:p w14:paraId="13429DCA" w14:textId="2FA391DD" w:rsidR="008D17DB" w:rsidRPr="00580818" w:rsidRDefault="005E427D" w:rsidP="00D36895">
      <w:pPr>
        <w:rPr>
          <w:rFonts w:ascii="Times New Roman" w:hAnsi="Times New Roman" w:cs="Times New Roman"/>
          <w:b/>
          <w:sz w:val="24"/>
          <w:szCs w:val="24"/>
        </w:rPr>
      </w:pPr>
      <w:r w:rsidRPr="00580818">
        <w:rPr>
          <w:rFonts w:ascii="Times New Roman" w:hAnsi="Times New Roman" w:cs="Times New Roman"/>
          <w:b/>
          <w:sz w:val="24"/>
          <w:szCs w:val="24"/>
        </w:rPr>
        <w:t>ORDER</w:t>
      </w:r>
    </w:p>
    <w:p w14:paraId="5329B7BC" w14:textId="525739CE" w:rsidR="005E0E20" w:rsidRPr="00CE76FB" w:rsidRDefault="00CE76FB" w:rsidP="00CE76FB">
      <w:pPr>
        <w:rPr>
          <w:rFonts w:ascii="Times New Roman" w:hAnsi="Times New Roman" w:cs="Times New Roman"/>
          <w:sz w:val="24"/>
          <w:szCs w:val="24"/>
        </w:rPr>
      </w:pPr>
      <w:r>
        <w:rPr>
          <w:rFonts w:ascii="Times New Roman" w:hAnsi="Times New Roman" w:cs="Times New Roman"/>
          <w:sz w:val="24"/>
          <w:szCs w:val="24"/>
        </w:rPr>
        <w:tab/>
        <w:t xml:space="preserve">Hingham’s </w:t>
      </w:r>
      <w:r>
        <w:rPr>
          <w:rFonts w:ascii="Times New Roman" w:hAnsi="Times New Roman" w:cs="Times New Roman"/>
          <w:i/>
          <w:iCs/>
          <w:sz w:val="24"/>
          <w:szCs w:val="24"/>
        </w:rPr>
        <w:t>Motion to Dismiss</w:t>
      </w:r>
      <w:r>
        <w:rPr>
          <w:rFonts w:ascii="Times New Roman" w:hAnsi="Times New Roman" w:cs="Times New Roman"/>
          <w:sz w:val="24"/>
          <w:szCs w:val="24"/>
        </w:rPr>
        <w:t xml:space="preserve"> is hereby ALLOWED. The Hearing scheduled to begin August 18, 2023 is cancelled.</w:t>
      </w:r>
    </w:p>
    <w:p w14:paraId="25406643" w14:textId="77777777" w:rsidR="00B44917" w:rsidRPr="00AE024F" w:rsidRDefault="00B44917" w:rsidP="00B44917">
      <w:pPr>
        <w:ind w:firstLine="720"/>
        <w:rPr>
          <w:rFonts w:ascii="Times New Roman" w:hAnsi="Times New Roman" w:cs="Times New Roman"/>
          <w:sz w:val="24"/>
          <w:szCs w:val="24"/>
        </w:rPr>
      </w:pPr>
    </w:p>
    <w:p w14:paraId="10F2C0B0" w14:textId="429D11C1" w:rsidR="00946871" w:rsidRDefault="00946871" w:rsidP="00946871">
      <w:pPr>
        <w:rPr>
          <w:rFonts w:ascii="Times New Roman" w:hAnsi="Times New Roman" w:cs="Times New Roman"/>
          <w:sz w:val="24"/>
          <w:szCs w:val="24"/>
        </w:rPr>
      </w:pPr>
      <w:r w:rsidRPr="002C7E68">
        <w:rPr>
          <w:rFonts w:ascii="Times New Roman" w:hAnsi="Times New Roman" w:cs="Times New Roman"/>
          <w:sz w:val="24"/>
          <w:szCs w:val="24"/>
        </w:rPr>
        <w:t>By the Hearing Officer:</w:t>
      </w:r>
    </w:p>
    <w:p w14:paraId="4BD6DAFB" w14:textId="77777777" w:rsidR="00946871" w:rsidRDefault="00946871" w:rsidP="00946871">
      <w:pPr>
        <w:spacing w:after="0"/>
        <w:rPr>
          <w:rFonts w:ascii="Freestyle Script" w:hAnsi="Freestyle Script" w:cs="Times New Roman"/>
          <w:sz w:val="32"/>
          <w:szCs w:val="32"/>
          <w:u w:val="single"/>
        </w:rPr>
      </w:pPr>
      <w:r w:rsidRPr="004D7025">
        <w:rPr>
          <w:rFonts w:ascii="Times New Roman" w:hAnsi="Times New Roman" w:cs="Times New Roman"/>
          <w:sz w:val="24"/>
          <w:szCs w:val="24"/>
          <w:u w:val="single"/>
        </w:rPr>
        <w:t xml:space="preserve">   /s/</w:t>
      </w:r>
      <w:r w:rsidRPr="004D7025">
        <w:rPr>
          <w:rFonts w:ascii="Freestyle Script" w:hAnsi="Freestyle Script" w:cs="Times New Roman"/>
          <w:sz w:val="32"/>
          <w:szCs w:val="32"/>
          <w:u w:val="single"/>
        </w:rPr>
        <w:t xml:space="preserve"> Amy Reichbach    </w:t>
      </w:r>
    </w:p>
    <w:p w14:paraId="06EA1F94" w14:textId="77777777" w:rsidR="00946871" w:rsidRDefault="00946871" w:rsidP="00946871">
      <w:pPr>
        <w:spacing w:after="0" w:line="240" w:lineRule="auto"/>
        <w:rPr>
          <w:rFonts w:ascii="Freestyle Script" w:hAnsi="Freestyle Script" w:cs="Times New Roman"/>
          <w:sz w:val="32"/>
          <w:szCs w:val="32"/>
          <w:u w:val="single"/>
        </w:rPr>
      </w:pPr>
      <w:r w:rsidRPr="002C7E68">
        <w:rPr>
          <w:rFonts w:ascii="Times New Roman" w:hAnsi="Times New Roman" w:cs="Times New Roman"/>
          <w:sz w:val="24"/>
          <w:szCs w:val="24"/>
        </w:rPr>
        <w:t>Amy M. Reichbach</w:t>
      </w:r>
    </w:p>
    <w:p w14:paraId="041F6450" w14:textId="470C5861" w:rsidR="002754FA" w:rsidRDefault="00946871" w:rsidP="00637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CE76FB">
        <w:rPr>
          <w:rFonts w:ascii="Times New Roman" w:hAnsi="Times New Roman" w:cs="Times New Roman"/>
          <w:sz w:val="24"/>
          <w:szCs w:val="24"/>
        </w:rPr>
        <w:t>July 1</w:t>
      </w:r>
      <w:r w:rsidR="003F7AA0">
        <w:rPr>
          <w:rFonts w:ascii="Times New Roman" w:hAnsi="Times New Roman" w:cs="Times New Roman"/>
          <w:sz w:val="24"/>
          <w:szCs w:val="24"/>
        </w:rPr>
        <w:t>2</w:t>
      </w:r>
      <w:r w:rsidR="00CE76FB">
        <w:rPr>
          <w:rFonts w:ascii="Times New Roman" w:hAnsi="Times New Roman" w:cs="Times New Roman"/>
          <w:sz w:val="24"/>
          <w:szCs w:val="24"/>
        </w:rPr>
        <w:t>, 2023</w:t>
      </w:r>
    </w:p>
    <w:p w14:paraId="2CC775C9" w14:textId="7AFE7A61" w:rsidR="009676DB" w:rsidRDefault="009676DB" w:rsidP="006371AC">
      <w:pPr>
        <w:spacing w:after="0" w:line="240" w:lineRule="auto"/>
        <w:rPr>
          <w:rFonts w:ascii="Times New Roman" w:hAnsi="Times New Roman" w:cs="Times New Roman"/>
          <w:sz w:val="24"/>
          <w:szCs w:val="24"/>
        </w:rPr>
      </w:pPr>
    </w:p>
    <w:p w14:paraId="632E5FD3" w14:textId="6802CB1C" w:rsidR="003F7AA0" w:rsidRDefault="003F7AA0">
      <w:pPr>
        <w:rPr>
          <w:rFonts w:ascii="Times New Roman" w:hAnsi="Times New Roman" w:cs="Times New Roman"/>
          <w:i/>
          <w:iCs/>
          <w:sz w:val="32"/>
          <w:szCs w:val="32"/>
        </w:rPr>
      </w:pPr>
      <w:r>
        <w:rPr>
          <w:rFonts w:ascii="Times New Roman" w:hAnsi="Times New Roman" w:cs="Times New Roman"/>
          <w:i/>
          <w:iCs/>
          <w:sz w:val="32"/>
          <w:szCs w:val="32"/>
        </w:rPr>
        <w:br w:type="page"/>
      </w:r>
    </w:p>
    <w:p w14:paraId="241E6074" w14:textId="77777777" w:rsidR="003F7AA0" w:rsidRPr="003F7AA0" w:rsidRDefault="003F7AA0" w:rsidP="003F7AA0">
      <w:pPr>
        <w:spacing w:after="0" w:line="259" w:lineRule="auto"/>
        <w:jc w:val="center"/>
        <w:rPr>
          <w:rFonts w:ascii="Times New Roman" w:hAnsi="Times New Roman" w:cs="Times New Roman"/>
          <w:sz w:val="24"/>
          <w:szCs w:val="24"/>
        </w:rPr>
      </w:pPr>
      <w:r w:rsidRPr="00F51A16">
        <w:rPr>
          <w:noProof/>
          <w:szCs w:val="24"/>
        </w:rPr>
        <w:lastRenderedPageBreak/>
        <w:drawing>
          <wp:inline distT="0" distB="0" distL="0" distR="0" wp14:anchorId="0FA1DF54" wp14:editId="50014A71">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3F7AA0">
        <w:rPr>
          <w:rFonts w:ascii="Times New Roman" w:hAnsi="Times New Roman" w:cs="Times New Roman"/>
          <w:sz w:val="24"/>
          <w:szCs w:val="24"/>
        </w:rPr>
        <w:t>COMMONWEALTH OF MASSACHUSETTS</w:t>
      </w:r>
    </w:p>
    <w:p w14:paraId="3C66F731" w14:textId="77777777" w:rsidR="003F7AA0" w:rsidRPr="003F7AA0" w:rsidRDefault="003F7AA0" w:rsidP="003F7AA0">
      <w:pPr>
        <w:spacing w:after="591" w:line="259" w:lineRule="auto"/>
        <w:ind w:right="250"/>
        <w:jc w:val="center"/>
        <w:rPr>
          <w:rFonts w:ascii="Times New Roman" w:hAnsi="Times New Roman" w:cs="Times New Roman"/>
          <w:sz w:val="24"/>
          <w:szCs w:val="24"/>
        </w:rPr>
      </w:pPr>
      <w:r w:rsidRPr="003F7AA0">
        <w:rPr>
          <w:rFonts w:ascii="Times New Roman" w:hAnsi="Times New Roman" w:cs="Times New Roman"/>
          <w:noProof/>
          <w:sz w:val="24"/>
          <w:szCs w:val="24"/>
        </w:rPr>
        <w:drawing>
          <wp:inline distT="0" distB="0" distL="0" distR="0" wp14:anchorId="5C91C257" wp14:editId="5ED97605">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3F7AA0">
        <w:rPr>
          <w:rFonts w:ascii="Times New Roman" w:hAnsi="Times New Roman" w:cs="Times New Roman"/>
          <w:sz w:val="24"/>
          <w:szCs w:val="24"/>
        </w:rPr>
        <w:t>BUREAU OF SPECIAL EDUCATION APPEALS</w:t>
      </w:r>
    </w:p>
    <w:p w14:paraId="5525DD5A" w14:textId="77777777" w:rsidR="003F7AA0" w:rsidRPr="003F7AA0" w:rsidRDefault="003F7AA0" w:rsidP="003F7AA0">
      <w:pPr>
        <w:tabs>
          <w:tab w:val="center" w:pos="440"/>
          <w:tab w:val="center" w:pos="4627"/>
        </w:tabs>
        <w:spacing w:after="533" w:line="259" w:lineRule="auto"/>
        <w:jc w:val="center"/>
        <w:rPr>
          <w:rFonts w:ascii="Times New Roman" w:hAnsi="Times New Roman" w:cs="Times New Roman"/>
          <w:sz w:val="24"/>
          <w:szCs w:val="24"/>
        </w:rPr>
      </w:pPr>
      <w:r w:rsidRPr="003F7AA0">
        <w:rPr>
          <w:rFonts w:ascii="Times New Roman" w:hAnsi="Times New Roman" w:cs="Times New Roman"/>
          <w:sz w:val="24"/>
          <w:szCs w:val="24"/>
          <w:u w:val="single" w:color="000000"/>
        </w:rPr>
        <w:t xml:space="preserve">EFFECT OF FINAL BSEA ACTIONS AND </w:t>
      </w:r>
      <w:r w:rsidRPr="003F7AA0">
        <w:rPr>
          <w:rFonts w:ascii="Times New Roman" w:hAnsi="Times New Roman" w:cs="Times New Roman"/>
          <w:noProof/>
          <w:sz w:val="24"/>
          <w:szCs w:val="24"/>
        </w:rPr>
        <w:drawing>
          <wp:inline distT="0" distB="0" distL="0" distR="0" wp14:anchorId="579185AA" wp14:editId="04C1C186">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3F7AA0">
        <w:rPr>
          <w:rFonts w:ascii="Times New Roman" w:hAnsi="Times New Roman" w:cs="Times New Roman"/>
          <w:sz w:val="24"/>
          <w:szCs w:val="24"/>
          <w:u w:val="single" w:color="000000"/>
        </w:rPr>
        <w:t>RIGHTS OF APPEAL</w:t>
      </w:r>
    </w:p>
    <w:p w14:paraId="28A9BBA2" w14:textId="77777777" w:rsidR="003F7AA0" w:rsidRPr="003F7AA0" w:rsidRDefault="003F7AA0" w:rsidP="003F7AA0">
      <w:pPr>
        <w:pStyle w:val="Heading1"/>
        <w:spacing w:after="261"/>
        <w:ind w:left="38"/>
        <w:rPr>
          <w:rFonts w:ascii="Times New Roman" w:hAnsi="Times New Roman"/>
          <w:b w:val="0"/>
          <w:bCs/>
          <w:sz w:val="24"/>
          <w:szCs w:val="24"/>
          <w:u w:val="single"/>
        </w:rPr>
      </w:pPr>
      <w:r w:rsidRPr="003F7AA0">
        <w:rPr>
          <w:rFonts w:ascii="Times New Roman" w:hAnsi="Times New Roman"/>
          <w:b w:val="0"/>
          <w:bCs/>
          <w:sz w:val="24"/>
          <w:szCs w:val="24"/>
          <w:u w:val="single"/>
        </w:rPr>
        <w:t>Effect of BSEA Decision, Dismissal with Prejudice and Allowance of Motion for Summary Judgment</w:t>
      </w:r>
    </w:p>
    <w:p w14:paraId="12900BF3" w14:textId="77777777" w:rsidR="003F7AA0" w:rsidRPr="003F7AA0" w:rsidRDefault="003F7AA0" w:rsidP="003F7AA0">
      <w:pPr>
        <w:spacing w:after="312" w:line="250" w:lineRule="auto"/>
        <w:ind w:left="43" w:firstLine="5"/>
        <w:rPr>
          <w:rFonts w:ascii="Times New Roman" w:hAnsi="Times New Roman" w:cs="Times New Roman"/>
          <w:sz w:val="24"/>
          <w:szCs w:val="24"/>
        </w:rPr>
      </w:pPr>
      <w:r w:rsidRPr="003F7AA0">
        <w:rPr>
          <w:rFonts w:ascii="Times New Roman" w:hAnsi="Times New Roman" w:cs="Times New Roman"/>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B271171" w14:textId="77777777" w:rsidR="003F7AA0" w:rsidRPr="003F7AA0" w:rsidRDefault="003F7AA0" w:rsidP="003F7AA0">
      <w:pPr>
        <w:spacing w:after="312" w:line="250" w:lineRule="auto"/>
        <w:ind w:left="43"/>
        <w:rPr>
          <w:rFonts w:ascii="Times New Roman" w:hAnsi="Times New Roman" w:cs="Times New Roman"/>
          <w:sz w:val="24"/>
          <w:szCs w:val="24"/>
        </w:rPr>
      </w:pPr>
      <w:r w:rsidRPr="003F7AA0">
        <w:rPr>
          <w:rFonts w:ascii="Times New Roman" w:hAnsi="Times New Roman" w:cs="Times New Roman"/>
          <w:sz w:val="24"/>
          <w:szCs w:val="24"/>
        </w:rPr>
        <w:t>Accordingly</w:t>
      </w:r>
      <w:r w:rsidRPr="003F7AA0">
        <w:rPr>
          <w:rFonts w:ascii="Times New Roman" w:hAnsi="Times New Roman" w:cs="Times New Roman"/>
          <w:strike/>
          <w:sz w:val="24"/>
          <w:szCs w:val="24"/>
        </w:rPr>
        <w:t>,</w:t>
      </w:r>
      <w:r w:rsidRPr="003F7AA0">
        <w:rPr>
          <w:rFonts w:ascii="Times New Roman" w:hAnsi="Times New Roman" w:cs="Times New Roman"/>
          <w:sz w:val="24"/>
          <w:szCs w:val="24"/>
        </w:rPr>
        <w:t xml:space="preserve"> the Bureau cannot permit motions to reconsider or to re-open either a Bureau decision or the Rulings set forth above once they have issued. They are final subject only to judicial (court) review.</w:t>
      </w:r>
    </w:p>
    <w:p w14:paraId="64D4DD50" w14:textId="77777777" w:rsidR="003F7AA0" w:rsidRPr="003F7AA0" w:rsidRDefault="003F7AA0" w:rsidP="003F7AA0">
      <w:pPr>
        <w:ind w:left="19" w:right="62"/>
        <w:rPr>
          <w:rFonts w:ascii="Times New Roman" w:hAnsi="Times New Roman" w:cs="Times New Roman"/>
          <w:sz w:val="24"/>
          <w:szCs w:val="24"/>
        </w:rPr>
      </w:pPr>
      <w:r w:rsidRPr="003F7AA0">
        <w:rPr>
          <w:rFonts w:ascii="Times New Roman" w:hAnsi="Times New Roman" w:cs="Times New Roman"/>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53B27EB" w14:textId="77777777" w:rsidR="003F7AA0" w:rsidRPr="003F7AA0" w:rsidRDefault="003F7AA0" w:rsidP="003F7AA0">
      <w:pPr>
        <w:ind w:left="19" w:right="62"/>
        <w:rPr>
          <w:rFonts w:ascii="Times New Roman" w:hAnsi="Times New Roman" w:cs="Times New Roman"/>
          <w:sz w:val="24"/>
          <w:szCs w:val="24"/>
        </w:rPr>
      </w:pPr>
      <w:r w:rsidRPr="003F7AA0">
        <w:rPr>
          <w:rFonts w:ascii="Times New Roman" w:hAnsi="Times New Roman" w:cs="Times New Roman"/>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97744C0" w14:textId="77777777" w:rsidR="003F7AA0" w:rsidRPr="003F7AA0" w:rsidRDefault="003F7AA0" w:rsidP="003F7AA0">
      <w:pPr>
        <w:ind w:left="19" w:right="62"/>
        <w:rPr>
          <w:rFonts w:ascii="Times New Roman" w:hAnsi="Times New Roman" w:cs="Times New Roman"/>
          <w:sz w:val="24"/>
          <w:szCs w:val="24"/>
        </w:rPr>
      </w:pPr>
      <w:r w:rsidRPr="003F7AA0">
        <w:rPr>
          <w:rFonts w:ascii="Times New Roman" w:hAnsi="Times New Roman" w:cs="Times New Roman"/>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3F7AA0">
        <w:rPr>
          <w:rFonts w:ascii="Times New Roman" w:hAnsi="Times New Roman" w:cs="Times New Roman"/>
          <w:i/>
          <w:iCs/>
          <w:sz w:val="24"/>
          <w:szCs w:val="24"/>
        </w:rPr>
        <w:t>School Committee of Burlington v. Massachusetts Department of Education</w:t>
      </w:r>
      <w:r w:rsidRPr="003F7AA0">
        <w:rPr>
          <w:rFonts w:ascii="Times New Roman" w:hAnsi="Times New Roman" w:cs="Times New Roman"/>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F7AA0">
        <w:rPr>
          <w:rFonts w:ascii="Times New Roman" w:hAnsi="Times New Roman" w:cs="Times New Roman"/>
          <w:i/>
          <w:iCs/>
          <w:sz w:val="24"/>
          <w:szCs w:val="24"/>
        </w:rPr>
        <w:t>Honig v. Doe</w:t>
      </w:r>
      <w:r w:rsidRPr="003F7AA0">
        <w:rPr>
          <w:rFonts w:ascii="Times New Roman" w:hAnsi="Times New Roman" w:cs="Times New Roman"/>
          <w:sz w:val="24"/>
          <w:szCs w:val="24"/>
        </w:rPr>
        <w:t xml:space="preserve">, 484 U.S. 305 (1988); </w:t>
      </w:r>
      <w:r w:rsidRPr="003F7AA0">
        <w:rPr>
          <w:rFonts w:ascii="Times New Roman" w:hAnsi="Times New Roman" w:cs="Times New Roman"/>
          <w:i/>
          <w:iCs/>
          <w:sz w:val="24"/>
          <w:szCs w:val="24"/>
        </w:rPr>
        <w:t>Doe v. Brookline</w:t>
      </w:r>
      <w:r w:rsidRPr="003F7AA0">
        <w:rPr>
          <w:rFonts w:ascii="Times New Roman" w:hAnsi="Times New Roman" w:cs="Times New Roman"/>
          <w:sz w:val="24"/>
          <w:szCs w:val="24"/>
        </w:rPr>
        <w:t>, 722 F.2d 910 (1</w:t>
      </w:r>
      <w:r w:rsidRPr="003F7AA0">
        <w:rPr>
          <w:rFonts w:ascii="Times New Roman" w:hAnsi="Times New Roman" w:cs="Times New Roman"/>
          <w:sz w:val="24"/>
          <w:szCs w:val="24"/>
          <w:vertAlign w:val="superscript"/>
        </w:rPr>
        <w:t>st</w:t>
      </w:r>
      <w:r w:rsidRPr="003F7AA0">
        <w:rPr>
          <w:rFonts w:ascii="Times New Roman" w:hAnsi="Times New Roman" w:cs="Times New Roman"/>
          <w:sz w:val="24"/>
          <w:szCs w:val="24"/>
        </w:rPr>
        <w:t xml:space="preserve"> Cir. 1983).</w:t>
      </w:r>
    </w:p>
    <w:p w14:paraId="4F95668C" w14:textId="77777777" w:rsidR="003F7AA0" w:rsidRPr="003F7AA0" w:rsidRDefault="003F7AA0" w:rsidP="003F7AA0">
      <w:pPr>
        <w:pStyle w:val="Heading1"/>
        <w:ind w:left="96"/>
        <w:rPr>
          <w:rFonts w:ascii="Times New Roman" w:hAnsi="Times New Roman"/>
          <w:b w:val="0"/>
          <w:bCs/>
          <w:sz w:val="24"/>
          <w:szCs w:val="24"/>
          <w:u w:val="single"/>
        </w:rPr>
      </w:pPr>
      <w:r w:rsidRPr="003F7AA0">
        <w:rPr>
          <w:rFonts w:ascii="Times New Roman" w:hAnsi="Times New Roman"/>
          <w:b w:val="0"/>
          <w:bCs/>
          <w:sz w:val="24"/>
          <w:szCs w:val="24"/>
          <w:u w:val="single"/>
        </w:rPr>
        <w:lastRenderedPageBreak/>
        <w:t>Compliance</w:t>
      </w:r>
    </w:p>
    <w:p w14:paraId="318BD8CF" w14:textId="77777777" w:rsidR="003F7AA0" w:rsidRPr="003F7AA0" w:rsidRDefault="003F7AA0" w:rsidP="003F7AA0">
      <w:pPr>
        <w:ind w:left="19" w:right="172"/>
        <w:rPr>
          <w:rFonts w:ascii="Times New Roman" w:hAnsi="Times New Roman" w:cs="Times New Roman"/>
          <w:sz w:val="24"/>
          <w:szCs w:val="24"/>
        </w:rPr>
      </w:pPr>
      <w:r w:rsidRPr="003F7AA0">
        <w:rPr>
          <w:rFonts w:ascii="Times New Roman" w:hAnsi="Times New Roman" w:cs="Times New Roman"/>
          <w:sz w:val="24"/>
          <w:szCs w:val="24"/>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D094FC5" w14:textId="77777777" w:rsidR="003F7AA0" w:rsidRPr="003F7AA0" w:rsidRDefault="003F7AA0" w:rsidP="003F7AA0">
      <w:pPr>
        <w:pStyle w:val="Heading1"/>
        <w:ind w:left="-5"/>
        <w:rPr>
          <w:rFonts w:ascii="Times New Roman" w:hAnsi="Times New Roman"/>
          <w:b w:val="0"/>
          <w:bCs/>
          <w:sz w:val="24"/>
          <w:szCs w:val="24"/>
          <w:u w:val="single"/>
        </w:rPr>
      </w:pPr>
      <w:r w:rsidRPr="003F7AA0">
        <w:rPr>
          <w:rFonts w:ascii="Times New Roman" w:hAnsi="Times New Roman"/>
          <w:b w:val="0"/>
          <w:bCs/>
          <w:sz w:val="24"/>
          <w:szCs w:val="24"/>
          <w:u w:val="single"/>
        </w:rPr>
        <w:t>Rights of Appeal</w:t>
      </w:r>
    </w:p>
    <w:p w14:paraId="494618D9" w14:textId="77777777" w:rsidR="003F7AA0" w:rsidRPr="003F7AA0" w:rsidRDefault="003F7AA0" w:rsidP="003F7AA0">
      <w:pPr>
        <w:ind w:left="19" w:right="172"/>
        <w:rPr>
          <w:rFonts w:ascii="Times New Roman" w:hAnsi="Times New Roman" w:cs="Times New Roman"/>
          <w:sz w:val="24"/>
          <w:szCs w:val="24"/>
        </w:rPr>
      </w:pPr>
      <w:r w:rsidRPr="003F7AA0">
        <w:rPr>
          <w:rFonts w:ascii="Times New Roman" w:hAnsi="Times New Roman" w:cs="Times New Roman"/>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1342655" w14:textId="77777777" w:rsidR="003F7AA0" w:rsidRPr="003F7AA0" w:rsidRDefault="003F7AA0" w:rsidP="003F7AA0">
      <w:pPr>
        <w:spacing w:after="566"/>
        <w:ind w:left="19" w:right="172"/>
        <w:rPr>
          <w:rFonts w:ascii="Times New Roman" w:hAnsi="Times New Roman" w:cs="Times New Roman"/>
          <w:sz w:val="24"/>
          <w:szCs w:val="24"/>
        </w:rPr>
      </w:pPr>
      <w:r w:rsidRPr="003F7AA0">
        <w:rPr>
          <w:rFonts w:ascii="Times New Roman" w:hAnsi="Times New Roman" w:cs="Times New Roman"/>
          <w:sz w:val="24"/>
          <w:szCs w:val="24"/>
        </w:rPr>
        <w:t>An appeal of a Bureau decision to state superior court or to federal district court must be filed within ninety (90) days from the date of the decision. 20 U.S.C. s. 1415(i)(2)(B).</w:t>
      </w:r>
    </w:p>
    <w:p w14:paraId="68AF5B20" w14:textId="77777777" w:rsidR="003F7AA0" w:rsidRPr="003F7AA0" w:rsidRDefault="003F7AA0" w:rsidP="003F7AA0">
      <w:pPr>
        <w:pStyle w:val="Heading1"/>
        <w:ind w:left="-5"/>
        <w:rPr>
          <w:rFonts w:ascii="Times New Roman" w:hAnsi="Times New Roman"/>
          <w:b w:val="0"/>
          <w:bCs/>
          <w:sz w:val="24"/>
          <w:szCs w:val="24"/>
          <w:u w:val="single"/>
        </w:rPr>
      </w:pPr>
      <w:r w:rsidRPr="003F7AA0">
        <w:rPr>
          <w:rFonts w:ascii="Times New Roman" w:hAnsi="Times New Roman"/>
          <w:b w:val="0"/>
          <w:bCs/>
          <w:sz w:val="24"/>
          <w:szCs w:val="24"/>
          <w:u w:val="single"/>
        </w:rPr>
        <w:t>Confidentiality</w:t>
      </w:r>
    </w:p>
    <w:p w14:paraId="2A47C912" w14:textId="77777777" w:rsidR="003F7AA0" w:rsidRPr="003F7AA0" w:rsidRDefault="003F7AA0" w:rsidP="003F7AA0">
      <w:pPr>
        <w:spacing w:after="0"/>
        <w:ind w:left="19" w:right="34"/>
        <w:rPr>
          <w:rFonts w:ascii="Times New Roman" w:hAnsi="Times New Roman" w:cs="Times New Roman"/>
          <w:i/>
          <w:iCs/>
          <w:sz w:val="24"/>
          <w:szCs w:val="24"/>
        </w:rPr>
      </w:pPr>
      <w:r w:rsidRPr="003F7AA0">
        <w:rPr>
          <w:rFonts w:ascii="Times New Roman" w:hAnsi="Times New Roman" w:cs="Times New Roman"/>
          <w:noProof/>
          <w:sz w:val="24"/>
          <w:szCs w:val="24"/>
        </w:rPr>
        <w:drawing>
          <wp:anchor distT="0" distB="0" distL="114300" distR="114300" simplePos="0" relativeHeight="251659264" behindDoc="0" locked="0" layoutInCell="1" allowOverlap="0" wp14:anchorId="1829E156" wp14:editId="19B667CD">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0288" behindDoc="0" locked="0" layoutInCell="1" allowOverlap="0" wp14:anchorId="05B8E8DC" wp14:editId="21C9FB0B">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1312" behindDoc="0" locked="0" layoutInCell="1" allowOverlap="0" wp14:anchorId="5CB09489" wp14:editId="7D3F26CE">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2336" behindDoc="0" locked="0" layoutInCell="1" allowOverlap="0" wp14:anchorId="7AC0A145" wp14:editId="4AF7DEC2">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3360" behindDoc="0" locked="0" layoutInCell="1" allowOverlap="0" wp14:anchorId="22299AB6" wp14:editId="3120F09D">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4384" behindDoc="0" locked="0" layoutInCell="1" allowOverlap="0" wp14:anchorId="57BB8F3A" wp14:editId="517275E4">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5408" behindDoc="0" locked="0" layoutInCell="1" allowOverlap="0" wp14:anchorId="2F219328" wp14:editId="36172B84">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6432" behindDoc="0" locked="0" layoutInCell="1" allowOverlap="0" wp14:anchorId="31ED3375" wp14:editId="73DBD46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3F7AA0">
        <w:rPr>
          <w:rFonts w:ascii="Times New Roman" w:hAnsi="Times New Roman" w:cs="Times New Roman"/>
          <w:noProof/>
          <w:sz w:val="24"/>
          <w:szCs w:val="24"/>
        </w:rPr>
        <w:drawing>
          <wp:anchor distT="0" distB="0" distL="114300" distR="114300" simplePos="0" relativeHeight="251667456" behindDoc="0" locked="0" layoutInCell="1" allowOverlap="0" wp14:anchorId="5371AAB9" wp14:editId="4AAF538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proofErr w:type="gramStart"/>
      <w:r w:rsidRPr="003F7AA0">
        <w:rPr>
          <w:rFonts w:ascii="Times New Roman" w:hAnsi="Times New Roman" w:cs="Times New Roman"/>
          <w:sz w:val="24"/>
          <w:szCs w:val="24"/>
        </w:rPr>
        <w:t>In order to</w:t>
      </w:r>
      <w:proofErr w:type="gramEnd"/>
      <w:r w:rsidRPr="003F7AA0">
        <w:rPr>
          <w:rFonts w:ascii="Times New Roman" w:hAnsi="Times New Roman" w:cs="Times New Roman"/>
          <w:sz w:val="24"/>
          <w:szCs w:val="24"/>
        </w:rPr>
        <w:t xml:space="preserve"> preserve the confidentiality of the student involved in these proceedings, when an </w:t>
      </w:r>
      <w:r w:rsidRPr="003F7AA0">
        <w:rPr>
          <w:rFonts w:ascii="Times New Roman" w:hAnsi="Times New Roman" w:cs="Times New Roman"/>
          <w:noProof/>
          <w:sz w:val="24"/>
          <w:szCs w:val="24"/>
        </w:rPr>
        <w:drawing>
          <wp:inline distT="0" distB="0" distL="0" distR="0" wp14:anchorId="4325019E" wp14:editId="7DBBE97B">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3F7AA0">
        <w:rPr>
          <w:rFonts w:ascii="Times New Roman" w:hAnsi="Times New Roman" w:cs="Times New Roman"/>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F7AA0">
        <w:rPr>
          <w:rFonts w:ascii="Times New Roman" w:hAnsi="Times New Roman" w:cs="Times New Roman"/>
          <w:i/>
          <w:iCs/>
          <w:sz w:val="24"/>
          <w:szCs w:val="24"/>
        </w:rPr>
        <w:t xml:space="preserve">Webster </w:t>
      </w:r>
      <w:proofErr w:type="spellStart"/>
      <w:r w:rsidRPr="003F7AA0">
        <w:rPr>
          <w:rFonts w:ascii="Times New Roman" w:hAnsi="Times New Roman" w:cs="Times New Roman"/>
          <w:i/>
          <w:iCs/>
          <w:sz w:val="24"/>
          <w:szCs w:val="24"/>
        </w:rPr>
        <w:t>Grove_School</w:t>
      </w:r>
      <w:proofErr w:type="spellEnd"/>
      <w:r w:rsidRPr="003F7AA0">
        <w:rPr>
          <w:rFonts w:ascii="Times New Roman" w:hAnsi="Times New Roman" w:cs="Times New Roman"/>
          <w:i/>
          <w:iCs/>
          <w:sz w:val="24"/>
          <w:szCs w:val="24"/>
        </w:rPr>
        <w:t xml:space="preserve"> District v. Pulitzer Publishing</w:t>
      </w:r>
    </w:p>
    <w:p w14:paraId="1EF98757" w14:textId="77777777" w:rsidR="003F7AA0" w:rsidRPr="003F7AA0" w:rsidRDefault="003F7AA0" w:rsidP="003F7AA0">
      <w:pPr>
        <w:spacing w:after="562"/>
        <w:ind w:left="19" w:right="172"/>
        <w:rPr>
          <w:rFonts w:ascii="Times New Roman" w:hAnsi="Times New Roman" w:cs="Times New Roman"/>
          <w:sz w:val="24"/>
          <w:szCs w:val="24"/>
        </w:rPr>
      </w:pPr>
      <w:r w:rsidRPr="003F7AA0">
        <w:rPr>
          <w:rFonts w:ascii="Times New Roman" w:hAnsi="Times New Roman" w:cs="Times New Roman"/>
          <w:i/>
          <w:iCs/>
          <w:sz w:val="24"/>
          <w:szCs w:val="24"/>
        </w:rPr>
        <w:t>Company</w:t>
      </w:r>
      <w:r w:rsidRPr="003F7AA0">
        <w:rPr>
          <w:rFonts w:ascii="Times New Roman" w:hAnsi="Times New Roman" w:cs="Times New Roman"/>
          <w:sz w:val="24"/>
          <w:szCs w:val="24"/>
        </w:rPr>
        <w:t>, 898 F.2d 1371 (8th. Cir. 1990). If the appealing party does not seek to impound the documents, the Bureau of Special Education Appeals, through the Attorney General's Office, may move to impound the documents.</w:t>
      </w:r>
    </w:p>
    <w:p w14:paraId="65C9D93D" w14:textId="77777777" w:rsidR="003F7AA0" w:rsidRPr="003F7AA0" w:rsidRDefault="003F7AA0" w:rsidP="003F7AA0">
      <w:pPr>
        <w:spacing w:after="231" w:line="259" w:lineRule="auto"/>
        <w:ind w:left="62"/>
        <w:rPr>
          <w:rFonts w:ascii="Times New Roman" w:hAnsi="Times New Roman" w:cs="Times New Roman"/>
          <w:sz w:val="24"/>
          <w:szCs w:val="24"/>
          <w:u w:val="single"/>
        </w:rPr>
      </w:pPr>
      <w:r w:rsidRPr="003F7AA0">
        <w:rPr>
          <w:rFonts w:ascii="Times New Roman" w:hAnsi="Times New Roman" w:cs="Times New Roman"/>
          <w:sz w:val="24"/>
          <w:szCs w:val="24"/>
          <w:u w:val="single"/>
        </w:rPr>
        <w:t>Record of the Hearing</w:t>
      </w:r>
    </w:p>
    <w:p w14:paraId="0B9FE1B0" w14:textId="77777777" w:rsidR="003F7AA0" w:rsidRPr="003F7AA0" w:rsidRDefault="003F7AA0" w:rsidP="003F7AA0">
      <w:pPr>
        <w:ind w:left="19" w:right="172"/>
        <w:rPr>
          <w:rFonts w:ascii="Times New Roman" w:hAnsi="Times New Roman" w:cs="Times New Roman"/>
          <w:sz w:val="24"/>
          <w:szCs w:val="24"/>
        </w:rPr>
      </w:pPr>
      <w:r w:rsidRPr="003F7AA0">
        <w:rPr>
          <w:rFonts w:ascii="Times New Roman" w:hAnsi="Times New Roman" w:cs="Times New Roman"/>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E36CCE2" w14:textId="77777777" w:rsidR="005D4D6E" w:rsidRPr="003F7AA0" w:rsidRDefault="005D4D6E" w:rsidP="006371AC">
      <w:pPr>
        <w:spacing w:after="0" w:line="240" w:lineRule="auto"/>
        <w:rPr>
          <w:rFonts w:ascii="Times New Roman" w:hAnsi="Times New Roman" w:cs="Times New Roman"/>
          <w:i/>
          <w:iCs/>
          <w:sz w:val="24"/>
          <w:szCs w:val="24"/>
        </w:rPr>
      </w:pPr>
    </w:p>
    <w:sectPr w:rsidR="005D4D6E" w:rsidRPr="003F7AA0" w:rsidSect="00E27947">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A30D" w14:textId="77777777" w:rsidR="00382ED6" w:rsidRDefault="00382ED6" w:rsidP="00C17B47">
      <w:pPr>
        <w:spacing w:after="0" w:line="240" w:lineRule="auto"/>
      </w:pPr>
      <w:r>
        <w:separator/>
      </w:r>
    </w:p>
  </w:endnote>
  <w:endnote w:type="continuationSeparator" w:id="0">
    <w:p w14:paraId="3A6602AD" w14:textId="77777777" w:rsidR="00382ED6" w:rsidRDefault="00382ED6"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36585626"/>
      <w:docPartObj>
        <w:docPartGallery w:val="Page Numbers (Bottom of Page)"/>
        <w:docPartUnique/>
      </w:docPartObj>
    </w:sdtPr>
    <w:sdtEndPr>
      <w:rPr>
        <w:noProof/>
      </w:rPr>
    </w:sdtEndPr>
    <w:sdtContent>
      <w:p w14:paraId="61FB259A" w14:textId="4311B239" w:rsidR="00CC48A4" w:rsidRPr="005C2E13" w:rsidRDefault="00CC48A4">
        <w:pPr>
          <w:pStyle w:val="Footer"/>
          <w:jc w:val="center"/>
          <w:rPr>
            <w:rFonts w:ascii="Times New Roman" w:hAnsi="Times New Roman" w:cs="Times New Roman"/>
            <w:sz w:val="24"/>
            <w:szCs w:val="24"/>
          </w:rPr>
        </w:pPr>
        <w:r w:rsidRPr="005C2E13">
          <w:rPr>
            <w:rFonts w:ascii="Times New Roman" w:hAnsi="Times New Roman" w:cs="Times New Roman"/>
            <w:sz w:val="24"/>
            <w:szCs w:val="24"/>
          </w:rPr>
          <w:fldChar w:fldCharType="begin"/>
        </w:r>
        <w:r w:rsidRPr="005C2E13">
          <w:rPr>
            <w:rFonts w:ascii="Times New Roman" w:hAnsi="Times New Roman" w:cs="Times New Roman"/>
            <w:sz w:val="24"/>
            <w:szCs w:val="24"/>
          </w:rPr>
          <w:instrText xml:space="preserve"> PAGE   \* MERGEFORMAT </w:instrText>
        </w:r>
        <w:r w:rsidRPr="005C2E13">
          <w:rPr>
            <w:rFonts w:ascii="Times New Roman" w:hAnsi="Times New Roman" w:cs="Times New Roman"/>
            <w:sz w:val="24"/>
            <w:szCs w:val="24"/>
          </w:rPr>
          <w:fldChar w:fldCharType="separate"/>
        </w:r>
        <w:r w:rsidR="00C45258" w:rsidRPr="005C2E13">
          <w:rPr>
            <w:rFonts w:ascii="Times New Roman" w:hAnsi="Times New Roman" w:cs="Times New Roman"/>
            <w:noProof/>
            <w:sz w:val="24"/>
            <w:szCs w:val="24"/>
          </w:rPr>
          <w:t>2</w:t>
        </w:r>
        <w:r w:rsidRPr="005C2E13">
          <w:rPr>
            <w:rFonts w:ascii="Times New Roman" w:hAnsi="Times New Roman" w:cs="Times New Roman"/>
            <w:noProof/>
            <w:sz w:val="24"/>
            <w:szCs w:val="24"/>
          </w:rPr>
          <w:fldChar w:fldCharType="end"/>
        </w:r>
      </w:p>
    </w:sdtContent>
  </w:sdt>
  <w:p w14:paraId="6EECF0F7" w14:textId="77777777" w:rsidR="00CC48A4" w:rsidRDefault="00CC4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EAD9" w14:textId="77777777" w:rsidR="00382ED6" w:rsidRDefault="00382ED6" w:rsidP="00C17B47">
      <w:pPr>
        <w:spacing w:after="0" w:line="240" w:lineRule="auto"/>
      </w:pPr>
      <w:r>
        <w:separator/>
      </w:r>
    </w:p>
  </w:footnote>
  <w:footnote w:type="continuationSeparator" w:id="0">
    <w:p w14:paraId="0410329E" w14:textId="77777777" w:rsidR="00382ED6" w:rsidRDefault="00382ED6" w:rsidP="00C17B47">
      <w:pPr>
        <w:spacing w:after="0" w:line="240" w:lineRule="auto"/>
      </w:pPr>
      <w:r>
        <w:continuationSeparator/>
      </w:r>
    </w:p>
  </w:footnote>
  <w:footnote w:id="1">
    <w:p w14:paraId="2F5391DB" w14:textId="2B350949" w:rsidR="00CC48A4" w:rsidRPr="005F4710" w:rsidRDefault="00CC48A4">
      <w:pPr>
        <w:pStyle w:val="FootnoteText"/>
        <w:rPr>
          <w:rFonts w:ascii="Times New Roman" w:hAnsi="Times New Roman" w:cs="Times New Roman"/>
        </w:rPr>
      </w:pPr>
      <w:r w:rsidRPr="00CA1136">
        <w:rPr>
          <w:rStyle w:val="FootnoteReference"/>
          <w:rFonts w:ascii="Times New Roman" w:hAnsi="Times New Roman" w:cs="Times New Roman"/>
        </w:rPr>
        <w:footnoteRef/>
      </w:r>
      <w:r w:rsidR="00232690" w:rsidRPr="00CA1136">
        <w:rPr>
          <w:rFonts w:ascii="Times New Roman" w:hAnsi="Times New Roman" w:cs="Times New Roman"/>
        </w:rPr>
        <w:t xml:space="preserve"> “</w:t>
      </w:r>
      <w:r w:rsidR="009F5C57">
        <w:rPr>
          <w:rFonts w:ascii="Times New Roman" w:hAnsi="Times New Roman" w:cs="Times New Roman"/>
        </w:rPr>
        <w:t>Bobby</w:t>
      </w:r>
      <w:r w:rsidRPr="00CA1136">
        <w:rPr>
          <w:rFonts w:ascii="Times New Roman" w:hAnsi="Times New Roman" w:cs="Times New Roman"/>
        </w:rPr>
        <w:t xml:space="preserve">” is a pseudonym chosen by the Hearing Officer to protect the privacy of the Student in documents </w:t>
      </w:r>
      <w:r w:rsidRPr="005F4710">
        <w:rPr>
          <w:rFonts w:ascii="Times New Roman" w:hAnsi="Times New Roman" w:cs="Times New Roman"/>
        </w:rPr>
        <w:t>available to the public.</w:t>
      </w:r>
    </w:p>
  </w:footnote>
  <w:footnote w:id="2">
    <w:p w14:paraId="1EFF865E" w14:textId="5380EFAD" w:rsidR="00D63C2F" w:rsidRDefault="00D63C2F">
      <w:pPr>
        <w:pStyle w:val="FootnoteText"/>
      </w:pPr>
      <w:r w:rsidRPr="005F4710">
        <w:rPr>
          <w:rStyle w:val="FootnoteReference"/>
          <w:rFonts w:ascii="Times New Roman" w:hAnsi="Times New Roman" w:cs="Times New Roman"/>
        </w:rPr>
        <w:footnoteRef/>
      </w:r>
      <w:r w:rsidRPr="005F4710">
        <w:rPr>
          <w:rFonts w:ascii="Times New Roman" w:hAnsi="Times New Roman" w:cs="Times New Roman"/>
        </w:rPr>
        <w:t xml:space="preserve"> </w:t>
      </w:r>
      <w:r w:rsidR="00A5267C" w:rsidRPr="005F4710">
        <w:rPr>
          <w:rFonts w:ascii="Times New Roman" w:hAnsi="Times New Roman" w:cs="Times New Roman"/>
        </w:rPr>
        <w:t xml:space="preserve">Hingham suggested, further, that if Parents’ </w:t>
      </w:r>
      <w:r w:rsidR="00A5267C" w:rsidRPr="005F4710">
        <w:rPr>
          <w:rFonts w:ascii="Times New Roman" w:hAnsi="Times New Roman" w:cs="Times New Roman"/>
          <w:i/>
          <w:iCs/>
        </w:rPr>
        <w:t xml:space="preserve">Hearing Request </w:t>
      </w:r>
      <w:r w:rsidR="00A5267C" w:rsidRPr="005F4710">
        <w:rPr>
          <w:rFonts w:ascii="Times New Roman" w:hAnsi="Times New Roman" w:cs="Times New Roman"/>
        </w:rPr>
        <w:t>raised issues within the jurisdiction of the BSEA, the statute of limitations might preclude their claim. The District did not, however, flesh out this argument.</w:t>
      </w:r>
    </w:p>
  </w:footnote>
  <w:footnote w:id="3">
    <w:p w14:paraId="328517F2" w14:textId="3B596C5D" w:rsidR="00E20EE5" w:rsidRPr="00CA1136" w:rsidRDefault="00E20EE5">
      <w:pPr>
        <w:pStyle w:val="FootnoteText"/>
      </w:pPr>
      <w:r w:rsidRPr="00CA1136">
        <w:rPr>
          <w:rStyle w:val="FootnoteReference"/>
          <w:rFonts w:ascii="Times New Roman" w:hAnsi="Times New Roman" w:cs="Times New Roman"/>
        </w:rPr>
        <w:footnoteRef/>
      </w:r>
      <w:r w:rsidRPr="00CA1136">
        <w:t xml:space="preserve"> </w:t>
      </w:r>
      <w:r w:rsidRPr="00CA1136">
        <w:rPr>
          <w:rFonts w:ascii="Times New Roman" w:hAnsi="Times New Roman" w:cs="Times New Roman"/>
        </w:rPr>
        <w:t>Except where noted, the information in this section is drawn from the parties’ pleadings and is subject to revision in further proceedings.</w:t>
      </w:r>
    </w:p>
  </w:footnote>
  <w:footnote w:id="4">
    <w:p w14:paraId="510A184A" w14:textId="77777777" w:rsidR="005C2E13" w:rsidRPr="00CA1136" w:rsidRDefault="005C2E13" w:rsidP="005C2E13">
      <w:pPr>
        <w:pStyle w:val="NoSpacing"/>
        <w:rPr>
          <w:rFonts w:ascii="Times New Roman" w:hAnsi="Times New Roman" w:cs="Times New Roman"/>
          <w:sz w:val="20"/>
          <w:szCs w:val="20"/>
        </w:rPr>
      </w:pPr>
      <w:r w:rsidRPr="00CA1136">
        <w:rPr>
          <w:rStyle w:val="FootnoteReference"/>
          <w:rFonts w:ascii="Times New Roman" w:hAnsi="Times New Roman" w:cs="Times New Roman"/>
          <w:sz w:val="20"/>
          <w:szCs w:val="20"/>
        </w:rPr>
        <w:footnoteRef/>
      </w:r>
      <w:r w:rsidRPr="00CA1136">
        <w:rPr>
          <w:rFonts w:ascii="Times New Roman" w:hAnsi="Times New Roman" w:cs="Times New Roman"/>
          <w:sz w:val="20"/>
          <w:szCs w:val="20"/>
        </w:rPr>
        <w:t xml:space="preserve"> </w:t>
      </w:r>
      <w:r w:rsidRPr="00CA1136">
        <w:rPr>
          <w:rFonts w:ascii="Times New Roman" w:hAnsi="Times New Roman" w:cs="Times New Roman"/>
          <w:i/>
          <w:iCs/>
          <w:sz w:val="20"/>
          <w:szCs w:val="20"/>
        </w:rPr>
        <w:t>Iannocchino v. Ford Motor Co.</w:t>
      </w:r>
      <w:r w:rsidRPr="00CA1136">
        <w:rPr>
          <w:rFonts w:ascii="Times New Roman" w:hAnsi="Times New Roman" w:cs="Times New Roman"/>
          <w:sz w:val="20"/>
          <w:szCs w:val="20"/>
        </w:rPr>
        <w:t>, 451 Mass. 623, 636 (2008) (quoting </w:t>
      </w:r>
      <w:r w:rsidRPr="00CA1136">
        <w:rPr>
          <w:rFonts w:ascii="Times New Roman" w:hAnsi="Times New Roman" w:cs="Times New Roman"/>
          <w:i/>
          <w:iCs/>
          <w:sz w:val="20"/>
          <w:szCs w:val="20"/>
        </w:rPr>
        <w:t>Bell Atl. Corp. v. Twombly</w:t>
      </w:r>
      <w:r w:rsidRPr="00CA1136">
        <w:rPr>
          <w:rFonts w:ascii="Times New Roman" w:hAnsi="Times New Roman" w:cs="Times New Roman"/>
          <w:sz w:val="20"/>
          <w:szCs w:val="20"/>
        </w:rPr>
        <w:t>, 550 U.S. 544, 557 (2007)).</w:t>
      </w:r>
    </w:p>
  </w:footnote>
  <w:footnote w:id="5">
    <w:p w14:paraId="0B52AC8C" w14:textId="77777777" w:rsidR="005C2E13" w:rsidRPr="00CA1136" w:rsidRDefault="005C2E13" w:rsidP="005C2E13">
      <w:pPr>
        <w:pStyle w:val="NoSpacing"/>
        <w:rPr>
          <w:rFonts w:ascii="Times New Roman" w:hAnsi="Times New Roman" w:cs="Times New Roman"/>
          <w:sz w:val="20"/>
          <w:szCs w:val="20"/>
        </w:rPr>
      </w:pPr>
      <w:r w:rsidRPr="00CA1136">
        <w:rPr>
          <w:rStyle w:val="FootnoteReference"/>
          <w:rFonts w:ascii="Times New Roman" w:hAnsi="Times New Roman" w:cs="Times New Roman"/>
          <w:sz w:val="20"/>
          <w:szCs w:val="20"/>
        </w:rPr>
        <w:footnoteRef/>
      </w:r>
      <w:r w:rsidRPr="00CA1136">
        <w:rPr>
          <w:rFonts w:ascii="Times New Roman" w:hAnsi="Times New Roman" w:cs="Times New Roman"/>
          <w:sz w:val="20"/>
          <w:szCs w:val="20"/>
        </w:rPr>
        <w:t xml:space="preserve"> </w:t>
      </w:r>
      <w:r w:rsidRPr="00CA1136">
        <w:rPr>
          <w:rFonts w:ascii="Times New Roman" w:hAnsi="Times New Roman" w:cs="Times New Roman"/>
          <w:i/>
          <w:iCs/>
          <w:sz w:val="20"/>
          <w:szCs w:val="20"/>
        </w:rPr>
        <w:t>Blank v. Chelmsford Ob/Gyn, P.C.</w:t>
      </w:r>
      <w:r w:rsidRPr="00CA1136">
        <w:rPr>
          <w:rFonts w:ascii="Times New Roman" w:hAnsi="Times New Roman" w:cs="Times New Roman"/>
          <w:sz w:val="20"/>
          <w:szCs w:val="20"/>
        </w:rPr>
        <w:t xml:space="preserve">, 420 Mass. 404, 407 (1995).  </w:t>
      </w:r>
    </w:p>
  </w:footnote>
  <w:footnote w:id="6">
    <w:p w14:paraId="7DB22C48" w14:textId="77777777" w:rsidR="005C2E13" w:rsidRPr="00140178" w:rsidRDefault="005C2E13" w:rsidP="005C2E13">
      <w:pPr>
        <w:pStyle w:val="NoSpacing"/>
        <w:rPr>
          <w:rFonts w:ascii="Times New Roman" w:hAnsi="Times New Roman" w:cs="Times New Roman"/>
        </w:rPr>
      </w:pPr>
      <w:r w:rsidRPr="00140178">
        <w:rPr>
          <w:rStyle w:val="FootnoteReference"/>
          <w:rFonts w:ascii="Times New Roman" w:hAnsi="Times New Roman" w:cs="Times New Roman"/>
          <w:sz w:val="20"/>
          <w:szCs w:val="20"/>
        </w:rPr>
        <w:footnoteRef/>
      </w:r>
      <w:r w:rsidRPr="00140178">
        <w:rPr>
          <w:rFonts w:ascii="Times New Roman" w:hAnsi="Times New Roman" w:cs="Times New Roman"/>
          <w:sz w:val="20"/>
          <w:szCs w:val="20"/>
        </w:rPr>
        <w:t xml:space="preserve"> </w:t>
      </w:r>
      <w:r w:rsidRPr="00140178">
        <w:rPr>
          <w:rFonts w:ascii="Times New Roman" w:hAnsi="Times New Roman" w:cs="Times New Roman"/>
          <w:i/>
          <w:iCs/>
          <w:sz w:val="20"/>
          <w:szCs w:val="20"/>
        </w:rPr>
        <w:t>Golchin v. Liberty Mut. Ins. Co.</w:t>
      </w:r>
      <w:r w:rsidRPr="00140178">
        <w:rPr>
          <w:rFonts w:ascii="Times New Roman" w:hAnsi="Times New Roman" w:cs="Times New Roman"/>
          <w:sz w:val="20"/>
          <w:szCs w:val="20"/>
        </w:rPr>
        <w:t>, 460 Mass. 222, 223 (2011) (internal quotation marks and citations omitted).</w:t>
      </w:r>
      <w:r w:rsidRPr="00140178">
        <w:rPr>
          <w:rFonts w:ascii="Times New Roman" w:hAnsi="Times New Roman" w:cs="Times New Roman"/>
        </w:rPr>
        <w:t xml:space="preserve">   </w:t>
      </w:r>
    </w:p>
  </w:footnote>
  <w:footnote w:id="7">
    <w:p w14:paraId="1055161C" w14:textId="0B616249" w:rsidR="005E363D" w:rsidRPr="00140178" w:rsidRDefault="005E363D">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w:t>
      </w:r>
      <w:r w:rsidRPr="00140178">
        <w:rPr>
          <w:rFonts w:ascii="Times New Roman" w:hAnsi="Times New Roman" w:cs="Times New Roman"/>
          <w:i/>
          <w:iCs/>
        </w:rPr>
        <w:t>Ruling on Marshfield Public Schools’ Motion to Dismiss</w:t>
      </w:r>
      <w:r w:rsidRPr="00140178">
        <w:rPr>
          <w:rFonts w:ascii="Times New Roman" w:hAnsi="Times New Roman" w:cs="Times New Roman"/>
        </w:rPr>
        <w:t>, BSEA #</w:t>
      </w:r>
      <w:r w:rsidR="00F12E42" w:rsidRPr="00140178">
        <w:rPr>
          <w:rFonts w:ascii="Times New Roman" w:hAnsi="Times New Roman" w:cs="Times New Roman"/>
        </w:rPr>
        <w:t xml:space="preserve"> 2305747</w:t>
      </w:r>
      <w:r w:rsidRPr="00140178">
        <w:rPr>
          <w:rFonts w:ascii="Times New Roman" w:hAnsi="Times New Roman" w:cs="Times New Roman"/>
        </w:rPr>
        <w:t xml:space="preserve"> (</w:t>
      </w:r>
      <w:r w:rsidR="00F12E42" w:rsidRPr="00140178">
        <w:rPr>
          <w:rFonts w:ascii="Times New Roman" w:hAnsi="Times New Roman" w:cs="Times New Roman"/>
        </w:rPr>
        <w:t>Kantor Nir, 2023).</w:t>
      </w:r>
    </w:p>
  </w:footnote>
  <w:footnote w:id="8">
    <w:p w14:paraId="3BFC35BB" w14:textId="24C92163" w:rsidR="0019058E" w:rsidRDefault="0019058E">
      <w:pPr>
        <w:pStyle w:val="FootnoteText"/>
      </w:pPr>
      <w:r>
        <w:rPr>
          <w:rStyle w:val="FootnoteReference"/>
        </w:rPr>
        <w:footnoteRef/>
      </w:r>
      <w:r>
        <w:t xml:space="preserve"> </w:t>
      </w:r>
      <w:r w:rsidRPr="00140178">
        <w:rPr>
          <w:rFonts w:ascii="Times New Roman" w:hAnsi="Times New Roman" w:cs="Times New Roman"/>
        </w:rPr>
        <w:t>M.G.L. c. 71B § 2A(a). See 603 CMR 28.08(3)(a) (“A parent or school district . . . may request mediation and/or a hearing at any time on any matter concerning the eligibility, evaluation, placement, IEP, provision of special education in accordance with state and federal law, or procedural protections of state and federal law for students with disabilities.”)</w:t>
      </w:r>
    </w:p>
  </w:footnote>
  <w:footnote w:id="9">
    <w:p w14:paraId="29DC489F" w14:textId="77777777" w:rsidR="00890DAE" w:rsidRPr="00140178" w:rsidRDefault="00890DAE" w:rsidP="00890DAE">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w:t>
      </w:r>
      <w:r w:rsidRPr="00140178">
        <w:rPr>
          <w:rFonts w:ascii="Times New Roman" w:hAnsi="Times New Roman" w:cs="Times New Roman"/>
          <w:i/>
          <w:iCs/>
          <w:color w:val="000000"/>
        </w:rPr>
        <w:t>In Re: Georgetown Pub. Sch</w:t>
      </w:r>
      <w:r w:rsidRPr="00140178">
        <w:rPr>
          <w:rFonts w:ascii="Times New Roman" w:hAnsi="Times New Roman" w:cs="Times New Roman"/>
          <w:color w:val="000000"/>
        </w:rPr>
        <w:t>., BSEA #1405352 (Berman, 2014).</w:t>
      </w:r>
    </w:p>
  </w:footnote>
  <w:footnote w:id="10">
    <w:p w14:paraId="6056D33A" w14:textId="5735F70B" w:rsidR="00213A46" w:rsidRPr="0017654A" w:rsidRDefault="00213A46" w:rsidP="00213A46">
      <w:pPr>
        <w:pStyle w:val="FootnoteText"/>
        <w:rPr>
          <w:rFonts w:ascii="Times New Roman" w:hAnsi="Times New Roman" w:cs="Times New Roman"/>
        </w:rPr>
      </w:pPr>
      <w:r w:rsidRPr="0017654A">
        <w:rPr>
          <w:rStyle w:val="FootnoteReference"/>
          <w:rFonts w:ascii="Times New Roman" w:hAnsi="Times New Roman" w:cs="Times New Roman"/>
        </w:rPr>
        <w:footnoteRef/>
      </w:r>
      <w:r w:rsidRPr="0017654A">
        <w:rPr>
          <w:rFonts w:ascii="Times New Roman" w:hAnsi="Times New Roman" w:cs="Times New Roman"/>
        </w:rPr>
        <w:t xml:space="preserve"> 603 CMR 23.03.</w:t>
      </w:r>
      <w:r w:rsidR="00CA4DB3" w:rsidRPr="0017654A">
        <w:rPr>
          <w:rFonts w:ascii="Times New Roman" w:hAnsi="Times New Roman" w:cs="Times New Roman"/>
        </w:rPr>
        <w:t xml:space="preserve"> </w:t>
      </w:r>
      <w:r w:rsidR="00FB266D">
        <w:rPr>
          <w:rFonts w:ascii="Times New Roman" w:hAnsi="Times New Roman" w:cs="Times New Roman"/>
        </w:rPr>
        <w:t>This definition differs from that of</w:t>
      </w:r>
      <w:r w:rsidR="0017654A">
        <w:rPr>
          <w:rFonts w:ascii="Times New Roman" w:hAnsi="Times New Roman" w:cs="Times New Roman"/>
        </w:rPr>
        <w:t xml:space="preserve"> an</w:t>
      </w:r>
      <w:r w:rsidR="0017654A" w:rsidRPr="0017654A">
        <w:rPr>
          <w:rFonts w:ascii="Times New Roman" w:hAnsi="Times New Roman" w:cs="Times New Roman"/>
        </w:rPr>
        <w:t xml:space="preserve"> “eligible student” for the purposes of special education in Massachusetts</w:t>
      </w:r>
      <w:r w:rsidR="00FB266D">
        <w:rPr>
          <w:rFonts w:ascii="Times New Roman" w:hAnsi="Times New Roman" w:cs="Times New Roman"/>
        </w:rPr>
        <w:t>, which is</w:t>
      </w:r>
      <w:r w:rsidR="0017654A" w:rsidRPr="0017654A">
        <w:rPr>
          <w:rFonts w:ascii="Times New Roman" w:hAnsi="Times New Roman" w:cs="Times New Roman"/>
          <w:color w:val="000000"/>
        </w:rPr>
        <w:t xml:space="preserve"> “</w:t>
      </w:r>
      <w:r w:rsidR="0017654A" w:rsidRPr="0017654A">
        <w:rPr>
          <w:rFonts w:ascii="Times New Roman" w:hAnsi="Times New Roman" w:cs="Times New Roman"/>
        </w:rPr>
        <w:t>a person three through 21 years of age who has not attained a high school diploma or its equivalent, who has been determined by a Team to have a disability(</w:t>
      </w:r>
      <w:proofErr w:type="spellStart"/>
      <w:r w:rsidR="0017654A" w:rsidRPr="0017654A">
        <w:rPr>
          <w:rFonts w:ascii="Times New Roman" w:hAnsi="Times New Roman" w:cs="Times New Roman"/>
        </w:rPr>
        <w:t>ies</w:t>
      </w:r>
      <w:proofErr w:type="spellEnd"/>
      <w:r w:rsidR="0017654A" w:rsidRPr="0017654A">
        <w:rPr>
          <w:rFonts w:ascii="Times New Roman" w:hAnsi="Times New Roman" w:cs="Times New Roman"/>
        </w:rPr>
        <w:t>), and as a consequence is unable to progress effectively in the general education program without specially designed instruction or is unable to access the general curriculum without a related service.” 603 CMR 28.02.</w:t>
      </w:r>
    </w:p>
  </w:footnote>
  <w:footnote w:id="11">
    <w:p w14:paraId="2C58F219" w14:textId="6F17CF71" w:rsidR="00655248" w:rsidRPr="00140178" w:rsidRDefault="00655248">
      <w:pPr>
        <w:pStyle w:val="FootnoteText"/>
        <w:rPr>
          <w:rFonts w:ascii="Times New Roman" w:hAnsi="Times New Roman" w:cs="Times New Roman"/>
        </w:rPr>
      </w:pPr>
      <w:r w:rsidRPr="0017654A">
        <w:rPr>
          <w:rStyle w:val="FootnoteReference"/>
          <w:rFonts w:ascii="Times New Roman" w:hAnsi="Times New Roman" w:cs="Times New Roman"/>
        </w:rPr>
        <w:footnoteRef/>
      </w:r>
      <w:r w:rsidRPr="0017654A">
        <w:rPr>
          <w:rFonts w:ascii="Times New Roman" w:hAnsi="Times New Roman" w:cs="Times New Roman"/>
        </w:rPr>
        <w:t xml:space="preserve"> See 603 CMR 23.08(2).</w:t>
      </w:r>
    </w:p>
  </w:footnote>
  <w:footnote w:id="12">
    <w:p w14:paraId="566DC371" w14:textId="510A70A0" w:rsidR="00AF6936" w:rsidRPr="00140178" w:rsidRDefault="00AF6936">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23.09.</w:t>
      </w:r>
    </w:p>
  </w:footnote>
  <w:footnote w:id="13">
    <w:p w14:paraId="3D5E1525" w14:textId="77777777" w:rsidR="004824D2" w:rsidRPr="00140178" w:rsidRDefault="004824D2" w:rsidP="004824D2">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23.02.</w:t>
      </w:r>
    </w:p>
  </w:footnote>
  <w:footnote w:id="14">
    <w:p w14:paraId="1DDACB20" w14:textId="333607A1" w:rsidR="00AF6936" w:rsidRPr="00140178" w:rsidRDefault="00AF6936">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23.06.</w:t>
      </w:r>
    </w:p>
  </w:footnote>
  <w:footnote w:id="15">
    <w:p w14:paraId="6268BF07" w14:textId="0C6838D5" w:rsidR="00213A46" w:rsidRPr="00140178" w:rsidRDefault="00213A46">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w:t>
      </w:r>
      <w:r w:rsidR="00AF6936" w:rsidRPr="00140178">
        <w:rPr>
          <w:rFonts w:ascii="Times New Roman" w:hAnsi="Times New Roman" w:cs="Times New Roman"/>
          <w:i/>
          <w:iCs/>
        </w:rPr>
        <w:t>Id.</w:t>
      </w:r>
    </w:p>
  </w:footnote>
  <w:footnote w:id="16">
    <w:p w14:paraId="1C38B3A4" w14:textId="1FEF268E" w:rsidR="00AF6936" w:rsidRPr="00140178" w:rsidRDefault="00AF6936">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603 CMR 23.09(5).</w:t>
      </w:r>
    </w:p>
  </w:footnote>
  <w:footnote w:id="17">
    <w:p w14:paraId="21DF4B75" w14:textId="594DB955" w:rsidR="00FE46DA" w:rsidRDefault="00FE46DA">
      <w:pPr>
        <w:pStyle w:val="FootnoteText"/>
      </w:pPr>
      <w:r w:rsidRPr="00140178">
        <w:rPr>
          <w:rStyle w:val="FootnoteReference"/>
          <w:rFonts w:ascii="Times New Roman" w:hAnsi="Times New Roman" w:cs="Times New Roman"/>
        </w:rPr>
        <w:footnoteRef/>
      </w:r>
      <w:r w:rsidRPr="00140178">
        <w:rPr>
          <w:rFonts w:ascii="Times New Roman" w:hAnsi="Times New Roman" w:cs="Times New Roman"/>
        </w:rPr>
        <w:t xml:space="preserve"> See 20 USC </w:t>
      </w:r>
      <w:r w:rsidR="007930CE" w:rsidRPr="00140178">
        <w:rPr>
          <w:rFonts w:ascii="Times New Roman" w:hAnsi="Times New Roman" w:cs="Times New Roman"/>
        </w:rPr>
        <w:t>§ 1232(g)(a)(2).</w:t>
      </w:r>
    </w:p>
  </w:footnote>
  <w:footnote w:id="18">
    <w:p w14:paraId="290EBBA4" w14:textId="19689796" w:rsidR="007930CE" w:rsidRPr="00140178" w:rsidRDefault="007930CE">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23.03, 23.06, 23.08.</w:t>
      </w:r>
    </w:p>
  </w:footnote>
  <w:footnote w:id="19">
    <w:p w14:paraId="5D4AB9A3" w14:textId="3D0FCFAC" w:rsidR="00F736FC" w:rsidRPr="00140178" w:rsidRDefault="00F736FC">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23.08.</w:t>
      </w:r>
    </w:p>
  </w:footnote>
  <w:footnote w:id="20">
    <w:p w14:paraId="4220C8B2" w14:textId="5AA4FDD1" w:rsidR="00F736FC" w:rsidRPr="00140178" w:rsidRDefault="00F736FC">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603 CMR 23.09.</w:t>
      </w:r>
    </w:p>
  </w:footnote>
  <w:footnote w:id="21">
    <w:p w14:paraId="266503E8" w14:textId="417D807A" w:rsidR="0022096D" w:rsidRPr="00FB0F8A" w:rsidRDefault="0022096D">
      <w:pPr>
        <w:pStyle w:val="FootnoteText"/>
        <w:rPr>
          <w:rFonts w:ascii="Times New Roman" w:hAnsi="Times New Roman" w:cs="Times New Roman"/>
        </w:rPr>
      </w:pPr>
      <w:r w:rsidRPr="00FB0F8A">
        <w:rPr>
          <w:rStyle w:val="FootnoteReference"/>
          <w:rFonts w:ascii="Times New Roman" w:hAnsi="Times New Roman" w:cs="Times New Roman"/>
        </w:rPr>
        <w:footnoteRef/>
      </w:r>
      <w:r w:rsidRPr="00FB0F8A">
        <w:rPr>
          <w:rFonts w:ascii="Times New Roman" w:hAnsi="Times New Roman" w:cs="Times New Roman"/>
        </w:rPr>
        <w:t xml:space="preserve"> See</w:t>
      </w:r>
      <w:r w:rsidR="00140178" w:rsidRPr="00FB0F8A">
        <w:rPr>
          <w:rFonts w:ascii="Times New Roman" w:hAnsi="Times New Roman" w:cs="Times New Roman"/>
        </w:rPr>
        <w:t xml:space="preserve"> </w:t>
      </w:r>
      <w:r w:rsidR="00140178" w:rsidRPr="00FB0F8A">
        <w:rPr>
          <w:rFonts w:ascii="Times New Roman" w:hAnsi="Times New Roman" w:cs="Times New Roman"/>
          <w:i/>
          <w:iCs/>
        </w:rPr>
        <w:t>Ruling on Marshfield Public Schools’ Motion to Dismiss</w:t>
      </w:r>
      <w:r w:rsidR="00140178" w:rsidRPr="00FB0F8A">
        <w:rPr>
          <w:rFonts w:ascii="Times New Roman" w:hAnsi="Times New Roman" w:cs="Times New Roman"/>
        </w:rPr>
        <w:t>, BSEA # 2305747 (Kantor Nir, 2023)</w:t>
      </w:r>
      <w:r w:rsidR="00C24231">
        <w:rPr>
          <w:rFonts w:ascii="Times New Roman" w:hAnsi="Times New Roman" w:cs="Times New Roman"/>
        </w:rPr>
        <w:t xml:space="preserve"> (The BSEA has jurisdiction to consider only those claims for which it is expressly delegated authority by its enabling statutes and regulations, and not inconsistent with them.)</w:t>
      </w:r>
    </w:p>
  </w:footnote>
  <w:footnote w:id="22">
    <w:p w14:paraId="735D7B73" w14:textId="6AD796B4" w:rsidR="0022096D" w:rsidRPr="00FB0F8A" w:rsidRDefault="0022096D" w:rsidP="0022096D">
      <w:pPr>
        <w:pStyle w:val="FootnoteText"/>
        <w:rPr>
          <w:rFonts w:ascii="Times New Roman" w:hAnsi="Times New Roman" w:cs="Times New Roman"/>
        </w:rPr>
      </w:pPr>
      <w:r w:rsidRPr="00FB0F8A">
        <w:rPr>
          <w:rStyle w:val="FootnoteReference"/>
          <w:rFonts w:ascii="Times New Roman" w:hAnsi="Times New Roman" w:cs="Times New Roman"/>
        </w:rPr>
        <w:footnoteRef/>
      </w:r>
      <w:r w:rsidRPr="00FB0F8A">
        <w:rPr>
          <w:rFonts w:ascii="Times New Roman" w:hAnsi="Times New Roman" w:cs="Times New Roman"/>
        </w:rPr>
        <w:t xml:space="preserve"> </w:t>
      </w:r>
      <w:r w:rsidR="00140178" w:rsidRPr="00FB0F8A">
        <w:rPr>
          <w:rFonts w:ascii="Times New Roman" w:hAnsi="Times New Roman" w:cs="Times New Roman"/>
        </w:rPr>
        <w:t xml:space="preserve">See </w:t>
      </w:r>
      <w:r w:rsidRPr="00FB0F8A">
        <w:rPr>
          <w:rFonts w:ascii="Times New Roman" w:hAnsi="Times New Roman" w:cs="Times New Roman"/>
        </w:rPr>
        <w:t>M.G.L. c. 71B § 2A(a)</w:t>
      </w:r>
      <w:r w:rsidR="00140178" w:rsidRPr="00FB0F8A">
        <w:rPr>
          <w:rFonts w:ascii="Times New Roman" w:hAnsi="Times New Roman" w:cs="Times New Roman"/>
        </w:rPr>
        <w:t xml:space="preserve">; </w:t>
      </w:r>
      <w:r w:rsidRPr="00FB0F8A">
        <w:rPr>
          <w:rFonts w:ascii="Times New Roman" w:hAnsi="Times New Roman" w:cs="Times New Roman"/>
        </w:rPr>
        <w:t>603 CMR 28.08(3)(a)</w:t>
      </w:r>
      <w:r w:rsidR="00140178" w:rsidRPr="00FB0F8A">
        <w:rPr>
          <w:rFonts w:ascii="Times New Roman" w:hAnsi="Times New Roman" w:cs="Times New Roman"/>
        </w:rPr>
        <w:t>.</w:t>
      </w:r>
    </w:p>
  </w:footnote>
  <w:footnote w:id="23">
    <w:p w14:paraId="7E20472E" w14:textId="4D1459CD" w:rsidR="00FB0F8A" w:rsidRDefault="00FB0F8A">
      <w:pPr>
        <w:pStyle w:val="FootnoteText"/>
      </w:pPr>
      <w:r w:rsidRPr="00FB0F8A">
        <w:rPr>
          <w:rStyle w:val="FootnoteReference"/>
          <w:rFonts w:ascii="Times New Roman" w:hAnsi="Times New Roman" w:cs="Times New Roman"/>
        </w:rPr>
        <w:footnoteRef/>
      </w:r>
      <w:r w:rsidRPr="00FB0F8A">
        <w:rPr>
          <w:rFonts w:ascii="Times New Roman" w:hAnsi="Times New Roman" w:cs="Times New Roman"/>
        </w:rPr>
        <w:t xml:space="preserve"> Cf. </w:t>
      </w:r>
      <w:r w:rsidR="00C24231">
        <w:rPr>
          <w:rFonts w:ascii="Times New Roman" w:hAnsi="Times New Roman" w:cs="Times New Roman"/>
        </w:rPr>
        <w:t xml:space="preserve">20 U.S.C. § 1415(f)(3)(E)(ii); 24 CFR 300.513(a)(2); </w:t>
      </w:r>
      <w:r w:rsidR="00C24231">
        <w:rPr>
          <w:rFonts w:ascii="Times New Roman" w:hAnsi="Times New Roman" w:cs="Times New Roman"/>
          <w:i/>
          <w:iCs/>
        </w:rPr>
        <w:t>Roland M. v Concord Sch. Comm.</w:t>
      </w:r>
      <w:r w:rsidR="00C24231">
        <w:rPr>
          <w:rFonts w:ascii="Times New Roman" w:hAnsi="Times New Roman" w:cs="Times New Roman"/>
        </w:rPr>
        <w:t>, 910 F.2d 983, 994 (1st Cir. 1990).</w:t>
      </w:r>
      <w:r w:rsidRPr="00FB0F8A">
        <w:rPr>
          <w:rFonts w:ascii="Times New Roman" w:hAnsi="Times New Roman" w:cs="Times New Roman"/>
        </w:rPr>
        <w:t xml:space="preserve"> </w:t>
      </w:r>
    </w:p>
  </w:footnote>
  <w:footnote w:id="24">
    <w:p w14:paraId="7CEDF3E4" w14:textId="77777777" w:rsidR="00CE76FB" w:rsidRPr="00140178" w:rsidRDefault="00CE76FB" w:rsidP="00CE76FB">
      <w:pPr>
        <w:pStyle w:val="FootnoteText"/>
        <w:rPr>
          <w:rFonts w:ascii="Times New Roman" w:hAnsi="Times New Roman" w:cs="Times New Roman"/>
        </w:rPr>
      </w:pPr>
      <w:r w:rsidRPr="00140178">
        <w:rPr>
          <w:rStyle w:val="FootnoteReference"/>
          <w:rFonts w:ascii="Times New Roman" w:hAnsi="Times New Roman" w:cs="Times New Roman"/>
        </w:rPr>
        <w:footnoteRef/>
      </w:r>
      <w:r w:rsidRPr="00140178">
        <w:rPr>
          <w:rFonts w:ascii="Times New Roman" w:hAnsi="Times New Roman" w:cs="Times New Roman"/>
        </w:rPr>
        <w:t xml:space="preserve"> See </w:t>
      </w:r>
      <w:r w:rsidRPr="00140178">
        <w:rPr>
          <w:rFonts w:ascii="Times New Roman" w:hAnsi="Times New Roman" w:cs="Times New Roman"/>
          <w:i/>
          <w:iCs/>
        </w:rPr>
        <w:t>Ruling on Marshfield Public Schools’ Motion to Dismiss</w:t>
      </w:r>
      <w:r w:rsidRPr="00140178">
        <w:rPr>
          <w:rFonts w:ascii="Times New Roman" w:hAnsi="Times New Roman" w:cs="Times New Roman"/>
        </w:rPr>
        <w:t>, BSEA # 2305747 (Kantor Nir,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67A"/>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464"/>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9B427B"/>
    <w:multiLevelType w:val="hybridMultilevel"/>
    <w:tmpl w:val="E0DC0480"/>
    <w:lvl w:ilvl="0" w:tplc="A4060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C54AC"/>
    <w:multiLevelType w:val="hybridMultilevel"/>
    <w:tmpl w:val="99AE510C"/>
    <w:lvl w:ilvl="0" w:tplc="C0F884D8">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96C3D"/>
    <w:multiLevelType w:val="hybridMultilevel"/>
    <w:tmpl w:val="06BA7C5A"/>
    <w:lvl w:ilvl="0" w:tplc="AB7AD0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B833AA"/>
    <w:multiLevelType w:val="hybridMultilevel"/>
    <w:tmpl w:val="000405F0"/>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551D"/>
    <w:multiLevelType w:val="hybridMultilevel"/>
    <w:tmpl w:val="37926620"/>
    <w:lvl w:ilvl="0" w:tplc="D9D8D1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21374"/>
    <w:multiLevelType w:val="hybridMultilevel"/>
    <w:tmpl w:val="F0B01E1A"/>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4905432"/>
    <w:multiLevelType w:val="hybridMultilevel"/>
    <w:tmpl w:val="D9EA7E48"/>
    <w:lvl w:ilvl="0" w:tplc="0BDA055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5" w15:restartNumberingAfterBreak="0">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C262C"/>
    <w:multiLevelType w:val="hybridMultilevel"/>
    <w:tmpl w:val="48F2E308"/>
    <w:lvl w:ilvl="0" w:tplc="49D838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D147439"/>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D42DD"/>
    <w:multiLevelType w:val="hybridMultilevel"/>
    <w:tmpl w:val="770441CC"/>
    <w:lvl w:ilvl="0" w:tplc="2C82D4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F05B5D"/>
    <w:multiLevelType w:val="hybridMultilevel"/>
    <w:tmpl w:val="9530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B24B6"/>
    <w:multiLevelType w:val="hybridMultilevel"/>
    <w:tmpl w:val="90C8D74C"/>
    <w:lvl w:ilvl="0" w:tplc="DAC0B5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218F8"/>
    <w:multiLevelType w:val="hybridMultilevel"/>
    <w:tmpl w:val="EE0C0652"/>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083412"/>
    <w:multiLevelType w:val="hybridMultilevel"/>
    <w:tmpl w:val="952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01BA7"/>
    <w:multiLevelType w:val="multilevel"/>
    <w:tmpl w:val="239EC48C"/>
    <w:lvl w:ilvl="0">
      <w:start w:val="1"/>
      <w:numFmt w:val="upp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0217D4E"/>
    <w:multiLevelType w:val="hybridMultilevel"/>
    <w:tmpl w:val="617A24C8"/>
    <w:lvl w:ilvl="0" w:tplc="4BCC1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7E5AAF"/>
    <w:multiLevelType w:val="hybridMultilevel"/>
    <w:tmpl w:val="85B01762"/>
    <w:lvl w:ilvl="0" w:tplc="8040AB0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310333737">
    <w:abstractNumId w:val="31"/>
  </w:num>
  <w:num w:numId="2" w16cid:durableId="1825274462">
    <w:abstractNumId w:val="1"/>
  </w:num>
  <w:num w:numId="3" w16cid:durableId="624777539">
    <w:abstractNumId w:val="16"/>
  </w:num>
  <w:num w:numId="4" w16cid:durableId="1745688995">
    <w:abstractNumId w:val="22"/>
  </w:num>
  <w:num w:numId="5" w16cid:durableId="2025789982">
    <w:abstractNumId w:val="26"/>
  </w:num>
  <w:num w:numId="6" w16cid:durableId="252055423">
    <w:abstractNumId w:val="6"/>
  </w:num>
  <w:num w:numId="7" w16cid:durableId="2015377255">
    <w:abstractNumId w:val="29"/>
  </w:num>
  <w:num w:numId="8" w16cid:durableId="589898851">
    <w:abstractNumId w:val="9"/>
  </w:num>
  <w:num w:numId="9" w16cid:durableId="316887446">
    <w:abstractNumId w:val="27"/>
  </w:num>
  <w:num w:numId="10" w16cid:durableId="528493102">
    <w:abstractNumId w:val="13"/>
  </w:num>
  <w:num w:numId="11" w16cid:durableId="569271090">
    <w:abstractNumId w:val="30"/>
  </w:num>
  <w:num w:numId="12" w16cid:durableId="2028436759">
    <w:abstractNumId w:val="14"/>
  </w:num>
  <w:num w:numId="13" w16cid:durableId="234441745">
    <w:abstractNumId w:val="24"/>
  </w:num>
  <w:num w:numId="14" w16cid:durableId="1097867841">
    <w:abstractNumId w:val="25"/>
  </w:num>
  <w:num w:numId="15" w16cid:durableId="1530727404">
    <w:abstractNumId w:val="19"/>
  </w:num>
  <w:num w:numId="16" w16cid:durableId="162286782">
    <w:abstractNumId w:val="7"/>
  </w:num>
  <w:num w:numId="17" w16cid:durableId="259799842">
    <w:abstractNumId w:val="15"/>
  </w:num>
  <w:num w:numId="18" w16cid:durableId="402458726">
    <w:abstractNumId w:val="32"/>
  </w:num>
  <w:num w:numId="19" w16cid:durableId="1011100932">
    <w:abstractNumId w:val="2"/>
  </w:num>
  <w:num w:numId="20" w16cid:durableId="1950622569">
    <w:abstractNumId w:val="5"/>
  </w:num>
  <w:num w:numId="21" w16cid:durableId="413934826">
    <w:abstractNumId w:val="3"/>
  </w:num>
  <w:num w:numId="22" w16cid:durableId="2039351859">
    <w:abstractNumId w:val="23"/>
  </w:num>
  <w:num w:numId="23" w16cid:durableId="1404790115">
    <w:abstractNumId w:val="12"/>
  </w:num>
  <w:num w:numId="24" w16cid:durableId="645862282">
    <w:abstractNumId w:val="17"/>
  </w:num>
  <w:num w:numId="25" w16cid:durableId="2094162057">
    <w:abstractNumId w:val="34"/>
  </w:num>
  <w:num w:numId="26" w16cid:durableId="1413165649">
    <w:abstractNumId w:val="0"/>
  </w:num>
  <w:num w:numId="27" w16cid:durableId="125125312">
    <w:abstractNumId w:val="20"/>
  </w:num>
  <w:num w:numId="28" w16cid:durableId="1295791036">
    <w:abstractNumId w:val="21"/>
  </w:num>
  <w:num w:numId="29" w16cid:durableId="1552230699">
    <w:abstractNumId w:val="10"/>
  </w:num>
  <w:num w:numId="30" w16cid:durableId="1360542790">
    <w:abstractNumId w:val="18"/>
  </w:num>
  <w:num w:numId="31" w16cid:durableId="487674923">
    <w:abstractNumId w:val="8"/>
  </w:num>
  <w:num w:numId="32" w16cid:durableId="1303997354">
    <w:abstractNumId w:val="33"/>
  </w:num>
  <w:num w:numId="33" w16cid:durableId="1149860558">
    <w:abstractNumId w:val="28"/>
  </w:num>
  <w:num w:numId="34" w16cid:durableId="1113208378">
    <w:abstractNumId w:val="4"/>
  </w:num>
  <w:num w:numId="35" w16cid:durableId="100528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45"/>
    <w:rsid w:val="00001492"/>
    <w:rsid w:val="000030CF"/>
    <w:rsid w:val="00003624"/>
    <w:rsid w:val="000036BD"/>
    <w:rsid w:val="00003ABD"/>
    <w:rsid w:val="00003DF5"/>
    <w:rsid w:val="00005303"/>
    <w:rsid w:val="00005546"/>
    <w:rsid w:val="00010245"/>
    <w:rsid w:val="000103CF"/>
    <w:rsid w:val="000138CE"/>
    <w:rsid w:val="000161DA"/>
    <w:rsid w:val="000173EF"/>
    <w:rsid w:val="0002113B"/>
    <w:rsid w:val="00023BFC"/>
    <w:rsid w:val="0002506D"/>
    <w:rsid w:val="00025645"/>
    <w:rsid w:val="00025D32"/>
    <w:rsid w:val="000342F5"/>
    <w:rsid w:val="00037AA5"/>
    <w:rsid w:val="00037B42"/>
    <w:rsid w:val="0004071D"/>
    <w:rsid w:val="00041B0B"/>
    <w:rsid w:val="00044090"/>
    <w:rsid w:val="00046C5C"/>
    <w:rsid w:val="000510E1"/>
    <w:rsid w:val="00051607"/>
    <w:rsid w:val="00053225"/>
    <w:rsid w:val="00053E48"/>
    <w:rsid w:val="00054EF4"/>
    <w:rsid w:val="0006098F"/>
    <w:rsid w:val="00074A55"/>
    <w:rsid w:val="000836DD"/>
    <w:rsid w:val="00084AF9"/>
    <w:rsid w:val="00086AEB"/>
    <w:rsid w:val="00090CA5"/>
    <w:rsid w:val="00091F95"/>
    <w:rsid w:val="00097508"/>
    <w:rsid w:val="000A3ECA"/>
    <w:rsid w:val="000A4FDA"/>
    <w:rsid w:val="000A5033"/>
    <w:rsid w:val="000B6DE3"/>
    <w:rsid w:val="000C3619"/>
    <w:rsid w:val="000C6168"/>
    <w:rsid w:val="000D1141"/>
    <w:rsid w:val="000D1D24"/>
    <w:rsid w:val="000D3435"/>
    <w:rsid w:val="000D53B5"/>
    <w:rsid w:val="000E0AC5"/>
    <w:rsid w:val="000E23D0"/>
    <w:rsid w:val="000E2D89"/>
    <w:rsid w:val="000E3014"/>
    <w:rsid w:val="000E540D"/>
    <w:rsid w:val="00104CBE"/>
    <w:rsid w:val="00105288"/>
    <w:rsid w:val="00105EEB"/>
    <w:rsid w:val="00106232"/>
    <w:rsid w:val="00111BB9"/>
    <w:rsid w:val="00111CDF"/>
    <w:rsid w:val="00113E11"/>
    <w:rsid w:val="001158B5"/>
    <w:rsid w:val="00117CA4"/>
    <w:rsid w:val="001264F0"/>
    <w:rsid w:val="00132B20"/>
    <w:rsid w:val="001371AB"/>
    <w:rsid w:val="00137882"/>
    <w:rsid w:val="00137D8B"/>
    <w:rsid w:val="00140178"/>
    <w:rsid w:val="00141271"/>
    <w:rsid w:val="001423F4"/>
    <w:rsid w:val="00142729"/>
    <w:rsid w:val="001450FB"/>
    <w:rsid w:val="00145F73"/>
    <w:rsid w:val="00147A9C"/>
    <w:rsid w:val="00150498"/>
    <w:rsid w:val="00152824"/>
    <w:rsid w:val="00160878"/>
    <w:rsid w:val="00163D4B"/>
    <w:rsid w:val="001658B7"/>
    <w:rsid w:val="00167D85"/>
    <w:rsid w:val="00172D6B"/>
    <w:rsid w:val="001734C2"/>
    <w:rsid w:val="001735CF"/>
    <w:rsid w:val="0017385F"/>
    <w:rsid w:val="0017654A"/>
    <w:rsid w:val="00182891"/>
    <w:rsid w:val="001836FD"/>
    <w:rsid w:val="0019058E"/>
    <w:rsid w:val="00196564"/>
    <w:rsid w:val="00196EA7"/>
    <w:rsid w:val="001A334B"/>
    <w:rsid w:val="001B1896"/>
    <w:rsid w:val="001B2392"/>
    <w:rsid w:val="001B2947"/>
    <w:rsid w:val="001B6F20"/>
    <w:rsid w:val="001C18EA"/>
    <w:rsid w:val="001C28B9"/>
    <w:rsid w:val="001D3986"/>
    <w:rsid w:val="001D3D4C"/>
    <w:rsid w:val="001D426A"/>
    <w:rsid w:val="001D58C8"/>
    <w:rsid w:val="001E0402"/>
    <w:rsid w:val="001E1005"/>
    <w:rsid w:val="001F0366"/>
    <w:rsid w:val="001F0844"/>
    <w:rsid w:val="001F6BB3"/>
    <w:rsid w:val="00200922"/>
    <w:rsid w:val="00203DCD"/>
    <w:rsid w:val="00204299"/>
    <w:rsid w:val="00206271"/>
    <w:rsid w:val="00211D4E"/>
    <w:rsid w:val="00213A46"/>
    <w:rsid w:val="002174DC"/>
    <w:rsid w:val="0022096D"/>
    <w:rsid w:val="002226D6"/>
    <w:rsid w:val="0022317D"/>
    <w:rsid w:val="002307C8"/>
    <w:rsid w:val="00232690"/>
    <w:rsid w:val="002357B9"/>
    <w:rsid w:val="00236E5A"/>
    <w:rsid w:val="002411F5"/>
    <w:rsid w:val="00244A24"/>
    <w:rsid w:val="002466A2"/>
    <w:rsid w:val="00250019"/>
    <w:rsid w:val="00251B4B"/>
    <w:rsid w:val="0025271C"/>
    <w:rsid w:val="00260829"/>
    <w:rsid w:val="002670D8"/>
    <w:rsid w:val="00274271"/>
    <w:rsid w:val="002754FA"/>
    <w:rsid w:val="00277734"/>
    <w:rsid w:val="00291F13"/>
    <w:rsid w:val="00294BC4"/>
    <w:rsid w:val="00295526"/>
    <w:rsid w:val="00297D3F"/>
    <w:rsid w:val="002B0BE0"/>
    <w:rsid w:val="002B5059"/>
    <w:rsid w:val="002B5206"/>
    <w:rsid w:val="002B570E"/>
    <w:rsid w:val="002C3362"/>
    <w:rsid w:val="002C33CF"/>
    <w:rsid w:val="002C49A5"/>
    <w:rsid w:val="002C4ACD"/>
    <w:rsid w:val="002C7304"/>
    <w:rsid w:val="002D0C95"/>
    <w:rsid w:val="002D2149"/>
    <w:rsid w:val="002E15DF"/>
    <w:rsid w:val="002E1F13"/>
    <w:rsid w:val="002E2602"/>
    <w:rsid w:val="002E5319"/>
    <w:rsid w:val="002E6DB3"/>
    <w:rsid w:val="002E7C58"/>
    <w:rsid w:val="002F033F"/>
    <w:rsid w:val="002F0B7C"/>
    <w:rsid w:val="002F1E94"/>
    <w:rsid w:val="002F226B"/>
    <w:rsid w:val="002F3D25"/>
    <w:rsid w:val="002F438B"/>
    <w:rsid w:val="002F4971"/>
    <w:rsid w:val="002F524D"/>
    <w:rsid w:val="002F5A33"/>
    <w:rsid w:val="00301F41"/>
    <w:rsid w:val="003035B2"/>
    <w:rsid w:val="00306CCE"/>
    <w:rsid w:val="003126D3"/>
    <w:rsid w:val="00313964"/>
    <w:rsid w:val="00315F3D"/>
    <w:rsid w:val="003162F4"/>
    <w:rsid w:val="003168D4"/>
    <w:rsid w:val="003177D4"/>
    <w:rsid w:val="00320AE9"/>
    <w:rsid w:val="00321012"/>
    <w:rsid w:val="003220E2"/>
    <w:rsid w:val="00322CD2"/>
    <w:rsid w:val="00323143"/>
    <w:rsid w:val="00331E3A"/>
    <w:rsid w:val="00332ACD"/>
    <w:rsid w:val="003368E0"/>
    <w:rsid w:val="003409A7"/>
    <w:rsid w:val="00340C41"/>
    <w:rsid w:val="0034208F"/>
    <w:rsid w:val="00342307"/>
    <w:rsid w:val="00342C24"/>
    <w:rsid w:val="00343A32"/>
    <w:rsid w:val="00344DCA"/>
    <w:rsid w:val="003515A5"/>
    <w:rsid w:val="00352E26"/>
    <w:rsid w:val="00352E41"/>
    <w:rsid w:val="00354470"/>
    <w:rsid w:val="00355F7A"/>
    <w:rsid w:val="00360DA0"/>
    <w:rsid w:val="00363700"/>
    <w:rsid w:val="00365FA4"/>
    <w:rsid w:val="0036605B"/>
    <w:rsid w:val="00372C12"/>
    <w:rsid w:val="00381AD1"/>
    <w:rsid w:val="00382ED6"/>
    <w:rsid w:val="0038533C"/>
    <w:rsid w:val="00386388"/>
    <w:rsid w:val="0039453F"/>
    <w:rsid w:val="00396142"/>
    <w:rsid w:val="00396E5B"/>
    <w:rsid w:val="003B139E"/>
    <w:rsid w:val="003B2D71"/>
    <w:rsid w:val="003B3AD6"/>
    <w:rsid w:val="003C1BDB"/>
    <w:rsid w:val="003C1E13"/>
    <w:rsid w:val="003C34D3"/>
    <w:rsid w:val="003D13AD"/>
    <w:rsid w:val="003D42BE"/>
    <w:rsid w:val="003E321E"/>
    <w:rsid w:val="003E4A80"/>
    <w:rsid w:val="003E68F5"/>
    <w:rsid w:val="003F39F6"/>
    <w:rsid w:val="003F3CC1"/>
    <w:rsid w:val="003F41B6"/>
    <w:rsid w:val="003F7AA0"/>
    <w:rsid w:val="004003D9"/>
    <w:rsid w:val="00402DF4"/>
    <w:rsid w:val="004030E7"/>
    <w:rsid w:val="00407E2E"/>
    <w:rsid w:val="004122A0"/>
    <w:rsid w:val="0042446C"/>
    <w:rsid w:val="00427EC8"/>
    <w:rsid w:val="00430C13"/>
    <w:rsid w:val="00430F99"/>
    <w:rsid w:val="00431B5E"/>
    <w:rsid w:val="00432422"/>
    <w:rsid w:val="00433C17"/>
    <w:rsid w:val="00436B3C"/>
    <w:rsid w:val="004414E3"/>
    <w:rsid w:val="0044197E"/>
    <w:rsid w:val="00443195"/>
    <w:rsid w:val="00443A81"/>
    <w:rsid w:val="004446DE"/>
    <w:rsid w:val="00447852"/>
    <w:rsid w:val="00452368"/>
    <w:rsid w:val="00452EE0"/>
    <w:rsid w:val="004559B1"/>
    <w:rsid w:val="004576BA"/>
    <w:rsid w:val="0046084A"/>
    <w:rsid w:val="00462D63"/>
    <w:rsid w:val="00480530"/>
    <w:rsid w:val="00480BF8"/>
    <w:rsid w:val="0048106F"/>
    <w:rsid w:val="004824D2"/>
    <w:rsid w:val="004918BB"/>
    <w:rsid w:val="00493A5A"/>
    <w:rsid w:val="004A03DC"/>
    <w:rsid w:val="004A34BE"/>
    <w:rsid w:val="004B361B"/>
    <w:rsid w:val="004B43AC"/>
    <w:rsid w:val="004B5A8F"/>
    <w:rsid w:val="004C1D3C"/>
    <w:rsid w:val="004D033C"/>
    <w:rsid w:val="004D065B"/>
    <w:rsid w:val="004D10BD"/>
    <w:rsid w:val="004D5314"/>
    <w:rsid w:val="004D7D57"/>
    <w:rsid w:val="004E1990"/>
    <w:rsid w:val="004E3E4B"/>
    <w:rsid w:val="004F4025"/>
    <w:rsid w:val="004F4E44"/>
    <w:rsid w:val="004F6C56"/>
    <w:rsid w:val="00502220"/>
    <w:rsid w:val="00502A40"/>
    <w:rsid w:val="00511FE0"/>
    <w:rsid w:val="00512A85"/>
    <w:rsid w:val="00513C86"/>
    <w:rsid w:val="00514763"/>
    <w:rsid w:val="00514E6F"/>
    <w:rsid w:val="00516427"/>
    <w:rsid w:val="00526F3D"/>
    <w:rsid w:val="0054077F"/>
    <w:rsid w:val="00544680"/>
    <w:rsid w:val="00551EC3"/>
    <w:rsid w:val="00552F44"/>
    <w:rsid w:val="0055657D"/>
    <w:rsid w:val="005568A7"/>
    <w:rsid w:val="0056300E"/>
    <w:rsid w:val="0056336D"/>
    <w:rsid w:val="00563C7A"/>
    <w:rsid w:val="00567293"/>
    <w:rsid w:val="005677A4"/>
    <w:rsid w:val="005728F1"/>
    <w:rsid w:val="00580818"/>
    <w:rsid w:val="00580B43"/>
    <w:rsid w:val="00583741"/>
    <w:rsid w:val="00585C77"/>
    <w:rsid w:val="00586B11"/>
    <w:rsid w:val="005900CA"/>
    <w:rsid w:val="00595F75"/>
    <w:rsid w:val="00597057"/>
    <w:rsid w:val="00597AB2"/>
    <w:rsid w:val="005A010A"/>
    <w:rsid w:val="005A0ED6"/>
    <w:rsid w:val="005A361D"/>
    <w:rsid w:val="005A560B"/>
    <w:rsid w:val="005B5AD4"/>
    <w:rsid w:val="005B749D"/>
    <w:rsid w:val="005B7568"/>
    <w:rsid w:val="005B7D2D"/>
    <w:rsid w:val="005C28B3"/>
    <w:rsid w:val="005C2E13"/>
    <w:rsid w:val="005C6CC8"/>
    <w:rsid w:val="005D1771"/>
    <w:rsid w:val="005D4D6E"/>
    <w:rsid w:val="005D6405"/>
    <w:rsid w:val="005E0E20"/>
    <w:rsid w:val="005E363D"/>
    <w:rsid w:val="005E427D"/>
    <w:rsid w:val="005F0A47"/>
    <w:rsid w:val="005F0AD2"/>
    <w:rsid w:val="005F4400"/>
    <w:rsid w:val="005F4710"/>
    <w:rsid w:val="005F66A3"/>
    <w:rsid w:val="006007CC"/>
    <w:rsid w:val="00602BBC"/>
    <w:rsid w:val="00614A92"/>
    <w:rsid w:val="006172E4"/>
    <w:rsid w:val="00624489"/>
    <w:rsid w:val="00626D4B"/>
    <w:rsid w:val="00627016"/>
    <w:rsid w:val="006307CA"/>
    <w:rsid w:val="00631F3D"/>
    <w:rsid w:val="00635D79"/>
    <w:rsid w:val="006371AC"/>
    <w:rsid w:val="00637899"/>
    <w:rsid w:val="006408E2"/>
    <w:rsid w:val="00641A40"/>
    <w:rsid w:val="0064287A"/>
    <w:rsid w:val="00643455"/>
    <w:rsid w:val="00644747"/>
    <w:rsid w:val="00644AF1"/>
    <w:rsid w:val="0065295A"/>
    <w:rsid w:val="00652D02"/>
    <w:rsid w:val="00655248"/>
    <w:rsid w:val="00655C60"/>
    <w:rsid w:val="006572F2"/>
    <w:rsid w:val="006575F6"/>
    <w:rsid w:val="00657F36"/>
    <w:rsid w:val="0066700D"/>
    <w:rsid w:val="00673C45"/>
    <w:rsid w:val="00681129"/>
    <w:rsid w:val="006814B7"/>
    <w:rsid w:val="006814E7"/>
    <w:rsid w:val="00683C51"/>
    <w:rsid w:val="0068505E"/>
    <w:rsid w:val="00687862"/>
    <w:rsid w:val="00687A90"/>
    <w:rsid w:val="006A180D"/>
    <w:rsid w:val="006A1BE9"/>
    <w:rsid w:val="006A4BB2"/>
    <w:rsid w:val="006A4E1E"/>
    <w:rsid w:val="006A50D2"/>
    <w:rsid w:val="006A53DE"/>
    <w:rsid w:val="006A65A3"/>
    <w:rsid w:val="006B153F"/>
    <w:rsid w:val="006B2E10"/>
    <w:rsid w:val="006B60B6"/>
    <w:rsid w:val="006C58FF"/>
    <w:rsid w:val="006C5BA2"/>
    <w:rsid w:val="006C79B3"/>
    <w:rsid w:val="006C7F5E"/>
    <w:rsid w:val="006D3FE9"/>
    <w:rsid w:val="006D45AD"/>
    <w:rsid w:val="006E1C01"/>
    <w:rsid w:val="006E205D"/>
    <w:rsid w:val="006E286A"/>
    <w:rsid w:val="006F0639"/>
    <w:rsid w:val="006F79F5"/>
    <w:rsid w:val="00705DE3"/>
    <w:rsid w:val="00710684"/>
    <w:rsid w:val="00713A1E"/>
    <w:rsid w:val="007163BF"/>
    <w:rsid w:val="00716746"/>
    <w:rsid w:val="0071777D"/>
    <w:rsid w:val="00724C44"/>
    <w:rsid w:val="00727805"/>
    <w:rsid w:val="007314FD"/>
    <w:rsid w:val="00732104"/>
    <w:rsid w:val="00732691"/>
    <w:rsid w:val="00734159"/>
    <w:rsid w:val="00750211"/>
    <w:rsid w:val="0075047B"/>
    <w:rsid w:val="007518B8"/>
    <w:rsid w:val="007545C5"/>
    <w:rsid w:val="00756CEE"/>
    <w:rsid w:val="00757351"/>
    <w:rsid w:val="00757C4B"/>
    <w:rsid w:val="0076007D"/>
    <w:rsid w:val="00761B6E"/>
    <w:rsid w:val="007627B2"/>
    <w:rsid w:val="00762A68"/>
    <w:rsid w:val="00762D8A"/>
    <w:rsid w:val="0076396E"/>
    <w:rsid w:val="00771BDB"/>
    <w:rsid w:val="00774264"/>
    <w:rsid w:val="00774BEA"/>
    <w:rsid w:val="007751D4"/>
    <w:rsid w:val="00777394"/>
    <w:rsid w:val="00784249"/>
    <w:rsid w:val="00785170"/>
    <w:rsid w:val="0079070A"/>
    <w:rsid w:val="007930CE"/>
    <w:rsid w:val="00794072"/>
    <w:rsid w:val="00794B21"/>
    <w:rsid w:val="00797057"/>
    <w:rsid w:val="007A1D90"/>
    <w:rsid w:val="007B2BC2"/>
    <w:rsid w:val="007C18AA"/>
    <w:rsid w:val="007C4089"/>
    <w:rsid w:val="007C4364"/>
    <w:rsid w:val="007D380D"/>
    <w:rsid w:val="007D39AA"/>
    <w:rsid w:val="007E48D4"/>
    <w:rsid w:val="007E6E45"/>
    <w:rsid w:val="007F1366"/>
    <w:rsid w:val="008013C0"/>
    <w:rsid w:val="00801BF7"/>
    <w:rsid w:val="008020EB"/>
    <w:rsid w:val="00804ED5"/>
    <w:rsid w:val="0081242C"/>
    <w:rsid w:val="00812753"/>
    <w:rsid w:val="00813443"/>
    <w:rsid w:val="00813816"/>
    <w:rsid w:val="00813E9C"/>
    <w:rsid w:val="008148AA"/>
    <w:rsid w:val="00817701"/>
    <w:rsid w:val="00817DA0"/>
    <w:rsid w:val="00821F77"/>
    <w:rsid w:val="00826379"/>
    <w:rsid w:val="008356CF"/>
    <w:rsid w:val="008365BA"/>
    <w:rsid w:val="00837020"/>
    <w:rsid w:val="008408BB"/>
    <w:rsid w:val="00865452"/>
    <w:rsid w:val="0087153B"/>
    <w:rsid w:val="008770E9"/>
    <w:rsid w:val="0087794D"/>
    <w:rsid w:val="00880759"/>
    <w:rsid w:val="008828E5"/>
    <w:rsid w:val="0088467C"/>
    <w:rsid w:val="00884893"/>
    <w:rsid w:val="00890DAE"/>
    <w:rsid w:val="00892D04"/>
    <w:rsid w:val="0089548E"/>
    <w:rsid w:val="008971BB"/>
    <w:rsid w:val="00897272"/>
    <w:rsid w:val="008A5F04"/>
    <w:rsid w:val="008A6DDA"/>
    <w:rsid w:val="008A7DE5"/>
    <w:rsid w:val="008B1650"/>
    <w:rsid w:val="008C36D8"/>
    <w:rsid w:val="008C3E09"/>
    <w:rsid w:val="008C6767"/>
    <w:rsid w:val="008D17DB"/>
    <w:rsid w:val="008D51AF"/>
    <w:rsid w:val="008D5CEA"/>
    <w:rsid w:val="008D7D13"/>
    <w:rsid w:val="008E12DE"/>
    <w:rsid w:val="008E17B3"/>
    <w:rsid w:val="008E19BE"/>
    <w:rsid w:val="008E7362"/>
    <w:rsid w:val="008F293C"/>
    <w:rsid w:val="008F4C3B"/>
    <w:rsid w:val="008F7057"/>
    <w:rsid w:val="00900077"/>
    <w:rsid w:val="00900104"/>
    <w:rsid w:val="00901772"/>
    <w:rsid w:val="00903587"/>
    <w:rsid w:val="00904D23"/>
    <w:rsid w:val="00905746"/>
    <w:rsid w:val="00906D08"/>
    <w:rsid w:val="0091339B"/>
    <w:rsid w:val="0091417D"/>
    <w:rsid w:val="00920A76"/>
    <w:rsid w:val="00920ECA"/>
    <w:rsid w:val="00926C0A"/>
    <w:rsid w:val="009312E0"/>
    <w:rsid w:val="00945CD5"/>
    <w:rsid w:val="00946871"/>
    <w:rsid w:val="00950175"/>
    <w:rsid w:val="0095447C"/>
    <w:rsid w:val="00954C5E"/>
    <w:rsid w:val="00957C9B"/>
    <w:rsid w:val="00957DC2"/>
    <w:rsid w:val="009605E5"/>
    <w:rsid w:val="00962533"/>
    <w:rsid w:val="009676DB"/>
    <w:rsid w:val="009747D3"/>
    <w:rsid w:val="00975087"/>
    <w:rsid w:val="00976D70"/>
    <w:rsid w:val="009773C5"/>
    <w:rsid w:val="00977FD7"/>
    <w:rsid w:val="00980837"/>
    <w:rsid w:val="00982AD4"/>
    <w:rsid w:val="00984827"/>
    <w:rsid w:val="00987768"/>
    <w:rsid w:val="00991270"/>
    <w:rsid w:val="009914FF"/>
    <w:rsid w:val="00993B08"/>
    <w:rsid w:val="00995FAD"/>
    <w:rsid w:val="009A13DE"/>
    <w:rsid w:val="009A1FC7"/>
    <w:rsid w:val="009A61D6"/>
    <w:rsid w:val="009A714D"/>
    <w:rsid w:val="009B00FF"/>
    <w:rsid w:val="009B1E34"/>
    <w:rsid w:val="009B2EE6"/>
    <w:rsid w:val="009B4FD3"/>
    <w:rsid w:val="009C14C7"/>
    <w:rsid w:val="009C35FB"/>
    <w:rsid w:val="009D24EC"/>
    <w:rsid w:val="009D37D7"/>
    <w:rsid w:val="009D3BA6"/>
    <w:rsid w:val="009E0E97"/>
    <w:rsid w:val="009E1097"/>
    <w:rsid w:val="009E191B"/>
    <w:rsid w:val="009E259A"/>
    <w:rsid w:val="009E6F45"/>
    <w:rsid w:val="009F4287"/>
    <w:rsid w:val="009F5C57"/>
    <w:rsid w:val="009F6C62"/>
    <w:rsid w:val="00A01C6C"/>
    <w:rsid w:val="00A0672D"/>
    <w:rsid w:val="00A124E3"/>
    <w:rsid w:val="00A13249"/>
    <w:rsid w:val="00A14E30"/>
    <w:rsid w:val="00A20EE4"/>
    <w:rsid w:val="00A224ED"/>
    <w:rsid w:val="00A225EE"/>
    <w:rsid w:val="00A271CD"/>
    <w:rsid w:val="00A30395"/>
    <w:rsid w:val="00A40823"/>
    <w:rsid w:val="00A42925"/>
    <w:rsid w:val="00A44080"/>
    <w:rsid w:val="00A44FA0"/>
    <w:rsid w:val="00A5267C"/>
    <w:rsid w:val="00A5547F"/>
    <w:rsid w:val="00A56BCB"/>
    <w:rsid w:val="00A57549"/>
    <w:rsid w:val="00A602FA"/>
    <w:rsid w:val="00A630D1"/>
    <w:rsid w:val="00A637C4"/>
    <w:rsid w:val="00A67B4B"/>
    <w:rsid w:val="00A7294E"/>
    <w:rsid w:val="00A72CCE"/>
    <w:rsid w:val="00A82FC8"/>
    <w:rsid w:val="00A8419B"/>
    <w:rsid w:val="00A84AC1"/>
    <w:rsid w:val="00A84EE9"/>
    <w:rsid w:val="00A8501D"/>
    <w:rsid w:val="00A85637"/>
    <w:rsid w:val="00A8717A"/>
    <w:rsid w:val="00A910A6"/>
    <w:rsid w:val="00A94048"/>
    <w:rsid w:val="00A94665"/>
    <w:rsid w:val="00A94F63"/>
    <w:rsid w:val="00A96ECE"/>
    <w:rsid w:val="00AA1507"/>
    <w:rsid w:val="00AA2A8A"/>
    <w:rsid w:val="00AA3391"/>
    <w:rsid w:val="00AA43C4"/>
    <w:rsid w:val="00AA4580"/>
    <w:rsid w:val="00AB055C"/>
    <w:rsid w:val="00AB2DBA"/>
    <w:rsid w:val="00AB30F1"/>
    <w:rsid w:val="00AC49BE"/>
    <w:rsid w:val="00AC5DF2"/>
    <w:rsid w:val="00AD2127"/>
    <w:rsid w:val="00AD663C"/>
    <w:rsid w:val="00AE024F"/>
    <w:rsid w:val="00AE0E84"/>
    <w:rsid w:val="00AE18B1"/>
    <w:rsid w:val="00AE2851"/>
    <w:rsid w:val="00AE5EC0"/>
    <w:rsid w:val="00AE7732"/>
    <w:rsid w:val="00AF48F4"/>
    <w:rsid w:val="00AF4FE6"/>
    <w:rsid w:val="00AF6936"/>
    <w:rsid w:val="00AF7245"/>
    <w:rsid w:val="00B02B06"/>
    <w:rsid w:val="00B03C41"/>
    <w:rsid w:val="00B06D5B"/>
    <w:rsid w:val="00B10A4E"/>
    <w:rsid w:val="00B116A9"/>
    <w:rsid w:val="00B16BC1"/>
    <w:rsid w:val="00B215B7"/>
    <w:rsid w:val="00B22DE6"/>
    <w:rsid w:val="00B24D7D"/>
    <w:rsid w:val="00B30D9D"/>
    <w:rsid w:val="00B33F13"/>
    <w:rsid w:val="00B3700F"/>
    <w:rsid w:val="00B448B9"/>
    <w:rsid w:val="00B44917"/>
    <w:rsid w:val="00B63F8A"/>
    <w:rsid w:val="00B67279"/>
    <w:rsid w:val="00B705CA"/>
    <w:rsid w:val="00B72808"/>
    <w:rsid w:val="00B7296D"/>
    <w:rsid w:val="00B73950"/>
    <w:rsid w:val="00B744CE"/>
    <w:rsid w:val="00B76D2A"/>
    <w:rsid w:val="00B7705E"/>
    <w:rsid w:val="00B814EA"/>
    <w:rsid w:val="00B822A5"/>
    <w:rsid w:val="00B83FFD"/>
    <w:rsid w:val="00B84CC3"/>
    <w:rsid w:val="00B8756E"/>
    <w:rsid w:val="00B91029"/>
    <w:rsid w:val="00B94B62"/>
    <w:rsid w:val="00BA0717"/>
    <w:rsid w:val="00BA1FC9"/>
    <w:rsid w:val="00BA2D8C"/>
    <w:rsid w:val="00BA4DAD"/>
    <w:rsid w:val="00BA7319"/>
    <w:rsid w:val="00BB000A"/>
    <w:rsid w:val="00BB1BAE"/>
    <w:rsid w:val="00BB3430"/>
    <w:rsid w:val="00BB348A"/>
    <w:rsid w:val="00BB47AB"/>
    <w:rsid w:val="00BB5EA5"/>
    <w:rsid w:val="00BC093E"/>
    <w:rsid w:val="00BC3C4D"/>
    <w:rsid w:val="00BC45EC"/>
    <w:rsid w:val="00BC5308"/>
    <w:rsid w:val="00BD2017"/>
    <w:rsid w:val="00BD3F48"/>
    <w:rsid w:val="00BE0D46"/>
    <w:rsid w:val="00BE3FA7"/>
    <w:rsid w:val="00BE564B"/>
    <w:rsid w:val="00BE735E"/>
    <w:rsid w:val="00BE7E63"/>
    <w:rsid w:val="00BF0DE0"/>
    <w:rsid w:val="00BF3AE1"/>
    <w:rsid w:val="00BF48F9"/>
    <w:rsid w:val="00BF7C06"/>
    <w:rsid w:val="00C01D12"/>
    <w:rsid w:val="00C037E0"/>
    <w:rsid w:val="00C14E8B"/>
    <w:rsid w:val="00C15EEA"/>
    <w:rsid w:val="00C16575"/>
    <w:rsid w:val="00C17B47"/>
    <w:rsid w:val="00C213F6"/>
    <w:rsid w:val="00C21B4F"/>
    <w:rsid w:val="00C235D9"/>
    <w:rsid w:val="00C23C51"/>
    <w:rsid w:val="00C24231"/>
    <w:rsid w:val="00C24B42"/>
    <w:rsid w:val="00C272B6"/>
    <w:rsid w:val="00C27A7E"/>
    <w:rsid w:val="00C37747"/>
    <w:rsid w:val="00C412A1"/>
    <w:rsid w:val="00C45258"/>
    <w:rsid w:val="00C45C49"/>
    <w:rsid w:val="00C46F10"/>
    <w:rsid w:val="00C47D59"/>
    <w:rsid w:val="00C7445B"/>
    <w:rsid w:val="00C74E14"/>
    <w:rsid w:val="00C75BB1"/>
    <w:rsid w:val="00C871DB"/>
    <w:rsid w:val="00C918A1"/>
    <w:rsid w:val="00CA0397"/>
    <w:rsid w:val="00CA1136"/>
    <w:rsid w:val="00CA233A"/>
    <w:rsid w:val="00CA25F7"/>
    <w:rsid w:val="00CA2CFA"/>
    <w:rsid w:val="00CA2F6E"/>
    <w:rsid w:val="00CA4DB3"/>
    <w:rsid w:val="00CA6937"/>
    <w:rsid w:val="00CB3E29"/>
    <w:rsid w:val="00CC48A4"/>
    <w:rsid w:val="00CC7A3E"/>
    <w:rsid w:val="00CD424F"/>
    <w:rsid w:val="00CE1014"/>
    <w:rsid w:val="00CE4DC8"/>
    <w:rsid w:val="00CE76FB"/>
    <w:rsid w:val="00CF10F6"/>
    <w:rsid w:val="00CF1449"/>
    <w:rsid w:val="00CF3104"/>
    <w:rsid w:val="00CF58D5"/>
    <w:rsid w:val="00CF6155"/>
    <w:rsid w:val="00CF7D08"/>
    <w:rsid w:val="00CF7D60"/>
    <w:rsid w:val="00D0177E"/>
    <w:rsid w:val="00D01D26"/>
    <w:rsid w:val="00D03069"/>
    <w:rsid w:val="00D13275"/>
    <w:rsid w:val="00D15786"/>
    <w:rsid w:val="00D1726A"/>
    <w:rsid w:val="00D221BB"/>
    <w:rsid w:val="00D25036"/>
    <w:rsid w:val="00D276F2"/>
    <w:rsid w:val="00D3002D"/>
    <w:rsid w:val="00D36895"/>
    <w:rsid w:val="00D37DF2"/>
    <w:rsid w:val="00D45172"/>
    <w:rsid w:val="00D47A27"/>
    <w:rsid w:val="00D551BC"/>
    <w:rsid w:val="00D62D7E"/>
    <w:rsid w:val="00D62E1D"/>
    <w:rsid w:val="00D63C2F"/>
    <w:rsid w:val="00D63E89"/>
    <w:rsid w:val="00D66A1F"/>
    <w:rsid w:val="00D671E1"/>
    <w:rsid w:val="00D70C95"/>
    <w:rsid w:val="00D83A37"/>
    <w:rsid w:val="00D84371"/>
    <w:rsid w:val="00DA0C58"/>
    <w:rsid w:val="00DA2EB7"/>
    <w:rsid w:val="00DA2F7A"/>
    <w:rsid w:val="00DA4CC0"/>
    <w:rsid w:val="00DB427B"/>
    <w:rsid w:val="00DB43F7"/>
    <w:rsid w:val="00DC2FAD"/>
    <w:rsid w:val="00DC6355"/>
    <w:rsid w:val="00DC6F50"/>
    <w:rsid w:val="00DD2C83"/>
    <w:rsid w:val="00DD6CDB"/>
    <w:rsid w:val="00DE030D"/>
    <w:rsid w:val="00DE4EA0"/>
    <w:rsid w:val="00DE7DF8"/>
    <w:rsid w:val="00DF06F2"/>
    <w:rsid w:val="00DF10CA"/>
    <w:rsid w:val="00DF162A"/>
    <w:rsid w:val="00DF3D2A"/>
    <w:rsid w:val="00DF517D"/>
    <w:rsid w:val="00DF7B2F"/>
    <w:rsid w:val="00E03F9D"/>
    <w:rsid w:val="00E04B64"/>
    <w:rsid w:val="00E07473"/>
    <w:rsid w:val="00E114F7"/>
    <w:rsid w:val="00E128D2"/>
    <w:rsid w:val="00E12E34"/>
    <w:rsid w:val="00E12F54"/>
    <w:rsid w:val="00E13B26"/>
    <w:rsid w:val="00E2091F"/>
    <w:rsid w:val="00E20EE5"/>
    <w:rsid w:val="00E21EA4"/>
    <w:rsid w:val="00E2215D"/>
    <w:rsid w:val="00E27947"/>
    <w:rsid w:val="00E32E98"/>
    <w:rsid w:val="00E33B63"/>
    <w:rsid w:val="00E3762E"/>
    <w:rsid w:val="00E40DE9"/>
    <w:rsid w:val="00E4271B"/>
    <w:rsid w:val="00E46245"/>
    <w:rsid w:val="00E46BD9"/>
    <w:rsid w:val="00E501CC"/>
    <w:rsid w:val="00E51082"/>
    <w:rsid w:val="00E52145"/>
    <w:rsid w:val="00E565A7"/>
    <w:rsid w:val="00E56ACC"/>
    <w:rsid w:val="00E57895"/>
    <w:rsid w:val="00E57B11"/>
    <w:rsid w:val="00E57EB2"/>
    <w:rsid w:val="00E615C5"/>
    <w:rsid w:val="00E6220A"/>
    <w:rsid w:val="00E64677"/>
    <w:rsid w:val="00E64777"/>
    <w:rsid w:val="00E64C69"/>
    <w:rsid w:val="00E666CB"/>
    <w:rsid w:val="00E667D6"/>
    <w:rsid w:val="00E71980"/>
    <w:rsid w:val="00E752B2"/>
    <w:rsid w:val="00E806E4"/>
    <w:rsid w:val="00E80D8B"/>
    <w:rsid w:val="00E90404"/>
    <w:rsid w:val="00E920EC"/>
    <w:rsid w:val="00E9495E"/>
    <w:rsid w:val="00E950DC"/>
    <w:rsid w:val="00E97F64"/>
    <w:rsid w:val="00EA2710"/>
    <w:rsid w:val="00EB337A"/>
    <w:rsid w:val="00ED2F12"/>
    <w:rsid w:val="00ED7DA3"/>
    <w:rsid w:val="00EE22D7"/>
    <w:rsid w:val="00EE3A6B"/>
    <w:rsid w:val="00EE7C86"/>
    <w:rsid w:val="00EF62D2"/>
    <w:rsid w:val="00EF6E37"/>
    <w:rsid w:val="00EF7A58"/>
    <w:rsid w:val="00F0471D"/>
    <w:rsid w:val="00F05991"/>
    <w:rsid w:val="00F1167A"/>
    <w:rsid w:val="00F12E42"/>
    <w:rsid w:val="00F170F3"/>
    <w:rsid w:val="00F23654"/>
    <w:rsid w:val="00F24369"/>
    <w:rsid w:val="00F2689D"/>
    <w:rsid w:val="00F31BCF"/>
    <w:rsid w:val="00F32747"/>
    <w:rsid w:val="00F35E6A"/>
    <w:rsid w:val="00F4253C"/>
    <w:rsid w:val="00F444F2"/>
    <w:rsid w:val="00F52855"/>
    <w:rsid w:val="00F55E91"/>
    <w:rsid w:val="00F5642C"/>
    <w:rsid w:val="00F5788B"/>
    <w:rsid w:val="00F60251"/>
    <w:rsid w:val="00F60E83"/>
    <w:rsid w:val="00F6151A"/>
    <w:rsid w:val="00F62D44"/>
    <w:rsid w:val="00F6443F"/>
    <w:rsid w:val="00F708F9"/>
    <w:rsid w:val="00F736FC"/>
    <w:rsid w:val="00F768A1"/>
    <w:rsid w:val="00F77C34"/>
    <w:rsid w:val="00F80DA0"/>
    <w:rsid w:val="00F81DD8"/>
    <w:rsid w:val="00F81FD6"/>
    <w:rsid w:val="00F85003"/>
    <w:rsid w:val="00F85231"/>
    <w:rsid w:val="00F85A3F"/>
    <w:rsid w:val="00F86CB4"/>
    <w:rsid w:val="00F91A02"/>
    <w:rsid w:val="00F94DF7"/>
    <w:rsid w:val="00F9785D"/>
    <w:rsid w:val="00F97DD2"/>
    <w:rsid w:val="00FA022C"/>
    <w:rsid w:val="00FA27E2"/>
    <w:rsid w:val="00FA54A6"/>
    <w:rsid w:val="00FB08E0"/>
    <w:rsid w:val="00FB0F8A"/>
    <w:rsid w:val="00FB266D"/>
    <w:rsid w:val="00FB7181"/>
    <w:rsid w:val="00FB71EE"/>
    <w:rsid w:val="00FC04C2"/>
    <w:rsid w:val="00FC1EAA"/>
    <w:rsid w:val="00FC4C14"/>
    <w:rsid w:val="00FD0B85"/>
    <w:rsid w:val="00FD1BA5"/>
    <w:rsid w:val="00FD453A"/>
    <w:rsid w:val="00FD4BD0"/>
    <w:rsid w:val="00FD7155"/>
    <w:rsid w:val="00FE1D85"/>
    <w:rsid w:val="00FE245D"/>
    <w:rsid w:val="00FE46DA"/>
    <w:rsid w:val="00FF50ED"/>
    <w:rsid w:val="00FF79AC"/>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5F084"/>
  <w15:docId w15:val="{6F811E71-92D8-42EA-8659-5A075DC4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 w:type="character" w:styleId="CommentReference">
    <w:name w:val="annotation reference"/>
    <w:basedOn w:val="DefaultParagraphFont"/>
    <w:uiPriority w:val="99"/>
    <w:semiHidden/>
    <w:unhideWhenUsed/>
    <w:rsid w:val="00F85A3F"/>
    <w:rPr>
      <w:sz w:val="16"/>
      <w:szCs w:val="16"/>
    </w:rPr>
  </w:style>
  <w:style w:type="paragraph" w:styleId="CommentText">
    <w:name w:val="annotation text"/>
    <w:basedOn w:val="Normal"/>
    <w:link w:val="CommentTextChar"/>
    <w:uiPriority w:val="99"/>
    <w:semiHidden/>
    <w:unhideWhenUsed/>
    <w:rsid w:val="00F85A3F"/>
    <w:pPr>
      <w:spacing w:line="240" w:lineRule="auto"/>
    </w:pPr>
    <w:rPr>
      <w:sz w:val="20"/>
      <w:szCs w:val="20"/>
    </w:rPr>
  </w:style>
  <w:style w:type="character" w:customStyle="1" w:styleId="CommentTextChar">
    <w:name w:val="Comment Text Char"/>
    <w:basedOn w:val="DefaultParagraphFont"/>
    <w:link w:val="CommentText"/>
    <w:uiPriority w:val="99"/>
    <w:semiHidden/>
    <w:rsid w:val="00F85A3F"/>
    <w:rPr>
      <w:sz w:val="20"/>
      <w:szCs w:val="20"/>
    </w:rPr>
  </w:style>
  <w:style w:type="paragraph" w:styleId="CommentSubject">
    <w:name w:val="annotation subject"/>
    <w:basedOn w:val="CommentText"/>
    <w:next w:val="CommentText"/>
    <w:link w:val="CommentSubjectChar"/>
    <w:uiPriority w:val="99"/>
    <w:semiHidden/>
    <w:unhideWhenUsed/>
    <w:rsid w:val="00F85A3F"/>
    <w:rPr>
      <w:b/>
      <w:bCs/>
    </w:rPr>
  </w:style>
  <w:style w:type="character" w:customStyle="1" w:styleId="CommentSubjectChar">
    <w:name w:val="Comment Subject Char"/>
    <w:basedOn w:val="CommentTextChar"/>
    <w:link w:val="CommentSubject"/>
    <w:uiPriority w:val="99"/>
    <w:semiHidden/>
    <w:rsid w:val="00F85A3F"/>
    <w:rPr>
      <w:b/>
      <w:bCs/>
      <w:sz w:val="20"/>
      <w:szCs w:val="20"/>
    </w:rPr>
  </w:style>
  <w:style w:type="paragraph" w:styleId="NormalWeb">
    <w:name w:val="Normal (Web)"/>
    <w:basedOn w:val="Normal"/>
    <w:uiPriority w:val="99"/>
    <w:unhideWhenUsed/>
    <w:rsid w:val="00B672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07473"/>
    <w:pPr>
      <w:ind w:firstLine="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E07473"/>
    <w:rPr>
      <w:rFonts w:ascii="Times New Roman" w:hAnsi="Times New Roman" w:cs="Times New Roman"/>
      <w:sz w:val="24"/>
      <w:szCs w:val="24"/>
    </w:rPr>
  </w:style>
  <w:style w:type="paragraph" w:styleId="BlockText">
    <w:name w:val="Block Text"/>
    <w:basedOn w:val="Normal"/>
    <w:uiPriority w:val="99"/>
    <w:unhideWhenUsed/>
    <w:rsid w:val="001423F4"/>
    <w:pPr>
      <w:ind w:left="720" w:right="720"/>
    </w:pPr>
    <w:rPr>
      <w:rFonts w:ascii="Times New Roman" w:hAnsi="Times New Roman" w:cs="Times New Roman"/>
      <w:sz w:val="24"/>
      <w:szCs w:val="24"/>
    </w:rPr>
  </w:style>
  <w:style w:type="paragraph" w:customStyle="1" w:styleId="paragraph">
    <w:name w:val="paragraph"/>
    <w:basedOn w:val="Normal"/>
    <w:rsid w:val="00183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linked-ref">
    <w:name w:val="unlinked-ref"/>
    <w:basedOn w:val="DefaultParagraphFont"/>
    <w:rsid w:val="001836FD"/>
  </w:style>
  <w:style w:type="character" w:customStyle="1" w:styleId="num">
    <w:name w:val="num"/>
    <w:basedOn w:val="DefaultParagraphFont"/>
    <w:rsid w:val="00CD424F"/>
  </w:style>
  <w:style w:type="paragraph" w:styleId="Revision">
    <w:name w:val="Revision"/>
    <w:hidden/>
    <w:uiPriority w:val="99"/>
    <w:semiHidden/>
    <w:rsid w:val="00A14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115494427">
      <w:bodyDiv w:val="1"/>
      <w:marLeft w:val="0"/>
      <w:marRight w:val="0"/>
      <w:marTop w:val="0"/>
      <w:marBottom w:val="0"/>
      <w:divBdr>
        <w:top w:val="none" w:sz="0" w:space="0" w:color="auto"/>
        <w:left w:val="none" w:sz="0" w:space="0" w:color="auto"/>
        <w:bottom w:val="none" w:sz="0" w:space="0" w:color="auto"/>
        <w:right w:val="none" w:sz="0" w:space="0" w:color="auto"/>
      </w:divBdr>
    </w:div>
    <w:div w:id="137888456">
      <w:bodyDiv w:val="1"/>
      <w:marLeft w:val="0"/>
      <w:marRight w:val="0"/>
      <w:marTop w:val="0"/>
      <w:marBottom w:val="0"/>
      <w:divBdr>
        <w:top w:val="none" w:sz="0" w:space="0" w:color="auto"/>
        <w:left w:val="none" w:sz="0" w:space="0" w:color="auto"/>
        <w:bottom w:val="none" w:sz="0" w:space="0" w:color="auto"/>
        <w:right w:val="none" w:sz="0" w:space="0" w:color="auto"/>
      </w:divBdr>
    </w:div>
    <w:div w:id="183133517">
      <w:bodyDiv w:val="1"/>
      <w:marLeft w:val="0"/>
      <w:marRight w:val="0"/>
      <w:marTop w:val="0"/>
      <w:marBottom w:val="0"/>
      <w:divBdr>
        <w:top w:val="none" w:sz="0" w:space="0" w:color="auto"/>
        <w:left w:val="none" w:sz="0" w:space="0" w:color="auto"/>
        <w:bottom w:val="none" w:sz="0" w:space="0" w:color="auto"/>
        <w:right w:val="none" w:sz="0" w:space="0" w:color="auto"/>
      </w:divBdr>
      <w:divsChild>
        <w:div w:id="1340353346">
          <w:marLeft w:val="0"/>
          <w:marRight w:val="0"/>
          <w:marTop w:val="0"/>
          <w:marBottom w:val="0"/>
          <w:divBdr>
            <w:top w:val="none" w:sz="0" w:space="0" w:color="auto"/>
            <w:left w:val="none" w:sz="0" w:space="0" w:color="auto"/>
            <w:bottom w:val="none" w:sz="0" w:space="0" w:color="auto"/>
            <w:right w:val="none" w:sz="0" w:space="0" w:color="auto"/>
          </w:divBdr>
        </w:div>
      </w:divsChild>
    </w:div>
    <w:div w:id="223486893">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494416346">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659044927">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13611723">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407650451">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3710">
      <w:bodyDiv w:val="1"/>
      <w:marLeft w:val="0"/>
      <w:marRight w:val="0"/>
      <w:marTop w:val="0"/>
      <w:marBottom w:val="0"/>
      <w:divBdr>
        <w:top w:val="none" w:sz="0" w:space="0" w:color="auto"/>
        <w:left w:val="none" w:sz="0" w:space="0" w:color="auto"/>
        <w:bottom w:val="none" w:sz="0" w:space="0" w:color="auto"/>
        <w:right w:val="none" w:sz="0" w:space="0" w:color="auto"/>
      </w:divBdr>
      <w:divsChild>
        <w:div w:id="1491408441">
          <w:marLeft w:val="0"/>
          <w:marRight w:val="0"/>
          <w:marTop w:val="240"/>
          <w:marBottom w:val="0"/>
          <w:divBdr>
            <w:top w:val="none" w:sz="0" w:space="0" w:color="auto"/>
            <w:left w:val="none" w:sz="0" w:space="0" w:color="auto"/>
            <w:bottom w:val="none" w:sz="0" w:space="0" w:color="auto"/>
            <w:right w:val="none" w:sz="0" w:space="0" w:color="auto"/>
          </w:divBdr>
          <w:divsChild>
            <w:div w:id="346834234">
              <w:marLeft w:val="0"/>
              <w:marRight w:val="0"/>
              <w:marTop w:val="0"/>
              <w:marBottom w:val="0"/>
              <w:divBdr>
                <w:top w:val="none" w:sz="0" w:space="0" w:color="auto"/>
                <w:left w:val="none" w:sz="0" w:space="0" w:color="auto"/>
                <w:bottom w:val="none" w:sz="0" w:space="0" w:color="auto"/>
                <w:right w:val="none" w:sz="0" w:space="0" w:color="auto"/>
              </w:divBdr>
            </w:div>
          </w:divsChild>
        </w:div>
        <w:div w:id="883374353">
          <w:marLeft w:val="0"/>
          <w:marRight w:val="0"/>
          <w:marTop w:val="240"/>
          <w:marBottom w:val="0"/>
          <w:divBdr>
            <w:top w:val="none" w:sz="0" w:space="0" w:color="auto"/>
            <w:left w:val="none" w:sz="0" w:space="0" w:color="auto"/>
            <w:bottom w:val="none" w:sz="0" w:space="0" w:color="auto"/>
            <w:right w:val="none" w:sz="0" w:space="0" w:color="auto"/>
          </w:divBdr>
          <w:divsChild>
            <w:div w:id="6102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9517">
      <w:bodyDiv w:val="1"/>
      <w:marLeft w:val="0"/>
      <w:marRight w:val="0"/>
      <w:marTop w:val="0"/>
      <w:marBottom w:val="0"/>
      <w:divBdr>
        <w:top w:val="none" w:sz="0" w:space="0" w:color="auto"/>
        <w:left w:val="none" w:sz="0" w:space="0" w:color="auto"/>
        <w:bottom w:val="none" w:sz="0" w:space="0" w:color="auto"/>
        <w:right w:val="none" w:sz="0" w:space="0" w:color="auto"/>
      </w:divBdr>
    </w:div>
    <w:div w:id="1943758807">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7105-2BA5-4D15-8E9D-79D1B648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Erlichman, Reece (ALA)</cp:lastModifiedBy>
  <cp:revision>2</cp:revision>
  <cp:lastPrinted>2023-07-12T15:00:00Z</cp:lastPrinted>
  <dcterms:created xsi:type="dcterms:W3CDTF">2023-07-21T14:14:00Z</dcterms:created>
  <dcterms:modified xsi:type="dcterms:W3CDTF">2023-07-21T14:14:00Z</dcterms:modified>
  <cp:category>Georgetown and DMH, BSEA # 15-00020</cp:category>
</cp:coreProperties>
</file>