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D348" w14:textId="77777777" w:rsidR="003A23BC" w:rsidRPr="00CC79C7" w:rsidRDefault="003A23BC" w:rsidP="003A23BC">
      <w:pPr>
        <w:shd w:val="clear" w:color="auto" w:fill="FFFFFF"/>
        <w:jc w:val="center"/>
        <w:rPr>
          <w:color w:val="000000" w:themeColor="text1"/>
        </w:rPr>
      </w:pPr>
      <w:r w:rsidRPr="00CC79C7">
        <w:rPr>
          <w:b/>
          <w:bCs/>
          <w:color w:val="000000" w:themeColor="text1"/>
        </w:rPr>
        <w:t>COMMONWEALTH OF MASSACHUSETTS</w:t>
      </w:r>
    </w:p>
    <w:p w14:paraId="60DF51AA" w14:textId="77777777" w:rsidR="003A23BC" w:rsidRPr="00CC79C7" w:rsidRDefault="003A23BC" w:rsidP="003A23BC">
      <w:pPr>
        <w:shd w:val="clear" w:color="auto" w:fill="FFFFFF"/>
        <w:jc w:val="center"/>
        <w:rPr>
          <w:color w:val="000000" w:themeColor="text1"/>
        </w:rPr>
      </w:pPr>
      <w:r w:rsidRPr="00CC79C7">
        <w:rPr>
          <w:b/>
          <w:bCs/>
          <w:color w:val="000000" w:themeColor="text1"/>
        </w:rPr>
        <w:t>DIVISION OF ADMINISTRATIVE LAW APPEALS</w:t>
      </w:r>
    </w:p>
    <w:p w14:paraId="724CBECC" w14:textId="77777777" w:rsidR="003A23BC" w:rsidRPr="00CC79C7" w:rsidRDefault="003A23BC" w:rsidP="003A23BC">
      <w:pPr>
        <w:shd w:val="clear" w:color="auto" w:fill="FFFFFF"/>
        <w:jc w:val="center"/>
        <w:rPr>
          <w:b/>
          <w:bCs/>
          <w:color w:val="000000" w:themeColor="text1"/>
        </w:rPr>
      </w:pPr>
      <w:r w:rsidRPr="00CC79C7">
        <w:rPr>
          <w:b/>
          <w:bCs/>
          <w:color w:val="000000" w:themeColor="text1"/>
        </w:rPr>
        <w:t>BUREAU OF SPECIAL EDUCATION APPEALS</w:t>
      </w:r>
    </w:p>
    <w:p w14:paraId="0540825D" w14:textId="77777777" w:rsidR="003A23BC" w:rsidRPr="00CC79C7" w:rsidRDefault="003A23BC" w:rsidP="003A23BC">
      <w:pPr>
        <w:shd w:val="clear" w:color="auto" w:fill="FFFFFF"/>
        <w:rPr>
          <w:color w:val="000000" w:themeColor="text1"/>
        </w:rPr>
      </w:pPr>
    </w:p>
    <w:p w14:paraId="16D5CCA1" w14:textId="25493E32" w:rsidR="003A23BC" w:rsidRPr="00CC79C7" w:rsidRDefault="003A23BC" w:rsidP="003A23BC">
      <w:pPr>
        <w:shd w:val="clear" w:color="auto" w:fill="FFFFFF"/>
        <w:rPr>
          <w:b/>
          <w:bCs/>
          <w:color w:val="000000" w:themeColor="text1"/>
        </w:rPr>
      </w:pPr>
      <w:r w:rsidRPr="00CC79C7">
        <w:rPr>
          <w:b/>
          <w:bCs/>
          <w:color w:val="000000" w:themeColor="text1"/>
        </w:rPr>
        <w:t xml:space="preserve"> In re: Student v. </w:t>
      </w:r>
      <w:r w:rsidR="00217833" w:rsidRPr="00CC79C7">
        <w:rPr>
          <w:b/>
          <w:bCs/>
          <w:color w:val="000000" w:themeColor="text1"/>
        </w:rPr>
        <w:t>Mendon-Upton Regional School District</w:t>
      </w:r>
      <w:r w:rsidRPr="00CC79C7">
        <w:rPr>
          <w:b/>
          <w:bCs/>
          <w:color w:val="000000" w:themeColor="text1"/>
        </w:rPr>
        <w:tab/>
      </w:r>
      <w:r w:rsidRPr="00CC79C7">
        <w:rPr>
          <w:b/>
          <w:bCs/>
          <w:color w:val="000000" w:themeColor="text1"/>
        </w:rPr>
        <w:tab/>
        <w:t xml:space="preserve">BSEA #  </w:t>
      </w:r>
      <w:r w:rsidR="003F7471">
        <w:rPr>
          <w:b/>
          <w:bCs/>
          <w:color w:val="000000" w:themeColor="text1"/>
        </w:rPr>
        <w:t>2313527</w:t>
      </w:r>
    </w:p>
    <w:p w14:paraId="6975D728" w14:textId="77777777" w:rsidR="003A23BC" w:rsidRPr="00CC79C7" w:rsidRDefault="003A23BC" w:rsidP="003A23BC">
      <w:pPr>
        <w:shd w:val="clear" w:color="auto" w:fill="FFFFFF"/>
        <w:jc w:val="center"/>
        <w:rPr>
          <w:b/>
          <w:bCs/>
          <w:color w:val="000000" w:themeColor="text1"/>
        </w:rPr>
      </w:pPr>
    </w:p>
    <w:p w14:paraId="2359237B" w14:textId="5FEB85B8" w:rsidR="003A23BC" w:rsidRPr="00CC79C7" w:rsidRDefault="003A23BC" w:rsidP="003A23BC">
      <w:pPr>
        <w:shd w:val="clear" w:color="auto" w:fill="FFFFFF"/>
        <w:jc w:val="center"/>
        <w:rPr>
          <w:b/>
          <w:bCs/>
          <w:color w:val="000000" w:themeColor="text1"/>
        </w:rPr>
      </w:pPr>
      <w:r w:rsidRPr="00CC79C7">
        <w:rPr>
          <w:b/>
          <w:bCs/>
          <w:color w:val="000000" w:themeColor="text1"/>
        </w:rPr>
        <w:t>RULING ONPARENT’S MOTION FOR COUNSEL’S RECUSAL</w:t>
      </w:r>
    </w:p>
    <w:p w14:paraId="2DB2FACE" w14:textId="77777777" w:rsidR="003A23BC" w:rsidRPr="00CC79C7" w:rsidRDefault="003A23BC" w:rsidP="003A23BC">
      <w:pPr>
        <w:shd w:val="clear" w:color="auto" w:fill="FFFFFF"/>
        <w:jc w:val="center"/>
        <w:rPr>
          <w:color w:val="000000" w:themeColor="text1"/>
        </w:rPr>
      </w:pPr>
    </w:p>
    <w:p w14:paraId="464C8881" w14:textId="0DAEF2A1" w:rsidR="003A23BC" w:rsidRPr="00CC79C7" w:rsidRDefault="003A23BC" w:rsidP="003A23BC">
      <w:pPr>
        <w:shd w:val="clear" w:color="auto" w:fill="FFFFFF"/>
        <w:rPr>
          <w:color w:val="000000" w:themeColor="text1"/>
        </w:rPr>
      </w:pPr>
      <w:r w:rsidRPr="00CC79C7">
        <w:rPr>
          <w:color w:val="000000" w:themeColor="text1"/>
        </w:rPr>
        <w:t xml:space="preserve">This matter comes before the </w:t>
      </w:r>
      <w:r w:rsidR="00CC79C7">
        <w:rPr>
          <w:color w:val="000000" w:themeColor="text1"/>
        </w:rPr>
        <w:t>July 5, 2023</w:t>
      </w:r>
      <w:r w:rsidR="00CC79C7">
        <w:rPr>
          <w:rStyle w:val="FootnoteReference"/>
          <w:color w:val="000000" w:themeColor="text1"/>
        </w:rPr>
        <w:footnoteReference w:id="1"/>
      </w:r>
      <w:r w:rsidR="00CC79C7">
        <w:rPr>
          <w:color w:val="000000" w:themeColor="text1"/>
        </w:rPr>
        <w:t xml:space="preserve"> </w:t>
      </w:r>
      <w:r w:rsidRPr="00CC79C7">
        <w:rPr>
          <w:color w:val="000000" w:themeColor="text1"/>
        </w:rPr>
        <w:t xml:space="preserve">Hearing Officer on </w:t>
      </w:r>
      <w:r w:rsidRPr="00CC79C7">
        <w:rPr>
          <w:i/>
          <w:iCs/>
          <w:color w:val="000000" w:themeColor="text1"/>
        </w:rPr>
        <w:t>Parent’s Motion for Counsel’s Recusal</w:t>
      </w:r>
      <w:r w:rsidRPr="00CC79C7">
        <w:rPr>
          <w:color w:val="000000" w:themeColor="text1"/>
        </w:rPr>
        <w:t xml:space="preserve"> requesting that </w:t>
      </w:r>
      <w:r w:rsidR="00D851E6">
        <w:rPr>
          <w:color w:val="000000" w:themeColor="text1"/>
        </w:rPr>
        <w:t xml:space="preserve">counsel for </w:t>
      </w:r>
      <w:r w:rsidR="00217833" w:rsidRPr="00CC79C7">
        <w:rPr>
          <w:color w:val="000000" w:themeColor="text1"/>
        </w:rPr>
        <w:t xml:space="preserve">Mendon-Upton Regional School District (Mendon-Upton or the District) </w:t>
      </w:r>
      <w:r w:rsidRPr="00CC79C7">
        <w:rPr>
          <w:color w:val="000000" w:themeColor="text1"/>
        </w:rPr>
        <w:t>be disqualified or recused from the instant due process hearing (</w:t>
      </w:r>
      <w:r w:rsidRPr="00CC79C7">
        <w:rPr>
          <w:i/>
          <w:iCs/>
          <w:color w:val="000000" w:themeColor="text1"/>
        </w:rPr>
        <w:t>Motion</w:t>
      </w:r>
      <w:r w:rsidRPr="00CC79C7">
        <w:rPr>
          <w:color w:val="000000" w:themeColor="text1"/>
        </w:rPr>
        <w:t xml:space="preserve">). </w:t>
      </w:r>
      <w:r w:rsidR="00CC79C7">
        <w:rPr>
          <w:color w:val="000000" w:themeColor="text1"/>
        </w:rPr>
        <w:t>On the same date, the District responded opposing Parent’s Motion.</w:t>
      </w:r>
      <w:r w:rsidRPr="00CC79C7">
        <w:rPr>
          <w:color w:val="000000" w:themeColor="text1"/>
        </w:rPr>
        <w:t xml:space="preserve"> </w:t>
      </w:r>
      <w:r w:rsidR="00CC79C7">
        <w:rPr>
          <w:color w:val="000000" w:themeColor="text1"/>
        </w:rPr>
        <w:t xml:space="preserve"> </w:t>
      </w:r>
    </w:p>
    <w:p w14:paraId="011D8446" w14:textId="77777777" w:rsidR="003A23BC" w:rsidRPr="00CC79C7" w:rsidRDefault="003A23BC" w:rsidP="003A23BC">
      <w:pPr>
        <w:shd w:val="clear" w:color="auto" w:fill="FFFFFF"/>
        <w:rPr>
          <w:color w:val="000000" w:themeColor="text1"/>
        </w:rPr>
      </w:pPr>
    </w:p>
    <w:p w14:paraId="646828E0" w14:textId="77777777" w:rsidR="003A23BC" w:rsidRPr="00CC79C7" w:rsidRDefault="003A23BC" w:rsidP="003A23BC">
      <w:pPr>
        <w:shd w:val="clear" w:color="auto" w:fill="FFFFFF"/>
        <w:rPr>
          <w:color w:val="000000" w:themeColor="text1"/>
        </w:rPr>
      </w:pPr>
      <w:r w:rsidRPr="00CC79C7">
        <w:rPr>
          <w:color w:val="000000" w:themeColor="text1"/>
        </w:rPr>
        <w:t>Neither party has requested a hearing on either motion. Because neither testimony nor oral argument would advance the Hearing Officer’s understanding of the issues involved, this Ruling is issued without a hearing, pursuant to Bureau of Special Education Appeals Hearing Rule VII(D).</w:t>
      </w:r>
    </w:p>
    <w:p w14:paraId="0AF5031B" w14:textId="77777777" w:rsidR="003A23BC" w:rsidRPr="00CC79C7" w:rsidRDefault="003A23BC" w:rsidP="003A23BC">
      <w:pPr>
        <w:shd w:val="clear" w:color="auto" w:fill="FFFFFF"/>
        <w:rPr>
          <w:color w:val="000000" w:themeColor="text1"/>
        </w:rPr>
      </w:pPr>
    </w:p>
    <w:p w14:paraId="7484C6B2" w14:textId="5BE9B4EF" w:rsidR="003A23BC" w:rsidRPr="00CC79C7" w:rsidRDefault="003A23BC" w:rsidP="003A23BC">
      <w:pPr>
        <w:shd w:val="clear" w:color="auto" w:fill="FFFFFF"/>
        <w:rPr>
          <w:color w:val="000000" w:themeColor="text1"/>
        </w:rPr>
      </w:pPr>
      <w:r w:rsidRPr="00CC79C7">
        <w:rPr>
          <w:color w:val="000000" w:themeColor="text1"/>
        </w:rPr>
        <w:t xml:space="preserve">For the reasons set forth below, Parent’s </w:t>
      </w:r>
      <w:r w:rsidRPr="00CC79C7">
        <w:rPr>
          <w:i/>
          <w:iCs/>
          <w:color w:val="000000" w:themeColor="text1"/>
        </w:rPr>
        <w:t xml:space="preserve">Motion </w:t>
      </w:r>
      <w:r w:rsidRPr="00CC79C7">
        <w:rPr>
          <w:color w:val="000000" w:themeColor="text1"/>
        </w:rPr>
        <w:t>is hereby</w:t>
      </w:r>
      <w:r w:rsidRPr="00CC79C7">
        <w:rPr>
          <w:b/>
          <w:bCs/>
          <w:color w:val="000000" w:themeColor="text1"/>
        </w:rPr>
        <w:t xml:space="preserve"> DENIED.</w:t>
      </w:r>
    </w:p>
    <w:p w14:paraId="24C79B18" w14:textId="77777777" w:rsidR="003A23BC" w:rsidRPr="00CC79C7" w:rsidRDefault="003A23BC" w:rsidP="003A23BC">
      <w:pPr>
        <w:shd w:val="clear" w:color="auto" w:fill="FFFFFF"/>
        <w:jc w:val="center"/>
        <w:rPr>
          <w:color w:val="000000" w:themeColor="text1"/>
        </w:rPr>
      </w:pPr>
    </w:p>
    <w:p w14:paraId="1895A7EF" w14:textId="77777777" w:rsidR="003A23BC" w:rsidRPr="00CC79C7" w:rsidRDefault="003A23BC" w:rsidP="003A23BC">
      <w:pPr>
        <w:shd w:val="clear" w:color="auto" w:fill="FFFFFF"/>
        <w:rPr>
          <w:b/>
          <w:bCs/>
          <w:color w:val="000000" w:themeColor="text1"/>
        </w:rPr>
      </w:pPr>
      <w:r w:rsidRPr="00CC79C7">
        <w:rPr>
          <w:b/>
          <w:bCs/>
          <w:color w:val="000000" w:themeColor="text1"/>
        </w:rPr>
        <w:t>RELEVANT FACTS AND PROCEDURAL HISTORY:</w:t>
      </w:r>
    </w:p>
    <w:p w14:paraId="405848DA" w14:textId="77777777" w:rsidR="003A23BC" w:rsidRPr="00CC79C7" w:rsidRDefault="003A23BC" w:rsidP="003A23BC">
      <w:pPr>
        <w:shd w:val="clear" w:color="auto" w:fill="FFFFFF"/>
        <w:rPr>
          <w:color w:val="000000" w:themeColor="text1"/>
        </w:rPr>
      </w:pPr>
    </w:p>
    <w:p w14:paraId="4746CE94" w14:textId="4E408B67" w:rsidR="00CC79C7" w:rsidRDefault="00CC79C7" w:rsidP="003A23BC">
      <w:pPr>
        <w:shd w:val="clear" w:color="auto" w:fill="FFFFFF"/>
        <w:rPr>
          <w:color w:val="000000" w:themeColor="text1"/>
        </w:rPr>
      </w:pPr>
      <w:r>
        <w:rPr>
          <w:color w:val="000000" w:themeColor="text1"/>
        </w:rPr>
        <w:t xml:space="preserve">Student is a rising first grade student attending </w:t>
      </w:r>
      <w:r w:rsidRPr="00CC79C7">
        <w:rPr>
          <w:color w:val="000000" w:themeColor="text1"/>
        </w:rPr>
        <w:t>the Mendon-Upton Regional School District</w:t>
      </w:r>
      <w:r>
        <w:rPr>
          <w:color w:val="000000" w:themeColor="text1"/>
        </w:rPr>
        <w:t>. Student</w:t>
      </w:r>
      <w:r w:rsidR="00217833" w:rsidRPr="00CC79C7">
        <w:rPr>
          <w:color w:val="000000" w:themeColor="text1"/>
        </w:rPr>
        <w:t xml:space="preserve"> had a</w:t>
      </w:r>
      <w:r>
        <w:rPr>
          <w:color w:val="000000" w:themeColor="text1"/>
        </w:rPr>
        <w:t>n active</w:t>
      </w:r>
      <w:r w:rsidR="00217833" w:rsidRPr="00CC79C7">
        <w:rPr>
          <w:color w:val="000000" w:themeColor="text1"/>
        </w:rPr>
        <w:t xml:space="preserve"> 504 </w:t>
      </w:r>
      <w:r>
        <w:rPr>
          <w:color w:val="000000" w:themeColor="text1"/>
        </w:rPr>
        <w:t>Plan until February 2023</w:t>
      </w:r>
      <w:r w:rsidR="00217833" w:rsidRPr="00CC79C7">
        <w:rPr>
          <w:color w:val="000000" w:themeColor="text1"/>
        </w:rPr>
        <w:t xml:space="preserve">, when she was found ineligible. </w:t>
      </w:r>
      <w:r>
        <w:rPr>
          <w:color w:val="000000" w:themeColor="text1"/>
        </w:rPr>
        <w:t xml:space="preserve">Due to new </w:t>
      </w:r>
      <w:r w:rsidR="00217833" w:rsidRPr="00CC79C7">
        <w:rPr>
          <w:color w:val="000000" w:themeColor="text1"/>
        </w:rPr>
        <w:t xml:space="preserve">concerns </w:t>
      </w:r>
      <w:r>
        <w:rPr>
          <w:color w:val="000000" w:themeColor="text1"/>
        </w:rPr>
        <w:t>regarding Student’s</w:t>
      </w:r>
      <w:r w:rsidR="00217833" w:rsidRPr="00CC79C7">
        <w:rPr>
          <w:color w:val="000000" w:themeColor="text1"/>
        </w:rPr>
        <w:t xml:space="preserve"> learning, including her ability to read and write, </w:t>
      </w:r>
      <w:r>
        <w:rPr>
          <w:color w:val="000000" w:themeColor="text1"/>
        </w:rPr>
        <w:t>on June 20, 2023, Parents</w:t>
      </w:r>
      <w:r w:rsidR="00217833" w:rsidRPr="00CC79C7">
        <w:rPr>
          <w:color w:val="000000" w:themeColor="text1"/>
        </w:rPr>
        <w:t xml:space="preserve"> requested a full evaluation</w:t>
      </w:r>
      <w:r>
        <w:rPr>
          <w:color w:val="000000" w:themeColor="text1"/>
        </w:rPr>
        <w:t xml:space="preserve">. </w:t>
      </w:r>
    </w:p>
    <w:p w14:paraId="18A3B456" w14:textId="77777777" w:rsidR="00CC79C7" w:rsidRDefault="00CC79C7" w:rsidP="003A23BC">
      <w:pPr>
        <w:shd w:val="clear" w:color="auto" w:fill="FFFFFF"/>
        <w:rPr>
          <w:color w:val="000000" w:themeColor="text1"/>
        </w:rPr>
      </w:pPr>
    </w:p>
    <w:p w14:paraId="75232728" w14:textId="7F871FC9" w:rsidR="00217833" w:rsidRPr="00CC79C7" w:rsidRDefault="00CC79C7" w:rsidP="003A23BC">
      <w:pPr>
        <w:shd w:val="clear" w:color="auto" w:fill="FFFFFF"/>
        <w:rPr>
          <w:color w:val="000000" w:themeColor="text1"/>
        </w:rPr>
      </w:pPr>
      <w:r w:rsidRPr="00CC79C7">
        <w:rPr>
          <w:color w:val="000000" w:themeColor="text1"/>
        </w:rPr>
        <w:t>On June 23, 2023, Parents filed a Request for Hearing</w:t>
      </w:r>
      <w:r>
        <w:rPr>
          <w:color w:val="000000" w:themeColor="text1"/>
        </w:rPr>
        <w:t xml:space="preserve"> seeking </w:t>
      </w:r>
      <w:r w:rsidRPr="00CC79C7">
        <w:rPr>
          <w:color w:val="000000" w:themeColor="text1"/>
        </w:rPr>
        <w:t xml:space="preserve">an Independent Educational Evaluation, paid for by the </w:t>
      </w:r>
      <w:r>
        <w:rPr>
          <w:color w:val="000000" w:themeColor="text1"/>
        </w:rPr>
        <w:t>D</w:t>
      </w:r>
      <w:r w:rsidRPr="00CC79C7">
        <w:rPr>
          <w:color w:val="000000" w:themeColor="text1"/>
        </w:rPr>
        <w:t>istrict.</w:t>
      </w:r>
      <w:r>
        <w:rPr>
          <w:color w:val="000000" w:themeColor="text1"/>
        </w:rPr>
        <w:t xml:space="preserve"> Parents also ask that “</w:t>
      </w:r>
      <w:r w:rsidR="00217833" w:rsidRPr="00CC79C7">
        <w:rPr>
          <w:color w:val="000000" w:themeColor="text1"/>
        </w:rPr>
        <w:t xml:space="preserve">a written 504 plan to be developed and executed fully for when </w:t>
      </w:r>
      <w:r>
        <w:rPr>
          <w:color w:val="000000" w:themeColor="text1"/>
        </w:rPr>
        <w:t>[Student]</w:t>
      </w:r>
      <w:r w:rsidR="00217833" w:rsidRPr="00CC79C7">
        <w:rPr>
          <w:color w:val="000000" w:themeColor="text1"/>
        </w:rPr>
        <w:t xml:space="preserve"> starts first grade. This should include services and accommodations that were outlined in her previous evaluation, as well recommendations from her developmental pediatrician, </w:t>
      </w:r>
      <w:r>
        <w:rPr>
          <w:color w:val="000000" w:themeColor="text1"/>
        </w:rPr>
        <w:t>[]</w:t>
      </w:r>
      <w:r w:rsidR="00217833" w:rsidRPr="00CC79C7">
        <w:rPr>
          <w:color w:val="000000" w:themeColor="text1"/>
        </w:rPr>
        <w:t>, and the district's BCBA.</w:t>
      </w:r>
      <w:r>
        <w:rPr>
          <w:color w:val="000000" w:themeColor="text1"/>
        </w:rPr>
        <w:t>” Parents also assert</w:t>
      </w:r>
      <w:r w:rsidR="00513794">
        <w:rPr>
          <w:color w:val="000000" w:themeColor="text1"/>
        </w:rPr>
        <w:t xml:space="preserve">ed, in part, </w:t>
      </w:r>
      <w:r>
        <w:rPr>
          <w:color w:val="000000" w:themeColor="text1"/>
        </w:rPr>
        <w:t>that if “the</w:t>
      </w:r>
      <w:r w:rsidR="00217833" w:rsidRPr="00CC79C7">
        <w:rPr>
          <w:color w:val="000000" w:themeColor="text1"/>
        </w:rPr>
        <w:t xml:space="preserve"> district continue</w:t>
      </w:r>
      <w:r w:rsidR="00513794">
        <w:rPr>
          <w:color w:val="000000" w:themeColor="text1"/>
        </w:rPr>
        <w:t>[d]</w:t>
      </w:r>
      <w:r w:rsidR="00217833" w:rsidRPr="00CC79C7">
        <w:rPr>
          <w:color w:val="000000" w:themeColor="text1"/>
        </w:rPr>
        <w:t xml:space="preserve"> to be unwilling or incapable of providing and implementing a 504 plan fully, </w:t>
      </w:r>
      <w:r w:rsidR="00513794">
        <w:rPr>
          <w:color w:val="000000" w:themeColor="text1"/>
        </w:rPr>
        <w:t>[they]</w:t>
      </w:r>
      <w:r w:rsidR="00217833" w:rsidRPr="00CC79C7">
        <w:rPr>
          <w:color w:val="000000" w:themeColor="text1"/>
        </w:rPr>
        <w:t xml:space="preserve"> request that the </w:t>
      </w:r>
      <w:r w:rsidR="00513794">
        <w:rPr>
          <w:color w:val="000000" w:themeColor="text1"/>
        </w:rPr>
        <w:t xml:space="preserve">district </w:t>
      </w:r>
      <w:r w:rsidR="00217833" w:rsidRPr="00CC79C7">
        <w:rPr>
          <w:color w:val="000000" w:themeColor="text1"/>
        </w:rPr>
        <w:t xml:space="preserve">place </w:t>
      </w:r>
      <w:r w:rsidR="00513794">
        <w:rPr>
          <w:color w:val="000000" w:themeColor="text1"/>
        </w:rPr>
        <w:t>[Student]</w:t>
      </w:r>
      <w:r w:rsidR="00217833" w:rsidRPr="00CC79C7">
        <w:rPr>
          <w:color w:val="000000" w:themeColor="text1"/>
        </w:rPr>
        <w:t xml:space="preserve"> in an independent or out</w:t>
      </w:r>
      <w:r w:rsidR="00513794">
        <w:rPr>
          <w:color w:val="000000" w:themeColor="text1"/>
        </w:rPr>
        <w:t>-o</w:t>
      </w:r>
      <w:r w:rsidR="00217833" w:rsidRPr="00CC79C7">
        <w:rPr>
          <w:color w:val="000000" w:themeColor="text1"/>
        </w:rPr>
        <w:t>f-dis</w:t>
      </w:r>
      <w:r w:rsidR="00513794">
        <w:rPr>
          <w:color w:val="000000" w:themeColor="text1"/>
        </w:rPr>
        <w:t xml:space="preserve">trict </w:t>
      </w:r>
      <w:r w:rsidR="00217833" w:rsidRPr="00CC79C7">
        <w:rPr>
          <w:color w:val="000000" w:themeColor="text1"/>
        </w:rPr>
        <w:t>(school choice) school and cover costs for all tuition and transportation.</w:t>
      </w:r>
      <w:r w:rsidR="00513794">
        <w:rPr>
          <w:color w:val="000000" w:themeColor="text1"/>
        </w:rPr>
        <w:t>”</w:t>
      </w:r>
    </w:p>
    <w:p w14:paraId="36F7DC07" w14:textId="77777777" w:rsidR="00CC79C7" w:rsidRPr="00CC79C7" w:rsidRDefault="00CC79C7" w:rsidP="003A23BC">
      <w:pPr>
        <w:shd w:val="clear" w:color="auto" w:fill="FFFFFF"/>
        <w:rPr>
          <w:color w:val="000000" w:themeColor="text1"/>
        </w:rPr>
      </w:pPr>
    </w:p>
    <w:p w14:paraId="6C02F043" w14:textId="06B20339" w:rsidR="00CC79C7" w:rsidRPr="00513794" w:rsidRDefault="00CC79C7" w:rsidP="00513794">
      <w:pPr>
        <w:shd w:val="clear" w:color="auto" w:fill="FFFFFF"/>
        <w:rPr>
          <w:color w:val="000000" w:themeColor="text1"/>
        </w:rPr>
      </w:pPr>
      <w:r w:rsidRPr="00CC79C7">
        <w:rPr>
          <w:color w:val="000000" w:themeColor="text1"/>
        </w:rPr>
        <w:t xml:space="preserve">Via email </w:t>
      </w:r>
      <w:r w:rsidR="00513794">
        <w:rPr>
          <w:color w:val="000000" w:themeColor="text1"/>
        </w:rPr>
        <w:t>at 6:52PM on</w:t>
      </w:r>
      <w:r w:rsidRPr="00CC79C7">
        <w:rPr>
          <w:color w:val="000000" w:themeColor="text1"/>
        </w:rPr>
        <w:t xml:space="preserve"> July 3, 2023, P</w:t>
      </w:r>
      <w:r w:rsidR="00513794">
        <w:rPr>
          <w:color w:val="000000" w:themeColor="text1"/>
        </w:rPr>
        <w:t>a</w:t>
      </w:r>
      <w:r w:rsidRPr="00CC79C7">
        <w:rPr>
          <w:color w:val="000000" w:themeColor="text1"/>
        </w:rPr>
        <w:t xml:space="preserve">rent </w:t>
      </w:r>
      <w:r w:rsidR="00513794">
        <w:rPr>
          <w:color w:val="000000" w:themeColor="text1"/>
        </w:rPr>
        <w:t xml:space="preserve">submitted the instant </w:t>
      </w:r>
      <w:r w:rsidR="00513794" w:rsidRPr="00513794">
        <w:rPr>
          <w:i/>
          <w:iCs/>
          <w:color w:val="000000" w:themeColor="text1"/>
        </w:rPr>
        <w:t>Motion</w:t>
      </w:r>
      <w:r w:rsidR="00513794">
        <w:rPr>
          <w:color w:val="000000" w:themeColor="text1"/>
        </w:rPr>
        <w:t xml:space="preserve">, </w:t>
      </w:r>
      <w:r w:rsidRPr="00CC79C7">
        <w:rPr>
          <w:color w:val="000000" w:themeColor="text1"/>
          <w:bdr w:val="none" w:sz="0" w:space="0" w:color="auto" w:frame="1"/>
        </w:rPr>
        <w:t xml:space="preserve">requesting that </w:t>
      </w:r>
      <w:r w:rsidR="00513794">
        <w:rPr>
          <w:color w:val="000000" w:themeColor="text1"/>
          <w:bdr w:val="none" w:sz="0" w:space="0" w:color="auto" w:frame="1"/>
        </w:rPr>
        <w:t>District’s Counsel</w:t>
      </w:r>
      <w:r w:rsidRPr="00CC79C7">
        <w:rPr>
          <w:color w:val="000000" w:themeColor="text1"/>
          <w:bdr w:val="none" w:sz="0" w:space="0" w:color="auto" w:frame="1"/>
        </w:rPr>
        <w:t xml:space="preserve"> </w:t>
      </w:r>
      <w:r w:rsidR="00513794">
        <w:rPr>
          <w:color w:val="000000" w:themeColor="text1"/>
          <w:bdr w:val="none" w:sz="0" w:space="0" w:color="auto" w:frame="1"/>
        </w:rPr>
        <w:t>“</w:t>
      </w:r>
      <w:r w:rsidRPr="00CC79C7">
        <w:rPr>
          <w:color w:val="000000" w:themeColor="text1"/>
          <w:bdr w:val="none" w:sz="0" w:space="0" w:color="auto" w:frame="1"/>
        </w:rPr>
        <w:t xml:space="preserve">be removed as counsel for the district. </w:t>
      </w:r>
      <w:r w:rsidR="00513794">
        <w:rPr>
          <w:color w:val="000000" w:themeColor="text1"/>
          <w:bdr w:val="none" w:sz="0" w:space="0" w:color="auto" w:frame="1"/>
        </w:rPr>
        <w:t>[District’s Counsel]</w:t>
      </w:r>
      <w:r w:rsidRPr="00CC79C7">
        <w:rPr>
          <w:color w:val="000000" w:themeColor="text1"/>
          <w:bdr w:val="none" w:sz="0" w:space="0" w:color="auto" w:frame="1"/>
        </w:rPr>
        <w:t xml:space="preserve"> represented the district in a previous hearing regarding my child, and, on two separate occasions, sent emails to the incorrect parties - one was to the personal email of the previous hearing officer, and one was including me on another district’s communication. I have serious concerns with </w:t>
      </w:r>
      <w:r w:rsidR="00513794">
        <w:rPr>
          <w:color w:val="000000" w:themeColor="text1"/>
          <w:bdr w:val="none" w:sz="0" w:space="0" w:color="auto" w:frame="1"/>
        </w:rPr>
        <w:t>[District Counsel’s]</w:t>
      </w:r>
      <w:r w:rsidRPr="00CC79C7">
        <w:rPr>
          <w:color w:val="000000" w:themeColor="text1"/>
          <w:bdr w:val="none" w:sz="0" w:space="0" w:color="auto" w:frame="1"/>
        </w:rPr>
        <w:t xml:space="preserve"> ability to maintain confidentiality.</w:t>
      </w:r>
      <w:r w:rsidR="00513794">
        <w:rPr>
          <w:color w:val="000000" w:themeColor="text1"/>
          <w:bdr w:val="none" w:sz="0" w:space="0" w:color="auto" w:frame="1"/>
        </w:rPr>
        <w:t>”</w:t>
      </w:r>
      <w:r w:rsidRPr="00CC79C7">
        <w:rPr>
          <w:rStyle w:val="apple-converted-space"/>
          <w:color w:val="000000" w:themeColor="text1"/>
          <w:bdr w:val="none" w:sz="0" w:space="0" w:color="auto" w:frame="1"/>
        </w:rPr>
        <w:t> </w:t>
      </w:r>
    </w:p>
    <w:p w14:paraId="41CB38E1" w14:textId="77777777" w:rsidR="00CC79C7" w:rsidRPr="00CC79C7" w:rsidRDefault="00CC79C7" w:rsidP="003A23BC">
      <w:pPr>
        <w:shd w:val="clear" w:color="auto" w:fill="FFFFFF"/>
        <w:rPr>
          <w:color w:val="000000" w:themeColor="text1"/>
        </w:rPr>
      </w:pPr>
    </w:p>
    <w:p w14:paraId="195746C2" w14:textId="1640686E" w:rsidR="00CC79C7" w:rsidRPr="00CC79C7" w:rsidRDefault="00513794" w:rsidP="003A23BC">
      <w:pPr>
        <w:shd w:val="clear" w:color="auto" w:fill="FFFFFF"/>
        <w:rPr>
          <w:color w:val="000000" w:themeColor="text1"/>
        </w:rPr>
      </w:pPr>
      <w:r>
        <w:rPr>
          <w:color w:val="000000" w:themeColor="text1"/>
        </w:rPr>
        <w:lastRenderedPageBreak/>
        <w:t>On the same day, t</w:t>
      </w:r>
      <w:r w:rsidR="00CC79C7" w:rsidRPr="00CC79C7">
        <w:rPr>
          <w:color w:val="000000" w:themeColor="text1"/>
        </w:rPr>
        <w:t>he District</w:t>
      </w:r>
      <w:r>
        <w:rPr>
          <w:color w:val="000000" w:themeColor="text1"/>
        </w:rPr>
        <w:t>’s Counsel</w:t>
      </w:r>
      <w:r w:rsidR="00CC79C7" w:rsidRPr="00CC79C7">
        <w:rPr>
          <w:color w:val="000000" w:themeColor="text1"/>
        </w:rPr>
        <w:t xml:space="preserve"> responded </w:t>
      </w:r>
      <w:r>
        <w:rPr>
          <w:color w:val="000000" w:themeColor="text1"/>
        </w:rPr>
        <w:t>that</w:t>
      </w:r>
      <w:r w:rsidR="00CC79C7" w:rsidRPr="00CC79C7">
        <w:rPr>
          <w:color w:val="000000" w:themeColor="text1"/>
        </w:rPr>
        <w:t xml:space="preserve"> </w:t>
      </w:r>
      <w:r>
        <w:rPr>
          <w:color w:val="000000" w:themeColor="text1"/>
        </w:rPr>
        <w:t>“t</w:t>
      </w:r>
      <w:r w:rsidR="00CC79C7" w:rsidRPr="00CC79C7">
        <w:rPr>
          <w:color w:val="000000" w:themeColor="text1"/>
          <w:shd w:val="clear" w:color="auto" w:fill="FFFFFF"/>
        </w:rPr>
        <w:t>he district is my client, and they have asked me to represent them in this matter. I do not believe the BSEA has jurisdiction to tell a district which attorney they can choose to represent them.</w:t>
      </w:r>
      <w:r>
        <w:rPr>
          <w:color w:val="000000" w:themeColor="text1"/>
          <w:shd w:val="clear" w:color="auto" w:fill="FFFFFF"/>
        </w:rPr>
        <w:t>”</w:t>
      </w:r>
    </w:p>
    <w:p w14:paraId="5DEF52D5" w14:textId="77777777" w:rsidR="003A23BC" w:rsidRPr="00CC79C7" w:rsidRDefault="003A23BC" w:rsidP="003A23BC">
      <w:pPr>
        <w:shd w:val="clear" w:color="auto" w:fill="FFFFFF"/>
        <w:rPr>
          <w:color w:val="000000" w:themeColor="text1"/>
        </w:rPr>
      </w:pPr>
    </w:p>
    <w:p w14:paraId="41499177" w14:textId="77777777" w:rsidR="003A23BC" w:rsidRPr="00CC79C7" w:rsidRDefault="003A23BC" w:rsidP="003A23BC">
      <w:pPr>
        <w:shd w:val="clear" w:color="auto" w:fill="FFFFFF"/>
        <w:rPr>
          <w:b/>
          <w:bCs/>
          <w:color w:val="000000" w:themeColor="text1"/>
        </w:rPr>
      </w:pPr>
      <w:r w:rsidRPr="00CC79C7">
        <w:rPr>
          <w:b/>
          <w:bCs/>
          <w:color w:val="000000" w:themeColor="text1"/>
        </w:rPr>
        <w:t>LEGAL STANDARDS:</w:t>
      </w:r>
    </w:p>
    <w:p w14:paraId="3E5E6523" w14:textId="77777777" w:rsidR="003A23BC" w:rsidRPr="00CC79C7" w:rsidRDefault="003A23BC" w:rsidP="003A23BC">
      <w:pPr>
        <w:shd w:val="clear" w:color="auto" w:fill="FFFFFF"/>
        <w:rPr>
          <w:color w:val="000000" w:themeColor="text1"/>
        </w:rPr>
      </w:pPr>
    </w:p>
    <w:p w14:paraId="480B7869" w14:textId="14C911E1" w:rsidR="003A23BC" w:rsidRPr="00CC79C7" w:rsidRDefault="003A23BC" w:rsidP="003A23BC">
      <w:pPr>
        <w:pStyle w:val="NormalWeb"/>
        <w:numPr>
          <w:ilvl w:val="0"/>
          <w:numId w:val="1"/>
        </w:numPr>
        <w:spacing w:before="0" w:beforeAutospacing="0" w:after="375" w:afterAutospacing="0"/>
        <w:rPr>
          <w:color w:val="000000" w:themeColor="text1"/>
        </w:rPr>
      </w:pPr>
      <w:r w:rsidRPr="00CC79C7">
        <w:rPr>
          <w:rStyle w:val="Emphasis"/>
          <w:color w:val="000000" w:themeColor="text1"/>
        </w:rPr>
        <w:t>Legal Standard for Ruling on Motion for Counsel’s Recusal</w:t>
      </w:r>
    </w:p>
    <w:p w14:paraId="7B173553" w14:textId="77777777" w:rsidR="003A23BC" w:rsidRPr="00CC79C7" w:rsidRDefault="003A23BC" w:rsidP="003A23BC">
      <w:pPr>
        <w:pStyle w:val="NormalWeb"/>
        <w:spacing w:before="0" w:beforeAutospacing="0" w:after="375" w:afterAutospacing="0"/>
        <w:rPr>
          <w:color w:val="000000" w:themeColor="text1"/>
        </w:rPr>
      </w:pPr>
      <w:r w:rsidRPr="00CC79C7">
        <w:rPr>
          <w:color w:val="000000" w:themeColor="text1"/>
        </w:rPr>
        <w:t>Motions to recuse counsel by their nature are intensely fact specific.</w:t>
      </w:r>
      <w:r w:rsidRPr="00CC79C7">
        <w:rPr>
          <w:rStyle w:val="FootnoteReference"/>
          <w:color w:val="000000" w:themeColor="text1"/>
        </w:rPr>
        <w:footnoteReference w:id="2"/>
      </w:r>
      <w:r w:rsidRPr="00CC79C7">
        <w:rPr>
          <w:color w:val="000000" w:themeColor="text1"/>
        </w:rPr>
        <w:t xml:space="preserve"> In deciding whether recusal of counsel is warranted, a judge must “reconcil[e] the right of a person to counsel of his choice on the one hand, and the obligation of ‘maintaining the highest standards of professional conduct and the scrupulous administration of justice,’ on the other.”</w:t>
      </w:r>
      <w:r w:rsidRPr="00CC79C7">
        <w:rPr>
          <w:rStyle w:val="FootnoteReference"/>
          <w:color w:val="000000" w:themeColor="text1"/>
        </w:rPr>
        <w:footnoteReference w:id="3"/>
      </w:r>
      <w:r w:rsidRPr="00CC79C7">
        <w:rPr>
          <w:color w:val="000000" w:themeColor="text1"/>
        </w:rPr>
        <w:t xml:space="preserve"> While “the right of a litigant to counsel of his choosing is not absolute and cannot always predominate,” motions to disqualify “must be considered in light of the principle that courts ‘should not lightly interrupt the relationship between a lawyer and [a] client.’”</w:t>
      </w:r>
      <w:r w:rsidRPr="00CC79C7">
        <w:rPr>
          <w:rStyle w:val="FootnoteReference"/>
          <w:color w:val="000000" w:themeColor="text1"/>
        </w:rPr>
        <w:footnoteReference w:id="4"/>
      </w:r>
      <w:r w:rsidRPr="00CC79C7">
        <w:rPr>
          <w:rStyle w:val="apple-converted-space"/>
          <w:color w:val="000000" w:themeColor="text1"/>
        </w:rPr>
        <w:t> </w:t>
      </w:r>
      <w:r w:rsidRPr="00CC79C7">
        <w:rPr>
          <w:color w:val="000000" w:themeColor="text1"/>
        </w:rPr>
        <w:t>Because granting a motion for counsel’s recusal has “immediate, severe, and often irreparable … consequences” for the party and disqualified attorney, courts have exercised extreme caution in allowing  counsel recusal or disqualification.</w:t>
      </w:r>
      <w:r w:rsidRPr="00CC79C7">
        <w:rPr>
          <w:rStyle w:val="FootnoteReference"/>
          <w:color w:val="000000" w:themeColor="text1"/>
        </w:rPr>
        <w:footnoteReference w:id="5"/>
      </w:r>
      <w:r w:rsidRPr="00CC79C7">
        <w:rPr>
          <w:color w:val="000000" w:themeColor="text1"/>
        </w:rPr>
        <w:t xml:space="preserve"> As stated in</w:t>
      </w:r>
      <w:r w:rsidRPr="00CC79C7">
        <w:rPr>
          <w:rStyle w:val="apple-converted-space"/>
          <w:color w:val="000000" w:themeColor="text1"/>
        </w:rPr>
        <w:t> </w:t>
      </w:r>
      <w:r w:rsidRPr="00CC79C7">
        <w:rPr>
          <w:rStyle w:val="Emphasis"/>
          <w:color w:val="000000" w:themeColor="text1"/>
        </w:rPr>
        <w:t>Borman v. Borman</w:t>
      </w:r>
      <w:r w:rsidRPr="00CC79C7">
        <w:rPr>
          <w:color w:val="000000" w:themeColor="text1"/>
        </w:rPr>
        <w:t>, 378 Mass. 775, 787–88, 393 N.E.2d 847, 855–56 (1979):</w:t>
      </w:r>
    </w:p>
    <w:p w14:paraId="4465B88C" w14:textId="77777777" w:rsidR="003A23BC" w:rsidRPr="00CC79C7" w:rsidRDefault="003A23BC" w:rsidP="003A23BC">
      <w:pPr>
        <w:pStyle w:val="NormalWeb"/>
        <w:spacing w:before="0" w:beforeAutospacing="0" w:after="375" w:afterAutospacing="0"/>
        <w:ind w:left="1440"/>
        <w:rPr>
          <w:color w:val="000000" w:themeColor="text1"/>
        </w:rPr>
      </w:pPr>
      <w:r w:rsidRPr="00CC79C7">
        <w:rPr>
          <w:color w:val="000000" w:themeColor="text1"/>
        </w:rPr>
        <w:t>“When disqualification occurs after employment has begun, it temporarily (and possibly permanently) disables the litigant in his effort to prosecute a claim or mount a defense. It is not surprising therefore that the code has been used increasingly as a catalog of pretrial tactics. When needless disqualification occurs as a result of these tactics, the very rules intended to prevent public disrespect for the legal profession foster a more dangerous disrespect for the legal process…. When a lawyer, exercising his best judgment, determines that his employment will not bring him into conflict with the code, disqualification may occur only if the trial court determines that his continued participation as counsel taints the legal system or the trial of the cause before it.”</w:t>
      </w:r>
      <w:r w:rsidRPr="00CC79C7">
        <w:rPr>
          <w:rStyle w:val="FootnoteReference"/>
          <w:color w:val="000000" w:themeColor="text1"/>
        </w:rPr>
        <w:footnoteReference w:id="6"/>
      </w:r>
      <w:r w:rsidRPr="00CC79C7">
        <w:rPr>
          <w:color w:val="000000" w:themeColor="text1"/>
        </w:rPr>
        <w:t xml:space="preserve"> </w:t>
      </w:r>
    </w:p>
    <w:p w14:paraId="0D65B565" w14:textId="7F9D5CE7" w:rsidR="003A23BC" w:rsidRPr="00CC79C7" w:rsidRDefault="003A23BC" w:rsidP="003A23BC">
      <w:pPr>
        <w:pStyle w:val="NormalWeb"/>
        <w:spacing w:before="0" w:beforeAutospacing="0" w:after="375" w:afterAutospacing="0"/>
        <w:rPr>
          <w:color w:val="000000" w:themeColor="text1"/>
        </w:rPr>
      </w:pPr>
      <w:r w:rsidRPr="00CC79C7">
        <w:rPr>
          <w:color w:val="000000" w:themeColor="text1"/>
        </w:rPr>
        <w:t>Hence, disqualification should not be ordered “except when absolutely necessary.”</w:t>
      </w:r>
      <w:r w:rsidRPr="00CC79C7">
        <w:rPr>
          <w:rStyle w:val="FootnoteReference"/>
          <w:color w:val="000000" w:themeColor="text1"/>
        </w:rPr>
        <w:footnoteReference w:id="7"/>
      </w:r>
      <w:r w:rsidRPr="00CC79C7">
        <w:rPr>
          <w:color w:val="000000" w:themeColor="text1"/>
        </w:rPr>
        <w:t xml:space="preserve"> Because there are “severe consequences of stripping a party of chosen counsel[,]” judges are </w:t>
      </w:r>
      <w:r w:rsidR="00D851E6">
        <w:rPr>
          <w:color w:val="000000" w:themeColor="text1"/>
        </w:rPr>
        <w:t>advised</w:t>
      </w:r>
      <w:r w:rsidRPr="00CC79C7">
        <w:rPr>
          <w:color w:val="000000" w:themeColor="text1"/>
        </w:rPr>
        <w:t xml:space="preserve"> to proceed with “deliberate caution” when considering requests for disqualification.</w:t>
      </w:r>
      <w:r w:rsidRPr="00CC79C7">
        <w:rPr>
          <w:rStyle w:val="FootnoteReference"/>
          <w:color w:val="000000" w:themeColor="text1"/>
        </w:rPr>
        <w:footnoteReference w:id="8"/>
      </w:r>
      <w:r w:rsidRPr="00CC79C7">
        <w:rPr>
          <w:color w:val="000000" w:themeColor="text1"/>
        </w:rPr>
        <w:t xml:space="preserve"> They are also </w:t>
      </w:r>
      <w:r w:rsidRPr="00CC79C7">
        <w:rPr>
          <w:color w:val="000000" w:themeColor="text1"/>
        </w:rPr>
        <w:lastRenderedPageBreak/>
        <w:t>advised to “be alert that the Canons of Ethics are not brandished for tactical advantage,” especially when claims of unethical behavior are offered as grounds for disqualification.</w:t>
      </w:r>
      <w:r w:rsidRPr="00CC79C7">
        <w:rPr>
          <w:rStyle w:val="FootnoteReference"/>
          <w:color w:val="000000" w:themeColor="text1"/>
        </w:rPr>
        <w:footnoteReference w:id="9"/>
      </w:r>
      <w:r w:rsidRPr="00CC79C7">
        <w:rPr>
          <w:color w:val="000000" w:themeColor="text1"/>
        </w:rPr>
        <w:t xml:space="preserve"> </w:t>
      </w:r>
    </w:p>
    <w:p w14:paraId="3B9E47BC" w14:textId="5EF00769" w:rsidR="003A23BC" w:rsidRPr="00CC79C7" w:rsidRDefault="003A23BC" w:rsidP="003A23BC">
      <w:pPr>
        <w:pStyle w:val="NormalWeb"/>
        <w:spacing w:before="0" w:beforeAutospacing="0" w:after="375" w:afterAutospacing="0"/>
        <w:rPr>
          <w:color w:val="000000" w:themeColor="text1"/>
        </w:rPr>
      </w:pPr>
      <w:r w:rsidRPr="00CC79C7">
        <w:rPr>
          <w:color w:val="000000" w:themeColor="text1"/>
        </w:rPr>
        <w:t xml:space="preserve">Nevertheless, </w:t>
      </w:r>
      <w:r w:rsidR="00D851E6">
        <w:rPr>
          <w:color w:val="000000" w:themeColor="text1"/>
        </w:rPr>
        <w:t xml:space="preserve">pursuant to </w:t>
      </w:r>
      <w:r w:rsidR="00D851E6" w:rsidRPr="00CC79C7">
        <w:rPr>
          <w:color w:val="000000" w:themeColor="text1"/>
        </w:rPr>
        <w:t>the Massachusetts Rules of Professional Conduct</w:t>
      </w:r>
      <w:r w:rsidR="00D851E6">
        <w:rPr>
          <w:color w:val="000000" w:themeColor="text1"/>
        </w:rPr>
        <w:t xml:space="preserve">, </w:t>
      </w:r>
      <w:r w:rsidRPr="00CC79C7">
        <w:rPr>
          <w:color w:val="000000" w:themeColor="text1"/>
        </w:rPr>
        <w:t>there are circumstances that require disqualification of counsel.</w:t>
      </w:r>
      <w:r w:rsidR="00D851E6" w:rsidRPr="00CC79C7">
        <w:rPr>
          <w:color w:val="000000" w:themeColor="text1"/>
        </w:rPr>
        <w:t xml:space="preserve"> </w:t>
      </w:r>
      <w:r w:rsidR="00D851E6">
        <w:rPr>
          <w:color w:val="000000" w:themeColor="text1"/>
        </w:rPr>
        <w:t xml:space="preserve">These include specific personal conflicts of interest (Rule 1.8); if counsel is likely to be a necessary witness in the matter (Rule 3.7); and if counsel’s representation of a client will be directly adverse to another client or may be materially limited by counsel’s self-interests, responsibilities to another client, a third person (Rule 1.7). </w:t>
      </w:r>
    </w:p>
    <w:p w14:paraId="4232CA9E" w14:textId="77777777" w:rsidR="003A23BC" w:rsidRPr="00CC79C7" w:rsidRDefault="003A23BC" w:rsidP="003A23BC">
      <w:pPr>
        <w:shd w:val="clear" w:color="auto" w:fill="FFFFFF"/>
        <w:rPr>
          <w:b/>
          <w:bCs/>
          <w:color w:val="000000" w:themeColor="text1"/>
        </w:rPr>
      </w:pPr>
      <w:r w:rsidRPr="00CC79C7">
        <w:rPr>
          <w:b/>
          <w:bCs/>
          <w:color w:val="000000" w:themeColor="text1"/>
        </w:rPr>
        <w:t>APPLICATION OF LEGAL STANDARDS:</w:t>
      </w:r>
    </w:p>
    <w:p w14:paraId="7BCA8CF8" w14:textId="77777777" w:rsidR="003A23BC" w:rsidRPr="00CC79C7" w:rsidRDefault="003A23BC" w:rsidP="003A23BC">
      <w:pPr>
        <w:shd w:val="clear" w:color="auto" w:fill="FFFFFF"/>
        <w:rPr>
          <w:color w:val="000000" w:themeColor="text1"/>
        </w:rPr>
      </w:pPr>
    </w:p>
    <w:p w14:paraId="248F0E3E" w14:textId="1388B2F7" w:rsidR="003A23BC" w:rsidRPr="00CC79C7" w:rsidRDefault="003A23BC" w:rsidP="003A23BC">
      <w:pPr>
        <w:shd w:val="clear" w:color="auto" w:fill="FFFFFF"/>
        <w:rPr>
          <w:color w:val="000000" w:themeColor="text1"/>
        </w:rPr>
      </w:pPr>
      <w:r w:rsidRPr="00CC79C7">
        <w:rPr>
          <w:color w:val="000000" w:themeColor="text1"/>
        </w:rPr>
        <w:t>Because the attorney-client relationship “should not lightly”</w:t>
      </w:r>
      <w:r w:rsidRPr="00CC79C7">
        <w:rPr>
          <w:rStyle w:val="FootnoteReference"/>
          <w:color w:val="000000" w:themeColor="text1"/>
        </w:rPr>
        <w:footnoteReference w:id="10"/>
      </w:r>
      <w:r w:rsidRPr="00CC79C7">
        <w:rPr>
          <w:color w:val="000000" w:themeColor="text1"/>
        </w:rPr>
        <w:t xml:space="preserve"> be disrupted, I exercise “extreme caution”</w:t>
      </w:r>
      <w:r w:rsidRPr="00CC79C7">
        <w:rPr>
          <w:rStyle w:val="FootnoteReference"/>
          <w:color w:val="000000" w:themeColor="text1"/>
        </w:rPr>
        <w:footnoteReference w:id="11"/>
      </w:r>
      <w:r w:rsidRPr="00CC79C7">
        <w:rPr>
          <w:color w:val="000000" w:themeColor="text1"/>
        </w:rPr>
        <w:t xml:space="preserve"> in assessing the merits of Parent’s </w:t>
      </w:r>
      <w:r w:rsidRPr="00C724B6">
        <w:rPr>
          <w:i/>
          <w:iCs/>
          <w:color w:val="000000" w:themeColor="text1"/>
        </w:rPr>
        <w:t>Motion</w:t>
      </w:r>
      <w:r w:rsidRPr="00CC79C7">
        <w:rPr>
          <w:color w:val="000000" w:themeColor="text1"/>
        </w:rPr>
        <w:t>. The District enjoys the right to the counsel of its choice, and, as such, the burden rests with Parent to establish the need to interfere with this relationship.</w:t>
      </w:r>
      <w:r w:rsidRPr="00CC79C7">
        <w:rPr>
          <w:rStyle w:val="FootnoteReference"/>
          <w:color w:val="000000" w:themeColor="text1"/>
        </w:rPr>
        <w:footnoteReference w:id="12"/>
      </w:r>
      <w:r w:rsidRPr="00CC79C7">
        <w:rPr>
          <w:color w:val="000000" w:themeColor="text1"/>
        </w:rPr>
        <w:t xml:space="preserve"> After analyzing the particular facts of the case at hand,</w:t>
      </w:r>
      <w:r w:rsidRPr="00CC79C7">
        <w:rPr>
          <w:rStyle w:val="FootnoteReference"/>
          <w:color w:val="000000" w:themeColor="text1"/>
        </w:rPr>
        <w:footnoteReference w:id="13"/>
      </w:r>
      <w:r w:rsidRPr="00CC79C7">
        <w:rPr>
          <w:color w:val="000000" w:themeColor="text1"/>
        </w:rPr>
        <w:t xml:space="preserve"> I find that Parent has not met her burden. My reasoning follows.</w:t>
      </w:r>
    </w:p>
    <w:p w14:paraId="1F2215A6" w14:textId="77777777" w:rsidR="003A23BC" w:rsidRPr="00CC79C7" w:rsidRDefault="003A23BC" w:rsidP="003A23BC">
      <w:pPr>
        <w:shd w:val="clear" w:color="auto" w:fill="FFFFFF"/>
        <w:rPr>
          <w:color w:val="000000" w:themeColor="text1"/>
        </w:rPr>
      </w:pPr>
    </w:p>
    <w:p w14:paraId="79A552D3" w14:textId="0925BD13" w:rsidR="003A23BC" w:rsidRPr="00CC79C7" w:rsidRDefault="002635A5" w:rsidP="003A23BC">
      <w:pPr>
        <w:shd w:val="clear" w:color="auto" w:fill="FFFFFF"/>
        <w:rPr>
          <w:color w:val="000000" w:themeColor="text1"/>
        </w:rPr>
      </w:pPr>
      <w:r>
        <w:rPr>
          <w:color w:val="000000" w:themeColor="text1"/>
        </w:rPr>
        <w:t>Here,</w:t>
      </w:r>
      <w:r w:rsidR="003A23BC" w:rsidRPr="00CC79C7">
        <w:rPr>
          <w:color w:val="000000" w:themeColor="text1"/>
        </w:rPr>
        <w:t xml:space="preserve"> Parent moves to have District’s legal counsel </w:t>
      </w:r>
      <w:r w:rsidR="00C724B6">
        <w:rPr>
          <w:color w:val="000000" w:themeColor="text1"/>
        </w:rPr>
        <w:t>removed</w:t>
      </w:r>
      <w:r w:rsidR="00D93B37">
        <w:rPr>
          <w:color w:val="000000" w:themeColor="text1"/>
        </w:rPr>
        <w:t xml:space="preserve"> </w:t>
      </w:r>
      <w:r w:rsidR="00D93B37">
        <w:rPr>
          <w:color w:val="000000" w:themeColor="text1"/>
          <w:bdr w:val="none" w:sz="0" w:space="0" w:color="auto" w:frame="1"/>
        </w:rPr>
        <w:t>because</w:t>
      </w:r>
      <w:r w:rsidR="00D93B37" w:rsidRPr="00CC79C7">
        <w:rPr>
          <w:color w:val="000000" w:themeColor="text1"/>
          <w:bdr w:val="none" w:sz="0" w:space="0" w:color="auto" w:frame="1"/>
        </w:rPr>
        <w:t xml:space="preserve"> </w:t>
      </w:r>
      <w:r w:rsidR="00D93B37">
        <w:rPr>
          <w:color w:val="000000" w:themeColor="text1"/>
          <w:bdr w:val="none" w:sz="0" w:space="0" w:color="auto" w:frame="1"/>
        </w:rPr>
        <w:t>of Counsel’s prior representation of</w:t>
      </w:r>
      <w:r w:rsidR="00D93B37" w:rsidRPr="00CC79C7">
        <w:rPr>
          <w:color w:val="000000" w:themeColor="text1"/>
          <w:bdr w:val="none" w:sz="0" w:space="0" w:color="auto" w:frame="1"/>
        </w:rPr>
        <w:t xml:space="preserve"> the </w:t>
      </w:r>
      <w:r w:rsidR="00D93B37">
        <w:rPr>
          <w:color w:val="000000" w:themeColor="text1"/>
          <w:bdr w:val="none" w:sz="0" w:space="0" w:color="auto" w:frame="1"/>
        </w:rPr>
        <w:t>D</w:t>
      </w:r>
      <w:r w:rsidR="00D93B37" w:rsidRPr="00CC79C7">
        <w:rPr>
          <w:color w:val="000000" w:themeColor="text1"/>
          <w:bdr w:val="none" w:sz="0" w:space="0" w:color="auto" w:frame="1"/>
        </w:rPr>
        <w:t xml:space="preserve">istrict in a previous hearing regarding </w:t>
      </w:r>
      <w:r w:rsidR="00D93B37">
        <w:rPr>
          <w:color w:val="000000" w:themeColor="text1"/>
          <w:bdr w:val="none" w:sz="0" w:space="0" w:color="auto" w:frame="1"/>
        </w:rPr>
        <w:t>Student. In addition, Parent asserts that “</w:t>
      </w:r>
      <w:r w:rsidR="00D93B37" w:rsidRPr="00CC79C7">
        <w:rPr>
          <w:color w:val="000000" w:themeColor="text1"/>
          <w:bdr w:val="none" w:sz="0" w:space="0" w:color="auto" w:frame="1"/>
        </w:rPr>
        <w:t xml:space="preserve">on two separate occasions, </w:t>
      </w:r>
      <w:r w:rsidR="00D93B37">
        <w:rPr>
          <w:color w:val="000000" w:themeColor="text1"/>
          <w:bdr w:val="none" w:sz="0" w:space="0" w:color="auto" w:frame="1"/>
        </w:rPr>
        <w:t xml:space="preserve">[District’s Counsel] </w:t>
      </w:r>
      <w:r w:rsidR="00D93B37" w:rsidRPr="00CC79C7">
        <w:rPr>
          <w:color w:val="000000" w:themeColor="text1"/>
          <w:bdr w:val="none" w:sz="0" w:space="0" w:color="auto" w:frame="1"/>
        </w:rPr>
        <w:t>sent emails to the incorrect parties - one was to the personal email of the previous hearing officer, and one was including me on another district’s communication.</w:t>
      </w:r>
      <w:r w:rsidR="00D93B37">
        <w:rPr>
          <w:color w:val="000000" w:themeColor="text1"/>
          <w:bdr w:val="none" w:sz="0" w:space="0" w:color="auto" w:frame="1"/>
        </w:rPr>
        <w:t>” As such, Parents notes that she has</w:t>
      </w:r>
      <w:r w:rsidR="00D93B37" w:rsidRPr="00CC79C7">
        <w:rPr>
          <w:color w:val="000000" w:themeColor="text1"/>
          <w:bdr w:val="none" w:sz="0" w:space="0" w:color="auto" w:frame="1"/>
        </w:rPr>
        <w:t xml:space="preserve"> </w:t>
      </w:r>
      <w:r w:rsidR="00D93B37">
        <w:rPr>
          <w:color w:val="000000" w:themeColor="text1"/>
          <w:bdr w:val="none" w:sz="0" w:space="0" w:color="auto" w:frame="1"/>
        </w:rPr>
        <w:t>“</w:t>
      </w:r>
      <w:r w:rsidR="00D93B37" w:rsidRPr="00CC79C7">
        <w:rPr>
          <w:color w:val="000000" w:themeColor="text1"/>
          <w:bdr w:val="none" w:sz="0" w:space="0" w:color="auto" w:frame="1"/>
        </w:rPr>
        <w:t xml:space="preserve">serious concerns with </w:t>
      </w:r>
      <w:r w:rsidR="00D93B37">
        <w:rPr>
          <w:color w:val="000000" w:themeColor="text1"/>
          <w:bdr w:val="none" w:sz="0" w:space="0" w:color="auto" w:frame="1"/>
        </w:rPr>
        <w:t>[District Counsel’s]</w:t>
      </w:r>
      <w:r w:rsidR="00D93B37" w:rsidRPr="00CC79C7">
        <w:rPr>
          <w:color w:val="000000" w:themeColor="text1"/>
          <w:bdr w:val="none" w:sz="0" w:space="0" w:color="auto" w:frame="1"/>
        </w:rPr>
        <w:t xml:space="preserve"> ability to maintain confidentiality.</w:t>
      </w:r>
      <w:r w:rsidR="00D93B37">
        <w:rPr>
          <w:color w:val="000000" w:themeColor="text1"/>
          <w:bdr w:val="none" w:sz="0" w:space="0" w:color="auto" w:frame="1"/>
        </w:rPr>
        <w:t>”</w:t>
      </w:r>
      <w:r w:rsidR="00D93B37" w:rsidRPr="00CC79C7">
        <w:rPr>
          <w:rStyle w:val="apple-converted-space"/>
          <w:color w:val="000000" w:themeColor="text1"/>
          <w:bdr w:val="none" w:sz="0" w:space="0" w:color="auto" w:frame="1"/>
        </w:rPr>
        <w:t> </w:t>
      </w:r>
    </w:p>
    <w:p w14:paraId="56675A78" w14:textId="77777777" w:rsidR="003A23BC" w:rsidRPr="00CC79C7" w:rsidRDefault="003A23BC" w:rsidP="003A23BC">
      <w:pPr>
        <w:shd w:val="clear" w:color="auto" w:fill="FFFFFF"/>
        <w:rPr>
          <w:color w:val="000000" w:themeColor="text1"/>
        </w:rPr>
      </w:pPr>
    </w:p>
    <w:p w14:paraId="56068423" w14:textId="47EF4711" w:rsidR="003A23BC" w:rsidRPr="00CC79C7" w:rsidRDefault="003A23BC" w:rsidP="003A23BC">
      <w:pPr>
        <w:shd w:val="clear" w:color="auto" w:fill="FFFFFF"/>
        <w:rPr>
          <w:color w:val="000000" w:themeColor="text1"/>
        </w:rPr>
      </w:pPr>
      <w:r w:rsidRPr="00CC79C7">
        <w:rPr>
          <w:color w:val="000000" w:themeColor="text1"/>
        </w:rPr>
        <w:t xml:space="preserve">Parent’s argument </w:t>
      </w:r>
      <w:r w:rsidR="00D93B37">
        <w:rPr>
          <w:color w:val="000000" w:themeColor="text1"/>
        </w:rPr>
        <w:t xml:space="preserve">for removal of District’s Counsel </w:t>
      </w:r>
      <w:r w:rsidRPr="00CC79C7">
        <w:rPr>
          <w:color w:val="000000" w:themeColor="text1"/>
        </w:rPr>
        <w:t>is unpersuasive.</w:t>
      </w:r>
      <w:r w:rsidR="00C724B6" w:rsidRPr="00CC79C7">
        <w:rPr>
          <w:color w:val="000000" w:themeColor="text1"/>
        </w:rPr>
        <w:t xml:space="preserve"> </w:t>
      </w:r>
      <w:r w:rsidR="00D93B37">
        <w:rPr>
          <w:color w:val="000000" w:themeColor="text1"/>
        </w:rPr>
        <w:t xml:space="preserve">That the District’s </w:t>
      </w:r>
      <w:r w:rsidRPr="00CC79C7">
        <w:rPr>
          <w:color w:val="000000" w:themeColor="text1"/>
        </w:rPr>
        <w:t>Counsel</w:t>
      </w:r>
      <w:r w:rsidR="00D93B37">
        <w:rPr>
          <w:color w:val="000000" w:themeColor="text1"/>
        </w:rPr>
        <w:t xml:space="preserve"> worked on “</w:t>
      </w:r>
      <w:r w:rsidR="00D93B37" w:rsidRPr="00CC79C7">
        <w:rPr>
          <w:color w:val="000000" w:themeColor="text1"/>
          <w:bdr w:val="none" w:sz="0" w:space="0" w:color="auto" w:frame="1"/>
        </w:rPr>
        <w:t xml:space="preserve">a previous hearing regarding </w:t>
      </w:r>
      <w:r w:rsidR="00D93B37">
        <w:rPr>
          <w:color w:val="000000" w:themeColor="text1"/>
          <w:bdr w:val="none" w:sz="0" w:space="0" w:color="auto" w:frame="1"/>
        </w:rPr>
        <w:t>Student”</w:t>
      </w:r>
      <w:r w:rsidRPr="00CC79C7">
        <w:rPr>
          <w:color w:val="000000" w:themeColor="text1"/>
        </w:rPr>
        <w:t xml:space="preserve"> does not in any way preclude </w:t>
      </w:r>
      <w:r w:rsidR="00D93B37">
        <w:rPr>
          <w:color w:val="000000" w:themeColor="text1"/>
        </w:rPr>
        <w:t>her</w:t>
      </w:r>
      <w:r w:rsidRPr="00CC79C7">
        <w:rPr>
          <w:color w:val="000000" w:themeColor="text1"/>
        </w:rPr>
        <w:t xml:space="preserve"> </w:t>
      </w:r>
      <w:r w:rsidR="00D93B37">
        <w:rPr>
          <w:color w:val="000000" w:themeColor="text1"/>
        </w:rPr>
        <w:t>current</w:t>
      </w:r>
      <w:r w:rsidRPr="00CC79C7">
        <w:rPr>
          <w:color w:val="000000" w:themeColor="text1"/>
        </w:rPr>
        <w:t xml:space="preserve"> involvement</w:t>
      </w:r>
      <w:r w:rsidR="00D93B37">
        <w:rPr>
          <w:color w:val="000000" w:themeColor="text1"/>
        </w:rPr>
        <w:t xml:space="preserve"> in this matter</w:t>
      </w:r>
      <w:r w:rsidRPr="00CC79C7">
        <w:rPr>
          <w:color w:val="000000" w:themeColor="text1"/>
        </w:rPr>
        <w:t xml:space="preserve">. Nor can I find any Rule in the Massachusetts Rules of Professional Conduct that would support </w:t>
      </w:r>
      <w:r w:rsidR="00D93B37">
        <w:rPr>
          <w:color w:val="000000" w:themeColor="text1"/>
        </w:rPr>
        <w:t>removal of Counsel on the basis of alleged prior breaches of confidentiality</w:t>
      </w:r>
      <w:r w:rsidRPr="00CC79C7">
        <w:rPr>
          <w:color w:val="000000" w:themeColor="text1"/>
        </w:rPr>
        <w:t>.</w:t>
      </w:r>
      <w:r w:rsidRPr="00CC79C7">
        <w:rPr>
          <w:rStyle w:val="FootnoteReference"/>
          <w:color w:val="000000" w:themeColor="text1"/>
        </w:rPr>
        <w:footnoteReference w:id="14"/>
      </w:r>
      <w:r w:rsidRPr="00CC79C7">
        <w:rPr>
          <w:color w:val="000000" w:themeColor="text1"/>
        </w:rPr>
        <w:t xml:space="preserve"> Because I cannot find that the “continued participation [of </w:t>
      </w:r>
      <w:r w:rsidR="00D93B37">
        <w:rPr>
          <w:color w:val="000000" w:themeColor="text1"/>
        </w:rPr>
        <w:t>the District’s</w:t>
      </w:r>
      <w:r w:rsidRPr="00CC79C7">
        <w:rPr>
          <w:color w:val="000000" w:themeColor="text1"/>
        </w:rPr>
        <w:t xml:space="preserve"> Counsel] as counsel taints the legal system or the trial of the cause before it,”</w:t>
      </w:r>
      <w:r w:rsidRPr="00CC79C7">
        <w:rPr>
          <w:rStyle w:val="FootnoteReference"/>
          <w:color w:val="000000" w:themeColor="text1"/>
        </w:rPr>
        <w:footnoteReference w:id="15"/>
      </w:r>
      <w:r w:rsidRPr="00CC79C7">
        <w:rPr>
          <w:color w:val="000000" w:themeColor="text1"/>
        </w:rPr>
        <w:t xml:space="preserve"> Parent’s </w:t>
      </w:r>
      <w:r w:rsidRPr="002635A5">
        <w:rPr>
          <w:i/>
          <w:iCs/>
          <w:color w:val="000000" w:themeColor="text1"/>
        </w:rPr>
        <w:t>Motion</w:t>
      </w:r>
      <w:r w:rsidRPr="00CC79C7">
        <w:rPr>
          <w:color w:val="000000" w:themeColor="text1"/>
        </w:rPr>
        <w:t xml:space="preserve"> must be denied.</w:t>
      </w:r>
    </w:p>
    <w:p w14:paraId="530804B0" w14:textId="77777777" w:rsidR="003A23BC" w:rsidRPr="00CC79C7" w:rsidRDefault="003A23BC" w:rsidP="003A23BC">
      <w:pPr>
        <w:shd w:val="clear" w:color="auto" w:fill="FFFFFF"/>
        <w:rPr>
          <w:b/>
          <w:bCs/>
          <w:color w:val="000000" w:themeColor="text1"/>
        </w:rPr>
      </w:pPr>
    </w:p>
    <w:p w14:paraId="75A8A2D6" w14:textId="77777777" w:rsidR="003A23BC" w:rsidRPr="00CC79C7" w:rsidRDefault="003A23BC" w:rsidP="003A23BC">
      <w:pPr>
        <w:shd w:val="clear" w:color="auto" w:fill="FFFFFF"/>
        <w:rPr>
          <w:color w:val="000000" w:themeColor="text1"/>
        </w:rPr>
      </w:pPr>
      <w:r w:rsidRPr="00CC79C7">
        <w:rPr>
          <w:b/>
          <w:bCs/>
          <w:color w:val="000000" w:themeColor="text1"/>
        </w:rPr>
        <w:t>ORDER:</w:t>
      </w:r>
    </w:p>
    <w:p w14:paraId="617BCFD8" w14:textId="77777777" w:rsidR="003A23BC" w:rsidRPr="00CC79C7" w:rsidRDefault="003A23BC" w:rsidP="003A23BC">
      <w:pPr>
        <w:shd w:val="clear" w:color="auto" w:fill="FFFFFF"/>
        <w:rPr>
          <w:color w:val="000000" w:themeColor="text1"/>
        </w:rPr>
      </w:pPr>
    </w:p>
    <w:p w14:paraId="38F5A8C9" w14:textId="07D33528" w:rsidR="003A23BC" w:rsidRPr="00CC79C7" w:rsidRDefault="003A23BC" w:rsidP="003A23BC">
      <w:pPr>
        <w:shd w:val="clear" w:color="auto" w:fill="FFFFFF"/>
        <w:rPr>
          <w:color w:val="000000" w:themeColor="text1"/>
        </w:rPr>
      </w:pPr>
      <w:r w:rsidRPr="00CC79C7">
        <w:rPr>
          <w:color w:val="000000" w:themeColor="text1"/>
        </w:rPr>
        <w:t xml:space="preserve">Parent’s </w:t>
      </w:r>
      <w:r w:rsidRPr="00CC79C7">
        <w:rPr>
          <w:i/>
          <w:iCs/>
          <w:color w:val="000000" w:themeColor="text1"/>
        </w:rPr>
        <w:t xml:space="preserve">Motion </w:t>
      </w:r>
      <w:r w:rsidRPr="00CC79C7">
        <w:rPr>
          <w:color w:val="000000" w:themeColor="text1"/>
        </w:rPr>
        <w:t xml:space="preserve">is hereby </w:t>
      </w:r>
      <w:r w:rsidRPr="00CC79C7">
        <w:rPr>
          <w:b/>
          <w:bCs/>
          <w:color w:val="000000" w:themeColor="text1"/>
        </w:rPr>
        <w:t>DENIED</w:t>
      </w:r>
      <w:r w:rsidRPr="00CC79C7">
        <w:rPr>
          <w:color w:val="000000" w:themeColor="text1"/>
        </w:rPr>
        <w:t>.</w:t>
      </w:r>
    </w:p>
    <w:p w14:paraId="4358ED4D" w14:textId="77777777" w:rsidR="003A23BC" w:rsidRPr="00CC79C7" w:rsidRDefault="003A23BC" w:rsidP="003A23BC">
      <w:pPr>
        <w:shd w:val="clear" w:color="auto" w:fill="FFFFFF"/>
        <w:rPr>
          <w:color w:val="000000" w:themeColor="text1"/>
        </w:rPr>
      </w:pPr>
    </w:p>
    <w:p w14:paraId="45948B59" w14:textId="77777777" w:rsidR="003A23BC" w:rsidRPr="00CC79C7" w:rsidRDefault="003A23BC" w:rsidP="003A23BC">
      <w:pPr>
        <w:shd w:val="clear" w:color="auto" w:fill="FFFFFF"/>
        <w:rPr>
          <w:color w:val="000000" w:themeColor="text1"/>
        </w:rPr>
      </w:pPr>
      <w:r w:rsidRPr="00CC79C7">
        <w:rPr>
          <w:color w:val="000000" w:themeColor="text1"/>
        </w:rPr>
        <w:t>By the Hearing Officer:</w:t>
      </w:r>
    </w:p>
    <w:p w14:paraId="6EB2B025" w14:textId="77777777" w:rsidR="003A23BC" w:rsidRPr="00CC79C7" w:rsidRDefault="003A23BC" w:rsidP="003A23BC">
      <w:pPr>
        <w:shd w:val="clear" w:color="auto" w:fill="FFFFFF"/>
        <w:rPr>
          <w:color w:val="000000" w:themeColor="text1"/>
        </w:rPr>
      </w:pPr>
    </w:p>
    <w:p w14:paraId="581C5AF9" w14:textId="77777777" w:rsidR="003A23BC" w:rsidRPr="00CC79C7" w:rsidRDefault="003A23BC" w:rsidP="003A23BC">
      <w:pPr>
        <w:shd w:val="clear" w:color="auto" w:fill="FFFFFF"/>
        <w:rPr>
          <w:color w:val="000000" w:themeColor="text1"/>
          <w:u w:val="single"/>
        </w:rPr>
      </w:pPr>
      <w:r w:rsidRPr="00CC79C7">
        <w:rPr>
          <w:color w:val="000000" w:themeColor="text1"/>
          <w:u w:val="single"/>
        </w:rPr>
        <w:t>/s/ Alina Kantor Nir </w:t>
      </w:r>
    </w:p>
    <w:p w14:paraId="52DAF313" w14:textId="5E9E93EF" w:rsidR="003A23BC" w:rsidRPr="00CC79C7" w:rsidRDefault="003A23BC" w:rsidP="003A23BC">
      <w:pPr>
        <w:shd w:val="clear" w:color="auto" w:fill="FFFFFF"/>
        <w:rPr>
          <w:color w:val="000000" w:themeColor="text1"/>
        </w:rPr>
      </w:pPr>
      <w:r w:rsidRPr="00CC79C7">
        <w:rPr>
          <w:color w:val="000000" w:themeColor="text1"/>
        </w:rPr>
        <w:lastRenderedPageBreak/>
        <w:t>Alina Kantor Nir</w:t>
      </w:r>
      <w:r w:rsidRPr="00CC79C7">
        <w:rPr>
          <w:color w:val="000000" w:themeColor="text1"/>
        </w:rPr>
        <w:br/>
        <w:t xml:space="preserve">Dated: </w:t>
      </w:r>
      <w:r w:rsidR="009E3464">
        <w:rPr>
          <w:color w:val="000000" w:themeColor="text1"/>
        </w:rPr>
        <w:t>July 5</w:t>
      </w:r>
      <w:r w:rsidRPr="00CC79C7">
        <w:rPr>
          <w:color w:val="000000" w:themeColor="text1"/>
        </w:rPr>
        <w:t>, 2023</w:t>
      </w:r>
    </w:p>
    <w:p w14:paraId="34ABF9F8" w14:textId="77777777" w:rsidR="003A23BC" w:rsidRPr="00CC79C7" w:rsidRDefault="003A23BC" w:rsidP="003A23BC">
      <w:pPr>
        <w:shd w:val="clear" w:color="auto" w:fill="FFFFFF"/>
        <w:rPr>
          <w:color w:val="000000" w:themeColor="text1"/>
        </w:rPr>
      </w:pPr>
      <w:r w:rsidRPr="00CC79C7">
        <w:rPr>
          <w:color w:val="000000" w:themeColor="text1"/>
        </w:rPr>
        <w:t> </w:t>
      </w:r>
    </w:p>
    <w:p w14:paraId="2B0C4EAB" w14:textId="42C661FC" w:rsidR="00963DA6" w:rsidRPr="00CC79C7" w:rsidRDefault="00000000">
      <w:pPr>
        <w:rPr>
          <w:color w:val="000000" w:themeColor="text1"/>
        </w:rPr>
      </w:pPr>
    </w:p>
    <w:sectPr w:rsidR="00963DA6" w:rsidRPr="00CC79C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0368" w14:textId="77777777" w:rsidR="00A15046" w:rsidRDefault="00A15046" w:rsidP="003A23BC">
      <w:r>
        <w:separator/>
      </w:r>
    </w:p>
  </w:endnote>
  <w:endnote w:type="continuationSeparator" w:id="0">
    <w:p w14:paraId="0B737CE1" w14:textId="77777777" w:rsidR="00A15046" w:rsidRDefault="00A15046"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172213"/>
      <w:docPartObj>
        <w:docPartGallery w:val="Page Numbers (Bottom of Page)"/>
        <w:docPartUnique/>
      </w:docPartObj>
    </w:sdtPr>
    <w:sdtContent>
      <w:p w14:paraId="4187B051" w14:textId="170FF3F3" w:rsidR="00B648DC" w:rsidRDefault="00B648DC" w:rsidP="00CE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B5925" w14:textId="77777777" w:rsidR="00B648DC" w:rsidRDefault="00B648DC" w:rsidP="00B648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200381"/>
      <w:docPartObj>
        <w:docPartGallery w:val="Page Numbers (Bottom of Page)"/>
        <w:docPartUnique/>
      </w:docPartObj>
    </w:sdtPr>
    <w:sdtContent>
      <w:p w14:paraId="496CB67C" w14:textId="42D52B54" w:rsidR="00B648DC" w:rsidRDefault="00B648DC" w:rsidP="00CE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0EE4D0" w14:textId="77777777" w:rsidR="00B648DC" w:rsidRDefault="00B648DC" w:rsidP="00B648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7485" w14:textId="77777777" w:rsidR="00A15046" w:rsidRDefault="00A15046" w:rsidP="003A23BC">
      <w:r>
        <w:separator/>
      </w:r>
    </w:p>
  </w:footnote>
  <w:footnote w:type="continuationSeparator" w:id="0">
    <w:p w14:paraId="7C22C537" w14:textId="77777777" w:rsidR="00A15046" w:rsidRDefault="00A15046" w:rsidP="003A23BC">
      <w:r>
        <w:continuationSeparator/>
      </w:r>
    </w:p>
  </w:footnote>
  <w:footnote w:id="1">
    <w:p w14:paraId="1640CC83" w14:textId="57F34702" w:rsidR="00CC79C7" w:rsidRPr="00B648DC" w:rsidRDefault="00CC79C7">
      <w:pPr>
        <w:pStyle w:val="FootnoteText"/>
        <w:rPr>
          <w:rFonts w:ascii="Times New Roman" w:hAnsi="Times New Roman" w:cs="Times New Roman"/>
        </w:rPr>
      </w:pPr>
      <w:r w:rsidRPr="00B648DC">
        <w:rPr>
          <w:rStyle w:val="FootnoteReference"/>
          <w:rFonts w:ascii="Times New Roman" w:hAnsi="Times New Roman" w:cs="Times New Roman"/>
        </w:rPr>
        <w:footnoteRef/>
      </w:r>
      <w:r w:rsidRPr="00B648DC">
        <w:rPr>
          <w:rFonts w:ascii="Times New Roman" w:hAnsi="Times New Roman" w:cs="Times New Roman"/>
        </w:rPr>
        <w:t xml:space="preserve"> Parent submitted her request via email at 6:52PM on Monday, July 3, 2023. Because of the time of the submission and the holiday on July 4, 2023, the Parent’s Motion is deemed submitted on July 5, 2023.</w:t>
      </w:r>
    </w:p>
  </w:footnote>
  <w:footnote w:id="2">
    <w:p w14:paraId="05E486AA"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See </w:t>
      </w:r>
      <w:r w:rsidRPr="00B648DC">
        <w:rPr>
          <w:rFonts w:ascii="Times New Roman" w:hAnsi="Times New Roman" w:cs="Times New Roman"/>
          <w:i/>
          <w:iCs/>
          <w:color w:val="000000" w:themeColor="text1"/>
        </w:rPr>
        <w:t>Firestone Tire &amp; Rubber Co. v. Risjord</w:t>
      </w:r>
      <w:r w:rsidRPr="00B648DC">
        <w:rPr>
          <w:rFonts w:ascii="Times New Roman" w:hAnsi="Times New Roman" w:cs="Times New Roman"/>
          <w:color w:val="000000" w:themeColor="text1"/>
        </w:rPr>
        <w:t xml:space="preserve">, 449 U.S. 368, 377 (1981); </w:t>
      </w:r>
      <w:r w:rsidRPr="00B648DC">
        <w:rPr>
          <w:rFonts w:ascii="Times New Roman" w:hAnsi="Times New Roman" w:cs="Times New Roman"/>
          <w:i/>
          <w:iCs/>
          <w:color w:val="000000" w:themeColor="text1"/>
        </w:rPr>
        <w:t>Coke v. Equity Residential Properties Trust</w:t>
      </w:r>
      <w:r w:rsidRPr="00B648DC">
        <w:rPr>
          <w:rFonts w:ascii="Times New Roman" w:hAnsi="Times New Roman" w:cs="Times New Roman"/>
          <w:color w:val="000000" w:themeColor="text1"/>
        </w:rPr>
        <w:t xml:space="preserve">, 440 Mass. 511, 516, 800 N.E.2d 280 (2003); </w:t>
      </w:r>
      <w:r w:rsidRPr="00B648DC">
        <w:rPr>
          <w:rFonts w:ascii="Times New Roman" w:hAnsi="Times New Roman" w:cs="Times New Roman"/>
          <w:i/>
          <w:iCs/>
          <w:color w:val="000000" w:themeColor="text1"/>
        </w:rPr>
        <w:t>Slade v. Ormsby,</w:t>
      </w:r>
      <w:r w:rsidRPr="00B648DC">
        <w:rPr>
          <w:rFonts w:ascii="Times New Roman" w:hAnsi="Times New Roman" w:cs="Times New Roman"/>
          <w:color w:val="000000" w:themeColor="text1"/>
        </w:rPr>
        <w:t xml:space="preserve"> 69 Mass. App. Ct. 542, 546, 872 N.E.2d 223, 226 (2007).</w:t>
      </w:r>
    </w:p>
  </w:footnote>
  <w:footnote w:id="3">
    <w:p w14:paraId="2B0ECEA6"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Slade</w:t>
      </w:r>
      <w:r w:rsidRPr="00B648DC">
        <w:rPr>
          <w:rFonts w:ascii="Times New Roman" w:hAnsi="Times New Roman" w:cs="Times New Roman"/>
          <w:color w:val="000000" w:themeColor="text1"/>
        </w:rPr>
        <w:t>, 69 Mass. App. Ct. at 545–46 (internal citations omitted).</w:t>
      </w:r>
    </w:p>
  </w:footnote>
  <w:footnote w:id="4">
    <w:p w14:paraId="721A7431"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G.D. Mathews &amp; Sons Corp. v. MSN Corp</w:t>
      </w:r>
      <w:r w:rsidRPr="00B648DC">
        <w:rPr>
          <w:rFonts w:ascii="Times New Roman" w:hAnsi="Times New Roman" w:cs="Times New Roman"/>
          <w:color w:val="000000" w:themeColor="text1"/>
        </w:rPr>
        <w:t xml:space="preserve">., 54 Mass.App.Ct. 18, 20, 763 N.E.2d 93 (2002), quoting from </w:t>
      </w:r>
      <w:r w:rsidRPr="00B648DC">
        <w:rPr>
          <w:rFonts w:ascii="Times New Roman" w:hAnsi="Times New Roman" w:cs="Times New Roman"/>
          <w:i/>
          <w:iCs/>
          <w:color w:val="000000" w:themeColor="text1"/>
        </w:rPr>
        <w:t>Adoption of Erica</w:t>
      </w:r>
      <w:r w:rsidRPr="00B648DC">
        <w:rPr>
          <w:rFonts w:ascii="Times New Roman" w:hAnsi="Times New Roman" w:cs="Times New Roman"/>
          <w:color w:val="000000" w:themeColor="text1"/>
        </w:rPr>
        <w:t xml:space="preserve">, 426 Mass. 55, 58, 686 N.E.2d 967 (1997); see also </w:t>
      </w:r>
      <w:r w:rsidRPr="00B648DC">
        <w:rPr>
          <w:rFonts w:ascii="Times New Roman" w:hAnsi="Times New Roman" w:cs="Times New Roman"/>
          <w:i/>
          <w:iCs/>
          <w:color w:val="000000" w:themeColor="text1"/>
        </w:rPr>
        <w:t>Slade</w:t>
      </w:r>
      <w:r w:rsidRPr="00B648DC">
        <w:rPr>
          <w:rFonts w:ascii="Times New Roman" w:hAnsi="Times New Roman" w:cs="Times New Roman"/>
          <w:color w:val="000000" w:themeColor="text1"/>
        </w:rPr>
        <w:t>, 69 Mass. App. Ct. at 546.</w:t>
      </w:r>
    </w:p>
  </w:footnote>
  <w:footnote w:id="5">
    <w:p w14:paraId="7BE87D59"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See, e.g., </w:t>
      </w:r>
      <w:r w:rsidRPr="00B648DC">
        <w:rPr>
          <w:rFonts w:ascii="Times New Roman" w:hAnsi="Times New Roman" w:cs="Times New Roman"/>
          <w:i/>
          <w:iCs/>
          <w:color w:val="000000" w:themeColor="text1"/>
        </w:rPr>
        <w:t>Freeman v. Chicago Musical Instrument Co.,</w:t>
      </w:r>
      <w:r w:rsidRPr="00B648DC">
        <w:rPr>
          <w:rFonts w:ascii="Times New Roman" w:hAnsi="Times New Roman" w:cs="Times New Roman"/>
          <w:color w:val="000000" w:themeColor="text1"/>
        </w:rPr>
        <w:t xml:space="preserve"> 689 F.2d 715, 719 (1982); </w:t>
      </w:r>
      <w:r w:rsidRPr="00B648DC">
        <w:rPr>
          <w:rFonts w:ascii="Times New Roman" w:hAnsi="Times New Roman" w:cs="Times New Roman"/>
          <w:i/>
          <w:iCs/>
          <w:color w:val="000000" w:themeColor="text1"/>
        </w:rPr>
        <w:t>Borman v. Borman</w:t>
      </w:r>
      <w:r w:rsidRPr="00B648DC">
        <w:rPr>
          <w:rFonts w:ascii="Times New Roman" w:hAnsi="Times New Roman" w:cs="Times New Roman"/>
          <w:color w:val="000000" w:themeColor="text1"/>
        </w:rPr>
        <w:t>, 378 Mass. 775, 787–88, 393 N.E.2d 847, 855–56 (1979).</w:t>
      </w:r>
    </w:p>
  </w:footnote>
  <w:footnote w:id="6">
    <w:p w14:paraId="211DC1C9"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Borman</w:t>
      </w:r>
      <w:r w:rsidRPr="00B648DC">
        <w:rPr>
          <w:rFonts w:ascii="Times New Roman" w:hAnsi="Times New Roman" w:cs="Times New Roman"/>
          <w:color w:val="000000" w:themeColor="text1"/>
        </w:rPr>
        <w:t>, 378 Mass. at 787–88 (internal citations omitted).</w:t>
      </w:r>
    </w:p>
  </w:footnote>
  <w:footnote w:id="7">
    <w:p w14:paraId="0D9FF8A4"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Slade</w:t>
      </w:r>
      <w:r w:rsidRPr="00B648DC">
        <w:rPr>
          <w:rFonts w:ascii="Times New Roman" w:hAnsi="Times New Roman" w:cs="Times New Roman"/>
          <w:color w:val="000000" w:themeColor="text1"/>
        </w:rPr>
        <w:t xml:space="preserve">, 69 Mass. App. Ct. at 546; </w:t>
      </w:r>
      <w:r w:rsidRPr="00B648DC">
        <w:rPr>
          <w:rFonts w:ascii="Times New Roman" w:hAnsi="Times New Roman" w:cs="Times New Roman"/>
          <w:i/>
          <w:iCs/>
          <w:color w:val="000000" w:themeColor="text1"/>
        </w:rPr>
        <w:t>Masiello v. Perini Corp</w:t>
      </w:r>
      <w:r w:rsidRPr="00B648DC">
        <w:rPr>
          <w:rFonts w:ascii="Times New Roman" w:hAnsi="Times New Roman" w:cs="Times New Roman"/>
          <w:color w:val="000000" w:themeColor="text1"/>
        </w:rPr>
        <w:t>., 394 Mass. 842, 850 (1985).</w:t>
      </w:r>
    </w:p>
  </w:footnote>
  <w:footnote w:id="8">
    <w:p w14:paraId="4D125D08"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Smaland Beach Ass’n, Inc. v. Genova</w:t>
      </w:r>
      <w:r w:rsidRPr="00B648DC">
        <w:rPr>
          <w:rFonts w:ascii="Times New Roman" w:hAnsi="Times New Roman" w:cs="Times New Roman"/>
          <w:color w:val="000000" w:themeColor="text1"/>
        </w:rPr>
        <w:t>, 461 Mass. 214, 220, 959 N.E.2d 955, 962-63 (2012).</w:t>
      </w:r>
    </w:p>
  </w:footnote>
  <w:footnote w:id="9">
    <w:p w14:paraId="5487D140"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See </w:t>
      </w:r>
      <w:r w:rsidRPr="00B648DC">
        <w:rPr>
          <w:rFonts w:ascii="Times New Roman" w:hAnsi="Times New Roman" w:cs="Times New Roman"/>
          <w:i/>
          <w:iCs/>
          <w:color w:val="000000" w:themeColor="text1"/>
        </w:rPr>
        <w:t>Serody v. Serody,</w:t>
      </w:r>
      <w:r w:rsidRPr="00B648DC">
        <w:rPr>
          <w:rFonts w:ascii="Times New Roman" w:hAnsi="Times New Roman" w:cs="Times New Roman"/>
          <w:color w:val="000000" w:themeColor="text1"/>
        </w:rPr>
        <w:t xml:space="preserve"> 19 Mass. App. Ct. 411, 414 (1985).</w:t>
      </w:r>
    </w:p>
  </w:footnote>
  <w:footnote w:id="10">
    <w:p w14:paraId="395856ED"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G.D. Mathews &amp; Sons Corp</w:t>
      </w:r>
      <w:r w:rsidRPr="00B648DC">
        <w:rPr>
          <w:rFonts w:ascii="Times New Roman" w:hAnsi="Times New Roman" w:cs="Times New Roman"/>
          <w:color w:val="000000" w:themeColor="text1"/>
        </w:rPr>
        <w:t>., 54 Mass.App.Ct. at 20.</w:t>
      </w:r>
    </w:p>
  </w:footnote>
  <w:footnote w:id="11">
    <w:p w14:paraId="0D0B9B1E" w14:textId="77777777" w:rsidR="003A23BC" w:rsidRPr="00B648DC" w:rsidRDefault="003A23BC" w:rsidP="003A23BC">
      <w:pPr>
        <w:shd w:val="clear" w:color="auto" w:fill="FFFFFF"/>
        <w:rPr>
          <w:color w:val="000000" w:themeColor="text1"/>
          <w:sz w:val="20"/>
          <w:szCs w:val="20"/>
        </w:rPr>
      </w:pPr>
      <w:r w:rsidRPr="00B648DC">
        <w:rPr>
          <w:rStyle w:val="FootnoteReference"/>
          <w:color w:val="000000" w:themeColor="text1"/>
          <w:sz w:val="20"/>
          <w:szCs w:val="20"/>
        </w:rPr>
        <w:footnoteRef/>
      </w:r>
      <w:r w:rsidRPr="00B648DC">
        <w:rPr>
          <w:color w:val="000000" w:themeColor="text1"/>
          <w:sz w:val="20"/>
          <w:szCs w:val="20"/>
        </w:rPr>
        <w:t xml:space="preserve"> See, e.g., </w:t>
      </w:r>
      <w:r w:rsidRPr="00B648DC">
        <w:rPr>
          <w:i/>
          <w:iCs/>
          <w:color w:val="000000" w:themeColor="text1"/>
          <w:sz w:val="20"/>
          <w:szCs w:val="20"/>
        </w:rPr>
        <w:t>Freeman v. Chicago Musical Instrument Co.,</w:t>
      </w:r>
      <w:r w:rsidRPr="00B648DC">
        <w:rPr>
          <w:color w:val="000000" w:themeColor="text1"/>
          <w:sz w:val="20"/>
          <w:szCs w:val="20"/>
        </w:rPr>
        <w:t xml:space="preserve"> 689 F.2d 715, 719 (1982); </w:t>
      </w:r>
      <w:r w:rsidRPr="00B648DC">
        <w:rPr>
          <w:i/>
          <w:iCs/>
          <w:color w:val="000000" w:themeColor="text1"/>
          <w:sz w:val="20"/>
          <w:szCs w:val="20"/>
        </w:rPr>
        <w:t>Borman</w:t>
      </w:r>
      <w:r w:rsidRPr="00B648DC">
        <w:rPr>
          <w:color w:val="000000" w:themeColor="text1"/>
          <w:sz w:val="20"/>
          <w:szCs w:val="20"/>
        </w:rPr>
        <w:t>, 378 Mass. at 787–88.</w:t>
      </w:r>
    </w:p>
  </w:footnote>
  <w:footnote w:id="12">
    <w:p w14:paraId="114A7949"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Byrnes</w:t>
      </w:r>
      <w:r w:rsidRPr="00B648DC">
        <w:rPr>
          <w:rFonts w:ascii="Times New Roman" w:hAnsi="Times New Roman" w:cs="Times New Roman"/>
          <w:color w:val="000000" w:themeColor="text1"/>
        </w:rPr>
        <w:t>, 29 Mass. App. Ct. at 110.</w:t>
      </w:r>
    </w:p>
  </w:footnote>
  <w:footnote w:id="13">
    <w:p w14:paraId="711B9F83"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See </w:t>
      </w:r>
      <w:r w:rsidRPr="00B648DC">
        <w:rPr>
          <w:rFonts w:ascii="Times New Roman" w:hAnsi="Times New Roman" w:cs="Times New Roman"/>
          <w:i/>
          <w:iCs/>
          <w:color w:val="000000" w:themeColor="text1"/>
        </w:rPr>
        <w:t>Firestone Tire</w:t>
      </w:r>
      <w:r w:rsidRPr="00B648DC">
        <w:rPr>
          <w:rFonts w:ascii="Times New Roman" w:hAnsi="Times New Roman" w:cs="Times New Roman"/>
          <w:color w:val="000000" w:themeColor="text1"/>
        </w:rPr>
        <w:t>, 449 U.S. at 377.</w:t>
      </w:r>
    </w:p>
  </w:footnote>
  <w:footnote w:id="14">
    <w:p w14:paraId="485D9217" w14:textId="77777777" w:rsidR="003A23BC" w:rsidRPr="00B648DC" w:rsidRDefault="003A23BC" w:rsidP="003A23BC">
      <w:pPr>
        <w:pStyle w:val="FootnoteText"/>
        <w:rPr>
          <w:rFonts w:ascii="Times New Roman" w:hAnsi="Times New Roman" w:cs="Times New Roman"/>
        </w:rPr>
      </w:pPr>
      <w:r w:rsidRPr="00B648DC">
        <w:rPr>
          <w:rStyle w:val="FootnoteReference"/>
          <w:rFonts w:ascii="Times New Roman" w:hAnsi="Times New Roman" w:cs="Times New Roman"/>
        </w:rPr>
        <w:footnoteRef/>
      </w:r>
      <w:r w:rsidRPr="00B648DC">
        <w:rPr>
          <w:rFonts w:ascii="Times New Roman" w:hAnsi="Times New Roman" w:cs="Times New Roman"/>
        </w:rPr>
        <w:t xml:space="preserve"> See </w:t>
      </w:r>
      <w:r w:rsidRPr="00B648DC">
        <w:rPr>
          <w:rFonts w:ascii="Times New Roman" w:hAnsi="Times New Roman" w:cs="Times New Roman"/>
          <w:i/>
          <w:iCs/>
        </w:rPr>
        <w:t>Massachusetts Rules of Professional Conduct</w:t>
      </w:r>
      <w:r w:rsidRPr="00B648DC">
        <w:rPr>
          <w:rFonts w:ascii="Times New Roman" w:hAnsi="Times New Roman" w:cs="Times New Roman"/>
        </w:rPr>
        <w:t>, Rules 1.7 and 1.8.</w:t>
      </w:r>
    </w:p>
  </w:footnote>
  <w:footnote w:id="15">
    <w:p w14:paraId="48BA6AE0" w14:textId="77777777" w:rsidR="003A23BC" w:rsidRPr="00B648DC" w:rsidRDefault="003A23BC" w:rsidP="003A23BC">
      <w:pPr>
        <w:pStyle w:val="FootnoteText"/>
        <w:rPr>
          <w:rFonts w:ascii="Times New Roman" w:hAnsi="Times New Roman" w:cs="Times New Roman"/>
          <w:color w:val="000000" w:themeColor="text1"/>
        </w:rPr>
      </w:pPr>
      <w:r w:rsidRPr="00B648DC">
        <w:rPr>
          <w:rStyle w:val="FootnoteReference"/>
          <w:rFonts w:ascii="Times New Roman" w:hAnsi="Times New Roman" w:cs="Times New Roman"/>
          <w:color w:val="000000" w:themeColor="text1"/>
        </w:rPr>
        <w:footnoteRef/>
      </w:r>
      <w:r w:rsidRPr="00B648DC">
        <w:rPr>
          <w:rFonts w:ascii="Times New Roman" w:hAnsi="Times New Roman" w:cs="Times New Roman"/>
          <w:color w:val="000000" w:themeColor="text1"/>
        </w:rPr>
        <w:t xml:space="preserve"> </w:t>
      </w:r>
      <w:r w:rsidRPr="00B648DC">
        <w:rPr>
          <w:rFonts w:ascii="Times New Roman" w:hAnsi="Times New Roman" w:cs="Times New Roman"/>
          <w:i/>
          <w:iCs/>
          <w:color w:val="000000" w:themeColor="text1"/>
        </w:rPr>
        <w:t>Borman</w:t>
      </w:r>
      <w:r w:rsidRPr="00B648DC">
        <w:rPr>
          <w:rFonts w:ascii="Times New Roman" w:hAnsi="Times New Roman" w:cs="Times New Roman"/>
          <w:color w:val="000000" w:themeColor="text1"/>
        </w:rPr>
        <w:t>, 378 Mass. at 787–88 (internal citations omitted).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B7D81"/>
    <w:multiLevelType w:val="hybridMultilevel"/>
    <w:tmpl w:val="EB666C5E"/>
    <w:lvl w:ilvl="0" w:tplc="6AE8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89660">
    <w:abstractNumId w:val="0"/>
  </w:num>
  <w:num w:numId="2" w16cid:durableId="1185099210">
    <w:abstractNumId w:val="1"/>
  </w:num>
  <w:num w:numId="3" w16cid:durableId="1600487014">
    <w:abstractNumId w:val="2"/>
  </w:num>
  <w:num w:numId="4" w16cid:durableId="1505242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BC"/>
    <w:rsid w:val="00217833"/>
    <w:rsid w:val="00221AB6"/>
    <w:rsid w:val="002635A5"/>
    <w:rsid w:val="003A23BC"/>
    <w:rsid w:val="003F7471"/>
    <w:rsid w:val="00475D1C"/>
    <w:rsid w:val="00513794"/>
    <w:rsid w:val="006B678C"/>
    <w:rsid w:val="00701380"/>
    <w:rsid w:val="008A2809"/>
    <w:rsid w:val="00925396"/>
    <w:rsid w:val="009C2B06"/>
    <w:rsid w:val="009E3464"/>
    <w:rsid w:val="009F6688"/>
    <w:rsid w:val="00A15046"/>
    <w:rsid w:val="00A828B8"/>
    <w:rsid w:val="00B648DC"/>
    <w:rsid w:val="00C70FC5"/>
    <w:rsid w:val="00C724B6"/>
    <w:rsid w:val="00CC79C7"/>
    <w:rsid w:val="00D35881"/>
    <w:rsid w:val="00D851E6"/>
    <w:rsid w:val="00D93B37"/>
    <w:rsid w:val="00DC0877"/>
    <w:rsid w:val="00DE3760"/>
    <w:rsid w:val="00F8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F49B"/>
  <w15:chartTrackingRefBased/>
  <w15:docId w15:val="{5F9B7899-43EB-A14D-A19F-DA4BDF7F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C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3BC"/>
  </w:style>
  <w:style w:type="character" w:customStyle="1" w:styleId="tm22">
    <w:name w:val="tm22"/>
    <w:basedOn w:val="DefaultParagraphFont"/>
    <w:rsid w:val="003A23BC"/>
  </w:style>
  <w:style w:type="paragraph" w:styleId="NormalWeb">
    <w:name w:val="Normal (Web)"/>
    <w:basedOn w:val="Normal"/>
    <w:uiPriority w:val="99"/>
    <w:unhideWhenUsed/>
    <w:rsid w:val="003A23BC"/>
    <w:pPr>
      <w:spacing w:before="100" w:beforeAutospacing="1" w:after="100" w:afterAutospacing="1"/>
    </w:pPr>
  </w:style>
  <w:style w:type="paragraph" w:styleId="FootnoteText">
    <w:name w:val="footnote text"/>
    <w:basedOn w:val="Normal"/>
    <w:link w:val="FootnoteTextChar"/>
    <w:uiPriority w:val="99"/>
    <w:unhideWhenUsed/>
    <w:rsid w:val="003A23BC"/>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3A23BC"/>
    <w:rPr>
      <w:sz w:val="20"/>
      <w:szCs w:val="20"/>
    </w:rPr>
  </w:style>
  <w:style w:type="character" w:styleId="FootnoteReference">
    <w:name w:val="footnote reference"/>
    <w:basedOn w:val="DefaultParagraphFont"/>
    <w:uiPriority w:val="99"/>
    <w:unhideWhenUsed/>
    <w:rsid w:val="003A23BC"/>
    <w:rPr>
      <w:vertAlign w:val="superscript"/>
    </w:rPr>
  </w:style>
  <w:style w:type="paragraph" w:styleId="ListParagraph">
    <w:name w:val="List Paragraph"/>
    <w:basedOn w:val="Normal"/>
    <w:uiPriority w:val="34"/>
    <w:qFormat/>
    <w:rsid w:val="003A23BC"/>
    <w:pPr>
      <w:ind w:left="720"/>
      <w:contextualSpacing/>
    </w:pPr>
  </w:style>
  <w:style w:type="character" w:styleId="Emphasis">
    <w:name w:val="Emphasis"/>
    <w:basedOn w:val="DefaultParagraphFont"/>
    <w:uiPriority w:val="20"/>
    <w:qFormat/>
    <w:rsid w:val="003A23BC"/>
    <w:rPr>
      <w:i/>
      <w:iCs/>
    </w:rPr>
  </w:style>
  <w:style w:type="paragraph" w:styleId="Footer">
    <w:name w:val="footer"/>
    <w:basedOn w:val="Normal"/>
    <w:link w:val="FooterChar"/>
    <w:uiPriority w:val="99"/>
    <w:unhideWhenUsed/>
    <w:rsid w:val="00B648DC"/>
    <w:pPr>
      <w:tabs>
        <w:tab w:val="center" w:pos="4680"/>
        <w:tab w:val="right" w:pos="9360"/>
      </w:tabs>
    </w:pPr>
  </w:style>
  <w:style w:type="character" w:customStyle="1" w:styleId="FooterChar">
    <w:name w:val="Footer Char"/>
    <w:basedOn w:val="DefaultParagraphFont"/>
    <w:link w:val="Footer"/>
    <w:uiPriority w:val="99"/>
    <w:rsid w:val="00B648D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6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4183">
      <w:bodyDiv w:val="1"/>
      <w:marLeft w:val="0"/>
      <w:marRight w:val="0"/>
      <w:marTop w:val="0"/>
      <w:marBottom w:val="0"/>
      <w:divBdr>
        <w:top w:val="none" w:sz="0" w:space="0" w:color="auto"/>
        <w:left w:val="none" w:sz="0" w:space="0" w:color="auto"/>
        <w:bottom w:val="none" w:sz="0" w:space="0" w:color="auto"/>
        <w:right w:val="none" w:sz="0" w:space="0" w:color="auto"/>
      </w:divBdr>
      <w:divsChild>
        <w:div w:id="162084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964595">
              <w:marLeft w:val="0"/>
              <w:marRight w:val="0"/>
              <w:marTop w:val="0"/>
              <w:marBottom w:val="0"/>
              <w:divBdr>
                <w:top w:val="none" w:sz="0" w:space="0" w:color="auto"/>
                <w:left w:val="none" w:sz="0" w:space="0" w:color="auto"/>
                <w:bottom w:val="none" w:sz="0" w:space="0" w:color="auto"/>
                <w:right w:val="none" w:sz="0" w:space="0" w:color="auto"/>
              </w:divBdr>
              <w:divsChild>
                <w:div w:id="513688300">
                  <w:marLeft w:val="0"/>
                  <w:marRight w:val="0"/>
                  <w:marTop w:val="0"/>
                  <w:marBottom w:val="0"/>
                  <w:divBdr>
                    <w:top w:val="none" w:sz="0" w:space="0" w:color="auto"/>
                    <w:left w:val="none" w:sz="0" w:space="0" w:color="auto"/>
                    <w:bottom w:val="none" w:sz="0" w:space="0" w:color="auto"/>
                    <w:right w:val="none" w:sz="0" w:space="0" w:color="auto"/>
                  </w:divBdr>
                  <w:divsChild>
                    <w:div w:id="19501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DB7E-CE73-7E49-988B-02086367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2023-07-06T13:21:00Z</cp:lastPrinted>
  <dcterms:created xsi:type="dcterms:W3CDTF">2023-07-06T14:05:00Z</dcterms:created>
  <dcterms:modified xsi:type="dcterms:W3CDTF">2023-07-06T14:05:00Z</dcterms:modified>
</cp:coreProperties>
</file>