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879C8" w14:textId="77777777" w:rsidR="00DA78B3" w:rsidRPr="00206650" w:rsidRDefault="00DA78B3" w:rsidP="00DA78B3">
      <w:pPr>
        <w:jc w:val="center"/>
        <w:rPr>
          <w:rFonts w:ascii="Aptos" w:hAnsi="Aptos" w:cs="Times New Roman"/>
          <w:b/>
          <w:sz w:val="28"/>
          <w:szCs w:val="28"/>
        </w:rPr>
      </w:pPr>
      <w:r w:rsidRPr="00206650">
        <w:rPr>
          <w:rFonts w:ascii="Aptos" w:hAnsi="Aptos" w:cs="Times New Roman"/>
          <w:b/>
          <w:sz w:val="28"/>
          <w:szCs w:val="28"/>
        </w:rPr>
        <w:t>COMMONWEALTH OF MASSACHUSETTS</w:t>
      </w:r>
    </w:p>
    <w:p w14:paraId="45B4B0A4" w14:textId="77777777" w:rsidR="00DA78B3" w:rsidRPr="00206650" w:rsidRDefault="00DA78B3" w:rsidP="00DA78B3">
      <w:pPr>
        <w:jc w:val="center"/>
        <w:rPr>
          <w:rFonts w:ascii="Aptos" w:hAnsi="Aptos" w:cs="Times New Roman"/>
          <w:b/>
          <w:sz w:val="28"/>
          <w:szCs w:val="28"/>
        </w:rPr>
      </w:pPr>
      <w:r w:rsidRPr="00206650">
        <w:rPr>
          <w:rFonts w:ascii="Aptos" w:hAnsi="Aptos" w:cs="Times New Roman"/>
          <w:b/>
          <w:sz w:val="28"/>
          <w:szCs w:val="28"/>
        </w:rPr>
        <w:t>DIVISION OF ADMINISTRATIVE LAW APPEALS</w:t>
      </w:r>
    </w:p>
    <w:p w14:paraId="3FE96C41" w14:textId="77777777" w:rsidR="00DA78B3" w:rsidRPr="00206650" w:rsidRDefault="00DA78B3" w:rsidP="00DA78B3">
      <w:pPr>
        <w:jc w:val="center"/>
        <w:rPr>
          <w:rFonts w:ascii="Aptos" w:hAnsi="Aptos" w:cs="Times New Roman"/>
          <w:b/>
          <w:sz w:val="28"/>
          <w:szCs w:val="28"/>
        </w:rPr>
      </w:pPr>
      <w:r w:rsidRPr="00206650">
        <w:rPr>
          <w:rFonts w:ascii="Aptos" w:hAnsi="Aptos" w:cs="Times New Roman"/>
          <w:b/>
          <w:sz w:val="28"/>
          <w:szCs w:val="28"/>
        </w:rPr>
        <w:t>BUREAU OF SPECIAL EDUCATION APPEALS</w:t>
      </w:r>
    </w:p>
    <w:p w14:paraId="78EAC9EF" w14:textId="77777777" w:rsidR="00DA78B3" w:rsidRPr="00E4629F" w:rsidRDefault="00DA78B3" w:rsidP="00DA78B3">
      <w:pPr>
        <w:pStyle w:val="NormalWeb"/>
        <w:tabs>
          <w:tab w:val="left" w:pos="3330"/>
        </w:tabs>
        <w:spacing w:after="0" w:afterAutospacing="0"/>
        <w:rPr>
          <w:rFonts w:ascii="Aptos" w:hAnsi="Aptos"/>
          <w:b/>
          <w:bCs/>
          <w:sz w:val="25"/>
          <w:szCs w:val="25"/>
        </w:rPr>
      </w:pPr>
      <w:r w:rsidRPr="00E4629F">
        <w:rPr>
          <w:rFonts w:ascii="Aptos" w:hAnsi="Aptos"/>
          <w:b/>
          <w:sz w:val="25"/>
          <w:szCs w:val="25"/>
        </w:rPr>
        <w:t>In Re</w:t>
      </w:r>
      <w:r w:rsidRPr="00E4629F">
        <w:rPr>
          <w:rFonts w:ascii="Aptos" w:hAnsi="Aptos"/>
          <w:sz w:val="25"/>
          <w:szCs w:val="25"/>
        </w:rPr>
        <w:t xml:space="preserve">:   </w:t>
      </w:r>
      <w:r w:rsidRPr="00E4629F">
        <w:rPr>
          <w:rFonts w:ascii="Aptos" w:hAnsi="Aptos"/>
          <w:b/>
          <w:bCs/>
          <w:sz w:val="25"/>
          <w:szCs w:val="25"/>
        </w:rPr>
        <w:t xml:space="preserve">Student &amp; Quincy Public Schools &amp; Department of             </w:t>
      </w:r>
      <w:r w:rsidRPr="00E4629F">
        <w:rPr>
          <w:rFonts w:ascii="Aptos" w:hAnsi="Aptos"/>
          <w:b/>
          <w:bCs/>
          <w:sz w:val="25"/>
          <w:szCs w:val="25"/>
        </w:rPr>
        <w:tab/>
        <w:t xml:space="preserve">        BSEA #</w:t>
      </w:r>
      <w:r w:rsidRPr="00E4629F">
        <w:rPr>
          <w:rFonts w:ascii="Aptos" w:hAnsi="Aptos"/>
          <w:sz w:val="25"/>
          <w:szCs w:val="25"/>
        </w:rPr>
        <w:t>2408249</w:t>
      </w:r>
    </w:p>
    <w:p w14:paraId="6251CB3C" w14:textId="77777777" w:rsidR="00DA78B3" w:rsidRPr="00E4629F" w:rsidRDefault="00DA78B3" w:rsidP="00DA78B3">
      <w:pPr>
        <w:tabs>
          <w:tab w:val="left" w:pos="3330"/>
        </w:tabs>
        <w:rPr>
          <w:rFonts w:ascii="Aptos" w:eastAsia="Times New Roman" w:hAnsi="Aptos" w:cs="Times New Roman"/>
          <w:b/>
          <w:color w:val="000000"/>
          <w:sz w:val="25"/>
          <w:szCs w:val="25"/>
        </w:rPr>
      </w:pPr>
      <w:r w:rsidRPr="00E4629F">
        <w:rPr>
          <w:rFonts w:ascii="Aptos" w:eastAsia="Times New Roman" w:hAnsi="Aptos" w:cs="Times New Roman"/>
          <w:b/>
          <w:color w:val="000000"/>
          <w:sz w:val="25"/>
          <w:szCs w:val="25"/>
        </w:rPr>
        <w:t xml:space="preserve">                                       Elementary and Secondary Education</w:t>
      </w:r>
      <w:r w:rsidRPr="00E4629F">
        <w:rPr>
          <w:rFonts w:ascii="Aptos" w:eastAsia="Times New Roman" w:hAnsi="Aptos" w:cs="Times New Roman"/>
          <w:b/>
          <w:color w:val="000000"/>
          <w:sz w:val="25"/>
          <w:szCs w:val="25"/>
        </w:rPr>
        <w:tab/>
      </w:r>
    </w:p>
    <w:p w14:paraId="3E925C14" w14:textId="77777777" w:rsidR="00D4398E" w:rsidRPr="00E4629F" w:rsidRDefault="00D4398E" w:rsidP="00DA78B3">
      <w:pPr>
        <w:tabs>
          <w:tab w:val="left" w:pos="3330"/>
        </w:tabs>
        <w:rPr>
          <w:rFonts w:ascii="Aptos" w:eastAsia="Times New Roman" w:hAnsi="Aptos" w:cs="Times New Roman"/>
          <w:b/>
          <w:color w:val="000000"/>
          <w:sz w:val="25"/>
          <w:szCs w:val="25"/>
        </w:rPr>
      </w:pPr>
    </w:p>
    <w:p w14:paraId="3DB912FC" w14:textId="77777777" w:rsidR="00DA78B3" w:rsidRPr="00E4629F" w:rsidRDefault="00DA78B3" w:rsidP="00DA78B3">
      <w:pPr>
        <w:shd w:val="clear" w:color="auto" w:fill="FFFFFF"/>
        <w:jc w:val="center"/>
        <w:rPr>
          <w:rFonts w:ascii="Aptos" w:eastAsia="Times New Roman" w:hAnsi="Aptos" w:cs="Times New Roman"/>
          <w:b/>
          <w:bCs/>
          <w:sz w:val="25"/>
          <w:szCs w:val="25"/>
          <w:u w:val="single"/>
        </w:rPr>
      </w:pPr>
      <w:r w:rsidRPr="00E4629F">
        <w:rPr>
          <w:rFonts w:ascii="Aptos" w:eastAsia="Times New Roman" w:hAnsi="Aptos" w:cs="Times New Roman"/>
          <w:b/>
          <w:bCs/>
          <w:sz w:val="25"/>
          <w:szCs w:val="25"/>
          <w:u w:val="single"/>
        </w:rPr>
        <w:t>RULING ON RESPONDENTS’ MOTIONS TO DISMISS</w:t>
      </w:r>
    </w:p>
    <w:p w14:paraId="001A2E95" w14:textId="77777777" w:rsidR="00DA78B3" w:rsidRPr="00E4629F" w:rsidRDefault="00DA78B3" w:rsidP="00DA78B3">
      <w:pPr>
        <w:shd w:val="clear" w:color="auto" w:fill="FFFFFF"/>
        <w:rPr>
          <w:rFonts w:ascii="Aptos" w:eastAsia="Times New Roman" w:hAnsi="Aptos" w:cs="Times New Roman"/>
          <w:sz w:val="25"/>
          <w:szCs w:val="25"/>
        </w:rPr>
      </w:pPr>
    </w:p>
    <w:p w14:paraId="0779C63A" w14:textId="0D684A92" w:rsidR="00DA78B3" w:rsidRPr="000370FF" w:rsidRDefault="00DA78B3" w:rsidP="00DA78B3">
      <w:pPr>
        <w:shd w:val="clear" w:color="auto" w:fill="FFFFFF"/>
        <w:rPr>
          <w:rFonts w:ascii="Aptos" w:eastAsia="Times New Roman" w:hAnsi="Aptos" w:cs="Times New Roman"/>
          <w:sz w:val="25"/>
          <w:szCs w:val="25"/>
        </w:rPr>
      </w:pPr>
      <w:r w:rsidRPr="000370FF">
        <w:rPr>
          <w:rFonts w:ascii="Aptos" w:eastAsia="Times New Roman" w:hAnsi="Aptos" w:cs="Times New Roman"/>
          <w:sz w:val="25"/>
          <w:szCs w:val="25"/>
        </w:rPr>
        <w:t xml:space="preserve">This matter comes before the Hearing Officer on the </w:t>
      </w:r>
      <w:r w:rsidRPr="000370FF">
        <w:rPr>
          <w:rFonts w:ascii="Aptos" w:eastAsia="Times New Roman" w:hAnsi="Aptos" w:cs="Times New Roman"/>
          <w:i/>
          <w:iCs/>
          <w:sz w:val="25"/>
          <w:szCs w:val="25"/>
        </w:rPr>
        <w:t xml:space="preserve">Department of Elementary and Secondary Education’s Motion to Dismiss &amp; Response to Hearing Request </w:t>
      </w:r>
      <w:r w:rsidRPr="000370FF">
        <w:rPr>
          <w:rFonts w:ascii="Aptos" w:eastAsia="Times New Roman" w:hAnsi="Aptos" w:cs="Times New Roman"/>
          <w:sz w:val="25"/>
          <w:szCs w:val="25"/>
        </w:rPr>
        <w:t>(</w:t>
      </w:r>
      <w:r w:rsidR="000D580A" w:rsidRPr="000370FF">
        <w:rPr>
          <w:rFonts w:ascii="Aptos" w:eastAsia="Times New Roman" w:hAnsi="Aptos" w:cs="Times New Roman"/>
          <w:i/>
          <w:iCs/>
          <w:sz w:val="25"/>
          <w:szCs w:val="25"/>
        </w:rPr>
        <w:t>“</w:t>
      </w:r>
      <w:r w:rsidRPr="000370FF">
        <w:rPr>
          <w:rFonts w:ascii="Aptos" w:eastAsia="Times New Roman" w:hAnsi="Aptos" w:cs="Times New Roman"/>
          <w:i/>
          <w:iCs/>
          <w:sz w:val="25"/>
          <w:szCs w:val="25"/>
        </w:rPr>
        <w:t>DESE Motion</w:t>
      </w:r>
      <w:r w:rsidR="000D580A" w:rsidRPr="000370FF">
        <w:rPr>
          <w:rFonts w:ascii="Aptos" w:eastAsia="Times New Roman" w:hAnsi="Aptos" w:cs="Times New Roman"/>
          <w:i/>
          <w:iCs/>
          <w:sz w:val="25"/>
          <w:szCs w:val="25"/>
        </w:rPr>
        <w:t>”</w:t>
      </w:r>
      <w:r w:rsidRPr="000370FF">
        <w:rPr>
          <w:rFonts w:ascii="Aptos" w:eastAsia="Times New Roman" w:hAnsi="Aptos" w:cs="Times New Roman"/>
          <w:sz w:val="25"/>
          <w:szCs w:val="25"/>
        </w:rPr>
        <w:t xml:space="preserve">) and the </w:t>
      </w:r>
      <w:r w:rsidRPr="000370FF">
        <w:rPr>
          <w:rFonts w:ascii="Aptos" w:eastAsia="Times New Roman" w:hAnsi="Aptos" w:cs="Times New Roman"/>
          <w:i/>
          <w:iCs/>
          <w:sz w:val="25"/>
          <w:szCs w:val="25"/>
        </w:rPr>
        <w:t>Quincy Public School’s Response to Student’s Hearing Request/Motion to Dismiss</w:t>
      </w:r>
      <w:r w:rsidRPr="000370FF">
        <w:rPr>
          <w:rFonts w:ascii="Aptos" w:eastAsia="Times New Roman" w:hAnsi="Aptos" w:cs="Times New Roman"/>
          <w:sz w:val="25"/>
          <w:szCs w:val="25"/>
        </w:rPr>
        <w:t xml:space="preserve"> (</w:t>
      </w:r>
      <w:r w:rsidRPr="000370FF">
        <w:rPr>
          <w:rFonts w:ascii="Aptos" w:eastAsia="Times New Roman" w:hAnsi="Aptos" w:cs="Times New Roman"/>
          <w:i/>
          <w:iCs/>
          <w:sz w:val="25"/>
          <w:szCs w:val="25"/>
        </w:rPr>
        <w:t>“Quincy</w:t>
      </w:r>
      <w:r w:rsidRPr="000370FF">
        <w:rPr>
          <w:rFonts w:ascii="Aptos" w:eastAsia="Times New Roman" w:hAnsi="Aptos" w:cs="Times New Roman"/>
          <w:sz w:val="25"/>
          <w:szCs w:val="25"/>
        </w:rPr>
        <w:t xml:space="preserve"> </w:t>
      </w:r>
      <w:r w:rsidRPr="000370FF">
        <w:rPr>
          <w:rFonts w:ascii="Aptos" w:eastAsia="Times New Roman" w:hAnsi="Aptos" w:cs="Times New Roman"/>
          <w:i/>
          <w:iCs/>
          <w:sz w:val="25"/>
          <w:szCs w:val="25"/>
        </w:rPr>
        <w:t>Motion”, collectively “Motions” or “Motions to Dismiss”</w:t>
      </w:r>
      <w:r w:rsidRPr="000370FF">
        <w:rPr>
          <w:rFonts w:ascii="Aptos" w:eastAsia="Times New Roman" w:hAnsi="Aptos" w:cs="Times New Roman"/>
          <w:sz w:val="25"/>
          <w:szCs w:val="25"/>
        </w:rPr>
        <w:t xml:space="preserve">) filed with the BSEA on March 11, 2024, and March 12, 2024, respectively, and further supplemented on May 20, 2024 and June 4, 2024, respectively.  </w:t>
      </w:r>
    </w:p>
    <w:p w14:paraId="65B6461C" w14:textId="77777777" w:rsidR="00DA78B3" w:rsidRPr="000370FF" w:rsidRDefault="00DA78B3" w:rsidP="00DA78B3">
      <w:pPr>
        <w:shd w:val="clear" w:color="auto" w:fill="FFFFFF"/>
        <w:rPr>
          <w:rFonts w:ascii="Aptos" w:eastAsia="Times New Roman" w:hAnsi="Aptos" w:cs="Times New Roman"/>
          <w:sz w:val="25"/>
          <w:szCs w:val="25"/>
        </w:rPr>
      </w:pPr>
    </w:p>
    <w:p w14:paraId="1CAC7A61" w14:textId="5FDAA6EF" w:rsidR="00DA78B3" w:rsidRPr="000370FF" w:rsidRDefault="000D580A" w:rsidP="000D580A">
      <w:pPr>
        <w:tabs>
          <w:tab w:val="left" w:pos="2792"/>
        </w:tabs>
        <w:rPr>
          <w:rFonts w:ascii="Aptos" w:hAnsi="Aptos" w:cs="Times New Roman"/>
          <w:color w:val="000000" w:themeColor="text1"/>
          <w:sz w:val="25"/>
          <w:szCs w:val="25"/>
        </w:rPr>
      </w:pPr>
      <w:r w:rsidRPr="000370FF">
        <w:rPr>
          <w:rFonts w:ascii="Aptos" w:hAnsi="Aptos" w:cs="Times New Roman"/>
          <w:color w:val="000000" w:themeColor="text1"/>
          <w:sz w:val="25"/>
          <w:szCs w:val="25"/>
        </w:rPr>
        <w:t xml:space="preserve">Neither party has requested a hearing on </w:t>
      </w:r>
      <w:r w:rsidRPr="000370FF">
        <w:rPr>
          <w:rFonts w:ascii="Aptos" w:eastAsia="Times New Roman" w:hAnsi="Aptos"/>
          <w:color w:val="000000" w:themeColor="text1"/>
          <w:sz w:val="25"/>
          <w:szCs w:val="25"/>
        </w:rPr>
        <w:t xml:space="preserve">the </w:t>
      </w:r>
      <w:r w:rsidRPr="000370FF">
        <w:rPr>
          <w:rFonts w:ascii="Aptos" w:eastAsia="Times New Roman" w:hAnsi="Aptos"/>
          <w:i/>
          <w:iCs/>
          <w:color w:val="000000" w:themeColor="text1"/>
          <w:sz w:val="25"/>
          <w:szCs w:val="25"/>
        </w:rPr>
        <w:t>Motions</w:t>
      </w:r>
      <w:r w:rsidRPr="000370FF">
        <w:rPr>
          <w:rFonts w:ascii="Aptos" w:hAnsi="Aptos" w:cs="Times New Roman"/>
          <w:color w:val="000000" w:themeColor="text1"/>
          <w:sz w:val="25"/>
          <w:szCs w:val="25"/>
        </w:rPr>
        <w:t xml:space="preserve">. Because neither testimony nor oral argument would advance the Hearing Officer's understanding of the issues involved, this Ruling is issued without a hearing, pursuant to Bureau of Special Education Appeals Hearing Rule VII(D).  </w:t>
      </w:r>
      <w:r w:rsidR="00DA78B3" w:rsidRPr="000370FF">
        <w:rPr>
          <w:rFonts w:ascii="Aptos" w:eastAsia="Times New Roman" w:hAnsi="Aptos" w:cs="Times New Roman"/>
          <w:sz w:val="25"/>
          <w:szCs w:val="25"/>
        </w:rPr>
        <w:t xml:space="preserve">For the reasons articulated, the </w:t>
      </w:r>
      <w:r w:rsidR="00DA78B3" w:rsidRPr="000370FF">
        <w:rPr>
          <w:rFonts w:ascii="Aptos" w:eastAsia="Times New Roman" w:hAnsi="Aptos" w:cs="Times New Roman"/>
          <w:i/>
          <w:iCs/>
          <w:sz w:val="25"/>
          <w:szCs w:val="25"/>
        </w:rPr>
        <w:t xml:space="preserve">Motions </w:t>
      </w:r>
      <w:r w:rsidR="00DA78B3" w:rsidRPr="000370FF">
        <w:rPr>
          <w:rFonts w:ascii="Aptos" w:eastAsia="Times New Roman" w:hAnsi="Aptos" w:cs="Times New Roman"/>
          <w:sz w:val="25"/>
          <w:szCs w:val="25"/>
        </w:rPr>
        <w:t xml:space="preserve">are </w:t>
      </w:r>
      <w:r w:rsidR="00DA78B3" w:rsidRPr="000370FF">
        <w:rPr>
          <w:rFonts w:ascii="Aptos" w:eastAsia="Times New Roman" w:hAnsi="Aptos" w:cs="Times New Roman"/>
          <w:b/>
          <w:bCs/>
          <w:sz w:val="25"/>
          <w:szCs w:val="25"/>
        </w:rPr>
        <w:t>ALLOWED</w:t>
      </w:r>
      <w:r w:rsidR="00DA78B3" w:rsidRPr="000370FF">
        <w:rPr>
          <w:rFonts w:ascii="Aptos" w:eastAsia="Times New Roman" w:hAnsi="Aptos" w:cs="Times New Roman"/>
          <w:sz w:val="25"/>
          <w:szCs w:val="25"/>
        </w:rPr>
        <w:t xml:space="preserve"> </w:t>
      </w:r>
      <w:r w:rsidR="00DA78B3" w:rsidRPr="000370FF">
        <w:rPr>
          <w:rFonts w:ascii="Aptos" w:eastAsia="Times New Roman" w:hAnsi="Aptos" w:cs="Times New Roman"/>
          <w:b/>
          <w:bCs/>
          <w:sz w:val="25"/>
          <w:szCs w:val="25"/>
        </w:rPr>
        <w:t xml:space="preserve">in part </w:t>
      </w:r>
      <w:r w:rsidR="00DA78B3" w:rsidRPr="000370FF">
        <w:rPr>
          <w:rFonts w:ascii="Aptos" w:eastAsia="Times New Roman" w:hAnsi="Aptos" w:cs="Times New Roman"/>
          <w:sz w:val="25"/>
          <w:szCs w:val="25"/>
        </w:rPr>
        <w:t xml:space="preserve">and </w:t>
      </w:r>
      <w:r w:rsidR="00DA78B3" w:rsidRPr="000370FF">
        <w:rPr>
          <w:rFonts w:ascii="Aptos" w:eastAsia="Times New Roman" w:hAnsi="Aptos" w:cs="Times New Roman"/>
          <w:b/>
          <w:bCs/>
          <w:sz w:val="25"/>
          <w:szCs w:val="25"/>
        </w:rPr>
        <w:t>DENIED</w:t>
      </w:r>
      <w:r w:rsidR="00DA78B3" w:rsidRPr="000370FF">
        <w:rPr>
          <w:rFonts w:ascii="Aptos" w:eastAsia="Times New Roman" w:hAnsi="Aptos" w:cs="Times New Roman"/>
          <w:b/>
          <w:bCs/>
          <w:i/>
          <w:iCs/>
          <w:sz w:val="25"/>
          <w:szCs w:val="25"/>
        </w:rPr>
        <w:t xml:space="preserve"> </w:t>
      </w:r>
      <w:r w:rsidR="00DA78B3" w:rsidRPr="000370FF">
        <w:rPr>
          <w:rFonts w:ascii="Aptos" w:eastAsia="Times New Roman" w:hAnsi="Aptos" w:cs="Times New Roman"/>
          <w:b/>
          <w:bCs/>
          <w:sz w:val="25"/>
          <w:szCs w:val="25"/>
        </w:rPr>
        <w:t>in part</w:t>
      </w:r>
      <w:r w:rsidR="00DA78B3" w:rsidRPr="000370FF">
        <w:rPr>
          <w:rFonts w:ascii="Aptos" w:eastAsia="Times New Roman" w:hAnsi="Aptos" w:cs="Times New Roman"/>
          <w:sz w:val="25"/>
          <w:szCs w:val="25"/>
        </w:rPr>
        <w:t xml:space="preserve">.  </w:t>
      </w:r>
    </w:p>
    <w:p w14:paraId="1FDF9A1B" w14:textId="77777777" w:rsidR="00DA78B3" w:rsidRPr="000370FF" w:rsidRDefault="00DA78B3" w:rsidP="00DA78B3">
      <w:pPr>
        <w:shd w:val="clear" w:color="auto" w:fill="FFFFFF"/>
        <w:rPr>
          <w:rFonts w:ascii="Aptos" w:eastAsia="Times New Roman" w:hAnsi="Aptos" w:cs="Times New Roman"/>
          <w:b/>
          <w:bCs/>
          <w:sz w:val="25"/>
          <w:szCs w:val="25"/>
        </w:rPr>
      </w:pPr>
    </w:p>
    <w:p w14:paraId="6027C07E" w14:textId="77777777" w:rsidR="00DA78B3" w:rsidRPr="000370FF" w:rsidRDefault="00DA78B3" w:rsidP="00DA78B3">
      <w:pPr>
        <w:shd w:val="clear" w:color="auto" w:fill="FFFFFF"/>
        <w:jc w:val="center"/>
        <w:rPr>
          <w:rFonts w:ascii="Aptos" w:eastAsia="Times New Roman" w:hAnsi="Aptos" w:cs="Times New Roman"/>
          <w:b/>
          <w:bCs/>
          <w:sz w:val="25"/>
          <w:szCs w:val="25"/>
        </w:rPr>
      </w:pPr>
      <w:r w:rsidRPr="000370FF">
        <w:rPr>
          <w:rFonts w:ascii="Aptos" w:eastAsia="Times New Roman" w:hAnsi="Aptos" w:cs="Times New Roman"/>
          <w:b/>
          <w:bCs/>
          <w:sz w:val="25"/>
          <w:szCs w:val="25"/>
        </w:rPr>
        <w:t>RELEVANT PROCEDURAL HISTORY</w:t>
      </w:r>
    </w:p>
    <w:p w14:paraId="701094F0" w14:textId="77777777" w:rsidR="00DA78B3" w:rsidRPr="000370FF" w:rsidRDefault="00DA78B3" w:rsidP="00DA78B3">
      <w:pPr>
        <w:shd w:val="clear" w:color="auto" w:fill="FFFFFF"/>
        <w:jc w:val="center"/>
        <w:rPr>
          <w:rFonts w:ascii="Aptos" w:eastAsia="Times New Roman" w:hAnsi="Aptos" w:cs="Times New Roman"/>
          <w:sz w:val="25"/>
          <w:szCs w:val="25"/>
        </w:rPr>
      </w:pPr>
    </w:p>
    <w:p w14:paraId="472E9BFF" w14:textId="4538D471" w:rsidR="00DA78B3" w:rsidRPr="000370FF" w:rsidRDefault="00DA78B3" w:rsidP="00DA78B3">
      <w:pPr>
        <w:rPr>
          <w:rFonts w:ascii="Aptos" w:hAnsi="Aptos" w:cs="Times New Roman"/>
          <w:sz w:val="25"/>
          <w:szCs w:val="25"/>
        </w:rPr>
      </w:pPr>
      <w:r w:rsidRPr="000370FF">
        <w:rPr>
          <w:rFonts w:ascii="Aptos" w:hAnsi="Aptos" w:cs="Times New Roman"/>
          <w:sz w:val="25"/>
          <w:szCs w:val="25"/>
        </w:rPr>
        <w:t xml:space="preserve">On February 15, 2024, Student filed a </w:t>
      </w:r>
      <w:r w:rsidRPr="000370FF">
        <w:rPr>
          <w:rFonts w:ascii="Aptos" w:hAnsi="Aptos" w:cs="Times New Roman"/>
          <w:i/>
          <w:iCs/>
          <w:sz w:val="25"/>
          <w:szCs w:val="25"/>
        </w:rPr>
        <w:t>Hearing Request</w:t>
      </w:r>
      <w:r w:rsidRPr="000370FF">
        <w:rPr>
          <w:rFonts w:ascii="Aptos" w:hAnsi="Aptos" w:cs="Times New Roman"/>
          <w:sz w:val="25"/>
          <w:szCs w:val="25"/>
        </w:rPr>
        <w:t xml:space="preserve"> </w:t>
      </w:r>
      <w:r w:rsidR="00BD3C26" w:rsidRPr="000370FF">
        <w:rPr>
          <w:rFonts w:ascii="Aptos" w:hAnsi="Aptos" w:cs="Times New Roman"/>
          <w:sz w:val="25"/>
          <w:szCs w:val="25"/>
        </w:rPr>
        <w:t>with Attachments A to D</w:t>
      </w:r>
      <w:r w:rsidR="00BD3C26" w:rsidRPr="000370FF">
        <w:rPr>
          <w:rStyle w:val="FootnoteReference"/>
          <w:rFonts w:ascii="Aptos" w:hAnsi="Aptos" w:cs="Times New Roman"/>
          <w:sz w:val="25"/>
          <w:szCs w:val="25"/>
        </w:rPr>
        <w:footnoteReference w:id="1"/>
      </w:r>
      <w:r w:rsidR="00BD3C26" w:rsidRPr="000370FF">
        <w:rPr>
          <w:rFonts w:ascii="Aptos" w:hAnsi="Aptos" w:cs="Times New Roman"/>
          <w:sz w:val="25"/>
          <w:szCs w:val="25"/>
        </w:rPr>
        <w:t xml:space="preserve"> </w:t>
      </w:r>
      <w:r w:rsidRPr="000370FF">
        <w:rPr>
          <w:rFonts w:ascii="Aptos" w:hAnsi="Aptos" w:cs="Times New Roman"/>
          <w:sz w:val="25"/>
          <w:szCs w:val="25"/>
        </w:rPr>
        <w:t>against both the Department of Elementary and Secondary Education (“DESE”) and the Quincy Public Schools (“Quincy” or the “District”) alleging</w:t>
      </w:r>
      <w:r w:rsidRPr="000370FF">
        <w:rPr>
          <w:rStyle w:val="FootnoteReference"/>
          <w:rFonts w:ascii="Aptos" w:hAnsi="Aptos" w:cs="Times New Roman"/>
          <w:sz w:val="25"/>
          <w:szCs w:val="25"/>
        </w:rPr>
        <w:footnoteReference w:id="2"/>
      </w:r>
      <w:r w:rsidRPr="000370FF">
        <w:rPr>
          <w:rFonts w:ascii="Aptos" w:hAnsi="Aptos" w:cs="Times New Roman"/>
          <w:sz w:val="25"/>
          <w:szCs w:val="25"/>
        </w:rPr>
        <w:t xml:space="preserve"> both DESE and Quincy (collectively, “Individual Claims”): </w:t>
      </w:r>
    </w:p>
    <w:p w14:paraId="62235330" w14:textId="77777777" w:rsidR="00DA78B3" w:rsidRPr="000370FF" w:rsidRDefault="00DA78B3" w:rsidP="00DA78B3">
      <w:pPr>
        <w:rPr>
          <w:rFonts w:ascii="Aptos" w:hAnsi="Aptos" w:cs="Times New Roman"/>
          <w:sz w:val="25"/>
          <w:szCs w:val="25"/>
        </w:rPr>
      </w:pPr>
    </w:p>
    <w:p w14:paraId="003B3235" w14:textId="77777777" w:rsidR="00DA78B3" w:rsidRPr="000370FF" w:rsidRDefault="00DA78B3" w:rsidP="00DA78B3">
      <w:pPr>
        <w:pStyle w:val="ListParagraph"/>
        <w:numPr>
          <w:ilvl w:val="0"/>
          <w:numId w:val="12"/>
        </w:numPr>
        <w:rPr>
          <w:rFonts w:ascii="Aptos" w:hAnsi="Aptos" w:cs="Times New Roman"/>
          <w:sz w:val="25"/>
          <w:szCs w:val="25"/>
        </w:rPr>
      </w:pPr>
      <w:r w:rsidRPr="000370FF">
        <w:rPr>
          <w:rFonts w:ascii="Aptos" w:hAnsi="Aptos" w:cs="Times New Roman"/>
          <w:sz w:val="25"/>
          <w:szCs w:val="25"/>
        </w:rPr>
        <w:t>failed to identify Student as a student with a disability in violation of their “child find” obligations from February 2020 through January 4, 2023</w:t>
      </w:r>
      <w:r w:rsidRPr="000370FF">
        <w:rPr>
          <w:rStyle w:val="FootnoteReference"/>
          <w:rFonts w:ascii="Aptos" w:hAnsi="Aptos" w:cs="Times New Roman"/>
          <w:sz w:val="25"/>
          <w:szCs w:val="25"/>
        </w:rPr>
        <w:footnoteReference w:id="3"/>
      </w:r>
      <w:r w:rsidRPr="000370FF">
        <w:rPr>
          <w:rFonts w:ascii="Aptos" w:hAnsi="Aptos" w:cs="Times New Roman"/>
          <w:sz w:val="25"/>
          <w:szCs w:val="25"/>
        </w:rPr>
        <w:t xml:space="preserve"> (“Child Find Claim”);</w:t>
      </w:r>
    </w:p>
    <w:p w14:paraId="7A01BF97" w14:textId="77777777" w:rsidR="00DA78B3" w:rsidRPr="000370FF" w:rsidRDefault="00DA78B3" w:rsidP="00DA78B3">
      <w:pPr>
        <w:pStyle w:val="ListParagraph"/>
        <w:numPr>
          <w:ilvl w:val="0"/>
          <w:numId w:val="12"/>
        </w:numPr>
        <w:rPr>
          <w:rFonts w:ascii="Aptos" w:hAnsi="Aptos" w:cs="Times New Roman"/>
          <w:sz w:val="25"/>
          <w:szCs w:val="25"/>
        </w:rPr>
      </w:pPr>
      <w:r w:rsidRPr="000370FF">
        <w:rPr>
          <w:rFonts w:ascii="Aptos" w:hAnsi="Aptos" w:cs="Times New Roman"/>
          <w:sz w:val="25"/>
          <w:szCs w:val="25"/>
        </w:rPr>
        <w:lastRenderedPageBreak/>
        <w:t>failed to provide Student with a free, appropriate public education (“FAPE”) by:</w:t>
      </w:r>
    </w:p>
    <w:p w14:paraId="302007BB" w14:textId="77777777" w:rsidR="00DA78B3" w:rsidRPr="000370FF" w:rsidRDefault="00DA78B3" w:rsidP="00DA78B3">
      <w:pPr>
        <w:ind w:left="990" w:hanging="270"/>
        <w:rPr>
          <w:rFonts w:ascii="Aptos" w:hAnsi="Aptos" w:cs="Times New Roman"/>
          <w:sz w:val="25"/>
          <w:szCs w:val="25"/>
        </w:rPr>
      </w:pPr>
      <w:r w:rsidRPr="000370FF">
        <w:rPr>
          <w:rFonts w:ascii="Aptos" w:hAnsi="Aptos" w:cs="Times New Roman"/>
          <w:sz w:val="25"/>
          <w:szCs w:val="25"/>
        </w:rPr>
        <w:t xml:space="preserve">a) proposing IEPs dated 12/12/22-12/12/23 (“22-23 IEP”) and 12/6/23 – 12/5/24 (“23-24 IEP”) that were not reasonably calculated to provide Student with a FAPE; </w:t>
      </w:r>
    </w:p>
    <w:p w14:paraId="57D56D2B" w14:textId="77777777" w:rsidR="00DA78B3" w:rsidRPr="000370FF" w:rsidRDefault="00DA78B3" w:rsidP="00DA78B3">
      <w:pPr>
        <w:ind w:left="990" w:hanging="270"/>
        <w:rPr>
          <w:rFonts w:ascii="Aptos" w:hAnsi="Aptos" w:cs="Times New Roman"/>
          <w:sz w:val="25"/>
          <w:szCs w:val="25"/>
        </w:rPr>
      </w:pPr>
      <w:r w:rsidRPr="000370FF">
        <w:rPr>
          <w:rFonts w:ascii="Aptos" w:hAnsi="Aptos" w:cs="Times New Roman"/>
          <w:sz w:val="25"/>
          <w:szCs w:val="25"/>
        </w:rPr>
        <w:t>b)</w:t>
      </w:r>
      <w:r w:rsidRPr="000370FF">
        <w:rPr>
          <w:rFonts w:ascii="Aptos" w:hAnsi="Aptos" w:cs="Times New Roman"/>
          <w:sz w:val="25"/>
          <w:szCs w:val="25"/>
        </w:rPr>
        <w:tab/>
        <w:t xml:space="preserve">not “… </w:t>
      </w:r>
      <w:proofErr w:type="spellStart"/>
      <w:r w:rsidRPr="000370FF">
        <w:rPr>
          <w:rFonts w:ascii="Aptos" w:hAnsi="Aptos" w:cs="Times New Roman"/>
          <w:sz w:val="25"/>
          <w:szCs w:val="25"/>
        </w:rPr>
        <w:t>provid</w:t>
      </w:r>
      <w:proofErr w:type="spellEnd"/>
      <w:r w:rsidRPr="000370FF">
        <w:rPr>
          <w:rFonts w:ascii="Aptos" w:hAnsi="Aptos" w:cs="Times New Roman"/>
          <w:sz w:val="25"/>
          <w:szCs w:val="25"/>
        </w:rPr>
        <w:t>[</w:t>
      </w:r>
      <w:proofErr w:type="spellStart"/>
      <w:r w:rsidRPr="000370FF">
        <w:rPr>
          <w:rFonts w:ascii="Aptos" w:hAnsi="Aptos" w:cs="Times New Roman"/>
          <w:sz w:val="25"/>
          <w:szCs w:val="25"/>
        </w:rPr>
        <w:t>ing</w:t>
      </w:r>
      <w:proofErr w:type="spellEnd"/>
      <w:r w:rsidRPr="000370FF">
        <w:rPr>
          <w:rFonts w:ascii="Aptos" w:hAnsi="Aptos" w:cs="Times New Roman"/>
          <w:sz w:val="25"/>
          <w:szCs w:val="25"/>
        </w:rPr>
        <w:t xml:space="preserve">] [Student] with a general education program that meets state standards and allows him to progress from grade to grade from January 4, 2023, to the present”; and </w:t>
      </w:r>
    </w:p>
    <w:p w14:paraId="31C9FB77" w14:textId="77777777" w:rsidR="00DA78B3" w:rsidRPr="000370FF" w:rsidRDefault="00DA78B3" w:rsidP="00DA78B3">
      <w:pPr>
        <w:ind w:left="990" w:hanging="270"/>
        <w:rPr>
          <w:rFonts w:ascii="Aptos" w:hAnsi="Aptos" w:cs="Times New Roman"/>
          <w:sz w:val="25"/>
          <w:szCs w:val="25"/>
        </w:rPr>
      </w:pPr>
      <w:r w:rsidRPr="000370FF">
        <w:rPr>
          <w:rFonts w:ascii="Aptos" w:hAnsi="Aptos" w:cs="Times New Roman"/>
          <w:sz w:val="25"/>
          <w:szCs w:val="25"/>
        </w:rPr>
        <w:t>c) not providing Student with additional services in the areas of academic achievement and transition (“FAPE Claims”); and</w:t>
      </w:r>
    </w:p>
    <w:p w14:paraId="2CC0CCD6" w14:textId="167EAB62" w:rsidR="00DA78B3" w:rsidRPr="000370FF" w:rsidRDefault="00DA78B3" w:rsidP="00DA78B3">
      <w:pPr>
        <w:ind w:left="720" w:hanging="360"/>
        <w:rPr>
          <w:rFonts w:ascii="Aptos" w:hAnsi="Aptos" w:cs="Times New Roman"/>
          <w:sz w:val="25"/>
          <w:szCs w:val="25"/>
        </w:rPr>
      </w:pPr>
      <w:r w:rsidRPr="000370FF">
        <w:rPr>
          <w:rFonts w:ascii="Aptos" w:hAnsi="Aptos" w:cs="Times New Roman"/>
          <w:sz w:val="25"/>
          <w:szCs w:val="25"/>
        </w:rPr>
        <w:t>3)   fail</w:t>
      </w:r>
      <w:r w:rsidR="006B4927" w:rsidRPr="000370FF">
        <w:rPr>
          <w:rFonts w:ascii="Aptos" w:hAnsi="Aptos" w:cs="Times New Roman"/>
          <w:sz w:val="25"/>
          <w:szCs w:val="25"/>
        </w:rPr>
        <w:t>ing</w:t>
      </w:r>
      <w:r w:rsidRPr="000370FF">
        <w:rPr>
          <w:rFonts w:ascii="Aptos" w:hAnsi="Aptos" w:cs="Times New Roman"/>
          <w:sz w:val="25"/>
          <w:szCs w:val="25"/>
        </w:rPr>
        <w:t xml:space="preserve"> to educate Student in the least restrictive environment (“LRE”) due to Student being educated only in a 1:1 or independent setting from January 4, 2023, through the present (“LRE Claim”).  </w:t>
      </w:r>
    </w:p>
    <w:p w14:paraId="7B7F07F4" w14:textId="77777777" w:rsidR="00DA78B3" w:rsidRPr="000370FF" w:rsidRDefault="00DA78B3" w:rsidP="00DA78B3">
      <w:pPr>
        <w:rPr>
          <w:rFonts w:ascii="Aptos" w:hAnsi="Aptos" w:cs="Times New Roman"/>
          <w:sz w:val="25"/>
          <w:szCs w:val="25"/>
        </w:rPr>
      </w:pPr>
    </w:p>
    <w:p w14:paraId="53611027" w14:textId="5197E9AE" w:rsidR="00DA78B3" w:rsidRPr="000370FF" w:rsidRDefault="00DA78B3" w:rsidP="00DA78B3">
      <w:pPr>
        <w:rPr>
          <w:rFonts w:ascii="Aptos" w:hAnsi="Aptos" w:cs="Times New Roman"/>
          <w:sz w:val="25"/>
          <w:szCs w:val="25"/>
        </w:rPr>
      </w:pPr>
      <w:r w:rsidRPr="000370FF">
        <w:rPr>
          <w:rFonts w:ascii="Aptos" w:hAnsi="Aptos" w:cs="Times New Roman"/>
          <w:sz w:val="25"/>
          <w:szCs w:val="25"/>
        </w:rPr>
        <w:t>Student also alleged systemic failures by DESE</w:t>
      </w:r>
      <w:r w:rsidR="0035667D" w:rsidRPr="000370FF">
        <w:rPr>
          <w:rFonts w:ascii="Aptos" w:hAnsi="Aptos" w:cs="Times New Roman"/>
          <w:sz w:val="25"/>
          <w:szCs w:val="25"/>
        </w:rPr>
        <w:t xml:space="preserve">, </w:t>
      </w:r>
      <w:r w:rsidRPr="000370FF">
        <w:rPr>
          <w:rFonts w:ascii="Aptos" w:hAnsi="Aptos" w:cs="Times New Roman"/>
          <w:sz w:val="25"/>
          <w:szCs w:val="25"/>
        </w:rPr>
        <w:t>collectively “Systemic Claims”</w:t>
      </w:r>
      <w:r w:rsidR="0035667D" w:rsidRPr="000370FF">
        <w:rPr>
          <w:rFonts w:ascii="Aptos" w:hAnsi="Aptos" w:cs="Times New Roman"/>
          <w:sz w:val="25"/>
          <w:szCs w:val="25"/>
        </w:rPr>
        <w:t>, as to</w:t>
      </w:r>
      <w:r w:rsidRPr="000370FF">
        <w:rPr>
          <w:rFonts w:ascii="Aptos" w:hAnsi="Aptos" w:cs="Times New Roman"/>
          <w:sz w:val="25"/>
          <w:szCs w:val="25"/>
        </w:rPr>
        <w:t xml:space="preserve">: </w:t>
      </w:r>
    </w:p>
    <w:p w14:paraId="4DB59364" w14:textId="77777777" w:rsidR="00DA78B3" w:rsidRPr="000370FF" w:rsidRDefault="00DA78B3" w:rsidP="00DA78B3">
      <w:pPr>
        <w:rPr>
          <w:rFonts w:ascii="Aptos" w:hAnsi="Aptos" w:cs="Times New Roman"/>
          <w:sz w:val="25"/>
          <w:szCs w:val="25"/>
        </w:rPr>
      </w:pPr>
    </w:p>
    <w:p w14:paraId="49E43A65" w14:textId="77777777" w:rsidR="00DA78B3" w:rsidRPr="000370FF" w:rsidRDefault="00DA78B3" w:rsidP="00DA78B3">
      <w:pPr>
        <w:ind w:left="270" w:hanging="270"/>
        <w:rPr>
          <w:rFonts w:ascii="Aptos" w:hAnsi="Aptos" w:cs="Times New Roman"/>
          <w:sz w:val="25"/>
          <w:szCs w:val="25"/>
        </w:rPr>
      </w:pPr>
      <w:r w:rsidRPr="000370FF">
        <w:rPr>
          <w:rFonts w:ascii="Aptos" w:hAnsi="Aptos" w:cs="Times New Roman"/>
          <w:sz w:val="25"/>
          <w:szCs w:val="25"/>
        </w:rPr>
        <w:t xml:space="preserve">1)  its obligations under M.G.L. c. 71B §11A to provide “students with disabilities all legally mandated instruction and services that meet the requirements of state and federal law”; </w:t>
      </w:r>
    </w:p>
    <w:p w14:paraId="53A11114" w14:textId="77777777" w:rsidR="00DA78B3" w:rsidRPr="000370FF" w:rsidRDefault="00DA78B3" w:rsidP="00DA78B3">
      <w:pPr>
        <w:ind w:left="270" w:hanging="270"/>
        <w:rPr>
          <w:rFonts w:ascii="Aptos" w:hAnsi="Aptos" w:cs="Times New Roman"/>
          <w:sz w:val="25"/>
          <w:szCs w:val="25"/>
        </w:rPr>
      </w:pPr>
      <w:r w:rsidRPr="000370FF">
        <w:rPr>
          <w:rFonts w:ascii="Aptos" w:hAnsi="Aptos" w:cs="Times New Roman"/>
          <w:sz w:val="25"/>
          <w:szCs w:val="25"/>
        </w:rPr>
        <w:t xml:space="preserve">2) its obligations to “create, maintain, supervise and administer a system that provides students with disabilities with all legally mandated instruction and services that meet the requirements of state and federal law”; and </w:t>
      </w:r>
    </w:p>
    <w:p w14:paraId="651904AE" w14:textId="77777777" w:rsidR="00DA78B3" w:rsidRPr="000370FF" w:rsidRDefault="00DA78B3" w:rsidP="00DA78B3">
      <w:pPr>
        <w:ind w:left="270" w:hanging="270"/>
        <w:rPr>
          <w:rFonts w:ascii="Aptos" w:hAnsi="Aptos" w:cs="Times New Roman"/>
          <w:sz w:val="25"/>
          <w:szCs w:val="25"/>
        </w:rPr>
      </w:pPr>
      <w:r w:rsidRPr="000370FF">
        <w:rPr>
          <w:rFonts w:ascii="Aptos" w:hAnsi="Aptos" w:cs="Times New Roman"/>
          <w:sz w:val="25"/>
          <w:szCs w:val="25"/>
        </w:rPr>
        <w:t xml:space="preserve">3) its alleged improper abdication of its duties under M.G.L. c. 71B §11A to provide “special education services to students with disabilities who are confined to County Houses of Correction” (CHCs) by virtue of its adoption of 603 CMR 28.06(9).  </w:t>
      </w:r>
    </w:p>
    <w:p w14:paraId="6A067E46" w14:textId="77777777" w:rsidR="00DA78B3" w:rsidRPr="000370FF" w:rsidRDefault="00DA78B3" w:rsidP="00DA78B3">
      <w:pPr>
        <w:rPr>
          <w:rFonts w:ascii="Aptos" w:hAnsi="Aptos" w:cs="Times New Roman"/>
          <w:sz w:val="25"/>
          <w:szCs w:val="25"/>
        </w:rPr>
      </w:pPr>
    </w:p>
    <w:p w14:paraId="16272BBC" w14:textId="51742E3B" w:rsidR="00DA78B3" w:rsidRPr="000370FF" w:rsidRDefault="00DA78B3" w:rsidP="00DA78B3">
      <w:pPr>
        <w:rPr>
          <w:rFonts w:ascii="Aptos" w:hAnsi="Aptos" w:cs="Times New Roman"/>
          <w:sz w:val="25"/>
          <w:szCs w:val="25"/>
        </w:rPr>
      </w:pPr>
      <w:r w:rsidRPr="000370FF">
        <w:rPr>
          <w:rFonts w:ascii="Aptos" w:hAnsi="Aptos" w:cs="Times New Roman"/>
          <w:sz w:val="25"/>
          <w:szCs w:val="25"/>
        </w:rPr>
        <w:t xml:space="preserve">On March 11, 2024, DESE filed the </w:t>
      </w:r>
      <w:r w:rsidRPr="000370FF">
        <w:rPr>
          <w:rFonts w:ascii="Aptos" w:hAnsi="Aptos" w:cs="Times New Roman"/>
          <w:i/>
          <w:iCs/>
          <w:sz w:val="25"/>
          <w:szCs w:val="25"/>
        </w:rPr>
        <w:t>DESE Motion</w:t>
      </w:r>
      <w:r w:rsidRPr="000370FF">
        <w:rPr>
          <w:rFonts w:ascii="Aptos" w:hAnsi="Aptos" w:cs="Times New Roman"/>
          <w:sz w:val="25"/>
          <w:szCs w:val="25"/>
        </w:rPr>
        <w:t xml:space="preserve"> that included Attachments A to E</w:t>
      </w:r>
      <w:r w:rsidRPr="000370FF">
        <w:rPr>
          <w:rStyle w:val="FootnoteReference"/>
          <w:rFonts w:ascii="Aptos" w:hAnsi="Aptos" w:cs="Times New Roman"/>
          <w:sz w:val="25"/>
          <w:szCs w:val="25"/>
        </w:rPr>
        <w:footnoteReference w:id="4"/>
      </w:r>
      <w:r w:rsidRPr="000370FF">
        <w:rPr>
          <w:rFonts w:ascii="Aptos" w:hAnsi="Aptos" w:cs="Times New Roman"/>
          <w:sz w:val="25"/>
          <w:szCs w:val="25"/>
        </w:rPr>
        <w:t xml:space="preserve">.  In addition to responding to the </w:t>
      </w:r>
      <w:r w:rsidRPr="000370FF">
        <w:rPr>
          <w:rFonts w:ascii="Aptos" w:hAnsi="Aptos" w:cs="Times New Roman"/>
          <w:i/>
          <w:iCs/>
          <w:sz w:val="25"/>
          <w:szCs w:val="25"/>
        </w:rPr>
        <w:t>Hearing Request</w:t>
      </w:r>
      <w:r w:rsidRPr="000370FF">
        <w:rPr>
          <w:rFonts w:ascii="Aptos" w:hAnsi="Aptos" w:cs="Times New Roman"/>
          <w:sz w:val="25"/>
          <w:szCs w:val="25"/>
        </w:rPr>
        <w:t xml:space="preserve">, DESE sought dismissal of </w:t>
      </w:r>
      <w:proofErr w:type="gramStart"/>
      <w:r w:rsidRPr="000370FF">
        <w:rPr>
          <w:rFonts w:ascii="Aptos" w:hAnsi="Aptos" w:cs="Times New Roman"/>
          <w:sz w:val="25"/>
          <w:szCs w:val="25"/>
        </w:rPr>
        <w:t>all of</w:t>
      </w:r>
      <w:proofErr w:type="gramEnd"/>
      <w:r w:rsidRPr="000370FF">
        <w:rPr>
          <w:rFonts w:ascii="Aptos" w:hAnsi="Aptos" w:cs="Times New Roman"/>
          <w:sz w:val="25"/>
          <w:szCs w:val="25"/>
        </w:rPr>
        <w:t xml:space="preserve"> the Systemic Claims, as well dismissal of all the Individual Claims against it, </w:t>
      </w:r>
      <w:r w:rsidR="00E63BCA" w:rsidRPr="000370FF">
        <w:rPr>
          <w:rFonts w:ascii="Aptos" w:hAnsi="Aptos" w:cs="Times New Roman"/>
          <w:sz w:val="25"/>
          <w:szCs w:val="25"/>
        </w:rPr>
        <w:t xml:space="preserve">arguing </w:t>
      </w:r>
      <w:r w:rsidRPr="000370FF">
        <w:rPr>
          <w:rFonts w:ascii="Aptos" w:hAnsi="Aptos" w:cs="Times New Roman"/>
          <w:sz w:val="25"/>
          <w:szCs w:val="25"/>
        </w:rPr>
        <w:t xml:space="preserve">that it has already remedied its obligations with regard to the FAPE Claim from January 4, </w:t>
      </w:r>
      <w:r w:rsidR="00B55DC8" w:rsidRPr="000370FF">
        <w:rPr>
          <w:rFonts w:ascii="Aptos" w:hAnsi="Aptos" w:cs="Times New Roman"/>
          <w:sz w:val="25"/>
          <w:szCs w:val="25"/>
        </w:rPr>
        <w:t>2023,</w:t>
      </w:r>
      <w:r w:rsidRPr="000370FF">
        <w:rPr>
          <w:rFonts w:ascii="Aptos" w:hAnsi="Aptos" w:cs="Times New Roman"/>
          <w:sz w:val="25"/>
          <w:szCs w:val="25"/>
        </w:rPr>
        <w:t xml:space="preserve"> to May 25, </w:t>
      </w:r>
      <w:r w:rsidR="00EF2362" w:rsidRPr="000370FF">
        <w:rPr>
          <w:rFonts w:ascii="Aptos" w:hAnsi="Aptos" w:cs="Times New Roman"/>
          <w:sz w:val="25"/>
          <w:szCs w:val="25"/>
        </w:rPr>
        <w:t>2023,</w:t>
      </w:r>
      <w:r w:rsidRPr="000370FF">
        <w:rPr>
          <w:rFonts w:ascii="Aptos" w:hAnsi="Aptos" w:cs="Times New Roman"/>
          <w:sz w:val="25"/>
          <w:szCs w:val="25"/>
        </w:rPr>
        <w:t xml:space="preserve"> and that the BSEA cannot award any relief from DESE/SEIS for any of the remaining Individual Claims</w:t>
      </w:r>
      <w:r w:rsidRPr="000370FF">
        <w:rPr>
          <w:rStyle w:val="FootnoteReference"/>
          <w:rFonts w:ascii="Aptos" w:hAnsi="Aptos" w:cs="Times New Roman"/>
          <w:sz w:val="25"/>
          <w:szCs w:val="25"/>
        </w:rPr>
        <w:footnoteReference w:id="5"/>
      </w:r>
      <w:r w:rsidRPr="000370FF">
        <w:rPr>
          <w:rFonts w:ascii="Aptos" w:hAnsi="Aptos" w:cs="Times New Roman"/>
          <w:sz w:val="25"/>
          <w:szCs w:val="25"/>
        </w:rPr>
        <w:t xml:space="preserve">.  </w:t>
      </w:r>
    </w:p>
    <w:p w14:paraId="77C578C6" w14:textId="77777777" w:rsidR="00DA78B3" w:rsidRPr="000370FF" w:rsidRDefault="00DA78B3" w:rsidP="00DA78B3">
      <w:pPr>
        <w:rPr>
          <w:rFonts w:ascii="Aptos" w:hAnsi="Aptos" w:cs="Times New Roman"/>
          <w:sz w:val="25"/>
          <w:szCs w:val="25"/>
        </w:rPr>
      </w:pPr>
    </w:p>
    <w:p w14:paraId="6DB74DF2" w14:textId="59C0A666" w:rsidR="00DA78B3" w:rsidRPr="000370FF" w:rsidRDefault="00DA78B3" w:rsidP="00DA78B3">
      <w:pPr>
        <w:rPr>
          <w:rFonts w:ascii="Aptos" w:hAnsi="Aptos" w:cs="Times New Roman"/>
          <w:sz w:val="25"/>
          <w:szCs w:val="25"/>
        </w:rPr>
      </w:pPr>
      <w:r w:rsidRPr="000370FF">
        <w:rPr>
          <w:rFonts w:ascii="Aptos" w:hAnsi="Aptos" w:cs="Times New Roman"/>
          <w:sz w:val="25"/>
          <w:szCs w:val="25"/>
        </w:rPr>
        <w:t xml:space="preserve">On March 12, 2024, Quincy filed the </w:t>
      </w:r>
      <w:r w:rsidRPr="000370FF">
        <w:rPr>
          <w:rFonts w:ascii="Aptos" w:hAnsi="Aptos" w:cs="Times New Roman"/>
          <w:i/>
          <w:iCs/>
          <w:sz w:val="25"/>
          <w:szCs w:val="25"/>
        </w:rPr>
        <w:t>Quincy Motion</w:t>
      </w:r>
      <w:r w:rsidRPr="000370FF">
        <w:rPr>
          <w:rFonts w:ascii="Aptos" w:hAnsi="Aptos" w:cs="Times New Roman"/>
          <w:sz w:val="25"/>
          <w:szCs w:val="25"/>
        </w:rPr>
        <w:t xml:space="preserve">.  In addition to responding to the </w:t>
      </w:r>
      <w:r w:rsidRPr="000370FF">
        <w:rPr>
          <w:rFonts w:ascii="Aptos" w:hAnsi="Aptos" w:cs="Times New Roman"/>
          <w:i/>
          <w:iCs/>
          <w:sz w:val="25"/>
          <w:szCs w:val="25"/>
        </w:rPr>
        <w:t>Hearing Request</w:t>
      </w:r>
      <w:r w:rsidRPr="000370FF">
        <w:rPr>
          <w:rFonts w:ascii="Aptos" w:hAnsi="Aptos" w:cs="Times New Roman"/>
          <w:sz w:val="25"/>
          <w:szCs w:val="25"/>
        </w:rPr>
        <w:t>, Quincy sought dismissal of the Systemic Claims and all claims pertaining to “the provision of general education services”</w:t>
      </w:r>
      <w:r w:rsidRPr="000370FF">
        <w:rPr>
          <w:rStyle w:val="FootnoteReference"/>
          <w:rFonts w:ascii="Aptos" w:hAnsi="Aptos" w:cs="Times New Roman"/>
          <w:sz w:val="25"/>
          <w:szCs w:val="25"/>
        </w:rPr>
        <w:footnoteReference w:id="6"/>
      </w:r>
      <w:r w:rsidRPr="000370FF">
        <w:rPr>
          <w:rFonts w:ascii="Aptos" w:hAnsi="Aptos" w:cs="Times New Roman"/>
          <w:sz w:val="25"/>
          <w:szCs w:val="25"/>
        </w:rPr>
        <w:t xml:space="preserve"> on jurisdictional grounds. Further it sought </w:t>
      </w:r>
      <w:r w:rsidRPr="000370FF">
        <w:rPr>
          <w:rFonts w:ascii="Aptos" w:hAnsi="Aptos" w:cs="Times New Roman"/>
          <w:sz w:val="25"/>
          <w:szCs w:val="25"/>
        </w:rPr>
        <w:lastRenderedPageBreak/>
        <w:t xml:space="preserve">dismissal of the Child Find Claim (Claim 1, </w:t>
      </w:r>
      <w:r w:rsidRPr="000370FF">
        <w:rPr>
          <w:rFonts w:ascii="Aptos" w:hAnsi="Aptos" w:cs="Times New Roman"/>
          <w:i/>
          <w:iCs/>
          <w:sz w:val="25"/>
          <w:szCs w:val="25"/>
        </w:rPr>
        <w:t>supra</w:t>
      </w:r>
      <w:r w:rsidRPr="000370FF">
        <w:rPr>
          <w:rFonts w:ascii="Aptos" w:hAnsi="Aptos" w:cs="Times New Roman"/>
          <w:sz w:val="25"/>
          <w:szCs w:val="25"/>
        </w:rPr>
        <w:t xml:space="preserve">) against Quincy, prior to February 14, 2022, as being outside the statute of limitations.  </w:t>
      </w:r>
    </w:p>
    <w:p w14:paraId="2C362D3C" w14:textId="77777777" w:rsidR="00DA78B3" w:rsidRPr="000370FF" w:rsidRDefault="00DA78B3" w:rsidP="00DA78B3">
      <w:pPr>
        <w:rPr>
          <w:rFonts w:ascii="Aptos" w:hAnsi="Aptos" w:cs="Times New Roman"/>
          <w:sz w:val="25"/>
          <w:szCs w:val="25"/>
        </w:rPr>
      </w:pPr>
    </w:p>
    <w:p w14:paraId="35721510" w14:textId="541A1ABC" w:rsidR="00DA78B3" w:rsidRPr="000370FF" w:rsidRDefault="00DA78B3" w:rsidP="00DA78B3">
      <w:pPr>
        <w:rPr>
          <w:rFonts w:ascii="Aptos" w:hAnsi="Aptos" w:cs="Times New Roman"/>
          <w:sz w:val="25"/>
          <w:szCs w:val="25"/>
        </w:rPr>
      </w:pPr>
      <w:r w:rsidRPr="000370FF">
        <w:rPr>
          <w:rFonts w:ascii="Aptos" w:hAnsi="Aptos" w:cs="Times New Roman"/>
          <w:sz w:val="25"/>
          <w:szCs w:val="25"/>
        </w:rPr>
        <w:t>On March 29, 2024</w:t>
      </w:r>
      <w:r w:rsidRPr="000370FF">
        <w:rPr>
          <w:rStyle w:val="FootnoteReference"/>
          <w:rFonts w:ascii="Aptos" w:hAnsi="Aptos" w:cs="Times New Roman"/>
          <w:sz w:val="25"/>
          <w:szCs w:val="25"/>
        </w:rPr>
        <w:footnoteReference w:id="7"/>
      </w:r>
      <w:r w:rsidRPr="000370FF">
        <w:rPr>
          <w:rFonts w:ascii="Aptos" w:hAnsi="Aptos" w:cs="Times New Roman"/>
          <w:sz w:val="25"/>
          <w:szCs w:val="25"/>
        </w:rPr>
        <w:t>, Student filed three separate oppositions (collectively “</w:t>
      </w:r>
      <w:r w:rsidRPr="000370FF">
        <w:rPr>
          <w:rFonts w:ascii="Aptos" w:hAnsi="Aptos" w:cs="Times New Roman"/>
          <w:i/>
          <w:iCs/>
          <w:sz w:val="25"/>
          <w:szCs w:val="25"/>
        </w:rPr>
        <w:t>Oppositions</w:t>
      </w:r>
      <w:r w:rsidRPr="000370FF">
        <w:rPr>
          <w:rFonts w:ascii="Aptos" w:hAnsi="Aptos" w:cs="Times New Roman"/>
          <w:sz w:val="25"/>
          <w:szCs w:val="25"/>
        </w:rPr>
        <w:t xml:space="preserve">”), entitled, </w:t>
      </w:r>
      <w:r w:rsidRPr="000370FF">
        <w:rPr>
          <w:rFonts w:ascii="Aptos" w:hAnsi="Aptos" w:cs="Times New Roman"/>
          <w:i/>
          <w:iCs/>
          <w:sz w:val="25"/>
          <w:szCs w:val="25"/>
        </w:rPr>
        <w:t>Student’s Opposition to [DESE’s] Motion to Dismiss Student’s Individual Claims</w:t>
      </w:r>
      <w:r w:rsidRPr="000370FF">
        <w:rPr>
          <w:rFonts w:ascii="Aptos" w:hAnsi="Aptos" w:cs="Times New Roman"/>
          <w:sz w:val="25"/>
          <w:szCs w:val="25"/>
        </w:rPr>
        <w:t xml:space="preserve"> (hereinafter “</w:t>
      </w:r>
      <w:r w:rsidRPr="000370FF">
        <w:rPr>
          <w:rFonts w:ascii="Aptos" w:hAnsi="Aptos" w:cs="Times New Roman"/>
          <w:i/>
          <w:iCs/>
          <w:sz w:val="25"/>
          <w:szCs w:val="25"/>
        </w:rPr>
        <w:t>DESE</w:t>
      </w:r>
      <w:r w:rsidRPr="000370FF">
        <w:rPr>
          <w:rFonts w:ascii="Aptos" w:hAnsi="Aptos" w:cs="Times New Roman"/>
          <w:sz w:val="25"/>
          <w:szCs w:val="25"/>
        </w:rPr>
        <w:t xml:space="preserve"> </w:t>
      </w:r>
      <w:r w:rsidRPr="000370FF">
        <w:rPr>
          <w:rFonts w:ascii="Aptos" w:hAnsi="Aptos" w:cs="Times New Roman"/>
          <w:i/>
          <w:iCs/>
          <w:sz w:val="25"/>
          <w:szCs w:val="25"/>
        </w:rPr>
        <w:t>Individual Claims Opposition”</w:t>
      </w:r>
      <w:r w:rsidRPr="000370FF">
        <w:rPr>
          <w:rFonts w:ascii="Aptos" w:hAnsi="Aptos" w:cs="Times New Roman"/>
          <w:sz w:val="25"/>
          <w:szCs w:val="25"/>
        </w:rPr>
        <w:t xml:space="preserve">), </w:t>
      </w:r>
      <w:r w:rsidRPr="000370FF">
        <w:rPr>
          <w:rFonts w:ascii="Aptos" w:hAnsi="Aptos" w:cs="Times New Roman"/>
          <w:i/>
          <w:iCs/>
          <w:sz w:val="25"/>
          <w:szCs w:val="25"/>
        </w:rPr>
        <w:t xml:space="preserve">Student’s Opposition to [Quincy’s] Motion to Dismiss Claims Regarding Failure to Provide General Education Services </w:t>
      </w:r>
      <w:r w:rsidRPr="000370FF">
        <w:rPr>
          <w:rFonts w:ascii="Aptos" w:hAnsi="Aptos" w:cs="Times New Roman"/>
          <w:sz w:val="25"/>
          <w:szCs w:val="25"/>
        </w:rPr>
        <w:t xml:space="preserve">(hereinafter </w:t>
      </w:r>
      <w:r w:rsidRPr="000370FF">
        <w:rPr>
          <w:rFonts w:ascii="Aptos" w:hAnsi="Aptos" w:cs="Times New Roman"/>
          <w:i/>
          <w:iCs/>
          <w:sz w:val="25"/>
          <w:szCs w:val="25"/>
        </w:rPr>
        <w:t>“Quincy General Education Claim Opposition”</w:t>
      </w:r>
      <w:r w:rsidRPr="000370FF">
        <w:rPr>
          <w:rFonts w:ascii="Aptos" w:hAnsi="Aptos" w:cs="Times New Roman"/>
          <w:sz w:val="25"/>
          <w:szCs w:val="25"/>
        </w:rPr>
        <w:t xml:space="preserve">) and </w:t>
      </w:r>
      <w:r w:rsidRPr="000370FF">
        <w:rPr>
          <w:rFonts w:ascii="Aptos" w:hAnsi="Aptos" w:cs="Times New Roman"/>
          <w:i/>
          <w:iCs/>
          <w:sz w:val="25"/>
          <w:szCs w:val="25"/>
        </w:rPr>
        <w:t xml:space="preserve">Combined Opposition to Defendants (sic) [Quincy] and [DESE’s] Motion to Dismiss as to Systemic Claims </w:t>
      </w:r>
      <w:r w:rsidRPr="000370FF">
        <w:rPr>
          <w:rFonts w:ascii="Aptos" w:hAnsi="Aptos" w:cs="Times New Roman"/>
          <w:sz w:val="25"/>
          <w:szCs w:val="25"/>
        </w:rPr>
        <w:t>(hereinafter “</w:t>
      </w:r>
      <w:r w:rsidRPr="000370FF">
        <w:rPr>
          <w:rFonts w:ascii="Aptos" w:hAnsi="Aptos" w:cs="Times New Roman"/>
          <w:i/>
          <w:iCs/>
          <w:sz w:val="25"/>
          <w:szCs w:val="25"/>
        </w:rPr>
        <w:t>Systemic Claims Opposition”</w:t>
      </w:r>
      <w:r w:rsidR="004459A8" w:rsidRPr="000370FF">
        <w:rPr>
          <w:rFonts w:ascii="Aptos" w:hAnsi="Aptos" w:cs="Times New Roman"/>
          <w:i/>
          <w:iCs/>
          <w:sz w:val="25"/>
          <w:szCs w:val="25"/>
        </w:rPr>
        <w:t>)</w:t>
      </w:r>
      <w:r w:rsidRPr="000370FF">
        <w:rPr>
          <w:rFonts w:ascii="Aptos" w:hAnsi="Aptos" w:cs="Times New Roman"/>
          <w:sz w:val="25"/>
          <w:szCs w:val="25"/>
        </w:rPr>
        <w:t xml:space="preserve">, requesting the </w:t>
      </w:r>
      <w:r w:rsidRPr="000370FF">
        <w:rPr>
          <w:rFonts w:ascii="Aptos" w:hAnsi="Aptos" w:cs="Times New Roman"/>
          <w:i/>
          <w:iCs/>
          <w:sz w:val="25"/>
          <w:szCs w:val="25"/>
        </w:rPr>
        <w:t>Motions</w:t>
      </w:r>
      <w:r w:rsidRPr="000370FF">
        <w:rPr>
          <w:rFonts w:ascii="Aptos" w:hAnsi="Aptos" w:cs="Times New Roman"/>
          <w:sz w:val="25"/>
          <w:szCs w:val="25"/>
        </w:rPr>
        <w:t xml:space="preserve"> be denied in their entireties, contending that all the claims in the </w:t>
      </w:r>
      <w:r w:rsidRPr="000370FF">
        <w:rPr>
          <w:rFonts w:ascii="Aptos" w:hAnsi="Aptos" w:cs="Times New Roman"/>
          <w:i/>
          <w:iCs/>
          <w:sz w:val="25"/>
          <w:szCs w:val="25"/>
        </w:rPr>
        <w:t>Hearing Request</w:t>
      </w:r>
      <w:r w:rsidRPr="000370FF">
        <w:rPr>
          <w:rFonts w:ascii="Aptos" w:hAnsi="Aptos" w:cs="Times New Roman"/>
          <w:sz w:val="25"/>
          <w:szCs w:val="25"/>
        </w:rPr>
        <w:t xml:space="preserve"> are valid and appropriate and within the jurisdiction of the BSEA to determine at a hearing on the merits.  </w:t>
      </w:r>
    </w:p>
    <w:p w14:paraId="05E8BB73" w14:textId="77777777" w:rsidR="00DA78B3" w:rsidRPr="000370FF" w:rsidRDefault="00DA78B3" w:rsidP="00DA78B3">
      <w:pPr>
        <w:rPr>
          <w:rFonts w:ascii="Aptos" w:hAnsi="Aptos" w:cs="Times New Roman"/>
          <w:sz w:val="25"/>
          <w:szCs w:val="25"/>
        </w:rPr>
      </w:pPr>
    </w:p>
    <w:p w14:paraId="6BC0FAA0" w14:textId="02089510" w:rsidR="00DA78B3" w:rsidRPr="000370FF" w:rsidRDefault="00DA78B3" w:rsidP="00DA78B3">
      <w:pPr>
        <w:rPr>
          <w:rFonts w:ascii="Aptos" w:hAnsi="Aptos" w:cs="Times New Roman"/>
          <w:sz w:val="25"/>
          <w:szCs w:val="25"/>
        </w:rPr>
      </w:pPr>
      <w:r w:rsidRPr="000370FF">
        <w:rPr>
          <w:rFonts w:ascii="Aptos" w:hAnsi="Aptos" w:cs="Times New Roman"/>
          <w:sz w:val="25"/>
          <w:szCs w:val="25"/>
        </w:rPr>
        <w:t xml:space="preserve">On April 23, 2024, DESE filed a </w:t>
      </w:r>
      <w:r w:rsidRPr="000370FF">
        <w:rPr>
          <w:rFonts w:ascii="Aptos" w:hAnsi="Aptos" w:cs="Times New Roman"/>
          <w:i/>
          <w:iCs/>
          <w:sz w:val="25"/>
          <w:szCs w:val="25"/>
        </w:rPr>
        <w:t>Notice of Significant Development</w:t>
      </w:r>
      <w:r w:rsidRPr="000370FF">
        <w:rPr>
          <w:rFonts w:ascii="Aptos" w:hAnsi="Aptos" w:cs="Times New Roman"/>
          <w:sz w:val="25"/>
          <w:szCs w:val="25"/>
        </w:rPr>
        <w:t xml:space="preserve"> (“</w:t>
      </w:r>
      <w:r w:rsidRPr="000370FF">
        <w:rPr>
          <w:rFonts w:ascii="Aptos" w:hAnsi="Aptos" w:cs="Times New Roman"/>
          <w:i/>
          <w:iCs/>
          <w:sz w:val="25"/>
          <w:szCs w:val="25"/>
        </w:rPr>
        <w:t>Notice</w:t>
      </w:r>
      <w:r w:rsidRPr="000370FF">
        <w:rPr>
          <w:rFonts w:ascii="Aptos" w:hAnsi="Aptos" w:cs="Times New Roman"/>
          <w:sz w:val="25"/>
          <w:szCs w:val="25"/>
        </w:rPr>
        <w:t>”) advising that it was recently served with a Verified Class Action Complaint for Declaratory and Injunctive Relief (“Class Action Complaint”) in a matter filed in the Middlesex Superior Court entitled “</w:t>
      </w:r>
      <w:r w:rsidRPr="000370FF">
        <w:rPr>
          <w:rFonts w:ascii="Aptos" w:hAnsi="Aptos" w:cs="Times New Roman"/>
          <w:i/>
          <w:iCs/>
          <w:sz w:val="25"/>
          <w:szCs w:val="25"/>
        </w:rPr>
        <w:t>Doe et al. v. Johnston et al.</w:t>
      </w:r>
      <w:r w:rsidRPr="000370FF">
        <w:rPr>
          <w:rFonts w:ascii="Aptos" w:hAnsi="Aptos" w:cs="Times New Roman"/>
          <w:sz w:val="25"/>
          <w:szCs w:val="25"/>
        </w:rPr>
        <w:t xml:space="preserve">”, docket number 2481CV00994.  </w:t>
      </w:r>
      <w:r w:rsidR="008301BE" w:rsidRPr="000370FF">
        <w:rPr>
          <w:rFonts w:ascii="Aptos" w:hAnsi="Aptos" w:cs="Times New Roman"/>
          <w:sz w:val="25"/>
          <w:szCs w:val="25"/>
        </w:rPr>
        <w:t xml:space="preserve">According to DESE, </w:t>
      </w:r>
      <w:r w:rsidRPr="000370FF">
        <w:rPr>
          <w:rFonts w:ascii="Aptos" w:hAnsi="Aptos" w:cs="Times New Roman"/>
          <w:sz w:val="25"/>
          <w:szCs w:val="25"/>
        </w:rPr>
        <w:t>the Class Action Complaint “asserts similar claims and seeks overlapping relief as is sought in the instant BSEA matter”</w:t>
      </w:r>
      <w:r w:rsidR="001447BE" w:rsidRPr="000370FF">
        <w:rPr>
          <w:rFonts w:ascii="Aptos" w:hAnsi="Aptos" w:cs="Times New Roman"/>
          <w:sz w:val="25"/>
          <w:szCs w:val="25"/>
        </w:rPr>
        <w:t xml:space="preserve"> and </w:t>
      </w:r>
      <w:r w:rsidRPr="000370FF">
        <w:rPr>
          <w:rFonts w:ascii="Aptos" w:hAnsi="Aptos" w:cs="Times New Roman"/>
          <w:sz w:val="25"/>
          <w:szCs w:val="25"/>
        </w:rPr>
        <w:t xml:space="preserve">Student appears to be one of the identified Plaintiffs.  A copy of this Complaint was attached to the </w:t>
      </w:r>
      <w:r w:rsidRPr="000370FF">
        <w:rPr>
          <w:rFonts w:ascii="Aptos" w:hAnsi="Aptos" w:cs="Times New Roman"/>
          <w:i/>
          <w:iCs/>
          <w:sz w:val="25"/>
          <w:szCs w:val="25"/>
        </w:rPr>
        <w:t>Notice</w:t>
      </w:r>
      <w:r w:rsidRPr="000370FF">
        <w:rPr>
          <w:rFonts w:ascii="Aptos" w:hAnsi="Aptos" w:cs="Times New Roman"/>
          <w:sz w:val="25"/>
          <w:szCs w:val="25"/>
        </w:rPr>
        <w:t xml:space="preserve">.    </w:t>
      </w:r>
    </w:p>
    <w:p w14:paraId="655BB3F9" w14:textId="77777777" w:rsidR="00DA78B3" w:rsidRPr="000370FF" w:rsidRDefault="00DA78B3" w:rsidP="00DA78B3">
      <w:pPr>
        <w:rPr>
          <w:rFonts w:ascii="Aptos" w:hAnsi="Aptos" w:cs="Times New Roman"/>
          <w:sz w:val="25"/>
          <w:szCs w:val="25"/>
        </w:rPr>
      </w:pPr>
    </w:p>
    <w:p w14:paraId="07B68BB1" w14:textId="1C0A9C7F" w:rsidR="0024112A" w:rsidRPr="000370FF" w:rsidRDefault="00DA78B3" w:rsidP="0024112A">
      <w:pPr>
        <w:rPr>
          <w:rFonts w:ascii="Aptos" w:hAnsi="Aptos" w:cs="Times New Roman"/>
          <w:sz w:val="25"/>
          <w:szCs w:val="25"/>
        </w:rPr>
      </w:pPr>
      <w:r w:rsidRPr="000370FF">
        <w:rPr>
          <w:rFonts w:ascii="Aptos" w:hAnsi="Aptos" w:cs="Times New Roman"/>
          <w:sz w:val="25"/>
          <w:szCs w:val="25"/>
        </w:rPr>
        <w:t xml:space="preserve">On May 15, 2024, Student filed </w:t>
      </w:r>
      <w:r w:rsidRPr="000370FF">
        <w:rPr>
          <w:rFonts w:ascii="Aptos" w:hAnsi="Aptos" w:cs="Times New Roman"/>
          <w:i/>
          <w:iCs/>
          <w:sz w:val="25"/>
          <w:szCs w:val="25"/>
        </w:rPr>
        <w:t>Student’s Briefing in Opposition to [DESE’s] and [Quincy’s] Motions to Dismiss Under the Summary Judgment Standard</w:t>
      </w:r>
      <w:r w:rsidRPr="000370FF">
        <w:rPr>
          <w:rFonts w:ascii="Aptos" w:hAnsi="Aptos" w:cs="Times New Roman"/>
          <w:sz w:val="25"/>
          <w:szCs w:val="25"/>
        </w:rPr>
        <w:t xml:space="preserve"> (“</w:t>
      </w:r>
      <w:r w:rsidRPr="000370FF">
        <w:rPr>
          <w:rFonts w:ascii="Aptos" w:hAnsi="Aptos" w:cs="Times New Roman"/>
          <w:i/>
          <w:iCs/>
          <w:sz w:val="25"/>
          <w:szCs w:val="25"/>
        </w:rPr>
        <w:t>Supplemental SJ Opposition</w:t>
      </w:r>
      <w:r w:rsidRPr="000370FF">
        <w:rPr>
          <w:rFonts w:ascii="Aptos" w:hAnsi="Aptos" w:cs="Times New Roman"/>
          <w:sz w:val="25"/>
          <w:szCs w:val="25"/>
        </w:rPr>
        <w:t>”) and “</w:t>
      </w:r>
      <w:r w:rsidRPr="000370FF">
        <w:rPr>
          <w:rFonts w:ascii="Aptos" w:hAnsi="Aptos" w:cs="Times New Roman"/>
          <w:i/>
          <w:iCs/>
          <w:sz w:val="25"/>
          <w:szCs w:val="25"/>
        </w:rPr>
        <w:t xml:space="preserve">Student’s </w:t>
      </w:r>
      <w:proofErr w:type="spellStart"/>
      <w:r w:rsidRPr="000370FF">
        <w:rPr>
          <w:rFonts w:ascii="Aptos" w:hAnsi="Aptos" w:cs="Times New Roman"/>
          <w:i/>
          <w:iCs/>
          <w:sz w:val="25"/>
          <w:szCs w:val="25"/>
        </w:rPr>
        <w:t>Suppemental</w:t>
      </w:r>
      <w:proofErr w:type="spellEnd"/>
      <w:r w:rsidRPr="000370FF">
        <w:rPr>
          <w:rFonts w:ascii="Aptos" w:hAnsi="Aptos" w:cs="Times New Roman"/>
          <w:i/>
          <w:iCs/>
          <w:sz w:val="25"/>
          <w:szCs w:val="25"/>
        </w:rPr>
        <w:t xml:space="preserve"> (sic) Brief on the Issue of Concurrent Jurisdiction</w:t>
      </w:r>
      <w:r w:rsidRPr="000370FF">
        <w:rPr>
          <w:rFonts w:ascii="Aptos" w:hAnsi="Aptos" w:cs="Times New Roman"/>
          <w:sz w:val="25"/>
          <w:szCs w:val="25"/>
        </w:rPr>
        <w:t>” (“</w:t>
      </w:r>
      <w:r w:rsidRPr="000370FF">
        <w:rPr>
          <w:rFonts w:ascii="Aptos" w:hAnsi="Aptos" w:cs="Times New Roman"/>
          <w:i/>
          <w:iCs/>
          <w:sz w:val="25"/>
          <w:szCs w:val="25"/>
        </w:rPr>
        <w:t>Supplemental Concurrent Jurisdiction Opposition</w:t>
      </w:r>
      <w:r w:rsidRPr="000370FF">
        <w:rPr>
          <w:rFonts w:ascii="Aptos" w:hAnsi="Aptos" w:cs="Times New Roman"/>
          <w:sz w:val="25"/>
          <w:szCs w:val="25"/>
        </w:rPr>
        <w:t>”)</w:t>
      </w:r>
      <w:r w:rsidRPr="000370FF">
        <w:rPr>
          <w:rStyle w:val="FootnoteReference"/>
          <w:rFonts w:ascii="Aptos" w:hAnsi="Aptos" w:cs="Times New Roman"/>
          <w:sz w:val="25"/>
          <w:szCs w:val="25"/>
        </w:rPr>
        <w:footnoteReference w:id="8"/>
      </w:r>
      <w:r w:rsidRPr="000370FF">
        <w:rPr>
          <w:rFonts w:ascii="Aptos" w:hAnsi="Aptos" w:cs="Times New Roman"/>
          <w:sz w:val="25"/>
          <w:szCs w:val="25"/>
        </w:rPr>
        <w:t xml:space="preserve"> arguing that the BSEA can consider the Systemic Claims concurrently with the Superior Court</w:t>
      </w:r>
      <w:r w:rsidR="00B13963" w:rsidRPr="000370FF">
        <w:rPr>
          <w:rFonts w:ascii="Aptos" w:hAnsi="Aptos" w:cs="Times New Roman"/>
          <w:sz w:val="25"/>
          <w:szCs w:val="25"/>
        </w:rPr>
        <w:t xml:space="preserve"> and </w:t>
      </w:r>
      <w:r w:rsidRPr="000370FF">
        <w:rPr>
          <w:rFonts w:ascii="Aptos" w:hAnsi="Aptos" w:cs="Times New Roman"/>
          <w:sz w:val="25"/>
          <w:szCs w:val="25"/>
        </w:rPr>
        <w:t>requesting that summary judgment be denied as many issue</w:t>
      </w:r>
      <w:r w:rsidR="00E846BA" w:rsidRPr="000370FF">
        <w:rPr>
          <w:rFonts w:ascii="Aptos" w:hAnsi="Aptos" w:cs="Times New Roman"/>
          <w:sz w:val="25"/>
          <w:szCs w:val="25"/>
        </w:rPr>
        <w:t>s</w:t>
      </w:r>
      <w:r w:rsidRPr="000370FF">
        <w:rPr>
          <w:rFonts w:ascii="Aptos" w:hAnsi="Aptos" w:cs="Times New Roman"/>
          <w:sz w:val="25"/>
          <w:szCs w:val="25"/>
        </w:rPr>
        <w:t xml:space="preserve"> of material fact exist and DESE </w:t>
      </w:r>
      <w:r w:rsidR="0024112A" w:rsidRPr="000370FF">
        <w:rPr>
          <w:rFonts w:ascii="Aptos" w:hAnsi="Aptos" w:cs="Times New Roman"/>
          <w:sz w:val="25"/>
          <w:szCs w:val="25"/>
        </w:rPr>
        <w:t xml:space="preserve">is </w:t>
      </w:r>
      <w:r w:rsidRPr="000370FF">
        <w:rPr>
          <w:rFonts w:ascii="Aptos" w:hAnsi="Aptos" w:cs="Times New Roman"/>
          <w:sz w:val="25"/>
          <w:szCs w:val="25"/>
        </w:rPr>
        <w:t>not entitled to prevail as a matter of law</w:t>
      </w:r>
      <w:r w:rsidR="0024112A" w:rsidRPr="000370FF">
        <w:rPr>
          <w:rFonts w:ascii="Aptos" w:hAnsi="Aptos" w:cs="Times New Roman"/>
          <w:sz w:val="25"/>
          <w:szCs w:val="25"/>
        </w:rPr>
        <w:t>.  Student also contend</w:t>
      </w:r>
      <w:r w:rsidR="00931F6F" w:rsidRPr="000370FF">
        <w:rPr>
          <w:rFonts w:ascii="Aptos" w:hAnsi="Aptos" w:cs="Times New Roman"/>
          <w:sz w:val="25"/>
          <w:szCs w:val="25"/>
        </w:rPr>
        <w:t>ed</w:t>
      </w:r>
      <w:r w:rsidR="0024112A" w:rsidRPr="000370FF">
        <w:rPr>
          <w:rFonts w:ascii="Aptos" w:hAnsi="Aptos" w:cs="Times New Roman"/>
          <w:sz w:val="25"/>
          <w:szCs w:val="25"/>
        </w:rPr>
        <w:t xml:space="preserve"> that as a matter of law, Quincy may be liable for his FAPE Claim as to the inadequacy of his general education program.  </w:t>
      </w:r>
    </w:p>
    <w:p w14:paraId="57B10094" w14:textId="77777777" w:rsidR="00DA78B3" w:rsidRPr="000370FF" w:rsidRDefault="00DA78B3" w:rsidP="00DA78B3">
      <w:pPr>
        <w:rPr>
          <w:rFonts w:ascii="Aptos" w:hAnsi="Aptos" w:cs="Times New Roman"/>
          <w:sz w:val="25"/>
          <w:szCs w:val="25"/>
        </w:rPr>
      </w:pPr>
    </w:p>
    <w:p w14:paraId="75EC8CE9" w14:textId="73C64E66" w:rsidR="00DA78B3" w:rsidRPr="000370FF" w:rsidRDefault="00DA78B3" w:rsidP="00DA78B3">
      <w:pPr>
        <w:rPr>
          <w:rFonts w:ascii="Aptos" w:hAnsi="Aptos" w:cs="Times New Roman"/>
          <w:sz w:val="25"/>
          <w:szCs w:val="25"/>
        </w:rPr>
      </w:pPr>
      <w:r w:rsidRPr="000370FF">
        <w:rPr>
          <w:rFonts w:ascii="Aptos" w:hAnsi="Aptos" w:cs="Times New Roman"/>
          <w:sz w:val="25"/>
          <w:szCs w:val="25"/>
        </w:rPr>
        <w:t xml:space="preserve">On May 20, 2024, Quincy filed </w:t>
      </w:r>
      <w:r w:rsidRPr="000370FF">
        <w:rPr>
          <w:rFonts w:ascii="Aptos" w:hAnsi="Aptos" w:cs="Times New Roman"/>
          <w:i/>
          <w:iCs/>
          <w:sz w:val="25"/>
          <w:szCs w:val="25"/>
        </w:rPr>
        <w:t>[Quincy’s] Opposition to Student’s Briefing in Opposition to DESE and [Quincy’s} Motion to Dismiss Under the Summary Judgment Standard and Student’s Supplemental Brief on the Issue of Concurrent Jurisdiction</w:t>
      </w:r>
      <w:r w:rsidRPr="000370FF">
        <w:rPr>
          <w:rFonts w:ascii="Aptos" w:hAnsi="Aptos" w:cs="Times New Roman"/>
          <w:sz w:val="25"/>
          <w:szCs w:val="25"/>
        </w:rPr>
        <w:t xml:space="preserve"> (“</w:t>
      </w:r>
      <w:r w:rsidRPr="000370FF">
        <w:rPr>
          <w:rFonts w:ascii="Aptos" w:hAnsi="Aptos" w:cs="Times New Roman"/>
          <w:i/>
          <w:iCs/>
          <w:sz w:val="25"/>
          <w:szCs w:val="25"/>
        </w:rPr>
        <w:t>Quincy’s Supplemental Memo</w:t>
      </w:r>
      <w:r w:rsidRPr="000370FF">
        <w:rPr>
          <w:rFonts w:ascii="Aptos" w:hAnsi="Aptos" w:cs="Times New Roman"/>
          <w:sz w:val="25"/>
          <w:szCs w:val="25"/>
        </w:rPr>
        <w:t xml:space="preserve">”) </w:t>
      </w:r>
      <w:r w:rsidR="00B13963" w:rsidRPr="000370FF">
        <w:rPr>
          <w:rFonts w:ascii="Aptos" w:hAnsi="Aptos" w:cs="Times New Roman"/>
          <w:sz w:val="25"/>
          <w:szCs w:val="25"/>
        </w:rPr>
        <w:t xml:space="preserve">reiterating its request for </w:t>
      </w:r>
      <w:r w:rsidRPr="000370FF">
        <w:rPr>
          <w:rFonts w:ascii="Aptos" w:hAnsi="Aptos" w:cs="Times New Roman"/>
          <w:sz w:val="25"/>
          <w:szCs w:val="25"/>
        </w:rPr>
        <w:t>dismissal</w:t>
      </w:r>
      <w:r w:rsidR="00B13963" w:rsidRPr="000370FF">
        <w:rPr>
          <w:rFonts w:ascii="Aptos" w:hAnsi="Aptos" w:cs="Times New Roman"/>
          <w:sz w:val="25"/>
          <w:szCs w:val="25"/>
        </w:rPr>
        <w:t>, or in the alternative</w:t>
      </w:r>
      <w:r w:rsidRPr="000370FF">
        <w:rPr>
          <w:rFonts w:ascii="Aptos" w:hAnsi="Aptos" w:cs="Times New Roman"/>
          <w:sz w:val="25"/>
          <w:szCs w:val="25"/>
        </w:rPr>
        <w:t xml:space="preserve"> summary </w:t>
      </w:r>
      <w:r w:rsidRPr="000370FF">
        <w:rPr>
          <w:rFonts w:ascii="Aptos" w:hAnsi="Aptos" w:cs="Times New Roman"/>
          <w:sz w:val="25"/>
          <w:szCs w:val="25"/>
        </w:rPr>
        <w:lastRenderedPageBreak/>
        <w:t xml:space="preserve">judgement on the claims that Student was denied a FAPE by Quincy due to being provided with an inadequate general education program during his period of incarceration.  </w:t>
      </w:r>
    </w:p>
    <w:p w14:paraId="0EE6D011" w14:textId="77777777" w:rsidR="00DA78B3" w:rsidRPr="000370FF" w:rsidRDefault="00DA78B3" w:rsidP="00DA78B3">
      <w:pPr>
        <w:rPr>
          <w:rFonts w:ascii="Aptos" w:hAnsi="Aptos" w:cs="Times New Roman"/>
          <w:sz w:val="25"/>
          <w:szCs w:val="25"/>
        </w:rPr>
      </w:pPr>
    </w:p>
    <w:p w14:paraId="47C8E2FC" w14:textId="4D22AFAE" w:rsidR="00DA78B3" w:rsidRPr="000370FF" w:rsidRDefault="00DA78B3" w:rsidP="00DA78B3">
      <w:pPr>
        <w:rPr>
          <w:rFonts w:ascii="Aptos" w:hAnsi="Aptos" w:cs="Times New Roman"/>
          <w:sz w:val="25"/>
          <w:szCs w:val="25"/>
        </w:rPr>
      </w:pPr>
      <w:r w:rsidRPr="000370FF">
        <w:rPr>
          <w:rFonts w:ascii="Aptos" w:hAnsi="Aptos" w:cs="Times New Roman"/>
          <w:sz w:val="25"/>
          <w:szCs w:val="25"/>
        </w:rPr>
        <w:t xml:space="preserve">On May 28, 2024, Student filed </w:t>
      </w:r>
      <w:r w:rsidRPr="000370FF">
        <w:rPr>
          <w:rFonts w:ascii="Aptos" w:hAnsi="Aptos" w:cs="Times New Roman"/>
          <w:i/>
          <w:iCs/>
          <w:sz w:val="25"/>
          <w:szCs w:val="25"/>
        </w:rPr>
        <w:t>Student’s Response to [Quincy’s Supplemental Memo]</w:t>
      </w:r>
      <w:r w:rsidRPr="000370FF">
        <w:rPr>
          <w:rFonts w:ascii="Aptos" w:hAnsi="Aptos" w:cs="Times New Roman"/>
          <w:sz w:val="25"/>
          <w:szCs w:val="25"/>
        </w:rPr>
        <w:t xml:space="preserve"> (“</w:t>
      </w:r>
      <w:r w:rsidRPr="000370FF">
        <w:rPr>
          <w:rFonts w:ascii="Aptos" w:hAnsi="Aptos" w:cs="Times New Roman"/>
          <w:i/>
          <w:iCs/>
          <w:sz w:val="25"/>
          <w:szCs w:val="25"/>
        </w:rPr>
        <w:t>Student’s Response</w:t>
      </w:r>
      <w:r w:rsidRPr="000370FF">
        <w:rPr>
          <w:rFonts w:ascii="Aptos" w:hAnsi="Aptos" w:cs="Times New Roman"/>
          <w:sz w:val="25"/>
          <w:szCs w:val="25"/>
        </w:rPr>
        <w:t xml:space="preserve">”), to address specifically, Quincy’s arguments with respect to his claim that he was denied a FAPE by not being provided with an “appropriate secondary school curriculum that meets state standards, including a full school day”.  </w:t>
      </w:r>
    </w:p>
    <w:p w14:paraId="00B8A9FA" w14:textId="77777777" w:rsidR="00DA78B3" w:rsidRPr="000370FF" w:rsidRDefault="00DA78B3" w:rsidP="00DA78B3">
      <w:pPr>
        <w:rPr>
          <w:rFonts w:ascii="Aptos" w:hAnsi="Aptos" w:cs="Times New Roman"/>
          <w:sz w:val="25"/>
          <w:szCs w:val="25"/>
        </w:rPr>
      </w:pPr>
    </w:p>
    <w:p w14:paraId="6CE1962D" w14:textId="796D15A6" w:rsidR="00DA78B3" w:rsidRPr="000370FF" w:rsidRDefault="00DA78B3" w:rsidP="00DA78B3">
      <w:pPr>
        <w:rPr>
          <w:rFonts w:ascii="Aptos" w:hAnsi="Aptos" w:cs="Times New Roman"/>
          <w:sz w:val="25"/>
          <w:szCs w:val="25"/>
        </w:rPr>
      </w:pPr>
      <w:r w:rsidRPr="000370FF">
        <w:rPr>
          <w:rFonts w:ascii="Aptos" w:hAnsi="Aptos" w:cs="Times New Roman"/>
          <w:sz w:val="25"/>
          <w:szCs w:val="25"/>
        </w:rPr>
        <w:t xml:space="preserve">Finally, on June 4, 2024, DESE submitted a </w:t>
      </w:r>
      <w:r w:rsidRPr="000370FF">
        <w:rPr>
          <w:rFonts w:ascii="Aptos" w:hAnsi="Aptos" w:cs="Times New Roman"/>
          <w:i/>
          <w:iCs/>
          <w:sz w:val="25"/>
          <w:szCs w:val="25"/>
        </w:rPr>
        <w:t>Memorandum of Law in Further Support of [DESE’s Motion]</w:t>
      </w:r>
      <w:r w:rsidRPr="000370FF">
        <w:rPr>
          <w:rFonts w:ascii="Aptos" w:hAnsi="Aptos" w:cs="Times New Roman"/>
          <w:sz w:val="25"/>
          <w:szCs w:val="25"/>
        </w:rPr>
        <w:t xml:space="preserve"> (“</w:t>
      </w:r>
      <w:r w:rsidRPr="000370FF">
        <w:rPr>
          <w:rFonts w:ascii="Aptos" w:hAnsi="Aptos" w:cs="Times New Roman"/>
          <w:i/>
          <w:iCs/>
          <w:sz w:val="25"/>
          <w:szCs w:val="25"/>
        </w:rPr>
        <w:t>DESE’s Supplemental Memo</w:t>
      </w:r>
      <w:r w:rsidRPr="000370FF">
        <w:rPr>
          <w:rFonts w:ascii="Aptos" w:hAnsi="Aptos" w:cs="Times New Roman"/>
          <w:sz w:val="25"/>
          <w:szCs w:val="25"/>
        </w:rPr>
        <w:t>”) arguing that Student’s Systemic Claims should be dismissed in their entirety</w:t>
      </w:r>
      <w:r w:rsidR="00B13963" w:rsidRPr="000370FF">
        <w:rPr>
          <w:rFonts w:ascii="Aptos" w:hAnsi="Aptos" w:cs="Times New Roman"/>
          <w:sz w:val="25"/>
          <w:szCs w:val="25"/>
        </w:rPr>
        <w:t>,</w:t>
      </w:r>
      <w:r w:rsidRPr="000370FF">
        <w:rPr>
          <w:rFonts w:ascii="Aptos" w:hAnsi="Aptos" w:cs="Times New Roman"/>
          <w:sz w:val="25"/>
          <w:szCs w:val="25"/>
        </w:rPr>
        <w:t xml:space="preserve"> that Student’s individual Child Find Claim (Issue 1, above), FAPE Claim as to inadequate IEPs (Issue 2(a), above) and LRE Claim (Issue 3, above) should be dismissed as to DESE</w:t>
      </w:r>
      <w:r w:rsidR="00B13963" w:rsidRPr="000370FF">
        <w:rPr>
          <w:rFonts w:ascii="Aptos" w:hAnsi="Aptos" w:cs="Times New Roman"/>
          <w:sz w:val="25"/>
          <w:szCs w:val="25"/>
        </w:rPr>
        <w:t xml:space="preserve">, and that </w:t>
      </w:r>
      <w:r w:rsidRPr="000370FF">
        <w:rPr>
          <w:rFonts w:ascii="Aptos" w:hAnsi="Aptos" w:cs="Times New Roman"/>
          <w:sz w:val="25"/>
          <w:szCs w:val="25"/>
        </w:rPr>
        <w:t>Student’s FAPE Claim relating to an inadequate general education program (Issue 2(b), above), should be dismissed in its entirety.  However, DESE clarifie</w:t>
      </w:r>
      <w:r w:rsidR="003D199B" w:rsidRPr="000370FF">
        <w:rPr>
          <w:rFonts w:ascii="Aptos" w:hAnsi="Aptos" w:cs="Times New Roman"/>
          <w:sz w:val="25"/>
          <w:szCs w:val="25"/>
        </w:rPr>
        <w:t>d</w:t>
      </w:r>
      <w:r w:rsidRPr="000370FF">
        <w:rPr>
          <w:rFonts w:ascii="Aptos" w:hAnsi="Aptos" w:cs="Times New Roman"/>
          <w:sz w:val="25"/>
          <w:szCs w:val="25"/>
        </w:rPr>
        <w:t xml:space="preserve"> that it does not seek dismissal of the compensatory claims </w:t>
      </w:r>
      <w:proofErr w:type="gramStart"/>
      <w:r w:rsidRPr="000370FF">
        <w:rPr>
          <w:rFonts w:ascii="Aptos" w:hAnsi="Aptos" w:cs="Times New Roman"/>
          <w:sz w:val="25"/>
          <w:szCs w:val="25"/>
        </w:rPr>
        <w:t>with regard to</w:t>
      </w:r>
      <w:proofErr w:type="gramEnd"/>
      <w:r w:rsidRPr="000370FF">
        <w:rPr>
          <w:rFonts w:ascii="Aptos" w:hAnsi="Aptos" w:cs="Times New Roman"/>
          <w:sz w:val="25"/>
          <w:szCs w:val="25"/>
        </w:rPr>
        <w:t xml:space="preserve"> any compensatory services for any educational services DESE was responsible to provide Student that he has not otherwise received from DESE</w:t>
      </w:r>
      <w:r w:rsidRPr="000370FF">
        <w:rPr>
          <w:rStyle w:val="FootnoteReference"/>
          <w:rFonts w:ascii="Aptos" w:hAnsi="Aptos" w:cs="Times New Roman"/>
          <w:sz w:val="25"/>
          <w:szCs w:val="25"/>
        </w:rPr>
        <w:footnoteReference w:id="9"/>
      </w:r>
      <w:r w:rsidRPr="000370FF">
        <w:rPr>
          <w:rFonts w:ascii="Aptos" w:hAnsi="Aptos" w:cs="Times New Roman"/>
          <w:sz w:val="25"/>
          <w:szCs w:val="25"/>
        </w:rPr>
        <w:t xml:space="preserve">.  </w:t>
      </w:r>
    </w:p>
    <w:p w14:paraId="4E0C10D6" w14:textId="77777777" w:rsidR="00DA78B3" w:rsidRPr="000370FF" w:rsidRDefault="00DA78B3" w:rsidP="00DA78B3">
      <w:pPr>
        <w:rPr>
          <w:rFonts w:ascii="Aptos" w:hAnsi="Aptos" w:cs="Times New Roman"/>
          <w:sz w:val="25"/>
          <w:szCs w:val="25"/>
        </w:rPr>
      </w:pPr>
    </w:p>
    <w:p w14:paraId="3FEEB06B" w14:textId="77777777" w:rsidR="00DA78B3" w:rsidRPr="000370FF" w:rsidRDefault="00DA78B3" w:rsidP="00DA78B3">
      <w:pPr>
        <w:jc w:val="center"/>
        <w:rPr>
          <w:rFonts w:ascii="Aptos" w:eastAsia="Times New Roman" w:hAnsi="Aptos" w:cs="Times New Roman"/>
          <w:b/>
          <w:bCs/>
          <w:sz w:val="25"/>
          <w:szCs w:val="25"/>
        </w:rPr>
      </w:pPr>
      <w:r w:rsidRPr="000370FF">
        <w:rPr>
          <w:rFonts w:ascii="Aptos" w:eastAsia="Times New Roman" w:hAnsi="Aptos" w:cs="Times New Roman"/>
          <w:b/>
          <w:bCs/>
          <w:sz w:val="25"/>
          <w:szCs w:val="25"/>
        </w:rPr>
        <w:t>FACTUAL BACKGROUND</w:t>
      </w:r>
      <w:r w:rsidRPr="000370FF">
        <w:rPr>
          <w:rStyle w:val="FootnoteReference"/>
          <w:rFonts w:ascii="Aptos" w:eastAsia="Times New Roman" w:hAnsi="Aptos" w:cs="Times New Roman"/>
          <w:b/>
          <w:bCs/>
          <w:sz w:val="25"/>
          <w:szCs w:val="25"/>
        </w:rPr>
        <w:footnoteReference w:id="10"/>
      </w:r>
    </w:p>
    <w:p w14:paraId="42F2C812" w14:textId="77777777" w:rsidR="00DA78B3" w:rsidRPr="000370FF" w:rsidRDefault="00DA78B3" w:rsidP="00DA78B3">
      <w:pPr>
        <w:rPr>
          <w:rFonts w:ascii="Aptos" w:eastAsia="Times New Roman" w:hAnsi="Aptos" w:cs="Times New Roman"/>
          <w:b/>
          <w:bCs/>
          <w:sz w:val="25"/>
          <w:szCs w:val="25"/>
        </w:rPr>
      </w:pPr>
    </w:p>
    <w:p w14:paraId="76F23426" w14:textId="33A9FDAF" w:rsidR="00DA78B3" w:rsidRPr="000370FF" w:rsidRDefault="00DA78B3" w:rsidP="00DA78B3">
      <w:pPr>
        <w:pStyle w:val="ListParagraph"/>
        <w:numPr>
          <w:ilvl w:val="0"/>
          <w:numId w:val="11"/>
        </w:numPr>
        <w:ind w:left="360"/>
        <w:rPr>
          <w:rFonts w:ascii="Aptos" w:eastAsia="Times New Roman" w:hAnsi="Aptos" w:cs="Times New Roman"/>
          <w:sz w:val="25"/>
          <w:szCs w:val="25"/>
        </w:rPr>
      </w:pPr>
      <w:r w:rsidRPr="000370FF">
        <w:rPr>
          <w:rFonts w:ascii="Aptos" w:eastAsia="Times New Roman" w:hAnsi="Aptos" w:cs="Times New Roman"/>
          <w:sz w:val="25"/>
          <w:szCs w:val="25"/>
        </w:rPr>
        <w:t>Student is 20 years of age</w:t>
      </w:r>
      <w:r w:rsidR="00D03729" w:rsidRPr="000370FF">
        <w:rPr>
          <w:rFonts w:ascii="Aptos" w:eastAsia="Times New Roman" w:hAnsi="Aptos" w:cs="Times New Roman"/>
          <w:sz w:val="25"/>
          <w:szCs w:val="25"/>
        </w:rPr>
        <w:t xml:space="preserve">.  He is eligible for </w:t>
      </w:r>
      <w:r w:rsidRPr="000370FF">
        <w:rPr>
          <w:rFonts w:ascii="Aptos" w:eastAsia="Times New Roman" w:hAnsi="Aptos" w:cs="Times New Roman"/>
          <w:sz w:val="25"/>
          <w:szCs w:val="25"/>
        </w:rPr>
        <w:t>special education under the category of a specific learning disability in Math</w:t>
      </w:r>
      <w:r w:rsidR="00F55FB7" w:rsidRPr="000370FF">
        <w:rPr>
          <w:rFonts w:ascii="Aptos" w:eastAsia="Times New Roman" w:hAnsi="Aptos" w:cs="Times New Roman"/>
          <w:sz w:val="25"/>
          <w:szCs w:val="25"/>
        </w:rPr>
        <w:t>.</w:t>
      </w:r>
      <w:r w:rsidRPr="000370FF">
        <w:rPr>
          <w:rFonts w:ascii="Aptos" w:eastAsia="Times New Roman" w:hAnsi="Aptos" w:cs="Times New Roman"/>
          <w:sz w:val="25"/>
          <w:szCs w:val="25"/>
        </w:rPr>
        <w:t xml:space="preserve">  (</w:t>
      </w:r>
      <w:r w:rsidRPr="000370FF">
        <w:rPr>
          <w:rFonts w:ascii="Aptos" w:eastAsia="Times New Roman" w:hAnsi="Aptos" w:cs="Times New Roman"/>
          <w:i/>
          <w:iCs/>
          <w:sz w:val="25"/>
          <w:szCs w:val="25"/>
        </w:rPr>
        <w:t>Hearing Request</w:t>
      </w:r>
      <w:r w:rsidRPr="000370FF">
        <w:rPr>
          <w:rFonts w:ascii="Aptos" w:eastAsia="Times New Roman" w:hAnsi="Aptos" w:cs="Times New Roman"/>
          <w:sz w:val="25"/>
          <w:szCs w:val="25"/>
        </w:rPr>
        <w:t xml:space="preserve">; </w:t>
      </w:r>
      <w:r w:rsidRPr="000370FF">
        <w:rPr>
          <w:rFonts w:ascii="Aptos" w:eastAsia="Times New Roman" w:hAnsi="Aptos" w:cs="Times New Roman"/>
          <w:i/>
          <w:iCs/>
          <w:sz w:val="25"/>
          <w:szCs w:val="25"/>
        </w:rPr>
        <w:t>Quincy Motion</w:t>
      </w:r>
      <w:r w:rsidRPr="000370FF">
        <w:rPr>
          <w:rFonts w:ascii="Aptos" w:eastAsia="Times New Roman" w:hAnsi="Aptos" w:cs="Times New Roman"/>
          <w:sz w:val="25"/>
          <w:szCs w:val="25"/>
        </w:rPr>
        <w:t>).</w:t>
      </w:r>
    </w:p>
    <w:p w14:paraId="44C79F4C" w14:textId="77777777" w:rsidR="00DA78B3" w:rsidRPr="000370FF" w:rsidRDefault="00DA78B3" w:rsidP="00DA78B3">
      <w:pPr>
        <w:pStyle w:val="ListParagraph"/>
        <w:ind w:left="360"/>
        <w:rPr>
          <w:rFonts w:ascii="Aptos" w:eastAsia="Times New Roman" w:hAnsi="Aptos" w:cs="Times New Roman"/>
          <w:sz w:val="25"/>
          <w:szCs w:val="25"/>
        </w:rPr>
      </w:pPr>
    </w:p>
    <w:p w14:paraId="39370C70" w14:textId="4A3760A2" w:rsidR="00DA78B3" w:rsidRPr="000370FF" w:rsidRDefault="00DA78B3" w:rsidP="00DA78B3">
      <w:pPr>
        <w:pStyle w:val="ListParagraph"/>
        <w:numPr>
          <w:ilvl w:val="0"/>
          <w:numId w:val="11"/>
        </w:numPr>
        <w:ind w:left="360"/>
        <w:rPr>
          <w:rFonts w:ascii="Aptos" w:eastAsia="Times New Roman" w:hAnsi="Aptos" w:cs="Times New Roman"/>
          <w:sz w:val="25"/>
          <w:szCs w:val="25"/>
        </w:rPr>
      </w:pPr>
      <w:r w:rsidRPr="000370FF">
        <w:rPr>
          <w:rFonts w:ascii="Aptos" w:eastAsia="Times New Roman" w:hAnsi="Aptos" w:cs="Times New Roman"/>
          <w:sz w:val="25"/>
          <w:szCs w:val="25"/>
        </w:rPr>
        <w:t>Student is currently incarcerated in the Norfolk CHC, where he has been confined,</w:t>
      </w:r>
      <w:r w:rsidR="000963E3" w:rsidRPr="000370FF">
        <w:rPr>
          <w:rFonts w:ascii="Aptos" w:eastAsia="Times New Roman" w:hAnsi="Aptos" w:cs="Times New Roman"/>
          <w:sz w:val="25"/>
          <w:szCs w:val="25"/>
        </w:rPr>
        <w:t xml:space="preserve"> since on or about February 15, 2022, </w:t>
      </w:r>
      <w:r w:rsidRPr="000370FF">
        <w:rPr>
          <w:rFonts w:ascii="Aptos" w:eastAsia="Times New Roman" w:hAnsi="Aptos" w:cs="Times New Roman"/>
          <w:sz w:val="25"/>
          <w:szCs w:val="25"/>
        </w:rPr>
        <w:t>except for limited time periods</w:t>
      </w:r>
      <w:r w:rsidR="00A7333C" w:rsidRPr="000370FF">
        <w:rPr>
          <w:rFonts w:ascii="Aptos" w:eastAsia="Times New Roman" w:hAnsi="Aptos" w:cs="Times New Roman"/>
          <w:sz w:val="25"/>
          <w:szCs w:val="25"/>
        </w:rPr>
        <w:t>,</w:t>
      </w:r>
      <w:r w:rsidRPr="000370FF">
        <w:rPr>
          <w:rFonts w:ascii="Aptos" w:eastAsia="Times New Roman" w:hAnsi="Aptos" w:cs="Times New Roman"/>
          <w:sz w:val="25"/>
          <w:szCs w:val="25"/>
        </w:rPr>
        <w:t xml:space="preserve"> not relevant to this </w:t>
      </w:r>
      <w:r w:rsidRPr="000370FF">
        <w:rPr>
          <w:rFonts w:ascii="Aptos" w:eastAsia="Times New Roman" w:hAnsi="Aptos" w:cs="Times New Roman"/>
          <w:i/>
          <w:iCs/>
          <w:sz w:val="25"/>
          <w:szCs w:val="25"/>
        </w:rPr>
        <w:t>Ruling</w:t>
      </w:r>
      <w:r w:rsidR="00A7333C" w:rsidRPr="000370FF">
        <w:rPr>
          <w:rFonts w:ascii="Aptos" w:eastAsia="Times New Roman" w:hAnsi="Aptos" w:cs="Times New Roman"/>
          <w:sz w:val="25"/>
          <w:szCs w:val="25"/>
        </w:rPr>
        <w:t>,</w:t>
      </w:r>
      <w:r w:rsidRPr="000370FF">
        <w:rPr>
          <w:rFonts w:ascii="Aptos" w:eastAsia="Times New Roman" w:hAnsi="Aptos" w:cs="Times New Roman"/>
          <w:sz w:val="25"/>
          <w:szCs w:val="25"/>
        </w:rPr>
        <w:t xml:space="preserve"> </w:t>
      </w:r>
      <w:r w:rsidR="000963E3" w:rsidRPr="000370FF">
        <w:rPr>
          <w:rFonts w:ascii="Aptos" w:eastAsia="Times New Roman" w:hAnsi="Aptos" w:cs="Times New Roman"/>
          <w:sz w:val="25"/>
          <w:szCs w:val="25"/>
        </w:rPr>
        <w:t xml:space="preserve">wherein he was </w:t>
      </w:r>
      <w:r w:rsidRPr="000370FF">
        <w:rPr>
          <w:rFonts w:ascii="Aptos" w:eastAsia="Times New Roman" w:hAnsi="Aptos" w:cs="Times New Roman"/>
          <w:sz w:val="25"/>
          <w:szCs w:val="25"/>
        </w:rPr>
        <w:t>confined to other CHCs.  (</w:t>
      </w:r>
      <w:r w:rsidRPr="000370FF">
        <w:rPr>
          <w:rFonts w:ascii="Aptos" w:eastAsia="Times New Roman" w:hAnsi="Aptos" w:cs="Times New Roman"/>
          <w:i/>
          <w:iCs/>
          <w:sz w:val="25"/>
          <w:szCs w:val="25"/>
        </w:rPr>
        <w:t>Hearing Request</w:t>
      </w:r>
      <w:r w:rsidRPr="000370FF">
        <w:rPr>
          <w:rFonts w:ascii="Aptos" w:eastAsia="Times New Roman" w:hAnsi="Aptos" w:cs="Times New Roman"/>
          <w:sz w:val="25"/>
          <w:szCs w:val="25"/>
        </w:rPr>
        <w:t xml:space="preserve">; </w:t>
      </w:r>
      <w:r w:rsidRPr="000370FF">
        <w:rPr>
          <w:rFonts w:ascii="Aptos" w:eastAsia="Times New Roman" w:hAnsi="Aptos" w:cs="Times New Roman"/>
          <w:i/>
          <w:iCs/>
          <w:sz w:val="25"/>
          <w:szCs w:val="25"/>
        </w:rPr>
        <w:t>DESE Motion; Quincy Motion</w:t>
      </w:r>
      <w:r w:rsidRPr="000370FF">
        <w:rPr>
          <w:rFonts w:ascii="Aptos" w:eastAsia="Times New Roman" w:hAnsi="Aptos" w:cs="Times New Roman"/>
          <w:sz w:val="25"/>
          <w:szCs w:val="25"/>
        </w:rPr>
        <w:t>).</w:t>
      </w:r>
    </w:p>
    <w:p w14:paraId="0FE4F8C3" w14:textId="77777777" w:rsidR="00DA78B3" w:rsidRPr="000370FF" w:rsidRDefault="00DA78B3" w:rsidP="00DA78B3">
      <w:pPr>
        <w:pStyle w:val="ListParagraph"/>
        <w:rPr>
          <w:rFonts w:ascii="Aptos" w:eastAsia="Times New Roman" w:hAnsi="Aptos" w:cs="Times New Roman"/>
          <w:sz w:val="25"/>
          <w:szCs w:val="25"/>
        </w:rPr>
      </w:pPr>
    </w:p>
    <w:p w14:paraId="5E27FCAC" w14:textId="3DCEBA75" w:rsidR="00DA78B3" w:rsidRPr="000370FF" w:rsidRDefault="00DA78B3" w:rsidP="00DA78B3">
      <w:pPr>
        <w:pStyle w:val="ListParagraph"/>
        <w:numPr>
          <w:ilvl w:val="0"/>
          <w:numId w:val="11"/>
        </w:numPr>
        <w:ind w:left="360"/>
        <w:rPr>
          <w:rFonts w:ascii="Aptos" w:eastAsia="Times New Roman" w:hAnsi="Aptos" w:cs="Times New Roman"/>
          <w:sz w:val="25"/>
          <w:szCs w:val="25"/>
        </w:rPr>
      </w:pPr>
      <w:r w:rsidRPr="000370FF">
        <w:rPr>
          <w:rFonts w:ascii="Aptos" w:eastAsia="Times New Roman" w:hAnsi="Aptos" w:cs="Times New Roman"/>
          <w:sz w:val="25"/>
          <w:szCs w:val="25"/>
        </w:rPr>
        <w:t xml:space="preserve">At the time of Student’s incarceration, he had </w:t>
      </w:r>
      <w:r w:rsidR="00B37054" w:rsidRPr="000370FF">
        <w:rPr>
          <w:rFonts w:ascii="Aptos" w:eastAsia="Times New Roman" w:hAnsi="Aptos" w:cs="Times New Roman"/>
          <w:sz w:val="25"/>
          <w:szCs w:val="25"/>
        </w:rPr>
        <w:t>n</w:t>
      </w:r>
      <w:r w:rsidR="002C54D0" w:rsidRPr="000370FF">
        <w:rPr>
          <w:rFonts w:ascii="Aptos" w:eastAsia="Times New Roman" w:hAnsi="Aptos" w:cs="Times New Roman"/>
          <w:sz w:val="25"/>
          <w:szCs w:val="25"/>
        </w:rPr>
        <w:t>ot</w:t>
      </w:r>
      <w:r w:rsidR="00B37054" w:rsidRPr="000370FF">
        <w:rPr>
          <w:rFonts w:ascii="Aptos" w:eastAsia="Times New Roman" w:hAnsi="Aptos" w:cs="Times New Roman"/>
          <w:sz w:val="25"/>
          <w:szCs w:val="25"/>
        </w:rPr>
        <w:t xml:space="preserve"> </w:t>
      </w:r>
      <w:r w:rsidRPr="000370FF">
        <w:rPr>
          <w:rFonts w:ascii="Aptos" w:eastAsia="Times New Roman" w:hAnsi="Aptos" w:cs="Times New Roman"/>
          <w:sz w:val="25"/>
          <w:szCs w:val="25"/>
        </w:rPr>
        <w:t>been found eligible for special education or related services.  (</w:t>
      </w:r>
      <w:r w:rsidRPr="000370FF">
        <w:rPr>
          <w:rFonts w:ascii="Aptos" w:eastAsia="Times New Roman" w:hAnsi="Aptos" w:cs="Times New Roman"/>
          <w:i/>
          <w:iCs/>
          <w:sz w:val="25"/>
          <w:szCs w:val="25"/>
        </w:rPr>
        <w:t>Hearing Request</w:t>
      </w:r>
      <w:r w:rsidRPr="000370FF">
        <w:rPr>
          <w:rFonts w:ascii="Aptos" w:eastAsia="Times New Roman" w:hAnsi="Aptos" w:cs="Times New Roman"/>
          <w:sz w:val="25"/>
          <w:szCs w:val="25"/>
        </w:rPr>
        <w:t xml:space="preserve">; </w:t>
      </w:r>
      <w:r w:rsidRPr="000370FF">
        <w:rPr>
          <w:rFonts w:ascii="Aptos" w:eastAsia="Times New Roman" w:hAnsi="Aptos" w:cs="Times New Roman"/>
          <w:i/>
          <w:iCs/>
          <w:sz w:val="25"/>
          <w:szCs w:val="25"/>
        </w:rPr>
        <w:t>DESE Motion; Quincy Motion</w:t>
      </w:r>
      <w:r w:rsidRPr="000370FF">
        <w:rPr>
          <w:rFonts w:ascii="Aptos" w:eastAsia="Times New Roman" w:hAnsi="Aptos" w:cs="Times New Roman"/>
          <w:sz w:val="25"/>
          <w:szCs w:val="25"/>
        </w:rPr>
        <w:t>).</w:t>
      </w:r>
    </w:p>
    <w:p w14:paraId="3F15364A" w14:textId="77777777" w:rsidR="00DA78B3" w:rsidRPr="000370FF" w:rsidRDefault="00DA78B3" w:rsidP="00DA78B3">
      <w:pPr>
        <w:pStyle w:val="ListParagraph"/>
        <w:rPr>
          <w:rFonts w:ascii="Aptos" w:eastAsia="Times New Roman" w:hAnsi="Aptos" w:cs="Times New Roman"/>
          <w:sz w:val="25"/>
          <w:szCs w:val="25"/>
        </w:rPr>
      </w:pPr>
    </w:p>
    <w:p w14:paraId="2BD08CA0" w14:textId="7F61CAC0" w:rsidR="00DA78B3" w:rsidRPr="000370FF" w:rsidRDefault="00DA78B3" w:rsidP="00DA78B3">
      <w:pPr>
        <w:pStyle w:val="ListParagraph"/>
        <w:numPr>
          <w:ilvl w:val="0"/>
          <w:numId w:val="11"/>
        </w:numPr>
        <w:ind w:left="360"/>
        <w:rPr>
          <w:rFonts w:ascii="Aptos" w:eastAsia="Times New Roman" w:hAnsi="Aptos" w:cs="Times New Roman"/>
          <w:sz w:val="25"/>
          <w:szCs w:val="25"/>
        </w:rPr>
      </w:pPr>
      <w:r w:rsidRPr="000370FF">
        <w:rPr>
          <w:rFonts w:ascii="Aptos" w:eastAsia="Times New Roman" w:hAnsi="Aptos" w:cs="Times New Roman"/>
          <w:sz w:val="25"/>
          <w:szCs w:val="25"/>
        </w:rPr>
        <w:t xml:space="preserve">Prior to his incarceration, Student attended Quincy High School and, starting in February 2020, </w:t>
      </w:r>
      <w:r w:rsidR="00F04BD2" w:rsidRPr="000370FF">
        <w:rPr>
          <w:rFonts w:ascii="Aptos" w:eastAsia="Times New Roman" w:hAnsi="Aptos" w:cs="Times New Roman"/>
          <w:sz w:val="25"/>
          <w:szCs w:val="25"/>
        </w:rPr>
        <w:t xml:space="preserve">was </w:t>
      </w:r>
      <w:r w:rsidRPr="000370FF">
        <w:rPr>
          <w:rFonts w:ascii="Aptos" w:eastAsia="Times New Roman" w:hAnsi="Aptos" w:cs="Times New Roman"/>
          <w:sz w:val="25"/>
          <w:szCs w:val="25"/>
        </w:rPr>
        <w:t xml:space="preserve">placed in the GOALS program, a substantially separate </w:t>
      </w:r>
      <w:r w:rsidR="00A073D1" w:rsidRPr="000370FF">
        <w:rPr>
          <w:rFonts w:ascii="Aptos" w:eastAsia="Times New Roman" w:hAnsi="Aptos" w:cs="Times New Roman"/>
          <w:sz w:val="25"/>
          <w:szCs w:val="25"/>
        </w:rPr>
        <w:t xml:space="preserve">in-District </w:t>
      </w:r>
      <w:r w:rsidRPr="000370FF">
        <w:rPr>
          <w:rFonts w:ascii="Aptos" w:eastAsia="Times New Roman" w:hAnsi="Aptos" w:cs="Times New Roman"/>
          <w:sz w:val="25"/>
          <w:szCs w:val="25"/>
        </w:rPr>
        <w:t xml:space="preserve">special education program (“GOALS”).  </w:t>
      </w:r>
      <w:r w:rsidR="00A073D1" w:rsidRPr="000370FF">
        <w:rPr>
          <w:rFonts w:ascii="Aptos" w:eastAsia="Times New Roman" w:hAnsi="Aptos" w:cs="Times New Roman"/>
          <w:sz w:val="25"/>
          <w:szCs w:val="25"/>
        </w:rPr>
        <w:t xml:space="preserve">His placement at GOALS was not made for disciplinary reasons.  </w:t>
      </w:r>
      <w:r w:rsidRPr="000370FF">
        <w:rPr>
          <w:rFonts w:ascii="Aptos" w:eastAsia="Times New Roman" w:hAnsi="Aptos" w:cs="Times New Roman"/>
          <w:sz w:val="25"/>
          <w:szCs w:val="25"/>
        </w:rPr>
        <w:t>Student was never evaluated or found eligible for special education prior to</w:t>
      </w:r>
      <w:r w:rsidR="00A073D1" w:rsidRPr="000370FF">
        <w:rPr>
          <w:rFonts w:ascii="Aptos" w:eastAsia="Times New Roman" w:hAnsi="Aptos" w:cs="Times New Roman"/>
          <w:sz w:val="25"/>
          <w:szCs w:val="25"/>
        </w:rPr>
        <w:t xml:space="preserve"> this placement being effectuated, nor had he or Parent ever been provided with any information regarding his potential eligibility for special education, prior to the GOALS placement.  </w:t>
      </w:r>
      <w:r w:rsidRPr="000370FF">
        <w:rPr>
          <w:rFonts w:ascii="Aptos" w:eastAsia="Times New Roman" w:hAnsi="Aptos" w:cs="Times New Roman"/>
          <w:sz w:val="25"/>
          <w:szCs w:val="25"/>
        </w:rPr>
        <w:t>(</w:t>
      </w:r>
      <w:r w:rsidRPr="000370FF">
        <w:rPr>
          <w:rFonts w:ascii="Aptos" w:eastAsia="Times New Roman" w:hAnsi="Aptos" w:cs="Times New Roman"/>
          <w:i/>
          <w:iCs/>
          <w:sz w:val="25"/>
          <w:szCs w:val="25"/>
        </w:rPr>
        <w:t>Hearing Request</w:t>
      </w:r>
      <w:r w:rsidRPr="000370FF">
        <w:rPr>
          <w:rFonts w:ascii="Aptos" w:eastAsia="Times New Roman" w:hAnsi="Aptos" w:cs="Times New Roman"/>
          <w:sz w:val="25"/>
          <w:szCs w:val="25"/>
        </w:rPr>
        <w:t xml:space="preserve">; </w:t>
      </w:r>
      <w:r w:rsidRPr="000370FF">
        <w:rPr>
          <w:rFonts w:ascii="Aptos" w:eastAsia="Times New Roman" w:hAnsi="Aptos" w:cs="Times New Roman"/>
          <w:i/>
          <w:iCs/>
          <w:sz w:val="25"/>
          <w:szCs w:val="25"/>
        </w:rPr>
        <w:t>Quincy Motion</w:t>
      </w:r>
      <w:r w:rsidRPr="000370FF">
        <w:rPr>
          <w:rFonts w:ascii="Aptos" w:eastAsia="Times New Roman" w:hAnsi="Aptos" w:cs="Times New Roman"/>
          <w:sz w:val="25"/>
          <w:szCs w:val="25"/>
        </w:rPr>
        <w:t>)</w:t>
      </w:r>
      <w:r w:rsidR="00461FD8" w:rsidRPr="000370FF">
        <w:rPr>
          <w:rFonts w:ascii="Aptos" w:eastAsia="Times New Roman" w:hAnsi="Aptos" w:cs="Times New Roman"/>
          <w:sz w:val="25"/>
          <w:szCs w:val="25"/>
        </w:rPr>
        <w:t>.</w:t>
      </w:r>
    </w:p>
    <w:p w14:paraId="7AAFA47F" w14:textId="77777777" w:rsidR="00DA78B3" w:rsidRPr="000370FF" w:rsidRDefault="00DA78B3" w:rsidP="00DA78B3">
      <w:pPr>
        <w:pStyle w:val="ListParagraph"/>
        <w:rPr>
          <w:rFonts w:ascii="Aptos" w:eastAsia="Times New Roman" w:hAnsi="Aptos" w:cs="Times New Roman"/>
          <w:sz w:val="25"/>
          <w:szCs w:val="25"/>
        </w:rPr>
      </w:pPr>
    </w:p>
    <w:p w14:paraId="3F469C31" w14:textId="13FC1564" w:rsidR="00DA78B3" w:rsidRPr="000370FF" w:rsidRDefault="00DA78B3" w:rsidP="00DA78B3">
      <w:pPr>
        <w:pStyle w:val="ListParagraph"/>
        <w:numPr>
          <w:ilvl w:val="0"/>
          <w:numId w:val="11"/>
        </w:numPr>
        <w:ind w:left="360"/>
        <w:rPr>
          <w:rFonts w:ascii="Aptos" w:eastAsia="Times New Roman" w:hAnsi="Aptos" w:cs="Times New Roman"/>
          <w:sz w:val="25"/>
          <w:szCs w:val="25"/>
        </w:rPr>
      </w:pPr>
      <w:r w:rsidRPr="000370FF">
        <w:rPr>
          <w:rFonts w:ascii="Aptos" w:eastAsia="Times New Roman" w:hAnsi="Aptos" w:cs="Times New Roman"/>
          <w:sz w:val="25"/>
          <w:szCs w:val="25"/>
        </w:rPr>
        <w:t>At the time of Student’s incarceration, he had not yet graduated from high school or received his high school diploma or its equivalent.  (</w:t>
      </w:r>
      <w:r w:rsidRPr="000370FF">
        <w:rPr>
          <w:rFonts w:ascii="Aptos" w:eastAsia="Times New Roman" w:hAnsi="Aptos" w:cs="Times New Roman"/>
          <w:i/>
          <w:iCs/>
          <w:sz w:val="25"/>
          <w:szCs w:val="25"/>
        </w:rPr>
        <w:t>Hearing Request</w:t>
      </w:r>
      <w:r w:rsidRPr="000370FF">
        <w:rPr>
          <w:rFonts w:ascii="Aptos" w:eastAsia="Times New Roman" w:hAnsi="Aptos" w:cs="Times New Roman"/>
          <w:sz w:val="25"/>
          <w:szCs w:val="25"/>
        </w:rPr>
        <w:t>)</w:t>
      </w:r>
      <w:r w:rsidR="00461FD8" w:rsidRPr="000370FF">
        <w:rPr>
          <w:rFonts w:ascii="Aptos" w:eastAsia="Times New Roman" w:hAnsi="Aptos" w:cs="Times New Roman"/>
          <w:sz w:val="25"/>
          <w:szCs w:val="25"/>
        </w:rPr>
        <w:t>.</w:t>
      </w:r>
    </w:p>
    <w:p w14:paraId="12E2C79D" w14:textId="77777777" w:rsidR="00DA78B3" w:rsidRPr="000370FF" w:rsidRDefault="00DA78B3" w:rsidP="00DA78B3">
      <w:pPr>
        <w:pStyle w:val="ListParagraph"/>
        <w:rPr>
          <w:rFonts w:ascii="Aptos" w:eastAsia="Times New Roman" w:hAnsi="Aptos" w:cs="Times New Roman"/>
          <w:sz w:val="25"/>
          <w:szCs w:val="25"/>
        </w:rPr>
      </w:pPr>
    </w:p>
    <w:p w14:paraId="21109446" w14:textId="48CD5839" w:rsidR="00DA78B3" w:rsidRPr="000370FF" w:rsidRDefault="00DA78B3" w:rsidP="00DA78B3">
      <w:pPr>
        <w:pStyle w:val="ListParagraph"/>
        <w:numPr>
          <w:ilvl w:val="0"/>
          <w:numId w:val="11"/>
        </w:numPr>
        <w:ind w:left="360"/>
        <w:rPr>
          <w:rFonts w:ascii="Aptos" w:eastAsia="Times New Roman" w:hAnsi="Aptos" w:cs="Times New Roman"/>
          <w:sz w:val="25"/>
          <w:szCs w:val="25"/>
        </w:rPr>
      </w:pPr>
      <w:r w:rsidRPr="000370FF">
        <w:rPr>
          <w:rFonts w:ascii="Aptos" w:eastAsia="Times New Roman" w:hAnsi="Aptos" w:cs="Times New Roman"/>
          <w:sz w:val="25"/>
          <w:szCs w:val="25"/>
        </w:rPr>
        <w:t xml:space="preserve">On March 1, 2022, Quincy un-enrolled Student from Qunicy Public Schools.  The Parties dispute if Quincy followed the requirements of M.G.L. c. 76 §18 </w:t>
      </w:r>
      <w:proofErr w:type="gramStart"/>
      <w:r w:rsidRPr="000370FF">
        <w:rPr>
          <w:rFonts w:ascii="Aptos" w:eastAsia="Times New Roman" w:hAnsi="Aptos" w:cs="Times New Roman"/>
          <w:sz w:val="25"/>
          <w:szCs w:val="25"/>
        </w:rPr>
        <w:t>with regard to</w:t>
      </w:r>
      <w:proofErr w:type="gramEnd"/>
      <w:r w:rsidRPr="000370FF">
        <w:rPr>
          <w:rFonts w:ascii="Aptos" w:eastAsia="Times New Roman" w:hAnsi="Aptos" w:cs="Times New Roman"/>
          <w:sz w:val="25"/>
          <w:szCs w:val="25"/>
        </w:rPr>
        <w:t xml:space="preserve"> this un-enrollment.  (</w:t>
      </w:r>
      <w:r w:rsidRPr="000370FF">
        <w:rPr>
          <w:rFonts w:ascii="Aptos" w:eastAsia="Times New Roman" w:hAnsi="Aptos" w:cs="Times New Roman"/>
          <w:i/>
          <w:iCs/>
          <w:sz w:val="25"/>
          <w:szCs w:val="25"/>
        </w:rPr>
        <w:t>Hearing Request; Quincy Motion</w:t>
      </w:r>
      <w:r w:rsidRPr="000370FF">
        <w:rPr>
          <w:rFonts w:ascii="Aptos" w:eastAsia="Times New Roman" w:hAnsi="Aptos" w:cs="Times New Roman"/>
          <w:sz w:val="25"/>
          <w:szCs w:val="25"/>
        </w:rPr>
        <w:t>)</w:t>
      </w:r>
      <w:r w:rsidR="00461FD8" w:rsidRPr="000370FF">
        <w:rPr>
          <w:rFonts w:ascii="Aptos" w:eastAsia="Times New Roman" w:hAnsi="Aptos" w:cs="Times New Roman"/>
          <w:sz w:val="25"/>
          <w:szCs w:val="25"/>
        </w:rPr>
        <w:t>.</w:t>
      </w:r>
    </w:p>
    <w:p w14:paraId="1C80E71B" w14:textId="77777777" w:rsidR="00DA78B3" w:rsidRPr="000370FF" w:rsidRDefault="00DA78B3" w:rsidP="00143527">
      <w:pPr>
        <w:rPr>
          <w:rFonts w:ascii="Aptos" w:eastAsia="Times New Roman" w:hAnsi="Aptos" w:cs="Times New Roman"/>
          <w:sz w:val="25"/>
          <w:szCs w:val="25"/>
        </w:rPr>
      </w:pPr>
    </w:p>
    <w:p w14:paraId="182EBF58" w14:textId="3C757C3A" w:rsidR="00DA78B3" w:rsidRPr="000370FF" w:rsidRDefault="00DA78B3" w:rsidP="00DA78B3">
      <w:pPr>
        <w:pStyle w:val="ListParagraph"/>
        <w:numPr>
          <w:ilvl w:val="0"/>
          <w:numId w:val="11"/>
        </w:numPr>
        <w:ind w:left="360"/>
        <w:rPr>
          <w:rFonts w:ascii="Aptos" w:eastAsia="Times New Roman" w:hAnsi="Aptos" w:cs="Times New Roman"/>
          <w:sz w:val="25"/>
          <w:szCs w:val="25"/>
        </w:rPr>
      </w:pPr>
      <w:r w:rsidRPr="000370FF">
        <w:rPr>
          <w:rFonts w:ascii="Aptos" w:eastAsia="Times New Roman" w:hAnsi="Aptos" w:cs="Times New Roman"/>
          <w:sz w:val="25"/>
          <w:szCs w:val="25"/>
        </w:rPr>
        <w:t>On September 29, 2022, Student’s attorneys contacted Quincy to request educational services, a special education evaluation and to obtain more information regarding Student’s un</w:t>
      </w:r>
      <w:r w:rsidR="00C206A5" w:rsidRPr="000370FF">
        <w:rPr>
          <w:rFonts w:ascii="Aptos" w:eastAsia="Times New Roman" w:hAnsi="Aptos" w:cs="Times New Roman"/>
          <w:sz w:val="25"/>
          <w:szCs w:val="25"/>
        </w:rPr>
        <w:t>-</w:t>
      </w:r>
      <w:r w:rsidRPr="000370FF">
        <w:rPr>
          <w:rFonts w:ascii="Aptos" w:eastAsia="Times New Roman" w:hAnsi="Aptos" w:cs="Times New Roman"/>
          <w:sz w:val="25"/>
          <w:szCs w:val="25"/>
        </w:rPr>
        <w:t xml:space="preserve">enrollment.  In response, Quincy agreed to </w:t>
      </w:r>
      <w:r w:rsidR="00F10D7A" w:rsidRPr="000370FF">
        <w:rPr>
          <w:rFonts w:ascii="Aptos" w:eastAsia="Times New Roman" w:hAnsi="Aptos" w:cs="Times New Roman"/>
          <w:sz w:val="25"/>
          <w:szCs w:val="25"/>
        </w:rPr>
        <w:t>re-</w:t>
      </w:r>
      <w:r w:rsidRPr="000370FF">
        <w:rPr>
          <w:rFonts w:ascii="Aptos" w:eastAsia="Times New Roman" w:hAnsi="Aptos" w:cs="Times New Roman"/>
          <w:sz w:val="25"/>
          <w:szCs w:val="25"/>
        </w:rPr>
        <w:t>enroll Student and conduct a special education evaluation.  A consent to evaluate was provided to Student’s attorney on October 6, 2022, and Student accept</w:t>
      </w:r>
      <w:r w:rsidR="00943E34" w:rsidRPr="000370FF">
        <w:rPr>
          <w:rFonts w:ascii="Aptos" w:eastAsia="Times New Roman" w:hAnsi="Aptos" w:cs="Times New Roman"/>
          <w:sz w:val="25"/>
          <w:szCs w:val="25"/>
        </w:rPr>
        <w:t>ed</w:t>
      </w:r>
      <w:r w:rsidRPr="000370FF">
        <w:rPr>
          <w:rFonts w:ascii="Aptos" w:eastAsia="Times New Roman" w:hAnsi="Aptos" w:cs="Times New Roman"/>
          <w:sz w:val="25"/>
          <w:szCs w:val="25"/>
        </w:rPr>
        <w:t xml:space="preserve"> the proposed evaluation on October 18, 2022.  (</w:t>
      </w:r>
      <w:r w:rsidRPr="000370FF">
        <w:rPr>
          <w:rFonts w:ascii="Aptos" w:eastAsia="Times New Roman" w:hAnsi="Aptos" w:cs="Times New Roman"/>
          <w:i/>
          <w:iCs/>
          <w:sz w:val="25"/>
          <w:szCs w:val="25"/>
        </w:rPr>
        <w:t>Hearing Request</w:t>
      </w:r>
      <w:r w:rsidRPr="000370FF">
        <w:rPr>
          <w:rFonts w:ascii="Aptos" w:eastAsia="Times New Roman" w:hAnsi="Aptos" w:cs="Times New Roman"/>
          <w:sz w:val="25"/>
          <w:szCs w:val="25"/>
        </w:rPr>
        <w:t>)</w:t>
      </w:r>
      <w:r w:rsidR="00461FD8" w:rsidRPr="000370FF">
        <w:rPr>
          <w:rFonts w:ascii="Aptos" w:eastAsia="Times New Roman" w:hAnsi="Aptos" w:cs="Times New Roman"/>
          <w:sz w:val="25"/>
          <w:szCs w:val="25"/>
        </w:rPr>
        <w:t>.</w:t>
      </w:r>
    </w:p>
    <w:p w14:paraId="546F3FDA" w14:textId="77777777" w:rsidR="00DA78B3" w:rsidRPr="000370FF" w:rsidRDefault="00DA78B3" w:rsidP="00DA78B3">
      <w:pPr>
        <w:pStyle w:val="ListParagraph"/>
        <w:rPr>
          <w:rFonts w:ascii="Aptos" w:eastAsia="Times New Roman" w:hAnsi="Aptos" w:cs="Times New Roman"/>
          <w:sz w:val="25"/>
          <w:szCs w:val="25"/>
        </w:rPr>
      </w:pPr>
    </w:p>
    <w:p w14:paraId="4AF16077" w14:textId="50BF1084" w:rsidR="00DA78B3" w:rsidRPr="000370FF" w:rsidRDefault="00DA78B3" w:rsidP="00DA78B3">
      <w:pPr>
        <w:pStyle w:val="ListParagraph"/>
        <w:numPr>
          <w:ilvl w:val="0"/>
          <w:numId w:val="11"/>
        </w:numPr>
        <w:ind w:left="360"/>
        <w:rPr>
          <w:rFonts w:ascii="Aptos" w:eastAsia="Times New Roman" w:hAnsi="Aptos" w:cs="Times New Roman"/>
          <w:sz w:val="25"/>
          <w:szCs w:val="25"/>
        </w:rPr>
      </w:pPr>
      <w:r w:rsidRPr="000370FF">
        <w:rPr>
          <w:rFonts w:ascii="Aptos" w:eastAsia="Times New Roman" w:hAnsi="Aptos" w:cs="Times New Roman"/>
          <w:sz w:val="25"/>
          <w:szCs w:val="25"/>
        </w:rPr>
        <w:t xml:space="preserve">Commencing in November 2022, Quincy provided Student with access to online credit recovery courses using the </w:t>
      </w:r>
      <w:proofErr w:type="spellStart"/>
      <w:r w:rsidRPr="000370FF">
        <w:rPr>
          <w:rFonts w:ascii="Aptos" w:eastAsia="Times New Roman" w:hAnsi="Aptos" w:cs="Times New Roman"/>
          <w:sz w:val="25"/>
          <w:szCs w:val="25"/>
        </w:rPr>
        <w:t>Acellus</w:t>
      </w:r>
      <w:proofErr w:type="spellEnd"/>
      <w:r w:rsidRPr="000370FF">
        <w:rPr>
          <w:rFonts w:ascii="Aptos" w:eastAsia="Times New Roman" w:hAnsi="Aptos" w:cs="Times New Roman"/>
          <w:sz w:val="25"/>
          <w:szCs w:val="25"/>
        </w:rPr>
        <w:t xml:space="preserve"> program</w:t>
      </w:r>
      <w:r w:rsidR="000A0719" w:rsidRPr="000370FF">
        <w:rPr>
          <w:rFonts w:ascii="Aptos" w:eastAsia="Times New Roman" w:hAnsi="Aptos" w:cs="Times New Roman"/>
          <w:sz w:val="25"/>
          <w:szCs w:val="25"/>
        </w:rPr>
        <w:t xml:space="preserve"> (“</w:t>
      </w:r>
      <w:proofErr w:type="spellStart"/>
      <w:r w:rsidR="000A0719" w:rsidRPr="000370FF">
        <w:rPr>
          <w:rFonts w:ascii="Aptos" w:eastAsia="Times New Roman" w:hAnsi="Aptos" w:cs="Times New Roman"/>
          <w:sz w:val="25"/>
          <w:szCs w:val="25"/>
        </w:rPr>
        <w:t>Acellus</w:t>
      </w:r>
      <w:proofErr w:type="spellEnd"/>
      <w:r w:rsidR="000A0719" w:rsidRPr="000370FF">
        <w:rPr>
          <w:rFonts w:ascii="Aptos" w:eastAsia="Times New Roman" w:hAnsi="Aptos" w:cs="Times New Roman"/>
          <w:sz w:val="25"/>
          <w:szCs w:val="25"/>
        </w:rPr>
        <w:t>”)</w:t>
      </w:r>
      <w:r w:rsidR="00D00144" w:rsidRPr="000370FF">
        <w:rPr>
          <w:rFonts w:ascii="Aptos" w:eastAsia="Times New Roman" w:hAnsi="Aptos" w:cs="Times New Roman"/>
          <w:sz w:val="25"/>
          <w:szCs w:val="25"/>
        </w:rPr>
        <w:t>,</w:t>
      </w:r>
      <w:r w:rsidRPr="000370FF">
        <w:rPr>
          <w:rFonts w:ascii="Aptos" w:eastAsia="Times New Roman" w:hAnsi="Aptos" w:cs="Times New Roman"/>
          <w:sz w:val="25"/>
          <w:szCs w:val="25"/>
        </w:rPr>
        <w:t xml:space="preserve"> and </w:t>
      </w:r>
      <w:r w:rsidR="00F10D7A" w:rsidRPr="000370FF">
        <w:rPr>
          <w:rFonts w:ascii="Aptos" w:eastAsia="Times New Roman" w:hAnsi="Aptos" w:cs="Times New Roman"/>
          <w:sz w:val="25"/>
          <w:szCs w:val="25"/>
        </w:rPr>
        <w:t xml:space="preserve">he </w:t>
      </w:r>
      <w:r w:rsidRPr="000370FF">
        <w:rPr>
          <w:rFonts w:ascii="Aptos" w:eastAsia="Times New Roman" w:hAnsi="Aptos" w:cs="Times New Roman"/>
          <w:sz w:val="25"/>
          <w:szCs w:val="25"/>
        </w:rPr>
        <w:t xml:space="preserve">was enrolled in 14 courses.  </w:t>
      </w:r>
      <w:proofErr w:type="gramStart"/>
      <w:r w:rsidRPr="000370FF">
        <w:rPr>
          <w:rFonts w:ascii="Aptos" w:eastAsia="Times New Roman" w:hAnsi="Aptos" w:cs="Times New Roman"/>
          <w:sz w:val="25"/>
          <w:szCs w:val="25"/>
        </w:rPr>
        <w:t>Student’s</w:t>
      </w:r>
      <w:proofErr w:type="gramEnd"/>
      <w:r w:rsidRPr="000370FF">
        <w:rPr>
          <w:rFonts w:ascii="Aptos" w:eastAsia="Times New Roman" w:hAnsi="Aptos" w:cs="Times New Roman"/>
          <w:sz w:val="25"/>
          <w:szCs w:val="25"/>
        </w:rPr>
        <w:t xml:space="preserve"> access to </w:t>
      </w:r>
      <w:proofErr w:type="spellStart"/>
      <w:r w:rsidRPr="000370FF">
        <w:rPr>
          <w:rFonts w:ascii="Aptos" w:eastAsia="Times New Roman" w:hAnsi="Aptos" w:cs="Times New Roman"/>
          <w:sz w:val="25"/>
          <w:szCs w:val="25"/>
        </w:rPr>
        <w:t>Acellus</w:t>
      </w:r>
      <w:proofErr w:type="spellEnd"/>
      <w:r w:rsidRPr="000370FF">
        <w:rPr>
          <w:rFonts w:ascii="Aptos" w:eastAsia="Times New Roman" w:hAnsi="Aptos" w:cs="Times New Roman"/>
          <w:sz w:val="25"/>
          <w:szCs w:val="25"/>
        </w:rPr>
        <w:t xml:space="preserve"> was increasingly limited and it did not involve any live instruction.  The </w:t>
      </w:r>
      <w:r w:rsidR="00F30A6F" w:rsidRPr="000370FF">
        <w:rPr>
          <w:rFonts w:ascii="Aptos" w:eastAsia="Times New Roman" w:hAnsi="Aptos" w:cs="Times New Roman"/>
          <w:sz w:val="25"/>
          <w:szCs w:val="25"/>
        </w:rPr>
        <w:t>P</w:t>
      </w:r>
      <w:r w:rsidRPr="000370FF">
        <w:rPr>
          <w:rFonts w:ascii="Aptos" w:eastAsia="Times New Roman" w:hAnsi="Aptos" w:cs="Times New Roman"/>
          <w:sz w:val="25"/>
          <w:szCs w:val="25"/>
        </w:rPr>
        <w:t xml:space="preserve">arties dispute the amount of in-person support Student was given to set up and navigate </w:t>
      </w:r>
      <w:proofErr w:type="spellStart"/>
      <w:r w:rsidRPr="000370FF">
        <w:rPr>
          <w:rFonts w:ascii="Aptos" w:eastAsia="Times New Roman" w:hAnsi="Aptos" w:cs="Times New Roman"/>
          <w:sz w:val="25"/>
          <w:szCs w:val="25"/>
        </w:rPr>
        <w:t>Acellus</w:t>
      </w:r>
      <w:proofErr w:type="spellEnd"/>
      <w:r w:rsidRPr="000370FF">
        <w:rPr>
          <w:rFonts w:ascii="Aptos" w:eastAsia="Times New Roman" w:hAnsi="Aptos" w:cs="Times New Roman"/>
          <w:sz w:val="25"/>
          <w:szCs w:val="25"/>
        </w:rPr>
        <w:t>.  The</w:t>
      </w:r>
      <w:r w:rsidR="00F30A6F" w:rsidRPr="000370FF">
        <w:rPr>
          <w:rFonts w:ascii="Aptos" w:eastAsia="Times New Roman" w:hAnsi="Aptos" w:cs="Times New Roman"/>
          <w:sz w:val="25"/>
          <w:szCs w:val="25"/>
        </w:rPr>
        <w:t>y</w:t>
      </w:r>
      <w:r w:rsidRPr="000370FF">
        <w:rPr>
          <w:rFonts w:ascii="Aptos" w:eastAsia="Times New Roman" w:hAnsi="Aptos" w:cs="Times New Roman"/>
          <w:sz w:val="25"/>
          <w:szCs w:val="25"/>
        </w:rPr>
        <w:t xml:space="preserve"> </w:t>
      </w:r>
      <w:r w:rsidR="00F30A6F" w:rsidRPr="000370FF">
        <w:rPr>
          <w:rFonts w:ascii="Aptos" w:eastAsia="Times New Roman" w:hAnsi="Aptos" w:cs="Times New Roman"/>
          <w:sz w:val="25"/>
          <w:szCs w:val="25"/>
        </w:rPr>
        <w:t xml:space="preserve">further </w:t>
      </w:r>
      <w:r w:rsidRPr="000370FF">
        <w:rPr>
          <w:rFonts w:ascii="Aptos" w:eastAsia="Times New Roman" w:hAnsi="Aptos" w:cs="Times New Roman"/>
          <w:sz w:val="25"/>
          <w:szCs w:val="25"/>
        </w:rPr>
        <w:t xml:space="preserve">provide differing accounts of Student’s schedule with </w:t>
      </w:r>
      <w:proofErr w:type="spellStart"/>
      <w:r w:rsidRPr="000370FF">
        <w:rPr>
          <w:rFonts w:ascii="Aptos" w:eastAsia="Times New Roman" w:hAnsi="Aptos" w:cs="Times New Roman"/>
          <w:sz w:val="25"/>
          <w:szCs w:val="25"/>
        </w:rPr>
        <w:t>Acellus</w:t>
      </w:r>
      <w:proofErr w:type="spellEnd"/>
      <w:r w:rsidRPr="000370FF">
        <w:rPr>
          <w:rFonts w:ascii="Aptos" w:eastAsia="Times New Roman" w:hAnsi="Aptos" w:cs="Times New Roman"/>
          <w:sz w:val="25"/>
          <w:szCs w:val="25"/>
        </w:rPr>
        <w:t xml:space="preserve"> between November 2022 and December 2023.  </w:t>
      </w:r>
      <w:proofErr w:type="gramStart"/>
      <w:r w:rsidRPr="000370FF">
        <w:rPr>
          <w:rFonts w:ascii="Aptos" w:eastAsia="Times New Roman" w:hAnsi="Aptos" w:cs="Times New Roman"/>
          <w:sz w:val="25"/>
          <w:szCs w:val="25"/>
        </w:rPr>
        <w:t>Student</w:t>
      </w:r>
      <w:r w:rsidR="0042625B" w:rsidRPr="000370FF">
        <w:rPr>
          <w:rFonts w:ascii="Aptos" w:eastAsia="Times New Roman" w:hAnsi="Aptos" w:cs="Times New Roman"/>
          <w:sz w:val="25"/>
          <w:szCs w:val="25"/>
        </w:rPr>
        <w:t>’s</w:t>
      </w:r>
      <w:proofErr w:type="gramEnd"/>
      <w:r w:rsidR="0042625B" w:rsidRPr="000370FF">
        <w:rPr>
          <w:rFonts w:ascii="Aptos" w:eastAsia="Times New Roman" w:hAnsi="Aptos" w:cs="Times New Roman"/>
          <w:sz w:val="25"/>
          <w:szCs w:val="25"/>
        </w:rPr>
        <w:t xml:space="preserve"> access </w:t>
      </w:r>
      <w:r w:rsidR="00202F9E" w:rsidRPr="000370FF">
        <w:rPr>
          <w:rFonts w:ascii="Aptos" w:eastAsia="Times New Roman" w:hAnsi="Aptos" w:cs="Times New Roman"/>
          <w:sz w:val="25"/>
          <w:szCs w:val="25"/>
        </w:rPr>
        <w:t xml:space="preserve">varied </w:t>
      </w:r>
      <w:r w:rsidRPr="000370FF">
        <w:rPr>
          <w:rFonts w:ascii="Aptos" w:eastAsia="Times New Roman" w:hAnsi="Aptos" w:cs="Times New Roman"/>
          <w:sz w:val="25"/>
          <w:szCs w:val="25"/>
        </w:rPr>
        <w:t xml:space="preserve">from between 1 to 5 </w:t>
      </w:r>
      <w:r w:rsidR="00A845E9" w:rsidRPr="000370FF">
        <w:rPr>
          <w:rFonts w:ascii="Aptos" w:eastAsia="Times New Roman" w:hAnsi="Aptos" w:cs="Times New Roman"/>
          <w:sz w:val="25"/>
          <w:szCs w:val="25"/>
        </w:rPr>
        <w:t xml:space="preserve">one to two hour sessions per week.  </w:t>
      </w:r>
      <w:r w:rsidRPr="000370FF">
        <w:rPr>
          <w:rFonts w:ascii="Aptos" w:eastAsia="Times New Roman" w:hAnsi="Aptos" w:cs="Times New Roman"/>
          <w:sz w:val="25"/>
          <w:szCs w:val="25"/>
        </w:rPr>
        <w:t xml:space="preserve">The </w:t>
      </w:r>
      <w:r w:rsidR="00D464F0" w:rsidRPr="000370FF">
        <w:rPr>
          <w:rFonts w:ascii="Aptos" w:eastAsia="Times New Roman" w:hAnsi="Aptos" w:cs="Times New Roman"/>
          <w:sz w:val="25"/>
          <w:szCs w:val="25"/>
        </w:rPr>
        <w:t>P</w:t>
      </w:r>
      <w:r w:rsidRPr="000370FF">
        <w:rPr>
          <w:rFonts w:ascii="Aptos" w:eastAsia="Times New Roman" w:hAnsi="Aptos" w:cs="Times New Roman"/>
          <w:sz w:val="25"/>
          <w:szCs w:val="25"/>
        </w:rPr>
        <w:t xml:space="preserve">arties also dispute the reason for </w:t>
      </w:r>
      <w:r w:rsidR="00202F9E" w:rsidRPr="000370FF">
        <w:rPr>
          <w:rFonts w:ascii="Aptos" w:eastAsia="Times New Roman" w:hAnsi="Aptos" w:cs="Times New Roman"/>
          <w:sz w:val="25"/>
          <w:szCs w:val="25"/>
        </w:rPr>
        <w:t xml:space="preserve">any reduction in Student’s access to </w:t>
      </w:r>
      <w:proofErr w:type="spellStart"/>
      <w:r w:rsidR="00202F9E" w:rsidRPr="000370FF">
        <w:rPr>
          <w:rFonts w:ascii="Aptos" w:eastAsia="Times New Roman" w:hAnsi="Aptos" w:cs="Times New Roman"/>
          <w:sz w:val="25"/>
          <w:szCs w:val="25"/>
        </w:rPr>
        <w:t>Acellus</w:t>
      </w:r>
      <w:proofErr w:type="spellEnd"/>
      <w:r w:rsidRPr="000370FF">
        <w:rPr>
          <w:rFonts w:ascii="Aptos" w:eastAsia="Times New Roman" w:hAnsi="Aptos" w:cs="Times New Roman"/>
          <w:sz w:val="25"/>
          <w:szCs w:val="25"/>
        </w:rPr>
        <w:t>.  Additionally, regular sessions were often cancelled.  (</w:t>
      </w:r>
      <w:r w:rsidRPr="000370FF">
        <w:rPr>
          <w:rFonts w:ascii="Aptos" w:eastAsia="Times New Roman" w:hAnsi="Aptos" w:cs="Times New Roman"/>
          <w:i/>
          <w:iCs/>
          <w:sz w:val="25"/>
          <w:szCs w:val="25"/>
        </w:rPr>
        <w:t>Hearing Request</w:t>
      </w:r>
      <w:r w:rsidRPr="000370FF">
        <w:rPr>
          <w:rFonts w:ascii="Aptos" w:eastAsia="Times New Roman" w:hAnsi="Aptos" w:cs="Times New Roman"/>
          <w:sz w:val="25"/>
          <w:szCs w:val="25"/>
        </w:rPr>
        <w:t xml:space="preserve">; </w:t>
      </w:r>
      <w:r w:rsidRPr="000370FF">
        <w:rPr>
          <w:rFonts w:ascii="Aptos" w:eastAsia="Times New Roman" w:hAnsi="Aptos" w:cs="Times New Roman"/>
          <w:i/>
          <w:iCs/>
          <w:sz w:val="25"/>
          <w:szCs w:val="25"/>
        </w:rPr>
        <w:t>DESE Motion</w:t>
      </w:r>
      <w:r w:rsidRPr="000370FF">
        <w:rPr>
          <w:rFonts w:ascii="Aptos" w:eastAsia="Times New Roman" w:hAnsi="Aptos" w:cs="Times New Roman"/>
          <w:sz w:val="25"/>
          <w:szCs w:val="25"/>
        </w:rPr>
        <w:t xml:space="preserve">; </w:t>
      </w:r>
      <w:r w:rsidRPr="000370FF">
        <w:rPr>
          <w:rFonts w:ascii="Aptos" w:eastAsia="Times New Roman" w:hAnsi="Aptos" w:cs="Times New Roman"/>
          <w:i/>
          <w:iCs/>
          <w:sz w:val="25"/>
          <w:szCs w:val="25"/>
        </w:rPr>
        <w:t>Quincy Motion</w:t>
      </w:r>
      <w:r w:rsidRPr="000370FF">
        <w:rPr>
          <w:rFonts w:ascii="Aptos" w:eastAsia="Times New Roman" w:hAnsi="Aptos" w:cs="Times New Roman"/>
          <w:sz w:val="25"/>
          <w:szCs w:val="25"/>
        </w:rPr>
        <w:t>)</w:t>
      </w:r>
      <w:r w:rsidR="00461FD8" w:rsidRPr="000370FF">
        <w:rPr>
          <w:rFonts w:ascii="Aptos" w:eastAsia="Times New Roman" w:hAnsi="Aptos" w:cs="Times New Roman"/>
          <w:sz w:val="25"/>
          <w:szCs w:val="25"/>
        </w:rPr>
        <w:t>.</w:t>
      </w:r>
    </w:p>
    <w:p w14:paraId="290EA001" w14:textId="77777777" w:rsidR="00DA78B3" w:rsidRPr="000370FF" w:rsidRDefault="00DA78B3" w:rsidP="00DA78B3">
      <w:pPr>
        <w:pStyle w:val="ListParagraph"/>
        <w:rPr>
          <w:rFonts w:ascii="Aptos" w:eastAsia="Times New Roman" w:hAnsi="Aptos" w:cs="Times New Roman"/>
          <w:sz w:val="25"/>
          <w:szCs w:val="25"/>
        </w:rPr>
      </w:pPr>
    </w:p>
    <w:p w14:paraId="311D19FC" w14:textId="58313581" w:rsidR="00DA78B3" w:rsidRPr="000370FF" w:rsidRDefault="00DA78B3" w:rsidP="00DA78B3">
      <w:pPr>
        <w:pStyle w:val="ListParagraph"/>
        <w:numPr>
          <w:ilvl w:val="0"/>
          <w:numId w:val="11"/>
        </w:numPr>
        <w:ind w:left="360"/>
        <w:rPr>
          <w:rFonts w:ascii="Aptos" w:eastAsia="Times New Roman" w:hAnsi="Aptos" w:cs="Times New Roman"/>
          <w:sz w:val="25"/>
          <w:szCs w:val="25"/>
        </w:rPr>
      </w:pPr>
      <w:r w:rsidRPr="000370FF">
        <w:rPr>
          <w:rFonts w:ascii="Aptos" w:eastAsia="Times New Roman" w:hAnsi="Aptos" w:cs="Times New Roman"/>
          <w:sz w:val="25"/>
          <w:szCs w:val="25"/>
        </w:rPr>
        <w:t>On December 12, 2022, a Team meeting was held to review the results of Student’s special education evaluation</w:t>
      </w:r>
      <w:r w:rsidR="00543CC1" w:rsidRPr="000370FF">
        <w:rPr>
          <w:rFonts w:ascii="Aptos" w:eastAsia="Times New Roman" w:hAnsi="Aptos" w:cs="Times New Roman"/>
          <w:sz w:val="25"/>
          <w:szCs w:val="25"/>
        </w:rPr>
        <w:t xml:space="preserve"> and determine eligibility for special education services</w:t>
      </w:r>
      <w:r w:rsidRPr="000370FF">
        <w:rPr>
          <w:rFonts w:ascii="Aptos" w:eastAsia="Times New Roman" w:hAnsi="Aptos" w:cs="Times New Roman"/>
          <w:sz w:val="25"/>
          <w:szCs w:val="25"/>
        </w:rPr>
        <w:t>.  Student was found eligible</w:t>
      </w:r>
      <w:r w:rsidR="00543CC1" w:rsidRPr="000370FF">
        <w:rPr>
          <w:rFonts w:ascii="Aptos" w:eastAsia="Times New Roman" w:hAnsi="Aptos" w:cs="Times New Roman"/>
          <w:sz w:val="25"/>
          <w:szCs w:val="25"/>
        </w:rPr>
        <w:t xml:space="preserve">, </w:t>
      </w:r>
      <w:r w:rsidRPr="000370FF">
        <w:rPr>
          <w:rFonts w:ascii="Aptos" w:eastAsia="Times New Roman" w:hAnsi="Aptos" w:cs="Times New Roman"/>
          <w:sz w:val="25"/>
          <w:szCs w:val="25"/>
        </w:rPr>
        <w:t>and the Team proposed the 22-23 IEP</w:t>
      </w:r>
      <w:r w:rsidRPr="000370FF">
        <w:rPr>
          <w:rStyle w:val="FootnoteReference"/>
          <w:rFonts w:ascii="Aptos" w:eastAsia="Times New Roman" w:hAnsi="Aptos" w:cs="Times New Roman"/>
          <w:sz w:val="25"/>
          <w:szCs w:val="25"/>
        </w:rPr>
        <w:footnoteReference w:id="11"/>
      </w:r>
      <w:r w:rsidR="004F38F5" w:rsidRPr="000370FF">
        <w:rPr>
          <w:rFonts w:ascii="Aptos" w:eastAsia="Times New Roman" w:hAnsi="Aptos" w:cs="Times New Roman"/>
          <w:sz w:val="25"/>
          <w:szCs w:val="25"/>
        </w:rPr>
        <w:t xml:space="preserve"> calling for </w:t>
      </w:r>
      <w:r w:rsidRPr="000370FF">
        <w:rPr>
          <w:rFonts w:ascii="Aptos" w:eastAsia="Times New Roman" w:hAnsi="Aptos" w:cs="Times New Roman"/>
          <w:sz w:val="25"/>
          <w:szCs w:val="25"/>
        </w:rPr>
        <w:t xml:space="preserve">Student </w:t>
      </w:r>
      <w:r w:rsidR="004F38F5" w:rsidRPr="000370FF">
        <w:rPr>
          <w:rFonts w:ascii="Aptos" w:eastAsia="Times New Roman" w:hAnsi="Aptos" w:cs="Times New Roman"/>
          <w:sz w:val="25"/>
          <w:szCs w:val="25"/>
        </w:rPr>
        <w:t xml:space="preserve">to receive </w:t>
      </w:r>
      <w:r w:rsidRPr="000370FF">
        <w:rPr>
          <w:rFonts w:ascii="Aptos" w:eastAsia="Times New Roman" w:hAnsi="Aptos" w:cs="Times New Roman"/>
          <w:sz w:val="25"/>
          <w:szCs w:val="25"/>
        </w:rPr>
        <w:t>2 hours</w:t>
      </w:r>
      <w:r w:rsidR="0020149D" w:rsidRPr="000370FF">
        <w:rPr>
          <w:rFonts w:ascii="Aptos" w:eastAsia="Times New Roman" w:hAnsi="Aptos" w:cs="Times New Roman"/>
          <w:sz w:val="25"/>
          <w:szCs w:val="25"/>
        </w:rPr>
        <w:t xml:space="preserve"> per </w:t>
      </w:r>
      <w:r w:rsidRPr="000370FF">
        <w:rPr>
          <w:rFonts w:ascii="Aptos" w:eastAsia="Times New Roman" w:hAnsi="Aptos" w:cs="Times New Roman"/>
          <w:sz w:val="25"/>
          <w:szCs w:val="25"/>
        </w:rPr>
        <w:t>week of individualized instruction in Math by a special education math teacher</w:t>
      </w:r>
      <w:r w:rsidR="00D464F0" w:rsidRPr="000370FF">
        <w:rPr>
          <w:rFonts w:ascii="Aptos" w:eastAsia="Times New Roman" w:hAnsi="Aptos" w:cs="Times New Roman"/>
          <w:sz w:val="25"/>
          <w:szCs w:val="25"/>
        </w:rPr>
        <w:t xml:space="preserve"> during the academic year</w:t>
      </w:r>
      <w:r w:rsidRPr="000370FF">
        <w:rPr>
          <w:rFonts w:ascii="Aptos" w:eastAsia="Times New Roman" w:hAnsi="Aptos" w:cs="Times New Roman"/>
          <w:sz w:val="25"/>
          <w:szCs w:val="25"/>
        </w:rPr>
        <w:t>.  (</w:t>
      </w:r>
      <w:r w:rsidRPr="000370FF">
        <w:rPr>
          <w:rFonts w:ascii="Aptos" w:eastAsia="Times New Roman" w:hAnsi="Aptos" w:cs="Times New Roman"/>
          <w:i/>
          <w:iCs/>
          <w:sz w:val="25"/>
          <w:szCs w:val="25"/>
        </w:rPr>
        <w:t>Hearing Request</w:t>
      </w:r>
      <w:r w:rsidRPr="000370FF">
        <w:rPr>
          <w:rFonts w:ascii="Aptos" w:eastAsia="Times New Roman" w:hAnsi="Aptos" w:cs="Times New Roman"/>
          <w:sz w:val="25"/>
          <w:szCs w:val="25"/>
        </w:rPr>
        <w:t xml:space="preserve">; </w:t>
      </w:r>
      <w:r w:rsidRPr="000370FF">
        <w:rPr>
          <w:rFonts w:ascii="Aptos" w:eastAsia="Times New Roman" w:hAnsi="Aptos" w:cs="Times New Roman"/>
          <w:i/>
          <w:iCs/>
          <w:sz w:val="25"/>
          <w:szCs w:val="25"/>
        </w:rPr>
        <w:t>DESE Motion</w:t>
      </w:r>
      <w:r w:rsidRPr="000370FF">
        <w:rPr>
          <w:rFonts w:ascii="Aptos" w:eastAsia="Times New Roman" w:hAnsi="Aptos" w:cs="Times New Roman"/>
          <w:sz w:val="25"/>
          <w:szCs w:val="25"/>
        </w:rPr>
        <w:t xml:space="preserve">; </w:t>
      </w:r>
      <w:r w:rsidRPr="000370FF">
        <w:rPr>
          <w:rFonts w:ascii="Aptos" w:eastAsia="Times New Roman" w:hAnsi="Aptos" w:cs="Times New Roman"/>
          <w:i/>
          <w:iCs/>
          <w:sz w:val="25"/>
          <w:szCs w:val="25"/>
        </w:rPr>
        <w:t>Quincy Motion</w:t>
      </w:r>
      <w:r w:rsidRPr="000370FF">
        <w:rPr>
          <w:rFonts w:ascii="Aptos" w:eastAsia="Times New Roman" w:hAnsi="Aptos" w:cs="Times New Roman"/>
          <w:sz w:val="25"/>
          <w:szCs w:val="25"/>
        </w:rPr>
        <w:t>)</w:t>
      </w:r>
      <w:r w:rsidR="00461FD8" w:rsidRPr="000370FF">
        <w:rPr>
          <w:rFonts w:ascii="Aptos" w:eastAsia="Times New Roman" w:hAnsi="Aptos" w:cs="Times New Roman"/>
          <w:sz w:val="25"/>
          <w:szCs w:val="25"/>
        </w:rPr>
        <w:t>.</w:t>
      </w:r>
    </w:p>
    <w:p w14:paraId="447AA74C" w14:textId="77777777" w:rsidR="00DA78B3" w:rsidRPr="000370FF" w:rsidRDefault="00DA78B3" w:rsidP="00DA78B3">
      <w:pPr>
        <w:pStyle w:val="ListParagraph"/>
        <w:rPr>
          <w:rFonts w:ascii="Aptos" w:eastAsia="Times New Roman" w:hAnsi="Aptos" w:cs="Times New Roman"/>
          <w:sz w:val="25"/>
          <w:szCs w:val="25"/>
        </w:rPr>
      </w:pPr>
    </w:p>
    <w:p w14:paraId="3070E4C7" w14:textId="5343F961" w:rsidR="00DA78B3" w:rsidRPr="000370FF" w:rsidRDefault="00DA78B3" w:rsidP="00DA78B3">
      <w:pPr>
        <w:pStyle w:val="ListParagraph"/>
        <w:numPr>
          <w:ilvl w:val="0"/>
          <w:numId w:val="11"/>
        </w:numPr>
        <w:ind w:left="360"/>
        <w:rPr>
          <w:rFonts w:ascii="Aptos" w:eastAsia="Times New Roman" w:hAnsi="Aptos" w:cs="Times New Roman"/>
          <w:sz w:val="25"/>
          <w:szCs w:val="25"/>
        </w:rPr>
      </w:pPr>
      <w:r w:rsidRPr="000370FF">
        <w:rPr>
          <w:rFonts w:ascii="Aptos" w:eastAsia="Times New Roman" w:hAnsi="Aptos" w:cs="Times New Roman"/>
          <w:sz w:val="25"/>
          <w:szCs w:val="25"/>
        </w:rPr>
        <w:t xml:space="preserve">On January 3, 2023, Quincy notified SEIS that Student was found eligible for special education services, and that he wanted to attain his high school diploma </w:t>
      </w:r>
      <w:r w:rsidR="00D464F0" w:rsidRPr="000370FF">
        <w:rPr>
          <w:rFonts w:ascii="Aptos" w:eastAsia="Times New Roman" w:hAnsi="Aptos" w:cs="Times New Roman"/>
          <w:sz w:val="25"/>
          <w:szCs w:val="25"/>
        </w:rPr>
        <w:t xml:space="preserve">and </w:t>
      </w:r>
      <w:r w:rsidRPr="000370FF">
        <w:rPr>
          <w:rFonts w:ascii="Aptos" w:eastAsia="Times New Roman" w:hAnsi="Aptos" w:cs="Times New Roman"/>
          <w:sz w:val="25"/>
          <w:szCs w:val="25"/>
        </w:rPr>
        <w:t>not a high school equivalency certificate.  In response, SEIS sent Quincy a letter summarizing the SEIS program available for Student, confirmed Student was interested in receiving special education services and provided a signed consent form from Student for Quincy to share Student’s records with SEIS.  Quincy provided SEIS with a copy of the 22-23 IEP that day.  (</w:t>
      </w:r>
      <w:r w:rsidRPr="000370FF">
        <w:rPr>
          <w:rFonts w:ascii="Aptos" w:eastAsia="Times New Roman" w:hAnsi="Aptos" w:cs="Times New Roman"/>
          <w:i/>
          <w:iCs/>
          <w:sz w:val="25"/>
          <w:szCs w:val="25"/>
        </w:rPr>
        <w:t>DESE Motion</w:t>
      </w:r>
      <w:r w:rsidRPr="000370FF">
        <w:rPr>
          <w:rFonts w:ascii="Aptos" w:eastAsia="Times New Roman" w:hAnsi="Aptos" w:cs="Times New Roman"/>
          <w:sz w:val="25"/>
          <w:szCs w:val="25"/>
        </w:rPr>
        <w:t>)</w:t>
      </w:r>
      <w:r w:rsidR="00461FD8" w:rsidRPr="000370FF">
        <w:rPr>
          <w:rFonts w:ascii="Aptos" w:eastAsia="Times New Roman" w:hAnsi="Aptos" w:cs="Times New Roman"/>
          <w:sz w:val="25"/>
          <w:szCs w:val="25"/>
        </w:rPr>
        <w:t>.</w:t>
      </w:r>
    </w:p>
    <w:p w14:paraId="76057BC8" w14:textId="77777777" w:rsidR="00DA78B3" w:rsidRPr="000370FF" w:rsidRDefault="00DA78B3" w:rsidP="00DA78B3">
      <w:pPr>
        <w:pStyle w:val="ListParagraph"/>
        <w:rPr>
          <w:rFonts w:ascii="Aptos" w:eastAsia="Times New Roman" w:hAnsi="Aptos" w:cs="Times New Roman"/>
          <w:sz w:val="25"/>
          <w:szCs w:val="25"/>
        </w:rPr>
      </w:pPr>
    </w:p>
    <w:p w14:paraId="4B6AB186" w14:textId="4456EB74" w:rsidR="00DA78B3" w:rsidRPr="000370FF" w:rsidRDefault="00DA78B3" w:rsidP="00DA78B3">
      <w:pPr>
        <w:pStyle w:val="ListParagraph"/>
        <w:numPr>
          <w:ilvl w:val="0"/>
          <w:numId w:val="11"/>
        </w:numPr>
        <w:ind w:left="360"/>
        <w:rPr>
          <w:rFonts w:ascii="Aptos" w:eastAsia="Times New Roman" w:hAnsi="Aptos" w:cs="Times New Roman"/>
          <w:sz w:val="25"/>
          <w:szCs w:val="25"/>
        </w:rPr>
      </w:pPr>
      <w:r w:rsidRPr="000370FF">
        <w:rPr>
          <w:rFonts w:ascii="Aptos" w:eastAsia="Times New Roman" w:hAnsi="Aptos" w:cs="Times New Roman"/>
          <w:sz w:val="25"/>
          <w:szCs w:val="25"/>
        </w:rPr>
        <w:lastRenderedPageBreak/>
        <w:t>On January 4, 2023, Student signed and fully accepted the 22-23 IEP.</w:t>
      </w:r>
      <w:r w:rsidR="00AA2A48" w:rsidRPr="000370FF">
        <w:rPr>
          <w:rFonts w:ascii="Aptos" w:eastAsia="Times New Roman" w:hAnsi="Aptos" w:cs="Times New Roman"/>
          <w:sz w:val="25"/>
          <w:szCs w:val="25"/>
        </w:rPr>
        <w:t xml:space="preserve"> </w:t>
      </w:r>
      <w:r w:rsidRPr="000370FF">
        <w:rPr>
          <w:rFonts w:ascii="Aptos" w:eastAsia="Times New Roman" w:hAnsi="Aptos" w:cs="Times New Roman"/>
          <w:sz w:val="25"/>
          <w:szCs w:val="25"/>
        </w:rPr>
        <w:t xml:space="preserve"> (</w:t>
      </w:r>
      <w:r w:rsidRPr="000370FF">
        <w:rPr>
          <w:rFonts w:ascii="Aptos" w:eastAsia="Times New Roman" w:hAnsi="Aptos" w:cs="Times New Roman"/>
          <w:i/>
          <w:iCs/>
          <w:sz w:val="25"/>
          <w:szCs w:val="25"/>
        </w:rPr>
        <w:t>Hearing Request</w:t>
      </w:r>
      <w:r w:rsidRPr="000370FF">
        <w:rPr>
          <w:rFonts w:ascii="Aptos" w:eastAsia="Times New Roman" w:hAnsi="Aptos" w:cs="Times New Roman"/>
          <w:sz w:val="25"/>
          <w:szCs w:val="25"/>
        </w:rPr>
        <w:t xml:space="preserve">; </w:t>
      </w:r>
      <w:r w:rsidRPr="000370FF">
        <w:rPr>
          <w:rFonts w:ascii="Aptos" w:eastAsia="Times New Roman" w:hAnsi="Aptos" w:cs="Times New Roman"/>
          <w:i/>
          <w:iCs/>
          <w:sz w:val="25"/>
          <w:szCs w:val="25"/>
        </w:rPr>
        <w:t>Quincy Motion</w:t>
      </w:r>
      <w:r w:rsidRPr="000370FF">
        <w:rPr>
          <w:rFonts w:ascii="Aptos" w:eastAsia="Times New Roman" w:hAnsi="Aptos" w:cs="Times New Roman"/>
          <w:sz w:val="25"/>
          <w:szCs w:val="25"/>
        </w:rPr>
        <w:t>)</w:t>
      </w:r>
      <w:r w:rsidR="00461FD8" w:rsidRPr="000370FF">
        <w:rPr>
          <w:rFonts w:ascii="Aptos" w:eastAsia="Times New Roman" w:hAnsi="Aptos" w:cs="Times New Roman"/>
          <w:sz w:val="25"/>
          <w:szCs w:val="25"/>
        </w:rPr>
        <w:t>.</w:t>
      </w:r>
    </w:p>
    <w:p w14:paraId="572943E9" w14:textId="77777777" w:rsidR="00DA78B3" w:rsidRPr="000370FF" w:rsidRDefault="00DA78B3" w:rsidP="00DA78B3">
      <w:pPr>
        <w:pStyle w:val="ListParagraph"/>
        <w:rPr>
          <w:rFonts w:ascii="Aptos" w:eastAsia="Times New Roman" w:hAnsi="Aptos" w:cs="Times New Roman"/>
          <w:sz w:val="25"/>
          <w:szCs w:val="25"/>
        </w:rPr>
      </w:pPr>
    </w:p>
    <w:p w14:paraId="651F2080" w14:textId="30C9AFBE" w:rsidR="00DA78B3" w:rsidRPr="000370FF" w:rsidRDefault="00DA78B3" w:rsidP="00DA78B3">
      <w:pPr>
        <w:pStyle w:val="ListParagraph"/>
        <w:numPr>
          <w:ilvl w:val="0"/>
          <w:numId w:val="11"/>
        </w:numPr>
        <w:ind w:left="360"/>
        <w:rPr>
          <w:rFonts w:ascii="Aptos" w:eastAsia="Times New Roman" w:hAnsi="Aptos" w:cs="Times New Roman"/>
          <w:sz w:val="25"/>
          <w:szCs w:val="25"/>
        </w:rPr>
      </w:pPr>
      <w:r w:rsidRPr="000370FF">
        <w:rPr>
          <w:rFonts w:ascii="Aptos" w:eastAsia="Times New Roman" w:hAnsi="Aptos" w:cs="Times New Roman"/>
          <w:sz w:val="25"/>
          <w:szCs w:val="25"/>
        </w:rPr>
        <w:t>Student did not receive any of the math services called for in the 22-23 IEP until May 25, 2023.  SEIS did not identify a special education teacher to work with Student until April 28, 2023.  He only received 8 total sessions of math for the remainder of the 22-23 school year (through June 22, 2023).  (</w:t>
      </w:r>
      <w:r w:rsidRPr="000370FF">
        <w:rPr>
          <w:rFonts w:ascii="Aptos" w:eastAsia="Times New Roman" w:hAnsi="Aptos" w:cs="Times New Roman"/>
          <w:i/>
          <w:iCs/>
          <w:sz w:val="25"/>
          <w:szCs w:val="25"/>
        </w:rPr>
        <w:t>Hearing Request</w:t>
      </w:r>
      <w:r w:rsidRPr="000370FF">
        <w:rPr>
          <w:rFonts w:ascii="Aptos" w:eastAsia="Times New Roman" w:hAnsi="Aptos" w:cs="Times New Roman"/>
          <w:sz w:val="25"/>
          <w:szCs w:val="25"/>
        </w:rPr>
        <w:t xml:space="preserve">; </w:t>
      </w:r>
      <w:r w:rsidRPr="000370FF">
        <w:rPr>
          <w:rFonts w:ascii="Aptos" w:eastAsia="Times New Roman" w:hAnsi="Aptos" w:cs="Times New Roman"/>
          <w:i/>
          <w:iCs/>
          <w:sz w:val="25"/>
          <w:szCs w:val="25"/>
        </w:rPr>
        <w:t>DESE Motion</w:t>
      </w:r>
      <w:r w:rsidRPr="000370FF">
        <w:rPr>
          <w:rFonts w:ascii="Aptos" w:eastAsia="Times New Roman" w:hAnsi="Aptos" w:cs="Times New Roman"/>
          <w:sz w:val="25"/>
          <w:szCs w:val="25"/>
        </w:rPr>
        <w:t>)</w:t>
      </w:r>
      <w:r w:rsidR="00461FD8" w:rsidRPr="000370FF">
        <w:rPr>
          <w:rFonts w:ascii="Aptos" w:eastAsia="Times New Roman" w:hAnsi="Aptos" w:cs="Times New Roman"/>
          <w:sz w:val="25"/>
          <w:szCs w:val="25"/>
        </w:rPr>
        <w:t>.</w:t>
      </w:r>
    </w:p>
    <w:p w14:paraId="762ECD0D" w14:textId="77777777" w:rsidR="00DA78B3" w:rsidRPr="000370FF" w:rsidRDefault="00DA78B3" w:rsidP="00DA78B3">
      <w:pPr>
        <w:pStyle w:val="ListParagraph"/>
        <w:rPr>
          <w:rFonts w:ascii="Aptos" w:eastAsia="Times New Roman" w:hAnsi="Aptos" w:cs="Times New Roman"/>
          <w:sz w:val="25"/>
          <w:szCs w:val="25"/>
        </w:rPr>
      </w:pPr>
    </w:p>
    <w:p w14:paraId="7C7D63E7" w14:textId="1AC73FB2" w:rsidR="00DA78B3" w:rsidRPr="000370FF" w:rsidRDefault="00DA78B3" w:rsidP="00DA78B3">
      <w:pPr>
        <w:pStyle w:val="ListParagraph"/>
        <w:numPr>
          <w:ilvl w:val="0"/>
          <w:numId w:val="11"/>
        </w:numPr>
        <w:ind w:left="360"/>
        <w:rPr>
          <w:rFonts w:ascii="Aptos" w:eastAsia="Times New Roman" w:hAnsi="Aptos" w:cs="Times New Roman"/>
          <w:sz w:val="25"/>
          <w:szCs w:val="25"/>
        </w:rPr>
      </w:pPr>
      <w:r w:rsidRPr="000370FF">
        <w:rPr>
          <w:rFonts w:ascii="Aptos" w:eastAsia="Times New Roman" w:hAnsi="Aptos" w:cs="Times New Roman"/>
          <w:sz w:val="25"/>
          <w:szCs w:val="25"/>
        </w:rPr>
        <w:t>On June 23, 2023, a progress report was issued indicating Student made progress on 3 of his 5 objectives in his Math goal at that point in time.  (</w:t>
      </w:r>
      <w:r w:rsidRPr="000370FF">
        <w:rPr>
          <w:rFonts w:ascii="Aptos" w:eastAsia="Times New Roman" w:hAnsi="Aptos" w:cs="Times New Roman"/>
          <w:i/>
          <w:iCs/>
          <w:sz w:val="25"/>
          <w:szCs w:val="25"/>
        </w:rPr>
        <w:t>DESE Motion</w:t>
      </w:r>
      <w:r w:rsidRPr="000370FF">
        <w:rPr>
          <w:rFonts w:ascii="Aptos" w:eastAsia="Times New Roman" w:hAnsi="Aptos" w:cs="Times New Roman"/>
          <w:sz w:val="25"/>
          <w:szCs w:val="25"/>
        </w:rPr>
        <w:t>)</w:t>
      </w:r>
      <w:r w:rsidR="00461FD8" w:rsidRPr="000370FF">
        <w:rPr>
          <w:rFonts w:ascii="Aptos" w:eastAsia="Times New Roman" w:hAnsi="Aptos" w:cs="Times New Roman"/>
          <w:sz w:val="25"/>
          <w:szCs w:val="25"/>
        </w:rPr>
        <w:t>.</w:t>
      </w:r>
    </w:p>
    <w:p w14:paraId="716EA29B" w14:textId="77777777" w:rsidR="00DA78B3" w:rsidRPr="000370FF" w:rsidRDefault="00DA78B3" w:rsidP="00DA78B3">
      <w:pPr>
        <w:pStyle w:val="ListParagraph"/>
        <w:rPr>
          <w:rFonts w:ascii="Aptos" w:eastAsia="Times New Roman" w:hAnsi="Aptos" w:cs="Times New Roman"/>
          <w:sz w:val="25"/>
          <w:szCs w:val="25"/>
        </w:rPr>
      </w:pPr>
    </w:p>
    <w:p w14:paraId="3C6100BB" w14:textId="613F38C7" w:rsidR="00DA78B3" w:rsidRPr="000370FF" w:rsidRDefault="00DA78B3" w:rsidP="00DA78B3">
      <w:pPr>
        <w:pStyle w:val="ListParagraph"/>
        <w:numPr>
          <w:ilvl w:val="0"/>
          <w:numId w:val="11"/>
        </w:numPr>
        <w:ind w:left="360"/>
        <w:rPr>
          <w:rFonts w:ascii="Aptos" w:eastAsia="Times New Roman" w:hAnsi="Aptos" w:cs="Times New Roman"/>
          <w:sz w:val="25"/>
          <w:szCs w:val="25"/>
        </w:rPr>
      </w:pPr>
      <w:r w:rsidRPr="000370FF">
        <w:rPr>
          <w:rFonts w:ascii="Aptos" w:eastAsia="Times New Roman" w:hAnsi="Aptos" w:cs="Times New Roman"/>
          <w:sz w:val="25"/>
          <w:szCs w:val="25"/>
        </w:rPr>
        <w:t>On June 30, 2023, Student partially reject</w:t>
      </w:r>
      <w:r w:rsidR="00010EE9" w:rsidRPr="000370FF">
        <w:rPr>
          <w:rFonts w:ascii="Aptos" w:eastAsia="Times New Roman" w:hAnsi="Aptos" w:cs="Times New Roman"/>
          <w:sz w:val="25"/>
          <w:szCs w:val="25"/>
        </w:rPr>
        <w:t xml:space="preserve">ed the previously accepted 22-23 IEP, now </w:t>
      </w:r>
      <w:r w:rsidRPr="000370FF">
        <w:rPr>
          <w:rFonts w:ascii="Aptos" w:eastAsia="Times New Roman" w:hAnsi="Aptos" w:cs="Times New Roman"/>
          <w:sz w:val="25"/>
          <w:szCs w:val="25"/>
        </w:rPr>
        <w:t xml:space="preserve">accepting the services but rejecting </w:t>
      </w:r>
      <w:r w:rsidR="00DF36A5" w:rsidRPr="000370FF">
        <w:rPr>
          <w:rFonts w:ascii="Aptos" w:eastAsia="Times New Roman" w:hAnsi="Aptos" w:cs="Times New Roman"/>
          <w:sz w:val="25"/>
          <w:szCs w:val="25"/>
        </w:rPr>
        <w:t>th</w:t>
      </w:r>
      <w:r w:rsidR="00EF41EB" w:rsidRPr="000370FF">
        <w:rPr>
          <w:rFonts w:ascii="Aptos" w:eastAsia="Times New Roman" w:hAnsi="Aptos" w:cs="Times New Roman"/>
          <w:sz w:val="25"/>
          <w:szCs w:val="25"/>
        </w:rPr>
        <w:t>e</w:t>
      </w:r>
      <w:r w:rsidR="00DF36A5" w:rsidRPr="000370FF">
        <w:rPr>
          <w:rFonts w:ascii="Aptos" w:eastAsia="Times New Roman" w:hAnsi="Aptos" w:cs="Times New Roman"/>
          <w:sz w:val="25"/>
          <w:szCs w:val="25"/>
        </w:rPr>
        <w:t xml:space="preserve"> IEP </w:t>
      </w:r>
      <w:r w:rsidRPr="000370FF">
        <w:rPr>
          <w:rFonts w:ascii="Aptos" w:eastAsia="Times New Roman" w:hAnsi="Aptos" w:cs="Times New Roman"/>
          <w:sz w:val="25"/>
          <w:szCs w:val="25"/>
        </w:rPr>
        <w:t>to the extent that it did not provide him with additional services to help him make progress</w:t>
      </w:r>
      <w:r w:rsidR="00CB64A9" w:rsidRPr="000370FF">
        <w:rPr>
          <w:rFonts w:ascii="Aptos" w:eastAsia="Times New Roman" w:hAnsi="Aptos" w:cs="Times New Roman"/>
          <w:sz w:val="25"/>
          <w:szCs w:val="25"/>
        </w:rPr>
        <w:t xml:space="preserve"> with his </w:t>
      </w:r>
      <w:proofErr w:type="spellStart"/>
      <w:r w:rsidR="00CB64A9" w:rsidRPr="000370FF">
        <w:rPr>
          <w:rFonts w:ascii="Aptos" w:eastAsia="Times New Roman" w:hAnsi="Aptos" w:cs="Times New Roman"/>
          <w:sz w:val="25"/>
          <w:szCs w:val="25"/>
        </w:rPr>
        <w:t>Acellus</w:t>
      </w:r>
      <w:proofErr w:type="spellEnd"/>
      <w:r w:rsidR="00CB64A9" w:rsidRPr="000370FF">
        <w:rPr>
          <w:rFonts w:ascii="Aptos" w:eastAsia="Times New Roman" w:hAnsi="Aptos" w:cs="Times New Roman"/>
          <w:sz w:val="25"/>
          <w:szCs w:val="25"/>
        </w:rPr>
        <w:t xml:space="preserve"> program</w:t>
      </w:r>
      <w:r w:rsidRPr="000370FF">
        <w:rPr>
          <w:rFonts w:ascii="Aptos" w:eastAsia="Times New Roman" w:hAnsi="Aptos" w:cs="Times New Roman"/>
          <w:sz w:val="25"/>
          <w:szCs w:val="25"/>
        </w:rPr>
        <w:t>.  (</w:t>
      </w:r>
      <w:r w:rsidRPr="000370FF">
        <w:rPr>
          <w:rFonts w:ascii="Aptos" w:eastAsia="Times New Roman" w:hAnsi="Aptos" w:cs="Times New Roman"/>
          <w:i/>
          <w:iCs/>
          <w:sz w:val="25"/>
          <w:szCs w:val="25"/>
        </w:rPr>
        <w:t>Hearing Request</w:t>
      </w:r>
      <w:r w:rsidRPr="000370FF">
        <w:rPr>
          <w:rFonts w:ascii="Aptos" w:eastAsia="Times New Roman" w:hAnsi="Aptos" w:cs="Times New Roman"/>
          <w:sz w:val="25"/>
          <w:szCs w:val="25"/>
        </w:rPr>
        <w:t>)</w:t>
      </w:r>
      <w:r w:rsidR="00461FD8" w:rsidRPr="000370FF">
        <w:rPr>
          <w:rFonts w:ascii="Aptos" w:eastAsia="Times New Roman" w:hAnsi="Aptos" w:cs="Times New Roman"/>
          <w:sz w:val="25"/>
          <w:szCs w:val="25"/>
        </w:rPr>
        <w:t>.</w:t>
      </w:r>
    </w:p>
    <w:p w14:paraId="7065D97A" w14:textId="77777777" w:rsidR="00DA78B3" w:rsidRPr="000370FF" w:rsidRDefault="00DA78B3" w:rsidP="00DA78B3">
      <w:pPr>
        <w:pStyle w:val="ListParagraph"/>
        <w:rPr>
          <w:rFonts w:ascii="Aptos" w:eastAsia="Times New Roman" w:hAnsi="Aptos" w:cs="Times New Roman"/>
          <w:sz w:val="25"/>
          <w:szCs w:val="25"/>
        </w:rPr>
      </w:pPr>
    </w:p>
    <w:p w14:paraId="0E550B78" w14:textId="11B0B979" w:rsidR="00DA78B3" w:rsidRPr="000370FF" w:rsidRDefault="00EF701A" w:rsidP="00DA78B3">
      <w:pPr>
        <w:pStyle w:val="ListParagraph"/>
        <w:numPr>
          <w:ilvl w:val="0"/>
          <w:numId w:val="11"/>
        </w:numPr>
        <w:ind w:left="360"/>
        <w:rPr>
          <w:rFonts w:ascii="Aptos" w:eastAsia="Times New Roman" w:hAnsi="Aptos" w:cs="Times New Roman"/>
          <w:sz w:val="25"/>
          <w:szCs w:val="25"/>
        </w:rPr>
      </w:pPr>
      <w:r w:rsidRPr="000370FF">
        <w:rPr>
          <w:rFonts w:ascii="Aptos" w:eastAsia="Times New Roman" w:hAnsi="Aptos" w:cs="Times New Roman"/>
          <w:sz w:val="25"/>
          <w:szCs w:val="25"/>
        </w:rPr>
        <w:t>Math services resumed on September 8, 2023.  On</w:t>
      </w:r>
      <w:r w:rsidR="00DA78B3" w:rsidRPr="000370FF">
        <w:rPr>
          <w:rFonts w:ascii="Aptos" w:eastAsia="Times New Roman" w:hAnsi="Aptos" w:cs="Times New Roman"/>
          <w:sz w:val="25"/>
          <w:szCs w:val="25"/>
        </w:rPr>
        <w:t xml:space="preserve"> September 14, 2023, a Team meeting was held to review the partial rejection, Student’s request for additional support and Student’s mental health needs.  An IEP Amendment was developed </w:t>
      </w:r>
      <w:proofErr w:type="gramStart"/>
      <w:r w:rsidR="00DA78B3" w:rsidRPr="000370FF">
        <w:rPr>
          <w:rFonts w:ascii="Aptos" w:eastAsia="Times New Roman" w:hAnsi="Aptos" w:cs="Times New Roman"/>
          <w:sz w:val="25"/>
          <w:szCs w:val="25"/>
        </w:rPr>
        <w:t>as a result of</w:t>
      </w:r>
      <w:proofErr w:type="gramEnd"/>
      <w:r w:rsidR="00DA78B3" w:rsidRPr="000370FF">
        <w:rPr>
          <w:rFonts w:ascii="Aptos" w:eastAsia="Times New Roman" w:hAnsi="Aptos" w:cs="Times New Roman"/>
          <w:sz w:val="25"/>
          <w:szCs w:val="25"/>
        </w:rPr>
        <w:t xml:space="preserve"> this meeting reflecting the Team’s agreement to provide Student with counseling support 30 </w:t>
      </w:r>
      <w:r w:rsidR="002C5517" w:rsidRPr="000370FF">
        <w:rPr>
          <w:rFonts w:ascii="Aptos" w:eastAsia="Times New Roman" w:hAnsi="Aptos" w:cs="Times New Roman"/>
          <w:sz w:val="25"/>
          <w:szCs w:val="25"/>
        </w:rPr>
        <w:t>minutes</w:t>
      </w:r>
      <w:r w:rsidR="00DA78B3" w:rsidRPr="000370FF">
        <w:rPr>
          <w:rFonts w:ascii="Aptos" w:eastAsia="Times New Roman" w:hAnsi="Aptos" w:cs="Times New Roman"/>
          <w:sz w:val="25"/>
          <w:szCs w:val="25"/>
        </w:rPr>
        <w:t xml:space="preserve"> per week.  The Team also discussed and agreed to a compensatory service plan of an additional 1 or 2 hours of individualized math services from the SEIS math teacher to address the delay </w:t>
      </w:r>
      <w:r w:rsidR="00DB1066" w:rsidRPr="000370FF">
        <w:rPr>
          <w:rFonts w:ascii="Aptos" w:eastAsia="Times New Roman" w:hAnsi="Aptos" w:cs="Times New Roman"/>
          <w:sz w:val="25"/>
          <w:szCs w:val="25"/>
        </w:rPr>
        <w:t>in</w:t>
      </w:r>
      <w:r w:rsidR="00DA78B3" w:rsidRPr="000370FF">
        <w:rPr>
          <w:rFonts w:ascii="Aptos" w:eastAsia="Times New Roman" w:hAnsi="Aptos" w:cs="Times New Roman"/>
          <w:sz w:val="25"/>
          <w:szCs w:val="25"/>
        </w:rPr>
        <w:t xml:space="preserve"> starting the math services called for in the 22-23 IEP and any missed services</w:t>
      </w:r>
      <w:r w:rsidR="00DB1066" w:rsidRPr="000370FF">
        <w:rPr>
          <w:rFonts w:ascii="Aptos" w:eastAsia="Times New Roman" w:hAnsi="Aptos" w:cs="Times New Roman"/>
          <w:sz w:val="25"/>
          <w:szCs w:val="25"/>
        </w:rPr>
        <w:t>,</w:t>
      </w:r>
      <w:r w:rsidR="00DA78B3" w:rsidRPr="000370FF">
        <w:rPr>
          <w:rFonts w:ascii="Aptos" w:eastAsia="Times New Roman" w:hAnsi="Aptos" w:cs="Times New Roman"/>
          <w:sz w:val="25"/>
          <w:szCs w:val="25"/>
        </w:rPr>
        <w:t xml:space="preserve"> for a total of 34 hours.  However, the Team did not agree to Student’s additional requests for an academic achievement goal, and 5.5 hours of structured learning time each day.  It is also unclear how the Team responded to Student’s request for an additional 4 hours of individualized services with </w:t>
      </w:r>
      <w:proofErr w:type="spellStart"/>
      <w:r w:rsidR="00DA78B3" w:rsidRPr="000370FF">
        <w:rPr>
          <w:rFonts w:ascii="Aptos" w:eastAsia="Times New Roman" w:hAnsi="Aptos" w:cs="Times New Roman"/>
          <w:sz w:val="25"/>
          <w:szCs w:val="25"/>
        </w:rPr>
        <w:t>Acellus</w:t>
      </w:r>
      <w:proofErr w:type="spellEnd"/>
      <w:r w:rsidR="00DA78B3" w:rsidRPr="000370FF">
        <w:rPr>
          <w:rFonts w:ascii="Aptos" w:eastAsia="Times New Roman" w:hAnsi="Aptos" w:cs="Times New Roman"/>
          <w:sz w:val="25"/>
          <w:szCs w:val="25"/>
        </w:rPr>
        <w:t xml:space="preserve"> weekly, although it appears some additional hours were agreed to at this time.  The </w:t>
      </w:r>
      <w:r w:rsidR="004E5FCD" w:rsidRPr="000370FF">
        <w:rPr>
          <w:rFonts w:ascii="Aptos" w:eastAsia="Times New Roman" w:hAnsi="Aptos" w:cs="Times New Roman"/>
          <w:sz w:val="25"/>
          <w:szCs w:val="25"/>
        </w:rPr>
        <w:t>P</w:t>
      </w:r>
      <w:r w:rsidR="00DA78B3" w:rsidRPr="000370FF">
        <w:rPr>
          <w:rFonts w:ascii="Aptos" w:eastAsia="Times New Roman" w:hAnsi="Aptos" w:cs="Times New Roman"/>
          <w:sz w:val="25"/>
          <w:szCs w:val="25"/>
        </w:rPr>
        <w:t xml:space="preserve">arties also dispute the reason for Student’s failure to receive all his services, and </w:t>
      </w:r>
      <w:proofErr w:type="gramStart"/>
      <w:r w:rsidR="00DA78B3" w:rsidRPr="000370FF">
        <w:rPr>
          <w:rFonts w:ascii="Aptos" w:eastAsia="Times New Roman" w:hAnsi="Aptos" w:cs="Times New Roman"/>
          <w:sz w:val="25"/>
          <w:szCs w:val="25"/>
        </w:rPr>
        <w:t>whether or not</w:t>
      </w:r>
      <w:proofErr w:type="gramEnd"/>
      <w:r w:rsidR="00DA78B3" w:rsidRPr="000370FF">
        <w:rPr>
          <w:rFonts w:ascii="Aptos" w:eastAsia="Times New Roman" w:hAnsi="Aptos" w:cs="Times New Roman"/>
          <w:sz w:val="25"/>
          <w:szCs w:val="25"/>
        </w:rPr>
        <w:t xml:space="preserve"> Student had access to additional teacher support </w:t>
      </w:r>
      <w:r w:rsidR="004E5FCD" w:rsidRPr="000370FF">
        <w:rPr>
          <w:rFonts w:ascii="Aptos" w:eastAsia="Times New Roman" w:hAnsi="Aptos" w:cs="Times New Roman"/>
          <w:sz w:val="25"/>
          <w:szCs w:val="25"/>
        </w:rPr>
        <w:t>in addition to</w:t>
      </w:r>
      <w:r w:rsidR="00DA78B3" w:rsidRPr="000370FF">
        <w:rPr>
          <w:rFonts w:ascii="Aptos" w:eastAsia="Times New Roman" w:hAnsi="Aptos" w:cs="Times New Roman"/>
          <w:sz w:val="25"/>
          <w:szCs w:val="25"/>
        </w:rPr>
        <w:t xml:space="preserve"> the SEIS special education teacher.  (</w:t>
      </w:r>
      <w:r w:rsidR="00DA78B3" w:rsidRPr="000370FF">
        <w:rPr>
          <w:rFonts w:ascii="Aptos" w:eastAsia="Times New Roman" w:hAnsi="Aptos" w:cs="Times New Roman"/>
          <w:i/>
          <w:iCs/>
          <w:sz w:val="25"/>
          <w:szCs w:val="25"/>
        </w:rPr>
        <w:t>Hearing Request</w:t>
      </w:r>
      <w:r w:rsidR="00DA78B3" w:rsidRPr="000370FF">
        <w:rPr>
          <w:rFonts w:ascii="Aptos" w:eastAsia="Times New Roman" w:hAnsi="Aptos" w:cs="Times New Roman"/>
          <w:sz w:val="25"/>
          <w:szCs w:val="25"/>
        </w:rPr>
        <w:t xml:space="preserve">; </w:t>
      </w:r>
      <w:r w:rsidR="00DA78B3" w:rsidRPr="000370FF">
        <w:rPr>
          <w:rFonts w:ascii="Aptos" w:eastAsia="Times New Roman" w:hAnsi="Aptos" w:cs="Times New Roman"/>
          <w:i/>
          <w:iCs/>
          <w:sz w:val="25"/>
          <w:szCs w:val="25"/>
        </w:rPr>
        <w:t>DESE Motion</w:t>
      </w:r>
      <w:r w:rsidR="00DA78B3" w:rsidRPr="000370FF">
        <w:rPr>
          <w:rFonts w:ascii="Aptos" w:eastAsia="Times New Roman" w:hAnsi="Aptos" w:cs="Times New Roman"/>
          <w:sz w:val="25"/>
          <w:szCs w:val="25"/>
        </w:rPr>
        <w:t xml:space="preserve">; </w:t>
      </w:r>
      <w:r w:rsidR="00DA78B3" w:rsidRPr="000370FF">
        <w:rPr>
          <w:rFonts w:ascii="Aptos" w:eastAsia="Times New Roman" w:hAnsi="Aptos" w:cs="Times New Roman"/>
          <w:i/>
          <w:iCs/>
          <w:sz w:val="25"/>
          <w:szCs w:val="25"/>
        </w:rPr>
        <w:t>Quincy Motion</w:t>
      </w:r>
      <w:r w:rsidR="00DA78B3" w:rsidRPr="000370FF">
        <w:rPr>
          <w:rFonts w:ascii="Aptos" w:eastAsia="Times New Roman" w:hAnsi="Aptos" w:cs="Times New Roman"/>
          <w:sz w:val="25"/>
          <w:szCs w:val="25"/>
        </w:rPr>
        <w:t>)</w:t>
      </w:r>
      <w:r w:rsidR="00461FD8" w:rsidRPr="000370FF">
        <w:rPr>
          <w:rFonts w:ascii="Aptos" w:eastAsia="Times New Roman" w:hAnsi="Aptos" w:cs="Times New Roman"/>
          <w:sz w:val="25"/>
          <w:szCs w:val="25"/>
        </w:rPr>
        <w:t>.</w:t>
      </w:r>
    </w:p>
    <w:p w14:paraId="6FA5AEAB" w14:textId="77777777" w:rsidR="00DA78B3" w:rsidRPr="000370FF" w:rsidRDefault="00DA78B3" w:rsidP="00DA78B3">
      <w:pPr>
        <w:pStyle w:val="ListParagraph"/>
        <w:rPr>
          <w:rFonts w:ascii="Aptos" w:eastAsia="Times New Roman" w:hAnsi="Aptos" w:cs="Times New Roman"/>
          <w:sz w:val="25"/>
          <w:szCs w:val="25"/>
        </w:rPr>
      </w:pPr>
    </w:p>
    <w:p w14:paraId="422AB92D" w14:textId="514ADC26" w:rsidR="00DA78B3" w:rsidRPr="000370FF" w:rsidRDefault="00DA78B3" w:rsidP="00DA78B3">
      <w:pPr>
        <w:pStyle w:val="ListParagraph"/>
        <w:numPr>
          <w:ilvl w:val="0"/>
          <w:numId w:val="11"/>
        </w:numPr>
        <w:ind w:left="360"/>
        <w:rPr>
          <w:rFonts w:ascii="Aptos" w:eastAsia="Times New Roman" w:hAnsi="Aptos" w:cs="Times New Roman"/>
          <w:sz w:val="25"/>
          <w:szCs w:val="25"/>
        </w:rPr>
      </w:pPr>
      <w:r w:rsidRPr="000370FF">
        <w:rPr>
          <w:rFonts w:ascii="Aptos" w:eastAsia="Times New Roman" w:hAnsi="Aptos" w:cs="Times New Roman"/>
          <w:sz w:val="25"/>
          <w:szCs w:val="25"/>
        </w:rPr>
        <w:t>On September 20, 2023, Student accepted the additional services in the IEP Amendment but partially rejected it for failing to provide 5.5 hours of structured learning time, an academic achievement goal and academic support services (</w:t>
      </w:r>
      <w:bookmarkStart w:id="0" w:name="_Hlk169783657"/>
      <w:r w:rsidRPr="000370FF">
        <w:rPr>
          <w:rFonts w:ascii="Aptos" w:eastAsia="Times New Roman" w:hAnsi="Aptos" w:cs="Times New Roman"/>
          <w:i/>
          <w:iCs/>
          <w:sz w:val="25"/>
          <w:szCs w:val="25"/>
        </w:rPr>
        <w:t>Hearing Request</w:t>
      </w:r>
      <w:bookmarkEnd w:id="0"/>
      <w:r w:rsidRPr="000370FF">
        <w:rPr>
          <w:rFonts w:ascii="Aptos" w:eastAsia="Times New Roman" w:hAnsi="Aptos" w:cs="Times New Roman"/>
          <w:sz w:val="25"/>
          <w:szCs w:val="25"/>
        </w:rPr>
        <w:t>)</w:t>
      </w:r>
      <w:r w:rsidR="00461FD8" w:rsidRPr="000370FF">
        <w:rPr>
          <w:rFonts w:ascii="Aptos" w:eastAsia="Times New Roman" w:hAnsi="Aptos" w:cs="Times New Roman"/>
          <w:sz w:val="25"/>
          <w:szCs w:val="25"/>
        </w:rPr>
        <w:t>.</w:t>
      </w:r>
    </w:p>
    <w:p w14:paraId="7C0ED247" w14:textId="77777777" w:rsidR="00DA78B3" w:rsidRPr="000370FF" w:rsidRDefault="00DA78B3" w:rsidP="00DA78B3">
      <w:pPr>
        <w:pStyle w:val="ListParagraph"/>
        <w:rPr>
          <w:rFonts w:ascii="Aptos" w:eastAsia="Times New Roman" w:hAnsi="Aptos" w:cs="Times New Roman"/>
          <w:sz w:val="25"/>
          <w:szCs w:val="25"/>
        </w:rPr>
      </w:pPr>
    </w:p>
    <w:p w14:paraId="5FA5F350" w14:textId="3FEC844F" w:rsidR="00DA78B3" w:rsidRPr="000370FF" w:rsidRDefault="00DA78B3" w:rsidP="00DA78B3">
      <w:pPr>
        <w:pStyle w:val="ListParagraph"/>
        <w:numPr>
          <w:ilvl w:val="0"/>
          <w:numId w:val="11"/>
        </w:numPr>
        <w:ind w:left="360"/>
        <w:rPr>
          <w:rFonts w:ascii="Aptos" w:eastAsia="Times New Roman" w:hAnsi="Aptos" w:cs="Times New Roman"/>
          <w:sz w:val="25"/>
          <w:szCs w:val="25"/>
        </w:rPr>
      </w:pPr>
      <w:r w:rsidRPr="000370FF">
        <w:rPr>
          <w:rFonts w:ascii="Aptos" w:eastAsia="Times New Roman" w:hAnsi="Aptos" w:cs="Times New Roman"/>
          <w:sz w:val="25"/>
          <w:szCs w:val="25"/>
        </w:rPr>
        <w:t>On November 14, 2023, a further progress report was issued indicating Student made progress in all 5 of the objectives of his Math goal.  (</w:t>
      </w:r>
      <w:r w:rsidRPr="000370FF">
        <w:rPr>
          <w:rFonts w:ascii="Aptos" w:eastAsia="Times New Roman" w:hAnsi="Aptos" w:cs="Times New Roman"/>
          <w:i/>
          <w:iCs/>
          <w:sz w:val="25"/>
          <w:szCs w:val="25"/>
        </w:rPr>
        <w:t>DESE Motion</w:t>
      </w:r>
      <w:r w:rsidRPr="000370FF">
        <w:rPr>
          <w:rFonts w:ascii="Aptos" w:eastAsia="Times New Roman" w:hAnsi="Aptos" w:cs="Times New Roman"/>
          <w:sz w:val="25"/>
          <w:szCs w:val="25"/>
        </w:rPr>
        <w:t>)</w:t>
      </w:r>
      <w:r w:rsidR="00461FD8" w:rsidRPr="000370FF">
        <w:rPr>
          <w:rFonts w:ascii="Aptos" w:eastAsia="Times New Roman" w:hAnsi="Aptos" w:cs="Times New Roman"/>
          <w:sz w:val="25"/>
          <w:szCs w:val="25"/>
        </w:rPr>
        <w:t>.</w:t>
      </w:r>
    </w:p>
    <w:p w14:paraId="7C743846" w14:textId="77777777" w:rsidR="00DA78B3" w:rsidRPr="000370FF" w:rsidRDefault="00DA78B3" w:rsidP="00DA78B3">
      <w:pPr>
        <w:pStyle w:val="ListParagraph"/>
        <w:rPr>
          <w:rFonts w:ascii="Aptos" w:eastAsia="Times New Roman" w:hAnsi="Aptos" w:cs="Times New Roman"/>
          <w:sz w:val="25"/>
          <w:szCs w:val="25"/>
        </w:rPr>
      </w:pPr>
    </w:p>
    <w:p w14:paraId="119FCB12" w14:textId="4FA9B142" w:rsidR="00DA78B3" w:rsidRPr="000370FF" w:rsidRDefault="00DA78B3" w:rsidP="00DA78B3">
      <w:pPr>
        <w:pStyle w:val="ListParagraph"/>
        <w:numPr>
          <w:ilvl w:val="0"/>
          <w:numId w:val="11"/>
        </w:numPr>
        <w:ind w:left="360"/>
        <w:rPr>
          <w:rFonts w:ascii="Aptos" w:eastAsia="Times New Roman" w:hAnsi="Aptos" w:cs="Times New Roman"/>
          <w:sz w:val="25"/>
          <w:szCs w:val="25"/>
        </w:rPr>
      </w:pPr>
      <w:r w:rsidRPr="000370FF">
        <w:rPr>
          <w:rFonts w:ascii="Aptos" w:eastAsia="Times New Roman" w:hAnsi="Aptos" w:cs="Times New Roman"/>
          <w:sz w:val="25"/>
          <w:szCs w:val="25"/>
        </w:rPr>
        <w:t xml:space="preserve">On December 6, 2023, the Team reconvened for Student’s annual review and proposed the 23-24 IEP.  The Team discussed that Student had only received 2 counseling sessions </w:t>
      </w:r>
      <w:r w:rsidR="00896B9A" w:rsidRPr="000370FF">
        <w:rPr>
          <w:rFonts w:ascii="Aptos" w:eastAsia="Times New Roman" w:hAnsi="Aptos" w:cs="Times New Roman"/>
          <w:sz w:val="25"/>
          <w:szCs w:val="25"/>
        </w:rPr>
        <w:t>to</w:t>
      </w:r>
      <w:r w:rsidRPr="000370FF">
        <w:rPr>
          <w:rFonts w:ascii="Aptos" w:eastAsia="Times New Roman" w:hAnsi="Aptos" w:cs="Times New Roman"/>
          <w:sz w:val="25"/>
          <w:szCs w:val="25"/>
        </w:rPr>
        <w:t xml:space="preserve"> date.  The SEIS special education teacher informed the Team that Student makes excellent progress working directly with her but struggles to attend and make progress </w:t>
      </w:r>
      <w:r w:rsidRPr="000370FF">
        <w:rPr>
          <w:rFonts w:ascii="Aptos" w:eastAsia="Times New Roman" w:hAnsi="Aptos" w:cs="Times New Roman"/>
          <w:sz w:val="25"/>
          <w:szCs w:val="25"/>
        </w:rPr>
        <w:lastRenderedPageBreak/>
        <w:t xml:space="preserve">when working independently </w:t>
      </w:r>
      <w:r w:rsidR="00505C06" w:rsidRPr="000370FF">
        <w:rPr>
          <w:rFonts w:ascii="Aptos" w:eastAsia="Times New Roman" w:hAnsi="Aptos" w:cs="Times New Roman"/>
          <w:sz w:val="25"/>
          <w:szCs w:val="25"/>
        </w:rPr>
        <w:t>on</w:t>
      </w:r>
      <w:r w:rsidRPr="000370FF">
        <w:rPr>
          <w:rFonts w:ascii="Aptos" w:eastAsia="Times New Roman" w:hAnsi="Aptos" w:cs="Times New Roman"/>
          <w:sz w:val="25"/>
          <w:szCs w:val="25"/>
        </w:rPr>
        <w:t xml:space="preserve"> </w:t>
      </w:r>
      <w:proofErr w:type="spellStart"/>
      <w:r w:rsidRPr="000370FF">
        <w:rPr>
          <w:rFonts w:ascii="Aptos" w:eastAsia="Times New Roman" w:hAnsi="Aptos" w:cs="Times New Roman"/>
          <w:sz w:val="25"/>
          <w:szCs w:val="25"/>
        </w:rPr>
        <w:t>Acellus</w:t>
      </w:r>
      <w:proofErr w:type="spellEnd"/>
      <w:r w:rsidRPr="000370FF">
        <w:rPr>
          <w:rFonts w:ascii="Aptos" w:eastAsia="Times New Roman" w:hAnsi="Aptos" w:cs="Times New Roman"/>
          <w:sz w:val="25"/>
          <w:szCs w:val="25"/>
        </w:rPr>
        <w:t>.  The Team also discussed Student’s current transcript and the remaining courses and credits he would need to graduate.  The Team agreed to add counseling</w:t>
      </w:r>
      <w:r w:rsidRPr="000370FF">
        <w:rPr>
          <w:rStyle w:val="FootnoteReference"/>
          <w:rFonts w:ascii="Aptos" w:eastAsia="Times New Roman" w:hAnsi="Aptos" w:cs="Times New Roman"/>
          <w:sz w:val="25"/>
          <w:szCs w:val="25"/>
        </w:rPr>
        <w:footnoteReference w:id="12"/>
      </w:r>
      <w:r w:rsidRPr="000370FF">
        <w:rPr>
          <w:rFonts w:ascii="Aptos" w:eastAsia="Times New Roman" w:hAnsi="Aptos" w:cs="Times New Roman"/>
          <w:sz w:val="25"/>
          <w:szCs w:val="25"/>
        </w:rPr>
        <w:t>, academic achievement and transition goal</w:t>
      </w:r>
      <w:r w:rsidR="006D1728" w:rsidRPr="000370FF">
        <w:rPr>
          <w:rFonts w:ascii="Aptos" w:eastAsia="Times New Roman" w:hAnsi="Aptos" w:cs="Times New Roman"/>
          <w:sz w:val="25"/>
          <w:szCs w:val="25"/>
        </w:rPr>
        <w:t>s</w:t>
      </w:r>
      <w:r w:rsidR="002D2C86" w:rsidRPr="000370FF">
        <w:rPr>
          <w:rFonts w:ascii="Aptos" w:eastAsia="Times New Roman" w:hAnsi="Aptos" w:cs="Times New Roman"/>
          <w:sz w:val="25"/>
          <w:szCs w:val="25"/>
        </w:rPr>
        <w:t>,</w:t>
      </w:r>
      <w:r w:rsidRPr="000370FF">
        <w:rPr>
          <w:rFonts w:ascii="Aptos" w:eastAsia="Times New Roman" w:hAnsi="Aptos" w:cs="Times New Roman"/>
          <w:sz w:val="25"/>
          <w:szCs w:val="25"/>
        </w:rPr>
        <w:t xml:space="preserve"> but indicated those goals could be worked on within the current service delivery time already provided to Student.  (</w:t>
      </w:r>
      <w:r w:rsidRPr="000370FF">
        <w:rPr>
          <w:rFonts w:ascii="Aptos" w:eastAsia="Times New Roman" w:hAnsi="Aptos" w:cs="Times New Roman"/>
          <w:i/>
          <w:iCs/>
          <w:sz w:val="25"/>
          <w:szCs w:val="25"/>
        </w:rPr>
        <w:t>Hearing Request</w:t>
      </w:r>
      <w:r w:rsidRPr="000370FF">
        <w:rPr>
          <w:rFonts w:ascii="Aptos" w:eastAsia="Times New Roman" w:hAnsi="Aptos" w:cs="Times New Roman"/>
          <w:sz w:val="25"/>
          <w:szCs w:val="25"/>
        </w:rPr>
        <w:t xml:space="preserve">; </w:t>
      </w:r>
      <w:r w:rsidRPr="000370FF">
        <w:rPr>
          <w:rFonts w:ascii="Aptos" w:eastAsia="Times New Roman" w:hAnsi="Aptos" w:cs="Times New Roman"/>
          <w:i/>
          <w:iCs/>
          <w:sz w:val="25"/>
          <w:szCs w:val="25"/>
        </w:rPr>
        <w:t>DESE Motion</w:t>
      </w:r>
      <w:r w:rsidRPr="000370FF">
        <w:rPr>
          <w:rFonts w:ascii="Aptos" w:eastAsia="Times New Roman" w:hAnsi="Aptos" w:cs="Times New Roman"/>
          <w:sz w:val="25"/>
          <w:szCs w:val="25"/>
        </w:rPr>
        <w:t>)</w:t>
      </w:r>
      <w:r w:rsidR="00461FD8" w:rsidRPr="000370FF">
        <w:rPr>
          <w:rFonts w:ascii="Aptos" w:eastAsia="Times New Roman" w:hAnsi="Aptos" w:cs="Times New Roman"/>
          <w:sz w:val="25"/>
          <w:szCs w:val="25"/>
        </w:rPr>
        <w:t>.</w:t>
      </w:r>
    </w:p>
    <w:p w14:paraId="3E9A4FFD" w14:textId="77777777" w:rsidR="00647821" w:rsidRPr="000370FF" w:rsidRDefault="00647821" w:rsidP="00647821">
      <w:pPr>
        <w:pStyle w:val="ListParagraph"/>
        <w:rPr>
          <w:rFonts w:ascii="Aptos" w:eastAsia="Times New Roman" w:hAnsi="Aptos" w:cs="Times New Roman"/>
          <w:sz w:val="25"/>
          <w:szCs w:val="25"/>
        </w:rPr>
      </w:pPr>
    </w:p>
    <w:p w14:paraId="1D82D10B" w14:textId="48189FE2" w:rsidR="00647821" w:rsidRPr="000370FF" w:rsidRDefault="00647821" w:rsidP="00DA78B3">
      <w:pPr>
        <w:pStyle w:val="ListParagraph"/>
        <w:numPr>
          <w:ilvl w:val="0"/>
          <w:numId w:val="11"/>
        </w:numPr>
        <w:ind w:left="360"/>
        <w:rPr>
          <w:rFonts w:ascii="Aptos" w:eastAsia="Times New Roman" w:hAnsi="Aptos" w:cs="Times New Roman"/>
          <w:sz w:val="25"/>
          <w:szCs w:val="25"/>
        </w:rPr>
      </w:pPr>
      <w:r w:rsidRPr="000370FF">
        <w:rPr>
          <w:rFonts w:ascii="Aptos" w:eastAsia="Times New Roman" w:hAnsi="Aptos" w:cs="Times New Roman"/>
          <w:sz w:val="25"/>
          <w:szCs w:val="25"/>
        </w:rPr>
        <w:t xml:space="preserve"> The 23-24 IEP also included the following references to “1:1” or “individual” instruction and services: “Present Levels of Educational Performance</w:t>
      </w:r>
      <w:r w:rsidR="00886ED4" w:rsidRPr="000370FF">
        <w:rPr>
          <w:rFonts w:ascii="Aptos" w:eastAsia="Times New Roman" w:hAnsi="Aptos" w:cs="Times New Roman"/>
          <w:sz w:val="25"/>
          <w:szCs w:val="25"/>
        </w:rPr>
        <w:t>: A</w:t>
      </w:r>
      <w:r w:rsidR="00251F94" w:rsidRPr="000370FF">
        <w:rPr>
          <w:rFonts w:ascii="Aptos" w:eastAsia="Times New Roman" w:hAnsi="Aptos" w:cs="Times New Roman"/>
          <w:sz w:val="25"/>
          <w:szCs w:val="25"/>
        </w:rPr>
        <w:t xml:space="preserve"> </w:t>
      </w:r>
      <w:r w:rsidR="009D203D" w:rsidRPr="000370FF">
        <w:rPr>
          <w:rFonts w:ascii="Aptos" w:eastAsia="Times New Roman" w:hAnsi="Aptos" w:cs="Times New Roman"/>
          <w:sz w:val="25"/>
          <w:szCs w:val="25"/>
        </w:rPr>
        <w:t>–</w:t>
      </w:r>
      <w:r w:rsidR="00886ED4" w:rsidRPr="000370FF">
        <w:rPr>
          <w:rFonts w:ascii="Aptos" w:eastAsia="Times New Roman" w:hAnsi="Aptos" w:cs="Times New Roman"/>
          <w:sz w:val="25"/>
          <w:szCs w:val="25"/>
        </w:rPr>
        <w:t xml:space="preserve"> General Curriculum” (PLEP-A)</w:t>
      </w:r>
      <w:r w:rsidR="002D2C86" w:rsidRPr="000370FF">
        <w:rPr>
          <w:rFonts w:ascii="Aptos" w:eastAsia="Times New Roman" w:hAnsi="Aptos" w:cs="Times New Roman"/>
          <w:sz w:val="25"/>
          <w:szCs w:val="25"/>
        </w:rPr>
        <w:t xml:space="preserve">, </w:t>
      </w:r>
      <w:r w:rsidR="0045063A" w:rsidRPr="000370FF">
        <w:rPr>
          <w:rFonts w:ascii="Aptos" w:eastAsia="Times New Roman" w:hAnsi="Aptos" w:cs="Times New Roman"/>
          <w:sz w:val="25"/>
          <w:szCs w:val="25"/>
        </w:rPr>
        <w:t xml:space="preserve">“mathematics” </w:t>
      </w:r>
      <w:r w:rsidR="002D2C86" w:rsidRPr="000370FF">
        <w:rPr>
          <w:rFonts w:ascii="Aptos" w:eastAsia="Times New Roman" w:hAnsi="Aptos" w:cs="Times New Roman"/>
          <w:sz w:val="25"/>
          <w:szCs w:val="25"/>
        </w:rPr>
        <w:t>is checked</w:t>
      </w:r>
      <w:r w:rsidR="00236852" w:rsidRPr="000370FF">
        <w:rPr>
          <w:rFonts w:ascii="Aptos" w:eastAsia="Times New Roman" w:hAnsi="Aptos" w:cs="Times New Roman"/>
          <w:sz w:val="25"/>
          <w:szCs w:val="25"/>
        </w:rPr>
        <w:t>,</w:t>
      </w:r>
      <w:r w:rsidR="002D2C86" w:rsidRPr="000370FF">
        <w:rPr>
          <w:rFonts w:ascii="Aptos" w:eastAsia="Times New Roman" w:hAnsi="Aptos" w:cs="Times New Roman"/>
          <w:sz w:val="25"/>
          <w:szCs w:val="25"/>
        </w:rPr>
        <w:t xml:space="preserve"> </w:t>
      </w:r>
      <w:r w:rsidR="0045063A" w:rsidRPr="000370FF">
        <w:rPr>
          <w:rFonts w:ascii="Aptos" w:eastAsia="Times New Roman" w:hAnsi="Aptos" w:cs="Times New Roman"/>
          <w:sz w:val="25"/>
          <w:szCs w:val="25"/>
        </w:rPr>
        <w:t xml:space="preserve">and </w:t>
      </w:r>
      <w:r w:rsidR="00251F94" w:rsidRPr="000370FF">
        <w:rPr>
          <w:rFonts w:ascii="Aptos" w:eastAsia="Times New Roman" w:hAnsi="Aptos" w:cs="Times New Roman"/>
          <w:sz w:val="25"/>
          <w:szCs w:val="25"/>
        </w:rPr>
        <w:t>states under “Content” that “[Student</w:t>
      </w:r>
      <w:r w:rsidR="0045063A" w:rsidRPr="000370FF">
        <w:rPr>
          <w:rFonts w:ascii="Aptos" w:eastAsia="Times New Roman" w:hAnsi="Aptos" w:cs="Times New Roman"/>
          <w:sz w:val="25"/>
          <w:szCs w:val="25"/>
        </w:rPr>
        <w:t>]</w:t>
      </w:r>
      <w:r w:rsidR="00251F94" w:rsidRPr="000370FF">
        <w:rPr>
          <w:rFonts w:ascii="Aptos" w:eastAsia="Times New Roman" w:hAnsi="Aptos" w:cs="Times New Roman"/>
          <w:sz w:val="25"/>
          <w:szCs w:val="25"/>
        </w:rPr>
        <w:t xml:space="preserve"> benefits from 1:1 or small group and direct instruction with the use of a multi-sensory approach whenever possible”</w:t>
      </w:r>
      <w:r w:rsidR="003370B6" w:rsidRPr="000370FF">
        <w:rPr>
          <w:rFonts w:ascii="Aptos" w:eastAsia="Times New Roman" w:hAnsi="Aptos" w:cs="Times New Roman"/>
          <w:sz w:val="25"/>
          <w:szCs w:val="25"/>
        </w:rPr>
        <w:t>;</w:t>
      </w:r>
      <w:r w:rsidR="00251F94" w:rsidRPr="000370FF">
        <w:rPr>
          <w:rFonts w:ascii="Aptos" w:eastAsia="Times New Roman" w:hAnsi="Aptos" w:cs="Times New Roman"/>
          <w:sz w:val="25"/>
          <w:szCs w:val="25"/>
        </w:rPr>
        <w:t xml:space="preserve"> “Present Levels of Educational Performance: B </w:t>
      </w:r>
      <w:r w:rsidR="009D203D" w:rsidRPr="000370FF">
        <w:rPr>
          <w:rFonts w:ascii="Aptos" w:eastAsia="Times New Roman" w:hAnsi="Aptos" w:cs="Times New Roman"/>
          <w:sz w:val="25"/>
          <w:szCs w:val="25"/>
        </w:rPr>
        <w:t>– Other Educational Needs” (PLEP-B)</w:t>
      </w:r>
      <w:r w:rsidR="00236852" w:rsidRPr="000370FF">
        <w:rPr>
          <w:rFonts w:ascii="Aptos" w:eastAsia="Times New Roman" w:hAnsi="Aptos" w:cs="Times New Roman"/>
          <w:sz w:val="25"/>
          <w:szCs w:val="25"/>
        </w:rPr>
        <w:t>,</w:t>
      </w:r>
      <w:r w:rsidR="009D203D" w:rsidRPr="000370FF">
        <w:rPr>
          <w:rFonts w:ascii="Aptos" w:eastAsia="Times New Roman" w:hAnsi="Aptos" w:cs="Times New Roman"/>
          <w:sz w:val="25"/>
          <w:szCs w:val="25"/>
        </w:rPr>
        <w:t xml:space="preserve"> </w:t>
      </w:r>
      <w:r w:rsidR="001803F0" w:rsidRPr="000370FF">
        <w:rPr>
          <w:rFonts w:ascii="Aptos" w:eastAsia="Times New Roman" w:hAnsi="Aptos" w:cs="Times New Roman"/>
          <w:sz w:val="25"/>
          <w:szCs w:val="25"/>
        </w:rPr>
        <w:t xml:space="preserve">“social/emotional needs” </w:t>
      </w:r>
      <w:r w:rsidR="00236852" w:rsidRPr="000370FF">
        <w:rPr>
          <w:rFonts w:ascii="Aptos" w:eastAsia="Times New Roman" w:hAnsi="Aptos" w:cs="Times New Roman"/>
          <w:sz w:val="25"/>
          <w:szCs w:val="25"/>
        </w:rPr>
        <w:t xml:space="preserve">is checked, </w:t>
      </w:r>
      <w:r w:rsidR="001803F0" w:rsidRPr="000370FF">
        <w:rPr>
          <w:rFonts w:ascii="Aptos" w:eastAsia="Times New Roman" w:hAnsi="Aptos" w:cs="Times New Roman"/>
          <w:sz w:val="25"/>
          <w:szCs w:val="25"/>
        </w:rPr>
        <w:t xml:space="preserve">and </w:t>
      </w:r>
      <w:r w:rsidR="009D203D" w:rsidRPr="000370FF">
        <w:rPr>
          <w:rFonts w:ascii="Aptos" w:eastAsia="Times New Roman" w:hAnsi="Aptos" w:cs="Times New Roman"/>
          <w:sz w:val="25"/>
          <w:szCs w:val="25"/>
        </w:rPr>
        <w:t>states under “Methodology/Delivery of Instruction” “1:1 setting”</w:t>
      </w:r>
      <w:r w:rsidR="003370B6" w:rsidRPr="000370FF">
        <w:rPr>
          <w:rFonts w:ascii="Aptos" w:eastAsia="Times New Roman" w:hAnsi="Aptos" w:cs="Times New Roman"/>
          <w:sz w:val="25"/>
          <w:szCs w:val="25"/>
        </w:rPr>
        <w:t>; and the</w:t>
      </w:r>
      <w:r w:rsidR="0045063A" w:rsidRPr="000370FF">
        <w:rPr>
          <w:rFonts w:ascii="Aptos" w:eastAsia="Times New Roman" w:hAnsi="Aptos" w:cs="Times New Roman"/>
          <w:sz w:val="25"/>
          <w:szCs w:val="25"/>
        </w:rPr>
        <w:t xml:space="preserve"> “Nonparticipation Justification” states that “[Student] is in need of individualized support services in order to successfully access the curriculum in math 2 x 60/week.  He requires a therapeutic and supportive setting </w:t>
      </w:r>
      <w:proofErr w:type="gramStart"/>
      <w:r w:rsidR="0045063A" w:rsidRPr="000370FF">
        <w:rPr>
          <w:rFonts w:ascii="Aptos" w:eastAsia="Times New Roman" w:hAnsi="Aptos" w:cs="Times New Roman"/>
          <w:sz w:val="25"/>
          <w:szCs w:val="25"/>
        </w:rPr>
        <w:t>in order to</w:t>
      </w:r>
      <w:proofErr w:type="gramEnd"/>
      <w:r w:rsidR="0045063A" w:rsidRPr="000370FF">
        <w:rPr>
          <w:rFonts w:ascii="Aptos" w:eastAsia="Times New Roman" w:hAnsi="Aptos" w:cs="Times New Roman"/>
          <w:sz w:val="25"/>
          <w:szCs w:val="25"/>
        </w:rPr>
        <w:t xml:space="preserve"> meet with success and will also meet individually with a school counselor 1 x 30/week.”</w:t>
      </w:r>
      <w:r w:rsidR="00C85058" w:rsidRPr="000370FF">
        <w:rPr>
          <w:rFonts w:ascii="Aptos" w:eastAsia="Times New Roman" w:hAnsi="Aptos" w:cs="Times New Roman"/>
          <w:sz w:val="25"/>
          <w:szCs w:val="25"/>
        </w:rPr>
        <w:t xml:space="preserve">  (</w:t>
      </w:r>
      <w:r w:rsidR="00C85058" w:rsidRPr="000370FF">
        <w:rPr>
          <w:rFonts w:ascii="Aptos" w:eastAsia="Times New Roman" w:hAnsi="Aptos" w:cs="Times New Roman"/>
          <w:i/>
          <w:iCs/>
          <w:sz w:val="25"/>
          <w:szCs w:val="25"/>
        </w:rPr>
        <w:t>Hearing Request</w:t>
      </w:r>
      <w:r w:rsidR="00C85058" w:rsidRPr="000370FF">
        <w:rPr>
          <w:rFonts w:ascii="Aptos" w:eastAsia="Times New Roman" w:hAnsi="Aptos" w:cs="Times New Roman"/>
          <w:sz w:val="25"/>
          <w:szCs w:val="25"/>
        </w:rPr>
        <w:t>)</w:t>
      </w:r>
      <w:r w:rsidR="00461FD8" w:rsidRPr="000370FF">
        <w:rPr>
          <w:rFonts w:ascii="Aptos" w:eastAsia="Times New Roman" w:hAnsi="Aptos" w:cs="Times New Roman"/>
          <w:sz w:val="25"/>
          <w:szCs w:val="25"/>
        </w:rPr>
        <w:t>.</w:t>
      </w:r>
    </w:p>
    <w:p w14:paraId="3A3E2BE9" w14:textId="77777777" w:rsidR="00DA78B3" w:rsidRPr="000370FF" w:rsidRDefault="00DA78B3" w:rsidP="00DA78B3">
      <w:pPr>
        <w:pStyle w:val="ListParagraph"/>
        <w:rPr>
          <w:rFonts w:ascii="Aptos" w:eastAsia="Times New Roman" w:hAnsi="Aptos" w:cs="Times New Roman"/>
          <w:sz w:val="25"/>
          <w:szCs w:val="25"/>
        </w:rPr>
      </w:pPr>
    </w:p>
    <w:p w14:paraId="7E275039" w14:textId="59A46C3D" w:rsidR="00DA78B3" w:rsidRPr="000370FF" w:rsidRDefault="00DA78B3" w:rsidP="00DA78B3">
      <w:pPr>
        <w:pStyle w:val="ListParagraph"/>
        <w:numPr>
          <w:ilvl w:val="0"/>
          <w:numId w:val="11"/>
        </w:numPr>
        <w:ind w:left="360"/>
        <w:rPr>
          <w:rFonts w:ascii="Aptos" w:eastAsia="Times New Roman" w:hAnsi="Aptos" w:cs="Times New Roman"/>
          <w:sz w:val="25"/>
          <w:szCs w:val="25"/>
        </w:rPr>
      </w:pPr>
      <w:r w:rsidRPr="000370FF">
        <w:rPr>
          <w:rFonts w:ascii="Aptos" w:eastAsia="Times New Roman" w:hAnsi="Aptos" w:cs="Times New Roman"/>
          <w:sz w:val="25"/>
          <w:szCs w:val="25"/>
        </w:rPr>
        <w:t>The only change to Student’s service delivery grid from the 22-23 IEP was the addition of a 20 minute consultation per month between the special education teacher and the counselor in the A grid to work on all 4 of Student’s Goals (in the areas of Mathematics, Academic Support, Transition and Counseling).  The 23-24 IEP continued to propose that Student receive 2 hours per week of mathematics support with a special education teacher and 30 minutes per week of counseling support with a guidance counselor both in the C-Grid.  Although no placement type was noted on the 23-24 IEP</w:t>
      </w:r>
      <w:r w:rsidR="003537DD" w:rsidRPr="000370FF">
        <w:rPr>
          <w:rFonts w:ascii="Aptos" w:eastAsia="Times New Roman" w:hAnsi="Aptos" w:cs="Times New Roman"/>
          <w:sz w:val="25"/>
          <w:szCs w:val="25"/>
        </w:rPr>
        <w:t xml:space="preserve"> (as the placement box indicating Student </w:t>
      </w:r>
      <w:r w:rsidR="008F60AC" w:rsidRPr="000370FF">
        <w:rPr>
          <w:rFonts w:ascii="Aptos" w:eastAsia="Times New Roman" w:hAnsi="Aptos" w:cs="Times New Roman"/>
          <w:sz w:val="25"/>
          <w:szCs w:val="25"/>
        </w:rPr>
        <w:t>was incarcerated in a CHC was checked instead)</w:t>
      </w:r>
      <w:r w:rsidRPr="000370FF">
        <w:rPr>
          <w:rFonts w:ascii="Aptos" w:eastAsia="Times New Roman" w:hAnsi="Aptos" w:cs="Times New Roman"/>
          <w:sz w:val="25"/>
          <w:szCs w:val="25"/>
        </w:rPr>
        <w:t>, the proposed location was indicated to be at GOALS.  (</w:t>
      </w:r>
      <w:r w:rsidRPr="000370FF">
        <w:rPr>
          <w:rFonts w:ascii="Aptos" w:eastAsia="Times New Roman" w:hAnsi="Aptos" w:cs="Times New Roman"/>
          <w:i/>
          <w:iCs/>
          <w:sz w:val="25"/>
          <w:szCs w:val="25"/>
        </w:rPr>
        <w:t>Hearing Request</w:t>
      </w:r>
      <w:r w:rsidRPr="000370FF">
        <w:rPr>
          <w:rFonts w:ascii="Aptos" w:eastAsia="Times New Roman" w:hAnsi="Aptos" w:cs="Times New Roman"/>
          <w:sz w:val="25"/>
          <w:szCs w:val="25"/>
        </w:rPr>
        <w:t xml:space="preserve">; </w:t>
      </w:r>
      <w:r w:rsidRPr="000370FF">
        <w:rPr>
          <w:rFonts w:ascii="Aptos" w:eastAsia="Times New Roman" w:hAnsi="Aptos" w:cs="Times New Roman"/>
          <w:i/>
          <w:iCs/>
          <w:sz w:val="25"/>
          <w:szCs w:val="25"/>
        </w:rPr>
        <w:t>DESE Motion</w:t>
      </w:r>
      <w:r w:rsidRPr="000370FF">
        <w:rPr>
          <w:rFonts w:ascii="Aptos" w:eastAsia="Times New Roman" w:hAnsi="Aptos" w:cs="Times New Roman"/>
          <w:sz w:val="25"/>
          <w:szCs w:val="25"/>
        </w:rPr>
        <w:t xml:space="preserve">; </w:t>
      </w:r>
      <w:r w:rsidRPr="000370FF">
        <w:rPr>
          <w:rFonts w:ascii="Aptos" w:eastAsia="Times New Roman" w:hAnsi="Aptos" w:cs="Times New Roman"/>
          <w:i/>
          <w:iCs/>
          <w:sz w:val="25"/>
          <w:szCs w:val="25"/>
        </w:rPr>
        <w:t>Quincy Motion</w:t>
      </w:r>
      <w:r w:rsidRPr="000370FF">
        <w:rPr>
          <w:rFonts w:ascii="Aptos" w:eastAsia="Times New Roman" w:hAnsi="Aptos" w:cs="Times New Roman"/>
          <w:sz w:val="25"/>
          <w:szCs w:val="25"/>
        </w:rPr>
        <w:t>)</w:t>
      </w:r>
      <w:r w:rsidR="00461FD8" w:rsidRPr="000370FF">
        <w:rPr>
          <w:rFonts w:ascii="Aptos" w:eastAsia="Times New Roman" w:hAnsi="Aptos" w:cs="Times New Roman"/>
          <w:sz w:val="25"/>
          <w:szCs w:val="25"/>
        </w:rPr>
        <w:t>.</w:t>
      </w:r>
    </w:p>
    <w:p w14:paraId="453D9EF5" w14:textId="77777777" w:rsidR="00DA78B3" w:rsidRPr="000370FF" w:rsidRDefault="00DA78B3" w:rsidP="00DA78B3">
      <w:pPr>
        <w:pStyle w:val="ListParagraph"/>
        <w:rPr>
          <w:rFonts w:ascii="Aptos" w:eastAsia="Times New Roman" w:hAnsi="Aptos" w:cs="Times New Roman"/>
          <w:sz w:val="25"/>
          <w:szCs w:val="25"/>
        </w:rPr>
      </w:pPr>
    </w:p>
    <w:p w14:paraId="6807E768" w14:textId="56BE29F9" w:rsidR="00DA78B3" w:rsidRPr="000370FF" w:rsidRDefault="00DA78B3" w:rsidP="00DA78B3">
      <w:pPr>
        <w:pStyle w:val="ListParagraph"/>
        <w:numPr>
          <w:ilvl w:val="0"/>
          <w:numId w:val="11"/>
        </w:numPr>
        <w:ind w:left="360"/>
        <w:rPr>
          <w:rFonts w:ascii="Aptos" w:eastAsia="Times New Roman" w:hAnsi="Aptos" w:cs="Times New Roman"/>
          <w:sz w:val="25"/>
          <w:szCs w:val="25"/>
        </w:rPr>
      </w:pPr>
      <w:r w:rsidRPr="000370FF">
        <w:rPr>
          <w:rFonts w:ascii="Aptos" w:eastAsia="Times New Roman" w:hAnsi="Aptos" w:cs="Times New Roman"/>
          <w:sz w:val="25"/>
          <w:szCs w:val="25"/>
        </w:rPr>
        <w:t xml:space="preserve">On January 17, 2024, Student partially rejected the IEP and consented to the placement.  SEIS received a copy of this partial rejection on January 19, 2024.  Student accepted all proposed goals and services but rejected the IEP to the extent that it did not provide 5.5 hours per day of structured learning time (noting that as of that time he was receiving 2 hours of math services per week and 1 hour per week of time to use </w:t>
      </w:r>
      <w:proofErr w:type="spellStart"/>
      <w:r w:rsidRPr="000370FF">
        <w:rPr>
          <w:rFonts w:ascii="Aptos" w:eastAsia="Times New Roman" w:hAnsi="Aptos" w:cs="Times New Roman"/>
          <w:sz w:val="25"/>
          <w:szCs w:val="25"/>
        </w:rPr>
        <w:t>Acellus</w:t>
      </w:r>
      <w:proofErr w:type="spellEnd"/>
      <w:r w:rsidRPr="000370FF">
        <w:rPr>
          <w:rFonts w:ascii="Aptos" w:eastAsia="Times New Roman" w:hAnsi="Aptos" w:cs="Times New Roman"/>
          <w:sz w:val="25"/>
          <w:szCs w:val="25"/>
        </w:rPr>
        <w:t xml:space="preserve">), the lack of any educational instruction for his </w:t>
      </w:r>
      <w:proofErr w:type="spellStart"/>
      <w:r w:rsidRPr="000370FF">
        <w:rPr>
          <w:rFonts w:ascii="Aptos" w:eastAsia="Times New Roman" w:hAnsi="Aptos" w:cs="Times New Roman"/>
          <w:sz w:val="25"/>
          <w:szCs w:val="25"/>
        </w:rPr>
        <w:t>Acellus</w:t>
      </w:r>
      <w:proofErr w:type="spellEnd"/>
      <w:r w:rsidRPr="000370FF">
        <w:rPr>
          <w:rFonts w:ascii="Aptos" w:eastAsia="Times New Roman" w:hAnsi="Aptos" w:cs="Times New Roman"/>
          <w:sz w:val="25"/>
          <w:szCs w:val="25"/>
        </w:rPr>
        <w:t xml:space="preserve"> courses, and the lack of any additional service time to work on the new goals added to his IEP.  He also sought revisions to the Student Concerns section, the Student Strengths and Key Evaluation Results section, and the specific content portion of the PLEP-B section</w:t>
      </w:r>
      <w:r w:rsidR="007304BC" w:rsidRPr="000370FF">
        <w:rPr>
          <w:rStyle w:val="FootnoteReference"/>
          <w:rFonts w:ascii="Aptos" w:eastAsia="Times New Roman" w:hAnsi="Aptos" w:cs="Times New Roman"/>
          <w:sz w:val="25"/>
          <w:szCs w:val="25"/>
        </w:rPr>
        <w:footnoteReference w:id="13"/>
      </w:r>
      <w:r w:rsidR="0065516E" w:rsidRPr="000370FF">
        <w:rPr>
          <w:rFonts w:ascii="Aptos" w:eastAsia="Times New Roman" w:hAnsi="Aptos" w:cs="Times New Roman"/>
          <w:sz w:val="25"/>
          <w:szCs w:val="25"/>
        </w:rPr>
        <w:t xml:space="preserve">.  No rejections were made to PLEP-A or </w:t>
      </w:r>
      <w:r w:rsidR="0065516E" w:rsidRPr="000370FF">
        <w:rPr>
          <w:rFonts w:ascii="Aptos" w:eastAsia="Times New Roman" w:hAnsi="Aptos" w:cs="Times New Roman"/>
          <w:sz w:val="25"/>
          <w:szCs w:val="25"/>
        </w:rPr>
        <w:lastRenderedPageBreak/>
        <w:t>the Non-Participation Justification sections.</w:t>
      </w:r>
      <w:r w:rsidRPr="000370FF">
        <w:rPr>
          <w:rFonts w:ascii="Aptos" w:eastAsia="Times New Roman" w:hAnsi="Aptos" w:cs="Times New Roman"/>
          <w:sz w:val="25"/>
          <w:szCs w:val="25"/>
        </w:rPr>
        <w:t xml:space="preserve">  (</w:t>
      </w:r>
      <w:r w:rsidRPr="000370FF">
        <w:rPr>
          <w:rFonts w:ascii="Aptos" w:eastAsia="Times New Roman" w:hAnsi="Aptos" w:cs="Times New Roman"/>
          <w:i/>
          <w:iCs/>
          <w:sz w:val="25"/>
          <w:szCs w:val="25"/>
        </w:rPr>
        <w:t>Hearing Request</w:t>
      </w:r>
      <w:r w:rsidRPr="000370FF">
        <w:rPr>
          <w:rFonts w:ascii="Aptos" w:eastAsia="Times New Roman" w:hAnsi="Aptos" w:cs="Times New Roman"/>
          <w:sz w:val="25"/>
          <w:szCs w:val="25"/>
        </w:rPr>
        <w:t xml:space="preserve">; </w:t>
      </w:r>
      <w:r w:rsidRPr="000370FF">
        <w:rPr>
          <w:rFonts w:ascii="Aptos" w:eastAsia="Times New Roman" w:hAnsi="Aptos" w:cs="Times New Roman"/>
          <w:i/>
          <w:iCs/>
          <w:sz w:val="25"/>
          <w:szCs w:val="25"/>
        </w:rPr>
        <w:t>DESE Motion</w:t>
      </w:r>
      <w:r w:rsidRPr="000370FF">
        <w:rPr>
          <w:rFonts w:ascii="Aptos" w:eastAsia="Times New Roman" w:hAnsi="Aptos" w:cs="Times New Roman"/>
          <w:sz w:val="25"/>
          <w:szCs w:val="25"/>
        </w:rPr>
        <w:t xml:space="preserve">; </w:t>
      </w:r>
      <w:r w:rsidRPr="000370FF">
        <w:rPr>
          <w:rFonts w:ascii="Aptos" w:eastAsia="Times New Roman" w:hAnsi="Aptos" w:cs="Times New Roman"/>
          <w:i/>
          <w:iCs/>
          <w:sz w:val="25"/>
          <w:szCs w:val="25"/>
        </w:rPr>
        <w:t>Quincy Motion</w:t>
      </w:r>
      <w:r w:rsidRPr="000370FF">
        <w:rPr>
          <w:rFonts w:ascii="Aptos" w:eastAsia="Times New Roman" w:hAnsi="Aptos" w:cs="Times New Roman"/>
          <w:sz w:val="25"/>
          <w:szCs w:val="25"/>
        </w:rPr>
        <w:t>)</w:t>
      </w:r>
      <w:r w:rsidR="00461FD8" w:rsidRPr="000370FF">
        <w:rPr>
          <w:rFonts w:ascii="Aptos" w:eastAsia="Times New Roman" w:hAnsi="Aptos" w:cs="Times New Roman"/>
          <w:sz w:val="25"/>
          <w:szCs w:val="25"/>
        </w:rPr>
        <w:t>.</w:t>
      </w:r>
    </w:p>
    <w:p w14:paraId="124568C9" w14:textId="77777777" w:rsidR="00DA78B3" w:rsidRPr="000370FF" w:rsidRDefault="00DA78B3" w:rsidP="00DA78B3">
      <w:pPr>
        <w:pStyle w:val="ListParagraph"/>
        <w:rPr>
          <w:rFonts w:ascii="Aptos" w:eastAsia="Times New Roman" w:hAnsi="Aptos" w:cs="Times New Roman"/>
          <w:sz w:val="25"/>
          <w:szCs w:val="25"/>
        </w:rPr>
      </w:pPr>
    </w:p>
    <w:p w14:paraId="0BD19EFF" w14:textId="1258E3BB" w:rsidR="00DA78B3" w:rsidRPr="000370FF" w:rsidRDefault="00DA78B3" w:rsidP="00DA78B3">
      <w:pPr>
        <w:pStyle w:val="ListParagraph"/>
        <w:numPr>
          <w:ilvl w:val="0"/>
          <w:numId w:val="11"/>
        </w:numPr>
        <w:ind w:left="360"/>
        <w:rPr>
          <w:rFonts w:ascii="Aptos" w:eastAsia="Times New Roman" w:hAnsi="Aptos" w:cs="Times New Roman"/>
          <w:sz w:val="25"/>
          <w:szCs w:val="25"/>
        </w:rPr>
      </w:pPr>
      <w:r w:rsidRPr="000370FF">
        <w:rPr>
          <w:rFonts w:ascii="Aptos" w:eastAsia="Times New Roman" w:hAnsi="Aptos" w:cs="Times New Roman"/>
          <w:sz w:val="25"/>
          <w:szCs w:val="25"/>
        </w:rPr>
        <w:t>On January 30, 2024, Student passed the Math MCAS exam.  As a result, Student has now passed all MCAS exams needed to earn a high school diploma.  (</w:t>
      </w:r>
      <w:r w:rsidRPr="000370FF">
        <w:rPr>
          <w:rFonts w:ascii="Aptos" w:eastAsia="Times New Roman" w:hAnsi="Aptos" w:cs="Times New Roman"/>
          <w:i/>
          <w:iCs/>
          <w:sz w:val="25"/>
          <w:szCs w:val="25"/>
        </w:rPr>
        <w:t>DESE Motion</w:t>
      </w:r>
      <w:r w:rsidRPr="000370FF">
        <w:rPr>
          <w:rFonts w:ascii="Aptos" w:eastAsia="Times New Roman" w:hAnsi="Aptos" w:cs="Times New Roman"/>
          <w:sz w:val="25"/>
          <w:szCs w:val="25"/>
        </w:rPr>
        <w:t xml:space="preserve">; </w:t>
      </w:r>
      <w:r w:rsidRPr="000370FF">
        <w:rPr>
          <w:rFonts w:ascii="Aptos" w:eastAsia="Times New Roman" w:hAnsi="Aptos" w:cs="Times New Roman"/>
          <w:i/>
          <w:iCs/>
          <w:sz w:val="25"/>
          <w:szCs w:val="25"/>
        </w:rPr>
        <w:t>Quincy Motion</w:t>
      </w:r>
      <w:r w:rsidRPr="000370FF">
        <w:rPr>
          <w:rFonts w:ascii="Aptos" w:eastAsia="Times New Roman" w:hAnsi="Aptos" w:cs="Times New Roman"/>
          <w:sz w:val="25"/>
          <w:szCs w:val="25"/>
        </w:rPr>
        <w:t>)</w:t>
      </w:r>
      <w:r w:rsidR="00461FD8" w:rsidRPr="000370FF">
        <w:rPr>
          <w:rFonts w:ascii="Aptos" w:eastAsia="Times New Roman" w:hAnsi="Aptos" w:cs="Times New Roman"/>
          <w:sz w:val="25"/>
          <w:szCs w:val="25"/>
        </w:rPr>
        <w:t>.</w:t>
      </w:r>
    </w:p>
    <w:p w14:paraId="03CD440E" w14:textId="77777777" w:rsidR="00DA78B3" w:rsidRPr="000370FF" w:rsidRDefault="00DA78B3" w:rsidP="00DA78B3">
      <w:pPr>
        <w:pStyle w:val="ListParagraph"/>
        <w:rPr>
          <w:rFonts w:ascii="Aptos" w:eastAsia="Times New Roman" w:hAnsi="Aptos" w:cs="Times New Roman"/>
          <w:sz w:val="25"/>
          <w:szCs w:val="25"/>
        </w:rPr>
      </w:pPr>
    </w:p>
    <w:p w14:paraId="74B86F07" w14:textId="585D1224" w:rsidR="00DA78B3" w:rsidRPr="000370FF" w:rsidRDefault="00DA78B3" w:rsidP="00DA78B3">
      <w:pPr>
        <w:pStyle w:val="ListParagraph"/>
        <w:numPr>
          <w:ilvl w:val="0"/>
          <w:numId w:val="11"/>
        </w:numPr>
        <w:ind w:left="360"/>
        <w:rPr>
          <w:rFonts w:ascii="Aptos" w:eastAsia="Times New Roman" w:hAnsi="Aptos" w:cs="Times New Roman"/>
          <w:sz w:val="25"/>
          <w:szCs w:val="25"/>
        </w:rPr>
      </w:pPr>
      <w:r w:rsidRPr="000370FF">
        <w:rPr>
          <w:rFonts w:ascii="Aptos" w:eastAsia="Times New Roman" w:hAnsi="Aptos" w:cs="Times New Roman"/>
          <w:sz w:val="25"/>
          <w:szCs w:val="25"/>
        </w:rPr>
        <w:t xml:space="preserve">Shortly after the filing of the </w:t>
      </w:r>
      <w:r w:rsidRPr="000370FF">
        <w:rPr>
          <w:rFonts w:ascii="Aptos" w:eastAsia="Times New Roman" w:hAnsi="Aptos" w:cs="Times New Roman"/>
          <w:i/>
          <w:iCs/>
          <w:sz w:val="25"/>
          <w:szCs w:val="25"/>
        </w:rPr>
        <w:t>Hearing Request</w:t>
      </w:r>
      <w:r w:rsidRPr="000370FF">
        <w:rPr>
          <w:rFonts w:ascii="Aptos" w:eastAsia="Times New Roman" w:hAnsi="Aptos" w:cs="Times New Roman"/>
          <w:sz w:val="25"/>
          <w:szCs w:val="25"/>
        </w:rPr>
        <w:t>, Student was transferred to the Plymouth CHC, but has since returned to the Norfolk CHC.  Plymouth CHC and Norfolk CHC have different procedures and rules pertaining to access to educational materials.  (</w:t>
      </w:r>
      <w:r w:rsidRPr="000370FF">
        <w:rPr>
          <w:rFonts w:ascii="Aptos" w:eastAsia="Times New Roman" w:hAnsi="Aptos" w:cs="Times New Roman"/>
          <w:i/>
          <w:iCs/>
          <w:sz w:val="25"/>
          <w:szCs w:val="25"/>
        </w:rPr>
        <w:t>DESE Motion</w:t>
      </w:r>
      <w:r w:rsidRPr="000370FF">
        <w:rPr>
          <w:rFonts w:ascii="Aptos" w:eastAsia="Times New Roman" w:hAnsi="Aptos" w:cs="Times New Roman"/>
          <w:sz w:val="25"/>
          <w:szCs w:val="25"/>
        </w:rPr>
        <w:t xml:space="preserve">; </w:t>
      </w:r>
      <w:r w:rsidRPr="000370FF">
        <w:rPr>
          <w:rFonts w:ascii="Aptos" w:eastAsia="Times New Roman" w:hAnsi="Aptos" w:cs="Times New Roman"/>
          <w:i/>
          <w:iCs/>
          <w:sz w:val="25"/>
          <w:szCs w:val="25"/>
        </w:rPr>
        <w:t>Quincy Motion</w:t>
      </w:r>
      <w:r w:rsidRPr="000370FF">
        <w:rPr>
          <w:rFonts w:ascii="Aptos" w:eastAsia="Times New Roman" w:hAnsi="Aptos" w:cs="Times New Roman"/>
          <w:sz w:val="25"/>
          <w:szCs w:val="25"/>
        </w:rPr>
        <w:t xml:space="preserve">).  </w:t>
      </w:r>
    </w:p>
    <w:p w14:paraId="6288443F" w14:textId="77777777" w:rsidR="00DA78B3" w:rsidRPr="000370FF" w:rsidRDefault="00DA78B3" w:rsidP="00DA78B3">
      <w:pPr>
        <w:pStyle w:val="ListParagraph"/>
        <w:rPr>
          <w:rFonts w:ascii="Aptos" w:eastAsia="Times New Roman" w:hAnsi="Aptos" w:cs="Times New Roman"/>
          <w:sz w:val="25"/>
          <w:szCs w:val="25"/>
        </w:rPr>
      </w:pPr>
    </w:p>
    <w:p w14:paraId="20AF0386" w14:textId="0C7798CA" w:rsidR="00DA78B3" w:rsidRPr="000370FF" w:rsidRDefault="00DA78B3" w:rsidP="00DA78B3">
      <w:pPr>
        <w:pStyle w:val="ListParagraph"/>
        <w:numPr>
          <w:ilvl w:val="0"/>
          <w:numId w:val="11"/>
        </w:numPr>
        <w:ind w:left="360"/>
        <w:rPr>
          <w:rFonts w:ascii="Aptos" w:eastAsia="Times New Roman" w:hAnsi="Aptos" w:cs="Times New Roman"/>
          <w:sz w:val="25"/>
          <w:szCs w:val="25"/>
        </w:rPr>
      </w:pPr>
      <w:r w:rsidRPr="000370FF">
        <w:rPr>
          <w:rFonts w:ascii="Aptos" w:eastAsia="Times New Roman" w:hAnsi="Aptos" w:cs="Times New Roman"/>
          <w:sz w:val="25"/>
          <w:szCs w:val="25"/>
        </w:rPr>
        <w:t>According to the SEIS Manual, any student inmate in a CHC who has not attained a high school diploma</w:t>
      </w:r>
      <w:r w:rsidR="000C4155" w:rsidRPr="000370FF">
        <w:rPr>
          <w:rFonts w:ascii="Aptos" w:eastAsia="Times New Roman" w:hAnsi="Aptos" w:cs="Times New Roman"/>
          <w:sz w:val="25"/>
          <w:szCs w:val="25"/>
        </w:rPr>
        <w:t>,</w:t>
      </w:r>
      <w:r w:rsidRPr="000370FF">
        <w:rPr>
          <w:rFonts w:ascii="Aptos" w:eastAsia="Times New Roman" w:hAnsi="Aptos" w:cs="Times New Roman"/>
          <w:sz w:val="25"/>
          <w:szCs w:val="25"/>
        </w:rPr>
        <w:t xml:space="preserve"> or its equivalent</w:t>
      </w:r>
      <w:r w:rsidR="00575C6E" w:rsidRPr="000370FF">
        <w:rPr>
          <w:rFonts w:ascii="Aptos" w:eastAsia="Times New Roman" w:hAnsi="Aptos" w:cs="Times New Roman"/>
          <w:sz w:val="25"/>
          <w:szCs w:val="25"/>
        </w:rPr>
        <w:t>,</w:t>
      </w:r>
      <w:r w:rsidRPr="000370FF">
        <w:rPr>
          <w:rFonts w:ascii="Aptos" w:eastAsia="Times New Roman" w:hAnsi="Aptos" w:cs="Times New Roman"/>
          <w:sz w:val="25"/>
          <w:szCs w:val="25"/>
        </w:rPr>
        <w:t xml:space="preserve"> is “potentially eligible” for special education services and shall be identified by the CHC Education Director as such.  Documentation of this identification shall be maintained subject to review by DESE upon request.  </w:t>
      </w:r>
      <w:r w:rsidR="004E6E02" w:rsidRPr="000370FF">
        <w:rPr>
          <w:rFonts w:ascii="Aptos" w:eastAsia="Times New Roman" w:hAnsi="Aptos" w:cs="Times New Roman"/>
          <w:sz w:val="25"/>
          <w:szCs w:val="25"/>
        </w:rPr>
        <w:t xml:space="preserve">There are 3 “steps” involved in the process </w:t>
      </w:r>
      <w:r w:rsidR="00575C6E" w:rsidRPr="000370FF">
        <w:rPr>
          <w:rFonts w:ascii="Aptos" w:eastAsia="Times New Roman" w:hAnsi="Aptos" w:cs="Times New Roman"/>
          <w:sz w:val="25"/>
          <w:szCs w:val="25"/>
        </w:rPr>
        <w:t>between</w:t>
      </w:r>
      <w:r w:rsidR="004E6E02" w:rsidRPr="000370FF">
        <w:rPr>
          <w:rFonts w:ascii="Aptos" w:eastAsia="Times New Roman" w:hAnsi="Aptos" w:cs="Times New Roman"/>
          <w:sz w:val="25"/>
          <w:szCs w:val="25"/>
        </w:rPr>
        <w:t xml:space="preserve"> identification to </w:t>
      </w:r>
      <w:r w:rsidR="00CA104C" w:rsidRPr="000370FF">
        <w:rPr>
          <w:rFonts w:ascii="Aptos" w:eastAsia="Times New Roman" w:hAnsi="Aptos" w:cs="Times New Roman"/>
          <w:sz w:val="25"/>
          <w:szCs w:val="25"/>
        </w:rPr>
        <w:t xml:space="preserve">SEIS </w:t>
      </w:r>
      <w:r w:rsidR="004E6E02" w:rsidRPr="000370FF">
        <w:rPr>
          <w:rFonts w:ascii="Aptos" w:eastAsia="Times New Roman" w:hAnsi="Aptos" w:cs="Times New Roman"/>
          <w:sz w:val="25"/>
          <w:szCs w:val="25"/>
        </w:rPr>
        <w:t xml:space="preserve">implementation of special education services.  </w:t>
      </w:r>
      <w:r w:rsidRPr="000370FF">
        <w:rPr>
          <w:rFonts w:ascii="Aptos" w:eastAsia="Times New Roman" w:hAnsi="Aptos" w:cs="Times New Roman"/>
          <w:sz w:val="25"/>
          <w:szCs w:val="25"/>
        </w:rPr>
        <w:t xml:space="preserve">Step I </w:t>
      </w:r>
      <w:r w:rsidR="00911F08" w:rsidRPr="000370FF">
        <w:rPr>
          <w:rFonts w:ascii="Aptos" w:eastAsia="Times New Roman" w:hAnsi="Aptos" w:cs="Times New Roman"/>
          <w:sz w:val="25"/>
          <w:szCs w:val="25"/>
        </w:rPr>
        <w:t>involves</w:t>
      </w:r>
      <w:r w:rsidRPr="000370FF">
        <w:rPr>
          <w:rFonts w:ascii="Aptos" w:eastAsia="Times New Roman" w:hAnsi="Aptos" w:cs="Times New Roman"/>
          <w:sz w:val="25"/>
          <w:szCs w:val="25"/>
        </w:rPr>
        <w:t xml:space="preserve"> the CHC Education Director</w:t>
      </w:r>
      <w:r w:rsidR="00571E0C" w:rsidRPr="000370FF">
        <w:rPr>
          <w:rFonts w:ascii="Aptos" w:eastAsia="Times New Roman" w:hAnsi="Aptos" w:cs="Times New Roman"/>
          <w:sz w:val="25"/>
          <w:szCs w:val="25"/>
        </w:rPr>
        <w:t>’s</w:t>
      </w:r>
      <w:r w:rsidR="00E4629F" w:rsidRPr="000370FF">
        <w:rPr>
          <w:rFonts w:ascii="Aptos" w:eastAsia="Times New Roman" w:hAnsi="Aptos" w:cs="Times New Roman"/>
          <w:sz w:val="25"/>
          <w:szCs w:val="25"/>
        </w:rPr>
        <w:t xml:space="preserve"> </w:t>
      </w:r>
      <w:r w:rsidRPr="000370FF">
        <w:rPr>
          <w:rFonts w:ascii="Aptos" w:eastAsia="Times New Roman" w:hAnsi="Aptos" w:cs="Times New Roman"/>
          <w:sz w:val="25"/>
          <w:szCs w:val="25"/>
        </w:rPr>
        <w:t>obtain</w:t>
      </w:r>
      <w:r w:rsidR="00911F08" w:rsidRPr="000370FF">
        <w:rPr>
          <w:rFonts w:ascii="Aptos" w:eastAsia="Times New Roman" w:hAnsi="Aptos" w:cs="Times New Roman"/>
          <w:sz w:val="25"/>
          <w:szCs w:val="25"/>
        </w:rPr>
        <w:t>ing</w:t>
      </w:r>
      <w:r w:rsidRPr="000370FF">
        <w:rPr>
          <w:rFonts w:ascii="Aptos" w:eastAsia="Times New Roman" w:hAnsi="Aptos" w:cs="Times New Roman"/>
          <w:sz w:val="25"/>
          <w:szCs w:val="25"/>
        </w:rPr>
        <w:t xml:space="preserve"> consent from the potentially eligible student to proceed with the special education evaluation process</w:t>
      </w:r>
      <w:r w:rsidR="00E4629F" w:rsidRPr="000370FF">
        <w:rPr>
          <w:rFonts w:ascii="Aptos" w:eastAsia="Times New Roman" w:hAnsi="Aptos" w:cs="Times New Roman"/>
          <w:sz w:val="25"/>
          <w:szCs w:val="25"/>
        </w:rPr>
        <w:t>.  Thereafter</w:t>
      </w:r>
      <w:r w:rsidR="001874E1" w:rsidRPr="000370FF">
        <w:rPr>
          <w:rFonts w:ascii="Aptos" w:eastAsia="Times New Roman" w:hAnsi="Aptos" w:cs="Times New Roman"/>
          <w:sz w:val="25"/>
          <w:szCs w:val="25"/>
        </w:rPr>
        <w:t xml:space="preserve">, </w:t>
      </w:r>
      <w:r w:rsidRPr="000370FF">
        <w:rPr>
          <w:rFonts w:ascii="Aptos" w:eastAsia="Times New Roman" w:hAnsi="Aptos" w:cs="Times New Roman"/>
          <w:sz w:val="25"/>
          <w:szCs w:val="25"/>
        </w:rPr>
        <w:t xml:space="preserve">the CHC Education director “and/or the SEIS Teacher” </w:t>
      </w:r>
      <w:r w:rsidR="001874E1" w:rsidRPr="000370FF">
        <w:rPr>
          <w:rFonts w:ascii="Aptos" w:eastAsia="Times New Roman" w:hAnsi="Aptos" w:cs="Times New Roman"/>
          <w:sz w:val="25"/>
          <w:szCs w:val="25"/>
        </w:rPr>
        <w:t>“</w:t>
      </w:r>
      <w:r w:rsidRPr="000370FF">
        <w:rPr>
          <w:rFonts w:ascii="Aptos" w:eastAsia="Times New Roman" w:hAnsi="Aptos" w:cs="Times New Roman"/>
          <w:sz w:val="25"/>
          <w:szCs w:val="25"/>
        </w:rPr>
        <w:t>shall</w:t>
      </w:r>
      <w:r w:rsidR="001874E1" w:rsidRPr="000370FF">
        <w:rPr>
          <w:rFonts w:ascii="Aptos" w:eastAsia="Times New Roman" w:hAnsi="Aptos" w:cs="Times New Roman"/>
          <w:sz w:val="25"/>
          <w:szCs w:val="25"/>
        </w:rPr>
        <w:t>”</w:t>
      </w:r>
      <w:r w:rsidRPr="000370FF">
        <w:rPr>
          <w:rFonts w:ascii="Aptos" w:eastAsia="Times New Roman" w:hAnsi="Aptos" w:cs="Times New Roman"/>
          <w:sz w:val="25"/>
          <w:szCs w:val="25"/>
        </w:rPr>
        <w:t xml:space="preserve"> interview the potentially eligible student to complete </w:t>
      </w:r>
      <w:r w:rsidR="001874E1" w:rsidRPr="000370FF">
        <w:rPr>
          <w:rFonts w:ascii="Aptos" w:eastAsia="Times New Roman" w:hAnsi="Aptos" w:cs="Times New Roman"/>
          <w:sz w:val="25"/>
          <w:szCs w:val="25"/>
        </w:rPr>
        <w:t xml:space="preserve">an </w:t>
      </w:r>
      <w:r w:rsidRPr="000370FF">
        <w:rPr>
          <w:rFonts w:ascii="Aptos" w:eastAsia="Times New Roman" w:hAnsi="Aptos" w:cs="Times New Roman"/>
          <w:sz w:val="25"/>
          <w:szCs w:val="25"/>
        </w:rPr>
        <w:t xml:space="preserve">intake packet </w:t>
      </w:r>
      <w:r w:rsidR="001874E1" w:rsidRPr="000370FF">
        <w:rPr>
          <w:rFonts w:ascii="Aptos" w:eastAsia="Times New Roman" w:hAnsi="Aptos" w:cs="Times New Roman"/>
          <w:sz w:val="25"/>
          <w:szCs w:val="25"/>
        </w:rPr>
        <w:t xml:space="preserve">that </w:t>
      </w:r>
      <w:r w:rsidRPr="000370FF">
        <w:rPr>
          <w:rFonts w:ascii="Aptos" w:eastAsia="Times New Roman" w:hAnsi="Aptos" w:cs="Times New Roman"/>
          <w:sz w:val="25"/>
          <w:szCs w:val="25"/>
        </w:rPr>
        <w:t>the SEIS Teacher then send</w:t>
      </w:r>
      <w:r w:rsidR="001874E1" w:rsidRPr="000370FF">
        <w:rPr>
          <w:rFonts w:ascii="Aptos" w:eastAsia="Times New Roman" w:hAnsi="Aptos" w:cs="Times New Roman"/>
          <w:sz w:val="25"/>
          <w:szCs w:val="25"/>
        </w:rPr>
        <w:t>s</w:t>
      </w:r>
      <w:r w:rsidRPr="000370FF">
        <w:rPr>
          <w:rFonts w:ascii="Aptos" w:eastAsia="Times New Roman" w:hAnsi="Aptos" w:cs="Times New Roman"/>
          <w:sz w:val="25"/>
          <w:szCs w:val="25"/>
        </w:rPr>
        <w:t xml:space="preserve"> to the administrative liaison at the </w:t>
      </w:r>
      <w:r w:rsidR="003C2663" w:rsidRPr="000370FF">
        <w:rPr>
          <w:rFonts w:ascii="Aptos" w:eastAsia="Times New Roman" w:hAnsi="Aptos" w:cs="Times New Roman"/>
          <w:sz w:val="25"/>
          <w:szCs w:val="25"/>
        </w:rPr>
        <w:t>local education agency (LEA)</w:t>
      </w:r>
      <w:r w:rsidRPr="000370FF">
        <w:rPr>
          <w:rFonts w:ascii="Aptos" w:eastAsia="Times New Roman" w:hAnsi="Aptos" w:cs="Times New Roman"/>
          <w:sz w:val="25"/>
          <w:szCs w:val="25"/>
        </w:rPr>
        <w:t xml:space="preserve">.  </w:t>
      </w:r>
      <w:r w:rsidR="00F079B9" w:rsidRPr="000370FF">
        <w:rPr>
          <w:rFonts w:ascii="Aptos" w:eastAsia="Times New Roman" w:hAnsi="Aptos" w:cs="Times New Roman"/>
          <w:sz w:val="25"/>
          <w:szCs w:val="25"/>
        </w:rPr>
        <w:t>From there, Steps II</w:t>
      </w:r>
      <w:r w:rsidR="004E6E02" w:rsidRPr="000370FF">
        <w:rPr>
          <w:rFonts w:ascii="Aptos" w:eastAsia="Times New Roman" w:hAnsi="Aptos" w:cs="Times New Roman"/>
          <w:sz w:val="25"/>
          <w:szCs w:val="25"/>
        </w:rPr>
        <w:t xml:space="preserve"> and III are completed by SEIS and the LEA.</w:t>
      </w:r>
      <w:r w:rsidR="00F079B9" w:rsidRPr="000370FF">
        <w:rPr>
          <w:rFonts w:ascii="Aptos" w:eastAsia="Times New Roman" w:hAnsi="Aptos" w:cs="Times New Roman"/>
          <w:sz w:val="25"/>
          <w:szCs w:val="25"/>
        </w:rPr>
        <w:t xml:space="preserve"> </w:t>
      </w:r>
      <w:r w:rsidRPr="000370FF">
        <w:rPr>
          <w:rFonts w:ascii="Aptos" w:eastAsia="Times New Roman" w:hAnsi="Aptos" w:cs="Times New Roman"/>
          <w:sz w:val="25"/>
          <w:szCs w:val="25"/>
        </w:rPr>
        <w:t>(</w:t>
      </w:r>
      <w:r w:rsidRPr="000370FF">
        <w:rPr>
          <w:rFonts w:ascii="Aptos" w:eastAsia="Times New Roman" w:hAnsi="Aptos" w:cs="Times New Roman"/>
          <w:i/>
          <w:iCs/>
          <w:sz w:val="25"/>
          <w:szCs w:val="25"/>
        </w:rPr>
        <w:t>Hearing Request</w:t>
      </w:r>
      <w:r w:rsidRPr="000370FF">
        <w:rPr>
          <w:rFonts w:ascii="Aptos" w:eastAsia="Times New Roman" w:hAnsi="Aptos" w:cs="Times New Roman"/>
          <w:sz w:val="25"/>
          <w:szCs w:val="25"/>
        </w:rPr>
        <w:t>)</w:t>
      </w:r>
      <w:r w:rsidR="00461FD8" w:rsidRPr="000370FF">
        <w:rPr>
          <w:rFonts w:ascii="Aptos" w:eastAsia="Times New Roman" w:hAnsi="Aptos" w:cs="Times New Roman"/>
          <w:sz w:val="25"/>
          <w:szCs w:val="25"/>
        </w:rPr>
        <w:t>.</w:t>
      </w:r>
    </w:p>
    <w:p w14:paraId="3EC6BC21" w14:textId="77777777" w:rsidR="00B13963" w:rsidRPr="000370FF" w:rsidRDefault="00B13963" w:rsidP="00B13963">
      <w:pPr>
        <w:pStyle w:val="ListParagraph"/>
        <w:rPr>
          <w:rFonts w:ascii="Aptos" w:eastAsia="Times New Roman" w:hAnsi="Aptos" w:cs="Times New Roman"/>
          <w:sz w:val="25"/>
          <w:szCs w:val="25"/>
        </w:rPr>
      </w:pPr>
    </w:p>
    <w:p w14:paraId="0C3A9730" w14:textId="189D89DA" w:rsidR="00B13963" w:rsidRPr="000370FF" w:rsidRDefault="00B13963" w:rsidP="00B13963">
      <w:pPr>
        <w:jc w:val="center"/>
        <w:rPr>
          <w:rFonts w:ascii="Aptos" w:eastAsia="Times New Roman" w:hAnsi="Aptos" w:cs="Times New Roman"/>
          <w:b/>
          <w:bCs/>
          <w:sz w:val="25"/>
          <w:szCs w:val="25"/>
        </w:rPr>
      </w:pPr>
      <w:r w:rsidRPr="000370FF">
        <w:rPr>
          <w:rFonts w:ascii="Aptos" w:eastAsia="Times New Roman" w:hAnsi="Aptos" w:cs="Times New Roman"/>
          <w:b/>
          <w:bCs/>
          <w:sz w:val="25"/>
          <w:szCs w:val="25"/>
        </w:rPr>
        <w:t>POSITION OF THE PARTIES</w:t>
      </w:r>
    </w:p>
    <w:p w14:paraId="0EDE757F" w14:textId="77777777" w:rsidR="00B13963" w:rsidRPr="000370FF" w:rsidRDefault="00B13963" w:rsidP="00B13963">
      <w:pPr>
        <w:jc w:val="center"/>
        <w:rPr>
          <w:rFonts w:ascii="Aptos" w:eastAsia="Times New Roman" w:hAnsi="Aptos" w:cs="Times New Roman"/>
          <w:b/>
          <w:bCs/>
          <w:sz w:val="25"/>
          <w:szCs w:val="25"/>
        </w:rPr>
      </w:pPr>
    </w:p>
    <w:p w14:paraId="60EDD3E5" w14:textId="4C1913FB" w:rsidR="00B13963" w:rsidRPr="000370FF" w:rsidRDefault="00B13963" w:rsidP="00B13963">
      <w:pPr>
        <w:rPr>
          <w:rFonts w:ascii="Aptos" w:eastAsia="Times New Roman" w:hAnsi="Aptos" w:cs="Times New Roman"/>
          <w:sz w:val="25"/>
          <w:szCs w:val="25"/>
          <w:u w:val="single"/>
        </w:rPr>
      </w:pPr>
      <w:r w:rsidRPr="000370FF">
        <w:rPr>
          <w:rFonts w:ascii="Aptos" w:eastAsia="Times New Roman" w:hAnsi="Aptos" w:cs="Times New Roman"/>
          <w:sz w:val="25"/>
          <w:szCs w:val="25"/>
          <w:u w:val="single"/>
        </w:rPr>
        <w:t>DESE’S POSITION</w:t>
      </w:r>
    </w:p>
    <w:p w14:paraId="691D255A" w14:textId="77777777" w:rsidR="00B13963" w:rsidRPr="000370FF" w:rsidRDefault="00B13963" w:rsidP="00B13963">
      <w:pPr>
        <w:rPr>
          <w:rFonts w:ascii="Aptos" w:eastAsia="Times New Roman" w:hAnsi="Aptos" w:cs="Times New Roman"/>
          <w:sz w:val="25"/>
          <w:szCs w:val="25"/>
          <w:u w:val="single"/>
        </w:rPr>
      </w:pPr>
    </w:p>
    <w:p w14:paraId="69DF7079" w14:textId="7E871EA5" w:rsidR="00512ED9" w:rsidRPr="000370FF" w:rsidRDefault="00512ED9" w:rsidP="00512ED9">
      <w:pPr>
        <w:rPr>
          <w:rFonts w:ascii="Aptos" w:hAnsi="Aptos" w:cs="Times New Roman"/>
          <w:sz w:val="25"/>
          <w:szCs w:val="25"/>
        </w:rPr>
      </w:pPr>
      <w:r w:rsidRPr="000370FF">
        <w:rPr>
          <w:rFonts w:ascii="Aptos" w:hAnsi="Aptos" w:cs="Times New Roman"/>
          <w:sz w:val="25"/>
          <w:szCs w:val="25"/>
        </w:rPr>
        <w:t>DESE seeks dismissal of the Systemic Claims and certain of the Individual Claims.  As to the Systemic Claims, DESE</w:t>
      </w:r>
      <w:r w:rsidR="00D55383" w:rsidRPr="000370FF">
        <w:rPr>
          <w:rFonts w:ascii="Aptos" w:hAnsi="Aptos" w:cs="Times New Roman"/>
          <w:sz w:val="25"/>
          <w:szCs w:val="25"/>
        </w:rPr>
        <w:t xml:space="preserve">, relying on prior BSEA </w:t>
      </w:r>
      <w:r w:rsidR="00D55383" w:rsidRPr="000370FF">
        <w:rPr>
          <w:rFonts w:ascii="Aptos" w:hAnsi="Aptos" w:cs="Times New Roman"/>
          <w:i/>
          <w:iCs/>
          <w:sz w:val="25"/>
          <w:szCs w:val="25"/>
        </w:rPr>
        <w:t>Rulings</w:t>
      </w:r>
      <w:r w:rsidR="00D55383" w:rsidRPr="000370FF">
        <w:rPr>
          <w:rFonts w:ascii="Aptos" w:hAnsi="Aptos" w:cs="Times New Roman"/>
          <w:sz w:val="25"/>
          <w:szCs w:val="25"/>
        </w:rPr>
        <w:t>,</w:t>
      </w:r>
      <w:r w:rsidRPr="000370FF">
        <w:rPr>
          <w:rFonts w:ascii="Aptos" w:hAnsi="Aptos" w:cs="Times New Roman"/>
          <w:sz w:val="25"/>
          <w:szCs w:val="25"/>
        </w:rPr>
        <w:t xml:space="preserve"> argues that the BSEA lacks jurisdiction to consider “systemic failures” on behalf of “similarly situated students” or a “class of students”</w:t>
      </w:r>
      <w:r w:rsidR="00D55383" w:rsidRPr="000370FF">
        <w:rPr>
          <w:rFonts w:ascii="Aptos" w:hAnsi="Aptos" w:cs="Times New Roman"/>
          <w:sz w:val="25"/>
          <w:szCs w:val="25"/>
        </w:rPr>
        <w:t>, as it is only able to hear matters involving individual students</w:t>
      </w:r>
      <w:r w:rsidRPr="000370FF">
        <w:rPr>
          <w:rFonts w:ascii="Aptos" w:hAnsi="Aptos" w:cs="Times New Roman"/>
          <w:sz w:val="25"/>
          <w:szCs w:val="25"/>
        </w:rPr>
        <w:t xml:space="preserve">.  </w:t>
      </w:r>
      <w:r w:rsidR="00EB5CA3" w:rsidRPr="000370FF">
        <w:rPr>
          <w:rFonts w:ascii="Aptos" w:hAnsi="Aptos" w:cs="Times New Roman"/>
          <w:sz w:val="25"/>
          <w:szCs w:val="25"/>
        </w:rPr>
        <w:t>Also, a</w:t>
      </w:r>
      <w:r w:rsidR="0075128F" w:rsidRPr="000370FF">
        <w:rPr>
          <w:rFonts w:ascii="Aptos" w:hAnsi="Aptos" w:cs="Times New Roman"/>
          <w:sz w:val="25"/>
          <w:szCs w:val="25"/>
        </w:rPr>
        <w:t>ccording to DESE, under</w:t>
      </w:r>
      <w:r w:rsidRPr="000370FF">
        <w:rPr>
          <w:rFonts w:ascii="Aptos" w:hAnsi="Aptos" w:cs="Times New Roman"/>
          <w:sz w:val="25"/>
          <w:szCs w:val="25"/>
        </w:rPr>
        <w:t xml:space="preserve"> M.G.L. c. 127 §48, </w:t>
      </w:r>
      <w:r w:rsidR="00D92248" w:rsidRPr="000370FF">
        <w:rPr>
          <w:rFonts w:ascii="Aptos" w:hAnsi="Aptos" w:cs="Times New Roman"/>
          <w:sz w:val="25"/>
          <w:szCs w:val="25"/>
        </w:rPr>
        <w:t xml:space="preserve">the </w:t>
      </w:r>
      <w:r w:rsidRPr="000370FF">
        <w:rPr>
          <w:rFonts w:ascii="Aptos" w:hAnsi="Aptos" w:cs="Times New Roman"/>
          <w:sz w:val="25"/>
          <w:szCs w:val="25"/>
        </w:rPr>
        <w:t>Department of Correction, not DESE</w:t>
      </w:r>
      <w:r w:rsidR="0075128F" w:rsidRPr="000370FF">
        <w:rPr>
          <w:rFonts w:ascii="Aptos" w:hAnsi="Aptos" w:cs="Times New Roman"/>
          <w:sz w:val="25"/>
          <w:szCs w:val="25"/>
        </w:rPr>
        <w:t>,</w:t>
      </w:r>
      <w:r w:rsidRPr="000370FF">
        <w:rPr>
          <w:rFonts w:ascii="Aptos" w:hAnsi="Aptos" w:cs="Times New Roman"/>
          <w:sz w:val="25"/>
          <w:szCs w:val="25"/>
        </w:rPr>
        <w:t xml:space="preserve"> is responsible for educating students incarcerated in CHCs.  Finally, </w:t>
      </w:r>
      <w:r w:rsidR="00884610" w:rsidRPr="000370FF">
        <w:rPr>
          <w:rFonts w:ascii="Aptos" w:hAnsi="Aptos" w:cs="Times New Roman"/>
          <w:sz w:val="25"/>
          <w:szCs w:val="25"/>
        </w:rPr>
        <w:t xml:space="preserve">DESE </w:t>
      </w:r>
      <w:r w:rsidR="00650332" w:rsidRPr="000370FF">
        <w:rPr>
          <w:rFonts w:ascii="Aptos" w:hAnsi="Aptos" w:cs="Times New Roman"/>
          <w:sz w:val="25"/>
          <w:szCs w:val="25"/>
        </w:rPr>
        <w:t>contends</w:t>
      </w:r>
      <w:r w:rsidR="00884610" w:rsidRPr="000370FF">
        <w:rPr>
          <w:rFonts w:ascii="Aptos" w:hAnsi="Aptos" w:cs="Times New Roman"/>
          <w:sz w:val="25"/>
          <w:szCs w:val="25"/>
        </w:rPr>
        <w:t xml:space="preserve"> that the systemic claims should be dismissed </w:t>
      </w:r>
      <w:r w:rsidRPr="000370FF">
        <w:rPr>
          <w:rFonts w:ascii="Aptos" w:hAnsi="Aptos" w:cs="Times New Roman"/>
          <w:sz w:val="25"/>
          <w:szCs w:val="25"/>
        </w:rPr>
        <w:t xml:space="preserve">for reasons of “judicial and administrative efficiency [in order to] avoid[] duplicative litigation and </w:t>
      </w:r>
      <w:proofErr w:type="spellStart"/>
      <w:r w:rsidRPr="000370FF">
        <w:rPr>
          <w:rFonts w:ascii="Aptos" w:hAnsi="Aptos" w:cs="Times New Roman"/>
          <w:sz w:val="25"/>
          <w:szCs w:val="25"/>
        </w:rPr>
        <w:t>eliminat</w:t>
      </w:r>
      <w:proofErr w:type="spellEnd"/>
      <w:r w:rsidRPr="000370FF">
        <w:rPr>
          <w:rFonts w:ascii="Aptos" w:hAnsi="Aptos" w:cs="Times New Roman"/>
          <w:sz w:val="25"/>
          <w:szCs w:val="25"/>
        </w:rPr>
        <w:t xml:space="preserve">[e] the risk of conflicting jurisdiction by the BSEA and the Superior Court” as those claims are simultaneously pending before the BSEA and the Superior Court. </w:t>
      </w:r>
      <w:r w:rsidR="00A91851" w:rsidRPr="000370FF">
        <w:rPr>
          <w:rFonts w:ascii="Aptos" w:hAnsi="Aptos" w:cs="Times New Roman"/>
          <w:sz w:val="25"/>
          <w:szCs w:val="25"/>
        </w:rPr>
        <w:t xml:space="preserve"> </w:t>
      </w:r>
      <w:r w:rsidR="0070242C" w:rsidRPr="000370FF">
        <w:rPr>
          <w:rFonts w:ascii="Aptos" w:hAnsi="Aptos" w:cs="Times New Roman"/>
          <w:sz w:val="25"/>
          <w:szCs w:val="25"/>
        </w:rPr>
        <w:t xml:space="preserve">As the </w:t>
      </w:r>
      <w:r w:rsidRPr="000370FF">
        <w:rPr>
          <w:rFonts w:ascii="Aptos" w:hAnsi="Aptos" w:cs="Times New Roman"/>
          <w:sz w:val="25"/>
          <w:szCs w:val="25"/>
        </w:rPr>
        <w:t>BSEA does not share its</w:t>
      </w:r>
      <w:r w:rsidR="008360EF" w:rsidRPr="000370FF">
        <w:rPr>
          <w:rFonts w:ascii="Aptos" w:hAnsi="Aptos" w:cs="Times New Roman"/>
          <w:sz w:val="25"/>
          <w:szCs w:val="25"/>
        </w:rPr>
        <w:t xml:space="preserve"> discrete</w:t>
      </w:r>
      <w:r w:rsidRPr="000370FF">
        <w:rPr>
          <w:rFonts w:ascii="Aptos" w:hAnsi="Aptos" w:cs="Times New Roman"/>
          <w:sz w:val="25"/>
          <w:szCs w:val="25"/>
        </w:rPr>
        <w:t xml:space="preserve"> jurisdiction</w:t>
      </w:r>
      <w:r w:rsidR="008360EF" w:rsidRPr="000370FF">
        <w:rPr>
          <w:rFonts w:ascii="Aptos" w:hAnsi="Aptos" w:cs="Times New Roman"/>
          <w:sz w:val="25"/>
          <w:szCs w:val="25"/>
        </w:rPr>
        <w:t>al authority</w:t>
      </w:r>
      <w:r w:rsidRPr="000370FF">
        <w:rPr>
          <w:rFonts w:ascii="Aptos" w:hAnsi="Aptos" w:cs="Times New Roman"/>
          <w:sz w:val="25"/>
          <w:szCs w:val="25"/>
        </w:rPr>
        <w:t xml:space="preserve"> with the Courts, </w:t>
      </w:r>
      <w:r w:rsidR="0070242C" w:rsidRPr="000370FF">
        <w:rPr>
          <w:rFonts w:ascii="Aptos" w:hAnsi="Aptos" w:cs="Times New Roman"/>
          <w:sz w:val="25"/>
          <w:szCs w:val="25"/>
        </w:rPr>
        <w:t xml:space="preserve">DESE </w:t>
      </w:r>
      <w:r w:rsidR="00650332" w:rsidRPr="000370FF">
        <w:rPr>
          <w:rFonts w:ascii="Aptos" w:hAnsi="Aptos" w:cs="Times New Roman"/>
          <w:sz w:val="25"/>
          <w:szCs w:val="25"/>
        </w:rPr>
        <w:t>submits</w:t>
      </w:r>
      <w:r w:rsidR="0070242C" w:rsidRPr="000370FF">
        <w:rPr>
          <w:rFonts w:ascii="Aptos" w:hAnsi="Aptos" w:cs="Times New Roman"/>
          <w:sz w:val="25"/>
          <w:szCs w:val="25"/>
        </w:rPr>
        <w:t xml:space="preserve"> that</w:t>
      </w:r>
      <w:r w:rsidRPr="000370FF">
        <w:rPr>
          <w:rFonts w:ascii="Aptos" w:hAnsi="Aptos" w:cs="Times New Roman"/>
          <w:sz w:val="25"/>
          <w:szCs w:val="25"/>
        </w:rPr>
        <w:t xml:space="preserve"> Student’s arguments relating to “concurrent jurisdiction” are without merit.</w:t>
      </w:r>
    </w:p>
    <w:p w14:paraId="39BE49E1" w14:textId="77777777" w:rsidR="00512ED9" w:rsidRPr="000370FF" w:rsidRDefault="00512ED9" w:rsidP="00512ED9">
      <w:pPr>
        <w:rPr>
          <w:rFonts w:ascii="Aptos" w:hAnsi="Aptos" w:cs="Times New Roman"/>
          <w:sz w:val="25"/>
          <w:szCs w:val="25"/>
        </w:rPr>
      </w:pPr>
    </w:p>
    <w:p w14:paraId="5933E720" w14:textId="181F1D34" w:rsidR="003B75BD" w:rsidRPr="000370FF" w:rsidRDefault="00512ED9" w:rsidP="00512ED9">
      <w:pPr>
        <w:rPr>
          <w:rFonts w:ascii="Aptos" w:hAnsi="Aptos" w:cs="Times New Roman"/>
          <w:sz w:val="25"/>
          <w:szCs w:val="25"/>
        </w:rPr>
      </w:pPr>
      <w:r w:rsidRPr="000370FF">
        <w:rPr>
          <w:rFonts w:ascii="Aptos" w:hAnsi="Aptos" w:cs="Times New Roman"/>
          <w:sz w:val="25"/>
          <w:szCs w:val="25"/>
        </w:rPr>
        <w:t xml:space="preserve">With respect to the Individual Claims, DESE makes separate arguments in favor of dismissal of the Child Find Claims (Issue 1, above), the FAPE Claims (Issue 2, above) and the LRE </w:t>
      </w:r>
      <w:r w:rsidRPr="000370FF">
        <w:rPr>
          <w:rFonts w:ascii="Aptos" w:hAnsi="Aptos" w:cs="Times New Roman"/>
          <w:sz w:val="25"/>
          <w:szCs w:val="25"/>
        </w:rPr>
        <w:lastRenderedPageBreak/>
        <w:t xml:space="preserve">Claims (Issue 3, above) </w:t>
      </w:r>
      <w:r w:rsidR="00DD53FE" w:rsidRPr="000370FF">
        <w:rPr>
          <w:rFonts w:ascii="Aptos" w:hAnsi="Aptos" w:cs="Times New Roman"/>
          <w:sz w:val="25"/>
          <w:szCs w:val="25"/>
        </w:rPr>
        <w:t>and</w:t>
      </w:r>
      <w:r w:rsidRPr="000370FF">
        <w:rPr>
          <w:rFonts w:ascii="Aptos" w:hAnsi="Aptos" w:cs="Times New Roman"/>
          <w:sz w:val="25"/>
          <w:szCs w:val="25"/>
        </w:rPr>
        <w:t xml:space="preserve"> submits that there are no genuine issues of material fact </w:t>
      </w:r>
      <w:r w:rsidR="00DD53FE" w:rsidRPr="000370FF">
        <w:rPr>
          <w:rFonts w:ascii="Aptos" w:hAnsi="Aptos" w:cs="Times New Roman"/>
          <w:sz w:val="25"/>
          <w:szCs w:val="25"/>
        </w:rPr>
        <w:t xml:space="preserve">relating to any of these Claims </w:t>
      </w:r>
      <w:r w:rsidRPr="000370FF">
        <w:rPr>
          <w:rFonts w:ascii="Aptos" w:hAnsi="Aptos" w:cs="Times New Roman"/>
          <w:sz w:val="25"/>
          <w:szCs w:val="25"/>
        </w:rPr>
        <w:t xml:space="preserve">and that dismissal of such </w:t>
      </w:r>
      <w:r w:rsidR="00DD53FE" w:rsidRPr="000370FF">
        <w:rPr>
          <w:rFonts w:ascii="Aptos" w:hAnsi="Aptos" w:cs="Times New Roman"/>
          <w:sz w:val="25"/>
          <w:szCs w:val="25"/>
        </w:rPr>
        <w:t>C</w:t>
      </w:r>
      <w:r w:rsidRPr="000370FF">
        <w:rPr>
          <w:rFonts w:ascii="Aptos" w:hAnsi="Aptos" w:cs="Times New Roman"/>
          <w:sz w:val="25"/>
          <w:szCs w:val="25"/>
        </w:rPr>
        <w:t>laims is warranted as a matter of law, under both a dismissal and summary judgment standard.  As to the Child Find Claims (Issue 1), DESE contends that it (inclusive of SEIS) had no responsibility to identify Student for special education eligibility prior to his incarceration on February 15, 2022 (notwithstanding that these claims are outside the statute of limitations)</w:t>
      </w:r>
      <w:r w:rsidRPr="000370FF">
        <w:rPr>
          <w:rStyle w:val="FootnoteReference"/>
          <w:rFonts w:ascii="Aptos" w:hAnsi="Aptos" w:cs="Times New Roman"/>
          <w:sz w:val="25"/>
          <w:szCs w:val="25"/>
        </w:rPr>
        <w:footnoteReference w:id="14"/>
      </w:r>
      <w:r w:rsidRPr="000370FF">
        <w:rPr>
          <w:rFonts w:ascii="Aptos" w:hAnsi="Aptos" w:cs="Times New Roman"/>
          <w:sz w:val="25"/>
          <w:szCs w:val="25"/>
        </w:rPr>
        <w:t>.  It also argues that</w:t>
      </w:r>
      <w:r w:rsidR="00850329" w:rsidRPr="000370FF">
        <w:rPr>
          <w:rFonts w:ascii="Aptos" w:hAnsi="Aptos" w:cs="Times New Roman"/>
          <w:sz w:val="25"/>
          <w:szCs w:val="25"/>
        </w:rPr>
        <w:t xml:space="preserve"> it</w:t>
      </w:r>
      <w:r w:rsidRPr="000370FF">
        <w:rPr>
          <w:rFonts w:ascii="Aptos" w:hAnsi="Aptos" w:cs="Times New Roman"/>
          <w:sz w:val="25"/>
          <w:szCs w:val="25"/>
        </w:rPr>
        <w:t xml:space="preserve"> had no “child find” obligations for Student after his incarceration until he agreed to the 22-23 IEP on January 4, 2023</w:t>
      </w:r>
      <w:r w:rsidR="00CC2A13" w:rsidRPr="000370FF">
        <w:rPr>
          <w:rFonts w:ascii="Aptos" w:hAnsi="Aptos" w:cs="Times New Roman"/>
          <w:sz w:val="25"/>
          <w:szCs w:val="25"/>
        </w:rPr>
        <w:t xml:space="preserve">, as </w:t>
      </w:r>
      <w:r w:rsidR="00424D99" w:rsidRPr="000370FF">
        <w:rPr>
          <w:rFonts w:ascii="Aptos" w:hAnsi="Aptos" w:cs="Times New Roman"/>
          <w:sz w:val="25"/>
          <w:szCs w:val="25"/>
        </w:rPr>
        <w:t>it holds no responsibility for identifying potentially eligible students in CHCs</w:t>
      </w:r>
      <w:r w:rsidR="001F1EC4" w:rsidRPr="000370FF">
        <w:rPr>
          <w:rFonts w:ascii="Aptos" w:hAnsi="Aptos" w:cs="Times New Roman"/>
          <w:sz w:val="25"/>
          <w:szCs w:val="25"/>
        </w:rPr>
        <w:t>, and thus, all portions of the Child Find Claim must be dismissed as to DESE</w:t>
      </w:r>
      <w:r w:rsidRPr="000370FF">
        <w:rPr>
          <w:rFonts w:ascii="Aptos" w:hAnsi="Aptos" w:cs="Times New Roman"/>
          <w:sz w:val="25"/>
          <w:szCs w:val="25"/>
        </w:rPr>
        <w:t xml:space="preserve">.   </w:t>
      </w:r>
    </w:p>
    <w:p w14:paraId="4684320B" w14:textId="77777777" w:rsidR="003B75BD" w:rsidRPr="000370FF" w:rsidRDefault="003B75BD" w:rsidP="00512ED9">
      <w:pPr>
        <w:rPr>
          <w:rFonts w:ascii="Aptos" w:hAnsi="Aptos" w:cs="Times New Roman"/>
          <w:sz w:val="25"/>
          <w:szCs w:val="25"/>
        </w:rPr>
      </w:pPr>
    </w:p>
    <w:p w14:paraId="5D254FB6" w14:textId="4B33D08A" w:rsidR="003B75BD" w:rsidRPr="000370FF" w:rsidRDefault="00512ED9" w:rsidP="00512ED9">
      <w:pPr>
        <w:rPr>
          <w:rFonts w:ascii="Aptos" w:hAnsi="Aptos" w:cs="Times New Roman"/>
          <w:sz w:val="25"/>
          <w:szCs w:val="25"/>
        </w:rPr>
      </w:pPr>
      <w:r w:rsidRPr="000370FF">
        <w:rPr>
          <w:rFonts w:ascii="Aptos" w:hAnsi="Aptos" w:cs="Times New Roman"/>
          <w:sz w:val="25"/>
          <w:szCs w:val="25"/>
        </w:rPr>
        <w:t xml:space="preserve">As to the FAPE Claims (Issue 2), DESE also contends that it (inclusive of SEIS) is not responsible to evaluate Student, to develop, modify, or update Student’s IEPs or to determine Student’s placement.  </w:t>
      </w:r>
      <w:r w:rsidRPr="000370FF">
        <w:rPr>
          <w:rFonts w:ascii="Aptos" w:eastAsia="Times New Roman" w:hAnsi="Aptos" w:cs="Times New Roman"/>
          <w:sz w:val="25"/>
          <w:szCs w:val="25"/>
        </w:rPr>
        <w:t xml:space="preserve">Relying </w:t>
      </w:r>
      <w:r w:rsidR="005D2118" w:rsidRPr="000370FF">
        <w:rPr>
          <w:rFonts w:ascii="Aptos" w:eastAsia="Times New Roman" w:hAnsi="Aptos" w:cs="Times New Roman"/>
          <w:sz w:val="25"/>
          <w:szCs w:val="25"/>
        </w:rPr>
        <w:t xml:space="preserve">solely </w:t>
      </w:r>
      <w:r w:rsidRPr="000370FF">
        <w:rPr>
          <w:rFonts w:ascii="Aptos" w:eastAsia="Times New Roman" w:hAnsi="Aptos" w:cs="Times New Roman"/>
          <w:sz w:val="25"/>
          <w:szCs w:val="25"/>
        </w:rPr>
        <w:t>on the provisions of M.G.L. c. 71B §3, M.G.L. c. 127 §48, and 603 CMR 28.06(9)(a), DESE argues that its responsibility is related to “communicating” with the LEA and CHC to get copies of relevant education records, “implementing” the IEP’s special education program, “liaising” and “facilitating communication” among members of a student’s Team, “sharing information” and “preparing progress notes”</w:t>
      </w:r>
      <w:r w:rsidRPr="000370FF">
        <w:rPr>
          <w:rStyle w:val="FootnoteReference"/>
          <w:rFonts w:ascii="Aptos" w:hAnsi="Aptos" w:cs="Times New Roman"/>
          <w:sz w:val="25"/>
          <w:szCs w:val="25"/>
        </w:rPr>
        <w:footnoteReference w:id="15"/>
      </w:r>
      <w:r w:rsidRPr="000370FF">
        <w:rPr>
          <w:rFonts w:ascii="Aptos" w:eastAsia="Times New Roman" w:hAnsi="Aptos" w:cs="Times New Roman"/>
          <w:sz w:val="25"/>
          <w:szCs w:val="25"/>
        </w:rPr>
        <w:t>.</w:t>
      </w:r>
      <w:r w:rsidRPr="000370FF">
        <w:rPr>
          <w:rFonts w:ascii="Aptos" w:hAnsi="Aptos" w:cs="Times New Roman"/>
          <w:sz w:val="25"/>
          <w:szCs w:val="25"/>
        </w:rPr>
        <w:t xml:space="preserve">  Further, </w:t>
      </w:r>
      <w:r w:rsidR="003B75BD" w:rsidRPr="000370FF">
        <w:rPr>
          <w:rFonts w:ascii="Aptos" w:hAnsi="Aptos" w:cs="Times New Roman"/>
          <w:sz w:val="25"/>
          <w:szCs w:val="25"/>
        </w:rPr>
        <w:t xml:space="preserve">DESE </w:t>
      </w:r>
      <w:r w:rsidR="00B7151A" w:rsidRPr="000370FF">
        <w:rPr>
          <w:rFonts w:ascii="Aptos" w:hAnsi="Aptos" w:cs="Times New Roman"/>
          <w:sz w:val="25"/>
          <w:szCs w:val="25"/>
        </w:rPr>
        <w:t>argues</w:t>
      </w:r>
      <w:r w:rsidR="003B75BD" w:rsidRPr="000370FF">
        <w:rPr>
          <w:rFonts w:ascii="Aptos" w:hAnsi="Aptos" w:cs="Times New Roman"/>
          <w:sz w:val="25"/>
          <w:szCs w:val="25"/>
        </w:rPr>
        <w:t xml:space="preserve"> that it cannot be liable under </w:t>
      </w:r>
      <w:r w:rsidR="00B0736F" w:rsidRPr="000370FF">
        <w:rPr>
          <w:rFonts w:ascii="Aptos" w:hAnsi="Aptos" w:cs="Times New Roman"/>
          <w:sz w:val="25"/>
          <w:szCs w:val="25"/>
        </w:rPr>
        <w:t xml:space="preserve">the IDEA’s </w:t>
      </w:r>
      <w:r w:rsidR="003B75BD" w:rsidRPr="000370FF">
        <w:rPr>
          <w:rFonts w:ascii="Aptos" w:hAnsi="Aptos" w:cs="Times New Roman"/>
          <w:sz w:val="25"/>
          <w:szCs w:val="25"/>
        </w:rPr>
        <w:t xml:space="preserve">“general supervision” obligations </w:t>
      </w:r>
      <w:r w:rsidR="00B0736F" w:rsidRPr="000370FF">
        <w:rPr>
          <w:rFonts w:ascii="Aptos" w:hAnsi="Aptos" w:cs="Times New Roman"/>
          <w:sz w:val="25"/>
          <w:szCs w:val="25"/>
        </w:rPr>
        <w:t xml:space="preserve">of a </w:t>
      </w:r>
      <w:r w:rsidR="001A7C6F" w:rsidRPr="000370FF">
        <w:rPr>
          <w:rFonts w:ascii="Aptos" w:hAnsi="Aptos" w:cs="Times New Roman"/>
          <w:sz w:val="25"/>
          <w:szCs w:val="25"/>
        </w:rPr>
        <w:t>s</w:t>
      </w:r>
      <w:r w:rsidR="00B0736F" w:rsidRPr="000370FF">
        <w:rPr>
          <w:rFonts w:ascii="Aptos" w:hAnsi="Aptos" w:cs="Times New Roman"/>
          <w:sz w:val="25"/>
          <w:szCs w:val="25"/>
        </w:rPr>
        <w:t>tate</w:t>
      </w:r>
      <w:r w:rsidR="003A5B05" w:rsidRPr="000370FF">
        <w:rPr>
          <w:rFonts w:ascii="Aptos" w:hAnsi="Aptos" w:cs="Times New Roman"/>
          <w:sz w:val="25"/>
          <w:szCs w:val="25"/>
        </w:rPr>
        <w:t xml:space="preserve"> education agency</w:t>
      </w:r>
      <w:r w:rsidR="00B0736F" w:rsidRPr="000370FF">
        <w:rPr>
          <w:rFonts w:ascii="Aptos" w:hAnsi="Aptos" w:cs="Times New Roman"/>
          <w:sz w:val="25"/>
          <w:szCs w:val="25"/>
        </w:rPr>
        <w:t xml:space="preserve"> (SEA) </w:t>
      </w:r>
      <w:r w:rsidR="003B75BD" w:rsidRPr="000370FF">
        <w:rPr>
          <w:rFonts w:ascii="Aptos" w:hAnsi="Aptos" w:cs="Times New Roman"/>
          <w:sz w:val="25"/>
          <w:szCs w:val="25"/>
        </w:rPr>
        <w:t>for a Student’s failure to receive a FAPE</w:t>
      </w:r>
      <w:r w:rsidR="00273FBC" w:rsidRPr="000370FF">
        <w:rPr>
          <w:rFonts w:ascii="Aptos" w:hAnsi="Aptos" w:cs="Times New Roman"/>
          <w:sz w:val="25"/>
          <w:szCs w:val="25"/>
        </w:rPr>
        <w:t>, thus the FAPE Claims should be dismissed as to DESE</w:t>
      </w:r>
      <w:r w:rsidR="003B75BD" w:rsidRPr="000370FF">
        <w:rPr>
          <w:rFonts w:ascii="Aptos" w:hAnsi="Aptos" w:cs="Times New Roman"/>
          <w:sz w:val="25"/>
          <w:szCs w:val="25"/>
        </w:rPr>
        <w:t xml:space="preserve">.  </w:t>
      </w:r>
      <w:r w:rsidR="00674DC0" w:rsidRPr="000370FF">
        <w:rPr>
          <w:rFonts w:ascii="Aptos" w:hAnsi="Aptos" w:cs="Times New Roman"/>
          <w:sz w:val="25"/>
          <w:szCs w:val="25"/>
        </w:rPr>
        <w:t>Further</w:t>
      </w:r>
      <w:r w:rsidR="003B75BD" w:rsidRPr="000370FF">
        <w:rPr>
          <w:rFonts w:ascii="Aptos" w:hAnsi="Aptos" w:cs="Times New Roman"/>
          <w:sz w:val="25"/>
          <w:szCs w:val="25"/>
        </w:rPr>
        <w:t xml:space="preserve">, </w:t>
      </w:r>
      <w:r w:rsidR="00674DC0" w:rsidRPr="000370FF">
        <w:rPr>
          <w:rFonts w:ascii="Aptos" w:hAnsi="Aptos" w:cs="Times New Roman"/>
          <w:sz w:val="25"/>
          <w:szCs w:val="25"/>
        </w:rPr>
        <w:t xml:space="preserve">DESE submits that, </w:t>
      </w:r>
      <w:r w:rsidRPr="000370FF">
        <w:rPr>
          <w:rFonts w:ascii="Aptos" w:hAnsi="Aptos" w:cs="Times New Roman"/>
          <w:sz w:val="25"/>
          <w:szCs w:val="25"/>
        </w:rPr>
        <w:t>to the extent the FAPE Claim as to the inadequacy of a general education program is specific to Student, rather than a reformulation of the Systemic Claims,</w:t>
      </w:r>
      <w:r w:rsidR="003B75BD" w:rsidRPr="000370FF">
        <w:rPr>
          <w:rFonts w:ascii="Aptos" w:hAnsi="Aptos" w:cs="Times New Roman"/>
          <w:sz w:val="25"/>
          <w:szCs w:val="25"/>
        </w:rPr>
        <w:t xml:space="preserve"> </w:t>
      </w:r>
      <w:r w:rsidR="00674DC0" w:rsidRPr="000370FF">
        <w:rPr>
          <w:rFonts w:ascii="Aptos" w:hAnsi="Aptos" w:cs="Times New Roman"/>
          <w:sz w:val="25"/>
          <w:szCs w:val="25"/>
        </w:rPr>
        <w:t xml:space="preserve">it </w:t>
      </w:r>
      <w:r w:rsidR="003B75BD" w:rsidRPr="000370FF">
        <w:rPr>
          <w:rFonts w:ascii="Aptos" w:hAnsi="Aptos" w:cs="Times New Roman"/>
          <w:sz w:val="25"/>
          <w:szCs w:val="25"/>
        </w:rPr>
        <w:t xml:space="preserve">must be dismissed </w:t>
      </w:r>
      <w:r w:rsidR="00273FBC" w:rsidRPr="000370FF">
        <w:rPr>
          <w:rFonts w:ascii="Aptos" w:hAnsi="Aptos" w:cs="Times New Roman"/>
          <w:sz w:val="25"/>
          <w:szCs w:val="25"/>
        </w:rPr>
        <w:t xml:space="preserve">entirely, </w:t>
      </w:r>
      <w:r w:rsidR="003B75BD" w:rsidRPr="000370FF">
        <w:rPr>
          <w:rFonts w:ascii="Aptos" w:hAnsi="Aptos" w:cs="Times New Roman"/>
          <w:sz w:val="25"/>
          <w:szCs w:val="25"/>
        </w:rPr>
        <w:t>as</w:t>
      </w:r>
      <w:r w:rsidRPr="000370FF">
        <w:rPr>
          <w:rFonts w:ascii="Aptos" w:hAnsi="Aptos" w:cs="Times New Roman"/>
          <w:sz w:val="25"/>
          <w:szCs w:val="25"/>
        </w:rPr>
        <w:t xml:space="preserve"> the BSEA does not have jurisdiction to determine general education claims.  </w:t>
      </w:r>
    </w:p>
    <w:p w14:paraId="0EB19383" w14:textId="77777777" w:rsidR="003B75BD" w:rsidRPr="000370FF" w:rsidRDefault="003B75BD" w:rsidP="00512ED9">
      <w:pPr>
        <w:rPr>
          <w:rFonts w:ascii="Aptos" w:hAnsi="Aptos" w:cs="Times New Roman"/>
          <w:sz w:val="25"/>
          <w:szCs w:val="25"/>
        </w:rPr>
      </w:pPr>
    </w:p>
    <w:p w14:paraId="33A07DEA" w14:textId="34ACFDBC" w:rsidR="00512ED9" w:rsidRPr="000370FF" w:rsidRDefault="00512ED9" w:rsidP="00512ED9">
      <w:pPr>
        <w:rPr>
          <w:rFonts w:ascii="Aptos" w:hAnsi="Aptos" w:cs="Times New Roman"/>
          <w:sz w:val="25"/>
          <w:szCs w:val="25"/>
        </w:rPr>
      </w:pPr>
      <w:r w:rsidRPr="000370FF">
        <w:rPr>
          <w:rFonts w:ascii="Aptos" w:hAnsi="Aptos" w:cs="Times New Roman"/>
          <w:sz w:val="25"/>
          <w:szCs w:val="25"/>
        </w:rPr>
        <w:t xml:space="preserve">Finally, as to the LRE Claim, DESE contends that it (through SEIS) has provided Student with 1:1 Math services in accordance with </w:t>
      </w:r>
      <w:r w:rsidR="00DF31FD" w:rsidRPr="000370FF">
        <w:rPr>
          <w:rFonts w:ascii="Aptos" w:hAnsi="Aptos" w:cs="Times New Roman"/>
          <w:sz w:val="25"/>
          <w:szCs w:val="25"/>
        </w:rPr>
        <w:t>the terms of his 23-24 IEP</w:t>
      </w:r>
      <w:r w:rsidR="00BE679A" w:rsidRPr="000370FF">
        <w:rPr>
          <w:rFonts w:ascii="Aptos" w:hAnsi="Aptos" w:cs="Times New Roman"/>
          <w:sz w:val="25"/>
          <w:szCs w:val="25"/>
        </w:rPr>
        <w:t xml:space="preserve">, specifically the “Present Levels of Educational Performance – A” which was attached to the </w:t>
      </w:r>
      <w:r w:rsidR="00BE679A" w:rsidRPr="000370FF">
        <w:rPr>
          <w:rFonts w:ascii="Aptos" w:hAnsi="Aptos" w:cs="Times New Roman"/>
          <w:i/>
          <w:iCs/>
          <w:sz w:val="25"/>
          <w:szCs w:val="25"/>
        </w:rPr>
        <w:t>Hearing Request</w:t>
      </w:r>
      <w:r w:rsidR="002D21E5" w:rsidRPr="000370FF">
        <w:rPr>
          <w:rFonts w:ascii="Aptos" w:hAnsi="Aptos" w:cs="Times New Roman"/>
          <w:sz w:val="25"/>
          <w:szCs w:val="25"/>
        </w:rPr>
        <w:t xml:space="preserve">, thus Student’s claim that he should not be educated individually, at least as to DESE, is without </w:t>
      </w:r>
      <w:r w:rsidR="002D21E5" w:rsidRPr="000370FF">
        <w:rPr>
          <w:rFonts w:ascii="Aptos" w:hAnsi="Aptos" w:cs="Times New Roman"/>
          <w:sz w:val="25"/>
          <w:szCs w:val="25"/>
        </w:rPr>
        <w:lastRenderedPageBreak/>
        <w:t xml:space="preserve">merit, and </w:t>
      </w:r>
      <w:r w:rsidR="00DF31FD" w:rsidRPr="000370FF">
        <w:rPr>
          <w:rFonts w:ascii="Aptos" w:hAnsi="Aptos" w:cs="Times New Roman"/>
          <w:sz w:val="25"/>
          <w:szCs w:val="25"/>
        </w:rPr>
        <w:t xml:space="preserve">since </w:t>
      </w:r>
      <w:r w:rsidR="00BE679A" w:rsidRPr="000370FF">
        <w:rPr>
          <w:rFonts w:ascii="Aptos" w:hAnsi="Aptos" w:cs="Times New Roman"/>
          <w:sz w:val="25"/>
          <w:szCs w:val="25"/>
        </w:rPr>
        <w:t>all material</w:t>
      </w:r>
      <w:r w:rsidR="00DF31FD" w:rsidRPr="000370FF">
        <w:rPr>
          <w:rFonts w:ascii="Aptos" w:hAnsi="Aptos" w:cs="Times New Roman"/>
          <w:sz w:val="25"/>
          <w:szCs w:val="25"/>
        </w:rPr>
        <w:t xml:space="preserve"> facts relating to this claim</w:t>
      </w:r>
      <w:r w:rsidR="006D5089" w:rsidRPr="000370FF">
        <w:rPr>
          <w:rFonts w:ascii="Aptos" w:hAnsi="Aptos" w:cs="Times New Roman"/>
          <w:sz w:val="25"/>
          <w:szCs w:val="25"/>
        </w:rPr>
        <w:t>, as to DESE,</w:t>
      </w:r>
      <w:r w:rsidR="00DF31FD" w:rsidRPr="000370FF">
        <w:rPr>
          <w:rFonts w:ascii="Aptos" w:hAnsi="Aptos" w:cs="Times New Roman"/>
          <w:sz w:val="25"/>
          <w:szCs w:val="25"/>
        </w:rPr>
        <w:t xml:space="preserve"> are undisputed, summary judgment should issue in </w:t>
      </w:r>
      <w:r w:rsidR="006D5089" w:rsidRPr="000370FF">
        <w:rPr>
          <w:rFonts w:ascii="Aptos" w:hAnsi="Aptos" w:cs="Times New Roman"/>
          <w:sz w:val="25"/>
          <w:szCs w:val="25"/>
        </w:rPr>
        <w:t>DESE’s</w:t>
      </w:r>
      <w:r w:rsidR="00DF31FD" w:rsidRPr="000370FF">
        <w:rPr>
          <w:rFonts w:ascii="Aptos" w:hAnsi="Aptos" w:cs="Times New Roman"/>
          <w:sz w:val="25"/>
          <w:szCs w:val="25"/>
        </w:rPr>
        <w:t xml:space="preserve"> favor or this claim should be dismissed</w:t>
      </w:r>
      <w:r w:rsidR="006D5089" w:rsidRPr="000370FF">
        <w:rPr>
          <w:rFonts w:ascii="Aptos" w:hAnsi="Aptos" w:cs="Times New Roman"/>
          <w:sz w:val="25"/>
          <w:szCs w:val="25"/>
        </w:rPr>
        <w:t xml:space="preserve"> as to DESE</w:t>
      </w:r>
      <w:r w:rsidR="00DF31FD" w:rsidRPr="000370FF">
        <w:rPr>
          <w:rFonts w:ascii="Aptos" w:hAnsi="Aptos" w:cs="Times New Roman"/>
          <w:sz w:val="25"/>
          <w:szCs w:val="25"/>
        </w:rPr>
        <w:t>.</w:t>
      </w:r>
      <w:r w:rsidRPr="000370FF">
        <w:rPr>
          <w:rFonts w:ascii="Aptos" w:hAnsi="Aptos" w:cs="Times New Roman"/>
          <w:sz w:val="25"/>
          <w:szCs w:val="25"/>
        </w:rPr>
        <w:t xml:space="preserve"> </w:t>
      </w:r>
    </w:p>
    <w:p w14:paraId="4C483FFC" w14:textId="77777777" w:rsidR="00B13963" w:rsidRPr="000370FF" w:rsidRDefault="00B13963" w:rsidP="00B13963">
      <w:pPr>
        <w:rPr>
          <w:rFonts w:ascii="Aptos" w:eastAsia="Times New Roman" w:hAnsi="Aptos" w:cs="Times New Roman"/>
          <w:sz w:val="25"/>
          <w:szCs w:val="25"/>
          <w:u w:val="single"/>
        </w:rPr>
      </w:pPr>
    </w:p>
    <w:p w14:paraId="7526EEF6" w14:textId="6A39049A" w:rsidR="00DA78B3" w:rsidRPr="000370FF" w:rsidRDefault="00B13963" w:rsidP="00DA78B3">
      <w:pPr>
        <w:shd w:val="clear" w:color="auto" w:fill="FFFFFF"/>
        <w:rPr>
          <w:rFonts w:ascii="Aptos" w:eastAsia="Times New Roman" w:hAnsi="Aptos" w:cs="Times New Roman"/>
          <w:sz w:val="25"/>
          <w:szCs w:val="25"/>
          <w:u w:val="single"/>
        </w:rPr>
      </w:pPr>
      <w:r w:rsidRPr="000370FF">
        <w:rPr>
          <w:rFonts w:ascii="Aptos" w:eastAsia="Times New Roman" w:hAnsi="Aptos" w:cs="Times New Roman"/>
          <w:sz w:val="25"/>
          <w:szCs w:val="25"/>
          <w:u w:val="single"/>
        </w:rPr>
        <w:t>QUINCY’S POSITION</w:t>
      </w:r>
    </w:p>
    <w:p w14:paraId="4A292AA5" w14:textId="77777777" w:rsidR="00B13963" w:rsidRPr="000370FF" w:rsidRDefault="00B13963" w:rsidP="00DA78B3">
      <w:pPr>
        <w:shd w:val="clear" w:color="auto" w:fill="FFFFFF"/>
        <w:rPr>
          <w:rFonts w:ascii="Aptos" w:eastAsia="Times New Roman" w:hAnsi="Aptos" w:cs="Times New Roman"/>
          <w:sz w:val="25"/>
          <w:szCs w:val="25"/>
          <w:u w:val="single"/>
        </w:rPr>
      </w:pPr>
    </w:p>
    <w:p w14:paraId="7F421379" w14:textId="6E3C7568" w:rsidR="00B13963" w:rsidRPr="000370FF" w:rsidRDefault="00512ED9" w:rsidP="00DA78B3">
      <w:pPr>
        <w:shd w:val="clear" w:color="auto" w:fill="FFFFFF"/>
        <w:rPr>
          <w:rFonts w:ascii="Aptos" w:eastAsia="Times New Roman" w:hAnsi="Aptos" w:cs="Times New Roman"/>
          <w:sz w:val="25"/>
          <w:szCs w:val="25"/>
        </w:rPr>
      </w:pPr>
      <w:r w:rsidRPr="000370FF">
        <w:rPr>
          <w:rFonts w:ascii="Aptos" w:eastAsia="Times New Roman" w:hAnsi="Aptos" w:cs="Times New Roman"/>
          <w:sz w:val="25"/>
          <w:szCs w:val="25"/>
        </w:rPr>
        <w:t>Quincy also seeks dismissal of the Systemic Claims and cer</w:t>
      </w:r>
      <w:r w:rsidR="00706826" w:rsidRPr="000370FF">
        <w:rPr>
          <w:rFonts w:ascii="Aptos" w:eastAsia="Times New Roman" w:hAnsi="Aptos" w:cs="Times New Roman"/>
          <w:sz w:val="25"/>
          <w:szCs w:val="25"/>
        </w:rPr>
        <w:t xml:space="preserve">tain of the Individual Claims.  Specifically, it concurs with DESE that the Systemic Claims are outside the BSEA’s jurisdiction and further contends that </w:t>
      </w:r>
      <w:r w:rsidR="00706826" w:rsidRPr="000370FF">
        <w:rPr>
          <w:rFonts w:ascii="Aptos" w:hAnsi="Aptos" w:cs="Times New Roman"/>
          <w:sz w:val="25"/>
          <w:szCs w:val="25"/>
        </w:rPr>
        <w:t>all claims pertaining to “the provision of general education services” should be dismissed on jurisdictional grounds as the BSEA cannot “mandate that Quincy provide instruction in general education courses while [Student] is incarcerated”.  Moreover, Quincy argues that it, as the LEA</w:t>
      </w:r>
      <w:r w:rsidR="00EE61CC" w:rsidRPr="000370FF">
        <w:rPr>
          <w:rFonts w:ascii="Aptos" w:hAnsi="Aptos" w:cs="Times New Roman"/>
          <w:sz w:val="25"/>
          <w:szCs w:val="25"/>
        </w:rPr>
        <w:t>,</w:t>
      </w:r>
      <w:r w:rsidR="00706826" w:rsidRPr="000370FF">
        <w:rPr>
          <w:rFonts w:ascii="Aptos" w:hAnsi="Aptos" w:cs="Times New Roman"/>
          <w:sz w:val="25"/>
          <w:szCs w:val="25"/>
        </w:rPr>
        <w:t xml:space="preserve"> </w:t>
      </w:r>
      <w:r w:rsidR="00EE61CC" w:rsidRPr="000370FF">
        <w:rPr>
          <w:rFonts w:ascii="Aptos" w:hAnsi="Aptos" w:cs="Times New Roman"/>
          <w:sz w:val="25"/>
          <w:szCs w:val="25"/>
        </w:rPr>
        <w:t xml:space="preserve">only has responsibility for the provision of special education to incarcerated students.  It </w:t>
      </w:r>
      <w:r w:rsidR="00706826" w:rsidRPr="000370FF">
        <w:rPr>
          <w:rFonts w:ascii="Aptos" w:hAnsi="Aptos" w:cs="Times New Roman"/>
          <w:sz w:val="25"/>
          <w:szCs w:val="25"/>
        </w:rPr>
        <w:t xml:space="preserve">does not have any responsibility to provide Student, or any incarcerated students, with access to a general education curriculum or general education classes or any legal control over the provision of such </w:t>
      </w:r>
      <w:r w:rsidR="00EE61CC" w:rsidRPr="000370FF">
        <w:rPr>
          <w:rFonts w:ascii="Aptos" w:hAnsi="Aptos" w:cs="Times New Roman"/>
          <w:sz w:val="25"/>
          <w:szCs w:val="25"/>
        </w:rPr>
        <w:t>general education to incarcerated students</w:t>
      </w:r>
      <w:r w:rsidR="00706826" w:rsidRPr="000370FF">
        <w:rPr>
          <w:rFonts w:ascii="Aptos" w:hAnsi="Aptos" w:cs="Times New Roman"/>
          <w:sz w:val="25"/>
          <w:szCs w:val="25"/>
        </w:rPr>
        <w:t xml:space="preserve">.  Further, </w:t>
      </w:r>
      <w:r w:rsidR="00207C51" w:rsidRPr="000370FF">
        <w:rPr>
          <w:rFonts w:ascii="Aptos" w:hAnsi="Aptos" w:cs="Times New Roman"/>
          <w:sz w:val="25"/>
          <w:szCs w:val="25"/>
        </w:rPr>
        <w:t xml:space="preserve">Quincy argues that </w:t>
      </w:r>
      <w:r w:rsidR="00706826" w:rsidRPr="000370FF">
        <w:rPr>
          <w:rFonts w:ascii="Aptos" w:hAnsi="Aptos" w:cs="Times New Roman"/>
          <w:sz w:val="25"/>
          <w:szCs w:val="25"/>
        </w:rPr>
        <w:t xml:space="preserve">FAPE only guarantees the right to receive specialized instruction or related services, but that “actual delivery of general education is not part of the FAPE entitlement”.  </w:t>
      </w:r>
      <w:r w:rsidR="00EE61CC" w:rsidRPr="000370FF">
        <w:rPr>
          <w:rFonts w:ascii="Aptos" w:hAnsi="Aptos" w:cs="Times New Roman"/>
          <w:sz w:val="25"/>
          <w:szCs w:val="25"/>
        </w:rPr>
        <w:t>Quincy also disputes that the BSEA can simultaneously consider issues pending in the Superior Court</w:t>
      </w:r>
      <w:r w:rsidR="00FE2197" w:rsidRPr="000370FF">
        <w:rPr>
          <w:rFonts w:ascii="Aptos" w:hAnsi="Aptos" w:cs="Times New Roman"/>
          <w:sz w:val="25"/>
          <w:szCs w:val="25"/>
        </w:rPr>
        <w:t>,</w:t>
      </w:r>
      <w:r w:rsidR="00EE61CC" w:rsidRPr="000370FF">
        <w:rPr>
          <w:rFonts w:ascii="Aptos" w:hAnsi="Aptos" w:cs="Times New Roman"/>
          <w:sz w:val="25"/>
          <w:szCs w:val="25"/>
        </w:rPr>
        <w:t xml:space="preserve"> contending that for any issues within the jurisdiction of the BSEA, the exhaustion requirement mandates they be considered at the BSEA prior to being filed in the Superior Court, and only claims that are outside the BSEA’s jurisdiction can proceed to be considered at the Superior Court during the pendency of a BSEA proceeding.  </w:t>
      </w:r>
      <w:r w:rsidR="00706826" w:rsidRPr="000370FF">
        <w:rPr>
          <w:rFonts w:ascii="Aptos" w:hAnsi="Aptos" w:cs="Times New Roman"/>
          <w:sz w:val="25"/>
          <w:szCs w:val="25"/>
        </w:rPr>
        <w:t>Finally, Quincy seeks dismissal of the Child Find Claims</w:t>
      </w:r>
      <w:r w:rsidR="00A85C2B" w:rsidRPr="000370FF">
        <w:rPr>
          <w:rFonts w:ascii="Aptos" w:hAnsi="Aptos" w:cs="Times New Roman"/>
          <w:sz w:val="25"/>
          <w:szCs w:val="25"/>
        </w:rPr>
        <w:t xml:space="preserve"> against Quincy,</w:t>
      </w:r>
      <w:r w:rsidR="00706826" w:rsidRPr="000370FF">
        <w:rPr>
          <w:rFonts w:ascii="Aptos" w:hAnsi="Aptos" w:cs="Times New Roman"/>
          <w:sz w:val="25"/>
          <w:szCs w:val="25"/>
        </w:rPr>
        <w:t xml:space="preserve"> prior to February 14, </w:t>
      </w:r>
      <w:r w:rsidR="009663C1" w:rsidRPr="000370FF">
        <w:rPr>
          <w:rFonts w:ascii="Aptos" w:hAnsi="Aptos" w:cs="Times New Roman"/>
          <w:sz w:val="25"/>
          <w:szCs w:val="25"/>
        </w:rPr>
        <w:t>2022,</w:t>
      </w:r>
      <w:r w:rsidR="00706826" w:rsidRPr="000370FF">
        <w:rPr>
          <w:rFonts w:ascii="Aptos" w:hAnsi="Aptos" w:cs="Times New Roman"/>
          <w:sz w:val="25"/>
          <w:szCs w:val="25"/>
        </w:rPr>
        <w:t xml:space="preserve"> on statute of limitations grounds</w:t>
      </w:r>
      <w:r w:rsidR="00406C7E" w:rsidRPr="000370FF">
        <w:rPr>
          <w:rFonts w:ascii="Aptos" w:hAnsi="Aptos" w:cs="Times New Roman"/>
          <w:sz w:val="25"/>
          <w:szCs w:val="25"/>
        </w:rPr>
        <w:t>,</w:t>
      </w:r>
      <w:r w:rsidR="00706826" w:rsidRPr="000370FF">
        <w:rPr>
          <w:rFonts w:ascii="Aptos" w:hAnsi="Aptos" w:cs="Times New Roman"/>
          <w:sz w:val="25"/>
          <w:szCs w:val="25"/>
        </w:rPr>
        <w:t xml:space="preserve"> arguing summarily that none of the exceptions to the two-year limitation period appl</w:t>
      </w:r>
      <w:r w:rsidR="002E05B1" w:rsidRPr="000370FF">
        <w:rPr>
          <w:rFonts w:ascii="Aptos" w:hAnsi="Aptos" w:cs="Times New Roman"/>
          <w:sz w:val="25"/>
          <w:szCs w:val="25"/>
        </w:rPr>
        <w:t>ies</w:t>
      </w:r>
      <w:r w:rsidR="00706826" w:rsidRPr="000370FF">
        <w:rPr>
          <w:rFonts w:ascii="Aptos" w:hAnsi="Aptos" w:cs="Times New Roman"/>
          <w:sz w:val="25"/>
          <w:szCs w:val="25"/>
        </w:rPr>
        <w:t xml:space="preserve"> to this case.  </w:t>
      </w:r>
    </w:p>
    <w:p w14:paraId="6DA78549" w14:textId="77777777" w:rsidR="00B13963" w:rsidRPr="000370FF" w:rsidRDefault="00B13963" w:rsidP="00DA78B3">
      <w:pPr>
        <w:shd w:val="clear" w:color="auto" w:fill="FFFFFF"/>
        <w:rPr>
          <w:rFonts w:ascii="Aptos" w:eastAsia="Times New Roman" w:hAnsi="Aptos" w:cs="Times New Roman"/>
          <w:sz w:val="25"/>
          <w:szCs w:val="25"/>
          <w:u w:val="single"/>
        </w:rPr>
      </w:pPr>
    </w:p>
    <w:p w14:paraId="72EEEBE1" w14:textId="354DCD6C" w:rsidR="00B13963" w:rsidRPr="000370FF" w:rsidRDefault="00B13963" w:rsidP="00DA78B3">
      <w:pPr>
        <w:shd w:val="clear" w:color="auto" w:fill="FFFFFF"/>
        <w:rPr>
          <w:rFonts w:ascii="Aptos" w:eastAsia="Times New Roman" w:hAnsi="Aptos" w:cs="Times New Roman"/>
          <w:sz w:val="25"/>
          <w:szCs w:val="25"/>
          <w:u w:val="single"/>
        </w:rPr>
      </w:pPr>
      <w:r w:rsidRPr="000370FF">
        <w:rPr>
          <w:rFonts w:ascii="Aptos" w:eastAsia="Times New Roman" w:hAnsi="Aptos" w:cs="Times New Roman"/>
          <w:sz w:val="25"/>
          <w:szCs w:val="25"/>
          <w:u w:val="single"/>
        </w:rPr>
        <w:t>STUDENT’S POSITION</w:t>
      </w:r>
    </w:p>
    <w:p w14:paraId="7D3394AE" w14:textId="77777777" w:rsidR="00B13963" w:rsidRPr="000370FF" w:rsidRDefault="00B13963" w:rsidP="00DA78B3">
      <w:pPr>
        <w:shd w:val="clear" w:color="auto" w:fill="FFFFFF"/>
        <w:rPr>
          <w:rFonts w:ascii="Aptos" w:eastAsia="Times New Roman" w:hAnsi="Aptos" w:cs="Times New Roman"/>
          <w:sz w:val="25"/>
          <w:szCs w:val="25"/>
          <w:u w:val="single"/>
        </w:rPr>
      </w:pPr>
    </w:p>
    <w:p w14:paraId="64745857" w14:textId="73DF8C3E" w:rsidR="00A6692C" w:rsidRPr="000370FF" w:rsidRDefault="00A6692C" w:rsidP="00DA78B3">
      <w:pPr>
        <w:shd w:val="clear" w:color="auto" w:fill="FFFFFF"/>
        <w:rPr>
          <w:rFonts w:ascii="Aptos" w:eastAsia="Times New Roman" w:hAnsi="Aptos" w:cs="Times New Roman"/>
          <w:sz w:val="25"/>
          <w:szCs w:val="25"/>
        </w:rPr>
      </w:pPr>
      <w:r w:rsidRPr="000370FF">
        <w:rPr>
          <w:rFonts w:ascii="Aptos" w:eastAsia="Times New Roman" w:hAnsi="Aptos" w:cs="Times New Roman"/>
          <w:sz w:val="25"/>
          <w:szCs w:val="25"/>
        </w:rPr>
        <w:t>Student opposes dismiss</w:t>
      </w:r>
      <w:r w:rsidR="0024112A" w:rsidRPr="000370FF">
        <w:rPr>
          <w:rFonts w:ascii="Aptos" w:eastAsia="Times New Roman" w:hAnsi="Aptos" w:cs="Times New Roman"/>
          <w:sz w:val="25"/>
          <w:szCs w:val="25"/>
        </w:rPr>
        <w:t xml:space="preserve">al or summary judgment arguing that the BSEA has jurisdiction over all his claims, including the Systemic Claims, and that genuine issues of material fact exist such that they should not be dismissed, nor should summary judgment be granted at this juncture.  </w:t>
      </w:r>
    </w:p>
    <w:p w14:paraId="54E0E7C1" w14:textId="77777777" w:rsidR="0024112A" w:rsidRPr="000370FF" w:rsidRDefault="0024112A" w:rsidP="00DA78B3">
      <w:pPr>
        <w:shd w:val="clear" w:color="auto" w:fill="FFFFFF"/>
        <w:rPr>
          <w:rFonts w:ascii="Aptos" w:eastAsia="Times New Roman" w:hAnsi="Aptos" w:cs="Times New Roman"/>
          <w:sz w:val="25"/>
          <w:szCs w:val="25"/>
        </w:rPr>
      </w:pPr>
    </w:p>
    <w:p w14:paraId="2EF017A1" w14:textId="55EB6F71" w:rsidR="0024112A" w:rsidRPr="000370FF" w:rsidRDefault="0024112A" w:rsidP="0024112A">
      <w:pPr>
        <w:rPr>
          <w:rFonts w:ascii="Aptos" w:hAnsi="Aptos" w:cs="Times New Roman"/>
          <w:sz w:val="25"/>
          <w:szCs w:val="25"/>
        </w:rPr>
      </w:pPr>
      <w:r w:rsidRPr="000370FF">
        <w:rPr>
          <w:rFonts w:ascii="Aptos" w:hAnsi="Aptos" w:cs="Times New Roman"/>
          <w:sz w:val="25"/>
          <w:szCs w:val="25"/>
        </w:rPr>
        <w:t xml:space="preserve">With respect to his Systemic Claims, Student argues there is no federal or state law or procedural rule applicable to the BSEA that explicitly prohibits the BSEA from adjudicating class or systemic claims, and that while prior BSEA decisions have declined to assert jurisdiction over class claims, they are not binding </w:t>
      </w:r>
      <w:r w:rsidR="009663C1" w:rsidRPr="000370FF">
        <w:rPr>
          <w:rFonts w:ascii="Aptos" w:hAnsi="Aptos" w:cs="Times New Roman"/>
          <w:sz w:val="25"/>
          <w:szCs w:val="25"/>
        </w:rPr>
        <w:t xml:space="preserve">on the </w:t>
      </w:r>
      <w:r w:rsidRPr="000370FF">
        <w:rPr>
          <w:rFonts w:ascii="Aptos" w:hAnsi="Aptos" w:cs="Times New Roman"/>
          <w:sz w:val="25"/>
          <w:szCs w:val="25"/>
        </w:rPr>
        <w:t>Hearing Officer</w:t>
      </w:r>
      <w:r w:rsidR="009663C1" w:rsidRPr="000370FF">
        <w:rPr>
          <w:rFonts w:ascii="Aptos" w:hAnsi="Aptos" w:cs="Times New Roman"/>
          <w:sz w:val="25"/>
          <w:szCs w:val="25"/>
        </w:rPr>
        <w:t xml:space="preserve"> in the instant matter</w:t>
      </w:r>
      <w:r w:rsidRPr="000370FF">
        <w:rPr>
          <w:rFonts w:ascii="Aptos" w:hAnsi="Aptos" w:cs="Times New Roman"/>
          <w:sz w:val="25"/>
          <w:szCs w:val="25"/>
        </w:rPr>
        <w:t xml:space="preserve">.  Further, Student submits that since the issues relate to a DESE “policy that effects hundreds of students and systematically violates their rights under special education law, class relief is a more efficient and practical means of addressing such claims than many individual complaints”, particularly given the BSEA’s expertise in adjudicating special education claims.  Additionally, Student contends that he does not need to withdraw his </w:t>
      </w:r>
      <w:r w:rsidRPr="000370FF">
        <w:rPr>
          <w:rFonts w:ascii="Aptos" w:hAnsi="Aptos" w:cs="Times New Roman"/>
          <w:sz w:val="25"/>
          <w:szCs w:val="25"/>
        </w:rPr>
        <w:lastRenderedPageBreak/>
        <w:t>systemic claims as the BSEA could maintain jurisdiction concurrently with the Superior Court over the</w:t>
      </w:r>
      <w:r w:rsidR="00AF3F5F" w:rsidRPr="000370FF">
        <w:rPr>
          <w:rFonts w:ascii="Aptos" w:hAnsi="Aptos" w:cs="Times New Roman"/>
          <w:sz w:val="25"/>
          <w:szCs w:val="25"/>
        </w:rPr>
        <w:t>m</w:t>
      </w:r>
      <w:r w:rsidRPr="000370FF">
        <w:rPr>
          <w:rFonts w:ascii="Aptos" w:hAnsi="Aptos" w:cs="Times New Roman"/>
          <w:sz w:val="25"/>
          <w:szCs w:val="25"/>
        </w:rPr>
        <w:t>.  Student argues that the doctrine of “primary jurisdiction” provides Massachusetts Courts with discretion to retain jurisdiction and proceed concurrently or instead dismiss or stay the pending court action</w:t>
      </w:r>
      <w:r w:rsidR="009438C4" w:rsidRPr="000370FF">
        <w:rPr>
          <w:rFonts w:ascii="Aptos" w:hAnsi="Aptos" w:cs="Times New Roman"/>
          <w:sz w:val="25"/>
          <w:szCs w:val="25"/>
        </w:rPr>
        <w:t>, and the same discretion should apply to the BSEA</w:t>
      </w:r>
      <w:r w:rsidRPr="000370FF">
        <w:rPr>
          <w:rFonts w:ascii="Aptos" w:hAnsi="Aptos" w:cs="Times New Roman"/>
          <w:sz w:val="25"/>
          <w:szCs w:val="25"/>
        </w:rPr>
        <w:t xml:space="preserve">.  </w:t>
      </w:r>
      <w:r w:rsidR="00070C50" w:rsidRPr="000370FF">
        <w:rPr>
          <w:rFonts w:ascii="Aptos" w:hAnsi="Aptos" w:cs="Times New Roman"/>
          <w:sz w:val="25"/>
          <w:szCs w:val="25"/>
        </w:rPr>
        <w:t xml:space="preserve">According to Student, the BSEA has primary jurisdiction over “claims relating to the provision of special education, even when those claims are concurrently before another court”.  </w:t>
      </w:r>
      <w:r w:rsidR="009438C4" w:rsidRPr="000370FF">
        <w:rPr>
          <w:rFonts w:ascii="Aptos" w:hAnsi="Aptos" w:cs="Times New Roman"/>
          <w:sz w:val="25"/>
          <w:szCs w:val="25"/>
        </w:rPr>
        <w:t>Student</w:t>
      </w:r>
      <w:r w:rsidR="00BB3BB8" w:rsidRPr="000370FF">
        <w:rPr>
          <w:rFonts w:ascii="Aptos" w:hAnsi="Aptos" w:cs="Times New Roman"/>
          <w:sz w:val="25"/>
          <w:szCs w:val="25"/>
        </w:rPr>
        <w:t xml:space="preserve"> also</w:t>
      </w:r>
      <w:r w:rsidR="009438C4" w:rsidRPr="000370FF">
        <w:rPr>
          <w:rFonts w:ascii="Aptos" w:hAnsi="Aptos" w:cs="Times New Roman"/>
          <w:sz w:val="25"/>
          <w:szCs w:val="25"/>
        </w:rPr>
        <w:t xml:space="preserve"> cites to </w:t>
      </w:r>
      <w:r w:rsidRPr="000370FF">
        <w:rPr>
          <w:rFonts w:ascii="Aptos" w:hAnsi="Aptos" w:cs="Times New Roman"/>
          <w:sz w:val="25"/>
          <w:szCs w:val="25"/>
        </w:rPr>
        <w:t xml:space="preserve">federal court decisions </w:t>
      </w:r>
      <w:r w:rsidR="00187F03" w:rsidRPr="000370FF">
        <w:rPr>
          <w:rFonts w:ascii="Aptos" w:hAnsi="Aptos" w:cs="Times New Roman"/>
          <w:sz w:val="25"/>
          <w:szCs w:val="25"/>
        </w:rPr>
        <w:t xml:space="preserve">unrelated to special education, </w:t>
      </w:r>
      <w:r w:rsidR="009438C4" w:rsidRPr="000370FF">
        <w:rPr>
          <w:rFonts w:ascii="Aptos" w:hAnsi="Aptos" w:cs="Times New Roman"/>
          <w:sz w:val="25"/>
          <w:szCs w:val="25"/>
        </w:rPr>
        <w:t xml:space="preserve">that </w:t>
      </w:r>
      <w:r w:rsidRPr="000370FF">
        <w:rPr>
          <w:rFonts w:ascii="Aptos" w:hAnsi="Aptos" w:cs="Times New Roman"/>
          <w:sz w:val="25"/>
          <w:szCs w:val="25"/>
        </w:rPr>
        <w:t>explicitly state that “administrative agencies are not divested of jurisdiction because there’s a concurrent, overlapping case in Federal Court.”</w:t>
      </w:r>
    </w:p>
    <w:p w14:paraId="335DA217" w14:textId="77777777" w:rsidR="0024112A" w:rsidRPr="000370FF" w:rsidRDefault="0024112A" w:rsidP="00DA78B3">
      <w:pPr>
        <w:shd w:val="clear" w:color="auto" w:fill="FFFFFF"/>
        <w:rPr>
          <w:rFonts w:ascii="Aptos" w:eastAsia="Times New Roman" w:hAnsi="Aptos" w:cs="Times New Roman"/>
          <w:sz w:val="25"/>
          <w:szCs w:val="25"/>
        </w:rPr>
      </w:pPr>
    </w:p>
    <w:p w14:paraId="158DE2DE" w14:textId="3F39819D" w:rsidR="003E7540" w:rsidRPr="000370FF" w:rsidRDefault="009438C4" w:rsidP="009438C4">
      <w:pPr>
        <w:rPr>
          <w:rFonts w:ascii="Aptos" w:hAnsi="Aptos" w:cs="Times New Roman"/>
          <w:sz w:val="25"/>
          <w:szCs w:val="25"/>
        </w:rPr>
      </w:pPr>
      <w:r w:rsidRPr="000370FF">
        <w:rPr>
          <w:rFonts w:ascii="Aptos" w:eastAsia="Times New Roman" w:hAnsi="Aptos" w:cs="Times New Roman"/>
          <w:sz w:val="25"/>
          <w:szCs w:val="25"/>
        </w:rPr>
        <w:t xml:space="preserve">As to his individual claims, for which BSEA jurisdiction is not disputed, </w:t>
      </w:r>
      <w:r w:rsidRPr="000370FF">
        <w:rPr>
          <w:rFonts w:ascii="Aptos" w:hAnsi="Aptos" w:cs="Times New Roman"/>
          <w:sz w:val="25"/>
          <w:szCs w:val="25"/>
        </w:rPr>
        <w:t>Student argues that DESE, as the SEA</w:t>
      </w:r>
      <w:r w:rsidR="00991097" w:rsidRPr="000370FF">
        <w:rPr>
          <w:rFonts w:ascii="Aptos" w:hAnsi="Aptos" w:cs="Times New Roman"/>
          <w:sz w:val="25"/>
          <w:szCs w:val="25"/>
        </w:rPr>
        <w:t>,</w:t>
      </w:r>
      <w:r w:rsidRPr="000370FF">
        <w:rPr>
          <w:rFonts w:ascii="Aptos" w:hAnsi="Aptos" w:cs="Times New Roman"/>
          <w:sz w:val="25"/>
          <w:szCs w:val="25"/>
        </w:rPr>
        <w:t xml:space="preserve"> </w:t>
      </w:r>
      <w:r w:rsidR="00901B27" w:rsidRPr="000370FF">
        <w:rPr>
          <w:rFonts w:ascii="Aptos" w:hAnsi="Aptos" w:cs="Times New Roman"/>
          <w:sz w:val="25"/>
          <w:szCs w:val="25"/>
        </w:rPr>
        <w:t xml:space="preserve">can be held responsible for all </w:t>
      </w:r>
      <w:r w:rsidR="0015621B" w:rsidRPr="000370FF">
        <w:rPr>
          <w:rFonts w:ascii="Aptos" w:hAnsi="Aptos" w:cs="Times New Roman"/>
          <w:sz w:val="25"/>
          <w:szCs w:val="25"/>
        </w:rPr>
        <w:t>such</w:t>
      </w:r>
      <w:r w:rsidR="00901B27" w:rsidRPr="000370FF">
        <w:rPr>
          <w:rFonts w:ascii="Aptos" w:hAnsi="Aptos" w:cs="Times New Roman"/>
          <w:sz w:val="25"/>
          <w:szCs w:val="25"/>
        </w:rPr>
        <w:t xml:space="preserve"> </w:t>
      </w:r>
      <w:r w:rsidR="0015621B" w:rsidRPr="000370FF">
        <w:rPr>
          <w:rFonts w:ascii="Aptos" w:hAnsi="Aptos" w:cs="Times New Roman"/>
          <w:sz w:val="25"/>
          <w:szCs w:val="25"/>
        </w:rPr>
        <w:t>claims</w:t>
      </w:r>
      <w:r w:rsidR="00901B27" w:rsidRPr="000370FF">
        <w:rPr>
          <w:rFonts w:ascii="Aptos" w:hAnsi="Aptos" w:cs="Times New Roman"/>
          <w:sz w:val="25"/>
          <w:szCs w:val="25"/>
        </w:rPr>
        <w:t xml:space="preserve">, as it </w:t>
      </w:r>
      <w:r w:rsidRPr="000370FF">
        <w:rPr>
          <w:rFonts w:ascii="Aptos" w:hAnsi="Aptos" w:cs="Times New Roman"/>
          <w:sz w:val="25"/>
          <w:szCs w:val="25"/>
        </w:rPr>
        <w:t>has general supervision and direct responsibility under the IDEA</w:t>
      </w:r>
      <w:r w:rsidR="00991097" w:rsidRPr="000370FF">
        <w:rPr>
          <w:rFonts w:ascii="Aptos" w:hAnsi="Aptos" w:cs="Times New Roman"/>
          <w:sz w:val="25"/>
          <w:szCs w:val="25"/>
        </w:rPr>
        <w:t xml:space="preserve"> </w:t>
      </w:r>
      <w:r w:rsidRPr="000370FF">
        <w:rPr>
          <w:rFonts w:ascii="Aptos" w:hAnsi="Aptos" w:cs="Times New Roman"/>
          <w:sz w:val="25"/>
          <w:szCs w:val="25"/>
        </w:rPr>
        <w:t xml:space="preserve">and M.G.L. c. 71B, specifically M.G.L. c. 71B § 11A, to ensure all </w:t>
      </w:r>
      <w:r w:rsidR="00D0297B" w:rsidRPr="000370FF">
        <w:rPr>
          <w:rFonts w:ascii="Aptos" w:hAnsi="Aptos" w:cs="Times New Roman"/>
          <w:sz w:val="25"/>
          <w:szCs w:val="25"/>
        </w:rPr>
        <w:t xml:space="preserve">eligible </w:t>
      </w:r>
      <w:r w:rsidRPr="000370FF">
        <w:rPr>
          <w:rFonts w:ascii="Aptos" w:hAnsi="Aptos" w:cs="Times New Roman"/>
          <w:sz w:val="25"/>
          <w:szCs w:val="25"/>
        </w:rPr>
        <w:t xml:space="preserve">students receive a FAPE in the LRE, including students held in adult jails.  </w:t>
      </w:r>
      <w:r w:rsidR="00B97CB1" w:rsidRPr="000370FF">
        <w:rPr>
          <w:rFonts w:ascii="Aptos" w:hAnsi="Aptos" w:cs="Times New Roman"/>
          <w:sz w:val="25"/>
          <w:szCs w:val="25"/>
        </w:rPr>
        <w:t xml:space="preserve">According to Student, </w:t>
      </w:r>
      <w:r w:rsidR="00152B5E" w:rsidRPr="000370FF">
        <w:rPr>
          <w:rFonts w:ascii="Aptos" w:hAnsi="Aptos" w:cs="Times New Roman"/>
          <w:sz w:val="25"/>
          <w:szCs w:val="25"/>
        </w:rPr>
        <w:t xml:space="preserve">DESE is responsible for all aspects of his special education since his incarceration in the CHC, including “child find”, and </w:t>
      </w:r>
      <w:r w:rsidRPr="000370FF">
        <w:rPr>
          <w:rFonts w:ascii="Aptos" w:hAnsi="Aptos" w:cs="Times New Roman"/>
          <w:sz w:val="25"/>
          <w:szCs w:val="25"/>
        </w:rPr>
        <w:t xml:space="preserve">DESE </w:t>
      </w:r>
      <w:r w:rsidR="00152B5E" w:rsidRPr="000370FF">
        <w:rPr>
          <w:rFonts w:ascii="Aptos" w:hAnsi="Aptos" w:cs="Times New Roman"/>
          <w:sz w:val="25"/>
          <w:szCs w:val="25"/>
        </w:rPr>
        <w:t xml:space="preserve">specifically </w:t>
      </w:r>
      <w:r w:rsidRPr="000370FF">
        <w:rPr>
          <w:rFonts w:ascii="Aptos" w:hAnsi="Aptos" w:cs="Times New Roman"/>
          <w:sz w:val="25"/>
          <w:szCs w:val="25"/>
        </w:rPr>
        <w:t xml:space="preserve">violated </w:t>
      </w:r>
      <w:r w:rsidR="00B97CB1" w:rsidRPr="000370FF">
        <w:rPr>
          <w:rFonts w:ascii="Aptos" w:hAnsi="Aptos" w:cs="Times New Roman"/>
          <w:sz w:val="25"/>
          <w:szCs w:val="25"/>
        </w:rPr>
        <w:t xml:space="preserve">his </w:t>
      </w:r>
      <w:r w:rsidRPr="000370FF">
        <w:rPr>
          <w:rFonts w:ascii="Aptos" w:hAnsi="Aptos" w:cs="Times New Roman"/>
          <w:sz w:val="25"/>
          <w:szCs w:val="25"/>
        </w:rPr>
        <w:t>right to a FAPE when it failed to provide Student with the two hours of Math services per week that it was responsible to provide, from January 3</w:t>
      </w:r>
      <w:r w:rsidRPr="000370FF">
        <w:rPr>
          <w:rStyle w:val="FootnoteReference"/>
          <w:rFonts w:ascii="Aptos" w:hAnsi="Aptos" w:cs="Times New Roman"/>
          <w:sz w:val="25"/>
          <w:szCs w:val="25"/>
        </w:rPr>
        <w:footnoteReference w:id="16"/>
      </w:r>
      <w:r w:rsidRPr="000370FF">
        <w:rPr>
          <w:rFonts w:ascii="Aptos" w:hAnsi="Aptos" w:cs="Times New Roman"/>
          <w:sz w:val="25"/>
          <w:szCs w:val="25"/>
        </w:rPr>
        <w:t xml:space="preserve">, 2023 to May 24, 2023.  </w:t>
      </w:r>
      <w:r w:rsidR="00B97CB1" w:rsidRPr="000370FF">
        <w:rPr>
          <w:rFonts w:ascii="Aptos" w:hAnsi="Aptos" w:cs="Times New Roman"/>
          <w:sz w:val="25"/>
          <w:szCs w:val="25"/>
        </w:rPr>
        <w:t xml:space="preserve">Further, </w:t>
      </w:r>
      <w:r w:rsidR="00DA6748" w:rsidRPr="000370FF">
        <w:rPr>
          <w:rFonts w:ascii="Aptos" w:hAnsi="Aptos" w:cs="Times New Roman"/>
          <w:sz w:val="25"/>
          <w:szCs w:val="25"/>
        </w:rPr>
        <w:t xml:space="preserve">Student contends that </w:t>
      </w:r>
      <w:r w:rsidRPr="000370FF">
        <w:rPr>
          <w:rFonts w:ascii="Aptos" w:hAnsi="Aptos" w:cs="Times New Roman"/>
          <w:sz w:val="25"/>
          <w:szCs w:val="25"/>
        </w:rPr>
        <w:t>the BSEA has jurisdiction under 603 CMR 28.08(3) to order DESE to provide Student with services, including compensatory services</w:t>
      </w:r>
      <w:r w:rsidR="00844EB3" w:rsidRPr="000370FF">
        <w:rPr>
          <w:rFonts w:ascii="Aptos" w:hAnsi="Aptos" w:cs="Times New Roman"/>
          <w:sz w:val="25"/>
          <w:szCs w:val="25"/>
        </w:rPr>
        <w:t>,</w:t>
      </w:r>
      <w:r w:rsidR="000018B9" w:rsidRPr="000370FF">
        <w:rPr>
          <w:rFonts w:ascii="Aptos" w:hAnsi="Aptos" w:cs="Times New Roman"/>
          <w:sz w:val="25"/>
          <w:szCs w:val="25"/>
        </w:rPr>
        <w:t xml:space="preserve"> for </w:t>
      </w:r>
      <w:proofErr w:type="gramStart"/>
      <w:r w:rsidR="000018B9" w:rsidRPr="000370FF">
        <w:rPr>
          <w:rFonts w:ascii="Aptos" w:hAnsi="Aptos" w:cs="Times New Roman"/>
          <w:sz w:val="25"/>
          <w:szCs w:val="25"/>
        </w:rPr>
        <w:t>all of</w:t>
      </w:r>
      <w:proofErr w:type="gramEnd"/>
      <w:r w:rsidR="000018B9" w:rsidRPr="000370FF">
        <w:rPr>
          <w:rFonts w:ascii="Aptos" w:hAnsi="Aptos" w:cs="Times New Roman"/>
          <w:sz w:val="25"/>
          <w:szCs w:val="25"/>
        </w:rPr>
        <w:t xml:space="preserve"> its FAPE violations</w:t>
      </w:r>
      <w:r w:rsidRPr="000370FF">
        <w:rPr>
          <w:rFonts w:ascii="Aptos" w:hAnsi="Aptos" w:cs="Times New Roman"/>
          <w:sz w:val="25"/>
          <w:szCs w:val="25"/>
        </w:rPr>
        <w:t xml:space="preserve">.  </w:t>
      </w:r>
    </w:p>
    <w:p w14:paraId="1681F68F" w14:textId="77777777" w:rsidR="003E7540" w:rsidRPr="000370FF" w:rsidRDefault="003E7540" w:rsidP="009438C4">
      <w:pPr>
        <w:rPr>
          <w:rFonts w:ascii="Aptos" w:hAnsi="Aptos" w:cs="Times New Roman"/>
          <w:sz w:val="25"/>
          <w:szCs w:val="25"/>
        </w:rPr>
      </w:pPr>
    </w:p>
    <w:p w14:paraId="7830605E" w14:textId="6B87BDAB" w:rsidR="009438C4" w:rsidRPr="000370FF" w:rsidRDefault="003E7540" w:rsidP="009438C4">
      <w:pPr>
        <w:rPr>
          <w:rFonts w:ascii="Aptos" w:hAnsi="Aptos" w:cs="Times New Roman"/>
          <w:sz w:val="25"/>
          <w:szCs w:val="25"/>
        </w:rPr>
      </w:pPr>
      <w:r w:rsidRPr="000370FF">
        <w:rPr>
          <w:rFonts w:ascii="Aptos" w:hAnsi="Aptos" w:cs="Times New Roman"/>
          <w:sz w:val="25"/>
          <w:szCs w:val="25"/>
        </w:rPr>
        <w:t xml:space="preserve">As to his </w:t>
      </w:r>
      <w:r w:rsidR="009438C4" w:rsidRPr="000370FF">
        <w:rPr>
          <w:rFonts w:ascii="Aptos" w:hAnsi="Aptos" w:cs="Times New Roman"/>
          <w:sz w:val="25"/>
          <w:szCs w:val="25"/>
        </w:rPr>
        <w:t>Child Find Claim prior to February 14, 2022</w:t>
      </w:r>
      <w:r w:rsidRPr="000370FF">
        <w:rPr>
          <w:rFonts w:ascii="Aptos" w:hAnsi="Aptos" w:cs="Times New Roman"/>
          <w:sz w:val="25"/>
          <w:szCs w:val="25"/>
        </w:rPr>
        <w:t xml:space="preserve">, while Student concedes DESE had no such responsibility, he argues that </w:t>
      </w:r>
      <w:r w:rsidR="009438C4" w:rsidRPr="000370FF">
        <w:rPr>
          <w:rFonts w:ascii="Aptos" w:hAnsi="Aptos" w:cs="Times New Roman"/>
          <w:sz w:val="25"/>
          <w:szCs w:val="25"/>
        </w:rPr>
        <w:t xml:space="preserve">Quincy should not be dismissed as </w:t>
      </w:r>
      <w:r w:rsidR="009438C4" w:rsidRPr="000370FF">
        <w:rPr>
          <w:rFonts w:ascii="Aptos" w:hAnsi="Aptos"/>
          <w:sz w:val="25"/>
          <w:szCs w:val="25"/>
        </w:rPr>
        <w:t xml:space="preserve">an exception to the two-year statute of limitations </w:t>
      </w:r>
      <w:r w:rsidRPr="000370FF">
        <w:rPr>
          <w:rFonts w:ascii="Aptos" w:hAnsi="Aptos"/>
          <w:sz w:val="25"/>
          <w:szCs w:val="25"/>
        </w:rPr>
        <w:t xml:space="preserve">established in </w:t>
      </w:r>
      <w:r w:rsidR="009438C4" w:rsidRPr="000370FF">
        <w:rPr>
          <w:rFonts w:ascii="Aptos" w:hAnsi="Aptos"/>
          <w:sz w:val="25"/>
          <w:szCs w:val="25"/>
        </w:rPr>
        <w:t xml:space="preserve">34 CFR 300.511(f) </w:t>
      </w:r>
      <w:r w:rsidRPr="000370FF">
        <w:rPr>
          <w:rFonts w:ascii="Aptos" w:hAnsi="Aptos"/>
          <w:sz w:val="25"/>
          <w:szCs w:val="25"/>
        </w:rPr>
        <w:t>exists</w:t>
      </w:r>
      <w:r w:rsidR="00E571A2" w:rsidRPr="000370FF">
        <w:rPr>
          <w:rFonts w:ascii="Aptos" w:hAnsi="Aptos"/>
          <w:sz w:val="25"/>
          <w:szCs w:val="25"/>
        </w:rPr>
        <w:t>, that is,</w:t>
      </w:r>
      <w:r w:rsidR="009438C4" w:rsidRPr="000370FF">
        <w:rPr>
          <w:rFonts w:ascii="Aptos" w:hAnsi="Aptos"/>
          <w:sz w:val="25"/>
          <w:szCs w:val="25"/>
        </w:rPr>
        <w:t xml:space="preserve"> Quincy’s failure to provide Student or his family with any notice of procedural safeguards when Student was </w:t>
      </w:r>
      <w:r w:rsidR="008A1751" w:rsidRPr="000370FF">
        <w:rPr>
          <w:rFonts w:ascii="Aptos" w:hAnsi="Aptos"/>
          <w:sz w:val="25"/>
          <w:szCs w:val="25"/>
        </w:rPr>
        <w:t>transferred to the GOALS</w:t>
      </w:r>
      <w:r w:rsidR="009438C4" w:rsidRPr="000370FF">
        <w:rPr>
          <w:rFonts w:ascii="Aptos" w:hAnsi="Aptos"/>
          <w:sz w:val="25"/>
          <w:szCs w:val="25"/>
        </w:rPr>
        <w:t xml:space="preserve"> “substantially separate special education program” without first having been evaluated for eligibility for special education services. </w:t>
      </w:r>
    </w:p>
    <w:p w14:paraId="2A64B6A9" w14:textId="77777777" w:rsidR="009438C4" w:rsidRPr="000370FF" w:rsidRDefault="009438C4" w:rsidP="009438C4">
      <w:pPr>
        <w:rPr>
          <w:rFonts w:ascii="Aptos" w:hAnsi="Aptos" w:cs="Times New Roman"/>
          <w:sz w:val="25"/>
          <w:szCs w:val="25"/>
        </w:rPr>
      </w:pPr>
    </w:p>
    <w:p w14:paraId="4A30D1A1" w14:textId="0BE54705" w:rsidR="009438C4" w:rsidRPr="000370FF" w:rsidRDefault="009438C4" w:rsidP="009438C4">
      <w:pPr>
        <w:rPr>
          <w:rFonts w:ascii="Aptos" w:hAnsi="Aptos" w:cs="Times New Roman"/>
          <w:sz w:val="25"/>
          <w:szCs w:val="25"/>
        </w:rPr>
      </w:pPr>
      <w:r w:rsidRPr="000370FF">
        <w:rPr>
          <w:rFonts w:ascii="Aptos" w:hAnsi="Aptos" w:cs="Times New Roman"/>
          <w:sz w:val="25"/>
          <w:szCs w:val="25"/>
        </w:rPr>
        <w:t xml:space="preserve">With respect to the FAPE Claims </w:t>
      </w:r>
      <w:r w:rsidR="009445E2" w:rsidRPr="000370FF">
        <w:rPr>
          <w:rFonts w:ascii="Aptos" w:hAnsi="Aptos" w:cs="Times New Roman"/>
          <w:sz w:val="25"/>
          <w:szCs w:val="25"/>
        </w:rPr>
        <w:t xml:space="preserve">regarding failure to </w:t>
      </w:r>
      <w:r w:rsidRPr="000370FF">
        <w:rPr>
          <w:rFonts w:ascii="Aptos" w:hAnsi="Aptos" w:cs="Times New Roman"/>
          <w:sz w:val="25"/>
          <w:szCs w:val="25"/>
        </w:rPr>
        <w:t xml:space="preserve">provide </w:t>
      </w:r>
      <w:r w:rsidR="009445E2" w:rsidRPr="000370FF">
        <w:rPr>
          <w:rFonts w:ascii="Aptos" w:hAnsi="Aptos" w:cs="Times New Roman"/>
          <w:sz w:val="25"/>
          <w:szCs w:val="25"/>
        </w:rPr>
        <w:t xml:space="preserve">Student </w:t>
      </w:r>
      <w:r w:rsidRPr="000370FF">
        <w:rPr>
          <w:rFonts w:ascii="Aptos" w:hAnsi="Aptos" w:cs="Times New Roman"/>
          <w:sz w:val="25"/>
          <w:szCs w:val="25"/>
        </w:rPr>
        <w:t xml:space="preserve">with a general education program that meets state standards, Student submits that the BSEA has jurisdiction over this issue as the claim is part of an overall FAPE violation claim, and “FAPE requires the provision of a general education curriculum that meets state standards.” </w:t>
      </w:r>
      <w:r w:rsidR="00D97DB0" w:rsidRPr="000370FF">
        <w:rPr>
          <w:rFonts w:ascii="Aptos" w:hAnsi="Aptos" w:cs="Times New Roman"/>
          <w:sz w:val="25"/>
          <w:szCs w:val="25"/>
        </w:rPr>
        <w:t xml:space="preserve">Student also submits that, despite being incarcerated, he is entitled to a FAPE and that a FAPE involves more than a right to the services on his service delivery grid.  It also entitles him to receive </w:t>
      </w:r>
      <w:r w:rsidR="00D97DB0" w:rsidRPr="000370FF">
        <w:rPr>
          <w:rFonts w:ascii="Aptos" w:hAnsi="Aptos" w:cs="Times New Roman"/>
          <w:i/>
          <w:iCs/>
          <w:sz w:val="25"/>
          <w:szCs w:val="25"/>
        </w:rPr>
        <w:t>access</w:t>
      </w:r>
      <w:r w:rsidR="00D97DB0" w:rsidRPr="000370FF">
        <w:rPr>
          <w:rFonts w:ascii="Aptos" w:hAnsi="Aptos" w:cs="Times New Roman"/>
          <w:sz w:val="25"/>
          <w:szCs w:val="25"/>
        </w:rPr>
        <w:t xml:space="preserve"> to an appropriate secondary school curriculum for a full school day, in accordance with his IEP (emphasis in original).  </w:t>
      </w:r>
      <w:r w:rsidRPr="000370FF">
        <w:rPr>
          <w:rFonts w:ascii="Aptos" w:hAnsi="Aptos" w:cs="Times New Roman"/>
          <w:sz w:val="25"/>
          <w:szCs w:val="25"/>
        </w:rPr>
        <w:t>Student</w:t>
      </w:r>
      <w:r w:rsidR="004E27B6" w:rsidRPr="000370FF">
        <w:rPr>
          <w:rFonts w:ascii="Aptos" w:hAnsi="Aptos" w:cs="Times New Roman"/>
          <w:sz w:val="25"/>
          <w:szCs w:val="25"/>
        </w:rPr>
        <w:t xml:space="preserve"> </w:t>
      </w:r>
      <w:r w:rsidRPr="000370FF">
        <w:rPr>
          <w:rFonts w:ascii="Aptos" w:hAnsi="Aptos" w:cs="Times New Roman"/>
          <w:sz w:val="25"/>
          <w:szCs w:val="25"/>
        </w:rPr>
        <w:t xml:space="preserve">contends </w:t>
      </w:r>
      <w:r w:rsidR="006D64E0" w:rsidRPr="000370FF">
        <w:rPr>
          <w:rFonts w:ascii="Aptos" w:hAnsi="Aptos" w:cs="Times New Roman"/>
          <w:sz w:val="25"/>
          <w:szCs w:val="25"/>
        </w:rPr>
        <w:t xml:space="preserve">that the </w:t>
      </w:r>
      <w:r w:rsidRPr="000370FF">
        <w:rPr>
          <w:rFonts w:ascii="Aptos" w:hAnsi="Aptos" w:cs="Times New Roman"/>
          <w:sz w:val="25"/>
          <w:szCs w:val="25"/>
        </w:rPr>
        <w:t>definition of FAPE in the IDEA mandates the provision of an appropriate secondary school curriculum that meets state standards in accordance with an IEP that must be designed for a full school day, unless otherwise specified</w:t>
      </w:r>
      <w:r w:rsidR="00840391" w:rsidRPr="000370FF">
        <w:rPr>
          <w:rFonts w:ascii="Aptos" w:hAnsi="Aptos" w:cs="Times New Roman"/>
          <w:sz w:val="25"/>
          <w:szCs w:val="25"/>
        </w:rPr>
        <w:t xml:space="preserve"> therein</w:t>
      </w:r>
      <w:r w:rsidRPr="000370FF">
        <w:rPr>
          <w:rFonts w:ascii="Aptos" w:hAnsi="Aptos" w:cs="Times New Roman"/>
          <w:sz w:val="25"/>
          <w:szCs w:val="25"/>
        </w:rPr>
        <w:t xml:space="preserve">.  </w:t>
      </w:r>
      <w:r w:rsidR="00840391" w:rsidRPr="000370FF">
        <w:rPr>
          <w:rFonts w:ascii="Aptos" w:hAnsi="Aptos" w:cs="Times New Roman"/>
          <w:sz w:val="25"/>
          <w:szCs w:val="25"/>
        </w:rPr>
        <w:t xml:space="preserve">The </w:t>
      </w:r>
      <w:r w:rsidRPr="000370FF">
        <w:rPr>
          <w:rFonts w:ascii="Aptos" w:hAnsi="Aptos" w:cs="Times New Roman"/>
          <w:sz w:val="25"/>
          <w:szCs w:val="25"/>
        </w:rPr>
        <w:t xml:space="preserve">Massachusetts educational standards for secondary schools include both state curriculum guidelines and time on learning requirements.  </w:t>
      </w:r>
      <w:r w:rsidRPr="000370FF">
        <w:rPr>
          <w:rFonts w:ascii="Aptos" w:hAnsi="Aptos" w:cs="Times New Roman"/>
          <w:sz w:val="25"/>
          <w:szCs w:val="25"/>
        </w:rPr>
        <w:lastRenderedPageBreak/>
        <w:t xml:space="preserve">Moreover, as neither the 22-23 IEP nor the 23-24 IEP calls for Student to receive a longer or shorter school day or school year, then, under the IDEA, </w:t>
      </w:r>
      <w:r w:rsidR="00690CBB" w:rsidRPr="000370FF">
        <w:rPr>
          <w:rFonts w:ascii="Aptos" w:hAnsi="Aptos" w:cs="Times New Roman"/>
          <w:sz w:val="25"/>
          <w:szCs w:val="25"/>
        </w:rPr>
        <w:t xml:space="preserve">and the state special education regulations, </w:t>
      </w:r>
      <w:r w:rsidRPr="000370FF">
        <w:rPr>
          <w:rFonts w:ascii="Aptos" w:hAnsi="Aptos" w:cs="Times New Roman"/>
          <w:sz w:val="25"/>
          <w:szCs w:val="25"/>
        </w:rPr>
        <w:t xml:space="preserve">Student must be educated in accordance with his IEP throughout the same school day and school year as students who are not eligible for special education.  Additionally, genuine issues of material fact exist for this </w:t>
      </w:r>
      <w:r w:rsidR="002D4F18" w:rsidRPr="000370FF">
        <w:rPr>
          <w:rFonts w:ascii="Aptos" w:hAnsi="Aptos" w:cs="Times New Roman"/>
          <w:sz w:val="25"/>
          <w:szCs w:val="25"/>
        </w:rPr>
        <w:t>C</w:t>
      </w:r>
      <w:r w:rsidRPr="000370FF">
        <w:rPr>
          <w:rFonts w:ascii="Aptos" w:hAnsi="Aptos" w:cs="Times New Roman"/>
          <w:sz w:val="25"/>
          <w:szCs w:val="25"/>
        </w:rPr>
        <w:t xml:space="preserve">laim that warrant </w:t>
      </w:r>
      <w:r w:rsidR="000D2695" w:rsidRPr="000370FF">
        <w:rPr>
          <w:rFonts w:ascii="Aptos" w:hAnsi="Aptos" w:cs="Times New Roman"/>
          <w:sz w:val="25"/>
          <w:szCs w:val="25"/>
        </w:rPr>
        <w:t xml:space="preserve">denial of </w:t>
      </w:r>
      <w:r w:rsidRPr="000370FF">
        <w:rPr>
          <w:rFonts w:ascii="Aptos" w:hAnsi="Aptos" w:cs="Times New Roman"/>
          <w:sz w:val="25"/>
          <w:szCs w:val="25"/>
        </w:rPr>
        <w:t>dismiss</w:t>
      </w:r>
      <w:r w:rsidR="000D2695" w:rsidRPr="000370FF">
        <w:rPr>
          <w:rFonts w:ascii="Aptos" w:hAnsi="Aptos" w:cs="Times New Roman"/>
          <w:sz w:val="25"/>
          <w:szCs w:val="25"/>
        </w:rPr>
        <w:t>al</w:t>
      </w:r>
      <w:r w:rsidR="009B2C45" w:rsidRPr="000370FF">
        <w:rPr>
          <w:rFonts w:ascii="Aptos" w:hAnsi="Aptos" w:cs="Times New Roman"/>
          <w:sz w:val="25"/>
          <w:szCs w:val="25"/>
        </w:rPr>
        <w:t xml:space="preserve"> now</w:t>
      </w:r>
      <w:r w:rsidRPr="000370FF">
        <w:rPr>
          <w:rFonts w:ascii="Aptos" w:hAnsi="Aptos" w:cs="Times New Roman"/>
          <w:sz w:val="25"/>
          <w:szCs w:val="25"/>
        </w:rPr>
        <w:t xml:space="preserve">.  </w:t>
      </w:r>
    </w:p>
    <w:p w14:paraId="5F9DDBE0" w14:textId="77777777" w:rsidR="00286986" w:rsidRPr="000370FF" w:rsidRDefault="00286986" w:rsidP="009438C4">
      <w:pPr>
        <w:rPr>
          <w:rFonts w:ascii="Aptos" w:hAnsi="Aptos" w:cs="Times New Roman"/>
          <w:sz w:val="25"/>
          <w:szCs w:val="25"/>
        </w:rPr>
      </w:pPr>
    </w:p>
    <w:p w14:paraId="6539B632" w14:textId="571A3626" w:rsidR="00286986" w:rsidRPr="000370FF" w:rsidRDefault="00286986" w:rsidP="009438C4">
      <w:pPr>
        <w:rPr>
          <w:rFonts w:ascii="Aptos" w:hAnsi="Aptos" w:cs="Times New Roman"/>
          <w:sz w:val="25"/>
          <w:szCs w:val="25"/>
        </w:rPr>
      </w:pPr>
      <w:r w:rsidRPr="000370FF">
        <w:rPr>
          <w:rFonts w:ascii="Aptos" w:hAnsi="Aptos" w:cs="Times New Roman"/>
          <w:sz w:val="25"/>
          <w:szCs w:val="25"/>
        </w:rPr>
        <w:t xml:space="preserve">Finally, </w:t>
      </w:r>
      <w:r w:rsidR="002C043B" w:rsidRPr="000370FF">
        <w:rPr>
          <w:rFonts w:ascii="Aptos" w:hAnsi="Aptos" w:cs="Times New Roman"/>
          <w:sz w:val="25"/>
          <w:szCs w:val="25"/>
        </w:rPr>
        <w:t xml:space="preserve">Student submits that </w:t>
      </w:r>
      <w:r w:rsidR="00087B41" w:rsidRPr="000370FF">
        <w:rPr>
          <w:rFonts w:ascii="Aptos" w:hAnsi="Aptos" w:cs="Times New Roman"/>
          <w:sz w:val="25"/>
          <w:szCs w:val="25"/>
        </w:rPr>
        <w:t xml:space="preserve">his LRE claims similarly </w:t>
      </w:r>
      <w:r w:rsidR="002C043B" w:rsidRPr="000370FF">
        <w:rPr>
          <w:rFonts w:ascii="Aptos" w:hAnsi="Aptos" w:cs="Times New Roman"/>
          <w:sz w:val="25"/>
          <w:szCs w:val="25"/>
        </w:rPr>
        <w:t xml:space="preserve">should not be dismissed.  </w:t>
      </w:r>
      <w:r w:rsidRPr="000370FF">
        <w:rPr>
          <w:rFonts w:ascii="Aptos" w:hAnsi="Aptos" w:cs="Times New Roman"/>
          <w:sz w:val="25"/>
          <w:szCs w:val="25"/>
        </w:rPr>
        <w:t xml:space="preserve">Student contends that </w:t>
      </w:r>
      <w:r w:rsidR="00B727A4" w:rsidRPr="000370FF">
        <w:rPr>
          <w:rFonts w:ascii="Aptos" w:hAnsi="Aptos" w:cs="Times New Roman"/>
          <w:sz w:val="25"/>
          <w:szCs w:val="25"/>
        </w:rPr>
        <w:t>OSERS has confirmed that LRE rights apply to students in correctional facilities</w:t>
      </w:r>
      <w:r w:rsidR="008F4B5E" w:rsidRPr="000370FF">
        <w:rPr>
          <w:rFonts w:ascii="Aptos" w:hAnsi="Aptos" w:cs="Times New Roman"/>
          <w:sz w:val="25"/>
          <w:szCs w:val="25"/>
        </w:rPr>
        <w:t>, except for those students who are “convicted as an adult under state law and incarcerated in an adult prison” and for whom there is a “</w:t>
      </w:r>
      <w:r w:rsidR="00D62E9A" w:rsidRPr="000370FF">
        <w:rPr>
          <w:rFonts w:ascii="Aptos" w:hAnsi="Aptos" w:cs="Times New Roman"/>
          <w:sz w:val="25"/>
          <w:szCs w:val="25"/>
        </w:rPr>
        <w:t>demonstrated</w:t>
      </w:r>
      <w:r w:rsidR="008F4B5E" w:rsidRPr="000370FF">
        <w:rPr>
          <w:rFonts w:ascii="Aptos" w:hAnsi="Aptos" w:cs="Times New Roman"/>
          <w:sz w:val="25"/>
          <w:szCs w:val="25"/>
        </w:rPr>
        <w:t xml:space="preserve"> bona fide security or compelling penological interest that cannot otherwise be accommodated”.  </w:t>
      </w:r>
      <w:r w:rsidR="009867BE" w:rsidRPr="000370FF">
        <w:rPr>
          <w:rFonts w:ascii="Aptos" w:hAnsi="Aptos" w:cs="Times New Roman"/>
          <w:sz w:val="25"/>
          <w:szCs w:val="25"/>
        </w:rPr>
        <w:t>T</w:t>
      </w:r>
      <w:r w:rsidR="00935DA3" w:rsidRPr="000370FF">
        <w:rPr>
          <w:rFonts w:ascii="Aptos" w:hAnsi="Aptos" w:cs="Times New Roman"/>
          <w:sz w:val="25"/>
          <w:szCs w:val="25"/>
        </w:rPr>
        <w:t xml:space="preserve">his exception </w:t>
      </w:r>
      <w:r w:rsidR="009867BE" w:rsidRPr="000370FF">
        <w:rPr>
          <w:rFonts w:ascii="Aptos" w:hAnsi="Aptos" w:cs="Times New Roman"/>
          <w:sz w:val="25"/>
          <w:szCs w:val="25"/>
        </w:rPr>
        <w:t xml:space="preserve">does </w:t>
      </w:r>
      <w:r w:rsidR="00935DA3" w:rsidRPr="000370FF">
        <w:rPr>
          <w:rFonts w:ascii="Aptos" w:hAnsi="Aptos" w:cs="Times New Roman"/>
          <w:sz w:val="25"/>
          <w:szCs w:val="25"/>
        </w:rPr>
        <w:t>not apply to Student</w:t>
      </w:r>
      <w:r w:rsidR="00935DA3" w:rsidRPr="000370FF">
        <w:rPr>
          <w:rStyle w:val="FootnoteReference"/>
          <w:rFonts w:ascii="Aptos" w:hAnsi="Aptos" w:cs="Times New Roman"/>
          <w:sz w:val="25"/>
          <w:szCs w:val="25"/>
        </w:rPr>
        <w:footnoteReference w:id="17"/>
      </w:r>
      <w:r w:rsidR="009867BE" w:rsidRPr="000370FF">
        <w:rPr>
          <w:rFonts w:ascii="Aptos" w:hAnsi="Aptos" w:cs="Times New Roman"/>
          <w:sz w:val="25"/>
          <w:szCs w:val="25"/>
        </w:rPr>
        <w:t>, however</w:t>
      </w:r>
      <w:r w:rsidR="00935DA3" w:rsidRPr="000370FF">
        <w:rPr>
          <w:rFonts w:ascii="Aptos" w:hAnsi="Aptos" w:cs="Times New Roman"/>
          <w:sz w:val="25"/>
          <w:szCs w:val="25"/>
        </w:rPr>
        <w:t xml:space="preserve"> he </w:t>
      </w:r>
      <w:r w:rsidR="000A36C0" w:rsidRPr="000370FF">
        <w:rPr>
          <w:rFonts w:ascii="Aptos" w:hAnsi="Aptos" w:cs="Times New Roman"/>
          <w:sz w:val="25"/>
          <w:szCs w:val="25"/>
        </w:rPr>
        <w:t xml:space="preserve">has never received any education with </w:t>
      </w:r>
      <w:r w:rsidR="00FA2C3D" w:rsidRPr="000370FF">
        <w:rPr>
          <w:rFonts w:ascii="Aptos" w:hAnsi="Aptos" w:cs="Times New Roman"/>
          <w:sz w:val="25"/>
          <w:szCs w:val="25"/>
        </w:rPr>
        <w:t xml:space="preserve">non-disabled peers and all his special education services have been provided </w:t>
      </w:r>
      <w:r w:rsidR="00D62E9A" w:rsidRPr="000370FF">
        <w:rPr>
          <w:rFonts w:ascii="Aptos" w:hAnsi="Aptos" w:cs="Times New Roman"/>
          <w:sz w:val="25"/>
          <w:szCs w:val="25"/>
        </w:rPr>
        <w:t xml:space="preserve">solely </w:t>
      </w:r>
      <w:r w:rsidR="00FA2C3D" w:rsidRPr="000370FF">
        <w:rPr>
          <w:rFonts w:ascii="Aptos" w:hAnsi="Aptos" w:cs="Times New Roman"/>
          <w:sz w:val="25"/>
          <w:szCs w:val="25"/>
        </w:rPr>
        <w:t>on a 1:1 basis.  DESE</w:t>
      </w:r>
      <w:r w:rsidR="00A80E30" w:rsidRPr="000370FF">
        <w:rPr>
          <w:rFonts w:ascii="Aptos" w:hAnsi="Aptos" w:cs="Times New Roman"/>
          <w:sz w:val="25"/>
          <w:szCs w:val="25"/>
        </w:rPr>
        <w:t>,</w:t>
      </w:r>
      <w:r w:rsidR="00FA2C3D" w:rsidRPr="000370FF">
        <w:rPr>
          <w:rFonts w:ascii="Aptos" w:hAnsi="Aptos" w:cs="Times New Roman"/>
          <w:sz w:val="25"/>
          <w:szCs w:val="25"/>
        </w:rPr>
        <w:t xml:space="preserve"> through SEIS</w:t>
      </w:r>
      <w:r w:rsidR="00A80E30" w:rsidRPr="000370FF">
        <w:rPr>
          <w:rFonts w:ascii="Aptos" w:hAnsi="Aptos" w:cs="Times New Roman"/>
          <w:sz w:val="25"/>
          <w:szCs w:val="25"/>
        </w:rPr>
        <w:t>,</w:t>
      </w:r>
      <w:r w:rsidR="00FA2C3D" w:rsidRPr="000370FF">
        <w:rPr>
          <w:rFonts w:ascii="Aptos" w:hAnsi="Aptos" w:cs="Times New Roman"/>
          <w:sz w:val="25"/>
          <w:szCs w:val="25"/>
        </w:rPr>
        <w:t xml:space="preserve"> has been aware of this situation but has not addressed it</w:t>
      </w:r>
      <w:r w:rsidR="003D39FE" w:rsidRPr="000370FF">
        <w:rPr>
          <w:rFonts w:ascii="Aptos" w:hAnsi="Aptos" w:cs="Times New Roman"/>
          <w:sz w:val="25"/>
          <w:szCs w:val="25"/>
        </w:rPr>
        <w:t>.</w:t>
      </w:r>
    </w:p>
    <w:p w14:paraId="1299129F" w14:textId="4DE6DDE3" w:rsidR="00B13963" w:rsidRPr="000370FF" w:rsidRDefault="00B13963" w:rsidP="00DA78B3">
      <w:pPr>
        <w:shd w:val="clear" w:color="auto" w:fill="FFFFFF"/>
        <w:rPr>
          <w:rFonts w:ascii="Aptos" w:eastAsia="Times New Roman" w:hAnsi="Aptos" w:cs="Times New Roman"/>
          <w:sz w:val="25"/>
          <w:szCs w:val="25"/>
        </w:rPr>
      </w:pPr>
    </w:p>
    <w:p w14:paraId="71AA57EA" w14:textId="77777777" w:rsidR="00DA78B3" w:rsidRPr="000370FF" w:rsidRDefault="00DA78B3" w:rsidP="00DA78B3">
      <w:pPr>
        <w:shd w:val="clear" w:color="auto" w:fill="FFFFFF"/>
        <w:jc w:val="center"/>
        <w:rPr>
          <w:rFonts w:ascii="Aptos" w:eastAsia="Times New Roman" w:hAnsi="Aptos" w:cs="Times New Roman"/>
          <w:sz w:val="25"/>
          <w:szCs w:val="25"/>
        </w:rPr>
      </w:pPr>
      <w:r w:rsidRPr="000370FF">
        <w:rPr>
          <w:rFonts w:ascii="Aptos" w:eastAsia="Times New Roman" w:hAnsi="Aptos" w:cs="Times New Roman"/>
          <w:b/>
          <w:bCs/>
          <w:sz w:val="25"/>
          <w:szCs w:val="25"/>
        </w:rPr>
        <w:t>LEGAL STANDARDS</w:t>
      </w:r>
    </w:p>
    <w:p w14:paraId="2EFB9249" w14:textId="77777777" w:rsidR="00DA78B3" w:rsidRPr="000370FF" w:rsidRDefault="00DA78B3" w:rsidP="00DA78B3">
      <w:pPr>
        <w:shd w:val="clear" w:color="auto" w:fill="FFFFFF"/>
        <w:rPr>
          <w:rFonts w:ascii="Aptos" w:eastAsia="Times New Roman" w:hAnsi="Aptos" w:cs="Times New Roman"/>
          <w:i/>
          <w:iCs/>
          <w:sz w:val="25"/>
          <w:szCs w:val="25"/>
        </w:rPr>
      </w:pPr>
    </w:p>
    <w:p w14:paraId="0427D21D" w14:textId="77777777" w:rsidR="00DA78B3" w:rsidRPr="000370FF" w:rsidRDefault="00DA78B3" w:rsidP="00DA78B3">
      <w:pPr>
        <w:shd w:val="clear" w:color="auto" w:fill="FFFFFF"/>
        <w:rPr>
          <w:rFonts w:ascii="Aptos" w:eastAsia="Times New Roman" w:hAnsi="Aptos" w:cs="Times New Roman"/>
          <w:sz w:val="25"/>
          <w:szCs w:val="25"/>
        </w:rPr>
      </w:pPr>
      <w:r w:rsidRPr="000370FF">
        <w:rPr>
          <w:rFonts w:ascii="Aptos" w:eastAsia="Times New Roman" w:hAnsi="Aptos" w:cs="Times New Roman"/>
          <w:i/>
          <w:iCs/>
          <w:sz w:val="25"/>
          <w:szCs w:val="25"/>
        </w:rPr>
        <w:t xml:space="preserve">1. </w:t>
      </w:r>
      <w:r w:rsidRPr="000370FF">
        <w:rPr>
          <w:rFonts w:ascii="Aptos" w:eastAsia="Times New Roman" w:hAnsi="Aptos" w:cs="Times New Roman"/>
          <w:i/>
          <w:iCs/>
          <w:sz w:val="25"/>
          <w:szCs w:val="25"/>
        </w:rPr>
        <w:tab/>
        <w:t>Legal Standard for a Motion to Dismiss.</w:t>
      </w:r>
    </w:p>
    <w:p w14:paraId="06B462FA" w14:textId="77777777" w:rsidR="00DA78B3" w:rsidRPr="000370FF" w:rsidRDefault="00DA78B3" w:rsidP="00DA78B3">
      <w:pPr>
        <w:shd w:val="clear" w:color="auto" w:fill="FFFFFF"/>
        <w:rPr>
          <w:rFonts w:ascii="Aptos" w:eastAsia="Times New Roman" w:hAnsi="Aptos" w:cs="Times New Roman"/>
          <w:sz w:val="25"/>
          <w:szCs w:val="25"/>
        </w:rPr>
      </w:pPr>
    </w:p>
    <w:p w14:paraId="5145CC63" w14:textId="77777777" w:rsidR="00DA78B3" w:rsidRPr="000370FF" w:rsidRDefault="00DA78B3" w:rsidP="00DA78B3">
      <w:pPr>
        <w:shd w:val="clear" w:color="auto" w:fill="FFFFFF"/>
        <w:rPr>
          <w:rFonts w:ascii="Aptos" w:eastAsia="Times New Roman" w:hAnsi="Aptos" w:cs="Times New Roman"/>
          <w:sz w:val="25"/>
          <w:szCs w:val="25"/>
        </w:rPr>
      </w:pPr>
      <w:r w:rsidRPr="000370FF">
        <w:rPr>
          <w:rFonts w:ascii="Aptos" w:eastAsia="Times New Roman" w:hAnsi="Aptos" w:cs="Times New Roman"/>
          <w:sz w:val="25"/>
          <w:szCs w:val="25"/>
        </w:rPr>
        <w:t>Rule XVI(A) and (B) of the </w:t>
      </w:r>
      <w:r w:rsidRPr="000370FF">
        <w:rPr>
          <w:rFonts w:ascii="Aptos" w:eastAsia="Times New Roman" w:hAnsi="Aptos" w:cs="Times New Roman"/>
          <w:i/>
          <w:iCs/>
          <w:sz w:val="25"/>
          <w:szCs w:val="25"/>
        </w:rPr>
        <w:t>Hearing Rules for Special Education Appeals </w:t>
      </w:r>
      <w:r w:rsidRPr="000370FF">
        <w:rPr>
          <w:rFonts w:ascii="Aptos" w:eastAsia="Times New Roman" w:hAnsi="Aptos" w:cs="Times New Roman"/>
          <w:sz w:val="25"/>
          <w:szCs w:val="25"/>
        </w:rPr>
        <w:t>and 801 CMR 1.01(7)(g)(3), allows a hearing officer to dismiss for several reasons, including if the BSEA lacks jurisdiction over a claim or if party requesting the hearing fails to state a claim upon which relief can be granted</w:t>
      </w:r>
      <w:r w:rsidRPr="000370FF">
        <w:rPr>
          <w:rStyle w:val="FootnoteReference"/>
          <w:rFonts w:ascii="Aptos" w:eastAsia="Times New Roman" w:hAnsi="Aptos" w:cs="Times New Roman"/>
          <w:sz w:val="25"/>
          <w:szCs w:val="25"/>
        </w:rPr>
        <w:footnoteReference w:id="18"/>
      </w:r>
      <w:r w:rsidRPr="000370FF">
        <w:rPr>
          <w:rFonts w:ascii="Aptos" w:eastAsia="Times New Roman" w:hAnsi="Aptos" w:cs="Times New Roman"/>
          <w:sz w:val="25"/>
          <w:szCs w:val="25"/>
        </w:rPr>
        <w:t>.  To survive a motion to dismiss, there must exist “factual ‘allegations plausibly suggesting (not merely consistent with)’ an entitlement to relief…”</w:t>
      </w:r>
      <w:r w:rsidRPr="000370FF">
        <w:rPr>
          <w:rStyle w:val="FootnoteReference"/>
          <w:rFonts w:ascii="Aptos" w:eastAsia="Times New Roman" w:hAnsi="Aptos" w:cs="Times New Roman"/>
          <w:sz w:val="25"/>
          <w:szCs w:val="25"/>
        </w:rPr>
        <w:footnoteReference w:id="19"/>
      </w:r>
      <w:r w:rsidRPr="000370FF">
        <w:rPr>
          <w:rFonts w:ascii="Aptos" w:eastAsia="Times New Roman" w:hAnsi="Aptos" w:cs="Times New Roman"/>
          <w:sz w:val="25"/>
          <w:szCs w:val="25"/>
        </w:rPr>
        <w:t>.  The hearing officer must take as true “the allegations of the complaint, as well as such inferences as may be drawn therefrom in the plaintiff’s favor”</w:t>
      </w:r>
      <w:r w:rsidRPr="000370FF">
        <w:rPr>
          <w:rStyle w:val="FootnoteReference"/>
          <w:rFonts w:ascii="Aptos" w:eastAsia="Times New Roman" w:hAnsi="Aptos" w:cs="Times New Roman"/>
          <w:sz w:val="25"/>
          <w:szCs w:val="25"/>
        </w:rPr>
        <w:footnoteReference w:id="20"/>
      </w:r>
      <w:r w:rsidRPr="000370FF">
        <w:rPr>
          <w:rFonts w:ascii="Aptos" w:eastAsia="Times New Roman" w:hAnsi="Aptos" w:cs="Times New Roman"/>
          <w:sz w:val="25"/>
          <w:szCs w:val="25"/>
        </w:rPr>
        <w:t>.  “Factual allegations must be enough to raise a right to relief above the speculative level... [based] on the assumption that all the allegations in the [hearing request] (even if doubtful in fact) ....”</w:t>
      </w:r>
      <w:r w:rsidRPr="000370FF">
        <w:rPr>
          <w:rStyle w:val="FootnoteReference"/>
          <w:rFonts w:ascii="Aptos" w:eastAsia="Times New Roman" w:hAnsi="Aptos" w:cs="Times New Roman"/>
          <w:sz w:val="25"/>
          <w:szCs w:val="25"/>
        </w:rPr>
        <w:footnoteReference w:id="21"/>
      </w:r>
      <w:r w:rsidRPr="000370FF">
        <w:rPr>
          <w:rFonts w:ascii="Aptos" w:eastAsia="Times New Roman" w:hAnsi="Aptos" w:cs="Times New Roman"/>
          <w:sz w:val="25"/>
          <w:szCs w:val="25"/>
        </w:rPr>
        <w:t xml:space="preserve">.  </w:t>
      </w:r>
    </w:p>
    <w:p w14:paraId="7DBEDB50" w14:textId="77777777" w:rsidR="00DA78B3" w:rsidRPr="000370FF" w:rsidRDefault="00DA78B3" w:rsidP="00DA78B3">
      <w:pPr>
        <w:shd w:val="clear" w:color="auto" w:fill="FFFFFF"/>
        <w:rPr>
          <w:rFonts w:ascii="Aptos" w:eastAsia="Times New Roman" w:hAnsi="Aptos" w:cs="Times New Roman"/>
          <w:sz w:val="25"/>
          <w:szCs w:val="25"/>
        </w:rPr>
      </w:pPr>
    </w:p>
    <w:p w14:paraId="1DF074BD" w14:textId="77777777" w:rsidR="00DA78B3" w:rsidRPr="000370FF" w:rsidRDefault="00DA78B3" w:rsidP="00DA78B3">
      <w:pPr>
        <w:shd w:val="clear" w:color="auto" w:fill="FFFFFF"/>
        <w:rPr>
          <w:rFonts w:ascii="Aptos" w:eastAsia="Times New Roman" w:hAnsi="Aptos" w:cs="Times New Roman"/>
          <w:sz w:val="25"/>
          <w:szCs w:val="25"/>
        </w:rPr>
      </w:pPr>
      <w:r w:rsidRPr="000370FF">
        <w:rPr>
          <w:rFonts w:ascii="Aptos" w:eastAsia="Times New Roman" w:hAnsi="Aptos" w:cs="Times New Roman"/>
          <w:sz w:val="25"/>
          <w:szCs w:val="25"/>
        </w:rPr>
        <w:lastRenderedPageBreak/>
        <w:t>Motions to Dismiss should be approached with caution, regardless of the representation status of a party</w:t>
      </w:r>
      <w:r w:rsidRPr="000370FF">
        <w:rPr>
          <w:rStyle w:val="FootnoteReference"/>
          <w:rFonts w:ascii="Aptos" w:eastAsia="Times New Roman" w:hAnsi="Aptos" w:cs="Times New Roman"/>
          <w:sz w:val="25"/>
          <w:szCs w:val="25"/>
        </w:rPr>
        <w:footnoteReference w:id="22"/>
      </w:r>
      <w:r w:rsidRPr="000370FF">
        <w:rPr>
          <w:rFonts w:ascii="Aptos" w:eastAsia="Times New Roman" w:hAnsi="Aptos" w:cs="Times New Roman"/>
          <w:sz w:val="25"/>
          <w:szCs w:val="25"/>
        </w:rPr>
        <w:t xml:space="preserve">.  Consistent with FRCP 8(a), hearing requests filed under the IDEA need only consist of “notice pleadings”, i.e., sufficient </w:t>
      </w:r>
      <w:proofErr w:type="gramStart"/>
      <w:r w:rsidRPr="000370FF">
        <w:rPr>
          <w:rFonts w:ascii="Aptos" w:eastAsia="Times New Roman" w:hAnsi="Aptos" w:cs="Times New Roman"/>
          <w:sz w:val="25"/>
          <w:szCs w:val="25"/>
        </w:rPr>
        <w:t>so as to</w:t>
      </w:r>
      <w:proofErr w:type="gramEnd"/>
      <w:r w:rsidRPr="000370FF">
        <w:rPr>
          <w:rFonts w:ascii="Aptos" w:eastAsia="Times New Roman" w:hAnsi="Aptos" w:cs="Times New Roman"/>
          <w:sz w:val="25"/>
          <w:szCs w:val="25"/>
        </w:rPr>
        <w:t xml:space="preserve"> provide fair notice to the opposing party of the nature of the dispute</w:t>
      </w:r>
      <w:r w:rsidRPr="000370FF">
        <w:rPr>
          <w:rStyle w:val="FootnoteReference"/>
          <w:rFonts w:ascii="Aptos" w:eastAsia="Times New Roman" w:hAnsi="Aptos" w:cs="Times New Roman"/>
          <w:sz w:val="25"/>
          <w:szCs w:val="25"/>
        </w:rPr>
        <w:footnoteReference w:id="23"/>
      </w:r>
      <w:r w:rsidRPr="000370FF">
        <w:rPr>
          <w:rFonts w:ascii="Aptos" w:eastAsia="Times New Roman" w:hAnsi="Aptos" w:cs="Times New Roman"/>
          <w:sz w:val="25"/>
          <w:szCs w:val="25"/>
        </w:rPr>
        <w:t>.  However, “[w]</w:t>
      </w:r>
      <w:proofErr w:type="spellStart"/>
      <w:r w:rsidRPr="000370FF">
        <w:rPr>
          <w:rFonts w:ascii="Aptos" w:eastAsia="Times New Roman" w:hAnsi="Aptos" w:cs="Times New Roman"/>
          <w:sz w:val="25"/>
          <w:szCs w:val="25"/>
        </w:rPr>
        <w:t>hile</w:t>
      </w:r>
      <w:proofErr w:type="spellEnd"/>
      <w:r w:rsidRPr="000370FF">
        <w:rPr>
          <w:rFonts w:ascii="Aptos" w:eastAsia="Times New Roman" w:hAnsi="Aptos" w:cs="Times New Roman"/>
          <w:sz w:val="25"/>
          <w:szCs w:val="25"/>
        </w:rPr>
        <w:t xml:space="preserve"> …. detailed factual allegations” are not necessary, “… a [Student’s] obligation to provide the ‘grounds’ of [] ‘entitle[</w:t>
      </w:r>
      <w:proofErr w:type="spellStart"/>
      <w:r w:rsidRPr="000370FF">
        <w:rPr>
          <w:rFonts w:ascii="Aptos" w:eastAsia="Times New Roman" w:hAnsi="Aptos" w:cs="Times New Roman"/>
          <w:sz w:val="25"/>
          <w:szCs w:val="25"/>
        </w:rPr>
        <w:t>ment</w:t>
      </w:r>
      <w:proofErr w:type="spellEnd"/>
      <w:r w:rsidRPr="000370FF">
        <w:rPr>
          <w:rFonts w:ascii="Aptos" w:eastAsia="Times New Roman" w:hAnsi="Aptos" w:cs="Times New Roman"/>
          <w:sz w:val="25"/>
          <w:szCs w:val="25"/>
        </w:rPr>
        <w:t>] to relief’ requires more than labels and conclusions, and a formulaic recitation of the elements of a cause of action will not do”</w:t>
      </w:r>
      <w:r w:rsidRPr="000370FF">
        <w:rPr>
          <w:rStyle w:val="FootnoteReference"/>
          <w:rFonts w:ascii="Aptos" w:eastAsia="Times New Roman" w:hAnsi="Aptos" w:cs="Times New Roman"/>
          <w:sz w:val="25"/>
          <w:szCs w:val="25"/>
        </w:rPr>
        <w:footnoteReference w:id="24"/>
      </w:r>
      <w:r w:rsidRPr="000370FF">
        <w:rPr>
          <w:rFonts w:ascii="Aptos" w:eastAsia="Times New Roman" w:hAnsi="Aptos" w:cs="Times New Roman"/>
          <w:sz w:val="25"/>
          <w:szCs w:val="25"/>
        </w:rPr>
        <w:t>.</w:t>
      </w:r>
    </w:p>
    <w:p w14:paraId="2CBB470F" w14:textId="77777777" w:rsidR="00DA78B3" w:rsidRPr="000370FF" w:rsidRDefault="00DA78B3" w:rsidP="00DA78B3">
      <w:pPr>
        <w:shd w:val="clear" w:color="auto" w:fill="FFFFFF"/>
        <w:rPr>
          <w:rFonts w:ascii="Aptos" w:eastAsia="Times New Roman" w:hAnsi="Aptos" w:cs="Times New Roman"/>
          <w:sz w:val="25"/>
          <w:szCs w:val="25"/>
        </w:rPr>
      </w:pPr>
    </w:p>
    <w:p w14:paraId="27A1E078" w14:textId="77777777" w:rsidR="00DA78B3" w:rsidRPr="000370FF" w:rsidRDefault="00DA78B3" w:rsidP="00DA78B3">
      <w:pPr>
        <w:shd w:val="clear" w:color="auto" w:fill="FFFFFF"/>
        <w:rPr>
          <w:rFonts w:ascii="Aptos" w:eastAsia="Times New Roman" w:hAnsi="Aptos" w:cs="Times New Roman"/>
          <w:i/>
          <w:iCs/>
          <w:sz w:val="25"/>
          <w:szCs w:val="25"/>
        </w:rPr>
      </w:pPr>
      <w:r w:rsidRPr="000370FF">
        <w:rPr>
          <w:rFonts w:ascii="Aptos" w:eastAsia="Times New Roman" w:hAnsi="Aptos" w:cs="Times New Roman"/>
          <w:sz w:val="25"/>
          <w:szCs w:val="25"/>
        </w:rPr>
        <w:t>2.</w:t>
      </w:r>
      <w:r w:rsidRPr="000370FF">
        <w:rPr>
          <w:rFonts w:ascii="Aptos" w:eastAsia="Times New Roman" w:hAnsi="Aptos" w:cs="Times New Roman"/>
          <w:sz w:val="25"/>
          <w:szCs w:val="25"/>
        </w:rPr>
        <w:tab/>
      </w:r>
      <w:r w:rsidRPr="000370FF">
        <w:rPr>
          <w:rFonts w:ascii="Aptos" w:eastAsia="Times New Roman" w:hAnsi="Aptos" w:cs="Times New Roman"/>
          <w:i/>
          <w:iCs/>
          <w:sz w:val="25"/>
          <w:szCs w:val="25"/>
        </w:rPr>
        <w:t>Legal Standard for a Motion for Summary Judgment.</w:t>
      </w:r>
    </w:p>
    <w:p w14:paraId="082D2327" w14:textId="77777777" w:rsidR="00DA78B3" w:rsidRPr="000370FF" w:rsidRDefault="00DA78B3" w:rsidP="00DA78B3">
      <w:pPr>
        <w:shd w:val="clear" w:color="auto" w:fill="FFFFFF"/>
        <w:rPr>
          <w:rFonts w:ascii="Aptos" w:hAnsi="Aptos"/>
          <w:i/>
          <w:color w:val="000000" w:themeColor="text1"/>
          <w:sz w:val="25"/>
          <w:szCs w:val="25"/>
        </w:rPr>
      </w:pPr>
    </w:p>
    <w:p w14:paraId="46AA548D" w14:textId="02515C68" w:rsidR="00DA78B3" w:rsidRPr="000370FF" w:rsidRDefault="00DA78B3" w:rsidP="00DA78B3">
      <w:pPr>
        <w:shd w:val="clear" w:color="auto" w:fill="FFFFFF"/>
        <w:rPr>
          <w:rFonts w:ascii="Aptos" w:hAnsi="Aptos"/>
          <w:color w:val="000000" w:themeColor="text1"/>
          <w:sz w:val="25"/>
          <w:szCs w:val="25"/>
        </w:rPr>
      </w:pPr>
      <w:r w:rsidRPr="000370FF">
        <w:rPr>
          <w:rFonts w:ascii="Aptos" w:hAnsi="Aptos"/>
          <w:color w:val="000000" w:themeColor="text1"/>
          <w:sz w:val="25"/>
          <w:szCs w:val="25"/>
        </w:rPr>
        <w:t>801 CMR 1.01(7)(h) allows summary decision to be granted when there is “no genuine issue of fact relating to all or part of a claim or defense and [the moving party] is entitled to prevail as a matter of law”</w:t>
      </w:r>
      <w:r w:rsidRPr="000370FF">
        <w:rPr>
          <w:rStyle w:val="FootnoteReference"/>
          <w:rFonts w:ascii="Aptos" w:hAnsi="Aptos"/>
          <w:color w:val="000000" w:themeColor="text1"/>
          <w:sz w:val="25"/>
          <w:szCs w:val="25"/>
        </w:rPr>
        <w:footnoteReference w:id="25"/>
      </w:r>
      <w:r w:rsidRPr="000370FF">
        <w:rPr>
          <w:rFonts w:ascii="Aptos" w:hAnsi="Aptos"/>
          <w:color w:val="000000" w:themeColor="text1"/>
          <w:sz w:val="25"/>
          <w:szCs w:val="25"/>
        </w:rPr>
        <w:t>.  FRCP and MRCP (56) provides that summary judgment may be granted only if the "pleadings, depositions, answers to interrogatories and admissions on file, together with the affidavits, if any, show that there are no genuine issues as to any material fact and that the moving party is entitled to judgment as a matter of law".  A genuine dispute as to a material fact exists if it involves a dispute of a fact that “carries with it the potential to affect the outcome of the suit” and “a reasonable [</w:t>
      </w:r>
      <w:r w:rsidR="002D4F18" w:rsidRPr="000370FF">
        <w:rPr>
          <w:rFonts w:ascii="Aptos" w:hAnsi="Aptos"/>
          <w:color w:val="000000" w:themeColor="text1"/>
          <w:sz w:val="25"/>
          <w:szCs w:val="25"/>
        </w:rPr>
        <w:t>factfinder</w:t>
      </w:r>
      <w:r w:rsidRPr="000370FF">
        <w:rPr>
          <w:rFonts w:ascii="Aptos" w:hAnsi="Aptos"/>
          <w:color w:val="000000" w:themeColor="text1"/>
          <w:sz w:val="25"/>
          <w:szCs w:val="25"/>
        </w:rPr>
        <w:t>] could resolve the point in the favor of the non-moving party”</w:t>
      </w:r>
      <w:r w:rsidRPr="000370FF">
        <w:rPr>
          <w:rStyle w:val="FootnoteReference"/>
          <w:rFonts w:ascii="Aptos" w:hAnsi="Aptos"/>
          <w:color w:val="000000" w:themeColor="text1"/>
          <w:sz w:val="25"/>
          <w:szCs w:val="25"/>
        </w:rPr>
        <w:footnoteReference w:id="26"/>
      </w:r>
      <w:r w:rsidRPr="000370FF">
        <w:rPr>
          <w:rFonts w:ascii="Aptos" w:hAnsi="Aptos"/>
          <w:color w:val="000000" w:themeColor="text1"/>
          <w:sz w:val="25"/>
          <w:szCs w:val="25"/>
        </w:rPr>
        <w:t>.  The moving party bears the burden of proof, and all evidence and inferences must be viewed in the light most favorable to the party opposing summary judgment</w:t>
      </w:r>
      <w:r w:rsidRPr="000370FF">
        <w:rPr>
          <w:rStyle w:val="FootnoteReference"/>
          <w:rFonts w:ascii="Aptos" w:hAnsi="Aptos"/>
          <w:color w:val="000000" w:themeColor="text1"/>
          <w:sz w:val="25"/>
          <w:szCs w:val="25"/>
        </w:rPr>
        <w:footnoteReference w:id="27"/>
      </w:r>
      <w:r w:rsidRPr="000370FF">
        <w:rPr>
          <w:rFonts w:ascii="Aptos" w:hAnsi="Aptos"/>
          <w:color w:val="000000" w:themeColor="text1"/>
          <w:sz w:val="25"/>
          <w:szCs w:val="25"/>
        </w:rPr>
        <w:t>.</w:t>
      </w:r>
      <w:r w:rsidR="004A5030" w:rsidRPr="000370FF">
        <w:rPr>
          <w:rFonts w:ascii="Aptos" w:hAnsi="Aptos"/>
          <w:color w:val="000000" w:themeColor="text1"/>
          <w:sz w:val="25"/>
          <w:szCs w:val="25"/>
        </w:rPr>
        <w:t xml:space="preserve">  </w:t>
      </w:r>
    </w:p>
    <w:p w14:paraId="0F7A86B5" w14:textId="77777777" w:rsidR="00DA78B3" w:rsidRPr="000370FF" w:rsidRDefault="00DA78B3" w:rsidP="00DA78B3">
      <w:pPr>
        <w:shd w:val="clear" w:color="auto" w:fill="FFFFFF"/>
        <w:rPr>
          <w:rFonts w:ascii="Aptos" w:hAnsi="Aptos"/>
          <w:color w:val="000000" w:themeColor="text1"/>
          <w:sz w:val="25"/>
          <w:szCs w:val="25"/>
        </w:rPr>
      </w:pPr>
      <w:r w:rsidRPr="000370FF">
        <w:rPr>
          <w:rFonts w:ascii="Aptos" w:hAnsi="Aptos"/>
          <w:color w:val="000000" w:themeColor="text1"/>
          <w:sz w:val="25"/>
          <w:szCs w:val="25"/>
        </w:rPr>
        <w:tab/>
      </w:r>
    </w:p>
    <w:p w14:paraId="6A8E8D4A" w14:textId="2C83294E" w:rsidR="00DA78B3" w:rsidRPr="000370FF" w:rsidRDefault="00DA78B3" w:rsidP="00DA78B3">
      <w:pPr>
        <w:shd w:val="clear" w:color="auto" w:fill="FFFFFF"/>
        <w:rPr>
          <w:rFonts w:ascii="Aptos" w:hAnsi="Aptos"/>
          <w:color w:val="000000" w:themeColor="text1"/>
          <w:sz w:val="25"/>
          <w:szCs w:val="25"/>
        </w:rPr>
      </w:pPr>
      <w:r w:rsidRPr="000370FF">
        <w:rPr>
          <w:rFonts w:ascii="Aptos" w:hAnsi="Aptos"/>
          <w:color w:val="000000" w:themeColor="text1"/>
          <w:sz w:val="25"/>
          <w:szCs w:val="25"/>
        </w:rPr>
        <w:t>To successfully challenge a motion for summary judgment, the opposing party “must set forth specific facts showing that there is a genuine issue for trial”</w:t>
      </w:r>
      <w:r w:rsidRPr="000370FF">
        <w:rPr>
          <w:rStyle w:val="FootnoteReference"/>
          <w:rFonts w:ascii="Aptos" w:hAnsi="Aptos"/>
          <w:color w:val="000000" w:themeColor="text1"/>
          <w:sz w:val="25"/>
          <w:szCs w:val="25"/>
        </w:rPr>
        <w:footnoteReference w:id="28"/>
      </w:r>
      <w:r w:rsidRPr="000370FF">
        <w:rPr>
          <w:rFonts w:ascii="Aptos" w:hAnsi="Aptos"/>
          <w:color w:val="000000" w:themeColor="text1"/>
          <w:sz w:val="25"/>
          <w:szCs w:val="25"/>
        </w:rPr>
        <w:t xml:space="preserve">.  That is, the adverse party must show that there is “sufficient evidence” </w:t>
      </w:r>
      <w:r w:rsidR="00B63E9A" w:rsidRPr="000370FF">
        <w:rPr>
          <w:rFonts w:ascii="Aptos" w:hAnsi="Aptos"/>
          <w:color w:val="000000" w:themeColor="text1"/>
          <w:sz w:val="25"/>
          <w:szCs w:val="25"/>
        </w:rPr>
        <w:t xml:space="preserve">that could be found </w:t>
      </w:r>
      <w:r w:rsidRPr="000370FF">
        <w:rPr>
          <w:rFonts w:ascii="Aptos" w:hAnsi="Aptos"/>
          <w:color w:val="000000" w:themeColor="text1"/>
          <w:sz w:val="25"/>
          <w:szCs w:val="25"/>
        </w:rPr>
        <w:t xml:space="preserve">in its favor that </w:t>
      </w:r>
      <w:r w:rsidR="0074394E" w:rsidRPr="000370FF">
        <w:rPr>
          <w:rFonts w:ascii="Aptos" w:hAnsi="Aptos"/>
          <w:color w:val="000000" w:themeColor="text1"/>
          <w:sz w:val="25"/>
          <w:szCs w:val="25"/>
        </w:rPr>
        <w:t xml:space="preserve">would allow </w:t>
      </w:r>
      <w:r w:rsidRPr="000370FF">
        <w:rPr>
          <w:rFonts w:ascii="Aptos" w:hAnsi="Aptos"/>
          <w:color w:val="000000" w:themeColor="text1"/>
          <w:sz w:val="25"/>
          <w:szCs w:val="25"/>
        </w:rPr>
        <w:t xml:space="preserve">the fact finder </w:t>
      </w:r>
      <w:r w:rsidR="0074394E" w:rsidRPr="000370FF">
        <w:rPr>
          <w:rFonts w:ascii="Aptos" w:hAnsi="Aptos"/>
          <w:color w:val="000000" w:themeColor="text1"/>
          <w:sz w:val="25"/>
          <w:szCs w:val="25"/>
        </w:rPr>
        <w:t xml:space="preserve">to </w:t>
      </w:r>
      <w:r w:rsidRPr="000370FF">
        <w:rPr>
          <w:rFonts w:ascii="Aptos" w:hAnsi="Aptos"/>
          <w:color w:val="000000" w:themeColor="text1"/>
          <w:sz w:val="25"/>
          <w:szCs w:val="25"/>
        </w:rPr>
        <w:t>decide for it</w:t>
      </w:r>
      <w:r w:rsidR="00966F03" w:rsidRPr="000370FF">
        <w:rPr>
          <w:rFonts w:ascii="Aptos" w:hAnsi="Aptos"/>
          <w:color w:val="000000" w:themeColor="text1"/>
          <w:sz w:val="25"/>
          <w:szCs w:val="25"/>
        </w:rPr>
        <w:t xml:space="preserve"> at a hearing on the merits</w:t>
      </w:r>
      <w:r w:rsidRPr="000370FF">
        <w:rPr>
          <w:rStyle w:val="FootnoteReference"/>
          <w:rFonts w:ascii="Aptos" w:hAnsi="Aptos"/>
          <w:color w:val="000000" w:themeColor="text1"/>
          <w:sz w:val="25"/>
          <w:szCs w:val="25"/>
        </w:rPr>
        <w:footnoteReference w:id="29"/>
      </w:r>
      <w:r w:rsidRPr="000370FF">
        <w:rPr>
          <w:rFonts w:ascii="Aptos" w:hAnsi="Aptos"/>
          <w:color w:val="000000" w:themeColor="text1"/>
          <w:sz w:val="25"/>
          <w:szCs w:val="25"/>
        </w:rPr>
        <w:t>.  To be “sufficient”, the evidence presented by the non-moving party “must have substance in the sense that it [demonstrates] differing versions of the truth which a factfinder must resolve at an ensuing trial”</w:t>
      </w:r>
      <w:r w:rsidRPr="000370FF">
        <w:rPr>
          <w:rStyle w:val="FootnoteReference"/>
          <w:rFonts w:ascii="Aptos" w:hAnsi="Aptos"/>
          <w:color w:val="000000" w:themeColor="text1"/>
          <w:sz w:val="25"/>
          <w:szCs w:val="25"/>
        </w:rPr>
        <w:footnoteReference w:id="30"/>
      </w:r>
      <w:r w:rsidRPr="000370FF">
        <w:rPr>
          <w:rFonts w:ascii="Aptos" w:hAnsi="Aptos"/>
          <w:color w:val="000000" w:themeColor="text1"/>
          <w:sz w:val="25"/>
          <w:szCs w:val="25"/>
        </w:rPr>
        <w:t>.  The non-moving party’s evidence will not suffice if it is comprised merely of “conclusory allegations, improbable inferences, and unsupported speculation</w:t>
      </w:r>
      <w:r w:rsidRPr="000370FF">
        <w:rPr>
          <w:rStyle w:val="FootnoteReference"/>
          <w:rFonts w:ascii="Aptos" w:hAnsi="Aptos"/>
          <w:color w:val="000000" w:themeColor="text1"/>
          <w:sz w:val="25"/>
          <w:szCs w:val="25"/>
        </w:rPr>
        <w:footnoteReference w:id="31"/>
      </w:r>
      <w:r w:rsidRPr="000370FF">
        <w:rPr>
          <w:rFonts w:ascii="Aptos" w:hAnsi="Aptos"/>
          <w:color w:val="000000" w:themeColor="text1"/>
          <w:sz w:val="25"/>
          <w:szCs w:val="25"/>
        </w:rPr>
        <w:t xml:space="preserve">.”  </w:t>
      </w:r>
      <w:r w:rsidR="00BE0843" w:rsidRPr="000370FF">
        <w:rPr>
          <w:rFonts w:ascii="Aptos" w:hAnsi="Aptos"/>
          <w:color w:val="000000" w:themeColor="text1"/>
          <w:sz w:val="25"/>
          <w:szCs w:val="25"/>
        </w:rPr>
        <w:t xml:space="preserve">“At the summary judgment stage the [hearing officer’s] function is not </w:t>
      </w:r>
      <w:r w:rsidR="000E4FA5" w:rsidRPr="000370FF">
        <w:rPr>
          <w:rFonts w:ascii="Aptos" w:hAnsi="Aptos"/>
          <w:color w:val="000000" w:themeColor="text1"/>
          <w:sz w:val="25"/>
          <w:szCs w:val="25"/>
        </w:rPr>
        <w:t>[</w:t>
      </w:r>
      <w:r w:rsidR="00BE0843" w:rsidRPr="000370FF">
        <w:rPr>
          <w:rFonts w:ascii="Aptos" w:hAnsi="Aptos"/>
          <w:color w:val="000000" w:themeColor="text1"/>
          <w:sz w:val="25"/>
          <w:szCs w:val="25"/>
        </w:rPr>
        <w:t>h</w:t>
      </w:r>
      <w:r w:rsidR="000E4FA5" w:rsidRPr="000370FF">
        <w:rPr>
          <w:rFonts w:ascii="Aptos" w:hAnsi="Aptos"/>
          <w:color w:val="000000" w:themeColor="text1"/>
          <w:sz w:val="25"/>
          <w:szCs w:val="25"/>
        </w:rPr>
        <w:t>er]</w:t>
      </w:r>
      <w:r w:rsidR="00BE0843" w:rsidRPr="000370FF">
        <w:rPr>
          <w:rFonts w:ascii="Aptos" w:hAnsi="Aptos"/>
          <w:color w:val="000000" w:themeColor="text1"/>
          <w:sz w:val="25"/>
          <w:szCs w:val="25"/>
        </w:rPr>
        <w:t xml:space="preserve">self to weigh the </w:t>
      </w:r>
      <w:r w:rsidR="00BE0843" w:rsidRPr="000370FF">
        <w:rPr>
          <w:rFonts w:ascii="Aptos" w:hAnsi="Aptos"/>
          <w:color w:val="000000" w:themeColor="text1"/>
          <w:sz w:val="25"/>
          <w:szCs w:val="25"/>
        </w:rPr>
        <w:lastRenderedPageBreak/>
        <w:t>evidence and determine the truth of the matter but to determine whether there is a genuine issue for trial”</w:t>
      </w:r>
      <w:r w:rsidR="00BE0843" w:rsidRPr="000370FF">
        <w:rPr>
          <w:rStyle w:val="FootnoteReference"/>
          <w:rFonts w:ascii="Aptos" w:hAnsi="Aptos"/>
          <w:color w:val="000000" w:themeColor="text1"/>
          <w:sz w:val="25"/>
          <w:szCs w:val="25"/>
        </w:rPr>
        <w:footnoteReference w:id="32"/>
      </w:r>
      <w:r w:rsidR="00F81365" w:rsidRPr="000370FF">
        <w:rPr>
          <w:rFonts w:ascii="Aptos" w:hAnsi="Aptos"/>
          <w:color w:val="000000" w:themeColor="text1"/>
          <w:sz w:val="25"/>
          <w:szCs w:val="25"/>
        </w:rPr>
        <w:t>.</w:t>
      </w:r>
    </w:p>
    <w:p w14:paraId="79CF5148" w14:textId="77777777" w:rsidR="00DA78B3" w:rsidRPr="000370FF" w:rsidRDefault="00DA78B3" w:rsidP="00DA78B3">
      <w:pPr>
        <w:shd w:val="clear" w:color="auto" w:fill="FFFFFF"/>
        <w:rPr>
          <w:rFonts w:ascii="Aptos" w:hAnsi="Aptos"/>
          <w:color w:val="000000" w:themeColor="text1"/>
          <w:sz w:val="25"/>
          <w:szCs w:val="25"/>
        </w:rPr>
      </w:pPr>
      <w:r w:rsidRPr="000370FF">
        <w:rPr>
          <w:rFonts w:ascii="Aptos" w:hAnsi="Aptos"/>
          <w:sz w:val="25"/>
          <w:szCs w:val="25"/>
        </w:rPr>
        <w:t xml:space="preserve">  </w:t>
      </w:r>
    </w:p>
    <w:p w14:paraId="216E2B99" w14:textId="77777777" w:rsidR="00DA78B3" w:rsidRPr="000370FF" w:rsidRDefault="00DA78B3" w:rsidP="00DA78B3">
      <w:pPr>
        <w:shd w:val="clear" w:color="auto" w:fill="FFFFFF"/>
        <w:rPr>
          <w:rFonts w:ascii="Aptos" w:hAnsi="Aptos" w:cs="Times New Roman"/>
          <w:i/>
          <w:iCs/>
          <w:sz w:val="25"/>
          <w:szCs w:val="25"/>
        </w:rPr>
      </w:pPr>
      <w:r w:rsidRPr="000370FF">
        <w:rPr>
          <w:rFonts w:ascii="Aptos" w:eastAsia="Times New Roman" w:hAnsi="Aptos" w:cs="Times New Roman"/>
          <w:i/>
          <w:iCs/>
          <w:sz w:val="25"/>
          <w:szCs w:val="25"/>
        </w:rPr>
        <w:t>3.</w:t>
      </w:r>
      <w:r w:rsidRPr="000370FF">
        <w:rPr>
          <w:rFonts w:ascii="Aptos" w:eastAsia="Times New Roman" w:hAnsi="Aptos" w:cs="Times New Roman"/>
          <w:i/>
          <w:iCs/>
          <w:sz w:val="25"/>
          <w:szCs w:val="25"/>
        </w:rPr>
        <w:tab/>
      </w:r>
      <w:r w:rsidRPr="000370FF">
        <w:rPr>
          <w:rFonts w:ascii="Aptos" w:hAnsi="Aptos" w:cs="Times New Roman"/>
          <w:i/>
          <w:iCs/>
          <w:sz w:val="25"/>
          <w:szCs w:val="25"/>
        </w:rPr>
        <w:t>Jurisdiction of BSEA over Incarcerated Students.</w:t>
      </w:r>
    </w:p>
    <w:p w14:paraId="1A8B4A8D" w14:textId="77777777" w:rsidR="00DA78B3" w:rsidRPr="000370FF" w:rsidRDefault="00DA78B3" w:rsidP="00DA78B3">
      <w:pPr>
        <w:shd w:val="clear" w:color="auto" w:fill="FFFFFF"/>
        <w:rPr>
          <w:rFonts w:ascii="Aptos" w:hAnsi="Aptos" w:cs="Times New Roman"/>
          <w:i/>
          <w:iCs/>
          <w:sz w:val="25"/>
          <w:szCs w:val="25"/>
        </w:rPr>
      </w:pPr>
    </w:p>
    <w:p w14:paraId="6CB7BF03" w14:textId="490EEE10" w:rsidR="00DA78B3" w:rsidRPr="000370FF" w:rsidRDefault="00DA78B3" w:rsidP="00DA78B3">
      <w:pPr>
        <w:rPr>
          <w:rFonts w:ascii="Aptos" w:eastAsia="Times New Roman" w:hAnsi="Aptos" w:cs="Times New Roman"/>
          <w:bCs/>
          <w:color w:val="000000"/>
          <w:sz w:val="25"/>
          <w:szCs w:val="25"/>
        </w:rPr>
      </w:pPr>
      <w:r w:rsidRPr="000370FF">
        <w:rPr>
          <w:rFonts w:ascii="Aptos" w:eastAsia="Times New Roman" w:hAnsi="Aptos" w:cs="Times New Roman"/>
          <w:bCs/>
          <w:color w:val="000000"/>
          <w:sz w:val="25"/>
          <w:szCs w:val="25"/>
        </w:rPr>
        <w:t xml:space="preserve">20 USC §1415(b)(6) grants parties the right to file timely complaints (with the state educational agency designated to hear </w:t>
      </w:r>
      <w:r w:rsidR="00F81365" w:rsidRPr="000370FF">
        <w:rPr>
          <w:rFonts w:ascii="Aptos" w:eastAsia="Times New Roman" w:hAnsi="Aptos" w:cs="Times New Roman"/>
          <w:bCs/>
          <w:color w:val="000000"/>
          <w:sz w:val="25"/>
          <w:szCs w:val="25"/>
        </w:rPr>
        <w:t xml:space="preserve">the </w:t>
      </w:r>
      <w:r w:rsidRPr="000370FF">
        <w:rPr>
          <w:rFonts w:ascii="Aptos" w:eastAsia="Times New Roman" w:hAnsi="Aptos" w:cs="Times New Roman"/>
          <w:bCs/>
          <w:color w:val="000000"/>
          <w:sz w:val="25"/>
          <w:szCs w:val="25"/>
        </w:rPr>
        <w:t>same) “with respect to any matter relating to the identification, evaluation or educational placement of the child, or the provision of a free appropriate public education to such child”</w:t>
      </w:r>
      <w:r w:rsidRPr="000370FF">
        <w:rPr>
          <w:rStyle w:val="FootnoteReference"/>
          <w:rFonts w:ascii="Aptos" w:eastAsia="Times New Roman" w:hAnsi="Aptos" w:cs="Times New Roman"/>
          <w:bCs/>
          <w:color w:val="000000"/>
          <w:sz w:val="25"/>
          <w:szCs w:val="25"/>
        </w:rPr>
        <w:footnoteReference w:id="33"/>
      </w:r>
      <w:r w:rsidRPr="000370FF">
        <w:rPr>
          <w:rFonts w:ascii="Aptos" w:eastAsia="Times New Roman" w:hAnsi="Aptos" w:cs="Times New Roman"/>
          <w:bCs/>
          <w:color w:val="000000"/>
          <w:sz w:val="25"/>
          <w:szCs w:val="25"/>
        </w:rPr>
        <w:t xml:space="preserve">.  Similarly, M.G.L. c. 71B §2A, establishing the BSEA, authorizes it to resolve special education disputes concerning, </w:t>
      </w:r>
    </w:p>
    <w:p w14:paraId="31378FBB" w14:textId="77777777" w:rsidR="003F7DF8" w:rsidRPr="000370FF" w:rsidRDefault="003F7DF8" w:rsidP="00DA78B3">
      <w:pPr>
        <w:rPr>
          <w:rFonts w:ascii="Aptos" w:eastAsia="Times New Roman" w:hAnsi="Aptos" w:cs="Times New Roman"/>
          <w:bCs/>
          <w:color w:val="000000"/>
          <w:sz w:val="25"/>
          <w:szCs w:val="25"/>
        </w:rPr>
      </w:pPr>
    </w:p>
    <w:p w14:paraId="6027D458" w14:textId="77777777" w:rsidR="00DA78B3" w:rsidRPr="000370FF" w:rsidRDefault="00DA78B3" w:rsidP="00DA78B3">
      <w:pPr>
        <w:ind w:left="720" w:right="720"/>
        <w:rPr>
          <w:rFonts w:ascii="Aptos" w:eastAsia="Times New Roman" w:hAnsi="Aptos" w:cs="Times New Roman"/>
          <w:bCs/>
          <w:color w:val="000000"/>
          <w:sz w:val="25"/>
          <w:szCs w:val="25"/>
        </w:rPr>
      </w:pPr>
      <w:r w:rsidRPr="000370FF">
        <w:rPr>
          <w:rFonts w:ascii="Aptos" w:eastAsia="Times New Roman" w:hAnsi="Aptos" w:cs="Times New Roman"/>
          <w:bCs/>
          <w:color w:val="000000"/>
          <w:sz w:val="25"/>
          <w:szCs w:val="25"/>
        </w:rPr>
        <w:t xml:space="preserve">“…(i) any matter relating to the identification, evaluation, education program or educational placement of a child with a disability or the provision of a free and appropriate public education to the child arising under this chapter and regulations promulgated hereunder or under the [IDEA], 20 U.S.C. section 1400 et seq., and its regulations; or (ii) a student's rights under Section 504 of the Rehabilitation Act of 1973, 29 U.S.C. section 794, and its regulations”. </w:t>
      </w:r>
    </w:p>
    <w:p w14:paraId="730A105A" w14:textId="77777777" w:rsidR="00DA78B3" w:rsidRPr="000370FF" w:rsidRDefault="00DA78B3" w:rsidP="00DA78B3">
      <w:pPr>
        <w:ind w:left="720" w:right="720"/>
        <w:rPr>
          <w:rFonts w:ascii="Aptos" w:eastAsia="Times New Roman" w:hAnsi="Aptos" w:cs="Times New Roman"/>
          <w:bCs/>
          <w:color w:val="000000"/>
          <w:sz w:val="25"/>
          <w:szCs w:val="25"/>
        </w:rPr>
      </w:pPr>
    </w:p>
    <w:p w14:paraId="64224B79" w14:textId="043D9791" w:rsidR="00DA78B3" w:rsidRPr="000370FF" w:rsidRDefault="00DA78B3" w:rsidP="00DA78B3">
      <w:pPr>
        <w:rPr>
          <w:rFonts w:ascii="Aptos" w:eastAsia="Times New Roman" w:hAnsi="Aptos" w:cs="Times New Roman"/>
          <w:bCs/>
          <w:color w:val="000000"/>
          <w:sz w:val="25"/>
          <w:szCs w:val="25"/>
        </w:rPr>
      </w:pPr>
      <w:r w:rsidRPr="000370FF">
        <w:rPr>
          <w:rFonts w:ascii="Aptos" w:eastAsia="Times New Roman" w:hAnsi="Aptos" w:cs="Times New Roman"/>
          <w:bCs/>
          <w:color w:val="000000"/>
          <w:sz w:val="25"/>
          <w:szCs w:val="25"/>
        </w:rPr>
        <w:t xml:space="preserve">According to M.G.L. c. 71B §11A, “The department of education </w:t>
      </w:r>
      <w:r w:rsidRPr="000370FF">
        <w:rPr>
          <w:rFonts w:ascii="Aptos" w:eastAsia="Times New Roman" w:hAnsi="Aptos" w:cs="Times New Roman"/>
          <w:bCs/>
          <w:i/>
          <w:iCs/>
          <w:color w:val="000000"/>
          <w:sz w:val="25"/>
          <w:szCs w:val="25"/>
        </w:rPr>
        <w:t>shall</w:t>
      </w:r>
      <w:r w:rsidRPr="000370FF">
        <w:rPr>
          <w:rFonts w:ascii="Aptos" w:eastAsia="Times New Roman" w:hAnsi="Aptos" w:cs="Times New Roman"/>
          <w:bCs/>
          <w:color w:val="000000"/>
          <w:sz w:val="25"/>
          <w:szCs w:val="25"/>
        </w:rPr>
        <w:t xml:space="preserve"> provide special education to school aged children with a disability who are incarcerated in county houses of correction” (emphasis added).  Both “special education” and “school age child with a disability” are defined in M.G.L. c. 71B §1.  “School age child with a disability” is defined, in relevant part, as,</w:t>
      </w:r>
    </w:p>
    <w:p w14:paraId="62D458AC" w14:textId="77777777" w:rsidR="003F7DF8" w:rsidRPr="000370FF" w:rsidRDefault="003F7DF8" w:rsidP="00DA78B3">
      <w:pPr>
        <w:rPr>
          <w:rFonts w:ascii="Aptos" w:eastAsia="Times New Roman" w:hAnsi="Aptos" w:cs="Times New Roman"/>
          <w:bCs/>
          <w:color w:val="000000"/>
          <w:sz w:val="25"/>
          <w:szCs w:val="25"/>
        </w:rPr>
      </w:pPr>
    </w:p>
    <w:p w14:paraId="12B647B0" w14:textId="72FC0C8A" w:rsidR="00DA78B3" w:rsidRPr="000370FF" w:rsidRDefault="00DA78B3" w:rsidP="00DA78B3">
      <w:pPr>
        <w:ind w:left="720" w:right="720"/>
        <w:rPr>
          <w:rFonts w:ascii="Aptos" w:eastAsia="Times New Roman" w:hAnsi="Aptos" w:cs="Times New Roman"/>
          <w:bCs/>
          <w:color w:val="000000"/>
          <w:sz w:val="25"/>
          <w:szCs w:val="25"/>
        </w:rPr>
      </w:pPr>
      <w:r w:rsidRPr="000370FF">
        <w:rPr>
          <w:rFonts w:ascii="Aptos" w:eastAsia="Times New Roman" w:hAnsi="Aptos" w:cs="Times New Roman"/>
          <w:bCs/>
          <w:color w:val="000000"/>
          <w:sz w:val="25"/>
          <w:szCs w:val="25"/>
        </w:rPr>
        <w:t>“a school age child in a public or non-public school setting who, because of a disability consisting of a developmental delay or any intellectual, sensory, neurological, emotional, communication, physical, specific learning or health impairment or combination thereof, is unable to</w:t>
      </w:r>
      <w:r w:rsidR="00E56456" w:rsidRPr="000370FF">
        <w:rPr>
          <w:rFonts w:ascii="Aptos" w:eastAsia="Times New Roman" w:hAnsi="Aptos" w:cs="Times New Roman"/>
          <w:bCs/>
          <w:color w:val="000000"/>
          <w:sz w:val="25"/>
          <w:szCs w:val="25"/>
        </w:rPr>
        <w:t xml:space="preserve"> </w:t>
      </w:r>
      <w:r w:rsidRPr="000370FF">
        <w:rPr>
          <w:rFonts w:ascii="Aptos" w:eastAsia="Times New Roman" w:hAnsi="Aptos" w:cs="Times New Roman"/>
          <w:bCs/>
          <w:color w:val="000000"/>
          <w:sz w:val="25"/>
          <w:szCs w:val="25"/>
        </w:rPr>
        <w:t xml:space="preserve"> progress effectively in regular education and requires special education services, including a school age child who requires only a related service or related services if said service or services are required </w:t>
      </w:r>
      <w:r w:rsidRPr="000370FF">
        <w:rPr>
          <w:rFonts w:ascii="Aptos" w:eastAsia="Times New Roman" w:hAnsi="Aptos" w:cs="Times New Roman"/>
          <w:bCs/>
          <w:i/>
          <w:iCs/>
          <w:color w:val="000000"/>
          <w:sz w:val="25"/>
          <w:szCs w:val="25"/>
        </w:rPr>
        <w:t>to ensure access of the child with a disability to the general education curriculum</w:t>
      </w:r>
      <w:r w:rsidRPr="000370FF">
        <w:rPr>
          <w:rFonts w:ascii="Aptos" w:eastAsia="Times New Roman" w:hAnsi="Aptos" w:cs="Times New Roman"/>
          <w:bCs/>
          <w:color w:val="000000"/>
          <w:sz w:val="25"/>
          <w:szCs w:val="25"/>
        </w:rPr>
        <w:t>….  The use of the word disability in this section shall not be used to provide a basis for labeling or stigmatizing the child or defining the needs of the child and shall in no way limit the services, programs, and integration opportunities provided to such child”</w:t>
      </w:r>
      <w:r w:rsidRPr="000370FF">
        <w:rPr>
          <w:rStyle w:val="FootnoteReference"/>
          <w:rFonts w:ascii="Aptos" w:eastAsia="Times New Roman" w:hAnsi="Aptos" w:cs="Times New Roman"/>
          <w:bCs/>
          <w:color w:val="000000"/>
          <w:sz w:val="25"/>
          <w:szCs w:val="25"/>
        </w:rPr>
        <w:footnoteReference w:id="34"/>
      </w:r>
      <w:r w:rsidR="000D0B11" w:rsidRPr="000370FF">
        <w:rPr>
          <w:rFonts w:ascii="Aptos" w:eastAsia="Times New Roman" w:hAnsi="Aptos" w:cs="Times New Roman"/>
          <w:bCs/>
          <w:color w:val="000000"/>
          <w:sz w:val="25"/>
          <w:szCs w:val="25"/>
        </w:rPr>
        <w:t xml:space="preserve"> (emphasis added)</w:t>
      </w:r>
      <w:r w:rsidRPr="000370FF">
        <w:rPr>
          <w:rFonts w:ascii="Aptos" w:eastAsia="Times New Roman" w:hAnsi="Aptos" w:cs="Times New Roman"/>
          <w:bCs/>
          <w:color w:val="000000"/>
          <w:sz w:val="25"/>
          <w:szCs w:val="25"/>
        </w:rPr>
        <w:t xml:space="preserve">.  </w:t>
      </w:r>
    </w:p>
    <w:p w14:paraId="75E8DF89" w14:textId="77777777" w:rsidR="00DA78B3" w:rsidRPr="000370FF" w:rsidRDefault="00DA78B3" w:rsidP="00DA78B3">
      <w:pPr>
        <w:rPr>
          <w:rFonts w:ascii="Aptos" w:eastAsia="Times New Roman" w:hAnsi="Aptos" w:cs="Times New Roman"/>
          <w:bCs/>
          <w:color w:val="000000"/>
          <w:sz w:val="25"/>
          <w:szCs w:val="25"/>
        </w:rPr>
      </w:pPr>
    </w:p>
    <w:p w14:paraId="01D4783E" w14:textId="4F0929FF" w:rsidR="00DA78B3" w:rsidRPr="000370FF" w:rsidRDefault="00DA78B3" w:rsidP="00DA78B3">
      <w:pPr>
        <w:rPr>
          <w:rFonts w:ascii="Aptos" w:eastAsia="Times New Roman" w:hAnsi="Aptos" w:cs="Times New Roman"/>
          <w:bCs/>
          <w:color w:val="000000"/>
          <w:sz w:val="25"/>
          <w:szCs w:val="25"/>
        </w:rPr>
      </w:pPr>
      <w:r w:rsidRPr="000370FF">
        <w:rPr>
          <w:rFonts w:ascii="Aptos" w:eastAsia="Times New Roman" w:hAnsi="Aptos" w:cs="Times New Roman"/>
          <w:bCs/>
          <w:color w:val="000000"/>
          <w:sz w:val="25"/>
          <w:szCs w:val="25"/>
        </w:rPr>
        <w:t>“Special education”, in turn, is defined, in relevant part, as the “educational programs and assignments including, special classes and programs or services designed to develop the educational potential of children with disabilities …”</w:t>
      </w:r>
      <w:r w:rsidRPr="000370FF">
        <w:rPr>
          <w:rStyle w:val="FootnoteReference"/>
          <w:rFonts w:ascii="Aptos" w:eastAsia="Times New Roman" w:hAnsi="Aptos" w:cs="Times New Roman"/>
          <w:bCs/>
          <w:color w:val="000000"/>
          <w:sz w:val="25"/>
          <w:szCs w:val="25"/>
        </w:rPr>
        <w:footnoteReference w:id="35"/>
      </w:r>
      <w:r w:rsidRPr="000370FF">
        <w:rPr>
          <w:rFonts w:ascii="Aptos" w:eastAsia="Times New Roman" w:hAnsi="Aptos" w:cs="Times New Roman"/>
          <w:bCs/>
          <w:color w:val="000000"/>
          <w:sz w:val="25"/>
          <w:szCs w:val="25"/>
        </w:rPr>
        <w:t xml:space="preserve">.  Thus, in Massachusetts DESE has statutory responsibility for providing the requisite programs and assignments, inclusive of special classes, programs and services, </w:t>
      </w:r>
      <w:r w:rsidR="004F365F" w:rsidRPr="000370FF">
        <w:rPr>
          <w:rFonts w:ascii="Aptos" w:eastAsia="Times New Roman" w:hAnsi="Aptos" w:cs="Times New Roman"/>
          <w:bCs/>
          <w:color w:val="000000"/>
          <w:sz w:val="25"/>
          <w:szCs w:val="25"/>
        </w:rPr>
        <w:t xml:space="preserve">that </w:t>
      </w:r>
      <w:r w:rsidRPr="000370FF">
        <w:rPr>
          <w:rFonts w:ascii="Aptos" w:eastAsia="Times New Roman" w:hAnsi="Aptos" w:cs="Times New Roman"/>
          <w:bCs/>
          <w:color w:val="000000"/>
          <w:sz w:val="25"/>
          <w:szCs w:val="25"/>
        </w:rPr>
        <w:t xml:space="preserve">are designed to develop the educational potential of any person </w:t>
      </w:r>
      <w:r w:rsidR="00A05D7B" w:rsidRPr="000370FF">
        <w:rPr>
          <w:rFonts w:ascii="Aptos" w:eastAsia="Times New Roman" w:hAnsi="Aptos" w:cs="Times New Roman"/>
          <w:bCs/>
          <w:color w:val="000000"/>
          <w:sz w:val="25"/>
          <w:szCs w:val="25"/>
        </w:rPr>
        <w:t xml:space="preserve">incarcerated in CHCs, </w:t>
      </w:r>
      <w:r w:rsidRPr="000370FF">
        <w:rPr>
          <w:rFonts w:ascii="Aptos" w:eastAsia="Times New Roman" w:hAnsi="Aptos" w:cs="Times New Roman"/>
          <w:bCs/>
          <w:color w:val="000000"/>
          <w:sz w:val="25"/>
          <w:szCs w:val="25"/>
        </w:rPr>
        <w:t>through 21 years of age who has not attained a high school diploma or its equivalent</w:t>
      </w:r>
      <w:r w:rsidR="00A05D7B" w:rsidRPr="000370FF">
        <w:rPr>
          <w:rFonts w:ascii="Aptos" w:eastAsia="Times New Roman" w:hAnsi="Aptos" w:cs="Times New Roman"/>
          <w:bCs/>
          <w:color w:val="000000"/>
          <w:sz w:val="25"/>
          <w:szCs w:val="25"/>
        </w:rPr>
        <w:t xml:space="preserve">, </w:t>
      </w:r>
      <w:r w:rsidRPr="000370FF">
        <w:rPr>
          <w:rFonts w:ascii="Aptos" w:eastAsia="Times New Roman" w:hAnsi="Aptos" w:cs="Times New Roman"/>
          <w:bCs/>
          <w:color w:val="000000"/>
          <w:sz w:val="25"/>
          <w:szCs w:val="25"/>
        </w:rPr>
        <w:t>and who, due to a disability</w:t>
      </w:r>
      <w:r w:rsidR="00D66D7F" w:rsidRPr="000370FF">
        <w:rPr>
          <w:rFonts w:ascii="Aptos" w:eastAsia="Times New Roman" w:hAnsi="Aptos" w:cs="Times New Roman"/>
          <w:bCs/>
          <w:color w:val="000000"/>
          <w:sz w:val="25"/>
          <w:szCs w:val="25"/>
        </w:rPr>
        <w:t>,</w:t>
      </w:r>
      <w:r w:rsidRPr="000370FF">
        <w:rPr>
          <w:rFonts w:ascii="Aptos" w:eastAsia="Times New Roman" w:hAnsi="Aptos" w:cs="Times New Roman"/>
          <w:bCs/>
          <w:color w:val="000000"/>
          <w:sz w:val="25"/>
          <w:szCs w:val="25"/>
        </w:rPr>
        <w:t xml:space="preserve"> </w:t>
      </w:r>
      <w:r w:rsidR="00D66D7F" w:rsidRPr="000370FF">
        <w:rPr>
          <w:rFonts w:ascii="Aptos" w:eastAsia="Times New Roman" w:hAnsi="Aptos" w:cs="Times New Roman"/>
          <w:bCs/>
          <w:color w:val="000000"/>
          <w:sz w:val="25"/>
          <w:szCs w:val="25"/>
        </w:rPr>
        <w:t xml:space="preserve">is </w:t>
      </w:r>
      <w:r w:rsidRPr="000370FF">
        <w:rPr>
          <w:rFonts w:ascii="Aptos" w:eastAsia="Times New Roman" w:hAnsi="Aptos" w:cs="Times New Roman"/>
          <w:bCs/>
          <w:color w:val="000000"/>
          <w:sz w:val="25"/>
          <w:szCs w:val="25"/>
        </w:rPr>
        <w:t>unable to progress effectively in the school program, and require</w:t>
      </w:r>
      <w:r w:rsidR="00D66D7F" w:rsidRPr="000370FF">
        <w:rPr>
          <w:rFonts w:ascii="Aptos" w:eastAsia="Times New Roman" w:hAnsi="Aptos" w:cs="Times New Roman"/>
          <w:bCs/>
          <w:color w:val="000000"/>
          <w:sz w:val="25"/>
          <w:szCs w:val="25"/>
        </w:rPr>
        <w:t>s</w:t>
      </w:r>
      <w:r w:rsidRPr="000370FF">
        <w:rPr>
          <w:rFonts w:ascii="Aptos" w:eastAsia="Times New Roman" w:hAnsi="Aptos" w:cs="Times New Roman"/>
          <w:bCs/>
          <w:color w:val="000000"/>
          <w:sz w:val="25"/>
          <w:szCs w:val="25"/>
        </w:rPr>
        <w:t xml:space="preserve"> special education services, including only related services, to “ensure access of the child with a disability to the general education curriculum”.</w:t>
      </w:r>
    </w:p>
    <w:p w14:paraId="4F15A489" w14:textId="77777777" w:rsidR="00DA78B3" w:rsidRPr="000370FF" w:rsidRDefault="00DA78B3" w:rsidP="00DA78B3">
      <w:pPr>
        <w:ind w:firstLine="720"/>
        <w:rPr>
          <w:rFonts w:ascii="Aptos" w:eastAsia="Times New Roman" w:hAnsi="Aptos" w:cs="Times New Roman"/>
          <w:bCs/>
          <w:color w:val="000000"/>
          <w:sz w:val="25"/>
          <w:szCs w:val="25"/>
        </w:rPr>
      </w:pPr>
    </w:p>
    <w:p w14:paraId="0C55F697" w14:textId="77777777" w:rsidR="00DA78B3" w:rsidRPr="000370FF" w:rsidRDefault="00DA78B3" w:rsidP="00DA78B3">
      <w:pPr>
        <w:rPr>
          <w:rFonts w:ascii="Aptos" w:eastAsia="Times New Roman" w:hAnsi="Aptos" w:cs="Times New Roman"/>
          <w:bCs/>
          <w:color w:val="000000"/>
          <w:sz w:val="25"/>
          <w:szCs w:val="25"/>
        </w:rPr>
      </w:pPr>
      <w:r w:rsidRPr="000370FF">
        <w:rPr>
          <w:rFonts w:ascii="Aptos" w:eastAsia="Times New Roman" w:hAnsi="Aptos" w:cs="Times New Roman"/>
          <w:bCs/>
          <w:color w:val="000000"/>
          <w:sz w:val="25"/>
          <w:szCs w:val="25"/>
        </w:rPr>
        <w:t>To assist in meeting its mandated responsibility, DESE has promulgated regulations, specifically 603 CMR 28.06(9) addressing the provision of educational services in institutional settings.  According to these regulations, DESE,</w:t>
      </w:r>
    </w:p>
    <w:p w14:paraId="3A89AEB4" w14:textId="77777777" w:rsidR="003F7DF8" w:rsidRPr="000370FF" w:rsidRDefault="003F7DF8" w:rsidP="00DA78B3">
      <w:pPr>
        <w:rPr>
          <w:rFonts w:ascii="Aptos" w:eastAsia="Times New Roman" w:hAnsi="Aptos" w:cs="Times New Roman"/>
          <w:bCs/>
          <w:color w:val="000000"/>
          <w:sz w:val="25"/>
          <w:szCs w:val="25"/>
        </w:rPr>
      </w:pPr>
    </w:p>
    <w:p w14:paraId="58E1A8AA" w14:textId="48A36FC9" w:rsidR="00DA78B3" w:rsidRPr="000370FF" w:rsidRDefault="00DA78B3" w:rsidP="00DA78B3">
      <w:pPr>
        <w:ind w:left="720" w:right="720"/>
        <w:rPr>
          <w:rFonts w:ascii="Aptos" w:eastAsia="Times New Roman" w:hAnsi="Aptos" w:cs="Times New Roman"/>
          <w:bCs/>
          <w:color w:val="000000"/>
          <w:sz w:val="25"/>
          <w:szCs w:val="25"/>
        </w:rPr>
      </w:pPr>
      <w:r w:rsidRPr="000370FF">
        <w:rPr>
          <w:rFonts w:ascii="Aptos" w:eastAsia="Times New Roman" w:hAnsi="Aptos" w:cs="Times New Roman"/>
          <w:bCs/>
          <w:color w:val="000000"/>
          <w:sz w:val="25"/>
          <w:szCs w:val="25"/>
        </w:rPr>
        <w:t>“</w:t>
      </w:r>
      <w:r w:rsidRPr="000370FF">
        <w:rPr>
          <w:rFonts w:ascii="Aptos" w:eastAsia="Times New Roman" w:hAnsi="Aptos" w:cs="Times New Roman"/>
          <w:bCs/>
          <w:i/>
          <w:iCs/>
          <w:color w:val="000000"/>
          <w:sz w:val="25"/>
          <w:szCs w:val="25"/>
        </w:rPr>
        <w:t>shall</w:t>
      </w:r>
      <w:r w:rsidRPr="000370FF">
        <w:rPr>
          <w:rFonts w:ascii="Aptos" w:eastAsia="Times New Roman" w:hAnsi="Aptos" w:cs="Times New Roman"/>
          <w:bCs/>
          <w:color w:val="000000"/>
          <w:sz w:val="25"/>
          <w:szCs w:val="25"/>
        </w:rPr>
        <w:t xml:space="preserve"> provide certain special education services to eligible students in certain facilities operated by or under contract with the … County Houses of Corrections ….  [DESE] shall retain the discretion to determine based upon resources, the type and amount of special edu</w:t>
      </w:r>
      <w:r w:rsidR="0093005F" w:rsidRPr="000370FF">
        <w:rPr>
          <w:rFonts w:ascii="Aptos" w:eastAsia="Times New Roman" w:hAnsi="Aptos" w:cs="Times New Roman"/>
          <w:bCs/>
          <w:color w:val="000000"/>
          <w:sz w:val="25"/>
          <w:szCs w:val="25"/>
        </w:rPr>
        <w:t xml:space="preserve">cation </w:t>
      </w:r>
      <w:r w:rsidRPr="000370FF">
        <w:rPr>
          <w:rFonts w:ascii="Aptos" w:eastAsia="Times New Roman" w:hAnsi="Aptos" w:cs="Times New Roman"/>
          <w:bCs/>
          <w:color w:val="000000"/>
          <w:sz w:val="25"/>
          <w:szCs w:val="25"/>
        </w:rPr>
        <w:t>and related services that it provides in such facilities”</w:t>
      </w:r>
      <w:r w:rsidRPr="000370FF">
        <w:rPr>
          <w:rStyle w:val="FootnoteReference"/>
          <w:rFonts w:ascii="Aptos" w:eastAsia="Times New Roman" w:hAnsi="Aptos" w:cs="Times New Roman"/>
          <w:bCs/>
          <w:color w:val="000000"/>
          <w:sz w:val="25"/>
          <w:szCs w:val="25"/>
        </w:rPr>
        <w:footnoteReference w:id="36"/>
      </w:r>
      <w:r w:rsidRPr="000370FF">
        <w:rPr>
          <w:rFonts w:ascii="Aptos" w:eastAsia="Times New Roman" w:hAnsi="Aptos" w:cs="Times New Roman"/>
          <w:bCs/>
          <w:color w:val="000000"/>
          <w:sz w:val="25"/>
          <w:szCs w:val="25"/>
        </w:rPr>
        <w:t xml:space="preserve"> (emphasis added).</w:t>
      </w:r>
    </w:p>
    <w:p w14:paraId="6410693B" w14:textId="77777777" w:rsidR="00DA78B3" w:rsidRPr="000370FF" w:rsidRDefault="00DA78B3" w:rsidP="00DA78B3">
      <w:pPr>
        <w:rPr>
          <w:rFonts w:ascii="Aptos" w:eastAsia="Times New Roman" w:hAnsi="Aptos" w:cs="Times New Roman"/>
          <w:bCs/>
          <w:color w:val="000000"/>
          <w:sz w:val="25"/>
          <w:szCs w:val="25"/>
        </w:rPr>
      </w:pPr>
    </w:p>
    <w:p w14:paraId="64A1F6B7" w14:textId="77777777" w:rsidR="00DA78B3" w:rsidRPr="000370FF" w:rsidRDefault="00DA78B3" w:rsidP="00DA78B3">
      <w:pPr>
        <w:rPr>
          <w:rFonts w:ascii="Aptos" w:eastAsia="Times New Roman" w:hAnsi="Aptos" w:cs="Times New Roman"/>
          <w:bCs/>
          <w:color w:val="000000"/>
          <w:sz w:val="25"/>
          <w:szCs w:val="25"/>
        </w:rPr>
      </w:pPr>
      <w:r w:rsidRPr="000370FF">
        <w:rPr>
          <w:rFonts w:ascii="Aptos" w:eastAsia="Times New Roman" w:hAnsi="Aptos" w:cs="Times New Roman"/>
          <w:bCs/>
          <w:color w:val="000000"/>
          <w:sz w:val="25"/>
          <w:szCs w:val="25"/>
        </w:rPr>
        <w:t xml:space="preserve">This regulation also notes that “school districts are not relieved of their obligations to students in [CHCs]” and that the, </w:t>
      </w:r>
    </w:p>
    <w:p w14:paraId="0EA3A162" w14:textId="77777777" w:rsidR="00E02D0C" w:rsidRPr="000370FF" w:rsidRDefault="00E02D0C" w:rsidP="00DA78B3">
      <w:pPr>
        <w:rPr>
          <w:rFonts w:ascii="Aptos" w:eastAsia="Times New Roman" w:hAnsi="Aptos" w:cs="Times New Roman"/>
          <w:bCs/>
          <w:color w:val="000000"/>
          <w:sz w:val="25"/>
          <w:szCs w:val="25"/>
        </w:rPr>
      </w:pPr>
    </w:p>
    <w:p w14:paraId="3482B51B" w14:textId="4A7A0C6F" w:rsidR="00DA78B3" w:rsidRPr="000370FF" w:rsidRDefault="00DA78B3" w:rsidP="00DA78B3">
      <w:pPr>
        <w:ind w:left="720" w:right="720"/>
        <w:rPr>
          <w:rFonts w:ascii="Aptos" w:eastAsia="Times New Roman" w:hAnsi="Aptos" w:cs="Times New Roman"/>
          <w:bCs/>
          <w:color w:val="000000"/>
          <w:sz w:val="25"/>
          <w:szCs w:val="25"/>
        </w:rPr>
      </w:pPr>
      <w:r w:rsidRPr="000370FF">
        <w:rPr>
          <w:rFonts w:ascii="Aptos" w:eastAsia="Times New Roman" w:hAnsi="Aptos" w:cs="Times New Roman"/>
          <w:bCs/>
          <w:color w:val="000000"/>
          <w:sz w:val="25"/>
          <w:szCs w:val="25"/>
        </w:rPr>
        <w:t xml:space="preserve">“responsible school district </w:t>
      </w:r>
      <w:r w:rsidRPr="000370FF">
        <w:rPr>
          <w:rFonts w:ascii="Aptos" w:eastAsia="Times New Roman" w:hAnsi="Aptos" w:cs="Times New Roman"/>
          <w:bCs/>
          <w:i/>
          <w:iCs/>
          <w:color w:val="000000"/>
          <w:sz w:val="25"/>
          <w:szCs w:val="25"/>
        </w:rPr>
        <w:t>shall</w:t>
      </w:r>
      <w:r w:rsidRPr="000370FF">
        <w:rPr>
          <w:rFonts w:ascii="Aptos" w:eastAsia="Times New Roman" w:hAnsi="Aptos" w:cs="Times New Roman"/>
          <w:bCs/>
          <w:color w:val="000000"/>
          <w:sz w:val="25"/>
          <w:szCs w:val="25"/>
        </w:rPr>
        <w:t xml:space="preserve"> coordinate with [DESE] and ensure that the student receives an evaluation, an annual review, and special education services as identified by the Team at a Team meeting convened by the responsible school district. </w:t>
      </w:r>
      <w:r w:rsidR="00E56456" w:rsidRPr="000370FF">
        <w:rPr>
          <w:rFonts w:ascii="Aptos" w:eastAsia="Times New Roman" w:hAnsi="Aptos" w:cs="Times New Roman"/>
          <w:bCs/>
          <w:color w:val="000000"/>
          <w:sz w:val="25"/>
          <w:szCs w:val="25"/>
        </w:rPr>
        <w:t xml:space="preserve"> </w:t>
      </w:r>
      <w:r w:rsidRPr="000370FF">
        <w:rPr>
          <w:rFonts w:ascii="Aptos" w:eastAsia="Times New Roman" w:hAnsi="Aptos" w:cs="Times New Roman"/>
          <w:bCs/>
          <w:color w:val="000000"/>
          <w:sz w:val="25"/>
          <w:szCs w:val="25"/>
        </w:rPr>
        <w:t>The Department shall participate in Team meetings for any student receiving special education services in an institutional setting.  To the extent that special education services are provided by the Department in such facilities, the Department will make every effort to provide services consistent with the student's IEP and available resources”</w:t>
      </w:r>
      <w:r w:rsidRPr="000370FF">
        <w:rPr>
          <w:rStyle w:val="FootnoteReference"/>
          <w:rFonts w:ascii="Aptos" w:eastAsia="Times New Roman" w:hAnsi="Aptos" w:cs="Times New Roman"/>
          <w:bCs/>
          <w:color w:val="000000"/>
          <w:sz w:val="25"/>
          <w:szCs w:val="25"/>
        </w:rPr>
        <w:footnoteReference w:id="37"/>
      </w:r>
      <w:r w:rsidRPr="000370FF">
        <w:rPr>
          <w:rFonts w:ascii="Aptos" w:eastAsia="Times New Roman" w:hAnsi="Aptos" w:cs="Times New Roman"/>
          <w:bCs/>
          <w:color w:val="000000"/>
          <w:sz w:val="25"/>
          <w:szCs w:val="25"/>
        </w:rPr>
        <w:t xml:space="preserve"> (emphasis added).</w:t>
      </w:r>
    </w:p>
    <w:p w14:paraId="008BAAD6" w14:textId="77777777" w:rsidR="00007FE1" w:rsidRPr="000370FF" w:rsidRDefault="00007FE1" w:rsidP="00007FE1">
      <w:pPr>
        <w:ind w:right="720"/>
        <w:rPr>
          <w:rFonts w:ascii="Aptos" w:eastAsia="Times New Roman" w:hAnsi="Aptos" w:cs="Times New Roman"/>
          <w:bCs/>
          <w:color w:val="000000"/>
          <w:sz w:val="25"/>
          <w:szCs w:val="25"/>
        </w:rPr>
      </w:pPr>
    </w:p>
    <w:p w14:paraId="156A927F" w14:textId="0E0D2C9E" w:rsidR="00DA78B3" w:rsidRPr="000370FF" w:rsidRDefault="00007FE1" w:rsidP="00A84A44">
      <w:pPr>
        <w:rPr>
          <w:rFonts w:ascii="Aptos" w:eastAsia="Times New Roman" w:hAnsi="Aptos" w:cs="Times New Roman"/>
          <w:bCs/>
          <w:color w:val="000000"/>
          <w:sz w:val="25"/>
          <w:szCs w:val="25"/>
        </w:rPr>
      </w:pPr>
      <w:r w:rsidRPr="000370FF">
        <w:rPr>
          <w:rFonts w:ascii="Aptos" w:eastAsia="Times New Roman" w:hAnsi="Aptos" w:cs="Times New Roman"/>
          <w:bCs/>
          <w:color w:val="000000"/>
          <w:sz w:val="25"/>
          <w:szCs w:val="25"/>
        </w:rPr>
        <w:lastRenderedPageBreak/>
        <w:t>Incarcerated students in Massachusetts adult prisons maintain a right to FAPE under the IDEA as well</w:t>
      </w:r>
      <w:r w:rsidRPr="000370FF">
        <w:rPr>
          <w:rStyle w:val="FootnoteReference"/>
          <w:rFonts w:ascii="Aptos" w:eastAsia="Times New Roman" w:hAnsi="Aptos" w:cs="Times New Roman"/>
          <w:bCs/>
          <w:color w:val="000000"/>
          <w:sz w:val="25"/>
          <w:szCs w:val="25"/>
        </w:rPr>
        <w:footnoteReference w:id="38"/>
      </w:r>
      <w:r w:rsidRPr="000370FF">
        <w:rPr>
          <w:rFonts w:ascii="Aptos" w:eastAsia="Times New Roman" w:hAnsi="Aptos" w:cs="Times New Roman"/>
          <w:bCs/>
          <w:color w:val="000000"/>
          <w:sz w:val="25"/>
          <w:szCs w:val="25"/>
        </w:rPr>
        <w:t>.  Certain exceptions to the IDEA’s applicability to certain eligible students in adult correctional facilities exist but do not apply here</w:t>
      </w:r>
      <w:r w:rsidRPr="000370FF">
        <w:rPr>
          <w:rStyle w:val="FootnoteReference"/>
          <w:rFonts w:ascii="Aptos" w:eastAsia="Times New Roman" w:hAnsi="Aptos" w:cs="Times New Roman"/>
          <w:bCs/>
          <w:color w:val="000000"/>
          <w:sz w:val="25"/>
          <w:szCs w:val="25"/>
        </w:rPr>
        <w:footnoteReference w:id="39"/>
      </w:r>
      <w:r w:rsidRPr="000370FF">
        <w:rPr>
          <w:rFonts w:ascii="Aptos" w:eastAsia="Times New Roman" w:hAnsi="Aptos" w:cs="Times New Roman"/>
          <w:bCs/>
          <w:color w:val="000000"/>
          <w:sz w:val="25"/>
          <w:szCs w:val="25"/>
        </w:rPr>
        <w:t xml:space="preserve">.  </w:t>
      </w:r>
    </w:p>
    <w:p w14:paraId="3482C2C4" w14:textId="77777777" w:rsidR="00DA78B3" w:rsidRPr="000370FF" w:rsidRDefault="00DA78B3" w:rsidP="00DA78B3">
      <w:pPr>
        <w:shd w:val="clear" w:color="auto" w:fill="FFFFFF"/>
        <w:rPr>
          <w:rFonts w:ascii="Aptos" w:hAnsi="Aptos" w:cs="Times New Roman"/>
          <w:i/>
          <w:iCs/>
          <w:sz w:val="25"/>
          <w:szCs w:val="25"/>
        </w:rPr>
      </w:pPr>
      <w:r w:rsidRPr="000370FF">
        <w:rPr>
          <w:rFonts w:ascii="Aptos" w:eastAsia="Times New Roman" w:hAnsi="Aptos" w:cs="Times New Roman"/>
          <w:bCs/>
          <w:color w:val="000000"/>
          <w:sz w:val="25"/>
          <w:szCs w:val="25"/>
        </w:rPr>
        <w:t>4.</w:t>
      </w:r>
      <w:r w:rsidRPr="000370FF">
        <w:rPr>
          <w:rFonts w:ascii="Aptos" w:eastAsia="Times New Roman" w:hAnsi="Aptos" w:cs="Times New Roman"/>
          <w:bCs/>
          <w:color w:val="000000"/>
          <w:sz w:val="25"/>
          <w:szCs w:val="25"/>
        </w:rPr>
        <w:tab/>
      </w:r>
      <w:r w:rsidRPr="000370FF">
        <w:rPr>
          <w:rFonts w:ascii="Aptos" w:hAnsi="Aptos" w:cs="Times New Roman"/>
          <w:i/>
          <w:iCs/>
          <w:sz w:val="25"/>
          <w:szCs w:val="25"/>
        </w:rPr>
        <w:t xml:space="preserve">Statute of Limitations Applicable to BSEA Hearings. </w:t>
      </w:r>
    </w:p>
    <w:p w14:paraId="1776AEA0" w14:textId="77777777" w:rsidR="00DA78B3" w:rsidRPr="000370FF" w:rsidRDefault="00DA78B3" w:rsidP="00DA78B3">
      <w:pPr>
        <w:shd w:val="clear" w:color="auto" w:fill="FFFFFF"/>
        <w:spacing w:before="240"/>
        <w:rPr>
          <w:rFonts w:ascii="Aptos" w:eastAsia="Times New Roman" w:hAnsi="Aptos" w:cs="Times New Roman"/>
          <w:sz w:val="25"/>
          <w:szCs w:val="25"/>
        </w:rPr>
      </w:pPr>
      <w:r w:rsidRPr="000370FF">
        <w:rPr>
          <w:rFonts w:ascii="Aptos" w:eastAsia="Times New Roman" w:hAnsi="Aptos" w:cs="Times New Roman"/>
          <w:sz w:val="25"/>
          <w:szCs w:val="25"/>
        </w:rPr>
        <w:t>Due process proceedings brought under the IDEA must be commenced within two years of the date that a party knew or should have known of the actions forming the basis of its hearing request</w:t>
      </w:r>
      <w:r w:rsidRPr="000370FF">
        <w:rPr>
          <w:rStyle w:val="FootnoteReference"/>
          <w:rFonts w:ascii="Aptos" w:eastAsia="Times New Roman" w:hAnsi="Aptos" w:cs="Times New Roman"/>
          <w:sz w:val="25"/>
          <w:szCs w:val="25"/>
        </w:rPr>
        <w:footnoteReference w:id="40"/>
      </w:r>
      <w:r w:rsidRPr="000370FF">
        <w:rPr>
          <w:rFonts w:ascii="Aptos" w:eastAsia="Times New Roman" w:hAnsi="Aptos" w:cs="Times New Roman"/>
          <w:sz w:val="25"/>
          <w:szCs w:val="25"/>
        </w:rPr>
        <w:t>.  The only exceptions to this two-year limitation period are if a parent or student is prevented from filing a hearing request because of “(i) specific misrepresentations by the [district] that it had resolved the problem forming the basis of the complaint; or (ii) the [district]’s withholding of information from the parent [or student] that was required … to be provided …”</w:t>
      </w:r>
      <w:r w:rsidRPr="000370FF">
        <w:rPr>
          <w:rStyle w:val="FootnoteReference"/>
          <w:rFonts w:ascii="Aptos" w:eastAsia="Times New Roman" w:hAnsi="Aptos" w:cs="Times New Roman"/>
          <w:sz w:val="25"/>
          <w:szCs w:val="25"/>
        </w:rPr>
        <w:footnoteReference w:id="41"/>
      </w:r>
      <w:r w:rsidRPr="000370FF">
        <w:rPr>
          <w:rFonts w:ascii="Aptos" w:eastAsia="Times New Roman" w:hAnsi="Aptos" w:cs="Times New Roman"/>
          <w:sz w:val="25"/>
          <w:szCs w:val="25"/>
        </w:rPr>
        <w:t xml:space="preserve">.  </w:t>
      </w:r>
    </w:p>
    <w:p w14:paraId="3F15E64C" w14:textId="77777777" w:rsidR="00DA78B3" w:rsidRPr="000370FF" w:rsidRDefault="00DA78B3" w:rsidP="00DA78B3">
      <w:pPr>
        <w:jc w:val="both"/>
        <w:rPr>
          <w:rFonts w:ascii="Aptos" w:eastAsia="Times New Roman" w:hAnsi="Aptos" w:cs="Times New Roman"/>
          <w:bCs/>
          <w:i/>
          <w:iCs/>
          <w:color w:val="000000"/>
          <w:sz w:val="25"/>
          <w:szCs w:val="25"/>
        </w:rPr>
      </w:pPr>
    </w:p>
    <w:p w14:paraId="4630D7F6" w14:textId="77777777" w:rsidR="00DA78B3" w:rsidRPr="000370FF" w:rsidRDefault="00DA78B3" w:rsidP="00DA78B3">
      <w:pPr>
        <w:jc w:val="both"/>
        <w:rPr>
          <w:rFonts w:ascii="Aptos" w:eastAsia="Times New Roman" w:hAnsi="Aptos" w:cs="Times New Roman"/>
          <w:bCs/>
          <w:i/>
          <w:iCs/>
          <w:color w:val="000000"/>
          <w:sz w:val="25"/>
          <w:szCs w:val="25"/>
        </w:rPr>
      </w:pPr>
      <w:r w:rsidRPr="000370FF">
        <w:rPr>
          <w:rFonts w:ascii="Aptos" w:eastAsia="Times New Roman" w:hAnsi="Aptos" w:cs="Times New Roman"/>
          <w:bCs/>
          <w:i/>
          <w:iCs/>
          <w:color w:val="000000"/>
          <w:sz w:val="25"/>
          <w:szCs w:val="25"/>
        </w:rPr>
        <w:t>5.</w:t>
      </w:r>
      <w:r w:rsidRPr="000370FF">
        <w:rPr>
          <w:rFonts w:ascii="Aptos" w:eastAsia="Times New Roman" w:hAnsi="Aptos" w:cs="Times New Roman"/>
          <w:bCs/>
          <w:i/>
          <w:iCs/>
          <w:color w:val="000000"/>
          <w:sz w:val="25"/>
          <w:szCs w:val="25"/>
        </w:rPr>
        <w:tab/>
        <w:t>Liability of the SEA</w:t>
      </w:r>
    </w:p>
    <w:p w14:paraId="5AD9D6DA" w14:textId="77777777" w:rsidR="00DA78B3" w:rsidRPr="000370FF" w:rsidRDefault="00DA78B3" w:rsidP="00DA78B3">
      <w:pPr>
        <w:jc w:val="both"/>
        <w:rPr>
          <w:rFonts w:ascii="Aptos" w:eastAsia="Times New Roman" w:hAnsi="Aptos" w:cs="Times New Roman"/>
          <w:bCs/>
          <w:i/>
          <w:iCs/>
          <w:color w:val="000000"/>
          <w:sz w:val="25"/>
          <w:szCs w:val="25"/>
          <w:highlight w:val="yellow"/>
        </w:rPr>
      </w:pPr>
    </w:p>
    <w:p w14:paraId="721444E8" w14:textId="03148304" w:rsidR="00DA78B3" w:rsidRPr="000370FF" w:rsidRDefault="00DA78B3" w:rsidP="00DA78B3">
      <w:pPr>
        <w:shd w:val="clear" w:color="auto" w:fill="FFFFFF"/>
        <w:spacing w:line="320" w:lineRule="atLeast"/>
        <w:rPr>
          <w:rFonts w:ascii="Aptos" w:eastAsia="Times New Roman" w:hAnsi="Aptos" w:cs="Times New Roman"/>
          <w:color w:val="000000"/>
          <w:sz w:val="25"/>
          <w:szCs w:val="25"/>
        </w:rPr>
      </w:pPr>
      <w:r w:rsidRPr="000370FF">
        <w:rPr>
          <w:rFonts w:ascii="Aptos" w:eastAsia="Times New Roman" w:hAnsi="Aptos" w:cs="Times New Roman"/>
          <w:bCs/>
          <w:color w:val="000000"/>
          <w:sz w:val="25"/>
          <w:szCs w:val="25"/>
        </w:rPr>
        <w:t xml:space="preserve">As I have previously ruled, </w:t>
      </w:r>
      <w:r w:rsidR="00847941" w:rsidRPr="000370FF">
        <w:rPr>
          <w:rFonts w:ascii="Aptos" w:eastAsia="Times New Roman" w:hAnsi="Aptos" w:cs="Times New Roman"/>
          <w:bCs/>
          <w:color w:val="000000"/>
          <w:sz w:val="25"/>
          <w:szCs w:val="25"/>
        </w:rPr>
        <w:t xml:space="preserve">in an unrelated matter, </w:t>
      </w:r>
      <w:r w:rsidRPr="000370FF">
        <w:rPr>
          <w:rFonts w:ascii="Aptos" w:eastAsia="Times New Roman" w:hAnsi="Aptos" w:cs="Times New Roman"/>
          <w:bCs/>
          <w:color w:val="000000"/>
          <w:sz w:val="25"/>
          <w:szCs w:val="25"/>
        </w:rPr>
        <w:t xml:space="preserve">generally, there are no private rights of action available against DESE, as the SEA, for violations of its general supervisory </w:t>
      </w:r>
      <w:r w:rsidRPr="000370FF">
        <w:rPr>
          <w:rFonts w:ascii="Aptos" w:eastAsia="Times New Roman" w:hAnsi="Aptos" w:cs="Times New Roman"/>
          <w:bCs/>
          <w:color w:val="000000"/>
          <w:sz w:val="25"/>
          <w:szCs w:val="25"/>
        </w:rPr>
        <w:lastRenderedPageBreak/>
        <w:t>responsibilities under Section 1412 of the IDEA</w:t>
      </w:r>
      <w:r w:rsidRPr="000370FF">
        <w:rPr>
          <w:rStyle w:val="FootnoteReference"/>
          <w:rFonts w:ascii="Aptos" w:eastAsia="Times New Roman" w:hAnsi="Aptos" w:cs="Times New Roman"/>
          <w:bCs/>
          <w:color w:val="000000"/>
          <w:sz w:val="25"/>
          <w:szCs w:val="25"/>
        </w:rPr>
        <w:footnoteReference w:id="42"/>
      </w:r>
      <w:r w:rsidRPr="000370FF">
        <w:rPr>
          <w:rFonts w:ascii="Aptos" w:eastAsia="Times New Roman" w:hAnsi="Aptos" w:cs="Times New Roman"/>
          <w:bCs/>
          <w:color w:val="000000"/>
          <w:sz w:val="25"/>
          <w:szCs w:val="25"/>
        </w:rPr>
        <w:t xml:space="preserve">.  In other words, the </w:t>
      </w:r>
      <w:r w:rsidR="008F3002" w:rsidRPr="000370FF">
        <w:rPr>
          <w:rFonts w:ascii="Aptos" w:eastAsia="Times New Roman" w:hAnsi="Aptos" w:cs="Times New Roman"/>
          <w:bCs/>
          <w:color w:val="000000"/>
          <w:sz w:val="25"/>
          <w:szCs w:val="25"/>
        </w:rPr>
        <w:t>S</w:t>
      </w:r>
      <w:r w:rsidRPr="000370FF">
        <w:rPr>
          <w:rFonts w:ascii="Aptos" w:eastAsia="Times New Roman" w:hAnsi="Aptos" w:cs="Times New Roman"/>
          <w:bCs/>
          <w:color w:val="000000"/>
          <w:sz w:val="25"/>
          <w:szCs w:val="25"/>
        </w:rPr>
        <w:t>EA’s general supervisory authority under Section 1412 of the IDEA does not, on its own, provide justification for DESE to be included in cases involving individual FAPE claims against a</w:t>
      </w:r>
      <w:r w:rsidR="008F3002" w:rsidRPr="000370FF">
        <w:rPr>
          <w:rFonts w:ascii="Aptos" w:eastAsia="Times New Roman" w:hAnsi="Aptos" w:cs="Times New Roman"/>
          <w:bCs/>
          <w:color w:val="000000"/>
          <w:sz w:val="25"/>
          <w:szCs w:val="25"/>
        </w:rPr>
        <w:t>n LEA</w:t>
      </w:r>
      <w:r w:rsidRPr="000370FF">
        <w:rPr>
          <w:rFonts w:ascii="Aptos" w:eastAsia="Times New Roman" w:hAnsi="Aptos" w:cs="Times New Roman"/>
          <w:bCs/>
          <w:color w:val="000000"/>
          <w:sz w:val="25"/>
          <w:szCs w:val="25"/>
        </w:rPr>
        <w:t>, where no other specific special education related action by the SEA is implicated.  However, this does not mean that the SEA can never be a proper party to a due process proceeding</w:t>
      </w:r>
      <w:r w:rsidRPr="000370FF">
        <w:rPr>
          <w:rStyle w:val="FootnoteReference"/>
          <w:rFonts w:ascii="Aptos" w:eastAsia="Times New Roman" w:hAnsi="Aptos" w:cs="Times New Roman"/>
          <w:bCs/>
          <w:color w:val="000000"/>
          <w:sz w:val="25"/>
          <w:szCs w:val="25"/>
        </w:rPr>
        <w:footnoteReference w:id="43"/>
      </w:r>
      <w:r w:rsidRPr="000370FF">
        <w:rPr>
          <w:rFonts w:ascii="Aptos" w:eastAsia="Times New Roman" w:hAnsi="Aptos" w:cs="Times New Roman"/>
          <w:bCs/>
          <w:color w:val="000000"/>
          <w:sz w:val="25"/>
          <w:szCs w:val="25"/>
        </w:rPr>
        <w:t xml:space="preserve">.  Where specific claims are made as to the failure of the SEA to meet its IDEA-based responsibilities, particularly in situations where it has direct responsibility under other statutory or regulatory provisions of state or federal special education law, the SEA </w:t>
      </w:r>
      <w:r w:rsidR="0067684D" w:rsidRPr="000370FF">
        <w:rPr>
          <w:rFonts w:ascii="Aptos" w:eastAsia="Times New Roman" w:hAnsi="Aptos" w:cs="Times New Roman"/>
          <w:bCs/>
          <w:color w:val="000000"/>
          <w:sz w:val="25"/>
          <w:szCs w:val="25"/>
        </w:rPr>
        <w:t xml:space="preserve">has been held to be </w:t>
      </w:r>
      <w:r w:rsidRPr="000370FF">
        <w:rPr>
          <w:rFonts w:ascii="Aptos" w:eastAsia="Times New Roman" w:hAnsi="Aptos" w:cs="Times New Roman"/>
          <w:bCs/>
          <w:color w:val="000000"/>
          <w:sz w:val="25"/>
          <w:szCs w:val="25"/>
        </w:rPr>
        <w:t>a proper party to special education due process proceedings</w:t>
      </w:r>
      <w:r w:rsidRPr="000370FF">
        <w:rPr>
          <w:rStyle w:val="FootnoteReference"/>
          <w:rFonts w:ascii="Aptos" w:eastAsia="Times New Roman" w:hAnsi="Aptos" w:cs="Times New Roman"/>
          <w:bCs/>
          <w:color w:val="000000"/>
          <w:sz w:val="25"/>
          <w:szCs w:val="25"/>
        </w:rPr>
        <w:footnoteReference w:id="44"/>
      </w:r>
      <w:r w:rsidRPr="000370FF">
        <w:rPr>
          <w:rFonts w:ascii="Aptos" w:eastAsia="Times New Roman" w:hAnsi="Aptos" w:cs="Times New Roman"/>
          <w:bCs/>
          <w:color w:val="000000"/>
          <w:sz w:val="25"/>
          <w:szCs w:val="25"/>
        </w:rPr>
        <w:t xml:space="preserve">.  </w:t>
      </w:r>
    </w:p>
    <w:p w14:paraId="49BF7933" w14:textId="77777777" w:rsidR="00DA78B3" w:rsidRPr="000370FF" w:rsidRDefault="00DA78B3" w:rsidP="00DA78B3">
      <w:pPr>
        <w:shd w:val="clear" w:color="auto" w:fill="FFFFFF"/>
        <w:spacing w:before="240"/>
        <w:rPr>
          <w:rFonts w:ascii="Aptos" w:eastAsia="Times New Roman" w:hAnsi="Aptos" w:cs="Times New Roman"/>
          <w:sz w:val="25"/>
          <w:szCs w:val="25"/>
        </w:rPr>
      </w:pPr>
      <w:r w:rsidRPr="000370FF">
        <w:rPr>
          <w:rFonts w:ascii="Aptos" w:eastAsia="Times New Roman" w:hAnsi="Aptos" w:cs="Times New Roman"/>
          <w:sz w:val="25"/>
          <w:szCs w:val="25"/>
        </w:rPr>
        <w:t xml:space="preserve">Guided by this legal authority, I turn to the </w:t>
      </w:r>
      <w:r w:rsidRPr="000370FF">
        <w:rPr>
          <w:rFonts w:ascii="Aptos" w:eastAsia="Times New Roman" w:hAnsi="Aptos" w:cs="Times New Roman"/>
          <w:i/>
          <w:iCs/>
          <w:sz w:val="25"/>
          <w:szCs w:val="25"/>
        </w:rPr>
        <w:t>Motions</w:t>
      </w:r>
      <w:r w:rsidRPr="000370FF">
        <w:rPr>
          <w:rFonts w:ascii="Aptos" w:eastAsia="Times New Roman" w:hAnsi="Aptos" w:cs="Times New Roman"/>
          <w:sz w:val="25"/>
          <w:szCs w:val="25"/>
        </w:rPr>
        <w:t>.</w:t>
      </w:r>
    </w:p>
    <w:p w14:paraId="51997F5B" w14:textId="77777777" w:rsidR="00DA78B3" w:rsidRPr="000370FF" w:rsidRDefault="00DA78B3" w:rsidP="00DA78B3">
      <w:pPr>
        <w:shd w:val="clear" w:color="auto" w:fill="FFFFFF"/>
        <w:jc w:val="center"/>
        <w:rPr>
          <w:rFonts w:ascii="Aptos" w:eastAsia="Times New Roman" w:hAnsi="Aptos" w:cs="Times New Roman"/>
          <w:b/>
          <w:bCs/>
          <w:sz w:val="25"/>
          <w:szCs w:val="25"/>
        </w:rPr>
      </w:pPr>
    </w:p>
    <w:p w14:paraId="08B79A22" w14:textId="77777777" w:rsidR="00DA78B3" w:rsidRPr="000370FF" w:rsidRDefault="00DA78B3" w:rsidP="00DA78B3">
      <w:pPr>
        <w:shd w:val="clear" w:color="auto" w:fill="FFFFFF"/>
        <w:jc w:val="center"/>
        <w:rPr>
          <w:rFonts w:ascii="Aptos" w:eastAsia="Times New Roman" w:hAnsi="Aptos" w:cs="Times New Roman"/>
          <w:sz w:val="25"/>
          <w:szCs w:val="25"/>
        </w:rPr>
      </w:pPr>
      <w:r w:rsidRPr="000370FF">
        <w:rPr>
          <w:rFonts w:ascii="Aptos" w:eastAsia="Times New Roman" w:hAnsi="Aptos" w:cs="Times New Roman"/>
          <w:b/>
          <w:bCs/>
          <w:sz w:val="25"/>
          <w:szCs w:val="25"/>
        </w:rPr>
        <w:lastRenderedPageBreak/>
        <w:t>APPLICATION OF LEGAL STANDARDS</w:t>
      </w:r>
    </w:p>
    <w:p w14:paraId="06A0B630" w14:textId="77777777" w:rsidR="00DA78B3" w:rsidRPr="000370FF" w:rsidRDefault="00DA78B3" w:rsidP="00DA78B3">
      <w:pPr>
        <w:shd w:val="clear" w:color="auto" w:fill="FFFFFF"/>
        <w:rPr>
          <w:rFonts w:ascii="Aptos" w:eastAsia="Times New Roman" w:hAnsi="Aptos" w:cs="Times New Roman"/>
          <w:sz w:val="25"/>
          <w:szCs w:val="25"/>
        </w:rPr>
      </w:pPr>
    </w:p>
    <w:p w14:paraId="5E7A0CE1" w14:textId="7BFF21D0" w:rsidR="00DA78B3" w:rsidRPr="000370FF" w:rsidRDefault="00DA78B3" w:rsidP="00DA78B3">
      <w:pPr>
        <w:shd w:val="clear" w:color="auto" w:fill="FFFFFF"/>
        <w:rPr>
          <w:rFonts w:ascii="Aptos" w:eastAsia="Times New Roman" w:hAnsi="Aptos" w:cs="Times New Roman"/>
          <w:sz w:val="25"/>
          <w:szCs w:val="25"/>
        </w:rPr>
      </w:pPr>
      <w:r w:rsidRPr="000370FF">
        <w:rPr>
          <w:rFonts w:ascii="Aptos" w:eastAsia="Times New Roman" w:hAnsi="Aptos" w:cs="Times New Roman"/>
          <w:sz w:val="25"/>
          <w:szCs w:val="25"/>
        </w:rPr>
        <w:t xml:space="preserve">After reviewing the </w:t>
      </w:r>
      <w:r w:rsidRPr="000370FF">
        <w:rPr>
          <w:rFonts w:ascii="Aptos" w:eastAsia="Times New Roman" w:hAnsi="Aptos" w:cs="Times New Roman"/>
          <w:i/>
          <w:iCs/>
          <w:sz w:val="25"/>
          <w:szCs w:val="25"/>
        </w:rPr>
        <w:t xml:space="preserve">Hearing Request </w:t>
      </w:r>
      <w:r w:rsidRPr="000370FF">
        <w:rPr>
          <w:rFonts w:ascii="Aptos" w:eastAsia="Times New Roman" w:hAnsi="Aptos" w:cs="Times New Roman"/>
          <w:sz w:val="25"/>
          <w:szCs w:val="25"/>
        </w:rPr>
        <w:t xml:space="preserve">and the pleadings associated with the </w:t>
      </w:r>
      <w:r w:rsidRPr="000370FF">
        <w:rPr>
          <w:rFonts w:ascii="Aptos" w:eastAsia="Times New Roman" w:hAnsi="Aptos" w:cs="Times New Roman"/>
          <w:i/>
          <w:iCs/>
          <w:sz w:val="25"/>
          <w:szCs w:val="25"/>
        </w:rPr>
        <w:t xml:space="preserve">Motions </w:t>
      </w:r>
      <w:r w:rsidRPr="000370FF">
        <w:rPr>
          <w:rFonts w:ascii="Aptos" w:eastAsia="Times New Roman" w:hAnsi="Aptos" w:cs="Times New Roman"/>
          <w:sz w:val="25"/>
          <w:szCs w:val="25"/>
        </w:rPr>
        <w:t xml:space="preserve">in the light most favorable to Student, as I am required to do, I find that </w:t>
      </w:r>
      <w:r w:rsidR="008C7AEA" w:rsidRPr="000370FF">
        <w:rPr>
          <w:rFonts w:ascii="Aptos" w:eastAsia="Times New Roman" w:hAnsi="Aptos" w:cs="Times New Roman"/>
          <w:sz w:val="25"/>
          <w:szCs w:val="25"/>
        </w:rPr>
        <w:t xml:space="preserve">Student’s Child Find Claim as to DESE prior to February 15, 2022, his LRE Claim </w:t>
      </w:r>
      <w:proofErr w:type="gramStart"/>
      <w:r w:rsidR="008C7AEA" w:rsidRPr="000370FF">
        <w:rPr>
          <w:rFonts w:ascii="Aptos" w:eastAsia="Times New Roman" w:hAnsi="Aptos" w:cs="Times New Roman"/>
          <w:sz w:val="25"/>
          <w:szCs w:val="25"/>
        </w:rPr>
        <w:t>with regard to</w:t>
      </w:r>
      <w:proofErr w:type="gramEnd"/>
      <w:r w:rsidR="008C7AEA" w:rsidRPr="000370FF">
        <w:rPr>
          <w:rFonts w:ascii="Aptos" w:eastAsia="Times New Roman" w:hAnsi="Aptos" w:cs="Times New Roman"/>
          <w:sz w:val="25"/>
          <w:szCs w:val="25"/>
        </w:rPr>
        <w:t xml:space="preserve"> receipt of his math and counseling services </w:t>
      </w:r>
      <w:r w:rsidR="00DE1613" w:rsidRPr="000370FF">
        <w:rPr>
          <w:rFonts w:ascii="Aptos" w:eastAsia="Times New Roman" w:hAnsi="Aptos" w:cs="Times New Roman"/>
          <w:sz w:val="25"/>
          <w:szCs w:val="25"/>
        </w:rPr>
        <w:t>on a 1:1 basis since January 17, 2024</w:t>
      </w:r>
      <w:r w:rsidR="00BF306F" w:rsidRPr="000370FF">
        <w:rPr>
          <w:rFonts w:ascii="Aptos" w:eastAsia="Times New Roman" w:hAnsi="Aptos" w:cs="Times New Roman"/>
          <w:sz w:val="25"/>
          <w:szCs w:val="25"/>
        </w:rPr>
        <w:t>, and his Systemic Claims must be dismissed</w:t>
      </w:r>
      <w:r w:rsidRPr="000370FF">
        <w:rPr>
          <w:rFonts w:ascii="Aptos" w:eastAsia="Times New Roman" w:hAnsi="Aptos" w:cs="Times New Roman"/>
          <w:sz w:val="25"/>
          <w:szCs w:val="25"/>
        </w:rPr>
        <w:t xml:space="preserve">. </w:t>
      </w:r>
      <w:r w:rsidR="00BD00B0" w:rsidRPr="000370FF">
        <w:rPr>
          <w:rFonts w:ascii="Aptos" w:eastAsia="Times New Roman" w:hAnsi="Aptos" w:cs="Times New Roman"/>
          <w:sz w:val="25"/>
          <w:szCs w:val="25"/>
        </w:rPr>
        <w:t xml:space="preserve"> </w:t>
      </w:r>
      <w:r w:rsidRPr="000370FF">
        <w:rPr>
          <w:rFonts w:ascii="Aptos" w:eastAsia="Times New Roman" w:hAnsi="Aptos" w:cs="Times New Roman"/>
          <w:sz w:val="25"/>
          <w:szCs w:val="25"/>
        </w:rPr>
        <w:t xml:space="preserve">However, I </w:t>
      </w:r>
      <w:r w:rsidR="007A4AF7" w:rsidRPr="000370FF">
        <w:rPr>
          <w:rFonts w:ascii="Aptos" w:eastAsia="Times New Roman" w:hAnsi="Aptos" w:cs="Times New Roman"/>
          <w:sz w:val="25"/>
          <w:szCs w:val="25"/>
        </w:rPr>
        <w:t xml:space="preserve">find </w:t>
      </w:r>
      <w:r w:rsidRPr="000370FF">
        <w:rPr>
          <w:rFonts w:ascii="Aptos" w:eastAsia="Times New Roman" w:hAnsi="Aptos" w:cs="Times New Roman"/>
          <w:sz w:val="25"/>
          <w:szCs w:val="25"/>
        </w:rPr>
        <w:t xml:space="preserve">that </w:t>
      </w:r>
      <w:r w:rsidR="00BF306F" w:rsidRPr="000370FF">
        <w:rPr>
          <w:rFonts w:ascii="Aptos" w:eastAsia="Times New Roman" w:hAnsi="Aptos" w:cs="Times New Roman"/>
          <w:sz w:val="25"/>
          <w:szCs w:val="25"/>
        </w:rPr>
        <w:t xml:space="preserve">his Child Find Claims as to DESE since February 15, 2022, his Child Find Claim as to Quincy since </w:t>
      </w:r>
      <w:r w:rsidR="00775C80" w:rsidRPr="000370FF">
        <w:rPr>
          <w:rFonts w:ascii="Aptos" w:eastAsia="Times New Roman" w:hAnsi="Aptos" w:cs="Times New Roman"/>
          <w:sz w:val="25"/>
          <w:szCs w:val="25"/>
        </w:rPr>
        <w:t>February</w:t>
      </w:r>
      <w:r w:rsidR="00BF306F" w:rsidRPr="000370FF">
        <w:rPr>
          <w:rFonts w:ascii="Aptos" w:eastAsia="Times New Roman" w:hAnsi="Aptos" w:cs="Times New Roman"/>
          <w:sz w:val="25"/>
          <w:szCs w:val="25"/>
        </w:rPr>
        <w:t xml:space="preserve"> 2020</w:t>
      </w:r>
      <w:r w:rsidRPr="000370FF">
        <w:rPr>
          <w:rFonts w:ascii="Aptos" w:eastAsia="Times New Roman" w:hAnsi="Aptos" w:cs="Times New Roman"/>
          <w:sz w:val="25"/>
          <w:szCs w:val="25"/>
        </w:rPr>
        <w:t xml:space="preserve">, </w:t>
      </w:r>
      <w:r w:rsidR="00EE4DBF" w:rsidRPr="000370FF">
        <w:rPr>
          <w:rFonts w:ascii="Aptos" w:eastAsia="Times New Roman" w:hAnsi="Aptos" w:cs="Times New Roman"/>
          <w:sz w:val="25"/>
          <w:szCs w:val="25"/>
        </w:rPr>
        <w:t xml:space="preserve">all </w:t>
      </w:r>
      <w:r w:rsidR="00BF306F" w:rsidRPr="000370FF">
        <w:rPr>
          <w:rFonts w:ascii="Aptos" w:eastAsia="Times New Roman" w:hAnsi="Aptos" w:cs="Times New Roman"/>
          <w:sz w:val="25"/>
          <w:szCs w:val="25"/>
        </w:rPr>
        <w:t xml:space="preserve">his FAPE Claims and LRE Claims </w:t>
      </w:r>
      <w:r w:rsidR="007A4AF7" w:rsidRPr="000370FF">
        <w:rPr>
          <w:rFonts w:ascii="Aptos" w:eastAsia="Times New Roman" w:hAnsi="Aptos" w:cs="Times New Roman"/>
          <w:sz w:val="25"/>
          <w:szCs w:val="25"/>
        </w:rPr>
        <w:t>(</w:t>
      </w:r>
      <w:r w:rsidR="00BF306F" w:rsidRPr="000370FF">
        <w:rPr>
          <w:rFonts w:ascii="Aptos" w:eastAsia="Times New Roman" w:hAnsi="Aptos" w:cs="Times New Roman"/>
          <w:sz w:val="25"/>
          <w:szCs w:val="25"/>
        </w:rPr>
        <w:t xml:space="preserve">other than </w:t>
      </w:r>
      <w:proofErr w:type="gramStart"/>
      <w:r w:rsidR="00BF306F" w:rsidRPr="000370FF">
        <w:rPr>
          <w:rFonts w:ascii="Aptos" w:eastAsia="Times New Roman" w:hAnsi="Aptos" w:cs="Times New Roman"/>
          <w:sz w:val="25"/>
          <w:szCs w:val="25"/>
        </w:rPr>
        <w:t>with regard to</w:t>
      </w:r>
      <w:proofErr w:type="gramEnd"/>
      <w:r w:rsidR="00BF306F" w:rsidRPr="000370FF">
        <w:rPr>
          <w:rFonts w:ascii="Aptos" w:eastAsia="Times New Roman" w:hAnsi="Aptos" w:cs="Times New Roman"/>
          <w:sz w:val="25"/>
          <w:szCs w:val="25"/>
        </w:rPr>
        <w:t xml:space="preserve"> receipt of special education math and counseling services on a 1:1 basis since January 17, </w:t>
      </w:r>
      <w:r w:rsidR="00774E8C" w:rsidRPr="000370FF">
        <w:rPr>
          <w:rFonts w:ascii="Aptos" w:eastAsia="Times New Roman" w:hAnsi="Aptos" w:cs="Times New Roman"/>
          <w:sz w:val="25"/>
          <w:szCs w:val="25"/>
        </w:rPr>
        <w:t>2024</w:t>
      </w:r>
      <w:r w:rsidR="007A4AF7" w:rsidRPr="000370FF">
        <w:rPr>
          <w:rFonts w:ascii="Aptos" w:eastAsia="Times New Roman" w:hAnsi="Aptos" w:cs="Times New Roman"/>
          <w:sz w:val="25"/>
          <w:szCs w:val="25"/>
        </w:rPr>
        <w:t>)</w:t>
      </w:r>
      <w:r w:rsidR="00774E8C" w:rsidRPr="000370FF">
        <w:rPr>
          <w:rFonts w:ascii="Aptos" w:eastAsia="Times New Roman" w:hAnsi="Aptos" w:cs="Times New Roman"/>
          <w:sz w:val="25"/>
          <w:szCs w:val="25"/>
        </w:rPr>
        <w:t>,</w:t>
      </w:r>
      <w:r w:rsidR="00BF306F" w:rsidRPr="000370FF">
        <w:rPr>
          <w:rFonts w:ascii="Aptos" w:eastAsia="Times New Roman" w:hAnsi="Aptos" w:cs="Times New Roman"/>
          <w:sz w:val="25"/>
          <w:szCs w:val="25"/>
        </w:rPr>
        <w:t xml:space="preserve"> </w:t>
      </w:r>
      <w:r w:rsidRPr="000370FF">
        <w:rPr>
          <w:rFonts w:ascii="Aptos" w:eastAsia="Times New Roman" w:hAnsi="Aptos" w:cs="Times New Roman"/>
          <w:sz w:val="25"/>
          <w:szCs w:val="25"/>
        </w:rPr>
        <w:t>survive.  My reasoning follows.</w:t>
      </w:r>
    </w:p>
    <w:p w14:paraId="0B4CEB7C" w14:textId="77777777" w:rsidR="00DA78B3" w:rsidRPr="000370FF" w:rsidRDefault="00DA78B3" w:rsidP="00DA78B3">
      <w:pPr>
        <w:shd w:val="clear" w:color="auto" w:fill="FFFFFF"/>
        <w:rPr>
          <w:rFonts w:ascii="Aptos" w:eastAsia="Times New Roman" w:hAnsi="Aptos" w:cs="Times New Roman"/>
          <w:sz w:val="25"/>
          <w:szCs w:val="25"/>
        </w:rPr>
      </w:pPr>
    </w:p>
    <w:p w14:paraId="20F29C10" w14:textId="77777777" w:rsidR="00DA78B3" w:rsidRPr="000370FF" w:rsidRDefault="00DA78B3" w:rsidP="00DA78B3">
      <w:pPr>
        <w:pStyle w:val="ListParagraph"/>
        <w:numPr>
          <w:ilvl w:val="0"/>
          <w:numId w:val="6"/>
        </w:numPr>
        <w:shd w:val="clear" w:color="auto" w:fill="FFFFFF"/>
        <w:ind w:left="720"/>
        <w:rPr>
          <w:rFonts w:ascii="Aptos" w:eastAsia="Times New Roman" w:hAnsi="Aptos" w:cs="Times New Roman"/>
          <w:sz w:val="25"/>
          <w:szCs w:val="25"/>
          <w:u w:val="single"/>
        </w:rPr>
      </w:pPr>
      <w:r w:rsidRPr="000370FF">
        <w:rPr>
          <w:rFonts w:ascii="Aptos" w:eastAsia="Times New Roman" w:hAnsi="Aptos" w:cs="Times New Roman"/>
          <w:sz w:val="25"/>
          <w:szCs w:val="25"/>
          <w:u w:val="single"/>
        </w:rPr>
        <w:t>Individual Claims</w:t>
      </w:r>
    </w:p>
    <w:p w14:paraId="1659C524" w14:textId="77777777" w:rsidR="00DA78B3" w:rsidRPr="000370FF" w:rsidRDefault="00DA78B3" w:rsidP="00DA78B3">
      <w:pPr>
        <w:shd w:val="clear" w:color="auto" w:fill="FFFFFF"/>
        <w:rPr>
          <w:rFonts w:ascii="Aptos" w:eastAsia="Times New Roman" w:hAnsi="Aptos" w:cs="Times New Roman"/>
          <w:sz w:val="25"/>
          <w:szCs w:val="25"/>
        </w:rPr>
      </w:pPr>
    </w:p>
    <w:p w14:paraId="0CECB9D1" w14:textId="5B881993" w:rsidR="00DA78B3" w:rsidRPr="000370FF" w:rsidRDefault="00DA78B3" w:rsidP="00DA78B3">
      <w:pPr>
        <w:pStyle w:val="ListParagraph"/>
        <w:numPr>
          <w:ilvl w:val="0"/>
          <w:numId w:val="13"/>
        </w:numPr>
        <w:shd w:val="clear" w:color="auto" w:fill="FFFFFF"/>
        <w:rPr>
          <w:rFonts w:ascii="Aptos" w:eastAsia="Times New Roman" w:hAnsi="Aptos" w:cs="Times New Roman"/>
          <w:sz w:val="25"/>
          <w:szCs w:val="25"/>
        </w:rPr>
      </w:pPr>
      <w:r w:rsidRPr="000370FF">
        <w:rPr>
          <w:rFonts w:ascii="Aptos" w:eastAsia="Times New Roman" w:hAnsi="Aptos" w:cs="Times New Roman"/>
          <w:i/>
          <w:iCs/>
          <w:sz w:val="25"/>
          <w:szCs w:val="25"/>
        </w:rPr>
        <w:t>Issue 1 - Child Find Claim</w:t>
      </w:r>
      <w:r w:rsidR="00BE46BE" w:rsidRPr="000370FF">
        <w:rPr>
          <w:rFonts w:ascii="Aptos" w:eastAsia="Times New Roman" w:hAnsi="Aptos" w:cs="Times New Roman"/>
          <w:i/>
          <w:iCs/>
          <w:sz w:val="25"/>
          <w:szCs w:val="25"/>
        </w:rPr>
        <w:t>s</w:t>
      </w:r>
    </w:p>
    <w:p w14:paraId="70A14231" w14:textId="77777777" w:rsidR="00DA78B3" w:rsidRPr="000370FF" w:rsidRDefault="00DA78B3" w:rsidP="00DA78B3">
      <w:pPr>
        <w:shd w:val="clear" w:color="auto" w:fill="FFFFFF"/>
        <w:rPr>
          <w:rFonts w:ascii="Aptos" w:eastAsia="Times New Roman" w:hAnsi="Aptos" w:cs="Times New Roman"/>
          <w:sz w:val="25"/>
          <w:szCs w:val="25"/>
        </w:rPr>
      </w:pPr>
    </w:p>
    <w:p w14:paraId="757545A3" w14:textId="76DFEFC9" w:rsidR="00DA78B3" w:rsidRPr="000370FF" w:rsidRDefault="00DA78B3" w:rsidP="00DA78B3">
      <w:pPr>
        <w:shd w:val="clear" w:color="auto" w:fill="FFFFFF"/>
        <w:rPr>
          <w:rFonts w:ascii="Aptos" w:eastAsia="Times New Roman" w:hAnsi="Aptos" w:cs="Times New Roman"/>
          <w:sz w:val="25"/>
          <w:szCs w:val="25"/>
        </w:rPr>
      </w:pPr>
      <w:r w:rsidRPr="000370FF">
        <w:rPr>
          <w:rFonts w:ascii="Aptos" w:eastAsia="Times New Roman" w:hAnsi="Aptos" w:cs="Times New Roman"/>
          <w:sz w:val="25"/>
          <w:szCs w:val="25"/>
        </w:rPr>
        <w:t xml:space="preserve">Both DESE and Quincy seek dismissal of the Child Find Claim prior to </w:t>
      </w:r>
      <w:r w:rsidR="000F398A" w:rsidRPr="000370FF">
        <w:rPr>
          <w:rFonts w:ascii="Aptos" w:eastAsia="Times New Roman" w:hAnsi="Aptos" w:cs="Times New Roman"/>
          <w:sz w:val="25"/>
          <w:szCs w:val="25"/>
        </w:rPr>
        <w:t>February</w:t>
      </w:r>
      <w:r w:rsidRPr="000370FF">
        <w:rPr>
          <w:rFonts w:ascii="Aptos" w:eastAsia="Times New Roman" w:hAnsi="Aptos" w:cs="Times New Roman"/>
          <w:sz w:val="25"/>
          <w:szCs w:val="25"/>
        </w:rPr>
        <w:t xml:space="preserve"> 2022.  DESE argues that it had no child find responsibility prior to Student’s incarceration in the CHC on February 15, 2022.  Student agrees DESE holds no child find responsibility for Student prior to his incarceration and thus, DESE’s request to dismiss the Child Find Claim as to DESE prior to February 15, </w:t>
      </w:r>
      <w:r w:rsidR="000F398A" w:rsidRPr="000370FF">
        <w:rPr>
          <w:rFonts w:ascii="Aptos" w:eastAsia="Times New Roman" w:hAnsi="Aptos" w:cs="Times New Roman"/>
          <w:sz w:val="25"/>
          <w:szCs w:val="25"/>
        </w:rPr>
        <w:t>2022,</w:t>
      </w:r>
      <w:r w:rsidRPr="000370FF">
        <w:rPr>
          <w:rFonts w:ascii="Aptos" w:eastAsia="Times New Roman" w:hAnsi="Aptos" w:cs="Times New Roman"/>
          <w:sz w:val="25"/>
          <w:szCs w:val="25"/>
        </w:rPr>
        <w:t xml:space="preserve"> is </w:t>
      </w:r>
      <w:r w:rsidRPr="000370FF">
        <w:rPr>
          <w:rFonts w:ascii="Aptos" w:eastAsia="Times New Roman" w:hAnsi="Aptos" w:cs="Times New Roman"/>
          <w:b/>
          <w:bCs/>
          <w:sz w:val="25"/>
          <w:szCs w:val="25"/>
        </w:rPr>
        <w:t>ALLOWED</w:t>
      </w:r>
      <w:r w:rsidRPr="000370FF">
        <w:rPr>
          <w:rFonts w:ascii="Aptos" w:eastAsia="Times New Roman" w:hAnsi="Aptos" w:cs="Times New Roman"/>
          <w:sz w:val="25"/>
          <w:szCs w:val="25"/>
        </w:rPr>
        <w:t>.</w:t>
      </w:r>
    </w:p>
    <w:p w14:paraId="2EFD7786" w14:textId="77777777" w:rsidR="00DA78B3" w:rsidRPr="000370FF" w:rsidRDefault="00DA78B3" w:rsidP="00DA78B3">
      <w:pPr>
        <w:shd w:val="clear" w:color="auto" w:fill="FFFFFF"/>
        <w:rPr>
          <w:rFonts w:ascii="Aptos" w:eastAsia="Times New Roman" w:hAnsi="Aptos" w:cs="Times New Roman"/>
          <w:sz w:val="25"/>
          <w:szCs w:val="25"/>
        </w:rPr>
      </w:pPr>
    </w:p>
    <w:p w14:paraId="4CDF2C84" w14:textId="3AB70666" w:rsidR="00DA78B3" w:rsidRPr="000370FF" w:rsidRDefault="004C2CE9" w:rsidP="00DA78B3">
      <w:pPr>
        <w:shd w:val="clear" w:color="auto" w:fill="FFFFFF"/>
        <w:rPr>
          <w:rFonts w:ascii="Aptos" w:eastAsia="Times New Roman" w:hAnsi="Aptos" w:cs="Times New Roman"/>
          <w:sz w:val="25"/>
          <w:szCs w:val="25"/>
        </w:rPr>
      </w:pPr>
      <w:r w:rsidRPr="000370FF">
        <w:rPr>
          <w:rFonts w:ascii="Aptos" w:eastAsia="Times New Roman" w:hAnsi="Aptos" w:cs="Times New Roman"/>
          <w:sz w:val="25"/>
          <w:szCs w:val="25"/>
        </w:rPr>
        <w:t xml:space="preserve">Quincy argues that the Child Find Claim must be dismissed prior to February 14, 2022, as being beyond the two-year statutory limitation period.  </w:t>
      </w:r>
      <w:r w:rsidR="00DA78B3" w:rsidRPr="000370FF">
        <w:rPr>
          <w:rFonts w:ascii="Aptos" w:eastAsia="Times New Roman" w:hAnsi="Aptos" w:cs="Times New Roman"/>
          <w:sz w:val="25"/>
          <w:szCs w:val="25"/>
        </w:rPr>
        <w:t xml:space="preserve">Student </w:t>
      </w:r>
      <w:r w:rsidR="000F398A" w:rsidRPr="000370FF">
        <w:rPr>
          <w:rFonts w:ascii="Aptos" w:eastAsia="Times New Roman" w:hAnsi="Aptos" w:cs="Times New Roman"/>
          <w:sz w:val="25"/>
          <w:szCs w:val="25"/>
        </w:rPr>
        <w:t>disputes dismissal as to Quincy</w:t>
      </w:r>
      <w:r w:rsidRPr="000370FF">
        <w:rPr>
          <w:rFonts w:ascii="Aptos" w:eastAsia="Times New Roman" w:hAnsi="Aptos" w:cs="Times New Roman"/>
          <w:sz w:val="25"/>
          <w:szCs w:val="25"/>
        </w:rPr>
        <w:t xml:space="preserve"> </w:t>
      </w:r>
      <w:r w:rsidR="00C01D5D" w:rsidRPr="000370FF">
        <w:rPr>
          <w:rFonts w:ascii="Aptos" w:eastAsia="Times New Roman" w:hAnsi="Aptos" w:cs="Times New Roman"/>
          <w:sz w:val="25"/>
          <w:szCs w:val="25"/>
        </w:rPr>
        <w:t>on this basis</w:t>
      </w:r>
      <w:r w:rsidR="000F398A" w:rsidRPr="000370FF">
        <w:rPr>
          <w:rFonts w:ascii="Aptos" w:eastAsia="Times New Roman" w:hAnsi="Aptos" w:cs="Times New Roman"/>
          <w:sz w:val="25"/>
          <w:szCs w:val="25"/>
        </w:rPr>
        <w:t xml:space="preserve">, arguing that an exception to the </w:t>
      </w:r>
      <w:r w:rsidR="00DA78B3" w:rsidRPr="000370FF">
        <w:rPr>
          <w:rFonts w:ascii="Aptos" w:eastAsia="Times New Roman" w:hAnsi="Aptos" w:cs="Times New Roman"/>
          <w:sz w:val="25"/>
          <w:szCs w:val="25"/>
        </w:rPr>
        <w:t xml:space="preserve">two year statutory limitation period </w:t>
      </w:r>
      <w:r w:rsidR="000F398A" w:rsidRPr="000370FF">
        <w:rPr>
          <w:rFonts w:ascii="Aptos" w:eastAsia="Times New Roman" w:hAnsi="Aptos" w:cs="Times New Roman"/>
          <w:sz w:val="25"/>
          <w:szCs w:val="25"/>
        </w:rPr>
        <w:t xml:space="preserve">applies.  Student’s </w:t>
      </w:r>
      <w:r w:rsidR="000F398A" w:rsidRPr="000370FF">
        <w:rPr>
          <w:rFonts w:ascii="Aptos" w:eastAsia="Times New Roman" w:hAnsi="Aptos" w:cs="Times New Roman"/>
          <w:i/>
          <w:iCs/>
          <w:sz w:val="25"/>
          <w:szCs w:val="25"/>
        </w:rPr>
        <w:t xml:space="preserve">Hearing Request </w:t>
      </w:r>
      <w:r w:rsidR="000F398A" w:rsidRPr="000370FF">
        <w:rPr>
          <w:rFonts w:ascii="Aptos" w:eastAsia="Times New Roman" w:hAnsi="Aptos" w:cs="Times New Roman"/>
          <w:sz w:val="25"/>
          <w:szCs w:val="25"/>
        </w:rPr>
        <w:t>contains allegation</w:t>
      </w:r>
      <w:r w:rsidR="004312DC" w:rsidRPr="000370FF">
        <w:rPr>
          <w:rFonts w:ascii="Aptos" w:eastAsia="Times New Roman" w:hAnsi="Aptos" w:cs="Times New Roman"/>
          <w:sz w:val="25"/>
          <w:szCs w:val="25"/>
        </w:rPr>
        <w:t>s</w:t>
      </w:r>
      <w:r w:rsidR="000F398A" w:rsidRPr="000370FF">
        <w:rPr>
          <w:rFonts w:ascii="Aptos" w:eastAsia="Times New Roman" w:hAnsi="Aptos" w:cs="Times New Roman"/>
          <w:sz w:val="25"/>
          <w:szCs w:val="25"/>
        </w:rPr>
        <w:t xml:space="preserve"> that he was </w:t>
      </w:r>
      <w:r w:rsidR="00DA78B3" w:rsidRPr="000370FF">
        <w:rPr>
          <w:rFonts w:ascii="Aptos" w:eastAsia="Times New Roman" w:hAnsi="Aptos" w:cs="Times New Roman"/>
          <w:sz w:val="25"/>
          <w:szCs w:val="25"/>
        </w:rPr>
        <w:t xml:space="preserve">transferred and enrolled </w:t>
      </w:r>
      <w:r w:rsidR="002143C3" w:rsidRPr="000370FF">
        <w:rPr>
          <w:rFonts w:ascii="Aptos" w:eastAsia="Times New Roman" w:hAnsi="Aptos" w:cs="Times New Roman"/>
          <w:sz w:val="25"/>
          <w:szCs w:val="25"/>
        </w:rPr>
        <w:t>into</w:t>
      </w:r>
      <w:r w:rsidR="00DA78B3" w:rsidRPr="000370FF">
        <w:rPr>
          <w:rFonts w:ascii="Aptos" w:eastAsia="Times New Roman" w:hAnsi="Aptos" w:cs="Times New Roman"/>
          <w:sz w:val="25"/>
          <w:szCs w:val="25"/>
        </w:rPr>
        <w:t xml:space="preserve"> </w:t>
      </w:r>
      <w:r w:rsidR="009D494A" w:rsidRPr="000370FF">
        <w:rPr>
          <w:rFonts w:ascii="Aptos" w:eastAsia="Times New Roman" w:hAnsi="Aptos" w:cs="Times New Roman"/>
          <w:sz w:val="25"/>
          <w:szCs w:val="25"/>
        </w:rPr>
        <w:t>the GOALS</w:t>
      </w:r>
      <w:r w:rsidR="00DA78B3" w:rsidRPr="000370FF">
        <w:rPr>
          <w:rFonts w:ascii="Aptos" w:eastAsia="Times New Roman" w:hAnsi="Aptos" w:cs="Times New Roman"/>
          <w:sz w:val="25"/>
          <w:szCs w:val="25"/>
        </w:rPr>
        <w:t xml:space="preserve"> substantially separate special education program in Quincy in February 2020, </w:t>
      </w:r>
      <w:r w:rsidR="000F398A" w:rsidRPr="000370FF">
        <w:rPr>
          <w:rFonts w:ascii="Aptos" w:eastAsia="Times New Roman" w:hAnsi="Aptos" w:cs="Times New Roman"/>
          <w:sz w:val="25"/>
          <w:szCs w:val="25"/>
        </w:rPr>
        <w:t xml:space="preserve">without </w:t>
      </w:r>
      <w:r w:rsidR="002143C3" w:rsidRPr="000370FF">
        <w:rPr>
          <w:rFonts w:ascii="Aptos" w:eastAsia="Times New Roman" w:hAnsi="Aptos" w:cs="Times New Roman"/>
          <w:sz w:val="25"/>
          <w:szCs w:val="25"/>
        </w:rPr>
        <w:t xml:space="preserve">ever having been </w:t>
      </w:r>
      <w:r w:rsidR="00DA78B3" w:rsidRPr="000370FF">
        <w:rPr>
          <w:rFonts w:ascii="Aptos" w:eastAsia="Times New Roman" w:hAnsi="Aptos" w:cs="Times New Roman"/>
          <w:sz w:val="25"/>
          <w:szCs w:val="25"/>
        </w:rPr>
        <w:t xml:space="preserve">referred or evaluated for special education </w:t>
      </w:r>
      <w:r w:rsidR="00771F35" w:rsidRPr="000370FF">
        <w:rPr>
          <w:rFonts w:ascii="Aptos" w:eastAsia="Times New Roman" w:hAnsi="Aptos" w:cs="Times New Roman"/>
          <w:sz w:val="25"/>
          <w:szCs w:val="25"/>
        </w:rPr>
        <w:t>services or</w:t>
      </w:r>
      <w:r w:rsidR="00DA78B3" w:rsidRPr="000370FF">
        <w:rPr>
          <w:rFonts w:ascii="Aptos" w:eastAsia="Times New Roman" w:hAnsi="Aptos" w:cs="Times New Roman"/>
          <w:sz w:val="25"/>
          <w:szCs w:val="25"/>
        </w:rPr>
        <w:t xml:space="preserve"> identified as eligible for special education services</w:t>
      </w:r>
      <w:r w:rsidR="00E63D86" w:rsidRPr="000370FF">
        <w:rPr>
          <w:rFonts w:ascii="Aptos" w:eastAsia="Times New Roman" w:hAnsi="Aptos" w:cs="Times New Roman"/>
          <w:sz w:val="25"/>
          <w:szCs w:val="25"/>
        </w:rPr>
        <w:t xml:space="preserve">.  Neither </w:t>
      </w:r>
      <w:r w:rsidR="00DA78B3" w:rsidRPr="000370FF">
        <w:rPr>
          <w:rFonts w:ascii="Aptos" w:eastAsia="Times New Roman" w:hAnsi="Aptos" w:cs="Times New Roman"/>
          <w:sz w:val="25"/>
          <w:szCs w:val="25"/>
        </w:rPr>
        <w:t>Student nor Parent w</w:t>
      </w:r>
      <w:r w:rsidR="006C7C40" w:rsidRPr="000370FF">
        <w:rPr>
          <w:rFonts w:ascii="Aptos" w:eastAsia="Times New Roman" w:hAnsi="Aptos" w:cs="Times New Roman"/>
          <w:sz w:val="25"/>
          <w:szCs w:val="25"/>
        </w:rPr>
        <w:t>as</w:t>
      </w:r>
      <w:r w:rsidR="00DA78B3" w:rsidRPr="000370FF">
        <w:rPr>
          <w:rFonts w:ascii="Aptos" w:eastAsia="Times New Roman" w:hAnsi="Aptos" w:cs="Times New Roman"/>
          <w:sz w:val="25"/>
          <w:szCs w:val="25"/>
        </w:rPr>
        <w:t xml:space="preserve"> provided with any notification of Student’s potential eligibility for special education services at that time</w:t>
      </w:r>
      <w:r w:rsidR="005A47CF" w:rsidRPr="000370FF">
        <w:rPr>
          <w:rFonts w:ascii="Aptos" w:eastAsia="Times New Roman" w:hAnsi="Aptos" w:cs="Times New Roman"/>
          <w:sz w:val="25"/>
          <w:szCs w:val="25"/>
        </w:rPr>
        <w:t>,</w:t>
      </w:r>
      <w:r w:rsidR="000F398A" w:rsidRPr="000370FF">
        <w:rPr>
          <w:rFonts w:ascii="Aptos" w:eastAsia="Times New Roman" w:hAnsi="Aptos" w:cs="Times New Roman"/>
          <w:sz w:val="25"/>
          <w:szCs w:val="25"/>
        </w:rPr>
        <w:t xml:space="preserve"> or their procedural safeguards under the IDEA</w:t>
      </w:r>
      <w:r w:rsidR="00DA78B3" w:rsidRPr="000370FF">
        <w:rPr>
          <w:rFonts w:ascii="Aptos" w:eastAsia="Times New Roman" w:hAnsi="Aptos" w:cs="Times New Roman"/>
          <w:sz w:val="25"/>
          <w:szCs w:val="25"/>
        </w:rPr>
        <w:t xml:space="preserve">.  Other than making a general conclusory statement that none of the exceptions to the two year statutory limitations period applies, Quincy does not otherwise address these allegations in the </w:t>
      </w:r>
      <w:r w:rsidR="00DA78B3" w:rsidRPr="000370FF">
        <w:rPr>
          <w:rFonts w:ascii="Aptos" w:eastAsia="Times New Roman" w:hAnsi="Aptos" w:cs="Times New Roman"/>
          <w:i/>
          <w:iCs/>
          <w:sz w:val="25"/>
          <w:szCs w:val="25"/>
        </w:rPr>
        <w:t>Hearing Request</w:t>
      </w:r>
      <w:r w:rsidR="00DA78B3" w:rsidRPr="000370FF">
        <w:rPr>
          <w:rFonts w:ascii="Aptos" w:eastAsia="Times New Roman" w:hAnsi="Aptos" w:cs="Times New Roman"/>
          <w:sz w:val="25"/>
          <w:szCs w:val="25"/>
        </w:rPr>
        <w:t>.  As Student’s allegations are sufficient to “plausibly suggest” that the second exception to the two year statute of limitations applies here (i.e., the [district]’s withholding of information from the parent [or student] that was required … to be provided …”</w:t>
      </w:r>
      <w:r w:rsidR="00DA78B3" w:rsidRPr="000370FF">
        <w:rPr>
          <w:rStyle w:val="FootnoteReference"/>
          <w:rFonts w:ascii="Aptos" w:eastAsia="Times New Roman" w:hAnsi="Aptos" w:cs="Times New Roman"/>
          <w:sz w:val="25"/>
          <w:szCs w:val="25"/>
        </w:rPr>
        <w:footnoteReference w:id="45"/>
      </w:r>
      <w:r w:rsidR="00DA78B3" w:rsidRPr="000370FF">
        <w:rPr>
          <w:rFonts w:ascii="Aptos" w:eastAsia="Times New Roman" w:hAnsi="Aptos" w:cs="Times New Roman"/>
          <w:sz w:val="25"/>
          <w:szCs w:val="25"/>
        </w:rPr>
        <w:t>), and as Quincy has not asserted any specific allegations in opposition</w:t>
      </w:r>
      <w:r w:rsidR="004B3530" w:rsidRPr="000370FF">
        <w:rPr>
          <w:rFonts w:ascii="Aptos" w:eastAsia="Times New Roman" w:hAnsi="Aptos" w:cs="Times New Roman"/>
          <w:sz w:val="25"/>
          <w:szCs w:val="25"/>
        </w:rPr>
        <w:t xml:space="preserve"> to Student’s allegations</w:t>
      </w:r>
      <w:r w:rsidR="00DA78B3" w:rsidRPr="000370FF">
        <w:rPr>
          <w:rFonts w:ascii="Aptos" w:eastAsia="Times New Roman" w:hAnsi="Aptos" w:cs="Times New Roman"/>
          <w:sz w:val="25"/>
          <w:szCs w:val="25"/>
        </w:rPr>
        <w:t xml:space="preserve">, Quincy’s request to dismiss the Child Find Claim prior to February 14, </w:t>
      </w:r>
      <w:r w:rsidR="00771F35" w:rsidRPr="000370FF">
        <w:rPr>
          <w:rFonts w:ascii="Aptos" w:eastAsia="Times New Roman" w:hAnsi="Aptos" w:cs="Times New Roman"/>
          <w:sz w:val="25"/>
          <w:szCs w:val="25"/>
        </w:rPr>
        <w:t>2022,</w:t>
      </w:r>
      <w:r w:rsidR="00DA78B3" w:rsidRPr="000370FF">
        <w:rPr>
          <w:rFonts w:ascii="Aptos" w:eastAsia="Times New Roman" w:hAnsi="Aptos" w:cs="Times New Roman"/>
          <w:sz w:val="25"/>
          <w:szCs w:val="25"/>
        </w:rPr>
        <w:t xml:space="preserve"> is </w:t>
      </w:r>
      <w:r w:rsidR="00DA78B3" w:rsidRPr="000370FF">
        <w:rPr>
          <w:rFonts w:ascii="Aptos" w:eastAsia="Times New Roman" w:hAnsi="Aptos" w:cs="Times New Roman"/>
          <w:b/>
          <w:bCs/>
          <w:sz w:val="25"/>
          <w:szCs w:val="25"/>
        </w:rPr>
        <w:t>DENIED</w:t>
      </w:r>
      <w:r w:rsidR="00DA78B3" w:rsidRPr="000370FF">
        <w:rPr>
          <w:rFonts w:ascii="Aptos" w:eastAsia="Times New Roman" w:hAnsi="Aptos" w:cs="Times New Roman"/>
          <w:sz w:val="25"/>
          <w:szCs w:val="25"/>
        </w:rPr>
        <w:t>.</w:t>
      </w:r>
    </w:p>
    <w:p w14:paraId="28BB9FD1" w14:textId="77777777" w:rsidR="00DA78B3" w:rsidRPr="000370FF" w:rsidRDefault="00DA78B3" w:rsidP="00DA78B3">
      <w:pPr>
        <w:shd w:val="clear" w:color="auto" w:fill="FFFFFF"/>
        <w:rPr>
          <w:rFonts w:ascii="Aptos" w:eastAsia="Times New Roman" w:hAnsi="Aptos" w:cs="Times New Roman"/>
          <w:sz w:val="25"/>
          <w:szCs w:val="25"/>
        </w:rPr>
      </w:pPr>
    </w:p>
    <w:p w14:paraId="40EEE2ED" w14:textId="5CB0CAD3" w:rsidR="00DA78B3" w:rsidRPr="000370FF" w:rsidRDefault="00DA78B3" w:rsidP="00DA78B3">
      <w:pPr>
        <w:shd w:val="clear" w:color="auto" w:fill="FFFFFF"/>
        <w:rPr>
          <w:rFonts w:ascii="Aptos" w:eastAsia="Times New Roman" w:hAnsi="Aptos" w:cs="Times New Roman"/>
          <w:sz w:val="25"/>
          <w:szCs w:val="25"/>
        </w:rPr>
      </w:pPr>
      <w:r w:rsidRPr="000370FF">
        <w:rPr>
          <w:rFonts w:ascii="Aptos" w:eastAsia="Times New Roman" w:hAnsi="Aptos" w:cs="Times New Roman"/>
          <w:sz w:val="25"/>
          <w:szCs w:val="25"/>
        </w:rPr>
        <w:t xml:space="preserve">DESE also seeks dismissal of the Child Find Claim </w:t>
      </w:r>
      <w:r w:rsidR="00D760A5" w:rsidRPr="000370FF">
        <w:rPr>
          <w:rFonts w:ascii="Aptos" w:eastAsia="Times New Roman" w:hAnsi="Aptos" w:cs="Times New Roman"/>
          <w:sz w:val="25"/>
          <w:szCs w:val="25"/>
        </w:rPr>
        <w:t>after</w:t>
      </w:r>
      <w:r w:rsidRPr="000370FF">
        <w:rPr>
          <w:rFonts w:ascii="Aptos" w:eastAsia="Times New Roman" w:hAnsi="Aptos" w:cs="Times New Roman"/>
          <w:sz w:val="25"/>
          <w:szCs w:val="25"/>
        </w:rPr>
        <w:t xml:space="preserve"> February 15, </w:t>
      </w:r>
      <w:r w:rsidR="004B3530" w:rsidRPr="000370FF">
        <w:rPr>
          <w:rFonts w:ascii="Aptos" w:eastAsia="Times New Roman" w:hAnsi="Aptos" w:cs="Times New Roman"/>
          <w:sz w:val="25"/>
          <w:szCs w:val="25"/>
        </w:rPr>
        <w:t>2022</w:t>
      </w:r>
      <w:r w:rsidRPr="000370FF">
        <w:rPr>
          <w:rFonts w:ascii="Aptos" w:eastAsia="Times New Roman" w:hAnsi="Aptos" w:cs="Times New Roman"/>
          <w:sz w:val="25"/>
          <w:szCs w:val="25"/>
        </w:rPr>
        <w:t>, arguing that it held no child find responsibilities to Student until it received notification</w:t>
      </w:r>
      <w:r w:rsidR="00B063F9" w:rsidRPr="000370FF">
        <w:rPr>
          <w:rFonts w:ascii="Aptos" w:eastAsia="Times New Roman" w:hAnsi="Aptos" w:cs="Times New Roman"/>
          <w:sz w:val="25"/>
          <w:szCs w:val="25"/>
        </w:rPr>
        <w:t xml:space="preserve"> of his eligibility for </w:t>
      </w:r>
      <w:r w:rsidR="00B063F9" w:rsidRPr="000370FF">
        <w:rPr>
          <w:rFonts w:ascii="Aptos" w:eastAsia="Times New Roman" w:hAnsi="Aptos" w:cs="Times New Roman"/>
          <w:sz w:val="25"/>
          <w:szCs w:val="25"/>
        </w:rPr>
        <w:lastRenderedPageBreak/>
        <w:t>special education services on January 4, 2023</w:t>
      </w:r>
      <w:r w:rsidRPr="000370FF">
        <w:rPr>
          <w:rFonts w:ascii="Aptos" w:eastAsia="Times New Roman" w:hAnsi="Aptos" w:cs="Times New Roman"/>
          <w:sz w:val="25"/>
          <w:szCs w:val="25"/>
        </w:rPr>
        <w:t xml:space="preserve">.  However, a review of the documents and allegations submitted by the parties to date, in the light most favorable to Student, as I am required to do, indicates SEIS </w:t>
      </w:r>
      <w:r w:rsidR="006B0B65" w:rsidRPr="000370FF">
        <w:rPr>
          <w:rFonts w:ascii="Aptos" w:eastAsia="Times New Roman" w:hAnsi="Aptos" w:cs="Times New Roman"/>
          <w:sz w:val="25"/>
          <w:szCs w:val="25"/>
        </w:rPr>
        <w:t xml:space="preserve">had </w:t>
      </w:r>
      <w:r w:rsidRPr="000370FF">
        <w:rPr>
          <w:rFonts w:ascii="Aptos" w:eastAsia="Times New Roman" w:hAnsi="Aptos" w:cs="Times New Roman"/>
          <w:sz w:val="25"/>
          <w:szCs w:val="25"/>
        </w:rPr>
        <w:t xml:space="preserve">actual involvement </w:t>
      </w:r>
      <w:r w:rsidR="006B0B65" w:rsidRPr="000370FF">
        <w:rPr>
          <w:rFonts w:ascii="Aptos" w:eastAsia="Times New Roman" w:hAnsi="Aptos" w:cs="Times New Roman"/>
          <w:sz w:val="25"/>
          <w:szCs w:val="25"/>
        </w:rPr>
        <w:t xml:space="preserve">in identifying Student as potentially eligible for special education </w:t>
      </w:r>
      <w:r w:rsidRPr="000370FF">
        <w:rPr>
          <w:rFonts w:ascii="Aptos" w:eastAsia="Times New Roman" w:hAnsi="Aptos" w:cs="Times New Roman"/>
          <w:sz w:val="25"/>
          <w:szCs w:val="25"/>
        </w:rPr>
        <w:t>and</w:t>
      </w:r>
      <w:r w:rsidR="008077DC" w:rsidRPr="000370FF">
        <w:rPr>
          <w:rFonts w:ascii="Aptos" w:eastAsia="Times New Roman" w:hAnsi="Aptos" w:cs="Times New Roman"/>
          <w:sz w:val="25"/>
          <w:szCs w:val="25"/>
        </w:rPr>
        <w:t>, also,</w:t>
      </w:r>
      <w:r w:rsidRPr="000370FF">
        <w:rPr>
          <w:rFonts w:ascii="Aptos" w:eastAsia="Times New Roman" w:hAnsi="Aptos" w:cs="Times New Roman"/>
          <w:sz w:val="25"/>
          <w:szCs w:val="25"/>
        </w:rPr>
        <w:t xml:space="preserve"> potential obligation</w:t>
      </w:r>
      <w:r w:rsidR="00D15DBC" w:rsidRPr="000370FF">
        <w:rPr>
          <w:rStyle w:val="FootnoteReference"/>
          <w:rFonts w:ascii="Aptos" w:eastAsia="Times New Roman" w:hAnsi="Aptos" w:cs="Times New Roman"/>
          <w:sz w:val="25"/>
          <w:szCs w:val="25"/>
        </w:rPr>
        <w:footnoteReference w:id="46"/>
      </w:r>
      <w:r w:rsidR="008077DC" w:rsidRPr="000370FF">
        <w:rPr>
          <w:rFonts w:ascii="Aptos" w:eastAsia="Times New Roman" w:hAnsi="Aptos" w:cs="Times New Roman"/>
          <w:sz w:val="25"/>
          <w:szCs w:val="25"/>
        </w:rPr>
        <w:t>,</w:t>
      </w:r>
      <w:r w:rsidRPr="000370FF">
        <w:rPr>
          <w:rFonts w:ascii="Aptos" w:eastAsia="Times New Roman" w:hAnsi="Aptos" w:cs="Times New Roman"/>
          <w:sz w:val="25"/>
          <w:szCs w:val="25"/>
        </w:rPr>
        <w:t xml:space="preserve"> prior to </w:t>
      </w:r>
      <w:r w:rsidR="009C47C3" w:rsidRPr="000370FF">
        <w:rPr>
          <w:rFonts w:ascii="Aptos" w:eastAsia="Times New Roman" w:hAnsi="Aptos" w:cs="Times New Roman"/>
          <w:sz w:val="25"/>
          <w:szCs w:val="25"/>
        </w:rPr>
        <w:t>January</w:t>
      </w:r>
      <w:r w:rsidRPr="000370FF">
        <w:rPr>
          <w:rFonts w:ascii="Aptos" w:eastAsia="Times New Roman" w:hAnsi="Aptos" w:cs="Times New Roman"/>
          <w:sz w:val="25"/>
          <w:szCs w:val="25"/>
        </w:rPr>
        <w:t xml:space="preserve"> 2023</w:t>
      </w:r>
      <w:r w:rsidR="00E77A3C" w:rsidRPr="000370FF">
        <w:rPr>
          <w:rStyle w:val="FootnoteReference"/>
          <w:rFonts w:ascii="Aptos" w:eastAsia="Times New Roman" w:hAnsi="Aptos" w:cs="Times New Roman"/>
          <w:sz w:val="25"/>
          <w:szCs w:val="25"/>
        </w:rPr>
        <w:footnoteReference w:id="47"/>
      </w:r>
      <w:r w:rsidRPr="000370FF">
        <w:rPr>
          <w:rFonts w:ascii="Aptos" w:eastAsia="Times New Roman" w:hAnsi="Aptos" w:cs="Times New Roman"/>
          <w:sz w:val="25"/>
          <w:szCs w:val="25"/>
        </w:rPr>
        <w:t xml:space="preserve">.  </w:t>
      </w:r>
      <w:r w:rsidRPr="000370FF">
        <w:rPr>
          <w:rFonts w:ascii="Aptos" w:eastAsia="Times New Roman" w:hAnsi="Aptos" w:cs="Times New Roman"/>
          <w:i/>
          <w:iCs/>
          <w:sz w:val="25"/>
          <w:szCs w:val="25"/>
        </w:rPr>
        <w:t xml:space="preserve"> </w:t>
      </w:r>
      <w:r w:rsidR="00292F1B" w:rsidRPr="000370FF">
        <w:rPr>
          <w:rFonts w:ascii="Aptos" w:eastAsia="Times New Roman" w:hAnsi="Aptos" w:cs="Times New Roman"/>
          <w:sz w:val="25"/>
          <w:szCs w:val="25"/>
        </w:rPr>
        <w:t xml:space="preserve">According to Step I of the SEIS Manual, SEIS has immediate obligations and responsibilities that arise as soon as a CHC Education Director has identified a student as potentially eligible for special education services and, thus, a genuine issue of material fact exists with regard to whether or not Student’s process of receiving special education services at the CHC was consistent with the Manual, and when SEIS was or should have been first aware of Student’s potential eligibility.  Given this, DESE’s request to dismiss the Child Find Claims from February 15, 2022, to January 4, 2023, as to DESE, is </w:t>
      </w:r>
      <w:r w:rsidR="00292F1B" w:rsidRPr="000370FF">
        <w:rPr>
          <w:rFonts w:ascii="Aptos" w:eastAsia="Times New Roman" w:hAnsi="Aptos" w:cs="Times New Roman"/>
          <w:b/>
          <w:bCs/>
          <w:sz w:val="25"/>
          <w:szCs w:val="25"/>
        </w:rPr>
        <w:t>DENIED</w:t>
      </w:r>
      <w:r w:rsidR="00292F1B" w:rsidRPr="000370FF">
        <w:rPr>
          <w:rFonts w:ascii="Aptos" w:eastAsia="Times New Roman" w:hAnsi="Aptos" w:cs="Times New Roman"/>
          <w:sz w:val="25"/>
          <w:szCs w:val="25"/>
        </w:rPr>
        <w:t>.</w:t>
      </w:r>
      <w:r w:rsidRPr="000370FF">
        <w:rPr>
          <w:rFonts w:ascii="Aptos" w:eastAsia="Times New Roman" w:hAnsi="Aptos" w:cs="Times New Roman"/>
          <w:sz w:val="25"/>
          <w:szCs w:val="25"/>
        </w:rPr>
        <w:t xml:space="preserve">    </w:t>
      </w:r>
    </w:p>
    <w:p w14:paraId="27847B4F" w14:textId="77777777" w:rsidR="00DA78B3" w:rsidRPr="000370FF" w:rsidRDefault="00DA78B3" w:rsidP="00DA78B3">
      <w:pPr>
        <w:shd w:val="clear" w:color="auto" w:fill="FFFFFF"/>
        <w:rPr>
          <w:rFonts w:ascii="Aptos" w:eastAsia="Times New Roman" w:hAnsi="Aptos" w:cs="Times New Roman"/>
          <w:sz w:val="25"/>
          <w:szCs w:val="25"/>
        </w:rPr>
      </w:pPr>
    </w:p>
    <w:p w14:paraId="207B5E0B" w14:textId="685D3A07" w:rsidR="00DA78B3" w:rsidRPr="000370FF" w:rsidRDefault="00DA78B3" w:rsidP="00DA78B3">
      <w:pPr>
        <w:pStyle w:val="ListParagraph"/>
        <w:numPr>
          <w:ilvl w:val="0"/>
          <w:numId w:val="13"/>
        </w:numPr>
        <w:shd w:val="clear" w:color="auto" w:fill="FFFFFF"/>
        <w:rPr>
          <w:rFonts w:ascii="Aptos" w:eastAsia="Times New Roman" w:hAnsi="Aptos" w:cs="Times New Roman"/>
          <w:sz w:val="25"/>
          <w:szCs w:val="25"/>
        </w:rPr>
      </w:pPr>
      <w:r w:rsidRPr="000370FF">
        <w:rPr>
          <w:rFonts w:ascii="Aptos" w:eastAsia="Times New Roman" w:hAnsi="Aptos" w:cs="Times New Roman"/>
          <w:i/>
          <w:iCs/>
          <w:sz w:val="25"/>
          <w:szCs w:val="25"/>
        </w:rPr>
        <w:t>Issue 2– FAPE Claim</w:t>
      </w:r>
      <w:r w:rsidR="00BE46BE" w:rsidRPr="000370FF">
        <w:rPr>
          <w:rFonts w:ascii="Aptos" w:eastAsia="Times New Roman" w:hAnsi="Aptos" w:cs="Times New Roman"/>
          <w:i/>
          <w:iCs/>
          <w:sz w:val="25"/>
          <w:szCs w:val="25"/>
        </w:rPr>
        <w:t>s</w:t>
      </w:r>
    </w:p>
    <w:p w14:paraId="37D38564" w14:textId="77777777" w:rsidR="00DA78B3" w:rsidRPr="000370FF" w:rsidRDefault="00DA78B3" w:rsidP="00DA78B3">
      <w:pPr>
        <w:pStyle w:val="ListParagraph"/>
        <w:shd w:val="clear" w:color="auto" w:fill="FFFFFF"/>
        <w:ind w:left="1080"/>
        <w:rPr>
          <w:rFonts w:ascii="Aptos" w:eastAsia="Times New Roman" w:hAnsi="Aptos" w:cs="Times New Roman"/>
          <w:sz w:val="25"/>
          <w:szCs w:val="25"/>
        </w:rPr>
      </w:pPr>
    </w:p>
    <w:p w14:paraId="4123DD47" w14:textId="43D29214" w:rsidR="000F398A" w:rsidRPr="000370FF" w:rsidRDefault="00DA78B3" w:rsidP="00DA78B3">
      <w:pPr>
        <w:shd w:val="clear" w:color="auto" w:fill="FFFFFF"/>
        <w:rPr>
          <w:rFonts w:ascii="Aptos" w:eastAsia="Times New Roman" w:hAnsi="Aptos" w:cs="Times New Roman"/>
          <w:sz w:val="25"/>
          <w:szCs w:val="25"/>
        </w:rPr>
      </w:pPr>
      <w:r w:rsidRPr="000370FF">
        <w:rPr>
          <w:rFonts w:ascii="Aptos" w:eastAsia="Times New Roman" w:hAnsi="Aptos" w:cs="Times New Roman"/>
          <w:sz w:val="25"/>
          <w:szCs w:val="25"/>
        </w:rPr>
        <w:t xml:space="preserve">DESE contends that it is not responsible for developing, modifying or updating Student’s IEP or determining placement.  </w:t>
      </w:r>
      <w:r w:rsidR="003B75BD" w:rsidRPr="000370FF">
        <w:rPr>
          <w:rFonts w:ascii="Aptos" w:eastAsia="Times New Roman" w:hAnsi="Aptos" w:cs="Times New Roman"/>
          <w:sz w:val="25"/>
          <w:szCs w:val="25"/>
        </w:rPr>
        <w:t xml:space="preserve">DESE relies on several statutory and regulatory provisions that require entities other than DESE to be responsible for special education of students, </w:t>
      </w:r>
      <w:r w:rsidR="00711D66" w:rsidRPr="000370FF">
        <w:rPr>
          <w:rFonts w:ascii="Aptos" w:eastAsia="Times New Roman" w:hAnsi="Aptos" w:cs="Times New Roman"/>
          <w:sz w:val="25"/>
          <w:szCs w:val="25"/>
        </w:rPr>
        <w:t xml:space="preserve">specifically </w:t>
      </w:r>
      <w:r w:rsidR="003B75BD" w:rsidRPr="000370FF">
        <w:rPr>
          <w:rFonts w:ascii="Aptos" w:eastAsia="Times New Roman" w:hAnsi="Aptos" w:cs="Times New Roman"/>
          <w:sz w:val="25"/>
          <w:szCs w:val="25"/>
        </w:rPr>
        <w:t>M.G.L. c. 71B §3</w:t>
      </w:r>
      <w:r w:rsidR="00711D66" w:rsidRPr="000370FF">
        <w:rPr>
          <w:rFonts w:ascii="Aptos" w:eastAsia="Times New Roman" w:hAnsi="Aptos" w:cs="Times New Roman"/>
          <w:sz w:val="25"/>
          <w:szCs w:val="25"/>
        </w:rPr>
        <w:t>, holding school committees in LEA responsible for the special education program of all eligible students who reside therein</w:t>
      </w:r>
      <w:r w:rsidR="003B75BD" w:rsidRPr="000370FF">
        <w:rPr>
          <w:rFonts w:ascii="Aptos" w:eastAsia="Times New Roman" w:hAnsi="Aptos" w:cs="Times New Roman"/>
          <w:sz w:val="25"/>
          <w:szCs w:val="25"/>
        </w:rPr>
        <w:t>, 603 CMR 28.09(9)</w:t>
      </w:r>
      <w:r w:rsidR="00711D66" w:rsidRPr="000370FF">
        <w:rPr>
          <w:rFonts w:ascii="Aptos" w:eastAsia="Times New Roman" w:hAnsi="Aptos" w:cs="Times New Roman"/>
          <w:sz w:val="25"/>
          <w:szCs w:val="25"/>
        </w:rPr>
        <w:t>, involving students in institutional settings</w:t>
      </w:r>
      <w:r w:rsidR="003B75BD" w:rsidRPr="000370FF">
        <w:rPr>
          <w:rFonts w:ascii="Aptos" w:eastAsia="Times New Roman" w:hAnsi="Aptos" w:cs="Times New Roman"/>
          <w:sz w:val="25"/>
          <w:szCs w:val="25"/>
        </w:rPr>
        <w:t>, and M.G.L. c. 127 §48</w:t>
      </w:r>
      <w:r w:rsidR="00711D66" w:rsidRPr="000370FF">
        <w:rPr>
          <w:rFonts w:ascii="Aptos" w:eastAsia="Times New Roman" w:hAnsi="Aptos" w:cs="Times New Roman"/>
          <w:sz w:val="25"/>
          <w:szCs w:val="25"/>
        </w:rPr>
        <w:t xml:space="preserve"> relating to the education of incarcerated students</w:t>
      </w:r>
      <w:r w:rsidR="003B75BD" w:rsidRPr="000370FF">
        <w:rPr>
          <w:rFonts w:ascii="Aptos" w:eastAsia="Times New Roman" w:hAnsi="Aptos" w:cs="Times New Roman"/>
          <w:sz w:val="25"/>
          <w:szCs w:val="25"/>
        </w:rPr>
        <w:t xml:space="preserve">.  </w:t>
      </w:r>
      <w:r w:rsidRPr="000370FF">
        <w:rPr>
          <w:rFonts w:ascii="Aptos" w:eastAsia="Times New Roman" w:hAnsi="Aptos" w:cs="Times New Roman"/>
          <w:sz w:val="25"/>
          <w:szCs w:val="25"/>
        </w:rPr>
        <w:t xml:space="preserve">Student disagrees arguing that both the general supervisory responsibility </w:t>
      </w:r>
      <w:r w:rsidR="006A6049" w:rsidRPr="000370FF">
        <w:rPr>
          <w:rFonts w:ascii="Aptos" w:eastAsia="Times New Roman" w:hAnsi="Aptos" w:cs="Times New Roman"/>
          <w:sz w:val="25"/>
          <w:szCs w:val="25"/>
        </w:rPr>
        <w:t xml:space="preserve">of </w:t>
      </w:r>
      <w:r w:rsidRPr="000370FF">
        <w:rPr>
          <w:rFonts w:ascii="Aptos" w:eastAsia="Times New Roman" w:hAnsi="Aptos" w:cs="Times New Roman"/>
          <w:sz w:val="25"/>
          <w:szCs w:val="25"/>
        </w:rPr>
        <w:t xml:space="preserve">DESE under the IDEA and the provisions of M.G.L. c. 71B §11A impose specific obligations on DESE beyond </w:t>
      </w:r>
      <w:r w:rsidR="006A6049" w:rsidRPr="000370FF">
        <w:rPr>
          <w:rFonts w:ascii="Aptos" w:eastAsia="Times New Roman" w:hAnsi="Aptos" w:cs="Times New Roman"/>
          <w:sz w:val="25"/>
          <w:szCs w:val="25"/>
        </w:rPr>
        <w:t xml:space="preserve">the statutes and regulations it relies upon.  </w:t>
      </w:r>
    </w:p>
    <w:p w14:paraId="25DE23E1" w14:textId="77777777" w:rsidR="003B75BD" w:rsidRPr="000370FF" w:rsidRDefault="003B75BD" w:rsidP="00DA78B3">
      <w:pPr>
        <w:shd w:val="clear" w:color="auto" w:fill="FFFFFF"/>
        <w:rPr>
          <w:rFonts w:ascii="Aptos" w:eastAsia="Times New Roman" w:hAnsi="Aptos" w:cs="Times New Roman"/>
          <w:sz w:val="25"/>
          <w:szCs w:val="25"/>
        </w:rPr>
      </w:pPr>
    </w:p>
    <w:p w14:paraId="7E639DBF" w14:textId="1F60A128" w:rsidR="0013102C" w:rsidRPr="000370FF" w:rsidRDefault="00DA78B3" w:rsidP="00DA78B3">
      <w:pPr>
        <w:shd w:val="clear" w:color="auto" w:fill="FFFFFF"/>
        <w:rPr>
          <w:rFonts w:ascii="Aptos" w:eastAsia="Times New Roman" w:hAnsi="Aptos" w:cs="Times New Roman"/>
          <w:sz w:val="25"/>
          <w:szCs w:val="25"/>
        </w:rPr>
      </w:pPr>
      <w:r w:rsidRPr="000370FF">
        <w:rPr>
          <w:rFonts w:ascii="Aptos" w:eastAsia="Times New Roman" w:hAnsi="Aptos" w:cs="Times New Roman"/>
          <w:sz w:val="25"/>
          <w:szCs w:val="25"/>
        </w:rPr>
        <w:t>As noted above, according to M.G.L. c. 71B §11A</w:t>
      </w:r>
      <w:r w:rsidR="000F398A" w:rsidRPr="000370FF">
        <w:rPr>
          <w:rFonts w:ascii="Aptos" w:eastAsia="Times New Roman" w:hAnsi="Aptos" w:cs="Times New Roman"/>
          <w:sz w:val="25"/>
          <w:szCs w:val="25"/>
        </w:rPr>
        <w:t>,</w:t>
      </w:r>
      <w:r w:rsidRPr="000370FF">
        <w:rPr>
          <w:rFonts w:ascii="Aptos" w:eastAsia="Times New Roman" w:hAnsi="Aptos" w:cs="Times New Roman"/>
          <w:sz w:val="25"/>
          <w:szCs w:val="25"/>
        </w:rPr>
        <w:t xml:space="preserve"> DESE “</w:t>
      </w:r>
      <w:r w:rsidRPr="000370FF">
        <w:rPr>
          <w:rFonts w:ascii="Aptos" w:eastAsia="Times New Roman" w:hAnsi="Aptos" w:cs="Times New Roman"/>
          <w:i/>
          <w:iCs/>
          <w:sz w:val="25"/>
          <w:szCs w:val="25"/>
        </w:rPr>
        <w:t>shall</w:t>
      </w:r>
      <w:r w:rsidRPr="000370FF">
        <w:rPr>
          <w:rFonts w:ascii="Aptos" w:eastAsia="Times New Roman" w:hAnsi="Aptos" w:cs="Times New Roman"/>
          <w:sz w:val="25"/>
          <w:szCs w:val="25"/>
        </w:rPr>
        <w:t xml:space="preserve"> </w:t>
      </w:r>
      <w:r w:rsidRPr="000370FF">
        <w:rPr>
          <w:rFonts w:ascii="Aptos" w:eastAsia="Times New Roman" w:hAnsi="Aptos" w:cs="Times New Roman"/>
          <w:i/>
          <w:iCs/>
          <w:sz w:val="25"/>
          <w:szCs w:val="25"/>
        </w:rPr>
        <w:t>provide</w:t>
      </w:r>
      <w:r w:rsidRPr="000370FF">
        <w:rPr>
          <w:rFonts w:ascii="Aptos" w:eastAsia="Times New Roman" w:hAnsi="Aptos" w:cs="Times New Roman"/>
          <w:sz w:val="25"/>
          <w:szCs w:val="25"/>
        </w:rPr>
        <w:t xml:space="preserve"> special education” to eligible students incarcerated in CHCs (emphasis added).  This language is clear and unequivocal and creates a mandatory obligation in Massachusetts on DESE to “provide” eligible students incarcerated in CHCs with special education</w:t>
      </w:r>
      <w:r w:rsidR="002030E8" w:rsidRPr="000370FF">
        <w:rPr>
          <w:rFonts w:ascii="Aptos" w:eastAsia="Times New Roman" w:hAnsi="Aptos" w:cs="Times New Roman"/>
          <w:sz w:val="25"/>
          <w:szCs w:val="25"/>
        </w:rPr>
        <w:t xml:space="preserve">.  This statutory provision is also </w:t>
      </w:r>
      <w:r w:rsidRPr="000370FF">
        <w:rPr>
          <w:rFonts w:ascii="Aptos" w:eastAsia="Times New Roman" w:hAnsi="Aptos" w:cs="Times New Roman"/>
          <w:sz w:val="25"/>
          <w:szCs w:val="25"/>
        </w:rPr>
        <w:t xml:space="preserve">beyond the general supervision obligations </w:t>
      </w:r>
      <w:r w:rsidR="002030E8" w:rsidRPr="000370FF">
        <w:rPr>
          <w:rFonts w:ascii="Aptos" w:eastAsia="Times New Roman" w:hAnsi="Aptos" w:cs="Times New Roman"/>
          <w:sz w:val="25"/>
          <w:szCs w:val="25"/>
        </w:rPr>
        <w:t xml:space="preserve">DESE has under the </w:t>
      </w:r>
      <w:r w:rsidRPr="000370FF">
        <w:rPr>
          <w:rFonts w:ascii="Aptos" w:eastAsia="Times New Roman" w:hAnsi="Aptos" w:cs="Times New Roman"/>
          <w:sz w:val="25"/>
          <w:szCs w:val="25"/>
        </w:rPr>
        <w:t>IDEA.  The statu</w:t>
      </w:r>
      <w:r w:rsidR="008A72EB" w:rsidRPr="000370FF">
        <w:rPr>
          <w:rFonts w:ascii="Aptos" w:eastAsia="Times New Roman" w:hAnsi="Aptos" w:cs="Times New Roman"/>
          <w:sz w:val="25"/>
          <w:szCs w:val="25"/>
        </w:rPr>
        <w:t>t</w:t>
      </w:r>
      <w:r w:rsidRPr="000370FF">
        <w:rPr>
          <w:rFonts w:ascii="Aptos" w:eastAsia="Times New Roman" w:hAnsi="Aptos" w:cs="Times New Roman"/>
          <w:sz w:val="25"/>
          <w:szCs w:val="25"/>
        </w:rPr>
        <w:t xml:space="preserve">e is specific to </w:t>
      </w:r>
      <w:r w:rsidR="00D44C0E" w:rsidRPr="000370FF">
        <w:rPr>
          <w:rFonts w:ascii="Aptos" w:eastAsia="Times New Roman" w:hAnsi="Aptos" w:cs="Times New Roman"/>
          <w:sz w:val="25"/>
          <w:szCs w:val="25"/>
        </w:rPr>
        <w:t xml:space="preserve">the </w:t>
      </w:r>
      <w:r w:rsidRPr="000370FF">
        <w:rPr>
          <w:rFonts w:ascii="Aptos" w:eastAsia="Times New Roman" w:hAnsi="Aptos" w:cs="Times New Roman"/>
          <w:sz w:val="25"/>
          <w:szCs w:val="25"/>
        </w:rPr>
        <w:t xml:space="preserve">population of </w:t>
      </w:r>
      <w:r w:rsidR="00D44C0E" w:rsidRPr="000370FF">
        <w:rPr>
          <w:rFonts w:ascii="Aptos" w:eastAsia="Times New Roman" w:hAnsi="Aptos" w:cs="Times New Roman"/>
          <w:sz w:val="25"/>
          <w:szCs w:val="25"/>
        </w:rPr>
        <w:t xml:space="preserve">CHC incarcerated </w:t>
      </w:r>
      <w:r w:rsidRPr="000370FF">
        <w:rPr>
          <w:rFonts w:ascii="Aptos" w:eastAsia="Times New Roman" w:hAnsi="Aptos" w:cs="Times New Roman"/>
          <w:sz w:val="25"/>
          <w:szCs w:val="25"/>
        </w:rPr>
        <w:t>students</w:t>
      </w:r>
      <w:r w:rsidR="003B75BD" w:rsidRPr="000370FF">
        <w:rPr>
          <w:rFonts w:ascii="Aptos" w:eastAsia="Times New Roman" w:hAnsi="Aptos" w:cs="Times New Roman"/>
          <w:sz w:val="25"/>
          <w:szCs w:val="25"/>
        </w:rPr>
        <w:t xml:space="preserve"> in the Commonwealth and must be considered in analyzing any FAPE challenges brought by such a student</w:t>
      </w:r>
      <w:r w:rsidR="003B75BD" w:rsidRPr="000370FF">
        <w:rPr>
          <w:rStyle w:val="FootnoteReference"/>
          <w:rFonts w:ascii="Aptos" w:eastAsia="Times New Roman" w:hAnsi="Aptos" w:cs="Times New Roman"/>
          <w:sz w:val="25"/>
          <w:szCs w:val="25"/>
        </w:rPr>
        <w:footnoteReference w:id="48"/>
      </w:r>
      <w:r w:rsidR="003B75BD" w:rsidRPr="000370FF">
        <w:rPr>
          <w:rFonts w:ascii="Aptos" w:eastAsia="Times New Roman" w:hAnsi="Aptos" w:cs="Times New Roman"/>
          <w:sz w:val="25"/>
          <w:szCs w:val="25"/>
        </w:rPr>
        <w:t xml:space="preserve">.  I agree that the </w:t>
      </w:r>
      <w:r w:rsidR="003B75BD" w:rsidRPr="000370FF">
        <w:rPr>
          <w:rFonts w:ascii="Aptos" w:eastAsia="Times New Roman" w:hAnsi="Aptos" w:cs="Times New Roman"/>
          <w:sz w:val="25"/>
          <w:szCs w:val="25"/>
        </w:rPr>
        <w:lastRenderedPageBreak/>
        <w:t xml:space="preserve">obligation to “provide” </w:t>
      </w:r>
      <w:r w:rsidR="0013102C" w:rsidRPr="000370FF">
        <w:rPr>
          <w:rFonts w:ascii="Aptos" w:eastAsia="Times New Roman" w:hAnsi="Aptos" w:cs="Times New Roman"/>
          <w:sz w:val="25"/>
          <w:szCs w:val="25"/>
        </w:rPr>
        <w:t>a “</w:t>
      </w:r>
      <w:r w:rsidR="003B75BD" w:rsidRPr="000370FF">
        <w:rPr>
          <w:rFonts w:ascii="Aptos" w:eastAsia="Times New Roman" w:hAnsi="Aptos" w:cs="Times New Roman"/>
          <w:sz w:val="25"/>
          <w:szCs w:val="25"/>
        </w:rPr>
        <w:t>special education</w:t>
      </w:r>
      <w:r w:rsidR="0013102C" w:rsidRPr="000370FF">
        <w:rPr>
          <w:rFonts w:ascii="Aptos" w:eastAsia="Times New Roman" w:hAnsi="Aptos" w:cs="Times New Roman"/>
          <w:sz w:val="25"/>
          <w:szCs w:val="25"/>
        </w:rPr>
        <w:t xml:space="preserve"> program”</w:t>
      </w:r>
      <w:r w:rsidR="003B75BD" w:rsidRPr="000370FF">
        <w:rPr>
          <w:rFonts w:ascii="Aptos" w:eastAsia="Times New Roman" w:hAnsi="Aptos" w:cs="Times New Roman"/>
          <w:sz w:val="25"/>
          <w:szCs w:val="25"/>
        </w:rPr>
        <w:t xml:space="preserve"> to students outside institutional settings falls to the </w:t>
      </w:r>
      <w:r w:rsidR="0013102C" w:rsidRPr="000370FF">
        <w:rPr>
          <w:rFonts w:ascii="Aptos" w:eastAsia="Times New Roman" w:hAnsi="Aptos" w:cs="Times New Roman"/>
          <w:sz w:val="25"/>
          <w:szCs w:val="25"/>
        </w:rPr>
        <w:t xml:space="preserve">LEA pursuant to M.G.L. c. 71B §3, the obligation to “establish and maintain” “education programs” </w:t>
      </w:r>
      <w:r w:rsidR="00FC04A4" w:rsidRPr="000370FF">
        <w:rPr>
          <w:rFonts w:ascii="Aptos" w:eastAsia="Times New Roman" w:hAnsi="Aptos" w:cs="Times New Roman"/>
          <w:sz w:val="25"/>
          <w:szCs w:val="25"/>
        </w:rPr>
        <w:t>for</w:t>
      </w:r>
      <w:r w:rsidR="0013102C" w:rsidRPr="000370FF">
        <w:rPr>
          <w:rFonts w:ascii="Aptos" w:eastAsia="Times New Roman" w:hAnsi="Aptos" w:cs="Times New Roman"/>
          <w:sz w:val="25"/>
          <w:szCs w:val="25"/>
        </w:rPr>
        <w:t xml:space="preserve"> students in the custody of the Department of Corrections for over 6 months falls to the Department of Corrections</w:t>
      </w:r>
      <w:r w:rsidR="0013102C" w:rsidRPr="000370FF">
        <w:rPr>
          <w:rStyle w:val="FootnoteReference"/>
          <w:rFonts w:ascii="Aptos" w:eastAsia="Times New Roman" w:hAnsi="Aptos" w:cs="Times New Roman"/>
          <w:sz w:val="25"/>
          <w:szCs w:val="25"/>
        </w:rPr>
        <w:footnoteReference w:id="49"/>
      </w:r>
      <w:r w:rsidR="00274812" w:rsidRPr="000370FF">
        <w:rPr>
          <w:rFonts w:ascii="Aptos" w:eastAsia="Times New Roman" w:hAnsi="Aptos" w:cs="Times New Roman"/>
          <w:sz w:val="25"/>
          <w:szCs w:val="25"/>
        </w:rPr>
        <w:t xml:space="preserve"> under M.G.L. c. 127 §48</w:t>
      </w:r>
      <w:r w:rsidR="0013102C" w:rsidRPr="000370FF">
        <w:rPr>
          <w:rFonts w:ascii="Aptos" w:eastAsia="Times New Roman" w:hAnsi="Aptos" w:cs="Times New Roman"/>
          <w:sz w:val="25"/>
          <w:szCs w:val="25"/>
        </w:rPr>
        <w:t xml:space="preserve">, and 603 CMR 28.09(9) imposes obligations on an LEA for the “provision of special education </w:t>
      </w:r>
      <w:r w:rsidR="0013102C" w:rsidRPr="000370FF">
        <w:rPr>
          <w:rFonts w:ascii="Aptos" w:eastAsia="Times New Roman" w:hAnsi="Aptos" w:cs="Times New Roman"/>
          <w:i/>
          <w:iCs/>
          <w:sz w:val="25"/>
          <w:szCs w:val="25"/>
        </w:rPr>
        <w:t xml:space="preserve">in accordance with state </w:t>
      </w:r>
      <w:r w:rsidR="0013102C" w:rsidRPr="000370FF">
        <w:rPr>
          <w:rFonts w:ascii="Aptos" w:eastAsia="Times New Roman" w:hAnsi="Aptos" w:cs="Times New Roman"/>
          <w:sz w:val="25"/>
          <w:szCs w:val="25"/>
        </w:rPr>
        <w:t xml:space="preserve">and federal </w:t>
      </w:r>
      <w:r w:rsidR="0013102C" w:rsidRPr="000370FF">
        <w:rPr>
          <w:rFonts w:ascii="Aptos" w:eastAsia="Times New Roman" w:hAnsi="Aptos" w:cs="Times New Roman"/>
          <w:i/>
          <w:iCs/>
          <w:sz w:val="25"/>
          <w:szCs w:val="25"/>
        </w:rPr>
        <w:t>law</w:t>
      </w:r>
      <w:r w:rsidR="0013102C" w:rsidRPr="000370FF">
        <w:rPr>
          <w:rFonts w:ascii="Aptos" w:eastAsia="Times New Roman" w:hAnsi="Aptos" w:cs="Times New Roman"/>
          <w:sz w:val="25"/>
          <w:szCs w:val="25"/>
        </w:rPr>
        <w:t xml:space="preserve"> as to students in public schools” (emphasis added)</w:t>
      </w:r>
      <w:r w:rsidR="008A21DA" w:rsidRPr="000370FF">
        <w:rPr>
          <w:rFonts w:ascii="Aptos" w:eastAsia="Times New Roman" w:hAnsi="Aptos" w:cs="Times New Roman"/>
          <w:sz w:val="25"/>
          <w:szCs w:val="25"/>
        </w:rPr>
        <w:t xml:space="preserve">.  However, </w:t>
      </w:r>
      <w:r w:rsidR="0013102C" w:rsidRPr="000370FF">
        <w:rPr>
          <w:rFonts w:ascii="Aptos" w:eastAsia="Times New Roman" w:hAnsi="Aptos" w:cs="Times New Roman"/>
          <w:sz w:val="25"/>
          <w:szCs w:val="25"/>
        </w:rPr>
        <w:t>none of these provisions relieve</w:t>
      </w:r>
      <w:r w:rsidR="005F7B20" w:rsidRPr="000370FF">
        <w:rPr>
          <w:rFonts w:ascii="Aptos" w:eastAsia="Times New Roman" w:hAnsi="Aptos" w:cs="Times New Roman"/>
          <w:sz w:val="25"/>
          <w:szCs w:val="25"/>
        </w:rPr>
        <w:t>s</w:t>
      </w:r>
      <w:r w:rsidR="0013102C" w:rsidRPr="000370FF">
        <w:rPr>
          <w:rFonts w:ascii="Aptos" w:eastAsia="Times New Roman" w:hAnsi="Aptos" w:cs="Times New Roman"/>
          <w:sz w:val="25"/>
          <w:szCs w:val="25"/>
        </w:rPr>
        <w:t xml:space="preserve"> DESE of its obligations under M.G.L. c. 71B §11A</w:t>
      </w:r>
      <w:r w:rsidR="00C96303" w:rsidRPr="000370FF">
        <w:rPr>
          <w:rStyle w:val="FootnoteReference"/>
          <w:rFonts w:ascii="Aptos" w:eastAsia="Times New Roman" w:hAnsi="Aptos" w:cs="Times New Roman"/>
          <w:sz w:val="25"/>
          <w:szCs w:val="25"/>
        </w:rPr>
        <w:footnoteReference w:id="50"/>
      </w:r>
      <w:r w:rsidR="0013102C" w:rsidRPr="000370FF">
        <w:rPr>
          <w:rFonts w:ascii="Aptos" w:eastAsia="Times New Roman" w:hAnsi="Aptos" w:cs="Times New Roman"/>
          <w:sz w:val="25"/>
          <w:szCs w:val="25"/>
        </w:rPr>
        <w:t xml:space="preserve">.  Further, the allegations in the </w:t>
      </w:r>
      <w:r w:rsidR="0013102C" w:rsidRPr="000370FF">
        <w:rPr>
          <w:rFonts w:ascii="Aptos" w:eastAsia="Times New Roman" w:hAnsi="Aptos" w:cs="Times New Roman"/>
          <w:i/>
          <w:iCs/>
          <w:sz w:val="25"/>
          <w:szCs w:val="25"/>
        </w:rPr>
        <w:t>Hearing Request</w:t>
      </w:r>
      <w:r w:rsidR="0013102C" w:rsidRPr="000370FF">
        <w:rPr>
          <w:rFonts w:ascii="Aptos" w:eastAsia="Times New Roman" w:hAnsi="Aptos" w:cs="Times New Roman"/>
          <w:sz w:val="25"/>
          <w:szCs w:val="25"/>
        </w:rPr>
        <w:t xml:space="preserve"> allege specific violations pertaining to special education services DESE </w:t>
      </w:r>
      <w:r w:rsidR="000C0E6A" w:rsidRPr="000370FF">
        <w:rPr>
          <w:rFonts w:ascii="Aptos" w:eastAsia="Times New Roman" w:hAnsi="Aptos" w:cs="Times New Roman"/>
          <w:sz w:val="25"/>
          <w:szCs w:val="25"/>
        </w:rPr>
        <w:t>wa</w:t>
      </w:r>
      <w:r w:rsidR="0013102C" w:rsidRPr="000370FF">
        <w:rPr>
          <w:rFonts w:ascii="Aptos" w:eastAsia="Times New Roman" w:hAnsi="Aptos" w:cs="Times New Roman"/>
          <w:sz w:val="25"/>
          <w:szCs w:val="25"/>
        </w:rPr>
        <w:t>s responsible for providing to Student under both state and federal special education laws</w:t>
      </w:r>
      <w:r w:rsidR="0013102C" w:rsidRPr="000370FF">
        <w:rPr>
          <w:rStyle w:val="FootnoteReference"/>
          <w:rFonts w:ascii="Aptos" w:eastAsia="Times New Roman" w:hAnsi="Aptos" w:cs="Times New Roman"/>
          <w:sz w:val="25"/>
          <w:szCs w:val="25"/>
        </w:rPr>
        <w:footnoteReference w:id="51"/>
      </w:r>
      <w:r w:rsidR="0013102C" w:rsidRPr="000370FF">
        <w:rPr>
          <w:rFonts w:ascii="Aptos" w:eastAsia="Times New Roman" w:hAnsi="Aptos" w:cs="Times New Roman"/>
          <w:sz w:val="25"/>
          <w:szCs w:val="25"/>
        </w:rPr>
        <w:t xml:space="preserve">.  </w:t>
      </w:r>
    </w:p>
    <w:p w14:paraId="7D8D894C" w14:textId="77777777" w:rsidR="00C41989" w:rsidRPr="000370FF" w:rsidRDefault="00C41989" w:rsidP="00DA78B3">
      <w:pPr>
        <w:shd w:val="clear" w:color="auto" w:fill="FFFFFF"/>
        <w:rPr>
          <w:rFonts w:ascii="Aptos" w:eastAsia="Times New Roman" w:hAnsi="Aptos" w:cs="Times New Roman"/>
          <w:sz w:val="25"/>
          <w:szCs w:val="25"/>
        </w:rPr>
      </w:pPr>
    </w:p>
    <w:p w14:paraId="13CC41EF" w14:textId="163DEC2A" w:rsidR="00C41989" w:rsidRPr="000370FF" w:rsidRDefault="00C41989" w:rsidP="00DA78B3">
      <w:pPr>
        <w:shd w:val="clear" w:color="auto" w:fill="FFFFFF"/>
        <w:rPr>
          <w:rFonts w:ascii="Aptos" w:eastAsia="Times New Roman" w:hAnsi="Aptos" w:cs="Times New Roman"/>
          <w:sz w:val="25"/>
          <w:szCs w:val="25"/>
        </w:rPr>
      </w:pPr>
      <w:r w:rsidRPr="000370FF">
        <w:rPr>
          <w:rFonts w:ascii="Aptos" w:eastAsia="Times New Roman" w:hAnsi="Aptos" w:cs="Times New Roman"/>
          <w:sz w:val="25"/>
          <w:szCs w:val="25"/>
        </w:rPr>
        <w:t>I also agree with Student that it is likely that at a hearing on the merits additional material facts could be elicited that would provide relevant and critical information related to DESE’s actions and inactions in accordance with its legal special education responsibilities to Student</w:t>
      </w:r>
      <w:r w:rsidRPr="000370FF">
        <w:rPr>
          <w:rStyle w:val="FootnoteReference"/>
          <w:rFonts w:ascii="Aptos" w:eastAsia="Times New Roman" w:hAnsi="Aptos" w:cs="Times New Roman"/>
          <w:sz w:val="25"/>
          <w:szCs w:val="25"/>
        </w:rPr>
        <w:footnoteReference w:id="52"/>
      </w:r>
      <w:r w:rsidRPr="000370FF">
        <w:rPr>
          <w:rFonts w:ascii="Aptos" w:eastAsia="Times New Roman" w:hAnsi="Aptos" w:cs="Times New Roman"/>
          <w:sz w:val="25"/>
          <w:szCs w:val="25"/>
        </w:rPr>
        <w:t xml:space="preserve">.  Such material facts include, but are not limited to, SEIS’s involvement with the development of the IEP at </w:t>
      </w:r>
      <w:r w:rsidR="00D259FA" w:rsidRPr="000370FF">
        <w:rPr>
          <w:rFonts w:ascii="Aptos" w:eastAsia="Times New Roman" w:hAnsi="Aptos" w:cs="Times New Roman"/>
          <w:sz w:val="25"/>
          <w:szCs w:val="25"/>
        </w:rPr>
        <w:t xml:space="preserve">all </w:t>
      </w:r>
      <w:r w:rsidRPr="000370FF">
        <w:rPr>
          <w:rFonts w:ascii="Aptos" w:eastAsia="Times New Roman" w:hAnsi="Aptos" w:cs="Times New Roman"/>
          <w:sz w:val="25"/>
          <w:szCs w:val="25"/>
        </w:rPr>
        <w:t xml:space="preserve">TEAM meetings, services that were or were not provided by SEIS, the reason for non-provision of services, and the progress Student made or did not make </w:t>
      </w:r>
      <w:proofErr w:type="gramStart"/>
      <w:r w:rsidRPr="000370FF">
        <w:rPr>
          <w:rFonts w:ascii="Aptos" w:eastAsia="Times New Roman" w:hAnsi="Aptos" w:cs="Times New Roman"/>
          <w:sz w:val="25"/>
          <w:szCs w:val="25"/>
        </w:rPr>
        <w:t>with regard to</w:t>
      </w:r>
      <w:proofErr w:type="gramEnd"/>
      <w:r w:rsidRPr="000370FF">
        <w:rPr>
          <w:rFonts w:ascii="Aptos" w:eastAsia="Times New Roman" w:hAnsi="Aptos" w:cs="Times New Roman"/>
          <w:sz w:val="25"/>
          <w:szCs w:val="25"/>
        </w:rPr>
        <w:t xml:space="preserve"> those services.  </w:t>
      </w:r>
      <w:r w:rsidR="000F108E" w:rsidRPr="000370FF">
        <w:rPr>
          <w:rFonts w:ascii="Aptos" w:eastAsia="Times New Roman" w:hAnsi="Aptos" w:cs="Times New Roman"/>
          <w:sz w:val="25"/>
          <w:szCs w:val="25"/>
        </w:rPr>
        <w:t>Thus, while I may ultimately conclude</w:t>
      </w:r>
      <w:r w:rsidR="00902D82" w:rsidRPr="000370FF">
        <w:rPr>
          <w:rFonts w:ascii="Aptos" w:eastAsia="Times New Roman" w:hAnsi="Aptos" w:cs="Times New Roman"/>
          <w:sz w:val="25"/>
          <w:szCs w:val="25"/>
        </w:rPr>
        <w:t>, after a hearing on the merits,</w:t>
      </w:r>
      <w:r w:rsidR="000F108E" w:rsidRPr="000370FF">
        <w:rPr>
          <w:rFonts w:ascii="Aptos" w:eastAsia="Times New Roman" w:hAnsi="Aptos" w:cs="Times New Roman"/>
          <w:sz w:val="25"/>
          <w:szCs w:val="25"/>
        </w:rPr>
        <w:t xml:space="preserve"> that DESE has met its FAPE obligations to Student, particularly </w:t>
      </w:r>
      <w:proofErr w:type="gramStart"/>
      <w:r w:rsidR="000F108E" w:rsidRPr="000370FF">
        <w:rPr>
          <w:rFonts w:ascii="Aptos" w:eastAsia="Times New Roman" w:hAnsi="Aptos" w:cs="Times New Roman"/>
          <w:sz w:val="25"/>
          <w:szCs w:val="25"/>
        </w:rPr>
        <w:t>with regard to</w:t>
      </w:r>
      <w:proofErr w:type="gramEnd"/>
      <w:r w:rsidR="000F108E" w:rsidRPr="000370FF">
        <w:rPr>
          <w:rFonts w:ascii="Aptos" w:eastAsia="Times New Roman" w:hAnsi="Aptos" w:cs="Times New Roman"/>
          <w:sz w:val="25"/>
          <w:szCs w:val="25"/>
        </w:rPr>
        <w:t xml:space="preserve"> the development of his IEPs (Issue 2(a), above), the record is not sufficiently developed at this time to so determine</w:t>
      </w:r>
      <w:r w:rsidR="007E7BAE" w:rsidRPr="000370FF">
        <w:rPr>
          <w:rFonts w:ascii="Aptos" w:eastAsia="Times New Roman" w:hAnsi="Aptos" w:cs="Times New Roman"/>
          <w:sz w:val="25"/>
          <w:szCs w:val="25"/>
        </w:rPr>
        <w:t>, thus</w:t>
      </w:r>
      <w:r w:rsidR="00D259FA" w:rsidRPr="000370FF">
        <w:rPr>
          <w:rFonts w:ascii="Aptos" w:eastAsia="Times New Roman" w:hAnsi="Aptos" w:cs="Times New Roman"/>
          <w:sz w:val="25"/>
          <w:szCs w:val="25"/>
        </w:rPr>
        <w:t xml:space="preserve"> </w:t>
      </w:r>
      <w:r w:rsidR="000F108E" w:rsidRPr="000370FF">
        <w:rPr>
          <w:rFonts w:ascii="Aptos" w:eastAsia="Times New Roman" w:hAnsi="Aptos" w:cs="Times New Roman"/>
          <w:sz w:val="25"/>
          <w:szCs w:val="25"/>
        </w:rPr>
        <w:t>dismissal of the FAPE Claims as to DESE</w:t>
      </w:r>
      <w:r w:rsidR="007E7BAE" w:rsidRPr="000370FF">
        <w:rPr>
          <w:rFonts w:ascii="Aptos" w:eastAsia="Times New Roman" w:hAnsi="Aptos" w:cs="Times New Roman"/>
          <w:sz w:val="25"/>
          <w:szCs w:val="25"/>
        </w:rPr>
        <w:t xml:space="preserve"> currently</w:t>
      </w:r>
      <w:r w:rsidR="00386038" w:rsidRPr="000370FF">
        <w:rPr>
          <w:rFonts w:ascii="Aptos" w:eastAsia="Times New Roman" w:hAnsi="Aptos" w:cs="Times New Roman"/>
          <w:sz w:val="25"/>
          <w:szCs w:val="25"/>
        </w:rPr>
        <w:t>,</w:t>
      </w:r>
      <w:r w:rsidR="007E7BAE" w:rsidRPr="000370FF">
        <w:rPr>
          <w:rFonts w:ascii="Aptos" w:eastAsia="Times New Roman" w:hAnsi="Aptos" w:cs="Times New Roman"/>
          <w:sz w:val="25"/>
          <w:szCs w:val="25"/>
        </w:rPr>
        <w:t xml:space="preserve"> </w:t>
      </w:r>
      <w:r w:rsidR="000F108E" w:rsidRPr="000370FF">
        <w:rPr>
          <w:rFonts w:ascii="Aptos" w:eastAsia="Times New Roman" w:hAnsi="Aptos" w:cs="Times New Roman"/>
          <w:sz w:val="25"/>
          <w:szCs w:val="25"/>
        </w:rPr>
        <w:t>is not warranted</w:t>
      </w:r>
    </w:p>
    <w:p w14:paraId="1143574C" w14:textId="77777777" w:rsidR="0013102C" w:rsidRPr="000370FF" w:rsidRDefault="0013102C" w:rsidP="00DA78B3">
      <w:pPr>
        <w:shd w:val="clear" w:color="auto" w:fill="FFFFFF"/>
        <w:rPr>
          <w:rFonts w:ascii="Aptos" w:eastAsia="Times New Roman" w:hAnsi="Aptos" w:cs="Times New Roman"/>
          <w:sz w:val="25"/>
          <w:szCs w:val="25"/>
        </w:rPr>
      </w:pPr>
    </w:p>
    <w:p w14:paraId="689C368E" w14:textId="5FAB9494" w:rsidR="00DA78B3" w:rsidRPr="000370FF" w:rsidRDefault="007D5BE4" w:rsidP="00DA78B3">
      <w:pPr>
        <w:shd w:val="clear" w:color="auto" w:fill="FFFFFF"/>
        <w:rPr>
          <w:rFonts w:ascii="Aptos" w:eastAsia="Times New Roman" w:hAnsi="Aptos" w:cs="Times New Roman"/>
          <w:sz w:val="25"/>
          <w:szCs w:val="25"/>
        </w:rPr>
      </w:pPr>
      <w:r w:rsidRPr="000370FF">
        <w:rPr>
          <w:rFonts w:ascii="Aptos" w:eastAsia="Times New Roman" w:hAnsi="Aptos" w:cs="Times New Roman"/>
          <w:sz w:val="25"/>
          <w:szCs w:val="25"/>
        </w:rPr>
        <w:t>Finally, I turn to DESE and Quincy’s joint argument that Issue 2(b) of Student’s FAPE claim should be dismissed because neither entity is responsible for providing general education services to Student, or any incarcerated students, and issues concerning general education services are outside the BSEA’s jurisdiction.  I agree with Student</w:t>
      </w:r>
      <w:r w:rsidR="00F461B1" w:rsidRPr="000370FF">
        <w:rPr>
          <w:rFonts w:ascii="Aptos" w:eastAsia="Times New Roman" w:hAnsi="Aptos" w:cs="Times New Roman"/>
          <w:sz w:val="25"/>
          <w:szCs w:val="25"/>
        </w:rPr>
        <w:t>, however,</w:t>
      </w:r>
      <w:r w:rsidRPr="000370FF">
        <w:rPr>
          <w:rFonts w:ascii="Aptos" w:eastAsia="Times New Roman" w:hAnsi="Aptos" w:cs="Times New Roman"/>
          <w:sz w:val="25"/>
          <w:szCs w:val="25"/>
        </w:rPr>
        <w:t xml:space="preserve"> that this </w:t>
      </w:r>
      <w:r w:rsidR="00A15EDD" w:rsidRPr="000370FF">
        <w:rPr>
          <w:rFonts w:ascii="Aptos" w:eastAsia="Times New Roman" w:hAnsi="Aptos" w:cs="Times New Roman"/>
          <w:sz w:val="25"/>
          <w:szCs w:val="25"/>
        </w:rPr>
        <w:t>I</w:t>
      </w:r>
      <w:r w:rsidRPr="000370FF">
        <w:rPr>
          <w:rFonts w:ascii="Aptos" w:eastAsia="Times New Roman" w:hAnsi="Aptos" w:cs="Times New Roman"/>
          <w:sz w:val="25"/>
          <w:szCs w:val="25"/>
        </w:rPr>
        <w:t xml:space="preserve">ssue is part of a broader FAPE violation claim, and to that extent, </w:t>
      </w:r>
      <w:r w:rsidR="0085466C" w:rsidRPr="000370FF">
        <w:rPr>
          <w:rFonts w:ascii="Aptos" w:eastAsia="Times New Roman" w:hAnsi="Aptos" w:cs="Times New Roman"/>
          <w:sz w:val="25"/>
          <w:szCs w:val="25"/>
        </w:rPr>
        <w:t xml:space="preserve">I find it </w:t>
      </w:r>
      <w:r w:rsidRPr="000370FF">
        <w:rPr>
          <w:rFonts w:ascii="Aptos" w:eastAsia="Times New Roman" w:hAnsi="Aptos" w:cs="Times New Roman"/>
          <w:sz w:val="25"/>
          <w:szCs w:val="25"/>
        </w:rPr>
        <w:t xml:space="preserve">within the jurisdiction of </w:t>
      </w:r>
      <w:r w:rsidRPr="000370FF">
        <w:rPr>
          <w:rFonts w:ascii="Aptos" w:eastAsia="Times New Roman" w:hAnsi="Aptos" w:cs="Times New Roman"/>
          <w:sz w:val="25"/>
          <w:szCs w:val="25"/>
        </w:rPr>
        <w:lastRenderedPageBreak/>
        <w:t xml:space="preserve">the BSEA.  </w:t>
      </w:r>
      <w:r w:rsidR="000D0B11" w:rsidRPr="000370FF">
        <w:rPr>
          <w:rFonts w:ascii="Aptos" w:eastAsia="Times New Roman" w:hAnsi="Aptos" w:cs="Times New Roman"/>
          <w:sz w:val="25"/>
          <w:szCs w:val="25"/>
        </w:rPr>
        <w:t xml:space="preserve">Although Student is incarcerated, he maintains a right to a FAPE.  A </w:t>
      </w:r>
      <w:r w:rsidRPr="000370FF">
        <w:rPr>
          <w:rFonts w:ascii="Aptos" w:eastAsia="Times New Roman" w:hAnsi="Aptos" w:cs="Times New Roman"/>
          <w:sz w:val="25"/>
          <w:szCs w:val="25"/>
        </w:rPr>
        <w:t>FAPE involves more than just receipt of specialized instruction and related services, as Quincy argues</w:t>
      </w:r>
      <w:r w:rsidR="00F461B1" w:rsidRPr="000370FF">
        <w:rPr>
          <w:rFonts w:ascii="Aptos" w:eastAsia="Times New Roman" w:hAnsi="Aptos" w:cs="Times New Roman"/>
          <w:sz w:val="25"/>
          <w:szCs w:val="25"/>
        </w:rPr>
        <w:t>, though</w:t>
      </w:r>
      <w:r w:rsidR="000D0B11" w:rsidRPr="000370FF">
        <w:rPr>
          <w:rFonts w:ascii="Aptos" w:eastAsia="Times New Roman" w:hAnsi="Aptos" w:cs="Times New Roman"/>
          <w:sz w:val="25"/>
          <w:szCs w:val="25"/>
        </w:rPr>
        <w:t xml:space="preserve">. </w:t>
      </w:r>
      <w:r w:rsidRPr="000370FF">
        <w:rPr>
          <w:rFonts w:ascii="Aptos" w:eastAsia="Times New Roman" w:hAnsi="Aptos" w:cs="Times New Roman"/>
          <w:sz w:val="25"/>
          <w:szCs w:val="25"/>
        </w:rPr>
        <w:t xml:space="preserve"> </w:t>
      </w:r>
      <w:r w:rsidR="000D0B11" w:rsidRPr="000370FF">
        <w:rPr>
          <w:rFonts w:ascii="Aptos" w:eastAsia="Times New Roman" w:hAnsi="Aptos" w:cs="Times New Roman"/>
          <w:sz w:val="25"/>
          <w:szCs w:val="25"/>
        </w:rPr>
        <w:t xml:space="preserve">FAPE grants all eligible students, including incarcerated </w:t>
      </w:r>
      <w:r w:rsidR="00F461B1" w:rsidRPr="000370FF">
        <w:rPr>
          <w:rFonts w:ascii="Aptos" w:eastAsia="Times New Roman" w:hAnsi="Aptos" w:cs="Times New Roman"/>
          <w:sz w:val="25"/>
          <w:szCs w:val="25"/>
        </w:rPr>
        <w:t>s</w:t>
      </w:r>
      <w:r w:rsidR="000D0B11" w:rsidRPr="000370FF">
        <w:rPr>
          <w:rFonts w:ascii="Aptos" w:eastAsia="Times New Roman" w:hAnsi="Aptos" w:cs="Times New Roman"/>
          <w:sz w:val="25"/>
          <w:szCs w:val="25"/>
        </w:rPr>
        <w:t>tudents, the right to receive an appropriate curriculum that meets state standards</w:t>
      </w:r>
      <w:r w:rsidR="00224F51" w:rsidRPr="000370FF">
        <w:rPr>
          <w:rFonts w:ascii="Aptos" w:eastAsia="Times New Roman" w:hAnsi="Aptos" w:cs="Times New Roman"/>
          <w:sz w:val="25"/>
          <w:szCs w:val="25"/>
        </w:rPr>
        <w:t xml:space="preserve">.  At this juncture, it is not yet clear what type of a </w:t>
      </w:r>
      <w:r w:rsidR="00110CF9" w:rsidRPr="000370FF">
        <w:rPr>
          <w:rFonts w:ascii="Aptos" w:eastAsia="Times New Roman" w:hAnsi="Aptos" w:cs="Times New Roman"/>
          <w:sz w:val="25"/>
          <w:szCs w:val="25"/>
        </w:rPr>
        <w:t>curriculum</w:t>
      </w:r>
      <w:r w:rsidR="00224F51" w:rsidRPr="000370FF">
        <w:rPr>
          <w:rFonts w:ascii="Aptos" w:eastAsia="Times New Roman" w:hAnsi="Aptos" w:cs="Times New Roman"/>
          <w:sz w:val="25"/>
          <w:szCs w:val="25"/>
        </w:rPr>
        <w:t xml:space="preserve"> or program is “appropriate” for Student</w:t>
      </w:r>
      <w:r w:rsidR="00110CF9" w:rsidRPr="000370FF">
        <w:rPr>
          <w:rFonts w:ascii="Aptos" w:eastAsia="Times New Roman" w:hAnsi="Aptos" w:cs="Times New Roman"/>
          <w:sz w:val="25"/>
          <w:szCs w:val="25"/>
        </w:rPr>
        <w:t xml:space="preserve"> </w:t>
      </w:r>
      <w:r w:rsidR="00A72823" w:rsidRPr="000370FF">
        <w:rPr>
          <w:rFonts w:ascii="Aptos" w:eastAsia="Times New Roman" w:hAnsi="Aptos" w:cs="Times New Roman"/>
          <w:sz w:val="25"/>
          <w:szCs w:val="25"/>
        </w:rPr>
        <w:t xml:space="preserve">or even what </w:t>
      </w:r>
      <w:r w:rsidR="00110CF9" w:rsidRPr="000370FF">
        <w:rPr>
          <w:rFonts w:ascii="Aptos" w:eastAsia="Times New Roman" w:hAnsi="Aptos" w:cs="Times New Roman"/>
          <w:sz w:val="25"/>
          <w:szCs w:val="25"/>
        </w:rPr>
        <w:t>has been provided</w:t>
      </w:r>
      <w:r w:rsidR="00224F51" w:rsidRPr="000370FF">
        <w:rPr>
          <w:rFonts w:ascii="Aptos" w:eastAsia="Times New Roman" w:hAnsi="Aptos" w:cs="Times New Roman"/>
          <w:sz w:val="25"/>
          <w:szCs w:val="25"/>
        </w:rPr>
        <w:t>,</w:t>
      </w:r>
      <w:r w:rsidR="00A72823" w:rsidRPr="000370FF">
        <w:rPr>
          <w:rFonts w:ascii="Aptos" w:eastAsia="Times New Roman" w:hAnsi="Aptos" w:cs="Times New Roman"/>
          <w:sz w:val="25"/>
          <w:szCs w:val="25"/>
        </w:rPr>
        <w:t xml:space="preserve"> as the </w:t>
      </w:r>
      <w:r w:rsidR="00231AFE" w:rsidRPr="000370FF">
        <w:rPr>
          <w:rFonts w:ascii="Aptos" w:eastAsia="Times New Roman" w:hAnsi="Aptos" w:cs="Times New Roman"/>
          <w:sz w:val="25"/>
          <w:szCs w:val="25"/>
        </w:rPr>
        <w:t xml:space="preserve">accounts of Student’s </w:t>
      </w:r>
      <w:proofErr w:type="spellStart"/>
      <w:r w:rsidR="00231AFE" w:rsidRPr="000370FF">
        <w:rPr>
          <w:rFonts w:ascii="Aptos" w:eastAsia="Times New Roman" w:hAnsi="Aptos" w:cs="Times New Roman"/>
          <w:sz w:val="25"/>
          <w:szCs w:val="25"/>
        </w:rPr>
        <w:t>Acel</w:t>
      </w:r>
      <w:r w:rsidR="00754AE7" w:rsidRPr="000370FF">
        <w:rPr>
          <w:rFonts w:ascii="Aptos" w:eastAsia="Times New Roman" w:hAnsi="Aptos" w:cs="Times New Roman"/>
          <w:sz w:val="25"/>
          <w:szCs w:val="25"/>
        </w:rPr>
        <w:t>l</w:t>
      </w:r>
      <w:r w:rsidR="00231AFE" w:rsidRPr="000370FF">
        <w:rPr>
          <w:rFonts w:ascii="Aptos" w:eastAsia="Times New Roman" w:hAnsi="Aptos" w:cs="Times New Roman"/>
          <w:sz w:val="25"/>
          <w:szCs w:val="25"/>
        </w:rPr>
        <w:t>us</w:t>
      </w:r>
      <w:proofErr w:type="spellEnd"/>
      <w:r w:rsidR="00231AFE" w:rsidRPr="000370FF">
        <w:rPr>
          <w:rFonts w:ascii="Aptos" w:eastAsia="Times New Roman" w:hAnsi="Aptos" w:cs="Times New Roman"/>
          <w:sz w:val="25"/>
          <w:szCs w:val="25"/>
        </w:rPr>
        <w:t xml:space="preserve"> access and schedule differ in </w:t>
      </w:r>
      <w:r w:rsidR="00987677" w:rsidRPr="000370FF">
        <w:rPr>
          <w:rFonts w:ascii="Aptos" w:eastAsia="Times New Roman" w:hAnsi="Aptos" w:cs="Times New Roman"/>
          <w:sz w:val="25"/>
          <w:szCs w:val="25"/>
        </w:rPr>
        <w:t xml:space="preserve">the </w:t>
      </w:r>
      <w:r w:rsidR="00987677" w:rsidRPr="000370FF">
        <w:rPr>
          <w:rFonts w:ascii="Aptos" w:eastAsia="Times New Roman" w:hAnsi="Aptos" w:cs="Times New Roman"/>
          <w:i/>
          <w:iCs/>
          <w:sz w:val="25"/>
          <w:szCs w:val="25"/>
        </w:rPr>
        <w:t>Hearing Request</w:t>
      </w:r>
      <w:r w:rsidR="00987677" w:rsidRPr="000370FF">
        <w:rPr>
          <w:rFonts w:ascii="Aptos" w:eastAsia="Times New Roman" w:hAnsi="Aptos" w:cs="Times New Roman"/>
          <w:sz w:val="25"/>
          <w:szCs w:val="25"/>
        </w:rPr>
        <w:t xml:space="preserve"> and the </w:t>
      </w:r>
      <w:r w:rsidR="00987677" w:rsidRPr="000370FF">
        <w:rPr>
          <w:rFonts w:ascii="Aptos" w:eastAsia="Times New Roman" w:hAnsi="Aptos" w:cs="Times New Roman"/>
          <w:i/>
          <w:iCs/>
          <w:sz w:val="25"/>
          <w:szCs w:val="25"/>
        </w:rPr>
        <w:t>Motions</w:t>
      </w:r>
      <w:r w:rsidR="00231AFE" w:rsidRPr="000370FF">
        <w:rPr>
          <w:rFonts w:ascii="Aptos" w:eastAsia="Times New Roman" w:hAnsi="Aptos" w:cs="Times New Roman"/>
          <w:sz w:val="25"/>
          <w:szCs w:val="25"/>
        </w:rPr>
        <w:t>.</w:t>
      </w:r>
      <w:r w:rsidR="00987677" w:rsidRPr="000370FF">
        <w:rPr>
          <w:rFonts w:ascii="Aptos" w:eastAsia="Times New Roman" w:hAnsi="Aptos" w:cs="Times New Roman"/>
          <w:sz w:val="25"/>
          <w:szCs w:val="25"/>
        </w:rPr>
        <w:t xml:space="preserve">  </w:t>
      </w:r>
      <w:r w:rsidR="00231AFE" w:rsidRPr="000370FF">
        <w:rPr>
          <w:rFonts w:ascii="Aptos" w:eastAsia="Times New Roman" w:hAnsi="Aptos" w:cs="Times New Roman"/>
          <w:sz w:val="25"/>
          <w:szCs w:val="25"/>
        </w:rPr>
        <w:t>H</w:t>
      </w:r>
      <w:r w:rsidR="00224F51" w:rsidRPr="000370FF">
        <w:rPr>
          <w:rFonts w:ascii="Aptos" w:eastAsia="Times New Roman" w:hAnsi="Aptos" w:cs="Times New Roman"/>
          <w:sz w:val="25"/>
          <w:szCs w:val="25"/>
        </w:rPr>
        <w:t>owever, a</w:t>
      </w:r>
      <w:r w:rsidR="002B65C1" w:rsidRPr="000370FF">
        <w:rPr>
          <w:rFonts w:ascii="Aptos" w:eastAsia="Times New Roman" w:hAnsi="Aptos" w:cs="Times New Roman"/>
          <w:sz w:val="25"/>
          <w:szCs w:val="25"/>
        </w:rPr>
        <w:t>fter</w:t>
      </w:r>
      <w:r w:rsidR="00224F51" w:rsidRPr="000370FF">
        <w:rPr>
          <w:rFonts w:ascii="Aptos" w:eastAsia="Times New Roman" w:hAnsi="Aptos" w:cs="Times New Roman"/>
          <w:sz w:val="25"/>
          <w:szCs w:val="25"/>
        </w:rPr>
        <w:t xml:space="preserve"> a hearing on the merits</w:t>
      </w:r>
      <w:r w:rsidR="00231AFE" w:rsidRPr="000370FF">
        <w:rPr>
          <w:rFonts w:ascii="Aptos" w:eastAsia="Times New Roman" w:hAnsi="Aptos" w:cs="Times New Roman"/>
          <w:sz w:val="25"/>
          <w:szCs w:val="25"/>
        </w:rPr>
        <w:t xml:space="preserve">, </w:t>
      </w:r>
      <w:r w:rsidR="00224F51" w:rsidRPr="000370FF">
        <w:rPr>
          <w:rFonts w:ascii="Aptos" w:eastAsia="Times New Roman" w:hAnsi="Aptos" w:cs="Times New Roman"/>
          <w:sz w:val="25"/>
          <w:szCs w:val="25"/>
        </w:rPr>
        <w:t xml:space="preserve">I may </w:t>
      </w:r>
      <w:r w:rsidR="00E74C79" w:rsidRPr="000370FF">
        <w:rPr>
          <w:rFonts w:ascii="Aptos" w:eastAsia="Times New Roman" w:hAnsi="Aptos" w:cs="Times New Roman"/>
          <w:sz w:val="25"/>
          <w:szCs w:val="25"/>
        </w:rPr>
        <w:t>determine</w:t>
      </w:r>
      <w:r w:rsidR="00224F51" w:rsidRPr="000370FF">
        <w:rPr>
          <w:rFonts w:ascii="Aptos" w:eastAsia="Times New Roman" w:hAnsi="Aptos" w:cs="Times New Roman"/>
          <w:sz w:val="25"/>
          <w:szCs w:val="25"/>
        </w:rPr>
        <w:t xml:space="preserve"> that </w:t>
      </w:r>
      <w:r w:rsidR="000D0B11" w:rsidRPr="000370FF">
        <w:rPr>
          <w:rFonts w:ascii="Aptos" w:eastAsia="Times New Roman" w:hAnsi="Aptos" w:cs="Times New Roman"/>
          <w:sz w:val="25"/>
          <w:szCs w:val="25"/>
        </w:rPr>
        <w:t xml:space="preserve">for Student, </w:t>
      </w:r>
      <w:r w:rsidR="00231AFE" w:rsidRPr="000370FF">
        <w:rPr>
          <w:rFonts w:ascii="Aptos" w:eastAsia="Times New Roman" w:hAnsi="Aptos" w:cs="Times New Roman"/>
          <w:sz w:val="25"/>
          <w:szCs w:val="25"/>
        </w:rPr>
        <w:t xml:space="preserve">a FAPE </w:t>
      </w:r>
      <w:r w:rsidR="000D0B11" w:rsidRPr="000370FF">
        <w:rPr>
          <w:rFonts w:ascii="Aptos" w:eastAsia="Times New Roman" w:hAnsi="Aptos" w:cs="Times New Roman"/>
          <w:sz w:val="25"/>
          <w:szCs w:val="25"/>
        </w:rPr>
        <w:t xml:space="preserve">includes but is not limited to </w:t>
      </w:r>
      <w:r w:rsidRPr="000370FF">
        <w:rPr>
          <w:rFonts w:ascii="Aptos" w:eastAsia="Times New Roman" w:hAnsi="Aptos" w:cs="Times New Roman"/>
          <w:sz w:val="25"/>
          <w:szCs w:val="25"/>
        </w:rPr>
        <w:t xml:space="preserve">access to the </w:t>
      </w:r>
      <w:r w:rsidR="000D0B11" w:rsidRPr="000370FF">
        <w:rPr>
          <w:rFonts w:ascii="Aptos" w:eastAsia="Times New Roman" w:hAnsi="Aptos" w:cs="Times New Roman"/>
          <w:sz w:val="25"/>
          <w:szCs w:val="25"/>
        </w:rPr>
        <w:t xml:space="preserve">secondary school </w:t>
      </w:r>
      <w:r w:rsidRPr="000370FF">
        <w:rPr>
          <w:rFonts w:ascii="Aptos" w:eastAsia="Times New Roman" w:hAnsi="Aptos" w:cs="Times New Roman"/>
          <w:sz w:val="25"/>
          <w:szCs w:val="25"/>
        </w:rPr>
        <w:t>general education curriculum</w:t>
      </w:r>
      <w:r w:rsidR="00921620" w:rsidRPr="000370FF">
        <w:rPr>
          <w:rFonts w:ascii="Aptos" w:eastAsia="Times New Roman" w:hAnsi="Aptos" w:cs="Times New Roman"/>
          <w:sz w:val="25"/>
          <w:szCs w:val="25"/>
        </w:rPr>
        <w:t xml:space="preserve"> for </w:t>
      </w:r>
      <w:r w:rsidR="00A72823" w:rsidRPr="000370FF">
        <w:rPr>
          <w:rFonts w:ascii="Aptos" w:eastAsia="Times New Roman" w:hAnsi="Aptos" w:cs="Times New Roman"/>
          <w:sz w:val="25"/>
          <w:szCs w:val="25"/>
        </w:rPr>
        <w:t>more hours per week than he has been offered</w:t>
      </w:r>
      <w:r w:rsidR="008A1083" w:rsidRPr="000370FF">
        <w:rPr>
          <w:rStyle w:val="FootnoteReference"/>
          <w:rFonts w:ascii="Aptos" w:eastAsia="Times New Roman" w:hAnsi="Aptos" w:cs="Times New Roman"/>
          <w:sz w:val="25"/>
          <w:szCs w:val="25"/>
        </w:rPr>
        <w:footnoteReference w:id="53"/>
      </w:r>
      <w:r w:rsidR="00E620C8" w:rsidRPr="000370FF">
        <w:rPr>
          <w:rFonts w:ascii="Aptos" w:eastAsia="Times New Roman" w:hAnsi="Aptos" w:cs="Times New Roman"/>
          <w:sz w:val="25"/>
          <w:szCs w:val="25"/>
        </w:rPr>
        <w:t xml:space="preserve">.  </w:t>
      </w:r>
      <w:r w:rsidR="008A1083" w:rsidRPr="000370FF">
        <w:rPr>
          <w:rFonts w:ascii="Aptos" w:eastAsia="Times New Roman" w:hAnsi="Aptos" w:cs="Times New Roman"/>
          <w:sz w:val="25"/>
          <w:szCs w:val="25"/>
        </w:rPr>
        <w:t xml:space="preserve">As such, </w:t>
      </w:r>
      <w:r w:rsidR="00FE3033" w:rsidRPr="000370FF">
        <w:rPr>
          <w:rFonts w:ascii="Aptos" w:eastAsia="Times New Roman" w:hAnsi="Aptos" w:cs="Times New Roman"/>
          <w:sz w:val="25"/>
          <w:szCs w:val="25"/>
        </w:rPr>
        <w:t xml:space="preserve">DESE and Quincy’s request to dismiss </w:t>
      </w:r>
      <w:r w:rsidR="008A1083" w:rsidRPr="000370FF">
        <w:rPr>
          <w:rFonts w:ascii="Aptos" w:eastAsia="Times New Roman" w:hAnsi="Aptos" w:cs="Times New Roman"/>
          <w:sz w:val="25"/>
          <w:szCs w:val="25"/>
        </w:rPr>
        <w:t>Student’s allegation</w:t>
      </w:r>
      <w:r w:rsidR="006F34E5" w:rsidRPr="000370FF">
        <w:rPr>
          <w:rFonts w:ascii="Aptos" w:eastAsia="Times New Roman" w:hAnsi="Aptos" w:cs="Times New Roman"/>
          <w:sz w:val="25"/>
          <w:szCs w:val="25"/>
        </w:rPr>
        <w:t>s</w:t>
      </w:r>
      <w:r w:rsidR="008A1083" w:rsidRPr="000370FF">
        <w:rPr>
          <w:rFonts w:ascii="Aptos" w:eastAsia="Times New Roman" w:hAnsi="Aptos" w:cs="Times New Roman"/>
          <w:sz w:val="25"/>
          <w:szCs w:val="25"/>
        </w:rPr>
        <w:t xml:space="preserve"> that he has been denied a FAPE based upon not being provided with a general education program that meets state standards</w:t>
      </w:r>
      <w:r w:rsidR="0079586B" w:rsidRPr="000370FF">
        <w:rPr>
          <w:rFonts w:ascii="Aptos" w:eastAsia="Times New Roman" w:hAnsi="Aptos" w:cs="Times New Roman"/>
          <w:sz w:val="25"/>
          <w:szCs w:val="25"/>
        </w:rPr>
        <w:t xml:space="preserve"> should not be dismissed and are not appropriate for resolution by summary judgment</w:t>
      </w:r>
      <w:r w:rsidR="008A1083" w:rsidRPr="000370FF">
        <w:rPr>
          <w:rFonts w:ascii="Aptos" w:eastAsia="Times New Roman" w:hAnsi="Aptos" w:cs="Times New Roman"/>
          <w:sz w:val="25"/>
          <w:szCs w:val="25"/>
        </w:rPr>
        <w:t>.</w:t>
      </w:r>
      <w:r w:rsidR="00C41989" w:rsidRPr="000370FF">
        <w:rPr>
          <w:rFonts w:ascii="Aptos" w:eastAsia="Times New Roman" w:hAnsi="Aptos" w:cs="Times New Roman"/>
          <w:sz w:val="25"/>
          <w:szCs w:val="25"/>
        </w:rPr>
        <w:t xml:space="preserve">  </w:t>
      </w:r>
      <w:r w:rsidR="008A1083" w:rsidRPr="000370FF">
        <w:rPr>
          <w:rFonts w:ascii="Aptos" w:eastAsia="Times New Roman" w:hAnsi="Aptos" w:cs="Times New Roman"/>
          <w:sz w:val="25"/>
          <w:szCs w:val="25"/>
        </w:rPr>
        <w:t>For these reasons, DESE</w:t>
      </w:r>
      <w:r w:rsidR="00482E4A" w:rsidRPr="000370FF">
        <w:rPr>
          <w:rFonts w:ascii="Aptos" w:eastAsia="Times New Roman" w:hAnsi="Aptos" w:cs="Times New Roman"/>
          <w:sz w:val="25"/>
          <w:szCs w:val="25"/>
        </w:rPr>
        <w:t>’s</w:t>
      </w:r>
      <w:r w:rsidR="008A1083" w:rsidRPr="000370FF">
        <w:rPr>
          <w:rFonts w:ascii="Aptos" w:eastAsia="Times New Roman" w:hAnsi="Aptos" w:cs="Times New Roman"/>
          <w:sz w:val="25"/>
          <w:szCs w:val="25"/>
        </w:rPr>
        <w:t xml:space="preserve"> and Quincy’s </w:t>
      </w:r>
      <w:r w:rsidR="003073E1" w:rsidRPr="000370FF">
        <w:rPr>
          <w:rFonts w:ascii="Aptos" w:eastAsia="Times New Roman" w:hAnsi="Aptos" w:cs="Times New Roman"/>
          <w:i/>
          <w:iCs/>
          <w:sz w:val="25"/>
          <w:szCs w:val="25"/>
        </w:rPr>
        <w:t>Motions</w:t>
      </w:r>
      <w:r w:rsidR="0013102C" w:rsidRPr="000370FF">
        <w:rPr>
          <w:rFonts w:ascii="Aptos" w:eastAsia="Times New Roman" w:hAnsi="Aptos" w:cs="Times New Roman"/>
          <w:sz w:val="25"/>
          <w:szCs w:val="25"/>
        </w:rPr>
        <w:t xml:space="preserve"> </w:t>
      </w:r>
      <w:r w:rsidR="003073E1" w:rsidRPr="000370FF">
        <w:rPr>
          <w:rFonts w:ascii="Aptos" w:eastAsia="Times New Roman" w:hAnsi="Aptos" w:cs="Times New Roman"/>
          <w:sz w:val="25"/>
          <w:szCs w:val="25"/>
        </w:rPr>
        <w:t xml:space="preserve">with respect to </w:t>
      </w:r>
      <w:r w:rsidR="008A1083" w:rsidRPr="000370FF">
        <w:rPr>
          <w:rFonts w:ascii="Aptos" w:eastAsia="Times New Roman" w:hAnsi="Aptos" w:cs="Times New Roman"/>
          <w:sz w:val="25"/>
          <w:szCs w:val="25"/>
        </w:rPr>
        <w:t xml:space="preserve">Student’s </w:t>
      </w:r>
      <w:r w:rsidR="0013102C" w:rsidRPr="000370FF">
        <w:rPr>
          <w:rFonts w:ascii="Aptos" w:eastAsia="Times New Roman" w:hAnsi="Aptos" w:cs="Times New Roman"/>
          <w:sz w:val="25"/>
          <w:szCs w:val="25"/>
        </w:rPr>
        <w:t xml:space="preserve">FAPE Claims </w:t>
      </w:r>
      <w:r w:rsidR="00482E4A" w:rsidRPr="000370FF">
        <w:rPr>
          <w:rFonts w:ascii="Aptos" w:eastAsia="Times New Roman" w:hAnsi="Aptos" w:cs="Times New Roman"/>
          <w:sz w:val="25"/>
          <w:szCs w:val="25"/>
        </w:rPr>
        <w:t xml:space="preserve">are </w:t>
      </w:r>
      <w:r w:rsidR="0013102C" w:rsidRPr="000370FF">
        <w:rPr>
          <w:rFonts w:ascii="Aptos" w:eastAsia="Times New Roman" w:hAnsi="Aptos" w:cs="Times New Roman"/>
          <w:b/>
          <w:bCs/>
          <w:sz w:val="25"/>
          <w:szCs w:val="25"/>
        </w:rPr>
        <w:t>DENIED</w:t>
      </w:r>
      <w:r w:rsidR="0013102C" w:rsidRPr="000370FF">
        <w:rPr>
          <w:rFonts w:ascii="Aptos" w:eastAsia="Times New Roman" w:hAnsi="Aptos" w:cs="Times New Roman"/>
          <w:sz w:val="25"/>
          <w:szCs w:val="25"/>
        </w:rPr>
        <w:t xml:space="preserve">.  </w:t>
      </w:r>
    </w:p>
    <w:p w14:paraId="4BE5C412" w14:textId="77777777" w:rsidR="00DA78B3" w:rsidRPr="000370FF" w:rsidRDefault="00DA78B3" w:rsidP="00DA78B3">
      <w:pPr>
        <w:shd w:val="clear" w:color="auto" w:fill="FFFFFF"/>
        <w:rPr>
          <w:rFonts w:ascii="Aptos" w:eastAsia="Times New Roman" w:hAnsi="Aptos" w:cs="Times New Roman"/>
          <w:sz w:val="25"/>
          <w:szCs w:val="25"/>
        </w:rPr>
      </w:pPr>
    </w:p>
    <w:p w14:paraId="489FC240" w14:textId="77777777" w:rsidR="00DA78B3" w:rsidRPr="000370FF" w:rsidRDefault="00DA78B3" w:rsidP="00DA78B3">
      <w:pPr>
        <w:pStyle w:val="ListParagraph"/>
        <w:numPr>
          <w:ilvl w:val="0"/>
          <w:numId w:val="13"/>
        </w:numPr>
        <w:shd w:val="clear" w:color="auto" w:fill="FFFFFF"/>
        <w:rPr>
          <w:rFonts w:ascii="Aptos" w:eastAsia="Times New Roman" w:hAnsi="Aptos" w:cs="Times New Roman"/>
          <w:sz w:val="25"/>
          <w:szCs w:val="25"/>
        </w:rPr>
      </w:pPr>
      <w:r w:rsidRPr="000370FF">
        <w:rPr>
          <w:rFonts w:ascii="Aptos" w:eastAsia="Times New Roman" w:hAnsi="Aptos" w:cs="Times New Roman"/>
          <w:i/>
          <w:iCs/>
          <w:sz w:val="25"/>
          <w:szCs w:val="25"/>
        </w:rPr>
        <w:t>Issue 3 – LRE Claim</w:t>
      </w:r>
    </w:p>
    <w:p w14:paraId="33EBF7AE" w14:textId="77777777" w:rsidR="00DA78B3" w:rsidRPr="000370FF" w:rsidRDefault="00DA78B3" w:rsidP="00DA78B3">
      <w:pPr>
        <w:shd w:val="clear" w:color="auto" w:fill="FFFFFF"/>
        <w:rPr>
          <w:rFonts w:ascii="Aptos" w:eastAsia="Times New Roman" w:hAnsi="Aptos" w:cs="Times New Roman"/>
          <w:sz w:val="25"/>
          <w:szCs w:val="25"/>
        </w:rPr>
      </w:pPr>
    </w:p>
    <w:p w14:paraId="37262AFD" w14:textId="231B2B60" w:rsidR="00E51A64" w:rsidRPr="000370FF" w:rsidRDefault="00334583" w:rsidP="00DA78B3">
      <w:pPr>
        <w:shd w:val="clear" w:color="auto" w:fill="FFFFFF"/>
        <w:rPr>
          <w:rFonts w:ascii="Aptos" w:eastAsia="Times New Roman" w:hAnsi="Aptos" w:cs="Times New Roman"/>
          <w:sz w:val="25"/>
          <w:szCs w:val="25"/>
        </w:rPr>
      </w:pPr>
      <w:r w:rsidRPr="000370FF">
        <w:rPr>
          <w:rFonts w:ascii="Aptos" w:eastAsia="Times New Roman" w:hAnsi="Aptos" w:cs="Times New Roman"/>
          <w:sz w:val="25"/>
          <w:szCs w:val="25"/>
        </w:rPr>
        <w:t xml:space="preserve">Student challenges </w:t>
      </w:r>
      <w:r w:rsidR="0076403A" w:rsidRPr="000370FF">
        <w:rPr>
          <w:rFonts w:ascii="Aptos" w:eastAsia="Times New Roman" w:hAnsi="Aptos" w:cs="Times New Roman"/>
          <w:sz w:val="25"/>
          <w:szCs w:val="25"/>
        </w:rPr>
        <w:t xml:space="preserve">the provision </w:t>
      </w:r>
      <w:r w:rsidRPr="000370FF">
        <w:rPr>
          <w:rFonts w:ascii="Aptos" w:eastAsia="Times New Roman" w:hAnsi="Aptos" w:cs="Times New Roman"/>
          <w:sz w:val="25"/>
          <w:szCs w:val="25"/>
        </w:rPr>
        <w:t>of all his educational services on a 1:1 basis</w:t>
      </w:r>
      <w:r w:rsidR="0076403A" w:rsidRPr="000370FF">
        <w:rPr>
          <w:rFonts w:ascii="Aptos" w:eastAsia="Times New Roman" w:hAnsi="Aptos" w:cs="Times New Roman"/>
          <w:sz w:val="25"/>
          <w:szCs w:val="25"/>
        </w:rPr>
        <w:t>,</w:t>
      </w:r>
      <w:r w:rsidR="0083568E" w:rsidRPr="000370FF">
        <w:rPr>
          <w:rFonts w:ascii="Aptos" w:eastAsia="Times New Roman" w:hAnsi="Aptos" w:cs="Times New Roman"/>
          <w:sz w:val="25"/>
          <w:szCs w:val="25"/>
        </w:rPr>
        <w:t xml:space="preserve"> </w:t>
      </w:r>
      <w:r w:rsidR="0076403A" w:rsidRPr="000370FF">
        <w:rPr>
          <w:rFonts w:ascii="Aptos" w:eastAsia="Times New Roman" w:hAnsi="Aptos" w:cs="Times New Roman"/>
          <w:sz w:val="25"/>
          <w:szCs w:val="25"/>
        </w:rPr>
        <w:t xml:space="preserve">asserting it is a </w:t>
      </w:r>
      <w:r w:rsidR="0083568E" w:rsidRPr="000370FF">
        <w:rPr>
          <w:rFonts w:ascii="Aptos" w:eastAsia="Times New Roman" w:hAnsi="Aptos" w:cs="Times New Roman"/>
          <w:sz w:val="25"/>
          <w:szCs w:val="25"/>
        </w:rPr>
        <w:t>violation of his right to be educated in the least restrictive environment</w:t>
      </w:r>
      <w:r w:rsidRPr="000370FF">
        <w:rPr>
          <w:rFonts w:ascii="Aptos" w:eastAsia="Times New Roman" w:hAnsi="Aptos" w:cs="Times New Roman"/>
          <w:sz w:val="25"/>
          <w:szCs w:val="25"/>
        </w:rPr>
        <w:t xml:space="preserve">.  DESE contends </w:t>
      </w:r>
      <w:r w:rsidR="00FB1921" w:rsidRPr="000370FF">
        <w:rPr>
          <w:rFonts w:ascii="Aptos" w:eastAsia="Times New Roman" w:hAnsi="Aptos" w:cs="Times New Roman"/>
          <w:sz w:val="25"/>
          <w:szCs w:val="25"/>
        </w:rPr>
        <w:t xml:space="preserve">this claim must be dismissed, as it </w:t>
      </w:r>
      <w:r w:rsidR="009C4B53" w:rsidRPr="000370FF">
        <w:rPr>
          <w:rFonts w:ascii="Aptos" w:eastAsia="Times New Roman" w:hAnsi="Aptos" w:cs="Times New Roman"/>
          <w:sz w:val="25"/>
          <w:szCs w:val="25"/>
        </w:rPr>
        <w:t>provided</w:t>
      </w:r>
      <w:r w:rsidR="00FB1921" w:rsidRPr="000370FF">
        <w:rPr>
          <w:rFonts w:ascii="Aptos" w:eastAsia="Times New Roman" w:hAnsi="Aptos" w:cs="Times New Roman"/>
          <w:sz w:val="25"/>
          <w:szCs w:val="25"/>
        </w:rPr>
        <w:t xml:space="preserve"> Student </w:t>
      </w:r>
      <w:r w:rsidR="009C4B53" w:rsidRPr="000370FF">
        <w:rPr>
          <w:rFonts w:ascii="Aptos" w:eastAsia="Times New Roman" w:hAnsi="Aptos" w:cs="Times New Roman"/>
          <w:sz w:val="25"/>
          <w:szCs w:val="25"/>
        </w:rPr>
        <w:t xml:space="preserve">services in a </w:t>
      </w:r>
      <w:r w:rsidR="00FB1921" w:rsidRPr="000370FF">
        <w:rPr>
          <w:rFonts w:ascii="Aptos" w:eastAsia="Times New Roman" w:hAnsi="Aptos" w:cs="Times New Roman"/>
          <w:sz w:val="25"/>
          <w:szCs w:val="25"/>
        </w:rPr>
        <w:t xml:space="preserve">1:1 </w:t>
      </w:r>
      <w:r w:rsidR="009C4B53" w:rsidRPr="000370FF">
        <w:rPr>
          <w:rFonts w:ascii="Aptos" w:eastAsia="Times New Roman" w:hAnsi="Aptos" w:cs="Times New Roman"/>
          <w:sz w:val="25"/>
          <w:szCs w:val="25"/>
        </w:rPr>
        <w:t xml:space="preserve">setting </w:t>
      </w:r>
      <w:r w:rsidRPr="000370FF">
        <w:rPr>
          <w:rFonts w:ascii="Aptos" w:eastAsia="Times New Roman" w:hAnsi="Aptos" w:cs="Times New Roman"/>
          <w:sz w:val="25"/>
          <w:szCs w:val="25"/>
        </w:rPr>
        <w:t xml:space="preserve">in accordance with </w:t>
      </w:r>
      <w:proofErr w:type="gramStart"/>
      <w:r w:rsidRPr="000370FF">
        <w:rPr>
          <w:rFonts w:ascii="Aptos" w:eastAsia="Times New Roman" w:hAnsi="Aptos" w:cs="Times New Roman"/>
          <w:sz w:val="25"/>
          <w:szCs w:val="25"/>
        </w:rPr>
        <w:t>his</w:t>
      </w:r>
      <w:proofErr w:type="gramEnd"/>
      <w:r w:rsidRPr="000370FF">
        <w:rPr>
          <w:rFonts w:ascii="Aptos" w:eastAsia="Times New Roman" w:hAnsi="Aptos" w:cs="Times New Roman"/>
          <w:sz w:val="25"/>
          <w:szCs w:val="25"/>
        </w:rPr>
        <w:t xml:space="preserve"> </w:t>
      </w:r>
      <w:r w:rsidR="009D29EE" w:rsidRPr="000370FF">
        <w:rPr>
          <w:rFonts w:ascii="Aptos" w:eastAsia="Times New Roman" w:hAnsi="Aptos" w:cs="Times New Roman"/>
          <w:sz w:val="25"/>
          <w:szCs w:val="25"/>
        </w:rPr>
        <w:t xml:space="preserve">accepted </w:t>
      </w:r>
      <w:r w:rsidRPr="000370FF">
        <w:rPr>
          <w:rFonts w:ascii="Aptos" w:eastAsia="Times New Roman" w:hAnsi="Aptos" w:cs="Times New Roman"/>
          <w:sz w:val="25"/>
          <w:szCs w:val="25"/>
        </w:rPr>
        <w:t>IEP</w:t>
      </w:r>
      <w:r w:rsidR="009D29EE" w:rsidRPr="000370FF">
        <w:rPr>
          <w:rFonts w:ascii="Aptos" w:eastAsia="Times New Roman" w:hAnsi="Aptos" w:cs="Times New Roman"/>
          <w:sz w:val="25"/>
          <w:szCs w:val="25"/>
        </w:rPr>
        <w:t>s</w:t>
      </w:r>
      <w:r w:rsidRPr="000370FF">
        <w:rPr>
          <w:rFonts w:ascii="Aptos" w:eastAsia="Times New Roman" w:hAnsi="Aptos" w:cs="Times New Roman"/>
          <w:sz w:val="25"/>
          <w:szCs w:val="25"/>
        </w:rPr>
        <w:t xml:space="preserve">.  </w:t>
      </w:r>
      <w:r w:rsidR="009C4B53" w:rsidRPr="000370FF">
        <w:rPr>
          <w:rFonts w:ascii="Aptos" w:eastAsia="Times New Roman" w:hAnsi="Aptos" w:cs="Times New Roman"/>
          <w:sz w:val="25"/>
          <w:szCs w:val="25"/>
        </w:rPr>
        <w:t>At this juncture, o</w:t>
      </w:r>
      <w:r w:rsidRPr="000370FF">
        <w:rPr>
          <w:rFonts w:ascii="Aptos" w:eastAsia="Times New Roman" w:hAnsi="Aptos" w:cs="Times New Roman"/>
          <w:sz w:val="25"/>
          <w:szCs w:val="25"/>
        </w:rPr>
        <w:t xml:space="preserve">nly the 23-24 IEP has been provided for my review.  Student partially </w:t>
      </w:r>
      <w:r w:rsidR="00CD3DA0" w:rsidRPr="000370FF">
        <w:rPr>
          <w:rFonts w:ascii="Aptos" w:eastAsia="Times New Roman" w:hAnsi="Aptos" w:cs="Times New Roman"/>
          <w:sz w:val="25"/>
          <w:szCs w:val="25"/>
        </w:rPr>
        <w:t>rejected</w:t>
      </w:r>
      <w:r w:rsidRPr="000370FF">
        <w:rPr>
          <w:rFonts w:ascii="Aptos" w:eastAsia="Times New Roman" w:hAnsi="Aptos" w:cs="Times New Roman"/>
          <w:sz w:val="25"/>
          <w:szCs w:val="25"/>
        </w:rPr>
        <w:t xml:space="preserve"> </w:t>
      </w:r>
      <w:r w:rsidR="009C4B53" w:rsidRPr="000370FF">
        <w:rPr>
          <w:rFonts w:ascii="Aptos" w:eastAsia="Times New Roman" w:hAnsi="Aptos" w:cs="Times New Roman"/>
          <w:sz w:val="25"/>
          <w:szCs w:val="25"/>
        </w:rPr>
        <w:t>this</w:t>
      </w:r>
      <w:r w:rsidR="000F2791" w:rsidRPr="000370FF">
        <w:rPr>
          <w:rFonts w:ascii="Aptos" w:eastAsia="Times New Roman" w:hAnsi="Aptos" w:cs="Times New Roman"/>
          <w:sz w:val="25"/>
          <w:szCs w:val="25"/>
        </w:rPr>
        <w:t xml:space="preserve"> IEP </w:t>
      </w:r>
      <w:r w:rsidRPr="000370FF">
        <w:rPr>
          <w:rFonts w:ascii="Aptos" w:eastAsia="Times New Roman" w:hAnsi="Aptos" w:cs="Times New Roman"/>
          <w:sz w:val="25"/>
          <w:szCs w:val="25"/>
        </w:rPr>
        <w:t xml:space="preserve">on January 17, 2024, </w:t>
      </w:r>
      <w:r w:rsidR="009455E5" w:rsidRPr="000370FF">
        <w:rPr>
          <w:rFonts w:ascii="Aptos" w:eastAsia="Times New Roman" w:hAnsi="Aptos" w:cs="Times New Roman"/>
          <w:sz w:val="25"/>
          <w:szCs w:val="25"/>
        </w:rPr>
        <w:t xml:space="preserve">accepting </w:t>
      </w:r>
      <w:r w:rsidRPr="000370FF">
        <w:rPr>
          <w:rFonts w:ascii="Aptos" w:eastAsia="Times New Roman" w:hAnsi="Aptos" w:cs="Times New Roman"/>
          <w:sz w:val="25"/>
          <w:szCs w:val="25"/>
        </w:rPr>
        <w:t>all provisions</w:t>
      </w:r>
      <w:r w:rsidR="009455E5" w:rsidRPr="000370FF">
        <w:rPr>
          <w:rFonts w:ascii="Aptos" w:eastAsia="Times New Roman" w:hAnsi="Aptos" w:cs="Times New Roman"/>
          <w:sz w:val="25"/>
          <w:szCs w:val="25"/>
        </w:rPr>
        <w:t xml:space="preserve"> related to the</w:t>
      </w:r>
      <w:r w:rsidR="00BD6BE6" w:rsidRPr="000370FF">
        <w:rPr>
          <w:rFonts w:ascii="Aptos" w:eastAsia="Times New Roman" w:hAnsi="Aptos" w:cs="Times New Roman"/>
          <w:sz w:val="25"/>
          <w:szCs w:val="25"/>
        </w:rPr>
        <w:t xml:space="preserve"> “environment” or</w:t>
      </w:r>
      <w:r w:rsidR="009455E5" w:rsidRPr="000370FF">
        <w:rPr>
          <w:rFonts w:ascii="Aptos" w:eastAsia="Times New Roman" w:hAnsi="Aptos" w:cs="Times New Roman"/>
          <w:sz w:val="25"/>
          <w:szCs w:val="25"/>
        </w:rPr>
        <w:t xml:space="preserve"> setting </w:t>
      </w:r>
      <w:r w:rsidR="009C4B53" w:rsidRPr="000370FF">
        <w:rPr>
          <w:rFonts w:ascii="Aptos" w:eastAsia="Times New Roman" w:hAnsi="Aptos" w:cs="Times New Roman"/>
          <w:sz w:val="25"/>
          <w:szCs w:val="25"/>
        </w:rPr>
        <w:t xml:space="preserve">in which </w:t>
      </w:r>
      <w:r w:rsidR="009455E5" w:rsidRPr="000370FF">
        <w:rPr>
          <w:rFonts w:ascii="Aptos" w:eastAsia="Times New Roman" w:hAnsi="Aptos" w:cs="Times New Roman"/>
          <w:sz w:val="25"/>
          <w:szCs w:val="25"/>
        </w:rPr>
        <w:t>he would be receiving services</w:t>
      </w:r>
      <w:r w:rsidR="00CD3DA0" w:rsidRPr="000370FF">
        <w:rPr>
          <w:rFonts w:ascii="Aptos" w:eastAsia="Times New Roman" w:hAnsi="Aptos" w:cs="Times New Roman"/>
          <w:sz w:val="25"/>
          <w:szCs w:val="25"/>
        </w:rPr>
        <w:t xml:space="preserve">.  </w:t>
      </w:r>
      <w:r w:rsidR="009F5118" w:rsidRPr="000370FF">
        <w:rPr>
          <w:rFonts w:ascii="Aptos" w:eastAsia="Times New Roman" w:hAnsi="Aptos" w:cs="Times New Roman"/>
          <w:sz w:val="25"/>
          <w:szCs w:val="25"/>
        </w:rPr>
        <w:t>The setting provisions in that IEP clearly state that Student is to receive both his math and counseling services on a 1:1 basis.</w:t>
      </w:r>
      <w:r w:rsidR="0086422E" w:rsidRPr="000370FF">
        <w:rPr>
          <w:rFonts w:ascii="Aptos" w:eastAsia="Times New Roman" w:hAnsi="Aptos" w:cs="Times New Roman"/>
          <w:sz w:val="25"/>
          <w:szCs w:val="25"/>
        </w:rPr>
        <w:t xml:space="preserve">  </w:t>
      </w:r>
      <w:r w:rsidR="00E52378" w:rsidRPr="000370FF">
        <w:rPr>
          <w:rFonts w:ascii="Aptos" w:eastAsia="Times New Roman" w:hAnsi="Aptos" w:cs="Times New Roman"/>
          <w:sz w:val="25"/>
          <w:szCs w:val="25"/>
        </w:rPr>
        <w:t>Student rejected the 23-24 IEP</w:t>
      </w:r>
      <w:r w:rsidR="00014AA5" w:rsidRPr="000370FF">
        <w:rPr>
          <w:rFonts w:ascii="Aptos" w:eastAsia="Times New Roman" w:hAnsi="Aptos" w:cs="Times New Roman"/>
          <w:sz w:val="25"/>
          <w:szCs w:val="25"/>
        </w:rPr>
        <w:t>’</w:t>
      </w:r>
      <w:r w:rsidR="00E52378" w:rsidRPr="000370FF">
        <w:rPr>
          <w:rFonts w:ascii="Aptos" w:eastAsia="Times New Roman" w:hAnsi="Aptos" w:cs="Times New Roman"/>
          <w:sz w:val="25"/>
          <w:szCs w:val="25"/>
        </w:rPr>
        <w:t xml:space="preserve">s failure to provide him with additional services, and if I were to find such additional services are necessary to receive a </w:t>
      </w:r>
      <w:r w:rsidR="00BD6BE6" w:rsidRPr="000370FF">
        <w:rPr>
          <w:rFonts w:ascii="Aptos" w:eastAsia="Times New Roman" w:hAnsi="Aptos" w:cs="Times New Roman"/>
          <w:sz w:val="25"/>
          <w:szCs w:val="25"/>
        </w:rPr>
        <w:t>FAPE, it</w:t>
      </w:r>
      <w:r w:rsidR="00E52378" w:rsidRPr="000370FF">
        <w:rPr>
          <w:rFonts w:ascii="Aptos" w:eastAsia="Times New Roman" w:hAnsi="Aptos" w:cs="Times New Roman"/>
          <w:sz w:val="25"/>
          <w:szCs w:val="25"/>
        </w:rPr>
        <w:t xml:space="preserve"> is unclear what type of a setting he would need for these services.  </w:t>
      </w:r>
      <w:r w:rsidR="002F108C" w:rsidRPr="000370FF">
        <w:rPr>
          <w:rFonts w:ascii="Aptos" w:eastAsia="Times New Roman" w:hAnsi="Aptos" w:cs="Times New Roman"/>
          <w:sz w:val="25"/>
          <w:szCs w:val="25"/>
        </w:rPr>
        <w:t>Thus, v</w:t>
      </w:r>
      <w:r w:rsidR="002B2507" w:rsidRPr="000370FF">
        <w:rPr>
          <w:rFonts w:ascii="Aptos" w:eastAsia="Times New Roman" w:hAnsi="Aptos" w:cs="Times New Roman"/>
          <w:sz w:val="25"/>
          <w:szCs w:val="25"/>
        </w:rPr>
        <w:t xml:space="preserve">iewing the facts </w:t>
      </w:r>
      <w:r w:rsidR="00CD3DA0" w:rsidRPr="000370FF">
        <w:rPr>
          <w:rFonts w:ascii="Aptos" w:eastAsia="Times New Roman" w:hAnsi="Aptos" w:cs="Times New Roman"/>
          <w:sz w:val="25"/>
          <w:szCs w:val="25"/>
        </w:rPr>
        <w:t xml:space="preserve">in the light most favorable to Student, I conclude that </w:t>
      </w:r>
      <w:r w:rsidR="00CB1917" w:rsidRPr="000370FF">
        <w:rPr>
          <w:rFonts w:ascii="Aptos" w:eastAsia="Times New Roman" w:hAnsi="Aptos" w:cs="Times New Roman"/>
          <w:sz w:val="25"/>
          <w:szCs w:val="25"/>
        </w:rPr>
        <w:t>since January 17, 2024</w:t>
      </w:r>
      <w:r w:rsidR="00793490" w:rsidRPr="000370FF">
        <w:rPr>
          <w:rFonts w:ascii="Aptos" w:eastAsia="Times New Roman" w:hAnsi="Aptos" w:cs="Times New Roman"/>
          <w:sz w:val="25"/>
          <w:szCs w:val="25"/>
        </w:rPr>
        <w:t>,</w:t>
      </w:r>
      <w:r w:rsidR="00CB1917" w:rsidRPr="000370FF">
        <w:rPr>
          <w:rFonts w:ascii="Aptos" w:eastAsia="Times New Roman" w:hAnsi="Aptos" w:cs="Times New Roman"/>
          <w:sz w:val="25"/>
          <w:szCs w:val="25"/>
        </w:rPr>
        <w:t xml:space="preserve"> </w:t>
      </w:r>
      <w:r w:rsidR="002F108C" w:rsidRPr="000370FF">
        <w:rPr>
          <w:rFonts w:ascii="Aptos" w:eastAsia="Times New Roman" w:hAnsi="Aptos" w:cs="Times New Roman"/>
          <w:sz w:val="25"/>
          <w:szCs w:val="25"/>
        </w:rPr>
        <w:t xml:space="preserve">Student </w:t>
      </w:r>
      <w:r w:rsidR="00793490" w:rsidRPr="000370FF">
        <w:rPr>
          <w:rFonts w:ascii="Aptos" w:eastAsia="Times New Roman" w:hAnsi="Aptos" w:cs="Times New Roman"/>
          <w:sz w:val="25"/>
          <w:szCs w:val="25"/>
        </w:rPr>
        <w:t xml:space="preserve">has been appropriately receiving </w:t>
      </w:r>
      <w:r w:rsidR="00CD3DA0" w:rsidRPr="000370FF">
        <w:rPr>
          <w:rFonts w:ascii="Aptos" w:eastAsia="Times New Roman" w:hAnsi="Aptos" w:cs="Times New Roman"/>
          <w:sz w:val="25"/>
          <w:szCs w:val="25"/>
        </w:rPr>
        <w:t>his math and counseling services on a 1:1 basis</w:t>
      </w:r>
      <w:r w:rsidR="00793490" w:rsidRPr="000370FF">
        <w:rPr>
          <w:rFonts w:ascii="Aptos" w:eastAsia="Times New Roman" w:hAnsi="Aptos" w:cs="Times New Roman"/>
          <w:sz w:val="25"/>
          <w:szCs w:val="25"/>
        </w:rPr>
        <w:t xml:space="preserve">, and </w:t>
      </w:r>
      <w:r w:rsidR="00A13E50" w:rsidRPr="000370FF">
        <w:rPr>
          <w:rFonts w:ascii="Aptos" w:eastAsia="Times New Roman" w:hAnsi="Aptos" w:cs="Times New Roman"/>
          <w:sz w:val="25"/>
          <w:szCs w:val="25"/>
        </w:rPr>
        <w:t>therefore</w:t>
      </w:r>
      <w:r w:rsidR="00793490" w:rsidRPr="000370FF">
        <w:rPr>
          <w:rFonts w:ascii="Aptos" w:eastAsia="Times New Roman" w:hAnsi="Aptos" w:cs="Times New Roman"/>
          <w:sz w:val="25"/>
          <w:szCs w:val="25"/>
        </w:rPr>
        <w:t xml:space="preserve"> any challenge </w:t>
      </w:r>
      <w:r w:rsidR="00833829" w:rsidRPr="000370FF">
        <w:rPr>
          <w:rFonts w:ascii="Aptos" w:eastAsia="Times New Roman" w:hAnsi="Aptos" w:cs="Times New Roman"/>
          <w:sz w:val="25"/>
          <w:szCs w:val="25"/>
        </w:rPr>
        <w:t xml:space="preserve">as </w:t>
      </w:r>
      <w:r w:rsidR="00793490" w:rsidRPr="000370FF">
        <w:rPr>
          <w:rFonts w:ascii="Aptos" w:eastAsia="Times New Roman" w:hAnsi="Aptos" w:cs="Times New Roman"/>
          <w:sz w:val="25"/>
          <w:szCs w:val="25"/>
        </w:rPr>
        <w:t xml:space="preserve">to setting </w:t>
      </w:r>
      <w:proofErr w:type="gramStart"/>
      <w:r w:rsidR="00793490" w:rsidRPr="000370FF">
        <w:rPr>
          <w:rFonts w:ascii="Aptos" w:eastAsia="Times New Roman" w:hAnsi="Aptos" w:cs="Times New Roman"/>
          <w:sz w:val="25"/>
          <w:szCs w:val="25"/>
        </w:rPr>
        <w:t>with regard to</w:t>
      </w:r>
      <w:proofErr w:type="gramEnd"/>
      <w:r w:rsidR="00793490" w:rsidRPr="000370FF">
        <w:rPr>
          <w:rFonts w:ascii="Aptos" w:eastAsia="Times New Roman" w:hAnsi="Aptos" w:cs="Times New Roman"/>
          <w:sz w:val="25"/>
          <w:szCs w:val="25"/>
        </w:rPr>
        <w:t xml:space="preserve"> the provision of these special education and related services must be dismissed</w:t>
      </w:r>
      <w:r w:rsidR="00CD3DA0" w:rsidRPr="000370FF">
        <w:rPr>
          <w:rFonts w:ascii="Aptos" w:eastAsia="Times New Roman" w:hAnsi="Aptos" w:cs="Times New Roman"/>
          <w:sz w:val="25"/>
          <w:szCs w:val="25"/>
        </w:rPr>
        <w:t xml:space="preserve">.  As such, DESE’s request to dismiss Student’s LRE Claim is </w:t>
      </w:r>
      <w:r w:rsidR="00CD3DA0" w:rsidRPr="000370FF">
        <w:rPr>
          <w:rFonts w:ascii="Aptos" w:eastAsia="Times New Roman" w:hAnsi="Aptos" w:cs="Times New Roman"/>
          <w:b/>
          <w:bCs/>
          <w:sz w:val="25"/>
          <w:szCs w:val="25"/>
        </w:rPr>
        <w:t>ALLOWED in part</w:t>
      </w:r>
      <w:r w:rsidR="005F6B7A" w:rsidRPr="000370FF">
        <w:rPr>
          <w:rFonts w:ascii="Aptos" w:eastAsia="Times New Roman" w:hAnsi="Aptos" w:cs="Times New Roman"/>
          <w:sz w:val="25"/>
          <w:szCs w:val="25"/>
        </w:rPr>
        <w:t>,</w:t>
      </w:r>
      <w:r w:rsidR="00CD3DA0" w:rsidRPr="000370FF">
        <w:rPr>
          <w:rFonts w:ascii="Aptos" w:eastAsia="Times New Roman" w:hAnsi="Aptos" w:cs="Times New Roman"/>
          <w:b/>
          <w:bCs/>
          <w:i/>
          <w:iCs/>
          <w:sz w:val="25"/>
          <w:szCs w:val="25"/>
        </w:rPr>
        <w:t xml:space="preserve"> </w:t>
      </w:r>
      <w:r w:rsidR="00CD3DA0" w:rsidRPr="000370FF">
        <w:rPr>
          <w:rFonts w:ascii="Aptos" w:eastAsia="Times New Roman" w:hAnsi="Aptos" w:cs="Times New Roman"/>
          <w:sz w:val="25"/>
          <w:szCs w:val="25"/>
        </w:rPr>
        <w:t xml:space="preserve">specifically </w:t>
      </w:r>
      <w:r w:rsidR="00977F93" w:rsidRPr="000370FF">
        <w:rPr>
          <w:rFonts w:ascii="Aptos" w:eastAsia="Times New Roman" w:hAnsi="Aptos" w:cs="Times New Roman"/>
          <w:sz w:val="25"/>
          <w:szCs w:val="25"/>
        </w:rPr>
        <w:t xml:space="preserve">as </w:t>
      </w:r>
      <w:r w:rsidR="00CD3DA0" w:rsidRPr="000370FF">
        <w:rPr>
          <w:rFonts w:ascii="Aptos" w:eastAsia="Times New Roman" w:hAnsi="Aptos" w:cs="Times New Roman"/>
          <w:sz w:val="25"/>
          <w:szCs w:val="25"/>
        </w:rPr>
        <w:t xml:space="preserve">to </w:t>
      </w:r>
      <w:r w:rsidR="005F6B7A" w:rsidRPr="000370FF">
        <w:rPr>
          <w:rFonts w:ascii="Aptos" w:eastAsia="Times New Roman" w:hAnsi="Aptos" w:cs="Times New Roman"/>
          <w:sz w:val="25"/>
          <w:szCs w:val="25"/>
        </w:rPr>
        <w:t xml:space="preserve">provision </w:t>
      </w:r>
      <w:r w:rsidR="00CD3DA0" w:rsidRPr="000370FF">
        <w:rPr>
          <w:rFonts w:ascii="Aptos" w:eastAsia="Times New Roman" w:hAnsi="Aptos" w:cs="Times New Roman"/>
          <w:sz w:val="25"/>
          <w:szCs w:val="25"/>
        </w:rPr>
        <w:t xml:space="preserve">of math and counseling special education services from </w:t>
      </w:r>
      <w:r w:rsidR="005F6B7A" w:rsidRPr="000370FF">
        <w:rPr>
          <w:rFonts w:ascii="Aptos" w:eastAsia="Times New Roman" w:hAnsi="Aptos" w:cs="Times New Roman"/>
          <w:sz w:val="25"/>
          <w:szCs w:val="25"/>
        </w:rPr>
        <w:t xml:space="preserve">and </w:t>
      </w:r>
      <w:r w:rsidR="00CD3DA0" w:rsidRPr="000370FF">
        <w:rPr>
          <w:rFonts w:ascii="Aptos" w:eastAsia="Times New Roman" w:hAnsi="Aptos" w:cs="Times New Roman"/>
          <w:sz w:val="25"/>
          <w:szCs w:val="25"/>
        </w:rPr>
        <w:t xml:space="preserve">after January 17, 2024, but </w:t>
      </w:r>
      <w:r w:rsidR="00CD3DA0" w:rsidRPr="000370FF">
        <w:rPr>
          <w:rFonts w:ascii="Aptos" w:eastAsia="Times New Roman" w:hAnsi="Aptos" w:cs="Times New Roman"/>
          <w:b/>
          <w:bCs/>
          <w:sz w:val="25"/>
          <w:szCs w:val="25"/>
        </w:rPr>
        <w:t>DENIED in part</w:t>
      </w:r>
      <w:r w:rsidR="00CD3DA0" w:rsidRPr="000370FF">
        <w:rPr>
          <w:rFonts w:ascii="Aptos" w:eastAsia="Times New Roman" w:hAnsi="Aptos" w:cs="Times New Roman"/>
          <w:sz w:val="25"/>
          <w:szCs w:val="25"/>
        </w:rPr>
        <w:t xml:space="preserve">, </w:t>
      </w:r>
      <w:r w:rsidR="00977F93" w:rsidRPr="000370FF">
        <w:rPr>
          <w:rFonts w:ascii="Aptos" w:eastAsia="Times New Roman" w:hAnsi="Aptos" w:cs="Times New Roman"/>
          <w:sz w:val="25"/>
          <w:szCs w:val="25"/>
        </w:rPr>
        <w:t xml:space="preserve">as </w:t>
      </w:r>
      <w:r w:rsidR="00CD3DA0" w:rsidRPr="000370FF">
        <w:rPr>
          <w:rFonts w:ascii="Aptos" w:eastAsia="Times New Roman" w:hAnsi="Aptos" w:cs="Times New Roman"/>
          <w:sz w:val="25"/>
          <w:szCs w:val="25"/>
        </w:rPr>
        <w:t xml:space="preserve">to </w:t>
      </w:r>
      <w:r w:rsidR="00977F93" w:rsidRPr="000370FF">
        <w:rPr>
          <w:rFonts w:ascii="Aptos" w:eastAsia="Times New Roman" w:hAnsi="Aptos" w:cs="Times New Roman"/>
          <w:sz w:val="25"/>
          <w:szCs w:val="25"/>
        </w:rPr>
        <w:t>(a) any other educational services Student may have been entitled to receive after January 17, 2024; and (b) the 1:1 setting between January 4, 2023, and January 17, 2024</w:t>
      </w:r>
      <w:r w:rsidR="007747AE" w:rsidRPr="000370FF">
        <w:rPr>
          <w:rStyle w:val="FootnoteReference"/>
          <w:rFonts w:ascii="Aptos" w:eastAsia="Times New Roman" w:hAnsi="Aptos" w:cs="Times New Roman"/>
          <w:sz w:val="25"/>
          <w:szCs w:val="25"/>
        </w:rPr>
        <w:footnoteReference w:id="54"/>
      </w:r>
      <w:r w:rsidR="00977F93" w:rsidRPr="000370FF">
        <w:rPr>
          <w:rFonts w:ascii="Aptos" w:eastAsia="Times New Roman" w:hAnsi="Aptos" w:cs="Times New Roman"/>
          <w:sz w:val="25"/>
          <w:szCs w:val="25"/>
        </w:rPr>
        <w:t xml:space="preserve">.  </w:t>
      </w:r>
      <w:r w:rsidR="00CD3DA0" w:rsidRPr="000370FF">
        <w:rPr>
          <w:rFonts w:ascii="Aptos" w:eastAsia="Times New Roman" w:hAnsi="Aptos" w:cs="Times New Roman"/>
          <w:sz w:val="25"/>
          <w:szCs w:val="25"/>
        </w:rPr>
        <w:t xml:space="preserve">    </w:t>
      </w:r>
    </w:p>
    <w:p w14:paraId="7E898D4C" w14:textId="77777777" w:rsidR="00DA78B3" w:rsidRPr="000370FF" w:rsidRDefault="00DA78B3" w:rsidP="00DA78B3">
      <w:pPr>
        <w:shd w:val="clear" w:color="auto" w:fill="FFFFFF"/>
        <w:rPr>
          <w:rFonts w:ascii="Aptos" w:eastAsia="Times New Roman" w:hAnsi="Aptos" w:cs="Times New Roman"/>
          <w:sz w:val="25"/>
          <w:szCs w:val="25"/>
        </w:rPr>
      </w:pPr>
    </w:p>
    <w:p w14:paraId="7DFE9A8F" w14:textId="77777777" w:rsidR="00DA78B3" w:rsidRPr="000370FF" w:rsidRDefault="00DA78B3" w:rsidP="00DA78B3">
      <w:pPr>
        <w:pStyle w:val="ListParagraph"/>
        <w:numPr>
          <w:ilvl w:val="0"/>
          <w:numId w:val="6"/>
        </w:numPr>
        <w:shd w:val="clear" w:color="auto" w:fill="FFFFFF"/>
        <w:ind w:left="720"/>
        <w:rPr>
          <w:rFonts w:ascii="Aptos" w:eastAsia="Times New Roman" w:hAnsi="Aptos" w:cs="Times New Roman"/>
          <w:sz w:val="25"/>
          <w:szCs w:val="25"/>
        </w:rPr>
      </w:pPr>
      <w:r w:rsidRPr="000370FF">
        <w:rPr>
          <w:rFonts w:ascii="Aptos" w:eastAsia="Times New Roman" w:hAnsi="Aptos" w:cs="Times New Roman"/>
          <w:sz w:val="25"/>
          <w:szCs w:val="25"/>
          <w:u w:val="single"/>
        </w:rPr>
        <w:t>Systemic Claims</w:t>
      </w:r>
    </w:p>
    <w:p w14:paraId="2B7C6D31" w14:textId="77777777" w:rsidR="00DA78B3" w:rsidRPr="000370FF" w:rsidRDefault="00DA78B3" w:rsidP="00DA78B3">
      <w:pPr>
        <w:pStyle w:val="ListParagraph"/>
        <w:shd w:val="clear" w:color="auto" w:fill="FFFFFF"/>
        <w:rPr>
          <w:rFonts w:ascii="Aptos" w:eastAsia="Times New Roman" w:hAnsi="Aptos" w:cs="Times New Roman"/>
          <w:sz w:val="25"/>
          <w:szCs w:val="25"/>
        </w:rPr>
      </w:pPr>
      <w:r w:rsidRPr="000370FF">
        <w:rPr>
          <w:rFonts w:ascii="Aptos" w:eastAsia="Times New Roman" w:hAnsi="Aptos" w:cs="Times New Roman"/>
          <w:i/>
          <w:iCs/>
          <w:sz w:val="25"/>
          <w:szCs w:val="25"/>
        </w:rPr>
        <w:t xml:space="preserve"> </w:t>
      </w:r>
    </w:p>
    <w:p w14:paraId="5D8A76F2" w14:textId="77777777" w:rsidR="00633A5D" w:rsidRPr="000370FF" w:rsidRDefault="00A91F64" w:rsidP="00DA78B3">
      <w:pPr>
        <w:shd w:val="clear" w:color="auto" w:fill="FFFFFF"/>
        <w:rPr>
          <w:rFonts w:ascii="Aptos" w:hAnsi="Aptos" w:cs="Times New Roman"/>
          <w:sz w:val="25"/>
          <w:szCs w:val="25"/>
        </w:rPr>
      </w:pPr>
      <w:r w:rsidRPr="000370FF">
        <w:rPr>
          <w:rFonts w:ascii="Aptos" w:hAnsi="Aptos" w:cs="Times New Roman"/>
          <w:sz w:val="25"/>
          <w:szCs w:val="25"/>
        </w:rPr>
        <w:t xml:space="preserve">Student contends that </w:t>
      </w:r>
      <w:proofErr w:type="gramStart"/>
      <w:r w:rsidR="00A97B37" w:rsidRPr="000370FF">
        <w:rPr>
          <w:rFonts w:ascii="Aptos" w:hAnsi="Aptos" w:cs="Times New Roman"/>
          <w:sz w:val="25"/>
          <w:szCs w:val="25"/>
        </w:rPr>
        <w:t>in order for</w:t>
      </w:r>
      <w:proofErr w:type="gramEnd"/>
      <w:r w:rsidR="00A97B37" w:rsidRPr="000370FF">
        <w:rPr>
          <w:rFonts w:ascii="Aptos" w:hAnsi="Aptos" w:cs="Times New Roman"/>
          <w:sz w:val="25"/>
          <w:szCs w:val="25"/>
        </w:rPr>
        <w:t xml:space="preserve"> </w:t>
      </w:r>
      <w:r w:rsidR="00A07132" w:rsidRPr="000370FF">
        <w:rPr>
          <w:rFonts w:ascii="Aptos" w:hAnsi="Aptos" w:cs="Times New Roman"/>
          <w:sz w:val="25"/>
          <w:szCs w:val="25"/>
        </w:rPr>
        <w:t>the BSEA’s authority over class actions</w:t>
      </w:r>
      <w:r w:rsidR="00A97B37" w:rsidRPr="000370FF">
        <w:rPr>
          <w:rFonts w:ascii="Aptos" w:hAnsi="Aptos" w:cs="Times New Roman"/>
          <w:sz w:val="25"/>
          <w:szCs w:val="25"/>
        </w:rPr>
        <w:t xml:space="preserve"> to be prohibited, it</w:t>
      </w:r>
      <w:r w:rsidR="00A07132" w:rsidRPr="000370FF">
        <w:rPr>
          <w:rFonts w:ascii="Aptos" w:hAnsi="Aptos" w:cs="Times New Roman"/>
          <w:sz w:val="25"/>
          <w:szCs w:val="25"/>
        </w:rPr>
        <w:t xml:space="preserve"> must be explicitly excluded</w:t>
      </w:r>
      <w:r w:rsidR="00292D07" w:rsidRPr="000370FF">
        <w:rPr>
          <w:rFonts w:ascii="Aptos" w:hAnsi="Aptos" w:cs="Times New Roman"/>
          <w:sz w:val="25"/>
          <w:szCs w:val="25"/>
        </w:rPr>
        <w:t xml:space="preserve">.  He also argues </w:t>
      </w:r>
      <w:r w:rsidR="00A07132" w:rsidRPr="000370FF">
        <w:rPr>
          <w:rFonts w:ascii="Aptos" w:hAnsi="Aptos" w:cs="Times New Roman"/>
          <w:sz w:val="25"/>
          <w:szCs w:val="25"/>
        </w:rPr>
        <w:t xml:space="preserve">that </w:t>
      </w:r>
      <w:r w:rsidR="00A97B37" w:rsidRPr="000370FF">
        <w:rPr>
          <w:rFonts w:ascii="Aptos" w:hAnsi="Aptos" w:cs="Times New Roman"/>
          <w:sz w:val="25"/>
          <w:szCs w:val="25"/>
        </w:rPr>
        <w:t xml:space="preserve">as </w:t>
      </w:r>
      <w:r w:rsidR="00A07132" w:rsidRPr="000370FF">
        <w:rPr>
          <w:rFonts w:ascii="Aptos" w:hAnsi="Aptos" w:cs="Times New Roman"/>
          <w:sz w:val="25"/>
          <w:szCs w:val="25"/>
        </w:rPr>
        <w:t>prior BSEA decisions</w:t>
      </w:r>
      <w:r w:rsidR="00A97B37" w:rsidRPr="000370FF">
        <w:rPr>
          <w:rFonts w:ascii="Aptos" w:hAnsi="Aptos" w:cs="Times New Roman"/>
          <w:sz w:val="25"/>
          <w:szCs w:val="25"/>
        </w:rPr>
        <w:t xml:space="preserve"> are not precedential and hence not </w:t>
      </w:r>
      <w:r w:rsidR="00A07132" w:rsidRPr="000370FF">
        <w:rPr>
          <w:rFonts w:ascii="Aptos" w:hAnsi="Aptos" w:cs="Times New Roman"/>
          <w:sz w:val="25"/>
          <w:szCs w:val="25"/>
        </w:rPr>
        <w:t xml:space="preserve">binding from hearing officer to hearing officer, </w:t>
      </w:r>
      <w:r w:rsidR="007B2656" w:rsidRPr="000370FF">
        <w:rPr>
          <w:rFonts w:ascii="Aptos" w:hAnsi="Aptos" w:cs="Times New Roman"/>
          <w:sz w:val="25"/>
          <w:szCs w:val="25"/>
        </w:rPr>
        <w:t xml:space="preserve">the existence of the same is not a basis for </w:t>
      </w:r>
      <w:r w:rsidR="00A07132" w:rsidRPr="000370FF">
        <w:rPr>
          <w:rFonts w:ascii="Aptos" w:hAnsi="Aptos" w:cs="Times New Roman"/>
          <w:sz w:val="25"/>
          <w:szCs w:val="25"/>
        </w:rPr>
        <w:t xml:space="preserve">dismissal </w:t>
      </w:r>
      <w:r w:rsidRPr="000370FF">
        <w:rPr>
          <w:rFonts w:ascii="Aptos" w:hAnsi="Aptos" w:cs="Times New Roman"/>
          <w:sz w:val="25"/>
          <w:szCs w:val="25"/>
        </w:rPr>
        <w:t>of the systemic claims</w:t>
      </w:r>
      <w:r w:rsidR="00A07132" w:rsidRPr="000370FF">
        <w:rPr>
          <w:rFonts w:ascii="Aptos" w:hAnsi="Aptos" w:cs="Times New Roman"/>
          <w:sz w:val="25"/>
          <w:szCs w:val="25"/>
        </w:rPr>
        <w:t xml:space="preserve">.  </w:t>
      </w:r>
      <w:r w:rsidR="00DC6F69" w:rsidRPr="000370FF">
        <w:rPr>
          <w:rFonts w:ascii="Aptos" w:hAnsi="Aptos" w:cs="Times New Roman"/>
          <w:sz w:val="25"/>
          <w:szCs w:val="25"/>
        </w:rPr>
        <w:t xml:space="preserve">Finally, Student submits </w:t>
      </w:r>
      <w:r w:rsidR="00EF6558" w:rsidRPr="000370FF">
        <w:rPr>
          <w:rFonts w:ascii="Aptos" w:hAnsi="Aptos" w:cs="Times New Roman"/>
          <w:sz w:val="25"/>
          <w:szCs w:val="25"/>
        </w:rPr>
        <w:t xml:space="preserve">that </w:t>
      </w:r>
      <w:r w:rsidR="003D7807" w:rsidRPr="000370FF">
        <w:rPr>
          <w:rFonts w:ascii="Aptos" w:hAnsi="Aptos" w:cs="Times New Roman"/>
          <w:sz w:val="25"/>
          <w:szCs w:val="25"/>
        </w:rPr>
        <w:t xml:space="preserve">given the recognized </w:t>
      </w:r>
      <w:r w:rsidR="00EF6558" w:rsidRPr="000370FF">
        <w:rPr>
          <w:rFonts w:ascii="Aptos" w:hAnsi="Aptos" w:cs="Times New Roman"/>
          <w:sz w:val="25"/>
          <w:szCs w:val="25"/>
        </w:rPr>
        <w:t xml:space="preserve">expertise </w:t>
      </w:r>
      <w:r w:rsidR="003D7807" w:rsidRPr="000370FF">
        <w:rPr>
          <w:rFonts w:ascii="Aptos" w:hAnsi="Aptos" w:cs="Times New Roman"/>
          <w:sz w:val="25"/>
          <w:szCs w:val="25"/>
        </w:rPr>
        <w:t xml:space="preserve">of the BSEA </w:t>
      </w:r>
      <w:r w:rsidR="00EF6558" w:rsidRPr="000370FF">
        <w:rPr>
          <w:rFonts w:ascii="Aptos" w:hAnsi="Aptos" w:cs="Times New Roman"/>
          <w:sz w:val="25"/>
          <w:szCs w:val="25"/>
        </w:rPr>
        <w:t>to adjudicate special education matters</w:t>
      </w:r>
      <w:r w:rsidR="00A61FF6" w:rsidRPr="000370FF">
        <w:rPr>
          <w:rFonts w:ascii="Aptos" w:hAnsi="Aptos" w:cs="Times New Roman"/>
          <w:sz w:val="25"/>
          <w:szCs w:val="25"/>
        </w:rPr>
        <w:t xml:space="preserve">, it should be able to review challenges to the “system in place and related policies”.   </w:t>
      </w:r>
    </w:p>
    <w:p w14:paraId="7AD65046" w14:textId="77777777" w:rsidR="00633A5D" w:rsidRPr="000370FF" w:rsidRDefault="00633A5D" w:rsidP="00DA78B3">
      <w:pPr>
        <w:shd w:val="clear" w:color="auto" w:fill="FFFFFF"/>
        <w:rPr>
          <w:rFonts w:ascii="Aptos" w:hAnsi="Aptos" w:cs="Times New Roman"/>
          <w:sz w:val="25"/>
          <w:szCs w:val="25"/>
        </w:rPr>
      </w:pPr>
    </w:p>
    <w:p w14:paraId="777D3A80" w14:textId="03DBBFD5" w:rsidR="00D177C0" w:rsidRPr="000370FF" w:rsidRDefault="006B06E8" w:rsidP="00DA78B3">
      <w:pPr>
        <w:shd w:val="clear" w:color="auto" w:fill="FFFFFF"/>
        <w:rPr>
          <w:rFonts w:ascii="Aptos" w:hAnsi="Aptos" w:cs="Times New Roman"/>
          <w:sz w:val="25"/>
          <w:szCs w:val="25"/>
        </w:rPr>
      </w:pPr>
      <w:r w:rsidRPr="000370FF">
        <w:rPr>
          <w:rFonts w:ascii="Aptos" w:hAnsi="Aptos" w:cs="Times New Roman"/>
          <w:sz w:val="25"/>
          <w:szCs w:val="25"/>
        </w:rPr>
        <w:t xml:space="preserve">While I agree </w:t>
      </w:r>
      <w:r w:rsidR="00633A5D" w:rsidRPr="000370FF">
        <w:rPr>
          <w:rFonts w:ascii="Aptos" w:hAnsi="Aptos" w:cs="Times New Roman"/>
          <w:sz w:val="25"/>
          <w:szCs w:val="25"/>
        </w:rPr>
        <w:t xml:space="preserve">that </w:t>
      </w:r>
      <w:r w:rsidRPr="000370FF">
        <w:rPr>
          <w:rFonts w:ascii="Aptos" w:hAnsi="Aptos" w:cs="Times New Roman"/>
          <w:sz w:val="25"/>
          <w:szCs w:val="25"/>
        </w:rPr>
        <w:t xml:space="preserve">decisions </w:t>
      </w:r>
      <w:r w:rsidR="00034D51" w:rsidRPr="000370FF">
        <w:rPr>
          <w:rFonts w:ascii="Aptos" w:hAnsi="Aptos" w:cs="Times New Roman"/>
          <w:sz w:val="25"/>
          <w:szCs w:val="25"/>
        </w:rPr>
        <w:t xml:space="preserve">of other hearing officers are not binding on me, </w:t>
      </w:r>
      <w:r w:rsidR="00A07132" w:rsidRPr="000370FF">
        <w:rPr>
          <w:rFonts w:ascii="Aptos" w:hAnsi="Aptos" w:cs="Times New Roman"/>
          <w:sz w:val="25"/>
          <w:szCs w:val="25"/>
        </w:rPr>
        <w:t xml:space="preserve">Student </w:t>
      </w:r>
      <w:r w:rsidR="00292D07" w:rsidRPr="000370FF">
        <w:rPr>
          <w:rFonts w:ascii="Aptos" w:hAnsi="Aptos" w:cs="Times New Roman"/>
          <w:sz w:val="25"/>
          <w:szCs w:val="25"/>
        </w:rPr>
        <w:t>cites</w:t>
      </w:r>
      <w:r w:rsidR="00A07132" w:rsidRPr="000370FF">
        <w:rPr>
          <w:rFonts w:ascii="Aptos" w:hAnsi="Aptos" w:cs="Times New Roman"/>
          <w:sz w:val="25"/>
          <w:szCs w:val="25"/>
        </w:rPr>
        <w:t xml:space="preserve"> </w:t>
      </w:r>
      <w:r w:rsidRPr="000370FF">
        <w:rPr>
          <w:rFonts w:ascii="Aptos" w:hAnsi="Aptos" w:cs="Times New Roman"/>
          <w:sz w:val="25"/>
          <w:szCs w:val="25"/>
        </w:rPr>
        <w:t xml:space="preserve">to </w:t>
      </w:r>
      <w:r w:rsidR="00A07132" w:rsidRPr="000370FF">
        <w:rPr>
          <w:rFonts w:ascii="Aptos" w:hAnsi="Aptos" w:cs="Times New Roman"/>
          <w:sz w:val="25"/>
          <w:szCs w:val="25"/>
        </w:rPr>
        <w:t xml:space="preserve">no legal authority to support </w:t>
      </w:r>
      <w:r w:rsidR="00AF03C4" w:rsidRPr="000370FF">
        <w:rPr>
          <w:rFonts w:ascii="Aptos" w:hAnsi="Aptos" w:cs="Times New Roman"/>
          <w:sz w:val="25"/>
          <w:szCs w:val="25"/>
        </w:rPr>
        <w:t xml:space="preserve">his </w:t>
      </w:r>
      <w:r w:rsidR="00A07132" w:rsidRPr="000370FF">
        <w:rPr>
          <w:rFonts w:ascii="Aptos" w:hAnsi="Aptos" w:cs="Times New Roman"/>
          <w:sz w:val="25"/>
          <w:szCs w:val="25"/>
        </w:rPr>
        <w:t>contention</w:t>
      </w:r>
      <w:r w:rsidR="00633A5D" w:rsidRPr="000370FF">
        <w:rPr>
          <w:rFonts w:ascii="Aptos" w:hAnsi="Aptos" w:cs="Times New Roman"/>
          <w:sz w:val="25"/>
          <w:szCs w:val="25"/>
        </w:rPr>
        <w:t xml:space="preserve"> regarding </w:t>
      </w:r>
      <w:r w:rsidR="00E57282" w:rsidRPr="000370FF">
        <w:rPr>
          <w:rFonts w:ascii="Aptos" w:hAnsi="Aptos" w:cs="Times New Roman"/>
          <w:sz w:val="25"/>
          <w:szCs w:val="25"/>
        </w:rPr>
        <w:t xml:space="preserve">the requirement to explicitly exclude </w:t>
      </w:r>
      <w:r w:rsidR="00633A5D" w:rsidRPr="000370FF">
        <w:rPr>
          <w:rFonts w:ascii="Aptos" w:hAnsi="Aptos" w:cs="Times New Roman"/>
          <w:sz w:val="25"/>
          <w:szCs w:val="25"/>
        </w:rPr>
        <w:t>BSEA authority over systemic claim</w:t>
      </w:r>
      <w:r w:rsidR="00AF03C4" w:rsidRPr="000370FF">
        <w:rPr>
          <w:rFonts w:ascii="Aptos" w:hAnsi="Aptos" w:cs="Times New Roman"/>
          <w:sz w:val="25"/>
          <w:szCs w:val="25"/>
        </w:rPr>
        <w:t>s</w:t>
      </w:r>
      <w:r w:rsidR="004A2B6D" w:rsidRPr="000370FF">
        <w:rPr>
          <w:rStyle w:val="FootnoteReference"/>
          <w:rFonts w:ascii="Aptos" w:hAnsi="Aptos" w:cs="Times New Roman"/>
          <w:sz w:val="25"/>
          <w:szCs w:val="25"/>
        </w:rPr>
        <w:footnoteReference w:id="55"/>
      </w:r>
      <w:r w:rsidR="007A3594" w:rsidRPr="000370FF">
        <w:rPr>
          <w:rFonts w:ascii="Aptos" w:hAnsi="Aptos" w:cs="Times New Roman"/>
          <w:sz w:val="25"/>
          <w:szCs w:val="25"/>
        </w:rPr>
        <w:t>.  Further</w:t>
      </w:r>
      <w:r w:rsidR="007D521A" w:rsidRPr="000370FF">
        <w:rPr>
          <w:rFonts w:ascii="Aptos" w:hAnsi="Aptos" w:cs="Times New Roman"/>
          <w:sz w:val="25"/>
          <w:szCs w:val="25"/>
        </w:rPr>
        <w:t xml:space="preserve"> </w:t>
      </w:r>
      <w:r w:rsidR="009650F3" w:rsidRPr="000370FF">
        <w:rPr>
          <w:rFonts w:ascii="Aptos" w:hAnsi="Aptos" w:cs="Times New Roman"/>
          <w:sz w:val="25"/>
          <w:szCs w:val="25"/>
        </w:rPr>
        <w:t xml:space="preserve">his arguments </w:t>
      </w:r>
      <w:r w:rsidR="006D07A7" w:rsidRPr="000370FF">
        <w:rPr>
          <w:rFonts w:ascii="Aptos" w:hAnsi="Aptos" w:cs="Times New Roman"/>
          <w:sz w:val="25"/>
          <w:szCs w:val="25"/>
        </w:rPr>
        <w:t xml:space="preserve">fail to consider that the </w:t>
      </w:r>
      <w:r w:rsidR="007D521A" w:rsidRPr="000370FF">
        <w:rPr>
          <w:rFonts w:ascii="Aptos" w:hAnsi="Aptos" w:cs="Times New Roman"/>
          <w:sz w:val="25"/>
          <w:szCs w:val="25"/>
        </w:rPr>
        <w:t xml:space="preserve">BSEA </w:t>
      </w:r>
      <w:r w:rsidR="006D07A7" w:rsidRPr="000370FF">
        <w:rPr>
          <w:rFonts w:ascii="Aptos" w:hAnsi="Aptos" w:cs="Times New Roman"/>
          <w:sz w:val="25"/>
          <w:szCs w:val="25"/>
        </w:rPr>
        <w:t xml:space="preserve">is </w:t>
      </w:r>
      <w:r w:rsidR="007D521A" w:rsidRPr="000370FF">
        <w:rPr>
          <w:rFonts w:ascii="Aptos" w:hAnsi="Aptos" w:cs="Times New Roman"/>
          <w:sz w:val="25"/>
          <w:szCs w:val="25"/>
        </w:rPr>
        <w:t>an agency of limited jurisdiction</w:t>
      </w:r>
      <w:r w:rsidR="002B0934" w:rsidRPr="000370FF">
        <w:rPr>
          <w:rFonts w:ascii="Aptos" w:hAnsi="Aptos" w:cs="Times New Roman"/>
          <w:sz w:val="25"/>
          <w:szCs w:val="25"/>
        </w:rPr>
        <w:t xml:space="preserve">.  As such, rather than having its jurisdiction expressly excluded by law, </w:t>
      </w:r>
      <w:r w:rsidR="00707C4F" w:rsidRPr="000370FF">
        <w:rPr>
          <w:rFonts w:ascii="Aptos" w:hAnsi="Aptos" w:cs="Times New Roman"/>
          <w:sz w:val="25"/>
          <w:szCs w:val="25"/>
        </w:rPr>
        <w:t>the BSEA’s</w:t>
      </w:r>
      <w:r w:rsidR="002B0934" w:rsidRPr="000370FF">
        <w:rPr>
          <w:rFonts w:ascii="Aptos" w:hAnsi="Aptos" w:cs="Times New Roman"/>
          <w:sz w:val="25"/>
          <w:szCs w:val="25"/>
        </w:rPr>
        <w:t xml:space="preserve"> jurisdiction must be explicitly provided for by statute.  </w:t>
      </w:r>
      <w:r w:rsidR="00E710DB" w:rsidRPr="000370FF">
        <w:rPr>
          <w:rFonts w:ascii="Aptos" w:hAnsi="Aptos" w:cs="Times New Roman"/>
          <w:sz w:val="25"/>
          <w:szCs w:val="25"/>
        </w:rPr>
        <w:t xml:space="preserve">As the </w:t>
      </w:r>
      <w:r w:rsidR="00A07132" w:rsidRPr="000370FF">
        <w:rPr>
          <w:rFonts w:ascii="Aptos" w:hAnsi="Aptos" w:cs="Times New Roman"/>
          <w:sz w:val="25"/>
          <w:szCs w:val="25"/>
        </w:rPr>
        <w:t>BSEA’s enabling legislation specifically references “the child” in the singular rather than plural</w:t>
      </w:r>
      <w:r w:rsidR="00995DFA" w:rsidRPr="000370FF">
        <w:rPr>
          <w:rStyle w:val="FootnoteReference"/>
          <w:rFonts w:ascii="Aptos" w:hAnsi="Aptos" w:cs="Times New Roman"/>
          <w:sz w:val="25"/>
          <w:szCs w:val="25"/>
        </w:rPr>
        <w:footnoteReference w:id="56"/>
      </w:r>
      <w:r w:rsidR="00A07132" w:rsidRPr="000370FF">
        <w:rPr>
          <w:rFonts w:ascii="Aptos" w:hAnsi="Aptos" w:cs="Times New Roman"/>
          <w:sz w:val="25"/>
          <w:szCs w:val="25"/>
        </w:rPr>
        <w:t xml:space="preserve">, </w:t>
      </w:r>
      <w:r w:rsidR="002B45AF" w:rsidRPr="000370FF">
        <w:rPr>
          <w:rFonts w:ascii="Aptos" w:hAnsi="Aptos" w:cs="Times New Roman"/>
          <w:sz w:val="25"/>
          <w:szCs w:val="25"/>
        </w:rPr>
        <w:t>it is clear from this statute that the BSEA is only able to consider cases</w:t>
      </w:r>
      <w:r w:rsidR="00A23EFC" w:rsidRPr="000370FF">
        <w:rPr>
          <w:rFonts w:ascii="Aptos" w:hAnsi="Aptos" w:cs="Times New Roman"/>
          <w:sz w:val="25"/>
          <w:szCs w:val="25"/>
        </w:rPr>
        <w:t xml:space="preserve"> and claims</w:t>
      </w:r>
      <w:r w:rsidR="002B45AF" w:rsidRPr="000370FF">
        <w:rPr>
          <w:rFonts w:ascii="Aptos" w:hAnsi="Aptos" w:cs="Times New Roman"/>
          <w:sz w:val="25"/>
          <w:szCs w:val="25"/>
        </w:rPr>
        <w:t xml:space="preserve"> on an individual </w:t>
      </w:r>
      <w:r w:rsidR="00A23EFC" w:rsidRPr="000370FF">
        <w:rPr>
          <w:rFonts w:ascii="Aptos" w:hAnsi="Aptos" w:cs="Times New Roman"/>
          <w:sz w:val="25"/>
          <w:szCs w:val="25"/>
        </w:rPr>
        <w:t xml:space="preserve">student-specific </w:t>
      </w:r>
      <w:r w:rsidR="002B45AF" w:rsidRPr="000370FF">
        <w:rPr>
          <w:rFonts w:ascii="Aptos" w:hAnsi="Aptos" w:cs="Times New Roman"/>
          <w:sz w:val="25"/>
          <w:szCs w:val="25"/>
        </w:rPr>
        <w:t xml:space="preserve">basis, rather than </w:t>
      </w:r>
      <w:r w:rsidR="00A23EFC" w:rsidRPr="000370FF">
        <w:rPr>
          <w:rFonts w:ascii="Aptos" w:hAnsi="Aptos" w:cs="Times New Roman"/>
          <w:sz w:val="25"/>
          <w:szCs w:val="25"/>
        </w:rPr>
        <w:t xml:space="preserve">cases or claims made </w:t>
      </w:r>
      <w:r w:rsidR="002B45AF" w:rsidRPr="000370FF">
        <w:rPr>
          <w:rFonts w:ascii="Aptos" w:hAnsi="Aptos" w:cs="Times New Roman"/>
          <w:sz w:val="25"/>
          <w:szCs w:val="25"/>
        </w:rPr>
        <w:t>on behalf of a group of students</w:t>
      </w:r>
      <w:r w:rsidR="00A07132" w:rsidRPr="000370FF">
        <w:rPr>
          <w:rFonts w:ascii="Aptos" w:hAnsi="Aptos" w:cs="Times New Roman"/>
          <w:sz w:val="25"/>
          <w:szCs w:val="25"/>
        </w:rPr>
        <w:t xml:space="preserve">.  </w:t>
      </w:r>
    </w:p>
    <w:p w14:paraId="47B72C60" w14:textId="77777777" w:rsidR="00D177C0" w:rsidRPr="000370FF" w:rsidRDefault="00D177C0" w:rsidP="00DA78B3">
      <w:pPr>
        <w:shd w:val="clear" w:color="auto" w:fill="FFFFFF"/>
        <w:rPr>
          <w:rFonts w:ascii="Aptos" w:hAnsi="Aptos" w:cs="Times New Roman"/>
          <w:sz w:val="25"/>
          <w:szCs w:val="25"/>
        </w:rPr>
      </w:pPr>
    </w:p>
    <w:p w14:paraId="3D5DC324" w14:textId="1A3A4008" w:rsidR="000069AD" w:rsidRPr="000370FF" w:rsidRDefault="00A07132" w:rsidP="00DA78B3">
      <w:pPr>
        <w:shd w:val="clear" w:color="auto" w:fill="FFFFFF"/>
        <w:rPr>
          <w:rFonts w:ascii="Aptos" w:hAnsi="Aptos" w:cs="Times New Roman"/>
          <w:sz w:val="25"/>
          <w:szCs w:val="25"/>
        </w:rPr>
      </w:pPr>
      <w:r w:rsidRPr="000370FF">
        <w:rPr>
          <w:rFonts w:ascii="Aptos" w:hAnsi="Aptos" w:cs="Times New Roman"/>
          <w:sz w:val="25"/>
          <w:szCs w:val="25"/>
        </w:rPr>
        <w:t xml:space="preserve">Further, I agree </w:t>
      </w:r>
      <w:r w:rsidR="00BB2D75" w:rsidRPr="000370FF">
        <w:rPr>
          <w:rFonts w:ascii="Aptos" w:hAnsi="Aptos" w:cs="Times New Roman"/>
          <w:sz w:val="25"/>
          <w:szCs w:val="25"/>
        </w:rPr>
        <w:t xml:space="preserve">with the </w:t>
      </w:r>
      <w:r w:rsidRPr="000370FF">
        <w:rPr>
          <w:rFonts w:ascii="Aptos" w:hAnsi="Aptos" w:cs="Times New Roman"/>
          <w:sz w:val="25"/>
          <w:szCs w:val="25"/>
        </w:rPr>
        <w:t xml:space="preserve">decisions </w:t>
      </w:r>
      <w:r w:rsidR="00BB2D75" w:rsidRPr="000370FF">
        <w:rPr>
          <w:rFonts w:ascii="Aptos" w:hAnsi="Aptos" w:cs="Times New Roman"/>
          <w:sz w:val="25"/>
          <w:szCs w:val="25"/>
        </w:rPr>
        <w:t xml:space="preserve">of prior hearing officers </w:t>
      </w:r>
      <w:r w:rsidR="00C219D4" w:rsidRPr="000370FF">
        <w:rPr>
          <w:rFonts w:ascii="Aptos" w:hAnsi="Aptos" w:cs="Times New Roman"/>
          <w:sz w:val="25"/>
          <w:szCs w:val="25"/>
        </w:rPr>
        <w:t xml:space="preserve">concluding the </w:t>
      </w:r>
      <w:r w:rsidR="00BB2D75" w:rsidRPr="000370FF">
        <w:rPr>
          <w:rFonts w:ascii="Aptos" w:hAnsi="Aptos" w:cs="Times New Roman"/>
          <w:sz w:val="25"/>
          <w:szCs w:val="25"/>
        </w:rPr>
        <w:t>BSEA lack</w:t>
      </w:r>
      <w:r w:rsidR="00C219D4" w:rsidRPr="000370FF">
        <w:rPr>
          <w:rFonts w:ascii="Aptos" w:hAnsi="Aptos" w:cs="Times New Roman"/>
          <w:sz w:val="25"/>
          <w:szCs w:val="25"/>
        </w:rPr>
        <w:t>s</w:t>
      </w:r>
      <w:r w:rsidR="00BB2D75" w:rsidRPr="000370FF">
        <w:rPr>
          <w:rFonts w:ascii="Aptos" w:hAnsi="Aptos" w:cs="Times New Roman"/>
          <w:sz w:val="25"/>
          <w:szCs w:val="25"/>
        </w:rPr>
        <w:t xml:space="preserve"> jurisdiction over systemic or class claims, and </w:t>
      </w:r>
      <w:r w:rsidRPr="000370FF">
        <w:rPr>
          <w:rFonts w:ascii="Aptos" w:hAnsi="Aptos" w:cs="Times New Roman"/>
          <w:sz w:val="25"/>
          <w:szCs w:val="25"/>
        </w:rPr>
        <w:t>I find their reasoning to be both sound and appropriate</w:t>
      </w:r>
      <w:r w:rsidR="007D57BD" w:rsidRPr="000370FF">
        <w:rPr>
          <w:rStyle w:val="FootnoteReference"/>
          <w:rFonts w:ascii="Aptos" w:hAnsi="Aptos" w:cs="Times New Roman"/>
          <w:sz w:val="25"/>
          <w:szCs w:val="25"/>
        </w:rPr>
        <w:footnoteReference w:id="57"/>
      </w:r>
      <w:r w:rsidRPr="000370FF">
        <w:rPr>
          <w:rFonts w:ascii="Aptos" w:hAnsi="Aptos" w:cs="Times New Roman"/>
          <w:sz w:val="25"/>
          <w:szCs w:val="25"/>
        </w:rPr>
        <w:t xml:space="preserve">.  </w:t>
      </w:r>
      <w:r w:rsidR="000069AD" w:rsidRPr="000370FF">
        <w:rPr>
          <w:rFonts w:ascii="Aptos" w:hAnsi="Aptos" w:cs="Times New Roman"/>
          <w:sz w:val="25"/>
          <w:szCs w:val="25"/>
        </w:rPr>
        <w:t xml:space="preserve"> As Hearing Officer Oliver</w:t>
      </w:r>
      <w:r w:rsidR="0099457C" w:rsidRPr="000370FF">
        <w:rPr>
          <w:rFonts w:ascii="Aptos" w:hAnsi="Aptos" w:cs="Times New Roman"/>
          <w:sz w:val="25"/>
          <w:szCs w:val="25"/>
        </w:rPr>
        <w:t xml:space="preserve"> aptly</w:t>
      </w:r>
      <w:r w:rsidR="000069AD" w:rsidRPr="000370FF">
        <w:rPr>
          <w:rFonts w:ascii="Aptos" w:hAnsi="Aptos" w:cs="Times New Roman"/>
          <w:sz w:val="25"/>
          <w:szCs w:val="25"/>
        </w:rPr>
        <w:t xml:space="preserve"> explained:</w:t>
      </w:r>
    </w:p>
    <w:p w14:paraId="57B645C5" w14:textId="77777777" w:rsidR="00550F8F" w:rsidRPr="000370FF" w:rsidRDefault="00550F8F" w:rsidP="00DA78B3">
      <w:pPr>
        <w:shd w:val="clear" w:color="auto" w:fill="FFFFFF"/>
        <w:rPr>
          <w:rFonts w:ascii="Aptos" w:hAnsi="Aptos" w:cs="Times New Roman"/>
          <w:sz w:val="25"/>
          <w:szCs w:val="25"/>
        </w:rPr>
      </w:pPr>
    </w:p>
    <w:p w14:paraId="2EE4ED9A" w14:textId="6CF4A6F6" w:rsidR="00550F8F" w:rsidRPr="000370FF" w:rsidRDefault="00550F8F" w:rsidP="0099457C">
      <w:pPr>
        <w:ind w:left="720" w:right="720"/>
        <w:rPr>
          <w:rFonts w:ascii="Aptos" w:hAnsi="Aptos"/>
          <w:sz w:val="25"/>
          <w:szCs w:val="25"/>
        </w:rPr>
      </w:pPr>
      <w:r w:rsidRPr="000370FF">
        <w:rPr>
          <w:rFonts w:ascii="Aptos" w:hAnsi="Aptos" w:cs="Times New Roman"/>
          <w:sz w:val="25"/>
          <w:szCs w:val="25"/>
        </w:rPr>
        <w:t xml:space="preserve">“The BSEA is not a[n agency] of general jurisdiction….  </w:t>
      </w:r>
      <w:r w:rsidRPr="000370FF">
        <w:rPr>
          <w:rFonts w:ascii="Aptos" w:hAnsi="Aptos"/>
          <w:sz w:val="25"/>
          <w:szCs w:val="25"/>
        </w:rPr>
        <w:t>Throughout M.G.L. c. 71 B, 20 U.S.C Section 1400 et seq., 29 U.S.C. Section 794 and the regulations promulgated pursuant to these statutes, the repeated references are to </w:t>
      </w:r>
      <w:r w:rsidRPr="000370FF">
        <w:rPr>
          <w:rFonts w:ascii="Aptos" w:hAnsi="Aptos"/>
          <w:i/>
          <w:iCs/>
          <w:sz w:val="25"/>
          <w:szCs w:val="25"/>
        </w:rPr>
        <w:t>a child</w:t>
      </w:r>
      <w:r w:rsidRPr="000370FF">
        <w:rPr>
          <w:rFonts w:ascii="Aptos" w:hAnsi="Aptos"/>
          <w:sz w:val="25"/>
          <w:szCs w:val="25"/>
        </w:rPr>
        <w:t> with a disability, </w:t>
      </w:r>
      <w:r w:rsidRPr="000370FF">
        <w:rPr>
          <w:rFonts w:ascii="Aptos" w:hAnsi="Aptos"/>
          <w:i/>
          <w:iCs/>
          <w:sz w:val="25"/>
          <w:szCs w:val="25"/>
        </w:rPr>
        <w:t>the child</w:t>
      </w:r>
      <w:r w:rsidRPr="000370FF">
        <w:rPr>
          <w:rFonts w:ascii="Aptos" w:hAnsi="Aptos"/>
          <w:sz w:val="25"/>
          <w:szCs w:val="25"/>
        </w:rPr>
        <w:t>, </w:t>
      </w:r>
      <w:r w:rsidRPr="000370FF">
        <w:rPr>
          <w:rFonts w:ascii="Aptos" w:hAnsi="Aptos"/>
          <w:i/>
          <w:iCs/>
          <w:sz w:val="25"/>
          <w:szCs w:val="25"/>
        </w:rPr>
        <w:t>the student</w:t>
      </w:r>
      <w:r w:rsidRPr="000370FF">
        <w:rPr>
          <w:rFonts w:ascii="Aptos" w:hAnsi="Aptos"/>
          <w:sz w:val="25"/>
          <w:szCs w:val="25"/>
        </w:rPr>
        <w:t xml:space="preserve">, all in the singular, individual form. </w:t>
      </w:r>
      <w:r w:rsidR="00127BE2" w:rsidRPr="000370FF">
        <w:rPr>
          <w:rFonts w:ascii="Aptos" w:hAnsi="Aptos"/>
          <w:sz w:val="25"/>
          <w:szCs w:val="25"/>
        </w:rPr>
        <w:t xml:space="preserve"> </w:t>
      </w:r>
      <w:r w:rsidRPr="000370FF">
        <w:rPr>
          <w:rFonts w:ascii="Aptos" w:hAnsi="Aptos"/>
          <w:sz w:val="25"/>
          <w:szCs w:val="25"/>
        </w:rPr>
        <w:t xml:space="preserve">The BSEA's jurisdiction is, therefore, limited to resolving disputes and providing relief for individual students. </w:t>
      </w:r>
      <w:r w:rsidR="00127BE2" w:rsidRPr="000370FF">
        <w:rPr>
          <w:rFonts w:ascii="Aptos" w:hAnsi="Aptos"/>
          <w:sz w:val="25"/>
          <w:szCs w:val="25"/>
        </w:rPr>
        <w:t xml:space="preserve"> </w:t>
      </w:r>
      <w:r w:rsidRPr="000370FF">
        <w:rPr>
          <w:rFonts w:ascii="Aptos" w:hAnsi="Aptos"/>
          <w:sz w:val="25"/>
          <w:szCs w:val="25"/>
        </w:rPr>
        <w:t>Further, the BSEA </w:t>
      </w:r>
      <w:r w:rsidRPr="000370FF">
        <w:rPr>
          <w:rFonts w:ascii="Aptos" w:hAnsi="Aptos"/>
          <w:i/>
          <w:iCs/>
          <w:sz w:val="25"/>
          <w:szCs w:val="25"/>
        </w:rPr>
        <w:t>Hearing Rules for Special Education Appeals</w:t>
      </w:r>
      <w:r w:rsidRPr="000370FF">
        <w:rPr>
          <w:rFonts w:ascii="Aptos" w:hAnsi="Aptos"/>
          <w:sz w:val="25"/>
          <w:szCs w:val="25"/>
        </w:rPr>
        <w:t>, make no provision for class actions.</w:t>
      </w:r>
    </w:p>
    <w:p w14:paraId="13E6E65D" w14:textId="77777777" w:rsidR="00550F8F" w:rsidRPr="000370FF" w:rsidRDefault="00550F8F" w:rsidP="0099457C">
      <w:pPr>
        <w:ind w:left="720" w:right="720"/>
        <w:rPr>
          <w:rFonts w:ascii="Aptos" w:hAnsi="Aptos"/>
          <w:sz w:val="25"/>
          <w:szCs w:val="25"/>
        </w:rPr>
      </w:pPr>
    </w:p>
    <w:p w14:paraId="1F7BE61E" w14:textId="362C398A" w:rsidR="00550F8F" w:rsidRPr="00550F8F" w:rsidRDefault="00550F8F" w:rsidP="0099457C">
      <w:pPr>
        <w:shd w:val="clear" w:color="auto" w:fill="FFFFFF"/>
        <w:ind w:left="720" w:right="720"/>
        <w:rPr>
          <w:rFonts w:ascii="Aptos" w:hAnsi="Aptos" w:cs="Times New Roman"/>
          <w:sz w:val="25"/>
          <w:szCs w:val="25"/>
        </w:rPr>
      </w:pPr>
      <w:r w:rsidRPr="00550F8F">
        <w:rPr>
          <w:rFonts w:ascii="Aptos" w:hAnsi="Aptos" w:cs="Times New Roman"/>
          <w:sz w:val="25"/>
          <w:szCs w:val="25"/>
        </w:rPr>
        <w:t xml:space="preserve">Given the above statutory and regulatory scheme, the charge of the BSEA Hearing Officer is to determine the individual student's specific special education needs, and to determine </w:t>
      </w:r>
      <w:proofErr w:type="gramStart"/>
      <w:r w:rsidRPr="00550F8F">
        <w:rPr>
          <w:rFonts w:ascii="Aptos" w:hAnsi="Aptos" w:cs="Times New Roman"/>
          <w:sz w:val="25"/>
          <w:szCs w:val="25"/>
        </w:rPr>
        <w:t>whether or not</w:t>
      </w:r>
      <w:proofErr w:type="gramEnd"/>
      <w:r w:rsidRPr="00550F8F">
        <w:rPr>
          <w:rFonts w:ascii="Aptos" w:hAnsi="Aptos" w:cs="Times New Roman"/>
          <w:sz w:val="25"/>
          <w:szCs w:val="25"/>
        </w:rPr>
        <w:t xml:space="preserve"> the school district can </w:t>
      </w:r>
      <w:r w:rsidRPr="00550F8F">
        <w:rPr>
          <w:rFonts w:ascii="Aptos" w:hAnsi="Aptos" w:cs="Times New Roman"/>
          <w:sz w:val="25"/>
          <w:szCs w:val="25"/>
        </w:rPr>
        <w:lastRenderedPageBreak/>
        <w:t xml:space="preserve">appropriately address those individual needs. </w:t>
      </w:r>
      <w:r w:rsidR="00127BE2" w:rsidRPr="000370FF">
        <w:rPr>
          <w:rFonts w:ascii="Aptos" w:hAnsi="Aptos" w:cs="Times New Roman"/>
          <w:sz w:val="25"/>
          <w:szCs w:val="25"/>
        </w:rPr>
        <w:t xml:space="preserve"> </w:t>
      </w:r>
      <w:r w:rsidRPr="00550F8F">
        <w:rPr>
          <w:rFonts w:ascii="Aptos" w:hAnsi="Aptos" w:cs="Times New Roman"/>
          <w:sz w:val="25"/>
          <w:szCs w:val="25"/>
        </w:rPr>
        <w:t xml:space="preserve">Unlike the federal courts (see Rule 23 of the Federal Rules of Civil Procedure), the BSEA has no has no statute, regulation, or rule providing for class action claims. </w:t>
      </w:r>
      <w:r w:rsidR="00127BE2" w:rsidRPr="000370FF">
        <w:rPr>
          <w:rFonts w:ascii="Aptos" w:hAnsi="Aptos" w:cs="Times New Roman"/>
          <w:sz w:val="25"/>
          <w:szCs w:val="25"/>
        </w:rPr>
        <w:t xml:space="preserve"> </w:t>
      </w:r>
      <w:r w:rsidRPr="00550F8F">
        <w:rPr>
          <w:rFonts w:ascii="Aptos" w:hAnsi="Aptos" w:cs="Times New Roman"/>
          <w:sz w:val="25"/>
          <w:szCs w:val="25"/>
        </w:rPr>
        <w:t>The BSEA has never engaged in class-wide fact finding and does not have the experience, expertise, or institutional capacity to provide administrative fact finding on class action claims which could be of assistance to the federal court in any potential, subsequent class action litigation</w:t>
      </w:r>
      <w:r w:rsidRPr="000370FF">
        <w:rPr>
          <w:rFonts w:ascii="Aptos" w:hAnsi="Aptos" w:cs="Times New Roman"/>
          <w:sz w:val="25"/>
          <w:szCs w:val="25"/>
        </w:rPr>
        <w:t>”</w:t>
      </w:r>
      <w:r w:rsidR="0099457C" w:rsidRPr="000370FF">
        <w:rPr>
          <w:rStyle w:val="FootnoteReference"/>
          <w:rFonts w:ascii="Aptos" w:hAnsi="Aptos" w:cs="Times New Roman"/>
          <w:sz w:val="25"/>
          <w:szCs w:val="25"/>
        </w:rPr>
        <w:footnoteReference w:id="58"/>
      </w:r>
      <w:r w:rsidR="0099457C" w:rsidRPr="000370FF">
        <w:rPr>
          <w:rFonts w:ascii="Aptos" w:hAnsi="Aptos" w:cs="Times New Roman"/>
          <w:sz w:val="25"/>
          <w:szCs w:val="25"/>
        </w:rPr>
        <w:t>.</w:t>
      </w:r>
    </w:p>
    <w:p w14:paraId="0B827F92" w14:textId="77777777" w:rsidR="000069AD" w:rsidRPr="000370FF" w:rsidRDefault="000069AD" w:rsidP="00DA78B3">
      <w:pPr>
        <w:shd w:val="clear" w:color="auto" w:fill="FFFFFF"/>
        <w:rPr>
          <w:rFonts w:ascii="Aptos" w:hAnsi="Aptos" w:cs="Times New Roman"/>
          <w:sz w:val="25"/>
          <w:szCs w:val="25"/>
        </w:rPr>
      </w:pPr>
    </w:p>
    <w:p w14:paraId="2C1AB5F6" w14:textId="729B65EE" w:rsidR="00770A89" w:rsidRPr="000370FF" w:rsidRDefault="00957265" w:rsidP="00DA78B3">
      <w:pPr>
        <w:shd w:val="clear" w:color="auto" w:fill="FFFFFF"/>
        <w:rPr>
          <w:rFonts w:ascii="Aptos" w:hAnsi="Aptos" w:cs="Times New Roman"/>
          <w:sz w:val="25"/>
          <w:szCs w:val="25"/>
        </w:rPr>
      </w:pPr>
      <w:r w:rsidRPr="000370FF">
        <w:rPr>
          <w:rFonts w:ascii="Aptos" w:hAnsi="Aptos" w:cs="Times New Roman"/>
          <w:sz w:val="25"/>
          <w:szCs w:val="25"/>
        </w:rPr>
        <w:t>Thus, DESE</w:t>
      </w:r>
      <w:r w:rsidR="00284C0B" w:rsidRPr="000370FF">
        <w:rPr>
          <w:rFonts w:ascii="Aptos" w:hAnsi="Aptos" w:cs="Times New Roman"/>
          <w:sz w:val="25"/>
          <w:szCs w:val="25"/>
        </w:rPr>
        <w:t>’s</w:t>
      </w:r>
      <w:r w:rsidRPr="000370FF">
        <w:rPr>
          <w:rFonts w:ascii="Aptos" w:hAnsi="Aptos" w:cs="Times New Roman"/>
          <w:sz w:val="25"/>
          <w:szCs w:val="25"/>
        </w:rPr>
        <w:t xml:space="preserve"> and Quincy’s request to dismiss the Systemic Claims </w:t>
      </w:r>
      <w:r w:rsidR="00284C0B" w:rsidRPr="000370FF">
        <w:rPr>
          <w:rFonts w:ascii="Aptos" w:hAnsi="Aptos" w:cs="Times New Roman"/>
          <w:sz w:val="25"/>
          <w:szCs w:val="25"/>
        </w:rPr>
        <w:t xml:space="preserve">are </w:t>
      </w:r>
      <w:r w:rsidRPr="000370FF">
        <w:rPr>
          <w:rFonts w:ascii="Aptos" w:hAnsi="Aptos" w:cs="Times New Roman"/>
          <w:b/>
          <w:bCs/>
          <w:sz w:val="25"/>
          <w:szCs w:val="25"/>
        </w:rPr>
        <w:t>ALLOWED</w:t>
      </w:r>
      <w:r w:rsidR="005F36C0" w:rsidRPr="000370FF">
        <w:rPr>
          <w:rStyle w:val="FootnoteReference"/>
          <w:rFonts w:ascii="Aptos" w:hAnsi="Aptos" w:cs="Times New Roman"/>
          <w:sz w:val="25"/>
          <w:szCs w:val="25"/>
        </w:rPr>
        <w:footnoteReference w:id="59"/>
      </w:r>
      <w:r w:rsidR="005F36C0" w:rsidRPr="000370FF">
        <w:rPr>
          <w:rFonts w:ascii="Aptos" w:hAnsi="Aptos" w:cs="Times New Roman"/>
          <w:sz w:val="25"/>
          <w:szCs w:val="25"/>
        </w:rPr>
        <w:t>.</w:t>
      </w:r>
      <w:r w:rsidR="00DA306F" w:rsidRPr="000370FF">
        <w:rPr>
          <w:rFonts w:ascii="Aptos" w:hAnsi="Aptos" w:cs="Times New Roman"/>
          <w:sz w:val="25"/>
          <w:szCs w:val="25"/>
        </w:rPr>
        <w:t xml:space="preserve"> </w:t>
      </w:r>
    </w:p>
    <w:p w14:paraId="602545FE" w14:textId="77777777" w:rsidR="00DA78B3" w:rsidRPr="000370FF" w:rsidRDefault="00DA78B3" w:rsidP="00DA78B3">
      <w:pPr>
        <w:shd w:val="clear" w:color="auto" w:fill="FFFFFF"/>
        <w:jc w:val="center"/>
        <w:rPr>
          <w:rFonts w:ascii="Aptos" w:eastAsia="Times New Roman" w:hAnsi="Aptos" w:cs="Times New Roman"/>
          <w:b/>
          <w:bCs/>
          <w:sz w:val="25"/>
          <w:szCs w:val="25"/>
        </w:rPr>
      </w:pPr>
      <w:r w:rsidRPr="000370FF">
        <w:rPr>
          <w:rFonts w:ascii="Aptos" w:eastAsia="Times New Roman" w:hAnsi="Aptos" w:cs="Times New Roman"/>
          <w:b/>
          <w:bCs/>
          <w:sz w:val="25"/>
          <w:szCs w:val="25"/>
        </w:rPr>
        <w:t>ORDER</w:t>
      </w:r>
    </w:p>
    <w:p w14:paraId="10FB1364" w14:textId="77777777" w:rsidR="00DA78B3" w:rsidRPr="000370FF" w:rsidRDefault="00DA78B3" w:rsidP="00DA78B3">
      <w:pPr>
        <w:shd w:val="clear" w:color="auto" w:fill="FFFFFF"/>
        <w:jc w:val="center"/>
        <w:rPr>
          <w:rFonts w:ascii="Aptos" w:eastAsia="Times New Roman" w:hAnsi="Aptos" w:cs="Times New Roman"/>
          <w:sz w:val="25"/>
          <w:szCs w:val="25"/>
        </w:rPr>
      </w:pPr>
    </w:p>
    <w:p w14:paraId="0B23AF4F" w14:textId="5E5C9F00" w:rsidR="00DA78B3" w:rsidRPr="000370FF" w:rsidRDefault="00DA78B3" w:rsidP="00DA78B3">
      <w:pPr>
        <w:shd w:val="clear" w:color="auto" w:fill="FFFFFF"/>
        <w:rPr>
          <w:rFonts w:ascii="Aptos" w:eastAsia="Times New Roman" w:hAnsi="Aptos" w:cs="Times New Roman"/>
          <w:sz w:val="25"/>
          <w:szCs w:val="25"/>
        </w:rPr>
      </w:pPr>
      <w:r w:rsidRPr="000370FF">
        <w:rPr>
          <w:rFonts w:ascii="Aptos" w:eastAsia="Times New Roman" w:hAnsi="Aptos" w:cs="Times New Roman"/>
          <w:sz w:val="25"/>
          <w:szCs w:val="25"/>
        </w:rPr>
        <w:t xml:space="preserve">The </w:t>
      </w:r>
      <w:r w:rsidRPr="000370FF">
        <w:rPr>
          <w:rFonts w:ascii="Aptos" w:eastAsia="Times New Roman" w:hAnsi="Aptos" w:cs="Times New Roman"/>
          <w:i/>
          <w:iCs/>
          <w:sz w:val="25"/>
          <w:szCs w:val="25"/>
        </w:rPr>
        <w:t>Motions to Dismiss</w:t>
      </w:r>
      <w:r w:rsidRPr="000370FF">
        <w:rPr>
          <w:rFonts w:ascii="Aptos" w:eastAsia="Times New Roman" w:hAnsi="Aptos" w:cs="Times New Roman"/>
          <w:sz w:val="25"/>
          <w:szCs w:val="25"/>
        </w:rPr>
        <w:t xml:space="preserve"> are </w:t>
      </w:r>
      <w:r w:rsidRPr="000370FF">
        <w:rPr>
          <w:rFonts w:ascii="Aptos" w:eastAsia="Times New Roman" w:hAnsi="Aptos" w:cs="Times New Roman"/>
          <w:b/>
          <w:bCs/>
          <w:sz w:val="25"/>
          <w:szCs w:val="25"/>
        </w:rPr>
        <w:t>ALLOWED</w:t>
      </w:r>
      <w:r w:rsidRPr="000370FF">
        <w:rPr>
          <w:rFonts w:ascii="Aptos" w:eastAsia="Times New Roman" w:hAnsi="Aptos" w:cs="Times New Roman"/>
          <w:sz w:val="25"/>
          <w:szCs w:val="25"/>
        </w:rPr>
        <w:t xml:space="preserve"> </w:t>
      </w:r>
      <w:r w:rsidRPr="000370FF">
        <w:rPr>
          <w:rFonts w:ascii="Aptos" w:eastAsia="Times New Roman" w:hAnsi="Aptos" w:cs="Times New Roman"/>
          <w:b/>
          <w:bCs/>
          <w:sz w:val="25"/>
          <w:szCs w:val="25"/>
        </w:rPr>
        <w:t xml:space="preserve">in part </w:t>
      </w:r>
      <w:r w:rsidRPr="000370FF">
        <w:rPr>
          <w:rFonts w:ascii="Aptos" w:eastAsia="Times New Roman" w:hAnsi="Aptos" w:cs="Times New Roman"/>
          <w:sz w:val="25"/>
          <w:szCs w:val="25"/>
        </w:rPr>
        <w:t xml:space="preserve">and </w:t>
      </w:r>
      <w:r w:rsidRPr="000370FF">
        <w:rPr>
          <w:rFonts w:ascii="Aptos" w:eastAsia="Times New Roman" w:hAnsi="Aptos" w:cs="Times New Roman"/>
          <w:b/>
          <w:bCs/>
          <w:sz w:val="25"/>
          <w:szCs w:val="25"/>
        </w:rPr>
        <w:t>DENIED</w:t>
      </w:r>
      <w:r w:rsidRPr="000370FF">
        <w:rPr>
          <w:rFonts w:ascii="Aptos" w:eastAsia="Times New Roman" w:hAnsi="Aptos" w:cs="Times New Roman"/>
          <w:sz w:val="25"/>
          <w:szCs w:val="25"/>
        </w:rPr>
        <w:t>,</w:t>
      </w:r>
      <w:r w:rsidRPr="000370FF">
        <w:rPr>
          <w:rFonts w:ascii="Aptos" w:eastAsia="Times New Roman" w:hAnsi="Aptos" w:cs="Times New Roman"/>
          <w:b/>
          <w:bCs/>
          <w:sz w:val="25"/>
          <w:szCs w:val="25"/>
        </w:rPr>
        <w:t xml:space="preserve"> in part</w:t>
      </w:r>
      <w:r w:rsidRPr="000370FF">
        <w:rPr>
          <w:rFonts w:ascii="Aptos" w:eastAsia="Times New Roman" w:hAnsi="Aptos" w:cs="Times New Roman"/>
          <w:sz w:val="25"/>
          <w:szCs w:val="25"/>
        </w:rPr>
        <w:t xml:space="preserve">.  As such, only the following issues shall proceed to Hearing in this matter on September 9, 10 and 11, 2024 in accordance with the provisions of my April 26, </w:t>
      </w:r>
      <w:r w:rsidR="009D361F" w:rsidRPr="000370FF">
        <w:rPr>
          <w:rFonts w:ascii="Aptos" w:eastAsia="Times New Roman" w:hAnsi="Aptos" w:cs="Times New Roman"/>
          <w:sz w:val="25"/>
          <w:szCs w:val="25"/>
        </w:rPr>
        <w:t>2024,</w:t>
      </w:r>
      <w:r w:rsidRPr="000370FF">
        <w:rPr>
          <w:rFonts w:ascii="Aptos" w:eastAsia="Times New Roman" w:hAnsi="Aptos" w:cs="Times New Roman"/>
          <w:sz w:val="25"/>
          <w:szCs w:val="25"/>
        </w:rPr>
        <w:t xml:space="preserve"> </w:t>
      </w:r>
      <w:r w:rsidRPr="000370FF">
        <w:rPr>
          <w:rFonts w:ascii="Aptos" w:eastAsia="Times New Roman" w:hAnsi="Aptos" w:cs="Times New Roman"/>
          <w:i/>
          <w:iCs/>
          <w:sz w:val="25"/>
          <w:szCs w:val="25"/>
        </w:rPr>
        <w:t>Ruling</w:t>
      </w:r>
      <w:r w:rsidRPr="000370FF">
        <w:rPr>
          <w:rFonts w:ascii="Aptos" w:eastAsia="Times New Roman" w:hAnsi="Aptos" w:cs="Times New Roman"/>
          <w:sz w:val="25"/>
          <w:szCs w:val="25"/>
        </w:rPr>
        <w:t>:</w:t>
      </w:r>
    </w:p>
    <w:p w14:paraId="73092437" w14:textId="77777777" w:rsidR="00DA78B3" w:rsidRPr="000370FF" w:rsidRDefault="00DA78B3" w:rsidP="00DA78B3">
      <w:pPr>
        <w:shd w:val="clear" w:color="auto" w:fill="FFFFFF"/>
        <w:rPr>
          <w:rFonts w:ascii="Aptos" w:eastAsia="Times New Roman" w:hAnsi="Aptos" w:cs="Times New Roman"/>
          <w:sz w:val="25"/>
          <w:szCs w:val="25"/>
        </w:rPr>
      </w:pPr>
    </w:p>
    <w:p w14:paraId="40BF4CDD" w14:textId="45D0316F" w:rsidR="00DA78B3" w:rsidRPr="000370FF" w:rsidRDefault="00DA78B3" w:rsidP="00DA78B3">
      <w:pPr>
        <w:pStyle w:val="ListParagraph"/>
        <w:numPr>
          <w:ilvl w:val="0"/>
          <w:numId w:val="10"/>
        </w:numPr>
        <w:shd w:val="clear" w:color="auto" w:fill="FFFFFF"/>
        <w:rPr>
          <w:rFonts w:ascii="Aptos" w:hAnsi="Aptos" w:cs="Times New Roman"/>
          <w:sz w:val="25"/>
          <w:szCs w:val="25"/>
        </w:rPr>
      </w:pPr>
      <w:r w:rsidRPr="000370FF">
        <w:rPr>
          <w:rFonts w:ascii="Aptos" w:eastAsia="Times New Roman" w:hAnsi="Aptos" w:cs="Times New Roman"/>
          <w:sz w:val="25"/>
          <w:szCs w:val="25"/>
        </w:rPr>
        <w:t xml:space="preserve">Whether Quincy failed to </w:t>
      </w:r>
      <w:r w:rsidRPr="000370FF">
        <w:rPr>
          <w:rFonts w:ascii="Aptos" w:hAnsi="Aptos" w:cs="Times New Roman"/>
          <w:sz w:val="25"/>
          <w:szCs w:val="25"/>
        </w:rPr>
        <w:t>identify Student as a student with a disability in violation of their “child find” obligations from February 2020</w:t>
      </w:r>
      <w:r w:rsidR="009D361F" w:rsidRPr="000370FF">
        <w:rPr>
          <w:rFonts w:ascii="Aptos" w:hAnsi="Aptos" w:cs="Times New Roman"/>
          <w:sz w:val="25"/>
          <w:szCs w:val="25"/>
        </w:rPr>
        <w:t>,</w:t>
      </w:r>
      <w:r w:rsidRPr="000370FF">
        <w:rPr>
          <w:rFonts w:ascii="Aptos" w:hAnsi="Aptos" w:cs="Times New Roman"/>
          <w:sz w:val="25"/>
          <w:szCs w:val="25"/>
        </w:rPr>
        <w:t xml:space="preserve"> through January 4, 2023;</w:t>
      </w:r>
    </w:p>
    <w:p w14:paraId="05F48FEF" w14:textId="3A7C18CD" w:rsidR="00DA78B3" w:rsidRPr="000370FF" w:rsidRDefault="00DA78B3" w:rsidP="00DA78B3">
      <w:pPr>
        <w:pStyle w:val="ListParagraph"/>
        <w:numPr>
          <w:ilvl w:val="0"/>
          <w:numId w:val="10"/>
        </w:numPr>
        <w:shd w:val="clear" w:color="auto" w:fill="FFFFFF"/>
        <w:rPr>
          <w:rFonts w:ascii="Aptos" w:hAnsi="Aptos" w:cs="Times New Roman"/>
          <w:sz w:val="25"/>
          <w:szCs w:val="25"/>
        </w:rPr>
      </w:pPr>
      <w:r w:rsidRPr="000370FF">
        <w:rPr>
          <w:rFonts w:ascii="Aptos" w:eastAsia="Times New Roman" w:hAnsi="Aptos" w:cs="Times New Roman"/>
          <w:sz w:val="25"/>
          <w:szCs w:val="25"/>
        </w:rPr>
        <w:t xml:space="preserve">Whether DESE failed to </w:t>
      </w:r>
      <w:r w:rsidRPr="000370FF">
        <w:rPr>
          <w:rFonts w:ascii="Aptos" w:hAnsi="Aptos" w:cs="Times New Roman"/>
          <w:sz w:val="25"/>
          <w:szCs w:val="25"/>
        </w:rPr>
        <w:t xml:space="preserve">identify Student as a student with a disability in violation of their “child find” obligations from February 15, </w:t>
      </w:r>
      <w:r w:rsidR="009D361F" w:rsidRPr="000370FF">
        <w:rPr>
          <w:rFonts w:ascii="Aptos" w:hAnsi="Aptos" w:cs="Times New Roman"/>
          <w:sz w:val="25"/>
          <w:szCs w:val="25"/>
        </w:rPr>
        <w:t>2022,</w:t>
      </w:r>
      <w:r w:rsidRPr="000370FF">
        <w:rPr>
          <w:rFonts w:ascii="Aptos" w:hAnsi="Aptos" w:cs="Times New Roman"/>
          <w:sz w:val="25"/>
          <w:szCs w:val="25"/>
        </w:rPr>
        <w:t xml:space="preserve"> through January 4, 2023;</w:t>
      </w:r>
    </w:p>
    <w:p w14:paraId="1242688B" w14:textId="0B2CE1C0" w:rsidR="00DA78B3" w:rsidRPr="000370FF" w:rsidRDefault="00DA78B3" w:rsidP="00DA78B3">
      <w:pPr>
        <w:pStyle w:val="ListParagraph"/>
        <w:numPr>
          <w:ilvl w:val="0"/>
          <w:numId w:val="10"/>
        </w:numPr>
        <w:shd w:val="clear" w:color="auto" w:fill="FFFFFF"/>
        <w:rPr>
          <w:rFonts w:ascii="Aptos" w:hAnsi="Aptos" w:cs="Times New Roman"/>
          <w:sz w:val="25"/>
          <w:szCs w:val="25"/>
        </w:rPr>
      </w:pPr>
      <w:r w:rsidRPr="000370FF">
        <w:rPr>
          <w:rFonts w:ascii="Aptos" w:hAnsi="Aptos" w:cs="Times New Roman"/>
          <w:sz w:val="25"/>
          <w:szCs w:val="25"/>
        </w:rPr>
        <w:t xml:space="preserve">Whether </w:t>
      </w:r>
      <w:r w:rsidR="00A347B8" w:rsidRPr="000370FF">
        <w:rPr>
          <w:rFonts w:ascii="Aptos" w:hAnsi="Aptos" w:cs="Times New Roman"/>
          <w:sz w:val="25"/>
          <w:szCs w:val="25"/>
        </w:rPr>
        <w:t xml:space="preserve">DESE and </w:t>
      </w:r>
      <w:r w:rsidRPr="000370FF">
        <w:rPr>
          <w:rFonts w:ascii="Aptos" w:hAnsi="Aptos" w:cs="Times New Roman"/>
          <w:sz w:val="25"/>
          <w:szCs w:val="25"/>
        </w:rPr>
        <w:t xml:space="preserve">Quincy </w:t>
      </w:r>
      <w:r w:rsidR="006D0A16" w:rsidRPr="000370FF">
        <w:rPr>
          <w:rFonts w:ascii="Aptos" w:hAnsi="Aptos" w:cs="Times New Roman"/>
          <w:sz w:val="25"/>
          <w:szCs w:val="25"/>
        </w:rPr>
        <w:t xml:space="preserve">denied Student </w:t>
      </w:r>
      <w:r w:rsidRPr="000370FF">
        <w:rPr>
          <w:rFonts w:ascii="Aptos" w:hAnsi="Aptos" w:cs="Times New Roman"/>
          <w:sz w:val="25"/>
          <w:szCs w:val="25"/>
        </w:rPr>
        <w:t xml:space="preserve">a free, appropriate public education (“FAPE”) by proposing IEPs dated 12/12/22-12/12/23 and 12/6/23 – 12/5/24 that were not </w:t>
      </w:r>
      <w:r w:rsidR="006D0A16" w:rsidRPr="000370FF">
        <w:rPr>
          <w:rFonts w:ascii="Aptos" w:hAnsi="Aptos" w:cs="Times New Roman"/>
          <w:sz w:val="25"/>
          <w:szCs w:val="25"/>
        </w:rPr>
        <w:t xml:space="preserve">appropriately designed to provide </w:t>
      </w:r>
      <w:r w:rsidRPr="000370FF">
        <w:rPr>
          <w:rFonts w:ascii="Aptos" w:hAnsi="Aptos" w:cs="Times New Roman"/>
          <w:sz w:val="25"/>
          <w:szCs w:val="25"/>
        </w:rPr>
        <w:t>a FAPE;</w:t>
      </w:r>
    </w:p>
    <w:p w14:paraId="655B94DE" w14:textId="59D857BC" w:rsidR="00DA78B3" w:rsidRPr="000370FF" w:rsidRDefault="00DA78B3" w:rsidP="00DA78B3">
      <w:pPr>
        <w:pStyle w:val="ListParagraph"/>
        <w:numPr>
          <w:ilvl w:val="0"/>
          <w:numId w:val="10"/>
        </w:numPr>
        <w:shd w:val="clear" w:color="auto" w:fill="FFFFFF"/>
        <w:rPr>
          <w:rFonts w:ascii="Aptos" w:hAnsi="Aptos" w:cs="Times New Roman"/>
          <w:sz w:val="25"/>
          <w:szCs w:val="25"/>
        </w:rPr>
      </w:pPr>
      <w:r w:rsidRPr="000370FF">
        <w:rPr>
          <w:rFonts w:ascii="Aptos" w:hAnsi="Aptos" w:cs="Times New Roman"/>
          <w:sz w:val="25"/>
          <w:szCs w:val="25"/>
        </w:rPr>
        <w:t xml:space="preserve">Whether DESE and Quincy denied Student a FAPE by </w:t>
      </w:r>
      <w:r w:rsidR="005E44C8" w:rsidRPr="000370FF">
        <w:rPr>
          <w:rFonts w:ascii="Aptos" w:hAnsi="Aptos" w:cs="Times New Roman"/>
          <w:sz w:val="25"/>
          <w:szCs w:val="25"/>
        </w:rPr>
        <w:t xml:space="preserve">failing to provide him with a general education program that meets state standards and allows him to progress from grade to grade </w:t>
      </w:r>
      <w:r w:rsidRPr="000370FF">
        <w:rPr>
          <w:rFonts w:ascii="Aptos" w:hAnsi="Aptos" w:cs="Times New Roman"/>
          <w:sz w:val="25"/>
          <w:szCs w:val="25"/>
        </w:rPr>
        <w:t xml:space="preserve">since January 4, 2023; </w:t>
      </w:r>
    </w:p>
    <w:p w14:paraId="056B002A" w14:textId="77777777" w:rsidR="00DA78B3" w:rsidRPr="000370FF" w:rsidRDefault="00DA78B3" w:rsidP="00DA78B3">
      <w:pPr>
        <w:pStyle w:val="ListParagraph"/>
        <w:numPr>
          <w:ilvl w:val="0"/>
          <w:numId w:val="10"/>
        </w:numPr>
        <w:shd w:val="clear" w:color="auto" w:fill="FFFFFF"/>
        <w:rPr>
          <w:rFonts w:ascii="Aptos" w:hAnsi="Aptos" w:cs="Times New Roman"/>
          <w:sz w:val="25"/>
          <w:szCs w:val="25"/>
        </w:rPr>
      </w:pPr>
      <w:r w:rsidRPr="000370FF">
        <w:rPr>
          <w:rFonts w:ascii="Aptos" w:hAnsi="Aptos" w:cs="Times New Roman"/>
          <w:sz w:val="25"/>
          <w:szCs w:val="25"/>
        </w:rPr>
        <w:t>Whether Student requires additional special education services from DESE and Quincy in the areas of academic achievement and transition to receive a FAPE;</w:t>
      </w:r>
    </w:p>
    <w:p w14:paraId="74F1F3DE" w14:textId="7FFABCE7" w:rsidR="00DA78B3" w:rsidRPr="000370FF" w:rsidRDefault="00DA78B3" w:rsidP="00DA78B3">
      <w:pPr>
        <w:pStyle w:val="ListParagraph"/>
        <w:numPr>
          <w:ilvl w:val="0"/>
          <w:numId w:val="10"/>
        </w:numPr>
        <w:shd w:val="clear" w:color="auto" w:fill="FFFFFF"/>
        <w:rPr>
          <w:rFonts w:ascii="Aptos" w:hAnsi="Aptos" w:cs="Times New Roman"/>
          <w:sz w:val="25"/>
          <w:szCs w:val="25"/>
        </w:rPr>
      </w:pPr>
      <w:r w:rsidRPr="000370FF">
        <w:rPr>
          <w:rFonts w:ascii="Aptos" w:hAnsi="Aptos" w:cs="Times New Roman"/>
          <w:sz w:val="25"/>
          <w:szCs w:val="25"/>
        </w:rPr>
        <w:t xml:space="preserve">Whether DESE and Quincy failed to educate Student in the least restrictive environment (“LRE”) by </w:t>
      </w:r>
      <w:r w:rsidR="00C85A9E" w:rsidRPr="000370FF">
        <w:rPr>
          <w:rFonts w:ascii="Aptos" w:hAnsi="Aptos" w:cs="Times New Roman"/>
          <w:sz w:val="25"/>
          <w:szCs w:val="25"/>
        </w:rPr>
        <w:t xml:space="preserve">educating him in only a </w:t>
      </w:r>
      <w:r w:rsidRPr="000370FF">
        <w:rPr>
          <w:rFonts w:ascii="Aptos" w:hAnsi="Aptos" w:cs="Times New Roman"/>
          <w:sz w:val="25"/>
          <w:szCs w:val="25"/>
        </w:rPr>
        <w:t>1:1 or independent setting</w:t>
      </w:r>
      <w:r w:rsidR="00A13E50" w:rsidRPr="000370FF">
        <w:rPr>
          <w:rFonts w:ascii="Aptos" w:hAnsi="Aptos" w:cs="Times New Roman"/>
          <w:sz w:val="25"/>
          <w:szCs w:val="25"/>
        </w:rPr>
        <w:t xml:space="preserve"> since January 4, 2023, except with respect to his math and counseling services since January 17, 2024</w:t>
      </w:r>
      <w:r w:rsidRPr="000370FF">
        <w:rPr>
          <w:rFonts w:ascii="Aptos" w:hAnsi="Aptos" w:cs="Times New Roman"/>
          <w:sz w:val="25"/>
          <w:szCs w:val="25"/>
        </w:rPr>
        <w:t xml:space="preserve">; and </w:t>
      </w:r>
    </w:p>
    <w:p w14:paraId="012576BA" w14:textId="77777777" w:rsidR="00DA78B3" w:rsidRPr="000370FF" w:rsidRDefault="00DA78B3" w:rsidP="00DA78B3">
      <w:pPr>
        <w:pStyle w:val="ListParagraph"/>
        <w:numPr>
          <w:ilvl w:val="0"/>
          <w:numId w:val="10"/>
        </w:numPr>
        <w:shd w:val="clear" w:color="auto" w:fill="FFFFFF"/>
        <w:rPr>
          <w:rFonts w:ascii="Aptos" w:hAnsi="Aptos" w:cs="Times New Roman"/>
          <w:sz w:val="25"/>
          <w:szCs w:val="25"/>
        </w:rPr>
      </w:pPr>
      <w:r w:rsidRPr="000370FF">
        <w:rPr>
          <w:rFonts w:ascii="Aptos" w:hAnsi="Aptos" w:cs="Times New Roman"/>
          <w:sz w:val="25"/>
          <w:szCs w:val="25"/>
        </w:rPr>
        <w:t xml:space="preserve">What if any relief is owed to Student by DESE and Quincy.  </w:t>
      </w:r>
    </w:p>
    <w:p w14:paraId="1548606A" w14:textId="77777777" w:rsidR="00DA78B3" w:rsidRPr="000370FF" w:rsidRDefault="00DA78B3" w:rsidP="00DA78B3">
      <w:pPr>
        <w:shd w:val="clear" w:color="auto" w:fill="FFFFFF"/>
        <w:rPr>
          <w:rFonts w:ascii="Aptos" w:eastAsia="Times New Roman" w:hAnsi="Aptos" w:cs="Times New Roman"/>
          <w:sz w:val="25"/>
          <w:szCs w:val="25"/>
        </w:rPr>
      </w:pPr>
    </w:p>
    <w:p w14:paraId="4D3227D5" w14:textId="0167AB9D" w:rsidR="00DA78B3" w:rsidRPr="000370FF" w:rsidRDefault="00DA78B3" w:rsidP="00DA78B3">
      <w:pPr>
        <w:shd w:val="clear" w:color="auto" w:fill="FFFFFF"/>
        <w:rPr>
          <w:rFonts w:ascii="Aptos" w:eastAsia="Times New Roman" w:hAnsi="Aptos" w:cs="Times New Roman"/>
          <w:sz w:val="25"/>
          <w:szCs w:val="25"/>
        </w:rPr>
      </w:pPr>
      <w:r w:rsidRPr="000370FF">
        <w:rPr>
          <w:rFonts w:ascii="Aptos" w:eastAsia="Times New Roman" w:hAnsi="Aptos" w:cs="Times New Roman"/>
          <w:sz w:val="25"/>
          <w:szCs w:val="25"/>
        </w:rPr>
        <w:t xml:space="preserve">All other claims are hereby </w:t>
      </w:r>
      <w:r w:rsidRPr="000370FF">
        <w:rPr>
          <w:rFonts w:ascii="Aptos" w:eastAsia="Times New Roman" w:hAnsi="Aptos" w:cs="Times New Roman"/>
          <w:b/>
          <w:bCs/>
          <w:sz w:val="25"/>
          <w:szCs w:val="25"/>
        </w:rPr>
        <w:t>DISMISSED</w:t>
      </w:r>
      <w:r w:rsidRPr="000370FF">
        <w:rPr>
          <w:rFonts w:ascii="Aptos" w:eastAsia="Times New Roman" w:hAnsi="Aptos" w:cs="Times New Roman"/>
          <w:sz w:val="25"/>
          <w:szCs w:val="25"/>
        </w:rPr>
        <w:t xml:space="preserve">.  </w:t>
      </w:r>
    </w:p>
    <w:p w14:paraId="182EEEF2" w14:textId="77777777" w:rsidR="00DA78B3" w:rsidRPr="000370FF" w:rsidRDefault="00DA78B3" w:rsidP="00DA78B3">
      <w:pPr>
        <w:shd w:val="clear" w:color="auto" w:fill="FFFFFF"/>
        <w:rPr>
          <w:rFonts w:ascii="Aptos" w:eastAsia="Times New Roman" w:hAnsi="Aptos" w:cs="Times New Roman"/>
          <w:sz w:val="25"/>
          <w:szCs w:val="25"/>
        </w:rPr>
      </w:pPr>
    </w:p>
    <w:p w14:paraId="5B918836" w14:textId="77777777" w:rsidR="00DA78B3" w:rsidRPr="000370FF" w:rsidRDefault="00DA78B3" w:rsidP="00DA78B3">
      <w:pPr>
        <w:shd w:val="clear" w:color="auto" w:fill="FFFFFF"/>
        <w:rPr>
          <w:rFonts w:ascii="Aptos" w:eastAsia="Times New Roman" w:hAnsi="Aptos" w:cs="Times New Roman"/>
          <w:sz w:val="25"/>
          <w:szCs w:val="25"/>
        </w:rPr>
      </w:pPr>
      <w:r w:rsidRPr="000370FF">
        <w:rPr>
          <w:rFonts w:ascii="Aptos" w:eastAsia="Times New Roman" w:hAnsi="Aptos" w:cs="Times New Roman"/>
          <w:sz w:val="25"/>
          <w:szCs w:val="25"/>
        </w:rPr>
        <w:t xml:space="preserve">By the Hearing Officer, </w:t>
      </w:r>
    </w:p>
    <w:p w14:paraId="792378B3" w14:textId="77777777" w:rsidR="00DA78B3" w:rsidRPr="000370FF" w:rsidRDefault="00DA78B3" w:rsidP="00DA78B3">
      <w:pPr>
        <w:shd w:val="clear" w:color="auto" w:fill="FFFFFF"/>
        <w:rPr>
          <w:rFonts w:ascii="Aptos" w:eastAsia="Times New Roman" w:hAnsi="Aptos" w:cs="Times New Roman"/>
          <w:sz w:val="25"/>
          <w:szCs w:val="25"/>
          <w:u w:val="single"/>
        </w:rPr>
      </w:pPr>
    </w:p>
    <w:p w14:paraId="60DA593F" w14:textId="77777777" w:rsidR="00DA78B3" w:rsidRPr="000370FF" w:rsidRDefault="00DA78B3" w:rsidP="00DA78B3">
      <w:pPr>
        <w:shd w:val="clear" w:color="auto" w:fill="FFFFFF"/>
        <w:rPr>
          <w:rFonts w:ascii="Aptos" w:eastAsia="Times New Roman" w:hAnsi="Aptos" w:cs="Times New Roman"/>
          <w:sz w:val="25"/>
          <w:szCs w:val="25"/>
        </w:rPr>
      </w:pPr>
      <w:r w:rsidRPr="000370FF">
        <w:rPr>
          <w:rFonts w:ascii="Aptos" w:eastAsia="Times New Roman" w:hAnsi="Aptos" w:cs="Times New Roman"/>
          <w:sz w:val="25"/>
          <w:szCs w:val="25"/>
          <w:u w:val="single"/>
        </w:rPr>
        <w:t>/s/ Marguerite M. Mitchell</w:t>
      </w:r>
      <w:r w:rsidRPr="000370FF">
        <w:rPr>
          <w:rFonts w:ascii="Aptos" w:eastAsia="Times New Roman" w:hAnsi="Aptos" w:cs="Times New Roman"/>
          <w:sz w:val="25"/>
          <w:szCs w:val="25"/>
          <w:u w:val="single"/>
        </w:rPr>
        <w:br/>
      </w:r>
      <w:r w:rsidRPr="000370FF">
        <w:rPr>
          <w:rFonts w:ascii="Aptos" w:eastAsia="Times New Roman" w:hAnsi="Aptos" w:cs="Times New Roman"/>
          <w:sz w:val="25"/>
          <w:szCs w:val="25"/>
        </w:rPr>
        <w:t>Marguerite M. Mitchell</w:t>
      </w:r>
    </w:p>
    <w:p w14:paraId="339EA738" w14:textId="74857C2B" w:rsidR="00DA78B3" w:rsidRDefault="00DA78B3" w:rsidP="00DA78B3">
      <w:pPr>
        <w:shd w:val="clear" w:color="auto" w:fill="FFFFFF"/>
        <w:rPr>
          <w:rFonts w:ascii="Times New Roman" w:eastAsia="Times New Roman" w:hAnsi="Times New Roman" w:cs="Times New Roman"/>
          <w:sz w:val="24"/>
          <w:szCs w:val="24"/>
        </w:rPr>
      </w:pPr>
      <w:r w:rsidRPr="000370FF">
        <w:rPr>
          <w:rFonts w:ascii="Aptos" w:eastAsia="Times New Roman" w:hAnsi="Aptos" w:cs="Times New Roman"/>
          <w:sz w:val="25"/>
          <w:szCs w:val="25"/>
        </w:rPr>
        <w:t xml:space="preserve">Date: </w:t>
      </w:r>
      <w:r w:rsidR="00DE2C02" w:rsidRPr="000370FF">
        <w:rPr>
          <w:rFonts w:ascii="Aptos" w:eastAsia="Times New Roman" w:hAnsi="Aptos" w:cs="Times New Roman"/>
          <w:sz w:val="25"/>
          <w:szCs w:val="25"/>
        </w:rPr>
        <w:t>July 10</w:t>
      </w:r>
      <w:r w:rsidRPr="000370FF">
        <w:rPr>
          <w:rFonts w:ascii="Aptos" w:eastAsia="Times New Roman" w:hAnsi="Aptos" w:cs="Times New Roman"/>
          <w:sz w:val="25"/>
          <w:szCs w:val="25"/>
        </w:rPr>
        <w:t>, 202</w:t>
      </w:r>
      <w:r w:rsidR="00DE2C02" w:rsidRPr="000370FF">
        <w:rPr>
          <w:rFonts w:ascii="Aptos" w:eastAsia="Times New Roman" w:hAnsi="Aptos" w:cs="Times New Roman"/>
          <w:sz w:val="25"/>
          <w:szCs w:val="25"/>
        </w:rPr>
        <w:t>4</w:t>
      </w:r>
      <w:r>
        <w:rPr>
          <w:rFonts w:ascii="Times New Roman" w:eastAsia="Times New Roman" w:hAnsi="Times New Roman" w:cs="Times New Roman"/>
          <w:sz w:val="24"/>
          <w:szCs w:val="24"/>
        </w:rPr>
        <w:br w:type="page"/>
      </w:r>
    </w:p>
    <w:p w14:paraId="6881E74F" w14:textId="77777777" w:rsidR="00DA78B3" w:rsidRPr="006A114C" w:rsidRDefault="00DA78B3" w:rsidP="00DA78B3">
      <w:pPr>
        <w:spacing w:line="259" w:lineRule="auto"/>
        <w:jc w:val="center"/>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lastRenderedPageBreak/>
        <w:t>COMMONWEALTH OF MASSACHUSETTS</w:t>
      </w:r>
    </w:p>
    <w:p w14:paraId="5A93A4FA" w14:textId="4FF4F1AD" w:rsidR="00DA78B3" w:rsidRPr="006A114C" w:rsidRDefault="00DA78B3" w:rsidP="006A114C">
      <w:pPr>
        <w:spacing w:line="259" w:lineRule="auto"/>
        <w:ind w:right="250"/>
        <w:jc w:val="center"/>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BUREAU OF SPECIAL EDUCATION APPEALS</w:t>
      </w:r>
    </w:p>
    <w:p w14:paraId="6D2CFE82" w14:textId="02E846CE" w:rsidR="00DA78B3" w:rsidRPr="006A114C" w:rsidRDefault="00DA78B3" w:rsidP="00DA78B3">
      <w:pPr>
        <w:tabs>
          <w:tab w:val="center" w:pos="440"/>
          <w:tab w:val="center" w:pos="4627"/>
        </w:tabs>
        <w:spacing w:after="533" w:line="259" w:lineRule="auto"/>
        <w:jc w:val="center"/>
        <w:rPr>
          <w:rFonts w:ascii="Aptos" w:eastAsia="Times New Roman" w:hAnsi="Aptos" w:cs="Times New Roman"/>
          <w:color w:val="000000"/>
          <w:sz w:val="24"/>
          <w:szCs w:val="24"/>
        </w:rPr>
      </w:pPr>
      <w:r w:rsidRPr="006A114C">
        <w:rPr>
          <w:rFonts w:ascii="Aptos" w:eastAsia="Times New Roman" w:hAnsi="Aptos" w:cs="Times New Roman"/>
          <w:color w:val="000000"/>
          <w:sz w:val="24"/>
          <w:szCs w:val="24"/>
          <w:u w:val="single" w:color="000000"/>
        </w:rPr>
        <w:t>EFFECT OF FINAL BSEA ACTIONS AND RIGHTS OF APPEAL</w:t>
      </w:r>
    </w:p>
    <w:p w14:paraId="722CAC72" w14:textId="77777777" w:rsidR="00DA78B3" w:rsidRPr="006A114C" w:rsidRDefault="00DA78B3" w:rsidP="00DA78B3">
      <w:pPr>
        <w:keepNext/>
        <w:keepLines/>
        <w:spacing w:after="261" w:line="259" w:lineRule="auto"/>
        <w:ind w:left="38"/>
        <w:outlineLvl w:val="0"/>
        <w:rPr>
          <w:rFonts w:ascii="Aptos" w:eastAsia="Times New Roman" w:hAnsi="Aptos" w:cs="Times New Roman"/>
          <w:color w:val="000000"/>
          <w:sz w:val="24"/>
          <w:szCs w:val="24"/>
          <w:u w:val="single" w:color="000000"/>
        </w:rPr>
      </w:pPr>
      <w:r w:rsidRPr="006A114C">
        <w:rPr>
          <w:rFonts w:ascii="Aptos" w:eastAsia="Times New Roman" w:hAnsi="Aptos" w:cs="Times New Roman"/>
          <w:color w:val="000000"/>
          <w:sz w:val="24"/>
          <w:szCs w:val="24"/>
          <w:u w:val="single" w:color="000000"/>
        </w:rPr>
        <w:t>Effect of BSEA Decision, Dismissal with Prejudice and Allowance of Motion for Summary Judgment</w:t>
      </w:r>
    </w:p>
    <w:p w14:paraId="36E08EEB" w14:textId="77777777" w:rsidR="00DA78B3" w:rsidRPr="006A114C" w:rsidRDefault="00DA78B3" w:rsidP="00DA78B3">
      <w:pPr>
        <w:spacing w:after="312" w:line="250" w:lineRule="auto"/>
        <w:ind w:left="43" w:firstLine="5"/>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5FD7B0CD" w14:textId="00B61000" w:rsidR="00DA78B3" w:rsidRPr="006A114C" w:rsidRDefault="00DA78B3" w:rsidP="00DA78B3">
      <w:pPr>
        <w:spacing w:after="312" w:line="250" w:lineRule="auto"/>
        <w:ind w:left="43" w:firstLine="5"/>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Accordingly</w:t>
      </w:r>
      <w:r w:rsidRPr="006A114C">
        <w:rPr>
          <w:rFonts w:ascii="Aptos" w:eastAsia="Times New Roman" w:hAnsi="Aptos" w:cs="Times New Roman"/>
          <w:strike/>
          <w:color w:val="000000"/>
          <w:sz w:val="24"/>
          <w:szCs w:val="24"/>
        </w:rPr>
        <w:t>,</w:t>
      </w:r>
      <w:r w:rsidRPr="006A114C">
        <w:rPr>
          <w:rFonts w:ascii="Aptos" w:eastAsia="Times New Roman" w:hAnsi="Aptos" w:cs="Times New Roman"/>
          <w:color w:val="000000"/>
          <w:sz w:val="24"/>
          <w:szCs w:val="24"/>
        </w:rPr>
        <w:t xml:space="preserve"> the Bureau cannot permit motions to reconsider or to re-open either a Bureau decision or the Rulings set forth above once they have </w:t>
      </w:r>
      <w:proofErr w:type="gramStart"/>
      <w:r w:rsidRPr="006A114C">
        <w:rPr>
          <w:rFonts w:ascii="Aptos" w:eastAsia="Times New Roman" w:hAnsi="Aptos" w:cs="Times New Roman"/>
          <w:color w:val="000000"/>
          <w:sz w:val="24"/>
          <w:szCs w:val="24"/>
        </w:rPr>
        <w:t>issued</w:t>
      </w:r>
      <w:proofErr w:type="gramEnd"/>
      <w:r w:rsidRPr="006A114C">
        <w:rPr>
          <w:rFonts w:ascii="Aptos" w:eastAsia="Times New Roman" w:hAnsi="Aptos" w:cs="Times New Roman"/>
          <w:color w:val="000000"/>
          <w:sz w:val="24"/>
          <w:szCs w:val="24"/>
        </w:rPr>
        <w:t>. They are final subject only to judicial (court) review.</w:t>
      </w:r>
    </w:p>
    <w:p w14:paraId="70A683BC" w14:textId="1DAF5031" w:rsidR="00DA78B3" w:rsidRPr="006A114C" w:rsidRDefault="00DA78B3" w:rsidP="00DA78B3">
      <w:pPr>
        <w:spacing w:after="292" w:line="243" w:lineRule="auto"/>
        <w:ind w:left="19" w:right="62"/>
        <w:jc w:val="both"/>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w:t>
      </w:r>
      <w:r w:rsidR="0061370C">
        <w:rPr>
          <w:rFonts w:ascii="Aptos" w:eastAsia="Times New Roman" w:hAnsi="Aptos" w:cs="Times New Roman"/>
          <w:color w:val="000000"/>
          <w:sz w:val="24"/>
          <w:szCs w:val="24"/>
        </w:rPr>
        <w:t xml:space="preserve"> </w:t>
      </w:r>
      <w:r w:rsidRPr="006A114C">
        <w:rPr>
          <w:rFonts w:ascii="Aptos" w:eastAsia="Times New Roman" w:hAnsi="Aptos" w:cs="Times New Roman"/>
          <w:color w:val="000000"/>
          <w:sz w:val="24"/>
          <w:szCs w:val="24"/>
        </w:rPr>
        <w:t>Rather, a party seeking to stay—that is, delay implementation of-- the decision of the Bureau must request and obtain such stay from the court having jurisdiction over the party’s appeal.</w:t>
      </w:r>
    </w:p>
    <w:p w14:paraId="3F18A647" w14:textId="77777777" w:rsidR="00DA78B3" w:rsidRPr="006A114C" w:rsidRDefault="00DA78B3" w:rsidP="00DA78B3">
      <w:pPr>
        <w:spacing w:after="292" w:line="243" w:lineRule="auto"/>
        <w:ind w:left="19" w:right="62"/>
        <w:jc w:val="both"/>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2FAFC9AF" w14:textId="77777777" w:rsidR="00DA78B3" w:rsidRPr="006A114C" w:rsidRDefault="00DA78B3" w:rsidP="00DA78B3">
      <w:pPr>
        <w:spacing w:after="292" w:line="243" w:lineRule="auto"/>
        <w:ind w:left="19" w:right="62"/>
        <w:jc w:val="both"/>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 xml:space="preserve">Therefore, where the Bureau has ordered the public school to place the child in a new placement, and the parents or guardian agree with that order, the public school shall immediately implement the placement ordered by the Bureau.  </w:t>
      </w:r>
      <w:r w:rsidRPr="006A114C">
        <w:rPr>
          <w:rFonts w:ascii="Aptos" w:eastAsia="Times New Roman" w:hAnsi="Aptos" w:cs="Times New Roman"/>
          <w:i/>
          <w:iCs/>
          <w:color w:val="000000"/>
          <w:sz w:val="24"/>
          <w:szCs w:val="24"/>
        </w:rPr>
        <w:t>School Committee of Burlington v. Massachusetts Department of Education</w:t>
      </w:r>
      <w:r w:rsidRPr="006A114C">
        <w:rPr>
          <w:rFonts w:ascii="Aptos" w:eastAsia="Times New Roman" w:hAnsi="Aptos" w:cs="Times New Roman"/>
          <w:color w:val="000000"/>
          <w:sz w:val="24"/>
          <w:szCs w:val="24"/>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6A114C">
        <w:rPr>
          <w:rFonts w:ascii="Aptos" w:eastAsia="Times New Roman" w:hAnsi="Aptos" w:cs="Times New Roman"/>
          <w:i/>
          <w:iCs/>
          <w:color w:val="000000"/>
          <w:sz w:val="24"/>
          <w:szCs w:val="24"/>
        </w:rPr>
        <w:t>Honig v. Doe</w:t>
      </w:r>
      <w:r w:rsidRPr="006A114C">
        <w:rPr>
          <w:rFonts w:ascii="Aptos" w:eastAsia="Times New Roman" w:hAnsi="Aptos" w:cs="Times New Roman"/>
          <w:color w:val="000000"/>
          <w:sz w:val="24"/>
          <w:szCs w:val="24"/>
        </w:rPr>
        <w:t xml:space="preserve">, 484 U.S. 305 (1988); </w:t>
      </w:r>
      <w:r w:rsidRPr="006A114C">
        <w:rPr>
          <w:rFonts w:ascii="Aptos" w:eastAsia="Times New Roman" w:hAnsi="Aptos" w:cs="Times New Roman"/>
          <w:i/>
          <w:iCs/>
          <w:color w:val="000000"/>
          <w:sz w:val="24"/>
          <w:szCs w:val="24"/>
        </w:rPr>
        <w:t>Doe v. Brookline</w:t>
      </w:r>
      <w:r w:rsidRPr="006A114C">
        <w:rPr>
          <w:rFonts w:ascii="Aptos" w:eastAsia="Times New Roman" w:hAnsi="Aptos" w:cs="Times New Roman"/>
          <w:color w:val="000000"/>
          <w:sz w:val="24"/>
          <w:szCs w:val="24"/>
        </w:rPr>
        <w:t>, 722 F.2d 910 (1</w:t>
      </w:r>
      <w:r w:rsidRPr="006A114C">
        <w:rPr>
          <w:rFonts w:ascii="Aptos" w:eastAsia="Times New Roman" w:hAnsi="Aptos" w:cs="Times New Roman"/>
          <w:color w:val="000000"/>
          <w:sz w:val="24"/>
          <w:szCs w:val="24"/>
          <w:vertAlign w:val="superscript"/>
        </w:rPr>
        <w:t>st</w:t>
      </w:r>
      <w:r w:rsidRPr="006A114C">
        <w:rPr>
          <w:rFonts w:ascii="Aptos" w:eastAsia="Times New Roman" w:hAnsi="Aptos" w:cs="Times New Roman"/>
          <w:color w:val="000000"/>
          <w:sz w:val="24"/>
          <w:szCs w:val="24"/>
        </w:rPr>
        <w:t xml:space="preserve"> Cir. 1983).</w:t>
      </w:r>
    </w:p>
    <w:p w14:paraId="05D91AE4" w14:textId="77777777" w:rsidR="00DA78B3" w:rsidRPr="006A114C" w:rsidRDefault="00DA78B3" w:rsidP="00DA78B3">
      <w:pPr>
        <w:keepNext/>
        <w:keepLines/>
        <w:spacing w:after="252" w:line="259" w:lineRule="auto"/>
        <w:ind w:left="96" w:hanging="10"/>
        <w:outlineLvl w:val="0"/>
        <w:rPr>
          <w:rFonts w:ascii="Aptos" w:eastAsia="Times New Roman" w:hAnsi="Aptos" w:cs="Times New Roman"/>
          <w:color w:val="000000"/>
          <w:sz w:val="24"/>
          <w:szCs w:val="24"/>
          <w:u w:val="single" w:color="000000"/>
        </w:rPr>
      </w:pPr>
      <w:r w:rsidRPr="006A114C">
        <w:rPr>
          <w:rFonts w:ascii="Aptos" w:eastAsia="Times New Roman" w:hAnsi="Aptos" w:cs="Times New Roman"/>
          <w:color w:val="000000"/>
          <w:sz w:val="24"/>
          <w:szCs w:val="24"/>
          <w:u w:val="single" w:color="000000"/>
        </w:rPr>
        <w:t>Compliance</w:t>
      </w:r>
    </w:p>
    <w:p w14:paraId="74E947E9" w14:textId="77777777" w:rsidR="00DA78B3" w:rsidRPr="006A114C" w:rsidRDefault="00DA78B3" w:rsidP="00DA78B3">
      <w:pPr>
        <w:spacing w:after="292" w:line="243" w:lineRule="auto"/>
        <w:ind w:left="19" w:right="172"/>
        <w:jc w:val="both"/>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 xml:space="preserve">A party contending that a Bureau of Special Education Appeals decision is not being implemented may file a motion with the Bureau of Special Education Appeals contending that </w:t>
      </w:r>
      <w:r w:rsidRPr="006A114C">
        <w:rPr>
          <w:rFonts w:ascii="Aptos" w:eastAsia="Times New Roman" w:hAnsi="Aptos" w:cs="Times New Roman"/>
          <w:color w:val="000000"/>
          <w:sz w:val="24"/>
          <w:szCs w:val="24"/>
        </w:rPr>
        <w:lastRenderedPageBreak/>
        <w:t>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3478A07E" w14:textId="77777777" w:rsidR="00DA78B3" w:rsidRPr="006A114C" w:rsidRDefault="00DA78B3" w:rsidP="00DA78B3">
      <w:pPr>
        <w:keepNext/>
        <w:keepLines/>
        <w:spacing w:after="252" w:line="259" w:lineRule="auto"/>
        <w:ind w:left="-5" w:hanging="10"/>
        <w:outlineLvl w:val="0"/>
        <w:rPr>
          <w:rFonts w:ascii="Aptos" w:eastAsia="Times New Roman" w:hAnsi="Aptos" w:cs="Times New Roman"/>
          <w:color w:val="000000"/>
          <w:sz w:val="24"/>
          <w:szCs w:val="24"/>
          <w:u w:val="single" w:color="000000"/>
        </w:rPr>
      </w:pPr>
      <w:r w:rsidRPr="006A114C">
        <w:rPr>
          <w:rFonts w:ascii="Aptos" w:eastAsia="Times New Roman" w:hAnsi="Aptos" w:cs="Times New Roman"/>
          <w:color w:val="000000"/>
          <w:sz w:val="24"/>
          <w:szCs w:val="24"/>
          <w:u w:val="single" w:color="000000"/>
        </w:rPr>
        <w:t>Rights of Appeal</w:t>
      </w:r>
    </w:p>
    <w:p w14:paraId="12B1DC84" w14:textId="77777777" w:rsidR="00DA78B3" w:rsidRPr="006A114C" w:rsidRDefault="00DA78B3" w:rsidP="00DA78B3">
      <w:pPr>
        <w:spacing w:after="292" w:line="243" w:lineRule="auto"/>
        <w:ind w:left="19" w:right="172"/>
        <w:jc w:val="both"/>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4C656628" w14:textId="77777777" w:rsidR="00DA78B3" w:rsidRDefault="00DA78B3" w:rsidP="006A114C">
      <w:pPr>
        <w:spacing w:line="243" w:lineRule="auto"/>
        <w:ind w:left="19" w:right="172"/>
        <w:jc w:val="both"/>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An appeal of a Bureau decision to state superior court or to federal district court must be filed within ninety (90) days from the date of the decision. 20 U.S.C. s. 1415(i)(2)(B).</w:t>
      </w:r>
    </w:p>
    <w:p w14:paraId="6AA19B23" w14:textId="77777777" w:rsidR="006A114C" w:rsidRPr="006A114C" w:rsidRDefault="006A114C" w:rsidP="006A114C">
      <w:pPr>
        <w:spacing w:line="243" w:lineRule="auto"/>
        <w:ind w:left="19" w:right="172"/>
        <w:jc w:val="both"/>
        <w:rPr>
          <w:rFonts w:ascii="Aptos" w:eastAsia="Times New Roman" w:hAnsi="Aptos" w:cs="Times New Roman"/>
          <w:color w:val="000000"/>
          <w:sz w:val="24"/>
          <w:szCs w:val="24"/>
        </w:rPr>
      </w:pPr>
    </w:p>
    <w:p w14:paraId="690CDAD4" w14:textId="77777777" w:rsidR="00DA78B3" w:rsidRPr="006A114C" w:rsidRDefault="00DA78B3" w:rsidP="00DA78B3">
      <w:pPr>
        <w:keepNext/>
        <w:keepLines/>
        <w:spacing w:after="252" w:line="259" w:lineRule="auto"/>
        <w:ind w:left="-5" w:hanging="10"/>
        <w:outlineLvl w:val="0"/>
        <w:rPr>
          <w:rFonts w:ascii="Aptos" w:eastAsia="Times New Roman" w:hAnsi="Aptos" w:cs="Times New Roman"/>
          <w:color w:val="000000"/>
          <w:sz w:val="24"/>
          <w:szCs w:val="24"/>
          <w:u w:val="single" w:color="000000"/>
        </w:rPr>
      </w:pPr>
      <w:r w:rsidRPr="006A114C">
        <w:rPr>
          <w:rFonts w:ascii="Aptos" w:eastAsia="Times New Roman" w:hAnsi="Aptos" w:cs="Times New Roman"/>
          <w:color w:val="000000"/>
          <w:sz w:val="24"/>
          <w:szCs w:val="24"/>
          <w:u w:val="single" w:color="000000"/>
        </w:rPr>
        <w:t>Confidentiality</w:t>
      </w:r>
    </w:p>
    <w:p w14:paraId="3C8EDD4D" w14:textId="4FE00AB3" w:rsidR="00DA78B3" w:rsidRPr="006A114C" w:rsidRDefault="00DA78B3" w:rsidP="006A114C">
      <w:pPr>
        <w:spacing w:line="243" w:lineRule="auto"/>
        <w:ind w:left="19" w:right="34"/>
        <w:jc w:val="both"/>
        <w:rPr>
          <w:rFonts w:ascii="Aptos" w:eastAsia="Times New Roman" w:hAnsi="Aptos" w:cs="Times New Roman"/>
          <w:i/>
          <w:iCs/>
          <w:color w:val="000000"/>
          <w:sz w:val="24"/>
          <w:szCs w:val="24"/>
        </w:rPr>
      </w:pPr>
      <w:proofErr w:type="gramStart"/>
      <w:r w:rsidRPr="006A114C">
        <w:rPr>
          <w:rFonts w:ascii="Aptos" w:eastAsia="Times New Roman" w:hAnsi="Aptos" w:cs="Times New Roman"/>
          <w:color w:val="000000"/>
          <w:sz w:val="24"/>
          <w:szCs w:val="24"/>
        </w:rPr>
        <w:t>In order to</w:t>
      </w:r>
      <w:proofErr w:type="gramEnd"/>
      <w:r w:rsidRPr="006A114C">
        <w:rPr>
          <w:rFonts w:ascii="Aptos" w:eastAsia="Times New Roman" w:hAnsi="Aptos" w:cs="Times New Roman"/>
          <w:color w:val="000000"/>
          <w:sz w:val="24"/>
          <w:szCs w:val="24"/>
        </w:rPr>
        <w:t xml:space="preserve">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6A114C">
        <w:rPr>
          <w:rFonts w:ascii="Aptos" w:eastAsia="Times New Roman" w:hAnsi="Aptos" w:cs="Times New Roman"/>
          <w:i/>
          <w:iCs/>
          <w:color w:val="000000"/>
          <w:sz w:val="24"/>
          <w:szCs w:val="24"/>
        </w:rPr>
        <w:t>Webster Grove</w:t>
      </w:r>
      <w:r w:rsidR="000370FF">
        <w:rPr>
          <w:rFonts w:ascii="Aptos" w:eastAsia="Times New Roman" w:hAnsi="Aptos" w:cs="Times New Roman"/>
          <w:i/>
          <w:iCs/>
          <w:color w:val="000000"/>
          <w:sz w:val="24"/>
          <w:szCs w:val="24"/>
        </w:rPr>
        <w:t xml:space="preserve"> </w:t>
      </w:r>
      <w:r w:rsidRPr="006A114C">
        <w:rPr>
          <w:rFonts w:ascii="Aptos" w:eastAsia="Times New Roman" w:hAnsi="Aptos" w:cs="Times New Roman"/>
          <w:i/>
          <w:iCs/>
          <w:color w:val="000000"/>
          <w:sz w:val="24"/>
          <w:szCs w:val="24"/>
        </w:rPr>
        <w:t>School District v. Pulitzer Publishing</w:t>
      </w:r>
      <w:r w:rsidR="006A114C">
        <w:rPr>
          <w:rFonts w:ascii="Aptos" w:eastAsia="Times New Roman" w:hAnsi="Aptos" w:cs="Times New Roman"/>
          <w:i/>
          <w:iCs/>
          <w:color w:val="000000"/>
          <w:sz w:val="24"/>
          <w:szCs w:val="24"/>
        </w:rPr>
        <w:t xml:space="preserve"> </w:t>
      </w:r>
      <w:r w:rsidRPr="006A114C">
        <w:rPr>
          <w:rFonts w:ascii="Aptos" w:eastAsia="Times New Roman" w:hAnsi="Aptos" w:cs="Times New Roman"/>
          <w:i/>
          <w:iCs/>
          <w:color w:val="000000"/>
          <w:sz w:val="24"/>
          <w:szCs w:val="24"/>
        </w:rPr>
        <w:t>Company</w:t>
      </w:r>
      <w:r w:rsidRPr="006A114C">
        <w:rPr>
          <w:rFonts w:ascii="Aptos" w:eastAsia="Times New Roman" w:hAnsi="Aptos" w:cs="Times New Roman"/>
          <w:color w:val="000000"/>
          <w:sz w:val="24"/>
          <w:szCs w:val="24"/>
        </w:rPr>
        <w:t>, 898 F.2d 1371 (8th. Cir. 1990). If the appealing party does not seek to impound the documents, the Bureau of Special Education Appeals, through the Attorney General's Office, may move to impound the documents.</w:t>
      </w:r>
    </w:p>
    <w:p w14:paraId="541A4D65" w14:textId="77777777" w:rsidR="006A114C" w:rsidRDefault="006A114C" w:rsidP="006A114C">
      <w:pPr>
        <w:spacing w:line="259" w:lineRule="auto"/>
        <w:ind w:left="62"/>
        <w:rPr>
          <w:rFonts w:ascii="Aptos" w:eastAsia="Times New Roman" w:hAnsi="Aptos" w:cs="Times New Roman"/>
          <w:color w:val="000000"/>
          <w:sz w:val="24"/>
          <w:szCs w:val="24"/>
          <w:u w:val="single"/>
        </w:rPr>
      </w:pPr>
    </w:p>
    <w:p w14:paraId="4FCCB43B" w14:textId="2BA42B35" w:rsidR="00DA78B3" w:rsidRDefault="00DA78B3" w:rsidP="006A114C">
      <w:pPr>
        <w:spacing w:line="259" w:lineRule="auto"/>
        <w:rPr>
          <w:rFonts w:ascii="Aptos" w:eastAsia="Times New Roman" w:hAnsi="Aptos" w:cs="Times New Roman"/>
          <w:color w:val="000000"/>
          <w:sz w:val="24"/>
          <w:szCs w:val="24"/>
          <w:u w:val="single"/>
        </w:rPr>
      </w:pPr>
      <w:r w:rsidRPr="006A114C">
        <w:rPr>
          <w:rFonts w:ascii="Aptos" w:eastAsia="Times New Roman" w:hAnsi="Aptos" w:cs="Times New Roman"/>
          <w:color w:val="000000"/>
          <w:sz w:val="24"/>
          <w:szCs w:val="24"/>
          <w:u w:val="single"/>
        </w:rPr>
        <w:t>Record of the Hearing</w:t>
      </w:r>
    </w:p>
    <w:p w14:paraId="29E50409" w14:textId="77777777" w:rsidR="006A114C" w:rsidRPr="006A114C" w:rsidRDefault="006A114C" w:rsidP="006A114C">
      <w:pPr>
        <w:spacing w:line="259" w:lineRule="auto"/>
        <w:rPr>
          <w:rFonts w:ascii="Aptos" w:eastAsia="Times New Roman" w:hAnsi="Aptos" w:cs="Times New Roman"/>
          <w:color w:val="000000"/>
          <w:sz w:val="24"/>
          <w:szCs w:val="24"/>
          <w:u w:val="single"/>
        </w:rPr>
      </w:pPr>
    </w:p>
    <w:p w14:paraId="7B2B0C6E" w14:textId="77777777" w:rsidR="00DA78B3" w:rsidRPr="006A114C" w:rsidRDefault="00DA78B3" w:rsidP="00DA78B3">
      <w:pPr>
        <w:spacing w:after="292" w:line="243" w:lineRule="auto"/>
        <w:ind w:left="19" w:right="172"/>
        <w:jc w:val="both"/>
        <w:rPr>
          <w:rFonts w:ascii="Aptos" w:eastAsia="Times New Roman" w:hAnsi="Aptos" w:cs="Times New Roman"/>
          <w:color w:val="000000"/>
          <w:sz w:val="24"/>
          <w:szCs w:val="24"/>
        </w:rPr>
      </w:pPr>
      <w:r w:rsidRPr="006A114C">
        <w:rPr>
          <w:rFonts w:ascii="Aptos" w:eastAsia="Times New Roman" w:hAnsi="Aptos" w:cs="Times New Roman"/>
          <w:color w:val="000000"/>
          <w:sz w:val="24"/>
          <w:szCs w:val="24"/>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75F231ED" w14:textId="77777777" w:rsidR="00517758" w:rsidRDefault="00517758" w:rsidP="006A114C"/>
    <w:sectPr w:rsidR="00517758" w:rsidSect="00DA78B3">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42476" w14:textId="77777777" w:rsidR="00F729CB" w:rsidRDefault="00F729CB" w:rsidP="00874D8A">
      <w:r>
        <w:separator/>
      </w:r>
    </w:p>
  </w:endnote>
  <w:endnote w:type="continuationSeparator" w:id="0">
    <w:p w14:paraId="1EB53E13" w14:textId="77777777" w:rsidR="00F729CB" w:rsidRDefault="00F729CB" w:rsidP="0087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8630412"/>
      <w:docPartObj>
        <w:docPartGallery w:val="Page Numbers (Bottom of Page)"/>
        <w:docPartUnique/>
      </w:docPartObj>
    </w:sdtPr>
    <w:sdtEndPr>
      <w:rPr>
        <w:rFonts w:ascii="Times New Roman" w:hAnsi="Times New Roman" w:cs="Times New Roman"/>
        <w:noProof/>
      </w:rPr>
    </w:sdtEndPr>
    <w:sdtContent>
      <w:p w14:paraId="2A142EB9" w14:textId="77777777" w:rsidR="00211C8C" w:rsidRPr="004D7855" w:rsidRDefault="00000000">
        <w:pPr>
          <w:pStyle w:val="Footer"/>
          <w:jc w:val="right"/>
          <w:rPr>
            <w:rFonts w:ascii="Times New Roman" w:hAnsi="Times New Roman" w:cs="Times New Roman"/>
          </w:rPr>
        </w:pPr>
        <w:r w:rsidRPr="004D7855">
          <w:rPr>
            <w:rFonts w:ascii="Times New Roman" w:hAnsi="Times New Roman" w:cs="Times New Roman"/>
          </w:rPr>
          <w:fldChar w:fldCharType="begin"/>
        </w:r>
        <w:r w:rsidRPr="004D7855">
          <w:rPr>
            <w:rFonts w:ascii="Times New Roman" w:hAnsi="Times New Roman" w:cs="Times New Roman"/>
          </w:rPr>
          <w:instrText xml:space="preserve"> PAGE   \* MERGEFORMAT </w:instrText>
        </w:r>
        <w:r w:rsidRPr="004D7855">
          <w:rPr>
            <w:rFonts w:ascii="Times New Roman" w:hAnsi="Times New Roman" w:cs="Times New Roman"/>
          </w:rPr>
          <w:fldChar w:fldCharType="separate"/>
        </w:r>
        <w:r w:rsidRPr="004D7855">
          <w:rPr>
            <w:rFonts w:ascii="Times New Roman" w:hAnsi="Times New Roman" w:cs="Times New Roman"/>
            <w:noProof/>
          </w:rPr>
          <w:t>2</w:t>
        </w:r>
        <w:r w:rsidRPr="004D7855">
          <w:rPr>
            <w:rFonts w:ascii="Times New Roman" w:hAnsi="Times New Roman" w:cs="Times New Roman"/>
            <w:noProof/>
          </w:rPr>
          <w:fldChar w:fldCharType="end"/>
        </w:r>
      </w:p>
    </w:sdtContent>
  </w:sdt>
  <w:p w14:paraId="6351345D" w14:textId="77777777" w:rsidR="00211C8C" w:rsidRDefault="00211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C2315" w14:textId="77777777" w:rsidR="00F729CB" w:rsidRDefault="00F729CB" w:rsidP="00874D8A">
      <w:r>
        <w:separator/>
      </w:r>
    </w:p>
  </w:footnote>
  <w:footnote w:type="continuationSeparator" w:id="0">
    <w:p w14:paraId="754DD12C" w14:textId="77777777" w:rsidR="00F729CB" w:rsidRDefault="00F729CB" w:rsidP="00874D8A">
      <w:r>
        <w:continuationSeparator/>
      </w:r>
    </w:p>
  </w:footnote>
  <w:footnote w:id="1">
    <w:p w14:paraId="62828BC4" w14:textId="629849BC" w:rsidR="00BD3C26" w:rsidRPr="001C7828" w:rsidRDefault="00BD3C26" w:rsidP="00BD3C26">
      <w:pPr>
        <w:pStyle w:val="FootnoteText"/>
        <w:rPr>
          <w:rFonts w:ascii="Aptos" w:hAnsi="Aptos"/>
        </w:rPr>
      </w:pPr>
      <w:r w:rsidRPr="001C7828">
        <w:rPr>
          <w:rStyle w:val="FootnoteReference"/>
          <w:rFonts w:ascii="Aptos" w:hAnsi="Aptos"/>
        </w:rPr>
        <w:footnoteRef/>
      </w:r>
      <w:r w:rsidRPr="001C7828">
        <w:rPr>
          <w:rFonts w:ascii="Aptos" w:hAnsi="Aptos"/>
        </w:rPr>
        <w:t xml:space="preserve">   Attachment A is a February 14, 2024 Affidavit of Attorney Timothy Sindelar</w:t>
      </w:r>
      <w:r w:rsidR="0062367D">
        <w:rPr>
          <w:rFonts w:ascii="Aptos" w:hAnsi="Aptos"/>
        </w:rPr>
        <w:t xml:space="preserve">.  The affidavit relates </w:t>
      </w:r>
      <w:r w:rsidRPr="001C7828">
        <w:rPr>
          <w:rFonts w:ascii="Aptos" w:hAnsi="Aptos"/>
        </w:rPr>
        <w:t>to information he was provided from Kate Firling, a School District Coordinator for the Collaborative for Educational Services (CES), at a Team meeting he attended on January 18, 2024</w:t>
      </w:r>
      <w:r w:rsidR="00E93EFD">
        <w:rPr>
          <w:rFonts w:ascii="Aptos" w:hAnsi="Aptos"/>
        </w:rPr>
        <w:t>,</w:t>
      </w:r>
      <w:r w:rsidRPr="001C7828">
        <w:rPr>
          <w:rFonts w:ascii="Aptos" w:hAnsi="Aptos"/>
        </w:rPr>
        <w:t xml:space="preserve"> at the Berkshire C</w:t>
      </w:r>
      <w:r w:rsidR="00CB3912">
        <w:rPr>
          <w:rFonts w:ascii="Aptos" w:hAnsi="Aptos"/>
        </w:rPr>
        <w:t xml:space="preserve">ounty </w:t>
      </w:r>
      <w:r w:rsidRPr="001C7828">
        <w:rPr>
          <w:rFonts w:ascii="Aptos" w:hAnsi="Aptos"/>
        </w:rPr>
        <w:t>H</w:t>
      </w:r>
      <w:r w:rsidR="00CB3912">
        <w:rPr>
          <w:rFonts w:ascii="Aptos" w:hAnsi="Aptos"/>
        </w:rPr>
        <w:t xml:space="preserve">ouse of </w:t>
      </w:r>
      <w:r w:rsidRPr="001C7828">
        <w:rPr>
          <w:rFonts w:ascii="Aptos" w:hAnsi="Aptos"/>
        </w:rPr>
        <w:t>C</w:t>
      </w:r>
      <w:r w:rsidR="00CB3912">
        <w:rPr>
          <w:rFonts w:ascii="Aptos" w:hAnsi="Aptos"/>
        </w:rPr>
        <w:t>orrection (CHC).  This Team meeting was</w:t>
      </w:r>
      <w:r w:rsidRPr="001C7828">
        <w:rPr>
          <w:rFonts w:ascii="Aptos" w:hAnsi="Aptos"/>
        </w:rPr>
        <w:t xml:space="preserve"> for a client of his </w:t>
      </w:r>
      <w:r w:rsidR="00E93EFD">
        <w:rPr>
          <w:rFonts w:ascii="Aptos" w:hAnsi="Aptos"/>
        </w:rPr>
        <w:t xml:space="preserve">other than </w:t>
      </w:r>
      <w:r w:rsidRPr="001C7828">
        <w:rPr>
          <w:rFonts w:ascii="Aptos" w:hAnsi="Aptos"/>
        </w:rPr>
        <w:t xml:space="preserve">Student; Attachment B is a September 19, 2022 letter of Raymond E. Papile, </w:t>
      </w:r>
      <w:r w:rsidR="00E93EFD">
        <w:rPr>
          <w:rFonts w:ascii="Aptos" w:hAnsi="Aptos"/>
        </w:rPr>
        <w:t>f</w:t>
      </w:r>
      <w:r w:rsidRPr="001C7828">
        <w:rPr>
          <w:rFonts w:ascii="Aptos" w:hAnsi="Aptos"/>
        </w:rPr>
        <w:t>ormer Coordinator of Quincy’s GOALS Program, on behalf of Student; Attachment C is Part I through Part III of DESE’s Special Education in Institutional Settings (SEIS) CHC Practice Manual (SEIS Manual); and Attachment D is the 23-24 IEP and its N1 Form.</w:t>
      </w:r>
    </w:p>
  </w:footnote>
  <w:footnote w:id="2">
    <w:p w14:paraId="2C7BDFD2" w14:textId="77777777" w:rsidR="00DA78B3" w:rsidRPr="001C7828" w:rsidRDefault="00DA78B3" w:rsidP="00DA78B3">
      <w:pPr>
        <w:pStyle w:val="FootnoteText"/>
        <w:rPr>
          <w:rFonts w:ascii="Aptos" w:hAnsi="Aptos"/>
        </w:rPr>
      </w:pPr>
      <w:r w:rsidRPr="001C7828">
        <w:rPr>
          <w:rStyle w:val="FootnoteReference"/>
          <w:rFonts w:ascii="Aptos" w:hAnsi="Aptos"/>
        </w:rPr>
        <w:footnoteRef/>
      </w:r>
      <w:r w:rsidRPr="001C7828">
        <w:rPr>
          <w:rFonts w:ascii="Aptos" w:hAnsi="Aptos"/>
        </w:rPr>
        <w:t xml:space="preserve">   This statement of issues is taken from the section of the </w:t>
      </w:r>
      <w:r w:rsidRPr="001C7828">
        <w:rPr>
          <w:rFonts w:ascii="Aptos" w:hAnsi="Aptos"/>
          <w:i/>
          <w:iCs/>
        </w:rPr>
        <w:t>Hearing Request</w:t>
      </w:r>
      <w:r w:rsidRPr="001C7828">
        <w:rPr>
          <w:rFonts w:ascii="Aptos" w:hAnsi="Aptos"/>
        </w:rPr>
        <w:t xml:space="preserve"> entitled “Issues in Dispute”.  To</w:t>
      </w:r>
      <w:r w:rsidRPr="001C7828">
        <w:rPr>
          <w:rFonts w:ascii="Aptos" w:hAnsi="Aptos"/>
          <w:highlight w:val="yellow"/>
        </w:rPr>
        <w:t xml:space="preserve"> </w:t>
      </w:r>
      <w:r w:rsidRPr="001C7828">
        <w:rPr>
          <w:rFonts w:ascii="Aptos" w:hAnsi="Aptos"/>
        </w:rPr>
        <w:t xml:space="preserve">the extent Student believes there are other issues contained in the </w:t>
      </w:r>
      <w:r w:rsidRPr="001C7828">
        <w:rPr>
          <w:rFonts w:ascii="Aptos" w:hAnsi="Aptos"/>
          <w:i/>
          <w:iCs/>
        </w:rPr>
        <w:t>Hearing Request</w:t>
      </w:r>
      <w:r w:rsidRPr="001C7828">
        <w:rPr>
          <w:rFonts w:ascii="Aptos" w:hAnsi="Aptos"/>
        </w:rPr>
        <w:t xml:space="preserve"> that are not set forth above, he must seek to amend his </w:t>
      </w:r>
      <w:r w:rsidRPr="001C7828">
        <w:rPr>
          <w:rFonts w:ascii="Aptos" w:hAnsi="Aptos"/>
          <w:i/>
          <w:iCs/>
        </w:rPr>
        <w:t>Hearing Request</w:t>
      </w:r>
      <w:r w:rsidRPr="001C7828">
        <w:rPr>
          <w:rFonts w:ascii="Aptos" w:hAnsi="Aptos"/>
        </w:rPr>
        <w:t xml:space="preserve"> to include them.</w:t>
      </w:r>
    </w:p>
  </w:footnote>
  <w:footnote w:id="3">
    <w:p w14:paraId="27464731" w14:textId="2335633A" w:rsidR="00DA78B3" w:rsidRPr="001C7828" w:rsidRDefault="00DA78B3" w:rsidP="00DA78B3">
      <w:pPr>
        <w:pStyle w:val="FootnoteText"/>
        <w:rPr>
          <w:rFonts w:ascii="Aptos" w:hAnsi="Aptos"/>
        </w:rPr>
      </w:pPr>
      <w:r w:rsidRPr="001C7828">
        <w:rPr>
          <w:rStyle w:val="FootnoteReference"/>
          <w:rFonts w:ascii="Aptos" w:hAnsi="Aptos"/>
        </w:rPr>
        <w:footnoteRef/>
      </w:r>
      <w:r w:rsidRPr="001C7828">
        <w:rPr>
          <w:rFonts w:ascii="Aptos" w:hAnsi="Aptos"/>
        </w:rPr>
        <w:t xml:space="preserve">   In subsequent Memoranda, discussed </w:t>
      </w:r>
      <w:r w:rsidRPr="001C7828">
        <w:rPr>
          <w:rFonts w:ascii="Aptos" w:hAnsi="Aptos"/>
          <w:i/>
          <w:iCs/>
        </w:rPr>
        <w:t>infra</w:t>
      </w:r>
      <w:r w:rsidRPr="001C7828">
        <w:rPr>
          <w:rFonts w:ascii="Aptos" w:hAnsi="Aptos"/>
        </w:rPr>
        <w:t>, Student acknowledges that he does “not contest DESE’s assertion that they cannot be held liable for the child find violation from February of 2020 to February of 2022.  DESE’s potential liability for the child find violation begins when [Student] was incarcerated in February of 2022 due to the failure of DESE’s policies and procedures, as well as its oversight”</w:t>
      </w:r>
      <w:r w:rsidR="00B53049">
        <w:rPr>
          <w:rFonts w:ascii="Aptos" w:hAnsi="Aptos"/>
        </w:rPr>
        <w:t>.</w:t>
      </w:r>
    </w:p>
  </w:footnote>
  <w:footnote w:id="4">
    <w:p w14:paraId="225CD11F" w14:textId="345B78F1" w:rsidR="00DA78B3" w:rsidRPr="001C7828" w:rsidRDefault="00DA78B3" w:rsidP="00DA78B3">
      <w:pPr>
        <w:pStyle w:val="FootnoteText"/>
        <w:rPr>
          <w:rFonts w:ascii="Aptos" w:hAnsi="Aptos"/>
        </w:rPr>
      </w:pPr>
      <w:r w:rsidRPr="001C7828">
        <w:rPr>
          <w:rStyle w:val="FootnoteReference"/>
          <w:rFonts w:ascii="Aptos" w:hAnsi="Aptos"/>
        </w:rPr>
        <w:footnoteRef/>
      </w:r>
      <w:r w:rsidRPr="001C7828">
        <w:rPr>
          <w:rFonts w:ascii="Aptos" w:hAnsi="Aptos"/>
        </w:rPr>
        <w:t xml:space="preserve">   Attachment A is</w:t>
      </w:r>
      <w:r w:rsidR="002E6D76">
        <w:rPr>
          <w:rFonts w:ascii="Aptos" w:hAnsi="Aptos"/>
        </w:rPr>
        <w:t xml:space="preserve"> a </w:t>
      </w:r>
      <w:r w:rsidRPr="001C7828">
        <w:rPr>
          <w:rFonts w:ascii="Aptos" w:hAnsi="Aptos"/>
        </w:rPr>
        <w:t>January 3, 2023 Memo from Teresa Poteat, SEIS</w:t>
      </w:r>
      <w:r w:rsidR="00797CB3">
        <w:rPr>
          <w:rFonts w:ascii="Aptos" w:hAnsi="Aptos"/>
        </w:rPr>
        <w:t>’</w:t>
      </w:r>
      <w:r w:rsidRPr="001C7828">
        <w:rPr>
          <w:rFonts w:ascii="Aptos" w:hAnsi="Aptos"/>
        </w:rPr>
        <w:t xml:space="preserve"> Administrator to Donna Cunningham, Quincy Team Administrator</w:t>
      </w:r>
      <w:r w:rsidR="00D92D26">
        <w:rPr>
          <w:rFonts w:ascii="Aptos" w:hAnsi="Aptos"/>
        </w:rPr>
        <w:t>,</w:t>
      </w:r>
      <w:r w:rsidRPr="001C7828">
        <w:rPr>
          <w:rFonts w:ascii="Aptos" w:hAnsi="Aptos"/>
        </w:rPr>
        <w:t xml:space="preserve"> regarding “Potential Eligibility for Special Education Services”; Attachment B is a </w:t>
      </w:r>
      <w:r w:rsidR="002E6D76">
        <w:rPr>
          <w:rFonts w:ascii="Aptos" w:hAnsi="Aptos"/>
        </w:rPr>
        <w:t>list</w:t>
      </w:r>
      <w:r w:rsidRPr="001C7828">
        <w:rPr>
          <w:rFonts w:ascii="Aptos" w:hAnsi="Aptos"/>
        </w:rPr>
        <w:t xml:space="preserve"> of educational actions </w:t>
      </w:r>
      <w:r w:rsidR="002E6D76">
        <w:rPr>
          <w:rFonts w:ascii="Aptos" w:hAnsi="Aptos"/>
        </w:rPr>
        <w:t>b</w:t>
      </w:r>
      <w:r w:rsidRPr="001C7828">
        <w:rPr>
          <w:rFonts w:ascii="Aptos" w:hAnsi="Aptos"/>
        </w:rPr>
        <w:t xml:space="preserve">etween December 20, 2022 </w:t>
      </w:r>
      <w:r w:rsidR="009B153E">
        <w:rPr>
          <w:rFonts w:ascii="Aptos" w:hAnsi="Aptos"/>
        </w:rPr>
        <w:t>and</w:t>
      </w:r>
      <w:r w:rsidRPr="001C7828">
        <w:rPr>
          <w:rFonts w:ascii="Aptos" w:hAnsi="Aptos"/>
        </w:rPr>
        <w:t xml:space="preserve"> February 28, 2024; Attachment C is Student’s June 26, 2023, December 4, 2023 and February 15, 2024 Progress Reports; Attachment D is the SEIS September 14, 2023 Team Meeting Notes and SEIS’ October 17, 2023 Request to Quincy for an Annual/Three-year Meeting; and Attachment E is the SEIS December 6, 2023 Team Meeting Notes.  </w:t>
      </w:r>
    </w:p>
  </w:footnote>
  <w:footnote w:id="5">
    <w:p w14:paraId="5DCF6787" w14:textId="41B0CF9E" w:rsidR="00DA78B3" w:rsidRPr="001C7828" w:rsidRDefault="00DA78B3" w:rsidP="00DA78B3">
      <w:pPr>
        <w:pStyle w:val="FootnoteText"/>
        <w:rPr>
          <w:rFonts w:ascii="Aptos" w:hAnsi="Aptos"/>
        </w:rPr>
      </w:pPr>
      <w:r w:rsidRPr="001C7828">
        <w:rPr>
          <w:rStyle w:val="FootnoteReference"/>
          <w:rFonts w:ascii="Aptos" w:hAnsi="Aptos"/>
        </w:rPr>
        <w:footnoteRef/>
      </w:r>
      <w:r w:rsidRPr="001C7828">
        <w:rPr>
          <w:rFonts w:ascii="Aptos" w:hAnsi="Aptos"/>
        </w:rPr>
        <w:t xml:space="preserve">  </w:t>
      </w:r>
      <w:r w:rsidR="001C7828">
        <w:rPr>
          <w:rFonts w:ascii="Aptos" w:hAnsi="Aptos"/>
        </w:rPr>
        <w:t xml:space="preserve"> </w:t>
      </w:r>
      <w:r w:rsidRPr="001C7828">
        <w:rPr>
          <w:rFonts w:ascii="Aptos" w:hAnsi="Aptos"/>
        </w:rPr>
        <w:t xml:space="preserve">In a supplemental Memorandum, discussed </w:t>
      </w:r>
      <w:r w:rsidRPr="001C7828">
        <w:rPr>
          <w:rFonts w:ascii="Aptos" w:hAnsi="Aptos"/>
          <w:i/>
          <w:iCs/>
        </w:rPr>
        <w:t>infra</w:t>
      </w:r>
      <w:r w:rsidRPr="001C7828">
        <w:rPr>
          <w:rFonts w:ascii="Aptos" w:hAnsi="Aptos"/>
        </w:rPr>
        <w:t xml:space="preserve">, DESE clarified that it concedes that the requests for compensatory services for some of the FAPE </w:t>
      </w:r>
      <w:r w:rsidR="00427E56" w:rsidRPr="001C7828">
        <w:rPr>
          <w:rFonts w:ascii="Aptos" w:hAnsi="Aptos"/>
        </w:rPr>
        <w:t>C</w:t>
      </w:r>
      <w:r w:rsidRPr="001C7828">
        <w:rPr>
          <w:rFonts w:ascii="Aptos" w:hAnsi="Aptos"/>
        </w:rPr>
        <w:t>laims remain viable and should not be dismissed.</w:t>
      </w:r>
    </w:p>
  </w:footnote>
  <w:footnote w:id="6">
    <w:p w14:paraId="3FED8BBD" w14:textId="3719AAE1" w:rsidR="00DA78B3" w:rsidRPr="001C7828" w:rsidRDefault="00DA78B3" w:rsidP="00DA78B3">
      <w:pPr>
        <w:pStyle w:val="FootnoteText"/>
        <w:rPr>
          <w:rFonts w:ascii="Aptos" w:hAnsi="Aptos"/>
        </w:rPr>
      </w:pPr>
      <w:r w:rsidRPr="001C7828">
        <w:rPr>
          <w:rStyle w:val="FootnoteReference"/>
          <w:rFonts w:ascii="Aptos" w:hAnsi="Aptos"/>
        </w:rPr>
        <w:footnoteRef/>
      </w:r>
      <w:r w:rsidR="001C7828">
        <w:rPr>
          <w:rFonts w:ascii="Aptos" w:hAnsi="Aptos"/>
        </w:rPr>
        <w:t xml:space="preserve"> </w:t>
      </w:r>
      <w:r w:rsidRPr="001C7828">
        <w:rPr>
          <w:rFonts w:ascii="Aptos" w:hAnsi="Aptos"/>
        </w:rPr>
        <w:t xml:space="preserve">  This argument appears to pertain to Issue 2(b) identified above and will be so analyzed for this purpose.</w:t>
      </w:r>
    </w:p>
  </w:footnote>
  <w:footnote w:id="7">
    <w:p w14:paraId="78FAAACF" w14:textId="6EBD4257" w:rsidR="00DA78B3" w:rsidRPr="001C7828" w:rsidRDefault="00DA78B3">
      <w:pPr>
        <w:pStyle w:val="FootnoteText"/>
        <w:rPr>
          <w:rFonts w:ascii="Aptos" w:hAnsi="Aptos"/>
        </w:rPr>
      </w:pPr>
      <w:r w:rsidRPr="001C7828">
        <w:rPr>
          <w:rStyle w:val="FootnoteReference"/>
          <w:rFonts w:ascii="Aptos" w:hAnsi="Aptos"/>
        </w:rPr>
        <w:footnoteRef/>
      </w:r>
      <w:r w:rsidRPr="001C7828">
        <w:rPr>
          <w:rFonts w:ascii="Aptos" w:hAnsi="Aptos"/>
        </w:rPr>
        <w:t xml:space="preserve">  </w:t>
      </w:r>
      <w:r w:rsidR="001C7828">
        <w:rPr>
          <w:rFonts w:ascii="Aptos" w:hAnsi="Aptos"/>
        </w:rPr>
        <w:t xml:space="preserve"> </w:t>
      </w:r>
      <w:r w:rsidRPr="001C7828">
        <w:rPr>
          <w:rFonts w:ascii="Aptos" w:hAnsi="Aptos"/>
        </w:rPr>
        <w:t>This date was agreed to by the Parties.</w:t>
      </w:r>
    </w:p>
  </w:footnote>
  <w:footnote w:id="8">
    <w:p w14:paraId="474818FC" w14:textId="3B584D3A" w:rsidR="00DA78B3" w:rsidRPr="001C7828" w:rsidRDefault="00DA78B3">
      <w:pPr>
        <w:pStyle w:val="FootnoteText"/>
        <w:rPr>
          <w:rFonts w:ascii="Aptos" w:hAnsi="Aptos"/>
        </w:rPr>
      </w:pPr>
      <w:r w:rsidRPr="001C7828">
        <w:rPr>
          <w:rStyle w:val="FootnoteReference"/>
          <w:rFonts w:ascii="Aptos" w:hAnsi="Aptos"/>
        </w:rPr>
        <w:footnoteRef/>
      </w:r>
      <w:r w:rsidRPr="001C7828">
        <w:rPr>
          <w:rFonts w:ascii="Aptos" w:hAnsi="Aptos"/>
        </w:rPr>
        <w:t xml:space="preserve"> </w:t>
      </w:r>
      <w:r w:rsidR="001C7828">
        <w:rPr>
          <w:rFonts w:ascii="Aptos" w:hAnsi="Aptos"/>
        </w:rPr>
        <w:t xml:space="preserve">  </w:t>
      </w:r>
      <w:r w:rsidRPr="001C7828">
        <w:rPr>
          <w:rFonts w:ascii="Aptos" w:hAnsi="Aptos" w:cs="Times New Roman"/>
        </w:rPr>
        <w:t xml:space="preserve">During a Conference Call on April 24, 2024, the Parties were advised that given DESE’s submission of additional documents in support of its </w:t>
      </w:r>
      <w:r w:rsidRPr="001C7828">
        <w:rPr>
          <w:rFonts w:ascii="Aptos" w:hAnsi="Aptos" w:cs="Times New Roman"/>
          <w:i/>
          <w:iCs/>
        </w:rPr>
        <w:t>Motion</w:t>
      </w:r>
      <w:r w:rsidRPr="001C7828">
        <w:rPr>
          <w:rFonts w:ascii="Aptos" w:hAnsi="Aptos" w:cs="Times New Roman"/>
        </w:rPr>
        <w:t xml:space="preserve">, and Student’s reliance thereon in his </w:t>
      </w:r>
      <w:r w:rsidRPr="001C7828">
        <w:rPr>
          <w:rFonts w:ascii="Aptos" w:hAnsi="Aptos" w:cs="Times New Roman"/>
          <w:i/>
          <w:iCs/>
        </w:rPr>
        <w:t>Oppositions</w:t>
      </w:r>
      <w:r w:rsidRPr="001C7828">
        <w:rPr>
          <w:rFonts w:ascii="Aptos" w:hAnsi="Aptos" w:cs="Times New Roman"/>
        </w:rPr>
        <w:t xml:space="preserve">, the </w:t>
      </w:r>
      <w:r w:rsidRPr="001C7828">
        <w:rPr>
          <w:rFonts w:ascii="Aptos" w:hAnsi="Aptos" w:cs="Times New Roman"/>
          <w:i/>
          <w:iCs/>
        </w:rPr>
        <w:t>Motions</w:t>
      </w:r>
      <w:r w:rsidRPr="001C7828">
        <w:rPr>
          <w:rFonts w:ascii="Aptos" w:hAnsi="Aptos" w:cs="Times New Roman"/>
        </w:rPr>
        <w:t xml:space="preserve"> would be considered under both a dismissal and summary judgment standard, and the Parties would have the ability to file supplemental memoranda of law to address the summary judgment standard.  Additionally, the Parties discussed the </w:t>
      </w:r>
      <w:r w:rsidRPr="001C7828">
        <w:rPr>
          <w:rFonts w:ascii="Aptos" w:hAnsi="Aptos" w:cs="Times New Roman"/>
          <w:i/>
          <w:iCs/>
        </w:rPr>
        <w:t xml:space="preserve">Notice </w:t>
      </w:r>
      <w:r w:rsidRPr="001C7828">
        <w:rPr>
          <w:rFonts w:ascii="Aptos" w:hAnsi="Aptos" w:cs="Times New Roman"/>
        </w:rPr>
        <w:t xml:space="preserve">and the procedural concern with the BSEA proceeding to consider the systemic claims on substantive jurisdictional grounds </w:t>
      </w:r>
      <w:proofErr w:type="gramStart"/>
      <w:r w:rsidRPr="001C7828">
        <w:rPr>
          <w:rFonts w:ascii="Aptos" w:hAnsi="Aptos" w:cs="Times New Roman"/>
        </w:rPr>
        <w:t>in light of</w:t>
      </w:r>
      <w:proofErr w:type="gramEnd"/>
      <w:r w:rsidRPr="001C7828">
        <w:rPr>
          <w:rFonts w:ascii="Aptos" w:hAnsi="Aptos" w:cs="Times New Roman"/>
        </w:rPr>
        <w:t xml:space="preserve"> the simultaneously pending Class Action Complaint involving the same systemic claims, and the Parties agreed to file supplemental memoranda of law on this procedural question.</w:t>
      </w:r>
    </w:p>
  </w:footnote>
  <w:footnote w:id="9">
    <w:p w14:paraId="521F1D82" w14:textId="13C34F65" w:rsidR="00DA78B3" w:rsidRPr="001C7828" w:rsidRDefault="00DA78B3" w:rsidP="00DA78B3">
      <w:pPr>
        <w:pStyle w:val="FootnoteText"/>
        <w:rPr>
          <w:rFonts w:ascii="Aptos" w:hAnsi="Aptos"/>
        </w:rPr>
      </w:pPr>
      <w:r w:rsidRPr="001C7828">
        <w:rPr>
          <w:rStyle w:val="FootnoteReference"/>
          <w:rFonts w:ascii="Aptos" w:hAnsi="Aptos"/>
        </w:rPr>
        <w:footnoteRef/>
      </w:r>
      <w:r w:rsidRPr="001C7828">
        <w:rPr>
          <w:rFonts w:ascii="Aptos" w:hAnsi="Aptos"/>
        </w:rPr>
        <w:t xml:space="preserve">   </w:t>
      </w:r>
      <w:r w:rsidRPr="001C7828">
        <w:rPr>
          <w:rFonts w:ascii="Aptos" w:hAnsi="Aptos"/>
          <w:i/>
          <w:iCs/>
        </w:rPr>
        <w:t>DESE’s Supplemental Memo</w:t>
      </w:r>
      <w:r w:rsidRPr="001C7828">
        <w:rPr>
          <w:rFonts w:ascii="Aptos" w:hAnsi="Aptos"/>
        </w:rPr>
        <w:t xml:space="preserve"> does not address Issue 2(c) in any way – either specifically or generally.  It was not addressed with any specificity in </w:t>
      </w:r>
      <w:r w:rsidRPr="001C7828">
        <w:rPr>
          <w:rFonts w:ascii="Aptos" w:hAnsi="Aptos"/>
          <w:i/>
          <w:iCs/>
        </w:rPr>
        <w:t xml:space="preserve">DESE’s Motion </w:t>
      </w:r>
      <w:r w:rsidRPr="001C7828">
        <w:rPr>
          <w:rFonts w:ascii="Aptos" w:hAnsi="Aptos"/>
        </w:rPr>
        <w:t>however, it was included in DESE’s overall request that all claims other than those involving compensatory services for missed services between Ja</w:t>
      </w:r>
      <w:r w:rsidR="003848BE" w:rsidRPr="001C7828">
        <w:rPr>
          <w:rFonts w:ascii="Aptos" w:hAnsi="Aptos"/>
        </w:rPr>
        <w:t>nuary</w:t>
      </w:r>
      <w:r w:rsidRPr="001C7828">
        <w:rPr>
          <w:rFonts w:ascii="Aptos" w:hAnsi="Aptos"/>
        </w:rPr>
        <w:t xml:space="preserve"> 3 and May 25, </w:t>
      </w:r>
      <w:r w:rsidR="00B55DC8" w:rsidRPr="001C7828">
        <w:rPr>
          <w:rFonts w:ascii="Aptos" w:hAnsi="Aptos"/>
        </w:rPr>
        <w:t>2023,</w:t>
      </w:r>
      <w:r w:rsidRPr="001C7828">
        <w:rPr>
          <w:rFonts w:ascii="Aptos" w:hAnsi="Aptos"/>
        </w:rPr>
        <w:t xml:space="preserve"> be dismissed.</w:t>
      </w:r>
    </w:p>
  </w:footnote>
  <w:footnote w:id="10">
    <w:p w14:paraId="0EBBDA66" w14:textId="23373F2B" w:rsidR="00DA78B3" w:rsidRPr="001C7828" w:rsidRDefault="00DA78B3" w:rsidP="00DA78B3">
      <w:pPr>
        <w:pStyle w:val="FootnoteText"/>
        <w:rPr>
          <w:rFonts w:ascii="Aptos" w:hAnsi="Aptos"/>
        </w:rPr>
      </w:pPr>
      <w:r w:rsidRPr="001C7828">
        <w:rPr>
          <w:rStyle w:val="FootnoteReference"/>
          <w:rFonts w:ascii="Aptos" w:hAnsi="Aptos"/>
        </w:rPr>
        <w:footnoteRef/>
      </w:r>
      <w:r w:rsidRPr="001C7828">
        <w:rPr>
          <w:rFonts w:ascii="Aptos" w:hAnsi="Aptos"/>
        </w:rPr>
        <w:t xml:space="preserve">   The factual statements contained herein are taken as true for purposes of this </w:t>
      </w:r>
      <w:r w:rsidRPr="001C7828">
        <w:rPr>
          <w:rFonts w:ascii="Aptos" w:hAnsi="Aptos"/>
          <w:i/>
          <w:iCs/>
        </w:rPr>
        <w:t>Ruling</w:t>
      </w:r>
      <w:r w:rsidRPr="001C7828">
        <w:rPr>
          <w:rFonts w:ascii="Aptos" w:hAnsi="Aptos"/>
        </w:rPr>
        <w:t xml:space="preserve"> only.</w:t>
      </w:r>
    </w:p>
  </w:footnote>
  <w:footnote w:id="11">
    <w:p w14:paraId="57B62A2F" w14:textId="77777777" w:rsidR="00DA78B3" w:rsidRPr="001C7828" w:rsidRDefault="00DA78B3" w:rsidP="00DA78B3">
      <w:pPr>
        <w:pStyle w:val="FootnoteText"/>
        <w:rPr>
          <w:rFonts w:ascii="Aptos" w:hAnsi="Aptos"/>
        </w:rPr>
      </w:pPr>
      <w:r w:rsidRPr="001C7828">
        <w:rPr>
          <w:rStyle w:val="FootnoteReference"/>
          <w:rFonts w:ascii="Aptos" w:hAnsi="Aptos"/>
        </w:rPr>
        <w:footnoteRef/>
      </w:r>
      <w:r w:rsidRPr="001C7828">
        <w:rPr>
          <w:rFonts w:ascii="Aptos" w:hAnsi="Aptos"/>
        </w:rPr>
        <w:t xml:space="preserve">   Neither Party has submitted a copy of this IEP.  Any information about this IEP is take solely from the factual allegations contained in the </w:t>
      </w:r>
      <w:r w:rsidRPr="001C7828">
        <w:rPr>
          <w:rFonts w:ascii="Aptos" w:hAnsi="Aptos"/>
          <w:i/>
          <w:iCs/>
        </w:rPr>
        <w:t>Hearing Request</w:t>
      </w:r>
      <w:r w:rsidRPr="001C7828">
        <w:rPr>
          <w:rFonts w:ascii="Aptos" w:hAnsi="Aptos"/>
        </w:rPr>
        <w:t xml:space="preserve">, </w:t>
      </w:r>
      <w:r w:rsidRPr="001C7828">
        <w:rPr>
          <w:rFonts w:ascii="Aptos" w:hAnsi="Aptos"/>
          <w:i/>
          <w:iCs/>
        </w:rPr>
        <w:t>DESE’s Motion</w:t>
      </w:r>
      <w:r w:rsidRPr="001C7828">
        <w:rPr>
          <w:rFonts w:ascii="Aptos" w:hAnsi="Aptos"/>
        </w:rPr>
        <w:t xml:space="preserve">, and </w:t>
      </w:r>
      <w:r w:rsidRPr="001C7828">
        <w:rPr>
          <w:rFonts w:ascii="Aptos" w:hAnsi="Aptos"/>
          <w:i/>
          <w:iCs/>
        </w:rPr>
        <w:t>Quincy’s Motion</w:t>
      </w:r>
      <w:r w:rsidRPr="001C7828">
        <w:rPr>
          <w:rFonts w:ascii="Aptos" w:hAnsi="Aptos"/>
        </w:rPr>
        <w:t>.</w:t>
      </w:r>
    </w:p>
  </w:footnote>
  <w:footnote w:id="12">
    <w:p w14:paraId="027D3095" w14:textId="7DDDE03B" w:rsidR="00DA78B3" w:rsidRPr="001C7828" w:rsidRDefault="00DA78B3" w:rsidP="00DA78B3">
      <w:pPr>
        <w:pStyle w:val="FootnoteText"/>
        <w:rPr>
          <w:rFonts w:ascii="Aptos" w:hAnsi="Aptos"/>
        </w:rPr>
      </w:pPr>
      <w:r w:rsidRPr="001C7828">
        <w:rPr>
          <w:rStyle w:val="FootnoteReference"/>
          <w:rFonts w:ascii="Aptos" w:hAnsi="Aptos"/>
        </w:rPr>
        <w:footnoteRef/>
      </w:r>
      <w:r w:rsidRPr="001C7828">
        <w:rPr>
          <w:rFonts w:ascii="Aptos" w:hAnsi="Aptos"/>
        </w:rPr>
        <w:t xml:space="preserve">   It appears from the documents that the IEP Amendment issued on September 14, </w:t>
      </w:r>
      <w:r w:rsidR="00C75CAE" w:rsidRPr="001C7828">
        <w:rPr>
          <w:rFonts w:ascii="Aptos" w:hAnsi="Aptos"/>
        </w:rPr>
        <w:t>2023,</w:t>
      </w:r>
      <w:r w:rsidRPr="001C7828">
        <w:rPr>
          <w:rFonts w:ascii="Aptos" w:hAnsi="Aptos"/>
        </w:rPr>
        <w:t xml:space="preserve"> included the counseling service but no counseling goal.  </w:t>
      </w:r>
    </w:p>
  </w:footnote>
  <w:footnote w:id="13">
    <w:p w14:paraId="57D663C4" w14:textId="77777777" w:rsidR="007304BC" w:rsidRPr="00126BC6" w:rsidRDefault="007304BC" w:rsidP="007304BC">
      <w:pPr>
        <w:pStyle w:val="FootnoteText"/>
        <w:rPr>
          <w:rFonts w:ascii="Aptos" w:hAnsi="Aptos"/>
        </w:rPr>
      </w:pPr>
      <w:r w:rsidRPr="00126BC6">
        <w:rPr>
          <w:rStyle w:val="FootnoteReference"/>
          <w:rFonts w:ascii="Aptos" w:hAnsi="Aptos"/>
        </w:rPr>
        <w:footnoteRef/>
      </w:r>
      <w:r w:rsidRPr="00126BC6">
        <w:rPr>
          <w:rFonts w:ascii="Aptos" w:hAnsi="Aptos"/>
        </w:rPr>
        <w:t xml:space="preserve">    The revisions sought were not related to the 1:1 setting reference.</w:t>
      </w:r>
    </w:p>
  </w:footnote>
  <w:footnote w:id="14">
    <w:p w14:paraId="395AD4ED" w14:textId="45976EEE" w:rsidR="00512ED9" w:rsidRPr="001C7828" w:rsidRDefault="00512ED9" w:rsidP="00512ED9">
      <w:pPr>
        <w:pStyle w:val="FootnoteText"/>
        <w:rPr>
          <w:rFonts w:ascii="Aptos" w:hAnsi="Aptos"/>
        </w:rPr>
      </w:pPr>
      <w:r w:rsidRPr="001C7828">
        <w:rPr>
          <w:rStyle w:val="FootnoteReference"/>
          <w:rFonts w:ascii="Aptos" w:hAnsi="Aptos"/>
        </w:rPr>
        <w:footnoteRef/>
      </w:r>
      <w:r w:rsidR="001C7828">
        <w:rPr>
          <w:rFonts w:ascii="Aptos" w:hAnsi="Aptos"/>
        </w:rPr>
        <w:t xml:space="preserve"> </w:t>
      </w:r>
      <w:r w:rsidRPr="001C7828">
        <w:rPr>
          <w:rFonts w:ascii="Aptos" w:hAnsi="Aptos"/>
        </w:rPr>
        <w:t xml:space="preserve">  </w:t>
      </w:r>
      <w:r w:rsidR="00850329" w:rsidRPr="001C7828">
        <w:rPr>
          <w:rFonts w:ascii="Aptos" w:hAnsi="Aptos"/>
        </w:rPr>
        <w:t xml:space="preserve">As discussed, </w:t>
      </w:r>
      <w:r w:rsidR="00850329" w:rsidRPr="001C7828">
        <w:rPr>
          <w:rFonts w:ascii="Aptos" w:hAnsi="Aptos"/>
          <w:i/>
          <w:iCs/>
        </w:rPr>
        <w:t>infra</w:t>
      </w:r>
      <w:r w:rsidR="00850329" w:rsidRPr="001C7828">
        <w:rPr>
          <w:rFonts w:ascii="Aptos" w:hAnsi="Aptos"/>
        </w:rPr>
        <w:t xml:space="preserve">, </w:t>
      </w:r>
      <w:r w:rsidRPr="001C7828">
        <w:rPr>
          <w:rFonts w:ascii="Aptos" w:hAnsi="Aptos"/>
        </w:rPr>
        <w:t xml:space="preserve">Student </w:t>
      </w:r>
      <w:r w:rsidR="00850329" w:rsidRPr="001C7828">
        <w:rPr>
          <w:rFonts w:ascii="Aptos" w:hAnsi="Aptos"/>
        </w:rPr>
        <w:t>has</w:t>
      </w:r>
      <w:r w:rsidRPr="001C7828">
        <w:rPr>
          <w:rFonts w:ascii="Aptos" w:hAnsi="Aptos"/>
        </w:rPr>
        <w:t xml:space="preserve"> concede</w:t>
      </w:r>
      <w:r w:rsidR="00850329" w:rsidRPr="001C7828">
        <w:rPr>
          <w:rFonts w:ascii="Aptos" w:hAnsi="Aptos"/>
        </w:rPr>
        <w:t>d</w:t>
      </w:r>
      <w:r w:rsidRPr="001C7828">
        <w:rPr>
          <w:rFonts w:ascii="Aptos" w:hAnsi="Aptos"/>
        </w:rPr>
        <w:t xml:space="preserve"> that DESE does not have any child find responsibilities prior to Student’s incarceration in his opposition to </w:t>
      </w:r>
      <w:r w:rsidR="00563609" w:rsidRPr="001C7828">
        <w:rPr>
          <w:rFonts w:ascii="Aptos" w:hAnsi="Aptos"/>
        </w:rPr>
        <w:t>the</w:t>
      </w:r>
      <w:r w:rsidRPr="001C7828">
        <w:rPr>
          <w:rFonts w:ascii="Aptos" w:hAnsi="Aptos"/>
        </w:rPr>
        <w:t xml:space="preserve"> </w:t>
      </w:r>
      <w:r w:rsidRPr="001C7828">
        <w:rPr>
          <w:rFonts w:ascii="Aptos" w:hAnsi="Aptos"/>
          <w:i/>
          <w:iCs/>
        </w:rPr>
        <w:t>Motion</w:t>
      </w:r>
      <w:r w:rsidR="00563609" w:rsidRPr="001C7828">
        <w:rPr>
          <w:rFonts w:ascii="Aptos" w:hAnsi="Aptos"/>
          <w:i/>
          <w:iCs/>
        </w:rPr>
        <w:t>s</w:t>
      </w:r>
      <w:r w:rsidRPr="001C7828">
        <w:rPr>
          <w:rFonts w:ascii="Aptos" w:hAnsi="Aptos"/>
        </w:rPr>
        <w:t>.</w:t>
      </w:r>
    </w:p>
  </w:footnote>
  <w:footnote w:id="15">
    <w:p w14:paraId="6CA75772" w14:textId="5D877787" w:rsidR="00512ED9" w:rsidRPr="001C7828" w:rsidRDefault="00512ED9" w:rsidP="00512ED9">
      <w:pPr>
        <w:pStyle w:val="FootnoteText"/>
        <w:rPr>
          <w:rFonts w:ascii="Aptos" w:hAnsi="Aptos"/>
        </w:rPr>
      </w:pPr>
      <w:r w:rsidRPr="001C7828">
        <w:rPr>
          <w:rStyle w:val="FootnoteReference"/>
          <w:rFonts w:ascii="Aptos" w:hAnsi="Aptos"/>
        </w:rPr>
        <w:footnoteRef/>
      </w:r>
      <w:r w:rsidRPr="001C7828">
        <w:rPr>
          <w:rFonts w:ascii="Aptos" w:hAnsi="Aptos"/>
        </w:rPr>
        <w:t xml:space="preserve">  </w:t>
      </w:r>
      <w:r w:rsidR="001C7828">
        <w:rPr>
          <w:rFonts w:ascii="Aptos" w:hAnsi="Aptos"/>
        </w:rPr>
        <w:t xml:space="preserve"> </w:t>
      </w:r>
      <w:r w:rsidRPr="001C7828">
        <w:rPr>
          <w:rFonts w:ascii="Aptos" w:hAnsi="Aptos"/>
        </w:rPr>
        <w:t xml:space="preserve">M.G.L. c. 71 §3 requires the school committee of every town to identify all students with disabilities residing therein, “… propose a special education program to meet those needs, </w:t>
      </w:r>
      <w:r w:rsidRPr="001C7828">
        <w:rPr>
          <w:rFonts w:ascii="Aptos" w:hAnsi="Aptos"/>
          <w:i/>
          <w:iCs/>
        </w:rPr>
        <w:t>provide</w:t>
      </w:r>
      <w:r w:rsidRPr="001C7828">
        <w:rPr>
          <w:rFonts w:ascii="Aptos" w:hAnsi="Aptos"/>
        </w:rPr>
        <w:t xml:space="preserve"> or arrange for the provision of </w:t>
      </w:r>
      <w:r w:rsidRPr="001C7828">
        <w:rPr>
          <w:rFonts w:ascii="Aptos" w:hAnsi="Aptos"/>
          <w:i/>
          <w:iCs/>
        </w:rPr>
        <w:t>such special education program</w:t>
      </w:r>
      <w:r w:rsidRPr="001C7828">
        <w:rPr>
          <w:rFonts w:ascii="Aptos" w:hAnsi="Aptos"/>
        </w:rPr>
        <w:t xml:space="preserve">, maintain a record of such identification, diagnosis, proposal and program actually provided and make such reports as the department may require (emphasis added).”  M.G.L. c. 127 §48 requires the Commissioner of the Department of Corrections to “establish and maintain education, training and employment programs for persons committed to the custody of the department” and that for persons committed to the custody of the Department of Corrections for over 6 months who have not received their high school diploma to ensure that </w:t>
      </w:r>
      <w:r w:rsidR="00CF1FEF" w:rsidRPr="001C7828">
        <w:rPr>
          <w:rFonts w:ascii="Aptos" w:hAnsi="Aptos"/>
        </w:rPr>
        <w:t xml:space="preserve">there is </w:t>
      </w:r>
      <w:r w:rsidRPr="001C7828">
        <w:rPr>
          <w:rFonts w:ascii="Aptos" w:hAnsi="Aptos"/>
        </w:rPr>
        <w:t>“at least 1 educational program leading to the award of a high school equivalency certificate is available”.  It does not mention the provision of special education programs or services.  Finally, 603 CMR 28.09(9)(a) addresses the provision of special education services to eligible students in institutional settings, and notes that while admission and discharge decisions remain with the institutional agency, the student’s LEA remains responsible for the “referral, evaluation, and the provision of special education in accordance with state and federal law as to students in public schools”.</w:t>
      </w:r>
    </w:p>
  </w:footnote>
  <w:footnote w:id="16">
    <w:p w14:paraId="2CDB237C" w14:textId="3101526E" w:rsidR="009438C4" w:rsidRPr="001C7828" w:rsidRDefault="009438C4" w:rsidP="009438C4">
      <w:pPr>
        <w:pStyle w:val="FootnoteText"/>
        <w:rPr>
          <w:rFonts w:ascii="Aptos" w:hAnsi="Aptos"/>
        </w:rPr>
      </w:pPr>
      <w:r w:rsidRPr="001C7828">
        <w:rPr>
          <w:rStyle w:val="FootnoteReference"/>
          <w:rFonts w:ascii="Aptos" w:hAnsi="Aptos"/>
        </w:rPr>
        <w:footnoteRef/>
      </w:r>
      <w:r w:rsidR="001C7828">
        <w:rPr>
          <w:rFonts w:ascii="Aptos" w:hAnsi="Aptos"/>
        </w:rPr>
        <w:t xml:space="preserve"> </w:t>
      </w:r>
      <w:r w:rsidRPr="001C7828">
        <w:rPr>
          <w:rFonts w:ascii="Aptos" w:hAnsi="Aptos"/>
        </w:rPr>
        <w:t xml:space="preserve">  The Parties interchangeably refer to this date as January 3, 2023, and January 4, 2023, and for purposes of this </w:t>
      </w:r>
      <w:r w:rsidRPr="001C7828">
        <w:rPr>
          <w:rFonts w:ascii="Aptos" w:hAnsi="Aptos"/>
          <w:i/>
          <w:iCs/>
        </w:rPr>
        <w:t>Ruling</w:t>
      </w:r>
      <w:r w:rsidRPr="001C7828">
        <w:rPr>
          <w:rFonts w:ascii="Aptos" w:hAnsi="Aptos"/>
        </w:rPr>
        <w:t xml:space="preserve"> I consider both dates to refer to the same timeframe.  </w:t>
      </w:r>
    </w:p>
  </w:footnote>
  <w:footnote w:id="17">
    <w:p w14:paraId="1AA208E9" w14:textId="1EDEEE81" w:rsidR="00935DA3" w:rsidRPr="001C7828" w:rsidRDefault="00935DA3">
      <w:pPr>
        <w:pStyle w:val="FootnoteText"/>
        <w:rPr>
          <w:rFonts w:ascii="Aptos" w:hAnsi="Aptos"/>
        </w:rPr>
      </w:pPr>
      <w:r w:rsidRPr="001C7828">
        <w:rPr>
          <w:rStyle w:val="FootnoteReference"/>
          <w:rFonts w:ascii="Aptos" w:hAnsi="Aptos"/>
        </w:rPr>
        <w:footnoteRef/>
      </w:r>
      <w:r w:rsidRPr="001C7828">
        <w:rPr>
          <w:rFonts w:ascii="Aptos" w:hAnsi="Aptos"/>
        </w:rPr>
        <w:t xml:space="preserve"> </w:t>
      </w:r>
      <w:r w:rsidR="001C7828">
        <w:rPr>
          <w:rFonts w:ascii="Aptos" w:hAnsi="Aptos"/>
        </w:rPr>
        <w:t xml:space="preserve">  </w:t>
      </w:r>
      <w:r w:rsidRPr="001C7828">
        <w:rPr>
          <w:rFonts w:ascii="Aptos" w:hAnsi="Aptos" w:cs="Times New Roman"/>
        </w:rPr>
        <w:t xml:space="preserve">Student has not yet been so convicted, and he is currently only detained in the CHC pending adjudication of his charges.  </w:t>
      </w:r>
    </w:p>
  </w:footnote>
  <w:footnote w:id="18">
    <w:p w14:paraId="17BD8000" w14:textId="77777777" w:rsidR="00DA78B3" w:rsidRPr="001C7828" w:rsidRDefault="00DA78B3" w:rsidP="00DA78B3">
      <w:pPr>
        <w:pStyle w:val="FootnoteText"/>
        <w:rPr>
          <w:rFonts w:ascii="Aptos" w:hAnsi="Aptos" w:cs="Times New Roman"/>
        </w:rPr>
      </w:pPr>
      <w:r w:rsidRPr="001C7828">
        <w:rPr>
          <w:rStyle w:val="FootnoteReference"/>
          <w:rFonts w:ascii="Aptos" w:hAnsi="Aptos" w:cs="Times New Roman"/>
        </w:rPr>
        <w:footnoteRef/>
      </w:r>
      <w:r w:rsidRPr="001C7828">
        <w:rPr>
          <w:rFonts w:ascii="Aptos" w:hAnsi="Aptos" w:cs="Times New Roman"/>
        </w:rPr>
        <w:t xml:space="preserve">   </w:t>
      </w:r>
      <w:r w:rsidRPr="001C7828">
        <w:rPr>
          <w:rFonts w:ascii="Aptos" w:eastAsia="Times New Roman" w:hAnsi="Aptos" w:cs="Times New Roman"/>
        </w:rPr>
        <w:t>As these rules/regulations are analogous to Rule 12(b)(6) of the Federal and Massachusetts Rules of Civil Procedure (FRCP and MRCP, respectively), hearing officers are generally guided by federal court decisions in deciding such motions.</w:t>
      </w:r>
    </w:p>
  </w:footnote>
  <w:footnote w:id="19">
    <w:p w14:paraId="5BE4387F" w14:textId="77777777" w:rsidR="00DA78B3" w:rsidRPr="001C7828" w:rsidRDefault="00DA78B3" w:rsidP="00DA78B3">
      <w:pPr>
        <w:pStyle w:val="FootnoteText"/>
        <w:rPr>
          <w:rFonts w:ascii="Aptos" w:hAnsi="Aptos" w:cs="Times New Roman"/>
        </w:rPr>
      </w:pPr>
      <w:r w:rsidRPr="001C7828">
        <w:rPr>
          <w:rStyle w:val="FootnoteReference"/>
          <w:rFonts w:ascii="Aptos" w:hAnsi="Aptos" w:cs="Times New Roman"/>
        </w:rPr>
        <w:footnoteRef/>
      </w:r>
      <w:r w:rsidRPr="001C7828">
        <w:rPr>
          <w:rFonts w:ascii="Aptos" w:hAnsi="Aptos" w:cs="Times New Roman"/>
        </w:rPr>
        <w:t xml:space="preserve">   </w:t>
      </w:r>
      <w:r w:rsidRPr="001C7828">
        <w:rPr>
          <w:rFonts w:ascii="Aptos" w:eastAsia="Times New Roman" w:hAnsi="Aptos" w:cs="Times New Roman"/>
          <w:i/>
          <w:iCs/>
        </w:rPr>
        <w:t>Iannocchino v. Ford Motor Co.</w:t>
      </w:r>
      <w:r w:rsidRPr="001C7828">
        <w:rPr>
          <w:rFonts w:ascii="Aptos" w:eastAsia="Times New Roman" w:hAnsi="Aptos" w:cs="Times New Roman"/>
        </w:rPr>
        <w:t>, 451 Mass. 623, 636 (2008) quoting </w:t>
      </w:r>
      <w:r w:rsidRPr="001C7828">
        <w:rPr>
          <w:rFonts w:ascii="Aptos" w:eastAsia="Times New Roman" w:hAnsi="Aptos" w:cs="Times New Roman"/>
          <w:i/>
          <w:iCs/>
        </w:rPr>
        <w:t>Bell Atl. Corp. v. Twombly</w:t>
      </w:r>
      <w:r w:rsidRPr="001C7828">
        <w:rPr>
          <w:rFonts w:ascii="Aptos" w:eastAsia="Times New Roman" w:hAnsi="Aptos" w:cs="Times New Roman"/>
        </w:rPr>
        <w:t>, 550 U.S. 544, 557 (2007).</w:t>
      </w:r>
    </w:p>
  </w:footnote>
  <w:footnote w:id="20">
    <w:p w14:paraId="5D584F54" w14:textId="77777777" w:rsidR="00DA78B3" w:rsidRPr="001C7828" w:rsidRDefault="00DA78B3" w:rsidP="00DA78B3">
      <w:pPr>
        <w:pStyle w:val="FootnoteText"/>
        <w:rPr>
          <w:rFonts w:ascii="Aptos" w:eastAsia="Times New Roman" w:hAnsi="Aptos" w:cs="Times New Roman"/>
        </w:rPr>
      </w:pPr>
      <w:r w:rsidRPr="001C7828">
        <w:rPr>
          <w:rStyle w:val="FootnoteReference"/>
          <w:rFonts w:ascii="Aptos" w:hAnsi="Aptos" w:cs="Times New Roman"/>
        </w:rPr>
        <w:footnoteRef/>
      </w:r>
      <w:r w:rsidRPr="001C7828">
        <w:rPr>
          <w:rFonts w:ascii="Aptos" w:hAnsi="Aptos" w:cs="Times New Roman"/>
        </w:rPr>
        <w:t xml:space="preserve">   </w:t>
      </w:r>
      <w:r w:rsidRPr="001C7828">
        <w:rPr>
          <w:rFonts w:ascii="Aptos" w:eastAsia="Times New Roman" w:hAnsi="Aptos" w:cs="Times New Roman"/>
          <w:i/>
          <w:iCs/>
        </w:rPr>
        <w:t>Blank v. Chelmsford Ob/Gyn, P.C.</w:t>
      </w:r>
      <w:r w:rsidRPr="001C7828">
        <w:rPr>
          <w:rFonts w:ascii="Aptos" w:eastAsia="Times New Roman" w:hAnsi="Aptos" w:cs="Times New Roman"/>
        </w:rPr>
        <w:t>, 420 Mass. 404, 407 (1995).</w:t>
      </w:r>
    </w:p>
  </w:footnote>
  <w:footnote w:id="21">
    <w:p w14:paraId="1FE838A3" w14:textId="2B585827" w:rsidR="00DA78B3" w:rsidRPr="001C7828" w:rsidRDefault="00DA78B3" w:rsidP="00DA78B3">
      <w:pPr>
        <w:shd w:val="clear" w:color="auto" w:fill="FFFFFF"/>
        <w:textAlignment w:val="baseline"/>
        <w:rPr>
          <w:rFonts w:ascii="Aptos" w:eastAsia="Times New Roman" w:hAnsi="Aptos" w:cs="Times New Roman"/>
          <w:sz w:val="20"/>
          <w:szCs w:val="20"/>
        </w:rPr>
      </w:pPr>
      <w:r w:rsidRPr="00123F8A">
        <w:rPr>
          <w:rStyle w:val="FootnoteReference"/>
          <w:rFonts w:ascii="Aptos" w:hAnsi="Aptos" w:cs="Times New Roman"/>
          <w:sz w:val="20"/>
          <w:szCs w:val="20"/>
        </w:rPr>
        <w:footnoteRef/>
      </w:r>
      <w:r w:rsidRPr="00123F8A">
        <w:rPr>
          <w:rFonts w:ascii="Aptos" w:hAnsi="Aptos" w:cs="Times New Roman"/>
          <w:sz w:val="20"/>
          <w:szCs w:val="20"/>
        </w:rPr>
        <w:t xml:space="preserve">   </w:t>
      </w:r>
      <w:r w:rsidRPr="00123F8A">
        <w:rPr>
          <w:rFonts w:ascii="Aptos" w:eastAsia="Times New Roman" w:hAnsi="Aptos" w:cs="Times New Roman"/>
          <w:i/>
          <w:iCs/>
          <w:sz w:val="20"/>
          <w:szCs w:val="20"/>
        </w:rPr>
        <w:t xml:space="preserve">Iannocchino </w:t>
      </w:r>
      <w:r w:rsidRPr="00123F8A">
        <w:rPr>
          <w:rFonts w:ascii="Aptos" w:eastAsia="Times New Roman" w:hAnsi="Aptos" w:cs="Times New Roman"/>
          <w:sz w:val="20"/>
          <w:szCs w:val="20"/>
        </w:rPr>
        <w:t xml:space="preserve">451 Mass. at 636 </w:t>
      </w:r>
      <w:r w:rsidR="003B0A82" w:rsidRPr="00123F8A">
        <w:rPr>
          <w:rFonts w:ascii="Aptos" w:eastAsia="Times New Roman" w:hAnsi="Aptos" w:cs="Times New Roman"/>
          <w:sz w:val="20"/>
          <w:szCs w:val="20"/>
        </w:rPr>
        <w:t>(</w:t>
      </w:r>
      <w:r w:rsidRPr="00123F8A">
        <w:rPr>
          <w:rFonts w:ascii="Aptos" w:eastAsia="Times New Roman" w:hAnsi="Aptos" w:cs="Times New Roman"/>
          <w:sz w:val="20"/>
          <w:szCs w:val="20"/>
        </w:rPr>
        <w:t>quoting </w:t>
      </w:r>
      <w:r w:rsidRPr="00123F8A">
        <w:rPr>
          <w:rFonts w:ascii="Aptos" w:eastAsia="Times New Roman" w:hAnsi="Aptos" w:cs="Times New Roman"/>
          <w:i/>
          <w:iCs/>
          <w:sz w:val="20"/>
          <w:szCs w:val="20"/>
        </w:rPr>
        <w:t>Bell Atl. Corp.</w:t>
      </w:r>
      <w:r w:rsidRPr="00123F8A">
        <w:rPr>
          <w:rFonts w:ascii="Aptos" w:eastAsia="Times New Roman" w:hAnsi="Aptos" w:cs="Times New Roman"/>
          <w:sz w:val="20"/>
          <w:szCs w:val="20"/>
        </w:rPr>
        <w:t>, 550 U.S. at 555</w:t>
      </w:r>
      <w:r w:rsidR="003B0A82" w:rsidRPr="00123F8A">
        <w:rPr>
          <w:rFonts w:ascii="Aptos" w:eastAsia="Times New Roman" w:hAnsi="Aptos" w:cs="Times New Roman"/>
          <w:sz w:val="20"/>
          <w:szCs w:val="20"/>
        </w:rPr>
        <w:t>)</w:t>
      </w:r>
      <w:r w:rsidRPr="00123F8A">
        <w:rPr>
          <w:rFonts w:ascii="Aptos" w:eastAsia="Times New Roman" w:hAnsi="Aptos" w:cs="Times New Roman"/>
          <w:sz w:val="20"/>
          <w:szCs w:val="20"/>
        </w:rPr>
        <w:t xml:space="preserve">; see </w:t>
      </w:r>
      <w:r w:rsidRPr="00123F8A">
        <w:rPr>
          <w:rFonts w:ascii="Aptos" w:hAnsi="Aptos" w:cs="Times New Roman"/>
          <w:i/>
          <w:iCs/>
          <w:sz w:val="20"/>
          <w:szCs w:val="20"/>
        </w:rPr>
        <w:t>Ocasio-Hernandez</w:t>
      </w:r>
      <w:r w:rsidR="00123F8A" w:rsidRPr="00123F8A">
        <w:rPr>
          <w:rFonts w:ascii="Aptos" w:hAnsi="Aptos" w:cs="Times New Roman"/>
          <w:i/>
          <w:iCs/>
          <w:sz w:val="20"/>
          <w:szCs w:val="20"/>
        </w:rPr>
        <w:t xml:space="preserve"> v. Fortuno-Burset</w:t>
      </w:r>
      <w:r w:rsidR="00123F8A" w:rsidRPr="00123F8A">
        <w:rPr>
          <w:rFonts w:ascii="Aptos" w:hAnsi="Aptos" w:cs="Times New Roman"/>
          <w:sz w:val="20"/>
          <w:szCs w:val="20"/>
        </w:rPr>
        <w:t>, 640 F.3d 1, 12 (1st Cir. 2011)</w:t>
      </w:r>
      <w:r w:rsidRPr="001C7828">
        <w:rPr>
          <w:rFonts w:ascii="Aptos" w:eastAsia="Times New Roman" w:hAnsi="Aptos" w:cs="Times New Roman"/>
          <w:sz w:val="20"/>
          <w:szCs w:val="20"/>
        </w:rPr>
        <w:t>.</w:t>
      </w:r>
    </w:p>
  </w:footnote>
  <w:footnote w:id="22">
    <w:p w14:paraId="2AD18701" w14:textId="77777777" w:rsidR="00DA78B3" w:rsidRPr="001C7828" w:rsidRDefault="00DA78B3" w:rsidP="00DA78B3">
      <w:pPr>
        <w:pStyle w:val="FootnoteText"/>
        <w:rPr>
          <w:rFonts w:ascii="Aptos" w:hAnsi="Aptos" w:cs="Times New Roman"/>
        </w:rPr>
      </w:pPr>
      <w:r w:rsidRPr="001C7828">
        <w:rPr>
          <w:rStyle w:val="FootnoteReference"/>
          <w:rFonts w:ascii="Aptos" w:hAnsi="Aptos" w:cs="Times New Roman"/>
        </w:rPr>
        <w:footnoteRef/>
      </w:r>
      <w:r w:rsidRPr="001C7828">
        <w:rPr>
          <w:rFonts w:ascii="Aptos" w:hAnsi="Aptos" w:cs="Times New Roman"/>
        </w:rPr>
        <w:t xml:space="preserve">   In some matters where, unlike this case, parties are </w:t>
      </w:r>
      <w:r w:rsidRPr="001C7828">
        <w:rPr>
          <w:rFonts w:ascii="Aptos" w:hAnsi="Aptos" w:cs="Times New Roman"/>
          <w:i/>
          <w:iCs/>
        </w:rPr>
        <w:t>pro se</w:t>
      </w:r>
      <w:r w:rsidRPr="001C7828">
        <w:rPr>
          <w:rFonts w:ascii="Aptos" w:hAnsi="Aptos" w:cs="Times New Roman"/>
        </w:rPr>
        <w:t>, there is a further degree of leniency that should be applied in reviewing Hearing Requests that are sought to be dismissed.</w:t>
      </w:r>
    </w:p>
  </w:footnote>
  <w:footnote w:id="23">
    <w:p w14:paraId="4334F746" w14:textId="77777777" w:rsidR="00DA78B3" w:rsidRPr="001C7828" w:rsidRDefault="00DA78B3" w:rsidP="00DA78B3">
      <w:pPr>
        <w:pStyle w:val="FootnoteText"/>
        <w:rPr>
          <w:rFonts w:ascii="Aptos" w:hAnsi="Aptos" w:cs="Times New Roman"/>
        </w:rPr>
      </w:pPr>
      <w:r w:rsidRPr="001C7828">
        <w:rPr>
          <w:rStyle w:val="FootnoteReference"/>
          <w:rFonts w:ascii="Aptos" w:hAnsi="Aptos" w:cs="Times New Roman"/>
        </w:rPr>
        <w:footnoteRef/>
      </w:r>
      <w:r w:rsidRPr="001C7828">
        <w:rPr>
          <w:rFonts w:ascii="Aptos" w:hAnsi="Aptos" w:cs="Times New Roman"/>
        </w:rPr>
        <w:t xml:space="preserve">   FRCP 8(a), “</w:t>
      </w:r>
      <w:r w:rsidRPr="001C7828">
        <w:rPr>
          <w:rFonts w:ascii="Aptos" w:hAnsi="Aptos" w:cs="Times New Roman"/>
          <w:i/>
          <w:iCs/>
        </w:rPr>
        <w:t>Claim for Relief.</w:t>
      </w:r>
      <w:r w:rsidRPr="001C7828">
        <w:rPr>
          <w:rFonts w:ascii="Aptos" w:hAnsi="Aptos" w:cs="Times New Roman"/>
        </w:rPr>
        <w:t>  A pleading that states a claim for relief must contain: … (2)</w:t>
      </w:r>
      <w:r w:rsidRPr="001C7828">
        <w:rPr>
          <w:rFonts w:ascii="Aptos" w:hAnsi="Aptos" w:cs="Times New Roman"/>
          <w:b/>
          <w:bCs/>
        </w:rPr>
        <w:t> </w:t>
      </w:r>
      <w:r w:rsidRPr="001C7828">
        <w:rPr>
          <w:rFonts w:ascii="Aptos" w:hAnsi="Aptos" w:cs="Times New Roman"/>
        </w:rPr>
        <w:t xml:space="preserve">a short and plain statement of the claim showing that the pleader is entitled to relief…”; see </w:t>
      </w:r>
      <w:r w:rsidRPr="001C7828">
        <w:rPr>
          <w:rFonts w:ascii="Aptos" w:hAnsi="Aptos" w:cs="Times New Roman"/>
          <w:i/>
          <w:iCs/>
        </w:rPr>
        <w:t>Bell Atl. Corp.</w:t>
      </w:r>
      <w:r w:rsidRPr="001C7828">
        <w:rPr>
          <w:rFonts w:ascii="Aptos" w:hAnsi="Aptos" w:cs="Times New Roman"/>
        </w:rPr>
        <w:t>, 550 U.S. at 555.</w:t>
      </w:r>
    </w:p>
  </w:footnote>
  <w:footnote w:id="24">
    <w:p w14:paraId="61FEFDF6" w14:textId="78F56396" w:rsidR="00DA78B3" w:rsidRPr="001C7828" w:rsidRDefault="00DA78B3" w:rsidP="00DA78B3">
      <w:pPr>
        <w:pStyle w:val="FootnoteText"/>
        <w:rPr>
          <w:rFonts w:ascii="Aptos" w:hAnsi="Aptos" w:cs="Times New Roman"/>
        </w:rPr>
      </w:pPr>
      <w:r w:rsidRPr="001C7828">
        <w:rPr>
          <w:rStyle w:val="FootnoteReference"/>
          <w:rFonts w:ascii="Aptos" w:hAnsi="Aptos" w:cs="Times New Roman"/>
        </w:rPr>
        <w:footnoteRef/>
      </w:r>
      <w:r w:rsidRPr="001C7828">
        <w:rPr>
          <w:rFonts w:ascii="Aptos" w:hAnsi="Aptos" w:cs="Times New Roman"/>
        </w:rPr>
        <w:t xml:space="preserve">   </w:t>
      </w:r>
      <w:r w:rsidR="00712488" w:rsidRPr="001C7828">
        <w:rPr>
          <w:rFonts w:ascii="Aptos" w:hAnsi="Aptos" w:cs="Times New Roman"/>
          <w:i/>
          <w:iCs/>
        </w:rPr>
        <w:t>Bell Atl. Corp.</w:t>
      </w:r>
      <w:r w:rsidR="00712488" w:rsidRPr="001C7828">
        <w:rPr>
          <w:rFonts w:ascii="Aptos" w:hAnsi="Aptos" w:cs="Times New Roman"/>
        </w:rPr>
        <w:t>, 550 U.S. at 555</w:t>
      </w:r>
      <w:r w:rsidR="00712488">
        <w:rPr>
          <w:rFonts w:ascii="Aptos" w:hAnsi="Aptos" w:cs="Times New Roman"/>
        </w:rPr>
        <w:t xml:space="preserve"> </w:t>
      </w:r>
      <w:r w:rsidR="00A65E57">
        <w:rPr>
          <w:rFonts w:ascii="Aptos" w:hAnsi="Aptos" w:cs="Times New Roman"/>
        </w:rPr>
        <w:t>(</w:t>
      </w:r>
      <w:r w:rsidRPr="001C7828">
        <w:rPr>
          <w:rFonts w:ascii="Aptos" w:hAnsi="Aptos" w:cs="Times New Roman"/>
        </w:rPr>
        <w:t>citing </w:t>
      </w:r>
      <w:hyperlink r:id="rId1" w:history="1">
        <w:r w:rsidRPr="00A65E57">
          <w:rPr>
            <w:rStyle w:val="Hyperlink"/>
            <w:rFonts w:ascii="Aptos" w:hAnsi="Aptos" w:cs="Times New Roman"/>
            <w:i/>
            <w:iCs/>
            <w:color w:val="auto"/>
            <w:u w:val="none"/>
          </w:rPr>
          <w:t>Papasan v. Allain</w:t>
        </w:r>
        <w:r w:rsidRPr="00A65E57">
          <w:rPr>
            <w:rStyle w:val="Hyperlink"/>
            <w:rFonts w:ascii="Aptos" w:hAnsi="Aptos" w:cs="Times New Roman"/>
            <w:color w:val="auto"/>
            <w:u w:val="none"/>
          </w:rPr>
          <w:t>, 478 U.S. 265, 286 (1986)</w:t>
        </w:r>
      </w:hyperlink>
      <w:r w:rsidR="00A65E57">
        <w:rPr>
          <w:rStyle w:val="Hyperlink"/>
          <w:rFonts w:ascii="Aptos" w:hAnsi="Aptos" w:cs="Times New Roman"/>
          <w:color w:val="auto"/>
          <w:u w:val="none"/>
        </w:rPr>
        <w:t>)</w:t>
      </w:r>
      <w:r w:rsidRPr="001C7828">
        <w:rPr>
          <w:rFonts w:ascii="Aptos" w:hAnsi="Aptos" w:cs="Times New Roman"/>
        </w:rPr>
        <w:t>.</w:t>
      </w:r>
    </w:p>
  </w:footnote>
  <w:footnote w:id="25">
    <w:p w14:paraId="0E61B5CA" w14:textId="77777777" w:rsidR="00DA78B3" w:rsidRPr="001C7828" w:rsidRDefault="00DA78B3" w:rsidP="00DA78B3">
      <w:pPr>
        <w:pStyle w:val="FootnoteText"/>
        <w:rPr>
          <w:rFonts w:ascii="Aptos" w:hAnsi="Aptos"/>
        </w:rPr>
      </w:pPr>
      <w:r w:rsidRPr="001C7828">
        <w:rPr>
          <w:rStyle w:val="FootnoteReference"/>
          <w:rFonts w:ascii="Aptos" w:hAnsi="Aptos"/>
        </w:rPr>
        <w:footnoteRef/>
      </w:r>
      <w:r w:rsidRPr="001C7828">
        <w:rPr>
          <w:rFonts w:ascii="Aptos" w:hAnsi="Aptos"/>
        </w:rPr>
        <w:t xml:space="preserve">   </w:t>
      </w:r>
      <w:r w:rsidRPr="001C7828">
        <w:rPr>
          <w:rFonts w:ascii="Aptos" w:hAnsi="Aptos"/>
          <w:color w:val="000000" w:themeColor="text1"/>
          <w:shd w:val="clear" w:color="auto" w:fill="FFFFFF"/>
        </w:rPr>
        <w:t xml:space="preserve">801 CMR 1.01(7)(h).  As with motions to dismiss, hearing officers are guided by </w:t>
      </w:r>
      <w:r w:rsidRPr="001C7828">
        <w:rPr>
          <w:rFonts w:ascii="Aptos" w:eastAsia="Times New Roman" w:hAnsi="Aptos" w:cs="Times New Roman"/>
        </w:rPr>
        <w:t>Rule 56 of the FRCP and MRCP in deciding motions for summary judgment or decision.</w:t>
      </w:r>
    </w:p>
  </w:footnote>
  <w:footnote w:id="26">
    <w:p w14:paraId="538497FF" w14:textId="77777777" w:rsidR="00DA78B3" w:rsidRPr="001C7828" w:rsidRDefault="00DA78B3" w:rsidP="00DA78B3">
      <w:pPr>
        <w:pStyle w:val="FootnoteText"/>
        <w:rPr>
          <w:rFonts w:ascii="Aptos" w:hAnsi="Aptos"/>
        </w:rPr>
      </w:pPr>
      <w:r w:rsidRPr="001C7828">
        <w:rPr>
          <w:rStyle w:val="FootnoteReference"/>
          <w:rFonts w:ascii="Aptos" w:hAnsi="Aptos"/>
        </w:rPr>
        <w:footnoteRef/>
      </w:r>
      <w:r w:rsidRPr="001C7828">
        <w:rPr>
          <w:rFonts w:ascii="Aptos" w:hAnsi="Aptos"/>
        </w:rPr>
        <w:t xml:space="preserve">   </w:t>
      </w:r>
      <w:r w:rsidRPr="001C7828">
        <w:rPr>
          <w:rFonts w:ascii="Aptos" w:hAnsi="Aptos"/>
          <w:i/>
          <w:iCs/>
          <w:color w:val="000000" w:themeColor="text1"/>
        </w:rPr>
        <w:t>French v. Merrill</w:t>
      </w:r>
      <w:r w:rsidRPr="001C7828">
        <w:rPr>
          <w:rFonts w:ascii="Aptos" w:hAnsi="Aptos"/>
          <w:color w:val="000000" w:themeColor="text1"/>
        </w:rPr>
        <w:t xml:space="preserve">, 15 F.4th 116, 123 (1st Cir. 2021); see </w:t>
      </w:r>
      <w:r w:rsidRPr="001C7828">
        <w:rPr>
          <w:rFonts w:ascii="Aptos" w:hAnsi="Aptos"/>
          <w:i/>
          <w:color w:val="000000" w:themeColor="text1"/>
          <w:bdr w:val="none" w:sz="0" w:space="0" w:color="auto" w:frame="1"/>
        </w:rPr>
        <w:t>Maldanado-Denis v. Castillo-Rodriguez,</w:t>
      </w:r>
      <w:r w:rsidRPr="001C7828">
        <w:rPr>
          <w:rFonts w:ascii="Aptos" w:hAnsi="Aptos"/>
          <w:color w:val="000000" w:themeColor="text1"/>
          <w:bdr w:val="none" w:sz="0" w:space="0" w:color="auto" w:frame="1"/>
        </w:rPr>
        <w:t xml:space="preserve"> 23 F.3d 576, 581 (1st Cir. 1994).</w:t>
      </w:r>
    </w:p>
  </w:footnote>
  <w:footnote w:id="27">
    <w:p w14:paraId="20C7FF09" w14:textId="77777777" w:rsidR="00DA78B3" w:rsidRPr="001C7828" w:rsidRDefault="00DA78B3" w:rsidP="00DA78B3">
      <w:pPr>
        <w:pStyle w:val="FootnoteText"/>
        <w:rPr>
          <w:rFonts w:ascii="Aptos" w:hAnsi="Aptos"/>
        </w:rPr>
      </w:pPr>
      <w:r w:rsidRPr="001C7828">
        <w:rPr>
          <w:rStyle w:val="FootnoteReference"/>
          <w:rFonts w:ascii="Aptos" w:hAnsi="Aptos"/>
        </w:rPr>
        <w:footnoteRef/>
      </w:r>
      <w:r w:rsidRPr="001C7828">
        <w:rPr>
          <w:rFonts w:ascii="Aptos" w:hAnsi="Aptos"/>
        </w:rPr>
        <w:t xml:space="preserve">   </w:t>
      </w:r>
      <w:r w:rsidRPr="001C7828">
        <w:rPr>
          <w:rFonts w:ascii="Aptos" w:hAnsi="Aptos"/>
          <w:i/>
          <w:color w:val="000000" w:themeColor="text1"/>
        </w:rPr>
        <w:t>Anderson v. Liberty Lobby, Inc.,</w:t>
      </w:r>
      <w:r w:rsidRPr="001C7828">
        <w:rPr>
          <w:rFonts w:ascii="Aptos" w:hAnsi="Aptos"/>
          <w:color w:val="000000" w:themeColor="text1"/>
        </w:rPr>
        <w:t xml:space="preserve"> 477 U.S</w:t>
      </w:r>
      <w:r w:rsidRPr="001C7828">
        <w:rPr>
          <w:rFonts w:ascii="Aptos" w:hAnsi="Aptos"/>
          <w:i/>
          <w:color w:val="000000" w:themeColor="text1"/>
        </w:rPr>
        <w:t xml:space="preserve">. </w:t>
      </w:r>
      <w:r w:rsidRPr="001C7828">
        <w:rPr>
          <w:rFonts w:ascii="Aptos" w:hAnsi="Aptos"/>
          <w:color w:val="000000" w:themeColor="text1"/>
        </w:rPr>
        <w:t>242, 250 (1986).</w:t>
      </w:r>
    </w:p>
  </w:footnote>
  <w:footnote w:id="28">
    <w:p w14:paraId="338FB73D" w14:textId="166115CA" w:rsidR="00DA78B3" w:rsidRPr="001C7828" w:rsidRDefault="00DA78B3" w:rsidP="00DA78B3">
      <w:pPr>
        <w:pStyle w:val="FootnoteText"/>
        <w:rPr>
          <w:rFonts w:ascii="Aptos" w:hAnsi="Aptos"/>
        </w:rPr>
      </w:pPr>
      <w:r w:rsidRPr="001C7828">
        <w:rPr>
          <w:rStyle w:val="FootnoteReference"/>
          <w:rFonts w:ascii="Aptos" w:hAnsi="Aptos"/>
        </w:rPr>
        <w:footnoteRef/>
      </w:r>
      <w:r w:rsidRPr="001C7828">
        <w:rPr>
          <w:rFonts w:ascii="Aptos" w:hAnsi="Aptos"/>
        </w:rPr>
        <w:t xml:space="preserve">   </w:t>
      </w:r>
      <w:r w:rsidRPr="001C7828">
        <w:rPr>
          <w:rFonts w:ascii="Aptos" w:hAnsi="Aptos"/>
          <w:i/>
          <w:color w:val="000000" w:themeColor="text1"/>
        </w:rPr>
        <w:t>Id</w:t>
      </w:r>
      <w:r w:rsidRPr="001C7828">
        <w:rPr>
          <w:rFonts w:ascii="Aptos" w:hAnsi="Aptos"/>
          <w:iCs/>
          <w:color w:val="000000" w:themeColor="text1"/>
        </w:rPr>
        <w:t>.</w:t>
      </w:r>
      <w:r w:rsidRPr="001C7828">
        <w:rPr>
          <w:rFonts w:ascii="Aptos" w:hAnsi="Aptos"/>
          <w:color w:val="000000" w:themeColor="text1"/>
        </w:rPr>
        <w:t xml:space="preserve"> </w:t>
      </w:r>
      <w:r w:rsidR="00BC6BAF">
        <w:rPr>
          <w:rFonts w:ascii="Aptos" w:hAnsi="Aptos"/>
          <w:color w:val="000000" w:themeColor="text1"/>
        </w:rPr>
        <w:t>(quoting</w:t>
      </w:r>
      <w:r w:rsidR="00C65685">
        <w:rPr>
          <w:rFonts w:ascii="Aptos" w:hAnsi="Aptos"/>
          <w:color w:val="000000" w:themeColor="text1"/>
        </w:rPr>
        <w:t xml:space="preserve"> FRCP 56(e)).</w:t>
      </w:r>
      <w:r w:rsidR="00BC6BAF">
        <w:rPr>
          <w:rFonts w:ascii="Aptos" w:hAnsi="Aptos"/>
          <w:color w:val="000000" w:themeColor="text1"/>
        </w:rPr>
        <w:t xml:space="preserve"> </w:t>
      </w:r>
    </w:p>
  </w:footnote>
  <w:footnote w:id="29">
    <w:p w14:paraId="2B757721" w14:textId="42BAAF5F" w:rsidR="00DA78B3" w:rsidRPr="001C7828" w:rsidRDefault="00DA78B3" w:rsidP="00DA78B3">
      <w:pPr>
        <w:pStyle w:val="FootnoteText"/>
        <w:rPr>
          <w:rFonts w:ascii="Aptos" w:hAnsi="Aptos"/>
        </w:rPr>
      </w:pPr>
      <w:r w:rsidRPr="001C7828">
        <w:rPr>
          <w:rStyle w:val="FootnoteReference"/>
          <w:rFonts w:ascii="Aptos" w:hAnsi="Aptos"/>
        </w:rPr>
        <w:footnoteRef/>
      </w:r>
      <w:r w:rsidRPr="001C7828">
        <w:rPr>
          <w:rFonts w:ascii="Aptos" w:hAnsi="Aptos"/>
        </w:rPr>
        <w:t xml:space="preserve">   </w:t>
      </w:r>
      <w:r w:rsidRPr="001C7828">
        <w:rPr>
          <w:rFonts w:ascii="Aptos" w:hAnsi="Aptos"/>
          <w:i/>
          <w:color w:val="000000" w:themeColor="text1"/>
        </w:rPr>
        <w:t xml:space="preserve">Mack v. Great Atl. &amp; Pac. Tea Co., </w:t>
      </w:r>
      <w:r w:rsidRPr="001C7828">
        <w:rPr>
          <w:rFonts w:ascii="Aptos" w:hAnsi="Aptos"/>
          <w:color w:val="000000" w:themeColor="text1"/>
        </w:rPr>
        <w:t>871 F.2d 179, 181 (1st Cir. 1989)</w:t>
      </w:r>
      <w:r w:rsidR="006608E8">
        <w:rPr>
          <w:rFonts w:ascii="Aptos" w:hAnsi="Aptos"/>
          <w:color w:val="000000" w:themeColor="text1"/>
        </w:rPr>
        <w:t xml:space="preserve"> (quoting </w:t>
      </w:r>
      <w:r w:rsidR="006608E8">
        <w:rPr>
          <w:rFonts w:ascii="Aptos" w:hAnsi="Aptos"/>
          <w:i/>
          <w:iCs/>
          <w:color w:val="000000" w:themeColor="text1"/>
        </w:rPr>
        <w:t>Anderson</w:t>
      </w:r>
      <w:r w:rsidR="006608E8">
        <w:rPr>
          <w:rFonts w:ascii="Aptos" w:hAnsi="Aptos"/>
          <w:color w:val="000000" w:themeColor="text1"/>
        </w:rPr>
        <w:t>, 477 US at 2</w:t>
      </w:r>
      <w:r w:rsidR="00B452D8">
        <w:rPr>
          <w:rFonts w:ascii="Aptos" w:hAnsi="Aptos"/>
          <w:color w:val="000000" w:themeColor="text1"/>
        </w:rPr>
        <w:t>49-</w:t>
      </w:r>
      <w:r w:rsidR="006608E8">
        <w:rPr>
          <w:rFonts w:ascii="Aptos" w:hAnsi="Aptos"/>
          <w:color w:val="000000" w:themeColor="text1"/>
        </w:rPr>
        <w:t>50)</w:t>
      </w:r>
      <w:r w:rsidRPr="001C7828">
        <w:rPr>
          <w:rFonts w:ascii="Aptos" w:hAnsi="Aptos"/>
          <w:color w:val="000000" w:themeColor="text1"/>
        </w:rPr>
        <w:t>.</w:t>
      </w:r>
    </w:p>
  </w:footnote>
  <w:footnote w:id="30">
    <w:p w14:paraId="5467E9E7" w14:textId="25752DF7" w:rsidR="00DA78B3" w:rsidRPr="001C7828" w:rsidRDefault="00DA78B3" w:rsidP="00DA78B3">
      <w:pPr>
        <w:pStyle w:val="FootnoteText"/>
        <w:rPr>
          <w:rFonts w:ascii="Aptos" w:hAnsi="Aptos"/>
        </w:rPr>
      </w:pPr>
      <w:r w:rsidRPr="001C7828">
        <w:rPr>
          <w:rStyle w:val="FootnoteReference"/>
          <w:rFonts w:ascii="Aptos" w:hAnsi="Aptos"/>
        </w:rPr>
        <w:footnoteRef/>
      </w:r>
      <w:r w:rsidRPr="001C7828">
        <w:rPr>
          <w:rFonts w:ascii="Aptos" w:hAnsi="Aptos"/>
        </w:rPr>
        <w:t xml:space="preserve">   </w:t>
      </w:r>
      <w:r w:rsidR="00B452D8">
        <w:rPr>
          <w:rFonts w:ascii="Aptos" w:hAnsi="Aptos"/>
          <w:i/>
          <w:color w:val="000000" w:themeColor="text1"/>
        </w:rPr>
        <w:t>Mack</w:t>
      </w:r>
      <w:r w:rsidR="00B452D8">
        <w:rPr>
          <w:rFonts w:ascii="Aptos" w:hAnsi="Aptos"/>
          <w:iCs/>
          <w:color w:val="000000" w:themeColor="text1"/>
        </w:rPr>
        <w:t>, 871 F.2d at 181</w:t>
      </w:r>
      <w:r w:rsidR="00201127">
        <w:rPr>
          <w:rFonts w:ascii="Aptos" w:hAnsi="Aptos"/>
          <w:iCs/>
          <w:color w:val="000000" w:themeColor="text1"/>
        </w:rPr>
        <w:t xml:space="preserve"> (citations omitted).</w:t>
      </w:r>
    </w:p>
  </w:footnote>
  <w:footnote w:id="31">
    <w:p w14:paraId="3185369C" w14:textId="77777777" w:rsidR="00DA78B3" w:rsidRPr="001C7828" w:rsidRDefault="00DA78B3" w:rsidP="00DA78B3">
      <w:pPr>
        <w:pStyle w:val="FootnoteText"/>
        <w:rPr>
          <w:rFonts w:ascii="Aptos" w:hAnsi="Aptos"/>
        </w:rPr>
      </w:pPr>
      <w:r w:rsidRPr="001C7828">
        <w:rPr>
          <w:rStyle w:val="FootnoteReference"/>
          <w:rFonts w:ascii="Aptos" w:hAnsi="Aptos"/>
        </w:rPr>
        <w:footnoteRef/>
      </w:r>
      <w:r w:rsidRPr="001C7828">
        <w:rPr>
          <w:rFonts w:ascii="Aptos" w:hAnsi="Aptos"/>
        </w:rPr>
        <w:t xml:space="preserve">   </w:t>
      </w:r>
      <w:r w:rsidRPr="001C7828">
        <w:rPr>
          <w:rFonts w:ascii="Aptos" w:hAnsi="Aptos"/>
          <w:i/>
          <w:iCs/>
          <w:color w:val="000000" w:themeColor="text1"/>
        </w:rPr>
        <w:t>Anderson,</w:t>
      </w:r>
      <w:r w:rsidRPr="001C7828">
        <w:rPr>
          <w:rFonts w:ascii="Aptos" w:hAnsi="Aptos"/>
          <w:color w:val="000000" w:themeColor="text1"/>
        </w:rPr>
        <w:t xml:space="preserve"> 477 U.S. at 252.</w:t>
      </w:r>
    </w:p>
  </w:footnote>
  <w:footnote w:id="32">
    <w:p w14:paraId="13A7A5F3" w14:textId="0E00006F" w:rsidR="00BE0843" w:rsidRPr="001C7828" w:rsidRDefault="00BE0843" w:rsidP="00BE0843">
      <w:pPr>
        <w:pStyle w:val="FootnoteText"/>
        <w:rPr>
          <w:rFonts w:ascii="Aptos" w:hAnsi="Aptos"/>
        </w:rPr>
      </w:pPr>
      <w:r w:rsidRPr="001C7828">
        <w:rPr>
          <w:rStyle w:val="FootnoteReference"/>
          <w:rFonts w:ascii="Aptos" w:hAnsi="Aptos"/>
        </w:rPr>
        <w:footnoteRef/>
      </w:r>
      <w:r w:rsidRPr="001C7828">
        <w:rPr>
          <w:rFonts w:ascii="Aptos" w:hAnsi="Aptos"/>
        </w:rPr>
        <w:t xml:space="preserve"> </w:t>
      </w:r>
      <w:r w:rsidR="001872F9">
        <w:rPr>
          <w:rFonts w:ascii="Aptos" w:hAnsi="Aptos"/>
        </w:rPr>
        <w:t xml:space="preserve">  </w:t>
      </w:r>
      <w:r w:rsidRPr="001C7828">
        <w:rPr>
          <w:rFonts w:ascii="Aptos" w:hAnsi="Aptos"/>
          <w:i/>
          <w:iCs/>
        </w:rPr>
        <w:t>Id</w:t>
      </w:r>
      <w:r w:rsidRPr="001C7828">
        <w:rPr>
          <w:rFonts w:ascii="Aptos" w:hAnsi="Aptos"/>
        </w:rPr>
        <w:t>. at 249.</w:t>
      </w:r>
    </w:p>
  </w:footnote>
  <w:footnote w:id="33">
    <w:p w14:paraId="5E8CC388" w14:textId="77777777" w:rsidR="00DA78B3" w:rsidRPr="001C7828" w:rsidRDefault="00DA78B3" w:rsidP="00DA78B3">
      <w:pPr>
        <w:pStyle w:val="FootnoteText"/>
        <w:rPr>
          <w:rFonts w:ascii="Aptos" w:hAnsi="Aptos" w:cs="Times New Roman"/>
        </w:rPr>
      </w:pPr>
      <w:r w:rsidRPr="001C7828">
        <w:rPr>
          <w:rStyle w:val="FootnoteReference"/>
          <w:rFonts w:ascii="Aptos" w:hAnsi="Aptos" w:cs="Times New Roman"/>
        </w:rPr>
        <w:footnoteRef/>
      </w:r>
      <w:r w:rsidRPr="001C7828">
        <w:rPr>
          <w:rFonts w:ascii="Aptos" w:hAnsi="Aptos" w:cs="Times New Roman"/>
        </w:rPr>
        <w:t xml:space="preserve">   See 34 CFR 300.507(a)(1); 603 CMR 28.08(3)(a) (providing for the BSEA to hear “… any matter concerning the eligibility, evaluation, placement, IEP, provision of special education in accordance with state and federal law or the procedural protections of state and federal law for students with disabilities”).</w:t>
      </w:r>
    </w:p>
  </w:footnote>
  <w:footnote w:id="34">
    <w:p w14:paraId="34951563" w14:textId="311D567A" w:rsidR="00DA78B3" w:rsidRPr="001C7828" w:rsidRDefault="00DA78B3" w:rsidP="00DA78B3">
      <w:pPr>
        <w:pStyle w:val="FootnoteText"/>
        <w:rPr>
          <w:rFonts w:ascii="Aptos" w:hAnsi="Aptos"/>
        </w:rPr>
      </w:pPr>
      <w:r w:rsidRPr="001C7828">
        <w:rPr>
          <w:rStyle w:val="FootnoteReference"/>
          <w:rFonts w:ascii="Aptos" w:hAnsi="Aptos"/>
        </w:rPr>
        <w:footnoteRef/>
      </w:r>
      <w:r w:rsidRPr="001C7828">
        <w:rPr>
          <w:rFonts w:ascii="Aptos" w:hAnsi="Aptos"/>
        </w:rPr>
        <w:t xml:space="preserve">   M.G.L. c. 71B §1; “Regular education” is also defined in this statute as “the school program and pupil assignment which normally leads to college preparatory or technical education or to a career.”; “School age child” is also defined in this statute as any person of ages three through twenty-one who has not attained a high school diploma or its equivalent”.</w:t>
      </w:r>
    </w:p>
  </w:footnote>
  <w:footnote w:id="35">
    <w:p w14:paraId="56623754" w14:textId="4D8B57A3" w:rsidR="00DA78B3" w:rsidRPr="001C7828" w:rsidRDefault="00DA78B3" w:rsidP="00DA78B3">
      <w:pPr>
        <w:pStyle w:val="FootnoteText"/>
        <w:rPr>
          <w:rFonts w:ascii="Aptos" w:hAnsi="Aptos"/>
        </w:rPr>
      </w:pPr>
      <w:r w:rsidRPr="001C7828">
        <w:rPr>
          <w:rStyle w:val="FootnoteReference"/>
          <w:rFonts w:ascii="Aptos" w:hAnsi="Aptos"/>
        </w:rPr>
        <w:footnoteRef/>
      </w:r>
      <w:r w:rsidR="001872F9">
        <w:rPr>
          <w:rFonts w:ascii="Aptos" w:hAnsi="Aptos"/>
        </w:rPr>
        <w:t xml:space="preserve"> </w:t>
      </w:r>
      <w:r w:rsidRPr="001C7828">
        <w:rPr>
          <w:rFonts w:ascii="Aptos" w:hAnsi="Aptos"/>
        </w:rPr>
        <w:t xml:space="preserve">  </w:t>
      </w:r>
      <w:r w:rsidRPr="001C7828">
        <w:rPr>
          <w:rFonts w:ascii="Aptos" w:hAnsi="Aptos"/>
          <w:i/>
          <w:iCs/>
        </w:rPr>
        <w:t>Id</w:t>
      </w:r>
      <w:r w:rsidRPr="001C7828">
        <w:rPr>
          <w:rFonts w:ascii="Aptos" w:hAnsi="Aptos"/>
        </w:rPr>
        <w:t>.</w:t>
      </w:r>
    </w:p>
  </w:footnote>
  <w:footnote w:id="36">
    <w:p w14:paraId="10F16C7B" w14:textId="77777777" w:rsidR="00DA78B3" w:rsidRPr="001C7828" w:rsidRDefault="00DA78B3" w:rsidP="00DA78B3">
      <w:pPr>
        <w:pStyle w:val="FootnoteText"/>
        <w:rPr>
          <w:rFonts w:ascii="Aptos" w:hAnsi="Aptos"/>
        </w:rPr>
      </w:pPr>
      <w:r w:rsidRPr="001C7828">
        <w:rPr>
          <w:rStyle w:val="FootnoteReference"/>
          <w:rFonts w:ascii="Aptos" w:hAnsi="Aptos"/>
        </w:rPr>
        <w:footnoteRef/>
      </w:r>
      <w:r w:rsidRPr="001C7828">
        <w:rPr>
          <w:rFonts w:ascii="Aptos" w:hAnsi="Aptos"/>
        </w:rPr>
        <w:t xml:space="preserve">   603 CMR 28.06(9).</w:t>
      </w:r>
    </w:p>
  </w:footnote>
  <w:footnote w:id="37">
    <w:p w14:paraId="18DB71CB" w14:textId="75ADDD41" w:rsidR="00DA78B3" w:rsidRPr="001C7828" w:rsidRDefault="00DA78B3" w:rsidP="00DA78B3">
      <w:pPr>
        <w:pStyle w:val="FootnoteText"/>
        <w:rPr>
          <w:rFonts w:ascii="Aptos" w:hAnsi="Aptos"/>
        </w:rPr>
      </w:pPr>
      <w:r w:rsidRPr="001C7828">
        <w:rPr>
          <w:rStyle w:val="FootnoteReference"/>
          <w:rFonts w:ascii="Aptos" w:hAnsi="Aptos"/>
        </w:rPr>
        <w:footnoteRef/>
      </w:r>
      <w:r w:rsidR="001872F9">
        <w:rPr>
          <w:rFonts w:ascii="Aptos" w:hAnsi="Aptos"/>
        </w:rPr>
        <w:t xml:space="preserve"> </w:t>
      </w:r>
      <w:r w:rsidRPr="001C7828">
        <w:rPr>
          <w:rFonts w:ascii="Aptos" w:hAnsi="Aptos"/>
        </w:rPr>
        <w:t xml:space="preserve">  603 CMR 28.06(9) (a) and (d).</w:t>
      </w:r>
    </w:p>
  </w:footnote>
  <w:footnote w:id="38">
    <w:p w14:paraId="1D523767" w14:textId="77777777" w:rsidR="00007FE1" w:rsidRPr="001C7828" w:rsidRDefault="00007FE1" w:rsidP="00007FE1">
      <w:pPr>
        <w:pStyle w:val="FootnoteText"/>
        <w:rPr>
          <w:rFonts w:ascii="Aptos" w:hAnsi="Aptos"/>
          <w:u w:val="single"/>
        </w:rPr>
      </w:pPr>
      <w:r w:rsidRPr="001C7828">
        <w:rPr>
          <w:rStyle w:val="FootnoteReference"/>
          <w:rFonts w:ascii="Aptos" w:hAnsi="Aptos"/>
        </w:rPr>
        <w:footnoteRef/>
      </w:r>
      <w:r w:rsidRPr="001C7828">
        <w:rPr>
          <w:rFonts w:ascii="Aptos" w:hAnsi="Aptos"/>
        </w:rPr>
        <w:t xml:space="preserve">   34 CFR 300.2(b)(1)(iv) (the obligations under the IDEA apply to “all political subdivisions of the State involved in the education of children with disabilities, including:  state and local juvenile and adult correctional facilities”);  See </w:t>
      </w:r>
      <w:r w:rsidRPr="001C7828">
        <w:rPr>
          <w:rFonts w:ascii="Aptos" w:hAnsi="Aptos"/>
          <w:i/>
          <w:iCs/>
        </w:rPr>
        <w:t xml:space="preserve">Letter to </w:t>
      </w:r>
      <w:proofErr w:type="spellStart"/>
      <w:r w:rsidRPr="001C7828">
        <w:rPr>
          <w:rFonts w:ascii="Aptos" w:hAnsi="Aptos"/>
          <w:i/>
          <w:iCs/>
        </w:rPr>
        <w:t>Yudie</w:t>
      </w:r>
      <w:r>
        <w:rPr>
          <w:rFonts w:ascii="Aptos" w:hAnsi="Aptos"/>
          <w:i/>
          <w:iCs/>
        </w:rPr>
        <w:t>n</w:t>
      </w:r>
      <w:proofErr w:type="spellEnd"/>
      <w:r w:rsidRPr="001C7828">
        <w:rPr>
          <w:rFonts w:ascii="Aptos" w:hAnsi="Aptos"/>
          <w:i/>
          <w:iCs/>
        </w:rPr>
        <w:t xml:space="preserve">, </w:t>
      </w:r>
      <w:r w:rsidRPr="001C7828">
        <w:rPr>
          <w:rFonts w:ascii="Aptos" w:hAnsi="Aptos"/>
        </w:rPr>
        <w:t xml:space="preserve">(OSERS, August 19, 2003) </w:t>
      </w:r>
      <w:r>
        <w:rPr>
          <w:rFonts w:ascii="Aptos" w:hAnsi="Aptos"/>
        </w:rPr>
        <w:t>(</w:t>
      </w:r>
      <w:r w:rsidRPr="001C7828">
        <w:rPr>
          <w:rFonts w:ascii="Aptos" w:hAnsi="Aptos"/>
        </w:rPr>
        <w:t xml:space="preserve">States must make FAPE available to all students with disabilities in adult prisons who are within the eligible age range under state law and “States and local educational agencies must include in its child find system, those incarcerated youth who would be eligible to receive a FAPE”);  </w:t>
      </w:r>
      <w:r w:rsidRPr="001C7828">
        <w:rPr>
          <w:rFonts w:ascii="Aptos" w:hAnsi="Aptos"/>
          <w:i/>
          <w:iCs/>
        </w:rPr>
        <w:t>Letter to Colleague</w:t>
      </w:r>
      <w:r w:rsidRPr="001C7828">
        <w:rPr>
          <w:rFonts w:ascii="Aptos" w:hAnsi="Aptos"/>
        </w:rPr>
        <w:t xml:space="preserve"> (OSERS, December 5, 2014) (concluding that for students with disabilities in correctional facilities, unless specifically exempted, all IDEA Part B requirements apply; “every agency at any level of government [including the SEA] that is involved in the provision of special education and related services to [such] students in correctional facilities must ensure the provision of FAPE [including compliance with child find, evaluation, LRE, due process and discipline requirements of the IDEA], even if other agencies share that responsibility”; and States must have interagency agreements that make it clear which agency or agencies are responsible for providing and paying for such special education and related services needed to ensure a FAPE).  </w:t>
      </w:r>
    </w:p>
  </w:footnote>
  <w:footnote w:id="39">
    <w:p w14:paraId="7624314C" w14:textId="5B7A8E1B" w:rsidR="00007FE1" w:rsidRPr="001C7828" w:rsidRDefault="00007FE1" w:rsidP="00007FE1">
      <w:pPr>
        <w:pStyle w:val="FootnoteText"/>
        <w:rPr>
          <w:rFonts w:ascii="Aptos" w:hAnsi="Aptos"/>
        </w:rPr>
      </w:pPr>
      <w:r w:rsidRPr="001C7828">
        <w:rPr>
          <w:rStyle w:val="FootnoteReference"/>
          <w:rFonts w:ascii="Aptos" w:hAnsi="Aptos"/>
        </w:rPr>
        <w:footnoteRef/>
      </w:r>
      <w:r w:rsidRPr="001C7828">
        <w:rPr>
          <w:rFonts w:ascii="Aptos" w:hAnsi="Aptos"/>
        </w:rPr>
        <w:t xml:space="preserve">   34 CFR 300.102(a)(2) (providing that the obligations to provide a FAPE do not apply to children ages 18 through 21 if there is a State law that otherwise does not require special education to such children who are also incarcerated in an adult correctional facility and who prior to their incarceration, when last attending school, were not actually identified as a child with a disability and did not have an IEP); 34 CFR 300.324(d) (providing that the IDEA requirements of participation in statewide and district-wide assessments do not apply to children with disabilities convicted as adults under State law and incarcerated in adult prison.  Neither do the IDEA requirements to be provided with transition planning or transition services </w:t>
      </w:r>
      <w:r w:rsidR="00A31279">
        <w:rPr>
          <w:rFonts w:ascii="Aptos" w:hAnsi="Aptos"/>
        </w:rPr>
        <w:t xml:space="preserve">apply </w:t>
      </w:r>
      <w:r w:rsidRPr="001C7828">
        <w:rPr>
          <w:rFonts w:ascii="Aptos" w:hAnsi="Aptos"/>
        </w:rPr>
        <w:t>for such children who will have aged out of eligibility prior to being released from prison</w:t>
      </w:r>
      <w:r w:rsidR="00A30428">
        <w:rPr>
          <w:rFonts w:ascii="Aptos" w:hAnsi="Aptos"/>
        </w:rPr>
        <w:t>,</w:t>
      </w:r>
      <w:r w:rsidRPr="001C7828">
        <w:rPr>
          <w:rFonts w:ascii="Aptos" w:hAnsi="Aptos"/>
        </w:rPr>
        <w:t xml:space="preserve"> </w:t>
      </w:r>
      <w:r w:rsidR="00A30428">
        <w:rPr>
          <w:rFonts w:ascii="Aptos" w:hAnsi="Aptos"/>
        </w:rPr>
        <w:t xml:space="preserve">after considering </w:t>
      </w:r>
      <w:r w:rsidRPr="001C7828">
        <w:rPr>
          <w:rFonts w:ascii="Aptos" w:hAnsi="Aptos"/>
        </w:rPr>
        <w:t xml:space="preserve">their sentence and eligibility for early release.  Further, if there is a “bona fide security or compelling penological interest that cannot otherwise be accommodated”, an IEP team may modify an IEP of such a child, provided the modifications do not otherwise fail to address all required elements of an IEP or fail to comply with the LRE requirements of the IDEA); see </w:t>
      </w:r>
      <w:r w:rsidRPr="001C7828">
        <w:rPr>
          <w:rFonts w:ascii="Aptos" w:hAnsi="Aptos"/>
          <w:i/>
          <w:iCs/>
        </w:rPr>
        <w:t>Letter to Duncan</w:t>
      </w:r>
      <w:r w:rsidRPr="001C7828">
        <w:rPr>
          <w:rFonts w:ascii="Aptos" w:hAnsi="Aptos"/>
        </w:rPr>
        <w:t>,</w:t>
      </w:r>
      <w:r>
        <w:rPr>
          <w:rFonts w:ascii="Aptos" w:hAnsi="Aptos"/>
        </w:rPr>
        <w:t xml:space="preserve"> (</w:t>
      </w:r>
      <w:r w:rsidRPr="001C7828">
        <w:rPr>
          <w:rFonts w:ascii="Aptos" w:hAnsi="Aptos"/>
        </w:rPr>
        <w:t>OSERS, January 29, 2019</w:t>
      </w:r>
      <w:r>
        <w:rPr>
          <w:rFonts w:ascii="Aptos" w:hAnsi="Aptos"/>
        </w:rPr>
        <w:t>)</w:t>
      </w:r>
      <w:r w:rsidRPr="001C7828">
        <w:rPr>
          <w:rFonts w:ascii="Aptos" w:hAnsi="Aptos"/>
        </w:rPr>
        <w:t xml:space="preserve"> (for youth convicted as adults and incarcerated in adult prison, if there is a “bona fide security or compelling penological interest that cannot be accommodated so as to allow the child to receive the special education and related services necessary to enable the child to be awarded a high school diploma, the child’s IEP may be modified … to be awarded the GED credential”).  </w:t>
      </w:r>
    </w:p>
  </w:footnote>
  <w:footnote w:id="40">
    <w:p w14:paraId="35A93AAF" w14:textId="77777777" w:rsidR="00DA78B3" w:rsidRPr="001C7828" w:rsidRDefault="00DA78B3" w:rsidP="00DA78B3">
      <w:pPr>
        <w:pStyle w:val="FootnoteText"/>
        <w:rPr>
          <w:rFonts w:ascii="Aptos" w:hAnsi="Aptos" w:cs="Times New Roman"/>
        </w:rPr>
      </w:pPr>
      <w:r w:rsidRPr="001C7828">
        <w:rPr>
          <w:rStyle w:val="FootnoteReference"/>
          <w:rFonts w:ascii="Aptos" w:hAnsi="Aptos" w:cs="Times New Roman"/>
        </w:rPr>
        <w:footnoteRef/>
      </w:r>
      <w:r w:rsidRPr="001C7828">
        <w:rPr>
          <w:rFonts w:ascii="Aptos" w:hAnsi="Aptos" w:cs="Times New Roman"/>
          <w:lang w:val="es-AR"/>
        </w:rPr>
        <w:t xml:space="preserve">   20 USC 1415(f)(3)(C); 34 CFR 300.507(a)(2); 34 CFR 300.511(e).  </w:t>
      </w:r>
      <w:r w:rsidRPr="001C7828">
        <w:rPr>
          <w:rFonts w:ascii="Aptos" w:hAnsi="Aptos" w:cs="Times New Roman"/>
        </w:rPr>
        <w:t>Massachusetts does not have a different limitation period for special education due process proceedings.</w:t>
      </w:r>
    </w:p>
  </w:footnote>
  <w:footnote w:id="41">
    <w:p w14:paraId="383D1F6B" w14:textId="77777777" w:rsidR="00DA78B3" w:rsidRPr="001C7828" w:rsidRDefault="00DA78B3" w:rsidP="00DA78B3">
      <w:pPr>
        <w:pStyle w:val="FootnoteText"/>
        <w:rPr>
          <w:rFonts w:ascii="Aptos" w:hAnsi="Aptos" w:cs="Times New Roman"/>
        </w:rPr>
      </w:pPr>
      <w:r w:rsidRPr="001C7828">
        <w:rPr>
          <w:rStyle w:val="FootnoteReference"/>
          <w:rFonts w:ascii="Aptos" w:hAnsi="Aptos" w:cs="Times New Roman"/>
        </w:rPr>
        <w:footnoteRef/>
      </w:r>
      <w:r w:rsidRPr="001C7828">
        <w:rPr>
          <w:rFonts w:ascii="Aptos" w:hAnsi="Aptos" w:cs="Times New Roman"/>
        </w:rPr>
        <w:t xml:space="preserve">   20 USC 1415(f)(3)(D); 34 CFR 300.511(f).</w:t>
      </w:r>
    </w:p>
  </w:footnote>
  <w:footnote w:id="42">
    <w:p w14:paraId="1BEB2F87" w14:textId="5FD0C549" w:rsidR="00DA78B3" w:rsidRPr="001C7828" w:rsidRDefault="00DA78B3" w:rsidP="00DA78B3">
      <w:pPr>
        <w:pStyle w:val="FootnoteText"/>
        <w:rPr>
          <w:rFonts w:ascii="Aptos" w:eastAsia="Times New Roman" w:hAnsi="Aptos" w:cs="Times New Roman"/>
          <w:bCs/>
          <w:color w:val="000000"/>
        </w:rPr>
      </w:pPr>
      <w:r w:rsidRPr="003A5E03">
        <w:rPr>
          <w:rStyle w:val="FootnoteReference"/>
          <w:rFonts w:ascii="Aptos" w:hAnsi="Aptos"/>
        </w:rPr>
        <w:footnoteRef/>
      </w:r>
      <w:r w:rsidRPr="003A5E03">
        <w:rPr>
          <w:rFonts w:ascii="Aptos" w:hAnsi="Aptos"/>
        </w:rPr>
        <w:t xml:space="preserve">  </w:t>
      </w:r>
      <w:r w:rsidR="001872F9" w:rsidRPr="003A5E03">
        <w:rPr>
          <w:rFonts w:ascii="Aptos" w:hAnsi="Aptos"/>
        </w:rPr>
        <w:t xml:space="preserve"> </w:t>
      </w:r>
      <w:r w:rsidR="00CD562E" w:rsidRPr="001C7828">
        <w:rPr>
          <w:rFonts w:ascii="Aptos" w:hAnsi="Aptos"/>
          <w:i/>
          <w:iCs/>
        </w:rPr>
        <w:t>In Re: Springfield Pub</w:t>
      </w:r>
      <w:r w:rsidR="00CD562E">
        <w:rPr>
          <w:rFonts w:ascii="Aptos" w:hAnsi="Aptos"/>
          <w:i/>
          <w:iCs/>
        </w:rPr>
        <w:t>.</w:t>
      </w:r>
      <w:r w:rsidR="00CD562E" w:rsidRPr="001C7828">
        <w:rPr>
          <w:rFonts w:ascii="Aptos" w:hAnsi="Aptos"/>
          <w:i/>
          <w:iCs/>
        </w:rPr>
        <w:t xml:space="preserve"> Schools, Springfield Sch</w:t>
      </w:r>
      <w:r w:rsidR="00CD562E">
        <w:rPr>
          <w:rFonts w:ascii="Aptos" w:hAnsi="Aptos"/>
          <w:i/>
          <w:iCs/>
        </w:rPr>
        <w:t>.</w:t>
      </w:r>
      <w:r w:rsidR="00CD562E" w:rsidRPr="001C7828">
        <w:rPr>
          <w:rFonts w:ascii="Aptos" w:hAnsi="Aptos"/>
          <w:i/>
          <w:iCs/>
        </w:rPr>
        <w:t xml:space="preserve"> Comm</w:t>
      </w:r>
      <w:r w:rsidR="00CD562E">
        <w:rPr>
          <w:rFonts w:ascii="Aptos" w:hAnsi="Aptos"/>
          <w:i/>
          <w:iCs/>
        </w:rPr>
        <w:t>.</w:t>
      </w:r>
      <w:r w:rsidR="00CD562E" w:rsidRPr="001C7828">
        <w:rPr>
          <w:rFonts w:ascii="Aptos" w:hAnsi="Aptos"/>
          <w:i/>
          <w:iCs/>
        </w:rPr>
        <w:t xml:space="preserve"> (Including Melinda Phelps), DESE, and Murphy, Hesse, Toomey &amp; Lehane</w:t>
      </w:r>
      <w:r w:rsidR="00CD562E" w:rsidRPr="001C7828">
        <w:rPr>
          <w:rFonts w:ascii="Aptos" w:hAnsi="Aptos"/>
        </w:rPr>
        <w:t>, BSEA #2309351, 29 MSER 154 (</w:t>
      </w:r>
      <w:r w:rsidR="00CD562E" w:rsidRPr="001C7828">
        <w:rPr>
          <w:rFonts w:ascii="Aptos" w:hAnsi="Aptos"/>
          <w:i/>
          <w:iCs/>
        </w:rPr>
        <w:t>Ruling</w:t>
      </w:r>
      <w:r w:rsidR="00CD562E" w:rsidRPr="001C7828">
        <w:rPr>
          <w:rFonts w:ascii="Aptos" w:hAnsi="Aptos"/>
        </w:rPr>
        <w:t>, Mitchell</w:t>
      </w:r>
      <w:r w:rsidR="00CD562E">
        <w:rPr>
          <w:rFonts w:ascii="Aptos" w:hAnsi="Aptos"/>
        </w:rPr>
        <w:t>,</w:t>
      </w:r>
      <w:r w:rsidR="00CD562E" w:rsidRPr="001C7828">
        <w:rPr>
          <w:rFonts w:ascii="Aptos" w:hAnsi="Aptos"/>
        </w:rPr>
        <w:t xml:space="preserve"> 2023)</w:t>
      </w:r>
      <w:r w:rsidR="00CD562E">
        <w:rPr>
          <w:rFonts w:ascii="Aptos" w:hAnsi="Aptos"/>
        </w:rPr>
        <w:t xml:space="preserve">; see </w:t>
      </w:r>
      <w:proofErr w:type="spellStart"/>
      <w:r w:rsidRPr="003A5E03">
        <w:rPr>
          <w:rFonts w:ascii="Aptos" w:eastAsia="Times New Roman" w:hAnsi="Aptos" w:cs="Times New Roman"/>
          <w:bCs/>
          <w:i/>
          <w:iCs/>
          <w:color w:val="000000"/>
        </w:rPr>
        <w:t>Larach</w:t>
      </w:r>
      <w:proofErr w:type="spellEnd"/>
      <w:r w:rsidRPr="003A5E03">
        <w:rPr>
          <w:rFonts w:ascii="Aptos" w:eastAsia="Times New Roman" w:hAnsi="Aptos" w:cs="Times New Roman"/>
          <w:bCs/>
          <w:i/>
          <w:iCs/>
          <w:color w:val="000000"/>
        </w:rPr>
        <w:t>-Cohen v. Porter</w:t>
      </w:r>
      <w:r w:rsidRPr="003A5E03">
        <w:rPr>
          <w:rFonts w:ascii="Aptos" w:eastAsia="Times New Roman" w:hAnsi="Aptos" w:cs="Times New Roman"/>
          <w:bCs/>
          <w:color w:val="000000"/>
        </w:rPr>
        <w:t>,</w:t>
      </w:r>
      <w:r w:rsidR="00A567AF" w:rsidRPr="00A567AF">
        <w:rPr>
          <w:rFonts w:ascii="Aptos" w:eastAsia="Times New Roman" w:hAnsi="Aptos" w:cs="Times New Roman"/>
          <w:bCs/>
          <w:color w:val="000000"/>
        </w:rPr>
        <w:t xml:space="preserve"> No. 19 CV 7623-LTS-SDA, </w:t>
      </w:r>
      <w:r w:rsidRPr="003A5E03">
        <w:rPr>
          <w:rFonts w:ascii="Aptos" w:eastAsia="Times New Roman" w:hAnsi="Aptos" w:cs="Times New Roman"/>
          <w:bCs/>
          <w:color w:val="000000"/>
        </w:rPr>
        <w:t>2021 WL 1203686,</w:t>
      </w:r>
      <w:r w:rsidR="00A567AF">
        <w:rPr>
          <w:rFonts w:ascii="Aptos" w:eastAsia="Times New Roman" w:hAnsi="Aptos" w:cs="Times New Roman"/>
          <w:bCs/>
          <w:color w:val="000000"/>
        </w:rPr>
        <w:t xml:space="preserve"> at</w:t>
      </w:r>
      <w:r w:rsidRPr="003A5E03">
        <w:rPr>
          <w:rFonts w:ascii="Aptos" w:eastAsia="Times New Roman" w:hAnsi="Aptos" w:cs="Times New Roman"/>
          <w:bCs/>
          <w:color w:val="000000"/>
        </w:rPr>
        <w:t xml:space="preserve"> *3 (S</w:t>
      </w:r>
      <w:r w:rsidR="00A567AF">
        <w:rPr>
          <w:rFonts w:ascii="Aptos" w:eastAsia="Times New Roman" w:hAnsi="Aptos" w:cs="Times New Roman"/>
          <w:bCs/>
          <w:color w:val="000000"/>
        </w:rPr>
        <w:t>.</w:t>
      </w:r>
      <w:r w:rsidRPr="003A5E03">
        <w:rPr>
          <w:rFonts w:ascii="Aptos" w:eastAsia="Times New Roman" w:hAnsi="Aptos" w:cs="Times New Roman"/>
          <w:bCs/>
          <w:color w:val="000000"/>
        </w:rPr>
        <w:t>D</w:t>
      </w:r>
      <w:r w:rsidR="00A567AF">
        <w:rPr>
          <w:rFonts w:ascii="Aptos" w:eastAsia="Times New Roman" w:hAnsi="Aptos" w:cs="Times New Roman"/>
          <w:bCs/>
          <w:color w:val="000000"/>
        </w:rPr>
        <w:t>.</w:t>
      </w:r>
      <w:r w:rsidRPr="003A5E03">
        <w:rPr>
          <w:rFonts w:ascii="Aptos" w:eastAsia="Times New Roman" w:hAnsi="Aptos" w:cs="Times New Roman"/>
          <w:bCs/>
          <w:color w:val="000000"/>
        </w:rPr>
        <w:t>N</w:t>
      </w:r>
      <w:r w:rsidR="00A567AF">
        <w:rPr>
          <w:rFonts w:ascii="Aptos" w:eastAsia="Times New Roman" w:hAnsi="Aptos" w:cs="Times New Roman"/>
          <w:bCs/>
          <w:color w:val="000000"/>
        </w:rPr>
        <w:t>.</w:t>
      </w:r>
      <w:r w:rsidRPr="003A5E03">
        <w:rPr>
          <w:rFonts w:ascii="Aptos" w:eastAsia="Times New Roman" w:hAnsi="Aptos" w:cs="Times New Roman"/>
          <w:bCs/>
          <w:color w:val="000000"/>
        </w:rPr>
        <w:t>Y</w:t>
      </w:r>
      <w:r w:rsidR="00A567AF">
        <w:rPr>
          <w:rFonts w:ascii="Aptos" w:eastAsia="Times New Roman" w:hAnsi="Aptos" w:cs="Times New Roman"/>
          <w:bCs/>
          <w:color w:val="000000"/>
        </w:rPr>
        <w:t>.</w:t>
      </w:r>
      <w:r w:rsidRPr="003A5E03">
        <w:rPr>
          <w:rFonts w:ascii="Aptos" w:eastAsia="Times New Roman" w:hAnsi="Aptos" w:cs="Times New Roman"/>
          <w:bCs/>
          <w:color w:val="000000"/>
        </w:rPr>
        <w:t xml:space="preserve"> </w:t>
      </w:r>
      <w:r w:rsidR="00A567AF">
        <w:rPr>
          <w:rFonts w:ascii="Aptos" w:eastAsia="Times New Roman" w:hAnsi="Aptos" w:cs="Times New Roman"/>
          <w:bCs/>
          <w:color w:val="000000"/>
        </w:rPr>
        <w:t xml:space="preserve"> Mar. 30, </w:t>
      </w:r>
      <w:r w:rsidRPr="003A5E03">
        <w:rPr>
          <w:rFonts w:ascii="Aptos" w:eastAsia="Times New Roman" w:hAnsi="Aptos" w:cs="Times New Roman"/>
          <w:bCs/>
          <w:color w:val="000000"/>
        </w:rPr>
        <w:t xml:space="preserve">2021); </w:t>
      </w:r>
      <w:r w:rsidRPr="003A5E03">
        <w:rPr>
          <w:rFonts w:ascii="Aptos" w:eastAsia="Times New Roman" w:hAnsi="Aptos" w:cs="Times New Roman"/>
          <w:bCs/>
          <w:i/>
          <w:iCs/>
          <w:color w:val="000000"/>
        </w:rPr>
        <w:t>Y.D. v. N.Y. City Dep't of Educ.,</w:t>
      </w:r>
      <w:r w:rsidRPr="003A5E03">
        <w:rPr>
          <w:rFonts w:ascii="Aptos" w:eastAsia="Times New Roman" w:hAnsi="Aptos" w:cs="Times New Roman"/>
          <w:bCs/>
          <w:color w:val="000000"/>
        </w:rPr>
        <w:t xml:space="preserve"> </w:t>
      </w:r>
      <w:r w:rsidR="00A567AF">
        <w:rPr>
          <w:rFonts w:ascii="Aptos" w:eastAsia="Times New Roman" w:hAnsi="Aptos" w:cs="Times New Roman"/>
          <w:bCs/>
          <w:color w:val="000000"/>
        </w:rPr>
        <w:t>No. 14</w:t>
      </w:r>
      <w:r w:rsidR="00171DB2">
        <w:rPr>
          <w:rFonts w:ascii="Aptos" w:eastAsia="Times New Roman" w:hAnsi="Aptos" w:cs="Times New Roman"/>
          <w:bCs/>
          <w:color w:val="000000"/>
        </w:rPr>
        <w:t xml:space="preserve"> </w:t>
      </w:r>
      <w:r w:rsidR="00A567AF">
        <w:rPr>
          <w:rFonts w:ascii="Aptos" w:eastAsia="Times New Roman" w:hAnsi="Aptos" w:cs="Times New Roman"/>
          <w:bCs/>
          <w:color w:val="000000"/>
        </w:rPr>
        <w:t>CV</w:t>
      </w:r>
      <w:r w:rsidR="00171DB2">
        <w:rPr>
          <w:rFonts w:ascii="Aptos" w:eastAsia="Times New Roman" w:hAnsi="Aptos" w:cs="Times New Roman"/>
          <w:bCs/>
          <w:color w:val="000000"/>
        </w:rPr>
        <w:t xml:space="preserve"> </w:t>
      </w:r>
      <w:r w:rsidR="00A567AF">
        <w:rPr>
          <w:rFonts w:ascii="Aptos" w:eastAsia="Times New Roman" w:hAnsi="Aptos" w:cs="Times New Roman"/>
          <w:bCs/>
          <w:color w:val="000000"/>
        </w:rPr>
        <w:t xml:space="preserve">1137-LTS, </w:t>
      </w:r>
      <w:r w:rsidRPr="003A5E03">
        <w:rPr>
          <w:rFonts w:ascii="Aptos" w:eastAsia="Times New Roman" w:hAnsi="Aptos" w:cs="Times New Roman"/>
          <w:bCs/>
          <w:color w:val="000000"/>
        </w:rPr>
        <w:t>2016 WL 698139,</w:t>
      </w:r>
      <w:r w:rsidR="00A567AF">
        <w:rPr>
          <w:rFonts w:ascii="Aptos" w:eastAsia="Times New Roman" w:hAnsi="Aptos" w:cs="Times New Roman"/>
          <w:bCs/>
          <w:color w:val="000000"/>
        </w:rPr>
        <w:t xml:space="preserve"> at</w:t>
      </w:r>
      <w:r w:rsidRPr="003A5E03">
        <w:rPr>
          <w:rFonts w:ascii="Aptos" w:eastAsia="Times New Roman" w:hAnsi="Aptos" w:cs="Times New Roman"/>
          <w:bCs/>
          <w:color w:val="000000"/>
        </w:rPr>
        <w:t xml:space="preserve"> *5 (S.D.N.Y. Feb. 9, 2016) (with the exception of allegations of systemic violations brought before the Courts, SEAs and its employees are not proper parties to IDEA actions in federal courts for alleged violations of their “general” supervisory responsibilities as such responsibilities are general in nature and do not involve a “’specific requirement’ with respect to a state educational agency’s supervisory </w:t>
      </w:r>
      <w:r w:rsidR="00DC785D" w:rsidRPr="003A5E03">
        <w:rPr>
          <w:rFonts w:ascii="Aptos" w:eastAsia="Times New Roman" w:hAnsi="Aptos" w:cs="Times New Roman"/>
          <w:bCs/>
          <w:color w:val="000000"/>
        </w:rPr>
        <w:t>responsibilities</w:t>
      </w:r>
      <w:r w:rsidRPr="003A5E03">
        <w:rPr>
          <w:rFonts w:ascii="Aptos" w:eastAsia="Times New Roman" w:hAnsi="Aptos" w:cs="Times New Roman"/>
          <w:bCs/>
          <w:color w:val="000000"/>
        </w:rPr>
        <w:t xml:space="preserve">”); see </w:t>
      </w:r>
      <w:r w:rsidRPr="003A5E03">
        <w:rPr>
          <w:rFonts w:ascii="Aptos" w:eastAsia="Times New Roman" w:hAnsi="Aptos" w:cs="Times New Roman"/>
          <w:bCs/>
          <w:i/>
          <w:iCs/>
          <w:color w:val="000000"/>
        </w:rPr>
        <w:t>Z.Q. v. New York City Dep't of Educ.</w:t>
      </w:r>
      <w:r w:rsidRPr="003A5E03">
        <w:rPr>
          <w:rFonts w:ascii="Aptos" w:eastAsia="Times New Roman" w:hAnsi="Aptos" w:cs="Times New Roman"/>
          <w:bCs/>
          <w:color w:val="000000"/>
        </w:rPr>
        <w:t xml:space="preserve">, </w:t>
      </w:r>
      <w:r w:rsidR="00171DB2">
        <w:rPr>
          <w:rFonts w:ascii="Aptos" w:eastAsia="Times New Roman" w:hAnsi="Aptos" w:cs="Times New Roman"/>
          <w:bCs/>
          <w:color w:val="000000"/>
        </w:rPr>
        <w:t xml:space="preserve">No. 1:20-cv-09866 (ALC), </w:t>
      </w:r>
      <w:r w:rsidRPr="003A5E03">
        <w:rPr>
          <w:rFonts w:ascii="Aptos" w:eastAsia="Times New Roman" w:hAnsi="Aptos" w:cs="Times New Roman"/>
          <w:bCs/>
          <w:color w:val="000000"/>
        </w:rPr>
        <w:t xml:space="preserve">2024 WL 1333144, </w:t>
      </w:r>
      <w:r w:rsidR="00A567AF">
        <w:rPr>
          <w:rFonts w:ascii="Aptos" w:eastAsia="Times New Roman" w:hAnsi="Aptos" w:cs="Times New Roman"/>
          <w:bCs/>
          <w:color w:val="000000"/>
        </w:rPr>
        <w:t xml:space="preserve">at </w:t>
      </w:r>
      <w:r w:rsidRPr="003A5E03">
        <w:rPr>
          <w:rFonts w:ascii="Aptos" w:eastAsia="Times New Roman" w:hAnsi="Aptos" w:cs="Times New Roman"/>
          <w:bCs/>
          <w:color w:val="000000"/>
        </w:rPr>
        <w:t>*5 (S.D.N.Y. Mar. 28, 2024)  (dismissing the SEA as a party, reasoning that “absent any specific allegations of the [SEA]'s role in purported wrongdoing, Plaintiffs have not shown that ‘the State was a direct contributor—even if not the only contributor—to Plaintiff's injury’</w:t>
      </w:r>
      <w:r w:rsidR="003A5E03" w:rsidRPr="003A5E03">
        <w:rPr>
          <w:rFonts w:ascii="Aptos" w:eastAsia="Times New Roman" w:hAnsi="Aptos" w:cs="Times New Roman"/>
          <w:bCs/>
          <w:color w:val="000000"/>
        </w:rPr>
        <w:t xml:space="preserve">) (quoting </w:t>
      </w:r>
      <w:proofErr w:type="spellStart"/>
      <w:r w:rsidR="003A5E03" w:rsidRPr="003A5E03">
        <w:rPr>
          <w:rFonts w:ascii="Aptos" w:eastAsia="Times New Roman" w:hAnsi="Aptos" w:cs="Times New Roman"/>
          <w:bCs/>
          <w:i/>
          <w:iCs/>
          <w:color w:val="000000"/>
        </w:rPr>
        <w:t>Engwiller</w:t>
      </w:r>
      <w:proofErr w:type="spellEnd"/>
      <w:r w:rsidR="003A5E03" w:rsidRPr="003A5E03">
        <w:rPr>
          <w:rFonts w:ascii="Aptos" w:eastAsia="Times New Roman" w:hAnsi="Aptos" w:cs="Times New Roman"/>
          <w:bCs/>
          <w:i/>
          <w:iCs/>
          <w:color w:val="000000"/>
        </w:rPr>
        <w:t xml:space="preserve"> </w:t>
      </w:r>
      <w:r w:rsidR="00957A9B">
        <w:rPr>
          <w:rFonts w:ascii="Aptos" w:eastAsia="Times New Roman" w:hAnsi="Aptos" w:cs="Times New Roman"/>
          <w:bCs/>
          <w:i/>
          <w:iCs/>
          <w:color w:val="000000"/>
        </w:rPr>
        <w:t>v</w:t>
      </w:r>
      <w:r w:rsidR="003A5E03" w:rsidRPr="003A5E03">
        <w:rPr>
          <w:rFonts w:ascii="Aptos" w:eastAsia="Times New Roman" w:hAnsi="Aptos" w:cs="Times New Roman"/>
          <w:bCs/>
          <w:i/>
          <w:iCs/>
          <w:color w:val="000000"/>
        </w:rPr>
        <w:t>. Pine Plains Cent. Sch.</w:t>
      </w:r>
      <w:r w:rsidR="005B117C">
        <w:rPr>
          <w:rFonts w:ascii="Aptos" w:eastAsia="Times New Roman" w:hAnsi="Aptos" w:cs="Times New Roman"/>
          <w:bCs/>
          <w:i/>
          <w:iCs/>
          <w:color w:val="000000"/>
        </w:rPr>
        <w:t xml:space="preserve"> </w:t>
      </w:r>
      <w:r w:rsidR="003A5E03" w:rsidRPr="003A5E03">
        <w:rPr>
          <w:rFonts w:ascii="Aptos" w:eastAsia="Times New Roman" w:hAnsi="Aptos" w:cs="Times New Roman"/>
          <w:bCs/>
          <w:i/>
          <w:iCs/>
          <w:color w:val="000000"/>
        </w:rPr>
        <w:t>Dist.</w:t>
      </w:r>
      <w:r w:rsidR="003A5E03" w:rsidRPr="003A5E03">
        <w:rPr>
          <w:rFonts w:ascii="Aptos" w:eastAsia="Times New Roman" w:hAnsi="Aptos" w:cs="Times New Roman"/>
          <w:bCs/>
          <w:color w:val="000000"/>
        </w:rPr>
        <w:t xml:space="preserve">, 110 F.Supp. 2d 236, 247 (S.D.N.Y 2000) </w:t>
      </w:r>
      <w:r w:rsidRPr="001C7828">
        <w:rPr>
          <w:rFonts w:ascii="Aptos" w:eastAsia="Times New Roman" w:hAnsi="Aptos" w:cs="Times New Roman"/>
          <w:bCs/>
          <w:color w:val="000000"/>
        </w:rPr>
        <w:t>(citations omitted);</w:t>
      </w:r>
      <w:r w:rsidR="00957A9B">
        <w:rPr>
          <w:rFonts w:ascii="Aptos" w:eastAsia="Times New Roman" w:hAnsi="Aptos" w:cs="Times New Roman"/>
          <w:bCs/>
          <w:color w:val="000000"/>
        </w:rPr>
        <w:t xml:space="preserve"> </w:t>
      </w:r>
      <w:r w:rsidRPr="001C7828">
        <w:rPr>
          <w:rFonts w:ascii="Aptos" w:eastAsia="Times New Roman" w:hAnsi="Aptos" w:cs="Times New Roman"/>
          <w:bCs/>
          <w:i/>
          <w:iCs/>
          <w:color w:val="000000"/>
        </w:rPr>
        <w:t>Coningsby v. Oregon Dep't of Educ</w:t>
      </w:r>
      <w:r w:rsidRPr="001C7828">
        <w:rPr>
          <w:rFonts w:ascii="Aptos" w:eastAsia="Times New Roman" w:hAnsi="Aptos" w:cs="Times New Roman"/>
          <w:bCs/>
          <w:color w:val="000000"/>
        </w:rPr>
        <w:t xml:space="preserve">., </w:t>
      </w:r>
      <w:r w:rsidR="009041B9">
        <w:rPr>
          <w:rFonts w:ascii="Aptos" w:eastAsia="Times New Roman" w:hAnsi="Aptos" w:cs="Times New Roman"/>
          <w:bCs/>
          <w:color w:val="000000"/>
        </w:rPr>
        <w:t xml:space="preserve">No. 3:16-cv-00627-HZ, </w:t>
      </w:r>
      <w:r w:rsidRPr="001C7828">
        <w:rPr>
          <w:rFonts w:ascii="Aptos" w:eastAsia="Times New Roman" w:hAnsi="Aptos" w:cs="Times New Roman"/>
          <w:bCs/>
          <w:color w:val="000000"/>
        </w:rPr>
        <w:t>2016 WL 4844078, at *5 (</w:t>
      </w:r>
      <w:proofErr w:type="spellStart"/>
      <w:r w:rsidRPr="001C7828">
        <w:rPr>
          <w:rFonts w:ascii="Aptos" w:eastAsia="Times New Roman" w:hAnsi="Aptos" w:cs="Times New Roman"/>
          <w:bCs/>
          <w:color w:val="000000"/>
        </w:rPr>
        <w:t>D.Or</w:t>
      </w:r>
      <w:proofErr w:type="spellEnd"/>
      <w:r w:rsidRPr="001C7828">
        <w:rPr>
          <w:rFonts w:ascii="Aptos" w:eastAsia="Times New Roman" w:hAnsi="Aptos" w:cs="Times New Roman"/>
          <w:bCs/>
          <w:color w:val="000000"/>
        </w:rPr>
        <w:t xml:space="preserve">. 2016), </w:t>
      </w:r>
      <w:r w:rsidRPr="001C7828">
        <w:rPr>
          <w:rFonts w:ascii="Aptos" w:eastAsia="Times New Roman" w:hAnsi="Aptos" w:cs="Times New Roman"/>
          <w:bCs/>
          <w:i/>
          <w:iCs/>
          <w:color w:val="000000"/>
        </w:rPr>
        <w:t>aff'd sub nom.</w:t>
      </w:r>
      <w:r w:rsidRPr="001C7828">
        <w:rPr>
          <w:rFonts w:ascii="Aptos" w:eastAsia="Times New Roman" w:hAnsi="Aptos" w:cs="Times New Roman"/>
          <w:bCs/>
          <w:color w:val="000000"/>
        </w:rPr>
        <w:t xml:space="preserve"> </w:t>
      </w:r>
      <w:r w:rsidRPr="001C7828">
        <w:rPr>
          <w:rFonts w:ascii="Aptos" w:eastAsia="Times New Roman" w:hAnsi="Aptos" w:cs="Times New Roman"/>
          <w:bCs/>
          <w:i/>
          <w:iCs/>
          <w:color w:val="000000"/>
        </w:rPr>
        <w:t>M.C. by &amp; through D.C. v. Oregon Dep't of Educ.</w:t>
      </w:r>
      <w:r w:rsidRPr="001C7828">
        <w:rPr>
          <w:rFonts w:ascii="Aptos" w:eastAsia="Times New Roman" w:hAnsi="Aptos" w:cs="Times New Roman"/>
          <w:bCs/>
          <w:color w:val="000000"/>
        </w:rPr>
        <w:t xml:space="preserve">, 695 F. </w:t>
      </w:r>
      <w:proofErr w:type="spellStart"/>
      <w:r w:rsidRPr="001C7828">
        <w:rPr>
          <w:rFonts w:ascii="Aptos" w:eastAsia="Times New Roman" w:hAnsi="Aptos" w:cs="Times New Roman"/>
          <w:bCs/>
          <w:color w:val="000000"/>
        </w:rPr>
        <w:t>App'x</w:t>
      </w:r>
      <w:proofErr w:type="spellEnd"/>
      <w:r w:rsidRPr="001C7828">
        <w:rPr>
          <w:rFonts w:ascii="Aptos" w:eastAsia="Times New Roman" w:hAnsi="Aptos" w:cs="Times New Roman"/>
          <w:bCs/>
          <w:color w:val="000000"/>
        </w:rPr>
        <w:t xml:space="preserve"> 302 (9th Cir. 2017) </w:t>
      </w:r>
      <w:r w:rsidR="002A052D">
        <w:rPr>
          <w:rFonts w:ascii="Aptos" w:eastAsia="Times New Roman" w:hAnsi="Aptos" w:cs="Times New Roman"/>
          <w:bCs/>
          <w:color w:val="000000"/>
        </w:rPr>
        <w:t>(</w:t>
      </w:r>
      <w:r w:rsidRPr="001C7828">
        <w:rPr>
          <w:rFonts w:ascii="Aptos" w:eastAsia="Times New Roman" w:hAnsi="Aptos" w:cs="Times New Roman"/>
          <w:bCs/>
          <w:color w:val="000000"/>
        </w:rPr>
        <w:t>“Accordingly, the Court finds that [the SEA] was properly exempted from the due process proceeding because it, ‘as the SEA, was not involved in the actual provision of [the child's] IEP’”</w:t>
      </w:r>
      <w:r w:rsidR="002A052D">
        <w:rPr>
          <w:rFonts w:ascii="Aptos" w:eastAsia="Times New Roman" w:hAnsi="Aptos" w:cs="Times New Roman"/>
          <w:bCs/>
          <w:color w:val="000000"/>
        </w:rPr>
        <w:t>)</w:t>
      </w:r>
      <w:r w:rsidRPr="001C7828">
        <w:rPr>
          <w:rFonts w:ascii="Aptos" w:eastAsia="Times New Roman" w:hAnsi="Aptos" w:cs="Times New Roman"/>
          <w:bCs/>
          <w:color w:val="000000"/>
        </w:rPr>
        <w:t xml:space="preserve"> </w:t>
      </w:r>
      <w:r w:rsidR="002A052D">
        <w:rPr>
          <w:rFonts w:ascii="Aptos" w:eastAsia="Times New Roman" w:hAnsi="Aptos" w:cs="Times New Roman"/>
          <w:bCs/>
          <w:color w:val="000000"/>
        </w:rPr>
        <w:t>(</w:t>
      </w:r>
      <w:r w:rsidRPr="001C7828">
        <w:rPr>
          <w:rFonts w:ascii="Aptos" w:eastAsia="Times New Roman" w:hAnsi="Aptos" w:cs="Times New Roman"/>
          <w:bCs/>
          <w:color w:val="000000"/>
        </w:rPr>
        <w:t>quoting</w:t>
      </w:r>
      <w:r w:rsidRPr="001C7828">
        <w:rPr>
          <w:rFonts w:ascii="Aptos" w:eastAsia="Times New Roman" w:hAnsi="Aptos" w:cs="Times New Roman"/>
          <w:bCs/>
          <w:i/>
          <w:iCs/>
          <w:color w:val="000000"/>
        </w:rPr>
        <w:t xml:space="preserve"> Chavez ex rel. M.C. v. New Mexico Pub. Educ. Dep't</w:t>
      </w:r>
      <w:r w:rsidRPr="001C7828">
        <w:rPr>
          <w:rFonts w:ascii="Aptos" w:eastAsia="Times New Roman" w:hAnsi="Aptos" w:cs="Times New Roman"/>
          <w:bCs/>
          <w:color w:val="000000"/>
        </w:rPr>
        <w:t>.,</w:t>
      </w:r>
      <w:r w:rsidRPr="001C7828">
        <w:rPr>
          <w:rFonts w:ascii="Aptos" w:eastAsia="Times New Roman" w:hAnsi="Aptos" w:cs="Times New Roman"/>
          <w:bCs/>
          <w:i/>
          <w:iCs/>
          <w:color w:val="000000"/>
        </w:rPr>
        <w:t xml:space="preserve"> </w:t>
      </w:r>
      <w:r w:rsidRPr="001C7828">
        <w:rPr>
          <w:rFonts w:ascii="Aptos" w:eastAsia="Times New Roman" w:hAnsi="Aptos" w:cs="Times New Roman"/>
          <w:bCs/>
          <w:color w:val="000000"/>
        </w:rPr>
        <w:t>621 F.3d 1275, 1283 (10th Cir. 2010)</w:t>
      </w:r>
      <w:r w:rsidR="002A052D">
        <w:rPr>
          <w:rFonts w:ascii="Aptos" w:eastAsia="Times New Roman" w:hAnsi="Aptos" w:cs="Times New Roman"/>
          <w:bCs/>
          <w:color w:val="000000"/>
        </w:rPr>
        <w:t>)</w:t>
      </w:r>
      <w:r w:rsidRPr="001C7828">
        <w:rPr>
          <w:rFonts w:ascii="Aptos" w:hAnsi="Aptos"/>
        </w:rPr>
        <w:t>.</w:t>
      </w:r>
    </w:p>
  </w:footnote>
  <w:footnote w:id="43">
    <w:p w14:paraId="288B17D9" w14:textId="526EEFBF" w:rsidR="00DA78B3" w:rsidRPr="001C7828" w:rsidRDefault="00DA78B3" w:rsidP="00DA78B3">
      <w:pPr>
        <w:pStyle w:val="FootnoteText"/>
        <w:rPr>
          <w:rFonts w:ascii="Aptos" w:hAnsi="Aptos"/>
        </w:rPr>
      </w:pPr>
      <w:r w:rsidRPr="001C7828">
        <w:rPr>
          <w:rStyle w:val="FootnoteReference"/>
          <w:rFonts w:ascii="Aptos" w:hAnsi="Aptos"/>
        </w:rPr>
        <w:footnoteRef/>
      </w:r>
      <w:r w:rsidR="001872F9">
        <w:rPr>
          <w:rFonts w:ascii="Aptos" w:hAnsi="Aptos"/>
        </w:rPr>
        <w:t xml:space="preserve">  </w:t>
      </w:r>
      <w:r w:rsidRPr="001C7828">
        <w:rPr>
          <w:rFonts w:ascii="Aptos" w:hAnsi="Aptos"/>
        </w:rPr>
        <w:t xml:space="preserve"> </w:t>
      </w:r>
      <w:r w:rsidRPr="001C7828">
        <w:rPr>
          <w:rFonts w:ascii="Aptos" w:hAnsi="Aptos"/>
          <w:i/>
          <w:iCs/>
        </w:rPr>
        <w:t>A.A. ex rel. J.A. v. Philips</w:t>
      </w:r>
      <w:r w:rsidRPr="001C7828">
        <w:rPr>
          <w:rFonts w:ascii="Aptos" w:hAnsi="Aptos"/>
        </w:rPr>
        <w:t xml:space="preserve">, 386 F.3d 455, 459 (2d Cir. 2004) (SEA was a proper party to class actions claims brought against it that alleged violations of the SEA’s enforcement and monitoring obligations with respect to a school district found by the SEA to have violated the IDEA); </w:t>
      </w:r>
      <w:r w:rsidRPr="001C7828">
        <w:rPr>
          <w:rFonts w:ascii="Aptos" w:hAnsi="Aptos"/>
          <w:i/>
          <w:iCs/>
        </w:rPr>
        <w:t>J.F. v. Adams</w:t>
      </w:r>
      <w:r w:rsidRPr="001C7828">
        <w:rPr>
          <w:rFonts w:ascii="Aptos" w:hAnsi="Aptos"/>
        </w:rPr>
        <w:t xml:space="preserve">, </w:t>
      </w:r>
      <w:r w:rsidR="00A538D2">
        <w:rPr>
          <w:rFonts w:ascii="Aptos" w:hAnsi="Aptos"/>
        </w:rPr>
        <w:t>1:21-cv-11150 (ALC),</w:t>
      </w:r>
      <w:r w:rsidR="00202D42">
        <w:rPr>
          <w:rFonts w:ascii="Aptos" w:hAnsi="Aptos"/>
        </w:rPr>
        <w:t xml:space="preserve"> </w:t>
      </w:r>
      <w:r w:rsidRPr="001C7828">
        <w:rPr>
          <w:rFonts w:ascii="Aptos" w:hAnsi="Aptos"/>
        </w:rPr>
        <w:t xml:space="preserve">2024 WL 1348524, </w:t>
      </w:r>
      <w:r w:rsidR="00202D42">
        <w:rPr>
          <w:rFonts w:ascii="Aptos" w:hAnsi="Aptos"/>
        </w:rPr>
        <w:t xml:space="preserve">at </w:t>
      </w:r>
      <w:r w:rsidRPr="001C7828">
        <w:rPr>
          <w:rFonts w:ascii="Aptos" w:hAnsi="Aptos"/>
        </w:rPr>
        <w:t>*7 (S.D.N.Y. Mar. 29, 2024) (SEA was a proper party to a proceeding that alleged specific allegations by the SEA to supervise, oversee and guarantee due process rights and FAPE as well as improper delegation of its authority over due process proceedings, reasoning that “Plaintiffs have shown ‘the State was a direct contributor—even if not the only contributor—to Plaintiff's injury[.]’”</w:t>
      </w:r>
      <w:r w:rsidR="001259F4" w:rsidRPr="001C7828">
        <w:rPr>
          <w:rFonts w:ascii="Aptos" w:hAnsi="Aptos"/>
        </w:rPr>
        <w:t>)</w:t>
      </w:r>
      <w:r w:rsidRPr="001C7828">
        <w:rPr>
          <w:rFonts w:ascii="Aptos" w:hAnsi="Aptos"/>
        </w:rPr>
        <w:t xml:space="preserve"> quoting </w:t>
      </w:r>
      <w:proofErr w:type="spellStart"/>
      <w:r w:rsidRPr="00BF61C9">
        <w:rPr>
          <w:rFonts w:ascii="Aptos" w:hAnsi="Aptos"/>
          <w:i/>
          <w:iCs/>
        </w:rPr>
        <w:t>Engwiller</w:t>
      </w:r>
      <w:proofErr w:type="spellEnd"/>
      <w:r w:rsidRPr="00BF61C9">
        <w:rPr>
          <w:rFonts w:ascii="Aptos" w:hAnsi="Aptos"/>
        </w:rPr>
        <w:t xml:space="preserve">, 110 F. Supp. 2d </w:t>
      </w:r>
      <w:r w:rsidR="00477EAA">
        <w:rPr>
          <w:rFonts w:ascii="Aptos" w:hAnsi="Aptos"/>
        </w:rPr>
        <w:t xml:space="preserve">at </w:t>
      </w:r>
      <w:r w:rsidRPr="00BF61C9">
        <w:rPr>
          <w:rFonts w:ascii="Aptos" w:hAnsi="Aptos"/>
        </w:rPr>
        <w:t xml:space="preserve">246 </w:t>
      </w:r>
      <w:r w:rsidRPr="001C7828">
        <w:rPr>
          <w:rFonts w:ascii="Aptos" w:hAnsi="Aptos"/>
        </w:rPr>
        <w:t xml:space="preserve">(issuing declaratory judgment against the NY State SEA on a claim that its procedural safeguards established under §1415 of the IDEA were “… inadequate </w:t>
      </w:r>
      <w:r w:rsidRPr="001C7828">
        <w:rPr>
          <w:rFonts w:ascii="Aptos" w:hAnsi="Aptos"/>
          <w:i/>
          <w:iCs/>
        </w:rPr>
        <w:t>in Plaintiff's case</w:t>
      </w:r>
      <w:r w:rsidRPr="001C7828">
        <w:rPr>
          <w:rFonts w:ascii="Aptos" w:hAnsi="Aptos"/>
        </w:rPr>
        <w:t xml:space="preserve"> for the State to meet its obligation under the IDEA to make certain that an IHO decision is issued in a timely fashion” as Plaintiff had </w:t>
      </w:r>
      <w:r w:rsidR="00AE5E74">
        <w:rPr>
          <w:rFonts w:ascii="Aptos" w:hAnsi="Aptos"/>
        </w:rPr>
        <w:t>not received</w:t>
      </w:r>
      <w:r w:rsidRPr="001C7828">
        <w:rPr>
          <w:rFonts w:ascii="Aptos" w:hAnsi="Aptos"/>
        </w:rPr>
        <w:t xml:space="preserve"> a decision on a hearing request filed almost 2 years earlier (emphasis in original)).</w:t>
      </w:r>
    </w:p>
  </w:footnote>
  <w:footnote w:id="44">
    <w:p w14:paraId="7B1EB672" w14:textId="48655CF7" w:rsidR="00DA78B3" w:rsidRPr="001C7828" w:rsidRDefault="00DA78B3" w:rsidP="00DA78B3">
      <w:pPr>
        <w:pStyle w:val="FootnoteText"/>
        <w:rPr>
          <w:rFonts w:ascii="Aptos" w:hAnsi="Aptos"/>
          <w:bCs/>
        </w:rPr>
      </w:pPr>
      <w:r w:rsidRPr="001C7828">
        <w:rPr>
          <w:rStyle w:val="FootnoteReference"/>
          <w:rFonts w:ascii="Aptos" w:hAnsi="Aptos"/>
        </w:rPr>
        <w:footnoteRef/>
      </w:r>
      <w:r w:rsidRPr="001C7828">
        <w:rPr>
          <w:rFonts w:ascii="Aptos" w:hAnsi="Aptos"/>
        </w:rPr>
        <w:t xml:space="preserve">   </w:t>
      </w:r>
      <w:r w:rsidRPr="001C7828">
        <w:rPr>
          <w:rFonts w:ascii="Aptos" w:hAnsi="Aptos"/>
          <w:i/>
          <w:iCs/>
        </w:rPr>
        <w:t>Id</w:t>
      </w:r>
      <w:r w:rsidRPr="001C7828">
        <w:rPr>
          <w:rFonts w:ascii="Aptos" w:hAnsi="Aptos"/>
        </w:rPr>
        <w:t xml:space="preserve">.; see </w:t>
      </w:r>
      <w:r w:rsidRPr="001C7828">
        <w:rPr>
          <w:rFonts w:ascii="Aptos" w:hAnsi="Aptos"/>
          <w:bCs/>
          <w:i/>
          <w:iCs/>
        </w:rPr>
        <w:t>R.V. v. Rivera</w:t>
      </w:r>
      <w:r w:rsidRPr="001C7828">
        <w:rPr>
          <w:rFonts w:ascii="Aptos" w:hAnsi="Aptos"/>
          <w:bCs/>
        </w:rPr>
        <w:t xml:space="preserve">, 220 F. Supp. 3d 588, 594 (E.D. Pa. 2016) </w:t>
      </w:r>
      <w:r w:rsidR="00477EAA">
        <w:rPr>
          <w:rFonts w:ascii="Aptos" w:hAnsi="Aptos"/>
          <w:bCs/>
        </w:rPr>
        <w:t>(</w:t>
      </w:r>
      <w:r w:rsidRPr="001C7828">
        <w:rPr>
          <w:rFonts w:ascii="Aptos" w:hAnsi="Aptos"/>
          <w:bCs/>
        </w:rPr>
        <w:t>finding the SEA to be a proper party in a FAPE claim against a failed charter school that was no longer in existence, reasoning that,</w:t>
      </w:r>
    </w:p>
    <w:p w14:paraId="644A32B7" w14:textId="2247AB7D" w:rsidR="00DA78B3" w:rsidRPr="001C7828" w:rsidRDefault="00DA78B3" w:rsidP="00DA78B3">
      <w:pPr>
        <w:pStyle w:val="FootnoteText"/>
        <w:ind w:left="360" w:right="360"/>
        <w:rPr>
          <w:rFonts w:ascii="Aptos" w:hAnsi="Aptos"/>
          <w:bCs/>
        </w:rPr>
      </w:pPr>
      <w:r w:rsidRPr="001C7828">
        <w:rPr>
          <w:rFonts w:ascii="Aptos" w:hAnsi="Aptos"/>
          <w:bCs/>
        </w:rPr>
        <w:t xml:space="preserve">“[i]t does not follow from this, as [the SEA] fears, that in every instance where an LEA is alleged to have failed to provide a FAPE or otherwise comply with its IDEA obligations an SEA may be named in a due process complaint regarding those allegations. </w:t>
      </w:r>
      <w:r w:rsidR="00C35BF8" w:rsidRPr="001C7828">
        <w:rPr>
          <w:rFonts w:ascii="Aptos" w:hAnsi="Aptos"/>
          <w:bCs/>
        </w:rPr>
        <w:t xml:space="preserve"> </w:t>
      </w:r>
      <w:r w:rsidRPr="001C7828">
        <w:rPr>
          <w:rFonts w:ascii="Aptos" w:hAnsi="Aptos"/>
          <w:bCs/>
        </w:rPr>
        <w:t>Where there is an existing LEA that could be held responsible for alleged FAPE violations, then it, and not the SEA, would be the proper party in a due process hearing.  Where, as here, there is no other educational agency to which a parent may look to vindicate her child's rights to a FAPE because the LEA in which the alleged violations occurred has since ceased to exist, the SEA's obligations as the backstop to the state's IDEA obligations kick in.  Accordingly, [the SEA] was a proper party to the IDEA due process complaint in this case”</w:t>
      </w:r>
      <w:r w:rsidR="00995C93">
        <w:rPr>
          <w:rFonts w:ascii="Aptos" w:hAnsi="Aptos"/>
          <w:bCs/>
        </w:rPr>
        <w:t>)</w:t>
      </w:r>
      <w:r w:rsidR="00ED0EBE">
        <w:rPr>
          <w:rFonts w:ascii="Aptos" w:hAnsi="Aptos"/>
          <w:bCs/>
        </w:rPr>
        <w:t>.</w:t>
      </w:r>
    </w:p>
  </w:footnote>
  <w:footnote w:id="45">
    <w:p w14:paraId="0D8887B3" w14:textId="77777777" w:rsidR="00DA78B3" w:rsidRPr="001C7828" w:rsidRDefault="00DA78B3" w:rsidP="00DA78B3">
      <w:pPr>
        <w:pStyle w:val="FootnoteText"/>
        <w:rPr>
          <w:rFonts w:ascii="Aptos" w:hAnsi="Aptos" w:cs="Times New Roman"/>
        </w:rPr>
      </w:pPr>
      <w:r w:rsidRPr="001C7828">
        <w:rPr>
          <w:rStyle w:val="FootnoteReference"/>
          <w:rFonts w:ascii="Aptos" w:hAnsi="Aptos" w:cs="Times New Roman"/>
        </w:rPr>
        <w:footnoteRef/>
      </w:r>
      <w:r w:rsidRPr="001C7828">
        <w:rPr>
          <w:rFonts w:ascii="Aptos" w:hAnsi="Aptos" w:cs="Times New Roman"/>
        </w:rPr>
        <w:t xml:space="preserve">   20 USC 1415(f)(3)(D); 34 CFR 300.511(f).</w:t>
      </w:r>
    </w:p>
  </w:footnote>
  <w:footnote w:id="46">
    <w:p w14:paraId="0561DE04" w14:textId="0E228731" w:rsidR="00D15DBC" w:rsidRPr="00D15DBC" w:rsidRDefault="00D15DBC">
      <w:pPr>
        <w:pStyle w:val="FootnoteText"/>
        <w:rPr>
          <w:rFonts w:ascii="Aptos" w:hAnsi="Aptos"/>
        </w:rPr>
      </w:pPr>
      <w:r w:rsidRPr="00D15DBC">
        <w:rPr>
          <w:rStyle w:val="FootnoteReference"/>
          <w:rFonts w:ascii="Aptos" w:hAnsi="Aptos"/>
        </w:rPr>
        <w:footnoteRef/>
      </w:r>
      <w:r w:rsidRPr="00D15DBC">
        <w:rPr>
          <w:rFonts w:ascii="Aptos" w:hAnsi="Aptos"/>
        </w:rPr>
        <w:t xml:space="preserve">   </w:t>
      </w:r>
      <w:r w:rsidRPr="00D15DBC">
        <w:rPr>
          <w:rFonts w:ascii="Aptos" w:eastAsia="Times New Roman" w:hAnsi="Aptos" w:cs="Times New Roman"/>
        </w:rPr>
        <w:t xml:space="preserve">According to the </w:t>
      </w:r>
      <w:r w:rsidRPr="00D15DBC">
        <w:rPr>
          <w:rFonts w:ascii="Aptos" w:eastAsia="Times New Roman" w:hAnsi="Aptos" w:cs="Times New Roman"/>
          <w:i/>
          <w:iCs/>
        </w:rPr>
        <w:t>Hearing Request</w:t>
      </w:r>
      <w:r w:rsidRPr="00D15DBC">
        <w:rPr>
          <w:rFonts w:ascii="Aptos" w:eastAsia="Times New Roman" w:hAnsi="Aptos" w:cs="Times New Roman"/>
        </w:rPr>
        <w:t xml:space="preserve">, despite being initially incarcerated in February 2022, Student did not receive any educational services until November 2022 when he began to access </w:t>
      </w:r>
      <w:proofErr w:type="spellStart"/>
      <w:r w:rsidRPr="00D15DBC">
        <w:rPr>
          <w:rFonts w:ascii="Aptos" w:eastAsia="Times New Roman" w:hAnsi="Aptos" w:cs="Times New Roman"/>
        </w:rPr>
        <w:t>Acellus</w:t>
      </w:r>
      <w:proofErr w:type="spellEnd"/>
      <w:r w:rsidRPr="00D15DBC">
        <w:rPr>
          <w:rFonts w:ascii="Aptos" w:eastAsia="Times New Roman" w:hAnsi="Aptos" w:cs="Times New Roman"/>
        </w:rPr>
        <w:t xml:space="preserve">.  A Team meeting was held on December 6, 2022, at which Student was found eligible for special education services.  It is unclear if SEIS participated in this Team meeting, although it acknowledges its obligation to participate in all Team meetings involving incarcerated students in CHCs that will or do receive special education services.  Additionally, according to documents attached to the </w:t>
      </w:r>
      <w:r w:rsidRPr="00D15DBC">
        <w:rPr>
          <w:rFonts w:ascii="Aptos" w:eastAsia="Times New Roman" w:hAnsi="Aptos" w:cs="Times New Roman"/>
          <w:i/>
          <w:iCs/>
        </w:rPr>
        <w:t>DESE Motion</w:t>
      </w:r>
      <w:r w:rsidRPr="00D15DBC">
        <w:rPr>
          <w:rFonts w:ascii="Aptos" w:eastAsia="Times New Roman" w:hAnsi="Aptos" w:cs="Times New Roman"/>
        </w:rPr>
        <w:t>, Student’s SEIS information was emailed to the CHC Education Director on December 20, 2022, Student signed the SEIS Consent form on December 22, 2022, and the SEIS intake documents were completed on December 28, 2022.</w:t>
      </w:r>
    </w:p>
  </w:footnote>
  <w:footnote w:id="47">
    <w:p w14:paraId="287258F6" w14:textId="31C06C89" w:rsidR="00E77A3C" w:rsidRPr="001C7828" w:rsidRDefault="00E77A3C">
      <w:pPr>
        <w:pStyle w:val="FootnoteText"/>
        <w:rPr>
          <w:rFonts w:ascii="Aptos" w:hAnsi="Aptos"/>
        </w:rPr>
      </w:pPr>
      <w:r w:rsidRPr="001C7828">
        <w:rPr>
          <w:rStyle w:val="FootnoteReference"/>
          <w:rFonts w:ascii="Aptos" w:hAnsi="Aptos"/>
        </w:rPr>
        <w:footnoteRef/>
      </w:r>
      <w:r w:rsidRPr="001C7828">
        <w:rPr>
          <w:rFonts w:ascii="Aptos" w:hAnsi="Aptos"/>
        </w:rPr>
        <w:t xml:space="preserve">   See </w:t>
      </w:r>
      <w:r w:rsidRPr="001C7828">
        <w:rPr>
          <w:rFonts w:ascii="Aptos" w:hAnsi="Aptos"/>
          <w:i/>
          <w:iCs/>
        </w:rPr>
        <w:t xml:space="preserve">Letter to </w:t>
      </w:r>
      <w:proofErr w:type="spellStart"/>
      <w:r w:rsidRPr="001C7828">
        <w:rPr>
          <w:rFonts w:ascii="Aptos" w:hAnsi="Aptos"/>
          <w:i/>
          <w:iCs/>
        </w:rPr>
        <w:t>Yudie</w:t>
      </w:r>
      <w:r w:rsidR="00477EAA">
        <w:rPr>
          <w:rFonts w:ascii="Aptos" w:hAnsi="Aptos"/>
          <w:i/>
          <w:iCs/>
        </w:rPr>
        <w:t>n</w:t>
      </w:r>
      <w:proofErr w:type="spellEnd"/>
      <w:r w:rsidRPr="001C7828">
        <w:rPr>
          <w:rFonts w:ascii="Aptos" w:hAnsi="Aptos"/>
          <w:i/>
          <w:iCs/>
        </w:rPr>
        <w:t xml:space="preserve">, </w:t>
      </w:r>
      <w:r w:rsidRPr="001C7828">
        <w:rPr>
          <w:rFonts w:ascii="Aptos" w:hAnsi="Aptos"/>
        </w:rPr>
        <w:t>(OSERS, August 19, 2003).</w:t>
      </w:r>
    </w:p>
  </w:footnote>
  <w:footnote w:id="48">
    <w:p w14:paraId="04D544ED" w14:textId="36AA97A3" w:rsidR="003B75BD" w:rsidRPr="001C7828" w:rsidRDefault="003B75BD" w:rsidP="003B75BD">
      <w:pPr>
        <w:pStyle w:val="FootnoteText"/>
        <w:rPr>
          <w:rFonts w:ascii="Aptos" w:hAnsi="Aptos"/>
        </w:rPr>
      </w:pPr>
      <w:r w:rsidRPr="001C7828">
        <w:rPr>
          <w:rStyle w:val="FootnoteReference"/>
          <w:rFonts w:ascii="Aptos" w:hAnsi="Aptos"/>
        </w:rPr>
        <w:footnoteRef/>
      </w:r>
      <w:r w:rsidRPr="001C7828">
        <w:rPr>
          <w:rFonts w:ascii="Aptos" w:hAnsi="Aptos"/>
        </w:rPr>
        <w:t xml:space="preserve">   Compare M.G.L. c. 71B §12</w:t>
      </w:r>
      <w:r w:rsidR="00211AA7">
        <w:rPr>
          <w:rFonts w:ascii="Aptos" w:hAnsi="Aptos"/>
        </w:rPr>
        <w:t xml:space="preserve"> (</w:t>
      </w:r>
      <w:r w:rsidRPr="001C7828">
        <w:rPr>
          <w:rFonts w:ascii="Aptos" w:hAnsi="Aptos"/>
        </w:rPr>
        <w:t>establishing the responsibility for special education services to eligible students in institutional settings other than CHCs, imposing different obligations on DESE than §11A, and requiring that “[DESE] shall establish and maintain a school department for school-age children in each institution under the control of the departments of mental health, developmental services, public health and youth services which provides support and care for resident children with a disability, acting jointly with the department which has control over the particular institution ….”</w:t>
      </w:r>
      <w:r w:rsidR="00211AA7">
        <w:rPr>
          <w:rFonts w:ascii="Aptos" w:hAnsi="Aptos"/>
        </w:rPr>
        <w:t>).</w:t>
      </w:r>
    </w:p>
  </w:footnote>
  <w:footnote w:id="49">
    <w:p w14:paraId="6C8F7BB6" w14:textId="6635D727" w:rsidR="0013102C" w:rsidRPr="001C7828" w:rsidRDefault="0013102C">
      <w:pPr>
        <w:pStyle w:val="FootnoteText"/>
        <w:rPr>
          <w:rFonts w:ascii="Aptos" w:hAnsi="Aptos"/>
        </w:rPr>
      </w:pPr>
      <w:r w:rsidRPr="001C7828">
        <w:rPr>
          <w:rStyle w:val="FootnoteReference"/>
          <w:rFonts w:ascii="Aptos" w:hAnsi="Aptos"/>
        </w:rPr>
        <w:footnoteRef/>
      </w:r>
      <w:r w:rsidRPr="001C7828">
        <w:rPr>
          <w:rFonts w:ascii="Aptos" w:hAnsi="Aptos"/>
        </w:rPr>
        <w:t xml:space="preserve">   As student has yet to be adjudicated on his charges, he does not meet this definition. </w:t>
      </w:r>
    </w:p>
  </w:footnote>
  <w:footnote w:id="50">
    <w:p w14:paraId="2D40C11A" w14:textId="467EEA3D" w:rsidR="00C96303" w:rsidRPr="001C7828" w:rsidRDefault="00C96303">
      <w:pPr>
        <w:pStyle w:val="FootnoteText"/>
        <w:rPr>
          <w:rFonts w:ascii="Aptos" w:hAnsi="Aptos"/>
        </w:rPr>
      </w:pPr>
      <w:r w:rsidRPr="001C7828">
        <w:rPr>
          <w:rStyle w:val="FootnoteReference"/>
          <w:rFonts w:ascii="Aptos" w:hAnsi="Aptos"/>
        </w:rPr>
        <w:footnoteRef/>
      </w:r>
      <w:r w:rsidRPr="001C7828">
        <w:rPr>
          <w:rFonts w:ascii="Aptos" w:hAnsi="Aptos"/>
        </w:rPr>
        <w:t xml:space="preserve">   </w:t>
      </w:r>
      <w:r w:rsidR="00395072" w:rsidRPr="001C7828">
        <w:rPr>
          <w:rFonts w:ascii="Aptos" w:hAnsi="Aptos"/>
        </w:rPr>
        <w:t>Although</w:t>
      </w:r>
      <w:r w:rsidRPr="001C7828">
        <w:rPr>
          <w:rFonts w:ascii="Aptos" w:hAnsi="Aptos"/>
        </w:rPr>
        <w:t xml:space="preserve"> DESE </w:t>
      </w:r>
      <w:r w:rsidR="00395072" w:rsidRPr="001C7828">
        <w:rPr>
          <w:rFonts w:ascii="Aptos" w:hAnsi="Aptos"/>
        </w:rPr>
        <w:t xml:space="preserve">has </w:t>
      </w:r>
      <w:r w:rsidRPr="001C7828">
        <w:rPr>
          <w:rFonts w:ascii="Aptos" w:hAnsi="Aptos"/>
        </w:rPr>
        <w:t>promulgated regulations</w:t>
      </w:r>
      <w:r w:rsidR="00C67A57" w:rsidRPr="001C7828">
        <w:rPr>
          <w:rFonts w:ascii="Aptos" w:hAnsi="Aptos"/>
        </w:rPr>
        <w:t xml:space="preserve"> and has developed </w:t>
      </w:r>
      <w:r w:rsidR="005E7473" w:rsidRPr="001C7828">
        <w:rPr>
          <w:rFonts w:ascii="Aptos" w:hAnsi="Aptos"/>
        </w:rPr>
        <w:t>procedures</w:t>
      </w:r>
      <w:r w:rsidR="00C67A57" w:rsidRPr="001C7828">
        <w:rPr>
          <w:rFonts w:ascii="Aptos" w:hAnsi="Aptos"/>
        </w:rPr>
        <w:t>, namely, 603 CMR 28.06(9) and the SEIS Manual, that identif</w:t>
      </w:r>
      <w:r w:rsidR="001B766F">
        <w:rPr>
          <w:rFonts w:ascii="Aptos" w:hAnsi="Aptos"/>
        </w:rPr>
        <w:t>y</w:t>
      </w:r>
      <w:r w:rsidR="00C67A57" w:rsidRPr="001C7828">
        <w:rPr>
          <w:rFonts w:ascii="Aptos" w:hAnsi="Aptos"/>
        </w:rPr>
        <w:t xml:space="preserve"> </w:t>
      </w:r>
      <w:r w:rsidR="005E7473" w:rsidRPr="001C7828">
        <w:rPr>
          <w:rFonts w:ascii="Aptos" w:hAnsi="Aptos"/>
        </w:rPr>
        <w:t xml:space="preserve">other agencies and entities in the Commonwealth to be responsible over </w:t>
      </w:r>
      <w:r w:rsidR="00C67A57" w:rsidRPr="001C7828">
        <w:rPr>
          <w:rFonts w:ascii="Aptos" w:hAnsi="Aptos"/>
        </w:rPr>
        <w:t xml:space="preserve">certain specific special education processes and obligations, these regulations and manuals do not replace or excuse the overall mandatory obligation DESE has under M.G.L. c. 71B §11A to </w:t>
      </w:r>
      <w:r w:rsidR="008A2167" w:rsidRPr="001C7828">
        <w:rPr>
          <w:rFonts w:ascii="Aptos" w:hAnsi="Aptos"/>
        </w:rPr>
        <w:t>“provide special education” to Students in CHCs</w:t>
      </w:r>
      <w:r w:rsidR="0008169A" w:rsidRPr="001C7828">
        <w:rPr>
          <w:rFonts w:ascii="Aptos" w:hAnsi="Aptos"/>
        </w:rPr>
        <w:t xml:space="preserve">.  </w:t>
      </w:r>
    </w:p>
  </w:footnote>
  <w:footnote w:id="51">
    <w:p w14:paraId="3612539F" w14:textId="52E5AE5F" w:rsidR="0013102C" w:rsidRPr="001C7828" w:rsidRDefault="0013102C" w:rsidP="00FA2C32">
      <w:pPr>
        <w:pStyle w:val="FootnoteText"/>
        <w:rPr>
          <w:rFonts w:ascii="Aptos" w:eastAsia="Times New Roman" w:hAnsi="Aptos" w:cs="Times New Roman"/>
          <w:bCs/>
          <w:color w:val="000000"/>
        </w:rPr>
      </w:pPr>
      <w:r w:rsidRPr="001C7828">
        <w:rPr>
          <w:rStyle w:val="FootnoteReference"/>
          <w:rFonts w:ascii="Aptos" w:hAnsi="Aptos"/>
        </w:rPr>
        <w:footnoteRef/>
      </w:r>
      <w:r w:rsidRPr="001C7828">
        <w:rPr>
          <w:rFonts w:ascii="Aptos" w:hAnsi="Aptos"/>
        </w:rPr>
        <w:t xml:space="preserve">   </w:t>
      </w:r>
      <w:r w:rsidR="00FA2C32" w:rsidRPr="001C7828">
        <w:rPr>
          <w:rFonts w:ascii="Aptos" w:hAnsi="Aptos"/>
        </w:rPr>
        <w:t xml:space="preserve">Notwithstanding the provisions of M.G.L. c. 71B §11A, it is </w:t>
      </w:r>
      <w:r w:rsidR="007D5BE4" w:rsidRPr="001C7828">
        <w:rPr>
          <w:rFonts w:ascii="Aptos" w:hAnsi="Aptos"/>
        </w:rPr>
        <w:t xml:space="preserve">also </w:t>
      </w:r>
      <w:r w:rsidR="00FA2C32" w:rsidRPr="001C7828">
        <w:rPr>
          <w:rFonts w:ascii="Aptos" w:hAnsi="Aptos"/>
        </w:rPr>
        <w:t>appropriate to include DESE as a party</w:t>
      </w:r>
      <w:r w:rsidR="007D5BE4" w:rsidRPr="001C7828">
        <w:rPr>
          <w:rFonts w:ascii="Aptos" w:hAnsi="Aptos"/>
        </w:rPr>
        <w:t xml:space="preserve"> in this matter</w:t>
      </w:r>
      <w:r w:rsidR="00FA2C32" w:rsidRPr="001C7828">
        <w:rPr>
          <w:rFonts w:ascii="Aptos" w:hAnsi="Aptos"/>
        </w:rPr>
        <w:t xml:space="preserve">, based upon its involvement (through SEIS) in Student’s special education program, and its general supervisory obligations over students who receive special education in institutional settings.  See </w:t>
      </w:r>
      <w:r w:rsidR="00FA2C32" w:rsidRPr="001C7828">
        <w:rPr>
          <w:rFonts w:ascii="Aptos" w:hAnsi="Aptos"/>
          <w:i/>
          <w:iCs/>
        </w:rPr>
        <w:t>A.A. ex rel. J.A.</w:t>
      </w:r>
      <w:r w:rsidR="00FA2C32" w:rsidRPr="001C7828">
        <w:rPr>
          <w:rFonts w:ascii="Aptos" w:hAnsi="Aptos"/>
        </w:rPr>
        <w:t xml:space="preserve">, 386 F.3d at 459; </w:t>
      </w:r>
      <w:r w:rsidR="00FA2C32" w:rsidRPr="001C7828">
        <w:rPr>
          <w:rFonts w:ascii="Aptos" w:hAnsi="Aptos"/>
          <w:i/>
          <w:iCs/>
        </w:rPr>
        <w:t>J.F</w:t>
      </w:r>
      <w:r w:rsidR="000C4CF8">
        <w:rPr>
          <w:rFonts w:ascii="Aptos" w:hAnsi="Aptos"/>
          <w:i/>
          <w:iCs/>
        </w:rPr>
        <w:t>.</w:t>
      </w:r>
      <w:r w:rsidR="00FA2C32" w:rsidRPr="001C7828">
        <w:rPr>
          <w:rFonts w:ascii="Aptos" w:hAnsi="Aptos"/>
        </w:rPr>
        <w:t xml:space="preserve">, 2024 WL 1348524 at *7 quoting </w:t>
      </w:r>
      <w:proofErr w:type="spellStart"/>
      <w:r w:rsidR="00FA2C32" w:rsidRPr="00BF61C9">
        <w:rPr>
          <w:rFonts w:ascii="Aptos" w:hAnsi="Aptos"/>
          <w:i/>
          <w:iCs/>
        </w:rPr>
        <w:t>Engwiller</w:t>
      </w:r>
      <w:proofErr w:type="spellEnd"/>
      <w:r w:rsidR="00FA2C32" w:rsidRPr="00BF61C9">
        <w:rPr>
          <w:rFonts w:ascii="Aptos" w:hAnsi="Aptos"/>
        </w:rPr>
        <w:t xml:space="preserve">, 110 F. Supp. 2d </w:t>
      </w:r>
      <w:r w:rsidR="00FA2C32" w:rsidRPr="001C7828">
        <w:rPr>
          <w:rFonts w:ascii="Aptos" w:hAnsi="Aptos"/>
        </w:rPr>
        <w:t xml:space="preserve">at </w:t>
      </w:r>
      <w:r w:rsidR="00FA2C32" w:rsidRPr="00BF61C9">
        <w:rPr>
          <w:rFonts w:ascii="Aptos" w:hAnsi="Aptos"/>
        </w:rPr>
        <w:t>246</w:t>
      </w:r>
      <w:r w:rsidR="00FA2C32" w:rsidRPr="001C7828">
        <w:rPr>
          <w:rFonts w:ascii="Aptos" w:hAnsi="Aptos"/>
        </w:rPr>
        <w:t>;</w:t>
      </w:r>
      <w:r w:rsidR="007D5BE4" w:rsidRPr="001C7828">
        <w:rPr>
          <w:rFonts w:ascii="Aptos" w:hAnsi="Aptos"/>
          <w:bCs/>
          <w:i/>
          <w:iCs/>
        </w:rPr>
        <w:t xml:space="preserve"> R.V.</w:t>
      </w:r>
      <w:r w:rsidR="007D5BE4" w:rsidRPr="001C7828">
        <w:rPr>
          <w:rFonts w:ascii="Aptos" w:hAnsi="Aptos"/>
          <w:bCs/>
        </w:rPr>
        <w:t>, 220 F. Supp. 3d at 594</w:t>
      </w:r>
      <w:r w:rsidR="00FA2C32" w:rsidRPr="001C7828">
        <w:rPr>
          <w:rFonts w:ascii="Aptos" w:hAnsi="Aptos"/>
          <w:bCs/>
        </w:rPr>
        <w:t xml:space="preserve">; </w:t>
      </w:r>
      <w:r w:rsidR="00FA2C32" w:rsidRPr="001C7828">
        <w:rPr>
          <w:rFonts w:ascii="Aptos" w:hAnsi="Aptos"/>
        </w:rPr>
        <w:t>c</w:t>
      </w:r>
      <w:r w:rsidRPr="001C7828">
        <w:rPr>
          <w:rFonts w:ascii="Aptos" w:hAnsi="Aptos"/>
        </w:rPr>
        <w:t xml:space="preserve">ompare </w:t>
      </w:r>
      <w:r w:rsidR="00FA2C32" w:rsidRPr="001C7828">
        <w:rPr>
          <w:rFonts w:ascii="Aptos" w:hAnsi="Aptos"/>
          <w:i/>
          <w:iCs/>
        </w:rPr>
        <w:t xml:space="preserve">Springfield Public Schools, </w:t>
      </w:r>
      <w:r w:rsidR="00FA2C32" w:rsidRPr="001C7828">
        <w:rPr>
          <w:rFonts w:ascii="Aptos" w:hAnsi="Aptos"/>
        </w:rPr>
        <w:t>29 MSER 154 (dismissing DESE as a party on the grounds that it cannot be liable based upon its general supervisory responsibilities in a FAPE dispute between a Student and his LEA, or for claims that relate to general educational benefits that were available regardless of disability status)</w:t>
      </w:r>
      <w:r w:rsidR="00334600" w:rsidRPr="001C7828">
        <w:rPr>
          <w:rFonts w:ascii="Aptos" w:hAnsi="Aptos"/>
        </w:rPr>
        <w:t xml:space="preserve">; </w:t>
      </w:r>
      <w:r w:rsidR="0007752F" w:rsidRPr="001C7828">
        <w:rPr>
          <w:rFonts w:ascii="Aptos" w:hAnsi="Aptos"/>
          <w:i/>
          <w:iCs/>
        </w:rPr>
        <w:t>Letter to Colleague</w:t>
      </w:r>
      <w:r w:rsidR="0007752F" w:rsidRPr="001C7828">
        <w:rPr>
          <w:rFonts w:ascii="Aptos" w:hAnsi="Aptos"/>
        </w:rPr>
        <w:t xml:space="preserve"> (OSERS, December 5, 2014). (</w:t>
      </w:r>
      <w:r w:rsidR="00334600" w:rsidRPr="001C7828">
        <w:rPr>
          <w:rFonts w:ascii="Aptos" w:hAnsi="Aptos"/>
        </w:rPr>
        <w:t>DESE</w:t>
      </w:r>
      <w:r w:rsidR="0007752F" w:rsidRPr="001C7828">
        <w:rPr>
          <w:rFonts w:ascii="Aptos" w:hAnsi="Aptos"/>
        </w:rPr>
        <w:t>, as the SEA,</w:t>
      </w:r>
      <w:r w:rsidR="00334600" w:rsidRPr="001C7828">
        <w:rPr>
          <w:rFonts w:ascii="Aptos" w:hAnsi="Aptos"/>
        </w:rPr>
        <w:t xml:space="preserve"> maintains “ultimate responsibility” to ensure a FAPE is provided, under the IDEA, to incarcerated students in CHCs “even if other agencies share that responsibility”</w:t>
      </w:r>
      <w:r w:rsidR="0007752F" w:rsidRPr="001C7828">
        <w:rPr>
          <w:rFonts w:ascii="Aptos" w:hAnsi="Aptos"/>
        </w:rPr>
        <w:t>).</w:t>
      </w:r>
      <w:r w:rsidR="00334600" w:rsidRPr="001C7828">
        <w:rPr>
          <w:rFonts w:ascii="Aptos" w:hAnsi="Aptos"/>
        </w:rPr>
        <w:t xml:space="preserve"> </w:t>
      </w:r>
    </w:p>
  </w:footnote>
  <w:footnote w:id="52">
    <w:p w14:paraId="07C8C056" w14:textId="76547A71" w:rsidR="00C41989" w:rsidRPr="001C7828" w:rsidRDefault="00C41989" w:rsidP="00C41989">
      <w:pPr>
        <w:pStyle w:val="FootnoteText"/>
        <w:rPr>
          <w:rFonts w:ascii="Aptos" w:hAnsi="Aptos"/>
        </w:rPr>
      </w:pPr>
      <w:r w:rsidRPr="001C7828">
        <w:rPr>
          <w:rStyle w:val="FootnoteReference"/>
          <w:rFonts w:ascii="Aptos" w:hAnsi="Aptos"/>
        </w:rPr>
        <w:footnoteRef/>
      </w:r>
      <w:r w:rsidR="001872F9">
        <w:rPr>
          <w:rFonts w:ascii="Aptos" w:hAnsi="Aptos"/>
        </w:rPr>
        <w:t xml:space="preserve"> </w:t>
      </w:r>
      <w:r w:rsidRPr="001C7828">
        <w:rPr>
          <w:rFonts w:ascii="Aptos" w:hAnsi="Aptos"/>
        </w:rPr>
        <w:t xml:space="preserve">  </w:t>
      </w:r>
      <w:r w:rsidRPr="001C7828">
        <w:rPr>
          <w:rFonts w:ascii="Aptos" w:hAnsi="Aptos"/>
          <w:i/>
          <w:iCs/>
          <w:color w:val="000000" w:themeColor="text1"/>
        </w:rPr>
        <w:t>French</w:t>
      </w:r>
      <w:r w:rsidRPr="001C7828">
        <w:rPr>
          <w:rFonts w:ascii="Aptos" w:hAnsi="Aptos"/>
          <w:color w:val="000000" w:themeColor="text1"/>
        </w:rPr>
        <w:t xml:space="preserve">, 15 F.4th at 123; see </w:t>
      </w:r>
      <w:r w:rsidRPr="001C7828">
        <w:rPr>
          <w:rFonts w:ascii="Aptos" w:hAnsi="Aptos"/>
          <w:i/>
          <w:color w:val="000000" w:themeColor="text1"/>
        </w:rPr>
        <w:t>Anderson,</w:t>
      </w:r>
      <w:r w:rsidRPr="001C7828">
        <w:rPr>
          <w:rFonts w:ascii="Aptos" w:hAnsi="Aptos"/>
          <w:color w:val="000000" w:themeColor="text1"/>
        </w:rPr>
        <w:t xml:space="preserve"> 477 U.S</w:t>
      </w:r>
      <w:r w:rsidRPr="001C7828">
        <w:rPr>
          <w:rFonts w:ascii="Aptos" w:hAnsi="Aptos"/>
          <w:i/>
          <w:color w:val="000000" w:themeColor="text1"/>
        </w:rPr>
        <w:t>.</w:t>
      </w:r>
      <w:r w:rsidRPr="001C7828">
        <w:rPr>
          <w:rFonts w:ascii="Aptos" w:hAnsi="Aptos"/>
          <w:color w:val="000000" w:themeColor="text1"/>
        </w:rPr>
        <w:t xml:space="preserve">at 249; </w:t>
      </w:r>
      <w:r w:rsidRPr="001C7828">
        <w:rPr>
          <w:rFonts w:ascii="Aptos" w:hAnsi="Aptos"/>
          <w:i/>
          <w:color w:val="000000" w:themeColor="text1"/>
          <w:bdr w:val="none" w:sz="0" w:space="0" w:color="auto" w:frame="1"/>
        </w:rPr>
        <w:t>Maldanado-Denis,</w:t>
      </w:r>
      <w:r w:rsidRPr="001C7828">
        <w:rPr>
          <w:rFonts w:ascii="Aptos" w:hAnsi="Aptos"/>
          <w:color w:val="000000" w:themeColor="text1"/>
          <w:bdr w:val="none" w:sz="0" w:space="0" w:color="auto" w:frame="1"/>
        </w:rPr>
        <w:t xml:space="preserve"> 23 F.3d at 581</w:t>
      </w:r>
      <w:r w:rsidRPr="001C7828">
        <w:rPr>
          <w:rFonts w:ascii="Aptos" w:hAnsi="Aptos"/>
          <w:color w:val="000000" w:themeColor="text1"/>
        </w:rPr>
        <w:t>.</w:t>
      </w:r>
    </w:p>
  </w:footnote>
  <w:footnote w:id="53">
    <w:p w14:paraId="61771E0C" w14:textId="2F5DF466" w:rsidR="008A1083" w:rsidRPr="001C7828" w:rsidRDefault="008A1083">
      <w:pPr>
        <w:pStyle w:val="FootnoteText"/>
        <w:rPr>
          <w:rFonts w:ascii="Aptos" w:hAnsi="Aptos"/>
        </w:rPr>
      </w:pPr>
      <w:r w:rsidRPr="001C7828">
        <w:rPr>
          <w:rStyle w:val="FootnoteReference"/>
          <w:rFonts w:ascii="Aptos" w:hAnsi="Aptos"/>
        </w:rPr>
        <w:footnoteRef/>
      </w:r>
      <w:r w:rsidR="001872F9">
        <w:rPr>
          <w:rFonts w:ascii="Aptos" w:hAnsi="Aptos"/>
        </w:rPr>
        <w:t xml:space="preserve"> </w:t>
      </w:r>
      <w:r w:rsidRPr="001C7828">
        <w:rPr>
          <w:rFonts w:ascii="Aptos" w:hAnsi="Aptos"/>
        </w:rPr>
        <w:t xml:space="preserve">  M.G.L. c. 71B §1, definition of “school age child with a disability”; M.G.L. c. 71B §11A mandating the provision of special education to all school age children with a disability incarcerated in CHCs. </w:t>
      </w:r>
      <w:r w:rsidR="00CA0CF2" w:rsidRPr="001C7828">
        <w:rPr>
          <w:rFonts w:ascii="Aptos" w:hAnsi="Aptos"/>
        </w:rPr>
        <w:t xml:space="preserve"> </w:t>
      </w:r>
      <w:r w:rsidR="00CA0CF2" w:rsidRPr="001C7828">
        <w:rPr>
          <w:rFonts w:ascii="Aptos" w:eastAsia="Times New Roman" w:hAnsi="Aptos" w:cs="Times New Roman"/>
        </w:rPr>
        <w:t>Moreover, as Student notes, the 23-24 IEP does not indicate Student should receive a shorter day or shorter year, rather the “Schedule Modification” section of this IEP checks the box for “no” to both these options.</w:t>
      </w:r>
    </w:p>
  </w:footnote>
  <w:footnote w:id="54">
    <w:p w14:paraId="645BCFF3" w14:textId="35A74E57" w:rsidR="007747AE" w:rsidRDefault="007747AE">
      <w:pPr>
        <w:pStyle w:val="FootnoteText"/>
      </w:pPr>
      <w:r>
        <w:rPr>
          <w:rStyle w:val="FootnoteReference"/>
        </w:rPr>
        <w:footnoteRef/>
      </w:r>
      <w:r>
        <w:t xml:space="preserve"> </w:t>
      </w:r>
      <w:r w:rsidRPr="000F5A1B">
        <w:rPr>
          <w:rFonts w:ascii="Aptos" w:hAnsi="Aptos"/>
        </w:rPr>
        <w:t xml:space="preserve">This is the </w:t>
      </w:r>
      <w:proofErr w:type="gramStart"/>
      <w:r w:rsidRPr="000F5A1B">
        <w:rPr>
          <w:rFonts w:ascii="Aptos" w:hAnsi="Aptos"/>
        </w:rPr>
        <w:t>time period</w:t>
      </w:r>
      <w:proofErr w:type="gramEnd"/>
      <w:r w:rsidRPr="000F5A1B">
        <w:rPr>
          <w:rFonts w:ascii="Aptos" w:hAnsi="Aptos"/>
        </w:rPr>
        <w:t xml:space="preserve"> between acceptance of the </w:t>
      </w:r>
      <w:r>
        <w:rPr>
          <w:rFonts w:ascii="Aptos" w:hAnsi="Aptos"/>
        </w:rPr>
        <w:t xml:space="preserve">yet to be provided </w:t>
      </w:r>
      <w:r w:rsidRPr="000F5A1B">
        <w:rPr>
          <w:rFonts w:ascii="Aptos" w:hAnsi="Aptos"/>
        </w:rPr>
        <w:t>22-23 IEP</w:t>
      </w:r>
      <w:r>
        <w:rPr>
          <w:rFonts w:ascii="Aptos" w:hAnsi="Aptos"/>
        </w:rPr>
        <w:t xml:space="preserve"> (which was thereafter </w:t>
      </w:r>
      <w:r w:rsidRPr="000F5A1B">
        <w:rPr>
          <w:rFonts w:ascii="Aptos" w:hAnsi="Aptos"/>
        </w:rPr>
        <w:t>partially rejected on June 30, 2024</w:t>
      </w:r>
      <w:r>
        <w:rPr>
          <w:rFonts w:ascii="Aptos" w:hAnsi="Aptos"/>
        </w:rPr>
        <w:t>)</w:t>
      </w:r>
      <w:r w:rsidRPr="000F5A1B">
        <w:rPr>
          <w:rFonts w:ascii="Aptos" w:hAnsi="Aptos"/>
        </w:rPr>
        <w:t>, and the partial acceptance of the 23-24 IEP.  Once material about this IEP is received at a hearing on the merits, I may ultimately conclude that the LRE claim as to any accepted and implemented services</w:t>
      </w:r>
      <w:r>
        <w:rPr>
          <w:rFonts w:ascii="Aptos" w:hAnsi="Aptos"/>
        </w:rPr>
        <w:t xml:space="preserve"> in the 22-23 IEP also</w:t>
      </w:r>
      <w:r w:rsidRPr="000F5A1B">
        <w:rPr>
          <w:rFonts w:ascii="Aptos" w:hAnsi="Aptos"/>
        </w:rPr>
        <w:t xml:space="preserve"> cannot succeed for the reasons noted in this </w:t>
      </w:r>
      <w:r w:rsidRPr="000F5A1B">
        <w:rPr>
          <w:rFonts w:ascii="Aptos" w:hAnsi="Aptos"/>
          <w:i/>
          <w:iCs/>
        </w:rPr>
        <w:t>Ruling</w:t>
      </w:r>
      <w:r w:rsidRPr="000F5A1B">
        <w:rPr>
          <w:rFonts w:ascii="Aptos" w:hAnsi="Aptos"/>
        </w:rPr>
        <w:t>.</w:t>
      </w:r>
    </w:p>
  </w:footnote>
  <w:footnote w:id="55">
    <w:p w14:paraId="08DD193F" w14:textId="7F30570E" w:rsidR="004A2B6D" w:rsidRPr="001C7828" w:rsidRDefault="004A2B6D">
      <w:pPr>
        <w:pStyle w:val="FootnoteText"/>
        <w:rPr>
          <w:rFonts w:ascii="Aptos" w:hAnsi="Aptos"/>
        </w:rPr>
      </w:pPr>
      <w:r w:rsidRPr="001C7828">
        <w:rPr>
          <w:rStyle w:val="FootnoteReference"/>
          <w:rFonts w:ascii="Aptos" w:hAnsi="Aptos"/>
        </w:rPr>
        <w:footnoteRef/>
      </w:r>
      <w:r w:rsidRPr="001C7828">
        <w:rPr>
          <w:rFonts w:ascii="Aptos" w:hAnsi="Aptos"/>
        </w:rPr>
        <w:t xml:space="preserve">   </w:t>
      </w:r>
      <w:r w:rsidR="00633A5D">
        <w:rPr>
          <w:rFonts w:ascii="Aptos" w:hAnsi="Aptos"/>
        </w:rPr>
        <w:t xml:space="preserve">Student’s only citations are to prior BSEA Rulings that have concluded the BSEA does not have jurisdiction over class actions and </w:t>
      </w:r>
      <w:r w:rsidR="00D13EA1">
        <w:rPr>
          <w:rFonts w:ascii="Aptos" w:hAnsi="Aptos"/>
        </w:rPr>
        <w:t xml:space="preserve">those in </w:t>
      </w:r>
      <w:r w:rsidR="00F55F71" w:rsidRPr="001C7828">
        <w:rPr>
          <w:rFonts w:ascii="Aptos" w:hAnsi="Aptos"/>
        </w:rPr>
        <w:t>support</w:t>
      </w:r>
      <w:r w:rsidR="00D13EA1">
        <w:rPr>
          <w:rFonts w:ascii="Aptos" w:hAnsi="Aptos"/>
        </w:rPr>
        <w:t xml:space="preserve"> of the </w:t>
      </w:r>
      <w:r w:rsidR="00F55F71" w:rsidRPr="001C7828">
        <w:rPr>
          <w:rFonts w:ascii="Aptos" w:hAnsi="Aptos"/>
        </w:rPr>
        <w:t>argument</w:t>
      </w:r>
      <w:r w:rsidR="009324C9">
        <w:rPr>
          <w:rFonts w:ascii="Aptos" w:hAnsi="Aptos"/>
        </w:rPr>
        <w:t>s</w:t>
      </w:r>
      <w:r w:rsidR="00F55F71" w:rsidRPr="001C7828">
        <w:rPr>
          <w:rFonts w:ascii="Aptos" w:hAnsi="Aptos"/>
        </w:rPr>
        <w:t xml:space="preserve"> that </w:t>
      </w:r>
      <w:r w:rsidR="009324C9">
        <w:rPr>
          <w:rFonts w:ascii="Aptos" w:hAnsi="Aptos"/>
        </w:rPr>
        <w:t xml:space="preserve">prior BSEA decisions are non-precedential and </w:t>
      </w:r>
      <w:r w:rsidR="00F55F71" w:rsidRPr="001C7828">
        <w:rPr>
          <w:rFonts w:ascii="Aptos" w:hAnsi="Aptos"/>
        </w:rPr>
        <w:t>th</w:t>
      </w:r>
      <w:r w:rsidR="00014F1A">
        <w:rPr>
          <w:rFonts w:ascii="Aptos" w:hAnsi="Aptos"/>
        </w:rPr>
        <w:t xml:space="preserve">at the BSEA’s </w:t>
      </w:r>
      <w:r w:rsidR="00F55F71" w:rsidRPr="001C7828">
        <w:rPr>
          <w:rFonts w:ascii="Aptos" w:hAnsi="Aptos"/>
        </w:rPr>
        <w:t xml:space="preserve">expertise to adjudicate special education matters is well recognized by the courts.  </w:t>
      </w:r>
    </w:p>
  </w:footnote>
  <w:footnote w:id="56">
    <w:p w14:paraId="205AF711" w14:textId="77777777" w:rsidR="00995DFA" w:rsidRPr="001C7828" w:rsidRDefault="00995DFA" w:rsidP="00995DFA">
      <w:pPr>
        <w:pStyle w:val="FootnoteText"/>
        <w:rPr>
          <w:rFonts w:ascii="Aptos" w:hAnsi="Aptos"/>
        </w:rPr>
      </w:pPr>
      <w:r w:rsidRPr="001C7828">
        <w:rPr>
          <w:rStyle w:val="FootnoteReference"/>
          <w:rFonts w:ascii="Aptos" w:hAnsi="Aptos"/>
        </w:rPr>
        <w:footnoteRef/>
      </w:r>
      <w:r w:rsidRPr="001C7828">
        <w:rPr>
          <w:rFonts w:ascii="Aptos" w:hAnsi="Aptos"/>
        </w:rPr>
        <w:t xml:space="preserve">   </w:t>
      </w:r>
      <w:r w:rsidRPr="001C7828">
        <w:rPr>
          <w:rFonts w:ascii="Aptos" w:hAnsi="Aptos" w:cs="Times New Roman"/>
        </w:rPr>
        <w:t xml:space="preserve">By law, the BSEA’s jurisdiction extends only to those claims involving “any matter relating to the identification, evaluation or educational placement </w:t>
      </w:r>
      <w:r w:rsidRPr="001C7828">
        <w:rPr>
          <w:rFonts w:ascii="Aptos" w:hAnsi="Aptos" w:cs="Times New Roman"/>
          <w:i/>
          <w:iCs/>
        </w:rPr>
        <w:t>of the child</w:t>
      </w:r>
      <w:r w:rsidRPr="001C7828">
        <w:rPr>
          <w:rFonts w:ascii="Aptos" w:hAnsi="Aptos" w:cs="Times New Roman"/>
        </w:rPr>
        <w:t xml:space="preserve">, or the provision of a free appropriate public education </w:t>
      </w:r>
      <w:r w:rsidRPr="001C7828">
        <w:rPr>
          <w:rFonts w:ascii="Aptos" w:hAnsi="Aptos" w:cs="Times New Roman"/>
          <w:i/>
          <w:iCs/>
        </w:rPr>
        <w:t>to such child</w:t>
      </w:r>
      <w:r w:rsidRPr="001C7828">
        <w:rPr>
          <w:rFonts w:ascii="Aptos" w:hAnsi="Aptos" w:cs="Times New Roman"/>
        </w:rPr>
        <w:t xml:space="preserve">” (emphasis added).  </w:t>
      </w:r>
      <w:r w:rsidRPr="001C7828">
        <w:rPr>
          <w:rFonts w:ascii="Aptos" w:hAnsi="Aptos"/>
        </w:rPr>
        <w:t>M.G.L. c. 71B §2A.</w:t>
      </w:r>
    </w:p>
  </w:footnote>
  <w:footnote w:id="57">
    <w:p w14:paraId="57563AE1" w14:textId="73C5D3B4" w:rsidR="007D57BD" w:rsidRPr="001C7828" w:rsidRDefault="007D57BD">
      <w:pPr>
        <w:pStyle w:val="FootnoteText"/>
        <w:rPr>
          <w:rFonts w:ascii="Aptos" w:hAnsi="Aptos"/>
        </w:rPr>
      </w:pPr>
      <w:r w:rsidRPr="001C7828">
        <w:rPr>
          <w:rStyle w:val="FootnoteReference"/>
          <w:rFonts w:ascii="Aptos" w:hAnsi="Aptos"/>
        </w:rPr>
        <w:footnoteRef/>
      </w:r>
      <w:r w:rsidRPr="001C7828">
        <w:rPr>
          <w:rFonts w:ascii="Aptos" w:hAnsi="Aptos"/>
        </w:rPr>
        <w:t xml:space="preserve"> </w:t>
      </w:r>
      <w:r w:rsidR="00D474DF" w:rsidRPr="001C7828">
        <w:rPr>
          <w:rFonts w:ascii="Aptos" w:hAnsi="Aptos"/>
        </w:rPr>
        <w:t xml:space="preserve">  </w:t>
      </w:r>
      <w:r w:rsidRPr="001C7828">
        <w:rPr>
          <w:rFonts w:ascii="Aptos" w:hAnsi="Aptos"/>
          <w:i/>
          <w:iCs/>
        </w:rPr>
        <w:t xml:space="preserve">In Re: </w:t>
      </w:r>
      <w:r w:rsidR="00D474DF" w:rsidRPr="001C7828">
        <w:rPr>
          <w:rFonts w:ascii="Aptos" w:hAnsi="Aptos"/>
          <w:i/>
          <w:iCs/>
        </w:rPr>
        <w:t>Holyoke Pub</w:t>
      </w:r>
      <w:r w:rsidR="00A97B9F">
        <w:rPr>
          <w:rFonts w:ascii="Aptos" w:hAnsi="Aptos"/>
          <w:i/>
          <w:iCs/>
        </w:rPr>
        <w:t>.</w:t>
      </w:r>
      <w:r w:rsidR="00D474DF" w:rsidRPr="001C7828">
        <w:rPr>
          <w:rFonts w:ascii="Aptos" w:hAnsi="Aptos"/>
          <w:i/>
          <w:iCs/>
        </w:rPr>
        <w:t xml:space="preserve"> Sch</w:t>
      </w:r>
      <w:r w:rsidR="0058715D">
        <w:rPr>
          <w:rFonts w:ascii="Aptos" w:hAnsi="Aptos"/>
          <w:i/>
          <w:iCs/>
        </w:rPr>
        <w:t>ools</w:t>
      </w:r>
      <w:r w:rsidR="00D474DF" w:rsidRPr="001C7828">
        <w:rPr>
          <w:rFonts w:ascii="Aptos" w:hAnsi="Aptos"/>
          <w:i/>
          <w:iCs/>
        </w:rPr>
        <w:t xml:space="preserve"> and J</w:t>
      </w:r>
      <w:r w:rsidRPr="001C7828">
        <w:rPr>
          <w:rFonts w:ascii="Aptos" w:hAnsi="Aptos"/>
          <w:i/>
          <w:iCs/>
        </w:rPr>
        <w:t>ay</w:t>
      </w:r>
      <w:r w:rsidR="00D474DF" w:rsidRPr="001C7828">
        <w:rPr>
          <w:rFonts w:ascii="Aptos" w:hAnsi="Aptos"/>
        </w:rPr>
        <w:t xml:space="preserve">, </w:t>
      </w:r>
      <w:r w:rsidR="00771F35">
        <w:rPr>
          <w:rFonts w:ascii="Aptos" w:hAnsi="Aptos"/>
        </w:rPr>
        <w:t xml:space="preserve">BSEA #1800619, </w:t>
      </w:r>
      <w:r w:rsidR="00D474DF" w:rsidRPr="001C7828">
        <w:rPr>
          <w:rFonts w:ascii="Aptos" w:hAnsi="Aptos"/>
        </w:rPr>
        <w:t>24 MSER 20 (</w:t>
      </w:r>
      <w:r w:rsidR="00771F35">
        <w:rPr>
          <w:rFonts w:ascii="Aptos" w:hAnsi="Aptos"/>
        </w:rPr>
        <w:t xml:space="preserve">Ruling, </w:t>
      </w:r>
      <w:r w:rsidR="00D474DF" w:rsidRPr="001C7828">
        <w:rPr>
          <w:rFonts w:ascii="Aptos" w:hAnsi="Aptos"/>
        </w:rPr>
        <w:t>Oliver, 2018)</w:t>
      </w:r>
      <w:r w:rsidRPr="001C7828">
        <w:rPr>
          <w:rFonts w:ascii="Aptos" w:hAnsi="Aptos"/>
        </w:rPr>
        <w:t xml:space="preserve">; </w:t>
      </w:r>
      <w:r w:rsidRPr="001C7828">
        <w:rPr>
          <w:rFonts w:ascii="Aptos" w:hAnsi="Aptos"/>
          <w:i/>
          <w:iCs/>
        </w:rPr>
        <w:t>In Re: Springfield P</w:t>
      </w:r>
      <w:r w:rsidR="00A97B9F">
        <w:rPr>
          <w:rFonts w:ascii="Aptos" w:hAnsi="Aptos"/>
          <w:i/>
          <w:iCs/>
        </w:rPr>
        <w:t xml:space="preserve">ub. </w:t>
      </w:r>
      <w:r w:rsidRPr="001C7828">
        <w:rPr>
          <w:rFonts w:ascii="Aptos" w:hAnsi="Aptos"/>
          <w:i/>
          <w:iCs/>
        </w:rPr>
        <w:t>S</w:t>
      </w:r>
      <w:r w:rsidR="00A97B9F">
        <w:rPr>
          <w:rFonts w:ascii="Aptos" w:hAnsi="Aptos"/>
          <w:i/>
          <w:iCs/>
        </w:rPr>
        <w:t>c</w:t>
      </w:r>
      <w:r w:rsidR="0058715D">
        <w:rPr>
          <w:rFonts w:ascii="Aptos" w:hAnsi="Aptos"/>
          <w:i/>
          <w:iCs/>
        </w:rPr>
        <w:t>hools</w:t>
      </w:r>
      <w:r w:rsidRPr="001C7828">
        <w:rPr>
          <w:rFonts w:ascii="Aptos" w:hAnsi="Aptos"/>
        </w:rPr>
        <w:t xml:space="preserve">, </w:t>
      </w:r>
      <w:r w:rsidR="00771F35">
        <w:rPr>
          <w:rFonts w:ascii="Aptos" w:hAnsi="Aptos"/>
        </w:rPr>
        <w:t>BSEA #1309716,</w:t>
      </w:r>
      <w:r w:rsidRPr="001C7828">
        <w:rPr>
          <w:rFonts w:ascii="Aptos" w:hAnsi="Aptos"/>
        </w:rPr>
        <w:t>19 MSER 294 (</w:t>
      </w:r>
      <w:r w:rsidR="00771F35">
        <w:rPr>
          <w:rFonts w:ascii="Aptos" w:hAnsi="Aptos"/>
        </w:rPr>
        <w:t xml:space="preserve">Ruling, </w:t>
      </w:r>
      <w:r w:rsidRPr="001C7828">
        <w:rPr>
          <w:rFonts w:ascii="Aptos" w:hAnsi="Aptos"/>
        </w:rPr>
        <w:t>Oliver, 2013)</w:t>
      </w:r>
      <w:r w:rsidR="00D474DF" w:rsidRPr="001C7828">
        <w:rPr>
          <w:rFonts w:ascii="Aptos" w:hAnsi="Aptos"/>
        </w:rPr>
        <w:t>.</w:t>
      </w:r>
    </w:p>
  </w:footnote>
  <w:footnote w:id="58">
    <w:p w14:paraId="1D4474F5" w14:textId="29A39A3E" w:rsidR="0099457C" w:rsidRPr="001C7828" w:rsidRDefault="0099457C">
      <w:pPr>
        <w:pStyle w:val="FootnoteText"/>
        <w:rPr>
          <w:rFonts w:ascii="Aptos" w:hAnsi="Aptos"/>
        </w:rPr>
      </w:pPr>
      <w:r w:rsidRPr="001C7828">
        <w:rPr>
          <w:rStyle w:val="FootnoteReference"/>
          <w:rFonts w:ascii="Aptos" w:hAnsi="Aptos"/>
        </w:rPr>
        <w:footnoteRef/>
      </w:r>
      <w:r w:rsidRPr="001C7828">
        <w:rPr>
          <w:rFonts w:ascii="Aptos" w:hAnsi="Aptos"/>
        </w:rPr>
        <w:t xml:space="preserve"> </w:t>
      </w:r>
      <w:r w:rsidR="001872F9">
        <w:rPr>
          <w:rFonts w:ascii="Aptos" w:hAnsi="Aptos"/>
        </w:rPr>
        <w:t xml:space="preserve">  </w:t>
      </w:r>
      <w:r w:rsidRPr="001C7828">
        <w:rPr>
          <w:rFonts w:ascii="Aptos" w:hAnsi="Aptos"/>
          <w:i/>
          <w:iCs/>
        </w:rPr>
        <w:t>Holyoke</w:t>
      </w:r>
      <w:r w:rsidRPr="001C7828">
        <w:rPr>
          <w:rFonts w:ascii="Aptos" w:hAnsi="Aptos"/>
        </w:rPr>
        <w:t>, 24 MSER 20.</w:t>
      </w:r>
    </w:p>
  </w:footnote>
  <w:footnote w:id="59">
    <w:p w14:paraId="625AC3A7" w14:textId="2C38A8A5" w:rsidR="0051374E" w:rsidRPr="0051374E" w:rsidRDefault="005F36C0" w:rsidP="0051374E">
      <w:pPr>
        <w:pStyle w:val="FootnoteText"/>
        <w:rPr>
          <w:rFonts w:ascii="Aptos" w:hAnsi="Aptos"/>
        </w:rPr>
      </w:pPr>
      <w:r w:rsidRPr="0051374E">
        <w:rPr>
          <w:rStyle w:val="FootnoteReference"/>
          <w:rFonts w:ascii="Aptos" w:hAnsi="Aptos"/>
        </w:rPr>
        <w:footnoteRef/>
      </w:r>
      <w:r w:rsidRPr="0051374E">
        <w:rPr>
          <w:rFonts w:ascii="Aptos" w:hAnsi="Aptos"/>
        </w:rPr>
        <w:t xml:space="preserve">   </w:t>
      </w:r>
      <w:r w:rsidR="00DB1C4D" w:rsidRPr="00DB1C4D">
        <w:rPr>
          <w:rFonts w:ascii="Aptos" w:hAnsi="Aptos"/>
        </w:rPr>
        <w:t xml:space="preserve">I agree with DESE that the simultaneous pursuit of claims can create a risk of conflicting determinations and wasting of judicial and administrative resources.  Contrary to Student’s argument, for claims over which the BSEA has original jurisdiction, or those that require administrative exhaustion, the court does not have concurrent jurisdiction with the BSEA.  Pursuant to the IDEA, issues within the BSEA’s jurisdiction must be filed with the BSEA prior to (as opposed to simultaneously) being filed with the Court.  20 USC 1415(l).  However, as not all educational issues fall within the BSEA’s jurisdiction, those matters outside its jurisdiction can, upon dismissal for jurisdictional grounds, or separately without first being filed with the BSEA, be pursued in a court of law.  See </w:t>
      </w:r>
      <w:r w:rsidR="00DB1C4D" w:rsidRPr="00DB1C4D">
        <w:rPr>
          <w:rFonts w:ascii="Aptos" w:hAnsi="Aptos"/>
          <w:i/>
          <w:iCs/>
        </w:rPr>
        <w:t>Perez v. Sturgis Public Schools</w:t>
      </w:r>
      <w:r w:rsidR="00DB1C4D" w:rsidRPr="00DB1C4D">
        <w:rPr>
          <w:rFonts w:ascii="Aptos" w:hAnsi="Aptos"/>
        </w:rPr>
        <w:t xml:space="preserve">, 598 U.S. 142, 147-48 (2023) (“The statute’s administrative exhaustion requirement applies </w:t>
      </w:r>
      <w:r w:rsidR="00DB1C4D" w:rsidRPr="00DB1C4D">
        <w:rPr>
          <w:rFonts w:ascii="Aptos" w:hAnsi="Aptos"/>
          <w:i/>
          <w:iCs/>
        </w:rPr>
        <w:t xml:space="preserve">only </w:t>
      </w:r>
      <w:r w:rsidR="00DB1C4D" w:rsidRPr="00DB1C4D">
        <w:rPr>
          <w:rFonts w:ascii="Aptos" w:hAnsi="Aptos"/>
        </w:rPr>
        <w:t>to suits that seek relief . . . also available under IDEA”) (internal quotation marks and citation omitted).</w:t>
      </w:r>
    </w:p>
    <w:p w14:paraId="2FF98265" w14:textId="4F10C538" w:rsidR="005F36C0" w:rsidRPr="0097466C" w:rsidRDefault="005F36C0">
      <w:pPr>
        <w:pStyle w:val="FootnoteText"/>
        <w:rPr>
          <w:rFonts w:ascii="Aptos" w:hAnsi="Apto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84A83"/>
    <w:multiLevelType w:val="hybridMultilevel"/>
    <w:tmpl w:val="FC7E0FCA"/>
    <w:lvl w:ilvl="0" w:tplc="1B5CDAC2">
      <w:start w:val="1"/>
      <w:numFmt w:val="decimal"/>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55468"/>
    <w:multiLevelType w:val="hybridMultilevel"/>
    <w:tmpl w:val="0A2488B4"/>
    <w:lvl w:ilvl="0" w:tplc="B45499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76AB4"/>
    <w:multiLevelType w:val="hybridMultilevel"/>
    <w:tmpl w:val="37E47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E2468"/>
    <w:multiLevelType w:val="hybridMultilevel"/>
    <w:tmpl w:val="D69CC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32E1D"/>
    <w:multiLevelType w:val="hybridMultilevel"/>
    <w:tmpl w:val="E35619A0"/>
    <w:lvl w:ilvl="0" w:tplc="83804F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CE6487"/>
    <w:multiLevelType w:val="hybridMultilevel"/>
    <w:tmpl w:val="25522E04"/>
    <w:lvl w:ilvl="0" w:tplc="3F0ABD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B639E8"/>
    <w:multiLevelType w:val="hybridMultilevel"/>
    <w:tmpl w:val="25522E04"/>
    <w:lvl w:ilvl="0" w:tplc="3F0ABD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814507"/>
    <w:multiLevelType w:val="hybridMultilevel"/>
    <w:tmpl w:val="584E1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E0975"/>
    <w:multiLevelType w:val="hybridMultilevel"/>
    <w:tmpl w:val="AA2E2446"/>
    <w:lvl w:ilvl="0" w:tplc="FDE003CE">
      <w:start w:val="1"/>
      <w:numFmt w:val="lowerLetter"/>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1E5DB5"/>
    <w:multiLevelType w:val="hybridMultilevel"/>
    <w:tmpl w:val="86702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485417"/>
    <w:multiLevelType w:val="hybridMultilevel"/>
    <w:tmpl w:val="54440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387D55"/>
    <w:multiLevelType w:val="hybridMultilevel"/>
    <w:tmpl w:val="57B657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AF4AA3"/>
    <w:multiLevelType w:val="hybridMultilevel"/>
    <w:tmpl w:val="3E046994"/>
    <w:lvl w:ilvl="0" w:tplc="BD10BB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434690">
    <w:abstractNumId w:val="9"/>
  </w:num>
  <w:num w:numId="2" w16cid:durableId="1391003678">
    <w:abstractNumId w:val="2"/>
  </w:num>
  <w:num w:numId="3" w16cid:durableId="1693147343">
    <w:abstractNumId w:val="5"/>
  </w:num>
  <w:num w:numId="4" w16cid:durableId="1600602847">
    <w:abstractNumId w:val="12"/>
  </w:num>
  <w:num w:numId="5" w16cid:durableId="159319497">
    <w:abstractNumId w:val="3"/>
  </w:num>
  <w:num w:numId="6" w16cid:durableId="2137478764">
    <w:abstractNumId w:val="1"/>
  </w:num>
  <w:num w:numId="7" w16cid:durableId="39669027">
    <w:abstractNumId w:val="6"/>
  </w:num>
  <w:num w:numId="8" w16cid:durableId="1085807272">
    <w:abstractNumId w:val="8"/>
  </w:num>
  <w:num w:numId="9" w16cid:durableId="2140026849">
    <w:abstractNumId w:val="11"/>
  </w:num>
  <w:num w:numId="10" w16cid:durableId="283466160">
    <w:abstractNumId w:val="0"/>
  </w:num>
  <w:num w:numId="11" w16cid:durableId="752505878">
    <w:abstractNumId w:val="10"/>
  </w:num>
  <w:num w:numId="12" w16cid:durableId="1198859120">
    <w:abstractNumId w:val="7"/>
  </w:num>
  <w:num w:numId="13" w16cid:durableId="1572622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B3"/>
    <w:rsid w:val="000018B9"/>
    <w:rsid w:val="000069AD"/>
    <w:rsid w:val="00007FE1"/>
    <w:rsid w:val="00010EE9"/>
    <w:rsid w:val="0001302E"/>
    <w:rsid w:val="00014AA5"/>
    <w:rsid w:val="00014F1A"/>
    <w:rsid w:val="00034D51"/>
    <w:rsid w:val="000370FF"/>
    <w:rsid w:val="00070C50"/>
    <w:rsid w:val="0007752F"/>
    <w:rsid w:val="0008169A"/>
    <w:rsid w:val="00087B41"/>
    <w:rsid w:val="000923E6"/>
    <w:rsid w:val="000938D2"/>
    <w:rsid w:val="000963E3"/>
    <w:rsid w:val="000A0719"/>
    <w:rsid w:val="000A36C0"/>
    <w:rsid w:val="000C0E6A"/>
    <w:rsid w:val="000C4155"/>
    <w:rsid w:val="000C4CF8"/>
    <w:rsid w:val="000C596F"/>
    <w:rsid w:val="000D0B11"/>
    <w:rsid w:val="000D2695"/>
    <w:rsid w:val="000D580A"/>
    <w:rsid w:val="000E4FA5"/>
    <w:rsid w:val="000E6B29"/>
    <w:rsid w:val="000F108E"/>
    <w:rsid w:val="000F2791"/>
    <w:rsid w:val="000F398A"/>
    <w:rsid w:val="000F5A1B"/>
    <w:rsid w:val="00104082"/>
    <w:rsid w:val="001106D8"/>
    <w:rsid w:val="00110CF9"/>
    <w:rsid w:val="00123F8A"/>
    <w:rsid w:val="001259F4"/>
    <w:rsid w:val="00126BC6"/>
    <w:rsid w:val="00126C0F"/>
    <w:rsid w:val="00127BE2"/>
    <w:rsid w:val="0013102C"/>
    <w:rsid w:val="00143527"/>
    <w:rsid w:val="001447BE"/>
    <w:rsid w:val="001509E8"/>
    <w:rsid w:val="00152B5E"/>
    <w:rsid w:val="0015621B"/>
    <w:rsid w:val="00171DB2"/>
    <w:rsid w:val="001803F0"/>
    <w:rsid w:val="001872F9"/>
    <w:rsid w:val="001874E1"/>
    <w:rsid w:val="00187F03"/>
    <w:rsid w:val="00191FB4"/>
    <w:rsid w:val="001A7C6F"/>
    <w:rsid w:val="001B766F"/>
    <w:rsid w:val="001B7DE6"/>
    <w:rsid w:val="001C7828"/>
    <w:rsid w:val="001D7B62"/>
    <w:rsid w:val="001F1EC4"/>
    <w:rsid w:val="00201127"/>
    <w:rsid w:val="0020149D"/>
    <w:rsid w:val="00202D42"/>
    <w:rsid w:val="00202F9E"/>
    <w:rsid w:val="002030E8"/>
    <w:rsid w:val="002062D0"/>
    <w:rsid w:val="00207C51"/>
    <w:rsid w:val="00211AA7"/>
    <w:rsid w:val="00211C8C"/>
    <w:rsid w:val="002143C3"/>
    <w:rsid w:val="00224F51"/>
    <w:rsid w:val="00231AFE"/>
    <w:rsid w:val="00236852"/>
    <w:rsid w:val="0024112A"/>
    <w:rsid w:val="00250645"/>
    <w:rsid w:val="00251F94"/>
    <w:rsid w:val="00267F64"/>
    <w:rsid w:val="00273FBC"/>
    <w:rsid w:val="00274812"/>
    <w:rsid w:val="00284C0B"/>
    <w:rsid w:val="002853A9"/>
    <w:rsid w:val="00286986"/>
    <w:rsid w:val="00292D07"/>
    <w:rsid w:val="00292F1B"/>
    <w:rsid w:val="00295FD2"/>
    <w:rsid w:val="002A052D"/>
    <w:rsid w:val="002B0934"/>
    <w:rsid w:val="002B128C"/>
    <w:rsid w:val="002B2507"/>
    <w:rsid w:val="002B45AF"/>
    <w:rsid w:val="002B65C1"/>
    <w:rsid w:val="002C043B"/>
    <w:rsid w:val="002C54D0"/>
    <w:rsid w:val="002C5517"/>
    <w:rsid w:val="002D21E5"/>
    <w:rsid w:val="002D2C86"/>
    <w:rsid w:val="002D4F18"/>
    <w:rsid w:val="002E05B1"/>
    <w:rsid w:val="002E6D76"/>
    <w:rsid w:val="002F108C"/>
    <w:rsid w:val="002F7345"/>
    <w:rsid w:val="00306545"/>
    <w:rsid w:val="003073E1"/>
    <w:rsid w:val="00332EE4"/>
    <w:rsid w:val="00334583"/>
    <w:rsid w:val="00334600"/>
    <w:rsid w:val="003370B6"/>
    <w:rsid w:val="0034070F"/>
    <w:rsid w:val="003537DD"/>
    <w:rsid w:val="0035667D"/>
    <w:rsid w:val="003848BE"/>
    <w:rsid w:val="00386038"/>
    <w:rsid w:val="00390CB4"/>
    <w:rsid w:val="00395072"/>
    <w:rsid w:val="00396733"/>
    <w:rsid w:val="00397C0C"/>
    <w:rsid w:val="003A5B05"/>
    <w:rsid w:val="003A5E03"/>
    <w:rsid w:val="003A5E99"/>
    <w:rsid w:val="003B0A82"/>
    <w:rsid w:val="003B45DD"/>
    <w:rsid w:val="003B6637"/>
    <w:rsid w:val="003B75BD"/>
    <w:rsid w:val="003C2663"/>
    <w:rsid w:val="003D199B"/>
    <w:rsid w:val="003D3212"/>
    <w:rsid w:val="003D39FE"/>
    <w:rsid w:val="003D7807"/>
    <w:rsid w:val="003E7540"/>
    <w:rsid w:val="003F7DF8"/>
    <w:rsid w:val="00404CA5"/>
    <w:rsid w:val="00406C7E"/>
    <w:rsid w:val="004140A5"/>
    <w:rsid w:val="0042348A"/>
    <w:rsid w:val="00424D99"/>
    <w:rsid w:val="0042625B"/>
    <w:rsid w:val="00427E56"/>
    <w:rsid w:val="004312DC"/>
    <w:rsid w:val="00437859"/>
    <w:rsid w:val="004459A8"/>
    <w:rsid w:val="0045063A"/>
    <w:rsid w:val="00455BC2"/>
    <w:rsid w:val="00461FD8"/>
    <w:rsid w:val="00477A37"/>
    <w:rsid w:val="00477EAA"/>
    <w:rsid w:val="00482E4A"/>
    <w:rsid w:val="00491535"/>
    <w:rsid w:val="004A0116"/>
    <w:rsid w:val="004A17E2"/>
    <w:rsid w:val="004A2B6D"/>
    <w:rsid w:val="004A5030"/>
    <w:rsid w:val="004B3530"/>
    <w:rsid w:val="004B6217"/>
    <w:rsid w:val="004C2CE9"/>
    <w:rsid w:val="004C64E3"/>
    <w:rsid w:val="004D21A1"/>
    <w:rsid w:val="004E01C8"/>
    <w:rsid w:val="004E27B6"/>
    <w:rsid w:val="004E31A2"/>
    <w:rsid w:val="004E5FCD"/>
    <w:rsid w:val="004E6E02"/>
    <w:rsid w:val="004F365F"/>
    <w:rsid w:val="004F38F5"/>
    <w:rsid w:val="00504112"/>
    <w:rsid w:val="00505C06"/>
    <w:rsid w:val="00512ED9"/>
    <w:rsid w:val="0051374E"/>
    <w:rsid w:val="00515E4B"/>
    <w:rsid w:val="005163AB"/>
    <w:rsid w:val="00516464"/>
    <w:rsid w:val="00517758"/>
    <w:rsid w:val="00523D68"/>
    <w:rsid w:val="00537854"/>
    <w:rsid w:val="00543CC1"/>
    <w:rsid w:val="00550F8F"/>
    <w:rsid w:val="00563609"/>
    <w:rsid w:val="00571E0C"/>
    <w:rsid w:val="00574119"/>
    <w:rsid w:val="00575C6E"/>
    <w:rsid w:val="00576F4E"/>
    <w:rsid w:val="00584111"/>
    <w:rsid w:val="00585690"/>
    <w:rsid w:val="0058715D"/>
    <w:rsid w:val="005A06A7"/>
    <w:rsid w:val="005A1326"/>
    <w:rsid w:val="005A47CF"/>
    <w:rsid w:val="005B117C"/>
    <w:rsid w:val="005D2118"/>
    <w:rsid w:val="005E44C8"/>
    <w:rsid w:val="005E7473"/>
    <w:rsid w:val="005F36C0"/>
    <w:rsid w:val="005F6B7A"/>
    <w:rsid w:val="005F7B20"/>
    <w:rsid w:val="0061370C"/>
    <w:rsid w:val="00622F5E"/>
    <w:rsid w:val="0062367D"/>
    <w:rsid w:val="00633A5D"/>
    <w:rsid w:val="00647821"/>
    <w:rsid w:val="00650332"/>
    <w:rsid w:val="0065516E"/>
    <w:rsid w:val="006608E8"/>
    <w:rsid w:val="00662CBC"/>
    <w:rsid w:val="00674DC0"/>
    <w:rsid w:val="0067684D"/>
    <w:rsid w:val="00690CBB"/>
    <w:rsid w:val="006940A5"/>
    <w:rsid w:val="006A114C"/>
    <w:rsid w:val="006A6049"/>
    <w:rsid w:val="006B06E8"/>
    <w:rsid w:val="006B0B65"/>
    <w:rsid w:val="006B4927"/>
    <w:rsid w:val="006B5D84"/>
    <w:rsid w:val="006B7BEB"/>
    <w:rsid w:val="006C7C40"/>
    <w:rsid w:val="006D07A7"/>
    <w:rsid w:val="006D0A16"/>
    <w:rsid w:val="006D1728"/>
    <w:rsid w:val="006D17F9"/>
    <w:rsid w:val="006D5089"/>
    <w:rsid w:val="006D64E0"/>
    <w:rsid w:val="006F2BE3"/>
    <w:rsid w:val="006F34E5"/>
    <w:rsid w:val="00701B35"/>
    <w:rsid w:val="0070242C"/>
    <w:rsid w:val="00704535"/>
    <w:rsid w:val="00706826"/>
    <w:rsid w:val="00707C4F"/>
    <w:rsid w:val="00711D66"/>
    <w:rsid w:val="00712488"/>
    <w:rsid w:val="00722C75"/>
    <w:rsid w:val="007304BC"/>
    <w:rsid w:val="0074394E"/>
    <w:rsid w:val="00743E1F"/>
    <w:rsid w:val="0075128F"/>
    <w:rsid w:val="0075350B"/>
    <w:rsid w:val="00754AE7"/>
    <w:rsid w:val="0076403A"/>
    <w:rsid w:val="00770A89"/>
    <w:rsid w:val="00771F35"/>
    <w:rsid w:val="007747AE"/>
    <w:rsid w:val="00774E8C"/>
    <w:rsid w:val="00775317"/>
    <w:rsid w:val="00775C80"/>
    <w:rsid w:val="00793490"/>
    <w:rsid w:val="0079586B"/>
    <w:rsid w:val="00797CB3"/>
    <w:rsid w:val="007A3594"/>
    <w:rsid w:val="007A4AF7"/>
    <w:rsid w:val="007B2656"/>
    <w:rsid w:val="007C0D64"/>
    <w:rsid w:val="007C456E"/>
    <w:rsid w:val="007D521A"/>
    <w:rsid w:val="007D57BD"/>
    <w:rsid w:val="007D5BE4"/>
    <w:rsid w:val="007D5F80"/>
    <w:rsid w:val="007D6AF5"/>
    <w:rsid w:val="007E7BAE"/>
    <w:rsid w:val="007F4A8C"/>
    <w:rsid w:val="008077DC"/>
    <w:rsid w:val="008301BE"/>
    <w:rsid w:val="00833829"/>
    <w:rsid w:val="0083568E"/>
    <w:rsid w:val="008360EF"/>
    <w:rsid w:val="00840391"/>
    <w:rsid w:val="00844EB3"/>
    <w:rsid w:val="00847941"/>
    <w:rsid w:val="00850329"/>
    <w:rsid w:val="0085466C"/>
    <w:rsid w:val="0086422E"/>
    <w:rsid w:val="00874D8A"/>
    <w:rsid w:val="00884610"/>
    <w:rsid w:val="00886ED4"/>
    <w:rsid w:val="00896B9A"/>
    <w:rsid w:val="008A1083"/>
    <w:rsid w:val="008A1751"/>
    <w:rsid w:val="008A2167"/>
    <w:rsid w:val="008A21DA"/>
    <w:rsid w:val="008A66B2"/>
    <w:rsid w:val="008A7162"/>
    <w:rsid w:val="008A72EB"/>
    <w:rsid w:val="008B4870"/>
    <w:rsid w:val="008C7AEA"/>
    <w:rsid w:val="008C7C67"/>
    <w:rsid w:val="008D0E5B"/>
    <w:rsid w:val="008F3002"/>
    <w:rsid w:val="008F4B5E"/>
    <w:rsid w:val="008F60AC"/>
    <w:rsid w:val="00901B27"/>
    <w:rsid w:val="00902D82"/>
    <w:rsid w:val="009041B9"/>
    <w:rsid w:val="00911820"/>
    <w:rsid w:val="00911F08"/>
    <w:rsid w:val="00914CA5"/>
    <w:rsid w:val="00921620"/>
    <w:rsid w:val="0092523D"/>
    <w:rsid w:val="0093005F"/>
    <w:rsid w:val="00931F6F"/>
    <w:rsid w:val="009324C9"/>
    <w:rsid w:val="00935187"/>
    <w:rsid w:val="00935C78"/>
    <w:rsid w:val="00935DA3"/>
    <w:rsid w:val="00942BC9"/>
    <w:rsid w:val="009430CF"/>
    <w:rsid w:val="009438C4"/>
    <w:rsid w:val="00943E34"/>
    <w:rsid w:val="009445E2"/>
    <w:rsid w:val="009455E5"/>
    <w:rsid w:val="009475C6"/>
    <w:rsid w:val="00957265"/>
    <w:rsid w:val="00957A9B"/>
    <w:rsid w:val="009650F3"/>
    <w:rsid w:val="009663C1"/>
    <w:rsid w:val="00966F03"/>
    <w:rsid w:val="0097466C"/>
    <w:rsid w:val="00977F93"/>
    <w:rsid w:val="009867BE"/>
    <w:rsid w:val="00987677"/>
    <w:rsid w:val="00987F54"/>
    <w:rsid w:val="00991097"/>
    <w:rsid w:val="0099457C"/>
    <w:rsid w:val="00995C93"/>
    <w:rsid w:val="00995DFA"/>
    <w:rsid w:val="009A5493"/>
    <w:rsid w:val="009A55CA"/>
    <w:rsid w:val="009B103F"/>
    <w:rsid w:val="009B153E"/>
    <w:rsid w:val="009B2C45"/>
    <w:rsid w:val="009B74A2"/>
    <w:rsid w:val="009C1C72"/>
    <w:rsid w:val="009C2295"/>
    <w:rsid w:val="009C47C3"/>
    <w:rsid w:val="009C4B53"/>
    <w:rsid w:val="009D203D"/>
    <w:rsid w:val="009D29EE"/>
    <w:rsid w:val="009D34B1"/>
    <w:rsid w:val="009D361F"/>
    <w:rsid w:val="009D494A"/>
    <w:rsid w:val="009E13B3"/>
    <w:rsid w:val="009F5118"/>
    <w:rsid w:val="00A03DE7"/>
    <w:rsid w:val="00A05D7B"/>
    <w:rsid w:val="00A07132"/>
    <w:rsid w:val="00A073D1"/>
    <w:rsid w:val="00A13E50"/>
    <w:rsid w:val="00A15EDD"/>
    <w:rsid w:val="00A23EFC"/>
    <w:rsid w:val="00A30428"/>
    <w:rsid w:val="00A31279"/>
    <w:rsid w:val="00A347B8"/>
    <w:rsid w:val="00A538D2"/>
    <w:rsid w:val="00A567AF"/>
    <w:rsid w:val="00A61FF6"/>
    <w:rsid w:val="00A65E57"/>
    <w:rsid w:val="00A6692C"/>
    <w:rsid w:val="00A72823"/>
    <w:rsid w:val="00A7333C"/>
    <w:rsid w:val="00A734D5"/>
    <w:rsid w:val="00A75E05"/>
    <w:rsid w:val="00A80E30"/>
    <w:rsid w:val="00A84315"/>
    <w:rsid w:val="00A845E9"/>
    <w:rsid w:val="00A84A44"/>
    <w:rsid w:val="00A85C2B"/>
    <w:rsid w:val="00A87EE7"/>
    <w:rsid w:val="00A90362"/>
    <w:rsid w:val="00A91851"/>
    <w:rsid w:val="00A91F64"/>
    <w:rsid w:val="00A9792A"/>
    <w:rsid w:val="00A97B37"/>
    <w:rsid w:val="00A97B9F"/>
    <w:rsid w:val="00AA2A48"/>
    <w:rsid w:val="00AA395C"/>
    <w:rsid w:val="00AB15B3"/>
    <w:rsid w:val="00AB2E9A"/>
    <w:rsid w:val="00AE5E74"/>
    <w:rsid w:val="00AF03C4"/>
    <w:rsid w:val="00AF3F5F"/>
    <w:rsid w:val="00B063F9"/>
    <w:rsid w:val="00B0736F"/>
    <w:rsid w:val="00B13963"/>
    <w:rsid w:val="00B248EA"/>
    <w:rsid w:val="00B37054"/>
    <w:rsid w:val="00B452D8"/>
    <w:rsid w:val="00B51B53"/>
    <w:rsid w:val="00B53049"/>
    <w:rsid w:val="00B55DC8"/>
    <w:rsid w:val="00B63C47"/>
    <w:rsid w:val="00B63E9A"/>
    <w:rsid w:val="00B7151A"/>
    <w:rsid w:val="00B727A4"/>
    <w:rsid w:val="00B81423"/>
    <w:rsid w:val="00B97CB1"/>
    <w:rsid w:val="00BB081E"/>
    <w:rsid w:val="00BB2D75"/>
    <w:rsid w:val="00BB3BB8"/>
    <w:rsid w:val="00BC273A"/>
    <w:rsid w:val="00BC6BAF"/>
    <w:rsid w:val="00BD00B0"/>
    <w:rsid w:val="00BD2403"/>
    <w:rsid w:val="00BD3C26"/>
    <w:rsid w:val="00BD6BE6"/>
    <w:rsid w:val="00BE0843"/>
    <w:rsid w:val="00BE1329"/>
    <w:rsid w:val="00BE46BE"/>
    <w:rsid w:val="00BE679A"/>
    <w:rsid w:val="00BF306F"/>
    <w:rsid w:val="00C01D5D"/>
    <w:rsid w:val="00C05DE3"/>
    <w:rsid w:val="00C206A5"/>
    <w:rsid w:val="00C219D4"/>
    <w:rsid w:val="00C23D0B"/>
    <w:rsid w:val="00C35656"/>
    <w:rsid w:val="00C35BF8"/>
    <w:rsid w:val="00C41989"/>
    <w:rsid w:val="00C65685"/>
    <w:rsid w:val="00C67A57"/>
    <w:rsid w:val="00C715D2"/>
    <w:rsid w:val="00C72C24"/>
    <w:rsid w:val="00C75CAE"/>
    <w:rsid w:val="00C85058"/>
    <w:rsid w:val="00C85A9E"/>
    <w:rsid w:val="00C95A82"/>
    <w:rsid w:val="00C96303"/>
    <w:rsid w:val="00CA0CF2"/>
    <w:rsid w:val="00CA104C"/>
    <w:rsid w:val="00CB1917"/>
    <w:rsid w:val="00CB3912"/>
    <w:rsid w:val="00CB64A9"/>
    <w:rsid w:val="00CC2A13"/>
    <w:rsid w:val="00CD3DA0"/>
    <w:rsid w:val="00CD562E"/>
    <w:rsid w:val="00CF1FEF"/>
    <w:rsid w:val="00D00144"/>
    <w:rsid w:val="00D0297B"/>
    <w:rsid w:val="00D03729"/>
    <w:rsid w:val="00D07F11"/>
    <w:rsid w:val="00D13EA1"/>
    <w:rsid w:val="00D15DBC"/>
    <w:rsid w:val="00D177C0"/>
    <w:rsid w:val="00D259FA"/>
    <w:rsid w:val="00D4398E"/>
    <w:rsid w:val="00D44C0E"/>
    <w:rsid w:val="00D45AFB"/>
    <w:rsid w:val="00D464F0"/>
    <w:rsid w:val="00D474DF"/>
    <w:rsid w:val="00D50815"/>
    <w:rsid w:val="00D55383"/>
    <w:rsid w:val="00D62E9A"/>
    <w:rsid w:val="00D66D7F"/>
    <w:rsid w:val="00D760A5"/>
    <w:rsid w:val="00D80282"/>
    <w:rsid w:val="00D92248"/>
    <w:rsid w:val="00D92697"/>
    <w:rsid w:val="00D92D26"/>
    <w:rsid w:val="00D957F7"/>
    <w:rsid w:val="00D97DB0"/>
    <w:rsid w:val="00DA306F"/>
    <w:rsid w:val="00DA6748"/>
    <w:rsid w:val="00DA78B3"/>
    <w:rsid w:val="00DB1066"/>
    <w:rsid w:val="00DB1C4D"/>
    <w:rsid w:val="00DC3BB1"/>
    <w:rsid w:val="00DC6F69"/>
    <w:rsid w:val="00DC785D"/>
    <w:rsid w:val="00DD53FE"/>
    <w:rsid w:val="00DD720B"/>
    <w:rsid w:val="00DE1613"/>
    <w:rsid w:val="00DE2C02"/>
    <w:rsid w:val="00DF31FD"/>
    <w:rsid w:val="00DF36A5"/>
    <w:rsid w:val="00E02D0C"/>
    <w:rsid w:val="00E36444"/>
    <w:rsid w:val="00E4629F"/>
    <w:rsid w:val="00E51A64"/>
    <w:rsid w:val="00E52378"/>
    <w:rsid w:val="00E56456"/>
    <w:rsid w:val="00E571A2"/>
    <w:rsid w:val="00E57282"/>
    <w:rsid w:val="00E620C8"/>
    <w:rsid w:val="00E63BCA"/>
    <w:rsid w:val="00E63D86"/>
    <w:rsid w:val="00E710DB"/>
    <w:rsid w:val="00E74C79"/>
    <w:rsid w:val="00E77A3C"/>
    <w:rsid w:val="00E846BA"/>
    <w:rsid w:val="00E93EFD"/>
    <w:rsid w:val="00E96915"/>
    <w:rsid w:val="00EB4333"/>
    <w:rsid w:val="00EB54C8"/>
    <w:rsid w:val="00EB5CA3"/>
    <w:rsid w:val="00EC01F2"/>
    <w:rsid w:val="00EC6FB8"/>
    <w:rsid w:val="00ED0EBE"/>
    <w:rsid w:val="00EE4B81"/>
    <w:rsid w:val="00EE4DBF"/>
    <w:rsid w:val="00EE61CC"/>
    <w:rsid w:val="00EF2362"/>
    <w:rsid w:val="00EF41EB"/>
    <w:rsid w:val="00EF6558"/>
    <w:rsid w:val="00EF6729"/>
    <w:rsid w:val="00EF701A"/>
    <w:rsid w:val="00EF7B31"/>
    <w:rsid w:val="00F04BD2"/>
    <w:rsid w:val="00F06D82"/>
    <w:rsid w:val="00F079B9"/>
    <w:rsid w:val="00F07DD0"/>
    <w:rsid w:val="00F10D7A"/>
    <w:rsid w:val="00F2067E"/>
    <w:rsid w:val="00F30A6F"/>
    <w:rsid w:val="00F3645F"/>
    <w:rsid w:val="00F461B1"/>
    <w:rsid w:val="00F50540"/>
    <w:rsid w:val="00F54992"/>
    <w:rsid w:val="00F551B6"/>
    <w:rsid w:val="00F55F71"/>
    <w:rsid w:val="00F55FB7"/>
    <w:rsid w:val="00F64A18"/>
    <w:rsid w:val="00F729CB"/>
    <w:rsid w:val="00F81365"/>
    <w:rsid w:val="00F820CE"/>
    <w:rsid w:val="00F8673A"/>
    <w:rsid w:val="00FA2C32"/>
    <w:rsid w:val="00FA2C3D"/>
    <w:rsid w:val="00FB0739"/>
    <w:rsid w:val="00FB1921"/>
    <w:rsid w:val="00FC04A4"/>
    <w:rsid w:val="00FC4F5C"/>
    <w:rsid w:val="00FD1800"/>
    <w:rsid w:val="00FD7897"/>
    <w:rsid w:val="00FE2197"/>
    <w:rsid w:val="00FE3033"/>
    <w:rsid w:val="00FF0D70"/>
    <w:rsid w:val="00FF1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D4504"/>
  <w15:chartTrackingRefBased/>
  <w15:docId w15:val="{8794A67D-D69C-494A-B06C-BA037F3D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heme="minorHAnsi" w:hAnsi="Aptos" w:cstheme="minorBidi"/>
        <w:kern w:val="2"/>
        <w:sz w:val="25"/>
        <w:szCs w:val="25"/>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8B3"/>
    <w:pPr>
      <w:spacing w:after="0" w:line="240" w:lineRule="auto"/>
    </w:pPr>
    <w:rPr>
      <w:rFonts w:asciiTheme="minorHAnsi" w:hAnsiTheme="minorHAnsi"/>
      <w:kern w:val="0"/>
      <w:sz w:val="22"/>
      <w:szCs w:val="22"/>
      <w14:ligatures w14:val="none"/>
    </w:rPr>
  </w:style>
  <w:style w:type="paragraph" w:styleId="Heading1">
    <w:name w:val="heading 1"/>
    <w:basedOn w:val="Normal"/>
    <w:next w:val="Normal"/>
    <w:link w:val="Heading1Char"/>
    <w:uiPriority w:val="9"/>
    <w:qFormat/>
    <w:rsid w:val="00DA78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A78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78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78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78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78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8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8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8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rFonts w:ascii="Times New Roman" w:eastAsia="Times New Roman" w:hAnsi="Times New Roman" w:cs="Times New Roman"/>
      <w:b/>
      <w:sz w:val="24"/>
      <w:szCs w:val="24"/>
    </w:rPr>
  </w:style>
  <w:style w:type="paragraph" w:styleId="FootnoteText">
    <w:name w:val="footnote text"/>
    <w:basedOn w:val="Normal"/>
    <w:link w:val="FootnoteTextChar"/>
    <w:uiPriority w:val="99"/>
    <w:unhideWhenUsed/>
    <w:rsid w:val="00874D8A"/>
    <w:rPr>
      <w:sz w:val="20"/>
      <w:szCs w:val="20"/>
    </w:rPr>
  </w:style>
  <w:style w:type="character" w:customStyle="1" w:styleId="FootnoteTextChar">
    <w:name w:val="Footnote Text Char"/>
    <w:basedOn w:val="DefaultParagraphFont"/>
    <w:link w:val="FootnoteText"/>
    <w:uiPriority w:val="99"/>
    <w:rsid w:val="00874D8A"/>
    <w:rPr>
      <w:sz w:val="20"/>
      <w:szCs w:val="20"/>
    </w:rPr>
  </w:style>
  <w:style w:type="character" w:styleId="FootnoteReference">
    <w:name w:val="footnote reference"/>
    <w:basedOn w:val="DefaultParagraphFont"/>
    <w:uiPriority w:val="99"/>
    <w:unhideWhenUsed/>
    <w:rsid w:val="00874D8A"/>
    <w:rPr>
      <w:vertAlign w:val="superscript"/>
    </w:rPr>
  </w:style>
  <w:style w:type="paragraph" w:styleId="ListParagraph">
    <w:name w:val="List Paragraph"/>
    <w:basedOn w:val="Normal"/>
    <w:uiPriority w:val="34"/>
    <w:qFormat/>
    <w:rsid w:val="00C23D0B"/>
    <w:pPr>
      <w:ind w:left="720"/>
      <w:contextualSpacing/>
    </w:pPr>
  </w:style>
  <w:style w:type="character" w:customStyle="1" w:styleId="Heading1Char">
    <w:name w:val="Heading 1 Char"/>
    <w:basedOn w:val="DefaultParagraphFont"/>
    <w:link w:val="Heading1"/>
    <w:uiPriority w:val="9"/>
    <w:rsid w:val="00DA78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A78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78B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78B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A78B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A78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78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78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78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78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8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8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8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A78B3"/>
    <w:pPr>
      <w:spacing w:before="160"/>
      <w:jc w:val="center"/>
    </w:pPr>
    <w:rPr>
      <w:i/>
      <w:iCs/>
      <w:color w:val="404040" w:themeColor="text1" w:themeTint="BF"/>
    </w:rPr>
  </w:style>
  <w:style w:type="character" w:customStyle="1" w:styleId="QuoteChar">
    <w:name w:val="Quote Char"/>
    <w:basedOn w:val="DefaultParagraphFont"/>
    <w:link w:val="Quote"/>
    <w:uiPriority w:val="29"/>
    <w:rsid w:val="00DA78B3"/>
    <w:rPr>
      <w:i/>
      <w:iCs/>
      <w:color w:val="404040" w:themeColor="text1" w:themeTint="BF"/>
    </w:rPr>
  </w:style>
  <w:style w:type="character" w:styleId="IntenseEmphasis">
    <w:name w:val="Intense Emphasis"/>
    <w:basedOn w:val="DefaultParagraphFont"/>
    <w:uiPriority w:val="21"/>
    <w:qFormat/>
    <w:rsid w:val="00DA78B3"/>
    <w:rPr>
      <w:i/>
      <w:iCs/>
      <w:color w:val="2F5496" w:themeColor="accent1" w:themeShade="BF"/>
    </w:rPr>
  </w:style>
  <w:style w:type="paragraph" w:styleId="IntenseQuote">
    <w:name w:val="Intense Quote"/>
    <w:basedOn w:val="Normal"/>
    <w:next w:val="Normal"/>
    <w:link w:val="IntenseQuoteChar"/>
    <w:uiPriority w:val="30"/>
    <w:qFormat/>
    <w:rsid w:val="00DA78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78B3"/>
    <w:rPr>
      <w:i/>
      <w:iCs/>
      <w:color w:val="2F5496" w:themeColor="accent1" w:themeShade="BF"/>
    </w:rPr>
  </w:style>
  <w:style w:type="character" w:styleId="IntenseReference">
    <w:name w:val="Intense Reference"/>
    <w:basedOn w:val="DefaultParagraphFont"/>
    <w:uiPriority w:val="32"/>
    <w:qFormat/>
    <w:rsid w:val="00DA78B3"/>
    <w:rPr>
      <w:b/>
      <w:bCs/>
      <w:smallCaps/>
      <w:color w:val="2F5496" w:themeColor="accent1" w:themeShade="BF"/>
      <w:spacing w:val="5"/>
    </w:rPr>
  </w:style>
  <w:style w:type="paragraph" w:styleId="Footer">
    <w:name w:val="footer"/>
    <w:basedOn w:val="Normal"/>
    <w:link w:val="FooterChar"/>
    <w:uiPriority w:val="99"/>
    <w:unhideWhenUsed/>
    <w:rsid w:val="00DA78B3"/>
    <w:pPr>
      <w:tabs>
        <w:tab w:val="center" w:pos="4680"/>
        <w:tab w:val="right" w:pos="9360"/>
      </w:tabs>
    </w:pPr>
  </w:style>
  <w:style w:type="character" w:customStyle="1" w:styleId="FooterChar">
    <w:name w:val="Footer Char"/>
    <w:basedOn w:val="DefaultParagraphFont"/>
    <w:link w:val="Footer"/>
    <w:uiPriority w:val="99"/>
    <w:rsid w:val="00DA78B3"/>
    <w:rPr>
      <w:rFonts w:asciiTheme="minorHAnsi" w:hAnsiTheme="minorHAnsi"/>
      <w:kern w:val="0"/>
      <w:sz w:val="22"/>
      <w:szCs w:val="22"/>
      <w14:ligatures w14:val="none"/>
    </w:rPr>
  </w:style>
  <w:style w:type="paragraph" w:styleId="NormalWeb">
    <w:name w:val="Normal (Web)"/>
    <w:basedOn w:val="Normal"/>
    <w:uiPriority w:val="99"/>
    <w:unhideWhenUsed/>
    <w:rsid w:val="00DA78B3"/>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A78B3"/>
    <w:rPr>
      <w:color w:val="0563C1" w:themeColor="hyperlink"/>
      <w:u w:val="single"/>
    </w:rPr>
  </w:style>
  <w:style w:type="character" w:styleId="UnresolvedMention">
    <w:name w:val="Unresolved Mention"/>
    <w:basedOn w:val="DefaultParagraphFont"/>
    <w:uiPriority w:val="99"/>
    <w:semiHidden/>
    <w:unhideWhenUsed/>
    <w:rsid w:val="00DA78B3"/>
    <w:rPr>
      <w:color w:val="605E5C"/>
      <w:shd w:val="clear" w:color="auto" w:fill="E1DFDD"/>
    </w:rPr>
  </w:style>
  <w:style w:type="paragraph" w:styleId="Header">
    <w:name w:val="header"/>
    <w:basedOn w:val="Normal"/>
    <w:link w:val="HeaderChar"/>
    <w:uiPriority w:val="99"/>
    <w:semiHidden/>
    <w:unhideWhenUsed/>
    <w:rsid w:val="00DA78B3"/>
    <w:pPr>
      <w:tabs>
        <w:tab w:val="center" w:pos="4680"/>
        <w:tab w:val="right" w:pos="9360"/>
      </w:tabs>
    </w:pPr>
  </w:style>
  <w:style w:type="character" w:customStyle="1" w:styleId="HeaderChar">
    <w:name w:val="Header Char"/>
    <w:basedOn w:val="DefaultParagraphFont"/>
    <w:link w:val="Header"/>
    <w:uiPriority w:val="99"/>
    <w:semiHidden/>
    <w:rsid w:val="00DA78B3"/>
    <w:rPr>
      <w:rFonts w:asciiTheme="minorHAnsi" w:hAnsiTheme="minorHAns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5012">
      <w:bodyDiv w:val="1"/>
      <w:marLeft w:val="0"/>
      <w:marRight w:val="0"/>
      <w:marTop w:val="0"/>
      <w:marBottom w:val="0"/>
      <w:divBdr>
        <w:top w:val="none" w:sz="0" w:space="0" w:color="auto"/>
        <w:left w:val="none" w:sz="0" w:space="0" w:color="auto"/>
        <w:bottom w:val="none" w:sz="0" w:space="0" w:color="auto"/>
        <w:right w:val="none" w:sz="0" w:space="0" w:color="auto"/>
      </w:divBdr>
    </w:div>
    <w:div w:id="96411841">
      <w:bodyDiv w:val="1"/>
      <w:marLeft w:val="0"/>
      <w:marRight w:val="0"/>
      <w:marTop w:val="0"/>
      <w:marBottom w:val="0"/>
      <w:divBdr>
        <w:top w:val="none" w:sz="0" w:space="0" w:color="auto"/>
        <w:left w:val="none" w:sz="0" w:space="0" w:color="auto"/>
        <w:bottom w:val="none" w:sz="0" w:space="0" w:color="auto"/>
        <w:right w:val="none" w:sz="0" w:space="0" w:color="auto"/>
      </w:divBdr>
    </w:div>
    <w:div w:id="686635838">
      <w:bodyDiv w:val="1"/>
      <w:marLeft w:val="0"/>
      <w:marRight w:val="0"/>
      <w:marTop w:val="0"/>
      <w:marBottom w:val="0"/>
      <w:divBdr>
        <w:top w:val="none" w:sz="0" w:space="0" w:color="auto"/>
        <w:left w:val="none" w:sz="0" w:space="0" w:color="auto"/>
        <w:bottom w:val="none" w:sz="0" w:space="0" w:color="auto"/>
        <w:right w:val="none" w:sz="0" w:space="0" w:color="auto"/>
      </w:divBdr>
    </w:div>
    <w:div w:id="973830130">
      <w:bodyDiv w:val="1"/>
      <w:marLeft w:val="0"/>
      <w:marRight w:val="0"/>
      <w:marTop w:val="0"/>
      <w:marBottom w:val="0"/>
      <w:divBdr>
        <w:top w:val="none" w:sz="0" w:space="0" w:color="auto"/>
        <w:left w:val="none" w:sz="0" w:space="0" w:color="auto"/>
        <w:bottom w:val="none" w:sz="0" w:space="0" w:color="auto"/>
        <w:right w:val="none" w:sz="0" w:space="0" w:color="auto"/>
      </w:divBdr>
      <w:divsChild>
        <w:div w:id="1365443449">
          <w:marLeft w:val="0"/>
          <w:marRight w:val="0"/>
          <w:marTop w:val="0"/>
          <w:marBottom w:val="0"/>
          <w:divBdr>
            <w:top w:val="none" w:sz="0" w:space="0" w:color="3D3D3D"/>
            <w:left w:val="none" w:sz="0" w:space="0" w:color="3D3D3D"/>
            <w:bottom w:val="none" w:sz="0" w:space="0" w:color="3D3D3D"/>
            <w:right w:val="none" w:sz="0" w:space="0" w:color="3D3D3D"/>
          </w:divBdr>
          <w:divsChild>
            <w:div w:id="42515552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1.next.westlaw.com/Link/Document/FullText?findType=Y&amp;serNum=1986133831&amp;pubNum=0000708&amp;originatingDoc=Ib53eb62e07a011dcb035bac3a32ef289&amp;refType=RP&amp;originationContext=document&amp;transitionType=DocumentItem&amp;ppcid=2fce1817b5564e5d8c182dbd120371cc&amp;contextData=(sc.UserEnteredC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ACA43-0867-4484-88DF-775086FD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8841</Words>
  <Characters>50397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Erlichman, Reece (ALA)</cp:lastModifiedBy>
  <cp:revision>2</cp:revision>
  <dcterms:created xsi:type="dcterms:W3CDTF">2024-07-12T17:31:00Z</dcterms:created>
  <dcterms:modified xsi:type="dcterms:W3CDTF">2024-07-12T17:31:00Z</dcterms:modified>
</cp:coreProperties>
</file>