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E86C0" w14:textId="77777777" w:rsidR="00E27E63" w:rsidRPr="00E27E63" w:rsidRDefault="00E27E63" w:rsidP="00E27E63">
      <w:pPr>
        <w:jc w:val="center"/>
        <w:rPr>
          <w:rFonts w:ascii="Aptos" w:hAnsi="Aptos" w:cs="Times New Roman"/>
          <w:b/>
          <w:sz w:val="28"/>
          <w:szCs w:val="28"/>
        </w:rPr>
      </w:pPr>
      <w:r w:rsidRPr="00E27E63">
        <w:rPr>
          <w:rFonts w:ascii="Aptos" w:hAnsi="Aptos" w:cs="Times New Roman"/>
          <w:b/>
          <w:sz w:val="28"/>
          <w:szCs w:val="28"/>
        </w:rPr>
        <w:t>COMMONWEALTH OF MASSACHUSETTS</w:t>
      </w:r>
    </w:p>
    <w:p w14:paraId="17E47D19" w14:textId="77777777" w:rsidR="00E27E63" w:rsidRPr="00E27E63" w:rsidRDefault="00E27E63" w:rsidP="00E27E63">
      <w:pPr>
        <w:jc w:val="center"/>
        <w:rPr>
          <w:rFonts w:ascii="Aptos" w:hAnsi="Aptos" w:cs="Times New Roman"/>
          <w:b/>
          <w:sz w:val="28"/>
          <w:szCs w:val="28"/>
        </w:rPr>
      </w:pPr>
      <w:r w:rsidRPr="00E27E63">
        <w:rPr>
          <w:rFonts w:ascii="Aptos" w:hAnsi="Aptos" w:cs="Times New Roman"/>
          <w:b/>
          <w:sz w:val="28"/>
          <w:szCs w:val="28"/>
        </w:rPr>
        <w:t>DIVISION OF ADMINISTRATIVE LAW APPEALS</w:t>
      </w:r>
    </w:p>
    <w:p w14:paraId="339FD99C" w14:textId="77777777" w:rsidR="00E27E63" w:rsidRPr="00E27E63" w:rsidRDefault="00E27E63" w:rsidP="00E27E63">
      <w:pPr>
        <w:jc w:val="center"/>
        <w:rPr>
          <w:rFonts w:ascii="Aptos" w:hAnsi="Aptos" w:cs="Times New Roman"/>
          <w:b/>
          <w:sz w:val="28"/>
          <w:szCs w:val="28"/>
        </w:rPr>
      </w:pPr>
      <w:r w:rsidRPr="00E27E63">
        <w:rPr>
          <w:rFonts w:ascii="Aptos" w:hAnsi="Aptos" w:cs="Times New Roman"/>
          <w:b/>
          <w:sz w:val="28"/>
          <w:szCs w:val="28"/>
        </w:rPr>
        <w:t>BUREAU OF SPECIAL EDUCATION APPEALS</w:t>
      </w:r>
    </w:p>
    <w:p w14:paraId="166C11FD" w14:textId="77777777" w:rsidR="00E27E63" w:rsidRPr="00E27E63" w:rsidRDefault="00E27E63" w:rsidP="00E27E63">
      <w:pPr>
        <w:pStyle w:val="NormalWeb"/>
        <w:tabs>
          <w:tab w:val="left" w:pos="3330"/>
        </w:tabs>
        <w:spacing w:after="0" w:afterAutospacing="0"/>
        <w:rPr>
          <w:rFonts w:ascii="Aptos" w:hAnsi="Aptos"/>
          <w:b/>
          <w:bCs/>
          <w:sz w:val="25"/>
          <w:szCs w:val="25"/>
        </w:rPr>
      </w:pPr>
      <w:r w:rsidRPr="00E27E63">
        <w:rPr>
          <w:rFonts w:ascii="Aptos" w:hAnsi="Aptos"/>
          <w:b/>
          <w:sz w:val="25"/>
          <w:szCs w:val="25"/>
        </w:rPr>
        <w:t>In Re</w:t>
      </w:r>
      <w:r w:rsidRPr="00E27E63">
        <w:rPr>
          <w:rFonts w:ascii="Aptos" w:hAnsi="Aptos"/>
          <w:sz w:val="25"/>
          <w:szCs w:val="25"/>
        </w:rPr>
        <w:t xml:space="preserve">:   </w:t>
      </w:r>
      <w:r w:rsidRPr="00E27E63">
        <w:rPr>
          <w:rFonts w:ascii="Aptos" w:hAnsi="Aptos"/>
          <w:b/>
          <w:bCs/>
          <w:sz w:val="25"/>
          <w:szCs w:val="25"/>
        </w:rPr>
        <w:t>Student &amp; Boston Public Schools and The Department              BSEA #</w:t>
      </w:r>
      <w:r w:rsidRPr="00E27E63">
        <w:rPr>
          <w:rFonts w:ascii="Aptos" w:hAnsi="Aptos"/>
          <w:sz w:val="25"/>
          <w:szCs w:val="25"/>
        </w:rPr>
        <w:t>2411357</w:t>
      </w:r>
    </w:p>
    <w:p w14:paraId="4AFAC1FE" w14:textId="77777777" w:rsidR="00E27E63" w:rsidRPr="00E27E63" w:rsidRDefault="00E27E63" w:rsidP="00E27E63">
      <w:pPr>
        <w:tabs>
          <w:tab w:val="left" w:pos="3330"/>
        </w:tabs>
        <w:rPr>
          <w:rFonts w:ascii="Aptos" w:eastAsia="Times New Roman" w:hAnsi="Aptos" w:cs="Times New Roman"/>
          <w:b/>
          <w:color w:val="000000"/>
          <w:sz w:val="25"/>
          <w:szCs w:val="25"/>
        </w:rPr>
      </w:pPr>
      <w:r w:rsidRPr="00E27E63">
        <w:rPr>
          <w:rFonts w:ascii="Aptos" w:eastAsia="Times New Roman" w:hAnsi="Aptos" w:cs="Times New Roman"/>
          <w:b/>
          <w:color w:val="000000"/>
          <w:sz w:val="25"/>
          <w:szCs w:val="25"/>
        </w:rPr>
        <w:t xml:space="preserve">                                       of Elementary and Secondary Education (DESE)</w:t>
      </w:r>
      <w:r w:rsidRPr="00E27E63">
        <w:rPr>
          <w:rFonts w:ascii="Aptos" w:eastAsia="Times New Roman" w:hAnsi="Aptos" w:cs="Times New Roman"/>
          <w:b/>
          <w:color w:val="000000"/>
          <w:sz w:val="25"/>
          <w:szCs w:val="25"/>
        </w:rPr>
        <w:tab/>
      </w:r>
    </w:p>
    <w:p w14:paraId="10F11820" w14:textId="77777777" w:rsidR="00E27E63" w:rsidRPr="00E27E63" w:rsidRDefault="00E27E63" w:rsidP="00E27E63">
      <w:pPr>
        <w:tabs>
          <w:tab w:val="left" w:pos="3330"/>
        </w:tabs>
        <w:rPr>
          <w:rFonts w:ascii="Aptos" w:eastAsia="Times New Roman" w:hAnsi="Aptos" w:cs="Times New Roman"/>
          <w:b/>
          <w:color w:val="000000"/>
          <w:sz w:val="25"/>
          <w:szCs w:val="25"/>
        </w:rPr>
      </w:pPr>
    </w:p>
    <w:p w14:paraId="0C3737DA" w14:textId="77777777" w:rsidR="00E27E63" w:rsidRPr="00E27E63" w:rsidRDefault="00E27E63" w:rsidP="00E27E63">
      <w:pPr>
        <w:shd w:val="clear" w:color="auto" w:fill="FFFFFF"/>
        <w:jc w:val="center"/>
        <w:rPr>
          <w:rFonts w:ascii="Aptos" w:eastAsia="Times New Roman" w:hAnsi="Aptos" w:cs="Times New Roman"/>
          <w:b/>
          <w:bCs/>
          <w:sz w:val="25"/>
          <w:szCs w:val="25"/>
          <w:u w:val="single"/>
        </w:rPr>
      </w:pPr>
      <w:r w:rsidRPr="00E27E63">
        <w:rPr>
          <w:rFonts w:ascii="Aptos" w:eastAsia="Times New Roman" w:hAnsi="Aptos" w:cs="Times New Roman"/>
          <w:b/>
          <w:bCs/>
          <w:sz w:val="25"/>
          <w:szCs w:val="25"/>
          <w:u w:val="single"/>
        </w:rPr>
        <w:t>RULING ON DESE’S PARTIAL MOTION TO DISMISS</w:t>
      </w:r>
    </w:p>
    <w:p w14:paraId="3D6670D3" w14:textId="77777777" w:rsidR="00E27E63" w:rsidRPr="00E27E63" w:rsidRDefault="00E27E63" w:rsidP="00E27E63">
      <w:pPr>
        <w:shd w:val="clear" w:color="auto" w:fill="FFFFFF"/>
        <w:rPr>
          <w:rFonts w:ascii="Aptos" w:eastAsia="Times New Roman" w:hAnsi="Aptos" w:cs="Times New Roman"/>
          <w:sz w:val="25"/>
          <w:szCs w:val="25"/>
        </w:rPr>
      </w:pPr>
    </w:p>
    <w:p w14:paraId="1E032532"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t xml:space="preserve">This matter comes before the Hearing Officer on the </w:t>
      </w:r>
      <w:r w:rsidRPr="00E27E63">
        <w:rPr>
          <w:rFonts w:ascii="Aptos" w:eastAsia="Times New Roman" w:hAnsi="Aptos" w:cs="Times New Roman"/>
          <w:i/>
          <w:iCs/>
          <w:sz w:val="25"/>
          <w:szCs w:val="25"/>
        </w:rPr>
        <w:t xml:space="preserve">Department of Elementary and Secondary Education’s Motion to Dismiss &amp; Response to Hearing Request </w:t>
      </w:r>
      <w:r w:rsidRPr="00E27E63">
        <w:rPr>
          <w:rFonts w:ascii="Aptos" w:eastAsia="Times New Roman" w:hAnsi="Aptos" w:cs="Times New Roman"/>
          <w:sz w:val="25"/>
          <w:szCs w:val="25"/>
        </w:rPr>
        <w:t>(</w:t>
      </w:r>
      <w:r w:rsidRPr="00E27E63">
        <w:rPr>
          <w:rFonts w:ascii="Aptos" w:eastAsia="Times New Roman" w:hAnsi="Aptos" w:cs="Times New Roman"/>
          <w:i/>
          <w:iCs/>
          <w:sz w:val="25"/>
          <w:szCs w:val="25"/>
        </w:rPr>
        <w:t>hereinafter “Partial Motion”</w:t>
      </w:r>
      <w:r w:rsidRPr="00E27E63">
        <w:rPr>
          <w:rFonts w:ascii="Aptos" w:eastAsia="Times New Roman" w:hAnsi="Aptos" w:cs="Times New Roman"/>
          <w:sz w:val="25"/>
          <w:szCs w:val="25"/>
        </w:rPr>
        <w:t xml:space="preserve">) filed with the BSEA on May 17, 2024, seeking dismissal of the “Issues in Dispute” numbered 4, 5 and 6 and paragraphs 3 and 4 of the “Requests for Relief” contained in Student’s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(collectively, the Systemic Claims)</w:t>
      </w:r>
      <w:r w:rsidRPr="00E27E63">
        <w:rPr>
          <w:rStyle w:val="FootnoteReference"/>
          <w:rFonts w:ascii="Aptos" w:eastAsia="Times New Roman" w:hAnsi="Aptos" w:cs="Times New Roman"/>
          <w:sz w:val="25"/>
          <w:szCs w:val="25"/>
        </w:rPr>
        <w:t xml:space="preserve"> </w:t>
      </w:r>
      <w:r w:rsidRPr="00E27E63">
        <w:rPr>
          <w:rStyle w:val="FootnoteReference"/>
          <w:rFonts w:ascii="Aptos" w:eastAsia="Times New Roman" w:hAnsi="Aptos" w:cs="Times New Roman"/>
          <w:sz w:val="25"/>
          <w:szCs w:val="25"/>
        </w:rPr>
        <w:footnoteReference w:id="1"/>
      </w:r>
      <w:r w:rsidRPr="00E27E63">
        <w:rPr>
          <w:rFonts w:ascii="Aptos" w:eastAsia="Times New Roman" w:hAnsi="Aptos" w:cs="Times New Roman"/>
          <w:sz w:val="25"/>
          <w:szCs w:val="25"/>
        </w:rPr>
        <w:t xml:space="preserve">.  </w:t>
      </w:r>
    </w:p>
    <w:p w14:paraId="79B6C122" w14:textId="77777777" w:rsidR="00E27E63" w:rsidRPr="00E27E63" w:rsidRDefault="00E27E63" w:rsidP="00E27E63">
      <w:pPr>
        <w:shd w:val="clear" w:color="auto" w:fill="FFFFFF"/>
        <w:rPr>
          <w:rFonts w:ascii="Aptos" w:eastAsia="Times New Roman" w:hAnsi="Aptos" w:cs="Times New Roman"/>
          <w:sz w:val="25"/>
          <w:szCs w:val="25"/>
        </w:rPr>
      </w:pPr>
    </w:p>
    <w:p w14:paraId="731C2A9D"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t xml:space="preserve">For the reasons articulated below, the </w:t>
      </w:r>
      <w:r w:rsidRPr="00E27E63">
        <w:rPr>
          <w:rFonts w:ascii="Aptos" w:eastAsia="Times New Roman" w:hAnsi="Aptos" w:cs="Times New Roman"/>
          <w:i/>
          <w:iCs/>
          <w:sz w:val="25"/>
          <w:szCs w:val="25"/>
        </w:rPr>
        <w:t xml:space="preserve">Partial Motion </w:t>
      </w:r>
      <w:r w:rsidRPr="00E27E63">
        <w:rPr>
          <w:rFonts w:ascii="Aptos" w:eastAsia="Times New Roman" w:hAnsi="Aptos" w:cs="Times New Roman"/>
          <w:sz w:val="25"/>
          <w:szCs w:val="25"/>
        </w:rPr>
        <w:t>is</w:t>
      </w:r>
      <w:r w:rsidRPr="00E27E63">
        <w:rPr>
          <w:rFonts w:ascii="Aptos" w:eastAsia="Times New Roman" w:hAnsi="Aptos" w:cs="Times New Roman"/>
          <w:i/>
          <w:iCs/>
          <w:sz w:val="25"/>
          <w:szCs w:val="25"/>
        </w:rPr>
        <w:t xml:space="preserve"> </w:t>
      </w:r>
      <w:r w:rsidRPr="00E27E63">
        <w:rPr>
          <w:rFonts w:ascii="Aptos" w:eastAsia="Times New Roman" w:hAnsi="Aptos" w:cs="Times New Roman"/>
          <w:b/>
          <w:bCs/>
          <w:sz w:val="25"/>
          <w:szCs w:val="25"/>
        </w:rPr>
        <w:t>ALLOWED</w:t>
      </w:r>
      <w:r w:rsidRPr="00E27E63">
        <w:rPr>
          <w:rFonts w:ascii="Aptos" w:eastAsia="Times New Roman" w:hAnsi="Aptos" w:cs="Times New Roman"/>
          <w:sz w:val="25"/>
          <w:szCs w:val="25"/>
        </w:rPr>
        <w:t>.</w:t>
      </w:r>
    </w:p>
    <w:p w14:paraId="1A9BAD38" w14:textId="77777777" w:rsidR="00E27E63" w:rsidRPr="00E27E63" w:rsidRDefault="00E27E63" w:rsidP="00E27E63">
      <w:pPr>
        <w:shd w:val="clear" w:color="auto" w:fill="FFFFFF"/>
        <w:rPr>
          <w:rFonts w:ascii="Aptos" w:eastAsia="Times New Roman" w:hAnsi="Aptos" w:cs="Times New Roman"/>
          <w:sz w:val="25"/>
          <w:szCs w:val="25"/>
        </w:rPr>
      </w:pPr>
    </w:p>
    <w:p w14:paraId="6150EB46" w14:textId="77777777" w:rsidR="00E27E63" w:rsidRPr="00E27E63" w:rsidRDefault="00E27E63" w:rsidP="00E27E63">
      <w:pPr>
        <w:shd w:val="clear" w:color="auto" w:fill="FFFFFF"/>
        <w:jc w:val="center"/>
        <w:rPr>
          <w:rFonts w:ascii="Aptos" w:eastAsia="Times New Roman" w:hAnsi="Aptos" w:cs="Times New Roman"/>
          <w:b/>
          <w:bCs/>
          <w:sz w:val="25"/>
          <w:szCs w:val="25"/>
        </w:rPr>
      </w:pPr>
      <w:r w:rsidRPr="00E27E63">
        <w:rPr>
          <w:rFonts w:ascii="Aptos" w:eastAsia="Times New Roman" w:hAnsi="Aptos" w:cs="Times New Roman"/>
          <w:b/>
          <w:bCs/>
          <w:sz w:val="25"/>
          <w:szCs w:val="25"/>
        </w:rPr>
        <w:t>RELEVANT PROCEDURAL HISTORY</w:t>
      </w:r>
    </w:p>
    <w:p w14:paraId="785EC387" w14:textId="77777777" w:rsidR="00E27E63" w:rsidRPr="00E27E63" w:rsidRDefault="00E27E63" w:rsidP="00E27E63">
      <w:pPr>
        <w:shd w:val="clear" w:color="auto" w:fill="FFFFFF"/>
        <w:jc w:val="center"/>
        <w:rPr>
          <w:rFonts w:ascii="Aptos" w:eastAsia="Times New Roman" w:hAnsi="Aptos" w:cs="Times New Roman"/>
          <w:sz w:val="25"/>
          <w:szCs w:val="25"/>
        </w:rPr>
      </w:pPr>
    </w:p>
    <w:p w14:paraId="66800FD8" w14:textId="77777777" w:rsidR="00E27E63" w:rsidRPr="00E27E63" w:rsidRDefault="00E27E63" w:rsidP="00E27E63">
      <w:pPr>
        <w:rPr>
          <w:rFonts w:ascii="Aptos" w:hAnsi="Aptos" w:cs="Times New Roman"/>
          <w:sz w:val="25"/>
          <w:szCs w:val="25"/>
        </w:rPr>
      </w:pPr>
      <w:r w:rsidRPr="00E27E63">
        <w:rPr>
          <w:rFonts w:ascii="Aptos" w:hAnsi="Aptos" w:cs="Times New Roman"/>
          <w:sz w:val="25"/>
          <w:szCs w:val="25"/>
        </w:rPr>
        <w:t>On April 16, 2024, Student filed a</w:t>
      </w:r>
      <w:r w:rsidRPr="00E27E63">
        <w:rPr>
          <w:rFonts w:ascii="Aptos" w:hAnsi="Aptos" w:cs="Times New Roman"/>
          <w:i/>
          <w:iCs/>
          <w:sz w:val="25"/>
          <w:szCs w:val="25"/>
        </w:rPr>
        <w:t xml:space="preserve"> Request for Accelerated Hearing</w:t>
      </w:r>
      <w:r w:rsidRPr="00E27E63">
        <w:rPr>
          <w:rFonts w:ascii="Aptos" w:hAnsi="Aptos" w:cs="Times New Roman"/>
          <w:sz w:val="25"/>
          <w:szCs w:val="25"/>
        </w:rPr>
        <w:t xml:space="preserve"> against both </w:t>
      </w:r>
    </w:p>
    <w:p w14:paraId="59ECD0C5" w14:textId="77777777" w:rsidR="00E27E63" w:rsidRPr="00E27E63" w:rsidRDefault="00E27E63" w:rsidP="00E27E63">
      <w:pPr>
        <w:rPr>
          <w:rFonts w:ascii="Aptos" w:hAnsi="Aptos" w:cs="Times New Roman"/>
          <w:sz w:val="25"/>
          <w:szCs w:val="25"/>
        </w:rPr>
      </w:pPr>
      <w:r w:rsidRPr="00E27E63">
        <w:rPr>
          <w:rFonts w:ascii="Aptos" w:hAnsi="Aptos" w:cs="Times New Roman"/>
          <w:sz w:val="25"/>
          <w:szCs w:val="25"/>
        </w:rPr>
        <w:t>the Department of Elementary and Secondary Education (hereinafter “DESE”) and the Boston Public Schools (hereinafter “Boston” or the “District”), identifying 6 “Issues in Dispute” as well as 6 “Requests for Relief”.  The first 3 Issues were specific to Student and included 1) whether Student is entitled to receive “stay put” services under his “last IEP”</w:t>
      </w:r>
      <w:r w:rsidRPr="00E27E63">
        <w:rPr>
          <w:rStyle w:val="FootnoteReference"/>
          <w:rFonts w:ascii="Aptos" w:hAnsi="Aptos" w:cs="Times New Roman"/>
          <w:sz w:val="25"/>
          <w:szCs w:val="25"/>
        </w:rPr>
        <w:footnoteReference w:id="2"/>
      </w:r>
      <w:r w:rsidRPr="00E27E63">
        <w:rPr>
          <w:rFonts w:ascii="Aptos" w:hAnsi="Aptos" w:cs="Times New Roman"/>
          <w:sz w:val="25"/>
          <w:szCs w:val="25"/>
        </w:rPr>
        <w:t xml:space="preserve">; 2) whether Student is entitled to compensatory services since March 10, 2022; and 3) whether Student is entitled to direct special education services from DESE pursuant to M.G.L. c. 71B §11A.  The remaining 3 Issues pertain to claims on behalf of “students with disabilities who are confined to County Houses of Correction” (Issues 4 and 5) or “the class of students who are confined in the Houses of Correction” (Issue 6).  Specifically, Issues 4, 5 and 6, respectively, include: whether DESE must “create, maintain, supervise and administer” a FAPE to such students; whether 603 CMR 28.06(9) “improperly abdicate[s]” DESE’s duties to such students under M.G.L. c. 71B §11A; and whether DESE should be </w:t>
      </w:r>
      <w:r w:rsidRPr="00E27E63">
        <w:rPr>
          <w:rFonts w:ascii="Aptos" w:hAnsi="Aptos" w:cs="Times New Roman"/>
          <w:sz w:val="25"/>
          <w:szCs w:val="25"/>
        </w:rPr>
        <w:lastRenderedPageBreak/>
        <w:t>ordered to provide direct special education services and a free appropriate public education (“FAPE”) to such students</w:t>
      </w:r>
      <w:r w:rsidRPr="00E27E63">
        <w:rPr>
          <w:rStyle w:val="FootnoteReference"/>
          <w:rFonts w:ascii="Aptos" w:hAnsi="Aptos" w:cs="Times New Roman"/>
          <w:sz w:val="25"/>
          <w:szCs w:val="25"/>
        </w:rPr>
        <w:footnoteReference w:id="3"/>
      </w:r>
      <w:r w:rsidRPr="00E27E63">
        <w:rPr>
          <w:rFonts w:ascii="Aptos" w:hAnsi="Aptos" w:cs="Times New Roman"/>
          <w:sz w:val="25"/>
          <w:szCs w:val="25"/>
        </w:rPr>
        <w:t xml:space="preserve">.  </w:t>
      </w:r>
    </w:p>
    <w:p w14:paraId="6D1206B5" w14:textId="77777777" w:rsidR="00E27E63" w:rsidRPr="00E27E63" w:rsidRDefault="00E27E63" w:rsidP="00E27E63">
      <w:pPr>
        <w:rPr>
          <w:rFonts w:ascii="Aptos" w:hAnsi="Aptos" w:cs="Times New Roman"/>
          <w:sz w:val="25"/>
          <w:szCs w:val="25"/>
        </w:rPr>
      </w:pPr>
    </w:p>
    <w:p w14:paraId="6798323B" w14:textId="77777777" w:rsidR="00E27E63" w:rsidRPr="00E27E63" w:rsidRDefault="00E27E63" w:rsidP="00E27E63">
      <w:pPr>
        <w:rPr>
          <w:rFonts w:ascii="Aptos" w:hAnsi="Aptos" w:cs="Times New Roman"/>
          <w:sz w:val="25"/>
          <w:szCs w:val="25"/>
        </w:rPr>
      </w:pPr>
      <w:r w:rsidRPr="00E27E63">
        <w:rPr>
          <w:rFonts w:ascii="Aptos" w:hAnsi="Aptos" w:cs="Times New Roman"/>
          <w:sz w:val="25"/>
          <w:szCs w:val="25"/>
        </w:rPr>
        <w:t xml:space="preserve">On April 17, 2024, a </w:t>
      </w:r>
      <w:r w:rsidRPr="00E27E63">
        <w:rPr>
          <w:rFonts w:ascii="Aptos" w:hAnsi="Aptos" w:cs="Times New Roman"/>
          <w:i/>
          <w:iCs/>
          <w:sz w:val="25"/>
          <w:szCs w:val="25"/>
        </w:rPr>
        <w:t>Notice of Accelerated Hearing</w:t>
      </w:r>
      <w:r w:rsidRPr="00E27E63">
        <w:rPr>
          <w:rFonts w:ascii="Aptos" w:hAnsi="Aptos" w:cs="Times New Roman"/>
          <w:sz w:val="25"/>
          <w:szCs w:val="25"/>
        </w:rPr>
        <w:t xml:space="preserve"> was issued that, among other deadlines, scheduled the Accelerated Hearing for May 16, 2024.</w:t>
      </w:r>
    </w:p>
    <w:p w14:paraId="54CBF19A" w14:textId="77777777" w:rsidR="00E27E63" w:rsidRPr="00E27E63" w:rsidRDefault="00E27E63" w:rsidP="00E27E63">
      <w:pPr>
        <w:rPr>
          <w:rFonts w:ascii="Aptos" w:hAnsi="Aptos" w:cs="Times New Roman"/>
          <w:sz w:val="25"/>
          <w:szCs w:val="25"/>
        </w:rPr>
      </w:pPr>
    </w:p>
    <w:p w14:paraId="2F007790"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hAnsi="Aptos" w:cs="Times New Roman"/>
          <w:sz w:val="25"/>
          <w:szCs w:val="25"/>
        </w:rPr>
        <w:t xml:space="preserve">On May 2, 2024, DESE filed an assented to </w:t>
      </w:r>
      <w:r w:rsidRPr="00E27E63">
        <w:rPr>
          <w:rFonts w:ascii="Aptos" w:hAnsi="Aptos" w:cs="Times New Roman"/>
          <w:i/>
          <w:iCs/>
          <w:sz w:val="25"/>
          <w:szCs w:val="25"/>
        </w:rPr>
        <w:t>Motion to Further Extend Time to Respond to Hearing Request</w:t>
      </w:r>
      <w:r w:rsidRPr="00E27E63">
        <w:rPr>
          <w:rFonts w:ascii="Aptos" w:hAnsi="Aptos" w:cs="Times New Roman"/>
          <w:sz w:val="25"/>
          <w:szCs w:val="25"/>
        </w:rPr>
        <w:t xml:space="preserve">, on the basis that the Parties had agreed to participate in a Settlement Conference, and that there were overlapping claims raised in the </w:t>
      </w:r>
      <w:r w:rsidRPr="00E27E63">
        <w:rPr>
          <w:rFonts w:ascii="Aptos" w:hAnsi="Aptos" w:cs="Times New Roman"/>
          <w:i/>
          <w:iCs/>
          <w:sz w:val="25"/>
          <w:szCs w:val="25"/>
        </w:rPr>
        <w:t>Hearing Request</w:t>
      </w:r>
      <w:r w:rsidRPr="00E27E63">
        <w:rPr>
          <w:rFonts w:ascii="Aptos" w:hAnsi="Aptos" w:cs="Times New Roman"/>
          <w:sz w:val="25"/>
          <w:szCs w:val="25"/>
        </w:rPr>
        <w:t xml:space="preserve"> and in a class action lawsuit that had been filed on April 16, 2024 in the Massachusetts Superior Court, entitled </w:t>
      </w:r>
      <w:r w:rsidRPr="00E27E63">
        <w:rPr>
          <w:rFonts w:ascii="Aptos" w:hAnsi="Aptos" w:cs="Times New Roman"/>
          <w:i/>
          <w:iCs/>
          <w:sz w:val="25"/>
          <w:szCs w:val="25"/>
        </w:rPr>
        <w:t>Doe et al. v. Johnston et al.</w:t>
      </w:r>
      <w:r w:rsidRPr="00E27E63">
        <w:rPr>
          <w:rFonts w:ascii="Aptos" w:hAnsi="Aptos" w:cs="Times New Roman"/>
          <w:sz w:val="25"/>
          <w:szCs w:val="25"/>
        </w:rPr>
        <w:t>, Middlesex Superior Court No. 2481 CV 00994 (“Class Action Lawsuit”).  The Verified Complaint to the Class Action Lawsuit was attached to this filing and indicates in Paragraph 77 that the plaintiff class consists of “all persons aged 18 to 22 who as of April 16, 2024 or at any time thereafter, (1) are or will be incarcerated in [county Houses of Correction]; (2) have been issued an IEP, and (3) are being denied the full spectrum of instruction and services to which they are entitled under their IEP and/or state law while incarcerated.”  The “first cause of action” addresses claims relating to violations of M.G.L. c. 71B § 11A</w:t>
      </w:r>
      <w:r w:rsidRPr="00E27E63">
        <w:rPr>
          <w:rStyle w:val="FootnoteReference"/>
          <w:rFonts w:ascii="Aptos" w:eastAsia="Times New Roman" w:hAnsi="Aptos" w:cs="Times New Roman"/>
          <w:sz w:val="25"/>
          <w:szCs w:val="25"/>
        </w:rPr>
        <w:footnoteReference w:id="4"/>
      </w:r>
      <w:r w:rsidRPr="00E27E63">
        <w:rPr>
          <w:rFonts w:ascii="Aptos" w:eastAsia="Times New Roman" w:hAnsi="Aptos" w:cs="Times New Roman"/>
          <w:sz w:val="25"/>
          <w:szCs w:val="25"/>
        </w:rPr>
        <w:t xml:space="preserve"> </w:t>
      </w:r>
      <w:r w:rsidRPr="00E27E63">
        <w:rPr>
          <w:rFonts w:ascii="Aptos" w:hAnsi="Aptos" w:cs="Times New Roman"/>
          <w:sz w:val="25"/>
          <w:szCs w:val="25"/>
        </w:rPr>
        <w:t xml:space="preserve">and the “second cause of action” addresses claims relating to violations of M.G.L. c. 71B §§ 3 and 11A and M.G.L. c. 69 §§ 1A and 1B. </w:t>
      </w:r>
    </w:p>
    <w:p w14:paraId="3FF7A841" w14:textId="77777777" w:rsidR="00E27E63" w:rsidRPr="00E27E63" w:rsidRDefault="00E27E63" w:rsidP="00E27E63">
      <w:pPr>
        <w:rPr>
          <w:rFonts w:ascii="Aptos" w:hAnsi="Aptos" w:cs="Times New Roman"/>
          <w:sz w:val="25"/>
          <w:szCs w:val="25"/>
        </w:rPr>
      </w:pPr>
    </w:p>
    <w:p w14:paraId="1AFE9065" w14:textId="77777777" w:rsidR="00E27E63" w:rsidRPr="00E27E63" w:rsidRDefault="00E27E63" w:rsidP="00E27E63">
      <w:pPr>
        <w:rPr>
          <w:rFonts w:ascii="Aptos" w:hAnsi="Aptos" w:cs="Times New Roman"/>
          <w:sz w:val="25"/>
          <w:szCs w:val="25"/>
        </w:rPr>
      </w:pPr>
      <w:r w:rsidRPr="00E27E63">
        <w:rPr>
          <w:rFonts w:ascii="Aptos" w:hAnsi="Aptos" w:cs="Times New Roman"/>
          <w:sz w:val="25"/>
          <w:szCs w:val="25"/>
        </w:rPr>
        <w:t xml:space="preserve">On May 3, 2024, Boston filed its </w:t>
      </w:r>
      <w:r w:rsidRPr="00E27E63">
        <w:rPr>
          <w:rFonts w:ascii="Aptos" w:hAnsi="Aptos" w:cs="Times New Roman"/>
          <w:i/>
          <w:iCs/>
          <w:sz w:val="25"/>
          <w:szCs w:val="25"/>
        </w:rPr>
        <w:t xml:space="preserve">Response </w:t>
      </w:r>
      <w:r w:rsidRPr="00E27E63">
        <w:rPr>
          <w:rFonts w:ascii="Aptos" w:hAnsi="Aptos" w:cs="Times New Roman"/>
          <w:sz w:val="25"/>
          <w:szCs w:val="25"/>
        </w:rPr>
        <w:t xml:space="preserve">to the </w:t>
      </w:r>
      <w:r w:rsidRPr="00E27E63">
        <w:rPr>
          <w:rFonts w:ascii="Aptos" w:hAnsi="Aptos" w:cs="Times New Roman"/>
          <w:i/>
          <w:iCs/>
          <w:sz w:val="25"/>
          <w:szCs w:val="25"/>
        </w:rPr>
        <w:t>Hearing Request</w:t>
      </w:r>
      <w:r w:rsidRPr="00E27E63">
        <w:rPr>
          <w:rFonts w:ascii="Aptos" w:hAnsi="Aptos" w:cs="Times New Roman"/>
          <w:sz w:val="25"/>
          <w:szCs w:val="25"/>
        </w:rPr>
        <w:t xml:space="preserve"> (“BPS Response”) disputing the claims against Boston that were contained in the </w:t>
      </w:r>
      <w:r w:rsidRPr="00E27E63">
        <w:rPr>
          <w:rFonts w:ascii="Aptos" w:hAnsi="Aptos" w:cs="Times New Roman"/>
          <w:i/>
          <w:iCs/>
          <w:sz w:val="25"/>
          <w:szCs w:val="25"/>
        </w:rPr>
        <w:t>Hearing Request</w:t>
      </w:r>
      <w:r w:rsidRPr="00E27E63">
        <w:rPr>
          <w:rStyle w:val="FootnoteReference"/>
          <w:rFonts w:ascii="Aptos" w:hAnsi="Aptos" w:cs="Times New Roman"/>
          <w:i/>
          <w:iCs/>
          <w:sz w:val="25"/>
          <w:szCs w:val="25"/>
        </w:rPr>
        <w:footnoteReference w:id="5"/>
      </w:r>
      <w:r w:rsidRPr="00E27E63">
        <w:rPr>
          <w:rFonts w:ascii="Aptos" w:hAnsi="Aptos" w:cs="Times New Roman"/>
          <w:sz w:val="25"/>
          <w:szCs w:val="25"/>
        </w:rPr>
        <w:t>.</w:t>
      </w:r>
    </w:p>
    <w:p w14:paraId="32F630CF" w14:textId="77777777" w:rsidR="00E27E63" w:rsidRPr="00E27E63" w:rsidRDefault="00E27E63" w:rsidP="00E27E63">
      <w:pPr>
        <w:rPr>
          <w:rFonts w:ascii="Aptos" w:hAnsi="Aptos" w:cs="Times New Roman"/>
          <w:sz w:val="25"/>
          <w:szCs w:val="25"/>
        </w:rPr>
      </w:pPr>
    </w:p>
    <w:p w14:paraId="29BB3EEE" w14:textId="77777777" w:rsidR="00E27E63" w:rsidRPr="00E27E63" w:rsidRDefault="00E27E63" w:rsidP="00E27E63">
      <w:pPr>
        <w:rPr>
          <w:rFonts w:ascii="Aptos" w:hAnsi="Aptos" w:cs="Times New Roman"/>
          <w:sz w:val="25"/>
          <w:szCs w:val="25"/>
        </w:rPr>
      </w:pPr>
      <w:r w:rsidRPr="00E27E63">
        <w:rPr>
          <w:rFonts w:ascii="Aptos" w:hAnsi="Aptos" w:cs="Times New Roman"/>
          <w:sz w:val="25"/>
          <w:szCs w:val="25"/>
        </w:rPr>
        <w:lastRenderedPageBreak/>
        <w:t xml:space="preserve">On May 6, 2024, Student filed a letter withdrawing the matter from the accelerated track and on May 7, 2024, the Hearing was continued for good cause to July 29, 30 and 31, 2024 upon a joint </w:t>
      </w:r>
      <w:r w:rsidRPr="00E27E63">
        <w:rPr>
          <w:rFonts w:ascii="Aptos" w:hAnsi="Aptos" w:cs="Times New Roman"/>
          <w:i/>
          <w:iCs/>
          <w:sz w:val="25"/>
          <w:szCs w:val="25"/>
        </w:rPr>
        <w:t>Motion</w:t>
      </w:r>
      <w:r w:rsidRPr="00E27E63">
        <w:rPr>
          <w:rFonts w:ascii="Aptos" w:hAnsi="Aptos" w:cs="Times New Roman"/>
          <w:sz w:val="25"/>
          <w:szCs w:val="25"/>
        </w:rPr>
        <w:t xml:space="preserve"> of the Parties.  </w:t>
      </w:r>
    </w:p>
    <w:p w14:paraId="0F6A001D" w14:textId="77777777" w:rsidR="00E27E63" w:rsidRPr="00E27E63" w:rsidRDefault="00E27E63" w:rsidP="00E27E63">
      <w:pPr>
        <w:rPr>
          <w:rFonts w:ascii="Aptos" w:hAnsi="Aptos" w:cs="Times New Roman"/>
          <w:sz w:val="25"/>
          <w:szCs w:val="25"/>
        </w:rPr>
      </w:pPr>
    </w:p>
    <w:p w14:paraId="70930F3B" w14:textId="77777777" w:rsidR="00E27E63" w:rsidRPr="00E27E63" w:rsidRDefault="00E27E63" w:rsidP="00E27E63">
      <w:pPr>
        <w:rPr>
          <w:rFonts w:ascii="Aptos" w:hAnsi="Aptos" w:cs="Times New Roman"/>
          <w:sz w:val="25"/>
          <w:szCs w:val="25"/>
        </w:rPr>
      </w:pPr>
      <w:r w:rsidRPr="00E27E63">
        <w:rPr>
          <w:rFonts w:ascii="Aptos" w:hAnsi="Aptos" w:cs="Times New Roman"/>
          <w:sz w:val="25"/>
          <w:szCs w:val="25"/>
        </w:rPr>
        <w:t xml:space="preserve">On May 17, 2024, DESE filed the underlying </w:t>
      </w:r>
      <w:r w:rsidRPr="00E27E63">
        <w:rPr>
          <w:rFonts w:ascii="Aptos" w:hAnsi="Aptos" w:cs="Times New Roman"/>
          <w:i/>
          <w:iCs/>
          <w:sz w:val="25"/>
          <w:szCs w:val="25"/>
        </w:rPr>
        <w:t>Partial Motion</w:t>
      </w:r>
      <w:r w:rsidRPr="00E27E63">
        <w:rPr>
          <w:rFonts w:ascii="Aptos" w:hAnsi="Aptos" w:cs="Times New Roman"/>
          <w:sz w:val="25"/>
          <w:szCs w:val="25"/>
        </w:rPr>
        <w:t xml:space="preserve"> and on May 31, 2024, Student filed his </w:t>
      </w:r>
      <w:r w:rsidRPr="00E27E63">
        <w:rPr>
          <w:rFonts w:ascii="Aptos" w:hAnsi="Aptos" w:cs="Times New Roman"/>
          <w:i/>
          <w:iCs/>
          <w:sz w:val="25"/>
          <w:szCs w:val="25"/>
        </w:rPr>
        <w:t>Opposition to DESE (sic) Motion to Dismiss</w:t>
      </w:r>
      <w:r w:rsidRPr="00E27E63">
        <w:rPr>
          <w:rFonts w:ascii="Aptos" w:hAnsi="Aptos" w:cs="Times New Roman"/>
          <w:sz w:val="25"/>
          <w:szCs w:val="25"/>
        </w:rPr>
        <w:t xml:space="preserve"> (“</w:t>
      </w:r>
      <w:r w:rsidRPr="00E27E63">
        <w:rPr>
          <w:rFonts w:ascii="Aptos" w:hAnsi="Aptos" w:cs="Times New Roman"/>
          <w:i/>
          <w:iCs/>
          <w:sz w:val="25"/>
          <w:szCs w:val="25"/>
        </w:rPr>
        <w:t>Opposition</w:t>
      </w:r>
      <w:r w:rsidRPr="00E27E63">
        <w:rPr>
          <w:rFonts w:ascii="Aptos" w:hAnsi="Aptos" w:cs="Times New Roman"/>
          <w:sz w:val="25"/>
          <w:szCs w:val="25"/>
        </w:rPr>
        <w:t>”)</w:t>
      </w:r>
      <w:r w:rsidRPr="00E27E63">
        <w:rPr>
          <w:rStyle w:val="FootnoteReference"/>
          <w:rFonts w:ascii="Aptos" w:hAnsi="Aptos" w:cs="Times New Roman"/>
          <w:sz w:val="25"/>
          <w:szCs w:val="25"/>
        </w:rPr>
        <w:footnoteReference w:id="6"/>
      </w:r>
      <w:r w:rsidRPr="00E27E63">
        <w:rPr>
          <w:rFonts w:ascii="Aptos" w:hAnsi="Aptos" w:cs="Times New Roman"/>
          <w:sz w:val="25"/>
          <w:szCs w:val="25"/>
        </w:rPr>
        <w:t xml:space="preserve">.  </w:t>
      </w:r>
      <w:r w:rsidRPr="00E27E63">
        <w:rPr>
          <w:rFonts w:ascii="Aptos" w:hAnsi="Aptos" w:cs="Times New Roman"/>
          <w:sz w:val="25"/>
          <w:szCs w:val="25"/>
        </w:rPr>
        <w:br/>
      </w:r>
    </w:p>
    <w:p w14:paraId="54BC3B33" w14:textId="77777777" w:rsidR="00E27E63" w:rsidRPr="00E27E63" w:rsidRDefault="00E27E63" w:rsidP="00E27E63">
      <w:pPr>
        <w:rPr>
          <w:rFonts w:ascii="Aptos" w:hAnsi="Aptos" w:cs="Times New Roman"/>
          <w:i/>
          <w:iCs/>
          <w:sz w:val="25"/>
          <w:szCs w:val="25"/>
        </w:rPr>
      </w:pPr>
      <w:r w:rsidRPr="00E27E63">
        <w:rPr>
          <w:rFonts w:ascii="Aptos" w:hAnsi="Aptos" w:cs="Times New Roman"/>
          <w:sz w:val="25"/>
          <w:szCs w:val="25"/>
        </w:rPr>
        <w:t xml:space="preserve">On June 10, 2024, the Parties participated in a further Conference Call and agreed that they would file additional legal memorandum and argument to supplement the </w:t>
      </w:r>
      <w:r w:rsidRPr="00E27E63">
        <w:rPr>
          <w:rFonts w:ascii="Aptos" w:hAnsi="Aptos" w:cs="Times New Roman"/>
          <w:i/>
          <w:iCs/>
          <w:sz w:val="25"/>
          <w:szCs w:val="25"/>
        </w:rPr>
        <w:t>Partial Motion</w:t>
      </w:r>
      <w:r w:rsidRPr="00E27E63">
        <w:rPr>
          <w:rFonts w:ascii="Aptos" w:hAnsi="Aptos" w:cs="Times New Roman"/>
          <w:sz w:val="25"/>
          <w:szCs w:val="25"/>
        </w:rPr>
        <w:t xml:space="preserve"> and the </w:t>
      </w:r>
      <w:r w:rsidRPr="00E27E63">
        <w:rPr>
          <w:rFonts w:ascii="Aptos" w:hAnsi="Aptos" w:cs="Times New Roman"/>
          <w:i/>
          <w:iCs/>
          <w:sz w:val="25"/>
          <w:szCs w:val="25"/>
        </w:rPr>
        <w:t>Opposition</w:t>
      </w:r>
      <w:r w:rsidRPr="00E27E63">
        <w:rPr>
          <w:rFonts w:ascii="Aptos" w:hAnsi="Aptos" w:cs="Times New Roman"/>
          <w:sz w:val="25"/>
          <w:szCs w:val="25"/>
        </w:rPr>
        <w:t xml:space="preserve">.  Consistent with the ensuing </w:t>
      </w:r>
      <w:r w:rsidRPr="00E27E63">
        <w:rPr>
          <w:rFonts w:ascii="Aptos" w:hAnsi="Aptos" w:cs="Times New Roman"/>
          <w:i/>
          <w:iCs/>
          <w:sz w:val="25"/>
          <w:szCs w:val="25"/>
        </w:rPr>
        <w:t>Order</w:t>
      </w:r>
      <w:r w:rsidRPr="00E27E63">
        <w:rPr>
          <w:rFonts w:ascii="Aptos" w:hAnsi="Aptos" w:cs="Times New Roman"/>
          <w:sz w:val="25"/>
          <w:szCs w:val="25"/>
        </w:rPr>
        <w:t xml:space="preserve"> relating to these supplemental filings</w:t>
      </w:r>
      <w:r w:rsidRPr="00E27E63">
        <w:rPr>
          <w:rFonts w:ascii="Aptos" w:hAnsi="Aptos" w:cs="Times New Roman"/>
          <w:i/>
          <w:iCs/>
          <w:sz w:val="25"/>
          <w:szCs w:val="25"/>
        </w:rPr>
        <w:t xml:space="preserve">, </w:t>
      </w:r>
      <w:r w:rsidRPr="00E27E63">
        <w:rPr>
          <w:rFonts w:ascii="Aptos" w:hAnsi="Aptos" w:cs="Times New Roman"/>
          <w:sz w:val="25"/>
          <w:szCs w:val="25"/>
        </w:rPr>
        <w:t xml:space="preserve">on June 24, 2024, DESE filed the </w:t>
      </w:r>
      <w:r w:rsidRPr="00E27E63">
        <w:rPr>
          <w:rFonts w:ascii="Aptos" w:hAnsi="Aptos" w:cs="Times New Roman"/>
          <w:i/>
          <w:iCs/>
          <w:sz w:val="25"/>
          <w:szCs w:val="25"/>
        </w:rPr>
        <w:t>Department’s Memorandum of Law Concerning Hearing Officer’s Authority to Determine Jurisdictional Issue</w:t>
      </w:r>
      <w:r w:rsidRPr="00E27E63">
        <w:rPr>
          <w:rFonts w:ascii="Aptos" w:hAnsi="Aptos" w:cs="Times New Roman"/>
          <w:sz w:val="25"/>
          <w:szCs w:val="25"/>
        </w:rPr>
        <w:t xml:space="preserve"> (</w:t>
      </w:r>
      <w:r w:rsidRPr="00E27E63">
        <w:rPr>
          <w:rFonts w:ascii="Aptos" w:hAnsi="Aptos" w:cs="Times New Roman"/>
          <w:i/>
          <w:iCs/>
          <w:sz w:val="25"/>
          <w:szCs w:val="25"/>
        </w:rPr>
        <w:t>DESE Supplemental Argument</w:t>
      </w:r>
      <w:r w:rsidRPr="00E27E63">
        <w:rPr>
          <w:rFonts w:ascii="Aptos" w:hAnsi="Aptos" w:cs="Times New Roman"/>
          <w:sz w:val="25"/>
          <w:szCs w:val="25"/>
        </w:rPr>
        <w:t xml:space="preserve">) and on June 28, 2024, Student filed </w:t>
      </w:r>
      <w:r w:rsidRPr="00E27E63">
        <w:rPr>
          <w:rFonts w:ascii="Aptos" w:hAnsi="Aptos" w:cs="Times New Roman"/>
          <w:i/>
          <w:iCs/>
          <w:sz w:val="25"/>
          <w:szCs w:val="25"/>
        </w:rPr>
        <w:t xml:space="preserve">Student’s Reply to Department’s Memorandum of Law Concerning Hearing Officer’s Authority to Determine Jurisdictional Issues </w:t>
      </w:r>
      <w:r w:rsidRPr="00E27E63">
        <w:rPr>
          <w:rFonts w:ascii="Aptos" w:hAnsi="Aptos" w:cs="Times New Roman"/>
          <w:sz w:val="25"/>
          <w:szCs w:val="25"/>
        </w:rPr>
        <w:t>(</w:t>
      </w:r>
      <w:r w:rsidRPr="00E27E63">
        <w:rPr>
          <w:rFonts w:ascii="Aptos" w:hAnsi="Aptos" w:cs="Times New Roman"/>
          <w:i/>
          <w:iCs/>
          <w:sz w:val="25"/>
          <w:szCs w:val="25"/>
        </w:rPr>
        <w:t>Student’s Reply</w:t>
      </w:r>
      <w:r w:rsidRPr="00E27E63">
        <w:rPr>
          <w:rFonts w:ascii="Aptos" w:hAnsi="Aptos" w:cs="Times New Roman"/>
          <w:sz w:val="25"/>
          <w:szCs w:val="25"/>
        </w:rPr>
        <w:t>).</w:t>
      </w:r>
    </w:p>
    <w:p w14:paraId="5437FB9A" w14:textId="77777777" w:rsidR="00E27E63" w:rsidRPr="00E27E63" w:rsidRDefault="00E27E63" w:rsidP="00E27E63">
      <w:pPr>
        <w:rPr>
          <w:rFonts w:ascii="Aptos" w:hAnsi="Aptos" w:cs="Times New Roman"/>
          <w:sz w:val="25"/>
          <w:szCs w:val="25"/>
        </w:rPr>
      </w:pPr>
    </w:p>
    <w:p w14:paraId="02BC2841" w14:textId="77777777" w:rsidR="00E27E63" w:rsidRPr="00E27E63" w:rsidRDefault="00E27E63" w:rsidP="00E27E63">
      <w:pPr>
        <w:rPr>
          <w:rFonts w:ascii="Aptos" w:hAnsi="Aptos" w:cs="Times New Roman"/>
          <w:sz w:val="25"/>
          <w:szCs w:val="25"/>
        </w:rPr>
      </w:pPr>
      <w:r w:rsidRPr="00E27E63">
        <w:rPr>
          <w:rFonts w:ascii="Aptos" w:hAnsi="Aptos" w:cs="Times New Roman"/>
          <w:sz w:val="25"/>
          <w:szCs w:val="25"/>
        </w:rPr>
        <w:t xml:space="preserve">At DESE’s request, on July 16, 2024, the Parties participated in a Motion Hearing, to address specifically Student’s argument that the Systemic Claims, “as applied” to him, individually, are within the BSEA’s jurisdiction.  During this Motion Hearing both DESE and Student requested that I take administrative notice of my July 10, 2024 </w:t>
      </w:r>
      <w:r w:rsidRPr="00E27E63">
        <w:rPr>
          <w:rFonts w:ascii="Aptos" w:eastAsia="Times New Roman" w:hAnsi="Aptos" w:cs="Times New Roman"/>
          <w:bCs/>
          <w:i/>
          <w:iCs/>
          <w:color w:val="000000"/>
          <w:sz w:val="25"/>
          <w:szCs w:val="25"/>
        </w:rPr>
        <w:t>Ruling on Respondents’ Motions to Dismiss</w:t>
      </w:r>
      <w:r w:rsidRPr="00E27E63">
        <w:rPr>
          <w:rFonts w:ascii="Aptos" w:eastAsia="Times New Roman" w:hAnsi="Aptos" w:cs="Times New Roman"/>
          <w:bCs/>
          <w:color w:val="000000"/>
          <w:sz w:val="25"/>
          <w:szCs w:val="25"/>
        </w:rPr>
        <w:t xml:space="preserve"> in </w:t>
      </w:r>
      <w:bookmarkStart w:id="0" w:name="_Hlk172703384"/>
      <w:r w:rsidRPr="00E27E63">
        <w:rPr>
          <w:rFonts w:ascii="Aptos" w:eastAsia="Times New Roman" w:hAnsi="Aptos" w:cs="Times New Roman"/>
          <w:bCs/>
          <w:i/>
          <w:iCs/>
          <w:color w:val="000000"/>
          <w:sz w:val="25"/>
          <w:szCs w:val="25"/>
        </w:rPr>
        <w:t>In Re:  Student and Quincy Public Schools and Department of Elementary and Secondary Education</w:t>
      </w:r>
      <w:r w:rsidRPr="00E27E63">
        <w:rPr>
          <w:rFonts w:ascii="Aptos" w:eastAsia="Times New Roman" w:hAnsi="Aptos" w:cs="Times New Roman"/>
          <w:bCs/>
          <w:color w:val="000000"/>
          <w:sz w:val="25"/>
          <w:szCs w:val="25"/>
        </w:rPr>
        <w:t>, BSEA No.  2408249</w:t>
      </w:r>
      <w:bookmarkEnd w:id="0"/>
      <w:r w:rsidRPr="00E27E63">
        <w:rPr>
          <w:rFonts w:ascii="Aptos" w:eastAsia="Times New Roman" w:hAnsi="Aptos" w:cs="Times New Roman"/>
          <w:bCs/>
          <w:color w:val="000000"/>
          <w:sz w:val="25"/>
          <w:szCs w:val="25"/>
        </w:rPr>
        <w:t xml:space="preserve">, I had recently </w:t>
      </w:r>
      <w:r w:rsidRPr="00E27E63">
        <w:rPr>
          <w:rFonts w:ascii="Aptos" w:hAnsi="Aptos" w:cs="Times New Roman"/>
          <w:sz w:val="25"/>
          <w:szCs w:val="25"/>
        </w:rPr>
        <w:t>issued, in a companion matter (</w:t>
      </w:r>
      <w:r w:rsidRPr="00E27E63">
        <w:rPr>
          <w:rFonts w:ascii="Aptos" w:hAnsi="Aptos" w:cs="Times New Roman"/>
          <w:i/>
          <w:iCs/>
          <w:sz w:val="25"/>
          <w:szCs w:val="25"/>
        </w:rPr>
        <w:t>Companion Ruling</w:t>
      </w:r>
      <w:r w:rsidRPr="00E27E63">
        <w:rPr>
          <w:rFonts w:ascii="Aptos" w:hAnsi="Aptos" w:cs="Times New Roman"/>
          <w:sz w:val="25"/>
          <w:szCs w:val="25"/>
        </w:rPr>
        <w:t xml:space="preserve">), particularly </w:t>
      </w:r>
      <w:proofErr w:type="gramStart"/>
      <w:r w:rsidRPr="00E27E63">
        <w:rPr>
          <w:rFonts w:ascii="Aptos" w:hAnsi="Aptos" w:cs="Times New Roman"/>
          <w:sz w:val="25"/>
          <w:szCs w:val="25"/>
        </w:rPr>
        <w:t>with regard to</w:t>
      </w:r>
      <w:proofErr w:type="gramEnd"/>
      <w:r w:rsidRPr="00E27E63">
        <w:rPr>
          <w:rFonts w:ascii="Aptos" w:hAnsi="Aptos" w:cs="Times New Roman"/>
          <w:sz w:val="25"/>
          <w:szCs w:val="25"/>
        </w:rPr>
        <w:t xml:space="preserve"> my analysis of the BSEA’s jurisdiction over systemic and class claims</w:t>
      </w:r>
      <w:r w:rsidRPr="00E27E63">
        <w:rPr>
          <w:rStyle w:val="FootnoteReference"/>
          <w:rFonts w:ascii="Aptos" w:hAnsi="Aptos" w:cs="Times New Roman"/>
          <w:sz w:val="25"/>
          <w:szCs w:val="25"/>
        </w:rPr>
        <w:footnoteReference w:id="7"/>
      </w:r>
      <w:r w:rsidRPr="00E27E63">
        <w:rPr>
          <w:rFonts w:ascii="Aptos" w:hAnsi="Aptos" w:cs="Times New Roman"/>
          <w:sz w:val="25"/>
          <w:szCs w:val="25"/>
        </w:rPr>
        <w:t xml:space="preserve">.  Student also acknowledged that the wording used in the </w:t>
      </w:r>
      <w:r w:rsidRPr="00E27E63">
        <w:rPr>
          <w:rFonts w:ascii="Aptos" w:hAnsi="Aptos" w:cs="Times New Roman"/>
          <w:i/>
          <w:iCs/>
          <w:sz w:val="25"/>
          <w:szCs w:val="25"/>
        </w:rPr>
        <w:t>Hearing Request</w:t>
      </w:r>
      <w:r w:rsidRPr="00E27E63">
        <w:rPr>
          <w:rFonts w:ascii="Aptos" w:hAnsi="Aptos" w:cs="Times New Roman"/>
          <w:sz w:val="25"/>
          <w:szCs w:val="25"/>
        </w:rPr>
        <w:t xml:space="preserve"> for Issues 4, 5 and 6, and Requests for Relief 3 and 4, lack clarity as to their application to Student, individually, in addition to applying to the entire group or class of students with disabilities who are confined to County Houses of Correction (CHCs).  The Parties, therefore, discussed and agreed to deadlines for filing an </w:t>
      </w:r>
      <w:r w:rsidRPr="00E27E63">
        <w:rPr>
          <w:rFonts w:ascii="Aptos" w:hAnsi="Aptos" w:cs="Times New Roman"/>
          <w:i/>
          <w:iCs/>
          <w:sz w:val="25"/>
          <w:szCs w:val="25"/>
        </w:rPr>
        <w:t>Amended Hearing Request</w:t>
      </w:r>
      <w:r w:rsidRPr="00E27E63">
        <w:rPr>
          <w:rFonts w:ascii="Aptos" w:hAnsi="Aptos" w:cs="Times New Roman"/>
          <w:sz w:val="25"/>
          <w:szCs w:val="25"/>
        </w:rPr>
        <w:t>, and any oppositions thereto, if necessary, to pursue these individual claims on behalf of Student</w:t>
      </w:r>
      <w:r w:rsidRPr="00E27E63">
        <w:rPr>
          <w:rStyle w:val="FootnoteReference"/>
          <w:rFonts w:ascii="Aptos" w:hAnsi="Aptos" w:cs="Times New Roman"/>
          <w:sz w:val="25"/>
          <w:szCs w:val="25"/>
        </w:rPr>
        <w:footnoteReference w:id="8"/>
      </w:r>
      <w:r w:rsidRPr="00E27E63">
        <w:rPr>
          <w:rFonts w:ascii="Aptos" w:hAnsi="Aptos" w:cs="Times New Roman"/>
          <w:sz w:val="25"/>
          <w:szCs w:val="25"/>
        </w:rPr>
        <w:t xml:space="preserve">, should the Systemic Claims be dismissed.  Finally, Boston confirmed that it did not take any position on either the </w:t>
      </w:r>
      <w:r w:rsidRPr="00E27E63">
        <w:rPr>
          <w:rFonts w:ascii="Aptos" w:hAnsi="Aptos" w:cs="Times New Roman"/>
          <w:i/>
          <w:iCs/>
          <w:sz w:val="25"/>
          <w:szCs w:val="25"/>
        </w:rPr>
        <w:t>Partial Motion</w:t>
      </w:r>
      <w:r w:rsidRPr="00E27E63">
        <w:rPr>
          <w:rFonts w:ascii="Aptos" w:hAnsi="Aptos" w:cs="Times New Roman"/>
          <w:sz w:val="25"/>
          <w:szCs w:val="25"/>
        </w:rPr>
        <w:t xml:space="preserve"> or the </w:t>
      </w:r>
      <w:r w:rsidRPr="00E27E63">
        <w:rPr>
          <w:rFonts w:ascii="Aptos" w:hAnsi="Aptos" w:cs="Times New Roman"/>
          <w:i/>
          <w:iCs/>
          <w:sz w:val="25"/>
          <w:szCs w:val="25"/>
        </w:rPr>
        <w:t>Opposition</w:t>
      </w:r>
      <w:r w:rsidRPr="00E27E63">
        <w:rPr>
          <w:rFonts w:ascii="Aptos" w:hAnsi="Aptos" w:cs="Times New Roman"/>
          <w:sz w:val="25"/>
          <w:szCs w:val="25"/>
        </w:rPr>
        <w:t xml:space="preserve">.  </w:t>
      </w:r>
    </w:p>
    <w:p w14:paraId="0760E8E9" w14:textId="77777777" w:rsidR="00E27E63" w:rsidRPr="00E27E63" w:rsidRDefault="00E27E63" w:rsidP="00E27E63">
      <w:pPr>
        <w:rPr>
          <w:rFonts w:ascii="Aptos" w:hAnsi="Aptos" w:cs="Times New Roman"/>
          <w:sz w:val="25"/>
          <w:szCs w:val="25"/>
        </w:rPr>
      </w:pPr>
    </w:p>
    <w:p w14:paraId="2BD3D4F7" w14:textId="77777777" w:rsidR="00E27E63" w:rsidRPr="00E27E63" w:rsidRDefault="00E27E63" w:rsidP="00E27E63">
      <w:pPr>
        <w:rPr>
          <w:rFonts w:ascii="Aptos" w:hAnsi="Aptos" w:cs="Times New Roman"/>
          <w:sz w:val="25"/>
          <w:szCs w:val="25"/>
        </w:rPr>
      </w:pPr>
      <w:r w:rsidRPr="00E27E63">
        <w:rPr>
          <w:rFonts w:ascii="Aptos" w:hAnsi="Aptos" w:cs="Times New Roman"/>
          <w:sz w:val="25"/>
          <w:szCs w:val="25"/>
        </w:rPr>
        <w:t xml:space="preserve">On July 17, 2024, the Hearing was further postponed for good cause to September 23, 24 and 25, 2024, to provide additional time for the Parties to pursue resolution.  </w:t>
      </w:r>
    </w:p>
    <w:p w14:paraId="789DD98A" w14:textId="77777777" w:rsidR="00E27E63" w:rsidRPr="00E27E63" w:rsidRDefault="00E27E63" w:rsidP="00E27E63">
      <w:pPr>
        <w:rPr>
          <w:rFonts w:ascii="Aptos" w:hAnsi="Aptos" w:cs="Times New Roman"/>
          <w:sz w:val="25"/>
          <w:szCs w:val="25"/>
        </w:rPr>
      </w:pPr>
    </w:p>
    <w:p w14:paraId="5AAF8193" w14:textId="77777777" w:rsidR="00E27E63" w:rsidRPr="00E27E63" w:rsidRDefault="00E27E63" w:rsidP="00E27E63">
      <w:pPr>
        <w:jc w:val="center"/>
        <w:rPr>
          <w:rFonts w:ascii="Aptos" w:eastAsia="Times New Roman" w:hAnsi="Aptos" w:cs="Times New Roman"/>
          <w:b/>
          <w:bCs/>
          <w:sz w:val="25"/>
          <w:szCs w:val="25"/>
        </w:rPr>
      </w:pPr>
      <w:r w:rsidRPr="00E27E63">
        <w:rPr>
          <w:rFonts w:ascii="Aptos" w:eastAsia="Times New Roman" w:hAnsi="Aptos" w:cs="Times New Roman"/>
          <w:b/>
          <w:bCs/>
          <w:sz w:val="25"/>
          <w:szCs w:val="25"/>
        </w:rPr>
        <w:lastRenderedPageBreak/>
        <w:t>FACTUAL BACKGROUND</w:t>
      </w:r>
      <w:r w:rsidRPr="00E27E63">
        <w:rPr>
          <w:rStyle w:val="FootnoteReference"/>
          <w:rFonts w:ascii="Aptos" w:eastAsia="Times New Roman" w:hAnsi="Aptos" w:cs="Times New Roman"/>
          <w:b/>
          <w:bCs/>
          <w:sz w:val="25"/>
          <w:szCs w:val="25"/>
        </w:rPr>
        <w:footnoteReference w:id="9"/>
      </w:r>
    </w:p>
    <w:p w14:paraId="1A0ABEFE" w14:textId="77777777" w:rsidR="00E27E63" w:rsidRPr="00E27E63" w:rsidRDefault="00E27E63" w:rsidP="00E27E63">
      <w:pPr>
        <w:rPr>
          <w:rFonts w:ascii="Aptos" w:eastAsia="Times New Roman" w:hAnsi="Aptos" w:cs="Times New Roman"/>
          <w:b/>
          <w:bCs/>
          <w:sz w:val="25"/>
          <w:szCs w:val="25"/>
        </w:rPr>
      </w:pPr>
    </w:p>
    <w:p w14:paraId="294DE0E7"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Student is 21 years of age, and his special education eligibility under the category of emotional disability is not disputed.  He has been eligible for special education services since at least third grade.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w:t>
      </w:r>
    </w:p>
    <w:p w14:paraId="2BB9D476" w14:textId="77777777" w:rsidR="00E27E63" w:rsidRPr="00E27E63" w:rsidRDefault="00E27E63" w:rsidP="00E27E63">
      <w:pPr>
        <w:pStyle w:val="ListParagraph"/>
        <w:ind w:left="360"/>
        <w:rPr>
          <w:rFonts w:ascii="Aptos" w:eastAsia="Times New Roman" w:hAnsi="Aptos" w:cs="Times New Roman"/>
          <w:sz w:val="25"/>
          <w:szCs w:val="25"/>
        </w:rPr>
      </w:pPr>
    </w:p>
    <w:p w14:paraId="131884D8"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 xml:space="preserve">Student is currently incarcerated in the Norfolk CHC, where he has been confined, except for limited time periods not relevant to this </w:t>
      </w:r>
      <w:r w:rsidRPr="00E27E63">
        <w:rPr>
          <w:rFonts w:ascii="Aptos" w:eastAsia="Times New Roman" w:hAnsi="Aptos" w:cs="Times New Roman"/>
          <w:i/>
          <w:iCs/>
          <w:sz w:val="25"/>
          <w:szCs w:val="25"/>
        </w:rPr>
        <w:t>Ruling</w:t>
      </w:r>
      <w:r w:rsidRPr="00E27E63">
        <w:rPr>
          <w:rFonts w:ascii="Aptos" w:eastAsia="Times New Roman" w:hAnsi="Aptos" w:cs="Times New Roman"/>
          <w:sz w:val="25"/>
          <w:szCs w:val="25"/>
        </w:rPr>
        <w:t>, (wherein he was confined to other CHCs), since on or about February 16, 2022.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Partial Motion</w:t>
      </w:r>
      <w:r w:rsidRPr="00E27E63">
        <w:rPr>
          <w:rFonts w:ascii="Aptos" w:eastAsia="Times New Roman" w:hAnsi="Aptos" w:cs="Times New Roman"/>
          <w:sz w:val="25"/>
          <w:szCs w:val="25"/>
        </w:rPr>
        <w:t>).</w:t>
      </w:r>
    </w:p>
    <w:p w14:paraId="2EACFB02" w14:textId="77777777" w:rsidR="00E27E63" w:rsidRPr="00E27E63" w:rsidRDefault="00E27E63" w:rsidP="00E27E63">
      <w:pPr>
        <w:pStyle w:val="ListParagraph"/>
        <w:ind w:left="360"/>
        <w:rPr>
          <w:rFonts w:ascii="Aptos" w:eastAsia="Times New Roman" w:hAnsi="Aptos" w:cs="Times New Roman"/>
          <w:sz w:val="25"/>
          <w:szCs w:val="25"/>
        </w:rPr>
      </w:pPr>
    </w:p>
    <w:p w14:paraId="3D263978"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Student has not received his high school diploma, nor has he received a high school equivalency diploma (commonly referred to as “a GED”).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w:t>
      </w:r>
    </w:p>
    <w:p w14:paraId="7E777DD7" w14:textId="77777777" w:rsidR="00E27E63" w:rsidRPr="00E27E63" w:rsidRDefault="00E27E63" w:rsidP="00E27E63">
      <w:pPr>
        <w:pStyle w:val="ListParagraph"/>
        <w:ind w:left="360"/>
        <w:rPr>
          <w:rFonts w:ascii="Aptos" w:eastAsia="Times New Roman" w:hAnsi="Aptos" w:cs="Times New Roman"/>
          <w:sz w:val="25"/>
          <w:szCs w:val="25"/>
        </w:rPr>
      </w:pPr>
    </w:p>
    <w:p w14:paraId="4923ABB9"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The Parties dispute when Norfolk CHC, DESE/Special Education in Institutional Settings (SEIS) and Boston became aware of Student being identified as an eligible special education student, however Boston and DESE/SEIS agree they were so aware of Student’s status by December 2023.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Partial Motion</w:t>
      </w:r>
      <w:r w:rsidRPr="00E27E63">
        <w:rPr>
          <w:rFonts w:ascii="Aptos" w:eastAsia="Times New Roman" w:hAnsi="Aptos" w:cs="Times New Roman"/>
          <w:sz w:val="25"/>
          <w:szCs w:val="25"/>
        </w:rPr>
        <w:t>).</w:t>
      </w:r>
    </w:p>
    <w:p w14:paraId="787FB38B" w14:textId="77777777" w:rsidR="00E27E63" w:rsidRPr="00E27E63" w:rsidRDefault="00E27E63" w:rsidP="00E27E63">
      <w:pPr>
        <w:pStyle w:val="ListParagraph"/>
        <w:ind w:left="360"/>
        <w:rPr>
          <w:rFonts w:ascii="Aptos" w:eastAsia="Times New Roman" w:hAnsi="Aptos" w:cs="Times New Roman"/>
          <w:sz w:val="25"/>
          <w:szCs w:val="25"/>
        </w:rPr>
      </w:pPr>
    </w:p>
    <w:p w14:paraId="5617C572"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In 2017, Student’s mother moved from Boston to Maynard with Student, where he enrolled in Maynard Public Schools and was provided with an IEP for a substantially separate or day school placement.  In April 2019, Student was placed in foster care in Boston by DCF, whereupon he re-enrolled in Boston Public Schools and began attending McKinley Prep in accordance with an IEP that called for a public day school placement.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w:t>
      </w:r>
    </w:p>
    <w:p w14:paraId="68FE7A42" w14:textId="77777777" w:rsidR="00E27E63" w:rsidRPr="00E27E63" w:rsidRDefault="00E27E63" w:rsidP="00E27E63">
      <w:pPr>
        <w:pStyle w:val="ListParagraph"/>
        <w:ind w:left="360"/>
        <w:rPr>
          <w:rFonts w:ascii="Aptos" w:eastAsia="Times New Roman" w:hAnsi="Aptos" w:cs="Times New Roman"/>
          <w:sz w:val="25"/>
          <w:szCs w:val="25"/>
        </w:rPr>
      </w:pPr>
    </w:p>
    <w:p w14:paraId="05A519A3"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In the fall of 2019 Student ran away from his foster placement.  His residency until his arrest and incarceration was unknown after this time and he was deemed homeless, although he continued to remain in DCF custody during this period of homelessness.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w:t>
      </w:r>
    </w:p>
    <w:p w14:paraId="29D525A8" w14:textId="77777777" w:rsidR="00E27E63" w:rsidRPr="00E27E63" w:rsidRDefault="00E27E63" w:rsidP="00E27E63">
      <w:pPr>
        <w:pStyle w:val="ListParagraph"/>
        <w:ind w:left="360"/>
        <w:rPr>
          <w:rFonts w:ascii="Aptos" w:eastAsia="Times New Roman" w:hAnsi="Aptos" w:cs="Times New Roman"/>
          <w:sz w:val="25"/>
          <w:szCs w:val="25"/>
        </w:rPr>
      </w:pPr>
    </w:p>
    <w:p w14:paraId="711274A5"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The last Team meeting for Student was held in October 2019 by Boston, and an IEP dated 10/2/19 to 10/1/20 was proposed calling for Student to be placed in a public day school at McKinley Prep.  Student, however, never attended any school in Boston or elsewhere after last attending McKinley Prep in April 2019.  The 2019-2020 IEP was never accepted.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w:t>
      </w:r>
    </w:p>
    <w:p w14:paraId="6C11DD3E" w14:textId="77777777" w:rsidR="00E27E63" w:rsidRPr="00E27E63" w:rsidRDefault="00E27E63" w:rsidP="00E27E63">
      <w:pPr>
        <w:pStyle w:val="ListParagraph"/>
        <w:ind w:left="360"/>
        <w:rPr>
          <w:rFonts w:ascii="Aptos" w:eastAsia="Times New Roman" w:hAnsi="Aptos" w:cs="Times New Roman"/>
          <w:sz w:val="25"/>
          <w:szCs w:val="25"/>
        </w:rPr>
      </w:pPr>
    </w:p>
    <w:p w14:paraId="046184BE"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Student’s last accepted IEP was the 2018-2019 IEP proposed by Maynard Public Schools.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w:t>
      </w:r>
    </w:p>
    <w:p w14:paraId="2C2E322F" w14:textId="77777777" w:rsidR="00E27E63" w:rsidRPr="00E27E63" w:rsidRDefault="00E27E63" w:rsidP="00E27E63">
      <w:pPr>
        <w:pStyle w:val="ListParagraph"/>
        <w:ind w:left="360"/>
        <w:rPr>
          <w:rFonts w:ascii="Aptos" w:eastAsia="Times New Roman" w:hAnsi="Aptos" w:cs="Times New Roman"/>
          <w:sz w:val="25"/>
          <w:szCs w:val="25"/>
        </w:rPr>
      </w:pPr>
    </w:p>
    <w:p w14:paraId="034801A8"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lastRenderedPageBreak/>
        <w:t>The Parties dispute if Student “dropped out” or was “withdrawn administratively” by Boston from the Boston Public Schools in December 2019.  The Parties also dispute what notification(s), if any, were sent by Boston to Student, Parent and/or DCF, however they agree that after December 2019, Student was no longer enrolled in Boston.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w:t>
      </w:r>
    </w:p>
    <w:p w14:paraId="7C742F91" w14:textId="77777777" w:rsidR="00E27E63" w:rsidRPr="00E27E63" w:rsidRDefault="00E27E63" w:rsidP="00E27E63">
      <w:pPr>
        <w:pStyle w:val="ListParagraph"/>
        <w:ind w:left="360"/>
        <w:rPr>
          <w:rFonts w:ascii="Aptos" w:eastAsia="Times New Roman" w:hAnsi="Aptos" w:cs="Times New Roman"/>
          <w:sz w:val="25"/>
          <w:szCs w:val="25"/>
        </w:rPr>
      </w:pPr>
    </w:p>
    <w:p w14:paraId="1051CDF5"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 xml:space="preserve"> At some point in time between December 2023 and March 2024, Student was re-enrolled in Boston, and Boston provided SEIS with Student’s last accepted IEP</w:t>
      </w:r>
      <w:r w:rsidRPr="00E27E63">
        <w:rPr>
          <w:rStyle w:val="FootnoteReference"/>
          <w:rFonts w:ascii="Aptos" w:eastAsia="Times New Roman" w:hAnsi="Aptos" w:cs="Times New Roman"/>
          <w:sz w:val="25"/>
          <w:szCs w:val="25"/>
        </w:rPr>
        <w:footnoteReference w:id="10"/>
      </w:r>
      <w:r w:rsidRPr="00E27E63">
        <w:rPr>
          <w:rFonts w:ascii="Aptos" w:eastAsia="Times New Roman" w:hAnsi="Aptos" w:cs="Times New Roman"/>
          <w:sz w:val="25"/>
          <w:szCs w:val="25"/>
        </w:rPr>
        <w:t>.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Partial Motion</w:t>
      </w:r>
      <w:r w:rsidRPr="00E27E63">
        <w:rPr>
          <w:rFonts w:ascii="Aptos" w:eastAsia="Times New Roman" w:hAnsi="Aptos" w:cs="Times New Roman"/>
          <w:sz w:val="25"/>
          <w:szCs w:val="25"/>
        </w:rPr>
        <w:t>).</w:t>
      </w:r>
    </w:p>
    <w:p w14:paraId="2D56F95C" w14:textId="77777777" w:rsidR="00E27E63" w:rsidRPr="00E27E63" w:rsidRDefault="00E27E63" w:rsidP="00E27E63">
      <w:pPr>
        <w:pStyle w:val="ListParagraph"/>
        <w:ind w:left="360"/>
        <w:rPr>
          <w:rFonts w:ascii="Aptos" w:eastAsia="Times New Roman" w:hAnsi="Aptos" w:cs="Times New Roman"/>
          <w:sz w:val="25"/>
          <w:szCs w:val="25"/>
        </w:rPr>
      </w:pPr>
    </w:p>
    <w:p w14:paraId="7CA91197"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On April 1, 2024, Student consented to a special education re-evaluation by Boston.  However, both security issues involving Student and staffing issues have caused delays in performing this evaluation.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Partial Motion</w:t>
      </w:r>
      <w:r w:rsidRPr="00E27E63">
        <w:rPr>
          <w:rFonts w:ascii="Aptos" w:eastAsia="Times New Roman" w:hAnsi="Aptos" w:cs="Times New Roman"/>
          <w:sz w:val="25"/>
          <w:szCs w:val="25"/>
        </w:rPr>
        <w:t>).</w:t>
      </w:r>
    </w:p>
    <w:p w14:paraId="7D14BF85" w14:textId="77777777" w:rsidR="00E27E63" w:rsidRPr="00E27E63" w:rsidRDefault="00E27E63" w:rsidP="00E27E63">
      <w:pPr>
        <w:pStyle w:val="ListParagraph"/>
        <w:ind w:left="360"/>
        <w:rPr>
          <w:rFonts w:ascii="Aptos" w:eastAsia="Times New Roman" w:hAnsi="Aptos" w:cs="Times New Roman"/>
          <w:sz w:val="25"/>
          <w:szCs w:val="25"/>
        </w:rPr>
      </w:pPr>
    </w:p>
    <w:p w14:paraId="2004404A"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The Parties dispute if DESE/SEIS and/or Boston have scheduled a Team meeting for Student since he has been confined to Norfolk CHC.  DESE claims a Team meeting was scheduled for June 17, 2024, at one point, but noted this may need to be changed due to the challenges involved with performing Student’s re-evaluation</w:t>
      </w:r>
      <w:r w:rsidRPr="00E27E63">
        <w:rPr>
          <w:rStyle w:val="FootnoteReference"/>
          <w:rFonts w:ascii="Aptos" w:eastAsia="Times New Roman" w:hAnsi="Aptos" w:cs="Times New Roman"/>
          <w:sz w:val="25"/>
          <w:szCs w:val="25"/>
        </w:rPr>
        <w:footnoteReference w:id="11"/>
      </w:r>
      <w:r w:rsidRPr="00E27E63">
        <w:rPr>
          <w:rFonts w:ascii="Aptos" w:eastAsia="Times New Roman" w:hAnsi="Aptos" w:cs="Times New Roman"/>
          <w:sz w:val="25"/>
          <w:szCs w:val="25"/>
        </w:rPr>
        <w:t>.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Partial Motion</w:t>
      </w:r>
      <w:r w:rsidRPr="00E27E63">
        <w:rPr>
          <w:rFonts w:ascii="Aptos" w:eastAsia="Times New Roman" w:hAnsi="Aptos" w:cs="Times New Roman"/>
          <w:sz w:val="25"/>
          <w:szCs w:val="25"/>
        </w:rPr>
        <w:t>).</w:t>
      </w:r>
    </w:p>
    <w:p w14:paraId="5E230ACE" w14:textId="77777777" w:rsidR="00E27E63" w:rsidRPr="00E27E63" w:rsidRDefault="00E27E63" w:rsidP="00E27E63">
      <w:pPr>
        <w:pStyle w:val="ListParagraph"/>
        <w:ind w:left="360"/>
        <w:rPr>
          <w:rFonts w:ascii="Aptos" w:eastAsia="Times New Roman" w:hAnsi="Aptos" w:cs="Times New Roman"/>
          <w:sz w:val="25"/>
          <w:szCs w:val="25"/>
        </w:rPr>
      </w:pPr>
    </w:p>
    <w:p w14:paraId="01627C52" w14:textId="77777777" w:rsidR="00E27E63" w:rsidRPr="00E27E63" w:rsidRDefault="00E27E63" w:rsidP="00E27E63">
      <w:pPr>
        <w:pStyle w:val="ListParagraph"/>
        <w:numPr>
          <w:ilvl w:val="0"/>
          <w:numId w:val="3"/>
        </w:numPr>
        <w:ind w:left="360"/>
        <w:rPr>
          <w:rFonts w:ascii="Aptos" w:eastAsia="Times New Roman" w:hAnsi="Aptos" w:cs="Times New Roman"/>
          <w:sz w:val="25"/>
          <w:szCs w:val="25"/>
        </w:rPr>
      </w:pPr>
      <w:r w:rsidRPr="00E27E63">
        <w:rPr>
          <w:rFonts w:ascii="Aptos" w:eastAsia="Times New Roman" w:hAnsi="Aptos" w:cs="Times New Roman"/>
          <w:sz w:val="25"/>
          <w:szCs w:val="25"/>
        </w:rPr>
        <w:t>The Parties dispute if Student has received any special education or related services while being incarcerated in Norfolk CHC.  They also dispute the reason for the non-receipt of services and the nature of any educational services Student has received at Norfolk CHC.  Boston advises it has arranged for Student to receive 10 hours of special education services per week, but provision of these services has been delayed awaiting approval by Norfolk CHC.  DESE claims SEIS, through the Collaborative for Educational Services (“CEC”), began to provide Student with 1:1 instruction by a certified special educator on April 12, 2024, but ongoing provision of these services has been delayed at times due to security issues involving Student.  Student claims he has only received instruction to prepare him to receive a GED.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BPS Response</w:t>
      </w:r>
      <w:r w:rsidRPr="00E27E63">
        <w:rPr>
          <w:rFonts w:ascii="Aptos" w:eastAsia="Times New Roman" w:hAnsi="Aptos" w:cs="Times New Roman"/>
          <w:sz w:val="25"/>
          <w:szCs w:val="25"/>
        </w:rPr>
        <w:t xml:space="preserve">; </w:t>
      </w:r>
      <w:r w:rsidRPr="00E27E63">
        <w:rPr>
          <w:rFonts w:ascii="Aptos" w:eastAsia="Times New Roman" w:hAnsi="Aptos" w:cs="Times New Roman"/>
          <w:i/>
          <w:iCs/>
          <w:sz w:val="25"/>
          <w:szCs w:val="25"/>
        </w:rPr>
        <w:t>Partial Motion</w:t>
      </w:r>
      <w:r w:rsidRPr="00E27E63">
        <w:rPr>
          <w:rFonts w:ascii="Aptos" w:eastAsia="Times New Roman" w:hAnsi="Aptos" w:cs="Times New Roman"/>
          <w:sz w:val="25"/>
          <w:szCs w:val="25"/>
        </w:rPr>
        <w:t xml:space="preserve">). </w:t>
      </w:r>
    </w:p>
    <w:p w14:paraId="3A481674" w14:textId="77777777" w:rsidR="00E27E63" w:rsidRPr="00E27E63" w:rsidRDefault="00E27E63" w:rsidP="00E27E63">
      <w:pPr>
        <w:rPr>
          <w:rFonts w:ascii="Aptos" w:eastAsia="Times New Roman" w:hAnsi="Aptos" w:cs="Times New Roman"/>
          <w:sz w:val="25"/>
          <w:szCs w:val="25"/>
        </w:rPr>
      </w:pPr>
    </w:p>
    <w:p w14:paraId="7A92309D" w14:textId="77777777" w:rsidR="00E27E63" w:rsidRPr="00E27E63" w:rsidRDefault="00E27E63" w:rsidP="00E27E63">
      <w:pPr>
        <w:jc w:val="center"/>
        <w:rPr>
          <w:rFonts w:ascii="Aptos" w:eastAsia="Times New Roman" w:hAnsi="Aptos" w:cs="Times New Roman"/>
          <w:sz w:val="25"/>
          <w:szCs w:val="25"/>
        </w:rPr>
      </w:pPr>
      <w:r w:rsidRPr="00E27E63">
        <w:rPr>
          <w:rFonts w:ascii="Aptos" w:eastAsia="Times New Roman" w:hAnsi="Aptos" w:cs="Times New Roman"/>
          <w:b/>
          <w:bCs/>
          <w:sz w:val="25"/>
          <w:szCs w:val="25"/>
        </w:rPr>
        <w:t>POSITION OF THE PARTIES</w:t>
      </w:r>
    </w:p>
    <w:p w14:paraId="555FDF7C" w14:textId="77777777" w:rsidR="00E27E63" w:rsidRPr="00E27E63" w:rsidRDefault="00E27E63" w:rsidP="00E27E63">
      <w:pPr>
        <w:rPr>
          <w:rFonts w:ascii="Aptos" w:eastAsia="Times New Roman" w:hAnsi="Aptos" w:cs="Times New Roman"/>
          <w:sz w:val="25"/>
          <w:szCs w:val="25"/>
        </w:rPr>
      </w:pPr>
    </w:p>
    <w:p w14:paraId="5A0D79FA"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t xml:space="preserve">DESE asserts that the BSEA lacks jurisdiction over specific “Issues in Dispute” and is unable to grant the identified “Requests for Relief” as they involve systemic claims made on behalf of a class of similarly situated students to Student (namely students eligible for special education who are also confined to CHCs) or seek determinations about DESE’s general obligations to comply with state special education laws that is “unrelated to the specific </w:t>
      </w:r>
      <w:r w:rsidRPr="00E27E63">
        <w:rPr>
          <w:rFonts w:ascii="Aptos" w:eastAsia="Times New Roman" w:hAnsi="Aptos" w:cs="Times New Roman"/>
          <w:sz w:val="25"/>
          <w:szCs w:val="25"/>
        </w:rPr>
        <w:lastRenderedPageBreak/>
        <w:t xml:space="preserve">question of implementation of this particular Student’s IEP”.  </w:t>
      </w:r>
      <w:r w:rsidRPr="00E27E63">
        <w:rPr>
          <w:rFonts w:ascii="Aptos" w:hAnsi="Aptos" w:cs="Times New Roman"/>
          <w:sz w:val="25"/>
          <w:szCs w:val="25"/>
        </w:rPr>
        <w:t xml:space="preserve">DESE </w:t>
      </w:r>
      <w:proofErr w:type="gramStart"/>
      <w:r w:rsidRPr="00E27E63">
        <w:rPr>
          <w:rFonts w:ascii="Aptos" w:hAnsi="Aptos" w:cs="Times New Roman"/>
          <w:sz w:val="25"/>
          <w:szCs w:val="25"/>
        </w:rPr>
        <w:t>cites to</w:t>
      </w:r>
      <w:proofErr w:type="gramEnd"/>
      <w:r w:rsidRPr="00E27E63">
        <w:rPr>
          <w:rFonts w:ascii="Aptos" w:hAnsi="Aptos" w:cs="Times New Roman"/>
          <w:sz w:val="25"/>
          <w:szCs w:val="25"/>
        </w:rPr>
        <w:t xml:space="preserve"> prior BSEA decisions that dismissed class claims for lack of subject matter jurisdiction.  DESE further raises procedural concerns of administrative and judicial efficiency and the risk of “conflicting determinations” with respect to these claims being simultaneously pending before both the BSEA and the Superior Court. </w:t>
      </w:r>
    </w:p>
    <w:p w14:paraId="520D552B" w14:textId="77777777" w:rsidR="00E27E63" w:rsidRPr="00E27E63" w:rsidRDefault="00E27E63" w:rsidP="00E27E63">
      <w:pPr>
        <w:rPr>
          <w:sz w:val="25"/>
          <w:szCs w:val="25"/>
        </w:rPr>
      </w:pPr>
    </w:p>
    <w:p w14:paraId="64893B4B" w14:textId="77777777" w:rsidR="00E27E63" w:rsidRPr="00E27E63" w:rsidRDefault="00E27E63" w:rsidP="00E27E63">
      <w:pPr>
        <w:rPr>
          <w:rFonts w:ascii="Aptos" w:hAnsi="Aptos" w:cs="Times New Roman"/>
          <w:sz w:val="25"/>
          <w:szCs w:val="25"/>
        </w:rPr>
      </w:pPr>
      <w:r w:rsidRPr="00E27E63">
        <w:rPr>
          <w:rFonts w:ascii="Aptos" w:hAnsi="Aptos" w:cs="Times New Roman"/>
          <w:sz w:val="25"/>
          <w:szCs w:val="25"/>
        </w:rPr>
        <w:t xml:space="preserve">Student agrees that as a threshold issue, the BSEA has the authority to determine whether it has jurisdiction over all claims raised in the </w:t>
      </w:r>
      <w:r w:rsidRPr="00E27E63">
        <w:rPr>
          <w:rFonts w:ascii="Aptos" w:hAnsi="Aptos" w:cs="Times New Roman"/>
          <w:i/>
          <w:iCs/>
          <w:sz w:val="25"/>
          <w:szCs w:val="25"/>
        </w:rPr>
        <w:t>Hearing Request</w:t>
      </w:r>
      <w:r w:rsidRPr="00E27E63">
        <w:rPr>
          <w:rFonts w:ascii="Aptos" w:hAnsi="Aptos" w:cs="Times New Roman"/>
          <w:sz w:val="25"/>
          <w:szCs w:val="25"/>
        </w:rPr>
        <w:t xml:space="preserve">, including the Systemic Claims, notwithstanding their simultaneous pendency in the Superior Court, but contends that at this stage of the proceeding, none of the claims should be dismissed.  According to Student, other than prior BSEA decisions dismissing class claims, there is no explicit state or federal legal prohibition precluding the BSEA from  adjudicating class claims, or determining the validity of state special education regulations, both generally and as applied to a particular case.  Prior BSEA decisions  are not binding from hearing officer to hearing officer, and “a class action approach is the most efficient and effective way to protect” all students who have allegedly not received a FAPE and are involved in the Systemic Claims.  Further, given the BSEA’s particularized expertise over the special education elements of the Systemic Claims, Student argues that the BSEA should maintain jurisdiction over all claims </w:t>
      </w:r>
      <w:proofErr w:type="gramStart"/>
      <w:r w:rsidRPr="00E27E63">
        <w:rPr>
          <w:rFonts w:ascii="Aptos" w:hAnsi="Aptos" w:cs="Times New Roman"/>
          <w:sz w:val="25"/>
          <w:szCs w:val="25"/>
        </w:rPr>
        <w:t>in order to</w:t>
      </w:r>
      <w:proofErr w:type="gramEnd"/>
      <w:r w:rsidRPr="00E27E63">
        <w:rPr>
          <w:rFonts w:ascii="Aptos" w:hAnsi="Aptos" w:cs="Times New Roman"/>
          <w:sz w:val="25"/>
          <w:szCs w:val="25"/>
        </w:rPr>
        <w:t xml:space="preserve"> establish an appropriate record for the Superior Court to reference with respect to how the relevant laws and regulations have been “applied” in the context of a fact specific case.  Student further relies on </w:t>
      </w:r>
      <w:proofErr w:type="gramStart"/>
      <w:r w:rsidRPr="00E27E63">
        <w:rPr>
          <w:rFonts w:ascii="Aptos" w:hAnsi="Aptos" w:cs="Times New Roman"/>
          <w:sz w:val="25"/>
          <w:szCs w:val="25"/>
        </w:rPr>
        <w:t>select</w:t>
      </w:r>
      <w:proofErr w:type="gramEnd"/>
      <w:r w:rsidRPr="00E27E63">
        <w:rPr>
          <w:rFonts w:ascii="Aptos" w:hAnsi="Aptos" w:cs="Times New Roman"/>
          <w:sz w:val="25"/>
          <w:szCs w:val="25"/>
        </w:rPr>
        <w:t xml:space="preserve"> BSEA decisions wherein Hearing Officers kept open claims relating to </w:t>
      </w:r>
      <w:proofErr w:type="gramStart"/>
      <w:r w:rsidRPr="00E27E63">
        <w:rPr>
          <w:rFonts w:ascii="Aptos" w:hAnsi="Aptos" w:cs="Times New Roman"/>
          <w:sz w:val="25"/>
          <w:szCs w:val="25"/>
        </w:rPr>
        <w:t>whether or not</w:t>
      </w:r>
      <w:proofErr w:type="gramEnd"/>
      <w:r w:rsidRPr="00E27E63">
        <w:rPr>
          <w:rFonts w:ascii="Aptos" w:hAnsi="Aptos" w:cs="Times New Roman"/>
          <w:sz w:val="25"/>
          <w:szCs w:val="25"/>
        </w:rPr>
        <w:t xml:space="preserve"> general policies and procedures resulted in a denial of a FAPE for a specific student.  Finally, Student argues that despite the words used in the </w:t>
      </w:r>
      <w:r w:rsidRPr="00E27E63">
        <w:rPr>
          <w:rFonts w:ascii="Aptos" w:hAnsi="Aptos" w:cs="Times New Roman"/>
          <w:i/>
          <w:iCs/>
          <w:sz w:val="25"/>
          <w:szCs w:val="25"/>
        </w:rPr>
        <w:t xml:space="preserve">Hearing Request </w:t>
      </w:r>
      <w:r w:rsidRPr="00E27E63">
        <w:rPr>
          <w:rFonts w:ascii="Aptos" w:hAnsi="Aptos" w:cs="Times New Roman"/>
          <w:sz w:val="25"/>
          <w:szCs w:val="25"/>
        </w:rPr>
        <w:t xml:space="preserve">for the Systemic Claims, these Claims could and “should be resolved in the context of the matter of the Student who has initiated this hearing process” or involve a request for “broader relief [that] is within the jurisdiction and discretion of the BSEA” given its “ultimate authority” to determine special education issues for students in the Commonwealth.  </w:t>
      </w:r>
    </w:p>
    <w:p w14:paraId="7FB4A2EE" w14:textId="77777777" w:rsidR="00E27E63" w:rsidRPr="00E27E63" w:rsidRDefault="00E27E63" w:rsidP="00E27E63">
      <w:pPr>
        <w:shd w:val="clear" w:color="auto" w:fill="FFFFFF"/>
        <w:rPr>
          <w:rFonts w:ascii="Aptos" w:eastAsia="Times New Roman" w:hAnsi="Aptos" w:cs="Times New Roman"/>
          <w:sz w:val="25"/>
          <w:szCs w:val="25"/>
        </w:rPr>
      </w:pPr>
    </w:p>
    <w:p w14:paraId="4FDB79DF" w14:textId="77777777" w:rsidR="00E27E63" w:rsidRPr="00E27E63" w:rsidRDefault="00E27E63" w:rsidP="00E27E63">
      <w:pPr>
        <w:shd w:val="clear" w:color="auto" w:fill="FFFFFF"/>
        <w:jc w:val="center"/>
        <w:rPr>
          <w:rFonts w:ascii="Aptos" w:eastAsia="Times New Roman" w:hAnsi="Aptos" w:cs="Times New Roman"/>
          <w:sz w:val="25"/>
          <w:szCs w:val="25"/>
        </w:rPr>
      </w:pPr>
      <w:r w:rsidRPr="00E27E63">
        <w:rPr>
          <w:rFonts w:ascii="Aptos" w:eastAsia="Times New Roman" w:hAnsi="Aptos" w:cs="Times New Roman"/>
          <w:b/>
          <w:bCs/>
          <w:sz w:val="25"/>
          <w:szCs w:val="25"/>
        </w:rPr>
        <w:t>LEGAL STANDARDS</w:t>
      </w:r>
    </w:p>
    <w:p w14:paraId="31DF5221"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i/>
          <w:iCs/>
          <w:sz w:val="25"/>
          <w:szCs w:val="25"/>
        </w:rPr>
        <w:t xml:space="preserve">A. </w:t>
      </w:r>
      <w:r w:rsidRPr="00E27E63">
        <w:rPr>
          <w:rFonts w:ascii="Aptos" w:eastAsia="Times New Roman" w:hAnsi="Aptos" w:cs="Times New Roman"/>
          <w:i/>
          <w:iCs/>
          <w:sz w:val="25"/>
          <w:szCs w:val="25"/>
        </w:rPr>
        <w:tab/>
        <w:t>Motion to Dismiss.</w:t>
      </w:r>
    </w:p>
    <w:p w14:paraId="5F5E87F7" w14:textId="77777777" w:rsidR="00E27E63" w:rsidRPr="00E27E63" w:rsidRDefault="00E27E63" w:rsidP="00E27E63">
      <w:pPr>
        <w:shd w:val="clear" w:color="auto" w:fill="FFFFFF"/>
        <w:rPr>
          <w:rFonts w:ascii="Aptos" w:eastAsia="Times New Roman" w:hAnsi="Aptos" w:cs="Times New Roman"/>
          <w:sz w:val="25"/>
          <w:szCs w:val="25"/>
        </w:rPr>
      </w:pPr>
    </w:p>
    <w:p w14:paraId="4892EF9D"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t>Pursuant to Rule XVI(A) and (B) of the </w:t>
      </w:r>
      <w:r w:rsidRPr="00E27E63">
        <w:rPr>
          <w:rFonts w:ascii="Aptos" w:eastAsia="Times New Roman" w:hAnsi="Aptos" w:cs="Times New Roman"/>
          <w:i/>
          <w:iCs/>
          <w:sz w:val="25"/>
          <w:szCs w:val="25"/>
        </w:rPr>
        <w:t>Hearing Rules for Special Education Appeals </w:t>
      </w:r>
      <w:r w:rsidRPr="00E27E63">
        <w:rPr>
          <w:rFonts w:ascii="Aptos" w:eastAsia="Times New Roman" w:hAnsi="Aptos" w:cs="Times New Roman"/>
          <w:sz w:val="25"/>
          <w:szCs w:val="25"/>
        </w:rPr>
        <w:t>and 801 CMR 1.01(7)(g)(3), a hearing officer may allow a motion to dismiss for several reasons, including lack of BSEA jurisdiction over a claim, or if the party requesting the hearing fails to state a claim upon which relief can be granted</w:t>
      </w:r>
      <w:r w:rsidRPr="00E27E63">
        <w:rPr>
          <w:rStyle w:val="FootnoteReference"/>
          <w:rFonts w:ascii="Aptos" w:eastAsia="Times New Roman" w:hAnsi="Aptos" w:cs="Times New Roman"/>
          <w:sz w:val="25"/>
          <w:szCs w:val="25"/>
        </w:rPr>
        <w:footnoteReference w:id="12"/>
      </w:r>
      <w:r w:rsidRPr="00E27E63">
        <w:rPr>
          <w:rFonts w:ascii="Aptos" w:eastAsia="Times New Roman" w:hAnsi="Aptos" w:cs="Times New Roman"/>
          <w:sz w:val="25"/>
          <w:szCs w:val="25"/>
        </w:rPr>
        <w:t xml:space="preserve">.  These Rules and Regulations are analogous to Rules 12(b)(6) of both the Federal and Massachusetts Rules of Civil Procedure (“FRCP” and “MRCP”, respectively), and thus the BSEA is guided by these Rules in its analysis of motions requesting dismissal of claims.  </w:t>
      </w:r>
    </w:p>
    <w:p w14:paraId="47FF2E8E" w14:textId="77777777" w:rsidR="00E27E63" w:rsidRPr="00E27E63" w:rsidRDefault="00E27E63" w:rsidP="00E27E63">
      <w:pPr>
        <w:shd w:val="clear" w:color="auto" w:fill="FFFFFF"/>
        <w:rPr>
          <w:rFonts w:ascii="Aptos" w:eastAsia="Times New Roman" w:hAnsi="Aptos" w:cs="Times New Roman"/>
          <w:sz w:val="25"/>
          <w:szCs w:val="25"/>
        </w:rPr>
      </w:pPr>
    </w:p>
    <w:p w14:paraId="23A9D33B"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lastRenderedPageBreak/>
        <w:t>To survive a motion to dismiss, there must exist “factual ‘allegations plausibly suggesting (not merely consistent with)’ an entitlement to relief…”</w:t>
      </w:r>
      <w:r w:rsidRPr="00E27E63">
        <w:rPr>
          <w:rStyle w:val="FootnoteReference"/>
          <w:rFonts w:ascii="Aptos" w:eastAsia="Times New Roman" w:hAnsi="Aptos" w:cs="Times New Roman"/>
          <w:sz w:val="25"/>
          <w:szCs w:val="25"/>
        </w:rPr>
        <w:footnoteReference w:id="13"/>
      </w:r>
      <w:r w:rsidRPr="00E27E63">
        <w:rPr>
          <w:rFonts w:ascii="Aptos" w:eastAsia="Times New Roman" w:hAnsi="Aptos" w:cs="Times New Roman"/>
          <w:sz w:val="25"/>
          <w:szCs w:val="25"/>
        </w:rPr>
        <w:t>.  The hearing officer must take as true “the allegations of the complaint, as well as such inferences as may be drawn therefrom in the plaintiff’s favor”</w:t>
      </w:r>
      <w:r w:rsidRPr="00E27E63">
        <w:rPr>
          <w:rStyle w:val="FootnoteReference"/>
          <w:rFonts w:ascii="Aptos" w:eastAsia="Times New Roman" w:hAnsi="Aptos" w:cs="Times New Roman"/>
          <w:sz w:val="25"/>
          <w:szCs w:val="25"/>
        </w:rPr>
        <w:footnoteReference w:id="14"/>
      </w:r>
      <w:r w:rsidRPr="00E27E63">
        <w:rPr>
          <w:rFonts w:ascii="Aptos" w:eastAsia="Times New Roman" w:hAnsi="Aptos" w:cs="Times New Roman"/>
          <w:sz w:val="25"/>
          <w:szCs w:val="25"/>
        </w:rPr>
        <w:t>.  The party opposing the motion, therefore, must show “factual allegations … enough to raise a right to relief above the speculative level... [based] on the assumption that all the allegations in the [hearing request] (even if doubtful in fact) ....”</w:t>
      </w:r>
      <w:r w:rsidRPr="00E27E63">
        <w:rPr>
          <w:rStyle w:val="FootnoteReference"/>
          <w:rFonts w:ascii="Aptos" w:eastAsia="Times New Roman" w:hAnsi="Aptos" w:cs="Times New Roman"/>
          <w:sz w:val="25"/>
          <w:szCs w:val="25"/>
        </w:rPr>
        <w:footnoteReference w:id="15"/>
      </w:r>
      <w:r w:rsidRPr="00E27E63">
        <w:rPr>
          <w:rFonts w:ascii="Aptos" w:eastAsia="Times New Roman" w:hAnsi="Aptos" w:cs="Times New Roman"/>
          <w:sz w:val="25"/>
          <w:szCs w:val="25"/>
        </w:rPr>
        <w:t xml:space="preserve">.  </w:t>
      </w:r>
    </w:p>
    <w:p w14:paraId="45194983" w14:textId="77777777" w:rsidR="00E27E63" w:rsidRPr="00E27E63" w:rsidRDefault="00E27E63" w:rsidP="00E27E63">
      <w:pPr>
        <w:shd w:val="clear" w:color="auto" w:fill="FFFFFF"/>
        <w:rPr>
          <w:rFonts w:ascii="Aptos" w:eastAsia="Times New Roman" w:hAnsi="Aptos" w:cs="Times New Roman"/>
          <w:sz w:val="25"/>
          <w:szCs w:val="25"/>
        </w:rPr>
      </w:pPr>
    </w:p>
    <w:p w14:paraId="76260093"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t xml:space="preserve">Consistent with FRCP 8(a), hearing requests filed under the IDEA need only consist of “notice pleadings”, i.e., sufficient </w:t>
      </w:r>
      <w:proofErr w:type="gramStart"/>
      <w:r w:rsidRPr="00E27E63">
        <w:rPr>
          <w:rFonts w:ascii="Aptos" w:eastAsia="Times New Roman" w:hAnsi="Aptos" w:cs="Times New Roman"/>
          <w:sz w:val="25"/>
          <w:szCs w:val="25"/>
        </w:rPr>
        <w:t>so as to</w:t>
      </w:r>
      <w:proofErr w:type="gramEnd"/>
      <w:r w:rsidRPr="00E27E63">
        <w:rPr>
          <w:rFonts w:ascii="Aptos" w:eastAsia="Times New Roman" w:hAnsi="Aptos" w:cs="Times New Roman"/>
          <w:sz w:val="25"/>
          <w:szCs w:val="25"/>
        </w:rPr>
        <w:t xml:space="preserve"> provide fair notice to the opposing party of the nature of the dispute</w:t>
      </w:r>
      <w:r w:rsidRPr="00E27E63">
        <w:rPr>
          <w:rStyle w:val="FootnoteReference"/>
          <w:rFonts w:ascii="Aptos" w:eastAsia="Times New Roman" w:hAnsi="Aptos" w:cs="Times New Roman"/>
          <w:sz w:val="25"/>
          <w:szCs w:val="25"/>
        </w:rPr>
        <w:footnoteReference w:id="16"/>
      </w:r>
      <w:r w:rsidRPr="00E27E63">
        <w:rPr>
          <w:rFonts w:ascii="Aptos" w:eastAsia="Times New Roman" w:hAnsi="Aptos" w:cs="Times New Roman"/>
          <w:sz w:val="25"/>
          <w:szCs w:val="25"/>
        </w:rPr>
        <w:t>.  However, “[w]</w:t>
      </w:r>
      <w:proofErr w:type="spellStart"/>
      <w:r w:rsidRPr="00E27E63">
        <w:rPr>
          <w:rFonts w:ascii="Aptos" w:eastAsia="Times New Roman" w:hAnsi="Aptos" w:cs="Times New Roman"/>
          <w:sz w:val="25"/>
          <w:szCs w:val="25"/>
        </w:rPr>
        <w:t>hile</w:t>
      </w:r>
      <w:proofErr w:type="spellEnd"/>
      <w:r w:rsidRPr="00E27E63">
        <w:rPr>
          <w:rFonts w:ascii="Aptos" w:eastAsia="Times New Roman" w:hAnsi="Aptos" w:cs="Times New Roman"/>
          <w:sz w:val="25"/>
          <w:szCs w:val="25"/>
        </w:rPr>
        <w:t xml:space="preserve"> …. detailed factual allegations” are not necessary, “… a [Parent and Student’s] obligation to provide the ‘grounds’ of [their] ‘entitle[</w:t>
      </w:r>
      <w:proofErr w:type="spellStart"/>
      <w:r w:rsidRPr="00E27E63">
        <w:rPr>
          <w:rFonts w:ascii="Aptos" w:eastAsia="Times New Roman" w:hAnsi="Aptos" w:cs="Times New Roman"/>
          <w:sz w:val="25"/>
          <w:szCs w:val="25"/>
        </w:rPr>
        <w:t>ment</w:t>
      </w:r>
      <w:proofErr w:type="spellEnd"/>
      <w:r w:rsidRPr="00E27E63">
        <w:rPr>
          <w:rFonts w:ascii="Aptos" w:eastAsia="Times New Roman" w:hAnsi="Aptos" w:cs="Times New Roman"/>
          <w:sz w:val="25"/>
          <w:szCs w:val="25"/>
        </w:rPr>
        <w:t>] to relief’ requires more than labels and conclusions, and a formulaic recitation of the elements of a cause of action will not do”</w:t>
      </w:r>
      <w:r w:rsidRPr="00E27E63">
        <w:rPr>
          <w:rStyle w:val="FootnoteReference"/>
          <w:rFonts w:ascii="Aptos" w:eastAsia="Times New Roman" w:hAnsi="Aptos" w:cs="Times New Roman"/>
          <w:sz w:val="25"/>
          <w:szCs w:val="25"/>
        </w:rPr>
        <w:footnoteReference w:id="17"/>
      </w:r>
      <w:r w:rsidRPr="00E27E63">
        <w:rPr>
          <w:rFonts w:ascii="Aptos" w:eastAsia="Times New Roman" w:hAnsi="Aptos" w:cs="Times New Roman"/>
          <w:sz w:val="25"/>
          <w:szCs w:val="25"/>
        </w:rPr>
        <w:t xml:space="preserve">. </w:t>
      </w:r>
    </w:p>
    <w:p w14:paraId="2AF10D60" w14:textId="77777777" w:rsidR="00E27E63" w:rsidRPr="00E27E63" w:rsidRDefault="00E27E63" w:rsidP="00E27E63">
      <w:pPr>
        <w:shd w:val="clear" w:color="auto" w:fill="FFFFFF"/>
        <w:rPr>
          <w:rFonts w:ascii="Aptos" w:eastAsia="Times New Roman" w:hAnsi="Aptos" w:cs="Times New Roman"/>
          <w:sz w:val="25"/>
          <w:szCs w:val="25"/>
        </w:rPr>
      </w:pPr>
    </w:p>
    <w:p w14:paraId="7C9AED05" w14:textId="77777777" w:rsidR="00E27E63" w:rsidRPr="00E27E63" w:rsidRDefault="00E27E63" w:rsidP="00E27E63">
      <w:pPr>
        <w:shd w:val="clear" w:color="auto" w:fill="FFFFFF"/>
        <w:rPr>
          <w:rFonts w:ascii="Aptos" w:hAnsi="Aptos" w:cs="Times New Roman"/>
          <w:i/>
          <w:iCs/>
          <w:sz w:val="25"/>
          <w:szCs w:val="25"/>
        </w:rPr>
      </w:pPr>
      <w:r w:rsidRPr="00E27E63">
        <w:rPr>
          <w:rFonts w:ascii="Aptos" w:eastAsia="Times New Roman" w:hAnsi="Aptos" w:cs="Times New Roman"/>
          <w:i/>
          <w:iCs/>
          <w:sz w:val="25"/>
          <w:szCs w:val="25"/>
        </w:rPr>
        <w:t>B.</w:t>
      </w:r>
      <w:r w:rsidRPr="00E27E63">
        <w:rPr>
          <w:rFonts w:ascii="Aptos" w:eastAsia="Times New Roman" w:hAnsi="Aptos" w:cs="Times New Roman"/>
          <w:i/>
          <w:iCs/>
          <w:sz w:val="25"/>
          <w:szCs w:val="25"/>
        </w:rPr>
        <w:tab/>
      </w:r>
      <w:r w:rsidRPr="00E27E63">
        <w:rPr>
          <w:rFonts w:ascii="Aptos" w:hAnsi="Aptos" w:cs="Times New Roman"/>
          <w:i/>
          <w:iCs/>
          <w:sz w:val="25"/>
          <w:szCs w:val="25"/>
        </w:rPr>
        <w:t>Jurisdiction of BSEA.</w:t>
      </w:r>
    </w:p>
    <w:p w14:paraId="5E83CE27" w14:textId="77777777" w:rsidR="00E27E63" w:rsidRPr="00E27E63" w:rsidRDefault="00E27E63" w:rsidP="00E27E63">
      <w:pPr>
        <w:shd w:val="clear" w:color="auto" w:fill="FFFFFF"/>
        <w:rPr>
          <w:rFonts w:ascii="Aptos" w:hAnsi="Aptos" w:cs="Times New Roman"/>
          <w:i/>
          <w:iCs/>
          <w:sz w:val="25"/>
          <w:szCs w:val="25"/>
        </w:rPr>
      </w:pPr>
    </w:p>
    <w:p w14:paraId="01889965" w14:textId="77777777" w:rsidR="00E27E63" w:rsidRPr="00E27E63" w:rsidRDefault="00E27E63" w:rsidP="00E27E63">
      <w:pPr>
        <w:rPr>
          <w:rFonts w:ascii="Aptos" w:eastAsia="Times New Roman" w:hAnsi="Aptos" w:cs="Times New Roman"/>
          <w:bCs/>
          <w:color w:val="000000"/>
          <w:sz w:val="25"/>
          <w:szCs w:val="25"/>
        </w:rPr>
      </w:pPr>
      <w:r w:rsidRPr="00E27E63">
        <w:rPr>
          <w:rFonts w:ascii="Aptos" w:eastAsia="Times New Roman" w:hAnsi="Aptos" w:cs="Times New Roman"/>
          <w:bCs/>
          <w:color w:val="000000"/>
          <w:sz w:val="25"/>
          <w:szCs w:val="25"/>
        </w:rPr>
        <w:t>Unlike a court with general jurisdiction, the BSEA may consider only those claims for which enabling statutes and regulations expressly grant authority”</w:t>
      </w:r>
      <w:r w:rsidRPr="00E27E63">
        <w:rPr>
          <w:rStyle w:val="FootnoteReference"/>
          <w:rFonts w:ascii="Aptos" w:eastAsia="Times New Roman" w:hAnsi="Aptos" w:cs="Times New Roman"/>
          <w:bCs/>
          <w:color w:val="000000"/>
          <w:sz w:val="25"/>
          <w:szCs w:val="25"/>
        </w:rPr>
        <w:footnoteReference w:id="18"/>
      </w:r>
      <w:r w:rsidRPr="00E27E63">
        <w:rPr>
          <w:rFonts w:ascii="Aptos" w:eastAsia="Times New Roman" w:hAnsi="Aptos" w:cs="Times New Roman"/>
          <w:bCs/>
          <w:color w:val="000000"/>
          <w:sz w:val="25"/>
          <w:szCs w:val="25"/>
        </w:rPr>
        <w:t xml:space="preserve">.  Thus, claims that do not fall under these laws and regulations must be dismissed as beyond the jurisdictional authority of the BSEA.  </w:t>
      </w:r>
    </w:p>
    <w:p w14:paraId="70716864" w14:textId="77777777" w:rsidR="00E27E63" w:rsidRPr="00E27E63" w:rsidRDefault="00E27E63" w:rsidP="00E27E63">
      <w:pPr>
        <w:jc w:val="both"/>
        <w:rPr>
          <w:rFonts w:ascii="Aptos" w:eastAsia="Times New Roman" w:hAnsi="Aptos" w:cs="Times New Roman"/>
          <w:bCs/>
          <w:color w:val="000000"/>
          <w:sz w:val="25"/>
          <w:szCs w:val="25"/>
        </w:rPr>
      </w:pPr>
    </w:p>
    <w:p w14:paraId="49BEC714" w14:textId="77777777" w:rsidR="00E27E63" w:rsidRPr="00E27E63" w:rsidRDefault="00E27E63" w:rsidP="00E27E63">
      <w:pPr>
        <w:rPr>
          <w:rFonts w:ascii="Aptos" w:eastAsia="Times New Roman" w:hAnsi="Aptos" w:cs="Times New Roman"/>
          <w:bCs/>
          <w:color w:val="000000"/>
          <w:sz w:val="25"/>
          <w:szCs w:val="25"/>
        </w:rPr>
      </w:pPr>
      <w:r w:rsidRPr="00E27E63">
        <w:rPr>
          <w:rFonts w:ascii="Aptos" w:eastAsia="Times New Roman" w:hAnsi="Aptos" w:cs="Times New Roman"/>
          <w:bCs/>
          <w:color w:val="000000"/>
          <w:sz w:val="25"/>
          <w:szCs w:val="25"/>
        </w:rPr>
        <w:t>The IDEA grants parties the right to file timely complaints (within its two year statute of limitations</w:t>
      </w:r>
      <w:r w:rsidRPr="00E27E63">
        <w:rPr>
          <w:rStyle w:val="FootnoteReference"/>
          <w:rFonts w:ascii="Aptos" w:eastAsia="Times New Roman" w:hAnsi="Aptos" w:cs="Times New Roman"/>
          <w:bCs/>
          <w:color w:val="000000"/>
          <w:sz w:val="25"/>
          <w:szCs w:val="25"/>
        </w:rPr>
        <w:footnoteReference w:id="19"/>
      </w:r>
      <w:r w:rsidRPr="00E27E63">
        <w:rPr>
          <w:rFonts w:ascii="Aptos" w:eastAsia="Times New Roman" w:hAnsi="Aptos" w:cs="Times New Roman"/>
          <w:bCs/>
          <w:color w:val="000000"/>
          <w:sz w:val="25"/>
          <w:szCs w:val="25"/>
        </w:rPr>
        <w:t>) “with respect to any matter relating to the identification, evaluation or educational placement of the child, or the provision of a free appropriate public education to such child”</w:t>
      </w:r>
      <w:r w:rsidRPr="00E27E63">
        <w:rPr>
          <w:rStyle w:val="FootnoteReference"/>
          <w:rFonts w:ascii="Aptos" w:eastAsia="Times New Roman" w:hAnsi="Aptos" w:cs="Times New Roman"/>
          <w:bCs/>
          <w:color w:val="000000"/>
          <w:sz w:val="25"/>
          <w:szCs w:val="25"/>
        </w:rPr>
        <w:footnoteReference w:id="20"/>
      </w:r>
      <w:r w:rsidRPr="00E27E63">
        <w:rPr>
          <w:rFonts w:ascii="Aptos" w:eastAsia="Times New Roman" w:hAnsi="Aptos" w:cs="Times New Roman"/>
          <w:bCs/>
          <w:color w:val="000000"/>
          <w:sz w:val="25"/>
          <w:szCs w:val="25"/>
        </w:rPr>
        <w:t xml:space="preserve">.  Similarly, M.G.L. c. 71B §2A, establishing the BSEA, authorizes it to resolve special education disputes concerning, </w:t>
      </w:r>
    </w:p>
    <w:p w14:paraId="36E82E4C" w14:textId="77777777" w:rsidR="00E27E63" w:rsidRPr="00E27E63" w:rsidRDefault="00E27E63" w:rsidP="00E27E63">
      <w:pPr>
        <w:rPr>
          <w:rFonts w:ascii="Aptos" w:eastAsia="Times New Roman" w:hAnsi="Aptos" w:cs="Times New Roman"/>
          <w:bCs/>
          <w:color w:val="000000"/>
          <w:sz w:val="25"/>
          <w:szCs w:val="25"/>
        </w:rPr>
      </w:pPr>
    </w:p>
    <w:p w14:paraId="0444DFE5" w14:textId="77777777" w:rsidR="00E27E63" w:rsidRPr="00E27E63" w:rsidRDefault="00E27E63" w:rsidP="00E27E63">
      <w:pPr>
        <w:ind w:left="720" w:right="720"/>
        <w:jc w:val="both"/>
        <w:rPr>
          <w:rFonts w:ascii="Aptos" w:eastAsia="Times New Roman" w:hAnsi="Aptos" w:cs="Times New Roman"/>
          <w:bCs/>
          <w:color w:val="000000"/>
          <w:sz w:val="25"/>
          <w:szCs w:val="25"/>
        </w:rPr>
      </w:pPr>
      <w:r w:rsidRPr="00E27E63">
        <w:rPr>
          <w:rFonts w:ascii="Aptos" w:eastAsia="Times New Roman" w:hAnsi="Aptos" w:cs="Times New Roman"/>
          <w:bCs/>
          <w:color w:val="000000"/>
          <w:sz w:val="25"/>
          <w:szCs w:val="25"/>
        </w:rPr>
        <w:lastRenderedPageBreak/>
        <w:t>“…(i) any matter relating to the identification, evaluation, education program or educational placement of a child with a disability or the provision of a free and appropriate public education to the child arising under this chapter and regulations promulgated hereunder or under the [IDEA], 20 U.S.C. section 1400 et seq., and its regulations; or (ii) a student's rights under Section 504 of the Rehabilitation Act of 1973, 29 U.S.C. section 794, and its regulations”</w:t>
      </w:r>
      <w:r w:rsidRPr="00E27E63">
        <w:rPr>
          <w:rStyle w:val="FootnoteReference"/>
          <w:rFonts w:ascii="Aptos" w:eastAsia="Times New Roman" w:hAnsi="Aptos" w:cs="Times New Roman"/>
          <w:bCs/>
          <w:color w:val="000000"/>
          <w:sz w:val="25"/>
          <w:szCs w:val="25"/>
        </w:rPr>
        <w:footnoteReference w:id="21"/>
      </w:r>
      <w:r w:rsidRPr="00E27E63">
        <w:rPr>
          <w:rFonts w:ascii="Aptos" w:eastAsia="Times New Roman" w:hAnsi="Aptos" w:cs="Times New Roman"/>
          <w:bCs/>
          <w:color w:val="000000"/>
          <w:sz w:val="25"/>
          <w:szCs w:val="25"/>
        </w:rPr>
        <w:t xml:space="preserve">. </w:t>
      </w:r>
    </w:p>
    <w:p w14:paraId="614E1634" w14:textId="77777777" w:rsidR="00E27E63" w:rsidRPr="00E27E63" w:rsidRDefault="00E27E63" w:rsidP="00E27E63">
      <w:pPr>
        <w:jc w:val="both"/>
        <w:rPr>
          <w:rFonts w:ascii="Aptos" w:eastAsia="Times New Roman" w:hAnsi="Aptos" w:cs="Times New Roman"/>
          <w:bCs/>
          <w:color w:val="000000"/>
          <w:sz w:val="25"/>
          <w:szCs w:val="25"/>
        </w:rPr>
      </w:pPr>
    </w:p>
    <w:p w14:paraId="0BB6A3B5" w14:textId="77777777" w:rsidR="00E27E63" w:rsidRPr="00E27E63" w:rsidRDefault="00E27E63" w:rsidP="00E27E63">
      <w:pPr>
        <w:rPr>
          <w:rFonts w:ascii="Aptos" w:eastAsia="Times New Roman" w:hAnsi="Aptos" w:cs="Times New Roman"/>
          <w:bCs/>
          <w:color w:val="000000"/>
          <w:sz w:val="25"/>
          <w:szCs w:val="25"/>
        </w:rPr>
      </w:pPr>
      <w:r w:rsidRPr="00E27E63">
        <w:rPr>
          <w:rFonts w:ascii="Aptos" w:eastAsia="Times New Roman" w:hAnsi="Aptos" w:cs="Times New Roman"/>
          <w:bCs/>
          <w:color w:val="000000"/>
          <w:sz w:val="25"/>
          <w:szCs w:val="25"/>
        </w:rPr>
        <w:t xml:space="preserve">Further, as I recently explained in the </w:t>
      </w:r>
      <w:r w:rsidRPr="00E27E63">
        <w:rPr>
          <w:rFonts w:ascii="Aptos" w:eastAsia="Times New Roman" w:hAnsi="Aptos" w:cs="Times New Roman"/>
          <w:bCs/>
          <w:i/>
          <w:iCs/>
          <w:color w:val="000000"/>
          <w:sz w:val="25"/>
          <w:szCs w:val="25"/>
        </w:rPr>
        <w:t>Companion Ruling</w:t>
      </w:r>
      <w:r w:rsidRPr="00E27E63">
        <w:rPr>
          <w:rFonts w:ascii="Aptos" w:eastAsia="Times New Roman" w:hAnsi="Aptos" w:cs="Times New Roman"/>
          <w:bCs/>
          <w:color w:val="000000"/>
          <w:sz w:val="25"/>
          <w:szCs w:val="25"/>
        </w:rPr>
        <w:t>, under federal and state special education laws and regulations, special education eligible students with disabilities who are incarcerated in CHCs have a right to a FAPE and to receive special education services from DESE and local school districts, among other entities</w:t>
      </w:r>
      <w:r w:rsidRPr="00E27E63">
        <w:rPr>
          <w:rStyle w:val="FootnoteReference"/>
          <w:rFonts w:ascii="Aptos" w:eastAsia="Times New Roman" w:hAnsi="Aptos" w:cs="Times New Roman"/>
          <w:bCs/>
          <w:color w:val="000000"/>
          <w:sz w:val="25"/>
          <w:szCs w:val="25"/>
        </w:rPr>
        <w:footnoteReference w:id="22"/>
      </w:r>
      <w:r w:rsidRPr="00E27E63">
        <w:rPr>
          <w:rFonts w:ascii="Aptos" w:eastAsia="Times New Roman" w:hAnsi="Aptos" w:cs="Times New Roman"/>
          <w:bCs/>
          <w:color w:val="000000"/>
          <w:sz w:val="25"/>
          <w:szCs w:val="25"/>
        </w:rPr>
        <w:t>.  As in that case, while certain exceptions exist as to the applicability of some of the rights protected by the IDEA with respect to certain eligible students in adult correctional facilities, they do not apply here</w:t>
      </w:r>
      <w:r w:rsidRPr="00E27E63">
        <w:rPr>
          <w:rStyle w:val="FootnoteReference"/>
          <w:rFonts w:ascii="Aptos" w:eastAsia="Times New Roman" w:hAnsi="Aptos" w:cs="Times New Roman"/>
          <w:bCs/>
          <w:color w:val="000000"/>
          <w:sz w:val="25"/>
          <w:szCs w:val="25"/>
        </w:rPr>
        <w:footnoteReference w:id="23"/>
      </w:r>
      <w:r w:rsidRPr="00E27E63">
        <w:rPr>
          <w:rFonts w:ascii="Aptos" w:eastAsia="Times New Roman" w:hAnsi="Aptos" w:cs="Times New Roman"/>
          <w:bCs/>
          <w:color w:val="000000"/>
          <w:sz w:val="25"/>
          <w:szCs w:val="25"/>
        </w:rPr>
        <w:t xml:space="preserve">.  </w:t>
      </w:r>
    </w:p>
    <w:p w14:paraId="78B30FEC" w14:textId="77777777" w:rsidR="00E27E63" w:rsidRPr="00E27E63" w:rsidRDefault="00E27E63" w:rsidP="00E27E63">
      <w:pPr>
        <w:shd w:val="clear" w:color="auto" w:fill="FFFFFF"/>
        <w:spacing w:before="240"/>
        <w:rPr>
          <w:rFonts w:ascii="Aptos" w:eastAsia="Times New Roman" w:hAnsi="Aptos" w:cs="Times New Roman"/>
          <w:sz w:val="25"/>
          <w:szCs w:val="25"/>
        </w:rPr>
      </w:pPr>
      <w:r w:rsidRPr="00E27E63">
        <w:rPr>
          <w:rFonts w:ascii="Aptos" w:eastAsia="Times New Roman" w:hAnsi="Aptos" w:cs="Times New Roman"/>
          <w:sz w:val="25"/>
          <w:szCs w:val="25"/>
        </w:rPr>
        <w:t xml:space="preserve">Guided by this legal authority, I turn to the </w:t>
      </w:r>
      <w:r w:rsidRPr="00E27E63">
        <w:rPr>
          <w:rFonts w:ascii="Aptos" w:eastAsia="Times New Roman" w:hAnsi="Aptos" w:cs="Times New Roman"/>
          <w:i/>
          <w:iCs/>
          <w:sz w:val="25"/>
          <w:szCs w:val="25"/>
        </w:rPr>
        <w:t>Partial Motion</w:t>
      </w:r>
      <w:r w:rsidRPr="00E27E63">
        <w:rPr>
          <w:rFonts w:ascii="Aptos" w:eastAsia="Times New Roman" w:hAnsi="Aptos" w:cs="Times New Roman"/>
          <w:sz w:val="25"/>
          <w:szCs w:val="25"/>
        </w:rPr>
        <w:t>.</w:t>
      </w:r>
    </w:p>
    <w:p w14:paraId="0876C148" w14:textId="77777777" w:rsidR="00E27E63" w:rsidRPr="00E27E63" w:rsidRDefault="00E27E63" w:rsidP="00E27E63">
      <w:pPr>
        <w:shd w:val="clear" w:color="auto" w:fill="FFFFFF"/>
        <w:jc w:val="center"/>
        <w:rPr>
          <w:rFonts w:ascii="Aptos" w:eastAsia="Times New Roman" w:hAnsi="Aptos" w:cs="Times New Roman"/>
          <w:b/>
          <w:bCs/>
          <w:sz w:val="25"/>
          <w:szCs w:val="25"/>
        </w:rPr>
      </w:pPr>
    </w:p>
    <w:p w14:paraId="4EE1940A" w14:textId="77777777" w:rsidR="00E27E63" w:rsidRPr="00E27E63" w:rsidRDefault="00E27E63" w:rsidP="00E27E63">
      <w:pPr>
        <w:shd w:val="clear" w:color="auto" w:fill="FFFFFF"/>
        <w:jc w:val="center"/>
        <w:rPr>
          <w:rFonts w:ascii="Aptos" w:eastAsia="Times New Roman" w:hAnsi="Aptos" w:cs="Times New Roman"/>
          <w:sz w:val="25"/>
          <w:szCs w:val="25"/>
        </w:rPr>
      </w:pPr>
      <w:r w:rsidRPr="00E27E63">
        <w:rPr>
          <w:rFonts w:ascii="Aptos" w:eastAsia="Times New Roman" w:hAnsi="Aptos" w:cs="Times New Roman"/>
          <w:b/>
          <w:bCs/>
          <w:sz w:val="25"/>
          <w:szCs w:val="25"/>
        </w:rPr>
        <w:t>APPLICATION OF LEGAL STANDARDS</w:t>
      </w:r>
    </w:p>
    <w:p w14:paraId="3EF915E8" w14:textId="77777777" w:rsidR="00E27E63" w:rsidRPr="00E27E63" w:rsidRDefault="00E27E63" w:rsidP="00E27E63">
      <w:pPr>
        <w:shd w:val="clear" w:color="auto" w:fill="FFFFFF"/>
        <w:rPr>
          <w:rFonts w:ascii="Aptos" w:eastAsia="Times New Roman" w:hAnsi="Aptos" w:cs="Times New Roman"/>
          <w:sz w:val="25"/>
          <w:szCs w:val="25"/>
        </w:rPr>
      </w:pPr>
    </w:p>
    <w:p w14:paraId="74CA29B0"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t xml:space="preserve">After reviewing DESE’s </w:t>
      </w:r>
      <w:r w:rsidRPr="00E27E63">
        <w:rPr>
          <w:rFonts w:ascii="Aptos" w:eastAsia="Times New Roman" w:hAnsi="Aptos" w:cs="Times New Roman"/>
          <w:i/>
          <w:iCs/>
          <w:sz w:val="25"/>
          <w:szCs w:val="25"/>
        </w:rPr>
        <w:t xml:space="preserve">Partial Motion </w:t>
      </w:r>
      <w:r w:rsidRPr="00E27E63">
        <w:rPr>
          <w:rFonts w:ascii="Aptos" w:eastAsia="Times New Roman" w:hAnsi="Aptos" w:cs="Times New Roman"/>
          <w:sz w:val="25"/>
          <w:szCs w:val="25"/>
        </w:rPr>
        <w:t xml:space="preserve">and Student’s </w:t>
      </w:r>
      <w:r w:rsidRPr="00E27E63">
        <w:rPr>
          <w:rFonts w:ascii="Aptos" w:eastAsia="Times New Roman" w:hAnsi="Aptos" w:cs="Times New Roman"/>
          <w:i/>
          <w:iCs/>
          <w:sz w:val="25"/>
          <w:szCs w:val="25"/>
        </w:rPr>
        <w:t>Opposition</w:t>
      </w:r>
      <w:r w:rsidRPr="00E27E63">
        <w:rPr>
          <w:rFonts w:ascii="Aptos" w:eastAsia="Times New Roman" w:hAnsi="Aptos" w:cs="Times New Roman"/>
          <w:sz w:val="25"/>
          <w:szCs w:val="25"/>
        </w:rPr>
        <w:t xml:space="preserve">, as well as </w:t>
      </w:r>
      <w:r w:rsidRPr="00E27E63">
        <w:rPr>
          <w:rFonts w:ascii="Aptos" w:eastAsia="Times New Roman" w:hAnsi="Aptos" w:cs="Times New Roman"/>
          <w:i/>
          <w:iCs/>
          <w:sz w:val="25"/>
          <w:szCs w:val="25"/>
        </w:rPr>
        <w:t>DESE’s Supplemental Argument</w:t>
      </w:r>
      <w:r w:rsidRPr="00E27E63">
        <w:rPr>
          <w:rFonts w:ascii="Aptos" w:eastAsia="Times New Roman" w:hAnsi="Aptos" w:cs="Times New Roman"/>
          <w:sz w:val="25"/>
          <w:szCs w:val="25"/>
        </w:rPr>
        <w:t xml:space="preserve">, and </w:t>
      </w:r>
      <w:r w:rsidRPr="00E27E63">
        <w:rPr>
          <w:rFonts w:ascii="Aptos" w:eastAsia="Times New Roman" w:hAnsi="Aptos" w:cs="Times New Roman"/>
          <w:i/>
          <w:iCs/>
          <w:sz w:val="25"/>
          <w:szCs w:val="25"/>
        </w:rPr>
        <w:t>Student’s Reply</w:t>
      </w:r>
      <w:r w:rsidRPr="00E27E63">
        <w:rPr>
          <w:rStyle w:val="FootnoteReference"/>
          <w:rFonts w:ascii="Aptos" w:eastAsia="Times New Roman" w:hAnsi="Aptos" w:cs="Times New Roman"/>
          <w:i/>
          <w:iCs/>
          <w:sz w:val="25"/>
          <w:szCs w:val="25"/>
        </w:rPr>
        <w:footnoteReference w:id="24"/>
      </w:r>
      <w:r w:rsidRPr="00E27E63">
        <w:rPr>
          <w:rFonts w:ascii="Aptos" w:eastAsia="Times New Roman" w:hAnsi="Aptos" w:cs="Times New Roman"/>
          <w:i/>
          <w:iCs/>
          <w:sz w:val="25"/>
          <w:szCs w:val="25"/>
        </w:rPr>
        <w:t xml:space="preserve"> </w:t>
      </w:r>
      <w:r w:rsidRPr="00E27E63">
        <w:rPr>
          <w:rFonts w:ascii="Aptos" w:eastAsia="Times New Roman" w:hAnsi="Aptos" w:cs="Times New Roman"/>
          <w:sz w:val="25"/>
          <w:szCs w:val="25"/>
        </w:rPr>
        <w:t xml:space="preserve">in the light most favorable to Student, the non-moving party, I find that the BSEA lacks jurisdiction to consider the Systemic Claims for the reasons pertaining to the BSEA’s lack of subject matter jurisdiction over Systemic Claims explained in my </w:t>
      </w:r>
      <w:r w:rsidRPr="00E27E63">
        <w:rPr>
          <w:rFonts w:ascii="Aptos" w:eastAsia="Times New Roman" w:hAnsi="Aptos" w:cs="Times New Roman"/>
          <w:i/>
          <w:iCs/>
          <w:sz w:val="25"/>
          <w:szCs w:val="25"/>
        </w:rPr>
        <w:t>Companion Ruling</w:t>
      </w:r>
      <w:r w:rsidRPr="00E27E63">
        <w:rPr>
          <w:rFonts w:ascii="Aptos" w:eastAsia="Times New Roman" w:hAnsi="Aptos" w:cs="Times New Roman"/>
          <w:sz w:val="25"/>
          <w:szCs w:val="25"/>
        </w:rPr>
        <w:t xml:space="preserve">.  Reference is again made to my </w:t>
      </w:r>
      <w:r w:rsidRPr="00E27E63">
        <w:rPr>
          <w:rFonts w:ascii="Aptos" w:eastAsia="Times New Roman" w:hAnsi="Aptos" w:cs="Times New Roman"/>
          <w:i/>
          <w:iCs/>
          <w:sz w:val="25"/>
          <w:szCs w:val="25"/>
        </w:rPr>
        <w:t>Companion Ruling</w:t>
      </w:r>
      <w:r w:rsidRPr="00E27E63">
        <w:rPr>
          <w:rFonts w:ascii="Aptos" w:eastAsia="Times New Roman" w:hAnsi="Aptos" w:cs="Times New Roman"/>
          <w:sz w:val="25"/>
          <w:szCs w:val="25"/>
        </w:rPr>
        <w:t>, which is herein adopted and incorporated herein by reference</w:t>
      </w:r>
      <w:r w:rsidRPr="00E27E63">
        <w:rPr>
          <w:rStyle w:val="FootnoteReference"/>
          <w:rFonts w:ascii="Aptos" w:eastAsia="Times New Roman" w:hAnsi="Aptos" w:cs="Times New Roman"/>
          <w:sz w:val="25"/>
          <w:szCs w:val="25"/>
        </w:rPr>
        <w:footnoteReference w:id="25"/>
      </w:r>
      <w:r w:rsidRPr="00E27E63">
        <w:rPr>
          <w:rFonts w:ascii="Aptos" w:eastAsia="Times New Roman" w:hAnsi="Aptos" w:cs="Times New Roman"/>
          <w:sz w:val="25"/>
          <w:szCs w:val="25"/>
        </w:rPr>
        <w:t>.</w:t>
      </w:r>
    </w:p>
    <w:p w14:paraId="0AAE3EED" w14:textId="77777777" w:rsidR="00E27E63" w:rsidRPr="00E27E63" w:rsidRDefault="00E27E63" w:rsidP="00E27E63">
      <w:pPr>
        <w:shd w:val="clear" w:color="auto" w:fill="FFFFFF"/>
        <w:rPr>
          <w:rFonts w:ascii="Aptos" w:eastAsia="Times New Roman" w:hAnsi="Aptos" w:cs="Times New Roman"/>
          <w:sz w:val="25"/>
          <w:szCs w:val="25"/>
        </w:rPr>
      </w:pPr>
    </w:p>
    <w:p w14:paraId="59B0B27C" w14:textId="77777777" w:rsidR="00E27E63" w:rsidRPr="00E27E63" w:rsidRDefault="00E27E63" w:rsidP="00E27E63">
      <w:pPr>
        <w:shd w:val="clear" w:color="auto" w:fill="FFFFFF"/>
        <w:rPr>
          <w:rFonts w:ascii="Aptos" w:hAnsi="Aptos" w:cs="Times New Roman"/>
          <w:sz w:val="25"/>
          <w:szCs w:val="25"/>
        </w:rPr>
      </w:pPr>
      <w:r w:rsidRPr="00E27E63">
        <w:rPr>
          <w:rFonts w:ascii="Aptos" w:eastAsia="Times New Roman" w:hAnsi="Aptos" w:cs="Times New Roman"/>
          <w:sz w:val="25"/>
          <w:szCs w:val="25"/>
        </w:rPr>
        <w:t xml:space="preserve">To summarize my conclusions in said </w:t>
      </w:r>
      <w:r w:rsidRPr="00E27E63">
        <w:rPr>
          <w:rFonts w:ascii="Aptos" w:eastAsia="Times New Roman" w:hAnsi="Aptos" w:cs="Times New Roman"/>
          <w:i/>
          <w:iCs/>
          <w:sz w:val="25"/>
          <w:szCs w:val="25"/>
        </w:rPr>
        <w:t>Companion Ruling</w:t>
      </w:r>
      <w:r w:rsidRPr="00E27E63">
        <w:rPr>
          <w:rFonts w:ascii="Aptos" w:eastAsia="Times New Roman" w:hAnsi="Aptos" w:cs="Times New Roman"/>
          <w:sz w:val="25"/>
          <w:szCs w:val="25"/>
        </w:rPr>
        <w:t xml:space="preserve">, </w:t>
      </w:r>
      <w:r w:rsidRPr="00E27E63">
        <w:rPr>
          <w:rFonts w:ascii="Aptos" w:hAnsi="Aptos" w:cs="Times New Roman"/>
          <w:sz w:val="25"/>
          <w:szCs w:val="25"/>
        </w:rPr>
        <w:t xml:space="preserve">Student’s contention that there must be explicit legal exclusion of the BSEA authority over systemic claims </w:t>
      </w:r>
      <w:proofErr w:type="gramStart"/>
      <w:r w:rsidRPr="00E27E63">
        <w:rPr>
          <w:rFonts w:ascii="Aptos" w:hAnsi="Aptos" w:cs="Times New Roman"/>
          <w:sz w:val="25"/>
          <w:szCs w:val="25"/>
        </w:rPr>
        <w:t>in order for</w:t>
      </w:r>
      <w:proofErr w:type="gramEnd"/>
      <w:r w:rsidRPr="00E27E63">
        <w:rPr>
          <w:rFonts w:ascii="Aptos" w:hAnsi="Aptos" w:cs="Times New Roman"/>
          <w:sz w:val="25"/>
          <w:szCs w:val="25"/>
        </w:rPr>
        <w:t xml:space="preserve"> the BSEA to so lack such jurisdictional authority fails to consider that the BSEA is an agency of limited jurisdiction.  As such, rather than having its jurisdiction expressly excluded by law, the BSEA’s jurisdiction must be explicitly provided for by statute.  As the BSEA’s enabling legislation specifically references “the child” in the singular rather than plural</w:t>
      </w:r>
      <w:r w:rsidRPr="00E27E63">
        <w:rPr>
          <w:rStyle w:val="FootnoteReference"/>
          <w:rFonts w:ascii="Aptos" w:hAnsi="Aptos" w:cs="Times New Roman"/>
          <w:sz w:val="25"/>
          <w:szCs w:val="25"/>
        </w:rPr>
        <w:footnoteReference w:id="26"/>
      </w:r>
      <w:r w:rsidRPr="00E27E63">
        <w:rPr>
          <w:rFonts w:ascii="Aptos" w:hAnsi="Aptos" w:cs="Times New Roman"/>
          <w:sz w:val="25"/>
          <w:szCs w:val="25"/>
        </w:rPr>
        <w:t>, it is clear from this statute that the BSEA is only able to consider cases and claims on an individual student-specific basis, rather than cases or claims made on behalf of a group of students.  Further, I agree with the decisions of prior hearing officers, while not binding on me, that have concluded the BSEA lacks jurisdiction over systemic or class claims, and I find their reasoning to be both sound and appropriate</w:t>
      </w:r>
      <w:r w:rsidRPr="00E27E63">
        <w:rPr>
          <w:rStyle w:val="FootnoteReference"/>
          <w:rFonts w:ascii="Aptos" w:hAnsi="Aptos" w:cs="Times New Roman"/>
          <w:sz w:val="25"/>
          <w:szCs w:val="25"/>
        </w:rPr>
        <w:footnoteReference w:id="27"/>
      </w:r>
      <w:r w:rsidRPr="00E27E63">
        <w:rPr>
          <w:rFonts w:ascii="Aptos" w:hAnsi="Aptos" w:cs="Times New Roman"/>
          <w:sz w:val="25"/>
          <w:szCs w:val="25"/>
        </w:rPr>
        <w:t xml:space="preserve">.   </w:t>
      </w:r>
    </w:p>
    <w:p w14:paraId="6ABC1536" w14:textId="77777777" w:rsidR="00E27E63" w:rsidRPr="00E27E63" w:rsidRDefault="00E27E63" w:rsidP="00E27E63">
      <w:pPr>
        <w:spacing w:before="240"/>
        <w:rPr>
          <w:rFonts w:ascii="Aptos" w:hAnsi="Aptos" w:cs="Times New Roman"/>
          <w:sz w:val="25"/>
          <w:szCs w:val="25"/>
        </w:rPr>
      </w:pPr>
      <w:proofErr w:type="gramStart"/>
      <w:r w:rsidRPr="00E27E63">
        <w:rPr>
          <w:rFonts w:ascii="Aptos" w:hAnsi="Aptos" w:cs="Times New Roman"/>
          <w:sz w:val="25"/>
          <w:szCs w:val="25"/>
        </w:rPr>
        <w:t>With regard to</w:t>
      </w:r>
      <w:proofErr w:type="gramEnd"/>
      <w:r w:rsidRPr="00E27E63">
        <w:rPr>
          <w:rFonts w:ascii="Aptos" w:hAnsi="Aptos" w:cs="Times New Roman"/>
          <w:sz w:val="25"/>
          <w:szCs w:val="25"/>
        </w:rPr>
        <w:t xml:space="preserve"> Student’s argument that the BSEA has jurisdiction over the Systemic Claims, “as applied” to and “in the context of the matter of the Student who has initiated this hearing process”, however, I concur with Student that if such claims have been made, they are within the jurisdiction of the BSEA</w:t>
      </w:r>
      <w:r w:rsidRPr="00E27E63">
        <w:rPr>
          <w:rStyle w:val="FootnoteReference"/>
          <w:rFonts w:ascii="Aptos" w:hAnsi="Aptos" w:cs="Times New Roman"/>
          <w:sz w:val="25"/>
          <w:szCs w:val="25"/>
        </w:rPr>
        <w:footnoteReference w:id="28"/>
      </w:r>
      <w:r w:rsidRPr="00E27E63">
        <w:rPr>
          <w:rFonts w:ascii="Aptos" w:hAnsi="Aptos" w:cs="Times New Roman"/>
          <w:sz w:val="25"/>
          <w:szCs w:val="25"/>
        </w:rPr>
        <w:t xml:space="preserve">.  </w:t>
      </w:r>
      <w:r w:rsidRPr="00E27E63">
        <w:rPr>
          <w:rFonts w:ascii="Aptos" w:eastAsia="Times New Roman" w:hAnsi="Aptos" w:cs="Times New Roman"/>
          <w:sz w:val="25"/>
          <w:szCs w:val="25"/>
        </w:rPr>
        <w:t>The BSEA has jurisdiction to consider the application of the special education laws and regulations generally applicable to students with disabilities who are incarcerated in CHCs, in the context of the specific facts of an individual student’s circumstances.  The BSEA also has jurisdiction to consider the implementation of these laws and regulations with respect to a specific student, by the agencies and entities responsible for providing a FAPE to such students, including but not limited to DESE</w:t>
      </w:r>
      <w:r w:rsidRPr="00E27E63">
        <w:rPr>
          <w:rStyle w:val="FootnoteReference"/>
          <w:rFonts w:ascii="Aptos" w:eastAsia="Times New Roman" w:hAnsi="Aptos" w:cs="Times New Roman"/>
          <w:sz w:val="25"/>
          <w:szCs w:val="25"/>
        </w:rPr>
        <w:footnoteReference w:id="29"/>
      </w:r>
      <w:r w:rsidRPr="00E27E63">
        <w:rPr>
          <w:rFonts w:ascii="Aptos" w:eastAsia="Times New Roman" w:hAnsi="Aptos" w:cs="Times New Roman"/>
          <w:sz w:val="25"/>
          <w:szCs w:val="25"/>
        </w:rPr>
        <w:t xml:space="preserve">.    </w:t>
      </w:r>
    </w:p>
    <w:p w14:paraId="4C86B479" w14:textId="77777777" w:rsidR="00E27E63" w:rsidRPr="00E27E63" w:rsidRDefault="00E27E63" w:rsidP="00E27E63">
      <w:pPr>
        <w:rPr>
          <w:rFonts w:ascii="Aptos" w:hAnsi="Aptos" w:cs="Times New Roman"/>
          <w:sz w:val="25"/>
          <w:szCs w:val="25"/>
        </w:rPr>
      </w:pPr>
    </w:p>
    <w:p w14:paraId="66C66976" w14:textId="77777777" w:rsidR="00E27E63" w:rsidRPr="00E27E63" w:rsidRDefault="00E27E63" w:rsidP="00E27E63">
      <w:pPr>
        <w:rPr>
          <w:rFonts w:ascii="Aptos" w:eastAsia="Times New Roman" w:hAnsi="Aptos" w:cs="Times New Roman"/>
          <w:sz w:val="25"/>
          <w:szCs w:val="25"/>
        </w:rPr>
      </w:pPr>
      <w:r w:rsidRPr="00E27E63">
        <w:rPr>
          <w:rFonts w:ascii="Aptos" w:hAnsi="Aptos" w:cs="Times New Roman"/>
          <w:sz w:val="25"/>
          <w:szCs w:val="25"/>
        </w:rPr>
        <w:t xml:space="preserve">However, </w:t>
      </w:r>
      <w:r w:rsidRPr="00E27E63">
        <w:rPr>
          <w:rFonts w:ascii="Aptos" w:eastAsia="Times New Roman" w:hAnsi="Aptos" w:cs="Times New Roman"/>
          <w:sz w:val="25"/>
          <w:szCs w:val="25"/>
        </w:rPr>
        <w:t xml:space="preserve">despite considering the obligation to provide only “notice pleadings”, and viewing the phrasing of “Issues in Dispute” 4, 5 and 6 and “Requests for Relief” 3 and 4 in the light most favorable to Student, I do not find Student to have made individual claims within the Systemic Claims.  </w:t>
      </w:r>
      <w:r w:rsidRPr="00E27E63">
        <w:rPr>
          <w:rFonts w:ascii="Aptos" w:hAnsi="Aptos" w:cs="Times New Roman"/>
          <w:sz w:val="25"/>
          <w:szCs w:val="25"/>
        </w:rPr>
        <w:t xml:space="preserve"> None of the language used in setting forth these Systemic Claims (quoted in footnote 3, </w:t>
      </w:r>
      <w:r w:rsidRPr="00E27E63">
        <w:rPr>
          <w:rFonts w:ascii="Aptos" w:hAnsi="Aptos" w:cs="Times New Roman"/>
          <w:i/>
          <w:iCs/>
          <w:sz w:val="25"/>
          <w:szCs w:val="25"/>
        </w:rPr>
        <w:t>supra</w:t>
      </w:r>
      <w:r w:rsidRPr="00E27E63">
        <w:rPr>
          <w:rFonts w:ascii="Aptos" w:hAnsi="Aptos" w:cs="Times New Roman"/>
          <w:sz w:val="25"/>
          <w:szCs w:val="25"/>
        </w:rPr>
        <w:t xml:space="preserve">), involves allegations specific to Student, or otherwise references, in any way, Student specifically.  Given this, while, if properly pled, there may be reasons to support maintaining the Systemic Claims “as applied” to Student, here I am unable to </w:t>
      </w:r>
      <w:r w:rsidRPr="00E27E63">
        <w:rPr>
          <w:rFonts w:ascii="Aptos" w:hAnsi="Aptos" w:cs="Times New Roman"/>
          <w:sz w:val="25"/>
          <w:szCs w:val="25"/>
        </w:rPr>
        <w:lastRenderedPageBreak/>
        <w:t xml:space="preserve">consider Student’s arguments for doing so, as </w:t>
      </w:r>
      <w:r w:rsidRPr="00E27E63">
        <w:rPr>
          <w:rFonts w:ascii="Aptos" w:eastAsia="Times New Roman" w:hAnsi="Aptos" w:cs="Times New Roman"/>
          <w:sz w:val="25"/>
          <w:szCs w:val="25"/>
        </w:rPr>
        <w:t xml:space="preserve">I do not find the Systemic Claims as drafted to be specific to Student.  </w:t>
      </w:r>
    </w:p>
    <w:p w14:paraId="64C8B619" w14:textId="77777777" w:rsidR="00E27E63" w:rsidRPr="00E27E63" w:rsidRDefault="00E27E63" w:rsidP="00E27E63">
      <w:pPr>
        <w:rPr>
          <w:rFonts w:ascii="Aptos" w:eastAsia="Times New Roman" w:hAnsi="Aptos" w:cs="Times New Roman"/>
          <w:sz w:val="25"/>
          <w:szCs w:val="25"/>
        </w:rPr>
      </w:pPr>
    </w:p>
    <w:p w14:paraId="02FEBBF2" w14:textId="77777777" w:rsidR="00E27E63" w:rsidRPr="00E27E63" w:rsidRDefault="00E27E63" w:rsidP="00E27E63">
      <w:pPr>
        <w:rPr>
          <w:rFonts w:ascii="Aptos" w:hAnsi="Aptos" w:cs="Times New Roman"/>
          <w:sz w:val="25"/>
          <w:szCs w:val="25"/>
        </w:rPr>
      </w:pPr>
      <w:r w:rsidRPr="00E27E63">
        <w:rPr>
          <w:rFonts w:ascii="Aptos" w:eastAsia="Times New Roman" w:hAnsi="Aptos" w:cs="Times New Roman"/>
          <w:sz w:val="25"/>
          <w:szCs w:val="25"/>
        </w:rPr>
        <w:t xml:space="preserve">This </w:t>
      </w:r>
      <w:r w:rsidRPr="00E27E63">
        <w:rPr>
          <w:rFonts w:ascii="Aptos" w:hAnsi="Aptos" w:cs="Times New Roman"/>
          <w:i/>
          <w:iCs/>
          <w:sz w:val="25"/>
          <w:szCs w:val="25"/>
        </w:rPr>
        <w:t xml:space="preserve">Ruling, </w:t>
      </w:r>
      <w:r w:rsidRPr="00E27E63">
        <w:rPr>
          <w:rFonts w:ascii="Aptos" w:hAnsi="Aptos" w:cs="Times New Roman"/>
          <w:sz w:val="25"/>
          <w:szCs w:val="25"/>
        </w:rPr>
        <w:t xml:space="preserve">therefore, is limited to analysis of the Systemic Claims as presented – i.e., from a class-based perspective.  Should the </w:t>
      </w:r>
      <w:r w:rsidRPr="00E27E63">
        <w:rPr>
          <w:rFonts w:ascii="Aptos" w:hAnsi="Aptos" w:cs="Times New Roman"/>
          <w:i/>
          <w:iCs/>
          <w:sz w:val="25"/>
          <w:szCs w:val="25"/>
        </w:rPr>
        <w:t xml:space="preserve">Hearing Request </w:t>
      </w:r>
      <w:r w:rsidRPr="00E27E63">
        <w:rPr>
          <w:rFonts w:ascii="Aptos" w:hAnsi="Aptos" w:cs="Times New Roman"/>
          <w:sz w:val="25"/>
          <w:szCs w:val="25"/>
        </w:rPr>
        <w:t>be amended to add claims specific only to Student, as opposed to all students with disabilities who are incarcerated in adult CHCs, then, such new claims would resolve the jurisdictional issues with the Systemic Claims</w:t>
      </w:r>
      <w:r w:rsidRPr="00E27E63">
        <w:rPr>
          <w:rStyle w:val="FootnoteReference"/>
          <w:rFonts w:ascii="Aptos" w:hAnsi="Aptos" w:cs="Times New Roman"/>
          <w:sz w:val="25"/>
          <w:szCs w:val="25"/>
        </w:rPr>
        <w:footnoteReference w:id="30"/>
      </w:r>
      <w:r w:rsidRPr="00E27E63">
        <w:rPr>
          <w:rFonts w:ascii="Aptos" w:hAnsi="Aptos" w:cs="Times New Roman"/>
          <w:sz w:val="25"/>
          <w:szCs w:val="25"/>
        </w:rPr>
        <w:t xml:space="preserve">.  However, as no such amendment has occurred, to date, the Systemic Claims, as presented, are hereby </w:t>
      </w:r>
      <w:r w:rsidRPr="00E27E63">
        <w:rPr>
          <w:rFonts w:ascii="Aptos" w:hAnsi="Aptos" w:cs="Times New Roman"/>
          <w:b/>
          <w:bCs/>
          <w:sz w:val="25"/>
          <w:szCs w:val="25"/>
        </w:rPr>
        <w:t>Dismissed with prejudice</w:t>
      </w:r>
      <w:r w:rsidRPr="00E27E63">
        <w:rPr>
          <w:rFonts w:ascii="Aptos" w:hAnsi="Aptos" w:cs="Times New Roman"/>
          <w:sz w:val="25"/>
          <w:szCs w:val="25"/>
        </w:rPr>
        <w:t xml:space="preserve">.  </w:t>
      </w:r>
    </w:p>
    <w:p w14:paraId="017CE4BF" w14:textId="77777777" w:rsidR="00E27E63" w:rsidRPr="00E27E63" w:rsidRDefault="00E27E63" w:rsidP="00E27E63">
      <w:pPr>
        <w:shd w:val="clear" w:color="auto" w:fill="FFFFFF"/>
        <w:jc w:val="center"/>
        <w:rPr>
          <w:rFonts w:ascii="Aptos" w:eastAsia="Times New Roman" w:hAnsi="Aptos" w:cs="Times New Roman"/>
          <w:b/>
          <w:bCs/>
          <w:sz w:val="25"/>
          <w:szCs w:val="25"/>
        </w:rPr>
      </w:pPr>
    </w:p>
    <w:p w14:paraId="2F601ED9" w14:textId="77777777" w:rsidR="00E27E63" w:rsidRPr="00E27E63" w:rsidRDefault="00E27E63" w:rsidP="00E27E63">
      <w:pPr>
        <w:shd w:val="clear" w:color="auto" w:fill="FFFFFF"/>
        <w:jc w:val="center"/>
        <w:rPr>
          <w:rFonts w:ascii="Aptos" w:eastAsia="Times New Roman" w:hAnsi="Aptos" w:cs="Times New Roman"/>
          <w:b/>
          <w:bCs/>
          <w:sz w:val="25"/>
          <w:szCs w:val="25"/>
        </w:rPr>
      </w:pPr>
      <w:r w:rsidRPr="00E27E63">
        <w:rPr>
          <w:rFonts w:ascii="Aptos" w:eastAsia="Times New Roman" w:hAnsi="Aptos" w:cs="Times New Roman"/>
          <w:b/>
          <w:bCs/>
          <w:sz w:val="25"/>
          <w:szCs w:val="25"/>
        </w:rPr>
        <w:t>ORDER</w:t>
      </w:r>
    </w:p>
    <w:p w14:paraId="158C42CB" w14:textId="77777777" w:rsidR="00E27E63" w:rsidRPr="00E27E63" w:rsidRDefault="00E27E63" w:rsidP="00E27E63">
      <w:pPr>
        <w:shd w:val="clear" w:color="auto" w:fill="FFFFFF"/>
        <w:jc w:val="center"/>
        <w:rPr>
          <w:rFonts w:ascii="Aptos" w:eastAsia="Times New Roman" w:hAnsi="Aptos" w:cs="Times New Roman"/>
          <w:sz w:val="25"/>
          <w:szCs w:val="25"/>
        </w:rPr>
      </w:pPr>
    </w:p>
    <w:p w14:paraId="40EB35E2"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t xml:space="preserve">The </w:t>
      </w:r>
      <w:r w:rsidRPr="00E27E63">
        <w:rPr>
          <w:rFonts w:ascii="Aptos" w:eastAsia="Times New Roman" w:hAnsi="Aptos" w:cs="Times New Roman"/>
          <w:i/>
          <w:iCs/>
          <w:sz w:val="25"/>
          <w:szCs w:val="25"/>
        </w:rPr>
        <w:t xml:space="preserve">Partial Motion </w:t>
      </w:r>
      <w:r w:rsidRPr="00E27E63">
        <w:rPr>
          <w:rFonts w:ascii="Aptos" w:eastAsia="Times New Roman" w:hAnsi="Aptos" w:cs="Times New Roman"/>
          <w:sz w:val="25"/>
          <w:szCs w:val="25"/>
        </w:rPr>
        <w:t xml:space="preserve">is </w:t>
      </w:r>
      <w:r w:rsidRPr="00E27E63">
        <w:rPr>
          <w:rFonts w:ascii="Aptos" w:eastAsia="Times New Roman" w:hAnsi="Aptos" w:cs="Times New Roman"/>
          <w:b/>
          <w:bCs/>
          <w:sz w:val="25"/>
          <w:szCs w:val="25"/>
        </w:rPr>
        <w:t>ALLOWED</w:t>
      </w:r>
      <w:r w:rsidRPr="00E27E63">
        <w:rPr>
          <w:rFonts w:ascii="Aptos" w:eastAsia="Times New Roman" w:hAnsi="Aptos" w:cs="Times New Roman"/>
          <w:sz w:val="25"/>
          <w:szCs w:val="25"/>
        </w:rPr>
        <w:t xml:space="preserve">.  “Issues in Dispute” 4, 5 and 6 and “Requests for Relief” 3 and 4 of the </w:t>
      </w:r>
      <w:r w:rsidRPr="00E27E63">
        <w:rPr>
          <w:rFonts w:ascii="Aptos" w:eastAsia="Times New Roman" w:hAnsi="Aptos" w:cs="Times New Roman"/>
          <w:i/>
          <w:iCs/>
          <w:sz w:val="25"/>
          <w:szCs w:val="25"/>
        </w:rPr>
        <w:t>Hearing Request</w:t>
      </w:r>
      <w:r w:rsidRPr="00E27E63">
        <w:rPr>
          <w:rFonts w:ascii="Aptos" w:eastAsia="Times New Roman" w:hAnsi="Aptos" w:cs="Times New Roman"/>
          <w:sz w:val="25"/>
          <w:szCs w:val="25"/>
        </w:rPr>
        <w:t xml:space="preserve"> are </w:t>
      </w:r>
      <w:r w:rsidRPr="00E27E63">
        <w:rPr>
          <w:rFonts w:ascii="Aptos" w:eastAsia="Times New Roman" w:hAnsi="Aptos" w:cs="Times New Roman"/>
          <w:b/>
          <w:bCs/>
          <w:sz w:val="25"/>
          <w:szCs w:val="25"/>
        </w:rPr>
        <w:t>DISMISSED with prejudice</w:t>
      </w:r>
      <w:r w:rsidRPr="00E27E63">
        <w:rPr>
          <w:rFonts w:ascii="Aptos" w:eastAsia="Times New Roman" w:hAnsi="Aptos" w:cs="Times New Roman"/>
          <w:sz w:val="25"/>
          <w:szCs w:val="25"/>
        </w:rPr>
        <w:t>, as presented.</w:t>
      </w:r>
    </w:p>
    <w:p w14:paraId="1A7EEFEA" w14:textId="77777777" w:rsidR="00E27E63" w:rsidRPr="00E27E63" w:rsidRDefault="00E27E63" w:rsidP="00E27E63">
      <w:pPr>
        <w:shd w:val="clear" w:color="auto" w:fill="FFFFFF"/>
        <w:rPr>
          <w:rFonts w:ascii="Aptos" w:eastAsia="Times New Roman" w:hAnsi="Aptos" w:cs="Times New Roman"/>
          <w:sz w:val="25"/>
          <w:szCs w:val="25"/>
        </w:rPr>
      </w:pPr>
    </w:p>
    <w:p w14:paraId="12C6A6D9"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t xml:space="preserve">Only the following issues remain for hearing in this matter </w:t>
      </w:r>
      <w:proofErr w:type="gramStart"/>
      <w:r w:rsidRPr="00E27E63">
        <w:rPr>
          <w:rFonts w:ascii="Aptos" w:eastAsia="Times New Roman" w:hAnsi="Aptos" w:cs="Times New Roman"/>
          <w:sz w:val="25"/>
          <w:szCs w:val="25"/>
        </w:rPr>
        <w:t>at this time</w:t>
      </w:r>
      <w:proofErr w:type="gramEnd"/>
      <w:r w:rsidRPr="00E27E63">
        <w:rPr>
          <w:rFonts w:ascii="Aptos" w:eastAsia="Times New Roman" w:hAnsi="Aptos" w:cs="Times New Roman"/>
          <w:sz w:val="25"/>
          <w:szCs w:val="25"/>
        </w:rPr>
        <w:t>:</w:t>
      </w:r>
    </w:p>
    <w:p w14:paraId="69FB8734" w14:textId="77777777" w:rsidR="00E27E63" w:rsidRPr="00E27E63" w:rsidRDefault="00E27E63" w:rsidP="00E27E63">
      <w:pPr>
        <w:shd w:val="clear" w:color="auto" w:fill="FFFFFF"/>
        <w:rPr>
          <w:rFonts w:ascii="Aptos" w:eastAsia="Times New Roman" w:hAnsi="Aptos" w:cs="Times New Roman"/>
          <w:sz w:val="25"/>
          <w:szCs w:val="25"/>
        </w:rPr>
      </w:pPr>
    </w:p>
    <w:p w14:paraId="717ED4D1" w14:textId="77777777" w:rsidR="00E27E63" w:rsidRPr="00E27E63" w:rsidRDefault="00E27E63" w:rsidP="00E27E63">
      <w:pPr>
        <w:pStyle w:val="ListParagraph"/>
        <w:numPr>
          <w:ilvl w:val="0"/>
          <w:numId w:val="2"/>
        </w:numPr>
        <w:shd w:val="clear" w:color="auto" w:fill="FFFFFF"/>
        <w:rPr>
          <w:rFonts w:ascii="Aptos" w:eastAsia="Times New Roman" w:hAnsi="Aptos" w:cs="Times New Roman"/>
          <w:sz w:val="25"/>
          <w:szCs w:val="25"/>
        </w:rPr>
      </w:pPr>
      <w:r w:rsidRPr="00E27E63">
        <w:rPr>
          <w:rFonts w:ascii="Aptos" w:hAnsi="Aptos" w:cs="Times New Roman"/>
          <w:sz w:val="25"/>
          <w:szCs w:val="25"/>
        </w:rPr>
        <w:t>Whether Student is entitled to receive “stay put” services under his last IEP</w:t>
      </w:r>
      <w:r w:rsidRPr="00E27E63">
        <w:rPr>
          <w:rStyle w:val="FootnoteReference"/>
          <w:rFonts w:ascii="Aptos" w:hAnsi="Aptos" w:cs="Times New Roman"/>
          <w:sz w:val="25"/>
          <w:szCs w:val="25"/>
        </w:rPr>
        <w:footnoteReference w:id="31"/>
      </w:r>
      <w:r w:rsidRPr="00E27E63">
        <w:rPr>
          <w:rFonts w:ascii="Aptos" w:hAnsi="Aptos" w:cs="Times New Roman"/>
          <w:sz w:val="25"/>
          <w:szCs w:val="25"/>
        </w:rPr>
        <w:t xml:space="preserve">; </w:t>
      </w:r>
    </w:p>
    <w:p w14:paraId="29B74A97" w14:textId="77777777" w:rsidR="00E27E63" w:rsidRPr="00E27E63" w:rsidRDefault="00E27E63" w:rsidP="00E27E63">
      <w:pPr>
        <w:pStyle w:val="ListParagraph"/>
        <w:numPr>
          <w:ilvl w:val="0"/>
          <w:numId w:val="2"/>
        </w:numPr>
        <w:shd w:val="clear" w:color="auto" w:fill="FFFFFF"/>
        <w:rPr>
          <w:rFonts w:ascii="Aptos" w:eastAsia="Times New Roman" w:hAnsi="Aptos" w:cs="Times New Roman"/>
          <w:sz w:val="25"/>
          <w:szCs w:val="25"/>
        </w:rPr>
      </w:pPr>
      <w:r w:rsidRPr="00E27E63">
        <w:rPr>
          <w:rFonts w:ascii="Aptos" w:hAnsi="Aptos" w:cs="Times New Roman"/>
          <w:sz w:val="25"/>
          <w:szCs w:val="25"/>
        </w:rPr>
        <w:t xml:space="preserve">Whether Student is entitled to compensatory services since March 10, 2022; and </w:t>
      </w:r>
    </w:p>
    <w:p w14:paraId="77B555A6" w14:textId="77777777" w:rsidR="00E27E63" w:rsidRPr="00E27E63" w:rsidRDefault="00E27E63" w:rsidP="00E27E63">
      <w:pPr>
        <w:pStyle w:val="ListParagraph"/>
        <w:numPr>
          <w:ilvl w:val="0"/>
          <w:numId w:val="2"/>
        </w:numPr>
        <w:shd w:val="clear" w:color="auto" w:fill="FFFFFF"/>
        <w:rPr>
          <w:rFonts w:ascii="Aptos" w:eastAsia="Times New Roman" w:hAnsi="Aptos" w:cs="Times New Roman"/>
          <w:sz w:val="25"/>
          <w:szCs w:val="25"/>
        </w:rPr>
      </w:pPr>
      <w:r w:rsidRPr="00E27E63">
        <w:rPr>
          <w:rFonts w:ascii="Aptos" w:hAnsi="Aptos" w:cs="Times New Roman"/>
          <w:sz w:val="25"/>
          <w:szCs w:val="25"/>
        </w:rPr>
        <w:t xml:space="preserve">Whether Student is entitled to direct special education services from DESE pursuant to M.G.L. c. 71B §11A.  </w:t>
      </w:r>
    </w:p>
    <w:p w14:paraId="02A3B67F" w14:textId="77777777" w:rsidR="00E27E63" w:rsidRPr="00E27E63" w:rsidRDefault="00E27E63" w:rsidP="00E27E63">
      <w:pPr>
        <w:shd w:val="clear" w:color="auto" w:fill="FFFFFF"/>
        <w:rPr>
          <w:rFonts w:ascii="Aptos" w:eastAsia="Times New Roman" w:hAnsi="Aptos" w:cs="Times New Roman"/>
          <w:sz w:val="25"/>
          <w:szCs w:val="25"/>
        </w:rPr>
      </w:pPr>
    </w:p>
    <w:p w14:paraId="5D9CDCE8"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t xml:space="preserve">As per the agreement of the Parties at the Motion Hearing, Student may file an </w:t>
      </w:r>
      <w:r w:rsidRPr="00E27E63">
        <w:rPr>
          <w:rFonts w:ascii="Aptos" w:eastAsia="Times New Roman" w:hAnsi="Aptos" w:cs="Times New Roman"/>
          <w:i/>
          <w:iCs/>
          <w:sz w:val="25"/>
          <w:szCs w:val="25"/>
        </w:rPr>
        <w:t>Amended Hearing Request</w:t>
      </w:r>
      <w:r w:rsidRPr="00E27E63">
        <w:rPr>
          <w:rFonts w:ascii="Aptos" w:eastAsia="Times New Roman" w:hAnsi="Aptos" w:cs="Times New Roman"/>
          <w:sz w:val="25"/>
          <w:szCs w:val="25"/>
        </w:rPr>
        <w:t xml:space="preserve"> to raise, only on a Student-specific basis, the claims made in Issues 4 and 5</w:t>
      </w:r>
      <w:r w:rsidRPr="00E27E63">
        <w:rPr>
          <w:rStyle w:val="FootnoteReference"/>
          <w:rFonts w:ascii="Aptos" w:hAnsi="Aptos" w:cs="Times New Roman"/>
          <w:sz w:val="25"/>
          <w:szCs w:val="25"/>
        </w:rPr>
        <w:footnoteReference w:id="32"/>
      </w:r>
      <w:r w:rsidRPr="00E27E63">
        <w:rPr>
          <w:rFonts w:ascii="Aptos" w:eastAsia="Times New Roman" w:hAnsi="Aptos" w:cs="Times New Roman"/>
          <w:sz w:val="25"/>
          <w:szCs w:val="25"/>
        </w:rPr>
        <w:t xml:space="preserve"> on or before the close of the business day on August 7, 2024.  DESE and Boston shall advise if they intend to object to the </w:t>
      </w:r>
      <w:r w:rsidRPr="00E27E63">
        <w:rPr>
          <w:rFonts w:ascii="Aptos" w:eastAsia="Times New Roman" w:hAnsi="Aptos" w:cs="Times New Roman"/>
          <w:i/>
          <w:iCs/>
          <w:sz w:val="25"/>
          <w:szCs w:val="25"/>
        </w:rPr>
        <w:t xml:space="preserve">Amended Hearing Request </w:t>
      </w:r>
      <w:r w:rsidRPr="00E27E63">
        <w:rPr>
          <w:rFonts w:ascii="Aptos" w:eastAsia="Times New Roman" w:hAnsi="Aptos" w:cs="Times New Roman"/>
          <w:sz w:val="25"/>
          <w:szCs w:val="25"/>
        </w:rPr>
        <w:t xml:space="preserve">within two business days thereafter (i.e., on or before the close of the business day on August 9, 2024, assuming the </w:t>
      </w:r>
      <w:r w:rsidRPr="00E27E63">
        <w:rPr>
          <w:rFonts w:ascii="Aptos" w:eastAsia="Times New Roman" w:hAnsi="Aptos" w:cs="Times New Roman"/>
          <w:i/>
          <w:iCs/>
          <w:sz w:val="25"/>
          <w:szCs w:val="25"/>
        </w:rPr>
        <w:t>Amended Hearing Request</w:t>
      </w:r>
      <w:r w:rsidRPr="00E27E63">
        <w:rPr>
          <w:rFonts w:ascii="Aptos" w:eastAsia="Times New Roman" w:hAnsi="Aptos" w:cs="Times New Roman"/>
          <w:sz w:val="25"/>
          <w:szCs w:val="25"/>
        </w:rPr>
        <w:t xml:space="preserve"> is filed on August 7, 2024).   </w:t>
      </w:r>
    </w:p>
    <w:p w14:paraId="65D3A804" w14:textId="77777777" w:rsidR="00E27E63" w:rsidRPr="00E27E63" w:rsidRDefault="00E27E63" w:rsidP="00E27E63">
      <w:pPr>
        <w:shd w:val="clear" w:color="auto" w:fill="FFFFFF"/>
        <w:rPr>
          <w:rFonts w:ascii="Aptos" w:eastAsia="Times New Roman" w:hAnsi="Aptos" w:cs="Times New Roman"/>
          <w:sz w:val="25"/>
          <w:szCs w:val="25"/>
        </w:rPr>
      </w:pPr>
    </w:p>
    <w:p w14:paraId="03E19C57" w14:textId="77777777" w:rsidR="00E27E63" w:rsidRPr="00E27E63" w:rsidRDefault="00E27E63" w:rsidP="00E27E63">
      <w:pPr>
        <w:rPr>
          <w:rFonts w:ascii="Aptos" w:hAnsi="Aptos" w:cs="Times New Roman"/>
          <w:sz w:val="25"/>
          <w:szCs w:val="25"/>
        </w:rPr>
      </w:pPr>
      <w:r w:rsidRPr="00E27E63">
        <w:rPr>
          <w:rFonts w:ascii="Aptos" w:eastAsia="Times New Roman" w:hAnsi="Aptos" w:cs="Times New Roman"/>
          <w:sz w:val="25"/>
          <w:szCs w:val="25"/>
        </w:rPr>
        <w:t xml:space="preserve">Accordingly, this matter shall proceed to Hearing on </w:t>
      </w:r>
      <w:r w:rsidRPr="00E27E63">
        <w:rPr>
          <w:rFonts w:ascii="Aptos" w:hAnsi="Aptos" w:cs="Times New Roman"/>
          <w:sz w:val="25"/>
          <w:szCs w:val="25"/>
        </w:rPr>
        <w:t xml:space="preserve">September 23, 24 and 25, 2024 as per my July 17, 2024, </w:t>
      </w:r>
      <w:r w:rsidRPr="00E27E63">
        <w:rPr>
          <w:rFonts w:ascii="Aptos" w:hAnsi="Aptos" w:cs="Times New Roman"/>
          <w:i/>
          <w:iCs/>
          <w:sz w:val="25"/>
          <w:szCs w:val="25"/>
        </w:rPr>
        <w:t>Ruling</w:t>
      </w:r>
      <w:r w:rsidRPr="00E27E63">
        <w:rPr>
          <w:rFonts w:ascii="Aptos" w:hAnsi="Aptos" w:cs="Times New Roman"/>
          <w:sz w:val="25"/>
          <w:szCs w:val="25"/>
        </w:rPr>
        <w:t>.</w:t>
      </w:r>
    </w:p>
    <w:p w14:paraId="013764E4" w14:textId="77777777" w:rsidR="00E27E63" w:rsidRPr="00E27E63" w:rsidRDefault="00E27E63" w:rsidP="00E27E63">
      <w:pPr>
        <w:shd w:val="clear" w:color="auto" w:fill="FFFFFF"/>
        <w:rPr>
          <w:rFonts w:ascii="Aptos" w:eastAsia="Times New Roman" w:hAnsi="Aptos" w:cs="Times New Roman"/>
          <w:sz w:val="25"/>
          <w:szCs w:val="25"/>
        </w:rPr>
      </w:pPr>
    </w:p>
    <w:p w14:paraId="4526238B"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rPr>
        <w:t xml:space="preserve">By the Hearing Officer, </w:t>
      </w:r>
    </w:p>
    <w:p w14:paraId="632E657C" w14:textId="77777777" w:rsidR="00E27E63" w:rsidRPr="00E27E63" w:rsidRDefault="00E27E63" w:rsidP="00E27E63">
      <w:pPr>
        <w:shd w:val="clear" w:color="auto" w:fill="FFFFFF"/>
        <w:rPr>
          <w:rFonts w:ascii="Aptos" w:eastAsia="Times New Roman" w:hAnsi="Aptos" w:cs="Times New Roman"/>
          <w:sz w:val="25"/>
          <w:szCs w:val="25"/>
          <w:u w:val="single"/>
        </w:rPr>
      </w:pPr>
    </w:p>
    <w:p w14:paraId="05F83120" w14:textId="77777777" w:rsidR="00E27E63" w:rsidRPr="00E27E63" w:rsidRDefault="00E27E63" w:rsidP="00E27E63">
      <w:pPr>
        <w:shd w:val="clear" w:color="auto" w:fill="FFFFFF"/>
        <w:rPr>
          <w:rFonts w:ascii="Aptos" w:eastAsia="Times New Roman" w:hAnsi="Aptos" w:cs="Times New Roman"/>
          <w:sz w:val="25"/>
          <w:szCs w:val="25"/>
        </w:rPr>
      </w:pPr>
      <w:r w:rsidRPr="00E27E63">
        <w:rPr>
          <w:rFonts w:ascii="Aptos" w:eastAsia="Times New Roman" w:hAnsi="Aptos" w:cs="Times New Roman"/>
          <w:sz w:val="25"/>
          <w:szCs w:val="25"/>
          <w:u w:val="single"/>
        </w:rPr>
        <w:t>/s/ </w:t>
      </w:r>
      <w:r w:rsidRPr="00E27E63">
        <w:rPr>
          <w:rFonts w:ascii="Lucida Handwriting" w:eastAsia="Times New Roman" w:hAnsi="Lucida Handwriting" w:cs="Times New Roman"/>
          <w:sz w:val="25"/>
          <w:szCs w:val="25"/>
          <w:u w:val="single"/>
        </w:rPr>
        <w:t>Marguerite M. Mitchell</w:t>
      </w:r>
      <w:r w:rsidRPr="00E27E63">
        <w:rPr>
          <w:rFonts w:ascii="Aptos" w:eastAsia="Times New Roman" w:hAnsi="Aptos" w:cs="Times New Roman"/>
          <w:sz w:val="25"/>
          <w:szCs w:val="25"/>
          <w:u w:val="single"/>
        </w:rPr>
        <w:br/>
      </w:r>
      <w:r w:rsidRPr="00E27E63">
        <w:rPr>
          <w:rFonts w:ascii="Aptos" w:eastAsia="Times New Roman" w:hAnsi="Aptos" w:cs="Times New Roman"/>
          <w:sz w:val="25"/>
          <w:szCs w:val="25"/>
        </w:rPr>
        <w:t>Marguerite M. Mitchell</w:t>
      </w:r>
    </w:p>
    <w:p w14:paraId="1D813B65" w14:textId="77777777" w:rsidR="00E27E63" w:rsidRPr="00E27E63" w:rsidRDefault="00E27E63" w:rsidP="00E27E63">
      <w:pPr>
        <w:shd w:val="clear" w:color="auto" w:fill="FFFFFF"/>
        <w:rPr>
          <w:rFonts w:ascii="Times New Roman" w:eastAsia="Times New Roman" w:hAnsi="Times New Roman" w:cs="Times New Roman"/>
          <w:sz w:val="24"/>
          <w:szCs w:val="24"/>
        </w:rPr>
      </w:pPr>
      <w:r w:rsidRPr="00E27E63">
        <w:rPr>
          <w:rFonts w:ascii="Aptos" w:eastAsia="Times New Roman" w:hAnsi="Aptos" w:cs="Times New Roman"/>
          <w:sz w:val="25"/>
          <w:szCs w:val="25"/>
        </w:rPr>
        <w:t>Date: July 24, 2024</w:t>
      </w:r>
      <w:r w:rsidRPr="00E27E63">
        <w:rPr>
          <w:rFonts w:ascii="Times New Roman" w:eastAsia="Times New Roman" w:hAnsi="Times New Roman" w:cs="Times New Roman"/>
          <w:sz w:val="24"/>
          <w:szCs w:val="24"/>
        </w:rPr>
        <w:br w:type="page"/>
      </w:r>
    </w:p>
    <w:p w14:paraId="01D04FF6" w14:textId="77777777" w:rsidR="00E27E63" w:rsidRPr="00E27E63" w:rsidRDefault="00E27E63" w:rsidP="00E27E63">
      <w:pPr>
        <w:spacing w:line="259" w:lineRule="auto"/>
        <w:jc w:val="center"/>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lastRenderedPageBreak/>
        <w:t>COMMONWEALTH OF MASSACHUSETTS</w:t>
      </w:r>
    </w:p>
    <w:p w14:paraId="2F9841AC" w14:textId="77777777" w:rsidR="00E27E63" w:rsidRPr="00E27E63" w:rsidRDefault="00E27E63" w:rsidP="00E27E63">
      <w:pPr>
        <w:spacing w:line="259" w:lineRule="auto"/>
        <w:ind w:right="250"/>
        <w:jc w:val="center"/>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t>BUREAU OF SPECIAL EDUCATION APPEALS</w:t>
      </w:r>
    </w:p>
    <w:p w14:paraId="7F1C2AE4" w14:textId="77777777" w:rsidR="00E27E63" w:rsidRPr="00E27E63" w:rsidRDefault="00E27E63" w:rsidP="00E27E63">
      <w:pPr>
        <w:tabs>
          <w:tab w:val="center" w:pos="440"/>
          <w:tab w:val="center" w:pos="4627"/>
        </w:tabs>
        <w:spacing w:after="533" w:line="259" w:lineRule="auto"/>
        <w:jc w:val="center"/>
        <w:rPr>
          <w:rFonts w:ascii="Aptos" w:eastAsia="Times New Roman" w:hAnsi="Aptos" w:cs="Times New Roman"/>
          <w:color w:val="000000"/>
          <w:sz w:val="24"/>
          <w:szCs w:val="24"/>
        </w:rPr>
      </w:pPr>
      <w:r w:rsidRPr="00E27E63">
        <w:rPr>
          <w:rFonts w:ascii="Aptos" w:eastAsia="Times New Roman" w:hAnsi="Aptos" w:cs="Times New Roman"/>
          <w:color w:val="000000"/>
          <w:sz w:val="24"/>
          <w:szCs w:val="24"/>
          <w:u w:val="single" w:color="000000"/>
        </w:rPr>
        <w:t>EFFECT OF FINAL BSEA ACTIONS AND RIGHTS OF APPEAL</w:t>
      </w:r>
    </w:p>
    <w:p w14:paraId="76A661A3" w14:textId="77777777" w:rsidR="00E27E63" w:rsidRPr="00E27E63" w:rsidRDefault="00E27E63" w:rsidP="00E27E63">
      <w:pPr>
        <w:keepNext/>
        <w:keepLines/>
        <w:spacing w:after="261" w:line="259" w:lineRule="auto"/>
        <w:ind w:left="38"/>
        <w:outlineLvl w:val="0"/>
        <w:rPr>
          <w:rFonts w:ascii="Aptos" w:eastAsia="Times New Roman" w:hAnsi="Aptos" w:cs="Times New Roman"/>
          <w:color w:val="000000"/>
          <w:sz w:val="24"/>
          <w:szCs w:val="24"/>
          <w:u w:val="single" w:color="000000"/>
        </w:rPr>
      </w:pPr>
      <w:r w:rsidRPr="00E27E63">
        <w:rPr>
          <w:rFonts w:ascii="Aptos" w:eastAsia="Times New Roman" w:hAnsi="Aptos" w:cs="Times New Roman"/>
          <w:color w:val="000000"/>
          <w:sz w:val="24"/>
          <w:szCs w:val="24"/>
          <w:u w:val="single" w:color="000000"/>
        </w:rPr>
        <w:t>Effect of BSEA Decision, Dismissal with Prejudice and Allowance of Motion for Summary Judgment</w:t>
      </w:r>
    </w:p>
    <w:p w14:paraId="67FCB14F" w14:textId="77777777" w:rsidR="00E27E63" w:rsidRPr="00E27E63" w:rsidRDefault="00E27E63" w:rsidP="00E27E63">
      <w:pPr>
        <w:spacing w:after="312" w:line="250" w:lineRule="auto"/>
        <w:ind w:left="43" w:firstLine="5"/>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642B10B8" w14:textId="77777777" w:rsidR="00E27E63" w:rsidRPr="00E27E63" w:rsidRDefault="00E27E63" w:rsidP="00E27E63">
      <w:pPr>
        <w:spacing w:after="312" w:line="250" w:lineRule="auto"/>
        <w:ind w:left="43" w:firstLine="5"/>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t>Accordingly</w:t>
      </w:r>
      <w:r w:rsidRPr="00E27E63">
        <w:rPr>
          <w:rFonts w:ascii="Aptos" w:eastAsia="Times New Roman" w:hAnsi="Aptos" w:cs="Times New Roman"/>
          <w:strike/>
          <w:color w:val="000000"/>
          <w:sz w:val="24"/>
          <w:szCs w:val="24"/>
        </w:rPr>
        <w:t>,</w:t>
      </w:r>
      <w:r w:rsidRPr="00E27E63">
        <w:rPr>
          <w:rFonts w:ascii="Aptos" w:eastAsia="Times New Roman" w:hAnsi="Aptos" w:cs="Times New Roman"/>
          <w:color w:val="000000"/>
          <w:sz w:val="24"/>
          <w:szCs w:val="24"/>
        </w:rPr>
        <w:t xml:space="preserve"> the Bureau cannot permit motions to reconsider or to re-open either a Bureau decision or the Rulings set forth above once they have </w:t>
      </w:r>
      <w:proofErr w:type="gramStart"/>
      <w:r w:rsidRPr="00E27E63">
        <w:rPr>
          <w:rFonts w:ascii="Aptos" w:eastAsia="Times New Roman" w:hAnsi="Aptos" w:cs="Times New Roman"/>
          <w:color w:val="000000"/>
          <w:sz w:val="24"/>
          <w:szCs w:val="24"/>
        </w:rPr>
        <w:t>issued</w:t>
      </w:r>
      <w:proofErr w:type="gramEnd"/>
      <w:r w:rsidRPr="00E27E63">
        <w:rPr>
          <w:rFonts w:ascii="Aptos" w:eastAsia="Times New Roman" w:hAnsi="Aptos" w:cs="Times New Roman"/>
          <w:color w:val="000000"/>
          <w:sz w:val="24"/>
          <w:szCs w:val="24"/>
        </w:rPr>
        <w:t>. They are final subject only to judicial (court) review.</w:t>
      </w:r>
    </w:p>
    <w:p w14:paraId="632D47B2" w14:textId="77777777" w:rsidR="00E27E63" w:rsidRPr="00E27E63" w:rsidRDefault="00E27E63" w:rsidP="00E27E63">
      <w:pPr>
        <w:spacing w:after="292" w:line="243" w:lineRule="auto"/>
        <w:ind w:left="19" w:right="62"/>
        <w:jc w:val="both"/>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B24643C" w14:textId="77777777" w:rsidR="00E27E63" w:rsidRPr="00E27E63" w:rsidRDefault="00E27E63" w:rsidP="00E27E63">
      <w:pPr>
        <w:spacing w:after="292" w:line="243" w:lineRule="auto"/>
        <w:ind w:left="19" w:right="62"/>
        <w:jc w:val="both"/>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1E263335" w14:textId="77777777" w:rsidR="00E27E63" w:rsidRPr="00E27E63" w:rsidRDefault="00E27E63" w:rsidP="00E27E63">
      <w:pPr>
        <w:spacing w:after="292" w:line="243" w:lineRule="auto"/>
        <w:ind w:left="19" w:right="62"/>
        <w:jc w:val="both"/>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E27E63">
        <w:rPr>
          <w:rFonts w:ascii="Aptos" w:eastAsia="Times New Roman" w:hAnsi="Aptos" w:cs="Times New Roman"/>
          <w:i/>
          <w:iCs/>
          <w:color w:val="000000"/>
          <w:sz w:val="24"/>
          <w:szCs w:val="24"/>
        </w:rPr>
        <w:t>School Committee of Burlington v. Massachusetts Department of Education</w:t>
      </w:r>
      <w:r w:rsidRPr="00E27E63">
        <w:rPr>
          <w:rFonts w:ascii="Aptos" w:eastAsia="Times New Roman" w:hAnsi="Aptos" w:cs="Times New Roman"/>
          <w:color w:val="000000"/>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E27E63">
        <w:rPr>
          <w:rFonts w:ascii="Aptos" w:eastAsia="Times New Roman" w:hAnsi="Aptos" w:cs="Times New Roman"/>
          <w:i/>
          <w:iCs/>
          <w:color w:val="000000"/>
          <w:sz w:val="24"/>
          <w:szCs w:val="24"/>
        </w:rPr>
        <w:t>Honig v. Doe</w:t>
      </w:r>
      <w:r w:rsidRPr="00E27E63">
        <w:rPr>
          <w:rFonts w:ascii="Aptos" w:eastAsia="Times New Roman" w:hAnsi="Aptos" w:cs="Times New Roman"/>
          <w:color w:val="000000"/>
          <w:sz w:val="24"/>
          <w:szCs w:val="24"/>
        </w:rPr>
        <w:t xml:space="preserve">, 484 U.S. 305 (1988); </w:t>
      </w:r>
      <w:r w:rsidRPr="00E27E63">
        <w:rPr>
          <w:rFonts w:ascii="Aptos" w:eastAsia="Times New Roman" w:hAnsi="Aptos" w:cs="Times New Roman"/>
          <w:i/>
          <w:iCs/>
          <w:color w:val="000000"/>
          <w:sz w:val="24"/>
          <w:szCs w:val="24"/>
        </w:rPr>
        <w:t>Doe v. Brookline</w:t>
      </w:r>
      <w:r w:rsidRPr="00E27E63">
        <w:rPr>
          <w:rFonts w:ascii="Aptos" w:eastAsia="Times New Roman" w:hAnsi="Aptos" w:cs="Times New Roman"/>
          <w:color w:val="000000"/>
          <w:sz w:val="24"/>
          <w:szCs w:val="24"/>
        </w:rPr>
        <w:t>, 722 F.2d 910 (1</w:t>
      </w:r>
      <w:r w:rsidRPr="00E27E63">
        <w:rPr>
          <w:rFonts w:ascii="Aptos" w:eastAsia="Times New Roman" w:hAnsi="Aptos" w:cs="Times New Roman"/>
          <w:color w:val="000000"/>
          <w:sz w:val="24"/>
          <w:szCs w:val="24"/>
          <w:vertAlign w:val="superscript"/>
        </w:rPr>
        <w:t>st</w:t>
      </w:r>
      <w:r w:rsidRPr="00E27E63">
        <w:rPr>
          <w:rFonts w:ascii="Aptos" w:eastAsia="Times New Roman" w:hAnsi="Aptos" w:cs="Times New Roman"/>
          <w:color w:val="000000"/>
          <w:sz w:val="24"/>
          <w:szCs w:val="24"/>
        </w:rPr>
        <w:t xml:space="preserve"> Cir. 1983).</w:t>
      </w:r>
    </w:p>
    <w:p w14:paraId="3A8730D3" w14:textId="77777777" w:rsidR="00E27E63" w:rsidRPr="00E27E63" w:rsidRDefault="00E27E63" w:rsidP="00E27E63">
      <w:pPr>
        <w:keepNext/>
        <w:keepLines/>
        <w:spacing w:after="252" w:line="259" w:lineRule="auto"/>
        <w:ind w:left="96" w:hanging="10"/>
        <w:outlineLvl w:val="0"/>
        <w:rPr>
          <w:rFonts w:ascii="Aptos" w:eastAsia="Times New Roman" w:hAnsi="Aptos" w:cs="Times New Roman"/>
          <w:color w:val="000000"/>
          <w:sz w:val="24"/>
          <w:szCs w:val="24"/>
          <w:u w:val="single" w:color="000000"/>
        </w:rPr>
      </w:pPr>
      <w:r w:rsidRPr="00E27E63">
        <w:rPr>
          <w:rFonts w:ascii="Aptos" w:eastAsia="Times New Roman" w:hAnsi="Aptos" w:cs="Times New Roman"/>
          <w:color w:val="000000"/>
          <w:sz w:val="24"/>
          <w:szCs w:val="24"/>
          <w:u w:val="single" w:color="000000"/>
        </w:rPr>
        <w:t>Compliance</w:t>
      </w:r>
    </w:p>
    <w:p w14:paraId="6F68EDCF" w14:textId="77777777" w:rsidR="00E27E63" w:rsidRPr="00E27E63" w:rsidRDefault="00E27E63" w:rsidP="00E27E63">
      <w:pPr>
        <w:spacing w:after="292" w:line="243" w:lineRule="auto"/>
        <w:ind w:left="19" w:right="172"/>
        <w:jc w:val="both"/>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t xml:space="preserve">A party contending that a Bureau of Special Education Appeals decision is not being implemented may file a motion with the Bureau of Special Education Appeals contending that </w:t>
      </w:r>
      <w:r w:rsidRPr="00E27E63">
        <w:rPr>
          <w:rFonts w:ascii="Aptos" w:eastAsia="Times New Roman" w:hAnsi="Aptos" w:cs="Times New Roman"/>
          <w:color w:val="000000"/>
          <w:sz w:val="24"/>
          <w:szCs w:val="24"/>
        </w:rPr>
        <w:lastRenderedPageBreak/>
        <w:t>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7781244" w14:textId="77777777" w:rsidR="00E27E63" w:rsidRPr="00E27E63" w:rsidRDefault="00E27E63" w:rsidP="00E27E63">
      <w:pPr>
        <w:keepNext/>
        <w:keepLines/>
        <w:spacing w:after="252" w:line="259" w:lineRule="auto"/>
        <w:ind w:left="-5" w:hanging="10"/>
        <w:outlineLvl w:val="0"/>
        <w:rPr>
          <w:rFonts w:ascii="Aptos" w:eastAsia="Times New Roman" w:hAnsi="Aptos" w:cs="Times New Roman"/>
          <w:color w:val="000000"/>
          <w:sz w:val="24"/>
          <w:szCs w:val="24"/>
          <w:u w:val="single" w:color="000000"/>
        </w:rPr>
      </w:pPr>
      <w:r w:rsidRPr="00E27E63">
        <w:rPr>
          <w:rFonts w:ascii="Aptos" w:eastAsia="Times New Roman" w:hAnsi="Aptos" w:cs="Times New Roman"/>
          <w:color w:val="000000"/>
          <w:sz w:val="24"/>
          <w:szCs w:val="24"/>
          <w:u w:val="single" w:color="000000"/>
        </w:rPr>
        <w:t>Rights of Appeal</w:t>
      </w:r>
    </w:p>
    <w:p w14:paraId="44617C1E" w14:textId="77777777" w:rsidR="00E27E63" w:rsidRPr="00E27E63" w:rsidRDefault="00E27E63" w:rsidP="00E27E63">
      <w:pPr>
        <w:spacing w:after="292" w:line="243" w:lineRule="auto"/>
        <w:ind w:left="19" w:right="172"/>
        <w:jc w:val="both"/>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6AE35453" w14:textId="77777777" w:rsidR="00E27E63" w:rsidRPr="00E27E63" w:rsidRDefault="00E27E63" w:rsidP="00E27E63">
      <w:pPr>
        <w:spacing w:line="243" w:lineRule="auto"/>
        <w:ind w:left="19" w:right="172"/>
        <w:jc w:val="both"/>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t>An appeal of a Bureau decision to state superior court or to federal district court must be filed within ninety (90) days from the date of the decision. 20 U.S.C. s. 1415(i)(2)(B).</w:t>
      </w:r>
    </w:p>
    <w:p w14:paraId="2E26F4A8" w14:textId="77777777" w:rsidR="00E27E63" w:rsidRPr="00E27E63" w:rsidRDefault="00E27E63" w:rsidP="00E27E63">
      <w:pPr>
        <w:spacing w:line="243" w:lineRule="auto"/>
        <w:ind w:left="19" w:right="172"/>
        <w:jc w:val="both"/>
        <w:rPr>
          <w:rFonts w:ascii="Aptos" w:eastAsia="Times New Roman" w:hAnsi="Aptos" w:cs="Times New Roman"/>
          <w:color w:val="000000"/>
          <w:sz w:val="24"/>
          <w:szCs w:val="24"/>
        </w:rPr>
      </w:pPr>
    </w:p>
    <w:p w14:paraId="2784984A" w14:textId="77777777" w:rsidR="00E27E63" w:rsidRPr="00E27E63" w:rsidRDefault="00E27E63" w:rsidP="00E27E63">
      <w:pPr>
        <w:keepNext/>
        <w:keepLines/>
        <w:spacing w:after="252" w:line="259" w:lineRule="auto"/>
        <w:ind w:left="-5" w:hanging="10"/>
        <w:outlineLvl w:val="0"/>
        <w:rPr>
          <w:rFonts w:ascii="Aptos" w:eastAsia="Times New Roman" w:hAnsi="Aptos" w:cs="Times New Roman"/>
          <w:color w:val="000000"/>
          <w:sz w:val="24"/>
          <w:szCs w:val="24"/>
          <w:u w:val="single" w:color="000000"/>
        </w:rPr>
      </w:pPr>
      <w:r w:rsidRPr="00E27E63">
        <w:rPr>
          <w:rFonts w:ascii="Aptos" w:eastAsia="Times New Roman" w:hAnsi="Aptos" w:cs="Times New Roman"/>
          <w:color w:val="000000"/>
          <w:sz w:val="24"/>
          <w:szCs w:val="24"/>
          <w:u w:val="single" w:color="000000"/>
        </w:rPr>
        <w:t>Confidentiality</w:t>
      </w:r>
    </w:p>
    <w:p w14:paraId="24D31EC2" w14:textId="77777777" w:rsidR="00E27E63" w:rsidRPr="00E27E63" w:rsidRDefault="00E27E63" w:rsidP="00E27E63">
      <w:pPr>
        <w:spacing w:line="243" w:lineRule="auto"/>
        <w:ind w:left="19" w:right="34"/>
        <w:jc w:val="both"/>
        <w:rPr>
          <w:rFonts w:ascii="Aptos" w:eastAsia="Times New Roman" w:hAnsi="Aptos" w:cs="Times New Roman"/>
          <w:i/>
          <w:iCs/>
          <w:color w:val="000000"/>
          <w:sz w:val="24"/>
          <w:szCs w:val="24"/>
        </w:rPr>
      </w:pPr>
      <w:proofErr w:type="gramStart"/>
      <w:r w:rsidRPr="00E27E63">
        <w:rPr>
          <w:rFonts w:ascii="Aptos" w:eastAsia="Times New Roman" w:hAnsi="Aptos" w:cs="Times New Roman"/>
          <w:color w:val="000000"/>
          <w:sz w:val="24"/>
          <w:szCs w:val="24"/>
        </w:rPr>
        <w:t>In order to</w:t>
      </w:r>
      <w:proofErr w:type="gramEnd"/>
      <w:r w:rsidRPr="00E27E63">
        <w:rPr>
          <w:rFonts w:ascii="Aptos" w:eastAsia="Times New Roman" w:hAnsi="Aptos" w:cs="Times New Roman"/>
          <w:color w:val="000000"/>
          <w:sz w:val="24"/>
          <w:szCs w:val="24"/>
        </w:rPr>
        <w:t xml:space="preserve">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E27E63">
        <w:rPr>
          <w:rFonts w:ascii="Aptos" w:eastAsia="Times New Roman" w:hAnsi="Aptos" w:cs="Times New Roman"/>
          <w:i/>
          <w:iCs/>
          <w:color w:val="000000"/>
          <w:sz w:val="24"/>
          <w:szCs w:val="24"/>
        </w:rPr>
        <w:t>Webster Grove School District v. Pulitzer Publishing Company</w:t>
      </w:r>
      <w:r w:rsidRPr="00E27E63">
        <w:rPr>
          <w:rFonts w:ascii="Aptos" w:eastAsia="Times New Roman" w:hAnsi="Aptos" w:cs="Times New Roman"/>
          <w:color w:val="000000"/>
          <w:sz w:val="24"/>
          <w:szCs w:val="24"/>
        </w:rPr>
        <w:t>, 898 F.2d 1371 (8th. Cir. 1990). If the appealing party does not seek to impound the documents, the Bureau of Special Education Appeals, through the Attorney General's Office, may move to impound the documents.</w:t>
      </w:r>
    </w:p>
    <w:p w14:paraId="524FC414" w14:textId="77777777" w:rsidR="00E27E63" w:rsidRPr="00E27E63" w:rsidRDefault="00E27E63" w:rsidP="00E27E63">
      <w:pPr>
        <w:spacing w:line="259" w:lineRule="auto"/>
        <w:ind w:left="62"/>
        <w:rPr>
          <w:rFonts w:ascii="Aptos" w:eastAsia="Times New Roman" w:hAnsi="Aptos" w:cs="Times New Roman"/>
          <w:color w:val="000000"/>
          <w:sz w:val="24"/>
          <w:szCs w:val="24"/>
          <w:u w:val="single"/>
        </w:rPr>
      </w:pPr>
    </w:p>
    <w:p w14:paraId="592217AB" w14:textId="77777777" w:rsidR="00E27E63" w:rsidRPr="00E27E63" w:rsidRDefault="00E27E63" w:rsidP="00E27E63">
      <w:pPr>
        <w:spacing w:line="259" w:lineRule="auto"/>
        <w:rPr>
          <w:rFonts w:ascii="Aptos" w:eastAsia="Times New Roman" w:hAnsi="Aptos" w:cs="Times New Roman"/>
          <w:color w:val="000000"/>
          <w:sz w:val="24"/>
          <w:szCs w:val="24"/>
          <w:u w:val="single"/>
        </w:rPr>
      </w:pPr>
      <w:r w:rsidRPr="00E27E63">
        <w:rPr>
          <w:rFonts w:ascii="Aptos" w:eastAsia="Times New Roman" w:hAnsi="Aptos" w:cs="Times New Roman"/>
          <w:color w:val="000000"/>
          <w:sz w:val="24"/>
          <w:szCs w:val="24"/>
          <w:u w:val="single"/>
        </w:rPr>
        <w:t>Record of the Hearing</w:t>
      </w:r>
    </w:p>
    <w:p w14:paraId="0BF2E440" w14:textId="77777777" w:rsidR="00E27E63" w:rsidRPr="00E27E63" w:rsidRDefault="00E27E63" w:rsidP="00E27E63">
      <w:pPr>
        <w:spacing w:line="259" w:lineRule="auto"/>
        <w:rPr>
          <w:rFonts w:ascii="Aptos" w:eastAsia="Times New Roman" w:hAnsi="Aptos" w:cs="Times New Roman"/>
          <w:color w:val="000000"/>
          <w:sz w:val="24"/>
          <w:szCs w:val="24"/>
          <w:u w:val="single"/>
        </w:rPr>
      </w:pPr>
    </w:p>
    <w:p w14:paraId="002B18A9" w14:textId="77777777" w:rsidR="00E27E63" w:rsidRPr="006A114C" w:rsidRDefault="00E27E63" w:rsidP="00E27E63">
      <w:pPr>
        <w:spacing w:after="292" w:line="243" w:lineRule="auto"/>
        <w:ind w:left="19" w:right="172"/>
        <w:jc w:val="both"/>
        <w:rPr>
          <w:rFonts w:ascii="Aptos" w:eastAsia="Times New Roman" w:hAnsi="Aptos" w:cs="Times New Roman"/>
          <w:color w:val="000000"/>
          <w:sz w:val="24"/>
          <w:szCs w:val="24"/>
        </w:rPr>
      </w:pPr>
      <w:r w:rsidRPr="00E27E63">
        <w:rPr>
          <w:rFonts w:ascii="Aptos" w:eastAsia="Times New Roman" w:hAnsi="Aptos" w:cs="Times New Roman"/>
          <w:color w:val="000000"/>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105DC1B9" w14:textId="77777777" w:rsidR="00E27E63" w:rsidRDefault="00E27E63" w:rsidP="00E27E63">
      <w:pPr>
        <w:spacing w:line="259" w:lineRule="auto"/>
        <w:jc w:val="center"/>
      </w:pPr>
    </w:p>
    <w:p w14:paraId="77DD7DC4" w14:textId="77777777" w:rsidR="00517758" w:rsidRDefault="00517758" w:rsidP="00C23D0B">
      <w:pPr>
        <w:ind w:left="360"/>
      </w:pPr>
    </w:p>
    <w:sectPr w:rsidR="00517758" w:rsidSect="00E27E63">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7CAFA" w14:textId="77777777" w:rsidR="00150373" w:rsidRDefault="00150373" w:rsidP="00874D8A">
      <w:r>
        <w:separator/>
      </w:r>
    </w:p>
  </w:endnote>
  <w:endnote w:type="continuationSeparator" w:id="0">
    <w:p w14:paraId="251DDA92" w14:textId="77777777" w:rsidR="00150373" w:rsidRDefault="00150373" w:rsidP="0087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630412"/>
      <w:docPartObj>
        <w:docPartGallery w:val="Page Numbers (Bottom of Page)"/>
        <w:docPartUnique/>
      </w:docPartObj>
    </w:sdtPr>
    <w:sdtEndPr>
      <w:rPr>
        <w:rFonts w:ascii="Times New Roman" w:hAnsi="Times New Roman" w:cs="Times New Roman"/>
        <w:noProof/>
      </w:rPr>
    </w:sdtEndPr>
    <w:sdtContent>
      <w:p w14:paraId="6419D2EA" w14:textId="77777777" w:rsidR="00E27E63" w:rsidRPr="004D7855" w:rsidRDefault="00E27E63">
        <w:pPr>
          <w:pStyle w:val="Footer"/>
          <w:jc w:val="right"/>
          <w:rPr>
            <w:rFonts w:ascii="Times New Roman" w:hAnsi="Times New Roman" w:cs="Times New Roman"/>
          </w:rPr>
        </w:pPr>
        <w:r w:rsidRPr="004D7855">
          <w:rPr>
            <w:rFonts w:ascii="Times New Roman" w:hAnsi="Times New Roman" w:cs="Times New Roman"/>
          </w:rPr>
          <w:fldChar w:fldCharType="begin"/>
        </w:r>
        <w:r w:rsidRPr="004D7855">
          <w:rPr>
            <w:rFonts w:ascii="Times New Roman" w:hAnsi="Times New Roman" w:cs="Times New Roman"/>
          </w:rPr>
          <w:instrText xml:space="preserve"> PAGE   \* MERGEFORMAT </w:instrText>
        </w:r>
        <w:r w:rsidRPr="004D7855">
          <w:rPr>
            <w:rFonts w:ascii="Times New Roman" w:hAnsi="Times New Roman" w:cs="Times New Roman"/>
          </w:rPr>
          <w:fldChar w:fldCharType="separate"/>
        </w:r>
        <w:r w:rsidRPr="004D7855">
          <w:rPr>
            <w:rFonts w:ascii="Times New Roman" w:hAnsi="Times New Roman" w:cs="Times New Roman"/>
            <w:noProof/>
          </w:rPr>
          <w:t>2</w:t>
        </w:r>
        <w:r w:rsidRPr="004D7855">
          <w:rPr>
            <w:rFonts w:ascii="Times New Roman" w:hAnsi="Times New Roman" w:cs="Times New Roman"/>
            <w:noProof/>
          </w:rPr>
          <w:fldChar w:fldCharType="end"/>
        </w:r>
      </w:p>
    </w:sdtContent>
  </w:sdt>
  <w:p w14:paraId="4DBD3A9E" w14:textId="77777777" w:rsidR="00E27E63" w:rsidRDefault="00E27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AE2B6" w14:textId="77777777" w:rsidR="00150373" w:rsidRDefault="00150373" w:rsidP="00874D8A">
      <w:r>
        <w:separator/>
      </w:r>
    </w:p>
  </w:footnote>
  <w:footnote w:type="continuationSeparator" w:id="0">
    <w:p w14:paraId="59A09F5C" w14:textId="77777777" w:rsidR="00150373" w:rsidRDefault="00150373" w:rsidP="00874D8A">
      <w:r>
        <w:continuationSeparator/>
      </w:r>
    </w:p>
  </w:footnote>
  <w:footnote w:id="1">
    <w:p w14:paraId="64F7EB99"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This </w:t>
      </w:r>
      <w:r w:rsidRPr="00E27E63">
        <w:rPr>
          <w:rFonts w:ascii="Aptos" w:hAnsi="Aptos"/>
          <w:i/>
          <w:iCs/>
        </w:rPr>
        <w:t>Ruling</w:t>
      </w:r>
      <w:r w:rsidRPr="00E27E63">
        <w:rPr>
          <w:rFonts w:ascii="Aptos" w:hAnsi="Aptos"/>
        </w:rPr>
        <w:t xml:space="preserve"> only addresses dismissal of the identified “Issues in Dispute” and “Requests for Relief”, as they are the only aspects of the </w:t>
      </w:r>
      <w:r w:rsidRPr="00E27E63">
        <w:rPr>
          <w:rFonts w:ascii="Aptos" w:hAnsi="Aptos"/>
          <w:i/>
          <w:iCs/>
        </w:rPr>
        <w:t>Hearing Request</w:t>
      </w:r>
      <w:r w:rsidRPr="00E27E63">
        <w:rPr>
          <w:rFonts w:ascii="Aptos" w:hAnsi="Aptos"/>
        </w:rPr>
        <w:t xml:space="preserve"> for which dismissal is sought in the </w:t>
      </w:r>
      <w:r w:rsidRPr="00E27E63">
        <w:rPr>
          <w:rFonts w:ascii="Aptos" w:hAnsi="Aptos"/>
          <w:i/>
          <w:iCs/>
        </w:rPr>
        <w:t>Partial Motion</w:t>
      </w:r>
      <w:r w:rsidRPr="00E27E63">
        <w:rPr>
          <w:rFonts w:ascii="Aptos" w:hAnsi="Aptos"/>
        </w:rPr>
        <w:t xml:space="preserve">.  The remainder of the </w:t>
      </w:r>
      <w:r w:rsidRPr="00E27E63">
        <w:rPr>
          <w:rFonts w:ascii="Aptos" w:hAnsi="Aptos"/>
          <w:i/>
          <w:iCs/>
        </w:rPr>
        <w:t>Partial Motion</w:t>
      </w:r>
      <w:r w:rsidRPr="00E27E63">
        <w:rPr>
          <w:rFonts w:ascii="Aptos" w:hAnsi="Aptos"/>
        </w:rPr>
        <w:t xml:space="preserve"> consists of a </w:t>
      </w:r>
      <w:r w:rsidRPr="00E27E63">
        <w:rPr>
          <w:rFonts w:ascii="Aptos" w:hAnsi="Aptos"/>
          <w:i/>
          <w:iCs/>
        </w:rPr>
        <w:t>Response</w:t>
      </w:r>
      <w:r w:rsidRPr="00E27E63">
        <w:rPr>
          <w:rFonts w:ascii="Aptos" w:hAnsi="Aptos"/>
        </w:rPr>
        <w:t xml:space="preserve"> consists of a </w:t>
      </w:r>
      <w:r w:rsidRPr="00E27E63">
        <w:rPr>
          <w:rFonts w:ascii="Aptos" w:hAnsi="Aptos"/>
          <w:i/>
          <w:iCs/>
        </w:rPr>
        <w:t>Response</w:t>
      </w:r>
      <w:r w:rsidRPr="00E27E63">
        <w:rPr>
          <w:rFonts w:ascii="Aptos" w:hAnsi="Aptos"/>
        </w:rPr>
        <w:t xml:space="preserve"> to the remaining allegations, issues and requests for relief as contained in the </w:t>
      </w:r>
      <w:r w:rsidRPr="00E27E63">
        <w:rPr>
          <w:rFonts w:ascii="Aptos" w:hAnsi="Aptos"/>
          <w:i/>
          <w:iCs/>
        </w:rPr>
        <w:t>Hearing Request</w:t>
      </w:r>
      <w:r w:rsidRPr="00E27E63">
        <w:rPr>
          <w:rFonts w:ascii="Aptos" w:hAnsi="Aptos"/>
        </w:rPr>
        <w:t xml:space="preserve">, and thus are not considered for dismissal purposes in this </w:t>
      </w:r>
      <w:r w:rsidRPr="00E27E63">
        <w:rPr>
          <w:rFonts w:ascii="Aptos" w:hAnsi="Aptos"/>
          <w:i/>
          <w:iCs/>
        </w:rPr>
        <w:t>Ruling</w:t>
      </w:r>
      <w:r w:rsidRPr="00E27E63">
        <w:rPr>
          <w:rFonts w:ascii="Aptos" w:hAnsi="Aptos"/>
        </w:rPr>
        <w:t xml:space="preserve">.  </w:t>
      </w:r>
    </w:p>
  </w:footnote>
  <w:footnote w:id="2">
    <w:p w14:paraId="16164A04"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It is unclear from the </w:t>
      </w:r>
      <w:r w:rsidRPr="00E27E63">
        <w:rPr>
          <w:rFonts w:ascii="Aptos" w:hAnsi="Aptos"/>
          <w:i/>
          <w:iCs/>
        </w:rPr>
        <w:t>Hearing Request</w:t>
      </w:r>
      <w:r w:rsidRPr="00E27E63">
        <w:rPr>
          <w:rFonts w:ascii="Aptos" w:hAnsi="Aptos"/>
        </w:rPr>
        <w:t xml:space="preserve"> what the IEP dates are for which “stay put” services are sought.  Issue in Dispute #1 references IEP dates of 11/2/2022 to 11/1/2023, however this appears to be a typographical error based on the content in the remainder of the </w:t>
      </w:r>
      <w:r w:rsidRPr="00E27E63">
        <w:rPr>
          <w:rFonts w:ascii="Aptos" w:hAnsi="Aptos"/>
          <w:i/>
          <w:iCs/>
        </w:rPr>
        <w:t>Hearing Request</w:t>
      </w:r>
      <w:r w:rsidRPr="00E27E63">
        <w:rPr>
          <w:rFonts w:ascii="Aptos" w:hAnsi="Aptos"/>
        </w:rPr>
        <w:t xml:space="preserve">.  Other potential “stay put” IEPs referenced in the </w:t>
      </w:r>
      <w:r w:rsidRPr="00E27E63">
        <w:rPr>
          <w:rFonts w:ascii="Aptos" w:hAnsi="Aptos"/>
          <w:i/>
          <w:iCs/>
        </w:rPr>
        <w:t xml:space="preserve">Hearing Request </w:t>
      </w:r>
      <w:r w:rsidRPr="00E27E63">
        <w:rPr>
          <w:rFonts w:ascii="Aptos" w:hAnsi="Aptos"/>
        </w:rPr>
        <w:t>involve an IEP dated 10/2/19 to 10/1/20, that appears to be Student’s last proposed IEP calling for placement at a public day school, McKinley Prep in Boston; and a 2018-2019 IEP that appears to be Student’s “last accepted IEP” from Maynard Public Schools, calling for placement at a public day school, Orchard Street Academy.</w:t>
      </w:r>
    </w:p>
  </w:footnote>
  <w:footnote w:id="3">
    <w:p w14:paraId="70223179"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“Issues in Dispute” (4), (5) and (6) are set forth in their entirety as:  </w:t>
      </w:r>
    </w:p>
    <w:p w14:paraId="6AD0EDBC" w14:textId="77777777" w:rsidR="00E27E63" w:rsidRPr="00E27E63" w:rsidRDefault="00E27E63" w:rsidP="00E27E63">
      <w:pPr>
        <w:pStyle w:val="FootnoteText"/>
        <w:ind w:left="720" w:right="720"/>
        <w:rPr>
          <w:rFonts w:ascii="Aptos" w:hAnsi="Aptos"/>
        </w:rPr>
      </w:pPr>
      <w:r w:rsidRPr="00E27E63">
        <w:rPr>
          <w:rFonts w:ascii="Aptos" w:hAnsi="Aptos"/>
        </w:rPr>
        <w:t xml:space="preserve">“4.  Is MADESE required to create, maintain, supervise and administer a system that provides FAPE to students with disabilities who are confined in the Houses of Corrections?; 5. Do the provisions of 603 CMR 603 CMR 28.06(9) improperly abdicate the duty of MADESE pursuant to G.L. c.71B sec. 11a (sic) to provide special education services to students with disabilities who are confined in the county Houses of Correction?; and </w:t>
      </w:r>
    </w:p>
    <w:p w14:paraId="6C3D2C05" w14:textId="77777777" w:rsidR="00E27E63" w:rsidRPr="00E27E63" w:rsidRDefault="00E27E63" w:rsidP="00E27E63">
      <w:pPr>
        <w:pStyle w:val="FootnoteText"/>
        <w:ind w:left="720" w:right="720"/>
        <w:rPr>
          <w:rFonts w:ascii="Aptos" w:hAnsi="Aptos"/>
        </w:rPr>
      </w:pPr>
      <w:r w:rsidRPr="00E27E63">
        <w:rPr>
          <w:rFonts w:ascii="Aptos" w:hAnsi="Aptos"/>
        </w:rPr>
        <w:t>6.  Should the Hearing Officer enter an order that requires MADESE to provide direct special education services to the class of students who are confined in the Houses of Correction and who are not currently receiving a free and appropriate public education?</w:t>
      </w:r>
      <w:r w:rsidRPr="00E27E63">
        <w:rPr>
          <w:rFonts w:ascii="Aptos" w:hAnsi="Aptos"/>
          <w:color w:val="050505"/>
          <w:w w:val="105"/>
        </w:rPr>
        <w:t>”</w:t>
      </w:r>
      <w:r w:rsidRPr="00E27E63">
        <w:rPr>
          <w:rFonts w:ascii="Aptos" w:hAnsi="Aptos"/>
        </w:rPr>
        <w:t xml:space="preserve"> </w:t>
      </w:r>
    </w:p>
    <w:p w14:paraId="01CEBD39" w14:textId="77777777" w:rsidR="00E27E63" w:rsidRPr="00E27E63" w:rsidRDefault="00E27E63" w:rsidP="00E27E63">
      <w:pPr>
        <w:pStyle w:val="FootnoteText"/>
        <w:rPr>
          <w:rFonts w:ascii="Aptos" w:hAnsi="Aptos"/>
        </w:rPr>
      </w:pPr>
      <w:r w:rsidRPr="00E27E63">
        <w:rPr>
          <w:rFonts w:ascii="Aptos" w:hAnsi="Aptos"/>
        </w:rPr>
        <w:t>Additionally, “Requests for Relief” (3) and (4) are set forth in their entirety as:</w:t>
      </w:r>
    </w:p>
    <w:p w14:paraId="733DDB7E" w14:textId="77777777" w:rsidR="00E27E63" w:rsidRPr="00E27E63" w:rsidRDefault="00E27E63" w:rsidP="00E27E63">
      <w:pPr>
        <w:pStyle w:val="FootnoteText"/>
        <w:ind w:left="720" w:right="720"/>
        <w:rPr>
          <w:rFonts w:ascii="Aptos" w:hAnsi="Aptos"/>
        </w:rPr>
      </w:pPr>
      <w:r w:rsidRPr="00E27E63">
        <w:rPr>
          <w:rFonts w:ascii="Aptos" w:hAnsi="Aptos"/>
        </w:rPr>
        <w:t>“3.  The Hearing Officer find that MADESE has improperly abdicated the responsibility established by the legislature pursuant to G.L. c. 71B, § 11A to directly provide special education services in the county Houses of Correction; and</w:t>
      </w:r>
    </w:p>
    <w:p w14:paraId="271A5BED" w14:textId="77777777" w:rsidR="00E27E63" w:rsidRPr="00E27E63" w:rsidRDefault="00E27E63" w:rsidP="00E27E63">
      <w:pPr>
        <w:pStyle w:val="FootnoteText"/>
        <w:ind w:left="720" w:right="720"/>
        <w:rPr>
          <w:rFonts w:ascii="Aptos" w:hAnsi="Aptos"/>
        </w:rPr>
      </w:pPr>
      <w:r w:rsidRPr="00E27E63">
        <w:rPr>
          <w:rFonts w:ascii="Aptos" w:hAnsi="Aptos"/>
        </w:rPr>
        <w:t>4.  The Hearing Officer order that MA DESE to provide direct special education services to class of students who are confined in the Houses of Correction and who are not currently receiving a free and appropriate public education”</w:t>
      </w:r>
    </w:p>
  </w:footnote>
  <w:footnote w:id="4">
    <w:p w14:paraId="394553E9"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M.G.L. c. 71B §11A, entitled “Incarcerated Children with a Disability; Special Education.” states in its entirety that “The department of education shall provide special education to school aged children with a disability who are incarcerated in county houses of correction.”</w:t>
      </w:r>
    </w:p>
  </w:footnote>
  <w:footnote w:id="5">
    <w:p w14:paraId="33B0F00E"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Boston also asserted a challenge as to its programmatic or fiscal responsibility for Student; however, it did not seek to dismiss itself as a party to this proceeding, and this </w:t>
      </w:r>
      <w:r w:rsidRPr="00E27E63">
        <w:rPr>
          <w:rFonts w:ascii="Aptos" w:hAnsi="Aptos"/>
          <w:i/>
          <w:iCs/>
        </w:rPr>
        <w:t>Ruling</w:t>
      </w:r>
      <w:r w:rsidRPr="00E27E63">
        <w:rPr>
          <w:rFonts w:ascii="Aptos" w:hAnsi="Aptos"/>
        </w:rPr>
        <w:t xml:space="preserve"> does not address this challenge.</w:t>
      </w:r>
    </w:p>
  </w:footnote>
  <w:footnote w:id="6">
    <w:p w14:paraId="25F61DD5"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The deadline for filing this </w:t>
      </w:r>
      <w:r w:rsidRPr="00E27E63">
        <w:rPr>
          <w:rFonts w:ascii="Aptos" w:hAnsi="Aptos"/>
          <w:i/>
          <w:iCs/>
        </w:rPr>
        <w:t>Opposition</w:t>
      </w:r>
      <w:r w:rsidRPr="00E27E63">
        <w:rPr>
          <w:rFonts w:ascii="Aptos" w:hAnsi="Aptos"/>
        </w:rPr>
        <w:t xml:space="preserve"> was extended by agreement of the Parties and upon approval of the Hearing Officer.</w:t>
      </w:r>
    </w:p>
  </w:footnote>
  <w:footnote w:id="7">
    <w:p w14:paraId="6DE33890"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w:t>
      </w:r>
      <w:r w:rsidRPr="00E27E63">
        <w:rPr>
          <w:rFonts w:ascii="Aptos" w:hAnsi="Aptos" w:cs="Times New Roman"/>
        </w:rPr>
        <w:t xml:space="preserve">Of note, the Class Action Lawsuit was also submitted into  the record of the companion matter, as said Class Action Lawsuit involves claims for relief </w:t>
      </w:r>
      <w:proofErr w:type="gramStart"/>
      <w:r w:rsidRPr="00E27E63">
        <w:rPr>
          <w:rFonts w:ascii="Aptos" w:hAnsi="Aptos" w:cs="Times New Roman"/>
        </w:rPr>
        <w:t>with regard to</w:t>
      </w:r>
      <w:proofErr w:type="gramEnd"/>
      <w:r w:rsidRPr="00E27E63">
        <w:rPr>
          <w:rFonts w:ascii="Aptos" w:hAnsi="Aptos" w:cs="Times New Roman"/>
        </w:rPr>
        <w:t xml:space="preserve"> both Student in this matter and the student in that matter, both of whom are currently incarcerated in a CHC.</w:t>
      </w:r>
    </w:p>
  </w:footnote>
  <w:footnote w:id="8">
    <w:p w14:paraId="40FDD164"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The Parties also discussed that Issue 3 in the </w:t>
      </w:r>
      <w:r w:rsidRPr="00E27E63">
        <w:rPr>
          <w:rFonts w:ascii="Aptos" w:hAnsi="Aptos"/>
          <w:i/>
          <w:iCs/>
        </w:rPr>
        <w:t xml:space="preserve">Hearing Request </w:t>
      </w:r>
      <w:r w:rsidRPr="00E27E63">
        <w:rPr>
          <w:rFonts w:ascii="Aptos" w:hAnsi="Aptos"/>
        </w:rPr>
        <w:t xml:space="preserve">appears to consist of an individual claim on behalf of Student </w:t>
      </w:r>
      <w:proofErr w:type="gramStart"/>
      <w:r w:rsidRPr="00E27E63">
        <w:rPr>
          <w:rFonts w:ascii="Aptos" w:hAnsi="Aptos"/>
        </w:rPr>
        <w:t>with regard to</w:t>
      </w:r>
      <w:proofErr w:type="gramEnd"/>
      <w:r w:rsidRPr="00E27E63">
        <w:rPr>
          <w:rFonts w:ascii="Aptos" w:hAnsi="Aptos"/>
        </w:rPr>
        <w:t xml:space="preserve"> the group/class claims made in Issue 6.  As DESE has not sought dismissal of Issue 3, should Student ultimately seek to amend the </w:t>
      </w:r>
      <w:r w:rsidRPr="00E27E63">
        <w:rPr>
          <w:rFonts w:ascii="Aptos" w:hAnsi="Aptos"/>
          <w:i/>
          <w:iCs/>
        </w:rPr>
        <w:t>Hearing Request</w:t>
      </w:r>
      <w:r w:rsidRPr="00E27E63">
        <w:rPr>
          <w:rFonts w:ascii="Aptos" w:hAnsi="Aptos"/>
        </w:rPr>
        <w:t xml:space="preserve">, as discussed at the Motion Hearing, he need only seek to add individual claims of the group/class claims made in Issues 4 and 5. </w:t>
      </w:r>
    </w:p>
  </w:footnote>
  <w:footnote w:id="9">
    <w:p w14:paraId="6456C484"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The factual statements contained herein are taken as true for purposes of this </w:t>
      </w:r>
      <w:r w:rsidRPr="00E27E63">
        <w:rPr>
          <w:rFonts w:ascii="Aptos" w:hAnsi="Aptos"/>
          <w:i/>
          <w:iCs/>
        </w:rPr>
        <w:t>Ruling</w:t>
      </w:r>
      <w:r w:rsidRPr="00E27E63">
        <w:rPr>
          <w:rFonts w:ascii="Aptos" w:hAnsi="Aptos"/>
        </w:rPr>
        <w:t xml:space="preserve"> only.</w:t>
      </w:r>
    </w:p>
  </w:footnote>
  <w:footnote w:id="10">
    <w:p w14:paraId="6FBDD7F6"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It is unclear from the pleadings if this was the 2018-2019 IEP which was </w:t>
      </w:r>
      <w:proofErr w:type="gramStart"/>
      <w:r w:rsidRPr="00E27E63">
        <w:rPr>
          <w:rFonts w:ascii="Aptos" w:hAnsi="Aptos"/>
        </w:rPr>
        <w:t>actually the</w:t>
      </w:r>
      <w:proofErr w:type="gramEnd"/>
      <w:r w:rsidRPr="00E27E63">
        <w:rPr>
          <w:rFonts w:ascii="Aptos" w:hAnsi="Aptos"/>
        </w:rPr>
        <w:t xml:space="preserve"> last accepted IEP or the 2019-2020 IEP, which had not been accepted.</w:t>
      </w:r>
    </w:p>
  </w:footnote>
  <w:footnote w:id="11">
    <w:p w14:paraId="6112FAAA"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Based upon a written Status Report filed by Boston on July 18, 2024, the evaluation remains in-process at this time and is expected to be completed for a Team Meeting scheduled for September 5, 2024.  </w:t>
      </w:r>
    </w:p>
  </w:footnote>
  <w:footnote w:id="12">
    <w:p w14:paraId="3027472A" w14:textId="77777777" w:rsidR="00E27E63" w:rsidRPr="00E27E63" w:rsidRDefault="00E27E63" w:rsidP="00E27E63">
      <w:pPr>
        <w:pStyle w:val="FootnoteText"/>
        <w:rPr>
          <w:rFonts w:ascii="Aptos" w:hAnsi="Aptos" w:cs="Times New Roman"/>
        </w:rPr>
      </w:pPr>
      <w:r w:rsidRPr="00E27E63">
        <w:rPr>
          <w:rStyle w:val="FootnoteReference"/>
          <w:rFonts w:ascii="Aptos" w:hAnsi="Aptos" w:cs="Times New Roman"/>
        </w:rPr>
        <w:footnoteRef/>
      </w:r>
      <w:r w:rsidRPr="00E27E63">
        <w:rPr>
          <w:rFonts w:ascii="Aptos" w:hAnsi="Aptos" w:cs="Times New Roman"/>
        </w:rPr>
        <w:t xml:space="preserve">   </w:t>
      </w:r>
      <w:r w:rsidRPr="00E27E63">
        <w:rPr>
          <w:rFonts w:ascii="Aptos" w:eastAsia="Times New Roman" w:hAnsi="Aptos" w:cs="Times New Roman"/>
        </w:rPr>
        <w:t>As these rules/regulations are analogous to Rule 12(b)(6) of the Federal Rules of Civil Procedure, hearing officers are generally guided by federal court decisions in deciding such motions.</w:t>
      </w:r>
    </w:p>
  </w:footnote>
  <w:footnote w:id="13">
    <w:p w14:paraId="6DE1F650" w14:textId="77777777" w:rsidR="00E27E63" w:rsidRPr="00E27E63" w:rsidRDefault="00E27E63" w:rsidP="00E27E63">
      <w:pPr>
        <w:pStyle w:val="FootnoteText"/>
        <w:rPr>
          <w:rFonts w:ascii="Aptos" w:hAnsi="Aptos" w:cs="Times New Roman"/>
        </w:rPr>
      </w:pPr>
      <w:r w:rsidRPr="00E27E63">
        <w:rPr>
          <w:rStyle w:val="FootnoteReference"/>
          <w:rFonts w:ascii="Aptos" w:hAnsi="Aptos" w:cs="Times New Roman"/>
        </w:rPr>
        <w:footnoteRef/>
      </w:r>
      <w:r w:rsidRPr="00E27E63">
        <w:rPr>
          <w:rFonts w:ascii="Aptos" w:hAnsi="Aptos" w:cs="Times New Roman"/>
        </w:rPr>
        <w:t xml:space="preserve">   </w:t>
      </w:r>
      <w:r w:rsidRPr="00E27E63">
        <w:rPr>
          <w:rFonts w:ascii="Aptos" w:eastAsia="Times New Roman" w:hAnsi="Aptos" w:cs="Times New Roman"/>
          <w:i/>
          <w:iCs/>
        </w:rPr>
        <w:t>Iannocchino v. Ford Motor Co.</w:t>
      </w:r>
      <w:r w:rsidRPr="00E27E63">
        <w:rPr>
          <w:rFonts w:ascii="Aptos" w:eastAsia="Times New Roman" w:hAnsi="Aptos" w:cs="Times New Roman"/>
        </w:rPr>
        <w:t>, 451 Mass. 623, 636 (2008) (quoting </w:t>
      </w:r>
      <w:r w:rsidRPr="00E27E63">
        <w:rPr>
          <w:rFonts w:ascii="Aptos" w:eastAsia="Times New Roman" w:hAnsi="Aptos" w:cs="Times New Roman"/>
          <w:i/>
          <w:iCs/>
        </w:rPr>
        <w:t>Bell Atl. Corp. v. Twombly</w:t>
      </w:r>
      <w:r w:rsidRPr="00E27E63">
        <w:rPr>
          <w:rFonts w:ascii="Aptos" w:eastAsia="Times New Roman" w:hAnsi="Aptos" w:cs="Times New Roman"/>
        </w:rPr>
        <w:t>, 550 U.S. 544, 557 (2007)).</w:t>
      </w:r>
    </w:p>
  </w:footnote>
  <w:footnote w:id="14">
    <w:p w14:paraId="10B35606" w14:textId="77777777" w:rsidR="00E27E63" w:rsidRPr="00E27E63" w:rsidRDefault="00E27E63" w:rsidP="00E27E63">
      <w:pPr>
        <w:pStyle w:val="FootnoteText"/>
        <w:rPr>
          <w:rFonts w:ascii="Aptos" w:eastAsia="Times New Roman" w:hAnsi="Aptos" w:cs="Times New Roman"/>
        </w:rPr>
      </w:pPr>
      <w:r w:rsidRPr="00E27E63">
        <w:rPr>
          <w:rStyle w:val="FootnoteReference"/>
          <w:rFonts w:ascii="Aptos" w:hAnsi="Aptos" w:cs="Times New Roman"/>
        </w:rPr>
        <w:footnoteRef/>
      </w:r>
      <w:r w:rsidRPr="00E27E63">
        <w:rPr>
          <w:rFonts w:ascii="Aptos" w:hAnsi="Aptos" w:cs="Times New Roman"/>
        </w:rPr>
        <w:t xml:space="preserve">   </w:t>
      </w:r>
      <w:r w:rsidRPr="00E27E63">
        <w:rPr>
          <w:rFonts w:ascii="Aptos" w:eastAsia="Times New Roman" w:hAnsi="Aptos" w:cs="Times New Roman"/>
          <w:i/>
          <w:iCs/>
        </w:rPr>
        <w:t>Blank v. Chelmsford Ob/Gyn, P.C.</w:t>
      </w:r>
      <w:r w:rsidRPr="00E27E63">
        <w:rPr>
          <w:rFonts w:ascii="Aptos" w:eastAsia="Times New Roman" w:hAnsi="Aptos" w:cs="Times New Roman"/>
        </w:rPr>
        <w:t xml:space="preserve">, 420 Mass. 404, 407 (1995); </w:t>
      </w:r>
      <w:r w:rsidRPr="00E27E63">
        <w:rPr>
          <w:rFonts w:ascii="Aptos" w:hAnsi="Aptos" w:cs="Times New Roman"/>
        </w:rPr>
        <w:t xml:space="preserve">See </w:t>
      </w:r>
      <w:r w:rsidRPr="00E27E63">
        <w:rPr>
          <w:rFonts w:ascii="Aptos" w:eastAsia="Times New Roman" w:hAnsi="Aptos" w:cs="Times New Roman"/>
          <w:i/>
          <w:iCs/>
        </w:rPr>
        <w:t>Nollet v. Justices of the Trial Court of Mass., </w:t>
      </w:r>
      <w:r w:rsidRPr="00E27E63">
        <w:rPr>
          <w:rFonts w:ascii="Aptos" w:eastAsia="Times New Roman" w:hAnsi="Aptos" w:cs="Times New Roman"/>
        </w:rPr>
        <w:t>83 F.Supp.2d 204, 208 (D.Mass. 2000), </w:t>
      </w:r>
      <w:r w:rsidRPr="00E27E63">
        <w:rPr>
          <w:rFonts w:ascii="Aptos" w:eastAsia="Times New Roman" w:hAnsi="Aptos" w:cs="Times New Roman"/>
          <w:i/>
          <w:iCs/>
        </w:rPr>
        <w:t>aff'd, </w:t>
      </w:r>
      <w:r w:rsidRPr="00E27E63">
        <w:rPr>
          <w:rFonts w:ascii="Aptos" w:eastAsia="Times New Roman" w:hAnsi="Aptos" w:cs="Times New Roman"/>
        </w:rPr>
        <w:t>248 F.3d 1127 (1st Cir. 2000) (“[w]hen ruling on a 12(b)(6) motion to dismiss for failure to state a claim, the [hearing officer] may consider only the facts alleged in the pleadings, documents attached as exhibits or incorporated by reference in the complaint, and matters of which [administrative] notice may be taken”).</w:t>
      </w:r>
    </w:p>
  </w:footnote>
  <w:footnote w:id="15">
    <w:p w14:paraId="4AF7DA81" w14:textId="77777777" w:rsidR="00E27E63" w:rsidRPr="00E27E63" w:rsidRDefault="00E27E63" w:rsidP="00E27E63">
      <w:pPr>
        <w:shd w:val="clear" w:color="auto" w:fill="FFFFFF"/>
        <w:textAlignment w:val="baseline"/>
        <w:rPr>
          <w:rFonts w:ascii="Aptos" w:eastAsia="Times New Roman" w:hAnsi="Aptos" w:cs="Times New Roman"/>
          <w:sz w:val="20"/>
          <w:szCs w:val="20"/>
        </w:rPr>
      </w:pPr>
      <w:r w:rsidRPr="00E27E63">
        <w:rPr>
          <w:rStyle w:val="FootnoteReference"/>
          <w:rFonts w:ascii="Aptos" w:hAnsi="Aptos" w:cs="Times New Roman"/>
          <w:sz w:val="20"/>
          <w:szCs w:val="20"/>
        </w:rPr>
        <w:footnoteRef/>
      </w:r>
      <w:r w:rsidRPr="00E27E63">
        <w:rPr>
          <w:rFonts w:ascii="Aptos" w:hAnsi="Aptos" w:cs="Times New Roman"/>
          <w:sz w:val="20"/>
          <w:szCs w:val="20"/>
        </w:rPr>
        <w:t xml:space="preserve">   </w:t>
      </w:r>
      <w:r w:rsidRPr="00E27E63">
        <w:rPr>
          <w:rFonts w:ascii="Aptos" w:eastAsia="Times New Roman" w:hAnsi="Aptos" w:cs="Times New Roman"/>
          <w:i/>
          <w:iCs/>
          <w:sz w:val="20"/>
          <w:szCs w:val="20"/>
        </w:rPr>
        <w:t xml:space="preserve">Iannocchino </w:t>
      </w:r>
      <w:r w:rsidRPr="00E27E63">
        <w:rPr>
          <w:rFonts w:ascii="Aptos" w:eastAsia="Times New Roman" w:hAnsi="Aptos" w:cs="Times New Roman"/>
          <w:sz w:val="20"/>
          <w:szCs w:val="20"/>
        </w:rPr>
        <w:t>451 Mass. at 636 (quoting </w:t>
      </w:r>
      <w:r w:rsidRPr="00E27E63">
        <w:rPr>
          <w:rFonts w:ascii="Aptos" w:eastAsia="Times New Roman" w:hAnsi="Aptos" w:cs="Times New Roman"/>
          <w:i/>
          <w:iCs/>
          <w:sz w:val="20"/>
          <w:szCs w:val="20"/>
        </w:rPr>
        <w:t>Bell Atl. Corp.</w:t>
      </w:r>
      <w:r w:rsidRPr="00E27E63">
        <w:rPr>
          <w:rFonts w:ascii="Aptos" w:eastAsia="Times New Roman" w:hAnsi="Aptos" w:cs="Times New Roman"/>
          <w:sz w:val="20"/>
          <w:szCs w:val="20"/>
        </w:rPr>
        <w:t xml:space="preserve">, 550 U.S. at 555); see </w:t>
      </w:r>
      <w:r w:rsidRPr="00E27E63">
        <w:rPr>
          <w:rFonts w:ascii="Aptos" w:hAnsi="Aptos" w:cs="Times New Roman"/>
          <w:i/>
          <w:iCs/>
          <w:sz w:val="20"/>
          <w:szCs w:val="20"/>
        </w:rPr>
        <w:t>Ocasio-Hernandez v. Fortuno-Burset</w:t>
      </w:r>
      <w:r w:rsidRPr="00E27E63">
        <w:rPr>
          <w:rFonts w:ascii="Aptos" w:hAnsi="Aptos" w:cs="Times New Roman"/>
          <w:sz w:val="20"/>
          <w:szCs w:val="20"/>
        </w:rPr>
        <w:t>, 640 F.3d 1, 12 (1st Cir. 2011).</w:t>
      </w:r>
    </w:p>
  </w:footnote>
  <w:footnote w:id="16">
    <w:p w14:paraId="218654CA" w14:textId="77777777" w:rsidR="00E27E63" w:rsidRPr="00E27E63" w:rsidRDefault="00E27E63" w:rsidP="00E27E63">
      <w:pPr>
        <w:pStyle w:val="FootnoteText"/>
        <w:rPr>
          <w:rFonts w:ascii="Aptos" w:hAnsi="Aptos" w:cs="Times New Roman"/>
        </w:rPr>
      </w:pPr>
      <w:r w:rsidRPr="00E27E63">
        <w:rPr>
          <w:rStyle w:val="FootnoteReference"/>
          <w:rFonts w:ascii="Aptos" w:hAnsi="Aptos" w:cs="Times New Roman"/>
        </w:rPr>
        <w:footnoteRef/>
      </w:r>
      <w:r w:rsidRPr="00E27E63">
        <w:rPr>
          <w:rFonts w:ascii="Aptos" w:hAnsi="Aptos" w:cs="Times New Roman"/>
        </w:rPr>
        <w:t xml:space="preserve">   FRCP 8(a), “</w:t>
      </w:r>
      <w:r w:rsidRPr="00E27E63">
        <w:rPr>
          <w:rFonts w:ascii="Aptos" w:hAnsi="Aptos" w:cs="Times New Roman"/>
          <w:i/>
          <w:iCs/>
        </w:rPr>
        <w:t>Claim for Relief.</w:t>
      </w:r>
      <w:r w:rsidRPr="00E27E63">
        <w:rPr>
          <w:rFonts w:ascii="Aptos" w:hAnsi="Aptos" w:cs="Times New Roman"/>
        </w:rPr>
        <w:t>  A pleading that states a claim for relief must contain: … (2)</w:t>
      </w:r>
      <w:r w:rsidRPr="00E27E63">
        <w:rPr>
          <w:rFonts w:ascii="Aptos" w:hAnsi="Aptos" w:cs="Times New Roman"/>
          <w:b/>
          <w:bCs/>
        </w:rPr>
        <w:t> </w:t>
      </w:r>
      <w:r w:rsidRPr="00E27E63">
        <w:rPr>
          <w:rFonts w:ascii="Aptos" w:hAnsi="Aptos" w:cs="Times New Roman"/>
        </w:rPr>
        <w:t xml:space="preserve">a short and plain statement of the claim showing that the pleader is entitled to relief…”; see </w:t>
      </w:r>
      <w:r w:rsidRPr="00E27E63">
        <w:rPr>
          <w:rFonts w:ascii="Aptos" w:hAnsi="Aptos" w:cs="Times New Roman"/>
          <w:i/>
          <w:iCs/>
        </w:rPr>
        <w:t>Bell Atl. Corp.</w:t>
      </w:r>
      <w:r w:rsidRPr="00E27E63">
        <w:rPr>
          <w:rFonts w:ascii="Aptos" w:hAnsi="Aptos" w:cs="Times New Roman"/>
        </w:rPr>
        <w:t>, 550 U.S. at 555.</w:t>
      </w:r>
    </w:p>
  </w:footnote>
  <w:footnote w:id="17">
    <w:p w14:paraId="396F9FA0" w14:textId="77777777" w:rsidR="00E27E63" w:rsidRPr="00E27E63" w:rsidRDefault="00E27E63" w:rsidP="00E27E63">
      <w:pPr>
        <w:pStyle w:val="FootnoteText"/>
        <w:rPr>
          <w:rFonts w:ascii="Aptos" w:hAnsi="Aptos" w:cs="Times New Roman"/>
        </w:rPr>
      </w:pPr>
      <w:r w:rsidRPr="00E27E63">
        <w:rPr>
          <w:rStyle w:val="FootnoteReference"/>
          <w:rFonts w:ascii="Aptos" w:hAnsi="Aptos" w:cs="Times New Roman"/>
        </w:rPr>
        <w:footnoteRef/>
      </w:r>
      <w:r w:rsidRPr="00E27E63">
        <w:rPr>
          <w:rFonts w:ascii="Aptos" w:hAnsi="Aptos" w:cs="Times New Roman"/>
        </w:rPr>
        <w:t xml:space="preserve">   </w:t>
      </w:r>
      <w:r w:rsidRPr="00E27E63">
        <w:rPr>
          <w:rFonts w:ascii="Aptos" w:hAnsi="Aptos" w:cs="Times New Roman"/>
          <w:i/>
          <w:iCs/>
        </w:rPr>
        <w:t>Bell Atl. Corp.</w:t>
      </w:r>
      <w:r w:rsidRPr="00E27E63">
        <w:rPr>
          <w:rFonts w:ascii="Aptos" w:hAnsi="Aptos" w:cs="Times New Roman"/>
        </w:rPr>
        <w:t>, 550 U.S. at 555 (citing </w:t>
      </w:r>
      <w:hyperlink r:id="rId1" w:history="1">
        <w:r w:rsidRPr="00E27E63">
          <w:rPr>
            <w:rStyle w:val="Hyperlink"/>
            <w:rFonts w:ascii="Aptos" w:hAnsi="Aptos" w:cs="Times New Roman"/>
            <w:i/>
            <w:iCs/>
            <w:color w:val="auto"/>
            <w:u w:val="none"/>
          </w:rPr>
          <w:t>Papasan v. Allain</w:t>
        </w:r>
        <w:r w:rsidRPr="00E27E63">
          <w:rPr>
            <w:rStyle w:val="Hyperlink"/>
            <w:rFonts w:ascii="Aptos" w:hAnsi="Aptos" w:cs="Times New Roman"/>
            <w:color w:val="auto"/>
            <w:u w:val="none"/>
          </w:rPr>
          <w:t>, 478 U.S. 265, 286 (1986)</w:t>
        </w:r>
      </w:hyperlink>
      <w:r w:rsidRPr="00E27E63">
        <w:rPr>
          <w:rStyle w:val="Hyperlink"/>
          <w:rFonts w:ascii="Aptos" w:hAnsi="Aptos" w:cs="Times New Roman"/>
          <w:color w:val="auto"/>
          <w:u w:val="none"/>
        </w:rPr>
        <w:t>)</w:t>
      </w:r>
      <w:r w:rsidRPr="00E27E63">
        <w:rPr>
          <w:rFonts w:ascii="Aptos" w:hAnsi="Aptos" w:cs="Times New Roman"/>
        </w:rPr>
        <w:t>.</w:t>
      </w:r>
    </w:p>
  </w:footnote>
  <w:footnote w:id="18">
    <w:p w14:paraId="0A4B9997" w14:textId="77777777" w:rsidR="00E27E63" w:rsidRPr="00E27E63" w:rsidRDefault="00E27E63" w:rsidP="00E27E63">
      <w:pPr>
        <w:rPr>
          <w:rFonts w:ascii="Aptos" w:eastAsia="Times New Roman" w:hAnsi="Aptos" w:cs="Times New Roman"/>
          <w:bCs/>
          <w:color w:val="000000"/>
          <w:sz w:val="20"/>
          <w:szCs w:val="20"/>
        </w:rPr>
      </w:pPr>
      <w:r w:rsidRPr="00E27E63">
        <w:rPr>
          <w:rStyle w:val="FootnoteReference"/>
          <w:rFonts w:ascii="Aptos" w:hAnsi="Aptos" w:cs="Times New Roman"/>
          <w:sz w:val="20"/>
          <w:szCs w:val="20"/>
        </w:rPr>
        <w:footnoteRef/>
      </w:r>
      <w:r w:rsidRPr="00E27E63">
        <w:rPr>
          <w:rFonts w:ascii="Aptos" w:hAnsi="Aptos" w:cs="Times New Roman"/>
          <w:sz w:val="20"/>
          <w:szCs w:val="20"/>
        </w:rPr>
        <w:t xml:space="preserve">   </w:t>
      </w:r>
      <w:r w:rsidRPr="00E27E63">
        <w:rPr>
          <w:rFonts w:ascii="Aptos" w:eastAsia="Times New Roman" w:hAnsi="Aptos" w:cs="Times New Roman"/>
          <w:bCs/>
          <w:color w:val="000000"/>
          <w:sz w:val="20"/>
          <w:szCs w:val="20"/>
        </w:rPr>
        <w:t xml:space="preserve">See </w:t>
      </w:r>
      <w:r w:rsidRPr="00E27E63">
        <w:rPr>
          <w:rFonts w:ascii="Aptos" w:eastAsia="Times New Roman" w:hAnsi="Aptos" w:cs="Times New Roman"/>
          <w:bCs/>
          <w:i/>
          <w:iCs/>
          <w:color w:val="000000"/>
          <w:sz w:val="20"/>
          <w:szCs w:val="20"/>
        </w:rPr>
        <w:t>Globe Newspaper Co. v. Beacon Hill Architectural Comm.</w:t>
      </w:r>
      <w:r w:rsidRPr="00E27E63">
        <w:rPr>
          <w:rFonts w:ascii="Aptos" w:eastAsia="Times New Roman" w:hAnsi="Aptos" w:cs="Times New Roman"/>
          <w:bCs/>
          <w:color w:val="000000"/>
          <w:sz w:val="20"/>
          <w:szCs w:val="20"/>
        </w:rPr>
        <w:t xml:space="preserve">, 421 Mass. 570, 586 (1996) “Any judicial review of agency action embodies the principle that an agency has no inherent authority beyond its enabling act and therefore it may do nothing that contradicts such legislation”.  </w:t>
      </w:r>
    </w:p>
  </w:footnote>
  <w:footnote w:id="19">
    <w:p w14:paraId="114FEEE1"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20 US 1415(f)(3)(C).</w:t>
      </w:r>
    </w:p>
  </w:footnote>
  <w:footnote w:id="20">
    <w:p w14:paraId="428BE9FB" w14:textId="77777777" w:rsidR="00E27E63" w:rsidRPr="00E27E63" w:rsidRDefault="00E27E63" w:rsidP="00E27E63">
      <w:pPr>
        <w:pStyle w:val="FootnoteText"/>
        <w:rPr>
          <w:rFonts w:ascii="Aptos" w:hAnsi="Aptos" w:cs="Times New Roman"/>
        </w:rPr>
      </w:pPr>
      <w:r w:rsidRPr="00E27E63">
        <w:rPr>
          <w:rStyle w:val="FootnoteReference"/>
          <w:rFonts w:ascii="Aptos" w:hAnsi="Aptos" w:cs="Times New Roman"/>
        </w:rPr>
        <w:footnoteRef/>
      </w:r>
      <w:r w:rsidRPr="00E27E63">
        <w:rPr>
          <w:rFonts w:ascii="Aptos" w:hAnsi="Aptos" w:cs="Times New Roman"/>
        </w:rPr>
        <w:t xml:space="preserve">   </w:t>
      </w:r>
      <w:r w:rsidRPr="00E27E63">
        <w:rPr>
          <w:rFonts w:ascii="Aptos" w:hAnsi="Aptos" w:cs="Times New Roman"/>
          <w:bCs/>
        </w:rPr>
        <w:t xml:space="preserve">20 USC §1415(b)(6); </w:t>
      </w:r>
      <w:r w:rsidRPr="00E27E63">
        <w:rPr>
          <w:rFonts w:ascii="Aptos" w:hAnsi="Aptos" w:cs="Times New Roman"/>
        </w:rPr>
        <w:t xml:space="preserve">see 34 CFR 300.507(a)(1).  </w:t>
      </w:r>
    </w:p>
  </w:footnote>
  <w:footnote w:id="21">
    <w:p w14:paraId="0C9C1D86"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See also </w:t>
      </w:r>
      <w:r w:rsidRPr="00E27E63">
        <w:rPr>
          <w:rFonts w:ascii="Aptos" w:eastAsia="Times New Roman" w:hAnsi="Aptos" w:cs="Times New Roman"/>
          <w:bCs/>
          <w:color w:val="000000"/>
        </w:rPr>
        <w:t>603 CMR 28.08(3)(a) (authorizing the BSEA to hear “… any matter concerning the eligibility, evaluation, placement, IEP, provision of special education in accordance with state and federal law or the procedural protections of state and federal law for students with disabilities).</w:t>
      </w:r>
    </w:p>
  </w:footnote>
  <w:footnote w:id="22">
    <w:p w14:paraId="5C256143"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M.G.L. c. 71B §11A; 34 CFR 300.2(b)(1)(iv); 603 CMR 28.06(9); see M.G.L. c. 71B §1; </w:t>
      </w:r>
      <w:r w:rsidRPr="00E27E63">
        <w:rPr>
          <w:rFonts w:ascii="Aptos" w:hAnsi="Aptos"/>
          <w:i/>
          <w:iCs/>
        </w:rPr>
        <w:t>Letter to Colleague</w:t>
      </w:r>
      <w:r w:rsidRPr="00E27E63">
        <w:rPr>
          <w:rFonts w:ascii="Aptos" w:hAnsi="Aptos"/>
        </w:rPr>
        <w:t xml:space="preserve"> (OSERS, December 5, 2014); </w:t>
      </w:r>
      <w:r w:rsidRPr="00E27E63">
        <w:rPr>
          <w:rFonts w:ascii="Aptos" w:hAnsi="Aptos"/>
          <w:i/>
          <w:iCs/>
        </w:rPr>
        <w:t xml:space="preserve">Letter to </w:t>
      </w:r>
      <w:proofErr w:type="spellStart"/>
      <w:r w:rsidRPr="00E27E63">
        <w:rPr>
          <w:rFonts w:ascii="Aptos" w:hAnsi="Aptos"/>
          <w:i/>
          <w:iCs/>
        </w:rPr>
        <w:t>Yudien</w:t>
      </w:r>
      <w:proofErr w:type="spellEnd"/>
      <w:r w:rsidRPr="00E27E63">
        <w:rPr>
          <w:rFonts w:ascii="Aptos" w:hAnsi="Aptos"/>
          <w:i/>
          <w:iCs/>
        </w:rPr>
        <w:t xml:space="preserve">, </w:t>
      </w:r>
      <w:r w:rsidRPr="00E27E63">
        <w:rPr>
          <w:rFonts w:ascii="Aptos" w:hAnsi="Aptos"/>
        </w:rPr>
        <w:t xml:space="preserve">(OSERS, August 19, 2003).  See also </w:t>
      </w:r>
      <w:r w:rsidRPr="00E27E63">
        <w:rPr>
          <w:rFonts w:ascii="Aptos" w:hAnsi="Aptos"/>
          <w:bCs/>
          <w:i/>
          <w:iCs/>
        </w:rPr>
        <w:t>In Re: Student and Quincy Public Schools and Department of Elementary and Secondary Education</w:t>
      </w:r>
      <w:r w:rsidRPr="00E27E63">
        <w:rPr>
          <w:rFonts w:ascii="Aptos" w:hAnsi="Aptos"/>
          <w:bCs/>
        </w:rPr>
        <w:t>, BSEA #2408249 (</w:t>
      </w:r>
      <w:r w:rsidRPr="00E27E63">
        <w:rPr>
          <w:rFonts w:ascii="Aptos" w:hAnsi="Aptos"/>
          <w:bCs/>
          <w:i/>
          <w:iCs/>
        </w:rPr>
        <w:t>Ruling</w:t>
      </w:r>
      <w:r w:rsidRPr="00E27E63">
        <w:rPr>
          <w:rFonts w:ascii="Aptos" w:hAnsi="Aptos"/>
          <w:bCs/>
        </w:rPr>
        <w:t xml:space="preserve">, Mitchell, 2024), specifically, </w:t>
      </w:r>
      <w:r w:rsidRPr="00E27E63">
        <w:rPr>
          <w:rFonts w:ascii="Aptos" w:eastAsia="Times New Roman" w:hAnsi="Aptos" w:cs="Times New Roman"/>
          <w:bCs/>
          <w:color w:val="000000"/>
        </w:rPr>
        <w:t xml:space="preserve">Section 3 under “Legal Standards” and Section II, under “Application of Legal Standards”.  This </w:t>
      </w:r>
      <w:r w:rsidRPr="00E27E63">
        <w:rPr>
          <w:rFonts w:ascii="Aptos" w:eastAsia="Times New Roman" w:hAnsi="Aptos" w:cs="Times New Roman"/>
          <w:bCs/>
          <w:i/>
          <w:iCs/>
          <w:color w:val="000000"/>
        </w:rPr>
        <w:t xml:space="preserve">Companion Ruling </w:t>
      </w:r>
      <w:r w:rsidRPr="00E27E63">
        <w:rPr>
          <w:rFonts w:ascii="Aptos" w:eastAsia="Times New Roman" w:hAnsi="Aptos" w:cs="Times New Roman"/>
          <w:bCs/>
          <w:color w:val="000000"/>
        </w:rPr>
        <w:t>is incorporated herein by reference.</w:t>
      </w:r>
    </w:p>
  </w:footnote>
  <w:footnote w:id="23">
    <w:p w14:paraId="21114166"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34 CFR 300.102(a)(2); 34 CFR 300.324(d); see </w:t>
      </w:r>
      <w:r w:rsidRPr="00E27E63">
        <w:rPr>
          <w:rFonts w:ascii="Aptos" w:hAnsi="Aptos"/>
          <w:i/>
          <w:iCs/>
        </w:rPr>
        <w:t>Letter to Duncan</w:t>
      </w:r>
      <w:r w:rsidRPr="00E27E63">
        <w:rPr>
          <w:rFonts w:ascii="Aptos" w:hAnsi="Aptos"/>
        </w:rPr>
        <w:t xml:space="preserve">, (OSERS, January 29, 2019).  Also, note that the IDEA requirements to be provided with transition planning or transition services do not apply for eligible students who will have aged out of eligibility prior to being released from prison, after considering their sentence and eligibility for early release.  Further, if there is a “bona fide security or compelling penological interest that cannot otherwise be accommodated”, an IEP team may modify an IEP of an eligible student in an adult prison, provided the modifications do not otherwise fail to address all required elements of an IEP or fail to comply with the LRE requirements of the IDEA.  </w:t>
      </w:r>
      <w:r w:rsidRPr="00E27E63">
        <w:rPr>
          <w:rFonts w:ascii="Aptos" w:eastAsia="Times New Roman" w:hAnsi="Aptos" w:cs="Times New Roman"/>
          <w:bCs/>
          <w:color w:val="000000"/>
          <w:sz w:val="25"/>
          <w:szCs w:val="25"/>
        </w:rPr>
        <w:t xml:space="preserve">  </w:t>
      </w:r>
    </w:p>
  </w:footnote>
  <w:footnote w:id="24">
    <w:p w14:paraId="2E06BBC6"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I also take administrative notice of my </w:t>
      </w:r>
      <w:r w:rsidRPr="00E27E63">
        <w:rPr>
          <w:rFonts w:ascii="Aptos" w:hAnsi="Aptos"/>
          <w:i/>
          <w:iCs/>
        </w:rPr>
        <w:t xml:space="preserve">Companion Ruling </w:t>
      </w:r>
      <w:r w:rsidRPr="00E27E63">
        <w:rPr>
          <w:rFonts w:ascii="Aptos" w:hAnsi="Aptos"/>
        </w:rPr>
        <w:t xml:space="preserve">and the Verified Complaint in the Class Action Lawsuit as it is filed in the record in this underlying proceeding and is part of the record of a pending court action.  See </w:t>
      </w:r>
      <w:r w:rsidRPr="00E27E63">
        <w:rPr>
          <w:rFonts w:ascii="Aptos" w:eastAsia="Times New Roman" w:hAnsi="Aptos" w:cs="Times New Roman"/>
          <w:i/>
          <w:iCs/>
        </w:rPr>
        <w:t>Nollet, </w:t>
      </w:r>
      <w:r w:rsidRPr="00E27E63">
        <w:rPr>
          <w:rFonts w:ascii="Aptos" w:eastAsia="Times New Roman" w:hAnsi="Aptos" w:cs="Times New Roman"/>
        </w:rPr>
        <w:t>83 F.Supp.2d 208; Evid. Code §452(c) and (d) (authorizing judicial notice of any “[o]</w:t>
      </w:r>
      <w:proofErr w:type="spellStart"/>
      <w:r w:rsidRPr="00E27E63">
        <w:rPr>
          <w:rFonts w:ascii="Aptos" w:eastAsia="Times New Roman" w:hAnsi="Aptos" w:cs="Times New Roman"/>
        </w:rPr>
        <w:t>fficial</w:t>
      </w:r>
      <w:proofErr w:type="spellEnd"/>
      <w:r w:rsidRPr="00E27E63">
        <w:rPr>
          <w:rFonts w:ascii="Aptos" w:eastAsia="Times New Roman" w:hAnsi="Aptos" w:cs="Times New Roman"/>
        </w:rPr>
        <w:t xml:space="preserve"> acts of the legislative, executive, and judicial departments of the United States,” and “[r]</w:t>
      </w:r>
      <w:proofErr w:type="spellStart"/>
      <w:r w:rsidRPr="00E27E63">
        <w:rPr>
          <w:rFonts w:ascii="Aptos" w:eastAsia="Times New Roman" w:hAnsi="Aptos" w:cs="Times New Roman"/>
        </w:rPr>
        <w:t>ecords</w:t>
      </w:r>
      <w:proofErr w:type="spellEnd"/>
      <w:r w:rsidRPr="00E27E63">
        <w:rPr>
          <w:rFonts w:ascii="Aptos" w:eastAsia="Times New Roman" w:hAnsi="Aptos" w:cs="Times New Roman"/>
        </w:rPr>
        <w:t xml:space="preserve"> of (1) any court of this state or (2) any court of record of the United States or of any state of the United States.”)</w:t>
      </w:r>
    </w:p>
  </w:footnote>
  <w:footnote w:id="25">
    <w:p w14:paraId="535E6CFA"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w:t>
      </w:r>
      <w:r w:rsidRPr="00E27E63">
        <w:rPr>
          <w:rFonts w:ascii="Aptos" w:hAnsi="Aptos"/>
          <w:bCs/>
          <w:i/>
          <w:iCs/>
        </w:rPr>
        <w:t>In Re:  Student and Quincy Public Schools and Department of Elementary and Secondary Education</w:t>
      </w:r>
      <w:r w:rsidRPr="00E27E63">
        <w:rPr>
          <w:rFonts w:ascii="Aptos" w:hAnsi="Aptos"/>
          <w:bCs/>
        </w:rPr>
        <w:t>, BSEA #2408249 (</w:t>
      </w:r>
      <w:r w:rsidRPr="00E27E63">
        <w:rPr>
          <w:rFonts w:ascii="Aptos" w:hAnsi="Aptos"/>
          <w:bCs/>
          <w:i/>
          <w:iCs/>
        </w:rPr>
        <w:t>Ruling</w:t>
      </w:r>
      <w:r w:rsidRPr="00E27E63">
        <w:rPr>
          <w:rFonts w:ascii="Aptos" w:hAnsi="Aptos"/>
          <w:bCs/>
        </w:rPr>
        <w:t xml:space="preserve">, Mitchell, 2024).  </w:t>
      </w:r>
      <w:r w:rsidRPr="00E27E63">
        <w:rPr>
          <w:rFonts w:ascii="Aptos" w:hAnsi="Aptos"/>
        </w:rPr>
        <w:t>Further, I note that Student’s knowledge of the BSEA’s historical position on lack of subject matter jurisdiction over Systemic Claims is evidenced by Paragraphs 11, and 87 of the Class Action Lawsuit, indicating that the BSEA has “repeatedly declined to decide class claims” and has “repeatedly held that it has no authority to order class-wide, systemic relief and has never done so.”</w:t>
      </w:r>
    </w:p>
  </w:footnote>
  <w:footnote w:id="26">
    <w:p w14:paraId="688788B0"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w:t>
      </w:r>
      <w:r w:rsidRPr="00E27E63">
        <w:rPr>
          <w:rFonts w:ascii="Aptos" w:hAnsi="Aptos" w:cs="Times New Roman"/>
        </w:rPr>
        <w:t xml:space="preserve">By law, the BSEA’s jurisdiction extends only to those claims involving “any matter relating to the identification, evaluation or educational placement </w:t>
      </w:r>
      <w:r w:rsidRPr="00E27E63">
        <w:rPr>
          <w:rFonts w:ascii="Aptos" w:hAnsi="Aptos" w:cs="Times New Roman"/>
          <w:i/>
          <w:iCs/>
        </w:rPr>
        <w:t>of the child</w:t>
      </w:r>
      <w:r w:rsidRPr="00E27E63">
        <w:rPr>
          <w:rFonts w:ascii="Aptos" w:hAnsi="Aptos" w:cs="Times New Roman"/>
        </w:rPr>
        <w:t xml:space="preserve">, or the provision of a free appropriate public education </w:t>
      </w:r>
      <w:r w:rsidRPr="00E27E63">
        <w:rPr>
          <w:rFonts w:ascii="Aptos" w:hAnsi="Aptos" w:cs="Times New Roman"/>
          <w:i/>
          <w:iCs/>
        </w:rPr>
        <w:t>to such child</w:t>
      </w:r>
      <w:r w:rsidRPr="00E27E63">
        <w:rPr>
          <w:rFonts w:ascii="Aptos" w:hAnsi="Aptos" w:cs="Times New Roman"/>
        </w:rPr>
        <w:t xml:space="preserve">” (emphasis added).  </w:t>
      </w:r>
      <w:r w:rsidRPr="00E27E63">
        <w:rPr>
          <w:rFonts w:ascii="Aptos" w:hAnsi="Aptos"/>
        </w:rPr>
        <w:t>M.G.L. c. 71B §2A.</w:t>
      </w:r>
    </w:p>
  </w:footnote>
  <w:footnote w:id="27">
    <w:p w14:paraId="3293A7EC"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w:t>
      </w:r>
      <w:r w:rsidRPr="00E27E63">
        <w:rPr>
          <w:rFonts w:ascii="Aptos" w:hAnsi="Aptos"/>
          <w:i/>
          <w:iCs/>
        </w:rPr>
        <w:t>In Re: Holyoke Pub. Schools and Jay</w:t>
      </w:r>
      <w:r w:rsidRPr="00E27E63">
        <w:rPr>
          <w:rFonts w:ascii="Aptos" w:hAnsi="Aptos"/>
        </w:rPr>
        <w:t xml:space="preserve">, BSEA #1800619, 24 MSER 20 (Ruling, Oliver, 2018); </w:t>
      </w:r>
      <w:r w:rsidRPr="00E27E63">
        <w:rPr>
          <w:rFonts w:ascii="Aptos" w:hAnsi="Aptos"/>
          <w:i/>
          <w:iCs/>
        </w:rPr>
        <w:t>In Re: Springfield Pub. Schools</w:t>
      </w:r>
      <w:r w:rsidRPr="00E27E63">
        <w:rPr>
          <w:rFonts w:ascii="Aptos" w:hAnsi="Aptos"/>
        </w:rPr>
        <w:t>, BSEA #1309716,19 MSER 294 (Ruling, Oliver, 2013).</w:t>
      </w:r>
    </w:p>
  </w:footnote>
  <w:footnote w:id="28">
    <w:p w14:paraId="659DD65C"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See </w:t>
      </w:r>
      <w:r w:rsidRPr="00E27E63">
        <w:rPr>
          <w:rFonts w:ascii="Aptos" w:hAnsi="Aptos" w:cs="Times New Roman"/>
          <w:bCs/>
        </w:rPr>
        <w:t xml:space="preserve">20 USC §1415(b)(6); </w:t>
      </w:r>
      <w:r w:rsidRPr="00E27E63">
        <w:rPr>
          <w:rFonts w:ascii="Aptos" w:eastAsia="Times New Roman" w:hAnsi="Aptos" w:cs="Times New Roman"/>
          <w:bCs/>
          <w:color w:val="000000"/>
        </w:rPr>
        <w:t>M.G.L. c. 71B §2A</w:t>
      </w:r>
      <w:r w:rsidRPr="00E27E63">
        <w:rPr>
          <w:rFonts w:ascii="Aptos" w:hAnsi="Aptos" w:cs="Times New Roman"/>
        </w:rPr>
        <w:t>; 34 CFR 300.507(a)(1)</w:t>
      </w:r>
      <w:r w:rsidRPr="00E27E63">
        <w:rPr>
          <w:rFonts w:ascii="Aptos" w:eastAsia="Times New Roman" w:hAnsi="Aptos" w:cs="Times New Roman"/>
          <w:bCs/>
          <w:color w:val="000000"/>
        </w:rPr>
        <w:t xml:space="preserve">; 603 CMR 28.08(3)(a); </w:t>
      </w:r>
      <w:r w:rsidRPr="00E27E63">
        <w:rPr>
          <w:rFonts w:ascii="Aptos" w:eastAsia="Times New Roman" w:hAnsi="Aptos" w:cs="Times New Roman"/>
          <w:bCs/>
          <w:i/>
          <w:iCs/>
          <w:color w:val="000000"/>
        </w:rPr>
        <w:t>In Re: Student &amp; Boston Pub. Sch. &amp; DESE</w:t>
      </w:r>
      <w:r w:rsidRPr="00E27E63">
        <w:rPr>
          <w:rFonts w:ascii="Aptos" w:eastAsia="Times New Roman" w:hAnsi="Aptos" w:cs="Times New Roman"/>
          <w:bCs/>
          <w:color w:val="000000"/>
        </w:rPr>
        <w:t>, BSEA #20-08568, 26 MSER 140 (</w:t>
      </w:r>
      <w:r w:rsidRPr="00E27E63">
        <w:rPr>
          <w:rFonts w:ascii="Aptos" w:eastAsia="Times New Roman" w:hAnsi="Aptos" w:cs="Times New Roman"/>
          <w:bCs/>
          <w:i/>
          <w:iCs/>
          <w:color w:val="000000"/>
        </w:rPr>
        <w:t xml:space="preserve">Ruling, </w:t>
      </w:r>
      <w:r w:rsidRPr="00E27E63">
        <w:rPr>
          <w:rFonts w:ascii="Aptos" w:eastAsia="Times New Roman" w:hAnsi="Aptos" w:cs="Times New Roman"/>
          <w:bCs/>
          <w:color w:val="000000"/>
        </w:rPr>
        <w:t xml:space="preserve">Berman, 2020) (finding sufficient allegations specific to a Student to deny dismissal of claims against DESE involving a failure to provide that Student with a FAPE while incarcerated in DYS or to otherwise meet its obligations to that Student pursuant to 603 CMR 28.06(9)). </w:t>
      </w:r>
    </w:p>
  </w:footnote>
  <w:footnote w:id="29">
    <w:p w14:paraId="73356827"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w:t>
      </w:r>
      <w:r w:rsidRPr="00E27E63">
        <w:rPr>
          <w:rFonts w:ascii="Aptos" w:hAnsi="Aptos"/>
          <w:i/>
          <w:iCs/>
        </w:rPr>
        <w:t>Id</w:t>
      </w:r>
      <w:r w:rsidRPr="00E27E63">
        <w:rPr>
          <w:rFonts w:ascii="Aptos" w:hAnsi="Aptos"/>
        </w:rPr>
        <w:t xml:space="preserve">.  </w:t>
      </w:r>
      <w:r w:rsidRPr="00E27E63">
        <w:rPr>
          <w:rFonts w:ascii="Aptos" w:eastAsia="Times New Roman" w:hAnsi="Aptos" w:cs="Times New Roman"/>
        </w:rPr>
        <w:t xml:space="preserve">In fact, DESE does not dispute this, as evidenced by the </w:t>
      </w:r>
      <w:r w:rsidRPr="00E27E63">
        <w:rPr>
          <w:rFonts w:ascii="Aptos" w:eastAsia="Times New Roman" w:hAnsi="Aptos" w:cs="Times New Roman"/>
          <w:i/>
          <w:iCs/>
        </w:rPr>
        <w:t xml:space="preserve">Partial Motion </w:t>
      </w:r>
      <w:r w:rsidRPr="00E27E63">
        <w:rPr>
          <w:rFonts w:ascii="Aptos" w:eastAsia="Times New Roman" w:hAnsi="Aptos" w:cs="Times New Roman"/>
        </w:rPr>
        <w:t>seeking dismissal of only Issues 4, 5 and 6 and Requests for Relief 3 and 4, rather than all Issues, including Issue 3, that is a Student-specific claim within the claims raised in Issue 6.</w:t>
      </w:r>
    </w:p>
  </w:footnote>
  <w:footnote w:id="30">
    <w:p w14:paraId="62E98D1D"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They would also, therefore, be different claims than those raised in the Class Action Litigation, thereby avoiding </w:t>
      </w:r>
      <w:r w:rsidRPr="00E27E63">
        <w:rPr>
          <w:rFonts w:ascii="Aptos" w:hAnsi="Aptos" w:cs="Times New Roman"/>
        </w:rPr>
        <w:t xml:space="preserve">simultaneous pendency concerns raised by DESE.  </w:t>
      </w:r>
    </w:p>
  </w:footnote>
  <w:footnote w:id="31">
    <w:p w14:paraId="34D76F92" w14:textId="77777777" w:rsidR="00E27E63" w:rsidRPr="00E27E63"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Prior to the Hearing, the Parties shall clarify which IEP or IEPs apply to this “stay put” claim.  </w:t>
      </w:r>
    </w:p>
  </w:footnote>
  <w:footnote w:id="32">
    <w:p w14:paraId="47E00C4E" w14:textId="77777777" w:rsidR="00E27E63" w:rsidRPr="00860290" w:rsidRDefault="00E27E63" w:rsidP="00E27E63">
      <w:pPr>
        <w:pStyle w:val="FootnoteText"/>
        <w:rPr>
          <w:rFonts w:ascii="Aptos" w:hAnsi="Aptos"/>
        </w:rPr>
      </w:pPr>
      <w:r w:rsidRPr="00E27E63">
        <w:rPr>
          <w:rStyle w:val="FootnoteReference"/>
          <w:rFonts w:ascii="Aptos" w:hAnsi="Aptos"/>
        </w:rPr>
        <w:footnoteRef/>
      </w:r>
      <w:r w:rsidRPr="00E27E63">
        <w:rPr>
          <w:rFonts w:ascii="Aptos" w:hAnsi="Aptos"/>
        </w:rPr>
        <w:t xml:space="preserve">   As previously noted, the </w:t>
      </w:r>
      <w:r w:rsidRPr="00E27E63">
        <w:rPr>
          <w:rFonts w:ascii="Aptos" w:hAnsi="Aptos"/>
          <w:i/>
          <w:iCs/>
        </w:rPr>
        <w:t xml:space="preserve">Hearing Request </w:t>
      </w:r>
      <w:r w:rsidRPr="00E27E63">
        <w:rPr>
          <w:rFonts w:ascii="Aptos" w:hAnsi="Aptos"/>
        </w:rPr>
        <w:t>already contains, as Issue 3, an individual-based claim of the claims raised in Issue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E5DB5"/>
    <w:multiLevelType w:val="hybridMultilevel"/>
    <w:tmpl w:val="8670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85417"/>
    <w:multiLevelType w:val="hybridMultilevel"/>
    <w:tmpl w:val="54440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387D55"/>
    <w:multiLevelType w:val="hybridMultilevel"/>
    <w:tmpl w:val="57B65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4690">
    <w:abstractNumId w:val="0"/>
  </w:num>
  <w:num w:numId="2" w16cid:durableId="2140026849">
    <w:abstractNumId w:val="2"/>
  </w:num>
  <w:num w:numId="3" w16cid:durableId="75250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63"/>
    <w:rsid w:val="000D6EA8"/>
    <w:rsid w:val="000E6B29"/>
    <w:rsid w:val="00150373"/>
    <w:rsid w:val="00516464"/>
    <w:rsid w:val="00517758"/>
    <w:rsid w:val="006D17F9"/>
    <w:rsid w:val="00874D8A"/>
    <w:rsid w:val="00C23D0B"/>
    <w:rsid w:val="00C53E14"/>
    <w:rsid w:val="00E27E63"/>
    <w:rsid w:val="00EB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F350"/>
  <w15:chartTrackingRefBased/>
  <w15:docId w15:val="{9A34AB99-7EFF-4CFB-AB64-5344ACB7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5"/>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63"/>
    <w:pPr>
      <w:spacing w:after="0" w:line="240"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E27E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7E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7E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7E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7E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7E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E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E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E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unhideWhenUsed/>
    <w:rsid w:val="00874D8A"/>
    <w:rPr>
      <w:sz w:val="20"/>
      <w:szCs w:val="20"/>
    </w:rPr>
  </w:style>
  <w:style w:type="character" w:customStyle="1" w:styleId="FootnoteTextChar">
    <w:name w:val="Footnote Text Char"/>
    <w:basedOn w:val="DefaultParagraphFont"/>
    <w:link w:val="FootnoteText"/>
    <w:uiPriority w:val="99"/>
    <w:rsid w:val="00874D8A"/>
    <w:rPr>
      <w:sz w:val="20"/>
      <w:szCs w:val="20"/>
    </w:rPr>
  </w:style>
  <w:style w:type="character" w:styleId="FootnoteReference">
    <w:name w:val="footnote reference"/>
    <w:basedOn w:val="DefaultParagraphFont"/>
    <w:uiPriority w:val="99"/>
    <w:unhideWhenUsed/>
    <w:rsid w:val="00874D8A"/>
    <w:rPr>
      <w:vertAlign w:val="superscript"/>
    </w:rPr>
  </w:style>
  <w:style w:type="paragraph" w:styleId="ListParagraph">
    <w:name w:val="List Paragraph"/>
    <w:basedOn w:val="Normal"/>
    <w:uiPriority w:val="34"/>
    <w:qFormat/>
    <w:rsid w:val="00C23D0B"/>
    <w:pPr>
      <w:ind w:left="720"/>
      <w:contextualSpacing/>
    </w:pPr>
  </w:style>
  <w:style w:type="character" w:customStyle="1" w:styleId="Heading1Char">
    <w:name w:val="Heading 1 Char"/>
    <w:basedOn w:val="DefaultParagraphFont"/>
    <w:link w:val="Heading1"/>
    <w:uiPriority w:val="9"/>
    <w:rsid w:val="00E27E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7E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7E6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7E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7E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7E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7E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7E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7E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7E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E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7E63"/>
    <w:pPr>
      <w:spacing w:before="160"/>
      <w:jc w:val="center"/>
    </w:pPr>
    <w:rPr>
      <w:i/>
      <w:iCs/>
      <w:color w:val="404040" w:themeColor="text1" w:themeTint="BF"/>
    </w:rPr>
  </w:style>
  <w:style w:type="character" w:customStyle="1" w:styleId="QuoteChar">
    <w:name w:val="Quote Char"/>
    <w:basedOn w:val="DefaultParagraphFont"/>
    <w:link w:val="Quote"/>
    <w:uiPriority w:val="29"/>
    <w:rsid w:val="00E27E63"/>
    <w:rPr>
      <w:i/>
      <w:iCs/>
      <w:color w:val="404040" w:themeColor="text1" w:themeTint="BF"/>
    </w:rPr>
  </w:style>
  <w:style w:type="character" w:styleId="IntenseEmphasis">
    <w:name w:val="Intense Emphasis"/>
    <w:basedOn w:val="DefaultParagraphFont"/>
    <w:uiPriority w:val="21"/>
    <w:qFormat/>
    <w:rsid w:val="00E27E63"/>
    <w:rPr>
      <w:i/>
      <w:iCs/>
      <w:color w:val="2F5496" w:themeColor="accent1" w:themeShade="BF"/>
    </w:rPr>
  </w:style>
  <w:style w:type="paragraph" w:styleId="IntenseQuote">
    <w:name w:val="Intense Quote"/>
    <w:basedOn w:val="Normal"/>
    <w:next w:val="Normal"/>
    <w:link w:val="IntenseQuoteChar"/>
    <w:uiPriority w:val="30"/>
    <w:qFormat/>
    <w:rsid w:val="00E27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7E63"/>
    <w:rPr>
      <w:i/>
      <w:iCs/>
      <w:color w:val="2F5496" w:themeColor="accent1" w:themeShade="BF"/>
    </w:rPr>
  </w:style>
  <w:style w:type="character" w:styleId="IntenseReference">
    <w:name w:val="Intense Reference"/>
    <w:basedOn w:val="DefaultParagraphFont"/>
    <w:uiPriority w:val="32"/>
    <w:qFormat/>
    <w:rsid w:val="00E27E63"/>
    <w:rPr>
      <w:b/>
      <w:bCs/>
      <w:smallCaps/>
      <w:color w:val="2F5496" w:themeColor="accent1" w:themeShade="BF"/>
      <w:spacing w:val="5"/>
    </w:rPr>
  </w:style>
  <w:style w:type="paragraph" w:styleId="Footer">
    <w:name w:val="footer"/>
    <w:basedOn w:val="Normal"/>
    <w:link w:val="FooterChar"/>
    <w:uiPriority w:val="99"/>
    <w:unhideWhenUsed/>
    <w:rsid w:val="00E27E63"/>
    <w:pPr>
      <w:tabs>
        <w:tab w:val="center" w:pos="4680"/>
        <w:tab w:val="right" w:pos="9360"/>
      </w:tabs>
    </w:pPr>
  </w:style>
  <w:style w:type="character" w:customStyle="1" w:styleId="FooterChar">
    <w:name w:val="Footer Char"/>
    <w:basedOn w:val="DefaultParagraphFont"/>
    <w:link w:val="Footer"/>
    <w:uiPriority w:val="99"/>
    <w:rsid w:val="00E27E63"/>
    <w:rPr>
      <w:rFonts w:asciiTheme="minorHAnsi" w:hAnsiTheme="minorHAnsi"/>
      <w:kern w:val="0"/>
      <w:sz w:val="22"/>
      <w:szCs w:val="22"/>
      <w14:ligatures w14:val="none"/>
    </w:rPr>
  </w:style>
  <w:style w:type="paragraph" w:styleId="NormalWeb">
    <w:name w:val="Normal (Web)"/>
    <w:basedOn w:val="Normal"/>
    <w:uiPriority w:val="99"/>
    <w:unhideWhenUsed/>
    <w:rsid w:val="00E27E6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7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Link/Document/FullText?findType=Y&amp;serNum=1986133831&amp;pubNum=0000708&amp;originatingDoc=Ib53eb62e07a011dcb035bac3a32ef289&amp;refType=RP&amp;originationContext=document&amp;transitionType=DocumentItem&amp;ppcid=2fce1817b5564e5d8c182dbd120371cc&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CA43-0867-4484-88DF-775086F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3956</Words>
  <Characters>22553</Characters>
  <Application>Microsoft Office Word</Application>
  <DocSecurity>0</DocSecurity>
  <Lines>187</Lines>
  <Paragraphs>52</Paragraphs>
  <ScaleCrop>false</ScaleCrop>
  <Company>Commonwealth of Massachusetts</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2024-07-29T12:37:00Z</dcterms:created>
  <dcterms:modified xsi:type="dcterms:W3CDTF">2024-07-29T12:37:00Z</dcterms:modified>
</cp:coreProperties>
</file>