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95A72" w14:textId="58ACD049" w:rsidR="002F69AD" w:rsidRPr="009F2251" w:rsidRDefault="002F69AD" w:rsidP="002F69AD">
      <w:pPr>
        <w:jc w:val="center"/>
        <w:rPr>
          <w:rFonts w:ascii="Aptos" w:hAnsi="Aptos" w:cs="Times New Roman"/>
          <w:b/>
          <w:bCs/>
          <w:sz w:val="25"/>
          <w:szCs w:val="25"/>
        </w:rPr>
      </w:pPr>
      <w:r w:rsidRPr="009F2251">
        <w:rPr>
          <w:rFonts w:ascii="Aptos" w:hAnsi="Aptos" w:cs="Times New Roman"/>
          <w:b/>
          <w:bCs/>
          <w:sz w:val="25"/>
          <w:szCs w:val="25"/>
        </w:rPr>
        <w:t>COMMONWEALTH OF MASSACHUSETTS</w:t>
      </w:r>
    </w:p>
    <w:p w14:paraId="6FC77021" w14:textId="4B9CE3D1" w:rsidR="002F69AD" w:rsidRPr="009F2251" w:rsidRDefault="002F69AD" w:rsidP="002F69AD">
      <w:pPr>
        <w:jc w:val="center"/>
        <w:rPr>
          <w:rFonts w:ascii="Aptos" w:hAnsi="Aptos" w:cs="Times New Roman"/>
          <w:b/>
          <w:bCs/>
          <w:sz w:val="25"/>
          <w:szCs w:val="25"/>
        </w:rPr>
      </w:pPr>
      <w:r w:rsidRPr="009F2251">
        <w:rPr>
          <w:rFonts w:ascii="Aptos" w:hAnsi="Aptos" w:cs="Times New Roman"/>
          <w:b/>
          <w:bCs/>
          <w:sz w:val="25"/>
          <w:szCs w:val="25"/>
        </w:rPr>
        <w:t>DIVISION OF ADMINISTRATIVE LAW APPEALS</w:t>
      </w:r>
    </w:p>
    <w:p w14:paraId="3274F305" w14:textId="1296C495" w:rsidR="002F69AD" w:rsidRPr="009F2251" w:rsidRDefault="002F69AD" w:rsidP="002F69AD">
      <w:pPr>
        <w:spacing w:after="240"/>
        <w:jc w:val="center"/>
        <w:rPr>
          <w:rFonts w:ascii="Aptos" w:hAnsi="Aptos" w:cs="Times New Roman"/>
          <w:b/>
          <w:bCs/>
          <w:sz w:val="25"/>
          <w:szCs w:val="25"/>
        </w:rPr>
      </w:pPr>
      <w:r w:rsidRPr="009F2251">
        <w:rPr>
          <w:rFonts w:ascii="Aptos" w:hAnsi="Aptos" w:cs="Times New Roman"/>
          <w:b/>
          <w:bCs/>
          <w:sz w:val="25"/>
          <w:szCs w:val="25"/>
        </w:rPr>
        <w:t>BUREAU OF SPECIAL EDUCATION APPEALS</w:t>
      </w:r>
    </w:p>
    <w:p w14:paraId="4904D078" w14:textId="423317F1" w:rsidR="00E16272" w:rsidRPr="009F2251" w:rsidRDefault="00E16272" w:rsidP="002F69AD">
      <w:pPr>
        <w:spacing w:after="240"/>
        <w:rPr>
          <w:rFonts w:ascii="Aptos" w:hAnsi="Aptos" w:cs="Times New Roman"/>
          <w:sz w:val="25"/>
          <w:szCs w:val="25"/>
        </w:rPr>
      </w:pPr>
      <w:r w:rsidRPr="009F2251">
        <w:rPr>
          <w:rFonts w:ascii="Aptos" w:hAnsi="Aptos" w:cs="Times New Roman"/>
          <w:sz w:val="25"/>
          <w:szCs w:val="25"/>
        </w:rPr>
        <w:t>In re:</w:t>
      </w:r>
      <w:r w:rsidRPr="009F2251">
        <w:rPr>
          <w:rFonts w:ascii="Aptos" w:hAnsi="Aptos" w:cs="Times New Roman"/>
          <w:sz w:val="25"/>
          <w:szCs w:val="25"/>
        </w:rPr>
        <w:tab/>
      </w:r>
      <w:r w:rsidR="00DD3556">
        <w:rPr>
          <w:rFonts w:ascii="Aptos" w:hAnsi="Aptos" w:cs="Times New Roman"/>
          <w:sz w:val="25"/>
          <w:szCs w:val="25"/>
        </w:rPr>
        <w:t>Delilah</w:t>
      </w:r>
      <w:r w:rsidR="002F69AD" w:rsidRPr="009F2251">
        <w:rPr>
          <w:rStyle w:val="FootnoteReference"/>
          <w:rFonts w:ascii="Aptos" w:hAnsi="Aptos" w:cs="Times New Roman"/>
          <w:sz w:val="25"/>
          <w:szCs w:val="25"/>
        </w:rPr>
        <w:footnoteReference w:id="1"/>
      </w:r>
      <w:r w:rsidR="002F69AD" w:rsidRPr="009F2251">
        <w:rPr>
          <w:rFonts w:ascii="Aptos" w:hAnsi="Aptos" w:cs="Times New Roman"/>
          <w:sz w:val="25"/>
          <w:szCs w:val="25"/>
        </w:rPr>
        <w:tab/>
      </w:r>
      <w:r w:rsidR="002F69AD" w:rsidRPr="009F2251">
        <w:rPr>
          <w:rFonts w:ascii="Aptos" w:hAnsi="Aptos" w:cs="Times New Roman"/>
          <w:sz w:val="25"/>
          <w:szCs w:val="25"/>
        </w:rPr>
        <w:tab/>
      </w:r>
      <w:r w:rsidR="002F69AD" w:rsidRPr="009F2251">
        <w:rPr>
          <w:rFonts w:ascii="Aptos" w:hAnsi="Aptos" w:cs="Times New Roman"/>
          <w:sz w:val="25"/>
          <w:szCs w:val="25"/>
        </w:rPr>
        <w:tab/>
      </w:r>
      <w:r w:rsidR="002F69AD" w:rsidRPr="009F2251">
        <w:rPr>
          <w:rFonts w:ascii="Aptos" w:hAnsi="Aptos" w:cs="Times New Roman"/>
          <w:sz w:val="25"/>
          <w:szCs w:val="25"/>
        </w:rPr>
        <w:tab/>
      </w:r>
      <w:r w:rsidR="002F69AD" w:rsidRPr="009F2251">
        <w:rPr>
          <w:rFonts w:ascii="Aptos" w:hAnsi="Aptos" w:cs="Times New Roman"/>
          <w:sz w:val="25"/>
          <w:szCs w:val="25"/>
        </w:rPr>
        <w:tab/>
      </w:r>
      <w:r w:rsidR="002F69AD" w:rsidRPr="009F2251">
        <w:rPr>
          <w:rFonts w:ascii="Aptos" w:hAnsi="Aptos" w:cs="Times New Roman"/>
          <w:sz w:val="25"/>
          <w:szCs w:val="25"/>
        </w:rPr>
        <w:tab/>
      </w:r>
      <w:r w:rsidR="002F69AD" w:rsidRPr="009F2251">
        <w:rPr>
          <w:rFonts w:ascii="Aptos" w:hAnsi="Aptos" w:cs="Times New Roman"/>
          <w:sz w:val="25"/>
          <w:szCs w:val="25"/>
        </w:rPr>
        <w:tab/>
      </w:r>
      <w:r w:rsidR="002F69AD" w:rsidRPr="009F2251">
        <w:rPr>
          <w:rFonts w:ascii="Aptos" w:hAnsi="Aptos" w:cs="Times New Roman"/>
          <w:sz w:val="25"/>
          <w:szCs w:val="25"/>
        </w:rPr>
        <w:tab/>
        <w:t>BSEA #</w:t>
      </w:r>
      <w:r w:rsidR="009F3B18" w:rsidRPr="009F2251">
        <w:rPr>
          <w:rFonts w:ascii="Aptos" w:hAnsi="Aptos" w:cs="Times New Roman"/>
          <w:sz w:val="25"/>
          <w:szCs w:val="25"/>
        </w:rPr>
        <w:t>2412522</w:t>
      </w:r>
    </w:p>
    <w:p w14:paraId="47F7139E" w14:textId="70ECD719" w:rsidR="00E16272" w:rsidRPr="009F2251" w:rsidRDefault="00E16272" w:rsidP="002F69AD">
      <w:pPr>
        <w:spacing w:after="240"/>
        <w:jc w:val="center"/>
        <w:rPr>
          <w:rFonts w:ascii="Aptos" w:hAnsi="Aptos" w:cs="Times New Roman"/>
          <w:b/>
          <w:bCs/>
          <w:sz w:val="25"/>
          <w:szCs w:val="25"/>
          <w:u w:val="single"/>
        </w:rPr>
      </w:pPr>
      <w:r w:rsidRPr="009F2251">
        <w:rPr>
          <w:rFonts w:ascii="Aptos" w:hAnsi="Aptos" w:cs="Times New Roman"/>
          <w:b/>
          <w:bCs/>
          <w:sz w:val="25"/>
          <w:szCs w:val="25"/>
          <w:u w:val="single"/>
        </w:rPr>
        <w:t>RULING ON WORCESTER PUBLIC SCHOOLS’ MOTION TO DISMISS</w:t>
      </w:r>
    </w:p>
    <w:p w14:paraId="197FB0D5" w14:textId="77777777" w:rsidR="007626D4" w:rsidRDefault="002F69AD">
      <w:pPr>
        <w:rPr>
          <w:rFonts w:ascii="Aptos" w:hAnsi="Aptos" w:cs="Times New Roman"/>
          <w:sz w:val="25"/>
          <w:szCs w:val="25"/>
        </w:rPr>
      </w:pPr>
      <w:r w:rsidRPr="009F2251">
        <w:rPr>
          <w:rFonts w:ascii="Aptos" w:hAnsi="Aptos" w:cs="Times New Roman"/>
          <w:sz w:val="25"/>
          <w:szCs w:val="25"/>
        </w:rPr>
        <w:tab/>
        <w:t>This matter comes before the Hearing Officer on the Motion of the Worcester Public Schools (“Worcester” or “the District”</w:t>
      </w:r>
      <w:r w:rsidR="00837D6D" w:rsidRPr="009F2251">
        <w:rPr>
          <w:rFonts w:ascii="Aptos" w:hAnsi="Aptos" w:cs="Times New Roman"/>
          <w:sz w:val="25"/>
          <w:szCs w:val="25"/>
        </w:rPr>
        <w:t>)</w:t>
      </w:r>
      <w:r w:rsidRPr="009F2251">
        <w:rPr>
          <w:rFonts w:ascii="Aptos" w:hAnsi="Aptos" w:cs="Times New Roman"/>
          <w:sz w:val="25"/>
          <w:szCs w:val="25"/>
        </w:rPr>
        <w:t xml:space="preserve"> to Dismiss the Hearing Request filed by Parent</w:t>
      </w:r>
      <w:r w:rsidR="00B93F03" w:rsidRPr="009F2251">
        <w:rPr>
          <w:rFonts w:ascii="Aptos" w:hAnsi="Aptos" w:cs="Times New Roman"/>
          <w:sz w:val="25"/>
          <w:szCs w:val="25"/>
        </w:rPr>
        <w:t>s</w:t>
      </w:r>
      <w:r w:rsidRPr="009F2251">
        <w:rPr>
          <w:rFonts w:ascii="Aptos" w:hAnsi="Aptos" w:cs="Times New Roman"/>
          <w:sz w:val="25"/>
          <w:szCs w:val="25"/>
        </w:rPr>
        <w:t xml:space="preserve"> on behalf of </w:t>
      </w:r>
      <w:r w:rsidR="00DD3556">
        <w:rPr>
          <w:rFonts w:ascii="Aptos" w:hAnsi="Aptos" w:cs="Times New Roman"/>
          <w:sz w:val="25"/>
          <w:szCs w:val="25"/>
        </w:rPr>
        <w:t>Delilah</w:t>
      </w:r>
      <w:r w:rsidRPr="009F2251">
        <w:rPr>
          <w:rFonts w:ascii="Aptos" w:hAnsi="Aptos" w:cs="Times New Roman"/>
          <w:sz w:val="25"/>
          <w:szCs w:val="25"/>
        </w:rPr>
        <w:t xml:space="preserve">. Worcester filed its </w:t>
      </w:r>
      <w:r w:rsidRPr="009F2251">
        <w:rPr>
          <w:rFonts w:ascii="Aptos" w:hAnsi="Aptos" w:cs="Times New Roman"/>
          <w:i/>
          <w:iCs/>
          <w:sz w:val="25"/>
          <w:szCs w:val="25"/>
        </w:rPr>
        <w:t>Motion to Dismiss</w:t>
      </w:r>
      <w:r w:rsidRPr="009F2251">
        <w:rPr>
          <w:rFonts w:ascii="Aptos" w:hAnsi="Aptos" w:cs="Times New Roman"/>
          <w:sz w:val="25"/>
          <w:szCs w:val="25"/>
        </w:rPr>
        <w:t xml:space="preserve">, accompanied by a Memorandum of Law in support thereof, on </w:t>
      </w:r>
      <w:r w:rsidR="00BB7E30" w:rsidRPr="009F2251">
        <w:rPr>
          <w:rFonts w:ascii="Aptos" w:hAnsi="Aptos" w:cs="Times New Roman"/>
          <w:sz w:val="25"/>
          <w:szCs w:val="25"/>
        </w:rPr>
        <w:t>June</w:t>
      </w:r>
      <w:r w:rsidRPr="009F2251">
        <w:rPr>
          <w:rFonts w:ascii="Aptos" w:hAnsi="Aptos" w:cs="Times New Roman"/>
          <w:sz w:val="25"/>
          <w:szCs w:val="25"/>
        </w:rPr>
        <w:t xml:space="preserve"> </w:t>
      </w:r>
      <w:r w:rsidR="006B3948" w:rsidRPr="009F2251">
        <w:rPr>
          <w:rFonts w:ascii="Aptos" w:hAnsi="Aptos" w:cs="Times New Roman"/>
          <w:sz w:val="25"/>
          <w:szCs w:val="25"/>
        </w:rPr>
        <w:t>3</w:t>
      </w:r>
      <w:r w:rsidRPr="009F2251">
        <w:rPr>
          <w:rFonts w:ascii="Aptos" w:hAnsi="Aptos" w:cs="Times New Roman"/>
          <w:sz w:val="25"/>
          <w:szCs w:val="25"/>
        </w:rPr>
        <w:t xml:space="preserve">, </w:t>
      </w:r>
      <w:r w:rsidR="006B3948" w:rsidRPr="009F2251">
        <w:rPr>
          <w:rFonts w:ascii="Aptos" w:hAnsi="Aptos" w:cs="Times New Roman"/>
          <w:sz w:val="25"/>
          <w:szCs w:val="25"/>
        </w:rPr>
        <w:t>2024</w:t>
      </w:r>
      <w:r w:rsidRPr="009F2251">
        <w:rPr>
          <w:rFonts w:ascii="Aptos" w:hAnsi="Aptos" w:cs="Times New Roman"/>
          <w:sz w:val="25"/>
          <w:szCs w:val="25"/>
        </w:rPr>
        <w:t xml:space="preserve">. </w:t>
      </w:r>
      <w:r w:rsidR="00E67406" w:rsidRPr="009F2251">
        <w:rPr>
          <w:rFonts w:ascii="Aptos" w:hAnsi="Aptos" w:cs="Times New Roman"/>
          <w:sz w:val="25"/>
          <w:szCs w:val="25"/>
        </w:rPr>
        <w:t xml:space="preserve">On June 12, </w:t>
      </w:r>
      <w:r w:rsidR="008F1DBB" w:rsidRPr="009F2251">
        <w:rPr>
          <w:rFonts w:ascii="Aptos" w:hAnsi="Aptos" w:cs="Times New Roman"/>
          <w:sz w:val="25"/>
          <w:szCs w:val="25"/>
        </w:rPr>
        <w:t xml:space="preserve">2024, </w:t>
      </w:r>
      <w:r w:rsidR="00E67406" w:rsidRPr="009F2251">
        <w:rPr>
          <w:rFonts w:ascii="Aptos" w:hAnsi="Aptos" w:cs="Times New Roman"/>
          <w:sz w:val="25"/>
          <w:szCs w:val="25"/>
        </w:rPr>
        <w:t>Parents filed a</w:t>
      </w:r>
      <w:r w:rsidR="00354D22" w:rsidRPr="009F2251">
        <w:rPr>
          <w:rFonts w:ascii="Aptos" w:hAnsi="Aptos" w:cs="Times New Roman"/>
          <w:sz w:val="25"/>
          <w:szCs w:val="25"/>
        </w:rPr>
        <w:t xml:space="preserve">n </w:t>
      </w:r>
      <w:r w:rsidR="00354D22" w:rsidRPr="009F2251">
        <w:rPr>
          <w:rFonts w:ascii="Aptos" w:hAnsi="Aptos" w:cs="Times New Roman"/>
          <w:i/>
          <w:iCs/>
          <w:color w:val="000000" w:themeColor="text1"/>
          <w:sz w:val="25"/>
          <w:szCs w:val="25"/>
        </w:rPr>
        <w:t>Opposition</w:t>
      </w:r>
      <w:r w:rsidR="004A73D3" w:rsidRPr="009F2251">
        <w:rPr>
          <w:rFonts w:ascii="Aptos" w:hAnsi="Aptos" w:cs="Times New Roman"/>
          <w:sz w:val="25"/>
          <w:szCs w:val="25"/>
        </w:rPr>
        <w:t>.</w:t>
      </w:r>
      <w:r w:rsidRPr="009F2251">
        <w:rPr>
          <w:rFonts w:ascii="Aptos" w:hAnsi="Aptos" w:cs="Times New Roman"/>
          <w:sz w:val="25"/>
          <w:szCs w:val="25"/>
        </w:rPr>
        <w:t xml:space="preserve"> Neither party requested a hearing on the Motion, and as testimony or oral argument would not advance the Hearing Officer’s understanding of the issues involved, this Ruling is being issued without a hearing pursuant to </w:t>
      </w:r>
      <w:r w:rsidR="009D3CED" w:rsidRPr="009F2251">
        <w:rPr>
          <w:rFonts w:ascii="Aptos" w:hAnsi="Aptos" w:cs="Times New Roman"/>
          <w:i/>
          <w:iCs/>
          <w:sz w:val="25"/>
          <w:szCs w:val="25"/>
        </w:rPr>
        <w:t>Rule VII(D)</w:t>
      </w:r>
      <w:r w:rsidR="009D3CED" w:rsidRPr="009F2251">
        <w:rPr>
          <w:rFonts w:ascii="Aptos" w:hAnsi="Aptos" w:cs="Times New Roman"/>
          <w:sz w:val="25"/>
          <w:szCs w:val="25"/>
        </w:rPr>
        <w:t xml:space="preserve"> of the </w:t>
      </w:r>
      <w:r w:rsidR="003F78AC" w:rsidRPr="009F2251">
        <w:rPr>
          <w:rFonts w:ascii="Aptos" w:hAnsi="Aptos" w:cs="Times New Roman"/>
          <w:i/>
          <w:iCs/>
          <w:sz w:val="25"/>
          <w:szCs w:val="25"/>
        </w:rPr>
        <w:t xml:space="preserve">BSEA </w:t>
      </w:r>
      <w:r w:rsidR="009D3CED" w:rsidRPr="009F2251">
        <w:rPr>
          <w:rFonts w:ascii="Aptos" w:hAnsi="Aptos" w:cs="Times New Roman"/>
          <w:i/>
          <w:iCs/>
          <w:sz w:val="25"/>
          <w:szCs w:val="25"/>
        </w:rPr>
        <w:t>Hearing Rules for Special Education Appeals</w:t>
      </w:r>
      <w:r w:rsidR="009D3CED" w:rsidRPr="009F2251">
        <w:rPr>
          <w:rFonts w:ascii="Aptos" w:hAnsi="Aptos" w:cs="Times New Roman"/>
          <w:sz w:val="25"/>
          <w:szCs w:val="25"/>
        </w:rPr>
        <w:t xml:space="preserve"> (</w:t>
      </w:r>
      <w:r w:rsidR="009D3CED" w:rsidRPr="009F2251">
        <w:rPr>
          <w:rFonts w:ascii="Aptos" w:hAnsi="Aptos" w:cs="Times New Roman"/>
          <w:i/>
          <w:iCs/>
          <w:sz w:val="25"/>
          <w:szCs w:val="25"/>
        </w:rPr>
        <w:t>Hearing Rules</w:t>
      </w:r>
      <w:r w:rsidR="009D3CED" w:rsidRPr="009F2251">
        <w:rPr>
          <w:rFonts w:ascii="Aptos" w:hAnsi="Aptos" w:cs="Times New Roman"/>
          <w:sz w:val="25"/>
          <w:szCs w:val="25"/>
        </w:rPr>
        <w:t>).</w:t>
      </w:r>
      <w:r w:rsidR="00B52954" w:rsidRPr="009F2251">
        <w:rPr>
          <w:rFonts w:ascii="Aptos" w:hAnsi="Aptos" w:cs="Times New Roman"/>
          <w:sz w:val="25"/>
          <w:szCs w:val="25"/>
        </w:rPr>
        <w:t xml:space="preserve"> </w:t>
      </w:r>
    </w:p>
    <w:p w14:paraId="378ED09F" w14:textId="77777777" w:rsidR="007626D4" w:rsidRDefault="007626D4">
      <w:pPr>
        <w:rPr>
          <w:rFonts w:ascii="Aptos" w:hAnsi="Aptos" w:cs="Times New Roman"/>
          <w:sz w:val="25"/>
          <w:szCs w:val="25"/>
        </w:rPr>
      </w:pPr>
    </w:p>
    <w:p w14:paraId="32B7D976" w14:textId="0D08C5AE" w:rsidR="00E16272" w:rsidRPr="009F2251" w:rsidRDefault="002F69AD" w:rsidP="00880E34">
      <w:pPr>
        <w:ind w:firstLine="720"/>
        <w:rPr>
          <w:rFonts w:ascii="Aptos" w:hAnsi="Aptos" w:cs="Times New Roman"/>
          <w:sz w:val="25"/>
          <w:szCs w:val="25"/>
        </w:rPr>
      </w:pPr>
      <w:r w:rsidRPr="009F2251">
        <w:rPr>
          <w:rFonts w:ascii="Aptos" w:hAnsi="Aptos" w:cs="Times New Roman"/>
          <w:sz w:val="25"/>
          <w:szCs w:val="25"/>
        </w:rPr>
        <w:t xml:space="preserve">For the reasons set forth below, Worcester’s </w:t>
      </w:r>
      <w:r w:rsidRPr="009F2251">
        <w:rPr>
          <w:rFonts w:ascii="Aptos" w:hAnsi="Aptos" w:cs="Times New Roman"/>
          <w:i/>
          <w:iCs/>
          <w:sz w:val="25"/>
          <w:szCs w:val="25"/>
        </w:rPr>
        <w:t xml:space="preserve">Motion to Dismiss </w:t>
      </w:r>
      <w:r w:rsidRPr="009F2251">
        <w:rPr>
          <w:rFonts w:ascii="Aptos" w:hAnsi="Aptos" w:cs="Times New Roman"/>
          <w:sz w:val="25"/>
          <w:szCs w:val="25"/>
        </w:rPr>
        <w:t>is hereby ALLOWED IN PART and DENIED IN PART.</w:t>
      </w:r>
    </w:p>
    <w:p w14:paraId="73062E86" w14:textId="77777777" w:rsidR="00E16272" w:rsidRPr="009F2251" w:rsidRDefault="00E16272">
      <w:pPr>
        <w:rPr>
          <w:rFonts w:ascii="Aptos" w:hAnsi="Aptos" w:cs="Times New Roman"/>
          <w:sz w:val="25"/>
          <w:szCs w:val="25"/>
        </w:rPr>
      </w:pPr>
    </w:p>
    <w:p w14:paraId="330F4581" w14:textId="51AD75C1" w:rsidR="00E16272" w:rsidRPr="009F2251" w:rsidRDefault="00E16272" w:rsidP="00AF5843">
      <w:pPr>
        <w:pStyle w:val="NoSpacing"/>
        <w:numPr>
          <w:ilvl w:val="0"/>
          <w:numId w:val="17"/>
        </w:numPr>
        <w:spacing w:after="240"/>
        <w:rPr>
          <w:rFonts w:ascii="Aptos" w:hAnsi="Aptos" w:cs="Times New Roman"/>
          <w:sz w:val="25"/>
          <w:szCs w:val="25"/>
        </w:rPr>
      </w:pPr>
      <w:r w:rsidRPr="009F2251">
        <w:rPr>
          <w:rFonts w:ascii="Aptos" w:hAnsi="Aptos" w:cs="Times New Roman"/>
          <w:sz w:val="25"/>
          <w:szCs w:val="25"/>
        </w:rPr>
        <w:t>FACTUAL BACKGROUND AND PROCEDURAL HISTORY</w:t>
      </w:r>
    </w:p>
    <w:p w14:paraId="5FF6E779" w14:textId="1F6EBF0A" w:rsidR="00CF28CC" w:rsidRPr="009F2251" w:rsidRDefault="006E61B8" w:rsidP="00B16296">
      <w:pPr>
        <w:pStyle w:val="NoSpacing"/>
        <w:spacing w:after="240"/>
        <w:ind w:firstLine="720"/>
        <w:rPr>
          <w:rFonts w:ascii="Aptos" w:hAnsi="Aptos" w:cs="Times New Roman"/>
          <w:sz w:val="25"/>
          <w:szCs w:val="25"/>
        </w:rPr>
      </w:pPr>
      <w:r w:rsidRPr="009F2251">
        <w:rPr>
          <w:rFonts w:ascii="Aptos" w:hAnsi="Aptos" w:cs="Times New Roman"/>
          <w:sz w:val="25"/>
          <w:szCs w:val="25"/>
        </w:rPr>
        <w:t xml:space="preserve">On May 8, 2024, Parents filed a </w:t>
      </w:r>
      <w:r w:rsidRPr="009F2251">
        <w:rPr>
          <w:rFonts w:ascii="Aptos" w:hAnsi="Aptos" w:cs="Times New Roman"/>
          <w:i/>
          <w:iCs/>
          <w:sz w:val="25"/>
          <w:szCs w:val="25"/>
        </w:rPr>
        <w:t>Hearing Request</w:t>
      </w:r>
      <w:r w:rsidRPr="009F2251">
        <w:rPr>
          <w:rFonts w:ascii="Aptos" w:hAnsi="Aptos" w:cs="Times New Roman"/>
          <w:sz w:val="25"/>
          <w:szCs w:val="25"/>
        </w:rPr>
        <w:t xml:space="preserve"> against Worcester</w:t>
      </w:r>
      <w:r w:rsidR="00B16296" w:rsidRPr="009F2251">
        <w:rPr>
          <w:rFonts w:ascii="Aptos" w:hAnsi="Aptos" w:cs="Times New Roman"/>
          <w:sz w:val="25"/>
          <w:szCs w:val="25"/>
        </w:rPr>
        <w:t xml:space="preserve"> seeking </w:t>
      </w:r>
      <w:r w:rsidR="00601C30" w:rsidRPr="009F2251">
        <w:rPr>
          <w:rFonts w:ascii="Aptos" w:hAnsi="Aptos" w:cs="Times New Roman"/>
          <w:sz w:val="25"/>
          <w:szCs w:val="25"/>
        </w:rPr>
        <w:t xml:space="preserve">a transfer to either Nelson Place School or Flagg Street School with </w:t>
      </w:r>
      <w:r w:rsidR="00B16296" w:rsidRPr="009F2251">
        <w:rPr>
          <w:rFonts w:ascii="Aptos" w:hAnsi="Aptos" w:cs="Times New Roman"/>
          <w:sz w:val="25"/>
          <w:szCs w:val="25"/>
        </w:rPr>
        <w:t xml:space="preserve">specialized transportation for their daughter, </w:t>
      </w:r>
      <w:r w:rsidR="00DD3556">
        <w:rPr>
          <w:rFonts w:ascii="Aptos" w:hAnsi="Aptos" w:cs="Times New Roman"/>
          <w:sz w:val="25"/>
          <w:szCs w:val="25"/>
        </w:rPr>
        <w:t>Delilah</w:t>
      </w:r>
      <w:r w:rsidR="00B16296" w:rsidRPr="009F2251">
        <w:rPr>
          <w:rFonts w:ascii="Aptos" w:hAnsi="Aptos" w:cs="Times New Roman"/>
          <w:sz w:val="25"/>
          <w:szCs w:val="25"/>
        </w:rPr>
        <w:t>, for the 2024-2025 school year.</w:t>
      </w:r>
      <w:r w:rsidRPr="009F2251">
        <w:rPr>
          <w:rFonts w:ascii="Aptos" w:hAnsi="Aptos" w:cs="Times New Roman"/>
          <w:sz w:val="25"/>
          <w:szCs w:val="25"/>
        </w:rPr>
        <w:t xml:space="preserve"> Parents </w:t>
      </w:r>
      <w:r w:rsidR="00880E34">
        <w:rPr>
          <w:rFonts w:ascii="Aptos" w:hAnsi="Aptos" w:cs="Times New Roman"/>
          <w:sz w:val="25"/>
          <w:szCs w:val="25"/>
        </w:rPr>
        <w:t xml:space="preserve">noted that they were </w:t>
      </w:r>
      <w:r w:rsidRPr="009F2251">
        <w:rPr>
          <w:rFonts w:ascii="Aptos" w:hAnsi="Aptos" w:cs="Times New Roman"/>
          <w:sz w:val="25"/>
          <w:szCs w:val="25"/>
        </w:rPr>
        <w:t>reserv</w:t>
      </w:r>
      <w:r w:rsidR="00880E34">
        <w:rPr>
          <w:rFonts w:ascii="Aptos" w:hAnsi="Aptos" w:cs="Times New Roman"/>
          <w:sz w:val="25"/>
          <w:szCs w:val="25"/>
        </w:rPr>
        <w:t>ing</w:t>
      </w:r>
      <w:r w:rsidRPr="009F2251">
        <w:rPr>
          <w:rFonts w:ascii="Aptos" w:hAnsi="Aptos" w:cs="Times New Roman"/>
          <w:sz w:val="25"/>
          <w:szCs w:val="25"/>
        </w:rPr>
        <w:t xml:space="preserve"> the right to continue the</w:t>
      </w:r>
      <w:r w:rsidR="00CF28CC" w:rsidRPr="009F2251">
        <w:rPr>
          <w:rFonts w:ascii="Aptos" w:hAnsi="Aptos" w:cs="Times New Roman"/>
          <w:sz w:val="25"/>
          <w:szCs w:val="25"/>
        </w:rPr>
        <w:t xml:space="preserve"> previously filed</w:t>
      </w:r>
      <w:r w:rsidRPr="009F2251">
        <w:rPr>
          <w:rFonts w:ascii="Aptos" w:hAnsi="Aptos" w:cs="Times New Roman"/>
          <w:sz w:val="25"/>
          <w:szCs w:val="25"/>
        </w:rPr>
        <w:t xml:space="preserve"> </w:t>
      </w:r>
      <w:r w:rsidR="002F69AD" w:rsidRPr="009F2251">
        <w:rPr>
          <w:rFonts w:ascii="Aptos" w:hAnsi="Aptos" w:cs="Times New Roman"/>
          <w:sz w:val="25"/>
          <w:szCs w:val="25"/>
        </w:rPr>
        <w:t>Problem Resolution System (</w:t>
      </w:r>
      <w:r w:rsidRPr="009F2251">
        <w:rPr>
          <w:rFonts w:ascii="Aptos" w:hAnsi="Aptos" w:cs="Times New Roman"/>
          <w:sz w:val="25"/>
          <w:szCs w:val="25"/>
        </w:rPr>
        <w:t>PRS</w:t>
      </w:r>
      <w:r w:rsidR="002F69AD" w:rsidRPr="009F2251">
        <w:rPr>
          <w:rFonts w:ascii="Aptos" w:hAnsi="Aptos" w:cs="Times New Roman"/>
          <w:sz w:val="25"/>
          <w:szCs w:val="25"/>
        </w:rPr>
        <w:t>)</w:t>
      </w:r>
      <w:r w:rsidRPr="009F2251">
        <w:rPr>
          <w:rFonts w:ascii="Aptos" w:hAnsi="Aptos" w:cs="Times New Roman"/>
          <w:sz w:val="25"/>
          <w:szCs w:val="25"/>
        </w:rPr>
        <w:t xml:space="preserve"> complaint against the District.</w:t>
      </w:r>
    </w:p>
    <w:p w14:paraId="61789BC0" w14:textId="026846F6" w:rsidR="00372806" w:rsidRPr="009F2251" w:rsidRDefault="00C44CB8" w:rsidP="00503672">
      <w:pPr>
        <w:pStyle w:val="NoSpacing"/>
        <w:spacing w:after="240"/>
        <w:ind w:firstLine="720"/>
        <w:rPr>
          <w:rFonts w:ascii="Aptos" w:hAnsi="Aptos" w:cs="Times New Roman"/>
          <w:sz w:val="25"/>
          <w:szCs w:val="25"/>
        </w:rPr>
      </w:pPr>
      <w:r w:rsidRPr="009F2251">
        <w:rPr>
          <w:rFonts w:ascii="Aptos" w:hAnsi="Aptos" w:cs="Times New Roman"/>
          <w:sz w:val="25"/>
          <w:szCs w:val="25"/>
        </w:rPr>
        <w:t xml:space="preserve">On </w:t>
      </w:r>
      <w:r w:rsidR="006E61B8" w:rsidRPr="009F2251">
        <w:rPr>
          <w:rFonts w:ascii="Aptos" w:hAnsi="Aptos" w:cs="Times New Roman"/>
          <w:sz w:val="25"/>
          <w:szCs w:val="25"/>
        </w:rPr>
        <w:t xml:space="preserve">May 20, 2024, </w:t>
      </w:r>
      <w:r w:rsidR="00426FA3" w:rsidRPr="009F2251">
        <w:rPr>
          <w:rFonts w:ascii="Aptos" w:hAnsi="Aptos" w:cs="Times New Roman"/>
          <w:sz w:val="25"/>
          <w:szCs w:val="25"/>
        </w:rPr>
        <w:t>Worcester</w:t>
      </w:r>
      <w:r w:rsidR="006E61B8" w:rsidRPr="009F2251">
        <w:rPr>
          <w:rFonts w:ascii="Aptos" w:hAnsi="Aptos" w:cs="Times New Roman"/>
          <w:sz w:val="25"/>
          <w:szCs w:val="25"/>
        </w:rPr>
        <w:t xml:space="preserve"> filed </w:t>
      </w:r>
      <w:r w:rsidRPr="009F2251">
        <w:rPr>
          <w:rFonts w:ascii="Aptos" w:hAnsi="Aptos" w:cs="Times New Roman"/>
          <w:sz w:val="25"/>
          <w:szCs w:val="25"/>
        </w:rPr>
        <w:t xml:space="preserve">a </w:t>
      </w:r>
      <w:r w:rsidR="00406447" w:rsidRPr="009F2251">
        <w:rPr>
          <w:rFonts w:ascii="Aptos" w:hAnsi="Aptos" w:cs="Times New Roman"/>
          <w:i/>
          <w:iCs/>
          <w:sz w:val="25"/>
          <w:szCs w:val="25"/>
        </w:rPr>
        <w:t>Sufficiency Challenge</w:t>
      </w:r>
      <w:r w:rsidR="003C4000" w:rsidRPr="009F2251">
        <w:rPr>
          <w:rFonts w:ascii="Aptos" w:hAnsi="Aptos" w:cs="Times New Roman"/>
          <w:sz w:val="25"/>
          <w:szCs w:val="25"/>
        </w:rPr>
        <w:t xml:space="preserve"> </w:t>
      </w:r>
      <w:r w:rsidR="00DF1E23" w:rsidRPr="009F2251">
        <w:rPr>
          <w:rFonts w:ascii="Aptos" w:hAnsi="Aptos" w:cs="Times New Roman"/>
          <w:sz w:val="25"/>
          <w:szCs w:val="25"/>
        </w:rPr>
        <w:t>to Parents’</w:t>
      </w:r>
      <w:r w:rsidR="00B84642" w:rsidRPr="009F2251">
        <w:rPr>
          <w:rFonts w:ascii="Aptos" w:hAnsi="Aptos" w:cs="Times New Roman"/>
          <w:sz w:val="25"/>
          <w:szCs w:val="25"/>
        </w:rPr>
        <w:t xml:space="preserve"> </w:t>
      </w:r>
      <w:r w:rsidR="00B84642" w:rsidRPr="009F2251">
        <w:rPr>
          <w:rFonts w:ascii="Aptos" w:hAnsi="Aptos" w:cs="Times New Roman"/>
          <w:i/>
          <w:iCs/>
          <w:sz w:val="25"/>
          <w:szCs w:val="25"/>
        </w:rPr>
        <w:t xml:space="preserve">Hearing Request </w:t>
      </w:r>
      <w:r w:rsidR="00B84642" w:rsidRPr="009F2251">
        <w:rPr>
          <w:rFonts w:ascii="Aptos" w:hAnsi="Aptos" w:cs="Times New Roman"/>
          <w:sz w:val="25"/>
          <w:szCs w:val="25"/>
        </w:rPr>
        <w:t xml:space="preserve">and on </w:t>
      </w:r>
      <w:r w:rsidR="009C5DD2" w:rsidRPr="009F2251">
        <w:rPr>
          <w:rFonts w:ascii="Aptos" w:hAnsi="Aptos" w:cs="Times New Roman"/>
          <w:sz w:val="25"/>
          <w:szCs w:val="25"/>
        </w:rPr>
        <w:t>May</w:t>
      </w:r>
      <w:r w:rsidR="00B84642" w:rsidRPr="009F2251">
        <w:rPr>
          <w:rFonts w:ascii="Aptos" w:hAnsi="Aptos" w:cs="Times New Roman"/>
          <w:sz w:val="25"/>
          <w:szCs w:val="25"/>
        </w:rPr>
        <w:t xml:space="preserve"> 21, 2024,</w:t>
      </w:r>
      <w:r w:rsidR="001326BC" w:rsidRPr="009F2251">
        <w:rPr>
          <w:rFonts w:ascii="Aptos" w:hAnsi="Aptos" w:cs="Times New Roman"/>
          <w:sz w:val="25"/>
          <w:szCs w:val="25"/>
        </w:rPr>
        <w:t xml:space="preserve"> the undersigned hearing officer issued an order granting it. </w:t>
      </w:r>
      <w:r w:rsidR="00744056" w:rsidRPr="009F2251">
        <w:rPr>
          <w:rFonts w:ascii="Aptos" w:hAnsi="Aptos" w:cs="Times New Roman"/>
          <w:sz w:val="25"/>
          <w:szCs w:val="25"/>
        </w:rPr>
        <w:t>Pursuant to BSEA</w:t>
      </w:r>
      <w:r w:rsidR="00744056" w:rsidRPr="009F2251">
        <w:rPr>
          <w:rFonts w:ascii="Aptos" w:hAnsi="Aptos" w:cs="Times New Roman"/>
          <w:i/>
          <w:iCs/>
          <w:sz w:val="25"/>
          <w:szCs w:val="25"/>
        </w:rPr>
        <w:t xml:space="preserve"> Hearing Rule </w:t>
      </w:r>
      <w:r w:rsidR="00A41FF6" w:rsidRPr="009F2251">
        <w:rPr>
          <w:rFonts w:ascii="Aptos" w:hAnsi="Aptos" w:cs="Times New Roman"/>
          <w:i/>
          <w:iCs/>
          <w:sz w:val="25"/>
          <w:szCs w:val="25"/>
        </w:rPr>
        <w:t>I(E)</w:t>
      </w:r>
      <w:r w:rsidR="00BD271E" w:rsidRPr="009F2251">
        <w:rPr>
          <w:rFonts w:ascii="Aptos" w:hAnsi="Aptos" w:cs="Times New Roman"/>
          <w:sz w:val="25"/>
          <w:szCs w:val="25"/>
        </w:rPr>
        <w:t xml:space="preserve">, Parents were permitted </w:t>
      </w:r>
      <w:r w:rsidR="002E23BA" w:rsidRPr="009F2251">
        <w:rPr>
          <w:rFonts w:ascii="Aptos" w:hAnsi="Aptos" w:cs="Times New Roman"/>
          <w:sz w:val="25"/>
          <w:szCs w:val="25"/>
        </w:rPr>
        <w:t>1</w:t>
      </w:r>
      <w:r w:rsidR="00CC3B02">
        <w:rPr>
          <w:rFonts w:ascii="Aptos" w:hAnsi="Aptos" w:cs="Times New Roman"/>
          <w:sz w:val="25"/>
          <w:szCs w:val="25"/>
        </w:rPr>
        <w:t>4 calendar</w:t>
      </w:r>
      <w:r w:rsidR="00BD271E" w:rsidRPr="009F2251">
        <w:rPr>
          <w:rFonts w:ascii="Aptos" w:hAnsi="Aptos" w:cs="Times New Roman"/>
          <w:sz w:val="25"/>
          <w:szCs w:val="25"/>
        </w:rPr>
        <w:t xml:space="preserve"> days to </w:t>
      </w:r>
      <w:r w:rsidR="006166D4" w:rsidRPr="009F2251">
        <w:rPr>
          <w:rFonts w:ascii="Aptos" w:hAnsi="Aptos" w:cs="Times New Roman"/>
          <w:sz w:val="25"/>
          <w:szCs w:val="25"/>
        </w:rPr>
        <w:t>file an amended hearing request with the necessary information (a description of the problem, including relevant facts which led Parents to seek specialized transportation and a school transfer).</w:t>
      </w:r>
      <w:r w:rsidR="006E61B8" w:rsidRPr="009F2251">
        <w:rPr>
          <w:rFonts w:ascii="Aptos" w:hAnsi="Aptos" w:cs="Times New Roman"/>
          <w:sz w:val="25"/>
          <w:szCs w:val="25"/>
        </w:rPr>
        <w:t xml:space="preserve"> </w:t>
      </w:r>
    </w:p>
    <w:p w14:paraId="7B6E6CB2" w14:textId="2BBC8DBF" w:rsidR="0086015F" w:rsidRDefault="00372806" w:rsidP="00F307E8">
      <w:pPr>
        <w:pStyle w:val="NormalWeb"/>
        <w:rPr>
          <w:rFonts w:ascii="Aptos" w:hAnsi="Aptos"/>
          <w:sz w:val="25"/>
          <w:szCs w:val="25"/>
        </w:rPr>
      </w:pPr>
      <w:r w:rsidRPr="009F2251">
        <w:rPr>
          <w:rFonts w:ascii="Aptos" w:hAnsi="Aptos"/>
          <w:sz w:val="25"/>
          <w:szCs w:val="25"/>
        </w:rPr>
        <w:tab/>
        <w:t xml:space="preserve">On </w:t>
      </w:r>
      <w:r w:rsidR="007B6098" w:rsidRPr="009F2251">
        <w:rPr>
          <w:rFonts w:ascii="Aptos" w:hAnsi="Aptos"/>
          <w:sz w:val="25"/>
          <w:szCs w:val="25"/>
        </w:rPr>
        <w:t>May 22, 2024, Parent</w:t>
      </w:r>
      <w:r w:rsidR="00295F36" w:rsidRPr="009F2251">
        <w:rPr>
          <w:rFonts w:ascii="Aptos" w:hAnsi="Aptos"/>
          <w:sz w:val="25"/>
          <w:szCs w:val="25"/>
        </w:rPr>
        <w:t>s</w:t>
      </w:r>
      <w:r w:rsidR="007B6098" w:rsidRPr="009F2251">
        <w:rPr>
          <w:rFonts w:ascii="Aptos" w:hAnsi="Aptos"/>
          <w:sz w:val="25"/>
          <w:szCs w:val="25"/>
        </w:rPr>
        <w:t xml:space="preserve"> filed an </w:t>
      </w:r>
      <w:r w:rsidR="007B6098" w:rsidRPr="009F2251">
        <w:rPr>
          <w:rFonts w:ascii="Aptos" w:hAnsi="Aptos"/>
          <w:i/>
          <w:iCs/>
          <w:sz w:val="25"/>
          <w:szCs w:val="25"/>
        </w:rPr>
        <w:t>Amended Hearing Request</w:t>
      </w:r>
      <w:r w:rsidR="007B6098" w:rsidRPr="009F2251">
        <w:rPr>
          <w:rFonts w:ascii="Aptos" w:hAnsi="Aptos"/>
          <w:sz w:val="25"/>
          <w:szCs w:val="25"/>
        </w:rPr>
        <w:t>. According to Parent</w:t>
      </w:r>
      <w:r w:rsidR="00295F36" w:rsidRPr="009F2251">
        <w:rPr>
          <w:rFonts w:ascii="Aptos" w:hAnsi="Aptos"/>
          <w:sz w:val="25"/>
          <w:szCs w:val="25"/>
        </w:rPr>
        <w:t>s</w:t>
      </w:r>
      <w:r w:rsidR="007B6098" w:rsidRPr="009F2251">
        <w:rPr>
          <w:rFonts w:ascii="Aptos" w:hAnsi="Aptos"/>
          <w:sz w:val="25"/>
          <w:szCs w:val="25"/>
        </w:rPr>
        <w:t xml:space="preserve">, the District </w:t>
      </w:r>
      <w:r w:rsidR="00747DED" w:rsidRPr="009F2251">
        <w:rPr>
          <w:rFonts w:ascii="Aptos" w:hAnsi="Aptos"/>
          <w:sz w:val="25"/>
          <w:szCs w:val="25"/>
        </w:rPr>
        <w:t>failed to</w:t>
      </w:r>
      <w:r w:rsidR="0086015F" w:rsidRPr="009F2251">
        <w:rPr>
          <w:rFonts w:ascii="Aptos" w:hAnsi="Aptos"/>
          <w:sz w:val="25"/>
          <w:szCs w:val="25"/>
        </w:rPr>
        <w:t xml:space="preserve"> complete </w:t>
      </w:r>
      <w:r w:rsidR="00DD3556">
        <w:rPr>
          <w:rFonts w:ascii="Aptos" w:hAnsi="Aptos"/>
          <w:sz w:val="25"/>
          <w:szCs w:val="25"/>
        </w:rPr>
        <w:t>Delilah</w:t>
      </w:r>
      <w:r w:rsidR="0086015F" w:rsidRPr="009F2251">
        <w:rPr>
          <w:rFonts w:ascii="Aptos" w:hAnsi="Aptos"/>
          <w:sz w:val="25"/>
          <w:szCs w:val="25"/>
        </w:rPr>
        <w:t xml:space="preserve">’s qualifying Special Education Assessments on time, which delayed her Individualized Education Program (IEP) meeting and caused her to miss the first few weeks of kindergarten due to </w:t>
      </w:r>
      <w:r w:rsidR="004A3047" w:rsidRPr="009F2251">
        <w:rPr>
          <w:rFonts w:ascii="Aptos" w:hAnsi="Aptos"/>
          <w:sz w:val="25"/>
          <w:szCs w:val="25"/>
        </w:rPr>
        <w:t>a</w:t>
      </w:r>
      <w:r w:rsidR="000B0B62" w:rsidRPr="009F2251">
        <w:rPr>
          <w:rFonts w:ascii="Aptos" w:hAnsi="Aptos"/>
          <w:sz w:val="25"/>
          <w:szCs w:val="25"/>
        </w:rPr>
        <w:t xml:space="preserve"> lack of transportation. They also contend that on December 12, 2023, the District allowed </w:t>
      </w:r>
      <w:r w:rsidR="00DD3556">
        <w:rPr>
          <w:rFonts w:ascii="Aptos" w:hAnsi="Aptos"/>
          <w:sz w:val="25"/>
          <w:szCs w:val="25"/>
        </w:rPr>
        <w:t>Delilah</w:t>
      </w:r>
      <w:r w:rsidR="000B0B62" w:rsidRPr="009F2251">
        <w:rPr>
          <w:rFonts w:ascii="Aptos" w:hAnsi="Aptos"/>
          <w:sz w:val="25"/>
          <w:szCs w:val="25"/>
        </w:rPr>
        <w:t xml:space="preserve"> to borrow a book</w:t>
      </w:r>
      <w:r w:rsidR="006C7E04" w:rsidRPr="009F2251">
        <w:rPr>
          <w:rFonts w:ascii="Aptos" w:hAnsi="Aptos"/>
          <w:sz w:val="25"/>
          <w:szCs w:val="25"/>
        </w:rPr>
        <w:t xml:space="preserve"> about transgender people</w:t>
      </w:r>
      <w:r w:rsidR="000B0B62" w:rsidRPr="009F2251">
        <w:rPr>
          <w:rFonts w:ascii="Aptos" w:hAnsi="Aptos"/>
          <w:sz w:val="25"/>
          <w:szCs w:val="25"/>
        </w:rPr>
        <w:t xml:space="preserve"> from the library without their consent, prompting a meeting where they requested </w:t>
      </w:r>
      <w:r w:rsidR="00DD3556">
        <w:rPr>
          <w:rFonts w:ascii="Aptos" w:hAnsi="Aptos"/>
          <w:sz w:val="25"/>
          <w:szCs w:val="25"/>
        </w:rPr>
        <w:lastRenderedPageBreak/>
        <w:t>Delilah</w:t>
      </w:r>
      <w:r w:rsidR="000B0B62" w:rsidRPr="009F2251">
        <w:rPr>
          <w:rFonts w:ascii="Aptos" w:hAnsi="Aptos"/>
          <w:sz w:val="25"/>
          <w:szCs w:val="25"/>
        </w:rPr>
        <w:t>’s transfer</w:t>
      </w:r>
      <w:r w:rsidR="00880E34">
        <w:rPr>
          <w:rFonts w:ascii="Aptos" w:hAnsi="Aptos"/>
          <w:sz w:val="25"/>
          <w:szCs w:val="25"/>
        </w:rPr>
        <w:t xml:space="preserve"> to a different elementary school within Worcester</w:t>
      </w:r>
      <w:r w:rsidR="000B0B62" w:rsidRPr="009F2251">
        <w:rPr>
          <w:rFonts w:ascii="Aptos" w:hAnsi="Aptos"/>
          <w:sz w:val="25"/>
          <w:szCs w:val="25"/>
        </w:rPr>
        <w:t>. Additionally, Parent</w:t>
      </w:r>
      <w:r w:rsidR="00295F36" w:rsidRPr="009F2251">
        <w:rPr>
          <w:rFonts w:ascii="Aptos" w:hAnsi="Aptos"/>
          <w:sz w:val="25"/>
          <w:szCs w:val="25"/>
        </w:rPr>
        <w:t>s</w:t>
      </w:r>
      <w:r w:rsidR="000B0B62" w:rsidRPr="009F2251">
        <w:rPr>
          <w:rFonts w:ascii="Aptos" w:hAnsi="Aptos"/>
          <w:sz w:val="25"/>
          <w:szCs w:val="25"/>
        </w:rPr>
        <w:t xml:space="preserve"> allege that on March 25, 2024, a</w:t>
      </w:r>
      <w:r w:rsidR="009153B4" w:rsidRPr="009F2251">
        <w:rPr>
          <w:rFonts w:ascii="Aptos" w:hAnsi="Aptos"/>
          <w:sz w:val="25"/>
          <w:szCs w:val="25"/>
        </w:rPr>
        <w:t xml:space="preserve"> student pushed </w:t>
      </w:r>
      <w:r w:rsidR="00DD3556">
        <w:rPr>
          <w:rFonts w:ascii="Aptos" w:hAnsi="Aptos"/>
          <w:sz w:val="25"/>
          <w:szCs w:val="25"/>
        </w:rPr>
        <w:t>Delilah</w:t>
      </w:r>
      <w:r w:rsidR="009153B4" w:rsidRPr="009F2251">
        <w:rPr>
          <w:rFonts w:ascii="Aptos" w:hAnsi="Aptos"/>
          <w:sz w:val="25"/>
          <w:szCs w:val="25"/>
        </w:rPr>
        <w:t xml:space="preserve"> to the ground </w:t>
      </w:r>
      <w:r w:rsidR="00756E31">
        <w:rPr>
          <w:rFonts w:ascii="Aptos" w:hAnsi="Aptos"/>
          <w:sz w:val="25"/>
          <w:szCs w:val="25"/>
        </w:rPr>
        <w:t xml:space="preserve">on the playground </w:t>
      </w:r>
      <w:r w:rsidR="0064335D" w:rsidRPr="009F2251">
        <w:rPr>
          <w:rFonts w:ascii="Aptos" w:hAnsi="Aptos"/>
          <w:sz w:val="25"/>
          <w:szCs w:val="25"/>
        </w:rPr>
        <w:t xml:space="preserve">in an incident of </w:t>
      </w:r>
      <w:r w:rsidR="009153B4" w:rsidRPr="009F2251">
        <w:rPr>
          <w:rFonts w:ascii="Aptos" w:hAnsi="Aptos"/>
          <w:sz w:val="25"/>
          <w:szCs w:val="25"/>
        </w:rPr>
        <w:t>bullying related to her hair.</w:t>
      </w:r>
      <w:r w:rsidR="002B4283" w:rsidRPr="009F2251">
        <w:rPr>
          <w:rFonts w:ascii="Aptos" w:hAnsi="Aptos"/>
          <w:sz w:val="25"/>
          <w:szCs w:val="25"/>
        </w:rPr>
        <w:t xml:space="preserve"> </w:t>
      </w:r>
      <w:r w:rsidR="00B343EA" w:rsidRPr="009F2251">
        <w:rPr>
          <w:rFonts w:ascii="Aptos" w:hAnsi="Aptos"/>
          <w:sz w:val="25"/>
          <w:szCs w:val="25"/>
        </w:rPr>
        <w:t xml:space="preserve">They claim that in response, a meeting was held where staff decided to give a presentation on bullying, speak with the student involved, and allow </w:t>
      </w:r>
      <w:r w:rsidR="00DD3556">
        <w:rPr>
          <w:rFonts w:ascii="Aptos" w:hAnsi="Aptos"/>
          <w:sz w:val="25"/>
          <w:szCs w:val="25"/>
        </w:rPr>
        <w:t>Delilah</w:t>
      </w:r>
      <w:r w:rsidR="00B343EA" w:rsidRPr="009F2251">
        <w:rPr>
          <w:rFonts w:ascii="Aptos" w:hAnsi="Aptos"/>
          <w:sz w:val="25"/>
          <w:szCs w:val="25"/>
        </w:rPr>
        <w:t xml:space="preserve"> to have indoor recess if she chose. However, Parent</w:t>
      </w:r>
      <w:r w:rsidR="00295F36" w:rsidRPr="009F2251">
        <w:rPr>
          <w:rFonts w:ascii="Aptos" w:hAnsi="Aptos"/>
          <w:sz w:val="25"/>
          <w:szCs w:val="25"/>
        </w:rPr>
        <w:t>s</w:t>
      </w:r>
      <w:r w:rsidR="00B343EA" w:rsidRPr="009F2251">
        <w:rPr>
          <w:rFonts w:ascii="Aptos" w:hAnsi="Aptos"/>
          <w:sz w:val="25"/>
          <w:szCs w:val="25"/>
        </w:rPr>
        <w:t xml:space="preserve"> </w:t>
      </w:r>
      <w:r w:rsidR="007A0943" w:rsidRPr="009F2251">
        <w:rPr>
          <w:rFonts w:ascii="Aptos" w:hAnsi="Aptos"/>
          <w:sz w:val="25"/>
          <w:szCs w:val="25"/>
        </w:rPr>
        <w:t>argue</w:t>
      </w:r>
      <w:r w:rsidR="00173E36" w:rsidRPr="009F2251">
        <w:rPr>
          <w:rFonts w:ascii="Aptos" w:hAnsi="Aptos"/>
          <w:sz w:val="25"/>
          <w:szCs w:val="25"/>
        </w:rPr>
        <w:t>,</w:t>
      </w:r>
      <w:r w:rsidR="00B343EA" w:rsidRPr="009F2251">
        <w:rPr>
          <w:rFonts w:ascii="Aptos" w:hAnsi="Aptos"/>
          <w:sz w:val="25"/>
          <w:szCs w:val="25"/>
        </w:rPr>
        <w:t xml:space="preserve"> they never received confirmation that these actions occurred</w:t>
      </w:r>
      <w:r w:rsidR="00F307E8" w:rsidRPr="009F2251">
        <w:rPr>
          <w:rFonts w:ascii="Aptos" w:hAnsi="Aptos"/>
          <w:sz w:val="25"/>
          <w:szCs w:val="25"/>
        </w:rPr>
        <w:t xml:space="preserve">. </w:t>
      </w:r>
      <w:r w:rsidR="00F307E8" w:rsidRPr="009F2251">
        <w:rPr>
          <w:rFonts w:ascii="Aptos" w:hAnsi="Aptos"/>
          <w:color w:val="000000" w:themeColor="text1"/>
          <w:sz w:val="25"/>
          <w:szCs w:val="25"/>
        </w:rPr>
        <w:t>The</w:t>
      </w:r>
      <w:r w:rsidR="007F7B8B" w:rsidRPr="009F2251">
        <w:rPr>
          <w:rFonts w:ascii="Aptos" w:hAnsi="Aptos"/>
          <w:color w:val="000000" w:themeColor="text1"/>
          <w:sz w:val="25"/>
          <w:szCs w:val="25"/>
        </w:rPr>
        <w:t>y</w:t>
      </w:r>
      <w:r w:rsidR="00F307E8" w:rsidRPr="009F2251">
        <w:rPr>
          <w:rFonts w:ascii="Aptos" w:hAnsi="Aptos"/>
          <w:color w:val="000000" w:themeColor="text1"/>
          <w:sz w:val="25"/>
          <w:szCs w:val="25"/>
        </w:rPr>
        <w:t xml:space="preserve"> also </w:t>
      </w:r>
      <w:r w:rsidR="00FB3B8D" w:rsidRPr="009F2251">
        <w:rPr>
          <w:rFonts w:ascii="Aptos" w:hAnsi="Aptos"/>
          <w:color w:val="000000" w:themeColor="text1"/>
          <w:sz w:val="25"/>
          <w:szCs w:val="25"/>
        </w:rPr>
        <w:t>assert</w:t>
      </w:r>
      <w:r w:rsidR="00F307E8" w:rsidRPr="009F2251">
        <w:rPr>
          <w:rFonts w:ascii="Aptos" w:hAnsi="Aptos"/>
          <w:color w:val="000000" w:themeColor="text1"/>
          <w:sz w:val="25"/>
          <w:szCs w:val="25"/>
        </w:rPr>
        <w:t xml:space="preserve"> that the District did not interview the bus driver and monitor about </w:t>
      </w:r>
      <w:r w:rsidR="00F307E8" w:rsidRPr="009F2251">
        <w:rPr>
          <w:rFonts w:ascii="Aptos" w:hAnsi="Aptos"/>
          <w:sz w:val="25"/>
          <w:szCs w:val="25"/>
        </w:rPr>
        <w:t xml:space="preserve">the incident </w:t>
      </w:r>
      <w:r w:rsidR="007F7B8B" w:rsidRPr="009F2251">
        <w:rPr>
          <w:rFonts w:ascii="Aptos" w:hAnsi="Aptos"/>
          <w:sz w:val="25"/>
          <w:szCs w:val="25"/>
        </w:rPr>
        <w:t xml:space="preserve">as </w:t>
      </w:r>
      <w:r w:rsidR="00F307E8" w:rsidRPr="009F2251">
        <w:rPr>
          <w:rFonts w:ascii="Aptos" w:hAnsi="Aptos"/>
          <w:sz w:val="25"/>
          <w:szCs w:val="25"/>
        </w:rPr>
        <w:t>promised.</w:t>
      </w:r>
      <w:r w:rsidR="00CC3B02">
        <w:rPr>
          <w:rStyle w:val="FootnoteReference"/>
          <w:rFonts w:ascii="Aptos" w:hAnsi="Aptos"/>
          <w:sz w:val="25"/>
          <w:szCs w:val="25"/>
        </w:rPr>
        <w:footnoteReference w:id="2"/>
      </w:r>
      <w:r w:rsidR="00F307E8" w:rsidRPr="009F2251">
        <w:rPr>
          <w:rFonts w:ascii="Aptos" w:hAnsi="Aptos"/>
          <w:sz w:val="25"/>
          <w:szCs w:val="25"/>
        </w:rPr>
        <w:t xml:space="preserve"> </w:t>
      </w:r>
      <w:r w:rsidR="00756E31">
        <w:rPr>
          <w:rFonts w:ascii="Aptos" w:hAnsi="Aptos"/>
          <w:sz w:val="25"/>
          <w:szCs w:val="25"/>
        </w:rPr>
        <w:t>Following the bullying incident, Delilah was afraid to return to school and required a “transition back” to do so.</w:t>
      </w:r>
      <w:r w:rsidR="00756E31" w:rsidRPr="009F2251">
        <w:rPr>
          <w:rStyle w:val="FootnoteReference"/>
          <w:rFonts w:ascii="Aptos" w:hAnsi="Aptos"/>
          <w:sz w:val="25"/>
          <w:szCs w:val="25"/>
        </w:rPr>
        <w:footnoteReference w:id="3"/>
      </w:r>
      <w:r w:rsidR="00756E31">
        <w:rPr>
          <w:rFonts w:ascii="Aptos" w:hAnsi="Aptos"/>
          <w:sz w:val="25"/>
          <w:szCs w:val="25"/>
        </w:rPr>
        <w:t xml:space="preserve"> Parents requested again that Delilah be transferred to another school. </w:t>
      </w:r>
      <w:r w:rsidR="009F29FF" w:rsidRPr="009F2251">
        <w:rPr>
          <w:rFonts w:ascii="Aptos" w:hAnsi="Aptos"/>
          <w:sz w:val="25"/>
          <w:szCs w:val="25"/>
        </w:rPr>
        <w:t xml:space="preserve">In their </w:t>
      </w:r>
      <w:r w:rsidR="00F87FF5">
        <w:rPr>
          <w:rFonts w:ascii="Aptos" w:hAnsi="Aptos"/>
          <w:i/>
          <w:iCs/>
          <w:sz w:val="25"/>
          <w:szCs w:val="25"/>
        </w:rPr>
        <w:t xml:space="preserve">Amended </w:t>
      </w:r>
      <w:r w:rsidR="009F29FF" w:rsidRPr="009F2251">
        <w:rPr>
          <w:rFonts w:ascii="Aptos" w:hAnsi="Aptos"/>
          <w:i/>
          <w:iCs/>
          <w:sz w:val="25"/>
          <w:szCs w:val="25"/>
        </w:rPr>
        <w:t>Hearing Request</w:t>
      </w:r>
      <w:r w:rsidR="009F29FF" w:rsidRPr="009F2251">
        <w:rPr>
          <w:rFonts w:ascii="Aptos" w:hAnsi="Aptos"/>
          <w:sz w:val="25"/>
          <w:szCs w:val="25"/>
        </w:rPr>
        <w:t>, Parents note that they filed a PRS complaint</w:t>
      </w:r>
      <w:r w:rsidR="0071762C" w:rsidRPr="009F2251">
        <w:rPr>
          <w:rFonts w:ascii="Aptos" w:hAnsi="Aptos"/>
          <w:sz w:val="25"/>
          <w:szCs w:val="25"/>
        </w:rPr>
        <w:t xml:space="preserve"> and are</w:t>
      </w:r>
      <w:r w:rsidR="00734C32" w:rsidRPr="009F2251">
        <w:rPr>
          <w:rFonts w:ascii="Aptos" w:hAnsi="Aptos"/>
          <w:sz w:val="25"/>
          <w:szCs w:val="25"/>
        </w:rPr>
        <w:t xml:space="preserve"> </w:t>
      </w:r>
      <w:r w:rsidR="00FB3B8D" w:rsidRPr="009F2251">
        <w:rPr>
          <w:rFonts w:ascii="Aptos" w:hAnsi="Aptos"/>
          <w:sz w:val="25"/>
          <w:szCs w:val="25"/>
        </w:rPr>
        <w:t>demand</w:t>
      </w:r>
      <w:r w:rsidR="0071762C" w:rsidRPr="009F2251">
        <w:rPr>
          <w:rFonts w:ascii="Aptos" w:hAnsi="Aptos"/>
          <w:sz w:val="25"/>
          <w:szCs w:val="25"/>
        </w:rPr>
        <w:t>ing</w:t>
      </w:r>
      <w:r w:rsidR="00F307E8" w:rsidRPr="009F2251">
        <w:rPr>
          <w:rFonts w:ascii="Aptos" w:hAnsi="Aptos"/>
          <w:sz w:val="25"/>
          <w:szCs w:val="25"/>
        </w:rPr>
        <w:t xml:space="preserve"> an investigation into the District’s handling of bullying incidents</w:t>
      </w:r>
      <w:r w:rsidR="00F307E8" w:rsidRPr="009F2251">
        <w:rPr>
          <w:rFonts w:ascii="Aptos" w:hAnsi="Aptos"/>
          <w:b/>
          <w:bCs/>
          <w:sz w:val="25"/>
          <w:szCs w:val="25"/>
        </w:rPr>
        <w:t>.</w:t>
      </w:r>
      <w:r w:rsidR="00756E31" w:rsidRPr="009F2251">
        <w:rPr>
          <w:rFonts w:ascii="Aptos" w:hAnsi="Aptos"/>
          <w:sz w:val="25"/>
          <w:szCs w:val="25"/>
        </w:rPr>
        <w:t xml:space="preserve"> </w:t>
      </w:r>
      <w:r w:rsidR="00EA1830" w:rsidRPr="009F2251">
        <w:rPr>
          <w:rFonts w:ascii="Aptos" w:hAnsi="Aptos"/>
          <w:sz w:val="25"/>
          <w:szCs w:val="25"/>
        </w:rPr>
        <w:t>After making numerous transfer requests throughout the school year, Parent</w:t>
      </w:r>
      <w:r w:rsidR="00295F36" w:rsidRPr="009F2251">
        <w:rPr>
          <w:rFonts w:ascii="Aptos" w:hAnsi="Aptos"/>
          <w:sz w:val="25"/>
          <w:szCs w:val="25"/>
        </w:rPr>
        <w:t>s</w:t>
      </w:r>
      <w:r w:rsidR="00173E36" w:rsidRPr="009F2251">
        <w:rPr>
          <w:rFonts w:ascii="Aptos" w:hAnsi="Aptos"/>
          <w:sz w:val="25"/>
          <w:szCs w:val="25"/>
        </w:rPr>
        <w:t xml:space="preserve"> now</w:t>
      </w:r>
      <w:r w:rsidR="00EA1830" w:rsidRPr="009F2251">
        <w:rPr>
          <w:rFonts w:ascii="Aptos" w:hAnsi="Aptos"/>
          <w:sz w:val="25"/>
          <w:szCs w:val="25"/>
        </w:rPr>
        <w:t xml:space="preserve"> </w:t>
      </w:r>
      <w:r w:rsidR="00F00764" w:rsidRPr="009F2251">
        <w:rPr>
          <w:rFonts w:ascii="Aptos" w:hAnsi="Aptos"/>
          <w:sz w:val="25"/>
          <w:szCs w:val="25"/>
        </w:rPr>
        <w:t xml:space="preserve">request that the BSEA order the District to </w:t>
      </w:r>
      <w:r w:rsidR="00EA1830" w:rsidRPr="009F2251">
        <w:rPr>
          <w:rFonts w:ascii="Aptos" w:hAnsi="Aptos"/>
          <w:sz w:val="25"/>
          <w:szCs w:val="25"/>
        </w:rPr>
        <w:t xml:space="preserve">transfer </w:t>
      </w:r>
      <w:r w:rsidR="00DD3556">
        <w:rPr>
          <w:rFonts w:ascii="Aptos" w:hAnsi="Aptos"/>
          <w:sz w:val="25"/>
          <w:szCs w:val="25"/>
        </w:rPr>
        <w:t>Delilah</w:t>
      </w:r>
      <w:r w:rsidR="00EA1830" w:rsidRPr="009F2251">
        <w:rPr>
          <w:rFonts w:ascii="Aptos" w:hAnsi="Aptos"/>
          <w:sz w:val="25"/>
          <w:szCs w:val="25"/>
        </w:rPr>
        <w:t xml:space="preserve"> </w:t>
      </w:r>
      <w:r w:rsidR="00B06CB8" w:rsidRPr="009F2251">
        <w:rPr>
          <w:rFonts w:ascii="Aptos" w:hAnsi="Aptos"/>
          <w:sz w:val="25"/>
          <w:szCs w:val="25"/>
        </w:rPr>
        <w:t xml:space="preserve">to a new elementary school </w:t>
      </w:r>
      <w:r w:rsidR="00EA1830" w:rsidRPr="009F2251">
        <w:rPr>
          <w:rFonts w:ascii="Aptos" w:hAnsi="Aptos"/>
          <w:sz w:val="25"/>
          <w:szCs w:val="25"/>
        </w:rPr>
        <w:t>with specialized transportation for a “fresh start.”</w:t>
      </w:r>
    </w:p>
    <w:p w14:paraId="276C9D3B" w14:textId="0BF55BD3" w:rsidR="008811E2" w:rsidRPr="009F2251" w:rsidRDefault="008811E2" w:rsidP="00F307E8">
      <w:pPr>
        <w:pStyle w:val="NormalWeb"/>
        <w:rPr>
          <w:rFonts w:ascii="Aptos" w:hAnsi="Aptos"/>
          <w:sz w:val="25"/>
          <w:szCs w:val="25"/>
        </w:rPr>
      </w:pPr>
      <w:r>
        <w:rPr>
          <w:rFonts w:ascii="Aptos" w:hAnsi="Aptos"/>
          <w:sz w:val="25"/>
          <w:szCs w:val="25"/>
        </w:rPr>
        <w:tab/>
        <w:t>The Hearing was scheduled for June 27, 2024.</w:t>
      </w:r>
    </w:p>
    <w:p w14:paraId="7931AC0D" w14:textId="7B96B2AC" w:rsidR="007C76B5" w:rsidRPr="009F2251" w:rsidRDefault="006E61B8" w:rsidP="003F231F">
      <w:pPr>
        <w:spacing w:after="240"/>
        <w:rPr>
          <w:rFonts w:ascii="Aptos" w:hAnsi="Aptos" w:cs="Times New Roman"/>
          <w:sz w:val="25"/>
          <w:szCs w:val="25"/>
        </w:rPr>
      </w:pPr>
      <w:r w:rsidRPr="009F2251">
        <w:rPr>
          <w:rFonts w:ascii="Aptos" w:hAnsi="Aptos" w:cs="Times New Roman"/>
          <w:sz w:val="25"/>
          <w:szCs w:val="25"/>
        </w:rPr>
        <w:tab/>
      </w:r>
      <w:r w:rsidR="003F231F" w:rsidRPr="009F2251">
        <w:rPr>
          <w:rFonts w:ascii="Aptos" w:hAnsi="Aptos" w:cs="Times New Roman"/>
          <w:sz w:val="25"/>
          <w:szCs w:val="25"/>
        </w:rPr>
        <w:t xml:space="preserve">On June 3, 2024, the District filed </w:t>
      </w:r>
      <w:r w:rsidR="00117B36" w:rsidRPr="009F2251">
        <w:rPr>
          <w:rFonts w:ascii="Aptos" w:hAnsi="Aptos" w:cs="Times New Roman"/>
          <w:sz w:val="25"/>
          <w:szCs w:val="25"/>
        </w:rPr>
        <w:t>its</w:t>
      </w:r>
      <w:r w:rsidR="004E1F68" w:rsidRPr="009F2251">
        <w:rPr>
          <w:rFonts w:ascii="Aptos" w:hAnsi="Aptos" w:cs="Times New Roman"/>
          <w:sz w:val="25"/>
          <w:szCs w:val="25"/>
        </w:rPr>
        <w:t xml:space="preserve"> </w:t>
      </w:r>
      <w:r w:rsidR="003F231F" w:rsidRPr="009F2251">
        <w:rPr>
          <w:rFonts w:ascii="Aptos" w:hAnsi="Aptos" w:cs="Times New Roman"/>
          <w:i/>
          <w:iCs/>
          <w:sz w:val="25"/>
          <w:szCs w:val="25"/>
        </w:rPr>
        <w:t>Motion to Dismiss</w:t>
      </w:r>
      <w:r w:rsidR="003F231F" w:rsidRPr="009F2251">
        <w:rPr>
          <w:rFonts w:ascii="Aptos" w:hAnsi="Aptos" w:cs="Times New Roman"/>
          <w:sz w:val="25"/>
          <w:szCs w:val="25"/>
        </w:rPr>
        <w:t xml:space="preserve">, seeking </w:t>
      </w:r>
      <w:r w:rsidR="004F74D2" w:rsidRPr="009F2251">
        <w:rPr>
          <w:rFonts w:ascii="Aptos" w:hAnsi="Aptos" w:cs="Times New Roman"/>
          <w:sz w:val="25"/>
          <w:szCs w:val="25"/>
        </w:rPr>
        <w:t>dismissal of</w:t>
      </w:r>
      <w:r w:rsidR="003F231F" w:rsidRPr="009F2251">
        <w:rPr>
          <w:rFonts w:ascii="Aptos" w:hAnsi="Aptos" w:cs="Times New Roman"/>
          <w:sz w:val="25"/>
          <w:szCs w:val="25"/>
        </w:rPr>
        <w:t xml:space="preserve"> Parents’ </w:t>
      </w:r>
      <w:r w:rsidR="003F231F" w:rsidRPr="009F2251">
        <w:rPr>
          <w:rFonts w:ascii="Aptos" w:hAnsi="Aptos" w:cs="Times New Roman"/>
          <w:i/>
          <w:iCs/>
          <w:sz w:val="25"/>
          <w:szCs w:val="25"/>
        </w:rPr>
        <w:t>Amended Hearing Request</w:t>
      </w:r>
      <w:r w:rsidR="00A858A2" w:rsidRPr="009F2251">
        <w:rPr>
          <w:rFonts w:ascii="Aptos" w:hAnsi="Aptos" w:cs="Times New Roman"/>
          <w:i/>
          <w:iCs/>
          <w:sz w:val="25"/>
          <w:szCs w:val="25"/>
        </w:rPr>
        <w:t xml:space="preserve"> </w:t>
      </w:r>
      <w:r w:rsidR="00A858A2" w:rsidRPr="009F2251">
        <w:rPr>
          <w:rFonts w:ascii="Aptos" w:hAnsi="Aptos" w:cs="Times New Roman"/>
          <w:sz w:val="25"/>
          <w:szCs w:val="25"/>
        </w:rPr>
        <w:t>in its entirety</w:t>
      </w:r>
      <w:r w:rsidR="003F231F" w:rsidRPr="009F2251">
        <w:rPr>
          <w:rFonts w:ascii="Aptos" w:hAnsi="Aptos" w:cs="Times New Roman"/>
          <w:sz w:val="25"/>
          <w:szCs w:val="25"/>
        </w:rPr>
        <w:t xml:space="preserve">. </w:t>
      </w:r>
      <w:r w:rsidR="009F3A0A" w:rsidRPr="009F2251">
        <w:rPr>
          <w:rFonts w:ascii="Aptos" w:hAnsi="Aptos" w:cs="Times New Roman"/>
          <w:sz w:val="25"/>
          <w:szCs w:val="25"/>
        </w:rPr>
        <w:t>Worcester</w:t>
      </w:r>
      <w:r w:rsidR="000C7D97" w:rsidRPr="009F2251">
        <w:rPr>
          <w:rFonts w:ascii="Aptos" w:hAnsi="Aptos" w:cs="Times New Roman"/>
          <w:sz w:val="25"/>
          <w:szCs w:val="25"/>
        </w:rPr>
        <w:t xml:space="preserve"> argues that </w:t>
      </w:r>
      <w:r w:rsidR="00122451" w:rsidRPr="009F2251">
        <w:rPr>
          <w:rFonts w:ascii="Aptos" w:hAnsi="Aptos" w:cs="Times New Roman"/>
          <w:sz w:val="25"/>
          <w:szCs w:val="25"/>
        </w:rPr>
        <w:t>Parents’ requests</w:t>
      </w:r>
      <w:r w:rsidR="000C7D97" w:rsidRPr="009F2251">
        <w:rPr>
          <w:rFonts w:ascii="Aptos" w:hAnsi="Aptos" w:cs="Times New Roman"/>
          <w:sz w:val="25"/>
          <w:szCs w:val="25"/>
        </w:rPr>
        <w:t xml:space="preserve"> for transfer</w:t>
      </w:r>
      <w:r w:rsidR="009F3A0A" w:rsidRPr="009F2251">
        <w:rPr>
          <w:rFonts w:ascii="Aptos" w:hAnsi="Aptos" w:cs="Times New Roman"/>
          <w:sz w:val="25"/>
          <w:szCs w:val="25"/>
        </w:rPr>
        <w:t xml:space="preserve"> and</w:t>
      </w:r>
      <w:r w:rsidR="005E73D3" w:rsidRPr="009F2251">
        <w:rPr>
          <w:rFonts w:ascii="Aptos" w:hAnsi="Aptos" w:cs="Times New Roman"/>
          <w:sz w:val="25"/>
          <w:szCs w:val="25"/>
        </w:rPr>
        <w:t xml:space="preserve"> </w:t>
      </w:r>
      <w:r w:rsidR="000C7D97" w:rsidRPr="009F2251">
        <w:rPr>
          <w:rFonts w:ascii="Aptos" w:hAnsi="Aptos" w:cs="Times New Roman"/>
          <w:sz w:val="25"/>
          <w:szCs w:val="25"/>
        </w:rPr>
        <w:t xml:space="preserve">specialized transportation, and </w:t>
      </w:r>
      <w:r w:rsidR="002B0AD4" w:rsidRPr="009F2251">
        <w:rPr>
          <w:rFonts w:ascii="Aptos" w:hAnsi="Aptos" w:cs="Times New Roman"/>
          <w:sz w:val="25"/>
          <w:szCs w:val="25"/>
        </w:rPr>
        <w:t xml:space="preserve">their </w:t>
      </w:r>
      <w:r w:rsidR="000C7D97" w:rsidRPr="009F2251">
        <w:rPr>
          <w:rFonts w:ascii="Aptos" w:hAnsi="Aptos" w:cs="Times New Roman"/>
          <w:sz w:val="25"/>
          <w:szCs w:val="25"/>
        </w:rPr>
        <w:t xml:space="preserve">claims regarding </w:t>
      </w:r>
      <w:r w:rsidR="00756E31">
        <w:rPr>
          <w:rFonts w:ascii="Aptos" w:hAnsi="Aptos" w:cs="Times New Roman"/>
          <w:sz w:val="25"/>
          <w:szCs w:val="25"/>
        </w:rPr>
        <w:t xml:space="preserve">both </w:t>
      </w:r>
      <w:r w:rsidR="000C7D97" w:rsidRPr="009F2251">
        <w:rPr>
          <w:rFonts w:ascii="Aptos" w:hAnsi="Aptos" w:cs="Times New Roman"/>
          <w:sz w:val="25"/>
          <w:szCs w:val="25"/>
        </w:rPr>
        <w:t xml:space="preserve">bullying and </w:t>
      </w:r>
      <w:r w:rsidR="00DD3556">
        <w:rPr>
          <w:rFonts w:ascii="Aptos" w:hAnsi="Aptos" w:cs="Times New Roman"/>
          <w:sz w:val="25"/>
          <w:szCs w:val="25"/>
        </w:rPr>
        <w:t>Delilah</w:t>
      </w:r>
      <w:r w:rsidR="00756E31">
        <w:rPr>
          <w:rFonts w:ascii="Aptos" w:hAnsi="Aptos" w:cs="Times New Roman"/>
          <w:sz w:val="25"/>
          <w:szCs w:val="25"/>
        </w:rPr>
        <w:t>’s</w:t>
      </w:r>
      <w:r w:rsidR="000C7D97" w:rsidRPr="009F2251">
        <w:rPr>
          <w:rFonts w:ascii="Aptos" w:hAnsi="Aptos" w:cs="Times New Roman"/>
          <w:sz w:val="25"/>
          <w:szCs w:val="25"/>
        </w:rPr>
        <w:t xml:space="preserve"> borrowing a book on transgender people</w:t>
      </w:r>
      <w:r w:rsidR="00F87FF5">
        <w:rPr>
          <w:rFonts w:ascii="Aptos" w:hAnsi="Aptos" w:cs="Times New Roman"/>
          <w:sz w:val="25"/>
          <w:szCs w:val="25"/>
        </w:rPr>
        <w:t>,</w:t>
      </w:r>
      <w:r w:rsidR="000C7D97" w:rsidRPr="009F2251">
        <w:rPr>
          <w:rFonts w:ascii="Aptos" w:hAnsi="Aptos" w:cs="Times New Roman"/>
          <w:sz w:val="25"/>
          <w:szCs w:val="25"/>
        </w:rPr>
        <w:t xml:space="preserve"> fall outside the jurisdiction of the BSEA and must be dismissed with prejudice. </w:t>
      </w:r>
      <w:r w:rsidR="007A0943" w:rsidRPr="009F2251">
        <w:rPr>
          <w:rFonts w:ascii="Aptos" w:hAnsi="Aptos" w:cs="Times New Roman"/>
          <w:sz w:val="25"/>
          <w:szCs w:val="25"/>
        </w:rPr>
        <w:t>Specifically, t</w:t>
      </w:r>
      <w:r w:rsidR="000C7D97" w:rsidRPr="009F2251">
        <w:rPr>
          <w:rFonts w:ascii="Aptos" w:hAnsi="Aptos" w:cs="Times New Roman"/>
          <w:sz w:val="25"/>
          <w:szCs w:val="25"/>
        </w:rPr>
        <w:t>he</w:t>
      </w:r>
      <w:r w:rsidR="003F231F" w:rsidRPr="009F2251">
        <w:rPr>
          <w:rFonts w:ascii="Aptos" w:hAnsi="Aptos" w:cs="Times New Roman"/>
          <w:sz w:val="25"/>
          <w:szCs w:val="25"/>
        </w:rPr>
        <w:t xml:space="preserve"> District </w:t>
      </w:r>
      <w:r w:rsidR="000C7D97" w:rsidRPr="009F2251">
        <w:rPr>
          <w:rFonts w:ascii="Aptos" w:hAnsi="Aptos" w:cs="Times New Roman"/>
          <w:sz w:val="25"/>
          <w:szCs w:val="25"/>
        </w:rPr>
        <w:t>contends</w:t>
      </w:r>
      <w:r w:rsidR="003F231F" w:rsidRPr="009F2251">
        <w:rPr>
          <w:rFonts w:ascii="Aptos" w:hAnsi="Aptos" w:cs="Times New Roman"/>
          <w:sz w:val="25"/>
          <w:szCs w:val="25"/>
        </w:rPr>
        <w:t xml:space="preserve"> that these issues do not concern the identification, evaluation, educational program, or educational placement of a child with a disability, </w:t>
      </w:r>
      <w:r w:rsidR="00C52133" w:rsidRPr="009F2251">
        <w:rPr>
          <w:rFonts w:ascii="Aptos" w:hAnsi="Aptos" w:cs="Times New Roman"/>
          <w:sz w:val="25"/>
          <w:szCs w:val="25"/>
        </w:rPr>
        <w:t>or</w:t>
      </w:r>
      <w:r w:rsidR="003F231F" w:rsidRPr="009F2251">
        <w:rPr>
          <w:rFonts w:ascii="Aptos" w:hAnsi="Aptos" w:cs="Times New Roman"/>
          <w:sz w:val="25"/>
          <w:szCs w:val="25"/>
        </w:rPr>
        <w:t xml:space="preserve"> the provision of a free and appropriate public education (FAPE) </w:t>
      </w:r>
      <w:r w:rsidR="00C351AA" w:rsidRPr="009F2251">
        <w:rPr>
          <w:rFonts w:ascii="Aptos" w:hAnsi="Aptos" w:cs="Times New Roman"/>
          <w:sz w:val="25"/>
          <w:szCs w:val="25"/>
        </w:rPr>
        <w:t>arising under</w:t>
      </w:r>
      <w:r w:rsidR="003F231F" w:rsidRPr="009F2251">
        <w:rPr>
          <w:rFonts w:ascii="Aptos" w:hAnsi="Aptos" w:cs="Times New Roman"/>
          <w:sz w:val="25"/>
          <w:szCs w:val="25"/>
        </w:rPr>
        <w:t xml:space="preserve"> </w:t>
      </w:r>
      <w:r w:rsidR="00173E36" w:rsidRPr="009F2251">
        <w:rPr>
          <w:rFonts w:ascii="Aptos" w:hAnsi="Aptos" w:cs="Times New Roman"/>
          <w:sz w:val="25"/>
          <w:szCs w:val="25"/>
        </w:rPr>
        <w:t xml:space="preserve">M. </w:t>
      </w:r>
      <w:r w:rsidR="003F231F" w:rsidRPr="009F2251">
        <w:rPr>
          <w:rFonts w:ascii="Aptos" w:hAnsi="Aptos" w:cs="Times New Roman"/>
          <w:sz w:val="25"/>
          <w:szCs w:val="25"/>
        </w:rPr>
        <w:t>G.L. c. 71B,</w:t>
      </w:r>
      <w:r w:rsidR="007C76B5" w:rsidRPr="009F2251">
        <w:rPr>
          <w:rFonts w:ascii="Aptos" w:hAnsi="Aptos" w:cs="Times New Roman"/>
          <w:sz w:val="25"/>
          <w:szCs w:val="25"/>
        </w:rPr>
        <w:t xml:space="preserve"> </w:t>
      </w:r>
      <w:r w:rsidR="00A860FE" w:rsidRPr="009F2251">
        <w:rPr>
          <w:rFonts w:ascii="Aptos" w:hAnsi="Aptos" w:cs="Times New Roman"/>
          <w:sz w:val="25"/>
          <w:szCs w:val="25"/>
        </w:rPr>
        <w:t>the Individuals with Disabilities Education Act (</w:t>
      </w:r>
      <w:r w:rsidR="007C76B5" w:rsidRPr="009F2251">
        <w:rPr>
          <w:rFonts w:ascii="Aptos" w:hAnsi="Aptos" w:cs="Times New Roman"/>
          <w:sz w:val="25"/>
          <w:szCs w:val="25"/>
        </w:rPr>
        <w:t>IDEA</w:t>
      </w:r>
      <w:r w:rsidR="00A860FE" w:rsidRPr="009F2251">
        <w:rPr>
          <w:rFonts w:ascii="Aptos" w:hAnsi="Aptos" w:cs="Times New Roman"/>
          <w:sz w:val="25"/>
          <w:szCs w:val="25"/>
        </w:rPr>
        <w:t>)</w:t>
      </w:r>
      <w:r w:rsidR="007C76B5" w:rsidRPr="009F2251">
        <w:rPr>
          <w:rFonts w:ascii="Aptos" w:hAnsi="Aptos" w:cs="Times New Roman"/>
          <w:sz w:val="25"/>
          <w:szCs w:val="25"/>
        </w:rPr>
        <w:t xml:space="preserve">, 20 U.S.C. § 1400 </w:t>
      </w:r>
      <w:r w:rsidR="007C76B5" w:rsidRPr="009F2251">
        <w:rPr>
          <w:rFonts w:ascii="Aptos" w:hAnsi="Aptos" w:cs="Times New Roman"/>
          <w:i/>
          <w:sz w:val="25"/>
          <w:szCs w:val="25"/>
        </w:rPr>
        <w:t>et seq</w:t>
      </w:r>
      <w:r w:rsidR="007C76B5" w:rsidRPr="009F2251">
        <w:rPr>
          <w:rFonts w:ascii="Aptos" w:hAnsi="Aptos" w:cs="Times New Roman"/>
          <w:sz w:val="25"/>
          <w:szCs w:val="25"/>
        </w:rPr>
        <w:t xml:space="preserve">, </w:t>
      </w:r>
      <w:r w:rsidR="003F231F" w:rsidRPr="009F2251">
        <w:rPr>
          <w:rFonts w:ascii="Aptos" w:hAnsi="Aptos" w:cs="Times New Roman"/>
          <w:sz w:val="25"/>
          <w:szCs w:val="25"/>
        </w:rPr>
        <w:t xml:space="preserve">or </w:t>
      </w:r>
      <w:r w:rsidR="00DD3556">
        <w:rPr>
          <w:rFonts w:ascii="Aptos" w:hAnsi="Aptos" w:cs="Times New Roman"/>
          <w:sz w:val="25"/>
          <w:szCs w:val="25"/>
        </w:rPr>
        <w:t>Delilah</w:t>
      </w:r>
      <w:r w:rsidR="0099228D" w:rsidRPr="009F2251">
        <w:rPr>
          <w:rFonts w:ascii="Aptos" w:hAnsi="Aptos" w:cs="Times New Roman"/>
          <w:sz w:val="25"/>
          <w:szCs w:val="25"/>
        </w:rPr>
        <w:t>’s</w:t>
      </w:r>
      <w:r w:rsidR="003F231F" w:rsidRPr="009F2251">
        <w:rPr>
          <w:rFonts w:ascii="Aptos" w:hAnsi="Aptos" w:cs="Times New Roman"/>
          <w:sz w:val="25"/>
          <w:szCs w:val="25"/>
        </w:rPr>
        <w:t xml:space="preserve"> rights under Section 504 of the Rehabilitation Act of 1973</w:t>
      </w:r>
      <w:r w:rsidR="0099228D" w:rsidRPr="009F2251">
        <w:rPr>
          <w:rFonts w:ascii="Aptos" w:hAnsi="Aptos" w:cs="Times New Roman"/>
          <w:sz w:val="25"/>
          <w:szCs w:val="25"/>
        </w:rPr>
        <w:t xml:space="preserve">, </w:t>
      </w:r>
      <w:r w:rsidR="004F74D2" w:rsidRPr="009F2251">
        <w:rPr>
          <w:rFonts w:ascii="Aptos" w:hAnsi="Aptos" w:cs="Times New Roman"/>
          <w:sz w:val="25"/>
          <w:szCs w:val="25"/>
        </w:rPr>
        <w:t>29 U.S.C. § 794 (Section 504).</w:t>
      </w:r>
    </w:p>
    <w:p w14:paraId="43A5C5D1" w14:textId="6EEB37BB" w:rsidR="00876B1E" w:rsidRDefault="00876B1E" w:rsidP="003F231F">
      <w:pPr>
        <w:spacing w:after="240"/>
        <w:rPr>
          <w:rFonts w:ascii="Aptos" w:hAnsi="Aptos" w:cs="Times New Roman"/>
          <w:sz w:val="25"/>
          <w:szCs w:val="25"/>
        </w:rPr>
      </w:pPr>
      <w:r w:rsidRPr="009F2251">
        <w:rPr>
          <w:rFonts w:ascii="Aptos" w:hAnsi="Aptos" w:cs="Times New Roman"/>
          <w:sz w:val="25"/>
          <w:szCs w:val="25"/>
        </w:rPr>
        <w:tab/>
      </w:r>
      <w:r w:rsidR="002F7871" w:rsidRPr="009F2251">
        <w:rPr>
          <w:rFonts w:ascii="Aptos" w:hAnsi="Aptos" w:cs="Times New Roman"/>
          <w:sz w:val="25"/>
          <w:szCs w:val="25"/>
        </w:rPr>
        <w:t>On June 12, 2024, Parents fi</w:t>
      </w:r>
      <w:r w:rsidR="000B15CC" w:rsidRPr="009F2251">
        <w:rPr>
          <w:rFonts w:ascii="Aptos" w:hAnsi="Aptos" w:cs="Times New Roman"/>
          <w:sz w:val="25"/>
          <w:szCs w:val="25"/>
        </w:rPr>
        <w:t xml:space="preserve">led </w:t>
      </w:r>
      <w:r w:rsidR="00894093" w:rsidRPr="009F2251">
        <w:rPr>
          <w:rFonts w:ascii="Aptos" w:hAnsi="Aptos" w:cs="Times New Roman"/>
          <w:sz w:val="25"/>
          <w:szCs w:val="25"/>
        </w:rPr>
        <w:t xml:space="preserve">their </w:t>
      </w:r>
      <w:r w:rsidR="00894093" w:rsidRPr="009F2251">
        <w:rPr>
          <w:rFonts w:ascii="Aptos" w:hAnsi="Aptos" w:cs="Times New Roman"/>
          <w:i/>
          <w:iCs/>
          <w:sz w:val="25"/>
          <w:szCs w:val="25"/>
        </w:rPr>
        <w:t>Opposition</w:t>
      </w:r>
      <w:r w:rsidR="000B15CC" w:rsidRPr="009F2251">
        <w:rPr>
          <w:rFonts w:ascii="Aptos" w:hAnsi="Aptos" w:cs="Times New Roman"/>
          <w:sz w:val="25"/>
          <w:szCs w:val="25"/>
        </w:rPr>
        <w:t>. They a</w:t>
      </w:r>
      <w:r w:rsidR="00173E36" w:rsidRPr="009F2251">
        <w:rPr>
          <w:rFonts w:ascii="Aptos" w:hAnsi="Aptos" w:cs="Times New Roman"/>
          <w:sz w:val="25"/>
          <w:szCs w:val="25"/>
        </w:rPr>
        <w:t>ssert</w:t>
      </w:r>
      <w:r w:rsidR="000B15CC" w:rsidRPr="009F2251">
        <w:rPr>
          <w:rFonts w:ascii="Aptos" w:hAnsi="Aptos" w:cs="Times New Roman"/>
          <w:sz w:val="25"/>
          <w:szCs w:val="25"/>
        </w:rPr>
        <w:t xml:space="preserve"> that </w:t>
      </w:r>
      <w:r w:rsidR="00DD3556">
        <w:rPr>
          <w:rFonts w:ascii="Aptos" w:hAnsi="Aptos" w:cs="Times New Roman"/>
          <w:sz w:val="25"/>
          <w:szCs w:val="25"/>
        </w:rPr>
        <w:t>Delilah</w:t>
      </w:r>
      <w:r w:rsidR="000B15CC" w:rsidRPr="009F2251">
        <w:rPr>
          <w:rFonts w:ascii="Aptos" w:hAnsi="Aptos" w:cs="Times New Roman"/>
          <w:sz w:val="25"/>
          <w:szCs w:val="25"/>
        </w:rPr>
        <w:t xml:space="preserve"> </w:t>
      </w:r>
      <w:r w:rsidR="00AB1D08" w:rsidRPr="009F2251">
        <w:rPr>
          <w:rFonts w:ascii="Aptos" w:hAnsi="Aptos" w:cs="Times New Roman"/>
          <w:sz w:val="25"/>
          <w:szCs w:val="25"/>
        </w:rPr>
        <w:t>requires specialized transportation due to her speech disability</w:t>
      </w:r>
      <w:r w:rsidR="007D0A4F" w:rsidRPr="009F2251">
        <w:rPr>
          <w:rFonts w:ascii="Aptos" w:hAnsi="Aptos" w:cs="Times New Roman"/>
          <w:sz w:val="25"/>
          <w:szCs w:val="25"/>
        </w:rPr>
        <w:t xml:space="preserve">, which </w:t>
      </w:r>
      <w:r w:rsidR="00802735" w:rsidRPr="009F2251">
        <w:rPr>
          <w:rFonts w:ascii="Aptos" w:hAnsi="Aptos" w:cs="Times New Roman"/>
          <w:sz w:val="25"/>
          <w:szCs w:val="25"/>
        </w:rPr>
        <w:t xml:space="preserve">they allege also </w:t>
      </w:r>
      <w:r w:rsidR="00B55065" w:rsidRPr="009F2251">
        <w:rPr>
          <w:rFonts w:ascii="Aptos" w:hAnsi="Aptos" w:cs="Times New Roman"/>
          <w:sz w:val="25"/>
          <w:szCs w:val="25"/>
        </w:rPr>
        <w:t xml:space="preserve">makes her an </w:t>
      </w:r>
      <w:r w:rsidR="00D22DFE" w:rsidRPr="009F2251">
        <w:rPr>
          <w:rFonts w:ascii="Aptos" w:hAnsi="Aptos" w:cs="Times New Roman"/>
          <w:sz w:val="25"/>
          <w:szCs w:val="25"/>
        </w:rPr>
        <w:t>“</w:t>
      </w:r>
      <w:r w:rsidR="00B55065" w:rsidRPr="009F2251">
        <w:rPr>
          <w:rFonts w:ascii="Aptos" w:hAnsi="Aptos" w:cs="Times New Roman"/>
          <w:sz w:val="25"/>
          <w:szCs w:val="25"/>
        </w:rPr>
        <w:t>easier target</w:t>
      </w:r>
      <w:r w:rsidR="00D22DFE" w:rsidRPr="009F2251">
        <w:rPr>
          <w:rFonts w:ascii="Aptos" w:hAnsi="Aptos" w:cs="Times New Roman"/>
          <w:sz w:val="25"/>
          <w:szCs w:val="25"/>
        </w:rPr>
        <w:t>”</w:t>
      </w:r>
      <w:r w:rsidR="00B55065" w:rsidRPr="009F2251">
        <w:rPr>
          <w:rFonts w:ascii="Aptos" w:hAnsi="Aptos" w:cs="Times New Roman"/>
          <w:sz w:val="25"/>
          <w:szCs w:val="25"/>
        </w:rPr>
        <w:t xml:space="preserve"> for bullying as she tends to </w:t>
      </w:r>
      <w:r w:rsidR="00D22DFE" w:rsidRPr="009F2251">
        <w:rPr>
          <w:rFonts w:ascii="Aptos" w:hAnsi="Aptos" w:cs="Times New Roman"/>
          <w:sz w:val="25"/>
          <w:szCs w:val="25"/>
        </w:rPr>
        <w:t>“</w:t>
      </w:r>
      <w:r w:rsidR="00B55065" w:rsidRPr="009F2251">
        <w:rPr>
          <w:rFonts w:ascii="Aptos" w:hAnsi="Aptos" w:cs="Times New Roman"/>
          <w:sz w:val="25"/>
          <w:szCs w:val="25"/>
        </w:rPr>
        <w:t xml:space="preserve">shut down emotionally and </w:t>
      </w:r>
      <w:r w:rsidR="00D22DFE" w:rsidRPr="009F2251">
        <w:rPr>
          <w:rFonts w:ascii="Aptos" w:hAnsi="Aptos" w:cs="Times New Roman"/>
          <w:sz w:val="25"/>
          <w:szCs w:val="25"/>
        </w:rPr>
        <w:t>[] remain</w:t>
      </w:r>
      <w:r w:rsidR="00B55065" w:rsidRPr="009F2251">
        <w:rPr>
          <w:rFonts w:ascii="Aptos" w:hAnsi="Aptos" w:cs="Times New Roman"/>
          <w:sz w:val="25"/>
          <w:szCs w:val="25"/>
        </w:rPr>
        <w:t xml:space="preserve"> quiet.</w:t>
      </w:r>
      <w:r w:rsidR="00D22DFE" w:rsidRPr="009F2251">
        <w:rPr>
          <w:rFonts w:ascii="Aptos" w:hAnsi="Aptos" w:cs="Times New Roman"/>
          <w:sz w:val="25"/>
          <w:szCs w:val="25"/>
        </w:rPr>
        <w:t>”</w:t>
      </w:r>
      <w:r w:rsidR="00B55065" w:rsidRPr="009F2251">
        <w:rPr>
          <w:rFonts w:ascii="Aptos" w:hAnsi="Aptos" w:cs="Times New Roman"/>
          <w:sz w:val="25"/>
          <w:szCs w:val="25"/>
        </w:rPr>
        <w:t xml:space="preserve"> Parents further elaborate on the extent of </w:t>
      </w:r>
      <w:r w:rsidR="00DD3556">
        <w:rPr>
          <w:rFonts w:ascii="Aptos" w:hAnsi="Aptos" w:cs="Times New Roman"/>
          <w:sz w:val="25"/>
          <w:szCs w:val="25"/>
        </w:rPr>
        <w:t>Delilah</w:t>
      </w:r>
      <w:r w:rsidR="00B55065" w:rsidRPr="009F2251">
        <w:rPr>
          <w:rFonts w:ascii="Aptos" w:hAnsi="Aptos" w:cs="Times New Roman"/>
          <w:sz w:val="25"/>
          <w:szCs w:val="25"/>
        </w:rPr>
        <w:t xml:space="preserve">’s fear of returning to school due to ongoing bullying incidents. Additionally, they contend that the District’s failure to schedule </w:t>
      </w:r>
      <w:r w:rsidR="00DD3556">
        <w:rPr>
          <w:rFonts w:ascii="Aptos" w:hAnsi="Aptos" w:cs="Times New Roman"/>
          <w:sz w:val="25"/>
          <w:szCs w:val="25"/>
        </w:rPr>
        <w:t>Delilah</w:t>
      </w:r>
      <w:r w:rsidR="00B55065" w:rsidRPr="009F2251">
        <w:rPr>
          <w:rFonts w:ascii="Aptos" w:hAnsi="Aptos" w:cs="Times New Roman"/>
          <w:sz w:val="25"/>
          <w:szCs w:val="25"/>
        </w:rPr>
        <w:t xml:space="preserve">’s IEP meeting </w:t>
      </w:r>
      <w:r w:rsidR="00880E34">
        <w:rPr>
          <w:rFonts w:ascii="Aptos" w:hAnsi="Aptos" w:cs="Times New Roman"/>
          <w:sz w:val="25"/>
          <w:szCs w:val="25"/>
        </w:rPr>
        <w:t xml:space="preserve">in a timely manner </w:t>
      </w:r>
      <w:r w:rsidR="00173E36" w:rsidRPr="009F2251">
        <w:rPr>
          <w:rFonts w:ascii="Aptos" w:hAnsi="Aptos" w:cs="Times New Roman"/>
          <w:sz w:val="25"/>
          <w:szCs w:val="25"/>
        </w:rPr>
        <w:t xml:space="preserve">caused her to miss </w:t>
      </w:r>
      <w:r w:rsidR="00B55065" w:rsidRPr="009F2251">
        <w:rPr>
          <w:rFonts w:ascii="Aptos" w:hAnsi="Aptos" w:cs="Times New Roman"/>
          <w:sz w:val="25"/>
          <w:szCs w:val="25"/>
        </w:rPr>
        <w:t>speech services and necessary transportation.</w:t>
      </w:r>
    </w:p>
    <w:p w14:paraId="2521EE96" w14:textId="09BAB9AC" w:rsidR="008811E2" w:rsidRPr="009F2251" w:rsidRDefault="008811E2" w:rsidP="003F231F">
      <w:pPr>
        <w:spacing w:after="240"/>
        <w:rPr>
          <w:rFonts w:ascii="Aptos" w:hAnsi="Aptos" w:cs="Times New Roman"/>
          <w:sz w:val="25"/>
          <w:szCs w:val="25"/>
        </w:rPr>
      </w:pPr>
      <w:r>
        <w:rPr>
          <w:rFonts w:ascii="Aptos" w:hAnsi="Aptos" w:cs="Times New Roman"/>
          <w:sz w:val="25"/>
          <w:szCs w:val="25"/>
        </w:rPr>
        <w:lastRenderedPageBreak/>
        <w:tab/>
        <w:t xml:space="preserve">On June 18, 2024, the parties jointly requested that the Hearing be continued for </w:t>
      </w:r>
      <w:r w:rsidR="00BD1DE5">
        <w:rPr>
          <w:rFonts w:ascii="Aptos" w:hAnsi="Aptos" w:cs="Times New Roman"/>
          <w:sz w:val="25"/>
          <w:szCs w:val="25"/>
        </w:rPr>
        <w:t>one month</w:t>
      </w:r>
      <w:r>
        <w:rPr>
          <w:rFonts w:ascii="Aptos" w:hAnsi="Aptos" w:cs="Times New Roman"/>
          <w:sz w:val="25"/>
          <w:szCs w:val="25"/>
        </w:rPr>
        <w:t xml:space="preserve"> to permit them additional time to discuss and narrow the issues. On June 21, 2024, their request was granted for good cause and the Hearing was scheduled for July 26 and 29, 2024.</w:t>
      </w:r>
    </w:p>
    <w:p w14:paraId="7F7224D2" w14:textId="12A19A1B" w:rsidR="001B22E2" w:rsidRPr="009F2251" w:rsidRDefault="002630B3" w:rsidP="003F12E9">
      <w:pPr>
        <w:pStyle w:val="NoSpacing"/>
        <w:numPr>
          <w:ilvl w:val="0"/>
          <w:numId w:val="17"/>
        </w:numPr>
        <w:rPr>
          <w:rFonts w:ascii="Aptos" w:hAnsi="Aptos" w:cs="Times New Roman"/>
          <w:sz w:val="25"/>
          <w:szCs w:val="25"/>
        </w:rPr>
      </w:pPr>
      <w:r w:rsidRPr="009F2251">
        <w:rPr>
          <w:rFonts w:ascii="Aptos" w:hAnsi="Aptos" w:cs="Times New Roman"/>
          <w:sz w:val="25"/>
          <w:szCs w:val="25"/>
        </w:rPr>
        <w:t>DISCUSSION</w:t>
      </w:r>
    </w:p>
    <w:p w14:paraId="20B68D47" w14:textId="6A0EDD16" w:rsidR="002630B3" w:rsidRPr="009F2251" w:rsidRDefault="002630B3" w:rsidP="002630B3">
      <w:pPr>
        <w:pStyle w:val="NoSpacing"/>
        <w:spacing w:before="240"/>
        <w:ind w:firstLine="720"/>
        <w:rPr>
          <w:rFonts w:ascii="Aptos" w:hAnsi="Aptos" w:cs="Times New Roman"/>
          <w:sz w:val="25"/>
          <w:szCs w:val="25"/>
        </w:rPr>
      </w:pPr>
      <w:r w:rsidRPr="009F2251">
        <w:rPr>
          <w:rFonts w:ascii="Aptos" w:hAnsi="Aptos" w:cs="Times New Roman"/>
          <w:sz w:val="25"/>
          <w:szCs w:val="25"/>
        </w:rPr>
        <w:t>Whether Parents</w:t>
      </w:r>
      <w:r w:rsidR="00122451" w:rsidRPr="009F2251">
        <w:rPr>
          <w:rFonts w:ascii="Aptos" w:hAnsi="Aptos" w:cs="Times New Roman"/>
          <w:sz w:val="25"/>
          <w:szCs w:val="25"/>
        </w:rPr>
        <w:t>’</w:t>
      </w:r>
      <w:r w:rsidRPr="009F2251">
        <w:rPr>
          <w:rFonts w:ascii="Aptos" w:hAnsi="Aptos" w:cs="Times New Roman"/>
          <w:sz w:val="25"/>
          <w:szCs w:val="25"/>
        </w:rPr>
        <w:t xml:space="preserve"> claims survive a </w:t>
      </w:r>
      <w:r w:rsidRPr="009F2251">
        <w:rPr>
          <w:rFonts w:ascii="Aptos" w:hAnsi="Aptos" w:cs="Times New Roman"/>
          <w:i/>
          <w:sz w:val="25"/>
          <w:szCs w:val="25"/>
        </w:rPr>
        <w:t xml:space="preserve">Motion to Dismiss </w:t>
      </w:r>
      <w:r w:rsidRPr="009F2251">
        <w:rPr>
          <w:rFonts w:ascii="Aptos" w:hAnsi="Aptos" w:cs="Times New Roman"/>
          <w:sz w:val="25"/>
          <w:szCs w:val="25"/>
        </w:rPr>
        <w:t xml:space="preserve">turns on both the procedural standards for such a motion and the substantive standards governing </w:t>
      </w:r>
      <w:r w:rsidR="00560892" w:rsidRPr="009F2251">
        <w:rPr>
          <w:rFonts w:ascii="Aptos" w:hAnsi="Aptos" w:cs="Times New Roman"/>
          <w:sz w:val="25"/>
          <w:szCs w:val="25"/>
        </w:rPr>
        <w:t>their</w:t>
      </w:r>
      <w:r w:rsidRPr="009F2251">
        <w:rPr>
          <w:rFonts w:ascii="Aptos" w:hAnsi="Aptos" w:cs="Times New Roman"/>
          <w:sz w:val="25"/>
          <w:szCs w:val="25"/>
        </w:rPr>
        <w:t xml:space="preserve"> claims. </w:t>
      </w:r>
    </w:p>
    <w:p w14:paraId="1A91ECAD" w14:textId="7F6C3B69" w:rsidR="001B22E2" w:rsidRPr="009F2251" w:rsidRDefault="001B22E2" w:rsidP="001B22E2">
      <w:pPr>
        <w:pStyle w:val="NoSpacing"/>
        <w:numPr>
          <w:ilvl w:val="0"/>
          <w:numId w:val="14"/>
        </w:numPr>
        <w:spacing w:before="240"/>
        <w:rPr>
          <w:rFonts w:ascii="Aptos" w:hAnsi="Aptos" w:cs="Times New Roman"/>
          <w:sz w:val="25"/>
          <w:szCs w:val="25"/>
        </w:rPr>
      </w:pPr>
      <w:r w:rsidRPr="009F2251">
        <w:rPr>
          <w:rFonts w:ascii="Aptos" w:hAnsi="Aptos" w:cs="Times New Roman"/>
          <w:sz w:val="25"/>
          <w:szCs w:val="25"/>
        </w:rPr>
        <w:tab/>
      </w:r>
      <w:r w:rsidRPr="009F2251">
        <w:rPr>
          <w:rFonts w:ascii="Aptos" w:hAnsi="Aptos" w:cs="Times New Roman"/>
          <w:sz w:val="25"/>
          <w:szCs w:val="25"/>
          <w:u w:val="single"/>
        </w:rPr>
        <w:t xml:space="preserve">Standard for Ruling on </w:t>
      </w:r>
      <w:r w:rsidRPr="009F2251">
        <w:rPr>
          <w:rFonts w:ascii="Aptos" w:hAnsi="Aptos" w:cs="Times New Roman"/>
          <w:i/>
          <w:iCs/>
          <w:sz w:val="25"/>
          <w:szCs w:val="25"/>
          <w:u w:val="single"/>
        </w:rPr>
        <w:t xml:space="preserve">Motion to Dismiss </w:t>
      </w:r>
      <w:r w:rsidR="0040199E" w:rsidRPr="009F2251">
        <w:rPr>
          <w:rFonts w:ascii="Aptos" w:hAnsi="Aptos" w:cs="Times New Roman"/>
          <w:i/>
          <w:iCs/>
          <w:sz w:val="25"/>
          <w:szCs w:val="25"/>
          <w:u w:val="single"/>
        </w:rPr>
        <w:t xml:space="preserve">a </w:t>
      </w:r>
      <w:r w:rsidRPr="009F2251">
        <w:rPr>
          <w:rFonts w:ascii="Aptos" w:hAnsi="Aptos" w:cs="Times New Roman"/>
          <w:i/>
          <w:iCs/>
          <w:sz w:val="25"/>
          <w:szCs w:val="25"/>
          <w:u w:val="single"/>
        </w:rPr>
        <w:t xml:space="preserve">Hearing Request </w:t>
      </w:r>
      <w:r w:rsidRPr="009F2251">
        <w:rPr>
          <w:rFonts w:ascii="Aptos" w:hAnsi="Aptos" w:cs="Times New Roman"/>
          <w:sz w:val="25"/>
          <w:szCs w:val="25"/>
          <w:u w:val="single"/>
        </w:rPr>
        <w:t xml:space="preserve">Filed </w:t>
      </w:r>
      <w:r w:rsidRPr="009F2251">
        <w:rPr>
          <w:rFonts w:ascii="Aptos" w:hAnsi="Aptos" w:cs="Times New Roman"/>
          <w:i/>
          <w:iCs/>
          <w:sz w:val="25"/>
          <w:szCs w:val="25"/>
          <w:u w:val="single"/>
        </w:rPr>
        <w:t>Pro Se</w:t>
      </w:r>
    </w:p>
    <w:p w14:paraId="2C77CE13" w14:textId="3EF50F0E" w:rsidR="001B22E2" w:rsidRPr="009F2251" w:rsidRDefault="001B22E2" w:rsidP="001B22E2">
      <w:pPr>
        <w:spacing w:before="240"/>
        <w:ind w:firstLine="720"/>
        <w:rPr>
          <w:rFonts w:ascii="Aptos" w:hAnsi="Aptos" w:cs="Times New Roman"/>
          <w:sz w:val="25"/>
          <w:szCs w:val="25"/>
        </w:rPr>
      </w:pPr>
      <w:r w:rsidRPr="009F2251">
        <w:rPr>
          <w:rFonts w:ascii="Aptos" w:hAnsi="Aptos" w:cs="Times New Roman"/>
          <w:sz w:val="25"/>
          <w:szCs w:val="25"/>
        </w:rPr>
        <w:t xml:space="preserve">Pursuant to the </w:t>
      </w:r>
      <w:r w:rsidRPr="009F2251">
        <w:rPr>
          <w:rFonts w:ascii="Aptos" w:hAnsi="Aptos" w:cs="Times New Roman"/>
          <w:i/>
          <w:sz w:val="25"/>
          <w:szCs w:val="25"/>
        </w:rPr>
        <w:t>Standard Adjudicatory Rules of Practice and Procedure</w:t>
      </w:r>
      <w:r w:rsidRPr="009F2251">
        <w:rPr>
          <w:rFonts w:ascii="Aptos" w:hAnsi="Aptos" w:cs="Times New Roman"/>
          <w:sz w:val="25"/>
          <w:szCs w:val="25"/>
        </w:rPr>
        <w:t xml:space="preserve">, 801 CMR 1.01(7)(g)(3) and Rule XVIIB of the BSEA </w:t>
      </w:r>
      <w:r w:rsidRPr="009F2251">
        <w:rPr>
          <w:rFonts w:ascii="Aptos" w:hAnsi="Aptos" w:cs="Times New Roman"/>
          <w:i/>
          <w:sz w:val="25"/>
          <w:szCs w:val="25"/>
        </w:rPr>
        <w:t>Hearing</w:t>
      </w:r>
      <w:r w:rsidR="00B93938" w:rsidRPr="009F2251">
        <w:rPr>
          <w:rFonts w:ascii="Aptos" w:hAnsi="Aptos" w:cs="Times New Roman"/>
          <w:i/>
          <w:sz w:val="25"/>
          <w:szCs w:val="25"/>
        </w:rPr>
        <w:t xml:space="preserve"> Rules</w:t>
      </w:r>
      <w:r w:rsidRPr="009F2251">
        <w:rPr>
          <w:rFonts w:ascii="Aptos" w:hAnsi="Aptos" w:cs="Times New Roman"/>
          <w:sz w:val="25"/>
          <w:szCs w:val="25"/>
        </w:rPr>
        <w:t>, a hearing officer may allow a motion to dismiss if the party requesting the appeal fails to state a claim on which relief can be granted. This rule is analogous to Rule 12(b)(6) of the Federal Rules of Civil Procedure and as such hearing officers have generally used the same standards as the courts in deciding motions to dismiss for failure to state a claim. Specifically, what is required to survive a motion to dismiss “are factual ‘allegations plausibly suggesting (not merely consistent with)’ an entitlement to relief.”</w:t>
      </w:r>
      <w:r w:rsidRPr="009F2251">
        <w:rPr>
          <w:rStyle w:val="FootnoteReference"/>
          <w:rFonts w:ascii="Aptos" w:hAnsi="Aptos" w:cs="Times New Roman"/>
          <w:sz w:val="25"/>
          <w:szCs w:val="25"/>
        </w:rPr>
        <w:footnoteReference w:id="4"/>
      </w:r>
      <w:r w:rsidRPr="009F2251">
        <w:rPr>
          <w:rFonts w:ascii="Aptos" w:hAnsi="Aptos" w:cs="Times New Roman"/>
          <w:sz w:val="25"/>
          <w:szCs w:val="25"/>
        </w:rPr>
        <w:t xml:space="preserve"> In evaluating the complaint, the hearing officer must take as true “the allegations of the complaint, as well as such inferences as may be drawn therefrom in the plaintiff’s favor.”</w:t>
      </w:r>
      <w:r w:rsidRPr="009F2251">
        <w:rPr>
          <w:rStyle w:val="FootnoteReference"/>
          <w:rFonts w:ascii="Aptos" w:hAnsi="Aptos" w:cs="Times New Roman"/>
          <w:sz w:val="25"/>
          <w:szCs w:val="25"/>
        </w:rPr>
        <w:footnoteReference w:id="5"/>
      </w:r>
      <w:r w:rsidRPr="009F2251">
        <w:rPr>
          <w:rFonts w:ascii="Aptos" w:hAnsi="Aptos" w:cs="Times New Roman"/>
          <w:sz w:val="25"/>
          <w:szCs w:val="25"/>
        </w:rPr>
        <w:t xml:space="preserve"> These “[f]actual allegations must be enough to raise a right to relief above the speculative level . . . [based] on the assumption that all the allegations in the complaint are true (even if doubtful in fact). . .</w:t>
      </w:r>
      <w:r w:rsidR="00880E34">
        <w:rPr>
          <w:rFonts w:ascii="Aptos" w:hAnsi="Aptos" w:cs="Times New Roman"/>
          <w:sz w:val="25"/>
          <w:szCs w:val="25"/>
        </w:rPr>
        <w:t xml:space="preserve"> .</w:t>
      </w:r>
      <w:r w:rsidRPr="009F2251">
        <w:rPr>
          <w:rFonts w:ascii="Aptos" w:hAnsi="Aptos" w:cs="Times New Roman"/>
          <w:sz w:val="25"/>
          <w:szCs w:val="25"/>
        </w:rPr>
        <w:t>”</w:t>
      </w:r>
      <w:r w:rsidRPr="009F2251">
        <w:rPr>
          <w:rStyle w:val="FootnoteReference"/>
          <w:rFonts w:ascii="Aptos" w:hAnsi="Aptos" w:cs="Times New Roman"/>
          <w:sz w:val="25"/>
          <w:szCs w:val="25"/>
        </w:rPr>
        <w:footnoteReference w:id="6"/>
      </w:r>
      <w:r w:rsidRPr="009F2251">
        <w:rPr>
          <w:rFonts w:ascii="Aptos" w:hAnsi="Aptos" w:cs="Times New Roman"/>
          <w:sz w:val="25"/>
          <w:szCs w:val="25"/>
        </w:rPr>
        <w:t xml:space="preserve"> </w:t>
      </w:r>
    </w:p>
    <w:p w14:paraId="0B297470" w14:textId="4D07A8AB" w:rsidR="001B22E2" w:rsidRPr="009F2251" w:rsidRDefault="001B22E2" w:rsidP="001B22E2">
      <w:pPr>
        <w:spacing w:before="240"/>
        <w:ind w:firstLine="720"/>
        <w:rPr>
          <w:rFonts w:ascii="Aptos" w:hAnsi="Aptos" w:cs="Times New Roman"/>
          <w:sz w:val="25"/>
          <w:szCs w:val="25"/>
        </w:rPr>
      </w:pPr>
      <w:r w:rsidRPr="009F2251">
        <w:rPr>
          <w:rFonts w:ascii="Aptos" w:hAnsi="Aptos" w:cs="Times New Roman"/>
          <w:sz w:val="25"/>
          <w:szCs w:val="25"/>
        </w:rPr>
        <w:t xml:space="preserve">According to the First Circuit Court of Appeals, complaints filed by </w:t>
      </w:r>
      <w:r w:rsidRPr="009F2251">
        <w:rPr>
          <w:rFonts w:ascii="Aptos" w:hAnsi="Aptos" w:cs="Times New Roman"/>
          <w:i/>
          <w:sz w:val="25"/>
          <w:szCs w:val="25"/>
        </w:rPr>
        <w:t xml:space="preserve">pro se </w:t>
      </w:r>
      <w:r w:rsidRPr="009F2251">
        <w:rPr>
          <w:rFonts w:ascii="Aptos" w:hAnsi="Aptos" w:cs="Times New Roman"/>
          <w:sz w:val="25"/>
          <w:szCs w:val="25"/>
        </w:rPr>
        <w:t>parties should be construed liberally.</w:t>
      </w:r>
      <w:r w:rsidRPr="009F2251">
        <w:rPr>
          <w:rStyle w:val="FootnoteReference"/>
          <w:rFonts w:ascii="Aptos" w:hAnsi="Aptos" w:cs="Times New Roman"/>
          <w:sz w:val="25"/>
          <w:szCs w:val="25"/>
        </w:rPr>
        <w:footnoteReference w:id="7"/>
      </w:r>
      <w:r w:rsidRPr="009F2251">
        <w:rPr>
          <w:rFonts w:ascii="Aptos" w:hAnsi="Aptos" w:cs="Times New Roman"/>
          <w:sz w:val="25"/>
          <w:szCs w:val="25"/>
        </w:rPr>
        <w:t xml:space="preserve"> “The policy behind affording pro se plaintiffs liberal interpretation is that if they present sufficient facts [to state a claim], the court may intuit the correct cause of action, even if it was imperfectly pled.</w:t>
      </w:r>
      <w:r w:rsidR="0079564A" w:rsidRPr="009F2251">
        <w:rPr>
          <w:rFonts w:ascii="Aptos" w:hAnsi="Aptos" w:cs="Times New Roman"/>
          <w:sz w:val="25"/>
          <w:szCs w:val="25"/>
        </w:rPr>
        <w:t>”</w:t>
      </w:r>
      <w:r w:rsidRPr="009F2251">
        <w:rPr>
          <w:rStyle w:val="FootnoteReference"/>
          <w:rFonts w:ascii="Aptos" w:hAnsi="Aptos" w:cs="Times New Roman"/>
          <w:sz w:val="25"/>
          <w:szCs w:val="25"/>
        </w:rPr>
        <w:footnoteReference w:id="8"/>
      </w:r>
      <w:r w:rsidRPr="009F2251">
        <w:rPr>
          <w:rFonts w:ascii="Aptos" w:hAnsi="Aptos" w:cs="Times New Roman"/>
          <w:sz w:val="25"/>
          <w:szCs w:val="25"/>
        </w:rPr>
        <w:t xml:space="preserve"> This principle aligns with “[o]</w:t>
      </w:r>
      <w:proofErr w:type="spellStart"/>
      <w:r w:rsidRPr="009F2251">
        <w:rPr>
          <w:rFonts w:ascii="Aptos" w:hAnsi="Aptos" w:cs="Times New Roman"/>
          <w:sz w:val="25"/>
          <w:szCs w:val="25"/>
        </w:rPr>
        <w:t>ur</w:t>
      </w:r>
      <w:proofErr w:type="spellEnd"/>
      <w:r w:rsidRPr="009F2251">
        <w:rPr>
          <w:rFonts w:ascii="Aptos" w:hAnsi="Aptos" w:cs="Times New Roman"/>
          <w:sz w:val="25"/>
          <w:szCs w:val="25"/>
        </w:rPr>
        <w:t xml:space="preserve"> judicial system [, which] zealously guards the attempts of pro se litigants on their own behalf” while not ignoring the need for compliance with procedural and substantive law.</w:t>
      </w:r>
      <w:r w:rsidRPr="009F2251">
        <w:rPr>
          <w:rStyle w:val="FootnoteReference"/>
          <w:rFonts w:ascii="Aptos" w:hAnsi="Aptos" w:cs="Times New Roman"/>
          <w:sz w:val="25"/>
          <w:szCs w:val="25"/>
        </w:rPr>
        <w:footnoteReference w:id="9"/>
      </w:r>
    </w:p>
    <w:p w14:paraId="444BC037" w14:textId="1E20C430" w:rsidR="00EE24F1" w:rsidRPr="009F2251" w:rsidRDefault="00173E36" w:rsidP="001B22E2">
      <w:pPr>
        <w:pStyle w:val="NoSpacing"/>
        <w:spacing w:before="240"/>
        <w:ind w:firstLine="720"/>
        <w:rPr>
          <w:rFonts w:ascii="Aptos" w:hAnsi="Aptos" w:cs="Times New Roman"/>
          <w:sz w:val="25"/>
          <w:szCs w:val="25"/>
        </w:rPr>
      </w:pPr>
      <w:r w:rsidRPr="009F2251">
        <w:rPr>
          <w:rFonts w:ascii="Aptos" w:hAnsi="Aptos" w:cs="Times New Roman"/>
          <w:sz w:val="25"/>
          <w:szCs w:val="25"/>
        </w:rPr>
        <w:t xml:space="preserve">Under these </w:t>
      </w:r>
      <w:r w:rsidR="00C1780E" w:rsidRPr="009F2251">
        <w:rPr>
          <w:rFonts w:ascii="Aptos" w:hAnsi="Aptos" w:cs="Times New Roman"/>
          <w:sz w:val="25"/>
          <w:szCs w:val="25"/>
        </w:rPr>
        <w:t xml:space="preserve">standards, Parents’ claims </w:t>
      </w:r>
      <w:r w:rsidR="00560892" w:rsidRPr="009F2251">
        <w:rPr>
          <w:rFonts w:ascii="Aptos" w:hAnsi="Aptos" w:cs="Times New Roman"/>
          <w:sz w:val="25"/>
          <w:szCs w:val="25"/>
        </w:rPr>
        <w:t xml:space="preserve">that Worcester failed to properly handle </w:t>
      </w:r>
      <w:r w:rsidR="00862CFB" w:rsidRPr="009F2251">
        <w:rPr>
          <w:rFonts w:ascii="Aptos" w:hAnsi="Aptos" w:cs="Times New Roman"/>
          <w:sz w:val="25"/>
          <w:szCs w:val="25"/>
        </w:rPr>
        <w:t xml:space="preserve">the </w:t>
      </w:r>
      <w:r w:rsidR="00560892" w:rsidRPr="009F2251">
        <w:rPr>
          <w:rFonts w:ascii="Aptos" w:hAnsi="Aptos" w:cs="Times New Roman"/>
          <w:sz w:val="25"/>
          <w:szCs w:val="25"/>
        </w:rPr>
        <w:t xml:space="preserve">bullying of </w:t>
      </w:r>
      <w:r w:rsidR="00DD3556">
        <w:rPr>
          <w:rFonts w:ascii="Aptos" w:hAnsi="Aptos" w:cs="Times New Roman"/>
          <w:sz w:val="25"/>
          <w:szCs w:val="25"/>
        </w:rPr>
        <w:t>Delilah</w:t>
      </w:r>
      <w:r w:rsidR="00560892" w:rsidRPr="009F2251">
        <w:rPr>
          <w:rFonts w:ascii="Aptos" w:hAnsi="Aptos" w:cs="Times New Roman"/>
          <w:sz w:val="25"/>
          <w:szCs w:val="25"/>
        </w:rPr>
        <w:t xml:space="preserve"> by her peers and </w:t>
      </w:r>
      <w:r w:rsidR="00F23328" w:rsidRPr="009F2251">
        <w:rPr>
          <w:rFonts w:ascii="Aptos" w:hAnsi="Aptos" w:cs="Times New Roman"/>
          <w:sz w:val="25"/>
          <w:szCs w:val="25"/>
        </w:rPr>
        <w:t>did not complete</w:t>
      </w:r>
      <w:r w:rsidR="00560892" w:rsidRPr="009F2251">
        <w:rPr>
          <w:rFonts w:ascii="Aptos" w:hAnsi="Aptos" w:cs="Times New Roman"/>
          <w:sz w:val="25"/>
          <w:szCs w:val="25"/>
        </w:rPr>
        <w:t xml:space="preserve"> </w:t>
      </w:r>
      <w:r w:rsidR="00091757" w:rsidRPr="009F2251">
        <w:rPr>
          <w:rFonts w:ascii="Aptos" w:hAnsi="Aptos" w:cs="Times New Roman"/>
          <w:sz w:val="25"/>
          <w:szCs w:val="25"/>
        </w:rPr>
        <w:t>the</w:t>
      </w:r>
      <w:r w:rsidR="00560892" w:rsidRPr="009F2251">
        <w:rPr>
          <w:rFonts w:ascii="Aptos" w:hAnsi="Aptos" w:cs="Times New Roman"/>
          <w:sz w:val="25"/>
          <w:szCs w:val="25"/>
        </w:rPr>
        <w:t xml:space="preserve"> </w:t>
      </w:r>
      <w:r w:rsidR="00862CFB" w:rsidRPr="009F2251">
        <w:rPr>
          <w:rFonts w:ascii="Aptos" w:hAnsi="Aptos" w:cs="Times New Roman"/>
          <w:sz w:val="25"/>
          <w:szCs w:val="25"/>
        </w:rPr>
        <w:t xml:space="preserve">Special Education Assessments </w:t>
      </w:r>
      <w:r w:rsidR="00560892" w:rsidRPr="009F2251">
        <w:rPr>
          <w:rFonts w:ascii="Aptos" w:hAnsi="Aptos" w:cs="Times New Roman"/>
          <w:sz w:val="25"/>
          <w:szCs w:val="25"/>
        </w:rPr>
        <w:t xml:space="preserve">of </w:t>
      </w:r>
      <w:r w:rsidR="00DD3556">
        <w:rPr>
          <w:rFonts w:ascii="Aptos" w:hAnsi="Aptos" w:cs="Times New Roman"/>
          <w:sz w:val="25"/>
          <w:szCs w:val="25"/>
        </w:rPr>
        <w:lastRenderedPageBreak/>
        <w:t>Delilah</w:t>
      </w:r>
      <w:r w:rsidR="00862CFB" w:rsidRPr="009F2251">
        <w:rPr>
          <w:rFonts w:ascii="Aptos" w:hAnsi="Aptos" w:cs="Times New Roman"/>
          <w:sz w:val="25"/>
          <w:szCs w:val="25"/>
        </w:rPr>
        <w:t xml:space="preserve"> </w:t>
      </w:r>
      <w:r w:rsidR="00091757" w:rsidRPr="009F2251">
        <w:rPr>
          <w:rFonts w:ascii="Aptos" w:hAnsi="Aptos" w:cs="Times New Roman"/>
          <w:sz w:val="25"/>
          <w:szCs w:val="25"/>
        </w:rPr>
        <w:t xml:space="preserve">in a timely manner </w:t>
      </w:r>
      <w:r w:rsidR="00C1780E" w:rsidRPr="009F2251">
        <w:rPr>
          <w:rFonts w:ascii="Aptos" w:hAnsi="Aptos" w:cs="Times New Roman"/>
          <w:sz w:val="25"/>
          <w:szCs w:val="25"/>
        </w:rPr>
        <w:t>plausibly suggest an entitlement to relief</w:t>
      </w:r>
      <w:r w:rsidR="00756E31">
        <w:rPr>
          <w:rFonts w:ascii="Aptos" w:hAnsi="Aptos" w:cs="Times New Roman"/>
          <w:sz w:val="25"/>
          <w:szCs w:val="25"/>
        </w:rPr>
        <w:t>, e</w:t>
      </w:r>
      <w:r w:rsidR="00C1780E" w:rsidRPr="009F2251">
        <w:rPr>
          <w:rFonts w:ascii="Aptos" w:hAnsi="Aptos" w:cs="Times New Roman"/>
          <w:sz w:val="25"/>
          <w:szCs w:val="25"/>
        </w:rPr>
        <w:t>ven if the</w:t>
      </w:r>
      <w:r w:rsidR="00880E34">
        <w:rPr>
          <w:rFonts w:ascii="Aptos" w:hAnsi="Aptos" w:cs="Times New Roman"/>
          <w:sz w:val="25"/>
          <w:szCs w:val="25"/>
        </w:rPr>
        <w:t>y</w:t>
      </w:r>
      <w:r w:rsidR="00C1780E" w:rsidRPr="009F2251">
        <w:rPr>
          <w:rFonts w:ascii="Aptos" w:hAnsi="Aptos" w:cs="Times New Roman"/>
          <w:sz w:val="25"/>
          <w:szCs w:val="25"/>
        </w:rPr>
        <w:t xml:space="preserve"> are imperfectly pled</w:t>
      </w:r>
      <w:r w:rsidR="00756E31">
        <w:rPr>
          <w:rFonts w:ascii="Aptos" w:hAnsi="Aptos" w:cs="Times New Roman"/>
          <w:sz w:val="25"/>
          <w:szCs w:val="25"/>
        </w:rPr>
        <w:t>. Therefore,</w:t>
      </w:r>
      <w:r w:rsidR="00C1780E" w:rsidRPr="009F2251">
        <w:rPr>
          <w:rFonts w:ascii="Aptos" w:hAnsi="Aptos" w:cs="Times New Roman"/>
          <w:sz w:val="25"/>
          <w:szCs w:val="25"/>
        </w:rPr>
        <w:t xml:space="preserve"> </w:t>
      </w:r>
      <w:r w:rsidR="00880E34">
        <w:rPr>
          <w:rFonts w:ascii="Aptos" w:hAnsi="Aptos" w:cs="Times New Roman"/>
          <w:sz w:val="25"/>
          <w:szCs w:val="25"/>
        </w:rPr>
        <w:t xml:space="preserve">as to these claims, </w:t>
      </w:r>
      <w:r w:rsidR="00C1780E" w:rsidRPr="009F2251">
        <w:rPr>
          <w:rFonts w:ascii="Aptos" w:hAnsi="Aptos" w:cs="Times New Roman"/>
          <w:sz w:val="25"/>
          <w:szCs w:val="25"/>
        </w:rPr>
        <w:t xml:space="preserve">the District’s </w:t>
      </w:r>
      <w:r w:rsidR="00C1780E" w:rsidRPr="00880E34">
        <w:rPr>
          <w:rFonts w:ascii="Aptos" w:hAnsi="Aptos" w:cs="Times New Roman"/>
          <w:i/>
          <w:iCs/>
          <w:sz w:val="25"/>
          <w:szCs w:val="25"/>
        </w:rPr>
        <w:t>Motion to Dismiss</w:t>
      </w:r>
      <w:r w:rsidR="00C1780E" w:rsidRPr="009F2251">
        <w:rPr>
          <w:rFonts w:ascii="Aptos" w:hAnsi="Aptos" w:cs="Times New Roman"/>
          <w:sz w:val="25"/>
          <w:szCs w:val="25"/>
        </w:rPr>
        <w:t xml:space="preserve"> is denied. However, the motion is granted </w:t>
      </w:r>
      <w:r w:rsidR="00B744AC" w:rsidRPr="009F2251">
        <w:rPr>
          <w:rFonts w:ascii="Aptos" w:hAnsi="Aptos" w:cs="Times New Roman"/>
          <w:sz w:val="25"/>
          <w:szCs w:val="25"/>
        </w:rPr>
        <w:t xml:space="preserve">with respect to </w:t>
      </w:r>
      <w:r w:rsidR="00F723EF" w:rsidRPr="009F2251">
        <w:rPr>
          <w:rFonts w:ascii="Aptos" w:hAnsi="Aptos" w:cs="Times New Roman"/>
          <w:sz w:val="25"/>
          <w:szCs w:val="25"/>
        </w:rPr>
        <w:t xml:space="preserve">Parents’ </w:t>
      </w:r>
      <w:r w:rsidR="00880E34">
        <w:rPr>
          <w:rFonts w:ascii="Aptos" w:hAnsi="Aptos" w:cs="Times New Roman"/>
          <w:sz w:val="25"/>
          <w:szCs w:val="25"/>
        </w:rPr>
        <w:t>remaining</w:t>
      </w:r>
      <w:r w:rsidR="00F723EF" w:rsidRPr="009F2251">
        <w:rPr>
          <w:rFonts w:ascii="Aptos" w:hAnsi="Aptos" w:cs="Times New Roman"/>
          <w:sz w:val="25"/>
          <w:szCs w:val="25"/>
        </w:rPr>
        <w:t xml:space="preserve"> claims.</w:t>
      </w:r>
    </w:p>
    <w:p w14:paraId="429D17AF" w14:textId="55253425" w:rsidR="001B22E2" w:rsidRPr="009F2251" w:rsidRDefault="001B22E2" w:rsidP="004D3210">
      <w:pPr>
        <w:pStyle w:val="ListParagraph"/>
        <w:numPr>
          <w:ilvl w:val="0"/>
          <w:numId w:val="14"/>
        </w:numPr>
        <w:spacing w:before="240"/>
        <w:rPr>
          <w:rFonts w:ascii="Aptos" w:hAnsi="Aptos" w:cs="Times New Roman"/>
          <w:sz w:val="25"/>
          <w:szCs w:val="25"/>
          <w:u w:val="single"/>
        </w:rPr>
      </w:pPr>
      <w:r w:rsidRPr="009F2251">
        <w:rPr>
          <w:rFonts w:ascii="Aptos" w:hAnsi="Aptos" w:cs="Times New Roman"/>
          <w:sz w:val="25"/>
          <w:szCs w:val="25"/>
        </w:rPr>
        <w:tab/>
      </w:r>
      <w:r w:rsidRPr="009F2251">
        <w:rPr>
          <w:rFonts w:ascii="Aptos" w:hAnsi="Aptos" w:cs="Times New Roman"/>
          <w:sz w:val="25"/>
          <w:szCs w:val="25"/>
          <w:u w:val="single"/>
        </w:rPr>
        <w:t>BSEA Jurisdiction</w:t>
      </w:r>
    </w:p>
    <w:p w14:paraId="1FA2705D" w14:textId="0BE6BEBD" w:rsidR="001B22E2" w:rsidRPr="009F2251" w:rsidRDefault="00756E31" w:rsidP="00756E31">
      <w:pPr>
        <w:spacing w:before="240"/>
        <w:ind w:firstLine="720"/>
        <w:rPr>
          <w:rFonts w:ascii="Aptos" w:hAnsi="Aptos" w:cs="Times New Roman"/>
          <w:sz w:val="25"/>
          <w:szCs w:val="25"/>
        </w:rPr>
      </w:pPr>
      <w:r>
        <w:rPr>
          <w:rFonts w:ascii="Aptos" w:hAnsi="Aptos" w:cs="Times New Roman"/>
          <w:sz w:val="25"/>
          <w:szCs w:val="25"/>
        </w:rPr>
        <w:t>T</w:t>
      </w:r>
      <w:r w:rsidR="001B22E2" w:rsidRPr="009F2251">
        <w:rPr>
          <w:rFonts w:ascii="Aptos" w:hAnsi="Aptos" w:cs="Times New Roman"/>
          <w:sz w:val="25"/>
          <w:szCs w:val="25"/>
        </w:rPr>
        <w:t xml:space="preserve">he IDEA, 20 U.S.C. § 1400 </w:t>
      </w:r>
      <w:r w:rsidR="001B22E2" w:rsidRPr="009F2251">
        <w:rPr>
          <w:rFonts w:ascii="Aptos" w:hAnsi="Aptos" w:cs="Times New Roman"/>
          <w:i/>
          <w:sz w:val="25"/>
          <w:szCs w:val="25"/>
        </w:rPr>
        <w:t>et seq.</w:t>
      </w:r>
      <w:r>
        <w:rPr>
          <w:rFonts w:ascii="Aptos" w:hAnsi="Aptos" w:cs="Times New Roman"/>
          <w:iCs/>
          <w:sz w:val="25"/>
          <w:szCs w:val="25"/>
        </w:rPr>
        <w:t>,</w:t>
      </w:r>
      <w:r w:rsidR="001B22E2" w:rsidRPr="009F2251">
        <w:rPr>
          <w:rFonts w:ascii="Aptos" w:hAnsi="Aptos" w:cs="Times New Roman"/>
          <w:sz w:val="25"/>
          <w:szCs w:val="25"/>
        </w:rPr>
        <w:t xml:space="preserve"> provides parents with a formal</w:t>
      </w:r>
      <w:r>
        <w:rPr>
          <w:rFonts w:ascii="Aptos" w:hAnsi="Aptos" w:cs="Times New Roman"/>
          <w:sz w:val="25"/>
          <w:szCs w:val="25"/>
        </w:rPr>
        <w:t xml:space="preserve"> due process</w:t>
      </w:r>
      <w:r w:rsidR="001B22E2" w:rsidRPr="009F2251">
        <w:rPr>
          <w:rFonts w:ascii="Aptos" w:hAnsi="Aptos" w:cs="Times New Roman"/>
          <w:sz w:val="25"/>
          <w:szCs w:val="25"/>
        </w:rPr>
        <w:t xml:space="preserve"> complaint process with respect to “any matter relating to the identification, evaluation, or educational placement of the child, or the provision of a free appropriate public education to such child.”</w:t>
      </w:r>
      <w:r w:rsidR="001B22E2" w:rsidRPr="009F2251">
        <w:rPr>
          <w:rStyle w:val="FootnoteReference"/>
          <w:rFonts w:ascii="Aptos" w:hAnsi="Aptos" w:cs="Times New Roman"/>
          <w:sz w:val="25"/>
          <w:szCs w:val="25"/>
        </w:rPr>
        <w:footnoteReference w:id="10"/>
      </w:r>
      <w:r w:rsidR="001B22E2" w:rsidRPr="009F2251">
        <w:rPr>
          <w:rFonts w:ascii="Aptos" w:hAnsi="Aptos" w:cs="Times New Roman"/>
          <w:sz w:val="25"/>
          <w:szCs w:val="25"/>
        </w:rPr>
        <w:t xml:space="preserve"> In Massachusetts</w:t>
      </w:r>
      <w:r w:rsidR="00E14C3E" w:rsidRPr="009F2251">
        <w:rPr>
          <w:rFonts w:ascii="Aptos" w:hAnsi="Aptos" w:cs="Times New Roman"/>
          <w:sz w:val="25"/>
          <w:szCs w:val="25"/>
        </w:rPr>
        <w:t>,</w:t>
      </w:r>
      <w:r w:rsidR="001B22E2" w:rsidRPr="009F2251">
        <w:rPr>
          <w:rFonts w:ascii="Aptos" w:hAnsi="Aptos" w:cs="Times New Roman"/>
          <w:sz w:val="25"/>
          <w:szCs w:val="25"/>
        </w:rPr>
        <w:t xml:space="preserve"> the BSEA is the administrative agency before which any impartial due process hearing regarding these issues takes place. The BSEA is an agency of limited jurisdiction; it has jurisdiction over requests for hearing filed by: </w:t>
      </w:r>
    </w:p>
    <w:p w14:paraId="35BD66D1" w14:textId="40243C90" w:rsidR="001B22E2" w:rsidRPr="009F2251" w:rsidRDefault="001B22E2" w:rsidP="001B22E2">
      <w:pPr>
        <w:spacing w:before="240"/>
        <w:ind w:left="1440"/>
        <w:rPr>
          <w:rFonts w:ascii="Aptos" w:hAnsi="Aptos" w:cs="Times New Roman"/>
          <w:sz w:val="25"/>
          <w:szCs w:val="25"/>
        </w:rPr>
      </w:pPr>
      <w:r w:rsidRPr="009F2251">
        <w:rPr>
          <w:rFonts w:ascii="Aptos" w:hAnsi="Aptos" w:cs="Times New Roman"/>
          <w:sz w:val="25"/>
          <w:szCs w:val="25"/>
        </w:rPr>
        <w:t>a parent or school district   . . . on any matter concerning the eligibility, evaluation, placement, IEP, provision of special education in accordance with state and federal law, or procedural protections of state and federal law for students with disabilities. A parent of a student with a disability may also request a hearing on any issue involving the denial of the free appropriate public education guaranteed by Section 504 . . .</w:t>
      </w:r>
      <w:r w:rsidR="00880E34">
        <w:rPr>
          <w:rFonts w:ascii="Aptos" w:hAnsi="Aptos" w:cs="Times New Roman"/>
          <w:sz w:val="25"/>
          <w:szCs w:val="25"/>
        </w:rPr>
        <w:t xml:space="preserve"> .</w:t>
      </w:r>
      <w:r w:rsidRPr="009F2251">
        <w:rPr>
          <w:rStyle w:val="FootnoteReference"/>
          <w:rFonts w:ascii="Aptos" w:hAnsi="Aptos" w:cs="Times New Roman"/>
          <w:sz w:val="25"/>
          <w:szCs w:val="25"/>
        </w:rPr>
        <w:footnoteReference w:id="11"/>
      </w:r>
    </w:p>
    <w:p w14:paraId="3E1E4142" w14:textId="60F810D6" w:rsidR="001B22E2" w:rsidRPr="009F2251" w:rsidRDefault="001B22E2" w:rsidP="007335B7">
      <w:pPr>
        <w:spacing w:before="240" w:after="240"/>
        <w:rPr>
          <w:rFonts w:ascii="Aptos" w:hAnsi="Aptos" w:cs="Times New Roman"/>
          <w:sz w:val="25"/>
          <w:szCs w:val="25"/>
        </w:rPr>
      </w:pPr>
      <w:r w:rsidRPr="009F2251">
        <w:rPr>
          <w:rFonts w:ascii="Aptos" w:hAnsi="Aptos" w:cs="Times New Roman"/>
          <w:sz w:val="25"/>
          <w:szCs w:val="25"/>
        </w:rPr>
        <w:tab/>
      </w:r>
      <w:r w:rsidR="00FE40EA">
        <w:rPr>
          <w:rFonts w:ascii="Aptos" w:hAnsi="Aptos" w:cs="Times New Roman"/>
          <w:sz w:val="25"/>
          <w:szCs w:val="25"/>
        </w:rPr>
        <w:t>Although the United State</w:t>
      </w:r>
      <w:r w:rsidR="00F87FF5">
        <w:rPr>
          <w:rFonts w:ascii="Aptos" w:hAnsi="Aptos" w:cs="Times New Roman"/>
          <w:sz w:val="25"/>
          <w:szCs w:val="25"/>
        </w:rPr>
        <w:t>s</w:t>
      </w:r>
      <w:r w:rsidR="00FE40EA">
        <w:rPr>
          <w:rFonts w:ascii="Aptos" w:hAnsi="Aptos" w:cs="Times New Roman"/>
          <w:sz w:val="25"/>
          <w:szCs w:val="25"/>
        </w:rPr>
        <w:t xml:space="preserve"> Supreme Court</w:t>
      </w:r>
      <w:r w:rsidR="00756E31">
        <w:rPr>
          <w:rFonts w:ascii="Aptos" w:hAnsi="Aptos" w:cs="Times New Roman"/>
          <w:sz w:val="25"/>
          <w:szCs w:val="25"/>
        </w:rPr>
        <w:t xml:space="preserve"> recently</w:t>
      </w:r>
      <w:r w:rsidR="00FE40EA">
        <w:rPr>
          <w:rFonts w:ascii="Aptos" w:hAnsi="Aptos" w:cs="Times New Roman"/>
          <w:sz w:val="25"/>
          <w:szCs w:val="25"/>
        </w:rPr>
        <w:t xml:space="preserve"> </w:t>
      </w:r>
      <w:r w:rsidR="00B1215F">
        <w:rPr>
          <w:rFonts w:ascii="Aptos" w:hAnsi="Aptos" w:cs="Times New Roman"/>
          <w:sz w:val="25"/>
          <w:szCs w:val="25"/>
        </w:rPr>
        <w:t>clarified</w:t>
      </w:r>
      <w:r w:rsidR="00FE40EA">
        <w:rPr>
          <w:rFonts w:ascii="Aptos" w:hAnsi="Aptos" w:cs="Times New Roman"/>
          <w:sz w:val="25"/>
          <w:szCs w:val="25"/>
        </w:rPr>
        <w:t xml:space="preserve"> that plaintiffs need not exhaust claims</w:t>
      </w:r>
      <w:r w:rsidR="00C21D85">
        <w:rPr>
          <w:rFonts w:ascii="Aptos" w:hAnsi="Aptos" w:cs="Times New Roman"/>
          <w:sz w:val="25"/>
          <w:szCs w:val="25"/>
        </w:rPr>
        <w:t xml:space="preserve"> under other statutes</w:t>
      </w:r>
      <w:r w:rsidR="00FE40EA">
        <w:rPr>
          <w:rFonts w:ascii="Aptos" w:hAnsi="Aptos" w:cs="Times New Roman"/>
          <w:sz w:val="25"/>
          <w:szCs w:val="25"/>
        </w:rPr>
        <w:t xml:space="preserve"> seeking only relief that is not available under the IDEA,</w:t>
      </w:r>
      <w:r w:rsidR="00FE40EA">
        <w:rPr>
          <w:rStyle w:val="FootnoteReference"/>
          <w:rFonts w:ascii="Aptos" w:hAnsi="Aptos" w:cs="Times New Roman"/>
          <w:sz w:val="25"/>
          <w:szCs w:val="25"/>
        </w:rPr>
        <w:footnoteReference w:id="12"/>
      </w:r>
      <w:r w:rsidR="00FE40EA">
        <w:rPr>
          <w:rFonts w:ascii="Aptos" w:hAnsi="Aptos" w:cs="Times New Roman"/>
          <w:sz w:val="25"/>
          <w:szCs w:val="25"/>
        </w:rPr>
        <w:t xml:space="preserve"> it is well-established that BSEA jurisdiction extends to IDEA-based claims.</w:t>
      </w:r>
      <w:r w:rsidR="00FE40EA">
        <w:rPr>
          <w:rStyle w:val="FootnoteReference"/>
          <w:rFonts w:ascii="Aptos" w:hAnsi="Aptos" w:cs="Times New Roman"/>
          <w:sz w:val="25"/>
          <w:szCs w:val="25"/>
        </w:rPr>
        <w:footnoteReference w:id="13"/>
      </w:r>
      <w:r w:rsidR="00FE40EA">
        <w:rPr>
          <w:rFonts w:ascii="Aptos" w:hAnsi="Aptos" w:cs="Times New Roman"/>
          <w:sz w:val="25"/>
          <w:szCs w:val="25"/>
        </w:rPr>
        <w:t xml:space="preserve"> </w:t>
      </w:r>
      <w:r w:rsidRPr="009F2251">
        <w:rPr>
          <w:rFonts w:ascii="Aptos" w:hAnsi="Aptos" w:cs="Times New Roman"/>
          <w:sz w:val="25"/>
          <w:szCs w:val="25"/>
        </w:rPr>
        <w:t>The IDEA’s exhaustion requirement ensures that the BSEA is able to develop a factual record and apply its “specialized knowledge.</w:t>
      </w:r>
      <w:r w:rsidR="00792381">
        <w:rPr>
          <w:rFonts w:ascii="Aptos" w:hAnsi="Aptos" w:cs="Times New Roman"/>
          <w:sz w:val="25"/>
          <w:szCs w:val="25"/>
        </w:rPr>
        <w:t>”</w:t>
      </w:r>
      <w:r w:rsidRPr="009F2251">
        <w:rPr>
          <w:rStyle w:val="FootnoteReference"/>
          <w:rFonts w:ascii="Aptos" w:hAnsi="Aptos" w:cs="Times New Roman"/>
          <w:sz w:val="25"/>
          <w:szCs w:val="25"/>
        </w:rPr>
        <w:footnoteReference w:id="14"/>
      </w:r>
      <w:r w:rsidRPr="009F2251">
        <w:rPr>
          <w:rFonts w:ascii="Aptos" w:hAnsi="Aptos" w:cs="Times New Roman"/>
          <w:sz w:val="25"/>
          <w:szCs w:val="25"/>
        </w:rPr>
        <w:t xml:space="preserve"> Whether a claim is IDEA-based turns on whether the </w:t>
      </w:r>
      <w:r w:rsidRPr="009F2251">
        <w:rPr>
          <w:rFonts w:ascii="Aptos" w:hAnsi="Aptos" w:cs="Times New Roman"/>
          <w:sz w:val="25"/>
          <w:szCs w:val="25"/>
        </w:rPr>
        <w:lastRenderedPageBreak/>
        <w:t>underlying claim is one of violation of the IDEA</w:t>
      </w:r>
      <w:r w:rsidR="00037B34" w:rsidRPr="009F2251">
        <w:rPr>
          <w:rFonts w:ascii="Aptos" w:hAnsi="Aptos" w:cs="Times New Roman"/>
          <w:sz w:val="25"/>
          <w:szCs w:val="25"/>
        </w:rPr>
        <w:t>.</w:t>
      </w:r>
      <w:r w:rsidR="00C951D5" w:rsidRPr="009F2251">
        <w:rPr>
          <w:rStyle w:val="FootnoteReference"/>
          <w:rFonts w:ascii="Aptos" w:hAnsi="Aptos" w:cs="Times New Roman"/>
          <w:sz w:val="25"/>
          <w:szCs w:val="25"/>
        </w:rPr>
        <w:footnoteReference w:id="15"/>
      </w:r>
      <w:r w:rsidRPr="009F2251">
        <w:rPr>
          <w:rFonts w:ascii="Aptos" w:hAnsi="Aptos" w:cs="Times New Roman"/>
          <w:sz w:val="25"/>
          <w:szCs w:val="25"/>
        </w:rPr>
        <w:t xml:space="preserve"> </w:t>
      </w:r>
      <w:r w:rsidR="00037B34" w:rsidRPr="009F2251">
        <w:rPr>
          <w:rFonts w:ascii="Aptos" w:hAnsi="Aptos" w:cs="Times New Roman"/>
          <w:sz w:val="25"/>
          <w:szCs w:val="25"/>
        </w:rPr>
        <w:t>A</w:t>
      </w:r>
      <w:r w:rsidRPr="009F2251">
        <w:rPr>
          <w:rFonts w:ascii="Aptos" w:hAnsi="Aptos" w:cs="Times New Roman"/>
          <w:sz w:val="25"/>
          <w:szCs w:val="25"/>
        </w:rPr>
        <w:t xml:space="preserve"> claim is not IDEA-based, and therefore not properly before the BSEA, where a student solely seeks money damages for tort</w:t>
      </w:r>
      <w:r w:rsidR="00B1215F">
        <w:rPr>
          <w:rFonts w:ascii="Aptos" w:hAnsi="Aptos" w:cs="Times New Roman"/>
          <w:sz w:val="25"/>
          <w:szCs w:val="25"/>
        </w:rPr>
        <w:t>-</w:t>
      </w:r>
      <w:r w:rsidRPr="009F2251">
        <w:rPr>
          <w:rFonts w:ascii="Aptos" w:hAnsi="Aptos" w:cs="Times New Roman"/>
          <w:sz w:val="25"/>
          <w:szCs w:val="25"/>
        </w:rPr>
        <w:t>like damages not subsumed in a federal claim, or “where there are no factual allegations to indicate that a dispute exists concerning the individual student’s eligibility under the IDEA or Section 504 or the discharge of the School’s procedural and substantive responsibilities under the IDEA or Section 504.”</w:t>
      </w:r>
      <w:r w:rsidRPr="009F2251">
        <w:rPr>
          <w:rStyle w:val="FootnoteReference"/>
          <w:rFonts w:ascii="Aptos" w:hAnsi="Aptos" w:cs="Times New Roman"/>
          <w:sz w:val="25"/>
          <w:szCs w:val="25"/>
        </w:rPr>
        <w:footnoteReference w:id="16"/>
      </w:r>
      <w:r w:rsidRPr="009F2251">
        <w:rPr>
          <w:rFonts w:ascii="Aptos" w:hAnsi="Aptos" w:cs="Times New Roman"/>
          <w:sz w:val="25"/>
          <w:szCs w:val="25"/>
        </w:rPr>
        <w:t xml:space="preserve"> </w:t>
      </w:r>
    </w:p>
    <w:p w14:paraId="666B9B7E" w14:textId="18120486" w:rsidR="007335B7" w:rsidRPr="009F2251" w:rsidRDefault="001B22E2" w:rsidP="007335B7">
      <w:pPr>
        <w:spacing w:after="240"/>
        <w:rPr>
          <w:rFonts w:ascii="Aptos" w:hAnsi="Aptos" w:cs="Times New Roman"/>
          <w:sz w:val="25"/>
          <w:szCs w:val="25"/>
        </w:rPr>
      </w:pPr>
      <w:r w:rsidRPr="009F2251">
        <w:rPr>
          <w:rFonts w:ascii="Aptos" w:hAnsi="Aptos" w:cs="Times New Roman"/>
          <w:sz w:val="25"/>
          <w:szCs w:val="25"/>
        </w:rPr>
        <w:tab/>
      </w:r>
      <w:r w:rsidR="0032713E">
        <w:rPr>
          <w:rFonts w:ascii="Aptos" w:hAnsi="Aptos" w:cs="Times New Roman"/>
          <w:sz w:val="25"/>
          <w:szCs w:val="25"/>
        </w:rPr>
        <w:t>It is within this legal framework that I</w:t>
      </w:r>
      <w:r w:rsidRPr="009F2251">
        <w:rPr>
          <w:rFonts w:ascii="Aptos" w:hAnsi="Aptos" w:cs="Times New Roman"/>
          <w:sz w:val="25"/>
          <w:szCs w:val="25"/>
        </w:rPr>
        <w:t xml:space="preserve"> now examine the allegations in this case.</w:t>
      </w:r>
    </w:p>
    <w:p w14:paraId="7262A4BC" w14:textId="14A7E5A3" w:rsidR="00B40C66" w:rsidRPr="009F2251" w:rsidRDefault="004D3210" w:rsidP="007335B7">
      <w:pPr>
        <w:pStyle w:val="ListParagraph"/>
        <w:numPr>
          <w:ilvl w:val="0"/>
          <w:numId w:val="14"/>
        </w:numPr>
        <w:rPr>
          <w:rFonts w:ascii="Aptos" w:hAnsi="Aptos" w:cs="Times New Roman"/>
          <w:sz w:val="25"/>
          <w:szCs w:val="25"/>
        </w:rPr>
      </w:pPr>
      <w:r w:rsidRPr="009F2251">
        <w:rPr>
          <w:rFonts w:ascii="Aptos" w:hAnsi="Aptos" w:cs="Times New Roman"/>
          <w:sz w:val="25"/>
          <w:szCs w:val="25"/>
        </w:rPr>
        <w:tab/>
      </w:r>
      <w:r w:rsidRPr="009F2251">
        <w:rPr>
          <w:rFonts w:ascii="Aptos" w:hAnsi="Aptos" w:cs="Times New Roman"/>
          <w:sz w:val="25"/>
          <w:szCs w:val="25"/>
          <w:u w:val="single"/>
        </w:rPr>
        <w:t>Application</w:t>
      </w:r>
      <w:r w:rsidR="00AF2BC8" w:rsidRPr="009F2251">
        <w:rPr>
          <w:rFonts w:ascii="Aptos" w:hAnsi="Aptos" w:cs="Times New Roman"/>
          <w:sz w:val="25"/>
          <w:szCs w:val="25"/>
          <w:u w:val="single"/>
        </w:rPr>
        <w:t xml:space="preserve"> of Standards Permits Partial Dismissal</w:t>
      </w:r>
    </w:p>
    <w:p w14:paraId="07C72E0C" w14:textId="77777777" w:rsidR="007335B7" w:rsidRPr="009F2251" w:rsidRDefault="007335B7" w:rsidP="007335B7">
      <w:pPr>
        <w:pStyle w:val="ListParagraph"/>
        <w:ind w:left="1080"/>
        <w:rPr>
          <w:rFonts w:ascii="Aptos" w:hAnsi="Aptos" w:cs="Times New Roman"/>
          <w:sz w:val="25"/>
          <w:szCs w:val="25"/>
        </w:rPr>
      </w:pPr>
    </w:p>
    <w:p w14:paraId="4A2D7746" w14:textId="58DB8CD0" w:rsidR="00CD5055" w:rsidRPr="009F2251" w:rsidRDefault="00A6207B" w:rsidP="006B4C0B">
      <w:pPr>
        <w:pStyle w:val="ListParagraph"/>
        <w:spacing w:after="240"/>
        <w:rPr>
          <w:rFonts w:ascii="Aptos" w:hAnsi="Aptos" w:cs="Times New Roman"/>
          <w:sz w:val="25"/>
          <w:szCs w:val="25"/>
        </w:rPr>
      </w:pPr>
      <w:r w:rsidRPr="009F2251">
        <w:rPr>
          <w:rFonts w:ascii="Aptos" w:hAnsi="Aptos" w:cs="Times New Roman"/>
          <w:sz w:val="25"/>
          <w:szCs w:val="25"/>
        </w:rPr>
        <w:t>Worcester</w:t>
      </w:r>
      <w:r w:rsidR="00B40C66" w:rsidRPr="009F2251">
        <w:rPr>
          <w:rFonts w:ascii="Aptos" w:hAnsi="Aptos" w:cs="Times New Roman"/>
          <w:sz w:val="25"/>
          <w:szCs w:val="25"/>
        </w:rPr>
        <w:t xml:space="preserve"> argues that all claims should be dismissed</w:t>
      </w:r>
      <w:r w:rsidR="0032713E">
        <w:rPr>
          <w:rFonts w:ascii="Aptos" w:hAnsi="Aptos" w:cs="Times New Roman"/>
          <w:sz w:val="25"/>
          <w:szCs w:val="25"/>
        </w:rPr>
        <w:t>.</w:t>
      </w:r>
      <w:r w:rsidR="00B40C66" w:rsidRPr="009F2251">
        <w:rPr>
          <w:rFonts w:ascii="Aptos" w:hAnsi="Aptos" w:cs="Times New Roman"/>
          <w:sz w:val="25"/>
          <w:szCs w:val="25"/>
        </w:rPr>
        <w:t xml:space="preserve"> I consider each in turn. </w:t>
      </w:r>
    </w:p>
    <w:p w14:paraId="04C310A5" w14:textId="77777777" w:rsidR="00D13032" w:rsidRPr="009F2251" w:rsidRDefault="00D13032" w:rsidP="00D13032">
      <w:pPr>
        <w:pStyle w:val="ListParagraph"/>
        <w:ind w:left="1800"/>
        <w:rPr>
          <w:rFonts w:ascii="Aptos" w:hAnsi="Aptos" w:cs="Times New Roman"/>
          <w:sz w:val="25"/>
          <w:szCs w:val="25"/>
        </w:rPr>
      </w:pPr>
    </w:p>
    <w:p w14:paraId="18FB293E" w14:textId="77562569" w:rsidR="007F0B3F" w:rsidRPr="009F2251" w:rsidRDefault="00B96625" w:rsidP="007F0B3F">
      <w:pPr>
        <w:pStyle w:val="NoSpacing"/>
        <w:numPr>
          <w:ilvl w:val="0"/>
          <w:numId w:val="19"/>
        </w:numPr>
        <w:rPr>
          <w:rFonts w:ascii="Aptos" w:hAnsi="Aptos" w:cs="Times New Roman"/>
          <w:i/>
          <w:sz w:val="25"/>
          <w:szCs w:val="25"/>
        </w:rPr>
      </w:pPr>
      <w:r w:rsidRPr="009F2251">
        <w:rPr>
          <w:rFonts w:ascii="Aptos" w:hAnsi="Aptos" w:cs="Times New Roman"/>
          <w:i/>
          <w:sz w:val="25"/>
          <w:szCs w:val="25"/>
        </w:rPr>
        <w:t xml:space="preserve">Claim </w:t>
      </w:r>
      <w:r w:rsidR="00346849" w:rsidRPr="009F2251">
        <w:rPr>
          <w:rFonts w:ascii="Aptos" w:hAnsi="Aptos" w:cs="Times New Roman"/>
          <w:i/>
          <w:sz w:val="25"/>
          <w:szCs w:val="25"/>
        </w:rPr>
        <w:t xml:space="preserve">relating to </w:t>
      </w:r>
      <w:r w:rsidR="00802705" w:rsidRPr="009F2251">
        <w:rPr>
          <w:rFonts w:ascii="Aptos" w:hAnsi="Aptos" w:cs="Times New Roman"/>
          <w:i/>
          <w:sz w:val="25"/>
          <w:szCs w:val="25"/>
        </w:rPr>
        <w:t xml:space="preserve">Parents’ objection to </w:t>
      </w:r>
      <w:r w:rsidR="00346849" w:rsidRPr="009F2251">
        <w:rPr>
          <w:rFonts w:ascii="Aptos" w:hAnsi="Aptos" w:cs="Times New Roman"/>
          <w:i/>
          <w:sz w:val="25"/>
          <w:szCs w:val="25"/>
        </w:rPr>
        <w:t xml:space="preserve">Student borrowing book </w:t>
      </w:r>
    </w:p>
    <w:p w14:paraId="768BB89C" w14:textId="5F2E7DE0" w:rsidR="001F4271" w:rsidRPr="009F2251" w:rsidRDefault="007F0B3F" w:rsidP="00781562">
      <w:pPr>
        <w:pStyle w:val="NoSpacing"/>
        <w:spacing w:before="240" w:after="240"/>
        <w:ind w:firstLine="360"/>
        <w:rPr>
          <w:rFonts w:ascii="Aptos" w:hAnsi="Aptos" w:cs="Times New Roman"/>
          <w:strike/>
          <w:sz w:val="25"/>
          <w:szCs w:val="25"/>
        </w:rPr>
      </w:pPr>
      <w:r w:rsidRPr="009F2251">
        <w:rPr>
          <w:rFonts w:ascii="Aptos" w:hAnsi="Aptos" w:cs="Times New Roman"/>
          <w:sz w:val="25"/>
          <w:szCs w:val="25"/>
        </w:rPr>
        <w:tab/>
      </w:r>
      <w:r w:rsidR="00FA7C3D" w:rsidRPr="009F2251">
        <w:rPr>
          <w:rFonts w:ascii="Aptos" w:hAnsi="Aptos" w:cs="Times New Roman"/>
          <w:sz w:val="25"/>
          <w:szCs w:val="25"/>
        </w:rPr>
        <w:t xml:space="preserve">According to </w:t>
      </w:r>
      <w:r w:rsidRPr="009F2251">
        <w:rPr>
          <w:rFonts w:ascii="Aptos" w:hAnsi="Aptos" w:cs="Times New Roman"/>
          <w:sz w:val="25"/>
          <w:szCs w:val="25"/>
        </w:rPr>
        <w:t>Parent</w:t>
      </w:r>
      <w:r w:rsidR="00122451" w:rsidRPr="009F2251">
        <w:rPr>
          <w:rFonts w:ascii="Aptos" w:hAnsi="Aptos" w:cs="Times New Roman"/>
          <w:sz w:val="25"/>
          <w:szCs w:val="25"/>
        </w:rPr>
        <w:t>s</w:t>
      </w:r>
      <w:r w:rsidR="00870ABE" w:rsidRPr="009F2251">
        <w:rPr>
          <w:rFonts w:ascii="Aptos" w:hAnsi="Aptos" w:cs="Times New Roman"/>
          <w:sz w:val="25"/>
          <w:szCs w:val="25"/>
        </w:rPr>
        <w:t xml:space="preserve">, </w:t>
      </w:r>
      <w:r w:rsidR="00DD3556">
        <w:rPr>
          <w:rFonts w:ascii="Aptos" w:hAnsi="Aptos" w:cs="Times New Roman"/>
          <w:sz w:val="25"/>
          <w:szCs w:val="25"/>
        </w:rPr>
        <w:t>Delilah</w:t>
      </w:r>
      <w:r w:rsidR="00657470" w:rsidRPr="009F2251">
        <w:rPr>
          <w:rFonts w:ascii="Aptos" w:hAnsi="Aptos" w:cs="Times New Roman"/>
          <w:sz w:val="25"/>
          <w:szCs w:val="25"/>
        </w:rPr>
        <w:t xml:space="preserve"> was permitted</w:t>
      </w:r>
      <w:r w:rsidR="00031924" w:rsidRPr="009F2251">
        <w:rPr>
          <w:rFonts w:ascii="Aptos" w:hAnsi="Aptos" w:cs="Times New Roman"/>
          <w:sz w:val="25"/>
          <w:szCs w:val="25"/>
        </w:rPr>
        <w:t xml:space="preserve"> </w:t>
      </w:r>
      <w:r w:rsidR="006B53B6" w:rsidRPr="009F2251">
        <w:rPr>
          <w:rFonts w:ascii="Aptos" w:hAnsi="Aptos" w:cs="Times New Roman"/>
          <w:sz w:val="25"/>
          <w:szCs w:val="25"/>
        </w:rPr>
        <w:t>to borrow a book</w:t>
      </w:r>
      <w:r w:rsidR="00DD3556">
        <w:rPr>
          <w:rFonts w:ascii="Aptos" w:hAnsi="Aptos" w:cs="Times New Roman"/>
          <w:sz w:val="25"/>
          <w:szCs w:val="25"/>
        </w:rPr>
        <w:t>, without parental consent, that</w:t>
      </w:r>
      <w:r w:rsidR="006B53B6" w:rsidRPr="009F2251">
        <w:rPr>
          <w:rFonts w:ascii="Aptos" w:hAnsi="Aptos" w:cs="Times New Roman"/>
          <w:sz w:val="25"/>
          <w:szCs w:val="25"/>
        </w:rPr>
        <w:t xml:space="preserve"> </w:t>
      </w:r>
      <w:r w:rsidR="00031924" w:rsidRPr="009F2251">
        <w:rPr>
          <w:rFonts w:ascii="Aptos" w:hAnsi="Aptos" w:cs="Times New Roman"/>
          <w:sz w:val="25"/>
          <w:szCs w:val="25"/>
        </w:rPr>
        <w:t>discuss</w:t>
      </w:r>
      <w:r w:rsidR="00DD3556">
        <w:rPr>
          <w:rFonts w:ascii="Aptos" w:hAnsi="Aptos" w:cs="Times New Roman"/>
          <w:sz w:val="25"/>
          <w:szCs w:val="25"/>
        </w:rPr>
        <w:t>es</w:t>
      </w:r>
      <w:r w:rsidR="00031924" w:rsidRPr="009F2251">
        <w:rPr>
          <w:rFonts w:ascii="Aptos" w:hAnsi="Aptos" w:cs="Times New Roman"/>
          <w:sz w:val="25"/>
          <w:szCs w:val="25"/>
        </w:rPr>
        <w:t xml:space="preserve"> </w:t>
      </w:r>
      <w:r w:rsidR="006B53B6" w:rsidRPr="009F2251">
        <w:rPr>
          <w:rFonts w:ascii="Aptos" w:hAnsi="Aptos" w:cs="Times New Roman"/>
          <w:sz w:val="25"/>
          <w:szCs w:val="25"/>
        </w:rPr>
        <w:t>transgender people</w:t>
      </w:r>
      <w:r w:rsidR="00DD3556">
        <w:rPr>
          <w:rFonts w:ascii="Aptos" w:hAnsi="Aptos" w:cs="Times New Roman"/>
          <w:sz w:val="25"/>
          <w:szCs w:val="25"/>
        </w:rPr>
        <w:t>. This</w:t>
      </w:r>
      <w:r w:rsidR="00B1215F">
        <w:rPr>
          <w:rFonts w:ascii="Aptos" w:hAnsi="Aptos" w:cs="Times New Roman"/>
          <w:sz w:val="25"/>
          <w:szCs w:val="25"/>
        </w:rPr>
        <w:t xml:space="preserve"> caused them to feel “appalled and disgusted.” </w:t>
      </w:r>
      <w:r w:rsidR="00DD3556">
        <w:rPr>
          <w:rFonts w:ascii="Aptos" w:hAnsi="Aptos" w:cs="Times New Roman"/>
          <w:sz w:val="25"/>
          <w:szCs w:val="25"/>
        </w:rPr>
        <w:t xml:space="preserve">To the extent Parents allege a violation of their rights in connection with this incident, it is </w:t>
      </w:r>
      <w:r w:rsidR="00B1664C" w:rsidRPr="009F2251">
        <w:rPr>
          <w:rFonts w:ascii="Aptos" w:hAnsi="Aptos" w:cs="Times New Roman"/>
          <w:sz w:val="25"/>
          <w:szCs w:val="25"/>
        </w:rPr>
        <w:t>unrelated to</w:t>
      </w:r>
      <w:r w:rsidR="009C0DC4" w:rsidRPr="009F2251">
        <w:rPr>
          <w:rFonts w:ascii="Aptos" w:hAnsi="Aptos" w:cs="Times New Roman"/>
          <w:sz w:val="25"/>
          <w:szCs w:val="25"/>
        </w:rPr>
        <w:t xml:space="preserve"> </w:t>
      </w:r>
      <w:r w:rsidR="00DD3556">
        <w:rPr>
          <w:rFonts w:ascii="Aptos" w:hAnsi="Aptos" w:cs="Times New Roman"/>
          <w:sz w:val="25"/>
          <w:szCs w:val="25"/>
        </w:rPr>
        <w:t>Delilah</w:t>
      </w:r>
      <w:r w:rsidR="009C0DC4" w:rsidRPr="009F2251">
        <w:rPr>
          <w:rFonts w:ascii="Aptos" w:hAnsi="Aptos" w:cs="Times New Roman"/>
          <w:sz w:val="25"/>
          <w:szCs w:val="25"/>
        </w:rPr>
        <w:t>’s</w:t>
      </w:r>
      <w:r w:rsidR="00ED7E63" w:rsidRPr="009F2251">
        <w:rPr>
          <w:rFonts w:ascii="Aptos" w:hAnsi="Aptos" w:cs="Times New Roman"/>
          <w:sz w:val="25"/>
          <w:szCs w:val="25"/>
        </w:rPr>
        <w:t xml:space="preserve"> disability or the provision of a FAPE under the IDEA or Section 504.</w:t>
      </w:r>
      <w:r w:rsidR="00860BE8" w:rsidRPr="009F2251">
        <w:rPr>
          <w:rStyle w:val="FootnoteReference"/>
          <w:rFonts w:ascii="Aptos" w:hAnsi="Aptos" w:cs="Times New Roman"/>
          <w:sz w:val="25"/>
          <w:szCs w:val="25"/>
        </w:rPr>
        <w:footnoteReference w:id="17"/>
      </w:r>
      <w:r w:rsidR="00860BE8" w:rsidRPr="009F2251">
        <w:rPr>
          <w:rFonts w:ascii="Aptos" w:hAnsi="Aptos" w:cs="Times New Roman"/>
          <w:b/>
          <w:bCs/>
          <w:sz w:val="25"/>
          <w:szCs w:val="25"/>
        </w:rPr>
        <w:t xml:space="preserve"> </w:t>
      </w:r>
      <w:r w:rsidR="00DD3556">
        <w:rPr>
          <w:rFonts w:ascii="Aptos" w:hAnsi="Aptos" w:cs="Times New Roman"/>
          <w:sz w:val="25"/>
          <w:szCs w:val="25"/>
        </w:rPr>
        <w:t xml:space="preserve">These claims </w:t>
      </w:r>
      <w:r w:rsidRPr="009F2251">
        <w:rPr>
          <w:rFonts w:ascii="Aptos" w:hAnsi="Aptos" w:cs="Times New Roman"/>
          <w:sz w:val="25"/>
          <w:szCs w:val="25"/>
        </w:rPr>
        <w:t>are neither directly within federal or state grants of jurisdiction to the BSEA, nor are they IDEA-based.</w:t>
      </w:r>
      <w:r w:rsidRPr="009F2251">
        <w:rPr>
          <w:rStyle w:val="FootnoteReference"/>
          <w:rFonts w:ascii="Aptos" w:hAnsi="Aptos" w:cs="Times New Roman"/>
          <w:sz w:val="25"/>
          <w:szCs w:val="25"/>
        </w:rPr>
        <w:footnoteReference w:id="18"/>
      </w:r>
      <w:r w:rsidRPr="009F2251">
        <w:rPr>
          <w:rFonts w:ascii="Aptos" w:hAnsi="Aptos" w:cs="Times New Roman"/>
          <w:sz w:val="25"/>
          <w:szCs w:val="25"/>
        </w:rPr>
        <w:t xml:space="preserve"> Even construed liberally, they do not plausibly suggest an entitlement to relief.</w:t>
      </w:r>
      <w:r w:rsidRPr="009F2251">
        <w:rPr>
          <w:rStyle w:val="FootnoteReference"/>
          <w:rFonts w:ascii="Aptos" w:hAnsi="Aptos" w:cs="Times New Roman"/>
          <w:sz w:val="25"/>
          <w:szCs w:val="25"/>
        </w:rPr>
        <w:footnoteReference w:id="19"/>
      </w:r>
    </w:p>
    <w:p w14:paraId="0ABB2B26" w14:textId="3EE6228F" w:rsidR="00BE06AC" w:rsidRPr="009F2251" w:rsidRDefault="00B736C0" w:rsidP="00BE06AC">
      <w:pPr>
        <w:pStyle w:val="NoSpacing"/>
        <w:numPr>
          <w:ilvl w:val="0"/>
          <w:numId w:val="19"/>
        </w:numPr>
        <w:rPr>
          <w:rFonts w:ascii="Aptos" w:hAnsi="Aptos" w:cs="Times New Roman"/>
          <w:i/>
          <w:sz w:val="25"/>
          <w:szCs w:val="25"/>
        </w:rPr>
      </w:pPr>
      <w:r w:rsidRPr="009F2251">
        <w:rPr>
          <w:rFonts w:ascii="Aptos" w:hAnsi="Aptos" w:cs="Times New Roman"/>
          <w:i/>
          <w:sz w:val="25"/>
          <w:szCs w:val="25"/>
        </w:rPr>
        <w:t xml:space="preserve">Claim regarding </w:t>
      </w:r>
      <w:r w:rsidR="00EF2449" w:rsidRPr="009F2251">
        <w:rPr>
          <w:rFonts w:ascii="Aptos" w:hAnsi="Aptos" w:cs="Times New Roman"/>
          <w:i/>
          <w:sz w:val="25"/>
          <w:szCs w:val="25"/>
        </w:rPr>
        <w:t>the District’s response to bull</w:t>
      </w:r>
      <w:r w:rsidR="003F7EC8" w:rsidRPr="009F2251">
        <w:rPr>
          <w:rFonts w:ascii="Aptos" w:hAnsi="Aptos" w:cs="Times New Roman"/>
          <w:i/>
          <w:sz w:val="25"/>
          <w:szCs w:val="25"/>
        </w:rPr>
        <w:t>y</w:t>
      </w:r>
      <w:r w:rsidR="00EF2449" w:rsidRPr="009F2251">
        <w:rPr>
          <w:rFonts w:ascii="Aptos" w:hAnsi="Aptos" w:cs="Times New Roman"/>
          <w:i/>
          <w:sz w:val="25"/>
          <w:szCs w:val="25"/>
        </w:rPr>
        <w:t>ing allegations</w:t>
      </w:r>
    </w:p>
    <w:p w14:paraId="7BD913EA" w14:textId="5CBFB207" w:rsidR="006F2A20" w:rsidRPr="009F2251" w:rsidRDefault="00BE06AC" w:rsidP="006F2A20">
      <w:pPr>
        <w:pStyle w:val="NoSpacing"/>
        <w:spacing w:before="240" w:after="240"/>
        <w:ind w:firstLine="360"/>
        <w:rPr>
          <w:rFonts w:ascii="Aptos" w:hAnsi="Aptos" w:cs="Times New Roman"/>
          <w:sz w:val="25"/>
          <w:szCs w:val="25"/>
        </w:rPr>
      </w:pPr>
      <w:r w:rsidRPr="009F2251">
        <w:rPr>
          <w:rFonts w:ascii="Aptos" w:hAnsi="Aptos" w:cs="Times New Roman"/>
          <w:sz w:val="25"/>
          <w:szCs w:val="25"/>
        </w:rPr>
        <w:tab/>
      </w:r>
      <w:r w:rsidR="005E7593" w:rsidRPr="009F2251">
        <w:rPr>
          <w:rFonts w:ascii="Aptos" w:hAnsi="Aptos" w:cs="Times New Roman"/>
          <w:sz w:val="25"/>
          <w:szCs w:val="25"/>
        </w:rPr>
        <w:t xml:space="preserve">Parents </w:t>
      </w:r>
      <w:r w:rsidR="00FC219C" w:rsidRPr="009F2251">
        <w:rPr>
          <w:rFonts w:ascii="Aptos" w:hAnsi="Aptos" w:cs="Times New Roman"/>
          <w:sz w:val="25"/>
          <w:szCs w:val="25"/>
        </w:rPr>
        <w:t>contend</w:t>
      </w:r>
      <w:r w:rsidR="006F2A20" w:rsidRPr="009F2251">
        <w:rPr>
          <w:rFonts w:ascii="Aptos" w:hAnsi="Aptos" w:cs="Times New Roman"/>
          <w:sz w:val="25"/>
          <w:szCs w:val="25"/>
        </w:rPr>
        <w:t xml:space="preserve"> that </w:t>
      </w:r>
      <w:r w:rsidR="00DD3556">
        <w:rPr>
          <w:rFonts w:ascii="Aptos" w:hAnsi="Aptos" w:cs="Times New Roman"/>
          <w:sz w:val="25"/>
          <w:szCs w:val="25"/>
        </w:rPr>
        <w:t>Delilah</w:t>
      </w:r>
      <w:r w:rsidR="006F2A20" w:rsidRPr="009F2251">
        <w:rPr>
          <w:rFonts w:ascii="Aptos" w:hAnsi="Aptos" w:cs="Times New Roman"/>
          <w:sz w:val="25"/>
          <w:szCs w:val="25"/>
        </w:rPr>
        <w:t xml:space="preserve"> was bullied</w:t>
      </w:r>
      <w:r w:rsidR="00DD3556">
        <w:rPr>
          <w:rFonts w:ascii="Aptos" w:hAnsi="Aptos" w:cs="Times New Roman"/>
          <w:sz w:val="25"/>
          <w:szCs w:val="25"/>
        </w:rPr>
        <w:t>; that</w:t>
      </w:r>
      <w:r w:rsidR="006F2A20" w:rsidRPr="009F2251">
        <w:rPr>
          <w:rFonts w:ascii="Aptos" w:hAnsi="Aptos" w:cs="Times New Roman"/>
          <w:sz w:val="25"/>
          <w:szCs w:val="25"/>
        </w:rPr>
        <w:t xml:space="preserve"> </w:t>
      </w:r>
      <w:r w:rsidR="00E35E7E" w:rsidRPr="009F2251">
        <w:rPr>
          <w:rFonts w:ascii="Aptos" w:hAnsi="Aptos" w:cs="Times New Roman"/>
          <w:sz w:val="25"/>
          <w:szCs w:val="25"/>
        </w:rPr>
        <w:t xml:space="preserve">as a result, </w:t>
      </w:r>
      <w:r w:rsidR="000708A1" w:rsidRPr="009F2251">
        <w:rPr>
          <w:rFonts w:ascii="Aptos" w:hAnsi="Aptos" w:cs="Times New Roman"/>
          <w:sz w:val="25"/>
          <w:szCs w:val="25"/>
        </w:rPr>
        <w:t xml:space="preserve">she </w:t>
      </w:r>
      <w:r w:rsidR="006F2A20" w:rsidRPr="009F2251">
        <w:rPr>
          <w:rFonts w:ascii="Aptos" w:hAnsi="Aptos" w:cs="Times New Roman"/>
          <w:sz w:val="25"/>
          <w:szCs w:val="25"/>
        </w:rPr>
        <w:t>was afraid to return to school</w:t>
      </w:r>
      <w:r w:rsidR="00DD3556">
        <w:rPr>
          <w:rFonts w:ascii="Aptos" w:hAnsi="Aptos" w:cs="Times New Roman"/>
          <w:sz w:val="25"/>
          <w:szCs w:val="25"/>
        </w:rPr>
        <w:t>; and that the District has not responded appropriately</w:t>
      </w:r>
      <w:r w:rsidR="006F2A20" w:rsidRPr="009F2251">
        <w:rPr>
          <w:rFonts w:ascii="Aptos" w:hAnsi="Aptos" w:cs="Times New Roman"/>
          <w:sz w:val="25"/>
          <w:szCs w:val="25"/>
        </w:rPr>
        <w:t xml:space="preserve">. </w:t>
      </w:r>
      <w:r w:rsidR="001A466A" w:rsidRPr="009F2251">
        <w:rPr>
          <w:rFonts w:ascii="Aptos" w:hAnsi="Aptos" w:cs="Times New Roman"/>
          <w:sz w:val="25"/>
          <w:szCs w:val="25"/>
        </w:rPr>
        <w:t xml:space="preserve">Although Parents </w:t>
      </w:r>
      <w:r w:rsidR="000708A1" w:rsidRPr="009F2251">
        <w:rPr>
          <w:rFonts w:ascii="Aptos" w:hAnsi="Aptos" w:cs="Times New Roman"/>
          <w:sz w:val="25"/>
          <w:szCs w:val="25"/>
        </w:rPr>
        <w:t xml:space="preserve">do </w:t>
      </w:r>
      <w:r w:rsidR="001A466A" w:rsidRPr="009F2251">
        <w:rPr>
          <w:rFonts w:ascii="Aptos" w:hAnsi="Aptos" w:cs="Times New Roman"/>
          <w:sz w:val="25"/>
          <w:szCs w:val="25"/>
        </w:rPr>
        <w:t xml:space="preserve">not explicitly state that the bullying led to a denial of </w:t>
      </w:r>
      <w:r w:rsidR="00DD3556">
        <w:rPr>
          <w:rFonts w:ascii="Aptos" w:hAnsi="Aptos" w:cs="Times New Roman"/>
          <w:sz w:val="25"/>
          <w:szCs w:val="25"/>
        </w:rPr>
        <w:t xml:space="preserve">a </w:t>
      </w:r>
      <w:r w:rsidR="001A466A" w:rsidRPr="009F2251">
        <w:rPr>
          <w:rFonts w:ascii="Aptos" w:hAnsi="Aptos" w:cs="Times New Roman"/>
          <w:sz w:val="25"/>
          <w:szCs w:val="25"/>
        </w:rPr>
        <w:t>FAPE, the facts presented</w:t>
      </w:r>
      <w:r w:rsidR="0032713E">
        <w:rPr>
          <w:rFonts w:ascii="Aptos" w:hAnsi="Aptos" w:cs="Times New Roman"/>
          <w:sz w:val="25"/>
          <w:szCs w:val="25"/>
        </w:rPr>
        <w:t xml:space="preserve">, including </w:t>
      </w:r>
      <w:r w:rsidR="00103537" w:rsidRPr="009F2251">
        <w:rPr>
          <w:rFonts w:ascii="Aptos" w:hAnsi="Aptos" w:cs="Times New Roman"/>
          <w:sz w:val="25"/>
          <w:szCs w:val="25"/>
        </w:rPr>
        <w:t>references to incidents at her previous school</w:t>
      </w:r>
      <w:r w:rsidR="0032713E">
        <w:rPr>
          <w:rFonts w:ascii="Aptos" w:hAnsi="Aptos" w:cs="Times New Roman"/>
          <w:sz w:val="25"/>
          <w:szCs w:val="25"/>
        </w:rPr>
        <w:t xml:space="preserve"> and her intense fear of returning to school, which impacted her attendance, as well as </w:t>
      </w:r>
      <w:r w:rsidR="00103537" w:rsidRPr="009F2251">
        <w:rPr>
          <w:rFonts w:ascii="Aptos" w:hAnsi="Aptos" w:cs="Times New Roman"/>
          <w:sz w:val="25"/>
          <w:szCs w:val="25"/>
        </w:rPr>
        <w:t xml:space="preserve">claims that </w:t>
      </w:r>
      <w:r w:rsidR="00DD3556">
        <w:rPr>
          <w:rFonts w:ascii="Aptos" w:hAnsi="Aptos" w:cs="Times New Roman"/>
          <w:sz w:val="25"/>
          <w:szCs w:val="25"/>
        </w:rPr>
        <w:t>Delilah</w:t>
      </w:r>
      <w:r w:rsidR="00103537" w:rsidRPr="009F2251">
        <w:rPr>
          <w:rFonts w:ascii="Aptos" w:hAnsi="Aptos" w:cs="Times New Roman"/>
          <w:sz w:val="25"/>
          <w:szCs w:val="25"/>
        </w:rPr>
        <w:t xml:space="preserve"> was more susceptible to bullying due to her disability,</w:t>
      </w:r>
      <w:r w:rsidR="0032713E">
        <w:rPr>
          <w:rFonts w:ascii="Aptos" w:hAnsi="Aptos" w:cs="Times New Roman"/>
          <w:sz w:val="25"/>
          <w:szCs w:val="25"/>
        </w:rPr>
        <w:t xml:space="preserve"> i</w:t>
      </w:r>
      <w:r w:rsidR="00EA2B35" w:rsidRPr="009F2251">
        <w:rPr>
          <w:rFonts w:ascii="Aptos" w:hAnsi="Aptos" w:cs="Times New Roman"/>
          <w:sz w:val="25"/>
          <w:szCs w:val="25"/>
        </w:rPr>
        <w:t>mply that</w:t>
      </w:r>
      <w:r w:rsidR="008F46F7" w:rsidRPr="009F2251">
        <w:rPr>
          <w:rFonts w:ascii="Aptos" w:hAnsi="Aptos" w:cs="Times New Roman"/>
          <w:sz w:val="25"/>
          <w:szCs w:val="25"/>
        </w:rPr>
        <w:t xml:space="preserve"> the bullying allegations </w:t>
      </w:r>
      <w:r w:rsidR="002A2DA7" w:rsidRPr="009F2251">
        <w:rPr>
          <w:rFonts w:ascii="Aptos" w:hAnsi="Aptos" w:cs="Times New Roman"/>
          <w:sz w:val="25"/>
          <w:szCs w:val="25"/>
        </w:rPr>
        <w:t xml:space="preserve">may be connected </w:t>
      </w:r>
      <w:r w:rsidR="00DD3556">
        <w:rPr>
          <w:rFonts w:ascii="Aptos" w:hAnsi="Aptos" w:cs="Times New Roman"/>
          <w:sz w:val="25"/>
          <w:szCs w:val="25"/>
        </w:rPr>
        <w:t>Delilah</w:t>
      </w:r>
      <w:r w:rsidR="00FC7EC6" w:rsidRPr="009F2251">
        <w:rPr>
          <w:rFonts w:ascii="Aptos" w:hAnsi="Aptos" w:cs="Times New Roman"/>
          <w:sz w:val="25"/>
          <w:szCs w:val="25"/>
        </w:rPr>
        <w:t>’</w:t>
      </w:r>
      <w:r w:rsidR="008F46F7" w:rsidRPr="009F2251">
        <w:rPr>
          <w:rFonts w:ascii="Aptos" w:hAnsi="Aptos" w:cs="Times New Roman"/>
          <w:sz w:val="25"/>
          <w:szCs w:val="25"/>
        </w:rPr>
        <w:t xml:space="preserve">s </w:t>
      </w:r>
      <w:r w:rsidR="008F46F7" w:rsidRPr="009F2251">
        <w:rPr>
          <w:rFonts w:ascii="Aptos" w:hAnsi="Aptos" w:cs="Times New Roman"/>
          <w:sz w:val="25"/>
          <w:szCs w:val="25"/>
        </w:rPr>
        <w:lastRenderedPageBreak/>
        <w:t>disability.</w:t>
      </w:r>
      <w:r w:rsidR="00C655A7" w:rsidRPr="009F2251">
        <w:rPr>
          <w:rStyle w:val="FootnoteReference"/>
          <w:rFonts w:ascii="Aptos" w:hAnsi="Aptos" w:cs="Times New Roman"/>
          <w:sz w:val="25"/>
          <w:szCs w:val="25"/>
        </w:rPr>
        <w:footnoteReference w:id="20"/>
      </w:r>
      <w:r w:rsidR="008F46F7" w:rsidRPr="009F2251">
        <w:rPr>
          <w:rFonts w:ascii="Aptos" w:hAnsi="Aptos" w:cs="Times New Roman"/>
          <w:sz w:val="25"/>
          <w:szCs w:val="25"/>
        </w:rPr>
        <w:t xml:space="preserve"> </w:t>
      </w:r>
      <w:r w:rsidR="001518C5" w:rsidRPr="009F2251">
        <w:rPr>
          <w:rFonts w:ascii="Aptos" w:hAnsi="Aptos" w:cs="Times New Roman"/>
          <w:sz w:val="25"/>
          <w:szCs w:val="25"/>
        </w:rPr>
        <w:t>Taking</w:t>
      </w:r>
      <w:r w:rsidR="006F2A20" w:rsidRPr="009F2251">
        <w:rPr>
          <w:rFonts w:ascii="Aptos" w:hAnsi="Aptos" w:cs="Times New Roman"/>
          <w:sz w:val="25"/>
          <w:szCs w:val="25"/>
        </w:rPr>
        <w:t xml:space="preserve"> </w:t>
      </w:r>
      <w:r w:rsidR="00AD65E3" w:rsidRPr="009F2251">
        <w:rPr>
          <w:rFonts w:ascii="Aptos" w:hAnsi="Aptos" w:cs="Times New Roman"/>
          <w:sz w:val="25"/>
          <w:szCs w:val="25"/>
        </w:rPr>
        <w:t>Parents</w:t>
      </w:r>
      <w:r w:rsidR="00122451" w:rsidRPr="009F2251">
        <w:rPr>
          <w:rFonts w:ascii="Aptos" w:hAnsi="Aptos" w:cs="Times New Roman"/>
          <w:sz w:val="25"/>
          <w:szCs w:val="25"/>
        </w:rPr>
        <w:t>’</w:t>
      </w:r>
      <w:r w:rsidR="006F2A20" w:rsidRPr="009F2251">
        <w:rPr>
          <w:rFonts w:ascii="Aptos" w:hAnsi="Aptos" w:cs="Times New Roman"/>
          <w:sz w:val="25"/>
          <w:szCs w:val="25"/>
        </w:rPr>
        <w:t xml:space="preserve"> allegations as </w:t>
      </w:r>
      <w:r w:rsidR="00122451" w:rsidRPr="009F2251">
        <w:rPr>
          <w:rFonts w:ascii="Aptos" w:hAnsi="Aptos" w:cs="Times New Roman"/>
          <w:sz w:val="25"/>
          <w:szCs w:val="25"/>
        </w:rPr>
        <w:t>true, drawing</w:t>
      </w:r>
      <w:r w:rsidR="006F2A20" w:rsidRPr="009F2251">
        <w:rPr>
          <w:rFonts w:ascii="Aptos" w:hAnsi="Aptos" w:cs="Times New Roman"/>
          <w:sz w:val="25"/>
          <w:szCs w:val="25"/>
        </w:rPr>
        <w:t xml:space="preserve"> inferences therefrom, </w:t>
      </w:r>
      <w:r w:rsidR="00E80964" w:rsidRPr="009F2251">
        <w:rPr>
          <w:rFonts w:ascii="Aptos" w:hAnsi="Aptos" w:cs="Times New Roman"/>
          <w:sz w:val="25"/>
          <w:szCs w:val="25"/>
        </w:rPr>
        <w:t xml:space="preserve">and construing </w:t>
      </w:r>
      <w:r w:rsidR="00017296" w:rsidRPr="009F2251">
        <w:rPr>
          <w:rFonts w:ascii="Aptos" w:hAnsi="Aptos" w:cs="Times New Roman"/>
          <w:sz w:val="25"/>
          <w:szCs w:val="25"/>
        </w:rPr>
        <w:t>their</w:t>
      </w:r>
      <w:r w:rsidR="00E80964" w:rsidRPr="009F2251">
        <w:rPr>
          <w:rFonts w:ascii="Aptos" w:hAnsi="Aptos" w:cs="Times New Roman"/>
          <w:sz w:val="25"/>
          <w:szCs w:val="25"/>
        </w:rPr>
        <w:t xml:space="preserve"> complaint </w:t>
      </w:r>
      <w:r w:rsidR="00E615FB" w:rsidRPr="009F2251">
        <w:rPr>
          <w:rFonts w:ascii="Aptos" w:hAnsi="Aptos" w:cs="Times New Roman"/>
          <w:sz w:val="25"/>
          <w:szCs w:val="25"/>
        </w:rPr>
        <w:t>liberally</w:t>
      </w:r>
      <w:r w:rsidR="00D8579C" w:rsidRPr="009F2251">
        <w:rPr>
          <w:rFonts w:ascii="Aptos" w:hAnsi="Aptos" w:cs="Times New Roman"/>
          <w:sz w:val="25"/>
          <w:szCs w:val="25"/>
        </w:rPr>
        <w:t xml:space="preserve">, </w:t>
      </w:r>
      <w:r w:rsidR="00F00081" w:rsidRPr="009F2251">
        <w:rPr>
          <w:rFonts w:ascii="Aptos" w:hAnsi="Aptos" w:cs="Times New Roman"/>
          <w:sz w:val="25"/>
          <w:szCs w:val="25"/>
        </w:rPr>
        <w:t>their</w:t>
      </w:r>
      <w:r w:rsidR="00C35338" w:rsidRPr="009F2251">
        <w:rPr>
          <w:rFonts w:ascii="Aptos" w:hAnsi="Aptos" w:cs="Times New Roman"/>
          <w:sz w:val="25"/>
          <w:szCs w:val="25"/>
        </w:rPr>
        <w:t xml:space="preserve"> assertion that the District </w:t>
      </w:r>
      <w:r w:rsidR="00D72BA3" w:rsidRPr="009F2251">
        <w:rPr>
          <w:rFonts w:ascii="Aptos" w:hAnsi="Aptos" w:cs="Times New Roman"/>
          <w:sz w:val="25"/>
          <w:szCs w:val="25"/>
        </w:rPr>
        <w:t>failed</w:t>
      </w:r>
      <w:r w:rsidR="00C35338" w:rsidRPr="009F2251">
        <w:rPr>
          <w:rFonts w:ascii="Aptos" w:hAnsi="Aptos" w:cs="Times New Roman"/>
          <w:sz w:val="25"/>
          <w:szCs w:val="25"/>
        </w:rPr>
        <w:t xml:space="preserve"> to address the bullying incident </w:t>
      </w:r>
      <w:r w:rsidR="00DD3556">
        <w:rPr>
          <w:rFonts w:ascii="Aptos" w:hAnsi="Aptos" w:cs="Times New Roman"/>
          <w:sz w:val="25"/>
          <w:szCs w:val="25"/>
        </w:rPr>
        <w:t xml:space="preserve">adequately, </w:t>
      </w:r>
      <w:r w:rsidR="00F00081" w:rsidRPr="009F2251">
        <w:rPr>
          <w:rFonts w:ascii="Aptos" w:hAnsi="Aptos" w:cs="Times New Roman"/>
          <w:sz w:val="25"/>
          <w:szCs w:val="25"/>
        </w:rPr>
        <w:t xml:space="preserve">plausibly suggests entitlement to relief </w:t>
      </w:r>
      <w:r w:rsidR="00DD3556">
        <w:rPr>
          <w:rFonts w:ascii="Aptos" w:hAnsi="Aptos" w:cs="Times New Roman"/>
          <w:sz w:val="25"/>
          <w:szCs w:val="25"/>
        </w:rPr>
        <w:t xml:space="preserve">for a denial of FAPE </w:t>
      </w:r>
      <w:r w:rsidR="00F00081" w:rsidRPr="009F2251">
        <w:rPr>
          <w:rFonts w:ascii="Aptos" w:hAnsi="Aptos" w:cs="Times New Roman"/>
          <w:sz w:val="25"/>
          <w:szCs w:val="25"/>
        </w:rPr>
        <w:t>above the speculative l</w:t>
      </w:r>
      <w:r w:rsidR="001C0327" w:rsidRPr="009F2251">
        <w:rPr>
          <w:rFonts w:ascii="Aptos" w:hAnsi="Aptos" w:cs="Times New Roman"/>
          <w:sz w:val="25"/>
          <w:szCs w:val="25"/>
        </w:rPr>
        <w:t>evel</w:t>
      </w:r>
      <w:r w:rsidR="00DD3556">
        <w:rPr>
          <w:rFonts w:ascii="Aptos" w:hAnsi="Aptos" w:cs="Times New Roman"/>
          <w:sz w:val="25"/>
          <w:szCs w:val="25"/>
        </w:rPr>
        <w:t>.</w:t>
      </w:r>
      <w:r w:rsidR="00920879" w:rsidRPr="009F2251">
        <w:rPr>
          <w:rStyle w:val="FootnoteReference"/>
          <w:rFonts w:ascii="Aptos" w:hAnsi="Aptos" w:cs="Times New Roman"/>
          <w:sz w:val="25"/>
          <w:szCs w:val="25"/>
        </w:rPr>
        <w:footnoteReference w:id="21"/>
      </w:r>
      <w:r w:rsidR="006F2A20" w:rsidRPr="009F2251">
        <w:rPr>
          <w:rFonts w:ascii="Aptos" w:hAnsi="Aptos" w:cs="Times New Roman"/>
          <w:sz w:val="25"/>
          <w:szCs w:val="25"/>
        </w:rPr>
        <w:t xml:space="preserve"> As such, these claims cannot be dismissed at this early stage in the </w:t>
      </w:r>
      <w:r w:rsidR="0032713E">
        <w:rPr>
          <w:rFonts w:ascii="Aptos" w:hAnsi="Aptos" w:cs="Times New Roman"/>
          <w:sz w:val="25"/>
          <w:szCs w:val="25"/>
        </w:rPr>
        <w:t>proceedings</w:t>
      </w:r>
      <w:r w:rsidR="006F2A20" w:rsidRPr="009F2251">
        <w:rPr>
          <w:rFonts w:ascii="Aptos" w:hAnsi="Aptos" w:cs="Times New Roman"/>
          <w:sz w:val="25"/>
          <w:szCs w:val="25"/>
        </w:rPr>
        <w:t>.</w:t>
      </w:r>
    </w:p>
    <w:p w14:paraId="01A0DC7E" w14:textId="411D9241" w:rsidR="003B32A3" w:rsidRPr="009F2251" w:rsidRDefault="003B32A3" w:rsidP="00802705">
      <w:pPr>
        <w:pStyle w:val="NoSpacing"/>
        <w:numPr>
          <w:ilvl w:val="0"/>
          <w:numId w:val="19"/>
        </w:numPr>
        <w:spacing w:before="240" w:after="240"/>
        <w:rPr>
          <w:rFonts w:ascii="Aptos" w:hAnsi="Aptos" w:cs="Times New Roman"/>
          <w:i/>
          <w:sz w:val="25"/>
          <w:szCs w:val="25"/>
        </w:rPr>
      </w:pPr>
      <w:r w:rsidRPr="009F2251">
        <w:rPr>
          <w:rFonts w:ascii="Aptos" w:hAnsi="Aptos" w:cs="Times New Roman"/>
          <w:i/>
          <w:sz w:val="25"/>
          <w:szCs w:val="25"/>
        </w:rPr>
        <w:t xml:space="preserve">Claim of failure to </w:t>
      </w:r>
      <w:r w:rsidR="00AD098A" w:rsidRPr="009F2251">
        <w:rPr>
          <w:rFonts w:ascii="Aptos" w:hAnsi="Aptos" w:cs="Times New Roman"/>
          <w:i/>
          <w:sz w:val="25"/>
          <w:szCs w:val="25"/>
        </w:rPr>
        <w:t xml:space="preserve">timely </w:t>
      </w:r>
      <w:r w:rsidRPr="009F2251">
        <w:rPr>
          <w:rFonts w:ascii="Aptos" w:hAnsi="Aptos" w:cs="Times New Roman"/>
          <w:i/>
          <w:sz w:val="25"/>
          <w:szCs w:val="25"/>
        </w:rPr>
        <w:t xml:space="preserve">complete Special Education Assessments </w:t>
      </w:r>
    </w:p>
    <w:p w14:paraId="04ECB976" w14:textId="0A1A3324" w:rsidR="005D5547" w:rsidRPr="009F2251" w:rsidRDefault="005E7A23" w:rsidP="005D6E9A">
      <w:pPr>
        <w:pStyle w:val="NormalWeb"/>
        <w:rPr>
          <w:rFonts w:ascii="Aptos" w:hAnsi="Aptos"/>
          <w:sz w:val="25"/>
          <w:szCs w:val="25"/>
        </w:rPr>
      </w:pPr>
      <w:r w:rsidRPr="009F2251">
        <w:rPr>
          <w:rFonts w:ascii="Aptos" w:hAnsi="Aptos"/>
          <w:sz w:val="25"/>
          <w:szCs w:val="25"/>
        </w:rPr>
        <w:tab/>
      </w:r>
      <w:r w:rsidR="00E34307" w:rsidRPr="009F2251">
        <w:rPr>
          <w:rFonts w:ascii="Aptos" w:hAnsi="Aptos"/>
          <w:sz w:val="25"/>
          <w:szCs w:val="25"/>
        </w:rPr>
        <w:t>Parents</w:t>
      </w:r>
      <w:r w:rsidR="003A6BA3" w:rsidRPr="009F2251">
        <w:rPr>
          <w:rFonts w:ascii="Aptos" w:hAnsi="Aptos"/>
          <w:sz w:val="25"/>
          <w:szCs w:val="25"/>
        </w:rPr>
        <w:t>’</w:t>
      </w:r>
      <w:r w:rsidR="00D16048" w:rsidRPr="009F2251">
        <w:rPr>
          <w:rFonts w:ascii="Aptos" w:hAnsi="Aptos"/>
          <w:sz w:val="25"/>
          <w:szCs w:val="25"/>
        </w:rPr>
        <w:t xml:space="preserve"> </w:t>
      </w:r>
      <w:r w:rsidR="00D16048" w:rsidRPr="009F2251">
        <w:rPr>
          <w:rFonts w:ascii="Aptos" w:hAnsi="Aptos"/>
          <w:i/>
          <w:iCs/>
          <w:sz w:val="25"/>
          <w:szCs w:val="25"/>
        </w:rPr>
        <w:t>Amended</w:t>
      </w:r>
      <w:r w:rsidR="001C0327" w:rsidRPr="009F2251">
        <w:rPr>
          <w:rFonts w:ascii="Aptos" w:hAnsi="Aptos"/>
          <w:sz w:val="25"/>
          <w:szCs w:val="25"/>
        </w:rPr>
        <w:t xml:space="preserve"> </w:t>
      </w:r>
      <w:r w:rsidR="001C0327" w:rsidRPr="009F2251">
        <w:rPr>
          <w:rFonts w:ascii="Aptos" w:hAnsi="Aptos"/>
          <w:i/>
          <w:iCs/>
          <w:sz w:val="25"/>
          <w:szCs w:val="25"/>
        </w:rPr>
        <w:t xml:space="preserve">Hearing </w:t>
      </w:r>
      <w:r w:rsidR="00D16048" w:rsidRPr="009F2251">
        <w:rPr>
          <w:rFonts w:ascii="Aptos" w:hAnsi="Aptos"/>
          <w:i/>
          <w:iCs/>
          <w:sz w:val="25"/>
          <w:szCs w:val="25"/>
        </w:rPr>
        <w:t>Request</w:t>
      </w:r>
      <w:r w:rsidR="008029CE" w:rsidRPr="009F2251">
        <w:rPr>
          <w:rFonts w:ascii="Aptos" w:hAnsi="Aptos"/>
          <w:sz w:val="25"/>
          <w:szCs w:val="25"/>
        </w:rPr>
        <w:t xml:space="preserve"> </w:t>
      </w:r>
      <w:r w:rsidR="00D16048" w:rsidRPr="009F2251">
        <w:rPr>
          <w:rFonts w:ascii="Aptos" w:hAnsi="Aptos"/>
          <w:sz w:val="25"/>
          <w:szCs w:val="25"/>
        </w:rPr>
        <w:t>allege</w:t>
      </w:r>
      <w:r w:rsidR="008029CE" w:rsidRPr="009F2251">
        <w:rPr>
          <w:rFonts w:ascii="Aptos" w:hAnsi="Aptos"/>
          <w:sz w:val="25"/>
          <w:szCs w:val="25"/>
        </w:rPr>
        <w:t>s</w:t>
      </w:r>
      <w:r w:rsidR="00D16048" w:rsidRPr="009F2251">
        <w:rPr>
          <w:rFonts w:ascii="Aptos" w:hAnsi="Aptos"/>
          <w:sz w:val="25"/>
          <w:szCs w:val="25"/>
        </w:rPr>
        <w:t xml:space="preserve"> that Worcester failed to complete </w:t>
      </w:r>
      <w:r w:rsidR="00DD3556">
        <w:rPr>
          <w:rFonts w:ascii="Aptos" w:hAnsi="Aptos"/>
          <w:sz w:val="25"/>
          <w:szCs w:val="25"/>
        </w:rPr>
        <w:t>Delilah</w:t>
      </w:r>
      <w:r w:rsidR="00D16048" w:rsidRPr="009F2251">
        <w:rPr>
          <w:rFonts w:ascii="Aptos" w:hAnsi="Aptos"/>
          <w:sz w:val="25"/>
          <w:szCs w:val="25"/>
        </w:rPr>
        <w:t>’s qualifying Special Education Assessments in a timely manner, resulting in a delayed IEP meeting and causing her to miss school</w:t>
      </w:r>
      <w:r w:rsidR="004C1C14" w:rsidRPr="009F2251">
        <w:rPr>
          <w:rFonts w:ascii="Aptos" w:hAnsi="Aptos"/>
          <w:sz w:val="25"/>
          <w:szCs w:val="25"/>
        </w:rPr>
        <w:t xml:space="preserve">. </w:t>
      </w:r>
      <w:r w:rsidR="00D16048" w:rsidRPr="009F2251">
        <w:rPr>
          <w:rFonts w:ascii="Aptos" w:hAnsi="Aptos"/>
          <w:sz w:val="25"/>
          <w:szCs w:val="25"/>
        </w:rPr>
        <w:t xml:space="preserve">Such delays </w:t>
      </w:r>
      <w:r w:rsidR="00E34307" w:rsidRPr="009F2251">
        <w:rPr>
          <w:rFonts w:ascii="Aptos" w:hAnsi="Aptos"/>
          <w:sz w:val="25"/>
          <w:szCs w:val="25"/>
        </w:rPr>
        <w:t xml:space="preserve">could </w:t>
      </w:r>
      <w:r w:rsidR="00D16048" w:rsidRPr="009F2251">
        <w:rPr>
          <w:rFonts w:ascii="Aptos" w:hAnsi="Aptos"/>
          <w:sz w:val="25"/>
          <w:szCs w:val="25"/>
        </w:rPr>
        <w:t xml:space="preserve">impact </w:t>
      </w:r>
      <w:r w:rsidR="00DD3556">
        <w:rPr>
          <w:rFonts w:ascii="Aptos" w:hAnsi="Aptos"/>
          <w:sz w:val="25"/>
          <w:szCs w:val="25"/>
        </w:rPr>
        <w:t>Delilah</w:t>
      </w:r>
      <w:r w:rsidR="00D16048" w:rsidRPr="009F2251">
        <w:rPr>
          <w:rFonts w:ascii="Aptos" w:hAnsi="Aptos"/>
          <w:sz w:val="25"/>
          <w:szCs w:val="25"/>
        </w:rPr>
        <w:t xml:space="preserve">’s ability to receive a </w:t>
      </w:r>
      <w:r w:rsidR="00D14EA6" w:rsidRPr="009F2251">
        <w:rPr>
          <w:rFonts w:ascii="Aptos" w:hAnsi="Aptos"/>
          <w:sz w:val="25"/>
          <w:szCs w:val="25"/>
        </w:rPr>
        <w:t>FAPE</w:t>
      </w:r>
      <w:r w:rsidR="00F9063A" w:rsidRPr="009F2251">
        <w:rPr>
          <w:rFonts w:ascii="Aptos" w:hAnsi="Aptos"/>
          <w:sz w:val="25"/>
          <w:szCs w:val="25"/>
        </w:rPr>
        <w:t>.</w:t>
      </w:r>
      <w:r w:rsidR="00D96725" w:rsidRPr="009F2251">
        <w:rPr>
          <w:rStyle w:val="FootnoteReference"/>
          <w:rFonts w:ascii="Aptos" w:hAnsi="Aptos"/>
          <w:sz w:val="25"/>
          <w:szCs w:val="25"/>
        </w:rPr>
        <w:footnoteReference w:id="22"/>
      </w:r>
      <w:r w:rsidR="00AD27BD" w:rsidRPr="009F2251">
        <w:rPr>
          <w:rFonts w:ascii="Aptos" w:hAnsi="Aptos"/>
          <w:sz w:val="25"/>
          <w:szCs w:val="25"/>
        </w:rPr>
        <w:t xml:space="preserve"> </w:t>
      </w:r>
      <w:r w:rsidR="00082DE2" w:rsidRPr="009F2251">
        <w:rPr>
          <w:rFonts w:ascii="Aptos" w:hAnsi="Aptos"/>
          <w:sz w:val="25"/>
          <w:szCs w:val="25"/>
        </w:rPr>
        <w:t>Under the IDEA, procedural errors, such as delays in completing required assessments, may amount to a deprivation of a FAPE if they (1) impede the child’s right to a FAPE, (2) significantly impede Parents’ opportunity to participate in decision-making regarding the provision of FAPE to the child, or (3) cause the child to be deprived of educational benefits</w:t>
      </w:r>
      <w:r w:rsidR="00320D9E" w:rsidRPr="009F2251">
        <w:rPr>
          <w:rFonts w:ascii="Aptos" w:hAnsi="Aptos"/>
          <w:sz w:val="25"/>
          <w:szCs w:val="25"/>
        </w:rPr>
        <w:t>.</w:t>
      </w:r>
      <w:r w:rsidR="001C262A" w:rsidRPr="009F2251">
        <w:rPr>
          <w:rStyle w:val="FootnoteReference"/>
          <w:rFonts w:ascii="Aptos" w:hAnsi="Aptos"/>
          <w:sz w:val="25"/>
          <w:szCs w:val="25"/>
        </w:rPr>
        <w:footnoteReference w:id="23"/>
      </w:r>
      <w:r w:rsidR="00FF7A34" w:rsidRPr="009F2251">
        <w:rPr>
          <w:rFonts w:ascii="Aptos" w:hAnsi="Aptos"/>
          <w:sz w:val="25"/>
          <w:szCs w:val="25"/>
        </w:rPr>
        <w:t xml:space="preserve"> </w:t>
      </w:r>
      <w:r w:rsidR="00D16048" w:rsidRPr="009F2251">
        <w:rPr>
          <w:rFonts w:ascii="Aptos" w:hAnsi="Aptos"/>
          <w:sz w:val="25"/>
          <w:szCs w:val="25"/>
        </w:rPr>
        <w:t xml:space="preserve">While procedural errors alone do not automatically render an IEP legally defective or constitute a violation of the IDEA, at the motion to dismiss stage, it is </w:t>
      </w:r>
      <w:r w:rsidR="00D16048" w:rsidRPr="009F2251">
        <w:rPr>
          <w:rFonts w:ascii="Aptos" w:hAnsi="Aptos"/>
          <w:sz w:val="25"/>
          <w:szCs w:val="25"/>
        </w:rPr>
        <w:lastRenderedPageBreak/>
        <w:t>sufficient that the allegations plausibly entitle the party to relief.</w:t>
      </w:r>
      <w:r w:rsidR="00D31AB3" w:rsidRPr="009F2251">
        <w:rPr>
          <w:rStyle w:val="FootnoteReference"/>
          <w:rFonts w:ascii="Aptos" w:hAnsi="Aptos"/>
          <w:sz w:val="25"/>
          <w:szCs w:val="25"/>
        </w:rPr>
        <w:footnoteReference w:id="24"/>
      </w:r>
      <w:r w:rsidR="00D31AB3" w:rsidRPr="009F2251">
        <w:rPr>
          <w:rFonts w:ascii="Aptos" w:hAnsi="Aptos"/>
          <w:sz w:val="25"/>
          <w:szCs w:val="25"/>
        </w:rPr>
        <w:t xml:space="preserve"> </w:t>
      </w:r>
      <w:r w:rsidR="00D16048" w:rsidRPr="009F2251">
        <w:rPr>
          <w:rFonts w:ascii="Aptos" w:hAnsi="Aptos"/>
          <w:sz w:val="25"/>
          <w:szCs w:val="25"/>
        </w:rPr>
        <w:t xml:space="preserve">Therefore, </w:t>
      </w:r>
      <w:r w:rsidR="009B7D03" w:rsidRPr="009F2251">
        <w:rPr>
          <w:rFonts w:ascii="Aptos" w:hAnsi="Aptos"/>
          <w:sz w:val="25"/>
          <w:szCs w:val="25"/>
        </w:rPr>
        <w:t>this</w:t>
      </w:r>
      <w:r w:rsidR="00D16048" w:rsidRPr="009F2251">
        <w:rPr>
          <w:rFonts w:ascii="Aptos" w:hAnsi="Aptos"/>
          <w:sz w:val="25"/>
          <w:szCs w:val="25"/>
        </w:rPr>
        <w:t xml:space="preserve"> </w:t>
      </w:r>
      <w:r w:rsidR="009B7D03" w:rsidRPr="009F2251">
        <w:rPr>
          <w:rFonts w:ascii="Aptos" w:hAnsi="Aptos"/>
          <w:sz w:val="25"/>
          <w:szCs w:val="25"/>
        </w:rPr>
        <w:t>allegation</w:t>
      </w:r>
      <w:r w:rsidR="00D16048" w:rsidRPr="009F2251">
        <w:rPr>
          <w:rFonts w:ascii="Aptos" w:hAnsi="Aptos"/>
          <w:sz w:val="25"/>
          <w:szCs w:val="25"/>
        </w:rPr>
        <w:t xml:space="preserve"> survives the </w:t>
      </w:r>
      <w:r w:rsidR="009C26BC">
        <w:rPr>
          <w:rFonts w:ascii="Aptos" w:hAnsi="Aptos"/>
          <w:sz w:val="25"/>
          <w:szCs w:val="25"/>
        </w:rPr>
        <w:t xml:space="preserve">District’s </w:t>
      </w:r>
      <w:r w:rsidR="009C26BC">
        <w:rPr>
          <w:rFonts w:ascii="Aptos" w:hAnsi="Aptos"/>
          <w:i/>
          <w:iCs/>
          <w:sz w:val="25"/>
          <w:szCs w:val="25"/>
        </w:rPr>
        <w:t>Motion to Dismiss</w:t>
      </w:r>
      <w:r w:rsidR="00D16048" w:rsidRPr="009F2251">
        <w:rPr>
          <w:rFonts w:ascii="Aptos" w:hAnsi="Aptos"/>
          <w:sz w:val="25"/>
          <w:szCs w:val="25"/>
        </w:rPr>
        <w:t>.</w:t>
      </w:r>
    </w:p>
    <w:p w14:paraId="304FAAF9" w14:textId="7A0A2D80" w:rsidR="00F10253" w:rsidRPr="009F2251" w:rsidRDefault="00F10253" w:rsidP="00F10253">
      <w:pPr>
        <w:pStyle w:val="NoSpacing"/>
        <w:numPr>
          <w:ilvl w:val="0"/>
          <w:numId w:val="19"/>
        </w:numPr>
        <w:spacing w:before="240" w:after="240"/>
        <w:rPr>
          <w:rFonts w:ascii="Aptos" w:hAnsi="Aptos" w:cs="Times New Roman"/>
          <w:i/>
          <w:sz w:val="25"/>
          <w:szCs w:val="25"/>
        </w:rPr>
      </w:pPr>
      <w:r w:rsidRPr="009F2251">
        <w:rPr>
          <w:rFonts w:ascii="Aptos" w:hAnsi="Aptos" w:cs="Times New Roman"/>
          <w:i/>
          <w:sz w:val="25"/>
          <w:szCs w:val="25"/>
        </w:rPr>
        <w:t>Request for Specialized Transportation</w:t>
      </w:r>
    </w:p>
    <w:p w14:paraId="70477346" w14:textId="6BB96469" w:rsidR="00F762D6" w:rsidRPr="009F2251" w:rsidRDefault="00F10253" w:rsidP="00F10253">
      <w:pPr>
        <w:pStyle w:val="NoSpacing"/>
        <w:spacing w:before="240" w:after="240"/>
        <w:rPr>
          <w:rFonts w:ascii="Aptos" w:hAnsi="Aptos" w:cs="Times New Roman"/>
          <w:iCs/>
          <w:sz w:val="25"/>
          <w:szCs w:val="25"/>
        </w:rPr>
      </w:pPr>
      <w:r w:rsidRPr="009F2251">
        <w:rPr>
          <w:rFonts w:ascii="Aptos" w:hAnsi="Aptos" w:cs="Times New Roman"/>
          <w:iCs/>
          <w:sz w:val="25"/>
          <w:szCs w:val="25"/>
        </w:rPr>
        <w:tab/>
        <w:t xml:space="preserve">Worcester raises two points regarding specialized transportation: </w:t>
      </w:r>
      <w:r w:rsidR="004B709A" w:rsidRPr="009F2251">
        <w:rPr>
          <w:rFonts w:ascii="Aptos" w:hAnsi="Aptos" w:cs="Times New Roman"/>
          <w:iCs/>
          <w:sz w:val="25"/>
          <w:szCs w:val="25"/>
        </w:rPr>
        <w:t xml:space="preserve">that Parents’ </w:t>
      </w:r>
      <w:r w:rsidR="004B709A" w:rsidRPr="009F2251">
        <w:rPr>
          <w:rFonts w:ascii="Aptos" w:hAnsi="Aptos" w:cs="Times New Roman"/>
          <w:i/>
          <w:sz w:val="25"/>
          <w:szCs w:val="25"/>
        </w:rPr>
        <w:t xml:space="preserve">Amended </w:t>
      </w:r>
      <w:r w:rsidR="007C5CF7" w:rsidRPr="009F2251">
        <w:rPr>
          <w:rFonts w:ascii="Aptos" w:hAnsi="Aptos" w:cs="Times New Roman"/>
          <w:i/>
          <w:sz w:val="25"/>
          <w:szCs w:val="25"/>
        </w:rPr>
        <w:t xml:space="preserve">Hearing </w:t>
      </w:r>
      <w:r w:rsidR="004B709A" w:rsidRPr="009F2251">
        <w:rPr>
          <w:rFonts w:ascii="Aptos" w:hAnsi="Aptos" w:cs="Times New Roman"/>
          <w:i/>
          <w:sz w:val="25"/>
          <w:szCs w:val="25"/>
        </w:rPr>
        <w:t>Request</w:t>
      </w:r>
      <w:r w:rsidR="004B709A" w:rsidRPr="009F2251">
        <w:rPr>
          <w:rFonts w:ascii="Aptos" w:hAnsi="Aptos" w:cs="Times New Roman"/>
          <w:iCs/>
          <w:sz w:val="25"/>
          <w:szCs w:val="25"/>
        </w:rPr>
        <w:t xml:space="preserve"> </w:t>
      </w:r>
      <w:r w:rsidR="00905BFC" w:rsidRPr="009F2251">
        <w:rPr>
          <w:rFonts w:ascii="Aptos" w:hAnsi="Aptos" w:cs="Times New Roman"/>
          <w:iCs/>
          <w:sz w:val="25"/>
          <w:szCs w:val="25"/>
        </w:rPr>
        <w:t>offers</w:t>
      </w:r>
      <w:r w:rsidR="004B709A" w:rsidRPr="009F2251">
        <w:rPr>
          <w:rFonts w:ascii="Aptos" w:hAnsi="Aptos" w:cs="Times New Roman"/>
          <w:iCs/>
          <w:sz w:val="25"/>
          <w:szCs w:val="25"/>
        </w:rPr>
        <w:t xml:space="preserve"> no evidence to support the need for specialized transportation or to show that </w:t>
      </w:r>
      <w:r w:rsidR="00DD3556">
        <w:rPr>
          <w:rFonts w:ascii="Aptos" w:hAnsi="Aptos" w:cs="Times New Roman"/>
          <w:iCs/>
          <w:sz w:val="25"/>
          <w:szCs w:val="25"/>
        </w:rPr>
        <w:t>Delilah</w:t>
      </w:r>
      <w:r w:rsidR="004B709A" w:rsidRPr="009F2251">
        <w:rPr>
          <w:rFonts w:ascii="Aptos" w:hAnsi="Aptos" w:cs="Times New Roman"/>
          <w:iCs/>
          <w:sz w:val="25"/>
          <w:szCs w:val="25"/>
        </w:rPr>
        <w:t xml:space="preserve">’s </w:t>
      </w:r>
      <w:r w:rsidR="00A62058">
        <w:rPr>
          <w:rFonts w:ascii="Aptos" w:hAnsi="Aptos" w:cs="Times New Roman"/>
          <w:iCs/>
          <w:sz w:val="25"/>
          <w:szCs w:val="25"/>
        </w:rPr>
        <w:t>T</w:t>
      </w:r>
      <w:r w:rsidR="00905BFC" w:rsidRPr="009F2251">
        <w:rPr>
          <w:rFonts w:ascii="Aptos" w:hAnsi="Aptos" w:cs="Times New Roman"/>
          <w:iCs/>
          <w:sz w:val="25"/>
          <w:szCs w:val="25"/>
        </w:rPr>
        <w:t>eam</w:t>
      </w:r>
      <w:r w:rsidR="004B709A" w:rsidRPr="009F2251">
        <w:rPr>
          <w:rFonts w:ascii="Aptos" w:hAnsi="Aptos" w:cs="Times New Roman"/>
          <w:iCs/>
          <w:sz w:val="25"/>
          <w:szCs w:val="25"/>
        </w:rPr>
        <w:t xml:space="preserve"> recommended specialized transportation</w:t>
      </w:r>
      <w:r w:rsidRPr="009F2251">
        <w:rPr>
          <w:rFonts w:ascii="Aptos" w:hAnsi="Aptos" w:cs="Times New Roman"/>
          <w:iCs/>
          <w:sz w:val="25"/>
          <w:szCs w:val="25"/>
        </w:rPr>
        <w:t xml:space="preserve">; and </w:t>
      </w:r>
      <w:r w:rsidR="004B709A" w:rsidRPr="009F2251">
        <w:rPr>
          <w:rFonts w:ascii="Aptos" w:hAnsi="Aptos" w:cs="Times New Roman"/>
          <w:iCs/>
          <w:sz w:val="25"/>
          <w:szCs w:val="25"/>
        </w:rPr>
        <w:t xml:space="preserve">that the BSEA lacks jurisdiction to order the District to provide </w:t>
      </w:r>
      <w:r w:rsidR="00A62058">
        <w:rPr>
          <w:rFonts w:ascii="Aptos" w:hAnsi="Aptos" w:cs="Times New Roman"/>
          <w:iCs/>
          <w:sz w:val="25"/>
          <w:szCs w:val="25"/>
        </w:rPr>
        <w:t>her with</w:t>
      </w:r>
      <w:r w:rsidR="004B709A" w:rsidRPr="009F2251">
        <w:rPr>
          <w:rFonts w:ascii="Aptos" w:hAnsi="Aptos" w:cs="Times New Roman"/>
          <w:iCs/>
          <w:sz w:val="25"/>
          <w:szCs w:val="25"/>
        </w:rPr>
        <w:t xml:space="preserve"> transportation because it is a </w:t>
      </w:r>
      <w:r w:rsidR="00905BFC" w:rsidRPr="009F2251">
        <w:rPr>
          <w:rFonts w:ascii="Aptos" w:hAnsi="Aptos" w:cs="Times New Roman"/>
          <w:iCs/>
          <w:sz w:val="25"/>
          <w:szCs w:val="25"/>
        </w:rPr>
        <w:t>general</w:t>
      </w:r>
      <w:r w:rsidR="004B709A" w:rsidRPr="009F2251">
        <w:rPr>
          <w:rFonts w:ascii="Aptos" w:hAnsi="Aptos" w:cs="Times New Roman"/>
          <w:iCs/>
          <w:sz w:val="25"/>
          <w:szCs w:val="25"/>
        </w:rPr>
        <w:t xml:space="preserve"> education issue.</w:t>
      </w:r>
      <w:r w:rsidRPr="009F2251">
        <w:rPr>
          <w:rFonts w:ascii="Aptos" w:hAnsi="Aptos" w:cs="Times New Roman"/>
          <w:iCs/>
          <w:sz w:val="25"/>
          <w:szCs w:val="25"/>
        </w:rPr>
        <w:tab/>
      </w:r>
    </w:p>
    <w:p w14:paraId="14632F10" w14:textId="1A597E9F" w:rsidR="003825D6" w:rsidRPr="009F2251" w:rsidRDefault="004B709A" w:rsidP="008B5053">
      <w:pPr>
        <w:pStyle w:val="NoSpacing"/>
        <w:spacing w:before="240" w:after="240"/>
        <w:rPr>
          <w:rFonts w:ascii="Aptos" w:hAnsi="Aptos" w:cs="Times New Roman"/>
          <w:iCs/>
          <w:sz w:val="25"/>
          <w:szCs w:val="25"/>
        </w:rPr>
      </w:pPr>
      <w:r w:rsidRPr="009F2251">
        <w:rPr>
          <w:rFonts w:ascii="Aptos" w:hAnsi="Aptos" w:cs="Times New Roman"/>
          <w:iCs/>
          <w:sz w:val="25"/>
          <w:szCs w:val="25"/>
        </w:rPr>
        <w:tab/>
        <w:t xml:space="preserve">First, </w:t>
      </w:r>
      <w:r w:rsidR="00F10253" w:rsidRPr="009F2251">
        <w:rPr>
          <w:rFonts w:ascii="Aptos" w:hAnsi="Aptos" w:cs="Times New Roman"/>
          <w:iCs/>
          <w:sz w:val="25"/>
          <w:szCs w:val="25"/>
        </w:rPr>
        <w:t xml:space="preserve">Worcester is incorrect in assuming that evidence is required at the motion to dismiss stage. </w:t>
      </w:r>
      <w:r w:rsidR="00B57EF3" w:rsidRPr="009F2251">
        <w:rPr>
          <w:rFonts w:ascii="Aptos" w:hAnsi="Aptos" w:cs="Times New Roman"/>
          <w:iCs/>
          <w:sz w:val="25"/>
          <w:szCs w:val="25"/>
        </w:rPr>
        <w:t>A decision-maker must only</w:t>
      </w:r>
      <w:r w:rsidR="00F10253" w:rsidRPr="009F2251">
        <w:rPr>
          <w:rFonts w:ascii="Aptos" w:hAnsi="Aptos" w:cs="Times New Roman"/>
          <w:iCs/>
          <w:sz w:val="25"/>
          <w:szCs w:val="25"/>
        </w:rPr>
        <w:t xml:space="preserve"> determine whether the party requesting the appeal has articulated a legally cognizable claim, not assess the merits or weigh the evidence.</w:t>
      </w:r>
      <w:r w:rsidR="002F22C8" w:rsidRPr="009F2251">
        <w:rPr>
          <w:rStyle w:val="FootnoteReference"/>
          <w:rFonts w:ascii="Aptos" w:hAnsi="Aptos" w:cs="Times New Roman"/>
          <w:iCs/>
          <w:sz w:val="25"/>
          <w:szCs w:val="25"/>
        </w:rPr>
        <w:footnoteReference w:id="25"/>
      </w:r>
      <w:r w:rsidR="00F10253" w:rsidRPr="009F2251">
        <w:rPr>
          <w:rFonts w:ascii="Aptos" w:hAnsi="Aptos" w:cs="Times New Roman"/>
          <w:iCs/>
          <w:sz w:val="25"/>
          <w:szCs w:val="25"/>
        </w:rPr>
        <w:t xml:space="preserve"> The complaint must only contain sufficient factual matter which, accepted as true, states a claim to relief that is plausible on its face.</w:t>
      </w:r>
      <w:r w:rsidR="00E934CF" w:rsidRPr="009F2251">
        <w:rPr>
          <w:rStyle w:val="FootnoteReference"/>
          <w:rFonts w:ascii="Aptos" w:hAnsi="Aptos" w:cs="Times New Roman"/>
          <w:iCs/>
          <w:sz w:val="25"/>
          <w:szCs w:val="25"/>
        </w:rPr>
        <w:footnoteReference w:id="26"/>
      </w:r>
      <w:r w:rsidR="00F10253" w:rsidRPr="009F2251">
        <w:rPr>
          <w:rFonts w:ascii="Aptos" w:hAnsi="Aptos" w:cs="Times New Roman"/>
          <w:iCs/>
          <w:sz w:val="25"/>
          <w:szCs w:val="25"/>
        </w:rPr>
        <w:t xml:space="preserve"> </w:t>
      </w:r>
      <w:r w:rsidRPr="009F2251">
        <w:rPr>
          <w:rFonts w:ascii="Aptos" w:hAnsi="Aptos" w:cs="Times New Roman"/>
          <w:iCs/>
          <w:sz w:val="25"/>
          <w:szCs w:val="25"/>
        </w:rPr>
        <w:t xml:space="preserve">Second, </w:t>
      </w:r>
      <w:r w:rsidR="00047011" w:rsidRPr="009F2251">
        <w:rPr>
          <w:rFonts w:ascii="Aptos" w:hAnsi="Aptos" w:cs="Times New Roman"/>
          <w:iCs/>
          <w:sz w:val="25"/>
          <w:szCs w:val="25"/>
        </w:rPr>
        <w:t>i</w:t>
      </w:r>
      <w:r w:rsidR="00F10253" w:rsidRPr="009F2251">
        <w:rPr>
          <w:rFonts w:ascii="Aptos" w:hAnsi="Aptos" w:cs="Times New Roman"/>
          <w:iCs/>
          <w:sz w:val="25"/>
          <w:szCs w:val="25"/>
        </w:rPr>
        <w:t xml:space="preserve">f </w:t>
      </w:r>
      <w:r w:rsidR="00DD3556">
        <w:rPr>
          <w:rFonts w:ascii="Aptos" w:hAnsi="Aptos" w:cs="Times New Roman"/>
          <w:iCs/>
          <w:sz w:val="25"/>
          <w:szCs w:val="25"/>
        </w:rPr>
        <w:t>Delilah</w:t>
      </w:r>
      <w:r w:rsidR="00047011" w:rsidRPr="009F2251">
        <w:rPr>
          <w:rFonts w:ascii="Aptos" w:hAnsi="Aptos" w:cs="Times New Roman"/>
          <w:iCs/>
          <w:sz w:val="25"/>
          <w:szCs w:val="25"/>
        </w:rPr>
        <w:t xml:space="preserve"> requires</w:t>
      </w:r>
      <w:r w:rsidR="00F10253" w:rsidRPr="009F2251">
        <w:rPr>
          <w:rFonts w:ascii="Aptos" w:hAnsi="Aptos" w:cs="Times New Roman"/>
          <w:iCs/>
          <w:sz w:val="25"/>
          <w:szCs w:val="25"/>
        </w:rPr>
        <w:t xml:space="preserve"> specialized transportation arrangements to </w:t>
      </w:r>
      <w:r w:rsidR="00A62058">
        <w:rPr>
          <w:rFonts w:ascii="Aptos" w:hAnsi="Aptos" w:cs="Times New Roman"/>
          <w:iCs/>
          <w:sz w:val="25"/>
          <w:szCs w:val="25"/>
        </w:rPr>
        <w:t>access</w:t>
      </w:r>
      <w:r w:rsidR="00F10253" w:rsidRPr="009F2251">
        <w:rPr>
          <w:rFonts w:ascii="Aptos" w:hAnsi="Aptos" w:cs="Times New Roman"/>
          <w:iCs/>
          <w:sz w:val="25"/>
          <w:szCs w:val="25"/>
        </w:rPr>
        <w:t xml:space="preserve"> her education, </w:t>
      </w:r>
      <w:r w:rsidR="005E3B19" w:rsidRPr="009F2251">
        <w:rPr>
          <w:rFonts w:ascii="Aptos" w:hAnsi="Aptos" w:cs="Times New Roman"/>
          <w:iCs/>
          <w:sz w:val="25"/>
          <w:szCs w:val="25"/>
        </w:rPr>
        <w:t>this would not be a general education issue</w:t>
      </w:r>
      <w:r w:rsidR="00A62058">
        <w:rPr>
          <w:rFonts w:ascii="Aptos" w:hAnsi="Aptos" w:cs="Times New Roman"/>
          <w:iCs/>
          <w:sz w:val="25"/>
          <w:szCs w:val="25"/>
        </w:rPr>
        <w:t>.</w:t>
      </w:r>
      <w:r w:rsidR="00210E69" w:rsidRPr="009F2251">
        <w:rPr>
          <w:rFonts w:ascii="Aptos" w:hAnsi="Aptos" w:cs="Times New Roman"/>
          <w:iCs/>
          <w:sz w:val="25"/>
          <w:szCs w:val="25"/>
        </w:rPr>
        <w:t xml:space="preserve"> </w:t>
      </w:r>
      <w:r w:rsidR="009A69FD" w:rsidRPr="009F2251">
        <w:rPr>
          <w:rFonts w:ascii="Aptos" w:hAnsi="Aptos" w:cs="Times New Roman"/>
          <w:iCs/>
          <w:sz w:val="25"/>
          <w:szCs w:val="25"/>
        </w:rPr>
        <w:t xml:space="preserve">However, if </w:t>
      </w:r>
      <w:r w:rsidR="00DD3556">
        <w:rPr>
          <w:rFonts w:ascii="Aptos" w:hAnsi="Aptos" w:cs="Times New Roman"/>
          <w:iCs/>
          <w:sz w:val="25"/>
          <w:szCs w:val="25"/>
        </w:rPr>
        <w:t>Delilah</w:t>
      </w:r>
      <w:r w:rsidR="009A69FD" w:rsidRPr="009F2251">
        <w:rPr>
          <w:rFonts w:ascii="Aptos" w:hAnsi="Aptos" w:cs="Times New Roman"/>
          <w:iCs/>
          <w:sz w:val="25"/>
          <w:szCs w:val="25"/>
        </w:rPr>
        <w:t xml:space="preserve"> is not </w:t>
      </w:r>
      <w:r w:rsidR="00A51CB2" w:rsidRPr="009F2251">
        <w:rPr>
          <w:rFonts w:ascii="Aptos" w:hAnsi="Aptos" w:cs="Times New Roman"/>
          <w:iCs/>
          <w:sz w:val="25"/>
          <w:szCs w:val="25"/>
        </w:rPr>
        <w:t>entitled</w:t>
      </w:r>
      <w:r w:rsidR="009A69FD" w:rsidRPr="009F2251">
        <w:rPr>
          <w:rFonts w:ascii="Aptos" w:hAnsi="Aptos" w:cs="Times New Roman"/>
          <w:iCs/>
          <w:sz w:val="25"/>
          <w:szCs w:val="25"/>
        </w:rPr>
        <w:t xml:space="preserve"> to specialized</w:t>
      </w:r>
      <w:r w:rsidR="00260424" w:rsidRPr="009F2251">
        <w:rPr>
          <w:rFonts w:ascii="Aptos" w:hAnsi="Aptos" w:cs="Times New Roman"/>
          <w:iCs/>
          <w:sz w:val="25"/>
          <w:szCs w:val="25"/>
        </w:rPr>
        <w:t xml:space="preserve"> transportation </w:t>
      </w:r>
      <w:r w:rsidR="00A51CB2" w:rsidRPr="009F2251">
        <w:rPr>
          <w:rFonts w:ascii="Aptos" w:hAnsi="Aptos" w:cs="Times New Roman"/>
          <w:iCs/>
          <w:sz w:val="25"/>
          <w:szCs w:val="25"/>
        </w:rPr>
        <w:t xml:space="preserve">directly </w:t>
      </w:r>
      <w:r w:rsidR="006E45CD" w:rsidRPr="009F2251">
        <w:rPr>
          <w:rFonts w:ascii="Aptos" w:hAnsi="Aptos" w:cs="Times New Roman"/>
          <w:iCs/>
          <w:sz w:val="25"/>
          <w:szCs w:val="25"/>
        </w:rPr>
        <w:t>f</w:t>
      </w:r>
      <w:r w:rsidR="00A51CB2" w:rsidRPr="009F2251">
        <w:rPr>
          <w:rFonts w:ascii="Aptos" w:hAnsi="Aptos" w:cs="Times New Roman"/>
          <w:iCs/>
          <w:sz w:val="25"/>
          <w:szCs w:val="25"/>
        </w:rPr>
        <w:t>or her</w:t>
      </w:r>
      <w:r w:rsidR="003825D6" w:rsidRPr="009F2251">
        <w:rPr>
          <w:rFonts w:ascii="Aptos" w:hAnsi="Aptos" w:cs="Times New Roman"/>
          <w:iCs/>
          <w:sz w:val="25"/>
          <w:szCs w:val="25"/>
        </w:rPr>
        <w:t xml:space="preserve"> disability</w:t>
      </w:r>
      <w:r w:rsidR="008B5053" w:rsidRPr="009F2251">
        <w:rPr>
          <w:rFonts w:ascii="Aptos" w:hAnsi="Aptos" w:cs="Times New Roman"/>
          <w:iCs/>
          <w:sz w:val="25"/>
          <w:szCs w:val="25"/>
        </w:rPr>
        <w:t>,</w:t>
      </w:r>
      <w:r w:rsidR="00210E69">
        <w:rPr>
          <w:rStyle w:val="FootnoteReference"/>
          <w:rFonts w:ascii="Aptos" w:hAnsi="Aptos" w:cs="Times New Roman"/>
          <w:iCs/>
          <w:sz w:val="25"/>
          <w:szCs w:val="25"/>
        </w:rPr>
        <w:footnoteReference w:id="27"/>
      </w:r>
      <w:r w:rsidR="008B5053" w:rsidRPr="009F2251">
        <w:rPr>
          <w:rFonts w:ascii="Aptos" w:hAnsi="Aptos" w:cs="Times New Roman"/>
          <w:iCs/>
          <w:sz w:val="25"/>
          <w:szCs w:val="25"/>
        </w:rPr>
        <w:t xml:space="preserve"> </w:t>
      </w:r>
      <w:r w:rsidR="003825D6" w:rsidRPr="009F2251">
        <w:rPr>
          <w:rFonts w:ascii="Aptos" w:hAnsi="Aptos" w:cs="Times New Roman"/>
          <w:iCs/>
          <w:sz w:val="25"/>
          <w:szCs w:val="25"/>
        </w:rPr>
        <w:t>the BSEA lacks jurisdiction over this general education issue.</w:t>
      </w:r>
    </w:p>
    <w:p w14:paraId="1AE37327" w14:textId="6FE95A36" w:rsidR="00F10253" w:rsidRPr="009F2251" w:rsidRDefault="003825D6" w:rsidP="008B5053">
      <w:pPr>
        <w:pStyle w:val="NoSpacing"/>
        <w:spacing w:before="240" w:after="240"/>
        <w:rPr>
          <w:rFonts w:ascii="Aptos" w:hAnsi="Aptos" w:cs="Times New Roman"/>
          <w:iCs/>
          <w:sz w:val="25"/>
          <w:szCs w:val="25"/>
        </w:rPr>
      </w:pPr>
      <w:r w:rsidRPr="009F2251">
        <w:rPr>
          <w:rFonts w:ascii="Aptos" w:hAnsi="Aptos" w:cs="Times New Roman"/>
          <w:iCs/>
          <w:sz w:val="25"/>
          <w:szCs w:val="25"/>
        </w:rPr>
        <w:tab/>
      </w:r>
      <w:r w:rsidR="00210E69">
        <w:rPr>
          <w:rFonts w:ascii="Aptos" w:hAnsi="Aptos" w:cs="Times New Roman"/>
          <w:iCs/>
          <w:sz w:val="25"/>
          <w:szCs w:val="25"/>
        </w:rPr>
        <w:t>Parents state only that Delilah should have received transportation for kindergarten and/or that she should receive “specialized transportation</w:t>
      </w:r>
      <w:r w:rsidR="00B02D1C">
        <w:rPr>
          <w:rFonts w:ascii="Aptos" w:hAnsi="Aptos" w:cs="Times New Roman"/>
          <w:iCs/>
          <w:sz w:val="25"/>
          <w:szCs w:val="25"/>
        </w:rPr>
        <w:t>.</w:t>
      </w:r>
      <w:r w:rsidR="00210E69">
        <w:rPr>
          <w:rFonts w:ascii="Aptos" w:hAnsi="Aptos" w:cs="Times New Roman"/>
          <w:iCs/>
          <w:sz w:val="25"/>
          <w:szCs w:val="25"/>
        </w:rPr>
        <w:t xml:space="preserve">” </w:t>
      </w:r>
      <w:r w:rsidRPr="009F2251">
        <w:rPr>
          <w:rFonts w:ascii="Aptos" w:hAnsi="Aptos" w:cs="Times New Roman"/>
          <w:iCs/>
          <w:sz w:val="25"/>
          <w:szCs w:val="25"/>
        </w:rPr>
        <w:t>Even</w:t>
      </w:r>
      <w:r w:rsidR="00B02D1C">
        <w:rPr>
          <w:rFonts w:ascii="Aptos" w:hAnsi="Aptos" w:cs="Times New Roman"/>
          <w:iCs/>
          <w:sz w:val="25"/>
          <w:szCs w:val="25"/>
        </w:rPr>
        <w:t xml:space="preserve"> when their</w:t>
      </w:r>
      <w:r w:rsidR="00210E69">
        <w:rPr>
          <w:rFonts w:ascii="Aptos" w:hAnsi="Aptos" w:cs="Times New Roman"/>
          <w:iCs/>
          <w:sz w:val="25"/>
          <w:szCs w:val="25"/>
        </w:rPr>
        <w:t xml:space="preserve"> assertions</w:t>
      </w:r>
      <w:r w:rsidR="00B02D1C">
        <w:rPr>
          <w:rFonts w:ascii="Aptos" w:hAnsi="Aptos" w:cs="Times New Roman"/>
          <w:iCs/>
          <w:sz w:val="25"/>
          <w:szCs w:val="25"/>
        </w:rPr>
        <w:t xml:space="preserve"> are construed liberally</w:t>
      </w:r>
      <w:r w:rsidR="008B5053" w:rsidRPr="009F2251">
        <w:rPr>
          <w:rFonts w:ascii="Aptos" w:hAnsi="Aptos" w:cs="Times New Roman"/>
          <w:iCs/>
          <w:sz w:val="25"/>
          <w:szCs w:val="25"/>
        </w:rPr>
        <w:t>, Parents</w:t>
      </w:r>
      <w:r w:rsidR="008E0EFF" w:rsidRPr="009F2251">
        <w:rPr>
          <w:rFonts w:ascii="Aptos" w:hAnsi="Aptos" w:cs="Times New Roman"/>
          <w:iCs/>
          <w:sz w:val="25"/>
          <w:szCs w:val="25"/>
        </w:rPr>
        <w:t xml:space="preserve"> do not allege that the requested specialized transportation is connected</w:t>
      </w:r>
      <w:r w:rsidR="00F10253" w:rsidRPr="009F2251">
        <w:rPr>
          <w:rFonts w:ascii="Aptos" w:hAnsi="Aptos" w:cs="Times New Roman"/>
          <w:iCs/>
          <w:sz w:val="25"/>
          <w:szCs w:val="25"/>
        </w:rPr>
        <w:t xml:space="preserve"> to </w:t>
      </w:r>
      <w:r w:rsidR="00DD3556">
        <w:rPr>
          <w:rFonts w:ascii="Aptos" w:hAnsi="Aptos" w:cs="Times New Roman"/>
          <w:iCs/>
          <w:sz w:val="25"/>
          <w:szCs w:val="25"/>
        </w:rPr>
        <w:t>Delilah</w:t>
      </w:r>
      <w:r w:rsidR="00210E69">
        <w:rPr>
          <w:rFonts w:ascii="Aptos" w:hAnsi="Aptos" w:cs="Times New Roman"/>
          <w:iCs/>
          <w:sz w:val="25"/>
          <w:szCs w:val="25"/>
        </w:rPr>
        <w:t>’s disability</w:t>
      </w:r>
      <w:r w:rsidR="00091AA1" w:rsidRPr="009F2251">
        <w:rPr>
          <w:rFonts w:ascii="Aptos" w:hAnsi="Aptos" w:cs="Times New Roman"/>
          <w:iCs/>
          <w:sz w:val="25"/>
          <w:szCs w:val="25"/>
        </w:rPr>
        <w:t xml:space="preserve">. </w:t>
      </w:r>
      <w:r w:rsidR="00F10253" w:rsidRPr="009F2251">
        <w:rPr>
          <w:rFonts w:ascii="Aptos" w:hAnsi="Aptos" w:cs="Times New Roman"/>
          <w:iCs/>
          <w:sz w:val="25"/>
          <w:szCs w:val="25"/>
        </w:rPr>
        <w:t xml:space="preserve">Consequently, the factual allegations in the complaint </w:t>
      </w:r>
      <w:r w:rsidR="00210E69">
        <w:rPr>
          <w:rFonts w:ascii="Aptos" w:hAnsi="Aptos" w:cs="Times New Roman"/>
          <w:iCs/>
          <w:sz w:val="25"/>
          <w:szCs w:val="25"/>
        </w:rPr>
        <w:t>do not</w:t>
      </w:r>
      <w:r w:rsidR="00F10253" w:rsidRPr="009F2251">
        <w:rPr>
          <w:rFonts w:ascii="Aptos" w:hAnsi="Aptos" w:cs="Times New Roman"/>
          <w:iCs/>
          <w:sz w:val="25"/>
          <w:szCs w:val="25"/>
        </w:rPr>
        <w:t xml:space="preserve"> raise a right to relief above the speculative level</w:t>
      </w:r>
      <w:r w:rsidR="00210E69">
        <w:rPr>
          <w:rFonts w:ascii="Aptos" w:hAnsi="Aptos" w:cs="Times New Roman"/>
          <w:iCs/>
          <w:sz w:val="25"/>
          <w:szCs w:val="25"/>
        </w:rPr>
        <w:t xml:space="preserve">, and this claim does not survive the District’s </w:t>
      </w:r>
      <w:r w:rsidR="00210E69">
        <w:rPr>
          <w:rFonts w:ascii="Aptos" w:hAnsi="Aptos" w:cs="Times New Roman"/>
          <w:i/>
          <w:sz w:val="25"/>
          <w:szCs w:val="25"/>
        </w:rPr>
        <w:t>Motion to Dismiss</w:t>
      </w:r>
      <w:r w:rsidR="00210E69">
        <w:rPr>
          <w:rFonts w:ascii="Aptos" w:hAnsi="Aptos" w:cs="Times New Roman"/>
          <w:iCs/>
          <w:sz w:val="25"/>
          <w:szCs w:val="25"/>
        </w:rPr>
        <w:t>.</w:t>
      </w:r>
      <w:r w:rsidR="00F10253" w:rsidRPr="009F2251">
        <w:rPr>
          <w:rStyle w:val="FootnoteReference"/>
          <w:rFonts w:ascii="Aptos" w:hAnsi="Aptos" w:cs="Times New Roman"/>
          <w:iCs/>
          <w:sz w:val="25"/>
          <w:szCs w:val="25"/>
        </w:rPr>
        <w:footnoteReference w:id="28"/>
      </w:r>
      <w:r w:rsidR="00210E69">
        <w:rPr>
          <w:rFonts w:ascii="Aptos" w:hAnsi="Aptos" w:cs="Times New Roman"/>
          <w:iCs/>
          <w:sz w:val="25"/>
          <w:szCs w:val="25"/>
        </w:rPr>
        <w:t xml:space="preserve"> </w:t>
      </w:r>
      <w:r w:rsidR="00F10253" w:rsidRPr="009F2251">
        <w:rPr>
          <w:rFonts w:ascii="Aptos" w:hAnsi="Aptos" w:cs="Times New Roman"/>
          <w:iCs/>
          <w:sz w:val="25"/>
          <w:szCs w:val="25"/>
        </w:rPr>
        <w:t xml:space="preserve"> </w:t>
      </w:r>
    </w:p>
    <w:p w14:paraId="16AFB1F4" w14:textId="77777777" w:rsidR="002A04CA" w:rsidRPr="009F2251" w:rsidRDefault="00B94BAD" w:rsidP="00F10253">
      <w:pPr>
        <w:pStyle w:val="NoSpacing"/>
        <w:numPr>
          <w:ilvl w:val="0"/>
          <w:numId w:val="19"/>
        </w:numPr>
        <w:spacing w:before="240" w:after="240"/>
        <w:rPr>
          <w:rFonts w:ascii="Aptos" w:hAnsi="Aptos" w:cs="Times New Roman"/>
          <w:i/>
          <w:sz w:val="25"/>
          <w:szCs w:val="25"/>
        </w:rPr>
      </w:pPr>
      <w:r w:rsidRPr="009F2251">
        <w:rPr>
          <w:rFonts w:ascii="Aptos" w:hAnsi="Aptos" w:cs="Times New Roman"/>
          <w:i/>
          <w:sz w:val="25"/>
          <w:szCs w:val="25"/>
        </w:rPr>
        <w:t>Request for Relief</w:t>
      </w:r>
    </w:p>
    <w:p w14:paraId="6E8140B8" w14:textId="6865BCD1" w:rsidR="002A04CA" w:rsidRPr="009F2251" w:rsidRDefault="002A04CA" w:rsidP="0049724D">
      <w:pPr>
        <w:pStyle w:val="NoSpacing"/>
        <w:spacing w:before="240" w:after="240"/>
        <w:rPr>
          <w:rFonts w:ascii="Aptos" w:hAnsi="Aptos" w:cs="Times New Roman"/>
          <w:sz w:val="25"/>
          <w:szCs w:val="25"/>
        </w:rPr>
      </w:pPr>
      <w:r w:rsidRPr="009F2251">
        <w:rPr>
          <w:rFonts w:ascii="Aptos" w:hAnsi="Aptos" w:cs="Times New Roman"/>
          <w:sz w:val="25"/>
          <w:szCs w:val="25"/>
        </w:rPr>
        <w:tab/>
      </w:r>
      <w:r w:rsidR="00D82149" w:rsidRPr="009F2251">
        <w:rPr>
          <w:rFonts w:ascii="Aptos" w:hAnsi="Aptos" w:cs="Times New Roman"/>
          <w:sz w:val="25"/>
          <w:szCs w:val="25"/>
        </w:rPr>
        <w:t>Worcester</w:t>
      </w:r>
      <w:r w:rsidR="00877A3F" w:rsidRPr="009F2251">
        <w:rPr>
          <w:rFonts w:ascii="Aptos" w:hAnsi="Aptos" w:cs="Times New Roman"/>
          <w:sz w:val="25"/>
          <w:szCs w:val="25"/>
        </w:rPr>
        <w:t xml:space="preserve"> </w:t>
      </w:r>
      <w:r w:rsidR="00976660" w:rsidRPr="009F2251">
        <w:rPr>
          <w:rFonts w:ascii="Aptos" w:hAnsi="Aptos" w:cs="Times New Roman"/>
          <w:sz w:val="25"/>
          <w:szCs w:val="25"/>
        </w:rPr>
        <w:t xml:space="preserve">argues for the dismissal of Parents’ </w:t>
      </w:r>
      <w:r w:rsidR="007C5CF7" w:rsidRPr="009F2251">
        <w:rPr>
          <w:rFonts w:ascii="Aptos" w:hAnsi="Aptos" w:cs="Times New Roman"/>
          <w:i/>
          <w:iCs/>
          <w:sz w:val="25"/>
          <w:szCs w:val="25"/>
        </w:rPr>
        <w:t xml:space="preserve">Amended Hearing </w:t>
      </w:r>
      <w:r w:rsidR="00976660" w:rsidRPr="009F2251">
        <w:rPr>
          <w:rFonts w:ascii="Aptos" w:hAnsi="Aptos" w:cs="Times New Roman"/>
          <w:i/>
          <w:iCs/>
          <w:sz w:val="25"/>
          <w:szCs w:val="25"/>
        </w:rPr>
        <w:t>Request</w:t>
      </w:r>
      <w:r w:rsidR="00976660" w:rsidRPr="009F2251">
        <w:rPr>
          <w:rFonts w:ascii="Aptos" w:hAnsi="Aptos" w:cs="Times New Roman"/>
          <w:sz w:val="25"/>
          <w:szCs w:val="25"/>
        </w:rPr>
        <w:t xml:space="preserve"> on the basis that the BSEA lacks the authority to grant the requested relief. However, the inability to grant the exact relief requested does not warrant the dismissal of the entire </w:t>
      </w:r>
      <w:r w:rsidR="00B02D1C">
        <w:rPr>
          <w:rFonts w:ascii="Aptos" w:hAnsi="Aptos" w:cs="Times New Roman"/>
          <w:sz w:val="25"/>
          <w:szCs w:val="25"/>
        </w:rPr>
        <w:t>complaint</w:t>
      </w:r>
      <w:r w:rsidR="00976660" w:rsidRPr="009F2251">
        <w:rPr>
          <w:rFonts w:ascii="Aptos" w:hAnsi="Aptos" w:cs="Times New Roman"/>
          <w:sz w:val="25"/>
          <w:szCs w:val="25"/>
        </w:rPr>
        <w:t xml:space="preserve">, nor should the remedy be addressed at </w:t>
      </w:r>
      <w:r w:rsidR="00745887" w:rsidRPr="009F2251">
        <w:rPr>
          <w:rFonts w:ascii="Aptos" w:hAnsi="Aptos" w:cs="Times New Roman"/>
          <w:sz w:val="25"/>
          <w:szCs w:val="25"/>
        </w:rPr>
        <w:t>this stage</w:t>
      </w:r>
      <w:r w:rsidR="00976660" w:rsidRPr="009F2251">
        <w:rPr>
          <w:rFonts w:ascii="Aptos" w:hAnsi="Aptos" w:cs="Times New Roman"/>
          <w:sz w:val="25"/>
          <w:szCs w:val="25"/>
        </w:rPr>
        <w:t>.</w:t>
      </w:r>
      <w:r w:rsidR="00B17FF2" w:rsidRPr="009F2251">
        <w:rPr>
          <w:rStyle w:val="FootnoteReference"/>
          <w:rFonts w:ascii="Aptos" w:hAnsi="Aptos" w:cs="Times New Roman"/>
          <w:sz w:val="25"/>
          <w:szCs w:val="25"/>
        </w:rPr>
        <w:footnoteReference w:id="29"/>
      </w:r>
      <w:r w:rsidR="00976660" w:rsidRPr="009F2251">
        <w:rPr>
          <w:rFonts w:ascii="Aptos" w:hAnsi="Aptos" w:cs="Times New Roman"/>
          <w:sz w:val="25"/>
          <w:szCs w:val="25"/>
        </w:rPr>
        <w:t xml:space="preserve"> The focus of a motion to dismiss is </w:t>
      </w:r>
      <w:r w:rsidR="00976660" w:rsidRPr="009F2251">
        <w:rPr>
          <w:rFonts w:ascii="Aptos" w:hAnsi="Aptos" w:cs="Times New Roman"/>
          <w:sz w:val="25"/>
          <w:szCs w:val="25"/>
        </w:rPr>
        <w:lastRenderedPageBreak/>
        <w:t xml:space="preserve">whether the allegations plausibly entitle </w:t>
      </w:r>
      <w:r w:rsidR="00745887" w:rsidRPr="009F2251">
        <w:rPr>
          <w:rFonts w:ascii="Aptos" w:hAnsi="Aptos" w:cs="Times New Roman"/>
          <w:sz w:val="25"/>
          <w:szCs w:val="25"/>
        </w:rPr>
        <w:t>P</w:t>
      </w:r>
      <w:r w:rsidR="00976660" w:rsidRPr="009F2251">
        <w:rPr>
          <w:rFonts w:ascii="Aptos" w:hAnsi="Aptos" w:cs="Times New Roman"/>
          <w:sz w:val="25"/>
          <w:szCs w:val="25"/>
        </w:rPr>
        <w:t>arents to relief, not the specific remedy sought.</w:t>
      </w:r>
      <w:r w:rsidR="008460F8" w:rsidRPr="009F2251">
        <w:rPr>
          <w:rStyle w:val="FootnoteReference"/>
          <w:rFonts w:ascii="Aptos" w:hAnsi="Aptos" w:cs="Times New Roman"/>
          <w:sz w:val="25"/>
          <w:szCs w:val="25"/>
        </w:rPr>
        <w:footnoteReference w:id="30"/>
      </w:r>
      <w:r w:rsidR="00976660" w:rsidRPr="009F2251">
        <w:rPr>
          <w:rFonts w:ascii="Aptos" w:hAnsi="Aptos" w:cs="Times New Roman"/>
          <w:sz w:val="25"/>
          <w:szCs w:val="25"/>
        </w:rPr>
        <w:t xml:space="preserve"> Therefore, if the facts alleged suggest any plausible claim for relief</w:t>
      </w:r>
      <w:r w:rsidR="00210E69">
        <w:rPr>
          <w:rFonts w:ascii="Aptos" w:hAnsi="Aptos" w:cs="Times New Roman"/>
          <w:sz w:val="25"/>
          <w:szCs w:val="25"/>
        </w:rPr>
        <w:t xml:space="preserve"> that may be granted by the BSEA</w:t>
      </w:r>
      <w:r w:rsidR="00976660" w:rsidRPr="009F2251">
        <w:rPr>
          <w:rFonts w:ascii="Aptos" w:hAnsi="Aptos" w:cs="Times New Roman"/>
          <w:sz w:val="25"/>
          <w:szCs w:val="25"/>
        </w:rPr>
        <w:t>, even if it differs from the requested remedy, those claims may proceed.</w:t>
      </w:r>
      <w:r w:rsidR="002C77BE" w:rsidRPr="009F2251">
        <w:rPr>
          <w:rStyle w:val="FootnoteReference"/>
          <w:rFonts w:ascii="Aptos" w:hAnsi="Aptos" w:cs="Times New Roman"/>
          <w:sz w:val="25"/>
          <w:szCs w:val="25"/>
        </w:rPr>
        <w:footnoteReference w:id="31"/>
      </w:r>
      <w:r w:rsidR="00976660" w:rsidRPr="009F2251">
        <w:rPr>
          <w:rFonts w:ascii="Aptos" w:hAnsi="Aptos" w:cs="Times New Roman"/>
          <w:sz w:val="25"/>
          <w:szCs w:val="25"/>
        </w:rPr>
        <w:t xml:space="preserve"> The</w:t>
      </w:r>
      <w:r w:rsidR="00B06D57">
        <w:rPr>
          <w:rFonts w:ascii="Aptos" w:hAnsi="Aptos" w:cs="Times New Roman"/>
          <w:sz w:val="25"/>
          <w:szCs w:val="25"/>
        </w:rPr>
        <w:t xml:space="preserve"> appropriate </w:t>
      </w:r>
      <w:r w:rsidR="00976660" w:rsidRPr="009F2251">
        <w:rPr>
          <w:rFonts w:ascii="Aptos" w:hAnsi="Aptos" w:cs="Times New Roman"/>
          <w:sz w:val="25"/>
          <w:szCs w:val="25"/>
        </w:rPr>
        <w:t>relief will be determined later in the proceedings.</w:t>
      </w:r>
    </w:p>
    <w:p w14:paraId="331B36FB" w14:textId="6EE3536D" w:rsidR="00976660" w:rsidRPr="009F2251" w:rsidRDefault="00976660" w:rsidP="0049724D">
      <w:pPr>
        <w:pStyle w:val="NoSpacing"/>
        <w:spacing w:before="240" w:after="240"/>
        <w:rPr>
          <w:rFonts w:ascii="Aptos" w:hAnsi="Aptos" w:cs="Times New Roman"/>
          <w:sz w:val="25"/>
          <w:szCs w:val="25"/>
        </w:rPr>
      </w:pPr>
      <w:r w:rsidRPr="009F2251">
        <w:rPr>
          <w:rFonts w:ascii="Aptos" w:hAnsi="Aptos" w:cs="Times New Roman"/>
          <w:sz w:val="25"/>
          <w:szCs w:val="25"/>
        </w:rPr>
        <w:tab/>
      </w:r>
      <w:r w:rsidR="00A552D8" w:rsidRPr="009F2251">
        <w:rPr>
          <w:rFonts w:ascii="Aptos" w:hAnsi="Aptos" w:cs="Times New Roman"/>
          <w:sz w:val="25"/>
          <w:szCs w:val="25"/>
        </w:rPr>
        <w:t>Should a hearing on the merits reveal that</w:t>
      </w:r>
      <w:r w:rsidR="00745887" w:rsidRPr="009F2251">
        <w:rPr>
          <w:rFonts w:ascii="Aptos" w:hAnsi="Aptos" w:cs="Times New Roman"/>
          <w:sz w:val="25"/>
          <w:szCs w:val="25"/>
        </w:rPr>
        <w:t xml:space="preserve"> Worcester has failed to provide a FAPE and tha</w:t>
      </w:r>
      <w:r w:rsidR="00225A17" w:rsidRPr="009F2251">
        <w:rPr>
          <w:rFonts w:ascii="Aptos" w:hAnsi="Aptos" w:cs="Times New Roman"/>
          <w:sz w:val="25"/>
          <w:szCs w:val="25"/>
        </w:rPr>
        <w:t xml:space="preserve">t Parents’ transfer request </w:t>
      </w:r>
      <w:r w:rsidR="0032713E">
        <w:rPr>
          <w:rFonts w:ascii="Aptos" w:hAnsi="Aptos" w:cs="Times New Roman"/>
          <w:sz w:val="25"/>
          <w:szCs w:val="25"/>
        </w:rPr>
        <w:t>is related</w:t>
      </w:r>
      <w:r w:rsidR="00225A17" w:rsidRPr="009F2251">
        <w:rPr>
          <w:rFonts w:ascii="Aptos" w:hAnsi="Aptos" w:cs="Times New Roman"/>
          <w:sz w:val="25"/>
          <w:szCs w:val="25"/>
        </w:rPr>
        <w:t xml:space="preserve"> to </w:t>
      </w:r>
      <w:r w:rsidR="00DD3556">
        <w:rPr>
          <w:rFonts w:ascii="Aptos" w:hAnsi="Aptos" w:cs="Times New Roman"/>
          <w:sz w:val="25"/>
          <w:szCs w:val="25"/>
        </w:rPr>
        <w:t>Delilah</w:t>
      </w:r>
      <w:r w:rsidR="00225A17" w:rsidRPr="009F2251">
        <w:rPr>
          <w:rFonts w:ascii="Aptos" w:hAnsi="Aptos" w:cs="Times New Roman"/>
          <w:sz w:val="25"/>
          <w:szCs w:val="25"/>
        </w:rPr>
        <w:t xml:space="preserve">’s special education needs, </w:t>
      </w:r>
      <w:r w:rsidR="00A552D8" w:rsidRPr="009F2251">
        <w:rPr>
          <w:rFonts w:ascii="Aptos" w:hAnsi="Aptos" w:cs="Times New Roman"/>
          <w:sz w:val="25"/>
          <w:szCs w:val="25"/>
        </w:rPr>
        <w:t xml:space="preserve">the BSEA possesses the authority to compel the school district to make requisite adjustments to fulfill the services outlined in </w:t>
      </w:r>
      <w:r w:rsidR="00DD3556">
        <w:rPr>
          <w:rFonts w:ascii="Aptos" w:hAnsi="Aptos" w:cs="Times New Roman"/>
          <w:sz w:val="25"/>
          <w:szCs w:val="25"/>
        </w:rPr>
        <w:t>Delilah</w:t>
      </w:r>
      <w:r w:rsidR="00A552D8" w:rsidRPr="009F2251">
        <w:rPr>
          <w:rFonts w:ascii="Aptos" w:hAnsi="Aptos" w:cs="Times New Roman"/>
          <w:sz w:val="25"/>
          <w:szCs w:val="25"/>
        </w:rPr>
        <w:t>’s IEP.</w:t>
      </w:r>
      <w:r w:rsidR="00A552D8" w:rsidRPr="009F2251">
        <w:rPr>
          <w:rStyle w:val="FootnoteReference"/>
          <w:rFonts w:ascii="Aptos" w:hAnsi="Aptos" w:cs="Times New Roman"/>
          <w:iCs/>
          <w:sz w:val="25"/>
          <w:szCs w:val="25"/>
        </w:rPr>
        <w:t xml:space="preserve"> </w:t>
      </w:r>
      <w:r w:rsidR="0032713E">
        <w:rPr>
          <w:rFonts w:ascii="Aptos" w:hAnsi="Aptos" w:cs="Times New Roman"/>
          <w:iCs/>
          <w:sz w:val="25"/>
          <w:szCs w:val="25"/>
        </w:rPr>
        <w:t>As it is within the jurisdiction of the BSEA to grant such relief in circumstances where such transfer is required for a student to receive a FAPE, Parents’ requested relief does not bar their claims.</w:t>
      </w:r>
      <w:r w:rsidR="0032713E">
        <w:rPr>
          <w:rStyle w:val="FootnoteReference"/>
          <w:rFonts w:ascii="Aptos" w:hAnsi="Aptos" w:cs="Times New Roman"/>
          <w:iCs/>
          <w:sz w:val="25"/>
          <w:szCs w:val="25"/>
        </w:rPr>
        <w:footnoteReference w:id="32"/>
      </w:r>
      <w:r w:rsidR="0032713E">
        <w:rPr>
          <w:rFonts w:ascii="Aptos" w:hAnsi="Aptos" w:cs="Times New Roman"/>
          <w:iCs/>
          <w:sz w:val="25"/>
          <w:szCs w:val="25"/>
        </w:rPr>
        <w:t xml:space="preserve"> </w:t>
      </w:r>
      <w:r w:rsidR="00225A17" w:rsidRPr="009F2251">
        <w:rPr>
          <w:rFonts w:ascii="Aptos" w:hAnsi="Aptos" w:cs="Times New Roman"/>
          <w:sz w:val="25"/>
          <w:szCs w:val="25"/>
        </w:rPr>
        <w:t>Where such remedies are supported by the evidence,</w:t>
      </w:r>
      <w:r w:rsidR="00A552D8" w:rsidRPr="009F2251">
        <w:rPr>
          <w:rFonts w:ascii="Aptos" w:hAnsi="Aptos" w:cs="Times New Roman"/>
          <w:sz w:val="25"/>
          <w:szCs w:val="25"/>
        </w:rPr>
        <w:t xml:space="preserve"> </w:t>
      </w:r>
      <w:r w:rsidR="00B02D1C">
        <w:rPr>
          <w:rFonts w:ascii="Aptos" w:hAnsi="Aptos" w:cs="Times New Roman"/>
          <w:sz w:val="25"/>
          <w:szCs w:val="25"/>
        </w:rPr>
        <w:t xml:space="preserve">the </w:t>
      </w:r>
      <w:r w:rsidR="00A552D8" w:rsidRPr="009F2251">
        <w:rPr>
          <w:rFonts w:ascii="Aptos" w:hAnsi="Aptos" w:cs="Times New Roman"/>
          <w:sz w:val="25"/>
          <w:szCs w:val="25"/>
        </w:rPr>
        <w:t xml:space="preserve">BSEA </w:t>
      </w:r>
      <w:r w:rsidR="00BB4CCF" w:rsidRPr="009F2251">
        <w:rPr>
          <w:rFonts w:ascii="Aptos" w:hAnsi="Aptos" w:cs="Times New Roman"/>
          <w:sz w:val="25"/>
          <w:szCs w:val="25"/>
        </w:rPr>
        <w:t>has</w:t>
      </w:r>
      <w:r w:rsidR="00A552D8" w:rsidRPr="009F2251">
        <w:rPr>
          <w:rFonts w:ascii="Aptos" w:hAnsi="Aptos" w:cs="Times New Roman"/>
          <w:sz w:val="25"/>
          <w:szCs w:val="25"/>
        </w:rPr>
        <w:t xml:space="preserve"> the power to </w:t>
      </w:r>
      <w:r w:rsidR="00BB4CCF" w:rsidRPr="009F2251">
        <w:rPr>
          <w:rFonts w:ascii="Aptos" w:hAnsi="Aptos" w:cs="Times New Roman"/>
          <w:sz w:val="25"/>
          <w:szCs w:val="25"/>
        </w:rPr>
        <w:t xml:space="preserve">order </w:t>
      </w:r>
      <w:r w:rsidR="00A552D8" w:rsidRPr="009F2251">
        <w:rPr>
          <w:rFonts w:ascii="Aptos" w:hAnsi="Aptos" w:cs="Times New Roman"/>
          <w:iCs/>
          <w:sz w:val="25"/>
          <w:szCs w:val="25"/>
        </w:rPr>
        <w:t xml:space="preserve">changed or additional services, specific placements, additional evaluations, reimbursements for services obtained privately by parents, </w:t>
      </w:r>
      <w:r w:rsidR="00B06D57">
        <w:rPr>
          <w:rFonts w:ascii="Aptos" w:hAnsi="Aptos" w:cs="Times New Roman"/>
          <w:iCs/>
          <w:sz w:val="25"/>
          <w:szCs w:val="25"/>
        </w:rPr>
        <w:t>and/</w:t>
      </w:r>
      <w:r w:rsidR="00A552D8" w:rsidRPr="009F2251">
        <w:rPr>
          <w:rFonts w:ascii="Aptos" w:hAnsi="Aptos" w:cs="Times New Roman"/>
          <w:iCs/>
          <w:sz w:val="25"/>
          <w:szCs w:val="25"/>
        </w:rPr>
        <w:t>or compensatory services.</w:t>
      </w:r>
      <w:r w:rsidR="00A552D8" w:rsidRPr="009F2251">
        <w:rPr>
          <w:rStyle w:val="FootnoteReference"/>
          <w:rFonts w:ascii="Aptos" w:hAnsi="Aptos" w:cs="Times New Roman"/>
          <w:iCs/>
          <w:sz w:val="25"/>
          <w:szCs w:val="25"/>
        </w:rPr>
        <w:footnoteReference w:id="33"/>
      </w:r>
    </w:p>
    <w:p w14:paraId="7F27D5B6" w14:textId="713DE767" w:rsidR="004D4B91" w:rsidRPr="009F2251" w:rsidRDefault="004D4B91" w:rsidP="0049724D">
      <w:pPr>
        <w:pStyle w:val="NoSpacing"/>
        <w:spacing w:before="240" w:after="240"/>
        <w:rPr>
          <w:rFonts w:ascii="Aptos" w:hAnsi="Aptos" w:cs="Times New Roman"/>
          <w:sz w:val="25"/>
          <w:szCs w:val="25"/>
        </w:rPr>
      </w:pPr>
      <w:r w:rsidRPr="009F2251">
        <w:rPr>
          <w:rFonts w:ascii="Aptos" w:hAnsi="Aptos" w:cs="Times New Roman"/>
          <w:iCs/>
          <w:sz w:val="25"/>
          <w:szCs w:val="25"/>
        </w:rPr>
        <w:tab/>
        <w:t>Even if the specific remedy</w:t>
      </w:r>
      <w:r w:rsidR="00B06D57">
        <w:rPr>
          <w:rFonts w:ascii="Aptos" w:hAnsi="Aptos" w:cs="Times New Roman"/>
          <w:iCs/>
          <w:sz w:val="25"/>
          <w:szCs w:val="25"/>
        </w:rPr>
        <w:t xml:space="preserve"> Parents seek</w:t>
      </w:r>
      <w:r w:rsidRPr="009F2251">
        <w:rPr>
          <w:rFonts w:ascii="Aptos" w:hAnsi="Aptos" w:cs="Times New Roman"/>
          <w:iCs/>
          <w:sz w:val="25"/>
          <w:szCs w:val="25"/>
        </w:rPr>
        <w:t xml:space="preserve">, such as </w:t>
      </w:r>
      <w:r w:rsidR="008D53F4" w:rsidRPr="009F2251">
        <w:rPr>
          <w:rFonts w:ascii="Aptos" w:hAnsi="Aptos" w:cs="Times New Roman"/>
          <w:iCs/>
          <w:sz w:val="25"/>
          <w:szCs w:val="25"/>
        </w:rPr>
        <w:t>transfer</w:t>
      </w:r>
      <w:r w:rsidR="00B06D57">
        <w:rPr>
          <w:rFonts w:ascii="Aptos" w:hAnsi="Aptos" w:cs="Times New Roman"/>
          <w:iCs/>
          <w:sz w:val="25"/>
          <w:szCs w:val="25"/>
        </w:rPr>
        <w:t xml:space="preserve"> between schools within the District</w:t>
      </w:r>
      <w:r w:rsidR="008D53F4" w:rsidRPr="009F2251">
        <w:rPr>
          <w:rFonts w:ascii="Aptos" w:hAnsi="Aptos" w:cs="Times New Roman"/>
          <w:iCs/>
          <w:sz w:val="25"/>
          <w:szCs w:val="25"/>
        </w:rPr>
        <w:t xml:space="preserve">, is </w:t>
      </w:r>
      <w:r w:rsidR="0032713E">
        <w:rPr>
          <w:rFonts w:ascii="Aptos" w:hAnsi="Aptos" w:cs="Times New Roman"/>
          <w:iCs/>
          <w:sz w:val="25"/>
          <w:szCs w:val="25"/>
        </w:rPr>
        <w:t>ultimately deemed untenable</w:t>
      </w:r>
      <w:r w:rsidR="008D53F4" w:rsidRPr="009F2251">
        <w:rPr>
          <w:rFonts w:ascii="Aptos" w:hAnsi="Aptos" w:cs="Times New Roman"/>
          <w:iCs/>
          <w:sz w:val="25"/>
          <w:szCs w:val="25"/>
        </w:rPr>
        <w:t xml:space="preserve">, the case may continue if the facts </w:t>
      </w:r>
      <w:r w:rsidR="00B06D57">
        <w:rPr>
          <w:rFonts w:ascii="Aptos" w:hAnsi="Aptos" w:cs="Times New Roman"/>
          <w:iCs/>
          <w:sz w:val="25"/>
          <w:szCs w:val="25"/>
        </w:rPr>
        <w:t>plausibly</w:t>
      </w:r>
      <w:r w:rsidR="008D53F4" w:rsidRPr="009F2251">
        <w:rPr>
          <w:rFonts w:ascii="Aptos" w:hAnsi="Aptos" w:cs="Times New Roman"/>
          <w:iCs/>
          <w:sz w:val="25"/>
          <w:szCs w:val="25"/>
        </w:rPr>
        <w:t xml:space="preserve"> indicate a right to some form of relief</w:t>
      </w:r>
      <w:r w:rsidR="00B06D57">
        <w:rPr>
          <w:rFonts w:ascii="Aptos" w:hAnsi="Aptos" w:cs="Times New Roman"/>
          <w:iCs/>
          <w:sz w:val="25"/>
          <w:szCs w:val="25"/>
        </w:rPr>
        <w:t xml:space="preserve"> that the BSEA may order the District to provide</w:t>
      </w:r>
      <w:r w:rsidR="008D53F4" w:rsidRPr="009F2251">
        <w:rPr>
          <w:rFonts w:ascii="Aptos" w:hAnsi="Aptos" w:cs="Times New Roman"/>
          <w:iCs/>
          <w:sz w:val="25"/>
          <w:szCs w:val="25"/>
        </w:rPr>
        <w:t>. Accordingly, it is premature to grant dismissal</w:t>
      </w:r>
      <w:r w:rsidR="00B06D57">
        <w:rPr>
          <w:rFonts w:ascii="Aptos" w:hAnsi="Aptos" w:cs="Times New Roman"/>
          <w:iCs/>
          <w:sz w:val="25"/>
          <w:szCs w:val="25"/>
        </w:rPr>
        <w:t xml:space="preserve"> of the matter in its entirety</w:t>
      </w:r>
      <w:r w:rsidR="008D53F4" w:rsidRPr="009F2251">
        <w:rPr>
          <w:rFonts w:ascii="Aptos" w:hAnsi="Aptos" w:cs="Times New Roman"/>
          <w:iCs/>
          <w:sz w:val="25"/>
          <w:szCs w:val="25"/>
        </w:rPr>
        <w:t xml:space="preserve"> at this stage. </w:t>
      </w:r>
    </w:p>
    <w:p w14:paraId="5FDB1D6F" w14:textId="3C536B12" w:rsidR="002A04CA" w:rsidRPr="009F2251" w:rsidRDefault="00FE014C" w:rsidP="008811E2">
      <w:pPr>
        <w:pStyle w:val="NoSpacing"/>
        <w:numPr>
          <w:ilvl w:val="0"/>
          <w:numId w:val="17"/>
        </w:numPr>
        <w:spacing w:before="240"/>
        <w:rPr>
          <w:rFonts w:ascii="Aptos" w:hAnsi="Aptos" w:cs="Times New Roman"/>
          <w:sz w:val="25"/>
          <w:szCs w:val="25"/>
        </w:rPr>
      </w:pPr>
      <w:r w:rsidRPr="009F2251">
        <w:rPr>
          <w:rFonts w:ascii="Aptos" w:hAnsi="Aptos" w:cs="Times New Roman"/>
          <w:sz w:val="25"/>
          <w:szCs w:val="25"/>
        </w:rPr>
        <w:t>CONCLUSION</w:t>
      </w:r>
    </w:p>
    <w:p w14:paraId="0518D028" w14:textId="39FAAC80" w:rsidR="008811E2" w:rsidRDefault="002A04CA" w:rsidP="002A04CA">
      <w:pPr>
        <w:pStyle w:val="NoSpacing"/>
        <w:spacing w:before="240"/>
        <w:rPr>
          <w:rFonts w:ascii="Aptos" w:hAnsi="Aptos" w:cs="Times New Roman"/>
          <w:sz w:val="25"/>
          <w:szCs w:val="25"/>
        </w:rPr>
      </w:pPr>
      <w:r w:rsidRPr="009F2251">
        <w:rPr>
          <w:rFonts w:ascii="Aptos" w:hAnsi="Aptos" w:cs="Times New Roman"/>
          <w:sz w:val="25"/>
          <w:szCs w:val="25"/>
        </w:rPr>
        <w:tab/>
      </w:r>
      <w:r w:rsidR="00FE014C" w:rsidRPr="009F2251">
        <w:rPr>
          <w:rFonts w:ascii="Aptos" w:hAnsi="Aptos" w:cs="Times New Roman"/>
          <w:sz w:val="25"/>
          <w:szCs w:val="25"/>
        </w:rPr>
        <w:t xml:space="preserve">Upon </w:t>
      </w:r>
      <w:r w:rsidR="0035383C" w:rsidRPr="009F2251">
        <w:rPr>
          <w:rFonts w:ascii="Aptos" w:hAnsi="Aptos" w:cs="Times New Roman"/>
          <w:sz w:val="25"/>
          <w:szCs w:val="25"/>
        </w:rPr>
        <w:t xml:space="preserve">reviewing Worcester Public Schools’ </w:t>
      </w:r>
      <w:r w:rsidR="0035383C" w:rsidRPr="009F2251">
        <w:rPr>
          <w:rFonts w:ascii="Aptos" w:hAnsi="Aptos" w:cs="Times New Roman"/>
          <w:i/>
          <w:iCs/>
          <w:sz w:val="25"/>
          <w:szCs w:val="25"/>
        </w:rPr>
        <w:t>Motion to Dismiss</w:t>
      </w:r>
      <w:r w:rsidR="0052706E" w:rsidRPr="009F2251">
        <w:rPr>
          <w:rFonts w:ascii="Aptos" w:hAnsi="Aptos" w:cs="Times New Roman"/>
          <w:sz w:val="25"/>
          <w:szCs w:val="25"/>
        </w:rPr>
        <w:t xml:space="preserve"> and Parents’ </w:t>
      </w:r>
      <w:r w:rsidR="00843250" w:rsidRPr="009F2251">
        <w:rPr>
          <w:rFonts w:ascii="Aptos" w:hAnsi="Aptos" w:cs="Times New Roman"/>
          <w:i/>
          <w:iCs/>
          <w:sz w:val="25"/>
          <w:szCs w:val="25"/>
        </w:rPr>
        <w:t>O</w:t>
      </w:r>
      <w:r w:rsidR="0052706E" w:rsidRPr="009F2251">
        <w:rPr>
          <w:rFonts w:ascii="Aptos" w:hAnsi="Aptos" w:cs="Times New Roman"/>
          <w:i/>
          <w:iCs/>
          <w:sz w:val="25"/>
          <w:szCs w:val="25"/>
        </w:rPr>
        <w:t>pposition</w:t>
      </w:r>
      <w:r w:rsidR="0052706E" w:rsidRPr="009F2251">
        <w:rPr>
          <w:rFonts w:ascii="Aptos" w:hAnsi="Aptos" w:cs="Times New Roman"/>
          <w:sz w:val="25"/>
          <w:szCs w:val="25"/>
        </w:rPr>
        <w:t xml:space="preserve"> there</w:t>
      </w:r>
      <w:r w:rsidR="00B06D57">
        <w:rPr>
          <w:rFonts w:ascii="Aptos" w:hAnsi="Aptos" w:cs="Times New Roman"/>
          <w:sz w:val="25"/>
          <w:szCs w:val="25"/>
        </w:rPr>
        <w:t>to,</w:t>
      </w:r>
      <w:r w:rsidR="0035383C" w:rsidRPr="009F2251">
        <w:rPr>
          <w:rFonts w:ascii="Aptos" w:hAnsi="Aptos" w:cs="Times New Roman"/>
          <w:sz w:val="25"/>
          <w:szCs w:val="25"/>
        </w:rPr>
        <w:t xml:space="preserve"> I find that Parents</w:t>
      </w:r>
      <w:r w:rsidR="007849D7" w:rsidRPr="009F2251">
        <w:rPr>
          <w:rFonts w:ascii="Aptos" w:hAnsi="Aptos" w:cs="Times New Roman"/>
          <w:sz w:val="25"/>
          <w:szCs w:val="25"/>
        </w:rPr>
        <w:t>’</w:t>
      </w:r>
      <w:r w:rsidR="0035383C" w:rsidRPr="009F2251">
        <w:rPr>
          <w:rFonts w:ascii="Aptos" w:hAnsi="Aptos" w:cs="Times New Roman"/>
          <w:sz w:val="25"/>
          <w:szCs w:val="25"/>
        </w:rPr>
        <w:t xml:space="preserve"> allegations regarding bullying, </w:t>
      </w:r>
      <w:r w:rsidR="00511BBB" w:rsidRPr="009F2251">
        <w:rPr>
          <w:rFonts w:ascii="Aptos" w:hAnsi="Aptos" w:cs="Times New Roman"/>
          <w:sz w:val="25"/>
          <w:szCs w:val="25"/>
        </w:rPr>
        <w:t>untimely</w:t>
      </w:r>
      <w:r w:rsidR="009627A9" w:rsidRPr="009F2251">
        <w:rPr>
          <w:rFonts w:ascii="Aptos" w:hAnsi="Aptos" w:cs="Times New Roman"/>
          <w:sz w:val="25"/>
          <w:szCs w:val="25"/>
        </w:rPr>
        <w:t xml:space="preserve"> </w:t>
      </w:r>
      <w:r w:rsidR="0035383C" w:rsidRPr="009F2251">
        <w:rPr>
          <w:rFonts w:ascii="Aptos" w:hAnsi="Aptos" w:cs="Times New Roman"/>
          <w:sz w:val="25"/>
          <w:szCs w:val="25"/>
        </w:rPr>
        <w:t>assessments, and</w:t>
      </w:r>
      <w:r w:rsidR="00511BBB" w:rsidRPr="009F2251">
        <w:rPr>
          <w:rFonts w:ascii="Aptos" w:hAnsi="Aptos" w:cs="Times New Roman"/>
          <w:sz w:val="25"/>
          <w:szCs w:val="25"/>
        </w:rPr>
        <w:t xml:space="preserve"> transfer requests</w:t>
      </w:r>
      <w:r w:rsidR="00F8384E" w:rsidRPr="009F2251">
        <w:rPr>
          <w:rFonts w:ascii="Aptos" w:hAnsi="Aptos" w:cs="Times New Roman"/>
          <w:sz w:val="25"/>
          <w:szCs w:val="25"/>
        </w:rPr>
        <w:t xml:space="preserve"> </w:t>
      </w:r>
      <w:r w:rsidR="0035383C" w:rsidRPr="009F2251">
        <w:rPr>
          <w:rFonts w:ascii="Aptos" w:hAnsi="Aptos" w:cs="Times New Roman"/>
          <w:sz w:val="25"/>
          <w:szCs w:val="25"/>
        </w:rPr>
        <w:t xml:space="preserve">plausibly suggest an entitlement to </w:t>
      </w:r>
      <w:r w:rsidR="00FE014C" w:rsidRPr="009F2251">
        <w:rPr>
          <w:rFonts w:ascii="Aptos" w:hAnsi="Aptos" w:cs="Times New Roman"/>
          <w:sz w:val="25"/>
          <w:szCs w:val="25"/>
        </w:rPr>
        <w:t>relief.</w:t>
      </w:r>
      <w:r w:rsidR="001314FE" w:rsidRPr="009F2251">
        <w:rPr>
          <w:rStyle w:val="FootnoteReference"/>
          <w:rFonts w:ascii="Aptos" w:hAnsi="Aptos" w:cs="Times New Roman"/>
          <w:sz w:val="25"/>
          <w:szCs w:val="25"/>
        </w:rPr>
        <w:footnoteReference w:id="34"/>
      </w:r>
      <w:r w:rsidR="00F8384E" w:rsidRPr="009F2251">
        <w:rPr>
          <w:rFonts w:ascii="Aptos" w:hAnsi="Aptos" w:cs="Times New Roman"/>
          <w:sz w:val="25"/>
          <w:szCs w:val="25"/>
        </w:rPr>
        <w:t xml:space="preserve"> </w:t>
      </w:r>
      <w:r w:rsidR="00FE014C" w:rsidRPr="009F2251">
        <w:rPr>
          <w:rFonts w:ascii="Aptos" w:hAnsi="Aptos" w:cs="Times New Roman"/>
          <w:sz w:val="25"/>
          <w:szCs w:val="25"/>
        </w:rPr>
        <w:t>Parents</w:t>
      </w:r>
      <w:r w:rsidRPr="009F2251">
        <w:rPr>
          <w:rFonts w:ascii="Aptos" w:hAnsi="Aptos" w:cs="Times New Roman"/>
          <w:sz w:val="25"/>
          <w:szCs w:val="25"/>
        </w:rPr>
        <w:t>’</w:t>
      </w:r>
      <w:r w:rsidR="00FE014C" w:rsidRPr="009F2251">
        <w:rPr>
          <w:rFonts w:ascii="Aptos" w:hAnsi="Aptos" w:cs="Times New Roman"/>
          <w:sz w:val="25"/>
          <w:szCs w:val="25"/>
        </w:rPr>
        <w:t xml:space="preserve"> allegations </w:t>
      </w:r>
      <w:r w:rsidR="00F8384E" w:rsidRPr="009F2251">
        <w:rPr>
          <w:rFonts w:ascii="Aptos" w:hAnsi="Aptos" w:cs="Times New Roman"/>
          <w:sz w:val="25"/>
          <w:szCs w:val="25"/>
        </w:rPr>
        <w:t>related to</w:t>
      </w:r>
      <w:r w:rsidR="00FE014C" w:rsidRPr="009F2251">
        <w:rPr>
          <w:rFonts w:ascii="Aptos" w:hAnsi="Aptos" w:cs="Times New Roman"/>
          <w:sz w:val="25"/>
          <w:szCs w:val="25"/>
        </w:rPr>
        <w:t xml:space="preserve"> the book</w:t>
      </w:r>
      <w:r w:rsidR="0035383C" w:rsidRPr="009F2251">
        <w:rPr>
          <w:rFonts w:ascii="Aptos" w:hAnsi="Aptos" w:cs="Times New Roman"/>
          <w:sz w:val="25"/>
          <w:szCs w:val="25"/>
        </w:rPr>
        <w:t xml:space="preserve"> </w:t>
      </w:r>
      <w:r w:rsidR="00FE014C" w:rsidRPr="009F2251">
        <w:rPr>
          <w:rFonts w:ascii="Aptos" w:hAnsi="Aptos" w:cs="Times New Roman"/>
          <w:sz w:val="25"/>
          <w:szCs w:val="25"/>
        </w:rPr>
        <w:t>and specialized transportation are beyond the jurisdiction of the BSEA.</w:t>
      </w:r>
    </w:p>
    <w:p w14:paraId="1DFC9A58" w14:textId="77777777" w:rsidR="00F87FF5" w:rsidRPr="009F2251" w:rsidRDefault="00F87FF5" w:rsidP="002A04CA">
      <w:pPr>
        <w:pStyle w:val="NoSpacing"/>
        <w:spacing w:before="240"/>
        <w:rPr>
          <w:rFonts w:ascii="Aptos" w:hAnsi="Aptos" w:cs="Times New Roman"/>
          <w:sz w:val="25"/>
          <w:szCs w:val="25"/>
        </w:rPr>
      </w:pPr>
    </w:p>
    <w:p w14:paraId="3E9C75C7" w14:textId="77777777" w:rsidR="00F87FF5" w:rsidRDefault="00F87FF5" w:rsidP="00A95502">
      <w:pPr>
        <w:pStyle w:val="NoSpacing"/>
        <w:spacing w:before="240"/>
        <w:rPr>
          <w:rFonts w:ascii="Aptos" w:hAnsi="Aptos" w:cs="Times New Roman"/>
          <w:sz w:val="25"/>
          <w:szCs w:val="25"/>
        </w:rPr>
      </w:pPr>
    </w:p>
    <w:p w14:paraId="25D11043" w14:textId="7EB9F297" w:rsidR="00A95502" w:rsidRPr="009F2251" w:rsidRDefault="00A95502" w:rsidP="00A95502">
      <w:pPr>
        <w:pStyle w:val="NoSpacing"/>
        <w:spacing w:before="240"/>
        <w:rPr>
          <w:rFonts w:ascii="Aptos" w:hAnsi="Aptos" w:cs="Times New Roman"/>
          <w:sz w:val="25"/>
          <w:szCs w:val="25"/>
        </w:rPr>
      </w:pPr>
      <w:r w:rsidRPr="009F2251">
        <w:rPr>
          <w:rFonts w:ascii="Aptos" w:hAnsi="Aptos" w:cs="Times New Roman"/>
          <w:sz w:val="25"/>
          <w:szCs w:val="25"/>
        </w:rPr>
        <w:lastRenderedPageBreak/>
        <w:t>ORDER</w:t>
      </w:r>
    </w:p>
    <w:p w14:paraId="50D31AE9" w14:textId="1EB0D0B8" w:rsidR="006E3E18" w:rsidRDefault="00A95502" w:rsidP="006E3E18">
      <w:pPr>
        <w:pStyle w:val="NoSpacing"/>
        <w:spacing w:before="240"/>
        <w:rPr>
          <w:rFonts w:ascii="Aptos" w:hAnsi="Aptos" w:cs="Times New Roman"/>
          <w:sz w:val="25"/>
          <w:szCs w:val="25"/>
        </w:rPr>
      </w:pPr>
      <w:r w:rsidRPr="009F2251">
        <w:rPr>
          <w:rFonts w:ascii="Aptos" w:hAnsi="Aptos" w:cs="Times New Roman"/>
          <w:sz w:val="25"/>
          <w:szCs w:val="25"/>
        </w:rPr>
        <w:tab/>
      </w:r>
      <w:r w:rsidR="00B02D1C">
        <w:rPr>
          <w:rFonts w:ascii="Aptos" w:hAnsi="Aptos" w:cs="Times New Roman"/>
          <w:sz w:val="25"/>
          <w:szCs w:val="25"/>
        </w:rPr>
        <w:t>Worcester’s</w:t>
      </w:r>
      <w:r w:rsidRPr="009F2251">
        <w:rPr>
          <w:rFonts w:ascii="Aptos" w:hAnsi="Aptos" w:cs="Times New Roman"/>
          <w:sz w:val="25"/>
          <w:szCs w:val="25"/>
        </w:rPr>
        <w:t xml:space="preserve"> Motion to Dismiss is hereby </w:t>
      </w:r>
      <w:r w:rsidR="00002B00" w:rsidRPr="009F2251">
        <w:rPr>
          <w:rFonts w:ascii="Aptos" w:hAnsi="Aptos" w:cs="Times New Roman"/>
          <w:sz w:val="25"/>
          <w:szCs w:val="25"/>
        </w:rPr>
        <w:t xml:space="preserve">DENIED as to </w:t>
      </w:r>
      <w:r w:rsidR="00B06D57">
        <w:rPr>
          <w:rFonts w:ascii="Aptos" w:hAnsi="Aptos" w:cs="Times New Roman"/>
          <w:sz w:val="25"/>
          <w:szCs w:val="25"/>
        </w:rPr>
        <w:t xml:space="preserve">Parents’ claims regarding </w:t>
      </w:r>
      <w:r w:rsidR="00DA1AC1" w:rsidRPr="009F2251">
        <w:rPr>
          <w:rFonts w:ascii="Aptos" w:hAnsi="Aptos" w:cs="Times New Roman"/>
          <w:sz w:val="25"/>
          <w:szCs w:val="25"/>
        </w:rPr>
        <w:t>bullying</w:t>
      </w:r>
      <w:r w:rsidR="00B06D57">
        <w:rPr>
          <w:rFonts w:ascii="Aptos" w:hAnsi="Aptos" w:cs="Times New Roman"/>
          <w:sz w:val="25"/>
          <w:szCs w:val="25"/>
        </w:rPr>
        <w:t xml:space="preserve"> and</w:t>
      </w:r>
      <w:r w:rsidR="00B11ECA" w:rsidRPr="009F2251">
        <w:rPr>
          <w:rFonts w:ascii="Aptos" w:hAnsi="Aptos" w:cs="Times New Roman"/>
          <w:sz w:val="25"/>
          <w:szCs w:val="25"/>
        </w:rPr>
        <w:t xml:space="preserve"> </w:t>
      </w:r>
      <w:r w:rsidR="00860437" w:rsidRPr="009F2251">
        <w:rPr>
          <w:rFonts w:ascii="Aptos" w:hAnsi="Aptos" w:cs="Times New Roman"/>
          <w:sz w:val="25"/>
          <w:szCs w:val="25"/>
        </w:rPr>
        <w:t xml:space="preserve">untimely </w:t>
      </w:r>
      <w:r w:rsidR="00B06D57">
        <w:rPr>
          <w:rFonts w:ascii="Aptos" w:hAnsi="Aptos" w:cs="Times New Roman"/>
          <w:sz w:val="25"/>
          <w:szCs w:val="25"/>
        </w:rPr>
        <w:t>special education</w:t>
      </w:r>
      <w:r w:rsidR="00860437" w:rsidRPr="009F2251">
        <w:rPr>
          <w:rFonts w:ascii="Aptos" w:hAnsi="Aptos" w:cs="Times New Roman"/>
          <w:sz w:val="25"/>
          <w:szCs w:val="25"/>
        </w:rPr>
        <w:t xml:space="preserve"> assessments</w:t>
      </w:r>
      <w:r w:rsidR="00B11ECA" w:rsidRPr="009F2251">
        <w:rPr>
          <w:rFonts w:ascii="Aptos" w:hAnsi="Aptos" w:cs="Times New Roman"/>
          <w:sz w:val="25"/>
          <w:szCs w:val="25"/>
        </w:rPr>
        <w:t>, and</w:t>
      </w:r>
      <w:r w:rsidR="00B06D57">
        <w:rPr>
          <w:rFonts w:ascii="Aptos" w:hAnsi="Aptos" w:cs="Times New Roman"/>
          <w:sz w:val="25"/>
          <w:szCs w:val="25"/>
        </w:rPr>
        <w:t xml:space="preserve"> as to their</w:t>
      </w:r>
      <w:r w:rsidR="00B11ECA" w:rsidRPr="009F2251">
        <w:rPr>
          <w:rFonts w:ascii="Aptos" w:hAnsi="Aptos" w:cs="Times New Roman"/>
          <w:sz w:val="25"/>
          <w:szCs w:val="25"/>
        </w:rPr>
        <w:t xml:space="preserve"> request</w:t>
      </w:r>
      <w:r w:rsidR="00B06D57">
        <w:rPr>
          <w:rFonts w:ascii="Aptos" w:hAnsi="Aptos" w:cs="Times New Roman"/>
          <w:sz w:val="25"/>
          <w:szCs w:val="25"/>
        </w:rPr>
        <w:t xml:space="preserve"> for relief in the form of</w:t>
      </w:r>
      <w:r w:rsidR="00B11ECA" w:rsidRPr="009F2251">
        <w:rPr>
          <w:rFonts w:ascii="Aptos" w:hAnsi="Aptos" w:cs="Times New Roman"/>
          <w:sz w:val="25"/>
          <w:szCs w:val="25"/>
        </w:rPr>
        <w:t xml:space="preserve"> </w:t>
      </w:r>
      <w:r w:rsidR="00B06D57">
        <w:rPr>
          <w:rFonts w:ascii="Aptos" w:hAnsi="Aptos" w:cs="Times New Roman"/>
          <w:sz w:val="25"/>
          <w:szCs w:val="25"/>
        </w:rPr>
        <w:t>a</w:t>
      </w:r>
      <w:r w:rsidR="00B11ECA" w:rsidRPr="009F2251">
        <w:rPr>
          <w:rFonts w:ascii="Aptos" w:hAnsi="Aptos" w:cs="Times New Roman"/>
          <w:sz w:val="25"/>
          <w:szCs w:val="25"/>
        </w:rPr>
        <w:t xml:space="preserve"> transfe</w:t>
      </w:r>
      <w:r w:rsidR="00B06D57">
        <w:rPr>
          <w:rFonts w:ascii="Aptos" w:hAnsi="Aptos" w:cs="Times New Roman"/>
          <w:sz w:val="25"/>
          <w:szCs w:val="25"/>
        </w:rPr>
        <w:t xml:space="preserve">r between schools within the District. </w:t>
      </w:r>
      <w:r w:rsidR="00B02D1C">
        <w:rPr>
          <w:rFonts w:ascii="Aptos" w:hAnsi="Aptos" w:cs="Times New Roman"/>
          <w:sz w:val="25"/>
          <w:szCs w:val="25"/>
        </w:rPr>
        <w:t>Worcester’s</w:t>
      </w:r>
      <w:r w:rsidR="00B06D57">
        <w:rPr>
          <w:rFonts w:ascii="Aptos" w:hAnsi="Aptos" w:cs="Times New Roman"/>
          <w:sz w:val="25"/>
          <w:szCs w:val="25"/>
        </w:rPr>
        <w:t xml:space="preserve"> </w:t>
      </w:r>
      <w:r w:rsidR="00B06D57">
        <w:rPr>
          <w:rFonts w:ascii="Aptos" w:hAnsi="Aptos" w:cs="Times New Roman"/>
          <w:i/>
          <w:iCs/>
          <w:sz w:val="25"/>
          <w:szCs w:val="25"/>
        </w:rPr>
        <w:t xml:space="preserve">Motion to Dismiss </w:t>
      </w:r>
      <w:r w:rsidR="00B06D57">
        <w:rPr>
          <w:rFonts w:ascii="Aptos" w:hAnsi="Aptos" w:cs="Times New Roman"/>
          <w:sz w:val="25"/>
          <w:szCs w:val="25"/>
        </w:rPr>
        <w:t xml:space="preserve">is hereby </w:t>
      </w:r>
      <w:r w:rsidR="00860437" w:rsidRPr="009F2251">
        <w:rPr>
          <w:rFonts w:ascii="Aptos" w:hAnsi="Aptos" w:cs="Times New Roman"/>
          <w:sz w:val="25"/>
          <w:szCs w:val="25"/>
        </w:rPr>
        <w:t xml:space="preserve">ALLOWED as to </w:t>
      </w:r>
      <w:r w:rsidR="00323906" w:rsidRPr="009F2251">
        <w:rPr>
          <w:rFonts w:ascii="Aptos" w:hAnsi="Aptos" w:cs="Times New Roman"/>
          <w:sz w:val="25"/>
          <w:szCs w:val="25"/>
        </w:rPr>
        <w:t xml:space="preserve">all </w:t>
      </w:r>
      <w:r w:rsidR="00860437" w:rsidRPr="009F2251">
        <w:rPr>
          <w:rFonts w:ascii="Aptos" w:hAnsi="Aptos" w:cs="Times New Roman"/>
          <w:sz w:val="25"/>
          <w:szCs w:val="25"/>
        </w:rPr>
        <w:t>other claims</w:t>
      </w:r>
      <w:r w:rsidR="00323906" w:rsidRPr="009F2251">
        <w:rPr>
          <w:rFonts w:ascii="Aptos" w:hAnsi="Aptos" w:cs="Times New Roman"/>
          <w:sz w:val="25"/>
          <w:szCs w:val="25"/>
        </w:rPr>
        <w:t>.</w:t>
      </w:r>
    </w:p>
    <w:p w14:paraId="79B00858" w14:textId="0AC354A4" w:rsidR="008811E2" w:rsidRPr="009F2251" w:rsidRDefault="008811E2" w:rsidP="006E3E18">
      <w:pPr>
        <w:pStyle w:val="NoSpacing"/>
        <w:spacing w:before="240"/>
        <w:rPr>
          <w:rFonts w:ascii="Aptos" w:hAnsi="Aptos" w:cs="Times New Roman"/>
          <w:sz w:val="25"/>
          <w:szCs w:val="25"/>
        </w:rPr>
      </w:pPr>
      <w:r>
        <w:rPr>
          <w:rFonts w:ascii="Aptos" w:hAnsi="Aptos" w:cs="Times New Roman"/>
          <w:sz w:val="25"/>
          <w:szCs w:val="25"/>
        </w:rPr>
        <w:tab/>
        <w:t>A Pre-Hearing Conference will take place at 9:00 AM on June 27, 2024 via Zoom, and the Hearing will take place on July 26 and 29, 2024, also via Zoom.</w:t>
      </w:r>
    </w:p>
    <w:p w14:paraId="4DBC3BA7" w14:textId="77777777" w:rsidR="006E3E18" w:rsidRPr="009F2251" w:rsidRDefault="006E3E18" w:rsidP="006E3E18">
      <w:pPr>
        <w:pStyle w:val="NoSpacing"/>
        <w:rPr>
          <w:rFonts w:ascii="Aptos" w:hAnsi="Aptos" w:cs="Times New Roman"/>
          <w:sz w:val="25"/>
          <w:szCs w:val="25"/>
        </w:rPr>
      </w:pPr>
    </w:p>
    <w:p w14:paraId="68C68720" w14:textId="77777777" w:rsidR="006E3E18" w:rsidRPr="009F2251" w:rsidRDefault="006E3E18" w:rsidP="006E3E18">
      <w:pPr>
        <w:pStyle w:val="NoSpacing"/>
        <w:rPr>
          <w:rFonts w:ascii="Aptos" w:hAnsi="Aptos" w:cs="Times New Roman"/>
          <w:sz w:val="25"/>
          <w:szCs w:val="25"/>
        </w:rPr>
      </w:pPr>
    </w:p>
    <w:p w14:paraId="21C3A689" w14:textId="77777777" w:rsidR="006E3E18" w:rsidRDefault="006E3E18" w:rsidP="006E3E18">
      <w:pPr>
        <w:pStyle w:val="NoSpacing"/>
        <w:rPr>
          <w:rFonts w:ascii="Aptos" w:hAnsi="Aptos" w:cs="Times New Roman"/>
          <w:sz w:val="25"/>
          <w:szCs w:val="25"/>
        </w:rPr>
      </w:pPr>
    </w:p>
    <w:p w14:paraId="467E3593" w14:textId="77777777" w:rsidR="00F87FF5" w:rsidRPr="009F2251" w:rsidRDefault="00F87FF5" w:rsidP="006E3E18">
      <w:pPr>
        <w:pStyle w:val="NoSpacing"/>
        <w:rPr>
          <w:rFonts w:ascii="Aptos" w:hAnsi="Aptos" w:cs="Times New Roman"/>
          <w:sz w:val="25"/>
          <w:szCs w:val="25"/>
        </w:rPr>
      </w:pPr>
    </w:p>
    <w:p w14:paraId="1E536AB1" w14:textId="432580DE" w:rsidR="006E3E18" w:rsidRPr="009F2251" w:rsidRDefault="006E3E18" w:rsidP="006E3E18">
      <w:pPr>
        <w:pStyle w:val="NoSpacing"/>
        <w:rPr>
          <w:rFonts w:ascii="Aptos" w:hAnsi="Aptos" w:cs="Times New Roman"/>
          <w:sz w:val="25"/>
          <w:szCs w:val="25"/>
        </w:rPr>
      </w:pPr>
      <w:r w:rsidRPr="009F2251">
        <w:rPr>
          <w:rFonts w:ascii="Aptos" w:hAnsi="Aptos" w:cs="Times New Roman"/>
          <w:sz w:val="25"/>
          <w:szCs w:val="25"/>
        </w:rPr>
        <w:t>By the Hearing Officer:</w:t>
      </w:r>
      <w:r w:rsidR="00B06D57">
        <w:rPr>
          <w:rStyle w:val="FootnoteReference"/>
          <w:rFonts w:ascii="Aptos" w:hAnsi="Aptos" w:cs="Times New Roman"/>
          <w:sz w:val="25"/>
          <w:szCs w:val="25"/>
        </w:rPr>
        <w:footnoteReference w:id="35"/>
      </w:r>
    </w:p>
    <w:p w14:paraId="2E9A28AD" w14:textId="1867002C" w:rsidR="00546EE7" w:rsidRPr="005F32EC" w:rsidRDefault="00546EE7" w:rsidP="00546EE7">
      <w:pPr>
        <w:rPr>
          <w:rFonts w:ascii="Aptos" w:hAnsi="Aptos"/>
          <w:sz w:val="25"/>
          <w:szCs w:val="25"/>
        </w:rPr>
      </w:pPr>
    </w:p>
    <w:p w14:paraId="47C2BA65" w14:textId="7AE4037E" w:rsidR="006E3E18" w:rsidRPr="00546EE7" w:rsidRDefault="00546EE7" w:rsidP="00546EE7">
      <w:pPr>
        <w:rPr>
          <w:rFonts w:ascii="Lucida Handwriting" w:hAnsi="Lucida Handwriting"/>
          <w:sz w:val="25"/>
          <w:u w:val="single"/>
        </w:rPr>
      </w:pPr>
      <w:r w:rsidRPr="00365C93">
        <w:rPr>
          <w:rFonts w:ascii="Lucida Handwriting" w:hAnsi="Lucida Handwriting"/>
          <w:sz w:val="25"/>
          <w:u w:val="single"/>
        </w:rPr>
        <w:t xml:space="preserve">  /s/  </w:t>
      </w:r>
      <w:r w:rsidRPr="00365C93">
        <w:rPr>
          <w:rFonts w:ascii="Lucida Handwriting" w:hAnsi="Lucida Handwriting"/>
          <w:sz w:val="32"/>
          <w:szCs w:val="32"/>
          <w:u w:val="single"/>
        </w:rPr>
        <w:t>Amy Reichbach</w:t>
      </w:r>
      <w:r w:rsidR="006E3E18" w:rsidRPr="009F2251">
        <w:rPr>
          <w:rFonts w:ascii="Aptos" w:hAnsi="Aptos" w:cs="Times New Roman"/>
          <w:sz w:val="25"/>
          <w:szCs w:val="25"/>
        </w:rPr>
        <w:tab/>
      </w:r>
      <w:r w:rsidR="006E3E18" w:rsidRPr="009F2251">
        <w:rPr>
          <w:rFonts w:ascii="Aptos" w:hAnsi="Aptos" w:cs="Times New Roman"/>
          <w:sz w:val="25"/>
          <w:szCs w:val="25"/>
        </w:rPr>
        <w:tab/>
      </w:r>
      <w:r w:rsidR="006E3E18" w:rsidRPr="009F2251">
        <w:rPr>
          <w:rFonts w:ascii="Aptos" w:hAnsi="Aptos" w:cs="Times New Roman"/>
          <w:sz w:val="25"/>
          <w:szCs w:val="25"/>
        </w:rPr>
        <w:tab/>
      </w:r>
      <w:r w:rsidR="006E3E18" w:rsidRPr="009F2251">
        <w:rPr>
          <w:rFonts w:ascii="Aptos" w:hAnsi="Aptos" w:cs="Times New Roman"/>
          <w:sz w:val="25"/>
          <w:szCs w:val="25"/>
        </w:rPr>
        <w:tab/>
      </w:r>
      <w:r w:rsidR="006E3E18" w:rsidRPr="009F2251">
        <w:rPr>
          <w:rFonts w:ascii="Aptos" w:hAnsi="Aptos" w:cs="Times New Roman"/>
          <w:sz w:val="25"/>
          <w:szCs w:val="25"/>
        </w:rPr>
        <w:tab/>
      </w:r>
      <w:r w:rsidR="006E3E18" w:rsidRPr="009F2251">
        <w:rPr>
          <w:rFonts w:ascii="Aptos" w:hAnsi="Aptos" w:cs="Times New Roman"/>
          <w:sz w:val="25"/>
          <w:szCs w:val="25"/>
        </w:rPr>
        <w:tab/>
      </w:r>
      <w:r w:rsidR="006E3E18" w:rsidRPr="009F2251">
        <w:rPr>
          <w:rFonts w:ascii="Aptos" w:hAnsi="Aptos" w:cs="Times New Roman"/>
          <w:sz w:val="25"/>
          <w:szCs w:val="25"/>
        </w:rPr>
        <w:tab/>
      </w:r>
    </w:p>
    <w:p w14:paraId="7A7CF079" w14:textId="5FEDF53B" w:rsidR="006E3E18" w:rsidRPr="009F2251" w:rsidRDefault="00D07762" w:rsidP="006E3E18">
      <w:pPr>
        <w:pStyle w:val="NoSpacing"/>
        <w:rPr>
          <w:rFonts w:ascii="Aptos" w:hAnsi="Aptos" w:cs="Times New Roman"/>
          <w:sz w:val="25"/>
          <w:szCs w:val="25"/>
        </w:rPr>
      </w:pPr>
      <w:r w:rsidRPr="009F2251">
        <w:rPr>
          <w:rFonts w:ascii="Aptos" w:hAnsi="Aptos" w:cs="Times New Roman"/>
          <w:sz w:val="25"/>
          <w:szCs w:val="25"/>
        </w:rPr>
        <w:t>Amy M. Reichbach</w:t>
      </w:r>
    </w:p>
    <w:p w14:paraId="4AC735A7" w14:textId="39CF8545" w:rsidR="009173A6" w:rsidRPr="00B02D1C" w:rsidRDefault="006E3E18" w:rsidP="00755297">
      <w:pPr>
        <w:pStyle w:val="NoSpacing"/>
        <w:rPr>
          <w:rFonts w:ascii="Aptos" w:hAnsi="Aptos" w:cs="Times New Roman"/>
          <w:sz w:val="25"/>
          <w:szCs w:val="25"/>
        </w:rPr>
      </w:pPr>
      <w:r w:rsidRPr="009F2251">
        <w:rPr>
          <w:rFonts w:ascii="Aptos" w:hAnsi="Aptos" w:cs="Times New Roman"/>
          <w:sz w:val="25"/>
          <w:szCs w:val="25"/>
        </w:rPr>
        <w:t xml:space="preserve">Dated: </w:t>
      </w:r>
      <w:r w:rsidR="002C76F6" w:rsidRPr="009F2251">
        <w:rPr>
          <w:rFonts w:ascii="Aptos" w:hAnsi="Aptos" w:cs="Times New Roman"/>
          <w:sz w:val="25"/>
          <w:szCs w:val="25"/>
        </w:rPr>
        <w:t xml:space="preserve">June </w:t>
      </w:r>
      <w:r w:rsidR="00B06D57">
        <w:rPr>
          <w:rFonts w:ascii="Aptos" w:hAnsi="Aptos" w:cs="Times New Roman"/>
          <w:sz w:val="25"/>
          <w:szCs w:val="25"/>
        </w:rPr>
        <w:t>2</w:t>
      </w:r>
      <w:r w:rsidR="0032713E">
        <w:rPr>
          <w:rFonts w:ascii="Aptos" w:hAnsi="Aptos" w:cs="Times New Roman"/>
          <w:sz w:val="25"/>
          <w:szCs w:val="25"/>
        </w:rPr>
        <w:t>4</w:t>
      </w:r>
      <w:r w:rsidR="00B06D57">
        <w:rPr>
          <w:rFonts w:ascii="Aptos" w:hAnsi="Aptos" w:cs="Times New Roman"/>
          <w:sz w:val="25"/>
          <w:szCs w:val="25"/>
        </w:rPr>
        <w:t>, 2024</w:t>
      </w:r>
    </w:p>
    <w:sectPr w:rsidR="009173A6" w:rsidRPr="00B02D1C" w:rsidSect="0083557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86A72" w14:textId="77777777" w:rsidR="00581DFF" w:rsidRDefault="00581DFF" w:rsidP="008A4F3D">
      <w:r>
        <w:separator/>
      </w:r>
    </w:p>
  </w:endnote>
  <w:endnote w:type="continuationSeparator" w:id="0">
    <w:p w14:paraId="0E001496" w14:textId="77777777" w:rsidR="00581DFF" w:rsidRDefault="00581DFF" w:rsidP="008A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49933308"/>
      <w:docPartObj>
        <w:docPartGallery w:val="Page Numbers (Bottom of Page)"/>
        <w:docPartUnique/>
      </w:docPartObj>
    </w:sdtPr>
    <w:sdtContent>
      <w:p w14:paraId="593941E6" w14:textId="52E48EA1" w:rsidR="005C2650" w:rsidRDefault="005C2650" w:rsidP="008E30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F7104E" w14:textId="77777777" w:rsidR="005C2650" w:rsidRDefault="005C2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ptos Display" w:hAnsi="Aptos Display"/>
      </w:rPr>
      <w:id w:val="-50769054"/>
      <w:docPartObj>
        <w:docPartGallery w:val="Page Numbers (Bottom of Page)"/>
        <w:docPartUnique/>
      </w:docPartObj>
    </w:sdtPr>
    <w:sdtContent>
      <w:p w14:paraId="2A219B03" w14:textId="67096DBA" w:rsidR="005C2650" w:rsidRPr="00122451" w:rsidRDefault="005C2650" w:rsidP="008E305B">
        <w:pPr>
          <w:pStyle w:val="Footer"/>
          <w:framePr w:wrap="none" w:vAnchor="text" w:hAnchor="margin" w:xAlign="center" w:y="1"/>
          <w:rPr>
            <w:rStyle w:val="PageNumber"/>
            <w:rFonts w:ascii="Aptos Display" w:hAnsi="Aptos Display"/>
          </w:rPr>
        </w:pPr>
        <w:r w:rsidRPr="00122451">
          <w:rPr>
            <w:rStyle w:val="PageNumber"/>
            <w:rFonts w:ascii="Aptos Display" w:hAnsi="Aptos Display"/>
          </w:rPr>
          <w:fldChar w:fldCharType="begin"/>
        </w:r>
        <w:r w:rsidRPr="00122451">
          <w:rPr>
            <w:rStyle w:val="PageNumber"/>
            <w:rFonts w:ascii="Aptos Display" w:hAnsi="Aptos Display"/>
          </w:rPr>
          <w:instrText xml:space="preserve"> PAGE </w:instrText>
        </w:r>
        <w:r w:rsidRPr="00122451">
          <w:rPr>
            <w:rStyle w:val="PageNumber"/>
            <w:rFonts w:ascii="Aptos Display" w:hAnsi="Aptos Display"/>
          </w:rPr>
          <w:fldChar w:fldCharType="separate"/>
        </w:r>
        <w:r w:rsidRPr="00122451">
          <w:rPr>
            <w:rStyle w:val="PageNumber"/>
            <w:rFonts w:ascii="Aptos Display" w:hAnsi="Aptos Display"/>
            <w:noProof/>
          </w:rPr>
          <w:t>1</w:t>
        </w:r>
        <w:r w:rsidRPr="00122451">
          <w:rPr>
            <w:rStyle w:val="PageNumber"/>
            <w:rFonts w:ascii="Aptos Display" w:hAnsi="Aptos Display"/>
          </w:rPr>
          <w:fldChar w:fldCharType="end"/>
        </w:r>
      </w:p>
    </w:sdtContent>
  </w:sdt>
  <w:p w14:paraId="6ACF3498" w14:textId="77777777" w:rsidR="005C2650" w:rsidRDefault="005C2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6EE93" w14:textId="77777777" w:rsidR="00581DFF" w:rsidRDefault="00581DFF" w:rsidP="008A4F3D">
      <w:r>
        <w:separator/>
      </w:r>
    </w:p>
  </w:footnote>
  <w:footnote w:type="continuationSeparator" w:id="0">
    <w:p w14:paraId="12839D64" w14:textId="77777777" w:rsidR="00581DFF" w:rsidRDefault="00581DFF" w:rsidP="008A4F3D">
      <w:r>
        <w:continuationSeparator/>
      </w:r>
    </w:p>
  </w:footnote>
  <w:footnote w:id="1">
    <w:p w14:paraId="72CD6FDD" w14:textId="2918EC8C" w:rsidR="002F69AD" w:rsidRPr="009F2251" w:rsidRDefault="002F69AD">
      <w:pPr>
        <w:pStyle w:val="FootnoteText"/>
        <w:rPr>
          <w:rFonts w:ascii="Aptos" w:hAnsi="Aptos"/>
          <w:sz w:val="20"/>
          <w:szCs w:val="20"/>
        </w:rPr>
      </w:pPr>
      <w:r w:rsidRPr="009F2251">
        <w:rPr>
          <w:rStyle w:val="FootnoteReference"/>
          <w:rFonts w:ascii="Aptos" w:hAnsi="Aptos"/>
          <w:sz w:val="20"/>
          <w:szCs w:val="20"/>
        </w:rPr>
        <w:footnoteRef/>
      </w:r>
      <w:r w:rsidRPr="009F2251">
        <w:rPr>
          <w:rFonts w:ascii="Aptos" w:hAnsi="Aptos"/>
          <w:sz w:val="20"/>
          <w:szCs w:val="20"/>
        </w:rPr>
        <w:t xml:space="preserve"> “</w:t>
      </w:r>
      <w:r w:rsidR="00DD3556">
        <w:rPr>
          <w:rFonts w:ascii="Aptos" w:hAnsi="Aptos"/>
          <w:sz w:val="20"/>
          <w:szCs w:val="20"/>
        </w:rPr>
        <w:t>Delilah</w:t>
      </w:r>
      <w:r w:rsidRPr="009F2251">
        <w:rPr>
          <w:rFonts w:ascii="Aptos" w:hAnsi="Aptos"/>
          <w:sz w:val="20"/>
          <w:szCs w:val="20"/>
        </w:rPr>
        <w:t>” is a pseudonym chosen by the Hearing Officer to protect the privacy of the Student in the documents available to the public.</w:t>
      </w:r>
    </w:p>
  </w:footnote>
  <w:footnote w:id="2">
    <w:p w14:paraId="70665E4A" w14:textId="746EC701" w:rsidR="00CC3B02" w:rsidRPr="00CC3B02" w:rsidRDefault="00CC3B02">
      <w:pPr>
        <w:pStyle w:val="FootnoteText"/>
        <w:rPr>
          <w:rFonts w:ascii="Aptos" w:hAnsi="Aptos"/>
          <w:sz w:val="20"/>
          <w:szCs w:val="20"/>
        </w:rPr>
      </w:pPr>
      <w:r w:rsidRPr="00CC3B02">
        <w:rPr>
          <w:rStyle w:val="FootnoteReference"/>
          <w:rFonts w:ascii="Aptos" w:hAnsi="Aptos"/>
          <w:sz w:val="20"/>
          <w:szCs w:val="20"/>
        </w:rPr>
        <w:footnoteRef/>
      </w:r>
      <w:r w:rsidRPr="00CC3B02">
        <w:rPr>
          <w:rFonts w:ascii="Aptos" w:hAnsi="Aptos"/>
          <w:sz w:val="20"/>
          <w:szCs w:val="20"/>
        </w:rPr>
        <w:t xml:space="preserve"> According to Parents’ </w:t>
      </w:r>
      <w:r w:rsidRPr="00CC3B02">
        <w:rPr>
          <w:rFonts w:ascii="Aptos" w:hAnsi="Aptos"/>
          <w:i/>
          <w:iCs/>
          <w:sz w:val="20"/>
          <w:szCs w:val="20"/>
        </w:rPr>
        <w:t>Amended Hearing Request</w:t>
      </w:r>
      <w:r w:rsidRPr="00CC3B02">
        <w:rPr>
          <w:rFonts w:ascii="Aptos" w:hAnsi="Aptos"/>
          <w:sz w:val="20"/>
          <w:szCs w:val="20"/>
        </w:rPr>
        <w:t>, on the day Delilah was bullied on the playground</w:t>
      </w:r>
      <w:r>
        <w:rPr>
          <w:rFonts w:ascii="Aptos" w:hAnsi="Aptos"/>
          <w:sz w:val="20"/>
          <w:szCs w:val="20"/>
        </w:rPr>
        <w:t xml:space="preserve"> </w:t>
      </w:r>
      <w:r w:rsidRPr="00CC3B02">
        <w:rPr>
          <w:rFonts w:ascii="Aptos" w:hAnsi="Aptos"/>
          <w:sz w:val="20"/>
          <w:szCs w:val="20"/>
        </w:rPr>
        <w:t>she refused to talk to the bus driver and monitor, who both noticed that her pants had been ripped.</w:t>
      </w:r>
    </w:p>
  </w:footnote>
  <w:footnote w:id="3">
    <w:p w14:paraId="6D68BFAF" w14:textId="02931E25" w:rsidR="00756E31" w:rsidRPr="009F2251" w:rsidRDefault="00756E31" w:rsidP="00756E31">
      <w:pPr>
        <w:pStyle w:val="FootnoteText"/>
        <w:rPr>
          <w:rFonts w:ascii="Aptos" w:hAnsi="Aptos"/>
          <w:sz w:val="20"/>
          <w:szCs w:val="20"/>
        </w:rPr>
      </w:pPr>
      <w:r w:rsidRPr="009F2251">
        <w:rPr>
          <w:rStyle w:val="FootnoteReference"/>
          <w:rFonts w:ascii="Aptos" w:hAnsi="Aptos"/>
          <w:sz w:val="20"/>
          <w:szCs w:val="20"/>
        </w:rPr>
        <w:footnoteRef/>
      </w:r>
      <w:r w:rsidRPr="009F2251">
        <w:rPr>
          <w:rFonts w:ascii="Aptos" w:hAnsi="Aptos"/>
          <w:sz w:val="20"/>
          <w:szCs w:val="20"/>
        </w:rPr>
        <w:t xml:space="preserve"> Further contributing to </w:t>
      </w:r>
      <w:r>
        <w:rPr>
          <w:rFonts w:ascii="Aptos" w:hAnsi="Aptos"/>
          <w:sz w:val="20"/>
          <w:szCs w:val="20"/>
        </w:rPr>
        <w:t>Delilah</w:t>
      </w:r>
      <w:r w:rsidRPr="009F2251">
        <w:rPr>
          <w:rFonts w:ascii="Aptos" w:hAnsi="Aptos"/>
          <w:sz w:val="20"/>
          <w:szCs w:val="20"/>
        </w:rPr>
        <w:t xml:space="preserve">’s fear of returning to school, Parents state that on April 23, 2024, after </w:t>
      </w:r>
      <w:r>
        <w:rPr>
          <w:rFonts w:ascii="Aptos" w:hAnsi="Aptos"/>
          <w:sz w:val="20"/>
          <w:szCs w:val="20"/>
        </w:rPr>
        <w:t>Delilah</w:t>
      </w:r>
      <w:r w:rsidRPr="009F2251">
        <w:rPr>
          <w:rFonts w:ascii="Aptos" w:hAnsi="Aptos"/>
          <w:sz w:val="20"/>
          <w:szCs w:val="20"/>
        </w:rPr>
        <w:t xml:space="preserve"> wet her pants, an Instructional Assistant denied her access to the nurse’s office and instead gave her “boys’ underwear” to wear. Since then, </w:t>
      </w:r>
      <w:r>
        <w:rPr>
          <w:rFonts w:ascii="Aptos" w:hAnsi="Aptos"/>
          <w:sz w:val="20"/>
          <w:szCs w:val="20"/>
        </w:rPr>
        <w:t>Delilah</w:t>
      </w:r>
      <w:r w:rsidRPr="009F2251">
        <w:rPr>
          <w:rFonts w:ascii="Aptos" w:hAnsi="Aptos"/>
          <w:sz w:val="20"/>
          <w:szCs w:val="20"/>
        </w:rPr>
        <w:t xml:space="preserve"> has repeatedly asked if she must wear “boys’ underwear” when getting dressed for school, indicating that “[t]his incident has stayed with her.” </w:t>
      </w:r>
    </w:p>
  </w:footnote>
  <w:footnote w:id="4">
    <w:p w14:paraId="4040D0B5" w14:textId="77777777" w:rsidR="001B22E2" w:rsidRPr="009F2251" w:rsidRDefault="001B22E2" w:rsidP="001B22E2">
      <w:pPr>
        <w:pStyle w:val="FootnoteText"/>
        <w:rPr>
          <w:rFonts w:ascii="Aptos" w:hAnsi="Aptos" w:cs="Times New Roman"/>
          <w:sz w:val="20"/>
          <w:szCs w:val="20"/>
        </w:rPr>
      </w:pPr>
      <w:r w:rsidRPr="009F2251">
        <w:rPr>
          <w:rStyle w:val="FootnoteReference"/>
          <w:rFonts w:ascii="Aptos" w:hAnsi="Aptos" w:cs="Times New Roman"/>
          <w:sz w:val="20"/>
          <w:szCs w:val="20"/>
        </w:rPr>
        <w:footnoteRef/>
      </w:r>
      <w:r w:rsidRPr="009F2251">
        <w:rPr>
          <w:rFonts w:ascii="Aptos" w:hAnsi="Aptos" w:cs="Times New Roman"/>
          <w:sz w:val="20"/>
          <w:szCs w:val="20"/>
        </w:rPr>
        <w:t xml:space="preserve"> </w:t>
      </w:r>
      <w:r w:rsidRPr="009F2251">
        <w:rPr>
          <w:rFonts w:ascii="Aptos" w:hAnsi="Aptos" w:cs="Times New Roman"/>
          <w:i/>
          <w:sz w:val="20"/>
          <w:szCs w:val="20"/>
        </w:rPr>
        <w:t>Iannocchino v. Ford Motor Co.</w:t>
      </w:r>
      <w:r w:rsidRPr="009F2251">
        <w:rPr>
          <w:rFonts w:ascii="Aptos" w:hAnsi="Aptos" w:cs="Times New Roman"/>
          <w:sz w:val="20"/>
          <w:szCs w:val="20"/>
        </w:rPr>
        <w:t xml:space="preserve">, 451 Mass. 623, 636 (2008) (quoting </w:t>
      </w:r>
      <w:r w:rsidRPr="009F2251">
        <w:rPr>
          <w:rFonts w:ascii="Aptos" w:hAnsi="Aptos" w:cs="Times New Roman"/>
          <w:i/>
          <w:sz w:val="20"/>
          <w:szCs w:val="20"/>
        </w:rPr>
        <w:t>Bell Atl. Corp. v. Twombly</w:t>
      </w:r>
      <w:r w:rsidRPr="009F2251">
        <w:rPr>
          <w:rFonts w:ascii="Aptos" w:hAnsi="Aptos" w:cs="Times New Roman"/>
          <w:sz w:val="20"/>
          <w:szCs w:val="20"/>
        </w:rPr>
        <w:t xml:space="preserve">, 550 U.S. 544, 557 (2007)).   </w:t>
      </w:r>
    </w:p>
  </w:footnote>
  <w:footnote w:id="5">
    <w:p w14:paraId="1193749E" w14:textId="62C55270" w:rsidR="001B22E2" w:rsidRPr="009F2251" w:rsidRDefault="001B22E2" w:rsidP="001B22E2">
      <w:pPr>
        <w:pStyle w:val="FootnoteText"/>
        <w:tabs>
          <w:tab w:val="left" w:pos="7200"/>
        </w:tabs>
        <w:rPr>
          <w:rFonts w:ascii="Aptos" w:hAnsi="Aptos" w:cs="Times New Roman"/>
          <w:sz w:val="20"/>
          <w:szCs w:val="20"/>
        </w:rPr>
      </w:pPr>
      <w:r w:rsidRPr="009F2251">
        <w:rPr>
          <w:rStyle w:val="FootnoteReference"/>
          <w:rFonts w:ascii="Aptos" w:hAnsi="Aptos" w:cs="Times New Roman"/>
          <w:sz w:val="20"/>
          <w:szCs w:val="20"/>
        </w:rPr>
        <w:footnoteRef/>
      </w:r>
      <w:r w:rsidRPr="009F2251">
        <w:rPr>
          <w:rFonts w:ascii="Aptos" w:hAnsi="Aptos" w:cs="Times New Roman"/>
          <w:sz w:val="20"/>
          <w:szCs w:val="20"/>
        </w:rPr>
        <w:t xml:space="preserve"> </w:t>
      </w:r>
      <w:r w:rsidRPr="009F2251">
        <w:rPr>
          <w:rFonts w:ascii="Aptos" w:hAnsi="Aptos" w:cs="Times New Roman"/>
          <w:i/>
          <w:sz w:val="20"/>
          <w:szCs w:val="20"/>
        </w:rPr>
        <w:t>Blank v. Chelmsford Ob/Gyn, P.C.</w:t>
      </w:r>
      <w:r w:rsidRPr="009F2251">
        <w:rPr>
          <w:rFonts w:ascii="Aptos" w:hAnsi="Aptos" w:cs="Times New Roman"/>
          <w:sz w:val="20"/>
          <w:szCs w:val="20"/>
        </w:rPr>
        <w:t>, 420 Mass. 404, 407 (1995)</w:t>
      </w:r>
      <w:r w:rsidR="00DF25A6" w:rsidRPr="009F2251">
        <w:rPr>
          <w:rFonts w:ascii="Aptos" w:hAnsi="Aptos" w:cs="Times New Roman"/>
          <w:sz w:val="20"/>
          <w:szCs w:val="20"/>
        </w:rPr>
        <w:t>.</w:t>
      </w:r>
      <w:r w:rsidRPr="009F2251">
        <w:rPr>
          <w:rFonts w:ascii="Aptos" w:hAnsi="Aptos" w:cs="Times New Roman"/>
          <w:sz w:val="20"/>
          <w:szCs w:val="20"/>
        </w:rPr>
        <w:tab/>
      </w:r>
    </w:p>
  </w:footnote>
  <w:footnote w:id="6">
    <w:p w14:paraId="60ED821A" w14:textId="38398A60" w:rsidR="001B22E2" w:rsidRPr="009F2251" w:rsidRDefault="001B22E2" w:rsidP="001B22E2">
      <w:pPr>
        <w:pStyle w:val="FootnoteText"/>
        <w:rPr>
          <w:rFonts w:ascii="Aptos" w:hAnsi="Aptos" w:cs="Times New Roman"/>
          <w:sz w:val="20"/>
          <w:szCs w:val="20"/>
        </w:rPr>
      </w:pPr>
      <w:r w:rsidRPr="009F2251">
        <w:rPr>
          <w:rStyle w:val="FootnoteReference"/>
          <w:rFonts w:ascii="Aptos" w:hAnsi="Aptos" w:cs="Times New Roman"/>
          <w:sz w:val="20"/>
          <w:szCs w:val="20"/>
        </w:rPr>
        <w:footnoteRef/>
      </w:r>
      <w:r w:rsidRPr="009F2251">
        <w:rPr>
          <w:rFonts w:ascii="Aptos" w:hAnsi="Aptos" w:cs="Times New Roman"/>
          <w:sz w:val="20"/>
          <w:szCs w:val="20"/>
        </w:rPr>
        <w:t xml:space="preserve"> </w:t>
      </w:r>
      <w:r w:rsidRPr="009F2251">
        <w:rPr>
          <w:rFonts w:ascii="Aptos" w:hAnsi="Aptos" w:cs="Times New Roman"/>
          <w:i/>
          <w:sz w:val="20"/>
          <w:szCs w:val="20"/>
        </w:rPr>
        <w:t>Golchin v. Liberty Mut. Ins. Co.</w:t>
      </w:r>
      <w:r w:rsidRPr="009F2251">
        <w:rPr>
          <w:rFonts w:ascii="Aptos" w:hAnsi="Aptos" w:cs="Times New Roman"/>
          <w:sz w:val="20"/>
          <w:szCs w:val="20"/>
        </w:rPr>
        <w:t>, 460 Mass. 222, 223 (2011) (internal quotation marks and citations omitted)</w:t>
      </w:r>
      <w:r w:rsidR="00A50159" w:rsidRPr="009F2251">
        <w:rPr>
          <w:rFonts w:ascii="Aptos" w:hAnsi="Aptos" w:cs="Times New Roman"/>
          <w:sz w:val="20"/>
          <w:szCs w:val="20"/>
        </w:rPr>
        <w:t xml:space="preserve">; </w:t>
      </w:r>
      <w:r w:rsidR="00F85DBA" w:rsidRPr="009F2251">
        <w:rPr>
          <w:rFonts w:ascii="Aptos" w:hAnsi="Aptos" w:cs="Times New Roman"/>
          <w:sz w:val="20"/>
          <w:szCs w:val="20"/>
        </w:rPr>
        <w:t xml:space="preserve">see </w:t>
      </w:r>
      <w:r w:rsidR="00A50159" w:rsidRPr="009F2251">
        <w:rPr>
          <w:rFonts w:ascii="Aptos" w:hAnsi="Aptos" w:cs="Times New Roman"/>
          <w:i/>
          <w:iCs/>
          <w:sz w:val="20"/>
          <w:szCs w:val="20"/>
        </w:rPr>
        <w:t>Ocasio-Hernandez v. Fortuno-Burset,</w:t>
      </w:r>
      <w:r w:rsidR="00A50159" w:rsidRPr="009F2251">
        <w:rPr>
          <w:rFonts w:ascii="Aptos" w:hAnsi="Aptos" w:cs="Times New Roman"/>
          <w:sz w:val="20"/>
          <w:szCs w:val="20"/>
        </w:rPr>
        <w:t xml:space="preserve"> 640 F.3d 1, 1</w:t>
      </w:r>
      <w:r w:rsidR="007750A2" w:rsidRPr="009F2251">
        <w:rPr>
          <w:rFonts w:ascii="Aptos" w:hAnsi="Aptos" w:cs="Times New Roman"/>
          <w:sz w:val="20"/>
          <w:szCs w:val="20"/>
        </w:rPr>
        <w:t>2</w:t>
      </w:r>
      <w:r w:rsidR="00A50159" w:rsidRPr="009F2251">
        <w:rPr>
          <w:rFonts w:ascii="Aptos" w:hAnsi="Aptos" w:cs="Times New Roman"/>
          <w:sz w:val="20"/>
          <w:szCs w:val="20"/>
        </w:rPr>
        <w:t xml:space="preserve"> (1st Cir. 2011)</w:t>
      </w:r>
      <w:r w:rsidR="00F85DBA" w:rsidRPr="009F2251">
        <w:rPr>
          <w:rFonts w:ascii="Aptos" w:hAnsi="Aptos" w:cs="Times New Roman"/>
          <w:sz w:val="20"/>
          <w:szCs w:val="20"/>
        </w:rPr>
        <w:t xml:space="preserve"> (internal citation omitted)</w:t>
      </w:r>
      <w:r w:rsidR="00A50159" w:rsidRPr="009F2251">
        <w:rPr>
          <w:rFonts w:ascii="Aptos" w:hAnsi="Aptos" w:cs="Times New Roman"/>
          <w:sz w:val="20"/>
          <w:szCs w:val="20"/>
        </w:rPr>
        <w:t xml:space="preserve"> (“in order to ‘show’ an entitlement to relief a complaint must contain enough factual material ‘to raise a right to relief above the speculative level on the assumption that all the allegations in the complaint are true (even if doubtful in fact)’”).</w:t>
      </w:r>
    </w:p>
  </w:footnote>
  <w:footnote w:id="7">
    <w:p w14:paraId="12A4FBD6" w14:textId="77777777" w:rsidR="001B22E2" w:rsidRPr="009F2251" w:rsidRDefault="001B22E2" w:rsidP="001B22E2">
      <w:pPr>
        <w:pStyle w:val="FootnoteText"/>
        <w:rPr>
          <w:rFonts w:ascii="Aptos" w:hAnsi="Aptos" w:cs="Times New Roman"/>
          <w:sz w:val="20"/>
          <w:szCs w:val="20"/>
        </w:rPr>
      </w:pPr>
      <w:r w:rsidRPr="009F2251">
        <w:rPr>
          <w:rStyle w:val="FootnoteReference"/>
          <w:rFonts w:ascii="Aptos" w:hAnsi="Aptos" w:cs="Times New Roman"/>
          <w:sz w:val="20"/>
          <w:szCs w:val="20"/>
        </w:rPr>
        <w:footnoteRef/>
      </w:r>
      <w:r w:rsidRPr="009F2251">
        <w:rPr>
          <w:rFonts w:ascii="Aptos" w:hAnsi="Aptos" w:cs="Times New Roman"/>
          <w:sz w:val="20"/>
          <w:szCs w:val="20"/>
        </w:rPr>
        <w:t xml:space="preserve"> See </w:t>
      </w:r>
      <w:r w:rsidRPr="009F2251">
        <w:rPr>
          <w:rFonts w:ascii="Aptos" w:hAnsi="Aptos" w:cs="Times New Roman"/>
          <w:i/>
          <w:sz w:val="20"/>
          <w:szCs w:val="20"/>
          <w:shd w:val="clear" w:color="auto" w:fill="FFFFFF"/>
        </w:rPr>
        <w:t>Ahmed v. Rosenblatt</w:t>
      </w:r>
      <w:r w:rsidRPr="009F2251">
        <w:rPr>
          <w:rFonts w:ascii="Aptos" w:hAnsi="Aptos" w:cs="Times New Roman"/>
          <w:sz w:val="20"/>
          <w:szCs w:val="20"/>
          <w:shd w:val="clear" w:color="auto" w:fill="FFFFFF"/>
        </w:rPr>
        <w:t>, 118 F.3d 886, 890 (1st Cir. 1997).</w:t>
      </w:r>
    </w:p>
  </w:footnote>
  <w:footnote w:id="8">
    <w:p w14:paraId="5E5DF2CB" w14:textId="77777777" w:rsidR="001B22E2" w:rsidRPr="009F2251" w:rsidRDefault="001B22E2" w:rsidP="001B22E2">
      <w:pPr>
        <w:pStyle w:val="FootnoteText"/>
        <w:rPr>
          <w:rFonts w:ascii="Aptos" w:hAnsi="Aptos" w:cs="Times New Roman"/>
          <w:i/>
          <w:sz w:val="20"/>
          <w:szCs w:val="20"/>
        </w:rPr>
      </w:pPr>
      <w:r w:rsidRPr="009F2251">
        <w:rPr>
          <w:rStyle w:val="FootnoteReference"/>
          <w:rFonts w:ascii="Aptos" w:hAnsi="Aptos" w:cs="Times New Roman"/>
          <w:sz w:val="20"/>
          <w:szCs w:val="20"/>
        </w:rPr>
        <w:footnoteRef/>
      </w:r>
      <w:r w:rsidRPr="009F2251">
        <w:rPr>
          <w:rFonts w:ascii="Aptos" w:hAnsi="Aptos" w:cs="Times New Roman"/>
          <w:sz w:val="20"/>
          <w:szCs w:val="20"/>
        </w:rPr>
        <w:t xml:space="preserve"> </w:t>
      </w:r>
      <w:r w:rsidRPr="009F2251">
        <w:rPr>
          <w:rFonts w:ascii="Aptos" w:hAnsi="Aptos" w:cs="Times New Roman"/>
          <w:i/>
          <w:sz w:val="20"/>
          <w:szCs w:val="20"/>
        </w:rPr>
        <w:t>Id.</w:t>
      </w:r>
    </w:p>
  </w:footnote>
  <w:footnote w:id="9">
    <w:p w14:paraId="55383C79" w14:textId="77777777" w:rsidR="001B22E2" w:rsidRPr="009F2251" w:rsidRDefault="001B22E2" w:rsidP="001B22E2">
      <w:pPr>
        <w:pStyle w:val="FootnoteText"/>
        <w:rPr>
          <w:rFonts w:ascii="Aptos" w:hAnsi="Aptos"/>
          <w:i/>
          <w:sz w:val="20"/>
          <w:szCs w:val="20"/>
        </w:rPr>
      </w:pPr>
      <w:r w:rsidRPr="009F2251">
        <w:rPr>
          <w:rStyle w:val="FootnoteReference"/>
          <w:rFonts w:ascii="Aptos" w:hAnsi="Aptos" w:cs="Times New Roman"/>
          <w:sz w:val="20"/>
          <w:szCs w:val="20"/>
        </w:rPr>
        <w:footnoteRef/>
      </w:r>
      <w:r w:rsidRPr="009F2251">
        <w:rPr>
          <w:rFonts w:ascii="Aptos" w:hAnsi="Aptos" w:cs="Times New Roman"/>
          <w:sz w:val="20"/>
          <w:szCs w:val="20"/>
        </w:rPr>
        <w:t xml:space="preserve"> </w:t>
      </w:r>
      <w:r w:rsidRPr="009F2251">
        <w:rPr>
          <w:rFonts w:ascii="Aptos" w:hAnsi="Aptos" w:cs="Times New Roman"/>
          <w:i/>
          <w:sz w:val="20"/>
          <w:szCs w:val="20"/>
        </w:rPr>
        <w:t>Id.</w:t>
      </w:r>
    </w:p>
  </w:footnote>
  <w:footnote w:id="10">
    <w:p w14:paraId="6974C8EB" w14:textId="77777777" w:rsidR="001B22E2" w:rsidRPr="009F2251" w:rsidRDefault="001B22E2" w:rsidP="001B22E2">
      <w:pPr>
        <w:pStyle w:val="FootnoteText"/>
        <w:rPr>
          <w:rFonts w:ascii="Aptos" w:hAnsi="Aptos" w:cs="Times New Roman"/>
          <w:sz w:val="20"/>
          <w:szCs w:val="20"/>
        </w:rPr>
      </w:pPr>
      <w:r w:rsidRPr="009F2251">
        <w:rPr>
          <w:rStyle w:val="FootnoteReference"/>
          <w:rFonts w:ascii="Aptos" w:hAnsi="Aptos" w:cs="Times New Roman"/>
          <w:sz w:val="20"/>
          <w:szCs w:val="20"/>
        </w:rPr>
        <w:footnoteRef/>
      </w:r>
      <w:r w:rsidRPr="009F2251">
        <w:rPr>
          <w:rFonts w:ascii="Aptos" w:hAnsi="Aptos" w:cs="Times New Roman"/>
          <w:sz w:val="20"/>
          <w:szCs w:val="20"/>
        </w:rPr>
        <w:t xml:space="preserve"> 20 U.S.C. § 1415(b)(6).</w:t>
      </w:r>
    </w:p>
  </w:footnote>
  <w:footnote w:id="11">
    <w:p w14:paraId="404CCCD7" w14:textId="4EEE6EA4" w:rsidR="001B22E2" w:rsidRPr="00792381" w:rsidRDefault="001B22E2" w:rsidP="001B22E2">
      <w:pPr>
        <w:pStyle w:val="FootnoteText"/>
        <w:rPr>
          <w:rFonts w:ascii="Aptos" w:hAnsi="Aptos" w:cs="Times New Roman"/>
          <w:sz w:val="20"/>
          <w:szCs w:val="20"/>
        </w:rPr>
      </w:pPr>
      <w:r w:rsidRPr="00792381">
        <w:rPr>
          <w:rStyle w:val="FootnoteReference"/>
          <w:rFonts w:ascii="Aptos" w:hAnsi="Aptos" w:cs="Times New Roman"/>
          <w:sz w:val="20"/>
          <w:szCs w:val="20"/>
        </w:rPr>
        <w:footnoteRef/>
      </w:r>
      <w:r w:rsidRPr="00792381">
        <w:rPr>
          <w:rFonts w:ascii="Aptos" w:hAnsi="Aptos" w:cs="Times New Roman"/>
          <w:sz w:val="20"/>
          <w:szCs w:val="20"/>
        </w:rPr>
        <w:t xml:space="preserve"> 603 CMR 28.08(3)(a).</w:t>
      </w:r>
      <w:r w:rsidR="00756E31">
        <w:rPr>
          <w:rFonts w:ascii="Aptos" w:hAnsi="Aptos" w:cs="Times New Roman"/>
          <w:sz w:val="20"/>
          <w:szCs w:val="20"/>
        </w:rPr>
        <w:t xml:space="preserve"> Sections 3(c) and 3(d) of 603 CMR 28.08 contain certain exceptions</w:t>
      </w:r>
      <w:r w:rsidR="0032713E">
        <w:rPr>
          <w:rFonts w:ascii="Aptos" w:hAnsi="Aptos" w:cs="Times New Roman"/>
          <w:sz w:val="20"/>
          <w:szCs w:val="20"/>
        </w:rPr>
        <w:t xml:space="preserve"> that do not apply here.</w:t>
      </w:r>
    </w:p>
  </w:footnote>
  <w:footnote w:id="12">
    <w:p w14:paraId="41C9D418" w14:textId="5C8944B0" w:rsidR="00FE40EA" w:rsidRPr="00B1215F" w:rsidRDefault="00FE40EA">
      <w:pPr>
        <w:pStyle w:val="FootnoteText"/>
        <w:rPr>
          <w:rFonts w:ascii="Aptos" w:hAnsi="Aptos"/>
          <w:sz w:val="20"/>
          <w:szCs w:val="20"/>
        </w:rPr>
      </w:pPr>
      <w:r w:rsidRPr="00792381">
        <w:rPr>
          <w:rStyle w:val="FootnoteReference"/>
          <w:rFonts w:ascii="Aptos" w:hAnsi="Aptos"/>
          <w:sz w:val="20"/>
          <w:szCs w:val="20"/>
        </w:rPr>
        <w:footnoteRef/>
      </w:r>
      <w:r w:rsidRPr="00792381">
        <w:rPr>
          <w:rFonts w:ascii="Aptos" w:hAnsi="Aptos"/>
          <w:sz w:val="20"/>
          <w:szCs w:val="20"/>
        </w:rPr>
        <w:t xml:space="preserve"> </w:t>
      </w:r>
      <w:r w:rsidRPr="00792381">
        <w:rPr>
          <w:rFonts w:ascii="Aptos" w:hAnsi="Aptos" w:cs="Times New Roman"/>
          <w:sz w:val="20"/>
          <w:szCs w:val="20"/>
        </w:rPr>
        <w:t xml:space="preserve">See </w:t>
      </w:r>
      <w:r w:rsidRPr="00792381">
        <w:rPr>
          <w:rFonts w:ascii="Aptos" w:hAnsi="Aptos" w:cs="Times New Roman"/>
          <w:i/>
          <w:iCs/>
          <w:sz w:val="20"/>
          <w:szCs w:val="20"/>
        </w:rPr>
        <w:t>Perez v. Sturgis Public Schools</w:t>
      </w:r>
      <w:r w:rsidRPr="00792381">
        <w:rPr>
          <w:rFonts w:ascii="Aptos" w:hAnsi="Aptos" w:cs="Times New Roman"/>
          <w:sz w:val="20"/>
          <w:szCs w:val="20"/>
        </w:rPr>
        <w:t xml:space="preserve">, 598 U.S. 142, 147-48 (2023) (“The statute’s administrative exhaustion requirement applies </w:t>
      </w:r>
      <w:r w:rsidRPr="00792381">
        <w:rPr>
          <w:rFonts w:ascii="Aptos" w:hAnsi="Aptos" w:cs="Times New Roman"/>
          <w:i/>
          <w:iCs/>
          <w:sz w:val="20"/>
          <w:szCs w:val="20"/>
        </w:rPr>
        <w:t xml:space="preserve">only </w:t>
      </w:r>
      <w:r w:rsidRPr="00792381">
        <w:rPr>
          <w:rFonts w:ascii="Aptos" w:hAnsi="Aptos" w:cs="Times New Roman"/>
          <w:sz w:val="20"/>
          <w:szCs w:val="20"/>
        </w:rPr>
        <w:t>to suits that seek relief . . . also available under IDEA”) (internal quotation marks and citation omitted)</w:t>
      </w:r>
      <w:r w:rsidR="00B1215F">
        <w:rPr>
          <w:rFonts w:ascii="Aptos" w:hAnsi="Aptos" w:cs="Times New Roman"/>
          <w:sz w:val="20"/>
          <w:szCs w:val="20"/>
        </w:rPr>
        <w:t xml:space="preserve">. See also </w:t>
      </w:r>
      <w:r w:rsidR="00B1215F">
        <w:rPr>
          <w:rFonts w:ascii="Aptos" w:hAnsi="Aptos" w:cs="Times New Roman"/>
          <w:i/>
          <w:iCs/>
          <w:sz w:val="20"/>
          <w:szCs w:val="20"/>
        </w:rPr>
        <w:t xml:space="preserve">Lartigue v Northside </w:t>
      </w:r>
      <w:proofErr w:type="spellStart"/>
      <w:r w:rsidR="00B1215F">
        <w:rPr>
          <w:rFonts w:ascii="Aptos" w:hAnsi="Aptos" w:cs="Times New Roman"/>
          <w:i/>
          <w:iCs/>
          <w:sz w:val="20"/>
          <w:szCs w:val="20"/>
        </w:rPr>
        <w:t>Indep</w:t>
      </w:r>
      <w:proofErr w:type="spellEnd"/>
      <w:r w:rsidR="00B1215F">
        <w:rPr>
          <w:rFonts w:ascii="Aptos" w:hAnsi="Aptos" w:cs="Times New Roman"/>
          <w:i/>
          <w:iCs/>
          <w:sz w:val="20"/>
          <w:szCs w:val="20"/>
        </w:rPr>
        <w:t>. Sch. Dist.</w:t>
      </w:r>
      <w:r w:rsidR="00B1215F">
        <w:rPr>
          <w:rFonts w:ascii="Aptos" w:hAnsi="Aptos" w:cs="Times New Roman"/>
          <w:sz w:val="20"/>
          <w:szCs w:val="20"/>
        </w:rPr>
        <w:t xml:space="preserve">, 100 F.4th 510, 515 (5th Cir. 2024) (“if the relief sought is not one that the IDEA can provide, such as compensatory damages, the plaintiff need not exhaust the IDEA’s administrative hurdles. But if the relief sought is offered by the IDEA, a plaintiff must fully exhaust the administrative processes as required by </w:t>
      </w:r>
      <w:r w:rsidR="00B1215F" w:rsidRPr="00792381">
        <w:rPr>
          <w:rFonts w:ascii="Aptos" w:hAnsi="Aptos" w:cs="Times New Roman"/>
          <w:sz w:val="20"/>
          <w:szCs w:val="20"/>
        </w:rPr>
        <w:t>§ 1415(l)</w:t>
      </w:r>
      <w:r w:rsidR="00F87FF5">
        <w:rPr>
          <w:rFonts w:ascii="Aptos" w:hAnsi="Aptos" w:cs="Times New Roman"/>
          <w:sz w:val="20"/>
          <w:szCs w:val="20"/>
        </w:rPr>
        <w:t>.</w:t>
      </w:r>
      <w:r w:rsidR="00B1215F">
        <w:rPr>
          <w:rFonts w:ascii="Aptos" w:hAnsi="Aptos" w:cs="Times New Roman"/>
          <w:sz w:val="20"/>
          <w:szCs w:val="20"/>
        </w:rPr>
        <w:t>”)</w:t>
      </w:r>
    </w:p>
  </w:footnote>
  <w:footnote w:id="13">
    <w:p w14:paraId="788A4F09" w14:textId="2D23AB80" w:rsidR="00FE40EA" w:rsidRPr="00792381" w:rsidRDefault="00FE40EA">
      <w:pPr>
        <w:pStyle w:val="FootnoteText"/>
        <w:rPr>
          <w:rFonts w:ascii="Aptos" w:hAnsi="Aptos" w:cs="Times New Roman"/>
          <w:sz w:val="20"/>
          <w:szCs w:val="20"/>
        </w:rPr>
      </w:pPr>
      <w:r w:rsidRPr="00792381">
        <w:rPr>
          <w:rStyle w:val="FootnoteReference"/>
          <w:rFonts w:ascii="Aptos" w:hAnsi="Aptos"/>
          <w:sz w:val="20"/>
          <w:szCs w:val="20"/>
        </w:rPr>
        <w:footnoteRef/>
      </w:r>
      <w:r w:rsidRPr="00792381">
        <w:rPr>
          <w:rFonts w:ascii="Aptos" w:hAnsi="Aptos"/>
          <w:sz w:val="20"/>
          <w:szCs w:val="20"/>
        </w:rPr>
        <w:t xml:space="preserve"> </w:t>
      </w:r>
      <w:r w:rsidRPr="00792381">
        <w:rPr>
          <w:rFonts w:ascii="Aptos" w:hAnsi="Aptos" w:cs="Times New Roman"/>
          <w:sz w:val="20"/>
          <w:szCs w:val="20"/>
        </w:rPr>
        <w:t xml:space="preserve">See </w:t>
      </w:r>
      <w:r w:rsidRPr="00792381">
        <w:rPr>
          <w:rFonts w:ascii="Aptos" w:hAnsi="Aptos" w:cs="Times New Roman"/>
          <w:i/>
          <w:iCs/>
          <w:sz w:val="20"/>
          <w:szCs w:val="20"/>
        </w:rPr>
        <w:t xml:space="preserve">Fry v. Napoleon Community Schools, </w:t>
      </w:r>
      <w:r w:rsidRPr="00792381">
        <w:rPr>
          <w:rFonts w:ascii="Aptos" w:hAnsi="Aptos" w:cs="Times New Roman"/>
          <w:sz w:val="20"/>
          <w:szCs w:val="20"/>
        </w:rPr>
        <w:t>580 U.S. 154</w:t>
      </w:r>
      <w:r w:rsidR="00C21D85" w:rsidRPr="00792381">
        <w:rPr>
          <w:rFonts w:ascii="Aptos" w:hAnsi="Aptos" w:cs="Times New Roman"/>
          <w:sz w:val="20"/>
          <w:szCs w:val="20"/>
        </w:rPr>
        <w:t>, 168</w:t>
      </w:r>
      <w:r w:rsidRPr="00792381">
        <w:rPr>
          <w:rFonts w:ascii="Aptos" w:hAnsi="Aptos" w:cs="Times New Roman"/>
          <w:sz w:val="20"/>
          <w:szCs w:val="20"/>
        </w:rPr>
        <w:t xml:space="preserve"> (2017)</w:t>
      </w:r>
      <w:r w:rsidR="00C21D85" w:rsidRPr="00792381">
        <w:rPr>
          <w:rFonts w:ascii="Aptos" w:hAnsi="Aptos" w:cs="Times New Roman"/>
          <w:sz w:val="20"/>
          <w:szCs w:val="20"/>
        </w:rPr>
        <w:t xml:space="preserve"> </w:t>
      </w:r>
      <w:bookmarkStart w:id="0" w:name="_Hlk169785482"/>
      <w:r w:rsidR="00C21D85" w:rsidRPr="00792381">
        <w:rPr>
          <w:rFonts w:ascii="Aptos" w:hAnsi="Aptos" w:cs="Times New Roman"/>
          <w:sz w:val="20"/>
          <w:szCs w:val="20"/>
        </w:rPr>
        <w:t>(“§ 1415(l)</w:t>
      </w:r>
      <w:bookmarkEnd w:id="0"/>
      <w:r w:rsidR="00C21D85" w:rsidRPr="00792381">
        <w:rPr>
          <w:rFonts w:ascii="Aptos" w:hAnsi="Aptos" w:cs="Times New Roman"/>
          <w:sz w:val="20"/>
          <w:szCs w:val="20"/>
        </w:rPr>
        <w:t>’s exhaustion rule hinges on whether a lawsuit seeks relief for the denial of a FAPE. If a lawsuit charges such a denial, the plaintiff cannot escape § 1415(l) merely by bringing her suit under a statute other than the IDEA”)</w:t>
      </w:r>
      <w:r w:rsidR="00792381" w:rsidRPr="00792381">
        <w:rPr>
          <w:rFonts w:ascii="Aptos" w:hAnsi="Aptos" w:cs="Times New Roman"/>
          <w:sz w:val="20"/>
          <w:szCs w:val="20"/>
        </w:rPr>
        <w:t xml:space="preserve">. See also </w:t>
      </w:r>
      <w:r w:rsidR="00792381" w:rsidRPr="00792381">
        <w:rPr>
          <w:rFonts w:ascii="Aptos" w:hAnsi="Aptos" w:cs="Times New Roman"/>
          <w:i/>
          <w:iCs/>
          <w:sz w:val="20"/>
          <w:szCs w:val="20"/>
        </w:rPr>
        <w:t>id.</w:t>
      </w:r>
      <w:r w:rsidR="00792381" w:rsidRPr="00792381">
        <w:rPr>
          <w:rFonts w:ascii="Aptos" w:hAnsi="Aptos" w:cs="Times New Roman"/>
          <w:sz w:val="20"/>
          <w:szCs w:val="20"/>
        </w:rPr>
        <w:t xml:space="preserve"> at 170 (exhaustion required “when the gravamen of a complaint seeks redress for a school’s failure to provide a FAPE, even if not phrased or framed in precisely that way”); </w:t>
      </w:r>
      <w:r w:rsidRPr="00792381">
        <w:rPr>
          <w:rFonts w:ascii="Aptos" w:hAnsi="Aptos" w:cs="Times New Roman"/>
          <w:i/>
          <w:sz w:val="20"/>
          <w:szCs w:val="20"/>
        </w:rPr>
        <w:t>Frazier v. Fairhaven Sch. Comm.</w:t>
      </w:r>
      <w:r w:rsidRPr="00792381">
        <w:rPr>
          <w:rFonts w:ascii="Aptos" w:hAnsi="Aptos" w:cs="Times New Roman"/>
          <w:sz w:val="20"/>
          <w:szCs w:val="20"/>
        </w:rPr>
        <w:t xml:space="preserve">, 276 F.3d 52, </w:t>
      </w:r>
      <w:r w:rsidR="00C21D85" w:rsidRPr="00792381">
        <w:rPr>
          <w:rFonts w:ascii="Aptos" w:hAnsi="Aptos" w:cs="Times New Roman"/>
          <w:sz w:val="20"/>
          <w:szCs w:val="20"/>
        </w:rPr>
        <w:t xml:space="preserve">59 </w:t>
      </w:r>
      <w:r w:rsidRPr="00792381">
        <w:rPr>
          <w:rFonts w:ascii="Aptos" w:hAnsi="Aptos" w:cs="Times New Roman"/>
          <w:sz w:val="20"/>
          <w:szCs w:val="20"/>
        </w:rPr>
        <w:t>(1st Cir. 2002)</w:t>
      </w:r>
      <w:r w:rsidR="00C21D85" w:rsidRPr="00792381">
        <w:rPr>
          <w:rFonts w:ascii="Aptos" w:hAnsi="Aptos" w:cs="Times New Roman"/>
          <w:sz w:val="20"/>
          <w:szCs w:val="20"/>
        </w:rPr>
        <w:t xml:space="preserve"> (exhaustion requirement “is not limited to claims based directly upon violations of the IDEA)</w:t>
      </w:r>
      <w:r w:rsidRPr="00792381">
        <w:rPr>
          <w:rFonts w:ascii="Aptos" w:hAnsi="Aptos" w:cs="Times New Roman"/>
          <w:sz w:val="20"/>
          <w:szCs w:val="20"/>
        </w:rPr>
        <w:t xml:space="preserve">; </w:t>
      </w:r>
      <w:r w:rsidRPr="00792381">
        <w:rPr>
          <w:rFonts w:ascii="Aptos" w:hAnsi="Aptos" w:cs="Times New Roman"/>
          <w:i/>
          <w:sz w:val="20"/>
          <w:szCs w:val="20"/>
        </w:rPr>
        <w:t>Rose v. Yeaw</w:t>
      </w:r>
      <w:r w:rsidRPr="00792381">
        <w:rPr>
          <w:rFonts w:ascii="Aptos" w:hAnsi="Aptos" w:cs="Times New Roman"/>
          <w:sz w:val="20"/>
          <w:szCs w:val="20"/>
        </w:rPr>
        <w:t xml:space="preserve">, 214 F.3d 206, 210 (1st Cir. 2000) (IDEA’s exhaustion requirement is not limited to IDEA claims, as it “applies even when the suit is brought pursuant to a different statute so long as the party is seeking relief that is available under subchapter II of IDEA”); </w:t>
      </w:r>
      <w:r w:rsidRPr="00792381">
        <w:rPr>
          <w:rFonts w:ascii="Aptos" w:hAnsi="Aptos" w:cs="Times New Roman"/>
          <w:i/>
          <w:iCs/>
          <w:sz w:val="20"/>
          <w:szCs w:val="20"/>
        </w:rPr>
        <w:t>Ruling on Acton Boxborough Regional School District’s Partial Motion to Dismiss and Parent’s Motion to Join the Town of Acton</w:t>
      </w:r>
      <w:r w:rsidRPr="00792381">
        <w:rPr>
          <w:rFonts w:ascii="Aptos" w:hAnsi="Aptos" w:cs="Times New Roman"/>
          <w:sz w:val="20"/>
          <w:szCs w:val="20"/>
        </w:rPr>
        <w:t>, BSEA #2101061 (Reichbach, 2021)</w:t>
      </w:r>
      <w:r w:rsidR="00C21D85" w:rsidRPr="00792381">
        <w:rPr>
          <w:rFonts w:ascii="Aptos" w:hAnsi="Aptos" w:cs="Times New Roman"/>
          <w:sz w:val="20"/>
          <w:szCs w:val="20"/>
        </w:rPr>
        <w:t xml:space="preserve"> (</w:t>
      </w:r>
      <w:r w:rsidR="00792381" w:rsidRPr="00792381">
        <w:rPr>
          <w:rFonts w:ascii="Aptos" w:hAnsi="Aptos" w:cs="Times New Roman"/>
          <w:sz w:val="20"/>
          <w:szCs w:val="20"/>
        </w:rPr>
        <w:t>“The inquiry is . . . whether the ‘gravamen’ of plaintiff’s suit is an IDEA-based claim”) (internal citation omitted)</w:t>
      </w:r>
      <w:r w:rsidRPr="00792381">
        <w:rPr>
          <w:rFonts w:ascii="Aptos" w:hAnsi="Aptos" w:cs="Times New Roman"/>
          <w:sz w:val="20"/>
          <w:szCs w:val="20"/>
        </w:rPr>
        <w:t>.</w:t>
      </w:r>
      <w:r>
        <w:rPr>
          <w:rFonts w:ascii="Aptos" w:hAnsi="Aptos" w:cs="Times New Roman"/>
          <w:sz w:val="20"/>
          <w:szCs w:val="20"/>
        </w:rPr>
        <w:t xml:space="preserve"> </w:t>
      </w:r>
    </w:p>
  </w:footnote>
  <w:footnote w:id="14">
    <w:p w14:paraId="17FB1EC8" w14:textId="70F17CAB" w:rsidR="001B22E2" w:rsidRPr="009F2251" w:rsidRDefault="001B22E2" w:rsidP="001B22E2">
      <w:pPr>
        <w:pStyle w:val="FootnoteText"/>
        <w:rPr>
          <w:rFonts w:ascii="Aptos" w:hAnsi="Aptos" w:cs="Times New Roman"/>
          <w:sz w:val="20"/>
          <w:szCs w:val="20"/>
        </w:rPr>
      </w:pPr>
      <w:r w:rsidRPr="009F2251">
        <w:rPr>
          <w:rStyle w:val="FootnoteReference"/>
          <w:rFonts w:ascii="Aptos" w:hAnsi="Aptos" w:cs="Times New Roman"/>
          <w:sz w:val="20"/>
          <w:szCs w:val="20"/>
        </w:rPr>
        <w:footnoteRef/>
      </w:r>
      <w:r w:rsidRPr="009F2251">
        <w:rPr>
          <w:rFonts w:ascii="Aptos" w:hAnsi="Aptos" w:cs="Times New Roman"/>
          <w:sz w:val="20"/>
          <w:szCs w:val="20"/>
        </w:rPr>
        <w:t xml:space="preserve"> </w:t>
      </w:r>
      <w:r w:rsidR="00C0173B" w:rsidRPr="009F2251">
        <w:rPr>
          <w:rFonts w:ascii="Aptos" w:hAnsi="Aptos" w:cs="Times New Roman"/>
          <w:i/>
          <w:iCs/>
          <w:sz w:val="20"/>
          <w:szCs w:val="20"/>
        </w:rPr>
        <w:t>Frazier</w:t>
      </w:r>
      <w:r w:rsidR="00C0173B" w:rsidRPr="009F2251">
        <w:rPr>
          <w:rFonts w:ascii="Aptos" w:hAnsi="Aptos" w:cs="Times New Roman"/>
          <w:sz w:val="20"/>
          <w:szCs w:val="20"/>
        </w:rPr>
        <w:t xml:space="preserve">, 276 F.3d at 60; see </w:t>
      </w:r>
      <w:r w:rsidR="00C0173B" w:rsidRPr="009F2251">
        <w:rPr>
          <w:rFonts w:ascii="Aptos" w:hAnsi="Aptos" w:cs="Times New Roman"/>
          <w:i/>
          <w:iCs/>
          <w:sz w:val="20"/>
          <w:szCs w:val="20"/>
        </w:rPr>
        <w:t>Fry</w:t>
      </w:r>
      <w:r w:rsidR="00C0173B" w:rsidRPr="009F2251">
        <w:rPr>
          <w:rFonts w:ascii="Aptos" w:hAnsi="Aptos" w:cs="Times New Roman"/>
          <w:sz w:val="20"/>
          <w:szCs w:val="20"/>
        </w:rPr>
        <w:t xml:space="preserve">, </w:t>
      </w:r>
      <w:r w:rsidR="0080289D" w:rsidRPr="009F2251">
        <w:rPr>
          <w:rFonts w:ascii="Aptos" w:hAnsi="Aptos" w:cs="Times New Roman"/>
          <w:sz w:val="20"/>
          <w:szCs w:val="20"/>
        </w:rPr>
        <w:t>580 U.S. at</w:t>
      </w:r>
      <w:r w:rsidR="00C0173B" w:rsidRPr="009F2251">
        <w:rPr>
          <w:rFonts w:ascii="Aptos" w:hAnsi="Aptos" w:cs="Times New Roman"/>
          <w:sz w:val="20"/>
          <w:szCs w:val="20"/>
        </w:rPr>
        <w:t xml:space="preserve"> </w:t>
      </w:r>
      <w:r w:rsidR="0080289D" w:rsidRPr="009F2251">
        <w:rPr>
          <w:rFonts w:ascii="Aptos" w:hAnsi="Aptos" w:cs="Times New Roman"/>
          <w:sz w:val="20"/>
          <w:szCs w:val="20"/>
        </w:rPr>
        <w:t>168</w:t>
      </w:r>
      <w:r w:rsidR="00C0173B" w:rsidRPr="009F2251">
        <w:rPr>
          <w:rFonts w:ascii="Aptos" w:hAnsi="Aptos" w:cs="Times New Roman"/>
          <w:sz w:val="20"/>
          <w:szCs w:val="20"/>
        </w:rPr>
        <w:t xml:space="preserve"> (noting that IDEA hearing officers have expertise in addressing FAPE-related claims); </w:t>
      </w:r>
      <w:r w:rsidR="00C0173B" w:rsidRPr="009F2251">
        <w:rPr>
          <w:rFonts w:ascii="Aptos" w:hAnsi="Aptos" w:cs="Times New Roman"/>
          <w:i/>
          <w:iCs/>
          <w:sz w:val="20"/>
          <w:szCs w:val="20"/>
        </w:rPr>
        <w:t>In Re: Georgetown Pub. Sch</w:t>
      </w:r>
      <w:r w:rsidR="00C0173B" w:rsidRPr="009F2251">
        <w:rPr>
          <w:rFonts w:ascii="Aptos" w:hAnsi="Aptos" w:cs="Times New Roman"/>
          <w:sz w:val="20"/>
          <w:szCs w:val="20"/>
        </w:rPr>
        <w:t xml:space="preserve">., BSEA #1405352, </w:t>
      </w:r>
      <w:r w:rsidR="009B75E6" w:rsidRPr="009F2251">
        <w:rPr>
          <w:rFonts w:ascii="Aptos" w:hAnsi="Aptos" w:cs="Times New Roman"/>
          <w:sz w:val="20"/>
          <w:szCs w:val="20"/>
        </w:rPr>
        <w:t>(</w:t>
      </w:r>
      <w:r w:rsidR="00C0173B" w:rsidRPr="009F2251">
        <w:rPr>
          <w:rFonts w:ascii="Aptos" w:hAnsi="Aptos" w:cs="Times New Roman"/>
          <w:sz w:val="20"/>
          <w:szCs w:val="20"/>
        </w:rPr>
        <w:t>Berman</w:t>
      </w:r>
      <w:r w:rsidR="009B75E6" w:rsidRPr="009F2251">
        <w:rPr>
          <w:rFonts w:ascii="Aptos" w:hAnsi="Aptos" w:cs="Times New Roman"/>
          <w:sz w:val="20"/>
          <w:szCs w:val="20"/>
        </w:rPr>
        <w:t>,</w:t>
      </w:r>
      <w:r w:rsidR="00C0173B" w:rsidRPr="009F2251">
        <w:rPr>
          <w:rFonts w:ascii="Aptos" w:hAnsi="Aptos" w:cs="Times New Roman"/>
          <w:sz w:val="20"/>
          <w:szCs w:val="20"/>
        </w:rPr>
        <w:t xml:space="preserve"> 2014) (recognizing that FAPE-related claims asserted under non-IDEA laws may be subject to the IDEA’s exhaustion requirement if the BSEA can “provide some meaningful relief or a superior record on which the court could make its determination”).</w:t>
      </w:r>
    </w:p>
  </w:footnote>
  <w:footnote w:id="15">
    <w:p w14:paraId="6ADFEEE8" w14:textId="00216DED" w:rsidR="00C951D5" w:rsidRPr="00B1215F" w:rsidRDefault="00C951D5" w:rsidP="00792381">
      <w:pPr>
        <w:pStyle w:val="FootnoteText"/>
        <w:rPr>
          <w:rFonts w:ascii="Aptos" w:hAnsi="Aptos" w:cs="Times New Roman"/>
          <w:i/>
          <w:iCs/>
          <w:sz w:val="20"/>
          <w:szCs w:val="20"/>
        </w:rPr>
      </w:pPr>
      <w:r w:rsidRPr="009F2251">
        <w:rPr>
          <w:rStyle w:val="FootnoteReference"/>
          <w:rFonts w:ascii="Aptos" w:hAnsi="Aptos"/>
          <w:sz w:val="20"/>
          <w:szCs w:val="20"/>
        </w:rPr>
        <w:footnoteRef/>
      </w:r>
      <w:r w:rsidR="00FC0680" w:rsidRPr="009F2251">
        <w:rPr>
          <w:rFonts w:ascii="Aptos" w:hAnsi="Aptos"/>
          <w:sz w:val="20"/>
          <w:szCs w:val="20"/>
        </w:rPr>
        <w:t xml:space="preserve"> </w:t>
      </w:r>
      <w:r w:rsidR="00792381" w:rsidRPr="00792381">
        <w:rPr>
          <w:rFonts w:ascii="Aptos" w:hAnsi="Aptos" w:cs="Times New Roman"/>
          <w:sz w:val="20"/>
          <w:szCs w:val="20"/>
        </w:rPr>
        <w:t xml:space="preserve">See </w:t>
      </w:r>
      <w:r w:rsidR="00792381" w:rsidRPr="00792381">
        <w:rPr>
          <w:rFonts w:ascii="Aptos" w:hAnsi="Aptos" w:cs="Times New Roman"/>
          <w:i/>
          <w:iCs/>
          <w:sz w:val="20"/>
          <w:szCs w:val="20"/>
        </w:rPr>
        <w:t xml:space="preserve">Fry, </w:t>
      </w:r>
      <w:r w:rsidR="00792381" w:rsidRPr="00792381">
        <w:rPr>
          <w:rFonts w:ascii="Aptos" w:hAnsi="Aptos" w:cs="Times New Roman"/>
          <w:sz w:val="20"/>
          <w:szCs w:val="20"/>
        </w:rPr>
        <w:t xml:space="preserve">580 U.S. </w:t>
      </w:r>
      <w:r w:rsidR="00792381">
        <w:rPr>
          <w:rFonts w:ascii="Aptos" w:hAnsi="Aptos" w:cs="Times New Roman"/>
          <w:sz w:val="20"/>
          <w:szCs w:val="20"/>
        </w:rPr>
        <w:t xml:space="preserve">at </w:t>
      </w:r>
      <w:r w:rsidR="00792381" w:rsidRPr="00792381">
        <w:rPr>
          <w:rFonts w:ascii="Aptos" w:hAnsi="Aptos" w:cs="Times New Roman"/>
          <w:sz w:val="20"/>
          <w:szCs w:val="20"/>
        </w:rPr>
        <w:t>1</w:t>
      </w:r>
      <w:r w:rsidR="00792381">
        <w:rPr>
          <w:rFonts w:ascii="Aptos" w:hAnsi="Aptos" w:cs="Times New Roman"/>
          <w:sz w:val="20"/>
          <w:szCs w:val="20"/>
        </w:rPr>
        <w:t>70</w:t>
      </w:r>
      <w:r w:rsidR="00B1215F">
        <w:rPr>
          <w:rFonts w:ascii="Aptos" w:hAnsi="Aptos" w:cs="Times New Roman"/>
          <w:sz w:val="20"/>
          <w:szCs w:val="20"/>
        </w:rPr>
        <w:t xml:space="preserve">; </w:t>
      </w:r>
      <w:r w:rsidR="00792381" w:rsidRPr="00B1215F">
        <w:rPr>
          <w:rFonts w:ascii="Aptos" w:hAnsi="Aptos" w:cs="Times New Roman"/>
          <w:i/>
          <w:sz w:val="20"/>
          <w:szCs w:val="20"/>
        </w:rPr>
        <w:t>Frazier</w:t>
      </w:r>
      <w:r w:rsidR="00B1215F">
        <w:rPr>
          <w:rFonts w:ascii="Aptos" w:hAnsi="Aptos" w:cs="Times New Roman"/>
          <w:iCs/>
          <w:sz w:val="20"/>
          <w:szCs w:val="20"/>
        </w:rPr>
        <w:t xml:space="preserve">, </w:t>
      </w:r>
      <w:r w:rsidR="00792381" w:rsidRPr="00B1215F">
        <w:rPr>
          <w:rFonts w:ascii="Aptos" w:hAnsi="Aptos" w:cs="Times New Roman"/>
          <w:iCs/>
          <w:sz w:val="20"/>
          <w:szCs w:val="20"/>
        </w:rPr>
        <w:t>276</w:t>
      </w:r>
      <w:r w:rsidR="00792381" w:rsidRPr="00792381">
        <w:rPr>
          <w:rFonts w:ascii="Aptos" w:hAnsi="Aptos" w:cs="Times New Roman"/>
          <w:sz w:val="20"/>
          <w:szCs w:val="20"/>
        </w:rPr>
        <w:t xml:space="preserve"> F.3d </w:t>
      </w:r>
      <w:r w:rsidR="00B1215F">
        <w:rPr>
          <w:rFonts w:ascii="Aptos" w:hAnsi="Aptos" w:cs="Times New Roman"/>
          <w:sz w:val="20"/>
          <w:szCs w:val="20"/>
        </w:rPr>
        <w:t xml:space="preserve">at </w:t>
      </w:r>
      <w:r w:rsidR="00792381" w:rsidRPr="00792381">
        <w:rPr>
          <w:rFonts w:ascii="Aptos" w:hAnsi="Aptos" w:cs="Times New Roman"/>
          <w:sz w:val="20"/>
          <w:szCs w:val="20"/>
        </w:rPr>
        <w:t>59</w:t>
      </w:r>
      <w:r w:rsidR="00B1215F">
        <w:rPr>
          <w:rFonts w:ascii="Aptos" w:hAnsi="Aptos" w:cs="Times New Roman"/>
          <w:sz w:val="20"/>
          <w:szCs w:val="20"/>
        </w:rPr>
        <w:t xml:space="preserve">; </w:t>
      </w:r>
      <w:r w:rsidR="00792381" w:rsidRPr="00B1215F">
        <w:rPr>
          <w:rFonts w:ascii="Aptos" w:hAnsi="Aptos" w:cs="Times New Roman"/>
          <w:i/>
          <w:sz w:val="20"/>
          <w:szCs w:val="20"/>
        </w:rPr>
        <w:t>Rose</w:t>
      </w:r>
      <w:r w:rsidR="00B1215F">
        <w:rPr>
          <w:rFonts w:ascii="Aptos" w:hAnsi="Aptos" w:cs="Times New Roman"/>
          <w:iCs/>
          <w:sz w:val="20"/>
          <w:szCs w:val="20"/>
        </w:rPr>
        <w:t xml:space="preserve">, </w:t>
      </w:r>
      <w:r w:rsidR="00792381" w:rsidRPr="00B1215F">
        <w:rPr>
          <w:rFonts w:ascii="Aptos" w:hAnsi="Aptos" w:cs="Times New Roman"/>
          <w:iCs/>
          <w:sz w:val="20"/>
          <w:szCs w:val="20"/>
        </w:rPr>
        <w:t>214</w:t>
      </w:r>
      <w:r w:rsidR="00792381" w:rsidRPr="00792381">
        <w:rPr>
          <w:rFonts w:ascii="Aptos" w:hAnsi="Aptos" w:cs="Times New Roman"/>
          <w:sz w:val="20"/>
          <w:szCs w:val="20"/>
        </w:rPr>
        <w:t xml:space="preserve"> F.3d </w:t>
      </w:r>
      <w:r w:rsidR="00B1215F">
        <w:rPr>
          <w:rFonts w:ascii="Aptos" w:hAnsi="Aptos" w:cs="Times New Roman"/>
          <w:sz w:val="20"/>
          <w:szCs w:val="20"/>
        </w:rPr>
        <w:t>at 210</w:t>
      </w:r>
      <w:r w:rsidR="00792381" w:rsidRPr="00792381">
        <w:rPr>
          <w:rFonts w:ascii="Aptos" w:hAnsi="Aptos" w:cs="Times New Roman"/>
          <w:sz w:val="20"/>
          <w:szCs w:val="20"/>
        </w:rPr>
        <w:t>.</w:t>
      </w:r>
    </w:p>
  </w:footnote>
  <w:footnote w:id="16">
    <w:p w14:paraId="17D8A877" w14:textId="138392F6" w:rsidR="001B22E2" w:rsidRPr="009F2251" w:rsidRDefault="001B22E2" w:rsidP="001B22E2">
      <w:pPr>
        <w:pStyle w:val="FootnoteText"/>
        <w:rPr>
          <w:rFonts w:ascii="Aptos" w:hAnsi="Aptos" w:cs="Times New Roman"/>
          <w:sz w:val="20"/>
          <w:szCs w:val="20"/>
        </w:rPr>
      </w:pPr>
      <w:r w:rsidRPr="009F2251">
        <w:rPr>
          <w:rStyle w:val="FootnoteReference"/>
          <w:rFonts w:ascii="Aptos" w:hAnsi="Aptos" w:cs="Times New Roman"/>
          <w:sz w:val="20"/>
          <w:szCs w:val="20"/>
        </w:rPr>
        <w:footnoteRef/>
      </w:r>
      <w:r w:rsidRPr="009F2251">
        <w:rPr>
          <w:rFonts w:ascii="Aptos" w:hAnsi="Aptos" w:cs="Times New Roman"/>
          <w:sz w:val="20"/>
          <w:szCs w:val="20"/>
        </w:rPr>
        <w:t xml:space="preserve"> </w:t>
      </w:r>
      <w:r w:rsidR="0094368E" w:rsidRPr="009F2251">
        <w:rPr>
          <w:rFonts w:ascii="Aptos" w:hAnsi="Aptos"/>
          <w:i/>
          <w:iCs/>
          <w:sz w:val="20"/>
          <w:szCs w:val="20"/>
          <w:shd w:val="clear" w:color="auto" w:fill="FFFFFF"/>
        </w:rPr>
        <w:t>In</w:t>
      </w:r>
      <w:r w:rsidR="0094368E" w:rsidRPr="009F2251">
        <w:rPr>
          <w:rFonts w:ascii="Aptos" w:hAnsi="Aptos"/>
          <w:i/>
          <w:iCs/>
          <w:sz w:val="20"/>
          <w:szCs w:val="20"/>
        </w:rPr>
        <w:t xml:space="preserve"> re: Student v.</w:t>
      </w:r>
      <w:r w:rsidR="0094368E" w:rsidRPr="009F2251">
        <w:rPr>
          <w:rStyle w:val="apple-converted-space"/>
          <w:rFonts w:ascii="Aptos" w:hAnsi="Aptos"/>
          <w:i/>
          <w:iCs/>
          <w:sz w:val="20"/>
          <w:szCs w:val="20"/>
        </w:rPr>
        <w:t xml:space="preserve"> Springfield </w:t>
      </w:r>
      <w:r w:rsidR="0094368E" w:rsidRPr="009F2251">
        <w:rPr>
          <w:rFonts w:ascii="Aptos" w:hAnsi="Aptos"/>
          <w:i/>
          <w:iCs/>
          <w:sz w:val="20"/>
          <w:szCs w:val="20"/>
        </w:rPr>
        <w:t>Public Schools (Ruling on Springfield Public Schools’ Motion to Dismiss)</w:t>
      </w:r>
      <w:r w:rsidR="0094368E" w:rsidRPr="009F2251">
        <w:rPr>
          <w:rFonts w:ascii="Aptos" w:hAnsi="Aptos"/>
          <w:sz w:val="20"/>
          <w:szCs w:val="20"/>
        </w:rPr>
        <w:t>, BSEA # 2208440</w:t>
      </w:r>
      <w:r w:rsidR="00F31CF8" w:rsidRPr="009F2251">
        <w:rPr>
          <w:rFonts w:ascii="Aptos" w:hAnsi="Aptos"/>
          <w:sz w:val="20"/>
          <w:szCs w:val="20"/>
        </w:rPr>
        <w:t xml:space="preserve"> </w:t>
      </w:r>
      <w:r w:rsidR="0094368E" w:rsidRPr="009F2251">
        <w:rPr>
          <w:rFonts w:ascii="Aptos" w:hAnsi="Aptos"/>
          <w:sz w:val="20"/>
          <w:szCs w:val="20"/>
        </w:rPr>
        <w:t>(Kantor Nir, 2022</w:t>
      </w:r>
      <w:r w:rsidRPr="009F2251">
        <w:rPr>
          <w:rFonts w:ascii="Aptos" w:hAnsi="Aptos" w:cs="Times New Roman"/>
          <w:sz w:val="20"/>
          <w:szCs w:val="20"/>
        </w:rPr>
        <w:t>)</w:t>
      </w:r>
      <w:r w:rsidR="00173E36" w:rsidRPr="009F2251">
        <w:rPr>
          <w:rFonts w:ascii="Aptos" w:hAnsi="Aptos" w:cs="Times New Roman"/>
          <w:sz w:val="20"/>
          <w:szCs w:val="20"/>
        </w:rPr>
        <w:t xml:space="preserve"> (internal citation omitted); </w:t>
      </w:r>
      <w:r w:rsidR="00173E36" w:rsidRPr="009F2251">
        <w:rPr>
          <w:rFonts w:ascii="Aptos" w:hAnsi="Aptos" w:cs="Times New Roman"/>
          <w:i/>
          <w:iCs/>
          <w:sz w:val="20"/>
          <w:szCs w:val="20"/>
        </w:rPr>
        <w:t>cf.</w:t>
      </w:r>
      <w:r w:rsidR="00173E36" w:rsidRPr="009F2251">
        <w:rPr>
          <w:rFonts w:ascii="Aptos" w:hAnsi="Aptos"/>
          <w:sz w:val="20"/>
          <w:szCs w:val="20"/>
        </w:rPr>
        <w:t xml:space="preserve"> </w:t>
      </w:r>
      <w:r w:rsidR="00173E36" w:rsidRPr="009F2251">
        <w:rPr>
          <w:rFonts w:ascii="Aptos" w:hAnsi="Aptos" w:cs="Times New Roman"/>
          <w:i/>
          <w:sz w:val="20"/>
          <w:szCs w:val="20"/>
        </w:rPr>
        <w:t>Diaz-Fonseca v. Puerto Rico</w:t>
      </w:r>
      <w:r w:rsidR="00173E36" w:rsidRPr="009F2251">
        <w:rPr>
          <w:rFonts w:ascii="Aptos" w:hAnsi="Aptos" w:cs="Times New Roman"/>
          <w:sz w:val="20"/>
          <w:szCs w:val="20"/>
        </w:rPr>
        <w:t xml:space="preserve">, 451 F.3d 13, 28 (1st Cir. 2006) (“It is black letter law that punitive damages—indeed money damages of any sort—are not available in a private suit under the IDEA”); </w:t>
      </w:r>
      <w:r w:rsidR="008D7F4D" w:rsidRPr="009F2251">
        <w:rPr>
          <w:rFonts w:ascii="Aptos" w:hAnsi="Aptos" w:cs="Times New Roman"/>
          <w:i/>
          <w:iCs/>
          <w:sz w:val="20"/>
          <w:szCs w:val="20"/>
        </w:rPr>
        <w:t>Nieves-Marquez v. Puerto Rico</w:t>
      </w:r>
      <w:r w:rsidR="008D7F4D" w:rsidRPr="009F2251">
        <w:rPr>
          <w:rFonts w:ascii="Aptos" w:hAnsi="Aptos" w:cs="Times New Roman"/>
          <w:sz w:val="20"/>
          <w:szCs w:val="20"/>
        </w:rPr>
        <w:t>, 353 F.3d 108</w:t>
      </w:r>
      <w:r w:rsidR="00C93B8B" w:rsidRPr="009F2251">
        <w:rPr>
          <w:rFonts w:ascii="Aptos" w:hAnsi="Aptos" w:cs="Times New Roman"/>
          <w:sz w:val="20"/>
          <w:szCs w:val="20"/>
        </w:rPr>
        <w:t>, 125</w:t>
      </w:r>
      <w:r w:rsidR="00B1215F">
        <w:rPr>
          <w:rFonts w:ascii="Aptos" w:hAnsi="Aptos" w:cs="Times New Roman"/>
          <w:sz w:val="20"/>
          <w:szCs w:val="20"/>
        </w:rPr>
        <w:t>-26</w:t>
      </w:r>
      <w:r w:rsidR="00951EAD" w:rsidRPr="009F2251">
        <w:rPr>
          <w:rFonts w:ascii="Aptos" w:hAnsi="Aptos" w:cs="Times New Roman"/>
          <w:sz w:val="20"/>
          <w:szCs w:val="20"/>
        </w:rPr>
        <w:t xml:space="preserve"> </w:t>
      </w:r>
      <w:r w:rsidR="00EB291C" w:rsidRPr="009F2251">
        <w:rPr>
          <w:rFonts w:ascii="Aptos" w:hAnsi="Aptos" w:cs="Times New Roman"/>
          <w:sz w:val="20"/>
          <w:szCs w:val="20"/>
        </w:rPr>
        <w:t>(</w:t>
      </w:r>
      <w:r w:rsidR="0061385A" w:rsidRPr="009F2251">
        <w:rPr>
          <w:rFonts w:ascii="Aptos" w:hAnsi="Aptos" w:cs="Times New Roman"/>
          <w:sz w:val="20"/>
          <w:szCs w:val="20"/>
        </w:rPr>
        <w:t xml:space="preserve">1st Cir. 2003) </w:t>
      </w:r>
      <w:r w:rsidR="00112CCE" w:rsidRPr="009F2251">
        <w:rPr>
          <w:rFonts w:ascii="Aptos" w:hAnsi="Aptos" w:cs="Times New Roman"/>
          <w:sz w:val="20"/>
          <w:szCs w:val="20"/>
        </w:rPr>
        <w:t>(noting that “[s]</w:t>
      </w:r>
      <w:proofErr w:type="spellStart"/>
      <w:r w:rsidR="00112CCE" w:rsidRPr="009F2251">
        <w:rPr>
          <w:rFonts w:ascii="Aptos" w:hAnsi="Aptos" w:cs="Times New Roman"/>
          <w:sz w:val="20"/>
          <w:szCs w:val="20"/>
        </w:rPr>
        <w:t>everal</w:t>
      </w:r>
      <w:proofErr w:type="spellEnd"/>
      <w:r w:rsidR="00112CCE" w:rsidRPr="009F2251">
        <w:rPr>
          <w:rFonts w:ascii="Aptos" w:hAnsi="Aptos" w:cs="Times New Roman"/>
          <w:sz w:val="20"/>
          <w:szCs w:val="20"/>
        </w:rPr>
        <w:t xml:space="preserve"> circuits have barred money damages under 42 U.S.C. </w:t>
      </w:r>
      <w:r w:rsidR="00556C83" w:rsidRPr="009F2251">
        <w:rPr>
          <w:rFonts w:ascii="Aptos" w:hAnsi="Aptos" w:cs="Times New Roman"/>
          <w:sz w:val="20"/>
          <w:szCs w:val="20"/>
        </w:rPr>
        <w:t>§1983 for IDEA-based claims”</w:t>
      </w:r>
      <w:r w:rsidR="008D7F4D" w:rsidRPr="009F2251">
        <w:rPr>
          <w:rFonts w:ascii="Aptos" w:hAnsi="Aptos" w:cs="Times New Roman"/>
          <w:sz w:val="20"/>
          <w:szCs w:val="20"/>
        </w:rPr>
        <w:t>).</w:t>
      </w:r>
    </w:p>
  </w:footnote>
  <w:footnote w:id="17">
    <w:p w14:paraId="0077AEFA" w14:textId="00F50FC9" w:rsidR="00860BE8" w:rsidRPr="009F2251" w:rsidRDefault="00860BE8">
      <w:pPr>
        <w:pStyle w:val="FootnoteText"/>
        <w:rPr>
          <w:rFonts w:ascii="Aptos" w:hAnsi="Aptos"/>
          <w:sz w:val="20"/>
          <w:szCs w:val="20"/>
        </w:rPr>
      </w:pPr>
      <w:r w:rsidRPr="009F2251">
        <w:rPr>
          <w:rStyle w:val="FootnoteReference"/>
          <w:rFonts w:ascii="Aptos" w:hAnsi="Aptos"/>
          <w:sz w:val="20"/>
          <w:szCs w:val="20"/>
        </w:rPr>
        <w:footnoteRef/>
      </w:r>
      <w:r w:rsidRPr="009F2251">
        <w:rPr>
          <w:rFonts w:ascii="Aptos" w:hAnsi="Aptos"/>
          <w:sz w:val="20"/>
          <w:szCs w:val="20"/>
        </w:rPr>
        <w:t xml:space="preserve"> See G.L.71B, </w:t>
      </w:r>
      <w:r w:rsidRPr="009F2251">
        <w:rPr>
          <w:rFonts w:ascii="Aptos" w:hAnsi="Aptos" w:cs="Times New Roman"/>
          <w:sz w:val="20"/>
          <w:szCs w:val="20"/>
        </w:rPr>
        <w:t xml:space="preserve">§ </w:t>
      </w:r>
      <w:r w:rsidRPr="009F2251">
        <w:rPr>
          <w:rFonts w:ascii="Aptos" w:hAnsi="Aptos"/>
          <w:sz w:val="20"/>
          <w:szCs w:val="20"/>
        </w:rPr>
        <w:t>2A(a); 603 CMR 28.08(3).</w:t>
      </w:r>
    </w:p>
  </w:footnote>
  <w:footnote w:id="18">
    <w:p w14:paraId="56AE543E" w14:textId="0E6BB466" w:rsidR="007F0B3F" w:rsidRPr="009F2251" w:rsidRDefault="007F0B3F" w:rsidP="007F0B3F">
      <w:pPr>
        <w:pStyle w:val="FootnoteText"/>
        <w:rPr>
          <w:rFonts w:ascii="Aptos" w:hAnsi="Aptos"/>
          <w:sz w:val="20"/>
          <w:szCs w:val="20"/>
        </w:rPr>
      </w:pPr>
      <w:r w:rsidRPr="009F2251">
        <w:rPr>
          <w:rStyle w:val="FootnoteReference"/>
          <w:rFonts w:ascii="Aptos" w:hAnsi="Aptos"/>
          <w:sz w:val="20"/>
          <w:szCs w:val="20"/>
        </w:rPr>
        <w:footnoteRef/>
      </w:r>
      <w:r w:rsidRPr="009F2251">
        <w:rPr>
          <w:rFonts w:ascii="Aptos" w:hAnsi="Aptos"/>
          <w:sz w:val="20"/>
          <w:szCs w:val="20"/>
        </w:rPr>
        <w:t xml:space="preserve"> </w:t>
      </w:r>
      <w:r w:rsidRPr="009F2251">
        <w:rPr>
          <w:rFonts w:ascii="Aptos" w:hAnsi="Aptos" w:cs="Times New Roman"/>
          <w:sz w:val="20"/>
          <w:szCs w:val="20"/>
        </w:rPr>
        <w:t xml:space="preserve">See 20 U.S.C. § 1415(b)(6); 603 CMR 28.08(3)(a); </w:t>
      </w:r>
      <w:r w:rsidRPr="009F2251">
        <w:rPr>
          <w:rFonts w:ascii="Aptos" w:hAnsi="Aptos" w:cs="Times New Roman"/>
          <w:i/>
          <w:sz w:val="20"/>
          <w:szCs w:val="20"/>
        </w:rPr>
        <w:t>Frazier</w:t>
      </w:r>
      <w:r w:rsidRPr="009F2251">
        <w:rPr>
          <w:rFonts w:ascii="Aptos" w:hAnsi="Aptos" w:cs="Times New Roman"/>
          <w:sz w:val="20"/>
          <w:szCs w:val="20"/>
        </w:rPr>
        <w:t>, 276 F.3d at 60</w:t>
      </w:r>
      <w:r w:rsidR="00C32BEA" w:rsidRPr="009F2251">
        <w:rPr>
          <w:rFonts w:ascii="Aptos" w:hAnsi="Aptos" w:cs="Times New Roman"/>
          <w:sz w:val="20"/>
          <w:szCs w:val="20"/>
        </w:rPr>
        <w:t xml:space="preserve"> (noting that particular claims need not be brought before agencies such as the BSEA where the</w:t>
      </w:r>
      <w:r w:rsidR="00557EF1" w:rsidRPr="009F2251">
        <w:rPr>
          <w:rFonts w:ascii="Aptos" w:hAnsi="Aptos" w:cs="Times New Roman"/>
          <w:sz w:val="20"/>
          <w:szCs w:val="20"/>
        </w:rPr>
        <w:t xml:space="preserve"> process</w:t>
      </w:r>
      <w:r w:rsidR="00557EF1" w:rsidRPr="009F2251">
        <w:rPr>
          <w:rFonts w:ascii="Aptos" w:hAnsi="Aptos" w:cs="Times New Roman"/>
          <w:b/>
          <w:bCs/>
          <w:sz w:val="20"/>
          <w:szCs w:val="20"/>
        </w:rPr>
        <w:t xml:space="preserve"> </w:t>
      </w:r>
      <w:r w:rsidR="00557EF1" w:rsidRPr="009F2251">
        <w:rPr>
          <w:rFonts w:ascii="Aptos" w:hAnsi="Aptos" w:cs="Times New Roman"/>
          <w:sz w:val="20"/>
          <w:szCs w:val="20"/>
        </w:rPr>
        <w:t>would be “futile or inadequate”) (internal citation omitted).</w:t>
      </w:r>
    </w:p>
  </w:footnote>
  <w:footnote w:id="19">
    <w:p w14:paraId="78E2A19E" w14:textId="2A533DE0" w:rsidR="007F0B3F" w:rsidRPr="009F2251" w:rsidRDefault="007F0B3F" w:rsidP="007F0B3F">
      <w:pPr>
        <w:pStyle w:val="FootnoteText"/>
        <w:rPr>
          <w:rFonts w:ascii="Aptos" w:hAnsi="Aptos"/>
          <w:sz w:val="20"/>
          <w:szCs w:val="20"/>
        </w:rPr>
      </w:pPr>
      <w:r w:rsidRPr="009F2251">
        <w:rPr>
          <w:rStyle w:val="FootnoteReference"/>
          <w:rFonts w:ascii="Aptos" w:hAnsi="Aptos"/>
          <w:sz w:val="20"/>
          <w:szCs w:val="20"/>
        </w:rPr>
        <w:footnoteRef/>
      </w:r>
      <w:r w:rsidRPr="009F2251">
        <w:rPr>
          <w:rFonts w:ascii="Aptos" w:hAnsi="Aptos"/>
          <w:sz w:val="20"/>
          <w:szCs w:val="20"/>
        </w:rPr>
        <w:t xml:space="preserve"> </w:t>
      </w:r>
      <w:r w:rsidRPr="009F2251">
        <w:rPr>
          <w:rFonts w:ascii="Aptos" w:hAnsi="Aptos" w:cs="Times New Roman"/>
          <w:sz w:val="20"/>
          <w:szCs w:val="20"/>
        </w:rPr>
        <w:t xml:space="preserve">See </w:t>
      </w:r>
      <w:r w:rsidRPr="009F2251">
        <w:rPr>
          <w:rFonts w:ascii="Aptos" w:hAnsi="Aptos" w:cs="Times New Roman"/>
          <w:i/>
          <w:sz w:val="20"/>
          <w:szCs w:val="20"/>
        </w:rPr>
        <w:t>Iann</w:t>
      </w:r>
      <w:r w:rsidR="008E3527" w:rsidRPr="009F2251">
        <w:rPr>
          <w:rFonts w:ascii="Aptos" w:hAnsi="Aptos" w:cs="Times New Roman"/>
          <w:i/>
          <w:sz w:val="20"/>
          <w:szCs w:val="20"/>
        </w:rPr>
        <w:t>a</w:t>
      </w:r>
      <w:r w:rsidRPr="009F2251">
        <w:rPr>
          <w:rFonts w:ascii="Aptos" w:hAnsi="Aptos" w:cs="Times New Roman"/>
          <w:i/>
          <w:sz w:val="20"/>
          <w:szCs w:val="20"/>
        </w:rPr>
        <w:t>cchino</w:t>
      </w:r>
      <w:r w:rsidRPr="009F2251">
        <w:rPr>
          <w:rFonts w:ascii="Aptos" w:hAnsi="Aptos" w:cs="Times New Roman"/>
          <w:sz w:val="20"/>
          <w:szCs w:val="20"/>
        </w:rPr>
        <w:t xml:space="preserve">, 451 Mass. </w:t>
      </w:r>
      <w:r w:rsidR="000572AA" w:rsidRPr="009F2251">
        <w:rPr>
          <w:rFonts w:ascii="Aptos" w:hAnsi="Aptos" w:cs="Times New Roman"/>
          <w:sz w:val="20"/>
          <w:szCs w:val="20"/>
        </w:rPr>
        <w:t xml:space="preserve">at </w:t>
      </w:r>
      <w:r w:rsidRPr="009F2251">
        <w:rPr>
          <w:rFonts w:ascii="Aptos" w:hAnsi="Aptos" w:cs="Times New Roman"/>
          <w:sz w:val="20"/>
          <w:szCs w:val="20"/>
        </w:rPr>
        <w:t>636 (internal quotation and citation omitted).</w:t>
      </w:r>
    </w:p>
  </w:footnote>
  <w:footnote w:id="20">
    <w:p w14:paraId="2BD503A6" w14:textId="71D88E19" w:rsidR="00C655A7" w:rsidRPr="009F2251" w:rsidRDefault="00C655A7">
      <w:pPr>
        <w:pStyle w:val="FootnoteText"/>
        <w:rPr>
          <w:rFonts w:ascii="Aptos" w:hAnsi="Aptos"/>
          <w:sz w:val="20"/>
          <w:szCs w:val="20"/>
          <w:shd w:val="clear" w:color="auto" w:fill="FFFFFF"/>
        </w:rPr>
      </w:pPr>
      <w:r w:rsidRPr="009F2251">
        <w:rPr>
          <w:rStyle w:val="FootnoteReference"/>
          <w:rFonts w:ascii="Aptos" w:hAnsi="Aptos"/>
          <w:sz w:val="20"/>
          <w:szCs w:val="20"/>
        </w:rPr>
        <w:footnoteRef/>
      </w:r>
      <w:r w:rsidRPr="009F2251">
        <w:rPr>
          <w:rFonts w:ascii="Aptos" w:hAnsi="Aptos"/>
          <w:sz w:val="20"/>
          <w:szCs w:val="20"/>
        </w:rPr>
        <w:t xml:space="preserve"> </w:t>
      </w:r>
      <w:r w:rsidR="00305760" w:rsidRPr="009F2251">
        <w:rPr>
          <w:rFonts w:ascii="Aptos" w:hAnsi="Aptos"/>
          <w:sz w:val="20"/>
          <w:szCs w:val="20"/>
        </w:rPr>
        <w:t xml:space="preserve">See </w:t>
      </w:r>
      <w:r w:rsidR="00305760" w:rsidRPr="009F2251">
        <w:rPr>
          <w:rFonts w:ascii="Aptos" w:hAnsi="Aptos"/>
          <w:i/>
          <w:iCs/>
          <w:sz w:val="20"/>
          <w:szCs w:val="20"/>
          <w:shd w:val="clear" w:color="auto" w:fill="FFFFFF"/>
        </w:rPr>
        <w:t>In</w:t>
      </w:r>
      <w:r w:rsidR="00305760" w:rsidRPr="009F2251">
        <w:rPr>
          <w:rFonts w:ascii="Aptos" w:hAnsi="Aptos"/>
          <w:i/>
          <w:iCs/>
          <w:sz w:val="20"/>
          <w:szCs w:val="20"/>
        </w:rPr>
        <w:t xml:space="preserve"> re: Student v.</w:t>
      </w:r>
      <w:r w:rsidR="00305760" w:rsidRPr="009F2251">
        <w:rPr>
          <w:rStyle w:val="apple-converted-space"/>
          <w:rFonts w:ascii="Aptos" w:hAnsi="Aptos"/>
          <w:i/>
          <w:iCs/>
          <w:sz w:val="20"/>
          <w:szCs w:val="20"/>
        </w:rPr>
        <w:t xml:space="preserve"> Springfield </w:t>
      </w:r>
      <w:r w:rsidR="00305760" w:rsidRPr="009F2251">
        <w:rPr>
          <w:rFonts w:ascii="Aptos" w:hAnsi="Aptos"/>
          <w:i/>
          <w:iCs/>
          <w:sz w:val="20"/>
          <w:szCs w:val="20"/>
        </w:rPr>
        <w:t>Public Schools (Ruling on Springfield Public Schools’ Motion to Dismiss)</w:t>
      </w:r>
      <w:r w:rsidR="00305760" w:rsidRPr="009F2251">
        <w:rPr>
          <w:rFonts w:ascii="Aptos" w:hAnsi="Aptos"/>
          <w:sz w:val="20"/>
          <w:szCs w:val="20"/>
        </w:rPr>
        <w:t>, BSEA #2208440 (Kantor Nir, 2022) (“t</w:t>
      </w:r>
      <w:r w:rsidR="00305760" w:rsidRPr="009F2251">
        <w:rPr>
          <w:rFonts w:ascii="Aptos" w:hAnsi="Aptos"/>
          <w:sz w:val="20"/>
          <w:szCs w:val="20"/>
          <w:shd w:val="clear" w:color="auto" w:fill="FFFFFF"/>
        </w:rPr>
        <w:t>aking Parent’s allegations as true, Parent’s assertion that the District’s actions relative to Student’s</w:t>
      </w:r>
      <w:r w:rsidR="00305760" w:rsidRPr="009F2251">
        <w:rPr>
          <w:rStyle w:val="apple-converted-space"/>
          <w:rFonts w:ascii="Aptos" w:hAnsi="Aptos"/>
          <w:sz w:val="20"/>
          <w:szCs w:val="20"/>
          <w:shd w:val="clear" w:color="auto" w:fill="FFFFFF"/>
        </w:rPr>
        <w:t xml:space="preserve"> Title IX c</w:t>
      </w:r>
      <w:r w:rsidR="00305760" w:rsidRPr="009F2251">
        <w:rPr>
          <w:rFonts w:ascii="Aptos" w:hAnsi="Aptos"/>
          <w:sz w:val="20"/>
          <w:szCs w:val="20"/>
          <w:shd w:val="clear" w:color="auto" w:fill="FFFFFF"/>
        </w:rPr>
        <w:t>omplaint resulted in the District’s failure to deliver FAPE and in the deprivation of ‘educational opportunity [to Student] that directly correlated to significant regression, lack of progress, and anxiety, and depression … [as well as] a fear of school’ forms the basis of Student’s complaint. Because the gravamen of the claim is IDEA-based, it requires exhaustion of administrative remedies under the IDEA and</w:t>
      </w:r>
      <w:r w:rsidR="00305760" w:rsidRPr="009F2251">
        <w:rPr>
          <w:rStyle w:val="apple-converted-space"/>
          <w:rFonts w:ascii="Aptos" w:hAnsi="Aptos"/>
          <w:sz w:val="20"/>
          <w:szCs w:val="20"/>
          <w:shd w:val="clear" w:color="auto" w:fill="FFFFFF"/>
        </w:rPr>
        <w:t> </w:t>
      </w:r>
      <w:r w:rsidR="00305760" w:rsidRPr="009F2251">
        <w:rPr>
          <w:rFonts w:ascii="Aptos" w:hAnsi="Aptos"/>
          <w:sz w:val="20"/>
          <w:szCs w:val="20"/>
        </w:rPr>
        <w:t>survives</w:t>
      </w:r>
      <w:r w:rsidR="00305760" w:rsidRPr="009F2251">
        <w:rPr>
          <w:rStyle w:val="apple-converted-space"/>
          <w:rFonts w:ascii="Aptos" w:hAnsi="Aptos"/>
          <w:sz w:val="20"/>
          <w:szCs w:val="20"/>
          <w:shd w:val="clear" w:color="auto" w:fill="FFFFFF"/>
        </w:rPr>
        <w:t> </w:t>
      </w:r>
      <w:r w:rsidR="00305760" w:rsidRPr="009F2251">
        <w:rPr>
          <w:rFonts w:ascii="Aptos" w:hAnsi="Aptos"/>
          <w:sz w:val="20"/>
          <w:szCs w:val="20"/>
          <w:shd w:val="clear" w:color="auto" w:fill="FFFFFF"/>
        </w:rPr>
        <w:t xml:space="preserve">dismissal”) (internal citations and quotations omitted); </w:t>
      </w:r>
      <w:r w:rsidR="00305760" w:rsidRPr="009F2251">
        <w:rPr>
          <w:rFonts w:ascii="Aptos" w:hAnsi="Aptos"/>
          <w:sz w:val="20"/>
          <w:szCs w:val="20"/>
        </w:rPr>
        <w:t>s</w:t>
      </w:r>
      <w:r w:rsidR="00305760" w:rsidRPr="009F2251">
        <w:rPr>
          <w:rFonts w:ascii="Aptos" w:hAnsi="Aptos" w:cs="Times New Roman"/>
          <w:sz w:val="20"/>
          <w:szCs w:val="20"/>
        </w:rPr>
        <w:t xml:space="preserve">ee also </w:t>
      </w:r>
      <w:r w:rsidR="00305760" w:rsidRPr="009F2251">
        <w:rPr>
          <w:rStyle w:val="apple-converted-space"/>
          <w:rFonts w:ascii="Aptos" w:hAnsi="Aptos" w:cs="Times New Roman"/>
          <w:i/>
          <w:iCs/>
          <w:sz w:val="20"/>
          <w:szCs w:val="20"/>
        </w:rPr>
        <w:t>Dear Colleague Letter: Responding to Bullying of Students With Disabilities</w:t>
      </w:r>
      <w:r w:rsidR="00305760" w:rsidRPr="009F2251">
        <w:rPr>
          <w:rStyle w:val="apple-converted-space"/>
          <w:rFonts w:ascii="Aptos" w:hAnsi="Aptos" w:cs="Times New Roman"/>
          <w:sz w:val="20"/>
          <w:szCs w:val="20"/>
        </w:rPr>
        <w:t>, 64 IDELR 115 (OCR 2014) (“</w:t>
      </w:r>
      <w:r w:rsidR="00305760" w:rsidRPr="009F2251">
        <w:rPr>
          <w:rFonts w:ascii="Aptos" w:hAnsi="Aptos" w:cs="Times New Roman"/>
          <w:sz w:val="20"/>
          <w:szCs w:val="20"/>
        </w:rPr>
        <w:t>Schools have an obligation to ensure that a student with a disability who is the target of bullying behavior continues to receive FAPE in accordance with his or her IEP”).</w:t>
      </w:r>
      <w:r w:rsidR="00305760" w:rsidRPr="009F2251">
        <w:rPr>
          <w:rFonts w:ascii="Aptos" w:hAnsi="Aptos"/>
          <w:sz w:val="20"/>
          <w:szCs w:val="20"/>
        </w:rPr>
        <w:t xml:space="preserve"> </w:t>
      </w:r>
      <w:r w:rsidR="00305760" w:rsidRPr="00DD3556">
        <w:rPr>
          <w:rFonts w:ascii="Aptos" w:hAnsi="Aptos"/>
          <w:i/>
          <w:iCs/>
          <w:sz w:val="20"/>
          <w:szCs w:val="20"/>
        </w:rPr>
        <w:t>Cf.</w:t>
      </w:r>
      <w:r w:rsidR="00305760" w:rsidRPr="009F2251">
        <w:rPr>
          <w:rFonts w:ascii="Aptos" w:hAnsi="Aptos"/>
          <w:sz w:val="20"/>
          <w:szCs w:val="20"/>
        </w:rPr>
        <w:t xml:space="preserve"> </w:t>
      </w:r>
      <w:r w:rsidR="00305760" w:rsidRPr="009F2251">
        <w:rPr>
          <w:rFonts w:ascii="Aptos" w:hAnsi="Aptos"/>
          <w:i/>
          <w:iCs/>
          <w:sz w:val="20"/>
          <w:szCs w:val="20"/>
        </w:rPr>
        <w:t xml:space="preserve">In Re: Student v. Dracut Public Schools – </w:t>
      </w:r>
      <w:r w:rsidR="00305760" w:rsidRPr="009F2251">
        <w:rPr>
          <w:rFonts w:ascii="Aptos" w:hAnsi="Aptos"/>
          <w:sz w:val="20"/>
          <w:szCs w:val="20"/>
        </w:rPr>
        <w:t>BSEA #23-12210 (Kantor Nir, 2023)</w:t>
      </w:r>
      <w:r w:rsidR="00305760" w:rsidRPr="009F2251">
        <w:rPr>
          <w:rFonts w:ascii="Aptos" w:hAnsi="Aptos"/>
          <w:i/>
          <w:iCs/>
          <w:sz w:val="20"/>
          <w:szCs w:val="20"/>
        </w:rPr>
        <w:t xml:space="preserve"> </w:t>
      </w:r>
      <w:r w:rsidR="00305760" w:rsidRPr="009F2251">
        <w:rPr>
          <w:rFonts w:ascii="Aptos" w:hAnsi="Aptos" w:cs="Times New Roman"/>
          <w:sz w:val="20"/>
          <w:szCs w:val="20"/>
        </w:rPr>
        <w:t xml:space="preserve">(emphasizing need for connection between “Student’s disability and either the bullying . . . or the District’s handling of the incidents” for BSEA jurisdiction); </w:t>
      </w:r>
      <w:r w:rsidR="00305760" w:rsidRPr="009F2251">
        <w:rPr>
          <w:rFonts w:ascii="Aptos" w:hAnsi="Aptos"/>
          <w:i/>
          <w:iCs/>
          <w:sz w:val="20"/>
          <w:szCs w:val="20"/>
        </w:rPr>
        <w:t>In re: Monomoy Regional School District</w:t>
      </w:r>
      <w:r w:rsidR="00305760" w:rsidRPr="009F2251">
        <w:rPr>
          <w:rFonts w:ascii="Aptos" w:hAnsi="Aptos"/>
          <w:sz w:val="20"/>
          <w:szCs w:val="20"/>
        </w:rPr>
        <w:t>, BSEA #2009834 (Berman, 2020) (requiring plausible factual allegations indicating that bullying was related to disability)</w:t>
      </w:r>
      <w:r w:rsidR="00305760" w:rsidRPr="009F2251">
        <w:rPr>
          <w:rFonts w:ascii="Aptos" w:hAnsi="Aptos"/>
          <w:sz w:val="20"/>
          <w:szCs w:val="20"/>
          <w:shd w:val="clear" w:color="auto" w:fill="FFFFFF"/>
        </w:rPr>
        <w:t>.</w:t>
      </w:r>
    </w:p>
  </w:footnote>
  <w:footnote w:id="21">
    <w:p w14:paraId="1505C790" w14:textId="6009D2D4" w:rsidR="00920879" w:rsidRPr="009F2251" w:rsidRDefault="00920879">
      <w:pPr>
        <w:pStyle w:val="FootnoteText"/>
        <w:rPr>
          <w:rFonts w:ascii="Aptos" w:hAnsi="Aptos"/>
          <w:i/>
          <w:iCs/>
          <w:sz w:val="20"/>
          <w:szCs w:val="20"/>
        </w:rPr>
      </w:pPr>
      <w:r w:rsidRPr="009F2251">
        <w:rPr>
          <w:rStyle w:val="FootnoteReference"/>
          <w:rFonts w:ascii="Aptos" w:hAnsi="Aptos"/>
          <w:sz w:val="20"/>
          <w:szCs w:val="20"/>
        </w:rPr>
        <w:footnoteRef/>
      </w:r>
      <w:r w:rsidRPr="009F2251">
        <w:rPr>
          <w:rFonts w:ascii="Aptos" w:hAnsi="Aptos"/>
          <w:sz w:val="20"/>
          <w:szCs w:val="20"/>
        </w:rPr>
        <w:t xml:space="preserve"> See </w:t>
      </w:r>
      <w:r w:rsidR="00FD3859" w:rsidRPr="009F2251">
        <w:rPr>
          <w:rFonts w:ascii="Aptos" w:hAnsi="Aptos" w:cs="Times New Roman"/>
          <w:i/>
          <w:sz w:val="20"/>
          <w:szCs w:val="20"/>
        </w:rPr>
        <w:t xml:space="preserve">Golchin </w:t>
      </w:r>
      <w:r w:rsidR="00FD3859" w:rsidRPr="009F2251">
        <w:rPr>
          <w:rFonts w:ascii="Aptos" w:hAnsi="Aptos" w:cs="Times New Roman"/>
          <w:sz w:val="20"/>
          <w:szCs w:val="20"/>
        </w:rPr>
        <w:t xml:space="preserve">460 Mass. </w:t>
      </w:r>
      <w:r w:rsidR="00A77290" w:rsidRPr="009F2251">
        <w:rPr>
          <w:rFonts w:ascii="Aptos" w:hAnsi="Aptos" w:cs="Times New Roman"/>
          <w:sz w:val="20"/>
          <w:szCs w:val="20"/>
        </w:rPr>
        <w:t>at</w:t>
      </w:r>
      <w:r w:rsidR="00D72B8A" w:rsidRPr="009F2251">
        <w:rPr>
          <w:rFonts w:ascii="Aptos" w:hAnsi="Aptos" w:cs="Times New Roman"/>
          <w:sz w:val="20"/>
          <w:szCs w:val="20"/>
        </w:rPr>
        <w:t xml:space="preserve"> 22</w:t>
      </w:r>
      <w:r w:rsidR="00C81B9E" w:rsidRPr="009F2251">
        <w:rPr>
          <w:rFonts w:ascii="Aptos" w:hAnsi="Aptos" w:cs="Times New Roman"/>
          <w:sz w:val="20"/>
          <w:szCs w:val="20"/>
        </w:rPr>
        <w:t>3</w:t>
      </w:r>
      <w:r w:rsidR="00E34307" w:rsidRPr="009F2251">
        <w:rPr>
          <w:rFonts w:ascii="Aptos" w:hAnsi="Aptos" w:cs="Times New Roman"/>
          <w:sz w:val="20"/>
          <w:szCs w:val="20"/>
        </w:rPr>
        <w:t xml:space="preserve">; </w:t>
      </w:r>
      <w:r w:rsidR="00E34307" w:rsidRPr="009F2251">
        <w:rPr>
          <w:rFonts w:ascii="Aptos" w:hAnsi="Aptos" w:cs="Times New Roman"/>
          <w:i/>
          <w:sz w:val="20"/>
          <w:szCs w:val="20"/>
        </w:rPr>
        <w:t>Blank</w:t>
      </w:r>
      <w:r w:rsidR="00E34307" w:rsidRPr="009F2251">
        <w:rPr>
          <w:rFonts w:ascii="Aptos" w:hAnsi="Aptos" w:cs="Times New Roman"/>
          <w:sz w:val="20"/>
          <w:szCs w:val="20"/>
        </w:rPr>
        <w:t>,</w:t>
      </w:r>
      <w:r w:rsidR="00E34307" w:rsidRPr="009F2251">
        <w:rPr>
          <w:rFonts w:ascii="Aptos" w:hAnsi="Aptos" w:cs="Times New Roman"/>
          <w:i/>
          <w:sz w:val="20"/>
          <w:szCs w:val="20"/>
        </w:rPr>
        <w:t xml:space="preserve"> </w:t>
      </w:r>
      <w:r w:rsidR="00E34307" w:rsidRPr="009F2251">
        <w:rPr>
          <w:rFonts w:ascii="Aptos" w:hAnsi="Aptos" w:cs="Times New Roman"/>
          <w:sz w:val="20"/>
          <w:szCs w:val="20"/>
        </w:rPr>
        <w:t>420 Mass. at 407</w:t>
      </w:r>
      <w:r w:rsidR="007D05B7" w:rsidRPr="009F2251">
        <w:rPr>
          <w:rFonts w:ascii="Aptos" w:hAnsi="Aptos" w:cs="Times New Roman"/>
          <w:sz w:val="20"/>
          <w:szCs w:val="20"/>
        </w:rPr>
        <w:t xml:space="preserve">; </w:t>
      </w:r>
      <w:r w:rsidR="00F43697" w:rsidRPr="009F2251">
        <w:rPr>
          <w:rFonts w:ascii="Aptos" w:hAnsi="Aptos" w:cs="Times New Roman"/>
          <w:i/>
          <w:iCs/>
          <w:sz w:val="20"/>
          <w:szCs w:val="20"/>
        </w:rPr>
        <w:t>Marram v. Kobrick Offshore Fund., Ltd.</w:t>
      </w:r>
      <w:r w:rsidR="00F43697" w:rsidRPr="009F2251">
        <w:rPr>
          <w:rFonts w:ascii="Aptos" w:hAnsi="Aptos" w:cs="Times New Roman"/>
          <w:sz w:val="20"/>
          <w:szCs w:val="20"/>
        </w:rPr>
        <w:t xml:space="preserve">, </w:t>
      </w:r>
      <w:r w:rsidR="00401DE1" w:rsidRPr="009F2251">
        <w:rPr>
          <w:rFonts w:ascii="Aptos" w:hAnsi="Aptos" w:cs="Times New Roman"/>
          <w:sz w:val="20"/>
          <w:szCs w:val="20"/>
        </w:rPr>
        <w:t>442 Mass 43,</w:t>
      </w:r>
      <w:r w:rsidR="00006867" w:rsidRPr="009F2251">
        <w:rPr>
          <w:rFonts w:ascii="Aptos" w:hAnsi="Aptos" w:cs="Times New Roman"/>
          <w:sz w:val="20"/>
          <w:szCs w:val="20"/>
        </w:rPr>
        <w:t xml:space="preserve"> 45</w:t>
      </w:r>
      <w:r w:rsidR="00F43697" w:rsidRPr="009F2251">
        <w:rPr>
          <w:rFonts w:ascii="Aptos" w:hAnsi="Aptos" w:cs="Times New Roman"/>
          <w:sz w:val="20"/>
          <w:szCs w:val="20"/>
        </w:rPr>
        <w:t xml:space="preserve"> </w:t>
      </w:r>
      <w:r w:rsidR="00603D3F" w:rsidRPr="009F2251">
        <w:rPr>
          <w:rFonts w:ascii="Aptos" w:hAnsi="Aptos" w:cs="Times New Roman"/>
          <w:sz w:val="20"/>
          <w:szCs w:val="20"/>
        </w:rPr>
        <w:t>(2004)</w:t>
      </w:r>
      <w:r w:rsidR="00505CD3" w:rsidRPr="009F2251">
        <w:rPr>
          <w:rFonts w:ascii="Aptos" w:hAnsi="Aptos" w:cs="Times New Roman"/>
          <w:sz w:val="20"/>
          <w:szCs w:val="20"/>
        </w:rPr>
        <w:t>;</w:t>
      </w:r>
      <w:r w:rsidR="002A5FBC" w:rsidRPr="009F2251">
        <w:rPr>
          <w:rFonts w:ascii="Aptos" w:hAnsi="Aptos" w:cs="Times New Roman"/>
          <w:sz w:val="20"/>
          <w:szCs w:val="20"/>
        </w:rPr>
        <w:t xml:space="preserve"> </w:t>
      </w:r>
      <w:r w:rsidR="002A5FBC" w:rsidRPr="009F2251">
        <w:rPr>
          <w:rFonts w:ascii="Aptos" w:hAnsi="Aptos" w:cs="Times New Roman"/>
          <w:i/>
          <w:sz w:val="20"/>
          <w:szCs w:val="20"/>
        </w:rPr>
        <w:t>Ahmed</w:t>
      </w:r>
      <w:r w:rsidR="000977F3" w:rsidRPr="009F2251">
        <w:rPr>
          <w:rFonts w:ascii="Aptos" w:hAnsi="Aptos" w:cs="Times New Roman"/>
          <w:iCs/>
          <w:sz w:val="20"/>
          <w:szCs w:val="20"/>
        </w:rPr>
        <w:t xml:space="preserve">, </w:t>
      </w:r>
      <w:r w:rsidR="002A5FBC" w:rsidRPr="009F2251">
        <w:rPr>
          <w:rFonts w:ascii="Aptos" w:hAnsi="Aptos" w:cs="Times New Roman"/>
          <w:iCs/>
          <w:sz w:val="20"/>
          <w:szCs w:val="20"/>
        </w:rPr>
        <w:t>F</w:t>
      </w:r>
      <w:r w:rsidR="002A5FBC" w:rsidRPr="009F2251">
        <w:rPr>
          <w:rFonts w:ascii="Aptos" w:hAnsi="Aptos" w:cs="Times New Roman"/>
          <w:sz w:val="20"/>
          <w:szCs w:val="20"/>
        </w:rPr>
        <w:t xml:space="preserve">.3d </w:t>
      </w:r>
      <w:r w:rsidR="000977F3" w:rsidRPr="009F2251">
        <w:rPr>
          <w:rFonts w:ascii="Aptos" w:hAnsi="Aptos" w:cs="Times New Roman"/>
          <w:sz w:val="20"/>
          <w:szCs w:val="20"/>
        </w:rPr>
        <w:t xml:space="preserve">at </w:t>
      </w:r>
      <w:r w:rsidR="002A5FBC" w:rsidRPr="009F2251">
        <w:rPr>
          <w:rFonts w:ascii="Aptos" w:hAnsi="Aptos" w:cs="Times New Roman"/>
          <w:sz w:val="20"/>
          <w:szCs w:val="20"/>
        </w:rPr>
        <w:t>890 (1st Cir. 1997).</w:t>
      </w:r>
    </w:p>
  </w:footnote>
  <w:footnote w:id="22">
    <w:p w14:paraId="20DC88C3" w14:textId="193A124D" w:rsidR="00D96725" w:rsidRPr="009F2251" w:rsidRDefault="00D96725">
      <w:pPr>
        <w:pStyle w:val="FootnoteText"/>
        <w:rPr>
          <w:rFonts w:ascii="Aptos" w:hAnsi="Aptos"/>
          <w:sz w:val="20"/>
          <w:szCs w:val="20"/>
        </w:rPr>
      </w:pPr>
      <w:r w:rsidRPr="009F2251">
        <w:rPr>
          <w:rStyle w:val="FootnoteReference"/>
          <w:rFonts w:ascii="Aptos" w:hAnsi="Aptos"/>
          <w:sz w:val="20"/>
          <w:szCs w:val="20"/>
        </w:rPr>
        <w:footnoteRef/>
      </w:r>
      <w:r w:rsidRPr="009F2251">
        <w:rPr>
          <w:rFonts w:ascii="Aptos" w:hAnsi="Aptos"/>
          <w:sz w:val="20"/>
          <w:szCs w:val="20"/>
        </w:rPr>
        <w:t xml:space="preserve"> </w:t>
      </w:r>
      <w:r w:rsidR="005477C1" w:rsidRPr="009F2251">
        <w:rPr>
          <w:rFonts w:ascii="Aptos" w:hAnsi="Aptos"/>
          <w:sz w:val="20"/>
          <w:szCs w:val="20"/>
        </w:rPr>
        <w:t xml:space="preserve">See </w:t>
      </w:r>
      <w:r w:rsidR="005477C1" w:rsidRPr="009F2251">
        <w:rPr>
          <w:rFonts w:ascii="Aptos" w:hAnsi="Aptos"/>
          <w:i/>
          <w:iCs/>
          <w:sz w:val="20"/>
          <w:szCs w:val="20"/>
        </w:rPr>
        <w:t>Doe v. Attleboro Public Schools</w:t>
      </w:r>
      <w:r w:rsidR="005477C1" w:rsidRPr="009F2251">
        <w:rPr>
          <w:rFonts w:ascii="Aptos" w:hAnsi="Aptos"/>
          <w:sz w:val="20"/>
          <w:szCs w:val="20"/>
        </w:rPr>
        <w:t xml:space="preserve">, 960 F. Supp. 2d 295, 295 (2013) (“The IDEA provides that where a party to a state or local educational agency </w:t>
      </w:r>
      <w:r w:rsidR="00DE316A">
        <w:rPr>
          <w:rFonts w:ascii="Aptos" w:hAnsi="Aptos"/>
          <w:sz w:val="20"/>
          <w:szCs w:val="20"/>
        </w:rPr>
        <w:t xml:space="preserve">action </w:t>
      </w:r>
      <w:r w:rsidR="005477C1" w:rsidRPr="009F2251">
        <w:rPr>
          <w:rFonts w:ascii="Aptos" w:hAnsi="Aptos"/>
          <w:sz w:val="20"/>
          <w:szCs w:val="20"/>
        </w:rPr>
        <w:t>alleged procedural violations, the Hearing Officer may find that the student did not receive a FAPE”</w:t>
      </w:r>
      <w:r w:rsidR="00DE316A">
        <w:rPr>
          <w:rFonts w:ascii="Aptos" w:hAnsi="Aptos"/>
          <w:sz w:val="20"/>
          <w:szCs w:val="20"/>
        </w:rPr>
        <w:t xml:space="preserve"> under certain circumstances</w:t>
      </w:r>
      <w:r w:rsidR="005477C1" w:rsidRPr="009F2251">
        <w:rPr>
          <w:rFonts w:ascii="Aptos" w:hAnsi="Aptos"/>
          <w:sz w:val="20"/>
          <w:szCs w:val="20"/>
        </w:rPr>
        <w:t>).</w:t>
      </w:r>
    </w:p>
  </w:footnote>
  <w:footnote w:id="23">
    <w:p w14:paraId="4A564438" w14:textId="77685524" w:rsidR="00DE316A" w:rsidRPr="009F2251" w:rsidRDefault="001C262A">
      <w:pPr>
        <w:pStyle w:val="FootnoteText"/>
        <w:rPr>
          <w:rFonts w:ascii="Aptos" w:hAnsi="Aptos"/>
          <w:sz w:val="20"/>
          <w:szCs w:val="20"/>
        </w:rPr>
      </w:pPr>
      <w:r w:rsidRPr="009F2251">
        <w:rPr>
          <w:rStyle w:val="FootnoteReference"/>
          <w:rFonts w:ascii="Aptos" w:hAnsi="Aptos"/>
          <w:sz w:val="20"/>
          <w:szCs w:val="20"/>
        </w:rPr>
        <w:footnoteRef/>
      </w:r>
      <w:r w:rsidRPr="009F2251">
        <w:rPr>
          <w:rFonts w:ascii="Aptos" w:hAnsi="Aptos"/>
          <w:sz w:val="20"/>
          <w:szCs w:val="20"/>
        </w:rPr>
        <w:t xml:space="preserve"> </w:t>
      </w:r>
      <w:r w:rsidR="00D74BA1" w:rsidRPr="009F2251">
        <w:rPr>
          <w:rFonts w:ascii="Aptos" w:hAnsi="Aptos"/>
          <w:sz w:val="20"/>
          <w:szCs w:val="20"/>
        </w:rPr>
        <w:t>See 20 U.S.C. §1415(f)(3)(E)(ii); 34 CFR 300.513(a)(2)</w:t>
      </w:r>
      <w:r w:rsidR="00130515" w:rsidRPr="009F2251">
        <w:rPr>
          <w:rFonts w:ascii="Aptos" w:hAnsi="Aptos"/>
          <w:sz w:val="20"/>
          <w:szCs w:val="20"/>
        </w:rPr>
        <w:t xml:space="preserve"> (“In matters alleging procedural violations, a hearing officer may find that a child did not receive a free appropriate public education only if the procedural inadequacies – (I) impeded the child’s right to a free appropriate public education; (II) significantly impeded the parent</w:t>
      </w:r>
      <w:r w:rsidR="00FF0742" w:rsidRPr="009F2251">
        <w:rPr>
          <w:rFonts w:ascii="Aptos" w:hAnsi="Aptos"/>
          <w:sz w:val="20"/>
          <w:szCs w:val="20"/>
        </w:rPr>
        <w:t>s’ opportunity to participate in the decision making process regarding the provision of a free appropriate public education to the parents’ child or (III) caused a deprivation of educational benefits”)</w:t>
      </w:r>
      <w:r w:rsidR="00D74BA1" w:rsidRPr="009F2251">
        <w:rPr>
          <w:rFonts w:ascii="Aptos" w:hAnsi="Aptos"/>
          <w:sz w:val="20"/>
          <w:szCs w:val="20"/>
        </w:rPr>
        <w:t>;</w:t>
      </w:r>
      <w:r w:rsidR="00682AC0" w:rsidRPr="009F2251">
        <w:rPr>
          <w:rFonts w:ascii="Aptos" w:hAnsi="Aptos"/>
          <w:sz w:val="20"/>
          <w:szCs w:val="20"/>
        </w:rPr>
        <w:t xml:space="preserve"> see also</w:t>
      </w:r>
      <w:r w:rsidR="00D74BA1" w:rsidRPr="009F2251">
        <w:rPr>
          <w:rFonts w:ascii="Aptos" w:hAnsi="Aptos"/>
          <w:sz w:val="20"/>
          <w:szCs w:val="20"/>
        </w:rPr>
        <w:t xml:space="preserve"> </w:t>
      </w:r>
      <w:r w:rsidR="00D74BA1" w:rsidRPr="009F2251">
        <w:rPr>
          <w:rFonts w:ascii="Aptos" w:hAnsi="Aptos"/>
          <w:i/>
          <w:iCs/>
          <w:sz w:val="20"/>
          <w:szCs w:val="20"/>
        </w:rPr>
        <w:t xml:space="preserve">Gonzalez v. Puerto Rico </w:t>
      </w:r>
      <w:proofErr w:type="spellStart"/>
      <w:r w:rsidR="00D74BA1" w:rsidRPr="009F2251">
        <w:rPr>
          <w:rFonts w:ascii="Aptos" w:hAnsi="Aptos"/>
          <w:i/>
          <w:iCs/>
          <w:sz w:val="20"/>
          <w:szCs w:val="20"/>
        </w:rPr>
        <w:t>Dep’t</w:t>
      </w:r>
      <w:proofErr w:type="spellEnd"/>
      <w:r w:rsidR="00D74BA1" w:rsidRPr="009F2251">
        <w:rPr>
          <w:rFonts w:ascii="Aptos" w:hAnsi="Aptos"/>
          <w:i/>
          <w:iCs/>
          <w:sz w:val="20"/>
          <w:szCs w:val="20"/>
        </w:rPr>
        <w:t xml:space="preserve"> of Educ.</w:t>
      </w:r>
      <w:r w:rsidR="00D74BA1" w:rsidRPr="009F2251">
        <w:rPr>
          <w:rFonts w:ascii="Aptos" w:hAnsi="Aptos"/>
          <w:sz w:val="20"/>
          <w:szCs w:val="20"/>
        </w:rPr>
        <w:t xml:space="preserve">, 969 F. Supp. 801, 812 (D.P.R. 1997) (“A procedural infraction </w:t>
      </w:r>
      <w:r w:rsidR="00DE316A">
        <w:rPr>
          <w:rFonts w:ascii="Aptos" w:hAnsi="Aptos"/>
          <w:sz w:val="20"/>
          <w:szCs w:val="20"/>
        </w:rPr>
        <w:t>constitutes a violation of the IDEA when there is ‘some rational basis to believe that procedural inadequacies compromised the pupil’s right to an appropriate education, seriously hampered the parents’ opportunity to participate in the formulation process, or caused a deprivation of educational benefits</w:t>
      </w:r>
      <w:r w:rsidR="00B02D1C">
        <w:rPr>
          <w:rFonts w:ascii="Aptos" w:hAnsi="Aptos"/>
          <w:sz w:val="20"/>
          <w:szCs w:val="20"/>
        </w:rPr>
        <w:t>.’</w:t>
      </w:r>
      <w:r w:rsidR="00DE316A">
        <w:rPr>
          <w:rFonts w:ascii="Aptos" w:hAnsi="Aptos"/>
          <w:sz w:val="20"/>
          <w:szCs w:val="20"/>
        </w:rPr>
        <w:t>”)</w:t>
      </w:r>
      <w:r w:rsidR="00B02D1C">
        <w:rPr>
          <w:rFonts w:ascii="Aptos" w:hAnsi="Aptos"/>
          <w:sz w:val="20"/>
          <w:szCs w:val="20"/>
        </w:rPr>
        <w:t xml:space="preserve"> </w:t>
      </w:r>
      <w:r w:rsidR="00D74BA1" w:rsidRPr="009F2251">
        <w:rPr>
          <w:rFonts w:ascii="Aptos" w:hAnsi="Aptos"/>
          <w:sz w:val="20"/>
          <w:szCs w:val="20"/>
        </w:rPr>
        <w:t>(</w:t>
      </w:r>
      <w:r w:rsidR="009C26BC">
        <w:rPr>
          <w:rFonts w:ascii="Aptos" w:hAnsi="Aptos"/>
          <w:sz w:val="20"/>
          <w:szCs w:val="20"/>
        </w:rPr>
        <w:t>internal citations omitted</w:t>
      </w:r>
      <w:r w:rsidR="00D74BA1" w:rsidRPr="009F2251">
        <w:rPr>
          <w:rFonts w:ascii="Aptos" w:hAnsi="Aptos"/>
          <w:sz w:val="20"/>
          <w:szCs w:val="20"/>
        </w:rPr>
        <w:t>)</w:t>
      </w:r>
      <w:r w:rsidR="009C26BC">
        <w:rPr>
          <w:rFonts w:ascii="Aptos" w:hAnsi="Aptos"/>
          <w:sz w:val="20"/>
          <w:szCs w:val="20"/>
        </w:rPr>
        <w:t>.</w:t>
      </w:r>
    </w:p>
  </w:footnote>
  <w:footnote w:id="24">
    <w:p w14:paraId="41F28915" w14:textId="07A75360" w:rsidR="00D31AB3" w:rsidRPr="009F2251" w:rsidRDefault="00D31AB3">
      <w:pPr>
        <w:pStyle w:val="FootnoteText"/>
        <w:rPr>
          <w:rFonts w:ascii="Aptos" w:hAnsi="Aptos"/>
          <w:b/>
          <w:bCs/>
          <w:sz w:val="20"/>
          <w:szCs w:val="20"/>
        </w:rPr>
      </w:pPr>
      <w:r w:rsidRPr="009F2251">
        <w:rPr>
          <w:rStyle w:val="FootnoteReference"/>
          <w:rFonts w:ascii="Aptos" w:hAnsi="Aptos"/>
          <w:sz w:val="20"/>
          <w:szCs w:val="20"/>
        </w:rPr>
        <w:footnoteRef/>
      </w:r>
      <w:r w:rsidRPr="009F2251">
        <w:rPr>
          <w:rFonts w:ascii="Aptos" w:hAnsi="Aptos"/>
          <w:sz w:val="20"/>
          <w:szCs w:val="20"/>
        </w:rPr>
        <w:t xml:space="preserve"> </w:t>
      </w:r>
      <w:r w:rsidR="001C262A" w:rsidRPr="009F2251">
        <w:rPr>
          <w:rFonts w:ascii="Aptos" w:hAnsi="Aptos"/>
          <w:sz w:val="20"/>
          <w:szCs w:val="20"/>
        </w:rPr>
        <w:t xml:space="preserve">See </w:t>
      </w:r>
      <w:r w:rsidR="001C262A" w:rsidRPr="009F2251">
        <w:rPr>
          <w:rFonts w:ascii="Aptos" w:hAnsi="Aptos"/>
          <w:i/>
          <w:iCs/>
          <w:sz w:val="20"/>
          <w:szCs w:val="20"/>
        </w:rPr>
        <w:t>Ocasio-Hernandez</w:t>
      </w:r>
      <w:r w:rsidR="001C262A" w:rsidRPr="009F2251">
        <w:rPr>
          <w:rFonts w:ascii="Aptos" w:hAnsi="Aptos"/>
          <w:sz w:val="20"/>
          <w:szCs w:val="20"/>
        </w:rPr>
        <w:t>,</w:t>
      </w:r>
      <w:r w:rsidR="001C262A" w:rsidRPr="009F2251">
        <w:rPr>
          <w:rFonts w:ascii="Aptos" w:hAnsi="Aptos"/>
          <w:i/>
          <w:iCs/>
          <w:sz w:val="20"/>
          <w:szCs w:val="20"/>
        </w:rPr>
        <w:t xml:space="preserve"> </w:t>
      </w:r>
      <w:r w:rsidR="001C262A" w:rsidRPr="009F2251">
        <w:rPr>
          <w:rFonts w:ascii="Aptos" w:hAnsi="Aptos"/>
          <w:sz w:val="20"/>
          <w:szCs w:val="20"/>
        </w:rPr>
        <w:t>640 F.3d at 12 (“</w:t>
      </w:r>
      <w:r w:rsidR="00942A5D" w:rsidRPr="009F2251">
        <w:rPr>
          <w:rFonts w:ascii="Aptos" w:hAnsi="Aptos"/>
          <w:sz w:val="20"/>
          <w:szCs w:val="20"/>
        </w:rPr>
        <w:t>I</w:t>
      </w:r>
      <w:r w:rsidR="001C262A" w:rsidRPr="009F2251">
        <w:rPr>
          <w:rFonts w:ascii="Aptos" w:hAnsi="Aptos"/>
          <w:sz w:val="20"/>
          <w:szCs w:val="20"/>
        </w:rPr>
        <w:t>n order to ‘show’ an entitlement to relief a complaint must contain enough factual material ‘to raise a right to relief above the speculative level on the assumption that all the allegations in the complaint are true (even if doubtful in fact’”).</w:t>
      </w:r>
    </w:p>
  </w:footnote>
  <w:footnote w:id="25">
    <w:p w14:paraId="65AD6EA1" w14:textId="20473B00" w:rsidR="002F22C8" w:rsidRPr="00210E69" w:rsidRDefault="002F22C8">
      <w:pPr>
        <w:pStyle w:val="FootnoteText"/>
        <w:rPr>
          <w:rFonts w:ascii="Aptos" w:hAnsi="Aptos"/>
          <w:i/>
          <w:iCs/>
          <w:sz w:val="20"/>
          <w:szCs w:val="20"/>
        </w:rPr>
      </w:pPr>
      <w:r w:rsidRPr="009F2251">
        <w:rPr>
          <w:rStyle w:val="FootnoteReference"/>
          <w:rFonts w:ascii="Aptos" w:hAnsi="Aptos"/>
          <w:sz w:val="20"/>
          <w:szCs w:val="20"/>
        </w:rPr>
        <w:footnoteRef/>
      </w:r>
      <w:r w:rsidRPr="009F2251">
        <w:rPr>
          <w:rFonts w:ascii="Aptos" w:hAnsi="Aptos"/>
          <w:sz w:val="20"/>
          <w:szCs w:val="20"/>
        </w:rPr>
        <w:t xml:space="preserve"> See </w:t>
      </w:r>
      <w:r w:rsidRPr="009F2251">
        <w:rPr>
          <w:rFonts w:ascii="Aptos" w:hAnsi="Aptos"/>
          <w:i/>
          <w:iCs/>
          <w:sz w:val="20"/>
          <w:szCs w:val="20"/>
        </w:rPr>
        <w:t>Twombly</w:t>
      </w:r>
      <w:r w:rsidRPr="009F2251">
        <w:rPr>
          <w:rFonts w:ascii="Aptos" w:hAnsi="Aptos"/>
          <w:sz w:val="20"/>
          <w:szCs w:val="20"/>
        </w:rPr>
        <w:t>, 550 U</w:t>
      </w:r>
      <w:r w:rsidRPr="00210E69">
        <w:rPr>
          <w:rFonts w:ascii="Aptos" w:hAnsi="Aptos"/>
          <w:sz w:val="20"/>
          <w:szCs w:val="20"/>
        </w:rPr>
        <w:t xml:space="preserve">.S. </w:t>
      </w:r>
      <w:r w:rsidR="009735F7" w:rsidRPr="00210E69">
        <w:rPr>
          <w:rFonts w:ascii="Aptos" w:hAnsi="Aptos"/>
          <w:sz w:val="20"/>
          <w:szCs w:val="20"/>
        </w:rPr>
        <w:t>at</w:t>
      </w:r>
      <w:r w:rsidR="00D66487" w:rsidRPr="00210E69">
        <w:rPr>
          <w:rFonts w:ascii="Aptos" w:hAnsi="Aptos"/>
          <w:sz w:val="20"/>
          <w:szCs w:val="20"/>
        </w:rPr>
        <w:t xml:space="preserve"> 556 (</w:t>
      </w:r>
      <w:r w:rsidR="00C0323F" w:rsidRPr="00210E69">
        <w:rPr>
          <w:rFonts w:ascii="Aptos" w:hAnsi="Aptos"/>
          <w:sz w:val="20"/>
          <w:szCs w:val="20"/>
        </w:rPr>
        <w:t>“</w:t>
      </w:r>
      <w:r w:rsidR="0021249A" w:rsidRPr="00210E69">
        <w:rPr>
          <w:rFonts w:ascii="Aptos" w:hAnsi="Aptos"/>
          <w:sz w:val="20"/>
          <w:szCs w:val="20"/>
        </w:rPr>
        <w:t>A</w:t>
      </w:r>
      <w:r w:rsidR="00C0323F" w:rsidRPr="00210E69">
        <w:rPr>
          <w:rFonts w:ascii="Aptos" w:hAnsi="Aptos"/>
          <w:sz w:val="20"/>
          <w:szCs w:val="20"/>
        </w:rPr>
        <w:t>sking for plausible grounds does not impose a probability requirement at the pleading stage; it simply calls for enough fact to raise a reasonable expectation that discovery will reveal evidence of illegal agreement”).</w:t>
      </w:r>
    </w:p>
  </w:footnote>
  <w:footnote w:id="26">
    <w:p w14:paraId="4E2766C9" w14:textId="39364B4A" w:rsidR="00E934CF" w:rsidRPr="00210E69" w:rsidRDefault="00E934CF">
      <w:pPr>
        <w:pStyle w:val="FootnoteText"/>
        <w:rPr>
          <w:rFonts w:ascii="Aptos" w:hAnsi="Aptos"/>
          <w:sz w:val="20"/>
          <w:szCs w:val="20"/>
        </w:rPr>
      </w:pPr>
      <w:r w:rsidRPr="00210E69">
        <w:rPr>
          <w:rStyle w:val="FootnoteReference"/>
          <w:rFonts w:ascii="Aptos" w:hAnsi="Aptos"/>
          <w:sz w:val="20"/>
          <w:szCs w:val="20"/>
        </w:rPr>
        <w:footnoteRef/>
      </w:r>
      <w:r w:rsidRPr="00210E69">
        <w:rPr>
          <w:rFonts w:ascii="Aptos" w:hAnsi="Aptos"/>
          <w:sz w:val="20"/>
          <w:szCs w:val="20"/>
        </w:rPr>
        <w:t xml:space="preserve"> </w:t>
      </w:r>
      <w:r w:rsidR="002F22C8" w:rsidRPr="00210E69">
        <w:rPr>
          <w:rFonts w:ascii="Aptos" w:hAnsi="Aptos"/>
          <w:sz w:val="20"/>
          <w:szCs w:val="20"/>
        </w:rPr>
        <w:t xml:space="preserve">See </w:t>
      </w:r>
      <w:r w:rsidRPr="00210E69">
        <w:rPr>
          <w:rFonts w:ascii="Aptos" w:hAnsi="Aptos" w:cs="Times New Roman"/>
          <w:i/>
          <w:sz w:val="20"/>
          <w:szCs w:val="20"/>
        </w:rPr>
        <w:t>Iann</w:t>
      </w:r>
      <w:r w:rsidR="00CC3700" w:rsidRPr="00210E69">
        <w:rPr>
          <w:rFonts w:ascii="Aptos" w:hAnsi="Aptos" w:cs="Times New Roman"/>
          <w:i/>
          <w:sz w:val="20"/>
          <w:szCs w:val="20"/>
        </w:rPr>
        <w:t>a</w:t>
      </w:r>
      <w:r w:rsidRPr="00210E69">
        <w:rPr>
          <w:rFonts w:ascii="Aptos" w:hAnsi="Aptos" w:cs="Times New Roman"/>
          <w:i/>
          <w:sz w:val="20"/>
          <w:szCs w:val="20"/>
        </w:rPr>
        <w:t>cchino</w:t>
      </w:r>
      <w:r w:rsidR="004631C6" w:rsidRPr="00210E69">
        <w:rPr>
          <w:rFonts w:ascii="Aptos" w:hAnsi="Aptos" w:cs="Times New Roman"/>
          <w:iCs/>
          <w:sz w:val="20"/>
          <w:szCs w:val="20"/>
        </w:rPr>
        <w:t xml:space="preserve">, </w:t>
      </w:r>
      <w:r w:rsidRPr="00210E69">
        <w:rPr>
          <w:rFonts w:ascii="Aptos" w:hAnsi="Aptos" w:cs="Times New Roman"/>
          <w:iCs/>
          <w:sz w:val="20"/>
          <w:szCs w:val="20"/>
        </w:rPr>
        <w:t>451</w:t>
      </w:r>
      <w:r w:rsidRPr="00210E69">
        <w:rPr>
          <w:rFonts w:ascii="Aptos" w:hAnsi="Aptos" w:cs="Times New Roman"/>
          <w:sz w:val="20"/>
          <w:szCs w:val="20"/>
        </w:rPr>
        <w:t xml:space="preserve"> Mass. </w:t>
      </w:r>
      <w:r w:rsidR="009E61B0" w:rsidRPr="00210E69">
        <w:rPr>
          <w:rFonts w:ascii="Aptos" w:hAnsi="Aptos" w:cs="Times New Roman"/>
          <w:sz w:val="20"/>
          <w:szCs w:val="20"/>
        </w:rPr>
        <w:t xml:space="preserve">at </w:t>
      </w:r>
      <w:r w:rsidR="00CC3700" w:rsidRPr="00210E69">
        <w:rPr>
          <w:rFonts w:ascii="Aptos" w:hAnsi="Aptos" w:cs="Times New Roman"/>
          <w:sz w:val="20"/>
          <w:szCs w:val="20"/>
        </w:rPr>
        <w:t>628</w:t>
      </w:r>
      <w:r w:rsidRPr="00210E69">
        <w:rPr>
          <w:rFonts w:ascii="Aptos" w:hAnsi="Aptos" w:cs="Times New Roman"/>
          <w:sz w:val="20"/>
          <w:szCs w:val="20"/>
        </w:rPr>
        <w:t xml:space="preserve"> (2008) (quoting </w:t>
      </w:r>
      <w:r w:rsidRPr="00210E69">
        <w:rPr>
          <w:rFonts w:ascii="Aptos" w:hAnsi="Aptos" w:cs="Times New Roman"/>
          <w:i/>
          <w:sz w:val="20"/>
          <w:szCs w:val="20"/>
        </w:rPr>
        <w:t>Twombly</w:t>
      </w:r>
      <w:r w:rsidRPr="00210E69">
        <w:rPr>
          <w:rFonts w:ascii="Aptos" w:hAnsi="Aptos" w:cs="Times New Roman"/>
          <w:sz w:val="20"/>
          <w:szCs w:val="20"/>
        </w:rPr>
        <w:t xml:space="preserve">, 550 U.S. </w:t>
      </w:r>
      <w:r w:rsidR="001405EC" w:rsidRPr="00210E69">
        <w:rPr>
          <w:rFonts w:ascii="Aptos" w:hAnsi="Aptos" w:cs="Times New Roman"/>
          <w:sz w:val="20"/>
          <w:szCs w:val="20"/>
        </w:rPr>
        <w:t xml:space="preserve">at </w:t>
      </w:r>
      <w:r w:rsidRPr="00210E69">
        <w:rPr>
          <w:rFonts w:ascii="Aptos" w:hAnsi="Aptos" w:cs="Times New Roman"/>
          <w:sz w:val="20"/>
          <w:szCs w:val="20"/>
        </w:rPr>
        <w:t>557</w:t>
      </w:r>
      <w:r w:rsidR="001405EC" w:rsidRPr="00210E69">
        <w:rPr>
          <w:rFonts w:ascii="Aptos" w:hAnsi="Aptos" w:cs="Times New Roman"/>
          <w:sz w:val="20"/>
          <w:szCs w:val="20"/>
        </w:rPr>
        <w:t>).</w:t>
      </w:r>
    </w:p>
  </w:footnote>
  <w:footnote w:id="27">
    <w:p w14:paraId="620768F1" w14:textId="0DB3343E" w:rsidR="00210E69" w:rsidRPr="00210E69" w:rsidRDefault="00210E69">
      <w:pPr>
        <w:pStyle w:val="FootnoteText"/>
        <w:rPr>
          <w:rFonts w:ascii="Aptos" w:hAnsi="Aptos"/>
          <w:sz w:val="20"/>
          <w:szCs w:val="20"/>
        </w:rPr>
      </w:pPr>
      <w:r w:rsidRPr="00210E69">
        <w:rPr>
          <w:rStyle w:val="FootnoteReference"/>
          <w:rFonts w:ascii="Aptos" w:hAnsi="Aptos"/>
          <w:sz w:val="20"/>
          <w:szCs w:val="20"/>
        </w:rPr>
        <w:footnoteRef/>
      </w:r>
      <w:r>
        <w:rPr>
          <w:rFonts w:ascii="Aptos" w:hAnsi="Aptos"/>
          <w:sz w:val="20"/>
          <w:szCs w:val="20"/>
        </w:rPr>
        <w:t xml:space="preserve"> </w:t>
      </w:r>
      <w:r w:rsidRPr="00210E69">
        <w:rPr>
          <w:rFonts w:ascii="Aptos" w:hAnsi="Aptos"/>
          <w:sz w:val="20"/>
          <w:szCs w:val="20"/>
        </w:rPr>
        <w:t xml:space="preserve">See </w:t>
      </w:r>
      <w:r w:rsidRPr="00210E69">
        <w:rPr>
          <w:rFonts w:ascii="Aptos" w:hAnsi="Aptos"/>
          <w:i/>
          <w:iCs/>
          <w:sz w:val="20"/>
          <w:szCs w:val="20"/>
        </w:rPr>
        <w:t>Student v. Sharon Public Schools</w:t>
      </w:r>
      <w:r w:rsidRPr="00210E69">
        <w:rPr>
          <w:rFonts w:ascii="Aptos" w:hAnsi="Aptos"/>
          <w:sz w:val="20"/>
          <w:szCs w:val="20"/>
        </w:rPr>
        <w:t>, BSEA #1807731 (Putney-Yaceshyn, 2018) (“If special transportation is noted on the student’s IEP, the student is entitled to receive transportation services”) (quoting 603 CMR 28.05(5)(b)).</w:t>
      </w:r>
    </w:p>
  </w:footnote>
  <w:footnote w:id="28">
    <w:p w14:paraId="304E69D4" w14:textId="2EE7E346" w:rsidR="00F10253" w:rsidRPr="00210E69" w:rsidRDefault="00F10253" w:rsidP="00F10253">
      <w:pPr>
        <w:pStyle w:val="FootnoteText"/>
        <w:rPr>
          <w:rFonts w:ascii="Aptos" w:hAnsi="Aptos"/>
          <w:sz w:val="20"/>
          <w:szCs w:val="20"/>
        </w:rPr>
      </w:pPr>
      <w:r w:rsidRPr="00210E69">
        <w:rPr>
          <w:rStyle w:val="FootnoteReference"/>
          <w:rFonts w:ascii="Aptos" w:hAnsi="Aptos"/>
          <w:sz w:val="20"/>
          <w:szCs w:val="20"/>
        </w:rPr>
        <w:footnoteRef/>
      </w:r>
      <w:r w:rsidRPr="00210E69">
        <w:rPr>
          <w:rFonts w:ascii="Aptos" w:hAnsi="Aptos"/>
          <w:sz w:val="20"/>
          <w:szCs w:val="20"/>
        </w:rPr>
        <w:t xml:space="preserve"> </w:t>
      </w:r>
      <w:r w:rsidR="00386D4E" w:rsidRPr="00210E69">
        <w:rPr>
          <w:rFonts w:ascii="Aptos" w:hAnsi="Aptos"/>
          <w:sz w:val="20"/>
          <w:szCs w:val="20"/>
        </w:rPr>
        <w:t xml:space="preserve">See </w:t>
      </w:r>
      <w:r w:rsidRPr="00210E69">
        <w:rPr>
          <w:rFonts w:ascii="Aptos" w:hAnsi="Aptos" w:cs="Times New Roman"/>
          <w:i/>
          <w:sz w:val="20"/>
          <w:szCs w:val="20"/>
        </w:rPr>
        <w:t>Golchin</w:t>
      </w:r>
      <w:r w:rsidR="00386D4E" w:rsidRPr="00210E69">
        <w:rPr>
          <w:rFonts w:ascii="Aptos" w:hAnsi="Aptos" w:cs="Times New Roman"/>
          <w:iCs/>
          <w:sz w:val="20"/>
          <w:szCs w:val="20"/>
        </w:rPr>
        <w:t>,</w:t>
      </w:r>
      <w:r w:rsidR="00840854" w:rsidRPr="00210E69">
        <w:rPr>
          <w:rFonts w:ascii="Aptos" w:hAnsi="Aptos" w:cs="Times New Roman"/>
          <w:iCs/>
          <w:sz w:val="20"/>
          <w:szCs w:val="20"/>
        </w:rPr>
        <w:t xml:space="preserve"> </w:t>
      </w:r>
      <w:r w:rsidRPr="00210E69">
        <w:rPr>
          <w:rFonts w:ascii="Aptos" w:hAnsi="Aptos" w:cs="Times New Roman"/>
          <w:iCs/>
          <w:sz w:val="20"/>
          <w:szCs w:val="20"/>
        </w:rPr>
        <w:t>460</w:t>
      </w:r>
      <w:r w:rsidRPr="00210E69">
        <w:rPr>
          <w:rFonts w:ascii="Aptos" w:hAnsi="Aptos" w:cs="Times New Roman"/>
          <w:sz w:val="20"/>
          <w:szCs w:val="20"/>
        </w:rPr>
        <w:t xml:space="preserve"> Mass. </w:t>
      </w:r>
      <w:r w:rsidR="00840854" w:rsidRPr="00210E69">
        <w:rPr>
          <w:rFonts w:ascii="Aptos" w:hAnsi="Aptos" w:cs="Times New Roman"/>
          <w:sz w:val="20"/>
          <w:szCs w:val="20"/>
        </w:rPr>
        <w:t xml:space="preserve">at </w:t>
      </w:r>
      <w:r w:rsidRPr="00210E69">
        <w:rPr>
          <w:rFonts w:ascii="Aptos" w:hAnsi="Aptos" w:cs="Times New Roman"/>
          <w:sz w:val="20"/>
          <w:szCs w:val="20"/>
        </w:rPr>
        <w:t>223 (internal quotation marks and citations omitted).</w:t>
      </w:r>
    </w:p>
  </w:footnote>
  <w:footnote w:id="29">
    <w:p w14:paraId="07D50FA5" w14:textId="09C9D5A3" w:rsidR="00B17FF2" w:rsidRPr="0032713E" w:rsidRDefault="00B17FF2">
      <w:pPr>
        <w:pStyle w:val="FootnoteText"/>
        <w:rPr>
          <w:rFonts w:ascii="Aptos" w:hAnsi="Aptos"/>
          <w:sz w:val="20"/>
          <w:szCs w:val="20"/>
        </w:rPr>
      </w:pPr>
      <w:r w:rsidRPr="0032713E">
        <w:rPr>
          <w:rStyle w:val="FootnoteReference"/>
          <w:rFonts w:ascii="Aptos" w:hAnsi="Aptos"/>
          <w:sz w:val="20"/>
          <w:szCs w:val="20"/>
        </w:rPr>
        <w:footnoteRef/>
      </w:r>
      <w:r w:rsidRPr="0032713E">
        <w:rPr>
          <w:rFonts w:ascii="Aptos" w:hAnsi="Aptos"/>
          <w:sz w:val="20"/>
          <w:szCs w:val="20"/>
        </w:rPr>
        <w:t xml:space="preserve"> </w:t>
      </w:r>
      <w:r w:rsidR="00BA7BF5" w:rsidRPr="0032713E">
        <w:rPr>
          <w:rFonts w:ascii="Aptos" w:hAnsi="Aptos"/>
          <w:sz w:val="20"/>
          <w:szCs w:val="20"/>
        </w:rPr>
        <w:t xml:space="preserve">See </w:t>
      </w:r>
      <w:r w:rsidR="00BA7BF5" w:rsidRPr="0032713E">
        <w:rPr>
          <w:rFonts w:ascii="Aptos" w:hAnsi="Aptos"/>
          <w:i/>
          <w:iCs/>
          <w:sz w:val="20"/>
          <w:szCs w:val="20"/>
        </w:rPr>
        <w:t>Twombly</w:t>
      </w:r>
      <w:r w:rsidR="00BA7BF5" w:rsidRPr="0032713E">
        <w:rPr>
          <w:rFonts w:ascii="Aptos" w:hAnsi="Aptos"/>
          <w:sz w:val="20"/>
          <w:szCs w:val="20"/>
        </w:rPr>
        <w:t>, 550 U.S. at 55</w:t>
      </w:r>
      <w:r w:rsidR="0071750F" w:rsidRPr="0032713E">
        <w:rPr>
          <w:rFonts w:ascii="Aptos" w:hAnsi="Aptos"/>
          <w:sz w:val="20"/>
          <w:szCs w:val="20"/>
        </w:rPr>
        <w:t>5</w:t>
      </w:r>
      <w:r w:rsidR="000672E8" w:rsidRPr="0032713E">
        <w:rPr>
          <w:rFonts w:ascii="Aptos" w:hAnsi="Aptos"/>
          <w:sz w:val="20"/>
          <w:szCs w:val="20"/>
        </w:rPr>
        <w:t xml:space="preserve"> (</w:t>
      </w:r>
      <w:r w:rsidR="009B4F6C" w:rsidRPr="0032713E">
        <w:rPr>
          <w:rFonts w:ascii="Aptos" w:hAnsi="Aptos"/>
          <w:sz w:val="20"/>
          <w:szCs w:val="20"/>
        </w:rPr>
        <w:t>“[P]</w:t>
      </w:r>
      <w:proofErr w:type="spellStart"/>
      <w:r w:rsidR="009B4F6C" w:rsidRPr="0032713E">
        <w:rPr>
          <w:rFonts w:ascii="Aptos" w:hAnsi="Aptos"/>
          <w:sz w:val="20"/>
          <w:szCs w:val="20"/>
        </w:rPr>
        <w:t>laintif</w:t>
      </w:r>
      <w:proofErr w:type="spellEnd"/>
      <w:r w:rsidR="009B4F6C" w:rsidRPr="0032713E">
        <w:rPr>
          <w:rFonts w:ascii="Aptos" w:hAnsi="Aptos"/>
          <w:sz w:val="20"/>
          <w:szCs w:val="20"/>
        </w:rPr>
        <w:t xml:space="preserve">[] [is] </w:t>
      </w:r>
      <w:proofErr w:type="spellStart"/>
      <w:r w:rsidR="009B4F6C" w:rsidRPr="0032713E">
        <w:rPr>
          <w:rFonts w:ascii="Aptos" w:hAnsi="Aptos"/>
          <w:sz w:val="20"/>
          <w:szCs w:val="20"/>
        </w:rPr>
        <w:t>obligat</w:t>
      </w:r>
      <w:proofErr w:type="spellEnd"/>
      <w:r w:rsidR="009B4F6C" w:rsidRPr="0032713E">
        <w:rPr>
          <w:rFonts w:ascii="Aptos" w:hAnsi="Aptos"/>
          <w:sz w:val="20"/>
          <w:szCs w:val="20"/>
        </w:rPr>
        <w:t>[ed] to provide the ‘grounds of his ‘entitle[ment] to relief’”</w:t>
      </w:r>
      <w:r w:rsidR="004E1F68" w:rsidRPr="0032713E">
        <w:rPr>
          <w:rFonts w:ascii="Aptos" w:hAnsi="Aptos"/>
          <w:sz w:val="20"/>
          <w:szCs w:val="20"/>
        </w:rPr>
        <w:t>).</w:t>
      </w:r>
    </w:p>
  </w:footnote>
  <w:footnote w:id="30">
    <w:p w14:paraId="4CB46BF2" w14:textId="7026D177" w:rsidR="008460F8" w:rsidRPr="0032713E" w:rsidRDefault="008460F8">
      <w:pPr>
        <w:pStyle w:val="FootnoteText"/>
        <w:rPr>
          <w:rFonts w:ascii="Aptos" w:hAnsi="Aptos"/>
          <w:sz w:val="20"/>
          <w:szCs w:val="20"/>
        </w:rPr>
      </w:pPr>
      <w:r w:rsidRPr="0032713E">
        <w:rPr>
          <w:rStyle w:val="FootnoteReference"/>
          <w:rFonts w:ascii="Aptos" w:hAnsi="Aptos"/>
          <w:sz w:val="20"/>
          <w:szCs w:val="20"/>
        </w:rPr>
        <w:footnoteRef/>
      </w:r>
      <w:r w:rsidRPr="0032713E">
        <w:rPr>
          <w:rFonts w:ascii="Aptos" w:hAnsi="Aptos"/>
          <w:sz w:val="20"/>
          <w:szCs w:val="20"/>
        </w:rPr>
        <w:t xml:space="preserve"> </w:t>
      </w:r>
      <w:r w:rsidR="00542957" w:rsidRPr="0032713E">
        <w:rPr>
          <w:rFonts w:ascii="Aptos" w:hAnsi="Aptos"/>
          <w:sz w:val="20"/>
          <w:szCs w:val="20"/>
        </w:rPr>
        <w:t xml:space="preserve">See </w:t>
      </w:r>
      <w:r w:rsidR="00542957" w:rsidRPr="0032713E">
        <w:rPr>
          <w:rFonts w:ascii="Aptos" w:hAnsi="Aptos"/>
          <w:i/>
          <w:iCs/>
          <w:sz w:val="20"/>
          <w:szCs w:val="20"/>
        </w:rPr>
        <w:t>Ia</w:t>
      </w:r>
      <w:r w:rsidR="001708FA" w:rsidRPr="0032713E">
        <w:rPr>
          <w:rFonts w:ascii="Aptos" w:hAnsi="Aptos"/>
          <w:i/>
          <w:iCs/>
          <w:sz w:val="20"/>
          <w:szCs w:val="20"/>
        </w:rPr>
        <w:t>nnacchino</w:t>
      </w:r>
      <w:r w:rsidR="006A1772" w:rsidRPr="0032713E">
        <w:rPr>
          <w:rFonts w:ascii="Aptos" w:hAnsi="Aptos"/>
          <w:sz w:val="20"/>
          <w:szCs w:val="20"/>
        </w:rPr>
        <w:t xml:space="preserve">, 451 </w:t>
      </w:r>
      <w:r w:rsidR="00C722F9" w:rsidRPr="0032713E">
        <w:rPr>
          <w:rFonts w:ascii="Aptos" w:hAnsi="Aptos"/>
          <w:sz w:val="20"/>
          <w:szCs w:val="20"/>
        </w:rPr>
        <w:t xml:space="preserve">Mass. </w:t>
      </w:r>
      <w:r w:rsidR="009E61B0" w:rsidRPr="0032713E">
        <w:rPr>
          <w:rFonts w:ascii="Aptos" w:hAnsi="Aptos"/>
          <w:sz w:val="20"/>
          <w:szCs w:val="20"/>
        </w:rPr>
        <w:t>a</w:t>
      </w:r>
      <w:r w:rsidR="00C722F9" w:rsidRPr="0032713E">
        <w:rPr>
          <w:rFonts w:ascii="Aptos" w:hAnsi="Aptos"/>
          <w:sz w:val="20"/>
          <w:szCs w:val="20"/>
        </w:rPr>
        <w:t>t 636</w:t>
      </w:r>
      <w:r w:rsidR="009E61B0" w:rsidRPr="0032713E">
        <w:rPr>
          <w:rFonts w:ascii="Aptos" w:hAnsi="Aptos" w:cs="Times New Roman"/>
          <w:sz w:val="20"/>
          <w:szCs w:val="20"/>
        </w:rPr>
        <w:t xml:space="preserve">  </w:t>
      </w:r>
      <w:r w:rsidR="006531E3" w:rsidRPr="0032713E">
        <w:rPr>
          <w:rFonts w:ascii="Aptos" w:hAnsi="Aptos"/>
          <w:sz w:val="20"/>
          <w:szCs w:val="20"/>
        </w:rPr>
        <w:t>(“</w:t>
      </w:r>
      <w:r w:rsidR="005D6F30" w:rsidRPr="0032713E">
        <w:rPr>
          <w:rFonts w:ascii="Aptos" w:hAnsi="Aptos"/>
          <w:sz w:val="20"/>
          <w:szCs w:val="20"/>
        </w:rPr>
        <w:t>W</w:t>
      </w:r>
      <w:r w:rsidR="006531E3" w:rsidRPr="0032713E">
        <w:rPr>
          <w:rFonts w:ascii="Aptos" w:hAnsi="Aptos"/>
          <w:sz w:val="20"/>
          <w:szCs w:val="20"/>
        </w:rPr>
        <w:t xml:space="preserve">hat is required at the pleadings stage are factual </w:t>
      </w:r>
      <w:r w:rsidR="00E35133" w:rsidRPr="0032713E">
        <w:rPr>
          <w:rFonts w:ascii="Aptos" w:hAnsi="Aptos"/>
          <w:sz w:val="20"/>
          <w:szCs w:val="20"/>
        </w:rPr>
        <w:t>‘</w:t>
      </w:r>
      <w:r w:rsidR="006531E3" w:rsidRPr="0032713E">
        <w:rPr>
          <w:rFonts w:ascii="Aptos" w:hAnsi="Aptos"/>
          <w:sz w:val="20"/>
          <w:szCs w:val="20"/>
        </w:rPr>
        <w:t xml:space="preserve">allegations plausibly suggesting </w:t>
      </w:r>
      <w:r w:rsidR="00E35133" w:rsidRPr="0032713E">
        <w:rPr>
          <w:rFonts w:ascii="Aptos" w:hAnsi="Aptos"/>
          <w:sz w:val="20"/>
          <w:szCs w:val="20"/>
        </w:rPr>
        <w:t>(not merely consistent with)’ an entitlement to relief</w:t>
      </w:r>
      <w:r w:rsidR="00E51243" w:rsidRPr="0032713E">
        <w:rPr>
          <w:rFonts w:ascii="Aptos" w:hAnsi="Aptos"/>
          <w:sz w:val="20"/>
          <w:szCs w:val="20"/>
        </w:rPr>
        <w:t>”)</w:t>
      </w:r>
      <w:r w:rsidR="009E61B0" w:rsidRPr="0032713E">
        <w:rPr>
          <w:rFonts w:ascii="Aptos" w:hAnsi="Aptos"/>
          <w:sz w:val="20"/>
          <w:szCs w:val="20"/>
        </w:rPr>
        <w:t xml:space="preserve"> (quoting </w:t>
      </w:r>
      <w:r w:rsidR="009E61B0" w:rsidRPr="0032713E">
        <w:rPr>
          <w:rFonts w:ascii="Aptos" w:hAnsi="Aptos" w:cs="Times New Roman"/>
          <w:i/>
          <w:sz w:val="20"/>
          <w:szCs w:val="20"/>
        </w:rPr>
        <w:t>Twombly</w:t>
      </w:r>
      <w:r w:rsidR="009E61B0" w:rsidRPr="0032713E">
        <w:rPr>
          <w:rFonts w:ascii="Aptos" w:hAnsi="Aptos" w:cs="Times New Roman"/>
          <w:sz w:val="20"/>
          <w:szCs w:val="20"/>
        </w:rPr>
        <w:t xml:space="preserve">, 550 U.S. </w:t>
      </w:r>
      <w:r w:rsidR="00225577" w:rsidRPr="0032713E">
        <w:rPr>
          <w:rFonts w:ascii="Aptos" w:hAnsi="Aptos" w:cs="Times New Roman"/>
          <w:sz w:val="20"/>
          <w:szCs w:val="20"/>
        </w:rPr>
        <w:t>at</w:t>
      </w:r>
      <w:r w:rsidR="009E61B0" w:rsidRPr="0032713E">
        <w:rPr>
          <w:rFonts w:ascii="Aptos" w:hAnsi="Aptos" w:cs="Times New Roman"/>
          <w:sz w:val="20"/>
          <w:szCs w:val="20"/>
        </w:rPr>
        <w:t xml:space="preserve"> 557 (2007</w:t>
      </w:r>
      <w:r w:rsidR="005D6F30" w:rsidRPr="0032713E">
        <w:rPr>
          <w:rFonts w:ascii="Aptos" w:hAnsi="Aptos" w:cs="Times New Roman"/>
          <w:sz w:val="20"/>
          <w:szCs w:val="20"/>
        </w:rPr>
        <w:t>)</w:t>
      </w:r>
      <w:r w:rsidR="00225577" w:rsidRPr="0032713E">
        <w:rPr>
          <w:rFonts w:ascii="Aptos" w:hAnsi="Aptos" w:cs="Times New Roman"/>
          <w:sz w:val="20"/>
          <w:szCs w:val="20"/>
        </w:rPr>
        <w:t>)</w:t>
      </w:r>
      <w:r w:rsidR="005D6F30" w:rsidRPr="0032713E">
        <w:rPr>
          <w:rFonts w:ascii="Aptos" w:hAnsi="Aptos" w:cs="Times New Roman"/>
          <w:sz w:val="20"/>
          <w:szCs w:val="20"/>
        </w:rPr>
        <w:t>.</w:t>
      </w:r>
    </w:p>
  </w:footnote>
  <w:footnote w:id="31">
    <w:p w14:paraId="5BB55987" w14:textId="108B076B" w:rsidR="002C77BE" w:rsidRPr="0032713E" w:rsidRDefault="002C77BE">
      <w:pPr>
        <w:pStyle w:val="FootnoteText"/>
        <w:rPr>
          <w:rFonts w:ascii="Aptos" w:hAnsi="Aptos"/>
          <w:i/>
          <w:iCs/>
          <w:sz w:val="20"/>
          <w:szCs w:val="20"/>
        </w:rPr>
      </w:pPr>
      <w:r w:rsidRPr="0032713E">
        <w:rPr>
          <w:rStyle w:val="FootnoteReference"/>
          <w:rFonts w:ascii="Aptos" w:hAnsi="Aptos"/>
          <w:sz w:val="20"/>
          <w:szCs w:val="20"/>
        </w:rPr>
        <w:footnoteRef/>
      </w:r>
      <w:r w:rsidRPr="0032713E">
        <w:rPr>
          <w:rFonts w:ascii="Aptos" w:hAnsi="Aptos"/>
          <w:sz w:val="20"/>
          <w:szCs w:val="20"/>
        </w:rPr>
        <w:t xml:space="preserve"> See </w:t>
      </w:r>
      <w:r w:rsidRPr="0032713E">
        <w:rPr>
          <w:rFonts w:ascii="Aptos" w:hAnsi="Aptos" w:cs="Times New Roman"/>
          <w:i/>
          <w:sz w:val="20"/>
          <w:szCs w:val="20"/>
        </w:rPr>
        <w:t>Golchin</w:t>
      </w:r>
      <w:r w:rsidRPr="0032713E">
        <w:rPr>
          <w:rFonts w:ascii="Aptos" w:hAnsi="Aptos" w:cs="Times New Roman"/>
          <w:iCs/>
          <w:sz w:val="20"/>
          <w:szCs w:val="20"/>
        </w:rPr>
        <w:t xml:space="preserve">, </w:t>
      </w:r>
      <w:r w:rsidRPr="0032713E">
        <w:rPr>
          <w:rFonts w:ascii="Aptos" w:hAnsi="Aptos" w:cs="Times New Roman"/>
          <w:sz w:val="20"/>
          <w:szCs w:val="20"/>
        </w:rPr>
        <w:t>460 Mass. at 223</w:t>
      </w:r>
      <w:r w:rsidR="0072060E" w:rsidRPr="0032713E">
        <w:rPr>
          <w:rFonts w:ascii="Aptos" w:hAnsi="Aptos" w:cs="Times New Roman"/>
          <w:sz w:val="20"/>
          <w:szCs w:val="20"/>
        </w:rPr>
        <w:t xml:space="preserve">; </w:t>
      </w:r>
      <w:r w:rsidR="0028462C" w:rsidRPr="0032713E">
        <w:rPr>
          <w:rFonts w:ascii="Aptos" w:hAnsi="Aptos" w:cs="Times New Roman"/>
          <w:i/>
          <w:iCs/>
          <w:sz w:val="20"/>
          <w:szCs w:val="20"/>
        </w:rPr>
        <w:t>Ocasio-Hernandez</w:t>
      </w:r>
      <w:r w:rsidR="0028462C" w:rsidRPr="0032713E">
        <w:rPr>
          <w:rFonts w:ascii="Aptos" w:hAnsi="Aptos" w:cs="Times New Roman"/>
          <w:sz w:val="20"/>
          <w:szCs w:val="20"/>
        </w:rPr>
        <w:t>, 640 F.3d at 12</w:t>
      </w:r>
      <w:r w:rsidR="00D42A13" w:rsidRPr="0032713E">
        <w:rPr>
          <w:rFonts w:ascii="Aptos" w:hAnsi="Aptos" w:cs="Times New Roman"/>
          <w:sz w:val="20"/>
          <w:szCs w:val="20"/>
        </w:rPr>
        <w:t xml:space="preserve"> </w:t>
      </w:r>
      <w:r w:rsidR="004A243C" w:rsidRPr="0032713E">
        <w:rPr>
          <w:rFonts w:ascii="Aptos" w:hAnsi="Aptos" w:cs="Times New Roman"/>
          <w:sz w:val="20"/>
          <w:szCs w:val="20"/>
        </w:rPr>
        <w:t>(</w:t>
      </w:r>
      <w:r w:rsidR="00C5114B" w:rsidRPr="0032713E">
        <w:rPr>
          <w:rFonts w:ascii="Aptos" w:hAnsi="Aptos" w:cs="Times New Roman"/>
          <w:sz w:val="20"/>
          <w:szCs w:val="20"/>
        </w:rPr>
        <w:t>“</w:t>
      </w:r>
      <w:r w:rsidR="00840854" w:rsidRPr="0032713E">
        <w:rPr>
          <w:rFonts w:ascii="Aptos" w:hAnsi="Aptos" w:cs="Times New Roman"/>
          <w:sz w:val="20"/>
          <w:szCs w:val="20"/>
        </w:rPr>
        <w:t>N</w:t>
      </w:r>
      <w:r w:rsidR="004A243C" w:rsidRPr="0032713E">
        <w:rPr>
          <w:rFonts w:ascii="Aptos" w:hAnsi="Aptos" w:cs="Times New Roman"/>
          <w:sz w:val="20"/>
          <w:szCs w:val="20"/>
        </w:rPr>
        <w:t>on</w:t>
      </w:r>
      <w:r w:rsidR="00C5114B" w:rsidRPr="0032713E">
        <w:rPr>
          <w:rFonts w:ascii="Aptos" w:hAnsi="Aptos" w:cs="Times New Roman"/>
          <w:sz w:val="20"/>
          <w:szCs w:val="20"/>
        </w:rPr>
        <w:t>-conclusory factual allegations in the [</w:t>
      </w:r>
      <w:r w:rsidR="00BC11D3" w:rsidRPr="0032713E">
        <w:rPr>
          <w:rFonts w:ascii="Aptos" w:hAnsi="Aptos" w:cs="Times New Roman"/>
          <w:sz w:val="20"/>
          <w:szCs w:val="20"/>
        </w:rPr>
        <w:t>complaint</w:t>
      </w:r>
      <w:r w:rsidR="00C5114B" w:rsidRPr="0032713E">
        <w:rPr>
          <w:rFonts w:ascii="Aptos" w:hAnsi="Aptos" w:cs="Times New Roman"/>
          <w:sz w:val="20"/>
          <w:szCs w:val="20"/>
        </w:rPr>
        <w:t>] must be treated as true, even if seemingly incredible</w:t>
      </w:r>
      <w:r w:rsidR="00A92809" w:rsidRPr="0032713E">
        <w:rPr>
          <w:rFonts w:ascii="Aptos" w:hAnsi="Aptos" w:cs="Times New Roman"/>
          <w:sz w:val="20"/>
          <w:szCs w:val="20"/>
        </w:rPr>
        <w:t>”</w:t>
      </w:r>
      <w:r w:rsidR="001B78BF" w:rsidRPr="0032713E">
        <w:rPr>
          <w:rFonts w:ascii="Aptos" w:hAnsi="Aptos" w:cs="Times New Roman"/>
          <w:sz w:val="20"/>
          <w:szCs w:val="20"/>
        </w:rPr>
        <w:t>)</w:t>
      </w:r>
      <w:r w:rsidR="00BA173A" w:rsidRPr="0032713E">
        <w:rPr>
          <w:rFonts w:ascii="Aptos" w:hAnsi="Aptos" w:cs="Times New Roman"/>
          <w:sz w:val="20"/>
          <w:szCs w:val="20"/>
        </w:rPr>
        <w:t>;</w:t>
      </w:r>
      <w:r w:rsidR="001B78BF" w:rsidRPr="0032713E">
        <w:rPr>
          <w:rFonts w:ascii="Aptos" w:hAnsi="Aptos" w:cs="Times New Roman"/>
          <w:sz w:val="20"/>
          <w:szCs w:val="20"/>
        </w:rPr>
        <w:t xml:space="preserve"> see also </w:t>
      </w:r>
      <w:r w:rsidR="00D42A13" w:rsidRPr="0032713E">
        <w:rPr>
          <w:rFonts w:ascii="Aptos" w:hAnsi="Aptos" w:cs="Times New Roman"/>
          <w:i/>
          <w:iCs/>
          <w:sz w:val="20"/>
          <w:szCs w:val="20"/>
        </w:rPr>
        <w:t>Ashcroft v. Iqbal</w:t>
      </w:r>
      <w:r w:rsidR="00D42A13" w:rsidRPr="0032713E">
        <w:rPr>
          <w:rFonts w:ascii="Aptos" w:hAnsi="Aptos" w:cs="Times New Roman"/>
          <w:sz w:val="20"/>
          <w:szCs w:val="20"/>
        </w:rPr>
        <w:t xml:space="preserve">, 556 U.S. 662, </w:t>
      </w:r>
      <w:r w:rsidR="000F6341" w:rsidRPr="0032713E">
        <w:rPr>
          <w:rFonts w:ascii="Aptos" w:hAnsi="Aptos" w:cs="Times New Roman"/>
          <w:sz w:val="20"/>
          <w:szCs w:val="20"/>
        </w:rPr>
        <w:t>681 (2009)</w:t>
      </w:r>
      <w:r w:rsidR="009573FB" w:rsidRPr="0032713E">
        <w:rPr>
          <w:rFonts w:ascii="Aptos" w:hAnsi="Aptos" w:cs="Times New Roman"/>
          <w:sz w:val="20"/>
          <w:szCs w:val="20"/>
        </w:rPr>
        <w:t xml:space="preserve"> (refusing to reject assertions “</w:t>
      </w:r>
      <w:r w:rsidR="009573FB" w:rsidRPr="0032713E">
        <w:rPr>
          <w:rFonts w:ascii="Aptos" w:eastAsia="Arial" w:hAnsi="Aptos" w:cs="Arial"/>
          <w:color w:val="000000"/>
          <w:sz w:val="20"/>
          <w:szCs w:val="20"/>
        </w:rPr>
        <w:t>on the ground that they are unrealistic or nonsensical”).</w:t>
      </w:r>
      <w:r w:rsidR="00210E69" w:rsidRPr="0032713E">
        <w:rPr>
          <w:rFonts w:ascii="Aptos" w:eastAsia="Arial" w:hAnsi="Aptos" w:cs="Arial"/>
          <w:color w:val="000000"/>
          <w:sz w:val="20"/>
          <w:szCs w:val="20"/>
        </w:rPr>
        <w:t xml:space="preserve">  </w:t>
      </w:r>
    </w:p>
  </w:footnote>
  <w:footnote w:id="32">
    <w:p w14:paraId="220463ED" w14:textId="3D41634B" w:rsidR="0032713E" w:rsidRPr="0032713E" w:rsidRDefault="0032713E">
      <w:pPr>
        <w:pStyle w:val="FootnoteText"/>
        <w:rPr>
          <w:rFonts w:ascii="Aptos" w:hAnsi="Aptos"/>
          <w:sz w:val="20"/>
          <w:szCs w:val="20"/>
        </w:rPr>
      </w:pPr>
      <w:r w:rsidRPr="0032713E">
        <w:rPr>
          <w:rStyle w:val="FootnoteReference"/>
          <w:rFonts w:ascii="Aptos" w:hAnsi="Aptos"/>
          <w:sz w:val="20"/>
          <w:szCs w:val="20"/>
        </w:rPr>
        <w:footnoteRef/>
      </w:r>
      <w:r w:rsidRPr="0032713E">
        <w:rPr>
          <w:rFonts w:ascii="Aptos" w:hAnsi="Aptos"/>
          <w:sz w:val="20"/>
          <w:szCs w:val="20"/>
        </w:rPr>
        <w:t xml:space="preserve"> </w:t>
      </w:r>
      <w:r w:rsidRPr="0032713E">
        <w:rPr>
          <w:rFonts w:ascii="Aptos" w:eastAsia="Arial" w:hAnsi="Aptos" w:cs="Arial"/>
          <w:color w:val="000000"/>
          <w:sz w:val="20"/>
          <w:szCs w:val="20"/>
        </w:rPr>
        <w:t xml:space="preserve">See </w:t>
      </w:r>
      <w:r w:rsidRPr="0032713E">
        <w:rPr>
          <w:rFonts w:ascii="Aptos" w:eastAsia="Arial" w:hAnsi="Aptos" w:cs="Arial"/>
          <w:i/>
          <w:iCs/>
          <w:color w:val="000000"/>
          <w:sz w:val="20"/>
          <w:szCs w:val="20"/>
        </w:rPr>
        <w:t xml:space="preserve">Perez, </w:t>
      </w:r>
      <w:r w:rsidRPr="0032713E">
        <w:rPr>
          <w:rFonts w:ascii="Aptos" w:hAnsi="Aptos" w:cs="Times New Roman"/>
          <w:sz w:val="20"/>
          <w:szCs w:val="20"/>
        </w:rPr>
        <w:t xml:space="preserve">598 U.S. at 147-48 (2023); </w:t>
      </w:r>
      <w:r w:rsidRPr="0032713E">
        <w:rPr>
          <w:rFonts w:ascii="Aptos" w:hAnsi="Aptos" w:cs="Times New Roman"/>
          <w:i/>
          <w:iCs/>
          <w:sz w:val="20"/>
          <w:szCs w:val="20"/>
        </w:rPr>
        <w:t>Lartigue</w:t>
      </w:r>
      <w:r w:rsidRPr="0032713E">
        <w:rPr>
          <w:rFonts w:ascii="Aptos" w:hAnsi="Aptos" w:cs="Times New Roman"/>
          <w:sz w:val="20"/>
          <w:szCs w:val="20"/>
        </w:rPr>
        <w:t>, 100 F.4th at 515 (“if the relief sought is offered by the IDEA, a plaintiff must fully exhaust the administrative processes as required by § 1415(l)”).</w:t>
      </w:r>
    </w:p>
  </w:footnote>
  <w:footnote w:id="33">
    <w:p w14:paraId="04CB6B93" w14:textId="30586D3B" w:rsidR="00A552D8" w:rsidRPr="0032713E" w:rsidRDefault="00A552D8" w:rsidP="0016587C">
      <w:pPr>
        <w:pStyle w:val="NoSpacing"/>
        <w:rPr>
          <w:rFonts w:ascii="Aptos" w:hAnsi="Aptos" w:cs="Times New Roman"/>
          <w:sz w:val="20"/>
          <w:szCs w:val="20"/>
        </w:rPr>
      </w:pPr>
      <w:r w:rsidRPr="0032713E">
        <w:rPr>
          <w:rStyle w:val="FootnoteReference"/>
          <w:rFonts w:ascii="Aptos" w:hAnsi="Aptos"/>
          <w:sz w:val="20"/>
          <w:szCs w:val="20"/>
        </w:rPr>
        <w:footnoteRef/>
      </w:r>
      <w:r w:rsidRPr="0032713E">
        <w:rPr>
          <w:rFonts w:ascii="Aptos" w:hAnsi="Aptos"/>
          <w:sz w:val="20"/>
          <w:szCs w:val="20"/>
        </w:rPr>
        <w:t xml:space="preserve"> See </w:t>
      </w:r>
      <w:r w:rsidRPr="0032713E">
        <w:rPr>
          <w:rFonts w:ascii="Aptos" w:hAnsi="Aptos"/>
          <w:i/>
          <w:iCs/>
          <w:sz w:val="20"/>
          <w:szCs w:val="20"/>
        </w:rPr>
        <w:t>In re: Student v. Old Colony Regional Voc. Tech. Public School</w:t>
      </w:r>
      <w:r w:rsidRPr="0032713E">
        <w:rPr>
          <w:rFonts w:ascii="Aptos" w:hAnsi="Aptos"/>
          <w:sz w:val="20"/>
          <w:szCs w:val="20"/>
        </w:rPr>
        <w:t xml:space="preserve">, BSEA #24-10548 (Kantor Nir, 2024) </w:t>
      </w:r>
      <w:r w:rsidR="0016587C" w:rsidRPr="0032713E">
        <w:rPr>
          <w:rFonts w:ascii="Aptos" w:hAnsi="Aptos" w:cs="Times New Roman"/>
          <w:sz w:val="20"/>
          <w:szCs w:val="20"/>
        </w:rPr>
        <w:t>(</w:t>
      </w:r>
      <w:r w:rsidR="00F87FF5">
        <w:rPr>
          <w:rFonts w:ascii="Aptos" w:hAnsi="Aptos" w:cs="Times New Roman"/>
          <w:sz w:val="20"/>
          <w:szCs w:val="20"/>
        </w:rPr>
        <w:t>nothing that a</w:t>
      </w:r>
      <w:r w:rsidR="0016587C" w:rsidRPr="0032713E">
        <w:rPr>
          <w:rFonts w:ascii="Aptos" w:hAnsi="Aptos" w:cs="Times New Roman"/>
          <w:sz w:val="20"/>
          <w:szCs w:val="20"/>
        </w:rPr>
        <w:t>lthough hearing officers cannot order transfer of a student from one general education class to another, they can find that a student requires addition supports and services to receive a FAPE in an assigned class).</w:t>
      </w:r>
    </w:p>
  </w:footnote>
  <w:footnote w:id="34">
    <w:p w14:paraId="11B62A87" w14:textId="154CAFA3" w:rsidR="001314FE" w:rsidRPr="00B06D57" w:rsidRDefault="001314FE" w:rsidP="001314FE">
      <w:pPr>
        <w:pStyle w:val="FootnoteText"/>
        <w:rPr>
          <w:rFonts w:ascii="Aptos" w:hAnsi="Aptos"/>
          <w:color w:val="7030A0"/>
          <w:sz w:val="20"/>
          <w:szCs w:val="20"/>
        </w:rPr>
      </w:pPr>
      <w:r w:rsidRPr="0032713E">
        <w:rPr>
          <w:rStyle w:val="FootnoteReference"/>
          <w:rFonts w:ascii="Aptos" w:hAnsi="Aptos"/>
          <w:sz w:val="20"/>
          <w:szCs w:val="20"/>
        </w:rPr>
        <w:footnoteRef/>
      </w:r>
      <w:r w:rsidRPr="0032713E">
        <w:rPr>
          <w:rFonts w:ascii="Aptos" w:hAnsi="Aptos"/>
          <w:sz w:val="20"/>
          <w:szCs w:val="20"/>
        </w:rPr>
        <w:t xml:space="preserve"> </w:t>
      </w:r>
      <w:r w:rsidRPr="0032713E">
        <w:rPr>
          <w:rFonts w:ascii="Aptos" w:hAnsi="Aptos" w:cs="Times New Roman"/>
          <w:sz w:val="20"/>
          <w:szCs w:val="20"/>
        </w:rPr>
        <w:t>See 20 U.S.C. § 1415(b)(6); 603 CMR 28.08(3)(a)</w:t>
      </w:r>
      <w:r w:rsidR="00311133" w:rsidRPr="0032713E">
        <w:rPr>
          <w:rFonts w:ascii="Aptos" w:hAnsi="Aptos" w:cs="Times New Roman"/>
          <w:sz w:val="20"/>
          <w:szCs w:val="20"/>
        </w:rPr>
        <w:t xml:space="preserve">; </w:t>
      </w:r>
      <w:r w:rsidR="00183CA6" w:rsidRPr="0032713E">
        <w:rPr>
          <w:rFonts w:ascii="Aptos" w:hAnsi="Aptos" w:cs="Times New Roman"/>
          <w:bCs/>
          <w:i/>
          <w:iCs/>
          <w:sz w:val="20"/>
          <w:szCs w:val="20"/>
        </w:rPr>
        <w:t>Haines v. Kerner</w:t>
      </w:r>
      <w:r w:rsidR="00183CA6" w:rsidRPr="0032713E">
        <w:rPr>
          <w:rFonts w:ascii="Aptos" w:hAnsi="Aptos" w:cs="Times New Roman"/>
          <w:bCs/>
          <w:sz w:val="20"/>
          <w:szCs w:val="20"/>
        </w:rPr>
        <w:t xml:space="preserve">, 404 U.S. 519, 520 (1972) (allegations contained in hearing requests are to be held to “less stringent standards than formal pleadings drafted by lawyers”); </w:t>
      </w:r>
      <w:r w:rsidR="00183CA6" w:rsidRPr="0032713E">
        <w:rPr>
          <w:rFonts w:ascii="Aptos" w:hAnsi="Aptos" w:cs="Times New Roman"/>
          <w:bCs/>
          <w:i/>
          <w:iCs/>
          <w:sz w:val="20"/>
          <w:szCs w:val="20"/>
        </w:rPr>
        <w:t>Ahmed</w:t>
      </w:r>
      <w:r w:rsidR="00183CA6" w:rsidRPr="0032713E">
        <w:rPr>
          <w:rFonts w:ascii="Aptos" w:hAnsi="Aptos" w:cs="Times New Roman"/>
          <w:bCs/>
          <w:sz w:val="20"/>
          <w:szCs w:val="20"/>
        </w:rPr>
        <w:t>, 118 F.3d at 890</w:t>
      </w:r>
      <w:r w:rsidR="009C0AD7" w:rsidRPr="0032713E">
        <w:rPr>
          <w:rFonts w:ascii="Aptos" w:hAnsi="Aptos" w:cs="Times New Roman"/>
          <w:bCs/>
          <w:sz w:val="20"/>
          <w:szCs w:val="20"/>
        </w:rPr>
        <w:t xml:space="preserve">; </w:t>
      </w:r>
      <w:r w:rsidR="00311133" w:rsidRPr="0032713E">
        <w:rPr>
          <w:rFonts w:ascii="Aptos" w:hAnsi="Aptos" w:cs="Times New Roman"/>
          <w:i/>
          <w:sz w:val="20"/>
          <w:szCs w:val="20"/>
        </w:rPr>
        <w:t>Iannocchino</w:t>
      </w:r>
      <w:r w:rsidR="00311133" w:rsidRPr="0032713E">
        <w:rPr>
          <w:rFonts w:ascii="Aptos" w:hAnsi="Aptos" w:cs="Times New Roman"/>
          <w:sz w:val="20"/>
          <w:szCs w:val="20"/>
        </w:rPr>
        <w:t xml:space="preserve">, 451 Mass. </w:t>
      </w:r>
      <w:r w:rsidR="00C92BA2" w:rsidRPr="0032713E">
        <w:rPr>
          <w:rFonts w:ascii="Aptos" w:hAnsi="Aptos" w:cs="Times New Roman"/>
          <w:sz w:val="20"/>
          <w:szCs w:val="20"/>
        </w:rPr>
        <w:t xml:space="preserve">at </w:t>
      </w:r>
      <w:r w:rsidR="00311133" w:rsidRPr="0032713E">
        <w:rPr>
          <w:rFonts w:ascii="Aptos" w:hAnsi="Aptos" w:cs="Times New Roman"/>
          <w:sz w:val="20"/>
          <w:szCs w:val="20"/>
        </w:rPr>
        <w:t>636</w:t>
      </w:r>
      <w:r w:rsidR="00FC2739" w:rsidRPr="0032713E">
        <w:rPr>
          <w:rFonts w:ascii="Aptos" w:hAnsi="Aptos" w:cs="Times New Roman"/>
          <w:sz w:val="20"/>
          <w:szCs w:val="20"/>
        </w:rPr>
        <w:t>.</w:t>
      </w:r>
    </w:p>
  </w:footnote>
  <w:footnote w:id="35">
    <w:p w14:paraId="10CDAC0D" w14:textId="3F695CFC" w:rsidR="00B06D57" w:rsidRPr="00B06D57" w:rsidRDefault="00B06D57">
      <w:pPr>
        <w:pStyle w:val="FootnoteText"/>
        <w:rPr>
          <w:rFonts w:ascii="Aptos" w:hAnsi="Aptos"/>
          <w:sz w:val="20"/>
          <w:szCs w:val="20"/>
        </w:rPr>
      </w:pPr>
      <w:r w:rsidRPr="00B06D57">
        <w:rPr>
          <w:rStyle w:val="FootnoteReference"/>
          <w:rFonts w:ascii="Aptos" w:hAnsi="Aptos"/>
          <w:sz w:val="20"/>
          <w:szCs w:val="20"/>
        </w:rPr>
        <w:footnoteRef/>
      </w:r>
      <w:r w:rsidRPr="00B06D57">
        <w:rPr>
          <w:rFonts w:ascii="Aptos" w:hAnsi="Aptos"/>
          <w:sz w:val="20"/>
          <w:szCs w:val="20"/>
        </w:rPr>
        <w:t xml:space="preserve"> The Hearing Officer gratefully acknowledges the diligent assistance of legal intern Sara Pompeo in the preparation of this Ruling.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42D2B"/>
    <w:multiLevelType w:val="hybridMultilevel"/>
    <w:tmpl w:val="27C8666C"/>
    <w:lvl w:ilvl="0" w:tplc="28ACCF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0A64AB"/>
    <w:multiLevelType w:val="multilevel"/>
    <w:tmpl w:val="5CEA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15D81"/>
    <w:multiLevelType w:val="multilevel"/>
    <w:tmpl w:val="F39C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F23A0A"/>
    <w:multiLevelType w:val="multilevel"/>
    <w:tmpl w:val="8828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B855BA"/>
    <w:multiLevelType w:val="multilevel"/>
    <w:tmpl w:val="F81A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D2504D"/>
    <w:multiLevelType w:val="multilevel"/>
    <w:tmpl w:val="9B44E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F81015"/>
    <w:multiLevelType w:val="multilevel"/>
    <w:tmpl w:val="34BC9BE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017360"/>
    <w:multiLevelType w:val="multilevel"/>
    <w:tmpl w:val="7096BD14"/>
    <w:lvl w:ilvl="0">
      <w:start w:val="1"/>
      <w:numFmt w:val="upperRoman"/>
      <w:lvlText w:val="%1"/>
      <w:lvlJc w:val="left"/>
      <w:pPr>
        <w:tabs>
          <w:tab w:val="num" w:pos="720"/>
        </w:tabs>
        <w:ind w:left="720" w:hanging="360"/>
      </w:pPr>
      <w:rPr>
        <w:rFonts w:hint="default"/>
        <w:sz w:val="20"/>
      </w:rPr>
    </w:lvl>
    <w:lvl w:ilvl="1">
      <w:start w:val="1"/>
      <w:numFmt w:val="upperLetter"/>
      <w:lvlText w:val="%2."/>
      <w:lvlJc w:val="left"/>
      <w:pPr>
        <w:ind w:left="1800" w:hanging="72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A50C86"/>
    <w:multiLevelType w:val="hybridMultilevel"/>
    <w:tmpl w:val="A53A5598"/>
    <w:lvl w:ilvl="0" w:tplc="F2A066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DA25D2"/>
    <w:multiLevelType w:val="hybridMultilevel"/>
    <w:tmpl w:val="E9889B64"/>
    <w:lvl w:ilvl="0" w:tplc="6464D5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40C5D28"/>
    <w:multiLevelType w:val="multilevel"/>
    <w:tmpl w:val="26A0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254410"/>
    <w:multiLevelType w:val="multilevel"/>
    <w:tmpl w:val="B1F8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C06000"/>
    <w:multiLevelType w:val="multilevel"/>
    <w:tmpl w:val="72D8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B9176B"/>
    <w:multiLevelType w:val="hybridMultilevel"/>
    <w:tmpl w:val="F8BE2FC4"/>
    <w:lvl w:ilvl="0" w:tplc="C0E0EB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A5507D"/>
    <w:multiLevelType w:val="hybridMultilevel"/>
    <w:tmpl w:val="0A3A9670"/>
    <w:lvl w:ilvl="0" w:tplc="2844180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E36E7F"/>
    <w:multiLevelType w:val="hybridMultilevel"/>
    <w:tmpl w:val="8042DC22"/>
    <w:lvl w:ilvl="0" w:tplc="FFFFFFFF">
      <w:start w:val="1"/>
      <w:numFmt w:val="decimal"/>
      <w:lvlText w:val="%1."/>
      <w:lvlJc w:val="left"/>
      <w:pPr>
        <w:ind w:left="1800" w:hanging="360"/>
      </w:pPr>
      <w:rPr>
        <w:rFonts w:hint="default"/>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628F4FE8"/>
    <w:multiLevelType w:val="hybridMultilevel"/>
    <w:tmpl w:val="8042DC22"/>
    <w:lvl w:ilvl="0" w:tplc="0409000F">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BE864B0"/>
    <w:multiLevelType w:val="hybridMultilevel"/>
    <w:tmpl w:val="F87A1154"/>
    <w:lvl w:ilvl="0" w:tplc="11FA05F6">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C820865"/>
    <w:multiLevelType w:val="hybridMultilevel"/>
    <w:tmpl w:val="9AA892AE"/>
    <w:lvl w:ilvl="0" w:tplc="7D94095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7D14FA"/>
    <w:multiLevelType w:val="hybridMultilevel"/>
    <w:tmpl w:val="25E4EBE0"/>
    <w:lvl w:ilvl="0" w:tplc="A8C066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6679DB"/>
    <w:multiLevelType w:val="hybridMultilevel"/>
    <w:tmpl w:val="9B82376C"/>
    <w:lvl w:ilvl="0" w:tplc="48A8B32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9A03FF6"/>
    <w:multiLevelType w:val="hybridMultilevel"/>
    <w:tmpl w:val="D8B63E68"/>
    <w:lvl w:ilvl="0" w:tplc="7AF233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4645320">
    <w:abstractNumId w:val="11"/>
  </w:num>
  <w:num w:numId="2" w16cid:durableId="2064593210">
    <w:abstractNumId w:val="2"/>
  </w:num>
  <w:num w:numId="3" w16cid:durableId="1061976706">
    <w:abstractNumId w:val="4"/>
  </w:num>
  <w:num w:numId="4" w16cid:durableId="626932839">
    <w:abstractNumId w:val="1"/>
  </w:num>
  <w:num w:numId="5" w16cid:durableId="1832597029">
    <w:abstractNumId w:val="12"/>
  </w:num>
  <w:num w:numId="6" w16cid:durableId="1434670917">
    <w:abstractNumId w:val="3"/>
  </w:num>
  <w:num w:numId="7" w16cid:durableId="1255161792">
    <w:abstractNumId w:val="5"/>
  </w:num>
  <w:num w:numId="8" w16cid:durableId="1589119939">
    <w:abstractNumId w:val="7"/>
  </w:num>
  <w:num w:numId="9" w16cid:durableId="1600991467">
    <w:abstractNumId w:val="13"/>
  </w:num>
  <w:num w:numId="10" w16cid:durableId="1486316263">
    <w:abstractNumId w:val="0"/>
  </w:num>
  <w:num w:numId="11" w16cid:durableId="1781139578">
    <w:abstractNumId w:val="6"/>
  </w:num>
  <w:num w:numId="12" w16cid:durableId="985158129">
    <w:abstractNumId w:val="19"/>
  </w:num>
  <w:num w:numId="13" w16cid:durableId="657391986">
    <w:abstractNumId w:val="20"/>
  </w:num>
  <w:num w:numId="14" w16cid:durableId="1026829227">
    <w:abstractNumId w:val="8"/>
  </w:num>
  <w:num w:numId="15" w16cid:durableId="1148782568">
    <w:abstractNumId w:val="17"/>
  </w:num>
  <w:num w:numId="16" w16cid:durableId="1778869985">
    <w:abstractNumId w:val="14"/>
  </w:num>
  <w:num w:numId="17" w16cid:durableId="1068573782">
    <w:abstractNumId w:val="21"/>
  </w:num>
  <w:num w:numId="18" w16cid:durableId="2091003057">
    <w:abstractNumId w:val="9"/>
  </w:num>
  <w:num w:numId="19" w16cid:durableId="1646543390">
    <w:abstractNumId w:val="16"/>
  </w:num>
  <w:num w:numId="20" w16cid:durableId="907571018">
    <w:abstractNumId w:val="18"/>
  </w:num>
  <w:num w:numId="21" w16cid:durableId="466973254">
    <w:abstractNumId w:val="10"/>
  </w:num>
  <w:num w:numId="22" w16cid:durableId="12752848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4F"/>
    <w:rsid w:val="000015F6"/>
    <w:rsid w:val="00002024"/>
    <w:rsid w:val="00002252"/>
    <w:rsid w:val="000023DB"/>
    <w:rsid w:val="00002B00"/>
    <w:rsid w:val="000032AA"/>
    <w:rsid w:val="00004173"/>
    <w:rsid w:val="00005416"/>
    <w:rsid w:val="00006867"/>
    <w:rsid w:val="0001204B"/>
    <w:rsid w:val="00012C6D"/>
    <w:rsid w:val="00014C40"/>
    <w:rsid w:val="00015122"/>
    <w:rsid w:val="00017296"/>
    <w:rsid w:val="00017903"/>
    <w:rsid w:val="00020CAA"/>
    <w:rsid w:val="00021C8D"/>
    <w:rsid w:val="00024044"/>
    <w:rsid w:val="00025EF0"/>
    <w:rsid w:val="00026784"/>
    <w:rsid w:val="00031023"/>
    <w:rsid w:val="00031924"/>
    <w:rsid w:val="00033766"/>
    <w:rsid w:val="000349E6"/>
    <w:rsid w:val="00037A57"/>
    <w:rsid w:val="00037B34"/>
    <w:rsid w:val="00041D59"/>
    <w:rsid w:val="00042CB8"/>
    <w:rsid w:val="00043B8C"/>
    <w:rsid w:val="00044B61"/>
    <w:rsid w:val="00045E32"/>
    <w:rsid w:val="00046666"/>
    <w:rsid w:val="00046D10"/>
    <w:rsid w:val="00047011"/>
    <w:rsid w:val="00055D2F"/>
    <w:rsid w:val="0005624E"/>
    <w:rsid w:val="000572AA"/>
    <w:rsid w:val="000672E8"/>
    <w:rsid w:val="000708A1"/>
    <w:rsid w:val="00072C7B"/>
    <w:rsid w:val="00081192"/>
    <w:rsid w:val="00082DE2"/>
    <w:rsid w:val="00083D2A"/>
    <w:rsid w:val="00085B66"/>
    <w:rsid w:val="00085F25"/>
    <w:rsid w:val="00086370"/>
    <w:rsid w:val="00086F89"/>
    <w:rsid w:val="00091757"/>
    <w:rsid w:val="00091AA1"/>
    <w:rsid w:val="000942FE"/>
    <w:rsid w:val="000959AC"/>
    <w:rsid w:val="000977F3"/>
    <w:rsid w:val="00097C22"/>
    <w:rsid w:val="000A1B81"/>
    <w:rsid w:val="000A37BD"/>
    <w:rsid w:val="000A410B"/>
    <w:rsid w:val="000B0B62"/>
    <w:rsid w:val="000B15CC"/>
    <w:rsid w:val="000B2ED5"/>
    <w:rsid w:val="000B4EBF"/>
    <w:rsid w:val="000B7567"/>
    <w:rsid w:val="000C7D97"/>
    <w:rsid w:val="000D76D2"/>
    <w:rsid w:val="000E4F06"/>
    <w:rsid w:val="000E4FCC"/>
    <w:rsid w:val="000F4324"/>
    <w:rsid w:val="000F5276"/>
    <w:rsid w:val="000F5721"/>
    <w:rsid w:val="000F5B18"/>
    <w:rsid w:val="000F6341"/>
    <w:rsid w:val="000F6E8E"/>
    <w:rsid w:val="001000A4"/>
    <w:rsid w:val="00103537"/>
    <w:rsid w:val="0010359D"/>
    <w:rsid w:val="001049D1"/>
    <w:rsid w:val="00106A73"/>
    <w:rsid w:val="00112CCE"/>
    <w:rsid w:val="00117B36"/>
    <w:rsid w:val="001223E9"/>
    <w:rsid w:val="00122451"/>
    <w:rsid w:val="00122BFF"/>
    <w:rsid w:val="00122CF9"/>
    <w:rsid w:val="00123BAF"/>
    <w:rsid w:val="001254C9"/>
    <w:rsid w:val="00130515"/>
    <w:rsid w:val="001314FE"/>
    <w:rsid w:val="001322C2"/>
    <w:rsid w:val="001326BC"/>
    <w:rsid w:val="001337E7"/>
    <w:rsid w:val="001405EC"/>
    <w:rsid w:val="00144B75"/>
    <w:rsid w:val="0015126A"/>
    <w:rsid w:val="001518C5"/>
    <w:rsid w:val="0015230B"/>
    <w:rsid w:val="00153B94"/>
    <w:rsid w:val="0015532C"/>
    <w:rsid w:val="001554B6"/>
    <w:rsid w:val="001559D2"/>
    <w:rsid w:val="00161203"/>
    <w:rsid w:val="001637E0"/>
    <w:rsid w:val="0016587C"/>
    <w:rsid w:val="00166209"/>
    <w:rsid w:val="001708FA"/>
    <w:rsid w:val="001736B4"/>
    <w:rsid w:val="00173E36"/>
    <w:rsid w:val="00174035"/>
    <w:rsid w:val="00174668"/>
    <w:rsid w:val="0017530C"/>
    <w:rsid w:val="00177CC5"/>
    <w:rsid w:val="0018174F"/>
    <w:rsid w:val="00182FAD"/>
    <w:rsid w:val="00183CA6"/>
    <w:rsid w:val="00183E3C"/>
    <w:rsid w:val="0019707A"/>
    <w:rsid w:val="001971AA"/>
    <w:rsid w:val="001A1159"/>
    <w:rsid w:val="001A154A"/>
    <w:rsid w:val="001A269F"/>
    <w:rsid w:val="001A356B"/>
    <w:rsid w:val="001A45C0"/>
    <w:rsid w:val="001A466A"/>
    <w:rsid w:val="001A7BA4"/>
    <w:rsid w:val="001A7F87"/>
    <w:rsid w:val="001B1A67"/>
    <w:rsid w:val="001B2024"/>
    <w:rsid w:val="001B22E2"/>
    <w:rsid w:val="001B3D46"/>
    <w:rsid w:val="001B61DE"/>
    <w:rsid w:val="001B78BF"/>
    <w:rsid w:val="001B78D8"/>
    <w:rsid w:val="001C0327"/>
    <w:rsid w:val="001C205A"/>
    <w:rsid w:val="001C262A"/>
    <w:rsid w:val="001C3EC8"/>
    <w:rsid w:val="001C5016"/>
    <w:rsid w:val="001D45FB"/>
    <w:rsid w:val="001D7552"/>
    <w:rsid w:val="001D76EE"/>
    <w:rsid w:val="001D7D02"/>
    <w:rsid w:val="001E4268"/>
    <w:rsid w:val="001E614D"/>
    <w:rsid w:val="001F4271"/>
    <w:rsid w:val="001F427D"/>
    <w:rsid w:val="002003F5"/>
    <w:rsid w:val="002024FE"/>
    <w:rsid w:val="0020690B"/>
    <w:rsid w:val="00207DB9"/>
    <w:rsid w:val="00210E69"/>
    <w:rsid w:val="002111C3"/>
    <w:rsid w:val="00211AD3"/>
    <w:rsid w:val="0021249A"/>
    <w:rsid w:val="00214AD1"/>
    <w:rsid w:val="00216803"/>
    <w:rsid w:val="00221B02"/>
    <w:rsid w:val="002225EB"/>
    <w:rsid w:val="0022363D"/>
    <w:rsid w:val="00225577"/>
    <w:rsid w:val="00225A17"/>
    <w:rsid w:val="0022718D"/>
    <w:rsid w:val="00231FC4"/>
    <w:rsid w:val="00235277"/>
    <w:rsid w:val="00240FD5"/>
    <w:rsid w:val="00246EC8"/>
    <w:rsid w:val="002500CD"/>
    <w:rsid w:val="002523EF"/>
    <w:rsid w:val="00253EC4"/>
    <w:rsid w:val="0025685F"/>
    <w:rsid w:val="00260424"/>
    <w:rsid w:val="002630B3"/>
    <w:rsid w:val="002630DB"/>
    <w:rsid w:val="002648BD"/>
    <w:rsid w:val="00264C43"/>
    <w:rsid w:val="00265AA0"/>
    <w:rsid w:val="00271438"/>
    <w:rsid w:val="00272027"/>
    <w:rsid w:val="002741FE"/>
    <w:rsid w:val="00274E4F"/>
    <w:rsid w:val="0027561D"/>
    <w:rsid w:val="002806AD"/>
    <w:rsid w:val="0028462C"/>
    <w:rsid w:val="00285F2D"/>
    <w:rsid w:val="0028636A"/>
    <w:rsid w:val="002866CB"/>
    <w:rsid w:val="0028740B"/>
    <w:rsid w:val="00292D03"/>
    <w:rsid w:val="00294D6C"/>
    <w:rsid w:val="00295F36"/>
    <w:rsid w:val="00297EBC"/>
    <w:rsid w:val="002A04CA"/>
    <w:rsid w:val="002A2823"/>
    <w:rsid w:val="002A2DA7"/>
    <w:rsid w:val="002A5FBC"/>
    <w:rsid w:val="002A6D28"/>
    <w:rsid w:val="002B0326"/>
    <w:rsid w:val="002B04A1"/>
    <w:rsid w:val="002B0AD4"/>
    <w:rsid w:val="002B4283"/>
    <w:rsid w:val="002B7253"/>
    <w:rsid w:val="002C5C9F"/>
    <w:rsid w:val="002C76F6"/>
    <w:rsid w:val="002C77BE"/>
    <w:rsid w:val="002D03FF"/>
    <w:rsid w:val="002D2F6A"/>
    <w:rsid w:val="002D40A8"/>
    <w:rsid w:val="002D4871"/>
    <w:rsid w:val="002D57B1"/>
    <w:rsid w:val="002D7118"/>
    <w:rsid w:val="002D73EA"/>
    <w:rsid w:val="002E23BA"/>
    <w:rsid w:val="002E3447"/>
    <w:rsid w:val="002F1589"/>
    <w:rsid w:val="002F17DA"/>
    <w:rsid w:val="002F22C8"/>
    <w:rsid w:val="002F69AD"/>
    <w:rsid w:val="002F7871"/>
    <w:rsid w:val="00303238"/>
    <w:rsid w:val="00305531"/>
    <w:rsid w:val="00305760"/>
    <w:rsid w:val="003060E8"/>
    <w:rsid w:val="0031102E"/>
    <w:rsid w:val="00311133"/>
    <w:rsid w:val="00313EB0"/>
    <w:rsid w:val="00320D9E"/>
    <w:rsid w:val="00323906"/>
    <w:rsid w:val="00325436"/>
    <w:rsid w:val="0032713E"/>
    <w:rsid w:val="00331E2D"/>
    <w:rsid w:val="003321C1"/>
    <w:rsid w:val="00334F73"/>
    <w:rsid w:val="00337DE9"/>
    <w:rsid w:val="00346849"/>
    <w:rsid w:val="00353049"/>
    <w:rsid w:val="0035383C"/>
    <w:rsid w:val="003541A2"/>
    <w:rsid w:val="00354BC5"/>
    <w:rsid w:val="00354D22"/>
    <w:rsid w:val="00356E8C"/>
    <w:rsid w:val="003601C4"/>
    <w:rsid w:val="00365D06"/>
    <w:rsid w:val="00372806"/>
    <w:rsid w:val="0037328E"/>
    <w:rsid w:val="003825D6"/>
    <w:rsid w:val="003866C2"/>
    <w:rsid w:val="00386B41"/>
    <w:rsid w:val="00386D4E"/>
    <w:rsid w:val="00387226"/>
    <w:rsid w:val="0039047B"/>
    <w:rsid w:val="0039139F"/>
    <w:rsid w:val="0039145F"/>
    <w:rsid w:val="0039329A"/>
    <w:rsid w:val="003940C1"/>
    <w:rsid w:val="00395ACB"/>
    <w:rsid w:val="003A0A9D"/>
    <w:rsid w:val="003A0D5A"/>
    <w:rsid w:val="003A4060"/>
    <w:rsid w:val="003A4B27"/>
    <w:rsid w:val="003A66E9"/>
    <w:rsid w:val="003A6BA3"/>
    <w:rsid w:val="003B0EEF"/>
    <w:rsid w:val="003B32A3"/>
    <w:rsid w:val="003B540E"/>
    <w:rsid w:val="003C2A60"/>
    <w:rsid w:val="003C4000"/>
    <w:rsid w:val="003C6B86"/>
    <w:rsid w:val="003D05D3"/>
    <w:rsid w:val="003D085A"/>
    <w:rsid w:val="003D1EC4"/>
    <w:rsid w:val="003D5C15"/>
    <w:rsid w:val="003D5EAE"/>
    <w:rsid w:val="003E139C"/>
    <w:rsid w:val="003E4E87"/>
    <w:rsid w:val="003E5F48"/>
    <w:rsid w:val="003E764A"/>
    <w:rsid w:val="003E7E1B"/>
    <w:rsid w:val="003F12E9"/>
    <w:rsid w:val="003F1662"/>
    <w:rsid w:val="003F231F"/>
    <w:rsid w:val="003F3ECA"/>
    <w:rsid w:val="003F4699"/>
    <w:rsid w:val="003F4ACA"/>
    <w:rsid w:val="003F600F"/>
    <w:rsid w:val="003F78AC"/>
    <w:rsid w:val="003F7EC8"/>
    <w:rsid w:val="0040199E"/>
    <w:rsid w:val="00401DE1"/>
    <w:rsid w:val="004043B8"/>
    <w:rsid w:val="00405167"/>
    <w:rsid w:val="004058A7"/>
    <w:rsid w:val="00406447"/>
    <w:rsid w:val="0041329D"/>
    <w:rsid w:val="0041463C"/>
    <w:rsid w:val="0041566F"/>
    <w:rsid w:val="00417435"/>
    <w:rsid w:val="00417937"/>
    <w:rsid w:val="00421F8A"/>
    <w:rsid w:val="00426FA3"/>
    <w:rsid w:val="0043023D"/>
    <w:rsid w:val="0043102E"/>
    <w:rsid w:val="004333D9"/>
    <w:rsid w:val="00435342"/>
    <w:rsid w:val="00436E01"/>
    <w:rsid w:val="004375E6"/>
    <w:rsid w:val="00440CAE"/>
    <w:rsid w:val="00442932"/>
    <w:rsid w:val="004433DD"/>
    <w:rsid w:val="004440B1"/>
    <w:rsid w:val="0044486E"/>
    <w:rsid w:val="004452B8"/>
    <w:rsid w:val="00452D47"/>
    <w:rsid w:val="00463175"/>
    <w:rsid w:val="004631C6"/>
    <w:rsid w:val="0046603E"/>
    <w:rsid w:val="00466751"/>
    <w:rsid w:val="00472C51"/>
    <w:rsid w:val="0047694B"/>
    <w:rsid w:val="004918D1"/>
    <w:rsid w:val="00492659"/>
    <w:rsid w:val="00492CF4"/>
    <w:rsid w:val="00497162"/>
    <w:rsid w:val="0049724D"/>
    <w:rsid w:val="004A110C"/>
    <w:rsid w:val="004A243C"/>
    <w:rsid w:val="004A3047"/>
    <w:rsid w:val="004A3EE6"/>
    <w:rsid w:val="004A594D"/>
    <w:rsid w:val="004A73D3"/>
    <w:rsid w:val="004A7A70"/>
    <w:rsid w:val="004B3B6C"/>
    <w:rsid w:val="004B685C"/>
    <w:rsid w:val="004B709A"/>
    <w:rsid w:val="004C1C14"/>
    <w:rsid w:val="004C2A08"/>
    <w:rsid w:val="004C496D"/>
    <w:rsid w:val="004C4D58"/>
    <w:rsid w:val="004D19DE"/>
    <w:rsid w:val="004D1C36"/>
    <w:rsid w:val="004D29EE"/>
    <w:rsid w:val="004D3210"/>
    <w:rsid w:val="004D48D2"/>
    <w:rsid w:val="004D4B91"/>
    <w:rsid w:val="004D5225"/>
    <w:rsid w:val="004D7046"/>
    <w:rsid w:val="004D7F1B"/>
    <w:rsid w:val="004E1F68"/>
    <w:rsid w:val="004E3510"/>
    <w:rsid w:val="004E7E63"/>
    <w:rsid w:val="004F0B32"/>
    <w:rsid w:val="004F26F8"/>
    <w:rsid w:val="004F417F"/>
    <w:rsid w:val="004F74D2"/>
    <w:rsid w:val="00503672"/>
    <w:rsid w:val="00503707"/>
    <w:rsid w:val="00505CD3"/>
    <w:rsid w:val="00506088"/>
    <w:rsid w:val="00511BBB"/>
    <w:rsid w:val="00512103"/>
    <w:rsid w:val="0051269C"/>
    <w:rsid w:val="00512782"/>
    <w:rsid w:val="00516CE3"/>
    <w:rsid w:val="00525833"/>
    <w:rsid w:val="0052706E"/>
    <w:rsid w:val="00534D0D"/>
    <w:rsid w:val="00542957"/>
    <w:rsid w:val="00543689"/>
    <w:rsid w:val="0054617F"/>
    <w:rsid w:val="00546EE7"/>
    <w:rsid w:val="005477C1"/>
    <w:rsid w:val="00547D73"/>
    <w:rsid w:val="00556C83"/>
    <w:rsid w:val="00556E7F"/>
    <w:rsid w:val="0055747D"/>
    <w:rsid w:val="00557DDE"/>
    <w:rsid w:val="00557EF1"/>
    <w:rsid w:val="00560892"/>
    <w:rsid w:val="00563854"/>
    <w:rsid w:val="00563D59"/>
    <w:rsid w:val="0057121B"/>
    <w:rsid w:val="0057159A"/>
    <w:rsid w:val="00580AD3"/>
    <w:rsid w:val="00581DFF"/>
    <w:rsid w:val="0058480C"/>
    <w:rsid w:val="00585115"/>
    <w:rsid w:val="005865F2"/>
    <w:rsid w:val="00586C3A"/>
    <w:rsid w:val="00592D9E"/>
    <w:rsid w:val="00592FF8"/>
    <w:rsid w:val="00593B57"/>
    <w:rsid w:val="0059615D"/>
    <w:rsid w:val="005A2E29"/>
    <w:rsid w:val="005B1488"/>
    <w:rsid w:val="005B173A"/>
    <w:rsid w:val="005B2A8C"/>
    <w:rsid w:val="005B2AA3"/>
    <w:rsid w:val="005B5679"/>
    <w:rsid w:val="005B59C7"/>
    <w:rsid w:val="005C2650"/>
    <w:rsid w:val="005C3795"/>
    <w:rsid w:val="005C5402"/>
    <w:rsid w:val="005C7AF0"/>
    <w:rsid w:val="005D2134"/>
    <w:rsid w:val="005D4954"/>
    <w:rsid w:val="005D5547"/>
    <w:rsid w:val="005D6E9A"/>
    <w:rsid w:val="005D6F30"/>
    <w:rsid w:val="005E0123"/>
    <w:rsid w:val="005E3B19"/>
    <w:rsid w:val="005E5CCD"/>
    <w:rsid w:val="005E60E7"/>
    <w:rsid w:val="005E73D3"/>
    <w:rsid w:val="005E7593"/>
    <w:rsid w:val="005E7A23"/>
    <w:rsid w:val="005F1DEB"/>
    <w:rsid w:val="005F2A35"/>
    <w:rsid w:val="005F564A"/>
    <w:rsid w:val="005F6BDA"/>
    <w:rsid w:val="005F7BF1"/>
    <w:rsid w:val="00600C73"/>
    <w:rsid w:val="00601C30"/>
    <w:rsid w:val="00602C5F"/>
    <w:rsid w:val="00602D4B"/>
    <w:rsid w:val="00603D3F"/>
    <w:rsid w:val="00604FF8"/>
    <w:rsid w:val="006074DB"/>
    <w:rsid w:val="0061050E"/>
    <w:rsid w:val="00611E7A"/>
    <w:rsid w:val="00612C80"/>
    <w:rsid w:val="0061385A"/>
    <w:rsid w:val="00615DC2"/>
    <w:rsid w:val="006166D4"/>
    <w:rsid w:val="006216D3"/>
    <w:rsid w:val="00622E79"/>
    <w:rsid w:val="00627758"/>
    <w:rsid w:val="00630C4B"/>
    <w:rsid w:val="00633AC6"/>
    <w:rsid w:val="0063527F"/>
    <w:rsid w:val="00636DB1"/>
    <w:rsid w:val="006418D8"/>
    <w:rsid w:val="0064335D"/>
    <w:rsid w:val="00647B17"/>
    <w:rsid w:val="00650BA9"/>
    <w:rsid w:val="006531E3"/>
    <w:rsid w:val="00657470"/>
    <w:rsid w:val="0066304E"/>
    <w:rsid w:val="00664EE7"/>
    <w:rsid w:val="006663C0"/>
    <w:rsid w:val="00667330"/>
    <w:rsid w:val="0066777D"/>
    <w:rsid w:val="006704FD"/>
    <w:rsid w:val="006758AC"/>
    <w:rsid w:val="00677446"/>
    <w:rsid w:val="006809AC"/>
    <w:rsid w:val="00682AC0"/>
    <w:rsid w:val="00682D21"/>
    <w:rsid w:val="006848C6"/>
    <w:rsid w:val="006856C8"/>
    <w:rsid w:val="00692A76"/>
    <w:rsid w:val="00692D0A"/>
    <w:rsid w:val="00694137"/>
    <w:rsid w:val="006A0416"/>
    <w:rsid w:val="006A1772"/>
    <w:rsid w:val="006A28AC"/>
    <w:rsid w:val="006A3262"/>
    <w:rsid w:val="006B203E"/>
    <w:rsid w:val="006B3948"/>
    <w:rsid w:val="006B4C0B"/>
    <w:rsid w:val="006B53B6"/>
    <w:rsid w:val="006B53F6"/>
    <w:rsid w:val="006B590D"/>
    <w:rsid w:val="006B6D5F"/>
    <w:rsid w:val="006C73C8"/>
    <w:rsid w:val="006C7E04"/>
    <w:rsid w:val="006D0425"/>
    <w:rsid w:val="006D42A8"/>
    <w:rsid w:val="006E2602"/>
    <w:rsid w:val="006E32FE"/>
    <w:rsid w:val="006E3E18"/>
    <w:rsid w:val="006E45CD"/>
    <w:rsid w:val="006E61B8"/>
    <w:rsid w:val="006E6727"/>
    <w:rsid w:val="006E6FD2"/>
    <w:rsid w:val="006F005F"/>
    <w:rsid w:val="006F0C6C"/>
    <w:rsid w:val="006F18E5"/>
    <w:rsid w:val="006F25DB"/>
    <w:rsid w:val="006F2A20"/>
    <w:rsid w:val="00704BDE"/>
    <w:rsid w:val="00712A2C"/>
    <w:rsid w:val="0071748F"/>
    <w:rsid w:val="0071750F"/>
    <w:rsid w:val="0071762C"/>
    <w:rsid w:val="0072060E"/>
    <w:rsid w:val="0072192F"/>
    <w:rsid w:val="00722CAF"/>
    <w:rsid w:val="00724EAC"/>
    <w:rsid w:val="00725EA3"/>
    <w:rsid w:val="007335B7"/>
    <w:rsid w:val="00734848"/>
    <w:rsid w:val="00734C32"/>
    <w:rsid w:val="00741859"/>
    <w:rsid w:val="00743C46"/>
    <w:rsid w:val="00744056"/>
    <w:rsid w:val="00745887"/>
    <w:rsid w:val="00747C23"/>
    <w:rsid w:val="00747DED"/>
    <w:rsid w:val="00755297"/>
    <w:rsid w:val="007558A7"/>
    <w:rsid w:val="00756E31"/>
    <w:rsid w:val="0075701A"/>
    <w:rsid w:val="007626D4"/>
    <w:rsid w:val="0077185B"/>
    <w:rsid w:val="00772E05"/>
    <w:rsid w:val="007750A2"/>
    <w:rsid w:val="00775DF8"/>
    <w:rsid w:val="0078058F"/>
    <w:rsid w:val="00781562"/>
    <w:rsid w:val="0078190E"/>
    <w:rsid w:val="007849D7"/>
    <w:rsid w:val="007909EF"/>
    <w:rsid w:val="00790D64"/>
    <w:rsid w:val="00790DEE"/>
    <w:rsid w:val="00792381"/>
    <w:rsid w:val="00792694"/>
    <w:rsid w:val="007930EB"/>
    <w:rsid w:val="0079564A"/>
    <w:rsid w:val="00797F2C"/>
    <w:rsid w:val="007A072E"/>
    <w:rsid w:val="007A0943"/>
    <w:rsid w:val="007A555D"/>
    <w:rsid w:val="007B3562"/>
    <w:rsid w:val="007B56C3"/>
    <w:rsid w:val="007B6098"/>
    <w:rsid w:val="007B7CD7"/>
    <w:rsid w:val="007C3425"/>
    <w:rsid w:val="007C514E"/>
    <w:rsid w:val="007C5CF7"/>
    <w:rsid w:val="007C762C"/>
    <w:rsid w:val="007C76B5"/>
    <w:rsid w:val="007D05B7"/>
    <w:rsid w:val="007D0A4F"/>
    <w:rsid w:val="007D364F"/>
    <w:rsid w:val="007E0264"/>
    <w:rsid w:val="007E2B81"/>
    <w:rsid w:val="007E31CA"/>
    <w:rsid w:val="007E3843"/>
    <w:rsid w:val="007E3893"/>
    <w:rsid w:val="007E5EC5"/>
    <w:rsid w:val="007E65F4"/>
    <w:rsid w:val="007F0B3F"/>
    <w:rsid w:val="007F0F4B"/>
    <w:rsid w:val="007F0F91"/>
    <w:rsid w:val="007F7B8B"/>
    <w:rsid w:val="00800F3E"/>
    <w:rsid w:val="0080170C"/>
    <w:rsid w:val="00802705"/>
    <w:rsid w:val="00802735"/>
    <w:rsid w:val="0080289D"/>
    <w:rsid w:val="008029CE"/>
    <w:rsid w:val="008042A1"/>
    <w:rsid w:val="00810450"/>
    <w:rsid w:val="008140CB"/>
    <w:rsid w:val="0081734F"/>
    <w:rsid w:val="0081769F"/>
    <w:rsid w:val="0082184D"/>
    <w:rsid w:val="00822CFE"/>
    <w:rsid w:val="00824053"/>
    <w:rsid w:val="00824AAB"/>
    <w:rsid w:val="008326FF"/>
    <w:rsid w:val="0083373E"/>
    <w:rsid w:val="00834EB3"/>
    <w:rsid w:val="00835026"/>
    <w:rsid w:val="0083557E"/>
    <w:rsid w:val="00837D6D"/>
    <w:rsid w:val="00840854"/>
    <w:rsid w:val="008416AB"/>
    <w:rsid w:val="00841B08"/>
    <w:rsid w:val="00842211"/>
    <w:rsid w:val="00842B05"/>
    <w:rsid w:val="00843250"/>
    <w:rsid w:val="00845224"/>
    <w:rsid w:val="008460F8"/>
    <w:rsid w:val="00846488"/>
    <w:rsid w:val="0085042D"/>
    <w:rsid w:val="00850E80"/>
    <w:rsid w:val="00853231"/>
    <w:rsid w:val="00854029"/>
    <w:rsid w:val="00856314"/>
    <w:rsid w:val="00856A15"/>
    <w:rsid w:val="00856A2D"/>
    <w:rsid w:val="00857ED6"/>
    <w:rsid w:val="00857FA4"/>
    <w:rsid w:val="0086015F"/>
    <w:rsid w:val="00860437"/>
    <w:rsid w:val="00860BE8"/>
    <w:rsid w:val="00862CFB"/>
    <w:rsid w:val="0086310B"/>
    <w:rsid w:val="00864BCB"/>
    <w:rsid w:val="008665F1"/>
    <w:rsid w:val="00870ABE"/>
    <w:rsid w:val="00876B1E"/>
    <w:rsid w:val="00877A3F"/>
    <w:rsid w:val="00880E34"/>
    <w:rsid w:val="008811E2"/>
    <w:rsid w:val="00881585"/>
    <w:rsid w:val="00881822"/>
    <w:rsid w:val="00883819"/>
    <w:rsid w:val="0088705F"/>
    <w:rsid w:val="00887E70"/>
    <w:rsid w:val="00893024"/>
    <w:rsid w:val="00894093"/>
    <w:rsid w:val="0089423D"/>
    <w:rsid w:val="00896C78"/>
    <w:rsid w:val="008A011A"/>
    <w:rsid w:val="008A0434"/>
    <w:rsid w:val="008A18FE"/>
    <w:rsid w:val="008A4F3D"/>
    <w:rsid w:val="008A552B"/>
    <w:rsid w:val="008A6061"/>
    <w:rsid w:val="008A7042"/>
    <w:rsid w:val="008B10BC"/>
    <w:rsid w:val="008B4062"/>
    <w:rsid w:val="008B4CCE"/>
    <w:rsid w:val="008B5053"/>
    <w:rsid w:val="008C12AC"/>
    <w:rsid w:val="008D28B8"/>
    <w:rsid w:val="008D46AB"/>
    <w:rsid w:val="008D53F4"/>
    <w:rsid w:val="008D6C96"/>
    <w:rsid w:val="008D7F4D"/>
    <w:rsid w:val="008E004B"/>
    <w:rsid w:val="008E0EFF"/>
    <w:rsid w:val="008E3527"/>
    <w:rsid w:val="008E6484"/>
    <w:rsid w:val="008E7453"/>
    <w:rsid w:val="008F0350"/>
    <w:rsid w:val="008F1DBB"/>
    <w:rsid w:val="008F36D8"/>
    <w:rsid w:val="008F4339"/>
    <w:rsid w:val="008F46F7"/>
    <w:rsid w:val="008F707A"/>
    <w:rsid w:val="00901F45"/>
    <w:rsid w:val="00905BFC"/>
    <w:rsid w:val="0091431B"/>
    <w:rsid w:val="009153B4"/>
    <w:rsid w:val="009165C7"/>
    <w:rsid w:val="009173A6"/>
    <w:rsid w:val="00920879"/>
    <w:rsid w:val="0092476F"/>
    <w:rsid w:val="009266F2"/>
    <w:rsid w:val="0093660B"/>
    <w:rsid w:val="00942A5D"/>
    <w:rsid w:val="0094368E"/>
    <w:rsid w:val="00944EAC"/>
    <w:rsid w:val="00945E0A"/>
    <w:rsid w:val="009501F7"/>
    <w:rsid w:val="009512DD"/>
    <w:rsid w:val="00951E27"/>
    <w:rsid w:val="00951EAD"/>
    <w:rsid w:val="009540C2"/>
    <w:rsid w:val="00955FD4"/>
    <w:rsid w:val="00956624"/>
    <w:rsid w:val="00956B2D"/>
    <w:rsid w:val="009573FB"/>
    <w:rsid w:val="00961F1A"/>
    <w:rsid w:val="009627A9"/>
    <w:rsid w:val="0096288B"/>
    <w:rsid w:val="0096500C"/>
    <w:rsid w:val="00967A39"/>
    <w:rsid w:val="009735F7"/>
    <w:rsid w:val="009742EC"/>
    <w:rsid w:val="009753BF"/>
    <w:rsid w:val="00976660"/>
    <w:rsid w:val="00977B66"/>
    <w:rsid w:val="00980AA6"/>
    <w:rsid w:val="00985B32"/>
    <w:rsid w:val="0099228D"/>
    <w:rsid w:val="009922BC"/>
    <w:rsid w:val="009956F3"/>
    <w:rsid w:val="00995F51"/>
    <w:rsid w:val="00996C2F"/>
    <w:rsid w:val="0099744A"/>
    <w:rsid w:val="009A642F"/>
    <w:rsid w:val="009A688B"/>
    <w:rsid w:val="009A69FD"/>
    <w:rsid w:val="009B2D88"/>
    <w:rsid w:val="009B34EF"/>
    <w:rsid w:val="009B372F"/>
    <w:rsid w:val="009B413A"/>
    <w:rsid w:val="009B4F6C"/>
    <w:rsid w:val="009B6442"/>
    <w:rsid w:val="009B75E6"/>
    <w:rsid w:val="009B7D03"/>
    <w:rsid w:val="009C0AD7"/>
    <w:rsid w:val="009C0DC4"/>
    <w:rsid w:val="009C26BC"/>
    <w:rsid w:val="009C4269"/>
    <w:rsid w:val="009C5DD2"/>
    <w:rsid w:val="009C7212"/>
    <w:rsid w:val="009D020C"/>
    <w:rsid w:val="009D1D7B"/>
    <w:rsid w:val="009D3723"/>
    <w:rsid w:val="009D3CED"/>
    <w:rsid w:val="009D7777"/>
    <w:rsid w:val="009E0A02"/>
    <w:rsid w:val="009E25A7"/>
    <w:rsid w:val="009E61B0"/>
    <w:rsid w:val="009F1A6F"/>
    <w:rsid w:val="009F2251"/>
    <w:rsid w:val="009F29FF"/>
    <w:rsid w:val="009F3A0A"/>
    <w:rsid w:val="009F3B18"/>
    <w:rsid w:val="00A059A9"/>
    <w:rsid w:val="00A06241"/>
    <w:rsid w:val="00A12A57"/>
    <w:rsid w:val="00A14927"/>
    <w:rsid w:val="00A15FD0"/>
    <w:rsid w:val="00A161A5"/>
    <w:rsid w:val="00A16DB6"/>
    <w:rsid w:val="00A176F0"/>
    <w:rsid w:val="00A21660"/>
    <w:rsid w:val="00A25B8D"/>
    <w:rsid w:val="00A329ED"/>
    <w:rsid w:val="00A409D1"/>
    <w:rsid w:val="00A41FF6"/>
    <w:rsid w:val="00A42767"/>
    <w:rsid w:val="00A42CEA"/>
    <w:rsid w:val="00A454F9"/>
    <w:rsid w:val="00A47E29"/>
    <w:rsid w:val="00A50159"/>
    <w:rsid w:val="00A50AE6"/>
    <w:rsid w:val="00A51CB2"/>
    <w:rsid w:val="00A552D8"/>
    <w:rsid w:val="00A55E72"/>
    <w:rsid w:val="00A61DF1"/>
    <w:rsid w:val="00A62058"/>
    <w:rsid w:val="00A6207B"/>
    <w:rsid w:val="00A65A09"/>
    <w:rsid w:val="00A70545"/>
    <w:rsid w:val="00A71947"/>
    <w:rsid w:val="00A7241E"/>
    <w:rsid w:val="00A73FE9"/>
    <w:rsid w:val="00A749FE"/>
    <w:rsid w:val="00A77290"/>
    <w:rsid w:val="00A83C67"/>
    <w:rsid w:val="00A858A2"/>
    <w:rsid w:val="00A85A23"/>
    <w:rsid w:val="00A860FE"/>
    <w:rsid w:val="00A911DB"/>
    <w:rsid w:val="00A9204E"/>
    <w:rsid w:val="00A92809"/>
    <w:rsid w:val="00A929AD"/>
    <w:rsid w:val="00A95502"/>
    <w:rsid w:val="00AA0CD3"/>
    <w:rsid w:val="00AA3C05"/>
    <w:rsid w:val="00AA6B61"/>
    <w:rsid w:val="00AA7249"/>
    <w:rsid w:val="00AB1D08"/>
    <w:rsid w:val="00AB2E4B"/>
    <w:rsid w:val="00AB53C8"/>
    <w:rsid w:val="00AC20F1"/>
    <w:rsid w:val="00AC3645"/>
    <w:rsid w:val="00AC3F07"/>
    <w:rsid w:val="00AC6AEF"/>
    <w:rsid w:val="00AC7F18"/>
    <w:rsid w:val="00AD0343"/>
    <w:rsid w:val="00AD098A"/>
    <w:rsid w:val="00AD09F6"/>
    <w:rsid w:val="00AD1C4F"/>
    <w:rsid w:val="00AD2000"/>
    <w:rsid w:val="00AD27BD"/>
    <w:rsid w:val="00AD42F0"/>
    <w:rsid w:val="00AD65E3"/>
    <w:rsid w:val="00AD6DBF"/>
    <w:rsid w:val="00AD77DB"/>
    <w:rsid w:val="00AE381B"/>
    <w:rsid w:val="00AF2BC8"/>
    <w:rsid w:val="00AF3A6A"/>
    <w:rsid w:val="00AF4216"/>
    <w:rsid w:val="00AF5843"/>
    <w:rsid w:val="00AF7286"/>
    <w:rsid w:val="00B02D1C"/>
    <w:rsid w:val="00B06070"/>
    <w:rsid w:val="00B069D7"/>
    <w:rsid w:val="00B06CB8"/>
    <w:rsid w:val="00B06D57"/>
    <w:rsid w:val="00B076BA"/>
    <w:rsid w:val="00B106E7"/>
    <w:rsid w:val="00B10F34"/>
    <w:rsid w:val="00B11A17"/>
    <w:rsid w:val="00B11ECA"/>
    <w:rsid w:val="00B1215F"/>
    <w:rsid w:val="00B16296"/>
    <w:rsid w:val="00B1664C"/>
    <w:rsid w:val="00B17FF2"/>
    <w:rsid w:val="00B20D8D"/>
    <w:rsid w:val="00B22298"/>
    <w:rsid w:val="00B24A89"/>
    <w:rsid w:val="00B25B2F"/>
    <w:rsid w:val="00B25C9E"/>
    <w:rsid w:val="00B26618"/>
    <w:rsid w:val="00B26925"/>
    <w:rsid w:val="00B30C7F"/>
    <w:rsid w:val="00B343EA"/>
    <w:rsid w:val="00B35C69"/>
    <w:rsid w:val="00B40C66"/>
    <w:rsid w:val="00B44C3D"/>
    <w:rsid w:val="00B46B65"/>
    <w:rsid w:val="00B52954"/>
    <w:rsid w:val="00B539BA"/>
    <w:rsid w:val="00B542DB"/>
    <w:rsid w:val="00B55065"/>
    <w:rsid w:val="00B57EF3"/>
    <w:rsid w:val="00B60841"/>
    <w:rsid w:val="00B6135E"/>
    <w:rsid w:val="00B64742"/>
    <w:rsid w:val="00B65494"/>
    <w:rsid w:val="00B67D97"/>
    <w:rsid w:val="00B71019"/>
    <w:rsid w:val="00B7183B"/>
    <w:rsid w:val="00B736C0"/>
    <w:rsid w:val="00B73E17"/>
    <w:rsid w:val="00B744AC"/>
    <w:rsid w:val="00B77280"/>
    <w:rsid w:val="00B81218"/>
    <w:rsid w:val="00B8184F"/>
    <w:rsid w:val="00B8299A"/>
    <w:rsid w:val="00B84642"/>
    <w:rsid w:val="00B93528"/>
    <w:rsid w:val="00B93938"/>
    <w:rsid w:val="00B93F03"/>
    <w:rsid w:val="00B941B8"/>
    <w:rsid w:val="00B94BAD"/>
    <w:rsid w:val="00B94FD3"/>
    <w:rsid w:val="00B96625"/>
    <w:rsid w:val="00B97A1F"/>
    <w:rsid w:val="00BA173A"/>
    <w:rsid w:val="00BA33A1"/>
    <w:rsid w:val="00BA512F"/>
    <w:rsid w:val="00BA7BF5"/>
    <w:rsid w:val="00BB3909"/>
    <w:rsid w:val="00BB4CCF"/>
    <w:rsid w:val="00BB4E3D"/>
    <w:rsid w:val="00BB7E30"/>
    <w:rsid w:val="00BC0280"/>
    <w:rsid w:val="00BC11D3"/>
    <w:rsid w:val="00BC135C"/>
    <w:rsid w:val="00BC20C0"/>
    <w:rsid w:val="00BC318C"/>
    <w:rsid w:val="00BD132F"/>
    <w:rsid w:val="00BD165D"/>
    <w:rsid w:val="00BD1B38"/>
    <w:rsid w:val="00BD1DE5"/>
    <w:rsid w:val="00BD271E"/>
    <w:rsid w:val="00BD2DE7"/>
    <w:rsid w:val="00BD3EF4"/>
    <w:rsid w:val="00BD410F"/>
    <w:rsid w:val="00BD433E"/>
    <w:rsid w:val="00BD6ABD"/>
    <w:rsid w:val="00BE06AC"/>
    <w:rsid w:val="00BE2F31"/>
    <w:rsid w:val="00BE4D68"/>
    <w:rsid w:val="00BF0093"/>
    <w:rsid w:val="00BF0410"/>
    <w:rsid w:val="00BF0B90"/>
    <w:rsid w:val="00BF7549"/>
    <w:rsid w:val="00C0173B"/>
    <w:rsid w:val="00C01BF0"/>
    <w:rsid w:val="00C02580"/>
    <w:rsid w:val="00C0323F"/>
    <w:rsid w:val="00C050F7"/>
    <w:rsid w:val="00C051DB"/>
    <w:rsid w:val="00C1314D"/>
    <w:rsid w:val="00C13A74"/>
    <w:rsid w:val="00C1780E"/>
    <w:rsid w:val="00C21D85"/>
    <w:rsid w:val="00C25B40"/>
    <w:rsid w:val="00C26051"/>
    <w:rsid w:val="00C264EF"/>
    <w:rsid w:val="00C32167"/>
    <w:rsid w:val="00C32BEA"/>
    <w:rsid w:val="00C351AA"/>
    <w:rsid w:val="00C35338"/>
    <w:rsid w:val="00C35BC5"/>
    <w:rsid w:val="00C43D0F"/>
    <w:rsid w:val="00C44CB8"/>
    <w:rsid w:val="00C473D9"/>
    <w:rsid w:val="00C50508"/>
    <w:rsid w:val="00C50525"/>
    <w:rsid w:val="00C5114B"/>
    <w:rsid w:val="00C51E6D"/>
    <w:rsid w:val="00C52133"/>
    <w:rsid w:val="00C52E99"/>
    <w:rsid w:val="00C53153"/>
    <w:rsid w:val="00C556D3"/>
    <w:rsid w:val="00C55DEA"/>
    <w:rsid w:val="00C6127E"/>
    <w:rsid w:val="00C625D3"/>
    <w:rsid w:val="00C64D85"/>
    <w:rsid w:val="00C655A7"/>
    <w:rsid w:val="00C66BD5"/>
    <w:rsid w:val="00C722F9"/>
    <w:rsid w:val="00C8121F"/>
    <w:rsid w:val="00C81B9E"/>
    <w:rsid w:val="00C835E8"/>
    <w:rsid w:val="00C91E5D"/>
    <w:rsid w:val="00C92BA2"/>
    <w:rsid w:val="00C93B8B"/>
    <w:rsid w:val="00C94737"/>
    <w:rsid w:val="00C951D5"/>
    <w:rsid w:val="00C9557C"/>
    <w:rsid w:val="00C95CE0"/>
    <w:rsid w:val="00CA33C4"/>
    <w:rsid w:val="00CA5FDF"/>
    <w:rsid w:val="00CA7BE0"/>
    <w:rsid w:val="00CB001F"/>
    <w:rsid w:val="00CB07D1"/>
    <w:rsid w:val="00CC3700"/>
    <w:rsid w:val="00CC3B02"/>
    <w:rsid w:val="00CC4B80"/>
    <w:rsid w:val="00CC71D2"/>
    <w:rsid w:val="00CD3B1A"/>
    <w:rsid w:val="00CD5055"/>
    <w:rsid w:val="00CD53EA"/>
    <w:rsid w:val="00CD5C17"/>
    <w:rsid w:val="00CD71FD"/>
    <w:rsid w:val="00CE29B8"/>
    <w:rsid w:val="00CE373F"/>
    <w:rsid w:val="00CE4129"/>
    <w:rsid w:val="00CE57DF"/>
    <w:rsid w:val="00CE7FB0"/>
    <w:rsid w:val="00CF203E"/>
    <w:rsid w:val="00CF244E"/>
    <w:rsid w:val="00CF28CC"/>
    <w:rsid w:val="00CF58AE"/>
    <w:rsid w:val="00CF5E93"/>
    <w:rsid w:val="00CF6ACC"/>
    <w:rsid w:val="00D02BA6"/>
    <w:rsid w:val="00D06572"/>
    <w:rsid w:val="00D068B0"/>
    <w:rsid w:val="00D07762"/>
    <w:rsid w:val="00D12678"/>
    <w:rsid w:val="00D13032"/>
    <w:rsid w:val="00D1359E"/>
    <w:rsid w:val="00D13FF8"/>
    <w:rsid w:val="00D14EA6"/>
    <w:rsid w:val="00D16048"/>
    <w:rsid w:val="00D172F7"/>
    <w:rsid w:val="00D22DFE"/>
    <w:rsid w:val="00D275AA"/>
    <w:rsid w:val="00D301EC"/>
    <w:rsid w:val="00D31AB3"/>
    <w:rsid w:val="00D35A1C"/>
    <w:rsid w:val="00D407C4"/>
    <w:rsid w:val="00D42A13"/>
    <w:rsid w:val="00D447C0"/>
    <w:rsid w:val="00D465CD"/>
    <w:rsid w:val="00D469BA"/>
    <w:rsid w:val="00D514ED"/>
    <w:rsid w:val="00D53D40"/>
    <w:rsid w:val="00D55C89"/>
    <w:rsid w:val="00D56BF2"/>
    <w:rsid w:val="00D6195F"/>
    <w:rsid w:val="00D648FF"/>
    <w:rsid w:val="00D66487"/>
    <w:rsid w:val="00D72188"/>
    <w:rsid w:val="00D725F2"/>
    <w:rsid w:val="00D72B8A"/>
    <w:rsid w:val="00D72BA3"/>
    <w:rsid w:val="00D7419E"/>
    <w:rsid w:val="00D74BA1"/>
    <w:rsid w:val="00D82149"/>
    <w:rsid w:val="00D8579C"/>
    <w:rsid w:val="00D90BA5"/>
    <w:rsid w:val="00D95064"/>
    <w:rsid w:val="00D96725"/>
    <w:rsid w:val="00DA1AC1"/>
    <w:rsid w:val="00DB07FF"/>
    <w:rsid w:val="00DB2482"/>
    <w:rsid w:val="00DB3739"/>
    <w:rsid w:val="00DD230D"/>
    <w:rsid w:val="00DD3556"/>
    <w:rsid w:val="00DD4E98"/>
    <w:rsid w:val="00DD635F"/>
    <w:rsid w:val="00DD71ED"/>
    <w:rsid w:val="00DE316A"/>
    <w:rsid w:val="00DE39F3"/>
    <w:rsid w:val="00DE4C47"/>
    <w:rsid w:val="00DE4F8F"/>
    <w:rsid w:val="00DE69BF"/>
    <w:rsid w:val="00DE6CE2"/>
    <w:rsid w:val="00DF15EF"/>
    <w:rsid w:val="00DF1E23"/>
    <w:rsid w:val="00DF25A6"/>
    <w:rsid w:val="00DF2E6E"/>
    <w:rsid w:val="00DF6A45"/>
    <w:rsid w:val="00E017CC"/>
    <w:rsid w:val="00E04E03"/>
    <w:rsid w:val="00E05B78"/>
    <w:rsid w:val="00E108CE"/>
    <w:rsid w:val="00E111A4"/>
    <w:rsid w:val="00E14C3E"/>
    <w:rsid w:val="00E15046"/>
    <w:rsid w:val="00E16272"/>
    <w:rsid w:val="00E17B8D"/>
    <w:rsid w:val="00E22073"/>
    <w:rsid w:val="00E22C5A"/>
    <w:rsid w:val="00E2425D"/>
    <w:rsid w:val="00E31AE5"/>
    <w:rsid w:val="00E32862"/>
    <w:rsid w:val="00E33FC9"/>
    <w:rsid w:val="00E34307"/>
    <w:rsid w:val="00E349E7"/>
    <w:rsid w:val="00E35133"/>
    <w:rsid w:val="00E35E7E"/>
    <w:rsid w:val="00E4239C"/>
    <w:rsid w:val="00E425D7"/>
    <w:rsid w:val="00E465A8"/>
    <w:rsid w:val="00E51243"/>
    <w:rsid w:val="00E51955"/>
    <w:rsid w:val="00E51BC4"/>
    <w:rsid w:val="00E52F5F"/>
    <w:rsid w:val="00E57B59"/>
    <w:rsid w:val="00E615FB"/>
    <w:rsid w:val="00E63B6F"/>
    <w:rsid w:val="00E67406"/>
    <w:rsid w:val="00E6744E"/>
    <w:rsid w:val="00E700F8"/>
    <w:rsid w:val="00E71476"/>
    <w:rsid w:val="00E72073"/>
    <w:rsid w:val="00E7261C"/>
    <w:rsid w:val="00E76D97"/>
    <w:rsid w:val="00E8028D"/>
    <w:rsid w:val="00E80964"/>
    <w:rsid w:val="00E82523"/>
    <w:rsid w:val="00E830DB"/>
    <w:rsid w:val="00E846A4"/>
    <w:rsid w:val="00E873D2"/>
    <w:rsid w:val="00E9344F"/>
    <w:rsid w:val="00E934CF"/>
    <w:rsid w:val="00E94FBD"/>
    <w:rsid w:val="00E96FD7"/>
    <w:rsid w:val="00E97171"/>
    <w:rsid w:val="00EA0D7B"/>
    <w:rsid w:val="00EA0E8D"/>
    <w:rsid w:val="00EA1830"/>
    <w:rsid w:val="00EA27A5"/>
    <w:rsid w:val="00EA2B35"/>
    <w:rsid w:val="00EA58A7"/>
    <w:rsid w:val="00EB291C"/>
    <w:rsid w:val="00EB2C1B"/>
    <w:rsid w:val="00EB6B88"/>
    <w:rsid w:val="00EB7A6D"/>
    <w:rsid w:val="00EC0F8C"/>
    <w:rsid w:val="00EC5136"/>
    <w:rsid w:val="00EC55B3"/>
    <w:rsid w:val="00ED08CF"/>
    <w:rsid w:val="00ED1468"/>
    <w:rsid w:val="00ED1848"/>
    <w:rsid w:val="00ED7E63"/>
    <w:rsid w:val="00EE020E"/>
    <w:rsid w:val="00EE0396"/>
    <w:rsid w:val="00EE1519"/>
    <w:rsid w:val="00EE24F1"/>
    <w:rsid w:val="00EE3438"/>
    <w:rsid w:val="00EE3957"/>
    <w:rsid w:val="00EE7158"/>
    <w:rsid w:val="00EF065D"/>
    <w:rsid w:val="00EF2449"/>
    <w:rsid w:val="00EF270B"/>
    <w:rsid w:val="00EF2A22"/>
    <w:rsid w:val="00EF35DC"/>
    <w:rsid w:val="00EF4013"/>
    <w:rsid w:val="00EF48DC"/>
    <w:rsid w:val="00EF4DEB"/>
    <w:rsid w:val="00EF6DEF"/>
    <w:rsid w:val="00F00081"/>
    <w:rsid w:val="00F00764"/>
    <w:rsid w:val="00F03F55"/>
    <w:rsid w:val="00F10253"/>
    <w:rsid w:val="00F20AF7"/>
    <w:rsid w:val="00F21B3C"/>
    <w:rsid w:val="00F23328"/>
    <w:rsid w:val="00F235FD"/>
    <w:rsid w:val="00F24573"/>
    <w:rsid w:val="00F259E7"/>
    <w:rsid w:val="00F305C2"/>
    <w:rsid w:val="00F307E8"/>
    <w:rsid w:val="00F318CF"/>
    <w:rsid w:val="00F31CF8"/>
    <w:rsid w:val="00F31D98"/>
    <w:rsid w:val="00F343E2"/>
    <w:rsid w:val="00F43697"/>
    <w:rsid w:val="00F45853"/>
    <w:rsid w:val="00F4782B"/>
    <w:rsid w:val="00F52DCD"/>
    <w:rsid w:val="00F56C9D"/>
    <w:rsid w:val="00F573C0"/>
    <w:rsid w:val="00F60CC8"/>
    <w:rsid w:val="00F65EAF"/>
    <w:rsid w:val="00F66FB8"/>
    <w:rsid w:val="00F702A5"/>
    <w:rsid w:val="00F723EF"/>
    <w:rsid w:val="00F762D6"/>
    <w:rsid w:val="00F776F4"/>
    <w:rsid w:val="00F80358"/>
    <w:rsid w:val="00F8384E"/>
    <w:rsid w:val="00F85DBA"/>
    <w:rsid w:val="00F86D64"/>
    <w:rsid w:val="00F86ECC"/>
    <w:rsid w:val="00F87FF5"/>
    <w:rsid w:val="00F9063A"/>
    <w:rsid w:val="00F93979"/>
    <w:rsid w:val="00F96F60"/>
    <w:rsid w:val="00F977B4"/>
    <w:rsid w:val="00FA0D28"/>
    <w:rsid w:val="00FA46DF"/>
    <w:rsid w:val="00FA4FBF"/>
    <w:rsid w:val="00FA62D5"/>
    <w:rsid w:val="00FA7C3D"/>
    <w:rsid w:val="00FB2CE1"/>
    <w:rsid w:val="00FB3B8D"/>
    <w:rsid w:val="00FB4BCB"/>
    <w:rsid w:val="00FB6E39"/>
    <w:rsid w:val="00FC0680"/>
    <w:rsid w:val="00FC105A"/>
    <w:rsid w:val="00FC219C"/>
    <w:rsid w:val="00FC2739"/>
    <w:rsid w:val="00FC2764"/>
    <w:rsid w:val="00FC3041"/>
    <w:rsid w:val="00FC7EC6"/>
    <w:rsid w:val="00FD3859"/>
    <w:rsid w:val="00FD507C"/>
    <w:rsid w:val="00FD5755"/>
    <w:rsid w:val="00FD6427"/>
    <w:rsid w:val="00FE0119"/>
    <w:rsid w:val="00FE014C"/>
    <w:rsid w:val="00FE1338"/>
    <w:rsid w:val="00FE40EA"/>
    <w:rsid w:val="00FF0154"/>
    <w:rsid w:val="00FF0742"/>
    <w:rsid w:val="00FF78D3"/>
    <w:rsid w:val="00FF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6B2B"/>
  <w15:chartTrackingRefBased/>
  <w15:docId w15:val="{39C663DC-3933-A349-8401-7F9571F4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174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8174F"/>
    <w:rPr>
      <w:color w:val="0563C1" w:themeColor="hyperlink"/>
      <w:u w:val="single"/>
    </w:rPr>
  </w:style>
  <w:style w:type="character" w:styleId="UnresolvedMention">
    <w:name w:val="Unresolved Mention"/>
    <w:basedOn w:val="DefaultParagraphFont"/>
    <w:uiPriority w:val="99"/>
    <w:semiHidden/>
    <w:unhideWhenUsed/>
    <w:rsid w:val="0018174F"/>
    <w:rPr>
      <w:color w:val="605E5C"/>
      <w:shd w:val="clear" w:color="auto" w:fill="E1DFDD"/>
    </w:rPr>
  </w:style>
  <w:style w:type="character" w:styleId="FollowedHyperlink">
    <w:name w:val="FollowedHyperlink"/>
    <w:basedOn w:val="DefaultParagraphFont"/>
    <w:uiPriority w:val="99"/>
    <w:semiHidden/>
    <w:unhideWhenUsed/>
    <w:rsid w:val="00D648FF"/>
    <w:rPr>
      <w:color w:val="954F72" w:themeColor="followedHyperlink"/>
      <w:u w:val="single"/>
    </w:rPr>
  </w:style>
  <w:style w:type="paragraph" w:styleId="NoSpacing">
    <w:name w:val="No Spacing"/>
    <w:link w:val="NoSpacingChar"/>
    <w:uiPriority w:val="1"/>
    <w:qFormat/>
    <w:rsid w:val="00D648FF"/>
    <w:rPr>
      <w:kern w:val="0"/>
      <w:sz w:val="22"/>
      <w14:ligatures w14:val="none"/>
    </w:rPr>
  </w:style>
  <w:style w:type="paragraph" w:styleId="FootnoteText">
    <w:name w:val="footnote text"/>
    <w:basedOn w:val="Normal"/>
    <w:link w:val="FootnoteTextChar"/>
    <w:uiPriority w:val="99"/>
    <w:unhideWhenUsed/>
    <w:rsid w:val="008A4F3D"/>
    <w:rPr>
      <w:rFonts w:ascii="Times New Roman" w:hAnsi="Times New Roman"/>
      <w:kern w:val="0"/>
      <w14:ligatures w14:val="none"/>
    </w:rPr>
  </w:style>
  <w:style w:type="character" w:customStyle="1" w:styleId="FootnoteTextChar">
    <w:name w:val="Footnote Text Char"/>
    <w:basedOn w:val="DefaultParagraphFont"/>
    <w:link w:val="FootnoteText"/>
    <w:uiPriority w:val="99"/>
    <w:rsid w:val="008A4F3D"/>
    <w:rPr>
      <w:rFonts w:ascii="Times New Roman" w:hAnsi="Times New Roman"/>
      <w:kern w:val="0"/>
      <w14:ligatures w14:val="none"/>
    </w:rPr>
  </w:style>
  <w:style w:type="character" w:styleId="FootnoteReference">
    <w:name w:val="footnote reference"/>
    <w:basedOn w:val="DefaultParagraphFont"/>
    <w:uiPriority w:val="99"/>
    <w:unhideWhenUsed/>
    <w:rsid w:val="008A4F3D"/>
    <w:rPr>
      <w:vertAlign w:val="superscript"/>
    </w:rPr>
  </w:style>
  <w:style w:type="character" w:styleId="CommentReference">
    <w:name w:val="annotation reference"/>
    <w:basedOn w:val="DefaultParagraphFont"/>
    <w:uiPriority w:val="99"/>
    <w:semiHidden/>
    <w:unhideWhenUsed/>
    <w:rsid w:val="008A4F3D"/>
    <w:rPr>
      <w:sz w:val="16"/>
      <w:szCs w:val="16"/>
    </w:rPr>
  </w:style>
  <w:style w:type="paragraph" w:styleId="CommentText">
    <w:name w:val="annotation text"/>
    <w:basedOn w:val="Normal"/>
    <w:link w:val="CommentTextChar"/>
    <w:uiPriority w:val="99"/>
    <w:semiHidden/>
    <w:unhideWhenUsed/>
    <w:rsid w:val="008A4F3D"/>
    <w:rPr>
      <w:sz w:val="20"/>
      <w:szCs w:val="20"/>
    </w:rPr>
  </w:style>
  <w:style w:type="character" w:customStyle="1" w:styleId="CommentTextChar">
    <w:name w:val="Comment Text Char"/>
    <w:basedOn w:val="DefaultParagraphFont"/>
    <w:link w:val="CommentText"/>
    <w:uiPriority w:val="99"/>
    <w:semiHidden/>
    <w:rsid w:val="008A4F3D"/>
    <w:rPr>
      <w:sz w:val="20"/>
      <w:szCs w:val="20"/>
    </w:rPr>
  </w:style>
  <w:style w:type="paragraph" w:styleId="CommentSubject">
    <w:name w:val="annotation subject"/>
    <w:basedOn w:val="CommentText"/>
    <w:next w:val="CommentText"/>
    <w:link w:val="CommentSubjectChar"/>
    <w:uiPriority w:val="99"/>
    <w:semiHidden/>
    <w:unhideWhenUsed/>
    <w:rsid w:val="008A4F3D"/>
    <w:rPr>
      <w:b/>
      <w:bCs/>
    </w:rPr>
  </w:style>
  <w:style w:type="character" w:customStyle="1" w:styleId="CommentSubjectChar">
    <w:name w:val="Comment Subject Char"/>
    <w:basedOn w:val="CommentTextChar"/>
    <w:link w:val="CommentSubject"/>
    <w:uiPriority w:val="99"/>
    <w:semiHidden/>
    <w:rsid w:val="008A4F3D"/>
    <w:rPr>
      <w:b/>
      <w:bCs/>
      <w:sz w:val="20"/>
      <w:szCs w:val="20"/>
    </w:rPr>
  </w:style>
  <w:style w:type="paragraph" w:styleId="ListParagraph">
    <w:name w:val="List Paragraph"/>
    <w:basedOn w:val="Normal"/>
    <w:uiPriority w:val="34"/>
    <w:qFormat/>
    <w:rsid w:val="00846488"/>
    <w:pPr>
      <w:ind w:left="720"/>
      <w:contextualSpacing/>
    </w:pPr>
  </w:style>
  <w:style w:type="paragraph" w:styleId="Footer">
    <w:name w:val="footer"/>
    <w:basedOn w:val="Normal"/>
    <w:link w:val="FooterChar"/>
    <w:uiPriority w:val="99"/>
    <w:unhideWhenUsed/>
    <w:rsid w:val="00EF6DEF"/>
    <w:pPr>
      <w:tabs>
        <w:tab w:val="center" w:pos="4680"/>
        <w:tab w:val="right" w:pos="9360"/>
      </w:tabs>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EF6DEF"/>
    <w:rPr>
      <w:rFonts w:ascii="Times New Roman" w:eastAsia="Times New Roman" w:hAnsi="Times New Roman" w:cs="Times New Roman"/>
      <w:kern w:val="0"/>
      <w14:ligatures w14:val="none"/>
    </w:rPr>
  </w:style>
  <w:style w:type="character" w:customStyle="1" w:styleId="NoSpacingChar">
    <w:name w:val="No Spacing Char"/>
    <w:basedOn w:val="DefaultParagraphFont"/>
    <w:link w:val="NoSpacing"/>
    <w:uiPriority w:val="1"/>
    <w:rsid w:val="00563854"/>
    <w:rPr>
      <w:kern w:val="0"/>
      <w:sz w:val="22"/>
      <w14:ligatures w14:val="none"/>
    </w:rPr>
  </w:style>
  <w:style w:type="character" w:customStyle="1" w:styleId="apple-converted-space">
    <w:name w:val="apple-converted-space"/>
    <w:basedOn w:val="DefaultParagraphFont"/>
    <w:rsid w:val="00D068B0"/>
  </w:style>
  <w:style w:type="character" w:styleId="Emphasis">
    <w:name w:val="Emphasis"/>
    <w:basedOn w:val="DefaultParagraphFont"/>
    <w:uiPriority w:val="20"/>
    <w:qFormat/>
    <w:rsid w:val="00325436"/>
    <w:rPr>
      <w:i/>
      <w:iCs/>
    </w:rPr>
  </w:style>
  <w:style w:type="character" w:customStyle="1" w:styleId="ssit">
    <w:name w:val="ss_it"/>
    <w:basedOn w:val="DefaultParagraphFont"/>
    <w:rsid w:val="00A929AD"/>
  </w:style>
  <w:style w:type="paragraph" w:styleId="Revision">
    <w:name w:val="Revision"/>
    <w:hidden/>
    <w:uiPriority w:val="99"/>
    <w:semiHidden/>
    <w:rsid w:val="00EF35DC"/>
  </w:style>
  <w:style w:type="character" w:styleId="PageNumber">
    <w:name w:val="page number"/>
    <w:basedOn w:val="DefaultParagraphFont"/>
    <w:uiPriority w:val="99"/>
    <w:semiHidden/>
    <w:unhideWhenUsed/>
    <w:rsid w:val="005C2650"/>
  </w:style>
  <w:style w:type="paragraph" w:styleId="Header">
    <w:name w:val="header"/>
    <w:basedOn w:val="Normal"/>
    <w:link w:val="HeaderChar"/>
    <w:uiPriority w:val="99"/>
    <w:unhideWhenUsed/>
    <w:rsid w:val="006166D4"/>
    <w:pPr>
      <w:tabs>
        <w:tab w:val="center" w:pos="4680"/>
        <w:tab w:val="right" w:pos="9360"/>
      </w:tabs>
    </w:pPr>
  </w:style>
  <w:style w:type="character" w:customStyle="1" w:styleId="HeaderChar">
    <w:name w:val="Header Char"/>
    <w:basedOn w:val="DefaultParagraphFont"/>
    <w:link w:val="Header"/>
    <w:uiPriority w:val="99"/>
    <w:rsid w:val="00616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06546">
      <w:bodyDiv w:val="1"/>
      <w:marLeft w:val="0"/>
      <w:marRight w:val="0"/>
      <w:marTop w:val="0"/>
      <w:marBottom w:val="0"/>
      <w:divBdr>
        <w:top w:val="none" w:sz="0" w:space="0" w:color="auto"/>
        <w:left w:val="none" w:sz="0" w:space="0" w:color="auto"/>
        <w:bottom w:val="none" w:sz="0" w:space="0" w:color="auto"/>
        <w:right w:val="none" w:sz="0" w:space="0" w:color="auto"/>
      </w:divBdr>
    </w:div>
    <w:div w:id="592470938">
      <w:bodyDiv w:val="1"/>
      <w:marLeft w:val="0"/>
      <w:marRight w:val="0"/>
      <w:marTop w:val="0"/>
      <w:marBottom w:val="0"/>
      <w:divBdr>
        <w:top w:val="none" w:sz="0" w:space="0" w:color="auto"/>
        <w:left w:val="none" w:sz="0" w:space="0" w:color="auto"/>
        <w:bottom w:val="none" w:sz="0" w:space="0" w:color="auto"/>
        <w:right w:val="none" w:sz="0" w:space="0" w:color="auto"/>
      </w:divBdr>
    </w:div>
    <w:div w:id="848327918">
      <w:bodyDiv w:val="1"/>
      <w:marLeft w:val="0"/>
      <w:marRight w:val="0"/>
      <w:marTop w:val="0"/>
      <w:marBottom w:val="0"/>
      <w:divBdr>
        <w:top w:val="none" w:sz="0" w:space="0" w:color="auto"/>
        <w:left w:val="none" w:sz="0" w:space="0" w:color="auto"/>
        <w:bottom w:val="none" w:sz="0" w:space="0" w:color="auto"/>
        <w:right w:val="none" w:sz="0" w:space="0" w:color="auto"/>
      </w:divBdr>
    </w:div>
    <w:div w:id="1011642060">
      <w:bodyDiv w:val="1"/>
      <w:marLeft w:val="0"/>
      <w:marRight w:val="0"/>
      <w:marTop w:val="0"/>
      <w:marBottom w:val="0"/>
      <w:divBdr>
        <w:top w:val="none" w:sz="0" w:space="0" w:color="auto"/>
        <w:left w:val="none" w:sz="0" w:space="0" w:color="auto"/>
        <w:bottom w:val="none" w:sz="0" w:space="0" w:color="auto"/>
        <w:right w:val="none" w:sz="0" w:space="0" w:color="auto"/>
      </w:divBdr>
    </w:div>
    <w:div w:id="1032271562">
      <w:bodyDiv w:val="1"/>
      <w:marLeft w:val="0"/>
      <w:marRight w:val="0"/>
      <w:marTop w:val="0"/>
      <w:marBottom w:val="0"/>
      <w:divBdr>
        <w:top w:val="none" w:sz="0" w:space="0" w:color="auto"/>
        <w:left w:val="none" w:sz="0" w:space="0" w:color="auto"/>
        <w:bottom w:val="none" w:sz="0" w:space="0" w:color="auto"/>
        <w:right w:val="none" w:sz="0" w:space="0" w:color="auto"/>
      </w:divBdr>
    </w:div>
    <w:div w:id="1079524982">
      <w:bodyDiv w:val="1"/>
      <w:marLeft w:val="0"/>
      <w:marRight w:val="0"/>
      <w:marTop w:val="0"/>
      <w:marBottom w:val="0"/>
      <w:divBdr>
        <w:top w:val="none" w:sz="0" w:space="0" w:color="auto"/>
        <w:left w:val="none" w:sz="0" w:space="0" w:color="auto"/>
        <w:bottom w:val="none" w:sz="0" w:space="0" w:color="auto"/>
        <w:right w:val="none" w:sz="0" w:space="0" w:color="auto"/>
      </w:divBdr>
    </w:div>
    <w:div w:id="1180969141">
      <w:bodyDiv w:val="1"/>
      <w:marLeft w:val="0"/>
      <w:marRight w:val="0"/>
      <w:marTop w:val="0"/>
      <w:marBottom w:val="0"/>
      <w:divBdr>
        <w:top w:val="none" w:sz="0" w:space="0" w:color="auto"/>
        <w:left w:val="none" w:sz="0" w:space="0" w:color="auto"/>
        <w:bottom w:val="none" w:sz="0" w:space="0" w:color="auto"/>
        <w:right w:val="none" w:sz="0" w:space="0" w:color="auto"/>
      </w:divBdr>
      <w:divsChild>
        <w:div w:id="735784168">
          <w:marLeft w:val="0"/>
          <w:marRight w:val="0"/>
          <w:marTop w:val="0"/>
          <w:marBottom w:val="0"/>
          <w:divBdr>
            <w:top w:val="none" w:sz="0" w:space="0" w:color="3D3D3D"/>
            <w:left w:val="none" w:sz="0" w:space="0" w:color="3D3D3D"/>
            <w:bottom w:val="none" w:sz="0" w:space="0" w:color="3D3D3D"/>
            <w:right w:val="none" w:sz="0" w:space="0" w:color="3D3D3D"/>
          </w:divBdr>
          <w:divsChild>
            <w:div w:id="3065209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57979274">
      <w:bodyDiv w:val="1"/>
      <w:marLeft w:val="0"/>
      <w:marRight w:val="0"/>
      <w:marTop w:val="0"/>
      <w:marBottom w:val="0"/>
      <w:divBdr>
        <w:top w:val="none" w:sz="0" w:space="0" w:color="auto"/>
        <w:left w:val="none" w:sz="0" w:space="0" w:color="auto"/>
        <w:bottom w:val="none" w:sz="0" w:space="0" w:color="auto"/>
        <w:right w:val="none" w:sz="0" w:space="0" w:color="auto"/>
      </w:divBdr>
      <w:divsChild>
        <w:div w:id="1714772747">
          <w:marLeft w:val="0"/>
          <w:marRight w:val="0"/>
          <w:marTop w:val="0"/>
          <w:marBottom w:val="0"/>
          <w:divBdr>
            <w:top w:val="none" w:sz="0" w:space="0" w:color="3D3D3D"/>
            <w:left w:val="none" w:sz="0" w:space="0" w:color="3D3D3D"/>
            <w:bottom w:val="none" w:sz="0" w:space="0" w:color="3D3D3D"/>
            <w:right w:val="none" w:sz="0" w:space="0" w:color="3D3D3D"/>
          </w:divBdr>
          <w:divsChild>
            <w:div w:id="14439156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2479410">
      <w:bodyDiv w:val="1"/>
      <w:marLeft w:val="0"/>
      <w:marRight w:val="0"/>
      <w:marTop w:val="0"/>
      <w:marBottom w:val="0"/>
      <w:divBdr>
        <w:top w:val="none" w:sz="0" w:space="0" w:color="auto"/>
        <w:left w:val="none" w:sz="0" w:space="0" w:color="auto"/>
        <w:bottom w:val="none" w:sz="0" w:space="0" w:color="auto"/>
        <w:right w:val="none" w:sz="0" w:space="0" w:color="auto"/>
      </w:divBdr>
    </w:div>
    <w:div w:id="1569920799">
      <w:bodyDiv w:val="1"/>
      <w:marLeft w:val="0"/>
      <w:marRight w:val="0"/>
      <w:marTop w:val="0"/>
      <w:marBottom w:val="0"/>
      <w:divBdr>
        <w:top w:val="none" w:sz="0" w:space="0" w:color="auto"/>
        <w:left w:val="none" w:sz="0" w:space="0" w:color="auto"/>
        <w:bottom w:val="none" w:sz="0" w:space="0" w:color="auto"/>
        <w:right w:val="none" w:sz="0" w:space="0" w:color="auto"/>
      </w:divBdr>
    </w:div>
    <w:div w:id="1888490133">
      <w:bodyDiv w:val="1"/>
      <w:marLeft w:val="0"/>
      <w:marRight w:val="0"/>
      <w:marTop w:val="0"/>
      <w:marBottom w:val="0"/>
      <w:divBdr>
        <w:top w:val="none" w:sz="0" w:space="0" w:color="auto"/>
        <w:left w:val="none" w:sz="0" w:space="0" w:color="auto"/>
        <w:bottom w:val="none" w:sz="0" w:space="0" w:color="auto"/>
        <w:right w:val="none" w:sz="0" w:space="0" w:color="auto"/>
      </w:divBdr>
      <w:divsChild>
        <w:div w:id="1206870666">
          <w:marLeft w:val="0"/>
          <w:marRight w:val="0"/>
          <w:marTop w:val="0"/>
          <w:marBottom w:val="0"/>
          <w:divBdr>
            <w:top w:val="none" w:sz="0" w:space="0" w:color="auto"/>
            <w:left w:val="none" w:sz="0" w:space="0" w:color="auto"/>
            <w:bottom w:val="none" w:sz="0" w:space="0" w:color="auto"/>
            <w:right w:val="none" w:sz="0" w:space="0" w:color="auto"/>
          </w:divBdr>
          <w:divsChild>
            <w:div w:id="442463085">
              <w:marLeft w:val="0"/>
              <w:marRight w:val="0"/>
              <w:marTop w:val="0"/>
              <w:marBottom w:val="0"/>
              <w:divBdr>
                <w:top w:val="none" w:sz="0" w:space="0" w:color="auto"/>
                <w:left w:val="none" w:sz="0" w:space="0" w:color="auto"/>
                <w:bottom w:val="none" w:sz="0" w:space="0" w:color="auto"/>
                <w:right w:val="none" w:sz="0" w:space="0" w:color="auto"/>
              </w:divBdr>
              <w:divsChild>
                <w:div w:id="800151555">
                  <w:marLeft w:val="0"/>
                  <w:marRight w:val="0"/>
                  <w:marTop w:val="0"/>
                  <w:marBottom w:val="0"/>
                  <w:divBdr>
                    <w:top w:val="none" w:sz="0" w:space="0" w:color="auto"/>
                    <w:left w:val="none" w:sz="0" w:space="0" w:color="auto"/>
                    <w:bottom w:val="none" w:sz="0" w:space="0" w:color="auto"/>
                    <w:right w:val="none" w:sz="0" w:space="0" w:color="auto"/>
                  </w:divBdr>
                  <w:divsChild>
                    <w:div w:id="639532556">
                      <w:marLeft w:val="0"/>
                      <w:marRight w:val="0"/>
                      <w:marTop w:val="0"/>
                      <w:marBottom w:val="0"/>
                      <w:divBdr>
                        <w:top w:val="none" w:sz="0" w:space="0" w:color="auto"/>
                        <w:left w:val="none" w:sz="0" w:space="0" w:color="auto"/>
                        <w:bottom w:val="none" w:sz="0" w:space="0" w:color="auto"/>
                        <w:right w:val="none" w:sz="0" w:space="0" w:color="auto"/>
                      </w:divBdr>
                      <w:divsChild>
                        <w:div w:id="1447650248">
                          <w:marLeft w:val="0"/>
                          <w:marRight w:val="0"/>
                          <w:marTop w:val="0"/>
                          <w:marBottom w:val="0"/>
                          <w:divBdr>
                            <w:top w:val="none" w:sz="0" w:space="0" w:color="auto"/>
                            <w:left w:val="none" w:sz="0" w:space="0" w:color="auto"/>
                            <w:bottom w:val="none" w:sz="0" w:space="0" w:color="auto"/>
                            <w:right w:val="none" w:sz="0" w:space="0" w:color="auto"/>
                          </w:divBdr>
                          <w:divsChild>
                            <w:div w:id="8311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39FD5-D8DB-4A44-A1A6-A193F521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2488</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Pompeo, Sara</dc:creator>
  <cp:keywords/>
  <dc:description/>
  <cp:lastModifiedBy>Erlichman, Reece (ALA)</cp:lastModifiedBy>
  <cp:revision>2</cp:revision>
  <cp:lastPrinted>2024-06-24T14:07:00Z</cp:lastPrinted>
  <dcterms:created xsi:type="dcterms:W3CDTF">2024-06-25T10:10:00Z</dcterms:created>
  <dcterms:modified xsi:type="dcterms:W3CDTF">2024-06-25T10:10:00Z</dcterms:modified>
</cp:coreProperties>
</file>