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FE2C" w14:textId="77777777" w:rsidR="00AB6414" w:rsidRPr="00FC0FD1" w:rsidRDefault="00AB6414" w:rsidP="00AB6414">
      <w:pPr>
        <w:jc w:val="center"/>
        <w:rPr>
          <w:rFonts w:ascii="Aptos" w:hAnsi="Aptos"/>
          <w:b/>
        </w:rPr>
      </w:pPr>
      <w:bookmarkStart w:id="0" w:name="_Hlk135661164"/>
      <w:bookmarkStart w:id="1" w:name="_Hlk135661021"/>
      <w:bookmarkStart w:id="2" w:name="_Hlk135661252"/>
      <w:r w:rsidRPr="00FC0FD1">
        <w:rPr>
          <w:rFonts w:ascii="Aptos" w:hAnsi="Aptos"/>
          <w:b/>
        </w:rPr>
        <w:t>COMMONWEALTH OF MASSACHUSETTS</w:t>
      </w:r>
    </w:p>
    <w:p w14:paraId="1DC49ECD" w14:textId="77777777" w:rsidR="00AB6414" w:rsidRPr="00FC0FD1" w:rsidRDefault="00AB6414" w:rsidP="00AB6414">
      <w:pPr>
        <w:jc w:val="center"/>
        <w:rPr>
          <w:rFonts w:ascii="Aptos" w:hAnsi="Aptos"/>
          <w:b/>
        </w:rPr>
      </w:pPr>
      <w:r w:rsidRPr="00FC0FD1">
        <w:rPr>
          <w:rFonts w:ascii="Aptos" w:hAnsi="Aptos"/>
          <w:b/>
        </w:rPr>
        <w:t>DIVISION OF ADMINISTRATIVE LAW APPEALS</w:t>
      </w:r>
    </w:p>
    <w:p w14:paraId="1B0CD686" w14:textId="77777777" w:rsidR="00AB6414" w:rsidRPr="00FC0FD1" w:rsidRDefault="00AB6414" w:rsidP="00AB6414">
      <w:pPr>
        <w:jc w:val="center"/>
        <w:rPr>
          <w:rFonts w:ascii="Aptos" w:hAnsi="Aptos"/>
          <w:b/>
        </w:rPr>
      </w:pPr>
      <w:r w:rsidRPr="00FC0FD1">
        <w:rPr>
          <w:rFonts w:ascii="Aptos" w:hAnsi="Aptos"/>
          <w:b/>
        </w:rPr>
        <w:t>BUREAU OF SPECIAL EDUCATION APPEALS</w:t>
      </w:r>
    </w:p>
    <w:p w14:paraId="568E810F" w14:textId="77777777" w:rsidR="00AB6414" w:rsidRPr="00FC0FD1" w:rsidRDefault="00AB6414" w:rsidP="00AB6414">
      <w:pPr>
        <w:jc w:val="center"/>
        <w:rPr>
          <w:rFonts w:ascii="Aptos" w:hAnsi="Aptos"/>
          <w:b/>
        </w:rPr>
      </w:pPr>
    </w:p>
    <w:p w14:paraId="2EEF75B2" w14:textId="77777777" w:rsidR="00BD4A0B" w:rsidRPr="00FC0FD1" w:rsidRDefault="00BD4A0B" w:rsidP="00AB6414">
      <w:pPr>
        <w:rPr>
          <w:rFonts w:ascii="Aptos" w:hAnsi="Aptos"/>
          <w:b/>
        </w:rPr>
      </w:pPr>
    </w:p>
    <w:p w14:paraId="19EB49B8" w14:textId="1037788E" w:rsidR="00AB6414" w:rsidRPr="00FC0FD1" w:rsidRDefault="00AB6414" w:rsidP="00AB6414">
      <w:pPr>
        <w:rPr>
          <w:rFonts w:ascii="Aptos" w:hAnsi="Aptos"/>
          <w:b/>
        </w:rPr>
      </w:pPr>
      <w:r w:rsidRPr="00FC0FD1">
        <w:rPr>
          <w:rFonts w:ascii="Aptos" w:hAnsi="Aptos"/>
          <w:b/>
        </w:rPr>
        <w:t>Student</w:t>
      </w:r>
      <w:r w:rsidR="00BD4A0B" w:rsidRPr="00FC0FD1">
        <w:rPr>
          <w:rFonts w:ascii="Aptos" w:hAnsi="Aptos"/>
          <w:b/>
        </w:rPr>
        <w:t xml:space="preserve"> v.</w:t>
      </w:r>
      <w:r w:rsidR="00DE47C6">
        <w:rPr>
          <w:rFonts w:ascii="Aptos" w:hAnsi="Aptos"/>
          <w:b/>
        </w:rPr>
        <w:t xml:space="preserve"> Old Colony Regional Vocational</w:t>
      </w:r>
      <w:r w:rsidRPr="00FC0FD1">
        <w:rPr>
          <w:rFonts w:ascii="Aptos" w:hAnsi="Aptos"/>
          <w:b/>
        </w:rPr>
        <w:tab/>
      </w:r>
      <w:r w:rsidR="00EF7329" w:rsidRPr="00FC0FD1">
        <w:rPr>
          <w:rFonts w:ascii="Aptos" w:hAnsi="Aptos"/>
          <w:b/>
        </w:rPr>
        <w:tab/>
      </w:r>
      <w:r w:rsidR="00EF7329" w:rsidRPr="00FC0FD1">
        <w:rPr>
          <w:rFonts w:ascii="Aptos" w:hAnsi="Aptos"/>
          <w:b/>
        </w:rPr>
        <w:tab/>
      </w:r>
      <w:r w:rsidRPr="00FC0FD1">
        <w:rPr>
          <w:rFonts w:ascii="Aptos" w:hAnsi="Aptos"/>
          <w:b/>
        </w:rPr>
        <w:t>BSEA # 2</w:t>
      </w:r>
      <w:r w:rsidR="00EF7329" w:rsidRPr="00FC0FD1">
        <w:rPr>
          <w:rFonts w:ascii="Aptos" w:hAnsi="Aptos"/>
          <w:b/>
        </w:rPr>
        <w:t>4</w:t>
      </w:r>
      <w:r w:rsidR="006B2EC2">
        <w:rPr>
          <w:rFonts w:ascii="Aptos" w:hAnsi="Aptos"/>
          <w:b/>
        </w:rPr>
        <w:t>15385</w:t>
      </w:r>
    </w:p>
    <w:p w14:paraId="02A62D26" w14:textId="4248AD9D" w:rsidR="00E87D82" w:rsidRPr="00FC0FD1" w:rsidRDefault="00DE47C6" w:rsidP="00AB6414">
      <w:pPr>
        <w:rPr>
          <w:rFonts w:ascii="Aptos" w:hAnsi="Aptos"/>
          <w:b/>
        </w:rPr>
      </w:pPr>
      <w:r>
        <w:rPr>
          <w:rFonts w:ascii="Aptos" w:hAnsi="Aptos"/>
          <w:b/>
        </w:rPr>
        <w:t>Technical</w:t>
      </w:r>
      <w:r w:rsidR="006B2EC2">
        <w:rPr>
          <w:rFonts w:ascii="Aptos" w:hAnsi="Aptos"/>
          <w:b/>
        </w:rPr>
        <w:t xml:space="preserve"> School</w:t>
      </w:r>
    </w:p>
    <w:p w14:paraId="6D533B26" w14:textId="77777777" w:rsidR="00E87D82" w:rsidRPr="00FC0FD1" w:rsidRDefault="00E87D82" w:rsidP="00AB6414">
      <w:pPr>
        <w:rPr>
          <w:rFonts w:ascii="Aptos" w:hAnsi="Aptos"/>
          <w:b/>
        </w:rPr>
      </w:pPr>
    </w:p>
    <w:p w14:paraId="7277CC97" w14:textId="77777777" w:rsidR="00AB6414" w:rsidRPr="00FC0FD1" w:rsidRDefault="00AB6414" w:rsidP="00AB6414">
      <w:pPr>
        <w:rPr>
          <w:rFonts w:ascii="Aptos" w:hAnsi="Aptos"/>
          <w:b/>
        </w:rPr>
      </w:pPr>
    </w:p>
    <w:p w14:paraId="78F0B842" w14:textId="08AACB08" w:rsidR="00AB6414" w:rsidRPr="00FC0FD1" w:rsidRDefault="00EF7329" w:rsidP="003A6ADF">
      <w:pPr>
        <w:jc w:val="center"/>
        <w:rPr>
          <w:rFonts w:ascii="Aptos" w:hAnsi="Aptos"/>
          <w:b/>
          <w:i/>
          <w:iCs/>
        </w:rPr>
      </w:pPr>
      <w:r w:rsidRPr="00FC0FD1">
        <w:rPr>
          <w:rFonts w:ascii="Aptos" w:hAnsi="Aptos"/>
          <w:b/>
          <w:i/>
          <w:iCs/>
        </w:rPr>
        <w:t>Ruling</w:t>
      </w:r>
      <w:r w:rsidR="00E87D82" w:rsidRPr="00FC0FD1">
        <w:rPr>
          <w:rFonts w:ascii="Aptos" w:hAnsi="Aptos"/>
          <w:b/>
          <w:i/>
          <w:iCs/>
        </w:rPr>
        <w:t xml:space="preserve"> </w:t>
      </w:r>
      <w:r w:rsidR="006B2EC2">
        <w:rPr>
          <w:rFonts w:ascii="Aptos" w:hAnsi="Aptos"/>
          <w:b/>
          <w:i/>
          <w:iCs/>
        </w:rPr>
        <w:t xml:space="preserve">on Old Colony </w:t>
      </w:r>
      <w:r w:rsidR="00512F25">
        <w:rPr>
          <w:rFonts w:ascii="Aptos" w:hAnsi="Aptos"/>
          <w:b/>
          <w:i/>
          <w:iCs/>
        </w:rPr>
        <w:t xml:space="preserve">Regional Vocational </w:t>
      </w:r>
      <w:r w:rsidR="005F54E7">
        <w:rPr>
          <w:rFonts w:ascii="Aptos" w:hAnsi="Aptos"/>
          <w:b/>
          <w:i/>
          <w:iCs/>
        </w:rPr>
        <w:t>Technical</w:t>
      </w:r>
      <w:r w:rsidR="00512F25">
        <w:rPr>
          <w:rFonts w:ascii="Aptos" w:hAnsi="Aptos"/>
          <w:b/>
          <w:i/>
          <w:iCs/>
        </w:rPr>
        <w:t xml:space="preserve"> School’s M</w:t>
      </w:r>
      <w:r w:rsidR="00E87D82" w:rsidRPr="00FC0FD1">
        <w:rPr>
          <w:rFonts w:ascii="Aptos" w:hAnsi="Aptos"/>
          <w:b/>
          <w:i/>
          <w:iCs/>
        </w:rPr>
        <w:t xml:space="preserve">otion for Summary </w:t>
      </w:r>
      <w:r w:rsidR="0040282E" w:rsidRPr="00FC0FD1">
        <w:rPr>
          <w:rFonts w:ascii="Aptos" w:hAnsi="Aptos"/>
          <w:b/>
          <w:i/>
          <w:iCs/>
        </w:rPr>
        <w:t>Judgment</w:t>
      </w:r>
    </w:p>
    <w:p w14:paraId="45D9C279" w14:textId="77777777" w:rsidR="00AB6414" w:rsidRPr="00FC0FD1" w:rsidRDefault="00AB6414" w:rsidP="00AB6414">
      <w:pPr>
        <w:rPr>
          <w:rFonts w:ascii="Aptos" w:hAnsi="Aptos"/>
        </w:rPr>
      </w:pPr>
    </w:p>
    <w:p w14:paraId="0F2E18A3" w14:textId="22F7EBFC" w:rsidR="00B17A82" w:rsidRPr="00FC0FD1" w:rsidRDefault="00FA3AA1" w:rsidP="00B17A82">
      <w:pPr>
        <w:jc w:val="center"/>
        <w:rPr>
          <w:rFonts w:ascii="Aptos" w:hAnsi="Aptos"/>
        </w:rPr>
      </w:pPr>
      <w:r w:rsidRPr="00FC0FD1">
        <w:rPr>
          <w:rFonts w:ascii="Aptos" w:hAnsi="Aptos"/>
          <w:i/>
          <w:iCs/>
        </w:rPr>
        <w:t xml:space="preserve">Relevant </w:t>
      </w:r>
      <w:r w:rsidR="00AB6414" w:rsidRPr="00FC0FD1">
        <w:rPr>
          <w:rFonts w:ascii="Aptos" w:hAnsi="Aptos"/>
          <w:i/>
          <w:iCs/>
        </w:rPr>
        <w:t>Procedural History</w:t>
      </w:r>
      <w:r w:rsidR="00B17A82">
        <w:rPr>
          <w:rFonts w:ascii="Aptos" w:hAnsi="Aptos"/>
          <w:i/>
          <w:iCs/>
        </w:rPr>
        <w:t>/</w:t>
      </w:r>
      <w:r w:rsidR="00B17A82" w:rsidRPr="00B17A82">
        <w:rPr>
          <w:rFonts w:ascii="Aptos" w:hAnsi="Aptos"/>
          <w:i/>
          <w:iCs/>
        </w:rPr>
        <w:t xml:space="preserve"> </w:t>
      </w:r>
      <w:r w:rsidR="00B17A82" w:rsidRPr="00FC0FD1">
        <w:rPr>
          <w:rFonts w:ascii="Aptos" w:hAnsi="Aptos"/>
          <w:i/>
          <w:iCs/>
        </w:rPr>
        <w:t>Fact</w:t>
      </w:r>
      <w:r w:rsidR="00B17A82">
        <w:rPr>
          <w:rFonts w:ascii="Aptos" w:hAnsi="Aptos"/>
          <w:i/>
          <w:iCs/>
        </w:rPr>
        <w:t>s</w:t>
      </w:r>
      <w:r w:rsidR="00B17A82" w:rsidRPr="00FC0FD1">
        <w:rPr>
          <w:rStyle w:val="FootnoteReference"/>
          <w:rFonts w:ascii="Aptos" w:hAnsi="Aptos"/>
          <w:i/>
          <w:iCs/>
        </w:rPr>
        <w:footnoteReference w:id="1"/>
      </w:r>
    </w:p>
    <w:p w14:paraId="690A76B0" w14:textId="77777777" w:rsidR="00E36E17" w:rsidRPr="00FC0FD1" w:rsidRDefault="00E36E17" w:rsidP="00B17A82">
      <w:pPr>
        <w:rPr>
          <w:rFonts w:ascii="Aptos" w:hAnsi="Aptos"/>
          <w:i/>
          <w:iCs/>
        </w:rPr>
      </w:pPr>
    </w:p>
    <w:p w14:paraId="0B8FDE0C" w14:textId="59129288" w:rsidR="00E36E17" w:rsidRDefault="00E36E17" w:rsidP="00E36E17">
      <w:pPr>
        <w:rPr>
          <w:rFonts w:ascii="Aptos" w:hAnsi="Aptos"/>
        </w:rPr>
      </w:pPr>
      <w:r w:rsidRPr="00FC0FD1">
        <w:rPr>
          <w:rFonts w:ascii="Aptos" w:hAnsi="Aptos"/>
        </w:rPr>
        <w:t>Parent</w:t>
      </w:r>
      <w:r w:rsidR="002827A9">
        <w:rPr>
          <w:rFonts w:ascii="Aptos" w:hAnsi="Aptos"/>
        </w:rPr>
        <w:t>s</w:t>
      </w:r>
      <w:r w:rsidRPr="00FC0FD1">
        <w:rPr>
          <w:rFonts w:ascii="Aptos" w:hAnsi="Aptos"/>
        </w:rPr>
        <w:t xml:space="preserve"> filed a Request for Hearing on </w:t>
      </w:r>
      <w:r w:rsidR="00C1614F">
        <w:rPr>
          <w:rFonts w:ascii="Aptos" w:hAnsi="Aptos"/>
        </w:rPr>
        <w:t>June 24</w:t>
      </w:r>
      <w:r w:rsidRPr="00FC0FD1">
        <w:rPr>
          <w:rFonts w:ascii="Aptos" w:hAnsi="Aptos"/>
        </w:rPr>
        <w:t>, 2024.</w:t>
      </w:r>
      <w:r w:rsidR="0091518F">
        <w:rPr>
          <w:rFonts w:ascii="Aptos" w:hAnsi="Aptos"/>
        </w:rPr>
        <w:t xml:space="preserve"> </w:t>
      </w:r>
      <w:r w:rsidR="00B03ADE">
        <w:rPr>
          <w:rFonts w:ascii="Aptos" w:hAnsi="Aptos"/>
        </w:rPr>
        <w:t>The Hearing was initially scheduled for</w:t>
      </w:r>
      <w:r w:rsidR="004A7BE7">
        <w:rPr>
          <w:rFonts w:ascii="Aptos" w:hAnsi="Aptos"/>
        </w:rPr>
        <w:t xml:space="preserve"> July 29, 2024.</w:t>
      </w:r>
      <w:r w:rsidR="00B03ADE">
        <w:rPr>
          <w:rFonts w:ascii="Aptos" w:hAnsi="Aptos"/>
        </w:rPr>
        <w:t xml:space="preserve"> </w:t>
      </w:r>
      <w:r w:rsidR="0091518F">
        <w:rPr>
          <w:rFonts w:ascii="Aptos" w:hAnsi="Aptos"/>
        </w:rPr>
        <w:t xml:space="preserve"> </w:t>
      </w:r>
      <w:r w:rsidR="00422634">
        <w:rPr>
          <w:rFonts w:ascii="Aptos" w:hAnsi="Aptos"/>
        </w:rPr>
        <w:t>Parents sought “a more comprehensive IEP</w:t>
      </w:r>
      <w:r w:rsidR="00D85A30">
        <w:rPr>
          <w:rFonts w:ascii="Aptos" w:hAnsi="Aptos"/>
        </w:rPr>
        <w:t>” inclusive of specific measurable benchmarks for the social/emotional goal</w:t>
      </w:r>
      <w:r w:rsidR="00E3392B">
        <w:rPr>
          <w:rFonts w:ascii="Aptos" w:hAnsi="Aptos"/>
        </w:rPr>
        <w:t xml:space="preserve">.  </w:t>
      </w:r>
      <w:r w:rsidR="00757AE4">
        <w:rPr>
          <w:rFonts w:ascii="Aptos" w:hAnsi="Aptos"/>
        </w:rPr>
        <w:t xml:space="preserve">They </w:t>
      </w:r>
      <w:r w:rsidR="00E3392B">
        <w:rPr>
          <w:rFonts w:ascii="Aptos" w:hAnsi="Aptos"/>
        </w:rPr>
        <w:t>further requested</w:t>
      </w:r>
      <w:r w:rsidR="00553B14">
        <w:rPr>
          <w:rFonts w:ascii="Aptos" w:hAnsi="Aptos"/>
        </w:rPr>
        <w:t xml:space="preserve"> that the IEP provide for</w:t>
      </w:r>
      <w:r w:rsidR="00CB7A67">
        <w:rPr>
          <w:rFonts w:ascii="Aptos" w:hAnsi="Aptos"/>
        </w:rPr>
        <w:t xml:space="preserve"> C Grid</w:t>
      </w:r>
      <w:r w:rsidR="00E3392B">
        <w:rPr>
          <w:rFonts w:ascii="Aptos" w:hAnsi="Aptos"/>
        </w:rPr>
        <w:t xml:space="preserve"> individual and small group speech and language services</w:t>
      </w:r>
      <w:r w:rsidR="00553B14">
        <w:rPr>
          <w:rFonts w:ascii="Aptos" w:hAnsi="Aptos"/>
        </w:rPr>
        <w:t xml:space="preserve">, </w:t>
      </w:r>
      <w:r w:rsidR="00553B14" w:rsidRPr="005C5F4F">
        <w:rPr>
          <w:rFonts w:ascii="Aptos" w:hAnsi="Aptos"/>
        </w:rPr>
        <w:t>consultation</w:t>
      </w:r>
      <w:r w:rsidR="00553B14">
        <w:rPr>
          <w:rFonts w:ascii="Aptos" w:hAnsi="Aptos"/>
        </w:rPr>
        <w:t xml:space="preserve">, </w:t>
      </w:r>
      <w:r w:rsidR="00553B14" w:rsidRPr="005C5F4F">
        <w:rPr>
          <w:rFonts w:ascii="Aptos" w:hAnsi="Aptos"/>
        </w:rPr>
        <w:t>“BCBA modeling with fading assistance”</w:t>
      </w:r>
      <w:r w:rsidR="004A7BE7">
        <w:rPr>
          <w:rFonts w:ascii="Aptos" w:hAnsi="Aptos"/>
        </w:rPr>
        <w:t xml:space="preserve"> </w:t>
      </w:r>
      <w:r w:rsidR="00553B14">
        <w:rPr>
          <w:rFonts w:ascii="Aptos" w:hAnsi="Aptos"/>
        </w:rPr>
        <w:t xml:space="preserve">and extended school year services.  </w:t>
      </w:r>
      <w:r w:rsidR="00293270">
        <w:rPr>
          <w:rFonts w:ascii="Aptos" w:hAnsi="Aptos"/>
        </w:rPr>
        <w:t xml:space="preserve"> </w:t>
      </w:r>
      <w:r w:rsidR="00553B14">
        <w:rPr>
          <w:rFonts w:ascii="Aptos" w:hAnsi="Aptos"/>
        </w:rPr>
        <w:t xml:space="preserve">In addition, Parents </w:t>
      </w:r>
      <w:r w:rsidR="004A7BE7">
        <w:rPr>
          <w:rFonts w:ascii="Aptos" w:hAnsi="Aptos"/>
        </w:rPr>
        <w:t>sought compensatory</w:t>
      </w:r>
      <w:r w:rsidR="00293270">
        <w:rPr>
          <w:rFonts w:ascii="Aptos" w:hAnsi="Aptos"/>
        </w:rPr>
        <w:t xml:space="preserve"> speech language </w:t>
      </w:r>
      <w:r w:rsidR="004A7BE7">
        <w:rPr>
          <w:rFonts w:ascii="Aptos" w:hAnsi="Aptos"/>
        </w:rPr>
        <w:t xml:space="preserve">services </w:t>
      </w:r>
      <w:r w:rsidR="004A7BE7" w:rsidRPr="005C5F4F">
        <w:rPr>
          <w:rFonts w:ascii="Aptos" w:hAnsi="Aptos"/>
        </w:rPr>
        <w:t>as</w:t>
      </w:r>
      <w:r w:rsidR="00553B14">
        <w:rPr>
          <w:rFonts w:ascii="Aptos" w:hAnsi="Aptos"/>
        </w:rPr>
        <w:t xml:space="preserve"> well as </w:t>
      </w:r>
      <w:r w:rsidR="004C03BB" w:rsidRPr="005C5F4F">
        <w:rPr>
          <w:rFonts w:ascii="Aptos" w:hAnsi="Aptos"/>
        </w:rPr>
        <w:t xml:space="preserve"> neuropsychological</w:t>
      </w:r>
      <w:r w:rsidR="00CE37FD" w:rsidRPr="005C5F4F">
        <w:rPr>
          <w:rFonts w:ascii="Aptos" w:hAnsi="Aptos"/>
        </w:rPr>
        <w:t xml:space="preserve"> </w:t>
      </w:r>
      <w:r w:rsidR="00553B14">
        <w:rPr>
          <w:rFonts w:ascii="Aptos" w:hAnsi="Aptos"/>
        </w:rPr>
        <w:t xml:space="preserve">and transition </w:t>
      </w:r>
      <w:r w:rsidR="00CE37FD" w:rsidRPr="005C5F4F">
        <w:rPr>
          <w:rFonts w:ascii="Aptos" w:hAnsi="Aptos"/>
        </w:rPr>
        <w:t>evaluation</w:t>
      </w:r>
      <w:r w:rsidR="00553B14">
        <w:rPr>
          <w:rFonts w:ascii="Aptos" w:hAnsi="Aptos"/>
        </w:rPr>
        <w:t>s.</w:t>
      </w:r>
      <w:r w:rsidR="004C03BB" w:rsidRPr="005C5F4F">
        <w:rPr>
          <w:rFonts w:ascii="Aptos" w:hAnsi="Aptos"/>
        </w:rPr>
        <w:t xml:space="preserve"> </w:t>
      </w:r>
      <w:r w:rsidR="00CE37FD" w:rsidRPr="005C5F4F">
        <w:rPr>
          <w:rFonts w:ascii="Aptos" w:hAnsi="Aptos"/>
        </w:rPr>
        <w:t xml:space="preserve"> </w:t>
      </w:r>
      <w:r w:rsidR="00E25600">
        <w:rPr>
          <w:rFonts w:ascii="Aptos" w:hAnsi="Aptos"/>
        </w:rPr>
        <w:t>(See Parent</w:t>
      </w:r>
      <w:r w:rsidR="00910A58">
        <w:rPr>
          <w:rFonts w:ascii="Aptos" w:hAnsi="Aptos"/>
        </w:rPr>
        <w:t>s’</w:t>
      </w:r>
      <w:r w:rsidR="00E25600">
        <w:rPr>
          <w:rFonts w:ascii="Aptos" w:hAnsi="Aptos"/>
        </w:rPr>
        <w:t xml:space="preserve"> Hearing Request</w:t>
      </w:r>
      <w:r w:rsidR="004A7BE7">
        <w:rPr>
          <w:rFonts w:ascii="Aptos" w:hAnsi="Aptos"/>
        </w:rPr>
        <w:t xml:space="preserve">)  </w:t>
      </w:r>
      <w:r w:rsidR="00D0678C">
        <w:rPr>
          <w:rFonts w:ascii="Aptos" w:hAnsi="Aptos"/>
        </w:rPr>
        <w:t>The Parties</w:t>
      </w:r>
      <w:r w:rsidR="00FB6CCC">
        <w:rPr>
          <w:rFonts w:ascii="Aptos" w:hAnsi="Aptos"/>
        </w:rPr>
        <w:t xml:space="preserve"> agreed to postpone the</w:t>
      </w:r>
      <w:r w:rsidR="00B03ADE">
        <w:rPr>
          <w:rFonts w:ascii="Aptos" w:hAnsi="Aptos"/>
        </w:rPr>
        <w:t xml:space="preserve"> Hearing</w:t>
      </w:r>
      <w:r w:rsidR="00FB6CCC">
        <w:rPr>
          <w:rFonts w:ascii="Aptos" w:hAnsi="Aptos"/>
        </w:rPr>
        <w:t xml:space="preserve"> until </w:t>
      </w:r>
      <w:r w:rsidR="003D4733">
        <w:rPr>
          <w:rFonts w:ascii="Aptos" w:hAnsi="Aptos"/>
        </w:rPr>
        <w:t>October 8 and 9, 2024 and the</w:t>
      </w:r>
      <w:r w:rsidR="00B03ADE">
        <w:rPr>
          <w:rFonts w:ascii="Aptos" w:hAnsi="Aptos"/>
        </w:rPr>
        <w:t>reafter</w:t>
      </w:r>
      <w:r w:rsidR="003D4733">
        <w:rPr>
          <w:rFonts w:ascii="Aptos" w:hAnsi="Aptos"/>
        </w:rPr>
        <w:t xml:space="preserve"> requested an additional postponement</w:t>
      </w:r>
      <w:r w:rsidR="00CA2C61">
        <w:rPr>
          <w:rFonts w:ascii="Aptos" w:hAnsi="Aptos"/>
        </w:rPr>
        <w:t xml:space="preserve"> until December 2 and 9, 2024.  The Parties participated in a Settlement Conference with Reece Erlichman on</w:t>
      </w:r>
      <w:r w:rsidR="0065697C">
        <w:rPr>
          <w:rFonts w:ascii="Aptos" w:hAnsi="Aptos"/>
        </w:rPr>
        <w:t xml:space="preserve"> November 20, 2024</w:t>
      </w:r>
      <w:r w:rsidR="00B03ADE">
        <w:rPr>
          <w:rFonts w:ascii="Aptos" w:hAnsi="Aptos"/>
        </w:rPr>
        <w:t xml:space="preserve">and </w:t>
      </w:r>
      <w:r w:rsidR="005C5F4F" w:rsidRPr="005C5F4F">
        <w:rPr>
          <w:rFonts w:ascii="Aptos" w:hAnsi="Aptos"/>
        </w:rPr>
        <w:t xml:space="preserve">drafted </w:t>
      </w:r>
      <w:r w:rsidR="00DF73DC" w:rsidRPr="005C5F4F">
        <w:rPr>
          <w:rFonts w:ascii="Aptos" w:hAnsi="Aptos"/>
        </w:rPr>
        <w:t xml:space="preserve">a settlement agreement </w:t>
      </w:r>
      <w:r w:rsidR="00B0070E" w:rsidRPr="005C5F4F">
        <w:rPr>
          <w:rFonts w:ascii="Aptos" w:hAnsi="Aptos"/>
        </w:rPr>
        <w:t>which included the following terms</w:t>
      </w:r>
      <w:r w:rsidR="006A05F7">
        <w:rPr>
          <w:rFonts w:ascii="Aptos" w:hAnsi="Aptos"/>
        </w:rPr>
        <w:t>, among others</w:t>
      </w:r>
      <w:r w:rsidR="004A7BE7" w:rsidRPr="005C5F4F">
        <w:rPr>
          <w:rFonts w:ascii="Aptos" w:hAnsi="Aptos"/>
        </w:rPr>
        <w:t>: Old</w:t>
      </w:r>
      <w:r w:rsidR="00677FCB">
        <w:rPr>
          <w:rFonts w:ascii="Aptos" w:hAnsi="Aptos"/>
        </w:rPr>
        <w:t xml:space="preserve"> </w:t>
      </w:r>
      <w:r w:rsidR="00E25600">
        <w:rPr>
          <w:rFonts w:ascii="Aptos" w:hAnsi="Aptos"/>
        </w:rPr>
        <w:t>Colony</w:t>
      </w:r>
      <w:r w:rsidR="00677FCB">
        <w:rPr>
          <w:rFonts w:ascii="Aptos" w:hAnsi="Aptos"/>
        </w:rPr>
        <w:t xml:space="preserve"> would fund a transition assessment; </w:t>
      </w:r>
      <w:r w:rsidR="005C7855">
        <w:rPr>
          <w:rFonts w:ascii="Aptos" w:hAnsi="Aptos"/>
        </w:rPr>
        <w:t>Old Colony would provide executive functioning coaching</w:t>
      </w:r>
      <w:r w:rsidR="00D35395">
        <w:rPr>
          <w:rFonts w:ascii="Aptos" w:hAnsi="Aptos"/>
        </w:rPr>
        <w:t>.</w:t>
      </w:r>
      <w:r w:rsidR="004777E5">
        <w:rPr>
          <w:rFonts w:ascii="Aptos" w:hAnsi="Aptos"/>
        </w:rPr>
        <w:t xml:space="preserve"> </w:t>
      </w:r>
      <w:r w:rsidR="007E7DAA">
        <w:rPr>
          <w:rFonts w:ascii="Aptos" w:hAnsi="Aptos"/>
        </w:rPr>
        <w:t xml:space="preserve">(See Exhibit </w:t>
      </w:r>
      <w:r w:rsidR="00CC6AAF">
        <w:rPr>
          <w:rFonts w:ascii="Aptos" w:hAnsi="Aptos"/>
        </w:rPr>
        <w:t>1</w:t>
      </w:r>
      <w:r w:rsidR="00B03ADE">
        <w:rPr>
          <w:rFonts w:ascii="Aptos" w:hAnsi="Aptos"/>
        </w:rPr>
        <w:t>.</w:t>
      </w:r>
      <w:r w:rsidR="00CC6AAF">
        <w:rPr>
          <w:rFonts w:ascii="Aptos" w:hAnsi="Aptos"/>
        </w:rPr>
        <w:t>)</w:t>
      </w:r>
      <w:r w:rsidR="00B0070E">
        <w:rPr>
          <w:rFonts w:ascii="Aptos" w:hAnsi="Aptos"/>
        </w:rPr>
        <w:t xml:space="preserve"> </w:t>
      </w:r>
      <w:r w:rsidR="0065697C">
        <w:rPr>
          <w:rFonts w:ascii="Aptos" w:hAnsi="Aptos"/>
        </w:rPr>
        <w:t xml:space="preserve">On </w:t>
      </w:r>
      <w:r w:rsidR="00333F20">
        <w:rPr>
          <w:rFonts w:ascii="Aptos" w:hAnsi="Aptos"/>
        </w:rPr>
        <w:t xml:space="preserve">November 26, </w:t>
      </w:r>
      <w:r w:rsidR="004A7BE7">
        <w:rPr>
          <w:rFonts w:ascii="Aptos" w:hAnsi="Aptos"/>
        </w:rPr>
        <w:t>2024, Old</w:t>
      </w:r>
      <w:r w:rsidR="003C738F">
        <w:rPr>
          <w:rFonts w:ascii="Aptos" w:hAnsi="Aptos"/>
        </w:rPr>
        <w:t xml:space="preserve"> Colony</w:t>
      </w:r>
      <w:r w:rsidR="00333F20">
        <w:rPr>
          <w:rFonts w:ascii="Aptos" w:hAnsi="Aptos"/>
        </w:rPr>
        <w:t xml:space="preserve"> filed an assented to Motion to postpone the Hearing</w:t>
      </w:r>
      <w:r w:rsidR="00737268">
        <w:rPr>
          <w:rFonts w:ascii="Aptos" w:hAnsi="Aptos"/>
        </w:rPr>
        <w:t xml:space="preserve"> because the</w:t>
      </w:r>
      <w:r w:rsidR="00A1692F">
        <w:rPr>
          <w:rFonts w:ascii="Aptos" w:hAnsi="Aptos"/>
        </w:rPr>
        <w:t xml:space="preserve"> </w:t>
      </w:r>
      <w:r w:rsidR="007F3E39">
        <w:rPr>
          <w:rFonts w:ascii="Aptos" w:hAnsi="Aptos"/>
        </w:rPr>
        <w:t>P</w:t>
      </w:r>
      <w:r w:rsidR="00A1692F">
        <w:rPr>
          <w:rFonts w:ascii="Aptos" w:hAnsi="Aptos"/>
        </w:rPr>
        <w:t>arties</w:t>
      </w:r>
      <w:r w:rsidR="00737268">
        <w:rPr>
          <w:rFonts w:ascii="Aptos" w:hAnsi="Aptos"/>
        </w:rPr>
        <w:t xml:space="preserve"> were circulating a settlement </w:t>
      </w:r>
      <w:r w:rsidR="00B2406D">
        <w:rPr>
          <w:rFonts w:ascii="Aptos" w:hAnsi="Aptos"/>
        </w:rPr>
        <w:t>agreement</w:t>
      </w:r>
      <w:r w:rsidR="00737268">
        <w:rPr>
          <w:rFonts w:ascii="Aptos" w:hAnsi="Aptos"/>
        </w:rPr>
        <w:t xml:space="preserve"> and had scheduled a facilitated team meeting on December 10, 2024.  The Hearing was postponed until </w:t>
      </w:r>
      <w:r w:rsidR="00B2406D">
        <w:rPr>
          <w:rFonts w:ascii="Aptos" w:hAnsi="Aptos"/>
        </w:rPr>
        <w:t xml:space="preserve">January 13 and January 17, 2025 and exhibits were due </w:t>
      </w:r>
      <w:proofErr w:type="gramStart"/>
      <w:r w:rsidR="00B2406D">
        <w:rPr>
          <w:rFonts w:ascii="Aptos" w:hAnsi="Aptos"/>
        </w:rPr>
        <w:t>by</w:t>
      </w:r>
      <w:proofErr w:type="gramEnd"/>
      <w:r w:rsidR="00B2406D">
        <w:rPr>
          <w:rFonts w:ascii="Aptos" w:hAnsi="Aptos"/>
        </w:rPr>
        <w:t xml:space="preserve"> January 6, 2025.</w:t>
      </w:r>
      <w:r w:rsidR="00627910">
        <w:rPr>
          <w:rFonts w:ascii="Aptos" w:hAnsi="Aptos"/>
        </w:rPr>
        <w:t xml:space="preserve">  Parents signed Old Colony’s proposed IEP on December 26, 2024.</w:t>
      </w:r>
      <w:r w:rsidR="00A1692F">
        <w:rPr>
          <w:rFonts w:ascii="Aptos" w:hAnsi="Aptos"/>
        </w:rPr>
        <w:t xml:space="preserve">  (Exhibit 2)</w:t>
      </w:r>
      <w:r w:rsidR="00B2406D">
        <w:rPr>
          <w:rFonts w:ascii="Aptos" w:hAnsi="Aptos"/>
        </w:rPr>
        <w:t xml:space="preserve">  Neither party submitted its exhibits on January 6, 2025</w:t>
      </w:r>
      <w:r w:rsidR="00CD6AF3">
        <w:rPr>
          <w:rFonts w:ascii="Aptos" w:hAnsi="Aptos"/>
        </w:rPr>
        <w:t>.  On January 8, 2025, the undersigned sent an email to the Parties inquiring as to the</w:t>
      </w:r>
      <w:r w:rsidR="00F32091">
        <w:rPr>
          <w:rFonts w:ascii="Aptos" w:hAnsi="Aptos"/>
        </w:rPr>
        <w:t xml:space="preserve"> status of the matter and informing the Parties that the exhibits had not been submitted.  </w:t>
      </w:r>
      <w:proofErr w:type="gramStart"/>
      <w:r w:rsidR="00D454D4">
        <w:rPr>
          <w:rFonts w:ascii="Aptos" w:hAnsi="Aptos"/>
        </w:rPr>
        <w:t>Parents</w:t>
      </w:r>
      <w:proofErr w:type="gramEnd"/>
      <w:r w:rsidR="00D454D4">
        <w:rPr>
          <w:rFonts w:ascii="Aptos" w:hAnsi="Aptos"/>
        </w:rPr>
        <w:t xml:space="preserve">, the moving party, did not respond.  Neither party appeared for </w:t>
      </w:r>
      <w:proofErr w:type="gramStart"/>
      <w:r w:rsidR="00D454D4">
        <w:rPr>
          <w:rFonts w:ascii="Aptos" w:hAnsi="Aptos"/>
        </w:rPr>
        <w:t>the January</w:t>
      </w:r>
      <w:proofErr w:type="gramEnd"/>
      <w:r w:rsidR="00D454D4">
        <w:rPr>
          <w:rFonts w:ascii="Aptos" w:hAnsi="Aptos"/>
        </w:rPr>
        <w:t xml:space="preserve"> 13, 2025 Hearing.  The Hearing Officer issued an Order to Show Cause on </w:t>
      </w:r>
      <w:r w:rsidR="009123D6">
        <w:rPr>
          <w:rFonts w:ascii="Aptos" w:hAnsi="Aptos"/>
        </w:rPr>
        <w:t>January 15, 2025.  The moving party did not respond.</w:t>
      </w:r>
      <w:r w:rsidR="00510A8A">
        <w:rPr>
          <w:rFonts w:ascii="Aptos" w:hAnsi="Aptos"/>
        </w:rPr>
        <w:t xml:space="preserve">  </w:t>
      </w:r>
      <w:r w:rsidR="00965DF2">
        <w:rPr>
          <w:rFonts w:ascii="Aptos" w:hAnsi="Aptos"/>
        </w:rPr>
        <w:t>As of January 10, 2025, the date that the Motion for Summary Judgment was filed, t</w:t>
      </w:r>
      <w:r w:rsidR="00510A8A">
        <w:rPr>
          <w:rFonts w:ascii="Aptos" w:hAnsi="Aptos"/>
        </w:rPr>
        <w:t>he Settlement Agreement ha</w:t>
      </w:r>
      <w:r w:rsidR="00FA709E">
        <w:rPr>
          <w:rFonts w:ascii="Aptos" w:hAnsi="Aptos"/>
        </w:rPr>
        <w:t>d</w:t>
      </w:r>
      <w:r w:rsidR="00510A8A">
        <w:rPr>
          <w:rFonts w:ascii="Aptos" w:hAnsi="Aptos"/>
        </w:rPr>
        <w:t xml:space="preserve"> not been signed</w:t>
      </w:r>
      <w:r w:rsidR="00FA709E">
        <w:rPr>
          <w:rFonts w:ascii="Aptos" w:hAnsi="Aptos"/>
        </w:rPr>
        <w:t>.</w:t>
      </w:r>
      <w:r w:rsidR="00510A8A">
        <w:rPr>
          <w:rFonts w:ascii="Aptos" w:hAnsi="Aptos"/>
        </w:rPr>
        <w:t xml:space="preserve"> </w:t>
      </w:r>
    </w:p>
    <w:p w14:paraId="4CC49764" w14:textId="77777777" w:rsidR="00C75AC6" w:rsidRDefault="00C75AC6" w:rsidP="00E36E17">
      <w:pPr>
        <w:rPr>
          <w:rFonts w:ascii="Aptos" w:hAnsi="Aptos"/>
        </w:rPr>
      </w:pPr>
    </w:p>
    <w:p w14:paraId="293F6AFE" w14:textId="77777777" w:rsidR="00C75AC6" w:rsidRPr="00FC0FD1" w:rsidRDefault="00C75AC6" w:rsidP="00E36E17">
      <w:pPr>
        <w:rPr>
          <w:rFonts w:ascii="Aptos" w:hAnsi="Aptos"/>
        </w:rPr>
      </w:pPr>
    </w:p>
    <w:p w14:paraId="02B5E78D" w14:textId="77777777" w:rsidR="007E1B05" w:rsidRPr="00FC0FD1" w:rsidRDefault="007E1B05" w:rsidP="003A1C4D">
      <w:pPr>
        <w:rPr>
          <w:rFonts w:ascii="Aptos" w:hAnsi="Aptos"/>
        </w:rPr>
      </w:pPr>
    </w:p>
    <w:p w14:paraId="46859A1B" w14:textId="0D7A3190" w:rsidR="003F0C8A" w:rsidRPr="00FC0FD1" w:rsidRDefault="00FB634A" w:rsidP="003F0C8A">
      <w:pPr>
        <w:jc w:val="center"/>
        <w:rPr>
          <w:rFonts w:ascii="Aptos" w:hAnsi="Aptos"/>
          <w:i/>
          <w:iCs/>
        </w:rPr>
      </w:pPr>
      <w:r>
        <w:rPr>
          <w:rFonts w:ascii="Aptos" w:hAnsi="Aptos"/>
          <w:i/>
          <w:iCs/>
        </w:rPr>
        <w:lastRenderedPageBreak/>
        <w:t>Old Colony</w:t>
      </w:r>
      <w:r w:rsidR="003F0C8A" w:rsidRPr="00FC0FD1">
        <w:rPr>
          <w:rFonts w:ascii="Aptos" w:hAnsi="Aptos"/>
          <w:i/>
          <w:iCs/>
        </w:rPr>
        <w:t>’s Position</w:t>
      </w:r>
    </w:p>
    <w:p w14:paraId="7DAB1C3E" w14:textId="77777777" w:rsidR="008C6DCE" w:rsidRPr="00FC0FD1" w:rsidRDefault="008C6DCE" w:rsidP="003F0C8A">
      <w:pPr>
        <w:jc w:val="center"/>
        <w:rPr>
          <w:rFonts w:ascii="Aptos" w:hAnsi="Aptos"/>
          <w:i/>
          <w:iCs/>
        </w:rPr>
      </w:pPr>
    </w:p>
    <w:p w14:paraId="1E3A8824" w14:textId="0AB8A0F7" w:rsidR="003F0C8A" w:rsidRDefault="00B21C40" w:rsidP="003A1C4D">
      <w:pPr>
        <w:rPr>
          <w:rFonts w:ascii="Aptos" w:hAnsi="Aptos"/>
        </w:rPr>
      </w:pPr>
      <w:r>
        <w:rPr>
          <w:rFonts w:ascii="Aptos" w:hAnsi="Aptos"/>
        </w:rPr>
        <w:t xml:space="preserve"> Old Colony developed a settlement agreement and IEP to provide Student with the services sought through the Parents’ Hearing Request. (Exhibit 1) This agreement was never </w:t>
      </w:r>
      <w:r w:rsidR="004A7BE7">
        <w:rPr>
          <w:rFonts w:ascii="Aptos" w:hAnsi="Aptos"/>
        </w:rPr>
        <w:t>signed by</w:t>
      </w:r>
      <w:r>
        <w:rPr>
          <w:rFonts w:ascii="Aptos" w:hAnsi="Aptos"/>
        </w:rPr>
        <w:t xml:space="preserve"> the Parents.  On December 10, 2024, a facilitated team</w:t>
      </w:r>
      <w:r w:rsidR="004A7BE7">
        <w:rPr>
          <w:rFonts w:ascii="Aptos" w:hAnsi="Aptos"/>
        </w:rPr>
        <w:t xml:space="preserve"> </w:t>
      </w:r>
      <w:r>
        <w:rPr>
          <w:rFonts w:ascii="Aptos" w:hAnsi="Aptos"/>
        </w:rPr>
        <w:t xml:space="preserve">meeting was </w:t>
      </w:r>
      <w:proofErr w:type="gramStart"/>
      <w:r>
        <w:rPr>
          <w:rFonts w:ascii="Aptos" w:hAnsi="Aptos"/>
        </w:rPr>
        <w:t>held</w:t>
      </w:r>
      <w:proofErr w:type="gramEnd"/>
      <w:r>
        <w:rPr>
          <w:rFonts w:ascii="Aptos" w:hAnsi="Aptos"/>
        </w:rPr>
        <w:t xml:space="preserve"> and the settlement provisions were added to the IEP in good faith</w:t>
      </w:r>
      <w:r w:rsidR="004A7BE7">
        <w:rPr>
          <w:rFonts w:ascii="Aptos" w:hAnsi="Aptos"/>
        </w:rPr>
        <w:t xml:space="preserve">. </w:t>
      </w:r>
      <w:r w:rsidR="00C41A4F">
        <w:rPr>
          <w:rFonts w:ascii="Aptos" w:hAnsi="Aptos"/>
        </w:rPr>
        <w:t>At this meeting, Parents made assurances that they intended to sign the Settlement Agreement.</w:t>
      </w:r>
      <w:r w:rsidR="00C41A4F" w:rsidRPr="001E1ABF">
        <w:rPr>
          <w:rFonts w:ascii="Aptos" w:hAnsi="Aptos"/>
        </w:rPr>
        <w:t xml:space="preserve"> </w:t>
      </w:r>
      <w:r>
        <w:rPr>
          <w:rFonts w:ascii="Aptos" w:hAnsi="Aptos"/>
        </w:rPr>
        <w:t>On Decembe</w:t>
      </w:r>
      <w:r w:rsidR="00C41A4F">
        <w:rPr>
          <w:rFonts w:ascii="Aptos" w:hAnsi="Aptos"/>
        </w:rPr>
        <w:t>r</w:t>
      </w:r>
      <w:r>
        <w:rPr>
          <w:rFonts w:ascii="Aptos" w:hAnsi="Aptos"/>
        </w:rPr>
        <w:t xml:space="preserve"> 26, 2024, Parents accepted this IEP.</w:t>
      </w:r>
      <w:r w:rsidR="00932935">
        <w:rPr>
          <w:rFonts w:ascii="Aptos" w:hAnsi="Aptos"/>
        </w:rPr>
        <w:t xml:space="preserve">  </w:t>
      </w:r>
      <w:r w:rsidR="001E1ABF">
        <w:rPr>
          <w:rFonts w:ascii="Aptos" w:hAnsi="Aptos"/>
        </w:rPr>
        <w:t xml:space="preserve">Attempts to inquire about the status of the agreement were not answered and it is unclear why </w:t>
      </w:r>
      <w:r w:rsidR="00C41A4F">
        <w:rPr>
          <w:rFonts w:ascii="Aptos" w:hAnsi="Aptos"/>
        </w:rPr>
        <w:t>P</w:t>
      </w:r>
      <w:r w:rsidR="001E1ABF">
        <w:rPr>
          <w:rFonts w:ascii="Aptos" w:hAnsi="Aptos"/>
        </w:rPr>
        <w:t>arents did not sign this agreement developed with their full input.</w:t>
      </w:r>
      <w:r w:rsidR="004A7BE7">
        <w:rPr>
          <w:rFonts w:ascii="Aptos" w:hAnsi="Aptos"/>
        </w:rPr>
        <w:t xml:space="preserve">  </w:t>
      </w:r>
      <w:proofErr w:type="gramStart"/>
      <w:r w:rsidR="001E1ABF">
        <w:rPr>
          <w:rFonts w:ascii="Aptos" w:hAnsi="Aptos"/>
        </w:rPr>
        <w:t>At this time</w:t>
      </w:r>
      <w:proofErr w:type="gramEnd"/>
      <w:r w:rsidR="001E1ABF">
        <w:rPr>
          <w:rFonts w:ascii="Aptos" w:hAnsi="Aptos"/>
        </w:rPr>
        <w:t xml:space="preserve"> there is no genuine issue of material fact and no basis to claim there is a continued dispute</w:t>
      </w:r>
      <w:r w:rsidR="00C41A4F">
        <w:rPr>
          <w:rFonts w:ascii="Aptos" w:hAnsi="Aptos"/>
        </w:rPr>
        <w:t>.</w:t>
      </w:r>
    </w:p>
    <w:p w14:paraId="25BE51F4" w14:textId="77777777" w:rsidR="003F0C8A" w:rsidRPr="00FC0FD1" w:rsidRDefault="003F0C8A" w:rsidP="003A1C4D">
      <w:pPr>
        <w:rPr>
          <w:rFonts w:ascii="Aptos" w:hAnsi="Aptos"/>
        </w:rPr>
      </w:pPr>
    </w:p>
    <w:p w14:paraId="6123E83B" w14:textId="48FB0C90" w:rsidR="003F0C8A" w:rsidRPr="00FC0FD1" w:rsidRDefault="003F0C8A" w:rsidP="003F0C8A">
      <w:pPr>
        <w:jc w:val="center"/>
        <w:rPr>
          <w:rFonts w:ascii="Aptos" w:hAnsi="Aptos"/>
          <w:i/>
          <w:iCs/>
        </w:rPr>
      </w:pPr>
      <w:r w:rsidRPr="00FC0FD1">
        <w:rPr>
          <w:rFonts w:ascii="Aptos" w:hAnsi="Aptos"/>
          <w:i/>
          <w:iCs/>
        </w:rPr>
        <w:t>Parent</w:t>
      </w:r>
      <w:r w:rsidR="00B21C40">
        <w:rPr>
          <w:rFonts w:ascii="Aptos" w:hAnsi="Aptos"/>
          <w:i/>
          <w:iCs/>
        </w:rPr>
        <w:t>s</w:t>
      </w:r>
      <w:r w:rsidR="004A7BE7">
        <w:rPr>
          <w:rFonts w:ascii="Aptos" w:hAnsi="Aptos"/>
          <w:i/>
          <w:iCs/>
        </w:rPr>
        <w:t>’</w:t>
      </w:r>
      <w:r w:rsidRPr="00FC0FD1">
        <w:rPr>
          <w:rFonts w:ascii="Aptos" w:hAnsi="Aptos"/>
          <w:i/>
          <w:iCs/>
        </w:rPr>
        <w:t xml:space="preserve"> Position</w:t>
      </w:r>
    </w:p>
    <w:p w14:paraId="022C3F17" w14:textId="77777777" w:rsidR="003F0C8A" w:rsidRPr="00FC0FD1" w:rsidRDefault="003F0C8A" w:rsidP="003F0C8A">
      <w:pPr>
        <w:jc w:val="center"/>
        <w:rPr>
          <w:rFonts w:ascii="Aptos" w:hAnsi="Aptos"/>
        </w:rPr>
      </w:pPr>
    </w:p>
    <w:p w14:paraId="35D3CE6E" w14:textId="0C3F6FF2" w:rsidR="00B45C1D" w:rsidRDefault="00B17A82" w:rsidP="00B17A82">
      <w:pPr>
        <w:rPr>
          <w:rFonts w:ascii="Aptos" w:hAnsi="Aptos"/>
          <w:i/>
          <w:iCs/>
        </w:rPr>
      </w:pPr>
      <w:r>
        <w:rPr>
          <w:rFonts w:ascii="Aptos" w:hAnsi="Aptos"/>
        </w:rPr>
        <w:t xml:space="preserve">Parents did not file a response to Old Colony’s Motion for Summary Judgment.  </w:t>
      </w:r>
    </w:p>
    <w:p w14:paraId="20FCE9DE" w14:textId="77777777" w:rsidR="00B45C1D" w:rsidRDefault="00B45C1D" w:rsidP="00AC5C57">
      <w:pPr>
        <w:jc w:val="center"/>
        <w:rPr>
          <w:rFonts w:ascii="Aptos" w:hAnsi="Aptos"/>
          <w:i/>
          <w:iCs/>
        </w:rPr>
      </w:pPr>
    </w:p>
    <w:p w14:paraId="2A511397" w14:textId="14FA71C1" w:rsidR="003A1C4D" w:rsidRPr="00FC0FD1" w:rsidRDefault="003A1C4D" w:rsidP="00AC5C57">
      <w:pPr>
        <w:jc w:val="center"/>
        <w:rPr>
          <w:rFonts w:ascii="Aptos" w:hAnsi="Aptos"/>
          <w:i/>
          <w:iCs/>
        </w:rPr>
      </w:pPr>
      <w:r w:rsidRPr="00FC0FD1">
        <w:rPr>
          <w:rFonts w:ascii="Aptos" w:hAnsi="Aptos"/>
          <w:i/>
          <w:iCs/>
        </w:rPr>
        <w:t>Summary Judgment</w:t>
      </w:r>
    </w:p>
    <w:p w14:paraId="268BE5A2" w14:textId="77777777" w:rsidR="00426A39" w:rsidRPr="00FC0FD1" w:rsidRDefault="00426A39" w:rsidP="003E5E02">
      <w:pPr>
        <w:rPr>
          <w:rFonts w:ascii="Aptos" w:hAnsi="Aptos"/>
        </w:rPr>
      </w:pPr>
    </w:p>
    <w:p w14:paraId="0D90AC74" w14:textId="395945D0" w:rsidR="00287851" w:rsidRPr="00FC0FD1" w:rsidRDefault="00A152B3" w:rsidP="00287851">
      <w:pPr>
        <w:pStyle w:val="NormalWeb"/>
        <w:shd w:val="clear" w:color="auto" w:fill="FFFFFF"/>
        <w:spacing w:before="0" w:beforeAutospacing="0" w:after="375" w:afterAutospacing="0"/>
        <w:rPr>
          <w:rFonts w:ascii="Aptos" w:hAnsi="Aptos"/>
          <w:color w:val="4B4D4D"/>
        </w:rPr>
      </w:pPr>
      <w:r w:rsidRPr="00FC0FD1">
        <w:rPr>
          <w:rFonts w:ascii="Aptos" w:hAnsi="Aptos"/>
          <w:color w:val="4B4D4D"/>
        </w:rPr>
        <w:t>Pursuant to 801 CMR 1.01(7)(h), summary decision may be granted when there is “no genuine issue of fact relating to all or part of a claim or defense and [the moving party] is entitled to prevail as a matter of law.”</w:t>
      </w:r>
      <w:r w:rsidRPr="00FC0FD1">
        <w:rPr>
          <w:rStyle w:val="FootnoteReference"/>
          <w:rFonts w:ascii="Aptos" w:hAnsi="Aptos"/>
          <w:color w:val="4B4D4D"/>
        </w:rPr>
        <w:footnoteReference w:id="2"/>
      </w:r>
      <w:r w:rsidRPr="00FC0FD1">
        <w:rPr>
          <w:rFonts w:ascii="Aptos" w:hAnsi="Aptos"/>
          <w:color w:val="4B4D4D"/>
        </w:rPr>
        <w:t xml:space="preserve">  BSEA hearing officers are</w:t>
      </w:r>
      <w:r w:rsidR="001E1ABF">
        <w:rPr>
          <w:rFonts w:ascii="Aptos" w:hAnsi="Aptos"/>
          <w:color w:val="4B4D4D"/>
        </w:rPr>
        <w:t xml:space="preserve"> also</w:t>
      </w:r>
      <w:r w:rsidRPr="00FC0FD1">
        <w:rPr>
          <w:rFonts w:ascii="Aptos" w:hAnsi="Aptos"/>
          <w:color w:val="4B4D4D"/>
        </w:rPr>
        <w:t xml:space="preserve"> guided by the Federal and Massachusetts Rules of Civil Procedure,  Rule 56,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FC0FD1">
        <w:rPr>
          <w:rStyle w:val="FootnoteReference"/>
          <w:rFonts w:ascii="Aptos" w:hAnsi="Aptos"/>
          <w:color w:val="4B4D4D"/>
        </w:rPr>
        <w:footnoteReference w:id="3"/>
      </w:r>
      <w:r w:rsidRPr="00FC0FD1">
        <w:rPr>
          <w:rFonts w:ascii="Aptos" w:hAnsi="Aptos"/>
          <w:color w:val="4B4D4D"/>
        </w:rPr>
        <w:t xml:space="preserve"> </w:t>
      </w:r>
    </w:p>
    <w:p w14:paraId="7BC326EE" w14:textId="1F8A8A46" w:rsidR="003F0C8A" w:rsidRPr="00FC0FD1" w:rsidRDefault="00A152B3" w:rsidP="00287851">
      <w:pPr>
        <w:pStyle w:val="NormalWeb"/>
        <w:shd w:val="clear" w:color="auto" w:fill="FFFFFF"/>
        <w:spacing w:before="0" w:beforeAutospacing="0" w:after="375" w:afterAutospacing="0"/>
        <w:rPr>
          <w:rFonts w:ascii="Aptos" w:hAnsi="Aptos"/>
          <w:color w:val="4B4D4D"/>
        </w:rPr>
      </w:pPr>
      <w:r w:rsidRPr="00FC0FD1">
        <w:rPr>
          <w:rFonts w:ascii="Aptos" w:hAnsi="Aptos"/>
          <w:color w:val="4B4D4D"/>
        </w:rPr>
        <w:t>The party seeking summary judgment must first demonstrate, with the support of its documents (pleadings, affidavits, and other evidence), that there is no genuine issue of fact relating to the claim or defense. The moving party bears the burden of proof, and all evidence and inferences must be viewed in the light most favorable to the party opposing summary judgment.</w:t>
      </w:r>
      <w:r w:rsidRPr="00FC0FD1">
        <w:rPr>
          <w:rStyle w:val="FootnoteReference"/>
          <w:rFonts w:ascii="Aptos" w:hAnsi="Aptos"/>
          <w:color w:val="4B4D4D"/>
        </w:rPr>
        <w:footnoteReference w:id="4"/>
      </w:r>
      <w:r w:rsidRPr="00FC0FD1">
        <w:rPr>
          <w:rFonts w:ascii="Aptos" w:hAnsi="Aptos"/>
          <w:color w:val="4B4D4D"/>
        </w:rPr>
        <w:t> In response to a motion for summary judgment, the opposing party “must set forth specific facts showing that there is a genuine issue for trial.”</w:t>
      </w:r>
      <w:r w:rsidRPr="00FC0FD1">
        <w:rPr>
          <w:rStyle w:val="FootnoteReference"/>
          <w:rFonts w:ascii="Aptos" w:hAnsi="Aptos"/>
          <w:color w:val="4B4D4D"/>
        </w:rPr>
        <w:footnoteReference w:id="5"/>
      </w:r>
      <w:r w:rsidRPr="00FC0FD1">
        <w:rPr>
          <w:rFonts w:ascii="Aptos" w:hAnsi="Aptos"/>
          <w:color w:val="4B4D4D"/>
        </w:rPr>
        <w:t> An issue is genuine if it “may reasonably be resolved in favor of either party.”</w:t>
      </w:r>
      <w:r w:rsidRPr="00FC0FD1">
        <w:rPr>
          <w:rStyle w:val="FootnoteReference"/>
          <w:rFonts w:ascii="Aptos" w:hAnsi="Aptos"/>
          <w:color w:val="4B4D4D"/>
        </w:rPr>
        <w:footnoteReference w:id="6"/>
      </w:r>
      <w:r w:rsidRPr="00FC0FD1">
        <w:rPr>
          <w:rFonts w:ascii="Aptos" w:hAnsi="Aptos"/>
          <w:color w:val="4B4D4D"/>
        </w:rPr>
        <w:t xml:space="preserve"> To survive this motion and proceed to hearing, the adverse party must show that there is “sufficient evidence” in her favor that the fact finder </w:t>
      </w:r>
      <w:r w:rsidRPr="00FC0FD1">
        <w:rPr>
          <w:rFonts w:ascii="Aptos" w:hAnsi="Aptos"/>
          <w:color w:val="4B4D4D"/>
        </w:rPr>
        <w:lastRenderedPageBreak/>
        <w:t>could decide for her.</w:t>
      </w:r>
      <w:r w:rsidRPr="00FC0FD1">
        <w:rPr>
          <w:rStyle w:val="FootnoteReference"/>
          <w:rFonts w:ascii="Aptos" w:hAnsi="Aptos"/>
          <w:color w:val="4B4D4D"/>
        </w:rPr>
        <w:footnoteReference w:id="7"/>
      </w:r>
      <w:r w:rsidRPr="00FC0FD1">
        <w:rPr>
          <w:rFonts w:ascii="Aptos" w:hAnsi="Aptos"/>
          <w:color w:val="4B4D4D"/>
        </w:rPr>
        <w:t> In other words, the evidence presented by the non-moving party “must have substance in the sense that it [demonstrates] differing versions of the truth which a factfinder must resolve at an ensuing trial.”</w:t>
      </w:r>
      <w:r w:rsidRPr="00FC0FD1">
        <w:rPr>
          <w:rStyle w:val="FootnoteReference"/>
          <w:rFonts w:ascii="Aptos" w:hAnsi="Aptos"/>
          <w:color w:val="4B4D4D"/>
        </w:rPr>
        <w:footnoteReference w:id="8"/>
      </w:r>
      <w:r w:rsidRPr="00FC0FD1">
        <w:rPr>
          <w:rFonts w:ascii="Aptos" w:hAnsi="Aptos"/>
          <w:color w:val="4B4D4D"/>
        </w:rPr>
        <w:t xml:space="preserve"> The non-moving party’s evidence will not suffice if it is comprised merely of “conclusory allegations, improbable inferences, and unsupported speculation.”</w:t>
      </w:r>
      <w:r w:rsidRPr="00FC0FD1">
        <w:rPr>
          <w:rStyle w:val="FootnoteReference"/>
          <w:rFonts w:ascii="Aptos" w:hAnsi="Aptos"/>
          <w:color w:val="4B4D4D"/>
        </w:rPr>
        <w:footnoteReference w:id="9"/>
      </w:r>
      <w:r w:rsidRPr="00FC0FD1">
        <w:rPr>
          <w:rFonts w:ascii="Aptos" w:hAnsi="Aptos"/>
          <w:color w:val="4B4D4D"/>
        </w:rPr>
        <w:t xml:space="preserve"> </w:t>
      </w:r>
    </w:p>
    <w:p w14:paraId="52BFD873" w14:textId="37277558" w:rsidR="00442C95" w:rsidRPr="00FC0FD1" w:rsidRDefault="00A50623" w:rsidP="00A50623">
      <w:pPr>
        <w:jc w:val="center"/>
        <w:rPr>
          <w:rFonts w:ascii="Aptos" w:hAnsi="Aptos"/>
          <w:i/>
          <w:iCs/>
          <w:color w:val="4B4D4D"/>
        </w:rPr>
      </w:pPr>
      <w:r w:rsidRPr="00FC0FD1">
        <w:rPr>
          <w:rFonts w:ascii="Aptos" w:hAnsi="Aptos"/>
          <w:i/>
          <w:iCs/>
          <w:color w:val="4B4D4D"/>
        </w:rPr>
        <w:t>Analysis</w:t>
      </w:r>
    </w:p>
    <w:p w14:paraId="5369ECF6" w14:textId="77777777" w:rsidR="00A50623" w:rsidRPr="00FC0FD1" w:rsidRDefault="00A50623" w:rsidP="00A152B3">
      <w:pPr>
        <w:rPr>
          <w:rFonts w:ascii="Aptos" w:hAnsi="Aptos"/>
          <w:color w:val="4B4D4D"/>
          <w:highlight w:val="yellow"/>
        </w:rPr>
      </w:pPr>
    </w:p>
    <w:p w14:paraId="22DCC81E" w14:textId="3C2B63B3" w:rsidR="00A50623" w:rsidRDefault="002B0AB7" w:rsidP="00A152B3">
      <w:pPr>
        <w:rPr>
          <w:rFonts w:ascii="Aptos" w:hAnsi="Aptos"/>
        </w:rPr>
      </w:pPr>
      <w:r>
        <w:rPr>
          <w:rFonts w:ascii="Aptos" w:hAnsi="Aptos"/>
          <w:color w:val="4B4D4D"/>
        </w:rPr>
        <w:t>Old Colony</w:t>
      </w:r>
      <w:r w:rsidR="001C4CC3">
        <w:rPr>
          <w:rFonts w:ascii="Aptos" w:hAnsi="Aptos"/>
          <w:color w:val="4B4D4D"/>
        </w:rPr>
        <w:t xml:space="preserve"> seeks summary</w:t>
      </w:r>
      <w:r w:rsidR="00EF214C">
        <w:rPr>
          <w:rFonts w:ascii="Aptos" w:hAnsi="Aptos"/>
          <w:color w:val="4B4D4D"/>
        </w:rPr>
        <w:t xml:space="preserve"> judgment</w:t>
      </w:r>
      <w:r w:rsidR="001C4CC3">
        <w:rPr>
          <w:rFonts w:ascii="Aptos" w:hAnsi="Aptos"/>
          <w:color w:val="4B4D4D"/>
        </w:rPr>
        <w:t xml:space="preserve"> </w:t>
      </w:r>
      <w:r w:rsidR="007E0F7C">
        <w:rPr>
          <w:rFonts w:ascii="Aptos" w:hAnsi="Aptos"/>
          <w:color w:val="4B4D4D"/>
        </w:rPr>
        <w:t>arguing</w:t>
      </w:r>
      <w:r w:rsidR="001C4CC3">
        <w:rPr>
          <w:rFonts w:ascii="Aptos" w:hAnsi="Aptos"/>
          <w:color w:val="4B4D4D"/>
        </w:rPr>
        <w:t xml:space="preserve"> that there are no genuine issues of material fact</w:t>
      </w:r>
      <w:r w:rsidR="00CE7B11">
        <w:rPr>
          <w:rFonts w:ascii="Aptos" w:hAnsi="Aptos"/>
          <w:color w:val="4B4D4D"/>
        </w:rPr>
        <w:t xml:space="preserve"> and that the Parties have settled Parents’ claims in full</w:t>
      </w:r>
      <w:r w:rsidR="00E3721E">
        <w:rPr>
          <w:rFonts w:ascii="Aptos" w:hAnsi="Aptos"/>
          <w:color w:val="4B4D4D"/>
        </w:rPr>
        <w:t>.</w:t>
      </w:r>
      <w:r w:rsidR="00F80D71">
        <w:rPr>
          <w:rFonts w:ascii="Aptos" w:hAnsi="Aptos"/>
          <w:color w:val="4B4D4D"/>
        </w:rPr>
        <w:t xml:space="preserve">  </w:t>
      </w:r>
      <w:r w:rsidR="000A1A18">
        <w:rPr>
          <w:rFonts w:ascii="Aptos" w:hAnsi="Aptos"/>
          <w:color w:val="4B4D4D"/>
        </w:rPr>
        <w:t>However,</w:t>
      </w:r>
      <w:r w:rsidR="00EF214C">
        <w:rPr>
          <w:rFonts w:ascii="Aptos" w:hAnsi="Aptos"/>
          <w:color w:val="4B4D4D"/>
        </w:rPr>
        <w:t xml:space="preserve"> the evidence shows that there is an unsigned settlement agreement </w:t>
      </w:r>
      <w:r w:rsidR="00CC0E1A">
        <w:rPr>
          <w:rFonts w:ascii="Aptos" w:hAnsi="Aptos"/>
          <w:color w:val="4B4D4D"/>
        </w:rPr>
        <w:t xml:space="preserve">and </w:t>
      </w:r>
      <w:r w:rsidR="00F7660F">
        <w:rPr>
          <w:rFonts w:ascii="Aptos" w:hAnsi="Aptos"/>
          <w:color w:val="4B4D4D"/>
        </w:rPr>
        <w:t xml:space="preserve">a </w:t>
      </w:r>
      <w:r w:rsidR="00CC0E1A">
        <w:rPr>
          <w:rFonts w:ascii="Aptos" w:hAnsi="Aptos"/>
          <w:color w:val="4B4D4D"/>
        </w:rPr>
        <w:t xml:space="preserve">signed IEP which do not </w:t>
      </w:r>
      <w:r w:rsidR="00D4038C">
        <w:rPr>
          <w:rFonts w:ascii="Aptos" w:hAnsi="Aptos"/>
          <w:color w:val="4B4D4D"/>
        </w:rPr>
        <w:t>address</w:t>
      </w:r>
      <w:r w:rsidR="00CC0E1A">
        <w:rPr>
          <w:rFonts w:ascii="Aptos" w:hAnsi="Aptos"/>
          <w:color w:val="4B4D4D"/>
        </w:rPr>
        <w:t xml:space="preserve"> </w:t>
      </w:r>
      <w:proofErr w:type="gramStart"/>
      <w:r w:rsidR="00CC0E1A">
        <w:rPr>
          <w:rFonts w:ascii="Aptos" w:hAnsi="Aptos"/>
          <w:color w:val="4B4D4D"/>
        </w:rPr>
        <w:t>all of</w:t>
      </w:r>
      <w:proofErr w:type="gramEnd"/>
      <w:r w:rsidR="00CC0E1A">
        <w:rPr>
          <w:rFonts w:ascii="Aptos" w:hAnsi="Aptos"/>
          <w:color w:val="4B4D4D"/>
        </w:rPr>
        <w:t xml:space="preserve"> the claims made in Parents’ Request for Hearing.  (See Exhibit </w:t>
      </w:r>
      <w:r w:rsidR="006F0A1A">
        <w:rPr>
          <w:rFonts w:ascii="Aptos" w:hAnsi="Aptos"/>
          <w:color w:val="4B4D4D"/>
        </w:rPr>
        <w:t>1, Exhibit 2, and Parents’ Hearing Request.)</w:t>
      </w:r>
      <w:r w:rsidR="00D4038C">
        <w:rPr>
          <w:rFonts w:ascii="Aptos" w:hAnsi="Aptos"/>
          <w:color w:val="4B4D4D"/>
        </w:rPr>
        <w:t xml:space="preserve">  There is no affidavit </w:t>
      </w:r>
      <w:r w:rsidR="00070D94">
        <w:rPr>
          <w:rFonts w:ascii="Aptos" w:hAnsi="Aptos"/>
          <w:color w:val="4B4D4D"/>
        </w:rPr>
        <w:t xml:space="preserve">stating that the Parties reached an agreement. </w:t>
      </w:r>
      <w:r w:rsidR="00993D85">
        <w:rPr>
          <w:rFonts w:ascii="Aptos" w:hAnsi="Aptos"/>
          <w:color w:val="4B4D4D"/>
        </w:rPr>
        <w:t xml:space="preserve">It is impossible to ascertain Parents’ position in this matter, as their attorney has failed to respond to </w:t>
      </w:r>
      <w:r w:rsidR="00271C98">
        <w:rPr>
          <w:rFonts w:ascii="Aptos" w:hAnsi="Aptos"/>
          <w:color w:val="4B4D4D"/>
        </w:rPr>
        <w:t>all communications from the BSEA</w:t>
      </w:r>
      <w:r w:rsidR="00642904">
        <w:rPr>
          <w:rFonts w:ascii="Aptos" w:hAnsi="Aptos"/>
          <w:color w:val="4B4D4D"/>
        </w:rPr>
        <w:t xml:space="preserve">, has not appeared for the scheduled Hearing, has not responded to Old Colony’s </w:t>
      </w:r>
      <w:r w:rsidR="00F22CA4">
        <w:rPr>
          <w:rFonts w:ascii="Aptos" w:hAnsi="Aptos"/>
          <w:color w:val="4B4D4D"/>
        </w:rPr>
        <w:t xml:space="preserve">Motion for Summary </w:t>
      </w:r>
      <w:r w:rsidR="007D5B1F">
        <w:rPr>
          <w:rFonts w:ascii="Aptos" w:hAnsi="Aptos"/>
          <w:color w:val="4B4D4D"/>
        </w:rPr>
        <w:t>Judgment</w:t>
      </w:r>
      <w:r w:rsidR="00F22CA4">
        <w:rPr>
          <w:rFonts w:ascii="Aptos" w:hAnsi="Aptos"/>
          <w:color w:val="4B4D4D"/>
        </w:rPr>
        <w:t xml:space="preserve">, and has not responded to the BSEA’s Order to Show Cause.  </w:t>
      </w:r>
      <w:r w:rsidR="00070D94">
        <w:rPr>
          <w:rFonts w:ascii="Aptos" w:hAnsi="Aptos"/>
          <w:color w:val="4B4D4D"/>
        </w:rPr>
        <w:t xml:space="preserve">Based upon the submissions, I am unable to make a determination that there are no genuine issues of material </w:t>
      </w:r>
      <w:proofErr w:type="gramStart"/>
      <w:r w:rsidR="00070D94">
        <w:rPr>
          <w:rFonts w:ascii="Aptos" w:hAnsi="Aptos"/>
          <w:color w:val="4B4D4D"/>
        </w:rPr>
        <w:t>fact</w:t>
      </w:r>
      <w:proofErr w:type="gramEnd"/>
      <w:r w:rsidR="00070D94">
        <w:rPr>
          <w:rFonts w:ascii="Aptos" w:hAnsi="Aptos"/>
          <w:color w:val="4B4D4D"/>
        </w:rPr>
        <w:t xml:space="preserve"> and that Old Colony is entitled to judgment </w:t>
      </w:r>
      <w:r w:rsidR="000922DD">
        <w:rPr>
          <w:rFonts w:ascii="Aptos" w:hAnsi="Aptos"/>
          <w:color w:val="4B4D4D"/>
        </w:rPr>
        <w:t xml:space="preserve">as a matter of law.  </w:t>
      </w:r>
      <w:r w:rsidR="00F22CA4">
        <w:rPr>
          <w:rFonts w:ascii="Aptos" w:hAnsi="Aptos"/>
          <w:color w:val="4B4D4D"/>
        </w:rPr>
        <w:t xml:space="preserve">However, based upon the failure to </w:t>
      </w:r>
      <w:r w:rsidR="00322452">
        <w:rPr>
          <w:rFonts w:ascii="Aptos" w:hAnsi="Aptos"/>
          <w:color w:val="4B4D4D"/>
        </w:rPr>
        <w:t xml:space="preserve">respond to the Order to Show Cause, the matter will be dismissed </w:t>
      </w:r>
      <w:r w:rsidR="00322452" w:rsidRPr="007D5B1F">
        <w:rPr>
          <w:rFonts w:ascii="Aptos" w:hAnsi="Aptos"/>
          <w:i/>
          <w:iCs/>
          <w:color w:val="4B4D4D"/>
        </w:rPr>
        <w:t>with prejudice</w:t>
      </w:r>
      <w:r w:rsidR="00322452">
        <w:rPr>
          <w:rFonts w:ascii="Aptos" w:hAnsi="Aptos"/>
          <w:color w:val="4B4D4D"/>
        </w:rPr>
        <w:t xml:space="preserve"> in a subsequent Order.</w:t>
      </w:r>
    </w:p>
    <w:p w14:paraId="2A15F15B" w14:textId="77777777" w:rsidR="008A2C29" w:rsidRDefault="008A2C29" w:rsidP="00A152B3">
      <w:pPr>
        <w:rPr>
          <w:rFonts w:ascii="Aptos" w:hAnsi="Aptos"/>
        </w:rPr>
      </w:pPr>
    </w:p>
    <w:p w14:paraId="479EDCE0" w14:textId="714BA5FF" w:rsidR="00B7587A" w:rsidRDefault="00B7587A" w:rsidP="002406F6">
      <w:pPr>
        <w:jc w:val="center"/>
        <w:rPr>
          <w:rFonts w:ascii="Aptos" w:hAnsi="Aptos"/>
          <w:b/>
          <w:bCs/>
        </w:rPr>
      </w:pPr>
      <w:r w:rsidRPr="00FC0FD1">
        <w:rPr>
          <w:rFonts w:ascii="Aptos" w:hAnsi="Aptos"/>
          <w:b/>
          <w:bCs/>
        </w:rPr>
        <w:t>ORDER</w:t>
      </w:r>
    </w:p>
    <w:p w14:paraId="6F5139B7" w14:textId="77777777" w:rsidR="00B7587A" w:rsidRDefault="00B7587A" w:rsidP="00B7587A">
      <w:pPr>
        <w:jc w:val="center"/>
        <w:rPr>
          <w:rFonts w:ascii="Aptos" w:hAnsi="Aptos"/>
          <w:b/>
          <w:bCs/>
        </w:rPr>
      </w:pPr>
    </w:p>
    <w:p w14:paraId="0658D7F5" w14:textId="3D84AB03" w:rsidR="00B7587A" w:rsidRDefault="002038AB" w:rsidP="00B7587A">
      <w:pPr>
        <w:rPr>
          <w:rFonts w:ascii="Aptos" w:hAnsi="Aptos"/>
        </w:rPr>
      </w:pPr>
      <w:r>
        <w:rPr>
          <w:rFonts w:ascii="Aptos" w:hAnsi="Aptos"/>
        </w:rPr>
        <w:t xml:space="preserve">Old Colony’s Motion for Summary Judgment is </w:t>
      </w:r>
      <w:r w:rsidR="00DF003A">
        <w:rPr>
          <w:rFonts w:ascii="Aptos" w:hAnsi="Aptos"/>
        </w:rPr>
        <w:t>DENIED based upon the foregoing.</w:t>
      </w:r>
    </w:p>
    <w:p w14:paraId="4B2869ED" w14:textId="77777777" w:rsidR="00B7587A" w:rsidRPr="00FC0FD1" w:rsidRDefault="00B7587A" w:rsidP="00B7587A">
      <w:pPr>
        <w:rPr>
          <w:rFonts w:ascii="Aptos" w:hAnsi="Aptos"/>
        </w:rPr>
      </w:pPr>
    </w:p>
    <w:p w14:paraId="68749238" w14:textId="77777777" w:rsidR="00B7587A" w:rsidRPr="00FC0FD1" w:rsidRDefault="00B7587A" w:rsidP="00B7587A">
      <w:pPr>
        <w:rPr>
          <w:rFonts w:ascii="Aptos" w:hAnsi="Aptos"/>
        </w:rPr>
      </w:pPr>
    </w:p>
    <w:p w14:paraId="1F26ED02" w14:textId="77777777" w:rsidR="00B7587A" w:rsidRPr="00FC0FD1" w:rsidRDefault="00B7587A" w:rsidP="00B7587A">
      <w:pPr>
        <w:tabs>
          <w:tab w:val="left" w:pos="432"/>
        </w:tabs>
        <w:jc w:val="both"/>
        <w:rPr>
          <w:rFonts w:ascii="Aptos" w:hAnsi="Aptos"/>
        </w:rPr>
      </w:pPr>
      <w:r w:rsidRPr="00FC0FD1">
        <w:rPr>
          <w:rFonts w:ascii="Aptos" w:hAnsi="Aptos"/>
          <w:noProof/>
        </w:rPr>
        <w:drawing>
          <wp:inline distT="0" distB="0" distL="0" distR="0" wp14:anchorId="41FEBE1B" wp14:editId="64CFF131">
            <wp:extent cx="3200400" cy="914155"/>
            <wp:effectExtent l="0" t="0" r="0" b="635"/>
            <wp:docPr id="1270729249" name="Picture 127072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1EC7E78A" w14:textId="0DE7636D" w:rsidR="00317CD5" w:rsidRDefault="00B7587A" w:rsidP="00911560">
      <w:pPr>
        <w:tabs>
          <w:tab w:val="left" w:pos="432"/>
        </w:tabs>
        <w:jc w:val="both"/>
        <w:rPr>
          <w:rFonts w:ascii="Aptos" w:hAnsi="Aptos"/>
        </w:rPr>
      </w:pPr>
      <w:r w:rsidRPr="00FC0FD1">
        <w:rPr>
          <w:rFonts w:ascii="Aptos" w:hAnsi="Aptos"/>
        </w:rPr>
        <w:t xml:space="preserve">Dated:  </w:t>
      </w:r>
      <w:r w:rsidR="002406F6">
        <w:rPr>
          <w:rFonts w:ascii="Aptos" w:hAnsi="Aptos"/>
        </w:rPr>
        <w:t>January 2</w:t>
      </w:r>
      <w:r w:rsidR="009C654C">
        <w:rPr>
          <w:rFonts w:ascii="Aptos" w:hAnsi="Aptos"/>
        </w:rPr>
        <w:t>9</w:t>
      </w:r>
      <w:r w:rsidR="002406F6">
        <w:rPr>
          <w:rFonts w:ascii="Aptos" w:hAnsi="Aptos"/>
        </w:rPr>
        <w:t>, 2025</w:t>
      </w:r>
      <w:bookmarkEnd w:id="0"/>
      <w:bookmarkEnd w:id="1"/>
      <w:bookmarkEnd w:id="2"/>
    </w:p>
    <w:p w14:paraId="2CEBE8B8" w14:textId="77777777" w:rsidR="00911560" w:rsidRPr="00FC0FD1" w:rsidRDefault="00911560" w:rsidP="00911560">
      <w:pPr>
        <w:tabs>
          <w:tab w:val="left" w:pos="432"/>
        </w:tabs>
        <w:jc w:val="both"/>
        <w:rPr>
          <w:rFonts w:ascii="Aptos" w:hAnsi="Aptos"/>
        </w:rPr>
      </w:pPr>
    </w:p>
    <w:sectPr w:rsidR="00911560" w:rsidRPr="00FC0FD1" w:rsidSect="005778FF">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CC39" w14:textId="77777777" w:rsidR="00C636F9" w:rsidRDefault="00C636F9" w:rsidP="00AB6414">
      <w:r>
        <w:separator/>
      </w:r>
    </w:p>
  </w:endnote>
  <w:endnote w:type="continuationSeparator" w:id="0">
    <w:p w14:paraId="3697B766" w14:textId="77777777" w:rsidR="00C636F9" w:rsidRDefault="00C636F9" w:rsidP="00AB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870A" w14:textId="77777777" w:rsidR="00991685" w:rsidRDefault="00F07ECE" w:rsidP="00516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87734" w14:textId="77777777" w:rsidR="00991685" w:rsidRDefault="00991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2D8B" w14:textId="77777777" w:rsidR="00991685" w:rsidRDefault="00F07ECE" w:rsidP="00516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970CA7" w14:textId="77777777" w:rsidR="00991685" w:rsidRDefault="0099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2C2D" w14:textId="77777777" w:rsidR="00C636F9" w:rsidRDefault="00C636F9" w:rsidP="00AB6414">
      <w:r>
        <w:separator/>
      </w:r>
    </w:p>
  </w:footnote>
  <w:footnote w:type="continuationSeparator" w:id="0">
    <w:p w14:paraId="2F55287A" w14:textId="77777777" w:rsidR="00C636F9" w:rsidRDefault="00C636F9" w:rsidP="00AB6414">
      <w:r>
        <w:continuationSeparator/>
      </w:r>
    </w:p>
  </w:footnote>
  <w:footnote w:id="1">
    <w:p w14:paraId="3D829392" w14:textId="77777777" w:rsidR="00B17A82" w:rsidRDefault="00B17A82" w:rsidP="00B17A82">
      <w:pPr>
        <w:pStyle w:val="FootnoteText"/>
      </w:pPr>
      <w:r>
        <w:rPr>
          <w:rStyle w:val="FootnoteReference"/>
        </w:rPr>
        <w:footnoteRef/>
      </w:r>
      <w:r>
        <w:t xml:space="preserve"> The facts are established for purposes of this Ruling only.</w:t>
      </w:r>
    </w:p>
  </w:footnote>
  <w:footnote w:id="2">
    <w:p w14:paraId="7CCF38ED" w14:textId="77777777" w:rsidR="00A152B3" w:rsidRDefault="00A152B3" w:rsidP="00A152B3">
      <w:pPr>
        <w:pStyle w:val="FootnoteText"/>
      </w:pPr>
      <w:r>
        <w:rPr>
          <w:rStyle w:val="FootnoteReference"/>
        </w:rPr>
        <w:footnoteRef/>
      </w:r>
      <w:r>
        <w:t xml:space="preserve"> </w:t>
      </w:r>
      <w:r>
        <w:rPr>
          <w:rFonts w:ascii="Open Sans" w:hAnsi="Open Sans" w:cs="Open Sans"/>
          <w:color w:val="4B4D4D"/>
          <w:sz w:val="23"/>
          <w:szCs w:val="23"/>
          <w:shd w:val="clear" w:color="auto" w:fill="FFFFFF"/>
        </w:rPr>
        <w:t> </w:t>
      </w:r>
      <w:r w:rsidRPr="00B564F0">
        <w:rPr>
          <w:color w:val="4B4D4D"/>
          <w:shd w:val="clear" w:color="auto" w:fill="FFFFFF"/>
        </w:rPr>
        <w:t>801 CMR 1.01(7)(h).</w:t>
      </w:r>
    </w:p>
  </w:footnote>
  <w:footnote w:id="3">
    <w:p w14:paraId="34C7E165" w14:textId="77777777" w:rsidR="00A152B3" w:rsidRPr="00F80D71" w:rsidRDefault="00A152B3" w:rsidP="00A152B3">
      <w:pPr>
        <w:pStyle w:val="FootnoteText"/>
        <w:rPr>
          <w:rFonts w:ascii="Aptos" w:hAnsi="Aptos"/>
        </w:rPr>
      </w:pPr>
      <w:r w:rsidRPr="00F80D71">
        <w:rPr>
          <w:rStyle w:val="FootnoteReference"/>
          <w:rFonts w:ascii="Aptos" w:hAnsi="Aptos"/>
        </w:rPr>
        <w:footnoteRef/>
      </w:r>
      <w:r w:rsidRPr="00F80D71">
        <w:rPr>
          <w:rFonts w:ascii="Aptos" w:hAnsi="Aptos"/>
        </w:rPr>
        <w:t xml:space="preserve"> </w:t>
      </w:r>
      <w:r w:rsidRPr="00F80D71">
        <w:rPr>
          <w:rFonts w:ascii="Aptos" w:hAnsi="Aptos" w:cs="Open Sans"/>
          <w:color w:val="4B4D4D"/>
          <w:shd w:val="clear" w:color="auto" w:fill="FFFFFF"/>
        </w:rPr>
        <w:t> </w:t>
      </w:r>
      <w:r w:rsidRPr="00F80D71">
        <w:rPr>
          <w:rStyle w:val="Emphasis"/>
          <w:rFonts w:ascii="Aptos" w:hAnsi="Aptos"/>
          <w:color w:val="4B4D4D"/>
          <w:shd w:val="clear" w:color="auto" w:fill="FFFFFF"/>
        </w:rPr>
        <w:t>Id</w:t>
      </w:r>
      <w:r w:rsidRPr="00F80D71">
        <w:rPr>
          <w:rFonts w:ascii="Aptos" w:hAnsi="Aptos"/>
          <w:color w:val="4B4D4D"/>
          <w:shd w:val="clear" w:color="auto" w:fill="FFFFFF"/>
        </w:rPr>
        <w:t>.</w:t>
      </w:r>
    </w:p>
  </w:footnote>
  <w:footnote w:id="4">
    <w:p w14:paraId="731EBEEC" w14:textId="77777777" w:rsidR="00A152B3" w:rsidRPr="00F80D71" w:rsidRDefault="00A152B3" w:rsidP="00A152B3">
      <w:pPr>
        <w:pStyle w:val="FootnoteText"/>
        <w:rPr>
          <w:rFonts w:ascii="Aptos" w:hAnsi="Aptos"/>
        </w:rPr>
      </w:pPr>
      <w:r w:rsidRPr="00F80D71">
        <w:rPr>
          <w:rStyle w:val="FootnoteReference"/>
          <w:rFonts w:ascii="Aptos" w:hAnsi="Aptos"/>
        </w:rPr>
        <w:footnoteRef/>
      </w:r>
      <w:r w:rsidRPr="00F80D71">
        <w:rPr>
          <w:rFonts w:ascii="Aptos" w:hAnsi="Aptos"/>
        </w:rPr>
        <w:t xml:space="preserve"> </w:t>
      </w:r>
      <w:r w:rsidRPr="00F80D71">
        <w:rPr>
          <w:rStyle w:val="Emphasis"/>
          <w:rFonts w:ascii="Aptos" w:hAnsi="Aptos"/>
          <w:color w:val="4B4D4D"/>
          <w:shd w:val="clear" w:color="auto" w:fill="FFFFFF"/>
        </w:rPr>
        <w:t>Anderson v. Liberty Lobby, Inc.</w:t>
      </w:r>
      <w:r w:rsidRPr="00F80D71">
        <w:rPr>
          <w:rFonts w:ascii="Aptos" w:hAnsi="Aptos"/>
          <w:color w:val="4B4D4D"/>
          <w:shd w:val="clear" w:color="auto" w:fill="FFFFFF"/>
        </w:rPr>
        <w:t> 477 U.S. 242, 252 (1986); see also </w:t>
      </w:r>
      <w:r w:rsidRPr="00F80D71">
        <w:rPr>
          <w:rStyle w:val="Emphasis"/>
          <w:rFonts w:ascii="Aptos" w:hAnsi="Aptos"/>
          <w:color w:val="4B4D4D"/>
          <w:shd w:val="clear" w:color="auto" w:fill="FFFFFF"/>
        </w:rPr>
        <w:t>In</w:t>
      </w:r>
      <w:r w:rsidRPr="00F80D71">
        <w:rPr>
          <w:rFonts w:ascii="Aptos" w:hAnsi="Aptos"/>
          <w:color w:val="4B4D4D"/>
          <w:shd w:val="clear" w:color="auto" w:fill="FFFFFF"/>
        </w:rPr>
        <w:t> </w:t>
      </w:r>
      <w:r w:rsidRPr="00F80D71">
        <w:rPr>
          <w:rStyle w:val="Emphasis"/>
          <w:rFonts w:ascii="Aptos" w:hAnsi="Aptos"/>
          <w:color w:val="4B4D4D"/>
          <w:shd w:val="clear" w:color="auto" w:fill="FFFFFF"/>
        </w:rPr>
        <w:t>Re: Westwood Pub. Schl.</w:t>
      </w:r>
      <w:r w:rsidRPr="00F80D71">
        <w:rPr>
          <w:rFonts w:ascii="Aptos" w:hAnsi="Aptos"/>
          <w:color w:val="4B4D4D"/>
          <w:shd w:val="clear" w:color="auto" w:fill="FFFFFF"/>
        </w:rPr>
        <w:t>, BSEA # 10-1162 (Figueroa, 2010</w:t>
      </w:r>
      <w:r w:rsidRPr="00F80D71">
        <w:rPr>
          <w:rStyle w:val="Emphasis"/>
          <w:rFonts w:ascii="Aptos" w:hAnsi="Aptos"/>
          <w:color w:val="4B4D4D"/>
          <w:shd w:val="clear" w:color="auto" w:fill="FFFFFF"/>
        </w:rPr>
        <w:t>); In Re: Mike v. Boston Pub. Sch.</w:t>
      </w:r>
      <w:r w:rsidRPr="00F80D71">
        <w:rPr>
          <w:rFonts w:ascii="Aptos" w:hAnsi="Aptos"/>
          <w:color w:val="4B4D4D"/>
          <w:shd w:val="clear" w:color="auto" w:fill="FFFFFF"/>
        </w:rPr>
        <w:t>, BSEA # 10-2417 (Oliver, 2010); </w:t>
      </w:r>
      <w:r w:rsidRPr="00F80D71">
        <w:rPr>
          <w:rStyle w:val="Emphasis"/>
          <w:rFonts w:ascii="Aptos" w:hAnsi="Aptos"/>
          <w:color w:val="4B4D4D"/>
          <w:shd w:val="clear" w:color="auto" w:fill="FFFFFF"/>
        </w:rPr>
        <w:t xml:space="preserve">Zelda v. Bridgewater-Raynham Pub. Sch. and Bristol </w:t>
      </w:r>
      <w:proofErr w:type="spellStart"/>
      <w:r w:rsidRPr="00F80D71">
        <w:rPr>
          <w:rStyle w:val="Emphasis"/>
          <w:rFonts w:ascii="Aptos" w:hAnsi="Aptos"/>
          <w:color w:val="4B4D4D"/>
          <w:shd w:val="clear" w:color="auto" w:fill="FFFFFF"/>
        </w:rPr>
        <w:t>Cty</w:t>
      </w:r>
      <w:proofErr w:type="spellEnd"/>
      <w:r w:rsidRPr="00F80D71">
        <w:rPr>
          <w:rStyle w:val="Emphasis"/>
          <w:rFonts w:ascii="Aptos" w:hAnsi="Aptos"/>
          <w:color w:val="4B4D4D"/>
          <w:shd w:val="clear" w:color="auto" w:fill="FFFFFF"/>
        </w:rPr>
        <w:t xml:space="preserve"> Agricultural Sch.</w:t>
      </w:r>
      <w:r w:rsidRPr="00F80D71">
        <w:rPr>
          <w:rFonts w:ascii="Aptos" w:hAnsi="Aptos"/>
          <w:color w:val="4B4D4D"/>
          <w:shd w:val="clear" w:color="auto" w:fill="FFFFFF"/>
        </w:rPr>
        <w:t>, BSEA # 06-0256 (Byrne, 2006).</w:t>
      </w:r>
    </w:p>
  </w:footnote>
  <w:footnote w:id="5">
    <w:p w14:paraId="7D8F5EC3" w14:textId="77777777" w:rsidR="00A152B3" w:rsidRPr="00F80D71" w:rsidRDefault="00A152B3" w:rsidP="00A152B3">
      <w:pPr>
        <w:pStyle w:val="FootnoteText"/>
        <w:rPr>
          <w:rFonts w:ascii="Aptos" w:hAnsi="Aptos"/>
        </w:rPr>
      </w:pPr>
      <w:r w:rsidRPr="00F80D71">
        <w:rPr>
          <w:rStyle w:val="FootnoteReference"/>
          <w:rFonts w:ascii="Aptos" w:hAnsi="Aptos"/>
        </w:rPr>
        <w:footnoteRef/>
      </w:r>
      <w:r w:rsidRPr="00F80D71">
        <w:rPr>
          <w:rFonts w:ascii="Aptos" w:hAnsi="Aptos"/>
        </w:rPr>
        <w:t xml:space="preserve"> </w:t>
      </w:r>
      <w:r w:rsidRPr="00F80D71">
        <w:rPr>
          <w:rFonts w:ascii="Aptos" w:hAnsi="Aptos" w:cs="Open Sans"/>
          <w:color w:val="4B4D4D"/>
          <w:shd w:val="clear" w:color="auto" w:fill="FFFFFF"/>
        </w:rPr>
        <w:t> </w:t>
      </w:r>
      <w:r w:rsidRPr="00F80D71">
        <w:rPr>
          <w:rStyle w:val="Emphasis"/>
          <w:rFonts w:ascii="Aptos" w:hAnsi="Aptos"/>
          <w:color w:val="4B4D4D"/>
          <w:shd w:val="clear" w:color="auto" w:fill="FFFFFF"/>
        </w:rPr>
        <w:t>Anderson,</w:t>
      </w:r>
      <w:r w:rsidRPr="00F80D71">
        <w:rPr>
          <w:rFonts w:ascii="Aptos" w:hAnsi="Aptos"/>
          <w:color w:val="4B4D4D"/>
          <w:shd w:val="clear" w:color="auto" w:fill="FFFFFF"/>
        </w:rPr>
        <w:t> 477 U.S</w:t>
      </w:r>
      <w:r w:rsidRPr="00F80D71">
        <w:rPr>
          <w:rStyle w:val="Emphasis"/>
          <w:rFonts w:ascii="Aptos" w:hAnsi="Aptos"/>
          <w:color w:val="4B4D4D"/>
          <w:shd w:val="clear" w:color="auto" w:fill="FFFFFF"/>
        </w:rPr>
        <w:t>. </w:t>
      </w:r>
      <w:r w:rsidRPr="00F80D71">
        <w:rPr>
          <w:rFonts w:ascii="Aptos" w:hAnsi="Aptos"/>
          <w:color w:val="4B4D4D"/>
          <w:shd w:val="clear" w:color="auto" w:fill="FFFFFF"/>
        </w:rPr>
        <w:t>at 250.</w:t>
      </w:r>
    </w:p>
  </w:footnote>
  <w:footnote w:id="6">
    <w:p w14:paraId="003368F0" w14:textId="77777777" w:rsidR="00A152B3" w:rsidRPr="00F80D71" w:rsidRDefault="00A152B3" w:rsidP="00A152B3">
      <w:pPr>
        <w:pStyle w:val="FootnoteText"/>
        <w:rPr>
          <w:rFonts w:ascii="Aptos" w:hAnsi="Aptos"/>
        </w:rPr>
      </w:pPr>
      <w:r w:rsidRPr="00F80D71">
        <w:rPr>
          <w:rStyle w:val="FootnoteReference"/>
          <w:rFonts w:ascii="Aptos" w:hAnsi="Aptos"/>
        </w:rPr>
        <w:footnoteRef/>
      </w:r>
      <w:r w:rsidRPr="00F80D71">
        <w:rPr>
          <w:rFonts w:ascii="Aptos" w:hAnsi="Aptos"/>
        </w:rPr>
        <w:t xml:space="preserve"> </w:t>
      </w:r>
      <w:r w:rsidRPr="00F80D71">
        <w:rPr>
          <w:rStyle w:val="Emphasis"/>
          <w:rFonts w:ascii="Aptos" w:hAnsi="Aptos"/>
          <w:color w:val="4B4D4D"/>
          <w:shd w:val="clear" w:color="auto" w:fill="FFFFFF"/>
        </w:rPr>
        <w:t>Maldanado-Denis v. Castillo-Rodriguez,</w:t>
      </w:r>
      <w:r w:rsidRPr="00F80D71">
        <w:rPr>
          <w:rFonts w:ascii="Aptos" w:hAnsi="Aptos"/>
          <w:color w:val="4B4D4D"/>
          <w:shd w:val="clear" w:color="auto" w:fill="FFFFFF"/>
        </w:rPr>
        <w:t> 23 F.3d 576, 581 (1st Cir. 1994).</w:t>
      </w:r>
    </w:p>
  </w:footnote>
  <w:footnote w:id="7">
    <w:p w14:paraId="4F4D69AC" w14:textId="77777777" w:rsidR="00A152B3" w:rsidRPr="00F80D71" w:rsidRDefault="00A152B3" w:rsidP="00A152B3">
      <w:pPr>
        <w:pStyle w:val="FootnoteText"/>
        <w:rPr>
          <w:rFonts w:ascii="Aptos" w:hAnsi="Aptos"/>
        </w:rPr>
      </w:pPr>
      <w:r w:rsidRPr="00F80D71">
        <w:rPr>
          <w:rStyle w:val="FootnoteReference"/>
          <w:rFonts w:ascii="Aptos" w:hAnsi="Aptos"/>
        </w:rPr>
        <w:footnoteRef/>
      </w:r>
      <w:r w:rsidRPr="00F80D71">
        <w:rPr>
          <w:rFonts w:ascii="Aptos" w:hAnsi="Aptos"/>
        </w:rPr>
        <w:t xml:space="preserve"> </w:t>
      </w:r>
      <w:r w:rsidRPr="00F80D71">
        <w:rPr>
          <w:rStyle w:val="Emphasis"/>
          <w:rFonts w:ascii="Aptos" w:hAnsi="Aptos"/>
          <w:color w:val="4B4D4D"/>
          <w:shd w:val="clear" w:color="auto" w:fill="FFFFFF"/>
        </w:rPr>
        <w:t>Anderson</w:t>
      </w:r>
      <w:r w:rsidRPr="00F80D71">
        <w:rPr>
          <w:rFonts w:ascii="Aptos" w:hAnsi="Aptos"/>
          <w:color w:val="4B4D4D"/>
          <w:shd w:val="clear" w:color="auto" w:fill="FFFFFF"/>
        </w:rPr>
        <w:t>, 477 U.S. at 249</w:t>
      </w:r>
      <w:r w:rsidRPr="00F80D71">
        <w:rPr>
          <w:rFonts w:ascii="Aptos" w:hAnsi="Aptos" w:cs="Open Sans"/>
          <w:color w:val="4B4D4D"/>
          <w:shd w:val="clear" w:color="auto" w:fill="FFFFFF"/>
        </w:rPr>
        <w:t>.</w:t>
      </w:r>
    </w:p>
  </w:footnote>
  <w:footnote w:id="8">
    <w:p w14:paraId="67DBC4F3" w14:textId="77777777" w:rsidR="00A152B3" w:rsidRPr="00F80D71" w:rsidRDefault="00A152B3" w:rsidP="00A152B3">
      <w:pPr>
        <w:pStyle w:val="FootnoteText"/>
        <w:rPr>
          <w:rFonts w:ascii="Aptos" w:hAnsi="Aptos"/>
        </w:rPr>
      </w:pPr>
      <w:r w:rsidRPr="00F80D71">
        <w:rPr>
          <w:rStyle w:val="FootnoteReference"/>
          <w:rFonts w:ascii="Aptos" w:hAnsi="Aptos"/>
        </w:rPr>
        <w:footnoteRef/>
      </w:r>
      <w:r w:rsidRPr="00F80D71">
        <w:rPr>
          <w:rFonts w:ascii="Aptos" w:hAnsi="Aptos"/>
        </w:rPr>
        <w:t xml:space="preserve"> </w:t>
      </w:r>
      <w:r w:rsidRPr="00F80D71">
        <w:rPr>
          <w:rStyle w:val="Emphasis"/>
          <w:rFonts w:ascii="Aptos" w:hAnsi="Aptos"/>
          <w:color w:val="4B4D4D"/>
          <w:shd w:val="clear" w:color="auto" w:fill="FFFFFF"/>
        </w:rPr>
        <w:t>Mack v. Great Atl. &amp; Pac. Tea Co., </w:t>
      </w:r>
      <w:r w:rsidRPr="00F80D71">
        <w:rPr>
          <w:rFonts w:ascii="Aptos" w:hAnsi="Aptos"/>
          <w:color w:val="4B4D4D"/>
          <w:shd w:val="clear" w:color="auto" w:fill="FFFFFF"/>
        </w:rPr>
        <w:t>871 F.2d 179, 181 (1st Cir. 1989).</w:t>
      </w:r>
    </w:p>
  </w:footnote>
  <w:footnote w:id="9">
    <w:p w14:paraId="751F81DB" w14:textId="77777777" w:rsidR="00A152B3" w:rsidRPr="00F80D71" w:rsidRDefault="00A152B3" w:rsidP="00A152B3">
      <w:pPr>
        <w:pStyle w:val="FootnoteText"/>
        <w:rPr>
          <w:rFonts w:ascii="Aptos" w:hAnsi="Aptos"/>
        </w:rPr>
      </w:pPr>
      <w:r w:rsidRPr="00F80D71">
        <w:rPr>
          <w:rStyle w:val="FootnoteReference"/>
          <w:rFonts w:ascii="Aptos" w:hAnsi="Aptos"/>
        </w:rPr>
        <w:footnoteRef/>
      </w:r>
      <w:r w:rsidRPr="00F80D71">
        <w:rPr>
          <w:rFonts w:ascii="Aptos" w:hAnsi="Aptos"/>
        </w:rPr>
        <w:t xml:space="preserve"> </w:t>
      </w:r>
      <w:r w:rsidRPr="00F80D71">
        <w:rPr>
          <w:rStyle w:val="Emphasis"/>
          <w:rFonts w:ascii="Aptos" w:hAnsi="Aptos"/>
          <w:color w:val="4B4D4D"/>
          <w:shd w:val="clear" w:color="auto" w:fill="FFFFFF"/>
        </w:rPr>
        <w:t>Medina-Munoz v. R.J. Reynolds Tobacco Co., </w:t>
      </w:r>
      <w:r w:rsidRPr="00F80D71">
        <w:rPr>
          <w:rFonts w:ascii="Aptos" w:hAnsi="Aptos"/>
          <w:color w:val="4B4D4D"/>
          <w:shd w:val="clear" w:color="auto" w:fill="FFFFFF"/>
        </w:rPr>
        <w:t>896 F.2d 5, 8 (1st Cir. 1990).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14"/>
    <w:rsid w:val="000000E3"/>
    <w:rsid w:val="0000424B"/>
    <w:rsid w:val="00015298"/>
    <w:rsid w:val="00015F86"/>
    <w:rsid w:val="00016CCE"/>
    <w:rsid w:val="000222ED"/>
    <w:rsid w:val="0003694B"/>
    <w:rsid w:val="000505D5"/>
    <w:rsid w:val="0005352E"/>
    <w:rsid w:val="00053562"/>
    <w:rsid w:val="00053842"/>
    <w:rsid w:val="00070D94"/>
    <w:rsid w:val="00072AE9"/>
    <w:rsid w:val="000770F6"/>
    <w:rsid w:val="000922DD"/>
    <w:rsid w:val="00092FE2"/>
    <w:rsid w:val="00096F55"/>
    <w:rsid w:val="000A1A18"/>
    <w:rsid w:val="000B4CC7"/>
    <w:rsid w:val="000B6F1F"/>
    <w:rsid w:val="000C1EC9"/>
    <w:rsid w:val="000E018F"/>
    <w:rsid w:val="000E492C"/>
    <w:rsid w:val="000E7B2A"/>
    <w:rsid w:val="000F2ED3"/>
    <w:rsid w:val="000F37EF"/>
    <w:rsid w:val="000F7ECD"/>
    <w:rsid w:val="001174C6"/>
    <w:rsid w:val="00134AA8"/>
    <w:rsid w:val="00135EEF"/>
    <w:rsid w:val="00147626"/>
    <w:rsid w:val="001554A1"/>
    <w:rsid w:val="00162ABD"/>
    <w:rsid w:val="00162E32"/>
    <w:rsid w:val="0016360F"/>
    <w:rsid w:val="001647AB"/>
    <w:rsid w:val="00175D0E"/>
    <w:rsid w:val="001C4CC3"/>
    <w:rsid w:val="001D0F3F"/>
    <w:rsid w:val="001D5400"/>
    <w:rsid w:val="001E1ABF"/>
    <w:rsid w:val="001E2E16"/>
    <w:rsid w:val="001E533B"/>
    <w:rsid w:val="001F6BFD"/>
    <w:rsid w:val="0020121D"/>
    <w:rsid w:val="002038AB"/>
    <w:rsid w:val="002067E4"/>
    <w:rsid w:val="00212F02"/>
    <w:rsid w:val="00216EB8"/>
    <w:rsid w:val="0022140E"/>
    <w:rsid w:val="002242DE"/>
    <w:rsid w:val="0022516A"/>
    <w:rsid w:val="00226495"/>
    <w:rsid w:val="002406F6"/>
    <w:rsid w:val="002707A8"/>
    <w:rsid w:val="00271C98"/>
    <w:rsid w:val="00272E07"/>
    <w:rsid w:val="00273071"/>
    <w:rsid w:val="00277ED4"/>
    <w:rsid w:val="002827A9"/>
    <w:rsid w:val="00285F9C"/>
    <w:rsid w:val="00287851"/>
    <w:rsid w:val="00293270"/>
    <w:rsid w:val="00293284"/>
    <w:rsid w:val="00295257"/>
    <w:rsid w:val="002A5EAE"/>
    <w:rsid w:val="002B0AB7"/>
    <w:rsid w:val="002C225F"/>
    <w:rsid w:val="002C6519"/>
    <w:rsid w:val="002C7767"/>
    <w:rsid w:val="002E7C1D"/>
    <w:rsid w:val="002F1922"/>
    <w:rsid w:val="00306274"/>
    <w:rsid w:val="0031294D"/>
    <w:rsid w:val="00313BBC"/>
    <w:rsid w:val="00317CD5"/>
    <w:rsid w:val="00322452"/>
    <w:rsid w:val="00327631"/>
    <w:rsid w:val="00333F20"/>
    <w:rsid w:val="003376BD"/>
    <w:rsid w:val="00355192"/>
    <w:rsid w:val="003574EE"/>
    <w:rsid w:val="0036109C"/>
    <w:rsid w:val="00373285"/>
    <w:rsid w:val="0038301D"/>
    <w:rsid w:val="00385DB9"/>
    <w:rsid w:val="003A1C4D"/>
    <w:rsid w:val="003A2766"/>
    <w:rsid w:val="003A6ADF"/>
    <w:rsid w:val="003B68EC"/>
    <w:rsid w:val="003B74AB"/>
    <w:rsid w:val="003C4A29"/>
    <w:rsid w:val="003C738F"/>
    <w:rsid w:val="003D4733"/>
    <w:rsid w:val="003E4EF6"/>
    <w:rsid w:val="003E5E02"/>
    <w:rsid w:val="003E65D1"/>
    <w:rsid w:val="003E7366"/>
    <w:rsid w:val="003F0C8A"/>
    <w:rsid w:val="0040282E"/>
    <w:rsid w:val="00410B57"/>
    <w:rsid w:val="004123A2"/>
    <w:rsid w:val="00412C39"/>
    <w:rsid w:val="00422634"/>
    <w:rsid w:val="00426A39"/>
    <w:rsid w:val="004343B7"/>
    <w:rsid w:val="00442C95"/>
    <w:rsid w:val="004448C2"/>
    <w:rsid w:val="0044571D"/>
    <w:rsid w:val="0045136F"/>
    <w:rsid w:val="00464EEF"/>
    <w:rsid w:val="004777E5"/>
    <w:rsid w:val="004828B7"/>
    <w:rsid w:val="004A7BE7"/>
    <w:rsid w:val="004B71F3"/>
    <w:rsid w:val="004C03BB"/>
    <w:rsid w:val="004D2B51"/>
    <w:rsid w:val="004D4219"/>
    <w:rsid w:val="004E0111"/>
    <w:rsid w:val="004E24BF"/>
    <w:rsid w:val="004F70A4"/>
    <w:rsid w:val="004F792E"/>
    <w:rsid w:val="00507596"/>
    <w:rsid w:val="00510A0E"/>
    <w:rsid w:val="00510A8A"/>
    <w:rsid w:val="00512F25"/>
    <w:rsid w:val="005213A7"/>
    <w:rsid w:val="005235E3"/>
    <w:rsid w:val="00535FDD"/>
    <w:rsid w:val="00543B80"/>
    <w:rsid w:val="00553B14"/>
    <w:rsid w:val="005540A7"/>
    <w:rsid w:val="00554587"/>
    <w:rsid w:val="0056603A"/>
    <w:rsid w:val="00570D29"/>
    <w:rsid w:val="005723B4"/>
    <w:rsid w:val="00574966"/>
    <w:rsid w:val="005754A0"/>
    <w:rsid w:val="00585670"/>
    <w:rsid w:val="005A2923"/>
    <w:rsid w:val="005A394B"/>
    <w:rsid w:val="005B218D"/>
    <w:rsid w:val="005C0BD9"/>
    <w:rsid w:val="005C3B17"/>
    <w:rsid w:val="005C5F4F"/>
    <w:rsid w:val="005C6E4E"/>
    <w:rsid w:val="005C7855"/>
    <w:rsid w:val="005E3D19"/>
    <w:rsid w:val="005F0200"/>
    <w:rsid w:val="005F0CD5"/>
    <w:rsid w:val="005F1D01"/>
    <w:rsid w:val="005F54E7"/>
    <w:rsid w:val="006007B9"/>
    <w:rsid w:val="00603869"/>
    <w:rsid w:val="006038B9"/>
    <w:rsid w:val="00613DE7"/>
    <w:rsid w:val="0061477A"/>
    <w:rsid w:val="00621D6A"/>
    <w:rsid w:val="00627910"/>
    <w:rsid w:val="0063339F"/>
    <w:rsid w:val="00642904"/>
    <w:rsid w:val="0065697C"/>
    <w:rsid w:val="00664B39"/>
    <w:rsid w:val="00677FCB"/>
    <w:rsid w:val="0068590B"/>
    <w:rsid w:val="00693487"/>
    <w:rsid w:val="006A05F7"/>
    <w:rsid w:val="006A3792"/>
    <w:rsid w:val="006B2EC2"/>
    <w:rsid w:val="006B358F"/>
    <w:rsid w:val="006C0FCE"/>
    <w:rsid w:val="006C5DF2"/>
    <w:rsid w:val="006D2139"/>
    <w:rsid w:val="006D707B"/>
    <w:rsid w:val="006E2B0D"/>
    <w:rsid w:val="006F0A1A"/>
    <w:rsid w:val="006F1343"/>
    <w:rsid w:val="006F142A"/>
    <w:rsid w:val="006F69CF"/>
    <w:rsid w:val="007061E9"/>
    <w:rsid w:val="00706C8C"/>
    <w:rsid w:val="00712969"/>
    <w:rsid w:val="007244C8"/>
    <w:rsid w:val="00731DDC"/>
    <w:rsid w:val="00734263"/>
    <w:rsid w:val="00737268"/>
    <w:rsid w:val="00741DA7"/>
    <w:rsid w:val="007502D2"/>
    <w:rsid w:val="0075738B"/>
    <w:rsid w:val="00757AE4"/>
    <w:rsid w:val="00770590"/>
    <w:rsid w:val="00771FB7"/>
    <w:rsid w:val="007A5634"/>
    <w:rsid w:val="007B2BE8"/>
    <w:rsid w:val="007B3735"/>
    <w:rsid w:val="007B7980"/>
    <w:rsid w:val="007C3F4D"/>
    <w:rsid w:val="007D3CA0"/>
    <w:rsid w:val="007D5B1F"/>
    <w:rsid w:val="007D74E5"/>
    <w:rsid w:val="007E0F7C"/>
    <w:rsid w:val="007E1B05"/>
    <w:rsid w:val="007E38E4"/>
    <w:rsid w:val="007E7DAA"/>
    <w:rsid w:val="007F3E39"/>
    <w:rsid w:val="007F65B9"/>
    <w:rsid w:val="00800586"/>
    <w:rsid w:val="00814D7F"/>
    <w:rsid w:val="00823907"/>
    <w:rsid w:val="008301E3"/>
    <w:rsid w:val="008317CB"/>
    <w:rsid w:val="0084187B"/>
    <w:rsid w:val="008422A2"/>
    <w:rsid w:val="00854021"/>
    <w:rsid w:val="00865B66"/>
    <w:rsid w:val="00870151"/>
    <w:rsid w:val="00870341"/>
    <w:rsid w:val="00890FDF"/>
    <w:rsid w:val="00892846"/>
    <w:rsid w:val="0089652C"/>
    <w:rsid w:val="008A1EB2"/>
    <w:rsid w:val="008A2C29"/>
    <w:rsid w:val="008A753A"/>
    <w:rsid w:val="008B42C3"/>
    <w:rsid w:val="008B7677"/>
    <w:rsid w:val="008C0974"/>
    <w:rsid w:val="008C6DCE"/>
    <w:rsid w:val="008D30C5"/>
    <w:rsid w:val="008E09D7"/>
    <w:rsid w:val="008E3D35"/>
    <w:rsid w:val="008E693C"/>
    <w:rsid w:val="008F2FBB"/>
    <w:rsid w:val="00910A58"/>
    <w:rsid w:val="00911560"/>
    <w:rsid w:val="009122C5"/>
    <w:rsid w:val="009123D6"/>
    <w:rsid w:val="0091518F"/>
    <w:rsid w:val="00916551"/>
    <w:rsid w:val="00932935"/>
    <w:rsid w:val="00937FA4"/>
    <w:rsid w:val="00942523"/>
    <w:rsid w:val="009430E9"/>
    <w:rsid w:val="00953AD8"/>
    <w:rsid w:val="00965DF2"/>
    <w:rsid w:val="0096724E"/>
    <w:rsid w:val="0097471B"/>
    <w:rsid w:val="00990954"/>
    <w:rsid w:val="00991685"/>
    <w:rsid w:val="0099182D"/>
    <w:rsid w:val="00993D85"/>
    <w:rsid w:val="009B14D7"/>
    <w:rsid w:val="009B4FE0"/>
    <w:rsid w:val="009B6508"/>
    <w:rsid w:val="009C6219"/>
    <w:rsid w:val="009C654C"/>
    <w:rsid w:val="009C65B8"/>
    <w:rsid w:val="009C6EB9"/>
    <w:rsid w:val="009D7F40"/>
    <w:rsid w:val="009E2DEF"/>
    <w:rsid w:val="009F7988"/>
    <w:rsid w:val="00A03A6F"/>
    <w:rsid w:val="00A152B3"/>
    <w:rsid w:val="00A1692F"/>
    <w:rsid w:val="00A24A50"/>
    <w:rsid w:val="00A250AA"/>
    <w:rsid w:val="00A25C5D"/>
    <w:rsid w:val="00A267CC"/>
    <w:rsid w:val="00A27473"/>
    <w:rsid w:val="00A463F6"/>
    <w:rsid w:val="00A46890"/>
    <w:rsid w:val="00A50623"/>
    <w:rsid w:val="00A55043"/>
    <w:rsid w:val="00A63D7C"/>
    <w:rsid w:val="00A9518F"/>
    <w:rsid w:val="00AA6D6B"/>
    <w:rsid w:val="00AA7DF4"/>
    <w:rsid w:val="00AB6414"/>
    <w:rsid w:val="00AC5C57"/>
    <w:rsid w:val="00AD5349"/>
    <w:rsid w:val="00AE1B22"/>
    <w:rsid w:val="00AE6044"/>
    <w:rsid w:val="00AE7FCF"/>
    <w:rsid w:val="00AF740F"/>
    <w:rsid w:val="00B0070E"/>
    <w:rsid w:val="00B03ADE"/>
    <w:rsid w:val="00B15AEE"/>
    <w:rsid w:val="00B1645F"/>
    <w:rsid w:val="00B17A82"/>
    <w:rsid w:val="00B2040C"/>
    <w:rsid w:val="00B21C40"/>
    <w:rsid w:val="00B2406D"/>
    <w:rsid w:val="00B253A7"/>
    <w:rsid w:val="00B44344"/>
    <w:rsid w:val="00B45C1D"/>
    <w:rsid w:val="00B50E9A"/>
    <w:rsid w:val="00B61BE2"/>
    <w:rsid w:val="00B7587A"/>
    <w:rsid w:val="00B764E6"/>
    <w:rsid w:val="00B76D3E"/>
    <w:rsid w:val="00B85C6A"/>
    <w:rsid w:val="00B94C1F"/>
    <w:rsid w:val="00B97D98"/>
    <w:rsid w:val="00BA0EA9"/>
    <w:rsid w:val="00BA435B"/>
    <w:rsid w:val="00BA5CDC"/>
    <w:rsid w:val="00BB66F9"/>
    <w:rsid w:val="00BC5E65"/>
    <w:rsid w:val="00BD4A0B"/>
    <w:rsid w:val="00C0313C"/>
    <w:rsid w:val="00C064A5"/>
    <w:rsid w:val="00C121AB"/>
    <w:rsid w:val="00C12ED3"/>
    <w:rsid w:val="00C1614F"/>
    <w:rsid w:val="00C41A4F"/>
    <w:rsid w:val="00C43BA8"/>
    <w:rsid w:val="00C636F9"/>
    <w:rsid w:val="00C641F0"/>
    <w:rsid w:val="00C70504"/>
    <w:rsid w:val="00C7598A"/>
    <w:rsid w:val="00C75AC6"/>
    <w:rsid w:val="00C82902"/>
    <w:rsid w:val="00C85A1F"/>
    <w:rsid w:val="00C86DEB"/>
    <w:rsid w:val="00CA2C61"/>
    <w:rsid w:val="00CB7A67"/>
    <w:rsid w:val="00CC0E1A"/>
    <w:rsid w:val="00CC6AAF"/>
    <w:rsid w:val="00CC72B5"/>
    <w:rsid w:val="00CD6AF3"/>
    <w:rsid w:val="00CE0034"/>
    <w:rsid w:val="00CE37A8"/>
    <w:rsid w:val="00CE37FD"/>
    <w:rsid w:val="00CE6812"/>
    <w:rsid w:val="00CE7B11"/>
    <w:rsid w:val="00D0288E"/>
    <w:rsid w:val="00D0678C"/>
    <w:rsid w:val="00D1777D"/>
    <w:rsid w:val="00D207FC"/>
    <w:rsid w:val="00D20B28"/>
    <w:rsid w:val="00D35395"/>
    <w:rsid w:val="00D36126"/>
    <w:rsid w:val="00D4038C"/>
    <w:rsid w:val="00D409CB"/>
    <w:rsid w:val="00D454D4"/>
    <w:rsid w:val="00D45ED3"/>
    <w:rsid w:val="00D5151C"/>
    <w:rsid w:val="00D53DDB"/>
    <w:rsid w:val="00D54BEE"/>
    <w:rsid w:val="00D55A61"/>
    <w:rsid w:val="00D5634C"/>
    <w:rsid w:val="00D62420"/>
    <w:rsid w:val="00D65233"/>
    <w:rsid w:val="00D77E0E"/>
    <w:rsid w:val="00D839A4"/>
    <w:rsid w:val="00D85045"/>
    <w:rsid w:val="00D85A30"/>
    <w:rsid w:val="00D96F08"/>
    <w:rsid w:val="00DA2EAF"/>
    <w:rsid w:val="00DD0B1B"/>
    <w:rsid w:val="00DD1E43"/>
    <w:rsid w:val="00DD5CA1"/>
    <w:rsid w:val="00DE47C6"/>
    <w:rsid w:val="00DF003A"/>
    <w:rsid w:val="00DF28DF"/>
    <w:rsid w:val="00DF602F"/>
    <w:rsid w:val="00DF60F8"/>
    <w:rsid w:val="00DF73DC"/>
    <w:rsid w:val="00E02397"/>
    <w:rsid w:val="00E03BC4"/>
    <w:rsid w:val="00E25600"/>
    <w:rsid w:val="00E315E3"/>
    <w:rsid w:val="00E3392B"/>
    <w:rsid w:val="00E36E17"/>
    <w:rsid w:val="00E3721E"/>
    <w:rsid w:val="00E44A98"/>
    <w:rsid w:val="00E44E0D"/>
    <w:rsid w:val="00E548BB"/>
    <w:rsid w:val="00E5763F"/>
    <w:rsid w:val="00E62E50"/>
    <w:rsid w:val="00E63184"/>
    <w:rsid w:val="00E8661B"/>
    <w:rsid w:val="00E87016"/>
    <w:rsid w:val="00E87D82"/>
    <w:rsid w:val="00E929D9"/>
    <w:rsid w:val="00E96AB6"/>
    <w:rsid w:val="00EB4367"/>
    <w:rsid w:val="00EB6DCB"/>
    <w:rsid w:val="00ED7170"/>
    <w:rsid w:val="00ED7B7E"/>
    <w:rsid w:val="00EF10D8"/>
    <w:rsid w:val="00EF214C"/>
    <w:rsid w:val="00EF7329"/>
    <w:rsid w:val="00F0411D"/>
    <w:rsid w:val="00F07ECE"/>
    <w:rsid w:val="00F22CA4"/>
    <w:rsid w:val="00F25F30"/>
    <w:rsid w:val="00F30607"/>
    <w:rsid w:val="00F32091"/>
    <w:rsid w:val="00F45FD6"/>
    <w:rsid w:val="00F63714"/>
    <w:rsid w:val="00F64AE3"/>
    <w:rsid w:val="00F715F8"/>
    <w:rsid w:val="00F7660F"/>
    <w:rsid w:val="00F80D71"/>
    <w:rsid w:val="00F857EB"/>
    <w:rsid w:val="00F86FE6"/>
    <w:rsid w:val="00F87D05"/>
    <w:rsid w:val="00F91E71"/>
    <w:rsid w:val="00FA07FA"/>
    <w:rsid w:val="00FA3AA1"/>
    <w:rsid w:val="00FA709E"/>
    <w:rsid w:val="00FB26DF"/>
    <w:rsid w:val="00FB634A"/>
    <w:rsid w:val="00FB6B75"/>
    <w:rsid w:val="00FB6CCC"/>
    <w:rsid w:val="00FC0FD1"/>
    <w:rsid w:val="00FC425E"/>
    <w:rsid w:val="00FE4816"/>
    <w:rsid w:val="00FF3F6B"/>
    <w:rsid w:val="00FF46F7"/>
    <w:rsid w:val="00FF64E3"/>
    <w:rsid w:val="00FF7C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19977"/>
  <w15:chartTrackingRefBased/>
  <w15:docId w15:val="{5084BB4B-F3FA-47FC-9E9E-EF7B193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F79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AB6414"/>
    <w:pPr>
      <w:keepNext/>
      <w:jc w:val="center"/>
      <w:outlineLvl w:val="5"/>
    </w:pPr>
    <w:rPr>
      <w:b/>
      <w:bCs/>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B6414"/>
    <w:rPr>
      <w:rFonts w:ascii="Times New Roman" w:eastAsia="Times New Roman" w:hAnsi="Times New Roman" w:cs="Times New Roman"/>
      <w:b/>
      <w:bCs/>
      <w:sz w:val="25"/>
      <w:szCs w:val="20"/>
    </w:rPr>
  </w:style>
  <w:style w:type="paragraph" w:styleId="FootnoteText">
    <w:name w:val="footnote text"/>
    <w:basedOn w:val="Normal"/>
    <w:link w:val="FootnoteTextChar"/>
    <w:uiPriority w:val="99"/>
    <w:rsid w:val="00AB6414"/>
    <w:rPr>
      <w:sz w:val="20"/>
      <w:szCs w:val="20"/>
    </w:rPr>
  </w:style>
  <w:style w:type="character" w:customStyle="1" w:styleId="FootnoteTextChar">
    <w:name w:val="Footnote Text Char"/>
    <w:basedOn w:val="DefaultParagraphFont"/>
    <w:link w:val="FootnoteText"/>
    <w:uiPriority w:val="99"/>
    <w:rsid w:val="00AB6414"/>
    <w:rPr>
      <w:rFonts w:ascii="Times New Roman" w:eastAsia="Times New Roman" w:hAnsi="Times New Roman" w:cs="Times New Roman"/>
      <w:sz w:val="20"/>
      <w:szCs w:val="20"/>
    </w:rPr>
  </w:style>
  <w:style w:type="character" w:styleId="FootnoteReference">
    <w:name w:val="footnote reference"/>
    <w:rsid w:val="00AB6414"/>
    <w:rPr>
      <w:vertAlign w:val="superscript"/>
    </w:rPr>
  </w:style>
  <w:style w:type="paragraph" w:styleId="BodyText">
    <w:name w:val="Body Text"/>
    <w:basedOn w:val="Normal"/>
    <w:link w:val="BodyTextChar"/>
    <w:rsid w:val="00AB6414"/>
    <w:rPr>
      <w:rFonts w:ascii="Arial" w:hAnsi="Arial"/>
      <w:szCs w:val="20"/>
    </w:rPr>
  </w:style>
  <w:style w:type="character" w:customStyle="1" w:styleId="BodyTextChar">
    <w:name w:val="Body Text Char"/>
    <w:basedOn w:val="DefaultParagraphFont"/>
    <w:link w:val="BodyText"/>
    <w:rsid w:val="00AB6414"/>
    <w:rPr>
      <w:rFonts w:ascii="Arial" w:eastAsia="Times New Roman" w:hAnsi="Arial" w:cs="Times New Roman"/>
      <w:sz w:val="24"/>
      <w:szCs w:val="20"/>
    </w:rPr>
  </w:style>
  <w:style w:type="paragraph" w:styleId="Footer">
    <w:name w:val="footer"/>
    <w:basedOn w:val="Normal"/>
    <w:link w:val="FooterChar"/>
    <w:rsid w:val="00AB6414"/>
    <w:pPr>
      <w:tabs>
        <w:tab w:val="center" w:pos="4320"/>
        <w:tab w:val="right" w:pos="8640"/>
      </w:tabs>
    </w:pPr>
  </w:style>
  <w:style w:type="character" w:customStyle="1" w:styleId="FooterChar">
    <w:name w:val="Footer Char"/>
    <w:basedOn w:val="DefaultParagraphFont"/>
    <w:link w:val="Footer"/>
    <w:rsid w:val="00AB6414"/>
    <w:rPr>
      <w:rFonts w:ascii="Times New Roman" w:eastAsia="Times New Roman" w:hAnsi="Times New Roman" w:cs="Times New Roman"/>
      <w:sz w:val="24"/>
      <w:szCs w:val="24"/>
    </w:rPr>
  </w:style>
  <w:style w:type="character" w:styleId="PageNumber">
    <w:name w:val="page number"/>
    <w:basedOn w:val="DefaultParagraphFont"/>
    <w:rsid w:val="00AB6414"/>
  </w:style>
  <w:style w:type="paragraph" w:styleId="HTMLPreformatted">
    <w:name w:val="HTML Preformatted"/>
    <w:basedOn w:val="Normal"/>
    <w:link w:val="HTMLPreformattedChar"/>
    <w:uiPriority w:val="99"/>
    <w:rsid w:val="00AB6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6414"/>
    <w:rPr>
      <w:rFonts w:ascii="Courier New" w:eastAsia="Times New Roman" w:hAnsi="Courier New" w:cs="Courier New"/>
      <w:sz w:val="20"/>
      <w:szCs w:val="20"/>
    </w:rPr>
  </w:style>
  <w:style w:type="paragraph" w:styleId="NormalWeb">
    <w:name w:val="Normal (Web)"/>
    <w:basedOn w:val="Normal"/>
    <w:uiPriority w:val="99"/>
    <w:unhideWhenUsed/>
    <w:rsid w:val="00AB6414"/>
    <w:pPr>
      <w:spacing w:before="100" w:beforeAutospacing="1" w:after="100" w:afterAutospacing="1"/>
    </w:pPr>
  </w:style>
  <w:style w:type="character" w:styleId="Hyperlink">
    <w:name w:val="Hyperlink"/>
    <w:rsid w:val="00AB6414"/>
    <w:rPr>
      <w:color w:val="0563C1"/>
      <w:u w:val="single"/>
    </w:rPr>
  </w:style>
  <w:style w:type="paragraph" w:styleId="Revision">
    <w:name w:val="Revision"/>
    <w:hidden/>
    <w:uiPriority w:val="99"/>
    <w:semiHidden/>
    <w:rsid w:val="005C6E4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1E43"/>
    <w:rPr>
      <w:color w:val="605E5C"/>
      <w:shd w:val="clear" w:color="auto" w:fill="E1DFDD"/>
    </w:rPr>
  </w:style>
  <w:style w:type="character" w:customStyle="1" w:styleId="Heading1Char">
    <w:name w:val="Heading 1 Char"/>
    <w:basedOn w:val="DefaultParagraphFont"/>
    <w:link w:val="Heading1"/>
    <w:uiPriority w:val="9"/>
    <w:rsid w:val="004F792E"/>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A152B3"/>
    <w:rPr>
      <w:i/>
      <w:iCs/>
    </w:rPr>
  </w:style>
  <w:style w:type="paragraph" w:styleId="NoSpacing">
    <w:name w:val="No Spacing"/>
    <w:link w:val="NoSpacingChar"/>
    <w:uiPriority w:val="1"/>
    <w:qFormat/>
    <w:rsid w:val="0031294D"/>
    <w:pPr>
      <w:spacing w:after="0" w:line="240" w:lineRule="auto"/>
    </w:pPr>
    <w:rPr>
      <w14:ligatures w14:val="standardContextual"/>
    </w:rPr>
  </w:style>
  <w:style w:type="character" w:customStyle="1" w:styleId="NoSpacingChar">
    <w:name w:val="No Spacing Char"/>
    <w:basedOn w:val="DefaultParagraphFont"/>
    <w:link w:val="NoSpacing"/>
    <w:uiPriority w:val="1"/>
    <w:rsid w:val="0031294D"/>
    <w:rPr>
      <w14:ligatures w14:val="standardContextual"/>
    </w:rPr>
  </w:style>
  <w:style w:type="paragraph" w:styleId="BodyTextIndent">
    <w:name w:val="Body Text Indent"/>
    <w:basedOn w:val="Normal"/>
    <w:link w:val="BodyTextIndentChar"/>
    <w:uiPriority w:val="99"/>
    <w:unhideWhenUsed/>
    <w:rsid w:val="00162ABD"/>
    <w:pPr>
      <w:spacing w:after="120"/>
      <w:ind w:left="360"/>
    </w:pPr>
  </w:style>
  <w:style w:type="character" w:customStyle="1" w:styleId="BodyTextIndentChar">
    <w:name w:val="Body Text Indent Char"/>
    <w:basedOn w:val="DefaultParagraphFont"/>
    <w:link w:val="BodyTextIndent"/>
    <w:uiPriority w:val="99"/>
    <w:rsid w:val="00162A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7AE4"/>
    <w:pPr>
      <w:tabs>
        <w:tab w:val="center" w:pos="4680"/>
        <w:tab w:val="right" w:pos="9360"/>
      </w:tabs>
    </w:pPr>
  </w:style>
  <w:style w:type="character" w:customStyle="1" w:styleId="HeaderChar">
    <w:name w:val="Header Char"/>
    <w:basedOn w:val="DefaultParagraphFont"/>
    <w:link w:val="Header"/>
    <w:uiPriority w:val="99"/>
    <w:rsid w:val="00757A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6036">
      <w:bodyDiv w:val="1"/>
      <w:marLeft w:val="0"/>
      <w:marRight w:val="0"/>
      <w:marTop w:val="0"/>
      <w:marBottom w:val="0"/>
      <w:divBdr>
        <w:top w:val="none" w:sz="0" w:space="0" w:color="auto"/>
        <w:left w:val="none" w:sz="0" w:space="0" w:color="auto"/>
        <w:bottom w:val="none" w:sz="0" w:space="0" w:color="auto"/>
        <w:right w:val="none" w:sz="0" w:space="0" w:color="auto"/>
      </w:divBdr>
    </w:div>
    <w:div w:id="14499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8D12-FC70-4747-B6E8-72CBE359DF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2025-01-29T19:00:00Z</cp:lastPrinted>
  <dcterms:created xsi:type="dcterms:W3CDTF">2025-02-01T13:40:00Z</dcterms:created>
  <dcterms:modified xsi:type="dcterms:W3CDTF">2025-02-01T13:40:00Z</dcterms:modified>
</cp:coreProperties>
</file>