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A2F0" w14:textId="77777777" w:rsidR="001117BC" w:rsidRPr="002A42E8" w:rsidRDefault="001117BC" w:rsidP="001117BC">
      <w:pPr>
        <w:spacing w:after="0" w:line="240" w:lineRule="auto"/>
        <w:jc w:val="center"/>
        <w:rPr>
          <w:rFonts w:ascii="Aptos" w:hAnsi="Aptos" w:cs="Times New Roman"/>
          <w:b/>
          <w:bCs/>
          <w:sz w:val="28"/>
          <w:szCs w:val="28"/>
        </w:rPr>
      </w:pPr>
      <w:r w:rsidRPr="002A42E8">
        <w:rPr>
          <w:rFonts w:ascii="Aptos" w:hAnsi="Aptos" w:cs="Times New Roman"/>
          <w:b/>
          <w:bCs/>
          <w:sz w:val="28"/>
          <w:szCs w:val="28"/>
        </w:rPr>
        <w:t xml:space="preserve">COMMONWEALTH OF MASSACHUSETTS </w:t>
      </w:r>
    </w:p>
    <w:p w14:paraId="6F1AB37E" w14:textId="77777777" w:rsidR="001117BC" w:rsidRPr="002A42E8" w:rsidRDefault="001117BC" w:rsidP="001117BC">
      <w:pPr>
        <w:spacing w:after="0" w:line="240" w:lineRule="auto"/>
        <w:jc w:val="center"/>
        <w:rPr>
          <w:rFonts w:ascii="Aptos" w:hAnsi="Aptos" w:cs="Times New Roman"/>
          <w:b/>
          <w:bCs/>
          <w:sz w:val="28"/>
          <w:szCs w:val="28"/>
        </w:rPr>
      </w:pPr>
      <w:r w:rsidRPr="002A42E8">
        <w:rPr>
          <w:rFonts w:ascii="Aptos" w:hAnsi="Aptos" w:cs="Times New Roman"/>
          <w:b/>
          <w:bCs/>
          <w:sz w:val="28"/>
          <w:szCs w:val="28"/>
        </w:rPr>
        <w:t xml:space="preserve">DIVISION OF ADMINISTRATIVE LAW APPEALS </w:t>
      </w:r>
    </w:p>
    <w:p w14:paraId="6E64CE99" w14:textId="77777777" w:rsidR="001117BC" w:rsidRPr="002A42E8" w:rsidRDefault="001117BC" w:rsidP="001117BC">
      <w:pPr>
        <w:spacing w:after="0" w:line="240" w:lineRule="auto"/>
        <w:jc w:val="center"/>
        <w:rPr>
          <w:rFonts w:ascii="Aptos" w:hAnsi="Aptos" w:cs="Times New Roman"/>
          <w:b/>
          <w:bCs/>
          <w:sz w:val="28"/>
          <w:szCs w:val="28"/>
        </w:rPr>
      </w:pPr>
      <w:r w:rsidRPr="002A42E8">
        <w:rPr>
          <w:rFonts w:ascii="Aptos" w:hAnsi="Aptos" w:cs="Times New Roman"/>
          <w:b/>
          <w:bCs/>
          <w:sz w:val="28"/>
          <w:szCs w:val="28"/>
        </w:rPr>
        <w:t>BUREAU OF SPECIAL EDUCATION APPEALS</w:t>
      </w:r>
    </w:p>
    <w:p w14:paraId="2C56BE17" w14:textId="77777777" w:rsidR="001117BC" w:rsidRPr="002A42E8" w:rsidRDefault="001117BC" w:rsidP="001117BC">
      <w:pPr>
        <w:spacing w:after="0" w:line="240" w:lineRule="auto"/>
        <w:rPr>
          <w:rFonts w:ascii="Aptos" w:hAnsi="Aptos" w:cs="Times New Roman"/>
          <w:b/>
          <w:bCs/>
          <w:sz w:val="25"/>
          <w:szCs w:val="25"/>
        </w:rPr>
      </w:pPr>
    </w:p>
    <w:p w14:paraId="16C75199" w14:textId="77777777" w:rsidR="001117BC" w:rsidRPr="00331871" w:rsidRDefault="001117BC" w:rsidP="001117BC">
      <w:pPr>
        <w:spacing w:after="0" w:line="240" w:lineRule="auto"/>
        <w:ind w:left="720" w:hanging="720"/>
        <w:rPr>
          <w:rFonts w:ascii="Aptos" w:hAnsi="Aptos" w:cs="Times New Roman"/>
          <w:b/>
          <w:bCs/>
          <w:sz w:val="25"/>
          <w:szCs w:val="25"/>
        </w:rPr>
      </w:pPr>
      <w:r w:rsidRPr="00331871">
        <w:rPr>
          <w:rFonts w:ascii="Aptos" w:hAnsi="Aptos" w:cs="Times New Roman"/>
          <w:b/>
          <w:bCs/>
          <w:sz w:val="25"/>
          <w:szCs w:val="25"/>
        </w:rPr>
        <w:t xml:space="preserve">In Re: </w:t>
      </w:r>
      <w:r w:rsidRPr="00331871">
        <w:rPr>
          <w:rFonts w:ascii="Aptos" w:hAnsi="Aptos" w:cs="Times New Roman"/>
          <w:b/>
          <w:bCs/>
          <w:sz w:val="25"/>
          <w:szCs w:val="25"/>
        </w:rPr>
        <w:tab/>
        <w:t>Student &amp; Franklin Public Schools &amp;</w:t>
      </w:r>
      <w:r w:rsidRPr="00331871">
        <w:rPr>
          <w:rFonts w:ascii="Aptos" w:hAnsi="Aptos" w:cs="Times New Roman"/>
          <w:b/>
          <w:bCs/>
          <w:sz w:val="25"/>
          <w:szCs w:val="25"/>
        </w:rPr>
        <w:tab/>
      </w:r>
      <w:r w:rsidRPr="00331871">
        <w:rPr>
          <w:rFonts w:ascii="Aptos" w:hAnsi="Aptos" w:cs="Times New Roman"/>
          <w:b/>
          <w:bCs/>
          <w:sz w:val="25"/>
          <w:szCs w:val="25"/>
        </w:rPr>
        <w:tab/>
      </w:r>
      <w:r w:rsidRPr="00331871">
        <w:rPr>
          <w:rFonts w:ascii="Aptos" w:hAnsi="Aptos" w:cs="Times New Roman"/>
          <w:b/>
          <w:bCs/>
          <w:sz w:val="25"/>
          <w:szCs w:val="25"/>
        </w:rPr>
        <w:tab/>
      </w:r>
      <w:r w:rsidRPr="00331871">
        <w:rPr>
          <w:rFonts w:ascii="Aptos" w:hAnsi="Aptos" w:cs="Times New Roman"/>
          <w:b/>
          <w:bCs/>
          <w:sz w:val="25"/>
          <w:szCs w:val="25"/>
        </w:rPr>
        <w:tab/>
        <w:t xml:space="preserve">       BSEA # 2500429</w:t>
      </w:r>
    </w:p>
    <w:p w14:paraId="77921ADE" w14:textId="77777777" w:rsidR="001117BC" w:rsidRPr="00331871" w:rsidRDefault="001117BC" w:rsidP="001117BC">
      <w:pPr>
        <w:spacing w:after="0" w:line="240" w:lineRule="auto"/>
        <w:ind w:left="720" w:hanging="720"/>
        <w:rPr>
          <w:rFonts w:ascii="Aptos" w:hAnsi="Aptos" w:cs="Times New Roman"/>
          <w:b/>
          <w:bCs/>
          <w:sz w:val="25"/>
          <w:szCs w:val="25"/>
        </w:rPr>
      </w:pPr>
      <w:r w:rsidRPr="00331871">
        <w:rPr>
          <w:rFonts w:ascii="Aptos" w:hAnsi="Aptos" w:cs="Times New Roman"/>
          <w:b/>
          <w:bCs/>
          <w:sz w:val="25"/>
          <w:szCs w:val="25"/>
        </w:rPr>
        <w:t xml:space="preserve">              Massachusetts Department of Developmental Services </w:t>
      </w:r>
    </w:p>
    <w:p w14:paraId="3B1DB102" w14:textId="77777777" w:rsidR="001117BC" w:rsidRPr="00331871" w:rsidRDefault="001117BC" w:rsidP="001117BC">
      <w:pPr>
        <w:spacing w:after="0" w:line="240" w:lineRule="auto"/>
        <w:ind w:left="720" w:hanging="720"/>
        <w:jc w:val="center"/>
        <w:rPr>
          <w:rFonts w:ascii="Aptos" w:hAnsi="Aptos" w:cs="Times New Roman"/>
          <w:b/>
          <w:bCs/>
          <w:sz w:val="25"/>
          <w:szCs w:val="25"/>
          <w:u w:val="single"/>
        </w:rPr>
      </w:pPr>
    </w:p>
    <w:p w14:paraId="455CAC70" w14:textId="6D9D3D7C" w:rsidR="001117BC" w:rsidRPr="00331871" w:rsidRDefault="001117BC" w:rsidP="001117BC">
      <w:pPr>
        <w:spacing w:after="0" w:line="240" w:lineRule="auto"/>
        <w:ind w:left="720" w:hanging="720"/>
        <w:jc w:val="center"/>
        <w:rPr>
          <w:rFonts w:ascii="Aptos" w:hAnsi="Aptos" w:cs="Times New Roman"/>
          <w:b/>
          <w:bCs/>
          <w:sz w:val="25"/>
          <w:szCs w:val="25"/>
          <w:u w:val="single"/>
        </w:rPr>
      </w:pPr>
      <w:r w:rsidRPr="00331871">
        <w:rPr>
          <w:rFonts w:ascii="Aptos" w:hAnsi="Aptos" w:cs="Times New Roman"/>
          <w:b/>
          <w:bCs/>
          <w:sz w:val="25"/>
          <w:szCs w:val="25"/>
          <w:u w:val="single"/>
        </w:rPr>
        <w:t xml:space="preserve">RULING ON </w:t>
      </w:r>
      <w:r>
        <w:rPr>
          <w:rFonts w:ascii="Aptos" w:hAnsi="Aptos" w:cs="Times New Roman"/>
          <w:b/>
          <w:bCs/>
          <w:sz w:val="25"/>
          <w:szCs w:val="25"/>
          <w:u w:val="single"/>
        </w:rPr>
        <w:t xml:space="preserve">PARENT’S </w:t>
      </w:r>
      <w:r w:rsidRPr="00331871">
        <w:rPr>
          <w:rFonts w:ascii="Aptos" w:hAnsi="Aptos" w:cs="Times New Roman"/>
          <w:b/>
          <w:bCs/>
          <w:sz w:val="25"/>
          <w:szCs w:val="25"/>
          <w:u w:val="single"/>
        </w:rPr>
        <w:t xml:space="preserve">MOTION TO </w:t>
      </w:r>
      <w:r>
        <w:rPr>
          <w:rFonts w:ascii="Aptos" w:hAnsi="Aptos" w:cs="Times New Roman"/>
          <w:b/>
          <w:bCs/>
          <w:sz w:val="25"/>
          <w:szCs w:val="25"/>
          <w:u w:val="single"/>
        </w:rPr>
        <w:t>JOIN DESE</w:t>
      </w:r>
    </w:p>
    <w:p w14:paraId="0F5017F0" w14:textId="77777777" w:rsidR="001117BC" w:rsidRPr="00331871" w:rsidRDefault="001117BC" w:rsidP="001117BC">
      <w:pPr>
        <w:spacing w:after="0" w:line="240" w:lineRule="auto"/>
        <w:rPr>
          <w:rFonts w:ascii="Aptos" w:hAnsi="Aptos" w:cs="Times New Roman"/>
          <w:sz w:val="25"/>
          <w:szCs w:val="25"/>
        </w:rPr>
      </w:pPr>
    </w:p>
    <w:p w14:paraId="0EB2FE19" w14:textId="528E8008" w:rsidR="001117BC" w:rsidRPr="00331871" w:rsidRDefault="001117BC" w:rsidP="001117BC">
      <w:pPr>
        <w:spacing w:after="0" w:line="240" w:lineRule="auto"/>
        <w:rPr>
          <w:rFonts w:ascii="Aptos" w:hAnsi="Aptos" w:cs="Times New Roman"/>
          <w:sz w:val="25"/>
          <w:szCs w:val="25"/>
        </w:rPr>
      </w:pPr>
      <w:r w:rsidRPr="00331871">
        <w:rPr>
          <w:rFonts w:ascii="Aptos" w:hAnsi="Aptos" w:cs="Times New Roman"/>
          <w:sz w:val="25"/>
          <w:szCs w:val="25"/>
        </w:rPr>
        <w:t xml:space="preserve">This matter comes before the Hearing Officer on </w:t>
      </w:r>
      <w:r>
        <w:rPr>
          <w:rFonts w:ascii="Aptos" w:hAnsi="Aptos" w:cs="Times New Roman"/>
          <w:sz w:val="25"/>
          <w:szCs w:val="25"/>
        </w:rPr>
        <w:t xml:space="preserve">Parent’s </w:t>
      </w:r>
      <w:r w:rsidR="002075BC">
        <w:rPr>
          <w:rFonts w:ascii="Aptos" w:hAnsi="Aptos" w:cs="Times New Roman"/>
          <w:sz w:val="25"/>
          <w:szCs w:val="25"/>
        </w:rPr>
        <w:t>February 11, 2025</w:t>
      </w:r>
      <w:r>
        <w:rPr>
          <w:rFonts w:ascii="Aptos" w:hAnsi="Aptos" w:cs="Times New Roman"/>
          <w:sz w:val="25"/>
          <w:szCs w:val="25"/>
        </w:rPr>
        <w:t xml:space="preserve">, </w:t>
      </w:r>
      <w:r w:rsidRPr="00331871">
        <w:rPr>
          <w:rFonts w:ascii="Aptos" w:hAnsi="Aptos" w:cs="Times New Roman"/>
          <w:i/>
          <w:iCs/>
          <w:sz w:val="25"/>
          <w:szCs w:val="25"/>
        </w:rPr>
        <w:t xml:space="preserve">Motion to </w:t>
      </w:r>
      <w:r>
        <w:rPr>
          <w:rFonts w:ascii="Aptos" w:hAnsi="Aptos" w:cs="Times New Roman"/>
          <w:i/>
          <w:iCs/>
          <w:sz w:val="25"/>
          <w:szCs w:val="25"/>
        </w:rPr>
        <w:t xml:space="preserve">Join the Department of Elementary and Secondary Education (DESE) </w:t>
      </w:r>
      <w:r w:rsidRPr="00331871">
        <w:rPr>
          <w:rFonts w:ascii="Aptos" w:hAnsi="Aptos" w:cs="Times New Roman"/>
          <w:sz w:val="25"/>
          <w:szCs w:val="25"/>
        </w:rPr>
        <w:t>(</w:t>
      </w:r>
      <w:r w:rsidRPr="00331871">
        <w:rPr>
          <w:rFonts w:ascii="Aptos" w:hAnsi="Aptos" w:cs="Times New Roman"/>
          <w:i/>
          <w:iCs/>
          <w:sz w:val="25"/>
          <w:szCs w:val="25"/>
        </w:rPr>
        <w:t>Motion</w:t>
      </w:r>
      <w:r w:rsidRPr="00331871">
        <w:rPr>
          <w:rFonts w:ascii="Aptos" w:hAnsi="Aptos" w:cs="Times New Roman"/>
          <w:sz w:val="25"/>
          <w:szCs w:val="25"/>
        </w:rPr>
        <w:t>)</w:t>
      </w:r>
      <w:r>
        <w:rPr>
          <w:rFonts w:ascii="Aptos" w:hAnsi="Aptos" w:cs="Times New Roman"/>
          <w:sz w:val="25"/>
          <w:szCs w:val="25"/>
        </w:rPr>
        <w:t xml:space="preserve">.  On </w:t>
      </w:r>
      <w:r w:rsidR="00365F96">
        <w:rPr>
          <w:rFonts w:ascii="Aptos" w:hAnsi="Aptos" w:cs="Times New Roman"/>
          <w:sz w:val="25"/>
          <w:szCs w:val="25"/>
        </w:rPr>
        <w:t>February 28, 2025</w:t>
      </w:r>
      <w:r>
        <w:rPr>
          <w:rStyle w:val="FootnoteReference"/>
          <w:rFonts w:ascii="Aptos" w:hAnsi="Aptos" w:cs="Times New Roman"/>
          <w:sz w:val="25"/>
          <w:szCs w:val="25"/>
        </w:rPr>
        <w:footnoteReference w:id="1"/>
      </w:r>
      <w:r>
        <w:rPr>
          <w:rFonts w:ascii="Aptos" w:hAnsi="Aptos" w:cs="Times New Roman"/>
          <w:sz w:val="25"/>
          <w:szCs w:val="25"/>
        </w:rPr>
        <w:t xml:space="preserve">, DESE filed its </w:t>
      </w:r>
      <w:r>
        <w:rPr>
          <w:rFonts w:ascii="Aptos" w:hAnsi="Aptos" w:cs="Times New Roman"/>
          <w:i/>
          <w:iCs/>
          <w:sz w:val="25"/>
          <w:szCs w:val="25"/>
        </w:rPr>
        <w:t xml:space="preserve">Opposition to </w:t>
      </w:r>
      <w:r w:rsidR="00365F96">
        <w:rPr>
          <w:rFonts w:ascii="Aptos" w:hAnsi="Aptos" w:cs="Times New Roman"/>
          <w:i/>
          <w:iCs/>
          <w:sz w:val="25"/>
          <w:szCs w:val="25"/>
        </w:rPr>
        <w:t xml:space="preserve">Parent’s Joinder Motion </w:t>
      </w:r>
      <w:r>
        <w:rPr>
          <w:rFonts w:ascii="Aptos" w:hAnsi="Aptos" w:cs="Times New Roman"/>
          <w:sz w:val="25"/>
          <w:szCs w:val="25"/>
        </w:rPr>
        <w:t>(</w:t>
      </w:r>
      <w:r>
        <w:rPr>
          <w:rFonts w:ascii="Aptos" w:hAnsi="Aptos" w:cs="Times New Roman"/>
          <w:i/>
          <w:iCs/>
          <w:sz w:val="25"/>
          <w:szCs w:val="25"/>
        </w:rPr>
        <w:t>Opposition</w:t>
      </w:r>
      <w:r>
        <w:rPr>
          <w:rFonts w:ascii="Aptos" w:hAnsi="Aptos" w:cs="Times New Roman"/>
          <w:sz w:val="25"/>
          <w:szCs w:val="25"/>
        </w:rPr>
        <w:t xml:space="preserve">).  Neither </w:t>
      </w:r>
      <w:r w:rsidR="00377FDB">
        <w:rPr>
          <w:rFonts w:ascii="Aptos" w:hAnsi="Aptos" w:cs="Times New Roman"/>
          <w:sz w:val="25"/>
          <w:szCs w:val="25"/>
        </w:rPr>
        <w:t xml:space="preserve">the District </w:t>
      </w:r>
      <w:r>
        <w:rPr>
          <w:rFonts w:ascii="Aptos" w:hAnsi="Aptos" w:cs="Times New Roman"/>
          <w:sz w:val="25"/>
          <w:szCs w:val="25"/>
        </w:rPr>
        <w:t>nor the Department of Developmental Services</w:t>
      </w:r>
      <w:r w:rsidR="00BF1E97">
        <w:rPr>
          <w:rFonts w:ascii="Aptos" w:hAnsi="Aptos" w:cs="Times New Roman"/>
          <w:sz w:val="25"/>
          <w:szCs w:val="25"/>
        </w:rPr>
        <w:t xml:space="preserve"> (DDS)</w:t>
      </w:r>
      <w:r>
        <w:rPr>
          <w:rFonts w:ascii="Aptos" w:hAnsi="Aptos" w:cs="Times New Roman"/>
          <w:sz w:val="25"/>
          <w:szCs w:val="25"/>
        </w:rPr>
        <w:t xml:space="preserve"> ha</w:t>
      </w:r>
      <w:r w:rsidR="00AA106D">
        <w:rPr>
          <w:rFonts w:ascii="Aptos" w:hAnsi="Aptos" w:cs="Times New Roman"/>
          <w:sz w:val="25"/>
          <w:szCs w:val="25"/>
        </w:rPr>
        <w:t>s</w:t>
      </w:r>
      <w:r>
        <w:rPr>
          <w:rFonts w:ascii="Aptos" w:hAnsi="Aptos" w:cs="Times New Roman"/>
          <w:sz w:val="25"/>
          <w:szCs w:val="25"/>
        </w:rPr>
        <w:t xml:space="preserve"> taken any position on the </w:t>
      </w:r>
      <w:r>
        <w:rPr>
          <w:rFonts w:ascii="Aptos" w:hAnsi="Aptos" w:cs="Times New Roman"/>
          <w:i/>
          <w:iCs/>
          <w:sz w:val="25"/>
          <w:szCs w:val="25"/>
        </w:rPr>
        <w:t>Motion</w:t>
      </w:r>
      <w:r>
        <w:rPr>
          <w:rFonts w:ascii="Aptos" w:hAnsi="Aptos" w:cs="Times New Roman"/>
          <w:sz w:val="25"/>
          <w:szCs w:val="25"/>
        </w:rPr>
        <w:t xml:space="preserve">.  </w:t>
      </w:r>
    </w:p>
    <w:p w14:paraId="03CAC97F" w14:textId="77777777" w:rsidR="001117BC" w:rsidRPr="00331871" w:rsidRDefault="001117BC" w:rsidP="001117BC">
      <w:pPr>
        <w:spacing w:after="0" w:line="240" w:lineRule="auto"/>
        <w:rPr>
          <w:rFonts w:ascii="Aptos" w:hAnsi="Aptos" w:cs="Times New Roman"/>
          <w:sz w:val="25"/>
          <w:szCs w:val="25"/>
        </w:rPr>
      </w:pPr>
    </w:p>
    <w:p w14:paraId="15A0BA65" w14:textId="04EFFC8B" w:rsidR="001117BC" w:rsidRPr="00331871" w:rsidRDefault="001117BC" w:rsidP="001117BC">
      <w:pPr>
        <w:spacing w:after="0" w:line="240" w:lineRule="auto"/>
        <w:rPr>
          <w:rFonts w:ascii="Aptos" w:hAnsi="Aptos" w:cs="Times New Roman"/>
          <w:sz w:val="25"/>
          <w:szCs w:val="25"/>
        </w:rPr>
      </w:pPr>
      <w:r w:rsidRPr="00790CA3">
        <w:rPr>
          <w:rFonts w:ascii="Aptos" w:hAnsi="Aptos" w:cs="Times New Roman"/>
          <w:sz w:val="25"/>
          <w:szCs w:val="25"/>
        </w:rPr>
        <w:t xml:space="preserve">As </w:t>
      </w:r>
      <w:r w:rsidRPr="00331871">
        <w:rPr>
          <w:rFonts w:ascii="Aptos" w:hAnsi="Aptos" w:cs="Times New Roman"/>
          <w:sz w:val="25"/>
          <w:szCs w:val="25"/>
        </w:rPr>
        <w:t xml:space="preserve">none of the </w:t>
      </w:r>
      <w:r w:rsidR="001F30E7">
        <w:rPr>
          <w:rFonts w:ascii="Aptos" w:hAnsi="Aptos" w:cs="Times New Roman"/>
          <w:sz w:val="25"/>
          <w:szCs w:val="25"/>
        </w:rPr>
        <w:t>P</w:t>
      </w:r>
      <w:r w:rsidRPr="00790CA3">
        <w:rPr>
          <w:rFonts w:ascii="Aptos" w:hAnsi="Aptos" w:cs="Times New Roman"/>
          <w:sz w:val="25"/>
          <w:szCs w:val="25"/>
        </w:rPr>
        <w:t>art</w:t>
      </w:r>
      <w:r w:rsidRPr="00331871">
        <w:rPr>
          <w:rFonts w:ascii="Aptos" w:hAnsi="Aptos" w:cs="Times New Roman"/>
          <w:sz w:val="25"/>
          <w:szCs w:val="25"/>
        </w:rPr>
        <w:t>ies ha</w:t>
      </w:r>
      <w:r w:rsidR="001F30E7">
        <w:rPr>
          <w:rFonts w:ascii="Aptos" w:hAnsi="Aptos" w:cs="Times New Roman"/>
          <w:sz w:val="25"/>
          <w:szCs w:val="25"/>
        </w:rPr>
        <w:t>ve</w:t>
      </w:r>
      <w:r w:rsidRPr="00790CA3">
        <w:rPr>
          <w:rFonts w:ascii="Aptos" w:hAnsi="Aptos" w:cs="Times New Roman"/>
          <w:sz w:val="25"/>
          <w:szCs w:val="25"/>
        </w:rPr>
        <w:t xml:space="preserve"> requested a hearing on the </w:t>
      </w:r>
      <w:r w:rsidRPr="00790CA3">
        <w:rPr>
          <w:rFonts w:ascii="Aptos" w:hAnsi="Aptos" w:cs="Times New Roman"/>
          <w:i/>
          <w:iCs/>
          <w:sz w:val="25"/>
          <w:szCs w:val="25"/>
        </w:rPr>
        <w:t>Motion</w:t>
      </w:r>
      <w:r w:rsidRPr="00790CA3">
        <w:rPr>
          <w:rFonts w:ascii="Aptos" w:hAnsi="Aptos" w:cs="Times New Roman"/>
          <w:sz w:val="25"/>
          <w:szCs w:val="25"/>
        </w:rPr>
        <w:t>, and, because neither testimony nor oral argument would advance the Hearing Officer's understanding of the issues involved, this Ruling is issued without a hearing, pursuant to Bureau of Special Education Appeals Hearing Rule VII(D).</w:t>
      </w:r>
      <w:r>
        <w:rPr>
          <w:rFonts w:ascii="Aptos" w:hAnsi="Aptos" w:cs="Times New Roman"/>
          <w:sz w:val="25"/>
          <w:szCs w:val="25"/>
        </w:rPr>
        <w:t xml:space="preserve">  </w:t>
      </w:r>
      <w:r w:rsidRPr="00331871">
        <w:rPr>
          <w:rFonts w:ascii="Aptos" w:hAnsi="Aptos" w:cs="Times New Roman"/>
          <w:sz w:val="25"/>
          <w:szCs w:val="25"/>
        </w:rPr>
        <w:t xml:space="preserve">For the reasons articulated below, </w:t>
      </w:r>
      <w:r>
        <w:rPr>
          <w:rFonts w:ascii="Aptos" w:hAnsi="Aptos" w:cs="Times New Roman"/>
          <w:sz w:val="25"/>
          <w:szCs w:val="25"/>
        </w:rPr>
        <w:t>Parent</w:t>
      </w:r>
      <w:r w:rsidRPr="00331871">
        <w:rPr>
          <w:rFonts w:ascii="Aptos" w:hAnsi="Aptos" w:cs="Times New Roman"/>
          <w:sz w:val="25"/>
          <w:szCs w:val="25"/>
        </w:rPr>
        <w:t xml:space="preserve">’s </w:t>
      </w:r>
      <w:r w:rsidRPr="00331871">
        <w:rPr>
          <w:rFonts w:ascii="Aptos" w:hAnsi="Aptos" w:cs="Times New Roman"/>
          <w:i/>
          <w:iCs/>
          <w:sz w:val="25"/>
          <w:szCs w:val="25"/>
        </w:rPr>
        <w:t xml:space="preserve">Motion </w:t>
      </w:r>
      <w:r w:rsidRPr="00331871">
        <w:rPr>
          <w:rFonts w:ascii="Aptos" w:hAnsi="Aptos" w:cs="Times New Roman"/>
          <w:sz w:val="25"/>
          <w:szCs w:val="25"/>
        </w:rPr>
        <w:t xml:space="preserve">is </w:t>
      </w:r>
      <w:r w:rsidRPr="00331871">
        <w:rPr>
          <w:rFonts w:ascii="Aptos" w:hAnsi="Aptos" w:cs="Times New Roman"/>
          <w:b/>
          <w:bCs/>
          <w:sz w:val="25"/>
          <w:szCs w:val="25"/>
        </w:rPr>
        <w:t>DENIED</w:t>
      </w:r>
      <w:r w:rsidR="00EA6DC6">
        <w:rPr>
          <w:rFonts w:ascii="Aptos" w:hAnsi="Aptos" w:cs="Times New Roman"/>
          <w:b/>
          <w:bCs/>
          <w:sz w:val="25"/>
          <w:szCs w:val="25"/>
        </w:rPr>
        <w:t xml:space="preserve"> without prejudice</w:t>
      </w:r>
      <w:r w:rsidRPr="00331871">
        <w:rPr>
          <w:rFonts w:ascii="Aptos" w:hAnsi="Aptos" w:cs="Times New Roman"/>
          <w:sz w:val="25"/>
          <w:szCs w:val="25"/>
        </w:rPr>
        <w:t xml:space="preserve">. </w:t>
      </w:r>
    </w:p>
    <w:p w14:paraId="521B8371" w14:textId="77777777" w:rsidR="001117BC" w:rsidRPr="00331871" w:rsidRDefault="001117BC" w:rsidP="001117BC">
      <w:pPr>
        <w:spacing w:after="0" w:line="240" w:lineRule="auto"/>
        <w:rPr>
          <w:rFonts w:ascii="Aptos" w:hAnsi="Aptos" w:cs="Times New Roman"/>
          <w:b/>
          <w:bCs/>
          <w:sz w:val="25"/>
          <w:szCs w:val="25"/>
        </w:rPr>
      </w:pPr>
    </w:p>
    <w:p w14:paraId="048E5C39" w14:textId="77777777" w:rsidR="001117BC" w:rsidRPr="00331871" w:rsidRDefault="001117BC" w:rsidP="001117BC">
      <w:pPr>
        <w:spacing w:after="0" w:line="240" w:lineRule="auto"/>
        <w:rPr>
          <w:rFonts w:ascii="Aptos" w:hAnsi="Aptos" w:cs="Times New Roman"/>
          <w:sz w:val="25"/>
          <w:szCs w:val="25"/>
        </w:rPr>
      </w:pPr>
      <w:r w:rsidRPr="00331871">
        <w:rPr>
          <w:rFonts w:ascii="Aptos" w:hAnsi="Aptos" w:cs="Times New Roman"/>
          <w:b/>
          <w:bCs/>
          <w:sz w:val="25"/>
          <w:szCs w:val="25"/>
        </w:rPr>
        <w:t>RELEVANT PROCEDURAL HISTORY AND STATEMENT OF FACTS</w:t>
      </w:r>
      <w:r w:rsidRPr="00331871">
        <w:rPr>
          <w:rStyle w:val="FootnoteReference"/>
          <w:rFonts w:ascii="Aptos" w:hAnsi="Aptos" w:cs="Times New Roman"/>
          <w:b/>
          <w:bCs/>
          <w:sz w:val="25"/>
          <w:szCs w:val="25"/>
        </w:rPr>
        <w:footnoteReference w:id="2"/>
      </w:r>
    </w:p>
    <w:p w14:paraId="6474A5D6" w14:textId="77777777" w:rsidR="001117BC" w:rsidRPr="00331871" w:rsidRDefault="001117BC" w:rsidP="001117BC">
      <w:pPr>
        <w:spacing w:after="0" w:line="240" w:lineRule="auto"/>
        <w:rPr>
          <w:rFonts w:ascii="Aptos" w:hAnsi="Aptos" w:cs="Times New Roman"/>
          <w:sz w:val="25"/>
          <w:szCs w:val="25"/>
        </w:rPr>
      </w:pPr>
    </w:p>
    <w:p w14:paraId="0A2E0997" w14:textId="218D49EF" w:rsidR="000C5D21" w:rsidRDefault="00F35CBB" w:rsidP="00F23198">
      <w:pPr>
        <w:spacing w:after="0" w:line="240" w:lineRule="auto"/>
        <w:rPr>
          <w:rFonts w:ascii="Aptos" w:hAnsi="Aptos" w:cs="Times New Roman"/>
          <w:sz w:val="25"/>
          <w:szCs w:val="25"/>
        </w:rPr>
      </w:pPr>
      <w:r w:rsidRPr="000C5D21">
        <w:rPr>
          <w:rFonts w:ascii="Aptos" w:hAnsi="Aptos" w:cs="Times New Roman"/>
          <w:sz w:val="25"/>
          <w:szCs w:val="25"/>
        </w:rPr>
        <w:t xml:space="preserve">Student’s </w:t>
      </w:r>
      <w:r w:rsidR="00DA7A05">
        <w:rPr>
          <w:rFonts w:ascii="Aptos" w:hAnsi="Aptos" w:cs="Times New Roman"/>
          <w:sz w:val="25"/>
          <w:szCs w:val="25"/>
        </w:rPr>
        <w:t>last school</w:t>
      </w:r>
      <w:r w:rsidRPr="000C5D21">
        <w:rPr>
          <w:rFonts w:ascii="Aptos" w:hAnsi="Aptos" w:cs="Times New Roman"/>
          <w:sz w:val="25"/>
          <w:szCs w:val="25"/>
        </w:rPr>
        <w:t xml:space="preserve"> placement was </w:t>
      </w:r>
      <w:r w:rsidR="00A15A68">
        <w:rPr>
          <w:rFonts w:ascii="Aptos" w:hAnsi="Aptos" w:cs="Times New Roman"/>
          <w:sz w:val="25"/>
          <w:szCs w:val="25"/>
        </w:rPr>
        <w:t>in</w:t>
      </w:r>
      <w:r w:rsidR="008125F4">
        <w:rPr>
          <w:rFonts w:ascii="Aptos" w:hAnsi="Aptos" w:cs="Times New Roman"/>
          <w:sz w:val="25"/>
          <w:szCs w:val="25"/>
        </w:rPr>
        <w:t xml:space="preserve"> </w:t>
      </w:r>
      <w:r w:rsidR="00A15A68">
        <w:rPr>
          <w:rFonts w:ascii="Aptos" w:hAnsi="Aptos" w:cs="Times New Roman"/>
          <w:sz w:val="25"/>
          <w:szCs w:val="25"/>
        </w:rPr>
        <w:t>a</w:t>
      </w:r>
      <w:r w:rsidRPr="000C5D21">
        <w:rPr>
          <w:rFonts w:ascii="Aptos" w:hAnsi="Aptos" w:cs="Times New Roman"/>
          <w:sz w:val="25"/>
          <w:szCs w:val="25"/>
        </w:rPr>
        <w:t xml:space="preserve"> residential educational program at the Perkins School for the Blind (Perkins</w:t>
      </w:r>
      <w:r w:rsidR="00C06B87">
        <w:rPr>
          <w:rFonts w:ascii="Aptos" w:hAnsi="Aptos" w:cs="Times New Roman"/>
          <w:sz w:val="25"/>
          <w:szCs w:val="25"/>
        </w:rPr>
        <w:t xml:space="preserve">).  </w:t>
      </w:r>
      <w:r w:rsidR="00914A59">
        <w:rPr>
          <w:rFonts w:ascii="Aptos" w:hAnsi="Aptos" w:cs="Times New Roman"/>
          <w:sz w:val="25"/>
          <w:szCs w:val="25"/>
        </w:rPr>
        <w:t>Perkins terminated this placement</w:t>
      </w:r>
      <w:r w:rsidRPr="000C5D21">
        <w:rPr>
          <w:rFonts w:ascii="Aptos" w:hAnsi="Aptos" w:cs="Times New Roman"/>
          <w:sz w:val="25"/>
          <w:szCs w:val="25"/>
        </w:rPr>
        <w:t xml:space="preserve"> </w:t>
      </w:r>
      <w:r w:rsidR="00C06B87">
        <w:rPr>
          <w:rFonts w:ascii="Aptos" w:hAnsi="Aptos" w:cs="Times New Roman"/>
          <w:sz w:val="25"/>
          <w:szCs w:val="25"/>
        </w:rPr>
        <w:t>o</w:t>
      </w:r>
      <w:r w:rsidRPr="000C5D21">
        <w:rPr>
          <w:rFonts w:ascii="Aptos" w:hAnsi="Aptos" w:cs="Times New Roman"/>
          <w:sz w:val="25"/>
          <w:szCs w:val="25"/>
        </w:rPr>
        <w:t>n or about February 6, 2024</w:t>
      </w:r>
      <w:r w:rsidR="00851B1F">
        <w:rPr>
          <w:rFonts w:ascii="Aptos" w:hAnsi="Aptos" w:cs="Times New Roman"/>
          <w:sz w:val="25"/>
          <w:szCs w:val="25"/>
        </w:rPr>
        <w:t>,</w:t>
      </w:r>
      <w:r w:rsidRPr="000C5D21">
        <w:rPr>
          <w:rFonts w:ascii="Aptos" w:hAnsi="Aptos" w:cs="Times New Roman"/>
          <w:sz w:val="25"/>
          <w:szCs w:val="25"/>
        </w:rPr>
        <w:t xml:space="preserve"> for reasons not substantially relevant to the </w:t>
      </w:r>
      <w:r w:rsidRPr="000C5D21">
        <w:rPr>
          <w:rFonts w:ascii="Aptos" w:hAnsi="Aptos" w:cs="Times New Roman"/>
          <w:i/>
          <w:iCs/>
          <w:sz w:val="25"/>
          <w:szCs w:val="25"/>
        </w:rPr>
        <w:t>Motion</w:t>
      </w:r>
      <w:r w:rsidRPr="000C5D21">
        <w:rPr>
          <w:rFonts w:ascii="Aptos" w:hAnsi="Aptos" w:cs="Times New Roman"/>
          <w:sz w:val="25"/>
          <w:szCs w:val="25"/>
        </w:rPr>
        <w:t>.</w:t>
      </w:r>
      <w:r w:rsidRPr="000C5D21">
        <w:rPr>
          <w:rFonts w:ascii="Aptos" w:hAnsi="Aptos" w:cs="Times New Roman"/>
          <w:i/>
          <w:iCs/>
          <w:sz w:val="25"/>
          <w:szCs w:val="25"/>
        </w:rPr>
        <w:t xml:space="preserve"> </w:t>
      </w:r>
      <w:r w:rsidRPr="000C5D21">
        <w:rPr>
          <w:rFonts w:ascii="Aptos" w:hAnsi="Aptos" w:cs="Times New Roman"/>
          <w:sz w:val="25"/>
          <w:szCs w:val="25"/>
        </w:rPr>
        <w:t xml:space="preserve"> </w:t>
      </w:r>
      <w:r w:rsidR="008125F4">
        <w:rPr>
          <w:rFonts w:ascii="Aptos" w:hAnsi="Aptos" w:cs="Times New Roman"/>
          <w:sz w:val="25"/>
          <w:szCs w:val="25"/>
        </w:rPr>
        <w:t>In May of 2024,</w:t>
      </w:r>
      <w:r w:rsidR="000C5D21" w:rsidRPr="000C5D21">
        <w:rPr>
          <w:rFonts w:ascii="Aptos" w:hAnsi="Aptos" w:cs="Times New Roman"/>
          <w:sz w:val="25"/>
          <w:szCs w:val="25"/>
        </w:rPr>
        <w:t xml:space="preserve"> Student was accepted </w:t>
      </w:r>
      <w:r w:rsidR="00BC631D">
        <w:rPr>
          <w:rFonts w:ascii="Aptos" w:hAnsi="Aptos" w:cs="Times New Roman"/>
          <w:sz w:val="25"/>
          <w:szCs w:val="25"/>
        </w:rPr>
        <w:t xml:space="preserve">to </w:t>
      </w:r>
      <w:r w:rsidR="000C5D21" w:rsidRPr="000C5D21">
        <w:rPr>
          <w:rFonts w:ascii="Aptos" w:hAnsi="Aptos" w:cs="Times New Roman"/>
          <w:sz w:val="25"/>
          <w:szCs w:val="25"/>
        </w:rPr>
        <w:t xml:space="preserve">the Evergreen Center’s (Evergreen) residential educational program, </w:t>
      </w:r>
      <w:r w:rsidR="001E6467">
        <w:rPr>
          <w:rFonts w:ascii="Aptos" w:hAnsi="Aptos" w:cs="Times New Roman"/>
          <w:sz w:val="25"/>
          <w:szCs w:val="25"/>
        </w:rPr>
        <w:t xml:space="preserve">pursuant to </w:t>
      </w:r>
      <w:r w:rsidR="00F23198">
        <w:rPr>
          <w:rFonts w:ascii="Aptos" w:hAnsi="Aptos" w:cs="Times New Roman"/>
          <w:sz w:val="25"/>
          <w:szCs w:val="25"/>
        </w:rPr>
        <w:t xml:space="preserve">the IEP </w:t>
      </w:r>
      <w:r w:rsidR="00D0278D">
        <w:rPr>
          <w:rFonts w:ascii="Aptos" w:hAnsi="Aptos" w:cs="Times New Roman"/>
          <w:sz w:val="25"/>
          <w:szCs w:val="25"/>
        </w:rPr>
        <w:t>he</w:t>
      </w:r>
      <w:r w:rsidR="00F23198">
        <w:rPr>
          <w:rFonts w:ascii="Aptos" w:hAnsi="Aptos" w:cs="Times New Roman"/>
          <w:sz w:val="25"/>
          <w:szCs w:val="25"/>
        </w:rPr>
        <w:t xml:space="preserve"> had had while attending Perkins</w:t>
      </w:r>
      <w:r w:rsidR="00AA106D">
        <w:rPr>
          <w:rFonts w:ascii="Aptos" w:hAnsi="Aptos" w:cs="Times New Roman"/>
          <w:sz w:val="25"/>
          <w:szCs w:val="25"/>
        </w:rPr>
        <w:t>, as modified</w:t>
      </w:r>
      <w:r w:rsidR="00F23198">
        <w:rPr>
          <w:rFonts w:ascii="Aptos" w:hAnsi="Aptos" w:cs="Times New Roman"/>
          <w:sz w:val="25"/>
          <w:szCs w:val="25"/>
        </w:rPr>
        <w:t xml:space="preserve">.  This modified IEP </w:t>
      </w:r>
      <w:r w:rsidR="000C5D21">
        <w:rPr>
          <w:rFonts w:ascii="Aptos" w:hAnsi="Aptos" w:cs="Times New Roman"/>
          <w:sz w:val="25"/>
          <w:szCs w:val="25"/>
        </w:rPr>
        <w:t xml:space="preserve">made adjustments to the service delivery grid, including but not limited to replacing direct services with staff consultation.  </w:t>
      </w:r>
      <w:r w:rsidR="00496F48">
        <w:rPr>
          <w:rFonts w:ascii="Aptos" w:hAnsi="Aptos" w:cs="Times New Roman"/>
          <w:sz w:val="25"/>
          <w:szCs w:val="25"/>
        </w:rPr>
        <w:t xml:space="preserve">Additionally, the District </w:t>
      </w:r>
      <w:r w:rsidR="000C5D21">
        <w:rPr>
          <w:rFonts w:ascii="Aptos" w:hAnsi="Aptos" w:cs="Times New Roman"/>
          <w:sz w:val="25"/>
          <w:szCs w:val="25"/>
        </w:rPr>
        <w:t>proposed to hire a TVI to provide consultative support to Student at Evergreen.  Parent</w:t>
      </w:r>
      <w:r w:rsidR="003D4781">
        <w:rPr>
          <w:rStyle w:val="FootnoteReference"/>
          <w:rFonts w:ascii="Aptos" w:hAnsi="Aptos" w:cs="Times New Roman"/>
          <w:sz w:val="25"/>
          <w:szCs w:val="25"/>
        </w:rPr>
        <w:footnoteReference w:id="3"/>
      </w:r>
      <w:r w:rsidR="000C5D21">
        <w:rPr>
          <w:rFonts w:ascii="Aptos" w:hAnsi="Aptos" w:cs="Times New Roman"/>
          <w:sz w:val="25"/>
          <w:szCs w:val="25"/>
        </w:rPr>
        <w:t xml:space="preserve"> wholly rejected th</w:t>
      </w:r>
      <w:r w:rsidR="0020559B">
        <w:rPr>
          <w:rFonts w:ascii="Aptos" w:hAnsi="Aptos" w:cs="Times New Roman"/>
          <w:sz w:val="25"/>
          <w:szCs w:val="25"/>
        </w:rPr>
        <w:t>e modified</w:t>
      </w:r>
      <w:r w:rsidR="000C5D21">
        <w:rPr>
          <w:rFonts w:ascii="Aptos" w:hAnsi="Aptos" w:cs="Times New Roman"/>
          <w:sz w:val="25"/>
          <w:szCs w:val="25"/>
        </w:rPr>
        <w:t xml:space="preserve"> IEP</w:t>
      </w:r>
      <w:r w:rsidR="00496F48">
        <w:rPr>
          <w:rFonts w:ascii="Aptos" w:hAnsi="Aptos" w:cs="Times New Roman"/>
          <w:sz w:val="25"/>
          <w:szCs w:val="25"/>
        </w:rPr>
        <w:t xml:space="preserve"> </w:t>
      </w:r>
      <w:r w:rsidR="003E24F2">
        <w:rPr>
          <w:rFonts w:ascii="Aptos" w:hAnsi="Aptos" w:cs="Times New Roman"/>
          <w:sz w:val="25"/>
          <w:szCs w:val="25"/>
        </w:rPr>
        <w:t xml:space="preserve">and subsequently filed the underlying </w:t>
      </w:r>
      <w:r w:rsidR="003E24F2">
        <w:rPr>
          <w:rFonts w:ascii="Aptos" w:hAnsi="Aptos" w:cs="Times New Roman"/>
          <w:i/>
          <w:iCs/>
          <w:sz w:val="25"/>
          <w:szCs w:val="25"/>
        </w:rPr>
        <w:t xml:space="preserve">Hearing </w:t>
      </w:r>
      <w:r w:rsidR="003E24F2" w:rsidRPr="003E24F2">
        <w:rPr>
          <w:rFonts w:ascii="Aptos" w:hAnsi="Aptos" w:cs="Times New Roman"/>
          <w:i/>
          <w:iCs/>
          <w:sz w:val="25"/>
          <w:szCs w:val="25"/>
        </w:rPr>
        <w:t>Request</w:t>
      </w:r>
      <w:r w:rsidR="003E24F2">
        <w:rPr>
          <w:rFonts w:ascii="Aptos" w:hAnsi="Aptos" w:cs="Times New Roman"/>
          <w:sz w:val="25"/>
          <w:szCs w:val="25"/>
        </w:rPr>
        <w:t xml:space="preserve">.  Upon learning of Parent’s rejection, Evergreen </w:t>
      </w:r>
      <w:r w:rsidR="000C5D21">
        <w:rPr>
          <w:rFonts w:ascii="Aptos" w:hAnsi="Aptos" w:cs="Times New Roman"/>
          <w:sz w:val="25"/>
          <w:szCs w:val="25"/>
        </w:rPr>
        <w:t>filled Student’s seat</w:t>
      </w:r>
      <w:r w:rsidR="00496F48">
        <w:rPr>
          <w:rFonts w:ascii="Aptos" w:hAnsi="Aptos" w:cs="Times New Roman"/>
          <w:sz w:val="25"/>
          <w:szCs w:val="25"/>
        </w:rPr>
        <w:t xml:space="preserve"> and at no time during the pendency of this matter has </w:t>
      </w:r>
      <w:r w:rsidR="00E82E67">
        <w:rPr>
          <w:rFonts w:ascii="Aptos" w:hAnsi="Aptos" w:cs="Times New Roman"/>
          <w:sz w:val="25"/>
          <w:szCs w:val="25"/>
        </w:rPr>
        <w:t xml:space="preserve">it re-offered Student a placement.  </w:t>
      </w:r>
    </w:p>
    <w:p w14:paraId="50848C3E" w14:textId="77777777" w:rsidR="00EE4401" w:rsidRDefault="00EE4401" w:rsidP="00F23198">
      <w:pPr>
        <w:spacing w:after="0" w:line="240" w:lineRule="auto"/>
        <w:rPr>
          <w:rFonts w:ascii="Aptos" w:hAnsi="Aptos" w:cs="Times New Roman"/>
          <w:sz w:val="25"/>
          <w:szCs w:val="25"/>
        </w:rPr>
      </w:pPr>
    </w:p>
    <w:p w14:paraId="28E9A3DA" w14:textId="60DF4A28" w:rsidR="00392642" w:rsidRDefault="00EE4401" w:rsidP="00392642">
      <w:pPr>
        <w:spacing w:after="0" w:line="240" w:lineRule="auto"/>
        <w:rPr>
          <w:rFonts w:ascii="Aptos" w:hAnsi="Aptos" w:cs="Times New Roman"/>
          <w:sz w:val="25"/>
          <w:szCs w:val="25"/>
        </w:rPr>
      </w:pPr>
      <w:r w:rsidRPr="00392642">
        <w:rPr>
          <w:rFonts w:ascii="Aptos" w:hAnsi="Aptos" w:cs="Times New Roman"/>
          <w:sz w:val="25"/>
          <w:szCs w:val="25"/>
        </w:rPr>
        <w:t>Since Student’s termination from Perkins</w:t>
      </w:r>
      <w:r w:rsidR="00235915" w:rsidRPr="00392642">
        <w:rPr>
          <w:rFonts w:ascii="Aptos" w:hAnsi="Aptos" w:cs="Times New Roman"/>
          <w:sz w:val="25"/>
          <w:szCs w:val="25"/>
        </w:rPr>
        <w:t>,</w:t>
      </w:r>
      <w:r w:rsidRPr="00392642">
        <w:rPr>
          <w:rFonts w:ascii="Aptos" w:hAnsi="Aptos" w:cs="Times New Roman"/>
          <w:sz w:val="25"/>
          <w:szCs w:val="25"/>
        </w:rPr>
        <w:t xml:space="preserve"> he has been at home receiving some but not all of the educational and related services</w:t>
      </w:r>
      <w:r w:rsidR="00EB17B6" w:rsidRPr="00392642">
        <w:rPr>
          <w:rFonts w:ascii="Aptos" w:hAnsi="Aptos" w:cs="Times New Roman"/>
          <w:sz w:val="25"/>
          <w:szCs w:val="25"/>
        </w:rPr>
        <w:t xml:space="preserve"> and supports</w:t>
      </w:r>
      <w:r w:rsidR="008C4D28">
        <w:rPr>
          <w:rFonts w:ascii="Aptos" w:hAnsi="Aptos" w:cs="Times New Roman"/>
          <w:sz w:val="25"/>
          <w:szCs w:val="25"/>
        </w:rPr>
        <w:t xml:space="preserve">: </w:t>
      </w:r>
      <w:r w:rsidR="00C315EA">
        <w:rPr>
          <w:rFonts w:ascii="Aptos" w:hAnsi="Aptos" w:cs="Times New Roman"/>
          <w:sz w:val="25"/>
          <w:szCs w:val="25"/>
        </w:rPr>
        <w:t xml:space="preserve"> </w:t>
      </w:r>
      <w:r w:rsidR="008C4D28">
        <w:rPr>
          <w:rFonts w:ascii="Aptos" w:hAnsi="Aptos" w:cs="Times New Roman"/>
          <w:sz w:val="25"/>
          <w:szCs w:val="25"/>
        </w:rPr>
        <w:t xml:space="preserve">a) as called for by the IEP; and b) as previously provided by </w:t>
      </w:r>
      <w:r w:rsidR="00EB17B6" w:rsidRPr="00392642">
        <w:rPr>
          <w:rFonts w:ascii="Aptos" w:hAnsi="Aptos" w:cs="Times New Roman"/>
          <w:sz w:val="25"/>
          <w:szCs w:val="25"/>
        </w:rPr>
        <w:t>DDS</w:t>
      </w:r>
      <w:r w:rsidR="00C31017">
        <w:rPr>
          <w:rFonts w:ascii="Aptos" w:hAnsi="Aptos" w:cs="Times New Roman"/>
          <w:sz w:val="25"/>
          <w:szCs w:val="25"/>
        </w:rPr>
        <w:t xml:space="preserve">.  He was also </w:t>
      </w:r>
      <w:r w:rsidR="00AC5BD4">
        <w:rPr>
          <w:rFonts w:ascii="Aptos" w:hAnsi="Aptos" w:cs="Times New Roman"/>
          <w:sz w:val="25"/>
          <w:szCs w:val="25"/>
        </w:rPr>
        <w:t>recent</w:t>
      </w:r>
      <w:r w:rsidR="008A688C">
        <w:rPr>
          <w:rFonts w:ascii="Aptos" w:hAnsi="Aptos" w:cs="Times New Roman"/>
          <w:sz w:val="25"/>
          <w:szCs w:val="25"/>
        </w:rPr>
        <w:t>ly found</w:t>
      </w:r>
      <w:r w:rsidR="00B10169">
        <w:rPr>
          <w:rFonts w:ascii="Aptos" w:hAnsi="Aptos" w:cs="Times New Roman"/>
          <w:sz w:val="25"/>
          <w:szCs w:val="25"/>
        </w:rPr>
        <w:t xml:space="preserve"> </w:t>
      </w:r>
      <w:r w:rsidR="009862EE">
        <w:rPr>
          <w:rFonts w:ascii="Aptos" w:hAnsi="Aptos" w:cs="Times New Roman"/>
          <w:sz w:val="25"/>
          <w:szCs w:val="25"/>
        </w:rPr>
        <w:t>eligible</w:t>
      </w:r>
      <w:r w:rsidR="00B10169">
        <w:rPr>
          <w:rFonts w:ascii="Aptos" w:hAnsi="Aptos" w:cs="Times New Roman"/>
          <w:sz w:val="25"/>
          <w:szCs w:val="25"/>
        </w:rPr>
        <w:t xml:space="preserve"> to receive services through a </w:t>
      </w:r>
      <w:r w:rsidR="001318FC">
        <w:rPr>
          <w:rFonts w:ascii="Aptos" w:hAnsi="Aptos" w:cs="Times New Roman"/>
          <w:sz w:val="25"/>
          <w:szCs w:val="25"/>
        </w:rPr>
        <w:t xml:space="preserve">joint </w:t>
      </w:r>
      <w:r w:rsidR="008F1BDC">
        <w:rPr>
          <w:rFonts w:ascii="Aptos" w:hAnsi="Aptos" w:cs="Times New Roman"/>
          <w:sz w:val="25"/>
          <w:szCs w:val="25"/>
        </w:rPr>
        <w:t xml:space="preserve">DESE/DDS </w:t>
      </w:r>
      <w:r w:rsidR="001318FC">
        <w:rPr>
          <w:rFonts w:ascii="Aptos" w:hAnsi="Aptos" w:cs="Times New Roman"/>
          <w:sz w:val="25"/>
          <w:szCs w:val="25"/>
        </w:rPr>
        <w:t>in-home educational services program</w:t>
      </w:r>
      <w:r w:rsidR="00F87F7D">
        <w:rPr>
          <w:rFonts w:ascii="Aptos" w:hAnsi="Aptos" w:cs="Times New Roman"/>
          <w:sz w:val="25"/>
          <w:szCs w:val="25"/>
        </w:rPr>
        <w:t xml:space="preserve"> </w:t>
      </w:r>
      <w:r w:rsidR="00B14AD3">
        <w:rPr>
          <w:rFonts w:ascii="Aptos" w:hAnsi="Aptos" w:cs="Times New Roman"/>
          <w:sz w:val="25"/>
          <w:szCs w:val="25"/>
        </w:rPr>
        <w:t>(</w:t>
      </w:r>
      <w:r w:rsidR="008F1BDC">
        <w:rPr>
          <w:rFonts w:ascii="Aptos" w:hAnsi="Aptos" w:cs="Times New Roman"/>
          <w:sz w:val="25"/>
          <w:szCs w:val="25"/>
        </w:rPr>
        <w:t xml:space="preserve">DESE/DDS Program) </w:t>
      </w:r>
      <w:r w:rsidR="00F87F7D">
        <w:rPr>
          <w:rFonts w:ascii="Aptos" w:hAnsi="Aptos" w:cs="Times New Roman"/>
          <w:sz w:val="25"/>
          <w:szCs w:val="25"/>
        </w:rPr>
        <w:t>consisting of 44 hours of Family Support Navigation for FY 25 and 48 hours for F</w:t>
      </w:r>
      <w:r w:rsidR="007A2EAB">
        <w:rPr>
          <w:rFonts w:ascii="Aptos" w:hAnsi="Aptos" w:cs="Times New Roman"/>
          <w:sz w:val="25"/>
          <w:szCs w:val="25"/>
        </w:rPr>
        <w:t>Y</w:t>
      </w:r>
      <w:r w:rsidR="00F87F7D">
        <w:rPr>
          <w:rFonts w:ascii="Aptos" w:hAnsi="Aptos" w:cs="Times New Roman"/>
          <w:sz w:val="25"/>
          <w:szCs w:val="25"/>
        </w:rPr>
        <w:t xml:space="preserve">26, </w:t>
      </w:r>
      <w:r w:rsidR="00F90E54">
        <w:rPr>
          <w:rFonts w:ascii="Aptos" w:hAnsi="Aptos" w:cs="Times New Roman"/>
          <w:sz w:val="25"/>
          <w:szCs w:val="25"/>
        </w:rPr>
        <w:t xml:space="preserve">as well as </w:t>
      </w:r>
      <w:r w:rsidR="00F87F7D">
        <w:rPr>
          <w:rFonts w:ascii="Aptos" w:hAnsi="Aptos" w:cs="Times New Roman"/>
          <w:sz w:val="25"/>
          <w:szCs w:val="25"/>
        </w:rPr>
        <w:t>$5,000 for D</w:t>
      </w:r>
      <w:r w:rsidR="008F1BDC">
        <w:rPr>
          <w:rFonts w:ascii="Aptos" w:hAnsi="Aptos" w:cs="Times New Roman"/>
          <w:sz w:val="25"/>
          <w:szCs w:val="25"/>
        </w:rPr>
        <w:t>ESE</w:t>
      </w:r>
      <w:r w:rsidR="00F87F7D">
        <w:rPr>
          <w:rFonts w:ascii="Aptos" w:hAnsi="Aptos" w:cs="Times New Roman"/>
          <w:sz w:val="25"/>
          <w:szCs w:val="25"/>
        </w:rPr>
        <w:t>/D</w:t>
      </w:r>
      <w:r w:rsidR="008F1BDC">
        <w:rPr>
          <w:rFonts w:ascii="Aptos" w:hAnsi="Aptos" w:cs="Times New Roman"/>
          <w:sz w:val="25"/>
          <w:szCs w:val="25"/>
        </w:rPr>
        <w:t>DS</w:t>
      </w:r>
      <w:r w:rsidR="00F87F7D">
        <w:rPr>
          <w:rFonts w:ascii="Aptos" w:hAnsi="Aptos" w:cs="Times New Roman"/>
          <w:sz w:val="25"/>
          <w:szCs w:val="25"/>
        </w:rPr>
        <w:t xml:space="preserve"> support services for FY 25 and $10,000 for FY26</w:t>
      </w:r>
      <w:r w:rsidR="00D62FF1">
        <w:rPr>
          <w:rStyle w:val="FootnoteReference"/>
          <w:rFonts w:ascii="Aptos" w:hAnsi="Aptos" w:cs="Times New Roman"/>
          <w:sz w:val="25"/>
          <w:szCs w:val="25"/>
        </w:rPr>
        <w:footnoteReference w:id="4"/>
      </w:r>
      <w:r w:rsidR="00EB17B6" w:rsidRPr="00392642">
        <w:rPr>
          <w:rFonts w:ascii="Aptos" w:hAnsi="Aptos" w:cs="Times New Roman"/>
          <w:sz w:val="25"/>
          <w:szCs w:val="25"/>
        </w:rPr>
        <w:t xml:space="preserve">.  The Parties do not disagree that </w:t>
      </w:r>
      <w:r w:rsidR="00152439" w:rsidRPr="00392642">
        <w:rPr>
          <w:rFonts w:ascii="Aptos" w:hAnsi="Aptos" w:cs="Times New Roman"/>
          <w:sz w:val="25"/>
          <w:szCs w:val="25"/>
        </w:rPr>
        <w:t xml:space="preserve">the services Student has received on an interim basis at home </w:t>
      </w:r>
      <w:r w:rsidR="00DF264E">
        <w:rPr>
          <w:rFonts w:ascii="Aptos" w:hAnsi="Aptos" w:cs="Times New Roman"/>
          <w:sz w:val="25"/>
          <w:szCs w:val="25"/>
        </w:rPr>
        <w:t>do not replicate a school program</w:t>
      </w:r>
      <w:r w:rsidR="00235915" w:rsidRPr="00392642">
        <w:rPr>
          <w:rFonts w:ascii="Aptos" w:hAnsi="Aptos" w:cs="Times New Roman"/>
          <w:sz w:val="25"/>
          <w:szCs w:val="25"/>
        </w:rPr>
        <w:t xml:space="preserve"> </w:t>
      </w:r>
      <w:r w:rsidR="00E8605C">
        <w:rPr>
          <w:rFonts w:ascii="Aptos" w:hAnsi="Aptos" w:cs="Times New Roman"/>
          <w:sz w:val="25"/>
          <w:szCs w:val="25"/>
        </w:rPr>
        <w:t xml:space="preserve">or constitute a free appropriate public education (FAPE).  Thus, </w:t>
      </w:r>
      <w:r w:rsidR="00235915" w:rsidRPr="00392642">
        <w:rPr>
          <w:rFonts w:ascii="Aptos" w:hAnsi="Aptos" w:cs="Times New Roman"/>
          <w:sz w:val="25"/>
          <w:szCs w:val="25"/>
        </w:rPr>
        <w:t xml:space="preserve">they have </w:t>
      </w:r>
      <w:r w:rsidR="00DF264E">
        <w:rPr>
          <w:rFonts w:ascii="Aptos" w:hAnsi="Aptos" w:cs="Times New Roman"/>
          <w:sz w:val="25"/>
          <w:szCs w:val="25"/>
        </w:rPr>
        <w:t xml:space="preserve">continuously </w:t>
      </w:r>
      <w:r w:rsidR="00235915" w:rsidRPr="00392642">
        <w:rPr>
          <w:rFonts w:ascii="Aptos" w:hAnsi="Aptos" w:cs="Times New Roman"/>
          <w:sz w:val="25"/>
          <w:szCs w:val="25"/>
        </w:rPr>
        <w:t>engaged</w:t>
      </w:r>
      <w:r w:rsidR="0041467B">
        <w:rPr>
          <w:rStyle w:val="FootnoteReference"/>
          <w:rFonts w:ascii="Aptos" w:hAnsi="Aptos" w:cs="Times New Roman"/>
          <w:sz w:val="25"/>
          <w:szCs w:val="25"/>
        </w:rPr>
        <w:footnoteReference w:id="5"/>
      </w:r>
      <w:r w:rsidR="00235915" w:rsidRPr="00392642">
        <w:rPr>
          <w:rFonts w:ascii="Aptos" w:hAnsi="Aptos" w:cs="Times New Roman"/>
          <w:sz w:val="25"/>
          <w:szCs w:val="25"/>
        </w:rPr>
        <w:t xml:space="preserve"> in an expansive search to locate a new residential educational program for Student</w:t>
      </w:r>
      <w:r w:rsidR="00556E6F">
        <w:rPr>
          <w:rFonts w:ascii="Aptos" w:hAnsi="Aptos" w:cs="Times New Roman"/>
          <w:sz w:val="25"/>
          <w:szCs w:val="25"/>
        </w:rPr>
        <w:t>, or,</w:t>
      </w:r>
      <w:r w:rsidR="006F57E2">
        <w:rPr>
          <w:rFonts w:ascii="Aptos" w:hAnsi="Aptos" w:cs="Times New Roman"/>
          <w:sz w:val="25"/>
          <w:szCs w:val="25"/>
        </w:rPr>
        <w:t xml:space="preserve"> </w:t>
      </w:r>
      <w:r w:rsidR="00556E6F">
        <w:rPr>
          <w:rFonts w:ascii="Aptos" w:hAnsi="Aptos" w:cs="Times New Roman"/>
          <w:sz w:val="25"/>
          <w:szCs w:val="25"/>
        </w:rPr>
        <w:t xml:space="preserve">on an interim basis, </w:t>
      </w:r>
      <w:r w:rsidR="00011766">
        <w:rPr>
          <w:rFonts w:ascii="Aptos" w:hAnsi="Aptos" w:cs="Times New Roman"/>
          <w:sz w:val="25"/>
          <w:szCs w:val="25"/>
        </w:rPr>
        <w:t xml:space="preserve">an </w:t>
      </w:r>
      <w:r w:rsidR="00556E6F">
        <w:rPr>
          <w:rFonts w:ascii="Aptos" w:hAnsi="Aptos" w:cs="Times New Roman"/>
          <w:sz w:val="25"/>
          <w:szCs w:val="25"/>
        </w:rPr>
        <w:t>out of district day program for Student</w:t>
      </w:r>
      <w:r w:rsidR="00DF264E">
        <w:rPr>
          <w:rFonts w:ascii="Aptos" w:hAnsi="Aptos" w:cs="Times New Roman"/>
          <w:sz w:val="25"/>
          <w:szCs w:val="25"/>
        </w:rPr>
        <w:t xml:space="preserve"> </w:t>
      </w:r>
      <w:r w:rsidR="003353CE">
        <w:rPr>
          <w:rFonts w:ascii="Aptos" w:hAnsi="Aptos" w:cs="Times New Roman"/>
          <w:sz w:val="25"/>
          <w:szCs w:val="25"/>
        </w:rPr>
        <w:t xml:space="preserve">throughout </w:t>
      </w:r>
      <w:r w:rsidR="00DF264E">
        <w:rPr>
          <w:rFonts w:ascii="Aptos" w:hAnsi="Aptos" w:cs="Times New Roman"/>
          <w:sz w:val="25"/>
          <w:szCs w:val="25"/>
        </w:rPr>
        <w:t>the pendency of this matter</w:t>
      </w:r>
      <w:r w:rsidR="00011766">
        <w:rPr>
          <w:rFonts w:ascii="Aptos" w:hAnsi="Aptos" w:cs="Times New Roman"/>
          <w:sz w:val="25"/>
          <w:szCs w:val="25"/>
        </w:rPr>
        <w:t>.</w:t>
      </w:r>
      <w:r w:rsidR="00F0165D">
        <w:rPr>
          <w:rFonts w:ascii="Aptos" w:hAnsi="Aptos" w:cs="Times New Roman"/>
          <w:sz w:val="25"/>
          <w:szCs w:val="25"/>
        </w:rPr>
        <w:t xml:space="preserve">  Additionally, the Parties </w:t>
      </w:r>
      <w:r w:rsidR="003353CE">
        <w:rPr>
          <w:rFonts w:ascii="Aptos" w:hAnsi="Aptos" w:cs="Times New Roman"/>
          <w:sz w:val="25"/>
          <w:szCs w:val="25"/>
        </w:rPr>
        <w:t xml:space="preserve">explored </w:t>
      </w:r>
      <w:r w:rsidR="00C674FF">
        <w:rPr>
          <w:rFonts w:ascii="Aptos" w:hAnsi="Aptos" w:cs="Times New Roman"/>
          <w:sz w:val="25"/>
          <w:szCs w:val="25"/>
        </w:rPr>
        <w:t xml:space="preserve">options to obtain assistance from other agencies in identifying a new school placement, including pursuing the </w:t>
      </w:r>
      <w:r w:rsidR="001429A2">
        <w:rPr>
          <w:rFonts w:ascii="Aptos" w:hAnsi="Aptos" w:cs="Times New Roman"/>
          <w:sz w:val="25"/>
          <w:szCs w:val="25"/>
        </w:rPr>
        <w:t>Interagency Review Team for Complex Cases</w:t>
      </w:r>
      <w:r w:rsidR="00CC2D3F">
        <w:rPr>
          <w:rFonts w:ascii="Aptos" w:hAnsi="Aptos" w:cs="Times New Roman"/>
          <w:sz w:val="25"/>
          <w:szCs w:val="25"/>
        </w:rPr>
        <w:t xml:space="preserve"> (“IRT”)</w:t>
      </w:r>
      <w:r w:rsidR="00013D11">
        <w:rPr>
          <w:rFonts w:ascii="Aptos" w:hAnsi="Aptos" w:cs="Times New Roman"/>
          <w:sz w:val="25"/>
          <w:szCs w:val="25"/>
        </w:rPr>
        <w:t xml:space="preserve"> </w:t>
      </w:r>
      <w:r w:rsidR="00C674FF">
        <w:rPr>
          <w:rFonts w:ascii="Aptos" w:hAnsi="Aptos" w:cs="Times New Roman"/>
          <w:sz w:val="25"/>
          <w:szCs w:val="25"/>
        </w:rPr>
        <w:t xml:space="preserve">process </w:t>
      </w:r>
      <w:r w:rsidR="00013D11">
        <w:rPr>
          <w:rFonts w:ascii="Aptos" w:hAnsi="Aptos" w:cs="Times New Roman"/>
          <w:sz w:val="25"/>
          <w:szCs w:val="25"/>
        </w:rPr>
        <w:t xml:space="preserve">from </w:t>
      </w:r>
      <w:r w:rsidR="001429A2">
        <w:rPr>
          <w:rFonts w:ascii="Aptos" w:hAnsi="Aptos" w:cs="Times New Roman"/>
          <w:sz w:val="25"/>
          <w:szCs w:val="25"/>
        </w:rPr>
        <w:t xml:space="preserve">the </w:t>
      </w:r>
      <w:r w:rsidR="00013D11">
        <w:rPr>
          <w:rFonts w:ascii="Aptos" w:hAnsi="Aptos" w:cs="Times New Roman"/>
          <w:sz w:val="25"/>
          <w:szCs w:val="25"/>
        </w:rPr>
        <w:t xml:space="preserve">Executive Office of Health and Human Services </w:t>
      </w:r>
      <w:r w:rsidR="00DF6FF6">
        <w:rPr>
          <w:rFonts w:ascii="Aptos" w:hAnsi="Aptos" w:cs="Times New Roman"/>
          <w:sz w:val="25"/>
          <w:szCs w:val="25"/>
        </w:rPr>
        <w:t xml:space="preserve">(EOHHS) </w:t>
      </w:r>
      <w:r w:rsidR="00CC2D3F">
        <w:rPr>
          <w:rFonts w:ascii="Aptos" w:hAnsi="Aptos" w:cs="Times New Roman"/>
          <w:sz w:val="25"/>
          <w:szCs w:val="25"/>
        </w:rPr>
        <w:t xml:space="preserve">pursuant to </w:t>
      </w:r>
      <w:r w:rsidR="00A64565">
        <w:rPr>
          <w:rFonts w:cs="Tahoma"/>
        </w:rPr>
        <w:t>101 CMR 27.01</w:t>
      </w:r>
      <w:r w:rsidR="008C4D28">
        <w:rPr>
          <w:rFonts w:cs="Tahoma"/>
        </w:rPr>
        <w:t>,</w:t>
      </w:r>
      <w:r w:rsidR="00CC2D3F">
        <w:rPr>
          <w:rFonts w:ascii="Aptos" w:hAnsi="Aptos" w:cs="Times New Roman"/>
          <w:sz w:val="25"/>
          <w:szCs w:val="25"/>
        </w:rPr>
        <w:t xml:space="preserve"> </w:t>
      </w:r>
      <w:r w:rsidR="001429A2">
        <w:rPr>
          <w:rFonts w:ascii="Aptos" w:hAnsi="Aptos" w:cs="Times New Roman"/>
          <w:sz w:val="25"/>
          <w:szCs w:val="25"/>
        </w:rPr>
        <w:t>and pursu</w:t>
      </w:r>
      <w:r w:rsidR="00C674FF">
        <w:rPr>
          <w:rFonts w:ascii="Aptos" w:hAnsi="Aptos" w:cs="Times New Roman"/>
          <w:sz w:val="25"/>
          <w:szCs w:val="25"/>
        </w:rPr>
        <w:t>ing</w:t>
      </w:r>
      <w:r w:rsidR="001429A2">
        <w:rPr>
          <w:rFonts w:ascii="Aptos" w:hAnsi="Aptos" w:cs="Times New Roman"/>
          <w:sz w:val="25"/>
          <w:szCs w:val="25"/>
        </w:rPr>
        <w:t xml:space="preserve"> </w:t>
      </w:r>
      <w:r w:rsidR="00CC2D3F">
        <w:rPr>
          <w:rFonts w:ascii="Aptos" w:hAnsi="Aptos" w:cs="Times New Roman"/>
          <w:sz w:val="25"/>
          <w:szCs w:val="25"/>
        </w:rPr>
        <w:t>placement at non-approved programs with the assistance of DESE</w:t>
      </w:r>
      <w:r w:rsidR="008C4D28">
        <w:rPr>
          <w:rFonts w:ascii="Aptos" w:hAnsi="Aptos" w:cs="Times New Roman"/>
          <w:sz w:val="25"/>
          <w:szCs w:val="25"/>
        </w:rPr>
        <w:t>,</w:t>
      </w:r>
      <w:r w:rsidR="00CC2D3F">
        <w:rPr>
          <w:rFonts w:ascii="Aptos" w:hAnsi="Aptos" w:cs="Times New Roman"/>
          <w:sz w:val="25"/>
          <w:szCs w:val="25"/>
        </w:rPr>
        <w:t xml:space="preserve"> pursuant to </w:t>
      </w:r>
      <w:r w:rsidR="000A5A2B">
        <w:rPr>
          <w:rFonts w:ascii="Aptos" w:hAnsi="Aptos" w:cs="Times New Roman"/>
          <w:sz w:val="25"/>
          <w:szCs w:val="25"/>
        </w:rPr>
        <w:t>603 CMR 28.06</w:t>
      </w:r>
      <w:r w:rsidR="004B0931">
        <w:rPr>
          <w:rFonts w:ascii="Aptos" w:hAnsi="Aptos" w:cs="Times New Roman"/>
          <w:sz w:val="25"/>
          <w:szCs w:val="25"/>
        </w:rPr>
        <w:t>(3)</w:t>
      </w:r>
      <w:r w:rsidR="000A5A2B">
        <w:rPr>
          <w:rFonts w:ascii="Aptos" w:hAnsi="Aptos" w:cs="Times New Roman"/>
          <w:sz w:val="25"/>
          <w:szCs w:val="25"/>
        </w:rPr>
        <w:t>(e)</w:t>
      </w:r>
      <w:r w:rsidR="00CC2D3F">
        <w:rPr>
          <w:rFonts w:ascii="Aptos" w:hAnsi="Aptos" w:cs="Times New Roman"/>
          <w:sz w:val="25"/>
          <w:szCs w:val="25"/>
        </w:rPr>
        <w:t>.</w:t>
      </w:r>
    </w:p>
    <w:p w14:paraId="09E56010" w14:textId="77777777" w:rsidR="007D14AF" w:rsidRDefault="007D14AF" w:rsidP="00392642">
      <w:pPr>
        <w:spacing w:after="0" w:line="240" w:lineRule="auto"/>
        <w:rPr>
          <w:rFonts w:ascii="Aptos" w:hAnsi="Aptos" w:cs="Times New Roman"/>
          <w:sz w:val="25"/>
          <w:szCs w:val="25"/>
        </w:rPr>
      </w:pPr>
    </w:p>
    <w:p w14:paraId="3B1E757D" w14:textId="6F318D30" w:rsidR="00F83D0E" w:rsidRDefault="00CB2295" w:rsidP="00392642">
      <w:pPr>
        <w:spacing w:after="0" w:line="240" w:lineRule="auto"/>
        <w:rPr>
          <w:rFonts w:ascii="Aptos" w:hAnsi="Aptos" w:cs="Times New Roman"/>
          <w:sz w:val="25"/>
          <w:szCs w:val="25"/>
        </w:rPr>
      </w:pPr>
      <w:r>
        <w:rPr>
          <w:rFonts w:ascii="Aptos" w:hAnsi="Aptos" w:cs="Times New Roman"/>
          <w:sz w:val="25"/>
          <w:szCs w:val="25"/>
        </w:rPr>
        <w:t>According to written status reports filed by the District on February 14</w:t>
      </w:r>
      <w:r w:rsidR="00A64565">
        <w:rPr>
          <w:rFonts w:ascii="Aptos" w:hAnsi="Aptos" w:cs="Times New Roman"/>
          <w:sz w:val="25"/>
          <w:szCs w:val="25"/>
        </w:rPr>
        <w:t xml:space="preserve"> and 27</w:t>
      </w:r>
      <w:r>
        <w:rPr>
          <w:rFonts w:ascii="Aptos" w:hAnsi="Aptos" w:cs="Times New Roman"/>
          <w:sz w:val="25"/>
          <w:szCs w:val="25"/>
        </w:rPr>
        <w:t xml:space="preserve"> </w:t>
      </w:r>
      <w:r w:rsidR="00A64565">
        <w:rPr>
          <w:rFonts w:ascii="Aptos" w:hAnsi="Aptos" w:cs="Times New Roman"/>
          <w:sz w:val="25"/>
          <w:szCs w:val="25"/>
        </w:rPr>
        <w:t xml:space="preserve">and </w:t>
      </w:r>
      <w:r w:rsidR="00874899">
        <w:rPr>
          <w:rFonts w:ascii="Aptos" w:hAnsi="Aptos" w:cs="Times New Roman"/>
          <w:sz w:val="25"/>
          <w:szCs w:val="25"/>
        </w:rPr>
        <w:t xml:space="preserve">March 4, </w:t>
      </w:r>
      <w:r w:rsidR="00A64565">
        <w:rPr>
          <w:rFonts w:ascii="Aptos" w:hAnsi="Aptos" w:cs="Times New Roman"/>
          <w:sz w:val="25"/>
          <w:szCs w:val="25"/>
        </w:rPr>
        <w:t>10, and 17,</w:t>
      </w:r>
      <w:r w:rsidR="00874899">
        <w:rPr>
          <w:rFonts w:ascii="Aptos" w:hAnsi="Aptos" w:cs="Times New Roman"/>
          <w:sz w:val="25"/>
          <w:szCs w:val="25"/>
        </w:rPr>
        <w:t>2025</w:t>
      </w:r>
      <w:r w:rsidR="00A64565">
        <w:rPr>
          <w:rFonts w:ascii="Aptos" w:hAnsi="Aptos" w:cs="Times New Roman"/>
          <w:sz w:val="25"/>
          <w:szCs w:val="25"/>
        </w:rPr>
        <w:t xml:space="preserve"> and by</w:t>
      </w:r>
      <w:r w:rsidR="00874899">
        <w:rPr>
          <w:rFonts w:ascii="Aptos" w:hAnsi="Aptos" w:cs="Times New Roman"/>
          <w:sz w:val="25"/>
          <w:szCs w:val="25"/>
        </w:rPr>
        <w:t xml:space="preserve"> Parent on February 28, </w:t>
      </w:r>
      <w:r w:rsidR="00487B0F">
        <w:rPr>
          <w:rFonts w:ascii="Aptos" w:hAnsi="Aptos" w:cs="Times New Roman"/>
          <w:sz w:val="25"/>
          <w:szCs w:val="25"/>
        </w:rPr>
        <w:t xml:space="preserve">and </w:t>
      </w:r>
      <w:r w:rsidR="00874899">
        <w:rPr>
          <w:rFonts w:ascii="Aptos" w:hAnsi="Aptos" w:cs="Times New Roman"/>
          <w:sz w:val="25"/>
          <w:szCs w:val="25"/>
        </w:rPr>
        <w:t>March 7</w:t>
      </w:r>
      <w:r w:rsidR="00FC0D91">
        <w:rPr>
          <w:rFonts w:ascii="Aptos" w:hAnsi="Aptos" w:cs="Times New Roman"/>
          <w:sz w:val="25"/>
          <w:szCs w:val="25"/>
        </w:rPr>
        <w:t xml:space="preserve">, </w:t>
      </w:r>
      <w:r w:rsidR="00487B0F">
        <w:rPr>
          <w:rFonts w:ascii="Aptos" w:hAnsi="Aptos" w:cs="Times New Roman"/>
          <w:sz w:val="25"/>
          <w:szCs w:val="25"/>
        </w:rPr>
        <w:t>12</w:t>
      </w:r>
      <w:r w:rsidR="00874899">
        <w:rPr>
          <w:rFonts w:ascii="Aptos" w:hAnsi="Aptos" w:cs="Times New Roman"/>
          <w:sz w:val="25"/>
          <w:szCs w:val="25"/>
        </w:rPr>
        <w:t>,</w:t>
      </w:r>
      <w:r w:rsidR="00FC0D91">
        <w:rPr>
          <w:rFonts w:ascii="Aptos" w:hAnsi="Aptos" w:cs="Times New Roman"/>
          <w:sz w:val="25"/>
          <w:szCs w:val="25"/>
        </w:rPr>
        <w:t xml:space="preserve"> and 19, 2025, </w:t>
      </w:r>
      <w:r w:rsidR="00874899">
        <w:rPr>
          <w:rFonts w:ascii="Aptos" w:hAnsi="Aptos" w:cs="Times New Roman"/>
          <w:sz w:val="25"/>
          <w:szCs w:val="25"/>
        </w:rPr>
        <w:t xml:space="preserve"> </w:t>
      </w:r>
      <w:r w:rsidR="00A53426">
        <w:rPr>
          <w:rFonts w:ascii="Aptos" w:hAnsi="Aptos" w:cs="Times New Roman"/>
          <w:sz w:val="25"/>
          <w:szCs w:val="25"/>
        </w:rPr>
        <w:t>Student has recently been accepted to the BICO Collaborative program</w:t>
      </w:r>
      <w:r w:rsidR="000440DD">
        <w:rPr>
          <w:rFonts w:ascii="Aptos" w:hAnsi="Aptos" w:cs="Times New Roman"/>
          <w:sz w:val="25"/>
          <w:szCs w:val="25"/>
        </w:rPr>
        <w:t xml:space="preserve"> (BICO)</w:t>
      </w:r>
      <w:r w:rsidR="00A53426">
        <w:rPr>
          <w:rFonts w:ascii="Aptos" w:hAnsi="Aptos" w:cs="Times New Roman"/>
          <w:sz w:val="25"/>
          <w:szCs w:val="25"/>
        </w:rPr>
        <w:t xml:space="preserve">, </w:t>
      </w:r>
      <w:r w:rsidR="00D43206">
        <w:rPr>
          <w:rFonts w:ascii="Aptos" w:hAnsi="Aptos" w:cs="Times New Roman"/>
          <w:sz w:val="25"/>
          <w:szCs w:val="25"/>
        </w:rPr>
        <w:t>on an interim day basis, and to the residential educational program at Crotched Mountain School (Crotched Mountain)</w:t>
      </w:r>
      <w:r w:rsidR="00E423BE">
        <w:rPr>
          <w:rFonts w:ascii="Aptos" w:hAnsi="Aptos" w:cs="Times New Roman"/>
          <w:sz w:val="25"/>
          <w:szCs w:val="25"/>
        </w:rPr>
        <w:t xml:space="preserve">.  Additionally, </w:t>
      </w:r>
      <w:r w:rsidR="006F7201">
        <w:rPr>
          <w:rFonts w:ascii="Aptos" w:hAnsi="Aptos" w:cs="Times New Roman"/>
          <w:sz w:val="25"/>
          <w:szCs w:val="25"/>
        </w:rPr>
        <w:t xml:space="preserve">Parent is scheduled to tour </w:t>
      </w:r>
      <w:r w:rsidR="00E423BE">
        <w:rPr>
          <w:rFonts w:ascii="Aptos" w:hAnsi="Aptos" w:cs="Times New Roman"/>
          <w:sz w:val="25"/>
          <w:szCs w:val="25"/>
        </w:rPr>
        <w:t xml:space="preserve">a second potential approved private day school program </w:t>
      </w:r>
      <w:r w:rsidR="006F7201">
        <w:rPr>
          <w:rFonts w:ascii="Aptos" w:hAnsi="Aptos" w:cs="Times New Roman"/>
          <w:sz w:val="25"/>
          <w:szCs w:val="25"/>
        </w:rPr>
        <w:t xml:space="preserve">on March 21, 2025 and a second potential approved residential program has offered Parent two virtual intake sessions, </w:t>
      </w:r>
      <w:r w:rsidR="00F83D0E">
        <w:rPr>
          <w:rFonts w:ascii="Aptos" w:hAnsi="Aptos" w:cs="Times New Roman"/>
          <w:sz w:val="25"/>
          <w:szCs w:val="25"/>
        </w:rPr>
        <w:t xml:space="preserve">that </w:t>
      </w:r>
      <w:r w:rsidR="00FC0D91">
        <w:rPr>
          <w:rFonts w:ascii="Aptos" w:hAnsi="Aptos" w:cs="Times New Roman"/>
          <w:sz w:val="25"/>
          <w:szCs w:val="25"/>
        </w:rPr>
        <w:t xml:space="preserve">did not </w:t>
      </w:r>
      <w:r w:rsidR="00F83D0E">
        <w:rPr>
          <w:rFonts w:ascii="Aptos" w:hAnsi="Aptos" w:cs="Times New Roman"/>
          <w:sz w:val="25"/>
          <w:szCs w:val="25"/>
        </w:rPr>
        <w:t>attend</w:t>
      </w:r>
      <w:r w:rsidR="00FC0D91">
        <w:rPr>
          <w:rStyle w:val="FootnoteReference"/>
          <w:rFonts w:ascii="Aptos" w:hAnsi="Aptos" w:cs="Times New Roman"/>
          <w:sz w:val="25"/>
          <w:szCs w:val="25"/>
        </w:rPr>
        <w:footnoteReference w:id="6"/>
      </w:r>
      <w:r w:rsidR="00382F37">
        <w:rPr>
          <w:rFonts w:ascii="Aptos" w:hAnsi="Aptos" w:cs="Times New Roman"/>
          <w:sz w:val="25"/>
          <w:szCs w:val="25"/>
        </w:rPr>
        <w:t>.  T</w:t>
      </w:r>
      <w:r w:rsidR="00F83D0E">
        <w:rPr>
          <w:rFonts w:ascii="Aptos" w:hAnsi="Aptos" w:cs="Times New Roman"/>
          <w:sz w:val="25"/>
          <w:szCs w:val="25"/>
        </w:rPr>
        <w:t xml:space="preserve">he District is working to reschedule a third session, if possible.  No other interim day or residential program referrals remain open at this time.  </w:t>
      </w:r>
      <w:r w:rsidR="006477B9">
        <w:rPr>
          <w:rFonts w:ascii="Aptos" w:hAnsi="Aptos" w:cs="Times New Roman"/>
          <w:sz w:val="25"/>
          <w:szCs w:val="25"/>
        </w:rPr>
        <w:t>Further, EOHHS declined to pursue the IRT process with the Parties in light of the pending matter, however they offered Parent support to ensure Student was connected with all available state agency services.  Further, g</w:t>
      </w:r>
      <w:r w:rsidR="0040594F">
        <w:rPr>
          <w:rFonts w:ascii="Aptos" w:hAnsi="Aptos" w:cs="Times New Roman"/>
          <w:sz w:val="25"/>
          <w:szCs w:val="25"/>
        </w:rPr>
        <w:t xml:space="preserve">iven </w:t>
      </w:r>
      <w:r w:rsidR="00F22CC0">
        <w:rPr>
          <w:rFonts w:ascii="Aptos" w:hAnsi="Aptos" w:cs="Times New Roman"/>
          <w:sz w:val="25"/>
          <w:szCs w:val="25"/>
        </w:rPr>
        <w:t xml:space="preserve">the pending day and residential program </w:t>
      </w:r>
      <w:r w:rsidR="006477B9">
        <w:rPr>
          <w:rFonts w:ascii="Aptos" w:hAnsi="Aptos" w:cs="Times New Roman"/>
          <w:sz w:val="25"/>
          <w:szCs w:val="25"/>
        </w:rPr>
        <w:t>offers and open referrals</w:t>
      </w:r>
      <w:r w:rsidR="0040594F">
        <w:rPr>
          <w:rFonts w:ascii="Aptos" w:hAnsi="Aptos" w:cs="Times New Roman"/>
          <w:sz w:val="25"/>
          <w:szCs w:val="25"/>
        </w:rPr>
        <w:t xml:space="preserve">, </w:t>
      </w:r>
      <w:r w:rsidR="0040594F">
        <w:t xml:space="preserve">the prerequisites to pursuing non-approved programs with the assistance of DESE </w:t>
      </w:r>
      <w:r w:rsidR="0076695E">
        <w:t xml:space="preserve">under </w:t>
      </w:r>
      <w:r w:rsidR="008D0729">
        <w:t>603 CMR 28.06</w:t>
      </w:r>
      <w:r w:rsidR="004B0931">
        <w:t>(3)</w:t>
      </w:r>
      <w:r w:rsidR="000A5A2B">
        <w:t>(e</w:t>
      </w:r>
      <w:r w:rsidR="004B0931">
        <w:t>)</w:t>
      </w:r>
      <w:r w:rsidR="00E90207">
        <w:rPr>
          <w:rStyle w:val="FootnoteReference"/>
        </w:rPr>
        <w:footnoteReference w:id="7"/>
      </w:r>
      <w:r w:rsidR="0076695E" w:rsidRPr="0076695E">
        <w:t xml:space="preserve"> </w:t>
      </w:r>
      <w:r w:rsidR="0076695E">
        <w:t>are not met</w:t>
      </w:r>
      <w:r w:rsidR="0040594F">
        <w:t>.</w:t>
      </w:r>
    </w:p>
    <w:p w14:paraId="00E4F4EB" w14:textId="77777777" w:rsidR="00F83D0E" w:rsidRDefault="00F83D0E" w:rsidP="00392642">
      <w:pPr>
        <w:spacing w:after="0" w:line="240" w:lineRule="auto"/>
        <w:rPr>
          <w:rFonts w:ascii="Aptos" w:hAnsi="Aptos" w:cs="Times New Roman"/>
          <w:sz w:val="25"/>
          <w:szCs w:val="25"/>
        </w:rPr>
      </w:pPr>
    </w:p>
    <w:p w14:paraId="57DBA837" w14:textId="49866D6C" w:rsidR="00F83D0E" w:rsidRDefault="00E05AC4" w:rsidP="00392642">
      <w:pPr>
        <w:spacing w:after="0" w:line="240" w:lineRule="auto"/>
        <w:rPr>
          <w:rFonts w:ascii="Aptos" w:hAnsi="Aptos" w:cs="Times New Roman"/>
          <w:sz w:val="25"/>
          <w:szCs w:val="25"/>
        </w:rPr>
      </w:pPr>
      <w:r>
        <w:rPr>
          <w:rFonts w:ascii="Aptos" w:hAnsi="Aptos" w:cs="Times New Roman"/>
          <w:sz w:val="25"/>
          <w:szCs w:val="25"/>
        </w:rPr>
        <w:lastRenderedPageBreak/>
        <w:t>In March 2025</w:t>
      </w:r>
      <w:r w:rsidR="00CC4233">
        <w:rPr>
          <w:rFonts w:ascii="Aptos" w:hAnsi="Aptos" w:cs="Times New Roman"/>
          <w:sz w:val="25"/>
          <w:szCs w:val="25"/>
        </w:rPr>
        <w:t>,</w:t>
      </w:r>
      <w:r>
        <w:rPr>
          <w:rFonts w:ascii="Aptos" w:hAnsi="Aptos" w:cs="Times New Roman"/>
          <w:sz w:val="25"/>
          <w:szCs w:val="25"/>
        </w:rPr>
        <w:t xml:space="preserve"> </w:t>
      </w:r>
      <w:r w:rsidR="00F83D0E" w:rsidRPr="00843752">
        <w:rPr>
          <w:rFonts w:ascii="Aptos" w:hAnsi="Aptos" w:cs="Times New Roman"/>
          <w:sz w:val="25"/>
          <w:szCs w:val="25"/>
        </w:rPr>
        <w:t xml:space="preserve">Parent conditionally accepted placement at BICO on an interim day basis, although the Parties dispute if Parent’s conditions are </w:t>
      </w:r>
      <w:r w:rsidR="00D00D1A" w:rsidRPr="00843752">
        <w:rPr>
          <w:rFonts w:ascii="Aptos" w:hAnsi="Aptos" w:cs="Times New Roman"/>
          <w:sz w:val="25"/>
          <w:szCs w:val="25"/>
        </w:rPr>
        <w:t>appropriate or necessary</w:t>
      </w:r>
      <w:r w:rsidR="00C447AA">
        <w:rPr>
          <w:rFonts w:ascii="Aptos" w:hAnsi="Aptos" w:cs="Times New Roman"/>
          <w:sz w:val="25"/>
          <w:szCs w:val="25"/>
        </w:rPr>
        <w:t>,</w:t>
      </w:r>
      <w:r w:rsidR="004A2D13">
        <w:rPr>
          <w:rFonts w:ascii="Aptos" w:hAnsi="Aptos" w:cs="Times New Roman"/>
          <w:sz w:val="25"/>
          <w:szCs w:val="25"/>
        </w:rPr>
        <w:t xml:space="preserve"> and Student has not yet begun attending BICO.  </w:t>
      </w:r>
      <w:r w:rsidR="00C447AA">
        <w:rPr>
          <w:rFonts w:ascii="Aptos" w:hAnsi="Aptos" w:cs="Times New Roman"/>
          <w:sz w:val="25"/>
          <w:szCs w:val="25"/>
        </w:rPr>
        <w:t xml:space="preserve">Parent also </w:t>
      </w:r>
      <w:r w:rsidR="0027424F">
        <w:rPr>
          <w:rFonts w:ascii="Aptos" w:hAnsi="Aptos" w:cs="Times New Roman"/>
          <w:sz w:val="25"/>
          <w:szCs w:val="25"/>
        </w:rPr>
        <w:t xml:space="preserve">shared </w:t>
      </w:r>
      <w:r w:rsidR="00D00D1A" w:rsidRPr="00843752">
        <w:rPr>
          <w:rFonts w:ascii="Aptos" w:hAnsi="Aptos" w:cs="Times New Roman"/>
          <w:sz w:val="25"/>
          <w:szCs w:val="25"/>
        </w:rPr>
        <w:t xml:space="preserve">concerns and conditions </w:t>
      </w:r>
      <w:r w:rsidR="004B5E88">
        <w:rPr>
          <w:rFonts w:ascii="Aptos" w:hAnsi="Aptos" w:cs="Times New Roman"/>
          <w:sz w:val="25"/>
          <w:szCs w:val="25"/>
        </w:rPr>
        <w:t xml:space="preserve">to accept </w:t>
      </w:r>
      <w:r w:rsidR="00D00D1A" w:rsidRPr="00843752">
        <w:rPr>
          <w:rFonts w:ascii="Aptos" w:hAnsi="Aptos" w:cs="Times New Roman"/>
          <w:sz w:val="25"/>
          <w:szCs w:val="25"/>
        </w:rPr>
        <w:t>Crotched Mou</w:t>
      </w:r>
      <w:r w:rsidR="000440DD" w:rsidRPr="00843752">
        <w:rPr>
          <w:rFonts w:ascii="Aptos" w:hAnsi="Aptos" w:cs="Times New Roman"/>
          <w:sz w:val="25"/>
          <w:szCs w:val="25"/>
        </w:rPr>
        <w:t>n</w:t>
      </w:r>
      <w:r w:rsidR="00D00D1A" w:rsidRPr="00843752">
        <w:rPr>
          <w:rFonts w:ascii="Aptos" w:hAnsi="Aptos" w:cs="Times New Roman"/>
          <w:sz w:val="25"/>
          <w:szCs w:val="25"/>
        </w:rPr>
        <w:t>tain</w:t>
      </w:r>
      <w:r w:rsidR="0027424F">
        <w:rPr>
          <w:rFonts w:ascii="Aptos" w:hAnsi="Aptos" w:cs="Times New Roman"/>
          <w:sz w:val="25"/>
          <w:szCs w:val="25"/>
        </w:rPr>
        <w:t xml:space="preserve"> that</w:t>
      </w:r>
      <w:r w:rsidR="00966F65">
        <w:rPr>
          <w:rFonts w:ascii="Aptos" w:hAnsi="Aptos" w:cs="Times New Roman"/>
          <w:sz w:val="25"/>
          <w:szCs w:val="25"/>
        </w:rPr>
        <w:t xml:space="preserve"> the Parties attempted to resolve, despite also disputing their </w:t>
      </w:r>
      <w:r w:rsidR="0027424F">
        <w:rPr>
          <w:rFonts w:ascii="Aptos" w:hAnsi="Aptos" w:cs="Times New Roman"/>
          <w:sz w:val="25"/>
          <w:szCs w:val="25"/>
        </w:rPr>
        <w:t>appropriat</w:t>
      </w:r>
      <w:r w:rsidR="002723E9">
        <w:rPr>
          <w:rFonts w:ascii="Aptos" w:hAnsi="Aptos" w:cs="Times New Roman"/>
          <w:sz w:val="25"/>
          <w:szCs w:val="25"/>
        </w:rPr>
        <w:t>eness</w:t>
      </w:r>
      <w:r w:rsidR="00966F65">
        <w:rPr>
          <w:rFonts w:ascii="Aptos" w:hAnsi="Aptos" w:cs="Times New Roman"/>
          <w:sz w:val="25"/>
          <w:szCs w:val="25"/>
        </w:rPr>
        <w:t>.  However, a</w:t>
      </w:r>
      <w:r w:rsidR="00CD2F26" w:rsidRPr="00843752">
        <w:rPr>
          <w:rFonts w:ascii="Aptos" w:hAnsi="Aptos" w:cs="Times New Roman"/>
          <w:sz w:val="25"/>
          <w:szCs w:val="25"/>
        </w:rPr>
        <w:t xml:space="preserve">ccording to the District, </w:t>
      </w:r>
      <w:r w:rsidR="007A2B5C">
        <w:rPr>
          <w:rFonts w:ascii="Aptos" w:hAnsi="Aptos" w:cs="Times New Roman"/>
          <w:sz w:val="25"/>
          <w:szCs w:val="25"/>
        </w:rPr>
        <w:t xml:space="preserve">on or about March 14, 2025, </w:t>
      </w:r>
      <w:r w:rsidR="00CD2F26" w:rsidRPr="00843752">
        <w:rPr>
          <w:rFonts w:ascii="Aptos" w:hAnsi="Aptos" w:cs="Times New Roman"/>
          <w:sz w:val="25"/>
          <w:szCs w:val="25"/>
        </w:rPr>
        <w:t xml:space="preserve">Parent </w:t>
      </w:r>
      <w:r w:rsidR="00124DDB">
        <w:rPr>
          <w:rFonts w:ascii="Aptos" w:hAnsi="Aptos" w:cs="Times New Roman"/>
          <w:sz w:val="25"/>
          <w:szCs w:val="25"/>
        </w:rPr>
        <w:t xml:space="preserve">ultimately </w:t>
      </w:r>
      <w:r w:rsidR="00CD2F26" w:rsidRPr="00843752">
        <w:rPr>
          <w:rFonts w:ascii="Aptos" w:hAnsi="Aptos" w:cs="Times New Roman"/>
          <w:sz w:val="25"/>
          <w:szCs w:val="25"/>
        </w:rPr>
        <w:t xml:space="preserve">rejected </w:t>
      </w:r>
      <w:r w:rsidR="00124DDB">
        <w:rPr>
          <w:rFonts w:ascii="Aptos" w:hAnsi="Aptos" w:cs="Times New Roman"/>
          <w:sz w:val="25"/>
          <w:szCs w:val="25"/>
        </w:rPr>
        <w:t xml:space="preserve">placing Student at </w:t>
      </w:r>
      <w:r w:rsidR="00CD2F26" w:rsidRPr="00843752">
        <w:rPr>
          <w:rFonts w:ascii="Aptos" w:hAnsi="Aptos" w:cs="Times New Roman"/>
          <w:sz w:val="25"/>
          <w:szCs w:val="25"/>
        </w:rPr>
        <w:t>Crotched Mountain</w:t>
      </w:r>
      <w:r w:rsidR="000F532E">
        <w:rPr>
          <w:rStyle w:val="FootnoteReference"/>
          <w:rFonts w:ascii="Aptos" w:hAnsi="Aptos" w:cs="Times New Roman"/>
          <w:sz w:val="25"/>
          <w:szCs w:val="25"/>
        </w:rPr>
        <w:footnoteReference w:id="8"/>
      </w:r>
      <w:r w:rsidR="00560172">
        <w:rPr>
          <w:rFonts w:ascii="Aptos" w:hAnsi="Aptos" w:cs="Times New Roman"/>
          <w:sz w:val="25"/>
          <w:szCs w:val="25"/>
        </w:rPr>
        <w:t>.  A</w:t>
      </w:r>
      <w:r w:rsidR="00CD2F26" w:rsidRPr="00843752">
        <w:rPr>
          <w:rFonts w:ascii="Aptos" w:hAnsi="Aptos" w:cs="Times New Roman"/>
          <w:sz w:val="25"/>
          <w:szCs w:val="25"/>
        </w:rPr>
        <w:t xml:space="preserve">s a result, </w:t>
      </w:r>
      <w:r w:rsidR="00CF160E">
        <w:rPr>
          <w:rFonts w:ascii="Aptos" w:hAnsi="Aptos" w:cs="Times New Roman"/>
          <w:sz w:val="25"/>
          <w:szCs w:val="25"/>
        </w:rPr>
        <w:t xml:space="preserve">on March 14, 2025, </w:t>
      </w:r>
      <w:r w:rsidR="00CD2F26" w:rsidRPr="00843752">
        <w:rPr>
          <w:rFonts w:ascii="Aptos" w:hAnsi="Aptos" w:cs="Times New Roman"/>
          <w:sz w:val="25"/>
          <w:szCs w:val="25"/>
        </w:rPr>
        <w:t>the District pursued emergency action in the Superior Court that was denied without prejudice</w:t>
      </w:r>
      <w:r w:rsidR="0060655A">
        <w:rPr>
          <w:rFonts w:ascii="Aptos" w:hAnsi="Aptos" w:cs="Times New Roman"/>
          <w:sz w:val="25"/>
          <w:szCs w:val="25"/>
        </w:rPr>
        <w:t xml:space="preserve"> based in part upon the Court’s conclusion that “other openings may occur and other schools may respond in the near future”</w:t>
      </w:r>
      <w:r w:rsidR="004477C9">
        <w:rPr>
          <w:rFonts w:ascii="Aptos" w:hAnsi="Aptos" w:cs="Times New Roman"/>
          <w:sz w:val="25"/>
          <w:szCs w:val="25"/>
        </w:rPr>
        <w:t xml:space="preserve"> and that </w:t>
      </w:r>
      <w:r w:rsidR="007034A7">
        <w:rPr>
          <w:rFonts w:ascii="Aptos" w:hAnsi="Aptos" w:cs="Times New Roman"/>
          <w:sz w:val="25"/>
          <w:szCs w:val="25"/>
        </w:rPr>
        <w:t>“this Court cannot find today that [Parent’s] conduct [of rejecting placement at Crotched Mountain] is done with that purpose [of unreasonably withholding consent for Student’s placement into a residential program] given her testimony, as it creates real disputes in fact, but this question is a close call”</w:t>
      </w:r>
      <w:r w:rsidR="00CD2F26" w:rsidRPr="00843752">
        <w:rPr>
          <w:rFonts w:ascii="Aptos" w:hAnsi="Aptos" w:cs="Times New Roman"/>
          <w:sz w:val="25"/>
          <w:szCs w:val="25"/>
        </w:rPr>
        <w:t xml:space="preserve">.  </w:t>
      </w:r>
    </w:p>
    <w:p w14:paraId="79C737A3" w14:textId="1A8E1581" w:rsidR="00CB2295" w:rsidRDefault="00E423BE" w:rsidP="00392642">
      <w:pPr>
        <w:spacing w:after="0" w:line="240" w:lineRule="auto"/>
        <w:rPr>
          <w:rFonts w:ascii="Aptos" w:hAnsi="Aptos" w:cs="Times New Roman"/>
          <w:sz w:val="25"/>
          <w:szCs w:val="25"/>
        </w:rPr>
      </w:pPr>
      <w:r>
        <w:rPr>
          <w:rFonts w:ascii="Aptos" w:hAnsi="Aptos" w:cs="Times New Roman"/>
          <w:sz w:val="25"/>
          <w:szCs w:val="25"/>
        </w:rPr>
        <w:t xml:space="preserve"> </w:t>
      </w:r>
    </w:p>
    <w:p w14:paraId="34F976B9" w14:textId="77777777" w:rsidR="001117BC" w:rsidRPr="00331871" w:rsidRDefault="001117BC" w:rsidP="001117BC">
      <w:pPr>
        <w:spacing w:after="0" w:line="240" w:lineRule="auto"/>
        <w:rPr>
          <w:rFonts w:ascii="Aptos" w:hAnsi="Aptos" w:cs="Times New Roman"/>
          <w:b/>
          <w:bCs/>
          <w:sz w:val="25"/>
          <w:szCs w:val="25"/>
        </w:rPr>
      </w:pPr>
      <w:r w:rsidRPr="00331871">
        <w:rPr>
          <w:rFonts w:ascii="Aptos" w:hAnsi="Aptos" w:cs="Times New Roman"/>
          <w:b/>
          <w:bCs/>
          <w:sz w:val="25"/>
          <w:szCs w:val="25"/>
        </w:rPr>
        <w:t>POSITION OF THE PARTIES</w:t>
      </w:r>
    </w:p>
    <w:p w14:paraId="2244FD99" w14:textId="77777777" w:rsidR="001117BC" w:rsidRPr="00331871" w:rsidRDefault="001117BC" w:rsidP="001117BC">
      <w:pPr>
        <w:spacing w:after="0" w:line="240" w:lineRule="auto"/>
        <w:rPr>
          <w:rFonts w:ascii="Aptos" w:hAnsi="Aptos" w:cs="Times New Roman"/>
          <w:sz w:val="25"/>
          <w:szCs w:val="25"/>
        </w:rPr>
      </w:pPr>
    </w:p>
    <w:p w14:paraId="4BC1A3D5" w14:textId="7402B56E" w:rsidR="001117BC" w:rsidRPr="00331871" w:rsidRDefault="009B329E" w:rsidP="001117BC">
      <w:pPr>
        <w:spacing w:after="0" w:line="240" w:lineRule="auto"/>
        <w:rPr>
          <w:rFonts w:ascii="Aptos" w:hAnsi="Aptos" w:cs="Times New Roman"/>
          <w:sz w:val="25"/>
          <w:szCs w:val="25"/>
        </w:rPr>
      </w:pPr>
      <w:r>
        <w:rPr>
          <w:rFonts w:ascii="Aptos" w:hAnsi="Aptos" w:cs="Times New Roman"/>
          <w:sz w:val="25"/>
          <w:szCs w:val="25"/>
        </w:rPr>
        <w:t>1</w:t>
      </w:r>
      <w:r w:rsidR="001117BC" w:rsidRPr="00331871">
        <w:rPr>
          <w:rFonts w:ascii="Aptos" w:hAnsi="Aptos" w:cs="Times New Roman"/>
          <w:sz w:val="25"/>
          <w:szCs w:val="25"/>
        </w:rPr>
        <w:t>.</w:t>
      </w:r>
      <w:r w:rsidR="001117BC" w:rsidRPr="00331871">
        <w:rPr>
          <w:rFonts w:ascii="Aptos" w:hAnsi="Aptos" w:cs="Times New Roman"/>
          <w:sz w:val="25"/>
          <w:szCs w:val="25"/>
        </w:rPr>
        <w:tab/>
      </w:r>
      <w:r w:rsidR="001117BC" w:rsidRPr="00331871">
        <w:rPr>
          <w:rFonts w:ascii="Aptos" w:hAnsi="Aptos" w:cs="Times New Roman"/>
          <w:sz w:val="25"/>
          <w:szCs w:val="25"/>
          <w:u w:val="single"/>
        </w:rPr>
        <w:t>Parent</w:t>
      </w:r>
    </w:p>
    <w:p w14:paraId="5EB706A2" w14:textId="77777777" w:rsidR="001117BC" w:rsidRPr="00331871" w:rsidRDefault="001117BC" w:rsidP="001117BC">
      <w:pPr>
        <w:spacing w:after="0" w:line="240" w:lineRule="auto"/>
        <w:rPr>
          <w:rFonts w:ascii="Aptos" w:hAnsi="Aptos" w:cs="Times New Roman"/>
          <w:sz w:val="25"/>
          <w:szCs w:val="25"/>
        </w:rPr>
      </w:pPr>
    </w:p>
    <w:p w14:paraId="2E86500A" w14:textId="08E72E2A" w:rsidR="001117BC" w:rsidRDefault="004E2E9B" w:rsidP="005F0C7C">
      <w:pPr>
        <w:spacing w:after="0" w:line="240" w:lineRule="auto"/>
        <w:rPr>
          <w:rFonts w:ascii="Aptos" w:hAnsi="Aptos" w:cs="Times New Roman"/>
          <w:sz w:val="25"/>
          <w:szCs w:val="25"/>
        </w:rPr>
      </w:pPr>
      <w:r>
        <w:rPr>
          <w:rFonts w:ascii="Aptos" w:hAnsi="Aptos" w:cs="Times New Roman"/>
          <w:sz w:val="25"/>
          <w:szCs w:val="25"/>
        </w:rPr>
        <w:t xml:space="preserve">Parent seeks </w:t>
      </w:r>
      <w:r w:rsidR="00D36368">
        <w:rPr>
          <w:rFonts w:ascii="Aptos" w:hAnsi="Aptos" w:cs="Times New Roman"/>
          <w:sz w:val="25"/>
          <w:szCs w:val="25"/>
        </w:rPr>
        <w:t xml:space="preserve">DESE’s joinder </w:t>
      </w:r>
      <w:r>
        <w:rPr>
          <w:rFonts w:ascii="Aptos" w:hAnsi="Aptos" w:cs="Times New Roman"/>
          <w:sz w:val="25"/>
          <w:szCs w:val="25"/>
        </w:rPr>
        <w:t>pursuant to the provisions of 20 USC 1401(32) and 34 CFR 300.101(b) that Parent claims “obligate[s DESE] to ensure an appropriate placement is available for [Student]”</w:t>
      </w:r>
      <w:r w:rsidR="00F64493">
        <w:rPr>
          <w:rFonts w:ascii="Aptos" w:hAnsi="Aptos" w:cs="Times New Roman"/>
          <w:sz w:val="25"/>
          <w:szCs w:val="25"/>
        </w:rPr>
        <w:t xml:space="preserve">.  </w:t>
      </w:r>
      <w:r w:rsidR="00964A27">
        <w:rPr>
          <w:rFonts w:ascii="Aptos" w:hAnsi="Aptos" w:cs="Times New Roman"/>
          <w:sz w:val="25"/>
          <w:szCs w:val="25"/>
        </w:rPr>
        <w:t xml:space="preserve">DESE is a necessary party in this matter as “it has become clear that a [FAPE] cannot be delivered or guaranteed without DESE’s joinder”.  Specifically, Parent contends that DESE is needed to assist in identifying or providing </w:t>
      </w:r>
      <w:r w:rsidR="003F6F39">
        <w:rPr>
          <w:rFonts w:ascii="Aptos" w:hAnsi="Aptos" w:cs="Times New Roman"/>
          <w:sz w:val="25"/>
          <w:szCs w:val="25"/>
        </w:rPr>
        <w:t xml:space="preserve">Student with </w:t>
      </w:r>
      <w:r w:rsidR="00964A27">
        <w:rPr>
          <w:rFonts w:ascii="Aptos" w:hAnsi="Aptos" w:cs="Times New Roman"/>
          <w:sz w:val="25"/>
          <w:szCs w:val="25"/>
        </w:rPr>
        <w:t xml:space="preserve">an alternative placement that has </w:t>
      </w:r>
      <w:r w:rsidR="00196286">
        <w:rPr>
          <w:rFonts w:ascii="Aptos" w:hAnsi="Aptos" w:cs="Times New Roman"/>
          <w:sz w:val="25"/>
          <w:szCs w:val="25"/>
        </w:rPr>
        <w:t xml:space="preserve">yet to be </w:t>
      </w:r>
      <w:r w:rsidR="003F6F39">
        <w:rPr>
          <w:rFonts w:ascii="Aptos" w:hAnsi="Aptos" w:cs="Times New Roman"/>
          <w:sz w:val="25"/>
          <w:szCs w:val="25"/>
        </w:rPr>
        <w:t>located</w:t>
      </w:r>
      <w:r w:rsidR="00196286">
        <w:rPr>
          <w:rFonts w:ascii="Aptos" w:hAnsi="Aptos" w:cs="Times New Roman"/>
          <w:sz w:val="25"/>
          <w:szCs w:val="25"/>
        </w:rPr>
        <w:t xml:space="preserve"> </w:t>
      </w:r>
      <w:r w:rsidR="00964A27">
        <w:rPr>
          <w:rFonts w:ascii="Aptos" w:hAnsi="Aptos" w:cs="Times New Roman"/>
          <w:sz w:val="25"/>
          <w:szCs w:val="25"/>
        </w:rPr>
        <w:t xml:space="preserve">“successfully” for </w:t>
      </w:r>
      <w:r w:rsidR="005F0C7C">
        <w:rPr>
          <w:rFonts w:ascii="Aptos" w:hAnsi="Aptos" w:cs="Times New Roman"/>
          <w:sz w:val="25"/>
          <w:szCs w:val="25"/>
        </w:rPr>
        <w:t xml:space="preserve">over a year, and </w:t>
      </w:r>
      <w:r w:rsidR="00AE3DD9">
        <w:rPr>
          <w:rFonts w:ascii="Aptos" w:hAnsi="Aptos" w:cs="Times New Roman"/>
          <w:sz w:val="25"/>
          <w:szCs w:val="25"/>
        </w:rPr>
        <w:t xml:space="preserve">that Student needs </w:t>
      </w:r>
      <w:r w:rsidR="005F0C7C">
        <w:rPr>
          <w:rFonts w:ascii="Aptos" w:hAnsi="Aptos" w:cs="Times New Roman"/>
          <w:sz w:val="25"/>
          <w:szCs w:val="25"/>
        </w:rPr>
        <w:t xml:space="preserve">such a placement to receive a FAPE.  </w:t>
      </w:r>
    </w:p>
    <w:p w14:paraId="72CD6A37" w14:textId="77777777" w:rsidR="009B329E" w:rsidRDefault="009B329E" w:rsidP="001117BC">
      <w:pPr>
        <w:spacing w:after="0" w:line="240" w:lineRule="auto"/>
        <w:rPr>
          <w:rFonts w:ascii="Aptos" w:hAnsi="Aptos" w:cs="Times New Roman"/>
          <w:sz w:val="25"/>
          <w:szCs w:val="25"/>
        </w:rPr>
      </w:pPr>
    </w:p>
    <w:p w14:paraId="7536EEAF" w14:textId="4F46F1A0" w:rsidR="009B329E" w:rsidRDefault="009B329E" w:rsidP="001117BC">
      <w:pPr>
        <w:spacing w:after="0" w:line="240" w:lineRule="auto"/>
        <w:rPr>
          <w:rFonts w:ascii="Aptos" w:hAnsi="Aptos" w:cs="Times New Roman"/>
          <w:sz w:val="25"/>
          <w:szCs w:val="25"/>
          <w:u w:val="single"/>
        </w:rPr>
      </w:pPr>
      <w:r>
        <w:rPr>
          <w:rFonts w:ascii="Aptos" w:hAnsi="Aptos" w:cs="Times New Roman"/>
          <w:sz w:val="25"/>
          <w:szCs w:val="25"/>
        </w:rPr>
        <w:t>2.</w:t>
      </w:r>
      <w:r>
        <w:rPr>
          <w:rFonts w:ascii="Aptos" w:hAnsi="Aptos" w:cs="Times New Roman"/>
          <w:sz w:val="25"/>
          <w:szCs w:val="25"/>
        </w:rPr>
        <w:tab/>
      </w:r>
      <w:r>
        <w:rPr>
          <w:rFonts w:ascii="Aptos" w:hAnsi="Aptos" w:cs="Times New Roman"/>
          <w:sz w:val="25"/>
          <w:szCs w:val="25"/>
          <w:u w:val="single"/>
        </w:rPr>
        <w:t>DESE</w:t>
      </w:r>
    </w:p>
    <w:p w14:paraId="5C39F8C3" w14:textId="77777777" w:rsidR="009B329E" w:rsidRDefault="009B329E" w:rsidP="001117BC">
      <w:pPr>
        <w:spacing w:after="0" w:line="240" w:lineRule="auto"/>
        <w:rPr>
          <w:rFonts w:ascii="Aptos" w:hAnsi="Aptos" w:cs="Times New Roman"/>
          <w:sz w:val="25"/>
          <w:szCs w:val="25"/>
          <w:u w:val="single"/>
        </w:rPr>
      </w:pPr>
    </w:p>
    <w:p w14:paraId="7A34F326" w14:textId="2F9EB49D" w:rsidR="009B329E" w:rsidRPr="006964CA" w:rsidRDefault="00931728" w:rsidP="001117BC">
      <w:pPr>
        <w:spacing w:after="0" w:line="240" w:lineRule="auto"/>
        <w:rPr>
          <w:rFonts w:ascii="Aptos" w:hAnsi="Aptos" w:cs="Times New Roman"/>
          <w:sz w:val="25"/>
          <w:szCs w:val="25"/>
        </w:rPr>
      </w:pPr>
      <w:r>
        <w:rPr>
          <w:rFonts w:ascii="Aptos" w:hAnsi="Aptos" w:cs="Times New Roman"/>
          <w:sz w:val="25"/>
          <w:szCs w:val="25"/>
        </w:rPr>
        <w:t>DESE opposes joinder</w:t>
      </w:r>
      <w:r w:rsidR="007C7571">
        <w:rPr>
          <w:rFonts w:ascii="Aptos" w:hAnsi="Aptos" w:cs="Times New Roman"/>
          <w:sz w:val="25"/>
          <w:szCs w:val="25"/>
        </w:rPr>
        <w:t>,</w:t>
      </w:r>
      <w:r>
        <w:rPr>
          <w:rFonts w:ascii="Aptos" w:hAnsi="Aptos" w:cs="Times New Roman"/>
          <w:sz w:val="25"/>
          <w:szCs w:val="25"/>
        </w:rPr>
        <w:t xml:space="preserve"> </w:t>
      </w:r>
      <w:r w:rsidR="000D51FF">
        <w:rPr>
          <w:rFonts w:ascii="Aptos" w:hAnsi="Aptos" w:cs="Times New Roman"/>
          <w:sz w:val="25"/>
          <w:szCs w:val="25"/>
        </w:rPr>
        <w:t xml:space="preserve">contending </w:t>
      </w:r>
      <w:r>
        <w:rPr>
          <w:rFonts w:ascii="Aptos" w:hAnsi="Aptos" w:cs="Times New Roman"/>
          <w:sz w:val="25"/>
          <w:szCs w:val="25"/>
        </w:rPr>
        <w:t xml:space="preserve">complete relief can be granted to the </w:t>
      </w:r>
      <w:r w:rsidR="00101AC4">
        <w:rPr>
          <w:rFonts w:ascii="Aptos" w:hAnsi="Aptos" w:cs="Times New Roman"/>
          <w:sz w:val="25"/>
          <w:szCs w:val="25"/>
        </w:rPr>
        <w:t xml:space="preserve">Parties without its involvement and </w:t>
      </w:r>
      <w:r w:rsidR="000D51FF">
        <w:rPr>
          <w:rFonts w:ascii="Aptos" w:hAnsi="Aptos" w:cs="Times New Roman"/>
          <w:sz w:val="25"/>
          <w:szCs w:val="25"/>
        </w:rPr>
        <w:t>disputing</w:t>
      </w:r>
      <w:r w:rsidR="00101AC4">
        <w:rPr>
          <w:rFonts w:ascii="Aptos" w:hAnsi="Aptos" w:cs="Times New Roman"/>
          <w:sz w:val="25"/>
          <w:szCs w:val="25"/>
        </w:rPr>
        <w:t xml:space="preserve"> that its general supervisory authority under Part B of the Individuals with Disabilities Education Act (IDEA) ob</w:t>
      </w:r>
      <w:r w:rsidR="001D605E">
        <w:rPr>
          <w:rFonts w:ascii="Aptos" w:hAnsi="Aptos" w:cs="Times New Roman"/>
          <w:sz w:val="25"/>
          <w:szCs w:val="25"/>
        </w:rPr>
        <w:t xml:space="preserve">ligates </w:t>
      </w:r>
      <w:r w:rsidR="007C7571">
        <w:rPr>
          <w:rFonts w:ascii="Aptos" w:hAnsi="Aptos" w:cs="Times New Roman"/>
          <w:sz w:val="25"/>
          <w:szCs w:val="25"/>
        </w:rPr>
        <w:t xml:space="preserve">its </w:t>
      </w:r>
      <w:r w:rsidR="001D605E">
        <w:rPr>
          <w:rFonts w:ascii="Aptos" w:hAnsi="Aptos" w:cs="Times New Roman"/>
          <w:sz w:val="25"/>
          <w:szCs w:val="25"/>
        </w:rPr>
        <w:t>joinder</w:t>
      </w:r>
      <w:r w:rsidR="007C7571">
        <w:rPr>
          <w:rFonts w:ascii="Aptos" w:hAnsi="Aptos" w:cs="Times New Roman"/>
          <w:sz w:val="25"/>
          <w:szCs w:val="25"/>
        </w:rPr>
        <w:t xml:space="preserve"> </w:t>
      </w:r>
      <w:r w:rsidR="005139B7">
        <w:rPr>
          <w:rFonts w:ascii="Aptos" w:hAnsi="Aptos" w:cs="Times New Roman"/>
          <w:sz w:val="25"/>
          <w:szCs w:val="25"/>
        </w:rPr>
        <w:t>in this matter</w:t>
      </w:r>
      <w:r w:rsidR="001D605E">
        <w:rPr>
          <w:rFonts w:ascii="Aptos" w:hAnsi="Aptos" w:cs="Times New Roman"/>
          <w:sz w:val="25"/>
          <w:szCs w:val="25"/>
        </w:rPr>
        <w:t xml:space="preserve">.  </w:t>
      </w:r>
      <w:r w:rsidR="00D663F0">
        <w:rPr>
          <w:rFonts w:ascii="Aptos" w:hAnsi="Aptos" w:cs="Times New Roman"/>
          <w:sz w:val="25"/>
          <w:szCs w:val="25"/>
        </w:rPr>
        <w:t>DESE notes that</w:t>
      </w:r>
      <w:r w:rsidR="00367E94">
        <w:rPr>
          <w:rFonts w:ascii="Aptos" w:hAnsi="Aptos" w:cs="Times New Roman"/>
          <w:sz w:val="25"/>
          <w:szCs w:val="25"/>
        </w:rPr>
        <w:t xml:space="preserve"> Parent fails to allege the necessary elements for</w:t>
      </w:r>
      <w:r w:rsidR="00D663F0">
        <w:rPr>
          <w:rFonts w:ascii="Aptos" w:hAnsi="Aptos" w:cs="Times New Roman"/>
          <w:sz w:val="25"/>
          <w:szCs w:val="25"/>
        </w:rPr>
        <w:t xml:space="preserve"> </w:t>
      </w:r>
      <w:r w:rsidR="006964CA">
        <w:rPr>
          <w:rFonts w:ascii="Aptos" w:hAnsi="Aptos" w:cs="Times New Roman"/>
          <w:sz w:val="25"/>
          <w:szCs w:val="25"/>
        </w:rPr>
        <w:t xml:space="preserve">joinder in </w:t>
      </w:r>
      <w:r w:rsidR="00B2240E">
        <w:rPr>
          <w:rFonts w:ascii="Aptos" w:hAnsi="Aptos" w:cs="Times New Roman"/>
          <w:sz w:val="25"/>
          <w:szCs w:val="25"/>
        </w:rPr>
        <w:t xml:space="preserve">her </w:t>
      </w:r>
      <w:r w:rsidR="006964CA">
        <w:rPr>
          <w:rFonts w:ascii="Aptos" w:hAnsi="Aptos" w:cs="Times New Roman"/>
          <w:i/>
          <w:iCs/>
          <w:sz w:val="25"/>
          <w:szCs w:val="25"/>
        </w:rPr>
        <w:t>Motion</w:t>
      </w:r>
      <w:r w:rsidR="006964CA">
        <w:rPr>
          <w:rFonts w:ascii="Aptos" w:hAnsi="Aptos" w:cs="Times New Roman"/>
          <w:sz w:val="25"/>
          <w:szCs w:val="25"/>
        </w:rPr>
        <w:t xml:space="preserve">.  </w:t>
      </w:r>
      <w:r w:rsidR="00550F84">
        <w:rPr>
          <w:rFonts w:ascii="Aptos" w:hAnsi="Aptos" w:cs="Times New Roman"/>
          <w:sz w:val="25"/>
          <w:szCs w:val="25"/>
        </w:rPr>
        <w:t xml:space="preserve">Relying on prior BSEA Rulings and the IDEA provisions cited by Parent, DESE contends that </w:t>
      </w:r>
      <w:r w:rsidR="00311935">
        <w:rPr>
          <w:rFonts w:ascii="Aptos" w:hAnsi="Aptos" w:cs="Times New Roman"/>
          <w:sz w:val="25"/>
          <w:szCs w:val="25"/>
        </w:rPr>
        <w:t xml:space="preserve">its general supervisory obligations by themselves </w:t>
      </w:r>
      <w:r w:rsidR="00FB09E6">
        <w:rPr>
          <w:rFonts w:ascii="Aptos" w:hAnsi="Aptos" w:cs="Times New Roman"/>
          <w:sz w:val="25"/>
          <w:szCs w:val="25"/>
        </w:rPr>
        <w:t xml:space="preserve">do not </w:t>
      </w:r>
      <w:r w:rsidR="00311935">
        <w:rPr>
          <w:rFonts w:ascii="Aptos" w:hAnsi="Aptos" w:cs="Times New Roman"/>
          <w:sz w:val="25"/>
          <w:szCs w:val="25"/>
        </w:rPr>
        <w:t xml:space="preserve">justify </w:t>
      </w:r>
      <w:r w:rsidR="00B2240E">
        <w:rPr>
          <w:rFonts w:ascii="Aptos" w:hAnsi="Aptos" w:cs="Times New Roman"/>
          <w:sz w:val="25"/>
          <w:szCs w:val="25"/>
        </w:rPr>
        <w:t xml:space="preserve">its </w:t>
      </w:r>
      <w:r w:rsidR="00311935">
        <w:rPr>
          <w:rFonts w:ascii="Aptos" w:hAnsi="Aptos" w:cs="Times New Roman"/>
          <w:sz w:val="25"/>
          <w:szCs w:val="25"/>
        </w:rPr>
        <w:t>joinder</w:t>
      </w:r>
      <w:r w:rsidR="00FB09E6">
        <w:rPr>
          <w:rFonts w:ascii="Aptos" w:hAnsi="Aptos" w:cs="Times New Roman"/>
          <w:sz w:val="25"/>
          <w:szCs w:val="25"/>
        </w:rPr>
        <w:t xml:space="preserve"> particularly where, as here, it was not directly involved in </w:t>
      </w:r>
      <w:r w:rsidR="00DB0C8B">
        <w:rPr>
          <w:rFonts w:ascii="Aptos" w:hAnsi="Aptos" w:cs="Times New Roman"/>
          <w:sz w:val="25"/>
          <w:szCs w:val="25"/>
        </w:rPr>
        <w:t>the development or implementation of Student’s IEPs</w:t>
      </w:r>
      <w:r w:rsidR="00827CAD">
        <w:rPr>
          <w:rFonts w:ascii="Aptos" w:hAnsi="Aptos" w:cs="Times New Roman"/>
          <w:sz w:val="25"/>
          <w:szCs w:val="25"/>
        </w:rPr>
        <w:t xml:space="preserve">, </w:t>
      </w:r>
      <w:r w:rsidR="00EF4171">
        <w:rPr>
          <w:rFonts w:ascii="Aptos" w:hAnsi="Aptos" w:cs="Times New Roman"/>
          <w:sz w:val="25"/>
          <w:szCs w:val="25"/>
        </w:rPr>
        <w:t xml:space="preserve">any of </w:t>
      </w:r>
      <w:r w:rsidR="00827CAD">
        <w:rPr>
          <w:rFonts w:ascii="Aptos" w:hAnsi="Aptos" w:cs="Times New Roman"/>
          <w:sz w:val="25"/>
          <w:szCs w:val="25"/>
        </w:rPr>
        <w:t xml:space="preserve">the allegations </w:t>
      </w:r>
      <w:r w:rsidR="00C421DE">
        <w:rPr>
          <w:rFonts w:ascii="Aptos" w:hAnsi="Aptos" w:cs="Times New Roman"/>
          <w:sz w:val="25"/>
          <w:szCs w:val="25"/>
        </w:rPr>
        <w:t xml:space="preserve">in the </w:t>
      </w:r>
      <w:r w:rsidR="00C421DE">
        <w:rPr>
          <w:rFonts w:ascii="Aptos" w:hAnsi="Aptos" w:cs="Times New Roman"/>
          <w:i/>
          <w:iCs/>
          <w:sz w:val="25"/>
          <w:szCs w:val="25"/>
        </w:rPr>
        <w:t>Hearing Request</w:t>
      </w:r>
      <w:r w:rsidR="00C421DE">
        <w:rPr>
          <w:rFonts w:ascii="Aptos" w:hAnsi="Aptos" w:cs="Times New Roman"/>
          <w:sz w:val="25"/>
          <w:szCs w:val="25"/>
        </w:rPr>
        <w:t xml:space="preserve"> pertaining to a denial of a FAPE to Student,</w:t>
      </w:r>
      <w:r w:rsidR="00DB0C8B">
        <w:rPr>
          <w:rFonts w:ascii="Aptos" w:hAnsi="Aptos" w:cs="Times New Roman"/>
          <w:sz w:val="25"/>
          <w:szCs w:val="25"/>
        </w:rPr>
        <w:t xml:space="preserve"> or the ongoing search for alternative approved placements</w:t>
      </w:r>
      <w:r w:rsidR="00C421DE">
        <w:rPr>
          <w:rStyle w:val="FootnoteReference"/>
          <w:rFonts w:ascii="Aptos" w:hAnsi="Aptos" w:cs="Times New Roman"/>
          <w:sz w:val="25"/>
          <w:szCs w:val="25"/>
        </w:rPr>
        <w:footnoteReference w:id="9"/>
      </w:r>
      <w:r w:rsidR="00311935">
        <w:rPr>
          <w:rFonts w:ascii="Aptos" w:hAnsi="Aptos" w:cs="Times New Roman"/>
          <w:sz w:val="25"/>
          <w:szCs w:val="25"/>
        </w:rPr>
        <w:t xml:space="preserve">.  </w:t>
      </w:r>
      <w:r w:rsidR="00E25421">
        <w:rPr>
          <w:rFonts w:ascii="Aptos" w:hAnsi="Aptos" w:cs="Times New Roman"/>
          <w:sz w:val="25"/>
          <w:szCs w:val="25"/>
        </w:rPr>
        <w:t xml:space="preserve">Thus, </w:t>
      </w:r>
      <w:r w:rsidR="00DC72DA">
        <w:rPr>
          <w:rFonts w:ascii="Aptos" w:hAnsi="Aptos" w:cs="Times New Roman"/>
          <w:sz w:val="25"/>
          <w:szCs w:val="25"/>
        </w:rPr>
        <w:t xml:space="preserve">DESE submits that </w:t>
      </w:r>
      <w:r w:rsidR="00373E8A">
        <w:rPr>
          <w:rFonts w:ascii="Aptos" w:hAnsi="Aptos" w:cs="Times New Roman"/>
          <w:sz w:val="25"/>
          <w:szCs w:val="25"/>
        </w:rPr>
        <w:t>joining it in this matter</w:t>
      </w:r>
      <w:r w:rsidR="00DC72DA">
        <w:rPr>
          <w:rFonts w:ascii="Aptos" w:hAnsi="Aptos" w:cs="Times New Roman"/>
          <w:sz w:val="25"/>
          <w:szCs w:val="25"/>
        </w:rPr>
        <w:t xml:space="preserve"> “… under </w:t>
      </w:r>
      <w:r w:rsidR="00DC72DA">
        <w:rPr>
          <w:rFonts w:ascii="Aptos" w:hAnsi="Aptos" w:cs="Times New Roman"/>
          <w:sz w:val="25"/>
          <w:szCs w:val="25"/>
        </w:rPr>
        <w:lastRenderedPageBreak/>
        <w:t>the</w:t>
      </w:r>
      <w:r w:rsidR="00373E8A">
        <w:rPr>
          <w:rFonts w:ascii="Aptos" w:hAnsi="Aptos" w:cs="Times New Roman"/>
          <w:sz w:val="25"/>
          <w:szCs w:val="25"/>
        </w:rPr>
        <w:t>[se]</w:t>
      </w:r>
      <w:r w:rsidR="00DC72DA">
        <w:rPr>
          <w:rFonts w:ascii="Aptos" w:hAnsi="Aptos" w:cs="Times New Roman"/>
          <w:sz w:val="25"/>
          <w:szCs w:val="25"/>
        </w:rPr>
        <w:t xml:space="preserve"> circumstances risks including DESE as a party to all disputes between families and school districts filed in the BSEA.”</w:t>
      </w:r>
      <w:r w:rsidR="00031B0D">
        <w:rPr>
          <w:rFonts w:ascii="Aptos" w:hAnsi="Aptos" w:cs="Times New Roman"/>
          <w:sz w:val="25"/>
          <w:szCs w:val="25"/>
        </w:rPr>
        <w:t xml:space="preserve">  </w:t>
      </w:r>
      <w:r w:rsidR="000572CE">
        <w:rPr>
          <w:rFonts w:ascii="Aptos" w:hAnsi="Aptos" w:cs="Times New Roman"/>
          <w:sz w:val="25"/>
          <w:szCs w:val="25"/>
        </w:rPr>
        <w:t>Specifically</w:t>
      </w:r>
      <w:r w:rsidR="00031B0D">
        <w:rPr>
          <w:rFonts w:ascii="Aptos" w:hAnsi="Aptos" w:cs="Times New Roman"/>
          <w:sz w:val="25"/>
          <w:szCs w:val="25"/>
        </w:rPr>
        <w:t xml:space="preserve">, DESE </w:t>
      </w:r>
      <w:r w:rsidR="000572CE">
        <w:rPr>
          <w:rFonts w:ascii="Aptos" w:hAnsi="Aptos" w:cs="Times New Roman"/>
          <w:sz w:val="25"/>
          <w:szCs w:val="25"/>
        </w:rPr>
        <w:t xml:space="preserve">contends </w:t>
      </w:r>
      <w:r w:rsidR="00890FD7">
        <w:rPr>
          <w:rFonts w:ascii="Aptos" w:hAnsi="Aptos" w:cs="Times New Roman"/>
          <w:sz w:val="25"/>
          <w:szCs w:val="25"/>
        </w:rPr>
        <w:t xml:space="preserve">that the provisions of 603 CMR 28.06(3)(e), </w:t>
      </w:r>
      <w:r w:rsidR="000572CE">
        <w:rPr>
          <w:rFonts w:ascii="Aptos" w:hAnsi="Aptos" w:cs="Times New Roman"/>
          <w:sz w:val="25"/>
          <w:szCs w:val="25"/>
        </w:rPr>
        <w:t xml:space="preserve">as they are </w:t>
      </w:r>
      <w:r w:rsidR="00890FD7">
        <w:rPr>
          <w:rFonts w:ascii="Aptos" w:hAnsi="Aptos" w:cs="Times New Roman"/>
          <w:sz w:val="25"/>
          <w:szCs w:val="25"/>
        </w:rPr>
        <w:t xml:space="preserve">not yet </w:t>
      </w:r>
      <w:r w:rsidR="00BD4F84">
        <w:rPr>
          <w:rFonts w:ascii="Aptos" w:hAnsi="Aptos" w:cs="Times New Roman"/>
          <w:sz w:val="25"/>
          <w:szCs w:val="25"/>
        </w:rPr>
        <w:t>applicable to Student</w:t>
      </w:r>
      <w:r w:rsidR="00890FD7">
        <w:rPr>
          <w:rFonts w:ascii="Aptos" w:hAnsi="Aptos" w:cs="Times New Roman"/>
          <w:sz w:val="25"/>
          <w:szCs w:val="25"/>
        </w:rPr>
        <w:t xml:space="preserve">, do not provide justification for joinder </w:t>
      </w:r>
      <w:r w:rsidR="00F446F2">
        <w:rPr>
          <w:rFonts w:ascii="Aptos" w:hAnsi="Aptos" w:cs="Times New Roman"/>
          <w:sz w:val="25"/>
          <w:szCs w:val="25"/>
        </w:rPr>
        <w:t xml:space="preserve">in this matter </w:t>
      </w:r>
      <w:r w:rsidR="000572CE">
        <w:rPr>
          <w:rFonts w:ascii="Aptos" w:hAnsi="Aptos" w:cs="Times New Roman"/>
          <w:sz w:val="25"/>
          <w:szCs w:val="25"/>
        </w:rPr>
        <w:t xml:space="preserve">based solely on </w:t>
      </w:r>
      <w:r w:rsidR="00890FD7">
        <w:rPr>
          <w:rFonts w:ascii="Aptos" w:hAnsi="Aptos" w:cs="Times New Roman"/>
          <w:sz w:val="25"/>
          <w:szCs w:val="25"/>
        </w:rPr>
        <w:t>the</w:t>
      </w:r>
      <w:r w:rsidR="00BD4F84">
        <w:rPr>
          <w:rFonts w:ascii="Aptos" w:hAnsi="Aptos" w:cs="Times New Roman"/>
          <w:sz w:val="25"/>
          <w:szCs w:val="25"/>
        </w:rPr>
        <w:t xml:space="preserve"> possibility that they may </w:t>
      </w:r>
      <w:r w:rsidR="00B064B6">
        <w:rPr>
          <w:rFonts w:ascii="Aptos" w:hAnsi="Aptos" w:cs="Times New Roman"/>
          <w:sz w:val="25"/>
          <w:szCs w:val="25"/>
        </w:rPr>
        <w:t xml:space="preserve">apply in the future.  </w:t>
      </w:r>
      <w:r w:rsidR="00D35738">
        <w:rPr>
          <w:rFonts w:ascii="Aptos" w:hAnsi="Aptos" w:cs="Times New Roman"/>
          <w:sz w:val="25"/>
          <w:szCs w:val="25"/>
        </w:rPr>
        <w:t>Further</w:t>
      </w:r>
      <w:r w:rsidR="0006138F">
        <w:rPr>
          <w:rFonts w:ascii="Aptos" w:hAnsi="Aptos" w:cs="Times New Roman"/>
          <w:sz w:val="25"/>
          <w:szCs w:val="25"/>
        </w:rPr>
        <w:t xml:space="preserve">, </w:t>
      </w:r>
      <w:r w:rsidR="00B064B6">
        <w:rPr>
          <w:rFonts w:ascii="Aptos" w:hAnsi="Aptos" w:cs="Times New Roman"/>
          <w:sz w:val="25"/>
          <w:szCs w:val="25"/>
        </w:rPr>
        <w:t xml:space="preserve">DESE disputes that Student’s eligibility for services through the </w:t>
      </w:r>
      <w:r w:rsidR="008F1BDC">
        <w:rPr>
          <w:rFonts w:ascii="Aptos" w:hAnsi="Aptos" w:cs="Times New Roman"/>
          <w:sz w:val="25"/>
          <w:szCs w:val="25"/>
        </w:rPr>
        <w:t xml:space="preserve">DESE/DDS Program </w:t>
      </w:r>
      <w:r w:rsidR="00D35738">
        <w:rPr>
          <w:rFonts w:ascii="Aptos" w:hAnsi="Aptos" w:cs="Times New Roman"/>
          <w:sz w:val="25"/>
          <w:szCs w:val="25"/>
        </w:rPr>
        <w:t xml:space="preserve">justifies joinder </w:t>
      </w:r>
      <w:r w:rsidR="00F446F2">
        <w:rPr>
          <w:rFonts w:ascii="Aptos" w:hAnsi="Aptos" w:cs="Times New Roman"/>
          <w:sz w:val="25"/>
          <w:szCs w:val="25"/>
        </w:rPr>
        <w:t>here</w:t>
      </w:r>
      <w:r w:rsidR="00D35738">
        <w:rPr>
          <w:rFonts w:ascii="Aptos" w:hAnsi="Aptos" w:cs="Times New Roman"/>
          <w:sz w:val="25"/>
          <w:szCs w:val="25"/>
        </w:rPr>
        <w:t xml:space="preserve">, </w:t>
      </w:r>
      <w:r w:rsidR="008F1BDC">
        <w:rPr>
          <w:rFonts w:ascii="Aptos" w:hAnsi="Aptos" w:cs="Times New Roman"/>
          <w:sz w:val="25"/>
          <w:szCs w:val="25"/>
        </w:rPr>
        <w:t xml:space="preserve">as </w:t>
      </w:r>
      <w:r w:rsidR="00D35738">
        <w:rPr>
          <w:rFonts w:ascii="Aptos" w:hAnsi="Aptos" w:cs="Times New Roman"/>
          <w:sz w:val="25"/>
          <w:szCs w:val="25"/>
        </w:rPr>
        <w:t xml:space="preserve">it is </w:t>
      </w:r>
      <w:r w:rsidR="00D35F66">
        <w:rPr>
          <w:rFonts w:ascii="Aptos" w:hAnsi="Aptos" w:cs="Times New Roman"/>
          <w:sz w:val="25"/>
          <w:szCs w:val="25"/>
        </w:rPr>
        <w:t>DDS, not DESE</w:t>
      </w:r>
      <w:r w:rsidR="00D35738">
        <w:rPr>
          <w:rFonts w:ascii="Aptos" w:hAnsi="Aptos" w:cs="Times New Roman"/>
          <w:sz w:val="25"/>
          <w:szCs w:val="25"/>
        </w:rPr>
        <w:t>, that</w:t>
      </w:r>
      <w:r w:rsidR="00D35F66">
        <w:rPr>
          <w:rFonts w:ascii="Aptos" w:hAnsi="Aptos" w:cs="Times New Roman"/>
          <w:sz w:val="25"/>
          <w:szCs w:val="25"/>
        </w:rPr>
        <w:t xml:space="preserve"> determines eligibility and level of funding and support for students who qualify for this Program.  </w:t>
      </w:r>
    </w:p>
    <w:p w14:paraId="71B96BA4" w14:textId="77777777" w:rsidR="001117BC" w:rsidRPr="00331871" w:rsidRDefault="001117BC" w:rsidP="001117BC">
      <w:pPr>
        <w:spacing w:after="0" w:line="240" w:lineRule="auto"/>
        <w:rPr>
          <w:rFonts w:ascii="Aptos" w:hAnsi="Aptos" w:cs="Times New Roman"/>
          <w:sz w:val="25"/>
          <w:szCs w:val="25"/>
        </w:rPr>
      </w:pPr>
    </w:p>
    <w:p w14:paraId="716374E0" w14:textId="77777777" w:rsidR="001117BC" w:rsidRPr="00331871" w:rsidRDefault="001117BC" w:rsidP="001117BC">
      <w:pPr>
        <w:spacing w:after="0" w:line="240" w:lineRule="auto"/>
        <w:rPr>
          <w:rFonts w:ascii="Aptos" w:hAnsi="Aptos" w:cs="Times New Roman"/>
          <w:b/>
          <w:bCs/>
          <w:sz w:val="25"/>
          <w:szCs w:val="25"/>
        </w:rPr>
      </w:pPr>
      <w:r w:rsidRPr="00331871">
        <w:rPr>
          <w:rFonts w:ascii="Aptos" w:hAnsi="Aptos" w:cs="Times New Roman"/>
          <w:b/>
          <w:bCs/>
          <w:sz w:val="25"/>
          <w:szCs w:val="25"/>
        </w:rPr>
        <w:t>LEGAL STANDARD</w:t>
      </w:r>
    </w:p>
    <w:p w14:paraId="0F87B0C9" w14:textId="77777777" w:rsidR="001117BC" w:rsidRPr="00331871" w:rsidRDefault="001117BC" w:rsidP="001117BC">
      <w:pPr>
        <w:spacing w:after="0" w:line="240" w:lineRule="auto"/>
        <w:rPr>
          <w:rFonts w:ascii="Aptos" w:eastAsia="Times New Roman" w:hAnsi="Aptos" w:cs="Times New Roman"/>
          <w:bCs/>
          <w:color w:val="000000"/>
          <w:sz w:val="25"/>
          <w:szCs w:val="25"/>
        </w:rPr>
      </w:pPr>
    </w:p>
    <w:p w14:paraId="6395C8CA" w14:textId="77777777" w:rsidR="001117BC" w:rsidRPr="00331871" w:rsidRDefault="001117BC" w:rsidP="001117BC">
      <w:pPr>
        <w:spacing w:after="0" w:line="240" w:lineRule="auto"/>
        <w:rPr>
          <w:rFonts w:ascii="Aptos" w:eastAsia="Times New Roman" w:hAnsi="Aptos" w:cs="Times New Roman"/>
          <w:bCs/>
          <w:color w:val="000000"/>
          <w:sz w:val="25"/>
          <w:szCs w:val="25"/>
        </w:rPr>
      </w:pPr>
      <w:r w:rsidRPr="00331871">
        <w:rPr>
          <w:rFonts w:ascii="Aptos" w:eastAsia="Times New Roman" w:hAnsi="Aptos" w:cs="Times New Roman"/>
          <w:bCs/>
          <w:color w:val="000000"/>
          <w:sz w:val="25"/>
          <w:szCs w:val="25"/>
        </w:rPr>
        <w:t>A.</w:t>
      </w:r>
      <w:r w:rsidRPr="00331871">
        <w:rPr>
          <w:rFonts w:ascii="Aptos" w:eastAsia="Times New Roman" w:hAnsi="Aptos" w:cs="Times New Roman"/>
          <w:bCs/>
          <w:color w:val="000000"/>
          <w:sz w:val="25"/>
          <w:szCs w:val="25"/>
        </w:rPr>
        <w:tab/>
      </w:r>
      <w:r w:rsidRPr="00331871">
        <w:rPr>
          <w:rFonts w:ascii="Aptos" w:eastAsia="Times New Roman" w:hAnsi="Aptos" w:cs="Times New Roman"/>
          <w:bCs/>
          <w:color w:val="000000"/>
          <w:sz w:val="25"/>
          <w:szCs w:val="25"/>
          <w:u w:val="single"/>
        </w:rPr>
        <w:t xml:space="preserve">Joinder of </w:t>
      </w:r>
      <w:r>
        <w:rPr>
          <w:rFonts w:ascii="Aptos" w:eastAsia="Times New Roman" w:hAnsi="Aptos" w:cs="Times New Roman"/>
          <w:bCs/>
          <w:color w:val="000000"/>
          <w:sz w:val="25"/>
          <w:szCs w:val="25"/>
          <w:u w:val="single"/>
        </w:rPr>
        <w:t>a</w:t>
      </w:r>
      <w:r w:rsidRPr="00331871">
        <w:rPr>
          <w:rFonts w:ascii="Aptos" w:eastAsia="Times New Roman" w:hAnsi="Aptos" w:cs="Times New Roman"/>
          <w:bCs/>
          <w:color w:val="000000"/>
          <w:sz w:val="25"/>
          <w:szCs w:val="25"/>
          <w:u w:val="single"/>
        </w:rPr>
        <w:t xml:space="preserve"> State Agency</w:t>
      </w:r>
    </w:p>
    <w:p w14:paraId="0444C8F3" w14:textId="77777777" w:rsidR="001117BC" w:rsidRPr="00331871" w:rsidRDefault="001117BC" w:rsidP="001117BC">
      <w:pPr>
        <w:spacing w:after="0" w:line="240" w:lineRule="auto"/>
        <w:rPr>
          <w:rFonts w:ascii="Aptos" w:eastAsia="Times New Roman" w:hAnsi="Aptos" w:cs="Times New Roman"/>
          <w:bCs/>
          <w:color w:val="000000"/>
          <w:sz w:val="25"/>
          <w:szCs w:val="25"/>
        </w:rPr>
      </w:pPr>
    </w:p>
    <w:p w14:paraId="5DDDC467" w14:textId="6828CC9F" w:rsidR="001117BC" w:rsidRPr="00331871" w:rsidRDefault="001117BC" w:rsidP="001117BC">
      <w:pPr>
        <w:spacing w:after="0" w:line="240" w:lineRule="auto"/>
        <w:rPr>
          <w:rFonts w:ascii="Aptos" w:eastAsia="Times New Roman" w:hAnsi="Aptos" w:cs="Times New Roman"/>
          <w:bCs/>
          <w:color w:val="000000"/>
          <w:sz w:val="25"/>
          <w:szCs w:val="25"/>
        </w:rPr>
      </w:pPr>
      <w:r w:rsidRPr="00331871">
        <w:rPr>
          <w:rFonts w:ascii="Aptos" w:eastAsia="Times New Roman" w:hAnsi="Aptos" w:cs="Times New Roman"/>
          <w:bCs/>
          <w:color w:val="000000"/>
          <w:sz w:val="25"/>
          <w:szCs w:val="25"/>
        </w:rPr>
        <w:t xml:space="preserve">As </w:t>
      </w:r>
      <w:r w:rsidR="006A438A">
        <w:rPr>
          <w:rFonts w:ascii="Aptos" w:eastAsia="Times New Roman" w:hAnsi="Aptos" w:cs="Times New Roman"/>
          <w:bCs/>
          <w:color w:val="000000"/>
          <w:sz w:val="25"/>
          <w:szCs w:val="25"/>
        </w:rPr>
        <w:t xml:space="preserve">previously explained in </w:t>
      </w:r>
      <w:r w:rsidR="004F012F">
        <w:rPr>
          <w:rFonts w:ascii="Aptos" w:eastAsia="Times New Roman" w:hAnsi="Aptos" w:cs="Times New Roman"/>
          <w:bCs/>
          <w:color w:val="000000"/>
          <w:sz w:val="25"/>
          <w:szCs w:val="25"/>
        </w:rPr>
        <w:t xml:space="preserve">the </w:t>
      </w:r>
      <w:r w:rsidR="004F012F">
        <w:rPr>
          <w:rFonts w:ascii="Aptos" w:eastAsia="Times New Roman" w:hAnsi="Aptos" w:cs="Times New Roman"/>
          <w:bCs/>
          <w:i/>
          <w:iCs/>
          <w:color w:val="000000"/>
          <w:sz w:val="25"/>
          <w:szCs w:val="25"/>
        </w:rPr>
        <w:t xml:space="preserve">Joinder Ruling </w:t>
      </w:r>
      <w:r w:rsidR="004F012F">
        <w:rPr>
          <w:rFonts w:ascii="Aptos" w:eastAsia="Times New Roman" w:hAnsi="Aptos" w:cs="Times New Roman"/>
          <w:bCs/>
          <w:color w:val="000000"/>
          <w:sz w:val="25"/>
          <w:szCs w:val="25"/>
        </w:rPr>
        <w:t xml:space="preserve">and the </w:t>
      </w:r>
      <w:r w:rsidR="004F012F">
        <w:rPr>
          <w:rFonts w:ascii="Aptos" w:eastAsia="Times New Roman" w:hAnsi="Aptos" w:cs="Times New Roman"/>
          <w:bCs/>
          <w:i/>
          <w:iCs/>
          <w:color w:val="000000"/>
          <w:sz w:val="25"/>
          <w:szCs w:val="25"/>
        </w:rPr>
        <w:t>Reconsideration Ruling</w:t>
      </w:r>
      <w:r w:rsidRPr="00331871">
        <w:rPr>
          <w:rFonts w:ascii="Aptos" w:eastAsia="Times New Roman" w:hAnsi="Aptos" w:cs="Times New Roman"/>
          <w:bCs/>
          <w:color w:val="000000"/>
          <w:sz w:val="25"/>
          <w:szCs w:val="25"/>
        </w:rPr>
        <w:t>,</w:t>
      </w:r>
      <w:r w:rsidRPr="00331871">
        <w:rPr>
          <w:rFonts w:ascii="Aptos" w:eastAsia="Times New Roman" w:hAnsi="Aptos" w:cs="Times New Roman"/>
          <w:bCs/>
          <w:i/>
          <w:iCs/>
          <w:color w:val="000000"/>
          <w:sz w:val="25"/>
          <w:szCs w:val="25"/>
        </w:rPr>
        <w:t xml:space="preserve"> </w:t>
      </w:r>
      <w:r w:rsidRPr="00331871">
        <w:rPr>
          <w:rFonts w:ascii="Aptos" w:eastAsia="Times New Roman" w:hAnsi="Aptos" w:cs="Times New Roman"/>
          <w:bCs/>
          <w:color w:val="000000"/>
          <w:sz w:val="25"/>
          <w:szCs w:val="25"/>
        </w:rPr>
        <w:t xml:space="preserve">Rule I(J) of the </w:t>
      </w:r>
      <w:r w:rsidRPr="00331871">
        <w:rPr>
          <w:rFonts w:ascii="Aptos" w:eastAsia="Times New Roman" w:hAnsi="Aptos" w:cs="Times New Roman"/>
          <w:bCs/>
          <w:i/>
          <w:iCs/>
          <w:color w:val="000000"/>
          <w:sz w:val="25"/>
          <w:szCs w:val="25"/>
        </w:rPr>
        <w:t>Hearing Rules</w:t>
      </w:r>
      <w:r w:rsidRPr="00331871">
        <w:rPr>
          <w:rFonts w:ascii="Aptos" w:eastAsia="Times New Roman" w:hAnsi="Aptos" w:cs="Times New Roman"/>
          <w:bCs/>
          <w:color w:val="000000"/>
          <w:sz w:val="25"/>
          <w:szCs w:val="25"/>
        </w:rPr>
        <w:t xml:space="preserve"> states that, </w:t>
      </w:r>
    </w:p>
    <w:p w14:paraId="1FC4911E" w14:textId="77777777" w:rsidR="001117BC" w:rsidRPr="00331871" w:rsidRDefault="001117BC" w:rsidP="001117BC">
      <w:pPr>
        <w:spacing w:after="0" w:line="240" w:lineRule="auto"/>
        <w:ind w:left="720" w:right="720"/>
        <w:rPr>
          <w:rFonts w:ascii="Aptos" w:eastAsia="Times New Roman" w:hAnsi="Aptos" w:cs="Times New Roman"/>
          <w:bCs/>
          <w:color w:val="000000"/>
          <w:sz w:val="25"/>
          <w:szCs w:val="25"/>
        </w:rPr>
      </w:pPr>
    </w:p>
    <w:p w14:paraId="52FFDC60" w14:textId="77777777" w:rsidR="001117BC" w:rsidRPr="00331871" w:rsidRDefault="001117BC" w:rsidP="001117BC">
      <w:pPr>
        <w:spacing w:after="0" w:line="240" w:lineRule="auto"/>
        <w:ind w:left="720" w:right="720"/>
        <w:rPr>
          <w:rFonts w:ascii="Aptos" w:eastAsia="Times New Roman" w:hAnsi="Aptos" w:cs="Times New Roman"/>
          <w:bCs/>
          <w:color w:val="000000"/>
          <w:sz w:val="25"/>
          <w:szCs w:val="25"/>
        </w:rPr>
      </w:pPr>
      <w:r w:rsidRPr="00331871">
        <w:rPr>
          <w:rFonts w:ascii="Aptos" w:eastAsia="Times New Roman" w:hAnsi="Aptos" w:cs="Times New Roman"/>
          <w:bCs/>
          <w:color w:val="000000"/>
          <w:sz w:val="25"/>
          <w:szCs w:val="25"/>
        </w:rPr>
        <w:t>“Upon written request of a party, a Hearing Officer may allow for the joinder of a party in cases where complete relief cannot be granted among those who are already parties, or if the party being joined has an interest relating to the subject matter of the case and is so situated that the case cannot be disposed of in its absence.   Factors considered in determination of joinder are:  the risk of prejudice to the present parties in the absence of the proposed party; the range of alternatives for fashioning relief; the inadequacy of a judgement entered in the proposed party’s absence; and the existence of an alternative forum to resolve the dispute.”</w:t>
      </w:r>
    </w:p>
    <w:p w14:paraId="3CB63CB8" w14:textId="77777777" w:rsidR="001117BC" w:rsidRPr="00331871" w:rsidRDefault="001117BC" w:rsidP="001117BC">
      <w:pPr>
        <w:spacing w:after="0" w:line="240" w:lineRule="auto"/>
        <w:rPr>
          <w:rFonts w:ascii="Aptos" w:eastAsia="Times New Roman" w:hAnsi="Aptos" w:cs="Times New Roman"/>
          <w:bCs/>
          <w:color w:val="000000"/>
          <w:sz w:val="25"/>
          <w:szCs w:val="25"/>
        </w:rPr>
      </w:pPr>
    </w:p>
    <w:p w14:paraId="364443A0" w14:textId="6A153211" w:rsidR="001117BC" w:rsidRPr="00331871" w:rsidRDefault="001117BC" w:rsidP="001117BC">
      <w:pPr>
        <w:spacing w:after="0" w:line="240" w:lineRule="auto"/>
        <w:rPr>
          <w:rFonts w:ascii="Aptos" w:eastAsia="Times New Roman" w:hAnsi="Aptos" w:cs="Times New Roman"/>
          <w:bCs/>
          <w:color w:val="000000"/>
          <w:sz w:val="25"/>
          <w:szCs w:val="25"/>
        </w:rPr>
      </w:pPr>
      <w:r w:rsidRPr="00331871">
        <w:rPr>
          <w:rFonts w:ascii="Aptos" w:eastAsia="Times New Roman" w:hAnsi="Aptos" w:cs="Times New Roman"/>
          <w:bCs/>
          <w:color w:val="000000"/>
          <w:sz w:val="25"/>
          <w:szCs w:val="25"/>
        </w:rPr>
        <w:t xml:space="preserve">In order for </w:t>
      </w:r>
      <w:r w:rsidR="009576AE">
        <w:rPr>
          <w:rFonts w:ascii="Aptos" w:eastAsia="Times New Roman" w:hAnsi="Aptos" w:cs="Times New Roman"/>
          <w:bCs/>
          <w:color w:val="000000"/>
          <w:sz w:val="25"/>
          <w:szCs w:val="25"/>
        </w:rPr>
        <w:t xml:space="preserve">the BSEA to order </w:t>
      </w:r>
      <w:r>
        <w:rPr>
          <w:rFonts w:ascii="Aptos" w:eastAsia="Times New Roman" w:hAnsi="Aptos" w:cs="Times New Roman"/>
          <w:bCs/>
          <w:color w:val="000000"/>
          <w:sz w:val="25"/>
          <w:szCs w:val="25"/>
        </w:rPr>
        <w:t xml:space="preserve">a </w:t>
      </w:r>
      <w:r w:rsidRPr="00331871">
        <w:rPr>
          <w:rFonts w:ascii="Aptos" w:eastAsia="Times New Roman" w:hAnsi="Aptos" w:cs="Times New Roman"/>
          <w:bCs/>
          <w:color w:val="000000"/>
          <w:sz w:val="25"/>
          <w:szCs w:val="25"/>
        </w:rPr>
        <w:t xml:space="preserve">State agency to offer services, </w:t>
      </w:r>
      <w:r w:rsidR="009576AE">
        <w:rPr>
          <w:rFonts w:ascii="Aptos" w:eastAsia="Times New Roman" w:hAnsi="Aptos" w:cs="Times New Roman"/>
          <w:bCs/>
          <w:color w:val="000000"/>
          <w:sz w:val="25"/>
          <w:szCs w:val="25"/>
        </w:rPr>
        <w:t>the</w:t>
      </w:r>
      <w:r w:rsidRPr="00331871">
        <w:rPr>
          <w:rFonts w:ascii="Aptos" w:eastAsia="Times New Roman" w:hAnsi="Aptos" w:cs="Times New Roman"/>
          <w:bCs/>
          <w:color w:val="000000"/>
          <w:sz w:val="25"/>
          <w:szCs w:val="25"/>
        </w:rPr>
        <w:t xml:space="preserve"> student must be eligible to receive </w:t>
      </w:r>
      <w:r w:rsidR="009576AE">
        <w:rPr>
          <w:rFonts w:ascii="Aptos" w:eastAsia="Times New Roman" w:hAnsi="Aptos" w:cs="Times New Roman"/>
          <w:bCs/>
          <w:color w:val="000000"/>
          <w:sz w:val="25"/>
          <w:szCs w:val="25"/>
        </w:rPr>
        <w:t>the</w:t>
      </w:r>
      <w:r w:rsidRPr="00331871">
        <w:rPr>
          <w:rFonts w:ascii="Aptos" w:eastAsia="Times New Roman" w:hAnsi="Aptos" w:cs="Times New Roman"/>
          <w:bCs/>
          <w:color w:val="000000"/>
          <w:sz w:val="25"/>
          <w:szCs w:val="25"/>
        </w:rPr>
        <w:t xml:space="preserve"> services from that agency</w:t>
      </w:r>
      <w:r w:rsidRPr="00331871">
        <w:rPr>
          <w:rStyle w:val="FootnoteReference"/>
          <w:rFonts w:ascii="Aptos" w:eastAsia="Times New Roman" w:hAnsi="Aptos" w:cs="Times New Roman"/>
          <w:bCs/>
          <w:color w:val="000000"/>
          <w:sz w:val="25"/>
          <w:szCs w:val="25"/>
        </w:rPr>
        <w:footnoteReference w:id="10"/>
      </w:r>
      <w:r w:rsidRPr="00331871">
        <w:rPr>
          <w:rFonts w:ascii="Aptos" w:eastAsia="Times New Roman" w:hAnsi="Aptos" w:cs="Times New Roman"/>
          <w:bCs/>
          <w:color w:val="000000"/>
          <w:sz w:val="25"/>
          <w:szCs w:val="25"/>
        </w:rPr>
        <w:t>.  Under Mass. Gen. Laws c. 71B, § 3:</w:t>
      </w:r>
    </w:p>
    <w:p w14:paraId="73E3105D" w14:textId="77777777" w:rsidR="001117BC" w:rsidRPr="00331871" w:rsidRDefault="001117BC" w:rsidP="001117BC">
      <w:pPr>
        <w:spacing w:after="0" w:line="240" w:lineRule="auto"/>
        <w:rPr>
          <w:rFonts w:ascii="Aptos" w:eastAsia="Times New Roman" w:hAnsi="Aptos" w:cs="Times New Roman"/>
          <w:bCs/>
          <w:color w:val="000000"/>
          <w:sz w:val="25"/>
          <w:szCs w:val="25"/>
        </w:rPr>
      </w:pPr>
    </w:p>
    <w:p w14:paraId="68F7A550" w14:textId="3ADCF2DA" w:rsidR="001117BC" w:rsidRPr="00331871" w:rsidRDefault="001117BC" w:rsidP="001117BC">
      <w:pPr>
        <w:spacing w:after="0" w:line="240" w:lineRule="auto"/>
        <w:ind w:left="720" w:right="720"/>
        <w:rPr>
          <w:rFonts w:ascii="Aptos" w:eastAsia="Times New Roman" w:hAnsi="Aptos" w:cs="Times New Roman"/>
          <w:bCs/>
          <w:color w:val="000000"/>
          <w:sz w:val="25"/>
          <w:szCs w:val="25"/>
        </w:rPr>
      </w:pPr>
      <w:r w:rsidRPr="00331871">
        <w:rPr>
          <w:rFonts w:ascii="Aptos" w:eastAsia="Times New Roman" w:hAnsi="Aptos" w:cs="Times New Roman"/>
          <w:bCs/>
          <w:color w:val="000000"/>
          <w:sz w:val="25"/>
          <w:szCs w:val="25"/>
        </w:rPr>
        <w:t xml:space="preserve">"The [BSEA] hearing officer may determine, in accordance with the rules, regulations and policies of the respective agencies, that services shall be provided by </w:t>
      </w:r>
      <w:r w:rsidR="00FA0104">
        <w:rPr>
          <w:rFonts w:ascii="Aptos" w:eastAsia="Times New Roman" w:hAnsi="Aptos" w:cs="Times New Roman"/>
          <w:bCs/>
          <w:color w:val="000000"/>
          <w:sz w:val="25"/>
          <w:szCs w:val="25"/>
        </w:rPr>
        <w:t>… any other state agency or program,</w:t>
      </w:r>
      <w:r w:rsidRPr="00331871">
        <w:rPr>
          <w:rFonts w:ascii="Aptos" w:eastAsia="Times New Roman" w:hAnsi="Aptos" w:cs="Times New Roman"/>
          <w:bCs/>
          <w:color w:val="000000"/>
          <w:sz w:val="25"/>
          <w:szCs w:val="25"/>
        </w:rPr>
        <w:t xml:space="preserve"> in addition to the program and related services to be provided by the school committee”</w:t>
      </w:r>
      <w:r w:rsidRPr="00331871">
        <w:rPr>
          <w:rStyle w:val="FootnoteReference"/>
          <w:rFonts w:ascii="Aptos" w:eastAsia="Times New Roman" w:hAnsi="Aptos" w:cs="Times New Roman"/>
          <w:bCs/>
          <w:color w:val="000000"/>
          <w:sz w:val="25"/>
          <w:szCs w:val="25"/>
        </w:rPr>
        <w:footnoteReference w:id="11"/>
      </w:r>
      <w:r w:rsidRPr="00331871">
        <w:rPr>
          <w:rFonts w:ascii="Aptos" w:eastAsia="Times New Roman" w:hAnsi="Aptos" w:cs="Times New Roman"/>
          <w:bCs/>
          <w:color w:val="000000"/>
          <w:sz w:val="25"/>
          <w:szCs w:val="25"/>
        </w:rPr>
        <w:t>.</w:t>
      </w:r>
    </w:p>
    <w:p w14:paraId="7F8DCCB2" w14:textId="77777777" w:rsidR="001117BC" w:rsidRPr="00331871" w:rsidRDefault="001117BC" w:rsidP="001117BC">
      <w:pPr>
        <w:spacing w:after="0" w:line="240" w:lineRule="auto"/>
        <w:rPr>
          <w:rFonts w:ascii="Aptos" w:eastAsia="Times New Roman" w:hAnsi="Aptos" w:cs="Times New Roman"/>
          <w:bCs/>
          <w:color w:val="000000"/>
          <w:sz w:val="25"/>
          <w:szCs w:val="25"/>
        </w:rPr>
      </w:pPr>
    </w:p>
    <w:p w14:paraId="7DF2B24F" w14:textId="77777777" w:rsidR="001117BC" w:rsidRPr="00331871" w:rsidRDefault="001117BC" w:rsidP="001117BC">
      <w:pPr>
        <w:spacing w:after="0" w:line="240" w:lineRule="auto"/>
        <w:rPr>
          <w:rFonts w:ascii="Aptos" w:eastAsia="Times New Roman" w:hAnsi="Aptos" w:cs="Times New Roman"/>
          <w:bCs/>
          <w:color w:val="000000"/>
          <w:sz w:val="25"/>
          <w:szCs w:val="25"/>
        </w:rPr>
      </w:pPr>
      <w:r w:rsidRPr="00331871">
        <w:rPr>
          <w:rFonts w:ascii="Aptos" w:eastAsia="Times New Roman" w:hAnsi="Aptos" w:cs="Times New Roman"/>
          <w:bCs/>
          <w:color w:val="000000"/>
          <w:sz w:val="25"/>
          <w:szCs w:val="25"/>
        </w:rPr>
        <w:t xml:space="preserve">The ”in addition to” language within the statute has been consistently interpreted by BSEA Hearing Officers to mean that if services that the human service agency provides in accordance with its rules and policies, are necessary for a student to access or </w:t>
      </w:r>
      <w:r w:rsidRPr="00331871">
        <w:rPr>
          <w:rFonts w:ascii="Aptos" w:eastAsia="Times New Roman" w:hAnsi="Aptos" w:cs="Times New Roman"/>
          <w:bCs/>
          <w:color w:val="000000"/>
          <w:sz w:val="25"/>
          <w:szCs w:val="25"/>
        </w:rPr>
        <w:lastRenderedPageBreak/>
        <w:t>benefit from the school district’s special education program “(over and above those services that are the responsibility of the school district)”, joinder may be appropriate</w:t>
      </w:r>
      <w:r w:rsidRPr="00331871">
        <w:rPr>
          <w:rStyle w:val="FootnoteReference"/>
          <w:rFonts w:ascii="Aptos" w:eastAsia="Times New Roman" w:hAnsi="Aptos" w:cs="Times New Roman"/>
          <w:bCs/>
          <w:color w:val="000000"/>
          <w:sz w:val="25"/>
          <w:szCs w:val="25"/>
        </w:rPr>
        <w:footnoteReference w:id="12"/>
      </w:r>
      <w:r w:rsidRPr="00331871">
        <w:rPr>
          <w:rFonts w:ascii="Aptos" w:eastAsia="Times New Roman" w:hAnsi="Aptos" w:cs="Times New Roman"/>
          <w:bCs/>
          <w:color w:val="000000"/>
          <w:sz w:val="25"/>
          <w:szCs w:val="25"/>
        </w:rPr>
        <w:t xml:space="preserve">.  </w:t>
      </w:r>
    </w:p>
    <w:p w14:paraId="62AF8565" w14:textId="77777777" w:rsidR="001117BC" w:rsidRPr="00331871" w:rsidRDefault="001117BC" w:rsidP="001117BC">
      <w:pPr>
        <w:spacing w:after="0" w:line="240" w:lineRule="auto"/>
        <w:ind w:right="720"/>
        <w:rPr>
          <w:rFonts w:ascii="Aptos" w:eastAsia="Times New Roman" w:hAnsi="Aptos" w:cs="Times New Roman"/>
          <w:bCs/>
          <w:color w:val="000000"/>
          <w:sz w:val="25"/>
          <w:szCs w:val="25"/>
        </w:rPr>
      </w:pPr>
    </w:p>
    <w:p w14:paraId="6AE6F12C" w14:textId="2DAE1FE7" w:rsidR="001117BC" w:rsidRPr="00EC47EF" w:rsidRDefault="001117BC" w:rsidP="00C2650F">
      <w:pPr>
        <w:spacing w:after="0" w:line="240" w:lineRule="auto"/>
        <w:ind w:right="720"/>
        <w:rPr>
          <w:rFonts w:ascii="Aptos" w:hAnsi="Aptos"/>
          <w:sz w:val="25"/>
          <w:szCs w:val="25"/>
          <w:u w:val="single"/>
        </w:rPr>
      </w:pPr>
      <w:r w:rsidRPr="00EC47EF">
        <w:rPr>
          <w:rFonts w:ascii="Aptos" w:eastAsia="Times New Roman" w:hAnsi="Aptos" w:cs="Times New Roman"/>
          <w:bCs/>
          <w:color w:val="000000"/>
          <w:sz w:val="25"/>
          <w:szCs w:val="25"/>
        </w:rPr>
        <w:t>B.</w:t>
      </w:r>
      <w:r w:rsidRPr="00EC47EF">
        <w:rPr>
          <w:rFonts w:ascii="Aptos" w:eastAsia="Times New Roman" w:hAnsi="Aptos" w:cs="Times New Roman"/>
          <w:bCs/>
          <w:color w:val="000000"/>
          <w:sz w:val="25"/>
          <w:szCs w:val="25"/>
        </w:rPr>
        <w:tab/>
      </w:r>
      <w:r w:rsidR="00EC47EF" w:rsidRPr="00EC47EF">
        <w:rPr>
          <w:rFonts w:ascii="Aptos" w:eastAsia="Times New Roman" w:hAnsi="Aptos" w:cs="Times New Roman"/>
          <w:bCs/>
          <w:color w:val="000000"/>
          <w:sz w:val="25"/>
          <w:szCs w:val="25"/>
          <w:u w:val="single"/>
        </w:rPr>
        <w:t>DESE as a Party t</w:t>
      </w:r>
      <w:r w:rsidR="00EC47EF">
        <w:rPr>
          <w:rFonts w:ascii="Aptos" w:eastAsia="Times New Roman" w:hAnsi="Aptos" w:cs="Times New Roman"/>
          <w:bCs/>
          <w:color w:val="000000"/>
          <w:sz w:val="25"/>
          <w:szCs w:val="25"/>
          <w:u w:val="single"/>
        </w:rPr>
        <w:t xml:space="preserve">o IDEA </w:t>
      </w:r>
      <w:r w:rsidR="00E23691">
        <w:rPr>
          <w:rFonts w:ascii="Aptos" w:eastAsia="Times New Roman" w:hAnsi="Aptos" w:cs="Times New Roman"/>
          <w:bCs/>
          <w:color w:val="000000"/>
          <w:sz w:val="25"/>
          <w:szCs w:val="25"/>
          <w:u w:val="single"/>
        </w:rPr>
        <w:t xml:space="preserve">Due Process </w:t>
      </w:r>
      <w:r w:rsidR="008D56D3">
        <w:rPr>
          <w:rFonts w:ascii="Aptos" w:eastAsia="Times New Roman" w:hAnsi="Aptos" w:cs="Times New Roman"/>
          <w:bCs/>
          <w:color w:val="000000"/>
          <w:sz w:val="25"/>
          <w:szCs w:val="25"/>
          <w:u w:val="single"/>
        </w:rPr>
        <w:t>Appeals</w:t>
      </w:r>
    </w:p>
    <w:p w14:paraId="38BF039F" w14:textId="77777777" w:rsidR="001117BC" w:rsidRPr="00EC47EF" w:rsidRDefault="001117BC" w:rsidP="001117BC">
      <w:pPr>
        <w:spacing w:after="0" w:line="240" w:lineRule="auto"/>
        <w:rPr>
          <w:rFonts w:ascii="Aptos" w:eastAsia="Times New Roman" w:hAnsi="Aptos" w:cs="Times New Roman"/>
          <w:bCs/>
          <w:color w:val="000000"/>
          <w:sz w:val="25"/>
          <w:szCs w:val="25"/>
        </w:rPr>
      </w:pPr>
    </w:p>
    <w:p w14:paraId="74D4697E" w14:textId="57F36C8A" w:rsidR="00D07822" w:rsidRDefault="00E457CF" w:rsidP="00DB27B1">
      <w:pPr>
        <w:spacing w:after="0" w:line="240" w:lineRule="auto"/>
        <w:rPr>
          <w:rFonts w:ascii="Aptos" w:eastAsia="Times New Roman" w:hAnsi="Aptos" w:cs="Times New Roman"/>
          <w:bCs/>
          <w:color w:val="000000"/>
          <w:sz w:val="25"/>
          <w:szCs w:val="25"/>
        </w:rPr>
      </w:pPr>
      <w:r>
        <w:rPr>
          <w:rFonts w:ascii="Aptos" w:hAnsi="Aptos" w:cs="Times New Roman"/>
          <w:sz w:val="25"/>
          <w:szCs w:val="25"/>
        </w:rPr>
        <w:t xml:space="preserve">Section 1412 of the IDEA </w:t>
      </w:r>
      <w:r w:rsidR="00D35586">
        <w:rPr>
          <w:rFonts w:ascii="Aptos" w:hAnsi="Aptos" w:cs="Times New Roman"/>
          <w:sz w:val="25"/>
          <w:szCs w:val="25"/>
        </w:rPr>
        <w:t xml:space="preserve">establishes the </w:t>
      </w:r>
      <w:r>
        <w:rPr>
          <w:rFonts w:ascii="Aptos" w:hAnsi="Aptos" w:cs="Times New Roman"/>
          <w:sz w:val="25"/>
          <w:szCs w:val="25"/>
        </w:rPr>
        <w:t xml:space="preserve">overarching oversight obligations </w:t>
      </w:r>
      <w:r w:rsidR="000E5111">
        <w:rPr>
          <w:rFonts w:ascii="Aptos" w:hAnsi="Aptos" w:cs="Times New Roman"/>
          <w:sz w:val="25"/>
          <w:szCs w:val="25"/>
        </w:rPr>
        <w:t xml:space="preserve">of the </w:t>
      </w:r>
      <w:r w:rsidR="00D939CF">
        <w:rPr>
          <w:rFonts w:ascii="Aptos" w:hAnsi="Aptos" w:cs="Times New Roman"/>
          <w:sz w:val="25"/>
          <w:szCs w:val="25"/>
        </w:rPr>
        <w:t>State educational authority (</w:t>
      </w:r>
      <w:r>
        <w:rPr>
          <w:rFonts w:ascii="Aptos" w:hAnsi="Aptos" w:cs="Times New Roman"/>
          <w:sz w:val="25"/>
          <w:szCs w:val="25"/>
        </w:rPr>
        <w:t>SEA</w:t>
      </w:r>
      <w:r w:rsidR="00D939CF">
        <w:rPr>
          <w:rFonts w:ascii="Aptos" w:hAnsi="Aptos" w:cs="Times New Roman"/>
          <w:sz w:val="25"/>
          <w:szCs w:val="25"/>
        </w:rPr>
        <w:t>)</w:t>
      </w:r>
      <w:r w:rsidR="005C564B" w:rsidRPr="005C564B">
        <w:rPr>
          <w:rStyle w:val="FootnoteReference"/>
          <w:rFonts w:ascii="Aptos" w:hAnsi="Aptos" w:cs="Times New Roman"/>
          <w:sz w:val="25"/>
          <w:szCs w:val="25"/>
        </w:rPr>
        <w:t xml:space="preserve"> </w:t>
      </w:r>
      <w:r w:rsidR="005C564B">
        <w:rPr>
          <w:rStyle w:val="FootnoteReference"/>
          <w:rFonts w:ascii="Aptos" w:hAnsi="Aptos" w:cs="Times New Roman"/>
          <w:sz w:val="25"/>
          <w:szCs w:val="25"/>
        </w:rPr>
        <w:footnoteReference w:id="13"/>
      </w:r>
      <w:r w:rsidR="00D35586">
        <w:rPr>
          <w:rFonts w:ascii="Aptos" w:hAnsi="Aptos" w:cs="Times New Roman"/>
          <w:sz w:val="25"/>
          <w:szCs w:val="25"/>
        </w:rPr>
        <w:t xml:space="preserve">.  </w:t>
      </w:r>
      <w:r w:rsidR="00FC16EC">
        <w:rPr>
          <w:rFonts w:ascii="Aptos" w:hAnsi="Aptos" w:cs="Times New Roman"/>
          <w:sz w:val="25"/>
          <w:szCs w:val="25"/>
        </w:rPr>
        <w:t xml:space="preserve"> Specifically, </w:t>
      </w:r>
      <w:r>
        <w:rPr>
          <w:rFonts w:ascii="Aptos" w:hAnsi="Aptos" w:cs="Times New Roman"/>
          <w:sz w:val="25"/>
          <w:szCs w:val="25"/>
        </w:rPr>
        <w:t>20 USC 1412</w:t>
      </w:r>
      <w:r w:rsidR="00CD20FB">
        <w:rPr>
          <w:rFonts w:ascii="Aptos" w:hAnsi="Aptos" w:cs="Times New Roman"/>
          <w:sz w:val="25"/>
          <w:szCs w:val="25"/>
        </w:rPr>
        <w:t>(a)</w:t>
      </w:r>
      <w:r>
        <w:rPr>
          <w:rFonts w:ascii="Aptos" w:hAnsi="Aptos" w:cs="Times New Roman"/>
          <w:sz w:val="25"/>
          <w:szCs w:val="25"/>
        </w:rPr>
        <w:t xml:space="preserve">(11) </w:t>
      </w:r>
      <w:r w:rsidR="0046342C">
        <w:rPr>
          <w:rFonts w:ascii="Aptos" w:hAnsi="Aptos" w:cs="Times New Roman"/>
          <w:sz w:val="25"/>
          <w:szCs w:val="25"/>
        </w:rPr>
        <w:t xml:space="preserve">imposes on DESE the </w:t>
      </w:r>
      <w:r w:rsidR="00D35586">
        <w:rPr>
          <w:rFonts w:ascii="Aptos" w:hAnsi="Aptos" w:cs="Times New Roman"/>
          <w:sz w:val="25"/>
          <w:szCs w:val="25"/>
        </w:rPr>
        <w:t xml:space="preserve">responsibility </w:t>
      </w:r>
      <w:r>
        <w:rPr>
          <w:rFonts w:ascii="Aptos" w:hAnsi="Aptos" w:cs="Times New Roman"/>
          <w:sz w:val="25"/>
          <w:szCs w:val="25"/>
        </w:rPr>
        <w:t>for ensuring that “all requirements of [Part B of the IDEA] are met; [and] all educational programs for children with disabilities in the State … are under the general supervision of individuals in the State who are responsible for educational programs for children with disabilities; and meet the educational standards of the [SEA] …”</w:t>
      </w:r>
      <w:r w:rsidR="00D939CF">
        <w:rPr>
          <w:rStyle w:val="FootnoteReference"/>
          <w:rFonts w:ascii="Aptos" w:hAnsi="Aptos" w:cs="Times New Roman"/>
          <w:sz w:val="25"/>
          <w:szCs w:val="25"/>
        </w:rPr>
        <w:footnoteReference w:id="14"/>
      </w:r>
      <w:r>
        <w:rPr>
          <w:rFonts w:ascii="Aptos" w:hAnsi="Aptos" w:cs="Times New Roman"/>
          <w:sz w:val="25"/>
          <w:szCs w:val="25"/>
        </w:rPr>
        <w:t>.  As I have previously recognized, however, n</w:t>
      </w:r>
      <w:r w:rsidRPr="00E347DA">
        <w:rPr>
          <w:rFonts w:ascii="Aptos" w:eastAsia="Times New Roman" w:hAnsi="Aptos" w:cs="Times New Roman"/>
          <w:bCs/>
          <w:color w:val="000000"/>
          <w:sz w:val="25"/>
          <w:szCs w:val="25"/>
        </w:rPr>
        <w:t xml:space="preserve">o private right of action for </w:t>
      </w:r>
      <w:r w:rsidR="00E612B9">
        <w:rPr>
          <w:rFonts w:ascii="Aptos" w:eastAsia="Times New Roman" w:hAnsi="Aptos" w:cs="Times New Roman"/>
          <w:bCs/>
          <w:color w:val="000000"/>
          <w:sz w:val="25"/>
          <w:szCs w:val="25"/>
        </w:rPr>
        <w:t xml:space="preserve">DESE’s </w:t>
      </w:r>
      <w:r w:rsidRPr="00E347DA">
        <w:rPr>
          <w:rFonts w:ascii="Aptos" w:eastAsia="Times New Roman" w:hAnsi="Aptos" w:cs="Times New Roman"/>
          <w:bCs/>
          <w:color w:val="000000"/>
          <w:sz w:val="25"/>
          <w:szCs w:val="25"/>
        </w:rPr>
        <w:t xml:space="preserve">violations of Section 1412 of the IDEA exists </w:t>
      </w:r>
      <w:r w:rsidR="00E612B9">
        <w:rPr>
          <w:rFonts w:ascii="Aptos" w:eastAsia="Times New Roman" w:hAnsi="Aptos" w:cs="Times New Roman"/>
          <w:bCs/>
          <w:color w:val="000000"/>
          <w:sz w:val="25"/>
          <w:szCs w:val="25"/>
        </w:rPr>
        <w:t>in</w:t>
      </w:r>
      <w:r w:rsidRPr="00E347DA">
        <w:rPr>
          <w:rFonts w:ascii="Aptos" w:eastAsia="Times New Roman" w:hAnsi="Aptos" w:cs="Times New Roman"/>
          <w:bCs/>
          <w:color w:val="000000"/>
          <w:sz w:val="25"/>
          <w:szCs w:val="25"/>
        </w:rPr>
        <w:t xml:space="preserve"> Section 1415 of the IDEA</w:t>
      </w:r>
      <w:r>
        <w:rPr>
          <w:rStyle w:val="FootnoteReference"/>
          <w:rFonts w:ascii="Aptos" w:eastAsia="Times New Roman" w:hAnsi="Aptos" w:cs="Times New Roman"/>
          <w:bCs/>
          <w:color w:val="000000"/>
          <w:sz w:val="25"/>
          <w:szCs w:val="25"/>
        </w:rPr>
        <w:footnoteReference w:id="15"/>
      </w:r>
      <w:r w:rsidRPr="00E347DA">
        <w:rPr>
          <w:rFonts w:ascii="Aptos" w:eastAsia="Times New Roman" w:hAnsi="Aptos" w:cs="Times New Roman"/>
          <w:bCs/>
          <w:color w:val="000000"/>
          <w:sz w:val="25"/>
          <w:szCs w:val="25"/>
        </w:rPr>
        <w:t xml:space="preserve">.  </w:t>
      </w:r>
      <w:r w:rsidR="00991D5C">
        <w:rPr>
          <w:rFonts w:ascii="Aptos" w:eastAsia="Times New Roman" w:hAnsi="Aptos" w:cs="Times New Roman"/>
          <w:bCs/>
          <w:color w:val="000000"/>
          <w:sz w:val="25"/>
          <w:szCs w:val="25"/>
        </w:rPr>
        <w:t xml:space="preserve">Moreover, </w:t>
      </w:r>
      <w:r w:rsidR="005553C6">
        <w:rPr>
          <w:rFonts w:ascii="Aptos" w:eastAsia="Times New Roman" w:hAnsi="Aptos" w:cs="Times New Roman"/>
          <w:bCs/>
          <w:color w:val="000000"/>
          <w:sz w:val="25"/>
          <w:szCs w:val="25"/>
        </w:rPr>
        <w:t xml:space="preserve">other provisions in Section 1412 of </w:t>
      </w:r>
      <w:r w:rsidR="009A3C8E">
        <w:rPr>
          <w:rFonts w:ascii="Aptos" w:eastAsia="Times New Roman" w:hAnsi="Aptos" w:cs="Times New Roman"/>
          <w:bCs/>
          <w:color w:val="000000"/>
          <w:sz w:val="25"/>
          <w:szCs w:val="25"/>
        </w:rPr>
        <w:t xml:space="preserve">the IDEA recognize that </w:t>
      </w:r>
      <w:r w:rsidR="00991D5C">
        <w:rPr>
          <w:rFonts w:ascii="Aptos" w:eastAsia="Times New Roman" w:hAnsi="Aptos" w:cs="Times New Roman"/>
          <w:bCs/>
          <w:color w:val="000000"/>
          <w:sz w:val="25"/>
          <w:szCs w:val="25"/>
        </w:rPr>
        <w:t xml:space="preserve">DESE’s general supervisory obligations are distinct </w:t>
      </w:r>
      <w:r w:rsidR="009A3C8E">
        <w:rPr>
          <w:rFonts w:ascii="Aptos" w:eastAsia="Times New Roman" w:hAnsi="Aptos" w:cs="Times New Roman"/>
          <w:bCs/>
          <w:color w:val="000000"/>
          <w:sz w:val="25"/>
          <w:szCs w:val="25"/>
        </w:rPr>
        <w:t>from a local educational agency’s (LEA’s) obligations to provide a FAPE or direct services to students with disabilities</w:t>
      </w:r>
      <w:r w:rsidR="00144542">
        <w:rPr>
          <w:rStyle w:val="FootnoteReference"/>
          <w:rFonts w:ascii="Aptos" w:eastAsia="Times New Roman" w:hAnsi="Aptos" w:cs="Times New Roman"/>
          <w:bCs/>
          <w:color w:val="000000"/>
          <w:sz w:val="25"/>
          <w:szCs w:val="25"/>
        </w:rPr>
        <w:footnoteReference w:id="16"/>
      </w:r>
      <w:r w:rsidR="00144542">
        <w:rPr>
          <w:rFonts w:ascii="Aptos" w:eastAsia="Times New Roman" w:hAnsi="Aptos" w:cs="Times New Roman"/>
          <w:bCs/>
          <w:color w:val="000000"/>
          <w:sz w:val="25"/>
          <w:szCs w:val="25"/>
        </w:rPr>
        <w:t>.</w:t>
      </w:r>
      <w:r w:rsidR="00AD5836">
        <w:rPr>
          <w:rFonts w:ascii="Aptos" w:eastAsia="Times New Roman" w:hAnsi="Aptos" w:cs="Times New Roman"/>
          <w:bCs/>
          <w:color w:val="000000"/>
          <w:sz w:val="25"/>
          <w:szCs w:val="25"/>
        </w:rPr>
        <w:t xml:space="preserve">  </w:t>
      </w:r>
    </w:p>
    <w:p w14:paraId="12EEA85D" w14:textId="77777777" w:rsidR="00D07822" w:rsidRDefault="00D07822" w:rsidP="00DB27B1">
      <w:pPr>
        <w:spacing w:after="0" w:line="240" w:lineRule="auto"/>
        <w:rPr>
          <w:rFonts w:ascii="Aptos" w:eastAsia="Times New Roman" w:hAnsi="Aptos" w:cs="Times New Roman"/>
          <w:bCs/>
          <w:color w:val="000000"/>
          <w:sz w:val="25"/>
          <w:szCs w:val="25"/>
        </w:rPr>
      </w:pPr>
    </w:p>
    <w:p w14:paraId="0CBD3479" w14:textId="77777777" w:rsidR="00486591" w:rsidRDefault="00D07822" w:rsidP="00DB27B1">
      <w:pPr>
        <w:spacing w:after="0" w:line="240" w:lineRule="auto"/>
        <w:rPr>
          <w:rFonts w:ascii="Aptos" w:eastAsia="Times New Roman" w:hAnsi="Aptos" w:cs="Times New Roman"/>
          <w:bCs/>
          <w:color w:val="000000"/>
          <w:sz w:val="25"/>
          <w:szCs w:val="25"/>
        </w:rPr>
      </w:pPr>
      <w:r>
        <w:rPr>
          <w:rFonts w:ascii="Aptos" w:eastAsia="Times New Roman" w:hAnsi="Aptos" w:cs="Times New Roman"/>
          <w:bCs/>
          <w:color w:val="000000"/>
          <w:sz w:val="25"/>
          <w:szCs w:val="25"/>
        </w:rPr>
        <w:t xml:space="preserve">The lack of a private right of action </w:t>
      </w:r>
      <w:r w:rsidR="008A7465">
        <w:rPr>
          <w:rFonts w:ascii="Aptos" w:eastAsia="Times New Roman" w:hAnsi="Aptos" w:cs="Times New Roman"/>
          <w:bCs/>
          <w:color w:val="000000"/>
          <w:sz w:val="25"/>
          <w:szCs w:val="25"/>
        </w:rPr>
        <w:t>for DESE’s violations of Section 1412 does not mean DESE can never be named as a party in a due process proceeding under Section 1415.</w:t>
      </w:r>
      <w:r w:rsidR="00496EAD">
        <w:rPr>
          <w:rFonts w:ascii="Aptos" w:eastAsia="Times New Roman" w:hAnsi="Aptos" w:cs="Times New Roman"/>
          <w:bCs/>
          <w:color w:val="000000"/>
          <w:sz w:val="25"/>
          <w:szCs w:val="25"/>
        </w:rPr>
        <w:t xml:space="preserve">  Federal guidance has long supported </w:t>
      </w:r>
      <w:r w:rsidR="00B50639">
        <w:rPr>
          <w:rFonts w:ascii="Aptos" w:eastAsia="Times New Roman" w:hAnsi="Aptos" w:cs="Times New Roman"/>
          <w:bCs/>
          <w:color w:val="000000"/>
          <w:sz w:val="25"/>
          <w:szCs w:val="25"/>
        </w:rPr>
        <w:t>the right of a “</w:t>
      </w:r>
      <w:r w:rsidR="00B50639" w:rsidRPr="00B50639">
        <w:rPr>
          <w:rFonts w:ascii="Aptos" w:eastAsia="Times New Roman" w:hAnsi="Aptos" w:cs="Times New Roman"/>
          <w:bCs/>
          <w:color w:val="000000"/>
          <w:sz w:val="25"/>
          <w:szCs w:val="25"/>
        </w:rPr>
        <w:t xml:space="preserve">parent </w:t>
      </w:r>
      <w:r w:rsidR="00B50639">
        <w:rPr>
          <w:rFonts w:ascii="Aptos" w:eastAsia="Times New Roman" w:hAnsi="Aptos" w:cs="Times New Roman"/>
          <w:bCs/>
          <w:color w:val="000000"/>
          <w:sz w:val="25"/>
          <w:szCs w:val="25"/>
        </w:rPr>
        <w:t xml:space="preserve">[to] </w:t>
      </w:r>
      <w:r w:rsidR="00B50639" w:rsidRPr="00B50639">
        <w:rPr>
          <w:rFonts w:ascii="Aptos" w:eastAsia="Times New Roman" w:hAnsi="Aptos" w:cs="Times New Roman"/>
          <w:bCs/>
          <w:color w:val="000000"/>
          <w:sz w:val="25"/>
          <w:szCs w:val="25"/>
        </w:rPr>
        <w:t xml:space="preserve">file a due process complaint against an SEA and the </w:t>
      </w:r>
      <w:r w:rsidR="00B50639">
        <w:rPr>
          <w:rFonts w:ascii="Aptos" w:eastAsia="Times New Roman" w:hAnsi="Aptos" w:cs="Times New Roman"/>
          <w:bCs/>
          <w:color w:val="000000"/>
          <w:sz w:val="25"/>
          <w:szCs w:val="25"/>
        </w:rPr>
        <w:t>[corresponding right of a</w:t>
      </w:r>
      <w:r w:rsidR="00050334">
        <w:rPr>
          <w:rFonts w:ascii="Aptos" w:eastAsia="Times New Roman" w:hAnsi="Aptos" w:cs="Times New Roman"/>
          <w:bCs/>
          <w:color w:val="000000"/>
          <w:sz w:val="25"/>
          <w:szCs w:val="25"/>
        </w:rPr>
        <w:t xml:space="preserve">] </w:t>
      </w:r>
      <w:r w:rsidR="00B50639" w:rsidRPr="00B50639">
        <w:rPr>
          <w:rFonts w:ascii="Aptos" w:eastAsia="Times New Roman" w:hAnsi="Aptos" w:cs="Times New Roman"/>
          <w:bCs/>
          <w:color w:val="000000"/>
          <w:sz w:val="25"/>
          <w:szCs w:val="25"/>
        </w:rPr>
        <w:t xml:space="preserve">hearing officer </w:t>
      </w:r>
      <w:r w:rsidR="00B50639">
        <w:rPr>
          <w:rFonts w:ascii="Aptos" w:eastAsia="Times New Roman" w:hAnsi="Aptos" w:cs="Times New Roman"/>
          <w:bCs/>
          <w:color w:val="000000"/>
          <w:sz w:val="25"/>
          <w:szCs w:val="25"/>
        </w:rPr>
        <w:t>[</w:t>
      </w:r>
      <w:r w:rsidR="005535CA">
        <w:rPr>
          <w:rFonts w:ascii="Aptos" w:eastAsia="Times New Roman" w:hAnsi="Aptos" w:cs="Times New Roman"/>
          <w:bCs/>
          <w:color w:val="000000"/>
          <w:sz w:val="25"/>
          <w:szCs w:val="25"/>
        </w:rPr>
        <w:t xml:space="preserve"> </w:t>
      </w:r>
      <w:r w:rsidR="00B50639">
        <w:rPr>
          <w:rFonts w:ascii="Aptos" w:eastAsia="Times New Roman" w:hAnsi="Aptos" w:cs="Times New Roman"/>
          <w:bCs/>
          <w:color w:val="000000"/>
          <w:sz w:val="25"/>
          <w:szCs w:val="25"/>
        </w:rPr>
        <w:t>]</w:t>
      </w:r>
      <w:r w:rsidR="005535CA">
        <w:rPr>
          <w:rFonts w:ascii="Aptos" w:eastAsia="Times New Roman" w:hAnsi="Aptos" w:cs="Times New Roman"/>
          <w:bCs/>
          <w:color w:val="000000"/>
          <w:sz w:val="25"/>
          <w:szCs w:val="25"/>
        </w:rPr>
        <w:t xml:space="preserve"> </w:t>
      </w:r>
      <w:r w:rsidR="00B50639" w:rsidRPr="00B50639">
        <w:rPr>
          <w:rFonts w:ascii="Aptos" w:eastAsia="Times New Roman" w:hAnsi="Aptos" w:cs="Times New Roman"/>
          <w:bCs/>
          <w:color w:val="000000"/>
          <w:sz w:val="25"/>
          <w:szCs w:val="25"/>
        </w:rPr>
        <w:t>to determine, based on the individual facts and circumstances in the case, whether the SEA is a proper party to the due process hearing</w:t>
      </w:r>
      <w:r w:rsidR="005535CA">
        <w:rPr>
          <w:rFonts w:ascii="Aptos" w:eastAsia="Times New Roman" w:hAnsi="Aptos" w:cs="Times New Roman"/>
          <w:bCs/>
          <w:color w:val="000000"/>
          <w:sz w:val="25"/>
          <w:szCs w:val="25"/>
        </w:rPr>
        <w:t>”</w:t>
      </w:r>
      <w:r w:rsidR="005535CA">
        <w:rPr>
          <w:rStyle w:val="FootnoteReference"/>
          <w:rFonts w:ascii="Aptos" w:eastAsia="Times New Roman" w:hAnsi="Aptos" w:cs="Times New Roman"/>
          <w:bCs/>
          <w:color w:val="000000"/>
          <w:sz w:val="25"/>
          <w:szCs w:val="25"/>
        </w:rPr>
        <w:footnoteReference w:id="17"/>
      </w:r>
      <w:r w:rsidR="00B50639" w:rsidRPr="00B50639">
        <w:rPr>
          <w:rFonts w:ascii="Aptos" w:eastAsia="Times New Roman" w:hAnsi="Aptos" w:cs="Times New Roman"/>
          <w:bCs/>
          <w:color w:val="000000"/>
          <w:sz w:val="25"/>
          <w:szCs w:val="25"/>
        </w:rPr>
        <w:t xml:space="preserve">. </w:t>
      </w:r>
      <w:r w:rsidR="0027208C">
        <w:rPr>
          <w:rFonts w:ascii="Aptos" w:eastAsia="Times New Roman" w:hAnsi="Aptos" w:cs="Times New Roman"/>
          <w:bCs/>
          <w:color w:val="000000"/>
          <w:sz w:val="25"/>
          <w:szCs w:val="25"/>
        </w:rPr>
        <w:t xml:space="preserve"> In the same way, a party could seek </w:t>
      </w:r>
      <w:r w:rsidR="0027208C">
        <w:rPr>
          <w:rFonts w:ascii="Aptos" w:eastAsia="Times New Roman" w:hAnsi="Aptos" w:cs="Times New Roman"/>
          <w:bCs/>
          <w:color w:val="000000"/>
          <w:sz w:val="25"/>
          <w:szCs w:val="25"/>
        </w:rPr>
        <w:lastRenderedPageBreak/>
        <w:t>joinder of an SEA (DESE) and it is up to the</w:t>
      </w:r>
      <w:r w:rsidR="00735507">
        <w:rPr>
          <w:rFonts w:ascii="Aptos" w:eastAsia="Times New Roman" w:hAnsi="Aptos" w:cs="Times New Roman"/>
          <w:bCs/>
          <w:color w:val="000000"/>
          <w:sz w:val="25"/>
          <w:szCs w:val="25"/>
        </w:rPr>
        <w:t xml:space="preserve"> BSEA hearing officer to determine the appropriateness of such a request, in accordance with the </w:t>
      </w:r>
      <w:r w:rsidR="00527CB4">
        <w:rPr>
          <w:rFonts w:ascii="Aptos" w:eastAsia="Times New Roman" w:hAnsi="Aptos" w:cs="Times New Roman"/>
          <w:bCs/>
          <w:color w:val="000000"/>
          <w:sz w:val="25"/>
          <w:szCs w:val="25"/>
        </w:rPr>
        <w:t xml:space="preserve">statutory, regulatory and procedural requirements governing joinder.  </w:t>
      </w:r>
    </w:p>
    <w:p w14:paraId="03E0D483" w14:textId="77777777" w:rsidR="00486591" w:rsidRDefault="00486591" w:rsidP="00DB27B1">
      <w:pPr>
        <w:spacing w:after="0" w:line="240" w:lineRule="auto"/>
        <w:rPr>
          <w:rFonts w:ascii="Aptos" w:eastAsia="Times New Roman" w:hAnsi="Aptos" w:cs="Times New Roman"/>
          <w:bCs/>
          <w:color w:val="000000"/>
          <w:sz w:val="25"/>
          <w:szCs w:val="25"/>
        </w:rPr>
      </w:pPr>
    </w:p>
    <w:p w14:paraId="076453E5" w14:textId="32B720CA" w:rsidR="004604AB" w:rsidRDefault="00D02BE0" w:rsidP="00DB27B1">
      <w:pPr>
        <w:spacing w:after="0" w:line="240" w:lineRule="auto"/>
        <w:rPr>
          <w:rFonts w:ascii="Aptos" w:eastAsia="Times New Roman" w:hAnsi="Aptos" w:cs="Times New Roman"/>
          <w:bCs/>
          <w:color w:val="000000"/>
          <w:sz w:val="25"/>
          <w:szCs w:val="25"/>
        </w:rPr>
      </w:pPr>
      <w:r>
        <w:rPr>
          <w:rFonts w:ascii="Aptos" w:eastAsia="Times New Roman" w:hAnsi="Aptos" w:cs="Times New Roman"/>
          <w:bCs/>
          <w:color w:val="000000"/>
          <w:sz w:val="25"/>
          <w:szCs w:val="25"/>
        </w:rPr>
        <w:t xml:space="preserve">For an </w:t>
      </w:r>
      <w:r w:rsidR="00D2771A">
        <w:rPr>
          <w:rFonts w:ascii="Aptos" w:eastAsia="Times New Roman" w:hAnsi="Aptos" w:cs="Times New Roman"/>
          <w:bCs/>
          <w:color w:val="000000"/>
          <w:sz w:val="25"/>
          <w:szCs w:val="25"/>
        </w:rPr>
        <w:t xml:space="preserve">SEA </w:t>
      </w:r>
      <w:r>
        <w:rPr>
          <w:rFonts w:ascii="Aptos" w:eastAsia="Times New Roman" w:hAnsi="Aptos" w:cs="Times New Roman"/>
          <w:bCs/>
          <w:color w:val="000000"/>
          <w:sz w:val="25"/>
          <w:szCs w:val="25"/>
        </w:rPr>
        <w:t xml:space="preserve">to be liable </w:t>
      </w:r>
      <w:r w:rsidR="003D5881">
        <w:rPr>
          <w:rFonts w:ascii="Aptos" w:eastAsia="Times New Roman" w:hAnsi="Aptos" w:cs="Times New Roman"/>
          <w:bCs/>
          <w:color w:val="000000"/>
          <w:sz w:val="25"/>
          <w:szCs w:val="25"/>
        </w:rPr>
        <w:t>for denials of FAPE</w:t>
      </w:r>
      <w:r w:rsidR="00D2771A">
        <w:rPr>
          <w:rFonts w:ascii="Aptos" w:eastAsia="Times New Roman" w:hAnsi="Aptos" w:cs="Times New Roman"/>
          <w:bCs/>
          <w:color w:val="000000"/>
          <w:sz w:val="25"/>
          <w:szCs w:val="25"/>
        </w:rPr>
        <w:t xml:space="preserve">, however, </w:t>
      </w:r>
      <w:r w:rsidR="003015D2">
        <w:rPr>
          <w:rFonts w:ascii="Aptos" w:eastAsia="Times New Roman" w:hAnsi="Aptos" w:cs="Times New Roman"/>
          <w:bCs/>
          <w:color w:val="000000"/>
          <w:sz w:val="25"/>
          <w:szCs w:val="25"/>
        </w:rPr>
        <w:t xml:space="preserve">specific </w:t>
      </w:r>
      <w:r w:rsidR="00B22F57">
        <w:rPr>
          <w:rFonts w:ascii="Aptos" w:eastAsia="Times New Roman" w:hAnsi="Aptos" w:cs="Times New Roman"/>
          <w:bCs/>
          <w:color w:val="000000"/>
          <w:sz w:val="25"/>
          <w:szCs w:val="25"/>
        </w:rPr>
        <w:t xml:space="preserve">actions or inactions by the SEA </w:t>
      </w:r>
      <w:r w:rsidR="00EF3F87">
        <w:rPr>
          <w:rFonts w:ascii="Aptos" w:eastAsia="Times New Roman" w:hAnsi="Aptos" w:cs="Times New Roman"/>
          <w:bCs/>
          <w:color w:val="000000"/>
          <w:sz w:val="25"/>
          <w:szCs w:val="25"/>
        </w:rPr>
        <w:t xml:space="preserve">must </w:t>
      </w:r>
      <w:r w:rsidR="00B22F57">
        <w:rPr>
          <w:rFonts w:ascii="Aptos" w:eastAsia="Times New Roman" w:hAnsi="Aptos" w:cs="Times New Roman"/>
          <w:bCs/>
          <w:color w:val="000000"/>
          <w:sz w:val="25"/>
          <w:szCs w:val="25"/>
        </w:rPr>
        <w:t xml:space="preserve">have contributed to or caused </w:t>
      </w:r>
      <w:r w:rsidR="003D5881">
        <w:rPr>
          <w:rFonts w:ascii="Aptos" w:eastAsia="Times New Roman" w:hAnsi="Aptos" w:cs="Times New Roman"/>
          <w:bCs/>
          <w:color w:val="000000"/>
          <w:sz w:val="25"/>
          <w:szCs w:val="25"/>
        </w:rPr>
        <w:t>such a</w:t>
      </w:r>
      <w:r w:rsidR="00B22F57">
        <w:rPr>
          <w:rFonts w:ascii="Aptos" w:eastAsia="Times New Roman" w:hAnsi="Aptos" w:cs="Times New Roman"/>
          <w:bCs/>
          <w:color w:val="000000"/>
          <w:sz w:val="25"/>
          <w:szCs w:val="25"/>
        </w:rPr>
        <w:t xml:space="preserve"> denial</w:t>
      </w:r>
      <w:r w:rsidR="00B15A5E">
        <w:rPr>
          <w:rStyle w:val="FootnoteReference"/>
          <w:rFonts w:ascii="Aptos" w:eastAsia="Times New Roman" w:hAnsi="Aptos" w:cs="Times New Roman"/>
          <w:bCs/>
          <w:color w:val="000000"/>
          <w:sz w:val="25"/>
          <w:szCs w:val="25"/>
        </w:rPr>
        <w:footnoteReference w:id="18"/>
      </w:r>
      <w:r w:rsidR="00B22F57">
        <w:rPr>
          <w:rFonts w:ascii="Aptos" w:eastAsia="Times New Roman" w:hAnsi="Aptos" w:cs="Times New Roman"/>
          <w:bCs/>
          <w:color w:val="000000"/>
          <w:sz w:val="25"/>
          <w:szCs w:val="25"/>
        </w:rPr>
        <w:t xml:space="preserve">.  </w:t>
      </w:r>
      <w:r w:rsidR="00323377">
        <w:rPr>
          <w:rFonts w:ascii="Aptos" w:eastAsia="Times New Roman" w:hAnsi="Aptos" w:cs="Times New Roman"/>
          <w:bCs/>
          <w:color w:val="000000"/>
          <w:sz w:val="25"/>
          <w:szCs w:val="25"/>
        </w:rPr>
        <w:t>“</w:t>
      </w:r>
      <w:r w:rsidR="00323377" w:rsidRPr="00323377">
        <w:rPr>
          <w:rFonts w:ascii="Aptos" w:eastAsia="Times New Roman" w:hAnsi="Aptos" w:cs="Times New Roman"/>
          <w:bCs/>
          <w:color w:val="000000"/>
          <w:sz w:val="25"/>
          <w:szCs w:val="25"/>
        </w:rPr>
        <w:t>In other words</w:t>
      </w:r>
      <w:r w:rsidR="000436C9">
        <w:rPr>
          <w:rFonts w:ascii="Aptos" w:eastAsia="Times New Roman" w:hAnsi="Aptos" w:cs="Times New Roman"/>
          <w:bCs/>
          <w:color w:val="000000"/>
          <w:sz w:val="25"/>
          <w:szCs w:val="25"/>
        </w:rPr>
        <w:t xml:space="preserve"> … </w:t>
      </w:r>
      <w:r w:rsidR="00323377" w:rsidRPr="00323377">
        <w:rPr>
          <w:rFonts w:ascii="Aptos" w:eastAsia="Times New Roman" w:hAnsi="Aptos" w:cs="Times New Roman"/>
          <w:bCs/>
          <w:color w:val="000000"/>
          <w:sz w:val="25"/>
          <w:szCs w:val="25"/>
        </w:rPr>
        <w:t>IDEA does not create a type of respondeat superior liability, imputing liability to SEAs for every local deviation from the State-created standards</w:t>
      </w:r>
      <w:r w:rsidR="000436C9">
        <w:rPr>
          <w:rFonts w:ascii="Aptos" w:eastAsia="Times New Roman" w:hAnsi="Aptos" w:cs="Times New Roman"/>
          <w:bCs/>
          <w:color w:val="000000"/>
          <w:sz w:val="25"/>
          <w:szCs w:val="25"/>
        </w:rPr>
        <w:t>”</w:t>
      </w:r>
      <w:r w:rsidR="000436C9">
        <w:rPr>
          <w:rStyle w:val="FootnoteReference"/>
          <w:rFonts w:ascii="Aptos" w:eastAsia="Times New Roman" w:hAnsi="Aptos" w:cs="Times New Roman"/>
          <w:bCs/>
          <w:color w:val="000000"/>
          <w:sz w:val="25"/>
          <w:szCs w:val="25"/>
        </w:rPr>
        <w:footnoteReference w:id="19"/>
      </w:r>
      <w:r w:rsidR="000436C9">
        <w:rPr>
          <w:rFonts w:ascii="Aptos" w:eastAsia="Times New Roman" w:hAnsi="Aptos" w:cs="Times New Roman"/>
          <w:bCs/>
          <w:color w:val="000000"/>
          <w:sz w:val="25"/>
          <w:szCs w:val="25"/>
        </w:rPr>
        <w:t xml:space="preserve">.  </w:t>
      </w:r>
      <w:r w:rsidR="002E6038">
        <w:rPr>
          <w:rFonts w:ascii="Aptos" w:eastAsia="Times New Roman" w:hAnsi="Aptos" w:cs="Times New Roman"/>
          <w:bCs/>
          <w:color w:val="000000"/>
          <w:sz w:val="25"/>
          <w:szCs w:val="25"/>
        </w:rPr>
        <w:t>The First Circuit has long recognized that the IDEA</w:t>
      </w:r>
      <w:r w:rsidR="00104454">
        <w:rPr>
          <w:rFonts w:ascii="Aptos" w:eastAsia="Times New Roman" w:hAnsi="Aptos" w:cs="Times New Roman"/>
          <w:bCs/>
          <w:color w:val="000000"/>
          <w:sz w:val="25"/>
          <w:szCs w:val="25"/>
        </w:rPr>
        <w:t xml:space="preserve"> “</w:t>
      </w:r>
      <w:r w:rsidR="00104454" w:rsidRPr="00104454">
        <w:rPr>
          <w:rFonts w:ascii="Aptos" w:eastAsia="Times New Roman" w:hAnsi="Aptos" w:cs="Times New Roman"/>
          <w:bCs/>
          <w:color w:val="000000"/>
          <w:sz w:val="25"/>
          <w:szCs w:val="25"/>
        </w:rPr>
        <w:t>places obligations upon the LEAs and designates the states as the enforcers of compliance with the federal laws</w:t>
      </w:r>
      <w:r w:rsidR="00104454">
        <w:rPr>
          <w:rFonts w:ascii="Aptos" w:eastAsia="Times New Roman" w:hAnsi="Aptos" w:cs="Times New Roman"/>
          <w:bCs/>
          <w:color w:val="000000"/>
          <w:sz w:val="25"/>
          <w:szCs w:val="25"/>
        </w:rPr>
        <w:t>”</w:t>
      </w:r>
      <w:r w:rsidR="00104454">
        <w:rPr>
          <w:rStyle w:val="FootnoteReference"/>
          <w:rFonts w:ascii="Aptos" w:eastAsia="Times New Roman" w:hAnsi="Aptos" w:cs="Times New Roman"/>
          <w:bCs/>
          <w:color w:val="000000"/>
          <w:sz w:val="25"/>
          <w:szCs w:val="25"/>
        </w:rPr>
        <w:footnoteReference w:id="20"/>
      </w:r>
      <w:r w:rsidR="00104454">
        <w:rPr>
          <w:rFonts w:ascii="Aptos" w:eastAsia="Times New Roman" w:hAnsi="Aptos" w:cs="Times New Roman"/>
          <w:bCs/>
          <w:color w:val="000000"/>
          <w:sz w:val="25"/>
          <w:szCs w:val="25"/>
        </w:rPr>
        <w:t>.</w:t>
      </w:r>
      <w:r w:rsidR="001C0FF3">
        <w:rPr>
          <w:rFonts w:ascii="Aptos" w:eastAsia="Times New Roman" w:hAnsi="Aptos" w:cs="Times New Roman"/>
          <w:bCs/>
          <w:color w:val="000000"/>
          <w:sz w:val="25"/>
          <w:szCs w:val="25"/>
        </w:rPr>
        <w:t xml:space="preserve">  Relying on this holding, the Tenth Circuit </w:t>
      </w:r>
      <w:r w:rsidR="00BF6184">
        <w:rPr>
          <w:rFonts w:ascii="Aptos" w:eastAsia="Times New Roman" w:hAnsi="Aptos" w:cs="Times New Roman"/>
          <w:bCs/>
          <w:color w:val="000000"/>
          <w:sz w:val="25"/>
          <w:szCs w:val="25"/>
        </w:rPr>
        <w:t>subsequently concluded</w:t>
      </w:r>
      <w:r w:rsidR="00142F36">
        <w:rPr>
          <w:rFonts w:ascii="Aptos" w:eastAsia="Times New Roman" w:hAnsi="Aptos" w:cs="Times New Roman"/>
          <w:bCs/>
          <w:color w:val="000000"/>
          <w:sz w:val="25"/>
          <w:szCs w:val="25"/>
        </w:rPr>
        <w:t xml:space="preserve"> that th</w:t>
      </w:r>
      <w:r w:rsidR="000836F9">
        <w:rPr>
          <w:rFonts w:ascii="Aptos" w:eastAsia="Times New Roman" w:hAnsi="Aptos" w:cs="Times New Roman"/>
          <w:bCs/>
          <w:color w:val="000000"/>
          <w:sz w:val="25"/>
          <w:szCs w:val="25"/>
        </w:rPr>
        <w:t>is</w:t>
      </w:r>
      <w:r w:rsidR="008F1873">
        <w:rPr>
          <w:rFonts w:ascii="Aptos" w:eastAsia="Times New Roman" w:hAnsi="Aptos" w:cs="Times New Roman"/>
          <w:bCs/>
          <w:color w:val="000000"/>
          <w:sz w:val="25"/>
          <w:szCs w:val="25"/>
        </w:rPr>
        <w:t xml:space="preserve"> </w:t>
      </w:r>
      <w:r w:rsidR="00142F36">
        <w:rPr>
          <w:rFonts w:ascii="Aptos" w:eastAsia="Times New Roman" w:hAnsi="Aptos" w:cs="Times New Roman"/>
          <w:bCs/>
          <w:color w:val="000000"/>
          <w:sz w:val="25"/>
          <w:szCs w:val="25"/>
        </w:rPr>
        <w:t xml:space="preserve">statutory scheme </w:t>
      </w:r>
      <w:r w:rsidR="00BF6184">
        <w:rPr>
          <w:rFonts w:ascii="Aptos" w:eastAsia="Times New Roman" w:hAnsi="Aptos" w:cs="Times New Roman"/>
          <w:bCs/>
          <w:color w:val="000000"/>
          <w:sz w:val="25"/>
          <w:szCs w:val="25"/>
        </w:rPr>
        <w:t>in</w:t>
      </w:r>
      <w:r w:rsidR="000836F9">
        <w:rPr>
          <w:rFonts w:ascii="Aptos" w:eastAsia="Times New Roman" w:hAnsi="Aptos" w:cs="Times New Roman"/>
          <w:bCs/>
          <w:color w:val="000000"/>
          <w:sz w:val="25"/>
          <w:szCs w:val="25"/>
        </w:rPr>
        <w:t xml:space="preserve"> the IDEA </w:t>
      </w:r>
      <w:r w:rsidR="00401480">
        <w:rPr>
          <w:rFonts w:ascii="Aptos" w:eastAsia="Times New Roman" w:hAnsi="Aptos" w:cs="Times New Roman"/>
          <w:bCs/>
          <w:color w:val="000000"/>
          <w:sz w:val="25"/>
          <w:szCs w:val="25"/>
        </w:rPr>
        <w:t>“</w:t>
      </w:r>
      <w:r w:rsidR="00401480" w:rsidRPr="00401480">
        <w:rPr>
          <w:rFonts w:ascii="Aptos" w:eastAsia="Times New Roman" w:hAnsi="Aptos" w:cs="Times New Roman"/>
          <w:bCs/>
          <w:color w:val="000000"/>
          <w:sz w:val="25"/>
          <w:szCs w:val="25"/>
        </w:rPr>
        <w:t xml:space="preserve">does not turn every </w:t>
      </w:r>
      <w:r w:rsidR="00401480">
        <w:rPr>
          <w:rFonts w:ascii="Aptos" w:eastAsia="Times New Roman" w:hAnsi="Aptos" w:cs="Times New Roman"/>
          <w:bCs/>
          <w:color w:val="000000"/>
          <w:sz w:val="25"/>
          <w:szCs w:val="25"/>
        </w:rPr>
        <w:t>‘</w:t>
      </w:r>
      <w:r w:rsidR="00401480" w:rsidRPr="00401480">
        <w:rPr>
          <w:rFonts w:ascii="Aptos" w:eastAsia="Times New Roman" w:hAnsi="Aptos" w:cs="Times New Roman"/>
          <w:bCs/>
          <w:color w:val="000000"/>
          <w:sz w:val="25"/>
          <w:szCs w:val="25"/>
        </w:rPr>
        <w:t>local educational agency</w:t>
      </w:r>
      <w:r w:rsidR="00401480">
        <w:rPr>
          <w:rFonts w:ascii="Aptos" w:eastAsia="Times New Roman" w:hAnsi="Aptos" w:cs="Times New Roman"/>
          <w:bCs/>
          <w:color w:val="000000"/>
          <w:sz w:val="25"/>
          <w:szCs w:val="25"/>
        </w:rPr>
        <w:t>’</w:t>
      </w:r>
      <w:r w:rsidR="00401480" w:rsidRPr="00401480">
        <w:rPr>
          <w:rFonts w:ascii="Aptos" w:eastAsia="Times New Roman" w:hAnsi="Aptos" w:cs="Times New Roman"/>
          <w:bCs/>
          <w:color w:val="000000"/>
          <w:sz w:val="25"/>
          <w:szCs w:val="25"/>
        </w:rPr>
        <w:t xml:space="preserve"> under the statute </w:t>
      </w:r>
      <w:r w:rsidR="00401480">
        <w:rPr>
          <w:rFonts w:ascii="Aptos" w:eastAsia="Times New Roman" w:hAnsi="Aptos" w:cs="Times New Roman"/>
          <w:bCs/>
          <w:color w:val="000000"/>
          <w:sz w:val="25"/>
          <w:szCs w:val="25"/>
        </w:rPr>
        <w:t xml:space="preserve">… </w:t>
      </w:r>
      <w:r w:rsidR="00401480" w:rsidRPr="00401480">
        <w:rPr>
          <w:rFonts w:ascii="Aptos" w:eastAsia="Times New Roman" w:hAnsi="Aptos" w:cs="Times New Roman"/>
          <w:bCs/>
          <w:color w:val="000000"/>
          <w:sz w:val="25"/>
          <w:szCs w:val="25"/>
        </w:rPr>
        <w:t xml:space="preserve">into the agent of the </w:t>
      </w:r>
      <w:r w:rsidR="00401480">
        <w:rPr>
          <w:rFonts w:ascii="Aptos" w:eastAsia="Times New Roman" w:hAnsi="Aptos" w:cs="Times New Roman"/>
          <w:bCs/>
          <w:color w:val="000000"/>
          <w:sz w:val="25"/>
          <w:szCs w:val="25"/>
        </w:rPr>
        <w:t>‘</w:t>
      </w:r>
      <w:r w:rsidR="00401480" w:rsidRPr="00401480">
        <w:rPr>
          <w:rFonts w:ascii="Aptos" w:eastAsia="Times New Roman" w:hAnsi="Aptos" w:cs="Times New Roman"/>
          <w:bCs/>
          <w:color w:val="000000"/>
          <w:sz w:val="25"/>
          <w:szCs w:val="25"/>
        </w:rPr>
        <w:t>State educational agency</w:t>
      </w:r>
      <w:r w:rsidR="00401480">
        <w:rPr>
          <w:rFonts w:ascii="Aptos" w:eastAsia="Times New Roman" w:hAnsi="Aptos" w:cs="Times New Roman"/>
          <w:bCs/>
          <w:color w:val="000000"/>
          <w:sz w:val="25"/>
          <w:szCs w:val="25"/>
        </w:rPr>
        <w:t>’</w:t>
      </w:r>
      <w:r w:rsidR="00401480" w:rsidRPr="00401480">
        <w:rPr>
          <w:rFonts w:ascii="Aptos" w:eastAsia="Times New Roman" w:hAnsi="Aptos" w:cs="Times New Roman"/>
          <w:bCs/>
          <w:color w:val="000000"/>
          <w:sz w:val="25"/>
          <w:szCs w:val="25"/>
        </w:rPr>
        <w:t xml:space="preserve"> as a matter of federal law, so that the latter automatically becomes legally liable for all transgressions of the former</w:t>
      </w:r>
      <w:r w:rsidR="00401480">
        <w:rPr>
          <w:rFonts w:ascii="Aptos" w:eastAsia="Times New Roman" w:hAnsi="Aptos" w:cs="Times New Roman"/>
          <w:bCs/>
          <w:color w:val="000000"/>
          <w:sz w:val="25"/>
          <w:szCs w:val="25"/>
        </w:rPr>
        <w:t>”</w:t>
      </w:r>
      <w:r w:rsidR="00401480">
        <w:rPr>
          <w:rStyle w:val="FootnoteReference"/>
          <w:rFonts w:ascii="Aptos" w:eastAsia="Times New Roman" w:hAnsi="Aptos" w:cs="Times New Roman"/>
          <w:bCs/>
          <w:color w:val="000000"/>
          <w:sz w:val="25"/>
          <w:szCs w:val="25"/>
        </w:rPr>
        <w:footnoteReference w:id="21"/>
      </w:r>
      <w:r w:rsidR="00401480">
        <w:rPr>
          <w:rFonts w:ascii="Aptos" w:eastAsia="Times New Roman" w:hAnsi="Aptos" w:cs="Times New Roman"/>
          <w:bCs/>
          <w:color w:val="000000"/>
          <w:sz w:val="25"/>
          <w:szCs w:val="25"/>
        </w:rPr>
        <w:t>.</w:t>
      </w:r>
      <w:r w:rsidR="002E6038">
        <w:rPr>
          <w:rFonts w:ascii="Aptos" w:eastAsia="Times New Roman" w:hAnsi="Aptos" w:cs="Times New Roman"/>
          <w:bCs/>
          <w:color w:val="000000"/>
          <w:sz w:val="25"/>
          <w:szCs w:val="25"/>
        </w:rPr>
        <w:t xml:space="preserve"> </w:t>
      </w:r>
      <w:r w:rsidR="000836F9">
        <w:rPr>
          <w:rFonts w:ascii="Aptos" w:eastAsia="Times New Roman" w:hAnsi="Aptos" w:cs="Times New Roman"/>
          <w:bCs/>
          <w:color w:val="000000"/>
          <w:sz w:val="25"/>
          <w:szCs w:val="25"/>
        </w:rPr>
        <w:t xml:space="preserve"> </w:t>
      </w:r>
      <w:r w:rsidR="009F6588">
        <w:rPr>
          <w:rFonts w:ascii="Aptos" w:eastAsia="Times New Roman" w:hAnsi="Aptos" w:cs="Times New Roman"/>
          <w:bCs/>
          <w:color w:val="000000"/>
          <w:sz w:val="25"/>
          <w:szCs w:val="25"/>
        </w:rPr>
        <w:t xml:space="preserve">Thus, </w:t>
      </w:r>
      <w:r w:rsidR="000C7A57">
        <w:rPr>
          <w:rFonts w:ascii="Aptos" w:eastAsia="Times New Roman" w:hAnsi="Aptos" w:cs="Times New Roman"/>
          <w:bCs/>
          <w:color w:val="000000"/>
          <w:sz w:val="25"/>
          <w:szCs w:val="25"/>
        </w:rPr>
        <w:t xml:space="preserve">while DESE </w:t>
      </w:r>
      <w:r w:rsidR="006B51AD">
        <w:rPr>
          <w:rFonts w:ascii="Aptos" w:eastAsia="Times New Roman" w:hAnsi="Aptos" w:cs="Times New Roman"/>
          <w:bCs/>
          <w:color w:val="000000"/>
          <w:sz w:val="25"/>
          <w:szCs w:val="25"/>
        </w:rPr>
        <w:t>may</w:t>
      </w:r>
      <w:r w:rsidR="000C7A57">
        <w:rPr>
          <w:rFonts w:ascii="Aptos" w:eastAsia="Times New Roman" w:hAnsi="Aptos" w:cs="Times New Roman"/>
          <w:bCs/>
          <w:color w:val="000000"/>
          <w:sz w:val="25"/>
          <w:szCs w:val="25"/>
        </w:rPr>
        <w:t xml:space="preserve">, in certain circumstances, be </w:t>
      </w:r>
      <w:r w:rsidR="006B51AD">
        <w:rPr>
          <w:rFonts w:ascii="Aptos" w:eastAsia="Times New Roman" w:hAnsi="Aptos" w:cs="Times New Roman"/>
          <w:bCs/>
          <w:color w:val="000000"/>
          <w:sz w:val="25"/>
          <w:szCs w:val="25"/>
        </w:rPr>
        <w:t xml:space="preserve">an appropriate party to a </w:t>
      </w:r>
      <w:r w:rsidR="000C7A57">
        <w:rPr>
          <w:rFonts w:ascii="Aptos" w:eastAsia="Times New Roman" w:hAnsi="Aptos" w:cs="Times New Roman"/>
          <w:bCs/>
          <w:color w:val="000000"/>
          <w:sz w:val="25"/>
          <w:szCs w:val="25"/>
        </w:rPr>
        <w:t xml:space="preserve">BSEA </w:t>
      </w:r>
      <w:r w:rsidR="006B51AD">
        <w:rPr>
          <w:rFonts w:ascii="Aptos" w:eastAsia="Times New Roman" w:hAnsi="Aptos" w:cs="Times New Roman"/>
          <w:bCs/>
          <w:color w:val="000000"/>
          <w:sz w:val="25"/>
          <w:szCs w:val="25"/>
        </w:rPr>
        <w:t xml:space="preserve">due process proceeding, something more than just its general supervisory authority obligations must be involved </w:t>
      </w:r>
      <w:r w:rsidR="00C86783">
        <w:rPr>
          <w:rFonts w:ascii="Aptos" w:eastAsia="Times New Roman" w:hAnsi="Aptos" w:cs="Times New Roman"/>
          <w:bCs/>
          <w:color w:val="000000"/>
          <w:sz w:val="25"/>
          <w:szCs w:val="25"/>
        </w:rPr>
        <w:t>to support a grant of party status</w:t>
      </w:r>
      <w:r w:rsidR="00282FC6">
        <w:rPr>
          <w:rStyle w:val="FootnoteReference"/>
          <w:rFonts w:ascii="Aptos" w:eastAsia="Times New Roman" w:hAnsi="Aptos" w:cs="Times New Roman"/>
          <w:bCs/>
          <w:color w:val="000000"/>
          <w:sz w:val="25"/>
          <w:szCs w:val="25"/>
        </w:rPr>
        <w:footnoteReference w:id="22"/>
      </w:r>
      <w:r w:rsidR="00C86783">
        <w:rPr>
          <w:rFonts w:ascii="Aptos" w:eastAsia="Times New Roman" w:hAnsi="Aptos" w:cs="Times New Roman"/>
          <w:bCs/>
          <w:color w:val="000000"/>
          <w:sz w:val="25"/>
          <w:szCs w:val="25"/>
        </w:rPr>
        <w:t xml:space="preserve">.  </w:t>
      </w:r>
      <w:r w:rsidR="00144542">
        <w:rPr>
          <w:rFonts w:ascii="Aptos" w:eastAsia="Times New Roman" w:hAnsi="Aptos" w:cs="Times New Roman"/>
          <w:bCs/>
          <w:color w:val="000000"/>
          <w:sz w:val="25"/>
          <w:szCs w:val="25"/>
        </w:rPr>
        <w:t xml:space="preserve">  </w:t>
      </w:r>
    </w:p>
    <w:p w14:paraId="2BF7073D" w14:textId="77777777" w:rsidR="00E347DA" w:rsidRDefault="00E347DA" w:rsidP="001117BC">
      <w:pPr>
        <w:spacing w:after="0" w:line="240" w:lineRule="auto"/>
        <w:rPr>
          <w:rFonts w:ascii="Aptos" w:eastAsia="Times New Roman" w:hAnsi="Aptos" w:cs="Times New Roman"/>
          <w:bCs/>
          <w:color w:val="000000"/>
          <w:sz w:val="25"/>
          <w:szCs w:val="25"/>
        </w:rPr>
      </w:pPr>
    </w:p>
    <w:p w14:paraId="12FAAE20" w14:textId="0D12F96A" w:rsidR="001117BC" w:rsidRPr="00331871" w:rsidRDefault="001117BC" w:rsidP="001117BC">
      <w:pPr>
        <w:spacing w:after="0" w:line="240" w:lineRule="auto"/>
        <w:rPr>
          <w:rFonts w:ascii="Aptos" w:eastAsia="Times New Roman" w:hAnsi="Aptos" w:cs="Times New Roman"/>
          <w:bCs/>
          <w:i/>
          <w:iCs/>
          <w:color w:val="000000"/>
          <w:sz w:val="25"/>
          <w:szCs w:val="25"/>
        </w:rPr>
      </w:pPr>
      <w:r>
        <w:rPr>
          <w:rFonts w:ascii="Aptos" w:eastAsia="Times New Roman" w:hAnsi="Aptos" w:cs="Times New Roman"/>
          <w:bCs/>
          <w:color w:val="000000"/>
          <w:sz w:val="25"/>
          <w:szCs w:val="25"/>
        </w:rPr>
        <w:t>It is w</w:t>
      </w:r>
      <w:r w:rsidRPr="00331871">
        <w:rPr>
          <w:rFonts w:ascii="Aptos" w:eastAsia="Times New Roman" w:hAnsi="Aptos" w:cs="Times New Roman"/>
          <w:bCs/>
          <w:color w:val="000000"/>
          <w:sz w:val="25"/>
          <w:szCs w:val="25"/>
        </w:rPr>
        <w:t>ith these statutory and procedural dictates in mind</w:t>
      </w:r>
      <w:r>
        <w:rPr>
          <w:rFonts w:ascii="Aptos" w:eastAsia="Times New Roman" w:hAnsi="Aptos" w:cs="Times New Roman"/>
          <w:bCs/>
          <w:color w:val="000000"/>
          <w:sz w:val="25"/>
          <w:szCs w:val="25"/>
        </w:rPr>
        <w:t xml:space="preserve"> that</w:t>
      </w:r>
      <w:r w:rsidRPr="00331871">
        <w:rPr>
          <w:rFonts w:ascii="Aptos" w:eastAsia="Times New Roman" w:hAnsi="Aptos" w:cs="Times New Roman"/>
          <w:bCs/>
          <w:color w:val="000000"/>
          <w:sz w:val="25"/>
          <w:szCs w:val="25"/>
        </w:rPr>
        <w:t xml:space="preserve"> I consider the </w:t>
      </w:r>
      <w:r w:rsidRPr="00331871">
        <w:rPr>
          <w:rFonts w:ascii="Aptos" w:eastAsia="Times New Roman" w:hAnsi="Aptos" w:cs="Times New Roman"/>
          <w:bCs/>
          <w:i/>
          <w:iCs/>
          <w:color w:val="000000"/>
          <w:sz w:val="25"/>
          <w:szCs w:val="25"/>
        </w:rPr>
        <w:t>Motion.</w:t>
      </w:r>
    </w:p>
    <w:p w14:paraId="56408497" w14:textId="77777777" w:rsidR="001117BC" w:rsidRPr="00331871" w:rsidRDefault="001117BC" w:rsidP="001117BC">
      <w:pPr>
        <w:spacing w:after="0" w:line="240" w:lineRule="auto"/>
        <w:rPr>
          <w:rFonts w:ascii="Aptos" w:hAnsi="Aptos" w:cs="Times New Roman"/>
          <w:b/>
          <w:bCs/>
          <w:sz w:val="25"/>
          <w:szCs w:val="25"/>
        </w:rPr>
      </w:pPr>
      <w:r w:rsidRPr="00331871">
        <w:rPr>
          <w:rFonts w:ascii="Aptos" w:hAnsi="Aptos" w:cs="Times New Roman"/>
          <w:b/>
          <w:bCs/>
          <w:sz w:val="25"/>
          <w:szCs w:val="25"/>
        </w:rPr>
        <w:lastRenderedPageBreak/>
        <w:t>APPLICATION OF LEGAL STANDARD</w:t>
      </w:r>
    </w:p>
    <w:p w14:paraId="042B65C8" w14:textId="77777777" w:rsidR="001117BC" w:rsidRPr="00331871" w:rsidRDefault="001117BC" w:rsidP="001117BC">
      <w:pPr>
        <w:spacing w:after="0" w:line="240" w:lineRule="auto"/>
        <w:rPr>
          <w:rFonts w:ascii="Aptos" w:hAnsi="Aptos" w:cs="Times New Roman"/>
          <w:sz w:val="25"/>
          <w:szCs w:val="25"/>
        </w:rPr>
      </w:pPr>
    </w:p>
    <w:p w14:paraId="4A4BD93D" w14:textId="3E7771A5" w:rsidR="00FD7C9B" w:rsidRDefault="00480B8F" w:rsidP="00CA6945">
      <w:pPr>
        <w:spacing w:after="0" w:line="240" w:lineRule="auto"/>
        <w:rPr>
          <w:rFonts w:ascii="Aptos" w:hAnsi="Aptos" w:cs="Times New Roman"/>
          <w:sz w:val="25"/>
          <w:szCs w:val="25"/>
        </w:rPr>
      </w:pPr>
      <w:r>
        <w:rPr>
          <w:rFonts w:ascii="Aptos" w:hAnsi="Aptos" w:cs="Times New Roman"/>
          <w:sz w:val="25"/>
          <w:szCs w:val="25"/>
        </w:rPr>
        <w:t xml:space="preserve">According to the </w:t>
      </w:r>
      <w:r w:rsidRPr="00480B8F">
        <w:rPr>
          <w:rFonts w:ascii="Aptos" w:hAnsi="Aptos" w:cs="Times New Roman"/>
          <w:i/>
          <w:iCs/>
          <w:sz w:val="25"/>
          <w:szCs w:val="25"/>
        </w:rPr>
        <w:t>Motion</w:t>
      </w:r>
      <w:r>
        <w:rPr>
          <w:rFonts w:ascii="Aptos" w:hAnsi="Aptos" w:cs="Times New Roman"/>
          <w:sz w:val="25"/>
          <w:szCs w:val="25"/>
        </w:rPr>
        <w:t xml:space="preserve">, </w:t>
      </w:r>
      <w:r w:rsidR="00E7575B" w:rsidRPr="00480B8F">
        <w:rPr>
          <w:rFonts w:ascii="Aptos" w:hAnsi="Aptos" w:cs="Times New Roman"/>
          <w:sz w:val="25"/>
          <w:szCs w:val="25"/>
        </w:rPr>
        <w:t>Parent</w:t>
      </w:r>
      <w:r>
        <w:rPr>
          <w:rFonts w:ascii="Aptos" w:hAnsi="Aptos" w:cs="Times New Roman"/>
          <w:sz w:val="25"/>
          <w:szCs w:val="25"/>
        </w:rPr>
        <w:t xml:space="preserve"> seeks joinder of DESE</w:t>
      </w:r>
      <w:r w:rsidR="00AE35ED">
        <w:rPr>
          <w:rFonts w:ascii="Aptos" w:hAnsi="Aptos" w:cs="Times New Roman"/>
          <w:sz w:val="25"/>
          <w:szCs w:val="25"/>
        </w:rPr>
        <w:t>, as the SEA in the Commonwealth,</w:t>
      </w:r>
      <w:r>
        <w:rPr>
          <w:rFonts w:ascii="Aptos" w:hAnsi="Aptos" w:cs="Times New Roman"/>
          <w:sz w:val="25"/>
          <w:szCs w:val="25"/>
        </w:rPr>
        <w:t xml:space="preserve"> </w:t>
      </w:r>
      <w:r w:rsidR="00FD7C9B">
        <w:rPr>
          <w:rFonts w:ascii="Aptos" w:hAnsi="Aptos" w:cs="Times New Roman"/>
          <w:sz w:val="25"/>
          <w:szCs w:val="25"/>
        </w:rPr>
        <w:t xml:space="preserve">based upon </w:t>
      </w:r>
      <w:r>
        <w:rPr>
          <w:rFonts w:ascii="Aptos" w:hAnsi="Aptos" w:cs="Times New Roman"/>
          <w:sz w:val="25"/>
          <w:szCs w:val="25"/>
        </w:rPr>
        <w:t xml:space="preserve">its general supervision responsibilities to ensure </w:t>
      </w:r>
      <w:r w:rsidR="004A1CE4">
        <w:rPr>
          <w:rFonts w:ascii="Aptos" w:hAnsi="Aptos" w:cs="Times New Roman"/>
          <w:sz w:val="25"/>
          <w:szCs w:val="25"/>
        </w:rPr>
        <w:t xml:space="preserve">that </w:t>
      </w:r>
      <w:r>
        <w:rPr>
          <w:rFonts w:ascii="Aptos" w:hAnsi="Aptos" w:cs="Times New Roman"/>
          <w:sz w:val="25"/>
          <w:szCs w:val="25"/>
        </w:rPr>
        <w:t xml:space="preserve">a FAPE is provided to all eligible students over the age of 3.  </w:t>
      </w:r>
      <w:r w:rsidR="00513504">
        <w:rPr>
          <w:rFonts w:ascii="Aptos" w:hAnsi="Aptos" w:cs="Times New Roman"/>
          <w:sz w:val="25"/>
          <w:szCs w:val="25"/>
        </w:rPr>
        <w:t>S</w:t>
      </w:r>
      <w:r w:rsidR="00CA6945">
        <w:rPr>
          <w:rFonts w:ascii="Aptos" w:hAnsi="Aptos" w:cs="Times New Roman"/>
          <w:sz w:val="25"/>
          <w:szCs w:val="25"/>
        </w:rPr>
        <w:t xml:space="preserve">tudent’s eligibility and right to receive a FAPE are not in dispute in this matter. </w:t>
      </w:r>
      <w:r w:rsidR="0033128F">
        <w:rPr>
          <w:rFonts w:ascii="Aptos" w:hAnsi="Aptos" w:cs="Times New Roman"/>
          <w:sz w:val="25"/>
          <w:szCs w:val="25"/>
        </w:rPr>
        <w:t xml:space="preserve"> The Parties also do not dispute the need for Student to be in a residential educational program to receive a </w:t>
      </w:r>
      <w:r w:rsidR="0015151D">
        <w:rPr>
          <w:rFonts w:ascii="Aptos" w:hAnsi="Aptos" w:cs="Times New Roman"/>
          <w:sz w:val="25"/>
          <w:szCs w:val="25"/>
        </w:rPr>
        <w:t>FAPE</w:t>
      </w:r>
      <w:r w:rsidR="00FD3134">
        <w:rPr>
          <w:rFonts w:ascii="Aptos" w:hAnsi="Aptos" w:cs="Times New Roman"/>
          <w:sz w:val="25"/>
          <w:szCs w:val="25"/>
        </w:rPr>
        <w:t xml:space="preserve">, and </w:t>
      </w:r>
      <w:r w:rsidR="0033128F">
        <w:rPr>
          <w:rFonts w:ascii="Aptos" w:hAnsi="Aptos" w:cs="Times New Roman"/>
          <w:sz w:val="25"/>
          <w:szCs w:val="25"/>
        </w:rPr>
        <w:t xml:space="preserve">they </w:t>
      </w:r>
      <w:r w:rsidR="00FD3134">
        <w:rPr>
          <w:rFonts w:ascii="Aptos" w:hAnsi="Aptos" w:cs="Times New Roman"/>
          <w:sz w:val="25"/>
          <w:szCs w:val="25"/>
        </w:rPr>
        <w:t xml:space="preserve">agree that </w:t>
      </w:r>
      <w:r w:rsidR="0033128F">
        <w:rPr>
          <w:rFonts w:ascii="Aptos" w:hAnsi="Aptos" w:cs="Times New Roman"/>
          <w:sz w:val="25"/>
          <w:szCs w:val="25"/>
        </w:rPr>
        <w:t xml:space="preserve">Student’s failure to be so placed during the pendency of this proceeding has resulted in a denial of a FAPE to </w:t>
      </w:r>
      <w:r w:rsidR="0084454F">
        <w:rPr>
          <w:rFonts w:ascii="Aptos" w:hAnsi="Aptos" w:cs="Times New Roman"/>
          <w:sz w:val="25"/>
          <w:szCs w:val="25"/>
        </w:rPr>
        <w:t>him</w:t>
      </w:r>
      <w:r w:rsidR="00FD3134">
        <w:rPr>
          <w:rFonts w:ascii="Aptos" w:hAnsi="Aptos" w:cs="Times New Roman"/>
          <w:sz w:val="25"/>
          <w:szCs w:val="25"/>
        </w:rPr>
        <w:t xml:space="preserve">.  </w:t>
      </w:r>
    </w:p>
    <w:p w14:paraId="70A6027F" w14:textId="77777777" w:rsidR="00FD7C9B" w:rsidRDefault="00FD7C9B" w:rsidP="00CA6945">
      <w:pPr>
        <w:spacing w:after="0" w:line="240" w:lineRule="auto"/>
        <w:rPr>
          <w:rFonts w:ascii="Aptos" w:hAnsi="Aptos" w:cs="Times New Roman"/>
          <w:sz w:val="25"/>
          <w:szCs w:val="25"/>
        </w:rPr>
      </w:pPr>
    </w:p>
    <w:p w14:paraId="0C54F8A1" w14:textId="6B6D8F3F" w:rsidR="00CA6945" w:rsidRDefault="0023424B" w:rsidP="00CA6945">
      <w:pPr>
        <w:spacing w:after="0" w:line="240" w:lineRule="auto"/>
        <w:rPr>
          <w:rFonts w:ascii="Aptos" w:hAnsi="Aptos" w:cs="Times New Roman"/>
          <w:sz w:val="25"/>
          <w:szCs w:val="25"/>
        </w:rPr>
      </w:pPr>
      <w:r>
        <w:rPr>
          <w:rFonts w:ascii="Aptos" w:hAnsi="Aptos" w:cs="Times New Roman"/>
          <w:sz w:val="25"/>
          <w:szCs w:val="25"/>
        </w:rPr>
        <w:t xml:space="preserve">Rather, the disputes in this matter pertain to </w:t>
      </w:r>
      <w:r w:rsidR="004741F1">
        <w:rPr>
          <w:rFonts w:ascii="Aptos" w:hAnsi="Aptos" w:cs="Times New Roman"/>
          <w:sz w:val="25"/>
          <w:szCs w:val="25"/>
        </w:rPr>
        <w:t xml:space="preserve">the </w:t>
      </w:r>
      <w:r w:rsidR="0015151D">
        <w:rPr>
          <w:rFonts w:ascii="Aptos" w:hAnsi="Aptos" w:cs="Times New Roman"/>
          <w:sz w:val="25"/>
          <w:szCs w:val="25"/>
        </w:rPr>
        <w:t xml:space="preserve">identification of </w:t>
      </w:r>
      <w:r w:rsidR="006B1684">
        <w:rPr>
          <w:rFonts w:ascii="Aptos" w:hAnsi="Aptos" w:cs="Times New Roman"/>
          <w:sz w:val="25"/>
          <w:szCs w:val="25"/>
        </w:rPr>
        <w:t>a new</w:t>
      </w:r>
      <w:r w:rsidR="0015151D">
        <w:rPr>
          <w:rFonts w:ascii="Aptos" w:hAnsi="Aptos" w:cs="Times New Roman"/>
          <w:sz w:val="25"/>
          <w:szCs w:val="25"/>
        </w:rPr>
        <w:t xml:space="preserve"> placement </w:t>
      </w:r>
      <w:r w:rsidR="008B0F67">
        <w:rPr>
          <w:rFonts w:ascii="Aptos" w:hAnsi="Aptos" w:cs="Times New Roman"/>
          <w:sz w:val="25"/>
          <w:szCs w:val="25"/>
        </w:rPr>
        <w:t>wherein Student will receive a FAPE</w:t>
      </w:r>
      <w:r w:rsidR="004741F1">
        <w:rPr>
          <w:rFonts w:ascii="Aptos" w:hAnsi="Aptos" w:cs="Times New Roman"/>
          <w:sz w:val="25"/>
          <w:szCs w:val="25"/>
        </w:rPr>
        <w:t>, and the reason for the failure to so identify such a placement</w:t>
      </w:r>
      <w:r w:rsidR="0084454F">
        <w:rPr>
          <w:rFonts w:ascii="Aptos" w:hAnsi="Aptos" w:cs="Times New Roman"/>
          <w:sz w:val="25"/>
          <w:szCs w:val="25"/>
        </w:rPr>
        <w:t xml:space="preserve"> to date</w:t>
      </w:r>
      <w:r>
        <w:rPr>
          <w:rFonts w:ascii="Aptos" w:hAnsi="Aptos" w:cs="Times New Roman"/>
          <w:sz w:val="25"/>
          <w:szCs w:val="25"/>
        </w:rPr>
        <w:t>, as well as the appropriate compensatory services owed to Student at this time</w:t>
      </w:r>
      <w:r w:rsidR="006B1684">
        <w:rPr>
          <w:rFonts w:ascii="Aptos" w:hAnsi="Aptos" w:cs="Times New Roman"/>
          <w:sz w:val="25"/>
          <w:szCs w:val="25"/>
        </w:rPr>
        <w:t xml:space="preserve">.  </w:t>
      </w:r>
      <w:r w:rsidR="00BF2562">
        <w:rPr>
          <w:rFonts w:ascii="Aptos" w:hAnsi="Aptos" w:cs="Times New Roman"/>
          <w:sz w:val="25"/>
          <w:szCs w:val="25"/>
        </w:rPr>
        <w:t>According to Parent</w:t>
      </w:r>
      <w:r w:rsidR="00FD7C9B">
        <w:rPr>
          <w:rFonts w:ascii="Aptos" w:hAnsi="Aptos" w:cs="Times New Roman"/>
          <w:sz w:val="25"/>
          <w:szCs w:val="25"/>
        </w:rPr>
        <w:t>,</w:t>
      </w:r>
      <w:r w:rsidR="00BF2562">
        <w:rPr>
          <w:rFonts w:ascii="Aptos" w:hAnsi="Aptos" w:cs="Times New Roman"/>
          <w:sz w:val="25"/>
          <w:szCs w:val="25"/>
        </w:rPr>
        <w:t xml:space="preserve"> DESE’s joinder is necessary so as to assist in locating such a placement</w:t>
      </w:r>
      <w:r w:rsidR="00A60BE8">
        <w:rPr>
          <w:rFonts w:ascii="Aptos" w:hAnsi="Aptos" w:cs="Times New Roman"/>
          <w:sz w:val="25"/>
          <w:szCs w:val="25"/>
        </w:rPr>
        <w:t>;</w:t>
      </w:r>
      <w:r w:rsidR="00BF2562">
        <w:rPr>
          <w:rFonts w:ascii="Aptos" w:hAnsi="Aptos" w:cs="Times New Roman"/>
          <w:sz w:val="25"/>
          <w:szCs w:val="25"/>
        </w:rPr>
        <w:t xml:space="preserve"> a task that has proven unsuccessful</w:t>
      </w:r>
      <w:r w:rsidR="00C91EC2">
        <w:rPr>
          <w:rFonts w:ascii="Aptos" w:hAnsi="Aptos" w:cs="Times New Roman"/>
          <w:sz w:val="25"/>
          <w:szCs w:val="25"/>
        </w:rPr>
        <w:t xml:space="preserve"> by the Parties for a variety of </w:t>
      </w:r>
      <w:r w:rsidR="00C64CD3">
        <w:rPr>
          <w:rFonts w:ascii="Aptos" w:hAnsi="Aptos" w:cs="Times New Roman"/>
          <w:sz w:val="25"/>
          <w:szCs w:val="25"/>
        </w:rPr>
        <w:t>disputed r</w:t>
      </w:r>
      <w:r w:rsidR="00C91EC2">
        <w:rPr>
          <w:rFonts w:ascii="Aptos" w:hAnsi="Aptos" w:cs="Times New Roman"/>
          <w:sz w:val="25"/>
          <w:szCs w:val="25"/>
        </w:rPr>
        <w:t>easons</w:t>
      </w:r>
      <w:r w:rsidR="00BF2562">
        <w:rPr>
          <w:rFonts w:ascii="Aptos" w:hAnsi="Aptos" w:cs="Times New Roman"/>
          <w:sz w:val="25"/>
          <w:szCs w:val="25"/>
        </w:rPr>
        <w:t xml:space="preserve"> for over a year.  </w:t>
      </w:r>
      <w:r w:rsidR="002D7045">
        <w:rPr>
          <w:rFonts w:ascii="Aptos" w:hAnsi="Aptos" w:cs="Times New Roman"/>
          <w:sz w:val="25"/>
          <w:szCs w:val="25"/>
        </w:rPr>
        <w:t xml:space="preserve">However, </w:t>
      </w:r>
      <w:r w:rsidR="00FD3134">
        <w:rPr>
          <w:rFonts w:ascii="Aptos" w:hAnsi="Aptos" w:cs="Times New Roman"/>
          <w:sz w:val="25"/>
          <w:szCs w:val="25"/>
        </w:rPr>
        <w:t xml:space="preserve">Parent does not allege any specific actions or inactions by DESE that have contributed to Student’s failure to receive a FAPE during the pendency of these proceedings.  </w:t>
      </w:r>
      <w:r w:rsidR="00CA6945">
        <w:rPr>
          <w:rFonts w:ascii="Aptos" w:hAnsi="Aptos" w:cs="Times New Roman"/>
          <w:sz w:val="25"/>
          <w:szCs w:val="25"/>
        </w:rPr>
        <w:t xml:space="preserve">  </w:t>
      </w:r>
    </w:p>
    <w:p w14:paraId="4DA04443" w14:textId="77777777" w:rsidR="00947293" w:rsidRDefault="00947293" w:rsidP="00CA6945">
      <w:pPr>
        <w:spacing w:after="0" w:line="240" w:lineRule="auto"/>
        <w:rPr>
          <w:rFonts w:ascii="Aptos" w:hAnsi="Aptos" w:cs="Times New Roman"/>
          <w:sz w:val="25"/>
          <w:szCs w:val="25"/>
        </w:rPr>
      </w:pPr>
    </w:p>
    <w:p w14:paraId="349FABF0" w14:textId="71B4213B" w:rsidR="00F17EC6" w:rsidRDefault="00947293" w:rsidP="00947293">
      <w:pPr>
        <w:spacing w:after="0" w:line="240" w:lineRule="auto"/>
        <w:rPr>
          <w:rFonts w:ascii="Aptos" w:hAnsi="Aptos" w:cs="Times New Roman"/>
          <w:bCs/>
          <w:sz w:val="25"/>
          <w:szCs w:val="25"/>
        </w:rPr>
      </w:pPr>
      <w:r w:rsidRPr="00947293">
        <w:rPr>
          <w:rFonts w:ascii="Aptos" w:hAnsi="Aptos" w:cs="Times New Roman"/>
          <w:bCs/>
          <w:sz w:val="25"/>
          <w:szCs w:val="25"/>
        </w:rPr>
        <w:t>In analyzing this joinder request, I first consider the state and federal laws establishing the limited jurisdictional authority of the BSEA, and the available entities over which it can exercise such subject matter jurisdiction</w:t>
      </w:r>
      <w:r w:rsidR="00400228">
        <w:rPr>
          <w:rStyle w:val="FootnoteReference"/>
          <w:rFonts w:ascii="Aptos" w:hAnsi="Aptos" w:cs="Times New Roman"/>
          <w:bCs/>
          <w:sz w:val="25"/>
          <w:szCs w:val="25"/>
        </w:rPr>
        <w:footnoteReference w:id="23"/>
      </w:r>
      <w:r w:rsidRPr="00947293">
        <w:rPr>
          <w:rFonts w:ascii="Aptos" w:hAnsi="Aptos" w:cs="Times New Roman"/>
          <w:bCs/>
          <w:sz w:val="25"/>
          <w:szCs w:val="25"/>
        </w:rPr>
        <w:t xml:space="preserve">.  </w:t>
      </w:r>
      <w:r w:rsidR="00691F7A">
        <w:rPr>
          <w:rFonts w:ascii="Aptos" w:hAnsi="Aptos" w:cs="Times New Roman"/>
          <w:bCs/>
          <w:sz w:val="25"/>
          <w:szCs w:val="25"/>
        </w:rPr>
        <w:t xml:space="preserve">While I have the authority to order joinder of DESE, </w:t>
      </w:r>
      <w:r w:rsidR="001A1FCD">
        <w:rPr>
          <w:rFonts w:ascii="Aptos" w:hAnsi="Aptos" w:cs="Times New Roman"/>
          <w:bCs/>
          <w:sz w:val="25"/>
          <w:szCs w:val="25"/>
        </w:rPr>
        <w:t>my authority is limited to</w:t>
      </w:r>
      <w:r w:rsidR="00F17EC6">
        <w:rPr>
          <w:rFonts w:ascii="Aptos" w:hAnsi="Aptos" w:cs="Times New Roman"/>
          <w:bCs/>
          <w:sz w:val="25"/>
          <w:szCs w:val="25"/>
        </w:rPr>
        <w:t>:</w:t>
      </w:r>
    </w:p>
    <w:p w14:paraId="0E883EC8" w14:textId="6C93E9E1" w:rsidR="00947293" w:rsidRPr="00947293" w:rsidRDefault="00947293" w:rsidP="00F17EC6">
      <w:pPr>
        <w:spacing w:after="0" w:line="240" w:lineRule="auto"/>
        <w:ind w:left="720" w:right="720"/>
        <w:rPr>
          <w:rFonts w:ascii="Aptos" w:hAnsi="Aptos" w:cs="Times New Roman"/>
          <w:bCs/>
          <w:sz w:val="25"/>
          <w:szCs w:val="25"/>
        </w:rPr>
      </w:pPr>
      <w:r w:rsidRPr="00947293">
        <w:rPr>
          <w:rFonts w:ascii="Aptos" w:hAnsi="Aptos" w:cs="Times New Roman"/>
          <w:bCs/>
          <w:sz w:val="25"/>
          <w:szCs w:val="25"/>
        </w:rPr>
        <w:t>“…cases where complete relief cannot be granted among those who are already parties, or if the party being joined has an interest relating to the subject matter of the case and is so situated that the case cannot be disposed of in its absence.  Factors considered in determination of joinder are: the risk of prejudice to the present parties in the absence of the proposed party; the range of alternatives for fashioning relief; the inadequacy of a judgement entered in the proposed party’s absence; and the existence of an alternative forum to resolve the dispute”</w:t>
      </w:r>
      <w:r w:rsidR="001C2525">
        <w:rPr>
          <w:rStyle w:val="FootnoteReference"/>
          <w:rFonts w:ascii="Aptos" w:hAnsi="Aptos" w:cs="Times New Roman"/>
          <w:bCs/>
          <w:sz w:val="25"/>
          <w:szCs w:val="25"/>
        </w:rPr>
        <w:footnoteReference w:id="24"/>
      </w:r>
      <w:r w:rsidR="001A1FCD">
        <w:rPr>
          <w:rFonts w:ascii="Aptos" w:hAnsi="Aptos" w:cs="Times New Roman"/>
          <w:bCs/>
          <w:sz w:val="25"/>
          <w:szCs w:val="25"/>
        </w:rPr>
        <w:t>.</w:t>
      </w:r>
    </w:p>
    <w:p w14:paraId="1BDD2ED6" w14:textId="77777777" w:rsidR="00947293" w:rsidRPr="00947293" w:rsidRDefault="00947293" w:rsidP="00947293">
      <w:pPr>
        <w:spacing w:after="0" w:line="240" w:lineRule="auto"/>
        <w:rPr>
          <w:rFonts w:ascii="Aptos" w:hAnsi="Aptos" w:cs="Times New Roman"/>
          <w:bCs/>
          <w:sz w:val="25"/>
          <w:szCs w:val="25"/>
        </w:rPr>
      </w:pPr>
    </w:p>
    <w:p w14:paraId="0F5A99B8" w14:textId="3895AED8" w:rsidR="00947293" w:rsidRPr="00947293" w:rsidRDefault="00947293" w:rsidP="00947293">
      <w:pPr>
        <w:spacing w:after="0" w:line="240" w:lineRule="auto"/>
        <w:rPr>
          <w:rFonts w:ascii="Aptos" w:hAnsi="Aptos" w:cs="Times New Roman"/>
          <w:bCs/>
          <w:sz w:val="25"/>
          <w:szCs w:val="25"/>
        </w:rPr>
      </w:pPr>
      <w:r w:rsidRPr="00947293">
        <w:rPr>
          <w:rFonts w:ascii="Aptos" w:hAnsi="Aptos" w:cs="Times New Roman"/>
          <w:bCs/>
          <w:sz w:val="25"/>
          <w:szCs w:val="25"/>
        </w:rPr>
        <w:t xml:space="preserve">Moreover, </w:t>
      </w:r>
      <w:r w:rsidR="00AE35ED">
        <w:rPr>
          <w:rFonts w:ascii="Aptos" w:hAnsi="Aptos" w:cs="Times New Roman"/>
          <w:bCs/>
          <w:sz w:val="25"/>
          <w:szCs w:val="25"/>
        </w:rPr>
        <w:t xml:space="preserve">in order for DESE to be joined, in addition to </w:t>
      </w:r>
      <w:r w:rsidRPr="00947293">
        <w:rPr>
          <w:rFonts w:ascii="Aptos" w:hAnsi="Aptos" w:cs="Times New Roman"/>
          <w:bCs/>
          <w:sz w:val="25"/>
          <w:szCs w:val="25"/>
        </w:rPr>
        <w:t xml:space="preserve">consideration of the risk of prejudice to the present parties in allowing joinder, the alternatives available to issue a judgement without joinder, and the existence of an alternative forum to resolve any disputes, I must also find that complete relief cannot be granted among the existing parties and thus the case cannot be disposed of in </w:t>
      </w:r>
      <w:r w:rsidR="001F5A8E">
        <w:rPr>
          <w:rFonts w:ascii="Aptos" w:hAnsi="Aptos" w:cs="Times New Roman"/>
          <w:bCs/>
          <w:sz w:val="25"/>
          <w:szCs w:val="25"/>
        </w:rPr>
        <w:t xml:space="preserve">DESE’s </w:t>
      </w:r>
      <w:r w:rsidRPr="00947293">
        <w:rPr>
          <w:rFonts w:ascii="Aptos" w:hAnsi="Aptos" w:cs="Times New Roman"/>
          <w:bCs/>
          <w:sz w:val="25"/>
          <w:szCs w:val="25"/>
        </w:rPr>
        <w:t xml:space="preserve">absence.  In other words, for joinder of </w:t>
      </w:r>
      <w:r w:rsidR="001F5A8E">
        <w:rPr>
          <w:rFonts w:ascii="Aptos" w:hAnsi="Aptos" w:cs="Times New Roman"/>
          <w:bCs/>
          <w:sz w:val="25"/>
          <w:szCs w:val="25"/>
        </w:rPr>
        <w:t xml:space="preserve">DESE </w:t>
      </w:r>
      <w:r w:rsidRPr="00947293">
        <w:rPr>
          <w:rFonts w:ascii="Aptos" w:hAnsi="Aptos" w:cs="Times New Roman"/>
          <w:bCs/>
          <w:sz w:val="25"/>
          <w:szCs w:val="25"/>
        </w:rPr>
        <w:t xml:space="preserve">to be allowed, </w:t>
      </w:r>
      <w:r w:rsidR="001F5A8E">
        <w:rPr>
          <w:rFonts w:ascii="Aptos" w:hAnsi="Aptos" w:cs="Times New Roman"/>
          <w:bCs/>
          <w:sz w:val="25"/>
          <w:szCs w:val="25"/>
        </w:rPr>
        <w:t xml:space="preserve">Parent </w:t>
      </w:r>
      <w:r w:rsidRPr="00947293">
        <w:rPr>
          <w:rFonts w:ascii="Aptos" w:hAnsi="Aptos" w:cs="Times New Roman"/>
          <w:bCs/>
          <w:sz w:val="25"/>
          <w:szCs w:val="25"/>
        </w:rPr>
        <w:t xml:space="preserve">“… must be able to show, at least in a preliminary </w:t>
      </w:r>
      <w:r w:rsidRPr="00947293">
        <w:rPr>
          <w:rFonts w:ascii="Aptos" w:hAnsi="Aptos" w:cs="Times New Roman"/>
          <w:bCs/>
          <w:sz w:val="25"/>
          <w:szCs w:val="25"/>
        </w:rPr>
        <w:lastRenderedPageBreak/>
        <w:t>way, that it will be able to present evidence at a Hearing that may result in the entity being found responsible to offer some service … to the student</w:t>
      </w:r>
      <w:r w:rsidRPr="00947293">
        <w:rPr>
          <w:rFonts w:ascii="Aptos" w:hAnsi="Aptos" w:cs="Times New Roman"/>
          <w:bCs/>
          <w:sz w:val="25"/>
          <w:szCs w:val="25"/>
          <w:vertAlign w:val="superscript"/>
        </w:rPr>
        <w:footnoteReference w:id="25"/>
      </w:r>
      <w:r w:rsidRPr="00947293">
        <w:rPr>
          <w:rFonts w:ascii="Aptos" w:hAnsi="Aptos" w:cs="Times New Roman"/>
          <w:bCs/>
          <w:sz w:val="25"/>
          <w:szCs w:val="25"/>
        </w:rPr>
        <w:t>.”</w:t>
      </w:r>
    </w:p>
    <w:p w14:paraId="21C7D062" w14:textId="77777777" w:rsidR="00947293" w:rsidRPr="00947293" w:rsidRDefault="00947293" w:rsidP="00947293">
      <w:pPr>
        <w:spacing w:after="0" w:line="240" w:lineRule="auto"/>
        <w:rPr>
          <w:rFonts w:ascii="Aptos" w:hAnsi="Aptos" w:cs="Times New Roman"/>
          <w:bCs/>
          <w:sz w:val="25"/>
          <w:szCs w:val="25"/>
        </w:rPr>
      </w:pPr>
    </w:p>
    <w:p w14:paraId="39153009" w14:textId="08794160" w:rsidR="009B087D" w:rsidRDefault="009D13F8" w:rsidP="00947293">
      <w:pPr>
        <w:spacing w:after="0" w:line="240" w:lineRule="auto"/>
        <w:rPr>
          <w:rFonts w:ascii="Aptos" w:hAnsi="Aptos" w:cs="Times New Roman"/>
          <w:sz w:val="25"/>
          <w:szCs w:val="25"/>
        </w:rPr>
      </w:pPr>
      <w:r>
        <w:rPr>
          <w:rFonts w:ascii="Aptos" w:hAnsi="Aptos" w:cs="Times New Roman"/>
          <w:bCs/>
          <w:sz w:val="25"/>
          <w:szCs w:val="25"/>
        </w:rPr>
        <w:t xml:space="preserve">After consideration of Parent’s </w:t>
      </w:r>
      <w:r w:rsidRPr="009D13F8">
        <w:rPr>
          <w:rFonts w:ascii="Aptos" w:hAnsi="Aptos" w:cs="Times New Roman"/>
          <w:bCs/>
          <w:i/>
          <w:iCs/>
          <w:sz w:val="25"/>
          <w:szCs w:val="25"/>
        </w:rPr>
        <w:t>Motion</w:t>
      </w:r>
      <w:r>
        <w:rPr>
          <w:rFonts w:ascii="Aptos" w:hAnsi="Aptos" w:cs="Times New Roman"/>
          <w:bCs/>
          <w:sz w:val="25"/>
          <w:szCs w:val="25"/>
        </w:rPr>
        <w:t xml:space="preserve">, </w:t>
      </w:r>
      <w:r w:rsidR="00546AF5">
        <w:rPr>
          <w:rFonts w:ascii="Aptos" w:hAnsi="Aptos" w:cs="Times New Roman"/>
          <w:bCs/>
          <w:sz w:val="25"/>
          <w:szCs w:val="25"/>
        </w:rPr>
        <w:t>and</w:t>
      </w:r>
      <w:r w:rsidR="002B5F28">
        <w:rPr>
          <w:rFonts w:ascii="Aptos" w:hAnsi="Aptos" w:cs="Times New Roman"/>
          <w:bCs/>
          <w:sz w:val="25"/>
          <w:szCs w:val="25"/>
        </w:rPr>
        <w:t xml:space="preserve"> her subsequent written status reports, I do not find </w:t>
      </w:r>
      <w:r w:rsidR="00106071">
        <w:rPr>
          <w:rFonts w:ascii="Aptos" w:hAnsi="Aptos" w:cs="Times New Roman"/>
          <w:bCs/>
          <w:sz w:val="25"/>
          <w:szCs w:val="25"/>
        </w:rPr>
        <w:t xml:space="preserve">that Parent has </w:t>
      </w:r>
      <w:r w:rsidR="002B5F28">
        <w:rPr>
          <w:rFonts w:ascii="Aptos" w:hAnsi="Aptos" w:cs="Times New Roman"/>
          <w:bCs/>
          <w:sz w:val="25"/>
          <w:szCs w:val="25"/>
        </w:rPr>
        <w:t xml:space="preserve">presented any evidence that DESE </w:t>
      </w:r>
      <w:r w:rsidR="001F1B35">
        <w:rPr>
          <w:rFonts w:ascii="Aptos" w:hAnsi="Aptos" w:cs="Times New Roman"/>
          <w:bCs/>
          <w:sz w:val="25"/>
          <w:szCs w:val="25"/>
        </w:rPr>
        <w:t xml:space="preserve">either </w:t>
      </w:r>
      <w:r w:rsidR="002B5F28">
        <w:rPr>
          <w:rFonts w:ascii="Aptos" w:hAnsi="Aptos" w:cs="Times New Roman"/>
          <w:bCs/>
          <w:sz w:val="25"/>
          <w:szCs w:val="25"/>
        </w:rPr>
        <w:t xml:space="preserve">has specific responsibility </w:t>
      </w:r>
      <w:r w:rsidR="00CC193F">
        <w:rPr>
          <w:rFonts w:ascii="Aptos" w:hAnsi="Aptos" w:cs="Times New Roman"/>
          <w:bCs/>
          <w:sz w:val="25"/>
          <w:szCs w:val="25"/>
        </w:rPr>
        <w:t xml:space="preserve">for </w:t>
      </w:r>
      <w:r w:rsidR="001F1B35">
        <w:rPr>
          <w:rFonts w:ascii="Aptos" w:hAnsi="Aptos" w:cs="Times New Roman"/>
          <w:bCs/>
          <w:sz w:val="25"/>
          <w:szCs w:val="25"/>
        </w:rPr>
        <w:t xml:space="preserve">Student </w:t>
      </w:r>
      <w:r w:rsidR="002B5F28">
        <w:rPr>
          <w:rFonts w:ascii="Aptos" w:hAnsi="Aptos" w:cs="Times New Roman"/>
          <w:bCs/>
          <w:sz w:val="25"/>
          <w:szCs w:val="25"/>
        </w:rPr>
        <w:t xml:space="preserve">or has taken actions or inactions </w:t>
      </w:r>
      <w:r w:rsidR="00CC193F">
        <w:rPr>
          <w:rFonts w:ascii="Aptos" w:hAnsi="Aptos" w:cs="Times New Roman"/>
          <w:bCs/>
          <w:sz w:val="25"/>
          <w:szCs w:val="25"/>
        </w:rPr>
        <w:t>with regard to Student or his receipt of a FAPE.  While</w:t>
      </w:r>
      <w:r w:rsidR="001F1B35">
        <w:rPr>
          <w:rFonts w:ascii="Aptos" w:hAnsi="Aptos" w:cs="Times New Roman"/>
          <w:bCs/>
          <w:sz w:val="25"/>
          <w:szCs w:val="25"/>
        </w:rPr>
        <w:t xml:space="preserve"> at some point in the future</w:t>
      </w:r>
      <w:r w:rsidR="00CC193F">
        <w:rPr>
          <w:rFonts w:ascii="Aptos" w:hAnsi="Aptos" w:cs="Times New Roman"/>
          <w:bCs/>
          <w:sz w:val="25"/>
          <w:szCs w:val="25"/>
        </w:rPr>
        <w:t xml:space="preserve"> the Parties may need to pursue </w:t>
      </w:r>
      <w:r w:rsidR="00554A0F">
        <w:rPr>
          <w:rFonts w:ascii="Aptos" w:hAnsi="Aptos" w:cs="Times New Roman"/>
          <w:bCs/>
          <w:sz w:val="25"/>
          <w:szCs w:val="25"/>
        </w:rPr>
        <w:t>placement at an unapproved out of district program with DESE</w:t>
      </w:r>
      <w:r w:rsidR="00517BFC">
        <w:rPr>
          <w:rFonts w:ascii="Aptos" w:hAnsi="Aptos" w:cs="Times New Roman"/>
          <w:bCs/>
          <w:sz w:val="25"/>
          <w:szCs w:val="25"/>
        </w:rPr>
        <w:t xml:space="preserve"> </w:t>
      </w:r>
      <w:r w:rsidR="00D062D3">
        <w:rPr>
          <w:rFonts w:ascii="Aptos" w:hAnsi="Aptos" w:cs="Times New Roman"/>
          <w:bCs/>
          <w:sz w:val="25"/>
          <w:szCs w:val="25"/>
        </w:rPr>
        <w:t xml:space="preserve">pursuant to 603 CMR 23.06(3)(e), </w:t>
      </w:r>
      <w:r w:rsidR="00517BFC">
        <w:rPr>
          <w:rFonts w:ascii="Aptos" w:hAnsi="Aptos" w:cs="Times New Roman"/>
          <w:bCs/>
          <w:sz w:val="25"/>
          <w:szCs w:val="25"/>
        </w:rPr>
        <w:t>this regulation is not yet applicable to Student’s present circumstances</w:t>
      </w:r>
      <w:r w:rsidR="00A637D9">
        <w:rPr>
          <w:rFonts w:ascii="Aptos" w:hAnsi="Aptos" w:cs="Times New Roman"/>
          <w:bCs/>
          <w:sz w:val="25"/>
          <w:szCs w:val="25"/>
        </w:rPr>
        <w:t>.  There</w:t>
      </w:r>
      <w:r w:rsidR="00517BFC">
        <w:rPr>
          <w:rFonts w:ascii="Aptos" w:hAnsi="Aptos" w:cs="Times New Roman"/>
          <w:bCs/>
          <w:sz w:val="25"/>
          <w:szCs w:val="25"/>
        </w:rPr>
        <w:t xml:space="preserve"> are </w:t>
      </w:r>
      <w:r w:rsidR="0056213E">
        <w:rPr>
          <w:rFonts w:ascii="Aptos" w:hAnsi="Aptos" w:cs="Times New Roman"/>
          <w:bCs/>
          <w:sz w:val="25"/>
          <w:szCs w:val="25"/>
        </w:rPr>
        <w:t xml:space="preserve">both </w:t>
      </w:r>
      <w:r w:rsidR="008A3CA8">
        <w:rPr>
          <w:rFonts w:ascii="Aptos" w:hAnsi="Aptos" w:cs="Times New Roman"/>
          <w:bCs/>
          <w:sz w:val="25"/>
          <w:szCs w:val="25"/>
        </w:rPr>
        <w:t xml:space="preserve">approved </w:t>
      </w:r>
      <w:r w:rsidR="0056213E">
        <w:rPr>
          <w:rFonts w:ascii="Aptos" w:hAnsi="Aptos" w:cs="Times New Roman"/>
          <w:bCs/>
          <w:sz w:val="25"/>
          <w:szCs w:val="25"/>
        </w:rPr>
        <w:t>residential and interim day programs that have offered placement to Student currently or remain as open referral</w:t>
      </w:r>
      <w:r w:rsidR="00D062D3">
        <w:rPr>
          <w:rFonts w:ascii="Aptos" w:hAnsi="Aptos" w:cs="Times New Roman"/>
          <w:bCs/>
          <w:sz w:val="25"/>
          <w:szCs w:val="25"/>
        </w:rPr>
        <w:t>s</w:t>
      </w:r>
      <w:r w:rsidR="0056213E">
        <w:rPr>
          <w:rFonts w:ascii="Aptos" w:hAnsi="Aptos" w:cs="Times New Roman"/>
          <w:bCs/>
          <w:sz w:val="25"/>
          <w:szCs w:val="25"/>
        </w:rPr>
        <w:t xml:space="preserve">.  </w:t>
      </w:r>
      <w:r w:rsidR="00380BDC">
        <w:rPr>
          <w:rFonts w:ascii="Aptos" w:hAnsi="Aptos" w:cs="Times New Roman"/>
          <w:bCs/>
          <w:sz w:val="25"/>
          <w:szCs w:val="25"/>
        </w:rPr>
        <w:t xml:space="preserve">Further, although Student is eligible for services through the DESE/DDS Program, </w:t>
      </w:r>
      <w:r w:rsidR="00835440">
        <w:rPr>
          <w:rFonts w:ascii="Aptos" w:hAnsi="Aptos" w:cs="Times New Roman"/>
          <w:bCs/>
          <w:sz w:val="25"/>
          <w:szCs w:val="25"/>
        </w:rPr>
        <w:t xml:space="preserve">Parent has not alleged any action or inaction by DESE that impacts Student’s receipt of these services, and DESE’s argument that it </w:t>
      </w:r>
      <w:r w:rsidR="001F1DE4">
        <w:rPr>
          <w:rFonts w:ascii="Aptos" w:hAnsi="Aptos" w:cs="Times New Roman"/>
          <w:bCs/>
          <w:sz w:val="25"/>
          <w:szCs w:val="25"/>
        </w:rPr>
        <w:t xml:space="preserve">has no role in </w:t>
      </w:r>
      <w:r w:rsidR="00835440">
        <w:rPr>
          <w:rFonts w:ascii="Aptos" w:hAnsi="Aptos" w:cs="Times New Roman"/>
          <w:sz w:val="25"/>
          <w:szCs w:val="25"/>
        </w:rPr>
        <w:t>determin</w:t>
      </w:r>
      <w:r w:rsidR="001F1DE4">
        <w:rPr>
          <w:rFonts w:ascii="Aptos" w:hAnsi="Aptos" w:cs="Times New Roman"/>
          <w:sz w:val="25"/>
          <w:szCs w:val="25"/>
        </w:rPr>
        <w:t>ing</w:t>
      </w:r>
      <w:r w:rsidR="00835440">
        <w:rPr>
          <w:rFonts w:ascii="Aptos" w:hAnsi="Aptos" w:cs="Times New Roman"/>
          <w:sz w:val="25"/>
          <w:szCs w:val="25"/>
        </w:rPr>
        <w:t xml:space="preserve"> eligibility </w:t>
      </w:r>
      <w:r w:rsidR="001F1DE4">
        <w:rPr>
          <w:rFonts w:ascii="Aptos" w:hAnsi="Aptos" w:cs="Times New Roman"/>
          <w:sz w:val="25"/>
          <w:szCs w:val="25"/>
        </w:rPr>
        <w:t>or</w:t>
      </w:r>
      <w:r w:rsidR="00835440">
        <w:rPr>
          <w:rFonts w:ascii="Aptos" w:hAnsi="Aptos" w:cs="Times New Roman"/>
          <w:sz w:val="25"/>
          <w:szCs w:val="25"/>
        </w:rPr>
        <w:t xml:space="preserve"> level of funding and support for students who qualify for this Program</w:t>
      </w:r>
      <w:r w:rsidR="001F1DE4">
        <w:rPr>
          <w:rFonts w:ascii="Aptos" w:hAnsi="Aptos" w:cs="Times New Roman"/>
          <w:sz w:val="25"/>
          <w:szCs w:val="25"/>
        </w:rPr>
        <w:t xml:space="preserve"> </w:t>
      </w:r>
      <w:r w:rsidR="005A7158">
        <w:rPr>
          <w:rFonts w:ascii="Aptos" w:hAnsi="Aptos" w:cs="Times New Roman"/>
          <w:sz w:val="25"/>
          <w:szCs w:val="25"/>
        </w:rPr>
        <w:t>is un</w:t>
      </w:r>
      <w:r w:rsidR="001F1DE4">
        <w:rPr>
          <w:rFonts w:ascii="Aptos" w:hAnsi="Aptos" w:cs="Times New Roman"/>
          <w:sz w:val="25"/>
          <w:szCs w:val="25"/>
        </w:rPr>
        <w:t xml:space="preserve">challenged.  </w:t>
      </w:r>
    </w:p>
    <w:p w14:paraId="50C45C02" w14:textId="77777777" w:rsidR="009B087D" w:rsidRDefault="009B087D" w:rsidP="00947293">
      <w:pPr>
        <w:spacing w:after="0" w:line="240" w:lineRule="auto"/>
        <w:rPr>
          <w:rFonts w:ascii="Aptos" w:hAnsi="Aptos" w:cs="Times New Roman"/>
          <w:sz w:val="25"/>
          <w:szCs w:val="25"/>
        </w:rPr>
      </w:pPr>
    </w:p>
    <w:p w14:paraId="0991FD59" w14:textId="7B90C637" w:rsidR="00947293" w:rsidRPr="00947293" w:rsidRDefault="00184F27" w:rsidP="00947293">
      <w:pPr>
        <w:spacing w:after="0" w:line="240" w:lineRule="auto"/>
        <w:rPr>
          <w:rFonts w:ascii="Aptos" w:hAnsi="Aptos" w:cs="Times New Roman"/>
          <w:bCs/>
          <w:sz w:val="25"/>
          <w:szCs w:val="25"/>
        </w:rPr>
      </w:pPr>
      <w:r>
        <w:rPr>
          <w:rFonts w:ascii="Aptos" w:hAnsi="Aptos" w:cs="Times New Roman"/>
          <w:sz w:val="25"/>
          <w:szCs w:val="25"/>
        </w:rPr>
        <w:t xml:space="preserve">This lack of specific responsibility, action or inaction by DESE </w:t>
      </w:r>
      <w:r w:rsidR="00947293" w:rsidRPr="00947293">
        <w:rPr>
          <w:rFonts w:ascii="Aptos" w:hAnsi="Aptos" w:cs="Times New Roman"/>
          <w:bCs/>
          <w:sz w:val="25"/>
          <w:szCs w:val="25"/>
        </w:rPr>
        <w:t xml:space="preserve">ends the joinder inquiry at this time, as </w:t>
      </w:r>
      <w:r w:rsidR="00B50485">
        <w:rPr>
          <w:rFonts w:ascii="Aptos" w:hAnsi="Aptos" w:cs="Times New Roman"/>
          <w:bCs/>
          <w:sz w:val="25"/>
          <w:szCs w:val="25"/>
        </w:rPr>
        <w:t>DESE</w:t>
      </w:r>
      <w:r w:rsidR="00947293" w:rsidRPr="00947293">
        <w:rPr>
          <w:rFonts w:ascii="Aptos" w:hAnsi="Aptos" w:cs="Times New Roman"/>
          <w:bCs/>
          <w:sz w:val="25"/>
          <w:szCs w:val="25"/>
        </w:rPr>
        <w:t xml:space="preserve"> does not currently have any responsibility, potentially or otherwise, to provide any services to Student.</w:t>
      </w:r>
      <w:r w:rsidR="00B50485">
        <w:rPr>
          <w:rFonts w:ascii="Aptos" w:hAnsi="Aptos" w:cs="Times New Roman"/>
          <w:bCs/>
          <w:sz w:val="25"/>
          <w:szCs w:val="25"/>
        </w:rPr>
        <w:t xml:space="preserve">  This does not mean that DESE </w:t>
      </w:r>
      <w:r w:rsidR="00393499">
        <w:rPr>
          <w:rFonts w:ascii="Aptos" w:hAnsi="Aptos" w:cs="Times New Roman"/>
          <w:bCs/>
          <w:sz w:val="25"/>
          <w:szCs w:val="25"/>
        </w:rPr>
        <w:t>may not have such responsibility in the future</w:t>
      </w:r>
      <w:r w:rsidR="009B087D">
        <w:rPr>
          <w:rFonts w:ascii="Aptos" w:hAnsi="Aptos" w:cs="Times New Roman"/>
          <w:bCs/>
          <w:sz w:val="25"/>
          <w:szCs w:val="25"/>
        </w:rPr>
        <w:t xml:space="preserve">.  </w:t>
      </w:r>
      <w:r w:rsidR="00947293" w:rsidRPr="00947293">
        <w:rPr>
          <w:rFonts w:ascii="Aptos" w:hAnsi="Aptos" w:cs="Times New Roman"/>
          <w:bCs/>
          <w:sz w:val="25"/>
          <w:szCs w:val="25"/>
        </w:rPr>
        <w:t xml:space="preserve">For now, however, </w:t>
      </w:r>
      <w:r w:rsidR="004F5FDF">
        <w:rPr>
          <w:rFonts w:ascii="Aptos" w:hAnsi="Aptos" w:cs="Times New Roman"/>
          <w:bCs/>
          <w:sz w:val="25"/>
          <w:szCs w:val="25"/>
        </w:rPr>
        <w:t xml:space="preserve">Parent’s </w:t>
      </w:r>
      <w:r w:rsidR="00947293" w:rsidRPr="00947293">
        <w:rPr>
          <w:rFonts w:ascii="Aptos" w:hAnsi="Aptos" w:cs="Times New Roman"/>
          <w:bCs/>
          <w:i/>
          <w:iCs/>
          <w:sz w:val="25"/>
          <w:szCs w:val="25"/>
        </w:rPr>
        <w:t xml:space="preserve">Motion </w:t>
      </w:r>
      <w:r w:rsidR="00947293" w:rsidRPr="00947293">
        <w:rPr>
          <w:rFonts w:ascii="Aptos" w:hAnsi="Aptos" w:cs="Times New Roman"/>
          <w:bCs/>
          <w:sz w:val="25"/>
          <w:szCs w:val="25"/>
        </w:rPr>
        <w:t xml:space="preserve">is </w:t>
      </w:r>
      <w:r w:rsidR="00947293" w:rsidRPr="00947293">
        <w:rPr>
          <w:rFonts w:ascii="Aptos" w:hAnsi="Aptos" w:cs="Times New Roman"/>
          <w:b/>
          <w:sz w:val="25"/>
          <w:szCs w:val="25"/>
        </w:rPr>
        <w:t>DENIED without prejudice</w:t>
      </w:r>
      <w:r w:rsidR="00B37AB1">
        <w:rPr>
          <w:rStyle w:val="FootnoteReference"/>
          <w:rFonts w:ascii="Aptos" w:hAnsi="Aptos" w:cs="Times New Roman"/>
          <w:b/>
          <w:sz w:val="25"/>
          <w:szCs w:val="25"/>
        </w:rPr>
        <w:footnoteReference w:id="26"/>
      </w:r>
      <w:r w:rsidR="00947293" w:rsidRPr="00947293">
        <w:rPr>
          <w:rFonts w:ascii="Aptos" w:hAnsi="Aptos" w:cs="Times New Roman"/>
          <w:bCs/>
          <w:sz w:val="25"/>
          <w:szCs w:val="25"/>
        </w:rPr>
        <w:t>.</w:t>
      </w:r>
    </w:p>
    <w:p w14:paraId="5A20648E" w14:textId="77777777" w:rsidR="00947293" w:rsidRDefault="00947293" w:rsidP="00CA6945">
      <w:pPr>
        <w:spacing w:after="0" w:line="240" w:lineRule="auto"/>
        <w:rPr>
          <w:rFonts w:ascii="Aptos" w:hAnsi="Aptos" w:cs="Times New Roman"/>
          <w:sz w:val="25"/>
          <w:szCs w:val="25"/>
        </w:rPr>
      </w:pPr>
    </w:p>
    <w:p w14:paraId="077307AB" w14:textId="7C111819" w:rsidR="001117BC" w:rsidRPr="00331871" w:rsidRDefault="001117BC" w:rsidP="001117BC">
      <w:pPr>
        <w:spacing w:after="0" w:line="240" w:lineRule="auto"/>
        <w:rPr>
          <w:rFonts w:ascii="Aptos" w:hAnsi="Aptos" w:cs="Times New Roman"/>
          <w:b/>
          <w:bCs/>
          <w:sz w:val="25"/>
          <w:szCs w:val="25"/>
        </w:rPr>
      </w:pPr>
      <w:r w:rsidRPr="00331871">
        <w:rPr>
          <w:rFonts w:ascii="Aptos" w:eastAsia="Times New Roman" w:hAnsi="Aptos" w:cs="Times New Roman"/>
          <w:bCs/>
          <w:color w:val="000000"/>
          <w:sz w:val="25"/>
          <w:szCs w:val="25"/>
        </w:rPr>
        <w:t xml:space="preserve">Accordingly, the above-referenced matter will proceed with the </w:t>
      </w:r>
      <w:r w:rsidR="00B37AB1">
        <w:rPr>
          <w:rFonts w:ascii="Aptos" w:eastAsia="Times New Roman" w:hAnsi="Aptos" w:cs="Times New Roman"/>
          <w:bCs/>
          <w:color w:val="000000"/>
          <w:sz w:val="25"/>
          <w:szCs w:val="25"/>
        </w:rPr>
        <w:t xml:space="preserve">current </w:t>
      </w:r>
      <w:r w:rsidRPr="00331871">
        <w:rPr>
          <w:rFonts w:ascii="Aptos" w:eastAsia="Times New Roman" w:hAnsi="Aptos" w:cs="Times New Roman"/>
          <w:bCs/>
          <w:color w:val="000000"/>
          <w:sz w:val="25"/>
          <w:szCs w:val="25"/>
        </w:rPr>
        <w:t xml:space="preserve">Parties, </w:t>
      </w:r>
      <w:r w:rsidR="003B0087">
        <w:rPr>
          <w:rFonts w:ascii="Aptos" w:eastAsia="Times New Roman" w:hAnsi="Aptos" w:cs="Times New Roman"/>
          <w:bCs/>
          <w:color w:val="000000"/>
          <w:sz w:val="25"/>
          <w:szCs w:val="25"/>
        </w:rPr>
        <w:t>exclusive of DESE</w:t>
      </w:r>
      <w:r w:rsidRPr="00331871">
        <w:rPr>
          <w:rFonts w:ascii="Aptos" w:eastAsia="Times New Roman" w:hAnsi="Aptos" w:cs="Times New Roman"/>
          <w:bCs/>
          <w:color w:val="000000"/>
          <w:sz w:val="25"/>
          <w:szCs w:val="25"/>
        </w:rPr>
        <w:t>, participating in a Conference Call on March 20, 2025</w:t>
      </w:r>
      <w:r w:rsidR="00DF50BF">
        <w:rPr>
          <w:rFonts w:ascii="Aptos" w:eastAsia="Times New Roman" w:hAnsi="Aptos" w:cs="Times New Roman"/>
          <w:bCs/>
          <w:color w:val="000000"/>
          <w:sz w:val="25"/>
          <w:szCs w:val="25"/>
        </w:rPr>
        <w:t>,</w:t>
      </w:r>
      <w:r w:rsidRPr="00331871">
        <w:rPr>
          <w:rFonts w:ascii="Aptos" w:eastAsia="Times New Roman" w:hAnsi="Aptos" w:cs="Times New Roman"/>
          <w:bCs/>
          <w:color w:val="000000"/>
          <w:sz w:val="25"/>
          <w:szCs w:val="25"/>
        </w:rPr>
        <w:t xml:space="preserve"> at 9:00 a.m.  </w:t>
      </w:r>
      <w:r w:rsidRPr="00331871">
        <w:rPr>
          <w:rFonts w:ascii="Aptos" w:eastAsia="Times New Roman" w:hAnsi="Aptos" w:cs="Times New Roman"/>
          <w:kern w:val="0"/>
          <w:sz w:val="25"/>
          <w:szCs w:val="25"/>
        </w:rPr>
        <w:t xml:space="preserve">The Parties are instructed to call the following phone number: 1-(857) 327-9245 at that time and then enter the following passcode when prompted: 133 966 91#.  </w:t>
      </w:r>
    </w:p>
    <w:p w14:paraId="62F9DC33" w14:textId="77777777" w:rsidR="001117BC" w:rsidRPr="00331871" w:rsidRDefault="001117BC" w:rsidP="001117BC">
      <w:pPr>
        <w:spacing w:after="0" w:line="240" w:lineRule="auto"/>
        <w:rPr>
          <w:rFonts w:ascii="Aptos" w:hAnsi="Aptos" w:cs="Times New Roman"/>
          <w:sz w:val="25"/>
          <w:szCs w:val="25"/>
        </w:rPr>
      </w:pPr>
    </w:p>
    <w:p w14:paraId="26816965" w14:textId="77777777" w:rsidR="001117BC" w:rsidRPr="00331871" w:rsidRDefault="001117BC" w:rsidP="001117BC">
      <w:pPr>
        <w:shd w:val="clear" w:color="auto" w:fill="FFFFFF"/>
        <w:spacing w:after="0"/>
        <w:rPr>
          <w:rFonts w:ascii="Aptos" w:eastAsia="Times New Roman" w:hAnsi="Aptos" w:cs="Times New Roman"/>
          <w:sz w:val="25"/>
          <w:szCs w:val="25"/>
        </w:rPr>
      </w:pPr>
      <w:r w:rsidRPr="00331871">
        <w:rPr>
          <w:rFonts w:ascii="Aptos" w:eastAsia="Times New Roman" w:hAnsi="Aptos" w:cs="Times New Roman"/>
          <w:sz w:val="25"/>
          <w:szCs w:val="25"/>
        </w:rPr>
        <w:t xml:space="preserve">By the Hearing Officer, </w:t>
      </w:r>
    </w:p>
    <w:p w14:paraId="4DB50B80" w14:textId="77777777" w:rsidR="001117BC" w:rsidRPr="00D15CE2" w:rsidRDefault="001117BC" w:rsidP="001117BC">
      <w:pPr>
        <w:spacing w:after="0" w:line="240" w:lineRule="auto"/>
        <w:rPr>
          <w:rFonts w:ascii="Lucida Handwriting" w:eastAsia="Times New Roman" w:hAnsi="Lucida Handwriting" w:cs="Times New Roman"/>
          <w:kern w:val="0"/>
          <w:sz w:val="25"/>
          <w:szCs w:val="25"/>
          <w:u w:val="single"/>
        </w:rPr>
      </w:pPr>
    </w:p>
    <w:p w14:paraId="3587161A" w14:textId="77777777" w:rsidR="001117BC" w:rsidRPr="00D15CE2" w:rsidRDefault="001117BC" w:rsidP="001117BC">
      <w:pPr>
        <w:spacing w:after="0" w:line="240" w:lineRule="auto"/>
        <w:rPr>
          <w:rFonts w:ascii="Lucida Handwriting" w:eastAsia="Times New Roman" w:hAnsi="Lucida Handwriting" w:cs="Times New Roman"/>
          <w:kern w:val="0"/>
          <w:sz w:val="25"/>
          <w:szCs w:val="25"/>
          <w:u w:val="single"/>
        </w:rPr>
      </w:pPr>
      <w:r w:rsidRPr="00D15CE2">
        <w:rPr>
          <w:rFonts w:ascii="Lucida Handwriting" w:eastAsia="Times New Roman" w:hAnsi="Lucida Handwriting" w:cs="Times New Roman"/>
          <w:kern w:val="0"/>
          <w:sz w:val="25"/>
          <w:szCs w:val="25"/>
          <w:u w:val="single"/>
        </w:rPr>
        <w:t>/s/  Marguerite M. Mitchell</w:t>
      </w:r>
      <w:r w:rsidRPr="00D15CE2">
        <w:rPr>
          <w:rFonts w:ascii="Aptos" w:eastAsia="Times New Roman" w:hAnsi="Aptos" w:cs="Times New Roman"/>
          <w:sz w:val="25"/>
          <w:szCs w:val="25"/>
          <w:u w:val="single"/>
        </w:rPr>
        <w:br/>
      </w:r>
      <w:r w:rsidRPr="00D15CE2">
        <w:rPr>
          <w:rFonts w:ascii="Aptos" w:eastAsia="Times New Roman" w:hAnsi="Aptos" w:cs="Times New Roman"/>
          <w:sz w:val="25"/>
          <w:szCs w:val="25"/>
        </w:rPr>
        <w:t>Marguerite M. Mitchell</w:t>
      </w:r>
    </w:p>
    <w:p w14:paraId="49B686A6" w14:textId="73C783CF" w:rsidR="001117BC" w:rsidRDefault="001117BC" w:rsidP="00024983">
      <w:pPr>
        <w:spacing w:line="240" w:lineRule="auto"/>
      </w:pPr>
      <w:r w:rsidRPr="00D15CE2">
        <w:rPr>
          <w:rFonts w:ascii="Aptos" w:eastAsia="Times New Roman" w:hAnsi="Aptos" w:cs="Times New Roman"/>
          <w:sz w:val="25"/>
          <w:szCs w:val="25"/>
        </w:rPr>
        <w:t xml:space="preserve">Date: </w:t>
      </w:r>
      <w:r w:rsidR="003B0087">
        <w:rPr>
          <w:rFonts w:ascii="Aptos" w:eastAsia="Times New Roman" w:hAnsi="Aptos" w:cs="Times New Roman"/>
          <w:sz w:val="25"/>
          <w:szCs w:val="25"/>
        </w:rPr>
        <w:t>March 19, 2025</w:t>
      </w:r>
    </w:p>
    <w:sectPr w:rsidR="001117B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A367" w14:textId="77777777" w:rsidR="001117BC" w:rsidRDefault="001117BC" w:rsidP="001117BC">
      <w:pPr>
        <w:spacing w:after="0" w:line="240" w:lineRule="auto"/>
      </w:pPr>
      <w:r>
        <w:separator/>
      </w:r>
    </w:p>
  </w:endnote>
  <w:endnote w:type="continuationSeparator" w:id="0">
    <w:p w14:paraId="5E4CF92A" w14:textId="77777777" w:rsidR="001117BC" w:rsidRDefault="001117BC" w:rsidP="0011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50876"/>
      <w:docPartObj>
        <w:docPartGallery w:val="Page Numbers (Bottom of Page)"/>
        <w:docPartUnique/>
      </w:docPartObj>
    </w:sdtPr>
    <w:sdtEndPr>
      <w:rPr>
        <w:noProof/>
      </w:rPr>
    </w:sdtEndPr>
    <w:sdtContent>
      <w:p w14:paraId="5DBEBE9E" w14:textId="7333A6DD" w:rsidR="00A03E39" w:rsidRDefault="00A03E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0880A0" w14:textId="77777777" w:rsidR="00A03E39" w:rsidRDefault="00A0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60BC3" w14:textId="77777777" w:rsidR="001117BC" w:rsidRDefault="001117BC" w:rsidP="001117BC">
      <w:pPr>
        <w:spacing w:after="0" w:line="240" w:lineRule="auto"/>
      </w:pPr>
      <w:r>
        <w:separator/>
      </w:r>
    </w:p>
  </w:footnote>
  <w:footnote w:type="continuationSeparator" w:id="0">
    <w:p w14:paraId="5FA03ABF" w14:textId="77777777" w:rsidR="001117BC" w:rsidRDefault="001117BC" w:rsidP="001117BC">
      <w:pPr>
        <w:spacing w:after="0" w:line="240" w:lineRule="auto"/>
      </w:pPr>
      <w:r>
        <w:continuationSeparator/>
      </w:r>
    </w:p>
  </w:footnote>
  <w:footnote w:id="1">
    <w:p w14:paraId="16533C80" w14:textId="5799AA35" w:rsidR="001117BC" w:rsidRPr="00856989" w:rsidRDefault="001117BC">
      <w:pPr>
        <w:pStyle w:val="FootnoteText"/>
        <w:rPr>
          <w:rFonts w:ascii="Aptos" w:hAnsi="Aptos"/>
        </w:rPr>
      </w:pPr>
      <w:r w:rsidRPr="00024983">
        <w:rPr>
          <w:rStyle w:val="FootnoteReference"/>
          <w:rFonts w:ascii="Aptos" w:hAnsi="Aptos"/>
        </w:rPr>
        <w:footnoteRef/>
      </w:r>
      <w:r w:rsidRPr="00024983">
        <w:rPr>
          <w:rFonts w:ascii="Aptos" w:hAnsi="Aptos"/>
        </w:rPr>
        <w:t xml:space="preserve">   DESE requested and was allowed an extension until </w:t>
      </w:r>
      <w:r w:rsidRPr="00856989">
        <w:rPr>
          <w:rFonts w:ascii="Aptos" w:hAnsi="Aptos"/>
        </w:rPr>
        <w:t xml:space="preserve">this date to file its reply to the </w:t>
      </w:r>
      <w:r w:rsidRPr="00856989">
        <w:rPr>
          <w:rFonts w:ascii="Aptos" w:hAnsi="Aptos"/>
          <w:i/>
          <w:iCs/>
        </w:rPr>
        <w:t>Motion</w:t>
      </w:r>
      <w:r w:rsidRPr="00856989">
        <w:rPr>
          <w:rFonts w:ascii="Aptos" w:hAnsi="Aptos"/>
        </w:rPr>
        <w:t>.</w:t>
      </w:r>
    </w:p>
  </w:footnote>
  <w:footnote w:id="2">
    <w:p w14:paraId="77244E3E" w14:textId="525FBFF9" w:rsidR="001117BC" w:rsidRPr="00856989" w:rsidRDefault="001117BC" w:rsidP="003D4781">
      <w:pPr>
        <w:spacing w:after="0" w:line="240" w:lineRule="auto"/>
        <w:rPr>
          <w:rFonts w:ascii="Aptos" w:hAnsi="Aptos" w:cs="Times New Roman"/>
          <w:sz w:val="20"/>
          <w:szCs w:val="20"/>
        </w:rPr>
      </w:pPr>
      <w:r w:rsidRPr="00856989">
        <w:rPr>
          <w:rStyle w:val="FootnoteReference"/>
          <w:rFonts w:ascii="Aptos" w:hAnsi="Aptos"/>
          <w:sz w:val="20"/>
          <w:szCs w:val="20"/>
        </w:rPr>
        <w:footnoteRef/>
      </w:r>
      <w:r w:rsidRPr="00856989">
        <w:rPr>
          <w:rFonts w:ascii="Aptos" w:hAnsi="Aptos"/>
          <w:sz w:val="20"/>
          <w:szCs w:val="20"/>
        </w:rPr>
        <w:t xml:space="preserve">   </w:t>
      </w:r>
      <w:r w:rsidRPr="00856989">
        <w:rPr>
          <w:rFonts w:ascii="Aptos" w:hAnsi="Aptos" w:cs="Times New Roman"/>
          <w:sz w:val="20"/>
          <w:szCs w:val="20"/>
        </w:rPr>
        <w:t xml:space="preserve">Much of the procedural history and relevant factual information </w:t>
      </w:r>
      <w:r w:rsidR="00BC7230" w:rsidRPr="00856989">
        <w:rPr>
          <w:rFonts w:ascii="Aptos" w:hAnsi="Aptos" w:cs="Times New Roman"/>
          <w:sz w:val="20"/>
          <w:szCs w:val="20"/>
        </w:rPr>
        <w:t>has been previously</w:t>
      </w:r>
      <w:r w:rsidRPr="00856989">
        <w:rPr>
          <w:rFonts w:ascii="Aptos" w:hAnsi="Aptos" w:cs="Times New Roman"/>
          <w:sz w:val="20"/>
          <w:szCs w:val="20"/>
        </w:rPr>
        <w:t xml:space="preserve"> set forth in prior </w:t>
      </w:r>
      <w:r w:rsidRPr="00856989">
        <w:rPr>
          <w:rFonts w:ascii="Aptos" w:hAnsi="Aptos" w:cs="Times New Roman"/>
          <w:i/>
          <w:iCs/>
          <w:sz w:val="20"/>
          <w:szCs w:val="20"/>
        </w:rPr>
        <w:t xml:space="preserve">Rulings </w:t>
      </w:r>
      <w:r w:rsidRPr="00856989">
        <w:rPr>
          <w:rFonts w:ascii="Aptos" w:hAnsi="Aptos" w:cs="Times New Roman"/>
          <w:sz w:val="20"/>
          <w:szCs w:val="20"/>
        </w:rPr>
        <w:t xml:space="preserve">in this matter, </w:t>
      </w:r>
      <w:r w:rsidR="00BD619B" w:rsidRPr="00856989">
        <w:rPr>
          <w:rFonts w:ascii="Aptos" w:hAnsi="Aptos" w:cs="Times New Roman"/>
          <w:sz w:val="20"/>
          <w:szCs w:val="20"/>
        </w:rPr>
        <w:t>that</w:t>
      </w:r>
      <w:r w:rsidRPr="00856989">
        <w:rPr>
          <w:rFonts w:ascii="Aptos" w:hAnsi="Aptos" w:cs="Times New Roman"/>
          <w:sz w:val="20"/>
          <w:szCs w:val="20"/>
        </w:rPr>
        <w:t xml:space="preserve"> are incorporated herein by reference and will not be repeated here, unless relevant to the current underlying issue.  </w:t>
      </w:r>
      <w:r w:rsidR="00684315" w:rsidRPr="00856989">
        <w:rPr>
          <w:rFonts w:ascii="Aptos" w:hAnsi="Aptos" w:cs="Times New Roman"/>
          <w:sz w:val="20"/>
          <w:szCs w:val="20"/>
        </w:rPr>
        <w:t xml:space="preserve">Specifically, the Parties </w:t>
      </w:r>
      <w:r w:rsidR="00863777" w:rsidRPr="00856989">
        <w:rPr>
          <w:rFonts w:ascii="Aptos" w:hAnsi="Aptos" w:cs="Times New Roman"/>
          <w:sz w:val="20"/>
          <w:szCs w:val="20"/>
        </w:rPr>
        <w:t xml:space="preserve">are referred </w:t>
      </w:r>
      <w:r w:rsidR="001F1496" w:rsidRPr="00856989">
        <w:rPr>
          <w:rFonts w:ascii="Aptos" w:hAnsi="Aptos" w:cs="Times New Roman"/>
          <w:sz w:val="20"/>
          <w:szCs w:val="20"/>
        </w:rPr>
        <w:t xml:space="preserve">to the </w:t>
      </w:r>
      <w:r w:rsidR="00863D7A" w:rsidRPr="00856989">
        <w:rPr>
          <w:rFonts w:ascii="Aptos" w:hAnsi="Aptos" w:cs="Times New Roman"/>
          <w:sz w:val="20"/>
          <w:szCs w:val="20"/>
        </w:rPr>
        <w:t xml:space="preserve">January 22, 2025 </w:t>
      </w:r>
      <w:r w:rsidR="00863D7A" w:rsidRPr="00856989">
        <w:rPr>
          <w:rFonts w:ascii="Aptos" w:hAnsi="Aptos" w:cs="Times New Roman"/>
          <w:i/>
          <w:iCs/>
          <w:sz w:val="20"/>
          <w:szCs w:val="20"/>
        </w:rPr>
        <w:t xml:space="preserve">Ruling on Motion to Join DDS </w:t>
      </w:r>
      <w:r w:rsidR="006A438A" w:rsidRPr="00856989">
        <w:rPr>
          <w:rFonts w:ascii="Aptos" w:hAnsi="Aptos" w:cs="Times New Roman"/>
          <w:sz w:val="20"/>
          <w:szCs w:val="20"/>
        </w:rPr>
        <w:t>(</w:t>
      </w:r>
      <w:r w:rsidR="006A438A" w:rsidRPr="00856989">
        <w:rPr>
          <w:rFonts w:ascii="Aptos" w:hAnsi="Aptos" w:cs="Times New Roman"/>
          <w:i/>
          <w:iCs/>
          <w:sz w:val="20"/>
          <w:szCs w:val="20"/>
        </w:rPr>
        <w:t>Joinder Ruling</w:t>
      </w:r>
      <w:r w:rsidR="006A438A" w:rsidRPr="00856989">
        <w:rPr>
          <w:rFonts w:ascii="Aptos" w:hAnsi="Aptos" w:cs="Times New Roman"/>
          <w:sz w:val="20"/>
          <w:szCs w:val="20"/>
        </w:rPr>
        <w:t xml:space="preserve">) </w:t>
      </w:r>
      <w:r w:rsidR="00863D7A" w:rsidRPr="00856989">
        <w:rPr>
          <w:rFonts w:ascii="Aptos" w:hAnsi="Aptos" w:cs="Times New Roman"/>
          <w:sz w:val="20"/>
          <w:szCs w:val="20"/>
        </w:rPr>
        <w:t xml:space="preserve">and to the </w:t>
      </w:r>
      <w:r w:rsidR="008376D7" w:rsidRPr="00856989">
        <w:rPr>
          <w:rFonts w:ascii="Aptos" w:hAnsi="Aptos" w:cs="Times New Roman"/>
          <w:sz w:val="20"/>
          <w:szCs w:val="20"/>
        </w:rPr>
        <w:t xml:space="preserve">February 26, 2025 </w:t>
      </w:r>
      <w:r w:rsidR="008376D7" w:rsidRPr="00856989">
        <w:rPr>
          <w:rFonts w:ascii="Aptos" w:hAnsi="Aptos" w:cs="Times New Roman"/>
          <w:i/>
          <w:iCs/>
          <w:sz w:val="20"/>
          <w:szCs w:val="20"/>
        </w:rPr>
        <w:t>Ruling on [DDS’s] Motion to Reconsider its Joinder</w:t>
      </w:r>
      <w:r w:rsidR="00BF0053" w:rsidRPr="00856989">
        <w:rPr>
          <w:rFonts w:ascii="Aptos" w:hAnsi="Aptos" w:cs="Times New Roman"/>
          <w:i/>
          <w:iCs/>
          <w:sz w:val="20"/>
          <w:szCs w:val="20"/>
        </w:rPr>
        <w:t xml:space="preserve"> </w:t>
      </w:r>
      <w:r w:rsidR="00BF0053" w:rsidRPr="00856989">
        <w:rPr>
          <w:rFonts w:ascii="Aptos" w:hAnsi="Aptos" w:cs="Times New Roman"/>
          <w:sz w:val="20"/>
          <w:szCs w:val="20"/>
        </w:rPr>
        <w:t>(</w:t>
      </w:r>
      <w:r w:rsidR="00BF0053" w:rsidRPr="00856989">
        <w:rPr>
          <w:rFonts w:ascii="Aptos" w:hAnsi="Aptos" w:cs="Times New Roman"/>
          <w:i/>
          <w:iCs/>
          <w:sz w:val="20"/>
          <w:szCs w:val="20"/>
        </w:rPr>
        <w:t>Reconsideration Ruling</w:t>
      </w:r>
      <w:r w:rsidR="00BF0053" w:rsidRPr="00856989">
        <w:rPr>
          <w:rFonts w:ascii="Aptos" w:hAnsi="Aptos" w:cs="Times New Roman"/>
          <w:sz w:val="20"/>
          <w:szCs w:val="20"/>
        </w:rPr>
        <w:t>)</w:t>
      </w:r>
      <w:r w:rsidR="003F7381" w:rsidRPr="00856989">
        <w:rPr>
          <w:rFonts w:ascii="Aptos" w:hAnsi="Aptos" w:cs="Times New Roman"/>
          <w:sz w:val="20"/>
          <w:szCs w:val="20"/>
        </w:rPr>
        <w:t xml:space="preserve">. </w:t>
      </w:r>
      <w:r w:rsidR="008376D7" w:rsidRPr="00856989">
        <w:rPr>
          <w:rFonts w:ascii="Aptos" w:hAnsi="Aptos" w:cs="Times New Roman"/>
          <w:i/>
          <w:iCs/>
          <w:sz w:val="20"/>
          <w:szCs w:val="20"/>
        </w:rPr>
        <w:t xml:space="preserve"> </w:t>
      </w:r>
      <w:r w:rsidR="00863777" w:rsidRPr="00856989">
        <w:rPr>
          <w:rFonts w:ascii="Aptos" w:hAnsi="Aptos" w:cs="Times New Roman"/>
          <w:sz w:val="20"/>
          <w:szCs w:val="20"/>
        </w:rPr>
        <w:t>Further, t</w:t>
      </w:r>
      <w:r w:rsidRPr="00856989">
        <w:rPr>
          <w:rFonts w:ascii="Aptos" w:hAnsi="Aptos" w:cs="Times New Roman"/>
          <w:sz w:val="20"/>
          <w:szCs w:val="20"/>
        </w:rPr>
        <w:t>o the extent any factual statements are provided</w:t>
      </w:r>
      <w:r w:rsidR="00863777" w:rsidRPr="00856989">
        <w:rPr>
          <w:rFonts w:ascii="Aptos" w:hAnsi="Aptos" w:cs="Times New Roman"/>
          <w:sz w:val="20"/>
          <w:szCs w:val="20"/>
        </w:rPr>
        <w:t xml:space="preserve"> here</w:t>
      </w:r>
      <w:r w:rsidRPr="00856989">
        <w:rPr>
          <w:rFonts w:ascii="Aptos" w:hAnsi="Aptos" w:cs="Times New Roman"/>
          <w:sz w:val="20"/>
          <w:szCs w:val="20"/>
        </w:rPr>
        <w:t xml:space="preserve">, they are subject to revision after a hearing on the merits.  </w:t>
      </w:r>
    </w:p>
  </w:footnote>
  <w:footnote w:id="3">
    <w:p w14:paraId="5E02D86E" w14:textId="6991F833" w:rsidR="003D4781" w:rsidRPr="00856989" w:rsidRDefault="003D4781">
      <w:pPr>
        <w:pStyle w:val="FootnoteText"/>
      </w:pPr>
      <w:r w:rsidRPr="00856989">
        <w:rPr>
          <w:rStyle w:val="FootnoteReference"/>
        </w:rPr>
        <w:footnoteRef/>
      </w:r>
      <w:r w:rsidRPr="00856989">
        <w:t xml:space="preserve"> Parent is Student’s permanent legal guardian.</w:t>
      </w:r>
    </w:p>
  </w:footnote>
  <w:footnote w:id="4">
    <w:p w14:paraId="6ED735FB" w14:textId="380D6AAA" w:rsidR="00D62FF1" w:rsidRPr="00856989" w:rsidRDefault="00D62FF1">
      <w:pPr>
        <w:pStyle w:val="FootnoteText"/>
        <w:rPr>
          <w:rFonts w:ascii="Aptos" w:hAnsi="Aptos"/>
        </w:rPr>
      </w:pPr>
      <w:r w:rsidRPr="00856989">
        <w:rPr>
          <w:rStyle w:val="FootnoteReference"/>
          <w:rFonts w:ascii="Aptos" w:hAnsi="Aptos"/>
        </w:rPr>
        <w:footnoteRef/>
      </w:r>
      <w:r w:rsidRPr="00856989">
        <w:rPr>
          <w:rFonts w:ascii="Aptos" w:hAnsi="Aptos"/>
        </w:rPr>
        <w:t xml:space="preserve">   DESE’s </w:t>
      </w:r>
      <w:r w:rsidRPr="00856989">
        <w:rPr>
          <w:rFonts w:ascii="Aptos" w:hAnsi="Aptos"/>
          <w:i/>
          <w:iCs/>
        </w:rPr>
        <w:t>Opposition</w:t>
      </w:r>
      <w:r w:rsidRPr="00856989">
        <w:rPr>
          <w:rFonts w:ascii="Aptos" w:hAnsi="Aptos"/>
        </w:rPr>
        <w:t xml:space="preserve"> </w:t>
      </w:r>
      <w:r w:rsidR="00CC4233" w:rsidRPr="00856989">
        <w:rPr>
          <w:rFonts w:ascii="Aptos" w:hAnsi="Aptos"/>
        </w:rPr>
        <w:t xml:space="preserve">advises that </w:t>
      </w:r>
      <w:r w:rsidRPr="00856989">
        <w:rPr>
          <w:rFonts w:ascii="Aptos" w:hAnsi="Aptos"/>
        </w:rPr>
        <w:t xml:space="preserve">this </w:t>
      </w:r>
      <w:r w:rsidR="00803208" w:rsidRPr="00856989">
        <w:rPr>
          <w:rFonts w:ascii="Aptos" w:hAnsi="Aptos"/>
        </w:rPr>
        <w:t>P</w:t>
      </w:r>
      <w:r w:rsidRPr="00856989">
        <w:rPr>
          <w:rFonts w:ascii="Aptos" w:hAnsi="Aptos"/>
        </w:rPr>
        <w:t>rogram is entitled “DESE/DDS Re</w:t>
      </w:r>
      <w:r w:rsidR="001D6A0E" w:rsidRPr="00856989">
        <w:rPr>
          <w:rFonts w:ascii="Aptos" w:hAnsi="Aptos"/>
        </w:rPr>
        <w:t>s</w:t>
      </w:r>
      <w:r w:rsidRPr="00856989">
        <w:rPr>
          <w:rFonts w:ascii="Aptos" w:hAnsi="Aptos"/>
        </w:rPr>
        <w:t>idential Prevention Program</w:t>
      </w:r>
      <w:r w:rsidR="00803208" w:rsidRPr="00856989">
        <w:rPr>
          <w:rFonts w:ascii="Aptos" w:hAnsi="Aptos"/>
        </w:rPr>
        <w:t xml:space="preserve"> and that i</w:t>
      </w:r>
      <w:r w:rsidR="001D6A0E" w:rsidRPr="00856989">
        <w:rPr>
          <w:rFonts w:ascii="Aptos" w:hAnsi="Aptos"/>
        </w:rPr>
        <w:t xml:space="preserve">nformation about </w:t>
      </w:r>
      <w:r w:rsidR="00803208" w:rsidRPr="00856989">
        <w:rPr>
          <w:rFonts w:ascii="Aptos" w:hAnsi="Aptos"/>
        </w:rPr>
        <w:t xml:space="preserve">the Program </w:t>
      </w:r>
      <w:r w:rsidR="001D6A0E" w:rsidRPr="00856989">
        <w:rPr>
          <w:rFonts w:ascii="Aptos" w:hAnsi="Aptos"/>
        </w:rPr>
        <w:t xml:space="preserve">can be found at </w:t>
      </w:r>
      <w:r w:rsidR="00342CB4" w:rsidRPr="00856989">
        <w:rPr>
          <w:rFonts w:ascii="Aptos" w:hAnsi="Aptos"/>
          <w:u w:val="single"/>
        </w:rPr>
        <w:t>https://www.mass.gov/info-details/desedds-frequently-asked-questions</w:t>
      </w:r>
      <w:r w:rsidR="00342CB4" w:rsidRPr="00856989">
        <w:rPr>
          <w:rFonts w:ascii="Aptos" w:hAnsi="Aptos"/>
        </w:rPr>
        <w:t>.</w:t>
      </w:r>
    </w:p>
  </w:footnote>
  <w:footnote w:id="5">
    <w:p w14:paraId="449D91B5" w14:textId="5F9050DA" w:rsidR="0041467B" w:rsidRPr="00856989" w:rsidRDefault="0041467B">
      <w:pPr>
        <w:pStyle w:val="FootnoteText"/>
        <w:rPr>
          <w:rFonts w:ascii="Aptos" w:hAnsi="Aptos"/>
        </w:rPr>
      </w:pPr>
      <w:r w:rsidRPr="00856989">
        <w:rPr>
          <w:rStyle w:val="FootnoteReference"/>
          <w:rFonts w:ascii="Aptos" w:hAnsi="Aptos"/>
        </w:rPr>
        <w:footnoteRef/>
      </w:r>
      <w:r w:rsidRPr="00856989">
        <w:rPr>
          <w:rFonts w:ascii="Aptos" w:hAnsi="Aptos"/>
        </w:rPr>
        <w:t xml:space="preserve">   </w:t>
      </w:r>
      <w:r w:rsidR="00A127FD" w:rsidRPr="00856989">
        <w:rPr>
          <w:rFonts w:ascii="Aptos" w:hAnsi="Aptos"/>
        </w:rPr>
        <w:t>Although not relevant to the underlying Motion, I note that t</w:t>
      </w:r>
      <w:r w:rsidRPr="00856989">
        <w:rPr>
          <w:rFonts w:ascii="Aptos" w:hAnsi="Aptos"/>
        </w:rPr>
        <w:t xml:space="preserve">his search process has not been without </w:t>
      </w:r>
      <w:r w:rsidR="00A127FD" w:rsidRPr="00856989">
        <w:rPr>
          <w:rFonts w:ascii="Aptos" w:hAnsi="Aptos"/>
        </w:rPr>
        <w:t xml:space="preserve">delay </w:t>
      </w:r>
      <w:r w:rsidR="00EF2D79" w:rsidRPr="00856989">
        <w:rPr>
          <w:rFonts w:ascii="Aptos" w:hAnsi="Aptos"/>
        </w:rPr>
        <w:t>and/</w:t>
      </w:r>
      <w:r w:rsidR="00A127FD" w:rsidRPr="00856989">
        <w:rPr>
          <w:rFonts w:ascii="Aptos" w:hAnsi="Aptos"/>
        </w:rPr>
        <w:t xml:space="preserve">or disagreement </w:t>
      </w:r>
      <w:r w:rsidR="00EF2D79" w:rsidRPr="00856989">
        <w:rPr>
          <w:rFonts w:ascii="Aptos" w:hAnsi="Aptos"/>
        </w:rPr>
        <w:t xml:space="preserve">by and </w:t>
      </w:r>
      <w:r w:rsidR="00A127FD" w:rsidRPr="00856989">
        <w:rPr>
          <w:rFonts w:ascii="Aptos" w:hAnsi="Aptos"/>
        </w:rPr>
        <w:t xml:space="preserve">between the </w:t>
      </w:r>
      <w:r w:rsidR="00726F6C" w:rsidRPr="00856989">
        <w:rPr>
          <w:rFonts w:ascii="Aptos" w:hAnsi="Aptos"/>
        </w:rPr>
        <w:t>Parent and the District</w:t>
      </w:r>
      <w:r w:rsidR="00A127FD" w:rsidRPr="00856989">
        <w:rPr>
          <w:rFonts w:ascii="Aptos" w:hAnsi="Aptos"/>
        </w:rPr>
        <w:t>.</w:t>
      </w:r>
    </w:p>
  </w:footnote>
  <w:footnote w:id="6">
    <w:p w14:paraId="55F93F2D" w14:textId="610EEB07" w:rsidR="00FC0D91" w:rsidRPr="005F2243" w:rsidRDefault="00FC0D91">
      <w:pPr>
        <w:pStyle w:val="FootnoteText"/>
      </w:pPr>
      <w:r>
        <w:rPr>
          <w:rStyle w:val="FootnoteReference"/>
        </w:rPr>
        <w:footnoteRef/>
      </w:r>
      <w:r>
        <w:t xml:space="preserve">   According to Parent</w:t>
      </w:r>
      <w:r w:rsidR="000F532E">
        <w:t>,</w:t>
      </w:r>
      <w:r>
        <w:t xml:space="preserve"> she missed the first session due to </w:t>
      </w:r>
      <w:r w:rsidR="00D24773">
        <w:t>“behavioral issues happening in the home” and missed the second session as it occurred when she was in the Superior Court</w:t>
      </w:r>
      <w:r w:rsidR="005F2243">
        <w:t xml:space="preserve"> to address the District’s emergency action discussed </w:t>
      </w:r>
      <w:r w:rsidR="005F2243">
        <w:rPr>
          <w:i/>
          <w:iCs/>
        </w:rPr>
        <w:t>supra</w:t>
      </w:r>
      <w:r w:rsidR="005F2243">
        <w:t>.</w:t>
      </w:r>
    </w:p>
  </w:footnote>
  <w:footnote w:id="7">
    <w:p w14:paraId="372A8F83" w14:textId="59324B90" w:rsidR="00E90207" w:rsidRPr="00856989" w:rsidRDefault="00E90207">
      <w:pPr>
        <w:pStyle w:val="FootnoteText"/>
        <w:rPr>
          <w:rFonts w:ascii="Aptos" w:hAnsi="Aptos"/>
        </w:rPr>
      </w:pPr>
      <w:r w:rsidRPr="00856989">
        <w:rPr>
          <w:rStyle w:val="FootnoteReference"/>
          <w:rFonts w:ascii="Aptos" w:hAnsi="Aptos"/>
        </w:rPr>
        <w:footnoteRef/>
      </w:r>
      <w:r w:rsidRPr="00856989">
        <w:rPr>
          <w:rFonts w:ascii="Aptos" w:hAnsi="Aptos"/>
        </w:rPr>
        <w:t xml:space="preserve">   </w:t>
      </w:r>
      <w:r w:rsidR="00995FBE" w:rsidRPr="00856989">
        <w:rPr>
          <w:rFonts w:ascii="Aptos" w:hAnsi="Aptos"/>
        </w:rPr>
        <w:t>603 CMR 28.06</w:t>
      </w:r>
      <w:r w:rsidR="0039638F" w:rsidRPr="00856989">
        <w:rPr>
          <w:rFonts w:ascii="Aptos" w:hAnsi="Aptos"/>
        </w:rPr>
        <w:t>(3)</w:t>
      </w:r>
      <w:r w:rsidR="00995FBE" w:rsidRPr="00856989">
        <w:rPr>
          <w:rFonts w:ascii="Aptos" w:hAnsi="Aptos"/>
        </w:rPr>
        <w:t>(e), provides</w:t>
      </w:r>
      <w:r w:rsidR="007204BC" w:rsidRPr="00856989">
        <w:rPr>
          <w:rFonts w:ascii="Aptos" w:hAnsi="Aptos"/>
        </w:rPr>
        <w:t xml:space="preserve">, </w:t>
      </w:r>
      <w:r w:rsidR="00995FBE" w:rsidRPr="00856989">
        <w:rPr>
          <w:rFonts w:ascii="Aptos" w:hAnsi="Aptos"/>
        </w:rPr>
        <w:t xml:space="preserve">that “if the Team is unable to identify an appropriate placement in an approved school, the </w:t>
      </w:r>
      <w:r w:rsidR="007204BC" w:rsidRPr="00856989">
        <w:rPr>
          <w:rFonts w:ascii="Aptos" w:hAnsi="Aptos"/>
        </w:rPr>
        <w:t>A</w:t>
      </w:r>
      <w:r w:rsidR="00995FBE" w:rsidRPr="00856989">
        <w:rPr>
          <w:rFonts w:ascii="Aptos" w:hAnsi="Aptos"/>
        </w:rPr>
        <w:t xml:space="preserve">dministrator of </w:t>
      </w:r>
      <w:r w:rsidR="007204BC" w:rsidRPr="00856989">
        <w:rPr>
          <w:rFonts w:ascii="Aptos" w:hAnsi="Aptos"/>
        </w:rPr>
        <w:t>S</w:t>
      </w:r>
      <w:r w:rsidR="00995FBE" w:rsidRPr="00856989">
        <w:rPr>
          <w:rFonts w:ascii="Aptos" w:hAnsi="Aptos"/>
        </w:rPr>
        <w:t xml:space="preserve">pecial </w:t>
      </w:r>
      <w:r w:rsidR="007204BC" w:rsidRPr="00856989">
        <w:rPr>
          <w:rFonts w:ascii="Aptos" w:hAnsi="Aptos"/>
        </w:rPr>
        <w:t>E</w:t>
      </w:r>
      <w:r w:rsidR="00995FBE" w:rsidRPr="00856989">
        <w:rPr>
          <w:rFonts w:ascii="Aptos" w:hAnsi="Aptos"/>
        </w:rPr>
        <w:t xml:space="preserve">ducation may request assistance from </w:t>
      </w:r>
      <w:r w:rsidR="003A7C91" w:rsidRPr="00856989">
        <w:rPr>
          <w:rFonts w:ascii="Aptos" w:hAnsi="Aptos"/>
        </w:rPr>
        <w:t>[DESE]</w:t>
      </w:r>
      <w:r w:rsidR="007204BC" w:rsidRPr="00856989">
        <w:rPr>
          <w:rFonts w:ascii="Aptos" w:hAnsi="Aptos"/>
        </w:rPr>
        <w:t xml:space="preserve"> …</w:t>
      </w:r>
      <w:r w:rsidR="00995FBE" w:rsidRPr="00856989">
        <w:rPr>
          <w:rFonts w:ascii="Aptos" w:hAnsi="Aptos"/>
        </w:rPr>
        <w:t>”</w:t>
      </w:r>
      <w:r w:rsidR="004D2D25" w:rsidRPr="00856989">
        <w:rPr>
          <w:rFonts w:ascii="Aptos" w:hAnsi="Aptos"/>
        </w:rPr>
        <w:t>.</w:t>
      </w:r>
    </w:p>
  </w:footnote>
  <w:footnote w:id="8">
    <w:p w14:paraId="1080E43D" w14:textId="0650CF9D" w:rsidR="000F532E" w:rsidRDefault="000F532E">
      <w:pPr>
        <w:pStyle w:val="FootnoteText"/>
      </w:pPr>
      <w:r>
        <w:rPr>
          <w:rStyle w:val="FootnoteReference"/>
        </w:rPr>
        <w:footnoteRef/>
      </w:r>
      <w:r>
        <w:t xml:space="preserve">   According to Parent her rejection was primarily based on disputes </w:t>
      </w:r>
      <w:r w:rsidR="004215F1">
        <w:t xml:space="preserve">concerning medications that Student would </w:t>
      </w:r>
      <w:r w:rsidR="00564B23">
        <w:t xml:space="preserve">not </w:t>
      </w:r>
      <w:r w:rsidR="004215F1">
        <w:t>be able to receive given the current Roger’s Orders paperwork from the Probate and Family Court.</w:t>
      </w:r>
    </w:p>
  </w:footnote>
  <w:footnote w:id="9">
    <w:p w14:paraId="784775E3" w14:textId="668B9614" w:rsidR="00C421DE" w:rsidRPr="00856989" w:rsidRDefault="00C421DE">
      <w:pPr>
        <w:pStyle w:val="FootnoteText"/>
        <w:rPr>
          <w:rFonts w:ascii="Aptos" w:hAnsi="Aptos"/>
        </w:rPr>
      </w:pPr>
      <w:r w:rsidRPr="00856989">
        <w:rPr>
          <w:rStyle w:val="FootnoteReference"/>
          <w:rFonts w:ascii="Aptos" w:hAnsi="Aptos"/>
        </w:rPr>
        <w:footnoteRef/>
      </w:r>
      <w:r w:rsidRPr="00856989">
        <w:rPr>
          <w:rFonts w:ascii="Aptos" w:hAnsi="Aptos"/>
        </w:rPr>
        <w:t xml:space="preserve">    </w:t>
      </w:r>
      <w:r w:rsidR="00DF052C" w:rsidRPr="00856989">
        <w:rPr>
          <w:rFonts w:ascii="Aptos" w:hAnsi="Aptos"/>
        </w:rPr>
        <w:t>See</w:t>
      </w:r>
      <w:r w:rsidR="003E6AC3" w:rsidRPr="00856989">
        <w:rPr>
          <w:rFonts w:ascii="Aptos" w:hAnsi="Aptos"/>
        </w:rPr>
        <w:t xml:space="preserve"> </w:t>
      </w:r>
      <w:r w:rsidR="003E6AC3" w:rsidRPr="00856989">
        <w:rPr>
          <w:rFonts w:ascii="Aptos" w:hAnsi="Aptos"/>
          <w:i/>
          <w:iCs/>
        </w:rPr>
        <w:t>In Re: Parent and Student v. Springfield Public Schools, et. al.</w:t>
      </w:r>
      <w:r w:rsidR="003E6AC3" w:rsidRPr="00856989">
        <w:rPr>
          <w:rFonts w:ascii="Aptos" w:hAnsi="Aptos"/>
        </w:rPr>
        <w:t>, BSEA No. 2309351, 29 MSER 154 at f</w:t>
      </w:r>
      <w:r w:rsidR="00081545">
        <w:rPr>
          <w:rFonts w:ascii="Aptos" w:hAnsi="Aptos"/>
        </w:rPr>
        <w:t>t</w:t>
      </w:r>
      <w:r w:rsidR="003E6AC3" w:rsidRPr="00856989">
        <w:rPr>
          <w:rFonts w:ascii="Aptos" w:hAnsi="Aptos"/>
        </w:rPr>
        <w:t>n</w:t>
      </w:r>
      <w:r w:rsidR="00081545">
        <w:rPr>
          <w:rFonts w:ascii="Aptos" w:hAnsi="Aptos"/>
        </w:rPr>
        <w:t>t</w:t>
      </w:r>
      <w:r w:rsidR="003E6AC3" w:rsidRPr="00856989">
        <w:rPr>
          <w:rFonts w:ascii="Aptos" w:hAnsi="Aptos"/>
        </w:rPr>
        <w:t xml:space="preserve"> 48 (Mitchell, 2023);</w:t>
      </w:r>
      <w:r w:rsidR="00DF052C" w:rsidRPr="00856989">
        <w:rPr>
          <w:rFonts w:ascii="Aptos" w:hAnsi="Aptos"/>
        </w:rPr>
        <w:t xml:space="preserve"> </w:t>
      </w:r>
      <w:r w:rsidR="00DF052C" w:rsidRPr="00856989">
        <w:rPr>
          <w:rFonts w:ascii="Aptos" w:hAnsi="Aptos"/>
          <w:i/>
          <w:iCs/>
        </w:rPr>
        <w:t>In Re: Lawarence Public Schools</w:t>
      </w:r>
      <w:r w:rsidR="00DF052C" w:rsidRPr="00856989">
        <w:rPr>
          <w:rFonts w:ascii="Aptos" w:hAnsi="Aptos"/>
        </w:rPr>
        <w:t>, BSEA No. 217071, 27 MSER 193 (Nir, 2021)</w:t>
      </w:r>
      <w:r w:rsidR="003E6AC3" w:rsidRPr="00856989">
        <w:rPr>
          <w:rFonts w:ascii="Aptos" w:hAnsi="Aptos"/>
        </w:rPr>
        <w:t>.</w:t>
      </w:r>
    </w:p>
  </w:footnote>
  <w:footnote w:id="10">
    <w:p w14:paraId="17560BE2" w14:textId="77777777" w:rsidR="001117BC" w:rsidRPr="00856989" w:rsidRDefault="001117BC" w:rsidP="001117BC">
      <w:pPr>
        <w:pStyle w:val="FootnoteText"/>
        <w:rPr>
          <w:rFonts w:ascii="Aptos" w:hAnsi="Aptos"/>
        </w:rPr>
      </w:pPr>
      <w:r w:rsidRPr="00856989">
        <w:rPr>
          <w:rStyle w:val="FootnoteReference"/>
          <w:rFonts w:ascii="Aptos" w:hAnsi="Aptos"/>
        </w:rPr>
        <w:footnoteRef/>
      </w:r>
      <w:r w:rsidRPr="00856989">
        <w:rPr>
          <w:rFonts w:ascii="Aptos" w:hAnsi="Aptos"/>
        </w:rPr>
        <w:t xml:space="preserve">   </w:t>
      </w:r>
      <w:r w:rsidRPr="00856989">
        <w:rPr>
          <w:rFonts w:ascii="Aptos" w:hAnsi="Aptos" w:cs="Times New Roman"/>
          <w:i/>
          <w:iCs/>
        </w:rPr>
        <w:t>In Re: Acton-Boxborough Reg. Sch. Dist.</w:t>
      </w:r>
      <w:r w:rsidRPr="00856989">
        <w:rPr>
          <w:rFonts w:ascii="Aptos" w:hAnsi="Aptos" w:cs="Times New Roman"/>
        </w:rPr>
        <w:t xml:space="preserve">, BSEA No. 1703770, 23 MSER 99 (Figueroa, 2017); see M.G.L. c. 71B </w:t>
      </w:r>
      <w:r w:rsidRPr="00856989">
        <w:rPr>
          <w:rFonts w:ascii="Aptos" w:eastAsia="Times New Roman" w:hAnsi="Aptos" w:cs="Times New Roman"/>
          <w:bCs/>
          <w:color w:val="000000"/>
        </w:rPr>
        <w:t>§3;</w:t>
      </w:r>
      <w:r w:rsidRPr="00856989">
        <w:rPr>
          <w:rFonts w:ascii="Aptos" w:hAnsi="Aptos" w:cs="Times New Roman"/>
        </w:rPr>
        <w:t xml:space="preserve"> </w:t>
      </w:r>
      <w:r w:rsidRPr="00856989">
        <w:rPr>
          <w:rFonts w:ascii="Aptos" w:hAnsi="Aptos" w:cs="Times New Roman"/>
          <w:i/>
          <w:iCs/>
        </w:rPr>
        <w:t>In Re: Boston Pub. Sch. Dist.</w:t>
      </w:r>
      <w:r w:rsidRPr="00856989">
        <w:rPr>
          <w:rFonts w:ascii="Aptos" w:hAnsi="Aptos" w:cs="Times New Roman"/>
        </w:rPr>
        <w:t>, BSEA No. 02-4553 (Figueroa, 2002)</w:t>
      </w:r>
      <w:r w:rsidRPr="00856989">
        <w:rPr>
          <w:rFonts w:ascii="Aptos" w:eastAsia="Times New Roman" w:hAnsi="Aptos" w:cs="Times New Roman"/>
          <w:bCs/>
          <w:color w:val="000000"/>
        </w:rPr>
        <w:t xml:space="preserve">.  </w:t>
      </w:r>
    </w:p>
  </w:footnote>
  <w:footnote w:id="11">
    <w:p w14:paraId="5B129EBD" w14:textId="028397D2" w:rsidR="001117BC" w:rsidRPr="00856989" w:rsidRDefault="001117BC" w:rsidP="001117BC">
      <w:pPr>
        <w:pStyle w:val="FootnoteText"/>
        <w:rPr>
          <w:rFonts w:ascii="Aptos" w:hAnsi="Aptos"/>
        </w:rPr>
      </w:pPr>
      <w:r w:rsidRPr="00856989">
        <w:rPr>
          <w:rStyle w:val="FootnoteReference"/>
          <w:rFonts w:ascii="Aptos" w:hAnsi="Aptos"/>
        </w:rPr>
        <w:footnoteRef/>
      </w:r>
      <w:r w:rsidRPr="00856989">
        <w:rPr>
          <w:rFonts w:ascii="Aptos" w:hAnsi="Aptos"/>
        </w:rPr>
        <w:t xml:space="preserve"> </w:t>
      </w:r>
      <w:r w:rsidRPr="00856989">
        <w:rPr>
          <w:rFonts w:ascii="Aptos" w:eastAsia="Times New Roman" w:hAnsi="Aptos" w:cs="Times New Roman"/>
          <w:bCs/>
          <w:color w:val="000000"/>
        </w:rPr>
        <w:t xml:space="preserve">MGL c. 71B, </w:t>
      </w:r>
      <w:r w:rsidR="00082FD4" w:rsidRPr="00856989">
        <w:rPr>
          <w:rFonts w:ascii="Aptos" w:eastAsia="Times New Roman" w:hAnsi="Aptos" w:cs="Times New Roman"/>
          <w:bCs/>
          <w:color w:val="000000"/>
        </w:rPr>
        <w:t>§3</w:t>
      </w:r>
      <w:r w:rsidRPr="00856989">
        <w:rPr>
          <w:rFonts w:ascii="Aptos" w:eastAsia="Times New Roman" w:hAnsi="Aptos" w:cs="Times New Roman"/>
          <w:bCs/>
          <w:color w:val="000000"/>
        </w:rPr>
        <w:t>; see 603 CMR 28.08(3).</w:t>
      </w:r>
    </w:p>
  </w:footnote>
  <w:footnote w:id="12">
    <w:p w14:paraId="746096FE" w14:textId="77777777" w:rsidR="001117BC" w:rsidRPr="00856989" w:rsidRDefault="001117BC" w:rsidP="001117BC">
      <w:pPr>
        <w:pStyle w:val="FootnoteText"/>
        <w:rPr>
          <w:rFonts w:ascii="Aptos" w:hAnsi="Aptos"/>
        </w:rPr>
      </w:pPr>
      <w:r w:rsidRPr="00856989">
        <w:rPr>
          <w:rStyle w:val="FootnoteReference"/>
          <w:rFonts w:ascii="Aptos" w:hAnsi="Aptos"/>
        </w:rPr>
        <w:footnoteRef/>
      </w:r>
      <w:r w:rsidRPr="00856989">
        <w:rPr>
          <w:rFonts w:ascii="Aptos" w:hAnsi="Aptos"/>
        </w:rPr>
        <w:t xml:space="preserve">   </w:t>
      </w:r>
      <w:r w:rsidRPr="00856989">
        <w:rPr>
          <w:rFonts w:ascii="Aptos" w:hAnsi="Aptos"/>
          <w:i/>
          <w:iCs/>
        </w:rPr>
        <w:t xml:space="preserve">In Re: Plymouth Pub. Sch. </w:t>
      </w:r>
      <w:r w:rsidRPr="00856989">
        <w:rPr>
          <w:rFonts w:ascii="Aptos" w:hAnsi="Aptos"/>
        </w:rPr>
        <w:t xml:space="preserve">BSEA No. 06-2584, 12 MSER 33 (Crane, 2006) (internal citations omitted); </w:t>
      </w:r>
      <w:r w:rsidRPr="00856989">
        <w:rPr>
          <w:rFonts w:ascii="Aptos" w:hAnsi="Aptos"/>
          <w:i/>
          <w:iCs/>
        </w:rPr>
        <w:t>In Re: Fitchburg Pub. Sch.</w:t>
      </w:r>
      <w:r w:rsidRPr="00856989">
        <w:rPr>
          <w:rFonts w:ascii="Aptos" w:hAnsi="Aptos"/>
        </w:rPr>
        <w:t xml:space="preserve"> BSEA No. 02-0038, 8 MSER 141 (Byrne, 2002).</w:t>
      </w:r>
    </w:p>
  </w:footnote>
  <w:footnote w:id="13">
    <w:p w14:paraId="7AF77945" w14:textId="77777777" w:rsidR="005C564B" w:rsidRPr="00856989" w:rsidRDefault="005C564B" w:rsidP="005C564B">
      <w:pPr>
        <w:pStyle w:val="FootnoteText"/>
        <w:rPr>
          <w:rFonts w:ascii="Aptos" w:hAnsi="Aptos"/>
        </w:rPr>
      </w:pPr>
      <w:r w:rsidRPr="00856989">
        <w:rPr>
          <w:rStyle w:val="FootnoteReference"/>
          <w:rFonts w:ascii="Aptos" w:hAnsi="Aptos"/>
        </w:rPr>
        <w:footnoteRef/>
      </w:r>
      <w:r w:rsidRPr="00856989">
        <w:rPr>
          <w:rFonts w:ascii="Aptos" w:hAnsi="Aptos"/>
        </w:rPr>
        <w:t xml:space="preserve">   In Massachusetts the SEA is DESE.</w:t>
      </w:r>
    </w:p>
  </w:footnote>
  <w:footnote w:id="14">
    <w:p w14:paraId="2FF08E78" w14:textId="3097BE81" w:rsidR="00D939CF" w:rsidRPr="00856989" w:rsidRDefault="00D939CF">
      <w:pPr>
        <w:pStyle w:val="FootnoteText"/>
        <w:rPr>
          <w:rFonts w:ascii="Aptos" w:hAnsi="Aptos"/>
        </w:rPr>
      </w:pPr>
      <w:r w:rsidRPr="00856989">
        <w:rPr>
          <w:rStyle w:val="FootnoteReference"/>
          <w:rFonts w:ascii="Aptos" w:hAnsi="Aptos"/>
        </w:rPr>
        <w:footnoteRef/>
      </w:r>
      <w:r w:rsidRPr="00856989">
        <w:rPr>
          <w:rFonts w:ascii="Aptos" w:hAnsi="Aptos"/>
        </w:rPr>
        <w:t xml:space="preserve">   </w:t>
      </w:r>
      <w:r w:rsidR="008C538B" w:rsidRPr="00856989">
        <w:rPr>
          <w:rFonts w:ascii="Aptos" w:hAnsi="Aptos"/>
        </w:rPr>
        <w:t xml:space="preserve">The IDEA </w:t>
      </w:r>
      <w:r w:rsidR="00E612B9" w:rsidRPr="00856989">
        <w:rPr>
          <w:rFonts w:ascii="Aptos" w:hAnsi="Aptos"/>
        </w:rPr>
        <w:t xml:space="preserve">and its regulations </w:t>
      </w:r>
      <w:r w:rsidR="008C538B" w:rsidRPr="00856989">
        <w:rPr>
          <w:rFonts w:ascii="Aptos" w:hAnsi="Aptos"/>
        </w:rPr>
        <w:t xml:space="preserve">impose other obligations on an SEA (defined in </w:t>
      </w:r>
      <w:r w:rsidR="000D644E" w:rsidRPr="00856989">
        <w:rPr>
          <w:rFonts w:ascii="Aptos" w:hAnsi="Aptos"/>
        </w:rPr>
        <w:t>20 USC 1401(32)</w:t>
      </w:r>
      <w:r w:rsidR="00380F65" w:rsidRPr="00856989">
        <w:rPr>
          <w:rFonts w:ascii="Aptos" w:hAnsi="Aptos"/>
        </w:rPr>
        <w:t xml:space="preserve">, the statutory provision Parent relies on in her </w:t>
      </w:r>
      <w:r w:rsidR="00380F65" w:rsidRPr="00856989">
        <w:rPr>
          <w:rFonts w:ascii="Aptos" w:hAnsi="Aptos"/>
          <w:i/>
          <w:iCs/>
        </w:rPr>
        <w:t>Motion</w:t>
      </w:r>
      <w:r w:rsidR="00380F65" w:rsidRPr="00856989">
        <w:rPr>
          <w:rFonts w:ascii="Aptos" w:hAnsi="Aptos"/>
        </w:rPr>
        <w:t>,</w:t>
      </w:r>
      <w:r w:rsidR="000D644E" w:rsidRPr="00856989">
        <w:rPr>
          <w:rFonts w:ascii="Aptos" w:hAnsi="Aptos"/>
        </w:rPr>
        <w:t xml:space="preserve"> to be </w:t>
      </w:r>
      <w:r w:rsidR="000D644E" w:rsidRPr="00856989">
        <w:rPr>
          <w:rFonts w:ascii="Aptos" w:hAnsi="Aptos" w:cs="Times New Roman"/>
        </w:rPr>
        <w:t>the “State board of education or other agency or officer primarily responsible for the State supervision of public elementary schools and secondary schools, or, if there is no such officer or agency, an officer or agency designated by the Governor or by State law”</w:t>
      </w:r>
      <w:r w:rsidR="00E612B9" w:rsidRPr="00856989">
        <w:rPr>
          <w:rFonts w:ascii="Aptos" w:hAnsi="Aptos" w:cs="Times New Roman"/>
        </w:rPr>
        <w:t xml:space="preserve">) including </w:t>
      </w:r>
      <w:r w:rsidR="00FF752B" w:rsidRPr="00856989">
        <w:rPr>
          <w:rFonts w:ascii="Aptos" w:hAnsi="Aptos" w:cs="Times New Roman"/>
        </w:rPr>
        <w:t>34 CFR 300.101(b)</w:t>
      </w:r>
      <w:r w:rsidR="00051B85" w:rsidRPr="00856989">
        <w:rPr>
          <w:rFonts w:ascii="Aptos" w:hAnsi="Aptos" w:cs="Times New Roman"/>
        </w:rPr>
        <w:t xml:space="preserve">, the regulation Parent relies on in her </w:t>
      </w:r>
      <w:r w:rsidR="00051B85" w:rsidRPr="00856989">
        <w:rPr>
          <w:rFonts w:ascii="Aptos" w:hAnsi="Aptos" w:cs="Times New Roman"/>
          <w:i/>
          <w:iCs/>
        </w:rPr>
        <w:t>Motion</w:t>
      </w:r>
      <w:r w:rsidR="00051B85" w:rsidRPr="00856989">
        <w:rPr>
          <w:rFonts w:ascii="Aptos" w:hAnsi="Aptos" w:cs="Times New Roman"/>
        </w:rPr>
        <w:t xml:space="preserve">, </w:t>
      </w:r>
      <w:r w:rsidR="00FF752B" w:rsidRPr="00856989">
        <w:rPr>
          <w:rFonts w:ascii="Aptos" w:hAnsi="Aptos" w:cs="Times New Roman"/>
        </w:rPr>
        <w:t>that sets forth each state’s obligations to provide every eligible child with a FAPE starting at age 3</w:t>
      </w:r>
      <w:r w:rsidR="00DB27B1" w:rsidRPr="00856989">
        <w:rPr>
          <w:rFonts w:ascii="Aptos" w:hAnsi="Aptos" w:cs="Times New Roman"/>
        </w:rPr>
        <w:t>.</w:t>
      </w:r>
    </w:p>
  </w:footnote>
  <w:footnote w:id="15">
    <w:p w14:paraId="1FFD7D1D" w14:textId="14097800" w:rsidR="00E457CF" w:rsidRPr="00856989" w:rsidRDefault="00E457CF" w:rsidP="00605334">
      <w:pPr>
        <w:spacing w:after="0" w:line="240" w:lineRule="auto"/>
        <w:rPr>
          <w:rFonts w:ascii="Aptos" w:eastAsia="Times New Roman" w:hAnsi="Aptos" w:cs="Times New Roman"/>
          <w:bCs/>
          <w:color w:val="000000"/>
          <w:sz w:val="20"/>
          <w:szCs w:val="20"/>
        </w:rPr>
      </w:pPr>
      <w:r w:rsidRPr="00856989">
        <w:rPr>
          <w:rStyle w:val="FootnoteReference"/>
          <w:rFonts w:ascii="Aptos" w:hAnsi="Aptos"/>
          <w:sz w:val="20"/>
          <w:szCs w:val="20"/>
        </w:rPr>
        <w:footnoteRef/>
      </w:r>
      <w:r w:rsidRPr="00856989">
        <w:rPr>
          <w:rFonts w:ascii="Aptos" w:hAnsi="Aptos"/>
          <w:sz w:val="20"/>
          <w:szCs w:val="20"/>
        </w:rPr>
        <w:t xml:space="preserve">   </w:t>
      </w:r>
      <w:r w:rsidRPr="00856989">
        <w:rPr>
          <w:rFonts w:ascii="Aptos" w:hAnsi="Aptos"/>
          <w:i/>
          <w:iCs/>
          <w:sz w:val="20"/>
          <w:szCs w:val="20"/>
        </w:rPr>
        <w:t>In Re: Springfield Public Schools et. al.</w:t>
      </w:r>
      <w:r w:rsidRPr="00856989">
        <w:rPr>
          <w:rFonts w:ascii="Aptos" w:hAnsi="Aptos"/>
          <w:sz w:val="20"/>
          <w:szCs w:val="20"/>
        </w:rPr>
        <w:t xml:space="preserve"> BSEA No. 2309351, 29 MSER 154 (Mitchell, 2023) citing</w:t>
      </w:r>
      <w:r w:rsidRPr="00856989">
        <w:rPr>
          <w:rFonts w:ascii="Aptos" w:hAnsi="Aptos"/>
          <w:i/>
          <w:iCs/>
          <w:sz w:val="20"/>
          <w:szCs w:val="20"/>
        </w:rPr>
        <w:t xml:space="preserve"> </w:t>
      </w:r>
      <w:r w:rsidRPr="00856989">
        <w:rPr>
          <w:rFonts w:ascii="Aptos" w:eastAsia="Times New Roman" w:hAnsi="Aptos" w:cs="Times New Roman"/>
          <w:bCs/>
          <w:i/>
          <w:iCs/>
          <w:color w:val="000000"/>
          <w:sz w:val="20"/>
          <w:szCs w:val="20"/>
        </w:rPr>
        <w:t>Larach-Cohen v. Porter</w:t>
      </w:r>
      <w:r w:rsidRPr="00856989">
        <w:rPr>
          <w:rFonts w:ascii="Aptos" w:eastAsia="Times New Roman" w:hAnsi="Aptos" w:cs="Times New Roman"/>
          <w:bCs/>
          <w:color w:val="000000"/>
          <w:sz w:val="20"/>
          <w:szCs w:val="20"/>
        </w:rPr>
        <w:t xml:space="preserve">, 2021 WL 1203686, 2 (SDNY 2021); </w:t>
      </w:r>
      <w:r w:rsidRPr="00856989">
        <w:rPr>
          <w:rFonts w:ascii="Aptos" w:eastAsia="Times New Roman" w:hAnsi="Aptos" w:cs="Times New Roman"/>
          <w:bCs/>
          <w:i/>
          <w:iCs/>
          <w:color w:val="000000"/>
          <w:sz w:val="20"/>
          <w:szCs w:val="20"/>
        </w:rPr>
        <w:t>Y.D. v. N.Y. City Dep't of Educ.,</w:t>
      </w:r>
      <w:r w:rsidRPr="00856989">
        <w:rPr>
          <w:rFonts w:ascii="Aptos" w:eastAsia="Times New Roman" w:hAnsi="Aptos" w:cs="Times New Roman"/>
          <w:bCs/>
          <w:color w:val="000000"/>
          <w:sz w:val="20"/>
          <w:szCs w:val="20"/>
        </w:rPr>
        <w:t xml:space="preserve"> 2016 WL 698139 (S.D.N.Y. Feb. 9, 2016); see </w:t>
      </w:r>
      <w:r w:rsidRPr="00856989">
        <w:rPr>
          <w:rFonts w:ascii="Aptos" w:eastAsia="Times New Roman" w:hAnsi="Aptos" w:cs="Times New Roman"/>
          <w:bCs/>
          <w:i/>
          <w:iCs/>
          <w:color w:val="000000"/>
          <w:sz w:val="20"/>
          <w:szCs w:val="20"/>
        </w:rPr>
        <w:t>Coningsby v. Oregon Dep't of Educ</w:t>
      </w:r>
      <w:r w:rsidRPr="00856989">
        <w:rPr>
          <w:rFonts w:ascii="Aptos" w:eastAsia="Times New Roman" w:hAnsi="Aptos" w:cs="Times New Roman"/>
          <w:bCs/>
          <w:color w:val="000000"/>
          <w:sz w:val="20"/>
          <w:szCs w:val="20"/>
        </w:rPr>
        <w:t>., 2016 WL 4844078, at *5 (D.</w:t>
      </w:r>
      <w:r w:rsidR="00081545">
        <w:rPr>
          <w:rFonts w:ascii="Aptos" w:eastAsia="Times New Roman" w:hAnsi="Aptos" w:cs="Times New Roman"/>
          <w:bCs/>
          <w:color w:val="000000"/>
          <w:sz w:val="20"/>
          <w:szCs w:val="20"/>
        </w:rPr>
        <w:t xml:space="preserve"> </w:t>
      </w:r>
      <w:r w:rsidRPr="00856989">
        <w:rPr>
          <w:rFonts w:ascii="Aptos" w:eastAsia="Times New Roman" w:hAnsi="Aptos" w:cs="Times New Roman"/>
          <w:bCs/>
          <w:color w:val="000000"/>
          <w:sz w:val="20"/>
          <w:szCs w:val="20"/>
        </w:rPr>
        <w:t xml:space="preserve">Or. 2016), </w:t>
      </w:r>
      <w:r w:rsidRPr="00856989">
        <w:rPr>
          <w:rFonts w:ascii="Aptos" w:eastAsia="Times New Roman" w:hAnsi="Aptos" w:cs="Times New Roman"/>
          <w:bCs/>
          <w:i/>
          <w:iCs/>
          <w:color w:val="000000"/>
          <w:sz w:val="20"/>
          <w:szCs w:val="20"/>
        </w:rPr>
        <w:t>aff'd sub nom.</w:t>
      </w:r>
      <w:r w:rsidRPr="00856989">
        <w:rPr>
          <w:rFonts w:ascii="Aptos" w:eastAsia="Times New Roman" w:hAnsi="Aptos" w:cs="Times New Roman"/>
          <w:bCs/>
          <w:color w:val="000000"/>
          <w:sz w:val="20"/>
          <w:szCs w:val="20"/>
        </w:rPr>
        <w:t xml:space="preserve"> </w:t>
      </w:r>
      <w:r w:rsidRPr="00856989">
        <w:rPr>
          <w:rFonts w:ascii="Aptos" w:eastAsia="Times New Roman" w:hAnsi="Aptos" w:cs="Times New Roman"/>
          <w:bCs/>
          <w:i/>
          <w:iCs/>
          <w:color w:val="000000"/>
          <w:sz w:val="20"/>
          <w:szCs w:val="20"/>
        </w:rPr>
        <w:t>M.C. by &amp; through D.C. v. Oregon Dep't of Educ.</w:t>
      </w:r>
      <w:r w:rsidRPr="00856989">
        <w:rPr>
          <w:rFonts w:ascii="Aptos" w:eastAsia="Times New Roman" w:hAnsi="Aptos" w:cs="Times New Roman"/>
          <w:bCs/>
          <w:color w:val="000000"/>
          <w:sz w:val="20"/>
          <w:szCs w:val="20"/>
        </w:rPr>
        <w:t xml:space="preserve">, 695 F. App'x 302 (9th Cir. 2017) </w:t>
      </w:r>
      <w:r w:rsidR="004B2A88">
        <w:rPr>
          <w:rFonts w:ascii="Aptos" w:eastAsia="Times New Roman" w:hAnsi="Aptos" w:cs="Times New Roman"/>
          <w:bCs/>
          <w:color w:val="000000"/>
          <w:sz w:val="20"/>
          <w:szCs w:val="20"/>
        </w:rPr>
        <w:t>(</w:t>
      </w:r>
      <w:r w:rsidRPr="00856989">
        <w:rPr>
          <w:rFonts w:ascii="Aptos" w:eastAsia="Times New Roman" w:hAnsi="Aptos" w:cs="Times New Roman"/>
          <w:bCs/>
          <w:color w:val="000000"/>
          <w:sz w:val="20"/>
          <w:szCs w:val="20"/>
        </w:rPr>
        <w:t>“Accordingly, the Court finds that [the SEA] was properly exempted from the due process proceeding because it, ‘as the SEA, was not involved in the actual provision of [the child's] IEP’”</w:t>
      </w:r>
      <w:r w:rsidR="004B2A88">
        <w:rPr>
          <w:rFonts w:ascii="Aptos" w:eastAsia="Times New Roman" w:hAnsi="Aptos" w:cs="Times New Roman"/>
          <w:bCs/>
          <w:color w:val="000000"/>
          <w:sz w:val="20"/>
          <w:szCs w:val="20"/>
        </w:rPr>
        <w:t>)</w:t>
      </w:r>
      <w:r w:rsidRPr="00856989">
        <w:rPr>
          <w:rFonts w:ascii="Aptos" w:eastAsia="Times New Roman" w:hAnsi="Aptos" w:cs="Times New Roman"/>
          <w:bCs/>
          <w:color w:val="000000"/>
          <w:sz w:val="20"/>
          <w:szCs w:val="20"/>
        </w:rPr>
        <w:t xml:space="preserve"> </w:t>
      </w:r>
      <w:r w:rsidR="006A5EC1">
        <w:rPr>
          <w:rFonts w:ascii="Aptos" w:eastAsia="Times New Roman" w:hAnsi="Aptos" w:cs="Times New Roman"/>
          <w:bCs/>
          <w:color w:val="000000"/>
          <w:sz w:val="20"/>
          <w:szCs w:val="20"/>
        </w:rPr>
        <w:t>(</w:t>
      </w:r>
      <w:r w:rsidRPr="00856989">
        <w:rPr>
          <w:rFonts w:ascii="Aptos" w:eastAsia="Times New Roman" w:hAnsi="Aptos" w:cs="Times New Roman"/>
          <w:bCs/>
          <w:color w:val="000000"/>
          <w:sz w:val="20"/>
          <w:szCs w:val="20"/>
        </w:rPr>
        <w:t>quoting</w:t>
      </w:r>
      <w:r w:rsidRPr="00856989">
        <w:rPr>
          <w:rFonts w:ascii="Aptos" w:eastAsia="Times New Roman" w:hAnsi="Aptos" w:cs="Times New Roman"/>
          <w:bCs/>
          <w:i/>
          <w:iCs/>
          <w:color w:val="000000"/>
          <w:sz w:val="20"/>
          <w:szCs w:val="20"/>
        </w:rPr>
        <w:t xml:space="preserve"> Chavez ex rel. M.C. v. New Mexico Pub. Educ. Dep't</w:t>
      </w:r>
      <w:r w:rsidRPr="00856989">
        <w:rPr>
          <w:rFonts w:ascii="Aptos" w:eastAsia="Times New Roman" w:hAnsi="Aptos" w:cs="Times New Roman"/>
          <w:bCs/>
          <w:color w:val="000000"/>
          <w:sz w:val="20"/>
          <w:szCs w:val="20"/>
        </w:rPr>
        <w:t>.,</w:t>
      </w:r>
      <w:r w:rsidRPr="00856989">
        <w:rPr>
          <w:rFonts w:ascii="Aptos" w:eastAsia="Times New Roman" w:hAnsi="Aptos" w:cs="Times New Roman"/>
          <w:bCs/>
          <w:i/>
          <w:iCs/>
          <w:color w:val="000000"/>
          <w:sz w:val="20"/>
          <w:szCs w:val="20"/>
        </w:rPr>
        <w:t xml:space="preserve"> </w:t>
      </w:r>
      <w:r w:rsidRPr="00856989">
        <w:rPr>
          <w:rFonts w:ascii="Aptos" w:eastAsia="Times New Roman" w:hAnsi="Aptos" w:cs="Times New Roman"/>
          <w:bCs/>
          <w:color w:val="000000"/>
          <w:sz w:val="20"/>
          <w:szCs w:val="20"/>
        </w:rPr>
        <w:t>621 F.3d 1275, 1283 (10th Cir. 2010)</w:t>
      </w:r>
      <w:r w:rsidR="006A5EC1">
        <w:rPr>
          <w:rFonts w:ascii="Aptos" w:eastAsia="Times New Roman" w:hAnsi="Aptos" w:cs="Times New Roman"/>
          <w:bCs/>
          <w:color w:val="000000"/>
          <w:sz w:val="20"/>
          <w:szCs w:val="20"/>
        </w:rPr>
        <w:t>)</w:t>
      </w:r>
      <w:r w:rsidR="007C1BD9" w:rsidRPr="00856989">
        <w:rPr>
          <w:rFonts w:ascii="Aptos" w:eastAsia="Times New Roman" w:hAnsi="Aptos" w:cs="Times New Roman"/>
          <w:bCs/>
          <w:color w:val="000000"/>
          <w:sz w:val="20"/>
          <w:szCs w:val="20"/>
        </w:rPr>
        <w:t xml:space="preserve"> (comparison citation omitted).</w:t>
      </w:r>
    </w:p>
  </w:footnote>
  <w:footnote w:id="16">
    <w:p w14:paraId="6516FD6E" w14:textId="2CF2DD00" w:rsidR="00144542" w:rsidRPr="00856989" w:rsidRDefault="00144542">
      <w:pPr>
        <w:pStyle w:val="FootnoteText"/>
        <w:rPr>
          <w:rFonts w:ascii="Aptos" w:hAnsi="Aptos"/>
        </w:rPr>
      </w:pPr>
      <w:r w:rsidRPr="00856989">
        <w:rPr>
          <w:rStyle w:val="FootnoteReference"/>
          <w:rFonts w:ascii="Aptos" w:hAnsi="Aptos"/>
        </w:rPr>
        <w:footnoteRef/>
      </w:r>
      <w:r w:rsidRPr="00856989">
        <w:rPr>
          <w:rFonts w:ascii="Aptos" w:hAnsi="Aptos"/>
        </w:rPr>
        <w:t xml:space="preserve">   See 1412(b)</w:t>
      </w:r>
      <w:r w:rsidR="00AA4815" w:rsidRPr="00856989">
        <w:rPr>
          <w:rFonts w:ascii="Aptos" w:hAnsi="Aptos"/>
        </w:rPr>
        <w:t xml:space="preserve">, entitled “State educational agency as provider of free appropriate public education or direct services” </w:t>
      </w:r>
      <w:r w:rsidR="00904C2A">
        <w:rPr>
          <w:rFonts w:ascii="Aptos" w:hAnsi="Aptos"/>
        </w:rPr>
        <w:t>(</w:t>
      </w:r>
      <w:r w:rsidR="00C078D5" w:rsidRPr="00856989">
        <w:rPr>
          <w:rFonts w:ascii="Aptos" w:hAnsi="Aptos"/>
        </w:rPr>
        <w:t>providing</w:t>
      </w:r>
      <w:r w:rsidR="00AA4815" w:rsidRPr="00856989">
        <w:rPr>
          <w:rFonts w:ascii="Aptos" w:hAnsi="Aptos"/>
        </w:rPr>
        <w:t xml:space="preserve"> that “</w:t>
      </w:r>
      <w:r w:rsidR="00AA4815" w:rsidRPr="00856989">
        <w:rPr>
          <w:rFonts w:ascii="Aptos" w:hAnsi="Aptos"/>
          <w:i/>
          <w:iCs/>
        </w:rPr>
        <w:t>if</w:t>
      </w:r>
      <w:r w:rsidR="00AA4815" w:rsidRPr="00856989">
        <w:rPr>
          <w:rFonts w:ascii="Aptos" w:hAnsi="Aptos"/>
        </w:rPr>
        <w:t xml:space="preserve"> the [SEA] provides [FAPE] to </w:t>
      </w:r>
      <w:r w:rsidR="0042389D" w:rsidRPr="00856989">
        <w:rPr>
          <w:rFonts w:ascii="Aptos" w:hAnsi="Aptos"/>
        </w:rPr>
        <w:t xml:space="preserve">children with disabilities, or provides direct services to such children, such agency shall comply with any additional requirements of section 1413(a) [of the IDEA] </w:t>
      </w:r>
      <w:r w:rsidR="00A766D0" w:rsidRPr="00856989">
        <w:rPr>
          <w:rFonts w:ascii="Aptos" w:hAnsi="Aptos"/>
          <w:i/>
          <w:iCs/>
        </w:rPr>
        <w:t>as</w:t>
      </w:r>
      <w:r w:rsidR="0042389D" w:rsidRPr="00856989">
        <w:rPr>
          <w:rFonts w:ascii="Aptos" w:hAnsi="Aptos"/>
          <w:i/>
          <w:iCs/>
        </w:rPr>
        <w:t xml:space="preserve"> if such agency were a local educationa</w:t>
      </w:r>
      <w:r w:rsidR="00C7072E" w:rsidRPr="00856989">
        <w:rPr>
          <w:rFonts w:ascii="Aptos" w:hAnsi="Aptos"/>
          <w:i/>
          <w:iCs/>
        </w:rPr>
        <w:t>l agency</w:t>
      </w:r>
      <w:r w:rsidR="00C7072E" w:rsidRPr="00856989">
        <w:rPr>
          <w:rFonts w:ascii="Aptos" w:hAnsi="Aptos"/>
        </w:rPr>
        <w:t xml:space="preserve"> …”</w:t>
      </w:r>
      <w:r w:rsidR="00904C2A">
        <w:rPr>
          <w:rFonts w:ascii="Aptos" w:hAnsi="Aptos"/>
        </w:rPr>
        <w:t>)</w:t>
      </w:r>
      <w:r w:rsidR="00C7072E" w:rsidRPr="00856989">
        <w:rPr>
          <w:rFonts w:ascii="Aptos" w:hAnsi="Aptos"/>
        </w:rPr>
        <w:t xml:space="preserve"> (emphasis added).</w:t>
      </w:r>
    </w:p>
  </w:footnote>
  <w:footnote w:id="17">
    <w:p w14:paraId="15C1A93F" w14:textId="4ED2C736" w:rsidR="005535CA" w:rsidRPr="00856989" w:rsidRDefault="005535CA">
      <w:pPr>
        <w:pStyle w:val="FootnoteText"/>
        <w:rPr>
          <w:rFonts w:ascii="Aptos" w:hAnsi="Aptos"/>
        </w:rPr>
      </w:pPr>
      <w:r w:rsidRPr="00856989">
        <w:rPr>
          <w:rStyle w:val="FootnoteReference"/>
          <w:rFonts w:ascii="Aptos" w:hAnsi="Aptos"/>
        </w:rPr>
        <w:footnoteRef/>
      </w:r>
      <w:r w:rsidRPr="00856989">
        <w:rPr>
          <w:rFonts w:ascii="Aptos" w:hAnsi="Aptos"/>
        </w:rPr>
        <w:t xml:space="preserve"> See </w:t>
      </w:r>
      <w:r w:rsidRPr="00856989">
        <w:rPr>
          <w:rFonts w:ascii="Aptos" w:hAnsi="Aptos"/>
          <w:i/>
          <w:iCs/>
        </w:rPr>
        <w:t>Letter to Anonymous</w:t>
      </w:r>
      <w:r w:rsidR="002E58EA" w:rsidRPr="00856989">
        <w:rPr>
          <w:rFonts w:ascii="Aptos" w:hAnsi="Aptos"/>
        </w:rPr>
        <w:t xml:space="preserve">, </w:t>
      </w:r>
      <w:r w:rsidR="007C0DA3" w:rsidRPr="00856989">
        <w:rPr>
          <w:rFonts w:ascii="Aptos" w:hAnsi="Aptos"/>
        </w:rPr>
        <w:t>69 IDELR 189</w:t>
      </w:r>
      <w:r w:rsidR="00E36879" w:rsidRPr="00856989">
        <w:rPr>
          <w:rFonts w:ascii="Aptos" w:hAnsi="Aptos"/>
        </w:rPr>
        <w:t xml:space="preserve"> (OSEP, 2017)</w:t>
      </w:r>
      <w:r w:rsidR="002E58EA" w:rsidRPr="00856989">
        <w:rPr>
          <w:rFonts w:ascii="Aptos" w:hAnsi="Aptos"/>
        </w:rPr>
        <w:t xml:space="preserve"> </w:t>
      </w:r>
      <w:r w:rsidR="00904C2A">
        <w:rPr>
          <w:rFonts w:ascii="Aptos" w:hAnsi="Aptos"/>
        </w:rPr>
        <w:t>(</w:t>
      </w:r>
      <w:r w:rsidR="00E36879" w:rsidRPr="00856989">
        <w:rPr>
          <w:rFonts w:ascii="Aptos" w:hAnsi="Aptos"/>
        </w:rPr>
        <w:t>referencing</w:t>
      </w:r>
      <w:r w:rsidR="002E58EA" w:rsidRPr="00856989">
        <w:rPr>
          <w:rFonts w:ascii="Aptos" w:hAnsi="Aptos"/>
        </w:rPr>
        <w:t xml:space="preserve"> a </w:t>
      </w:r>
      <w:r w:rsidR="00E36879" w:rsidRPr="00856989">
        <w:rPr>
          <w:rFonts w:ascii="Aptos" w:hAnsi="Aptos"/>
        </w:rPr>
        <w:t xml:space="preserve">previous OSEP </w:t>
      </w:r>
      <w:r w:rsidR="002E58EA" w:rsidRPr="00856989">
        <w:rPr>
          <w:rFonts w:ascii="Aptos" w:hAnsi="Aptos"/>
        </w:rPr>
        <w:t xml:space="preserve">letter to the State of New Mexico dated February 15, 2012 </w:t>
      </w:r>
      <w:r w:rsidR="00293B21" w:rsidRPr="00856989">
        <w:rPr>
          <w:rFonts w:ascii="Aptos" w:hAnsi="Aptos"/>
        </w:rPr>
        <w:t>that provided the same analysis</w:t>
      </w:r>
      <w:r w:rsidR="00904C2A">
        <w:rPr>
          <w:rFonts w:ascii="Aptos" w:hAnsi="Aptos"/>
        </w:rPr>
        <w:t>)</w:t>
      </w:r>
      <w:r w:rsidR="00E36879" w:rsidRPr="00856989">
        <w:rPr>
          <w:rFonts w:ascii="Aptos" w:hAnsi="Aptos"/>
        </w:rPr>
        <w:t xml:space="preserve">; </w:t>
      </w:r>
      <w:r w:rsidR="00E36879" w:rsidRPr="00856989">
        <w:rPr>
          <w:rFonts w:ascii="Aptos" w:hAnsi="Aptos"/>
          <w:i/>
          <w:iCs/>
        </w:rPr>
        <w:t>In Re: Lawrence P.S.</w:t>
      </w:r>
      <w:r w:rsidR="00E36879" w:rsidRPr="00856989">
        <w:rPr>
          <w:rFonts w:ascii="Aptos" w:hAnsi="Aptos"/>
        </w:rPr>
        <w:t>, 27 MSER 193</w:t>
      </w:r>
      <w:r w:rsidR="00293B21" w:rsidRPr="00856989">
        <w:rPr>
          <w:rFonts w:ascii="Aptos" w:hAnsi="Aptos"/>
        </w:rPr>
        <w:t xml:space="preserve">.  </w:t>
      </w:r>
    </w:p>
  </w:footnote>
  <w:footnote w:id="18">
    <w:p w14:paraId="07C87F99" w14:textId="435BB3FF" w:rsidR="007C1BD9" w:rsidRPr="00856989" w:rsidRDefault="00B15A5E" w:rsidP="007C1BD9">
      <w:pPr>
        <w:spacing w:after="0" w:line="240" w:lineRule="auto"/>
        <w:rPr>
          <w:rFonts w:ascii="Aptos" w:eastAsia="Times New Roman" w:hAnsi="Aptos" w:cs="Times New Roman"/>
          <w:bCs/>
          <w:color w:val="000000"/>
          <w:sz w:val="20"/>
          <w:szCs w:val="20"/>
        </w:rPr>
      </w:pPr>
      <w:r w:rsidRPr="00856989">
        <w:rPr>
          <w:rStyle w:val="FootnoteReference"/>
          <w:rFonts w:ascii="Aptos" w:hAnsi="Aptos"/>
          <w:sz w:val="20"/>
          <w:szCs w:val="20"/>
        </w:rPr>
        <w:footnoteRef/>
      </w:r>
      <w:r w:rsidRPr="00856989">
        <w:rPr>
          <w:rFonts w:ascii="Aptos" w:hAnsi="Aptos"/>
          <w:sz w:val="20"/>
          <w:szCs w:val="20"/>
        </w:rPr>
        <w:t xml:space="preserve">   </w:t>
      </w:r>
      <w:r w:rsidR="0086636F" w:rsidRPr="00856989">
        <w:rPr>
          <w:rFonts w:ascii="Aptos" w:hAnsi="Aptos"/>
          <w:sz w:val="20"/>
          <w:szCs w:val="20"/>
        </w:rPr>
        <w:t xml:space="preserve">See </w:t>
      </w:r>
      <w:r w:rsidRPr="00856989">
        <w:rPr>
          <w:rFonts w:ascii="Aptos" w:hAnsi="Aptos"/>
          <w:i/>
          <w:iCs/>
          <w:sz w:val="20"/>
          <w:szCs w:val="20"/>
        </w:rPr>
        <w:t>Carnwath v. Grasmick</w:t>
      </w:r>
      <w:r w:rsidRPr="00856989">
        <w:rPr>
          <w:rFonts w:ascii="Aptos" w:hAnsi="Aptos"/>
          <w:sz w:val="20"/>
          <w:szCs w:val="20"/>
        </w:rPr>
        <w:t>, 115 F. Supp. 2d 577, 582 (D. Md. 2000) (“The SEA may also be liable where its own failure to follow the procedural requirements of the IDEA leads to denial of FAPE.  The critical point, however, is that the SEA may not be held liable where it was not responsible for the procedural failure</w:t>
      </w:r>
      <w:r w:rsidR="0086636F" w:rsidRPr="00856989">
        <w:rPr>
          <w:rFonts w:ascii="Aptos" w:hAnsi="Aptos"/>
          <w:sz w:val="20"/>
          <w:szCs w:val="20"/>
        </w:rPr>
        <w:t>”)</w:t>
      </w:r>
      <w:r w:rsidRPr="00856989">
        <w:rPr>
          <w:rFonts w:ascii="Aptos" w:hAnsi="Aptos"/>
          <w:sz w:val="20"/>
          <w:szCs w:val="20"/>
        </w:rPr>
        <w:t>. (internal citations omitted)</w:t>
      </w:r>
      <w:r w:rsidR="007C1BD9" w:rsidRPr="00856989">
        <w:rPr>
          <w:rFonts w:ascii="Aptos" w:hAnsi="Aptos"/>
          <w:sz w:val="20"/>
          <w:szCs w:val="20"/>
        </w:rPr>
        <w:t xml:space="preserve">; </w:t>
      </w:r>
      <w:r w:rsidR="007C1BD9" w:rsidRPr="00856989">
        <w:rPr>
          <w:rFonts w:ascii="Aptos" w:eastAsia="Times New Roman" w:hAnsi="Aptos" w:cs="Times New Roman"/>
          <w:bCs/>
          <w:i/>
          <w:iCs/>
          <w:color w:val="000000"/>
          <w:sz w:val="20"/>
          <w:szCs w:val="20"/>
        </w:rPr>
        <w:t>R.V. v. Rivera</w:t>
      </w:r>
      <w:r w:rsidR="007C1BD9" w:rsidRPr="00856989">
        <w:rPr>
          <w:rFonts w:ascii="Aptos" w:eastAsia="Times New Roman" w:hAnsi="Aptos" w:cs="Times New Roman"/>
          <w:bCs/>
          <w:color w:val="000000"/>
          <w:sz w:val="20"/>
          <w:szCs w:val="20"/>
        </w:rPr>
        <w:t xml:space="preserve">, 220 F. Supp. 3d 588, 594 (E.D. Pa. 2016) </w:t>
      </w:r>
      <w:r w:rsidR="00411030">
        <w:rPr>
          <w:rFonts w:ascii="Aptos" w:eastAsia="Times New Roman" w:hAnsi="Aptos" w:cs="Times New Roman"/>
          <w:bCs/>
          <w:color w:val="000000"/>
          <w:sz w:val="20"/>
          <w:szCs w:val="20"/>
        </w:rPr>
        <w:t>(</w:t>
      </w:r>
      <w:r w:rsidR="007C1BD9" w:rsidRPr="00856989">
        <w:rPr>
          <w:rFonts w:ascii="Aptos" w:eastAsia="Times New Roman" w:hAnsi="Aptos" w:cs="Times New Roman"/>
          <w:bCs/>
          <w:color w:val="000000"/>
          <w:sz w:val="20"/>
          <w:szCs w:val="20"/>
        </w:rPr>
        <w:t>finding the SEA to be a proper party in a FAPE claim against a failed charter school that was no longer in existence, reasoning that,</w:t>
      </w:r>
    </w:p>
    <w:p w14:paraId="22AF40C3" w14:textId="30151EF8" w:rsidR="00B15A5E" w:rsidRPr="00856989" w:rsidRDefault="007C1BD9" w:rsidP="007C1BD9">
      <w:pPr>
        <w:pStyle w:val="FootnoteText"/>
        <w:ind w:left="720" w:right="720"/>
        <w:rPr>
          <w:rFonts w:ascii="Aptos" w:hAnsi="Aptos"/>
        </w:rPr>
      </w:pPr>
      <w:r w:rsidRPr="00856989">
        <w:rPr>
          <w:rFonts w:ascii="Aptos" w:eastAsia="Times New Roman" w:hAnsi="Aptos" w:cs="Times New Roman"/>
          <w:bCs/>
          <w:color w:val="000000"/>
        </w:rPr>
        <w:t>“[i]t does not follow from this, as [the SEA] fears, that in every instance where an LEA is alleged to have failed to provide a FAPE or otherwise comply with its IDEA obligations an SEA may be named in a due process complaint regarding those allegations. Where there is an existing LEA that could be held responsible for alleged FAPE violations, then it, and not the SEA, would be the proper party in a due process hearing.  Where, as here, there is no other educational agency to which a parent may look to vindicate her child's rights to a FAPE because the LEA in which the alleged violations occurred has since ceased to exist, the SEA's obligations as the backstop to the state's IDEA obligations kick in. Accordingly, [the SEA] was a proper party to the IDEA due process complaint in this case”</w:t>
      </w:r>
      <w:r w:rsidR="00411030">
        <w:rPr>
          <w:rFonts w:ascii="Aptos" w:eastAsia="Times New Roman" w:hAnsi="Aptos" w:cs="Times New Roman"/>
          <w:bCs/>
          <w:color w:val="000000"/>
        </w:rPr>
        <w:t>)</w:t>
      </w:r>
      <w:r w:rsidR="00B15A5E" w:rsidRPr="00856989">
        <w:rPr>
          <w:rFonts w:ascii="Aptos" w:hAnsi="Aptos"/>
        </w:rPr>
        <w:t xml:space="preserve">.  </w:t>
      </w:r>
    </w:p>
  </w:footnote>
  <w:footnote w:id="19">
    <w:p w14:paraId="22422612" w14:textId="335B03F9" w:rsidR="000436C9" w:rsidRPr="00856989" w:rsidRDefault="000436C9">
      <w:pPr>
        <w:pStyle w:val="FootnoteText"/>
        <w:rPr>
          <w:rFonts w:ascii="Aptos" w:hAnsi="Aptos"/>
          <w:i/>
          <w:iCs/>
        </w:rPr>
      </w:pPr>
      <w:r w:rsidRPr="00856989">
        <w:rPr>
          <w:rStyle w:val="FootnoteReference"/>
          <w:rFonts w:ascii="Aptos" w:hAnsi="Aptos"/>
        </w:rPr>
        <w:footnoteRef/>
      </w:r>
      <w:r w:rsidRPr="00856989">
        <w:rPr>
          <w:rFonts w:ascii="Aptos" w:hAnsi="Aptos"/>
        </w:rPr>
        <w:t xml:space="preserve">  </w:t>
      </w:r>
      <w:r w:rsidRPr="00856989">
        <w:rPr>
          <w:rFonts w:ascii="Aptos" w:hAnsi="Aptos"/>
          <w:i/>
          <w:iCs/>
        </w:rPr>
        <w:t>Id</w:t>
      </w:r>
      <w:r w:rsidRPr="00856989">
        <w:rPr>
          <w:rFonts w:ascii="Aptos" w:hAnsi="Aptos"/>
        </w:rPr>
        <w:t xml:space="preserve">.; see </w:t>
      </w:r>
      <w:r w:rsidR="00A37530" w:rsidRPr="00856989">
        <w:rPr>
          <w:rFonts w:ascii="Aptos" w:eastAsia="Times New Roman" w:hAnsi="Aptos" w:cs="Times New Roman"/>
          <w:bCs/>
          <w:i/>
          <w:iCs/>
          <w:color w:val="000000"/>
        </w:rPr>
        <w:t xml:space="preserve">In Re:  Massachusetts Department of Education </w:t>
      </w:r>
      <w:r w:rsidR="00A37530" w:rsidRPr="00856989">
        <w:rPr>
          <w:rFonts w:ascii="Aptos" w:eastAsia="Times New Roman" w:hAnsi="Aptos" w:cs="Times New Roman"/>
          <w:bCs/>
          <w:color w:val="000000"/>
        </w:rPr>
        <w:t>BSEA No. 03-1785, 9 MSER 1 (Crane, 2003).</w:t>
      </w:r>
    </w:p>
  </w:footnote>
  <w:footnote w:id="20">
    <w:p w14:paraId="28DB142E" w14:textId="7F6D8EE5" w:rsidR="00104454" w:rsidRPr="00856989" w:rsidRDefault="00104454" w:rsidP="00104454">
      <w:pPr>
        <w:spacing w:after="0" w:line="240" w:lineRule="auto"/>
        <w:rPr>
          <w:rFonts w:ascii="Aptos" w:eastAsia="Times New Roman" w:hAnsi="Aptos" w:cs="Times New Roman"/>
          <w:bCs/>
          <w:color w:val="000000"/>
          <w:sz w:val="20"/>
          <w:szCs w:val="20"/>
        </w:rPr>
      </w:pPr>
      <w:r w:rsidRPr="00856989">
        <w:rPr>
          <w:rStyle w:val="FootnoteReference"/>
          <w:rFonts w:ascii="Aptos" w:hAnsi="Aptos"/>
          <w:sz w:val="20"/>
          <w:szCs w:val="20"/>
        </w:rPr>
        <w:footnoteRef/>
      </w:r>
      <w:r w:rsidRPr="00856989">
        <w:rPr>
          <w:rFonts w:ascii="Aptos" w:hAnsi="Aptos"/>
          <w:sz w:val="20"/>
          <w:szCs w:val="20"/>
        </w:rPr>
        <w:t xml:space="preserve">   </w:t>
      </w:r>
      <w:r w:rsidRPr="00856989">
        <w:rPr>
          <w:rFonts w:ascii="Aptos" w:eastAsia="Times New Roman" w:hAnsi="Aptos" w:cs="Times New Roman"/>
          <w:bCs/>
          <w:i/>
          <w:iCs/>
          <w:color w:val="000000"/>
          <w:sz w:val="20"/>
          <w:szCs w:val="20"/>
        </w:rPr>
        <w:t>Town of Burlington v. Dep't of Educ. for Com. of Mass.</w:t>
      </w:r>
      <w:r w:rsidRPr="00856989">
        <w:rPr>
          <w:rFonts w:ascii="Aptos" w:eastAsia="Times New Roman" w:hAnsi="Aptos" w:cs="Times New Roman"/>
          <w:bCs/>
          <w:color w:val="000000"/>
          <w:sz w:val="20"/>
          <w:szCs w:val="20"/>
        </w:rPr>
        <w:t xml:space="preserve">, 736 F.2d 773, 787 (1st Cir. 1984), </w:t>
      </w:r>
      <w:r w:rsidRPr="00856989">
        <w:rPr>
          <w:rFonts w:ascii="Aptos" w:eastAsia="Times New Roman" w:hAnsi="Aptos" w:cs="Times New Roman"/>
          <w:bCs/>
          <w:i/>
          <w:iCs/>
          <w:color w:val="000000"/>
          <w:sz w:val="20"/>
          <w:szCs w:val="20"/>
        </w:rPr>
        <w:t>aff'd sub nom. Sch. Comm. of Town of Burlington, Mass. v. Dep't of Educ. of Mass.</w:t>
      </w:r>
      <w:r w:rsidRPr="00856989">
        <w:rPr>
          <w:rFonts w:ascii="Aptos" w:eastAsia="Times New Roman" w:hAnsi="Aptos" w:cs="Times New Roman"/>
          <w:bCs/>
          <w:color w:val="000000"/>
          <w:sz w:val="20"/>
          <w:szCs w:val="20"/>
        </w:rPr>
        <w:t>, 471 U.S. 359</w:t>
      </w:r>
      <w:r w:rsidR="001C0FF3" w:rsidRPr="00856989">
        <w:rPr>
          <w:rFonts w:ascii="Aptos" w:eastAsia="Times New Roman" w:hAnsi="Aptos" w:cs="Times New Roman"/>
          <w:bCs/>
          <w:color w:val="000000"/>
          <w:sz w:val="20"/>
          <w:szCs w:val="20"/>
        </w:rPr>
        <w:t xml:space="preserve"> </w:t>
      </w:r>
      <w:r w:rsidRPr="00856989">
        <w:rPr>
          <w:rFonts w:ascii="Aptos" w:eastAsia="Times New Roman" w:hAnsi="Aptos" w:cs="Times New Roman"/>
          <w:bCs/>
          <w:color w:val="000000"/>
          <w:sz w:val="20"/>
          <w:szCs w:val="20"/>
        </w:rPr>
        <w:t>(1985)</w:t>
      </w:r>
      <w:r w:rsidR="001C0FF3" w:rsidRPr="00856989">
        <w:rPr>
          <w:rFonts w:ascii="Aptos" w:eastAsia="Times New Roman" w:hAnsi="Aptos" w:cs="Times New Roman"/>
          <w:bCs/>
          <w:color w:val="000000"/>
          <w:sz w:val="20"/>
          <w:szCs w:val="20"/>
        </w:rPr>
        <w:t>.</w:t>
      </w:r>
    </w:p>
  </w:footnote>
  <w:footnote w:id="21">
    <w:p w14:paraId="0E3B7D41" w14:textId="355E1024" w:rsidR="00401480" w:rsidRPr="00856989" w:rsidRDefault="00401480" w:rsidP="00401480">
      <w:pPr>
        <w:spacing w:after="0" w:line="240" w:lineRule="auto"/>
        <w:rPr>
          <w:rFonts w:ascii="Aptos" w:eastAsia="Times New Roman" w:hAnsi="Aptos" w:cs="Times New Roman"/>
          <w:bCs/>
          <w:color w:val="000000"/>
          <w:sz w:val="20"/>
          <w:szCs w:val="20"/>
        </w:rPr>
      </w:pPr>
      <w:r w:rsidRPr="00856989">
        <w:rPr>
          <w:rStyle w:val="FootnoteReference"/>
          <w:rFonts w:ascii="Aptos" w:hAnsi="Aptos"/>
          <w:sz w:val="20"/>
          <w:szCs w:val="20"/>
        </w:rPr>
        <w:footnoteRef/>
      </w:r>
      <w:r w:rsidRPr="00856989">
        <w:rPr>
          <w:rFonts w:ascii="Aptos" w:hAnsi="Aptos"/>
          <w:sz w:val="20"/>
          <w:szCs w:val="20"/>
        </w:rPr>
        <w:t xml:space="preserve">   </w:t>
      </w:r>
      <w:r w:rsidRPr="00856989">
        <w:rPr>
          <w:rFonts w:ascii="Aptos" w:eastAsia="Times New Roman" w:hAnsi="Aptos" w:cs="Times New Roman"/>
          <w:bCs/>
          <w:i/>
          <w:iCs/>
          <w:color w:val="000000"/>
          <w:sz w:val="20"/>
          <w:szCs w:val="20"/>
        </w:rPr>
        <w:t>Beard v. Teska</w:t>
      </w:r>
      <w:r w:rsidRPr="00856989">
        <w:rPr>
          <w:rFonts w:ascii="Aptos" w:eastAsia="Times New Roman" w:hAnsi="Aptos" w:cs="Times New Roman"/>
          <w:bCs/>
          <w:color w:val="000000"/>
          <w:sz w:val="20"/>
          <w:szCs w:val="20"/>
        </w:rPr>
        <w:t xml:space="preserve">, 31 F.3d 942, 954 (10th Cir. 1994), </w:t>
      </w:r>
      <w:r w:rsidRPr="00856989">
        <w:rPr>
          <w:rFonts w:ascii="Aptos" w:eastAsia="Times New Roman" w:hAnsi="Aptos" w:cs="Times New Roman"/>
          <w:bCs/>
          <w:i/>
          <w:iCs/>
          <w:color w:val="000000"/>
          <w:sz w:val="20"/>
          <w:szCs w:val="20"/>
        </w:rPr>
        <w:t xml:space="preserve">abrogated </w:t>
      </w:r>
      <w:r w:rsidR="007F45F6" w:rsidRPr="00856989">
        <w:rPr>
          <w:rFonts w:ascii="Aptos" w:eastAsia="Times New Roman" w:hAnsi="Aptos" w:cs="Times New Roman"/>
          <w:bCs/>
          <w:i/>
          <w:iCs/>
          <w:color w:val="000000"/>
          <w:sz w:val="20"/>
          <w:szCs w:val="20"/>
        </w:rPr>
        <w:t xml:space="preserve">on other grounds </w:t>
      </w:r>
      <w:r w:rsidRPr="00856989">
        <w:rPr>
          <w:rFonts w:ascii="Aptos" w:eastAsia="Times New Roman" w:hAnsi="Aptos" w:cs="Times New Roman"/>
          <w:bCs/>
          <w:i/>
          <w:iCs/>
          <w:color w:val="000000"/>
          <w:sz w:val="20"/>
          <w:szCs w:val="20"/>
        </w:rPr>
        <w:t>by Buckhannon Bd. &amp; Care Home, Inc. v. W. Virginia Dep't of Health &amp; Hum. Res.</w:t>
      </w:r>
      <w:r w:rsidRPr="00856989">
        <w:rPr>
          <w:rFonts w:ascii="Aptos" w:eastAsia="Times New Roman" w:hAnsi="Aptos" w:cs="Times New Roman"/>
          <w:bCs/>
          <w:color w:val="000000"/>
          <w:sz w:val="20"/>
          <w:szCs w:val="20"/>
        </w:rPr>
        <w:t>, 532 U.S. 598 (2001)</w:t>
      </w:r>
    </w:p>
  </w:footnote>
  <w:footnote w:id="22">
    <w:p w14:paraId="1BA1CF5A" w14:textId="67EB36D5" w:rsidR="00282FC6" w:rsidRPr="00856989" w:rsidRDefault="00282FC6">
      <w:pPr>
        <w:pStyle w:val="FootnoteText"/>
        <w:rPr>
          <w:rFonts w:ascii="Aptos" w:hAnsi="Aptos"/>
        </w:rPr>
      </w:pPr>
      <w:r w:rsidRPr="00856989">
        <w:rPr>
          <w:rStyle w:val="FootnoteReference"/>
          <w:rFonts w:ascii="Aptos" w:hAnsi="Aptos"/>
        </w:rPr>
        <w:footnoteRef/>
      </w:r>
      <w:r w:rsidRPr="00856989">
        <w:rPr>
          <w:rFonts w:ascii="Aptos" w:hAnsi="Aptos"/>
        </w:rPr>
        <w:t xml:space="preserve">   </w:t>
      </w:r>
      <w:r w:rsidR="00CD0448" w:rsidRPr="00856989">
        <w:rPr>
          <w:rFonts w:ascii="Aptos" w:hAnsi="Aptos"/>
        </w:rPr>
        <w:t xml:space="preserve">See </w:t>
      </w:r>
      <w:r w:rsidR="00CD0448" w:rsidRPr="00856989">
        <w:rPr>
          <w:rFonts w:ascii="Aptos" w:hAnsi="Aptos"/>
          <w:i/>
          <w:iCs/>
        </w:rPr>
        <w:t>In Re: Lawrence P.S.</w:t>
      </w:r>
      <w:r w:rsidR="00CD0448" w:rsidRPr="00856989">
        <w:rPr>
          <w:rFonts w:ascii="Aptos" w:hAnsi="Aptos"/>
        </w:rPr>
        <w:t>, 27 MSER 193</w:t>
      </w:r>
      <w:r w:rsidR="00E36879" w:rsidRPr="00856989">
        <w:rPr>
          <w:rFonts w:ascii="Aptos" w:hAnsi="Aptos"/>
        </w:rPr>
        <w:t>,</w:t>
      </w:r>
      <w:r w:rsidR="00CD0448" w:rsidRPr="00856989">
        <w:rPr>
          <w:rFonts w:ascii="Aptos" w:hAnsi="Aptos"/>
        </w:rPr>
        <w:t xml:space="preserve"> </w:t>
      </w:r>
      <w:r w:rsidR="00291070" w:rsidRPr="00856989">
        <w:rPr>
          <w:rFonts w:ascii="Aptos" w:hAnsi="Aptos"/>
        </w:rPr>
        <w:t>(</w:t>
      </w:r>
      <w:r w:rsidR="00D816A8" w:rsidRPr="00856989">
        <w:rPr>
          <w:rFonts w:ascii="Aptos" w:hAnsi="Aptos"/>
        </w:rPr>
        <w:t xml:space="preserve">dismissing DESE from a matter as </w:t>
      </w:r>
      <w:r w:rsidR="00CD0448" w:rsidRPr="00856989">
        <w:rPr>
          <w:rFonts w:ascii="Aptos" w:hAnsi="Aptos"/>
        </w:rPr>
        <w:t>“</w:t>
      </w:r>
      <w:r w:rsidR="00D816A8" w:rsidRPr="00856989">
        <w:rPr>
          <w:rFonts w:ascii="Aptos" w:eastAsia="Times New Roman" w:hAnsi="Aptos" w:cs="Times New Roman"/>
          <w:bCs/>
          <w:color w:val="000000"/>
        </w:rPr>
        <w:t xml:space="preserve">Parent asserted no facts suggesting that DESE was involved in the IEP process, </w:t>
      </w:r>
      <w:r w:rsidR="00F66B02" w:rsidRPr="00856989">
        <w:rPr>
          <w:rFonts w:ascii="Aptos" w:eastAsia="Times New Roman" w:hAnsi="Aptos" w:cs="Times New Roman"/>
          <w:bCs/>
          <w:color w:val="000000"/>
        </w:rPr>
        <w:t xml:space="preserve">was </w:t>
      </w:r>
      <w:r w:rsidR="00D816A8" w:rsidRPr="00856989">
        <w:rPr>
          <w:rFonts w:ascii="Aptos" w:eastAsia="Times New Roman" w:hAnsi="Aptos" w:cs="Times New Roman"/>
          <w:bCs/>
          <w:color w:val="000000"/>
        </w:rPr>
        <w:t xml:space="preserve">asked to participate in Student's assessment or placement, </w:t>
      </w:r>
      <w:r w:rsidR="00291070" w:rsidRPr="00856989">
        <w:rPr>
          <w:rFonts w:ascii="Aptos" w:eastAsia="Times New Roman" w:hAnsi="Aptos" w:cs="Times New Roman"/>
          <w:bCs/>
          <w:color w:val="000000"/>
        </w:rPr>
        <w:t>or w</w:t>
      </w:r>
      <w:r w:rsidR="00F66B02" w:rsidRPr="00856989">
        <w:rPr>
          <w:rFonts w:ascii="Aptos" w:eastAsia="Times New Roman" w:hAnsi="Aptos" w:cs="Times New Roman"/>
          <w:bCs/>
          <w:color w:val="000000"/>
        </w:rPr>
        <w:t>as</w:t>
      </w:r>
      <w:r w:rsidR="00D816A8" w:rsidRPr="00856989">
        <w:rPr>
          <w:rFonts w:ascii="Aptos" w:eastAsia="Times New Roman" w:hAnsi="Aptos" w:cs="Times New Roman"/>
          <w:bCs/>
          <w:color w:val="000000"/>
        </w:rPr>
        <w:t xml:space="preserve"> called upon to fund Student's education or to respond to complaints regarding Student's program”</w:t>
      </w:r>
      <w:r w:rsidR="00291070" w:rsidRPr="00856989">
        <w:rPr>
          <w:rFonts w:ascii="Aptos" w:eastAsia="Times New Roman" w:hAnsi="Aptos" w:cs="Times New Roman"/>
          <w:bCs/>
          <w:color w:val="000000"/>
        </w:rPr>
        <w:t>)</w:t>
      </w:r>
      <w:r w:rsidR="00D816A8" w:rsidRPr="00856989">
        <w:rPr>
          <w:rFonts w:ascii="Aptos" w:eastAsia="Times New Roman" w:hAnsi="Aptos" w:cs="Times New Roman"/>
          <w:bCs/>
          <w:color w:val="000000"/>
        </w:rPr>
        <w:t xml:space="preserve"> </w:t>
      </w:r>
      <w:r w:rsidR="00335B64">
        <w:rPr>
          <w:rFonts w:ascii="Aptos" w:eastAsia="Times New Roman" w:hAnsi="Aptos" w:cs="Times New Roman"/>
          <w:bCs/>
          <w:color w:val="000000"/>
        </w:rPr>
        <w:t>(</w:t>
      </w:r>
      <w:r w:rsidR="00D816A8" w:rsidRPr="00856989">
        <w:rPr>
          <w:rFonts w:ascii="Aptos" w:eastAsia="Times New Roman" w:hAnsi="Aptos" w:cs="Times New Roman"/>
          <w:bCs/>
          <w:color w:val="000000"/>
        </w:rPr>
        <w:t xml:space="preserve">citing </w:t>
      </w:r>
      <w:r w:rsidR="00D816A8" w:rsidRPr="00856989">
        <w:rPr>
          <w:rFonts w:ascii="Aptos" w:eastAsia="Times New Roman" w:hAnsi="Aptos" w:cs="Times New Roman"/>
          <w:bCs/>
          <w:i/>
          <w:iCs/>
          <w:color w:val="000000"/>
        </w:rPr>
        <w:t>Carnwath,</w:t>
      </w:r>
      <w:r w:rsidR="00D816A8" w:rsidRPr="00856989">
        <w:rPr>
          <w:rFonts w:ascii="Aptos" w:eastAsia="Times New Roman" w:hAnsi="Aptos" w:cs="Times New Roman"/>
          <w:bCs/>
          <w:color w:val="000000"/>
        </w:rPr>
        <w:t xml:space="preserve"> 115 F. Supp. 2d </w:t>
      </w:r>
      <w:r w:rsidR="009F6588" w:rsidRPr="00856989">
        <w:rPr>
          <w:rFonts w:ascii="Aptos" w:eastAsia="Times New Roman" w:hAnsi="Aptos" w:cs="Times New Roman"/>
          <w:bCs/>
          <w:color w:val="000000"/>
        </w:rPr>
        <w:t xml:space="preserve">at </w:t>
      </w:r>
      <w:r w:rsidR="00D816A8" w:rsidRPr="00856989">
        <w:rPr>
          <w:rFonts w:ascii="Aptos" w:eastAsia="Times New Roman" w:hAnsi="Aptos" w:cs="Times New Roman"/>
          <w:bCs/>
          <w:color w:val="000000"/>
        </w:rPr>
        <w:t>585</w:t>
      </w:r>
      <w:r w:rsidR="00335B64">
        <w:rPr>
          <w:rFonts w:ascii="Aptos" w:eastAsia="Times New Roman" w:hAnsi="Aptos" w:cs="Times New Roman"/>
          <w:bCs/>
          <w:color w:val="000000"/>
        </w:rPr>
        <w:t>)</w:t>
      </w:r>
      <w:r w:rsidR="00D816A8" w:rsidRPr="00856989">
        <w:rPr>
          <w:rFonts w:ascii="Aptos" w:eastAsia="Times New Roman" w:hAnsi="Aptos" w:cs="Times New Roman"/>
          <w:bCs/>
          <w:color w:val="000000"/>
        </w:rPr>
        <w:t xml:space="preserve">; compare </w:t>
      </w:r>
      <w:r w:rsidR="00615BD5" w:rsidRPr="00856989">
        <w:rPr>
          <w:rFonts w:ascii="Aptos" w:eastAsia="Times New Roman" w:hAnsi="Aptos" w:cs="Times New Roman"/>
          <w:bCs/>
          <w:i/>
          <w:iCs/>
          <w:color w:val="000000"/>
        </w:rPr>
        <w:t xml:space="preserve">In Re:  </w:t>
      </w:r>
      <w:r w:rsidR="00EB0A14" w:rsidRPr="00856989">
        <w:rPr>
          <w:rFonts w:ascii="Aptos" w:eastAsia="Times New Roman" w:hAnsi="Aptos" w:cs="Times New Roman"/>
          <w:bCs/>
          <w:i/>
          <w:iCs/>
          <w:color w:val="000000"/>
        </w:rPr>
        <w:t>Mass.</w:t>
      </w:r>
      <w:r w:rsidR="00615BD5" w:rsidRPr="00856989">
        <w:rPr>
          <w:rFonts w:ascii="Aptos" w:eastAsia="Times New Roman" w:hAnsi="Aptos" w:cs="Times New Roman"/>
          <w:bCs/>
          <w:i/>
          <w:iCs/>
          <w:color w:val="000000"/>
        </w:rPr>
        <w:t xml:space="preserve"> </w:t>
      </w:r>
      <w:r w:rsidR="00A37530" w:rsidRPr="00856989">
        <w:rPr>
          <w:rFonts w:ascii="Aptos" w:eastAsia="Times New Roman" w:hAnsi="Aptos" w:cs="Times New Roman"/>
          <w:bCs/>
          <w:i/>
          <w:iCs/>
          <w:color w:val="000000"/>
        </w:rPr>
        <w:t>Dept.</w:t>
      </w:r>
      <w:r w:rsidR="00615BD5" w:rsidRPr="00856989">
        <w:rPr>
          <w:rFonts w:ascii="Aptos" w:eastAsia="Times New Roman" w:hAnsi="Aptos" w:cs="Times New Roman"/>
          <w:bCs/>
          <w:i/>
          <w:iCs/>
          <w:color w:val="000000"/>
        </w:rPr>
        <w:t xml:space="preserve"> of </w:t>
      </w:r>
      <w:r w:rsidR="00A37530" w:rsidRPr="00856989">
        <w:rPr>
          <w:rFonts w:ascii="Aptos" w:eastAsia="Times New Roman" w:hAnsi="Aptos" w:cs="Times New Roman"/>
          <w:bCs/>
          <w:i/>
          <w:iCs/>
          <w:color w:val="000000"/>
        </w:rPr>
        <w:t>Ed</w:t>
      </w:r>
      <w:r w:rsidR="00A37530" w:rsidRPr="00856989">
        <w:rPr>
          <w:rFonts w:ascii="Aptos" w:eastAsia="Times New Roman" w:hAnsi="Aptos" w:cs="Times New Roman"/>
          <w:bCs/>
          <w:color w:val="000000"/>
        </w:rPr>
        <w:t xml:space="preserve">., </w:t>
      </w:r>
      <w:r w:rsidR="00615BD5" w:rsidRPr="00856989">
        <w:rPr>
          <w:rFonts w:ascii="Aptos" w:eastAsia="Times New Roman" w:hAnsi="Aptos" w:cs="Times New Roman"/>
          <w:bCs/>
          <w:color w:val="000000"/>
        </w:rPr>
        <w:t>9 MSE</w:t>
      </w:r>
      <w:r w:rsidR="00A37530" w:rsidRPr="00856989">
        <w:rPr>
          <w:rFonts w:ascii="Aptos" w:eastAsia="Times New Roman" w:hAnsi="Aptos" w:cs="Times New Roman"/>
          <w:bCs/>
          <w:color w:val="000000"/>
        </w:rPr>
        <w:t>R</w:t>
      </w:r>
      <w:r w:rsidR="00615BD5" w:rsidRPr="00856989">
        <w:rPr>
          <w:rFonts w:ascii="Aptos" w:eastAsia="Times New Roman" w:hAnsi="Aptos" w:cs="Times New Roman"/>
          <w:bCs/>
          <w:color w:val="000000"/>
        </w:rPr>
        <w:t xml:space="preserve"> 1</w:t>
      </w:r>
      <w:r w:rsidR="00A37530" w:rsidRPr="00856989">
        <w:rPr>
          <w:rFonts w:ascii="Aptos" w:eastAsia="Times New Roman" w:hAnsi="Aptos" w:cs="Times New Roman"/>
          <w:bCs/>
          <w:color w:val="000000"/>
        </w:rPr>
        <w:t>,</w:t>
      </w:r>
      <w:r w:rsidR="00615BD5" w:rsidRPr="00856989">
        <w:rPr>
          <w:rFonts w:ascii="Aptos" w:eastAsia="Times New Roman" w:hAnsi="Aptos" w:cs="Times New Roman"/>
          <w:bCs/>
          <w:color w:val="000000"/>
        </w:rPr>
        <w:t xml:space="preserve"> </w:t>
      </w:r>
      <w:r w:rsidR="00335B64">
        <w:rPr>
          <w:rFonts w:ascii="Aptos" w:eastAsia="Times New Roman" w:hAnsi="Aptos" w:cs="Times New Roman"/>
          <w:bCs/>
          <w:color w:val="000000"/>
        </w:rPr>
        <w:t>(</w:t>
      </w:r>
      <w:r w:rsidR="00A77749" w:rsidRPr="00856989">
        <w:rPr>
          <w:rFonts w:ascii="Aptos" w:eastAsia="Times New Roman" w:hAnsi="Aptos" w:cs="Times New Roman"/>
          <w:bCs/>
          <w:color w:val="000000"/>
        </w:rPr>
        <w:t xml:space="preserve">distinguishing </w:t>
      </w:r>
      <w:r w:rsidR="00A77749" w:rsidRPr="00856989">
        <w:rPr>
          <w:rFonts w:ascii="Aptos" w:eastAsia="Times New Roman" w:hAnsi="Aptos" w:cs="Times New Roman"/>
          <w:bCs/>
          <w:i/>
          <w:iCs/>
          <w:color w:val="000000"/>
        </w:rPr>
        <w:t xml:space="preserve">Carnwath </w:t>
      </w:r>
      <w:r w:rsidR="00986A3B" w:rsidRPr="00856989">
        <w:rPr>
          <w:rFonts w:ascii="Aptos" w:eastAsia="Times New Roman" w:hAnsi="Aptos" w:cs="Times New Roman"/>
          <w:bCs/>
          <w:color w:val="000000"/>
        </w:rPr>
        <w:t>115 F. Supp. 2d at 585</w:t>
      </w:r>
      <w:r w:rsidR="00986A3B">
        <w:rPr>
          <w:rFonts w:ascii="Aptos" w:eastAsia="Times New Roman" w:hAnsi="Aptos" w:cs="Times New Roman"/>
          <w:bCs/>
          <w:color w:val="000000"/>
        </w:rPr>
        <w:t xml:space="preserve"> </w:t>
      </w:r>
      <w:r w:rsidR="00A77749" w:rsidRPr="00856989">
        <w:rPr>
          <w:rFonts w:ascii="Aptos" w:eastAsia="Times New Roman" w:hAnsi="Aptos" w:cs="Times New Roman"/>
          <w:bCs/>
          <w:color w:val="000000"/>
        </w:rPr>
        <w:t xml:space="preserve">and </w:t>
      </w:r>
      <w:r w:rsidR="00A77749" w:rsidRPr="00856989">
        <w:rPr>
          <w:rFonts w:ascii="Aptos" w:eastAsia="Times New Roman" w:hAnsi="Aptos" w:cs="Times New Roman"/>
          <w:bCs/>
          <w:i/>
          <w:iCs/>
          <w:color w:val="000000"/>
        </w:rPr>
        <w:t>Beard</w:t>
      </w:r>
      <w:r w:rsidR="00986A3B">
        <w:rPr>
          <w:rFonts w:ascii="Aptos" w:eastAsia="Times New Roman" w:hAnsi="Aptos" w:cs="Times New Roman"/>
          <w:bCs/>
          <w:color w:val="000000"/>
        </w:rPr>
        <w:t xml:space="preserve"> </w:t>
      </w:r>
      <w:r w:rsidR="00986A3B" w:rsidRPr="00856989">
        <w:rPr>
          <w:rFonts w:ascii="Aptos" w:eastAsia="Times New Roman" w:hAnsi="Aptos" w:cs="Times New Roman"/>
          <w:bCs/>
          <w:color w:val="000000"/>
        </w:rPr>
        <w:t xml:space="preserve">31 F.3d </w:t>
      </w:r>
      <w:r w:rsidR="00986A3B">
        <w:rPr>
          <w:rFonts w:ascii="Aptos" w:eastAsia="Times New Roman" w:hAnsi="Aptos" w:cs="Times New Roman"/>
          <w:bCs/>
          <w:color w:val="000000"/>
        </w:rPr>
        <w:t xml:space="preserve">at </w:t>
      </w:r>
      <w:r w:rsidR="00986A3B" w:rsidRPr="00856989">
        <w:rPr>
          <w:rFonts w:ascii="Aptos" w:eastAsia="Times New Roman" w:hAnsi="Aptos" w:cs="Times New Roman"/>
          <w:bCs/>
          <w:color w:val="000000"/>
        </w:rPr>
        <w:t>954</w:t>
      </w:r>
      <w:r w:rsidR="00335B64">
        <w:rPr>
          <w:rFonts w:ascii="Aptos" w:eastAsia="Times New Roman" w:hAnsi="Aptos" w:cs="Times New Roman"/>
          <w:bCs/>
          <w:color w:val="000000"/>
        </w:rPr>
        <w:t>)</w:t>
      </w:r>
      <w:r w:rsidR="00795979" w:rsidRPr="00856989">
        <w:rPr>
          <w:rFonts w:ascii="Aptos" w:eastAsia="Times New Roman" w:hAnsi="Aptos" w:cs="Times New Roman"/>
          <w:bCs/>
          <w:color w:val="000000"/>
        </w:rPr>
        <w:t xml:space="preserve"> </w:t>
      </w:r>
      <w:r w:rsidR="00291070" w:rsidRPr="00856989">
        <w:rPr>
          <w:rFonts w:ascii="Aptos" w:eastAsia="Times New Roman" w:hAnsi="Aptos" w:cs="Times New Roman"/>
          <w:bCs/>
          <w:color w:val="000000"/>
        </w:rPr>
        <w:t>(</w:t>
      </w:r>
      <w:r w:rsidR="0021179C" w:rsidRPr="00856989">
        <w:rPr>
          <w:rFonts w:ascii="Aptos" w:eastAsia="Times New Roman" w:hAnsi="Aptos" w:cs="Times New Roman"/>
          <w:bCs/>
          <w:color w:val="000000"/>
        </w:rPr>
        <w:t>concluding</w:t>
      </w:r>
      <w:r w:rsidR="00615BD5" w:rsidRPr="00856989">
        <w:rPr>
          <w:rFonts w:ascii="Aptos" w:eastAsia="Times New Roman" w:hAnsi="Aptos" w:cs="Times New Roman"/>
          <w:bCs/>
          <w:color w:val="000000"/>
        </w:rPr>
        <w:t xml:space="preserve"> </w:t>
      </w:r>
      <w:r w:rsidR="003B0DC8" w:rsidRPr="00856989">
        <w:rPr>
          <w:rFonts w:ascii="Aptos" w:eastAsia="Times New Roman" w:hAnsi="Aptos" w:cs="Times New Roman"/>
          <w:bCs/>
          <w:color w:val="000000"/>
        </w:rPr>
        <w:t xml:space="preserve">DESE </w:t>
      </w:r>
      <w:r w:rsidR="00E1732D" w:rsidRPr="00856989">
        <w:rPr>
          <w:rFonts w:ascii="Aptos" w:eastAsia="Times New Roman" w:hAnsi="Aptos" w:cs="Times New Roman"/>
          <w:bCs/>
          <w:color w:val="000000"/>
        </w:rPr>
        <w:t>may be</w:t>
      </w:r>
      <w:r w:rsidR="00615BD5" w:rsidRPr="00856989">
        <w:rPr>
          <w:rFonts w:ascii="Aptos" w:eastAsia="Times New Roman" w:hAnsi="Aptos" w:cs="Times New Roman"/>
          <w:bCs/>
          <w:color w:val="000000"/>
        </w:rPr>
        <w:t xml:space="preserve"> liable for compensatory services due to </w:t>
      </w:r>
      <w:r w:rsidR="002D331A" w:rsidRPr="00856989">
        <w:rPr>
          <w:rFonts w:ascii="Aptos" w:eastAsia="Times New Roman" w:hAnsi="Aptos" w:cs="Times New Roman"/>
          <w:bCs/>
          <w:color w:val="000000"/>
        </w:rPr>
        <w:t>allegations that [</w:t>
      </w:r>
      <w:r w:rsidR="003B0DC8" w:rsidRPr="00856989">
        <w:rPr>
          <w:rFonts w:ascii="Aptos" w:eastAsia="Times New Roman" w:hAnsi="Aptos" w:cs="Times New Roman"/>
          <w:bCs/>
          <w:color w:val="000000"/>
        </w:rPr>
        <w:t>it</w:t>
      </w:r>
      <w:r w:rsidR="002D331A" w:rsidRPr="00856989">
        <w:rPr>
          <w:rFonts w:ascii="Aptos" w:eastAsia="Times New Roman" w:hAnsi="Aptos" w:cs="Times New Roman"/>
          <w:bCs/>
          <w:color w:val="000000"/>
        </w:rPr>
        <w:t xml:space="preserve">] was aware of the </w:t>
      </w:r>
      <w:r w:rsidR="00D60552" w:rsidRPr="00856989">
        <w:rPr>
          <w:rFonts w:ascii="Aptos" w:eastAsia="Times New Roman" w:hAnsi="Aptos" w:cs="Times New Roman"/>
          <w:bCs/>
          <w:color w:val="000000"/>
        </w:rPr>
        <w:t xml:space="preserve">lack of an identified responsible LEA during the </w:t>
      </w:r>
      <w:r w:rsidR="003E6182">
        <w:rPr>
          <w:rFonts w:ascii="Aptos" w:eastAsia="Times New Roman" w:hAnsi="Aptos" w:cs="Times New Roman"/>
          <w:bCs/>
          <w:color w:val="000000"/>
        </w:rPr>
        <w:t xml:space="preserve">relevant timeframe </w:t>
      </w:r>
      <w:r w:rsidR="00D60552" w:rsidRPr="00856989">
        <w:rPr>
          <w:rFonts w:ascii="Aptos" w:eastAsia="Times New Roman" w:hAnsi="Aptos" w:cs="Times New Roman"/>
          <w:bCs/>
          <w:color w:val="000000"/>
        </w:rPr>
        <w:t xml:space="preserve">in that matter, had failed to </w:t>
      </w:r>
      <w:r w:rsidR="006337B3" w:rsidRPr="00856989">
        <w:rPr>
          <w:rFonts w:ascii="Aptos" w:eastAsia="Times New Roman" w:hAnsi="Aptos" w:cs="Times New Roman"/>
          <w:bCs/>
          <w:color w:val="000000"/>
        </w:rPr>
        <w:t>assign</w:t>
      </w:r>
      <w:r w:rsidR="00D60552" w:rsidRPr="00856989">
        <w:rPr>
          <w:rFonts w:ascii="Aptos" w:eastAsia="Times New Roman" w:hAnsi="Aptos" w:cs="Times New Roman"/>
          <w:bCs/>
          <w:color w:val="000000"/>
        </w:rPr>
        <w:t xml:space="preserve"> a responsible LEA</w:t>
      </w:r>
      <w:r w:rsidR="003B0DC8" w:rsidRPr="00856989">
        <w:rPr>
          <w:rFonts w:ascii="Aptos" w:eastAsia="Times New Roman" w:hAnsi="Aptos" w:cs="Times New Roman"/>
          <w:bCs/>
          <w:color w:val="000000"/>
        </w:rPr>
        <w:t xml:space="preserve"> despite being requested to do so</w:t>
      </w:r>
      <w:r w:rsidR="00D60552" w:rsidRPr="00856989">
        <w:rPr>
          <w:rFonts w:ascii="Aptos" w:eastAsia="Times New Roman" w:hAnsi="Aptos" w:cs="Times New Roman"/>
          <w:bCs/>
          <w:color w:val="000000"/>
        </w:rPr>
        <w:t xml:space="preserve">, </w:t>
      </w:r>
      <w:r w:rsidR="006337B3" w:rsidRPr="00856989">
        <w:rPr>
          <w:rFonts w:ascii="Aptos" w:eastAsia="Times New Roman" w:hAnsi="Aptos" w:cs="Times New Roman"/>
          <w:bCs/>
          <w:color w:val="000000"/>
        </w:rPr>
        <w:t xml:space="preserve">and had provided Student with tutoring services </w:t>
      </w:r>
      <w:r w:rsidR="00227C4C" w:rsidRPr="00856989">
        <w:rPr>
          <w:rFonts w:ascii="Aptos" w:eastAsia="Times New Roman" w:hAnsi="Aptos" w:cs="Times New Roman"/>
          <w:bCs/>
          <w:color w:val="000000"/>
        </w:rPr>
        <w:t xml:space="preserve">while also </w:t>
      </w:r>
      <w:r w:rsidR="00E1732D" w:rsidRPr="00856989">
        <w:rPr>
          <w:rFonts w:ascii="Aptos" w:eastAsia="Times New Roman" w:hAnsi="Aptos" w:cs="Times New Roman"/>
          <w:bCs/>
          <w:color w:val="000000"/>
        </w:rPr>
        <w:t>refusing to develop an IEP for her</w:t>
      </w:r>
      <w:r w:rsidR="00F154F6" w:rsidRPr="00856989">
        <w:rPr>
          <w:rFonts w:ascii="Aptos" w:eastAsia="Times New Roman" w:hAnsi="Aptos" w:cs="Times New Roman"/>
          <w:bCs/>
          <w:color w:val="000000"/>
        </w:rPr>
        <w:t>)</w:t>
      </w:r>
      <w:r w:rsidR="00CD0448" w:rsidRPr="00856989">
        <w:rPr>
          <w:rFonts w:ascii="Aptos" w:hAnsi="Aptos"/>
        </w:rPr>
        <w:t>.</w:t>
      </w:r>
    </w:p>
  </w:footnote>
  <w:footnote w:id="23">
    <w:p w14:paraId="266BD0AB" w14:textId="1DECD77E" w:rsidR="00400228" w:rsidRPr="00856989" w:rsidRDefault="00400228">
      <w:pPr>
        <w:pStyle w:val="FootnoteText"/>
        <w:rPr>
          <w:rFonts w:ascii="Aptos" w:hAnsi="Aptos"/>
        </w:rPr>
      </w:pPr>
      <w:r w:rsidRPr="00856989">
        <w:rPr>
          <w:rStyle w:val="FootnoteReference"/>
          <w:rFonts w:ascii="Aptos" w:hAnsi="Aptos"/>
        </w:rPr>
        <w:footnoteRef/>
      </w:r>
      <w:r w:rsidRPr="00856989">
        <w:rPr>
          <w:rFonts w:ascii="Aptos" w:hAnsi="Aptos"/>
        </w:rPr>
        <w:t xml:space="preserve">   See </w:t>
      </w:r>
      <w:r w:rsidRPr="00856989">
        <w:rPr>
          <w:rFonts w:ascii="Aptos" w:eastAsia="Times New Roman" w:hAnsi="Aptos" w:cs="Times New Roman"/>
          <w:bCs/>
          <w:color w:val="000000"/>
        </w:rPr>
        <w:t>20 USC §1415(b)(6); M.G.L. c. 71B §2A</w:t>
      </w:r>
      <w:r w:rsidR="00515598" w:rsidRPr="00856989">
        <w:rPr>
          <w:rFonts w:ascii="Aptos" w:eastAsia="Times New Roman" w:hAnsi="Aptos" w:cs="Times New Roman"/>
          <w:bCs/>
          <w:color w:val="000000"/>
        </w:rPr>
        <w:t>.</w:t>
      </w:r>
    </w:p>
  </w:footnote>
  <w:footnote w:id="24">
    <w:p w14:paraId="3A68E53B" w14:textId="50C10E5D" w:rsidR="001C2525" w:rsidRPr="00856989" w:rsidRDefault="001C2525">
      <w:pPr>
        <w:pStyle w:val="FootnoteText"/>
        <w:rPr>
          <w:rFonts w:ascii="Aptos" w:hAnsi="Aptos"/>
        </w:rPr>
      </w:pPr>
      <w:r w:rsidRPr="00856989">
        <w:rPr>
          <w:rStyle w:val="FootnoteReference"/>
          <w:rFonts w:ascii="Aptos" w:hAnsi="Aptos"/>
        </w:rPr>
        <w:footnoteRef/>
      </w:r>
      <w:r w:rsidRPr="00856989">
        <w:rPr>
          <w:rFonts w:ascii="Aptos" w:hAnsi="Aptos"/>
        </w:rPr>
        <w:t xml:space="preserve">   </w:t>
      </w:r>
      <w:r w:rsidR="009F72D0" w:rsidRPr="00856989">
        <w:rPr>
          <w:rFonts w:ascii="Aptos" w:hAnsi="Aptos"/>
          <w:i/>
          <w:iCs/>
        </w:rPr>
        <w:t xml:space="preserve">BSEA Hearing Rules </w:t>
      </w:r>
      <w:r w:rsidR="00F17EC6" w:rsidRPr="00856989">
        <w:rPr>
          <w:rFonts w:ascii="Aptos" w:hAnsi="Aptos"/>
          <w:i/>
          <w:iCs/>
        </w:rPr>
        <w:t>I(J)</w:t>
      </w:r>
      <w:r w:rsidR="00024983" w:rsidRPr="00856989">
        <w:rPr>
          <w:rFonts w:ascii="Aptos" w:hAnsi="Aptos"/>
        </w:rPr>
        <w:t xml:space="preserve">; see </w:t>
      </w:r>
      <w:r w:rsidR="0052012D" w:rsidRPr="00856989">
        <w:rPr>
          <w:rFonts w:ascii="Aptos" w:hAnsi="Aptos"/>
          <w:i/>
          <w:iCs/>
        </w:rPr>
        <w:t>Letter to Anonymous</w:t>
      </w:r>
      <w:r w:rsidR="0052012D" w:rsidRPr="00856989">
        <w:rPr>
          <w:rFonts w:ascii="Aptos" w:hAnsi="Aptos"/>
        </w:rPr>
        <w:t>, 69 IDELR 189</w:t>
      </w:r>
      <w:r w:rsidR="00F17EC6" w:rsidRPr="00856989">
        <w:rPr>
          <w:rFonts w:ascii="Aptos" w:hAnsi="Aptos"/>
        </w:rPr>
        <w:t>.</w:t>
      </w:r>
    </w:p>
  </w:footnote>
  <w:footnote w:id="25">
    <w:p w14:paraId="5D7CD699" w14:textId="77777777" w:rsidR="00947293" w:rsidRPr="00024983" w:rsidRDefault="00947293" w:rsidP="00947293">
      <w:pPr>
        <w:pStyle w:val="FootnoteText"/>
        <w:rPr>
          <w:rFonts w:ascii="Aptos" w:hAnsi="Aptos" w:cs="Times New Roman"/>
        </w:rPr>
      </w:pPr>
      <w:r w:rsidRPr="00856989">
        <w:rPr>
          <w:rStyle w:val="FootnoteReference"/>
          <w:rFonts w:ascii="Aptos" w:hAnsi="Aptos" w:cs="Times New Roman"/>
        </w:rPr>
        <w:footnoteRef/>
      </w:r>
      <w:r w:rsidRPr="00856989">
        <w:rPr>
          <w:rFonts w:ascii="Aptos" w:hAnsi="Aptos" w:cs="Times New Roman"/>
        </w:rPr>
        <w:t xml:space="preserve">  </w:t>
      </w:r>
      <w:r w:rsidRPr="00856989">
        <w:rPr>
          <w:rFonts w:ascii="Aptos" w:hAnsi="Aptos" w:cs="Times New Roman"/>
          <w:i/>
          <w:iCs/>
        </w:rPr>
        <w:t>In Re:  Boston Public School District</w:t>
      </w:r>
      <w:r w:rsidRPr="00856989">
        <w:rPr>
          <w:rFonts w:ascii="Aptos" w:hAnsi="Aptos" w:cs="Times New Roman"/>
        </w:rPr>
        <w:t xml:space="preserve">, BSEA No. 02-4533 (Figueroa, 2002); see </w:t>
      </w:r>
      <w:r w:rsidRPr="00856989">
        <w:rPr>
          <w:rFonts w:ascii="Aptos" w:hAnsi="Aptos" w:cs="Times New Roman"/>
          <w:i/>
          <w:iCs/>
        </w:rPr>
        <w:t>In Re:  Acton-Boxborough Regional School District</w:t>
      </w:r>
      <w:r w:rsidRPr="00856989">
        <w:rPr>
          <w:rFonts w:ascii="Aptos" w:hAnsi="Aptos" w:cs="Times New Roman"/>
        </w:rPr>
        <w:t>, BSEA No. 1703770, 23 MSER 99 (Figueroa, 2017).</w:t>
      </w:r>
    </w:p>
  </w:footnote>
  <w:footnote w:id="26">
    <w:p w14:paraId="70295C52" w14:textId="7C4ECDF1" w:rsidR="00B37AB1" w:rsidRPr="00B37AB1" w:rsidRDefault="00B37AB1">
      <w:pPr>
        <w:pStyle w:val="FootnoteText"/>
      </w:pPr>
      <w:r w:rsidRPr="00B37AB1">
        <w:rPr>
          <w:rStyle w:val="FootnoteReference"/>
        </w:rPr>
        <w:footnoteRef/>
      </w:r>
      <w:r w:rsidRPr="00B37AB1">
        <w:t xml:space="preserve">   </w:t>
      </w:r>
      <w:r>
        <w:rPr>
          <w:rFonts w:ascii="Aptos" w:hAnsi="Aptos" w:cs="Times New Roman"/>
          <w:bCs/>
        </w:rPr>
        <w:t>C</w:t>
      </w:r>
      <w:r w:rsidRPr="00B37AB1">
        <w:rPr>
          <w:rFonts w:ascii="Aptos" w:hAnsi="Aptos" w:cs="Times New Roman"/>
          <w:bCs/>
        </w:rPr>
        <w:t xml:space="preserve">onsistent with its general supervision responsibilities and given the extensive unsuccessful placement search to date by the Parties, DESE is strongly advised to ensure that Student receives all DESE/DDS Program supports that DDS has identified he is eligible.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F34"/>
    <w:multiLevelType w:val="hybridMultilevel"/>
    <w:tmpl w:val="F37ED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053EE"/>
    <w:multiLevelType w:val="hybridMultilevel"/>
    <w:tmpl w:val="5192B0E6"/>
    <w:lvl w:ilvl="0" w:tplc="F98891C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1043680">
    <w:abstractNumId w:val="1"/>
  </w:num>
  <w:num w:numId="2" w16cid:durableId="75012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BC"/>
    <w:rsid w:val="00011766"/>
    <w:rsid w:val="00013D11"/>
    <w:rsid w:val="000213E0"/>
    <w:rsid w:val="000223CA"/>
    <w:rsid w:val="00024983"/>
    <w:rsid w:val="00031B0D"/>
    <w:rsid w:val="0003307B"/>
    <w:rsid w:val="000436C9"/>
    <w:rsid w:val="000440DD"/>
    <w:rsid w:val="00050334"/>
    <w:rsid w:val="00051B85"/>
    <w:rsid w:val="000572CE"/>
    <w:rsid w:val="0006138F"/>
    <w:rsid w:val="00081545"/>
    <w:rsid w:val="00082FD4"/>
    <w:rsid w:val="000836F9"/>
    <w:rsid w:val="000A5A2B"/>
    <w:rsid w:val="000B0667"/>
    <w:rsid w:val="000C0A17"/>
    <w:rsid w:val="000C5D21"/>
    <w:rsid w:val="000C7A57"/>
    <w:rsid w:val="000D087A"/>
    <w:rsid w:val="000D4AEC"/>
    <w:rsid w:val="000D51FF"/>
    <w:rsid w:val="000D644E"/>
    <w:rsid w:val="000E1B84"/>
    <w:rsid w:val="000E5111"/>
    <w:rsid w:val="000E5424"/>
    <w:rsid w:val="000F532E"/>
    <w:rsid w:val="00101AC4"/>
    <w:rsid w:val="00104454"/>
    <w:rsid w:val="00106071"/>
    <w:rsid w:val="001117BC"/>
    <w:rsid w:val="00121B37"/>
    <w:rsid w:val="00124DDB"/>
    <w:rsid w:val="001318FC"/>
    <w:rsid w:val="001429A2"/>
    <w:rsid w:val="00142F36"/>
    <w:rsid w:val="00144542"/>
    <w:rsid w:val="0015151D"/>
    <w:rsid w:val="00152439"/>
    <w:rsid w:val="00156910"/>
    <w:rsid w:val="00167167"/>
    <w:rsid w:val="00170EC8"/>
    <w:rsid w:val="00183055"/>
    <w:rsid w:val="00184F27"/>
    <w:rsid w:val="00196286"/>
    <w:rsid w:val="001A1FCD"/>
    <w:rsid w:val="001A29C0"/>
    <w:rsid w:val="001C0FF3"/>
    <w:rsid w:val="001C2525"/>
    <w:rsid w:val="001C6033"/>
    <w:rsid w:val="001D605E"/>
    <w:rsid w:val="001D663B"/>
    <w:rsid w:val="001D6A0E"/>
    <w:rsid w:val="001E0A9D"/>
    <w:rsid w:val="001E4F67"/>
    <w:rsid w:val="001E6467"/>
    <w:rsid w:val="001F1496"/>
    <w:rsid w:val="001F1B35"/>
    <w:rsid w:val="001F1DE4"/>
    <w:rsid w:val="001F30E7"/>
    <w:rsid w:val="001F46F3"/>
    <w:rsid w:val="001F5A8E"/>
    <w:rsid w:val="002036D5"/>
    <w:rsid w:val="0020559B"/>
    <w:rsid w:val="002068D2"/>
    <w:rsid w:val="002075BC"/>
    <w:rsid w:val="0021179C"/>
    <w:rsid w:val="00223B95"/>
    <w:rsid w:val="002276E3"/>
    <w:rsid w:val="00227C4C"/>
    <w:rsid w:val="0023424B"/>
    <w:rsid w:val="00235915"/>
    <w:rsid w:val="002437B6"/>
    <w:rsid w:val="002631E0"/>
    <w:rsid w:val="0027208C"/>
    <w:rsid w:val="002723E9"/>
    <w:rsid w:val="0027424F"/>
    <w:rsid w:val="00282FC6"/>
    <w:rsid w:val="00291070"/>
    <w:rsid w:val="00293B0D"/>
    <w:rsid w:val="00293B21"/>
    <w:rsid w:val="002A0BAC"/>
    <w:rsid w:val="002A46F9"/>
    <w:rsid w:val="002B5F28"/>
    <w:rsid w:val="002D331A"/>
    <w:rsid w:val="002D7045"/>
    <w:rsid w:val="002D733A"/>
    <w:rsid w:val="002E58EA"/>
    <w:rsid w:val="002E6038"/>
    <w:rsid w:val="002F118D"/>
    <w:rsid w:val="003015D2"/>
    <w:rsid w:val="00306576"/>
    <w:rsid w:val="00311935"/>
    <w:rsid w:val="00313CA0"/>
    <w:rsid w:val="00317467"/>
    <w:rsid w:val="003225C2"/>
    <w:rsid w:val="00323377"/>
    <w:rsid w:val="0033128F"/>
    <w:rsid w:val="003353CE"/>
    <w:rsid w:val="00335B64"/>
    <w:rsid w:val="00342CB4"/>
    <w:rsid w:val="003437DE"/>
    <w:rsid w:val="00365F96"/>
    <w:rsid w:val="00367E94"/>
    <w:rsid w:val="00373E8A"/>
    <w:rsid w:val="00376D99"/>
    <w:rsid w:val="00377FDB"/>
    <w:rsid w:val="00380BDC"/>
    <w:rsid w:val="00380F65"/>
    <w:rsid w:val="00382F37"/>
    <w:rsid w:val="00390963"/>
    <w:rsid w:val="00392642"/>
    <w:rsid w:val="00393499"/>
    <w:rsid w:val="0039638F"/>
    <w:rsid w:val="003A7C91"/>
    <w:rsid w:val="003B0087"/>
    <w:rsid w:val="003B0DC8"/>
    <w:rsid w:val="003C6E5C"/>
    <w:rsid w:val="003D4781"/>
    <w:rsid w:val="003D5881"/>
    <w:rsid w:val="003E24F2"/>
    <w:rsid w:val="003E4CCE"/>
    <w:rsid w:val="003E6182"/>
    <w:rsid w:val="003E6AC3"/>
    <w:rsid w:val="003F2FA3"/>
    <w:rsid w:val="003F53E3"/>
    <w:rsid w:val="003F6F39"/>
    <w:rsid w:val="003F7381"/>
    <w:rsid w:val="00400228"/>
    <w:rsid w:val="00401480"/>
    <w:rsid w:val="0040594F"/>
    <w:rsid w:val="004077BC"/>
    <w:rsid w:val="00411030"/>
    <w:rsid w:val="0041467B"/>
    <w:rsid w:val="004154F4"/>
    <w:rsid w:val="004215F1"/>
    <w:rsid w:val="0042389D"/>
    <w:rsid w:val="004477C9"/>
    <w:rsid w:val="004604AB"/>
    <w:rsid w:val="0046342C"/>
    <w:rsid w:val="00466B5B"/>
    <w:rsid w:val="004741F1"/>
    <w:rsid w:val="00480B8F"/>
    <w:rsid w:val="00486591"/>
    <w:rsid w:val="00486E85"/>
    <w:rsid w:val="00487B0F"/>
    <w:rsid w:val="00496EAD"/>
    <w:rsid w:val="00496F48"/>
    <w:rsid w:val="004A1CE4"/>
    <w:rsid w:val="004A2D13"/>
    <w:rsid w:val="004B0931"/>
    <w:rsid w:val="004B2A88"/>
    <w:rsid w:val="004B4B9E"/>
    <w:rsid w:val="004B5E88"/>
    <w:rsid w:val="004C074B"/>
    <w:rsid w:val="004D2D25"/>
    <w:rsid w:val="004E2E9B"/>
    <w:rsid w:val="004E3318"/>
    <w:rsid w:val="004F012F"/>
    <w:rsid w:val="004F3E38"/>
    <w:rsid w:val="004F5FDF"/>
    <w:rsid w:val="005077C2"/>
    <w:rsid w:val="00513504"/>
    <w:rsid w:val="005139B7"/>
    <w:rsid w:val="00515598"/>
    <w:rsid w:val="00517BFC"/>
    <w:rsid w:val="0052012D"/>
    <w:rsid w:val="00527CB4"/>
    <w:rsid w:val="00546AF5"/>
    <w:rsid w:val="00550F84"/>
    <w:rsid w:val="005535CA"/>
    <w:rsid w:val="00554A0F"/>
    <w:rsid w:val="005553C6"/>
    <w:rsid w:val="00556E6F"/>
    <w:rsid w:val="00557EEE"/>
    <w:rsid w:val="00560172"/>
    <w:rsid w:val="0056100B"/>
    <w:rsid w:val="0056213E"/>
    <w:rsid w:val="00564B23"/>
    <w:rsid w:val="0058515F"/>
    <w:rsid w:val="00590F7F"/>
    <w:rsid w:val="00594C8B"/>
    <w:rsid w:val="005A1352"/>
    <w:rsid w:val="005A3A02"/>
    <w:rsid w:val="005A7158"/>
    <w:rsid w:val="005C564B"/>
    <w:rsid w:val="005D03A3"/>
    <w:rsid w:val="005E1412"/>
    <w:rsid w:val="005F0C7C"/>
    <w:rsid w:val="005F2243"/>
    <w:rsid w:val="005F7E21"/>
    <w:rsid w:val="006029B9"/>
    <w:rsid w:val="00605334"/>
    <w:rsid w:val="0060655A"/>
    <w:rsid w:val="00615BD5"/>
    <w:rsid w:val="006337B3"/>
    <w:rsid w:val="00635479"/>
    <w:rsid w:val="006477B9"/>
    <w:rsid w:val="00684315"/>
    <w:rsid w:val="00691F7A"/>
    <w:rsid w:val="00695508"/>
    <w:rsid w:val="006964CA"/>
    <w:rsid w:val="006976F2"/>
    <w:rsid w:val="006A438A"/>
    <w:rsid w:val="006A5EC1"/>
    <w:rsid w:val="006B1684"/>
    <w:rsid w:val="006B2286"/>
    <w:rsid w:val="006B51AD"/>
    <w:rsid w:val="006F41D3"/>
    <w:rsid w:val="006F57E2"/>
    <w:rsid w:val="006F7201"/>
    <w:rsid w:val="007034A7"/>
    <w:rsid w:val="007049DE"/>
    <w:rsid w:val="007204BC"/>
    <w:rsid w:val="00726F6C"/>
    <w:rsid w:val="00732C23"/>
    <w:rsid w:val="00735507"/>
    <w:rsid w:val="0074548E"/>
    <w:rsid w:val="00746EBB"/>
    <w:rsid w:val="00747F59"/>
    <w:rsid w:val="00756FBC"/>
    <w:rsid w:val="00760175"/>
    <w:rsid w:val="00764C1A"/>
    <w:rsid w:val="0076695E"/>
    <w:rsid w:val="00782B40"/>
    <w:rsid w:val="00795979"/>
    <w:rsid w:val="007A2B5C"/>
    <w:rsid w:val="007A2EAB"/>
    <w:rsid w:val="007A5071"/>
    <w:rsid w:val="007A7714"/>
    <w:rsid w:val="007B15EF"/>
    <w:rsid w:val="007C0DA3"/>
    <w:rsid w:val="007C1BD9"/>
    <w:rsid w:val="007C7571"/>
    <w:rsid w:val="007D14AF"/>
    <w:rsid w:val="007E1E06"/>
    <w:rsid w:val="007F45F6"/>
    <w:rsid w:val="008006C7"/>
    <w:rsid w:val="00803208"/>
    <w:rsid w:val="008125F4"/>
    <w:rsid w:val="00816AC6"/>
    <w:rsid w:val="00822EE3"/>
    <w:rsid w:val="00827CAD"/>
    <w:rsid w:val="00835440"/>
    <w:rsid w:val="008376D7"/>
    <w:rsid w:val="008407FD"/>
    <w:rsid w:val="00843752"/>
    <w:rsid w:val="0084454F"/>
    <w:rsid w:val="00851B1F"/>
    <w:rsid w:val="00856989"/>
    <w:rsid w:val="00862A1B"/>
    <w:rsid w:val="00863777"/>
    <w:rsid w:val="00863D7A"/>
    <w:rsid w:val="0086636F"/>
    <w:rsid w:val="0087038F"/>
    <w:rsid w:val="00874899"/>
    <w:rsid w:val="00890FD7"/>
    <w:rsid w:val="008A11FA"/>
    <w:rsid w:val="008A3CA8"/>
    <w:rsid w:val="008A688C"/>
    <w:rsid w:val="008A7465"/>
    <w:rsid w:val="008B0F67"/>
    <w:rsid w:val="008C4993"/>
    <w:rsid w:val="008C4D28"/>
    <w:rsid w:val="008C538B"/>
    <w:rsid w:val="008D0729"/>
    <w:rsid w:val="008D4EA6"/>
    <w:rsid w:val="008D56D3"/>
    <w:rsid w:val="008F1873"/>
    <w:rsid w:val="008F1BDC"/>
    <w:rsid w:val="008F4103"/>
    <w:rsid w:val="00904C2A"/>
    <w:rsid w:val="00914A59"/>
    <w:rsid w:val="00931728"/>
    <w:rsid w:val="0094117A"/>
    <w:rsid w:val="009419DB"/>
    <w:rsid w:val="00947293"/>
    <w:rsid w:val="009576AE"/>
    <w:rsid w:val="00964A27"/>
    <w:rsid w:val="00966808"/>
    <w:rsid w:val="00966F65"/>
    <w:rsid w:val="009800E8"/>
    <w:rsid w:val="009862EE"/>
    <w:rsid w:val="00986A3B"/>
    <w:rsid w:val="00991D5C"/>
    <w:rsid w:val="009957F7"/>
    <w:rsid w:val="00995FBE"/>
    <w:rsid w:val="009A3C8E"/>
    <w:rsid w:val="009A5640"/>
    <w:rsid w:val="009B087D"/>
    <w:rsid w:val="009B329E"/>
    <w:rsid w:val="009D13F8"/>
    <w:rsid w:val="009D5BC5"/>
    <w:rsid w:val="009E5256"/>
    <w:rsid w:val="009F6588"/>
    <w:rsid w:val="009F72D0"/>
    <w:rsid w:val="00A03E39"/>
    <w:rsid w:val="00A127FD"/>
    <w:rsid w:val="00A15A68"/>
    <w:rsid w:val="00A37349"/>
    <w:rsid w:val="00A37530"/>
    <w:rsid w:val="00A37946"/>
    <w:rsid w:val="00A41873"/>
    <w:rsid w:val="00A53426"/>
    <w:rsid w:val="00A60BE8"/>
    <w:rsid w:val="00A637D9"/>
    <w:rsid w:val="00A64565"/>
    <w:rsid w:val="00A65A42"/>
    <w:rsid w:val="00A766D0"/>
    <w:rsid w:val="00A77749"/>
    <w:rsid w:val="00A93285"/>
    <w:rsid w:val="00AA106D"/>
    <w:rsid w:val="00AA4815"/>
    <w:rsid w:val="00AA5DF8"/>
    <w:rsid w:val="00AB4521"/>
    <w:rsid w:val="00AC023D"/>
    <w:rsid w:val="00AC5BD4"/>
    <w:rsid w:val="00AD5836"/>
    <w:rsid w:val="00AE35ED"/>
    <w:rsid w:val="00AE3DD9"/>
    <w:rsid w:val="00B064B6"/>
    <w:rsid w:val="00B10169"/>
    <w:rsid w:val="00B14AD3"/>
    <w:rsid w:val="00B15A5E"/>
    <w:rsid w:val="00B2240E"/>
    <w:rsid w:val="00B22F57"/>
    <w:rsid w:val="00B32335"/>
    <w:rsid w:val="00B37AB1"/>
    <w:rsid w:val="00B50485"/>
    <w:rsid w:val="00B50639"/>
    <w:rsid w:val="00B77258"/>
    <w:rsid w:val="00B83483"/>
    <w:rsid w:val="00B83716"/>
    <w:rsid w:val="00BA0F57"/>
    <w:rsid w:val="00BC631D"/>
    <w:rsid w:val="00BC7230"/>
    <w:rsid w:val="00BD0054"/>
    <w:rsid w:val="00BD4F84"/>
    <w:rsid w:val="00BD619B"/>
    <w:rsid w:val="00BE6B72"/>
    <w:rsid w:val="00BF0053"/>
    <w:rsid w:val="00BF1E97"/>
    <w:rsid w:val="00BF2562"/>
    <w:rsid w:val="00BF6184"/>
    <w:rsid w:val="00C06B87"/>
    <w:rsid w:val="00C078D5"/>
    <w:rsid w:val="00C1450C"/>
    <w:rsid w:val="00C25D2F"/>
    <w:rsid w:val="00C2650F"/>
    <w:rsid w:val="00C31017"/>
    <w:rsid w:val="00C315EA"/>
    <w:rsid w:val="00C421DE"/>
    <w:rsid w:val="00C447AA"/>
    <w:rsid w:val="00C5681C"/>
    <w:rsid w:val="00C64CD3"/>
    <w:rsid w:val="00C674FF"/>
    <w:rsid w:val="00C7072E"/>
    <w:rsid w:val="00C866CF"/>
    <w:rsid w:val="00C86783"/>
    <w:rsid w:val="00C9013F"/>
    <w:rsid w:val="00C91EC2"/>
    <w:rsid w:val="00CA6945"/>
    <w:rsid w:val="00CB2295"/>
    <w:rsid w:val="00CC193F"/>
    <w:rsid w:val="00CC2D3F"/>
    <w:rsid w:val="00CC2FC4"/>
    <w:rsid w:val="00CC4233"/>
    <w:rsid w:val="00CD0448"/>
    <w:rsid w:val="00CD20FB"/>
    <w:rsid w:val="00CD2F26"/>
    <w:rsid w:val="00CF160E"/>
    <w:rsid w:val="00CF7327"/>
    <w:rsid w:val="00D00D1A"/>
    <w:rsid w:val="00D0278D"/>
    <w:rsid w:val="00D02BE0"/>
    <w:rsid w:val="00D04EB4"/>
    <w:rsid w:val="00D062D3"/>
    <w:rsid w:val="00D07822"/>
    <w:rsid w:val="00D24773"/>
    <w:rsid w:val="00D2771A"/>
    <w:rsid w:val="00D34890"/>
    <w:rsid w:val="00D35586"/>
    <w:rsid w:val="00D35738"/>
    <w:rsid w:val="00D35F66"/>
    <w:rsid w:val="00D36368"/>
    <w:rsid w:val="00D43206"/>
    <w:rsid w:val="00D43995"/>
    <w:rsid w:val="00D60552"/>
    <w:rsid w:val="00D62FF1"/>
    <w:rsid w:val="00D663F0"/>
    <w:rsid w:val="00D816A8"/>
    <w:rsid w:val="00D841E2"/>
    <w:rsid w:val="00D939CF"/>
    <w:rsid w:val="00D96F5E"/>
    <w:rsid w:val="00DA7A05"/>
    <w:rsid w:val="00DB0C8B"/>
    <w:rsid w:val="00DB27B1"/>
    <w:rsid w:val="00DC72DA"/>
    <w:rsid w:val="00DE223F"/>
    <w:rsid w:val="00DE7F2F"/>
    <w:rsid w:val="00DF052C"/>
    <w:rsid w:val="00DF1BD6"/>
    <w:rsid w:val="00DF264E"/>
    <w:rsid w:val="00DF50BF"/>
    <w:rsid w:val="00DF6FF6"/>
    <w:rsid w:val="00E00A7A"/>
    <w:rsid w:val="00E0414E"/>
    <w:rsid w:val="00E05AC4"/>
    <w:rsid w:val="00E1732D"/>
    <w:rsid w:val="00E23691"/>
    <w:rsid w:val="00E25421"/>
    <w:rsid w:val="00E277D8"/>
    <w:rsid w:val="00E347DA"/>
    <w:rsid w:val="00E36879"/>
    <w:rsid w:val="00E416B4"/>
    <w:rsid w:val="00E423BE"/>
    <w:rsid w:val="00E457CF"/>
    <w:rsid w:val="00E612B9"/>
    <w:rsid w:val="00E64714"/>
    <w:rsid w:val="00E7575B"/>
    <w:rsid w:val="00E76F20"/>
    <w:rsid w:val="00E82E67"/>
    <w:rsid w:val="00E84324"/>
    <w:rsid w:val="00E8605C"/>
    <w:rsid w:val="00E86267"/>
    <w:rsid w:val="00E90207"/>
    <w:rsid w:val="00EA3ACC"/>
    <w:rsid w:val="00EA6DC6"/>
    <w:rsid w:val="00EB0A14"/>
    <w:rsid w:val="00EB17B6"/>
    <w:rsid w:val="00EB18E5"/>
    <w:rsid w:val="00EC47EF"/>
    <w:rsid w:val="00EE4401"/>
    <w:rsid w:val="00EF2D79"/>
    <w:rsid w:val="00EF3F87"/>
    <w:rsid w:val="00EF4171"/>
    <w:rsid w:val="00EF43AA"/>
    <w:rsid w:val="00F0165D"/>
    <w:rsid w:val="00F044A2"/>
    <w:rsid w:val="00F13B9C"/>
    <w:rsid w:val="00F142F8"/>
    <w:rsid w:val="00F154F6"/>
    <w:rsid w:val="00F17EC6"/>
    <w:rsid w:val="00F22CC0"/>
    <w:rsid w:val="00F23198"/>
    <w:rsid w:val="00F347B3"/>
    <w:rsid w:val="00F35CBB"/>
    <w:rsid w:val="00F43DF8"/>
    <w:rsid w:val="00F446F2"/>
    <w:rsid w:val="00F44F24"/>
    <w:rsid w:val="00F52A7D"/>
    <w:rsid w:val="00F64493"/>
    <w:rsid w:val="00F66B02"/>
    <w:rsid w:val="00F720E8"/>
    <w:rsid w:val="00F83D0E"/>
    <w:rsid w:val="00F87F7D"/>
    <w:rsid w:val="00F90E54"/>
    <w:rsid w:val="00FA0104"/>
    <w:rsid w:val="00FB09E6"/>
    <w:rsid w:val="00FC0D91"/>
    <w:rsid w:val="00FC16EC"/>
    <w:rsid w:val="00FD3134"/>
    <w:rsid w:val="00FD55C9"/>
    <w:rsid w:val="00FD7C9B"/>
    <w:rsid w:val="00FF752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3D950F"/>
  <w15:chartTrackingRefBased/>
  <w15:docId w15:val="{C61202B7-8FA4-429C-9EBC-B8B99F3E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7BC"/>
    <w:rPr>
      <w:rFonts w:eastAsiaTheme="minorHAnsi"/>
      <w:szCs w:val="24"/>
      <w:lang w:eastAsia="en-US" w:bidi="ar-SA"/>
    </w:rPr>
  </w:style>
  <w:style w:type="paragraph" w:styleId="Heading1">
    <w:name w:val="heading 1"/>
    <w:basedOn w:val="Normal"/>
    <w:next w:val="Normal"/>
    <w:link w:val="Heading1Char"/>
    <w:uiPriority w:val="9"/>
    <w:qFormat/>
    <w:rsid w:val="001117B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117B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117BC"/>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11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7B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117B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117B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11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7BC"/>
    <w:rPr>
      <w:rFonts w:eastAsiaTheme="majorEastAsia" w:cstheme="majorBidi"/>
      <w:color w:val="272727" w:themeColor="text1" w:themeTint="D8"/>
    </w:rPr>
  </w:style>
  <w:style w:type="paragraph" w:styleId="Title">
    <w:name w:val="Title"/>
    <w:basedOn w:val="Normal"/>
    <w:next w:val="Normal"/>
    <w:link w:val="TitleChar"/>
    <w:uiPriority w:val="10"/>
    <w:qFormat/>
    <w:rsid w:val="001117B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117B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117B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117B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117BC"/>
    <w:pPr>
      <w:spacing w:before="160"/>
      <w:jc w:val="center"/>
    </w:pPr>
    <w:rPr>
      <w:i/>
      <w:iCs/>
      <w:color w:val="404040" w:themeColor="text1" w:themeTint="BF"/>
    </w:rPr>
  </w:style>
  <w:style w:type="character" w:customStyle="1" w:styleId="QuoteChar">
    <w:name w:val="Quote Char"/>
    <w:basedOn w:val="DefaultParagraphFont"/>
    <w:link w:val="Quote"/>
    <w:uiPriority w:val="29"/>
    <w:rsid w:val="001117BC"/>
    <w:rPr>
      <w:i/>
      <w:iCs/>
      <w:color w:val="404040" w:themeColor="text1" w:themeTint="BF"/>
    </w:rPr>
  </w:style>
  <w:style w:type="paragraph" w:styleId="ListParagraph">
    <w:name w:val="List Paragraph"/>
    <w:basedOn w:val="Normal"/>
    <w:uiPriority w:val="34"/>
    <w:qFormat/>
    <w:rsid w:val="001117BC"/>
    <w:pPr>
      <w:ind w:left="720"/>
      <w:contextualSpacing/>
    </w:pPr>
  </w:style>
  <w:style w:type="character" w:styleId="IntenseEmphasis">
    <w:name w:val="Intense Emphasis"/>
    <w:basedOn w:val="DefaultParagraphFont"/>
    <w:uiPriority w:val="21"/>
    <w:qFormat/>
    <w:rsid w:val="001117BC"/>
    <w:rPr>
      <w:i/>
      <w:iCs/>
      <w:color w:val="0F4761" w:themeColor="accent1" w:themeShade="BF"/>
    </w:rPr>
  </w:style>
  <w:style w:type="paragraph" w:styleId="IntenseQuote">
    <w:name w:val="Intense Quote"/>
    <w:basedOn w:val="Normal"/>
    <w:next w:val="Normal"/>
    <w:link w:val="IntenseQuoteChar"/>
    <w:uiPriority w:val="30"/>
    <w:qFormat/>
    <w:rsid w:val="00111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7BC"/>
    <w:rPr>
      <w:i/>
      <w:iCs/>
      <w:color w:val="0F4761" w:themeColor="accent1" w:themeShade="BF"/>
    </w:rPr>
  </w:style>
  <w:style w:type="character" w:styleId="IntenseReference">
    <w:name w:val="Intense Reference"/>
    <w:basedOn w:val="DefaultParagraphFont"/>
    <w:uiPriority w:val="32"/>
    <w:qFormat/>
    <w:rsid w:val="001117BC"/>
    <w:rPr>
      <w:b/>
      <w:bCs/>
      <w:smallCaps/>
      <w:color w:val="0F4761" w:themeColor="accent1" w:themeShade="BF"/>
      <w:spacing w:val="5"/>
    </w:rPr>
  </w:style>
  <w:style w:type="paragraph" w:styleId="FootnoteText">
    <w:name w:val="footnote text"/>
    <w:basedOn w:val="Normal"/>
    <w:link w:val="FootnoteTextChar"/>
    <w:uiPriority w:val="99"/>
    <w:unhideWhenUsed/>
    <w:rsid w:val="001117BC"/>
    <w:pPr>
      <w:spacing w:after="0" w:line="240" w:lineRule="auto"/>
    </w:pPr>
    <w:rPr>
      <w:sz w:val="20"/>
      <w:szCs w:val="20"/>
    </w:rPr>
  </w:style>
  <w:style w:type="character" w:customStyle="1" w:styleId="FootnoteTextChar">
    <w:name w:val="Footnote Text Char"/>
    <w:basedOn w:val="DefaultParagraphFont"/>
    <w:link w:val="FootnoteText"/>
    <w:uiPriority w:val="99"/>
    <w:rsid w:val="001117BC"/>
    <w:rPr>
      <w:rFonts w:eastAsiaTheme="minorHAnsi"/>
      <w:sz w:val="20"/>
      <w:szCs w:val="20"/>
      <w:lang w:eastAsia="en-US" w:bidi="ar-SA"/>
    </w:rPr>
  </w:style>
  <w:style w:type="character" w:styleId="FootnoteReference">
    <w:name w:val="footnote reference"/>
    <w:basedOn w:val="DefaultParagraphFont"/>
    <w:uiPriority w:val="99"/>
    <w:unhideWhenUsed/>
    <w:rsid w:val="001117BC"/>
    <w:rPr>
      <w:vertAlign w:val="superscript"/>
    </w:rPr>
  </w:style>
  <w:style w:type="paragraph" w:styleId="Header">
    <w:name w:val="header"/>
    <w:basedOn w:val="Normal"/>
    <w:link w:val="HeaderChar"/>
    <w:uiPriority w:val="99"/>
    <w:unhideWhenUsed/>
    <w:rsid w:val="00207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5BC"/>
    <w:rPr>
      <w:rFonts w:eastAsiaTheme="minorHAnsi"/>
      <w:szCs w:val="24"/>
      <w:lang w:eastAsia="en-US" w:bidi="ar-SA"/>
    </w:rPr>
  </w:style>
  <w:style w:type="paragraph" w:styleId="Footer">
    <w:name w:val="footer"/>
    <w:basedOn w:val="Normal"/>
    <w:link w:val="FooterChar"/>
    <w:uiPriority w:val="99"/>
    <w:unhideWhenUsed/>
    <w:rsid w:val="00207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5BC"/>
    <w:rPr>
      <w:rFonts w:eastAsiaTheme="minorHAnsi"/>
      <w:szCs w:val="24"/>
      <w:lang w:eastAsia="en-US" w:bidi="ar-SA"/>
    </w:rPr>
  </w:style>
  <w:style w:type="character" w:styleId="Hyperlink">
    <w:name w:val="Hyperlink"/>
    <w:basedOn w:val="DefaultParagraphFont"/>
    <w:uiPriority w:val="99"/>
    <w:unhideWhenUsed/>
    <w:rsid w:val="00AB4521"/>
    <w:rPr>
      <w:color w:val="467886" w:themeColor="hyperlink"/>
      <w:u w:val="single"/>
    </w:rPr>
  </w:style>
  <w:style w:type="character" w:styleId="UnresolvedMention">
    <w:name w:val="Unresolved Mention"/>
    <w:basedOn w:val="DefaultParagraphFont"/>
    <w:uiPriority w:val="99"/>
    <w:semiHidden/>
    <w:unhideWhenUsed/>
    <w:rsid w:val="00AB4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3035">
      <w:bodyDiv w:val="1"/>
      <w:marLeft w:val="0"/>
      <w:marRight w:val="0"/>
      <w:marTop w:val="0"/>
      <w:marBottom w:val="0"/>
      <w:divBdr>
        <w:top w:val="none" w:sz="0" w:space="0" w:color="auto"/>
        <w:left w:val="none" w:sz="0" w:space="0" w:color="auto"/>
        <w:bottom w:val="none" w:sz="0" w:space="0" w:color="auto"/>
        <w:right w:val="none" w:sz="0" w:space="0" w:color="auto"/>
      </w:divBdr>
      <w:divsChild>
        <w:div w:id="2014605790">
          <w:marLeft w:val="0"/>
          <w:marRight w:val="0"/>
          <w:marTop w:val="0"/>
          <w:marBottom w:val="0"/>
          <w:divBdr>
            <w:top w:val="none" w:sz="0" w:space="0" w:color="3D3D3D"/>
            <w:left w:val="none" w:sz="0" w:space="0" w:color="3D3D3D"/>
            <w:bottom w:val="none" w:sz="0" w:space="0" w:color="3D3D3D"/>
            <w:right w:val="none" w:sz="0" w:space="0" w:color="3D3D3D"/>
          </w:divBdr>
          <w:divsChild>
            <w:div w:id="6736094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0630814">
      <w:bodyDiv w:val="1"/>
      <w:marLeft w:val="0"/>
      <w:marRight w:val="0"/>
      <w:marTop w:val="0"/>
      <w:marBottom w:val="0"/>
      <w:divBdr>
        <w:top w:val="none" w:sz="0" w:space="0" w:color="auto"/>
        <w:left w:val="none" w:sz="0" w:space="0" w:color="auto"/>
        <w:bottom w:val="none" w:sz="0" w:space="0" w:color="auto"/>
        <w:right w:val="none" w:sz="0" w:space="0" w:color="auto"/>
      </w:divBdr>
    </w:div>
    <w:div w:id="512915243">
      <w:bodyDiv w:val="1"/>
      <w:marLeft w:val="0"/>
      <w:marRight w:val="0"/>
      <w:marTop w:val="0"/>
      <w:marBottom w:val="0"/>
      <w:divBdr>
        <w:top w:val="none" w:sz="0" w:space="0" w:color="auto"/>
        <w:left w:val="none" w:sz="0" w:space="0" w:color="auto"/>
        <w:bottom w:val="none" w:sz="0" w:space="0" w:color="auto"/>
        <w:right w:val="none" w:sz="0" w:space="0" w:color="auto"/>
      </w:divBdr>
      <w:divsChild>
        <w:div w:id="105197205">
          <w:marLeft w:val="0"/>
          <w:marRight w:val="0"/>
          <w:marTop w:val="0"/>
          <w:marBottom w:val="0"/>
          <w:divBdr>
            <w:top w:val="none" w:sz="0" w:space="0" w:color="3D3D3D"/>
            <w:left w:val="none" w:sz="0" w:space="0" w:color="3D3D3D"/>
            <w:bottom w:val="none" w:sz="0" w:space="0" w:color="3D3D3D"/>
            <w:right w:val="none" w:sz="0" w:space="0" w:color="3D3D3D"/>
          </w:divBdr>
          <w:divsChild>
            <w:div w:id="2948717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81946231">
      <w:bodyDiv w:val="1"/>
      <w:marLeft w:val="0"/>
      <w:marRight w:val="0"/>
      <w:marTop w:val="0"/>
      <w:marBottom w:val="0"/>
      <w:divBdr>
        <w:top w:val="none" w:sz="0" w:space="0" w:color="auto"/>
        <w:left w:val="none" w:sz="0" w:space="0" w:color="auto"/>
        <w:bottom w:val="none" w:sz="0" w:space="0" w:color="auto"/>
        <w:right w:val="none" w:sz="0" w:space="0" w:color="auto"/>
      </w:divBdr>
      <w:divsChild>
        <w:div w:id="1305428901">
          <w:marLeft w:val="0"/>
          <w:marRight w:val="0"/>
          <w:marTop w:val="0"/>
          <w:marBottom w:val="0"/>
          <w:divBdr>
            <w:top w:val="none" w:sz="0" w:space="0" w:color="3D3D3D"/>
            <w:left w:val="none" w:sz="0" w:space="0" w:color="3D3D3D"/>
            <w:bottom w:val="none" w:sz="0" w:space="0" w:color="3D3D3D"/>
            <w:right w:val="none" w:sz="0" w:space="0" w:color="3D3D3D"/>
          </w:divBdr>
          <w:divsChild>
            <w:div w:id="13994047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99624930">
      <w:bodyDiv w:val="1"/>
      <w:marLeft w:val="0"/>
      <w:marRight w:val="0"/>
      <w:marTop w:val="0"/>
      <w:marBottom w:val="0"/>
      <w:divBdr>
        <w:top w:val="none" w:sz="0" w:space="0" w:color="auto"/>
        <w:left w:val="none" w:sz="0" w:space="0" w:color="auto"/>
        <w:bottom w:val="none" w:sz="0" w:space="0" w:color="auto"/>
        <w:right w:val="none" w:sz="0" w:space="0" w:color="auto"/>
      </w:divBdr>
      <w:divsChild>
        <w:div w:id="1575972276">
          <w:marLeft w:val="0"/>
          <w:marRight w:val="0"/>
          <w:marTop w:val="0"/>
          <w:marBottom w:val="0"/>
          <w:divBdr>
            <w:top w:val="none" w:sz="0" w:space="0" w:color="3D3D3D"/>
            <w:left w:val="none" w:sz="0" w:space="0" w:color="3D3D3D"/>
            <w:bottom w:val="none" w:sz="0" w:space="0" w:color="3D3D3D"/>
            <w:right w:val="none" w:sz="0" w:space="0" w:color="3D3D3D"/>
          </w:divBdr>
          <w:divsChild>
            <w:div w:id="17738190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31511353">
      <w:bodyDiv w:val="1"/>
      <w:marLeft w:val="0"/>
      <w:marRight w:val="0"/>
      <w:marTop w:val="0"/>
      <w:marBottom w:val="0"/>
      <w:divBdr>
        <w:top w:val="none" w:sz="0" w:space="0" w:color="auto"/>
        <w:left w:val="none" w:sz="0" w:space="0" w:color="auto"/>
        <w:bottom w:val="none" w:sz="0" w:space="0" w:color="auto"/>
        <w:right w:val="none" w:sz="0" w:space="0" w:color="auto"/>
      </w:divBdr>
      <w:divsChild>
        <w:div w:id="900752693">
          <w:marLeft w:val="0"/>
          <w:marRight w:val="0"/>
          <w:marTop w:val="0"/>
          <w:marBottom w:val="0"/>
          <w:divBdr>
            <w:top w:val="none" w:sz="0" w:space="0" w:color="3D3D3D"/>
            <w:left w:val="none" w:sz="0" w:space="0" w:color="3D3D3D"/>
            <w:bottom w:val="none" w:sz="0" w:space="0" w:color="3D3D3D"/>
            <w:right w:val="none" w:sz="0" w:space="0" w:color="3D3D3D"/>
          </w:divBdr>
          <w:divsChild>
            <w:div w:id="11431622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6940058">
      <w:bodyDiv w:val="1"/>
      <w:marLeft w:val="0"/>
      <w:marRight w:val="0"/>
      <w:marTop w:val="0"/>
      <w:marBottom w:val="0"/>
      <w:divBdr>
        <w:top w:val="none" w:sz="0" w:space="0" w:color="auto"/>
        <w:left w:val="none" w:sz="0" w:space="0" w:color="auto"/>
        <w:bottom w:val="none" w:sz="0" w:space="0" w:color="auto"/>
        <w:right w:val="none" w:sz="0" w:space="0" w:color="auto"/>
      </w:divBdr>
    </w:div>
    <w:div w:id="1597863376">
      <w:bodyDiv w:val="1"/>
      <w:marLeft w:val="0"/>
      <w:marRight w:val="0"/>
      <w:marTop w:val="0"/>
      <w:marBottom w:val="0"/>
      <w:divBdr>
        <w:top w:val="none" w:sz="0" w:space="0" w:color="auto"/>
        <w:left w:val="none" w:sz="0" w:space="0" w:color="auto"/>
        <w:bottom w:val="none" w:sz="0" w:space="0" w:color="auto"/>
        <w:right w:val="none" w:sz="0" w:space="0" w:color="auto"/>
      </w:divBdr>
      <w:divsChild>
        <w:div w:id="1248684702">
          <w:marLeft w:val="0"/>
          <w:marRight w:val="0"/>
          <w:marTop w:val="0"/>
          <w:marBottom w:val="0"/>
          <w:divBdr>
            <w:top w:val="none" w:sz="0" w:space="0" w:color="3D3D3D"/>
            <w:left w:val="none" w:sz="0" w:space="0" w:color="3D3D3D"/>
            <w:bottom w:val="none" w:sz="0" w:space="0" w:color="3D3D3D"/>
            <w:right w:val="none" w:sz="0" w:space="0" w:color="3D3D3D"/>
          </w:divBdr>
          <w:divsChild>
            <w:div w:id="3757437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5348223">
      <w:bodyDiv w:val="1"/>
      <w:marLeft w:val="0"/>
      <w:marRight w:val="0"/>
      <w:marTop w:val="0"/>
      <w:marBottom w:val="0"/>
      <w:divBdr>
        <w:top w:val="none" w:sz="0" w:space="0" w:color="auto"/>
        <w:left w:val="none" w:sz="0" w:space="0" w:color="auto"/>
        <w:bottom w:val="none" w:sz="0" w:space="0" w:color="auto"/>
        <w:right w:val="none" w:sz="0" w:space="0" w:color="auto"/>
      </w:divBdr>
      <w:divsChild>
        <w:div w:id="898593926">
          <w:marLeft w:val="0"/>
          <w:marRight w:val="0"/>
          <w:marTop w:val="0"/>
          <w:marBottom w:val="0"/>
          <w:divBdr>
            <w:top w:val="none" w:sz="0" w:space="0" w:color="3D3D3D"/>
            <w:left w:val="none" w:sz="0" w:space="0" w:color="3D3D3D"/>
            <w:bottom w:val="none" w:sz="0" w:space="0" w:color="3D3D3D"/>
            <w:right w:val="none" w:sz="0" w:space="0" w:color="3D3D3D"/>
          </w:divBdr>
          <w:divsChild>
            <w:div w:id="19554030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78162062">
      <w:bodyDiv w:val="1"/>
      <w:marLeft w:val="0"/>
      <w:marRight w:val="0"/>
      <w:marTop w:val="0"/>
      <w:marBottom w:val="0"/>
      <w:divBdr>
        <w:top w:val="none" w:sz="0" w:space="0" w:color="auto"/>
        <w:left w:val="none" w:sz="0" w:space="0" w:color="auto"/>
        <w:bottom w:val="none" w:sz="0" w:space="0" w:color="auto"/>
        <w:right w:val="none" w:sz="0" w:space="0" w:color="auto"/>
      </w:divBdr>
      <w:divsChild>
        <w:div w:id="35325392">
          <w:marLeft w:val="0"/>
          <w:marRight w:val="0"/>
          <w:marTop w:val="0"/>
          <w:marBottom w:val="0"/>
          <w:divBdr>
            <w:top w:val="none" w:sz="0" w:space="0" w:color="3D3D3D"/>
            <w:left w:val="none" w:sz="0" w:space="0" w:color="3D3D3D"/>
            <w:bottom w:val="none" w:sz="0" w:space="0" w:color="3D3D3D"/>
            <w:right w:val="none" w:sz="0" w:space="0" w:color="3D3D3D"/>
          </w:divBdr>
          <w:divsChild>
            <w:div w:id="5421378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C1FF0-B92F-493C-82A9-48E36597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TotalTime>
  <Pages>8</Pages>
  <Words>2729</Words>
  <Characters>14140</Characters>
  <Application>Microsoft Office Word</Application>
  <DocSecurity>0</DocSecurity>
  <Lines>257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464</cp:revision>
  <dcterms:created xsi:type="dcterms:W3CDTF">2025-03-10T20:10:00Z</dcterms:created>
  <dcterms:modified xsi:type="dcterms:W3CDTF">2025-03-19T20:55:00Z</dcterms:modified>
</cp:coreProperties>
</file>