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42D4D" w14:textId="4A36607A" w:rsidR="00273F04" w:rsidRPr="00273F04" w:rsidRDefault="00273F04" w:rsidP="00273F04">
      <w:pPr>
        <w:jc w:val="center"/>
        <w:rPr>
          <w:b/>
          <w:bCs/>
        </w:rPr>
      </w:pPr>
      <w:r w:rsidRPr="00273F04">
        <w:br/>
      </w:r>
    </w:p>
    <w:p w14:paraId="31CAC2F5" w14:textId="77777777" w:rsidR="00273F04" w:rsidRPr="00273F04" w:rsidRDefault="00273F04" w:rsidP="00273F04">
      <w:pPr>
        <w:jc w:val="center"/>
        <w:rPr>
          <w:b/>
          <w:bCs/>
        </w:rPr>
      </w:pPr>
      <w:r w:rsidRPr="00273F04">
        <w:rPr>
          <w:b/>
          <w:bCs/>
        </w:rPr>
        <w:t>COMMONWEALTH OF MASSACHUSETTS</w:t>
      </w:r>
    </w:p>
    <w:p w14:paraId="4AA5FEA1" w14:textId="77777777" w:rsidR="00273F04" w:rsidRPr="00273F04" w:rsidRDefault="00273F04" w:rsidP="00273F04">
      <w:pPr>
        <w:jc w:val="center"/>
        <w:rPr>
          <w:b/>
          <w:bCs/>
        </w:rPr>
      </w:pPr>
      <w:r w:rsidRPr="00273F04">
        <w:rPr>
          <w:b/>
          <w:bCs/>
        </w:rPr>
        <w:t>DIVISION OF ADMINISTRATIVE LAW APPEALS</w:t>
      </w:r>
    </w:p>
    <w:p w14:paraId="5D264738" w14:textId="77777777" w:rsidR="00273F04" w:rsidRPr="00273F04" w:rsidRDefault="00273F04" w:rsidP="00273F04">
      <w:pPr>
        <w:jc w:val="center"/>
        <w:rPr>
          <w:b/>
          <w:bCs/>
        </w:rPr>
      </w:pPr>
      <w:r w:rsidRPr="00273F04">
        <w:rPr>
          <w:b/>
          <w:bCs/>
        </w:rPr>
        <w:t>BUREAU OF SPECIAL EDUCATION APPEALS</w:t>
      </w:r>
    </w:p>
    <w:p w14:paraId="0EB5B9AB" w14:textId="77777777" w:rsidR="00273F04" w:rsidRDefault="00273F04" w:rsidP="00273F04"/>
    <w:p w14:paraId="4918D8FC" w14:textId="77777777" w:rsidR="00273F04" w:rsidRPr="00904FAA" w:rsidRDefault="00273F04" w:rsidP="00273F04">
      <w:pPr>
        <w:textAlignment w:val="baseline"/>
        <w:rPr>
          <w:rFonts w:ascii="Aptos" w:hAnsi="Aptos"/>
          <w:b/>
          <w:bCs/>
          <w:color w:val="000000" w:themeColor="text1"/>
        </w:rPr>
      </w:pPr>
      <w:r w:rsidRPr="00904FAA">
        <w:rPr>
          <w:rFonts w:ascii="Aptos" w:hAnsi="Aptos"/>
          <w:b/>
          <w:bCs/>
          <w:color w:val="000000" w:themeColor="text1"/>
        </w:rPr>
        <w:t>In Re: Student v. Arlington Public Schools</w:t>
      </w:r>
      <w:r w:rsidRPr="00904FAA">
        <w:rPr>
          <w:rFonts w:ascii="Aptos" w:hAnsi="Aptos"/>
          <w:b/>
          <w:bCs/>
          <w:color w:val="000000" w:themeColor="text1"/>
        </w:rPr>
        <w:tab/>
      </w:r>
      <w:r w:rsidRPr="00904FAA">
        <w:rPr>
          <w:rFonts w:ascii="Aptos" w:hAnsi="Aptos"/>
          <w:b/>
          <w:bCs/>
          <w:color w:val="000000" w:themeColor="text1"/>
        </w:rPr>
        <w:tab/>
      </w:r>
      <w:r w:rsidRPr="00904FAA">
        <w:rPr>
          <w:rFonts w:ascii="Aptos" w:hAnsi="Aptos"/>
          <w:b/>
          <w:bCs/>
          <w:color w:val="000000" w:themeColor="text1"/>
        </w:rPr>
        <w:tab/>
      </w:r>
      <w:r w:rsidRPr="00904FAA">
        <w:rPr>
          <w:rFonts w:ascii="Aptos" w:hAnsi="Aptos"/>
          <w:b/>
          <w:bCs/>
          <w:color w:val="000000" w:themeColor="text1"/>
        </w:rPr>
        <w:tab/>
        <w:t xml:space="preserve">   BSEA # 2503543</w:t>
      </w:r>
    </w:p>
    <w:p w14:paraId="65578ABE" w14:textId="77777777" w:rsidR="00273F04" w:rsidRDefault="00273F04" w:rsidP="00273F04"/>
    <w:p w14:paraId="15E5F116" w14:textId="77777777" w:rsidR="00273F04" w:rsidRDefault="00273F04" w:rsidP="00273F04">
      <w:pPr>
        <w:rPr>
          <w:b/>
          <w:bCs/>
          <w:u w:val="single"/>
        </w:rPr>
      </w:pPr>
    </w:p>
    <w:p w14:paraId="2ED6EFE6" w14:textId="713B9592" w:rsidR="00273F04" w:rsidRPr="00273F04" w:rsidRDefault="00273F04" w:rsidP="00273F04">
      <w:pPr>
        <w:jc w:val="center"/>
      </w:pPr>
      <w:r w:rsidRPr="00273F04">
        <w:rPr>
          <w:b/>
          <w:bCs/>
          <w:u w:val="single"/>
        </w:rPr>
        <w:t xml:space="preserve">RULING ON </w:t>
      </w:r>
      <w:r>
        <w:rPr>
          <w:b/>
          <w:bCs/>
          <w:u w:val="single"/>
        </w:rPr>
        <w:t>ARLINGTON</w:t>
      </w:r>
      <w:r w:rsidRPr="00273F04">
        <w:rPr>
          <w:b/>
          <w:bCs/>
          <w:u w:val="single"/>
        </w:rPr>
        <w:t xml:space="preserve"> PUBLIC SCHOOLS' MOTION FOR DIRECTED VERDICT</w:t>
      </w:r>
    </w:p>
    <w:p w14:paraId="14595C98" w14:textId="77777777" w:rsidR="00273F04" w:rsidRDefault="00273F04" w:rsidP="00273F04"/>
    <w:p w14:paraId="06BE053A" w14:textId="1012A5FB" w:rsidR="00273F04" w:rsidRDefault="00273F04" w:rsidP="00273F04">
      <w:r w:rsidRPr="00273F04">
        <w:t>This matter comes before the Hearing Officer on the </w:t>
      </w:r>
      <w:r w:rsidRPr="00273F04">
        <w:rPr>
          <w:i/>
          <w:iCs/>
        </w:rPr>
        <w:t>Motion for Directed Verdict (Motion)</w:t>
      </w:r>
      <w:r w:rsidRPr="00273F04">
        <w:t xml:space="preserve"> filed by </w:t>
      </w:r>
      <w:r>
        <w:t>Arlington</w:t>
      </w:r>
      <w:r w:rsidRPr="00273F04">
        <w:t xml:space="preserve"> Public Schools (</w:t>
      </w:r>
      <w:r>
        <w:t>Arlington</w:t>
      </w:r>
      <w:r w:rsidRPr="00273F04">
        <w:t xml:space="preserve"> or the District) at the close of Parents' case</w:t>
      </w:r>
      <w:r w:rsidR="00483926">
        <w:t xml:space="preserve"> in the above-noted matter</w:t>
      </w:r>
      <w:r w:rsidRPr="00273F04">
        <w:t xml:space="preserve"> on </w:t>
      </w:r>
      <w:r>
        <w:t>November 1</w:t>
      </w:r>
      <w:r w:rsidRPr="00273F04">
        <w:t>5, 2024. Said </w:t>
      </w:r>
      <w:r w:rsidRPr="00273F04">
        <w:rPr>
          <w:i/>
          <w:iCs/>
        </w:rPr>
        <w:t>Motion</w:t>
      </w:r>
      <w:r w:rsidRPr="00273F04">
        <w:t> was denied orally the same day on the record, and the reasons for such denial are expanded in this </w:t>
      </w:r>
      <w:r w:rsidRPr="00273F04">
        <w:rPr>
          <w:i/>
          <w:iCs/>
        </w:rPr>
        <w:t>Ruling</w:t>
      </w:r>
      <w:r w:rsidRPr="00273F04">
        <w:t>. For the reasons set forth below, the District's </w:t>
      </w:r>
      <w:r w:rsidRPr="00273F04">
        <w:rPr>
          <w:i/>
          <w:iCs/>
        </w:rPr>
        <w:t>Motion for Directed Verdict</w:t>
      </w:r>
      <w:r w:rsidRPr="00273F04">
        <w:t> is DENIED.</w:t>
      </w:r>
    </w:p>
    <w:p w14:paraId="758C4289" w14:textId="77777777" w:rsidR="00273F04" w:rsidRPr="00273F04" w:rsidRDefault="00273F04" w:rsidP="00273F04"/>
    <w:p w14:paraId="42DB3E2A" w14:textId="77777777" w:rsidR="00273F04" w:rsidRPr="00273F04" w:rsidRDefault="00273F04" w:rsidP="00273F04">
      <w:pPr>
        <w:rPr>
          <w:b/>
          <w:bCs/>
        </w:rPr>
      </w:pPr>
      <w:r w:rsidRPr="00273F04">
        <w:rPr>
          <w:b/>
          <w:bCs/>
        </w:rPr>
        <w:t>I. </w:t>
      </w:r>
      <w:r w:rsidRPr="00273F04">
        <w:rPr>
          <w:b/>
          <w:bCs/>
          <w:u w:val="single"/>
        </w:rPr>
        <w:t>FACTUAL BACKGROUND AND RELEVANT PROCEDURAL HISTORY </w:t>
      </w:r>
    </w:p>
    <w:p w14:paraId="045E34FD" w14:textId="77777777" w:rsidR="00273F04" w:rsidRDefault="00273F04" w:rsidP="00273F04"/>
    <w:p w14:paraId="6FEC9EA8" w14:textId="0A9FA9AB" w:rsidR="00273F04" w:rsidRPr="00273F04" w:rsidRDefault="00273F04" w:rsidP="00273F04">
      <w:r w:rsidRPr="00273F04">
        <w:t>The factual and procedural history of this</w:t>
      </w:r>
      <w:r w:rsidR="00483926">
        <w:t xml:space="preserve"> case</w:t>
      </w:r>
      <w:r w:rsidRPr="00273F04">
        <w:t xml:space="preserve"> is reviewed in detail in my</w:t>
      </w:r>
      <w:r>
        <w:t xml:space="preserve"> prior rulings in th</w:t>
      </w:r>
      <w:r w:rsidR="00483926">
        <w:t>e</w:t>
      </w:r>
      <w:r>
        <w:t xml:space="preserve"> matter and need not be repeated here. </w:t>
      </w:r>
      <w:r w:rsidRPr="00273F04">
        <w:t xml:space="preserve">Following </w:t>
      </w:r>
      <w:r w:rsidR="00483926">
        <w:t>one</w:t>
      </w:r>
      <w:r w:rsidR="00204F2D">
        <w:t xml:space="preserve"> and a half</w:t>
      </w:r>
      <w:r w:rsidRPr="00273F04">
        <w:t xml:space="preserve"> days of hearing,  the District moved for a directed verdict on the following claims</w:t>
      </w:r>
      <w:r w:rsidR="00483926">
        <w:t xml:space="preserve"> at the close of the Parents’ case</w:t>
      </w:r>
      <w:r w:rsidRPr="00273F04">
        <w:t>:</w:t>
      </w:r>
    </w:p>
    <w:p w14:paraId="6760EE1C" w14:textId="77777777" w:rsidR="00273F04" w:rsidRDefault="00273F04" w:rsidP="00273F04">
      <w:pPr>
        <w:pStyle w:val="ListParagraph"/>
        <w:numPr>
          <w:ilvl w:val="0"/>
          <w:numId w:val="3"/>
        </w:numPr>
        <w:rPr>
          <w:rFonts w:ascii="Aptos" w:hAnsi="Aptos"/>
          <w:color w:val="000000" w:themeColor="text1"/>
        </w:rPr>
      </w:pPr>
      <w:r w:rsidRPr="00904FAA">
        <w:rPr>
          <w:rFonts w:ascii="Aptos" w:hAnsi="Aptos"/>
          <w:color w:val="000000" w:themeColor="text1"/>
        </w:rPr>
        <w:t>Whether Arlington Public Schools violated Student’s rights under IDEA and MGL c. 71B by failing to find Student eligible prior to February 2023;</w:t>
      </w:r>
    </w:p>
    <w:p w14:paraId="05892EF1" w14:textId="3C461358" w:rsidR="00273F04" w:rsidRPr="00273F04" w:rsidRDefault="00273F04" w:rsidP="00273F04">
      <w:pPr>
        <w:pStyle w:val="ListParagraph"/>
        <w:numPr>
          <w:ilvl w:val="0"/>
          <w:numId w:val="3"/>
        </w:numPr>
        <w:rPr>
          <w:rFonts w:ascii="Aptos" w:hAnsi="Aptos"/>
          <w:color w:val="000000" w:themeColor="text1"/>
        </w:rPr>
      </w:pPr>
      <w:r w:rsidRPr="00273F04">
        <w:rPr>
          <w:rFonts w:ascii="Aptos" w:hAnsi="Aptos"/>
          <w:color w:val="000000" w:themeColor="text1"/>
        </w:rPr>
        <w:t>Whether Arlington Public Schools violated Student’s rights under IDEA and MGL c. 71B by failing to propose IEPs and placements during the period of February 2023 until the filing of the complaint that were/are reasonably calculated to provide Student with a FAPE.</w:t>
      </w:r>
    </w:p>
    <w:p w14:paraId="2EF06CE5" w14:textId="77777777" w:rsidR="00273F04" w:rsidRDefault="00273F04" w:rsidP="00273F04">
      <w:pPr>
        <w:rPr>
          <w:rFonts w:ascii="Aptos" w:hAnsi="Aptos"/>
          <w:color w:val="000000" w:themeColor="text1"/>
        </w:rPr>
      </w:pPr>
    </w:p>
    <w:p w14:paraId="60C3361C" w14:textId="7ADA976F" w:rsidR="00273F04" w:rsidRPr="00273F04" w:rsidRDefault="00273F04" w:rsidP="00273F04">
      <w:pPr>
        <w:rPr>
          <w:b/>
          <w:bCs/>
        </w:rPr>
      </w:pPr>
      <w:r w:rsidRPr="00273F04">
        <w:rPr>
          <w:b/>
          <w:bCs/>
        </w:rPr>
        <w:t>II. </w:t>
      </w:r>
      <w:r w:rsidRPr="00273F04">
        <w:rPr>
          <w:b/>
          <w:bCs/>
          <w:u w:val="single"/>
        </w:rPr>
        <w:t>DISCUSSION </w:t>
      </w:r>
    </w:p>
    <w:p w14:paraId="119F6314" w14:textId="77777777" w:rsidR="00273F04" w:rsidRDefault="00273F04" w:rsidP="00273F04"/>
    <w:p w14:paraId="3BFFC4E9" w14:textId="2A3CAC4F" w:rsidR="00273F04" w:rsidRPr="00273F04" w:rsidRDefault="00273F04" w:rsidP="00273F04">
      <w:r w:rsidRPr="00273F04">
        <w:t>To determine whether Parents</w:t>
      </w:r>
      <w:r>
        <w:t>’</w:t>
      </w:r>
      <w:r w:rsidRPr="00273F04">
        <w:t xml:space="preserve"> claims survive the District</w:t>
      </w:r>
      <w:r>
        <w:t>’</w:t>
      </w:r>
      <w:r w:rsidRPr="00273F04">
        <w:t>s </w:t>
      </w:r>
      <w:r w:rsidRPr="00273F04">
        <w:rPr>
          <w:i/>
          <w:iCs/>
        </w:rPr>
        <w:t>Motion</w:t>
      </w:r>
      <w:r w:rsidRPr="00273F04">
        <w:t>, I  apply the directed verdict standard to the relevant substantive law. </w:t>
      </w:r>
    </w:p>
    <w:p w14:paraId="0ECB1F71" w14:textId="77777777" w:rsidR="00273F04" w:rsidRPr="00273F04" w:rsidRDefault="00273F04" w:rsidP="00273F04">
      <w:pPr>
        <w:pStyle w:val="ListParagraph"/>
        <w:rPr>
          <w:b/>
          <w:bCs/>
        </w:rPr>
      </w:pPr>
    </w:p>
    <w:p w14:paraId="5E31F855" w14:textId="6F18358C" w:rsidR="00273F04" w:rsidRPr="00273F04" w:rsidRDefault="00273F04" w:rsidP="00273F04">
      <w:pPr>
        <w:pStyle w:val="ListParagraph"/>
        <w:numPr>
          <w:ilvl w:val="0"/>
          <w:numId w:val="4"/>
        </w:numPr>
        <w:rPr>
          <w:b/>
          <w:bCs/>
        </w:rPr>
      </w:pPr>
      <w:r w:rsidRPr="00273F04">
        <w:rPr>
          <w:b/>
          <w:bCs/>
          <w:i/>
          <w:iCs/>
        </w:rPr>
        <w:t>Legal Standards</w:t>
      </w:r>
    </w:p>
    <w:p w14:paraId="66FFD303" w14:textId="77777777" w:rsidR="00273F04" w:rsidRDefault="00273F04" w:rsidP="00273F04"/>
    <w:p w14:paraId="3E10BEFA" w14:textId="7AB94746" w:rsidR="00273F04" w:rsidRPr="00273F04" w:rsidRDefault="00273F04" w:rsidP="00273F04">
      <w:pPr>
        <w:pStyle w:val="ListParagraph"/>
        <w:numPr>
          <w:ilvl w:val="0"/>
          <w:numId w:val="5"/>
        </w:numPr>
        <w:rPr>
          <w:u w:val="single"/>
        </w:rPr>
      </w:pPr>
      <w:r w:rsidRPr="00273F04">
        <w:rPr>
          <w:u w:val="single"/>
        </w:rPr>
        <w:t>Motion for Directed Verdict</w:t>
      </w:r>
    </w:p>
    <w:p w14:paraId="24F589EE" w14:textId="77777777" w:rsidR="00273F04" w:rsidRPr="00273F04" w:rsidRDefault="00273F04" w:rsidP="00273F04">
      <w:pPr>
        <w:pStyle w:val="ListParagraph"/>
      </w:pPr>
    </w:p>
    <w:p w14:paraId="75A79F67" w14:textId="74AB2C76" w:rsidR="00204F2D" w:rsidRPr="00273F04" w:rsidRDefault="00273F04" w:rsidP="00204F2D">
      <w:r w:rsidRPr="00273F04">
        <w:t>801 C.M.R. §1.01(7)(g)(1), applicable to Bureau of Special Education (BSEA) proceedings, permits a Respondent to move to dismiss a case, upon completion of the presentation of the Petitioner's evidence, on the ground that upon the evidence, or the law, or both, the Petitioner has not established her case.</w:t>
      </w:r>
      <w:r w:rsidR="00204F2D" w:rsidRPr="00204F2D">
        <w:t xml:space="preserve"> </w:t>
      </w:r>
      <w:r w:rsidR="00204F2D">
        <w:t xml:space="preserve">Although BSEA Hearing Officers are not bound by </w:t>
      </w:r>
      <w:r w:rsidR="00204F2D">
        <w:lastRenderedPageBreak/>
        <w:t xml:space="preserve">the Rules of Civil Procedure, </w:t>
      </w:r>
      <w:r w:rsidR="00A056D7">
        <w:t>they are often consulted</w:t>
      </w:r>
      <w:r w:rsidR="00204F2D">
        <w:t xml:space="preserve"> for guidance. </w:t>
      </w:r>
      <w:r w:rsidR="00204F2D" w:rsidRPr="00273F04">
        <w:t xml:space="preserve">Mass. R. Civ. P. 50(a) provides that "[a] party may move for a directed verdict at the close of the evidence offered by an opponent." The language in Fed. R. Civ. P. 50(a) has been updated from "directed verdict" to "judgment as a matter of law," </w:t>
      </w:r>
      <w:r w:rsidR="00204F2D">
        <w:t>and it</w:t>
      </w:r>
      <w:r w:rsidR="00204F2D" w:rsidRPr="00273F04">
        <w:t xml:space="preserve"> permits entry of judgment against a party that has been fully heard on an issue if the finder of fact "would not have a legally sufficient evidentiary basis to find for the party on that issue."</w:t>
      </w:r>
    </w:p>
    <w:p w14:paraId="237B5E74" w14:textId="3A9B2FD9" w:rsidR="00273F04" w:rsidRPr="00273F04" w:rsidRDefault="00204F2D" w:rsidP="00273F04">
      <w:r w:rsidRPr="00273F04">
        <w:t xml:space="preserve"> </w:t>
      </w:r>
    </w:p>
    <w:p w14:paraId="4EE3559E" w14:textId="011E0C8A" w:rsidR="00273F04" w:rsidRDefault="00273F04" w:rsidP="00273F04">
      <w:r w:rsidRPr="00273F04">
        <w:t>A motion for a directed verdict may be granted "only where, construing the evidence most favorably to the plaintiff, it is still insufficient to support a verdict in his favor."</w:t>
      </w:r>
      <w:r w:rsidR="00204F2D">
        <w:rPr>
          <w:rStyle w:val="FootnoteReference"/>
        </w:rPr>
        <w:footnoteReference w:id="1"/>
      </w:r>
      <w:r w:rsidR="00204F2D" w:rsidRPr="00273F04">
        <w:t xml:space="preserve"> </w:t>
      </w:r>
      <w:r w:rsidRPr="00273F04">
        <w:t>In evaluating the evidence, the finder of fact must also consider reasonable inferences that may be drawn therefrom. The standard, as articulated by the Supreme Judicial Court of Massachusetts in </w:t>
      </w:r>
      <w:r w:rsidRPr="00273F04">
        <w:rPr>
          <w:i/>
          <w:iCs/>
        </w:rPr>
        <w:t>Raunela v. Hertz Corporation</w:t>
      </w:r>
      <w:r w:rsidRPr="00273F04">
        <w:t>, is whether "anywhere in the evidence, from whatever source derived, any combination of circumstances could be found from which a reasonable inference could be drawn in favor of the plaintiff."</w:t>
      </w:r>
      <w:r w:rsidR="00204F2D">
        <w:rPr>
          <w:rStyle w:val="FootnoteReference"/>
        </w:rPr>
        <w:footnoteReference w:id="2"/>
      </w:r>
      <w:r w:rsidR="00204F2D" w:rsidRPr="00273F04">
        <w:t xml:space="preserve"> </w:t>
      </w:r>
      <w:r w:rsidRPr="00273F04">
        <w:t>For inferences to be considered reasonable, they must be based on "probabilities rather than possibilities," and not the result of "mere speculation and conjecture."</w:t>
      </w:r>
      <w:r w:rsidR="00204F2D">
        <w:rPr>
          <w:rStyle w:val="FootnoteReference"/>
        </w:rPr>
        <w:footnoteReference w:id="3"/>
      </w:r>
      <w:r w:rsidR="00204F2D">
        <w:t xml:space="preserve"> </w:t>
      </w:r>
    </w:p>
    <w:p w14:paraId="5C43F0E4" w14:textId="77777777" w:rsidR="00204F2D" w:rsidRPr="00273F04" w:rsidRDefault="00204F2D" w:rsidP="00273F04"/>
    <w:p w14:paraId="02586133" w14:textId="1C557E15" w:rsidR="00273F04" w:rsidRDefault="00273F04" w:rsidP="00273F04">
      <w:r w:rsidRPr="00273F04">
        <w:t>In the context of a case before the BSEA, which requires proof by a preponderance of the evidence, the standard is "whether, at the conclusion of Parent's case, the evidence, construed most favorably to Parent, is insufficient to support a conclusion that the preponderance of the evidence favored Parent's position."</w:t>
      </w:r>
      <w:r w:rsidR="00124F5B">
        <w:rPr>
          <w:rStyle w:val="FootnoteReference"/>
        </w:rPr>
        <w:footnoteReference w:id="4"/>
      </w:r>
      <w:r w:rsidRPr="00273F04">
        <w:t> To determine whether to enter a directed verdict as to any of Parents' claims, I must consider the substantive and procedural law governing this matter.</w:t>
      </w:r>
    </w:p>
    <w:p w14:paraId="3BD10BE9" w14:textId="77777777" w:rsidR="00204F2D" w:rsidRPr="00273F04" w:rsidRDefault="00204F2D" w:rsidP="00273F04"/>
    <w:p w14:paraId="1FFE2E6C" w14:textId="53704BC1" w:rsidR="00204F2D" w:rsidRDefault="00204F2D" w:rsidP="00204F2D">
      <w:pPr>
        <w:pStyle w:val="ListParagraph"/>
        <w:numPr>
          <w:ilvl w:val="0"/>
          <w:numId w:val="5"/>
        </w:numPr>
        <w:rPr>
          <w:u w:val="single"/>
        </w:rPr>
      </w:pPr>
      <w:r>
        <w:rPr>
          <w:u w:val="single"/>
        </w:rPr>
        <w:t>Child Find</w:t>
      </w:r>
    </w:p>
    <w:p w14:paraId="0EA119BC" w14:textId="77777777" w:rsidR="00204F2D" w:rsidRDefault="00204F2D" w:rsidP="00800040">
      <w:pPr>
        <w:rPr>
          <w:u w:val="single"/>
        </w:rPr>
      </w:pPr>
    </w:p>
    <w:p w14:paraId="6682B71C" w14:textId="4166137F" w:rsidR="00800040" w:rsidRPr="00794E58" w:rsidRDefault="00800040" w:rsidP="00800040">
      <w:pPr>
        <w:textAlignment w:val="baseline"/>
        <w:rPr>
          <w:rFonts w:ascii="Aptos" w:hAnsi="Aptos"/>
          <w:color w:val="000000" w:themeColor="text1"/>
        </w:rPr>
      </w:pPr>
      <w:r w:rsidRPr="00794E58">
        <w:rPr>
          <w:rFonts w:ascii="Aptos" w:hAnsi="Aptos"/>
          <w:color w:val="000000" w:themeColor="text1"/>
        </w:rPr>
        <w:t>The IDEA was enacted "to ensure that all children with disabilities have available to them a free appropriate public education that emphasizes special education and related services designed to meet their unique needs and prepare them for further education, employment, and independent living."</w:t>
      </w:r>
      <w:r>
        <w:rPr>
          <w:rStyle w:val="FootnoteReference"/>
          <w:rFonts w:ascii="Aptos" w:hAnsi="Aptos"/>
          <w:color w:val="000000" w:themeColor="text1"/>
        </w:rPr>
        <w:footnoteReference w:id="5"/>
      </w:r>
      <w:r w:rsidRPr="00794E58">
        <w:rPr>
          <w:rFonts w:ascii="Aptos" w:hAnsi="Aptos"/>
          <w:color w:val="000000" w:themeColor="text1"/>
        </w:rPr>
        <w:t xml:space="preserve"> </w:t>
      </w:r>
      <w:r>
        <w:rPr>
          <w:rFonts w:ascii="Aptos" w:hAnsi="Aptos"/>
          <w:color w:val="000000" w:themeColor="text1"/>
        </w:rPr>
        <w:t>As such</w:t>
      </w:r>
      <w:r w:rsidRPr="00794E58">
        <w:rPr>
          <w:rFonts w:ascii="Aptos" w:hAnsi="Aptos"/>
          <w:color w:val="000000" w:themeColor="text1"/>
        </w:rPr>
        <w:t xml:space="preserve">, "state and federal laws require schools to identify children who qualify as disabled or whom the schools reasonably suspect may qualify as disabled, experience adversity in educational performance due to their disability, and need </w:t>
      </w:r>
      <w:r w:rsidRPr="00794E58">
        <w:rPr>
          <w:rFonts w:ascii="Aptos" w:hAnsi="Aptos"/>
          <w:color w:val="000000" w:themeColor="text1"/>
        </w:rPr>
        <w:lastRenderedPageBreak/>
        <w:t>special education and related services by reason of their disability."</w:t>
      </w:r>
      <w:r>
        <w:rPr>
          <w:rStyle w:val="FootnoteReference"/>
          <w:rFonts w:ascii="Aptos" w:hAnsi="Aptos"/>
          <w:color w:val="000000" w:themeColor="text1"/>
        </w:rPr>
        <w:footnoteReference w:id="6"/>
      </w:r>
      <w:r w:rsidRPr="00794E58">
        <w:rPr>
          <w:rFonts w:ascii="Aptos" w:hAnsi="Aptos"/>
          <w:color w:val="000000" w:themeColor="text1"/>
        </w:rPr>
        <w:t xml:space="preserve"> </w:t>
      </w:r>
      <w:r>
        <w:rPr>
          <w:rFonts w:ascii="Aptos" w:hAnsi="Aptos"/>
          <w:color w:val="000000" w:themeColor="text1"/>
        </w:rPr>
        <w:t xml:space="preserve"> Pursuant to </w:t>
      </w:r>
      <w:r w:rsidRPr="00794E58">
        <w:rPr>
          <w:rFonts w:ascii="Aptos" w:hAnsi="Aptos"/>
          <w:color w:val="000000" w:themeColor="text1"/>
        </w:rPr>
        <w:t>20 U.S.C. §1412(a)</w:t>
      </w:r>
      <w:r>
        <w:rPr>
          <w:rFonts w:ascii="Aptos" w:hAnsi="Aptos"/>
          <w:color w:val="000000" w:themeColor="text1"/>
        </w:rPr>
        <w:t>(3)</w:t>
      </w:r>
      <w:r w:rsidRPr="00794E58">
        <w:rPr>
          <w:rFonts w:ascii="Aptos" w:hAnsi="Aptos"/>
          <w:color w:val="000000" w:themeColor="text1"/>
        </w:rPr>
        <w:t xml:space="preserve">, </w:t>
      </w:r>
      <w:r w:rsidR="00690D9E" w:rsidRPr="005E278A">
        <w:rPr>
          <w:rFonts w:ascii="Aptos" w:hAnsi="Aptos"/>
          <w:color w:val="000000" w:themeColor="text1"/>
        </w:rPr>
        <w:t>"The State must have in effect policies and procedures to ensure that . . . all children with disabilities residing in the State, . . . regardless of the severity of their disability, and who are in need of special education and related services, are identified, located, and evaluated"</w:t>
      </w:r>
      <w:r w:rsidR="00690D9E">
        <w:rPr>
          <w:rFonts w:ascii="Aptos" w:hAnsi="Aptos"/>
          <w:color w:val="000000" w:themeColor="text1"/>
        </w:rPr>
        <w:t xml:space="preserve"> </w:t>
      </w:r>
      <w:r w:rsidR="00690D9E" w:rsidRPr="005E278A">
        <w:rPr>
          <w:rFonts w:ascii="Aptos" w:hAnsi="Aptos"/>
          <w:color w:val="000000" w:themeColor="text1"/>
        </w:rPr>
        <w:t xml:space="preserve">34 C.F.R. §300.111(a)(1)(i) </w:t>
      </w:r>
      <w:r w:rsidRPr="00794E58">
        <w:rPr>
          <w:rFonts w:ascii="Aptos" w:hAnsi="Aptos"/>
          <w:color w:val="000000" w:themeColor="text1"/>
        </w:rPr>
        <w:t xml:space="preserve">." </w:t>
      </w:r>
    </w:p>
    <w:p w14:paraId="3FB78ECE" w14:textId="77777777" w:rsidR="00800040" w:rsidRDefault="00800040" w:rsidP="00800040">
      <w:pPr>
        <w:textAlignment w:val="baseline"/>
        <w:rPr>
          <w:rFonts w:ascii="Aptos" w:hAnsi="Aptos"/>
          <w:color w:val="000000" w:themeColor="text1"/>
        </w:rPr>
      </w:pPr>
    </w:p>
    <w:p w14:paraId="7FEE424F" w14:textId="77777777" w:rsidR="00800040" w:rsidRPr="00794E58" w:rsidRDefault="00800040" w:rsidP="00800040">
      <w:pPr>
        <w:textAlignment w:val="baseline"/>
        <w:rPr>
          <w:rFonts w:ascii="Aptos" w:hAnsi="Aptos"/>
          <w:color w:val="000000" w:themeColor="text1"/>
        </w:rPr>
      </w:pPr>
      <w:r>
        <w:rPr>
          <w:rFonts w:ascii="Aptos" w:hAnsi="Aptos"/>
          <w:color w:val="000000" w:themeColor="text1"/>
        </w:rPr>
        <w:t xml:space="preserve">Similarly, </w:t>
      </w:r>
      <w:r w:rsidRPr="00794E58">
        <w:rPr>
          <w:rFonts w:ascii="Aptos" w:hAnsi="Aptos"/>
          <w:color w:val="000000" w:themeColor="text1"/>
        </w:rPr>
        <w:t>Massachusetts special education law requir</w:t>
      </w:r>
      <w:r>
        <w:rPr>
          <w:rFonts w:ascii="Aptos" w:hAnsi="Aptos"/>
          <w:color w:val="000000" w:themeColor="text1"/>
        </w:rPr>
        <w:t>es</w:t>
      </w:r>
      <w:r w:rsidRPr="00794E58">
        <w:rPr>
          <w:rFonts w:ascii="Aptos" w:hAnsi="Aptos"/>
          <w:color w:val="000000" w:themeColor="text1"/>
        </w:rPr>
        <w:t xml:space="preserve"> each school district</w:t>
      </w:r>
      <w:r>
        <w:rPr>
          <w:rFonts w:ascii="Aptos" w:hAnsi="Aptos"/>
          <w:color w:val="000000" w:themeColor="text1"/>
        </w:rPr>
        <w:t xml:space="preserve"> to </w:t>
      </w:r>
      <w:r w:rsidRPr="00794E58">
        <w:rPr>
          <w:rFonts w:ascii="Aptos" w:hAnsi="Aptos"/>
          <w:color w:val="000000" w:themeColor="text1"/>
        </w:rPr>
        <w:t>"identify the school age children residing therein who have a disability, . . . diagnose and evaluate the needs of such children, propose a special education program to meet those needs, provide or arrange for the provision of such special education program, maintain a record of such identification, diagnosis, proposal and program actually provided and make such reports as the department may require."</w:t>
      </w:r>
      <w:r>
        <w:rPr>
          <w:rStyle w:val="FootnoteReference"/>
          <w:rFonts w:ascii="Aptos" w:hAnsi="Aptos"/>
          <w:color w:val="000000" w:themeColor="text1"/>
        </w:rPr>
        <w:footnoteReference w:id="7"/>
      </w:r>
      <w:r w:rsidRPr="00794E58">
        <w:rPr>
          <w:rFonts w:ascii="Aptos" w:hAnsi="Aptos"/>
          <w:color w:val="000000" w:themeColor="text1"/>
        </w:rPr>
        <w:t xml:space="preserve"> </w:t>
      </w:r>
    </w:p>
    <w:p w14:paraId="7272C9DB" w14:textId="77777777" w:rsidR="00800040" w:rsidRDefault="00800040" w:rsidP="00800040">
      <w:pPr>
        <w:textAlignment w:val="baseline"/>
        <w:rPr>
          <w:rFonts w:ascii="Aptos" w:hAnsi="Aptos"/>
          <w:color w:val="000000" w:themeColor="text1"/>
        </w:rPr>
      </w:pPr>
    </w:p>
    <w:p w14:paraId="737BA4DA" w14:textId="69F1CBED" w:rsidR="00800040" w:rsidRPr="00904FAA" w:rsidRDefault="00800040" w:rsidP="00800040">
      <w:pPr>
        <w:textAlignment w:val="baseline"/>
        <w:rPr>
          <w:rFonts w:ascii="Aptos" w:hAnsi="Aptos"/>
          <w:color w:val="000000" w:themeColor="text1"/>
        </w:rPr>
      </w:pPr>
      <w:r w:rsidRPr="00794E58">
        <w:rPr>
          <w:rFonts w:ascii="Aptos" w:hAnsi="Aptos"/>
          <w:color w:val="000000" w:themeColor="text1"/>
        </w:rPr>
        <w:t>A</w:t>
      </w:r>
      <w:r>
        <w:rPr>
          <w:rFonts w:ascii="Aptos" w:hAnsi="Aptos"/>
          <w:color w:val="000000" w:themeColor="text1"/>
        </w:rPr>
        <w:t>lthough a</w:t>
      </w:r>
      <w:r w:rsidRPr="00794E58">
        <w:rPr>
          <w:rFonts w:ascii="Aptos" w:hAnsi="Aptos"/>
          <w:color w:val="000000" w:themeColor="text1"/>
        </w:rPr>
        <w:t xml:space="preserve"> parent may trigger a school district's child find obligation by indicating</w:t>
      </w:r>
      <w:r>
        <w:rPr>
          <w:rFonts w:ascii="Aptos" w:hAnsi="Aptos"/>
          <w:color w:val="000000" w:themeColor="text1"/>
        </w:rPr>
        <w:t>, explicitly or nonexplicitly,</w:t>
      </w:r>
      <w:r w:rsidRPr="001B51EF">
        <w:rPr>
          <w:rStyle w:val="FootnoteReference"/>
          <w:rFonts w:ascii="Aptos" w:hAnsi="Aptos"/>
          <w:color w:val="000000" w:themeColor="text1"/>
        </w:rPr>
        <w:t xml:space="preserve"> </w:t>
      </w:r>
      <w:r>
        <w:rPr>
          <w:rStyle w:val="FootnoteReference"/>
          <w:rFonts w:ascii="Aptos" w:hAnsi="Aptos"/>
          <w:color w:val="000000" w:themeColor="text1"/>
        </w:rPr>
        <w:footnoteReference w:id="8"/>
      </w:r>
      <w:r w:rsidRPr="00794E58">
        <w:rPr>
          <w:rFonts w:ascii="Aptos" w:hAnsi="Aptos"/>
          <w:color w:val="000000" w:themeColor="text1"/>
        </w:rPr>
        <w:t xml:space="preserve"> a need for special education services or requesting an evaluation of her child,</w:t>
      </w:r>
      <w:r>
        <w:rPr>
          <w:rFonts w:ascii="Aptos" w:hAnsi="Aptos"/>
          <w:color w:val="000000" w:themeColor="text1"/>
        </w:rPr>
        <w:t xml:space="preserve"> a</w:t>
      </w:r>
      <w:r w:rsidRPr="00794E58">
        <w:rPr>
          <w:rFonts w:ascii="Aptos" w:hAnsi="Aptos"/>
          <w:color w:val="000000" w:themeColor="text1"/>
        </w:rPr>
        <w:t xml:space="preserve"> parent need not make such a referral, as the "obligation applies to a school district regardless of whether the parent (or anyone else on behalf of the student) has actually requested special education eligibility or services."</w:t>
      </w:r>
      <w:r>
        <w:rPr>
          <w:rStyle w:val="FootnoteReference"/>
          <w:rFonts w:ascii="Aptos" w:hAnsi="Aptos"/>
          <w:color w:val="000000" w:themeColor="text1"/>
        </w:rPr>
        <w:footnoteReference w:id="9"/>
      </w:r>
      <w:r w:rsidRPr="00794E58">
        <w:rPr>
          <w:rFonts w:ascii="Aptos" w:hAnsi="Aptos"/>
          <w:color w:val="000000" w:themeColor="text1"/>
        </w:rPr>
        <w:t xml:space="preserve"> </w:t>
      </w:r>
      <w:r>
        <w:rPr>
          <w:rFonts w:ascii="Aptos" w:hAnsi="Aptos"/>
          <w:color w:val="000000" w:themeColor="text1"/>
        </w:rPr>
        <w:t xml:space="preserve"> </w:t>
      </w:r>
      <w:r w:rsidRPr="006D378F">
        <w:rPr>
          <w:rFonts w:ascii="Aptos" w:hAnsi="Aptos"/>
          <w:color w:val="000000" w:themeColor="text1"/>
        </w:rPr>
        <w:t>Child find does not, however, require a school district to evaluate a student whose parent has not requested such evaluation, even if the district is aware of the student's disability</w:t>
      </w:r>
      <w:r w:rsidR="00345FC6">
        <w:rPr>
          <w:rFonts w:ascii="Aptos" w:hAnsi="Aptos"/>
          <w:color w:val="000000" w:themeColor="text1"/>
        </w:rPr>
        <w:t>,</w:t>
      </w:r>
      <w:r w:rsidRPr="006D378F">
        <w:rPr>
          <w:rFonts w:ascii="Aptos" w:hAnsi="Aptos"/>
          <w:color w:val="000000" w:themeColor="text1"/>
        </w:rPr>
        <w:t xml:space="preserve"> if the district has insufficient reason to believe the disability has an adverse impact on the student's educational performance, such that the student needs special education and related services because of the </w:t>
      </w:r>
      <w:r w:rsidRPr="006D378F">
        <w:rPr>
          <w:rFonts w:ascii="Aptos" w:hAnsi="Aptos"/>
          <w:color w:val="000000" w:themeColor="text1"/>
        </w:rPr>
        <w:lastRenderedPageBreak/>
        <w:t>disability</w:t>
      </w:r>
      <w:r>
        <w:rPr>
          <w:rFonts w:ascii="Aptos" w:hAnsi="Aptos"/>
          <w:color w:val="000000" w:themeColor="text1"/>
        </w:rPr>
        <w:t>.</w:t>
      </w:r>
      <w:r>
        <w:rPr>
          <w:rStyle w:val="FootnoteReference"/>
          <w:rFonts w:ascii="Aptos" w:hAnsi="Aptos"/>
          <w:color w:val="000000" w:themeColor="text1"/>
        </w:rPr>
        <w:footnoteReference w:id="10"/>
      </w:r>
      <w:r>
        <w:rPr>
          <w:rFonts w:ascii="Aptos" w:hAnsi="Aptos"/>
          <w:color w:val="000000" w:themeColor="text1"/>
        </w:rPr>
        <w:t xml:space="preserve">  </w:t>
      </w:r>
      <w:r w:rsidRPr="00C474FE">
        <w:rPr>
          <w:rFonts w:ascii="Aptos" w:hAnsi="Aptos"/>
          <w:color w:val="000000" w:themeColor="text1"/>
        </w:rPr>
        <w:t>The IDEA's child find provision does not</w:t>
      </w:r>
      <w:r>
        <w:rPr>
          <w:rFonts w:ascii="Aptos" w:hAnsi="Aptos"/>
          <w:color w:val="000000" w:themeColor="text1"/>
        </w:rPr>
        <w:t xml:space="preserve"> </w:t>
      </w:r>
      <w:r w:rsidRPr="00C474FE">
        <w:rPr>
          <w:rFonts w:ascii="Aptos" w:hAnsi="Aptos"/>
          <w:color w:val="000000" w:themeColor="text1"/>
        </w:rPr>
        <w:t>“demand that schools conduct a formal evaluation of every struggling student.”</w:t>
      </w:r>
      <w:r>
        <w:rPr>
          <w:rStyle w:val="FootnoteReference"/>
          <w:rFonts w:ascii="Aptos" w:hAnsi="Aptos"/>
          <w:color w:val="000000" w:themeColor="text1"/>
        </w:rPr>
        <w:footnoteReference w:id="11"/>
      </w:r>
      <w:r w:rsidRPr="00C474FE">
        <w:rPr>
          <w:rFonts w:ascii="Aptos" w:hAnsi="Aptos"/>
          <w:color w:val="000000" w:themeColor="text1"/>
        </w:rPr>
        <w:t>  “A school's failure to diagnose a disability at the earliest possible moment is not </w:t>
      </w:r>
      <w:r w:rsidRPr="00C474FE">
        <w:rPr>
          <w:rFonts w:ascii="Aptos" w:hAnsi="Aptos"/>
          <w:i/>
          <w:iCs/>
          <w:color w:val="000000" w:themeColor="text1"/>
        </w:rPr>
        <w:t>per se</w:t>
      </w:r>
      <w:r w:rsidRPr="00C474FE">
        <w:rPr>
          <w:rFonts w:ascii="Aptos" w:hAnsi="Aptos"/>
          <w:color w:val="000000" w:themeColor="text1"/>
        </w:rPr>
        <w:t> actionable, in part because some disabilities ‘are notoriously difficult to diagnose ....’”</w:t>
      </w:r>
      <w:r>
        <w:rPr>
          <w:rStyle w:val="FootnoteReference"/>
          <w:rFonts w:ascii="Aptos" w:hAnsi="Aptos"/>
          <w:color w:val="000000" w:themeColor="text1"/>
        </w:rPr>
        <w:footnoteReference w:id="12"/>
      </w:r>
      <w:r w:rsidRPr="00C474FE">
        <w:rPr>
          <w:rFonts w:ascii="Aptos" w:hAnsi="Aptos"/>
          <w:color w:val="000000" w:themeColor="text1"/>
        </w:rPr>
        <w:t xml:space="preserve"> To establish a violation of the child find requirement, plaintiffs “must show that school officials overlooked clear signs of disability and were negligent in failing to order testing, or that there was no rational justification for not deciding to evaluate.”</w:t>
      </w:r>
      <w:r>
        <w:rPr>
          <w:rStyle w:val="FootnoteReference"/>
          <w:rFonts w:ascii="Aptos" w:hAnsi="Aptos"/>
          <w:color w:val="000000" w:themeColor="text1"/>
        </w:rPr>
        <w:footnoteReference w:id="13"/>
      </w:r>
    </w:p>
    <w:p w14:paraId="7D8F09E6" w14:textId="77777777" w:rsidR="00800040" w:rsidRPr="00800040" w:rsidRDefault="00800040" w:rsidP="00800040">
      <w:pPr>
        <w:rPr>
          <w:u w:val="single"/>
        </w:rPr>
      </w:pPr>
    </w:p>
    <w:p w14:paraId="139589FE" w14:textId="357D38F0" w:rsidR="00273F04" w:rsidRPr="00204F2D" w:rsidRDefault="00273F04" w:rsidP="00204F2D">
      <w:pPr>
        <w:pStyle w:val="ListParagraph"/>
        <w:numPr>
          <w:ilvl w:val="0"/>
          <w:numId w:val="5"/>
        </w:numPr>
        <w:rPr>
          <w:u w:val="single"/>
        </w:rPr>
      </w:pPr>
      <w:r w:rsidRPr="00204F2D">
        <w:rPr>
          <w:u w:val="single"/>
        </w:rPr>
        <w:t>FAPE and Unilateral Placement</w:t>
      </w:r>
    </w:p>
    <w:p w14:paraId="14031B86" w14:textId="77777777" w:rsidR="00204F2D" w:rsidRDefault="00204F2D" w:rsidP="00800040">
      <w:pPr>
        <w:ind w:left="360"/>
      </w:pPr>
    </w:p>
    <w:p w14:paraId="2CED30B9" w14:textId="77777777" w:rsidR="00800040" w:rsidRPr="00904FAA" w:rsidRDefault="00800040" w:rsidP="00800040">
      <w:pPr>
        <w:pStyle w:val="NormalWeb"/>
        <w:spacing w:before="0" w:beforeAutospacing="0" w:after="0" w:afterAutospacing="0"/>
        <w:textAlignment w:val="baseline"/>
        <w:rPr>
          <w:rFonts w:ascii="Aptos" w:hAnsi="Aptos"/>
          <w:color w:val="000000" w:themeColor="text1"/>
        </w:rPr>
      </w:pPr>
      <w:r w:rsidRPr="00904FAA">
        <w:rPr>
          <w:rFonts w:ascii="Aptos" w:hAnsi="Aptos"/>
          <w:color w:val="000000" w:themeColor="text1"/>
        </w:rPr>
        <w:t>The Individuals with Disabilities Education Act (IDEA) was enacted "to ensure that all children with disabilities have available to them a free appropriate public education" (FAPE).</w:t>
      </w:r>
      <w:r w:rsidRPr="00904FAA">
        <w:rPr>
          <w:rStyle w:val="FootnoteReference"/>
          <w:rFonts w:ascii="Aptos" w:eastAsiaTheme="majorEastAsia" w:hAnsi="Aptos"/>
          <w:color w:val="000000" w:themeColor="text1"/>
        </w:rPr>
        <w:footnoteReference w:id="14"/>
      </w:r>
      <w:r w:rsidRPr="00904FAA">
        <w:rPr>
          <w:rFonts w:ascii="Aptos" w:hAnsi="Aptos"/>
          <w:color w:val="000000" w:themeColor="text1"/>
        </w:rPr>
        <w:t xml:space="preserve">  To provide a student with a FAPE, a school district must follow identification, evaluation, program design, and implementation practices that ensure that each student with a disability receives an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Pr="00904FAA">
        <w:rPr>
          <w:rStyle w:val="FootnoteReference"/>
          <w:rFonts w:ascii="Aptos" w:eastAsiaTheme="majorEastAsia" w:hAnsi="Aptos"/>
          <w:color w:val="000000" w:themeColor="text1"/>
        </w:rPr>
        <w:footnoteReference w:id="15"/>
      </w:r>
      <w:r w:rsidRPr="00904FAA">
        <w:rPr>
          <w:rFonts w:ascii="Aptos" w:hAnsi="Aptos"/>
          <w:color w:val="000000" w:themeColor="text1"/>
        </w:rPr>
        <w:t>  Under state and federal special education law, a school district has an obligation to provide the services that comprise FAPE in the "least restrictive environment."</w:t>
      </w:r>
      <w:r w:rsidRPr="00904FAA">
        <w:rPr>
          <w:rStyle w:val="FootnoteReference"/>
          <w:rFonts w:ascii="Aptos" w:eastAsiaTheme="majorEastAsia" w:hAnsi="Aptos"/>
          <w:color w:val="000000" w:themeColor="text1"/>
        </w:rPr>
        <w:footnoteReference w:id="16"/>
      </w:r>
      <w:r w:rsidRPr="00904FAA">
        <w:rPr>
          <w:rFonts w:ascii="Aptos" w:hAnsi="Aptos"/>
          <w:color w:val="000000" w:themeColor="text1"/>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sidRPr="00904FAA">
        <w:rPr>
          <w:rStyle w:val="FootnoteReference"/>
          <w:rFonts w:ascii="Aptos" w:eastAsiaTheme="majorEastAsia" w:hAnsi="Aptos"/>
          <w:color w:val="000000" w:themeColor="text1"/>
        </w:rPr>
        <w:footnoteReference w:id="17"/>
      </w:r>
      <w:r w:rsidRPr="00904FAA">
        <w:rPr>
          <w:rFonts w:ascii="Aptos" w:hAnsi="Aptos"/>
          <w:color w:val="000000" w:themeColor="text1"/>
        </w:rPr>
        <w:t xml:space="preserve">  "The goal, then, is to find the least restrictive educational environment that will accommodate the child's legitimate needs."</w:t>
      </w:r>
      <w:r w:rsidRPr="00904FAA">
        <w:rPr>
          <w:rStyle w:val="FootnoteReference"/>
          <w:rFonts w:ascii="Aptos" w:eastAsiaTheme="majorEastAsia" w:hAnsi="Aptos"/>
          <w:color w:val="000000" w:themeColor="text1"/>
        </w:rPr>
        <w:footnoteReference w:id="18"/>
      </w:r>
      <w:r w:rsidRPr="00904FAA">
        <w:rPr>
          <w:rFonts w:ascii="Aptos" w:hAnsi="Aptos"/>
          <w:color w:val="000000" w:themeColor="text1"/>
        </w:rPr>
        <w:t xml:space="preserve">  </w:t>
      </w:r>
    </w:p>
    <w:p w14:paraId="2272E84C" w14:textId="77777777" w:rsidR="00800040" w:rsidRPr="00904FAA" w:rsidRDefault="00800040" w:rsidP="00800040">
      <w:pPr>
        <w:rPr>
          <w:rFonts w:ascii="Aptos" w:hAnsi="Aptos"/>
          <w:color w:val="000000" w:themeColor="text1"/>
        </w:rPr>
      </w:pPr>
    </w:p>
    <w:p w14:paraId="2D468334" w14:textId="77777777" w:rsidR="00800040" w:rsidRPr="00904FAA" w:rsidRDefault="00800040" w:rsidP="00800040">
      <w:pPr>
        <w:pStyle w:val="NormalWeb"/>
        <w:spacing w:before="0" w:beforeAutospacing="0" w:after="0" w:afterAutospacing="0"/>
        <w:textAlignment w:val="baseline"/>
        <w:rPr>
          <w:rFonts w:ascii="Aptos" w:hAnsi="Aptos"/>
          <w:color w:val="000000" w:themeColor="text1"/>
        </w:rPr>
      </w:pPr>
      <w:r w:rsidRPr="00904FAA">
        <w:rPr>
          <w:rFonts w:ascii="Aptos" w:hAnsi="Aptos"/>
          <w:color w:val="000000" w:themeColor="text1"/>
        </w:rPr>
        <w:t>An IEP must be individually tailored for the student for whom it is created.</w:t>
      </w:r>
      <w:r w:rsidRPr="00904FAA">
        <w:rPr>
          <w:rStyle w:val="FootnoteReference"/>
          <w:rFonts w:ascii="Aptos" w:eastAsiaTheme="majorEastAsia" w:hAnsi="Aptos"/>
          <w:color w:val="000000" w:themeColor="text1"/>
        </w:rPr>
        <w:footnoteReference w:id="19"/>
      </w:r>
      <w:r w:rsidRPr="00904FAA">
        <w:rPr>
          <w:rFonts w:ascii="Aptos" w:hAnsi="Aptos"/>
          <w:color w:val="000000" w:themeColor="text1"/>
        </w:rPr>
        <w:t xml:space="preserve">  When developing the IEP, the Team must consider parental concerns; the student's strengths, </w:t>
      </w:r>
      <w:r w:rsidRPr="00904FAA">
        <w:rPr>
          <w:rFonts w:ascii="Aptos" w:hAnsi="Aptos"/>
          <w:color w:val="000000" w:themeColor="text1"/>
        </w:rPr>
        <w:lastRenderedPageBreak/>
        <w:t>disabilities, recent evaluations, and present level of achievement; the academic, developmental, and functional needs of the child; and the child’s potential for growth.</w:t>
      </w:r>
      <w:r w:rsidRPr="00904FAA">
        <w:rPr>
          <w:rStyle w:val="FootnoteReference"/>
          <w:rFonts w:ascii="Aptos" w:eastAsiaTheme="majorEastAsia" w:hAnsi="Aptos"/>
          <w:color w:val="000000" w:themeColor="text1"/>
        </w:rPr>
        <w:footnoteReference w:id="20"/>
      </w:r>
      <w:r w:rsidRPr="00904FAA">
        <w:rPr>
          <w:rFonts w:ascii="Aptos" w:hAnsi="Aptos"/>
          <w:color w:val="000000" w:themeColor="text1"/>
        </w:rPr>
        <w:t xml:space="preserve">  Evaluating an IEP requires viewing it as "a snapshot, not a retrospective. In striving for 'appropriateness,’ an IEP must take into account what was . . . objectively reasonable . . . at the time the IEP was promulgated.”</w:t>
      </w:r>
      <w:r w:rsidRPr="00904FAA">
        <w:rPr>
          <w:rStyle w:val="FootnoteReference"/>
          <w:rFonts w:ascii="Aptos" w:eastAsiaTheme="majorEastAsia" w:hAnsi="Aptos"/>
          <w:color w:val="000000" w:themeColor="text1"/>
        </w:rPr>
        <w:footnoteReference w:id="21"/>
      </w:r>
      <w:r w:rsidRPr="00904FAA">
        <w:rPr>
          <w:rFonts w:ascii="Aptos" w:hAnsi="Aptos"/>
          <w:color w:val="000000" w:themeColor="text1"/>
        </w:rPr>
        <w:t xml:space="preserve"> </w:t>
      </w:r>
    </w:p>
    <w:p w14:paraId="05242255" w14:textId="77777777" w:rsidR="00800040" w:rsidRPr="00904FAA" w:rsidRDefault="00800040" w:rsidP="00800040">
      <w:pPr>
        <w:rPr>
          <w:rFonts w:ascii="Aptos" w:hAnsi="Aptos"/>
          <w:color w:val="000000" w:themeColor="text1"/>
          <w:shd w:val="clear" w:color="auto" w:fill="FFFFFF"/>
        </w:rPr>
      </w:pPr>
    </w:p>
    <w:p w14:paraId="5645D272" w14:textId="77777777" w:rsidR="00800040" w:rsidRPr="00904FAA" w:rsidRDefault="00800040" w:rsidP="00800040">
      <w:pPr>
        <w:rPr>
          <w:rStyle w:val="apple-converted-space"/>
          <w:rFonts w:ascii="Aptos" w:hAnsi="Aptos"/>
          <w:color w:val="000000" w:themeColor="text1"/>
        </w:rPr>
      </w:pPr>
      <w:r w:rsidRPr="00904FAA">
        <w:rPr>
          <w:rFonts w:ascii="Aptos" w:hAnsi="Aptos"/>
          <w:color w:val="000000" w:themeColor="text1"/>
          <w:shd w:val="clear" w:color="auto" w:fill="FFFFFF"/>
        </w:rPr>
        <w:t>At the same time, a FAPE does not require a school district to provide special education and related services that will maximize a student’s educational potential.</w:t>
      </w:r>
      <w:r w:rsidRPr="00904FAA">
        <w:rPr>
          <w:rStyle w:val="FootnoteReference"/>
          <w:rFonts w:ascii="Aptos" w:hAnsi="Aptos"/>
          <w:color w:val="000000" w:themeColor="text1"/>
          <w:shd w:val="clear" w:color="auto" w:fill="FFFFFF"/>
        </w:rPr>
        <w:footnoteReference w:id="22"/>
      </w:r>
      <w:r w:rsidRPr="00904FAA">
        <w:rPr>
          <w:rFonts w:ascii="Aptos" w:hAnsi="Aptos"/>
          <w:color w:val="000000" w:themeColor="text1"/>
          <w:vertAlign w:val="superscript"/>
        </w:rPr>
        <w:t xml:space="preserve"> </w:t>
      </w:r>
      <w:r w:rsidRPr="00904FAA">
        <w:rPr>
          <w:rFonts w:ascii="Aptos" w:hAnsi="Aptos"/>
          <w:color w:val="000000" w:themeColor="text1"/>
        </w:rPr>
        <w:t>In </w:t>
      </w:r>
      <w:r w:rsidRPr="00904FAA">
        <w:rPr>
          <w:rFonts w:ascii="Aptos" w:hAnsi="Aptos"/>
          <w:i/>
          <w:iCs/>
          <w:color w:val="000000" w:themeColor="text1"/>
        </w:rPr>
        <w:t>Endrew F.,</w:t>
      </w:r>
      <w:r w:rsidRPr="00904FAA">
        <w:rPr>
          <w:rFonts w:ascii="Aptos" w:hAnsi="Aptos"/>
          <w:color w:val="000000" w:themeColor="text1"/>
        </w:rPr>
        <w:t xml:space="preserve"> the Supreme</w:t>
      </w:r>
      <w:r w:rsidRPr="00904FAA">
        <w:rPr>
          <w:rFonts w:ascii="Aptos" w:hAnsi="Aptos"/>
          <w:i/>
          <w:iCs/>
          <w:color w:val="000000" w:themeColor="text1"/>
        </w:rPr>
        <w:t> </w:t>
      </w:r>
      <w:r w:rsidRPr="00904FAA">
        <w:rPr>
          <w:rFonts w:ascii="Aptos" w:hAnsi="Aptos"/>
          <w:color w:val="000000" w:themeColor="text1"/>
        </w:rPr>
        <w:t xml:space="preserve">Court explained that </w:t>
      </w:r>
      <w:bookmarkStart w:id="0" w:name="ctx1"/>
      <w:r w:rsidRPr="00904FAA">
        <w:rPr>
          <w:rFonts w:ascii="Aptos" w:hAnsi="Aptos"/>
          <w:color w:val="000000" w:themeColor="text1"/>
        </w:rPr>
        <w:t>appropriate progress</w:t>
      </w:r>
      <w:bookmarkEnd w:id="0"/>
      <w:r w:rsidRPr="00904FAA">
        <w:rPr>
          <w:rFonts w:ascii="Aptos" w:hAnsi="Aptos"/>
          <w:color w:val="000000" w:themeColor="text1"/>
        </w:rPr>
        <w:t> will look different depending on the student.</w:t>
      </w:r>
      <w:r w:rsidRPr="00904FAA">
        <w:rPr>
          <w:rStyle w:val="FootnoteReference"/>
          <w:rFonts w:ascii="Aptos" w:hAnsi="Aptos"/>
          <w:color w:val="000000" w:themeColor="text1"/>
        </w:rPr>
        <w:footnoteReference w:id="23"/>
      </w:r>
      <w:r w:rsidRPr="00904FAA">
        <w:rPr>
          <w:rFonts w:ascii="Aptos" w:hAnsi="Aptos"/>
          <w:color w:val="000000" w:themeColor="text1"/>
        </w:rPr>
        <w:t xml:space="preserve">  An individual analysis of a student’s progress in his/her areas of need is key.</w:t>
      </w:r>
      <w:r w:rsidRPr="00904FAA">
        <w:rPr>
          <w:rStyle w:val="FootnoteReference"/>
          <w:rFonts w:ascii="Aptos" w:hAnsi="Aptos"/>
          <w:color w:val="000000" w:themeColor="text1"/>
        </w:rPr>
        <w:footnoteReference w:id="24"/>
      </w:r>
      <w:r w:rsidRPr="00904FAA">
        <w:rPr>
          <w:rFonts w:ascii="Aptos" w:hAnsi="Aptos"/>
          <w:color w:val="000000" w:themeColor="text1"/>
        </w:rPr>
        <w:t xml:space="preserve">  The educational services provided to a student, therefore, need not be, "the only appropriate choice, or the choice of certain selected experts, or the child's parents' first choice, or even the best choice."</w:t>
      </w:r>
      <w:r w:rsidRPr="00904FAA">
        <w:rPr>
          <w:rStyle w:val="FootnoteReference"/>
          <w:rFonts w:ascii="Aptos" w:hAnsi="Aptos"/>
          <w:color w:val="000000" w:themeColor="text1"/>
        </w:rPr>
        <w:footnoteReference w:id="25"/>
      </w:r>
      <w:r w:rsidRPr="00904FAA">
        <w:rPr>
          <w:rFonts w:ascii="Aptos" w:hAnsi="Aptos"/>
          <w:color w:val="000000" w:themeColor="text1"/>
        </w:rPr>
        <w:t xml:space="preserve"> Although parental participation in the planning, development, delivery, and monitoring of special education services is central in IDEA, MGL c. 71B, and corresponding regulations,</w:t>
      </w:r>
      <w:r w:rsidRPr="00904FAA">
        <w:rPr>
          <w:rStyle w:val="FootnoteReference"/>
          <w:rFonts w:ascii="Aptos" w:hAnsi="Aptos"/>
          <w:color w:val="000000" w:themeColor="text1"/>
        </w:rPr>
        <w:footnoteReference w:id="26"/>
      </w:r>
      <w:r w:rsidRPr="00904FAA">
        <w:rPr>
          <w:rFonts w:ascii="Aptos" w:hAnsi="Aptos"/>
          <w:color w:val="000000" w:themeColor="text1"/>
        </w:rPr>
        <w:t xml:space="preserve"> school districts are obligated to propose what they believe to be FAPE in the LRE, “whether or not the parents are in agreement.”</w:t>
      </w:r>
      <w:r w:rsidRPr="00904FAA">
        <w:rPr>
          <w:rStyle w:val="FootnoteReference"/>
          <w:rFonts w:ascii="Aptos" w:hAnsi="Aptos"/>
          <w:color w:val="000000" w:themeColor="text1"/>
        </w:rPr>
        <w:footnoteReference w:id="27"/>
      </w:r>
      <w:r w:rsidRPr="00904FAA">
        <w:rPr>
          <w:rFonts w:ascii="Aptos" w:hAnsi="Aptos"/>
          <w:color w:val="000000" w:themeColor="text1"/>
        </w:rPr>
        <w:t xml:space="preserve">  </w:t>
      </w:r>
    </w:p>
    <w:p w14:paraId="58B4D8C7" w14:textId="77777777" w:rsidR="00800040" w:rsidRPr="00273F04" w:rsidRDefault="00800040" w:rsidP="00800040">
      <w:pPr>
        <w:ind w:left="360"/>
      </w:pPr>
    </w:p>
    <w:p w14:paraId="4442E4D9" w14:textId="77777777" w:rsidR="00800040" w:rsidRPr="00904FAA" w:rsidRDefault="00800040" w:rsidP="00800040">
      <w:pPr>
        <w:rPr>
          <w:rStyle w:val="apple-converted-space"/>
          <w:rFonts w:ascii="Aptos" w:hAnsi="Aptos"/>
          <w:color w:val="000000" w:themeColor="text1"/>
          <w:shd w:val="clear" w:color="auto" w:fill="FFFFFF"/>
        </w:rPr>
      </w:pPr>
      <w:r w:rsidRPr="00904FAA">
        <w:rPr>
          <w:rFonts w:ascii="Aptos" w:hAnsi="Aptos"/>
          <w:color w:val="000000" w:themeColor="text1"/>
          <w:shd w:val="clear" w:color="auto" w:fill="FFFFFF"/>
        </w:rPr>
        <w:t>When parents elect to place a student unilaterally in a private school notwithstanding the availability of a FAPE through the school district, parents retain responsibility for the cost of that education.</w:t>
      </w:r>
      <w:r w:rsidRPr="00904FAA">
        <w:rPr>
          <w:rStyle w:val="FootnoteReference"/>
          <w:rFonts w:ascii="Aptos" w:hAnsi="Aptos"/>
          <w:color w:val="000000" w:themeColor="text1"/>
          <w:shd w:val="clear" w:color="auto" w:fill="FFFFFF"/>
        </w:rPr>
        <w:footnoteReference w:id="28"/>
      </w:r>
      <w:r w:rsidRPr="00904FAA">
        <w:rPr>
          <w:rFonts w:ascii="Aptos" w:hAnsi="Aptos"/>
          <w:color w:val="000000" w:themeColor="text1"/>
          <w:shd w:val="clear" w:color="auto" w:fill="FFFFFF"/>
        </w:rPr>
        <w:t xml:space="preserve">  However, parents who enroll a student in a private school without the consent of or referral by the school district may obtain reimbursement</w:t>
      </w:r>
      <w:r w:rsidRPr="00904FAA">
        <w:rPr>
          <w:rStyle w:val="apple-converted-space"/>
          <w:rFonts w:ascii="Aptos" w:hAnsi="Aptos"/>
          <w:color w:val="000000" w:themeColor="text1"/>
          <w:shd w:val="clear" w:color="auto" w:fill="FFFFFF"/>
        </w:rPr>
        <w:t> </w:t>
      </w:r>
      <w:r w:rsidRPr="00904FAA">
        <w:rPr>
          <w:rFonts w:ascii="Aptos" w:hAnsi="Aptos"/>
          <w:color w:val="000000" w:themeColor="text1"/>
          <w:shd w:val="clear" w:color="auto" w:fill="FFFFFF"/>
        </w:rPr>
        <w:t xml:space="preserve">if a hearing officer finds both that the school district "had not made FAPE available to the child in a timely </w:t>
      </w:r>
      <w:r w:rsidRPr="00904FAA">
        <w:rPr>
          <w:rFonts w:ascii="Aptos" w:hAnsi="Aptos"/>
          <w:color w:val="000000" w:themeColor="text1"/>
          <w:shd w:val="clear" w:color="auto" w:fill="FFFFFF"/>
        </w:rPr>
        <w:lastRenderedPageBreak/>
        <w:t>manner prior to that enrollment and that the private placement is appropriate" for the student.</w:t>
      </w:r>
      <w:r w:rsidRPr="00904FAA">
        <w:rPr>
          <w:rStyle w:val="FootnoteReference"/>
          <w:rFonts w:ascii="Aptos" w:hAnsi="Aptos"/>
          <w:color w:val="000000" w:themeColor="text1"/>
          <w:shd w:val="clear" w:color="auto" w:fill="FFFFFF"/>
        </w:rPr>
        <w:footnoteReference w:id="29"/>
      </w:r>
      <w:r w:rsidRPr="00904FAA">
        <w:rPr>
          <w:rStyle w:val="apple-converted-space"/>
          <w:rFonts w:ascii="Aptos" w:hAnsi="Aptos"/>
          <w:color w:val="000000" w:themeColor="text1"/>
          <w:shd w:val="clear" w:color="auto" w:fill="FFFFFF"/>
        </w:rPr>
        <w:t> </w:t>
      </w:r>
    </w:p>
    <w:p w14:paraId="55522A94" w14:textId="77777777" w:rsidR="00800040" w:rsidRPr="00904FAA" w:rsidRDefault="00800040" w:rsidP="00800040">
      <w:pPr>
        <w:rPr>
          <w:rStyle w:val="apple-converted-space"/>
          <w:rFonts w:ascii="Aptos" w:hAnsi="Aptos"/>
          <w:color w:val="000000" w:themeColor="text1"/>
          <w:shd w:val="clear" w:color="auto" w:fill="FFFFFF"/>
        </w:rPr>
      </w:pPr>
    </w:p>
    <w:p w14:paraId="1E7C312E" w14:textId="3B199643" w:rsidR="00204F2D" w:rsidRPr="00800040" w:rsidRDefault="00800040" w:rsidP="00273F04">
      <w:pPr>
        <w:rPr>
          <w:rFonts w:ascii="Aptos" w:hAnsi="Aptos"/>
          <w:color w:val="000000" w:themeColor="text1"/>
        </w:rPr>
      </w:pPr>
      <w:r w:rsidRPr="00904FAA">
        <w:rPr>
          <w:rFonts w:ascii="Aptos" w:hAnsi="Aptos"/>
          <w:color w:val="000000" w:themeColor="text1"/>
        </w:rPr>
        <w:t>Parents are entitled to reimbursement for a private placement if (1) the school district's proposed placement violated the IDEA, (2) the parent's alternative private placement was appropriate, and (3) equitable considerations favor reimbursement.</w:t>
      </w:r>
      <w:r w:rsidRPr="00904FAA">
        <w:rPr>
          <w:rStyle w:val="FootnoteReference"/>
          <w:rFonts w:ascii="Aptos" w:hAnsi="Aptos"/>
          <w:color w:val="000000" w:themeColor="text1"/>
        </w:rPr>
        <w:footnoteReference w:id="30"/>
      </w:r>
      <w:r w:rsidRPr="00904FAA">
        <w:rPr>
          <w:rFonts w:ascii="Aptos" w:hAnsi="Aptos"/>
          <w:color w:val="000000" w:themeColor="text1"/>
        </w:rPr>
        <w:t>  In other words, parents may be entitled to reimbursement for their unilateral placement if, after demonstrating that the district's proposed IEP and placement were not appropriate, they demonstrate that their chosen placement was appropriately responsive to the student's needs. To be reimbursed, parents' chosen placement need not meet state standards for special education schools, provided that the school chosen by the parents is "otherwise proper" under the IDEA or "appropriately responsive to [the child's] special needs."</w:t>
      </w:r>
      <w:r w:rsidRPr="00904FAA">
        <w:rPr>
          <w:rStyle w:val="FootnoteReference"/>
          <w:rFonts w:ascii="Aptos" w:hAnsi="Aptos"/>
          <w:color w:val="000000" w:themeColor="text1"/>
        </w:rPr>
        <w:footnoteReference w:id="31"/>
      </w:r>
      <w:r w:rsidRPr="00904FAA">
        <w:rPr>
          <w:rFonts w:ascii="Aptos" w:hAnsi="Aptos"/>
          <w:color w:val="000000" w:themeColor="text1"/>
        </w:rPr>
        <w:t xml:space="preserve"> Hence, </w:t>
      </w:r>
      <w:r w:rsidRPr="00904FAA">
        <w:rPr>
          <w:rFonts w:ascii="Aptos" w:hAnsi="Aptos"/>
          <w:color w:val="000000" w:themeColor="text1"/>
          <w:shd w:val="clear" w:color="auto" w:fill="FFFFFF"/>
        </w:rPr>
        <w:t>the review of the private placement “is more informal than review of the original IEP: a private placement need not meet the </w:t>
      </w:r>
      <w:r w:rsidRPr="00904FAA">
        <w:rPr>
          <w:rStyle w:val="coconcept14"/>
          <w:rFonts w:ascii="Aptos" w:hAnsi="Aptos"/>
          <w:color w:val="000000" w:themeColor="text1"/>
          <w:bdr w:val="none" w:sz="0" w:space="0" w:color="auto" w:frame="1"/>
          <w:shd w:val="clear" w:color="auto" w:fill="FFFFFF"/>
        </w:rPr>
        <w:t>IDEA</w:t>
      </w:r>
      <w:r w:rsidRPr="00904FAA">
        <w:rPr>
          <w:rFonts w:ascii="Aptos" w:hAnsi="Aptos"/>
          <w:color w:val="000000" w:themeColor="text1"/>
          <w:shd w:val="clear" w:color="auto" w:fill="FFFFFF"/>
        </w:rPr>
        <w:t> requirement for a FAPE.”</w:t>
      </w:r>
      <w:r w:rsidRPr="00904FAA">
        <w:rPr>
          <w:rStyle w:val="FootnoteReference"/>
          <w:rFonts w:ascii="Aptos" w:hAnsi="Aptos"/>
          <w:color w:val="000000" w:themeColor="text1"/>
          <w:shd w:val="clear" w:color="auto" w:fill="FFFFFF"/>
        </w:rPr>
        <w:footnoteReference w:id="32"/>
      </w:r>
    </w:p>
    <w:p w14:paraId="7E7AF0FE" w14:textId="2673B7AC" w:rsidR="00204F2D" w:rsidRDefault="00204F2D" w:rsidP="00273F04">
      <w:r>
        <w:t xml:space="preserve"> </w:t>
      </w:r>
    </w:p>
    <w:p w14:paraId="30E91A94" w14:textId="3C38BD93" w:rsidR="00273F04" w:rsidRPr="00204F2D" w:rsidRDefault="00273F04" w:rsidP="00204F2D">
      <w:pPr>
        <w:pStyle w:val="ListParagraph"/>
        <w:numPr>
          <w:ilvl w:val="0"/>
          <w:numId w:val="4"/>
        </w:numPr>
        <w:rPr>
          <w:b/>
          <w:bCs/>
        </w:rPr>
      </w:pPr>
      <w:r w:rsidRPr="00204F2D">
        <w:rPr>
          <w:b/>
          <w:bCs/>
        </w:rPr>
        <w:t>Analysis</w:t>
      </w:r>
    </w:p>
    <w:p w14:paraId="2F6120EC" w14:textId="77777777" w:rsidR="00204F2D" w:rsidRPr="00273F04" w:rsidRDefault="00204F2D" w:rsidP="00204F2D">
      <w:pPr>
        <w:pStyle w:val="ListParagraph"/>
      </w:pPr>
    </w:p>
    <w:p w14:paraId="79AD6333" w14:textId="77777777" w:rsidR="00273F04" w:rsidRPr="00273F04" w:rsidRDefault="00273F04" w:rsidP="00273F04">
      <w:r w:rsidRPr="00273F04">
        <w:t>To determine whether each of the challenged claims survives the District's </w:t>
      </w:r>
      <w:r w:rsidRPr="00273F04">
        <w:rPr>
          <w:i/>
          <w:iCs/>
        </w:rPr>
        <w:t>Motion</w:t>
      </w:r>
      <w:r w:rsidRPr="00273F04">
        <w:t>, I must determine whether the evidence and reasonable inferences that may be drawn therefrom, construed in the light most favorable to Parents, is sufficient to support a decision in their favor by a preponderance of the evidence on each required element of that claim.</w:t>
      </w:r>
    </w:p>
    <w:p w14:paraId="3877E6A6" w14:textId="77777777" w:rsidR="00800040" w:rsidRDefault="00800040" w:rsidP="00273F04"/>
    <w:p w14:paraId="0BC387A7" w14:textId="79821667" w:rsidR="00273F04" w:rsidRDefault="00273F04" w:rsidP="00273F04">
      <w:r w:rsidRPr="00273F04">
        <w:t xml:space="preserve">In analyzing Parents' claims, I bear in mind that </w:t>
      </w:r>
      <w:r w:rsidR="00241CB7">
        <w:t>Parent</w:t>
      </w:r>
      <w:r w:rsidR="00D53D3A">
        <w:t>s</w:t>
      </w:r>
      <w:r w:rsidR="00241CB7">
        <w:t xml:space="preserve"> in the instant matter are appearing g pro se</w:t>
      </w:r>
      <w:r w:rsidRPr="00273F04">
        <w:t>.</w:t>
      </w:r>
      <w:r w:rsidR="00204F2D" w:rsidRPr="00273F04">
        <w:t xml:space="preserve"> </w:t>
      </w:r>
      <w:r w:rsidRPr="00273F04">
        <w:t>According to the First Circuit Court of Appeals, complaints filed by </w:t>
      </w:r>
      <w:r w:rsidRPr="00273F04">
        <w:rPr>
          <w:i/>
          <w:iCs/>
        </w:rPr>
        <w:t>pro se</w:t>
      </w:r>
      <w:r w:rsidRPr="00273F04">
        <w:t> parties should be construed liberally.</w:t>
      </w:r>
      <w:r w:rsidR="00800040">
        <w:rPr>
          <w:rStyle w:val="FootnoteReference"/>
        </w:rPr>
        <w:footnoteReference w:id="33"/>
      </w:r>
      <w:r w:rsidR="00800040" w:rsidRPr="00273F04">
        <w:t xml:space="preserve"> </w:t>
      </w:r>
      <w:r w:rsidRPr="00273F04">
        <w:t xml:space="preserve">"The policy behind affording pro se plaintiffs liberal interpretation is that if they present sufficient facts [to state a claim], the court may intuit </w:t>
      </w:r>
      <w:r w:rsidRPr="00273F04">
        <w:lastRenderedPageBreak/>
        <w:t>the correct cause of action, even if it was imperfectly pled.</w:t>
      </w:r>
      <w:r w:rsidR="00800040">
        <w:rPr>
          <w:rStyle w:val="FootnoteReference"/>
        </w:rPr>
        <w:footnoteReference w:id="34"/>
      </w:r>
      <w:r w:rsidR="00800040" w:rsidRPr="00273F04">
        <w:t xml:space="preserve"> </w:t>
      </w:r>
      <w:r w:rsidRPr="00273F04">
        <w:t>This principle aligns with "[o]ur judicial system [, which] zealously guards the attempts of pro se litigants on their own behalf" while not ignoring the need for compliance with procedural and substantive law.</w:t>
      </w:r>
      <w:r w:rsidR="00800040">
        <w:rPr>
          <w:rStyle w:val="FootnoteReference"/>
        </w:rPr>
        <w:footnoteReference w:id="35"/>
      </w:r>
      <w:r w:rsidR="00800040" w:rsidRPr="00273F04">
        <w:t xml:space="preserve"> </w:t>
      </w:r>
      <w:r w:rsidRPr="00273F04">
        <w:t>Although the instant </w:t>
      </w:r>
      <w:r w:rsidRPr="00273F04">
        <w:rPr>
          <w:i/>
          <w:iCs/>
        </w:rPr>
        <w:t>Motion</w:t>
      </w:r>
      <w:r w:rsidRPr="00273F04">
        <w:t> was made after the close of Parents' evidence rather than on their initial pleadings, in keeping with this principle I exercise particular caution before dismissing Parents' claims prior to adjudication.</w:t>
      </w:r>
    </w:p>
    <w:p w14:paraId="6A8CF826" w14:textId="77777777" w:rsidR="00204F2D" w:rsidRPr="00273F04" w:rsidRDefault="00204F2D" w:rsidP="00273F04"/>
    <w:p w14:paraId="6737C956" w14:textId="79294079" w:rsidR="00273F04" w:rsidRPr="00800040" w:rsidRDefault="00204F2D" w:rsidP="00204F2D">
      <w:pPr>
        <w:pStyle w:val="ListParagraph"/>
        <w:numPr>
          <w:ilvl w:val="0"/>
          <w:numId w:val="6"/>
        </w:numPr>
        <w:rPr>
          <w:u w:val="single"/>
        </w:rPr>
      </w:pPr>
      <w:r w:rsidRPr="00800040">
        <w:rPr>
          <w:u w:val="single"/>
        </w:rPr>
        <w:t>Child Find</w:t>
      </w:r>
    </w:p>
    <w:p w14:paraId="6B7EA024" w14:textId="77777777" w:rsidR="00204F2D" w:rsidRDefault="00204F2D" w:rsidP="00273F04"/>
    <w:p w14:paraId="6233E6DF" w14:textId="63F74749" w:rsidR="00273F04" w:rsidRPr="00273F04" w:rsidRDefault="00273F04" w:rsidP="00273F04">
      <w:r w:rsidRPr="00273F04">
        <w:t>In their </w:t>
      </w:r>
      <w:r w:rsidRPr="00273F04">
        <w:rPr>
          <w:i/>
          <w:iCs/>
        </w:rPr>
        <w:t>Hearing Request</w:t>
      </w:r>
      <w:r w:rsidRPr="00273F04">
        <w:t xml:space="preserve">, Parents assert that </w:t>
      </w:r>
      <w:r w:rsidR="00800040">
        <w:t>Arlington</w:t>
      </w:r>
      <w:r w:rsidRPr="00273F04">
        <w:t xml:space="preserve"> failed to </w:t>
      </w:r>
      <w:r w:rsidR="00800040">
        <w:t xml:space="preserve">identify Student in September 2022 as a child with a disability requiring special education and related services. </w:t>
      </w:r>
      <w:r w:rsidRPr="00273F04">
        <w:t xml:space="preserve"> In its </w:t>
      </w:r>
      <w:r w:rsidRPr="00273F04">
        <w:rPr>
          <w:i/>
          <w:iCs/>
        </w:rPr>
        <w:t>Motion</w:t>
      </w:r>
      <w:r w:rsidRPr="00273F04">
        <w:t xml:space="preserve">, </w:t>
      </w:r>
      <w:r w:rsidR="00800040">
        <w:t>Arlington</w:t>
      </w:r>
      <w:r w:rsidRPr="00273F04">
        <w:t xml:space="preserve"> contends that Parents have offered no evidence to support this claim. </w:t>
      </w:r>
      <w:r w:rsidR="00800040">
        <w:t>T</w:t>
      </w:r>
      <w:r w:rsidRPr="00273F04">
        <w:t>he testimony provided during Parents' case in chief</w:t>
      </w:r>
      <w:r w:rsidR="00146C77">
        <w:t>,</w:t>
      </w:r>
      <w:r w:rsidR="00800040">
        <w:t xml:space="preserve"> together with</w:t>
      </w:r>
      <w:r w:rsidR="00162D6D">
        <w:t xml:space="preserve"> the documentary evidence, including email communications between Parents and school staff, may prove to be </w:t>
      </w:r>
      <w:r w:rsidR="00162D6D" w:rsidRPr="00273F04">
        <w:t>sufficient for them to meet their burden on this claim.</w:t>
      </w:r>
      <w:r w:rsidR="00800040">
        <w:t xml:space="preserve"> </w:t>
      </w:r>
      <w:r w:rsidR="0085209D">
        <w:t xml:space="preserve"> </w:t>
      </w:r>
      <w:r w:rsidRPr="00273F04">
        <w:t xml:space="preserve">As such, I cannot say with certainty that at the time </w:t>
      </w:r>
      <w:r w:rsidR="00800040">
        <w:t>Arlington</w:t>
      </w:r>
      <w:r w:rsidRPr="00273F04">
        <w:t xml:space="preserve"> made its </w:t>
      </w:r>
      <w:r w:rsidRPr="00273F04">
        <w:rPr>
          <w:i/>
          <w:iCs/>
        </w:rPr>
        <w:t>Motion</w:t>
      </w:r>
      <w:r w:rsidRPr="00273F04">
        <w:t>, the evidence and inferences that might be drawn therefore, construed liberally in the light most favorable to Parents, could not support a decision in Parents' favor.</w:t>
      </w:r>
    </w:p>
    <w:p w14:paraId="7AE801F2" w14:textId="77777777" w:rsidR="00204F2D" w:rsidRDefault="00204F2D" w:rsidP="00273F04"/>
    <w:p w14:paraId="7C2CD1CC" w14:textId="1DBC9EFD" w:rsidR="00273F04" w:rsidRPr="00204F2D" w:rsidRDefault="00273F04" w:rsidP="0078321C">
      <w:pPr>
        <w:pStyle w:val="ListParagraph"/>
        <w:numPr>
          <w:ilvl w:val="0"/>
          <w:numId w:val="6"/>
        </w:numPr>
        <w:rPr>
          <w:u w:val="single"/>
        </w:rPr>
      </w:pPr>
      <w:r w:rsidRPr="00204F2D">
        <w:rPr>
          <w:u w:val="single"/>
        </w:rPr>
        <w:t xml:space="preserve">FAPE </w:t>
      </w:r>
    </w:p>
    <w:p w14:paraId="558CFB48" w14:textId="77777777" w:rsidR="00204F2D" w:rsidRPr="00273F04" w:rsidRDefault="00204F2D" w:rsidP="00204F2D">
      <w:pPr>
        <w:pStyle w:val="ListParagraph"/>
      </w:pPr>
    </w:p>
    <w:p w14:paraId="5E7988AD" w14:textId="40DDDDF8" w:rsidR="00273F04" w:rsidRPr="00273F04" w:rsidRDefault="00273F04" w:rsidP="00273F04">
      <w:r w:rsidRPr="00273F04">
        <w:t>In their </w:t>
      </w:r>
      <w:r w:rsidRPr="00273F04">
        <w:rPr>
          <w:i/>
          <w:iCs/>
        </w:rPr>
        <w:t>Hearing Request</w:t>
      </w:r>
      <w:r w:rsidRPr="00273F04">
        <w:t xml:space="preserve">, Parents contend that the IEPs proposed for </w:t>
      </w:r>
      <w:r w:rsidR="00800040">
        <w:t>Student from February 2023</w:t>
      </w:r>
      <w:r w:rsidR="00236BBA">
        <w:t xml:space="preserve"> until her unilateral placement for the 20224-2025</w:t>
      </w:r>
      <w:r w:rsidRPr="00273F04">
        <w:t xml:space="preserve"> school year were not reasonably calculated to provide her with a FAPE. In its </w:t>
      </w:r>
      <w:r w:rsidRPr="00273F04">
        <w:rPr>
          <w:i/>
          <w:iCs/>
        </w:rPr>
        <w:t>Motion</w:t>
      </w:r>
      <w:r w:rsidRPr="00273F04">
        <w:t xml:space="preserve">, </w:t>
      </w:r>
      <w:r w:rsidR="00236BBA">
        <w:t>Arlington</w:t>
      </w:r>
      <w:r w:rsidRPr="00273F04">
        <w:t xml:space="preserve"> argues that Parents have produced no evidence to demonstrate that these IEPs were anything but appropriate to meet </w:t>
      </w:r>
      <w:r w:rsidR="00236BBA">
        <w:t>Student’s</w:t>
      </w:r>
      <w:r w:rsidRPr="00273F04">
        <w:t xml:space="preserve"> needs. Although the testimony provided prior to the </w:t>
      </w:r>
      <w:r w:rsidRPr="00273F04">
        <w:rPr>
          <w:i/>
          <w:iCs/>
        </w:rPr>
        <w:t>Motion</w:t>
      </w:r>
      <w:r w:rsidRPr="00273F04">
        <w:t> </w:t>
      </w:r>
      <w:r w:rsidR="003F21F3">
        <w:t xml:space="preserve">alone </w:t>
      </w:r>
      <w:r w:rsidR="00236BBA">
        <w:t>may be insufficient to meet their burden</w:t>
      </w:r>
      <w:r w:rsidRPr="00273F04">
        <w:t xml:space="preserve"> </w:t>
      </w:r>
      <w:r w:rsidR="00236BBA">
        <w:t>on</w:t>
      </w:r>
      <w:r w:rsidRPr="00273F04">
        <w:t xml:space="preserve"> Parents' FAPE claims, written documents admitted into evidence </w:t>
      </w:r>
      <w:r w:rsidR="00236BBA">
        <w:t xml:space="preserve">may </w:t>
      </w:r>
      <w:r w:rsidRPr="00273F04">
        <w:t xml:space="preserve">demonstrate that </w:t>
      </w:r>
      <w:r w:rsidR="00236BBA">
        <w:t>Student’s reading and health needs</w:t>
      </w:r>
      <w:r w:rsidRPr="00273F04">
        <w:t xml:space="preserve"> </w:t>
      </w:r>
      <w:r w:rsidR="00236BBA">
        <w:t>were not properly addressed during the relevant time period</w:t>
      </w:r>
      <w:r w:rsidRPr="00273F04">
        <w:t xml:space="preserve">. Therefore, I cannot say with certainty that at the time </w:t>
      </w:r>
      <w:r w:rsidR="00236BBA">
        <w:t>Arlington</w:t>
      </w:r>
      <w:r w:rsidRPr="00273F04">
        <w:t xml:space="preserve"> made its </w:t>
      </w:r>
      <w:r w:rsidRPr="00273F04">
        <w:rPr>
          <w:i/>
          <w:iCs/>
        </w:rPr>
        <w:t>Motion</w:t>
      </w:r>
      <w:r w:rsidRPr="00273F04">
        <w:t>, the evidence and inferences that might be drawn therefrom, construed liberally in the light most favorable to Parents, could not support a decision in Parents' favor on their FAPE claims.</w:t>
      </w:r>
      <w:hyperlink r:id="rId8" w:anchor="N_33_" w:history="1"/>
      <w:r w:rsidR="00236BBA">
        <w:rPr>
          <w:rStyle w:val="FootnoteReference"/>
        </w:rPr>
        <w:footnoteReference w:id="36"/>
      </w:r>
    </w:p>
    <w:p w14:paraId="1B494706" w14:textId="7D3FAAFA" w:rsidR="00273F04" w:rsidRPr="00273F04" w:rsidRDefault="00273F04" w:rsidP="00273F04"/>
    <w:p w14:paraId="65366182" w14:textId="77777777" w:rsidR="00273F04" w:rsidRPr="00273F04" w:rsidRDefault="00273F04" w:rsidP="00273F04">
      <w:pPr>
        <w:rPr>
          <w:b/>
          <w:bCs/>
        </w:rPr>
      </w:pPr>
      <w:r w:rsidRPr="00273F04">
        <w:rPr>
          <w:b/>
          <w:bCs/>
        </w:rPr>
        <w:t>III. </w:t>
      </w:r>
      <w:r w:rsidRPr="00273F04">
        <w:rPr>
          <w:b/>
          <w:bCs/>
          <w:u w:val="single"/>
        </w:rPr>
        <w:t>CONCLUSION</w:t>
      </w:r>
    </w:p>
    <w:p w14:paraId="2597436E" w14:textId="77777777" w:rsidR="00204F2D" w:rsidRDefault="00204F2D" w:rsidP="00273F04"/>
    <w:p w14:paraId="72479822" w14:textId="638F72EF" w:rsidR="00273F04" w:rsidRPr="00273F04" w:rsidRDefault="00273F04" w:rsidP="00273F04">
      <w:r w:rsidRPr="00273F04">
        <w:t xml:space="preserve">At the time </w:t>
      </w:r>
      <w:r w:rsidR="00204F2D">
        <w:t>Arlington</w:t>
      </w:r>
      <w:r w:rsidRPr="00273F04">
        <w:t xml:space="preserve"> made its oral </w:t>
      </w:r>
      <w:r w:rsidRPr="00273F04">
        <w:rPr>
          <w:i/>
          <w:iCs/>
        </w:rPr>
        <w:t>Motion for Directed Verdict</w:t>
      </w:r>
      <w:r w:rsidRPr="00273F04">
        <w:t>,</w:t>
      </w:r>
      <w:r w:rsidR="00FB4032" w:rsidRPr="00273F04">
        <w:t xml:space="preserve"> the testimony of </w:t>
      </w:r>
      <w:r w:rsidR="00FB4032">
        <w:t xml:space="preserve">Parents’ </w:t>
      </w:r>
      <w:r w:rsidR="00FB4032" w:rsidRPr="00273F04">
        <w:t>one witness</w:t>
      </w:r>
      <w:r w:rsidR="00FB4032">
        <w:t xml:space="preserve"> had been heard, however</w:t>
      </w:r>
      <w:r w:rsidR="00FB4032" w:rsidRPr="00273F04">
        <w:t xml:space="preserve"> </w:t>
      </w:r>
      <w:r w:rsidRPr="00273F04">
        <w:t>a significant amount of documentary evidence</w:t>
      </w:r>
      <w:r w:rsidR="0057037D">
        <w:t xml:space="preserve"> from both parties</w:t>
      </w:r>
      <w:r w:rsidRPr="00273F04">
        <w:t xml:space="preserve"> had been admitted into evidence</w:t>
      </w:r>
      <w:r w:rsidR="0057037D">
        <w:t>.</w:t>
      </w:r>
      <w:r w:rsidRPr="00273F04">
        <w:t xml:space="preserve"> For the reasons above, I find that it would be </w:t>
      </w:r>
      <w:r w:rsidRPr="00273F04">
        <w:lastRenderedPageBreak/>
        <w:t xml:space="preserve">premature to dismiss Parents' claims without careful consideration of </w:t>
      </w:r>
      <w:r w:rsidR="00565E56">
        <w:t xml:space="preserve">the totality of the </w:t>
      </w:r>
      <w:r w:rsidRPr="00273F04">
        <w:t xml:space="preserve"> evidence, which requires a detailed review. </w:t>
      </w:r>
    </w:p>
    <w:p w14:paraId="5661295C" w14:textId="77777777" w:rsidR="00204F2D" w:rsidRDefault="00204F2D" w:rsidP="00273F04">
      <w:pPr>
        <w:rPr>
          <w:b/>
          <w:bCs/>
        </w:rPr>
      </w:pPr>
    </w:p>
    <w:p w14:paraId="3FA43D5F" w14:textId="42DDE9DA" w:rsidR="00273F04" w:rsidRPr="00273F04" w:rsidRDefault="00273F04" w:rsidP="00273F04">
      <w:r w:rsidRPr="00273F04">
        <w:rPr>
          <w:b/>
          <w:bCs/>
        </w:rPr>
        <w:t>ORDER</w:t>
      </w:r>
    </w:p>
    <w:p w14:paraId="695438F1" w14:textId="77777777" w:rsidR="00204F2D" w:rsidRDefault="00204F2D" w:rsidP="00273F04"/>
    <w:p w14:paraId="1AD34A71" w14:textId="0560B033" w:rsidR="00273F04" w:rsidRPr="00273F04" w:rsidRDefault="00204F2D" w:rsidP="00273F04">
      <w:r>
        <w:t>Arlington’s</w:t>
      </w:r>
      <w:r w:rsidR="00273F04" w:rsidRPr="00273F04">
        <w:t> </w:t>
      </w:r>
      <w:r w:rsidR="00273F04" w:rsidRPr="00273F04">
        <w:rPr>
          <w:i/>
          <w:iCs/>
        </w:rPr>
        <w:t>Motion for Directed Verdict</w:t>
      </w:r>
      <w:r w:rsidR="00273F04" w:rsidRPr="00273F04">
        <w:t> is hereby </w:t>
      </w:r>
      <w:r w:rsidR="00273F04" w:rsidRPr="00273F04">
        <w:rPr>
          <w:b/>
          <w:bCs/>
        </w:rPr>
        <w:t>DENIED.</w:t>
      </w:r>
    </w:p>
    <w:p w14:paraId="36DB9E3A" w14:textId="6A9FAEA2" w:rsidR="00273F04" w:rsidRPr="00273F04" w:rsidRDefault="00204F2D" w:rsidP="00273F04">
      <w:r>
        <w:t xml:space="preserve"> </w:t>
      </w:r>
    </w:p>
    <w:p w14:paraId="2251F45C" w14:textId="6B726558" w:rsidR="00273F04" w:rsidRPr="00273F04" w:rsidRDefault="00273F04" w:rsidP="00273F04">
      <w:r w:rsidRPr="00273F04">
        <w:t>By the Hearing Officer:</w:t>
      </w:r>
      <w:r w:rsidR="00204F2D" w:rsidRPr="00273F04">
        <w:t xml:space="preserve"> </w:t>
      </w:r>
    </w:p>
    <w:p w14:paraId="3D18265E" w14:textId="17D45AF7" w:rsidR="00273F04" w:rsidRPr="00BC37B5" w:rsidRDefault="00273F04" w:rsidP="00273F04">
      <w:pPr>
        <w:rPr>
          <w:rFonts w:ascii="Baguet Script" w:hAnsi="Baguet Script" w:cs="AkayaKanadaka"/>
          <w:sz w:val="28"/>
          <w:szCs w:val="28"/>
        </w:rPr>
      </w:pPr>
      <w:r w:rsidRPr="00BC37B5">
        <w:rPr>
          <w:rFonts w:ascii="Baguet Script" w:hAnsi="Baguet Script"/>
          <w:sz w:val="28"/>
          <w:szCs w:val="28"/>
          <w:u w:val="single"/>
        </w:rPr>
        <w:t xml:space="preserve">/s/ </w:t>
      </w:r>
      <w:r w:rsidR="00204F2D" w:rsidRPr="00BC37B5">
        <w:rPr>
          <w:rFonts w:ascii="Baguet Script" w:hAnsi="Baguet Script" w:cs="AkayaKanadaka"/>
          <w:sz w:val="28"/>
          <w:szCs w:val="28"/>
          <w:u w:val="single"/>
        </w:rPr>
        <w:t>Alina Kantor Nir</w:t>
      </w:r>
    </w:p>
    <w:p w14:paraId="02DF00E0" w14:textId="58BD70EE" w:rsidR="00204F2D" w:rsidRDefault="00236BBA" w:rsidP="00273F04">
      <w:r>
        <w:t xml:space="preserve">Alina Kantor Nir </w:t>
      </w:r>
    </w:p>
    <w:p w14:paraId="6284BFC9" w14:textId="6CEB83B4" w:rsidR="00273F04" w:rsidRPr="00273F04" w:rsidRDefault="00273F04" w:rsidP="00273F04">
      <w:r w:rsidRPr="00273F04">
        <w:t xml:space="preserve">Date: </w:t>
      </w:r>
      <w:r w:rsidR="00204F2D">
        <w:t xml:space="preserve"> </w:t>
      </w:r>
      <w:r w:rsidR="00236BBA">
        <w:t>November 18, 2024</w:t>
      </w:r>
    </w:p>
    <w:p w14:paraId="4830E52C" w14:textId="1623D826" w:rsidR="00746578" w:rsidRDefault="00204F2D" w:rsidP="00273F04">
      <w:r>
        <w:t xml:space="preserve"> </w:t>
      </w:r>
    </w:p>
    <w:p w14:paraId="7060BCC2" w14:textId="77777777" w:rsidR="00273F04" w:rsidRDefault="00273F04" w:rsidP="00273F04"/>
    <w:sectPr w:rsidR="00273F0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92833" w14:textId="77777777" w:rsidR="00623329" w:rsidRDefault="00623329" w:rsidP="00204F2D">
      <w:r>
        <w:separator/>
      </w:r>
    </w:p>
  </w:endnote>
  <w:endnote w:type="continuationSeparator" w:id="0">
    <w:p w14:paraId="337614D8" w14:textId="77777777" w:rsidR="00623329" w:rsidRDefault="00623329" w:rsidP="0020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aguet Script">
    <w:charset w:val="00"/>
    <w:family w:val="auto"/>
    <w:pitch w:val="variable"/>
    <w:sig w:usb0="00000007" w:usb1="00000000" w:usb2="00000000" w:usb3="00000000" w:csb0="00000093" w:csb1="00000000"/>
  </w:font>
  <w:font w:name="AkayaKanadaka">
    <w:charset w:val="4D"/>
    <w:family w:val="auto"/>
    <w:pitch w:val="variable"/>
    <w:sig w:usb0="004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08761172"/>
      <w:docPartObj>
        <w:docPartGallery w:val="Page Numbers (Bottom of Page)"/>
        <w:docPartUnique/>
      </w:docPartObj>
    </w:sdtPr>
    <w:sdtEndPr>
      <w:rPr>
        <w:rStyle w:val="PageNumber"/>
      </w:rPr>
    </w:sdtEndPr>
    <w:sdtContent>
      <w:p w14:paraId="72F3D021" w14:textId="0AC8B778" w:rsidR="00F83133" w:rsidRDefault="00F83133" w:rsidP="005719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341AC6" w14:textId="77777777" w:rsidR="00F83133" w:rsidRDefault="00F83133" w:rsidP="00F831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49699854"/>
      <w:docPartObj>
        <w:docPartGallery w:val="Page Numbers (Bottom of Page)"/>
        <w:docPartUnique/>
      </w:docPartObj>
    </w:sdtPr>
    <w:sdtEndPr>
      <w:rPr>
        <w:rStyle w:val="PageNumber"/>
      </w:rPr>
    </w:sdtEndPr>
    <w:sdtContent>
      <w:p w14:paraId="104FC75C" w14:textId="4EEF40EE" w:rsidR="00F83133" w:rsidRDefault="00F83133" w:rsidP="005719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BDAAD7" w14:textId="77777777" w:rsidR="00F83133" w:rsidRDefault="00F83133" w:rsidP="00F831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40A56" w14:textId="77777777" w:rsidR="00623329" w:rsidRDefault="00623329" w:rsidP="00204F2D">
      <w:r>
        <w:separator/>
      </w:r>
    </w:p>
  </w:footnote>
  <w:footnote w:type="continuationSeparator" w:id="0">
    <w:p w14:paraId="7D8C7D97" w14:textId="77777777" w:rsidR="00623329" w:rsidRDefault="00623329" w:rsidP="00204F2D">
      <w:r>
        <w:continuationSeparator/>
      </w:r>
    </w:p>
  </w:footnote>
  <w:footnote w:id="1">
    <w:p w14:paraId="4916C3C5" w14:textId="2C7815F7" w:rsidR="00204F2D" w:rsidRPr="00800040" w:rsidRDefault="00204F2D" w:rsidP="00204F2D">
      <w:pPr>
        <w:rPr>
          <w:sz w:val="20"/>
          <w:szCs w:val="20"/>
        </w:rPr>
      </w:pPr>
      <w:r w:rsidRPr="00800040">
        <w:rPr>
          <w:rStyle w:val="FootnoteReference"/>
          <w:sz w:val="20"/>
          <w:szCs w:val="20"/>
        </w:rPr>
        <w:footnoteRef/>
      </w:r>
      <w:r w:rsidRPr="00800040">
        <w:rPr>
          <w:sz w:val="20"/>
          <w:szCs w:val="20"/>
        </w:rPr>
        <w:t xml:space="preserve"> </w:t>
      </w:r>
      <w:r w:rsidRPr="00273F04">
        <w:rPr>
          <w:i/>
          <w:iCs/>
          <w:sz w:val="20"/>
          <w:szCs w:val="20"/>
        </w:rPr>
        <w:t>Alholm v. Wareham</w:t>
      </w:r>
      <w:r w:rsidRPr="00273F04">
        <w:rPr>
          <w:sz w:val="20"/>
          <w:szCs w:val="20"/>
        </w:rPr>
        <w:t>, 371 Mass. 621, 627 (1976) (quoting </w:t>
      </w:r>
      <w:r w:rsidRPr="00273F04">
        <w:rPr>
          <w:i/>
          <w:iCs/>
          <w:sz w:val="20"/>
          <w:szCs w:val="20"/>
        </w:rPr>
        <w:t>DiMarzo v. S. &amp; P. Realty Corp.</w:t>
      </w:r>
      <w:r w:rsidRPr="00273F04">
        <w:rPr>
          <w:sz w:val="20"/>
          <w:szCs w:val="20"/>
        </w:rPr>
        <w:t>, 364 Mass. 510, 514 (1974))</w:t>
      </w:r>
      <w:r w:rsidRPr="00800040">
        <w:rPr>
          <w:sz w:val="20"/>
          <w:szCs w:val="20"/>
        </w:rPr>
        <w:t>.</w:t>
      </w:r>
    </w:p>
  </w:footnote>
  <w:footnote w:id="2">
    <w:p w14:paraId="418CD8B4" w14:textId="207710A1" w:rsidR="00204F2D" w:rsidRPr="00800040" w:rsidRDefault="00204F2D">
      <w:pPr>
        <w:pStyle w:val="FootnoteText"/>
      </w:pPr>
      <w:r w:rsidRPr="00800040">
        <w:rPr>
          <w:rStyle w:val="FootnoteReference"/>
        </w:rPr>
        <w:footnoteRef/>
      </w:r>
      <w:r w:rsidRPr="00800040">
        <w:t xml:space="preserve"> 361 Mass. 341, 343 (1972)</w:t>
      </w:r>
    </w:p>
  </w:footnote>
  <w:footnote w:id="3">
    <w:p w14:paraId="78D3BD61" w14:textId="6BF68E03" w:rsidR="00204F2D" w:rsidRPr="00800040" w:rsidRDefault="00204F2D" w:rsidP="00204F2D">
      <w:pPr>
        <w:rPr>
          <w:sz w:val="20"/>
          <w:szCs w:val="20"/>
        </w:rPr>
      </w:pPr>
      <w:r w:rsidRPr="00800040">
        <w:rPr>
          <w:rStyle w:val="FootnoteReference"/>
          <w:sz w:val="20"/>
          <w:szCs w:val="20"/>
        </w:rPr>
        <w:footnoteRef/>
      </w:r>
      <w:r w:rsidRPr="00273F04">
        <w:rPr>
          <w:sz w:val="20"/>
          <w:szCs w:val="20"/>
        </w:rPr>
        <w:t> </w:t>
      </w:r>
      <w:r w:rsidRPr="00273F04">
        <w:rPr>
          <w:i/>
          <w:iCs/>
          <w:sz w:val="20"/>
          <w:szCs w:val="20"/>
        </w:rPr>
        <w:t>Alholm</w:t>
      </w:r>
      <w:r w:rsidRPr="00273F04">
        <w:rPr>
          <w:sz w:val="20"/>
          <w:szCs w:val="20"/>
        </w:rPr>
        <w:t>, 371 Mass. at 627 (internal citations omitted).</w:t>
      </w:r>
    </w:p>
  </w:footnote>
  <w:footnote w:id="4">
    <w:p w14:paraId="16D2A686" w14:textId="3F80269F" w:rsidR="00124F5B" w:rsidRPr="00800040" w:rsidRDefault="00124F5B" w:rsidP="00800040">
      <w:pPr>
        <w:rPr>
          <w:sz w:val="20"/>
          <w:szCs w:val="20"/>
        </w:rPr>
      </w:pPr>
      <w:r w:rsidRPr="00800040">
        <w:rPr>
          <w:rStyle w:val="FootnoteReference"/>
          <w:sz w:val="20"/>
          <w:szCs w:val="20"/>
        </w:rPr>
        <w:footnoteRef/>
      </w:r>
      <w:r w:rsidRPr="00800040">
        <w:rPr>
          <w:sz w:val="20"/>
          <w:szCs w:val="20"/>
        </w:rPr>
        <w:t xml:space="preserve"> </w:t>
      </w:r>
      <w:r w:rsidRPr="00273F04">
        <w:rPr>
          <w:i/>
          <w:iCs/>
          <w:sz w:val="20"/>
          <w:szCs w:val="20"/>
        </w:rPr>
        <w:t>Elizabeth R.L and Worcester Public Schools</w:t>
      </w:r>
      <w:r w:rsidRPr="00273F04">
        <w:rPr>
          <w:sz w:val="20"/>
          <w:szCs w:val="20"/>
        </w:rPr>
        <w:t>, BSEA # 062557 (Sherwood 2006); see </w:t>
      </w:r>
      <w:r w:rsidRPr="00273F04">
        <w:rPr>
          <w:i/>
          <w:iCs/>
          <w:sz w:val="20"/>
          <w:szCs w:val="20"/>
        </w:rPr>
        <w:t>Student and Worcester Public Schools</w:t>
      </w:r>
      <w:r w:rsidRPr="00273F04">
        <w:rPr>
          <w:sz w:val="20"/>
          <w:szCs w:val="20"/>
        </w:rPr>
        <w:t>, BSEA # 094367 (Figueroa 2009) ("decision maker may grant a motion for judgment as a matter of law, including directed verdict, only if the evidence, viewed in the light most favorable to the non-moving party, points so 'strongly and overwhelmingly' in favor of the moving party, that a reasonable person could conclude only in favor of that moving party" (internal citations omitted)); see also </w:t>
      </w:r>
      <w:r w:rsidRPr="00273F04">
        <w:rPr>
          <w:i/>
          <w:iCs/>
          <w:sz w:val="20"/>
          <w:szCs w:val="20"/>
        </w:rPr>
        <w:t>Stewart v. Acton-Boxborough Regional School District</w:t>
      </w:r>
      <w:r w:rsidRPr="00273F04">
        <w:rPr>
          <w:sz w:val="20"/>
          <w:szCs w:val="20"/>
        </w:rPr>
        <w:t> (A motion for a directed verdict may be granted "only where, construing the evidence most favorably to the plaintiff, it is still insufficient to support a verdict in his favor" (internal citations omitted)).</w:t>
      </w:r>
    </w:p>
  </w:footnote>
  <w:footnote w:id="5">
    <w:p w14:paraId="7D0171B1" w14:textId="77777777" w:rsidR="00800040" w:rsidRPr="00900850" w:rsidRDefault="00800040" w:rsidP="00800040">
      <w:pPr>
        <w:pStyle w:val="FootnoteText"/>
        <w:rPr>
          <w:rFonts w:ascii="Aptos" w:hAnsi="Aptos"/>
        </w:rPr>
      </w:pPr>
      <w:r w:rsidRPr="00900850">
        <w:rPr>
          <w:rStyle w:val="FootnoteReference"/>
          <w:rFonts w:ascii="Aptos" w:hAnsi="Aptos"/>
        </w:rPr>
        <w:footnoteRef/>
      </w:r>
      <w:r w:rsidRPr="00900850">
        <w:rPr>
          <w:rFonts w:ascii="Aptos" w:hAnsi="Aptos"/>
        </w:rPr>
        <w:t xml:space="preserve"> </w:t>
      </w:r>
      <w:r w:rsidRPr="005E278A">
        <w:rPr>
          <w:rFonts w:ascii="Aptos" w:hAnsi="Aptos"/>
          <w:color w:val="000000" w:themeColor="text1"/>
        </w:rPr>
        <w:t>20 U.S.C. §1400 (d)(1)(A).</w:t>
      </w:r>
    </w:p>
  </w:footnote>
  <w:footnote w:id="6">
    <w:p w14:paraId="3B73953A" w14:textId="77777777" w:rsidR="00800040" w:rsidRPr="00900850" w:rsidRDefault="00800040" w:rsidP="00800040">
      <w:pPr>
        <w:rPr>
          <w:rFonts w:ascii="Aptos" w:hAnsi="Aptos"/>
          <w:color w:val="000000" w:themeColor="text1"/>
          <w:sz w:val="20"/>
          <w:szCs w:val="20"/>
        </w:rPr>
      </w:pPr>
      <w:r w:rsidRPr="00900850">
        <w:rPr>
          <w:rStyle w:val="FootnoteReference"/>
          <w:rFonts w:ascii="Aptos" w:hAnsi="Aptos"/>
          <w:sz w:val="20"/>
          <w:szCs w:val="20"/>
        </w:rPr>
        <w:footnoteRef/>
      </w:r>
      <w:r w:rsidRPr="00900850">
        <w:rPr>
          <w:rFonts w:ascii="Aptos" w:hAnsi="Aptos"/>
          <w:sz w:val="20"/>
          <w:szCs w:val="20"/>
        </w:rPr>
        <w:t xml:space="preserve"> </w:t>
      </w:r>
      <w:r w:rsidRPr="005E278A">
        <w:rPr>
          <w:rFonts w:ascii="Aptos" w:hAnsi="Aptos"/>
          <w:i/>
          <w:iCs/>
          <w:color w:val="000000" w:themeColor="text1"/>
          <w:sz w:val="20"/>
          <w:szCs w:val="20"/>
        </w:rPr>
        <w:t>Doe v. Cape Elizabeth Sch. Dep't</w:t>
      </w:r>
      <w:r w:rsidRPr="005E278A">
        <w:rPr>
          <w:rFonts w:ascii="Aptos" w:hAnsi="Aptos"/>
          <w:color w:val="000000" w:themeColor="text1"/>
          <w:sz w:val="20"/>
          <w:szCs w:val="20"/>
        </w:rPr>
        <w:t>, 382 F. Supp. 3d 83, 87 (D. Me. 2019) (internal quotation marks and citation omitted).</w:t>
      </w:r>
      <w:r w:rsidRPr="00900850">
        <w:rPr>
          <w:rFonts w:ascii="Aptos" w:hAnsi="Aptos"/>
          <w:color w:val="000000" w:themeColor="text1"/>
          <w:sz w:val="20"/>
          <w:szCs w:val="20"/>
        </w:rPr>
        <w:t xml:space="preserve"> Section 504 of the Rehabilitation Act of 1973 (Section 504) also requires a school district to "establish and implement, with respect to actions regarding the identification, evaluation, or educational placement of persons who, because of handicap, need or are believed to need special instruction or related services, a system of procedural safeguards." </w:t>
      </w:r>
      <w:r w:rsidRPr="005E278A">
        <w:rPr>
          <w:rFonts w:ascii="Aptos" w:hAnsi="Aptos"/>
          <w:color w:val="000000" w:themeColor="text1"/>
          <w:sz w:val="20"/>
          <w:szCs w:val="20"/>
        </w:rPr>
        <w:t>34 C.F.R. §104.36. </w:t>
      </w:r>
      <w:r w:rsidRPr="00900850">
        <w:rPr>
          <w:rFonts w:ascii="Aptos" w:hAnsi="Aptos"/>
          <w:color w:val="000000" w:themeColor="text1"/>
          <w:sz w:val="20"/>
          <w:szCs w:val="20"/>
        </w:rPr>
        <w:t xml:space="preserve"> Under Section 504, as under the IDEA, school districts have continuing child find obligations "to identify and evaluate all students who are reasonably suspected of having a disability." </w:t>
      </w:r>
      <w:r w:rsidRPr="005E278A">
        <w:rPr>
          <w:rFonts w:ascii="Aptos" w:hAnsi="Aptos"/>
          <w:i/>
          <w:iCs/>
          <w:color w:val="000000" w:themeColor="text1"/>
          <w:sz w:val="20"/>
          <w:szCs w:val="20"/>
        </w:rPr>
        <w:t>P.P. ex rel. Michael P. v. West Chester Area Sch. Dist.</w:t>
      </w:r>
      <w:r w:rsidRPr="005E278A">
        <w:rPr>
          <w:rFonts w:ascii="Aptos" w:hAnsi="Aptos"/>
          <w:color w:val="000000" w:themeColor="text1"/>
          <w:sz w:val="20"/>
          <w:szCs w:val="20"/>
        </w:rPr>
        <w:t>, 585 F.3d 727, 738 (3d Cir. 2009)</w:t>
      </w:r>
      <w:r w:rsidRPr="00900850">
        <w:rPr>
          <w:rFonts w:ascii="Aptos" w:hAnsi="Aptos"/>
          <w:color w:val="000000" w:themeColor="text1"/>
          <w:sz w:val="20"/>
          <w:szCs w:val="20"/>
        </w:rPr>
        <w:t>.</w:t>
      </w:r>
    </w:p>
  </w:footnote>
  <w:footnote w:id="7">
    <w:p w14:paraId="543404D0" w14:textId="77777777" w:rsidR="00800040" w:rsidRPr="00900850" w:rsidRDefault="00800040" w:rsidP="00800040">
      <w:pPr>
        <w:pStyle w:val="FootnoteText"/>
        <w:rPr>
          <w:rFonts w:ascii="Aptos" w:hAnsi="Aptos"/>
        </w:rPr>
      </w:pPr>
      <w:r w:rsidRPr="00900850">
        <w:rPr>
          <w:rStyle w:val="FootnoteReference"/>
          <w:rFonts w:ascii="Aptos" w:hAnsi="Aptos"/>
        </w:rPr>
        <w:footnoteRef/>
      </w:r>
      <w:r w:rsidRPr="00900850">
        <w:rPr>
          <w:rFonts w:ascii="Aptos" w:hAnsi="Aptos"/>
        </w:rPr>
        <w:t xml:space="preserve"> </w:t>
      </w:r>
      <w:r w:rsidRPr="005E278A">
        <w:rPr>
          <w:rFonts w:ascii="Aptos" w:hAnsi="Aptos"/>
          <w:color w:val="000000" w:themeColor="text1"/>
        </w:rPr>
        <w:t>MGL c. 71B, §3. </w:t>
      </w:r>
    </w:p>
  </w:footnote>
  <w:footnote w:id="8">
    <w:p w14:paraId="6AA984CA" w14:textId="77777777" w:rsidR="00800040" w:rsidRPr="00900850" w:rsidRDefault="00800040" w:rsidP="00800040">
      <w:pPr>
        <w:pStyle w:val="FootnoteText"/>
        <w:rPr>
          <w:rFonts w:ascii="Aptos" w:hAnsi="Aptos"/>
        </w:rPr>
      </w:pPr>
      <w:r w:rsidRPr="00900850">
        <w:rPr>
          <w:rStyle w:val="FootnoteReference"/>
          <w:rFonts w:ascii="Aptos" w:hAnsi="Aptos"/>
        </w:rPr>
        <w:footnoteRef/>
      </w:r>
      <w:r w:rsidRPr="00900850">
        <w:rPr>
          <w:rFonts w:ascii="Aptos" w:hAnsi="Aptos"/>
        </w:rPr>
        <w:t xml:space="preserve"> See Robertson Cnty. Sch. Sys. v. King, 99 F.3d 1139, 1996 WL 593605, at *4 (6th Cir. 1996) (quoting, with approval, the administrative law judge's explanation that "a parent who is a neophyte to special education and is unacquainted with IDEA cannot be expected to appear and say 'My child is eligible for special education services under IDEA, and I am here to refer my child for an individual assessment,'" and continuing, "A request for assessment is implied when a parent informs a school that a child may have special needs").</w:t>
      </w:r>
    </w:p>
  </w:footnote>
  <w:footnote w:id="9">
    <w:p w14:paraId="04582270" w14:textId="77777777" w:rsidR="00800040" w:rsidRPr="00900850" w:rsidRDefault="00800040" w:rsidP="00800040">
      <w:pPr>
        <w:pStyle w:val="FootnoteText"/>
        <w:rPr>
          <w:rFonts w:ascii="Aptos" w:hAnsi="Aptos"/>
        </w:rPr>
      </w:pPr>
      <w:r w:rsidRPr="00900850">
        <w:rPr>
          <w:rStyle w:val="FootnoteReference"/>
          <w:rFonts w:ascii="Aptos" w:hAnsi="Aptos"/>
        </w:rPr>
        <w:footnoteRef/>
      </w:r>
      <w:r w:rsidRPr="00900850">
        <w:rPr>
          <w:rFonts w:ascii="Aptos" w:hAnsi="Aptos"/>
        </w:rPr>
        <w:t xml:space="preserve"> </w:t>
      </w:r>
      <w:r w:rsidRPr="005E278A">
        <w:rPr>
          <w:rFonts w:ascii="Aptos" w:hAnsi="Aptos"/>
          <w:i/>
          <w:iCs/>
          <w:color w:val="000000" w:themeColor="text1"/>
        </w:rPr>
        <w:t>In Re: CBDE Public Schools</w:t>
      </w:r>
      <w:r w:rsidRPr="005E278A">
        <w:rPr>
          <w:rFonts w:ascii="Aptos" w:hAnsi="Aptos"/>
          <w:color w:val="000000" w:themeColor="text1"/>
        </w:rPr>
        <w:t>, BSEA #106854 [18 MSER 147] (Crane, 2011); see </w:t>
      </w:r>
      <w:r w:rsidRPr="005E278A">
        <w:rPr>
          <w:rFonts w:ascii="Aptos" w:hAnsi="Aptos"/>
          <w:i/>
          <w:iCs/>
          <w:color w:val="000000" w:themeColor="text1"/>
        </w:rPr>
        <w:t>Bd. of Educ. v. L.M.,</w:t>
      </w:r>
      <w:r w:rsidRPr="005E278A">
        <w:rPr>
          <w:rFonts w:ascii="Aptos" w:hAnsi="Aptos"/>
          <w:color w:val="000000" w:themeColor="text1"/>
        </w:rPr>
        <w:t> 478 F.3d 307, 313 (6th Cir. 2007) ("Even children who are only suspected of having a disability, although they are progressing from grade to grade, are protected by [child find] requirement"); </w:t>
      </w:r>
      <w:r w:rsidRPr="005E278A">
        <w:rPr>
          <w:rFonts w:ascii="Aptos" w:hAnsi="Aptos"/>
          <w:i/>
          <w:iCs/>
          <w:color w:val="000000" w:themeColor="text1"/>
        </w:rPr>
        <w:t>W.B. v. Matula,</w:t>
      </w:r>
      <w:r w:rsidRPr="005E278A">
        <w:rPr>
          <w:rFonts w:ascii="Aptos" w:hAnsi="Aptos"/>
          <w:color w:val="000000" w:themeColor="text1"/>
        </w:rPr>
        <w:t> 67 F.3d 484, 501 (3d Cir. 1995) (</w:t>
      </w:r>
      <w:r w:rsidRPr="005E278A">
        <w:rPr>
          <w:rFonts w:ascii="Aptos" w:hAnsi="Aptos"/>
          <w:i/>
          <w:iCs/>
          <w:color w:val="000000" w:themeColor="text1"/>
        </w:rPr>
        <w:t>abrogated on other grounds</w:t>
      </w:r>
      <w:r w:rsidRPr="005E278A">
        <w:rPr>
          <w:rFonts w:ascii="Aptos" w:hAnsi="Aptos"/>
          <w:color w:val="000000" w:themeColor="text1"/>
        </w:rPr>
        <w:t> by </w:t>
      </w:r>
      <w:r w:rsidRPr="005E278A">
        <w:rPr>
          <w:rFonts w:ascii="Aptos" w:hAnsi="Aptos"/>
          <w:i/>
          <w:iCs/>
          <w:color w:val="000000" w:themeColor="text1"/>
        </w:rPr>
        <w:t>A.W. v. Jersey City Pub. Sch.</w:t>
      </w:r>
      <w:r w:rsidRPr="005E278A">
        <w:rPr>
          <w:rFonts w:ascii="Aptos" w:hAnsi="Aptos"/>
          <w:color w:val="000000" w:themeColor="text1"/>
        </w:rPr>
        <w:t>, 486 F.3d 791 (3rd Cir. 2007)) (child find requires school district to identify and evaluate children "who are suspected of having a qualifying disability" within a reasonable time after the district is "on notice of behavior that is likely to indicate a disability"); </w:t>
      </w:r>
      <w:r w:rsidRPr="005E278A">
        <w:rPr>
          <w:rFonts w:ascii="Aptos" w:hAnsi="Aptos"/>
          <w:i/>
          <w:iCs/>
          <w:color w:val="000000" w:themeColor="text1"/>
        </w:rPr>
        <w:t>Dep't of Educ. v. Cari Rae S.</w:t>
      </w:r>
      <w:r w:rsidRPr="005E278A">
        <w:rPr>
          <w:rFonts w:ascii="Aptos" w:hAnsi="Aptos"/>
          <w:color w:val="000000" w:themeColor="text1"/>
        </w:rPr>
        <w:t>, 158 F. Supp. 2d 1190, 1194 (D. Haw. 2001) (child find duty is triggered when school district "has reason to suspect a disability, and reason to suspect that special education services may be needed to address that disability").</w:t>
      </w:r>
    </w:p>
  </w:footnote>
  <w:footnote w:id="10">
    <w:p w14:paraId="442DC920" w14:textId="77777777" w:rsidR="00800040" w:rsidRPr="00900850" w:rsidRDefault="00800040" w:rsidP="00800040">
      <w:pPr>
        <w:pStyle w:val="FootnoteText"/>
        <w:rPr>
          <w:rFonts w:ascii="Aptos" w:hAnsi="Aptos"/>
        </w:rPr>
      </w:pPr>
      <w:r w:rsidRPr="00900850">
        <w:rPr>
          <w:rStyle w:val="FootnoteReference"/>
          <w:rFonts w:ascii="Aptos" w:hAnsi="Aptos"/>
        </w:rPr>
        <w:footnoteRef/>
      </w:r>
      <w:r w:rsidRPr="00900850">
        <w:rPr>
          <w:rFonts w:ascii="Aptos" w:hAnsi="Aptos"/>
        </w:rPr>
        <w:t xml:space="preserve"> See Cape Elizabeth Sch. Dep't, 382 F. Supp. 3d at 99; Mr. I. ex rel. L.I. v. Me. Sch. Admin. Dist. No. 55, 480 F.3d 1, 13 (1st Cir. 2007).</w:t>
      </w:r>
      <w:r w:rsidRPr="001429D3">
        <w:rPr>
          <w:rFonts w:ascii="Aptos" w:hAnsi="Aptos"/>
        </w:rPr>
        <w:t> </w:t>
      </w:r>
    </w:p>
  </w:footnote>
  <w:footnote w:id="11">
    <w:p w14:paraId="2B89B16F" w14:textId="77777777" w:rsidR="00800040" w:rsidRPr="00900850" w:rsidRDefault="00800040" w:rsidP="00800040">
      <w:pPr>
        <w:pStyle w:val="FootnoteText"/>
        <w:rPr>
          <w:rFonts w:ascii="Aptos" w:hAnsi="Aptos"/>
        </w:rPr>
      </w:pPr>
      <w:r w:rsidRPr="00900850">
        <w:rPr>
          <w:rStyle w:val="FootnoteReference"/>
          <w:rFonts w:ascii="Aptos" w:hAnsi="Aptos"/>
        </w:rPr>
        <w:footnoteRef/>
      </w:r>
      <w:r w:rsidRPr="00900850">
        <w:rPr>
          <w:rFonts w:ascii="Aptos" w:hAnsi="Aptos"/>
        </w:rPr>
        <w:t xml:space="preserve"> </w:t>
      </w:r>
      <w:r w:rsidRPr="00900850">
        <w:rPr>
          <w:rFonts w:ascii="Aptos" w:hAnsi="Aptos"/>
          <w:i/>
          <w:iCs/>
          <w:color w:val="000000" w:themeColor="text1"/>
        </w:rPr>
        <w:t>D.K. v. Abington Sch. Dist.</w:t>
      </w:r>
      <w:r w:rsidRPr="00900850">
        <w:rPr>
          <w:rFonts w:ascii="Aptos" w:hAnsi="Aptos"/>
          <w:color w:val="000000" w:themeColor="text1"/>
        </w:rPr>
        <w:t>, 696 F.3d 233, 249 (3d Cir. 2012).</w:t>
      </w:r>
    </w:p>
  </w:footnote>
  <w:footnote w:id="12">
    <w:p w14:paraId="5C68BCE0" w14:textId="77777777" w:rsidR="00800040" w:rsidRPr="00900850" w:rsidRDefault="00800040" w:rsidP="00800040">
      <w:pPr>
        <w:pStyle w:val="FootnoteText"/>
        <w:rPr>
          <w:rFonts w:ascii="Aptos" w:hAnsi="Aptos"/>
        </w:rPr>
      </w:pPr>
      <w:r w:rsidRPr="00900850">
        <w:rPr>
          <w:rStyle w:val="FootnoteReference"/>
          <w:rFonts w:ascii="Aptos" w:hAnsi="Aptos"/>
        </w:rPr>
        <w:footnoteRef/>
      </w:r>
      <w:r w:rsidRPr="00900850">
        <w:rPr>
          <w:rFonts w:ascii="Aptos" w:hAnsi="Aptos"/>
        </w:rPr>
        <w:t xml:space="preserve"> </w:t>
      </w:r>
      <w:r w:rsidRPr="00900850">
        <w:rPr>
          <w:rFonts w:ascii="Aptos" w:hAnsi="Aptos"/>
          <w:i/>
          <w:iCs/>
          <w:color w:val="000000" w:themeColor="text1"/>
        </w:rPr>
        <w:t>Id.</w:t>
      </w:r>
      <w:r w:rsidRPr="00900850">
        <w:rPr>
          <w:rFonts w:ascii="Aptos" w:hAnsi="Aptos"/>
          <w:color w:val="000000" w:themeColor="text1"/>
        </w:rPr>
        <w:t> (quoting </w:t>
      </w:r>
      <w:r w:rsidRPr="00900850">
        <w:rPr>
          <w:rFonts w:ascii="Aptos" w:hAnsi="Aptos"/>
          <w:i/>
          <w:iCs/>
          <w:color w:val="000000" w:themeColor="text1"/>
        </w:rPr>
        <w:t>A.P. ex rel. Powers v. Woodstock Bd. of Educ.</w:t>
      </w:r>
      <w:r w:rsidRPr="00900850">
        <w:rPr>
          <w:rFonts w:ascii="Aptos" w:hAnsi="Aptos"/>
          <w:color w:val="000000" w:themeColor="text1"/>
        </w:rPr>
        <w:t>, 572 F. Supp. 2d 211, 226 (D. Conn. 2008)).</w:t>
      </w:r>
    </w:p>
  </w:footnote>
  <w:footnote w:id="13">
    <w:p w14:paraId="3922B724" w14:textId="77777777" w:rsidR="00800040" w:rsidRPr="00900850" w:rsidRDefault="00800040" w:rsidP="00800040">
      <w:pPr>
        <w:pStyle w:val="FootnoteText"/>
        <w:rPr>
          <w:rFonts w:ascii="Aptos" w:hAnsi="Aptos"/>
        </w:rPr>
      </w:pPr>
      <w:r w:rsidRPr="00900850">
        <w:rPr>
          <w:rStyle w:val="FootnoteReference"/>
          <w:rFonts w:ascii="Aptos" w:hAnsi="Aptos"/>
        </w:rPr>
        <w:footnoteRef/>
      </w:r>
      <w:r w:rsidRPr="00900850">
        <w:rPr>
          <w:rFonts w:ascii="Aptos" w:hAnsi="Aptos"/>
        </w:rPr>
        <w:t xml:space="preserve"> </w:t>
      </w:r>
      <w:r w:rsidRPr="00ED4AE5">
        <w:rPr>
          <w:rFonts w:ascii="Aptos" w:hAnsi="Aptos"/>
          <w:i/>
          <w:iCs/>
        </w:rPr>
        <w:t>Ja.B. v. Wilson Cnty. Bd. of Educ.</w:t>
      </w:r>
      <w:r w:rsidRPr="00ED4AE5">
        <w:rPr>
          <w:rFonts w:ascii="Aptos" w:hAnsi="Aptos"/>
        </w:rPr>
        <w:t>, No. 3:20-CV-00955, 2022 WL 326273, at *9 (M.D. Tenn. Feb. 2, 2022), </w:t>
      </w:r>
      <w:r w:rsidRPr="00ED4AE5">
        <w:rPr>
          <w:rFonts w:ascii="Aptos" w:hAnsi="Aptos"/>
          <w:i/>
          <w:iCs/>
        </w:rPr>
        <w:t>report and recommendation adopted</w:t>
      </w:r>
      <w:r w:rsidRPr="00ED4AE5">
        <w:rPr>
          <w:rFonts w:ascii="Aptos" w:hAnsi="Aptos"/>
        </w:rPr>
        <w:t> (Apr. 28, 2022), </w:t>
      </w:r>
      <w:r w:rsidRPr="00ED4AE5">
        <w:rPr>
          <w:rFonts w:ascii="Aptos" w:hAnsi="Aptos"/>
          <w:i/>
          <w:iCs/>
        </w:rPr>
        <w:t>aff'd</w:t>
      </w:r>
      <w:r w:rsidRPr="00ED4AE5">
        <w:rPr>
          <w:rFonts w:ascii="Aptos" w:hAnsi="Aptos"/>
        </w:rPr>
        <w:t>, 61 F.4th 494 (6th Cir. 2023)</w:t>
      </w:r>
      <w:r w:rsidRPr="00900850">
        <w:rPr>
          <w:rFonts w:ascii="Aptos" w:hAnsi="Aptos"/>
        </w:rPr>
        <w:t xml:space="preserve"> (internal quotations and citations omitted).</w:t>
      </w:r>
    </w:p>
  </w:footnote>
  <w:footnote w:id="14">
    <w:p w14:paraId="4FA748C3" w14:textId="77777777" w:rsidR="00800040" w:rsidRPr="00900850" w:rsidRDefault="00800040" w:rsidP="00800040">
      <w:pPr>
        <w:pStyle w:val="FootnoteText"/>
        <w:spacing w:line="100" w:lineRule="atLeast"/>
        <w:contextualSpacing/>
        <w:rPr>
          <w:rFonts w:ascii="Aptos" w:hAnsi="Aptos"/>
        </w:rPr>
      </w:pPr>
      <w:r w:rsidRPr="00900850">
        <w:rPr>
          <w:rStyle w:val="FootnoteReference"/>
          <w:rFonts w:ascii="Aptos" w:hAnsi="Aptos"/>
        </w:rPr>
        <w:footnoteRef/>
      </w:r>
      <w:r w:rsidRPr="00900850">
        <w:rPr>
          <w:rFonts w:ascii="Aptos" w:hAnsi="Aptos"/>
        </w:rPr>
        <w:t xml:space="preserve"> Individuals with Disabilities Education Act (IDEA), 20 U.S.C. §1400 (d)(1)(A).</w:t>
      </w:r>
    </w:p>
  </w:footnote>
  <w:footnote w:id="15">
    <w:p w14:paraId="5F9F4983" w14:textId="77777777" w:rsidR="00800040" w:rsidRPr="00900850" w:rsidRDefault="00800040" w:rsidP="00800040">
      <w:pPr>
        <w:pStyle w:val="FootnoteText"/>
        <w:spacing w:line="100" w:lineRule="atLeast"/>
        <w:contextualSpacing/>
        <w:rPr>
          <w:rFonts w:ascii="Aptos" w:hAnsi="Aptos"/>
        </w:rPr>
      </w:pPr>
      <w:r w:rsidRPr="00900850">
        <w:rPr>
          <w:rStyle w:val="FootnoteReference"/>
          <w:rFonts w:ascii="Aptos" w:hAnsi="Aptos"/>
        </w:rPr>
        <w:footnoteRef/>
      </w:r>
      <w:r w:rsidRPr="00900850">
        <w:rPr>
          <w:rFonts w:ascii="Aptos" w:hAnsi="Aptos"/>
        </w:rPr>
        <w:t xml:space="preserve"> See </w:t>
      </w:r>
      <w:r w:rsidRPr="00900850">
        <w:rPr>
          <w:rFonts w:ascii="Aptos" w:hAnsi="Aptos"/>
          <w:shd w:val="clear" w:color="auto" w:fill="FFFFFF"/>
        </w:rPr>
        <w:t>20 USC §1401 (9), (26), (29)</w:t>
      </w:r>
      <w:r w:rsidRPr="00900850">
        <w:rPr>
          <w:rFonts w:ascii="Aptos" w:hAnsi="Aptos"/>
        </w:rPr>
        <w:t xml:space="preserve">; 603 CMR 28.05(4)(b); </w:t>
      </w:r>
      <w:r w:rsidRPr="00900850">
        <w:rPr>
          <w:rStyle w:val="Emphasis"/>
          <w:rFonts w:ascii="Aptos" w:hAnsi="Aptos"/>
          <w:bdr w:val="none" w:sz="0" w:space="0" w:color="auto" w:frame="1"/>
        </w:rPr>
        <w:t>C.D. v. Natick Pub. Sch. Dist.</w:t>
      </w:r>
      <w:r w:rsidRPr="00900850">
        <w:rPr>
          <w:rFonts w:ascii="Aptos" w:hAnsi="Aptos"/>
          <w:shd w:val="clear" w:color="auto" w:fill="FFFFFF"/>
        </w:rPr>
        <w:t>, No. 18-1794, at 4 (1st Cir. 2019) (quoting</w:t>
      </w:r>
      <w:r w:rsidRPr="00900850">
        <w:rPr>
          <w:rStyle w:val="apple-converted-space"/>
          <w:rFonts w:ascii="Aptos" w:hAnsi="Aptos"/>
          <w:shd w:val="clear" w:color="auto" w:fill="FFFFFF"/>
        </w:rPr>
        <w:t> </w:t>
      </w:r>
      <w:r w:rsidRPr="00900850">
        <w:rPr>
          <w:rStyle w:val="Emphasis"/>
          <w:rFonts w:ascii="Aptos" w:hAnsi="Aptos"/>
          <w:bdr w:val="none" w:sz="0" w:space="0" w:color="auto" w:frame="1"/>
        </w:rPr>
        <w:t>Fry v. Napoleon Community Schools</w:t>
      </w:r>
      <w:r w:rsidRPr="00900850">
        <w:rPr>
          <w:rFonts w:ascii="Aptos" w:hAnsi="Aptos"/>
          <w:shd w:val="clear" w:color="auto" w:fill="FFFFFF"/>
        </w:rPr>
        <w:t>, 137 S. Ct. 743, 748-749 (2017));</w:t>
      </w:r>
      <w:r w:rsidRPr="00900850">
        <w:rPr>
          <w:rFonts w:ascii="Aptos" w:hAnsi="Aptos"/>
          <w:i/>
          <w:iCs/>
        </w:rPr>
        <w:t> </w:t>
      </w:r>
      <w:r w:rsidRPr="00900850">
        <w:rPr>
          <w:rStyle w:val="Emphasis"/>
          <w:rFonts w:ascii="Aptos" w:hAnsi="Aptos"/>
          <w:bdr w:val="none" w:sz="0" w:space="0" w:color="auto" w:frame="1"/>
        </w:rPr>
        <w:t>Sebastian M. v. King Philip Reg'l Sch. Dist.</w:t>
      </w:r>
      <w:r w:rsidRPr="00900850">
        <w:rPr>
          <w:rFonts w:ascii="Aptos" w:hAnsi="Aptos"/>
        </w:rPr>
        <w:t xml:space="preserve">, 685 F.3d 84, 84 (1st Cir. 2012); </w:t>
      </w:r>
      <w:r w:rsidRPr="00900850">
        <w:rPr>
          <w:rFonts w:ascii="Aptos" w:hAnsi="Aptos"/>
          <w:i/>
          <w:iCs/>
        </w:rPr>
        <w:t>Lessard v. Wilton Lyndeborough Cooperative Sch. Dist.,</w:t>
      </w:r>
      <w:r w:rsidRPr="00900850">
        <w:rPr>
          <w:rFonts w:ascii="Aptos" w:hAnsi="Aptos"/>
        </w:rPr>
        <w:t> 518 F. 3d 18 (1st Cir. 2008); </w:t>
      </w:r>
      <w:r w:rsidRPr="00900850">
        <w:rPr>
          <w:rFonts w:ascii="Aptos" w:hAnsi="Aptos"/>
          <w:i/>
          <w:iCs/>
        </w:rPr>
        <w:t xml:space="preserve">C.G. v. Five Town Comty. Sch. Dist., </w:t>
      </w:r>
      <w:r w:rsidRPr="00900850">
        <w:rPr>
          <w:rFonts w:ascii="Aptos" w:hAnsi="Aptos"/>
        </w:rPr>
        <w:t xml:space="preserve">513 F. 3d 279 (1st Cir. 2008); </w:t>
      </w:r>
      <w:r w:rsidRPr="00900850">
        <w:rPr>
          <w:rFonts w:ascii="Aptos" w:hAnsi="Aptos"/>
          <w:i/>
          <w:iCs/>
        </w:rPr>
        <w:t>In Re: Chicopee Public Schools,</w:t>
      </w:r>
      <w:r w:rsidRPr="00900850">
        <w:rPr>
          <w:rFonts w:ascii="Aptos" w:hAnsi="Aptos"/>
        </w:rPr>
        <w:t xml:space="preserve"> BSEA #</w:t>
      </w:r>
      <w:r w:rsidRPr="00900850">
        <w:rPr>
          <w:rFonts w:ascii="Aptos" w:hAnsi="Aptos"/>
          <w:b/>
          <w:bCs/>
          <w:shd w:val="clear" w:color="auto" w:fill="FFFFFF"/>
        </w:rPr>
        <w:t xml:space="preserve"> </w:t>
      </w:r>
      <w:r w:rsidRPr="00900850">
        <w:rPr>
          <w:rFonts w:ascii="Aptos" w:hAnsi="Aptos"/>
        </w:rPr>
        <w:t>1307346 (Byrne, 2013).</w:t>
      </w:r>
    </w:p>
  </w:footnote>
  <w:footnote w:id="16">
    <w:p w14:paraId="7CD41D46" w14:textId="77777777" w:rsidR="00800040" w:rsidRPr="00900850" w:rsidRDefault="00800040" w:rsidP="00800040">
      <w:pPr>
        <w:pStyle w:val="FootnoteText"/>
        <w:spacing w:line="100" w:lineRule="atLeast"/>
        <w:contextualSpacing/>
        <w:rPr>
          <w:rFonts w:ascii="Aptos" w:hAnsi="Aptos"/>
        </w:rPr>
      </w:pPr>
      <w:r w:rsidRPr="00900850">
        <w:rPr>
          <w:rStyle w:val="FootnoteReference"/>
          <w:rFonts w:ascii="Aptos" w:hAnsi="Aptos"/>
        </w:rPr>
        <w:footnoteRef/>
      </w:r>
      <w:r w:rsidRPr="00900850">
        <w:rPr>
          <w:rFonts w:ascii="Aptos" w:hAnsi="Aptos"/>
        </w:rPr>
        <w:t xml:space="preserve"> 20 U.S.C § 1412(a)(5)(A); 34 CFR 300.114(a)(2)(i); M.G.L. c. 71 B, §§ 2, 3; 603 CMR 28.06(2)(c).</w:t>
      </w:r>
    </w:p>
  </w:footnote>
  <w:footnote w:id="17">
    <w:p w14:paraId="7073FBD7" w14:textId="77777777" w:rsidR="00800040" w:rsidRPr="00900850" w:rsidRDefault="00800040" w:rsidP="00800040">
      <w:pPr>
        <w:pStyle w:val="FootnoteText"/>
        <w:spacing w:line="100" w:lineRule="atLeast"/>
        <w:contextualSpacing/>
        <w:rPr>
          <w:rFonts w:ascii="Aptos" w:hAnsi="Aptos"/>
        </w:rPr>
      </w:pPr>
      <w:r w:rsidRPr="00900850">
        <w:rPr>
          <w:rStyle w:val="FootnoteReference"/>
          <w:rFonts w:ascii="Aptos" w:hAnsi="Aptos"/>
        </w:rPr>
        <w:footnoteRef/>
      </w:r>
      <w:r w:rsidRPr="00900850">
        <w:rPr>
          <w:rFonts w:ascii="Aptos" w:hAnsi="Aptos"/>
        </w:rPr>
        <w:t xml:space="preserve"> 20 U.S.C. 1412(a)(5)(A); </w:t>
      </w:r>
      <w:r w:rsidRPr="00900850">
        <w:rPr>
          <w:rFonts w:ascii="Aptos" w:hAnsi="Aptos"/>
          <w:i/>
          <w:iCs/>
        </w:rPr>
        <w:t>C.D.</w:t>
      </w:r>
      <w:r w:rsidRPr="00900850">
        <w:rPr>
          <w:rFonts w:ascii="Aptos" w:hAnsi="Aptos"/>
        </w:rPr>
        <w:t>, 924 F. 3d at 631 (internal citations omitted).</w:t>
      </w:r>
    </w:p>
  </w:footnote>
  <w:footnote w:id="18">
    <w:p w14:paraId="2C915939" w14:textId="77777777" w:rsidR="00800040" w:rsidRPr="00900850" w:rsidRDefault="00800040" w:rsidP="00800040">
      <w:pPr>
        <w:pStyle w:val="FootnoteText"/>
        <w:spacing w:line="100" w:lineRule="atLeast"/>
        <w:contextualSpacing/>
        <w:rPr>
          <w:rFonts w:ascii="Aptos" w:hAnsi="Aptos"/>
        </w:rPr>
      </w:pPr>
      <w:r w:rsidRPr="00900850">
        <w:rPr>
          <w:rStyle w:val="FootnoteReference"/>
          <w:rFonts w:ascii="Aptos" w:hAnsi="Aptos"/>
        </w:rPr>
        <w:footnoteRef/>
      </w:r>
      <w:r w:rsidRPr="00900850">
        <w:rPr>
          <w:rFonts w:ascii="Aptos" w:hAnsi="Aptos"/>
        </w:rPr>
        <w:t xml:space="preserve"> </w:t>
      </w:r>
      <w:r w:rsidRPr="00900850">
        <w:rPr>
          <w:rStyle w:val="Emphasis"/>
          <w:rFonts w:ascii="Aptos" w:hAnsi="Aptos"/>
          <w:bdr w:val="none" w:sz="0" w:space="0" w:color="auto" w:frame="1"/>
        </w:rPr>
        <w:t>C.G.,</w:t>
      </w:r>
      <w:r w:rsidRPr="00900850">
        <w:rPr>
          <w:rStyle w:val="apple-converted-space"/>
          <w:rFonts w:ascii="Aptos" w:hAnsi="Aptos"/>
        </w:rPr>
        <w:t> </w:t>
      </w:r>
      <w:r w:rsidRPr="00900850">
        <w:rPr>
          <w:rFonts w:ascii="Aptos" w:hAnsi="Aptos"/>
        </w:rPr>
        <w:t>513 F.3d at 285.</w:t>
      </w:r>
    </w:p>
  </w:footnote>
  <w:footnote w:id="19">
    <w:p w14:paraId="5F18ABC2" w14:textId="77777777" w:rsidR="00800040" w:rsidRPr="00900850" w:rsidRDefault="00800040" w:rsidP="00800040">
      <w:pPr>
        <w:pStyle w:val="FootnoteText"/>
        <w:spacing w:line="100" w:lineRule="atLeast"/>
        <w:contextualSpacing/>
        <w:rPr>
          <w:rFonts w:ascii="Aptos" w:hAnsi="Aptos"/>
        </w:rPr>
      </w:pPr>
      <w:r w:rsidRPr="00900850">
        <w:rPr>
          <w:rStyle w:val="FootnoteReference"/>
          <w:rFonts w:ascii="Aptos" w:hAnsi="Aptos"/>
        </w:rPr>
        <w:footnoteRef/>
      </w:r>
      <w:r w:rsidRPr="00900850">
        <w:rPr>
          <w:rFonts w:ascii="Aptos" w:hAnsi="Aptos"/>
        </w:rPr>
        <w:t xml:space="preserve"> </w:t>
      </w:r>
      <w:r w:rsidRPr="00900850">
        <w:rPr>
          <w:rFonts w:ascii="Aptos" w:hAnsi="Aptos"/>
          <w:i/>
          <w:iCs/>
        </w:rPr>
        <w:t>Endrew F. v. Douglas Cty. Reg'l Sch. Dist.</w:t>
      </w:r>
      <w:r w:rsidRPr="00900850">
        <w:rPr>
          <w:rFonts w:ascii="Aptos" w:hAnsi="Aptos"/>
        </w:rPr>
        <w:t>, 137 S. Ct. 988, 1001 (2017).</w:t>
      </w:r>
    </w:p>
  </w:footnote>
  <w:footnote w:id="20">
    <w:p w14:paraId="50821954" w14:textId="77777777" w:rsidR="00800040" w:rsidRPr="00900850" w:rsidRDefault="00800040" w:rsidP="00800040">
      <w:pPr>
        <w:spacing w:line="100" w:lineRule="atLeast"/>
        <w:contextualSpacing/>
        <w:rPr>
          <w:rFonts w:ascii="Aptos" w:hAnsi="Aptos"/>
          <w:sz w:val="20"/>
          <w:szCs w:val="20"/>
        </w:rPr>
      </w:pPr>
      <w:r w:rsidRPr="00900850">
        <w:rPr>
          <w:rStyle w:val="FootnoteReference"/>
          <w:rFonts w:ascii="Aptos" w:hAnsi="Aptos"/>
          <w:sz w:val="20"/>
          <w:szCs w:val="20"/>
        </w:rPr>
        <w:footnoteRef/>
      </w:r>
      <w:r w:rsidRPr="00900850">
        <w:rPr>
          <w:rFonts w:ascii="Aptos" w:hAnsi="Aptos"/>
          <w:sz w:val="20"/>
          <w:szCs w:val="20"/>
        </w:rPr>
        <w:t xml:space="preserve"> 34 CFR §300.324(a)(i-v); </w:t>
      </w:r>
      <w:r w:rsidRPr="00900850">
        <w:rPr>
          <w:rFonts w:ascii="Aptos" w:hAnsi="Aptos"/>
          <w:i/>
          <w:iCs/>
          <w:sz w:val="20"/>
          <w:szCs w:val="20"/>
        </w:rPr>
        <w:t xml:space="preserve">Endrew F., </w:t>
      </w:r>
      <w:r w:rsidRPr="00900850">
        <w:rPr>
          <w:rFonts w:ascii="Aptos" w:hAnsi="Aptos"/>
          <w:sz w:val="20"/>
          <w:szCs w:val="20"/>
        </w:rPr>
        <w:t>137 S. Ct. at 999; </w:t>
      </w:r>
      <w:r w:rsidRPr="00900850">
        <w:rPr>
          <w:rFonts w:ascii="Aptos" w:hAnsi="Aptos"/>
          <w:i/>
          <w:iCs/>
          <w:sz w:val="20"/>
          <w:szCs w:val="20"/>
        </w:rPr>
        <w:t>D.B. v. Esposito</w:t>
      </w:r>
      <w:r w:rsidRPr="00900850">
        <w:rPr>
          <w:rFonts w:ascii="Aptos" w:hAnsi="Aptos"/>
          <w:sz w:val="20"/>
          <w:szCs w:val="20"/>
        </w:rPr>
        <w:t xml:space="preserve">, 675 F.3d 26, 34 (1st Cir. 2012); </w:t>
      </w:r>
      <w:r w:rsidRPr="00900850">
        <w:rPr>
          <w:rFonts w:ascii="Aptos" w:hAnsi="Aptos"/>
          <w:i/>
          <w:iCs/>
          <w:sz w:val="20"/>
          <w:szCs w:val="20"/>
          <w:bdr w:val="none" w:sz="0" w:space="0" w:color="auto" w:frame="1"/>
        </w:rPr>
        <w:t>N. Reading Sch. Comm. v. Bureau of Special Educ. Appeals</w:t>
      </w:r>
      <w:r w:rsidRPr="00900850">
        <w:rPr>
          <w:rFonts w:ascii="Aptos" w:hAnsi="Aptos"/>
          <w:sz w:val="20"/>
          <w:szCs w:val="20"/>
        </w:rPr>
        <w:t>, 480 F. Supp. 2d 479, 489 (D. Mass. 2007) (“</w:t>
      </w:r>
      <w:r w:rsidRPr="00900850">
        <w:rPr>
          <w:rFonts w:ascii="Aptos" w:hAnsi="Aptos"/>
          <w:sz w:val="20"/>
          <w:szCs w:val="20"/>
          <w:shd w:val="clear" w:color="auto" w:fill="FFFFFF"/>
        </w:rPr>
        <w:t xml:space="preserve">The First Circuit has characterized the federal floor, which defines the minimum that must be offered to all handicapped children, as providing a </w:t>
      </w:r>
      <w:r w:rsidRPr="00900850">
        <w:rPr>
          <w:rStyle w:val="Emphasis"/>
          <w:rFonts w:ascii="Aptos" w:hAnsi="Aptos"/>
          <w:sz w:val="20"/>
          <w:szCs w:val="20"/>
          <w:bdr w:val="none" w:sz="0" w:space="0" w:color="auto" w:frame="1"/>
        </w:rPr>
        <w:t>meaningful,</w:t>
      </w:r>
      <w:r w:rsidRPr="00900850">
        <w:rPr>
          <w:rFonts w:ascii="Aptos" w:hAnsi="Aptos"/>
          <w:sz w:val="20"/>
          <w:szCs w:val="20"/>
          <w:shd w:val="clear" w:color="auto" w:fill="FFFFFF"/>
        </w:rPr>
        <w:t xml:space="preserve"> beneficial educational opportunity, and that court has stated that a handicapped child's educational program must be reasonably calculated to provide </w:t>
      </w:r>
      <w:r w:rsidRPr="00900850">
        <w:rPr>
          <w:rStyle w:val="Emphasis"/>
          <w:rFonts w:ascii="Aptos" w:hAnsi="Aptos"/>
          <w:sz w:val="20"/>
          <w:szCs w:val="20"/>
          <w:bdr w:val="none" w:sz="0" w:space="0" w:color="auto" w:frame="1"/>
        </w:rPr>
        <w:t>effective results</w:t>
      </w:r>
      <w:r w:rsidRPr="00900850">
        <w:rPr>
          <w:rFonts w:ascii="Aptos" w:hAnsi="Aptos"/>
          <w:sz w:val="20"/>
          <w:szCs w:val="20"/>
          <w:shd w:val="clear" w:color="auto" w:fill="FFFFFF"/>
        </w:rPr>
        <w:t xml:space="preserve"> and </w:t>
      </w:r>
      <w:r w:rsidRPr="00900850">
        <w:rPr>
          <w:rStyle w:val="Emphasis"/>
          <w:rFonts w:ascii="Aptos" w:hAnsi="Aptos"/>
          <w:sz w:val="20"/>
          <w:szCs w:val="20"/>
          <w:bdr w:val="none" w:sz="0" w:space="0" w:color="auto" w:frame="1"/>
        </w:rPr>
        <w:t>demonstrable improvement</w:t>
      </w:r>
      <w:r w:rsidRPr="00900850">
        <w:rPr>
          <w:rFonts w:ascii="Aptos" w:hAnsi="Aptos"/>
          <w:sz w:val="20"/>
          <w:szCs w:val="20"/>
          <w:shd w:val="clear" w:color="auto" w:fill="FFFFFF"/>
        </w:rPr>
        <w:t> in the various educational and personal skills identified as special needs”) (internal citations and quotations omitted).</w:t>
      </w:r>
    </w:p>
  </w:footnote>
  <w:footnote w:id="21">
    <w:p w14:paraId="2A127BEA" w14:textId="77777777" w:rsidR="00800040" w:rsidRPr="00900850" w:rsidRDefault="00800040" w:rsidP="00800040">
      <w:pPr>
        <w:pStyle w:val="FootnoteText"/>
        <w:spacing w:line="100" w:lineRule="atLeast"/>
        <w:contextualSpacing/>
        <w:rPr>
          <w:rFonts w:ascii="Aptos" w:hAnsi="Aptos"/>
        </w:rPr>
      </w:pPr>
      <w:r w:rsidRPr="00900850">
        <w:rPr>
          <w:rStyle w:val="FootnoteReference"/>
          <w:rFonts w:ascii="Aptos" w:hAnsi="Aptos"/>
        </w:rPr>
        <w:footnoteRef/>
      </w:r>
      <w:r w:rsidRPr="00900850">
        <w:rPr>
          <w:rFonts w:ascii="Aptos" w:hAnsi="Aptos"/>
        </w:rPr>
        <w:t xml:space="preserve"> </w:t>
      </w:r>
      <w:r w:rsidRPr="00900850">
        <w:rPr>
          <w:rFonts w:ascii="Aptos" w:hAnsi="Aptos"/>
          <w:i/>
          <w:iCs/>
        </w:rPr>
        <w:t>Roland M. v. Concord Sch. Comm.</w:t>
      </w:r>
      <w:r w:rsidRPr="00900850">
        <w:rPr>
          <w:rFonts w:ascii="Aptos" w:hAnsi="Aptos"/>
        </w:rPr>
        <w:t>, 910 F.2d 983, 992 (1st Cir. 1990).</w:t>
      </w:r>
    </w:p>
  </w:footnote>
  <w:footnote w:id="22">
    <w:p w14:paraId="22289607" w14:textId="77777777" w:rsidR="00800040" w:rsidRPr="00900850" w:rsidRDefault="00800040" w:rsidP="00800040">
      <w:pPr>
        <w:pStyle w:val="FootnoteText"/>
        <w:spacing w:line="100" w:lineRule="atLeast"/>
        <w:contextualSpacing/>
        <w:rPr>
          <w:rFonts w:ascii="Aptos" w:hAnsi="Aptos"/>
        </w:rPr>
      </w:pPr>
      <w:r w:rsidRPr="00900850">
        <w:rPr>
          <w:rStyle w:val="FootnoteReference"/>
          <w:rFonts w:ascii="Aptos" w:hAnsi="Aptos"/>
        </w:rPr>
        <w:footnoteRef/>
      </w:r>
      <w:r w:rsidRPr="00900850">
        <w:rPr>
          <w:rFonts w:ascii="Aptos" w:hAnsi="Aptos"/>
        </w:rPr>
        <w:t xml:space="preserve"> </w:t>
      </w:r>
      <w:r w:rsidRPr="00900850">
        <w:rPr>
          <w:rFonts w:ascii="Aptos" w:hAnsi="Aptos"/>
          <w:i/>
          <w:iCs/>
        </w:rPr>
        <w:t>Bd. of Educ. v. Rowley</w:t>
      </w:r>
      <w:r w:rsidRPr="00900850">
        <w:rPr>
          <w:rFonts w:ascii="Aptos" w:hAnsi="Aptos"/>
        </w:rPr>
        <w:t xml:space="preserve">, 458 U.S. 176, 197, n.21 (1982) (“Whatever Congress meant by an “appropriate” education, it is clear that it did not mean a potential-maximizing education”); see </w:t>
      </w:r>
      <w:r w:rsidRPr="00900850">
        <w:rPr>
          <w:rFonts w:ascii="Aptos" w:hAnsi="Aptos"/>
          <w:i/>
          <w:iCs/>
        </w:rPr>
        <w:t>N. Reading Sch. Comm.</w:t>
      </w:r>
      <w:r w:rsidRPr="00900850">
        <w:rPr>
          <w:rFonts w:ascii="Aptos" w:hAnsi="Aptos"/>
        </w:rPr>
        <w:t>, 480 F. Supp. 2d at 488 (“The focus of inquiry under 20 U.S.C. § 1415(e)(i) must recognize the IDEA's modest goal of an appropriate, rather than an ideal, education”).</w:t>
      </w:r>
    </w:p>
  </w:footnote>
  <w:footnote w:id="23">
    <w:p w14:paraId="0A10521A" w14:textId="77777777" w:rsidR="00800040" w:rsidRPr="00900850" w:rsidRDefault="00800040" w:rsidP="00800040">
      <w:pPr>
        <w:spacing w:line="100" w:lineRule="atLeast"/>
        <w:contextualSpacing/>
        <w:rPr>
          <w:rFonts w:ascii="Aptos" w:hAnsi="Aptos"/>
          <w:sz w:val="20"/>
          <w:szCs w:val="20"/>
        </w:rPr>
      </w:pPr>
      <w:r w:rsidRPr="00900850">
        <w:rPr>
          <w:rStyle w:val="FootnoteReference"/>
          <w:rFonts w:ascii="Aptos" w:hAnsi="Aptos"/>
          <w:sz w:val="20"/>
          <w:szCs w:val="20"/>
        </w:rPr>
        <w:footnoteRef/>
      </w:r>
      <w:r w:rsidRPr="00900850">
        <w:rPr>
          <w:rFonts w:ascii="Aptos" w:hAnsi="Aptos"/>
          <w:sz w:val="20"/>
          <w:szCs w:val="20"/>
        </w:rPr>
        <w:t xml:space="preserve"> </w:t>
      </w:r>
      <w:r w:rsidRPr="00900850">
        <w:rPr>
          <w:rFonts w:ascii="Aptos" w:hAnsi="Aptos"/>
          <w:i/>
          <w:iCs/>
          <w:sz w:val="20"/>
          <w:szCs w:val="20"/>
          <w:bdr w:val="none" w:sz="0" w:space="0" w:color="auto" w:frame="1"/>
        </w:rPr>
        <w:t>Endrew F.</w:t>
      </w:r>
      <w:r w:rsidRPr="00900850">
        <w:rPr>
          <w:rFonts w:ascii="Aptos" w:hAnsi="Aptos"/>
          <w:sz w:val="20"/>
          <w:szCs w:val="20"/>
        </w:rPr>
        <w:t xml:space="preserve">, 137 S. Ct. at 992; see 603 CMR 28.02(17).  </w:t>
      </w:r>
    </w:p>
  </w:footnote>
  <w:footnote w:id="24">
    <w:p w14:paraId="2F2A74D5" w14:textId="77777777" w:rsidR="00800040" w:rsidRPr="00900850" w:rsidRDefault="00800040" w:rsidP="00800040">
      <w:pPr>
        <w:pStyle w:val="FootnoteText"/>
        <w:spacing w:line="100" w:lineRule="atLeast"/>
        <w:contextualSpacing/>
        <w:rPr>
          <w:rFonts w:ascii="Aptos" w:hAnsi="Aptos"/>
        </w:rPr>
      </w:pPr>
      <w:r w:rsidRPr="00900850">
        <w:rPr>
          <w:rStyle w:val="FootnoteReference"/>
          <w:rFonts w:ascii="Aptos" w:hAnsi="Aptos"/>
        </w:rPr>
        <w:footnoteRef/>
      </w:r>
      <w:r w:rsidRPr="00900850">
        <w:rPr>
          <w:rFonts w:ascii="Aptos" w:hAnsi="Aptos"/>
        </w:rPr>
        <w:t xml:space="preserve"> </w:t>
      </w:r>
      <w:r w:rsidRPr="00900850">
        <w:rPr>
          <w:rFonts w:ascii="Aptos" w:hAnsi="Aptos"/>
          <w:i/>
          <w:iCs/>
        </w:rPr>
        <w:t>Endrew F.,</w:t>
      </w:r>
      <w:r w:rsidRPr="00900850">
        <w:rPr>
          <w:rFonts w:ascii="Aptos" w:hAnsi="Aptos"/>
        </w:rPr>
        <w:t xml:space="preserve"> 137 S. Ct. at 1001 (“The nature of the IEP process, from the initial consultation through state administrative proceedings, ensures that parents and school representatives will fully air their respective opinions on the degree of progress a child's IEP should pursue”); see </w:t>
      </w:r>
      <w:r w:rsidRPr="00900850">
        <w:rPr>
          <w:rFonts w:ascii="Aptos" w:hAnsi="Aptos"/>
          <w:i/>
          <w:iCs/>
          <w:bdr w:val="none" w:sz="0" w:space="0" w:color="auto" w:frame="1"/>
        </w:rPr>
        <w:t>K.E. v. Indep. Sch. Dist. No. 15</w:t>
      </w:r>
      <w:r w:rsidRPr="00900850">
        <w:rPr>
          <w:rFonts w:ascii="Aptos" w:hAnsi="Aptos"/>
        </w:rPr>
        <w:t>, 647 F.3d 795, 809 (8th Cir. 2011) (explaining that the court would not compare the student to her nondisabled peers since the key question was whether the student made gains in her areas of need).</w:t>
      </w:r>
    </w:p>
  </w:footnote>
  <w:footnote w:id="25">
    <w:p w14:paraId="0AD0CA80" w14:textId="77777777" w:rsidR="00800040" w:rsidRPr="00900850" w:rsidRDefault="00800040" w:rsidP="00800040">
      <w:pPr>
        <w:pStyle w:val="FootnoteText"/>
        <w:spacing w:line="100" w:lineRule="atLeast"/>
        <w:contextualSpacing/>
        <w:rPr>
          <w:rFonts w:ascii="Aptos" w:hAnsi="Aptos"/>
        </w:rPr>
      </w:pPr>
      <w:r w:rsidRPr="00900850">
        <w:rPr>
          <w:rStyle w:val="FootnoteReference"/>
          <w:rFonts w:ascii="Aptos" w:hAnsi="Aptos"/>
        </w:rPr>
        <w:footnoteRef/>
      </w:r>
      <w:r w:rsidRPr="00900850">
        <w:rPr>
          <w:rFonts w:ascii="Aptos" w:hAnsi="Aptos"/>
        </w:rPr>
        <w:t xml:space="preserve"> </w:t>
      </w:r>
      <w:r w:rsidRPr="00900850">
        <w:rPr>
          <w:rFonts w:ascii="Aptos" w:hAnsi="Aptos"/>
          <w:i/>
          <w:iCs/>
        </w:rPr>
        <w:t>G.D. Westmoreland Sch. Dist.</w:t>
      </w:r>
      <w:r w:rsidRPr="00900850">
        <w:rPr>
          <w:rFonts w:ascii="Aptos" w:hAnsi="Aptos"/>
        </w:rPr>
        <w:t>, 930 F.2d 942, 948-949 (1st Cir. 1991).</w:t>
      </w:r>
    </w:p>
  </w:footnote>
  <w:footnote w:id="26">
    <w:p w14:paraId="06F5500B" w14:textId="77777777" w:rsidR="00800040" w:rsidRPr="00900850" w:rsidRDefault="00800040" w:rsidP="00800040">
      <w:pPr>
        <w:pStyle w:val="FootnoteText"/>
        <w:spacing w:line="100" w:lineRule="atLeast"/>
        <w:contextualSpacing/>
        <w:rPr>
          <w:rFonts w:ascii="Aptos" w:hAnsi="Aptos"/>
        </w:rPr>
      </w:pPr>
      <w:r w:rsidRPr="00900850">
        <w:rPr>
          <w:rStyle w:val="FootnoteReference"/>
          <w:rFonts w:ascii="Aptos" w:hAnsi="Aptos"/>
        </w:rPr>
        <w:footnoteRef/>
      </w:r>
      <w:r w:rsidRPr="00900850">
        <w:rPr>
          <w:rFonts w:ascii="Aptos" w:hAnsi="Aptos"/>
          <w:i/>
          <w:iCs/>
        </w:rPr>
        <w:t xml:space="preserve"> Rowley</w:t>
      </w:r>
      <w:r w:rsidRPr="00900850">
        <w:rPr>
          <w:rFonts w:ascii="Aptos" w:hAnsi="Aptos"/>
        </w:rPr>
        <w:t>, 458 U.S. at 208</w:t>
      </w:r>
      <w:r w:rsidRPr="00900850">
        <w:rPr>
          <w:rFonts w:ascii="Aptos" w:hAnsi="Aptos"/>
          <w:i/>
          <w:iCs/>
        </w:rPr>
        <w:t xml:space="preserve"> </w:t>
      </w:r>
      <w:r w:rsidRPr="00900850">
        <w:rPr>
          <w:rFonts w:ascii="Aptos" w:hAnsi="Aptos"/>
        </w:rPr>
        <w:t>(“Congress sought to protect individual children by providing for parental involvement … in the formulation of the child's individual educational program”). </w:t>
      </w:r>
    </w:p>
  </w:footnote>
  <w:footnote w:id="27">
    <w:p w14:paraId="0C0C6AAD" w14:textId="77777777" w:rsidR="00800040" w:rsidRPr="00900850" w:rsidRDefault="00800040" w:rsidP="00800040">
      <w:pPr>
        <w:pStyle w:val="FootnoteText"/>
        <w:spacing w:line="100" w:lineRule="atLeast"/>
        <w:contextualSpacing/>
        <w:rPr>
          <w:rFonts w:ascii="Aptos" w:hAnsi="Aptos"/>
        </w:rPr>
      </w:pPr>
      <w:r w:rsidRPr="00900850">
        <w:rPr>
          <w:rStyle w:val="FootnoteReference"/>
          <w:rFonts w:ascii="Aptos" w:hAnsi="Aptos"/>
        </w:rPr>
        <w:footnoteRef/>
      </w:r>
      <w:r w:rsidRPr="00900850">
        <w:rPr>
          <w:rFonts w:ascii="Aptos" w:hAnsi="Aptos"/>
        </w:rPr>
        <w:t xml:space="preserve"> </w:t>
      </w:r>
      <w:r w:rsidRPr="00900850">
        <w:rPr>
          <w:rFonts w:ascii="Aptos" w:hAnsi="Aptos"/>
          <w:i/>
          <w:iCs/>
        </w:rPr>
        <w:t>In Re: Natick Public Schools</w:t>
      </w:r>
      <w:r w:rsidRPr="00900850">
        <w:rPr>
          <w:rFonts w:ascii="Aptos" w:hAnsi="Aptos"/>
        </w:rPr>
        <w:t>, BSEA #11-3131 (Crane, 2011).</w:t>
      </w:r>
    </w:p>
  </w:footnote>
  <w:footnote w:id="28">
    <w:p w14:paraId="2766A5BB" w14:textId="77777777" w:rsidR="00800040" w:rsidRPr="00900850" w:rsidRDefault="00800040" w:rsidP="00800040">
      <w:pPr>
        <w:pStyle w:val="FootnoteText"/>
        <w:spacing w:line="100" w:lineRule="atLeast"/>
        <w:contextualSpacing/>
        <w:rPr>
          <w:rFonts w:ascii="Aptos" w:hAnsi="Aptos"/>
        </w:rPr>
      </w:pPr>
      <w:r w:rsidRPr="00900850">
        <w:rPr>
          <w:rStyle w:val="FootnoteReference"/>
          <w:rFonts w:ascii="Aptos" w:hAnsi="Aptos"/>
        </w:rPr>
        <w:footnoteRef/>
      </w:r>
      <w:r w:rsidRPr="00900850">
        <w:rPr>
          <w:rFonts w:ascii="Aptos" w:hAnsi="Aptos"/>
        </w:rPr>
        <w:t xml:space="preserve"> </w:t>
      </w:r>
      <w:r w:rsidRPr="00900850">
        <w:rPr>
          <w:rFonts w:ascii="Aptos" w:hAnsi="Aptos"/>
          <w:shd w:val="clear" w:color="auto" w:fill="FFFFFF"/>
        </w:rPr>
        <w:t xml:space="preserve">See 34 CFR </w:t>
      </w:r>
      <w:r w:rsidRPr="00900850">
        <w:rPr>
          <w:rFonts w:ascii="Aptos" w:hAnsi="Aptos"/>
        </w:rPr>
        <w:t>§</w:t>
      </w:r>
      <w:r w:rsidRPr="00900850">
        <w:rPr>
          <w:rFonts w:ascii="Aptos" w:hAnsi="Aptos"/>
          <w:shd w:val="clear" w:color="auto" w:fill="FFFFFF"/>
        </w:rPr>
        <w:t>300.148.</w:t>
      </w:r>
    </w:p>
  </w:footnote>
  <w:footnote w:id="29">
    <w:p w14:paraId="27F0C310" w14:textId="77777777" w:rsidR="00800040" w:rsidRPr="00900850" w:rsidRDefault="00800040" w:rsidP="00800040">
      <w:pPr>
        <w:pStyle w:val="FootnoteText"/>
        <w:spacing w:line="100" w:lineRule="atLeast"/>
        <w:contextualSpacing/>
        <w:rPr>
          <w:rFonts w:ascii="Aptos" w:hAnsi="Aptos"/>
        </w:rPr>
      </w:pPr>
      <w:r w:rsidRPr="00900850">
        <w:rPr>
          <w:rStyle w:val="FootnoteReference"/>
          <w:rFonts w:ascii="Aptos" w:hAnsi="Aptos"/>
        </w:rPr>
        <w:footnoteRef/>
      </w:r>
      <w:r w:rsidRPr="00900850">
        <w:rPr>
          <w:rFonts w:ascii="Aptos" w:hAnsi="Aptos"/>
        </w:rPr>
        <w:t xml:space="preserve"> 34 CFR §300.148(c). See 20 USC §1412(a)(10)(C)(ii); see also</w:t>
      </w:r>
      <w:r w:rsidRPr="00900850">
        <w:rPr>
          <w:rStyle w:val="apple-converted-space"/>
          <w:rFonts w:ascii="Aptos" w:hAnsi="Aptos"/>
        </w:rPr>
        <w:t> </w:t>
      </w:r>
      <w:r w:rsidRPr="00900850">
        <w:rPr>
          <w:rStyle w:val="Emphasis"/>
          <w:rFonts w:ascii="Aptos" w:hAnsi="Aptos"/>
          <w:bdr w:val="none" w:sz="0" w:space="0" w:color="auto" w:frame="1"/>
        </w:rPr>
        <w:t>Forest Grove Sch. Dist. v. T.A.</w:t>
      </w:r>
      <w:r w:rsidRPr="00900850">
        <w:rPr>
          <w:rFonts w:ascii="Aptos" w:hAnsi="Aptos"/>
        </w:rPr>
        <w:t>, 557 U.S. 230, 243 (2009) (explaining that §1415(i)(2)(C)(iii) authorizes “reimbursement when a school district fails to provide a FAPE and a child's private school placement is appropriate").</w:t>
      </w:r>
    </w:p>
  </w:footnote>
  <w:footnote w:id="30">
    <w:p w14:paraId="5A780544" w14:textId="77777777" w:rsidR="00800040" w:rsidRPr="00900850" w:rsidRDefault="00800040" w:rsidP="00800040">
      <w:pPr>
        <w:pStyle w:val="FootnoteText"/>
        <w:spacing w:line="100" w:lineRule="atLeast"/>
        <w:contextualSpacing/>
        <w:rPr>
          <w:rFonts w:ascii="Aptos" w:hAnsi="Aptos"/>
        </w:rPr>
      </w:pPr>
      <w:r w:rsidRPr="00900850">
        <w:rPr>
          <w:rStyle w:val="FootnoteReference"/>
          <w:rFonts w:ascii="Aptos" w:hAnsi="Aptos"/>
        </w:rPr>
        <w:footnoteRef/>
      </w:r>
      <w:r w:rsidRPr="00900850">
        <w:rPr>
          <w:rFonts w:ascii="Aptos" w:hAnsi="Aptos"/>
        </w:rPr>
        <w:t xml:space="preserve"> See</w:t>
      </w:r>
      <w:r w:rsidRPr="00900850">
        <w:rPr>
          <w:rFonts w:ascii="Aptos" w:hAnsi="Aptos"/>
          <w:i/>
          <w:iCs/>
        </w:rPr>
        <w:t> Florence County Sch. Dist. Four v. Carter</w:t>
      </w:r>
      <w:r w:rsidRPr="00900850">
        <w:rPr>
          <w:rFonts w:ascii="Aptos" w:hAnsi="Aptos"/>
        </w:rPr>
        <w:t>, 510 U.S. 7, 14 (1993) (parents are entitled to reimbursement only if federal court concludes public placement violated IDEA and private placement was proper, and the court is to consider all factors in fashioning equitable relief); see also</w:t>
      </w:r>
      <w:r w:rsidRPr="00900850">
        <w:rPr>
          <w:rFonts w:ascii="Aptos" w:hAnsi="Aptos"/>
          <w:i/>
          <w:iCs/>
        </w:rPr>
        <w:t xml:space="preserve">  </w:t>
      </w:r>
      <w:r w:rsidRPr="00900850">
        <w:rPr>
          <w:rFonts w:ascii="Aptos" w:hAnsi="Aptos"/>
        </w:rPr>
        <w:t xml:space="preserve">Roland M. v. Concord Sch. Comm., 910 F.2d 983, 1000 (1st Cir. 1990) (“In the typical situation, reimbursement must be denied to the parents if the school system proposed and had the capacity to implement an appropriate IEP”) (internal quotations and citations omitted); </w:t>
      </w:r>
      <w:r w:rsidRPr="00900850">
        <w:rPr>
          <w:rFonts w:ascii="Aptos" w:hAnsi="Aptos"/>
          <w:i/>
          <w:iCs/>
        </w:rPr>
        <w:t>Sch. Comm. of Town of Burlington v. Dep't of Educ</w:t>
      </w:r>
      <w:r w:rsidRPr="00900850">
        <w:rPr>
          <w:rFonts w:ascii="Aptos" w:hAnsi="Aptos"/>
        </w:rPr>
        <w:t>., 471 U.S. 349 (1985) (parents may be reimbursed for private special education if court ultimately determines private placement was proper).</w:t>
      </w:r>
    </w:p>
  </w:footnote>
  <w:footnote w:id="31">
    <w:p w14:paraId="496EF458" w14:textId="77777777" w:rsidR="00800040" w:rsidRPr="00900850" w:rsidRDefault="00800040" w:rsidP="00800040">
      <w:pPr>
        <w:pStyle w:val="FootnoteText"/>
        <w:spacing w:line="100" w:lineRule="atLeast"/>
        <w:contextualSpacing/>
        <w:rPr>
          <w:rFonts w:ascii="Aptos" w:hAnsi="Aptos"/>
        </w:rPr>
      </w:pPr>
      <w:r w:rsidRPr="00900850">
        <w:rPr>
          <w:rStyle w:val="FootnoteReference"/>
          <w:rFonts w:ascii="Aptos" w:hAnsi="Aptos"/>
        </w:rPr>
        <w:footnoteRef/>
      </w:r>
      <w:r w:rsidRPr="00900850">
        <w:rPr>
          <w:rFonts w:ascii="Aptos" w:hAnsi="Aptos"/>
        </w:rPr>
        <w:t xml:space="preserve"> </w:t>
      </w:r>
      <w:r w:rsidRPr="00900850">
        <w:rPr>
          <w:rFonts w:ascii="Aptos" w:hAnsi="Aptos"/>
          <w:i/>
          <w:iCs/>
        </w:rPr>
        <w:t>Florence Cnty. Sch. Dist. Four</w:t>
      </w:r>
      <w:r w:rsidRPr="00900850">
        <w:rPr>
          <w:rFonts w:ascii="Aptos" w:hAnsi="Aptos"/>
        </w:rPr>
        <w:t xml:space="preserve">, 510 U.S. at 14; see </w:t>
      </w:r>
      <w:r w:rsidRPr="00900850">
        <w:rPr>
          <w:rFonts w:ascii="Aptos" w:hAnsi="Aptos"/>
          <w:i/>
          <w:iCs/>
        </w:rPr>
        <w:t>Matthew J. v. Mass. Dep’t. of Educ.</w:t>
      </w:r>
      <w:r w:rsidRPr="00900850">
        <w:rPr>
          <w:rFonts w:ascii="Aptos" w:hAnsi="Aptos"/>
        </w:rPr>
        <w:t>, 988 F. Supp. 380, 391 (1998).</w:t>
      </w:r>
    </w:p>
  </w:footnote>
  <w:footnote w:id="32">
    <w:p w14:paraId="40A0AA5D" w14:textId="77777777" w:rsidR="00800040" w:rsidRPr="00900850" w:rsidRDefault="00800040" w:rsidP="00800040">
      <w:pPr>
        <w:shd w:val="clear" w:color="auto" w:fill="FFFFFF"/>
        <w:spacing w:line="100" w:lineRule="atLeast"/>
        <w:contextualSpacing/>
        <w:textAlignment w:val="baseline"/>
        <w:rPr>
          <w:rFonts w:ascii="Aptos" w:hAnsi="Aptos"/>
          <w:sz w:val="20"/>
          <w:szCs w:val="20"/>
        </w:rPr>
      </w:pPr>
      <w:r w:rsidRPr="00900850">
        <w:rPr>
          <w:rStyle w:val="FootnoteReference"/>
          <w:rFonts w:ascii="Aptos" w:hAnsi="Aptos"/>
          <w:sz w:val="20"/>
          <w:szCs w:val="20"/>
        </w:rPr>
        <w:footnoteRef/>
      </w:r>
      <w:r w:rsidRPr="00900850">
        <w:rPr>
          <w:rFonts w:ascii="Aptos" w:hAnsi="Aptos"/>
          <w:sz w:val="20"/>
          <w:szCs w:val="20"/>
        </w:rPr>
        <w:t xml:space="preserve"> </w:t>
      </w:r>
      <w:r w:rsidRPr="00900850">
        <w:rPr>
          <w:rFonts w:ascii="Aptos" w:hAnsi="Aptos"/>
          <w:i/>
          <w:iCs/>
          <w:sz w:val="20"/>
          <w:szCs w:val="20"/>
        </w:rPr>
        <w:t>H.W. v. New York State Educ. Dep't</w:t>
      </w:r>
      <w:r w:rsidRPr="00900850">
        <w:rPr>
          <w:rFonts w:ascii="Aptos" w:hAnsi="Aptos"/>
          <w:sz w:val="20"/>
          <w:szCs w:val="20"/>
        </w:rPr>
        <w:t xml:space="preserve">, No. CV 13-3873 SIL, 2015 WL 1509509, at *19 (E.D.N.Y. Mar. 31, 2015); see </w:t>
      </w:r>
      <w:r w:rsidRPr="00900850">
        <w:rPr>
          <w:rFonts w:ascii="Aptos" w:hAnsi="Aptos"/>
          <w:i/>
          <w:iCs/>
          <w:sz w:val="20"/>
          <w:szCs w:val="20"/>
          <w:bdr w:val="none" w:sz="0" w:space="0" w:color="auto" w:frame="1"/>
        </w:rPr>
        <w:t>Florence Cnty. Sch. Dist. Four</w:t>
      </w:r>
      <w:r w:rsidRPr="00900850">
        <w:rPr>
          <w:rFonts w:ascii="Aptos" w:hAnsi="Aptos"/>
          <w:sz w:val="20"/>
          <w:szCs w:val="20"/>
        </w:rPr>
        <w:t>, 510 U.S. at 14–15 (“Nor do we believe that reimbursement is necessarily barred by a private school's failure to meet state education standards…. Indeed, the school district's emphasis on state standards is somewhat ironic. …[It] hardly seems consistent with the Act's goals to forbid parents from educating their child at a school that provides an appropriate education simply because that school lacks the stamp of approval of the same public school system that failed to meet the child's needs in the first place”) (internal citations and quotations omitted).</w:t>
      </w:r>
    </w:p>
  </w:footnote>
  <w:footnote w:id="33">
    <w:p w14:paraId="48162D56" w14:textId="4E23EAFE" w:rsidR="00800040" w:rsidRDefault="00800040">
      <w:pPr>
        <w:pStyle w:val="FootnoteText"/>
      </w:pPr>
      <w:r>
        <w:rPr>
          <w:rStyle w:val="FootnoteReference"/>
        </w:rPr>
        <w:footnoteRef/>
      </w:r>
      <w:r>
        <w:t xml:space="preserve"> </w:t>
      </w:r>
      <w:r w:rsidRPr="00273F04">
        <w:t>See </w:t>
      </w:r>
      <w:r w:rsidRPr="00273F04">
        <w:rPr>
          <w:i/>
          <w:iCs/>
        </w:rPr>
        <w:t>Ahmed v. Rosenblatt</w:t>
      </w:r>
      <w:r w:rsidRPr="00273F04">
        <w:t>, 118 F.3d 996, 890 (1st Cir. 1997)</w:t>
      </w:r>
      <w:r>
        <w:t>.</w:t>
      </w:r>
    </w:p>
  </w:footnote>
  <w:footnote w:id="34">
    <w:p w14:paraId="7BD82652" w14:textId="4F702DF1" w:rsidR="00800040" w:rsidRPr="00800040" w:rsidRDefault="00800040">
      <w:pPr>
        <w:pStyle w:val="FootnoteText"/>
        <w:rPr>
          <w:i/>
          <w:iCs/>
        </w:rPr>
      </w:pPr>
      <w:r>
        <w:rPr>
          <w:rStyle w:val="FootnoteReference"/>
        </w:rPr>
        <w:footnoteRef/>
      </w:r>
      <w:r>
        <w:t xml:space="preserve"> </w:t>
      </w:r>
      <w:r>
        <w:rPr>
          <w:i/>
          <w:iCs/>
        </w:rPr>
        <w:t>Id.</w:t>
      </w:r>
    </w:p>
  </w:footnote>
  <w:footnote w:id="35">
    <w:p w14:paraId="5E344EBC" w14:textId="058E8855" w:rsidR="00800040" w:rsidRDefault="00800040">
      <w:pPr>
        <w:pStyle w:val="FootnoteText"/>
      </w:pPr>
      <w:r>
        <w:rPr>
          <w:rStyle w:val="FootnoteReference"/>
        </w:rPr>
        <w:footnoteRef/>
      </w:r>
      <w:r>
        <w:t xml:space="preserve"> </w:t>
      </w:r>
      <w:r w:rsidRPr="00800040">
        <w:rPr>
          <w:i/>
          <w:iCs/>
        </w:rPr>
        <w:t>Id</w:t>
      </w:r>
      <w:r>
        <w:t>.</w:t>
      </w:r>
    </w:p>
  </w:footnote>
  <w:footnote w:id="36">
    <w:p w14:paraId="41D7D892" w14:textId="3E56BC51" w:rsidR="00236BBA" w:rsidRDefault="00236BBA">
      <w:pPr>
        <w:pStyle w:val="FootnoteText"/>
      </w:pPr>
      <w:r>
        <w:rPr>
          <w:rStyle w:val="FootnoteReference"/>
        </w:rPr>
        <w:footnoteRef/>
      </w:r>
      <w:r>
        <w:t xml:space="preserve"> </w:t>
      </w:r>
      <w:r w:rsidRPr="00273F04">
        <w:t xml:space="preserve">I do not address the unilateral placement aspect of Parents' FAPE claims, as I will not reach this issue unless I find, after the completion of the Hearing, that the IEPs proposed for </w:t>
      </w:r>
      <w:r>
        <w:t xml:space="preserve">Student </w:t>
      </w:r>
      <w:r w:rsidRPr="00273F04">
        <w:t>were not reasonably calculated to provide her with a FAPE.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00B45"/>
    <w:multiLevelType w:val="multilevel"/>
    <w:tmpl w:val="1A5EC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B11D9"/>
    <w:multiLevelType w:val="hybridMultilevel"/>
    <w:tmpl w:val="F80A1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60898"/>
    <w:multiLevelType w:val="multilevel"/>
    <w:tmpl w:val="C186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7667AB"/>
    <w:multiLevelType w:val="hybridMultilevel"/>
    <w:tmpl w:val="71121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0C19E3"/>
    <w:multiLevelType w:val="hybridMultilevel"/>
    <w:tmpl w:val="DF82215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8F60A0"/>
    <w:multiLevelType w:val="hybridMultilevel"/>
    <w:tmpl w:val="8BF6F160"/>
    <w:lvl w:ilvl="0" w:tplc="0409000F">
      <w:start w:val="1"/>
      <w:numFmt w:val="decimal"/>
      <w:lvlText w:val="%1."/>
      <w:lvlJc w:val="left"/>
      <w:pPr>
        <w:ind w:left="720" w:hanging="360"/>
      </w:pPr>
      <w:rPr>
        <w:rFonts w:hint="default"/>
      </w:rPr>
    </w:lvl>
    <w:lvl w:ilvl="1" w:tplc="04090019">
      <w:start w:val="1"/>
      <w:numFmt w:val="lowerLetter"/>
      <w:lvlText w:val="%2."/>
      <w:lvlJc w:val="left"/>
      <w:pPr>
        <w:ind w:left="1890" w:hanging="360"/>
      </w:pPr>
    </w:lvl>
    <w:lvl w:ilvl="2" w:tplc="73F4E18E">
      <w:start w:val="1"/>
      <w:numFmt w:val="lowerRoman"/>
      <w:lvlText w:val="%3."/>
      <w:lvlJc w:val="right"/>
      <w:pPr>
        <w:ind w:left="2160" w:hanging="180"/>
      </w:pPr>
      <w:rPr>
        <w:rFonts w:ascii="Aptos" w:eastAsia="Times New Roman" w:hAnsi="Aptos" w:cs="Times New Roman"/>
      </w:rPr>
    </w:lvl>
    <w:lvl w:ilvl="3" w:tplc="0409000F">
      <w:start w:val="1"/>
      <w:numFmt w:val="decimal"/>
      <w:lvlText w:val="%4."/>
      <w:lvlJc w:val="left"/>
      <w:pPr>
        <w:ind w:left="30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514092">
    <w:abstractNumId w:val="0"/>
  </w:num>
  <w:num w:numId="2" w16cid:durableId="1488980975">
    <w:abstractNumId w:val="2"/>
  </w:num>
  <w:num w:numId="3" w16cid:durableId="1328292088">
    <w:abstractNumId w:val="5"/>
  </w:num>
  <w:num w:numId="4" w16cid:durableId="1481725511">
    <w:abstractNumId w:val="3"/>
  </w:num>
  <w:num w:numId="5" w16cid:durableId="693924851">
    <w:abstractNumId w:val="4"/>
  </w:num>
  <w:num w:numId="6" w16cid:durableId="1075468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04"/>
    <w:rsid w:val="0001617B"/>
    <w:rsid w:val="000835AD"/>
    <w:rsid w:val="00124F5B"/>
    <w:rsid w:val="00146C77"/>
    <w:rsid w:val="00162D6D"/>
    <w:rsid w:val="001F4A2E"/>
    <w:rsid w:val="00204F2D"/>
    <w:rsid w:val="00236BBA"/>
    <w:rsid w:val="00241CB7"/>
    <w:rsid w:val="00273F04"/>
    <w:rsid w:val="002C7B4A"/>
    <w:rsid w:val="00345FC6"/>
    <w:rsid w:val="0037246E"/>
    <w:rsid w:val="00376A67"/>
    <w:rsid w:val="003F21F3"/>
    <w:rsid w:val="004701E9"/>
    <w:rsid w:val="00475D1C"/>
    <w:rsid w:val="00483926"/>
    <w:rsid w:val="00565E56"/>
    <w:rsid w:val="0057037D"/>
    <w:rsid w:val="00623329"/>
    <w:rsid w:val="00654C07"/>
    <w:rsid w:val="00690D9E"/>
    <w:rsid w:val="00746578"/>
    <w:rsid w:val="0079723B"/>
    <w:rsid w:val="00800040"/>
    <w:rsid w:val="008244D0"/>
    <w:rsid w:val="0085209D"/>
    <w:rsid w:val="008A2809"/>
    <w:rsid w:val="009F6688"/>
    <w:rsid w:val="00A056D7"/>
    <w:rsid w:val="00A91D61"/>
    <w:rsid w:val="00B1233C"/>
    <w:rsid w:val="00B34F73"/>
    <w:rsid w:val="00BB36F9"/>
    <w:rsid w:val="00BC37B5"/>
    <w:rsid w:val="00C04DB2"/>
    <w:rsid w:val="00C70FC5"/>
    <w:rsid w:val="00D35881"/>
    <w:rsid w:val="00D53D3A"/>
    <w:rsid w:val="00D67643"/>
    <w:rsid w:val="00F50176"/>
    <w:rsid w:val="00F81EDD"/>
    <w:rsid w:val="00F83133"/>
    <w:rsid w:val="00FB403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42DA"/>
  <w15:chartTrackingRefBased/>
  <w15:docId w15:val="{62E5DFD0-841C-5741-A9CE-DEB98AE8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F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F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F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F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F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F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F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F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F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F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F04"/>
    <w:rPr>
      <w:rFonts w:eastAsiaTheme="majorEastAsia" w:cstheme="majorBidi"/>
      <w:color w:val="272727" w:themeColor="text1" w:themeTint="D8"/>
    </w:rPr>
  </w:style>
  <w:style w:type="paragraph" w:styleId="Title">
    <w:name w:val="Title"/>
    <w:basedOn w:val="Normal"/>
    <w:next w:val="Normal"/>
    <w:link w:val="TitleChar"/>
    <w:uiPriority w:val="10"/>
    <w:qFormat/>
    <w:rsid w:val="00273F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F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F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3F04"/>
    <w:rPr>
      <w:i/>
      <w:iCs/>
      <w:color w:val="404040" w:themeColor="text1" w:themeTint="BF"/>
    </w:rPr>
  </w:style>
  <w:style w:type="paragraph" w:styleId="ListParagraph">
    <w:name w:val="List Paragraph"/>
    <w:basedOn w:val="Normal"/>
    <w:uiPriority w:val="34"/>
    <w:qFormat/>
    <w:rsid w:val="00273F04"/>
    <w:pPr>
      <w:ind w:left="720"/>
      <w:contextualSpacing/>
    </w:pPr>
  </w:style>
  <w:style w:type="character" w:styleId="IntenseEmphasis">
    <w:name w:val="Intense Emphasis"/>
    <w:basedOn w:val="DefaultParagraphFont"/>
    <w:uiPriority w:val="21"/>
    <w:qFormat/>
    <w:rsid w:val="00273F04"/>
    <w:rPr>
      <w:i/>
      <w:iCs/>
      <w:color w:val="0F4761" w:themeColor="accent1" w:themeShade="BF"/>
    </w:rPr>
  </w:style>
  <w:style w:type="paragraph" w:styleId="IntenseQuote">
    <w:name w:val="Intense Quote"/>
    <w:basedOn w:val="Normal"/>
    <w:next w:val="Normal"/>
    <w:link w:val="IntenseQuoteChar"/>
    <w:uiPriority w:val="30"/>
    <w:qFormat/>
    <w:rsid w:val="00273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F04"/>
    <w:rPr>
      <w:i/>
      <w:iCs/>
      <w:color w:val="0F4761" w:themeColor="accent1" w:themeShade="BF"/>
    </w:rPr>
  </w:style>
  <w:style w:type="character" w:styleId="IntenseReference">
    <w:name w:val="Intense Reference"/>
    <w:basedOn w:val="DefaultParagraphFont"/>
    <w:uiPriority w:val="32"/>
    <w:qFormat/>
    <w:rsid w:val="00273F04"/>
    <w:rPr>
      <w:b/>
      <w:bCs/>
      <w:smallCaps/>
      <w:color w:val="0F4761" w:themeColor="accent1" w:themeShade="BF"/>
      <w:spacing w:val="5"/>
    </w:rPr>
  </w:style>
  <w:style w:type="character" w:styleId="Hyperlink">
    <w:name w:val="Hyperlink"/>
    <w:basedOn w:val="DefaultParagraphFont"/>
    <w:uiPriority w:val="99"/>
    <w:unhideWhenUsed/>
    <w:rsid w:val="00273F04"/>
    <w:rPr>
      <w:color w:val="467886" w:themeColor="hyperlink"/>
      <w:u w:val="single"/>
    </w:rPr>
  </w:style>
  <w:style w:type="character" w:styleId="UnresolvedMention">
    <w:name w:val="Unresolved Mention"/>
    <w:basedOn w:val="DefaultParagraphFont"/>
    <w:uiPriority w:val="99"/>
    <w:semiHidden/>
    <w:unhideWhenUsed/>
    <w:rsid w:val="00273F04"/>
    <w:rPr>
      <w:color w:val="605E5C"/>
      <w:shd w:val="clear" w:color="auto" w:fill="E1DFDD"/>
    </w:rPr>
  </w:style>
  <w:style w:type="paragraph" w:styleId="FootnoteText">
    <w:name w:val="footnote text"/>
    <w:basedOn w:val="Normal"/>
    <w:link w:val="FootnoteTextChar"/>
    <w:uiPriority w:val="99"/>
    <w:unhideWhenUsed/>
    <w:rsid w:val="00204F2D"/>
    <w:rPr>
      <w:sz w:val="20"/>
      <w:szCs w:val="20"/>
    </w:rPr>
  </w:style>
  <w:style w:type="character" w:customStyle="1" w:styleId="FootnoteTextChar">
    <w:name w:val="Footnote Text Char"/>
    <w:basedOn w:val="DefaultParagraphFont"/>
    <w:link w:val="FootnoteText"/>
    <w:uiPriority w:val="99"/>
    <w:rsid w:val="00204F2D"/>
    <w:rPr>
      <w:sz w:val="20"/>
      <w:szCs w:val="20"/>
    </w:rPr>
  </w:style>
  <w:style w:type="character" w:styleId="FootnoteReference">
    <w:name w:val="footnote reference"/>
    <w:basedOn w:val="DefaultParagraphFont"/>
    <w:uiPriority w:val="99"/>
    <w:semiHidden/>
    <w:unhideWhenUsed/>
    <w:rsid w:val="00204F2D"/>
    <w:rPr>
      <w:vertAlign w:val="superscript"/>
    </w:rPr>
  </w:style>
  <w:style w:type="paragraph" w:styleId="NormalWeb">
    <w:name w:val="Normal (Web)"/>
    <w:basedOn w:val="Normal"/>
    <w:uiPriority w:val="99"/>
    <w:unhideWhenUsed/>
    <w:rsid w:val="0080004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00040"/>
  </w:style>
  <w:style w:type="character" w:styleId="Emphasis">
    <w:name w:val="Emphasis"/>
    <w:basedOn w:val="DefaultParagraphFont"/>
    <w:uiPriority w:val="20"/>
    <w:qFormat/>
    <w:rsid w:val="00800040"/>
    <w:rPr>
      <w:i/>
      <w:iCs/>
    </w:rPr>
  </w:style>
  <w:style w:type="character" w:customStyle="1" w:styleId="coconcept14">
    <w:name w:val="co_concept_1_4"/>
    <w:basedOn w:val="DefaultParagraphFont"/>
    <w:rsid w:val="00800040"/>
  </w:style>
  <w:style w:type="paragraph" w:styleId="Footer">
    <w:name w:val="footer"/>
    <w:basedOn w:val="Normal"/>
    <w:link w:val="FooterChar"/>
    <w:uiPriority w:val="99"/>
    <w:unhideWhenUsed/>
    <w:rsid w:val="00F83133"/>
    <w:pPr>
      <w:tabs>
        <w:tab w:val="center" w:pos="4680"/>
        <w:tab w:val="right" w:pos="9360"/>
      </w:tabs>
    </w:pPr>
  </w:style>
  <w:style w:type="character" w:customStyle="1" w:styleId="FooterChar">
    <w:name w:val="Footer Char"/>
    <w:basedOn w:val="DefaultParagraphFont"/>
    <w:link w:val="Footer"/>
    <w:uiPriority w:val="99"/>
    <w:rsid w:val="00F83133"/>
  </w:style>
  <w:style w:type="character" w:styleId="PageNumber">
    <w:name w:val="page number"/>
    <w:basedOn w:val="DefaultParagraphFont"/>
    <w:uiPriority w:val="99"/>
    <w:semiHidden/>
    <w:unhideWhenUsed/>
    <w:rsid w:val="00F83133"/>
  </w:style>
  <w:style w:type="paragraph" w:styleId="Revision">
    <w:name w:val="Revision"/>
    <w:hidden/>
    <w:uiPriority w:val="99"/>
    <w:semiHidden/>
    <w:rsid w:val="00F50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18232">
      <w:bodyDiv w:val="1"/>
      <w:marLeft w:val="0"/>
      <w:marRight w:val="0"/>
      <w:marTop w:val="0"/>
      <w:marBottom w:val="0"/>
      <w:divBdr>
        <w:top w:val="none" w:sz="0" w:space="0" w:color="auto"/>
        <w:left w:val="none" w:sz="0" w:space="0" w:color="auto"/>
        <w:bottom w:val="none" w:sz="0" w:space="0" w:color="auto"/>
        <w:right w:val="none" w:sz="0" w:space="0" w:color="auto"/>
      </w:divBdr>
      <w:divsChild>
        <w:div w:id="910964355">
          <w:marLeft w:val="0"/>
          <w:marRight w:val="0"/>
          <w:marTop w:val="0"/>
          <w:marBottom w:val="0"/>
          <w:divBdr>
            <w:top w:val="none" w:sz="0" w:space="0" w:color="auto"/>
            <w:left w:val="none" w:sz="0" w:space="0" w:color="auto"/>
            <w:bottom w:val="none" w:sz="0" w:space="0" w:color="auto"/>
            <w:right w:val="none" w:sz="0" w:space="0" w:color="auto"/>
          </w:divBdr>
          <w:divsChild>
            <w:div w:id="2017076475">
              <w:marLeft w:val="0"/>
              <w:marRight w:val="0"/>
              <w:marTop w:val="0"/>
              <w:marBottom w:val="0"/>
              <w:divBdr>
                <w:top w:val="none" w:sz="0" w:space="0" w:color="auto"/>
                <w:left w:val="none" w:sz="0" w:space="0" w:color="auto"/>
                <w:bottom w:val="none" w:sz="0" w:space="0" w:color="auto"/>
                <w:right w:val="none" w:sz="0" w:space="0" w:color="auto"/>
              </w:divBdr>
              <w:divsChild>
                <w:div w:id="379788127">
                  <w:marLeft w:val="150"/>
                  <w:marRight w:val="0"/>
                  <w:marTop w:val="0"/>
                  <w:marBottom w:val="0"/>
                  <w:divBdr>
                    <w:top w:val="none" w:sz="0" w:space="0" w:color="auto"/>
                    <w:left w:val="none" w:sz="0" w:space="0" w:color="auto"/>
                    <w:bottom w:val="none" w:sz="0" w:space="0" w:color="auto"/>
                    <w:right w:val="none" w:sz="0" w:space="0" w:color="auto"/>
                  </w:divBdr>
                  <w:divsChild>
                    <w:div w:id="1602642398">
                      <w:marLeft w:val="0"/>
                      <w:marRight w:val="0"/>
                      <w:marTop w:val="0"/>
                      <w:marBottom w:val="0"/>
                      <w:divBdr>
                        <w:top w:val="none" w:sz="0" w:space="0" w:color="auto"/>
                        <w:left w:val="none" w:sz="0" w:space="0" w:color="auto"/>
                        <w:bottom w:val="none" w:sz="0" w:space="0" w:color="auto"/>
                        <w:right w:val="none" w:sz="0" w:space="0" w:color="auto"/>
                      </w:divBdr>
                    </w:div>
                  </w:divsChild>
                </w:div>
                <w:div w:id="836918592">
                  <w:marLeft w:val="150"/>
                  <w:marRight w:val="0"/>
                  <w:marTop w:val="0"/>
                  <w:marBottom w:val="0"/>
                  <w:divBdr>
                    <w:top w:val="none" w:sz="0" w:space="0" w:color="auto"/>
                    <w:left w:val="none" w:sz="0" w:space="0" w:color="auto"/>
                    <w:bottom w:val="none" w:sz="0" w:space="0" w:color="auto"/>
                    <w:right w:val="none" w:sz="0" w:space="0" w:color="auto"/>
                  </w:divBdr>
                  <w:divsChild>
                    <w:div w:id="9386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12012">
          <w:marLeft w:val="0"/>
          <w:marRight w:val="0"/>
          <w:marTop w:val="0"/>
          <w:marBottom w:val="0"/>
          <w:divBdr>
            <w:top w:val="none" w:sz="0" w:space="0" w:color="auto"/>
            <w:left w:val="none" w:sz="0" w:space="0" w:color="auto"/>
            <w:bottom w:val="single" w:sz="6" w:space="0" w:color="auto"/>
            <w:right w:val="none" w:sz="0" w:space="0" w:color="auto"/>
          </w:divBdr>
          <w:divsChild>
            <w:div w:id="1807309762">
              <w:marLeft w:val="0"/>
              <w:marRight w:val="0"/>
              <w:marTop w:val="0"/>
              <w:marBottom w:val="0"/>
              <w:divBdr>
                <w:top w:val="none" w:sz="0" w:space="0" w:color="auto"/>
                <w:left w:val="none" w:sz="0" w:space="0" w:color="auto"/>
                <w:bottom w:val="none" w:sz="0" w:space="0" w:color="auto"/>
                <w:right w:val="none" w:sz="0" w:space="0" w:color="auto"/>
              </w:divBdr>
              <w:divsChild>
                <w:div w:id="128866180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72324232">
          <w:marLeft w:val="0"/>
          <w:marRight w:val="0"/>
          <w:marTop w:val="0"/>
          <w:marBottom w:val="0"/>
          <w:divBdr>
            <w:top w:val="none" w:sz="0" w:space="0" w:color="auto"/>
            <w:left w:val="none" w:sz="0" w:space="0" w:color="auto"/>
            <w:bottom w:val="none" w:sz="0" w:space="0" w:color="auto"/>
            <w:right w:val="none" w:sz="0" w:space="0" w:color="auto"/>
          </w:divBdr>
          <w:divsChild>
            <w:div w:id="1416825441">
              <w:marLeft w:val="150"/>
              <w:marRight w:val="0"/>
              <w:marTop w:val="0"/>
              <w:marBottom w:val="0"/>
              <w:divBdr>
                <w:top w:val="none" w:sz="0" w:space="0" w:color="auto"/>
                <w:left w:val="none" w:sz="0" w:space="0" w:color="auto"/>
                <w:bottom w:val="none" w:sz="0" w:space="0" w:color="auto"/>
                <w:right w:val="none" w:sz="0" w:space="0" w:color="auto"/>
              </w:divBdr>
              <w:divsChild>
                <w:div w:id="3558146">
                  <w:marLeft w:val="0"/>
                  <w:marRight w:val="0"/>
                  <w:marTop w:val="0"/>
                  <w:marBottom w:val="0"/>
                  <w:divBdr>
                    <w:top w:val="none" w:sz="0" w:space="0" w:color="auto"/>
                    <w:left w:val="none" w:sz="0" w:space="0" w:color="auto"/>
                    <w:bottom w:val="none" w:sz="0" w:space="0" w:color="auto"/>
                    <w:right w:val="none" w:sz="0" w:space="0" w:color="auto"/>
                  </w:divBdr>
                </w:div>
                <w:div w:id="439373489">
                  <w:marLeft w:val="0"/>
                  <w:marRight w:val="0"/>
                  <w:marTop w:val="0"/>
                  <w:marBottom w:val="0"/>
                  <w:divBdr>
                    <w:top w:val="none" w:sz="0" w:space="0" w:color="auto"/>
                    <w:left w:val="none" w:sz="0" w:space="0" w:color="auto"/>
                    <w:bottom w:val="none" w:sz="0" w:space="0" w:color="auto"/>
                    <w:right w:val="none" w:sz="0" w:space="0" w:color="auto"/>
                  </w:divBdr>
                </w:div>
                <w:div w:id="2002803897">
                  <w:marLeft w:val="0"/>
                  <w:marRight w:val="0"/>
                  <w:marTop w:val="0"/>
                  <w:marBottom w:val="0"/>
                  <w:divBdr>
                    <w:top w:val="none" w:sz="0" w:space="0" w:color="auto"/>
                    <w:left w:val="none" w:sz="0" w:space="0" w:color="auto"/>
                    <w:bottom w:val="none" w:sz="0" w:space="0" w:color="auto"/>
                    <w:right w:val="none" w:sz="0" w:space="0" w:color="auto"/>
                  </w:divBdr>
                </w:div>
                <w:div w:id="1091778927">
                  <w:marLeft w:val="0"/>
                  <w:marRight w:val="0"/>
                  <w:marTop w:val="0"/>
                  <w:marBottom w:val="0"/>
                  <w:divBdr>
                    <w:top w:val="none" w:sz="0" w:space="0" w:color="auto"/>
                    <w:left w:val="none" w:sz="0" w:space="0" w:color="auto"/>
                    <w:bottom w:val="none" w:sz="0" w:space="0" w:color="auto"/>
                    <w:right w:val="none" w:sz="0" w:space="0" w:color="auto"/>
                  </w:divBdr>
                </w:div>
                <w:div w:id="1956522917">
                  <w:marLeft w:val="0"/>
                  <w:marRight w:val="0"/>
                  <w:marTop w:val="0"/>
                  <w:marBottom w:val="0"/>
                  <w:divBdr>
                    <w:top w:val="none" w:sz="0" w:space="0" w:color="auto"/>
                    <w:left w:val="none" w:sz="0" w:space="0" w:color="auto"/>
                    <w:bottom w:val="none" w:sz="0" w:space="0" w:color="auto"/>
                    <w:right w:val="none" w:sz="0" w:space="0" w:color="auto"/>
                  </w:divBdr>
                </w:div>
                <w:div w:id="1294869325">
                  <w:marLeft w:val="0"/>
                  <w:marRight w:val="0"/>
                  <w:marTop w:val="0"/>
                  <w:marBottom w:val="0"/>
                  <w:divBdr>
                    <w:top w:val="none" w:sz="0" w:space="0" w:color="auto"/>
                    <w:left w:val="none" w:sz="0" w:space="0" w:color="auto"/>
                    <w:bottom w:val="none" w:sz="0" w:space="0" w:color="auto"/>
                    <w:right w:val="none" w:sz="0" w:space="0" w:color="auto"/>
                  </w:divBdr>
                  <w:divsChild>
                    <w:div w:id="1816216082">
                      <w:blockQuote w:val="1"/>
                      <w:marLeft w:val="0"/>
                      <w:marRight w:val="0"/>
                      <w:marTop w:val="0"/>
                      <w:marBottom w:val="150"/>
                      <w:divBdr>
                        <w:top w:val="none" w:sz="0" w:space="0" w:color="auto"/>
                        <w:left w:val="none" w:sz="0" w:space="0" w:color="auto"/>
                        <w:bottom w:val="none" w:sz="0" w:space="0" w:color="auto"/>
                        <w:right w:val="none" w:sz="0" w:space="0" w:color="auto"/>
                      </w:divBdr>
                    </w:div>
                    <w:div w:id="1372654632">
                      <w:blockQuote w:val="1"/>
                      <w:marLeft w:val="0"/>
                      <w:marRight w:val="0"/>
                      <w:marTop w:val="0"/>
                      <w:marBottom w:val="150"/>
                      <w:divBdr>
                        <w:top w:val="none" w:sz="0" w:space="0" w:color="auto"/>
                        <w:left w:val="none" w:sz="0" w:space="0" w:color="auto"/>
                        <w:bottom w:val="none" w:sz="0" w:space="0" w:color="auto"/>
                        <w:right w:val="none" w:sz="0" w:space="0" w:color="auto"/>
                      </w:divBdr>
                    </w:div>
                    <w:div w:id="194013922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309592">
          <w:marLeft w:val="0"/>
          <w:marRight w:val="0"/>
          <w:marTop w:val="0"/>
          <w:marBottom w:val="0"/>
          <w:divBdr>
            <w:top w:val="none" w:sz="0" w:space="0" w:color="auto"/>
            <w:left w:val="none" w:sz="0" w:space="0" w:color="auto"/>
            <w:bottom w:val="none" w:sz="0" w:space="0" w:color="auto"/>
            <w:right w:val="none" w:sz="0" w:space="0" w:color="auto"/>
          </w:divBdr>
          <w:divsChild>
            <w:div w:id="1109397363">
              <w:marLeft w:val="0"/>
              <w:marRight w:val="0"/>
              <w:marTop w:val="0"/>
              <w:marBottom w:val="0"/>
              <w:divBdr>
                <w:top w:val="none" w:sz="0" w:space="0" w:color="auto"/>
                <w:left w:val="none" w:sz="0" w:space="0" w:color="auto"/>
                <w:bottom w:val="none" w:sz="0" w:space="0" w:color="auto"/>
                <w:right w:val="none" w:sz="0" w:space="0" w:color="auto"/>
              </w:divBdr>
              <w:divsChild>
                <w:div w:id="1875727870">
                  <w:marLeft w:val="150"/>
                  <w:marRight w:val="0"/>
                  <w:marTop w:val="0"/>
                  <w:marBottom w:val="0"/>
                  <w:divBdr>
                    <w:top w:val="none" w:sz="0" w:space="0" w:color="auto"/>
                    <w:left w:val="none" w:sz="0" w:space="0" w:color="auto"/>
                    <w:bottom w:val="none" w:sz="0" w:space="0" w:color="auto"/>
                    <w:right w:val="none" w:sz="0" w:space="0" w:color="auto"/>
                  </w:divBdr>
                  <w:divsChild>
                    <w:div w:id="1868517792">
                      <w:marLeft w:val="0"/>
                      <w:marRight w:val="0"/>
                      <w:marTop w:val="0"/>
                      <w:marBottom w:val="0"/>
                      <w:divBdr>
                        <w:top w:val="none" w:sz="0" w:space="0" w:color="auto"/>
                        <w:left w:val="none" w:sz="0" w:space="0" w:color="auto"/>
                        <w:bottom w:val="none" w:sz="0" w:space="0" w:color="auto"/>
                        <w:right w:val="none" w:sz="0" w:space="0" w:color="auto"/>
                      </w:divBdr>
                    </w:div>
                  </w:divsChild>
                </w:div>
                <w:div w:id="1190991614">
                  <w:marLeft w:val="150"/>
                  <w:marRight w:val="0"/>
                  <w:marTop w:val="0"/>
                  <w:marBottom w:val="0"/>
                  <w:divBdr>
                    <w:top w:val="none" w:sz="0" w:space="0" w:color="auto"/>
                    <w:left w:val="none" w:sz="0" w:space="0" w:color="auto"/>
                    <w:bottom w:val="none" w:sz="0" w:space="0" w:color="auto"/>
                    <w:right w:val="none" w:sz="0" w:space="0" w:color="auto"/>
                  </w:divBdr>
                  <w:divsChild>
                    <w:div w:id="365761004">
                      <w:marLeft w:val="0"/>
                      <w:marRight w:val="0"/>
                      <w:marTop w:val="0"/>
                      <w:marBottom w:val="0"/>
                      <w:divBdr>
                        <w:top w:val="none" w:sz="0" w:space="0" w:color="auto"/>
                        <w:left w:val="none" w:sz="0" w:space="0" w:color="auto"/>
                        <w:bottom w:val="none" w:sz="0" w:space="0" w:color="auto"/>
                        <w:right w:val="none" w:sz="0" w:space="0" w:color="auto"/>
                      </w:divBdr>
                    </w:div>
                    <w:div w:id="650401227">
                      <w:marLeft w:val="0"/>
                      <w:marRight w:val="0"/>
                      <w:marTop w:val="0"/>
                      <w:marBottom w:val="0"/>
                      <w:divBdr>
                        <w:top w:val="none" w:sz="0" w:space="0" w:color="auto"/>
                        <w:left w:val="none" w:sz="0" w:space="0" w:color="auto"/>
                        <w:bottom w:val="none" w:sz="0" w:space="0" w:color="auto"/>
                        <w:right w:val="none" w:sz="0" w:space="0" w:color="auto"/>
                      </w:divBdr>
                    </w:div>
                    <w:div w:id="2081712748">
                      <w:marLeft w:val="0"/>
                      <w:marRight w:val="0"/>
                      <w:marTop w:val="0"/>
                      <w:marBottom w:val="0"/>
                      <w:divBdr>
                        <w:top w:val="none" w:sz="0" w:space="0" w:color="auto"/>
                        <w:left w:val="none" w:sz="0" w:space="0" w:color="auto"/>
                        <w:bottom w:val="none" w:sz="0" w:space="0" w:color="auto"/>
                        <w:right w:val="none" w:sz="0" w:space="0" w:color="auto"/>
                      </w:divBdr>
                    </w:div>
                    <w:div w:id="1718116053">
                      <w:marLeft w:val="0"/>
                      <w:marRight w:val="0"/>
                      <w:marTop w:val="0"/>
                      <w:marBottom w:val="0"/>
                      <w:divBdr>
                        <w:top w:val="none" w:sz="0" w:space="0" w:color="auto"/>
                        <w:left w:val="none" w:sz="0" w:space="0" w:color="auto"/>
                        <w:bottom w:val="none" w:sz="0" w:space="0" w:color="auto"/>
                        <w:right w:val="none" w:sz="0" w:space="0" w:color="auto"/>
                      </w:divBdr>
                    </w:div>
                  </w:divsChild>
                </w:div>
                <w:div w:id="613169691">
                  <w:marLeft w:val="150"/>
                  <w:marRight w:val="0"/>
                  <w:marTop w:val="0"/>
                  <w:marBottom w:val="0"/>
                  <w:divBdr>
                    <w:top w:val="none" w:sz="0" w:space="0" w:color="auto"/>
                    <w:left w:val="none" w:sz="0" w:space="0" w:color="auto"/>
                    <w:bottom w:val="none" w:sz="0" w:space="0" w:color="auto"/>
                    <w:right w:val="none" w:sz="0" w:space="0" w:color="auto"/>
                  </w:divBdr>
                  <w:divsChild>
                    <w:div w:id="1707489518">
                      <w:marLeft w:val="0"/>
                      <w:marRight w:val="-90"/>
                      <w:marTop w:val="0"/>
                      <w:marBottom w:val="0"/>
                      <w:divBdr>
                        <w:top w:val="none" w:sz="0" w:space="0" w:color="auto"/>
                        <w:left w:val="none" w:sz="0" w:space="0" w:color="auto"/>
                        <w:bottom w:val="none" w:sz="0" w:space="0" w:color="auto"/>
                        <w:right w:val="none" w:sz="0" w:space="0" w:color="auto"/>
                      </w:divBdr>
                      <w:divsChild>
                        <w:div w:id="660889323">
                          <w:marLeft w:val="0"/>
                          <w:marRight w:val="0"/>
                          <w:marTop w:val="0"/>
                          <w:marBottom w:val="0"/>
                          <w:divBdr>
                            <w:top w:val="none" w:sz="0" w:space="0" w:color="auto"/>
                            <w:left w:val="none" w:sz="0" w:space="0" w:color="auto"/>
                            <w:bottom w:val="none" w:sz="0" w:space="0" w:color="auto"/>
                            <w:right w:val="none" w:sz="0" w:space="0" w:color="auto"/>
                          </w:divBdr>
                        </w:div>
                        <w:div w:id="160236784">
                          <w:marLeft w:val="0"/>
                          <w:marRight w:val="0"/>
                          <w:marTop w:val="0"/>
                          <w:marBottom w:val="0"/>
                          <w:divBdr>
                            <w:top w:val="none" w:sz="0" w:space="0" w:color="auto"/>
                            <w:left w:val="none" w:sz="0" w:space="0" w:color="auto"/>
                            <w:bottom w:val="none" w:sz="0" w:space="0" w:color="auto"/>
                            <w:right w:val="none" w:sz="0" w:space="0" w:color="auto"/>
                          </w:divBdr>
                        </w:div>
                        <w:div w:id="1903640080">
                          <w:marLeft w:val="0"/>
                          <w:marRight w:val="0"/>
                          <w:marTop w:val="0"/>
                          <w:marBottom w:val="0"/>
                          <w:divBdr>
                            <w:top w:val="none" w:sz="0" w:space="0" w:color="auto"/>
                            <w:left w:val="none" w:sz="0" w:space="0" w:color="auto"/>
                            <w:bottom w:val="none" w:sz="0" w:space="0" w:color="auto"/>
                            <w:right w:val="none" w:sz="0" w:space="0" w:color="auto"/>
                          </w:divBdr>
                        </w:div>
                        <w:div w:id="2128313623">
                          <w:marLeft w:val="0"/>
                          <w:marRight w:val="0"/>
                          <w:marTop w:val="0"/>
                          <w:marBottom w:val="0"/>
                          <w:divBdr>
                            <w:top w:val="none" w:sz="0" w:space="0" w:color="auto"/>
                            <w:left w:val="none" w:sz="0" w:space="0" w:color="auto"/>
                            <w:bottom w:val="none" w:sz="0" w:space="0" w:color="auto"/>
                            <w:right w:val="none" w:sz="0" w:space="0" w:color="auto"/>
                          </w:divBdr>
                        </w:div>
                        <w:div w:id="194467581">
                          <w:marLeft w:val="0"/>
                          <w:marRight w:val="0"/>
                          <w:marTop w:val="0"/>
                          <w:marBottom w:val="0"/>
                          <w:divBdr>
                            <w:top w:val="none" w:sz="0" w:space="0" w:color="auto"/>
                            <w:left w:val="none" w:sz="0" w:space="0" w:color="auto"/>
                            <w:bottom w:val="none" w:sz="0" w:space="0" w:color="auto"/>
                            <w:right w:val="none" w:sz="0" w:space="0" w:color="auto"/>
                          </w:divBdr>
                        </w:div>
                        <w:div w:id="1140877168">
                          <w:marLeft w:val="0"/>
                          <w:marRight w:val="0"/>
                          <w:marTop w:val="0"/>
                          <w:marBottom w:val="0"/>
                          <w:divBdr>
                            <w:top w:val="none" w:sz="0" w:space="0" w:color="auto"/>
                            <w:left w:val="none" w:sz="0" w:space="0" w:color="auto"/>
                            <w:bottom w:val="none" w:sz="0" w:space="0" w:color="auto"/>
                            <w:right w:val="none" w:sz="0" w:space="0" w:color="auto"/>
                          </w:divBdr>
                        </w:div>
                        <w:div w:id="1498568328">
                          <w:marLeft w:val="0"/>
                          <w:marRight w:val="0"/>
                          <w:marTop w:val="0"/>
                          <w:marBottom w:val="0"/>
                          <w:divBdr>
                            <w:top w:val="none" w:sz="0" w:space="0" w:color="auto"/>
                            <w:left w:val="none" w:sz="0" w:space="0" w:color="auto"/>
                            <w:bottom w:val="none" w:sz="0" w:space="0" w:color="auto"/>
                            <w:right w:val="none" w:sz="0" w:space="0" w:color="auto"/>
                          </w:divBdr>
                        </w:div>
                        <w:div w:id="11259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444062">
          <w:marLeft w:val="0"/>
          <w:marRight w:val="0"/>
          <w:marTop w:val="0"/>
          <w:marBottom w:val="0"/>
          <w:divBdr>
            <w:top w:val="single" w:sz="6" w:space="0" w:color="auto"/>
            <w:left w:val="none" w:sz="0" w:space="0" w:color="auto"/>
            <w:bottom w:val="none" w:sz="0" w:space="0" w:color="auto"/>
            <w:right w:val="none" w:sz="0" w:space="0" w:color="auto"/>
          </w:divBdr>
          <w:divsChild>
            <w:div w:id="341510381">
              <w:marLeft w:val="0"/>
              <w:marRight w:val="0"/>
              <w:marTop w:val="0"/>
              <w:marBottom w:val="0"/>
              <w:divBdr>
                <w:top w:val="none" w:sz="0" w:space="0" w:color="auto"/>
                <w:left w:val="none" w:sz="0" w:space="0" w:color="auto"/>
                <w:bottom w:val="none" w:sz="0" w:space="0" w:color="auto"/>
                <w:right w:val="none" w:sz="0" w:space="0" w:color="auto"/>
              </w:divBdr>
              <w:divsChild>
                <w:div w:id="1534735277">
                  <w:marLeft w:val="150"/>
                  <w:marRight w:val="0"/>
                  <w:marTop w:val="0"/>
                  <w:marBottom w:val="0"/>
                  <w:divBdr>
                    <w:top w:val="none" w:sz="0" w:space="0" w:color="auto"/>
                    <w:left w:val="none" w:sz="0" w:space="0" w:color="auto"/>
                    <w:bottom w:val="none" w:sz="0" w:space="0" w:color="auto"/>
                    <w:right w:val="none" w:sz="0" w:space="0" w:color="auto"/>
                  </w:divBdr>
                  <w:divsChild>
                    <w:div w:id="412508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59737956">
      <w:bodyDiv w:val="1"/>
      <w:marLeft w:val="0"/>
      <w:marRight w:val="0"/>
      <w:marTop w:val="0"/>
      <w:marBottom w:val="0"/>
      <w:divBdr>
        <w:top w:val="none" w:sz="0" w:space="0" w:color="auto"/>
        <w:left w:val="none" w:sz="0" w:space="0" w:color="auto"/>
        <w:bottom w:val="none" w:sz="0" w:space="0" w:color="auto"/>
        <w:right w:val="none" w:sz="0" w:space="0" w:color="auto"/>
      </w:divBdr>
    </w:div>
    <w:div w:id="618224353">
      <w:bodyDiv w:val="1"/>
      <w:marLeft w:val="0"/>
      <w:marRight w:val="0"/>
      <w:marTop w:val="0"/>
      <w:marBottom w:val="0"/>
      <w:divBdr>
        <w:top w:val="none" w:sz="0" w:space="0" w:color="auto"/>
        <w:left w:val="none" w:sz="0" w:space="0" w:color="auto"/>
        <w:bottom w:val="none" w:sz="0" w:space="0" w:color="auto"/>
        <w:right w:val="none" w:sz="0" w:space="0" w:color="auto"/>
      </w:divBdr>
      <w:divsChild>
        <w:div w:id="963268128">
          <w:marLeft w:val="0"/>
          <w:marRight w:val="0"/>
          <w:marTop w:val="0"/>
          <w:marBottom w:val="0"/>
          <w:divBdr>
            <w:top w:val="none" w:sz="0" w:space="0" w:color="auto"/>
            <w:left w:val="none" w:sz="0" w:space="0" w:color="auto"/>
            <w:bottom w:val="none" w:sz="0" w:space="0" w:color="auto"/>
            <w:right w:val="none" w:sz="0" w:space="0" w:color="auto"/>
          </w:divBdr>
          <w:divsChild>
            <w:div w:id="303972081">
              <w:marLeft w:val="0"/>
              <w:marRight w:val="0"/>
              <w:marTop w:val="0"/>
              <w:marBottom w:val="0"/>
              <w:divBdr>
                <w:top w:val="none" w:sz="0" w:space="0" w:color="auto"/>
                <w:left w:val="none" w:sz="0" w:space="0" w:color="auto"/>
                <w:bottom w:val="none" w:sz="0" w:space="0" w:color="auto"/>
                <w:right w:val="none" w:sz="0" w:space="0" w:color="auto"/>
              </w:divBdr>
              <w:divsChild>
                <w:div w:id="103698715">
                  <w:marLeft w:val="150"/>
                  <w:marRight w:val="0"/>
                  <w:marTop w:val="0"/>
                  <w:marBottom w:val="0"/>
                  <w:divBdr>
                    <w:top w:val="none" w:sz="0" w:space="0" w:color="auto"/>
                    <w:left w:val="none" w:sz="0" w:space="0" w:color="auto"/>
                    <w:bottom w:val="none" w:sz="0" w:space="0" w:color="auto"/>
                    <w:right w:val="none" w:sz="0" w:space="0" w:color="auto"/>
                  </w:divBdr>
                  <w:divsChild>
                    <w:div w:id="1015880309">
                      <w:marLeft w:val="0"/>
                      <w:marRight w:val="0"/>
                      <w:marTop w:val="0"/>
                      <w:marBottom w:val="0"/>
                      <w:divBdr>
                        <w:top w:val="none" w:sz="0" w:space="0" w:color="auto"/>
                        <w:left w:val="none" w:sz="0" w:space="0" w:color="auto"/>
                        <w:bottom w:val="none" w:sz="0" w:space="0" w:color="auto"/>
                        <w:right w:val="none" w:sz="0" w:space="0" w:color="auto"/>
                      </w:divBdr>
                    </w:div>
                  </w:divsChild>
                </w:div>
                <w:div w:id="1056273420">
                  <w:marLeft w:val="150"/>
                  <w:marRight w:val="0"/>
                  <w:marTop w:val="0"/>
                  <w:marBottom w:val="0"/>
                  <w:divBdr>
                    <w:top w:val="none" w:sz="0" w:space="0" w:color="auto"/>
                    <w:left w:val="none" w:sz="0" w:space="0" w:color="auto"/>
                    <w:bottom w:val="none" w:sz="0" w:space="0" w:color="auto"/>
                    <w:right w:val="none" w:sz="0" w:space="0" w:color="auto"/>
                  </w:divBdr>
                  <w:divsChild>
                    <w:div w:id="8775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99774">
          <w:marLeft w:val="0"/>
          <w:marRight w:val="0"/>
          <w:marTop w:val="0"/>
          <w:marBottom w:val="0"/>
          <w:divBdr>
            <w:top w:val="none" w:sz="0" w:space="0" w:color="auto"/>
            <w:left w:val="none" w:sz="0" w:space="0" w:color="auto"/>
            <w:bottom w:val="single" w:sz="6" w:space="0" w:color="auto"/>
            <w:right w:val="none" w:sz="0" w:space="0" w:color="auto"/>
          </w:divBdr>
          <w:divsChild>
            <w:div w:id="7681079">
              <w:marLeft w:val="0"/>
              <w:marRight w:val="0"/>
              <w:marTop w:val="0"/>
              <w:marBottom w:val="0"/>
              <w:divBdr>
                <w:top w:val="none" w:sz="0" w:space="0" w:color="auto"/>
                <w:left w:val="none" w:sz="0" w:space="0" w:color="auto"/>
                <w:bottom w:val="none" w:sz="0" w:space="0" w:color="auto"/>
                <w:right w:val="none" w:sz="0" w:space="0" w:color="auto"/>
              </w:divBdr>
              <w:divsChild>
                <w:div w:id="773019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5579200">
          <w:marLeft w:val="0"/>
          <w:marRight w:val="0"/>
          <w:marTop w:val="0"/>
          <w:marBottom w:val="0"/>
          <w:divBdr>
            <w:top w:val="none" w:sz="0" w:space="0" w:color="auto"/>
            <w:left w:val="none" w:sz="0" w:space="0" w:color="auto"/>
            <w:bottom w:val="none" w:sz="0" w:space="0" w:color="auto"/>
            <w:right w:val="none" w:sz="0" w:space="0" w:color="auto"/>
          </w:divBdr>
          <w:divsChild>
            <w:div w:id="395133153">
              <w:marLeft w:val="150"/>
              <w:marRight w:val="0"/>
              <w:marTop w:val="0"/>
              <w:marBottom w:val="0"/>
              <w:divBdr>
                <w:top w:val="none" w:sz="0" w:space="0" w:color="auto"/>
                <w:left w:val="none" w:sz="0" w:space="0" w:color="auto"/>
                <w:bottom w:val="none" w:sz="0" w:space="0" w:color="auto"/>
                <w:right w:val="none" w:sz="0" w:space="0" w:color="auto"/>
              </w:divBdr>
              <w:divsChild>
                <w:div w:id="749354606">
                  <w:marLeft w:val="0"/>
                  <w:marRight w:val="0"/>
                  <w:marTop w:val="0"/>
                  <w:marBottom w:val="0"/>
                  <w:divBdr>
                    <w:top w:val="none" w:sz="0" w:space="0" w:color="auto"/>
                    <w:left w:val="none" w:sz="0" w:space="0" w:color="auto"/>
                    <w:bottom w:val="none" w:sz="0" w:space="0" w:color="auto"/>
                    <w:right w:val="none" w:sz="0" w:space="0" w:color="auto"/>
                  </w:divBdr>
                </w:div>
                <w:div w:id="245775341">
                  <w:marLeft w:val="0"/>
                  <w:marRight w:val="0"/>
                  <w:marTop w:val="0"/>
                  <w:marBottom w:val="0"/>
                  <w:divBdr>
                    <w:top w:val="none" w:sz="0" w:space="0" w:color="auto"/>
                    <w:left w:val="none" w:sz="0" w:space="0" w:color="auto"/>
                    <w:bottom w:val="none" w:sz="0" w:space="0" w:color="auto"/>
                    <w:right w:val="none" w:sz="0" w:space="0" w:color="auto"/>
                  </w:divBdr>
                </w:div>
                <w:div w:id="2099977026">
                  <w:marLeft w:val="0"/>
                  <w:marRight w:val="0"/>
                  <w:marTop w:val="0"/>
                  <w:marBottom w:val="0"/>
                  <w:divBdr>
                    <w:top w:val="none" w:sz="0" w:space="0" w:color="auto"/>
                    <w:left w:val="none" w:sz="0" w:space="0" w:color="auto"/>
                    <w:bottom w:val="none" w:sz="0" w:space="0" w:color="auto"/>
                    <w:right w:val="none" w:sz="0" w:space="0" w:color="auto"/>
                  </w:divBdr>
                </w:div>
                <w:div w:id="1275869717">
                  <w:marLeft w:val="0"/>
                  <w:marRight w:val="0"/>
                  <w:marTop w:val="0"/>
                  <w:marBottom w:val="0"/>
                  <w:divBdr>
                    <w:top w:val="none" w:sz="0" w:space="0" w:color="auto"/>
                    <w:left w:val="none" w:sz="0" w:space="0" w:color="auto"/>
                    <w:bottom w:val="none" w:sz="0" w:space="0" w:color="auto"/>
                    <w:right w:val="none" w:sz="0" w:space="0" w:color="auto"/>
                  </w:divBdr>
                </w:div>
                <w:div w:id="1376003168">
                  <w:marLeft w:val="0"/>
                  <w:marRight w:val="0"/>
                  <w:marTop w:val="0"/>
                  <w:marBottom w:val="0"/>
                  <w:divBdr>
                    <w:top w:val="none" w:sz="0" w:space="0" w:color="auto"/>
                    <w:left w:val="none" w:sz="0" w:space="0" w:color="auto"/>
                    <w:bottom w:val="none" w:sz="0" w:space="0" w:color="auto"/>
                    <w:right w:val="none" w:sz="0" w:space="0" w:color="auto"/>
                  </w:divBdr>
                </w:div>
                <w:div w:id="1897620638">
                  <w:marLeft w:val="0"/>
                  <w:marRight w:val="0"/>
                  <w:marTop w:val="0"/>
                  <w:marBottom w:val="0"/>
                  <w:divBdr>
                    <w:top w:val="none" w:sz="0" w:space="0" w:color="auto"/>
                    <w:left w:val="none" w:sz="0" w:space="0" w:color="auto"/>
                    <w:bottom w:val="none" w:sz="0" w:space="0" w:color="auto"/>
                    <w:right w:val="none" w:sz="0" w:space="0" w:color="auto"/>
                  </w:divBdr>
                  <w:divsChild>
                    <w:div w:id="190189785">
                      <w:blockQuote w:val="1"/>
                      <w:marLeft w:val="0"/>
                      <w:marRight w:val="0"/>
                      <w:marTop w:val="0"/>
                      <w:marBottom w:val="150"/>
                      <w:divBdr>
                        <w:top w:val="none" w:sz="0" w:space="0" w:color="auto"/>
                        <w:left w:val="none" w:sz="0" w:space="0" w:color="auto"/>
                        <w:bottom w:val="none" w:sz="0" w:space="0" w:color="auto"/>
                        <w:right w:val="none" w:sz="0" w:space="0" w:color="auto"/>
                      </w:divBdr>
                    </w:div>
                    <w:div w:id="1707875298">
                      <w:blockQuote w:val="1"/>
                      <w:marLeft w:val="0"/>
                      <w:marRight w:val="0"/>
                      <w:marTop w:val="0"/>
                      <w:marBottom w:val="150"/>
                      <w:divBdr>
                        <w:top w:val="none" w:sz="0" w:space="0" w:color="auto"/>
                        <w:left w:val="none" w:sz="0" w:space="0" w:color="auto"/>
                        <w:bottom w:val="none" w:sz="0" w:space="0" w:color="auto"/>
                        <w:right w:val="none" w:sz="0" w:space="0" w:color="auto"/>
                      </w:divBdr>
                    </w:div>
                    <w:div w:id="79595098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30332078">
          <w:marLeft w:val="0"/>
          <w:marRight w:val="0"/>
          <w:marTop w:val="0"/>
          <w:marBottom w:val="0"/>
          <w:divBdr>
            <w:top w:val="none" w:sz="0" w:space="0" w:color="auto"/>
            <w:left w:val="none" w:sz="0" w:space="0" w:color="auto"/>
            <w:bottom w:val="none" w:sz="0" w:space="0" w:color="auto"/>
            <w:right w:val="none" w:sz="0" w:space="0" w:color="auto"/>
          </w:divBdr>
          <w:divsChild>
            <w:div w:id="1974363821">
              <w:marLeft w:val="0"/>
              <w:marRight w:val="0"/>
              <w:marTop w:val="0"/>
              <w:marBottom w:val="0"/>
              <w:divBdr>
                <w:top w:val="none" w:sz="0" w:space="0" w:color="auto"/>
                <w:left w:val="none" w:sz="0" w:space="0" w:color="auto"/>
                <w:bottom w:val="none" w:sz="0" w:space="0" w:color="auto"/>
                <w:right w:val="none" w:sz="0" w:space="0" w:color="auto"/>
              </w:divBdr>
              <w:divsChild>
                <w:div w:id="530918939">
                  <w:marLeft w:val="150"/>
                  <w:marRight w:val="0"/>
                  <w:marTop w:val="0"/>
                  <w:marBottom w:val="0"/>
                  <w:divBdr>
                    <w:top w:val="none" w:sz="0" w:space="0" w:color="auto"/>
                    <w:left w:val="none" w:sz="0" w:space="0" w:color="auto"/>
                    <w:bottom w:val="none" w:sz="0" w:space="0" w:color="auto"/>
                    <w:right w:val="none" w:sz="0" w:space="0" w:color="auto"/>
                  </w:divBdr>
                  <w:divsChild>
                    <w:div w:id="2046173211">
                      <w:marLeft w:val="0"/>
                      <w:marRight w:val="0"/>
                      <w:marTop w:val="0"/>
                      <w:marBottom w:val="0"/>
                      <w:divBdr>
                        <w:top w:val="none" w:sz="0" w:space="0" w:color="auto"/>
                        <w:left w:val="none" w:sz="0" w:space="0" w:color="auto"/>
                        <w:bottom w:val="none" w:sz="0" w:space="0" w:color="auto"/>
                        <w:right w:val="none" w:sz="0" w:space="0" w:color="auto"/>
                      </w:divBdr>
                    </w:div>
                  </w:divsChild>
                </w:div>
                <w:div w:id="2118868448">
                  <w:marLeft w:val="150"/>
                  <w:marRight w:val="0"/>
                  <w:marTop w:val="0"/>
                  <w:marBottom w:val="0"/>
                  <w:divBdr>
                    <w:top w:val="none" w:sz="0" w:space="0" w:color="auto"/>
                    <w:left w:val="none" w:sz="0" w:space="0" w:color="auto"/>
                    <w:bottom w:val="none" w:sz="0" w:space="0" w:color="auto"/>
                    <w:right w:val="none" w:sz="0" w:space="0" w:color="auto"/>
                  </w:divBdr>
                  <w:divsChild>
                    <w:div w:id="1161892488">
                      <w:marLeft w:val="0"/>
                      <w:marRight w:val="0"/>
                      <w:marTop w:val="0"/>
                      <w:marBottom w:val="0"/>
                      <w:divBdr>
                        <w:top w:val="none" w:sz="0" w:space="0" w:color="auto"/>
                        <w:left w:val="none" w:sz="0" w:space="0" w:color="auto"/>
                        <w:bottom w:val="none" w:sz="0" w:space="0" w:color="auto"/>
                        <w:right w:val="none" w:sz="0" w:space="0" w:color="auto"/>
                      </w:divBdr>
                    </w:div>
                    <w:div w:id="4674328">
                      <w:marLeft w:val="0"/>
                      <w:marRight w:val="0"/>
                      <w:marTop w:val="0"/>
                      <w:marBottom w:val="0"/>
                      <w:divBdr>
                        <w:top w:val="none" w:sz="0" w:space="0" w:color="auto"/>
                        <w:left w:val="none" w:sz="0" w:space="0" w:color="auto"/>
                        <w:bottom w:val="none" w:sz="0" w:space="0" w:color="auto"/>
                        <w:right w:val="none" w:sz="0" w:space="0" w:color="auto"/>
                      </w:divBdr>
                    </w:div>
                    <w:div w:id="1427189984">
                      <w:marLeft w:val="0"/>
                      <w:marRight w:val="0"/>
                      <w:marTop w:val="0"/>
                      <w:marBottom w:val="0"/>
                      <w:divBdr>
                        <w:top w:val="none" w:sz="0" w:space="0" w:color="auto"/>
                        <w:left w:val="none" w:sz="0" w:space="0" w:color="auto"/>
                        <w:bottom w:val="none" w:sz="0" w:space="0" w:color="auto"/>
                        <w:right w:val="none" w:sz="0" w:space="0" w:color="auto"/>
                      </w:divBdr>
                    </w:div>
                    <w:div w:id="585268716">
                      <w:marLeft w:val="0"/>
                      <w:marRight w:val="0"/>
                      <w:marTop w:val="0"/>
                      <w:marBottom w:val="0"/>
                      <w:divBdr>
                        <w:top w:val="none" w:sz="0" w:space="0" w:color="auto"/>
                        <w:left w:val="none" w:sz="0" w:space="0" w:color="auto"/>
                        <w:bottom w:val="none" w:sz="0" w:space="0" w:color="auto"/>
                        <w:right w:val="none" w:sz="0" w:space="0" w:color="auto"/>
                      </w:divBdr>
                    </w:div>
                  </w:divsChild>
                </w:div>
                <w:div w:id="217521988">
                  <w:marLeft w:val="150"/>
                  <w:marRight w:val="0"/>
                  <w:marTop w:val="0"/>
                  <w:marBottom w:val="0"/>
                  <w:divBdr>
                    <w:top w:val="none" w:sz="0" w:space="0" w:color="auto"/>
                    <w:left w:val="none" w:sz="0" w:space="0" w:color="auto"/>
                    <w:bottom w:val="none" w:sz="0" w:space="0" w:color="auto"/>
                    <w:right w:val="none" w:sz="0" w:space="0" w:color="auto"/>
                  </w:divBdr>
                  <w:divsChild>
                    <w:div w:id="843474318">
                      <w:marLeft w:val="0"/>
                      <w:marRight w:val="-90"/>
                      <w:marTop w:val="0"/>
                      <w:marBottom w:val="0"/>
                      <w:divBdr>
                        <w:top w:val="none" w:sz="0" w:space="0" w:color="auto"/>
                        <w:left w:val="none" w:sz="0" w:space="0" w:color="auto"/>
                        <w:bottom w:val="none" w:sz="0" w:space="0" w:color="auto"/>
                        <w:right w:val="none" w:sz="0" w:space="0" w:color="auto"/>
                      </w:divBdr>
                      <w:divsChild>
                        <w:div w:id="24410064">
                          <w:marLeft w:val="0"/>
                          <w:marRight w:val="0"/>
                          <w:marTop w:val="0"/>
                          <w:marBottom w:val="0"/>
                          <w:divBdr>
                            <w:top w:val="none" w:sz="0" w:space="0" w:color="auto"/>
                            <w:left w:val="none" w:sz="0" w:space="0" w:color="auto"/>
                            <w:bottom w:val="none" w:sz="0" w:space="0" w:color="auto"/>
                            <w:right w:val="none" w:sz="0" w:space="0" w:color="auto"/>
                          </w:divBdr>
                        </w:div>
                        <w:div w:id="310600603">
                          <w:marLeft w:val="0"/>
                          <w:marRight w:val="0"/>
                          <w:marTop w:val="0"/>
                          <w:marBottom w:val="0"/>
                          <w:divBdr>
                            <w:top w:val="none" w:sz="0" w:space="0" w:color="auto"/>
                            <w:left w:val="none" w:sz="0" w:space="0" w:color="auto"/>
                            <w:bottom w:val="none" w:sz="0" w:space="0" w:color="auto"/>
                            <w:right w:val="none" w:sz="0" w:space="0" w:color="auto"/>
                          </w:divBdr>
                        </w:div>
                        <w:div w:id="1248077635">
                          <w:marLeft w:val="0"/>
                          <w:marRight w:val="0"/>
                          <w:marTop w:val="0"/>
                          <w:marBottom w:val="0"/>
                          <w:divBdr>
                            <w:top w:val="none" w:sz="0" w:space="0" w:color="auto"/>
                            <w:left w:val="none" w:sz="0" w:space="0" w:color="auto"/>
                            <w:bottom w:val="none" w:sz="0" w:space="0" w:color="auto"/>
                            <w:right w:val="none" w:sz="0" w:space="0" w:color="auto"/>
                          </w:divBdr>
                        </w:div>
                        <w:div w:id="1236237090">
                          <w:marLeft w:val="0"/>
                          <w:marRight w:val="0"/>
                          <w:marTop w:val="0"/>
                          <w:marBottom w:val="0"/>
                          <w:divBdr>
                            <w:top w:val="none" w:sz="0" w:space="0" w:color="auto"/>
                            <w:left w:val="none" w:sz="0" w:space="0" w:color="auto"/>
                            <w:bottom w:val="none" w:sz="0" w:space="0" w:color="auto"/>
                            <w:right w:val="none" w:sz="0" w:space="0" w:color="auto"/>
                          </w:divBdr>
                        </w:div>
                        <w:div w:id="2142654262">
                          <w:marLeft w:val="0"/>
                          <w:marRight w:val="0"/>
                          <w:marTop w:val="0"/>
                          <w:marBottom w:val="0"/>
                          <w:divBdr>
                            <w:top w:val="none" w:sz="0" w:space="0" w:color="auto"/>
                            <w:left w:val="none" w:sz="0" w:space="0" w:color="auto"/>
                            <w:bottom w:val="none" w:sz="0" w:space="0" w:color="auto"/>
                            <w:right w:val="none" w:sz="0" w:space="0" w:color="auto"/>
                          </w:divBdr>
                        </w:div>
                        <w:div w:id="1685520526">
                          <w:marLeft w:val="0"/>
                          <w:marRight w:val="0"/>
                          <w:marTop w:val="0"/>
                          <w:marBottom w:val="0"/>
                          <w:divBdr>
                            <w:top w:val="none" w:sz="0" w:space="0" w:color="auto"/>
                            <w:left w:val="none" w:sz="0" w:space="0" w:color="auto"/>
                            <w:bottom w:val="none" w:sz="0" w:space="0" w:color="auto"/>
                            <w:right w:val="none" w:sz="0" w:space="0" w:color="auto"/>
                          </w:divBdr>
                        </w:div>
                        <w:div w:id="1016232856">
                          <w:marLeft w:val="0"/>
                          <w:marRight w:val="0"/>
                          <w:marTop w:val="0"/>
                          <w:marBottom w:val="0"/>
                          <w:divBdr>
                            <w:top w:val="none" w:sz="0" w:space="0" w:color="auto"/>
                            <w:left w:val="none" w:sz="0" w:space="0" w:color="auto"/>
                            <w:bottom w:val="none" w:sz="0" w:space="0" w:color="auto"/>
                            <w:right w:val="none" w:sz="0" w:space="0" w:color="auto"/>
                          </w:divBdr>
                        </w:div>
                        <w:div w:id="52783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871075">
          <w:marLeft w:val="0"/>
          <w:marRight w:val="0"/>
          <w:marTop w:val="0"/>
          <w:marBottom w:val="0"/>
          <w:divBdr>
            <w:top w:val="single" w:sz="6" w:space="0" w:color="auto"/>
            <w:left w:val="none" w:sz="0" w:space="0" w:color="auto"/>
            <w:bottom w:val="none" w:sz="0" w:space="0" w:color="auto"/>
            <w:right w:val="none" w:sz="0" w:space="0" w:color="auto"/>
          </w:divBdr>
          <w:divsChild>
            <w:div w:id="1119572710">
              <w:marLeft w:val="0"/>
              <w:marRight w:val="0"/>
              <w:marTop w:val="0"/>
              <w:marBottom w:val="0"/>
              <w:divBdr>
                <w:top w:val="none" w:sz="0" w:space="0" w:color="auto"/>
                <w:left w:val="none" w:sz="0" w:space="0" w:color="auto"/>
                <w:bottom w:val="none" w:sz="0" w:space="0" w:color="auto"/>
                <w:right w:val="none" w:sz="0" w:space="0" w:color="auto"/>
              </w:divBdr>
              <w:divsChild>
                <w:div w:id="410851331">
                  <w:marLeft w:val="150"/>
                  <w:marRight w:val="0"/>
                  <w:marTop w:val="0"/>
                  <w:marBottom w:val="0"/>
                  <w:divBdr>
                    <w:top w:val="none" w:sz="0" w:space="0" w:color="auto"/>
                    <w:left w:val="none" w:sz="0" w:space="0" w:color="auto"/>
                    <w:bottom w:val="none" w:sz="0" w:space="0" w:color="auto"/>
                    <w:right w:val="none" w:sz="0" w:space="0" w:color="auto"/>
                  </w:divBdr>
                  <w:divsChild>
                    <w:div w:id="2957961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68671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dlaw.com/viewdecisions.asp?did=148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79622-1D82-FE47-8719-86F67F6C026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2185</Words>
  <Characters>12459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Nir</dc:creator>
  <cp:keywords/>
  <dc:description/>
  <cp:lastModifiedBy>Erlichman, Reece (ALA)</cp:lastModifiedBy>
  <cp:revision>2</cp:revision>
  <dcterms:created xsi:type="dcterms:W3CDTF">2024-11-18T12:30:00Z</dcterms:created>
  <dcterms:modified xsi:type="dcterms:W3CDTF">2024-11-18T12:30:00Z</dcterms:modified>
</cp:coreProperties>
</file>