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BA28" w14:textId="77777777" w:rsidR="00ED4F9D" w:rsidRPr="00F47331" w:rsidRDefault="00ED4F9D" w:rsidP="00ED4F9D">
      <w:pPr>
        <w:rPr>
          <w:rFonts w:ascii="Aptos" w:hAnsi="Aptos"/>
          <w:b/>
          <w:bCs/>
          <w:color w:val="000000" w:themeColor="text1"/>
          <w:sz w:val="25"/>
          <w:szCs w:val="25"/>
        </w:rPr>
      </w:pPr>
    </w:p>
    <w:p w14:paraId="48B74B20" w14:textId="77777777" w:rsidR="00ED4F9D" w:rsidRPr="00F47331" w:rsidRDefault="00ED4F9D" w:rsidP="00ED4F9D">
      <w:pPr>
        <w:pStyle w:val="NoSpacing"/>
        <w:jc w:val="center"/>
        <w:rPr>
          <w:rFonts w:ascii="Aptos" w:hAnsi="Aptos" w:cs="Times New Roman"/>
          <w:b/>
          <w:bCs/>
          <w:color w:val="000000" w:themeColor="text1"/>
          <w:sz w:val="25"/>
          <w:szCs w:val="25"/>
        </w:rPr>
      </w:pPr>
      <w:r w:rsidRPr="00F47331">
        <w:rPr>
          <w:rFonts w:ascii="Aptos" w:hAnsi="Aptos" w:cs="Times New Roman"/>
          <w:b/>
          <w:bCs/>
          <w:color w:val="000000" w:themeColor="text1"/>
          <w:sz w:val="25"/>
          <w:szCs w:val="25"/>
        </w:rPr>
        <w:t>COMMONWEALTH OF MASSACHUSETTS</w:t>
      </w:r>
    </w:p>
    <w:p w14:paraId="3AC9E61D" w14:textId="77777777" w:rsidR="00ED4F9D" w:rsidRPr="00F47331" w:rsidRDefault="00ED4F9D" w:rsidP="00ED4F9D">
      <w:pPr>
        <w:pStyle w:val="NoSpacing"/>
        <w:jc w:val="center"/>
        <w:rPr>
          <w:rFonts w:ascii="Aptos" w:hAnsi="Aptos" w:cs="Times New Roman"/>
          <w:b/>
          <w:bCs/>
          <w:color w:val="000000" w:themeColor="text1"/>
          <w:sz w:val="25"/>
          <w:szCs w:val="25"/>
        </w:rPr>
      </w:pPr>
      <w:r w:rsidRPr="00F47331">
        <w:rPr>
          <w:rFonts w:ascii="Aptos" w:hAnsi="Aptos" w:cs="Times New Roman"/>
          <w:b/>
          <w:bCs/>
          <w:color w:val="000000" w:themeColor="text1"/>
          <w:sz w:val="25"/>
          <w:szCs w:val="25"/>
        </w:rPr>
        <w:t>DIVISION OF ADMINISTRATIVE LAW APPEALS</w:t>
      </w:r>
    </w:p>
    <w:p w14:paraId="6E8DB80E" w14:textId="77777777" w:rsidR="00ED4F9D" w:rsidRPr="00F47331" w:rsidRDefault="00ED4F9D" w:rsidP="00ED4F9D">
      <w:pPr>
        <w:pStyle w:val="NoSpacing"/>
        <w:jc w:val="center"/>
        <w:rPr>
          <w:rFonts w:ascii="Aptos" w:hAnsi="Aptos" w:cs="Times New Roman"/>
          <w:b/>
          <w:bCs/>
          <w:color w:val="000000" w:themeColor="text1"/>
          <w:sz w:val="25"/>
          <w:szCs w:val="25"/>
        </w:rPr>
      </w:pPr>
      <w:r w:rsidRPr="00F47331">
        <w:rPr>
          <w:rFonts w:ascii="Aptos" w:hAnsi="Aptos" w:cs="Times New Roman"/>
          <w:b/>
          <w:bCs/>
          <w:color w:val="000000" w:themeColor="text1"/>
          <w:sz w:val="25"/>
          <w:szCs w:val="25"/>
        </w:rPr>
        <w:t>BUREAU OF SPECIAL EDUCATION APPEALS</w:t>
      </w:r>
    </w:p>
    <w:p w14:paraId="4DDAE2E7" w14:textId="77777777" w:rsidR="00ED4F9D" w:rsidRPr="00F47331" w:rsidRDefault="00ED4F9D" w:rsidP="00ED4F9D">
      <w:pPr>
        <w:pStyle w:val="NoSpacing"/>
        <w:tabs>
          <w:tab w:val="left" w:pos="5446"/>
        </w:tabs>
        <w:rPr>
          <w:rFonts w:ascii="Aptos" w:hAnsi="Aptos" w:cs="Times New Roman"/>
          <w:b/>
          <w:bCs/>
          <w:color w:val="000000" w:themeColor="text1"/>
          <w:sz w:val="25"/>
          <w:szCs w:val="25"/>
        </w:rPr>
      </w:pPr>
      <w:r w:rsidRPr="00F47331">
        <w:rPr>
          <w:rFonts w:ascii="Aptos" w:hAnsi="Aptos" w:cs="Times New Roman"/>
          <w:b/>
          <w:bCs/>
          <w:color w:val="000000" w:themeColor="text1"/>
          <w:sz w:val="25"/>
          <w:szCs w:val="25"/>
        </w:rPr>
        <w:tab/>
      </w:r>
    </w:p>
    <w:p w14:paraId="613F8E75" w14:textId="77777777" w:rsidR="00ED4F9D" w:rsidRPr="00F47331" w:rsidRDefault="00ED4F9D" w:rsidP="00ED4F9D">
      <w:pPr>
        <w:pStyle w:val="NoSpacing"/>
        <w:rPr>
          <w:rFonts w:ascii="Aptos" w:hAnsi="Aptos" w:cs="Times New Roman"/>
          <w:b/>
          <w:bCs/>
          <w:color w:val="000000" w:themeColor="text1"/>
          <w:sz w:val="25"/>
          <w:szCs w:val="25"/>
        </w:rPr>
      </w:pPr>
    </w:p>
    <w:p w14:paraId="5E4916D6" w14:textId="46C8B9EE" w:rsidR="00ED4F9D" w:rsidRPr="00F47331" w:rsidRDefault="00ED4F9D" w:rsidP="00ED4F9D">
      <w:pPr>
        <w:pStyle w:val="NoSpacing"/>
        <w:rPr>
          <w:rFonts w:ascii="Aptos" w:hAnsi="Aptos" w:cs="Times New Roman"/>
          <w:color w:val="000000" w:themeColor="text1"/>
          <w:sz w:val="25"/>
          <w:szCs w:val="25"/>
        </w:rPr>
      </w:pPr>
      <w:r w:rsidRPr="00F47331">
        <w:rPr>
          <w:rFonts w:ascii="Aptos" w:hAnsi="Aptos" w:cs="Times New Roman"/>
          <w:color w:val="000000" w:themeColor="text1"/>
          <w:sz w:val="25"/>
          <w:szCs w:val="25"/>
        </w:rPr>
        <w:t xml:space="preserve">In Re: </w:t>
      </w:r>
      <w:r w:rsidR="007A1B0B" w:rsidRPr="00F47331">
        <w:rPr>
          <w:rFonts w:ascii="Aptos" w:hAnsi="Aptos" w:cs="Times New Roman"/>
          <w:color w:val="000000" w:themeColor="text1"/>
          <w:sz w:val="25"/>
          <w:szCs w:val="25"/>
        </w:rPr>
        <w:t xml:space="preserve"> Student </w:t>
      </w:r>
      <w:r w:rsidRPr="00F47331">
        <w:rPr>
          <w:rFonts w:ascii="Aptos" w:hAnsi="Aptos" w:cs="Times New Roman"/>
          <w:color w:val="000000" w:themeColor="text1"/>
          <w:sz w:val="25"/>
          <w:szCs w:val="25"/>
        </w:rPr>
        <w:t xml:space="preserve">v. </w:t>
      </w:r>
      <w:r w:rsidR="009B2961">
        <w:rPr>
          <w:rFonts w:ascii="Aptos" w:hAnsi="Aptos" w:cs="Times New Roman"/>
          <w:color w:val="000000" w:themeColor="text1"/>
          <w:sz w:val="25"/>
          <w:szCs w:val="25"/>
        </w:rPr>
        <w:t>Newburyport</w:t>
      </w:r>
      <w:r w:rsidRPr="00F47331">
        <w:rPr>
          <w:rFonts w:ascii="Aptos" w:hAnsi="Aptos" w:cs="Times New Roman"/>
          <w:color w:val="000000" w:themeColor="text1"/>
          <w:sz w:val="25"/>
          <w:szCs w:val="25"/>
        </w:rPr>
        <w:t xml:space="preserve"> Public Schools</w:t>
      </w:r>
      <w:r w:rsidRPr="00F47331">
        <w:rPr>
          <w:rFonts w:ascii="Aptos" w:hAnsi="Aptos" w:cs="Times New Roman"/>
          <w:color w:val="000000" w:themeColor="text1"/>
          <w:sz w:val="25"/>
          <w:szCs w:val="25"/>
        </w:rPr>
        <w:tab/>
      </w:r>
      <w:r w:rsidRPr="00F47331">
        <w:rPr>
          <w:rFonts w:ascii="Aptos" w:hAnsi="Aptos" w:cs="Times New Roman"/>
          <w:color w:val="000000" w:themeColor="text1"/>
          <w:sz w:val="25"/>
          <w:szCs w:val="25"/>
        </w:rPr>
        <w:tab/>
      </w:r>
      <w:r w:rsidRPr="00F47331">
        <w:rPr>
          <w:rFonts w:ascii="Aptos" w:hAnsi="Aptos" w:cs="Times New Roman"/>
          <w:color w:val="000000" w:themeColor="text1"/>
          <w:sz w:val="25"/>
          <w:szCs w:val="25"/>
        </w:rPr>
        <w:tab/>
      </w:r>
      <w:r w:rsidRPr="00F47331">
        <w:rPr>
          <w:rFonts w:ascii="Aptos" w:hAnsi="Aptos" w:cs="Times New Roman"/>
          <w:color w:val="000000" w:themeColor="text1"/>
          <w:sz w:val="25"/>
          <w:szCs w:val="25"/>
        </w:rPr>
        <w:tab/>
        <w:t>BSEA # 2</w:t>
      </w:r>
      <w:r w:rsidR="007A1B0B" w:rsidRPr="00F47331">
        <w:rPr>
          <w:rFonts w:ascii="Aptos" w:hAnsi="Aptos" w:cs="Times New Roman"/>
          <w:color w:val="000000" w:themeColor="text1"/>
          <w:sz w:val="25"/>
          <w:szCs w:val="25"/>
        </w:rPr>
        <w:t>50</w:t>
      </w:r>
      <w:r w:rsidR="009B2961">
        <w:rPr>
          <w:rFonts w:ascii="Aptos" w:hAnsi="Aptos" w:cs="Times New Roman"/>
          <w:color w:val="000000" w:themeColor="text1"/>
          <w:sz w:val="25"/>
          <w:szCs w:val="25"/>
        </w:rPr>
        <w:t>8136</w:t>
      </w:r>
    </w:p>
    <w:p w14:paraId="13C30B60" w14:textId="77777777" w:rsidR="00ED4EE3" w:rsidRPr="00F47331" w:rsidRDefault="00ED4EE3" w:rsidP="00ED4EE3">
      <w:pPr>
        <w:rPr>
          <w:rFonts w:ascii="Aptos" w:hAnsi="Aptos"/>
          <w:b/>
          <w:bCs/>
          <w:color w:val="000000" w:themeColor="text1"/>
          <w:sz w:val="25"/>
          <w:szCs w:val="25"/>
          <w:u w:val="single"/>
        </w:rPr>
      </w:pPr>
    </w:p>
    <w:p w14:paraId="78B44948" w14:textId="77777777" w:rsidR="006A3D9C" w:rsidRDefault="00ED4F9D" w:rsidP="00ED4F9D">
      <w:pPr>
        <w:jc w:val="center"/>
        <w:rPr>
          <w:rFonts w:ascii="Aptos" w:hAnsi="Aptos"/>
          <w:b/>
          <w:bCs/>
          <w:color w:val="000000" w:themeColor="text1"/>
          <w:sz w:val="25"/>
          <w:szCs w:val="25"/>
          <w:u w:val="single"/>
        </w:rPr>
      </w:pPr>
      <w:r w:rsidRPr="00F47331">
        <w:rPr>
          <w:rFonts w:ascii="Aptos" w:hAnsi="Aptos"/>
          <w:b/>
          <w:bCs/>
          <w:color w:val="000000" w:themeColor="text1"/>
          <w:sz w:val="25"/>
          <w:szCs w:val="25"/>
          <w:u w:val="single"/>
        </w:rPr>
        <w:t xml:space="preserve">RULING ON </w:t>
      </w:r>
      <w:r w:rsidR="009B2961">
        <w:rPr>
          <w:rFonts w:ascii="Aptos" w:hAnsi="Aptos"/>
          <w:b/>
          <w:bCs/>
          <w:color w:val="000000" w:themeColor="text1"/>
          <w:sz w:val="25"/>
          <w:szCs w:val="25"/>
          <w:u w:val="single"/>
        </w:rPr>
        <w:t>NEWBURYPORT PUBLIC SCHOOLS</w:t>
      </w:r>
      <w:r w:rsidR="006A3D9C">
        <w:rPr>
          <w:rFonts w:ascii="Aptos" w:hAnsi="Aptos"/>
          <w:b/>
          <w:bCs/>
          <w:color w:val="000000" w:themeColor="text1"/>
          <w:sz w:val="25"/>
          <w:szCs w:val="25"/>
          <w:u w:val="single"/>
        </w:rPr>
        <w:t>’</w:t>
      </w:r>
      <w:r w:rsidR="00B91BD6" w:rsidRPr="00F47331">
        <w:rPr>
          <w:rFonts w:ascii="Aptos" w:hAnsi="Aptos"/>
          <w:b/>
          <w:bCs/>
          <w:color w:val="000000" w:themeColor="text1"/>
          <w:sz w:val="25"/>
          <w:szCs w:val="25"/>
          <w:u w:val="single"/>
        </w:rPr>
        <w:t xml:space="preserve"> </w:t>
      </w:r>
      <w:r w:rsidRPr="00F47331">
        <w:rPr>
          <w:rFonts w:ascii="Aptos" w:hAnsi="Aptos"/>
          <w:b/>
          <w:bCs/>
          <w:color w:val="000000" w:themeColor="text1"/>
          <w:sz w:val="25"/>
          <w:szCs w:val="25"/>
          <w:u w:val="single"/>
        </w:rPr>
        <w:t>MOTION FOR SUMMARY JUDGMENT</w:t>
      </w:r>
      <w:r w:rsidR="00B24160">
        <w:rPr>
          <w:rFonts w:ascii="Aptos" w:hAnsi="Aptos"/>
          <w:b/>
          <w:bCs/>
          <w:color w:val="000000" w:themeColor="text1"/>
          <w:sz w:val="25"/>
          <w:szCs w:val="25"/>
          <w:u w:val="single"/>
        </w:rPr>
        <w:t xml:space="preserve"> </w:t>
      </w:r>
    </w:p>
    <w:p w14:paraId="76277425" w14:textId="77777777" w:rsidR="006A3D9C" w:rsidRDefault="00B24160" w:rsidP="00ED4F9D">
      <w:pPr>
        <w:jc w:val="center"/>
        <w:rPr>
          <w:rFonts w:ascii="Aptos" w:hAnsi="Aptos"/>
          <w:b/>
          <w:bCs/>
          <w:color w:val="000000" w:themeColor="text1"/>
          <w:sz w:val="25"/>
          <w:szCs w:val="25"/>
          <w:u w:val="single"/>
        </w:rPr>
      </w:pPr>
      <w:r>
        <w:rPr>
          <w:rFonts w:ascii="Aptos" w:hAnsi="Aptos"/>
          <w:b/>
          <w:bCs/>
          <w:color w:val="000000" w:themeColor="text1"/>
          <w:sz w:val="25"/>
          <w:szCs w:val="25"/>
          <w:u w:val="single"/>
        </w:rPr>
        <w:t xml:space="preserve">AND </w:t>
      </w:r>
    </w:p>
    <w:p w14:paraId="1012DB79" w14:textId="5C2F1F95" w:rsidR="00ED4F9D" w:rsidRPr="00F47331" w:rsidRDefault="00B24160" w:rsidP="00ED4F9D">
      <w:pPr>
        <w:jc w:val="center"/>
        <w:rPr>
          <w:rFonts w:ascii="Aptos" w:hAnsi="Aptos"/>
          <w:b/>
          <w:bCs/>
          <w:color w:val="000000" w:themeColor="text1"/>
          <w:sz w:val="25"/>
          <w:szCs w:val="25"/>
          <w:u w:val="single"/>
        </w:rPr>
      </w:pPr>
      <w:r>
        <w:rPr>
          <w:rFonts w:ascii="Aptos" w:hAnsi="Aptos"/>
          <w:b/>
          <w:bCs/>
          <w:color w:val="000000" w:themeColor="text1"/>
          <w:sz w:val="25"/>
          <w:szCs w:val="25"/>
          <w:u w:val="single"/>
        </w:rPr>
        <w:t>NEWBURYPORT PU</w:t>
      </w:r>
      <w:r w:rsidR="006A3D9C">
        <w:rPr>
          <w:rFonts w:ascii="Aptos" w:hAnsi="Aptos"/>
          <w:b/>
          <w:bCs/>
          <w:color w:val="000000" w:themeColor="text1"/>
          <w:sz w:val="25"/>
          <w:szCs w:val="25"/>
          <w:u w:val="single"/>
        </w:rPr>
        <w:t>B</w:t>
      </w:r>
      <w:r>
        <w:rPr>
          <w:rFonts w:ascii="Aptos" w:hAnsi="Aptos"/>
          <w:b/>
          <w:bCs/>
          <w:color w:val="000000" w:themeColor="text1"/>
          <w:sz w:val="25"/>
          <w:szCs w:val="25"/>
          <w:u w:val="single"/>
        </w:rPr>
        <w:t>LIC SCHOOLS’ MOTION TO QUASH</w:t>
      </w:r>
    </w:p>
    <w:p w14:paraId="3E7A57D8" w14:textId="77777777" w:rsidR="00ED4F9D" w:rsidRPr="00F47331" w:rsidRDefault="00ED4F9D" w:rsidP="00ED4F9D">
      <w:pPr>
        <w:jc w:val="center"/>
        <w:rPr>
          <w:rFonts w:ascii="Aptos" w:hAnsi="Aptos"/>
          <w:color w:val="000000" w:themeColor="text1"/>
          <w:sz w:val="25"/>
          <w:szCs w:val="25"/>
        </w:rPr>
      </w:pPr>
    </w:p>
    <w:p w14:paraId="1AD495C6" w14:textId="0DF8629D" w:rsidR="002E49D7" w:rsidRPr="00B24160" w:rsidRDefault="00ED4F9D" w:rsidP="0066449D">
      <w:pPr>
        <w:ind w:firstLine="720"/>
        <w:rPr>
          <w:rFonts w:ascii="Aptos" w:hAnsi="Aptos"/>
          <w:color w:val="000000" w:themeColor="text1"/>
          <w:sz w:val="25"/>
          <w:szCs w:val="25"/>
        </w:rPr>
      </w:pPr>
      <w:r w:rsidRPr="00F47331">
        <w:rPr>
          <w:rFonts w:ascii="Aptos" w:hAnsi="Aptos"/>
          <w:color w:val="000000" w:themeColor="text1"/>
          <w:sz w:val="25"/>
          <w:szCs w:val="25"/>
        </w:rPr>
        <w:t xml:space="preserve">This matter comes before the Hearing Officer on </w:t>
      </w:r>
      <w:r w:rsidR="00905027" w:rsidRPr="00F47331">
        <w:rPr>
          <w:rFonts w:ascii="Aptos" w:hAnsi="Aptos" w:cs="PÔ'F1/"/>
          <w:color w:val="000000" w:themeColor="text1"/>
          <w:sz w:val="25"/>
          <w:szCs w:val="25"/>
        </w:rPr>
        <w:t>the</w:t>
      </w:r>
      <w:r w:rsidRPr="00F47331">
        <w:rPr>
          <w:rFonts w:ascii="Aptos" w:hAnsi="Aptos" w:cs="PÔ'F1/"/>
          <w:i/>
          <w:iCs/>
          <w:color w:val="000000" w:themeColor="text1"/>
          <w:sz w:val="25"/>
          <w:szCs w:val="25"/>
        </w:rPr>
        <w:t xml:space="preserve"> Motion For Summary Judgment</w:t>
      </w:r>
      <w:r w:rsidRPr="00F47331">
        <w:rPr>
          <w:rFonts w:ascii="Aptos" w:hAnsi="Aptos"/>
          <w:color w:val="000000" w:themeColor="text1"/>
          <w:sz w:val="25"/>
          <w:szCs w:val="25"/>
        </w:rPr>
        <w:t xml:space="preserve"> (</w:t>
      </w:r>
      <w:r w:rsidR="00B24160">
        <w:rPr>
          <w:rFonts w:ascii="Aptos" w:hAnsi="Aptos"/>
          <w:i/>
          <w:iCs/>
          <w:color w:val="000000" w:themeColor="text1"/>
          <w:sz w:val="25"/>
          <w:szCs w:val="25"/>
        </w:rPr>
        <w:t xml:space="preserve">SJ </w:t>
      </w:r>
      <w:r w:rsidRPr="00F47331">
        <w:rPr>
          <w:rFonts w:ascii="Aptos" w:hAnsi="Aptos"/>
          <w:i/>
          <w:iCs/>
          <w:color w:val="000000" w:themeColor="text1"/>
          <w:sz w:val="25"/>
          <w:szCs w:val="25"/>
        </w:rPr>
        <w:t>Motion</w:t>
      </w:r>
      <w:r w:rsidRPr="00F47331">
        <w:rPr>
          <w:rFonts w:ascii="Aptos" w:hAnsi="Aptos"/>
          <w:color w:val="000000" w:themeColor="text1"/>
          <w:sz w:val="25"/>
          <w:szCs w:val="25"/>
        </w:rPr>
        <w:t>)</w:t>
      </w:r>
      <w:r w:rsidR="008429C2">
        <w:rPr>
          <w:rFonts w:ascii="Aptos" w:hAnsi="Aptos"/>
          <w:color w:val="000000" w:themeColor="text1"/>
          <w:sz w:val="25"/>
          <w:szCs w:val="25"/>
        </w:rPr>
        <w:t>,</w:t>
      </w:r>
      <w:r w:rsidRPr="00F47331">
        <w:rPr>
          <w:rFonts w:ascii="Aptos" w:hAnsi="Aptos"/>
          <w:color w:val="000000" w:themeColor="text1"/>
          <w:sz w:val="25"/>
          <w:szCs w:val="25"/>
        </w:rPr>
        <w:t xml:space="preserve"> filed by </w:t>
      </w:r>
      <w:r w:rsidR="00B24160">
        <w:rPr>
          <w:rFonts w:ascii="Aptos" w:hAnsi="Aptos"/>
          <w:color w:val="000000" w:themeColor="text1"/>
          <w:sz w:val="25"/>
          <w:szCs w:val="25"/>
        </w:rPr>
        <w:t>Newburyport Public Schools (Newburyport, or the District) on February 18, 2025</w:t>
      </w:r>
      <w:r w:rsidR="008429C2">
        <w:rPr>
          <w:rFonts w:ascii="Aptos" w:hAnsi="Aptos"/>
          <w:color w:val="000000" w:themeColor="text1"/>
          <w:sz w:val="25"/>
          <w:szCs w:val="25"/>
        </w:rPr>
        <w:t>,</w:t>
      </w:r>
      <w:r w:rsidR="00B24160">
        <w:rPr>
          <w:rFonts w:ascii="Aptos" w:hAnsi="Aptos"/>
          <w:color w:val="000000" w:themeColor="text1"/>
          <w:sz w:val="25"/>
          <w:szCs w:val="25"/>
        </w:rPr>
        <w:t xml:space="preserve"> and on Newburyport’s </w:t>
      </w:r>
      <w:r w:rsidR="00B24160">
        <w:rPr>
          <w:rFonts w:ascii="Aptos" w:hAnsi="Aptos"/>
          <w:i/>
          <w:iCs/>
          <w:color w:val="000000" w:themeColor="text1"/>
          <w:sz w:val="25"/>
          <w:szCs w:val="25"/>
        </w:rPr>
        <w:t xml:space="preserve">Motion to Quash Subpoenas and Objection to Witness Testimony on District’s Motion for Summary Judgment </w:t>
      </w:r>
      <w:r w:rsidR="00B24160">
        <w:rPr>
          <w:rFonts w:ascii="Aptos" w:hAnsi="Aptos"/>
          <w:color w:val="000000" w:themeColor="text1"/>
          <w:sz w:val="25"/>
          <w:szCs w:val="25"/>
        </w:rPr>
        <w:t>(</w:t>
      </w:r>
      <w:r w:rsidR="00B24160">
        <w:rPr>
          <w:rFonts w:ascii="Aptos" w:hAnsi="Aptos"/>
          <w:i/>
          <w:iCs/>
          <w:color w:val="000000" w:themeColor="text1"/>
          <w:sz w:val="25"/>
          <w:szCs w:val="25"/>
        </w:rPr>
        <w:t>Motion to Quash</w:t>
      </w:r>
      <w:r w:rsidR="00B24160">
        <w:rPr>
          <w:rFonts w:ascii="Aptos" w:hAnsi="Aptos"/>
          <w:color w:val="000000" w:themeColor="text1"/>
          <w:sz w:val="25"/>
          <w:szCs w:val="25"/>
        </w:rPr>
        <w:t>), filed on April 28, 2025.</w:t>
      </w:r>
    </w:p>
    <w:p w14:paraId="433A425A" w14:textId="77777777" w:rsidR="004A2DC8" w:rsidRPr="00F47331" w:rsidRDefault="004A2DC8" w:rsidP="002E49D7">
      <w:pPr>
        <w:rPr>
          <w:rFonts w:ascii="Aptos" w:hAnsi="Aptos"/>
          <w:color w:val="000000" w:themeColor="text1"/>
          <w:sz w:val="25"/>
          <w:szCs w:val="25"/>
        </w:rPr>
      </w:pPr>
    </w:p>
    <w:p w14:paraId="1DFF55DE" w14:textId="073D26D7" w:rsidR="007A1B0B" w:rsidRPr="00F47331" w:rsidRDefault="00FF11C6" w:rsidP="00E73C72">
      <w:pPr>
        <w:ind w:firstLine="720"/>
        <w:rPr>
          <w:rFonts w:ascii="Aptos" w:hAnsi="Aptos"/>
          <w:color w:val="000000" w:themeColor="text1"/>
          <w:sz w:val="25"/>
          <w:szCs w:val="25"/>
        </w:rPr>
      </w:pPr>
      <w:r w:rsidRPr="00F47331">
        <w:rPr>
          <w:rFonts w:ascii="Aptos" w:hAnsi="Aptos"/>
          <w:color w:val="000000" w:themeColor="text1"/>
          <w:sz w:val="25"/>
          <w:szCs w:val="25"/>
        </w:rPr>
        <w:t>On</w:t>
      </w:r>
      <w:r w:rsidR="007A1B0B" w:rsidRPr="00F47331">
        <w:rPr>
          <w:rFonts w:ascii="Aptos" w:hAnsi="Aptos"/>
          <w:color w:val="000000" w:themeColor="text1"/>
          <w:sz w:val="25"/>
          <w:szCs w:val="25"/>
        </w:rPr>
        <w:t xml:space="preserve"> </w:t>
      </w:r>
      <w:r w:rsidR="009B2961">
        <w:rPr>
          <w:rFonts w:ascii="Aptos" w:hAnsi="Aptos"/>
          <w:color w:val="000000" w:themeColor="text1"/>
          <w:sz w:val="25"/>
          <w:szCs w:val="25"/>
        </w:rPr>
        <w:t>February 7</w:t>
      </w:r>
      <w:r w:rsidR="007A1B0B" w:rsidRPr="00F47331">
        <w:rPr>
          <w:rFonts w:ascii="Aptos" w:hAnsi="Aptos"/>
          <w:color w:val="000000" w:themeColor="text1"/>
          <w:sz w:val="25"/>
          <w:szCs w:val="25"/>
        </w:rPr>
        <w:t xml:space="preserve">, 2025, Parents filed a </w:t>
      </w:r>
      <w:r w:rsidR="007A1B0B" w:rsidRPr="00F47331">
        <w:rPr>
          <w:rFonts w:ascii="Aptos" w:hAnsi="Aptos"/>
          <w:i/>
          <w:iCs/>
          <w:color w:val="000000" w:themeColor="text1"/>
          <w:sz w:val="25"/>
          <w:szCs w:val="25"/>
        </w:rPr>
        <w:t xml:space="preserve">Hearing Request </w:t>
      </w:r>
      <w:r w:rsidR="007A1B0B" w:rsidRPr="00F47331">
        <w:rPr>
          <w:rFonts w:ascii="Aptos" w:hAnsi="Aptos"/>
          <w:color w:val="000000" w:themeColor="text1"/>
          <w:sz w:val="25"/>
          <w:szCs w:val="25"/>
        </w:rPr>
        <w:t xml:space="preserve">against </w:t>
      </w:r>
      <w:r w:rsidR="009B2961">
        <w:rPr>
          <w:rFonts w:ascii="Aptos" w:hAnsi="Aptos"/>
          <w:color w:val="000000" w:themeColor="text1"/>
          <w:sz w:val="25"/>
          <w:szCs w:val="25"/>
        </w:rPr>
        <w:t>Newburyport</w:t>
      </w:r>
      <w:r w:rsidR="00125561">
        <w:rPr>
          <w:rFonts w:ascii="Aptos" w:hAnsi="Aptos"/>
          <w:color w:val="000000" w:themeColor="text1"/>
          <w:sz w:val="25"/>
          <w:szCs w:val="25"/>
        </w:rPr>
        <w:t>,</w:t>
      </w:r>
      <w:r w:rsidR="007A1B0B" w:rsidRPr="00F47331">
        <w:rPr>
          <w:rFonts w:ascii="Aptos" w:hAnsi="Aptos"/>
          <w:color w:val="000000" w:themeColor="text1"/>
          <w:sz w:val="25"/>
          <w:szCs w:val="25"/>
        </w:rPr>
        <w:t xml:space="preserve"> alleging that</w:t>
      </w:r>
      <w:r w:rsidR="009B2961">
        <w:rPr>
          <w:rFonts w:ascii="Aptos" w:hAnsi="Aptos"/>
          <w:color w:val="000000" w:themeColor="text1"/>
          <w:sz w:val="25"/>
          <w:szCs w:val="25"/>
        </w:rPr>
        <w:t xml:space="preserve"> Student has a Specific Learning Disability (SLD) in Reading, a Speech and Language impairment, and Attention Deficit Hyperactivity Disorder (ADHD); and that Newburyport must implement services recommended by Parents’ experts within an Individualized Education Program (IEP) in order to provide Student with a free appropriate public education (FAPE). As relief, </w:t>
      </w:r>
      <w:r w:rsidR="00125561">
        <w:rPr>
          <w:rFonts w:ascii="Aptos" w:hAnsi="Aptos"/>
          <w:color w:val="000000" w:themeColor="text1"/>
          <w:sz w:val="25"/>
          <w:szCs w:val="25"/>
        </w:rPr>
        <w:t>Parents</w:t>
      </w:r>
      <w:r w:rsidR="009B2961">
        <w:rPr>
          <w:rFonts w:ascii="Aptos" w:hAnsi="Aptos"/>
          <w:color w:val="000000" w:themeColor="text1"/>
          <w:sz w:val="25"/>
          <w:szCs w:val="25"/>
        </w:rPr>
        <w:t xml:space="preserve"> requested </w:t>
      </w:r>
      <w:r w:rsidR="009B30AF">
        <w:rPr>
          <w:rFonts w:ascii="Aptos" w:hAnsi="Aptos"/>
          <w:color w:val="000000" w:themeColor="text1"/>
          <w:sz w:val="25"/>
          <w:szCs w:val="25"/>
        </w:rPr>
        <w:t xml:space="preserve">that </w:t>
      </w:r>
      <w:r w:rsidR="009B2961">
        <w:rPr>
          <w:rFonts w:ascii="Aptos" w:hAnsi="Aptos"/>
          <w:color w:val="000000" w:themeColor="text1"/>
          <w:sz w:val="25"/>
          <w:szCs w:val="25"/>
        </w:rPr>
        <w:t xml:space="preserve">the Bureau of Special Education Appeals (BSEA) order the District to </w:t>
      </w:r>
      <w:r w:rsidR="00286372">
        <w:rPr>
          <w:rFonts w:ascii="Aptos" w:hAnsi="Aptos"/>
          <w:color w:val="000000" w:themeColor="text1"/>
          <w:sz w:val="25"/>
          <w:szCs w:val="25"/>
        </w:rPr>
        <w:t xml:space="preserve">immediately </w:t>
      </w:r>
      <w:r w:rsidR="009B2961">
        <w:rPr>
          <w:rFonts w:ascii="Aptos" w:hAnsi="Aptos"/>
          <w:color w:val="000000" w:themeColor="text1"/>
          <w:sz w:val="25"/>
          <w:szCs w:val="25"/>
        </w:rPr>
        <w:t>provide the reading services recommended by Massachusetts General Hospital</w:t>
      </w:r>
      <w:r w:rsidR="00053069">
        <w:rPr>
          <w:rFonts w:ascii="Aptos" w:hAnsi="Aptos"/>
          <w:color w:val="000000" w:themeColor="text1"/>
          <w:sz w:val="25"/>
          <w:szCs w:val="25"/>
        </w:rPr>
        <w:t xml:space="preserve"> (MGH)</w:t>
      </w:r>
      <w:r w:rsidR="009B2961">
        <w:rPr>
          <w:rFonts w:ascii="Aptos" w:hAnsi="Aptos"/>
          <w:color w:val="000000" w:themeColor="text1"/>
          <w:sz w:val="25"/>
          <w:szCs w:val="25"/>
        </w:rPr>
        <w:t xml:space="preserve"> in a report dated November 19, 2024. With their </w:t>
      </w:r>
      <w:r w:rsidR="009B2961">
        <w:rPr>
          <w:rFonts w:ascii="Aptos" w:hAnsi="Aptos"/>
          <w:i/>
          <w:iCs/>
          <w:color w:val="000000" w:themeColor="text1"/>
          <w:sz w:val="25"/>
          <w:szCs w:val="25"/>
        </w:rPr>
        <w:t>Hearing Request</w:t>
      </w:r>
      <w:r w:rsidR="009B2961">
        <w:rPr>
          <w:rFonts w:ascii="Aptos" w:hAnsi="Aptos"/>
          <w:color w:val="000000" w:themeColor="text1"/>
          <w:sz w:val="25"/>
          <w:szCs w:val="25"/>
        </w:rPr>
        <w:t xml:space="preserve">, Parents submitted Newburyport’s N2 Form, dated September 26, 2023, documenting a finding of no eligibility; </w:t>
      </w:r>
      <w:r w:rsidR="00053069">
        <w:rPr>
          <w:rFonts w:ascii="Aptos" w:hAnsi="Aptos"/>
          <w:color w:val="000000" w:themeColor="text1"/>
          <w:sz w:val="25"/>
          <w:szCs w:val="25"/>
        </w:rPr>
        <w:t>a Speech-Language and Swallowing Department Initial Evaluation of Student conducted by Speech Language Pathologist Melissa Caron Ghiringhelli on November 12, 2024</w:t>
      </w:r>
      <w:r w:rsidR="000257C9">
        <w:rPr>
          <w:rFonts w:ascii="Aptos" w:hAnsi="Aptos"/>
          <w:color w:val="000000" w:themeColor="text1"/>
          <w:sz w:val="25"/>
          <w:szCs w:val="25"/>
        </w:rPr>
        <w:t>;</w:t>
      </w:r>
      <w:r w:rsidR="00053069">
        <w:rPr>
          <w:rFonts w:ascii="Aptos" w:hAnsi="Aptos"/>
          <w:color w:val="000000" w:themeColor="text1"/>
          <w:sz w:val="25"/>
          <w:szCs w:val="25"/>
        </w:rPr>
        <w:t xml:space="preserve"> notes from meeting</w:t>
      </w:r>
      <w:r w:rsidR="00E73C72">
        <w:rPr>
          <w:rFonts w:ascii="Aptos" w:hAnsi="Aptos"/>
          <w:color w:val="000000" w:themeColor="text1"/>
          <w:sz w:val="25"/>
          <w:szCs w:val="25"/>
        </w:rPr>
        <w:t>s</w:t>
      </w:r>
      <w:r w:rsidR="00053069">
        <w:rPr>
          <w:rFonts w:ascii="Aptos" w:hAnsi="Aptos"/>
          <w:color w:val="000000" w:themeColor="text1"/>
          <w:sz w:val="25"/>
          <w:szCs w:val="25"/>
        </w:rPr>
        <w:t xml:space="preserve"> </w:t>
      </w:r>
      <w:r w:rsidR="00E73C72">
        <w:rPr>
          <w:rFonts w:ascii="Aptos" w:hAnsi="Aptos"/>
          <w:color w:val="000000" w:themeColor="text1"/>
          <w:sz w:val="25"/>
          <w:szCs w:val="25"/>
        </w:rPr>
        <w:t>between Parents</w:t>
      </w:r>
      <w:r w:rsidR="00053069">
        <w:rPr>
          <w:rFonts w:ascii="Aptos" w:hAnsi="Aptos"/>
          <w:color w:val="000000" w:themeColor="text1"/>
          <w:sz w:val="25"/>
          <w:szCs w:val="25"/>
        </w:rPr>
        <w:t xml:space="preserve"> </w:t>
      </w:r>
      <w:r w:rsidR="00125561">
        <w:rPr>
          <w:rFonts w:ascii="Aptos" w:hAnsi="Aptos"/>
          <w:color w:val="000000" w:themeColor="text1"/>
          <w:sz w:val="25"/>
          <w:szCs w:val="25"/>
        </w:rPr>
        <w:t xml:space="preserve">and </w:t>
      </w:r>
      <w:r w:rsidR="00053069">
        <w:rPr>
          <w:rFonts w:ascii="Aptos" w:hAnsi="Aptos"/>
          <w:color w:val="000000" w:themeColor="text1"/>
          <w:sz w:val="25"/>
          <w:szCs w:val="25"/>
        </w:rPr>
        <w:t>MGH</w:t>
      </w:r>
      <w:r w:rsidR="00125561">
        <w:rPr>
          <w:rFonts w:ascii="Aptos" w:hAnsi="Aptos"/>
          <w:color w:val="000000" w:themeColor="text1"/>
          <w:sz w:val="25"/>
          <w:szCs w:val="25"/>
        </w:rPr>
        <w:t>,</w:t>
      </w:r>
      <w:r w:rsidR="00053069">
        <w:rPr>
          <w:rFonts w:ascii="Aptos" w:hAnsi="Aptos"/>
          <w:color w:val="000000" w:themeColor="text1"/>
          <w:sz w:val="25"/>
          <w:szCs w:val="25"/>
        </w:rPr>
        <w:t xml:space="preserve"> entitled</w:t>
      </w:r>
      <w:r w:rsidR="00E73C72">
        <w:rPr>
          <w:rFonts w:ascii="Aptos" w:hAnsi="Aptos"/>
          <w:color w:val="000000" w:themeColor="text1"/>
          <w:sz w:val="25"/>
          <w:szCs w:val="25"/>
        </w:rPr>
        <w:t xml:space="preserve"> Evaluation Follow Up (dated November 19, 2024) and </w:t>
      </w:r>
      <w:r w:rsidR="00053069">
        <w:rPr>
          <w:rFonts w:ascii="Aptos" w:hAnsi="Aptos"/>
          <w:color w:val="000000" w:themeColor="text1"/>
          <w:sz w:val="25"/>
          <w:szCs w:val="25"/>
        </w:rPr>
        <w:t xml:space="preserve">Evaluation Follow-up and Prep for Team Meeting </w:t>
      </w:r>
      <w:r w:rsidR="00E73C72">
        <w:rPr>
          <w:rFonts w:ascii="Aptos" w:hAnsi="Aptos"/>
          <w:color w:val="000000" w:themeColor="text1"/>
          <w:sz w:val="25"/>
          <w:szCs w:val="25"/>
        </w:rPr>
        <w:t>(</w:t>
      </w:r>
      <w:r w:rsidR="00053069">
        <w:rPr>
          <w:rFonts w:ascii="Aptos" w:hAnsi="Aptos"/>
          <w:color w:val="000000" w:themeColor="text1"/>
          <w:sz w:val="25"/>
          <w:szCs w:val="25"/>
        </w:rPr>
        <w:t>dated December 3, 2024</w:t>
      </w:r>
      <w:r w:rsidR="00E73C72">
        <w:rPr>
          <w:rFonts w:ascii="Aptos" w:hAnsi="Aptos"/>
          <w:color w:val="000000" w:themeColor="text1"/>
          <w:sz w:val="25"/>
          <w:szCs w:val="25"/>
        </w:rPr>
        <w:t>)</w:t>
      </w:r>
      <w:r w:rsidR="00053069">
        <w:rPr>
          <w:rFonts w:ascii="Aptos" w:hAnsi="Aptos"/>
          <w:color w:val="000000" w:themeColor="text1"/>
          <w:sz w:val="25"/>
          <w:szCs w:val="25"/>
        </w:rPr>
        <w:t xml:space="preserve">; affidavits signed by each </w:t>
      </w:r>
      <w:r w:rsidR="00125561">
        <w:rPr>
          <w:rFonts w:ascii="Aptos" w:hAnsi="Aptos"/>
          <w:color w:val="000000" w:themeColor="text1"/>
          <w:sz w:val="25"/>
          <w:szCs w:val="25"/>
        </w:rPr>
        <w:t>P</w:t>
      </w:r>
      <w:r w:rsidR="00053069">
        <w:rPr>
          <w:rFonts w:ascii="Aptos" w:hAnsi="Aptos"/>
          <w:color w:val="000000" w:themeColor="text1"/>
          <w:sz w:val="25"/>
          <w:szCs w:val="25"/>
        </w:rPr>
        <w:t>arent stating their positions regarding Student’s need for special education; a report of a neuropsychological assessment performed by Dr. Katrina Boyer, PhD of Boston Children’s Hospital in April and May 2023; an Initial Treatment Note from a private speech therapist dated November 30, 2021; a letter from a private tutor working with Student using the Wilson Reading System, dated August 19, 2024; charts labeled National Oral Reading Fluency Norms; and some of Student’s Health Records</w:t>
      </w:r>
      <w:r w:rsidR="00125561">
        <w:rPr>
          <w:rFonts w:ascii="Aptos" w:hAnsi="Aptos"/>
          <w:color w:val="000000" w:themeColor="text1"/>
          <w:sz w:val="25"/>
          <w:szCs w:val="25"/>
        </w:rPr>
        <w:t xml:space="preserve">. </w:t>
      </w:r>
      <w:r w:rsidR="00E73C72">
        <w:rPr>
          <w:rFonts w:ascii="Aptos" w:hAnsi="Aptos"/>
          <w:color w:val="000000" w:themeColor="text1"/>
          <w:sz w:val="25"/>
          <w:szCs w:val="25"/>
        </w:rPr>
        <w:t xml:space="preserve">Parents </w:t>
      </w:r>
      <w:r w:rsidR="007A1B0B" w:rsidRPr="00F47331">
        <w:rPr>
          <w:rFonts w:ascii="Aptos" w:hAnsi="Aptos"/>
          <w:color w:val="000000" w:themeColor="text1"/>
          <w:sz w:val="25"/>
          <w:szCs w:val="25"/>
        </w:rPr>
        <w:t xml:space="preserve">requested </w:t>
      </w:r>
      <w:r w:rsidR="00264C45">
        <w:rPr>
          <w:rFonts w:ascii="Aptos" w:hAnsi="Aptos"/>
          <w:color w:val="000000" w:themeColor="text1"/>
          <w:sz w:val="25"/>
          <w:szCs w:val="25"/>
        </w:rPr>
        <w:t xml:space="preserve">that the hearing be assigned </w:t>
      </w:r>
      <w:r w:rsidR="007A1B0B" w:rsidRPr="00F47331">
        <w:rPr>
          <w:rFonts w:ascii="Aptos" w:hAnsi="Aptos"/>
          <w:color w:val="000000" w:themeColor="text1"/>
          <w:sz w:val="25"/>
          <w:szCs w:val="25"/>
        </w:rPr>
        <w:t xml:space="preserve">accelerated status. </w:t>
      </w:r>
    </w:p>
    <w:p w14:paraId="2EB74A0C" w14:textId="77777777" w:rsidR="001E5616" w:rsidRPr="00F47331" w:rsidRDefault="001E5616" w:rsidP="00365B55">
      <w:pPr>
        <w:ind w:firstLine="720"/>
        <w:rPr>
          <w:rFonts w:ascii="Aptos" w:hAnsi="Aptos"/>
          <w:color w:val="000000" w:themeColor="text1"/>
          <w:sz w:val="25"/>
          <w:szCs w:val="25"/>
        </w:rPr>
      </w:pPr>
    </w:p>
    <w:p w14:paraId="4DE9E87D" w14:textId="4648C783" w:rsidR="001E5616" w:rsidRPr="00F47331" w:rsidRDefault="001E5616" w:rsidP="00365B55">
      <w:pPr>
        <w:ind w:firstLine="720"/>
        <w:rPr>
          <w:rFonts w:ascii="Aptos" w:hAnsi="Aptos"/>
          <w:color w:val="000000" w:themeColor="text1"/>
          <w:sz w:val="25"/>
          <w:szCs w:val="25"/>
        </w:rPr>
      </w:pPr>
      <w:r w:rsidRPr="00F47331">
        <w:rPr>
          <w:rFonts w:ascii="Aptos" w:hAnsi="Aptos"/>
          <w:color w:val="000000" w:themeColor="text1"/>
          <w:sz w:val="25"/>
          <w:szCs w:val="25"/>
        </w:rPr>
        <w:lastRenderedPageBreak/>
        <w:t>Accelerated status was denied</w:t>
      </w:r>
      <w:r w:rsidR="007F6BCF">
        <w:rPr>
          <w:rFonts w:ascii="Aptos" w:hAnsi="Aptos"/>
          <w:color w:val="000000" w:themeColor="text1"/>
          <w:sz w:val="25"/>
          <w:szCs w:val="25"/>
        </w:rPr>
        <w:t>,</w:t>
      </w:r>
      <w:r w:rsidRPr="00F47331">
        <w:rPr>
          <w:rFonts w:ascii="Aptos" w:hAnsi="Aptos"/>
          <w:color w:val="000000" w:themeColor="text1"/>
          <w:sz w:val="25"/>
          <w:szCs w:val="25"/>
        </w:rPr>
        <w:t xml:space="preserve"> and the Hearing was scheduled for </w:t>
      </w:r>
      <w:r w:rsidR="009B2961">
        <w:rPr>
          <w:rFonts w:ascii="Aptos" w:hAnsi="Aptos"/>
          <w:color w:val="000000" w:themeColor="text1"/>
          <w:sz w:val="25"/>
          <w:szCs w:val="25"/>
        </w:rPr>
        <w:t>March 14</w:t>
      </w:r>
      <w:r w:rsidRPr="00F47331">
        <w:rPr>
          <w:rFonts w:ascii="Aptos" w:hAnsi="Aptos"/>
          <w:color w:val="000000" w:themeColor="text1"/>
          <w:sz w:val="25"/>
          <w:szCs w:val="25"/>
        </w:rPr>
        <w:t xml:space="preserve">, 2025. </w:t>
      </w:r>
    </w:p>
    <w:p w14:paraId="38F9CE87" w14:textId="77777777" w:rsidR="001E5616" w:rsidRPr="00F47331" w:rsidRDefault="001E5616" w:rsidP="00365B55">
      <w:pPr>
        <w:ind w:firstLine="720"/>
        <w:rPr>
          <w:rFonts w:ascii="Aptos" w:hAnsi="Aptos"/>
          <w:color w:val="000000" w:themeColor="text1"/>
          <w:sz w:val="25"/>
          <w:szCs w:val="25"/>
        </w:rPr>
      </w:pPr>
    </w:p>
    <w:p w14:paraId="15D7744A" w14:textId="4720D701" w:rsidR="00A51736" w:rsidRDefault="001E5616" w:rsidP="00670957">
      <w:pPr>
        <w:ind w:firstLine="720"/>
        <w:rPr>
          <w:rFonts w:ascii="Aptos" w:hAnsi="Aptos"/>
          <w:color w:val="000000" w:themeColor="text1"/>
          <w:sz w:val="25"/>
          <w:szCs w:val="25"/>
        </w:rPr>
      </w:pPr>
      <w:r w:rsidRPr="00F47331">
        <w:rPr>
          <w:rFonts w:ascii="Aptos" w:hAnsi="Aptos"/>
          <w:color w:val="000000" w:themeColor="text1"/>
          <w:sz w:val="25"/>
          <w:szCs w:val="25"/>
        </w:rPr>
        <w:t xml:space="preserve">On </w:t>
      </w:r>
      <w:r w:rsidR="00A51736">
        <w:rPr>
          <w:rFonts w:ascii="Aptos" w:hAnsi="Aptos"/>
          <w:color w:val="000000" w:themeColor="text1"/>
          <w:sz w:val="25"/>
          <w:szCs w:val="25"/>
        </w:rPr>
        <w:t>February 18</w:t>
      </w:r>
      <w:r w:rsidRPr="00F47331">
        <w:rPr>
          <w:rFonts w:ascii="Aptos" w:hAnsi="Aptos"/>
          <w:color w:val="000000" w:themeColor="text1"/>
          <w:sz w:val="25"/>
          <w:szCs w:val="25"/>
        </w:rPr>
        <w:t xml:space="preserve">, 2025, </w:t>
      </w:r>
      <w:r w:rsidR="00A51736">
        <w:rPr>
          <w:rFonts w:ascii="Aptos" w:hAnsi="Aptos"/>
          <w:color w:val="000000" w:themeColor="text1"/>
          <w:sz w:val="25"/>
          <w:szCs w:val="25"/>
        </w:rPr>
        <w:t xml:space="preserve">Newburyport filed the instant </w:t>
      </w:r>
      <w:r w:rsidR="00B24160">
        <w:rPr>
          <w:rFonts w:ascii="Aptos" w:hAnsi="Aptos"/>
          <w:i/>
          <w:iCs/>
          <w:color w:val="000000" w:themeColor="text1"/>
          <w:sz w:val="25"/>
          <w:szCs w:val="25"/>
        </w:rPr>
        <w:t xml:space="preserve">SJ </w:t>
      </w:r>
      <w:r w:rsidR="00A51736">
        <w:rPr>
          <w:rFonts w:ascii="Aptos" w:hAnsi="Aptos"/>
          <w:i/>
          <w:iCs/>
          <w:color w:val="000000" w:themeColor="text1"/>
          <w:sz w:val="25"/>
          <w:szCs w:val="25"/>
        </w:rPr>
        <w:t xml:space="preserve">Motion </w:t>
      </w:r>
      <w:r w:rsidR="00A51736">
        <w:rPr>
          <w:rFonts w:ascii="Aptos" w:hAnsi="Aptos"/>
          <w:color w:val="000000" w:themeColor="text1"/>
          <w:sz w:val="25"/>
          <w:szCs w:val="25"/>
        </w:rPr>
        <w:t>and a Memorandum of Law in support thereof</w:t>
      </w:r>
      <w:r w:rsidR="0097095C">
        <w:rPr>
          <w:rFonts w:ascii="Aptos" w:hAnsi="Aptos"/>
          <w:color w:val="000000" w:themeColor="text1"/>
          <w:sz w:val="25"/>
          <w:szCs w:val="25"/>
        </w:rPr>
        <w:t>, accompanied by documents labeled S-A through S-F</w:t>
      </w:r>
      <w:r w:rsidR="003515AE">
        <w:rPr>
          <w:rFonts w:ascii="Aptos" w:hAnsi="Aptos"/>
          <w:color w:val="000000" w:themeColor="text1"/>
          <w:sz w:val="25"/>
          <w:szCs w:val="25"/>
        </w:rPr>
        <w:t>. According to the District, Student is a 15-year</w:t>
      </w:r>
      <w:r w:rsidR="00125561">
        <w:rPr>
          <w:rFonts w:ascii="Aptos" w:hAnsi="Aptos"/>
          <w:color w:val="000000" w:themeColor="text1"/>
          <w:sz w:val="25"/>
          <w:szCs w:val="25"/>
        </w:rPr>
        <w:t>-</w:t>
      </w:r>
      <w:r w:rsidR="003515AE">
        <w:rPr>
          <w:rFonts w:ascii="Aptos" w:hAnsi="Aptos"/>
          <w:color w:val="000000" w:themeColor="text1"/>
          <w:sz w:val="25"/>
          <w:szCs w:val="25"/>
        </w:rPr>
        <w:t xml:space="preserve">old tenth grader eligible for a Section 504 Plan. </w:t>
      </w:r>
      <w:r w:rsidR="00125561">
        <w:rPr>
          <w:rFonts w:ascii="Aptos" w:hAnsi="Aptos"/>
          <w:color w:val="000000" w:themeColor="text1"/>
          <w:sz w:val="25"/>
          <w:szCs w:val="25"/>
        </w:rPr>
        <w:t xml:space="preserve">Through several hearing requests filed over the past year and a half, </w:t>
      </w:r>
      <w:r w:rsidR="003515AE">
        <w:rPr>
          <w:rFonts w:ascii="Aptos" w:hAnsi="Aptos"/>
          <w:color w:val="000000" w:themeColor="text1"/>
          <w:sz w:val="25"/>
          <w:szCs w:val="25"/>
        </w:rPr>
        <w:t>Parents have disputed the District’s September 2023 finding that Student is ineligible for special education services</w:t>
      </w:r>
      <w:r w:rsidR="00125561">
        <w:rPr>
          <w:rFonts w:ascii="Aptos" w:hAnsi="Aptos"/>
          <w:color w:val="000000" w:themeColor="text1"/>
          <w:sz w:val="25"/>
          <w:szCs w:val="25"/>
        </w:rPr>
        <w:t>.</w:t>
      </w:r>
      <w:r w:rsidR="003515AE">
        <w:rPr>
          <w:rFonts w:ascii="Aptos" w:hAnsi="Aptos"/>
          <w:color w:val="000000" w:themeColor="text1"/>
          <w:sz w:val="25"/>
          <w:szCs w:val="25"/>
        </w:rPr>
        <w:t xml:space="preserve"> Specifically, on or about October 3, 2023, Parents filed a </w:t>
      </w:r>
      <w:r w:rsidR="003515AE">
        <w:rPr>
          <w:rFonts w:ascii="Aptos" w:hAnsi="Aptos"/>
          <w:i/>
          <w:iCs/>
          <w:color w:val="000000" w:themeColor="text1"/>
          <w:sz w:val="25"/>
          <w:szCs w:val="25"/>
        </w:rPr>
        <w:t xml:space="preserve">Hearing Request </w:t>
      </w:r>
      <w:r w:rsidR="003515AE">
        <w:rPr>
          <w:rFonts w:ascii="Aptos" w:hAnsi="Aptos"/>
          <w:color w:val="000000" w:themeColor="text1"/>
          <w:sz w:val="25"/>
          <w:szCs w:val="25"/>
        </w:rPr>
        <w:t xml:space="preserve">disputing Newburyport’s finding that Student was ineligible for special education. Following </w:t>
      </w:r>
      <w:r w:rsidR="00125561">
        <w:rPr>
          <w:rFonts w:ascii="Aptos" w:hAnsi="Aptos"/>
          <w:color w:val="000000" w:themeColor="text1"/>
          <w:sz w:val="25"/>
          <w:szCs w:val="25"/>
        </w:rPr>
        <w:t xml:space="preserve">a BSEA </w:t>
      </w:r>
      <w:r w:rsidR="003515AE">
        <w:rPr>
          <w:rFonts w:ascii="Aptos" w:hAnsi="Aptos"/>
          <w:color w:val="000000" w:themeColor="text1"/>
          <w:sz w:val="25"/>
          <w:szCs w:val="25"/>
        </w:rPr>
        <w:t>mediation on or about October 24, 2023, where</w:t>
      </w:r>
      <w:r w:rsidR="00125561">
        <w:rPr>
          <w:rFonts w:ascii="Aptos" w:hAnsi="Aptos"/>
          <w:color w:val="000000" w:themeColor="text1"/>
          <w:sz w:val="25"/>
          <w:szCs w:val="25"/>
        </w:rPr>
        <w:t>in</w:t>
      </w:r>
      <w:r w:rsidR="003515AE">
        <w:rPr>
          <w:rFonts w:ascii="Aptos" w:hAnsi="Aptos"/>
          <w:color w:val="000000" w:themeColor="text1"/>
          <w:sz w:val="25"/>
          <w:szCs w:val="25"/>
        </w:rPr>
        <w:t xml:space="preserve"> the parties reached an agreement, Parents withdrew that </w:t>
      </w:r>
      <w:r w:rsidR="003515AE">
        <w:rPr>
          <w:rFonts w:ascii="Aptos" w:hAnsi="Aptos"/>
          <w:i/>
          <w:iCs/>
          <w:color w:val="000000" w:themeColor="text1"/>
          <w:sz w:val="25"/>
          <w:szCs w:val="25"/>
        </w:rPr>
        <w:t>Hearing Request</w:t>
      </w:r>
      <w:r w:rsidR="003515AE">
        <w:rPr>
          <w:rFonts w:ascii="Aptos" w:hAnsi="Aptos"/>
          <w:color w:val="000000" w:themeColor="text1"/>
          <w:sz w:val="25"/>
          <w:szCs w:val="25"/>
        </w:rPr>
        <w:t xml:space="preserve">. On or about </w:t>
      </w:r>
      <w:r w:rsidR="00125561">
        <w:rPr>
          <w:rFonts w:ascii="Aptos" w:hAnsi="Aptos"/>
          <w:color w:val="000000" w:themeColor="text1"/>
          <w:sz w:val="25"/>
          <w:szCs w:val="25"/>
        </w:rPr>
        <w:t>April</w:t>
      </w:r>
      <w:r w:rsidR="003515AE">
        <w:rPr>
          <w:rFonts w:ascii="Aptos" w:hAnsi="Aptos"/>
          <w:color w:val="000000" w:themeColor="text1"/>
          <w:sz w:val="25"/>
          <w:szCs w:val="25"/>
        </w:rPr>
        <w:t xml:space="preserve"> 23, 2024, Parents filed a second </w:t>
      </w:r>
      <w:r w:rsidR="003515AE">
        <w:rPr>
          <w:rFonts w:ascii="Aptos" w:hAnsi="Aptos"/>
          <w:i/>
          <w:iCs/>
          <w:color w:val="000000" w:themeColor="text1"/>
          <w:sz w:val="25"/>
          <w:szCs w:val="25"/>
        </w:rPr>
        <w:t>Hearing Request</w:t>
      </w:r>
      <w:r w:rsidR="003515AE">
        <w:rPr>
          <w:rFonts w:ascii="Aptos" w:hAnsi="Aptos"/>
          <w:color w:val="000000" w:themeColor="text1"/>
          <w:sz w:val="25"/>
          <w:szCs w:val="25"/>
        </w:rPr>
        <w:t xml:space="preserve">, </w:t>
      </w:r>
      <w:r w:rsidR="00125561">
        <w:rPr>
          <w:rFonts w:ascii="Aptos" w:hAnsi="Aptos"/>
          <w:color w:val="000000" w:themeColor="text1"/>
          <w:sz w:val="25"/>
          <w:szCs w:val="25"/>
        </w:rPr>
        <w:t xml:space="preserve">again </w:t>
      </w:r>
      <w:r w:rsidR="003515AE">
        <w:rPr>
          <w:rFonts w:ascii="Aptos" w:hAnsi="Aptos"/>
          <w:color w:val="000000" w:themeColor="text1"/>
          <w:sz w:val="25"/>
          <w:szCs w:val="25"/>
        </w:rPr>
        <w:t xml:space="preserve">disputing the District’s finding that Student was ineligible for special education. On or about October 4, 2024, Parents and Newburyport entered into a legally binding Settlement Agreement to resolve concerns raised by Parents in their </w:t>
      </w:r>
      <w:r w:rsidR="003515AE">
        <w:rPr>
          <w:rFonts w:ascii="Aptos" w:hAnsi="Aptos"/>
          <w:i/>
          <w:iCs/>
          <w:color w:val="000000" w:themeColor="text1"/>
          <w:sz w:val="25"/>
          <w:szCs w:val="25"/>
        </w:rPr>
        <w:t>Hearing Request</w:t>
      </w:r>
      <w:r w:rsidR="003515AE">
        <w:rPr>
          <w:rFonts w:ascii="Aptos" w:hAnsi="Aptos"/>
          <w:color w:val="000000" w:themeColor="text1"/>
          <w:sz w:val="25"/>
          <w:szCs w:val="25"/>
        </w:rPr>
        <w:t xml:space="preserve">, and Parents then withdrew their second </w:t>
      </w:r>
      <w:r w:rsidR="003515AE">
        <w:rPr>
          <w:rFonts w:ascii="Aptos" w:hAnsi="Aptos"/>
          <w:i/>
          <w:iCs/>
          <w:color w:val="000000" w:themeColor="text1"/>
          <w:sz w:val="25"/>
          <w:szCs w:val="25"/>
        </w:rPr>
        <w:t>Hearing Request</w:t>
      </w:r>
      <w:r w:rsidR="003515AE">
        <w:rPr>
          <w:rFonts w:ascii="Aptos" w:hAnsi="Aptos"/>
          <w:color w:val="000000" w:themeColor="text1"/>
          <w:sz w:val="25"/>
          <w:szCs w:val="25"/>
        </w:rPr>
        <w:t>. According to the District, the Settlement Agreement</w:t>
      </w:r>
      <w:r w:rsidR="00826BEF">
        <w:rPr>
          <w:rFonts w:ascii="Aptos" w:hAnsi="Aptos"/>
          <w:color w:val="000000" w:themeColor="text1"/>
          <w:sz w:val="25"/>
          <w:szCs w:val="25"/>
        </w:rPr>
        <w:t xml:space="preserve">, </w:t>
      </w:r>
      <w:r w:rsidR="00125561">
        <w:rPr>
          <w:rFonts w:ascii="Aptos" w:hAnsi="Aptos"/>
          <w:color w:val="000000" w:themeColor="text1"/>
          <w:sz w:val="25"/>
          <w:szCs w:val="25"/>
        </w:rPr>
        <w:t xml:space="preserve">into </w:t>
      </w:r>
      <w:r w:rsidR="00B60753">
        <w:rPr>
          <w:rFonts w:ascii="Aptos" w:hAnsi="Aptos"/>
          <w:color w:val="000000" w:themeColor="text1"/>
          <w:sz w:val="25"/>
          <w:szCs w:val="25"/>
        </w:rPr>
        <w:t>which Parents entered knowingly and voluntarily</w:t>
      </w:r>
      <w:r w:rsidR="00826BEF">
        <w:rPr>
          <w:rFonts w:ascii="Aptos" w:hAnsi="Aptos"/>
          <w:color w:val="000000" w:themeColor="text1"/>
          <w:sz w:val="25"/>
          <w:szCs w:val="25"/>
        </w:rPr>
        <w:t xml:space="preserve">, </w:t>
      </w:r>
      <w:r w:rsidR="00B60753">
        <w:rPr>
          <w:rFonts w:ascii="Aptos" w:hAnsi="Aptos"/>
          <w:color w:val="000000" w:themeColor="text1"/>
          <w:sz w:val="25"/>
          <w:szCs w:val="25"/>
        </w:rPr>
        <w:t xml:space="preserve">sets forth Newburyport’s sole obligation for providing Student with educational services through the end of the 2026-2027 school year. Although the District agreed to meet with Parents informally in December 2024 to discuss Parents’ concerns regarding Student’s progress in school and, on or about January 10, 2025, proposed mediation to discuss </w:t>
      </w:r>
      <w:r w:rsidR="00125561">
        <w:rPr>
          <w:rFonts w:ascii="Aptos" w:hAnsi="Aptos"/>
          <w:color w:val="000000" w:themeColor="text1"/>
          <w:sz w:val="25"/>
          <w:szCs w:val="25"/>
        </w:rPr>
        <w:t>these</w:t>
      </w:r>
      <w:r w:rsidR="00B60753">
        <w:rPr>
          <w:rFonts w:ascii="Aptos" w:hAnsi="Aptos"/>
          <w:color w:val="000000" w:themeColor="text1"/>
          <w:sz w:val="25"/>
          <w:szCs w:val="25"/>
        </w:rPr>
        <w:t xml:space="preserve"> concerns, these actions were bot</w:t>
      </w:r>
      <w:r w:rsidR="00125561">
        <w:rPr>
          <w:rFonts w:ascii="Aptos" w:hAnsi="Aptos"/>
          <w:color w:val="000000" w:themeColor="text1"/>
          <w:sz w:val="25"/>
          <w:szCs w:val="25"/>
        </w:rPr>
        <w:t>h</w:t>
      </w:r>
      <w:r w:rsidR="00B60753">
        <w:rPr>
          <w:rFonts w:ascii="Aptos" w:hAnsi="Aptos"/>
          <w:color w:val="000000" w:themeColor="text1"/>
          <w:sz w:val="25"/>
          <w:szCs w:val="25"/>
        </w:rPr>
        <w:t xml:space="preserve"> </w:t>
      </w:r>
      <w:r w:rsidR="00125561">
        <w:rPr>
          <w:rFonts w:ascii="Aptos" w:hAnsi="Aptos"/>
          <w:color w:val="000000" w:themeColor="text1"/>
          <w:sz w:val="25"/>
          <w:szCs w:val="25"/>
        </w:rPr>
        <w:t>under</w:t>
      </w:r>
      <w:r w:rsidR="00B60753">
        <w:rPr>
          <w:rFonts w:ascii="Aptos" w:hAnsi="Aptos"/>
          <w:color w:val="000000" w:themeColor="text1"/>
          <w:sz w:val="25"/>
          <w:szCs w:val="25"/>
        </w:rPr>
        <w:t xml:space="preserve">taken voluntarily, in the spirit of collaboration, and were not required under the terms of the Settlement Agreement. On or about February 7, 2025, Parents filed a third </w:t>
      </w:r>
      <w:r w:rsidR="00B60753">
        <w:rPr>
          <w:rFonts w:ascii="Aptos" w:hAnsi="Aptos"/>
          <w:i/>
          <w:iCs/>
          <w:color w:val="000000" w:themeColor="text1"/>
          <w:sz w:val="25"/>
          <w:szCs w:val="25"/>
        </w:rPr>
        <w:t xml:space="preserve">Hearing </w:t>
      </w:r>
      <w:r w:rsidR="00B60753" w:rsidRPr="00B60753">
        <w:rPr>
          <w:rFonts w:ascii="Aptos" w:hAnsi="Aptos"/>
          <w:i/>
          <w:iCs/>
          <w:color w:val="000000" w:themeColor="text1"/>
          <w:sz w:val="25"/>
          <w:szCs w:val="25"/>
        </w:rPr>
        <w:t>Request</w:t>
      </w:r>
      <w:r w:rsidR="00B60753">
        <w:rPr>
          <w:rFonts w:ascii="Aptos" w:hAnsi="Aptos"/>
          <w:color w:val="000000" w:themeColor="text1"/>
          <w:sz w:val="25"/>
          <w:szCs w:val="25"/>
        </w:rPr>
        <w:t xml:space="preserve">, the present complaint, </w:t>
      </w:r>
      <w:r w:rsidR="00B60753" w:rsidRPr="00B60753">
        <w:rPr>
          <w:rFonts w:ascii="Aptos" w:hAnsi="Aptos"/>
          <w:color w:val="000000" w:themeColor="text1"/>
          <w:sz w:val="25"/>
          <w:szCs w:val="25"/>
        </w:rPr>
        <w:t>disputing</w:t>
      </w:r>
      <w:r w:rsidR="00B60753">
        <w:rPr>
          <w:rFonts w:ascii="Aptos" w:hAnsi="Aptos"/>
          <w:color w:val="000000" w:themeColor="text1"/>
          <w:sz w:val="25"/>
          <w:szCs w:val="25"/>
        </w:rPr>
        <w:t xml:space="preserve"> Newburyport’s finding that Student was ineligible for special education. Newburyport contends that all issues raised in this </w:t>
      </w:r>
      <w:r w:rsidR="00B60753">
        <w:rPr>
          <w:rFonts w:ascii="Aptos" w:hAnsi="Aptos"/>
          <w:i/>
          <w:iCs/>
          <w:color w:val="000000" w:themeColor="text1"/>
          <w:sz w:val="25"/>
          <w:szCs w:val="25"/>
        </w:rPr>
        <w:t xml:space="preserve">Hearing Request </w:t>
      </w:r>
      <w:r w:rsidR="00B60753">
        <w:rPr>
          <w:rFonts w:ascii="Aptos" w:hAnsi="Aptos"/>
          <w:color w:val="000000" w:themeColor="text1"/>
          <w:sz w:val="25"/>
          <w:szCs w:val="25"/>
        </w:rPr>
        <w:t xml:space="preserve">have been fully resolved via the fully executed and legally binding Settlement Agreement. Because the </w:t>
      </w:r>
      <w:r w:rsidR="00B60753">
        <w:rPr>
          <w:rFonts w:ascii="Aptos" w:hAnsi="Aptos"/>
          <w:i/>
          <w:iCs/>
          <w:color w:val="000000" w:themeColor="text1"/>
          <w:sz w:val="25"/>
          <w:szCs w:val="25"/>
        </w:rPr>
        <w:t xml:space="preserve">Hearing Request </w:t>
      </w:r>
      <w:r w:rsidR="00B60753">
        <w:rPr>
          <w:rFonts w:ascii="Aptos" w:hAnsi="Aptos"/>
          <w:color w:val="000000" w:themeColor="text1"/>
          <w:sz w:val="25"/>
          <w:szCs w:val="25"/>
        </w:rPr>
        <w:t>is precluded, summary judgment is appropriate.</w:t>
      </w:r>
    </w:p>
    <w:p w14:paraId="4B6B0D79" w14:textId="77777777" w:rsidR="005E242F" w:rsidRDefault="005E242F" w:rsidP="00670957">
      <w:pPr>
        <w:ind w:firstLine="720"/>
        <w:rPr>
          <w:rFonts w:ascii="Aptos" w:hAnsi="Aptos"/>
          <w:color w:val="000000" w:themeColor="text1"/>
          <w:sz w:val="25"/>
          <w:szCs w:val="25"/>
        </w:rPr>
      </w:pPr>
    </w:p>
    <w:p w14:paraId="7FD3991B" w14:textId="380E5A16" w:rsidR="005E242F" w:rsidRPr="00482583" w:rsidRDefault="005E242F" w:rsidP="00670957">
      <w:pPr>
        <w:ind w:firstLine="720"/>
        <w:rPr>
          <w:rFonts w:ascii="Aptos" w:hAnsi="Aptos"/>
          <w:color w:val="000000" w:themeColor="text1"/>
          <w:sz w:val="25"/>
          <w:szCs w:val="25"/>
        </w:rPr>
      </w:pPr>
      <w:r>
        <w:rPr>
          <w:rFonts w:ascii="Aptos" w:hAnsi="Aptos"/>
          <w:color w:val="000000" w:themeColor="text1"/>
          <w:sz w:val="25"/>
          <w:szCs w:val="25"/>
        </w:rPr>
        <w:t xml:space="preserve">On February 25, 2025, Parents filed an </w:t>
      </w:r>
      <w:r>
        <w:rPr>
          <w:rFonts w:ascii="Aptos" w:hAnsi="Aptos"/>
          <w:i/>
          <w:iCs/>
          <w:color w:val="000000" w:themeColor="text1"/>
          <w:sz w:val="25"/>
          <w:szCs w:val="25"/>
        </w:rPr>
        <w:t>Opposition to Motion for Summary Judgment</w:t>
      </w:r>
      <w:r w:rsidR="008A7111">
        <w:rPr>
          <w:rFonts w:ascii="Aptos" w:hAnsi="Aptos"/>
          <w:color w:val="000000" w:themeColor="text1"/>
          <w:sz w:val="25"/>
          <w:szCs w:val="25"/>
        </w:rPr>
        <w:t xml:space="preserve"> (</w:t>
      </w:r>
      <w:r w:rsidR="008A7111">
        <w:rPr>
          <w:rFonts w:ascii="Aptos" w:hAnsi="Aptos"/>
          <w:i/>
          <w:iCs/>
          <w:color w:val="000000" w:themeColor="text1"/>
          <w:sz w:val="25"/>
          <w:szCs w:val="25"/>
        </w:rPr>
        <w:t>Opposition to SJ Motion</w:t>
      </w:r>
      <w:r w:rsidR="008A7111">
        <w:rPr>
          <w:rFonts w:ascii="Aptos" w:hAnsi="Aptos"/>
          <w:color w:val="000000" w:themeColor="text1"/>
          <w:sz w:val="25"/>
          <w:szCs w:val="25"/>
        </w:rPr>
        <w:t xml:space="preserve">) accompanied by </w:t>
      </w:r>
      <w:r w:rsidR="0097095C">
        <w:rPr>
          <w:rFonts w:ascii="Aptos" w:hAnsi="Aptos"/>
          <w:color w:val="000000" w:themeColor="text1"/>
          <w:sz w:val="25"/>
          <w:szCs w:val="25"/>
        </w:rPr>
        <w:t>documents labeled P-A through P-</w:t>
      </w:r>
      <w:r w:rsidR="00652AB9">
        <w:rPr>
          <w:rFonts w:ascii="Aptos" w:hAnsi="Aptos"/>
          <w:color w:val="000000" w:themeColor="text1"/>
          <w:sz w:val="25"/>
          <w:szCs w:val="25"/>
        </w:rPr>
        <w:t>I.</w:t>
      </w:r>
      <w:r>
        <w:rPr>
          <w:rStyle w:val="FootnoteReference"/>
          <w:rFonts w:ascii="Aptos" w:hAnsi="Aptos"/>
          <w:color w:val="000000" w:themeColor="text1"/>
          <w:sz w:val="25"/>
          <w:szCs w:val="25"/>
        </w:rPr>
        <w:footnoteReference w:id="1"/>
      </w:r>
      <w:r>
        <w:rPr>
          <w:rFonts w:ascii="Aptos" w:hAnsi="Aptos"/>
          <w:color w:val="000000" w:themeColor="text1"/>
          <w:sz w:val="25"/>
          <w:szCs w:val="25"/>
        </w:rPr>
        <w:t xml:space="preserve"> </w:t>
      </w:r>
      <w:r w:rsidR="008A7111">
        <w:rPr>
          <w:rFonts w:ascii="Aptos" w:hAnsi="Aptos"/>
          <w:color w:val="000000" w:themeColor="text1"/>
          <w:sz w:val="25"/>
          <w:szCs w:val="25"/>
        </w:rPr>
        <w:t xml:space="preserve">On February 26, 2025, Parents filed a second document entitled </w:t>
      </w:r>
      <w:r w:rsidR="008A7111">
        <w:rPr>
          <w:rFonts w:ascii="Aptos" w:hAnsi="Aptos"/>
          <w:i/>
          <w:iCs/>
          <w:color w:val="000000" w:themeColor="text1"/>
          <w:sz w:val="25"/>
          <w:szCs w:val="25"/>
        </w:rPr>
        <w:t xml:space="preserve">Supplemental Information to the Parents </w:t>
      </w:r>
      <w:r w:rsidR="008A7111" w:rsidRPr="00FE74ED">
        <w:rPr>
          <w:rFonts w:ascii="Aptos" w:hAnsi="Aptos"/>
          <w:i/>
          <w:iCs/>
          <w:color w:val="000000" w:themeColor="text1"/>
          <w:sz w:val="25"/>
          <w:szCs w:val="25"/>
        </w:rPr>
        <w:t>[sic]</w:t>
      </w:r>
      <w:r w:rsidR="008A7111">
        <w:rPr>
          <w:rFonts w:ascii="Aptos" w:hAnsi="Aptos"/>
          <w:i/>
          <w:iCs/>
          <w:color w:val="000000" w:themeColor="text1"/>
          <w:sz w:val="25"/>
          <w:szCs w:val="25"/>
        </w:rPr>
        <w:t xml:space="preserve"> February 25, 2025 Opposition Filing</w:t>
      </w:r>
      <w:r w:rsidR="008A7111">
        <w:rPr>
          <w:rFonts w:ascii="Aptos" w:hAnsi="Aptos"/>
          <w:color w:val="000000" w:themeColor="text1"/>
          <w:sz w:val="25"/>
          <w:szCs w:val="25"/>
        </w:rPr>
        <w:t>, consisting of legal citation and argument in support of their position.</w:t>
      </w:r>
      <w:r w:rsidR="008A7111">
        <w:rPr>
          <w:rFonts w:ascii="Aptos" w:hAnsi="Aptos"/>
          <w:i/>
          <w:iCs/>
          <w:color w:val="000000" w:themeColor="text1"/>
          <w:sz w:val="25"/>
          <w:szCs w:val="25"/>
        </w:rPr>
        <w:t xml:space="preserve"> </w:t>
      </w:r>
      <w:r>
        <w:rPr>
          <w:rFonts w:ascii="Aptos" w:hAnsi="Aptos"/>
          <w:color w:val="000000" w:themeColor="text1"/>
          <w:sz w:val="25"/>
          <w:szCs w:val="25"/>
        </w:rPr>
        <w:t>They contend that Newburyport has, on numerous occasions, documented that the language-based instruction services provided in the Settlement Agreement, Part 1, are “no longer valid</w:t>
      </w:r>
      <w:r w:rsidR="008429C2">
        <w:rPr>
          <w:rFonts w:ascii="Aptos" w:hAnsi="Aptos"/>
          <w:color w:val="000000" w:themeColor="text1"/>
          <w:sz w:val="25"/>
          <w:szCs w:val="25"/>
        </w:rPr>
        <w:t>;</w:t>
      </w:r>
      <w:r>
        <w:rPr>
          <w:rFonts w:ascii="Aptos" w:hAnsi="Aptos"/>
          <w:color w:val="000000" w:themeColor="text1"/>
          <w:sz w:val="25"/>
          <w:szCs w:val="25"/>
        </w:rPr>
        <w:t xml:space="preserve">” that such services have been “found to be” ineffective and inappropriate </w:t>
      </w:r>
      <w:r w:rsidR="00125561">
        <w:rPr>
          <w:rFonts w:ascii="Aptos" w:hAnsi="Aptos"/>
          <w:color w:val="000000" w:themeColor="text1"/>
          <w:sz w:val="25"/>
          <w:szCs w:val="25"/>
        </w:rPr>
        <w:t>given</w:t>
      </w:r>
      <w:r>
        <w:rPr>
          <w:rFonts w:ascii="Aptos" w:hAnsi="Aptos"/>
          <w:color w:val="000000" w:themeColor="text1"/>
          <w:sz w:val="25"/>
          <w:szCs w:val="25"/>
        </w:rPr>
        <w:t xml:space="preserve"> Student’s needs</w:t>
      </w:r>
      <w:r w:rsidR="00A43039">
        <w:rPr>
          <w:rFonts w:ascii="Aptos" w:hAnsi="Aptos"/>
          <w:color w:val="000000" w:themeColor="text1"/>
          <w:sz w:val="25"/>
          <w:szCs w:val="25"/>
        </w:rPr>
        <w:t>;</w:t>
      </w:r>
      <w:r>
        <w:rPr>
          <w:rFonts w:ascii="Aptos" w:hAnsi="Aptos"/>
          <w:color w:val="000000" w:themeColor="text1"/>
          <w:sz w:val="25"/>
          <w:szCs w:val="25"/>
        </w:rPr>
        <w:t xml:space="preserve"> and that, therefore, this portion of the Settlement Agreement is inappropriate</w:t>
      </w:r>
      <w:r w:rsidR="00A43039">
        <w:rPr>
          <w:rFonts w:ascii="Aptos" w:hAnsi="Aptos"/>
          <w:color w:val="000000" w:themeColor="text1"/>
          <w:sz w:val="25"/>
          <w:szCs w:val="25"/>
        </w:rPr>
        <w:t>,</w:t>
      </w:r>
      <w:r>
        <w:rPr>
          <w:rFonts w:ascii="Aptos" w:hAnsi="Aptos"/>
          <w:color w:val="000000" w:themeColor="text1"/>
          <w:sz w:val="25"/>
          <w:szCs w:val="25"/>
        </w:rPr>
        <w:t xml:space="preserve"> and a change is </w:t>
      </w:r>
      <w:r>
        <w:rPr>
          <w:rFonts w:ascii="Aptos" w:hAnsi="Aptos"/>
          <w:color w:val="000000" w:themeColor="text1"/>
          <w:sz w:val="25"/>
          <w:szCs w:val="25"/>
        </w:rPr>
        <w:lastRenderedPageBreak/>
        <w:t xml:space="preserve">necessary. According to Parents, </w:t>
      </w:r>
      <w:r w:rsidR="00B85091">
        <w:rPr>
          <w:rFonts w:ascii="Aptos" w:hAnsi="Aptos"/>
          <w:color w:val="000000" w:themeColor="text1"/>
          <w:sz w:val="25"/>
          <w:szCs w:val="25"/>
        </w:rPr>
        <w:t xml:space="preserve">Ms. Ghiringhelli, a </w:t>
      </w:r>
      <w:r w:rsidR="00FE74ED">
        <w:rPr>
          <w:rFonts w:ascii="Aptos" w:hAnsi="Aptos"/>
          <w:color w:val="000000" w:themeColor="text1"/>
          <w:sz w:val="25"/>
          <w:szCs w:val="25"/>
        </w:rPr>
        <w:t>MGH Speech and Language Pathologist</w:t>
      </w:r>
      <w:r w:rsidR="00B85091">
        <w:rPr>
          <w:rFonts w:ascii="Aptos" w:hAnsi="Aptos"/>
          <w:color w:val="000000" w:themeColor="text1"/>
          <w:sz w:val="25"/>
          <w:szCs w:val="25"/>
        </w:rPr>
        <w:t xml:space="preserve">, </w:t>
      </w:r>
      <w:r>
        <w:rPr>
          <w:rFonts w:ascii="Aptos" w:hAnsi="Aptos"/>
          <w:color w:val="000000" w:themeColor="text1"/>
          <w:sz w:val="25"/>
          <w:szCs w:val="25"/>
        </w:rPr>
        <w:t>has defined and described the services Student needs to make progress, but Newburyport refuses to meet, discuss, and implement Parents’ proposed changes to the Settlement Agreement</w:t>
      </w:r>
      <w:r w:rsidR="00125561">
        <w:rPr>
          <w:rFonts w:ascii="Aptos" w:hAnsi="Aptos"/>
          <w:color w:val="000000" w:themeColor="text1"/>
          <w:sz w:val="25"/>
          <w:szCs w:val="25"/>
        </w:rPr>
        <w:t xml:space="preserve"> that would provide for the </w:t>
      </w:r>
      <w:r w:rsidR="00FE74ED">
        <w:rPr>
          <w:rFonts w:ascii="Aptos" w:hAnsi="Aptos"/>
          <w:color w:val="000000" w:themeColor="text1"/>
          <w:sz w:val="25"/>
          <w:szCs w:val="25"/>
        </w:rPr>
        <w:t xml:space="preserve">recommended </w:t>
      </w:r>
      <w:r w:rsidR="00125561">
        <w:rPr>
          <w:rFonts w:ascii="Aptos" w:hAnsi="Aptos"/>
          <w:color w:val="000000" w:themeColor="text1"/>
          <w:sz w:val="25"/>
          <w:szCs w:val="25"/>
        </w:rPr>
        <w:t>services</w:t>
      </w:r>
      <w:r>
        <w:rPr>
          <w:rFonts w:ascii="Aptos" w:hAnsi="Aptos"/>
          <w:color w:val="000000" w:themeColor="text1"/>
          <w:sz w:val="25"/>
          <w:szCs w:val="25"/>
        </w:rPr>
        <w:t xml:space="preserve">. Parents assert that although the BSEA does not have the authority to interpret or enforce settlement agreements, their </w:t>
      </w:r>
      <w:r>
        <w:rPr>
          <w:rFonts w:ascii="Aptos" w:hAnsi="Aptos"/>
          <w:i/>
          <w:iCs/>
          <w:color w:val="000000" w:themeColor="text1"/>
          <w:sz w:val="25"/>
          <w:szCs w:val="25"/>
        </w:rPr>
        <w:t>Hearing Request</w:t>
      </w:r>
      <w:r>
        <w:rPr>
          <w:rFonts w:ascii="Aptos" w:hAnsi="Aptos"/>
          <w:color w:val="000000" w:themeColor="text1"/>
          <w:sz w:val="25"/>
          <w:szCs w:val="25"/>
        </w:rPr>
        <w:t xml:space="preserve"> is not barred by the October 2024 Settlement Agreement between the parties, as it “only asks for a determination whether the child does indeed have a specific learning disability that requires specific specialized services.” Parents argue that nothing in the Settlement Agreement precludes </w:t>
      </w:r>
      <w:r w:rsidR="00125561">
        <w:rPr>
          <w:rFonts w:ascii="Aptos" w:hAnsi="Aptos"/>
          <w:color w:val="000000" w:themeColor="text1"/>
          <w:sz w:val="25"/>
          <w:szCs w:val="25"/>
        </w:rPr>
        <w:t xml:space="preserve">their </w:t>
      </w:r>
      <w:r>
        <w:rPr>
          <w:rFonts w:ascii="Aptos" w:hAnsi="Aptos"/>
          <w:color w:val="000000" w:themeColor="text1"/>
          <w:sz w:val="25"/>
          <w:szCs w:val="25"/>
        </w:rPr>
        <w:t>request that the District determine that Student has a disability in accordance with the Individuals with Disabilities Education Act (IDEA).</w:t>
      </w:r>
      <w:r w:rsidR="00482583">
        <w:rPr>
          <w:rFonts w:ascii="Aptos" w:hAnsi="Aptos"/>
          <w:color w:val="000000" w:themeColor="text1"/>
          <w:sz w:val="25"/>
          <w:szCs w:val="25"/>
        </w:rPr>
        <w:t xml:space="preserve"> Moreover, Parents assert, a “settlement agreement that is no longer appropriate nor effective to the purpose of the agreement results in either an amendment, a change, or a new contract of appropriate wording, with appropriate and effective services, intent, goals and monitoring.” </w:t>
      </w:r>
      <w:r w:rsidR="00125561">
        <w:rPr>
          <w:rFonts w:ascii="Aptos" w:hAnsi="Aptos"/>
          <w:color w:val="000000" w:themeColor="text1"/>
          <w:sz w:val="25"/>
          <w:szCs w:val="25"/>
        </w:rPr>
        <w:t>Parents’</w:t>
      </w:r>
      <w:r w:rsidR="00482583">
        <w:rPr>
          <w:rFonts w:ascii="Aptos" w:hAnsi="Aptos"/>
          <w:color w:val="000000" w:themeColor="text1"/>
          <w:sz w:val="25"/>
          <w:szCs w:val="25"/>
        </w:rPr>
        <w:t xml:space="preserve"> position is that they have submitted</w:t>
      </w:r>
      <w:r w:rsidR="00125561">
        <w:rPr>
          <w:rFonts w:ascii="Aptos" w:hAnsi="Aptos"/>
          <w:color w:val="000000" w:themeColor="text1"/>
          <w:sz w:val="25"/>
          <w:szCs w:val="25"/>
        </w:rPr>
        <w:t>,</w:t>
      </w:r>
      <w:r w:rsidR="00482583">
        <w:rPr>
          <w:rFonts w:ascii="Aptos" w:hAnsi="Aptos"/>
          <w:color w:val="000000" w:themeColor="text1"/>
          <w:sz w:val="25"/>
          <w:szCs w:val="25"/>
        </w:rPr>
        <w:t xml:space="preserve"> through their </w:t>
      </w:r>
      <w:r w:rsidR="00482583">
        <w:rPr>
          <w:rFonts w:ascii="Aptos" w:hAnsi="Aptos"/>
          <w:i/>
          <w:iCs/>
          <w:color w:val="000000" w:themeColor="text1"/>
          <w:sz w:val="25"/>
          <w:szCs w:val="25"/>
        </w:rPr>
        <w:t>Hearing Request</w:t>
      </w:r>
      <w:r w:rsidR="00482583">
        <w:rPr>
          <w:rFonts w:ascii="Aptos" w:hAnsi="Aptos"/>
          <w:color w:val="000000" w:themeColor="text1"/>
          <w:sz w:val="25"/>
          <w:szCs w:val="25"/>
        </w:rPr>
        <w:t xml:space="preserve"> and in good faith, “a proposed modification to amend Part 1 </w:t>
      </w:r>
      <w:r w:rsidR="00FE74ED">
        <w:rPr>
          <w:rFonts w:ascii="Aptos" w:hAnsi="Aptos"/>
          <w:color w:val="000000" w:themeColor="text1"/>
          <w:sz w:val="25"/>
          <w:szCs w:val="25"/>
        </w:rPr>
        <w:t xml:space="preserve">[of the Settlement Agreement] </w:t>
      </w:r>
      <w:r w:rsidR="00482583">
        <w:rPr>
          <w:rFonts w:ascii="Aptos" w:hAnsi="Aptos"/>
          <w:color w:val="000000" w:themeColor="text1"/>
          <w:sz w:val="25"/>
          <w:szCs w:val="25"/>
        </w:rPr>
        <w:t>in the best interests of the child,” and that the District must either accept their proposed change, resulting in withdrawal of the BSEA filing, or reject their proposal, thus requiring resolution through the District Court.</w:t>
      </w:r>
    </w:p>
    <w:p w14:paraId="463F35D3" w14:textId="77777777" w:rsidR="00B24160" w:rsidRDefault="00B24160" w:rsidP="00670957">
      <w:pPr>
        <w:ind w:firstLine="720"/>
        <w:rPr>
          <w:rFonts w:ascii="Aptos" w:hAnsi="Aptos"/>
          <w:color w:val="000000" w:themeColor="text1"/>
          <w:sz w:val="25"/>
          <w:szCs w:val="25"/>
        </w:rPr>
      </w:pPr>
    </w:p>
    <w:p w14:paraId="3FA0B99D" w14:textId="3B3B9661" w:rsidR="00A51736" w:rsidRDefault="00A51736" w:rsidP="00670957">
      <w:pPr>
        <w:ind w:firstLine="720"/>
        <w:rPr>
          <w:rFonts w:ascii="Aptos" w:hAnsi="Aptos"/>
          <w:color w:val="000000" w:themeColor="text1"/>
          <w:sz w:val="25"/>
          <w:szCs w:val="25"/>
        </w:rPr>
      </w:pPr>
      <w:r>
        <w:rPr>
          <w:rFonts w:ascii="Aptos" w:hAnsi="Aptos"/>
          <w:color w:val="000000" w:themeColor="text1"/>
          <w:sz w:val="25"/>
          <w:szCs w:val="25"/>
        </w:rPr>
        <w:t xml:space="preserve">On February 25, 2025, Parents requested a one-month postponement to permit the parties to work together informally toward resolution of the issues underlying the </w:t>
      </w:r>
      <w:r>
        <w:rPr>
          <w:rFonts w:ascii="Aptos" w:hAnsi="Aptos"/>
          <w:i/>
          <w:iCs/>
          <w:color w:val="000000" w:themeColor="text1"/>
          <w:sz w:val="25"/>
          <w:szCs w:val="25"/>
        </w:rPr>
        <w:t>Hearing Request</w:t>
      </w:r>
      <w:r>
        <w:rPr>
          <w:rFonts w:ascii="Aptos" w:hAnsi="Aptos"/>
          <w:color w:val="000000" w:themeColor="text1"/>
          <w:sz w:val="25"/>
          <w:szCs w:val="25"/>
        </w:rPr>
        <w:t xml:space="preserve"> and to enable Parents to obtain further medical and specialist documentation regarding Student’s needs. Following </w:t>
      </w:r>
      <w:r w:rsidR="009F5045">
        <w:rPr>
          <w:rFonts w:ascii="Aptos" w:hAnsi="Aptos"/>
          <w:color w:val="000000" w:themeColor="text1"/>
          <w:sz w:val="25"/>
          <w:szCs w:val="25"/>
        </w:rPr>
        <w:t>a</w:t>
      </w:r>
      <w:r>
        <w:rPr>
          <w:rFonts w:ascii="Aptos" w:hAnsi="Aptos"/>
          <w:color w:val="000000" w:themeColor="text1"/>
          <w:sz w:val="25"/>
          <w:szCs w:val="25"/>
        </w:rPr>
        <w:t xml:space="preserve"> Conference Call</w:t>
      </w:r>
      <w:r w:rsidR="008A4291">
        <w:rPr>
          <w:rFonts w:ascii="Aptos" w:hAnsi="Aptos"/>
          <w:color w:val="000000" w:themeColor="text1"/>
          <w:sz w:val="25"/>
          <w:szCs w:val="25"/>
        </w:rPr>
        <w:t xml:space="preserve"> the previous day,</w:t>
      </w:r>
      <w:r>
        <w:rPr>
          <w:rFonts w:ascii="Aptos" w:hAnsi="Aptos"/>
          <w:color w:val="000000" w:themeColor="text1"/>
          <w:sz w:val="25"/>
          <w:szCs w:val="25"/>
        </w:rPr>
        <w:t xml:space="preserve"> on February 27, 2025, the parties jointly requested an additional postponement of three months to permit them to engage in mediation and otherwise work together toward resolution. </w:t>
      </w:r>
      <w:r w:rsidR="00125561">
        <w:rPr>
          <w:rFonts w:ascii="Aptos" w:hAnsi="Aptos"/>
          <w:color w:val="000000" w:themeColor="text1"/>
          <w:sz w:val="25"/>
          <w:szCs w:val="25"/>
        </w:rPr>
        <w:t xml:space="preserve">In their request, the parties </w:t>
      </w:r>
      <w:r>
        <w:rPr>
          <w:rFonts w:ascii="Aptos" w:hAnsi="Aptos"/>
          <w:color w:val="000000" w:themeColor="text1"/>
          <w:sz w:val="25"/>
          <w:szCs w:val="25"/>
        </w:rPr>
        <w:t xml:space="preserve">noted that the resolution session had been waived, and the District requested oral arguments on its </w:t>
      </w:r>
      <w:r w:rsidR="00125561">
        <w:rPr>
          <w:rFonts w:ascii="Aptos" w:hAnsi="Aptos"/>
          <w:i/>
          <w:iCs/>
          <w:color w:val="000000" w:themeColor="text1"/>
          <w:sz w:val="25"/>
          <w:szCs w:val="25"/>
        </w:rPr>
        <w:t>SJ M</w:t>
      </w:r>
      <w:r>
        <w:rPr>
          <w:rFonts w:ascii="Aptos" w:hAnsi="Aptos"/>
          <w:i/>
          <w:iCs/>
          <w:color w:val="000000" w:themeColor="text1"/>
          <w:sz w:val="25"/>
          <w:szCs w:val="25"/>
        </w:rPr>
        <w:t>otion</w:t>
      </w:r>
      <w:r w:rsidR="00125561">
        <w:rPr>
          <w:rFonts w:ascii="Aptos" w:hAnsi="Aptos"/>
          <w:color w:val="000000" w:themeColor="text1"/>
          <w:sz w:val="25"/>
          <w:szCs w:val="25"/>
        </w:rPr>
        <w:t>.</w:t>
      </w:r>
      <w:r>
        <w:rPr>
          <w:rFonts w:ascii="Aptos" w:hAnsi="Aptos"/>
          <w:color w:val="000000" w:themeColor="text1"/>
          <w:sz w:val="25"/>
          <w:szCs w:val="25"/>
        </w:rPr>
        <w:t xml:space="preserve"> The parties’ request was allowed for good cause</w:t>
      </w:r>
      <w:r w:rsidR="00701A9D">
        <w:rPr>
          <w:rFonts w:ascii="Aptos" w:hAnsi="Aptos"/>
          <w:color w:val="000000" w:themeColor="text1"/>
          <w:sz w:val="25"/>
          <w:szCs w:val="25"/>
        </w:rPr>
        <w:t>,</w:t>
      </w:r>
      <w:r>
        <w:rPr>
          <w:rFonts w:ascii="Aptos" w:hAnsi="Aptos"/>
          <w:color w:val="000000" w:themeColor="text1"/>
          <w:sz w:val="25"/>
          <w:szCs w:val="25"/>
        </w:rPr>
        <w:t xml:space="preserve"> and the Hearing was scheduled for June 12 and 13, 2025. Oral arguments</w:t>
      </w:r>
      <w:r w:rsidR="00917660">
        <w:rPr>
          <w:rFonts w:ascii="Aptos" w:hAnsi="Aptos"/>
          <w:color w:val="000000" w:themeColor="text1"/>
          <w:sz w:val="25"/>
          <w:szCs w:val="25"/>
        </w:rPr>
        <w:t xml:space="preserve"> on the </w:t>
      </w:r>
      <w:r w:rsidR="00917660" w:rsidRPr="008A4291">
        <w:rPr>
          <w:rFonts w:ascii="Aptos" w:hAnsi="Aptos"/>
          <w:i/>
          <w:iCs/>
          <w:color w:val="000000" w:themeColor="text1"/>
          <w:sz w:val="25"/>
          <w:szCs w:val="25"/>
        </w:rPr>
        <w:t>SJ Motion</w:t>
      </w:r>
      <w:r>
        <w:rPr>
          <w:rFonts w:ascii="Aptos" w:hAnsi="Aptos"/>
          <w:color w:val="000000" w:themeColor="text1"/>
          <w:sz w:val="25"/>
          <w:szCs w:val="25"/>
        </w:rPr>
        <w:t xml:space="preserve"> were scheduled for May 1, 2025.</w:t>
      </w:r>
    </w:p>
    <w:p w14:paraId="32A43B13" w14:textId="77777777" w:rsidR="00A51736" w:rsidRDefault="00A51736" w:rsidP="00670957">
      <w:pPr>
        <w:ind w:firstLine="720"/>
        <w:rPr>
          <w:rFonts w:ascii="Aptos" w:hAnsi="Aptos"/>
          <w:color w:val="000000" w:themeColor="text1"/>
          <w:sz w:val="25"/>
          <w:szCs w:val="25"/>
        </w:rPr>
      </w:pPr>
    </w:p>
    <w:p w14:paraId="1205A753" w14:textId="227A0B6D" w:rsidR="002E41DF" w:rsidRDefault="00DC100B" w:rsidP="002E41DF">
      <w:pPr>
        <w:ind w:firstLine="720"/>
        <w:rPr>
          <w:rFonts w:ascii="Aptos" w:hAnsi="Aptos"/>
          <w:color w:val="000000" w:themeColor="text1"/>
          <w:sz w:val="25"/>
          <w:szCs w:val="25"/>
        </w:rPr>
      </w:pPr>
      <w:r>
        <w:rPr>
          <w:rFonts w:ascii="Aptos" w:hAnsi="Aptos"/>
          <w:color w:val="000000" w:themeColor="text1"/>
          <w:sz w:val="25"/>
          <w:szCs w:val="25"/>
        </w:rPr>
        <w:t xml:space="preserve">On or about April 21, 2025, Parents requested that the BSEA issue a subpoena for </w:t>
      </w:r>
      <w:r w:rsidR="00B85091">
        <w:rPr>
          <w:rFonts w:ascii="Aptos" w:hAnsi="Aptos"/>
          <w:color w:val="000000" w:themeColor="text1"/>
          <w:sz w:val="25"/>
          <w:szCs w:val="25"/>
        </w:rPr>
        <w:t>Ms</w:t>
      </w:r>
      <w:r w:rsidR="00FE74ED">
        <w:rPr>
          <w:rFonts w:ascii="Aptos" w:hAnsi="Aptos"/>
          <w:color w:val="000000" w:themeColor="text1"/>
          <w:sz w:val="25"/>
          <w:szCs w:val="25"/>
        </w:rPr>
        <w:t>. Ghiringhelli</w:t>
      </w:r>
      <w:r w:rsidR="00AE6C6B">
        <w:rPr>
          <w:rFonts w:ascii="Aptos" w:hAnsi="Aptos"/>
          <w:color w:val="000000" w:themeColor="text1"/>
          <w:sz w:val="25"/>
          <w:szCs w:val="25"/>
        </w:rPr>
        <w:t xml:space="preserve"> to attend the oral arguments on May 1, 2025.</w:t>
      </w:r>
      <w:r w:rsidR="00AE6C6B">
        <w:rPr>
          <w:rStyle w:val="FootnoteReference"/>
          <w:rFonts w:ascii="Aptos" w:hAnsi="Aptos"/>
          <w:color w:val="000000" w:themeColor="text1"/>
          <w:sz w:val="25"/>
          <w:szCs w:val="25"/>
        </w:rPr>
        <w:footnoteReference w:id="2"/>
      </w:r>
      <w:r w:rsidR="00AE6C6B">
        <w:rPr>
          <w:rFonts w:ascii="Aptos" w:hAnsi="Aptos"/>
          <w:color w:val="000000" w:themeColor="text1"/>
          <w:sz w:val="25"/>
          <w:szCs w:val="25"/>
        </w:rPr>
        <w:t xml:space="preserve"> </w:t>
      </w:r>
      <w:r w:rsidR="008A4291">
        <w:rPr>
          <w:rFonts w:ascii="Aptos" w:hAnsi="Aptos"/>
          <w:color w:val="000000" w:themeColor="text1"/>
          <w:sz w:val="25"/>
          <w:szCs w:val="25"/>
        </w:rPr>
        <w:t>O</w:t>
      </w:r>
      <w:r w:rsidR="00A51736">
        <w:rPr>
          <w:rFonts w:ascii="Aptos" w:hAnsi="Aptos"/>
          <w:color w:val="000000" w:themeColor="text1"/>
          <w:sz w:val="25"/>
          <w:szCs w:val="25"/>
        </w:rPr>
        <w:t>n April 22, 2025, the District filed a status report, explaining that the parties had not resolved the case informally and objecting to Parents’ request for third party testimony</w:t>
      </w:r>
      <w:r w:rsidR="00125561">
        <w:rPr>
          <w:rFonts w:ascii="Aptos" w:hAnsi="Aptos"/>
          <w:color w:val="000000" w:themeColor="text1"/>
          <w:sz w:val="25"/>
          <w:szCs w:val="25"/>
        </w:rPr>
        <w:t xml:space="preserve"> at the </w:t>
      </w:r>
      <w:r w:rsidR="00D44501" w:rsidRPr="008A4291">
        <w:rPr>
          <w:rFonts w:ascii="Aptos" w:hAnsi="Aptos"/>
          <w:i/>
          <w:iCs/>
          <w:color w:val="000000" w:themeColor="text1"/>
          <w:sz w:val="25"/>
          <w:szCs w:val="25"/>
        </w:rPr>
        <w:t>SJ Motion</w:t>
      </w:r>
      <w:r w:rsidR="00D44501">
        <w:rPr>
          <w:rFonts w:ascii="Aptos" w:hAnsi="Aptos"/>
          <w:color w:val="000000" w:themeColor="text1"/>
          <w:sz w:val="25"/>
          <w:szCs w:val="25"/>
        </w:rPr>
        <w:t xml:space="preserve"> </w:t>
      </w:r>
      <w:r w:rsidR="00125561">
        <w:rPr>
          <w:rFonts w:ascii="Aptos" w:hAnsi="Aptos"/>
          <w:color w:val="000000" w:themeColor="text1"/>
          <w:sz w:val="25"/>
          <w:szCs w:val="25"/>
        </w:rPr>
        <w:t>session</w:t>
      </w:r>
      <w:r w:rsidR="00A51736">
        <w:rPr>
          <w:rFonts w:ascii="Aptos" w:hAnsi="Aptos"/>
          <w:color w:val="000000" w:themeColor="text1"/>
          <w:sz w:val="25"/>
          <w:szCs w:val="25"/>
        </w:rPr>
        <w:t>.</w:t>
      </w:r>
      <w:r w:rsidR="002E41DF">
        <w:rPr>
          <w:rFonts w:ascii="Aptos" w:hAnsi="Aptos"/>
          <w:color w:val="000000" w:themeColor="text1"/>
          <w:sz w:val="25"/>
          <w:szCs w:val="25"/>
        </w:rPr>
        <w:t xml:space="preserve"> Parents then sent an email at approximately 12:20 AM on April 24, 2025, addressed to Counsel for the District. Specifically, they wrote:</w:t>
      </w:r>
    </w:p>
    <w:p w14:paraId="1B647A74" w14:textId="77777777" w:rsidR="002E41DF" w:rsidRDefault="002E41DF" w:rsidP="002E41DF">
      <w:pPr>
        <w:ind w:left="720" w:firstLine="720"/>
        <w:rPr>
          <w:rFonts w:ascii="Aptos" w:hAnsi="Aptos"/>
          <w:color w:val="000000" w:themeColor="text1"/>
          <w:sz w:val="25"/>
          <w:szCs w:val="25"/>
        </w:rPr>
      </w:pPr>
    </w:p>
    <w:p w14:paraId="17ADBCD1" w14:textId="738AD2CA" w:rsidR="002E41DF" w:rsidRDefault="002E41DF" w:rsidP="002E41DF">
      <w:pPr>
        <w:ind w:left="1440"/>
        <w:rPr>
          <w:rFonts w:ascii="Aptos" w:hAnsi="Aptos"/>
          <w:color w:val="000000" w:themeColor="text1"/>
          <w:sz w:val="25"/>
          <w:szCs w:val="25"/>
        </w:rPr>
      </w:pPr>
      <w:r>
        <w:rPr>
          <w:rFonts w:ascii="Aptos" w:hAnsi="Aptos"/>
          <w:color w:val="000000" w:themeColor="text1"/>
          <w:sz w:val="25"/>
          <w:szCs w:val="25"/>
        </w:rPr>
        <w:lastRenderedPageBreak/>
        <w:t>“</w:t>
      </w:r>
      <w:r w:rsidRPr="002E41DF">
        <w:rPr>
          <w:rFonts w:ascii="Aptos" w:hAnsi="Aptos"/>
          <w:color w:val="000000" w:themeColor="text1"/>
          <w:sz w:val="25"/>
          <w:szCs w:val="25"/>
        </w:rPr>
        <w:t xml:space="preserve">Ms. </w:t>
      </w:r>
      <w:r w:rsidR="002C533A">
        <w:rPr>
          <w:rFonts w:ascii="Aptos" w:hAnsi="Aptos"/>
          <w:color w:val="000000" w:themeColor="text1"/>
          <w:sz w:val="25"/>
          <w:szCs w:val="25"/>
        </w:rPr>
        <w:t>[]</w:t>
      </w:r>
      <w:r w:rsidRPr="002E41DF">
        <w:rPr>
          <w:rFonts w:ascii="Aptos" w:hAnsi="Aptos"/>
          <w:color w:val="000000" w:themeColor="text1"/>
          <w:sz w:val="25"/>
          <w:szCs w:val="25"/>
        </w:rPr>
        <w:t xml:space="preserve">, the parents are formally requesting the following three Newburyport School District employees be required to attend the upcoming hearing as witnesses to be questioned by the parents in defense against the School Districts Motion for Summary Judgment;  Mr. </w:t>
      </w:r>
      <w:r w:rsidR="00C469DA">
        <w:rPr>
          <w:rFonts w:ascii="Aptos" w:hAnsi="Aptos"/>
          <w:color w:val="000000" w:themeColor="text1"/>
          <w:sz w:val="25"/>
          <w:szCs w:val="25"/>
        </w:rPr>
        <w:t>[]</w:t>
      </w:r>
      <w:r w:rsidR="00C469DA" w:rsidRPr="002E41DF">
        <w:rPr>
          <w:rFonts w:ascii="Aptos" w:hAnsi="Aptos"/>
          <w:color w:val="000000" w:themeColor="text1"/>
          <w:sz w:val="25"/>
          <w:szCs w:val="25"/>
        </w:rPr>
        <w:t xml:space="preserve"> </w:t>
      </w:r>
      <w:r w:rsidRPr="002E41DF">
        <w:rPr>
          <w:rFonts w:ascii="Aptos" w:hAnsi="Aptos"/>
          <w:color w:val="000000" w:themeColor="text1"/>
          <w:sz w:val="25"/>
          <w:szCs w:val="25"/>
        </w:rPr>
        <w:t xml:space="preserve">(Director of Student Services),  Mr. </w:t>
      </w:r>
      <w:r w:rsidR="00C469DA">
        <w:rPr>
          <w:rFonts w:ascii="Aptos" w:hAnsi="Aptos"/>
          <w:color w:val="000000" w:themeColor="text1"/>
          <w:sz w:val="25"/>
          <w:szCs w:val="25"/>
        </w:rPr>
        <w:t>[]</w:t>
      </w:r>
      <w:r w:rsidR="00C469DA" w:rsidRPr="002E41DF">
        <w:rPr>
          <w:rFonts w:ascii="Aptos" w:hAnsi="Aptos"/>
          <w:color w:val="000000" w:themeColor="text1"/>
          <w:sz w:val="25"/>
          <w:szCs w:val="25"/>
        </w:rPr>
        <w:t xml:space="preserve"> </w:t>
      </w:r>
      <w:r w:rsidRPr="002E41DF">
        <w:rPr>
          <w:rFonts w:ascii="Aptos" w:hAnsi="Aptos"/>
          <w:color w:val="000000" w:themeColor="text1"/>
          <w:sz w:val="25"/>
          <w:szCs w:val="25"/>
        </w:rPr>
        <w:t xml:space="preserve">(HS Principal), and Ms. </w:t>
      </w:r>
      <w:r w:rsidR="00C469DA">
        <w:rPr>
          <w:rFonts w:ascii="Aptos" w:hAnsi="Aptos"/>
          <w:color w:val="000000" w:themeColor="text1"/>
          <w:sz w:val="25"/>
          <w:szCs w:val="25"/>
        </w:rPr>
        <w:t>[]</w:t>
      </w:r>
      <w:r w:rsidR="00C469DA" w:rsidRPr="002E41DF">
        <w:rPr>
          <w:rFonts w:ascii="Aptos" w:hAnsi="Aptos"/>
          <w:color w:val="000000" w:themeColor="text1"/>
          <w:sz w:val="25"/>
          <w:szCs w:val="25"/>
        </w:rPr>
        <w:t xml:space="preserve"> </w:t>
      </w:r>
      <w:r w:rsidRPr="002E41DF">
        <w:rPr>
          <w:rFonts w:ascii="Aptos" w:hAnsi="Aptos"/>
          <w:color w:val="000000" w:themeColor="text1"/>
          <w:sz w:val="25"/>
          <w:szCs w:val="25"/>
        </w:rPr>
        <w:t xml:space="preserve">(Director of Student Counseling/ 504 Administrator, Newburyport School District, Low St, Newburyport,  MA).  Please provide an answer of there </w:t>
      </w:r>
      <w:r>
        <w:rPr>
          <w:rFonts w:ascii="Aptos" w:hAnsi="Aptos"/>
          <w:color w:val="000000" w:themeColor="text1"/>
          <w:sz w:val="25"/>
          <w:szCs w:val="25"/>
        </w:rPr>
        <w:t>(</w:t>
      </w:r>
      <w:r>
        <w:rPr>
          <w:rFonts w:ascii="Aptos" w:hAnsi="Aptos"/>
          <w:i/>
          <w:iCs/>
          <w:color w:val="000000" w:themeColor="text1"/>
          <w:sz w:val="25"/>
          <w:szCs w:val="25"/>
        </w:rPr>
        <w:t>sic</w:t>
      </w:r>
      <w:r>
        <w:rPr>
          <w:rFonts w:ascii="Aptos" w:hAnsi="Aptos"/>
          <w:color w:val="000000" w:themeColor="text1"/>
          <w:sz w:val="25"/>
          <w:szCs w:val="25"/>
        </w:rPr>
        <w:t xml:space="preserve">) </w:t>
      </w:r>
      <w:r w:rsidRPr="002E41DF">
        <w:rPr>
          <w:rFonts w:ascii="Aptos" w:hAnsi="Aptos"/>
          <w:color w:val="000000" w:themeColor="text1"/>
          <w:sz w:val="25"/>
          <w:szCs w:val="25"/>
        </w:rPr>
        <w:t>availability for questioning at this upcoming hearing by the end of business Thursday April 24th.</w:t>
      </w:r>
      <w:r>
        <w:rPr>
          <w:rFonts w:ascii="Aptos" w:hAnsi="Aptos"/>
          <w:color w:val="000000" w:themeColor="text1"/>
          <w:sz w:val="25"/>
          <w:szCs w:val="25"/>
        </w:rPr>
        <w:t>”</w:t>
      </w:r>
      <w:r w:rsidRPr="002E41DF">
        <w:rPr>
          <w:rFonts w:ascii="Aptos" w:hAnsi="Aptos"/>
          <w:color w:val="000000" w:themeColor="text1"/>
          <w:sz w:val="25"/>
          <w:szCs w:val="25"/>
        </w:rPr>
        <w:t> </w:t>
      </w:r>
    </w:p>
    <w:p w14:paraId="3D4B0AD2" w14:textId="77777777" w:rsidR="002E41DF" w:rsidRDefault="002E41DF" w:rsidP="002E41DF">
      <w:pPr>
        <w:rPr>
          <w:rFonts w:ascii="Aptos" w:hAnsi="Aptos"/>
          <w:color w:val="000000" w:themeColor="text1"/>
          <w:sz w:val="25"/>
          <w:szCs w:val="25"/>
        </w:rPr>
      </w:pPr>
    </w:p>
    <w:p w14:paraId="77AE1C7B" w14:textId="3FFB251F" w:rsidR="00670957" w:rsidRPr="00F47331" w:rsidRDefault="002E41DF" w:rsidP="005A1900">
      <w:pPr>
        <w:rPr>
          <w:rFonts w:ascii="Aptos" w:hAnsi="Aptos"/>
          <w:color w:val="000000" w:themeColor="text1"/>
          <w:sz w:val="25"/>
          <w:szCs w:val="25"/>
        </w:rPr>
      </w:pPr>
      <w:r>
        <w:rPr>
          <w:rFonts w:ascii="Aptos" w:hAnsi="Aptos"/>
          <w:color w:val="000000" w:themeColor="text1"/>
          <w:sz w:val="25"/>
          <w:szCs w:val="25"/>
        </w:rPr>
        <w:tab/>
        <w:t xml:space="preserve">Later that day, </w:t>
      </w:r>
      <w:r w:rsidR="005A1900">
        <w:rPr>
          <w:rFonts w:ascii="Aptos" w:hAnsi="Aptos"/>
          <w:color w:val="000000" w:themeColor="text1"/>
          <w:sz w:val="25"/>
          <w:szCs w:val="25"/>
        </w:rPr>
        <w:t xml:space="preserve">Parents sent a second email requesting that the BSEA send subpoenas to the three individuals listed above, in addition to </w:t>
      </w:r>
      <w:r w:rsidR="00322794">
        <w:rPr>
          <w:rFonts w:ascii="Aptos" w:hAnsi="Aptos"/>
          <w:color w:val="000000" w:themeColor="text1"/>
          <w:sz w:val="25"/>
          <w:szCs w:val="25"/>
        </w:rPr>
        <w:t xml:space="preserve">a named </w:t>
      </w:r>
      <w:r w:rsidR="005A1900">
        <w:rPr>
          <w:rFonts w:ascii="Aptos" w:hAnsi="Aptos"/>
          <w:color w:val="000000" w:themeColor="text1"/>
          <w:sz w:val="25"/>
          <w:szCs w:val="25"/>
        </w:rPr>
        <w:t xml:space="preserve">Newburyport reading teacher. These </w:t>
      </w:r>
      <w:r w:rsidR="00B24160">
        <w:rPr>
          <w:rFonts w:ascii="Aptos" w:hAnsi="Aptos"/>
          <w:color w:val="000000" w:themeColor="text1"/>
          <w:sz w:val="25"/>
          <w:szCs w:val="25"/>
        </w:rPr>
        <w:t>subpoenas</w:t>
      </w:r>
      <w:r w:rsidR="005A1900">
        <w:rPr>
          <w:rFonts w:ascii="Aptos" w:hAnsi="Aptos"/>
          <w:color w:val="000000" w:themeColor="text1"/>
          <w:sz w:val="25"/>
          <w:szCs w:val="25"/>
        </w:rPr>
        <w:t xml:space="preserve"> </w:t>
      </w:r>
      <w:r w:rsidR="00B24160">
        <w:rPr>
          <w:rFonts w:ascii="Aptos" w:hAnsi="Aptos"/>
          <w:color w:val="000000" w:themeColor="text1"/>
          <w:sz w:val="25"/>
          <w:szCs w:val="25"/>
        </w:rPr>
        <w:t xml:space="preserve">issued on April 24, 2025. On April 28, 2025, the District filed the instant </w:t>
      </w:r>
      <w:r w:rsidR="00B24160">
        <w:rPr>
          <w:rFonts w:ascii="Aptos" w:hAnsi="Aptos"/>
          <w:i/>
          <w:iCs/>
          <w:color w:val="000000" w:themeColor="text1"/>
          <w:sz w:val="25"/>
          <w:szCs w:val="25"/>
        </w:rPr>
        <w:t>Motion to Quash</w:t>
      </w:r>
      <w:r w:rsidR="00B24160">
        <w:rPr>
          <w:rFonts w:ascii="Aptos" w:hAnsi="Aptos"/>
          <w:color w:val="000000" w:themeColor="text1"/>
          <w:sz w:val="25"/>
          <w:szCs w:val="25"/>
        </w:rPr>
        <w:t xml:space="preserve">, asserting that </w:t>
      </w:r>
      <w:r w:rsidR="00AE6C6B">
        <w:rPr>
          <w:rFonts w:ascii="Aptos" w:hAnsi="Aptos"/>
          <w:color w:val="000000" w:themeColor="text1"/>
          <w:sz w:val="25"/>
          <w:szCs w:val="25"/>
        </w:rPr>
        <w:t xml:space="preserve">because the proceeding scheduled for May 1, 2025 </w:t>
      </w:r>
      <w:r w:rsidR="0033590E">
        <w:rPr>
          <w:rFonts w:ascii="Aptos" w:hAnsi="Aptos"/>
          <w:color w:val="000000" w:themeColor="text1"/>
          <w:sz w:val="25"/>
          <w:szCs w:val="25"/>
        </w:rPr>
        <w:t>would consist of oral arguments as to whether summary judgment should be allowed as a matter o</w:t>
      </w:r>
      <w:r w:rsidR="00B85091">
        <w:rPr>
          <w:rFonts w:ascii="Aptos" w:hAnsi="Aptos"/>
          <w:color w:val="000000" w:themeColor="text1"/>
          <w:sz w:val="25"/>
          <w:szCs w:val="25"/>
        </w:rPr>
        <w:t>f</w:t>
      </w:r>
      <w:r w:rsidR="0033590E">
        <w:rPr>
          <w:rFonts w:ascii="Aptos" w:hAnsi="Aptos"/>
          <w:color w:val="000000" w:themeColor="text1"/>
          <w:sz w:val="25"/>
          <w:szCs w:val="25"/>
        </w:rPr>
        <w:t xml:space="preserve"> law,</w:t>
      </w:r>
      <w:r w:rsidR="00AE6C6B">
        <w:rPr>
          <w:rFonts w:ascii="Aptos" w:hAnsi="Aptos"/>
          <w:color w:val="000000" w:themeColor="text1"/>
          <w:sz w:val="25"/>
          <w:szCs w:val="25"/>
        </w:rPr>
        <w:t xml:space="preserve"> </w:t>
      </w:r>
      <w:r w:rsidR="006F384F">
        <w:rPr>
          <w:rFonts w:ascii="Aptos" w:hAnsi="Aptos"/>
          <w:color w:val="000000" w:themeColor="text1"/>
          <w:sz w:val="25"/>
          <w:szCs w:val="25"/>
        </w:rPr>
        <w:t xml:space="preserve">and </w:t>
      </w:r>
      <w:r w:rsidR="002B3754">
        <w:rPr>
          <w:rFonts w:ascii="Aptos" w:hAnsi="Aptos"/>
          <w:color w:val="000000" w:themeColor="text1"/>
          <w:sz w:val="25"/>
          <w:szCs w:val="25"/>
        </w:rPr>
        <w:t>would not be</w:t>
      </w:r>
      <w:r w:rsidR="00AE6C6B">
        <w:rPr>
          <w:rFonts w:ascii="Aptos" w:hAnsi="Aptos"/>
          <w:color w:val="000000" w:themeColor="text1"/>
          <w:sz w:val="25"/>
          <w:szCs w:val="25"/>
        </w:rPr>
        <w:t xml:space="preserve"> an evidentiary hearing on Parents’ claims, witness testimony</w:t>
      </w:r>
      <w:r w:rsidR="0033590E">
        <w:rPr>
          <w:rFonts w:ascii="Aptos" w:hAnsi="Aptos"/>
          <w:color w:val="000000" w:themeColor="text1"/>
          <w:sz w:val="25"/>
          <w:szCs w:val="25"/>
        </w:rPr>
        <w:t xml:space="preserve"> regarding matters outside the “four corners” of the fully executed Settlement Agreement</w:t>
      </w:r>
      <w:r w:rsidR="00AE6C6B">
        <w:rPr>
          <w:rFonts w:ascii="Aptos" w:hAnsi="Aptos"/>
          <w:color w:val="000000" w:themeColor="text1"/>
          <w:sz w:val="25"/>
          <w:szCs w:val="25"/>
        </w:rPr>
        <w:t xml:space="preserve"> would be irrelevant and </w:t>
      </w:r>
      <w:r w:rsidR="006F384F">
        <w:rPr>
          <w:rFonts w:ascii="Aptos" w:hAnsi="Aptos"/>
          <w:color w:val="000000" w:themeColor="text1"/>
          <w:sz w:val="25"/>
          <w:szCs w:val="25"/>
        </w:rPr>
        <w:t xml:space="preserve">render the motion session </w:t>
      </w:r>
      <w:r w:rsidR="00AE6C6B">
        <w:rPr>
          <w:rFonts w:ascii="Aptos" w:hAnsi="Aptos"/>
          <w:color w:val="000000" w:themeColor="text1"/>
          <w:sz w:val="25"/>
          <w:szCs w:val="25"/>
        </w:rPr>
        <w:t xml:space="preserve">inefficient. </w:t>
      </w:r>
      <w:r w:rsidR="0033590E">
        <w:rPr>
          <w:rFonts w:ascii="Aptos" w:hAnsi="Aptos"/>
          <w:color w:val="000000" w:themeColor="text1"/>
          <w:sz w:val="25"/>
          <w:szCs w:val="25"/>
        </w:rPr>
        <w:t>Parents responded informally, arguing that they have the “right to provide evidence regarding the language, meetings, and understandings documented between the parties leading up to, and during, the course of the Settlement Agreement,” and that Student</w:t>
      </w:r>
      <w:r w:rsidR="00286CEB">
        <w:rPr>
          <w:rFonts w:ascii="Aptos" w:hAnsi="Aptos"/>
          <w:color w:val="000000" w:themeColor="text1"/>
          <w:sz w:val="25"/>
          <w:szCs w:val="25"/>
        </w:rPr>
        <w:t>’</w:t>
      </w:r>
      <w:r w:rsidR="0033590E">
        <w:rPr>
          <w:rFonts w:ascii="Aptos" w:hAnsi="Aptos"/>
          <w:color w:val="000000" w:themeColor="text1"/>
          <w:sz w:val="25"/>
          <w:szCs w:val="25"/>
        </w:rPr>
        <w:t xml:space="preserve">s needs “factor into the appropriateness of” the Settlement Agreement. </w:t>
      </w:r>
      <w:r w:rsidR="00286CEB">
        <w:rPr>
          <w:rFonts w:ascii="Aptos" w:hAnsi="Aptos"/>
          <w:color w:val="000000" w:themeColor="text1"/>
          <w:sz w:val="25"/>
          <w:szCs w:val="25"/>
        </w:rPr>
        <w:t>On April 30, 2025,</w:t>
      </w:r>
      <w:r w:rsidR="0080016A">
        <w:rPr>
          <w:rFonts w:ascii="Aptos" w:hAnsi="Aptos"/>
          <w:color w:val="000000" w:themeColor="text1"/>
          <w:sz w:val="25"/>
          <w:szCs w:val="25"/>
        </w:rPr>
        <w:t xml:space="preserve"> </w:t>
      </w:r>
      <w:r w:rsidR="00B85091">
        <w:rPr>
          <w:rFonts w:ascii="Aptos" w:hAnsi="Aptos"/>
          <w:color w:val="000000" w:themeColor="text1"/>
          <w:sz w:val="25"/>
          <w:szCs w:val="25"/>
        </w:rPr>
        <w:t>Ms</w:t>
      </w:r>
      <w:r w:rsidR="00FE74ED">
        <w:rPr>
          <w:rFonts w:ascii="Aptos" w:hAnsi="Aptos"/>
          <w:color w:val="000000" w:themeColor="text1"/>
          <w:sz w:val="25"/>
          <w:szCs w:val="25"/>
        </w:rPr>
        <w:t xml:space="preserve">. </w:t>
      </w:r>
      <w:proofErr w:type="spellStart"/>
      <w:r w:rsidR="00FE74ED">
        <w:rPr>
          <w:rFonts w:ascii="Aptos" w:hAnsi="Aptos"/>
          <w:color w:val="000000" w:themeColor="text1"/>
          <w:sz w:val="25"/>
          <w:szCs w:val="25"/>
        </w:rPr>
        <w:t>Ghiringelli</w:t>
      </w:r>
      <w:proofErr w:type="spellEnd"/>
      <w:r w:rsidR="0080016A">
        <w:rPr>
          <w:rFonts w:ascii="Aptos" w:hAnsi="Aptos"/>
          <w:color w:val="000000" w:themeColor="text1"/>
          <w:sz w:val="25"/>
          <w:szCs w:val="25"/>
        </w:rPr>
        <w:t xml:space="preserve"> </w:t>
      </w:r>
      <w:r w:rsidR="00286CEB">
        <w:rPr>
          <w:rFonts w:ascii="Aptos" w:hAnsi="Aptos"/>
          <w:color w:val="000000" w:themeColor="text1"/>
          <w:sz w:val="25"/>
          <w:szCs w:val="25"/>
        </w:rPr>
        <w:t xml:space="preserve">sent an email to the Hearing Officer and the parties, </w:t>
      </w:r>
      <w:r w:rsidR="0080016A">
        <w:rPr>
          <w:rFonts w:ascii="Aptos" w:hAnsi="Aptos"/>
          <w:color w:val="000000" w:themeColor="text1"/>
          <w:sz w:val="25"/>
          <w:szCs w:val="25"/>
        </w:rPr>
        <w:t>explaining that she would not appear</w:t>
      </w:r>
      <w:r w:rsidR="00286CEB">
        <w:rPr>
          <w:rFonts w:ascii="Aptos" w:hAnsi="Aptos"/>
          <w:color w:val="000000" w:themeColor="text1"/>
          <w:sz w:val="25"/>
          <w:szCs w:val="25"/>
        </w:rPr>
        <w:t xml:space="preserve"> for the motion session “</w:t>
      </w:r>
      <w:r w:rsidR="00286CEB" w:rsidRPr="00286CEB">
        <w:rPr>
          <w:rFonts w:ascii="Aptos" w:hAnsi="Aptos"/>
          <w:color w:val="000000" w:themeColor="text1"/>
          <w:sz w:val="25"/>
          <w:szCs w:val="25"/>
        </w:rPr>
        <w:t>given that the purpose of the meeting is to discuss the settlement agreement</w:t>
      </w:r>
      <w:r w:rsidR="0080016A">
        <w:rPr>
          <w:rFonts w:ascii="Aptos" w:hAnsi="Aptos"/>
          <w:color w:val="000000" w:themeColor="text1"/>
          <w:sz w:val="25"/>
          <w:szCs w:val="25"/>
        </w:rPr>
        <w:t>.</w:t>
      </w:r>
      <w:r w:rsidR="00286CEB">
        <w:rPr>
          <w:rFonts w:ascii="Aptos" w:hAnsi="Aptos"/>
          <w:color w:val="000000" w:themeColor="text1"/>
          <w:sz w:val="25"/>
          <w:szCs w:val="25"/>
        </w:rPr>
        <w:t>” None of the District staff members for whom Parents had requested subpoenas appeared at the motion session.</w:t>
      </w:r>
      <w:r w:rsidR="0080016A">
        <w:rPr>
          <w:rFonts w:ascii="Aptos" w:hAnsi="Aptos"/>
          <w:color w:val="000000" w:themeColor="text1"/>
          <w:sz w:val="25"/>
          <w:szCs w:val="25"/>
        </w:rPr>
        <w:t xml:space="preserve"> </w:t>
      </w:r>
      <w:r w:rsidR="00EA54B3">
        <w:rPr>
          <w:rFonts w:ascii="Aptos" w:hAnsi="Aptos"/>
          <w:color w:val="000000" w:themeColor="text1"/>
          <w:sz w:val="25"/>
          <w:szCs w:val="25"/>
        </w:rPr>
        <w:t>With the Hearing Officer’s permission,</w:t>
      </w:r>
      <w:r w:rsidR="0094419B">
        <w:rPr>
          <w:rFonts w:ascii="Aptos" w:hAnsi="Aptos"/>
          <w:color w:val="000000" w:themeColor="text1"/>
          <w:sz w:val="25"/>
          <w:szCs w:val="25"/>
        </w:rPr>
        <w:t xml:space="preserve"> </w:t>
      </w:r>
      <w:r w:rsidR="00EA54B3" w:rsidRPr="0094419B">
        <w:rPr>
          <w:rFonts w:ascii="Aptos" w:hAnsi="Aptos"/>
          <w:color w:val="000000" w:themeColor="text1"/>
          <w:sz w:val="25"/>
          <w:szCs w:val="25"/>
        </w:rPr>
        <w:t>o</w:t>
      </w:r>
      <w:r w:rsidR="0094419B" w:rsidRPr="0094419B">
        <w:rPr>
          <w:rFonts w:ascii="Aptos" w:hAnsi="Aptos"/>
          <w:color w:val="000000" w:themeColor="text1"/>
          <w:sz w:val="25"/>
          <w:szCs w:val="25"/>
        </w:rPr>
        <w:t>n May 5, 2025</w:t>
      </w:r>
      <w:r w:rsidR="00B24160">
        <w:rPr>
          <w:rFonts w:ascii="Aptos" w:hAnsi="Aptos"/>
          <w:color w:val="000000" w:themeColor="text1"/>
          <w:sz w:val="25"/>
          <w:szCs w:val="25"/>
        </w:rPr>
        <w:t>,</w:t>
      </w:r>
      <w:r w:rsidR="0033590E">
        <w:rPr>
          <w:rStyle w:val="FootnoteReference"/>
          <w:rFonts w:ascii="Aptos" w:hAnsi="Aptos"/>
          <w:color w:val="000000" w:themeColor="text1"/>
          <w:sz w:val="25"/>
          <w:szCs w:val="25"/>
        </w:rPr>
        <w:footnoteReference w:id="3"/>
      </w:r>
      <w:r w:rsidR="00D935D9">
        <w:rPr>
          <w:rFonts w:ascii="Aptos" w:hAnsi="Aptos"/>
          <w:color w:val="000000" w:themeColor="text1"/>
          <w:sz w:val="25"/>
          <w:szCs w:val="25"/>
        </w:rPr>
        <w:t xml:space="preserve"> </w:t>
      </w:r>
      <w:r w:rsidR="00B24160">
        <w:rPr>
          <w:rFonts w:ascii="Aptos" w:hAnsi="Aptos"/>
          <w:color w:val="000000" w:themeColor="text1"/>
          <w:sz w:val="25"/>
          <w:szCs w:val="25"/>
        </w:rPr>
        <w:t>Parents filed</w:t>
      </w:r>
      <w:r w:rsidR="00D935D9">
        <w:rPr>
          <w:rFonts w:ascii="Aptos" w:hAnsi="Aptos"/>
          <w:color w:val="000000" w:themeColor="text1"/>
          <w:sz w:val="25"/>
          <w:szCs w:val="25"/>
        </w:rPr>
        <w:t xml:space="preserve"> their </w:t>
      </w:r>
      <w:r w:rsidR="00D935D9">
        <w:rPr>
          <w:rFonts w:ascii="Aptos" w:hAnsi="Aptos"/>
          <w:i/>
          <w:iCs/>
          <w:color w:val="000000" w:themeColor="text1"/>
          <w:sz w:val="25"/>
          <w:szCs w:val="25"/>
        </w:rPr>
        <w:t xml:space="preserve">Opposition to the Newburyport Public Schools’ Motion to Quash Subpoenas and Opposition to the Objection to Witness Testimony on District’s Motion for Summary Judgment </w:t>
      </w:r>
      <w:r w:rsidR="00D935D9">
        <w:rPr>
          <w:rFonts w:ascii="Aptos" w:hAnsi="Aptos"/>
          <w:color w:val="000000" w:themeColor="text1"/>
          <w:sz w:val="25"/>
          <w:szCs w:val="25"/>
        </w:rPr>
        <w:t>(</w:t>
      </w:r>
      <w:r w:rsidR="00D935D9">
        <w:rPr>
          <w:rFonts w:ascii="Aptos" w:hAnsi="Aptos"/>
          <w:i/>
          <w:iCs/>
          <w:color w:val="000000" w:themeColor="text1"/>
          <w:sz w:val="25"/>
          <w:szCs w:val="25"/>
        </w:rPr>
        <w:t>Opposition</w:t>
      </w:r>
      <w:r w:rsidR="00125561">
        <w:rPr>
          <w:rFonts w:ascii="Aptos" w:hAnsi="Aptos"/>
          <w:i/>
          <w:iCs/>
          <w:color w:val="000000" w:themeColor="text1"/>
          <w:sz w:val="25"/>
          <w:szCs w:val="25"/>
        </w:rPr>
        <w:t xml:space="preserve"> to Motion to Quash</w:t>
      </w:r>
      <w:r w:rsidR="00D935D9">
        <w:rPr>
          <w:rFonts w:ascii="Aptos" w:hAnsi="Aptos"/>
          <w:color w:val="000000" w:themeColor="text1"/>
          <w:sz w:val="25"/>
          <w:szCs w:val="25"/>
        </w:rPr>
        <w:t>)</w:t>
      </w:r>
      <w:r w:rsidR="00286CEB">
        <w:rPr>
          <w:rFonts w:ascii="Aptos" w:hAnsi="Aptos"/>
          <w:color w:val="000000" w:themeColor="text1"/>
          <w:sz w:val="25"/>
          <w:szCs w:val="25"/>
        </w:rPr>
        <w:t>, accompanied by documents labeled P-J through P-S</w:t>
      </w:r>
      <w:r w:rsidR="0080016A">
        <w:rPr>
          <w:rFonts w:ascii="Aptos" w:hAnsi="Aptos"/>
          <w:color w:val="000000" w:themeColor="text1"/>
          <w:sz w:val="25"/>
          <w:szCs w:val="25"/>
        </w:rPr>
        <w:t xml:space="preserve">. </w:t>
      </w:r>
      <w:r w:rsidR="00125561">
        <w:rPr>
          <w:rFonts w:ascii="Aptos" w:hAnsi="Aptos"/>
          <w:color w:val="000000" w:themeColor="text1"/>
          <w:sz w:val="25"/>
          <w:szCs w:val="25"/>
        </w:rPr>
        <w:t>Parents</w:t>
      </w:r>
      <w:r w:rsidR="0080016A">
        <w:rPr>
          <w:rFonts w:ascii="Aptos" w:hAnsi="Aptos"/>
          <w:color w:val="000000" w:themeColor="text1"/>
          <w:sz w:val="25"/>
          <w:szCs w:val="25"/>
        </w:rPr>
        <w:t xml:space="preserve"> assert that the </w:t>
      </w:r>
      <w:r w:rsidR="00125561">
        <w:rPr>
          <w:rFonts w:ascii="Aptos" w:hAnsi="Aptos"/>
          <w:color w:val="000000" w:themeColor="text1"/>
          <w:sz w:val="25"/>
          <w:szCs w:val="25"/>
        </w:rPr>
        <w:t>Newburyport</w:t>
      </w:r>
      <w:r w:rsidR="0080016A">
        <w:rPr>
          <w:rFonts w:ascii="Aptos" w:hAnsi="Aptos"/>
          <w:color w:val="000000" w:themeColor="text1"/>
          <w:sz w:val="25"/>
          <w:szCs w:val="25"/>
        </w:rPr>
        <w:t xml:space="preserve"> personnel for whom they requested </w:t>
      </w:r>
      <w:r w:rsidR="0080016A">
        <w:rPr>
          <w:rFonts w:ascii="Aptos" w:hAnsi="Aptos"/>
          <w:color w:val="000000" w:themeColor="text1"/>
          <w:sz w:val="25"/>
          <w:szCs w:val="25"/>
        </w:rPr>
        <w:lastRenderedPageBreak/>
        <w:t xml:space="preserve">subpoenas had participated in correspondence, meetings, or discussions regarding Student and could testify regarding a material change in circumstances altering his profile, as well as </w:t>
      </w:r>
      <w:r w:rsidR="005A51FC">
        <w:rPr>
          <w:rFonts w:ascii="Aptos" w:hAnsi="Aptos"/>
          <w:color w:val="000000" w:themeColor="text1"/>
          <w:sz w:val="25"/>
          <w:szCs w:val="25"/>
        </w:rPr>
        <w:t xml:space="preserve">to </w:t>
      </w:r>
      <w:r w:rsidR="0080016A">
        <w:rPr>
          <w:rFonts w:ascii="Aptos" w:hAnsi="Aptos"/>
          <w:color w:val="000000" w:themeColor="text1"/>
          <w:sz w:val="25"/>
          <w:szCs w:val="25"/>
        </w:rPr>
        <w:t xml:space="preserve">modifications the District had proposed to the Settlement Agreement. </w:t>
      </w:r>
      <w:r w:rsidR="00286CEB">
        <w:rPr>
          <w:rFonts w:ascii="Aptos" w:hAnsi="Aptos"/>
          <w:color w:val="000000" w:themeColor="text1"/>
          <w:sz w:val="25"/>
          <w:szCs w:val="25"/>
        </w:rPr>
        <w:t xml:space="preserve">The remainder of Parents’ arguments regarding the </w:t>
      </w:r>
      <w:r w:rsidR="00286CEB">
        <w:rPr>
          <w:rFonts w:ascii="Aptos" w:hAnsi="Aptos"/>
          <w:i/>
          <w:iCs/>
          <w:color w:val="000000" w:themeColor="text1"/>
          <w:sz w:val="25"/>
          <w:szCs w:val="25"/>
        </w:rPr>
        <w:t>Motion to Quash</w:t>
      </w:r>
      <w:r w:rsidR="00286CEB">
        <w:rPr>
          <w:rFonts w:ascii="Aptos" w:hAnsi="Aptos"/>
          <w:color w:val="000000" w:themeColor="text1"/>
          <w:sz w:val="25"/>
          <w:szCs w:val="25"/>
        </w:rPr>
        <w:t>, as well as the Exhibits, pertain to emails between Parents and Newburyport staff between January 6 and April 14, 2025 regarding a possible amendment or addendum to the Settlement Agreement.</w:t>
      </w:r>
      <w:r w:rsidR="001D4898">
        <w:rPr>
          <w:rFonts w:ascii="Aptos" w:hAnsi="Aptos"/>
          <w:color w:val="000000" w:themeColor="text1"/>
          <w:sz w:val="25"/>
          <w:szCs w:val="25"/>
        </w:rPr>
        <w:t xml:space="preserve"> </w:t>
      </w:r>
    </w:p>
    <w:p w14:paraId="1CA793F9" w14:textId="71643FBC" w:rsidR="00FA5F6E" w:rsidRPr="00F47331" w:rsidRDefault="00FA5F6E" w:rsidP="006C1411">
      <w:pPr>
        <w:ind w:firstLine="720"/>
        <w:rPr>
          <w:rFonts w:ascii="Aptos" w:hAnsi="Aptos"/>
          <w:sz w:val="25"/>
          <w:szCs w:val="25"/>
        </w:rPr>
      </w:pPr>
    </w:p>
    <w:p w14:paraId="347E8046" w14:textId="2263A9CD" w:rsidR="00ED4F9D" w:rsidRPr="005A1900" w:rsidRDefault="00ED4F9D" w:rsidP="00243554">
      <w:pPr>
        <w:ind w:firstLine="720"/>
        <w:rPr>
          <w:rFonts w:ascii="Aptos" w:hAnsi="Aptos"/>
          <w:color w:val="000000" w:themeColor="text1"/>
          <w:sz w:val="25"/>
          <w:szCs w:val="25"/>
        </w:rPr>
      </w:pPr>
      <w:r w:rsidRPr="00F47331">
        <w:rPr>
          <w:rFonts w:ascii="Aptos" w:hAnsi="Aptos"/>
          <w:color w:val="000000" w:themeColor="text1"/>
          <w:sz w:val="25"/>
          <w:szCs w:val="25"/>
        </w:rPr>
        <w:t xml:space="preserve">For the reasons set forth below, </w:t>
      </w:r>
      <w:r w:rsidR="005A1900">
        <w:rPr>
          <w:rFonts w:ascii="Aptos" w:hAnsi="Aptos"/>
          <w:color w:val="000000" w:themeColor="text1"/>
          <w:sz w:val="25"/>
          <w:szCs w:val="25"/>
        </w:rPr>
        <w:t xml:space="preserve">Newburyport’s </w:t>
      </w:r>
      <w:r w:rsidR="005A1900">
        <w:rPr>
          <w:rFonts w:ascii="Aptos" w:hAnsi="Aptos"/>
          <w:i/>
          <w:iCs/>
          <w:color w:val="000000" w:themeColor="text1"/>
          <w:sz w:val="25"/>
          <w:szCs w:val="25"/>
        </w:rPr>
        <w:t xml:space="preserve">Motion to Quash </w:t>
      </w:r>
      <w:r w:rsidR="005A1900">
        <w:rPr>
          <w:rFonts w:ascii="Aptos" w:hAnsi="Aptos"/>
          <w:color w:val="000000" w:themeColor="text1"/>
          <w:sz w:val="25"/>
          <w:szCs w:val="25"/>
        </w:rPr>
        <w:t xml:space="preserve">and </w:t>
      </w:r>
      <w:r w:rsidR="005A1900">
        <w:rPr>
          <w:rFonts w:ascii="Aptos" w:hAnsi="Aptos"/>
          <w:i/>
          <w:iCs/>
          <w:color w:val="000000" w:themeColor="text1"/>
          <w:sz w:val="25"/>
          <w:szCs w:val="25"/>
        </w:rPr>
        <w:t xml:space="preserve">Motion for Summary Judgment </w:t>
      </w:r>
      <w:r w:rsidR="005A1900">
        <w:rPr>
          <w:rFonts w:ascii="Aptos" w:hAnsi="Aptos"/>
          <w:color w:val="000000" w:themeColor="text1"/>
          <w:sz w:val="25"/>
          <w:szCs w:val="25"/>
        </w:rPr>
        <w:t>are both ALLOWED.</w:t>
      </w:r>
    </w:p>
    <w:p w14:paraId="0503871B" w14:textId="04FB350D" w:rsidR="00ED4F9D" w:rsidRPr="00F47331" w:rsidRDefault="00ED4F9D" w:rsidP="00ED4F9D">
      <w:pPr>
        <w:rPr>
          <w:rFonts w:ascii="Aptos" w:hAnsi="Aptos"/>
          <w:color w:val="000000" w:themeColor="text1"/>
          <w:sz w:val="25"/>
          <w:szCs w:val="25"/>
        </w:rPr>
      </w:pPr>
    </w:p>
    <w:p w14:paraId="7362C1E4" w14:textId="5AF4B17C" w:rsidR="00ED4F9D" w:rsidRPr="00F47331" w:rsidRDefault="004D0734" w:rsidP="00ED4F9D">
      <w:pPr>
        <w:rPr>
          <w:rFonts w:ascii="Aptos" w:hAnsi="Aptos"/>
          <w:b/>
          <w:bCs/>
          <w:color w:val="000000" w:themeColor="text1"/>
          <w:sz w:val="25"/>
          <w:szCs w:val="25"/>
        </w:rPr>
      </w:pPr>
      <w:r w:rsidRPr="00F47331">
        <w:rPr>
          <w:rFonts w:ascii="Aptos" w:hAnsi="Aptos"/>
          <w:b/>
          <w:bCs/>
          <w:color w:val="000000" w:themeColor="text1"/>
          <w:sz w:val="25"/>
          <w:szCs w:val="25"/>
        </w:rPr>
        <w:t>FACTUAL BACKGROUND</w:t>
      </w:r>
    </w:p>
    <w:p w14:paraId="2EB532AD" w14:textId="77777777" w:rsidR="00ED4F9D" w:rsidRPr="00F47331" w:rsidRDefault="00ED4F9D" w:rsidP="00ED4F9D">
      <w:pPr>
        <w:rPr>
          <w:rFonts w:ascii="Aptos" w:hAnsi="Aptos"/>
          <w:color w:val="000000" w:themeColor="text1"/>
          <w:sz w:val="25"/>
          <w:szCs w:val="25"/>
        </w:rPr>
      </w:pPr>
    </w:p>
    <w:p w14:paraId="7F16EAE9" w14:textId="6926689D" w:rsidR="00AD0B3D" w:rsidRPr="00F47331" w:rsidRDefault="00243554" w:rsidP="00B91BD6">
      <w:pPr>
        <w:autoSpaceDE w:val="0"/>
        <w:autoSpaceDN w:val="0"/>
        <w:adjustRightInd w:val="0"/>
        <w:spacing w:after="120"/>
        <w:ind w:firstLine="360"/>
        <w:rPr>
          <w:rFonts w:ascii="Aptos" w:hAnsi="Aptos"/>
          <w:i/>
          <w:iCs/>
          <w:color w:val="000000" w:themeColor="text1"/>
          <w:sz w:val="25"/>
          <w:szCs w:val="25"/>
          <w:bdr w:val="none" w:sz="0" w:space="0" w:color="auto" w:frame="1"/>
        </w:rPr>
      </w:pPr>
      <w:r w:rsidRPr="00F47331">
        <w:rPr>
          <w:rFonts w:ascii="Aptos" w:hAnsi="Aptos"/>
          <w:color w:val="000000" w:themeColor="text1"/>
          <w:sz w:val="25"/>
          <w:szCs w:val="25"/>
          <w:shd w:val="clear" w:color="auto" w:fill="FFFFFF"/>
        </w:rPr>
        <w:t>The following facts</w:t>
      </w:r>
      <w:r w:rsidR="00ED4F9D" w:rsidRPr="00F47331">
        <w:rPr>
          <w:rFonts w:ascii="Aptos" w:hAnsi="Aptos"/>
          <w:color w:val="000000" w:themeColor="text1"/>
          <w:sz w:val="25"/>
          <w:szCs w:val="25"/>
          <w:shd w:val="clear" w:color="auto" w:fill="FFFFFF"/>
        </w:rPr>
        <w:t xml:space="preserve"> are derived from the </w:t>
      </w:r>
      <w:r w:rsidR="00580EA7" w:rsidRPr="00F47331">
        <w:rPr>
          <w:rFonts w:ascii="Aptos" w:hAnsi="Aptos"/>
          <w:color w:val="000000" w:themeColor="text1"/>
          <w:sz w:val="25"/>
          <w:szCs w:val="25"/>
          <w:shd w:val="clear" w:color="auto" w:fill="FFFFFF"/>
        </w:rPr>
        <w:t>pleadings and exhibits</w:t>
      </w:r>
      <w:r w:rsidRPr="00F47331">
        <w:rPr>
          <w:rFonts w:ascii="Aptos" w:hAnsi="Aptos"/>
          <w:color w:val="000000" w:themeColor="text1"/>
          <w:sz w:val="25"/>
          <w:szCs w:val="25"/>
          <w:shd w:val="clear" w:color="auto" w:fill="FFFFFF"/>
        </w:rPr>
        <w:t xml:space="preserve"> submitted by the parties</w:t>
      </w:r>
      <w:r w:rsidR="00A808B8">
        <w:rPr>
          <w:rFonts w:ascii="Aptos" w:hAnsi="Aptos"/>
          <w:color w:val="000000" w:themeColor="text1"/>
          <w:sz w:val="25"/>
          <w:szCs w:val="25"/>
          <w:shd w:val="clear" w:color="auto" w:fill="FFFFFF"/>
        </w:rPr>
        <w:t xml:space="preserve"> and are taken as true for the purposes of this </w:t>
      </w:r>
      <w:r w:rsidR="00A808B8">
        <w:rPr>
          <w:rFonts w:ascii="Aptos" w:hAnsi="Aptos"/>
          <w:i/>
          <w:iCs/>
          <w:color w:val="000000" w:themeColor="text1"/>
          <w:sz w:val="25"/>
          <w:szCs w:val="25"/>
          <w:shd w:val="clear" w:color="auto" w:fill="FFFFFF"/>
        </w:rPr>
        <w:t xml:space="preserve">Ruling </w:t>
      </w:r>
      <w:r w:rsidR="00A808B8">
        <w:rPr>
          <w:rFonts w:ascii="Aptos" w:hAnsi="Aptos"/>
          <w:color w:val="000000" w:themeColor="text1"/>
          <w:sz w:val="25"/>
          <w:szCs w:val="25"/>
          <w:shd w:val="clear" w:color="auto" w:fill="FFFFFF"/>
        </w:rPr>
        <w:t>only</w:t>
      </w:r>
      <w:r w:rsidR="00580EA7" w:rsidRPr="00F47331">
        <w:rPr>
          <w:rFonts w:ascii="Aptos" w:hAnsi="Aptos"/>
          <w:color w:val="000000" w:themeColor="text1"/>
          <w:sz w:val="25"/>
          <w:szCs w:val="25"/>
          <w:shd w:val="clear" w:color="auto" w:fill="FFFFFF"/>
        </w:rPr>
        <w:t>.</w:t>
      </w:r>
      <w:r w:rsidRPr="00F47331">
        <w:rPr>
          <w:rFonts w:ascii="Aptos" w:hAnsi="Aptos"/>
          <w:color w:val="000000" w:themeColor="text1"/>
          <w:sz w:val="25"/>
          <w:szCs w:val="25"/>
          <w:shd w:val="clear" w:color="auto" w:fill="FFFFFF"/>
        </w:rPr>
        <w:t xml:space="preserve"> Where a factual dispute exists, I construe it in favor of </w:t>
      </w:r>
      <w:r w:rsidR="00881154">
        <w:rPr>
          <w:rFonts w:ascii="Aptos" w:hAnsi="Aptos"/>
          <w:color w:val="000000" w:themeColor="text1"/>
          <w:sz w:val="25"/>
          <w:szCs w:val="25"/>
          <w:shd w:val="clear" w:color="auto" w:fill="FFFFFF"/>
        </w:rPr>
        <w:t>Parents</w:t>
      </w:r>
      <w:r w:rsidRPr="00F47331">
        <w:rPr>
          <w:rFonts w:ascii="Aptos" w:hAnsi="Aptos"/>
          <w:color w:val="000000" w:themeColor="text1"/>
          <w:sz w:val="25"/>
          <w:szCs w:val="25"/>
          <w:shd w:val="clear" w:color="auto" w:fill="FFFFFF"/>
        </w:rPr>
        <w:t>, as the party opposing summary judgment.</w:t>
      </w:r>
      <w:r w:rsidRPr="00F47331">
        <w:rPr>
          <w:rStyle w:val="FootnoteReference"/>
          <w:rFonts w:ascii="Aptos" w:hAnsi="Aptos"/>
          <w:color w:val="000000" w:themeColor="text1"/>
          <w:sz w:val="25"/>
          <w:szCs w:val="25"/>
          <w:shd w:val="clear" w:color="auto" w:fill="FFFFFF"/>
        </w:rPr>
        <w:footnoteReference w:id="4"/>
      </w:r>
    </w:p>
    <w:p w14:paraId="2FAC1A97" w14:textId="1EB6F451" w:rsidR="00D429A8" w:rsidRPr="00881154" w:rsidRDefault="008C6C36" w:rsidP="00881154">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Student is</w:t>
      </w:r>
      <w:r w:rsidR="00881154">
        <w:rPr>
          <w:rFonts w:ascii="Aptos" w:hAnsi="Aptos"/>
          <w:sz w:val="25"/>
          <w:szCs w:val="25"/>
        </w:rPr>
        <w:t xml:space="preserve"> a</w:t>
      </w:r>
      <w:r w:rsidR="003D77F7" w:rsidRPr="00F47331">
        <w:rPr>
          <w:rFonts w:ascii="Aptos" w:hAnsi="Aptos"/>
          <w:sz w:val="25"/>
          <w:szCs w:val="25"/>
        </w:rPr>
        <w:t xml:space="preserve"> 1</w:t>
      </w:r>
      <w:r w:rsidR="00881154">
        <w:rPr>
          <w:rFonts w:ascii="Aptos" w:hAnsi="Aptos"/>
          <w:sz w:val="25"/>
          <w:szCs w:val="25"/>
        </w:rPr>
        <w:t>5</w:t>
      </w:r>
      <w:r w:rsidR="00C9345A">
        <w:rPr>
          <w:rFonts w:ascii="Aptos" w:hAnsi="Aptos"/>
          <w:sz w:val="25"/>
          <w:szCs w:val="25"/>
        </w:rPr>
        <w:t>-</w:t>
      </w:r>
      <w:r w:rsidR="003D77F7" w:rsidRPr="00F47331">
        <w:rPr>
          <w:rFonts w:ascii="Aptos" w:hAnsi="Aptos"/>
          <w:sz w:val="25"/>
          <w:szCs w:val="25"/>
        </w:rPr>
        <w:t>year</w:t>
      </w:r>
      <w:r w:rsidR="00881154">
        <w:rPr>
          <w:rFonts w:ascii="Aptos" w:hAnsi="Aptos"/>
          <w:sz w:val="25"/>
          <w:szCs w:val="25"/>
        </w:rPr>
        <w:t>-</w:t>
      </w:r>
      <w:r w:rsidR="003D77F7" w:rsidRPr="00F47331">
        <w:rPr>
          <w:rFonts w:ascii="Aptos" w:hAnsi="Aptos"/>
          <w:sz w:val="25"/>
          <w:szCs w:val="25"/>
        </w:rPr>
        <w:t>old</w:t>
      </w:r>
      <w:r w:rsidR="00881154">
        <w:rPr>
          <w:rFonts w:ascii="Aptos" w:hAnsi="Aptos"/>
          <w:sz w:val="25"/>
          <w:szCs w:val="25"/>
        </w:rPr>
        <w:t xml:space="preserve"> tenth</w:t>
      </w:r>
      <w:r w:rsidR="00B85091">
        <w:rPr>
          <w:rFonts w:ascii="Aptos" w:hAnsi="Aptos"/>
          <w:sz w:val="25"/>
          <w:szCs w:val="25"/>
        </w:rPr>
        <w:t xml:space="preserve"> </w:t>
      </w:r>
      <w:r w:rsidR="00881154">
        <w:rPr>
          <w:rFonts w:ascii="Aptos" w:hAnsi="Aptos"/>
          <w:sz w:val="25"/>
          <w:szCs w:val="25"/>
        </w:rPr>
        <w:t>grader attending Newburyport Public Schools</w:t>
      </w:r>
      <w:r w:rsidR="003D77F7" w:rsidRPr="00F47331">
        <w:rPr>
          <w:rFonts w:ascii="Aptos" w:hAnsi="Aptos"/>
          <w:sz w:val="25"/>
          <w:szCs w:val="25"/>
        </w:rPr>
        <w:t xml:space="preserve">. </w:t>
      </w:r>
      <w:r w:rsidR="00881154">
        <w:rPr>
          <w:rFonts w:ascii="Aptos" w:hAnsi="Aptos"/>
          <w:sz w:val="25"/>
          <w:szCs w:val="25"/>
        </w:rPr>
        <w:t>H</w:t>
      </w:r>
      <w:r w:rsidR="003D77F7" w:rsidRPr="00881154">
        <w:rPr>
          <w:rFonts w:ascii="Aptos" w:hAnsi="Aptos"/>
          <w:sz w:val="25"/>
          <w:szCs w:val="25"/>
        </w:rPr>
        <w:t xml:space="preserve">e </w:t>
      </w:r>
      <w:r w:rsidR="00881154" w:rsidRPr="00881154">
        <w:rPr>
          <w:rFonts w:ascii="Aptos" w:hAnsi="Aptos"/>
          <w:sz w:val="25"/>
          <w:szCs w:val="25"/>
        </w:rPr>
        <w:t>receives accommodations, pursuant to a Section 504 plan, for a Neurological Impairment (Epilepsy), a Health Impairment, and Executive Functioning deficits.</w:t>
      </w:r>
      <w:r w:rsidR="00881154">
        <w:rPr>
          <w:rFonts w:ascii="Aptos" w:hAnsi="Aptos"/>
          <w:sz w:val="25"/>
          <w:szCs w:val="25"/>
        </w:rPr>
        <w:t xml:space="preserve"> </w:t>
      </w:r>
      <w:r w:rsidR="00220BC5">
        <w:rPr>
          <w:rFonts w:ascii="Aptos" w:hAnsi="Aptos"/>
          <w:sz w:val="25"/>
          <w:szCs w:val="25"/>
        </w:rPr>
        <w:t>(S-A)</w:t>
      </w:r>
    </w:p>
    <w:p w14:paraId="654E491B" w14:textId="60CE3940" w:rsidR="00243554" w:rsidRPr="001D4898" w:rsidRDefault="00220BC5" w:rsidP="00B91BD6">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A</w:t>
      </w:r>
      <w:r w:rsidR="00881154">
        <w:rPr>
          <w:rFonts w:ascii="Aptos" w:hAnsi="Aptos"/>
          <w:sz w:val="25"/>
          <w:szCs w:val="25"/>
        </w:rPr>
        <w:t xml:space="preserve">n initial evaluation of Student </w:t>
      </w:r>
      <w:r>
        <w:rPr>
          <w:rFonts w:ascii="Aptos" w:hAnsi="Aptos"/>
          <w:sz w:val="25"/>
          <w:szCs w:val="25"/>
        </w:rPr>
        <w:t>was conducted by Newburyport during the 2022-2023 school year. The Initial Eligibility Meeting was delayed until September 20, 2023, pursuant to Parents’ request to permit simultaneous consideration of an outside Report of Neuropsychological Assessment being conducted by Boston Children’s Hospital.</w:t>
      </w:r>
      <w:r w:rsidR="008A7111">
        <w:rPr>
          <w:rStyle w:val="FootnoteReference"/>
          <w:rFonts w:ascii="Aptos" w:hAnsi="Aptos"/>
          <w:sz w:val="25"/>
          <w:szCs w:val="25"/>
        </w:rPr>
        <w:footnoteReference w:id="5"/>
      </w:r>
      <w:r>
        <w:rPr>
          <w:rFonts w:ascii="Aptos" w:hAnsi="Aptos"/>
          <w:sz w:val="25"/>
          <w:szCs w:val="25"/>
        </w:rPr>
        <w:t xml:space="preserve"> Newburyport found Student ineligible for special education, as District personnel believed Student was making effective progress in the classroom and was not demonstrating the need for additional services or supports. Parents rejected the finding of no eligibility. (S-B) </w:t>
      </w:r>
    </w:p>
    <w:p w14:paraId="0FCD85FC" w14:textId="61C67D4A" w:rsidR="001D4898" w:rsidRPr="00BA0FAD" w:rsidRDefault="001D4898" w:rsidP="00B91BD6">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lastRenderedPageBreak/>
        <w:t xml:space="preserve">In </w:t>
      </w:r>
      <w:r w:rsidR="00A80DC1">
        <w:rPr>
          <w:rFonts w:ascii="Aptos" w:hAnsi="Aptos"/>
          <w:sz w:val="25"/>
          <w:szCs w:val="25"/>
        </w:rPr>
        <w:t>or about May</w:t>
      </w:r>
      <w:r>
        <w:rPr>
          <w:rFonts w:ascii="Aptos" w:hAnsi="Aptos"/>
          <w:sz w:val="25"/>
          <w:szCs w:val="25"/>
        </w:rPr>
        <w:t xml:space="preserve"> 2024,</w:t>
      </w:r>
      <w:r w:rsidR="00A80DC1">
        <w:rPr>
          <w:rFonts w:ascii="Aptos" w:hAnsi="Aptos"/>
          <w:sz w:val="25"/>
          <w:szCs w:val="25"/>
        </w:rPr>
        <w:t xml:space="preserve"> </w:t>
      </w:r>
      <w:r>
        <w:rPr>
          <w:rFonts w:ascii="Aptos" w:hAnsi="Aptos"/>
          <w:sz w:val="25"/>
          <w:szCs w:val="25"/>
        </w:rPr>
        <w:t xml:space="preserve">Parents requested that MGH schedule a speech and language evaluation of Student. </w:t>
      </w:r>
      <w:r w:rsidR="00DF2D0C" w:rsidRPr="00DF2D0C">
        <w:rPr>
          <w:rFonts w:ascii="Aptos" w:hAnsi="Aptos"/>
          <w:sz w:val="25"/>
          <w:szCs w:val="25"/>
        </w:rPr>
        <w:t>Scheduling the evaluation took nearly six months</w:t>
      </w:r>
      <w:r w:rsidR="00DF2D0C">
        <w:rPr>
          <w:rFonts w:ascii="Aptos" w:hAnsi="Aptos"/>
          <w:sz w:val="25"/>
          <w:szCs w:val="25"/>
        </w:rPr>
        <w:t>.</w:t>
      </w:r>
      <w:r>
        <w:rPr>
          <w:rFonts w:ascii="Aptos" w:hAnsi="Aptos"/>
          <w:sz w:val="25"/>
          <w:szCs w:val="25"/>
        </w:rPr>
        <w:t xml:space="preserve"> (</w:t>
      </w:r>
      <w:r>
        <w:rPr>
          <w:rFonts w:ascii="Aptos" w:hAnsi="Aptos"/>
          <w:i/>
          <w:iCs/>
          <w:sz w:val="25"/>
          <w:szCs w:val="25"/>
        </w:rPr>
        <w:t>Opposition to Motion to Quash</w:t>
      </w:r>
      <w:r>
        <w:rPr>
          <w:rFonts w:ascii="Aptos" w:hAnsi="Aptos"/>
          <w:sz w:val="25"/>
          <w:szCs w:val="25"/>
        </w:rPr>
        <w:t>)</w:t>
      </w:r>
    </w:p>
    <w:p w14:paraId="5EEDE228" w14:textId="2CA89A52" w:rsidR="00BA0FAD" w:rsidRPr="003B7784" w:rsidRDefault="00BA0FAD" w:rsidP="00B91BD6">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 xml:space="preserve">On or about October 4, 2024, the District and Parents entered into a legally binding Settlement Agreement to resolve concerns raised by Parents in a then-pending </w:t>
      </w:r>
      <w:r>
        <w:rPr>
          <w:rFonts w:ascii="Aptos" w:hAnsi="Aptos"/>
          <w:i/>
          <w:iCs/>
          <w:sz w:val="25"/>
          <w:szCs w:val="25"/>
        </w:rPr>
        <w:t>Hearing Request</w:t>
      </w:r>
      <w:r>
        <w:rPr>
          <w:rFonts w:ascii="Aptos" w:hAnsi="Aptos"/>
          <w:sz w:val="25"/>
          <w:szCs w:val="25"/>
        </w:rPr>
        <w:t xml:space="preserve"> (Settlement Agreement). (S-E) Parents subsequently withdrew that </w:t>
      </w:r>
      <w:r w:rsidRPr="00C9345A">
        <w:rPr>
          <w:rFonts w:ascii="Aptos" w:hAnsi="Aptos"/>
          <w:i/>
          <w:iCs/>
          <w:sz w:val="25"/>
          <w:szCs w:val="25"/>
        </w:rPr>
        <w:t>Hearing</w:t>
      </w:r>
      <w:r>
        <w:rPr>
          <w:rFonts w:ascii="Aptos" w:hAnsi="Aptos"/>
          <w:sz w:val="25"/>
          <w:szCs w:val="25"/>
        </w:rPr>
        <w:t xml:space="preserve"> </w:t>
      </w:r>
      <w:r w:rsidRPr="00C9345A">
        <w:rPr>
          <w:rFonts w:ascii="Aptos" w:hAnsi="Aptos"/>
          <w:i/>
          <w:iCs/>
          <w:sz w:val="25"/>
          <w:szCs w:val="25"/>
        </w:rPr>
        <w:t>Request</w:t>
      </w:r>
      <w:r>
        <w:rPr>
          <w:rFonts w:ascii="Aptos" w:hAnsi="Aptos"/>
          <w:sz w:val="25"/>
          <w:szCs w:val="25"/>
        </w:rPr>
        <w:t>. (S-F)</w:t>
      </w:r>
    </w:p>
    <w:p w14:paraId="50242A1A" w14:textId="6F38079A" w:rsidR="003B7784" w:rsidRPr="00BA0FAD" w:rsidRDefault="003B7784" w:rsidP="00B91BD6">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 xml:space="preserve">Part 1 of the Settlement Agreement provides for 1:1 language-based instruction focusing on reading fluency, comprehension, and written expression with a certified Wilson or Orton-Gillingham instructor for two hours per week during the regular school year, for the remainder of the </w:t>
      </w:r>
      <w:r w:rsidR="002B3754">
        <w:rPr>
          <w:rFonts w:ascii="Aptos" w:hAnsi="Aptos"/>
          <w:sz w:val="25"/>
          <w:szCs w:val="25"/>
        </w:rPr>
        <w:t xml:space="preserve">regular </w:t>
      </w:r>
      <w:r>
        <w:rPr>
          <w:rFonts w:ascii="Aptos" w:hAnsi="Aptos"/>
          <w:sz w:val="25"/>
          <w:szCs w:val="25"/>
        </w:rPr>
        <w:t>202</w:t>
      </w:r>
      <w:r w:rsidR="002B3754">
        <w:rPr>
          <w:rFonts w:ascii="Aptos" w:hAnsi="Aptos"/>
          <w:sz w:val="25"/>
          <w:szCs w:val="25"/>
        </w:rPr>
        <w:t>4</w:t>
      </w:r>
      <w:r>
        <w:rPr>
          <w:rFonts w:ascii="Aptos" w:hAnsi="Aptos"/>
          <w:sz w:val="25"/>
          <w:szCs w:val="25"/>
        </w:rPr>
        <w:t>-2025 school year, as well as the 2025-2026 and 2026-2027 regular school years. (S-E)</w:t>
      </w:r>
    </w:p>
    <w:p w14:paraId="70D1BFC5" w14:textId="24ECE8C4" w:rsidR="00BA0FAD" w:rsidRPr="00D84EB3" w:rsidRDefault="00BA0FAD" w:rsidP="00B91BD6">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 xml:space="preserve">Pursuant to Paragraph 1(g) of the Settlement </w:t>
      </w:r>
      <w:r w:rsidR="00C9345A">
        <w:rPr>
          <w:rFonts w:ascii="Aptos" w:hAnsi="Aptos"/>
          <w:sz w:val="25"/>
          <w:szCs w:val="25"/>
        </w:rPr>
        <w:t>A</w:t>
      </w:r>
      <w:r>
        <w:rPr>
          <w:rFonts w:ascii="Aptos" w:hAnsi="Aptos"/>
          <w:sz w:val="25"/>
          <w:szCs w:val="25"/>
        </w:rPr>
        <w:t>greement, the parties agreed that no IEPs or formal progress reports would be developed or issued</w:t>
      </w:r>
      <w:r w:rsidR="00D84EB3">
        <w:rPr>
          <w:rFonts w:ascii="Aptos" w:hAnsi="Aptos"/>
          <w:sz w:val="25"/>
          <w:szCs w:val="25"/>
        </w:rPr>
        <w:t xml:space="preserve"> for Student during the 2024-2025, 2025-2026, and 2026-2027 school years</w:t>
      </w:r>
      <w:r>
        <w:rPr>
          <w:rFonts w:ascii="Aptos" w:hAnsi="Aptos"/>
          <w:sz w:val="25"/>
          <w:szCs w:val="25"/>
        </w:rPr>
        <w:t>. (S-E)</w:t>
      </w:r>
    </w:p>
    <w:p w14:paraId="0E062534" w14:textId="645C6B32" w:rsidR="00D84EB3" w:rsidRPr="00652AB9" w:rsidRDefault="00D84EB3" w:rsidP="00B91BD6">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 xml:space="preserve">Pursuant to Paragraph 4 of the Settlement Agreement, “other than the instruction and services specifically set forth in the Agreement, the District shall not be obligated to provide or fund additional ‘special’ or ‘related’ services, convene any IEP Teams, conduct any evaluations through the 2026-2027 school year, or provide any summer services (unless the District offers regular education summer school or other summer services to [Student]) except and unless there is </w:t>
      </w:r>
      <w:r w:rsidRPr="0094419B">
        <w:rPr>
          <w:rFonts w:ascii="Aptos" w:hAnsi="Aptos"/>
          <w:sz w:val="25"/>
          <w:szCs w:val="25"/>
        </w:rPr>
        <w:t>a material change in circumstances</w:t>
      </w:r>
      <w:r>
        <w:rPr>
          <w:rFonts w:ascii="Aptos" w:hAnsi="Aptos"/>
          <w:sz w:val="25"/>
          <w:szCs w:val="25"/>
        </w:rPr>
        <w:t xml:space="preserve"> altering [Student</w:t>
      </w:r>
      <w:r w:rsidR="0097095C">
        <w:rPr>
          <w:rFonts w:ascii="Aptos" w:hAnsi="Aptos"/>
          <w:sz w:val="25"/>
          <w:szCs w:val="25"/>
        </w:rPr>
        <w:t>]’s educational profile and needs.”</w:t>
      </w:r>
      <w:r w:rsidR="00EA54B3">
        <w:rPr>
          <w:rStyle w:val="FootnoteReference"/>
          <w:rFonts w:ascii="Aptos" w:hAnsi="Aptos"/>
          <w:sz w:val="25"/>
          <w:szCs w:val="25"/>
        </w:rPr>
        <w:footnoteReference w:id="6"/>
      </w:r>
      <w:r w:rsidR="00652AB9">
        <w:rPr>
          <w:rFonts w:ascii="Aptos" w:hAnsi="Aptos"/>
          <w:sz w:val="25"/>
          <w:szCs w:val="25"/>
        </w:rPr>
        <w:t xml:space="preserve"> (S-E)</w:t>
      </w:r>
    </w:p>
    <w:p w14:paraId="3E621A6E" w14:textId="151260BF" w:rsidR="00652AB9" w:rsidRPr="009E4D43" w:rsidRDefault="00652AB9" w:rsidP="00B91BD6">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 xml:space="preserve">On or about November 20, 2024, Parents received a report, dated November 19, 2024, in connection with </w:t>
      </w:r>
      <w:r w:rsidR="0093289E">
        <w:rPr>
          <w:rFonts w:ascii="Aptos" w:hAnsi="Aptos"/>
          <w:sz w:val="25"/>
          <w:szCs w:val="25"/>
        </w:rPr>
        <w:t>Ms</w:t>
      </w:r>
      <w:r w:rsidR="003B7784">
        <w:rPr>
          <w:rFonts w:ascii="Aptos" w:hAnsi="Aptos"/>
          <w:sz w:val="25"/>
          <w:szCs w:val="25"/>
        </w:rPr>
        <w:t>. Ghiringhelli’s</w:t>
      </w:r>
      <w:r>
        <w:rPr>
          <w:rFonts w:ascii="Aptos" w:hAnsi="Aptos"/>
          <w:sz w:val="25"/>
          <w:szCs w:val="25"/>
        </w:rPr>
        <w:t xml:space="preserve"> speech and language evaluation of Student that had been completed </w:t>
      </w:r>
      <w:r w:rsidR="003B7784">
        <w:rPr>
          <w:rFonts w:ascii="Aptos" w:hAnsi="Aptos"/>
          <w:sz w:val="25"/>
          <w:szCs w:val="25"/>
        </w:rPr>
        <w:t>on</w:t>
      </w:r>
      <w:r>
        <w:rPr>
          <w:rFonts w:ascii="Aptos" w:hAnsi="Aptos"/>
          <w:sz w:val="25"/>
          <w:szCs w:val="25"/>
        </w:rPr>
        <w:t xml:space="preserve"> November</w:t>
      </w:r>
      <w:r w:rsidR="003B7784">
        <w:rPr>
          <w:rFonts w:ascii="Aptos" w:hAnsi="Aptos"/>
          <w:sz w:val="25"/>
          <w:szCs w:val="25"/>
        </w:rPr>
        <w:t xml:space="preserve"> 12,</w:t>
      </w:r>
      <w:r>
        <w:rPr>
          <w:rFonts w:ascii="Aptos" w:hAnsi="Aptos"/>
          <w:sz w:val="25"/>
          <w:szCs w:val="25"/>
        </w:rPr>
        <w:t xml:space="preserve"> 2024. </w:t>
      </w:r>
      <w:r w:rsidR="003B7784">
        <w:rPr>
          <w:rFonts w:ascii="Aptos" w:hAnsi="Aptos"/>
          <w:sz w:val="25"/>
          <w:szCs w:val="25"/>
        </w:rPr>
        <w:t xml:space="preserve">The report noted that Student “presents with mild-moderate deficits in written language, likely resulting from his slow processing speed.” </w:t>
      </w:r>
      <w:r w:rsidR="0093289E">
        <w:rPr>
          <w:rFonts w:ascii="Aptos" w:hAnsi="Aptos"/>
          <w:sz w:val="25"/>
          <w:szCs w:val="25"/>
        </w:rPr>
        <w:t>Ms</w:t>
      </w:r>
      <w:r w:rsidR="003B7784">
        <w:rPr>
          <w:rFonts w:ascii="Aptos" w:hAnsi="Aptos"/>
          <w:sz w:val="25"/>
          <w:szCs w:val="25"/>
        </w:rPr>
        <w:t>. Ghiringhelli recommended reading remediation services</w:t>
      </w:r>
      <w:r w:rsidR="001B637C">
        <w:rPr>
          <w:rFonts w:ascii="Aptos" w:hAnsi="Aptos"/>
          <w:sz w:val="25"/>
          <w:szCs w:val="25"/>
        </w:rPr>
        <w:t xml:space="preserve"> 3</w:t>
      </w:r>
      <w:r w:rsidR="00DF2D0C">
        <w:rPr>
          <w:rFonts w:ascii="Aptos" w:hAnsi="Aptos"/>
          <w:sz w:val="25"/>
          <w:szCs w:val="25"/>
        </w:rPr>
        <w:t xml:space="preserve"> </w:t>
      </w:r>
      <w:r w:rsidR="001B637C">
        <w:rPr>
          <w:rFonts w:ascii="Aptos" w:hAnsi="Aptos"/>
          <w:sz w:val="25"/>
          <w:szCs w:val="25"/>
        </w:rPr>
        <w:t>x 45-60 minutes/week, using a systematic, structured reading program such as Orton-Gillingham, Project Read, Read Naturally, or the Wilson Reading Progra</w:t>
      </w:r>
      <w:r w:rsidR="006C4DF2">
        <w:rPr>
          <w:rFonts w:ascii="Aptos" w:hAnsi="Aptos"/>
          <w:sz w:val="25"/>
          <w:szCs w:val="25"/>
        </w:rPr>
        <w:t>m to address decoding automaticity, as well as programs to address reading fluency and comprehension.</w:t>
      </w:r>
      <w:r w:rsidR="003B7784">
        <w:rPr>
          <w:rFonts w:ascii="Aptos" w:hAnsi="Aptos"/>
          <w:sz w:val="25"/>
          <w:szCs w:val="25"/>
        </w:rPr>
        <w:t xml:space="preserve"> </w:t>
      </w:r>
      <w:r>
        <w:rPr>
          <w:rFonts w:ascii="Aptos" w:hAnsi="Aptos"/>
          <w:sz w:val="25"/>
          <w:szCs w:val="25"/>
        </w:rPr>
        <w:t>(</w:t>
      </w:r>
      <w:r>
        <w:rPr>
          <w:rFonts w:ascii="Aptos" w:hAnsi="Aptos"/>
          <w:i/>
          <w:iCs/>
          <w:sz w:val="25"/>
          <w:szCs w:val="25"/>
        </w:rPr>
        <w:t>Hearing Request</w:t>
      </w:r>
      <w:r>
        <w:rPr>
          <w:rFonts w:ascii="Aptos" w:hAnsi="Aptos"/>
          <w:sz w:val="25"/>
          <w:szCs w:val="25"/>
        </w:rPr>
        <w:t xml:space="preserve">; </w:t>
      </w:r>
      <w:r>
        <w:rPr>
          <w:rFonts w:ascii="Aptos" w:hAnsi="Aptos"/>
          <w:i/>
          <w:iCs/>
          <w:sz w:val="25"/>
          <w:szCs w:val="25"/>
        </w:rPr>
        <w:t xml:space="preserve">Hearing Request </w:t>
      </w:r>
      <w:r>
        <w:rPr>
          <w:rFonts w:ascii="Aptos" w:hAnsi="Aptos"/>
          <w:sz w:val="25"/>
          <w:szCs w:val="25"/>
        </w:rPr>
        <w:t>attachments)</w:t>
      </w:r>
    </w:p>
    <w:p w14:paraId="48FF7688" w14:textId="6B4C924E" w:rsidR="009E4D43" w:rsidRPr="0097095C" w:rsidRDefault="00652AB9" w:rsidP="00B91BD6">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 xml:space="preserve">On or about </w:t>
      </w:r>
      <w:r w:rsidR="009E4D43">
        <w:rPr>
          <w:rFonts w:ascii="Aptos" w:hAnsi="Aptos"/>
          <w:sz w:val="25"/>
          <w:szCs w:val="25"/>
        </w:rPr>
        <w:t xml:space="preserve">December </w:t>
      </w:r>
      <w:r>
        <w:rPr>
          <w:rFonts w:ascii="Aptos" w:hAnsi="Aptos"/>
          <w:sz w:val="25"/>
          <w:szCs w:val="25"/>
        </w:rPr>
        <w:t xml:space="preserve">18, 2024, the District and Parents met informally pursuant to Parents’ request to discuss the recent MGH report </w:t>
      </w:r>
      <w:r w:rsidR="00C9345A">
        <w:rPr>
          <w:rFonts w:ascii="Aptos" w:hAnsi="Aptos"/>
          <w:sz w:val="25"/>
          <w:szCs w:val="25"/>
        </w:rPr>
        <w:t xml:space="preserve">and </w:t>
      </w:r>
      <w:r>
        <w:rPr>
          <w:rFonts w:ascii="Aptos" w:hAnsi="Aptos"/>
          <w:sz w:val="25"/>
          <w:szCs w:val="25"/>
        </w:rPr>
        <w:t>their concerns about Student’s progress in school. (</w:t>
      </w:r>
      <w:r>
        <w:rPr>
          <w:rFonts w:ascii="Aptos" w:hAnsi="Aptos"/>
          <w:i/>
          <w:iCs/>
          <w:sz w:val="25"/>
          <w:szCs w:val="25"/>
        </w:rPr>
        <w:t>SJ Motion; Opposition to SJ Motion</w:t>
      </w:r>
      <w:r>
        <w:rPr>
          <w:rFonts w:ascii="Aptos" w:hAnsi="Aptos"/>
          <w:sz w:val="25"/>
          <w:szCs w:val="25"/>
        </w:rPr>
        <w:t>)</w:t>
      </w:r>
    </w:p>
    <w:p w14:paraId="48A5A869" w14:textId="55977C19" w:rsidR="0097095C" w:rsidRPr="001B637C" w:rsidRDefault="0097095C" w:rsidP="001B637C">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lastRenderedPageBreak/>
        <w:t xml:space="preserve">On or about January </w:t>
      </w:r>
      <w:r w:rsidR="009E4D43">
        <w:rPr>
          <w:rFonts w:ascii="Aptos" w:hAnsi="Aptos"/>
          <w:sz w:val="25"/>
          <w:szCs w:val="25"/>
        </w:rPr>
        <w:t xml:space="preserve">6, 2025, a Newburyport reading teacher met with </w:t>
      </w:r>
      <w:r w:rsidR="0093289E">
        <w:rPr>
          <w:rFonts w:ascii="Aptos" w:hAnsi="Aptos"/>
          <w:sz w:val="25"/>
          <w:szCs w:val="25"/>
        </w:rPr>
        <w:t>Ms</w:t>
      </w:r>
      <w:r w:rsidR="001B637C">
        <w:rPr>
          <w:rFonts w:ascii="Aptos" w:hAnsi="Aptos"/>
          <w:sz w:val="25"/>
          <w:szCs w:val="25"/>
        </w:rPr>
        <w:t xml:space="preserve">. </w:t>
      </w:r>
      <w:r w:rsidR="002B3754">
        <w:rPr>
          <w:rFonts w:ascii="Aptos" w:hAnsi="Aptos"/>
          <w:sz w:val="25"/>
          <w:szCs w:val="25"/>
        </w:rPr>
        <w:t>Ghiringhelli</w:t>
      </w:r>
      <w:r w:rsidR="009E4D43">
        <w:rPr>
          <w:rFonts w:ascii="Aptos" w:hAnsi="Aptos"/>
          <w:sz w:val="25"/>
          <w:szCs w:val="25"/>
        </w:rPr>
        <w:t xml:space="preserve">. Newburyport’s Director Student Support Services attended and took notes. </w:t>
      </w:r>
      <w:r w:rsidR="0093289E">
        <w:rPr>
          <w:rFonts w:ascii="Aptos" w:hAnsi="Aptos"/>
          <w:sz w:val="25"/>
          <w:szCs w:val="25"/>
        </w:rPr>
        <w:t>Ms</w:t>
      </w:r>
      <w:r w:rsidR="001B637C">
        <w:rPr>
          <w:rFonts w:ascii="Aptos" w:hAnsi="Aptos"/>
          <w:sz w:val="25"/>
          <w:szCs w:val="25"/>
        </w:rPr>
        <w:t xml:space="preserve">. Ghiringhelli and the reading teacher </w:t>
      </w:r>
      <w:r w:rsidR="009E4D43">
        <w:rPr>
          <w:rFonts w:ascii="Aptos" w:hAnsi="Aptos"/>
          <w:sz w:val="25"/>
          <w:szCs w:val="25"/>
        </w:rPr>
        <w:t xml:space="preserve">discussed </w:t>
      </w:r>
      <w:r w:rsidR="0093289E">
        <w:rPr>
          <w:rFonts w:ascii="Aptos" w:hAnsi="Aptos"/>
          <w:sz w:val="25"/>
          <w:szCs w:val="25"/>
        </w:rPr>
        <w:t>Ms</w:t>
      </w:r>
      <w:r w:rsidR="001B637C">
        <w:rPr>
          <w:rFonts w:ascii="Aptos" w:hAnsi="Aptos"/>
          <w:sz w:val="25"/>
          <w:szCs w:val="25"/>
        </w:rPr>
        <w:t>. Ghiringhelli’s recommendations</w:t>
      </w:r>
      <w:r w:rsidR="009E4D43" w:rsidRPr="001B637C">
        <w:rPr>
          <w:rFonts w:ascii="Aptos" w:hAnsi="Aptos"/>
          <w:sz w:val="25"/>
          <w:szCs w:val="25"/>
        </w:rPr>
        <w:t xml:space="preserve"> for instruction, which differed</w:t>
      </w:r>
      <w:r w:rsidR="001B637C" w:rsidRPr="001B637C">
        <w:rPr>
          <w:rFonts w:ascii="Aptos" w:hAnsi="Aptos"/>
          <w:sz w:val="25"/>
          <w:szCs w:val="25"/>
        </w:rPr>
        <w:t xml:space="preserve"> in frequency</w:t>
      </w:r>
      <w:r w:rsidR="009E4D43" w:rsidRPr="001B637C">
        <w:rPr>
          <w:rFonts w:ascii="Aptos" w:hAnsi="Aptos"/>
          <w:sz w:val="25"/>
          <w:szCs w:val="25"/>
        </w:rPr>
        <w:t xml:space="preserve"> from those outlined in the Settlement Agreement.</w:t>
      </w:r>
      <w:r w:rsidR="00A01F2E">
        <w:rPr>
          <w:rStyle w:val="FootnoteReference"/>
          <w:rFonts w:ascii="Aptos" w:hAnsi="Aptos"/>
          <w:sz w:val="25"/>
          <w:szCs w:val="25"/>
        </w:rPr>
        <w:footnoteReference w:id="7"/>
      </w:r>
      <w:r w:rsidR="009E4D43" w:rsidRPr="001B637C">
        <w:rPr>
          <w:rFonts w:ascii="Aptos" w:hAnsi="Aptos"/>
          <w:sz w:val="25"/>
          <w:szCs w:val="25"/>
        </w:rPr>
        <w:t xml:space="preserve"> (P-A)</w:t>
      </w:r>
    </w:p>
    <w:p w14:paraId="5FE28CA4" w14:textId="398F474A" w:rsidR="00BA0FAD" w:rsidRPr="00286CEB" w:rsidRDefault="00BA0FAD" w:rsidP="00B91BD6">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 xml:space="preserve">On or about February 7, 2025, Parents filed the pending </w:t>
      </w:r>
      <w:r>
        <w:rPr>
          <w:rFonts w:ascii="Aptos" w:hAnsi="Aptos"/>
          <w:i/>
          <w:iCs/>
          <w:sz w:val="25"/>
          <w:szCs w:val="25"/>
        </w:rPr>
        <w:t>Hearing Request</w:t>
      </w:r>
      <w:r>
        <w:rPr>
          <w:rFonts w:ascii="Aptos" w:hAnsi="Aptos"/>
          <w:sz w:val="25"/>
          <w:szCs w:val="25"/>
        </w:rPr>
        <w:t xml:space="preserve"> before the BSEA</w:t>
      </w:r>
      <w:r w:rsidR="00C9345A">
        <w:rPr>
          <w:rFonts w:ascii="Aptos" w:hAnsi="Aptos"/>
          <w:sz w:val="25"/>
          <w:szCs w:val="25"/>
        </w:rPr>
        <w:t>.</w:t>
      </w:r>
      <w:r w:rsidR="00286CEB">
        <w:rPr>
          <w:rFonts w:ascii="Aptos" w:hAnsi="Aptos"/>
          <w:sz w:val="25"/>
          <w:szCs w:val="25"/>
        </w:rPr>
        <w:t xml:space="preserve"> (</w:t>
      </w:r>
      <w:r w:rsidR="00286CEB">
        <w:rPr>
          <w:rFonts w:ascii="Aptos" w:hAnsi="Aptos"/>
          <w:i/>
          <w:iCs/>
          <w:sz w:val="25"/>
          <w:szCs w:val="25"/>
        </w:rPr>
        <w:t>Hearing Request</w:t>
      </w:r>
      <w:r w:rsidR="00286CEB">
        <w:rPr>
          <w:rFonts w:ascii="Aptos" w:hAnsi="Aptos"/>
          <w:sz w:val="25"/>
          <w:szCs w:val="25"/>
        </w:rPr>
        <w:t>)</w:t>
      </w:r>
    </w:p>
    <w:p w14:paraId="57C435F9" w14:textId="3FFBBE9F" w:rsidR="001D4898" w:rsidRPr="005A1900" w:rsidRDefault="00286CEB" w:rsidP="001D4898">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Between January 6</w:t>
      </w:r>
      <w:r w:rsidR="00C9345A">
        <w:rPr>
          <w:rFonts w:ascii="Aptos" w:hAnsi="Aptos"/>
          <w:sz w:val="25"/>
          <w:szCs w:val="25"/>
        </w:rPr>
        <w:t xml:space="preserve"> </w:t>
      </w:r>
      <w:r>
        <w:rPr>
          <w:rFonts w:ascii="Aptos" w:hAnsi="Aptos"/>
          <w:sz w:val="25"/>
          <w:szCs w:val="25"/>
        </w:rPr>
        <w:t>and April 14, 2025, multiple emails were exchanged between Newburyport staff and Parents regarding changes Parents requested to Student’s services. The District consistently referenced these potential changes as requiring an amendment</w:t>
      </w:r>
      <w:r w:rsidR="00C9345A">
        <w:rPr>
          <w:rFonts w:ascii="Aptos" w:hAnsi="Aptos"/>
          <w:sz w:val="25"/>
          <w:szCs w:val="25"/>
        </w:rPr>
        <w:t xml:space="preserve"> to</w:t>
      </w:r>
      <w:r>
        <w:rPr>
          <w:rFonts w:ascii="Aptos" w:hAnsi="Aptos"/>
          <w:sz w:val="25"/>
          <w:szCs w:val="25"/>
        </w:rPr>
        <w:t xml:space="preserve"> the Settlement Agreement</w:t>
      </w:r>
      <w:r w:rsidR="001D4898">
        <w:rPr>
          <w:rFonts w:ascii="Aptos" w:hAnsi="Aptos"/>
          <w:sz w:val="25"/>
          <w:szCs w:val="25"/>
        </w:rPr>
        <w:t xml:space="preserve">, noting that unless both parties </w:t>
      </w:r>
      <w:r w:rsidR="00936274">
        <w:rPr>
          <w:rFonts w:ascii="Aptos" w:hAnsi="Aptos"/>
          <w:sz w:val="25"/>
          <w:szCs w:val="25"/>
        </w:rPr>
        <w:t>agreed</w:t>
      </w:r>
      <w:r w:rsidR="001D4898">
        <w:rPr>
          <w:rFonts w:ascii="Aptos" w:hAnsi="Aptos"/>
          <w:sz w:val="25"/>
          <w:szCs w:val="25"/>
        </w:rPr>
        <w:t xml:space="preserve"> to amend</w:t>
      </w:r>
      <w:r w:rsidR="00C9345A">
        <w:rPr>
          <w:rFonts w:ascii="Aptos" w:hAnsi="Aptos"/>
          <w:sz w:val="25"/>
          <w:szCs w:val="25"/>
        </w:rPr>
        <w:t xml:space="preserve"> the Settlement Agreement</w:t>
      </w:r>
      <w:r w:rsidR="001D4898">
        <w:rPr>
          <w:rFonts w:ascii="Aptos" w:hAnsi="Aptos"/>
          <w:sz w:val="25"/>
          <w:szCs w:val="25"/>
        </w:rPr>
        <w:t xml:space="preserve">, Newburyport would adhere to </w:t>
      </w:r>
      <w:r w:rsidR="00132708">
        <w:rPr>
          <w:rFonts w:ascii="Aptos" w:hAnsi="Aptos"/>
          <w:sz w:val="25"/>
          <w:szCs w:val="25"/>
        </w:rPr>
        <w:t xml:space="preserve">the </w:t>
      </w:r>
      <w:r w:rsidR="001D4898">
        <w:rPr>
          <w:rFonts w:ascii="Aptos" w:hAnsi="Aptos"/>
          <w:sz w:val="25"/>
          <w:szCs w:val="25"/>
        </w:rPr>
        <w:t xml:space="preserve">terms laid out </w:t>
      </w:r>
      <w:r w:rsidR="00132708">
        <w:rPr>
          <w:rFonts w:ascii="Aptos" w:hAnsi="Aptos"/>
          <w:sz w:val="25"/>
          <w:szCs w:val="25"/>
        </w:rPr>
        <w:t xml:space="preserve">in the Settlement Agreement when </w:t>
      </w:r>
      <w:r w:rsidR="001D4898">
        <w:rPr>
          <w:rFonts w:ascii="Aptos" w:hAnsi="Aptos"/>
          <w:sz w:val="25"/>
          <w:szCs w:val="25"/>
        </w:rPr>
        <w:t>it was signed in October 2024. (P-J, P-K, P-L, P-R) Parents, on the other hand, maintain</w:t>
      </w:r>
      <w:r w:rsidR="00233195">
        <w:rPr>
          <w:rFonts w:ascii="Aptos" w:hAnsi="Aptos"/>
          <w:sz w:val="25"/>
          <w:szCs w:val="25"/>
        </w:rPr>
        <w:t>ed</w:t>
      </w:r>
      <w:r w:rsidR="001D4898">
        <w:rPr>
          <w:rFonts w:ascii="Aptos" w:hAnsi="Aptos"/>
          <w:sz w:val="25"/>
          <w:szCs w:val="25"/>
        </w:rPr>
        <w:t xml:space="preserve"> that the changes to Student’s services are required under the current Settlement Agreement because a “material change in circumstances to [Student]’s academic profile” has occurred. (</w:t>
      </w:r>
      <w:r w:rsidR="001D4898">
        <w:rPr>
          <w:rFonts w:ascii="Aptos" w:hAnsi="Aptos"/>
          <w:i/>
          <w:iCs/>
          <w:sz w:val="25"/>
          <w:szCs w:val="25"/>
        </w:rPr>
        <w:t>Opposition to SJ Motion</w:t>
      </w:r>
      <w:r w:rsidR="001D4898">
        <w:rPr>
          <w:rFonts w:ascii="Aptos" w:hAnsi="Aptos"/>
          <w:sz w:val="25"/>
          <w:szCs w:val="25"/>
        </w:rPr>
        <w:t xml:space="preserve">; </w:t>
      </w:r>
      <w:r w:rsidR="001D4898">
        <w:rPr>
          <w:rFonts w:ascii="Aptos" w:hAnsi="Aptos"/>
          <w:i/>
          <w:iCs/>
          <w:sz w:val="25"/>
          <w:szCs w:val="25"/>
        </w:rPr>
        <w:t xml:space="preserve">Opposition to Motion to Quash; </w:t>
      </w:r>
      <w:r w:rsidR="001D4898">
        <w:rPr>
          <w:rFonts w:ascii="Aptos" w:hAnsi="Aptos"/>
          <w:sz w:val="25"/>
          <w:szCs w:val="25"/>
        </w:rPr>
        <w:t>P-S)</w:t>
      </w:r>
    </w:p>
    <w:p w14:paraId="1B169B53" w14:textId="0C71E8C8" w:rsidR="005A1900" w:rsidRPr="001D4898" w:rsidRDefault="005A1900" w:rsidP="001D4898">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On April 24, 2025, Parents requested that the BSEA issue subpoenas directing four Newbur</w:t>
      </w:r>
      <w:r w:rsidR="00AB3B11">
        <w:rPr>
          <w:rFonts w:ascii="Aptos" w:hAnsi="Aptos"/>
          <w:sz w:val="25"/>
          <w:szCs w:val="25"/>
        </w:rPr>
        <w:t>y</w:t>
      </w:r>
      <w:r>
        <w:rPr>
          <w:rFonts w:ascii="Aptos" w:hAnsi="Aptos"/>
          <w:sz w:val="25"/>
          <w:szCs w:val="25"/>
        </w:rPr>
        <w:t>port staff members to testify at the motion session scheduled for May 1, 2025.</w:t>
      </w:r>
      <w:r w:rsidR="002B3754">
        <w:rPr>
          <w:rFonts w:ascii="Aptos" w:hAnsi="Aptos"/>
          <w:sz w:val="25"/>
          <w:szCs w:val="25"/>
        </w:rPr>
        <w:t xml:space="preserve"> The BSEA issued the requested subpoenas.</w:t>
      </w:r>
    </w:p>
    <w:p w14:paraId="23AC09CF" w14:textId="77777777" w:rsidR="00F66C64" w:rsidRPr="00F47331" w:rsidRDefault="00F66C64" w:rsidP="00F66C64">
      <w:pPr>
        <w:autoSpaceDE w:val="0"/>
        <w:autoSpaceDN w:val="0"/>
        <w:adjustRightInd w:val="0"/>
        <w:rPr>
          <w:rFonts w:ascii="Aptos" w:hAnsi="Aptos"/>
          <w:b/>
          <w:bCs/>
          <w:color w:val="000000" w:themeColor="text1"/>
          <w:sz w:val="25"/>
          <w:szCs w:val="25"/>
        </w:rPr>
      </w:pPr>
    </w:p>
    <w:p w14:paraId="00E783E5" w14:textId="6238F71F" w:rsidR="00F66C64" w:rsidRPr="00F47331" w:rsidRDefault="00F66C64" w:rsidP="00F66C64">
      <w:pPr>
        <w:autoSpaceDE w:val="0"/>
        <w:autoSpaceDN w:val="0"/>
        <w:adjustRightInd w:val="0"/>
        <w:rPr>
          <w:rFonts w:ascii="Aptos" w:hAnsi="Aptos"/>
          <w:b/>
          <w:bCs/>
          <w:color w:val="000000" w:themeColor="text1"/>
          <w:sz w:val="25"/>
          <w:szCs w:val="25"/>
        </w:rPr>
      </w:pPr>
      <w:r w:rsidRPr="00F47331">
        <w:rPr>
          <w:rFonts w:ascii="Aptos" w:hAnsi="Aptos"/>
          <w:b/>
          <w:bCs/>
          <w:color w:val="000000" w:themeColor="text1"/>
          <w:sz w:val="25"/>
          <w:szCs w:val="25"/>
        </w:rPr>
        <w:t>DISCUSSION</w:t>
      </w:r>
    </w:p>
    <w:p w14:paraId="4CBB9EAA" w14:textId="77777777" w:rsidR="00F66C64" w:rsidRPr="00F47331" w:rsidRDefault="00F66C64" w:rsidP="00F66C64">
      <w:pPr>
        <w:autoSpaceDE w:val="0"/>
        <w:autoSpaceDN w:val="0"/>
        <w:adjustRightInd w:val="0"/>
        <w:rPr>
          <w:rFonts w:ascii="Aptos" w:hAnsi="Aptos"/>
          <w:b/>
          <w:bCs/>
          <w:color w:val="000000" w:themeColor="text1"/>
          <w:sz w:val="25"/>
          <w:szCs w:val="25"/>
        </w:rPr>
      </w:pPr>
    </w:p>
    <w:p w14:paraId="54C2BB9F" w14:textId="14FCCC00" w:rsidR="00F66C64" w:rsidRPr="00F47331" w:rsidRDefault="00DF10B9" w:rsidP="00DF10B9">
      <w:pPr>
        <w:autoSpaceDE w:val="0"/>
        <w:autoSpaceDN w:val="0"/>
        <w:adjustRightInd w:val="0"/>
        <w:ind w:firstLine="720"/>
        <w:rPr>
          <w:rFonts w:ascii="Aptos" w:hAnsi="Aptos"/>
          <w:color w:val="000000" w:themeColor="text1"/>
          <w:sz w:val="25"/>
          <w:szCs w:val="25"/>
        </w:rPr>
      </w:pPr>
      <w:r>
        <w:rPr>
          <w:rFonts w:ascii="Aptos" w:hAnsi="Aptos"/>
          <w:color w:val="000000" w:themeColor="text1"/>
          <w:sz w:val="25"/>
          <w:szCs w:val="25"/>
        </w:rPr>
        <w:t xml:space="preserve">I begin by discussing the relevant legal standards for each of the District’s </w:t>
      </w:r>
      <w:r>
        <w:rPr>
          <w:rFonts w:ascii="Aptos" w:hAnsi="Aptos"/>
          <w:i/>
          <w:iCs/>
          <w:color w:val="000000" w:themeColor="text1"/>
          <w:sz w:val="25"/>
          <w:szCs w:val="25"/>
        </w:rPr>
        <w:t>Motion</w:t>
      </w:r>
      <w:r w:rsidR="001439AB">
        <w:rPr>
          <w:rFonts w:ascii="Aptos" w:hAnsi="Aptos"/>
          <w:i/>
          <w:iCs/>
          <w:color w:val="000000" w:themeColor="text1"/>
          <w:sz w:val="25"/>
          <w:szCs w:val="25"/>
        </w:rPr>
        <w:t>s</w:t>
      </w:r>
      <w:r>
        <w:rPr>
          <w:rFonts w:ascii="Aptos" w:hAnsi="Aptos"/>
          <w:color w:val="000000" w:themeColor="text1"/>
          <w:sz w:val="25"/>
          <w:szCs w:val="25"/>
        </w:rPr>
        <w:t xml:space="preserve">, then apply them to the facts outlined above. </w:t>
      </w:r>
      <w:r w:rsidR="00782AC7">
        <w:rPr>
          <w:rFonts w:ascii="Aptos" w:hAnsi="Aptos"/>
          <w:color w:val="000000" w:themeColor="text1"/>
          <w:sz w:val="25"/>
          <w:szCs w:val="25"/>
        </w:rPr>
        <w:t xml:space="preserve"> </w:t>
      </w:r>
    </w:p>
    <w:p w14:paraId="5B65FE84" w14:textId="77777777" w:rsidR="00C9345A" w:rsidRDefault="00C9345A" w:rsidP="00C9345A">
      <w:pPr>
        <w:rPr>
          <w:rFonts w:ascii="Aptos" w:hAnsi="Aptos"/>
          <w:color w:val="000000" w:themeColor="text1"/>
          <w:sz w:val="25"/>
          <w:szCs w:val="25"/>
          <w:shd w:val="clear" w:color="auto" w:fill="FFFFFF"/>
        </w:rPr>
      </w:pPr>
    </w:p>
    <w:p w14:paraId="03E279B9" w14:textId="77777777" w:rsidR="00DF10B9" w:rsidRDefault="00DF10B9" w:rsidP="00C9345A">
      <w:pPr>
        <w:pStyle w:val="NoSpacing"/>
        <w:numPr>
          <w:ilvl w:val="0"/>
          <w:numId w:val="3"/>
        </w:numPr>
        <w:rPr>
          <w:rFonts w:ascii="Aptos" w:hAnsi="Aptos" w:cs="Times New Roman"/>
          <w:color w:val="000000" w:themeColor="text1"/>
          <w:sz w:val="25"/>
          <w:szCs w:val="25"/>
          <w:u w:val="single"/>
        </w:rPr>
      </w:pPr>
      <w:r>
        <w:rPr>
          <w:rFonts w:ascii="Aptos" w:hAnsi="Aptos" w:cs="Times New Roman"/>
          <w:color w:val="000000" w:themeColor="text1"/>
          <w:sz w:val="25"/>
          <w:szCs w:val="25"/>
          <w:u w:val="single"/>
        </w:rPr>
        <w:t xml:space="preserve">Legal Standards </w:t>
      </w:r>
    </w:p>
    <w:p w14:paraId="0179F770" w14:textId="77777777" w:rsidR="00DF10B9" w:rsidRPr="00DF10B9" w:rsidRDefault="00DF10B9" w:rsidP="00DF10B9">
      <w:pPr>
        <w:pStyle w:val="NoSpacing"/>
        <w:ind w:left="1440"/>
        <w:rPr>
          <w:rFonts w:ascii="Aptos" w:hAnsi="Aptos" w:cs="Times New Roman"/>
          <w:color w:val="000000" w:themeColor="text1"/>
          <w:sz w:val="25"/>
          <w:szCs w:val="25"/>
          <w:u w:val="single"/>
        </w:rPr>
      </w:pPr>
    </w:p>
    <w:p w14:paraId="3D37AFC6" w14:textId="06198857" w:rsidR="00C9345A" w:rsidRPr="00DF10B9" w:rsidRDefault="00DF10B9" w:rsidP="005848D6">
      <w:pPr>
        <w:pStyle w:val="NoSpacing"/>
        <w:numPr>
          <w:ilvl w:val="0"/>
          <w:numId w:val="8"/>
        </w:numPr>
        <w:rPr>
          <w:rFonts w:ascii="Aptos" w:hAnsi="Aptos" w:cs="Times New Roman"/>
          <w:i/>
          <w:iCs/>
          <w:color w:val="000000" w:themeColor="text1"/>
          <w:sz w:val="25"/>
          <w:szCs w:val="25"/>
        </w:rPr>
      </w:pPr>
      <w:r>
        <w:rPr>
          <w:rFonts w:ascii="Aptos" w:hAnsi="Aptos" w:cs="Times New Roman"/>
          <w:i/>
          <w:iCs/>
          <w:color w:val="000000" w:themeColor="text1"/>
          <w:sz w:val="25"/>
          <w:szCs w:val="25"/>
        </w:rPr>
        <w:t xml:space="preserve">Subpoenas and </w:t>
      </w:r>
      <w:r w:rsidRPr="00DF10B9">
        <w:rPr>
          <w:rFonts w:ascii="Aptos" w:hAnsi="Aptos" w:cs="Times New Roman"/>
          <w:i/>
          <w:iCs/>
          <w:color w:val="000000" w:themeColor="text1"/>
          <w:sz w:val="25"/>
          <w:szCs w:val="25"/>
        </w:rPr>
        <w:t>Motion</w:t>
      </w:r>
      <w:r>
        <w:rPr>
          <w:rFonts w:ascii="Aptos" w:hAnsi="Aptos" w:cs="Times New Roman"/>
          <w:i/>
          <w:iCs/>
          <w:color w:val="000000" w:themeColor="text1"/>
          <w:sz w:val="25"/>
          <w:szCs w:val="25"/>
        </w:rPr>
        <w:t>s</w:t>
      </w:r>
      <w:r w:rsidRPr="00DF10B9">
        <w:rPr>
          <w:rFonts w:ascii="Aptos" w:hAnsi="Aptos" w:cs="Times New Roman"/>
          <w:i/>
          <w:iCs/>
          <w:color w:val="000000" w:themeColor="text1"/>
          <w:sz w:val="25"/>
          <w:szCs w:val="25"/>
        </w:rPr>
        <w:t xml:space="preserve"> to Quash</w:t>
      </w:r>
      <w:r>
        <w:rPr>
          <w:rFonts w:ascii="Aptos" w:hAnsi="Aptos" w:cs="Times New Roman"/>
          <w:i/>
          <w:iCs/>
          <w:color w:val="000000" w:themeColor="text1"/>
          <w:sz w:val="25"/>
          <w:szCs w:val="25"/>
        </w:rPr>
        <w:t xml:space="preserve"> </w:t>
      </w:r>
    </w:p>
    <w:p w14:paraId="3A5A5D74" w14:textId="77777777" w:rsidR="00DF10B9" w:rsidRDefault="00DF10B9" w:rsidP="00DF10B9">
      <w:pPr>
        <w:pStyle w:val="NoSpacing"/>
        <w:rPr>
          <w:rFonts w:ascii="Aptos" w:hAnsi="Aptos" w:cs="Times New Roman"/>
          <w:color w:val="000000" w:themeColor="text1"/>
          <w:sz w:val="25"/>
          <w:szCs w:val="25"/>
        </w:rPr>
      </w:pPr>
    </w:p>
    <w:p w14:paraId="1A9F070C" w14:textId="77777777" w:rsidR="00DF10B9" w:rsidRDefault="00DF10B9" w:rsidP="00DF10B9">
      <w:pPr>
        <w:pStyle w:val="NoSpacing"/>
        <w:ind w:left="720"/>
        <w:rPr>
          <w:rFonts w:ascii="Aptos" w:hAnsi="Aptos" w:cs="Times New Roman"/>
          <w:i/>
          <w:iCs/>
          <w:color w:val="000000" w:themeColor="text1"/>
          <w:sz w:val="25"/>
          <w:szCs w:val="25"/>
        </w:rPr>
      </w:pPr>
      <w:r>
        <w:rPr>
          <w:rFonts w:ascii="Aptos" w:hAnsi="Aptos" w:cs="Times New Roman"/>
          <w:color w:val="000000" w:themeColor="text1"/>
          <w:sz w:val="25"/>
          <w:szCs w:val="25"/>
        </w:rPr>
        <w:t xml:space="preserve">Pursuant to Rule VII(B) of the BSEA </w:t>
      </w:r>
      <w:r>
        <w:rPr>
          <w:rFonts w:ascii="Aptos" w:hAnsi="Aptos" w:cs="Times New Roman"/>
          <w:i/>
          <w:iCs/>
          <w:color w:val="000000" w:themeColor="text1"/>
          <w:sz w:val="25"/>
          <w:szCs w:val="25"/>
        </w:rPr>
        <w:t xml:space="preserve">Hearing Rules for Special Education Appeals </w:t>
      </w:r>
    </w:p>
    <w:p w14:paraId="5C0A88AC" w14:textId="33E4F1A4" w:rsidR="00DF10B9" w:rsidRDefault="00DF10B9" w:rsidP="00DF10B9">
      <w:pPr>
        <w:pStyle w:val="NoSpacing"/>
        <w:rPr>
          <w:rFonts w:ascii="Aptos" w:hAnsi="Aptos" w:cs="Times New Roman"/>
          <w:color w:val="000000" w:themeColor="text1"/>
          <w:sz w:val="25"/>
          <w:szCs w:val="25"/>
        </w:rPr>
      </w:pPr>
      <w:r>
        <w:rPr>
          <w:rFonts w:ascii="Aptos" w:hAnsi="Aptos" w:cs="Times New Roman"/>
          <w:color w:val="000000" w:themeColor="text1"/>
          <w:sz w:val="25"/>
          <w:szCs w:val="25"/>
        </w:rPr>
        <w:t xml:space="preserve">(BSEA </w:t>
      </w:r>
      <w:r>
        <w:rPr>
          <w:rFonts w:ascii="Aptos" w:hAnsi="Aptos" w:cs="Times New Roman"/>
          <w:i/>
          <w:iCs/>
          <w:color w:val="000000" w:themeColor="text1"/>
          <w:sz w:val="25"/>
          <w:szCs w:val="25"/>
        </w:rPr>
        <w:t>Hearing Rules</w:t>
      </w:r>
      <w:r>
        <w:rPr>
          <w:rFonts w:ascii="Aptos" w:hAnsi="Aptos" w:cs="Times New Roman"/>
          <w:color w:val="000000" w:themeColor="text1"/>
          <w:sz w:val="25"/>
          <w:szCs w:val="25"/>
        </w:rPr>
        <w:t>), “[u]pon the request of a party, the BSEA shall issue a subpoena to require a person to appear and testify.” A request for a subpoena must be received by the Hearing Officer, and the opposing party, at least 10 calendar days prior to a hearing.</w:t>
      </w:r>
      <w:r>
        <w:rPr>
          <w:rStyle w:val="FootnoteReference"/>
          <w:rFonts w:ascii="Aptos" w:hAnsi="Aptos" w:cs="Times New Roman"/>
          <w:color w:val="000000" w:themeColor="text1"/>
          <w:sz w:val="25"/>
          <w:szCs w:val="25"/>
        </w:rPr>
        <w:footnoteReference w:id="8"/>
      </w:r>
      <w:r>
        <w:rPr>
          <w:rFonts w:ascii="Aptos" w:hAnsi="Aptos" w:cs="Times New Roman"/>
          <w:color w:val="000000" w:themeColor="text1"/>
          <w:sz w:val="25"/>
          <w:szCs w:val="25"/>
        </w:rPr>
        <w:t xml:space="preserve"> An individual who receives a subpoena may request that a Hearing Officer vacate or modify the subpoena, which the Hearing Officer may </w:t>
      </w:r>
      <w:r w:rsidR="006C4DF2">
        <w:rPr>
          <w:rFonts w:ascii="Aptos" w:hAnsi="Aptos" w:cs="Times New Roman"/>
          <w:color w:val="000000" w:themeColor="text1"/>
          <w:sz w:val="25"/>
          <w:szCs w:val="25"/>
        </w:rPr>
        <w:t>d</w:t>
      </w:r>
      <w:r>
        <w:rPr>
          <w:rFonts w:ascii="Aptos" w:hAnsi="Aptos" w:cs="Times New Roman"/>
          <w:color w:val="000000" w:themeColor="text1"/>
          <w:sz w:val="25"/>
          <w:szCs w:val="25"/>
        </w:rPr>
        <w:t xml:space="preserve">o “upon a finding that </w:t>
      </w:r>
      <w:r>
        <w:rPr>
          <w:rFonts w:ascii="Aptos" w:hAnsi="Aptos" w:cs="Times New Roman"/>
          <w:color w:val="000000" w:themeColor="text1"/>
          <w:sz w:val="25"/>
          <w:szCs w:val="25"/>
        </w:rPr>
        <w:lastRenderedPageBreak/>
        <w:t>the testimony or documents sought are not relevant to any matter in question.”</w:t>
      </w:r>
      <w:r>
        <w:rPr>
          <w:rStyle w:val="FootnoteReference"/>
          <w:rFonts w:ascii="Aptos" w:hAnsi="Aptos" w:cs="Times New Roman"/>
          <w:color w:val="000000" w:themeColor="text1"/>
          <w:sz w:val="25"/>
          <w:szCs w:val="25"/>
        </w:rPr>
        <w:footnoteReference w:id="9"/>
      </w:r>
      <w:r>
        <w:rPr>
          <w:rFonts w:ascii="Aptos" w:hAnsi="Aptos" w:cs="Times New Roman"/>
          <w:color w:val="000000" w:themeColor="text1"/>
          <w:sz w:val="25"/>
          <w:szCs w:val="25"/>
        </w:rPr>
        <w:t xml:space="preserve"> The Standard Adjudicatory Rules of Practice and Procedure </w:t>
      </w:r>
      <w:r w:rsidR="005848D6">
        <w:rPr>
          <w:rFonts w:ascii="Aptos" w:hAnsi="Aptos" w:cs="Times New Roman"/>
          <w:color w:val="000000" w:themeColor="text1"/>
          <w:sz w:val="25"/>
          <w:szCs w:val="25"/>
        </w:rPr>
        <w:t>provide that a Hearing Officer may issue, vacate, or modify a subpoena in accordance with the provisions of M.G.L. c. 30A</w:t>
      </w:r>
      <w:r w:rsidR="005848D6" w:rsidRPr="005848D6">
        <w:rPr>
          <w:rFonts w:ascii="Aptos" w:hAnsi="Aptos" w:cs="Times New Roman"/>
          <w:color w:val="000000" w:themeColor="text1"/>
          <w:sz w:val="25"/>
          <w:szCs w:val="25"/>
        </w:rPr>
        <w:t>, § 12</w:t>
      </w:r>
      <w:r w:rsidR="005848D6">
        <w:rPr>
          <w:rFonts w:ascii="Aptos" w:hAnsi="Aptos" w:cs="Times New Roman"/>
          <w:color w:val="000000" w:themeColor="text1"/>
          <w:sz w:val="25"/>
          <w:szCs w:val="25"/>
        </w:rPr>
        <w:t>.</w:t>
      </w:r>
      <w:r w:rsidR="005848D6">
        <w:rPr>
          <w:rStyle w:val="FootnoteReference"/>
          <w:rFonts w:ascii="Aptos" w:hAnsi="Aptos" w:cs="Times New Roman"/>
          <w:color w:val="000000" w:themeColor="text1"/>
          <w:sz w:val="25"/>
          <w:szCs w:val="25"/>
        </w:rPr>
        <w:footnoteReference w:id="10"/>
      </w:r>
      <w:r w:rsidR="005848D6">
        <w:rPr>
          <w:rFonts w:ascii="Aptos" w:hAnsi="Aptos" w:cs="Times New Roman"/>
          <w:color w:val="000000" w:themeColor="text1"/>
          <w:sz w:val="25"/>
          <w:szCs w:val="25"/>
        </w:rPr>
        <w:t xml:space="preserve"> This provision of the Massachusetts General Laws allows a Hearing Officer to vacate or modify a subpoena “upon a finding that the testimony . . . does not relate with reasonable directness to any matter in question . . . or has not been issued a reasonable period in advance of the time when the evidence is requested.”</w:t>
      </w:r>
      <w:r w:rsidR="005848D6">
        <w:rPr>
          <w:rStyle w:val="FootnoteReference"/>
          <w:rFonts w:ascii="Aptos" w:hAnsi="Aptos" w:cs="Times New Roman"/>
          <w:color w:val="000000" w:themeColor="text1"/>
          <w:sz w:val="25"/>
          <w:szCs w:val="25"/>
        </w:rPr>
        <w:footnoteReference w:id="11"/>
      </w:r>
    </w:p>
    <w:p w14:paraId="22D09472" w14:textId="77777777" w:rsidR="00C9345A" w:rsidRDefault="00C9345A" w:rsidP="00AB3B11">
      <w:pPr>
        <w:pStyle w:val="NoSpacing"/>
        <w:rPr>
          <w:rFonts w:ascii="Aptos" w:hAnsi="Aptos" w:cs="Times New Roman"/>
          <w:color w:val="000000" w:themeColor="text1"/>
          <w:sz w:val="25"/>
          <w:szCs w:val="25"/>
          <w:u w:val="single"/>
        </w:rPr>
      </w:pPr>
    </w:p>
    <w:p w14:paraId="3F0A3244" w14:textId="07AD330A" w:rsidR="00F66C64" w:rsidRPr="005848D6" w:rsidRDefault="00C9345A" w:rsidP="005848D6">
      <w:pPr>
        <w:pStyle w:val="NoSpacing"/>
        <w:numPr>
          <w:ilvl w:val="0"/>
          <w:numId w:val="8"/>
        </w:numPr>
        <w:rPr>
          <w:rFonts w:ascii="Aptos" w:hAnsi="Aptos" w:cs="Times New Roman"/>
          <w:i/>
          <w:iCs/>
          <w:color w:val="000000" w:themeColor="text1"/>
          <w:sz w:val="25"/>
          <w:szCs w:val="25"/>
        </w:rPr>
      </w:pPr>
      <w:r w:rsidRPr="005848D6">
        <w:rPr>
          <w:rFonts w:ascii="Aptos" w:hAnsi="Aptos" w:cs="Times New Roman"/>
          <w:i/>
          <w:iCs/>
          <w:color w:val="000000" w:themeColor="text1"/>
          <w:sz w:val="25"/>
          <w:szCs w:val="25"/>
        </w:rPr>
        <w:t>Summary Judgment</w:t>
      </w:r>
    </w:p>
    <w:p w14:paraId="76C2A515" w14:textId="6C277780" w:rsidR="005848D6" w:rsidRDefault="005848D6" w:rsidP="005848D6">
      <w:pPr>
        <w:pStyle w:val="NoSpacing"/>
        <w:ind w:left="2880"/>
        <w:rPr>
          <w:rFonts w:ascii="Aptos" w:hAnsi="Aptos" w:cs="Times New Roman"/>
          <w:color w:val="000000" w:themeColor="text1"/>
          <w:sz w:val="25"/>
          <w:szCs w:val="25"/>
          <w:u w:val="single"/>
        </w:rPr>
      </w:pPr>
    </w:p>
    <w:p w14:paraId="2F2D0998" w14:textId="617E2C25" w:rsidR="00F66C64" w:rsidRPr="00A808B8" w:rsidRDefault="005848D6" w:rsidP="00A808B8">
      <w:pPr>
        <w:autoSpaceDE w:val="0"/>
        <w:autoSpaceDN w:val="0"/>
        <w:adjustRightInd w:val="0"/>
        <w:ind w:firstLine="720"/>
        <w:rPr>
          <w:rFonts w:ascii="Aptos" w:hAnsi="Aptos"/>
          <w:color w:val="000000" w:themeColor="text1"/>
          <w:sz w:val="25"/>
          <w:szCs w:val="25"/>
        </w:rPr>
      </w:pPr>
      <w:r>
        <w:rPr>
          <w:rFonts w:ascii="Aptos" w:hAnsi="Aptos"/>
          <w:color w:val="000000" w:themeColor="text1"/>
          <w:sz w:val="25"/>
          <w:szCs w:val="25"/>
        </w:rPr>
        <w:t xml:space="preserve">To determine whether </w:t>
      </w:r>
      <w:r w:rsidR="00DF10B9" w:rsidRPr="005848D6">
        <w:rPr>
          <w:rFonts w:ascii="Aptos" w:hAnsi="Aptos"/>
          <w:color w:val="000000" w:themeColor="text1"/>
          <w:sz w:val="25"/>
          <w:szCs w:val="25"/>
        </w:rPr>
        <w:t>summary judgment may be granted in this matter, I apply the summary judgment standard to the relevant procedural and substantive law</w:t>
      </w:r>
      <w:r w:rsidR="00A808B8">
        <w:rPr>
          <w:rFonts w:ascii="Aptos" w:hAnsi="Aptos"/>
          <w:color w:val="000000" w:themeColor="text1"/>
          <w:sz w:val="25"/>
          <w:szCs w:val="25"/>
        </w:rPr>
        <w:t xml:space="preserve"> – in this case, the law regarding the role of the BSEA where parties have entered into a private settlement agreement.</w:t>
      </w:r>
    </w:p>
    <w:p w14:paraId="6DD5E994" w14:textId="77777777" w:rsidR="00F66C64" w:rsidRPr="00F47331" w:rsidRDefault="00F66C64" w:rsidP="00F66C64">
      <w:pPr>
        <w:rPr>
          <w:rFonts w:ascii="Aptos" w:hAnsi="Aptos"/>
          <w:i/>
          <w:color w:val="000000" w:themeColor="text1"/>
          <w:sz w:val="25"/>
          <w:szCs w:val="25"/>
        </w:rPr>
      </w:pPr>
    </w:p>
    <w:p w14:paraId="426EB90B" w14:textId="7116E4FC" w:rsidR="00F66C64" w:rsidRPr="00F47331" w:rsidRDefault="00F66C64" w:rsidP="00B36654">
      <w:pPr>
        <w:shd w:val="clear" w:color="auto" w:fill="FFFFFF"/>
        <w:ind w:firstLine="720"/>
        <w:rPr>
          <w:rFonts w:ascii="Aptos" w:hAnsi="Aptos"/>
          <w:color w:val="000000" w:themeColor="text1"/>
          <w:sz w:val="25"/>
          <w:szCs w:val="25"/>
        </w:rPr>
      </w:pPr>
      <w:r w:rsidRPr="00F47331">
        <w:rPr>
          <w:rFonts w:ascii="Aptos" w:hAnsi="Aptos"/>
          <w:color w:val="000000" w:themeColor="text1"/>
          <w:sz w:val="25"/>
          <w:szCs w:val="25"/>
        </w:rPr>
        <w:t>Pursuant to 801 CMR 1.01(7)(h), summary decision may be granted when there is “no genuine issue of fact relating to all or part of a claim or defense and [the moving party] is entitled to prevail as a matter of law.”</w:t>
      </w:r>
      <w:r w:rsidRPr="00F47331">
        <w:rPr>
          <w:rStyle w:val="FootnoteReference"/>
          <w:rFonts w:ascii="Aptos" w:hAnsi="Aptos"/>
          <w:color w:val="000000" w:themeColor="text1"/>
          <w:sz w:val="25"/>
          <w:szCs w:val="25"/>
        </w:rPr>
        <w:footnoteReference w:id="12"/>
      </w:r>
      <w:r w:rsidRPr="00F47331">
        <w:rPr>
          <w:rFonts w:ascii="Aptos" w:hAnsi="Aptos"/>
          <w:color w:val="000000" w:themeColor="text1"/>
          <w:sz w:val="25"/>
          <w:szCs w:val="25"/>
        </w:rPr>
        <w:t xml:space="preserve"> </w:t>
      </w:r>
      <w:r w:rsidRPr="00F47331">
        <w:rPr>
          <w:rFonts w:ascii="Aptos" w:hAnsi="Aptos"/>
          <w:color w:val="000000" w:themeColor="text1"/>
          <w:sz w:val="25"/>
          <w:szCs w:val="25"/>
          <w:shd w:val="clear" w:color="auto" w:fill="FFFFFF"/>
        </w:rPr>
        <w:t>In determining whether to grant summary judgment, BSEA hearing officers are guided by Rule 56 of the Federal and Massachusetts Rules of Civil Procedure, which provide</w:t>
      </w:r>
      <w:r w:rsidR="006C4DF2">
        <w:rPr>
          <w:rFonts w:ascii="Aptos" w:hAnsi="Aptos"/>
          <w:color w:val="000000" w:themeColor="text1"/>
          <w:sz w:val="25"/>
          <w:szCs w:val="25"/>
          <w:shd w:val="clear" w:color="auto" w:fill="FFFFFF"/>
        </w:rPr>
        <w:t>s</w:t>
      </w:r>
      <w:r w:rsidRPr="00F47331">
        <w:rPr>
          <w:rFonts w:ascii="Aptos" w:hAnsi="Aptos"/>
          <w:color w:val="000000" w:themeColor="text1"/>
          <w:sz w:val="25"/>
          <w:szCs w:val="25"/>
          <w:shd w:val="clear" w:color="auto" w:fill="FFFFFF"/>
        </w:rPr>
        <w:t xml:space="preserve">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Pr="00F47331">
        <w:rPr>
          <w:rStyle w:val="FootnoteReference"/>
          <w:rFonts w:ascii="Aptos" w:hAnsi="Aptos"/>
          <w:color w:val="000000" w:themeColor="text1"/>
          <w:sz w:val="25"/>
          <w:szCs w:val="25"/>
          <w:shd w:val="clear" w:color="auto" w:fill="FFFFFF"/>
        </w:rPr>
        <w:footnoteReference w:id="13"/>
      </w:r>
      <w:r w:rsidR="007F46CD" w:rsidRPr="00F47331">
        <w:rPr>
          <w:rFonts w:ascii="Aptos" w:hAnsi="Aptos"/>
          <w:color w:val="000000" w:themeColor="text1"/>
          <w:sz w:val="25"/>
          <w:szCs w:val="25"/>
        </w:rPr>
        <w:t xml:space="preserve"> </w:t>
      </w:r>
      <w:r w:rsidR="00B36654" w:rsidRPr="00F47331">
        <w:rPr>
          <w:rFonts w:ascii="Aptos" w:hAnsi="Aptos"/>
          <w:color w:val="000000" w:themeColor="text1"/>
          <w:sz w:val="25"/>
          <w:szCs w:val="25"/>
        </w:rPr>
        <w:t>“</w:t>
      </w:r>
      <w:r w:rsidRPr="00F47331">
        <w:rPr>
          <w:rFonts w:ascii="Aptos" w:hAnsi="Aptos"/>
          <w:color w:val="000000" w:themeColor="text1"/>
          <w:sz w:val="25"/>
          <w:szCs w:val="25"/>
        </w:rPr>
        <w:t xml:space="preserve">A genuine dispute as to a material fact exists if a fact that </w:t>
      </w:r>
      <w:r w:rsidR="00B36654" w:rsidRPr="00F47331">
        <w:rPr>
          <w:rFonts w:ascii="Aptos" w:hAnsi="Aptos"/>
          <w:color w:val="000000" w:themeColor="text1"/>
          <w:sz w:val="25"/>
          <w:szCs w:val="25"/>
        </w:rPr>
        <w:t>‘</w:t>
      </w:r>
      <w:r w:rsidRPr="00F47331">
        <w:rPr>
          <w:rFonts w:ascii="Aptos" w:hAnsi="Aptos"/>
          <w:color w:val="000000" w:themeColor="text1"/>
          <w:sz w:val="25"/>
          <w:szCs w:val="25"/>
        </w:rPr>
        <w:t>carries with it the potential to affect the outcome of the suit</w:t>
      </w:r>
      <w:r w:rsidR="00B36654" w:rsidRPr="00F47331">
        <w:rPr>
          <w:rFonts w:ascii="Aptos" w:hAnsi="Aptos"/>
          <w:color w:val="000000" w:themeColor="text1"/>
          <w:sz w:val="25"/>
          <w:szCs w:val="25"/>
        </w:rPr>
        <w:t>’</w:t>
      </w:r>
      <w:r w:rsidRPr="00F47331">
        <w:rPr>
          <w:rFonts w:ascii="Aptos" w:hAnsi="Aptos"/>
          <w:color w:val="000000" w:themeColor="text1"/>
          <w:sz w:val="25"/>
          <w:szCs w:val="25"/>
        </w:rPr>
        <w:t xml:space="preserve"> is disputed such that </w:t>
      </w:r>
      <w:r w:rsidR="00B36654" w:rsidRPr="00F47331">
        <w:rPr>
          <w:rFonts w:ascii="Aptos" w:hAnsi="Aptos"/>
          <w:color w:val="000000" w:themeColor="text1"/>
          <w:sz w:val="25"/>
          <w:szCs w:val="25"/>
        </w:rPr>
        <w:t>‘</w:t>
      </w:r>
      <w:r w:rsidRPr="00F47331">
        <w:rPr>
          <w:rFonts w:ascii="Aptos" w:hAnsi="Aptos"/>
          <w:color w:val="000000" w:themeColor="text1"/>
          <w:sz w:val="25"/>
          <w:szCs w:val="25"/>
        </w:rPr>
        <w:t>a reasonable [fact-finder] could resolve the point in the favor of the non-moving party.</w:t>
      </w:r>
      <w:r w:rsidR="00B36654" w:rsidRPr="00F47331">
        <w:rPr>
          <w:rFonts w:ascii="Aptos" w:hAnsi="Aptos"/>
          <w:color w:val="000000" w:themeColor="text1"/>
          <w:sz w:val="25"/>
          <w:szCs w:val="25"/>
        </w:rPr>
        <w:t>’</w:t>
      </w:r>
      <w:r w:rsidRPr="00F47331">
        <w:rPr>
          <w:rFonts w:ascii="Aptos" w:hAnsi="Aptos"/>
          <w:color w:val="000000" w:themeColor="text1"/>
          <w:sz w:val="25"/>
          <w:szCs w:val="25"/>
        </w:rPr>
        <w:t>”</w:t>
      </w:r>
      <w:r w:rsidRPr="00F47331">
        <w:rPr>
          <w:rStyle w:val="FootnoteReference"/>
          <w:rFonts w:ascii="Aptos" w:hAnsi="Aptos"/>
          <w:color w:val="000000" w:themeColor="text1"/>
          <w:sz w:val="25"/>
          <w:szCs w:val="25"/>
        </w:rPr>
        <w:footnoteReference w:id="14"/>
      </w:r>
      <w:r w:rsidRPr="00F47331">
        <w:rPr>
          <w:rFonts w:ascii="Aptos" w:hAnsi="Aptos"/>
          <w:color w:val="000000" w:themeColor="text1"/>
          <w:sz w:val="25"/>
          <w:szCs w:val="25"/>
        </w:rPr>
        <w:t xml:space="preserve"> </w:t>
      </w:r>
      <w:r w:rsidR="00B36654" w:rsidRPr="00F47331">
        <w:rPr>
          <w:rFonts w:ascii="Aptos" w:hAnsi="Aptos"/>
          <w:color w:val="000000" w:themeColor="text1"/>
          <w:sz w:val="25"/>
          <w:szCs w:val="25"/>
        </w:rPr>
        <w:t>Whether a fact is material depends on the applicable substantive law.</w:t>
      </w:r>
      <w:r w:rsidR="00B36654" w:rsidRPr="00F47331">
        <w:rPr>
          <w:rStyle w:val="FootnoteReference"/>
          <w:rFonts w:ascii="Aptos" w:hAnsi="Aptos"/>
          <w:color w:val="000000" w:themeColor="text1"/>
          <w:sz w:val="25"/>
          <w:szCs w:val="25"/>
        </w:rPr>
        <w:footnoteReference w:id="15"/>
      </w:r>
      <w:r w:rsidR="00B36654" w:rsidRPr="00F47331">
        <w:rPr>
          <w:rFonts w:ascii="Aptos" w:hAnsi="Aptos"/>
          <w:color w:val="000000" w:themeColor="text1"/>
          <w:sz w:val="25"/>
          <w:szCs w:val="25"/>
        </w:rPr>
        <w:t xml:space="preserve"> </w:t>
      </w:r>
      <w:r w:rsidRPr="00F47331">
        <w:rPr>
          <w:rFonts w:ascii="Aptos" w:hAnsi="Aptos"/>
          <w:color w:val="000000" w:themeColor="text1"/>
          <w:sz w:val="25"/>
          <w:szCs w:val="25"/>
        </w:rPr>
        <w:t>“Only disputes over facts that might affect the outcome of the suit under the governing law will properly preclude the entry of</w:t>
      </w:r>
      <w:r w:rsidRPr="00F47331">
        <w:rPr>
          <w:rStyle w:val="apple-converted-space"/>
          <w:rFonts w:ascii="Aptos" w:hAnsi="Aptos"/>
          <w:color w:val="000000" w:themeColor="text1"/>
          <w:sz w:val="25"/>
          <w:szCs w:val="25"/>
        </w:rPr>
        <w:t> </w:t>
      </w:r>
      <w:r w:rsidRPr="00F47331">
        <w:rPr>
          <w:rStyle w:val="coconcept4349"/>
          <w:rFonts w:ascii="Aptos" w:hAnsi="Aptos"/>
          <w:color w:val="000000" w:themeColor="text1"/>
          <w:sz w:val="25"/>
          <w:szCs w:val="25"/>
          <w:bdr w:val="none" w:sz="0" w:space="0" w:color="auto" w:frame="1"/>
          <w:shd w:val="clear" w:color="auto" w:fill="FFFFFF"/>
        </w:rPr>
        <w:t>summary</w:t>
      </w:r>
      <w:r w:rsidRPr="00F47331">
        <w:rPr>
          <w:rStyle w:val="apple-converted-space"/>
          <w:rFonts w:ascii="Aptos" w:hAnsi="Aptos"/>
          <w:color w:val="000000" w:themeColor="text1"/>
          <w:sz w:val="25"/>
          <w:szCs w:val="25"/>
        </w:rPr>
        <w:t> </w:t>
      </w:r>
      <w:r w:rsidRPr="00F47331">
        <w:rPr>
          <w:rStyle w:val="coconcept5158"/>
          <w:rFonts w:ascii="Aptos" w:hAnsi="Aptos"/>
          <w:color w:val="000000" w:themeColor="text1"/>
          <w:sz w:val="25"/>
          <w:szCs w:val="25"/>
          <w:bdr w:val="none" w:sz="0" w:space="0" w:color="auto" w:frame="1"/>
          <w:shd w:val="clear" w:color="auto" w:fill="FFFFFF"/>
        </w:rPr>
        <w:t>judgment</w:t>
      </w:r>
      <w:r w:rsidRPr="00F47331">
        <w:rPr>
          <w:rFonts w:ascii="Aptos" w:hAnsi="Aptos"/>
          <w:color w:val="000000" w:themeColor="text1"/>
          <w:sz w:val="25"/>
          <w:szCs w:val="25"/>
        </w:rPr>
        <w:t>. Factual disputes that are irrelevant or unnecessary will not be counted.</w:t>
      </w:r>
      <w:r w:rsidRPr="00F47331">
        <w:rPr>
          <w:rStyle w:val="apple-converted-space"/>
          <w:rFonts w:ascii="Aptos" w:hAnsi="Aptos"/>
          <w:color w:val="000000" w:themeColor="text1"/>
          <w:sz w:val="25"/>
          <w:szCs w:val="25"/>
        </w:rPr>
        <w:t>”</w:t>
      </w:r>
      <w:r w:rsidRPr="00F47331">
        <w:rPr>
          <w:rStyle w:val="FootnoteReference"/>
          <w:rFonts w:ascii="Aptos" w:hAnsi="Aptos"/>
          <w:color w:val="000000" w:themeColor="text1"/>
          <w:sz w:val="25"/>
          <w:szCs w:val="25"/>
          <w:bdr w:val="none" w:sz="0" w:space="0" w:color="auto" w:frame="1"/>
        </w:rPr>
        <w:footnoteReference w:id="16"/>
      </w:r>
    </w:p>
    <w:p w14:paraId="2CBDB297" w14:textId="77777777" w:rsidR="00F66C64" w:rsidRPr="00F47331" w:rsidRDefault="00F66C64" w:rsidP="00F66C64">
      <w:pPr>
        <w:shd w:val="clear" w:color="auto" w:fill="FFFFFF"/>
        <w:rPr>
          <w:rFonts w:ascii="Aptos" w:hAnsi="Aptos"/>
          <w:color w:val="000000" w:themeColor="text1"/>
          <w:sz w:val="25"/>
          <w:szCs w:val="25"/>
        </w:rPr>
      </w:pPr>
    </w:p>
    <w:p w14:paraId="04790B4C" w14:textId="163920FF" w:rsidR="00F66C64" w:rsidRPr="00F47331" w:rsidRDefault="00F66C64" w:rsidP="006956AE">
      <w:pPr>
        <w:ind w:firstLine="720"/>
        <w:rPr>
          <w:rFonts w:ascii="Aptos" w:hAnsi="Aptos"/>
          <w:color w:val="000000" w:themeColor="text1"/>
          <w:sz w:val="25"/>
          <w:szCs w:val="25"/>
        </w:rPr>
      </w:pPr>
      <w:r w:rsidRPr="00F47331">
        <w:rPr>
          <w:rFonts w:ascii="Aptos" w:hAnsi="Aptos"/>
          <w:color w:val="000000" w:themeColor="text1"/>
          <w:sz w:val="25"/>
          <w:szCs w:val="25"/>
        </w:rPr>
        <w:t>The moving party bears the burden of proof</w:t>
      </w:r>
      <w:r w:rsidR="00D978AD" w:rsidRPr="00F47331">
        <w:rPr>
          <w:rFonts w:ascii="Aptos" w:hAnsi="Aptos"/>
          <w:color w:val="000000" w:themeColor="text1"/>
          <w:sz w:val="25"/>
          <w:szCs w:val="25"/>
        </w:rPr>
        <w:t xml:space="preserve"> on </w:t>
      </w:r>
      <w:r w:rsidR="003345A5">
        <w:rPr>
          <w:rFonts w:ascii="Aptos" w:hAnsi="Aptos"/>
          <w:color w:val="000000" w:themeColor="text1"/>
          <w:sz w:val="25"/>
          <w:szCs w:val="25"/>
        </w:rPr>
        <w:t>a</w:t>
      </w:r>
      <w:r w:rsidR="00D978AD" w:rsidRPr="00F47331">
        <w:rPr>
          <w:rFonts w:ascii="Aptos" w:hAnsi="Aptos"/>
          <w:color w:val="000000" w:themeColor="text1"/>
          <w:sz w:val="25"/>
          <w:szCs w:val="25"/>
        </w:rPr>
        <w:t xml:space="preserve"> motion</w:t>
      </w:r>
      <w:r w:rsidR="003345A5">
        <w:rPr>
          <w:rFonts w:ascii="Aptos" w:hAnsi="Aptos"/>
          <w:color w:val="000000" w:themeColor="text1"/>
          <w:sz w:val="25"/>
          <w:szCs w:val="25"/>
        </w:rPr>
        <w:t xml:space="preserve"> for summary judgment</w:t>
      </w:r>
      <w:r w:rsidRPr="00F47331">
        <w:rPr>
          <w:rFonts w:ascii="Aptos" w:hAnsi="Aptos"/>
          <w:color w:val="000000" w:themeColor="text1"/>
          <w:sz w:val="25"/>
          <w:szCs w:val="25"/>
        </w:rPr>
        <w:t xml:space="preserve">, and all evidence and inferences must be viewed in the light most favorable to the party </w:t>
      </w:r>
      <w:r w:rsidRPr="00F47331">
        <w:rPr>
          <w:rFonts w:ascii="Aptos" w:hAnsi="Aptos"/>
          <w:color w:val="000000" w:themeColor="text1"/>
          <w:sz w:val="25"/>
          <w:szCs w:val="25"/>
        </w:rPr>
        <w:lastRenderedPageBreak/>
        <w:t xml:space="preserve">opposing </w:t>
      </w:r>
      <w:r w:rsidR="003345A5">
        <w:rPr>
          <w:rFonts w:ascii="Aptos" w:hAnsi="Aptos"/>
          <w:color w:val="000000" w:themeColor="text1"/>
          <w:sz w:val="25"/>
          <w:szCs w:val="25"/>
        </w:rPr>
        <w:t>the motion</w:t>
      </w:r>
      <w:r w:rsidRPr="00F47331">
        <w:rPr>
          <w:rFonts w:ascii="Aptos" w:hAnsi="Aptos"/>
          <w:color w:val="000000" w:themeColor="text1"/>
          <w:sz w:val="25"/>
          <w:szCs w:val="25"/>
        </w:rPr>
        <w:t>.</w:t>
      </w:r>
      <w:r w:rsidRPr="00F47331">
        <w:rPr>
          <w:rStyle w:val="FootnoteReference"/>
          <w:rFonts w:ascii="Aptos" w:hAnsi="Aptos"/>
          <w:color w:val="000000" w:themeColor="text1"/>
          <w:sz w:val="25"/>
          <w:szCs w:val="25"/>
        </w:rPr>
        <w:footnoteReference w:id="17"/>
      </w:r>
      <w:r w:rsidRPr="00F47331">
        <w:rPr>
          <w:rFonts w:ascii="Aptos" w:hAnsi="Aptos"/>
          <w:color w:val="000000" w:themeColor="text1"/>
          <w:sz w:val="25"/>
          <w:szCs w:val="25"/>
        </w:rPr>
        <w:t xml:space="preserve">  This means that the </w:t>
      </w:r>
      <w:r w:rsidR="00EC3D8C">
        <w:rPr>
          <w:rFonts w:ascii="Aptos" w:hAnsi="Aptos"/>
          <w:color w:val="000000" w:themeColor="text1"/>
          <w:sz w:val="25"/>
          <w:szCs w:val="25"/>
        </w:rPr>
        <w:t>fact-finder</w:t>
      </w:r>
      <w:r w:rsidR="00EC3D8C" w:rsidRPr="00F47331">
        <w:rPr>
          <w:rFonts w:ascii="Aptos" w:hAnsi="Aptos"/>
          <w:color w:val="000000" w:themeColor="text1"/>
          <w:sz w:val="25"/>
          <w:szCs w:val="25"/>
        </w:rPr>
        <w:t xml:space="preserve"> </w:t>
      </w:r>
      <w:r w:rsidRPr="00F47331">
        <w:rPr>
          <w:rFonts w:ascii="Aptos" w:hAnsi="Aptos"/>
          <w:color w:val="000000" w:themeColor="text1"/>
          <w:sz w:val="25"/>
          <w:szCs w:val="25"/>
        </w:rPr>
        <w:t xml:space="preserve">must assess evidence in a way that gives the benefit of </w:t>
      </w:r>
      <w:r w:rsidR="00FD0A0F" w:rsidRPr="00F47331">
        <w:rPr>
          <w:rFonts w:ascii="Aptos" w:hAnsi="Aptos"/>
          <w:color w:val="000000" w:themeColor="text1"/>
          <w:sz w:val="25"/>
          <w:szCs w:val="25"/>
        </w:rPr>
        <w:t xml:space="preserve">the </w:t>
      </w:r>
      <w:r w:rsidRPr="00F47331">
        <w:rPr>
          <w:rFonts w:ascii="Aptos" w:hAnsi="Aptos"/>
          <w:color w:val="000000" w:themeColor="text1"/>
          <w:sz w:val="25"/>
          <w:szCs w:val="25"/>
        </w:rPr>
        <w:t>doubt to the non-moving party.</w:t>
      </w:r>
    </w:p>
    <w:p w14:paraId="32B31E2E" w14:textId="77777777" w:rsidR="00F66C64" w:rsidRPr="00F47331" w:rsidRDefault="00F66C64" w:rsidP="00F66C64">
      <w:pPr>
        <w:rPr>
          <w:rFonts w:ascii="Aptos" w:hAnsi="Aptos"/>
          <w:color w:val="000000" w:themeColor="text1"/>
          <w:sz w:val="25"/>
          <w:szCs w:val="25"/>
        </w:rPr>
      </w:pPr>
    </w:p>
    <w:p w14:paraId="1C998DB3" w14:textId="2C0C6AC0" w:rsidR="00F66C64" w:rsidRPr="00F47331" w:rsidRDefault="00F66C64" w:rsidP="005A783C">
      <w:pPr>
        <w:ind w:firstLine="720"/>
        <w:rPr>
          <w:rFonts w:ascii="Aptos" w:hAnsi="Aptos"/>
          <w:color w:val="000000" w:themeColor="text1"/>
          <w:sz w:val="25"/>
          <w:szCs w:val="25"/>
        </w:rPr>
      </w:pPr>
      <w:r w:rsidRPr="00F47331">
        <w:rPr>
          <w:rFonts w:ascii="Aptos" w:hAnsi="Aptos"/>
          <w:color w:val="000000" w:themeColor="text1"/>
          <w:sz w:val="25"/>
          <w:szCs w:val="25"/>
        </w:rPr>
        <w:t>In response to a motion for summary judgment, the opposing party “must set forth specific facts showing that there is a genuine issue for trial.”</w:t>
      </w:r>
      <w:r w:rsidRPr="00F47331">
        <w:rPr>
          <w:rStyle w:val="FootnoteReference"/>
          <w:rFonts w:ascii="Aptos" w:hAnsi="Aptos"/>
          <w:color w:val="000000" w:themeColor="text1"/>
          <w:sz w:val="25"/>
          <w:szCs w:val="25"/>
        </w:rPr>
        <w:footnoteReference w:id="18"/>
      </w:r>
      <w:r w:rsidRPr="00F47331">
        <w:rPr>
          <w:rFonts w:ascii="Aptos" w:hAnsi="Aptos"/>
          <w:color w:val="000000" w:themeColor="text1"/>
          <w:sz w:val="25"/>
          <w:szCs w:val="25"/>
        </w:rPr>
        <w:t xml:space="preserve"> </w:t>
      </w:r>
      <w:r w:rsidR="00FD0A0F" w:rsidRPr="00F47331">
        <w:rPr>
          <w:rFonts w:ascii="Aptos" w:hAnsi="Aptos"/>
          <w:color w:val="000000" w:themeColor="text1"/>
          <w:sz w:val="25"/>
          <w:szCs w:val="25"/>
        </w:rPr>
        <w:t>This means that the adverse party must show that a finder of fact (in BSEA cases, a hearing officer) must hear the case because the facts in dispute are genuine – in other words, they may “reasonably be resolved in favor of either party.”</w:t>
      </w:r>
      <w:r w:rsidR="00FD0A0F" w:rsidRPr="00F47331">
        <w:rPr>
          <w:rStyle w:val="FootnoteReference"/>
          <w:rFonts w:ascii="Aptos" w:hAnsi="Aptos"/>
          <w:color w:val="000000" w:themeColor="text1"/>
          <w:sz w:val="25"/>
          <w:szCs w:val="25"/>
        </w:rPr>
        <w:footnoteReference w:id="19"/>
      </w:r>
      <w:r w:rsidR="00FD0A0F" w:rsidRPr="00F47331">
        <w:rPr>
          <w:rFonts w:ascii="Aptos" w:hAnsi="Aptos"/>
          <w:color w:val="000000" w:themeColor="text1"/>
          <w:sz w:val="25"/>
          <w:szCs w:val="25"/>
        </w:rPr>
        <w:t xml:space="preserve"> </w:t>
      </w:r>
      <w:r w:rsidR="005A783C" w:rsidRPr="00F47331">
        <w:rPr>
          <w:rFonts w:ascii="Aptos" w:hAnsi="Aptos"/>
          <w:color w:val="000000" w:themeColor="text1"/>
          <w:sz w:val="25"/>
          <w:szCs w:val="25"/>
        </w:rPr>
        <w:t>This requires “sufficient evidence” in favor of the party opposing summary judgment.</w:t>
      </w:r>
      <w:r w:rsidRPr="00F47331">
        <w:rPr>
          <w:rStyle w:val="FootnoteReference"/>
          <w:rFonts w:ascii="Aptos" w:hAnsi="Aptos"/>
          <w:color w:val="000000" w:themeColor="text1"/>
          <w:sz w:val="25"/>
          <w:szCs w:val="25"/>
        </w:rPr>
        <w:footnoteReference w:id="20"/>
      </w:r>
      <w:r w:rsidRPr="00F47331">
        <w:rPr>
          <w:rFonts w:ascii="Aptos" w:hAnsi="Aptos"/>
          <w:color w:val="000000" w:themeColor="text1"/>
          <w:sz w:val="25"/>
          <w:szCs w:val="25"/>
        </w:rPr>
        <w:t xml:space="preserve"> </w:t>
      </w:r>
      <w:r w:rsidR="00317EF8" w:rsidRPr="00F47331">
        <w:rPr>
          <w:rFonts w:ascii="Aptos" w:hAnsi="Aptos"/>
          <w:color w:val="000000" w:themeColor="text1"/>
          <w:sz w:val="25"/>
          <w:szCs w:val="25"/>
        </w:rPr>
        <w:t>Moreover, if the evidence the non-moving party brings forth in its efforts to create a genuine dispute of material fact is comprised of “conclusory allegations, improbable inferences, and unsupported speculation,”</w:t>
      </w:r>
      <w:r w:rsidR="00317EF8" w:rsidRPr="00F47331">
        <w:rPr>
          <w:rStyle w:val="FootnoteReference"/>
          <w:rFonts w:ascii="Aptos" w:hAnsi="Aptos"/>
          <w:color w:val="000000" w:themeColor="text1"/>
          <w:sz w:val="25"/>
          <w:szCs w:val="25"/>
        </w:rPr>
        <w:footnoteReference w:id="21"/>
      </w:r>
      <w:r w:rsidR="00317EF8" w:rsidRPr="00F47331">
        <w:rPr>
          <w:rFonts w:ascii="Aptos" w:hAnsi="Aptos"/>
          <w:color w:val="000000" w:themeColor="text1"/>
          <w:sz w:val="25"/>
          <w:szCs w:val="25"/>
        </w:rPr>
        <w:t xml:space="preserve"> or if it is “merely colorable, or is not significantly probative, summary judgment may be granted.”</w:t>
      </w:r>
      <w:r w:rsidR="00317EF8" w:rsidRPr="00F47331">
        <w:rPr>
          <w:rStyle w:val="FootnoteReference"/>
          <w:rFonts w:ascii="Aptos" w:hAnsi="Aptos"/>
          <w:color w:val="000000" w:themeColor="text1"/>
          <w:sz w:val="25"/>
          <w:szCs w:val="25"/>
        </w:rPr>
        <w:footnoteReference w:id="22"/>
      </w:r>
    </w:p>
    <w:p w14:paraId="49DDCE57" w14:textId="503B6BA9" w:rsidR="00F66C64" w:rsidRDefault="00F66C64" w:rsidP="00317EF8">
      <w:pPr>
        <w:pStyle w:val="NormalWeb"/>
        <w:ind w:firstLine="720"/>
        <w:rPr>
          <w:rFonts w:ascii="Aptos" w:hAnsi="Aptos"/>
          <w:color w:val="000000" w:themeColor="text1"/>
          <w:sz w:val="25"/>
          <w:szCs w:val="25"/>
        </w:rPr>
      </w:pPr>
      <w:r w:rsidRPr="00F47331">
        <w:rPr>
          <w:rFonts w:ascii="Aptos" w:hAnsi="Aptos"/>
          <w:color w:val="000000" w:themeColor="text1"/>
          <w:sz w:val="25"/>
          <w:szCs w:val="25"/>
        </w:rPr>
        <w:t>As such, to analyze whether the party moving for summary judgment has met its initial burden such that the burden shifts to the opposing party, I must view all of the evidence it has submitted in the light most favorable to the opposing party and determine that there is no genuine issue of material fact related to the moving party’s claims. Only if the moving party is successful in this first step does the burden then shift to the opposing party</w:t>
      </w:r>
      <w:r w:rsidR="00866FB3" w:rsidRPr="00F47331">
        <w:rPr>
          <w:rFonts w:ascii="Aptos" w:hAnsi="Aptos"/>
          <w:color w:val="000000" w:themeColor="text1"/>
          <w:sz w:val="25"/>
          <w:szCs w:val="25"/>
        </w:rPr>
        <w:t xml:space="preserve"> to demonstrate, by use of specific facts, that there is actually a genuine dispute of material fact precluding summary judgment</w:t>
      </w:r>
      <w:r w:rsidR="00E92E88">
        <w:rPr>
          <w:rFonts w:ascii="Aptos" w:hAnsi="Aptos"/>
          <w:color w:val="000000" w:themeColor="text1"/>
          <w:sz w:val="25"/>
          <w:szCs w:val="25"/>
        </w:rPr>
        <w:t>,</w:t>
      </w:r>
      <w:r w:rsidR="00866FB3" w:rsidRPr="00F47331">
        <w:rPr>
          <w:rFonts w:ascii="Aptos" w:hAnsi="Aptos"/>
          <w:color w:val="000000" w:themeColor="text1"/>
          <w:sz w:val="25"/>
          <w:szCs w:val="25"/>
        </w:rPr>
        <w:t xml:space="preserve"> because a fact-finder might reasonably resolve the issue in its favor.</w:t>
      </w:r>
    </w:p>
    <w:p w14:paraId="321D1B28" w14:textId="6D012445" w:rsidR="00A808B8" w:rsidRPr="00A808B8" w:rsidRDefault="00A808B8" w:rsidP="00A808B8">
      <w:pPr>
        <w:pStyle w:val="NormalWeb"/>
        <w:numPr>
          <w:ilvl w:val="0"/>
          <w:numId w:val="8"/>
        </w:numPr>
        <w:rPr>
          <w:rFonts w:ascii="Aptos" w:hAnsi="Aptos"/>
          <w:color w:val="000000" w:themeColor="text1"/>
          <w:sz w:val="25"/>
          <w:szCs w:val="25"/>
        </w:rPr>
      </w:pPr>
      <w:r>
        <w:rPr>
          <w:rFonts w:ascii="Aptos" w:hAnsi="Aptos"/>
          <w:i/>
          <w:iCs/>
          <w:color w:val="000000" w:themeColor="text1"/>
          <w:sz w:val="25"/>
          <w:szCs w:val="25"/>
        </w:rPr>
        <w:t>Settlement Agreements</w:t>
      </w:r>
      <w:r w:rsidR="00B34E22">
        <w:rPr>
          <w:rFonts w:ascii="Aptos" w:hAnsi="Aptos"/>
          <w:i/>
          <w:iCs/>
          <w:color w:val="000000" w:themeColor="text1"/>
          <w:sz w:val="25"/>
          <w:szCs w:val="25"/>
        </w:rPr>
        <w:t>,</w:t>
      </w:r>
      <w:r w:rsidR="000C234B">
        <w:rPr>
          <w:rFonts w:ascii="Aptos" w:hAnsi="Aptos"/>
          <w:i/>
          <w:iCs/>
          <w:color w:val="000000" w:themeColor="text1"/>
          <w:sz w:val="25"/>
          <w:szCs w:val="25"/>
        </w:rPr>
        <w:t xml:space="preserve"> BSEA Jurisdiction</w:t>
      </w:r>
      <w:r w:rsidR="00B34E22">
        <w:rPr>
          <w:rFonts w:ascii="Aptos" w:hAnsi="Aptos"/>
          <w:i/>
          <w:iCs/>
          <w:color w:val="000000" w:themeColor="text1"/>
          <w:sz w:val="25"/>
          <w:szCs w:val="25"/>
        </w:rPr>
        <w:t>, and “Changed Circumstances”</w:t>
      </w:r>
    </w:p>
    <w:p w14:paraId="10C6E703" w14:textId="340AE310" w:rsidR="00A808B8" w:rsidRDefault="00BE79CA" w:rsidP="00A808B8">
      <w:pPr>
        <w:pStyle w:val="NormalWeb"/>
        <w:ind w:firstLine="720"/>
        <w:rPr>
          <w:rFonts w:ascii="Aptos" w:hAnsi="Aptos"/>
          <w:color w:val="000000" w:themeColor="text1"/>
          <w:sz w:val="25"/>
          <w:szCs w:val="25"/>
        </w:rPr>
      </w:pPr>
      <w:r>
        <w:rPr>
          <w:rFonts w:ascii="Aptos" w:hAnsi="Aptos"/>
          <w:color w:val="000000" w:themeColor="text1"/>
          <w:sz w:val="25"/>
          <w:szCs w:val="25"/>
        </w:rPr>
        <w:t xml:space="preserve">The BSEA </w:t>
      </w:r>
      <w:r w:rsidR="004665E4">
        <w:rPr>
          <w:rFonts w:ascii="Aptos" w:hAnsi="Aptos"/>
          <w:color w:val="000000" w:themeColor="text1"/>
          <w:sz w:val="25"/>
          <w:szCs w:val="25"/>
        </w:rPr>
        <w:t xml:space="preserve">is an agency of limited jurisdiction. </w:t>
      </w:r>
      <w:r w:rsidR="00A808B8">
        <w:rPr>
          <w:rFonts w:ascii="Aptos" w:hAnsi="Aptos"/>
          <w:color w:val="000000" w:themeColor="text1"/>
          <w:sz w:val="25"/>
          <w:szCs w:val="25"/>
        </w:rPr>
        <w:t xml:space="preserve">Under </w:t>
      </w:r>
      <w:r w:rsidR="000C234B">
        <w:rPr>
          <w:rFonts w:ascii="Aptos" w:hAnsi="Aptos"/>
          <w:color w:val="000000" w:themeColor="text1"/>
          <w:sz w:val="25"/>
          <w:szCs w:val="25"/>
        </w:rPr>
        <w:t>federal and state law</w:t>
      </w:r>
      <w:r w:rsidR="00A808B8">
        <w:rPr>
          <w:rFonts w:ascii="Aptos" w:hAnsi="Aptos"/>
          <w:color w:val="000000" w:themeColor="text1"/>
          <w:sz w:val="25"/>
          <w:szCs w:val="25"/>
        </w:rPr>
        <w:t>, parties may file timely complaints before the BSEA “with respect to any matter relating to the identification, evaluation or educational placement of [a] child, or the provision of a free appropriate public education to such child.”</w:t>
      </w:r>
      <w:r w:rsidR="00A808B8">
        <w:rPr>
          <w:rStyle w:val="FootnoteReference"/>
          <w:rFonts w:ascii="Aptos" w:hAnsi="Aptos"/>
          <w:color w:val="000000" w:themeColor="text1"/>
          <w:sz w:val="25"/>
          <w:szCs w:val="25"/>
        </w:rPr>
        <w:footnoteReference w:id="23"/>
      </w:r>
      <w:r>
        <w:rPr>
          <w:rFonts w:ascii="Aptos" w:hAnsi="Aptos"/>
          <w:color w:val="000000" w:themeColor="text1"/>
          <w:sz w:val="25"/>
          <w:szCs w:val="25"/>
        </w:rPr>
        <w:t xml:space="preserve"> The BSEA does not</w:t>
      </w:r>
      <w:r w:rsidR="004665E4">
        <w:rPr>
          <w:rFonts w:ascii="Aptos" w:hAnsi="Aptos"/>
          <w:color w:val="000000" w:themeColor="text1"/>
          <w:sz w:val="25"/>
          <w:szCs w:val="25"/>
        </w:rPr>
        <w:t xml:space="preserve">, however, have </w:t>
      </w:r>
      <w:r w:rsidR="004328E5">
        <w:rPr>
          <w:rFonts w:ascii="Aptos" w:hAnsi="Aptos"/>
          <w:color w:val="000000" w:themeColor="text1"/>
          <w:sz w:val="25"/>
          <w:szCs w:val="25"/>
        </w:rPr>
        <w:t>the authority to hear</w:t>
      </w:r>
      <w:r w:rsidR="004665E4">
        <w:rPr>
          <w:rFonts w:ascii="Aptos" w:hAnsi="Aptos"/>
          <w:color w:val="000000" w:themeColor="text1"/>
          <w:sz w:val="25"/>
          <w:szCs w:val="25"/>
        </w:rPr>
        <w:t xml:space="preserve"> every</w:t>
      </w:r>
      <w:r>
        <w:rPr>
          <w:rFonts w:ascii="Aptos" w:hAnsi="Aptos"/>
          <w:color w:val="000000" w:themeColor="text1"/>
          <w:sz w:val="25"/>
          <w:szCs w:val="25"/>
        </w:rPr>
        <w:t xml:space="preserve"> claim involving a student with disabilities</w:t>
      </w:r>
      <w:r w:rsidR="004665E4">
        <w:rPr>
          <w:rFonts w:ascii="Aptos" w:hAnsi="Aptos"/>
          <w:color w:val="000000" w:themeColor="text1"/>
          <w:sz w:val="25"/>
          <w:szCs w:val="25"/>
        </w:rPr>
        <w:t>.</w:t>
      </w:r>
      <w:r w:rsidR="004665E4">
        <w:rPr>
          <w:rStyle w:val="FootnoteReference"/>
          <w:rFonts w:ascii="Aptos" w:hAnsi="Aptos"/>
          <w:color w:val="000000" w:themeColor="text1"/>
          <w:sz w:val="25"/>
          <w:szCs w:val="25"/>
        </w:rPr>
        <w:footnoteReference w:id="24"/>
      </w:r>
      <w:r>
        <w:rPr>
          <w:rFonts w:ascii="Aptos" w:hAnsi="Aptos"/>
          <w:color w:val="000000" w:themeColor="text1"/>
          <w:sz w:val="25"/>
          <w:szCs w:val="25"/>
        </w:rPr>
        <w:t xml:space="preserve"> </w:t>
      </w:r>
      <w:r w:rsidR="00A95B3C">
        <w:rPr>
          <w:rFonts w:ascii="Aptos" w:hAnsi="Aptos"/>
          <w:color w:val="000000" w:themeColor="text1"/>
          <w:sz w:val="25"/>
          <w:szCs w:val="25"/>
        </w:rPr>
        <w:t xml:space="preserve">Many </w:t>
      </w:r>
      <w:r w:rsidR="00A95B3C">
        <w:rPr>
          <w:rFonts w:ascii="Aptos" w:hAnsi="Aptos"/>
          <w:color w:val="000000" w:themeColor="text1"/>
          <w:sz w:val="25"/>
          <w:szCs w:val="25"/>
        </w:rPr>
        <w:lastRenderedPageBreak/>
        <w:t xml:space="preserve">hearing officers have addressed the limitations of BSEA jurisdiction in cases involving disputes between parties </w:t>
      </w:r>
      <w:r w:rsidR="00974ED1">
        <w:rPr>
          <w:rFonts w:ascii="Aptos" w:hAnsi="Aptos"/>
          <w:color w:val="000000" w:themeColor="text1"/>
          <w:sz w:val="25"/>
          <w:szCs w:val="25"/>
        </w:rPr>
        <w:t>that</w:t>
      </w:r>
      <w:r w:rsidR="00A95B3C">
        <w:rPr>
          <w:rFonts w:ascii="Aptos" w:hAnsi="Aptos"/>
          <w:color w:val="000000" w:themeColor="text1"/>
          <w:sz w:val="25"/>
          <w:szCs w:val="25"/>
        </w:rPr>
        <w:t xml:space="preserve"> have previously entered into a binding settlement agreement.</w:t>
      </w:r>
      <w:r w:rsidR="00A95B3C">
        <w:rPr>
          <w:rStyle w:val="FootnoteReference"/>
          <w:rFonts w:ascii="Aptos" w:hAnsi="Aptos"/>
          <w:color w:val="000000" w:themeColor="text1"/>
          <w:sz w:val="25"/>
          <w:szCs w:val="25"/>
        </w:rPr>
        <w:footnoteReference w:id="25"/>
      </w:r>
    </w:p>
    <w:p w14:paraId="00007FE8" w14:textId="4B84F0E4" w:rsidR="00610F82" w:rsidRDefault="00974ED1" w:rsidP="004328E5">
      <w:pPr>
        <w:pStyle w:val="NormalWeb"/>
        <w:ind w:firstLine="720"/>
        <w:rPr>
          <w:rFonts w:ascii="Aptos" w:hAnsi="Aptos"/>
          <w:color w:val="000000" w:themeColor="text1"/>
          <w:sz w:val="25"/>
          <w:szCs w:val="25"/>
          <w:shd w:val="clear" w:color="auto" w:fill="FFFFFF"/>
        </w:rPr>
      </w:pPr>
      <w:r>
        <w:rPr>
          <w:rFonts w:ascii="Aptos" w:hAnsi="Aptos"/>
          <w:color w:val="000000" w:themeColor="text1"/>
          <w:sz w:val="25"/>
          <w:szCs w:val="25"/>
        </w:rPr>
        <w:t>Consistent with the agency’s lack of subject matter over, and expertise concerning, contract law disputes, the BSEA has “historically declined to take jurisdiction over issues of interpretation or enforcement of settlement agreement terms.”</w:t>
      </w:r>
      <w:r>
        <w:rPr>
          <w:rStyle w:val="FootnoteReference"/>
          <w:rFonts w:ascii="Aptos" w:hAnsi="Aptos"/>
          <w:color w:val="000000" w:themeColor="text1"/>
          <w:sz w:val="25"/>
          <w:szCs w:val="25"/>
        </w:rPr>
        <w:footnoteReference w:id="26"/>
      </w:r>
      <w:r>
        <w:rPr>
          <w:rFonts w:ascii="Aptos" w:hAnsi="Aptos"/>
          <w:color w:val="000000" w:themeColor="text1"/>
          <w:sz w:val="25"/>
          <w:szCs w:val="25"/>
        </w:rPr>
        <w:t xml:space="preserve"> </w:t>
      </w:r>
      <w:r w:rsidR="00B34641">
        <w:rPr>
          <w:rFonts w:ascii="Aptos" w:hAnsi="Aptos"/>
          <w:color w:val="000000" w:themeColor="text1"/>
          <w:sz w:val="25"/>
          <w:szCs w:val="25"/>
        </w:rPr>
        <w:t>Parties seeking enforcement of a settlement agreement, or interpretation of any ambiguous language it may contain, may seek such relief in an appropriate state or federal district court.</w:t>
      </w:r>
      <w:r w:rsidR="00B34641">
        <w:rPr>
          <w:rStyle w:val="FootnoteReference"/>
          <w:rFonts w:ascii="Aptos" w:hAnsi="Aptos"/>
          <w:color w:val="000000" w:themeColor="text1"/>
          <w:sz w:val="25"/>
          <w:szCs w:val="25"/>
        </w:rPr>
        <w:footnoteReference w:id="27"/>
      </w:r>
      <w:r w:rsidR="00B34641">
        <w:rPr>
          <w:rFonts w:ascii="Aptos" w:hAnsi="Aptos"/>
          <w:color w:val="000000" w:themeColor="text1"/>
          <w:sz w:val="25"/>
          <w:szCs w:val="25"/>
        </w:rPr>
        <w:t xml:space="preserve"> The BSEA’s practice, instead,</w:t>
      </w:r>
      <w:r>
        <w:rPr>
          <w:rFonts w:ascii="Aptos" w:hAnsi="Aptos"/>
          <w:color w:val="000000" w:themeColor="text1"/>
          <w:sz w:val="25"/>
          <w:szCs w:val="25"/>
        </w:rPr>
        <w:t xml:space="preserve"> </w:t>
      </w:r>
      <w:r w:rsidR="004328E5">
        <w:rPr>
          <w:rFonts w:ascii="Aptos" w:hAnsi="Aptos"/>
          <w:color w:val="000000" w:themeColor="text1"/>
          <w:sz w:val="25"/>
          <w:szCs w:val="25"/>
        </w:rPr>
        <w:t>“</w:t>
      </w:r>
      <w:r>
        <w:rPr>
          <w:rFonts w:ascii="Aptos" w:hAnsi="Aptos"/>
          <w:color w:val="000000" w:themeColor="text1"/>
          <w:sz w:val="25"/>
          <w:szCs w:val="25"/>
        </w:rPr>
        <w:t>has been to consider the existence and scope of a settlement agreement when adjudicating cases.</w:t>
      </w:r>
      <w:r w:rsidR="004328E5">
        <w:rPr>
          <w:rFonts w:ascii="Aptos" w:hAnsi="Aptos"/>
          <w:color w:val="000000" w:themeColor="text1"/>
          <w:sz w:val="25"/>
          <w:szCs w:val="25"/>
        </w:rPr>
        <w:t xml:space="preserve"> Hearing officers do not ‘undo’ settlement agreements, or proceed to an evidentiary hearing on a matter that has been addressed and resolved via a settlement agreement.”</w:t>
      </w:r>
      <w:r w:rsidR="004328E5">
        <w:rPr>
          <w:rStyle w:val="FootnoteReference"/>
          <w:rFonts w:ascii="Aptos" w:hAnsi="Aptos"/>
          <w:color w:val="000000" w:themeColor="text1"/>
          <w:sz w:val="25"/>
          <w:szCs w:val="25"/>
        </w:rPr>
        <w:footnoteReference w:id="28"/>
      </w:r>
      <w:r>
        <w:rPr>
          <w:rFonts w:ascii="Aptos" w:hAnsi="Aptos"/>
          <w:color w:val="000000" w:themeColor="text1"/>
          <w:sz w:val="25"/>
          <w:szCs w:val="25"/>
        </w:rPr>
        <w:t xml:space="preserve"> </w:t>
      </w:r>
      <w:r w:rsidR="004328E5">
        <w:rPr>
          <w:rFonts w:ascii="Aptos" w:hAnsi="Aptos"/>
          <w:color w:val="000000" w:themeColor="text1"/>
          <w:sz w:val="25"/>
          <w:szCs w:val="25"/>
        </w:rPr>
        <w:t xml:space="preserve">To allow otherwise, essentially permitting a party to avoid its obligations under the agreement and seek a decision on the merits by a hearing officer, </w:t>
      </w:r>
      <w:r w:rsidR="00AE6C6B">
        <w:rPr>
          <w:rFonts w:ascii="Aptos" w:hAnsi="Aptos"/>
          <w:color w:val="000000" w:themeColor="text1"/>
          <w:sz w:val="25"/>
          <w:szCs w:val="25"/>
          <w:shd w:val="clear" w:color="auto" w:fill="FFFFFF"/>
        </w:rPr>
        <w:t xml:space="preserve">“would undermine the integrity and efficacy of the settlement </w:t>
      </w:r>
      <w:r w:rsidR="004328E5">
        <w:rPr>
          <w:rFonts w:ascii="Aptos" w:hAnsi="Aptos"/>
          <w:color w:val="000000" w:themeColor="text1"/>
          <w:sz w:val="25"/>
          <w:szCs w:val="25"/>
          <w:shd w:val="clear" w:color="auto" w:fill="FFFFFF"/>
        </w:rPr>
        <w:t>process</w:t>
      </w:r>
      <w:r w:rsidR="00AE6C6B">
        <w:rPr>
          <w:rFonts w:ascii="Aptos" w:hAnsi="Aptos"/>
          <w:color w:val="000000" w:themeColor="text1"/>
          <w:sz w:val="25"/>
          <w:szCs w:val="25"/>
          <w:shd w:val="clear" w:color="auto" w:fill="FFFFFF"/>
        </w:rPr>
        <w:t>.”</w:t>
      </w:r>
      <w:r w:rsidR="004328E5">
        <w:rPr>
          <w:rStyle w:val="FootnoteReference"/>
          <w:rFonts w:ascii="Aptos" w:hAnsi="Aptos"/>
          <w:color w:val="000000" w:themeColor="text1"/>
          <w:sz w:val="25"/>
          <w:szCs w:val="25"/>
          <w:shd w:val="clear" w:color="auto" w:fill="FFFFFF"/>
        </w:rPr>
        <w:footnoteReference w:id="29"/>
      </w:r>
      <w:r w:rsidR="00AE6C6B">
        <w:rPr>
          <w:rFonts w:ascii="Aptos" w:hAnsi="Aptos"/>
          <w:color w:val="000000" w:themeColor="text1"/>
          <w:sz w:val="25"/>
          <w:szCs w:val="25"/>
          <w:shd w:val="clear" w:color="auto" w:fill="FFFFFF"/>
        </w:rPr>
        <w:t xml:space="preserve"> </w:t>
      </w:r>
    </w:p>
    <w:p w14:paraId="6C715E80" w14:textId="77777777" w:rsidR="009507D5" w:rsidRDefault="00907028" w:rsidP="00B34E22">
      <w:pPr>
        <w:pStyle w:val="NormalWeb"/>
        <w:ind w:firstLine="720"/>
        <w:rPr>
          <w:rFonts w:ascii="Aptos" w:hAnsi="Aptos"/>
          <w:color w:val="000000" w:themeColor="text1"/>
          <w:sz w:val="25"/>
          <w:szCs w:val="25"/>
          <w:shd w:val="clear" w:color="auto" w:fill="FFFFFF"/>
        </w:rPr>
      </w:pPr>
      <w:r>
        <w:rPr>
          <w:rFonts w:ascii="Aptos" w:hAnsi="Aptos"/>
          <w:color w:val="000000" w:themeColor="text1"/>
          <w:sz w:val="25"/>
          <w:szCs w:val="25"/>
          <w:shd w:val="clear" w:color="auto" w:fill="FFFFFF"/>
        </w:rPr>
        <w:t xml:space="preserve">Courts have recognized that </w:t>
      </w:r>
      <w:r w:rsidR="002914E6">
        <w:rPr>
          <w:rFonts w:ascii="Aptos" w:hAnsi="Aptos"/>
          <w:color w:val="000000" w:themeColor="text1"/>
          <w:sz w:val="25"/>
          <w:szCs w:val="25"/>
          <w:shd w:val="clear" w:color="auto" w:fill="FFFFFF"/>
        </w:rPr>
        <w:t>s</w:t>
      </w:r>
      <w:r w:rsidR="004138DD">
        <w:rPr>
          <w:rFonts w:ascii="Aptos" w:hAnsi="Aptos"/>
          <w:color w:val="000000" w:themeColor="text1"/>
          <w:sz w:val="25"/>
          <w:szCs w:val="25"/>
          <w:shd w:val="clear" w:color="auto" w:fill="FFFFFF"/>
        </w:rPr>
        <w:t>ettlement agreements</w:t>
      </w:r>
      <w:r w:rsidR="002914E6">
        <w:rPr>
          <w:rFonts w:ascii="Aptos" w:hAnsi="Aptos"/>
          <w:color w:val="000000" w:themeColor="text1"/>
          <w:sz w:val="25"/>
          <w:szCs w:val="25"/>
          <w:shd w:val="clear" w:color="auto" w:fill="FFFFFF"/>
        </w:rPr>
        <w:t xml:space="preserve"> </w:t>
      </w:r>
      <w:r w:rsidR="004138DD">
        <w:rPr>
          <w:rFonts w:ascii="Aptos" w:hAnsi="Aptos"/>
          <w:color w:val="000000" w:themeColor="text1"/>
          <w:sz w:val="25"/>
          <w:szCs w:val="25"/>
          <w:shd w:val="clear" w:color="auto" w:fill="FFFFFF"/>
        </w:rPr>
        <w:t xml:space="preserve">generally </w:t>
      </w:r>
      <w:r>
        <w:rPr>
          <w:rFonts w:ascii="Aptos" w:hAnsi="Aptos"/>
          <w:color w:val="000000" w:themeColor="text1"/>
          <w:sz w:val="25"/>
          <w:szCs w:val="25"/>
          <w:shd w:val="clear" w:color="auto" w:fill="FFFFFF"/>
        </w:rPr>
        <w:t>“preclude a parent from bringing future IDEA claims – unless .. . . those claims were based on changed circumstances” that arose after the parties entered into the settlement agreement.</w:t>
      </w:r>
      <w:r w:rsidR="004138DD">
        <w:rPr>
          <w:rStyle w:val="FootnoteReference"/>
          <w:rFonts w:ascii="Aptos" w:hAnsi="Aptos"/>
          <w:color w:val="000000" w:themeColor="text1"/>
          <w:sz w:val="25"/>
          <w:szCs w:val="25"/>
          <w:shd w:val="clear" w:color="auto" w:fill="FFFFFF"/>
        </w:rPr>
        <w:footnoteReference w:id="30"/>
      </w:r>
      <w:r>
        <w:rPr>
          <w:rFonts w:ascii="Aptos" w:hAnsi="Aptos"/>
          <w:color w:val="000000" w:themeColor="text1"/>
          <w:sz w:val="25"/>
          <w:szCs w:val="25"/>
          <w:shd w:val="clear" w:color="auto" w:fill="FFFFFF"/>
        </w:rPr>
        <w:t xml:space="preserve"> The </w:t>
      </w:r>
      <w:r w:rsidR="003E7933">
        <w:rPr>
          <w:rFonts w:ascii="Aptos" w:hAnsi="Aptos"/>
          <w:color w:val="000000" w:themeColor="text1"/>
          <w:sz w:val="25"/>
          <w:szCs w:val="25"/>
          <w:shd w:val="clear" w:color="auto" w:fill="FFFFFF"/>
        </w:rPr>
        <w:t xml:space="preserve">United States Court of Appeals for the </w:t>
      </w:r>
      <w:r>
        <w:rPr>
          <w:rFonts w:ascii="Aptos" w:hAnsi="Aptos"/>
          <w:color w:val="000000" w:themeColor="text1"/>
          <w:sz w:val="25"/>
          <w:szCs w:val="25"/>
          <w:shd w:val="clear" w:color="auto" w:fill="FFFFFF"/>
        </w:rPr>
        <w:t xml:space="preserve">First Circuit explained that this </w:t>
      </w:r>
      <w:r>
        <w:rPr>
          <w:rFonts w:ascii="Aptos" w:hAnsi="Aptos"/>
          <w:color w:val="000000" w:themeColor="text1"/>
          <w:sz w:val="25"/>
          <w:szCs w:val="25"/>
          <w:shd w:val="clear" w:color="auto" w:fill="FFFFFF"/>
        </w:rPr>
        <w:lastRenderedPageBreak/>
        <w:t>standard “reflects both the role settlements may play in resolving IDEA disputes and the legitimate concern with allowing IDEA settlements to bargain away – potentially for all time and without regard to the change in conditions that may arise in the course of a child’s development – the statutory right to a free appropriate public education.”</w:t>
      </w:r>
      <w:r>
        <w:rPr>
          <w:rStyle w:val="FootnoteReference"/>
          <w:rFonts w:ascii="Aptos" w:hAnsi="Aptos"/>
          <w:color w:val="000000" w:themeColor="text1"/>
          <w:sz w:val="25"/>
          <w:szCs w:val="25"/>
          <w:shd w:val="clear" w:color="auto" w:fill="FFFFFF"/>
        </w:rPr>
        <w:footnoteReference w:id="31"/>
      </w:r>
      <w:r>
        <w:rPr>
          <w:rFonts w:ascii="Aptos" w:hAnsi="Aptos"/>
          <w:color w:val="000000" w:themeColor="text1"/>
          <w:sz w:val="25"/>
          <w:szCs w:val="25"/>
          <w:shd w:val="clear" w:color="auto" w:fill="FFFFFF"/>
        </w:rPr>
        <w:t xml:space="preserve"> </w:t>
      </w:r>
    </w:p>
    <w:p w14:paraId="45C507DF" w14:textId="79A8249D" w:rsidR="000B6613" w:rsidRDefault="00907028" w:rsidP="00B34E22">
      <w:pPr>
        <w:pStyle w:val="NormalWeb"/>
        <w:ind w:firstLine="720"/>
        <w:rPr>
          <w:rFonts w:ascii="Aptos" w:hAnsi="Aptos"/>
          <w:color w:val="000000" w:themeColor="text1"/>
          <w:sz w:val="25"/>
          <w:szCs w:val="25"/>
          <w:shd w:val="clear" w:color="auto" w:fill="FFFFFF"/>
        </w:rPr>
      </w:pPr>
      <w:r>
        <w:rPr>
          <w:rFonts w:ascii="Aptos" w:hAnsi="Aptos"/>
          <w:color w:val="000000" w:themeColor="text1"/>
          <w:sz w:val="25"/>
          <w:szCs w:val="25"/>
          <w:shd w:val="clear" w:color="auto" w:fill="FFFFFF"/>
        </w:rPr>
        <w:t>Applying this standard in</w:t>
      </w:r>
      <w:r w:rsidR="00F84471">
        <w:rPr>
          <w:rFonts w:ascii="Aptos" w:hAnsi="Aptos"/>
          <w:color w:val="000000" w:themeColor="text1"/>
          <w:sz w:val="25"/>
          <w:szCs w:val="25"/>
          <w:shd w:val="clear" w:color="auto" w:fill="FFFFFF"/>
        </w:rPr>
        <w:t xml:space="preserve"> </w:t>
      </w:r>
      <w:r w:rsidR="00F84471">
        <w:rPr>
          <w:rFonts w:ascii="Aptos" w:hAnsi="Aptos"/>
          <w:i/>
          <w:iCs/>
          <w:color w:val="000000" w:themeColor="text1"/>
          <w:sz w:val="25"/>
          <w:szCs w:val="25"/>
          <w:shd w:val="clear" w:color="auto" w:fill="FFFFFF"/>
        </w:rPr>
        <w:t>South Kingstown School Committee v. Joanna S.</w:t>
      </w:r>
      <w:r w:rsidR="00F84471">
        <w:rPr>
          <w:rFonts w:ascii="Aptos" w:hAnsi="Aptos"/>
          <w:color w:val="000000" w:themeColor="text1"/>
          <w:sz w:val="25"/>
          <w:szCs w:val="25"/>
          <w:shd w:val="clear" w:color="auto" w:fill="FFFFFF"/>
        </w:rPr>
        <w:t>,</w:t>
      </w:r>
      <w:r>
        <w:rPr>
          <w:rFonts w:ascii="Aptos" w:hAnsi="Aptos"/>
          <w:color w:val="000000" w:themeColor="text1"/>
          <w:sz w:val="25"/>
          <w:szCs w:val="25"/>
          <w:shd w:val="clear" w:color="auto" w:fill="FFFFFF"/>
        </w:rPr>
        <w:t xml:space="preserve"> a case where the parties agreed that the District would perform four specific evaluations and</w:t>
      </w:r>
      <w:r w:rsidR="003E7933">
        <w:rPr>
          <w:rFonts w:ascii="Aptos" w:hAnsi="Aptos"/>
          <w:color w:val="000000" w:themeColor="text1"/>
          <w:sz w:val="25"/>
          <w:szCs w:val="25"/>
          <w:shd w:val="clear" w:color="auto" w:fill="FFFFFF"/>
        </w:rPr>
        <w:t xml:space="preserve"> the</w:t>
      </w:r>
      <w:r>
        <w:rPr>
          <w:rFonts w:ascii="Aptos" w:hAnsi="Aptos"/>
          <w:color w:val="000000" w:themeColor="text1"/>
          <w:sz w:val="25"/>
          <w:szCs w:val="25"/>
          <w:shd w:val="clear" w:color="auto" w:fill="FFFFFF"/>
        </w:rPr>
        <w:t xml:space="preserve"> parent released </w:t>
      </w:r>
      <w:r w:rsidR="003E4285">
        <w:rPr>
          <w:rFonts w:ascii="Aptos" w:hAnsi="Aptos"/>
          <w:color w:val="000000" w:themeColor="text1"/>
          <w:sz w:val="25"/>
          <w:szCs w:val="25"/>
          <w:shd w:val="clear" w:color="auto" w:fill="FFFFFF"/>
        </w:rPr>
        <w:t xml:space="preserve">her </w:t>
      </w:r>
      <w:r>
        <w:rPr>
          <w:rFonts w:ascii="Aptos" w:hAnsi="Aptos"/>
          <w:color w:val="000000" w:themeColor="text1"/>
          <w:sz w:val="25"/>
          <w:szCs w:val="25"/>
          <w:shd w:val="clear" w:color="auto" w:fill="FFFFFF"/>
        </w:rPr>
        <w:t>right</w:t>
      </w:r>
      <w:r w:rsidR="003E4285">
        <w:rPr>
          <w:rFonts w:ascii="Aptos" w:hAnsi="Aptos"/>
          <w:color w:val="000000" w:themeColor="text1"/>
          <w:sz w:val="25"/>
          <w:szCs w:val="25"/>
          <w:shd w:val="clear" w:color="auto" w:fill="FFFFFF"/>
        </w:rPr>
        <w:t>s</w:t>
      </w:r>
      <w:r>
        <w:rPr>
          <w:rFonts w:ascii="Aptos" w:hAnsi="Aptos"/>
          <w:color w:val="000000" w:themeColor="text1"/>
          <w:sz w:val="25"/>
          <w:szCs w:val="25"/>
          <w:shd w:val="clear" w:color="auto" w:fill="FFFFFF"/>
        </w:rPr>
        <w:t xml:space="preserve"> to additional evaluations she may have had, the Court found that</w:t>
      </w:r>
      <w:r w:rsidR="003E7933">
        <w:rPr>
          <w:rFonts w:ascii="Aptos" w:hAnsi="Aptos"/>
          <w:color w:val="000000" w:themeColor="text1"/>
          <w:sz w:val="25"/>
          <w:szCs w:val="25"/>
          <w:shd w:val="clear" w:color="auto" w:fill="FFFFFF"/>
        </w:rPr>
        <w:t xml:space="preserve"> the parent’s request for additional evaluations did not arise “from a change in the conditions that prevailed</w:t>
      </w:r>
      <w:r w:rsidR="0035147F">
        <w:rPr>
          <w:rFonts w:ascii="Aptos" w:hAnsi="Aptos"/>
          <w:color w:val="000000" w:themeColor="text1"/>
          <w:sz w:val="25"/>
          <w:szCs w:val="25"/>
          <w:shd w:val="clear" w:color="auto" w:fill="FFFFFF"/>
        </w:rPr>
        <w:t>”</w:t>
      </w:r>
      <w:r w:rsidR="003E7933">
        <w:rPr>
          <w:rFonts w:ascii="Aptos" w:hAnsi="Aptos"/>
          <w:color w:val="000000" w:themeColor="text1"/>
          <w:sz w:val="25"/>
          <w:szCs w:val="25"/>
          <w:shd w:val="clear" w:color="auto" w:fill="FFFFFF"/>
        </w:rPr>
        <w:t xml:space="preserve"> at the time she signed the Settlement Agreement.</w:t>
      </w:r>
      <w:r w:rsidR="003E7933">
        <w:rPr>
          <w:rStyle w:val="FootnoteReference"/>
          <w:rFonts w:ascii="Aptos" w:hAnsi="Aptos"/>
          <w:color w:val="000000" w:themeColor="text1"/>
          <w:sz w:val="25"/>
          <w:szCs w:val="25"/>
          <w:shd w:val="clear" w:color="auto" w:fill="FFFFFF"/>
        </w:rPr>
        <w:footnoteReference w:id="32"/>
      </w:r>
      <w:r w:rsidR="003E7933">
        <w:rPr>
          <w:rFonts w:ascii="Aptos" w:hAnsi="Aptos"/>
          <w:color w:val="000000" w:themeColor="text1"/>
          <w:sz w:val="25"/>
          <w:szCs w:val="25"/>
          <w:shd w:val="clear" w:color="auto" w:fill="FFFFFF"/>
        </w:rPr>
        <w:t xml:space="preserve"> Though the parent argued additional information regarding the student was necessary because of his “past and present behavior presentations,</w:t>
      </w:r>
      <w:r w:rsidR="00F84471">
        <w:rPr>
          <w:rFonts w:ascii="Aptos" w:hAnsi="Aptos"/>
          <w:color w:val="000000" w:themeColor="text1"/>
          <w:sz w:val="25"/>
          <w:szCs w:val="25"/>
          <w:shd w:val="clear" w:color="auto" w:fill="FFFFFF"/>
        </w:rPr>
        <w:t>”</w:t>
      </w:r>
      <w:r w:rsidR="003E7933">
        <w:rPr>
          <w:rFonts w:ascii="Aptos" w:hAnsi="Aptos"/>
          <w:color w:val="000000" w:themeColor="text1"/>
          <w:sz w:val="25"/>
          <w:szCs w:val="25"/>
          <w:shd w:val="clear" w:color="auto" w:fill="FFFFFF"/>
        </w:rPr>
        <w:t xml:space="preserve"> she did not identify any changes in </w:t>
      </w:r>
      <w:r w:rsidR="000B6613">
        <w:rPr>
          <w:rFonts w:ascii="Aptos" w:hAnsi="Aptos"/>
          <w:color w:val="000000" w:themeColor="text1"/>
          <w:sz w:val="25"/>
          <w:szCs w:val="25"/>
          <w:shd w:val="clear" w:color="auto" w:fill="FFFFFF"/>
        </w:rPr>
        <w:t xml:space="preserve">the student’s </w:t>
      </w:r>
      <w:r w:rsidR="003E7933">
        <w:rPr>
          <w:rFonts w:ascii="Aptos" w:hAnsi="Aptos"/>
          <w:color w:val="000000" w:themeColor="text1"/>
          <w:sz w:val="25"/>
          <w:szCs w:val="25"/>
          <w:shd w:val="clear" w:color="auto" w:fill="FFFFFF"/>
        </w:rPr>
        <w:t xml:space="preserve">behavior presentations that occurred after the settlement, and her argument that there was a need to identify whether her son had dyslexia after she entered into the settlement agreement was not persuasive, as </w:t>
      </w:r>
      <w:r w:rsidR="000B6613">
        <w:rPr>
          <w:rFonts w:ascii="Aptos" w:hAnsi="Aptos"/>
          <w:color w:val="000000" w:themeColor="text1"/>
          <w:sz w:val="25"/>
          <w:szCs w:val="25"/>
          <w:shd w:val="clear" w:color="auto" w:fill="FFFFFF"/>
        </w:rPr>
        <w:t xml:space="preserve">the parent </w:t>
      </w:r>
      <w:r w:rsidR="003E7933">
        <w:rPr>
          <w:rFonts w:ascii="Aptos" w:hAnsi="Aptos"/>
          <w:color w:val="000000" w:themeColor="text1"/>
          <w:sz w:val="25"/>
          <w:szCs w:val="25"/>
          <w:shd w:val="clear" w:color="auto" w:fill="FFFFFF"/>
        </w:rPr>
        <w:t>was “already concerned about dyslexia in April of 2012 when she signed the Settlement Agreement.”</w:t>
      </w:r>
      <w:r w:rsidR="003E7933">
        <w:rPr>
          <w:rStyle w:val="FootnoteReference"/>
          <w:rFonts w:ascii="Aptos" w:hAnsi="Aptos"/>
          <w:color w:val="000000" w:themeColor="text1"/>
          <w:sz w:val="25"/>
          <w:szCs w:val="25"/>
          <w:shd w:val="clear" w:color="auto" w:fill="FFFFFF"/>
        </w:rPr>
        <w:footnoteReference w:id="33"/>
      </w:r>
      <w:r w:rsidR="0035147F">
        <w:rPr>
          <w:rFonts w:ascii="Aptos" w:hAnsi="Aptos"/>
          <w:color w:val="000000" w:themeColor="text1"/>
          <w:sz w:val="25"/>
          <w:szCs w:val="25"/>
          <w:shd w:val="clear" w:color="auto" w:fill="FFFFFF"/>
        </w:rPr>
        <w:t xml:space="preserve"> </w:t>
      </w:r>
      <w:r w:rsidR="003E7933">
        <w:rPr>
          <w:rFonts w:ascii="Aptos" w:hAnsi="Aptos"/>
          <w:color w:val="000000" w:themeColor="text1"/>
          <w:sz w:val="25"/>
          <w:szCs w:val="25"/>
          <w:shd w:val="clear" w:color="auto" w:fill="FFFFFF"/>
        </w:rPr>
        <w:t xml:space="preserve">As such, </w:t>
      </w:r>
      <w:r>
        <w:rPr>
          <w:rFonts w:ascii="Aptos" w:hAnsi="Aptos"/>
          <w:color w:val="000000" w:themeColor="text1"/>
          <w:sz w:val="25"/>
          <w:szCs w:val="25"/>
          <w:shd w:val="clear" w:color="auto" w:fill="FFFFFF"/>
        </w:rPr>
        <w:t>the record did not “reveal any sufficient change in circumstances</w:t>
      </w:r>
      <w:r w:rsidR="003E7933">
        <w:rPr>
          <w:rFonts w:ascii="Aptos" w:hAnsi="Aptos"/>
          <w:color w:val="000000" w:themeColor="text1"/>
          <w:sz w:val="25"/>
          <w:szCs w:val="25"/>
          <w:shd w:val="clear" w:color="auto" w:fill="FFFFFF"/>
        </w:rPr>
        <w:t>” to “overcome the bar posed by the Settlement Agreement.”</w:t>
      </w:r>
      <w:r w:rsidR="003E7933">
        <w:rPr>
          <w:rStyle w:val="FootnoteReference"/>
          <w:rFonts w:ascii="Aptos" w:hAnsi="Aptos"/>
          <w:color w:val="000000" w:themeColor="text1"/>
          <w:sz w:val="25"/>
          <w:szCs w:val="25"/>
          <w:shd w:val="clear" w:color="auto" w:fill="FFFFFF"/>
        </w:rPr>
        <w:footnoteReference w:id="34"/>
      </w:r>
      <w:r w:rsidR="003E7933">
        <w:rPr>
          <w:rFonts w:ascii="Aptos" w:hAnsi="Aptos"/>
          <w:color w:val="000000" w:themeColor="text1"/>
          <w:sz w:val="25"/>
          <w:szCs w:val="25"/>
          <w:shd w:val="clear" w:color="auto" w:fill="FFFFFF"/>
        </w:rPr>
        <w:t xml:space="preserve"> </w:t>
      </w:r>
    </w:p>
    <w:p w14:paraId="4F0FF55D" w14:textId="74BB053E" w:rsidR="00610F82" w:rsidRPr="00B34E22" w:rsidRDefault="003E7933" w:rsidP="00B34E22">
      <w:pPr>
        <w:pStyle w:val="NormalWeb"/>
        <w:ind w:firstLine="720"/>
        <w:rPr>
          <w:rFonts w:ascii="Aptos" w:hAnsi="Aptos"/>
          <w:color w:val="000000" w:themeColor="text1"/>
          <w:sz w:val="25"/>
          <w:szCs w:val="25"/>
        </w:rPr>
      </w:pPr>
      <w:r>
        <w:rPr>
          <w:rFonts w:ascii="Aptos" w:hAnsi="Aptos"/>
          <w:color w:val="000000" w:themeColor="text1"/>
          <w:sz w:val="25"/>
          <w:szCs w:val="25"/>
          <w:shd w:val="clear" w:color="auto" w:fill="FFFFFF"/>
        </w:rPr>
        <w:t xml:space="preserve">Similarly, the United States Court of Appeals for the Third Circuit concluded that where the parties had entered into a settlement agreement providing that a school district would </w:t>
      </w:r>
      <w:r w:rsidR="00B34E22">
        <w:rPr>
          <w:rFonts w:ascii="Aptos" w:hAnsi="Aptos"/>
          <w:color w:val="000000" w:themeColor="text1"/>
          <w:sz w:val="25"/>
          <w:szCs w:val="25"/>
          <w:shd w:val="clear" w:color="auto" w:fill="FFFFFF"/>
        </w:rPr>
        <w:t>fund</w:t>
      </w:r>
      <w:r>
        <w:rPr>
          <w:rFonts w:ascii="Aptos" w:hAnsi="Aptos"/>
          <w:color w:val="000000" w:themeColor="text1"/>
          <w:sz w:val="25"/>
          <w:szCs w:val="25"/>
          <w:shd w:val="clear" w:color="auto" w:fill="FFFFFF"/>
        </w:rPr>
        <w:t xml:space="preserve"> particular services for a student </w:t>
      </w:r>
      <w:r w:rsidR="00B34E22">
        <w:rPr>
          <w:rFonts w:ascii="Aptos" w:hAnsi="Aptos"/>
          <w:color w:val="000000" w:themeColor="text1"/>
          <w:sz w:val="25"/>
          <w:szCs w:val="25"/>
          <w:shd w:val="clear" w:color="auto" w:fill="FFFFFF"/>
        </w:rPr>
        <w:t xml:space="preserve">to attend </w:t>
      </w:r>
      <w:r>
        <w:rPr>
          <w:rFonts w:ascii="Aptos" w:hAnsi="Aptos"/>
          <w:color w:val="000000" w:themeColor="text1"/>
          <w:sz w:val="25"/>
          <w:szCs w:val="25"/>
          <w:shd w:val="clear" w:color="auto" w:fill="FFFFFF"/>
        </w:rPr>
        <w:t>a private program</w:t>
      </w:r>
      <w:r w:rsidR="00B34E22">
        <w:rPr>
          <w:rFonts w:ascii="Aptos" w:hAnsi="Aptos"/>
          <w:color w:val="000000" w:themeColor="text1"/>
          <w:sz w:val="25"/>
          <w:szCs w:val="25"/>
          <w:shd w:val="clear" w:color="auto" w:fill="FFFFFF"/>
        </w:rPr>
        <w:t xml:space="preserve">, and the private program later “decided that additional help was needed to deal with [Student]’s </w:t>
      </w:r>
      <w:r w:rsidR="00B34E22">
        <w:rPr>
          <w:rFonts w:ascii="Aptos" w:hAnsi="Aptos"/>
          <w:i/>
          <w:iCs/>
          <w:color w:val="000000" w:themeColor="text1"/>
          <w:sz w:val="25"/>
          <w:szCs w:val="25"/>
          <w:shd w:val="clear" w:color="auto" w:fill="FFFFFF"/>
        </w:rPr>
        <w:t>unchanged</w:t>
      </w:r>
      <w:r w:rsidR="00B34E22">
        <w:rPr>
          <w:rFonts w:ascii="Aptos" w:hAnsi="Aptos"/>
          <w:color w:val="000000" w:themeColor="text1"/>
          <w:sz w:val="25"/>
          <w:szCs w:val="25"/>
          <w:shd w:val="clear" w:color="auto" w:fill="FFFFFF"/>
        </w:rPr>
        <w:t xml:space="preserve"> condition,” because the student’s disability had not changed, his “personal circumstances had not changed since settlement.”</w:t>
      </w:r>
      <w:r w:rsidR="00B34E22">
        <w:rPr>
          <w:rStyle w:val="FootnoteReference"/>
          <w:rFonts w:ascii="Aptos" w:hAnsi="Aptos"/>
          <w:color w:val="000000" w:themeColor="text1"/>
          <w:sz w:val="25"/>
          <w:szCs w:val="25"/>
          <w:shd w:val="clear" w:color="auto" w:fill="FFFFFF"/>
        </w:rPr>
        <w:footnoteReference w:id="35"/>
      </w:r>
      <w:r w:rsidR="00B34E22">
        <w:rPr>
          <w:rFonts w:ascii="Aptos" w:hAnsi="Aptos"/>
          <w:color w:val="000000" w:themeColor="text1"/>
          <w:sz w:val="25"/>
          <w:szCs w:val="25"/>
          <w:shd w:val="clear" w:color="auto" w:fill="FFFFFF"/>
        </w:rPr>
        <w:t xml:space="preserve"> The settlement agreement, therefore, was binding on the parties.</w:t>
      </w:r>
      <w:r w:rsidR="00B34E22">
        <w:rPr>
          <w:rStyle w:val="FootnoteReference"/>
          <w:rFonts w:ascii="Aptos" w:hAnsi="Aptos"/>
          <w:color w:val="000000" w:themeColor="text1"/>
          <w:sz w:val="25"/>
          <w:szCs w:val="25"/>
          <w:shd w:val="clear" w:color="auto" w:fill="FFFFFF"/>
        </w:rPr>
        <w:footnoteReference w:id="36"/>
      </w:r>
      <w:r w:rsidR="00B34E22">
        <w:rPr>
          <w:rFonts w:ascii="Aptos" w:hAnsi="Aptos"/>
          <w:color w:val="000000" w:themeColor="text1"/>
          <w:sz w:val="25"/>
          <w:szCs w:val="25"/>
          <w:shd w:val="clear" w:color="auto" w:fill="FFFFFF"/>
        </w:rPr>
        <w:t xml:space="preserve"> To hold otherwise, the Court continued, would “allow [parties] to void settlement agreements when they become unpalatable, [and thereby] would work a significant deterrence contrary to the federal policy of encouraging settlement agreements.”</w:t>
      </w:r>
      <w:r w:rsidR="00B34E22">
        <w:rPr>
          <w:rStyle w:val="FootnoteReference"/>
          <w:rFonts w:ascii="Aptos" w:hAnsi="Aptos"/>
          <w:color w:val="000000" w:themeColor="text1"/>
          <w:sz w:val="25"/>
          <w:szCs w:val="25"/>
          <w:shd w:val="clear" w:color="auto" w:fill="FFFFFF"/>
        </w:rPr>
        <w:footnoteReference w:id="37"/>
      </w:r>
    </w:p>
    <w:p w14:paraId="6FCEAFC3" w14:textId="6C15EA4F" w:rsidR="00F66C64" w:rsidRPr="002A3944" w:rsidRDefault="00F66C64" w:rsidP="002E41DF">
      <w:pPr>
        <w:pStyle w:val="NormalWeb"/>
        <w:numPr>
          <w:ilvl w:val="0"/>
          <w:numId w:val="3"/>
        </w:numPr>
        <w:rPr>
          <w:rFonts w:ascii="Aptos" w:hAnsi="Aptos"/>
          <w:color w:val="000000" w:themeColor="text1"/>
          <w:sz w:val="25"/>
          <w:szCs w:val="25"/>
          <w:u w:val="single"/>
        </w:rPr>
      </w:pPr>
      <w:r w:rsidRPr="002A3944">
        <w:rPr>
          <w:rFonts w:ascii="Aptos" w:hAnsi="Aptos"/>
          <w:color w:val="000000" w:themeColor="text1"/>
          <w:sz w:val="25"/>
          <w:szCs w:val="25"/>
          <w:u w:val="single"/>
        </w:rPr>
        <w:t>Application of Legal Standards</w:t>
      </w:r>
    </w:p>
    <w:p w14:paraId="7A7C405D" w14:textId="5B312AF8" w:rsidR="00021F99" w:rsidRDefault="00021F99" w:rsidP="00021F99">
      <w:pPr>
        <w:pStyle w:val="NormalWeb"/>
        <w:ind w:firstLine="720"/>
        <w:rPr>
          <w:rFonts w:ascii="Aptos" w:hAnsi="Aptos"/>
          <w:color w:val="000000" w:themeColor="text1"/>
          <w:sz w:val="25"/>
          <w:szCs w:val="25"/>
        </w:rPr>
      </w:pPr>
      <w:r w:rsidRPr="00F47331">
        <w:rPr>
          <w:rFonts w:ascii="Aptos" w:hAnsi="Aptos"/>
          <w:color w:val="000000" w:themeColor="text1"/>
          <w:sz w:val="25"/>
          <w:szCs w:val="25"/>
        </w:rPr>
        <w:lastRenderedPageBreak/>
        <w:t>I apply the</w:t>
      </w:r>
      <w:r w:rsidR="002A3944">
        <w:rPr>
          <w:rFonts w:ascii="Aptos" w:hAnsi="Aptos"/>
          <w:color w:val="000000" w:themeColor="text1"/>
          <w:sz w:val="25"/>
          <w:szCs w:val="25"/>
        </w:rPr>
        <w:t>se</w:t>
      </w:r>
      <w:r w:rsidRPr="00F47331">
        <w:rPr>
          <w:rFonts w:ascii="Aptos" w:hAnsi="Aptos"/>
          <w:color w:val="000000" w:themeColor="text1"/>
          <w:sz w:val="25"/>
          <w:szCs w:val="25"/>
        </w:rPr>
        <w:t xml:space="preserve"> standards</w:t>
      </w:r>
      <w:r w:rsidR="008D1BF4">
        <w:rPr>
          <w:rFonts w:ascii="Aptos" w:hAnsi="Aptos"/>
          <w:color w:val="000000" w:themeColor="text1"/>
          <w:sz w:val="25"/>
          <w:szCs w:val="25"/>
        </w:rPr>
        <w:t>, i</w:t>
      </w:r>
      <w:r w:rsidR="00B10D5D" w:rsidRPr="00F47331">
        <w:rPr>
          <w:rFonts w:ascii="Aptos" w:hAnsi="Aptos"/>
          <w:color w:val="000000" w:themeColor="text1"/>
          <w:sz w:val="25"/>
          <w:szCs w:val="25"/>
        </w:rPr>
        <w:t>ncorporat</w:t>
      </w:r>
      <w:r w:rsidR="008D1BF4">
        <w:rPr>
          <w:rFonts w:ascii="Aptos" w:hAnsi="Aptos"/>
          <w:color w:val="000000" w:themeColor="text1"/>
          <w:sz w:val="25"/>
          <w:szCs w:val="25"/>
        </w:rPr>
        <w:t>ing</w:t>
      </w:r>
      <w:r w:rsidR="00B10D5D" w:rsidRPr="00F47331">
        <w:rPr>
          <w:rFonts w:ascii="Aptos" w:hAnsi="Aptos"/>
          <w:color w:val="000000" w:themeColor="text1"/>
          <w:sz w:val="25"/>
          <w:szCs w:val="25"/>
        </w:rPr>
        <w:t xml:space="preserve"> by reference </w:t>
      </w:r>
      <w:r w:rsidR="002A3944">
        <w:rPr>
          <w:rFonts w:ascii="Aptos" w:hAnsi="Aptos"/>
          <w:color w:val="000000" w:themeColor="text1"/>
          <w:sz w:val="25"/>
          <w:szCs w:val="25"/>
        </w:rPr>
        <w:t>the</w:t>
      </w:r>
      <w:r w:rsidR="00B10D5D" w:rsidRPr="00F47331">
        <w:rPr>
          <w:rFonts w:ascii="Aptos" w:hAnsi="Aptos"/>
          <w:color w:val="000000" w:themeColor="text1"/>
          <w:sz w:val="25"/>
          <w:szCs w:val="25"/>
        </w:rPr>
        <w:t xml:space="preserve"> findings</w:t>
      </w:r>
      <w:r w:rsidR="002A3944">
        <w:rPr>
          <w:rFonts w:ascii="Aptos" w:hAnsi="Aptos"/>
          <w:color w:val="000000" w:themeColor="text1"/>
          <w:sz w:val="25"/>
          <w:szCs w:val="25"/>
        </w:rPr>
        <w:t xml:space="preserve"> </w:t>
      </w:r>
      <w:r w:rsidR="00B10D5D" w:rsidRPr="00F47331">
        <w:rPr>
          <w:rFonts w:ascii="Aptos" w:hAnsi="Aptos"/>
          <w:color w:val="000000" w:themeColor="text1"/>
          <w:sz w:val="25"/>
          <w:szCs w:val="25"/>
        </w:rPr>
        <w:t>above to avoid needless repetition.</w:t>
      </w:r>
    </w:p>
    <w:p w14:paraId="40387266" w14:textId="1894F8B8" w:rsidR="002E41DF" w:rsidRDefault="002E41DF" w:rsidP="002E41DF">
      <w:pPr>
        <w:pStyle w:val="NormalWeb"/>
        <w:numPr>
          <w:ilvl w:val="0"/>
          <w:numId w:val="9"/>
        </w:numPr>
        <w:rPr>
          <w:rFonts w:ascii="Aptos" w:hAnsi="Aptos"/>
          <w:color w:val="000000" w:themeColor="text1"/>
          <w:sz w:val="25"/>
          <w:szCs w:val="25"/>
        </w:rPr>
      </w:pPr>
      <w:r>
        <w:rPr>
          <w:rFonts w:ascii="Aptos" w:hAnsi="Aptos"/>
          <w:i/>
          <w:iCs/>
          <w:color w:val="000000" w:themeColor="text1"/>
          <w:sz w:val="25"/>
          <w:szCs w:val="25"/>
        </w:rPr>
        <w:t>Parents Failed to Request Subpoenas in a Timely Manner</w:t>
      </w:r>
      <w:r w:rsidR="0033314C">
        <w:rPr>
          <w:rFonts w:ascii="Aptos" w:hAnsi="Aptos"/>
          <w:i/>
          <w:iCs/>
          <w:color w:val="000000" w:themeColor="text1"/>
          <w:sz w:val="25"/>
          <w:szCs w:val="25"/>
        </w:rPr>
        <w:t xml:space="preserve">; Witness Testimony Not Necessary or Appropriate </w:t>
      </w:r>
    </w:p>
    <w:p w14:paraId="4497AEAD" w14:textId="77777777" w:rsidR="00BF2627" w:rsidRDefault="002C04F0" w:rsidP="000113FF">
      <w:pPr>
        <w:pStyle w:val="NormalWeb"/>
        <w:ind w:firstLine="720"/>
        <w:rPr>
          <w:rFonts w:ascii="Aptos" w:hAnsi="Aptos"/>
          <w:color w:val="000000" w:themeColor="text1"/>
          <w:sz w:val="25"/>
          <w:szCs w:val="25"/>
        </w:rPr>
      </w:pPr>
      <w:r>
        <w:rPr>
          <w:rFonts w:ascii="Aptos" w:hAnsi="Aptos"/>
          <w:color w:val="000000" w:themeColor="text1"/>
          <w:sz w:val="25"/>
          <w:szCs w:val="25"/>
        </w:rPr>
        <w:t>Massachusetts law allows a Hearing Officer to vacate (or quash) a subpoena upon a finding that the testimony “does not relate with reasonable directness to any matter in question . . . or has not been issued a reasonable period in advance of the time when the evidence is requested.”</w:t>
      </w:r>
      <w:r>
        <w:rPr>
          <w:rStyle w:val="FootnoteReference"/>
          <w:rFonts w:ascii="Aptos" w:hAnsi="Aptos"/>
          <w:color w:val="000000" w:themeColor="text1"/>
          <w:sz w:val="25"/>
          <w:szCs w:val="25"/>
        </w:rPr>
        <w:footnoteReference w:id="38"/>
      </w:r>
      <w:r>
        <w:rPr>
          <w:rFonts w:ascii="Aptos" w:hAnsi="Aptos"/>
          <w:color w:val="000000" w:themeColor="text1"/>
          <w:sz w:val="25"/>
          <w:szCs w:val="25"/>
        </w:rPr>
        <w:t xml:space="preserve"> In this case, Parents requested subpoenas</w:t>
      </w:r>
      <w:r w:rsidR="006C4DF2">
        <w:rPr>
          <w:rFonts w:ascii="Aptos" w:hAnsi="Aptos"/>
          <w:color w:val="000000" w:themeColor="text1"/>
          <w:sz w:val="25"/>
          <w:szCs w:val="25"/>
        </w:rPr>
        <w:t xml:space="preserve"> on April 24, 2025</w:t>
      </w:r>
      <w:r>
        <w:rPr>
          <w:rFonts w:ascii="Aptos" w:hAnsi="Aptos"/>
          <w:color w:val="000000" w:themeColor="text1"/>
          <w:sz w:val="25"/>
          <w:szCs w:val="25"/>
        </w:rPr>
        <w:t xml:space="preserve">, which the BSEA issued the same day. Parents’ request was made fewer than 10 calendar days in advance of the motion session and, therefore, failed to comply with </w:t>
      </w:r>
      <w:r w:rsidR="005A1900">
        <w:rPr>
          <w:rFonts w:ascii="Aptos" w:hAnsi="Aptos"/>
          <w:color w:val="000000" w:themeColor="text1"/>
          <w:sz w:val="25"/>
          <w:szCs w:val="25"/>
        </w:rPr>
        <w:t xml:space="preserve">BSEA </w:t>
      </w:r>
      <w:r w:rsidR="005A1900">
        <w:rPr>
          <w:rFonts w:ascii="Aptos" w:hAnsi="Aptos"/>
          <w:i/>
          <w:iCs/>
          <w:color w:val="000000" w:themeColor="text1"/>
          <w:sz w:val="25"/>
          <w:szCs w:val="25"/>
        </w:rPr>
        <w:t xml:space="preserve">Hearing Rule </w:t>
      </w:r>
      <w:r w:rsidR="005A1900">
        <w:rPr>
          <w:rFonts w:ascii="Aptos" w:hAnsi="Aptos"/>
          <w:color w:val="000000" w:themeColor="text1"/>
          <w:sz w:val="25"/>
          <w:szCs w:val="25"/>
        </w:rPr>
        <w:t>VII(B)</w:t>
      </w:r>
      <w:r>
        <w:rPr>
          <w:rFonts w:ascii="Aptos" w:hAnsi="Aptos"/>
          <w:color w:val="000000" w:themeColor="text1"/>
          <w:sz w:val="25"/>
          <w:szCs w:val="25"/>
        </w:rPr>
        <w:t>. For this reason alone, Parents’ subpoenas to Newburyport personnel may be quashed.</w:t>
      </w:r>
      <w:r>
        <w:rPr>
          <w:rStyle w:val="FootnoteReference"/>
          <w:rFonts w:ascii="Aptos" w:hAnsi="Aptos"/>
          <w:color w:val="000000" w:themeColor="text1"/>
          <w:sz w:val="25"/>
          <w:szCs w:val="25"/>
        </w:rPr>
        <w:footnoteReference w:id="39"/>
      </w:r>
      <w:r>
        <w:rPr>
          <w:rFonts w:ascii="Aptos" w:hAnsi="Aptos"/>
          <w:color w:val="000000" w:themeColor="text1"/>
          <w:sz w:val="25"/>
          <w:szCs w:val="25"/>
        </w:rPr>
        <w:t xml:space="preserve"> </w:t>
      </w:r>
    </w:p>
    <w:p w14:paraId="5CBCEB56" w14:textId="2A55F5CB" w:rsidR="002C04F0" w:rsidRDefault="002C04F0" w:rsidP="000113FF">
      <w:pPr>
        <w:pStyle w:val="NormalWeb"/>
        <w:ind w:firstLine="720"/>
        <w:rPr>
          <w:rFonts w:ascii="Aptos" w:hAnsi="Aptos"/>
          <w:color w:val="000000" w:themeColor="text1"/>
          <w:sz w:val="25"/>
          <w:szCs w:val="25"/>
        </w:rPr>
      </w:pPr>
      <w:r>
        <w:rPr>
          <w:rFonts w:ascii="Aptos" w:hAnsi="Aptos"/>
          <w:color w:val="000000" w:themeColor="text1"/>
          <w:sz w:val="25"/>
          <w:szCs w:val="25"/>
        </w:rPr>
        <w:t xml:space="preserve">Even if I were to find that the late request for subpoenas was reasonable </w:t>
      </w:r>
      <w:r w:rsidR="00FC16B8">
        <w:rPr>
          <w:rFonts w:ascii="Aptos" w:hAnsi="Aptos"/>
          <w:color w:val="000000" w:themeColor="text1"/>
          <w:sz w:val="25"/>
          <w:szCs w:val="25"/>
        </w:rPr>
        <w:t>(</w:t>
      </w:r>
      <w:proofErr w:type="gramStart"/>
      <w:r>
        <w:rPr>
          <w:rFonts w:ascii="Aptos" w:hAnsi="Aptos"/>
          <w:color w:val="000000" w:themeColor="text1"/>
          <w:sz w:val="25"/>
          <w:szCs w:val="25"/>
        </w:rPr>
        <w:t>despite the fact that</w:t>
      </w:r>
      <w:proofErr w:type="gramEnd"/>
      <w:r>
        <w:rPr>
          <w:rFonts w:ascii="Aptos" w:hAnsi="Aptos"/>
          <w:color w:val="000000" w:themeColor="text1"/>
          <w:sz w:val="25"/>
          <w:szCs w:val="25"/>
        </w:rPr>
        <w:t xml:space="preserve"> the motion session had been scheduled several months earlier</w:t>
      </w:r>
      <w:r w:rsidR="00FC16B8">
        <w:rPr>
          <w:rFonts w:ascii="Aptos" w:hAnsi="Aptos"/>
          <w:color w:val="000000" w:themeColor="text1"/>
          <w:sz w:val="25"/>
          <w:szCs w:val="25"/>
        </w:rPr>
        <w:t>)</w:t>
      </w:r>
      <w:r>
        <w:rPr>
          <w:rFonts w:ascii="Aptos" w:hAnsi="Aptos"/>
          <w:color w:val="000000" w:themeColor="text1"/>
          <w:sz w:val="25"/>
          <w:szCs w:val="25"/>
        </w:rPr>
        <w:t xml:space="preserve">, </w:t>
      </w:r>
      <w:r w:rsidR="00AB3B11">
        <w:rPr>
          <w:rFonts w:ascii="Aptos" w:hAnsi="Aptos"/>
          <w:color w:val="000000" w:themeColor="text1"/>
          <w:sz w:val="25"/>
          <w:szCs w:val="25"/>
        </w:rPr>
        <w:t xml:space="preserve">the motion session was limited to arguments regarding the District’s </w:t>
      </w:r>
      <w:r w:rsidR="006C4DF2">
        <w:rPr>
          <w:rFonts w:ascii="Aptos" w:hAnsi="Aptos"/>
          <w:i/>
          <w:iCs/>
          <w:color w:val="000000" w:themeColor="text1"/>
          <w:sz w:val="25"/>
          <w:szCs w:val="25"/>
        </w:rPr>
        <w:t xml:space="preserve">SJ </w:t>
      </w:r>
      <w:r w:rsidR="00AB3B11">
        <w:rPr>
          <w:rFonts w:ascii="Aptos" w:hAnsi="Aptos"/>
          <w:i/>
          <w:iCs/>
          <w:color w:val="000000" w:themeColor="text1"/>
          <w:sz w:val="25"/>
          <w:szCs w:val="25"/>
        </w:rPr>
        <w:t>Motion</w:t>
      </w:r>
      <w:r w:rsidR="00AB3B11">
        <w:rPr>
          <w:rFonts w:ascii="Aptos" w:hAnsi="Aptos"/>
          <w:color w:val="000000" w:themeColor="text1"/>
          <w:sz w:val="25"/>
          <w:szCs w:val="25"/>
        </w:rPr>
        <w:t xml:space="preserve">, </w:t>
      </w:r>
      <w:r w:rsidR="006C4DF2">
        <w:rPr>
          <w:rFonts w:ascii="Aptos" w:hAnsi="Aptos"/>
          <w:color w:val="000000" w:themeColor="text1"/>
          <w:sz w:val="25"/>
          <w:szCs w:val="25"/>
        </w:rPr>
        <w:t xml:space="preserve">the outcome of </w:t>
      </w:r>
      <w:r w:rsidR="00AB3B11">
        <w:rPr>
          <w:rFonts w:ascii="Aptos" w:hAnsi="Aptos"/>
          <w:color w:val="000000" w:themeColor="text1"/>
          <w:sz w:val="25"/>
          <w:szCs w:val="25"/>
        </w:rPr>
        <w:t xml:space="preserve">which turns on whether the language of the Settlement Agreement bars the instant </w:t>
      </w:r>
      <w:r w:rsidR="00AB3B11">
        <w:rPr>
          <w:rFonts w:ascii="Aptos" w:hAnsi="Aptos"/>
          <w:i/>
          <w:iCs/>
          <w:color w:val="000000" w:themeColor="text1"/>
          <w:sz w:val="25"/>
          <w:szCs w:val="25"/>
        </w:rPr>
        <w:t>Hearing Request</w:t>
      </w:r>
      <w:r w:rsidR="00AB3B11">
        <w:rPr>
          <w:rFonts w:ascii="Aptos" w:hAnsi="Aptos"/>
          <w:color w:val="000000" w:themeColor="text1"/>
          <w:sz w:val="25"/>
          <w:szCs w:val="25"/>
        </w:rPr>
        <w:t xml:space="preserve">. </w:t>
      </w:r>
      <w:r w:rsidR="0033314C">
        <w:rPr>
          <w:rFonts w:ascii="Aptos" w:hAnsi="Aptos"/>
          <w:color w:val="000000" w:themeColor="text1"/>
          <w:sz w:val="25"/>
          <w:szCs w:val="25"/>
        </w:rPr>
        <w:t>A</w:t>
      </w:r>
      <w:r w:rsidR="00AB3B11">
        <w:rPr>
          <w:rFonts w:ascii="Aptos" w:hAnsi="Aptos"/>
          <w:color w:val="000000" w:themeColor="text1"/>
          <w:sz w:val="25"/>
          <w:szCs w:val="25"/>
        </w:rPr>
        <w:t xml:space="preserve">s explained above, </w:t>
      </w:r>
      <w:r w:rsidR="0033314C">
        <w:rPr>
          <w:rFonts w:ascii="Aptos" w:hAnsi="Aptos"/>
          <w:color w:val="000000" w:themeColor="text1"/>
          <w:sz w:val="25"/>
          <w:szCs w:val="25"/>
        </w:rPr>
        <w:t xml:space="preserve">in deciding whether to grant a motion for summary judgment, </w:t>
      </w:r>
      <w:r w:rsidR="00AB3B11">
        <w:rPr>
          <w:rFonts w:ascii="Aptos" w:hAnsi="Aptos"/>
          <w:color w:val="000000" w:themeColor="text1"/>
          <w:sz w:val="25"/>
          <w:szCs w:val="25"/>
        </w:rPr>
        <w:t>a hearing</w:t>
      </w:r>
      <w:r w:rsidR="000113FF">
        <w:rPr>
          <w:rFonts w:ascii="Aptos" w:hAnsi="Aptos"/>
          <w:color w:val="000000" w:themeColor="text1"/>
          <w:sz w:val="25"/>
          <w:szCs w:val="25"/>
        </w:rPr>
        <w:t xml:space="preserve"> officer</w:t>
      </w:r>
      <w:r w:rsidR="00AB3B11">
        <w:rPr>
          <w:rFonts w:ascii="Aptos" w:hAnsi="Aptos"/>
          <w:color w:val="000000" w:themeColor="text1"/>
          <w:sz w:val="25"/>
          <w:szCs w:val="25"/>
        </w:rPr>
        <w:t xml:space="preserve"> examines the pleadings, depositions, answers to interrogatories, admissions on file, and affidavits</w:t>
      </w:r>
      <w:r w:rsidR="0033314C">
        <w:rPr>
          <w:rFonts w:ascii="Aptos" w:hAnsi="Aptos"/>
          <w:color w:val="000000" w:themeColor="text1"/>
          <w:sz w:val="25"/>
          <w:szCs w:val="25"/>
        </w:rPr>
        <w:t xml:space="preserve"> submitted by both parties.</w:t>
      </w:r>
      <w:r w:rsidR="0033314C">
        <w:rPr>
          <w:rStyle w:val="FootnoteReference"/>
          <w:rFonts w:ascii="Aptos" w:hAnsi="Aptos"/>
          <w:color w:val="000000" w:themeColor="text1"/>
          <w:sz w:val="25"/>
          <w:szCs w:val="25"/>
        </w:rPr>
        <w:footnoteReference w:id="40"/>
      </w:r>
      <w:r w:rsidR="0033314C">
        <w:rPr>
          <w:rFonts w:ascii="Aptos" w:hAnsi="Aptos"/>
          <w:color w:val="000000" w:themeColor="text1"/>
          <w:sz w:val="25"/>
          <w:szCs w:val="25"/>
        </w:rPr>
        <w:t xml:space="preserve"> Taken together, if these documents show that there are no genuine issues of material fact and the moving party is entitled to judgment as a matter of law, summary judgment is appropriate</w:t>
      </w:r>
      <w:r w:rsidR="0033314C" w:rsidRPr="00A01F2E">
        <w:rPr>
          <w:rFonts w:ascii="Aptos" w:hAnsi="Aptos"/>
          <w:color w:val="000000" w:themeColor="text1"/>
          <w:sz w:val="25"/>
          <w:szCs w:val="25"/>
        </w:rPr>
        <w:t>.</w:t>
      </w:r>
      <w:r w:rsidR="0033314C" w:rsidRPr="00A01F2E">
        <w:rPr>
          <w:rStyle w:val="FootnoteReference"/>
          <w:rFonts w:ascii="Aptos" w:hAnsi="Aptos"/>
          <w:color w:val="000000" w:themeColor="text1"/>
          <w:sz w:val="25"/>
          <w:szCs w:val="25"/>
          <w:shd w:val="clear" w:color="auto" w:fill="FFFFFF"/>
        </w:rPr>
        <w:footnoteReference w:id="41"/>
      </w:r>
      <w:r w:rsidR="0033314C" w:rsidRPr="00A01F2E">
        <w:rPr>
          <w:rFonts w:ascii="Aptos" w:hAnsi="Aptos"/>
          <w:color w:val="000000" w:themeColor="text1"/>
          <w:sz w:val="25"/>
          <w:szCs w:val="25"/>
        </w:rPr>
        <w:t xml:space="preserve"> Should the hearing officer conclude that </w:t>
      </w:r>
      <w:r w:rsidR="000113FF" w:rsidRPr="00A01F2E">
        <w:rPr>
          <w:rFonts w:ascii="Aptos" w:hAnsi="Aptos"/>
          <w:color w:val="000000" w:themeColor="text1"/>
          <w:sz w:val="25"/>
          <w:szCs w:val="25"/>
        </w:rPr>
        <w:t xml:space="preserve">live testimony is required in order to resolve </w:t>
      </w:r>
      <w:r w:rsidR="00D20587" w:rsidRPr="00A01F2E">
        <w:rPr>
          <w:rFonts w:ascii="Aptos" w:hAnsi="Aptos"/>
          <w:color w:val="000000" w:themeColor="text1"/>
          <w:sz w:val="25"/>
          <w:szCs w:val="25"/>
        </w:rPr>
        <w:t xml:space="preserve">material </w:t>
      </w:r>
      <w:r w:rsidR="000113FF" w:rsidRPr="00A01F2E">
        <w:rPr>
          <w:rFonts w:ascii="Aptos" w:hAnsi="Aptos"/>
          <w:color w:val="000000" w:themeColor="text1"/>
          <w:sz w:val="25"/>
          <w:szCs w:val="25"/>
        </w:rPr>
        <w:t xml:space="preserve">questions of fact or law, summary judgment </w:t>
      </w:r>
      <w:r w:rsidR="00D20587" w:rsidRPr="00A01F2E">
        <w:rPr>
          <w:rFonts w:ascii="Aptos" w:hAnsi="Aptos"/>
          <w:color w:val="000000" w:themeColor="text1"/>
          <w:sz w:val="25"/>
          <w:szCs w:val="25"/>
        </w:rPr>
        <w:t>would be</w:t>
      </w:r>
      <w:r w:rsidR="000113FF" w:rsidRPr="00A01F2E">
        <w:rPr>
          <w:rFonts w:ascii="Aptos" w:hAnsi="Aptos"/>
          <w:color w:val="000000" w:themeColor="text1"/>
          <w:sz w:val="25"/>
          <w:szCs w:val="25"/>
        </w:rPr>
        <w:t xml:space="preserve"> precluded</w:t>
      </w:r>
      <w:r w:rsidR="00D20587" w:rsidRPr="00A01F2E">
        <w:rPr>
          <w:rFonts w:ascii="Aptos" w:hAnsi="Aptos"/>
          <w:color w:val="000000" w:themeColor="text1"/>
          <w:sz w:val="25"/>
          <w:szCs w:val="25"/>
        </w:rPr>
        <w:t>.</w:t>
      </w:r>
      <w:r w:rsidR="009B3C2F" w:rsidRPr="00A01F2E">
        <w:rPr>
          <w:rStyle w:val="FootnoteReference"/>
          <w:rFonts w:ascii="Aptos" w:hAnsi="Aptos"/>
          <w:color w:val="000000" w:themeColor="text1"/>
          <w:sz w:val="25"/>
          <w:szCs w:val="25"/>
        </w:rPr>
        <w:footnoteReference w:id="42"/>
      </w:r>
      <w:r w:rsidR="0033314C" w:rsidRPr="00A01F2E">
        <w:rPr>
          <w:rFonts w:ascii="Aptos" w:hAnsi="Aptos"/>
          <w:color w:val="000000" w:themeColor="text1"/>
          <w:sz w:val="25"/>
          <w:szCs w:val="25"/>
        </w:rPr>
        <w:t xml:space="preserve"> </w:t>
      </w:r>
      <w:r w:rsidR="009B3C2F" w:rsidRPr="00A01F2E">
        <w:rPr>
          <w:rFonts w:ascii="Aptos" w:hAnsi="Aptos"/>
          <w:color w:val="000000" w:themeColor="text1"/>
          <w:sz w:val="25"/>
          <w:szCs w:val="25"/>
        </w:rPr>
        <w:t>Moreover</w:t>
      </w:r>
      <w:r w:rsidR="000113FF" w:rsidRPr="00A01F2E">
        <w:rPr>
          <w:rFonts w:ascii="Aptos" w:hAnsi="Aptos"/>
          <w:color w:val="000000" w:themeColor="text1"/>
          <w:sz w:val="25"/>
          <w:szCs w:val="25"/>
        </w:rPr>
        <w:t>,</w:t>
      </w:r>
      <w:r w:rsidR="00A01F2E" w:rsidRPr="00A01F2E">
        <w:rPr>
          <w:rFonts w:ascii="Aptos" w:hAnsi="Aptos"/>
          <w:color w:val="000000" w:themeColor="text1"/>
          <w:sz w:val="25"/>
          <w:szCs w:val="25"/>
        </w:rPr>
        <w:t xml:space="preserve"> in this case</w:t>
      </w:r>
      <w:r w:rsidR="000113FF" w:rsidRPr="00A01F2E">
        <w:rPr>
          <w:rFonts w:ascii="Aptos" w:hAnsi="Aptos"/>
          <w:color w:val="000000" w:themeColor="text1"/>
          <w:sz w:val="25"/>
          <w:szCs w:val="25"/>
        </w:rPr>
        <w:t xml:space="preserve"> witness testimony at th</w:t>
      </w:r>
      <w:r w:rsidR="00A01F2E" w:rsidRPr="00A01F2E">
        <w:rPr>
          <w:rFonts w:ascii="Aptos" w:hAnsi="Aptos"/>
          <w:color w:val="000000" w:themeColor="text1"/>
          <w:sz w:val="25"/>
          <w:szCs w:val="25"/>
        </w:rPr>
        <w:t>e</w:t>
      </w:r>
      <w:r w:rsidR="000113FF" w:rsidRPr="00A01F2E">
        <w:rPr>
          <w:rFonts w:ascii="Aptos" w:hAnsi="Aptos"/>
          <w:color w:val="000000" w:themeColor="text1"/>
          <w:sz w:val="25"/>
          <w:szCs w:val="25"/>
        </w:rPr>
        <w:t xml:space="preserve"> motion session would have been neither necessary or appropriate, as it</w:t>
      </w:r>
      <w:r w:rsidRPr="00A01F2E">
        <w:rPr>
          <w:rFonts w:ascii="Aptos" w:hAnsi="Aptos"/>
          <w:color w:val="000000" w:themeColor="text1"/>
          <w:sz w:val="25"/>
          <w:szCs w:val="25"/>
        </w:rPr>
        <w:t xml:space="preserve"> “does not relate with reasonable directness to any matter in question”</w:t>
      </w:r>
      <w:r w:rsidR="00D20587" w:rsidRPr="00A01F2E">
        <w:rPr>
          <w:rFonts w:ascii="Aptos" w:hAnsi="Aptos"/>
          <w:color w:val="000000" w:themeColor="text1"/>
          <w:sz w:val="25"/>
          <w:szCs w:val="25"/>
        </w:rPr>
        <w:t xml:space="preserve"> because</w:t>
      </w:r>
      <w:r w:rsidR="00D20587">
        <w:rPr>
          <w:rFonts w:ascii="Aptos" w:hAnsi="Aptos"/>
          <w:color w:val="000000" w:themeColor="text1"/>
          <w:sz w:val="25"/>
          <w:szCs w:val="25"/>
        </w:rPr>
        <w:t>, as explained below, the language of the Settlement Agreement is unambiguous.</w:t>
      </w:r>
      <w:r w:rsidR="00EB2568" w:rsidRPr="00EB2568">
        <w:rPr>
          <w:rFonts w:ascii="Aptos" w:hAnsi="Aptos"/>
          <w:color w:val="000000" w:themeColor="text1"/>
          <w:sz w:val="25"/>
          <w:szCs w:val="25"/>
        </w:rPr>
        <w:t xml:space="preserve"> </w:t>
      </w:r>
    </w:p>
    <w:p w14:paraId="0DBBE276" w14:textId="6CEF1885" w:rsidR="00463153" w:rsidRPr="00463153" w:rsidRDefault="000113FF" w:rsidP="00463153">
      <w:pPr>
        <w:pStyle w:val="NormalWeb"/>
        <w:numPr>
          <w:ilvl w:val="0"/>
          <w:numId w:val="9"/>
        </w:numPr>
        <w:rPr>
          <w:rFonts w:ascii="Aptos" w:hAnsi="Aptos"/>
          <w:color w:val="000000" w:themeColor="text1"/>
          <w:sz w:val="25"/>
          <w:szCs w:val="25"/>
        </w:rPr>
      </w:pPr>
      <w:r>
        <w:rPr>
          <w:rFonts w:ascii="Aptos" w:hAnsi="Aptos"/>
          <w:i/>
          <w:iCs/>
          <w:color w:val="000000" w:themeColor="text1"/>
          <w:sz w:val="25"/>
          <w:szCs w:val="25"/>
        </w:rPr>
        <w:t>Newburyport Has Met Its Initial Burden to Demonstrate Absence of a Genuine Issue of Material Fac</w:t>
      </w:r>
      <w:r w:rsidR="00463153">
        <w:rPr>
          <w:rFonts w:ascii="Aptos" w:hAnsi="Aptos"/>
          <w:i/>
          <w:iCs/>
          <w:color w:val="000000" w:themeColor="text1"/>
          <w:sz w:val="25"/>
          <w:szCs w:val="25"/>
        </w:rPr>
        <w:t>t</w:t>
      </w:r>
      <w:r w:rsidR="00E24685">
        <w:rPr>
          <w:rFonts w:ascii="Aptos" w:hAnsi="Aptos"/>
          <w:i/>
          <w:iCs/>
          <w:color w:val="000000" w:themeColor="text1"/>
          <w:sz w:val="25"/>
          <w:szCs w:val="25"/>
        </w:rPr>
        <w:t>; Parents Have Not Shown That There is Sufficient Evidence in Their Favor</w:t>
      </w:r>
    </w:p>
    <w:p w14:paraId="01F8F898" w14:textId="1ABF7DA8" w:rsidR="004F557D" w:rsidRDefault="000113FF" w:rsidP="009B30AF">
      <w:pPr>
        <w:pStyle w:val="NormalWeb"/>
        <w:ind w:firstLine="720"/>
        <w:rPr>
          <w:rFonts w:ascii="Aptos" w:hAnsi="Aptos"/>
          <w:color w:val="000000" w:themeColor="text1"/>
          <w:sz w:val="25"/>
          <w:szCs w:val="25"/>
        </w:rPr>
      </w:pPr>
      <w:r>
        <w:rPr>
          <w:rFonts w:ascii="Aptos" w:hAnsi="Aptos"/>
          <w:color w:val="000000" w:themeColor="text1"/>
          <w:sz w:val="25"/>
          <w:szCs w:val="25"/>
        </w:rPr>
        <w:lastRenderedPageBreak/>
        <w:t xml:space="preserve">The language of the Settlement Agreement unambiguously provides </w:t>
      </w:r>
      <w:r w:rsidR="009B30AF">
        <w:rPr>
          <w:rFonts w:ascii="Aptos" w:hAnsi="Aptos"/>
          <w:color w:val="000000" w:themeColor="text1"/>
          <w:sz w:val="25"/>
          <w:szCs w:val="25"/>
        </w:rPr>
        <w:t xml:space="preserve">that through the end of the 2026-2027 school year, </w:t>
      </w:r>
      <w:r>
        <w:rPr>
          <w:rFonts w:ascii="Aptos" w:hAnsi="Aptos"/>
          <w:color w:val="000000" w:themeColor="text1"/>
          <w:sz w:val="25"/>
          <w:szCs w:val="25"/>
        </w:rPr>
        <w:t>Newburyport has no obligation, beyond those set forth within the Settlement Agreement itself</w:t>
      </w:r>
      <w:r w:rsidR="009B30AF">
        <w:rPr>
          <w:rFonts w:ascii="Aptos" w:hAnsi="Aptos"/>
          <w:color w:val="000000" w:themeColor="text1"/>
          <w:sz w:val="25"/>
          <w:szCs w:val="25"/>
        </w:rPr>
        <w:t>,</w:t>
      </w:r>
      <w:r>
        <w:rPr>
          <w:rFonts w:ascii="Aptos" w:hAnsi="Aptos"/>
          <w:color w:val="000000" w:themeColor="text1"/>
          <w:sz w:val="25"/>
          <w:szCs w:val="25"/>
        </w:rPr>
        <w:t xml:space="preserve"> to provide or fund any services </w:t>
      </w:r>
      <w:r w:rsidR="009B30AF">
        <w:rPr>
          <w:rFonts w:ascii="Aptos" w:hAnsi="Aptos"/>
          <w:color w:val="000000" w:themeColor="text1"/>
          <w:sz w:val="25"/>
          <w:szCs w:val="25"/>
        </w:rPr>
        <w:t xml:space="preserve">for </w:t>
      </w:r>
      <w:r>
        <w:rPr>
          <w:rFonts w:ascii="Aptos" w:hAnsi="Aptos"/>
          <w:color w:val="000000" w:themeColor="text1"/>
          <w:sz w:val="25"/>
          <w:szCs w:val="25"/>
        </w:rPr>
        <w:t>or evaluations</w:t>
      </w:r>
      <w:r w:rsidR="009B30AF">
        <w:rPr>
          <w:rFonts w:ascii="Aptos" w:hAnsi="Aptos"/>
          <w:color w:val="000000" w:themeColor="text1"/>
          <w:sz w:val="25"/>
          <w:szCs w:val="25"/>
        </w:rPr>
        <w:t xml:space="preserve"> of Student</w:t>
      </w:r>
      <w:r>
        <w:rPr>
          <w:rFonts w:ascii="Aptos" w:hAnsi="Aptos"/>
          <w:color w:val="000000" w:themeColor="text1"/>
          <w:sz w:val="25"/>
          <w:szCs w:val="25"/>
        </w:rPr>
        <w:t>, or</w:t>
      </w:r>
      <w:r w:rsidR="009B30AF">
        <w:rPr>
          <w:rFonts w:ascii="Aptos" w:hAnsi="Aptos"/>
          <w:color w:val="000000" w:themeColor="text1"/>
          <w:sz w:val="25"/>
          <w:szCs w:val="25"/>
        </w:rPr>
        <w:t xml:space="preserve"> to</w:t>
      </w:r>
      <w:r>
        <w:rPr>
          <w:rFonts w:ascii="Aptos" w:hAnsi="Aptos"/>
          <w:color w:val="000000" w:themeColor="text1"/>
          <w:sz w:val="25"/>
          <w:szCs w:val="25"/>
        </w:rPr>
        <w:t xml:space="preserve"> convene any </w:t>
      </w:r>
      <w:r w:rsidR="009B30AF">
        <w:rPr>
          <w:rFonts w:ascii="Aptos" w:hAnsi="Aptos"/>
          <w:color w:val="000000" w:themeColor="text1"/>
          <w:sz w:val="25"/>
          <w:szCs w:val="25"/>
        </w:rPr>
        <w:t xml:space="preserve">Team meetings. These provisions apply “except and unless there is a material change in circumstances altering [Student]’s educational profile and needs.” </w:t>
      </w:r>
      <w:r w:rsidR="00E24685">
        <w:rPr>
          <w:rFonts w:ascii="Aptos" w:hAnsi="Aptos"/>
          <w:color w:val="000000" w:themeColor="text1"/>
          <w:sz w:val="25"/>
          <w:szCs w:val="25"/>
        </w:rPr>
        <w:t>Consistent with precedent, t</w:t>
      </w:r>
      <w:r w:rsidR="004F557D">
        <w:rPr>
          <w:rFonts w:ascii="Aptos" w:hAnsi="Aptos"/>
          <w:color w:val="000000" w:themeColor="text1"/>
          <w:sz w:val="25"/>
          <w:szCs w:val="25"/>
        </w:rPr>
        <w:t>he parties agree that the BSEA may consider but may not interpret or enforce</w:t>
      </w:r>
      <w:r w:rsidR="00665FB0">
        <w:rPr>
          <w:rFonts w:ascii="Aptos" w:hAnsi="Aptos"/>
          <w:color w:val="000000" w:themeColor="text1"/>
          <w:sz w:val="25"/>
          <w:szCs w:val="25"/>
        </w:rPr>
        <w:t xml:space="preserve"> </w:t>
      </w:r>
      <w:r w:rsidR="004F557D">
        <w:rPr>
          <w:rFonts w:ascii="Aptos" w:hAnsi="Aptos"/>
          <w:color w:val="000000" w:themeColor="text1"/>
          <w:sz w:val="25"/>
          <w:szCs w:val="25"/>
        </w:rPr>
        <w:t>the Settlement Agreement</w:t>
      </w:r>
      <w:r w:rsidR="00E24685">
        <w:rPr>
          <w:rFonts w:ascii="Aptos" w:hAnsi="Aptos"/>
          <w:color w:val="000000" w:themeColor="text1"/>
          <w:sz w:val="25"/>
          <w:szCs w:val="25"/>
        </w:rPr>
        <w:t>.</w:t>
      </w:r>
      <w:r w:rsidR="00E24685">
        <w:rPr>
          <w:rStyle w:val="FootnoteReference"/>
          <w:rFonts w:ascii="Aptos" w:hAnsi="Aptos"/>
          <w:color w:val="000000" w:themeColor="text1"/>
          <w:sz w:val="25"/>
          <w:szCs w:val="25"/>
        </w:rPr>
        <w:footnoteReference w:id="43"/>
      </w:r>
    </w:p>
    <w:p w14:paraId="0D4C44F6" w14:textId="140D98AF" w:rsidR="00463153" w:rsidRDefault="00463153" w:rsidP="00463153">
      <w:pPr>
        <w:pStyle w:val="NormalWeb"/>
        <w:numPr>
          <w:ilvl w:val="2"/>
          <w:numId w:val="3"/>
        </w:numPr>
        <w:rPr>
          <w:rFonts w:ascii="Aptos" w:hAnsi="Aptos"/>
          <w:color w:val="000000" w:themeColor="text1"/>
          <w:sz w:val="25"/>
          <w:szCs w:val="25"/>
        </w:rPr>
      </w:pPr>
      <w:r>
        <w:rPr>
          <w:rFonts w:ascii="Aptos" w:hAnsi="Aptos"/>
          <w:color w:val="000000" w:themeColor="text1"/>
          <w:sz w:val="25"/>
          <w:szCs w:val="25"/>
        </w:rPr>
        <w:t>Newburyport is not required to convene a Team meeting</w:t>
      </w:r>
    </w:p>
    <w:p w14:paraId="0975DAF2" w14:textId="7963D230" w:rsidR="004F557D" w:rsidRDefault="004F557D" w:rsidP="009B30AF">
      <w:pPr>
        <w:pStyle w:val="NormalWeb"/>
        <w:ind w:firstLine="720"/>
        <w:rPr>
          <w:rFonts w:ascii="Aptos" w:hAnsi="Aptos"/>
          <w:color w:val="000000" w:themeColor="text1"/>
          <w:sz w:val="25"/>
          <w:szCs w:val="25"/>
        </w:rPr>
      </w:pPr>
      <w:r>
        <w:rPr>
          <w:rFonts w:ascii="Aptos" w:hAnsi="Aptos"/>
          <w:color w:val="000000" w:themeColor="text1"/>
          <w:sz w:val="25"/>
          <w:szCs w:val="25"/>
        </w:rPr>
        <w:t xml:space="preserve">Parents’ first argument is that their </w:t>
      </w:r>
      <w:r>
        <w:rPr>
          <w:rFonts w:ascii="Aptos" w:hAnsi="Aptos"/>
          <w:i/>
          <w:iCs/>
          <w:color w:val="000000" w:themeColor="text1"/>
          <w:sz w:val="25"/>
          <w:szCs w:val="25"/>
        </w:rPr>
        <w:t>Hearing Request</w:t>
      </w:r>
      <w:r>
        <w:rPr>
          <w:rFonts w:ascii="Aptos" w:hAnsi="Aptos"/>
          <w:color w:val="000000" w:themeColor="text1"/>
          <w:sz w:val="25"/>
          <w:szCs w:val="25"/>
        </w:rPr>
        <w:t xml:space="preserve"> is not barred by the Settlement Agreement, because they are requesting that the District determine that Student has a disability in accordance with the IDEA. </w:t>
      </w:r>
      <w:r w:rsidR="00463153">
        <w:rPr>
          <w:rFonts w:ascii="Aptos" w:hAnsi="Aptos"/>
          <w:color w:val="000000" w:themeColor="text1"/>
          <w:sz w:val="25"/>
          <w:szCs w:val="25"/>
        </w:rPr>
        <w:t>Even viewing the evidence in the light most favorable to Parents, I conclude that Newburyport has established that the unambiguous language of the Settlement Agreement releases the District from any obligation it may have had to convene a Team meeting to consider Student’s eligibility for special education. Parents have not, and cannot, set forth specific facts showing that this issue could reasonably be resolved in their favor; there is no evidence, much less “sufficient evidence” in their favor on this point.</w:t>
      </w:r>
      <w:r w:rsidR="00463153">
        <w:rPr>
          <w:rStyle w:val="FootnoteReference"/>
          <w:rFonts w:ascii="Aptos" w:hAnsi="Aptos"/>
          <w:color w:val="000000" w:themeColor="text1"/>
          <w:sz w:val="25"/>
          <w:szCs w:val="25"/>
        </w:rPr>
        <w:footnoteReference w:id="44"/>
      </w:r>
    </w:p>
    <w:p w14:paraId="537FBFB7" w14:textId="6497B69B" w:rsidR="00463153" w:rsidRDefault="00463153" w:rsidP="00463153">
      <w:pPr>
        <w:pStyle w:val="NormalWeb"/>
        <w:numPr>
          <w:ilvl w:val="2"/>
          <w:numId w:val="3"/>
        </w:numPr>
        <w:rPr>
          <w:rFonts w:ascii="Aptos" w:hAnsi="Aptos"/>
          <w:color w:val="000000" w:themeColor="text1"/>
          <w:sz w:val="25"/>
          <w:szCs w:val="25"/>
        </w:rPr>
      </w:pPr>
      <w:r>
        <w:rPr>
          <w:rFonts w:ascii="Aptos" w:hAnsi="Aptos"/>
          <w:color w:val="000000" w:themeColor="text1"/>
          <w:sz w:val="25"/>
          <w:szCs w:val="25"/>
        </w:rPr>
        <w:t xml:space="preserve">There is no obligation to amend or modify a settlement agreement because </w:t>
      </w:r>
      <w:r w:rsidR="00AC5328">
        <w:rPr>
          <w:rFonts w:ascii="Aptos" w:hAnsi="Aptos"/>
          <w:color w:val="000000" w:themeColor="text1"/>
          <w:sz w:val="25"/>
          <w:szCs w:val="25"/>
        </w:rPr>
        <w:t>a party</w:t>
      </w:r>
      <w:r>
        <w:rPr>
          <w:rFonts w:ascii="Aptos" w:hAnsi="Aptos"/>
          <w:color w:val="000000" w:themeColor="text1"/>
          <w:sz w:val="25"/>
          <w:szCs w:val="25"/>
        </w:rPr>
        <w:t xml:space="preserve"> believes it is no longer appropriate</w:t>
      </w:r>
    </w:p>
    <w:p w14:paraId="149F7C61" w14:textId="4B8C02C4" w:rsidR="00463153" w:rsidRDefault="00463153" w:rsidP="009B30AF">
      <w:pPr>
        <w:pStyle w:val="NormalWeb"/>
        <w:ind w:firstLine="720"/>
        <w:rPr>
          <w:rFonts w:ascii="Aptos" w:hAnsi="Aptos"/>
          <w:color w:val="000000" w:themeColor="text1"/>
          <w:sz w:val="25"/>
          <w:szCs w:val="25"/>
        </w:rPr>
      </w:pPr>
      <w:r>
        <w:rPr>
          <w:rFonts w:ascii="Aptos" w:hAnsi="Aptos"/>
          <w:color w:val="000000" w:themeColor="text1"/>
          <w:sz w:val="25"/>
          <w:szCs w:val="25"/>
        </w:rPr>
        <w:t xml:space="preserve">Second, Parents argue that “a settlement agreement that is no longer appropriate nor effective to the purpose of the agreement results in either an amendment, a change, or a new contract of appropriate wording.” </w:t>
      </w:r>
      <w:r w:rsidR="00AC5328">
        <w:rPr>
          <w:rFonts w:ascii="Aptos" w:hAnsi="Aptos"/>
          <w:color w:val="000000" w:themeColor="text1"/>
          <w:sz w:val="25"/>
          <w:szCs w:val="25"/>
        </w:rPr>
        <w:t>Parents</w:t>
      </w:r>
      <w:r>
        <w:rPr>
          <w:rFonts w:ascii="Aptos" w:hAnsi="Aptos"/>
          <w:color w:val="000000" w:themeColor="text1"/>
          <w:sz w:val="25"/>
          <w:szCs w:val="25"/>
        </w:rPr>
        <w:t xml:space="preserve"> provide no </w:t>
      </w:r>
      <w:r w:rsidR="002E7AD8">
        <w:rPr>
          <w:rFonts w:ascii="Aptos" w:hAnsi="Aptos"/>
          <w:color w:val="000000" w:themeColor="text1"/>
          <w:sz w:val="25"/>
          <w:szCs w:val="25"/>
        </w:rPr>
        <w:t>legal authority</w:t>
      </w:r>
      <w:r>
        <w:rPr>
          <w:rFonts w:ascii="Aptos" w:hAnsi="Aptos"/>
          <w:color w:val="000000" w:themeColor="text1"/>
          <w:sz w:val="25"/>
          <w:szCs w:val="25"/>
        </w:rPr>
        <w:t xml:space="preserve"> to support th</w:t>
      </w:r>
      <w:r w:rsidR="00E24685">
        <w:rPr>
          <w:rFonts w:ascii="Aptos" w:hAnsi="Aptos"/>
          <w:color w:val="000000" w:themeColor="text1"/>
          <w:sz w:val="25"/>
          <w:szCs w:val="25"/>
        </w:rPr>
        <w:t>eir assertion that it would be appropriate for this Hearing Officer to essentially “undo” their settlement agreement</w:t>
      </w:r>
      <w:r w:rsidR="00AC5328">
        <w:rPr>
          <w:rFonts w:ascii="Aptos" w:hAnsi="Aptos"/>
          <w:color w:val="000000" w:themeColor="text1"/>
          <w:sz w:val="25"/>
          <w:szCs w:val="25"/>
        </w:rPr>
        <w:t>. As former Hearing Officer Bill Crane and Hearing Officer Sara Berman have both explained, allowing an evidentiary hearing on a matter that has been addressed and resolved via a settlement agreement would undermine both the relevant provisions of federal and state special education law and “the integrity and efficacy of the settlement process.”</w:t>
      </w:r>
      <w:r w:rsidR="00AC5328">
        <w:rPr>
          <w:rStyle w:val="FootnoteReference"/>
          <w:rFonts w:ascii="Aptos" w:hAnsi="Aptos"/>
          <w:color w:val="000000" w:themeColor="text1"/>
          <w:sz w:val="25"/>
          <w:szCs w:val="25"/>
        </w:rPr>
        <w:footnoteReference w:id="45"/>
      </w:r>
      <w:r w:rsidR="00AC5328">
        <w:rPr>
          <w:rFonts w:ascii="Aptos" w:hAnsi="Aptos"/>
          <w:color w:val="000000" w:themeColor="text1"/>
          <w:sz w:val="25"/>
          <w:szCs w:val="25"/>
        </w:rPr>
        <w:t xml:space="preserve"> </w:t>
      </w:r>
    </w:p>
    <w:p w14:paraId="487A6D13" w14:textId="5D68D717" w:rsidR="00AC5328" w:rsidRPr="004F557D" w:rsidRDefault="00AC5328" w:rsidP="00AC5328">
      <w:pPr>
        <w:pStyle w:val="NormalWeb"/>
        <w:numPr>
          <w:ilvl w:val="2"/>
          <w:numId w:val="3"/>
        </w:numPr>
        <w:rPr>
          <w:rFonts w:ascii="Aptos" w:hAnsi="Aptos"/>
          <w:color w:val="000000" w:themeColor="text1"/>
          <w:sz w:val="25"/>
          <w:szCs w:val="25"/>
        </w:rPr>
      </w:pPr>
      <w:r>
        <w:rPr>
          <w:rFonts w:ascii="Aptos" w:hAnsi="Aptos"/>
          <w:color w:val="000000" w:themeColor="text1"/>
          <w:sz w:val="25"/>
          <w:szCs w:val="25"/>
        </w:rPr>
        <w:t>There is no genuine issue of material fact as to a material change in circumstances altering Student’s educational profile</w:t>
      </w:r>
    </w:p>
    <w:p w14:paraId="21E334D0" w14:textId="00DA4DFB" w:rsidR="00634364" w:rsidRDefault="00AC5328" w:rsidP="00F84471">
      <w:pPr>
        <w:pStyle w:val="NormalWeb"/>
        <w:ind w:firstLine="720"/>
        <w:rPr>
          <w:rFonts w:ascii="Aptos" w:hAnsi="Aptos"/>
          <w:color w:val="000000" w:themeColor="text1"/>
          <w:sz w:val="25"/>
          <w:szCs w:val="25"/>
        </w:rPr>
      </w:pPr>
      <w:r>
        <w:rPr>
          <w:rFonts w:ascii="Aptos" w:hAnsi="Aptos"/>
          <w:color w:val="000000" w:themeColor="text1"/>
          <w:sz w:val="25"/>
          <w:szCs w:val="25"/>
        </w:rPr>
        <w:lastRenderedPageBreak/>
        <w:t>Parents contend</w:t>
      </w:r>
      <w:r w:rsidR="009B30AF">
        <w:rPr>
          <w:rFonts w:ascii="Aptos" w:hAnsi="Aptos"/>
          <w:color w:val="000000" w:themeColor="text1"/>
          <w:sz w:val="25"/>
          <w:szCs w:val="25"/>
        </w:rPr>
        <w:t xml:space="preserve"> that the recommendations arising out of</w:t>
      </w:r>
      <w:r w:rsidR="004F557D">
        <w:rPr>
          <w:rFonts w:ascii="Aptos" w:hAnsi="Aptos"/>
          <w:color w:val="000000" w:themeColor="text1"/>
          <w:sz w:val="25"/>
          <w:szCs w:val="25"/>
        </w:rPr>
        <w:t xml:space="preserve"> the MGH report</w:t>
      </w:r>
      <w:r>
        <w:rPr>
          <w:rFonts w:ascii="Aptos" w:hAnsi="Aptos"/>
          <w:color w:val="000000" w:themeColor="text1"/>
          <w:sz w:val="25"/>
          <w:szCs w:val="25"/>
        </w:rPr>
        <w:t xml:space="preserve">, which was completed and presented to the District less than two months after the parties entered into the Settlement Agreement, </w:t>
      </w:r>
      <w:r w:rsidR="004F557D">
        <w:rPr>
          <w:rFonts w:ascii="Aptos" w:hAnsi="Aptos"/>
          <w:color w:val="000000" w:themeColor="text1"/>
          <w:sz w:val="25"/>
          <w:szCs w:val="25"/>
        </w:rPr>
        <w:t>constitute a material change in circumstances altering Student’s educational profile and needs</w:t>
      </w:r>
      <w:r w:rsidR="006C4DF2">
        <w:rPr>
          <w:rFonts w:ascii="Aptos" w:hAnsi="Aptos"/>
          <w:color w:val="000000" w:themeColor="text1"/>
          <w:sz w:val="25"/>
          <w:szCs w:val="25"/>
        </w:rPr>
        <w:t>. As such, the Settlement Agreement does not operate as a bar to Parents’ request</w:t>
      </w:r>
      <w:r w:rsidR="004F557D">
        <w:rPr>
          <w:rFonts w:ascii="Aptos" w:hAnsi="Aptos"/>
          <w:color w:val="000000" w:themeColor="text1"/>
          <w:sz w:val="25"/>
          <w:szCs w:val="25"/>
        </w:rPr>
        <w:t xml:space="preserve"> </w:t>
      </w:r>
      <w:r w:rsidR="006C4DF2">
        <w:rPr>
          <w:rFonts w:ascii="Aptos" w:hAnsi="Aptos"/>
          <w:color w:val="000000" w:themeColor="text1"/>
          <w:sz w:val="25"/>
          <w:szCs w:val="25"/>
        </w:rPr>
        <w:t xml:space="preserve">that Newburyport </w:t>
      </w:r>
      <w:r w:rsidR="00A6022F">
        <w:rPr>
          <w:rFonts w:ascii="Aptos" w:hAnsi="Aptos"/>
          <w:color w:val="000000" w:themeColor="text1"/>
          <w:sz w:val="25"/>
          <w:szCs w:val="25"/>
        </w:rPr>
        <w:t>provide or fund additional services fo</w:t>
      </w:r>
      <w:r w:rsidR="006C4DF2">
        <w:rPr>
          <w:rFonts w:ascii="Aptos" w:hAnsi="Aptos"/>
          <w:color w:val="000000" w:themeColor="text1"/>
          <w:sz w:val="25"/>
          <w:szCs w:val="25"/>
        </w:rPr>
        <w:t>r Stude</w:t>
      </w:r>
      <w:r w:rsidR="00F70787">
        <w:rPr>
          <w:rFonts w:ascii="Aptos" w:hAnsi="Aptos"/>
          <w:color w:val="000000" w:themeColor="text1"/>
          <w:sz w:val="25"/>
          <w:szCs w:val="25"/>
        </w:rPr>
        <w:t>n</w:t>
      </w:r>
      <w:r w:rsidR="006C4DF2">
        <w:rPr>
          <w:rFonts w:ascii="Aptos" w:hAnsi="Aptos"/>
          <w:color w:val="000000" w:themeColor="text1"/>
          <w:sz w:val="25"/>
          <w:szCs w:val="25"/>
        </w:rPr>
        <w:t>t</w:t>
      </w:r>
      <w:r w:rsidR="00A6022F">
        <w:rPr>
          <w:rFonts w:ascii="Aptos" w:hAnsi="Aptos"/>
          <w:color w:val="000000" w:themeColor="text1"/>
          <w:sz w:val="25"/>
          <w:szCs w:val="25"/>
        </w:rPr>
        <w:t>. Viewed in the light most favorable to Parents</w:t>
      </w:r>
      <w:r w:rsidR="006D0292">
        <w:rPr>
          <w:rFonts w:ascii="Aptos" w:hAnsi="Aptos"/>
          <w:color w:val="000000" w:themeColor="text1"/>
          <w:sz w:val="25"/>
          <w:szCs w:val="25"/>
        </w:rPr>
        <w:t xml:space="preserve"> and “indulging all reasonable inferences” in their favor,</w:t>
      </w:r>
      <w:r w:rsidR="006D0292">
        <w:rPr>
          <w:rStyle w:val="FootnoteReference"/>
          <w:rFonts w:ascii="Aptos" w:hAnsi="Aptos"/>
          <w:color w:val="000000" w:themeColor="text1"/>
          <w:sz w:val="25"/>
          <w:szCs w:val="25"/>
        </w:rPr>
        <w:footnoteReference w:id="46"/>
      </w:r>
      <w:r w:rsidR="00A6022F">
        <w:rPr>
          <w:rFonts w:ascii="Aptos" w:hAnsi="Aptos"/>
          <w:color w:val="000000" w:themeColor="text1"/>
          <w:sz w:val="25"/>
          <w:szCs w:val="25"/>
        </w:rPr>
        <w:t xml:space="preserve"> the facts suggest that</w:t>
      </w:r>
      <w:r w:rsidR="009C0EAB">
        <w:rPr>
          <w:rFonts w:ascii="Aptos" w:hAnsi="Aptos"/>
          <w:color w:val="000000" w:themeColor="text1"/>
          <w:sz w:val="25"/>
          <w:szCs w:val="25"/>
        </w:rPr>
        <w:t>,</w:t>
      </w:r>
      <w:r w:rsidR="00A6022F">
        <w:rPr>
          <w:rFonts w:ascii="Aptos" w:hAnsi="Aptos"/>
          <w:color w:val="000000" w:themeColor="text1"/>
          <w:sz w:val="25"/>
          <w:szCs w:val="25"/>
        </w:rPr>
        <w:t xml:space="preserve"> </w:t>
      </w:r>
      <w:r w:rsidR="006D0292">
        <w:rPr>
          <w:rFonts w:ascii="Aptos" w:hAnsi="Aptos"/>
          <w:color w:val="000000" w:themeColor="text1"/>
          <w:sz w:val="25"/>
          <w:szCs w:val="25"/>
        </w:rPr>
        <w:t xml:space="preserve">according to </w:t>
      </w:r>
      <w:r w:rsidR="0093289E">
        <w:rPr>
          <w:rFonts w:ascii="Aptos" w:hAnsi="Aptos"/>
          <w:color w:val="000000" w:themeColor="text1"/>
          <w:sz w:val="25"/>
          <w:szCs w:val="25"/>
        </w:rPr>
        <w:t xml:space="preserve">Ms. </w:t>
      </w:r>
      <w:r w:rsidR="006C4DF2">
        <w:rPr>
          <w:rFonts w:ascii="Aptos" w:hAnsi="Aptos"/>
          <w:color w:val="000000" w:themeColor="text1"/>
          <w:sz w:val="25"/>
          <w:szCs w:val="25"/>
        </w:rPr>
        <w:t>Ghiringhelli</w:t>
      </w:r>
      <w:r w:rsidR="006D0292">
        <w:rPr>
          <w:rFonts w:ascii="Aptos" w:hAnsi="Aptos"/>
          <w:color w:val="000000" w:themeColor="text1"/>
          <w:sz w:val="25"/>
          <w:szCs w:val="25"/>
        </w:rPr>
        <w:t>,</w:t>
      </w:r>
      <w:r w:rsidR="00634364">
        <w:rPr>
          <w:rFonts w:ascii="Aptos" w:hAnsi="Aptos"/>
          <w:color w:val="000000" w:themeColor="text1"/>
          <w:sz w:val="25"/>
          <w:szCs w:val="25"/>
        </w:rPr>
        <w:t xml:space="preserve"> </w:t>
      </w:r>
      <w:r w:rsidR="00A6022F">
        <w:rPr>
          <w:rFonts w:ascii="Aptos" w:hAnsi="Aptos"/>
          <w:color w:val="000000" w:themeColor="text1"/>
          <w:sz w:val="25"/>
          <w:szCs w:val="25"/>
        </w:rPr>
        <w:t xml:space="preserve">the services set forth in the Settlement Agreement are not </w:t>
      </w:r>
      <w:r w:rsidR="006C4DF2">
        <w:rPr>
          <w:rFonts w:ascii="Aptos" w:hAnsi="Aptos"/>
          <w:color w:val="000000" w:themeColor="text1"/>
          <w:sz w:val="25"/>
          <w:szCs w:val="25"/>
        </w:rPr>
        <w:t xml:space="preserve">sufficient </w:t>
      </w:r>
      <w:r w:rsidR="00A6022F">
        <w:rPr>
          <w:rFonts w:ascii="Aptos" w:hAnsi="Aptos"/>
          <w:color w:val="000000" w:themeColor="text1"/>
          <w:sz w:val="25"/>
          <w:szCs w:val="25"/>
        </w:rPr>
        <w:t>to support Student</w:t>
      </w:r>
      <w:r w:rsidR="00A6022F" w:rsidRPr="00A01F2E">
        <w:rPr>
          <w:rFonts w:ascii="Aptos" w:hAnsi="Aptos"/>
          <w:color w:val="000000" w:themeColor="text1"/>
          <w:sz w:val="25"/>
          <w:szCs w:val="25"/>
        </w:rPr>
        <w:t xml:space="preserve">, and </w:t>
      </w:r>
      <w:r w:rsidR="00A01F2E">
        <w:rPr>
          <w:rFonts w:ascii="Aptos" w:hAnsi="Aptos"/>
          <w:color w:val="000000" w:themeColor="text1"/>
          <w:sz w:val="25"/>
          <w:szCs w:val="25"/>
        </w:rPr>
        <w:t xml:space="preserve">that </w:t>
      </w:r>
      <w:r w:rsidR="00A6022F" w:rsidRPr="00A01F2E">
        <w:rPr>
          <w:rFonts w:ascii="Aptos" w:hAnsi="Aptos"/>
          <w:color w:val="000000" w:themeColor="text1"/>
          <w:sz w:val="25"/>
          <w:szCs w:val="25"/>
        </w:rPr>
        <w:t>Newburyport personnel agree</w:t>
      </w:r>
      <w:r w:rsidR="006D0292" w:rsidRPr="00A01F2E">
        <w:rPr>
          <w:rFonts w:ascii="Aptos" w:hAnsi="Aptos"/>
          <w:color w:val="000000" w:themeColor="text1"/>
          <w:sz w:val="25"/>
          <w:szCs w:val="25"/>
        </w:rPr>
        <w:t xml:space="preserve"> with</w:t>
      </w:r>
      <w:r w:rsidR="006C4DF2" w:rsidRPr="00A01F2E">
        <w:rPr>
          <w:rFonts w:ascii="Aptos" w:hAnsi="Aptos"/>
          <w:color w:val="000000" w:themeColor="text1"/>
          <w:sz w:val="25"/>
          <w:szCs w:val="25"/>
        </w:rPr>
        <w:t xml:space="preserve"> this</w:t>
      </w:r>
      <w:r w:rsidR="006D0292" w:rsidRPr="00A01F2E">
        <w:rPr>
          <w:rFonts w:ascii="Aptos" w:hAnsi="Aptos"/>
          <w:color w:val="000000" w:themeColor="text1"/>
          <w:sz w:val="25"/>
          <w:szCs w:val="25"/>
        </w:rPr>
        <w:t xml:space="preserve"> opinion</w:t>
      </w:r>
      <w:r w:rsidR="00A01F2E" w:rsidRPr="00A01F2E">
        <w:rPr>
          <w:rFonts w:ascii="Aptos" w:hAnsi="Aptos"/>
          <w:color w:val="000000" w:themeColor="text1"/>
          <w:sz w:val="25"/>
          <w:szCs w:val="25"/>
        </w:rPr>
        <w:t>.</w:t>
      </w:r>
      <w:r w:rsidR="00A6022F">
        <w:rPr>
          <w:rFonts w:ascii="Aptos" w:hAnsi="Aptos"/>
          <w:color w:val="000000" w:themeColor="text1"/>
          <w:sz w:val="25"/>
          <w:szCs w:val="25"/>
        </w:rPr>
        <w:t xml:space="preserve"> The uncontested facts also demonstrate that </w:t>
      </w:r>
      <w:r w:rsidR="00634364">
        <w:rPr>
          <w:rFonts w:ascii="Aptos" w:hAnsi="Aptos"/>
          <w:color w:val="000000" w:themeColor="text1"/>
          <w:sz w:val="25"/>
          <w:szCs w:val="25"/>
        </w:rPr>
        <w:t xml:space="preserve">Parents </w:t>
      </w:r>
      <w:r w:rsidR="006C4DF2">
        <w:rPr>
          <w:rFonts w:ascii="Aptos" w:hAnsi="Aptos"/>
          <w:color w:val="000000" w:themeColor="text1"/>
          <w:sz w:val="25"/>
          <w:szCs w:val="25"/>
        </w:rPr>
        <w:t>believe Student was diagnosed with an</w:t>
      </w:r>
      <w:r w:rsidR="00634364">
        <w:rPr>
          <w:rFonts w:ascii="Aptos" w:hAnsi="Aptos"/>
          <w:color w:val="000000" w:themeColor="text1"/>
          <w:sz w:val="25"/>
          <w:szCs w:val="25"/>
        </w:rPr>
        <w:t xml:space="preserve"> SLD </w:t>
      </w:r>
      <w:r w:rsidR="00A6022F">
        <w:rPr>
          <w:rFonts w:ascii="Aptos" w:hAnsi="Aptos"/>
          <w:color w:val="000000" w:themeColor="text1"/>
          <w:sz w:val="25"/>
          <w:szCs w:val="25"/>
        </w:rPr>
        <w:t>in May 2023, and that the MGH evaluation had already been scheduled and was pending at the time the parties entered into the Settlement Agreement. Although it appears that the MGH e</w:t>
      </w:r>
      <w:r w:rsidR="006C4DF2">
        <w:rPr>
          <w:rFonts w:ascii="Aptos" w:hAnsi="Aptos"/>
          <w:color w:val="000000" w:themeColor="text1"/>
          <w:sz w:val="25"/>
          <w:szCs w:val="25"/>
        </w:rPr>
        <w:t>valuation</w:t>
      </w:r>
      <w:r w:rsidR="00A6022F">
        <w:rPr>
          <w:rFonts w:ascii="Aptos" w:hAnsi="Aptos"/>
          <w:color w:val="000000" w:themeColor="text1"/>
          <w:sz w:val="25"/>
          <w:szCs w:val="25"/>
        </w:rPr>
        <w:t xml:space="preserve"> resulted in new recommendations regarding </w:t>
      </w:r>
      <w:r w:rsidR="006C4DF2">
        <w:rPr>
          <w:rFonts w:ascii="Aptos" w:hAnsi="Aptos"/>
          <w:color w:val="000000" w:themeColor="text1"/>
          <w:sz w:val="25"/>
          <w:szCs w:val="25"/>
        </w:rPr>
        <w:t xml:space="preserve">frequency and methodology of </w:t>
      </w:r>
      <w:r w:rsidR="00A6022F">
        <w:rPr>
          <w:rFonts w:ascii="Aptos" w:hAnsi="Aptos"/>
          <w:color w:val="000000" w:themeColor="text1"/>
          <w:sz w:val="25"/>
          <w:szCs w:val="25"/>
        </w:rPr>
        <w:t>instruction for Student in mid-November 2024, there is no evidence before me to suggest that Student’s educational profile changed</w:t>
      </w:r>
      <w:r w:rsidR="006D0292">
        <w:rPr>
          <w:rFonts w:ascii="Aptos" w:hAnsi="Aptos"/>
          <w:color w:val="000000" w:themeColor="text1"/>
          <w:sz w:val="25"/>
          <w:szCs w:val="25"/>
        </w:rPr>
        <w:t xml:space="preserve"> materially</w:t>
      </w:r>
      <w:r w:rsidR="00A6022F">
        <w:rPr>
          <w:rFonts w:ascii="Aptos" w:hAnsi="Aptos"/>
          <w:color w:val="000000" w:themeColor="text1"/>
          <w:sz w:val="25"/>
          <w:szCs w:val="25"/>
        </w:rPr>
        <w:t xml:space="preserve"> between the signing of the Settlement Agreement on October 4, 2024 and </w:t>
      </w:r>
      <w:r w:rsidR="00634364">
        <w:rPr>
          <w:rFonts w:ascii="Aptos" w:hAnsi="Aptos"/>
          <w:color w:val="000000" w:themeColor="text1"/>
          <w:sz w:val="25"/>
          <w:szCs w:val="25"/>
        </w:rPr>
        <w:t>the completion of</w:t>
      </w:r>
      <w:r w:rsidR="006C4DF2">
        <w:rPr>
          <w:rFonts w:ascii="Aptos" w:hAnsi="Aptos"/>
          <w:color w:val="000000" w:themeColor="text1"/>
          <w:sz w:val="25"/>
          <w:szCs w:val="25"/>
        </w:rPr>
        <w:t xml:space="preserve"> </w:t>
      </w:r>
      <w:r w:rsidR="0093289E">
        <w:rPr>
          <w:rFonts w:ascii="Aptos" w:hAnsi="Aptos"/>
          <w:color w:val="000000" w:themeColor="text1"/>
          <w:sz w:val="25"/>
          <w:szCs w:val="25"/>
        </w:rPr>
        <w:t>Ms.</w:t>
      </w:r>
      <w:r w:rsidR="006C4DF2">
        <w:rPr>
          <w:rFonts w:ascii="Aptos" w:hAnsi="Aptos"/>
          <w:color w:val="000000" w:themeColor="text1"/>
          <w:sz w:val="25"/>
          <w:szCs w:val="25"/>
        </w:rPr>
        <w:t xml:space="preserve"> Ghiringhelli’s testing less than one month later.</w:t>
      </w:r>
    </w:p>
    <w:p w14:paraId="5DF7D74A" w14:textId="2CE967CC" w:rsidR="00634364" w:rsidRDefault="00F84471" w:rsidP="00634364">
      <w:pPr>
        <w:pStyle w:val="NormalWeb"/>
        <w:ind w:firstLine="720"/>
        <w:rPr>
          <w:rFonts w:ascii="Aptos" w:hAnsi="Aptos"/>
          <w:color w:val="000000" w:themeColor="text1"/>
          <w:sz w:val="25"/>
          <w:szCs w:val="25"/>
        </w:rPr>
      </w:pPr>
      <w:r>
        <w:rPr>
          <w:rFonts w:ascii="Aptos" w:hAnsi="Aptos"/>
          <w:color w:val="000000" w:themeColor="text1"/>
          <w:sz w:val="25"/>
          <w:szCs w:val="25"/>
        </w:rPr>
        <w:t xml:space="preserve">This situation is similar to that addressed in </w:t>
      </w:r>
      <w:r>
        <w:rPr>
          <w:rFonts w:ascii="Aptos" w:hAnsi="Aptos"/>
          <w:i/>
          <w:iCs/>
          <w:color w:val="000000" w:themeColor="text1"/>
          <w:sz w:val="25"/>
          <w:szCs w:val="25"/>
        </w:rPr>
        <w:t>South Kingstown</w:t>
      </w:r>
      <w:r w:rsidR="00634364">
        <w:rPr>
          <w:rFonts w:ascii="Aptos" w:hAnsi="Aptos"/>
          <w:color w:val="000000" w:themeColor="text1"/>
          <w:sz w:val="25"/>
          <w:szCs w:val="25"/>
        </w:rPr>
        <w:t xml:space="preserve">, where </w:t>
      </w:r>
      <w:r>
        <w:rPr>
          <w:rFonts w:ascii="Aptos" w:hAnsi="Aptos"/>
          <w:color w:val="000000" w:themeColor="text1"/>
          <w:sz w:val="25"/>
          <w:szCs w:val="25"/>
        </w:rPr>
        <w:t>Parent</w:t>
      </w:r>
      <w:r w:rsidR="00634364">
        <w:rPr>
          <w:rFonts w:ascii="Aptos" w:hAnsi="Aptos"/>
          <w:color w:val="000000" w:themeColor="text1"/>
          <w:sz w:val="25"/>
          <w:szCs w:val="25"/>
        </w:rPr>
        <w:t xml:space="preserve"> contended that her request for additional evaluations arose from a change in the conditions that prevailed at the time she entered into the settlement agreement.</w:t>
      </w:r>
      <w:r w:rsidR="00634364">
        <w:rPr>
          <w:rStyle w:val="FootnoteReference"/>
          <w:rFonts w:ascii="Aptos" w:hAnsi="Aptos"/>
          <w:color w:val="000000" w:themeColor="text1"/>
          <w:sz w:val="25"/>
          <w:szCs w:val="25"/>
        </w:rPr>
        <w:footnoteReference w:id="47"/>
      </w:r>
      <w:r w:rsidR="00634364">
        <w:rPr>
          <w:rFonts w:ascii="Aptos" w:hAnsi="Aptos"/>
          <w:color w:val="000000" w:themeColor="text1"/>
          <w:sz w:val="25"/>
          <w:szCs w:val="25"/>
        </w:rPr>
        <w:t xml:space="preserve"> In that case, the Court disagreed, finding that Parent had been</w:t>
      </w:r>
      <w:r>
        <w:rPr>
          <w:rFonts w:ascii="Aptos" w:hAnsi="Aptos"/>
          <w:color w:val="000000" w:themeColor="text1"/>
          <w:sz w:val="25"/>
          <w:szCs w:val="25"/>
        </w:rPr>
        <w:t xml:space="preserve"> concerned about dyslexia both before and after she entered into the settlement agreement</w:t>
      </w:r>
      <w:r w:rsidR="00634364">
        <w:rPr>
          <w:rFonts w:ascii="Aptos" w:hAnsi="Aptos"/>
          <w:color w:val="000000" w:themeColor="text1"/>
          <w:sz w:val="25"/>
          <w:szCs w:val="25"/>
        </w:rPr>
        <w:t>, and</w:t>
      </w:r>
      <w:r w:rsidR="006D0292">
        <w:rPr>
          <w:rFonts w:ascii="Aptos" w:hAnsi="Aptos"/>
          <w:color w:val="000000" w:themeColor="text1"/>
          <w:sz w:val="25"/>
          <w:szCs w:val="25"/>
        </w:rPr>
        <w:t xml:space="preserve"> that she had</w:t>
      </w:r>
      <w:r w:rsidR="00634364">
        <w:rPr>
          <w:rFonts w:ascii="Aptos" w:hAnsi="Aptos"/>
          <w:color w:val="000000" w:themeColor="text1"/>
          <w:sz w:val="25"/>
          <w:szCs w:val="25"/>
        </w:rPr>
        <w:t xml:space="preserve"> failed to</w:t>
      </w:r>
      <w:r>
        <w:rPr>
          <w:rFonts w:ascii="Aptos" w:hAnsi="Aptos"/>
          <w:color w:val="000000" w:themeColor="text1"/>
          <w:sz w:val="25"/>
          <w:szCs w:val="25"/>
        </w:rPr>
        <w:t xml:space="preserve"> identify </w:t>
      </w:r>
      <w:r w:rsidR="00634364">
        <w:rPr>
          <w:rFonts w:ascii="Aptos" w:hAnsi="Aptos"/>
          <w:color w:val="000000" w:themeColor="text1"/>
          <w:sz w:val="25"/>
          <w:szCs w:val="25"/>
        </w:rPr>
        <w:t xml:space="preserve">specific </w:t>
      </w:r>
      <w:r>
        <w:rPr>
          <w:rFonts w:ascii="Aptos" w:hAnsi="Aptos"/>
          <w:color w:val="000000" w:themeColor="text1"/>
          <w:sz w:val="25"/>
          <w:szCs w:val="25"/>
        </w:rPr>
        <w:t>changes in her son’s behavioral presentation that occurred after the settlement agreement</w:t>
      </w:r>
      <w:r w:rsidR="00634364">
        <w:rPr>
          <w:rFonts w:ascii="Aptos" w:hAnsi="Aptos"/>
          <w:color w:val="000000" w:themeColor="text1"/>
          <w:sz w:val="25"/>
          <w:szCs w:val="25"/>
        </w:rPr>
        <w:t>.</w:t>
      </w:r>
      <w:r w:rsidR="00634364">
        <w:rPr>
          <w:rStyle w:val="FootnoteReference"/>
          <w:rFonts w:ascii="Aptos" w:hAnsi="Aptos"/>
          <w:color w:val="000000" w:themeColor="text1"/>
          <w:sz w:val="25"/>
          <w:szCs w:val="25"/>
        </w:rPr>
        <w:footnoteReference w:id="48"/>
      </w:r>
      <w:r w:rsidR="006D0292">
        <w:rPr>
          <w:rFonts w:ascii="Aptos" w:hAnsi="Aptos"/>
          <w:color w:val="000000" w:themeColor="text1"/>
          <w:sz w:val="25"/>
          <w:szCs w:val="25"/>
        </w:rPr>
        <w:t xml:space="preserve"> The Court held that the record did not demonstrate a sufficient change in circumstances “to overcome the bar posed by the Settlement Agreement.”</w:t>
      </w:r>
      <w:r w:rsidR="006D0292">
        <w:rPr>
          <w:rStyle w:val="FootnoteReference"/>
          <w:rFonts w:ascii="Aptos" w:hAnsi="Aptos"/>
          <w:color w:val="000000" w:themeColor="text1"/>
          <w:sz w:val="25"/>
          <w:szCs w:val="25"/>
        </w:rPr>
        <w:footnoteReference w:id="49"/>
      </w:r>
    </w:p>
    <w:p w14:paraId="616C98A1" w14:textId="5302ABC1" w:rsidR="002E41DF" w:rsidRDefault="00634364" w:rsidP="004219FB">
      <w:pPr>
        <w:pStyle w:val="NormalWeb"/>
        <w:ind w:firstLine="720"/>
        <w:rPr>
          <w:rFonts w:ascii="Aptos" w:hAnsi="Aptos"/>
          <w:color w:val="000000" w:themeColor="text1"/>
          <w:sz w:val="25"/>
          <w:szCs w:val="25"/>
        </w:rPr>
      </w:pPr>
      <w:r>
        <w:rPr>
          <w:rFonts w:ascii="Aptos" w:hAnsi="Aptos"/>
          <w:color w:val="000000" w:themeColor="text1"/>
          <w:sz w:val="25"/>
          <w:szCs w:val="25"/>
        </w:rPr>
        <w:t xml:space="preserve"> </w:t>
      </w:r>
      <w:r w:rsidR="006D0292">
        <w:rPr>
          <w:rFonts w:ascii="Aptos" w:hAnsi="Aptos"/>
          <w:color w:val="000000" w:themeColor="text1"/>
          <w:sz w:val="25"/>
          <w:szCs w:val="25"/>
        </w:rPr>
        <w:t xml:space="preserve">Viewing </w:t>
      </w:r>
      <w:r>
        <w:rPr>
          <w:rFonts w:ascii="Aptos" w:hAnsi="Aptos"/>
          <w:color w:val="000000" w:themeColor="text1"/>
          <w:sz w:val="25"/>
          <w:szCs w:val="25"/>
        </w:rPr>
        <w:t>the instant matter in the light most favorable to Parents, I conclude that</w:t>
      </w:r>
      <w:r w:rsidR="00A6022F">
        <w:rPr>
          <w:rFonts w:ascii="Aptos" w:hAnsi="Aptos"/>
          <w:color w:val="000000" w:themeColor="text1"/>
          <w:sz w:val="25"/>
          <w:szCs w:val="25"/>
        </w:rPr>
        <w:t xml:space="preserve"> there may have been a material change in Parents’ opinions and beliefs regarding the efficacy of the services to which they had agreed, and</w:t>
      </w:r>
      <w:r w:rsidR="00F84471">
        <w:rPr>
          <w:rFonts w:ascii="Aptos" w:hAnsi="Aptos"/>
          <w:color w:val="000000" w:themeColor="text1"/>
          <w:sz w:val="25"/>
          <w:szCs w:val="25"/>
        </w:rPr>
        <w:t>/or a material change</w:t>
      </w:r>
      <w:r w:rsidR="00A6022F">
        <w:rPr>
          <w:rFonts w:ascii="Aptos" w:hAnsi="Aptos"/>
          <w:color w:val="000000" w:themeColor="text1"/>
          <w:sz w:val="25"/>
          <w:szCs w:val="25"/>
        </w:rPr>
        <w:t xml:space="preserve"> in expert recommendations for how to best teach </w:t>
      </w:r>
      <w:r w:rsidR="00A6022F" w:rsidRPr="00B036C4">
        <w:rPr>
          <w:rFonts w:ascii="Aptos" w:hAnsi="Aptos"/>
          <w:color w:val="000000" w:themeColor="text1"/>
          <w:sz w:val="25"/>
          <w:szCs w:val="25"/>
        </w:rPr>
        <w:t>Student</w:t>
      </w:r>
      <w:r w:rsidR="00896CDE">
        <w:rPr>
          <w:rFonts w:ascii="Aptos" w:hAnsi="Aptos"/>
          <w:color w:val="000000" w:themeColor="text1"/>
          <w:sz w:val="25"/>
          <w:szCs w:val="25"/>
        </w:rPr>
        <w:t xml:space="preserve"> </w:t>
      </w:r>
      <w:r w:rsidR="006C4DF2" w:rsidRPr="00896CDE">
        <w:rPr>
          <w:rFonts w:ascii="Aptos" w:hAnsi="Aptos"/>
          <w:color w:val="000000" w:themeColor="text1"/>
          <w:sz w:val="25"/>
          <w:szCs w:val="25"/>
        </w:rPr>
        <w:t>and Newburyport person</w:t>
      </w:r>
      <w:r w:rsidR="00B31B91" w:rsidRPr="00896CDE">
        <w:rPr>
          <w:rFonts w:ascii="Aptos" w:hAnsi="Aptos"/>
          <w:color w:val="000000" w:themeColor="text1"/>
          <w:sz w:val="25"/>
          <w:szCs w:val="25"/>
        </w:rPr>
        <w:t>nel’s beliefs regarding same</w:t>
      </w:r>
      <w:r w:rsidR="00896CDE">
        <w:rPr>
          <w:rFonts w:ascii="Aptos" w:hAnsi="Aptos"/>
          <w:color w:val="000000" w:themeColor="text1"/>
          <w:sz w:val="25"/>
          <w:szCs w:val="25"/>
        </w:rPr>
        <w:t xml:space="preserve">. </w:t>
      </w:r>
      <w:r w:rsidR="00E92F2B">
        <w:rPr>
          <w:rFonts w:ascii="Aptos" w:hAnsi="Aptos"/>
          <w:color w:val="000000" w:themeColor="text1"/>
          <w:sz w:val="25"/>
          <w:szCs w:val="25"/>
        </w:rPr>
        <w:t>However,</w:t>
      </w:r>
      <w:r w:rsidR="006D0292">
        <w:rPr>
          <w:rFonts w:ascii="Aptos" w:hAnsi="Aptos"/>
          <w:color w:val="000000" w:themeColor="text1"/>
          <w:sz w:val="25"/>
          <w:szCs w:val="25"/>
        </w:rPr>
        <w:t xml:space="preserve"> </w:t>
      </w:r>
      <w:r w:rsidR="00F84471">
        <w:rPr>
          <w:rFonts w:ascii="Aptos" w:hAnsi="Aptos"/>
          <w:color w:val="000000" w:themeColor="text1"/>
          <w:sz w:val="25"/>
          <w:szCs w:val="25"/>
        </w:rPr>
        <w:t xml:space="preserve">Parents have set forth no specific facts that would allow for a reasonable conclusion that there was a material change in circumstances </w:t>
      </w:r>
      <w:r w:rsidR="00F84471" w:rsidRPr="00F84471">
        <w:rPr>
          <w:rFonts w:ascii="Aptos" w:hAnsi="Aptos"/>
          <w:i/>
          <w:iCs/>
          <w:color w:val="000000" w:themeColor="text1"/>
          <w:sz w:val="25"/>
          <w:szCs w:val="25"/>
        </w:rPr>
        <w:t>altering Student’s educational profile and needs</w:t>
      </w:r>
      <w:r w:rsidR="006D0292">
        <w:rPr>
          <w:rFonts w:ascii="Aptos" w:hAnsi="Aptos"/>
          <w:i/>
          <w:iCs/>
          <w:color w:val="000000" w:themeColor="text1"/>
          <w:sz w:val="25"/>
          <w:szCs w:val="25"/>
        </w:rPr>
        <w:t>.</w:t>
      </w:r>
      <w:r w:rsidR="004219FB">
        <w:rPr>
          <w:rFonts w:ascii="Aptos" w:hAnsi="Aptos"/>
          <w:color w:val="000000" w:themeColor="text1"/>
          <w:sz w:val="25"/>
          <w:szCs w:val="25"/>
        </w:rPr>
        <w:t xml:space="preserve"> Newburyport’s willingness to meet wit</w:t>
      </w:r>
      <w:r w:rsidR="00B31B91">
        <w:rPr>
          <w:rFonts w:ascii="Aptos" w:hAnsi="Aptos"/>
          <w:color w:val="000000" w:themeColor="text1"/>
          <w:sz w:val="25"/>
          <w:szCs w:val="25"/>
        </w:rPr>
        <w:t xml:space="preserve">h </w:t>
      </w:r>
      <w:r w:rsidR="00E92632">
        <w:rPr>
          <w:rFonts w:ascii="Aptos" w:hAnsi="Aptos"/>
          <w:color w:val="000000" w:themeColor="text1"/>
          <w:sz w:val="25"/>
          <w:szCs w:val="25"/>
        </w:rPr>
        <w:t>Ms</w:t>
      </w:r>
      <w:r w:rsidR="00B31B91">
        <w:rPr>
          <w:rFonts w:ascii="Aptos" w:hAnsi="Aptos"/>
          <w:color w:val="000000" w:themeColor="text1"/>
          <w:sz w:val="25"/>
          <w:szCs w:val="25"/>
        </w:rPr>
        <w:t xml:space="preserve">. Ghiringhelli </w:t>
      </w:r>
      <w:r w:rsidR="004219FB">
        <w:rPr>
          <w:rFonts w:ascii="Aptos" w:hAnsi="Aptos"/>
          <w:color w:val="000000" w:themeColor="text1"/>
          <w:sz w:val="25"/>
          <w:szCs w:val="25"/>
        </w:rPr>
        <w:t xml:space="preserve">regarding her findings and to meet with Parents regarding the MGH report and their concerns about Student’s progress does not impose on Newburyport an obligation to offer anything other than the services set forth in the Settlement </w:t>
      </w:r>
      <w:r w:rsidR="004219FB">
        <w:rPr>
          <w:rFonts w:ascii="Aptos" w:hAnsi="Aptos"/>
          <w:color w:val="000000" w:themeColor="text1"/>
          <w:sz w:val="25"/>
          <w:szCs w:val="25"/>
        </w:rPr>
        <w:lastRenderedPageBreak/>
        <w:t xml:space="preserve">Agreement. Parents, therefore, cannot overcome the bar posed by the Settlement Agreement in this case. </w:t>
      </w:r>
    </w:p>
    <w:p w14:paraId="51C2A804" w14:textId="23E301F4" w:rsidR="00F66C64" w:rsidRPr="00F47331" w:rsidRDefault="00F66C64" w:rsidP="00F66C64">
      <w:pPr>
        <w:pStyle w:val="NormalWeb"/>
        <w:rPr>
          <w:rFonts w:ascii="Aptos" w:hAnsi="Aptos"/>
          <w:b/>
          <w:bCs/>
          <w:color w:val="000000" w:themeColor="text1"/>
          <w:sz w:val="25"/>
          <w:szCs w:val="25"/>
        </w:rPr>
      </w:pPr>
      <w:r w:rsidRPr="00F47331">
        <w:rPr>
          <w:rFonts w:ascii="Aptos" w:hAnsi="Aptos"/>
          <w:b/>
          <w:bCs/>
          <w:color w:val="000000" w:themeColor="text1"/>
          <w:sz w:val="25"/>
          <w:szCs w:val="25"/>
        </w:rPr>
        <w:t>CONCLUSION</w:t>
      </w:r>
      <w:r w:rsidR="00FB3D51">
        <w:rPr>
          <w:rFonts w:ascii="Aptos" w:hAnsi="Aptos"/>
          <w:b/>
          <w:bCs/>
          <w:color w:val="000000" w:themeColor="text1"/>
          <w:sz w:val="25"/>
          <w:szCs w:val="25"/>
        </w:rPr>
        <w:t xml:space="preserve"> AND ORDER</w:t>
      </w:r>
    </w:p>
    <w:p w14:paraId="73F0A3C7" w14:textId="1F879F8D" w:rsidR="00B57049" w:rsidRDefault="00F66C64" w:rsidP="00FF0EBF">
      <w:pPr>
        <w:pStyle w:val="NormalWeb"/>
        <w:ind w:firstLine="720"/>
        <w:rPr>
          <w:rFonts w:ascii="Aptos" w:hAnsi="Aptos"/>
          <w:color w:val="000000" w:themeColor="text1"/>
          <w:sz w:val="25"/>
          <w:szCs w:val="25"/>
        </w:rPr>
      </w:pPr>
      <w:r w:rsidRPr="00F47331">
        <w:rPr>
          <w:rFonts w:ascii="Aptos" w:hAnsi="Aptos"/>
          <w:color w:val="000000" w:themeColor="text1"/>
          <w:sz w:val="25"/>
          <w:szCs w:val="25"/>
        </w:rPr>
        <w:t xml:space="preserve">Upon consideration of </w:t>
      </w:r>
      <w:r w:rsidR="004219FB">
        <w:rPr>
          <w:rFonts w:ascii="Aptos" w:hAnsi="Aptos"/>
          <w:color w:val="000000" w:themeColor="text1"/>
          <w:sz w:val="25"/>
          <w:szCs w:val="25"/>
        </w:rPr>
        <w:t xml:space="preserve">Newburyport’s </w:t>
      </w:r>
      <w:r w:rsidRPr="00F47331">
        <w:rPr>
          <w:rFonts w:ascii="Aptos" w:hAnsi="Aptos"/>
          <w:i/>
          <w:iCs/>
          <w:color w:val="000000" w:themeColor="text1"/>
          <w:sz w:val="25"/>
          <w:szCs w:val="25"/>
        </w:rPr>
        <w:t>Motion for Summary Judgment</w:t>
      </w:r>
      <w:r w:rsidRPr="00F47331">
        <w:rPr>
          <w:rFonts w:ascii="Aptos" w:hAnsi="Aptos"/>
          <w:color w:val="000000" w:themeColor="text1"/>
          <w:sz w:val="25"/>
          <w:szCs w:val="25"/>
        </w:rPr>
        <w:t xml:space="preserve"> and accompanying documents, as well as </w:t>
      </w:r>
      <w:r w:rsidR="004219FB">
        <w:rPr>
          <w:rFonts w:ascii="Aptos" w:hAnsi="Aptos"/>
          <w:color w:val="000000" w:themeColor="text1"/>
          <w:sz w:val="25"/>
          <w:szCs w:val="25"/>
        </w:rPr>
        <w:t>Parents’</w:t>
      </w:r>
      <w:r w:rsidR="00284BEB">
        <w:rPr>
          <w:rFonts w:ascii="Aptos" w:hAnsi="Aptos"/>
          <w:color w:val="000000" w:themeColor="text1"/>
          <w:sz w:val="25"/>
          <w:szCs w:val="25"/>
        </w:rPr>
        <w:t xml:space="preserve"> </w:t>
      </w:r>
      <w:r w:rsidR="00284BEB">
        <w:rPr>
          <w:rFonts w:ascii="Aptos" w:hAnsi="Aptos"/>
          <w:i/>
          <w:iCs/>
          <w:color w:val="000000" w:themeColor="text1"/>
          <w:sz w:val="25"/>
          <w:szCs w:val="25"/>
        </w:rPr>
        <w:t xml:space="preserve">Opposition </w:t>
      </w:r>
      <w:r w:rsidR="00284BEB">
        <w:rPr>
          <w:rFonts w:ascii="Aptos" w:hAnsi="Aptos"/>
          <w:color w:val="000000" w:themeColor="text1"/>
          <w:sz w:val="25"/>
          <w:szCs w:val="25"/>
        </w:rPr>
        <w:t>thereto and accompanying documents</w:t>
      </w:r>
      <w:r w:rsidR="004219FB">
        <w:rPr>
          <w:rFonts w:ascii="Aptos" w:hAnsi="Aptos"/>
          <w:color w:val="000000" w:themeColor="text1"/>
          <w:sz w:val="25"/>
          <w:szCs w:val="25"/>
        </w:rPr>
        <w:t xml:space="preserve"> and the oral arguments of the parties,</w:t>
      </w:r>
      <w:r w:rsidR="00284BEB">
        <w:rPr>
          <w:rFonts w:ascii="Aptos" w:hAnsi="Aptos"/>
          <w:color w:val="000000" w:themeColor="text1"/>
          <w:sz w:val="25"/>
          <w:szCs w:val="25"/>
        </w:rPr>
        <w:t xml:space="preserve"> </w:t>
      </w:r>
      <w:r w:rsidRPr="00F47331">
        <w:rPr>
          <w:rFonts w:ascii="Aptos" w:hAnsi="Aptos"/>
          <w:color w:val="000000" w:themeColor="text1"/>
          <w:sz w:val="25"/>
          <w:szCs w:val="25"/>
        </w:rPr>
        <w:t>I find that</w:t>
      </w:r>
      <w:r w:rsidR="004219FB">
        <w:rPr>
          <w:rFonts w:ascii="Aptos" w:hAnsi="Aptos"/>
          <w:color w:val="000000" w:themeColor="text1"/>
          <w:sz w:val="25"/>
          <w:szCs w:val="25"/>
        </w:rPr>
        <w:t xml:space="preserve"> Newburyport has</w:t>
      </w:r>
      <w:r w:rsidRPr="00F47331">
        <w:rPr>
          <w:rFonts w:ascii="Aptos" w:hAnsi="Aptos"/>
          <w:color w:val="000000" w:themeColor="text1"/>
          <w:sz w:val="25"/>
          <w:szCs w:val="25"/>
        </w:rPr>
        <w:t xml:space="preserve"> </w:t>
      </w:r>
      <w:r w:rsidR="00284BEB">
        <w:rPr>
          <w:rFonts w:ascii="Aptos" w:hAnsi="Aptos"/>
          <w:color w:val="000000" w:themeColor="text1"/>
          <w:sz w:val="25"/>
          <w:szCs w:val="25"/>
        </w:rPr>
        <w:t xml:space="preserve">met </w:t>
      </w:r>
      <w:r w:rsidR="004219FB">
        <w:rPr>
          <w:rFonts w:ascii="Aptos" w:hAnsi="Aptos"/>
          <w:color w:val="000000" w:themeColor="text1"/>
          <w:sz w:val="25"/>
          <w:szCs w:val="25"/>
        </w:rPr>
        <w:t xml:space="preserve">its </w:t>
      </w:r>
      <w:r w:rsidRPr="00F47331">
        <w:rPr>
          <w:rFonts w:ascii="Aptos" w:hAnsi="Aptos"/>
          <w:color w:val="000000" w:themeColor="text1"/>
          <w:sz w:val="25"/>
          <w:szCs w:val="25"/>
        </w:rPr>
        <w:t xml:space="preserve">burden </w:t>
      </w:r>
      <w:r w:rsidR="004219FB">
        <w:rPr>
          <w:rFonts w:ascii="Aptos" w:hAnsi="Aptos"/>
          <w:color w:val="000000" w:themeColor="text1"/>
          <w:sz w:val="25"/>
          <w:szCs w:val="25"/>
        </w:rPr>
        <w:t>to show that there are no genuine issues as to any material fact and that the District is entitled to judgment as a matter of law.</w:t>
      </w:r>
      <w:r w:rsidR="004219FB">
        <w:rPr>
          <w:rStyle w:val="FootnoteReference"/>
          <w:rFonts w:ascii="Aptos" w:hAnsi="Aptos"/>
          <w:color w:val="000000" w:themeColor="text1"/>
          <w:sz w:val="25"/>
          <w:szCs w:val="25"/>
        </w:rPr>
        <w:footnoteReference w:id="50"/>
      </w:r>
      <w:r w:rsidRPr="00F47331">
        <w:rPr>
          <w:rFonts w:ascii="Aptos" w:hAnsi="Aptos"/>
          <w:color w:val="000000" w:themeColor="text1"/>
          <w:sz w:val="25"/>
          <w:szCs w:val="25"/>
        </w:rPr>
        <w:t xml:space="preserve"> </w:t>
      </w:r>
      <w:r w:rsidR="00FB3D51">
        <w:rPr>
          <w:rFonts w:ascii="Aptos" w:hAnsi="Aptos"/>
          <w:color w:val="000000" w:themeColor="text1"/>
          <w:sz w:val="25"/>
          <w:szCs w:val="25"/>
        </w:rPr>
        <w:t xml:space="preserve">Parents’ </w:t>
      </w:r>
      <w:r w:rsidR="00FB3D51">
        <w:rPr>
          <w:rFonts w:ascii="Aptos" w:hAnsi="Aptos"/>
          <w:i/>
          <w:iCs/>
          <w:color w:val="000000" w:themeColor="text1"/>
          <w:sz w:val="25"/>
          <w:szCs w:val="25"/>
        </w:rPr>
        <w:t xml:space="preserve">Hearing Request </w:t>
      </w:r>
      <w:r w:rsidR="00FB3D51">
        <w:rPr>
          <w:rFonts w:ascii="Aptos" w:hAnsi="Aptos"/>
          <w:color w:val="000000" w:themeColor="text1"/>
          <w:sz w:val="25"/>
          <w:szCs w:val="25"/>
        </w:rPr>
        <w:t>is barred by the Settlement Agreement entered</w:t>
      </w:r>
      <w:r w:rsidR="005116F3">
        <w:rPr>
          <w:rFonts w:ascii="Aptos" w:hAnsi="Aptos"/>
          <w:color w:val="000000" w:themeColor="text1"/>
          <w:sz w:val="25"/>
          <w:szCs w:val="25"/>
        </w:rPr>
        <w:t xml:space="preserve"> into by the parties</w:t>
      </w:r>
      <w:r w:rsidR="00FB3D51">
        <w:rPr>
          <w:rFonts w:ascii="Aptos" w:hAnsi="Aptos"/>
          <w:color w:val="000000" w:themeColor="text1"/>
          <w:sz w:val="25"/>
          <w:szCs w:val="25"/>
        </w:rPr>
        <w:t xml:space="preserve"> in October 2024. </w:t>
      </w:r>
      <w:r w:rsidR="004219FB">
        <w:rPr>
          <w:rFonts w:ascii="Aptos" w:hAnsi="Aptos"/>
          <w:color w:val="000000" w:themeColor="text1"/>
          <w:sz w:val="25"/>
          <w:szCs w:val="25"/>
        </w:rPr>
        <w:t>Moreover, given the</w:t>
      </w:r>
      <w:r w:rsidR="00FB3D51">
        <w:rPr>
          <w:rFonts w:ascii="Aptos" w:hAnsi="Aptos"/>
          <w:color w:val="000000" w:themeColor="text1"/>
          <w:sz w:val="25"/>
          <w:szCs w:val="25"/>
        </w:rPr>
        <w:t xml:space="preserve"> procedural posture of a summary judgment motion, the</w:t>
      </w:r>
      <w:r w:rsidR="004219FB">
        <w:rPr>
          <w:rFonts w:ascii="Aptos" w:hAnsi="Aptos"/>
          <w:color w:val="000000" w:themeColor="text1"/>
          <w:sz w:val="25"/>
          <w:szCs w:val="25"/>
        </w:rPr>
        <w:t xml:space="preserve"> unambiguous terms of the Settlement Agreement</w:t>
      </w:r>
      <w:r w:rsidR="00FB3D51">
        <w:rPr>
          <w:rFonts w:ascii="Aptos" w:hAnsi="Aptos"/>
          <w:color w:val="000000" w:themeColor="text1"/>
          <w:sz w:val="25"/>
          <w:szCs w:val="25"/>
        </w:rPr>
        <w:t xml:space="preserve">, and the timing of Parents’ request for subpoenas, I find that Newburyport is entitled to prevail on its </w:t>
      </w:r>
      <w:r w:rsidR="00FB3D51">
        <w:rPr>
          <w:rFonts w:ascii="Aptos" w:hAnsi="Aptos"/>
          <w:i/>
          <w:iCs/>
          <w:color w:val="000000" w:themeColor="text1"/>
          <w:sz w:val="25"/>
          <w:szCs w:val="25"/>
        </w:rPr>
        <w:t>Motion to Quash</w:t>
      </w:r>
      <w:r w:rsidR="00FB3D51">
        <w:rPr>
          <w:rFonts w:ascii="Aptos" w:hAnsi="Aptos"/>
          <w:color w:val="000000" w:themeColor="text1"/>
          <w:sz w:val="25"/>
          <w:szCs w:val="25"/>
        </w:rPr>
        <w:t xml:space="preserve">. </w:t>
      </w:r>
    </w:p>
    <w:p w14:paraId="6EFE3CB5" w14:textId="425F99F4" w:rsidR="00FB3D51" w:rsidRDefault="004219FB" w:rsidP="00FF0EBF">
      <w:pPr>
        <w:pStyle w:val="NormalWeb"/>
        <w:ind w:firstLine="720"/>
        <w:rPr>
          <w:rFonts w:ascii="Aptos" w:hAnsi="Aptos"/>
          <w:color w:val="000000" w:themeColor="text1"/>
          <w:sz w:val="25"/>
          <w:szCs w:val="25"/>
        </w:rPr>
      </w:pPr>
      <w:r>
        <w:rPr>
          <w:rFonts w:ascii="Aptos" w:hAnsi="Aptos"/>
          <w:color w:val="000000" w:themeColor="text1"/>
          <w:sz w:val="25"/>
          <w:szCs w:val="25"/>
        </w:rPr>
        <w:t>Nothing</w:t>
      </w:r>
      <w:r w:rsidR="00B57049">
        <w:rPr>
          <w:rFonts w:ascii="Aptos" w:hAnsi="Aptos"/>
          <w:color w:val="000000" w:themeColor="text1"/>
          <w:sz w:val="25"/>
          <w:szCs w:val="25"/>
        </w:rPr>
        <w:t xml:space="preserve"> contained herein</w:t>
      </w:r>
      <w:r>
        <w:rPr>
          <w:rFonts w:ascii="Aptos" w:hAnsi="Aptos"/>
          <w:color w:val="000000" w:themeColor="text1"/>
          <w:sz w:val="25"/>
          <w:szCs w:val="25"/>
        </w:rPr>
        <w:t xml:space="preserve"> prevents the parties from </w:t>
      </w:r>
      <w:r w:rsidR="00FB3D51">
        <w:rPr>
          <w:rFonts w:ascii="Aptos" w:hAnsi="Aptos"/>
          <w:color w:val="000000" w:themeColor="text1"/>
          <w:sz w:val="25"/>
          <w:szCs w:val="25"/>
        </w:rPr>
        <w:t>renegotiating or amending the Settlement Agreement voluntarily.</w:t>
      </w:r>
    </w:p>
    <w:p w14:paraId="6A381516" w14:textId="007BE712" w:rsidR="00506104" w:rsidRDefault="00FB3D51" w:rsidP="00C27FC0">
      <w:pPr>
        <w:pStyle w:val="NoSpacing"/>
        <w:rPr>
          <w:rFonts w:ascii="Aptos" w:hAnsi="Aptos" w:cs="Times New Roman"/>
          <w:i/>
          <w:iCs/>
          <w:sz w:val="25"/>
          <w:szCs w:val="25"/>
        </w:rPr>
      </w:pPr>
      <w:r>
        <w:rPr>
          <w:rFonts w:ascii="Aptos" w:hAnsi="Aptos" w:cs="Times New Roman"/>
          <w:i/>
          <w:iCs/>
          <w:sz w:val="25"/>
          <w:szCs w:val="25"/>
        </w:rPr>
        <w:t>So Ordered.</w:t>
      </w:r>
    </w:p>
    <w:p w14:paraId="52BD7540" w14:textId="77777777" w:rsidR="00506104" w:rsidRDefault="00506104" w:rsidP="00C27FC0">
      <w:pPr>
        <w:pStyle w:val="NoSpacing"/>
        <w:rPr>
          <w:rFonts w:ascii="Aptos" w:hAnsi="Aptos" w:cs="Times New Roman"/>
          <w:sz w:val="25"/>
          <w:szCs w:val="25"/>
        </w:rPr>
      </w:pPr>
    </w:p>
    <w:p w14:paraId="7C508316" w14:textId="048DE601" w:rsidR="00C27FC0" w:rsidRPr="00F47331" w:rsidRDefault="00C27FC0" w:rsidP="00C27FC0">
      <w:pPr>
        <w:pStyle w:val="NoSpacing"/>
        <w:rPr>
          <w:rFonts w:ascii="Aptos" w:hAnsi="Aptos" w:cs="Times New Roman"/>
          <w:sz w:val="25"/>
          <w:szCs w:val="25"/>
        </w:rPr>
      </w:pPr>
      <w:r w:rsidRPr="00F47331">
        <w:rPr>
          <w:rFonts w:ascii="Aptos" w:hAnsi="Aptos" w:cs="Times New Roman"/>
          <w:sz w:val="25"/>
          <w:szCs w:val="25"/>
        </w:rPr>
        <w:t>By the Hearing Officer:</w:t>
      </w:r>
    </w:p>
    <w:p w14:paraId="37C1D808" w14:textId="77777777" w:rsidR="00C27FC0" w:rsidRPr="00F47331" w:rsidRDefault="00C27FC0" w:rsidP="00C27FC0">
      <w:pPr>
        <w:rPr>
          <w:rFonts w:ascii="Aptos" w:hAnsi="Aptos"/>
          <w:sz w:val="25"/>
          <w:szCs w:val="25"/>
        </w:rPr>
      </w:pPr>
    </w:p>
    <w:p w14:paraId="228985A6" w14:textId="77777777" w:rsidR="00C27FC0" w:rsidRPr="00F47331" w:rsidRDefault="00C27FC0" w:rsidP="00C27FC0">
      <w:pPr>
        <w:rPr>
          <w:rFonts w:ascii="Aptos" w:hAnsi="Aptos"/>
          <w:sz w:val="25"/>
          <w:u w:val="single"/>
        </w:rPr>
      </w:pPr>
      <w:r w:rsidRPr="00F47331">
        <w:rPr>
          <w:rFonts w:ascii="Aptos" w:hAnsi="Aptos"/>
          <w:sz w:val="25"/>
          <w:u w:val="single"/>
        </w:rPr>
        <w:t xml:space="preserve">  /s/  </w:t>
      </w:r>
      <w:r w:rsidRPr="002A3944">
        <w:rPr>
          <w:rFonts w:ascii="Lucida Handwriting" w:hAnsi="Lucida Handwriting"/>
          <w:sz w:val="32"/>
          <w:szCs w:val="32"/>
          <w:u w:val="single"/>
        </w:rPr>
        <w:t>Amy Reichbach</w:t>
      </w:r>
      <w:r w:rsidRPr="002A3944">
        <w:rPr>
          <w:rFonts w:ascii="Lucida Handwriting" w:hAnsi="Lucida Handwriting"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p>
    <w:p w14:paraId="10D8E383" w14:textId="77777777" w:rsidR="00C27FC0" w:rsidRPr="00F47331" w:rsidRDefault="00C27FC0" w:rsidP="00C27FC0">
      <w:pPr>
        <w:pStyle w:val="NoSpacing"/>
        <w:rPr>
          <w:rFonts w:ascii="Aptos" w:hAnsi="Aptos" w:cs="Times New Roman"/>
          <w:sz w:val="25"/>
          <w:szCs w:val="25"/>
        </w:rPr>
      </w:pPr>
      <w:r w:rsidRPr="00F47331">
        <w:rPr>
          <w:rFonts w:ascii="Aptos" w:hAnsi="Aptos" w:cs="Times New Roman"/>
          <w:sz w:val="25"/>
          <w:szCs w:val="25"/>
        </w:rPr>
        <w:t>Amy M. Reichbach</w:t>
      </w:r>
    </w:p>
    <w:p w14:paraId="6B9CC086" w14:textId="376E09E6" w:rsidR="00C27FC0" w:rsidRPr="00F47331" w:rsidRDefault="00C27FC0" w:rsidP="00C27FC0">
      <w:pPr>
        <w:pStyle w:val="NoSpacing"/>
        <w:rPr>
          <w:rFonts w:ascii="Aptos" w:hAnsi="Aptos" w:cs="Times New Roman"/>
          <w:sz w:val="25"/>
          <w:szCs w:val="25"/>
        </w:rPr>
      </w:pPr>
      <w:r w:rsidRPr="00F47331">
        <w:rPr>
          <w:rFonts w:ascii="Aptos" w:hAnsi="Aptos" w:cs="Times New Roman"/>
          <w:sz w:val="25"/>
          <w:szCs w:val="25"/>
        </w:rPr>
        <w:t xml:space="preserve">Dated: </w:t>
      </w:r>
      <w:r w:rsidR="00FB3D51">
        <w:rPr>
          <w:rFonts w:ascii="Aptos" w:hAnsi="Aptos" w:cs="Times New Roman"/>
          <w:sz w:val="25"/>
          <w:szCs w:val="25"/>
        </w:rPr>
        <w:t xml:space="preserve">May </w:t>
      </w:r>
      <w:r w:rsidR="00896CDE">
        <w:rPr>
          <w:rFonts w:ascii="Aptos" w:hAnsi="Aptos" w:cs="Times New Roman"/>
          <w:sz w:val="25"/>
          <w:szCs w:val="25"/>
        </w:rPr>
        <w:t>20</w:t>
      </w:r>
      <w:r w:rsidR="002A3944">
        <w:rPr>
          <w:rFonts w:ascii="Aptos" w:hAnsi="Aptos" w:cs="Times New Roman"/>
          <w:sz w:val="25"/>
          <w:szCs w:val="25"/>
        </w:rPr>
        <w:t>, 2025</w:t>
      </w:r>
    </w:p>
    <w:p w14:paraId="018F94EA" w14:textId="77777777" w:rsidR="00C27FC0" w:rsidRPr="00F47331" w:rsidRDefault="00C27FC0" w:rsidP="00F66C64">
      <w:pPr>
        <w:rPr>
          <w:rFonts w:ascii="Aptos" w:hAnsi="Aptos"/>
          <w:sz w:val="25"/>
          <w:szCs w:val="25"/>
        </w:rPr>
      </w:pPr>
    </w:p>
    <w:p w14:paraId="13B54353" w14:textId="5A8063C5" w:rsidR="00BC11F3" w:rsidRDefault="00BC11F3">
      <w:pPr>
        <w:rPr>
          <w:rFonts w:ascii="Aptos" w:hAnsi="Aptos"/>
          <w:sz w:val="25"/>
          <w:szCs w:val="25"/>
        </w:rPr>
      </w:pPr>
      <w:r>
        <w:rPr>
          <w:rFonts w:ascii="Aptos" w:hAnsi="Aptos"/>
          <w:sz w:val="25"/>
          <w:szCs w:val="25"/>
        </w:rPr>
        <w:br w:type="page"/>
      </w:r>
    </w:p>
    <w:p w14:paraId="7C6DB830" w14:textId="77777777" w:rsidR="00BC11F3" w:rsidRPr="00992867" w:rsidRDefault="00BC11F3" w:rsidP="00BC11F3">
      <w:pPr>
        <w:tabs>
          <w:tab w:val="left" w:pos="180"/>
          <w:tab w:val="left" w:pos="720"/>
        </w:tabs>
        <w:jc w:val="center"/>
        <w:rPr>
          <w:rFonts w:ascii="Aptos" w:hAnsi="Aptos"/>
          <w:color w:val="000000" w:themeColor="text1"/>
        </w:rPr>
      </w:pPr>
      <w:r w:rsidRPr="00992867">
        <w:rPr>
          <w:rFonts w:ascii="Aptos" w:hAnsi="Aptos"/>
          <w:noProof/>
          <w:color w:val="000000" w:themeColor="text1"/>
        </w:rPr>
        <w:lastRenderedPageBreak/>
        <w:drawing>
          <wp:inline distT="0" distB="0" distL="0" distR="0" wp14:anchorId="4CFCAC74" wp14:editId="1470C7F1">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8"/>
                    <a:stretch>
                      <a:fillRect/>
                    </a:stretch>
                  </pic:blipFill>
                  <pic:spPr>
                    <a:xfrm>
                      <a:off x="0" y="0"/>
                      <a:ext cx="12192" cy="9147"/>
                    </a:xfrm>
                    <a:prstGeom prst="rect">
                      <a:avLst/>
                    </a:prstGeom>
                  </pic:spPr>
                </pic:pic>
              </a:graphicData>
            </a:graphic>
          </wp:inline>
        </w:drawing>
      </w:r>
      <w:r w:rsidRPr="00992867">
        <w:rPr>
          <w:rFonts w:ascii="Aptos" w:hAnsi="Aptos"/>
          <w:color w:val="000000" w:themeColor="text1"/>
        </w:rPr>
        <w:t>COMMONWEALTH OF MASSACHUSETTS</w:t>
      </w:r>
    </w:p>
    <w:p w14:paraId="183FF244" w14:textId="77777777" w:rsidR="00BC11F3" w:rsidRPr="00992867" w:rsidRDefault="00BC11F3" w:rsidP="00BC11F3">
      <w:pPr>
        <w:tabs>
          <w:tab w:val="left" w:pos="180"/>
          <w:tab w:val="left" w:pos="720"/>
        </w:tabs>
        <w:ind w:right="250"/>
        <w:jc w:val="center"/>
        <w:rPr>
          <w:rFonts w:ascii="Aptos" w:hAnsi="Aptos"/>
          <w:color w:val="000000" w:themeColor="text1"/>
        </w:rPr>
      </w:pPr>
      <w:r w:rsidRPr="00992867">
        <w:rPr>
          <w:rFonts w:ascii="Aptos" w:hAnsi="Aptos"/>
          <w:noProof/>
          <w:color w:val="000000" w:themeColor="text1"/>
        </w:rPr>
        <w:drawing>
          <wp:inline distT="0" distB="0" distL="0" distR="0" wp14:anchorId="45B32E4F" wp14:editId="06046AAA">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9"/>
                    <a:stretch>
                      <a:fillRect/>
                    </a:stretch>
                  </pic:blipFill>
                  <pic:spPr>
                    <a:xfrm>
                      <a:off x="0" y="0"/>
                      <a:ext cx="9144" cy="9147"/>
                    </a:xfrm>
                    <a:prstGeom prst="rect">
                      <a:avLst/>
                    </a:prstGeom>
                  </pic:spPr>
                </pic:pic>
              </a:graphicData>
            </a:graphic>
          </wp:inline>
        </w:drawing>
      </w:r>
      <w:r w:rsidRPr="00992867">
        <w:rPr>
          <w:rFonts w:ascii="Aptos" w:hAnsi="Aptos"/>
          <w:color w:val="000000" w:themeColor="text1"/>
        </w:rPr>
        <w:t>BUREAU OF SPECIAL EDUCATION APPEALS</w:t>
      </w:r>
    </w:p>
    <w:p w14:paraId="683DD2AC" w14:textId="77777777" w:rsidR="00BC11F3" w:rsidRDefault="00BC11F3" w:rsidP="00BC11F3">
      <w:pPr>
        <w:tabs>
          <w:tab w:val="left" w:pos="180"/>
          <w:tab w:val="center" w:pos="440"/>
          <w:tab w:val="left" w:pos="720"/>
          <w:tab w:val="center" w:pos="4627"/>
        </w:tabs>
        <w:jc w:val="center"/>
        <w:rPr>
          <w:rFonts w:ascii="Aptos" w:hAnsi="Aptos"/>
          <w:color w:val="000000" w:themeColor="text1"/>
          <w:u w:val="single" w:color="000000"/>
        </w:rPr>
      </w:pPr>
      <w:r w:rsidRPr="00992867">
        <w:rPr>
          <w:rFonts w:ascii="Aptos" w:hAnsi="Aptos"/>
          <w:noProof/>
          <w:color w:val="000000" w:themeColor="text1"/>
        </w:rPr>
        <w:drawing>
          <wp:inline distT="0" distB="0" distL="0" distR="0" wp14:anchorId="727CA6B0" wp14:editId="3313B137">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0"/>
                    <a:stretch>
                      <a:fillRect/>
                    </a:stretch>
                  </pic:blipFill>
                  <pic:spPr>
                    <a:xfrm>
                      <a:off x="0" y="0"/>
                      <a:ext cx="9144" cy="9147"/>
                    </a:xfrm>
                    <a:prstGeom prst="rect">
                      <a:avLst/>
                    </a:prstGeom>
                  </pic:spPr>
                </pic:pic>
              </a:graphicData>
            </a:graphic>
          </wp:inline>
        </w:drawing>
      </w:r>
      <w:r w:rsidRPr="00992867">
        <w:rPr>
          <w:rFonts w:ascii="Aptos" w:hAnsi="Aptos"/>
          <w:color w:val="000000" w:themeColor="text1"/>
          <w:u w:val="single" w:color="000000"/>
        </w:rPr>
        <w:t>EFFECT OF BUREAU DECISION AND RIGHTS OF APPEAL</w:t>
      </w:r>
    </w:p>
    <w:p w14:paraId="1FC09072" w14:textId="77777777" w:rsidR="00BC11F3" w:rsidRPr="00992867" w:rsidRDefault="00BC11F3" w:rsidP="00BC11F3">
      <w:pPr>
        <w:tabs>
          <w:tab w:val="left" w:pos="180"/>
          <w:tab w:val="center" w:pos="440"/>
          <w:tab w:val="left" w:pos="720"/>
          <w:tab w:val="center" w:pos="4627"/>
        </w:tabs>
        <w:jc w:val="center"/>
        <w:rPr>
          <w:rFonts w:ascii="Aptos" w:hAnsi="Aptos"/>
          <w:color w:val="000000" w:themeColor="text1"/>
        </w:rPr>
      </w:pPr>
    </w:p>
    <w:p w14:paraId="26C804A0" w14:textId="77777777" w:rsidR="00BC11F3" w:rsidRPr="00992867" w:rsidRDefault="00BC11F3" w:rsidP="00BC11F3">
      <w:pPr>
        <w:pStyle w:val="Heading1"/>
        <w:tabs>
          <w:tab w:val="left" w:pos="180"/>
          <w:tab w:val="left" w:pos="720"/>
        </w:tabs>
        <w:rPr>
          <w:rFonts w:ascii="Aptos" w:hAnsi="Aptos"/>
          <w:b/>
          <w:color w:val="000000" w:themeColor="text1"/>
          <w:sz w:val="24"/>
          <w:szCs w:val="24"/>
        </w:rPr>
      </w:pPr>
      <w:r w:rsidRPr="00992867">
        <w:rPr>
          <w:rFonts w:ascii="Aptos" w:hAnsi="Aptos"/>
          <w:color w:val="000000" w:themeColor="text1"/>
          <w:sz w:val="24"/>
          <w:szCs w:val="24"/>
        </w:rPr>
        <w:t>Effect of the Decision</w:t>
      </w:r>
    </w:p>
    <w:p w14:paraId="6266366E" w14:textId="77777777" w:rsidR="00BC11F3" w:rsidRPr="00992867" w:rsidRDefault="00BC11F3" w:rsidP="00BC11F3">
      <w:pPr>
        <w:tabs>
          <w:tab w:val="left" w:pos="180"/>
          <w:tab w:val="left" w:pos="720"/>
        </w:tabs>
        <w:rPr>
          <w:rFonts w:ascii="Aptos" w:hAnsi="Aptos"/>
          <w:color w:val="000000" w:themeColor="text1"/>
        </w:rPr>
      </w:pPr>
      <w:r w:rsidRPr="00992867">
        <w:rPr>
          <w:rFonts w:ascii="Aptos" w:hAnsi="Aptos"/>
          <w:color w:val="000000" w:themeColor="text1"/>
        </w:rPr>
        <w:t>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73DA79FE" w14:textId="77777777" w:rsidR="00BC11F3" w:rsidRDefault="00BC11F3" w:rsidP="00BC11F3">
      <w:pPr>
        <w:tabs>
          <w:tab w:val="left" w:pos="180"/>
          <w:tab w:val="left" w:pos="720"/>
        </w:tabs>
        <w:ind w:right="62"/>
        <w:rPr>
          <w:rFonts w:ascii="Aptos" w:hAnsi="Aptos"/>
          <w:color w:val="000000" w:themeColor="text1"/>
        </w:rPr>
      </w:pPr>
    </w:p>
    <w:p w14:paraId="0642FEAB" w14:textId="2A7C0BB9" w:rsidR="00BC11F3" w:rsidRPr="00992867" w:rsidRDefault="00BC11F3" w:rsidP="00BC11F3">
      <w:pPr>
        <w:tabs>
          <w:tab w:val="left" w:pos="180"/>
          <w:tab w:val="left" w:pos="720"/>
        </w:tabs>
        <w:ind w:right="62"/>
        <w:rPr>
          <w:rFonts w:ascii="Aptos" w:hAnsi="Aptos"/>
          <w:color w:val="000000" w:themeColor="text1"/>
        </w:rPr>
      </w:pPr>
      <w:r w:rsidRPr="00992867">
        <w:rPr>
          <w:rFonts w:ascii="Aptos" w:hAnsi="Aptos"/>
          <w:color w:val="000000" w:themeColor="text1"/>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14:paraId="16ED4D78" w14:textId="77777777" w:rsidR="00BC11F3" w:rsidRDefault="00BC11F3" w:rsidP="00BC11F3">
      <w:pPr>
        <w:tabs>
          <w:tab w:val="left" w:pos="180"/>
          <w:tab w:val="left" w:pos="720"/>
        </w:tabs>
        <w:ind w:right="62"/>
        <w:rPr>
          <w:rFonts w:ascii="Aptos" w:hAnsi="Aptos"/>
          <w:color w:val="000000" w:themeColor="text1"/>
        </w:rPr>
      </w:pPr>
    </w:p>
    <w:p w14:paraId="53309E64" w14:textId="1F86F18C" w:rsidR="00BC11F3" w:rsidRPr="00992867" w:rsidRDefault="00BC11F3" w:rsidP="00BC11F3">
      <w:pPr>
        <w:tabs>
          <w:tab w:val="left" w:pos="180"/>
          <w:tab w:val="left" w:pos="720"/>
        </w:tabs>
        <w:ind w:right="62"/>
        <w:rPr>
          <w:rFonts w:ascii="Aptos" w:hAnsi="Aptos"/>
          <w:color w:val="000000" w:themeColor="text1"/>
        </w:rPr>
      </w:pPr>
      <w:r w:rsidRPr="00992867">
        <w:rPr>
          <w:rFonts w:ascii="Aptos" w:hAnsi="Aptos"/>
          <w:color w:val="000000" w:themeColor="text1"/>
        </w:rPr>
        <w:t>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during the pendency of judicial proceedings must seek a preliminary injunction ordering such a change in placement from the court having jurisdiction over the appeal.  Honig v. Doe, 484 U.S. 305 (1988); Doe v. Brookline, 722 F.2d 910 (1</w:t>
      </w:r>
      <w:r w:rsidRPr="00992867">
        <w:rPr>
          <w:rFonts w:ascii="Aptos" w:hAnsi="Aptos"/>
          <w:color w:val="000000" w:themeColor="text1"/>
          <w:vertAlign w:val="superscript"/>
        </w:rPr>
        <w:t>st</w:t>
      </w:r>
      <w:r w:rsidRPr="00992867">
        <w:rPr>
          <w:rFonts w:ascii="Aptos" w:hAnsi="Aptos"/>
          <w:color w:val="000000" w:themeColor="text1"/>
        </w:rPr>
        <w:t xml:space="preserve"> Cir. 1983).</w:t>
      </w:r>
    </w:p>
    <w:p w14:paraId="4EFD800F" w14:textId="77777777" w:rsidR="00BC11F3" w:rsidRDefault="00BC11F3" w:rsidP="00BC11F3">
      <w:pPr>
        <w:pStyle w:val="Heading1"/>
        <w:tabs>
          <w:tab w:val="left" w:pos="180"/>
          <w:tab w:val="left" w:pos="720"/>
        </w:tabs>
        <w:rPr>
          <w:rFonts w:ascii="Aptos" w:hAnsi="Aptos"/>
          <w:color w:val="000000" w:themeColor="text1"/>
          <w:sz w:val="24"/>
          <w:szCs w:val="24"/>
        </w:rPr>
      </w:pPr>
    </w:p>
    <w:p w14:paraId="0B394BFB" w14:textId="2CC9A64C" w:rsidR="00BC11F3" w:rsidRPr="00992867" w:rsidRDefault="00BC11F3" w:rsidP="00BC11F3">
      <w:pPr>
        <w:pStyle w:val="Heading1"/>
        <w:tabs>
          <w:tab w:val="left" w:pos="180"/>
          <w:tab w:val="left" w:pos="720"/>
        </w:tabs>
        <w:rPr>
          <w:rFonts w:ascii="Aptos" w:hAnsi="Aptos"/>
          <w:b/>
          <w:color w:val="000000" w:themeColor="text1"/>
          <w:sz w:val="24"/>
          <w:szCs w:val="24"/>
        </w:rPr>
      </w:pPr>
      <w:r w:rsidRPr="00992867">
        <w:rPr>
          <w:rFonts w:ascii="Aptos" w:hAnsi="Aptos"/>
          <w:color w:val="000000" w:themeColor="text1"/>
          <w:sz w:val="24"/>
          <w:szCs w:val="24"/>
        </w:rPr>
        <w:t>Compliance</w:t>
      </w:r>
    </w:p>
    <w:p w14:paraId="30249402" w14:textId="77777777" w:rsidR="00BC11F3" w:rsidRPr="00992867" w:rsidRDefault="00BC11F3" w:rsidP="00BC11F3">
      <w:pPr>
        <w:tabs>
          <w:tab w:val="left" w:pos="180"/>
          <w:tab w:val="left" w:pos="720"/>
        </w:tabs>
        <w:ind w:right="172"/>
        <w:rPr>
          <w:rFonts w:ascii="Aptos" w:hAnsi="Aptos"/>
          <w:color w:val="000000" w:themeColor="text1"/>
        </w:rPr>
      </w:pPr>
      <w:r w:rsidRPr="00992867">
        <w:rPr>
          <w:rFonts w:ascii="Aptos" w:hAnsi="Aptos"/>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nature as to excuse performance, and facts bearing on a remedy. Upon </w:t>
      </w:r>
      <w:proofErr w:type="gramStart"/>
      <w:r w:rsidRPr="00992867">
        <w:rPr>
          <w:rFonts w:ascii="Aptos" w:hAnsi="Aptos"/>
          <w:color w:val="000000" w:themeColor="text1"/>
        </w:rPr>
        <w:t>a finding of</w:t>
      </w:r>
      <w:proofErr w:type="gramEnd"/>
      <w:r w:rsidRPr="00992867">
        <w:rPr>
          <w:rFonts w:ascii="Aptos" w:hAnsi="Aptos"/>
          <w:color w:val="000000" w:themeColor="text1"/>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5AD911C9" w14:textId="77777777" w:rsidR="00BC11F3" w:rsidRDefault="00BC11F3" w:rsidP="00BC11F3">
      <w:pPr>
        <w:pStyle w:val="Heading1"/>
        <w:tabs>
          <w:tab w:val="left" w:pos="180"/>
          <w:tab w:val="left" w:pos="720"/>
        </w:tabs>
        <w:rPr>
          <w:rFonts w:ascii="Aptos" w:hAnsi="Aptos"/>
          <w:color w:val="000000" w:themeColor="text1"/>
          <w:sz w:val="24"/>
          <w:szCs w:val="24"/>
        </w:rPr>
      </w:pPr>
    </w:p>
    <w:p w14:paraId="064ED092" w14:textId="6E26A01B" w:rsidR="00BC11F3" w:rsidRPr="00992867" w:rsidRDefault="00BC11F3" w:rsidP="00BC11F3">
      <w:pPr>
        <w:pStyle w:val="Heading1"/>
        <w:tabs>
          <w:tab w:val="left" w:pos="180"/>
          <w:tab w:val="left" w:pos="720"/>
        </w:tabs>
        <w:rPr>
          <w:rFonts w:ascii="Aptos" w:hAnsi="Aptos"/>
          <w:b/>
          <w:color w:val="000000" w:themeColor="text1"/>
          <w:sz w:val="24"/>
          <w:szCs w:val="24"/>
        </w:rPr>
      </w:pPr>
      <w:r w:rsidRPr="00992867">
        <w:rPr>
          <w:rFonts w:ascii="Aptos" w:hAnsi="Aptos"/>
          <w:color w:val="000000" w:themeColor="text1"/>
          <w:sz w:val="24"/>
          <w:szCs w:val="24"/>
        </w:rPr>
        <w:t>Rights of Appeal</w:t>
      </w:r>
    </w:p>
    <w:p w14:paraId="6AB53DA9" w14:textId="42615163" w:rsidR="00BC11F3" w:rsidRPr="00992867" w:rsidRDefault="00BC11F3" w:rsidP="00BC11F3">
      <w:pPr>
        <w:tabs>
          <w:tab w:val="left" w:pos="180"/>
          <w:tab w:val="left" w:pos="720"/>
        </w:tabs>
        <w:ind w:right="172"/>
        <w:rPr>
          <w:rFonts w:ascii="Aptos" w:hAnsi="Aptos"/>
          <w:color w:val="000000" w:themeColor="text1"/>
        </w:rPr>
      </w:pPr>
      <w:r w:rsidRPr="00992867">
        <w:rPr>
          <w:rFonts w:ascii="Aptos" w:hAnsi="Aptos"/>
          <w:color w:val="000000" w:themeColor="text1"/>
        </w:rPr>
        <w:t>Any party aggrieved by a decision of the Bureau of Special Education Appeals may file a complaint in the state superior court of competent jurisdiction or in the District Court of the United States for Massachusetts, for review of the Bureau decision. 20 U.S.C. s. 1415(i)(2).</w:t>
      </w:r>
      <w:r>
        <w:rPr>
          <w:rFonts w:ascii="Aptos" w:hAnsi="Aptos"/>
          <w:color w:val="000000" w:themeColor="text1"/>
        </w:rPr>
        <w:t xml:space="preserve"> </w:t>
      </w:r>
      <w:r w:rsidRPr="00992867">
        <w:rPr>
          <w:rFonts w:ascii="Aptos" w:hAnsi="Aptos"/>
          <w:color w:val="000000" w:themeColor="text1"/>
        </w:rPr>
        <w:t>An appeal of a Bureau decision to state superior court or to federal district court must be filed within ninety (90) days from the date of the decision. 20 U.S.C. s. 1415(i)(2)(B).</w:t>
      </w:r>
    </w:p>
    <w:p w14:paraId="20D16C5F" w14:textId="77777777" w:rsidR="00BC11F3" w:rsidRDefault="00BC11F3" w:rsidP="00BC11F3">
      <w:pPr>
        <w:pStyle w:val="Heading1"/>
        <w:tabs>
          <w:tab w:val="left" w:pos="180"/>
          <w:tab w:val="left" w:pos="720"/>
        </w:tabs>
        <w:rPr>
          <w:rFonts w:ascii="Aptos" w:hAnsi="Aptos"/>
          <w:color w:val="000000" w:themeColor="text1"/>
          <w:sz w:val="24"/>
          <w:szCs w:val="24"/>
        </w:rPr>
      </w:pPr>
    </w:p>
    <w:p w14:paraId="460B6212" w14:textId="548C2E1A" w:rsidR="00BC11F3" w:rsidRPr="00992867" w:rsidRDefault="00BC11F3" w:rsidP="00BC11F3">
      <w:pPr>
        <w:pStyle w:val="Heading1"/>
        <w:tabs>
          <w:tab w:val="left" w:pos="180"/>
          <w:tab w:val="left" w:pos="720"/>
        </w:tabs>
        <w:rPr>
          <w:rFonts w:ascii="Aptos" w:hAnsi="Aptos"/>
          <w:b/>
          <w:color w:val="000000" w:themeColor="text1"/>
          <w:sz w:val="24"/>
          <w:szCs w:val="24"/>
        </w:rPr>
      </w:pPr>
      <w:r w:rsidRPr="00992867">
        <w:rPr>
          <w:rFonts w:ascii="Aptos" w:hAnsi="Aptos"/>
          <w:color w:val="000000" w:themeColor="text1"/>
          <w:sz w:val="24"/>
          <w:szCs w:val="24"/>
        </w:rPr>
        <w:t>Confidentiality</w:t>
      </w:r>
    </w:p>
    <w:p w14:paraId="459EE8B5" w14:textId="34ACF135" w:rsidR="00BC11F3" w:rsidRPr="00992867" w:rsidRDefault="00BC11F3" w:rsidP="00BC11F3">
      <w:pPr>
        <w:tabs>
          <w:tab w:val="left" w:pos="180"/>
          <w:tab w:val="left" w:pos="720"/>
        </w:tabs>
        <w:ind w:right="34"/>
        <w:rPr>
          <w:rFonts w:ascii="Aptos" w:hAnsi="Aptos"/>
          <w:color w:val="000000" w:themeColor="text1"/>
        </w:rPr>
      </w:pPr>
      <w:r w:rsidRPr="00992867">
        <w:rPr>
          <w:rFonts w:ascii="Aptos" w:hAnsi="Aptos"/>
          <w:noProof/>
          <w:color w:val="000000" w:themeColor="text1"/>
        </w:rPr>
        <w:drawing>
          <wp:anchor distT="0" distB="0" distL="114300" distR="114300" simplePos="0" relativeHeight="251659264" behindDoc="0" locked="0" layoutInCell="1" allowOverlap="0" wp14:anchorId="15824773" wp14:editId="41FBD0A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1"/>
                    <a:stretch>
                      <a:fillRect/>
                    </a:stretch>
                  </pic:blipFill>
                  <pic:spPr>
                    <a:xfrm>
                      <a:off x="0" y="0"/>
                      <a:ext cx="12192" cy="12196"/>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60288" behindDoc="0" locked="0" layoutInCell="1" allowOverlap="0" wp14:anchorId="74809A9D" wp14:editId="04B87439">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2"/>
                    <a:stretch>
                      <a:fillRect/>
                    </a:stretch>
                  </pic:blipFill>
                  <pic:spPr>
                    <a:xfrm>
                      <a:off x="0" y="0"/>
                      <a:ext cx="9144" cy="9147"/>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61312" behindDoc="0" locked="0" layoutInCell="1" allowOverlap="0" wp14:anchorId="334F537F" wp14:editId="05431019">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3"/>
                    <a:stretch>
                      <a:fillRect/>
                    </a:stretch>
                  </pic:blipFill>
                  <pic:spPr>
                    <a:xfrm>
                      <a:off x="0" y="0"/>
                      <a:ext cx="9144" cy="9147"/>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62336" behindDoc="0" locked="0" layoutInCell="1" allowOverlap="0" wp14:anchorId="78CD4434" wp14:editId="75BE76C6">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4"/>
                    <a:stretch>
                      <a:fillRect/>
                    </a:stretch>
                  </pic:blipFill>
                  <pic:spPr>
                    <a:xfrm>
                      <a:off x="0" y="0"/>
                      <a:ext cx="9144" cy="12196"/>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63360" behindDoc="0" locked="0" layoutInCell="1" allowOverlap="0" wp14:anchorId="26DF7BBF" wp14:editId="669B24ED">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5"/>
                    <a:stretch>
                      <a:fillRect/>
                    </a:stretch>
                  </pic:blipFill>
                  <pic:spPr>
                    <a:xfrm>
                      <a:off x="0" y="0"/>
                      <a:ext cx="15240" cy="12196"/>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64384" behindDoc="0" locked="0" layoutInCell="1" allowOverlap="0" wp14:anchorId="68E4906E" wp14:editId="2385C13A">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6"/>
                    <a:stretch>
                      <a:fillRect/>
                    </a:stretch>
                  </pic:blipFill>
                  <pic:spPr>
                    <a:xfrm>
                      <a:off x="0" y="0"/>
                      <a:ext cx="9144" cy="9147"/>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65408" behindDoc="0" locked="0" layoutInCell="1" allowOverlap="0" wp14:anchorId="5D528BCF" wp14:editId="42CA77D0">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7"/>
                    <a:stretch>
                      <a:fillRect/>
                    </a:stretch>
                  </pic:blipFill>
                  <pic:spPr>
                    <a:xfrm>
                      <a:off x="0" y="0"/>
                      <a:ext cx="9144" cy="9147"/>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66432" behindDoc="0" locked="0" layoutInCell="1" allowOverlap="0" wp14:anchorId="6C634AD0" wp14:editId="383A0F1D">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8"/>
                    <a:stretch>
                      <a:fillRect/>
                    </a:stretch>
                  </pic:blipFill>
                  <pic:spPr>
                    <a:xfrm>
                      <a:off x="0" y="0"/>
                      <a:ext cx="9144" cy="9147"/>
                    </a:xfrm>
                    <a:prstGeom prst="rect">
                      <a:avLst/>
                    </a:prstGeom>
                  </pic:spPr>
                </pic:pic>
              </a:graphicData>
            </a:graphic>
          </wp:anchor>
        </w:drawing>
      </w:r>
      <w:r w:rsidRPr="00992867">
        <w:rPr>
          <w:rFonts w:ascii="Aptos" w:hAnsi="Aptos"/>
          <w:noProof/>
          <w:color w:val="000000" w:themeColor="text1"/>
        </w:rPr>
        <w:drawing>
          <wp:anchor distT="0" distB="0" distL="114300" distR="114300" simplePos="0" relativeHeight="251667456" behindDoc="0" locked="0" layoutInCell="1" allowOverlap="0" wp14:anchorId="2662A7A0" wp14:editId="31C561AB">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9"/>
                    <a:stretch>
                      <a:fillRect/>
                    </a:stretch>
                  </pic:blipFill>
                  <pic:spPr>
                    <a:xfrm>
                      <a:off x="0" y="0"/>
                      <a:ext cx="18288" cy="15245"/>
                    </a:xfrm>
                    <a:prstGeom prst="rect">
                      <a:avLst/>
                    </a:prstGeom>
                  </pic:spPr>
                </pic:pic>
              </a:graphicData>
            </a:graphic>
          </wp:anchor>
        </w:drawing>
      </w:r>
      <w:r w:rsidRPr="00992867">
        <w:rPr>
          <w:rFonts w:ascii="Aptos" w:hAnsi="Aptos"/>
          <w:color w:val="000000" w:themeColor="text1"/>
        </w:rPr>
        <w:t xml:space="preserve">In order to preserve the confidentiality of the student involved in these proceedings, when an </w:t>
      </w:r>
      <w:r w:rsidRPr="00992867">
        <w:rPr>
          <w:rFonts w:ascii="Aptos" w:hAnsi="Aptos"/>
          <w:noProof/>
          <w:color w:val="000000" w:themeColor="text1"/>
        </w:rPr>
        <w:drawing>
          <wp:inline distT="0" distB="0" distL="0" distR="0" wp14:anchorId="7C40ADF7" wp14:editId="585EDC8F">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0"/>
                    <a:stretch>
                      <a:fillRect/>
                    </a:stretch>
                  </pic:blipFill>
                  <pic:spPr>
                    <a:xfrm>
                      <a:off x="0" y="0"/>
                      <a:ext cx="6096" cy="12196"/>
                    </a:xfrm>
                    <a:prstGeom prst="rect">
                      <a:avLst/>
                    </a:prstGeom>
                  </pic:spPr>
                </pic:pic>
              </a:graphicData>
            </a:graphic>
          </wp:inline>
        </w:drawing>
      </w:r>
      <w:r w:rsidRPr="00992867">
        <w:rPr>
          <w:rFonts w:ascii="Aptos" w:hAnsi="Aptos"/>
          <w:color w:val="000000" w:themeColor="text1"/>
        </w:rPr>
        <w:t>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Grove School District v. Pulitzer Publishing</w:t>
      </w:r>
      <w:r>
        <w:rPr>
          <w:rFonts w:ascii="Aptos" w:hAnsi="Aptos"/>
          <w:color w:val="000000" w:themeColor="text1"/>
        </w:rPr>
        <w:t xml:space="preserve"> </w:t>
      </w:r>
      <w:r w:rsidRPr="00992867">
        <w:rPr>
          <w:rFonts w:ascii="Aptos" w:hAnsi="Aptos"/>
          <w:color w:val="000000" w:themeColor="text1"/>
        </w:rPr>
        <w:t>Company, 898 F.2d 1371 (8th. Cir. 1990). If the appealing party does not seek to impound the documents, the Bureau of Special Education Appeals, through the Attorney General's Office, may move to impound the documents.</w:t>
      </w:r>
    </w:p>
    <w:p w14:paraId="699C4F33" w14:textId="77777777" w:rsidR="00BC11F3" w:rsidRDefault="00BC11F3" w:rsidP="00BC11F3">
      <w:pPr>
        <w:tabs>
          <w:tab w:val="left" w:pos="180"/>
          <w:tab w:val="left" w:pos="720"/>
        </w:tabs>
        <w:rPr>
          <w:rFonts w:ascii="Aptos" w:hAnsi="Aptos"/>
          <w:color w:val="000000" w:themeColor="text1"/>
          <w:u w:val="single"/>
        </w:rPr>
      </w:pPr>
    </w:p>
    <w:p w14:paraId="7C524ACE" w14:textId="1D373295" w:rsidR="00BC11F3" w:rsidRDefault="00BC11F3" w:rsidP="00BC11F3">
      <w:pPr>
        <w:tabs>
          <w:tab w:val="left" w:pos="180"/>
          <w:tab w:val="left" w:pos="720"/>
        </w:tabs>
        <w:rPr>
          <w:rFonts w:ascii="Aptos" w:hAnsi="Aptos"/>
          <w:color w:val="000000" w:themeColor="text1"/>
          <w:u w:val="single"/>
        </w:rPr>
      </w:pPr>
      <w:r w:rsidRPr="00992867">
        <w:rPr>
          <w:rFonts w:ascii="Aptos" w:hAnsi="Aptos"/>
          <w:color w:val="000000" w:themeColor="text1"/>
          <w:u w:val="single"/>
        </w:rPr>
        <w:t>Record of the Hearing</w:t>
      </w:r>
    </w:p>
    <w:p w14:paraId="2CA0BAF0" w14:textId="77777777" w:rsidR="00BC11F3" w:rsidRPr="00992867" w:rsidRDefault="00BC11F3" w:rsidP="00BC11F3">
      <w:pPr>
        <w:tabs>
          <w:tab w:val="left" w:pos="180"/>
          <w:tab w:val="left" w:pos="720"/>
        </w:tabs>
        <w:rPr>
          <w:rFonts w:ascii="Aptos" w:hAnsi="Aptos"/>
          <w:color w:val="000000" w:themeColor="text1"/>
          <w:u w:val="single"/>
        </w:rPr>
      </w:pPr>
    </w:p>
    <w:p w14:paraId="7C0CC5FB" w14:textId="77777777" w:rsidR="00BC11F3" w:rsidRPr="00992867" w:rsidRDefault="00BC11F3" w:rsidP="00BC11F3">
      <w:pPr>
        <w:tabs>
          <w:tab w:val="left" w:pos="180"/>
          <w:tab w:val="left" w:pos="720"/>
        </w:tabs>
        <w:ind w:right="172"/>
        <w:rPr>
          <w:rFonts w:ascii="Aptos" w:hAnsi="Aptos"/>
          <w:color w:val="000000" w:themeColor="text1"/>
        </w:rPr>
      </w:pPr>
      <w:r w:rsidRPr="00992867">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111425D9" w14:textId="77777777" w:rsidR="00BC11F3" w:rsidRPr="00992867" w:rsidRDefault="00BC11F3" w:rsidP="00BC11F3">
      <w:pPr>
        <w:tabs>
          <w:tab w:val="left" w:pos="180"/>
          <w:tab w:val="left" w:pos="720"/>
        </w:tabs>
        <w:rPr>
          <w:rFonts w:ascii="Aptos" w:hAnsi="Aptos"/>
          <w:color w:val="000000" w:themeColor="text1"/>
        </w:rPr>
      </w:pPr>
    </w:p>
    <w:p w14:paraId="0A8070A2" w14:textId="77777777" w:rsidR="00FF0EBF" w:rsidRPr="00F47331" w:rsidRDefault="00FF0EBF">
      <w:pPr>
        <w:rPr>
          <w:rFonts w:ascii="Aptos" w:hAnsi="Aptos"/>
          <w:sz w:val="25"/>
          <w:szCs w:val="25"/>
        </w:rPr>
      </w:pPr>
    </w:p>
    <w:sectPr w:rsidR="00FF0EBF" w:rsidRPr="00F47331" w:rsidSect="0083557E">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F843" w14:textId="77777777" w:rsidR="00CB2951" w:rsidRDefault="00CB2951" w:rsidP="004353A4">
      <w:r>
        <w:separator/>
      </w:r>
    </w:p>
  </w:endnote>
  <w:endnote w:type="continuationSeparator" w:id="0">
    <w:p w14:paraId="6B1DCA41" w14:textId="77777777" w:rsidR="00CB2951" w:rsidRDefault="00CB2951" w:rsidP="0043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PÔ'F1/">
    <w:altName w:val="Calibri"/>
    <w:panose1 w:val="00000000000000000000"/>
    <w:charset w:val="4D"/>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77653"/>
      <w:docPartObj>
        <w:docPartGallery w:val="Page Numbers (Bottom of Page)"/>
        <w:docPartUnique/>
      </w:docPartObj>
    </w:sdtPr>
    <w:sdtEndPr>
      <w:rPr>
        <w:rStyle w:val="PageNumber"/>
      </w:rPr>
    </w:sdtEndPr>
    <w:sdtContent>
      <w:p w14:paraId="3F4DF144" w14:textId="6BA5A678" w:rsidR="006C6078" w:rsidRDefault="006C6078" w:rsidP="000152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7583CC" w14:textId="77777777" w:rsidR="006C6078" w:rsidRDefault="006C6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1968150"/>
      <w:docPartObj>
        <w:docPartGallery w:val="Page Numbers (Bottom of Page)"/>
        <w:docPartUnique/>
      </w:docPartObj>
    </w:sdtPr>
    <w:sdtEndPr>
      <w:rPr>
        <w:rStyle w:val="PageNumber"/>
      </w:rPr>
    </w:sdtEndPr>
    <w:sdtContent>
      <w:p w14:paraId="552A0CD3" w14:textId="7E78CFA2" w:rsidR="006C6078" w:rsidRDefault="006C6078" w:rsidP="000152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9682F1" w14:textId="77777777" w:rsidR="006C6078" w:rsidRDefault="006C6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8739" w14:textId="77777777" w:rsidR="00CB2951" w:rsidRDefault="00CB2951" w:rsidP="004353A4">
      <w:r>
        <w:separator/>
      </w:r>
    </w:p>
  </w:footnote>
  <w:footnote w:type="continuationSeparator" w:id="0">
    <w:p w14:paraId="288F7ED4" w14:textId="77777777" w:rsidR="00CB2951" w:rsidRDefault="00CB2951" w:rsidP="004353A4">
      <w:r>
        <w:continuationSeparator/>
      </w:r>
    </w:p>
  </w:footnote>
  <w:footnote w:id="1">
    <w:p w14:paraId="2454A76B" w14:textId="314B6BD2" w:rsidR="005E242F" w:rsidRPr="0033590E" w:rsidRDefault="005E242F">
      <w:pPr>
        <w:pStyle w:val="FootnoteText"/>
        <w:rPr>
          <w:rFonts w:ascii="Aptos" w:hAnsi="Aptos"/>
        </w:rPr>
      </w:pPr>
      <w:r w:rsidRPr="0033590E">
        <w:rPr>
          <w:rStyle w:val="FootnoteReference"/>
          <w:rFonts w:ascii="Aptos" w:hAnsi="Aptos"/>
        </w:rPr>
        <w:footnoteRef/>
      </w:r>
      <w:r w:rsidRPr="0033590E">
        <w:rPr>
          <w:rFonts w:ascii="Aptos" w:hAnsi="Aptos"/>
        </w:rPr>
        <w:t xml:space="preserve"> Parents captioned their filing </w:t>
      </w:r>
      <w:r w:rsidRPr="0033590E">
        <w:rPr>
          <w:rFonts w:ascii="Aptos" w:hAnsi="Aptos"/>
          <w:i/>
          <w:iCs/>
        </w:rPr>
        <w:t>Oppositio</w:t>
      </w:r>
      <w:r w:rsidR="008A7111" w:rsidRPr="0033590E">
        <w:rPr>
          <w:rFonts w:ascii="Aptos" w:hAnsi="Aptos"/>
          <w:i/>
          <w:iCs/>
        </w:rPr>
        <w:t>n</w:t>
      </w:r>
      <w:r w:rsidRPr="0033590E">
        <w:rPr>
          <w:rFonts w:ascii="Aptos" w:hAnsi="Aptos"/>
          <w:i/>
          <w:iCs/>
        </w:rPr>
        <w:t xml:space="preserve"> to Motio</w:t>
      </w:r>
      <w:r w:rsidR="008A7111" w:rsidRPr="0033590E">
        <w:rPr>
          <w:rFonts w:ascii="Aptos" w:hAnsi="Aptos"/>
          <w:i/>
          <w:iCs/>
        </w:rPr>
        <w:t>n</w:t>
      </w:r>
      <w:r w:rsidRPr="0033590E">
        <w:rPr>
          <w:rFonts w:ascii="Aptos" w:hAnsi="Aptos"/>
          <w:i/>
          <w:iCs/>
        </w:rPr>
        <w:t xml:space="preserve"> for Summary Judgment and BSEA Filing #</w:t>
      </w:r>
      <w:r w:rsidRPr="008A4291">
        <w:rPr>
          <w:rFonts w:ascii="Aptos" w:hAnsi="Aptos"/>
          <w:i/>
          <w:iCs/>
        </w:rPr>
        <w:t>2508136</w:t>
      </w:r>
      <w:r w:rsidRPr="0033590E">
        <w:rPr>
          <w:rFonts w:ascii="Aptos" w:hAnsi="Aptos"/>
          <w:i/>
          <w:iCs/>
        </w:rPr>
        <w:t xml:space="preserve"> Descriptio</w:t>
      </w:r>
      <w:r w:rsidR="008A7111" w:rsidRPr="0033590E">
        <w:rPr>
          <w:rFonts w:ascii="Aptos" w:hAnsi="Aptos"/>
          <w:i/>
          <w:iCs/>
        </w:rPr>
        <w:t>n</w:t>
      </w:r>
      <w:r w:rsidRPr="0033590E">
        <w:rPr>
          <w:rFonts w:ascii="Aptos" w:hAnsi="Aptos"/>
          <w:i/>
          <w:iCs/>
        </w:rPr>
        <w:t xml:space="preserve"> of Issue and Proposed Resolution</w:t>
      </w:r>
      <w:r w:rsidRPr="0033590E">
        <w:rPr>
          <w:rFonts w:ascii="Aptos" w:hAnsi="Aptos"/>
        </w:rPr>
        <w:t>.</w:t>
      </w:r>
    </w:p>
  </w:footnote>
  <w:footnote w:id="2">
    <w:p w14:paraId="00BDA63A" w14:textId="1DF80757" w:rsidR="00AE6C6B" w:rsidRPr="0033590E" w:rsidRDefault="00AE6C6B">
      <w:pPr>
        <w:pStyle w:val="FootnoteText"/>
        <w:rPr>
          <w:rFonts w:ascii="Aptos" w:hAnsi="Aptos"/>
        </w:rPr>
      </w:pPr>
      <w:r w:rsidRPr="0033590E">
        <w:rPr>
          <w:rStyle w:val="FootnoteReference"/>
          <w:rFonts w:ascii="Aptos" w:hAnsi="Aptos"/>
        </w:rPr>
        <w:footnoteRef/>
      </w:r>
      <w:r w:rsidRPr="0033590E">
        <w:rPr>
          <w:rFonts w:ascii="Aptos" w:hAnsi="Aptos"/>
        </w:rPr>
        <w:t xml:space="preserve"> This subpoena was</w:t>
      </w:r>
      <w:r w:rsidR="00125561">
        <w:rPr>
          <w:rFonts w:ascii="Aptos" w:hAnsi="Aptos"/>
        </w:rPr>
        <w:t xml:space="preserve"> not</w:t>
      </w:r>
      <w:r w:rsidRPr="0033590E">
        <w:rPr>
          <w:rFonts w:ascii="Aptos" w:hAnsi="Aptos"/>
        </w:rPr>
        <w:t xml:space="preserve"> issued </w:t>
      </w:r>
      <w:r w:rsidR="00125561">
        <w:rPr>
          <w:rFonts w:ascii="Aptos" w:hAnsi="Aptos"/>
        </w:rPr>
        <w:t>until</w:t>
      </w:r>
      <w:r w:rsidRPr="0033590E">
        <w:rPr>
          <w:rFonts w:ascii="Aptos" w:hAnsi="Aptos"/>
        </w:rPr>
        <w:t xml:space="preserve"> April 24, 2025, as Parents did not provide all required information for the issuance of a subpoen</w:t>
      </w:r>
      <w:r w:rsidR="009B30AF">
        <w:rPr>
          <w:rFonts w:ascii="Aptos" w:hAnsi="Aptos"/>
        </w:rPr>
        <w:t>a for several days</w:t>
      </w:r>
      <w:r w:rsidRPr="0033590E">
        <w:rPr>
          <w:rFonts w:ascii="Aptos" w:hAnsi="Aptos"/>
        </w:rPr>
        <w:t>.</w:t>
      </w:r>
    </w:p>
  </w:footnote>
  <w:footnote w:id="3">
    <w:p w14:paraId="1FA18F61" w14:textId="412878DD" w:rsidR="0033590E" w:rsidRDefault="0033590E">
      <w:pPr>
        <w:pStyle w:val="FootnoteText"/>
        <w:rPr>
          <w:rFonts w:ascii="Aptos" w:hAnsi="Aptos"/>
        </w:rPr>
      </w:pPr>
      <w:r w:rsidRPr="0033590E">
        <w:rPr>
          <w:rStyle w:val="FootnoteReference"/>
          <w:rFonts w:ascii="Aptos" w:hAnsi="Aptos"/>
        </w:rPr>
        <w:footnoteRef/>
      </w:r>
      <w:r w:rsidRPr="0033590E">
        <w:rPr>
          <w:rFonts w:ascii="Aptos" w:hAnsi="Aptos"/>
        </w:rPr>
        <w:t xml:space="preserve"> The undersigned</w:t>
      </w:r>
      <w:r>
        <w:rPr>
          <w:rFonts w:ascii="Aptos" w:hAnsi="Aptos"/>
        </w:rPr>
        <w:t xml:space="preserve"> Hearing Officer responded informally, noting that given the </w:t>
      </w:r>
      <w:r w:rsidR="00D935D9">
        <w:rPr>
          <w:rFonts w:ascii="Aptos" w:hAnsi="Aptos"/>
        </w:rPr>
        <w:t xml:space="preserve">proximity of the filing of the </w:t>
      </w:r>
      <w:r w:rsidR="00D935D9">
        <w:rPr>
          <w:rFonts w:ascii="Aptos" w:hAnsi="Aptos"/>
          <w:i/>
          <w:iCs/>
        </w:rPr>
        <w:t>Motion to Quash</w:t>
      </w:r>
      <w:r w:rsidR="00D935D9">
        <w:rPr>
          <w:rFonts w:ascii="Aptos" w:hAnsi="Aptos"/>
        </w:rPr>
        <w:t xml:space="preserve"> to the motion session scheduled for May 1, 2025, the formal ruling</w:t>
      </w:r>
      <w:r w:rsidR="00B85091">
        <w:rPr>
          <w:rFonts w:ascii="Aptos" w:hAnsi="Aptos"/>
        </w:rPr>
        <w:t xml:space="preserve"> on the District’s </w:t>
      </w:r>
      <w:r w:rsidR="00B85091">
        <w:rPr>
          <w:rFonts w:ascii="Aptos" w:hAnsi="Aptos"/>
          <w:i/>
          <w:iCs/>
        </w:rPr>
        <w:t>Motion to Quash</w:t>
      </w:r>
      <w:r w:rsidR="00D935D9">
        <w:rPr>
          <w:rFonts w:ascii="Aptos" w:hAnsi="Aptos"/>
        </w:rPr>
        <w:t xml:space="preserve"> would be deferred until after</w:t>
      </w:r>
      <w:r w:rsidR="00B85091">
        <w:rPr>
          <w:rFonts w:ascii="Aptos" w:hAnsi="Aptos"/>
        </w:rPr>
        <w:t xml:space="preserve"> the motion session addressing Newburyport’s </w:t>
      </w:r>
      <w:r w:rsidR="00B85091">
        <w:rPr>
          <w:rFonts w:ascii="Aptos" w:hAnsi="Aptos"/>
          <w:i/>
          <w:iCs/>
        </w:rPr>
        <w:t xml:space="preserve">SJ Motion. </w:t>
      </w:r>
      <w:r w:rsidR="00D935D9">
        <w:rPr>
          <w:rFonts w:ascii="Aptos" w:hAnsi="Aptos"/>
        </w:rPr>
        <w:t xml:space="preserve">During the motion session, the Hearing Officer told Parents they could respond to the </w:t>
      </w:r>
      <w:r w:rsidR="00D935D9">
        <w:rPr>
          <w:rFonts w:ascii="Aptos" w:hAnsi="Aptos"/>
          <w:i/>
          <w:iCs/>
        </w:rPr>
        <w:t xml:space="preserve">Motion to Quash </w:t>
      </w:r>
      <w:r w:rsidR="00D935D9">
        <w:rPr>
          <w:rFonts w:ascii="Aptos" w:hAnsi="Aptos"/>
        </w:rPr>
        <w:t xml:space="preserve">within seven days of its filing, consistent with Rule </w:t>
      </w:r>
      <w:r w:rsidR="00C9345A">
        <w:rPr>
          <w:rFonts w:ascii="Aptos" w:hAnsi="Aptos"/>
        </w:rPr>
        <w:t xml:space="preserve">VI(C) </w:t>
      </w:r>
      <w:r w:rsidR="00D935D9">
        <w:rPr>
          <w:rFonts w:ascii="Aptos" w:hAnsi="Aptos"/>
        </w:rPr>
        <w:t xml:space="preserve">of the Bureau of Special Education </w:t>
      </w:r>
      <w:r w:rsidR="00D935D9">
        <w:rPr>
          <w:rFonts w:ascii="Aptos" w:hAnsi="Aptos"/>
          <w:i/>
          <w:iCs/>
        </w:rPr>
        <w:t xml:space="preserve">Hearing Rules </w:t>
      </w:r>
      <w:r w:rsidR="00D935D9" w:rsidRPr="00C9345A">
        <w:rPr>
          <w:rFonts w:ascii="Aptos" w:hAnsi="Aptos"/>
          <w:i/>
          <w:iCs/>
        </w:rPr>
        <w:t>for</w:t>
      </w:r>
      <w:r w:rsidR="00D935D9">
        <w:rPr>
          <w:rFonts w:ascii="Aptos" w:hAnsi="Aptos"/>
        </w:rPr>
        <w:t xml:space="preserve"> </w:t>
      </w:r>
      <w:r w:rsidR="00D935D9" w:rsidRPr="00C9345A">
        <w:rPr>
          <w:rFonts w:ascii="Aptos" w:hAnsi="Aptos"/>
          <w:i/>
          <w:iCs/>
        </w:rPr>
        <w:t>Special</w:t>
      </w:r>
      <w:r w:rsidR="00D935D9">
        <w:rPr>
          <w:rFonts w:ascii="Aptos" w:hAnsi="Aptos"/>
        </w:rPr>
        <w:t xml:space="preserve"> </w:t>
      </w:r>
      <w:r w:rsidR="00D935D9" w:rsidRPr="00C9345A">
        <w:rPr>
          <w:rFonts w:ascii="Aptos" w:hAnsi="Aptos"/>
          <w:i/>
          <w:iCs/>
        </w:rPr>
        <w:t>Education</w:t>
      </w:r>
      <w:r w:rsidR="00D935D9">
        <w:rPr>
          <w:rFonts w:ascii="Aptos" w:hAnsi="Aptos"/>
        </w:rPr>
        <w:t xml:space="preserve"> </w:t>
      </w:r>
      <w:r w:rsidR="00D935D9" w:rsidRPr="00C9345A">
        <w:rPr>
          <w:rFonts w:ascii="Aptos" w:hAnsi="Aptos"/>
          <w:i/>
          <w:iCs/>
        </w:rPr>
        <w:t>Appeals</w:t>
      </w:r>
      <w:r w:rsidR="00D935D9">
        <w:rPr>
          <w:rFonts w:ascii="Aptos" w:hAnsi="Aptos"/>
        </w:rPr>
        <w:t xml:space="preserve"> (BSEA </w:t>
      </w:r>
      <w:r w:rsidR="00D935D9">
        <w:rPr>
          <w:rFonts w:ascii="Aptos" w:hAnsi="Aptos"/>
          <w:i/>
          <w:iCs/>
        </w:rPr>
        <w:t>Hearing Rules</w:t>
      </w:r>
      <w:r w:rsidR="00D935D9">
        <w:rPr>
          <w:rFonts w:ascii="Aptos" w:hAnsi="Aptos"/>
        </w:rPr>
        <w:t>).</w:t>
      </w:r>
    </w:p>
    <w:p w14:paraId="3D1032BD" w14:textId="77777777" w:rsidR="001439AB" w:rsidRDefault="001439AB">
      <w:pPr>
        <w:pStyle w:val="FootnoteText"/>
        <w:rPr>
          <w:rFonts w:ascii="Aptos" w:hAnsi="Aptos"/>
        </w:rPr>
      </w:pPr>
    </w:p>
    <w:p w14:paraId="4BFEA9FF" w14:textId="5C7EA13B" w:rsidR="001439AB" w:rsidRPr="001439AB" w:rsidRDefault="001439AB">
      <w:pPr>
        <w:pStyle w:val="FootnoteText"/>
        <w:rPr>
          <w:rFonts w:ascii="Aptos" w:hAnsi="Aptos"/>
        </w:rPr>
      </w:pPr>
      <w:r>
        <w:rPr>
          <w:rFonts w:ascii="Aptos" w:hAnsi="Aptos"/>
        </w:rPr>
        <w:t xml:space="preserve">Although Newburyport filed a document entitled </w:t>
      </w:r>
      <w:r>
        <w:rPr>
          <w:rFonts w:ascii="Aptos" w:hAnsi="Aptos"/>
          <w:i/>
          <w:iCs/>
        </w:rPr>
        <w:t xml:space="preserve">Response to the Parents’ Opposition to the District’s Motion to Quash and Opposition to Witness Testimony on the District’s Motion for Summary Judgment </w:t>
      </w:r>
      <w:r>
        <w:rPr>
          <w:rFonts w:ascii="Aptos" w:hAnsi="Aptos"/>
        </w:rPr>
        <w:t>on May 12, 2025, I do not consider this response to Parents’ response to the District’s motion</w:t>
      </w:r>
      <w:r w:rsidR="00D02906">
        <w:rPr>
          <w:rFonts w:ascii="Aptos" w:hAnsi="Aptos"/>
        </w:rPr>
        <w:t xml:space="preserve"> in issuing the instant Ruling</w:t>
      </w:r>
      <w:r>
        <w:rPr>
          <w:rFonts w:ascii="Aptos" w:hAnsi="Aptos"/>
        </w:rPr>
        <w:t xml:space="preserve">, as </w:t>
      </w:r>
      <w:r w:rsidR="00D02906">
        <w:rPr>
          <w:rFonts w:ascii="Aptos" w:hAnsi="Aptos"/>
        </w:rPr>
        <w:t xml:space="preserve">this District response </w:t>
      </w:r>
      <w:r>
        <w:rPr>
          <w:rFonts w:ascii="Aptos" w:hAnsi="Aptos"/>
        </w:rPr>
        <w:t>was not specifically allowed</w:t>
      </w:r>
      <w:r w:rsidR="00D02906">
        <w:rPr>
          <w:rFonts w:ascii="Aptos" w:hAnsi="Aptos"/>
        </w:rPr>
        <w:t xml:space="preserve">, </w:t>
      </w:r>
      <w:r>
        <w:rPr>
          <w:rFonts w:ascii="Aptos" w:hAnsi="Aptos"/>
        </w:rPr>
        <w:t>and to do otherwise</w:t>
      </w:r>
      <w:r w:rsidR="00B85091">
        <w:rPr>
          <w:rFonts w:ascii="Aptos" w:hAnsi="Aptos"/>
        </w:rPr>
        <w:t xml:space="preserve"> </w:t>
      </w:r>
      <w:r>
        <w:rPr>
          <w:rFonts w:ascii="Aptos" w:hAnsi="Aptos"/>
        </w:rPr>
        <w:t xml:space="preserve">might invite endless cycles of responses to each party’s responses to </w:t>
      </w:r>
      <w:r w:rsidR="00536892">
        <w:rPr>
          <w:rFonts w:ascii="Aptos" w:hAnsi="Aptos"/>
        </w:rPr>
        <w:t>the</w:t>
      </w:r>
      <w:r>
        <w:rPr>
          <w:rFonts w:ascii="Aptos" w:hAnsi="Aptos"/>
        </w:rPr>
        <w:t xml:space="preserve"> other’s motions.</w:t>
      </w:r>
    </w:p>
  </w:footnote>
  <w:footnote w:id="4">
    <w:p w14:paraId="2D8BCF2F" w14:textId="218CBF42" w:rsidR="00243554" w:rsidRPr="0033590E" w:rsidRDefault="00243554">
      <w:pPr>
        <w:pStyle w:val="FootnoteText"/>
        <w:rPr>
          <w:rFonts w:ascii="Aptos" w:hAnsi="Aptos"/>
        </w:rPr>
      </w:pPr>
      <w:r w:rsidRPr="0033590E">
        <w:rPr>
          <w:rStyle w:val="FootnoteReference"/>
          <w:rFonts w:ascii="Aptos" w:hAnsi="Aptos"/>
        </w:rPr>
        <w:footnoteRef/>
      </w:r>
      <w:r w:rsidRPr="0033590E">
        <w:rPr>
          <w:rFonts w:ascii="Aptos" w:hAnsi="Aptos"/>
        </w:rPr>
        <w:t xml:space="preserve"> </w:t>
      </w:r>
      <w:r w:rsidR="005A783C" w:rsidRPr="0033590E">
        <w:rPr>
          <w:rFonts w:ascii="Aptos" w:hAnsi="Aptos"/>
          <w:color w:val="000000" w:themeColor="text1"/>
        </w:rPr>
        <w:t xml:space="preserve">See </w:t>
      </w:r>
      <w:r w:rsidR="005A783C" w:rsidRPr="0033590E">
        <w:rPr>
          <w:rFonts w:ascii="Aptos" w:hAnsi="Aptos"/>
          <w:i/>
          <w:iCs/>
          <w:color w:val="000000" w:themeColor="text1"/>
        </w:rPr>
        <w:t>Adickes v. S.H. Kress &amp; Co.</w:t>
      </w:r>
      <w:r w:rsidR="005A783C" w:rsidRPr="0033590E">
        <w:rPr>
          <w:rFonts w:ascii="Aptos" w:hAnsi="Aptos"/>
          <w:color w:val="000000" w:themeColor="text1"/>
        </w:rPr>
        <w:t xml:space="preserve">, 398 U.S. 144, 157 (1970); </w:t>
      </w:r>
      <w:r w:rsidR="005A783C" w:rsidRPr="0033590E">
        <w:rPr>
          <w:rFonts w:ascii="Aptos" w:hAnsi="Aptos"/>
          <w:i/>
          <w:iCs/>
          <w:color w:val="000000" w:themeColor="text1"/>
          <w:bdr w:val="none" w:sz="0" w:space="0" w:color="auto" w:frame="1"/>
        </w:rPr>
        <w:t>Anderson v. Liberty Lobby, Inc.</w:t>
      </w:r>
      <w:r w:rsidR="005A783C" w:rsidRPr="0033590E">
        <w:rPr>
          <w:rFonts w:ascii="Aptos" w:hAnsi="Aptos"/>
          <w:i/>
          <w:iCs/>
          <w:color w:val="000000" w:themeColor="text1"/>
        </w:rPr>
        <w:t>,</w:t>
      </w:r>
      <w:r w:rsidR="005A783C" w:rsidRPr="0033590E">
        <w:rPr>
          <w:rFonts w:ascii="Aptos" w:hAnsi="Aptos"/>
          <w:color w:val="000000" w:themeColor="text1"/>
        </w:rPr>
        <w:t xml:space="preserve"> 477 U.S. 242, 255 (1986); </w:t>
      </w:r>
      <w:r w:rsidR="005A783C" w:rsidRPr="0033590E">
        <w:rPr>
          <w:rFonts w:ascii="Aptos" w:hAnsi="Aptos"/>
          <w:i/>
          <w:color w:val="000000" w:themeColor="text1"/>
          <w:bdr w:val="none" w:sz="0" w:space="0" w:color="auto" w:frame="1"/>
        </w:rPr>
        <w:t>Maldonado-Denis v. Castillo-Rodriguez,</w:t>
      </w:r>
      <w:r w:rsidR="005A783C" w:rsidRPr="0033590E">
        <w:rPr>
          <w:rFonts w:ascii="Aptos" w:hAnsi="Aptos"/>
          <w:color w:val="000000" w:themeColor="text1"/>
          <w:bdr w:val="none" w:sz="0" w:space="0" w:color="auto" w:frame="1"/>
        </w:rPr>
        <w:t xml:space="preserve"> 23 F.3d 576, 581 (1st Cir. 1994).</w:t>
      </w:r>
    </w:p>
  </w:footnote>
  <w:footnote w:id="5">
    <w:p w14:paraId="0FE5C3C4" w14:textId="08FC38CA" w:rsidR="008A7111" w:rsidRPr="00FE74ED" w:rsidRDefault="008A7111">
      <w:pPr>
        <w:pStyle w:val="FootnoteText"/>
      </w:pPr>
      <w:r w:rsidRPr="0033590E">
        <w:rPr>
          <w:rStyle w:val="FootnoteReference"/>
          <w:rFonts w:ascii="Aptos" w:hAnsi="Aptos"/>
        </w:rPr>
        <w:footnoteRef/>
      </w:r>
      <w:r w:rsidRPr="0033590E">
        <w:rPr>
          <w:rFonts w:ascii="Aptos" w:hAnsi="Aptos"/>
        </w:rPr>
        <w:t xml:space="preserve"> In their </w:t>
      </w:r>
      <w:r w:rsidRPr="0033590E">
        <w:rPr>
          <w:rFonts w:ascii="Aptos" w:hAnsi="Aptos"/>
          <w:i/>
          <w:iCs/>
        </w:rPr>
        <w:t>Opposition to SJ Motion</w:t>
      </w:r>
      <w:r w:rsidRPr="0033590E">
        <w:rPr>
          <w:rFonts w:ascii="Aptos" w:hAnsi="Aptos"/>
        </w:rPr>
        <w:t>, Parents indicated that Dr. Katrina Boyer PHD, ABPP-CN, identified Student as having a specific learning disability on May 31, 2023.</w:t>
      </w:r>
      <w:r w:rsidR="00FE74ED">
        <w:rPr>
          <w:rFonts w:ascii="Aptos" w:hAnsi="Aptos"/>
        </w:rPr>
        <w:t xml:space="preserve"> The report itself, however, submitted by Parents with their initial </w:t>
      </w:r>
      <w:r w:rsidR="00FE74ED">
        <w:rPr>
          <w:rFonts w:ascii="Aptos" w:hAnsi="Aptos"/>
          <w:i/>
          <w:iCs/>
        </w:rPr>
        <w:t>Hearing Request</w:t>
      </w:r>
      <w:r w:rsidR="00FE74ED">
        <w:rPr>
          <w:rFonts w:ascii="Aptos" w:hAnsi="Aptos"/>
        </w:rPr>
        <w:t>, indicates that Student “should qualify for special education services. . . under the ne</w:t>
      </w:r>
      <w:r w:rsidR="003B7784">
        <w:rPr>
          <w:rFonts w:ascii="Aptos" w:hAnsi="Aptos"/>
        </w:rPr>
        <w:t>u</w:t>
      </w:r>
      <w:r w:rsidR="00FE74ED">
        <w:rPr>
          <w:rFonts w:ascii="Aptos" w:hAnsi="Aptos"/>
        </w:rPr>
        <w:t>rological impairment designation given his h</w:t>
      </w:r>
      <w:r w:rsidR="003B7784">
        <w:rPr>
          <w:rFonts w:ascii="Aptos" w:hAnsi="Aptos"/>
        </w:rPr>
        <w:t>i</w:t>
      </w:r>
      <w:r w:rsidR="00FE74ED">
        <w:rPr>
          <w:rFonts w:ascii="Aptos" w:hAnsi="Aptos"/>
        </w:rPr>
        <w:t>story of seizure disorder that contributes to brain dysfunction manifesting in memory, executive, fluency, and fine</w:t>
      </w:r>
      <w:r w:rsidR="00EA54B3">
        <w:rPr>
          <w:rFonts w:ascii="Aptos" w:hAnsi="Aptos"/>
        </w:rPr>
        <w:t xml:space="preserve"> </w:t>
      </w:r>
      <w:r w:rsidR="00FE74ED">
        <w:rPr>
          <w:rFonts w:ascii="Aptos" w:hAnsi="Aptos"/>
        </w:rPr>
        <w:t>motor dysfunction.”</w:t>
      </w:r>
      <w:r w:rsidR="003B7784">
        <w:rPr>
          <w:rFonts w:ascii="Aptos" w:hAnsi="Aptos"/>
        </w:rPr>
        <w:t xml:space="preserve"> Dr. Boyer recommended a general education setting with, among other things, resource class instruction; special education support for English Language Arts to support fluency and written expression organization; and speech and language therapy in the home setting. (</w:t>
      </w:r>
      <w:r w:rsidR="003B7784">
        <w:rPr>
          <w:rFonts w:ascii="Aptos" w:hAnsi="Aptos"/>
          <w:i/>
          <w:iCs/>
        </w:rPr>
        <w:t>Hearing Request</w:t>
      </w:r>
      <w:r w:rsidR="003B7784">
        <w:rPr>
          <w:rFonts w:ascii="Aptos" w:hAnsi="Aptos"/>
        </w:rPr>
        <w:t xml:space="preserve"> attachments)</w:t>
      </w:r>
    </w:p>
  </w:footnote>
  <w:footnote w:id="6">
    <w:p w14:paraId="1075E19B" w14:textId="3B026696" w:rsidR="00EA54B3" w:rsidRPr="002B3754" w:rsidRDefault="00EA54B3">
      <w:pPr>
        <w:pStyle w:val="FootnoteText"/>
        <w:rPr>
          <w:rFonts w:ascii="Aptos" w:hAnsi="Aptos"/>
        </w:rPr>
      </w:pPr>
      <w:r w:rsidRPr="002B3754">
        <w:rPr>
          <w:rStyle w:val="FootnoteReference"/>
          <w:rFonts w:ascii="Aptos" w:hAnsi="Aptos"/>
        </w:rPr>
        <w:footnoteRef/>
      </w:r>
      <w:r w:rsidRPr="002B3754">
        <w:rPr>
          <w:rFonts w:ascii="Aptos" w:hAnsi="Aptos"/>
        </w:rPr>
        <w:t xml:space="preserve"> The Settlement Agreement did not define </w:t>
      </w:r>
      <w:r w:rsidR="009B3C2F" w:rsidRPr="002B3754">
        <w:rPr>
          <w:rFonts w:ascii="Aptos" w:hAnsi="Aptos"/>
        </w:rPr>
        <w:t xml:space="preserve">the term </w:t>
      </w:r>
      <w:r w:rsidRPr="002B3754">
        <w:rPr>
          <w:rFonts w:ascii="Aptos" w:hAnsi="Aptos"/>
        </w:rPr>
        <w:t>“material change in circumstances.”</w:t>
      </w:r>
    </w:p>
  </w:footnote>
  <w:footnote w:id="7">
    <w:p w14:paraId="4CC136F8" w14:textId="1C27A42D" w:rsidR="00A01F2E" w:rsidRPr="00A01F2E" w:rsidRDefault="00A01F2E">
      <w:pPr>
        <w:pStyle w:val="FootnoteText"/>
        <w:rPr>
          <w:rFonts w:ascii="Aptos" w:hAnsi="Aptos"/>
        </w:rPr>
      </w:pPr>
      <w:r w:rsidRPr="00A01F2E">
        <w:rPr>
          <w:rStyle w:val="FootnoteReference"/>
          <w:rFonts w:ascii="Aptos" w:hAnsi="Aptos"/>
        </w:rPr>
        <w:footnoteRef/>
      </w:r>
      <w:r w:rsidRPr="00A01F2E">
        <w:rPr>
          <w:rFonts w:ascii="Aptos" w:hAnsi="Aptos"/>
        </w:rPr>
        <w:t xml:space="preserve"> Parents frame this conversation as demonstrating Newburyport’s agreement that the services outlined in the Settlement Agreement are not appropriate for Student.</w:t>
      </w:r>
    </w:p>
  </w:footnote>
  <w:footnote w:id="8">
    <w:p w14:paraId="206EFAAD" w14:textId="35C2D131" w:rsidR="00DF10B9" w:rsidRPr="005848D6" w:rsidRDefault="00DF10B9">
      <w:pPr>
        <w:pStyle w:val="FootnoteText"/>
        <w:rPr>
          <w:rFonts w:ascii="Aptos" w:hAnsi="Aptos"/>
        </w:rPr>
      </w:pPr>
      <w:r w:rsidRPr="00A01F2E">
        <w:rPr>
          <w:rStyle w:val="FootnoteReference"/>
          <w:rFonts w:ascii="Aptos" w:hAnsi="Aptos"/>
        </w:rPr>
        <w:footnoteRef/>
      </w:r>
      <w:r w:rsidRPr="00A01F2E">
        <w:rPr>
          <w:rFonts w:ascii="Aptos" w:hAnsi="Aptos"/>
        </w:rPr>
        <w:t xml:space="preserve"> BSEA </w:t>
      </w:r>
      <w:r w:rsidRPr="00A01F2E">
        <w:rPr>
          <w:rFonts w:ascii="Aptos" w:hAnsi="Aptos"/>
          <w:i/>
          <w:iCs/>
        </w:rPr>
        <w:t xml:space="preserve">Hearing Rule </w:t>
      </w:r>
      <w:r w:rsidRPr="00A01F2E">
        <w:rPr>
          <w:rFonts w:ascii="Aptos" w:hAnsi="Aptos"/>
        </w:rPr>
        <w:t>VII(B).</w:t>
      </w:r>
    </w:p>
  </w:footnote>
  <w:footnote w:id="9">
    <w:p w14:paraId="5369447A" w14:textId="45254C89" w:rsidR="00DF10B9" w:rsidRPr="00DF10B9" w:rsidRDefault="00DF10B9">
      <w:pPr>
        <w:pStyle w:val="FootnoteText"/>
      </w:pPr>
      <w:r w:rsidRPr="005848D6">
        <w:rPr>
          <w:rStyle w:val="FootnoteReference"/>
          <w:rFonts w:ascii="Aptos" w:hAnsi="Aptos"/>
        </w:rPr>
        <w:footnoteRef/>
      </w:r>
      <w:r w:rsidRPr="005848D6">
        <w:rPr>
          <w:rFonts w:ascii="Aptos" w:hAnsi="Aptos"/>
        </w:rPr>
        <w:t xml:space="preserve"> BSEA </w:t>
      </w:r>
      <w:r w:rsidRPr="005848D6">
        <w:rPr>
          <w:rFonts w:ascii="Aptos" w:hAnsi="Aptos"/>
          <w:i/>
          <w:iCs/>
        </w:rPr>
        <w:t xml:space="preserve">Hearing Rule </w:t>
      </w:r>
      <w:r w:rsidRPr="005848D6">
        <w:rPr>
          <w:rFonts w:ascii="Aptos" w:hAnsi="Aptos"/>
        </w:rPr>
        <w:t xml:space="preserve">VII(C). </w:t>
      </w:r>
    </w:p>
  </w:footnote>
  <w:footnote w:id="10">
    <w:p w14:paraId="252658D1" w14:textId="3C3B8E83" w:rsidR="005848D6" w:rsidRPr="00286372" w:rsidRDefault="005848D6">
      <w:pPr>
        <w:pStyle w:val="FootnoteText"/>
        <w:rPr>
          <w:rFonts w:ascii="Aptos" w:hAnsi="Aptos"/>
          <w:lang w:val="pt-BR"/>
        </w:rPr>
      </w:pPr>
      <w:r w:rsidRPr="005848D6">
        <w:rPr>
          <w:rStyle w:val="FootnoteReference"/>
          <w:rFonts w:ascii="Aptos" w:hAnsi="Aptos"/>
        </w:rPr>
        <w:footnoteRef/>
      </w:r>
      <w:r w:rsidRPr="00286372">
        <w:rPr>
          <w:rFonts w:ascii="Aptos" w:hAnsi="Aptos"/>
          <w:lang w:val="pt-BR"/>
        </w:rPr>
        <w:t xml:space="preserve"> 801 CMR 1.01(10)(g).</w:t>
      </w:r>
    </w:p>
  </w:footnote>
  <w:footnote w:id="11">
    <w:p w14:paraId="28019C58" w14:textId="7997C666" w:rsidR="005848D6" w:rsidRPr="00286372" w:rsidRDefault="005848D6">
      <w:pPr>
        <w:pStyle w:val="FootnoteText"/>
        <w:rPr>
          <w:rFonts w:ascii="Aptos" w:hAnsi="Aptos"/>
          <w:lang w:val="pt-BR"/>
        </w:rPr>
      </w:pPr>
      <w:r w:rsidRPr="005848D6">
        <w:rPr>
          <w:rStyle w:val="FootnoteReference"/>
          <w:rFonts w:ascii="Aptos" w:hAnsi="Aptos"/>
        </w:rPr>
        <w:footnoteRef/>
      </w:r>
      <w:r w:rsidRPr="00286372">
        <w:rPr>
          <w:rFonts w:ascii="Aptos" w:hAnsi="Aptos"/>
          <w:lang w:val="pt-BR"/>
        </w:rPr>
        <w:t xml:space="preserve"> </w:t>
      </w:r>
      <w:r w:rsidRPr="00286372">
        <w:rPr>
          <w:rFonts w:ascii="Aptos" w:hAnsi="Aptos" w:cs="Times New Roman"/>
          <w:color w:val="000000" w:themeColor="text1"/>
          <w:lang w:val="pt-BR"/>
        </w:rPr>
        <w:t>M.G.L. c. 30A, §12(4).</w:t>
      </w:r>
    </w:p>
  </w:footnote>
  <w:footnote w:id="12">
    <w:p w14:paraId="6E3A7727" w14:textId="77777777" w:rsidR="00F66C64" w:rsidRPr="0093289E" w:rsidRDefault="00F66C64" w:rsidP="00F66C64">
      <w:pPr>
        <w:pStyle w:val="FootnoteText"/>
        <w:rPr>
          <w:rFonts w:ascii="Aptos" w:hAnsi="Aptos"/>
          <w:color w:val="000000" w:themeColor="text1"/>
          <w:lang w:val="pt-BR"/>
        </w:rPr>
      </w:pPr>
      <w:r w:rsidRPr="005848D6">
        <w:rPr>
          <w:rStyle w:val="FootnoteReference"/>
          <w:rFonts w:ascii="Aptos" w:hAnsi="Aptos"/>
          <w:color w:val="000000" w:themeColor="text1"/>
        </w:rPr>
        <w:footnoteRef/>
      </w:r>
      <w:r w:rsidRPr="0093289E">
        <w:rPr>
          <w:rFonts w:ascii="Aptos" w:hAnsi="Aptos"/>
          <w:color w:val="000000" w:themeColor="text1"/>
          <w:lang w:val="pt-BR"/>
        </w:rPr>
        <w:t xml:space="preserve"> </w:t>
      </w:r>
      <w:r w:rsidRPr="0093289E">
        <w:rPr>
          <w:rFonts w:ascii="Aptos" w:hAnsi="Aptos"/>
          <w:color w:val="000000" w:themeColor="text1"/>
          <w:shd w:val="clear" w:color="auto" w:fill="FFFFFF"/>
          <w:lang w:val="pt-BR"/>
        </w:rPr>
        <w:t>801 CMR 1.01(7)(h).</w:t>
      </w:r>
    </w:p>
  </w:footnote>
  <w:footnote w:id="13">
    <w:p w14:paraId="5FD8919C" w14:textId="7A0F59A2" w:rsidR="004F557D" w:rsidRPr="004F557D" w:rsidRDefault="00F66C64" w:rsidP="00F66C64">
      <w:pPr>
        <w:pStyle w:val="FootnoteText"/>
        <w:rPr>
          <w:rFonts w:ascii="Aptos" w:hAnsi="Aptos"/>
          <w:color w:val="000000" w:themeColor="text1"/>
          <w:bdr w:val="none" w:sz="0" w:space="0" w:color="auto" w:frame="1"/>
        </w:rPr>
      </w:pPr>
      <w:r w:rsidRPr="00F47331">
        <w:rPr>
          <w:rStyle w:val="FootnoteReference"/>
          <w:rFonts w:ascii="Aptos" w:hAnsi="Aptos"/>
          <w:color w:val="000000" w:themeColor="text1"/>
        </w:rPr>
        <w:footnoteRef/>
      </w:r>
      <w:r w:rsidRPr="00F47331">
        <w:rPr>
          <w:rFonts w:ascii="Aptos" w:hAnsi="Aptos"/>
          <w:color w:val="000000" w:themeColor="text1"/>
        </w:rPr>
        <w:t xml:space="preserve"> See</w:t>
      </w:r>
      <w:r w:rsidR="00B36654" w:rsidRPr="00F47331">
        <w:rPr>
          <w:rFonts w:ascii="Aptos" w:hAnsi="Aptos"/>
          <w:color w:val="000000" w:themeColor="text1"/>
        </w:rPr>
        <w:t xml:space="preserve"> </w:t>
      </w:r>
      <w:r w:rsidR="00B36654" w:rsidRPr="00F47331">
        <w:rPr>
          <w:rFonts w:ascii="Aptos" w:hAnsi="Aptos"/>
          <w:i/>
          <w:iCs/>
          <w:color w:val="000000" w:themeColor="text1"/>
          <w:bdr w:val="none" w:sz="0" w:space="0" w:color="auto" w:frame="1"/>
        </w:rPr>
        <w:t>Anderson</w:t>
      </w:r>
      <w:r w:rsidR="005A783C" w:rsidRPr="00F47331">
        <w:rPr>
          <w:rFonts w:ascii="Aptos" w:hAnsi="Aptos"/>
          <w:color w:val="000000" w:themeColor="text1"/>
          <w:bdr w:val="none" w:sz="0" w:space="0" w:color="auto" w:frame="1"/>
        </w:rPr>
        <w:t>,</w:t>
      </w:r>
      <w:r w:rsidR="00B36654" w:rsidRPr="00F47331">
        <w:rPr>
          <w:rFonts w:ascii="Aptos" w:hAnsi="Aptos"/>
          <w:color w:val="000000" w:themeColor="text1"/>
        </w:rPr>
        <w:t xml:space="preserve"> 477 U.S. </w:t>
      </w:r>
      <w:r w:rsidR="00A71B80">
        <w:rPr>
          <w:rFonts w:ascii="Aptos" w:hAnsi="Aptos"/>
          <w:color w:val="000000" w:themeColor="text1"/>
        </w:rPr>
        <w:t>at</w:t>
      </w:r>
      <w:r w:rsidR="004F557D">
        <w:rPr>
          <w:rFonts w:ascii="Aptos" w:hAnsi="Aptos"/>
          <w:color w:val="000000" w:themeColor="text1"/>
        </w:rPr>
        <w:t xml:space="preserve"> </w:t>
      </w:r>
      <w:r w:rsidR="00B36654" w:rsidRPr="00F47331">
        <w:rPr>
          <w:rFonts w:ascii="Aptos" w:hAnsi="Aptos"/>
          <w:color w:val="000000" w:themeColor="text1"/>
        </w:rPr>
        <w:t xml:space="preserve">247; </w:t>
      </w:r>
      <w:r w:rsidR="00B36654" w:rsidRPr="00F47331">
        <w:rPr>
          <w:rFonts w:ascii="Aptos" w:hAnsi="Aptos"/>
          <w:i/>
          <w:color w:val="000000" w:themeColor="text1"/>
          <w:bdr w:val="none" w:sz="0" w:space="0" w:color="auto" w:frame="1"/>
        </w:rPr>
        <w:t>Mald</w:t>
      </w:r>
      <w:r w:rsidR="00D978AD" w:rsidRPr="00F47331">
        <w:rPr>
          <w:rFonts w:ascii="Aptos" w:hAnsi="Aptos"/>
          <w:i/>
          <w:color w:val="000000" w:themeColor="text1"/>
          <w:bdr w:val="none" w:sz="0" w:space="0" w:color="auto" w:frame="1"/>
        </w:rPr>
        <w:t>o</w:t>
      </w:r>
      <w:r w:rsidR="00B36654" w:rsidRPr="00F47331">
        <w:rPr>
          <w:rFonts w:ascii="Aptos" w:hAnsi="Aptos"/>
          <w:i/>
          <w:color w:val="000000" w:themeColor="text1"/>
          <w:bdr w:val="none" w:sz="0" w:space="0" w:color="auto" w:frame="1"/>
        </w:rPr>
        <w:t>nado-Deni</w:t>
      </w:r>
      <w:r w:rsidR="004F557D">
        <w:rPr>
          <w:rFonts w:ascii="Aptos" w:hAnsi="Aptos"/>
          <w:i/>
          <w:color w:val="000000" w:themeColor="text1"/>
          <w:bdr w:val="none" w:sz="0" w:space="0" w:color="auto" w:frame="1"/>
        </w:rPr>
        <w:t>s</w:t>
      </w:r>
      <w:r w:rsidR="00B36654" w:rsidRPr="00F47331">
        <w:rPr>
          <w:rFonts w:ascii="Aptos" w:hAnsi="Aptos"/>
          <w:i/>
          <w:color w:val="000000" w:themeColor="text1"/>
          <w:bdr w:val="none" w:sz="0" w:space="0" w:color="auto" w:frame="1"/>
        </w:rPr>
        <w:t>,</w:t>
      </w:r>
      <w:r w:rsidR="00B36654" w:rsidRPr="00F47331">
        <w:rPr>
          <w:rFonts w:ascii="Aptos" w:hAnsi="Aptos"/>
          <w:color w:val="000000" w:themeColor="text1"/>
          <w:bdr w:val="none" w:sz="0" w:space="0" w:color="auto" w:frame="1"/>
        </w:rPr>
        <w:t xml:space="preserve"> 23 F.3d </w:t>
      </w:r>
      <w:r w:rsidR="00A71B80">
        <w:rPr>
          <w:rFonts w:ascii="Aptos" w:hAnsi="Aptos"/>
          <w:color w:val="000000" w:themeColor="text1"/>
          <w:bdr w:val="none" w:sz="0" w:space="0" w:color="auto" w:frame="1"/>
        </w:rPr>
        <w:t xml:space="preserve">at </w:t>
      </w:r>
      <w:r w:rsidR="00B36654" w:rsidRPr="00F47331">
        <w:rPr>
          <w:rFonts w:ascii="Aptos" w:hAnsi="Aptos"/>
          <w:color w:val="000000" w:themeColor="text1"/>
          <w:bdr w:val="none" w:sz="0" w:space="0" w:color="auto" w:frame="1"/>
        </w:rPr>
        <w:t xml:space="preserve">581; </w:t>
      </w:r>
      <w:r w:rsidR="00317EF8" w:rsidRPr="00F47331">
        <w:rPr>
          <w:rFonts w:ascii="Aptos" w:hAnsi="Aptos"/>
          <w:color w:val="000000" w:themeColor="text1"/>
          <w:bdr w:val="none" w:sz="0" w:space="0" w:color="auto" w:frame="1"/>
        </w:rPr>
        <w:t xml:space="preserve">see also </w:t>
      </w:r>
      <w:r w:rsidR="00317EF8" w:rsidRPr="00F47331">
        <w:rPr>
          <w:rFonts w:ascii="Aptos" w:hAnsi="Aptos"/>
          <w:i/>
          <w:iCs/>
          <w:color w:val="000000" w:themeColor="text1"/>
          <w:bdr w:val="none" w:sz="0" w:space="0" w:color="auto" w:frame="1"/>
        </w:rPr>
        <w:t>In Re: Student v. Medway Public Schools,</w:t>
      </w:r>
      <w:r w:rsidR="00317EF8" w:rsidRPr="00F47331">
        <w:rPr>
          <w:rFonts w:ascii="Aptos" w:hAnsi="Aptos"/>
          <w:color w:val="000000" w:themeColor="text1"/>
          <w:bdr w:val="none" w:sz="0" w:space="0" w:color="auto" w:frame="1"/>
        </w:rPr>
        <w:t xml:space="preserve"> BSEA #2410703 (Figueroa, 2024) (applying this standard); </w:t>
      </w:r>
      <w:r w:rsidR="00317EF8" w:rsidRPr="00F47331">
        <w:rPr>
          <w:rFonts w:ascii="Aptos" w:hAnsi="Aptos"/>
          <w:i/>
          <w:iCs/>
          <w:color w:val="000000" w:themeColor="text1"/>
          <w:bdr w:val="none" w:sz="0" w:space="0" w:color="auto" w:frame="1"/>
        </w:rPr>
        <w:t>Student v. Littleton Public Schools</w:t>
      </w:r>
      <w:r w:rsidR="00317EF8" w:rsidRPr="00F47331">
        <w:rPr>
          <w:rFonts w:ascii="Aptos" w:hAnsi="Aptos"/>
          <w:color w:val="000000" w:themeColor="text1"/>
          <w:bdr w:val="none" w:sz="0" w:space="0" w:color="auto" w:frame="1"/>
        </w:rPr>
        <w:t>,</w:t>
      </w:r>
      <w:r w:rsidR="00317EF8" w:rsidRPr="00F47331">
        <w:rPr>
          <w:rFonts w:ascii="Aptos" w:hAnsi="Aptos"/>
          <w:i/>
          <w:iCs/>
          <w:color w:val="000000" w:themeColor="text1"/>
          <w:bdr w:val="none" w:sz="0" w:space="0" w:color="auto" w:frame="1"/>
        </w:rPr>
        <w:t> </w:t>
      </w:r>
      <w:r w:rsidR="00317EF8" w:rsidRPr="00F47331">
        <w:rPr>
          <w:rFonts w:ascii="Aptos" w:hAnsi="Aptos"/>
          <w:color w:val="000000" w:themeColor="text1"/>
          <w:bdr w:val="none" w:sz="0" w:space="0" w:color="auto" w:frame="1"/>
        </w:rPr>
        <w:t>BSEA #2313812 (Putney-Yaceshyn, 2023) (same).</w:t>
      </w:r>
    </w:p>
  </w:footnote>
  <w:footnote w:id="14">
    <w:p w14:paraId="3914144C" w14:textId="25C4CADD" w:rsidR="00F66C64" w:rsidRPr="00F47331" w:rsidRDefault="00F66C64" w:rsidP="00F66C64">
      <w:pPr>
        <w:pStyle w:val="FootnoteText"/>
        <w:rPr>
          <w:rFonts w:ascii="Aptos" w:hAnsi="Aptos"/>
          <w:color w:val="000000" w:themeColor="text1"/>
        </w:rPr>
      </w:pPr>
      <w:r w:rsidRPr="00F47331">
        <w:rPr>
          <w:rStyle w:val="FootnoteReference"/>
          <w:rFonts w:ascii="Aptos" w:hAnsi="Aptos"/>
          <w:color w:val="000000" w:themeColor="text1"/>
        </w:rPr>
        <w:footnoteRef/>
      </w:r>
      <w:r w:rsidRPr="00F47331">
        <w:rPr>
          <w:rFonts w:ascii="Aptos" w:hAnsi="Aptos"/>
          <w:color w:val="000000" w:themeColor="text1"/>
        </w:rPr>
        <w:t xml:space="preserve"> </w:t>
      </w:r>
      <w:r w:rsidRPr="00F47331">
        <w:rPr>
          <w:rFonts w:ascii="Aptos" w:hAnsi="Aptos"/>
          <w:i/>
          <w:iCs/>
          <w:color w:val="000000" w:themeColor="text1"/>
        </w:rPr>
        <w:t>French v. Merrill</w:t>
      </w:r>
      <w:r w:rsidRPr="00F47331">
        <w:rPr>
          <w:rFonts w:ascii="Aptos" w:hAnsi="Aptos"/>
          <w:color w:val="000000" w:themeColor="text1"/>
        </w:rPr>
        <w:t>, 15 F.4th 116, 123 (1st Cir. 2021)</w:t>
      </w:r>
      <w:r w:rsidR="00B36654" w:rsidRPr="00F47331">
        <w:rPr>
          <w:rFonts w:ascii="Aptos" w:hAnsi="Aptos"/>
          <w:color w:val="000000" w:themeColor="text1"/>
        </w:rPr>
        <w:t xml:space="preserve"> (internal citation omitted).</w:t>
      </w:r>
    </w:p>
  </w:footnote>
  <w:footnote w:id="15">
    <w:p w14:paraId="473E8596" w14:textId="18BB8EEA" w:rsidR="00B36654" w:rsidRPr="00F47331" w:rsidRDefault="00B36654">
      <w:pPr>
        <w:pStyle w:val="FootnoteText"/>
        <w:rPr>
          <w:rFonts w:ascii="Aptos" w:hAnsi="Aptos"/>
        </w:rPr>
      </w:pPr>
      <w:r w:rsidRPr="00F47331">
        <w:rPr>
          <w:rStyle w:val="FootnoteReference"/>
          <w:rFonts w:ascii="Aptos" w:hAnsi="Aptos"/>
        </w:rPr>
        <w:footnoteRef/>
      </w:r>
      <w:r w:rsidRPr="00F47331">
        <w:rPr>
          <w:rFonts w:ascii="Aptos" w:hAnsi="Aptos"/>
        </w:rPr>
        <w:t xml:space="preserve"> See </w:t>
      </w:r>
      <w:r w:rsidRPr="00F47331">
        <w:rPr>
          <w:rFonts w:ascii="Aptos" w:hAnsi="Aptos"/>
          <w:i/>
          <w:iCs/>
        </w:rPr>
        <w:t>Anderson</w:t>
      </w:r>
      <w:r w:rsidRPr="00F47331">
        <w:rPr>
          <w:rFonts w:ascii="Aptos" w:hAnsi="Aptos"/>
        </w:rPr>
        <w:t>, 477 U.S. at 248.</w:t>
      </w:r>
    </w:p>
  </w:footnote>
  <w:footnote w:id="16">
    <w:p w14:paraId="525B7F93" w14:textId="641C43E9" w:rsidR="00F66C64" w:rsidRPr="00F47331" w:rsidRDefault="00F66C64" w:rsidP="00F66C64">
      <w:pPr>
        <w:shd w:val="clear" w:color="auto" w:fill="FFFFFF"/>
        <w:rPr>
          <w:rFonts w:ascii="Aptos" w:hAnsi="Aptos"/>
          <w:color w:val="000000" w:themeColor="text1"/>
          <w:sz w:val="20"/>
          <w:szCs w:val="20"/>
        </w:rPr>
      </w:pPr>
      <w:r w:rsidRPr="00F47331">
        <w:rPr>
          <w:rStyle w:val="FootnoteReference"/>
          <w:rFonts w:ascii="Aptos" w:hAnsi="Aptos"/>
          <w:color w:val="000000" w:themeColor="text1"/>
          <w:sz w:val="20"/>
          <w:szCs w:val="20"/>
        </w:rPr>
        <w:footnoteRef/>
      </w:r>
      <w:r w:rsidRPr="00F47331">
        <w:rPr>
          <w:rFonts w:ascii="Aptos" w:hAnsi="Aptos"/>
          <w:color w:val="000000" w:themeColor="text1"/>
          <w:sz w:val="20"/>
          <w:szCs w:val="20"/>
        </w:rPr>
        <w:t xml:space="preserve"> </w:t>
      </w:r>
      <w:r w:rsidR="00B36654" w:rsidRPr="00F47331">
        <w:rPr>
          <w:rFonts w:ascii="Aptos" w:hAnsi="Aptos"/>
          <w:i/>
          <w:iCs/>
          <w:color w:val="000000" w:themeColor="text1"/>
          <w:sz w:val="20"/>
          <w:szCs w:val="20"/>
          <w:bdr w:val="none" w:sz="0" w:space="0" w:color="auto" w:frame="1"/>
        </w:rPr>
        <w:t>Id</w:t>
      </w:r>
      <w:r w:rsidRPr="00F47331">
        <w:rPr>
          <w:rFonts w:ascii="Aptos" w:hAnsi="Aptos"/>
          <w:color w:val="000000" w:themeColor="text1"/>
          <w:sz w:val="20"/>
          <w:szCs w:val="20"/>
        </w:rPr>
        <w:t>.</w:t>
      </w:r>
    </w:p>
  </w:footnote>
  <w:footnote w:id="17">
    <w:p w14:paraId="7BA0B709" w14:textId="44A26C09" w:rsidR="004F557D" w:rsidRPr="00F47331" w:rsidRDefault="00F66C64" w:rsidP="00F66C64">
      <w:pPr>
        <w:rPr>
          <w:rFonts w:ascii="Aptos" w:hAnsi="Aptos"/>
          <w:color w:val="000000" w:themeColor="text1"/>
          <w:sz w:val="20"/>
          <w:szCs w:val="20"/>
        </w:rPr>
      </w:pPr>
      <w:r w:rsidRPr="00F47331">
        <w:rPr>
          <w:rStyle w:val="FootnoteReference"/>
          <w:rFonts w:ascii="Aptos" w:hAnsi="Aptos"/>
          <w:color w:val="000000" w:themeColor="text1"/>
          <w:sz w:val="20"/>
          <w:szCs w:val="20"/>
        </w:rPr>
        <w:footnoteRef/>
      </w:r>
      <w:r w:rsidRPr="00F47331">
        <w:rPr>
          <w:rFonts w:ascii="Aptos" w:hAnsi="Aptos"/>
          <w:color w:val="000000" w:themeColor="text1"/>
          <w:sz w:val="20"/>
          <w:szCs w:val="20"/>
        </w:rPr>
        <w:t xml:space="preserve"> See </w:t>
      </w:r>
      <w:r w:rsidR="00D978AD" w:rsidRPr="00F47331">
        <w:rPr>
          <w:rFonts w:ascii="Aptos" w:hAnsi="Aptos"/>
          <w:i/>
          <w:iCs/>
          <w:color w:val="000000" w:themeColor="text1"/>
          <w:sz w:val="20"/>
          <w:szCs w:val="20"/>
        </w:rPr>
        <w:t>Adicke</w:t>
      </w:r>
      <w:r w:rsidR="00052476" w:rsidRPr="00F47331">
        <w:rPr>
          <w:rFonts w:ascii="Aptos" w:hAnsi="Aptos"/>
          <w:i/>
          <w:iCs/>
          <w:color w:val="000000" w:themeColor="text1"/>
          <w:sz w:val="20"/>
          <w:szCs w:val="20"/>
        </w:rPr>
        <w:t>s</w:t>
      </w:r>
      <w:r w:rsidR="00D978AD" w:rsidRPr="00F47331">
        <w:rPr>
          <w:rFonts w:ascii="Aptos" w:hAnsi="Aptos"/>
          <w:color w:val="000000" w:themeColor="text1"/>
          <w:sz w:val="20"/>
          <w:szCs w:val="20"/>
        </w:rPr>
        <w:t xml:space="preserve">, 398 U.S. </w:t>
      </w:r>
      <w:r w:rsidR="00D834E9">
        <w:rPr>
          <w:rFonts w:ascii="Aptos" w:hAnsi="Aptos"/>
          <w:color w:val="000000" w:themeColor="text1"/>
          <w:sz w:val="20"/>
          <w:szCs w:val="20"/>
        </w:rPr>
        <w:t>at</w:t>
      </w:r>
      <w:r w:rsidR="00D978AD" w:rsidRPr="00F47331">
        <w:rPr>
          <w:rFonts w:ascii="Aptos" w:hAnsi="Aptos"/>
          <w:color w:val="000000" w:themeColor="text1"/>
          <w:sz w:val="20"/>
          <w:szCs w:val="20"/>
        </w:rPr>
        <w:t xml:space="preserve"> 157; </w:t>
      </w:r>
      <w:r w:rsidR="00D978AD" w:rsidRPr="00F47331">
        <w:rPr>
          <w:rFonts w:ascii="Aptos" w:hAnsi="Aptos"/>
          <w:i/>
          <w:iCs/>
          <w:color w:val="000000" w:themeColor="text1"/>
          <w:sz w:val="20"/>
          <w:szCs w:val="20"/>
        </w:rPr>
        <w:t>Anderson</w:t>
      </w:r>
      <w:r w:rsidR="00D978AD" w:rsidRPr="00F47331">
        <w:rPr>
          <w:rFonts w:ascii="Aptos" w:hAnsi="Aptos"/>
          <w:color w:val="000000" w:themeColor="text1"/>
          <w:sz w:val="20"/>
          <w:szCs w:val="20"/>
        </w:rPr>
        <w:t>, 477 U.S. at</w:t>
      </w:r>
      <w:r w:rsidR="00D978AD" w:rsidRPr="00F47331">
        <w:rPr>
          <w:rFonts w:ascii="Aptos" w:hAnsi="Aptos"/>
          <w:i/>
          <w:iCs/>
          <w:color w:val="000000" w:themeColor="text1"/>
          <w:sz w:val="20"/>
          <w:szCs w:val="20"/>
        </w:rPr>
        <w:t xml:space="preserve"> </w:t>
      </w:r>
      <w:r w:rsidR="00D978AD" w:rsidRPr="00F47331">
        <w:rPr>
          <w:rFonts w:ascii="Aptos" w:hAnsi="Aptos"/>
          <w:color w:val="000000" w:themeColor="text1"/>
          <w:sz w:val="20"/>
          <w:szCs w:val="20"/>
        </w:rPr>
        <w:t>255</w:t>
      </w:r>
      <w:r w:rsidR="00FD0A0F" w:rsidRPr="00F47331">
        <w:rPr>
          <w:rFonts w:ascii="Aptos" w:hAnsi="Aptos"/>
          <w:color w:val="000000" w:themeColor="text1"/>
          <w:sz w:val="20"/>
          <w:szCs w:val="20"/>
        </w:rPr>
        <w:t xml:space="preserve">; see also </w:t>
      </w:r>
      <w:r w:rsidR="00FD0A0F" w:rsidRPr="00F47331">
        <w:rPr>
          <w:rFonts w:ascii="Aptos" w:hAnsi="Aptos"/>
          <w:i/>
          <w:iCs/>
          <w:color w:val="000000" w:themeColor="text1"/>
          <w:sz w:val="20"/>
          <w:szCs w:val="20"/>
        </w:rPr>
        <w:t>Maldonado-Denis</w:t>
      </w:r>
      <w:r w:rsidR="00FD0A0F" w:rsidRPr="00F47331">
        <w:rPr>
          <w:rFonts w:ascii="Aptos" w:hAnsi="Aptos"/>
          <w:color w:val="000000" w:themeColor="text1"/>
          <w:sz w:val="20"/>
          <w:szCs w:val="20"/>
        </w:rPr>
        <w:t>, 23 F.3d at 581 (summary judgment involve</w:t>
      </w:r>
      <w:r w:rsidR="00052476" w:rsidRPr="00F47331">
        <w:rPr>
          <w:rFonts w:ascii="Aptos" w:hAnsi="Aptos"/>
          <w:color w:val="000000" w:themeColor="text1"/>
          <w:sz w:val="20"/>
          <w:szCs w:val="20"/>
        </w:rPr>
        <w:t>s</w:t>
      </w:r>
      <w:r w:rsidR="00FD0A0F" w:rsidRPr="00F47331">
        <w:rPr>
          <w:rFonts w:ascii="Aptos" w:hAnsi="Aptos"/>
          <w:color w:val="000000" w:themeColor="text1"/>
          <w:sz w:val="20"/>
          <w:szCs w:val="20"/>
        </w:rPr>
        <w:t xml:space="preserve"> “scrutinizing the entire record in the light most flattering to the nonmovant and indulging all reasonable inferences in that party’s favor”). </w:t>
      </w:r>
    </w:p>
  </w:footnote>
  <w:footnote w:id="18">
    <w:p w14:paraId="1D2BBFE7" w14:textId="7A90A1CB" w:rsidR="00F66C64" w:rsidRPr="00F47331" w:rsidRDefault="00F66C64" w:rsidP="00F66C64">
      <w:pPr>
        <w:pStyle w:val="FootnoteText"/>
        <w:rPr>
          <w:rFonts w:ascii="Aptos" w:hAnsi="Aptos"/>
          <w:color w:val="000000" w:themeColor="text1"/>
        </w:rPr>
      </w:pPr>
      <w:r w:rsidRPr="00F47331">
        <w:rPr>
          <w:rStyle w:val="FootnoteReference"/>
          <w:rFonts w:ascii="Aptos" w:hAnsi="Aptos"/>
          <w:color w:val="000000" w:themeColor="text1"/>
        </w:rPr>
        <w:footnoteRef/>
      </w:r>
      <w:r w:rsidRPr="00F47331">
        <w:rPr>
          <w:rFonts w:ascii="Aptos" w:hAnsi="Aptos"/>
          <w:color w:val="000000" w:themeColor="text1"/>
        </w:rPr>
        <w:t xml:space="preserve"> </w:t>
      </w:r>
      <w:r w:rsidR="00D978AD" w:rsidRPr="00F47331">
        <w:rPr>
          <w:rFonts w:ascii="Aptos" w:hAnsi="Aptos"/>
          <w:i/>
          <w:color w:val="000000" w:themeColor="text1"/>
        </w:rPr>
        <w:t>Anderson</w:t>
      </w:r>
      <w:r w:rsidR="00D978AD" w:rsidRPr="00F47331">
        <w:rPr>
          <w:rFonts w:ascii="Aptos" w:hAnsi="Aptos"/>
          <w:iCs/>
          <w:color w:val="000000" w:themeColor="text1"/>
        </w:rPr>
        <w:t xml:space="preserve">, 477 U.S. </w:t>
      </w:r>
      <w:r w:rsidRPr="00F47331">
        <w:rPr>
          <w:rFonts w:ascii="Aptos" w:hAnsi="Aptos"/>
          <w:iCs/>
          <w:color w:val="000000" w:themeColor="text1"/>
        </w:rPr>
        <w:t>at</w:t>
      </w:r>
      <w:r w:rsidRPr="00F47331">
        <w:rPr>
          <w:rFonts w:ascii="Aptos" w:hAnsi="Aptos"/>
          <w:color w:val="000000" w:themeColor="text1"/>
        </w:rPr>
        <w:t xml:space="preserve"> 250.</w:t>
      </w:r>
    </w:p>
  </w:footnote>
  <w:footnote w:id="19">
    <w:p w14:paraId="4BA07FD0" w14:textId="0E959BA2" w:rsidR="00FD0A0F" w:rsidRPr="004E60F1" w:rsidRDefault="00FD0A0F">
      <w:pPr>
        <w:pStyle w:val="FootnoteText"/>
        <w:rPr>
          <w:rFonts w:ascii="Aptos" w:hAnsi="Aptos"/>
        </w:rPr>
      </w:pPr>
      <w:r w:rsidRPr="004E60F1">
        <w:rPr>
          <w:rStyle w:val="FootnoteReference"/>
          <w:rFonts w:ascii="Aptos" w:hAnsi="Aptos"/>
        </w:rPr>
        <w:footnoteRef/>
      </w:r>
      <w:r w:rsidRPr="004E60F1">
        <w:rPr>
          <w:rFonts w:ascii="Aptos" w:hAnsi="Aptos"/>
        </w:rPr>
        <w:t xml:space="preserve"> </w:t>
      </w:r>
      <w:r w:rsidRPr="004E60F1">
        <w:rPr>
          <w:rFonts w:ascii="Aptos" w:hAnsi="Aptos"/>
          <w:i/>
          <w:iCs/>
          <w:color w:val="000000" w:themeColor="text1"/>
        </w:rPr>
        <w:t>Maldonado-Denis</w:t>
      </w:r>
      <w:r w:rsidRPr="004E60F1">
        <w:rPr>
          <w:rFonts w:ascii="Aptos" w:hAnsi="Aptos"/>
          <w:color w:val="000000" w:themeColor="text1"/>
        </w:rPr>
        <w:t>, 23 F.3d at 581 (internal citation omitted).</w:t>
      </w:r>
    </w:p>
  </w:footnote>
  <w:footnote w:id="20">
    <w:p w14:paraId="38493A5C" w14:textId="568230FE" w:rsidR="00F66C64" w:rsidRPr="004E60F1" w:rsidRDefault="00F66C64" w:rsidP="00F66C64">
      <w:pPr>
        <w:pStyle w:val="FootnoteText"/>
        <w:rPr>
          <w:rFonts w:ascii="Aptos" w:hAnsi="Aptos"/>
          <w:color w:val="000000" w:themeColor="text1"/>
        </w:rPr>
      </w:pPr>
      <w:r w:rsidRPr="004E60F1">
        <w:rPr>
          <w:rStyle w:val="FootnoteReference"/>
          <w:rFonts w:ascii="Aptos" w:hAnsi="Aptos"/>
          <w:color w:val="000000" w:themeColor="text1"/>
        </w:rPr>
        <w:footnoteRef/>
      </w:r>
      <w:r w:rsidRPr="004E60F1">
        <w:rPr>
          <w:rFonts w:ascii="Aptos" w:hAnsi="Aptos"/>
          <w:color w:val="000000" w:themeColor="text1"/>
        </w:rPr>
        <w:t xml:space="preserve"> </w:t>
      </w:r>
      <w:r w:rsidR="005A783C" w:rsidRPr="004E60F1">
        <w:rPr>
          <w:rFonts w:ascii="Aptos" w:hAnsi="Aptos"/>
          <w:i/>
          <w:color w:val="000000" w:themeColor="text1"/>
        </w:rPr>
        <w:t>Anderson</w:t>
      </w:r>
      <w:r w:rsidR="005A783C" w:rsidRPr="004E60F1">
        <w:rPr>
          <w:rFonts w:ascii="Aptos" w:hAnsi="Aptos"/>
          <w:iCs/>
          <w:color w:val="000000" w:themeColor="text1"/>
        </w:rPr>
        <w:t xml:space="preserve">, 477 U.S. </w:t>
      </w:r>
      <w:r w:rsidRPr="004E60F1">
        <w:rPr>
          <w:rFonts w:ascii="Aptos" w:hAnsi="Aptos"/>
          <w:color w:val="000000" w:themeColor="text1"/>
        </w:rPr>
        <w:t>at 249</w:t>
      </w:r>
      <w:r w:rsidR="005A783C" w:rsidRPr="004E60F1">
        <w:rPr>
          <w:rFonts w:ascii="Aptos" w:hAnsi="Aptos"/>
          <w:color w:val="000000" w:themeColor="text1"/>
        </w:rPr>
        <w:t xml:space="preserve">; </w:t>
      </w:r>
      <w:r w:rsidR="005A783C" w:rsidRPr="004E60F1">
        <w:rPr>
          <w:rFonts w:ascii="Aptos" w:hAnsi="Aptos"/>
          <w:i/>
          <w:color w:val="000000" w:themeColor="text1"/>
        </w:rPr>
        <w:t xml:space="preserve">Mack v. Great Atl. &amp; Pac. Tea Co., </w:t>
      </w:r>
      <w:r w:rsidR="005A783C" w:rsidRPr="004E60F1">
        <w:rPr>
          <w:rFonts w:ascii="Aptos" w:hAnsi="Aptos"/>
          <w:color w:val="000000" w:themeColor="text1"/>
        </w:rPr>
        <w:t>871 F.2d 179, 181 (1st Cir. 1989)</w:t>
      </w:r>
      <w:r w:rsidR="00317EF8" w:rsidRPr="004E60F1">
        <w:rPr>
          <w:rFonts w:ascii="Aptos" w:hAnsi="Aptos"/>
          <w:color w:val="000000" w:themeColor="text1"/>
        </w:rPr>
        <w:t>.</w:t>
      </w:r>
    </w:p>
  </w:footnote>
  <w:footnote w:id="21">
    <w:p w14:paraId="71019ADB" w14:textId="77777777" w:rsidR="00317EF8" w:rsidRPr="004E60F1" w:rsidRDefault="00317EF8" w:rsidP="00317EF8">
      <w:pPr>
        <w:pStyle w:val="FootnoteText"/>
        <w:rPr>
          <w:rFonts w:ascii="Aptos" w:hAnsi="Aptos"/>
          <w:color w:val="000000" w:themeColor="text1"/>
        </w:rPr>
      </w:pPr>
      <w:r w:rsidRPr="004E60F1">
        <w:rPr>
          <w:rStyle w:val="FootnoteReference"/>
          <w:rFonts w:ascii="Aptos" w:hAnsi="Aptos"/>
          <w:color w:val="000000" w:themeColor="text1"/>
        </w:rPr>
        <w:footnoteRef/>
      </w:r>
      <w:r w:rsidRPr="004E60F1">
        <w:rPr>
          <w:rFonts w:ascii="Aptos" w:hAnsi="Aptos"/>
          <w:color w:val="000000" w:themeColor="text1"/>
        </w:rPr>
        <w:t xml:space="preserve"> </w:t>
      </w:r>
      <w:r w:rsidRPr="004E60F1">
        <w:rPr>
          <w:rFonts w:ascii="Aptos" w:hAnsi="Aptos"/>
          <w:i/>
          <w:color w:val="000000" w:themeColor="text1"/>
        </w:rPr>
        <w:t xml:space="preserve">Medina-Munoz v. R.J. Reynolds Tobacco Co., </w:t>
      </w:r>
      <w:r w:rsidRPr="004E60F1">
        <w:rPr>
          <w:rFonts w:ascii="Aptos" w:hAnsi="Aptos"/>
          <w:color w:val="000000" w:themeColor="text1"/>
        </w:rPr>
        <w:t>896 F.2d 5, 8 (1st Cir. 1990).</w:t>
      </w:r>
    </w:p>
  </w:footnote>
  <w:footnote w:id="22">
    <w:p w14:paraId="3D05537A" w14:textId="205F7EE3" w:rsidR="00317EF8" w:rsidRPr="004E60F1" w:rsidRDefault="00317EF8">
      <w:pPr>
        <w:pStyle w:val="FootnoteText"/>
        <w:rPr>
          <w:rFonts w:ascii="Aptos" w:hAnsi="Aptos"/>
        </w:rPr>
      </w:pPr>
      <w:r w:rsidRPr="004E60F1">
        <w:rPr>
          <w:rStyle w:val="FootnoteReference"/>
          <w:rFonts w:ascii="Aptos" w:hAnsi="Aptos"/>
        </w:rPr>
        <w:footnoteRef/>
      </w:r>
      <w:r w:rsidRPr="004E60F1">
        <w:rPr>
          <w:rFonts w:ascii="Aptos" w:hAnsi="Aptos"/>
        </w:rPr>
        <w:t xml:space="preserve"> See </w:t>
      </w:r>
      <w:r w:rsidRPr="004E60F1">
        <w:rPr>
          <w:rFonts w:ascii="Aptos" w:hAnsi="Aptos"/>
          <w:i/>
          <w:iCs/>
        </w:rPr>
        <w:t>Anderson</w:t>
      </w:r>
      <w:r w:rsidRPr="004E60F1">
        <w:rPr>
          <w:rFonts w:ascii="Aptos" w:hAnsi="Aptos"/>
        </w:rPr>
        <w:t>, 477 U.S. at 249-50.</w:t>
      </w:r>
    </w:p>
  </w:footnote>
  <w:footnote w:id="23">
    <w:p w14:paraId="2707B25B" w14:textId="64B6DEAA" w:rsidR="00A808B8" w:rsidRPr="00E24685" w:rsidRDefault="00A808B8">
      <w:pPr>
        <w:pStyle w:val="FootnoteText"/>
        <w:rPr>
          <w:rFonts w:ascii="Aptos" w:hAnsi="Aptos"/>
        </w:rPr>
      </w:pPr>
      <w:r w:rsidRPr="00E24685">
        <w:rPr>
          <w:rStyle w:val="FootnoteReference"/>
          <w:rFonts w:ascii="Aptos" w:hAnsi="Aptos"/>
        </w:rPr>
        <w:footnoteRef/>
      </w:r>
      <w:r w:rsidRPr="00E24685">
        <w:rPr>
          <w:rFonts w:ascii="Aptos" w:hAnsi="Aptos"/>
        </w:rPr>
        <w:t xml:space="preserve"> 20 USC </w:t>
      </w:r>
      <w:r w:rsidR="000C234B" w:rsidRPr="00E24685">
        <w:rPr>
          <w:rFonts w:ascii="Aptos" w:hAnsi="Aptos" w:cs="Times New Roman"/>
          <w:color w:val="000000" w:themeColor="text1"/>
        </w:rPr>
        <w:t>§1415(b)(6); see M.G.L.C. 71B §2A; 34 CFR 300.507(a)(1); 603 CMR 28.08(3)(a).</w:t>
      </w:r>
    </w:p>
  </w:footnote>
  <w:footnote w:id="24">
    <w:p w14:paraId="0ED12F15" w14:textId="571D3AF3" w:rsidR="004665E4" w:rsidRPr="00E24685" w:rsidRDefault="004665E4">
      <w:pPr>
        <w:pStyle w:val="FootnoteText"/>
        <w:rPr>
          <w:rFonts w:ascii="Aptos" w:hAnsi="Aptos"/>
        </w:rPr>
      </w:pPr>
      <w:r w:rsidRPr="00E24685">
        <w:rPr>
          <w:rStyle w:val="FootnoteReference"/>
          <w:rFonts w:ascii="Aptos" w:hAnsi="Aptos"/>
        </w:rPr>
        <w:footnoteRef/>
      </w:r>
      <w:r w:rsidRPr="00E24685">
        <w:rPr>
          <w:rFonts w:ascii="Aptos" w:hAnsi="Aptos"/>
        </w:rPr>
        <w:t xml:space="preserve"> See </w:t>
      </w:r>
      <w:r w:rsidRPr="00E24685">
        <w:rPr>
          <w:rFonts w:ascii="Aptos" w:hAnsi="Aptos"/>
          <w:i/>
          <w:iCs/>
        </w:rPr>
        <w:t>Fry v</w:t>
      </w:r>
      <w:r w:rsidR="00942128">
        <w:rPr>
          <w:rFonts w:ascii="Aptos" w:hAnsi="Aptos"/>
          <w:i/>
          <w:iCs/>
        </w:rPr>
        <w:t>.</w:t>
      </w:r>
      <w:r w:rsidRPr="00E24685">
        <w:rPr>
          <w:rFonts w:ascii="Aptos" w:hAnsi="Aptos"/>
          <w:i/>
          <w:iCs/>
        </w:rPr>
        <w:t xml:space="preserve"> Napole</w:t>
      </w:r>
      <w:r w:rsidR="006C4DF2">
        <w:rPr>
          <w:rFonts w:ascii="Aptos" w:hAnsi="Aptos"/>
          <w:i/>
          <w:iCs/>
        </w:rPr>
        <w:t>o</w:t>
      </w:r>
      <w:r w:rsidRPr="00E24685">
        <w:rPr>
          <w:rFonts w:ascii="Aptos" w:hAnsi="Aptos"/>
          <w:i/>
          <w:iCs/>
        </w:rPr>
        <w:t>n</w:t>
      </w:r>
      <w:r w:rsidRPr="00E24685">
        <w:rPr>
          <w:rFonts w:ascii="Aptos" w:hAnsi="Aptos"/>
        </w:rPr>
        <w:t>, 580 U</w:t>
      </w:r>
      <w:r w:rsidR="006C4DF2">
        <w:rPr>
          <w:rFonts w:ascii="Aptos" w:hAnsi="Aptos"/>
        </w:rPr>
        <w:t>.</w:t>
      </w:r>
      <w:r w:rsidRPr="00E24685">
        <w:rPr>
          <w:rFonts w:ascii="Aptos" w:hAnsi="Aptos"/>
        </w:rPr>
        <w:t>S</w:t>
      </w:r>
      <w:r w:rsidR="006C4DF2">
        <w:rPr>
          <w:rFonts w:ascii="Aptos" w:hAnsi="Aptos"/>
        </w:rPr>
        <w:t>.</w:t>
      </w:r>
      <w:r w:rsidRPr="00E24685">
        <w:rPr>
          <w:rFonts w:ascii="Aptos" w:hAnsi="Aptos"/>
        </w:rPr>
        <w:t xml:space="preserve"> 154, 167-68 (2017) (holding that even where a dispute is between a child with a disability and her school district, if it does not involve the child’s right to a free appropriate public education under the Individuals with Disabilities Education Act, a hearing officer does not have jurisdiction over that dispute)</w:t>
      </w:r>
      <w:r w:rsidR="006C4DF2">
        <w:rPr>
          <w:rFonts w:ascii="Aptos" w:hAnsi="Aptos"/>
        </w:rPr>
        <w:t xml:space="preserve">; </w:t>
      </w:r>
      <w:r w:rsidRPr="00E24685">
        <w:rPr>
          <w:rFonts w:ascii="Aptos" w:hAnsi="Aptos"/>
          <w:i/>
          <w:iCs/>
        </w:rPr>
        <w:t>In Re</w:t>
      </w:r>
      <w:r w:rsidR="00A95B3C" w:rsidRPr="00E24685">
        <w:rPr>
          <w:rFonts w:ascii="Aptos" w:hAnsi="Aptos"/>
          <w:i/>
          <w:iCs/>
        </w:rPr>
        <w:t>:</w:t>
      </w:r>
      <w:r w:rsidRPr="00E24685">
        <w:rPr>
          <w:rFonts w:ascii="Aptos" w:hAnsi="Aptos"/>
          <w:i/>
          <w:iCs/>
        </w:rPr>
        <w:t xml:space="preserve"> KB </w:t>
      </w:r>
      <w:r w:rsidR="006C4DF2">
        <w:rPr>
          <w:rFonts w:ascii="Aptos" w:hAnsi="Aptos"/>
          <w:i/>
          <w:iCs/>
        </w:rPr>
        <w:t>and</w:t>
      </w:r>
      <w:r w:rsidRPr="00E24685">
        <w:rPr>
          <w:rFonts w:ascii="Aptos" w:hAnsi="Aptos"/>
          <w:i/>
          <w:iCs/>
        </w:rPr>
        <w:t xml:space="preserve"> Ashland Public Schools &amp; Department of Mental Health and Department of </w:t>
      </w:r>
      <w:r w:rsidR="00A95B3C" w:rsidRPr="00E24685">
        <w:rPr>
          <w:rFonts w:ascii="Aptos" w:hAnsi="Aptos"/>
          <w:i/>
          <w:iCs/>
        </w:rPr>
        <w:t>Children and Families</w:t>
      </w:r>
      <w:r w:rsidR="00A95B3C" w:rsidRPr="00E24685">
        <w:rPr>
          <w:rFonts w:ascii="Aptos" w:hAnsi="Aptos"/>
        </w:rPr>
        <w:t>, BSEA #2508203 (Mitchell, 2025) (Ruling) and cases cited at n.12.</w:t>
      </w:r>
    </w:p>
  </w:footnote>
  <w:footnote w:id="25">
    <w:p w14:paraId="3BF8267D" w14:textId="566F7D1E" w:rsidR="00A95B3C" w:rsidRPr="00E24685" w:rsidRDefault="00A95B3C">
      <w:pPr>
        <w:pStyle w:val="FootnoteText"/>
        <w:rPr>
          <w:rFonts w:ascii="Aptos" w:hAnsi="Aptos"/>
        </w:rPr>
      </w:pPr>
      <w:r w:rsidRPr="00E24685">
        <w:rPr>
          <w:rStyle w:val="FootnoteReference"/>
          <w:rFonts w:ascii="Aptos" w:hAnsi="Aptos"/>
        </w:rPr>
        <w:footnoteRef/>
      </w:r>
      <w:r w:rsidRPr="00E24685">
        <w:rPr>
          <w:rFonts w:ascii="Aptos" w:hAnsi="Aptos"/>
        </w:rPr>
        <w:t xml:space="preserve"> See, e.g., </w:t>
      </w:r>
      <w:r w:rsidRPr="00E24685">
        <w:rPr>
          <w:rFonts w:ascii="Aptos" w:hAnsi="Aptos"/>
          <w:i/>
          <w:iCs/>
        </w:rPr>
        <w:t xml:space="preserve">In Re: KB </w:t>
      </w:r>
      <w:r w:rsidRPr="00E24685">
        <w:rPr>
          <w:rFonts w:ascii="Aptos" w:hAnsi="Aptos"/>
        </w:rPr>
        <w:t xml:space="preserve">(noting that the BSEA has historically declined to take jurisdiction over issues of interpretation or enforcement of settlement agreement terms); </w:t>
      </w:r>
      <w:r w:rsidRPr="00E24685">
        <w:rPr>
          <w:rFonts w:ascii="Aptos" w:hAnsi="Aptos"/>
          <w:i/>
          <w:iCs/>
        </w:rPr>
        <w:t xml:space="preserve">In Re: </w:t>
      </w:r>
      <w:r w:rsidR="004E60F1" w:rsidRPr="00E24685">
        <w:rPr>
          <w:rFonts w:ascii="Aptos" w:hAnsi="Aptos"/>
          <w:i/>
          <w:iCs/>
        </w:rPr>
        <w:t>Student &amp; Andover</w:t>
      </w:r>
      <w:r w:rsidRPr="00E24685">
        <w:rPr>
          <w:rFonts w:ascii="Aptos" w:hAnsi="Aptos"/>
          <w:i/>
          <w:iCs/>
        </w:rPr>
        <w:t xml:space="preserve"> Public Schools,</w:t>
      </w:r>
      <w:r w:rsidR="00974ED1" w:rsidRPr="00E24685">
        <w:rPr>
          <w:rFonts w:ascii="Aptos" w:hAnsi="Aptos"/>
          <w:i/>
          <w:iCs/>
        </w:rPr>
        <w:t xml:space="preserve"> </w:t>
      </w:r>
      <w:r w:rsidR="00974ED1" w:rsidRPr="00E24685">
        <w:rPr>
          <w:rFonts w:ascii="Aptos" w:hAnsi="Aptos"/>
        </w:rPr>
        <w:t>BSEA #2007733 (Berman, 2020) (Ruling) (recognizing the absence of conclusive guidance within Massachusetts and the First Circuit regarding the BSEA’s subject matter jurisdiction, or lack thereof, “to interpret privately negotiated settlement agreements concerning special education matters and determine whether either party has breached such an agreement”);</w:t>
      </w:r>
      <w:r w:rsidRPr="00E24685">
        <w:rPr>
          <w:rFonts w:ascii="Aptos" w:hAnsi="Aptos"/>
          <w:i/>
          <w:iCs/>
        </w:rPr>
        <w:t xml:space="preserve"> In Re: Student R. and Lincoln-Sudbury Public Schools</w:t>
      </w:r>
      <w:r w:rsidRPr="00E24685">
        <w:rPr>
          <w:rFonts w:ascii="Aptos" w:hAnsi="Aptos"/>
        </w:rPr>
        <w:t>, BSEA #11</w:t>
      </w:r>
      <w:r w:rsidR="002F7BC4" w:rsidRPr="00E24685">
        <w:rPr>
          <w:rFonts w:ascii="Aptos" w:hAnsi="Aptos"/>
        </w:rPr>
        <w:t>2546 (Figueroa, 2010) (Ruling) (</w:t>
      </w:r>
      <w:r w:rsidR="004E60F1" w:rsidRPr="00E24685">
        <w:rPr>
          <w:rFonts w:ascii="Aptos" w:hAnsi="Aptos"/>
        </w:rPr>
        <w:t xml:space="preserve">“Nothing in the IDEA, the Massachusetts special education law or the regulations promulgated under those statutes grants a BSEA Hearing Officer the authority to enforce agreements.”) </w:t>
      </w:r>
    </w:p>
  </w:footnote>
  <w:footnote w:id="26">
    <w:p w14:paraId="315DA37D" w14:textId="5DA56A67" w:rsidR="00974ED1" w:rsidRPr="00E24685" w:rsidRDefault="00974ED1">
      <w:pPr>
        <w:pStyle w:val="FootnoteText"/>
        <w:rPr>
          <w:rFonts w:ascii="Aptos" w:hAnsi="Aptos"/>
        </w:rPr>
      </w:pPr>
      <w:r w:rsidRPr="00E24685">
        <w:rPr>
          <w:rStyle w:val="FootnoteReference"/>
          <w:rFonts w:ascii="Aptos" w:hAnsi="Aptos"/>
        </w:rPr>
        <w:footnoteRef/>
      </w:r>
      <w:r w:rsidRPr="00E24685">
        <w:rPr>
          <w:rFonts w:ascii="Aptos" w:hAnsi="Aptos"/>
        </w:rPr>
        <w:t xml:space="preserve"> </w:t>
      </w:r>
      <w:r w:rsidRPr="00E24685">
        <w:rPr>
          <w:rFonts w:ascii="Aptos" w:hAnsi="Aptos"/>
          <w:i/>
          <w:iCs/>
        </w:rPr>
        <w:t>In Re: KB</w:t>
      </w:r>
      <w:r w:rsidR="00B34641" w:rsidRPr="00E24685">
        <w:rPr>
          <w:rFonts w:ascii="Aptos" w:hAnsi="Aptos"/>
        </w:rPr>
        <w:t xml:space="preserve">; </w:t>
      </w:r>
      <w:r w:rsidR="00646E1F" w:rsidRPr="00E24685">
        <w:rPr>
          <w:rFonts w:ascii="Aptos" w:hAnsi="Aptos"/>
        </w:rPr>
        <w:t xml:space="preserve">see </w:t>
      </w:r>
      <w:r w:rsidR="00646E1F" w:rsidRPr="00E24685">
        <w:rPr>
          <w:rFonts w:ascii="Aptos" w:hAnsi="Aptos"/>
          <w:i/>
          <w:iCs/>
        </w:rPr>
        <w:t>In Re: Student and Milford</w:t>
      </w:r>
      <w:r w:rsidR="00646E1F" w:rsidRPr="00E24685">
        <w:rPr>
          <w:rFonts w:ascii="Aptos" w:hAnsi="Aptos"/>
        </w:rPr>
        <w:t xml:space="preserve"> </w:t>
      </w:r>
      <w:r w:rsidR="00646E1F" w:rsidRPr="00E24685">
        <w:rPr>
          <w:rFonts w:ascii="Aptos" w:hAnsi="Aptos"/>
          <w:i/>
          <w:iCs/>
        </w:rPr>
        <w:t>Public Schools</w:t>
      </w:r>
      <w:r w:rsidR="00646E1F" w:rsidRPr="00E24685">
        <w:rPr>
          <w:rFonts w:ascii="Aptos" w:hAnsi="Aptos"/>
        </w:rPr>
        <w:t xml:space="preserve">, BSEA #1601412 (Berman, 2015); </w:t>
      </w:r>
      <w:r w:rsidR="004E60F1" w:rsidRPr="00E24685">
        <w:rPr>
          <w:rFonts w:ascii="Aptos" w:hAnsi="Aptos"/>
        </w:rPr>
        <w:t>see</w:t>
      </w:r>
      <w:r w:rsidR="00646E1F" w:rsidRPr="00E24685">
        <w:rPr>
          <w:rFonts w:ascii="Aptos" w:hAnsi="Aptos"/>
        </w:rPr>
        <w:t xml:space="preserve"> also</w:t>
      </w:r>
      <w:r w:rsidR="004E60F1" w:rsidRPr="00E24685">
        <w:rPr>
          <w:rFonts w:ascii="Aptos" w:hAnsi="Aptos"/>
        </w:rPr>
        <w:t xml:space="preserve"> </w:t>
      </w:r>
      <w:r w:rsidR="004E60F1" w:rsidRPr="00E24685">
        <w:rPr>
          <w:rFonts w:ascii="Aptos" w:hAnsi="Aptos"/>
          <w:i/>
          <w:iCs/>
        </w:rPr>
        <w:t>In Re: Student R.</w:t>
      </w:r>
      <w:r w:rsidR="004E60F1" w:rsidRPr="00E24685">
        <w:rPr>
          <w:rFonts w:ascii="Aptos" w:hAnsi="Aptos"/>
        </w:rPr>
        <w:t xml:space="preserve"> (“[e]</w:t>
      </w:r>
      <w:r w:rsidR="004E60F1" w:rsidRPr="00E24685">
        <w:rPr>
          <w:rFonts w:ascii="Aptos" w:hAnsi="Aptos"/>
        </w:rPr>
        <w:t>ven if Parties agree between themselves that the BSEA will have authority to ‘enforce’ agreements, such language is insufficient to bind the BSEA where it otherwise lacks statutory authority</w:t>
      </w:r>
      <w:r w:rsidR="0035147F">
        <w:rPr>
          <w:rFonts w:ascii="Aptos" w:hAnsi="Aptos"/>
        </w:rPr>
        <w:t>.</w:t>
      </w:r>
      <w:r w:rsidR="004E60F1" w:rsidRPr="00E24685">
        <w:rPr>
          <w:rFonts w:ascii="Aptos" w:hAnsi="Aptos"/>
        </w:rPr>
        <w:t>”)</w:t>
      </w:r>
    </w:p>
  </w:footnote>
  <w:footnote w:id="27">
    <w:p w14:paraId="7FED5A00" w14:textId="3B693D10" w:rsidR="00B34641" w:rsidRPr="004E60F1" w:rsidRDefault="00B34641">
      <w:pPr>
        <w:pStyle w:val="FootnoteText"/>
        <w:rPr>
          <w:rFonts w:ascii="Aptos" w:hAnsi="Aptos"/>
        </w:rPr>
      </w:pPr>
      <w:r w:rsidRPr="00E24685">
        <w:rPr>
          <w:rStyle w:val="FootnoteReference"/>
          <w:rFonts w:ascii="Aptos" w:hAnsi="Aptos"/>
        </w:rPr>
        <w:footnoteRef/>
      </w:r>
      <w:r w:rsidRPr="00E24685">
        <w:rPr>
          <w:rFonts w:ascii="Aptos" w:hAnsi="Aptos"/>
        </w:rPr>
        <w:t xml:space="preserve"> See 20 USC 1415(e)(2)(F)(iii), (f)(1)(B)(iii)(II); </w:t>
      </w:r>
      <w:r w:rsidRPr="00E24685">
        <w:rPr>
          <w:rFonts w:ascii="Aptos" w:hAnsi="Aptos"/>
          <w:i/>
          <w:iCs/>
        </w:rPr>
        <w:t>In Re: KB</w:t>
      </w:r>
      <w:r w:rsidRPr="00E24685">
        <w:rPr>
          <w:rFonts w:ascii="Aptos" w:hAnsi="Aptos"/>
        </w:rPr>
        <w:t xml:space="preserve">; </w:t>
      </w:r>
      <w:r w:rsidR="00646E1F" w:rsidRPr="00E24685">
        <w:rPr>
          <w:rFonts w:ascii="Aptos" w:hAnsi="Aptos"/>
          <w:i/>
          <w:iCs/>
        </w:rPr>
        <w:t>In Re: Milford Public Schools</w:t>
      </w:r>
      <w:r w:rsidR="00646E1F" w:rsidRPr="00E24685">
        <w:rPr>
          <w:rFonts w:ascii="Aptos" w:hAnsi="Aptos"/>
        </w:rPr>
        <w:t xml:space="preserve">; </w:t>
      </w:r>
      <w:r w:rsidRPr="00E24685">
        <w:rPr>
          <w:rFonts w:ascii="Aptos" w:hAnsi="Aptos"/>
        </w:rPr>
        <w:t>In</w:t>
      </w:r>
      <w:r w:rsidRPr="00E24685">
        <w:rPr>
          <w:rFonts w:ascii="Aptos" w:hAnsi="Aptos"/>
          <w:i/>
          <w:iCs/>
        </w:rPr>
        <w:t xml:space="preserve"> Re: Student R.</w:t>
      </w:r>
      <w:r w:rsidRPr="00E24685">
        <w:rPr>
          <w:rFonts w:ascii="Aptos" w:hAnsi="Aptos"/>
        </w:rPr>
        <w:t xml:space="preserve"> </w:t>
      </w:r>
    </w:p>
  </w:footnote>
  <w:footnote w:id="28">
    <w:p w14:paraId="1D689D85" w14:textId="2DF1699A" w:rsidR="004328E5" w:rsidRPr="00E24685" w:rsidRDefault="004328E5">
      <w:pPr>
        <w:pStyle w:val="FootnoteText"/>
        <w:rPr>
          <w:rFonts w:ascii="Aptos" w:hAnsi="Aptos"/>
        </w:rPr>
      </w:pPr>
      <w:r w:rsidRPr="00E24685">
        <w:rPr>
          <w:rStyle w:val="FootnoteReference"/>
          <w:rFonts w:ascii="Aptos" w:hAnsi="Aptos"/>
        </w:rPr>
        <w:footnoteRef/>
      </w:r>
      <w:r w:rsidRPr="00E24685">
        <w:rPr>
          <w:rFonts w:ascii="Aptos" w:hAnsi="Aptos"/>
        </w:rPr>
        <w:t xml:space="preserve"> </w:t>
      </w:r>
      <w:r w:rsidRPr="00E24685">
        <w:rPr>
          <w:rFonts w:ascii="Aptos" w:hAnsi="Aptos"/>
          <w:i/>
          <w:iCs/>
        </w:rPr>
        <w:t xml:space="preserve">In Re: </w:t>
      </w:r>
      <w:r w:rsidR="00646E1F" w:rsidRPr="00E24685">
        <w:rPr>
          <w:rFonts w:ascii="Aptos" w:hAnsi="Aptos"/>
          <w:i/>
          <w:iCs/>
        </w:rPr>
        <w:t>Andover Public Schools</w:t>
      </w:r>
      <w:r w:rsidR="00646E1F" w:rsidRPr="00E24685">
        <w:rPr>
          <w:rFonts w:ascii="Aptos" w:hAnsi="Aptos"/>
        </w:rPr>
        <w:t>.</w:t>
      </w:r>
    </w:p>
  </w:footnote>
  <w:footnote w:id="29">
    <w:p w14:paraId="701EC8BC" w14:textId="2DEFCEDB" w:rsidR="004328E5" w:rsidRPr="00E24685" w:rsidRDefault="004328E5">
      <w:pPr>
        <w:pStyle w:val="FootnoteText"/>
        <w:rPr>
          <w:rFonts w:ascii="Aptos" w:hAnsi="Aptos"/>
        </w:rPr>
      </w:pPr>
      <w:r w:rsidRPr="00E24685">
        <w:rPr>
          <w:rStyle w:val="FootnoteReference"/>
          <w:rFonts w:ascii="Aptos" w:hAnsi="Aptos"/>
        </w:rPr>
        <w:footnoteRef/>
      </w:r>
      <w:r w:rsidRPr="00E24685">
        <w:rPr>
          <w:rFonts w:ascii="Aptos" w:hAnsi="Aptos"/>
        </w:rPr>
        <w:t xml:space="preserve"> </w:t>
      </w:r>
      <w:r w:rsidRPr="00E24685">
        <w:rPr>
          <w:rFonts w:ascii="Aptos" w:hAnsi="Aptos"/>
          <w:i/>
          <w:iCs/>
        </w:rPr>
        <w:t>In Re: Longmeadow Public Schools</w:t>
      </w:r>
      <w:r w:rsidRPr="00E24685">
        <w:rPr>
          <w:rFonts w:ascii="Aptos" w:hAnsi="Aptos"/>
        </w:rPr>
        <w:t>, BSEA #072866 (Crane, 2008) (Ruling)</w:t>
      </w:r>
      <w:r w:rsidR="00E24685" w:rsidRPr="00E24685">
        <w:rPr>
          <w:rFonts w:ascii="Aptos" w:hAnsi="Aptos"/>
        </w:rPr>
        <w:t xml:space="preserve">; </w:t>
      </w:r>
      <w:r w:rsidRPr="00E24685">
        <w:rPr>
          <w:rFonts w:ascii="Aptos" w:hAnsi="Aptos"/>
        </w:rPr>
        <w:t xml:space="preserve">see </w:t>
      </w:r>
      <w:r w:rsidRPr="00E24685">
        <w:rPr>
          <w:rFonts w:ascii="Aptos" w:hAnsi="Aptos"/>
          <w:i/>
          <w:iCs/>
        </w:rPr>
        <w:t xml:space="preserve">In Re: </w:t>
      </w:r>
      <w:r w:rsidR="00333BB1" w:rsidRPr="00E24685">
        <w:rPr>
          <w:rFonts w:ascii="Aptos" w:hAnsi="Aptos"/>
          <w:i/>
          <w:iCs/>
        </w:rPr>
        <w:t>Andover</w:t>
      </w:r>
      <w:r w:rsidRPr="00E24685">
        <w:rPr>
          <w:rFonts w:ascii="Aptos" w:hAnsi="Aptos"/>
          <w:i/>
          <w:iCs/>
        </w:rPr>
        <w:t xml:space="preserve"> Public Schools</w:t>
      </w:r>
      <w:r w:rsidRPr="00E24685">
        <w:rPr>
          <w:rFonts w:ascii="Aptos" w:hAnsi="Aptos"/>
        </w:rPr>
        <w:t xml:space="preserve"> (noting that allowing an evidentiary hearing on a matter that has been addressed and resolved via a settlement agreement “would undermine the relevant provisions of federal and state special education laws as well as the underlying legislative purpose and public polic</w:t>
      </w:r>
      <w:r w:rsidR="00AC5328">
        <w:rPr>
          <w:rFonts w:ascii="Aptos" w:hAnsi="Aptos"/>
        </w:rPr>
        <w:t>y</w:t>
      </w:r>
      <w:r w:rsidRPr="00E24685">
        <w:rPr>
          <w:rFonts w:ascii="Aptos" w:hAnsi="Aptos"/>
        </w:rPr>
        <w:t xml:space="preserve"> favoring informal, voluntary resolution of special education disputes”).</w:t>
      </w:r>
    </w:p>
  </w:footnote>
  <w:footnote w:id="30">
    <w:p w14:paraId="03388767" w14:textId="05537144" w:rsidR="004138DD" w:rsidRPr="00E24685" w:rsidRDefault="004138DD">
      <w:pPr>
        <w:pStyle w:val="FootnoteText"/>
        <w:rPr>
          <w:rFonts w:ascii="Aptos" w:hAnsi="Aptos"/>
        </w:rPr>
      </w:pPr>
      <w:r w:rsidRPr="00E24685">
        <w:rPr>
          <w:rStyle w:val="FootnoteReference"/>
          <w:rFonts w:ascii="Aptos" w:hAnsi="Aptos"/>
        </w:rPr>
        <w:footnoteRef/>
      </w:r>
      <w:r w:rsidRPr="00E24685">
        <w:rPr>
          <w:rFonts w:ascii="Aptos" w:hAnsi="Aptos"/>
        </w:rPr>
        <w:t xml:space="preserve"> </w:t>
      </w:r>
      <w:r w:rsidR="00907028" w:rsidRPr="00E24685">
        <w:rPr>
          <w:rFonts w:ascii="Aptos" w:hAnsi="Aptos"/>
          <w:i/>
          <w:iCs/>
        </w:rPr>
        <w:t>South Kingstown Sch. Comm. v. Joanna S. ex rel. P.J.</w:t>
      </w:r>
      <w:r w:rsidR="00907028" w:rsidRPr="00E24685">
        <w:rPr>
          <w:rFonts w:ascii="Aptos" w:hAnsi="Aptos"/>
        </w:rPr>
        <w:t>, 773 F.3d 344, 354 (</w:t>
      </w:r>
      <w:r w:rsidR="00F84471">
        <w:rPr>
          <w:rFonts w:ascii="Aptos" w:hAnsi="Aptos"/>
        </w:rPr>
        <w:t xml:space="preserve">1st Cir. </w:t>
      </w:r>
      <w:r w:rsidR="00907028" w:rsidRPr="00E24685">
        <w:rPr>
          <w:rFonts w:ascii="Aptos" w:hAnsi="Aptos"/>
        </w:rPr>
        <w:t xml:space="preserve">2014); see </w:t>
      </w:r>
      <w:r w:rsidR="00907028" w:rsidRPr="00E24685">
        <w:rPr>
          <w:rFonts w:ascii="Aptos" w:hAnsi="Aptos"/>
          <w:i/>
          <w:iCs/>
        </w:rPr>
        <w:t>In Re: K.B.</w:t>
      </w:r>
      <w:r w:rsidR="00907028" w:rsidRPr="00E24685">
        <w:rPr>
          <w:rFonts w:ascii="Aptos" w:hAnsi="Aptos"/>
        </w:rPr>
        <w:t>; s</w:t>
      </w:r>
      <w:r w:rsidRPr="00E24685">
        <w:rPr>
          <w:rFonts w:ascii="Aptos" w:hAnsi="Aptos"/>
        </w:rPr>
        <w:t>ee</w:t>
      </w:r>
      <w:r w:rsidR="00907028" w:rsidRPr="00E24685">
        <w:rPr>
          <w:rFonts w:ascii="Aptos" w:hAnsi="Aptos"/>
        </w:rPr>
        <w:t xml:space="preserve"> also</w:t>
      </w:r>
      <w:r w:rsidRPr="00E24685">
        <w:rPr>
          <w:rFonts w:ascii="Aptos" w:hAnsi="Aptos"/>
        </w:rPr>
        <w:t xml:space="preserve"> </w:t>
      </w:r>
      <w:r w:rsidRPr="00E24685">
        <w:rPr>
          <w:rFonts w:ascii="Aptos" w:hAnsi="Aptos"/>
          <w:i/>
          <w:iCs/>
        </w:rPr>
        <w:t>D.R. ex rel. M.R. and B.R v. East Brunswick Bd. of Educ.</w:t>
      </w:r>
      <w:r w:rsidRPr="00E24685">
        <w:rPr>
          <w:rFonts w:ascii="Aptos" w:hAnsi="Aptos"/>
        </w:rPr>
        <w:t xml:space="preserve">, 109 F.3d 896, 899-900 (3rd Cir. 1997) (observing that District Court held that where unambiguous language of settlement agreement required district to pay for an increase in the cost of a particular array of services previously provided, and the service for which parents sought payment was not within that array, the district “would not be liable for the cost of [that service] under the terms of the settlement agreement, </w:t>
      </w:r>
      <w:r w:rsidRPr="00E24685">
        <w:rPr>
          <w:rFonts w:ascii="Aptos" w:hAnsi="Aptos"/>
          <w:i/>
          <w:iCs/>
        </w:rPr>
        <w:t xml:space="preserve">unless </w:t>
      </w:r>
      <w:r w:rsidRPr="00E24685">
        <w:rPr>
          <w:rFonts w:ascii="Aptos" w:hAnsi="Aptos"/>
        </w:rPr>
        <w:t>[Student]’s personal circumstances had changed since the parties entered the agreement” (emphasis in original))</w:t>
      </w:r>
      <w:r w:rsidR="0093289E">
        <w:rPr>
          <w:rFonts w:ascii="Aptos" w:hAnsi="Aptos"/>
        </w:rPr>
        <w:t>.</w:t>
      </w:r>
    </w:p>
  </w:footnote>
  <w:footnote w:id="31">
    <w:p w14:paraId="4A71BFEC" w14:textId="0C87E163" w:rsidR="00907028" w:rsidRPr="00E24685" w:rsidRDefault="00907028">
      <w:pPr>
        <w:pStyle w:val="FootnoteText"/>
        <w:rPr>
          <w:rFonts w:ascii="Aptos" w:hAnsi="Aptos"/>
        </w:rPr>
      </w:pPr>
      <w:r w:rsidRPr="00E24685">
        <w:rPr>
          <w:rStyle w:val="FootnoteReference"/>
          <w:rFonts w:ascii="Aptos" w:hAnsi="Aptos"/>
        </w:rPr>
        <w:footnoteRef/>
      </w:r>
      <w:r w:rsidRPr="00E24685">
        <w:rPr>
          <w:rFonts w:ascii="Aptos" w:hAnsi="Aptos"/>
        </w:rPr>
        <w:t xml:space="preserve"> </w:t>
      </w:r>
      <w:r w:rsidRPr="00E24685">
        <w:rPr>
          <w:rFonts w:ascii="Aptos" w:hAnsi="Aptos"/>
          <w:i/>
          <w:iCs/>
        </w:rPr>
        <w:t>South Kingstown</w:t>
      </w:r>
      <w:r w:rsidRPr="00E24685">
        <w:rPr>
          <w:rFonts w:ascii="Aptos" w:hAnsi="Aptos"/>
        </w:rPr>
        <w:t>, 773 F.3d at 354.</w:t>
      </w:r>
    </w:p>
  </w:footnote>
  <w:footnote w:id="32">
    <w:p w14:paraId="597A4A50" w14:textId="796B3D37" w:rsidR="003E7933" w:rsidRPr="00E24685" w:rsidRDefault="003E7933">
      <w:pPr>
        <w:pStyle w:val="FootnoteText"/>
        <w:rPr>
          <w:rFonts w:ascii="Aptos" w:hAnsi="Aptos"/>
        </w:rPr>
      </w:pPr>
      <w:r w:rsidRPr="00E24685">
        <w:rPr>
          <w:rStyle w:val="FootnoteReference"/>
          <w:rFonts w:ascii="Aptos" w:hAnsi="Aptos"/>
        </w:rPr>
        <w:footnoteRef/>
      </w:r>
      <w:r w:rsidRPr="00E24685">
        <w:rPr>
          <w:rFonts w:ascii="Aptos" w:hAnsi="Aptos"/>
        </w:rPr>
        <w:t xml:space="preserve"> </w:t>
      </w:r>
      <w:r w:rsidRPr="00E24685">
        <w:rPr>
          <w:rFonts w:ascii="Aptos" w:hAnsi="Aptos"/>
          <w:i/>
          <w:iCs/>
        </w:rPr>
        <w:t>Id</w:t>
      </w:r>
      <w:r w:rsidRPr="00E24685">
        <w:rPr>
          <w:rFonts w:ascii="Aptos" w:hAnsi="Aptos"/>
        </w:rPr>
        <w:t xml:space="preserve">. </w:t>
      </w:r>
    </w:p>
  </w:footnote>
  <w:footnote w:id="33">
    <w:p w14:paraId="60E35799" w14:textId="12FAA3DF" w:rsidR="003E7933" w:rsidRPr="00E24685" w:rsidRDefault="003E7933">
      <w:pPr>
        <w:pStyle w:val="FootnoteText"/>
        <w:rPr>
          <w:rFonts w:ascii="Aptos" w:hAnsi="Aptos"/>
        </w:rPr>
      </w:pPr>
      <w:r w:rsidRPr="00E24685">
        <w:rPr>
          <w:rStyle w:val="FootnoteReference"/>
          <w:rFonts w:ascii="Aptos" w:hAnsi="Aptos"/>
        </w:rPr>
        <w:footnoteRef/>
      </w:r>
      <w:r w:rsidRPr="00E24685">
        <w:rPr>
          <w:rFonts w:ascii="Aptos" w:hAnsi="Aptos"/>
        </w:rPr>
        <w:t xml:space="preserve"> </w:t>
      </w:r>
      <w:r w:rsidRPr="00E24685">
        <w:rPr>
          <w:rFonts w:ascii="Aptos" w:hAnsi="Aptos"/>
          <w:i/>
          <w:iCs/>
        </w:rPr>
        <w:t>Id</w:t>
      </w:r>
      <w:r w:rsidRPr="00E24685">
        <w:rPr>
          <w:rFonts w:ascii="Aptos" w:hAnsi="Aptos"/>
        </w:rPr>
        <w:t>. at 354, 355.</w:t>
      </w:r>
    </w:p>
  </w:footnote>
  <w:footnote w:id="34">
    <w:p w14:paraId="01087799" w14:textId="23B34DEF" w:rsidR="003E7933" w:rsidRPr="003E7933" w:rsidRDefault="003E7933">
      <w:pPr>
        <w:pStyle w:val="FootnoteText"/>
      </w:pPr>
      <w:r w:rsidRPr="00E24685">
        <w:rPr>
          <w:rStyle w:val="FootnoteReference"/>
          <w:rFonts w:ascii="Aptos" w:hAnsi="Aptos"/>
        </w:rPr>
        <w:footnoteRef/>
      </w:r>
      <w:r w:rsidRPr="00E24685">
        <w:rPr>
          <w:rFonts w:ascii="Aptos" w:hAnsi="Aptos"/>
        </w:rPr>
        <w:t xml:space="preserve"> </w:t>
      </w:r>
      <w:r w:rsidRPr="00E24685">
        <w:rPr>
          <w:rFonts w:ascii="Aptos" w:hAnsi="Aptos"/>
          <w:i/>
          <w:iCs/>
        </w:rPr>
        <w:t>Id</w:t>
      </w:r>
      <w:r w:rsidRPr="00E24685">
        <w:rPr>
          <w:rFonts w:ascii="Aptos" w:hAnsi="Aptos"/>
        </w:rPr>
        <w:t>. at 354.</w:t>
      </w:r>
    </w:p>
  </w:footnote>
  <w:footnote w:id="35">
    <w:p w14:paraId="20AD9FE2" w14:textId="325AAF4E" w:rsidR="00B34E22" w:rsidRPr="00E24685" w:rsidRDefault="00B34E22">
      <w:pPr>
        <w:pStyle w:val="FootnoteText"/>
        <w:rPr>
          <w:rFonts w:ascii="Aptos" w:hAnsi="Aptos"/>
        </w:rPr>
      </w:pPr>
      <w:r w:rsidRPr="00E24685">
        <w:rPr>
          <w:rStyle w:val="FootnoteReference"/>
          <w:rFonts w:ascii="Aptos" w:hAnsi="Aptos"/>
        </w:rPr>
        <w:footnoteRef/>
      </w:r>
      <w:r w:rsidRPr="00E24685">
        <w:rPr>
          <w:rFonts w:ascii="Aptos" w:hAnsi="Aptos"/>
        </w:rPr>
        <w:t xml:space="preserve"> </w:t>
      </w:r>
      <w:r w:rsidR="00AC5328">
        <w:rPr>
          <w:rFonts w:ascii="Aptos" w:hAnsi="Aptos"/>
          <w:i/>
          <w:iCs/>
        </w:rPr>
        <w:t>East Brunswick Bd. of Educ</w:t>
      </w:r>
      <w:r w:rsidRPr="00E24685">
        <w:rPr>
          <w:rFonts w:ascii="Aptos" w:hAnsi="Aptos"/>
          <w:i/>
          <w:iCs/>
        </w:rPr>
        <w:t>.</w:t>
      </w:r>
      <w:r w:rsidRPr="00E24685">
        <w:rPr>
          <w:rFonts w:ascii="Aptos" w:hAnsi="Aptos"/>
        </w:rPr>
        <w:t>, 109 F.3d at 900-901</w:t>
      </w:r>
      <w:r w:rsidR="006C4DF2">
        <w:rPr>
          <w:rFonts w:ascii="Aptos" w:hAnsi="Aptos"/>
        </w:rPr>
        <w:t xml:space="preserve"> (emphasis in original).</w:t>
      </w:r>
    </w:p>
  </w:footnote>
  <w:footnote w:id="36">
    <w:p w14:paraId="3FD81C6A" w14:textId="312FF8A1" w:rsidR="00B34E22" w:rsidRPr="00E24685" w:rsidRDefault="00B34E22">
      <w:pPr>
        <w:pStyle w:val="FootnoteText"/>
        <w:rPr>
          <w:rFonts w:ascii="Aptos" w:hAnsi="Aptos"/>
        </w:rPr>
      </w:pPr>
      <w:r w:rsidRPr="00E24685">
        <w:rPr>
          <w:rStyle w:val="FootnoteReference"/>
          <w:rFonts w:ascii="Aptos" w:hAnsi="Aptos"/>
        </w:rPr>
        <w:footnoteRef/>
      </w:r>
      <w:r w:rsidRPr="00E24685">
        <w:rPr>
          <w:rFonts w:ascii="Aptos" w:hAnsi="Aptos"/>
        </w:rPr>
        <w:t xml:space="preserve"> </w:t>
      </w:r>
      <w:r w:rsidRPr="00E24685">
        <w:rPr>
          <w:rFonts w:ascii="Aptos" w:hAnsi="Aptos"/>
          <w:i/>
          <w:iCs/>
        </w:rPr>
        <w:t>Id</w:t>
      </w:r>
      <w:r w:rsidRPr="00E24685">
        <w:rPr>
          <w:rFonts w:ascii="Aptos" w:hAnsi="Aptos"/>
        </w:rPr>
        <w:t>. at 900, 901.</w:t>
      </w:r>
    </w:p>
  </w:footnote>
  <w:footnote w:id="37">
    <w:p w14:paraId="504606DB" w14:textId="75025D05" w:rsidR="00B34E22" w:rsidRPr="00E24685" w:rsidRDefault="00B34E22">
      <w:pPr>
        <w:pStyle w:val="FootnoteText"/>
        <w:rPr>
          <w:rFonts w:ascii="Aptos" w:hAnsi="Aptos"/>
        </w:rPr>
      </w:pPr>
      <w:r w:rsidRPr="00E24685">
        <w:rPr>
          <w:rStyle w:val="FootnoteReference"/>
          <w:rFonts w:ascii="Aptos" w:hAnsi="Aptos"/>
        </w:rPr>
        <w:footnoteRef/>
      </w:r>
      <w:r w:rsidRPr="00E24685">
        <w:rPr>
          <w:rFonts w:ascii="Aptos" w:hAnsi="Aptos"/>
        </w:rPr>
        <w:t xml:space="preserve"> </w:t>
      </w:r>
      <w:r w:rsidRPr="00E24685">
        <w:rPr>
          <w:rFonts w:ascii="Aptos" w:hAnsi="Aptos"/>
          <w:i/>
          <w:iCs/>
        </w:rPr>
        <w:t>Id</w:t>
      </w:r>
      <w:r w:rsidRPr="00E24685">
        <w:rPr>
          <w:rFonts w:ascii="Aptos" w:hAnsi="Aptos"/>
        </w:rPr>
        <w:t>. at 901.</w:t>
      </w:r>
    </w:p>
  </w:footnote>
  <w:footnote w:id="38">
    <w:p w14:paraId="405590C4" w14:textId="77777777" w:rsidR="002C04F0" w:rsidRPr="0035147F" w:rsidRDefault="002C04F0" w:rsidP="002C04F0">
      <w:pPr>
        <w:pStyle w:val="FootnoteText"/>
        <w:rPr>
          <w:rFonts w:ascii="Aptos" w:hAnsi="Aptos"/>
        </w:rPr>
      </w:pPr>
      <w:r w:rsidRPr="0035147F">
        <w:rPr>
          <w:rStyle w:val="FootnoteReference"/>
          <w:rFonts w:ascii="Aptos" w:hAnsi="Aptos"/>
        </w:rPr>
        <w:footnoteRef/>
      </w:r>
      <w:r w:rsidRPr="0035147F">
        <w:rPr>
          <w:rFonts w:ascii="Aptos" w:hAnsi="Aptos"/>
        </w:rPr>
        <w:t xml:space="preserve"> </w:t>
      </w:r>
      <w:r w:rsidRPr="0035147F">
        <w:rPr>
          <w:rFonts w:ascii="Aptos" w:hAnsi="Aptos" w:cs="Times New Roman"/>
          <w:color w:val="000000" w:themeColor="text1"/>
        </w:rPr>
        <w:t>M.G.L. c. 30A, §12(4).</w:t>
      </w:r>
    </w:p>
  </w:footnote>
  <w:footnote w:id="39">
    <w:p w14:paraId="79953BA7" w14:textId="3FF2B39E" w:rsidR="002C04F0" w:rsidRPr="0035147F" w:rsidRDefault="002C04F0">
      <w:pPr>
        <w:pStyle w:val="FootnoteText"/>
        <w:rPr>
          <w:rFonts w:ascii="Aptos" w:hAnsi="Aptos"/>
        </w:rPr>
      </w:pPr>
      <w:r w:rsidRPr="0035147F">
        <w:rPr>
          <w:rStyle w:val="FootnoteReference"/>
          <w:rFonts w:ascii="Aptos" w:hAnsi="Aptos"/>
        </w:rPr>
        <w:footnoteRef/>
      </w:r>
      <w:r w:rsidRPr="0035147F">
        <w:rPr>
          <w:rFonts w:ascii="Aptos" w:hAnsi="Aptos"/>
        </w:rPr>
        <w:t xml:space="preserve"> See </w:t>
      </w:r>
      <w:r w:rsidRPr="0035147F">
        <w:rPr>
          <w:rFonts w:ascii="Aptos" w:hAnsi="Aptos" w:cs="Times New Roman"/>
          <w:color w:val="000000" w:themeColor="text1"/>
        </w:rPr>
        <w:t xml:space="preserve">M.G.L. c. 30A, §12(4); BSEA </w:t>
      </w:r>
      <w:r w:rsidRPr="0035147F">
        <w:rPr>
          <w:rFonts w:ascii="Aptos" w:hAnsi="Aptos" w:cs="Times New Roman"/>
          <w:i/>
          <w:iCs/>
          <w:color w:val="000000" w:themeColor="text1"/>
        </w:rPr>
        <w:t xml:space="preserve">Hearing Rule </w:t>
      </w:r>
      <w:r w:rsidRPr="0035147F">
        <w:rPr>
          <w:rFonts w:ascii="Aptos" w:hAnsi="Aptos" w:cs="Times New Roman"/>
          <w:color w:val="000000" w:themeColor="text1"/>
        </w:rPr>
        <w:t>VII(B).</w:t>
      </w:r>
    </w:p>
  </w:footnote>
  <w:footnote w:id="40">
    <w:p w14:paraId="54E77851" w14:textId="4D86DD8C" w:rsidR="0033314C" w:rsidRPr="0035147F" w:rsidRDefault="0033314C">
      <w:pPr>
        <w:pStyle w:val="FootnoteText"/>
        <w:rPr>
          <w:rFonts w:ascii="Aptos" w:hAnsi="Aptos"/>
        </w:rPr>
      </w:pPr>
      <w:r w:rsidRPr="0035147F">
        <w:rPr>
          <w:rStyle w:val="FootnoteReference"/>
          <w:rFonts w:ascii="Aptos" w:hAnsi="Aptos"/>
        </w:rPr>
        <w:footnoteRef/>
      </w:r>
      <w:r w:rsidRPr="0035147F">
        <w:rPr>
          <w:rFonts w:ascii="Aptos" w:hAnsi="Aptos"/>
        </w:rPr>
        <w:t xml:space="preserve"> </w:t>
      </w:r>
      <w:r w:rsidRPr="0035147F">
        <w:rPr>
          <w:rFonts w:ascii="Aptos" w:hAnsi="Aptos"/>
          <w:color w:val="000000" w:themeColor="text1"/>
        </w:rPr>
        <w:t xml:space="preserve">See </w:t>
      </w:r>
      <w:r w:rsidRPr="0035147F">
        <w:rPr>
          <w:rFonts w:ascii="Aptos" w:hAnsi="Aptos"/>
          <w:i/>
          <w:iCs/>
          <w:color w:val="000000" w:themeColor="text1"/>
          <w:bdr w:val="none" w:sz="0" w:space="0" w:color="auto" w:frame="1"/>
        </w:rPr>
        <w:t>Anderson</w:t>
      </w:r>
      <w:r w:rsidRPr="0035147F">
        <w:rPr>
          <w:rFonts w:ascii="Aptos" w:hAnsi="Aptos"/>
          <w:color w:val="000000" w:themeColor="text1"/>
          <w:bdr w:val="none" w:sz="0" w:space="0" w:color="auto" w:frame="1"/>
        </w:rPr>
        <w:t>,</w:t>
      </w:r>
      <w:r w:rsidRPr="0035147F">
        <w:rPr>
          <w:rFonts w:ascii="Aptos" w:hAnsi="Aptos"/>
          <w:color w:val="000000" w:themeColor="text1"/>
        </w:rPr>
        <w:t xml:space="preserve"> 477 U.S. at 247; </w:t>
      </w:r>
      <w:r w:rsidRPr="0035147F">
        <w:rPr>
          <w:rFonts w:ascii="Aptos" w:hAnsi="Aptos"/>
          <w:i/>
          <w:color w:val="000000" w:themeColor="text1"/>
          <w:bdr w:val="none" w:sz="0" w:space="0" w:color="auto" w:frame="1"/>
        </w:rPr>
        <w:t>Maldonado-Denis,</w:t>
      </w:r>
      <w:r w:rsidRPr="0035147F">
        <w:rPr>
          <w:rFonts w:ascii="Aptos" w:hAnsi="Aptos"/>
          <w:color w:val="000000" w:themeColor="text1"/>
          <w:bdr w:val="none" w:sz="0" w:space="0" w:color="auto" w:frame="1"/>
        </w:rPr>
        <w:t xml:space="preserve"> 23 F.3d at 581.</w:t>
      </w:r>
    </w:p>
  </w:footnote>
  <w:footnote w:id="41">
    <w:p w14:paraId="33BB03F9" w14:textId="03B6849E" w:rsidR="0033314C" w:rsidRPr="0035147F" w:rsidRDefault="0033314C" w:rsidP="0033314C">
      <w:pPr>
        <w:pStyle w:val="FootnoteText"/>
        <w:rPr>
          <w:rFonts w:ascii="Aptos" w:hAnsi="Aptos"/>
          <w:color w:val="000000" w:themeColor="text1"/>
        </w:rPr>
      </w:pPr>
      <w:r w:rsidRPr="0035147F">
        <w:rPr>
          <w:rStyle w:val="FootnoteReference"/>
          <w:rFonts w:ascii="Aptos" w:hAnsi="Aptos"/>
          <w:color w:val="000000" w:themeColor="text1"/>
        </w:rPr>
        <w:footnoteRef/>
      </w:r>
      <w:r w:rsidRPr="0035147F">
        <w:rPr>
          <w:rFonts w:ascii="Aptos" w:hAnsi="Aptos"/>
          <w:color w:val="000000" w:themeColor="text1"/>
        </w:rPr>
        <w:t xml:space="preserve"> See </w:t>
      </w:r>
      <w:r w:rsidRPr="0035147F">
        <w:rPr>
          <w:rFonts w:ascii="Aptos" w:hAnsi="Aptos"/>
          <w:i/>
          <w:iCs/>
          <w:color w:val="000000" w:themeColor="text1"/>
          <w:bdr w:val="none" w:sz="0" w:space="0" w:color="auto" w:frame="1"/>
        </w:rPr>
        <w:t>Anderson</w:t>
      </w:r>
      <w:r w:rsidRPr="0035147F">
        <w:rPr>
          <w:rFonts w:ascii="Aptos" w:hAnsi="Aptos"/>
          <w:color w:val="000000" w:themeColor="text1"/>
          <w:bdr w:val="none" w:sz="0" w:space="0" w:color="auto" w:frame="1"/>
        </w:rPr>
        <w:t>,</w:t>
      </w:r>
      <w:r w:rsidRPr="0035147F">
        <w:rPr>
          <w:rFonts w:ascii="Aptos" w:hAnsi="Aptos"/>
          <w:color w:val="000000" w:themeColor="text1"/>
        </w:rPr>
        <w:t xml:space="preserve"> 477 U.S. at 247; </w:t>
      </w:r>
      <w:r w:rsidRPr="0035147F">
        <w:rPr>
          <w:rFonts w:ascii="Aptos" w:hAnsi="Aptos"/>
          <w:i/>
          <w:color w:val="000000" w:themeColor="text1"/>
          <w:bdr w:val="none" w:sz="0" w:space="0" w:color="auto" w:frame="1"/>
        </w:rPr>
        <w:t>Maldonado-Denis,</w:t>
      </w:r>
      <w:r w:rsidRPr="0035147F">
        <w:rPr>
          <w:rFonts w:ascii="Aptos" w:hAnsi="Aptos"/>
          <w:color w:val="000000" w:themeColor="text1"/>
          <w:bdr w:val="none" w:sz="0" w:space="0" w:color="auto" w:frame="1"/>
        </w:rPr>
        <w:t xml:space="preserve"> 23 F.3d at 581</w:t>
      </w:r>
      <w:r w:rsidR="0035147F" w:rsidRPr="0035147F">
        <w:rPr>
          <w:rFonts w:ascii="Aptos" w:hAnsi="Aptos"/>
          <w:color w:val="000000" w:themeColor="text1"/>
          <w:bdr w:val="none" w:sz="0" w:space="0" w:color="auto" w:frame="1"/>
        </w:rPr>
        <w:t>.</w:t>
      </w:r>
    </w:p>
  </w:footnote>
  <w:footnote w:id="42">
    <w:p w14:paraId="6A3B918D" w14:textId="7977597F" w:rsidR="009B3C2F" w:rsidRDefault="009B3C2F">
      <w:pPr>
        <w:pStyle w:val="FootnoteText"/>
      </w:pPr>
      <w:r w:rsidRPr="0035147F">
        <w:rPr>
          <w:rStyle w:val="FootnoteReference"/>
          <w:rFonts w:ascii="Aptos" w:hAnsi="Aptos"/>
        </w:rPr>
        <w:footnoteRef/>
      </w:r>
      <w:r w:rsidRPr="0035147F">
        <w:rPr>
          <w:rFonts w:ascii="Aptos" w:hAnsi="Aptos"/>
        </w:rPr>
        <w:t xml:space="preserve"> </w:t>
      </w:r>
      <w:r w:rsidRPr="0035147F">
        <w:rPr>
          <w:rFonts w:ascii="Aptos" w:hAnsi="Aptos"/>
          <w:i/>
          <w:iCs/>
        </w:rPr>
        <w:t>Cf. Student v. Belmont Public Schools</w:t>
      </w:r>
      <w:r w:rsidRPr="0035147F">
        <w:rPr>
          <w:rFonts w:ascii="Aptos" w:hAnsi="Aptos"/>
        </w:rPr>
        <w:t xml:space="preserve">, BSEA #2509536 (Reichbach, 2025) </w:t>
      </w:r>
      <w:r w:rsidR="00D20587" w:rsidRPr="0035147F">
        <w:rPr>
          <w:rFonts w:ascii="Aptos" w:hAnsi="Aptos"/>
        </w:rPr>
        <w:t xml:space="preserve">(Ruling) </w:t>
      </w:r>
      <w:r w:rsidRPr="0035147F">
        <w:rPr>
          <w:rFonts w:ascii="Aptos" w:hAnsi="Aptos"/>
        </w:rPr>
        <w:t xml:space="preserve">(denying summary judgment because </w:t>
      </w:r>
      <w:r w:rsidR="00D24151" w:rsidRPr="0035147F">
        <w:rPr>
          <w:rFonts w:ascii="Aptos" w:hAnsi="Aptos"/>
        </w:rPr>
        <w:t xml:space="preserve">open questions of material fact existed and </w:t>
      </w:r>
      <w:r w:rsidR="00D20587" w:rsidRPr="0035147F">
        <w:rPr>
          <w:rFonts w:ascii="Aptos" w:hAnsi="Aptos"/>
        </w:rPr>
        <w:t>c</w:t>
      </w:r>
      <w:r w:rsidR="00D24151" w:rsidRPr="0035147F">
        <w:rPr>
          <w:rFonts w:ascii="Aptos" w:hAnsi="Aptos"/>
        </w:rPr>
        <w:t xml:space="preserve">ould only be resolved through </w:t>
      </w:r>
      <w:r w:rsidR="00D20587" w:rsidRPr="0035147F">
        <w:rPr>
          <w:rFonts w:ascii="Aptos" w:hAnsi="Aptos"/>
        </w:rPr>
        <w:t xml:space="preserve">live </w:t>
      </w:r>
      <w:r w:rsidR="00D24151" w:rsidRPr="0035147F">
        <w:rPr>
          <w:rFonts w:ascii="Aptos" w:hAnsi="Aptos"/>
        </w:rPr>
        <w:t>testimony)</w:t>
      </w:r>
      <w:r w:rsidR="0035147F">
        <w:rPr>
          <w:rFonts w:ascii="Aptos" w:hAnsi="Aptos"/>
        </w:rPr>
        <w:t>.</w:t>
      </w:r>
    </w:p>
  </w:footnote>
  <w:footnote w:id="43">
    <w:p w14:paraId="40E1D34D" w14:textId="2156A1D9" w:rsidR="00E24685" w:rsidRPr="00E24685" w:rsidRDefault="00E24685">
      <w:pPr>
        <w:pStyle w:val="FootnoteText"/>
      </w:pPr>
      <w:r w:rsidRPr="006C4DF2">
        <w:rPr>
          <w:rStyle w:val="FootnoteReference"/>
          <w:rFonts w:ascii="Aptos" w:hAnsi="Aptos"/>
        </w:rPr>
        <w:footnoteRef/>
      </w:r>
      <w:r w:rsidRPr="006C4DF2">
        <w:rPr>
          <w:rFonts w:ascii="Aptos" w:hAnsi="Aptos"/>
        </w:rPr>
        <w:t xml:space="preserve"> See </w:t>
      </w:r>
      <w:r w:rsidRPr="006C4DF2">
        <w:rPr>
          <w:rFonts w:ascii="Aptos" w:hAnsi="Aptos"/>
          <w:i/>
          <w:iCs/>
        </w:rPr>
        <w:t>In Re: KB</w:t>
      </w:r>
      <w:r w:rsidRPr="006C4DF2">
        <w:rPr>
          <w:rFonts w:ascii="Aptos" w:hAnsi="Aptos"/>
        </w:rPr>
        <w:t xml:space="preserve">; </w:t>
      </w:r>
      <w:r w:rsidRPr="006C4DF2">
        <w:rPr>
          <w:rFonts w:ascii="Aptos" w:hAnsi="Aptos"/>
          <w:i/>
          <w:iCs/>
        </w:rPr>
        <w:t>In Re: Andover</w:t>
      </w:r>
      <w:r w:rsidRPr="006C4DF2">
        <w:rPr>
          <w:rFonts w:ascii="Aptos" w:hAnsi="Aptos"/>
        </w:rPr>
        <w:t xml:space="preserve"> </w:t>
      </w:r>
      <w:r w:rsidRPr="006C4DF2">
        <w:rPr>
          <w:rFonts w:ascii="Aptos" w:hAnsi="Aptos"/>
          <w:i/>
          <w:iCs/>
        </w:rPr>
        <w:t>Public Schools</w:t>
      </w:r>
      <w:r w:rsidRPr="006C4DF2">
        <w:rPr>
          <w:rFonts w:ascii="Aptos" w:hAnsi="Aptos"/>
        </w:rPr>
        <w:t xml:space="preserve">; </w:t>
      </w:r>
      <w:r w:rsidRPr="006C4DF2">
        <w:rPr>
          <w:rFonts w:ascii="Aptos" w:hAnsi="Aptos"/>
          <w:i/>
          <w:iCs/>
        </w:rPr>
        <w:t>In Re: Student R</w:t>
      </w:r>
      <w:r w:rsidRPr="006C4DF2">
        <w:rPr>
          <w:rFonts w:ascii="Aptos" w:hAnsi="Aptos"/>
        </w:rPr>
        <w:t>.</w:t>
      </w:r>
    </w:p>
  </w:footnote>
  <w:footnote w:id="44">
    <w:p w14:paraId="058365FD" w14:textId="60352CFC" w:rsidR="00463153" w:rsidRPr="006C4DF2" w:rsidRDefault="00463153">
      <w:pPr>
        <w:pStyle w:val="FootnoteText"/>
        <w:rPr>
          <w:rFonts w:ascii="Aptos" w:hAnsi="Aptos"/>
        </w:rPr>
      </w:pPr>
      <w:r w:rsidRPr="006C4DF2">
        <w:rPr>
          <w:rStyle w:val="FootnoteReference"/>
          <w:rFonts w:ascii="Aptos" w:hAnsi="Aptos"/>
        </w:rPr>
        <w:footnoteRef/>
      </w:r>
      <w:r w:rsidRPr="006C4DF2">
        <w:rPr>
          <w:rFonts w:ascii="Aptos" w:hAnsi="Aptos"/>
        </w:rPr>
        <w:t xml:space="preserve"> </w:t>
      </w:r>
      <w:r w:rsidR="006C4DF2" w:rsidRPr="006C4DF2">
        <w:rPr>
          <w:rFonts w:ascii="Aptos" w:hAnsi="Aptos"/>
        </w:rPr>
        <w:t xml:space="preserve">See </w:t>
      </w:r>
      <w:r w:rsidRPr="006C4DF2">
        <w:rPr>
          <w:rFonts w:ascii="Aptos" w:hAnsi="Aptos"/>
          <w:i/>
          <w:iCs/>
        </w:rPr>
        <w:t>Anderson</w:t>
      </w:r>
      <w:r w:rsidRPr="006C4DF2">
        <w:rPr>
          <w:rFonts w:ascii="Aptos" w:hAnsi="Aptos"/>
        </w:rPr>
        <w:t xml:space="preserve">, 477 U.S. at 247; see </w:t>
      </w:r>
      <w:r w:rsidRPr="006C4DF2">
        <w:rPr>
          <w:rFonts w:ascii="Aptos" w:hAnsi="Aptos"/>
          <w:i/>
          <w:color w:val="000000" w:themeColor="text1"/>
          <w:bdr w:val="none" w:sz="0" w:space="0" w:color="auto" w:frame="1"/>
        </w:rPr>
        <w:t>Maldonado-Denis,</w:t>
      </w:r>
      <w:r w:rsidRPr="006C4DF2">
        <w:rPr>
          <w:rFonts w:ascii="Aptos" w:hAnsi="Aptos"/>
          <w:color w:val="000000" w:themeColor="text1"/>
          <w:bdr w:val="none" w:sz="0" w:space="0" w:color="auto" w:frame="1"/>
        </w:rPr>
        <w:t xml:space="preserve"> 23 F.3d at 581.</w:t>
      </w:r>
    </w:p>
  </w:footnote>
  <w:footnote w:id="45">
    <w:p w14:paraId="1513053C" w14:textId="59C29897" w:rsidR="00AC5328" w:rsidRPr="006C4DF2" w:rsidRDefault="00AC5328">
      <w:pPr>
        <w:pStyle w:val="FootnoteText"/>
        <w:rPr>
          <w:rFonts w:ascii="Aptos" w:hAnsi="Aptos"/>
        </w:rPr>
      </w:pPr>
      <w:r w:rsidRPr="006C4DF2">
        <w:rPr>
          <w:rStyle w:val="FootnoteReference"/>
          <w:rFonts w:ascii="Aptos" w:hAnsi="Aptos"/>
        </w:rPr>
        <w:footnoteRef/>
      </w:r>
      <w:r w:rsidRPr="006C4DF2">
        <w:rPr>
          <w:rFonts w:ascii="Aptos" w:hAnsi="Aptos"/>
        </w:rPr>
        <w:t xml:space="preserve"> </w:t>
      </w:r>
      <w:r w:rsidRPr="006C4DF2">
        <w:rPr>
          <w:rFonts w:ascii="Aptos" w:hAnsi="Aptos"/>
          <w:i/>
          <w:iCs/>
        </w:rPr>
        <w:t>In Re: Longmeadow Public Schools; In Re: Andover Public Schools</w:t>
      </w:r>
      <w:r w:rsidR="006C4DF2">
        <w:rPr>
          <w:rFonts w:ascii="Aptos" w:hAnsi="Aptos"/>
        </w:rPr>
        <w:t xml:space="preserve">; see </w:t>
      </w:r>
      <w:r w:rsidR="006C4DF2">
        <w:rPr>
          <w:rFonts w:ascii="Aptos" w:hAnsi="Aptos"/>
          <w:i/>
          <w:iCs/>
        </w:rPr>
        <w:t>East Brunswick Bd. of Educ</w:t>
      </w:r>
      <w:r w:rsidR="006C4DF2" w:rsidRPr="00E24685">
        <w:rPr>
          <w:rFonts w:ascii="Aptos" w:hAnsi="Aptos"/>
          <w:i/>
          <w:iCs/>
        </w:rPr>
        <w:t>.</w:t>
      </w:r>
      <w:r w:rsidR="006C4DF2" w:rsidRPr="00E24685">
        <w:rPr>
          <w:rFonts w:ascii="Aptos" w:hAnsi="Aptos"/>
        </w:rPr>
        <w:t>, 109 F.3d at</w:t>
      </w:r>
      <w:r w:rsidR="006C4DF2">
        <w:rPr>
          <w:rFonts w:ascii="Aptos" w:hAnsi="Aptos"/>
        </w:rPr>
        <w:t xml:space="preserve"> 901.</w:t>
      </w:r>
    </w:p>
  </w:footnote>
  <w:footnote w:id="46">
    <w:p w14:paraId="7FCF90BF" w14:textId="730BAF90" w:rsidR="006D0292" w:rsidRDefault="006D0292">
      <w:pPr>
        <w:pStyle w:val="FootnoteText"/>
      </w:pPr>
      <w:r w:rsidRPr="006C4DF2">
        <w:rPr>
          <w:rStyle w:val="FootnoteReference"/>
          <w:rFonts w:ascii="Aptos" w:hAnsi="Aptos"/>
        </w:rPr>
        <w:footnoteRef/>
      </w:r>
      <w:r w:rsidRPr="006C4DF2">
        <w:rPr>
          <w:rFonts w:ascii="Aptos" w:hAnsi="Aptos"/>
        </w:rPr>
        <w:t xml:space="preserve"> </w:t>
      </w:r>
      <w:r w:rsidRPr="006C4DF2">
        <w:rPr>
          <w:rFonts w:ascii="Aptos" w:hAnsi="Aptos"/>
          <w:i/>
          <w:iCs/>
          <w:color w:val="000000" w:themeColor="text1"/>
        </w:rPr>
        <w:t>Maldonado-Denis</w:t>
      </w:r>
      <w:r w:rsidRPr="006C4DF2">
        <w:rPr>
          <w:rFonts w:ascii="Aptos" w:hAnsi="Aptos"/>
          <w:color w:val="000000" w:themeColor="text1"/>
        </w:rPr>
        <w:t>, 23 F.3d at 581</w:t>
      </w:r>
      <w:r w:rsidR="006C4DF2" w:rsidRPr="006C4DF2">
        <w:rPr>
          <w:rFonts w:ascii="Aptos" w:hAnsi="Aptos"/>
          <w:color w:val="000000" w:themeColor="text1"/>
        </w:rPr>
        <w:t>.</w:t>
      </w:r>
    </w:p>
  </w:footnote>
  <w:footnote w:id="47">
    <w:p w14:paraId="0ED419B5" w14:textId="2BC6E43A" w:rsidR="00634364" w:rsidRDefault="00634364">
      <w:pPr>
        <w:pStyle w:val="FootnoteText"/>
      </w:pPr>
      <w:r>
        <w:rPr>
          <w:rStyle w:val="FootnoteReference"/>
        </w:rPr>
        <w:footnoteRef/>
      </w:r>
      <w:r>
        <w:t xml:space="preserve"> </w:t>
      </w:r>
      <w:r w:rsidRPr="00634364">
        <w:rPr>
          <w:rFonts w:ascii="Aptos" w:hAnsi="Aptos"/>
        </w:rPr>
        <w:t>See 773 F.3d 354.</w:t>
      </w:r>
    </w:p>
  </w:footnote>
  <w:footnote w:id="48">
    <w:p w14:paraId="7C4D8B1F" w14:textId="08867512" w:rsidR="00634364" w:rsidRPr="00634364" w:rsidRDefault="00634364" w:rsidP="00634364">
      <w:pPr>
        <w:pStyle w:val="FootnoteText"/>
      </w:pPr>
      <w:r w:rsidRPr="00634364">
        <w:rPr>
          <w:rStyle w:val="FootnoteReference"/>
          <w:rFonts w:ascii="Aptos" w:hAnsi="Aptos"/>
        </w:rPr>
        <w:footnoteRef/>
      </w:r>
      <w:r w:rsidRPr="00634364">
        <w:rPr>
          <w:rFonts w:ascii="Aptos" w:hAnsi="Aptos"/>
        </w:rPr>
        <w:t xml:space="preserve"> See </w:t>
      </w:r>
      <w:r w:rsidRPr="00634364">
        <w:rPr>
          <w:rFonts w:ascii="Aptos" w:hAnsi="Aptos"/>
          <w:i/>
          <w:iCs/>
        </w:rPr>
        <w:t>id</w:t>
      </w:r>
      <w:r w:rsidRPr="00634364">
        <w:rPr>
          <w:rFonts w:ascii="Aptos" w:hAnsi="Aptos"/>
        </w:rPr>
        <w:t>.</w:t>
      </w:r>
    </w:p>
  </w:footnote>
  <w:footnote w:id="49">
    <w:p w14:paraId="113FD36E" w14:textId="51539B7D" w:rsidR="006D0292" w:rsidRPr="004219FB" w:rsidRDefault="006D0292">
      <w:pPr>
        <w:pStyle w:val="FootnoteText"/>
      </w:pPr>
      <w:r>
        <w:rPr>
          <w:rStyle w:val="FootnoteReference"/>
        </w:rPr>
        <w:footnoteRef/>
      </w:r>
      <w:r>
        <w:t xml:space="preserve"> </w:t>
      </w:r>
      <w:r w:rsidR="004219FB">
        <w:rPr>
          <w:i/>
          <w:iCs/>
        </w:rPr>
        <w:t>Id</w:t>
      </w:r>
      <w:r w:rsidR="004219FB">
        <w:t>.</w:t>
      </w:r>
    </w:p>
  </w:footnote>
  <w:footnote w:id="50">
    <w:p w14:paraId="3A6A2AFC" w14:textId="77777777" w:rsidR="004219FB" w:rsidRDefault="004219FB" w:rsidP="004219FB">
      <w:pPr>
        <w:pStyle w:val="FootnoteText"/>
      </w:pPr>
      <w:r>
        <w:rPr>
          <w:rStyle w:val="FootnoteReference"/>
        </w:rPr>
        <w:footnoteRef/>
      </w:r>
      <w:r>
        <w:t xml:space="preserve"> See </w:t>
      </w:r>
      <w:r w:rsidRPr="00E24685">
        <w:rPr>
          <w:rFonts w:ascii="Aptos" w:hAnsi="Aptos"/>
          <w:i/>
          <w:iCs/>
          <w:color w:val="000000" w:themeColor="text1"/>
          <w:bdr w:val="none" w:sz="0" w:space="0" w:color="auto" w:frame="1"/>
        </w:rPr>
        <w:t>Anderson</w:t>
      </w:r>
      <w:r w:rsidRPr="00E24685">
        <w:rPr>
          <w:rFonts w:ascii="Aptos" w:hAnsi="Aptos"/>
          <w:color w:val="000000" w:themeColor="text1"/>
          <w:bdr w:val="none" w:sz="0" w:space="0" w:color="auto" w:frame="1"/>
        </w:rPr>
        <w:t>,</w:t>
      </w:r>
      <w:r w:rsidRPr="00E24685">
        <w:rPr>
          <w:rFonts w:ascii="Aptos" w:hAnsi="Aptos"/>
          <w:color w:val="000000" w:themeColor="text1"/>
        </w:rPr>
        <w:t xml:space="preserve"> 477 U.S. at 247; </w:t>
      </w:r>
      <w:r w:rsidRPr="00E24685">
        <w:rPr>
          <w:rFonts w:ascii="Aptos" w:hAnsi="Aptos"/>
          <w:i/>
          <w:color w:val="000000" w:themeColor="text1"/>
          <w:bdr w:val="none" w:sz="0" w:space="0" w:color="auto" w:frame="1"/>
        </w:rPr>
        <w:t>Maldonado-Denis,</w:t>
      </w:r>
      <w:r w:rsidRPr="00E24685">
        <w:rPr>
          <w:rFonts w:ascii="Aptos" w:hAnsi="Aptos"/>
          <w:color w:val="000000" w:themeColor="text1"/>
          <w:bdr w:val="none" w:sz="0" w:space="0" w:color="auto" w:frame="1"/>
        </w:rPr>
        <w:t xml:space="preserve"> 23 F.3d at 581.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36D14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981507" o:spid="_x0000_i1025" type="#_x0000_t75" style="width:.7pt;height:.7pt;visibility:visible;mso-wrap-style:square">
            <v:imagedata r:id="rId1" o:title=""/>
          </v:shape>
        </w:pict>
      </mc:Choice>
      <mc:Fallback>
        <w:drawing>
          <wp:inline distT="0" distB="0" distL="0" distR="0" wp14:anchorId="6AEFFD5E" wp14:editId="13D7F5EA">
            <wp:extent cx="9144" cy="9147"/>
            <wp:effectExtent l="0" t="0" r="0" b="0"/>
            <wp:docPr id="311981507" name="Picture 311981507"/>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2"/>
                    <a:stretch>
                      <a:fillRect/>
                    </a:stretch>
                  </pic:blipFill>
                  <pic:spPr>
                    <a:xfrm>
                      <a:off x="0" y="0"/>
                      <a:ext cx="9144" cy="9147"/>
                    </a:xfrm>
                    <a:prstGeom prst="rect">
                      <a:avLst/>
                    </a:prstGeom>
                  </pic:spPr>
                </pic:pic>
              </a:graphicData>
            </a:graphic>
          </wp:inline>
        </w:drawing>
      </mc:Fallback>
    </mc:AlternateContent>
  </w:numPicBullet>
  <w:abstractNum w:abstractNumId="0" w15:restartNumberingAfterBreak="0">
    <w:nsid w:val="13E84E84"/>
    <w:multiLevelType w:val="hybridMultilevel"/>
    <w:tmpl w:val="3EDE4732"/>
    <w:lvl w:ilvl="0" w:tplc="04090013">
      <w:start w:val="1"/>
      <w:numFmt w:val="upperRoman"/>
      <w:lvlText w:val="%1."/>
      <w:lvlJc w:val="right"/>
      <w:pPr>
        <w:ind w:left="1440" w:hanging="360"/>
      </w:pPr>
      <w:rPr>
        <w:rFonts w:hint="default"/>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374331"/>
    <w:multiLevelType w:val="hybridMultilevel"/>
    <w:tmpl w:val="DD86EAE6"/>
    <w:lvl w:ilvl="0" w:tplc="04090013">
      <w:start w:val="1"/>
      <w:numFmt w:val="upperRoman"/>
      <w:lvlText w:val="%1."/>
      <w:lvlJc w:val="right"/>
      <w:pPr>
        <w:ind w:left="720" w:hanging="360"/>
      </w:pPr>
    </w:lvl>
    <w:lvl w:ilvl="1" w:tplc="1E4A7664">
      <w:start w:val="1"/>
      <w:numFmt w:val="upperLetter"/>
      <w:lvlText w:val="%2."/>
      <w:lvlJc w:val="left"/>
      <w:pPr>
        <w:ind w:left="1440" w:hanging="360"/>
      </w:pPr>
      <w:rPr>
        <w:i w:val="0"/>
        <w:iCs w:val="0"/>
      </w:rPr>
    </w:lvl>
    <w:lvl w:ilvl="2" w:tplc="1EC014E8">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A77E2"/>
    <w:multiLevelType w:val="hybridMultilevel"/>
    <w:tmpl w:val="DEC001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C1D539B"/>
    <w:multiLevelType w:val="hybridMultilevel"/>
    <w:tmpl w:val="404C17A8"/>
    <w:lvl w:ilvl="0" w:tplc="63368106">
      <w:start w:val="1"/>
      <w:numFmt w:val="upp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9735F80"/>
    <w:multiLevelType w:val="multilevel"/>
    <w:tmpl w:val="6C8A8012"/>
    <w:styleLink w:val="CurrentList1"/>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6E77A23"/>
    <w:multiLevelType w:val="hybridMultilevel"/>
    <w:tmpl w:val="93664648"/>
    <w:lvl w:ilvl="0" w:tplc="F662A4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DC0027"/>
    <w:multiLevelType w:val="multilevel"/>
    <w:tmpl w:val="23F27400"/>
    <w:lvl w:ilvl="0">
      <w:start w:val="1"/>
      <w:numFmt w:val="decimal"/>
      <w:lvlText w:val="%1."/>
      <w:lvlJc w:val="left"/>
      <w:pPr>
        <w:tabs>
          <w:tab w:val="num" w:pos="720"/>
        </w:tabs>
        <w:ind w:left="720" w:hanging="360"/>
      </w:pPr>
      <w:rPr>
        <w:b w:val="0"/>
        <w:bCs w:val="0"/>
        <w:i w:val="0"/>
        <w:iCs w:val="0"/>
      </w:rPr>
    </w:lvl>
    <w:lvl w:ilvl="1">
      <w:start w:val="2004"/>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8D70A8"/>
    <w:multiLevelType w:val="hybridMultilevel"/>
    <w:tmpl w:val="47EC7DD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9CA7E3F"/>
    <w:multiLevelType w:val="hybridMultilevel"/>
    <w:tmpl w:val="8602606C"/>
    <w:lvl w:ilvl="0" w:tplc="9962C72C">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62621986">
    <w:abstractNumId w:val="6"/>
  </w:num>
  <w:num w:numId="2" w16cid:durableId="2014607479">
    <w:abstractNumId w:val="4"/>
  </w:num>
  <w:num w:numId="3" w16cid:durableId="295375473">
    <w:abstractNumId w:val="0"/>
  </w:num>
  <w:num w:numId="4" w16cid:durableId="1118837253">
    <w:abstractNumId w:val="7"/>
  </w:num>
  <w:num w:numId="5" w16cid:durableId="1258095705">
    <w:abstractNumId w:val="1"/>
  </w:num>
  <w:num w:numId="6" w16cid:durableId="149102357">
    <w:abstractNumId w:val="2"/>
  </w:num>
  <w:num w:numId="7" w16cid:durableId="1771124027">
    <w:abstractNumId w:val="8"/>
  </w:num>
  <w:num w:numId="8" w16cid:durableId="993266892">
    <w:abstractNumId w:val="3"/>
  </w:num>
  <w:num w:numId="9" w16cid:durableId="1994331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CF"/>
    <w:rsid w:val="00000544"/>
    <w:rsid w:val="00001AA9"/>
    <w:rsid w:val="0001091A"/>
    <w:rsid w:val="00010D03"/>
    <w:rsid w:val="000113FF"/>
    <w:rsid w:val="00021F99"/>
    <w:rsid w:val="000257C9"/>
    <w:rsid w:val="000271E5"/>
    <w:rsid w:val="000338B0"/>
    <w:rsid w:val="00041732"/>
    <w:rsid w:val="00044755"/>
    <w:rsid w:val="00045842"/>
    <w:rsid w:val="00052476"/>
    <w:rsid w:val="00053069"/>
    <w:rsid w:val="00056D71"/>
    <w:rsid w:val="00057984"/>
    <w:rsid w:val="00060F06"/>
    <w:rsid w:val="0007319D"/>
    <w:rsid w:val="000A35E0"/>
    <w:rsid w:val="000A5C49"/>
    <w:rsid w:val="000B5266"/>
    <w:rsid w:val="000B6613"/>
    <w:rsid w:val="000C234B"/>
    <w:rsid w:val="000C48BD"/>
    <w:rsid w:val="000C4B07"/>
    <w:rsid w:val="000E7411"/>
    <w:rsid w:val="000F7581"/>
    <w:rsid w:val="0010492D"/>
    <w:rsid w:val="0011394B"/>
    <w:rsid w:val="00125561"/>
    <w:rsid w:val="00132708"/>
    <w:rsid w:val="001425AB"/>
    <w:rsid w:val="00142B44"/>
    <w:rsid w:val="001439AB"/>
    <w:rsid w:val="001719C6"/>
    <w:rsid w:val="00173738"/>
    <w:rsid w:val="00173A62"/>
    <w:rsid w:val="00182739"/>
    <w:rsid w:val="00183E3C"/>
    <w:rsid w:val="0018797F"/>
    <w:rsid w:val="00190CF5"/>
    <w:rsid w:val="001972ED"/>
    <w:rsid w:val="001B492E"/>
    <w:rsid w:val="001B637C"/>
    <w:rsid w:val="001D468F"/>
    <w:rsid w:val="001D4898"/>
    <w:rsid w:val="001D722A"/>
    <w:rsid w:val="001E5616"/>
    <w:rsid w:val="001F0659"/>
    <w:rsid w:val="001F132A"/>
    <w:rsid w:val="0020144B"/>
    <w:rsid w:val="002166B8"/>
    <w:rsid w:val="00220BC5"/>
    <w:rsid w:val="00223B88"/>
    <w:rsid w:val="00233195"/>
    <w:rsid w:val="00241459"/>
    <w:rsid w:val="00243554"/>
    <w:rsid w:val="00264C45"/>
    <w:rsid w:val="00265742"/>
    <w:rsid w:val="002658FF"/>
    <w:rsid w:val="00273B09"/>
    <w:rsid w:val="00273D26"/>
    <w:rsid w:val="002839E0"/>
    <w:rsid w:val="00284BEB"/>
    <w:rsid w:val="0028547D"/>
    <w:rsid w:val="00286372"/>
    <w:rsid w:val="00286CEB"/>
    <w:rsid w:val="002914E6"/>
    <w:rsid w:val="002957A1"/>
    <w:rsid w:val="002A3944"/>
    <w:rsid w:val="002B2168"/>
    <w:rsid w:val="002B3754"/>
    <w:rsid w:val="002C0235"/>
    <w:rsid w:val="002C04F0"/>
    <w:rsid w:val="002C43D1"/>
    <w:rsid w:val="002C533A"/>
    <w:rsid w:val="002D703F"/>
    <w:rsid w:val="002E2561"/>
    <w:rsid w:val="002E35AF"/>
    <w:rsid w:val="002E41DF"/>
    <w:rsid w:val="002E49D7"/>
    <w:rsid w:val="002E7AD8"/>
    <w:rsid w:val="002F3533"/>
    <w:rsid w:val="002F7BC4"/>
    <w:rsid w:val="00316D7F"/>
    <w:rsid w:val="00317EF8"/>
    <w:rsid w:val="00322794"/>
    <w:rsid w:val="0033314C"/>
    <w:rsid w:val="00333608"/>
    <w:rsid w:val="00333BB1"/>
    <w:rsid w:val="003345A5"/>
    <w:rsid w:val="0033590E"/>
    <w:rsid w:val="003404D5"/>
    <w:rsid w:val="0035114F"/>
    <w:rsid w:val="0035147F"/>
    <w:rsid w:val="003515AE"/>
    <w:rsid w:val="00352B6E"/>
    <w:rsid w:val="00361783"/>
    <w:rsid w:val="00365B55"/>
    <w:rsid w:val="00386FDB"/>
    <w:rsid w:val="003B2884"/>
    <w:rsid w:val="003B3662"/>
    <w:rsid w:val="003B7784"/>
    <w:rsid w:val="003C0240"/>
    <w:rsid w:val="003C7CE7"/>
    <w:rsid w:val="003D77F7"/>
    <w:rsid w:val="003E1DFB"/>
    <w:rsid w:val="003E4285"/>
    <w:rsid w:val="003E7933"/>
    <w:rsid w:val="00403807"/>
    <w:rsid w:val="004138DD"/>
    <w:rsid w:val="00416065"/>
    <w:rsid w:val="004219FB"/>
    <w:rsid w:val="00430203"/>
    <w:rsid w:val="00431329"/>
    <w:rsid w:val="004328E5"/>
    <w:rsid w:val="004353A4"/>
    <w:rsid w:val="004357D8"/>
    <w:rsid w:val="00442429"/>
    <w:rsid w:val="00452AE1"/>
    <w:rsid w:val="00463153"/>
    <w:rsid w:val="004665E4"/>
    <w:rsid w:val="00482583"/>
    <w:rsid w:val="00483226"/>
    <w:rsid w:val="00496E19"/>
    <w:rsid w:val="004A2CA4"/>
    <w:rsid w:val="004A2DC8"/>
    <w:rsid w:val="004C067A"/>
    <w:rsid w:val="004D0734"/>
    <w:rsid w:val="004E4EBD"/>
    <w:rsid w:val="004E60F1"/>
    <w:rsid w:val="004F557D"/>
    <w:rsid w:val="004F57F2"/>
    <w:rsid w:val="00504874"/>
    <w:rsid w:val="00506104"/>
    <w:rsid w:val="005116F3"/>
    <w:rsid w:val="00517988"/>
    <w:rsid w:val="00520E88"/>
    <w:rsid w:val="00536892"/>
    <w:rsid w:val="00542326"/>
    <w:rsid w:val="00544BEA"/>
    <w:rsid w:val="00546999"/>
    <w:rsid w:val="005647B9"/>
    <w:rsid w:val="00564CE2"/>
    <w:rsid w:val="00571EA3"/>
    <w:rsid w:val="005723FC"/>
    <w:rsid w:val="00580EA7"/>
    <w:rsid w:val="005848D6"/>
    <w:rsid w:val="005A1900"/>
    <w:rsid w:val="005A51FC"/>
    <w:rsid w:val="005A69F8"/>
    <w:rsid w:val="005A783C"/>
    <w:rsid w:val="005C07DD"/>
    <w:rsid w:val="005E1307"/>
    <w:rsid w:val="005E242F"/>
    <w:rsid w:val="005E5498"/>
    <w:rsid w:val="00602981"/>
    <w:rsid w:val="00610F82"/>
    <w:rsid w:val="00611FF1"/>
    <w:rsid w:val="00622381"/>
    <w:rsid w:val="00634364"/>
    <w:rsid w:val="00646E1F"/>
    <w:rsid w:val="0064722C"/>
    <w:rsid w:val="00650053"/>
    <w:rsid w:val="00650C95"/>
    <w:rsid w:val="00652AB9"/>
    <w:rsid w:val="00656C8F"/>
    <w:rsid w:val="006572B9"/>
    <w:rsid w:val="0066449D"/>
    <w:rsid w:val="00665FB0"/>
    <w:rsid w:val="00670957"/>
    <w:rsid w:val="006940FD"/>
    <w:rsid w:val="006956AE"/>
    <w:rsid w:val="006A1E97"/>
    <w:rsid w:val="006A3D9C"/>
    <w:rsid w:val="006B2FCB"/>
    <w:rsid w:val="006B3FEC"/>
    <w:rsid w:val="006C08C9"/>
    <w:rsid w:val="006C1411"/>
    <w:rsid w:val="006C4DF2"/>
    <w:rsid w:val="006C6078"/>
    <w:rsid w:val="006D0292"/>
    <w:rsid w:val="006D064E"/>
    <w:rsid w:val="006D43FB"/>
    <w:rsid w:val="006D76DF"/>
    <w:rsid w:val="006E1FFE"/>
    <w:rsid w:val="006E5599"/>
    <w:rsid w:val="006F384F"/>
    <w:rsid w:val="00701A9D"/>
    <w:rsid w:val="007023CF"/>
    <w:rsid w:val="00704B4D"/>
    <w:rsid w:val="0072202B"/>
    <w:rsid w:val="00724CBC"/>
    <w:rsid w:val="007520F5"/>
    <w:rsid w:val="00757E40"/>
    <w:rsid w:val="00771081"/>
    <w:rsid w:val="00782AC7"/>
    <w:rsid w:val="007933E2"/>
    <w:rsid w:val="00797E72"/>
    <w:rsid w:val="007A1B0B"/>
    <w:rsid w:val="007B5BBE"/>
    <w:rsid w:val="007C08F6"/>
    <w:rsid w:val="007D49DA"/>
    <w:rsid w:val="007D4FFF"/>
    <w:rsid w:val="007E5B82"/>
    <w:rsid w:val="007E6303"/>
    <w:rsid w:val="007F46CD"/>
    <w:rsid w:val="007F5733"/>
    <w:rsid w:val="007F6BCF"/>
    <w:rsid w:val="007F6F40"/>
    <w:rsid w:val="0080016A"/>
    <w:rsid w:val="00800254"/>
    <w:rsid w:val="00800BD7"/>
    <w:rsid w:val="00802F3F"/>
    <w:rsid w:val="0081047C"/>
    <w:rsid w:val="0082207B"/>
    <w:rsid w:val="00826BEF"/>
    <w:rsid w:val="00832245"/>
    <w:rsid w:val="0083557E"/>
    <w:rsid w:val="008429C2"/>
    <w:rsid w:val="00850FB0"/>
    <w:rsid w:val="00852A17"/>
    <w:rsid w:val="00855A0A"/>
    <w:rsid w:val="00857B75"/>
    <w:rsid w:val="0086522A"/>
    <w:rsid w:val="00866FB3"/>
    <w:rsid w:val="00874187"/>
    <w:rsid w:val="00881154"/>
    <w:rsid w:val="00885BEB"/>
    <w:rsid w:val="0088623D"/>
    <w:rsid w:val="00896CDE"/>
    <w:rsid w:val="008A4291"/>
    <w:rsid w:val="008A7111"/>
    <w:rsid w:val="008A72B2"/>
    <w:rsid w:val="008B1B83"/>
    <w:rsid w:val="008B1D6A"/>
    <w:rsid w:val="008B1EF2"/>
    <w:rsid w:val="008B1FCE"/>
    <w:rsid w:val="008B34AA"/>
    <w:rsid w:val="008C07CB"/>
    <w:rsid w:val="008C6C36"/>
    <w:rsid w:val="008D0F24"/>
    <w:rsid w:val="008D1BF4"/>
    <w:rsid w:val="008E3841"/>
    <w:rsid w:val="008F3D99"/>
    <w:rsid w:val="00901DC9"/>
    <w:rsid w:val="00905027"/>
    <w:rsid w:val="0090688B"/>
    <w:rsid w:val="00907028"/>
    <w:rsid w:val="00917660"/>
    <w:rsid w:val="00927805"/>
    <w:rsid w:val="0093289E"/>
    <w:rsid w:val="00934AA6"/>
    <w:rsid w:val="00936274"/>
    <w:rsid w:val="0093634F"/>
    <w:rsid w:val="00942128"/>
    <w:rsid w:val="009422AF"/>
    <w:rsid w:val="0094419B"/>
    <w:rsid w:val="00945711"/>
    <w:rsid w:val="009507D5"/>
    <w:rsid w:val="0097095C"/>
    <w:rsid w:val="00970C43"/>
    <w:rsid w:val="00974ED1"/>
    <w:rsid w:val="00983626"/>
    <w:rsid w:val="00986A46"/>
    <w:rsid w:val="009A14F9"/>
    <w:rsid w:val="009A1D44"/>
    <w:rsid w:val="009A499F"/>
    <w:rsid w:val="009B2961"/>
    <w:rsid w:val="009B30AF"/>
    <w:rsid w:val="009B3C2F"/>
    <w:rsid w:val="009C0EAB"/>
    <w:rsid w:val="009C4BE5"/>
    <w:rsid w:val="009E4D43"/>
    <w:rsid w:val="009F5045"/>
    <w:rsid w:val="009F5A4D"/>
    <w:rsid w:val="009F5F6D"/>
    <w:rsid w:val="00A01F2E"/>
    <w:rsid w:val="00A02B1F"/>
    <w:rsid w:val="00A06215"/>
    <w:rsid w:val="00A06B62"/>
    <w:rsid w:val="00A07AED"/>
    <w:rsid w:val="00A202E5"/>
    <w:rsid w:val="00A2498A"/>
    <w:rsid w:val="00A253B7"/>
    <w:rsid w:val="00A33543"/>
    <w:rsid w:val="00A43039"/>
    <w:rsid w:val="00A51736"/>
    <w:rsid w:val="00A576D4"/>
    <w:rsid w:val="00A6022F"/>
    <w:rsid w:val="00A66C2D"/>
    <w:rsid w:val="00A71B80"/>
    <w:rsid w:val="00A808B8"/>
    <w:rsid w:val="00A80DC1"/>
    <w:rsid w:val="00A90269"/>
    <w:rsid w:val="00A95AAA"/>
    <w:rsid w:val="00A95B3C"/>
    <w:rsid w:val="00AA2837"/>
    <w:rsid w:val="00AB3B11"/>
    <w:rsid w:val="00AB4FDF"/>
    <w:rsid w:val="00AC0E08"/>
    <w:rsid w:val="00AC179E"/>
    <w:rsid w:val="00AC5328"/>
    <w:rsid w:val="00AD0B3D"/>
    <w:rsid w:val="00AD0D6A"/>
    <w:rsid w:val="00AD15D7"/>
    <w:rsid w:val="00AD7CEE"/>
    <w:rsid w:val="00AE07BA"/>
    <w:rsid w:val="00AE6C6B"/>
    <w:rsid w:val="00AE7F00"/>
    <w:rsid w:val="00B036C4"/>
    <w:rsid w:val="00B10D5D"/>
    <w:rsid w:val="00B14686"/>
    <w:rsid w:val="00B20757"/>
    <w:rsid w:val="00B24160"/>
    <w:rsid w:val="00B27915"/>
    <w:rsid w:val="00B31B91"/>
    <w:rsid w:val="00B34641"/>
    <w:rsid w:val="00B34E22"/>
    <w:rsid w:val="00B36654"/>
    <w:rsid w:val="00B4029B"/>
    <w:rsid w:val="00B56F3C"/>
    <w:rsid w:val="00B57049"/>
    <w:rsid w:val="00B60753"/>
    <w:rsid w:val="00B6471A"/>
    <w:rsid w:val="00B65434"/>
    <w:rsid w:val="00B66397"/>
    <w:rsid w:val="00B700FD"/>
    <w:rsid w:val="00B85091"/>
    <w:rsid w:val="00B91BD6"/>
    <w:rsid w:val="00BA0FAD"/>
    <w:rsid w:val="00BA4825"/>
    <w:rsid w:val="00BA4B6C"/>
    <w:rsid w:val="00BB7F90"/>
    <w:rsid w:val="00BC11F3"/>
    <w:rsid w:val="00BC4086"/>
    <w:rsid w:val="00BE79CA"/>
    <w:rsid w:val="00BF2627"/>
    <w:rsid w:val="00C00495"/>
    <w:rsid w:val="00C05E64"/>
    <w:rsid w:val="00C167EB"/>
    <w:rsid w:val="00C27FC0"/>
    <w:rsid w:val="00C35E14"/>
    <w:rsid w:val="00C4469C"/>
    <w:rsid w:val="00C469DA"/>
    <w:rsid w:val="00C621E1"/>
    <w:rsid w:val="00C75193"/>
    <w:rsid w:val="00C77D43"/>
    <w:rsid w:val="00C924F5"/>
    <w:rsid w:val="00C9345A"/>
    <w:rsid w:val="00CA33DF"/>
    <w:rsid w:val="00CA3ECC"/>
    <w:rsid w:val="00CB2951"/>
    <w:rsid w:val="00CB329C"/>
    <w:rsid w:val="00CB4630"/>
    <w:rsid w:val="00CC0A19"/>
    <w:rsid w:val="00CD4B57"/>
    <w:rsid w:val="00CF252B"/>
    <w:rsid w:val="00CF3E22"/>
    <w:rsid w:val="00D02906"/>
    <w:rsid w:val="00D07874"/>
    <w:rsid w:val="00D07D86"/>
    <w:rsid w:val="00D12A02"/>
    <w:rsid w:val="00D166A1"/>
    <w:rsid w:val="00D20587"/>
    <w:rsid w:val="00D222F0"/>
    <w:rsid w:val="00D23CD1"/>
    <w:rsid w:val="00D24151"/>
    <w:rsid w:val="00D40DD7"/>
    <w:rsid w:val="00D429A8"/>
    <w:rsid w:val="00D44501"/>
    <w:rsid w:val="00D474AA"/>
    <w:rsid w:val="00D54147"/>
    <w:rsid w:val="00D66049"/>
    <w:rsid w:val="00D67810"/>
    <w:rsid w:val="00D75728"/>
    <w:rsid w:val="00D77988"/>
    <w:rsid w:val="00D77C42"/>
    <w:rsid w:val="00D834E9"/>
    <w:rsid w:val="00D84EB3"/>
    <w:rsid w:val="00D91FCC"/>
    <w:rsid w:val="00D935D9"/>
    <w:rsid w:val="00D978AD"/>
    <w:rsid w:val="00DA7413"/>
    <w:rsid w:val="00DA7F46"/>
    <w:rsid w:val="00DB636D"/>
    <w:rsid w:val="00DC100B"/>
    <w:rsid w:val="00DD2297"/>
    <w:rsid w:val="00DD76ED"/>
    <w:rsid w:val="00DE1E8D"/>
    <w:rsid w:val="00DF03B3"/>
    <w:rsid w:val="00DF10B9"/>
    <w:rsid w:val="00DF2D0C"/>
    <w:rsid w:val="00E00696"/>
    <w:rsid w:val="00E177D9"/>
    <w:rsid w:val="00E21279"/>
    <w:rsid w:val="00E24685"/>
    <w:rsid w:val="00E37317"/>
    <w:rsid w:val="00E4512E"/>
    <w:rsid w:val="00E70618"/>
    <w:rsid w:val="00E73C72"/>
    <w:rsid w:val="00E857E9"/>
    <w:rsid w:val="00E905ED"/>
    <w:rsid w:val="00E92632"/>
    <w:rsid w:val="00E92E88"/>
    <w:rsid w:val="00E92F2B"/>
    <w:rsid w:val="00E939D6"/>
    <w:rsid w:val="00E974EF"/>
    <w:rsid w:val="00EA3CAC"/>
    <w:rsid w:val="00EA484B"/>
    <w:rsid w:val="00EA54B3"/>
    <w:rsid w:val="00EA5F7E"/>
    <w:rsid w:val="00EA7110"/>
    <w:rsid w:val="00EB2568"/>
    <w:rsid w:val="00EB2E73"/>
    <w:rsid w:val="00EB5C18"/>
    <w:rsid w:val="00EC3D8C"/>
    <w:rsid w:val="00EC4890"/>
    <w:rsid w:val="00ED4EE3"/>
    <w:rsid w:val="00ED4F9D"/>
    <w:rsid w:val="00EE45E0"/>
    <w:rsid w:val="00EF08BA"/>
    <w:rsid w:val="00EF43A9"/>
    <w:rsid w:val="00F001A9"/>
    <w:rsid w:val="00F314D0"/>
    <w:rsid w:val="00F3588A"/>
    <w:rsid w:val="00F45627"/>
    <w:rsid w:val="00F47320"/>
    <w:rsid w:val="00F47331"/>
    <w:rsid w:val="00F534CF"/>
    <w:rsid w:val="00F5746A"/>
    <w:rsid w:val="00F607A8"/>
    <w:rsid w:val="00F66C64"/>
    <w:rsid w:val="00F705A8"/>
    <w:rsid w:val="00F70787"/>
    <w:rsid w:val="00F7718D"/>
    <w:rsid w:val="00F84471"/>
    <w:rsid w:val="00F87C77"/>
    <w:rsid w:val="00F96432"/>
    <w:rsid w:val="00FA10F6"/>
    <w:rsid w:val="00FA5F6E"/>
    <w:rsid w:val="00FA6812"/>
    <w:rsid w:val="00FB3D51"/>
    <w:rsid w:val="00FB7442"/>
    <w:rsid w:val="00FB74A1"/>
    <w:rsid w:val="00FC16B8"/>
    <w:rsid w:val="00FC77B1"/>
    <w:rsid w:val="00FD0A0F"/>
    <w:rsid w:val="00FD1973"/>
    <w:rsid w:val="00FD46DF"/>
    <w:rsid w:val="00FE0570"/>
    <w:rsid w:val="00FE4A15"/>
    <w:rsid w:val="00FE6F90"/>
    <w:rsid w:val="00FE74ED"/>
    <w:rsid w:val="00FF0EBF"/>
    <w:rsid w:val="00FF11C6"/>
    <w:rsid w:val="00FF32C0"/>
    <w:rsid w:val="00FF68E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C718"/>
  <w15:chartTrackingRefBased/>
  <w15:docId w15:val="{1FA73768-B4E5-DF43-93A9-2D94C266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79"/>
  </w:style>
  <w:style w:type="paragraph" w:styleId="Heading1">
    <w:name w:val="heading 1"/>
    <w:next w:val="Normal"/>
    <w:link w:val="Heading1Char"/>
    <w:uiPriority w:val="9"/>
    <w:qFormat/>
    <w:rsid w:val="00D54147"/>
    <w:pPr>
      <w:keepNext/>
      <w:keepLines/>
      <w:spacing w:after="252" w:line="259" w:lineRule="auto"/>
      <w:ind w:left="10" w:right="902" w:hanging="10"/>
      <w:outlineLvl w:val="0"/>
    </w:pPr>
    <w:rPr>
      <w:rFonts w:ascii="Times New Roman" w:eastAsia="Times New Roman" w:hAnsi="Times New Roman" w:cs="Times New Roman"/>
      <w:color w:val="000000"/>
      <w:kern w:val="0"/>
      <w:sz w:val="26"/>
      <w:szCs w:val="22"/>
      <w:u w:val="single" w:color="000000"/>
      <w14:ligatures w14:val="none"/>
    </w:rPr>
  </w:style>
  <w:style w:type="paragraph" w:styleId="Heading2">
    <w:name w:val="heading 2"/>
    <w:basedOn w:val="Normal"/>
    <w:next w:val="Normal"/>
    <w:link w:val="Heading2Char"/>
    <w:uiPriority w:val="9"/>
    <w:unhideWhenUsed/>
    <w:qFormat/>
    <w:rsid w:val="004F557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4CF"/>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F534CF"/>
    <w:rPr>
      <w:sz w:val="16"/>
      <w:szCs w:val="16"/>
    </w:rPr>
  </w:style>
  <w:style w:type="paragraph" w:styleId="CommentText">
    <w:name w:val="annotation text"/>
    <w:basedOn w:val="Normal"/>
    <w:link w:val="CommentTextChar"/>
    <w:uiPriority w:val="99"/>
    <w:semiHidden/>
    <w:unhideWhenUsed/>
    <w:rsid w:val="00F534CF"/>
    <w:rPr>
      <w:sz w:val="20"/>
      <w:szCs w:val="20"/>
    </w:rPr>
  </w:style>
  <w:style w:type="character" w:customStyle="1" w:styleId="CommentTextChar">
    <w:name w:val="Comment Text Char"/>
    <w:basedOn w:val="DefaultParagraphFont"/>
    <w:link w:val="CommentText"/>
    <w:uiPriority w:val="99"/>
    <w:semiHidden/>
    <w:rsid w:val="00F534CF"/>
    <w:rPr>
      <w:sz w:val="20"/>
      <w:szCs w:val="20"/>
    </w:rPr>
  </w:style>
  <w:style w:type="paragraph" w:styleId="CommentSubject">
    <w:name w:val="annotation subject"/>
    <w:basedOn w:val="CommentText"/>
    <w:next w:val="CommentText"/>
    <w:link w:val="CommentSubjectChar"/>
    <w:uiPriority w:val="99"/>
    <w:semiHidden/>
    <w:unhideWhenUsed/>
    <w:rsid w:val="00F534CF"/>
    <w:rPr>
      <w:b/>
      <w:bCs/>
    </w:rPr>
  </w:style>
  <w:style w:type="character" w:customStyle="1" w:styleId="CommentSubjectChar">
    <w:name w:val="Comment Subject Char"/>
    <w:basedOn w:val="CommentTextChar"/>
    <w:link w:val="CommentSubject"/>
    <w:uiPriority w:val="99"/>
    <w:semiHidden/>
    <w:rsid w:val="00F534CF"/>
    <w:rPr>
      <w:b/>
      <w:bCs/>
      <w:sz w:val="20"/>
      <w:szCs w:val="20"/>
    </w:rPr>
  </w:style>
  <w:style w:type="paragraph" w:styleId="FootnoteText">
    <w:name w:val="footnote text"/>
    <w:basedOn w:val="Normal"/>
    <w:link w:val="FootnoteTextChar"/>
    <w:uiPriority w:val="99"/>
    <w:unhideWhenUsed/>
    <w:rsid w:val="004353A4"/>
    <w:rPr>
      <w:sz w:val="20"/>
      <w:szCs w:val="20"/>
    </w:rPr>
  </w:style>
  <w:style w:type="character" w:customStyle="1" w:styleId="FootnoteTextChar">
    <w:name w:val="Footnote Text Char"/>
    <w:basedOn w:val="DefaultParagraphFont"/>
    <w:link w:val="FootnoteText"/>
    <w:uiPriority w:val="99"/>
    <w:rsid w:val="004353A4"/>
    <w:rPr>
      <w:sz w:val="20"/>
      <w:szCs w:val="20"/>
    </w:rPr>
  </w:style>
  <w:style w:type="character" w:styleId="FootnoteReference">
    <w:name w:val="footnote reference"/>
    <w:basedOn w:val="DefaultParagraphFont"/>
    <w:uiPriority w:val="99"/>
    <w:unhideWhenUsed/>
    <w:rsid w:val="004353A4"/>
    <w:rPr>
      <w:vertAlign w:val="superscript"/>
    </w:rPr>
  </w:style>
  <w:style w:type="paragraph" w:styleId="NoSpacing">
    <w:name w:val="No Spacing"/>
    <w:link w:val="NoSpacingChar"/>
    <w:uiPriority w:val="1"/>
    <w:qFormat/>
    <w:rsid w:val="00ED4F9D"/>
    <w:rPr>
      <w:kern w:val="0"/>
      <w:sz w:val="22"/>
      <w:szCs w:val="22"/>
      <w14:ligatures w14:val="none"/>
    </w:rPr>
  </w:style>
  <w:style w:type="character" w:customStyle="1" w:styleId="apple-converted-space">
    <w:name w:val="apple-converted-space"/>
    <w:basedOn w:val="DefaultParagraphFont"/>
    <w:rsid w:val="00ED4F9D"/>
  </w:style>
  <w:style w:type="character" w:styleId="Emphasis">
    <w:name w:val="Emphasis"/>
    <w:basedOn w:val="DefaultParagraphFont"/>
    <w:uiPriority w:val="20"/>
    <w:qFormat/>
    <w:rsid w:val="00ED4F9D"/>
    <w:rPr>
      <w:i/>
      <w:iCs/>
    </w:rPr>
  </w:style>
  <w:style w:type="character" w:customStyle="1" w:styleId="NoSpacingChar">
    <w:name w:val="No Spacing Char"/>
    <w:basedOn w:val="DefaultParagraphFont"/>
    <w:link w:val="NoSpacing"/>
    <w:uiPriority w:val="1"/>
    <w:rsid w:val="00ED4F9D"/>
    <w:rPr>
      <w:kern w:val="0"/>
      <w:sz w:val="22"/>
      <w:szCs w:val="22"/>
      <w14:ligatures w14:val="none"/>
    </w:rPr>
  </w:style>
  <w:style w:type="numbering" w:customStyle="1" w:styleId="CurrentList1">
    <w:name w:val="Current List1"/>
    <w:uiPriority w:val="99"/>
    <w:rsid w:val="006C6078"/>
    <w:pPr>
      <w:numPr>
        <w:numId w:val="2"/>
      </w:numPr>
    </w:pPr>
  </w:style>
  <w:style w:type="paragraph" w:styleId="ListParagraph">
    <w:name w:val="List Paragraph"/>
    <w:basedOn w:val="Normal"/>
    <w:uiPriority w:val="34"/>
    <w:qFormat/>
    <w:rsid w:val="006C6078"/>
    <w:pPr>
      <w:ind w:left="720"/>
      <w:contextualSpacing/>
    </w:pPr>
  </w:style>
  <w:style w:type="paragraph" w:styleId="Footer">
    <w:name w:val="footer"/>
    <w:basedOn w:val="Normal"/>
    <w:link w:val="FooterChar"/>
    <w:uiPriority w:val="99"/>
    <w:unhideWhenUsed/>
    <w:rsid w:val="006C6078"/>
    <w:pPr>
      <w:tabs>
        <w:tab w:val="center" w:pos="4680"/>
        <w:tab w:val="right" w:pos="9360"/>
      </w:tabs>
    </w:pPr>
  </w:style>
  <w:style w:type="character" w:customStyle="1" w:styleId="FooterChar">
    <w:name w:val="Footer Char"/>
    <w:basedOn w:val="DefaultParagraphFont"/>
    <w:link w:val="Footer"/>
    <w:uiPriority w:val="99"/>
    <w:rsid w:val="006C6078"/>
  </w:style>
  <w:style w:type="character" w:styleId="PageNumber">
    <w:name w:val="page number"/>
    <w:basedOn w:val="DefaultParagraphFont"/>
    <w:uiPriority w:val="99"/>
    <w:semiHidden/>
    <w:unhideWhenUsed/>
    <w:rsid w:val="006C6078"/>
  </w:style>
  <w:style w:type="character" w:customStyle="1" w:styleId="coconcept4349">
    <w:name w:val="co_concept_43_49"/>
    <w:basedOn w:val="DefaultParagraphFont"/>
    <w:rsid w:val="006B3FEC"/>
  </w:style>
  <w:style w:type="character" w:customStyle="1" w:styleId="coconcept5158">
    <w:name w:val="co_concept_51_58"/>
    <w:basedOn w:val="DefaultParagraphFont"/>
    <w:rsid w:val="006B3FEC"/>
  </w:style>
  <w:style w:type="paragraph" w:customStyle="1" w:styleId="s7">
    <w:name w:val="s7"/>
    <w:basedOn w:val="Normal"/>
    <w:rsid w:val="0082207B"/>
    <w:pPr>
      <w:spacing w:before="100" w:beforeAutospacing="1" w:after="100" w:afterAutospacing="1"/>
    </w:pPr>
    <w:rPr>
      <w:rFonts w:ascii="Times New Roman" w:eastAsia="Times New Roman" w:hAnsi="Times New Roman" w:cs="Times New Roman"/>
      <w:kern w:val="0"/>
      <w14:ligatures w14:val="none"/>
    </w:rPr>
  </w:style>
  <w:style w:type="character" w:customStyle="1" w:styleId="s8">
    <w:name w:val="s8"/>
    <w:basedOn w:val="DefaultParagraphFont"/>
    <w:rsid w:val="0082207B"/>
  </w:style>
  <w:style w:type="character" w:styleId="Hyperlink">
    <w:name w:val="Hyperlink"/>
    <w:basedOn w:val="DefaultParagraphFont"/>
    <w:uiPriority w:val="99"/>
    <w:unhideWhenUsed/>
    <w:rsid w:val="00850FB0"/>
    <w:rPr>
      <w:color w:val="0563C1" w:themeColor="hyperlink"/>
      <w:u w:val="single"/>
    </w:rPr>
  </w:style>
  <w:style w:type="character" w:styleId="UnresolvedMention">
    <w:name w:val="Unresolved Mention"/>
    <w:basedOn w:val="DefaultParagraphFont"/>
    <w:uiPriority w:val="99"/>
    <w:semiHidden/>
    <w:unhideWhenUsed/>
    <w:rsid w:val="00850FB0"/>
    <w:rPr>
      <w:color w:val="605E5C"/>
      <w:shd w:val="clear" w:color="auto" w:fill="E1DFDD"/>
    </w:rPr>
  </w:style>
  <w:style w:type="character" w:styleId="FollowedHyperlink">
    <w:name w:val="FollowedHyperlink"/>
    <w:basedOn w:val="DefaultParagraphFont"/>
    <w:uiPriority w:val="99"/>
    <w:semiHidden/>
    <w:unhideWhenUsed/>
    <w:rsid w:val="00850FB0"/>
    <w:rPr>
      <w:color w:val="954F72" w:themeColor="followedHyperlink"/>
      <w:u w:val="single"/>
    </w:rPr>
  </w:style>
  <w:style w:type="paragraph" w:styleId="Header">
    <w:name w:val="header"/>
    <w:basedOn w:val="Normal"/>
    <w:link w:val="HeaderChar"/>
    <w:uiPriority w:val="99"/>
    <w:unhideWhenUsed/>
    <w:rsid w:val="006C08C9"/>
    <w:pPr>
      <w:tabs>
        <w:tab w:val="center" w:pos="4680"/>
        <w:tab w:val="right" w:pos="9360"/>
      </w:tabs>
    </w:pPr>
  </w:style>
  <w:style w:type="character" w:customStyle="1" w:styleId="HeaderChar">
    <w:name w:val="Header Char"/>
    <w:basedOn w:val="DefaultParagraphFont"/>
    <w:link w:val="Header"/>
    <w:uiPriority w:val="99"/>
    <w:rsid w:val="006C08C9"/>
  </w:style>
  <w:style w:type="character" w:customStyle="1" w:styleId="Heading1Char">
    <w:name w:val="Heading 1 Char"/>
    <w:basedOn w:val="DefaultParagraphFont"/>
    <w:link w:val="Heading1"/>
    <w:uiPriority w:val="9"/>
    <w:rsid w:val="00D54147"/>
    <w:rPr>
      <w:rFonts w:ascii="Times New Roman" w:eastAsia="Times New Roman" w:hAnsi="Times New Roman" w:cs="Times New Roman"/>
      <w:color w:val="000000"/>
      <w:kern w:val="0"/>
      <w:sz w:val="26"/>
      <w:szCs w:val="22"/>
      <w:u w:val="single" w:color="000000"/>
      <w14:ligatures w14:val="none"/>
    </w:rPr>
  </w:style>
  <w:style w:type="paragraph" w:styleId="Revision">
    <w:name w:val="Revision"/>
    <w:hidden/>
    <w:uiPriority w:val="99"/>
    <w:semiHidden/>
    <w:rsid w:val="00571EA3"/>
  </w:style>
  <w:style w:type="character" w:customStyle="1" w:styleId="Heading2Char">
    <w:name w:val="Heading 2 Char"/>
    <w:basedOn w:val="DefaultParagraphFont"/>
    <w:link w:val="Heading2"/>
    <w:uiPriority w:val="9"/>
    <w:rsid w:val="004F557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8307">
      <w:bodyDiv w:val="1"/>
      <w:marLeft w:val="0"/>
      <w:marRight w:val="0"/>
      <w:marTop w:val="0"/>
      <w:marBottom w:val="0"/>
      <w:divBdr>
        <w:top w:val="none" w:sz="0" w:space="0" w:color="auto"/>
        <w:left w:val="none" w:sz="0" w:space="0" w:color="auto"/>
        <w:bottom w:val="none" w:sz="0" w:space="0" w:color="auto"/>
        <w:right w:val="none" w:sz="0" w:space="0" w:color="auto"/>
      </w:divBdr>
      <w:divsChild>
        <w:div w:id="319820506">
          <w:marLeft w:val="620"/>
          <w:marRight w:val="0"/>
          <w:marTop w:val="0"/>
          <w:marBottom w:val="0"/>
          <w:divBdr>
            <w:top w:val="none" w:sz="0" w:space="0" w:color="auto"/>
            <w:left w:val="none" w:sz="0" w:space="0" w:color="auto"/>
            <w:bottom w:val="none" w:sz="0" w:space="0" w:color="auto"/>
            <w:right w:val="none" w:sz="0" w:space="0" w:color="auto"/>
          </w:divBdr>
        </w:div>
        <w:div w:id="1221134053">
          <w:marLeft w:val="620"/>
          <w:marRight w:val="0"/>
          <w:marTop w:val="0"/>
          <w:marBottom w:val="0"/>
          <w:divBdr>
            <w:top w:val="none" w:sz="0" w:space="0" w:color="auto"/>
            <w:left w:val="none" w:sz="0" w:space="0" w:color="auto"/>
            <w:bottom w:val="none" w:sz="0" w:space="0" w:color="auto"/>
            <w:right w:val="none" w:sz="0" w:space="0" w:color="auto"/>
          </w:divBdr>
        </w:div>
      </w:divsChild>
    </w:div>
    <w:div w:id="40518604">
      <w:bodyDiv w:val="1"/>
      <w:marLeft w:val="0"/>
      <w:marRight w:val="0"/>
      <w:marTop w:val="0"/>
      <w:marBottom w:val="0"/>
      <w:divBdr>
        <w:top w:val="none" w:sz="0" w:space="0" w:color="auto"/>
        <w:left w:val="none" w:sz="0" w:space="0" w:color="auto"/>
        <w:bottom w:val="none" w:sz="0" w:space="0" w:color="auto"/>
        <w:right w:val="none" w:sz="0" w:space="0" w:color="auto"/>
      </w:divBdr>
    </w:div>
    <w:div w:id="123353742">
      <w:bodyDiv w:val="1"/>
      <w:marLeft w:val="0"/>
      <w:marRight w:val="0"/>
      <w:marTop w:val="0"/>
      <w:marBottom w:val="0"/>
      <w:divBdr>
        <w:top w:val="none" w:sz="0" w:space="0" w:color="auto"/>
        <w:left w:val="none" w:sz="0" w:space="0" w:color="auto"/>
        <w:bottom w:val="none" w:sz="0" w:space="0" w:color="auto"/>
        <w:right w:val="none" w:sz="0" w:space="0" w:color="auto"/>
      </w:divBdr>
      <w:divsChild>
        <w:div w:id="831456547">
          <w:marLeft w:val="0"/>
          <w:marRight w:val="0"/>
          <w:marTop w:val="0"/>
          <w:marBottom w:val="0"/>
          <w:divBdr>
            <w:top w:val="none" w:sz="0" w:space="0" w:color="auto"/>
            <w:left w:val="none" w:sz="0" w:space="0" w:color="auto"/>
            <w:bottom w:val="none" w:sz="0" w:space="0" w:color="auto"/>
            <w:right w:val="none" w:sz="0" w:space="0" w:color="auto"/>
          </w:divBdr>
          <w:divsChild>
            <w:div w:id="880365518">
              <w:marLeft w:val="0"/>
              <w:marRight w:val="0"/>
              <w:marTop w:val="0"/>
              <w:marBottom w:val="0"/>
              <w:divBdr>
                <w:top w:val="none" w:sz="0" w:space="0" w:color="auto"/>
                <w:left w:val="none" w:sz="0" w:space="0" w:color="auto"/>
                <w:bottom w:val="none" w:sz="0" w:space="0" w:color="auto"/>
                <w:right w:val="none" w:sz="0" w:space="0" w:color="auto"/>
              </w:divBdr>
              <w:divsChild>
                <w:div w:id="11060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6765">
      <w:bodyDiv w:val="1"/>
      <w:marLeft w:val="0"/>
      <w:marRight w:val="0"/>
      <w:marTop w:val="0"/>
      <w:marBottom w:val="0"/>
      <w:divBdr>
        <w:top w:val="none" w:sz="0" w:space="0" w:color="auto"/>
        <w:left w:val="none" w:sz="0" w:space="0" w:color="auto"/>
        <w:bottom w:val="none" w:sz="0" w:space="0" w:color="auto"/>
        <w:right w:val="none" w:sz="0" w:space="0" w:color="auto"/>
      </w:divBdr>
    </w:div>
    <w:div w:id="180700707">
      <w:bodyDiv w:val="1"/>
      <w:marLeft w:val="0"/>
      <w:marRight w:val="0"/>
      <w:marTop w:val="0"/>
      <w:marBottom w:val="0"/>
      <w:divBdr>
        <w:top w:val="none" w:sz="0" w:space="0" w:color="auto"/>
        <w:left w:val="none" w:sz="0" w:space="0" w:color="auto"/>
        <w:bottom w:val="none" w:sz="0" w:space="0" w:color="auto"/>
        <w:right w:val="none" w:sz="0" w:space="0" w:color="auto"/>
      </w:divBdr>
    </w:div>
    <w:div w:id="366831455">
      <w:bodyDiv w:val="1"/>
      <w:marLeft w:val="0"/>
      <w:marRight w:val="0"/>
      <w:marTop w:val="0"/>
      <w:marBottom w:val="0"/>
      <w:divBdr>
        <w:top w:val="none" w:sz="0" w:space="0" w:color="auto"/>
        <w:left w:val="none" w:sz="0" w:space="0" w:color="auto"/>
        <w:bottom w:val="none" w:sz="0" w:space="0" w:color="auto"/>
        <w:right w:val="none" w:sz="0" w:space="0" w:color="auto"/>
      </w:divBdr>
      <w:divsChild>
        <w:div w:id="1546287039">
          <w:marLeft w:val="0"/>
          <w:marRight w:val="0"/>
          <w:marTop w:val="0"/>
          <w:marBottom w:val="0"/>
          <w:divBdr>
            <w:top w:val="none" w:sz="0" w:space="0" w:color="auto"/>
            <w:left w:val="none" w:sz="0" w:space="0" w:color="auto"/>
            <w:bottom w:val="none" w:sz="0" w:space="0" w:color="auto"/>
            <w:right w:val="none" w:sz="0" w:space="0" w:color="auto"/>
          </w:divBdr>
          <w:divsChild>
            <w:div w:id="1832139622">
              <w:marLeft w:val="0"/>
              <w:marRight w:val="0"/>
              <w:marTop w:val="0"/>
              <w:marBottom w:val="0"/>
              <w:divBdr>
                <w:top w:val="none" w:sz="0" w:space="0" w:color="auto"/>
                <w:left w:val="none" w:sz="0" w:space="0" w:color="auto"/>
                <w:bottom w:val="none" w:sz="0" w:space="0" w:color="auto"/>
                <w:right w:val="none" w:sz="0" w:space="0" w:color="auto"/>
              </w:divBdr>
              <w:divsChild>
                <w:div w:id="6416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41892">
      <w:bodyDiv w:val="1"/>
      <w:marLeft w:val="0"/>
      <w:marRight w:val="0"/>
      <w:marTop w:val="0"/>
      <w:marBottom w:val="0"/>
      <w:divBdr>
        <w:top w:val="none" w:sz="0" w:space="0" w:color="auto"/>
        <w:left w:val="none" w:sz="0" w:space="0" w:color="auto"/>
        <w:bottom w:val="none" w:sz="0" w:space="0" w:color="auto"/>
        <w:right w:val="none" w:sz="0" w:space="0" w:color="auto"/>
      </w:divBdr>
    </w:div>
    <w:div w:id="508063995">
      <w:bodyDiv w:val="1"/>
      <w:marLeft w:val="0"/>
      <w:marRight w:val="0"/>
      <w:marTop w:val="0"/>
      <w:marBottom w:val="0"/>
      <w:divBdr>
        <w:top w:val="none" w:sz="0" w:space="0" w:color="auto"/>
        <w:left w:val="none" w:sz="0" w:space="0" w:color="auto"/>
        <w:bottom w:val="none" w:sz="0" w:space="0" w:color="auto"/>
        <w:right w:val="none" w:sz="0" w:space="0" w:color="auto"/>
      </w:divBdr>
      <w:divsChild>
        <w:div w:id="1268544485">
          <w:marLeft w:val="620"/>
          <w:marRight w:val="0"/>
          <w:marTop w:val="0"/>
          <w:marBottom w:val="0"/>
          <w:divBdr>
            <w:top w:val="none" w:sz="0" w:space="0" w:color="auto"/>
            <w:left w:val="none" w:sz="0" w:space="0" w:color="auto"/>
            <w:bottom w:val="none" w:sz="0" w:space="0" w:color="auto"/>
            <w:right w:val="none" w:sz="0" w:space="0" w:color="auto"/>
          </w:divBdr>
        </w:div>
        <w:div w:id="889195435">
          <w:marLeft w:val="620"/>
          <w:marRight w:val="0"/>
          <w:marTop w:val="0"/>
          <w:marBottom w:val="0"/>
          <w:divBdr>
            <w:top w:val="none" w:sz="0" w:space="0" w:color="auto"/>
            <w:left w:val="none" w:sz="0" w:space="0" w:color="auto"/>
            <w:bottom w:val="none" w:sz="0" w:space="0" w:color="auto"/>
            <w:right w:val="none" w:sz="0" w:space="0" w:color="auto"/>
          </w:divBdr>
        </w:div>
      </w:divsChild>
    </w:div>
    <w:div w:id="540169404">
      <w:bodyDiv w:val="1"/>
      <w:marLeft w:val="0"/>
      <w:marRight w:val="0"/>
      <w:marTop w:val="0"/>
      <w:marBottom w:val="0"/>
      <w:divBdr>
        <w:top w:val="none" w:sz="0" w:space="0" w:color="auto"/>
        <w:left w:val="none" w:sz="0" w:space="0" w:color="auto"/>
        <w:bottom w:val="none" w:sz="0" w:space="0" w:color="auto"/>
        <w:right w:val="none" w:sz="0" w:space="0" w:color="auto"/>
      </w:divBdr>
      <w:divsChild>
        <w:div w:id="1577588477">
          <w:marLeft w:val="0"/>
          <w:marRight w:val="0"/>
          <w:marTop w:val="0"/>
          <w:marBottom w:val="0"/>
          <w:divBdr>
            <w:top w:val="none" w:sz="0" w:space="0" w:color="auto"/>
            <w:left w:val="none" w:sz="0" w:space="0" w:color="auto"/>
            <w:bottom w:val="none" w:sz="0" w:space="0" w:color="auto"/>
            <w:right w:val="none" w:sz="0" w:space="0" w:color="auto"/>
          </w:divBdr>
          <w:divsChild>
            <w:div w:id="911965922">
              <w:marLeft w:val="0"/>
              <w:marRight w:val="0"/>
              <w:marTop w:val="0"/>
              <w:marBottom w:val="0"/>
              <w:divBdr>
                <w:top w:val="none" w:sz="0" w:space="0" w:color="auto"/>
                <w:left w:val="none" w:sz="0" w:space="0" w:color="auto"/>
                <w:bottom w:val="none" w:sz="0" w:space="0" w:color="auto"/>
                <w:right w:val="none" w:sz="0" w:space="0" w:color="auto"/>
              </w:divBdr>
              <w:divsChild>
                <w:div w:id="1287353317">
                  <w:marLeft w:val="0"/>
                  <w:marRight w:val="0"/>
                  <w:marTop w:val="0"/>
                  <w:marBottom w:val="0"/>
                  <w:divBdr>
                    <w:top w:val="single" w:sz="6" w:space="0" w:color="F0F0F0"/>
                    <w:left w:val="none" w:sz="0" w:space="0" w:color="auto"/>
                    <w:bottom w:val="none" w:sz="0" w:space="0" w:color="auto"/>
                    <w:right w:val="none" w:sz="0" w:space="0" w:color="auto"/>
                  </w:divBdr>
                  <w:divsChild>
                    <w:div w:id="415978657">
                      <w:marLeft w:val="0"/>
                      <w:marRight w:val="0"/>
                      <w:marTop w:val="0"/>
                      <w:marBottom w:val="0"/>
                      <w:divBdr>
                        <w:top w:val="none" w:sz="0" w:space="0" w:color="auto"/>
                        <w:left w:val="none" w:sz="0" w:space="0" w:color="auto"/>
                        <w:bottom w:val="single" w:sz="12" w:space="0" w:color="F0F0F0"/>
                        <w:right w:val="none" w:sz="0" w:space="0" w:color="auto"/>
                      </w:divBdr>
                      <w:divsChild>
                        <w:div w:id="1553077640">
                          <w:marLeft w:val="0"/>
                          <w:marRight w:val="0"/>
                          <w:marTop w:val="0"/>
                          <w:marBottom w:val="0"/>
                          <w:divBdr>
                            <w:top w:val="none" w:sz="0" w:space="0" w:color="auto"/>
                            <w:left w:val="none" w:sz="0" w:space="0" w:color="auto"/>
                            <w:bottom w:val="none" w:sz="0" w:space="0" w:color="auto"/>
                            <w:right w:val="none" w:sz="0" w:space="0" w:color="auto"/>
                          </w:divBdr>
                          <w:divsChild>
                            <w:div w:id="186792347">
                              <w:marLeft w:val="0"/>
                              <w:marRight w:val="0"/>
                              <w:marTop w:val="0"/>
                              <w:marBottom w:val="0"/>
                              <w:divBdr>
                                <w:top w:val="none" w:sz="0" w:space="0" w:color="auto"/>
                                <w:left w:val="none" w:sz="0" w:space="0" w:color="auto"/>
                                <w:bottom w:val="none" w:sz="0" w:space="0" w:color="auto"/>
                                <w:right w:val="none" w:sz="0" w:space="0" w:color="auto"/>
                              </w:divBdr>
                            </w:div>
                            <w:div w:id="2145350859">
                              <w:marLeft w:val="0"/>
                              <w:marRight w:val="0"/>
                              <w:marTop w:val="0"/>
                              <w:marBottom w:val="0"/>
                              <w:divBdr>
                                <w:top w:val="none" w:sz="0" w:space="0" w:color="auto"/>
                                <w:left w:val="none" w:sz="0" w:space="0" w:color="auto"/>
                                <w:bottom w:val="none" w:sz="0" w:space="0" w:color="auto"/>
                                <w:right w:val="none" w:sz="0" w:space="0" w:color="auto"/>
                              </w:divBdr>
                            </w:div>
                            <w:div w:id="1723092784">
                              <w:marLeft w:val="0"/>
                              <w:marRight w:val="0"/>
                              <w:marTop w:val="0"/>
                              <w:marBottom w:val="0"/>
                              <w:divBdr>
                                <w:top w:val="none" w:sz="0" w:space="0" w:color="auto"/>
                                <w:left w:val="none" w:sz="0" w:space="0" w:color="auto"/>
                                <w:bottom w:val="none" w:sz="0" w:space="0" w:color="auto"/>
                                <w:right w:val="none" w:sz="0" w:space="0" w:color="auto"/>
                              </w:divBdr>
                            </w:div>
                            <w:div w:id="388841161">
                              <w:marLeft w:val="0"/>
                              <w:marRight w:val="0"/>
                              <w:marTop w:val="0"/>
                              <w:marBottom w:val="0"/>
                              <w:divBdr>
                                <w:top w:val="none" w:sz="0" w:space="0" w:color="auto"/>
                                <w:left w:val="none" w:sz="0" w:space="0" w:color="auto"/>
                                <w:bottom w:val="none" w:sz="0" w:space="0" w:color="auto"/>
                                <w:right w:val="none" w:sz="0" w:space="0" w:color="auto"/>
                              </w:divBdr>
                            </w:div>
                            <w:div w:id="1290435675">
                              <w:marLeft w:val="0"/>
                              <w:marRight w:val="0"/>
                              <w:marTop w:val="0"/>
                              <w:marBottom w:val="0"/>
                              <w:divBdr>
                                <w:top w:val="single" w:sz="6" w:space="0" w:color="DADADA"/>
                                <w:left w:val="single" w:sz="6" w:space="0" w:color="DADADA"/>
                                <w:bottom w:val="single" w:sz="6" w:space="0" w:color="DADADA"/>
                                <w:right w:val="single" w:sz="6" w:space="0" w:color="DADADA"/>
                              </w:divBdr>
                            </w:div>
                            <w:div w:id="1605190937">
                              <w:marLeft w:val="0"/>
                              <w:marRight w:val="0"/>
                              <w:marTop w:val="0"/>
                              <w:marBottom w:val="0"/>
                              <w:divBdr>
                                <w:top w:val="none" w:sz="0" w:space="0" w:color="auto"/>
                                <w:left w:val="none" w:sz="0" w:space="0" w:color="auto"/>
                                <w:bottom w:val="none" w:sz="0" w:space="0" w:color="auto"/>
                                <w:right w:val="none" w:sz="0" w:space="0" w:color="auto"/>
                              </w:divBdr>
                            </w:div>
                            <w:div w:id="1356273564">
                              <w:marLeft w:val="0"/>
                              <w:marRight w:val="0"/>
                              <w:marTop w:val="0"/>
                              <w:marBottom w:val="0"/>
                              <w:divBdr>
                                <w:top w:val="none" w:sz="0" w:space="0" w:color="auto"/>
                                <w:left w:val="none" w:sz="0" w:space="0" w:color="auto"/>
                                <w:bottom w:val="none" w:sz="0" w:space="0" w:color="auto"/>
                                <w:right w:val="none" w:sz="0" w:space="0" w:color="auto"/>
                              </w:divBdr>
                              <w:divsChild>
                                <w:div w:id="17329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305837">
          <w:marLeft w:val="0"/>
          <w:marRight w:val="0"/>
          <w:marTop w:val="0"/>
          <w:marBottom w:val="0"/>
          <w:divBdr>
            <w:top w:val="none" w:sz="0" w:space="0" w:color="auto"/>
            <w:left w:val="none" w:sz="0" w:space="0" w:color="auto"/>
            <w:bottom w:val="none" w:sz="0" w:space="0" w:color="auto"/>
            <w:right w:val="none" w:sz="0" w:space="0" w:color="auto"/>
          </w:divBdr>
          <w:divsChild>
            <w:div w:id="110327642">
              <w:marLeft w:val="0"/>
              <w:marRight w:val="0"/>
              <w:marTop w:val="0"/>
              <w:marBottom w:val="0"/>
              <w:divBdr>
                <w:top w:val="none" w:sz="0" w:space="0" w:color="auto"/>
                <w:left w:val="none" w:sz="0" w:space="0" w:color="auto"/>
                <w:bottom w:val="none" w:sz="0" w:space="0" w:color="auto"/>
                <w:right w:val="none" w:sz="0" w:space="0" w:color="auto"/>
              </w:divBdr>
              <w:divsChild>
                <w:div w:id="1385325982">
                  <w:marLeft w:val="0"/>
                  <w:marRight w:val="0"/>
                  <w:marTop w:val="0"/>
                  <w:marBottom w:val="0"/>
                  <w:divBdr>
                    <w:top w:val="none" w:sz="0" w:space="0" w:color="auto"/>
                    <w:left w:val="none" w:sz="0" w:space="0" w:color="auto"/>
                    <w:bottom w:val="none" w:sz="0" w:space="0" w:color="auto"/>
                    <w:right w:val="none" w:sz="0" w:space="0" w:color="auto"/>
                  </w:divBdr>
                  <w:divsChild>
                    <w:div w:id="1858039971">
                      <w:marLeft w:val="660"/>
                      <w:marRight w:val="660"/>
                      <w:marTop w:val="0"/>
                      <w:marBottom w:val="0"/>
                      <w:divBdr>
                        <w:top w:val="none" w:sz="0" w:space="0" w:color="auto"/>
                        <w:left w:val="none" w:sz="0" w:space="0" w:color="auto"/>
                        <w:bottom w:val="none" w:sz="0" w:space="0" w:color="auto"/>
                        <w:right w:val="none" w:sz="0" w:space="0" w:color="auto"/>
                      </w:divBdr>
                      <w:divsChild>
                        <w:div w:id="2089692160">
                          <w:marLeft w:val="0"/>
                          <w:marRight w:val="0"/>
                          <w:marTop w:val="0"/>
                          <w:marBottom w:val="0"/>
                          <w:divBdr>
                            <w:top w:val="none" w:sz="0" w:space="0" w:color="auto"/>
                            <w:left w:val="none" w:sz="0" w:space="0" w:color="auto"/>
                            <w:bottom w:val="none" w:sz="0" w:space="0" w:color="auto"/>
                            <w:right w:val="none" w:sz="0" w:space="0" w:color="auto"/>
                          </w:divBdr>
                          <w:divsChild>
                            <w:div w:id="1778524502">
                              <w:marLeft w:val="0"/>
                              <w:marRight w:val="0"/>
                              <w:marTop w:val="0"/>
                              <w:marBottom w:val="0"/>
                              <w:divBdr>
                                <w:top w:val="single" w:sz="6" w:space="0" w:color="F0F0F0"/>
                                <w:left w:val="single" w:sz="6" w:space="0" w:color="F0F0F0"/>
                                <w:bottom w:val="single" w:sz="6" w:space="0" w:color="F0F0F0"/>
                                <w:right w:val="single" w:sz="6" w:space="0" w:color="F0F0F0"/>
                              </w:divBdr>
                              <w:divsChild>
                                <w:div w:id="1914391857">
                                  <w:marLeft w:val="0"/>
                                  <w:marRight w:val="0"/>
                                  <w:marTop w:val="0"/>
                                  <w:marBottom w:val="0"/>
                                  <w:divBdr>
                                    <w:top w:val="none" w:sz="0" w:space="0" w:color="auto"/>
                                    <w:left w:val="none" w:sz="0" w:space="0" w:color="auto"/>
                                    <w:bottom w:val="none" w:sz="0" w:space="0" w:color="auto"/>
                                    <w:right w:val="none" w:sz="0" w:space="0" w:color="auto"/>
                                  </w:divBdr>
                                  <w:divsChild>
                                    <w:div w:id="226234098">
                                      <w:marLeft w:val="0"/>
                                      <w:marRight w:val="0"/>
                                      <w:marTop w:val="0"/>
                                      <w:marBottom w:val="0"/>
                                      <w:divBdr>
                                        <w:top w:val="none" w:sz="0" w:space="0" w:color="auto"/>
                                        <w:left w:val="none" w:sz="0" w:space="0" w:color="auto"/>
                                        <w:bottom w:val="none" w:sz="0" w:space="0" w:color="auto"/>
                                        <w:right w:val="none" w:sz="0" w:space="0" w:color="auto"/>
                                      </w:divBdr>
                                      <w:divsChild>
                                        <w:div w:id="618953663">
                                          <w:marLeft w:val="0"/>
                                          <w:marRight w:val="0"/>
                                          <w:marTop w:val="0"/>
                                          <w:marBottom w:val="0"/>
                                          <w:divBdr>
                                            <w:top w:val="none" w:sz="0" w:space="0" w:color="auto"/>
                                            <w:left w:val="none" w:sz="0" w:space="0" w:color="auto"/>
                                            <w:bottom w:val="none" w:sz="0" w:space="0" w:color="auto"/>
                                            <w:right w:val="none" w:sz="0" w:space="0" w:color="auto"/>
                                          </w:divBdr>
                                          <w:divsChild>
                                            <w:div w:id="1799105099">
                                              <w:marLeft w:val="0"/>
                                              <w:marRight w:val="0"/>
                                              <w:marTop w:val="0"/>
                                              <w:marBottom w:val="0"/>
                                              <w:divBdr>
                                                <w:top w:val="none" w:sz="0" w:space="0" w:color="auto"/>
                                                <w:left w:val="none" w:sz="0" w:space="0" w:color="auto"/>
                                                <w:bottom w:val="none" w:sz="0" w:space="0" w:color="auto"/>
                                                <w:right w:val="none" w:sz="0" w:space="0" w:color="auto"/>
                                              </w:divBdr>
                                              <w:divsChild>
                                                <w:div w:id="692726112">
                                                  <w:marLeft w:val="0"/>
                                                  <w:marRight w:val="0"/>
                                                  <w:marTop w:val="0"/>
                                                  <w:marBottom w:val="0"/>
                                                  <w:divBdr>
                                                    <w:top w:val="none" w:sz="0" w:space="0" w:color="auto"/>
                                                    <w:left w:val="none" w:sz="0" w:space="0" w:color="auto"/>
                                                    <w:bottom w:val="none" w:sz="0" w:space="0" w:color="auto"/>
                                                    <w:right w:val="none" w:sz="0" w:space="0" w:color="auto"/>
                                                  </w:divBdr>
                                                  <w:divsChild>
                                                    <w:div w:id="1586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905881">
                          <w:marLeft w:val="0"/>
                          <w:marRight w:val="0"/>
                          <w:marTop w:val="240"/>
                          <w:marBottom w:val="0"/>
                          <w:divBdr>
                            <w:top w:val="none" w:sz="0" w:space="0" w:color="auto"/>
                            <w:left w:val="none" w:sz="0" w:space="0" w:color="auto"/>
                            <w:bottom w:val="none" w:sz="0" w:space="0" w:color="auto"/>
                            <w:right w:val="none" w:sz="0" w:space="0" w:color="auto"/>
                          </w:divBdr>
                          <w:divsChild>
                            <w:div w:id="1477186319">
                              <w:marLeft w:val="0"/>
                              <w:marRight w:val="0"/>
                              <w:marTop w:val="0"/>
                              <w:marBottom w:val="0"/>
                              <w:divBdr>
                                <w:top w:val="none" w:sz="0" w:space="0" w:color="auto"/>
                                <w:left w:val="none" w:sz="0" w:space="0" w:color="auto"/>
                                <w:bottom w:val="none" w:sz="0" w:space="0" w:color="auto"/>
                                <w:right w:val="none" w:sz="0" w:space="0" w:color="auto"/>
                              </w:divBdr>
                              <w:divsChild>
                                <w:div w:id="1869949160">
                                  <w:marLeft w:val="0"/>
                                  <w:marRight w:val="0"/>
                                  <w:marTop w:val="0"/>
                                  <w:marBottom w:val="0"/>
                                  <w:divBdr>
                                    <w:top w:val="none" w:sz="0" w:space="0" w:color="auto"/>
                                    <w:left w:val="none" w:sz="0" w:space="0" w:color="auto"/>
                                    <w:bottom w:val="none" w:sz="0" w:space="0" w:color="auto"/>
                                    <w:right w:val="none" w:sz="0" w:space="0" w:color="auto"/>
                                  </w:divBdr>
                                  <w:divsChild>
                                    <w:div w:id="1664971998">
                                      <w:marLeft w:val="0"/>
                                      <w:marRight w:val="0"/>
                                      <w:marTop w:val="0"/>
                                      <w:marBottom w:val="0"/>
                                      <w:divBdr>
                                        <w:top w:val="none" w:sz="0" w:space="0" w:color="auto"/>
                                        <w:left w:val="none" w:sz="0" w:space="0" w:color="auto"/>
                                        <w:bottom w:val="none" w:sz="0" w:space="0" w:color="auto"/>
                                        <w:right w:val="none" w:sz="0" w:space="0" w:color="auto"/>
                                      </w:divBdr>
                                      <w:divsChild>
                                        <w:div w:id="2119448679">
                                          <w:marLeft w:val="0"/>
                                          <w:marRight w:val="0"/>
                                          <w:marTop w:val="0"/>
                                          <w:marBottom w:val="0"/>
                                          <w:divBdr>
                                            <w:top w:val="none" w:sz="0" w:space="0" w:color="auto"/>
                                            <w:left w:val="none" w:sz="0" w:space="0" w:color="auto"/>
                                            <w:bottom w:val="none" w:sz="0" w:space="0" w:color="auto"/>
                                            <w:right w:val="none" w:sz="0" w:space="0" w:color="auto"/>
                                          </w:divBdr>
                                        </w:div>
                                      </w:divsChild>
                                    </w:div>
                                    <w:div w:id="1631085999">
                                      <w:marLeft w:val="0"/>
                                      <w:marRight w:val="0"/>
                                      <w:marTop w:val="0"/>
                                      <w:marBottom w:val="0"/>
                                      <w:divBdr>
                                        <w:top w:val="none" w:sz="0" w:space="0" w:color="auto"/>
                                        <w:left w:val="none" w:sz="0" w:space="0" w:color="auto"/>
                                        <w:bottom w:val="none" w:sz="0" w:space="0" w:color="auto"/>
                                        <w:right w:val="none" w:sz="0" w:space="0" w:color="auto"/>
                                      </w:divBdr>
                                      <w:divsChild>
                                        <w:div w:id="773595104">
                                          <w:marLeft w:val="0"/>
                                          <w:marRight w:val="0"/>
                                          <w:marTop w:val="0"/>
                                          <w:marBottom w:val="0"/>
                                          <w:divBdr>
                                            <w:top w:val="none" w:sz="0" w:space="0" w:color="auto"/>
                                            <w:left w:val="none" w:sz="0" w:space="0" w:color="auto"/>
                                            <w:bottom w:val="none" w:sz="0" w:space="0" w:color="auto"/>
                                            <w:right w:val="none" w:sz="0" w:space="0" w:color="auto"/>
                                          </w:divBdr>
                                          <w:divsChild>
                                            <w:div w:id="5593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5305">
                                      <w:marLeft w:val="0"/>
                                      <w:marRight w:val="0"/>
                                      <w:marTop w:val="0"/>
                                      <w:marBottom w:val="0"/>
                                      <w:divBdr>
                                        <w:top w:val="none" w:sz="0" w:space="0" w:color="auto"/>
                                        <w:left w:val="none" w:sz="0" w:space="0" w:color="auto"/>
                                        <w:bottom w:val="none" w:sz="0" w:space="0" w:color="auto"/>
                                        <w:right w:val="none" w:sz="0" w:space="0" w:color="auto"/>
                                      </w:divBdr>
                                      <w:divsChild>
                                        <w:div w:id="1058283587">
                                          <w:marLeft w:val="0"/>
                                          <w:marRight w:val="0"/>
                                          <w:marTop w:val="0"/>
                                          <w:marBottom w:val="0"/>
                                          <w:divBdr>
                                            <w:top w:val="none" w:sz="0" w:space="0" w:color="auto"/>
                                            <w:left w:val="none" w:sz="0" w:space="0" w:color="auto"/>
                                            <w:bottom w:val="none" w:sz="0" w:space="0" w:color="auto"/>
                                            <w:right w:val="none" w:sz="0" w:space="0" w:color="auto"/>
                                          </w:divBdr>
                                          <w:divsChild>
                                            <w:div w:id="21292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392210">
      <w:bodyDiv w:val="1"/>
      <w:marLeft w:val="0"/>
      <w:marRight w:val="0"/>
      <w:marTop w:val="0"/>
      <w:marBottom w:val="0"/>
      <w:divBdr>
        <w:top w:val="none" w:sz="0" w:space="0" w:color="auto"/>
        <w:left w:val="none" w:sz="0" w:space="0" w:color="auto"/>
        <w:bottom w:val="none" w:sz="0" w:space="0" w:color="auto"/>
        <w:right w:val="none" w:sz="0" w:space="0" w:color="auto"/>
      </w:divBdr>
    </w:div>
    <w:div w:id="578101238">
      <w:bodyDiv w:val="1"/>
      <w:marLeft w:val="0"/>
      <w:marRight w:val="0"/>
      <w:marTop w:val="0"/>
      <w:marBottom w:val="0"/>
      <w:divBdr>
        <w:top w:val="none" w:sz="0" w:space="0" w:color="auto"/>
        <w:left w:val="none" w:sz="0" w:space="0" w:color="auto"/>
        <w:bottom w:val="none" w:sz="0" w:space="0" w:color="auto"/>
        <w:right w:val="none" w:sz="0" w:space="0" w:color="auto"/>
      </w:divBdr>
    </w:div>
    <w:div w:id="640118345">
      <w:bodyDiv w:val="1"/>
      <w:marLeft w:val="0"/>
      <w:marRight w:val="0"/>
      <w:marTop w:val="0"/>
      <w:marBottom w:val="0"/>
      <w:divBdr>
        <w:top w:val="none" w:sz="0" w:space="0" w:color="auto"/>
        <w:left w:val="none" w:sz="0" w:space="0" w:color="auto"/>
        <w:bottom w:val="none" w:sz="0" w:space="0" w:color="auto"/>
        <w:right w:val="none" w:sz="0" w:space="0" w:color="auto"/>
      </w:divBdr>
      <w:divsChild>
        <w:div w:id="185145764">
          <w:marLeft w:val="0"/>
          <w:marRight w:val="0"/>
          <w:marTop w:val="0"/>
          <w:marBottom w:val="0"/>
          <w:divBdr>
            <w:top w:val="none" w:sz="0" w:space="0" w:color="auto"/>
            <w:left w:val="none" w:sz="0" w:space="0" w:color="auto"/>
            <w:bottom w:val="none" w:sz="0" w:space="0" w:color="auto"/>
            <w:right w:val="none" w:sz="0" w:space="0" w:color="auto"/>
          </w:divBdr>
          <w:divsChild>
            <w:div w:id="1145317192">
              <w:marLeft w:val="0"/>
              <w:marRight w:val="0"/>
              <w:marTop w:val="0"/>
              <w:marBottom w:val="0"/>
              <w:divBdr>
                <w:top w:val="none" w:sz="0" w:space="0" w:color="auto"/>
                <w:left w:val="none" w:sz="0" w:space="0" w:color="auto"/>
                <w:bottom w:val="none" w:sz="0" w:space="0" w:color="auto"/>
                <w:right w:val="none" w:sz="0" w:space="0" w:color="auto"/>
              </w:divBdr>
              <w:divsChild>
                <w:div w:id="11425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32343">
      <w:bodyDiv w:val="1"/>
      <w:marLeft w:val="0"/>
      <w:marRight w:val="0"/>
      <w:marTop w:val="0"/>
      <w:marBottom w:val="0"/>
      <w:divBdr>
        <w:top w:val="none" w:sz="0" w:space="0" w:color="auto"/>
        <w:left w:val="none" w:sz="0" w:space="0" w:color="auto"/>
        <w:bottom w:val="none" w:sz="0" w:space="0" w:color="auto"/>
        <w:right w:val="none" w:sz="0" w:space="0" w:color="auto"/>
      </w:divBdr>
    </w:div>
    <w:div w:id="902060682">
      <w:bodyDiv w:val="1"/>
      <w:marLeft w:val="0"/>
      <w:marRight w:val="0"/>
      <w:marTop w:val="0"/>
      <w:marBottom w:val="0"/>
      <w:divBdr>
        <w:top w:val="none" w:sz="0" w:space="0" w:color="auto"/>
        <w:left w:val="none" w:sz="0" w:space="0" w:color="auto"/>
        <w:bottom w:val="none" w:sz="0" w:space="0" w:color="auto"/>
        <w:right w:val="none" w:sz="0" w:space="0" w:color="auto"/>
      </w:divBdr>
    </w:div>
    <w:div w:id="983434629">
      <w:bodyDiv w:val="1"/>
      <w:marLeft w:val="0"/>
      <w:marRight w:val="0"/>
      <w:marTop w:val="0"/>
      <w:marBottom w:val="0"/>
      <w:divBdr>
        <w:top w:val="none" w:sz="0" w:space="0" w:color="auto"/>
        <w:left w:val="none" w:sz="0" w:space="0" w:color="auto"/>
        <w:bottom w:val="none" w:sz="0" w:space="0" w:color="auto"/>
        <w:right w:val="none" w:sz="0" w:space="0" w:color="auto"/>
      </w:divBdr>
    </w:div>
    <w:div w:id="1004090219">
      <w:bodyDiv w:val="1"/>
      <w:marLeft w:val="0"/>
      <w:marRight w:val="0"/>
      <w:marTop w:val="0"/>
      <w:marBottom w:val="0"/>
      <w:divBdr>
        <w:top w:val="none" w:sz="0" w:space="0" w:color="auto"/>
        <w:left w:val="none" w:sz="0" w:space="0" w:color="auto"/>
        <w:bottom w:val="none" w:sz="0" w:space="0" w:color="auto"/>
        <w:right w:val="none" w:sz="0" w:space="0" w:color="auto"/>
      </w:divBdr>
      <w:divsChild>
        <w:div w:id="675152881">
          <w:marLeft w:val="0"/>
          <w:marRight w:val="0"/>
          <w:marTop w:val="0"/>
          <w:marBottom w:val="0"/>
          <w:divBdr>
            <w:top w:val="none" w:sz="0" w:space="0" w:color="auto"/>
            <w:left w:val="none" w:sz="0" w:space="0" w:color="auto"/>
            <w:bottom w:val="none" w:sz="0" w:space="0" w:color="auto"/>
            <w:right w:val="none" w:sz="0" w:space="0" w:color="auto"/>
          </w:divBdr>
          <w:divsChild>
            <w:div w:id="542060208">
              <w:marLeft w:val="0"/>
              <w:marRight w:val="0"/>
              <w:marTop w:val="0"/>
              <w:marBottom w:val="0"/>
              <w:divBdr>
                <w:top w:val="none" w:sz="0" w:space="0" w:color="auto"/>
                <w:left w:val="none" w:sz="0" w:space="0" w:color="auto"/>
                <w:bottom w:val="none" w:sz="0" w:space="0" w:color="auto"/>
                <w:right w:val="none" w:sz="0" w:space="0" w:color="auto"/>
              </w:divBdr>
              <w:divsChild>
                <w:div w:id="7231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91117">
      <w:bodyDiv w:val="1"/>
      <w:marLeft w:val="0"/>
      <w:marRight w:val="0"/>
      <w:marTop w:val="0"/>
      <w:marBottom w:val="0"/>
      <w:divBdr>
        <w:top w:val="none" w:sz="0" w:space="0" w:color="auto"/>
        <w:left w:val="none" w:sz="0" w:space="0" w:color="auto"/>
        <w:bottom w:val="none" w:sz="0" w:space="0" w:color="auto"/>
        <w:right w:val="none" w:sz="0" w:space="0" w:color="auto"/>
      </w:divBdr>
    </w:div>
    <w:div w:id="1019355434">
      <w:bodyDiv w:val="1"/>
      <w:marLeft w:val="0"/>
      <w:marRight w:val="0"/>
      <w:marTop w:val="0"/>
      <w:marBottom w:val="0"/>
      <w:divBdr>
        <w:top w:val="none" w:sz="0" w:space="0" w:color="auto"/>
        <w:left w:val="none" w:sz="0" w:space="0" w:color="auto"/>
        <w:bottom w:val="none" w:sz="0" w:space="0" w:color="auto"/>
        <w:right w:val="none" w:sz="0" w:space="0" w:color="auto"/>
      </w:divBdr>
      <w:divsChild>
        <w:div w:id="1156066802">
          <w:marLeft w:val="620"/>
          <w:marRight w:val="0"/>
          <w:marTop w:val="0"/>
          <w:marBottom w:val="0"/>
          <w:divBdr>
            <w:top w:val="none" w:sz="0" w:space="0" w:color="auto"/>
            <w:left w:val="none" w:sz="0" w:space="0" w:color="auto"/>
            <w:bottom w:val="none" w:sz="0" w:space="0" w:color="auto"/>
            <w:right w:val="none" w:sz="0" w:space="0" w:color="auto"/>
          </w:divBdr>
        </w:div>
        <w:div w:id="595209157">
          <w:marLeft w:val="620"/>
          <w:marRight w:val="0"/>
          <w:marTop w:val="0"/>
          <w:marBottom w:val="0"/>
          <w:divBdr>
            <w:top w:val="none" w:sz="0" w:space="0" w:color="auto"/>
            <w:left w:val="none" w:sz="0" w:space="0" w:color="auto"/>
            <w:bottom w:val="none" w:sz="0" w:space="0" w:color="auto"/>
            <w:right w:val="none" w:sz="0" w:space="0" w:color="auto"/>
          </w:divBdr>
        </w:div>
      </w:divsChild>
    </w:div>
    <w:div w:id="1075474478">
      <w:bodyDiv w:val="1"/>
      <w:marLeft w:val="0"/>
      <w:marRight w:val="0"/>
      <w:marTop w:val="0"/>
      <w:marBottom w:val="0"/>
      <w:divBdr>
        <w:top w:val="none" w:sz="0" w:space="0" w:color="auto"/>
        <w:left w:val="none" w:sz="0" w:space="0" w:color="auto"/>
        <w:bottom w:val="none" w:sz="0" w:space="0" w:color="auto"/>
        <w:right w:val="none" w:sz="0" w:space="0" w:color="auto"/>
      </w:divBdr>
      <w:divsChild>
        <w:div w:id="536166159">
          <w:marLeft w:val="0"/>
          <w:marRight w:val="0"/>
          <w:marTop w:val="0"/>
          <w:marBottom w:val="0"/>
          <w:divBdr>
            <w:top w:val="none" w:sz="0" w:space="0" w:color="auto"/>
            <w:left w:val="none" w:sz="0" w:space="0" w:color="auto"/>
            <w:bottom w:val="none" w:sz="0" w:space="0" w:color="auto"/>
            <w:right w:val="none" w:sz="0" w:space="0" w:color="auto"/>
          </w:divBdr>
          <w:divsChild>
            <w:div w:id="1625036529">
              <w:marLeft w:val="0"/>
              <w:marRight w:val="0"/>
              <w:marTop w:val="0"/>
              <w:marBottom w:val="0"/>
              <w:divBdr>
                <w:top w:val="none" w:sz="0" w:space="0" w:color="auto"/>
                <w:left w:val="none" w:sz="0" w:space="0" w:color="auto"/>
                <w:bottom w:val="none" w:sz="0" w:space="0" w:color="auto"/>
                <w:right w:val="none" w:sz="0" w:space="0" w:color="auto"/>
              </w:divBdr>
              <w:divsChild>
                <w:div w:id="2240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73777">
      <w:bodyDiv w:val="1"/>
      <w:marLeft w:val="0"/>
      <w:marRight w:val="0"/>
      <w:marTop w:val="0"/>
      <w:marBottom w:val="0"/>
      <w:divBdr>
        <w:top w:val="none" w:sz="0" w:space="0" w:color="auto"/>
        <w:left w:val="none" w:sz="0" w:space="0" w:color="auto"/>
        <w:bottom w:val="none" w:sz="0" w:space="0" w:color="auto"/>
        <w:right w:val="none" w:sz="0" w:space="0" w:color="auto"/>
      </w:divBdr>
    </w:div>
    <w:div w:id="1138841706">
      <w:bodyDiv w:val="1"/>
      <w:marLeft w:val="0"/>
      <w:marRight w:val="0"/>
      <w:marTop w:val="0"/>
      <w:marBottom w:val="0"/>
      <w:divBdr>
        <w:top w:val="none" w:sz="0" w:space="0" w:color="auto"/>
        <w:left w:val="none" w:sz="0" w:space="0" w:color="auto"/>
        <w:bottom w:val="none" w:sz="0" w:space="0" w:color="auto"/>
        <w:right w:val="none" w:sz="0" w:space="0" w:color="auto"/>
      </w:divBdr>
    </w:div>
    <w:div w:id="1201360476">
      <w:bodyDiv w:val="1"/>
      <w:marLeft w:val="0"/>
      <w:marRight w:val="0"/>
      <w:marTop w:val="0"/>
      <w:marBottom w:val="0"/>
      <w:divBdr>
        <w:top w:val="none" w:sz="0" w:space="0" w:color="auto"/>
        <w:left w:val="none" w:sz="0" w:space="0" w:color="auto"/>
        <w:bottom w:val="none" w:sz="0" w:space="0" w:color="auto"/>
        <w:right w:val="none" w:sz="0" w:space="0" w:color="auto"/>
      </w:divBdr>
    </w:div>
    <w:div w:id="1345591552">
      <w:bodyDiv w:val="1"/>
      <w:marLeft w:val="0"/>
      <w:marRight w:val="0"/>
      <w:marTop w:val="0"/>
      <w:marBottom w:val="0"/>
      <w:divBdr>
        <w:top w:val="none" w:sz="0" w:space="0" w:color="auto"/>
        <w:left w:val="none" w:sz="0" w:space="0" w:color="auto"/>
        <w:bottom w:val="none" w:sz="0" w:space="0" w:color="auto"/>
        <w:right w:val="none" w:sz="0" w:space="0" w:color="auto"/>
      </w:divBdr>
    </w:div>
    <w:div w:id="1412048517">
      <w:bodyDiv w:val="1"/>
      <w:marLeft w:val="0"/>
      <w:marRight w:val="0"/>
      <w:marTop w:val="0"/>
      <w:marBottom w:val="0"/>
      <w:divBdr>
        <w:top w:val="none" w:sz="0" w:space="0" w:color="auto"/>
        <w:left w:val="none" w:sz="0" w:space="0" w:color="auto"/>
        <w:bottom w:val="none" w:sz="0" w:space="0" w:color="auto"/>
        <w:right w:val="none" w:sz="0" w:space="0" w:color="auto"/>
      </w:divBdr>
    </w:div>
    <w:div w:id="1422026953">
      <w:bodyDiv w:val="1"/>
      <w:marLeft w:val="0"/>
      <w:marRight w:val="0"/>
      <w:marTop w:val="0"/>
      <w:marBottom w:val="0"/>
      <w:divBdr>
        <w:top w:val="none" w:sz="0" w:space="0" w:color="auto"/>
        <w:left w:val="none" w:sz="0" w:space="0" w:color="auto"/>
        <w:bottom w:val="none" w:sz="0" w:space="0" w:color="auto"/>
        <w:right w:val="none" w:sz="0" w:space="0" w:color="auto"/>
      </w:divBdr>
    </w:div>
    <w:div w:id="1438259671">
      <w:bodyDiv w:val="1"/>
      <w:marLeft w:val="0"/>
      <w:marRight w:val="0"/>
      <w:marTop w:val="0"/>
      <w:marBottom w:val="0"/>
      <w:divBdr>
        <w:top w:val="none" w:sz="0" w:space="0" w:color="auto"/>
        <w:left w:val="none" w:sz="0" w:space="0" w:color="auto"/>
        <w:bottom w:val="none" w:sz="0" w:space="0" w:color="auto"/>
        <w:right w:val="none" w:sz="0" w:space="0" w:color="auto"/>
      </w:divBdr>
      <w:divsChild>
        <w:div w:id="1610893116">
          <w:marLeft w:val="0"/>
          <w:marRight w:val="0"/>
          <w:marTop w:val="0"/>
          <w:marBottom w:val="0"/>
          <w:divBdr>
            <w:top w:val="none" w:sz="0" w:space="0" w:color="auto"/>
            <w:left w:val="none" w:sz="0" w:space="0" w:color="auto"/>
            <w:bottom w:val="none" w:sz="0" w:space="0" w:color="auto"/>
            <w:right w:val="none" w:sz="0" w:space="0" w:color="auto"/>
          </w:divBdr>
          <w:divsChild>
            <w:div w:id="1250962177">
              <w:marLeft w:val="0"/>
              <w:marRight w:val="0"/>
              <w:marTop w:val="0"/>
              <w:marBottom w:val="0"/>
              <w:divBdr>
                <w:top w:val="none" w:sz="0" w:space="0" w:color="auto"/>
                <w:left w:val="none" w:sz="0" w:space="0" w:color="auto"/>
                <w:bottom w:val="none" w:sz="0" w:space="0" w:color="auto"/>
                <w:right w:val="none" w:sz="0" w:space="0" w:color="auto"/>
              </w:divBdr>
              <w:divsChild>
                <w:div w:id="2404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03035">
      <w:bodyDiv w:val="1"/>
      <w:marLeft w:val="0"/>
      <w:marRight w:val="0"/>
      <w:marTop w:val="0"/>
      <w:marBottom w:val="0"/>
      <w:divBdr>
        <w:top w:val="none" w:sz="0" w:space="0" w:color="auto"/>
        <w:left w:val="none" w:sz="0" w:space="0" w:color="auto"/>
        <w:bottom w:val="none" w:sz="0" w:space="0" w:color="auto"/>
        <w:right w:val="none" w:sz="0" w:space="0" w:color="auto"/>
      </w:divBdr>
    </w:div>
    <w:div w:id="1476528166">
      <w:bodyDiv w:val="1"/>
      <w:marLeft w:val="0"/>
      <w:marRight w:val="0"/>
      <w:marTop w:val="0"/>
      <w:marBottom w:val="0"/>
      <w:divBdr>
        <w:top w:val="none" w:sz="0" w:space="0" w:color="auto"/>
        <w:left w:val="none" w:sz="0" w:space="0" w:color="auto"/>
        <w:bottom w:val="none" w:sz="0" w:space="0" w:color="auto"/>
        <w:right w:val="none" w:sz="0" w:space="0" w:color="auto"/>
      </w:divBdr>
    </w:div>
    <w:div w:id="1499612100">
      <w:bodyDiv w:val="1"/>
      <w:marLeft w:val="0"/>
      <w:marRight w:val="0"/>
      <w:marTop w:val="0"/>
      <w:marBottom w:val="0"/>
      <w:divBdr>
        <w:top w:val="none" w:sz="0" w:space="0" w:color="auto"/>
        <w:left w:val="none" w:sz="0" w:space="0" w:color="auto"/>
        <w:bottom w:val="none" w:sz="0" w:space="0" w:color="auto"/>
        <w:right w:val="none" w:sz="0" w:space="0" w:color="auto"/>
      </w:divBdr>
      <w:divsChild>
        <w:div w:id="388191891">
          <w:marLeft w:val="0"/>
          <w:marRight w:val="0"/>
          <w:marTop w:val="0"/>
          <w:marBottom w:val="0"/>
          <w:divBdr>
            <w:top w:val="none" w:sz="0" w:space="0" w:color="auto"/>
            <w:left w:val="none" w:sz="0" w:space="0" w:color="auto"/>
            <w:bottom w:val="none" w:sz="0" w:space="0" w:color="auto"/>
            <w:right w:val="none" w:sz="0" w:space="0" w:color="auto"/>
          </w:divBdr>
          <w:divsChild>
            <w:div w:id="1532063542">
              <w:marLeft w:val="0"/>
              <w:marRight w:val="0"/>
              <w:marTop w:val="0"/>
              <w:marBottom w:val="0"/>
              <w:divBdr>
                <w:top w:val="none" w:sz="0" w:space="0" w:color="auto"/>
                <w:left w:val="none" w:sz="0" w:space="0" w:color="auto"/>
                <w:bottom w:val="none" w:sz="0" w:space="0" w:color="auto"/>
                <w:right w:val="none" w:sz="0" w:space="0" w:color="auto"/>
              </w:divBdr>
              <w:divsChild>
                <w:div w:id="11204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76133">
      <w:bodyDiv w:val="1"/>
      <w:marLeft w:val="0"/>
      <w:marRight w:val="0"/>
      <w:marTop w:val="0"/>
      <w:marBottom w:val="0"/>
      <w:divBdr>
        <w:top w:val="none" w:sz="0" w:space="0" w:color="auto"/>
        <w:left w:val="none" w:sz="0" w:space="0" w:color="auto"/>
        <w:bottom w:val="none" w:sz="0" w:space="0" w:color="auto"/>
        <w:right w:val="none" w:sz="0" w:space="0" w:color="auto"/>
      </w:divBdr>
      <w:divsChild>
        <w:div w:id="1665355001">
          <w:marLeft w:val="620"/>
          <w:marRight w:val="0"/>
          <w:marTop w:val="0"/>
          <w:marBottom w:val="0"/>
          <w:divBdr>
            <w:top w:val="none" w:sz="0" w:space="0" w:color="auto"/>
            <w:left w:val="none" w:sz="0" w:space="0" w:color="auto"/>
            <w:bottom w:val="none" w:sz="0" w:space="0" w:color="auto"/>
            <w:right w:val="none" w:sz="0" w:space="0" w:color="auto"/>
          </w:divBdr>
        </w:div>
        <w:div w:id="229996748">
          <w:marLeft w:val="620"/>
          <w:marRight w:val="0"/>
          <w:marTop w:val="0"/>
          <w:marBottom w:val="0"/>
          <w:divBdr>
            <w:top w:val="none" w:sz="0" w:space="0" w:color="auto"/>
            <w:left w:val="none" w:sz="0" w:space="0" w:color="auto"/>
            <w:bottom w:val="none" w:sz="0" w:space="0" w:color="auto"/>
            <w:right w:val="none" w:sz="0" w:space="0" w:color="auto"/>
          </w:divBdr>
        </w:div>
      </w:divsChild>
    </w:div>
    <w:div w:id="1725180390">
      <w:bodyDiv w:val="1"/>
      <w:marLeft w:val="0"/>
      <w:marRight w:val="0"/>
      <w:marTop w:val="0"/>
      <w:marBottom w:val="0"/>
      <w:divBdr>
        <w:top w:val="none" w:sz="0" w:space="0" w:color="auto"/>
        <w:left w:val="none" w:sz="0" w:space="0" w:color="auto"/>
        <w:bottom w:val="none" w:sz="0" w:space="0" w:color="auto"/>
        <w:right w:val="none" w:sz="0" w:space="0" w:color="auto"/>
      </w:divBdr>
    </w:div>
    <w:div w:id="1762069164">
      <w:bodyDiv w:val="1"/>
      <w:marLeft w:val="0"/>
      <w:marRight w:val="0"/>
      <w:marTop w:val="0"/>
      <w:marBottom w:val="0"/>
      <w:divBdr>
        <w:top w:val="none" w:sz="0" w:space="0" w:color="auto"/>
        <w:left w:val="none" w:sz="0" w:space="0" w:color="auto"/>
        <w:bottom w:val="none" w:sz="0" w:space="0" w:color="auto"/>
        <w:right w:val="none" w:sz="0" w:space="0" w:color="auto"/>
      </w:divBdr>
      <w:divsChild>
        <w:div w:id="2088652318">
          <w:marLeft w:val="0"/>
          <w:marRight w:val="0"/>
          <w:marTop w:val="0"/>
          <w:marBottom w:val="0"/>
          <w:divBdr>
            <w:top w:val="none" w:sz="0" w:space="0" w:color="auto"/>
            <w:left w:val="none" w:sz="0" w:space="0" w:color="auto"/>
            <w:bottom w:val="none" w:sz="0" w:space="0" w:color="auto"/>
            <w:right w:val="none" w:sz="0" w:space="0" w:color="auto"/>
          </w:divBdr>
          <w:divsChild>
            <w:div w:id="2004236115">
              <w:marLeft w:val="0"/>
              <w:marRight w:val="0"/>
              <w:marTop w:val="0"/>
              <w:marBottom w:val="0"/>
              <w:divBdr>
                <w:top w:val="none" w:sz="0" w:space="0" w:color="auto"/>
                <w:left w:val="none" w:sz="0" w:space="0" w:color="auto"/>
                <w:bottom w:val="none" w:sz="0" w:space="0" w:color="auto"/>
                <w:right w:val="none" w:sz="0" w:space="0" w:color="auto"/>
              </w:divBdr>
              <w:divsChild>
                <w:div w:id="8595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7615">
      <w:bodyDiv w:val="1"/>
      <w:marLeft w:val="0"/>
      <w:marRight w:val="0"/>
      <w:marTop w:val="0"/>
      <w:marBottom w:val="0"/>
      <w:divBdr>
        <w:top w:val="none" w:sz="0" w:space="0" w:color="auto"/>
        <w:left w:val="none" w:sz="0" w:space="0" w:color="auto"/>
        <w:bottom w:val="none" w:sz="0" w:space="0" w:color="auto"/>
        <w:right w:val="none" w:sz="0" w:space="0" w:color="auto"/>
      </w:divBdr>
    </w:div>
    <w:div w:id="1899515728">
      <w:bodyDiv w:val="1"/>
      <w:marLeft w:val="0"/>
      <w:marRight w:val="0"/>
      <w:marTop w:val="0"/>
      <w:marBottom w:val="0"/>
      <w:divBdr>
        <w:top w:val="none" w:sz="0" w:space="0" w:color="auto"/>
        <w:left w:val="none" w:sz="0" w:space="0" w:color="auto"/>
        <w:bottom w:val="none" w:sz="0" w:space="0" w:color="auto"/>
        <w:right w:val="none" w:sz="0" w:space="0" w:color="auto"/>
      </w:divBdr>
      <w:divsChild>
        <w:div w:id="330253236">
          <w:marLeft w:val="0"/>
          <w:marRight w:val="0"/>
          <w:marTop w:val="0"/>
          <w:marBottom w:val="0"/>
          <w:divBdr>
            <w:top w:val="none" w:sz="0" w:space="0" w:color="auto"/>
            <w:left w:val="none" w:sz="0" w:space="0" w:color="auto"/>
            <w:bottom w:val="none" w:sz="0" w:space="0" w:color="auto"/>
            <w:right w:val="none" w:sz="0" w:space="0" w:color="auto"/>
          </w:divBdr>
          <w:divsChild>
            <w:div w:id="1105029835">
              <w:marLeft w:val="0"/>
              <w:marRight w:val="0"/>
              <w:marTop w:val="0"/>
              <w:marBottom w:val="0"/>
              <w:divBdr>
                <w:top w:val="none" w:sz="0" w:space="0" w:color="auto"/>
                <w:left w:val="none" w:sz="0" w:space="0" w:color="auto"/>
                <w:bottom w:val="none" w:sz="0" w:space="0" w:color="auto"/>
                <w:right w:val="none" w:sz="0" w:space="0" w:color="auto"/>
              </w:divBdr>
              <w:divsChild>
                <w:div w:id="359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7784">
      <w:bodyDiv w:val="1"/>
      <w:marLeft w:val="0"/>
      <w:marRight w:val="0"/>
      <w:marTop w:val="0"/>
      <w:marBottom w:val="0"/>
      <w:divBdr>
        <w:top w:val="none" w:sz="0" w:space="0" w:color="auto"/>
        <w:left w:val="none" w:sz="0" w:space="0" w:color="auto"/>
        <w:bottom w:val="none" w:sz="0" w:space="0" w:color="auto"/>
        <w:right w:val="none" w:sz="0" w:space="0" w:color="auto"/>
      </w:divBdr>
    </w:div>
    <w:div w:id="1943687802">
      <w:bodyDiv w:val="1"/>
      <w:marLeft w:val="0"/>
      <w:marRight w:val="0"/>
      <w:marTop w:val="0"/>
      <w:marBottom w:val="0"/>
      <w:divBdr>
        <w:top w:val="none" w:sz="0" w:space="0" w:color="auto"/>
        <w:left w:val="none" w:sz="0" w:space="0" w:color="auto"/>
        <w:bottom w:val="none" w:sz="0" w:space="0" w:color="auto"/>
        <w:right w:val="none" w:sz="0" w:space="0" w:color="auto"/>
      </w:divBdr>
    </w:div>
    <w:div w:id="1951009221">
      <w:bodyDiv w:val="1"/>
      <w:marLeft w:val="0"/>
      <w:marRight w:val="0"/>
      <w:marTop w:val="0"/>
      <w:marBottom w:val="0"/>
      <w:divBdr>
        <w:top w:val="none" w:sz="0" w:space="0" w:color="auto"/>
        <w:left w:val="none" w:sz="0" w:space="0" w:color="auto"/>
        <w:bottom w:val="none" w:sz="0" w:space="0" w:color="auto"/>
        <w:right w:val="none" w:sz="0" w:space="0" w:color="auto"/>
      </w:divBdr>
    </w:div>
    <w:div w:id="1951736867">
      <w:bodyDiv w:val="1"/>
      <w:marLeft w:val="0"/>
      <w:marRight w:val="0"/>
      <w:marTop w:val="0"/>
      <w:marBottom w:val="0"/>
      <w:divBdr>
        <w:top w:val="none" w:sz="0" w:space="0" w:color="auto"/>
        <w:left w:val="none" w:sz="0" w:space="0" w:color="auto"/>
        <w:bottom w:val="none" w:sz="0" w:space="0" w:color="auto"/>
        <w:right w:val="none" w:sz="0" w:space="0" w:color="auto"/>
      </w:divBdr>
      <w:divsChild>
        <w:div w:id="293098965">
          <w:marLeft w:val="0"/>
          <w:marRight w:val="0"/>
          <w:marTop w:val="0"/>
          <w:marBottom w:val="0"/>
          <w:divBdr>
            <w:top w:val="none" w:sz="0" w:space="0" w:color="auto"/>
            <w:left w:val="none" w:sz="0" w:space="0" w:color="auto"/>
            <w:bottom w:val="none" w:sz="0" w:space="0" w:color="auto"/>
            <w:right w:val="none" w:sz="0" w:space="0" w:color="auto"/>
          </w:divBdr>
          <w:divsChild>
            <w:div w:id="1690639005">
              <w:marLeft w:val="0"/>
              <w:marRight w:val="0"/>
              <w:marTop w:val="0"/>
              <w:marBottom w:val="0"/>
              <w:divBdr>
                <w:top w:val="none" w:sz="0" w:space="0" w:color="auto"/>
                <w:left w:val="none" w:sz="0" w:space="0" w:color="auto"/>
                <w:bottom w:val="none" w:sz="0" w:space="0" w:color="auto"/>
                <w:right w:val="none" w:sz="0" w:space="0" w:color="auto"/>
              </w:divBdr>
              <w:divsChild>
                <w:div w:id="7261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83761">
      <w:bodyDiv w:val="1"/>
      <w:marLeft w:val="0"/>
      <w:marRight w:val="0"/>
      <w:marTop w:val="0"/>
      <w:marBottom w:val="0"/>
      <w:divBdr>
        <w:top w:val="none" w:sz="0" w:space="0" w:color="auto"/>
        <w:left w:val="none" w:sz="0" w:space="0" w:color="auto"/>
        <w:bottom w:val="none" w:sz="0" w:space="0" w:color="auto"/>
        <w:right w:val="none" w:sz="0" w:space="0" w:color="auto"/>
      </w:divBdr>
    </w:div>
    <w:div w:id="2075084978">
      <w:bodyDiv w:val="1"/>
      <w:marLeft w:val="0"/>
      <w:marRight w:val="0"/>
      <w:marTop w:val="0"/>
      <w:marBottom w:val="0"/>
      <w:divBdr>
        <w:top w:val="none" w:sz="0" w:space="0" w:color="auto"/>
        <w:left w:val="none" w:sz="0" w:space="0" w:color="auto"/>
        <w:bottom w:val="none" w:sz="0" w:space="0" w:color="auto"/>
        <w:right w:val="none" w:sz="0" w:space="0" w:color="auto"/>
      </w:divBdr>
    </w:div>
    <w:div w:id="20916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13.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8.jp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9E05F-86FB-4D96-B8E7-D5FB3EED3F7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5640</Words>
  <Characters>32149</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Reichbach</dc:creator>
  <cp:keywords/>
  <dc:description/>
  <cp:lastModifiedBy>Erlichman, Reece (ALA)</cp:lastModifiedBy>
  <cp:revision>2</cp:revision>
  <cp:lastPrinted>2025-05-20T13:45:00Z</cp:lastPrinted>
  <dcterms:created xsi:type="dcterms:W3CDTF">2025-05-21T19:14:00Z</dcterms:created>
  <dcterms:modified xsi:type="dcterms:W3CDTF">2025-05-21T19:14:00Z</dcterms:modified>
</cp:coreProperties>
</file>