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468D" w14:textId="77777777" w:rsidR="0016676E" w:rsidRPr="00C55999" w:rsidRDefault="0016676E" w:rsidP="00B8749A">
      <w:pPr>
        <w:spacing w:after="0" w:line="240" w:lineRule="auto"/>
        <w:jc w:val="center"/>
        <w:rPr>
          <w:rFonts w:ascii="Aptos" w:hAnsi="Aptos" w:cs="Tahoma"/>
          <w:b/>
          <w:sz w:val="26"/>
          <w:szCs w:val="26"/>
        </w:rPr>
      </w:pPr>
      <w:r w:rsidRPr="00C55999">
        <w:rPr>
          <w:rFonts w:ascii="Aptos" w:hAnsi="Aptos" w:cs="Tahoma"/>
          <w:b/>
          <w:sz w:val="26"/>
          <w:szCs w:val="26"/>
        </w:rPr>
        <w:t>COMMONWEALTH OF MASSACHUSETTS</w:t>
      </w:r>
    </w:p>
    <w:p w14:paraId="7E5F6BAE" w14:textId="77777777" w:rsidR="0016676E" w:rsidRPr="00C55999" w:rsidRDefault="0016676E" w:rsidP="00B8749A">
      <w:pPr>
        <w:spacing w:after="0" w:line="240" w:lineRule="auto"/>
        <w:jc w:val="center"/>
        <w:rPr>
          <w:rFonts w:ascii="Aptos" w:hAnsi="Aptos" w:cs="Tahoma"/>
          <w:b/>
          <w:sz w:val="26"/>
          <w:szCs w:val="26"/>
        </w:rPr>
      </w:pPr>
      <w:r w:rsidRPr="00C55999">
        <w:rPr>
          <w:rFonts w:ascii="Aptos" w:hAnsi="Aptos" w:cs="Tahoma"/>
          <w:b/>
          <w:sz w:val="26"/>
          <w:szCs w:val="26"/>
        </w:rPr>
        <w:t>DIVISION OF ADMINISTRATIVE LAW APPEALS</w:t>
      </w:r>
    </w:p>
    <w:p w14:paraId="2DB2F7F6" w14:textId="77777777" w:rsidR="0016676E" w:rsidRDefault="0016676E" w:rsidP="00B8749A">
      <w:pPr>
        <w:spacing w:after="0" w:line="240" w:lineRule="auto"/>
        <w:jc w:val="center"/>
        <w:rPr>
          <w:rFonts w:ascii="Aptos" w:hAnsi="Aptos" w:cs="Tahoma"/>
          <w:b/>
          <w:sz w:val="26"/>
          <w:szCs w:val="26"/>
        </w:rPr>
      </w:pPr>
      <w:r w:rsidRPr="00C55999">
        <w:rPr>
          <w:rFonts w:ascii="Aptos" w:hAnsi="Aptos" w:cs="Tahoma"/>
          <w:b/>
          <w:sz w:val="26"/>
          <w:szCs w:val="26"/>
        </w:rPr>
        <w:t>BUREAU OF SPECIAL EDUCATION APPEALS</w:t>
      </w:r>
    </w:p>
    <w:p w14:paraId="45DF54AF" w14:textId="77777777" w:rsidR="0016676E" w:rsidRDefault="0016676E" w:rsidP="0016676E">
      <w:pPr>
        <w:pStyle w:val="NormalWeb"/>
        <w:tabs>
          <w:tab w:val="left" w:pos="3330"/>
        </w:tabs>
        <w:spacing w:before="0" w:beforeAutospacing="0" w:after="0" w:afterAutospacing="0"/>
        <w:rPr>
          <w:rFonts w:ascii="Aptos" w:hAnsi="Aptos" w:cs="Tahoma"/>
          <w:b/>
          <w:sz w:val="25"/>
          <w:szCs w:val="25"/>
        </w:rPr>
      </w:pPr>
    </w:p>
    <w:p w14:paraId="23C09FE2" w14:textId="1864D192" w:rsidR="0016676E" w:rsidRPr="001277E5" w:rsidRDefault="0016676E" w:rsidP="0016676E">
      <w:pPr>
        <w:pStyle w:val="NormalWeb"/>
        <w:tabs>
          <w:tab w:val="left" w:pos="3330"/>
        </w:tabs>
        <w:spacing w:before="0" w:beforeAutospacing="0" w:after="0" w:afterAutospacing="0"/>
        <w:rPr>
          <w:rFonts w:ascii="Aptos" w:hAnsi="Aptos" w:cs="Tahoma"/>
          <w:b/>
          <w:bCs/>
          <w:sz w:val="25"/>
          <w:szCs w:val="25"/>
        </w:rPr>
      </w:pPr>
      <w:r w:rsidRPr="006A6831">
        <w:rPr>
          <w:rFonts w:ascii="Aptos" w:hAnsi="Aptos" w:cs="Tahoma"/>
          <w:b/>
          <w:sz w:val="25"/>
          <w:szCs w:val="25"/>
        </w:rPr>
        <w:t>In Re</w:t>
      </w:r>
      <w:r w:rsidRPr="006A6831">
        <w:rPr>
          <w:rFonts w:ascii="Aptos" w:hAnsi="Aptos" w:cs="Tahoma"/>
          <w:sz w:val="25"/>
          <w:szCs w:val="25"/>
        </w:rPr>
        <w:t xml:space="preserve">:  </w:t>
      </w:r>
      <w:r>
        <w:rPr>
          <w:rFonts w:ascii="Aptos" w:hAnsi="Aptos" w:cs="Tahoma"/>
          <w:b/>
          <w:bCs/>
          <w:sz w:val="25"/>
          <w:szCs w:val="25"/>
        </w:rPr>
        <w:t xml:space="preserve">Ashland Public Schools &amp; Department of Mental </w:t>
      </w:r>
      <w:r>
        <w:rPr>
          <w:rFonts w:ascii="Aptos" w:hAnsi="Aptos" w:cs="Tahoma"/>
          <w:b/>
          <w:bCs/>
          <w:sz w:val="25"/>
          <w:szCs w:val="25"/>
        </w:rPr>
        <w:tab/>
        <w:t xml:space="preserve">       </w:t>
      </w:r>
      <w:r w:rsidR="00995935">
        <w:rPr>
          <w:rFonts w:ascii="Aptos" w:hAnsi="Aptos" w:cs="Tahoma"/>
          <w:b/>
          <w:bCs/>
          <w:sz w:val="25"/>
          <w:szCs w:val="25"/>
        </w:rPr>
        <w:tab/>
        <w:t xml:space="preserve">       </w:t>
      </w:r>
      <w:r w:rsidRPr="006A6831">
        <w:rPr>
          <w:rFonts w:ascii="Aptos" w:hAnsi="Aptos" w:cs="Tahoma"/>
          <w:b/>
          <w:bCs/>
          <w:sz w:val="25"/>
          <w:szCs w:val="25"/>
        </w:rPr>
        <w:t>BSEA #</w:t>
      </w:r>
      <w:r>
        <w:rPr>
          <w:rFonts w:ascii="Aptos" w:hAnsi="Aptos" w:cs="Tahoma"/>
          <w:b/>
          <w:bCs/>
          <w:sz w:val="25"/>
          <w:szCs w:val="25"/>
        </w:rPr>
        <w:t xml:space="preserve"> 2508203</w:t>
      </w:r>
    </w:p>
    <w:p w14:paraId="472CD377" w14:textId="177E37D3" w:rsidR="00F536F7" w:rsidRPr="002267F4" w:rsidRDefault="0016676E" w:rsidP="002267F4">
      <w:pPr>
        <w:rPr>
          <w:rFonts w:ascii="Aptos" w:eastAsia="Times New Roman" w:hAnsi="Aptos" w:cs="Tahoma"/>
          <w:b/>
          <w:color w:val="000000"/>
          <w:sz w:val="25"/>
          <w:szCs w:val="25"/>
        </w:rPr>
      </w:pPr>
      <w:r>
        <w:rPr>
          <w:rFonts w:ascii="Aptos" w:eastAsia="Times New Roman" w:hAnsi="Aptos" w:cs="Tahoma"/>
          <w:b/>
          <w:color w:val="000000"/>
          <w:sz w:val="25"/>
          <w:szCs w:val="25"/>
        </w:rPr>
        <w:tab/>
        <w:t>Health and Department of Children and Families</w:t>
      </w:r>
    </w:p>
    <w:p w14:paraId="18B0D6D6" w14:textId="5FB1E862" w:rsidR="0016676E" w:rsidRPr="00F7464F" w:rsidRDefault="0016676E" w:rsidP="0016676E">
      <w:pPr>
        <w:spacing w:after="0" w:line="240" w:lineRule="auto"/>
        <w:ind w:left="720" w:hanging="720"/>
        <w:jc w:val="center"/>
        <w:rPr>
          <w:rFonts w:ascii="Aptos" w:hAnsi="Aptos" w:cs="Times New Roman"/>
          <w:b/>
          <w:bCs/>
          <w:sz w:val="25"/>
          <w:szCs w:val="25"/>
          <w:u w:val="single"/>
        </w:rPr>
      </w:pPr>
      <w:r w:rsidRPr="000467B1">
        <w:rPr>
          <w:rFonts w:ascii="Aptos" w:hAnsi="Aptos" w:cs="Times New Roman"/>
          <w:b/>
          <w:bCs/>
          <w:sz w:val="25"/>
          <w:szCs w:val="25"/>
          <w:u w:val="single"/>
        </w:rPr>
        <w:t xml:space="preserve">RULING ON </w:t>
      </w:r>
      <w:r>
        <w:rPr>
          <w:rFonts w:ascii="Aptos" w:hAnsi="Aptos" w:cs="Times New Roman"/>
          <w:b/>
          <w:bCs/>
          <w:sz w:val="25"/>
          <w:szCs w:val="25"/>
          <w:u w:val="single"/>
        </w:rPr>
        <w:t>MOTIONS TO DISMISS</w:t>
      </w:r>
    </w:p>
    <w:p w14:paraId="532E81A5" w14:textId="77777777" w:rsidR="0016676E" w:rsidRDefault="0016676E" w:rsidP="0016676E">
      <w:pPr>
        <w:spacing w:after="0" w:line="240" w:lineRule="auto"/>
        <w:rPr>
          <w:rFonts w:ascii="Aptos" w:hAnsi="Aptos" w:cs="Times New Roman"/>
          <w:sz w:val="25"/>
          <w:szCs w:val="25"/>
        </w:rPr>
      </w:pPr>
    </w:p>
    <w:p w14:paraId="3A306FBB" w14:textId="31114C84" w:rsidR="0016676E" w:rsidRPr="00A40EF7" w:rsidRDefault="0016676E" w:rsidP="0016676E">
      <w:pPr>
        <w:spacing w:after="0" w:line="240" w:lineRule="auto"/>
        <w:rPr>
          <w:rFonts w:ascii="Aptos" w:hAnsi="Aptos" w:cs="Times New Roman"/>
          <w:sz w:val="25"/>
          <w:szCs w:val="25"/>
        </w:rPr>
      </w:pPr>
      <w:r w:rsidRPr="000467B1">
        <w:rPr>
          <w:rFonts w:ascii="Aptos" w:hAnsi="Aptos" w:cs="Times New Roman"/>
          <w:sz w:val="25"/>
          <w:szCs w:val="25"/>
        </w:rPr>
        <w:t xml:space="preserve">This matter comes before the Hearing Officer on the </w:t>
      </w:r>
      <w:r>
        <w:rPr>
          <w:rFonts w:ascii="Aptos" w:hAnsi="Aptos" w:cs="Times New Roman"/>
          <w:sz w:val="25"/>
          <w:szCs w:val="25"/>
        </w:rPr>
        <w:t>Ashland Public School</w:t>
      </w:r>
      <w:r w:rsidRPr="000467B1">
        <w:rPr>
          <w:rFonts w:ascii="Aptos" w:hAnsi="Aptos" w:cs="Times New Roman"/>
          <w:sz w:val="25"/>
          <w:szCs w:val="25"/>
        </w:rPr>
        <w:t xml:space="preserve"> District’s (District) </w:t>
      </w:r>
      <w:r w:rsidRPr="000467B1">
        <w:rPr>
          <w:rFonts w:ascii="Aptos" w:hAnsi="Aptos" w:cs="Times New Roman"/>
          <w:i/>
          <w:iCs/>
          <w:sz w:val="25"/>
          <w:szCs w:val="25"/>
        </w:rPr>
        <w:t xml:space="preserve">Motion to </w:t>
      </w:r>
      <w:r>
        <w:rPr>
          <w:rFonts w:ascii="Aptos" w:hAnsi="Aptos" w:cs="Times New Roman"/>
          <w:i/>
          <w:iCs/>
          <w:sz w:val="25"/>
          <w:szCs w:val="25"/>
        </w:rPr>
        <w:t>Dismiss</w:t>
      </w:r>
      <w:r w:rsidR="0080595B">
        <w:rPr>
          <w:rFonts w:ascii="Aptos" w:hAnsi="Aptos" w:cs="Times New Roman"/>
          <w:sz w:val="25"/>
          <w:szCs w:val="25"/>
        </w:rPr>
        <w:t xml:space="preserve"> (</w:t>
      </w:r>
      <w:r w:rsidR="0080595B">
        <w:rPr>
          <w:rFonts w:ascii="Aptos" w:hAnsi="Aptos" w:cs="Times New Roman"/>
          <w:i/>
          <w:iCs/>
          <w:sz w:val="25"/>
          <w:szCs w:val="25"/>
        </w:rPr>
        <w:t>District Motion</w:t>
      </w:r>
      <w:r w:rsidR="0080595B">
        <w:rPr>
          <w:rFonts w:ascii="Aptos" w:hAnsi="Aptos" w:cs="Times New Roman"/>
          <w:sz w:val="25"/>
          <w:szCs w:val="25"/>
        </w:rPr>
        <w:t>)</w:t>
      </w:r>
      <w:r w:rsidRPr="000467B1">
        <w:rPr>
          <w:rFonts w:ascii="Aptos" w:hAnsi="Aptos" w:cs="Times New Roman"/>
          <w:sz w:val="25"/>
          <w:szCs w:val="25"/>
        </w:rPr>
        <w:t xml:space="preserve">, filed with the </w:t>
      </w:r>
      <w:r>
        <w:rPr>
          <w:rFonts w:ascii="Aptos" w:hAnsi="Aptos" w:cs="Times New Roman"/>
          <w:sz w:val="25"/>
          <w:szCs w:val="25"/>
        </w:rPr>
        <w:t xml:space="preserve">Bureau of Special </w:t>
      </w:r>
      <w:r w:rsidR="0002129E">
        <w:rPr>
          <w:rFonts w:ascii="Aptos" w:hAnsi="Aptos" w:cs="Times New Roman"/>
          <w:sz w:val="25"/>
          <w:szCs w:val="25"/>
        </w:rPr>
        <w:t>E</w:t>
      </w:r>
      <w:r>
        <w:rPr>
          <w:rFonts w:ascii="Aptos" w:hAnsi="Aptos" w:cs="Times New Roman"/>
          <w:sz w:val="25"/>
          <w:szCs w:val="25"/>
        </w:rPr>
        <w:t>ducation Appeals (</w:t>
      </w:r>
      <w:r w:rsidRPr="000467B1">
        <w:rPr>
          <w:rFonts w:ascii="Aptos" w:hAnsi="Aptos" w:cs="Times New Roman"/>
          <w:sz w:val="25"/>
          <w:szCs w:val="25"/>
        </w:rPr>
        <w:t>BSEA</w:t>
      </w:r>
      <w:r>
        <w:rPr>
          <w:rFonts w:ascii="Aptos" w:hAnsi="Aptos" w:cs="Times New Roman"/>
          <w:sz w:val="25"/>
          <w:szCs w:val="25"/>
        </w:rPr>
        <w:t>)</w:t>
      </w:r>
      <w:r w:rsidRPr="000467B1">
        <w:rPr>
          <w:rFonts w:ascii="Aptos" w:hAnsi="Aptos" w:cs="Times New Roman"/>
          <w:sz w:val="25"/>
          <w:szCs w:val="25"/>
        </w:rPr>
        <w:t xml:space="preserve"> on </w:t>
      </w:r>
      <w:r>
        <w:rPr>
          <w:rFonts w:ascii="Aptos" w:hAnsi="Aptos" w:cs="Times New Roman"/>
          <w:sz w:val="25"/>
          <w:szCs w:val="25"/>
        </w:rPr>
        <w:t xml:space="preserve">February 14, 2025, the Department of Children and Families’ (DCF) </w:t>
      </w:r>
      <w:r>
        <w:rPr>
          <w:rFonts w:ascii="Aptos" w:hAnsi="Aptos" w:cs="Times New Roman"/>
          <w:i/>
          <w:iCs/>
          <w:sz w:val="25"/>
          <w:szCs w:val="25"/>
        </w:rPr>
        <w:t>Response to Hearing Request and Motion to Join</w:t>
      </w:r>
      <w:r>
        <w:rPr>
          <w:rFonts w:ascii="Aptos" w:hAnsi="Aptos" w:cs="Times New Roman"/>
          <w:sz w:val="25"/>
          <w:szCs w:val="25"/>
        </w:rPr>
        <w:t xml:space="preserve"> </w:t>
      </w:r>
      <w:r w:rsidR="0080595B">
        <w:rPr>
          <w:rFonts w:ascii="Aptos" w:hAnsi="Aptos" w:cs="Times New Roman"/>
          <w:sz w:val="25"/>
          <w:szCs w:val="25"/>
        </w:rPr>
        <w:t>(</w:t>
      </w:r>
      <w:r w:rsidR="0080595B">
        <w:rPr>
          <w:rFonts w:ascii="Aptos" w:hAnsi="Aptos" w:cs="Times New Roman"/>
          <w:i/>
          <w:iCs/>
          <w:sz w:val="25"/>
          <w:szCs w:val="25"/>
        </w:rPr>
        <w:t xml:space="preserve">DCF </w:t>
      </w:r>
      <w:r w:rsidR="0080595B" w:rsidRPr="0080595B">
        <w:rPr>
          <w:rFonts w:ascii="Aptos" w:hAnsi="Aptos" w:cs="Times New Roman"/>
          <w:i/>
          <w:iCs/>
          <w:sz w:val="25"/>
          <w:szCs w:val="25"/>
        </w:rPr>
        <w:t>Motion</w:t>
      </w:r>
      <w:r w:rsidR="0080595B">
        <w:rPr>
          <w:rFonts w:ascii="Aptos" w:hAnsi="Aptos" w:cs="Times New Roman"/>
          <w:sz w:val="25"/>
          <w:szCs w:val="25"/>
        </w:rPr>
        <w:t xml:space="preserve">) </w:t>
      </w:r>
      <w:r w:rsidRPr="0080595B">
        <w:rPr>
          <w:rFonts w:ascii="Aptos" w:hAnsi="Aptos" w:cs="Times New Roman"/>
          <w:sz w:val="25"/>
          <w:szCs w:val="25"/>
        </w:rPr>
        <w:t>filed</w:t>
      </w:r>
      <w:r>
        <w:rPr>
          <w:rFonts w:ascii="Aptos" w:hAnsi="Aptos" w:cs="Times New Roman"/>
          <w:sz w:val="25"/>
          <w:szCs w:val="25"/>
        </w:rPr>
        <w:t xml:space="preserve"> on February 18, 2025, and the Department of Mental Health’s (DMH’s) </w:t>
      </w:r>
      <w:r>
        <w:rPr>
          <w:rFonts w:ascii="Aptos" w:hAnsi="Aptos" w:cs="Times New Roman"/>
          <w:i/>
          <w:iCs/>
          <w:sz w:val="25"/>
          <w:szCs w:val="25"/>
        </w:rPr>
        <w:t>Motion to Dismiss for Failure to State a Claim Upon Which Relie</w:t>
      </w:r>
      <w:r w:rsidR="00173E4F">
        <w:rPr>
          <w:rFonts w:ascii="Aptos" w:hAnsi="Aptos" w:cs="Times New Roman"/>
          <w:i/>
          <w:iCs/>
          <w:sz w:val="25"/>
          <w:szCs w:val="25"/>
        </w:rPr>
        <w:t>f</w:t>
      </w:r>
      <w:r>
        <w:rPr>
          <w:rFonts w:ascii="Aptos" w:hAnsi="Aptos" w:cs="Times New Roman"/>
          <w:i/>
          <w:iCs/>
          <w:sz w:val="25"/>
          <w:szCs w:val="25"/>
        </w:rPr>
        <w:t xml:space="preserve"> Can be Granted</w:t>
      </w:r>
      <w:r>
        <w:rPr>
          <w:rFonts w:ascii="Aptos" w:hAnsi="Aptos" w:cs="Times New Roman"/>
          <w:sz w:val="25"/>
          <w:szCs w:val="25"/>
        </w:rPr>
        <w:t xml:space="preserve"> </w:t>
      </w:r>
      <w:r w:rsidR="00CC1FF5">
        <w:rPr>
          <w:rFonts w:ascii="Aptos" w:hAnsi="Aptos" w:cs="Times New Roman"/>
          <w:sz w:val="25"/>
          <w:szCs w:val="25"/>
        </w:rPr>
        <w:t>(</w:t>
      </w:r>
      <w:r w:rsidR="00CC1FF5">
        <w:rPr>
          <w:rFonts w:ascii="Aptos" w:hAnsi="Aptos" w:cs="Times New Roman"/>
          <w:i/>
          <w:iCs/>
          <w:sz w:val="25"/>
          <w:szCs w:val="25"/>
        </w:rPr>
        <w:t xml:space="preserve">DMH </w:t>
      </w:r>
      <w:r w:rsidR="00CC1FF5" w:rsidRPr="00CC1FF5">
        <w:rPr>
          <w:rFonts w:ascii="Aptos" w:hAnsi="Aptos" w:cs="Times New Roman"/>
          <w:i/>
          <w:iCs/>
          <w:sz w:val="25"/>
          <w:szCs w:val="25"/>
        </w:rPr>
        <w:t>Motion</w:t>
      </w:r>
      <w:r w:rsidR="00CC1FF5">
        <w:rPr>
          <w:rFonts w:ascii="Aptos" w:hAnsi="Aptos" w:cs="Times New Roman"/>
          <w:sz w:val="25"/>
          <w:szCs w:val="25"/>
        </w:rPr>
        <w:t xml:space="preserve">) </w:t>
      </w:r>
      <w:r w:rsidRPr="00CC1FF5">
        <w:rPr>
          <w:rFonts w:ascii="Aptos" w:hAnsi="Aptos" w:cs="Times New Roman"/>
          <w:sz w:val="25"/>
          <w:szCs w:val="25"/>
        </w:rPr>
        <w:t>filed</w:t>
      </w:r>
      <w:r>
        <w:rPr>
          <w:rFonts w:ascii="Aptos" w:hAnsi="Aptos" w:cs="Times New Roman"/>
          <w:sz w:val="25"/>
          <w:szCs w:val="25"/>
        </w:rPr>
        <w:t xml:space="preserve"> on February 21, 2025</w:t>
      </w:r>
      <w:r w:rsidR="0052479A">
        <w:rPr>
          <w:rStyle w:val="FootnoteReference"/>
          <w:rFonts w:ascii="Aptos" w:hAnsi="Aptos" w:cs="Times New Roman"/>
          <w:sz w:val="25"/>
          <w:szCs w:val="25"/>
        </w:rPr>
        <w:footnoteReference w:id="1"/>
      </w:r>
      <w:r w:rsidR="005D6A47">
        <w:rPr>
          <w:rFonts w:ascii="Aptos" w:hAnsi="Aptos" w:cs="Times New Roman"/>
          <w:sz w:val="25"/>
          <w:szCs w:val="25"/>
        </w:rPr>
        <w:t xml:space="preserve"> (collectively </w:t>
      </w:r>
      <w:r w:rsidR="005D6A47">
        <w:rPr>
          <w:rFonts w:ascii="Aptos" w:hAnsi="Aptos" w:cs="Times New Roman"/>
          <w:i/>
          <w:iCs/>
          <w:sz w:val="25"/>
          <w:szCs w:val="25"/>
        </w:rPr>
        <w:t>Motions</w:t>
      </w:r>
      <w:r w:rsidR="005D6A47">
        <w:rPr>
          <w:rFonts w:ascii="Aptos" w:hAnsi="Aptos" w:cs="Times New Roman"/>
          <w:sz w:val="25"/>
          <w:szCs w:val="25"/>
        </w:rPr>
        <w:t>)</w:t>
      </w:r>
      <w:r w:rsidR="00AB7622">
        <w:rPr>
          <w:rFonts w:ascii="Aptos" w:hAnsi="Aptos" w:cs="Times New Roman"/>
          <w:sz w:val="25"/>
          <w:szCs w:val="25"/>
        </w:rPr>
        <w:t>,</w:t>
      </w:r>
      <w:r w:rsidR="0002129E">
        <w:rPr>
          <w:rFonts w:ascii="Aptos" w:hAnsi="Aptos" w:cs="Times New Roman"/>
          <w:sz w:val="25"/>
          <w:szCs w:val="25"/>
        </w:rPr>
        <w:t xml:space="preserve"> seeking </w:t>
      </w:r>
      <w:r w:rsidR="00B523B2">
        <w:rPr>
          <w:rFonts w:ascii="Aptos" w:hAnsi="Aptos" w:cs="Times New Roman"/>
          <w:sz w:val="25"/>
          <w:szCs w:val="25"/>
        </w:rPr>
        <w:t xml:space="preserve">dismissal of this matter and/or dismissal of </w:t>
      </w:r>
      <w:r w:rsidR="003626A3">
        <w:rPr>
          <w:rFonts w:ascii="Aptos" w:hAnsi="Aptos" w:cs="Times New Roman"/>
          <w:sz w:val="25"/>
          <w:szCs w:val="25"/>
        </w:rPr>
        <w:t xml:space="preserve">the agency </w:t>
      </w:r>
      <w:r w:rsidR="00A40EF7">
        <w:rPr>
          <w:rFonts w:ascii="Aptos" w:hAnsi="Aptos" w:cs="Times New Roman"/>
          <w:sz w:val="25"/>
          <w:szCs w:val="25"/>
        </w:rPr>
        <w:t xml:space="preserve">as a </w:t>
      </w:r>
      <w:r w:rsidR="003626A3">
        <w:rPr>
          <w:rFonts w:ascii="Aptos" w:hAnsi="Aptos" w:cs="Times New Roman"/>
          <w:sz w:val="25"/>
          <w:szCs w:val="25"/>
        </w:rPr>
        <w:t>P</w:t>
      </w:r>
      <w:r w:rsidR="00A40EF7">
        <w:rPr>
          <w:rFonts w:ascii="Aptos" w:hAnsi="Aptos" w:cs="Times New Roman"/>
          <w:sz w:val="25"/>
          <w:szCs w:val="25"/>
        </w:rPr>
        <w:t xml:space="preserve">arty.  </w:t>
      </w:r>
      <w:r w:rsidRPr="000467B1">
        <w:rPr>
          <w:rFonts w:ascii="Aptos" w:hAnsi="Aptos" w:cs="Times New Roman"/>
          <w:sz w:val="25"/>
          <w:szCs w:val="25"/>
        </w:rPr>
        <w:t xml:space="preserve">The </w:t>
      </w:r>
      <w:proofErr w:type="gramStart"/>
      <w:r w:rsidRPr="000467B1">
        <w:rPr>
          <w:rFonts w:ascii="Aptos" w:hAnsi="Aptos" w:cs="Times New Roman"/>
          <w:sz w:val="25"/>
          <w:szCs w:val="25"/>
        </w:rPr>
        <w:t>District</w:t>
      </w:r>
      <w:proofErr w:type="gramEnd"/>
      <w:r w:rsidRPr="000467B1">
        <w:rPr>
          <w:rFonts w:ascii="Aptos" w:hAnsi="Aptos" w:cs="Times New Roman"/>
          <w:sz w:val="25"/>
          <w:szCs w:val="25"/>
        </w:rPr>
        <w:t xml:space="preserve"> </w:t>
      </w:r>
      <w:r>
        <w:rPr>
          <w:rFonts w:ascii="Aptos" w:hAnsi="Aptos" w:cs="Times New Roman"/>
          <w:sz w:val="25"/>
          <w:szCs w:val="25"/>
        </w:rPr>
        <w:t xml:space="preserve">filed a </w:t>
      </w:r>
      <w:r>
        <w:rPr>
          <w:rFonts w:ascii="Aptos" w:hAnsi="Aptos" w:cs="Times New Roman"/>
          <w:i/>
          <w:iCs/>
          <w:sz w:val="25"/>
          <w:szCs w:val="25"/>
        </w:rPr>
        <w:t xml:space="preserve">Reply </w:t>
      </w:r>
      <w:r w:rsidR="00D244FE">
        <w:rPr>
          <w:rFonts w:ascii="Aptos" w:hAnsi="Aptos" w:cs="Times New Roman"/>
          <w:i/>
          <w:iCs/>
          <w:sz w:val="25"/>
          <w:szCs w:val="25"/>
        </w:rPr>
        <w:t>t</w:t>
      </w:r>
      <w:r>
        <w:rPr>
          <w:rFonts w:ascii="Aptos" w:hAnsi="Aptos" w:cs="Times New Roman"/>
          <w:i/>
          <w:iCs/>
          <w:sz w:val="25"/>
          <w:szCs w:val="25"/>
        </w:rPr>
        <w:t xml:space="preserve">o </w:t>
      </w:r>
      <w:r w:rsidRPr="0084404C">
        <w:rPr>
          <w:rFonts w:ascii="Aptos" w:hAnsi="Aptos" w:cs="Times New Roman"/>
          <w:sz w:val="25"/>
          <w:szCs w:val="25"/>
        </w:rPr>
        <w:t>[</w:t>
      </w:r>
      <w:r>
        <w:rPr>
          <w:rFonts w:ascii="Aptos" w:hAnsi="Aptos" w:cs="Times New Roman"/>
          <w:i/>
          <w:iCs/>
          <w:sz w:val="25"/>
          <w:szCs w:val="25"/>
        </w:rPr>
        <w:t>the DCF Motion</w:t>
      </w:r>
      <w:r w:rsidRPr="00FE0D11">
        <w:rPr>
          <w:rFonts w:ascii="Aptos" w:hAnsi="Aptos" w:cs="Times New Roman"/>
          <w:sz w:val="25"/>
          <w:szCs w:val="25"/>
        </w:rPr>
        <w:t>]</w:t>
      </w:r>
      <w:r>
        <w:rPr>
          <w:rFonts w:ascii="Aptos" w:hAnsi="Aptos" w:cs="Times New Roman"/>
          <w:sz w:val="25"/>
          <w:szCs w:val="25"/>
        </w:rPr>
        <w:t xml:space="preserve"> on February 24, 2025</w:t>
      </w:r>
      <w:r w:rsidR="00ED01B9">
        <w:rPr>
          <w:rFonts w:ascii="Aptos" w:hAnsi="Aptos" w:cs="Times New Roman"/>
          <w:sz w:val="25"/>
          <w:szCs w:val="25"/>
        </w:rPr>
        <w:t>,</w:t>
      </w:r>
      <w:r>
        <w:rPr>
          <w:rFonts w:ascii="Aptos" w:hAnsi="Aptos" w:cs="Times New Roman"/>
          <w:sz w:val="25"/>
          <w:szCs w:val="25"/>
        </w:rPr>
        <w:t xml:space="preserve"> and filed a</w:t>
      </w:r>
      <w:r w:rsidR="00D244FE">
        <w:rPr>
          <w:rFonts w:ascii="Aptos" w:hAnsi="Aptos" w:cs="Times New Roman"/>
          <w:sz w:val="25"/>
          <w:szCs w:val="25"/>
        </w:rPr>
        <w:t xml:space="preserve">n </w:t>
      </w:r>
      <w:r w:rsidR="00D244FE">
        <w:rPr>
          <w:rFonts w:ascii="Aptos" w:hAnsi="Aptos" w:cs="Times New Roman"/>
          <w:i/>
          <w:iCs/>
          <w:sz w:val="25"/>
          <w:szCs w:val="25"/>
        </w:rPr>
        <w:t>Opposition t</w:t>
      </w:r>
      <w:r>
        <w:rPr>
          <w:rFonts w:ascii="Aptos" w:hAnsi="Aptos" w:cs="Times New Roman"/>
          <w:i/>
          <w:iCs/>
          <w:sz w:val="25"/>
          <w:szCs w:val="25"/>
        </w:rPr>
        <w:t xml:space="preserve">o </w:t>
      </w:r>
      <w:r w:rsidRPr="00FE0D11">
        <w:rPr>
          <w:rFonts w:ascii="Aptos" w:hAnsi="Aptos" w:cs="Times New Roman"/>
          <w:sz w:val="25"/>
          <w:szCs w:val="25"/>
        </w:rPr>
        <w:t>[</w:t>
      </w:r>
      <w:r>
        <w:rPr>
          <w:rFonts w:ascii="Aptos" w:hAnsi="Aptos" w:cs="Times New Roman"/>
          <w:i/>
          <w:iCs/>
          <w:sz w:val="25"/>
          <w:szCs w:val="25"/>
        </w:rPr>
        <w:t>the DMH Motion</w:t>
      </w:r>
      <w:r w:rsidRPr="00FE0D11">
        <w:rPr>
          <w:rFonts w:ascii="Aptos" w:hAnsi="Aptos" w:cs="Times New Roman"/>
          <w:sz w:val="25"/>
          <w:szCs w:val="25"/>
        </w:rPr>
        <w:t>]</w:t>
      </w:r>
      <w:r>
        <w:rPr>
          <w:rFonts w:ascii="Aptos" w:hAnsi="Aptos" w:cs="Times New Roman"/>
          <w:i/>
          <w:iCs/>
          <w:sz w:val="25"/>
          <w:szCs w:val="25"/>
        </w:rPr>
        <w:t xml:space="preserve"> </w:t>
      </w:r>
      <w:r w:rsidR="00D244FE">
        <w:rPr>
          <w:rFonts w:ascii="Aptos" w:hAnsi="Aptos" w:cs="Times New Roman"/>
          <w:sz w:val="25"/>
          <w:szCs w:val="25"/>
        </w:rPr>
        <w:t>on February 25, 2025</w:t>
      </w:r>
      <w:r w:rsidR="00844E61">
        <w:rPr>
          <w:rFonts w:ascii="Aptos" w:hAnsi="Aptos" w:cs="Times New Roman"/>
          <w:sz w:val="25"/>
          <w:szCs w:val="25"/>
        </w:rPr>
        <w:t xml:space="preserve"> (collectively </w:t>
      </w:r>
      <w:r w:rsidR="00844E61">
        <w:rPr>
          <w:rFonts w:ascii="Aptos" w:hAnsi="Aptos" w:cs="Times New Roman"/>
          <w:i/>
          <w:iCs/>
          <w:sz w:val="25"/>
          <w:szCs w:val="25"/>
        </w:rPr>
        <w:t>Replies</w:t>
      </w:r>
      <w:r w:rsidR="00844E61">
        <w:rPr>
          <w:rFonts w:ascii="Aptos" w:hAnsi="Aptos" w:cs="Times New Roman"/>
          <w:sz w:val="25"/>
          <w:szCs w:val="25"/>
        </w:rPr>
        <w:t>)</w:t>
      </w:r>
      <w:r w:rsidR="00AE688B">
        <w:rPr>
          <w:rFonts w:ascii="Aptos" w:hAnsi="Aptos" w:cs="Times New Roman"/>
          <w:sz w:val="25"/>
          <w:szCs w:val="25"/>
        </w:rPr>
        <w:t xml:space="preserve"> opposing </w:t>
      </w:r>
      <w:r w:rsidR="00A40EF7">
        <w:rPr>
          <w:rFonts w:ascii="Aptos" w:hAnsi="Aptos" w:cs="Times New Roman"/>
          <w:sz w:val="25"/>
          <w:szCs w:val="25"/>
        </w:rPr>
        <w:t xml:space="preserve">dismissal of either DCF or DMH should the matter not otherwise be dismissed based upon the </w:t>
      </w:r>
      <w:r w:rsidR="00A40EF7" w:rsidRPr="00A40EF7">
        <w:rPr>
          <w:rFonts w:ascii="Aptos" w:hAnsi="Aptos" w:cs="Times New Roman"/>
          <w:i/>
          <w:iCs/>
          <w:sz w:val="25"/>
          <w:szCs w:val="25"/>
        </w:rPr>
        <w:t>District Motion</w:t>
      </w:r>
      <w:r w:rsidR="00A40EF7">
        <w:rPr>
          <w:rFonts w:ascii="Aptos" w:hAnsi="Aptos" w:cs="Times New Roman"/>
          <w:sz w:val="25"/>
          <w:szCs w:val="25"/>
        </w:rPr>
        <w:t xml:space="preserve">.  </w:t>
      </w:r>
      <w:r w:rsidR="00D244FE">
        <w:rPr>
          <w:rFonts w:ascii="Aptos" w:hAnsi="Aptos" w:cs="Times New Roman"/>
          <w:sz w:val="25"/>
          <w:szCs w:val="25"/>
        </w:rPr>
        <w:t xml:space="preserve">Parent filed a </w:t>
      </w:r>
      <w:r w:rsidR="00D244FE">
        <w:rPr>
          <w:rFonts w:ascii="Aptos" w:hAnsi="Aptos" w:cs="Times New Roman"/>
          <w:i/>
          <w:iCs/>
          <w:sz w:val="25"/>
          <w:szCs w:val="25"/>
        </w:rPr>
        <w:t xml:space="preserve">Response to </w:t>
      </w:r>
      <w:r w:rsidR="00D244FE" w:rsidRPr="00FE0D11">
        <w:rPr>
          <w:rFonts w:ascii="Aptos" w:hAnsi="Aptos" w:cs="Times New Roman"/>
          <w:sz w:val="25"/>
          <w:szCs w:val="25"/>
        </w:rPr>
        <w:t>[</w:t>
      </w:r>
      <w:r w:rsidR="00D244FE">
        <w:rPr>
          <w:rFonts w:ascii="Aptos" w:hAnsi="Aptos" w:cs="Times New Roman"/>
          <w:i/>
          <w:iCs/>
          <w:sz w:val="25"/>
          <w:szCs w:val="25"/>
        </w:rPr>
        <w:t>the District Motion</w:t>
      </w:r>
      <w:r w:rsidR="00D244FE" w:rsidRPr="00FE0D11">
        <w:rPr>
          <w:rFonts w:ascii="Aptos" w:hAnsi="Aptos" w:cs="Times New Roman"/>
          <w:sz w:val="25"/>
          <w:szCs w:val="25"/>
        </w:rPr>
        <w:t>]</w:t>
      </w:r>
      <w:r w:rsidR="00D244FE">
        <w:rPr>
          <w:rFonts w:ascii="Aptos" w:hAnsi="Aptos" w:cs="Times New Roman"/>
          <w:sz w:val="25"/>
          <w:szCs w:val="25"/>
        </w:rPr>
        <w:t xml:space="preserve">, a </w:t>
      </w:r>
      <w:r w:rsidR="00D244FE">
        <w:rPr>
          <w:rFonts w:ascii="Aptos" w:hAnsi="Aptos" w:cs="Times New Roman"/>
          <w:i/>
          <w:iCs/>
          <w:sz w:val="25"/>
          <w:szCs w:val="25"/>
        </w:rPr>
        <w:t xml:space="preserve">Reply to </w:t>
      </w:r>
      <w:r w:rsidR="00D244FE">
        <w:rPr>
          <w:rFonts w:ascii="Aptos" w:hAnsi="Aptos" w:cs="Times New Roman"/>
          <w:sz w:val="25"/>
          <w:szCs w:val="25"/>
        </w:rPr>
        <w:t>[</w:t>
      </w:r>
      <w:r w:rsidR="00D244FE">
        <w:rPr>
          <w:rFonts w:ascii="Aptos" w:hAnsi="Aptos" w:cs="Times New Roman"/>
          <w:i/>
          <w:iCs/>
          <w:sz w:val="25"/>
          <w:szCs w:val="25"/>
        </w:rPr>
        <w:t xml:space="preserve">the DCF </w:t>
      </w:r>
      <w:r w:rsidR="00D244FE" w:rsidRPr="00D244FE">
        <w:rPr>
          <w:rFonts w:ascii="Aptos" w:hAnsi="Aptos" w:cs="Times New Roman"/>
          <w:i/>
          <w:iCs/>
          <w:sz w:val="25"/>
          <w:szCs w:val="25"/>
        </w:rPr>
        <w:t>Motion</w:t>
      </w:r>
      <w:r w:rsidR="00D244FE">
        <w:rPr>
          <w:rFonts w:ascii="Aptos" w:hAnsi="Aptos" w:cs="Times New Roman"/>
          <w:sz w:val="25"/>
          <w:szCs w:val="25"/>
        </w:rPr>
        <w:t xml:space="preserve">] and a </w:t>
      </w:r>
      <w:r w:rsidR="00D244FE">
        <w:rPr>
          <w:rFonts w:ascii="Aptos" w:hAnsi="Aptos" w:cs="Times New Roman"/>
          <w:i/>
          <w:iCs/>
          <w:sz w:val="25"/>
          <w:szCs w:val="25"/>
        </w:rPr>
        <w:t xml:space="preserve">Response to </w:t>
      </w:r>
      <w:r w:rsidR="00D244FE">
        <w:rPr>
          <w:rFonts w:ascii="Aptos" w:hAnsi="Aptos" w:cs="Times New Roman"/>
          <w:sz w:val="25"/>
          <w:szCs w:val="25"/>
        </w:rPr>
        <w:t>[</w:t>
      </w:r>
      <w:r w:rsidR="00D244FE">
        <w:rPr>
          <w:rFonts w:ascii="Aptos" w:hAnsi="Aptos" w:cs="Times New Roman"/>
          <w:i/>
          <w:iCs/>
          <w:sz w:val="25"/>
          <w:szCs w:val="25"/>
        </w:rPr>
        <w:t>the DMH Motion</w:t>
      </w:r>
      <w:r w:rsidR="00D244FE">
        <w:rPr>
          <w:rFonts w:ascii="Aptos" w:hAnsi="Aptos" w:cs="Times New Roman"/>
          <w:sz w:val="25"/>
          <w:szCs w:val="25"/>
        </w:rPr>
        <w:t>]</w:t>
      </w:r>
      <w:r w:rsidR="00D244FE">
        <w:rPr>
          <w:rFonts w:ascii="Aptos" w:hAnsi="Aptos" w:cs="Times New Roman"/>
          <w:i/>
          <w:iCs/>
          <w:sz w:val="25"/>
          <w:szCs w:val="25"/>
        </w:rPr>
        <w:t xml:space="preserve"> </w:t>
      </w:r>
      <w:r w:rsidR="00D244FE">
        <w:rPr>
          <w:rFonts w:ascii="Aptos" w:hAnsi="Aptos" w:cs="Times New Roman"/>
          <w:sz w:val="25"/>
          <w:szCs w:val="25"/>
        </w:rPr>
        <w:t>on March 14, 2025</w:t>
      </w:r>
      <w:r w:rsidR="0084404C">
        <w:rPr>
          <w:rStyle w:val="FootnoteReference"/>
          <w:rFonts w:ascii="Aptos" w:hAnsi="Aptos" w:cs="Times New Roman"/>
          <w:sz w:val="25"/>
          <w:szCs w:val="25"/>
        </w:rPr>
        <w:footnoteReference w:id="2"/>
      </w:r>
      <w:r w:rsidR="00A40EF7">
        <w:rPr>
          <w:rFonts w:ascii="Aptos" w:hAnsi="Aptos" w:cs="Times New Roman"/>
          <w:sz w:val="25"/>
          <w:szCs w:val="25"/>
        </w:rPr>
        <w:t xml:space="preserve"> </w:t>
      </w:r>
      <w:r w:rsidR="00345C33">
        <w:rPr>
          <w:rFonts w:ascii="Aptos" w:hAnsi="Aptos" w:cs="Times New Roman"/>
          <w:sz w:val="25"/>
          <w:szCs w:val="25"/>
        </w:rPr>
        <w:t xml:space="preserve">(collectively </w:t>
      </w:r>
      <w:r w:rsidR="00345C33">
        <w:rPr>
          <w:rFonts w:ascii="Aptos" w:hAnsi="Aptos" w:cs="Times New Roman"/>
          <w:i/>
          <w:iCs/>
          <w:sz w:val="25"/>
          <w:szCs w:val="25"/>
        </w:rPr>
        <w:t>Oppositions</w:t>
      </w:r>
      <w:r w:rsidR="00345C33">
        <w:rPr>
          <w:rFonts w:ascii="Aptos" w:hAnsi="Aptos" w:cs="Times New Roman"/>
          <w:sz w:val="25"/>
          <w:szCs w:val="25"/>
        </w:rPr>
        <w:t>)</w:t>
      </w:r>
      <w:r w:rsidR="00345C33">
        <w:rPr>
          <w:rFonts w:ascii="Aptos" w:hAnsi="Aptos" w:cs="Times New Roman"/>
          <w:i/>
          <w:iCs/>
          <w:sz w:val="25"/>
          <w:szCs w:val="25"/>
        </w:rPr>
        <w:t xml:space="preserve"> </w:t>
      </w:r>
      <w:r w:rsidR="00A40EF7">
        <w:rPr>
          <w:rFonts w:ascii="Aptos" w:hAnsi="Aptos" w:cs="Times New Roman"/>
          <w:sz w:val="25"/>
          <w:szCs w:val="25"/>
        </w:rPr>
        <w:t>oppos</w:t>
      </w:r>
      <w:r w:rsidR="00AE688B">
        <w:rPr>
          <w:rFonts w:ascii="Aptos" w:hAnsi="Aptos" w:cs="Times New Roman"/>
          <w:sz w:val="25"/>
          <w:szCs w:val="25"/>
        </w:rPr>
        <w:t>ing</w:t>
      </w:r>
      <w:r w:rsidR="00A40EF7">
        <w:rPr>
          <w:rFonts w:ascii="Aptos" w:hAnsi="Aptos" w:cs="Times New Roman"/>
          <w:sz w:val="25"/>
          <w:szCs w:val="25"/>
        </w:rPr>
        <w:t xml:space="preserve"> dismissal of the matter or of any Party.</w:t>
      </w:r>
    </w:p>
    <w:p w14:paraId="37A5FF83" w14:textId="77777777" w:rsidR="0016676E" w:rsidRDefault="0016676E" w:rsidP="0016676E">
      <w:pPr>
        <w:spacing w:after="0" w:line="240" w:lineRule="auto"/>
        <w:rPr>
          <w:rFonts w:ascii="Aptos" w:hAnsi="Aptos" w:cs="Times New Roman"/>
          <w:sz w:val="25"/>
          <w:szCs w:val="25"/>
        </w:rPr>
      </w:pPr>
    </w:p>
    <w:p w14:paraId="637D55EB" w14:textId="27CB7A32" w:rsidR="00C14681" w:rsidRDefault="00C74074" w:rsidP="002267F4">
      <w:pPr>
        <w:spacing w:after="0" w:line="240" w:lineRule="auto"/>
        <w:rPr>
          <w:rFonts w:ascii="Aptos" w:hAnsi="Aptos" w:cs="Times New Roman"/>
          <w:sz w:val="25"/>
          <w:szCs w:val="25"/>
        </w:rPr>
      </w:pPr>
      <w:r>
        <w:rPr>
          <w:rFonts w:ascii="Aptos" w:hAnsi="Aptos" w:cs="Times New Roman"/>
          <w:sz w:val="25"/>
          <w:szCs w:val="25"/>
        </w:rPr>
        <w:t xml:space="preserve">A </w:t>
      </w:r>
      <w:r w:rsidR="005D6A47">
        <w:rPr>
          <w:rFonts w:ascii="Aptos" w:hAnsi="Aptos" w:cs="Times New Roman"/>
          <w:sz w:val="25"/>
          <w:szCs w:val="25"/>
        </w:rPr>
        <w:t xml:space="preserve">Hearing on the </w:t>
      </w:r>
      <w:r w:rsidR="005D6A47">
        <w:rPr>
          <w:rFonts w:ascii="Aptos" w:hAnsi="Aptos" w:cs="Times New Roman"/>
          <w:i/>
          <w:iCs/>
          <w:sz w:val="25"/>
          <w:szCs w:val="25"/>
        </w:rPr>
        <w:t>Motions</w:t>
      </w:r>
      <w:r w:rsidR="005D6A47">
        <w:rPr>
          <w:rFonts w:ascii="Aptos" w:hAnsi="Aptos" w:cs="Times New Roman"/>
          <w:sz w:val="25"/>
          <w:szCs w:val="25"/>
        </w:rPr>
        <w:t xml:space="preserve">, </w:t>
      </w:r>
      <w:r w:rsidR="005D6A47">
        <w:rPr>
          <w:rFonts w:ascii="Aptos" w:hAnsi="Aptos" w:cs="Times New Roman"/>
          <w:i/>
          <w:iCs/>
          <w:sz w:val="25"/>
          <w:szCs w:val="25"/>
        </w:rPr>
        <w:t>Replies</w:t>
      </w:r>
      <w:r w:rsidR="005D6A47">
        <w:rPr>
          <w:rFonts w:ascii="Aptos" w:hAnsi="Aptos" w:cs="Times New Roman"/>
          <w:sz w:val="25"/>
          <w:szCs w:val="25"/>
        </w:rPr>
        <w:t xml:space="preserve"> and </w:t>
      </w:r>
      <w:r w:rsidR="005D6A47">
        <w:rPr>
          <w:rFonts w:ascii="Aptos" w:hAnsi="Aptos" w:cs="Times New Roman"/>
          <w:i/>
          <w:iCs/>
          <w:sz w:val="25"/>
          <w:szCs w:val="25"/>
        </w:rPr>
        <w:t>Oppositions</w:t>
      </w:r>
      <w:r w:rsidRPr="00C74074">
        <w:rPr>
          <w:rFonts w:ascii="Aptos" w:hAnsi="Aptos" w:cs="Times New Roman"/>
          <w:sz w:val="25"/>
          <w:szCs w:val="25"/>
        </w:rPr>
        <w:t xml:space="preserve">, </w:t>
      </w:r>
      <w:r w:rsidR="00517E7B">
        <w:rPr>
          <w:rFonts w:ascii="Aptos" w:hAnsi="Aptos" w:cs="Times New Roman"/>
          <w:sz w:val="25"/>
          <w:szCs w:val="25"/>
        </w:rPr>
        <w:t>was scheduled for April 8, 2025.  However, on March 31, 2025, the Parties filed a joint request to cancel the Motion Hearing and</w:t>
      </w:r>
      <w:r w:rsidR="001A2140">
        <w:rPr>
          <w:rFonts w:ascii="Aptos" w:hAnsi="Aptos" w:cs="Times New Roman"/>
          <w:sz w:val="25"/>
          <w:szCs w:val="25"/>
        </w:rPr>
        <w:t xml:space="preserve"> </w:t>
      </w:r>
      <w:proofErr w:type="gramStart"/>
      <w:r w:rsidR="001A2140">
        <w:rPr>
          <w:rFonts w:ascii="Aptos" w:hAnsi="Aptos" w:cs="Times New Roman"/>
          <w:sz w:val="25"/>
          <w:szCs w:val="25"/>
        </w:rPr>
        <w:t>requesting</w:t>
      </w:r>
      <w:proofErr w:type="gramEnd"/>
      <w:r w:rsidR="001A2140">
        <w:rPr>
          <w:rFonts w:ascii="Aptos" w:hAnsi="Aptos" w:cs="Times New Roman"/>
          <w:sz w:val="25"/>
          <w:szCs w:val="25"/>
        </w:rPr>
        <w:t xml:space="preserve"> that</w:t>
      </w:r>
      <w:r w:rsidR="00424B16">
        <w:rPr>
          <w:rFonts w:ascii="Aptos" w:hAnsi="Aptos" w:cs="Times New Roman"/>
          <w:sz w:val="25"/>
          <w:szCs w:val="25"/>
        </w:rPr>
        <w:t xml:space="preserve"> this </w:t>
      </w:r>
      <w:r w:rsidR="00424B16">
        <w:rPr>
          <w:rFonts w:ascii="Aptos" w:hAnsi="Aptos" w:cs="Times New Roman"/>
          <w:i/>
          <w:iCs/>
          <w:sz w:val="25"/>
          <w:szCs w:val="25"/>
        </w:rPr>
        <w:t>Ruling</w:t>
      </w:r>
      <w:r w:rsidR="00424B16">
        <w:rPr>
          <w:rFonts w:ascii="Aptos" w:hAnsi="Aptos" w:cs="Times New Roman"/>
          <w:sz w:val="25"/>
          <w:szCs w:val="25"/>
        </w:rPr>
        <w:t xml:space="preserve"> </w:t>
      </w:r>
      <w:r w:rsidR="001A2140">
        <w:rPr>
          <w:rFonts w:ascii="Aptos" w:hAnsi="Aptos" w:cs="Times New Roman"/>
          <w:sz w:val="25"/>
          <w:szCs w:val="25"/>
        </w:rPr>
        <w:t xml:space="preserve">be issued solely </w:t>
      </w:r>
      <w:r w:rsidR="00424B16">
        <w:rPr>
          <w:rFonts w:ascii="Aptos" w:hAnsi="Aptos" w:cs="Times New Roman"/>
          <w:sz w:val="25"/>
          <w:szCs w:val="25"/>
        </w:rPr>
        <w:t>on the written submissions</w:t>
      </w:r>
      <w:r w:rsidRPr="00C74074">
        <w:rPr>
          <w:rFonts w:ascii="Aptos" w:hAnsi="Aptos" w:cs="Times New Roman"/>
          <w:sz w:val="25"/>
          <w:szCs w:val="25"/>
        </w:rPr>
        <w:t>,</w:t>
      </w:r>
      <w:r w:rsidR="00424B16">
        <w:rPr>
          <w:rFonts w:ascii="Aptos" w:hAnsi="Aptos" w:cs="Times New Roman"/>
          <w:sz w:val="25"/>
          <w:szCs w:val="25"/>
        </w:rPr>
        <w:t xml:space="preserve"> which request was allowed on March 31, 2025.  </w:t>
      </w:r>
      <w:r w:rsidRPr="00C74074">
        <w:rPr>
          <w:rFonts w:ascii="Aptos" w:hAnsi="Aptos" w:cs="Times New Roman"/>
          <w:sz w:val="25"/>
          <w:szCs w:val="25"/>
        </w:rPr>
        <w:t xml:space="preserve"> </w:t>
      </w:r>
      <w:r w:rsidR="00424B16">
        <w:rPr>
          <w:rFonts w:ascii="Aptos" w:hAnsi="Aptos" w:cs="Times New Roman"/>
          <w:sz w:val="25"/>
          <w:szCs w:val="25"/>
        </w:rPr>
        <w:t xml:space="preserve">As </w:t>
      </w:r>
      <w:r w:rsidRPr="00C74074">
        <w:rPr>
          <w:rFonts w:ascii="Aptos" w:hAnsi="Aptos" w:cs="Times New Roman"/>
          <w:sz w:val="25"/>
          <w:szCs w:val="25"/>
        </w:rPr>
        <w:t xml:space="preserve">neither testimony nor oral argument would advance the Hearing Officer's understanding of the issues involved </w:t>
      </w:r>
      <w:r w:rsidR="00880F41">
        <w:rPr>
          <w:rFonts w:ascii="Aptos" w:hAnsi="Aptos" w:cs="Times New Roman"/>
          <w:sz w:val="25"/>
          <w:szCs w:val="25"/>
        </w:rPr>
        <w:t xml:space="preserve">and given the joint request of the Parties to cancel the scheduled Motion Hearing, </w:t>
      </w:r>
      <w:r w:rsidRPr="00C74074">
        <w:rPr>
          <w:rFonts w:ascii="Aptos" w:hAnsi="Aptos" w:cs="Times New Roman"/>
          <w:sz w:val="25"/>
          <w:szCs w:val="25"/>
        </w:rPr>
        <w:t xml:space="preserve">this Ruling is issued without </w:t>
      </w:r>
      <w:proofErr w:type="gramStart"/>
      <w:r w:rsidRPr="00C74074">
        <w:rPr>
          <w:rFonts w:ascii="Aptos" w:hAnsi="Aptos" w:cs="Times New Roman"/>
          <w:sz w:val="25"/>
          <w:szCs w:val="25"/>
        </w:rPr>
        <w:t>a hearing</w:t>
      </w:r>
      <w:proofErr w:type="gramEnd"/>
      <w:r w:rsidRPr="00C74074">
        <w:rPr>
          <w:rFonts w:ascii="Aptos" w:hAnsi="Aptos" w:cs="Times New Roman"/>
          <w:sz w:val="25"/>
          <w:szCs w:val="25"/>
        </w:rPr>
        <w:t xml:space="preserve"> pursuant to </w:t>
      </w:r>
      <w:r w:rsidRPr="00C74074">
        <w:rPr>
          <w:rFonts w:ascii="Aptos" w:hAnsi="Aptos" w:cs="Times New Roman"/>
          <w:i/>
          <w:iCs/>
          <w:sz w:val="25"/>
          <w:szCs w:val="25"/>
        </w:rPr>
        <w:t xml:space="preserve">Hearing Rules for Special Education Appeals </w:t>
      </w:r>
      <w:r w:rsidRPr="00C74074">
        <w:rPr>
          <w:rFonts w:ascii="Aptos" w:hAnsi="Aptos" w:cs="Times New Roman"/>
          <w:sz w:val="25"/>
          <w:szCs w:val="25"/>
        </w:rPr>
        <w:t>(</w:t>
      </w:r>
      <w:r w:rsidRPr="00C74074">
        <w:rPr>
          <w:rFonts w:ascii="Aptos" w:hAnsi="Aptos" w:cs="Times New Roman"/>
          <w:i/>
          <w:iCs/>
          <w:sz w:val="25"/>
          <w:szCs w:val="25"/>
        </w:rPr>
        <w:t>Hearing Rules</w:t>
      </w:r>
      <w:r w:rsidRPr="00C74074">
        <w:rPr>
          <w:rFonts w:ascii="Aptos" w:hAnsi="Aptos" w:cs="Times New Roman"/>
          <w:sz w:val="25"/>
          <w:szCs w:val="25"/>
        </w:rPr>
        <w:t>)</w:t>
      </w:r>
      <w:r w:rsidRPr="00C74074">
        <w:rPr>
          <w:rFonts w:ascii="Aptos" w:hAnsi="Aptos" w:cs="Times New Roman"/>
          <w:i/>
          <w:iCs/>
          <w:sz w:val="25"/>
          <w:szCs w:val="25"/>
        </w:rPr>
        <w:t xml:space="preserve"> </w:t>
      </w:r>
      <w:r w:rsidRPr="00C74074">
        <w:rPr>
          <w:rFonts w:ascii="Aptos" w:hAnsi="Aptos" w:cs="Times New Roman"/>
          <w:sz w:val="25"/>
          <w:szCs w:val="25"/>
        </w:rPr>
        <w:t xml:space="preserve">Rule VII(D).  For the reasons articulated below, </w:t>
      </w:r>
      <w:r w:rsidR="00880F41">
        <w:rPr>
          <w:rFonts w:ascii="Aptos" w:hAnsi="Aptos" w:cs="Times New Roman"/>
          <w:sz w:val="25"/>
          <w:szCs w:val="25"/>
        </w:rPr>
        <w:t xml:space="preserve">the </w:t>
      </w:r>
      <w:r w:rsidR="00880F41">
        <w:rPr>
          <w:rFonts w:ascii="Aptos" w:hAnsi="Aptos" w:cs="Times New Roman"/>
          <w:i/>
          <w:iCs/>
          <w:sz w:val="25"/>
          <w:szCs w:val="25"/>
        </w:rPr>
        <w:t xml:space="preserve">Motions </w:t>
      </w:r>
      <w:r w:rsidR="00880F41">
        <w:rPr>
          <w:rFonts w:ascii="Aptos" w:hAnsi="Aptos" w:cs="Times New Roman"/>
          <w:sz w:val="25"/>
          <w:szCs w:val="25"/>
        </w:rPr>
        <w:t xml:space="preserve">are </w:t>
      </w:r>
      <w:r w:rsidR="00880F41">
        <w:rPr>
          <w:rFonts w:ascii="Aptos" w:hAnsi="Aptos" w:cs="Times New Roman"/>
          <w:b/>
          <w:bCs/>
          <w:sz w:val="25"/>
          <w:szCs w:val="25"/>
        </w:rPr>
        <w:t>DENIED</w:t>
      </w:r>
      <w:r w:rsidR="00880F41">
        <w:rPr>
          <w:rFonts w:ascii="Aptos" w:hAnsi="Aptos" w:cs="Times New Roman"/>
          <w:sz w:val="25"/>
          <w:szCs w:val="25"/>
        </w:rPr>
        <w:t xml:space="preserve">, and this matter will proceed with all </w:t>
      </w:r>
      <w:r w:rsidR="00BE6B98">
        <w:rPr>
          <w:rFonts w:ascii="Aptos" w:hAnsi="Aptos" w:cs="Times New Roman"/>
          <w:sz w:val="25"/>
          <w:szCs w:val="25"/>
        </w:rPr>
        <w:t>existing Parties</w:t>
      </w:r>
      <w:r w:rsidRPr="00C74074">
        <w:rPr>
          <w:rFonts w:ascii="Aptos" w:hAnsi="Aptos" w:cs="Times New Roman"/>
          <w:sz w:val="25"/>
          <w:szCs w:val="25"/>
        </w:rPr>
        <w:t xml:space="preserve">. </w:t>
      </w:r>
    </w:p>
    <w:p w14:paraId="57894E9A" w14:textId="77777777" w:rsidR="002267F4" w:rsidRPr="002267F4" w:rsidRDefault="002267F4" w:rsidP="002267F4">
      <w:pPr>
        <w:spacing w:after="0" w:line="240" w:lineRule="auto"/>
        <w:rPr>
          <w:rFonts w:ascii="Aptos" w:hAnsi="Aptos" w:cs="Times New Roman"/>
          <w:sz w:val="25"/>
          <w:szCs w:val="25"/>
        </w:rPr>
      </w:pPr>
    </w:p>
    <w:p w14:paraId="2E7ED030" w14:textId="10B9BEC7" w:rsidR="00C14681" w:rsidRPr="00276FBA" w:rsidRDefault="00C14681" w:rsidP="00C14681">
      <w:pPr>
        <w:rPr>
          <w:rFonts w:ascii="Aptos" w:hAnsi="Aptos"/>
          <w:b/>
          <w:bCs/>
          <w:sz w:val="25"/>
          <w:szCs w:val="25"/>
        </w:rPr>
      </w:pPr>
      <w:r w:rsidRPr="00276FBA">
        <w:rPr>
          <w:rFonts w:ascii="Aptos" w:hAnsi="Aptos"/>
          <w:b/>
          <w:bCs/>
          <w:sz w:val="25"/>
          <w:szCs w:val="25"/>
        </w:rPr>
        <w:t>I. FACTUAL BACKGROUND AND RELEVANT PROCEDURAL HISTORY:</w:t>
      </w:r>
    </w:p>
    <w:p w14:paraId="520584A6" w14:textId="77777777" w:rsidR="00C14681" w:rsidRDefault="00C14681" w:rsidP="00C14681">
      <w:pPr>
        <w:rPr>
          <w:rFonts w:ascii="Aptos" w:hAnsi="Aptos"/>
          <w:sz w:val="25"/>
          <w:szCs w:val="25"/>
        </w:rPr>
      </w:pPr>
      <w:bookmarkStart w:id="0" w:name="N_5_"/>
      <w:r w:rsidRPr="00276FBA">
        <w:rPr>
          <w:rFonts w:ascii="Aptos" w:hAnsi="Aptos"/>
          <w:sz w:val="25"/>
          <w:szCs w:val="25"/>
        </w:rPr>
        <w:t> </w:t>
      </w:r>
      <w:bookmarkEnd w:id="0"/>
      <w:r w:rsidRPr="00276FBA">
        <w:rPr>
          <w:rFonts w:ascii="Aptos" w:hAnsi="Aptos"/>
          <w:sz w:val="25"/>
          <w:szCs w:val="25"/>
        </w:rPr>
        <w:t>The factual statements set forth are taken as true for purposes of this </w:t>
      </w:r>
      <w:r w:rsidRPr="00276FBA">
        <w:rPr>
          <w:rFonts w:ascii="Aptos" w:hAnsi="Aptos"/>
          <w:i/>
          <w:iCs/>
          <w:sz w:val="25"/>
          <w:szCs w:val="25"/>
        </w:rPr>
        <w:t>Ruling</w:t>
      </w:r>
      <w:r w:rsidRPr="00276FBA">
        <w:rPr>
          <w:rFonts w:ascii="Aptos" w:hAnsi="Aptos"/>
          <w:sz w:val="25"/>
          <w:szCs w:val="25"/>
        </w:rPr>
        <w:t> only.</w:t>
      </w:r>
    </w:p>
    <w:p w14:paraId="07E9601B" w14:textId="710E5FCC" w:rsidR="00C14681" w:rsidRDefault="00C14681"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Student is </w:t>
      </w:r>
      <w:r w:rsidR="00476F70">
        <w:rPr>
          <w:rFonts w:ascii="Aptos" w:hAnsi="Aptos"/>
          <w:sz w:val="25"/>
          <w:szCs w:val="25"/>
        </w:rPr>
        <w:t>currently in 7</w:t>
      </w:r>
      <w:r w:rsidR="00476F70" w:rsidRPr="00476F70">
        <w:rPr>
          <w:rFonts w:ascii="Aptos" w:hAnsi="Aptos"/>
          <w:sz w:val="25"/>
          <w:szCs w:val="25"/>
          <w:vertAlign w:val="superscript"/>
        </w:rPr>
        <w:t>th</w:t>
      </w:r>
      <w:r w:rsidR="00476F70">
        <w:rPr>
          <w:rFonts w:ascii="Aptos" w:hAnsi="Aptos"/>
          <w:sz w:val="25"/>
          <w:szCs w:val="25"/>
        </w:rPr>
        <w:t xml:space="preserve"> grade </w:t>
      </w:r>
      <w:r w:rsidR="008A1870">
        <w:rPr>
          <w:rFonts w:ascii="Aptos" w:hAnsi="Aptos"/>
          <w:sz w:val="25"/>
          <w:szCs w:val="25"/>
        </w:rPr>
        <w:t xml:space="preserve">and has attended </w:t>
      </w:r>
      <w:r w:rsidR="00A710D2">
        <w:rPr>
          <w:rFonts w:ascii="Aptos" w:hAnsi="Aptos"/>
          <w:sz w:val="25"/>
          <w:szCs w:val="25"/>
        </w:rPr>
        <w:t xml:space="preserve">the day program at </w:t>
      </w:r>
      <w:r w:rsidR="00E63914">
        <w:rPr>
          <w:rFonts w:ascii="Aptos" w:hAnsi="Aptos"/>
          <w:sz w:val="25"/>
          <w:szCs w:val="25"/>
        </w:rPr>
        <w:t>D</w:t>
      </w:r>
      <w:r w:rsidR="00B7329C">
        <w:rPr>
          <w:rFonts w:ascii="Aptos" w:hAnsi="Aptos"/>
          <w:sz w:val="25"/>
          <w:szCs w:val="25"/>
        </w:rPr>
        <w:t xml:space="preserve">octor Franklin Perkins School, </w:t>
      </w:r>
      <w:r w:rsidR="007B5D9C">
        <w:rPr>
          <w:rFonts w:ascii="Aptos" w:hAnsi="Aptos"/>
          <w:sz w:val="25"/>
          <w:szCs w:val="25"/>
        </w:rPr>
        <w:t xml:space="preserve">(Perkins) </w:t>
      </w:r>
      <w:r w:rsidR="00B7329C">
        <w:rPr>
          <w:rFonts w:ascii="Aptos" w:hAnsi="Aptos"/>
          <w:sz w:val="25"/>
          <w:szCs w:val="25"/>
        </w:rPr>
        <w:t xml:space="preserve">since </w:t>
      </w:r>
      <w:r w:rsidR="008A1870">
        <w:rPr>
          <w:rFonts w:ascii="Aptos" w:hAnsi="Aptos"/>
          <w:sz w:val="25"/>
          <w:szCs w:val="25"/>
        </w:rPr>
        <w:t>January 6, 2024</w:t>
      </w:r>
      <w:r w:rsidR="00B7329C">
        <w:rPr>
          <w:rFonts w:ascii="Aptos" w:hAnsi="Aptos"/>
          <w:sz w:val="25"/>
          <w:szCs w:val="25"/>
        </w:rPr>
        <w:t xml:space="preserve">.  </w:t>
      </w:r>
      <w:r w:rsidR="00476F70">
        <w:rPr>
          <w:rFonts w:ascii="Aptos" w:hAnsi="Aptos"/>
          <w:sz w:val="25"/>
          <w:szCs w:val="25"/>
        </w:rPr>
        <w:t xml:space="preserve">He is </w:t>
      </w:r>
      <w:r w:rsidR="00B87986">
        <w:rPr>
          <w:rFonts w:ascii="Aptos" w:hAnsi="Aptos"/>
          <w:sz w:val="25"/>
          <w:szCs w:val="25"/>
        </w:rPr>
        <w:t xml:space="preserve">diagnosed with </w:t>
      </w:r>
      <w:r w:rsidR="00B87986">
        <w:rPr>
          <w:rFonts w:ascii="Aptos" w:hAnsi="Aptos"/>
          <w:sz w:val="25"/>
          <w:szCs w:val="25"/>
        </w:rPr>
        <w:lastRenderedPageBreak/>
        <w:t xml:space="preserve">post-traumatic stress disorder, </w:t>
      </w:r>
      <w:r w:rsidR="00093E22">
        <w:rPr>
          <w:rFonts w:ascii="Aptos" w:hAnsi="Aptos"/>
          <w:sz w:val="25"/>
          <w:szCs w:val="25"/>
        </w:rPr>
        <w:t>reactive attachment disorder, mood disorder (unspecified), attention-deficit/hyperactivity disorder, and specific learning disabilities in writing, reading comprehension and mathematics</w:t>
      </w:r>
      <w:r w:rsidR="0029150C">
        <w:rPr>
          <w:rFonts w:ascii="Aptos" w:hAnsi="Aptos"/>
          <w:sz w:val="25"/>
          <w:szCs w:val="25"/>
        </w:rPr>
        <w:t>, with additional challenges with emotion</w:t>
      </w:r>
      <w:r w:rsidR="001A2140">
        <w:rPr>
          <w:rFonts w:ascii="Aptos" w:hAnsi="Aptos"/>
          <w:sz w:val="25"/>
          <w:szCs w:val="25"/>
        </w:rPr>
        <w:t>al</w:t>
      </w:r>
      <w:r w:rsidR="0029150C">
        <w:rPr>
          <w:rFonts w:ascii="Aptos" w:hAnsi="Aptos"/>
          <w:sz w:val="25"/>
          <w:szCs w:val="25"/>
        </w:rPr>
        <w:t xml:space="preserve"> and behavior regulation.  (</w:t>
      </w:r>
      <w:r w:rsidR="0029150C">
        <w:rPr>
          <w:rFonts w:ascii="Aptos" w:hAnsi="Aptos"/>
          <w:i/>
          <w:iCs/>
          <w:sz w:val="25"/>
          <w:szCs w:val="25"/>
        </w:rPr>
        <w:t>Hearing Request</w:t>
      </w:r>
      <w:r w:rsidR="0029150C">
        <w:rPr>
          <w:rFonts w:ascii="Aptos" w:hAnsi="Aptos"/>
          <w:sz w:val="25"/>
          <w:szCs w:val="25"/>
        </w:rPr>
        <w:t>)</w:t>
      </w:r>
      <w:r w:rsidR="001A2116">
        <w:rPr>
          <w:rFonts w:ascii="Aptos" w:hAnsi="Aptos"/>
          <w:sz w:val="25"/>
          <w:szCs w:val="25"/>
        </w:rPr>
        <w:t>.</w:t>
      </w:r>
    </w:p>
    <w:p w14:paraId="561E634A" w14:textId="72F403B3" w:rsidR="00B7329C" w:rsidRDefault="00B7329C" w:rsidP="00476F70">
      <w:pPr>
        <w:pStyle w:val="ListParagraph"/>
        <w:spacing w:after="0" w:line="240" w:lineRule="auto"/>
        <w:rPr>
          <w:rFonts w:ascii="Aptos" w:hAnsi="Aptos"/>
          <w:sz w:val="25"/>
          <w:szCs w:val="25"/>
        </w:rPr>
      </w:pPr>
    </w:p>
    <w:p w14:paraId="1763010D" w14:textId="0BEB0850" w:rsidR="00476F70" w:rsidRDefault="000038A1"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Student had a substantial trauma history during the first two years of his life and </w:t>
      </w:r>
      <w:r w:rsidR="008E34B5">
        <w:rPr>
          <w:rFonts w:ascii="Aptos" w:hAnsi="Aptos"/>
          <w:sz w:val="25"/>
          <w:szCs w:val="25"/>
        </w:rPr>
        <w:t xml:space="preserve">transitioned </w:t>
      </w:r>
      <w:r w:rsidR="001A2140">
        <w:rPr>
          <w:rFonts w:ascii="Aptos" w:hAnsi="Aptos"/>
          <w:sz w:val="25"/>
          <w:szCs w:val="25"/>
        </w:rPr>
        <w:t>among</w:t>
      </w:r>
      <w:r w:rsidR="008E34B5">
        <w:rPr>
          <w:rFonts w:ascii="Aptos" w:hAnsi="Aptos"/>
          <w:sz w:val="25"/>
          <w:szCs w:val="25"/>
        </w:rPr>
        <w:t xml:space="preserve"> ten different foster homes until being placed with Parent when he was 4 years old.  Parent subsequently adopted Student when he was 6.  (</w:t>
      </w:r>
      <w:r w:rsidR="008E34B5">
        <w:rPr>
          <w:rFonts w:ascii="Aptos" w:hAnsi="Aptos"/>
          <w:i/>
          <w:iCs/>
          <w:sz w:val="25"/>
          <w:szCs w:val="25"/>
        </w:rPr>
        <w:t>Hearing Request</w:t>
      </w:r>
      <w:r w:rsidR="006668F5">
        <w:rPr>
          <w:rFonts w:ascii="Aptos" w:hAnsi="Aptos"/>
          <w:sz w:val="25"/>
          <w:szCs w:val="25"/>
        </w:rPr>
        <w:t xml:space="preserve">; </w:t>
      </w:r>
      <w:r w:rsidR="006668F5">
        <w:rPr>
          <w:rFonts w:ascii="Aptos" w:hAnsi="Aptos"/>
          <w:i/>
          <w:iCs/>
          <w:sz w:val="25"/>
          <w:szCs w:val="25"/>
        </w:rPr>
        <w:t>DCF Motion</w:t>
      </w:r>
      <w:r w:rsidR="008E34B5">
        <w:rPr>
          <w:rFonts w:ascii="Aptos" w:hAnsi="Aptos"/>
          <w:sz w:val="25"/>
          <w:szCs w:val="25"/>
        </w:rPr>
        <w:t>).</w:t>
      </w:r>
    </w:p>
    <w:p w14:paraId="16C45CF1" w14:textId="77777777" w:rsidR="008E34B5" w:rsidRPr="008E34B5" w:rsidRDefault="008E34B5" w:rsidP="008E34B5">
      <w:pPr>
        <w:pStyle w:val="ListParagraph"/>
        <w:rPr>
          <w:rFonts w:ascii="Aptos" w:hAnsi="Aptos"/>
          <w:sz w:val="25"/>
          <w:szCs w:val="25"/>
        </w:rPr>
      </w:pPr>
    </w:p>
    <w:p w14:paraId="756AA18C" w14:textId="2F81E239" w:rsidR="008E34B5" w:rsidRDefault="008E0D41"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Prior to moving to Ashland, Student had </w:t>
      </w:r>
      <w:r w:rsidR="000D0835">
        <w:rPr>
          <w:rFonts w:ascii="Aptos" w:hAnsi="Aptos"/>
          <w:sz w:val="25"/>
          <w:szCs w:val="25"/>
        </w:rPr>
        <w:t xml:space="preserve">been placed at the Walker Residential School </w:t>
      </w:r>
      <w:r w:rsidR="00AC632B">
        <w:rPr>
          <w:rFonts w:ascii="Aptos" w:hAnsi="Aptos"/>
          <w:sz w:val="25"/>
          <w:szCs w:val="25"/>
        </w:rPr>
        <w:t xml:space="preserve">(fully funded by his prior school district) </w:t>
      </w:r>
      <w:r w:rsidR="000D0835">
        <w:rPr>
          <w:rFonts w:ascii="Aptos" w:hAnsi="Aptos"/>
          <w:sz w:val="25"/>
          <w:szCs w:val="25"/>
        </w:rPr>
        <w:t xml:space="preserve">until transitioning to a day </w:t>
      </w:r>
      <w:r w:rsidR="001A2140">
        <w:rPr>
          <w:rFonts w:ascii="Aptos" w:hAnsi="Aptos"/>
          <w:sz w:val="25"/>
          <w:szCs w:val="25"/>
        </w:rPr>
        <w:t xml:space="preserve">placement at Walker </w:t>
      </w:r>
      <w:r w:rsidR="000D0835">
        <w:rPr>
          <w:rFonts w:ascii="Aptos" w:hAnsi="Aptos"/>
          <w:sz w:val="25"/>
          <w:szCs w:val="25"/>
        </w:rPr>
        <w:t xml:space="preserve">during the </w:t>
      </w:r>
      <w:r w:rsidR="000F498B">
        <w:rPr>
          <w:rFonts w:ascii="Aptos" w:hAnsi="Aptos"/>
          <w:sz w:val="25"/>
          <w:szCs w:val="25"/>
        </w:rPr>
        <w:t xml:space="preserve">summer </w:t>
      </w:r>
      <w:r w:rsidR="00746B01">
        <w:rPr>
          <w:rFonts w:ascii="Aptos" w:hAnsi="Aptos"/>
          <w:sz w:val="25"/>
          <w:szCs w:val="25"/>
        </w:rPr>
        <w:t>of 2022</w:t>
      </w:r>
      <w:r w:rsidR="00262AB6">
        <w:rPr>
          <w:rFonts w:ascii="Aptos" w:hAnsi="Aptos"/>
          <w:sz w:val="25"/>
          <w:szCs w:val="25"/>
        </w:rPr>
        <w:t>.  Parent moved to Ashland that fall</w:t>
      </w:r>
      <w:r w:rsidR="00B43DD5">
        <w:rPr>
          <w:rFonts w:ascii="Aptos" w:hAnsi="Aptos"/>
          <w:sz w:val="25"/>
          <w:szCs w:val="25"/>
        </w:rPr>
        <w:t>,</w:t>
      </w:r>
      <w:r w:rsidR="00262AB6">
        <w:rPr>
          <w:rFonts w:ascii="Aptos" w:hAnsi="Aptos"/>
          <w:sz w:val="25"/>
          <w:szCs w:val="25"/>
        </w:rPr>
        <w:t xml:space="preserve"> </w:t>
      </w:r>
      <w:r w:rsidR="007B08C4">
        <w:rPr>
          <w:rFonts w:ascii="Aptos" w:hAnsi="Aptos"/>
          <w:sz w:val="25"/>
          <w:szCs w:val="25"/>
        </w:rPr>
        <w:t>where</w:t>
      </w:r>
      <w:r w:rsidR="00262AB6">
        <w:rPr>
          <w:rFonts w:ascii="Aptos" w:hAnsi="Aptos"/>
          <w:sz w:val="25"/>
          <w:szCs w:val="25"/>
        </w:rPr>
        <w:t xml:space="preserve"> Student </w:t>
      </w:r>
      <w:r w:rsidR="007B08C4">
        <w:rPr>
          <w:rFonts w:ascii="Aptos" w:hAnsi="Aptos"/>
          <w:sz w:val="25"/>
          <w:szCs w:val="25"/>
        </w:rPr>
        <w:t xml:space="preserve">began an </w:t>
      </w:r>
      <w:r w:rsidR="00AE3B5B">
        <w:rPr>
          <w:rFonts w:ascii="Aptos" w:hAnsi="Aptos"/>
          <w:sz w:val="25"/>
          <w:szCs w:val="25"/>
        </w:rPr>
        <w:t xml:space="preserve">extended evaluation in the </w:t>
      </w:r>
      <w:proofErr w:type="gramStart"/>
      <w:r w:rsidR="00AE3B5B">
        <w:rPr>
          <w:rFonts w:ascii="Aptos" w:hAnsi="Aptos"/>
          <w:sz w:val="25"/>
          <w:szCs w:val="25"/>
        </w:rPr>
        <w:t>District’s</w:t>
      </w:r>
      <w:proofErr w:type="gramEnd"/>
      <w:r w:rsidR="00AE3B5B">
        <w:rPr>
          <w:rFonts w:ascii="Aptos" w:hAnsi="Aptos"/>
          <w:sz w:val="25"/>
          <w:szCs w:val="25"/>
        </w:rPr>
        <w:t xml:space="preserve"> elementary </w:t>
      </w:r>
      <w:r w:rsidR="009E1D64">
        <w:rPr>
          <w:rFonts w:ascii="Aptos" w:hAnsi="Aptos"/>
          <w:sz w:val="25"/>
          <w:szCs w:val="25"/>
        </w:rPr>
        <w:t>therapeutic program (</w:t>
      </w:r>
      <w:r w:rsidR="009E1D64">
        <w:rPr>
          <w:rFonts w:ascii="Aptos" w:hAnsi="Aptos"/>
          <w:i/>
          <w:iCs/>
          <w:sz w:val="25"/>
          <w:szCs w:val="25"/>
        </w:rPr>
        <w:t>Hearing Request</w:t>
      </w:r>
      <w:r w:rsidR="009E1D64">
        <w:rPr>
          <w:rFonts w:ascii="Aptos" w:hAnsi="Aptos"/>
          <w:sz w:val="25"/>
          <w:szCs w:val="25"/>
        </w:rPr>
        <w:t xml:space="preserve">; </w:t>
      </w:r>
      <w:r w:rsidR="009E1D64">
        <w:rPr>
          <w:rFonts w:ascii="Aptos" w:hAnsi="Aptos"/>
          <w:i/>
          <w:iCs/>
          <w:sz w:val="25"/>
          <w:szCs w:val="25"/>
        </w:rPr>
        <w:t>District Motion</w:t>
      </w:r>
      <w:r w:rsidR="00AC632B">
        <w:rPr>
          <w:rFonts w:ascii="Aptos" w:hAnsi="Aptos"/>
          <w:sz w:val="25"/>
          <w:szCs w:val="25"/>
        </w:rPr>
        <w:t xml:space="preserve">; </w:t>
      </w:r>
      <w:r w:rsidR="00AC632B">
        <w:rPr>
          <w:rFonts w:ascii="Aptos" w:hAnsi="Aptos"/>
          <w:i/>
          <w:iCs/>
          <w:sz w:val="25"/>
          <w:szCs w:val="25"/>
        </w:rPr>
        <w:t>DCF Motion</w:t>
      </w:r>
      <w:r w:rsidR="009E1D64">
        <w:rPr>
          <w:rFonts w:ascii="Aptos" w:hAnsi="Aptos"/>
          <w:sz w:val="25"/>
          <w:szCs w:val="25"/>
        </w:rPr>
        <w:t>).</w:t>
      </w:r>
    </w:p>
    <w:p w14:paraId="0D4CD5C2" w14:textId="77777777" w:rsidR="00DC7ADE" w:rsidRPr="00DC7ADE" w:rsidRDefault="00DC7ADE" w:rsidP="00DC7ADE">
      <w:pPr>
        <w:pStyle w:val="ListParagraph"/>
        <w:rPr>
          <w:rFonts w:ascii="Aptos" w:hAnsi="Aptos"/>
          <w:sz w:val="25"/>
          <w:szCs w:val="25"/>
        </w:rPr>
      </w:pPr>
    </w:p>
    <w:p w14:paraId="5E7017C5" w14:textId="4E76D904" w:rsidR="00DC7ADE" w:rsidRDefault="00DC7ADE" w:rsidP="00B7329C">
      <w:pPr>
        <w:pStyle w:val="ListParagraph"/>
        <w:numPr>
          <w:ilvl w:val="0"/>
          <w:numId w:val="2"/>
        </w:numPr>
        <w:spacing w:after="0" w:line="240" w:lineRule="auto"/>
        <w:rPr>
          <w:rFonts w:ascii="Aptos" w:hAnsi="Aptos"/>
          <w:sz w:val="25"/>
          <w:szCs w:val="25"/>
        </w:rPr>
      </w:pPr>
      <w:proofErr w:type="gramStart"/>
      <w:r>
        <w:rPr>
          <w:rFonts w:ascii="Aptos" w:hAnsi="Aptos"/>
          <w:sz w:val="25"/>
          <w:szCs w:val="25"/>
        </w:rPr>
        <w:t>Student was</w:t>
      </w:r>
      <w:proofErr w:type="gramEnd"/>
      <w:r>
        <w:rPr>
          <w:rFonts w:ascii="Aptos" w:hAnsi="Aptos"/>
          <w:sz w:val="25"/>
          <w:szCs w:val="25"/>
        </w:rPr>
        <w:t xml:space="preserve"> hospitalized twice </w:t>
      </w:r>
      <w:r w:rsidR="00751B43">
        <w:rPr>
          <w:rFonts w:ascii="Aptos" w:hAnsi="Aptos"/>
          <w:sz w:val="25"/>
          <w:szCs w:val="25"/>
        </w:rPr>
        <w:t>during the 2022-2023 school year</w:t>
      </w:r>
      <w:r w:rsidR="001A2140">
        <w:rPr>
          <w:rFonts w:ascii="Aptos" w:hAnsi="Aptos"/>
          <w:sz w:val="25"/>
          <w:szCs w:val="25"/>
        </w:rPr>
        <w:t>,</w:t>
      </w:r>
      <w:r w:rsidR="00751B43">
        <w:rPr>
          <w:rFonts w:ascii="Aptos" w:hAnsi="Aptos"/>
          <w:sz w:val="25"/>
          <w:szCs w:val="25"/>
        </w:rPr>
        <w:t xml:space="preserve"> between March and May 2023.  </w:t>
      </w:r>
      <w:r w:rsidR="00F5066D">
        <w:rPr>
          <w:rFonts w:ascii="Aptos" w:hAnsi="Aptos"/>
          <w:sz w:val="25"/>
          <w:szCs w:val="25"/>
        </w:rPr>
        <w:t>This was consistent with Student’s prior history of</w:t>
      </w:r>
      <w:r w:rsidR="003926B2">
        <w:rPr>
          <w:rFonts w:ascii="Aptos" w:hAnsi="Aptos"/>
          <w:sz w:val="25"/>
          <w:szCs w:val="25"/>
        </w:rPr>
        <w:t xml:space="preserve"> averaging at least </w:t>
      </w:r>
      <w:r w:rsidR="00F5066D">
        <w:rPr>
          <w:rFonts w:ascii="Aptos" w:hAnsi="Aptos"/>
          <w:sz w:val="25"/>
          <w:szCs w:val="25"/>
        </w:rPr>
        <w:t xml:space="preserve">two </w:t>
      </w:r>
      <w:r w:rsidR="003926B2">
        <w:rPr>
          <w:rFonts w:ascii="Aptos" w:hAnsi="Aptos"/>
          <w:sz w:val="25"/>
          <w:szCs w:val="25"/>
        </w:rPr>
        <w:t xml:space="preserve">extended </w:t>
      </w:r>
      <w:r w:rsidR="00F5066D">
        <w:rPr>
          <w:rFonts w:ascii="Aptos" w:hAnsi="Aptos"/>
          <w:sz w:val="25"/>
          <w:szCs w:val="25"/>
        </w:rPr>
        <w:t xml:space="preserve">hospitalizations </w:t>
      </w:r>
      <w:r w:rsidR="003926B2">
        <w:rPr>
          <w:rFonts w:ascii="Aptos" w:hAnsi="Aptos"/>
          <w:sz w:val="25"/>
          <w:szCs w:val="25"/>
        </w:rPr>
        <w:t>yearly</w:t>
      </w:r>
      <w:r w:rsidR="00916F0E">
        <w:rPr>
          <w:rFonts w:ascii="Aptos" w:hAnsi="Aptos"/>
          <w:sz w:val="25"/>
          <w:szCs w:val="25"/>
        </w:rPr>
        <w:t>,</w:t>
      </w:r>
      <w:r w:rsidR="003926B2">
        <w:rPr>
          <w:rFonts w:ascii="Aptos" w:hAnsi="Aptos"/>
          <w:sz w:val="25"/>
          <w:szCs w:val="25"/>
        </w:rPr>
        <w:t xml:space="preserve"> resulting in </w:t>
      </w:r>
      <w:r w:rsidR="00F5066D">
        <w:rPr>
          <w:rFonts w:ascii="Aptos" w:hAnsi="Aptos"/>
          <w:sz w:val="25"/>
          <w:szCs w:val="25"/>
        </w:rPr>
        <w:t>between 1-3 months out of school</w:t>
      </w:r>
      <w:r w:rsidR="00E75E52">
        <w:rPr>
          <w:rStyle w:val="FootnoteReference"/>
          <w:rFonts w:ascii="Aptos" w:hAnsi="Aptos"/>
          <w:sz w:val="25"/>
          <w:szCs w:val="25"/>
        </w:rPr>
        <w:footnoteReference w:id="3"/>
      </w:r>
      <w:r w:rsidR="00F5066D">
        <w:rPr>
          <w:rFonts w:ascii="Aptos" w:hAnsi="Aptos"/>
          <w:sz w:val="25"/>
          <w:szCs w:val="25"/>
        </w:rPr>
        <w:t xml:space="preserve">.  </w:t>
      </w:r>
      <w:r w:rsidR="0070412D">
        <w:rPr>
          <w:rFonts w:ascii="Aptos" w:hAnsi="Aptos"/>
          <w:sz w:val="25"/>
          <w:szCs w:val="25"/>
        </w:rPr>
        <w:t>The hospitalizations that year were due to incidents and behaviors that occurred in the home</w:t>
      </w:r>
      <w:r w:rsidR="00916F0E">
        <w:rPr>
          <w:rFonts w:ascii="Aptos" w:hAnsi="Aptos"/>
          <w:sz w:val="25"/>
          <w:szCs w:val="25"/>
        </w:rPr>
        <w:t>,</w:t>
      </w:r>
      <w:r w:rsidR="0070412D">
        <w:rPr>
          <w:rFonts w:ascii="Aptos" w:hAnsi="Aptos"/>
          <w:sz w:val="25"/>
          <w:szCs w:val="25"/>
        </w:rPr>
        <w:t xml:space="preserve"> not at school.  The </w:t>
      </w:r>
      <w:proofErr w:type="gramStart"/>
      <w:r w:rsidR="0070412D">
        <w:rPr>
          <w:rFonts w:ascii="Aptos" w:hAnsi="Aptos"/>
          <w:sz w:val="25"/>
          <w:szCs w:val="25"/>
        </w:rPr>
        <w:t>District</w:t>
      </w:r>
      <w:proofErr w:type="gramEnd"/>
      <w:r w:rsidR="0070412D">
        <w:rPr>
          <w:rFonts w:ascii="Aptos" w:hAnsi="Aptos"/>
          <w:sz w:val="25"/>
          <w:szCs w:val="25"/>
        </w:rPr>
        <w:t xml:space="preserve"> had offered to perform a home assessment in December 2022, but Parent did not agree to it.  Ultimately, in May 2023, the Parties agreed to a 3</w:t>
      </w:r>
      <w:r w:rsidR="0070412D" w:rsidRPr="0070412D">
        <w:rPr>
          <w:rFonts w:ascii="Aptos" w:hAnsi="Aptos"/>
          <w:sz w:val="25"/>
          <w:szCs w:val="25"/>
          <w:vertAlign w:val="superscript"/>
        </w:rPr>
        <w:t>rd</w:t>
      </w:r>
      <w:r w:rsidR="0070412D">
        <w:rPr>
          <w:rFonts w:ascii="Aptos" w:hAnsi="Aptos"/>
          <w:sz w:val="25"/>
          <w:szCs w:val="25"/>
        </w:rPr>
        <w:t xml:space="preserve"> party vendor complet</w:t>
      </w:r>
      <w:r w:rsidR="00335395">
        <w:rPr>
          <w:rFonts w:ascii="Aptos" w:hAnsi="Aptos"/>
          <w:sz w:val="25"/>
          <w:szCs w:val="25"/>
        </w:rPr>
        <w:t>ing</w:t>
      </w:r>
      <w:r w:rsidR="0070412D">
        <w:rPr>
          <w:rFonts w:ascii="Aptos" w:hAnsi="Aptos"/>
          <w:sz w:val="25"/>
          <w:szCs w:val="25"/>
        </w:rPr>
        <w:t xml:space="preserve"> a </w:t>
      </w:r>
      <w:r w:rsidR="00446AAE">
        <w:rPr>
          <w:rFonts w:ascii="Aptos" w:hAnsi="Aptos"/>
          <w:sz w:val="25"/>
          <w:szCs w:val="25"/>
        </w:rPr>
        <w:t xml:space="preserve">Trauma Informed Functional Behavioral Assessment </w:t>
      </w:r>
      <w:r w:rsidR="00F72B05">
        <w:rPr>
          <w:rFonts w:ascii="Aptos" w:hAnsi="Aptos"/>
          <w:sz w:val="25"/>
          <w:szCs w:val="25"/>
        </w:rPr>
        <w:t>(</w:t>
      </w:r>
      <w:r w:rsidR="00526ABB">
        <w:rPr>
          <w:rFonts w:ascii="Aptos" w:hAnsi="Aptos"/>
          <w:sz w:val="25"/>
          <w:szCs w:val="25"/>
        </w:rPr>
        <w:t xml:space="preserve">2023 </w:t>
      </w:r>
      <w:r w:rsidR="00F72B05">
        <w:rPr>
          <w:rFonts w:ascii="Aptos" w:hAnsi="Aptos"/>
          <w:sz w:val="25"/>
          <w:szCs w:val="25"/>
        </w:rPr>
        <w:t xml:space="preserve">FBA) </w:t>
      </w:r>
      <w:r w:rsidR="00446AAE">
        <w:rPr>
          <w:rFonts w:ascii="Aptos" w:hAnsi="Aptos"/>
          <w:sz w:val="25"/>
          <w:szCs w:val="25"/>
        </w:rPr>
        <w:t xml:space="preserve">that </w:t>
      </w:r>
      <w:r w:rsidR="008C59A1">
        <w:rPr>
          <w:rFonts w:ascii="Aptos" w:hAnsi="Aptos"/>
          <w:sz w:val="25"/>
          <w:szCs w:val="25"/>
        </w:rPr>
        <w:t xml:space="preserve">covered both the home and school setting and spanned the end of the 2022-2023 school year and the start of the 2023-2024 school year.  </w:t>
      </w:r>
      <w:r w:rsidR="00F5066D">
        <w:rPr>
          <w:rFonts w:ascii="Aptos" w:hAnsi="Aptos"/>
          <w:sz w:val="25"/>
          <w:szCs w:val="25"/>
        </w:rPr>
        <w:t>(</w:t>
      </w:r>
      <w:r w:rsidR="00F5066D">
        <w:rPr>
          <w:rFonts w:ascii="Aptos" w:hAnsi="Aptos"/>
          <w:i/>
          <w:iCs/>
          <w:sz w:val="25"/>
          <w:szCs w:val="25"/>
        </w:rPr>
        <w:t>District Motion</w:t>
      </w:r>
      <w:r w:rsidR="00F5066D">
        <w:rPr>
          <w:rFonts w:ascii="Aptos" w:hAnsi="Aptos"/>
          <w:sz w:val="25"/>
          <w:szCs w:val="25"/>
        </w:rPr>
        <w:t>).</w:t>
      </w:r>
    </w:p>
    <w:p w14:paraId="09DCAD54" w14:textId="77777777" w:rsidR="00F5531F" w:rsidRPr="00F5531F" w:rsidRDefault="00F5531F" w:rsidP="00F5531F">
      <w:pPr>
        <w:pStyle w:val="ListParagraph"/>
        <w:rPr>
          <w:rFonts w:ascii="Aptos" w:hAnsi="Aptos"/>
          <w:sz w:val="25"/>
          <w:szCs w:val="25"/>
        </w:rPr>
      </w:pPr>
    </w:p>
    <w:p w14:paraId="600DBB70" w14:textId="5623AA6B" w:rsidR="00F5531F" w:rsidRDefault="00F5531F"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Since </w:t>
      </w:r>
      <w:r w:rsidR="00916F0E">
        <w:rPr>
          <w:rFonts w:ascii="Aptos" w:hAnsi="Aptos"/>
          <w:sz w:val="25"/>
          <w:szCs w:val="25"/>
        </w:rPr>
        <w:t xml:space="preserve">Parent </w:t>
      </w:r>
      <w:r>
        <w:rPr>
          <w:rFonts w:ascii="Aptos" w:hAnsi="Aptos"/>
          <w:sz w:val="25"/>
          <w:szCs w:val="25"/>
        </w:rPr>
        <w:t>adopt</w:t>
      </w:r>
      <w:r w:rsidR="00916F0E">
        <w:rPr>
          <w:rFonts w:ascii="Aptos" w:hAnsi="Aptos"/>
          <w:sz w:val="25"/>
          <w:szCs w:val="25"/>
        </w:rPr>
        <w:t>ed</w:t>
      </w:r>
      <w:r>
        <w:rPr>
          <w:rFonts w:ascii="Aptos" w:hAnsi="Aptos"/>
          <w:sz w:val="25"/>
          <w:szCs w:val="25"/>
        </w:rPr>
        <w:t xml:space="preserve"> Student</w:t>
      </w:r>
      <w:r w:rsidR="00526ABB">
        <w:rPr>
          <w:rFonts w:ascii="Aptos" w:hAnsi="Aptos"/>
          <w:sz w:val="25"/>
          <w:szCs w:val="25"/>
        </w:rPr>
        <w:t>,</w:t>
      </w:r>
      <w:r>
        <w:rPr>
          <w:rFonts w:ascii="Aptos" w:hAnsi="Aptos"/>
          <w:sz w:val="25"/>
          <w:szCs w:val="25"/>
        </w:rPr>
        <w:t xml:space="preserve"> DCF has </w:t>
      </w:r>
      <w:r w:rsidR="009B248F">
        <w:rPr>
          <w:rFonts w:ascii="Aptos" w:hAnsi="Aptos"/>
          <w:sz w:val="25"/>
          <w:szCs w:val="25"/>
        </w:rPr>
        <w:t xml:space="preserve">investigated sixteen 51A reports “each related to the student’s extensive behavioral difficulties and mother’s challenges managing them”.  No report has resulted in </w:t>
      </w:r>
      <w:r w:rsidR="00537BB9">
        <w:rPr>
          <w:rFonts w:ascii="Aptos" w:hAnsi="Aptos"/>
          <w:sz w:val="25"/>
          <w:szCs w:val="25"/>
        </w:rPr>
        <w:t xml:space="preserve">a determination to remove </w:t>
      </w:r>
      <w:r w:rsidR="00B6430C">
        <w:rPr>
          <w:rFonts w:ascii="Aptos" w:hAnsi="Aptos"/>
          <w:sz w:val="25"/>
          <w:szCs w:val="25"/>
        </w:rPr>
        <w:t xml:space="preserve">Student </w:t>
      </w:r>
      <w:r w:rsidR="00537BB9">
        <w:rPr>
          <w:rFonts w:ascii="Aptos" w:hAnsi="Aptos"/>
          <w:sz w:val="25"/>
          <w:szCs w:val="25"/>
        </w:rPr>
        <w:t xml:space="preserve">from mother’s care for protective concerns, or the need </w:t>
      </w:r>
      <w:r w:rsidR="00864BA9">
        <w:rPr>
          <w:rFonts w:ascii="Aptos" w:hAnsi="Aptos"/>
          <w:sz w:val="25"/>
          <w:szCs w:val="25"/>
        </w:rPr>
        <w:t xml:space="preserve">for DCF </w:t>
      </w:r>
      <w:r w:rsidR="00537BB9">
        <w:rPr>
          <w:rFonts w:ascii="Aptos" w:hAnsi="Aptos"/>
          <w:sz w:val="25"/>
          <w:szCs w:val="25"/>
        </w:rPr>
        <w:t>to file a care and protection petition.  Additionally at no time has a Child Requiring Services application been filed</w:t>
      </w:r>
      <w:r w:rsidR="00702798">
        <w:rPr>
          <w:rFonts w:ascii="Aptos" w:hAnsi="Aptos"/>
          <w:sz w:val="25"/>
          <w:szCs w:val="25"/>
        </w:rPr>
        <w:t xml:space="preserve"> on Student</w:t>
      </w:r>
      <w:r w:rsidR="00537BB9">
        <w:rPr>
          <w:rFonts w:ascii="Aptos" w:hAnsi="Aptos"/>
          <w:sz w:val="25"/>
          <w:szCs w:val="25"/>
        </w:rPr>
        <w:t xml:space="preserve">.  </w:t>
      </w:r>
      <w:r w:rsidR="006E0FB3">
        <w:rPr>
          <w:rFonts w:ascii="Aptos" w:hAnsi="Aptos"/>
          <w:sz w:val="25"/>
          <w:szCs w:val="25"/>
        </w:rPr>
        <w:t xml:space="preserve">DCF </w:t>
      </w:r>
      <w:r w:rsidR="00864BA9">
        <w:rPr>
          <w:rFonts w:ascii="Aptos" w:hAnsi="Aptos"/>
          <w:sz w:val="25"/>
          <w:szCs w:val="25"/>
        </w:rPr>
        <w:t xml:space="preserve">entered into a </w:t>
      </w:r>
      <w:r w:rsidR="006E0FB3">
        <w:rPr>
          <w:rFonts w:ascii="Aptos" w:hAnsi="Aptos"/>
          <w:sz w:val="25"/>
          <w:szCs w:val="25"/>
        </w:rPr>
        <w:t>voluntary placement agreement with Parent from January 2020 through January 2021</w:t>
      </w:r>
      <w:r w:rsidR="007822EE">
        <w:rPr>
          <w:rFonts w:ascii="Aptos" w:hAnsi="Aptos"/>
          <w:sz w:val="25"/>
          <w:szCs w:val="25"/>
        </w:rPr>
        <w:t xml:space="preserve"> and maintained a clinical case through May 2021.</w:t>
      </w:r>
      <w:r w:rsidR="0031021D">
        <w:rPr>
          <w:rFonts w:ascii="Aptos" w:hAnsi="Aptos"/>
          <w:sz w:val="25"/>
          <w:szCs w:val="25"/>
        </w:rPr>
        <w:t xml:space="preserve">  DCF reopened </w:t>
      </w:r>
      <w:r w:rsidR="00864BA9">
        <w:rPr>
          <w:rFonts w:ascii="Aptos" w:hAnsi="Aptos"/>
          <w:sz w:val="25"/>
          <w:szCs w:val="25"/>
        </w:rPr>
        <w:t>a</w:t>
      </w:r>
      <w:r w:rsidR="0031021D">
        <w:rPr>
          <w:rFonts w:ascii="Aptos" w:hAnsi="Aptos"/>
          <w:sz w:val="25"/>
          <w:szCs w:val="25"/>
        </w:rPr>
        <w:t xml:space="preserve"> clinical case </w:t>
      </w:r>
      <w:r w:rsidR="00EE5A52">
        <w:rPr>
          <w:rFonts w:ascii="Aptos" w:hAnsi="Aptos"/>
          <w:sz w:val="25"/>
          <w:szCs w:val="25"/>
        </w:rPr>
        <w:t xml:space="preserve">on Student </w:t>
      </w:r>
      <w:r w:rsidR="0031021D">
        <w:rPr>
          <w:rFonts w:ascii="Aptos" w:hAnsi="Aptos"/>
          <w:sz w:val="25"/>
          <w:szCs w:val="25"/>
        </w:rPr>
        <w:t>in December 2024, as noted further below.  (</w:t>
      </w:r>
      <w:r w:rsidR="0031021D">
        <w:rPr>
          <w:rFonts w:ascii="Aptos" w:hAnsi="Aptos"/>
          <w:i/>
          <w:iCs/>
          <w:sz w:val="25"/>
          <w:szCs w:val="25"/>
        </w:rPr>
        <w:t>DCF Motion</w:t>
      </w:r>
      <w:r w:rsidR="0031021D">
        <w:rPr>
          <w:rFonts w:ascii="Aptos" w:hAnsi="Aptos"/>
          <w:sz w:val="25"/>
          <w:szCs w:val="25"/>
        </w:rPr>
        <w:t>).</w:t>
      </w:r>
    </w:p>
    <w:p w14:paraId="26AAEF01" w14:textId="77777777" w:rsidR="0013422D" w:rsidRPr="0013422D" w:rsidRDefault="0013422D" w:rsidP="0013422D">
      <w:pPr>
        <w:pStyle w:val="ListParagraph"/>
        <w:rPr>
          <w:rFonts w:ascii="Aptos" w:hAnsi="Aptos"/>
          <w:sz w:val="25"/>
          <w:szCs w:val="25"/>
        </w:rPr>
      </w:pPr>
    </w:p>
    <w:p w14:paraId="01013716" w14:textId="640F9BDB" w:rsidR="0013422D" w:rsidRDefault="00ED7AD4"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At some </w:t>
      </w:r>
      <w:r w:rsidR="00211E32">
        <w:rPr>
          <w:rFonts w:ascii="Aptos" w:hAnsi="Aptos"/>
          <w:sz w:val="25"/>
          <w:szCs w:val="25"/>
        </w:rPr>
        <w:t>time in 2018 and then s</w:t>
      </w:r>
      <w:r w:rsidR="0013422D">
        <w:rPr>
          <w:rFonts w:ascii="Aptos" w:hAnsi="Aptos"/>
          <w:sz w:val="25"/>
          <w:szCs w:val="25"/>
        </w:rPr>
        <w:t xml:space="preserve">ince May 2023, Student </w:t>
      </w:r>
      <w:r w:rsidR="00211E32">
        <w:rPr>
          <w:rFonts w:ascii="Aptos" w:hAnsi="Aptos"/>
          <w:sz w:val="25"/>
          <w:szCs w:val="25"/>
        </w:rPr>
        <w:t>h</w:t>
      </w:r>
      <w:r w:rsidR="0013422D">
        <w:rPr>
          <w:rFonts w:ascii="Aptos" w:hAnsi="Aptos"/>
          <w:sz w:val="25"/>
          <w:szCs w:val="25"/>
        </w:rPr>
        <w:t>as</w:t>
      </w:r>
      <w:r w:rsidR="00211E32">
        <w:rPr>
          <w:rFonts w:ascii="Aptos" w:hAnsi="Aptos"/>
          <w:sz w:val="25"/>
          <w:szCs w:val="25"/>
        </w:rPr>
        <w:t xml:space="preserve"> been deemed eligible for and has</w:t>
      </w:r>
      <w:r w:rsidR="0013422D">
        <w:rPr>
          <w:rFonts w:ascii="Aptos" w:hAnsi="Aptos"/>
          <w:sz w:val="25"/>
          <w:szCs w:val="25"/>
        </w:rPr>
        <w:t xml:space="preserve"> received services from DMH consisting of</w:t>
      </w:r>
      <w:r w:rsidR="00360FEC">
        <w:rPr>
          <w:rFonts w:ascii="Aptos" w:hAnsi="Aptos"/>
          <w:sz w:val="25"/>
          <w:szCs w:val="25"/>
        </w:rPr>
        <w:t xml:space="preserve"> </w:t>
      </w:r>
      <w:r w:rsidR="007E7ED3">
        <w:rPr>
          <w:rFonts w:ascii="Aptos" w:hAnsi="Aptos"/>
          <w:sz w:val="25"/>
          <w:szCs w:val="25"/>
        </w:rPr>
        <w:t xml:space="preserve">Case Management </w:t>
      </w:r>
      <w:r w:rsidR="007E7ED3">
        <w:rPr>
          <w:rFonts w:ascii="Aptos" w:hAnsi="Aptos"/>
          <w:sz w:val="25"/>
          <w:szCs w:val="25"/>
        </w:rPr>
        <w:lastRenderedPageBreak/>
        <w:t xml:space="preserve">and </w:t>
      </w:r>
      <w:r w:rsidR="00360FEC">
        <w:rPr>
          <w:rFonts w:ascii="Aptos" w:hAnsi="Aptos"/>
          <w:sz w:val="25"/>
          <w:szCs w:val="25"/>
        </w:rPr>
        <w:t xml:space="preserve">Therapeutic Support Services, </w:t>
      </w:r>
      <w:r w:rsidR="007E7ED3">
        <w:rPr>
          <w:rFonts w:ascii="Aptos" w:hAnsi="Aptos"/>
          <w:sz w:val="25"/>
          <w:szCs w:val="25"/>
        </w:rPr>
        <w:t>including</w:t>
      </w:r>
      <w:r w:rsidR="0013422D">
        <w:rPr>
          <w:rFonts w:ascii="Aptos" w:hAnsi="Aptos"/>
          <w:sz w:val="25"/>
          <w:szCs w:val="25"/>
        </w:rPr>
        <w:t xml:space="preserve"> in-home therapy, out-of-home therapy and a parent partner.  </w:t>
      </w:r>
      <w:proofErr w:type="gramStart"/>
      <w:r w:rsidR="00211E32">
        <w:rPr>
          <w:rFonts w:ascii="Aptos" w:hAnsi="Aptos"/>
          <w:sz w:val="25"/>
          <w:szCs w:val="25"/>
        </w:rPr>
        <w:t>Student has</w:t>
      </w:r>
      <w:proofErr w:type="gramEnd"/>
      <w:r w:rsidR="00211E32">
        <w:rPr>
          <w:rFonts w:ascii="Aptos" w:hAnsi="Aptos"/>
          <w:sz w:val="25"/>
          <w:szCs w:val="25"/>
        </w:rPr>
        <w:t xml:space="preserve"> been offered other DMH services during this time (including</w:t>
      </w:r>
      <w:r w:rsidR="00B35748">
        <w:rPr>
          <w:rFonts w:ascii="Aptos" w:hAnsi="Aptos"/>
          <w:sz w:val="25"/>
          <w:szCs w:val="25"/>
        </w:rPr>
        <w:t xml:space="preserve"> PACT-Y and Youth Villages services and Intensive </w:t>
      </w:r>
      <w:r w:rsidR="004D5195">
        <w:rPr>
          <w:rFonts w:ascii="Aptos" w:hAnsi="Aptos"/>
          <w:sz w:val="25"/>
          <w:szCs w:val="25"/>
        </w:rPr>
        <w:t>Home</w:t>
      </w:r>
      <w:r w:rsidR="00EE5A52">
        <w:rPr>
          <w:rFonts w:ascii="Aptos" w:hAnsi="Aptos"/>
          <w:sz w:val="25"/>
          <w:szCs w:val="25"/>
        </w:rPr>
        <w:t>-</w:t>
      </w:r>
      <w:r w:rsidR="004D5195">
        <w:rPr>
          <w:rFonts w:ascii="Aptos" w:hAnsi="Aptos"/>
          <w:sz w:val="25"/>
          <w:szCs w:val="25"/>
        </w:rPr>
        <w:t>Based Therapeutic Care)</w:t>
      </w:r>
      <w:r w:rsidR="00211E32">
        <w:rPr>
          <w:rFonts w:ascii="Aptos" w:hAnsi="Aptos"/>
          <w:sz w:val="25"/>
          <w:szCs w:val="25"/>
        </w:rPr>
        <w:t xml:space="preserve"> that Parent has </w:t>
      </w:r>
      <w:r w:rsidR="00B35748">
        <w:rPr>
          <w:rFonts w:ascii="Aptos" w:hAnsi="Aptos"/>
          <w:sz w:val="25"/>
          <w:szCs w:val="25"/>
        </w:rPr>
        <w:t xml:space="preserve">terminated or </w:t>
      </w:r>
      <w:r w:rsidR="00211E32">
        <w:rPr>
          <w:rFonts w:ascii="Aptos" w:hAnsi="Aptos"/>
          <w:sz w:val="25"/>
          <w:szCs w:val="25"/>
        </w:rPr>
        <w:t xml:space="preserve">declined.  </w:t>
      </w:r>
      <w:r w:rsidR="0013422D">
        <w:rPr>
          <w:rFonts w:ascii="Aptos" w:hAnsi="Aptos"/>
          <w:sz w:val="25"/>
          <w:szCs w:val="25"/>
        </w:rPr>
        <w:t xml:space="preserve">As noted further below, </w:t>
      </w:r>
      <w:r w:rsidR="00F20E04">
        <w:rPr>
          <w:rFonts w:ascii="Aptos" w:hAnsi="Aptos"/>
          <w:sz w:val="25"/>
          <w:szCs w:val="25"/>
        </w:rPr>
        <w:t xml:space="preserve">Student </w:t>
      </w:r>
      <w:r w:rsidR="0013422D">
        <w:rPr>
          <w:rFonts w:ascii="Aptos" w:hAnsi="Aptos"/>
          <w:sz w:val="25"/>
          <w:szCs w:val="25"/>
        </w:rPr>
        <w:t xml:space="preserve">also began to receive out-of-home respite care support </w:t>
      </w:r>
      <w:r w:rsidR="005D1443">
        <w:rPr>
          <w:rFonts w:ascii="Aptos" w:hAnsi="Aptos"/>
          <w:sz w:val="25"/>
          <w:szCs w:val="25"/>
        </w:rPr>
        <w:t>in</w:t>
      </w:r>
      <w:r w:rsidR="0013422D">
        <w:rPr>
          <w:rFonts w:ascii="Aptos" w:hAnsi="Aptos"/>
          <w:sz w:val="25"/>
          <w:szCs w:val="25"/>
        </w:rPr>
        <w:t xml:space="preserve"> </w:t>
      </w:r>
      <w:r w:rsidR="0021758D">
        <w:rPr>
          <w:rFonts w:ascii="Aptos" w:hAnsi="Aptos"/>
          <w:sz w:val="25"/>
          <w:szCs w:val="25"/>
        </w:rPr>
        <w:t>December 2024.  (</w:t>
      </w:r>
      <w:r w:rsidR="0021758D">
        <w:rPr>
          <w:rFonts w:ascii="Aptos" w:hAnsi="Aptos"/>
          <w:i/>
          <w:iCs/>
          <w:sz w:val="25"/>
          <w:szCs w:val="25"/>
        </w:rPr>
        <w:t>Hearing Request</w:t>
      </w:r>
      <w:r w:rsidR="007E7ED3">
        <w:rPr>
          <w:rFonts w:ascii="Aptos" w:hAnsi="Aptos"/>
          <w:sz w:val="25"/>
          <w:szCs w:val="25"/>
        </w:rPr>
        <w:t xml:space="preserve">; </w:t>
      </w:r>
      <w:r w:rsidR="007E7ED3">
        <w:rPr>
          <w:rFonts w:ascii="Aptos" w:hAnsi="Aptos"/>
          <w:i/>
          <w:iCs/>
          <w:sz w:val="25"/>
          <w:szCs w:val="25"/>
        </w:rPr>
        <w:t>DMH Motion</w:t>
      </w:r>
      <w:r w:rsidR="0021758D">
        <w:rPr>
          <w:rFonts w:ascii="Aptos" w:hAnsi="Aptos"/>
          <w:sz w:val="25"/>
          <w:szCs w:val="25"/>
        </w:rPr>
        <w:t>).</w:t>
      </w:r>
    </w:p>
    <w:p w14:paraId="10784903" w14:textId="77777777" w:rsidR="00F5066D" w:rsidRPr="00F5066D" w:rsidRDefault="00F5066D" w:rsidP="00F5066D">
      <w:pPr>
        <w:pStyle w:val="ListParagraph"/>
        <w:rPr>
          <w:rFonts w:ascii="Aptos" w:hAnsi="Aptos"/>
          <w:sz w:val="25"/>
          <w:szCs w:val="25"/>
        </w:rPr>
      </w:pPr>
    </w:p>
    <w:p w14:paraId="15419831" w14:textId="2D01E159" w:rsidR="00F5066D" w:rsidRDefault="00BE6B43"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At a Team meeting in May 2023, the District proposed </w:t>
      </w:r>
      <w:r w:rsidR="005D1443">
        <w:rPr>
          <w:rFonts w:ascii="Aptos" w:hAnsi="Aptos"/>
          <w:sz w:val="25"/>
          <w:szCs w:val="25"/>
        </w:rPr>
        <w:t>that</w:t>
      </w:r>
      <w:r w:rsidR="00F20E04">
        <w:rPr>
          <w:rFonts w:ascii="Aptos" w:hAnsi="Aptos"/>
          <w:sz w:val="25"/>
          <w:szCs w:val="25"/>
        </w:rPr>
        <w:t xml:space="preserve"> </w:t>
      </w:r>
      <w:r>
        <w:rPr>
          <w:rFonts w:ascii="Aptos" w:hAnsi="Aptos"/>
          <w:sz w:val="25"/>
          <w:szCs w:val="25"/>
        </w:rPr>
        <w:t>Student</w:t>
      </w:r>
      <w:r w:rsidR="00F20E04">
        <w:rPr>
          <w:rFonts w:ascii="Aptos" w:hAnsi="Aptos"/>
          <w:sz w:val="25"/>
          <w:szCs w:val="25"/>
        </w:rPr>
        <w:t xml:space="preserve"> </w:t>
      </w:r>
      <w:r w:rsidR="00D61F3C">
        <w:rPr>
          <w:rFonts w:ascii="Aptos" w:hAnsi="Aptos"/>
          <w:sz w:val="25"/>
          <w:szCs w:val="25"/>
        </w:rPr>
        <w:t xml:space="preserve">attend </w:t>
      </w:r>
      <w:r>
        <w:rPr>
          <w:rFonts w:ascii="Aptos" w:hAnsi="Aptos"/>
          <w:sz w:val="25"/>
          <w:szCs w:val="25"/>
        </w:rPr>
        <w:t>Social Studies and Science</w:t>
      </w:r>
      <w:r w:rsidR="003F588B">
        <w:rPr>
          <w:rFonts w:ascii="Aptos" w:hAnsi="Aptos"/>
          <w:sz w:val="25"/>
          <w:szCs w:val="25"/>
        </w:rPr>
        <w:t xml:space="preserve"> </w:t>
      </w:r>
      <w:r>
        <w:rPr>
          <w:rFonts w:ascii="Aptos" w:hAnsi="Aptos"/>
          <w:sz w:val="25"/>
          <w:szCs w:val="25"/>
        </w:rPr>
        <w:t xml:space="preserve">in the </w:t>
      </w:r>
      <w:r w:rsidR="00D61F3C">
        <w:rPr>
          <w:rFonts w:ascii="Aptos" w:hAnsi="Aptos"/>
          <w:sz w:val="25"/>
          <w:szCs w:val="25"/>
        </w:rPr>
        <w:t>g</w:t>
      </w:r>
      <w:r>
        <w:rPr>
          <w:rFonts w:ascii="Aptos" w:hAnsi="Aptos"/>
          <w:sz w:val="25"/>
          <w:szCs w:val="25"/>
        </w:rPr>
        <w:t xml:space="preserve">eneral </w:t>
      </w:r>
      <w:r w:rsidR="00D61F3C">
        <w:rPr>
          <w:rFonts w:ascii="Aptos" w:hAnsi="Aptos"/>
          <w:sz w:val="25"/>
          <w:szCs w:val="25"/>
        </w:rPr>
        <w:t>e</w:t>
      </w:r>
      <w:r>
        <w:rPr>
          <w:rFonts w:ascii="Aptos" w:hAnsi="Aptos"/>
          <w:sz w:val="25"/>
          <w:szCs w:val="25"/>
        </w:rPr>
        <w:t xml:space="preserve">ducation classroom and the rest of his day in a </w:t>
      </w:r>
      <w:r w:rsidR="003F588B">
        <w:rPr>
          <w:rFonts w:ascii="Aptos" w:hAnsi="Aptos"/>
          <w:sz w:val="25"/>
          <w:szCs w:val="25"/>
        </w:rPr>
        <w:t xml:space="preserve">substantially separate classroom.  </w:t>
      </w:r>
      <w:proofErr w:type="gramStart"/>
      <w:r w:rsidR="003F588B">
        <w:rPr>
          <w:rFonts w:ascii="Aptos" w:hAnsi="Aptos"/>
          <w:sz w:val="25"/>
          <w:szCs w:val="25"/>
        </w:rPr>
        <w:t>Parent</w:t>
      </w:r>
      <w:proofErr w:type="gramEnd"/>
      <w:r w:rsidR="003F588B">
        <w:rPr>
          <w:rFonts w:ascii="Aptos" w:hAnsi="Aptos"/>
          <w:sz w:val="25"/>
          <w:szCs w:val="25"/>
        </w:rPr>
        <w:t xml:space="preserve"> partially rejected this IEP in August 2023.  (</w:t>
      </w:r>
      <w:r w:rsidR="003F588B">
        <w:rPr>
          <w:rFonts w:ascii="Aptos" w:hAnsi="Aptos"/>
          <w:i/>
          <w:iCs/>
          <w:sz w:val="25"/>
          <w:szCs w:val="25"/>
        </w:rPr>
        <w:t>Hearing Request</w:t>
      </w:r>
      <w:r w:rsidR="009E7254">
        <w:rPr>
          <w:rFonts w:ascii="Aptos" w:hAnsi="Aptos"/>
          <w:sz w:val="25"/>
          <w:szCs w:val="25"/>
        </w:rPr>
        <w:t>).</w:t>
      </w:r>
    </w:p>
    <w:p w14:paraId="000B4455" w14:textId="77777777" w:rsidR="009E7254" w:rsidRPr="009E7254" w:rsidRDefault="009E7254" w:rsidP="009E7254">
      <w:pPr>
        <w:pStyle w:val="ListParagraph"/>
        <w:rPr>
          <w:rFonts w:ascii="Aptos" w:hAnsi="Aptos"/>
          <w:sz w:val="25"/>
          <w:szCs w:val="25"/>
        </w:rPr>
      </w:pPr>
    </w:p>
    <w:p w14:paraId="27A5005A" w14:textId="513E2CB9" w:rsidR="009E7254" w:rsidRDefault="00090257"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Starting in the </w:t>
      </w:r>
      <w:r w:rsidR="005D1443">
        <w:rPr>
          <w:rFonts w:ascii="Aptos" w:hAnsi="Aptos"/>
          <w:sz w:val="25"/>
          <w:szCs w:val="25"/>
        </w:rPr>
        <w:t>f</w:t>
      </w:r>
      <w:r>
        <w:rPr>
          <w:rFonts w:ascii="Aptos" w:hAnsi="Aptos"/>
          <w:sz w:val="25"/>
          <w:szCs w:val="25"/>
        </w:rPr>
        <w:t xml:space="preserve">all of 2023, the Parties agreed to an extended evaluation in the </w:t>
      </w:r>
      <w:proofErr w:type="gramStart"/>
      <w:r>
        <w:rPr>
          <w:rFonts w:ascii="Aptos" w:hAnsi="Aptos"/>
          <w:sz w:val="25"/>
          <w:szCs w:val="25"/>
        </w:rPr>
        <w:t>District’s</w:t>
      </w:r>
      <w:proofErr w:type="gramEnd"/>
      <w:r>
        <w:rPr>
          <w:rFonts w:ascii="Aptos" w:hAnsi="Aptos"/>
          <w:sz w:val="25"/>
          <w:szCs w:val="25"/>
        </w:rPr>
        <w:t xml:space="preserve"> elementary language</w:t>
      </w:r>
      <w:r w:rsidR="00317A9F">
        <w:rPr>
          <w:rFonts w:ascii="Aptos" w:hAnsi="Aptos"/>
          <w:sz w:val="25"/>
          <w:szCs w:val="25"/>
        </w:rPr>
        <w:t>-</w:t>
      </w:r>
      <w:r>
        <w:rPr>
          <w:rFonts w:ascii="Aptos" w:hAnsi="Aptos"/>
          <w:sz w:val="25"/>
          <w:szCs w:val="25"/>
        </w:rPr>
        <w:t xml:space="preserve">based </w:t>
      </w:r>
      <w:r w:rsidR="000803C2">
        <w:rPr>
          <w:rFonts w:ascii="Aptos" w:hAnsi="Aptos"/>
          <w:sz w:val="25"/>
          <w:szCs w:val="25"/>
        </w:rPr>
        <w:t>program.  At the conclusion of th</w:t>
      </w:r>
      <w:r w:rsidR="001D2438">
        <w:rPr>
          <w:rFonts w:ascii="Aptos" w:hAnsi="Aptos"/>
          <w:sz w:val="25"/>
          <w:szCs w:val="25"/>
        </w:rPr>
        <w:t>is</w:t>
      </w:r>
      <w:r w:rsidR="000803C2">
        <w:rPr>
          <w:rFonts w:ascii="Aptos" w:hAnsi="Aptos"/>
          <w:sz w:val="25"/>
          <w:szCs w:val="25"/>
        </w:rPr>
        <w:t xml:space="preserve"> extended evaluation, the </w:t>
      </w:r>
      <w:proofErr w:type="gramStart"/>
      <w:r w:rsidR="000803C2">
        <w:rPr>
          <w:rFonts w:ascii="Aptos" w:hAnsi="Aptos"/>
          <w:sz w:val="25"/>
          <w:szCs w:val="25"/>
        </w:rPr>
        <w:t>District</w:t>
      </w:r>
      <w:proofErr w:type="gramEnd"/>
      <w:r w:rsidR="000803C2">
        <w:rPr>
          <w:rFonts w:ascii="Aptos" w:hAnsi="Aptos"/>
          <w:sz w:val="25"/>
          <w:szCs w:val="25"/>
        </w:rPr>
        <w:t xml:space="preserve"> proposed </w:t>
      </w:r>
      <w:r w:rsidR="005D1443">
        <w:rPr>
          <w:rFonts w:ascii="Aptos" w:hAnsi="Aptos"/>
          <w:sz w:val="25"/>
          <w:szCs w:val="25"/>
        </w:rPr>
        <w:t>that</w:t>
      </w:r>
      <w:r w:rsidR="00317A9F">
        <w:rPr>
          <w:rFonts w:ascii="Aptos" w:hAnsi="Aptos"/>
          <w:sz w:val="25"/>
          <w:szCs w:val="25"/>
        </w:rPr>
        <w:t xml:space="preserve"> </w:t>
      </w:r>
      <w:r w:rsidR="000803C2">
        <w:rPr>
          <w:rFonts w:ascii="Aptos" w:hAnsi="Aptos"/>
          <w:sz w:val="25"/>
          <w:szCs w:val="25"/>
        </w:rPr>
        <w:t>Student remain in this program</w:t>
      </w:r>
      <w:r w:rsidR="00176E18">
        <w:rPr>
          <w:rFonts w:ascii="Aptos" w:hAnsi="Aptos"/>
          <w:sz w:val="25"/>
          <w:szCs w:val="25"/>
        </w:rPr>
        <w:t>, but Parent did not agree.  (</w:t>
      </w:r>
      <w:r w:rsidR="00176E18">
        <w:rPr>
          <w:rFonts w:ascii="Aptos" w:hAnsi="Aptos"/>
          <w:i/>
          <w:iCs/>
          <w:sz w:val="25"/>
          <w:szCs w:val="25"/>
        </w:rPr>
        <w:t>Hearing Request</w:t>
      </w:r>
      <w:r w:rsidR="00176E18">
        <w:rPr>
          <w:rFonts w:ascii="Aptos" w:hAnsi="Aptos"/>
          <w:sz w:val="25"/>
          <w:szCs w:val="25"/>
        </w:rPr>
        <w:t xml:space="preserve">, </w:t>
      </w:r>
      <w:r w:rsidR="00176E18">
        <w:rPr>
          <w:rFonts w:ascii="Aptos" w:hAnsi="Aptos"/>
          <w:i/>
          <w:iCs/>
          <w:sz w:val="25"/>
          <w:szCs w:val="25"/>
        </w:rPr>
        <w:t>District Motion</w:t>
      </w:r>
      <w:r w:rsidR="00176E18">
        <w:rPr>
          <w:rFonts w:ascii="Aptos" w:hAnsi="Aptos"/>
          <w:sz w:val="25"/>
          <w:szCs w:val="25"/>
        </w:rPr>
        <w:t>).</w:t>
      </w:r>
    </w:p>
    <w:p w14:paraId="6630CDB1" w14:textId="77777777" w:rsidR="00176E18" w:rsidRPr="00176E18" w:rsidRDefault="00176E18" w:rsidP="00176E18">
      <w:pPr>
        <w:pStyle w:val="ListParagraph"/>
        <w:rPr>
          <w:rFonts w:ascii="Aptos" w:hAnsi="Aptos"/>
          <w:sz w:val="25"/>
          <w:szCs w:val="25"/>
        </w:rPr>
      </w:pPr>
    </w:p>
    <w:p w14:paraId="25F5EA78" w14:textId="59469749" w:rsidR="00176E18" w:rsidRDefault="00176E18"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Ultimately, </w:t>
      </w:r>
      <w:r w:rsidR="003A1EAB">
        <w:rPr>
          <w:rFonts w:ascii="Aptos" w:hAnsi="Aptos"/>
          <w:sz w:val="25"/>
          <w:szCs w:val="25"/>
        </w:rPr>
        <w:t xml:space="preserve">Parent and the District executed a </w:t>
      </w:r>
      <w:r w:rsidR="001D2438">
        <w:rPr>
          <w:rFonts w:ascii="Aptos" w:hAnsi="Aptos"/>
          <w:sz w:val="25"/>
          <w:szCs w:val="25"/>
        </w:rPr>
        <w:t>s</w:t>
      </w:r>
      <w:r w:rsidR="003A1EAB">
        <w:rPr>
          <w:rFonts w:ascii="Aptos" w:hAnsi="Aptos"/>
          <w:sz w:val="25"/>
          <w:szCs w:val="25"/>
        </w:rPr>
        <w:t xml:space="preserve">ettlement </w:t>
      </w:r>
      <w:r w:rsidR="001D2438">
        <w:rPr>
          <w:rFonts w:ascii="Aptos" w:hAnsi="Aptos"/>
          <w:sz w:val="25"/>
          <w:szCs w:val="25"/>
        </w:rPr>
        <w:t>a</w:t>
      </w:r>
      <w:r w:rsidR="003A1EAB">
        <w:rPr>
          <w:rFonts w:ascii="Aptos" w:hAnsi="Aptos"/>
          <w:sz w:val="25"/>
          <w:szCs w:val="25"/>
        </w:rPr>
        <w:t>greement in May 2024</w:t>
      </w:r>
      <w:r w:rsidR="005D1443">
        <w:rPr>
          <w:rFonts w:ascii="Aptos" w:hAnsi="Aptos"/>
          <w:sz w:val="25"/>
          <w:szCs w:val="25"/>
        </w:rPr>
        <w:t>,</w:t>
      </w:r>
      <w:r w:rsidR="003A1EAB">
        <w:rPr>
          <w:rFonts w:ascii="Aptos" w:hAnsi="Aptos"/>
          <w:sz w:val="25"/>
          <w:szCs w:val="25"/>
        </w:rPr>
        <w:t xml:space="preserve"> </w:t>
      </w:r>
      <w:r w:rsidR="00E33B04">
        <w:rPr>
          <w:rFonts w:ascii="Aptos" w:hAnsi="Aptos"/>
          <w:sz w:val="25"/>
          <w:szCs w:val="25"/>
        </w:rPr>
        <w:t xml:space="preserve">covering </w:t>
      </w:r>
      <w:r w:rsidR="00A47CA5">
        <w:rPr>
          <w:rFonts w:ascii="Aptos" w:hAnsi="Aptos"/>
          <w:sz w:val="25"/>
          <w:szCs w:val="25"/>
        </w:rPr>
        <w:t xml:space="preserve">the </w:t>
      </w:r>
      <w:r w:rsidR="00E33B04">
        <w:rPr>
          <w:rFonts w:ascii="Aptos" w:hAnsi="Aptos"/>
          <w:sz w:val="25"/>
          <w:szCs w:val="25"/>
        </w:rPr>
        <w:t>s</w:t>
      </w:r>
      <w:r w:rsidR="00A47CA5">
        <w:rPr>
          <w:rFonts w:ascii="Aptos" w:hAnsi="Aptos"/>
          <w:sz w:val="25"/>
          <w:szCs w:val="25"/>
        </w:rPr>
        <w:t xml:space="preserve">ummer of 2024, </w:t>
      </w:r>
      <w:r w:rsidR="00FE7A25">
        <w:rPr>
          <w:rFonts w:ascii="Aptos" w:hAnsi="Aptos"/>
          <w:sz w:val="25"/>
          <w:szCs w:val="25"/>
        </w:rPr>
        <w:t xml:space="preserve">the </w:t>
      </w:r>
      <w:r w:rsidR="00A47CA5">
        <w:rPr>
          <w:rFonts w:ascii="Aptos" w:hAnsi="Aptos"/>
          <w:sz w:val="25"/>
          <w:szCs w:val="25"/>
        </w:rPr>
        <w:t xml:space="preserve">2024-2025 </w:t>
      </w:r>
      <w:r w:rsidR="00E33B04">
        <w:rPr>
          <w:rFonts w:ascii="Aptos" w:hAnsi="Aptos"/>
          <w:sz w:val="25"/>
          <w:szCs w:val="25"/>
        </w:rPr>
        <w:t>s</w:t>
      </w:r>
      <w:r w:rsidR="00A47CA5">
        <w:rPr>
          <w:rFonts w:ascii="Aptos" w:hAnsi="Aptos"/>
          <w:sz w:val="25"/>
          <w:szCs w:val="25"/>
        </w:rPr>
        <w:t xml:space="preserve">chool </w:t>
      </w:r>
      <w:r w:rsidR="00E33B04">
        <w:rPr>
          <w:rFonts w:ascii="Aptos" w:hAnsi="Aptos"/>
          <w:sz w:val="25"/>
          <w:szCs w:val="25"/>
        </w:rPr>
        <w:t>y</w:t>
      </w:r>
      <w:r w:rsidR="00A47CA5">
        <w:rPr>
          <w:rFonts w:ascii="Aptos" w:hAnsi="Aptos"/>
          <w:sz w:val="25"/>
          <w:szCs w:val="25"/>
        </w:rPr>
        <w:t>e</w:t>
      </w:r>
      <w:r w:rsidR="002A11D7">
        <w:rPr>
          <w:rFonts w:ascii="Aptos" w:hAnsi="Aptos"/>
          <w:sz w:val="25"/>
          <w:szCs w:val="25"/>
        </w:rPr>
        <w:t xml:space="preserve">ar, the 2025-2026 </w:t>
      </w:r>
      <w:r w:rsidR="00E33B04">
        <w:rPr>
          <w:rFonts w:ascii="Aptos" w:hAnsi="Aptos"/>
          <w:sz w:val="25"/>
          <w:szCs w:val="25"/>
        </w:rPr>
        <w:t>s</w:t>
      </w:r>
      <w:r w:rsidR="002A11D7">
        <w:rPr>
          <w:rFonts w:ascii="Aptos" w:hAnsi="Aptos"/>
          <w:sz w:val="25"/>
          <w:szCs w:val="25"/>
        </w:rPr>
        <w:t xml:space="preserve">chool </w:t>
      </w:r>
      <w:r w:rsidR="00E33B04">
        <w:rPr>
          <w:rFonts w:ascii="Aptos" w:hAnsi="Aptos"/>
          <w:sz w:val="25"/>
          <w:szCs w:val="25"/>
        </w:rPr>
        <w:t>y</w:t>
      </w:r>
      <w:r w:rsidR="002A11D7">
        <w:rPr>
          <w:rFonts w:ascii="Aptos" w:hAnsi="Aptos"/>
          <w:sz w:val="25"/>
          <w:szCs w:val="25"/>
        </w:rPr>
        <w:t xml:space="preserve">ear and the </w:t>
      </w:r>
      <w:r w:rsidR="00E33B04">
        <w:rPr>
          <w:rFonts w:ascii="Aptos" w:hAnsi="Aptos"/>
          <w:sz w:val="25"/>
          <w:szCs w:val="25"/>
        </w:rPr>
        <w:t>s</w:t>
      </w:r>
      <w:r w:rsidR="002A11D7">
        <w:rPr>
          <w:rFonts w:ascii="Aptos" w:hAnsi="Aptos"/>
          <w:sz w:val="25"/>
          <w:szCs w:val="25"/>
        </w:rPr>
        <w:t>ummer of 2026 (</w:t>
      </w:r>
      <w:r w:rsidR="002A11D7">
        <w:rPr>
          <w:rFonts w:ascii="Aptos" w:hAnsi="Aptos"/>
          <w:i/>
          <w:iCs/>
          <w:sz w:val="25"/>
          <w:szCs w:val="25"/>
        </w:rPr>
        <w:t>Settlement Agreement</w:t>
      </w:r>
      <w:r w:rsidR="002A11D7">
        <w:rPr>
          <w:rFonts w:ascii="Aptos" w:hAnsi="Aptos"/>
          <w:sz w:val="25"/>
          <w:szCs w:val="25"/>
        </w:rPr>
        <w:t xml:space="preserve">).  Pursuant to the </w:t>
      </w:r>
      <w:r w:rsidR="002A11D7">
        <w:rPr>
          <w:rFonts w:ascii="Aptos" w:hAnsi="Aptos"/>
          <w:i/>
          <w:iCs/>
          <w:sz w:val="25"/>
          <w:szCs w:val="25"/>
        </w:rPr>
        <w:t>Settlement Agreement</w:t>
      </w:r>
      <w:r w:rsidR="002A11D7">
        <w:rPr>
          <w:rFonts w:ascii="Aptos" w:hAnsi="Aptos"/>
          <w:sz w:val="25"/>
          <w:szCs w:val="25"/>
        </w:rPr>
        <w:t>, Student began attending</w:t>
      </w:r>
      <w:r w:rsidR="00FE7A25">
        <w:rPr>
          <w:rFonts w:ascii="Aptos" w:hAnsi="Aptos"/>
          <w:sz w:val="25"/>
          <w:szCs w:val="25"/>
        </w:rPr>
        <w:t xml:space="preserve"> </w:t>
      </w:r>
      <w:r w:rsidR="00301C5B">
        <w:rPr>
          <w:rFonts w:ascii="Aptos" w:hAnsi="Aptos"/>
          <w:sz w:val="25"/>
          <w:szCs w:val="25"/>
        </w:rPr>
        <w:t xml:space="preserve">Clearway School </w:t>
      </w:r>
      <w:r w:rsidR="00B92F0A">
        <w:rPr>
          <w:rFonts w:ascii="Aptos" w:hAnsi="Aptos"/>
          <w:sz w:val="25"/>
          <w:szCs w:val="25"/>
        </w:rPr>
        <w:t xml:space="preserve">(Clearway) </w:t>
      </w:r>
      <w:r w:rsidR="00053B97">
        <w:rPr>
          <w:rFonts w:ascii="Aptos" w:hAnsi="Aptos"/>
          <w:sz w:val="25"/>
          <w:szCs w:val="25"/>
        </w:rPr>
        <w:t xml:space="preserve">starting with its summer </w:t>
      </w:r>
      <w:r w:rsidR="00E33B04">
        <w:rPr>
          <w:rFonts w:ascii="Aptos" w:hAnsi="Aptos"/>
          <w:sz w:val="25"/>
          <w:szCs w:val="25"/>
        </w:rPr>
        <w:t xml:space="preserve">2024 </w:t>
      </w:r>
      <w:r w:rsidR="00053B97">
        <w:rPr>
          <w:rFonts w:ascii="Aptos" w:hAnsi="Aptos"/>
          <w:sz w:val="25"/>
          <w:szCs w:val="25"/>
        </w:rPr>
        <w:t>program</w:t>
      </w:r>
      <w:r w:rsidR="00301C5B">
        <w:rPr>
          <w:rFonts w:ascii="Aptos" w:hAnsi="Aptos"/>
          <w:sz w:val="25"/>
          <w:szCs w:val="25"/>
        </w:rPr>
        <w:t>.  (</w:t>
      </w:r>
      <w:r w:rsidR="00301C5B">
        <w:rPr>
          <w:rFonts w:ascii="Aptos" w:hAnsi="Aptos"/>
          <w:i/>
          <w:iCs/>
          <w:sz w:val="25"/>
          <w:szCs w:val="25"/>
        </w:rPr>
        <w:t>Hearing Request</w:t>
      </w:r>
      <w:r w:rsidR="00301C5B">
        <w:rPr>
          <w:rFonts w:ascii="Aptos" w:hAnsi="Aptos"/>
          <w:sz w:val="25"/>
          <w:szCs w:val="25"/>
        </w:rPr>
        <w:t xml:space="preserve">; </w:t>
      </w:r>
      <w:r w:rsidR="00301C5B">
        <w:rPr>
          <w:rFonts w:ascii="Aptos" w:hAnsi="Aptos"/>
          <w:i/>
          <w:iCs/>
          <w:sz w:val="25"/>
          <w:szCs w:val="25"/>
        </w:rPr>
        <w:t>District Motion</w:t>
      </w:r>
      <w:r w:rsidR="00301C5B">
        <w:rPr>
          <w:rFonts w:ascii="Aptos" w:hAnsi="Aptos"/>
          <w:sz w:val="25"/>
          <w:szCs w:val="25"/>
        </w:rPr>
        <w:t>).</w:t>
      </w:r>
    </w:p>
    <w:p w14:paraId="7026B6B4" w14:textId="77777777" w:rsidR="00C64FE4" w:rsidRPr="00C64FE4" w:rsidRDefault="00C64FE4" w:rsidP="00C64FE4">
      <w:pPr>
        <w:pStyle w:val="ListParagraph"/>
        <w:rPr>
          <w:rFonts w:ascii="Aptos" w:hAnsi="Aptos"/>
          <w:sz w:val="25"/>
          <w:szCs w:val="25"/>
        </w:rPr>
      </w:pPr>
    </w:p>
    <w:p w14:paraId="4C76444A" w14:textId="26405472" w:rsidR="00C64FE4" w:rsidRDefault="003429F8"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Of relevance, the </w:t>
      </w:r>
      <w:r>
        <w:rPr>
          <w:rFonts w:ascii="Aptos" w:hAnsi="Aptos"/>
          <w:i/>
          <w:iCs/>
          <w:sz w:val="25"/>
          <w:szCs w:val="25"/>
        </w:rPr>
        <w:t>Settlement Agreement</w:t>
      </w:r>
      <w:r>
        <w:rPr>
          <w:rFonts w:ascii="Aptos" w:hAnsi="Aptos"/>
          <w:sz w:val="25"/>
          <w:szCs w:val="25"/>
        </w:rPr>
        <w:t xml:space="preserve"> </w:t>
      </w:r>
      <w:r w:rsidR="00FC531D">
        <w:rPr>
          <w:rFonts w:ascii="Aptos" w:hAnsi="Aptos"/>
          <w:sz w:val="25"/>
          <w:szCs w:val="25"/>
        </w:rPr>
        <w:t>contains the following provisions:</w:t>
      </w:r>
    </w:p>
    <w:p w14:paraId="42009BC9" w14:textId="77777777" w:rsidR="00FC531D" w:rsidRPr="00FC531D" w:rsidRDefault="00FC531D" w:rsidP="00FC531D">
      <w:pPr>
        <w:pStyle w:val="ListParagraph"/>
        <w:rPr>
          <w:rFonts w:ascii="Aptos" w:hAnsi="Aptos"/>
          <w:sz w:val="25"/>
          <w:szCs w:val="25"/>
        </w:rPr>
      </w:pPr>
    </w:p>
    <w:p w14:paraId="14A967D2" w14:textId="7E3A58F9" w:rsidR="00FC531D" w:rsidRDefault="00FC531D" w:rsidP="00FC531D">
      <w:pPr>
        <w:pStyle w:val="ListParagraph"/>
        <w:numPr>
          <w:ilvl w:val="0"/>
          <w:numId w:val="3"/>
        </w:numPr>
        <w:spacing w:after="0" w:line="240" w:lineRule="auto"/>
        <w:rPr>
          <w:rFonts w:ascii="Aptos" w:hAnsi="Aptos"/>
          <w:sz w:val="25"/>
          <w:szCs w:val="25"/>
        </w:rPr>
      </w:pPr>
      <w:r>
        <w:rPr>
          <w:rFonts w:ascii="Aptos" w:hAnsi="Aptos"/>
          <w:sz w:val="25"/>
          <w:szCs w:val="25"/>
        </w:rPr>
        <w:t xml:space="preserve">“The terms contained withing this Agreement fulfill the </w:t>
      </w:r>
      <w:proofErr w:type="gramStart"/>
      <w:r>
        <w:rPr>
          <w:rFonts w:ascii="Aptos" w:hAnsi="Aptos"/>
          <w:sz w:val="25"/>
          <w:szCs w:val="25"/>
        </w:rPr>
        <w:t>District’s</w:t>
      </w:r>
      <w:proofErr w:type="gramEnd"/>
      <w:r>
        <w:rPr>
          <w:rFonts w:ascii="Aptos" w:hAnsi="Aptos"/>
          <w:sz w:val="25"/>
          <w:szCs w:val="25"/>
        </w:rPr>
        <w:t xml:space="preserve"> substantive and procedural obligations to provide an appropriate public education to the Student for the Term of this Agreement”</w:t>
      </w:r>
    </w:p>
    <w:p w14:paraId="4873AB67" w14:textId="2BBA99DE" w:rsidR="00FC531D" w:rsidRDefault="00181D72" w:rsidP="00FC531D">
      <w:pPr>
        <w:pStyle w:val="ListParagraph"/>
        <w:numPr>
          <w:ilvl w:val="0"/>
          <w:numId w:val="3"/>
        </w:numPr>
        <w:spacing w:after="0" w:line="240" w:lineRule="auto"/>
        <w:rPr>
          <w:rFonts w:ascii="Aptos" w:hAnsi="Aptos"/>
          <w:sz w:val="25"/>
          <w:szCs w:val="25"/>
        </w:rPr>
      </w:pPr>
      <w:r>
        <w:rPr>
          <w:rFonts w:ascii="Aptos" w:hAnsi="Aptos"/>
          <w:sz w:val="25"/>
          <w:szCs w:val="25"/>
        </w:rPr>
        <w:t xml:space="preserve">“In the unlikely event that Student suffers an unanticipated </w:t>
      </w:r>
      <w:r w:rsidR="00C62C4D">
        <w:rPr>
          <w:rFonts w:ascii="Aptos" w:hAnsi="Aptos"/>
          <w:sz w:val="25"/>
          <w:szCs w:val="25"/>
        </w:rPr>
        <w:t>and catastrophic illness or injury prior to August 15, 2026, then upon notice by Parent to Ashland, Ashland shall have the right and responsibility to convene a Team meeting to develop an appropriate IEP and to provide him with a f</w:t>
      </w:r>
      <w:r w:rsidR="00D706FC">
        <w:rPr>
          <w:rFonts w:ascii="Aptos" w:hAnsi="Aptos"/>
          <w:sz w:val="25"/>
          <w:szCs w:val="25"/>
        </w:rPr>
        <w:t>re</w:t>
      </w:r>
      <w:r w:rsidR="00C62C4D">
        <w:rPr>
          <w:rFonts w:ascii="Aptos" w:hAnsi="Aptos"/>
          <w:sz w:val="25"/>
          <w:szCs w:val="25"/>
        </w:rPr>
        <w:t>e and appropriate public education in accordance with his needs at that time….”.</w:t>
      </w:r>
    </w:p>
    <w:p w14:paraId="4FDDBCC0" w14:textId="7D623A59" w:rsidR="004A4554" w:rsidRDefault="004A4554" w:rsidP="00FC531D">
      <w:pPr>
        <w:pStyle w:val="ListParagraph"/>
        <w:numPr>
          <w:ilvl w:val="0"/>
          <w:numId w:val="3"/>
        </w:numPr>
        <w:spacing w:after="0" w:line="240" w:lineRule="auto"/>
        <w:rPr>
          <w:rFonts w:ascii="Aptos" w:hAnsi="Aptos"/>
          <w:sz w:val="25"/>
          <w:szCs w:val="25"/>
        </w:rPr>
      </w:pPr>
      <w:r>
        <w:rPr>
          <w:rFonts w:ascii="Aptos" w:hAnsi="Aptos"/>
          <w:sz w:val="25"/>
          <w:szCs w:val="25"/>
        </w:rPr>
        <w:t>“… Parent, on her own behalf, and on behalf of</w:t>
      </w:r>
      <w:r w:rsidR="00E8616B">
        <w:rPr>
          <w:rFonts w:ascii="Aptos" w:hAnsi="Aptos"/>
          <w:sz w:val="25"/>
          <w:szCs w:val="25"/>
        </w:rPr>
        <w:t xml:space="preserve">… </w:t>
      </w:r>
      <w:r>
        <w:rPr>
          <w:rFonts w:ascii="Aptos" w:hAnsi="Aptos"/>
          <w:sz w:val="25"/>
          <w:szCs w:val="25"/>
        </w:rPr>
        <w:t>Student,… hereby release and forever discharge the District…</w:t>
      </w:r>
      <w:r w:rsidR="00066CA1">
        <w:rPr>
          <w:rFonts w:ascii="Aptos" w:hAnsi="Aptos"/>
          <w:sz w:val="25"/>
          <w:szCs w:val="25"/>
        </w:rPr>
        <w:t xml:space="preserve"> from any and all… claims of any kind… both KNOWN and UNKNOWN</w:t>
      </w:r>
      <w:r w:rsidR="00DB778D">
        <w:rPr>
          <w:rFonts w:ascii="Aptos" w:hAnsi="Aptos"/>
          <w:sz w:val="25"/>
          <w:szCs w:val="25"/>
        </w:rPr>
        <w:t>,</w:t>
      </w:r>
      <w:r w:rsidR="00066CA1">
        <w:rPr>
          <w:rFonts w:ascii="Aptos" w:hAnsi="Aptos"/>
          <w:sz w:val="25"/>
          <w:szCs w:val="25"/>
        </w:rPr>
        <w:t xml:space="preserve"> both in LAW and EQUITY</w:t>
      </w:r>
      <w:r w:rsidR="00DB778D">
        <w:rPr>
          <w:rFonts w:ascii="Aptos" w:hAnsi="Aptos"/>
          <w:sz w:val="25"/>
          <w:szCs w:val="25"/>
        </w:rPr>
        <w:t xml:space="preserve">, which the Parent has or ever had against the [District] </w:t>
      </w:r>
      <w:r w:rsidR="000E5644">
        <w:rPr>
          <w:rFonts w:ascii="Aptos" w:hAnsi="Aptos"/>
          <w:sz w:val="25"/>
          <w:szCs w:val="25"/>
        </w:rPr>
        <w:t>from the beginning of the world to the date of this Agreement</w:t>
      </w:r>
      <w:r w:rsidR="00593CAC">
        <w:rPr>
          <w:rFonts w:ascii="Aptos" w:hAnsi="Aptos"/>
          <w:sz w:val="25"/>
          <w:szCs w:val="25"/>
        </w:rPr>
        <w:t>…</w:t>
      </w:r>
      <w:r w:rsidR="00385654">
        <w:rPr>
          <w:rFonts w:ascii="Aptos" w:hAnsi="Aptos"/>
          <w:sz w:val="25"/>
          <w:szCs w:val="25"/>
        </w:rPr>
        <w:t>”</w:t>
      </w:r>
      <w:r w:rsidR="00D706FC">
        <w:rPr>
          <w:rFonts w:ascii="Aptos" w:hAnsi="Aptos"/>
          <w:sz w:val="25"/>
          <w:szCs w:val="25"/>
        </w:rPr>
        <w:t xml:space="preserve"> (emphasis in original)</w:t>
      </w:r>
      <w:r w:rsidR="00385654">
        <w:rPr>
          <w:rFonts w:ascii="Aptos" w:hAnsi="Aptos"/>
          <w:sz w:val="25"/>
          <w:szCs w:val="25"/>
        </w:rPr>
        <w:t>.</w:t>
      </w:r>
      <w:r w:rsidR="00066CA1">
        <w:rPr>
          <w:rFonts w:ascii="Aptos" w:hAnsi="Aptos"/>
          <w:sz w:val="25"/>
          <w:szCs w:val="25"/>
        </w:rPr>
        <w:t xml:space="preserve"> </w:t>
      </w:r>
      <w:r w:rsidR="00F35888">
        <w:rPr>
          <w:rFonts w:ascii="Aptos" w:hAnsi="Aptos"/>
          <w:sz w:val="25"/>
          <w:szCs w:val="25"/>
        </w:rPr>
        <w:t>(</w:t>
      </w:r>
      <w:r w:rsidR="00F35888">
        <w:rPr>
          <w:rFonts w:ascii="Aptos" w:hAnsi="Aptos"/>
          <w:i/>
          <w:iCs/>
          <w:sz w:val="25"/>
          <w:szCs w:val="25"/>
        </w:rPr>
        <w:t>District Motion</w:t>
      </w:r>
      <w:r w:rsidR="00F35888">
        <w:rPr>
          <w:rFonts w:ascii="Aptos" w:hAnsi="Aptos"/>
          <w:sz w:val="25"/>
          <w:szCs w:val="25"/>
        </w:rPr>
        <w:t>).</w:t>
      </w:r>
    </w:p>
    <w:p w14:paraId="10DC7CC2" w14:textId="77777777" w:rsidR="007F38C3" w:rsidRPr="007F38C3" w:rsidRDefault="007F38C3" w:rsidP="007F38C3">
      <w:pPr>
        <w:pStyle w:val="ListParagraph"/>
        <w:rPr>
          <w:rFonts w:ascii="Aptos" w:hAnsi="Aptos"/>
          <w:sz w:val="25"/>
          <w:szCs w:val="25"/>
        </w:rPr>
      </w:pPr>
    </w:p>
    <w:p w14:paraId="002E721D" w14:textId="6CD955E9" w:rsidR="007F38C3" w:rsidRDefault="007F38C3"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Student’s experience during the </w:t>
      </w:r>
      <w:r w:rsidR="006515C2">
        <w:rPr>
          <w:rFonts w:ascii="Aptos" w:hAnsi="Aptos"/>
          <w:sz w:val="25"/>
          <w:szCs w:val="25"/>
        </w:rPr>
        <w:t xml:space="preserve">2024 </w:t>
      </w:r>
      <w:r>
        <w:rPr>
          <w:rFonts w:ascii="Aptos" w:hAnsi="Aptos"/>
          <w:sz w:val="25"/>
          <w:szCs w:val="25"/>
        </w:rPr>
        <w:t xml:space="preserve">summer program at Clearway was not without incident, and Parent received </w:t>
      </w:r>
      <w:r w:rsidR="00606D9B">
        <w:rPr>
          <w:rFonts w:ascii="Aptos" w:hAnsi="Aptos"/>
          <w:sz w:val="25"/>
          <w:szCs w:val="25"/>
        </w:rPr>
        <w:t xml:space="preserve">several calls pertaining to issues </w:t>
      </w:r>
      <w:r w:rsidR="00EF04D8">
        <w:rPr>
          <w:rFonts w:ascii="Aptos" w:hAnsi="Aptos"/>
          <w:sz w:val="25"/>
          <w:szCs w:val="25"/>
        </w:rPr>
        <w:t xml:space="preserve">involving </w:t>
      </w:r>
      <w:r w:rsidR="00606D9B">
        <w:rPr>
          <w:rFonts w:ascii="Aptos" w:hAnsi="Aptos"/>
          <w:sz w:val="25"/>
          <w:szCs w:val="25"/>
        </w:rPr>
        <w:lastRenderedPageBreak/>
        <w:t xml:space="preserve">inappropriate comments, </w:t>
      </w:r>
      <w:r w:rsidR="0070412D">
        <w:rPr>
          <w:rFonts w:ascii="Aptos" w:hAnsi="Aptos"/>
          <w:sz w:val="25"/>
          <w:szCs w:val="25"/>
        </w:rPr>
        <w:t>vulgar language and going into someone’s backpack.</w:t>
      </w:r>
      <w:r w:rsidR="00FA6485">
        <w:rPr>
          <w:rFonts w:ascii="Aptos" w:hAnsi="Aptos"/>
          <w:sz w:val="25"/>
          <w:szCs w:val="25"/>
        </w:rPr>
        <w:t xml:space="preserve">  (</w:t>
      </w:r>
      <w:r w:rsidR="00FA6485">
        <w:rPr>
          <w:rFonts w:ascii="Aptos" w:hAnsi="Aptos"/>
          <w:i/>
          <w:iCs/>
          <w:sz w:val="25"/>
          <w:szCs w:val="25"/>
        </w:rPr>
        <w:t>Hearing Request</w:t>
      </w:r>
      <w:r w:rsidR="00FA6485">
        <w:rPr>
          <w:rFonts w:ascii="Aptos" w:hAnsi="Aptos"/>
          <w:sz w:val="25"/>
          <w:szCs w:val="25"/>
        </w:rPr>
        <w:t>)</w:t>
      </w:r>
      <w:r w:rsidR="00624514">
        <w:rPr>
          <w:rFonts w:ascii="Aptos" w:hAnsi="Aptos"/>
          <w:sz w:val="25"/>
          <w:szCs w:val="25"/>
        </w:rPr>
        <w:t>.</w:t>
      </w:r>
    </w:p>
    <w:p w14:paraId="48741A92" w14:textId="77777777" w:rsidR="00FA6485" w:rsidRPr="00FA6485" w:rsidRDefault="00FA6485" w:rsidP="00FA6485">
      <w:pPr>
        <w:pStyle w:val="ListParagraph"/>
        <w:rPr>
          <w:rFonts w:ascii="Aptos" w:hAnsi="Aptos"/>
          <w:sz w:val="25"/>
          <w:szCs w:val="25"/>
        </w:rPr>
      </w:pPr>
    </w:p>
    <w:p w14:paraId="6C18C281" w14:textId="0426C2CF" w:rsidR="00A618FB" w:rsidRDefault="006E708C" w:rsidP="00B7329C">
      <w:pPr>
        <w:pStyle w:val="ListParagraph"/>
        <w:numPr>
          <w:ilvl w:val="0"/>
          <w:numId w:val="2"/>
        </w:numPr>
        <w:spacing w:after="0" w:line="240" w:lineRule="auto"/>
        <w:rPr>
          <w:rFonts w:ascii="Aptos" w:hAnsi="Aptos"/>
          <w:sz w:val="25"/>
          <w:szCs w:val="25"/>
        </w:rPr>
      </w:pPr>
      <w:r>
        <w:rPr>
          <w:rFonts w:ascii="Aptos" w:hAnsi="Aptos"/>
          <w:sz w:val="25"/>
          <w:szCs w:val="25"/>
        </w:rPr>
        <w:t xml:space="preserve">From </w:t>
      </w:r>
      <w:r w:rsidR="000A1447">
        <w:rPr>
          <w:rFonts w:ascii="Aptos" w:hAnsi="Aptos"/>
          <w:sz w:val="25"/>
          <w:szCs w:val="25"/>
        </w:rPr>
        <w:t>September 2024</w:t>
      </w:r>
      <w:r>
        <w:rPr>
          <w:rFonts w:ascii="Aptos" w:hAnsi="Aptos"/>
          <w:sz w:val="25"/>
          <w:szCs w:val="25"/>
        </w:rPr>
        <w:t xml:space="preserve"> through the end of the year</w:t>
      </w:r>
      <w:r w:rsidR="000A1447">
        <w:rPr>
          <w:rFonts w:ascii="Aptos" w:hAnsi="Aptos"/>
          <w:sz w:val="25"/>
          <w:szCs w:val="25"/>
        </w:rPr>
        <w:t>, Student</w:t>
      </w:r>
      <w:r w:rsidR="00B41F6A">
        <w:rPr>
          <w:rFonts w:ascii="Aptos" w:hAnsi="Aptos"/>
          <w:sz w:val="25"/>
          <w:szCs w:val="25"/>
        </w:rPr>
        <w:t xml:space="preserve"> experienced significant instances of behavioral dysregulation both at school and at home</w:t>
      </w:r>
      <w:r w:rsidR="005D1443">
        <w:rPr>
          <w:rFonts w:ascii="Aptos" w:hAnsi="Aptos"/>
          <w:sz w:val="25"/>
          <w:szCs w:val="25"/>
        </w:rPr>
        <w:t>,</w:t>
      </w:r>
      <w:r w:rsidR="00A618FB">
        <w:rPr>
          <w:rFonts w:ascii="Aptos" w:hAnsi="Aptos"/>
          <w:sz w:val="25"/>
          <w:szCs w:val="25"/>
        </w:rPr>
        <w:t xml:space="preserve"> that resulted in hospitalizations on </w:t>
      </w:r>
      <w:r w:rsidR="00C34AB2">
        <w:rPr>
          <w:rFonts w:ascii="Aptos" w:hAnsi="Aptos"/>
          <w:sz w:val="25"/>
          <w:szCs w:val="25"/>
        </w:rPr>
        <w:t xml:space="preserve">September 25, </w:t>
      </w:r>
      <w:proofErr w:type="gramStart"/>
      <w:r w:rsidR="00C34AB2">
        <w:rPr>
          <w:rFonts w:ascii="Aptos" w:hAnsi="Aptos"/>
          <w:sz w:val="25"/>
          <w:szCs w:val="25"/>
        </w:rPr>
        <w:t>2024</w:t>
      </w:r>
      <w:proofErr w:type="gramEnd"/>
      <w:r w:rsidR="00634FBB">
        <w:rPr>
          <w:rFonts w:ascii="Aptos" w:hAnsi="Aptos"/>
          <w:sz w:val="25"/>
          <w:szCs w:val="25"/>
        </w:rPr>
        <w:t xml:space="preserve"> through September </w:t>
      </w:r>
      <w:r w:rsidR="00850BCE">
        <w:rPr>
          <w:rFonts w:ascii="Aptos" w:hAnsi="Aptos"/>
          <w:sz w:val="25"/>
          <w:szCs w:val="25"/>
        </w:rPr>
        <w:t>30, 2024</w:t>
      </w:r>
      <w:r w:rsidR="00C34AB2">
        <w:rPr>
          <w:rFonts w:ascii="Aptos" w:hAnsi="Aptos"/>
          <w:sz w:val="25"/>
          <w:szCs w:val="25"/>
        </w:rPr>
        <w:t xml:space="preserve">, </w:t>
      </w:r>
      <w:r w:rsidR="00DD0926">
        <w:rPr>
          <w:rFonts w:ascii="Aptos" w:hAnsi="Aptos"/>
          <w:sz w:val="25"/>
          <w:szCs w:val="25"/>
        </w:rPr>
        <w:t xml:space="preserve">October 19, </w:t>
      </w:r>
      <w:proofErr w:type="gramStart"/>
      <w:r w:rsidR="00DD0926">
        <w:rPr>
          <w:rFonts w:ascii="Aptos" w:hAnsi="Aptos"/>
          <w:sz w:val="25"/>
          <w:szCs w:val="25"/>
        </w:rPr>
        <w:t>2024</w:t>
      </w:r>
      <w:proofErr w:type="gramEnd"/>
      <w:r w:rsidR="00DD0926">
        <w:rPr>
          <w:rFonts w:ascii="Aptos" w:hAnsi="Aptos"/>
          <w:sz w:val="25"/>
          <w:szCs w:val="25"/>
        </w:rPr>
        <w:t xml:space="preserve"> through October 30, 2024, </w:t>
      </w:r>
      <w:r w:rsidR="0098468C">
        <w:rPr>
          <w:rFonts w:ascii="Aptos" w:hAnsi="Aptos"/>
          <w:sz w:val="25"/>
          <w:szCs w:val="25"/>
        </w:rPr>
        <w:t xml:space="preserve">November 19, </w:t>
      </w:r>
      <w:proofErr w:type="gramStart"/>
      <w:r w:rsidR="0098468C">
        <w:rPr>
          <w:rFonts w:ascii="Aptos" w:hAnsi="Aptos"/>
          <w:sz w:val="25"/>
          <w:szCs w:val="25"/>
        </w:rPr>
        <w:t>2024</w:t>
      </w:r>
      <w:proofErr w:type="gramEnd"/>
      <w:r w:rsidR="003D2271">
        <w:rPr>
          <w:rFonts w:ascii="Aptos" w:hAnsi="Aptos"/>
          <w:sz w:val="25"/>
          <w:szCs w:val="25"/>
        </w:rPr>
        <w:t xml:space="preserve"> and December 20, 2024,</w:t>
      </w:r>
      <w:r w:rsidR="0089503C">
        <w:rPr>
          <w:rFonts w:ascii="Aptos" w:hAnsi="Aptos"/>
          <w:sz w:val="25"/>
          <w:szCs w:val="25"/>
        </w:rPr>
        <w:t xml:space="preserve"> as follows:</w:t>
      </w:r>
    </w:p>
    <w:p w14:paraId="0CEABBE3" w14:textId="77777777" w:rsidR="00A618FB" w:rsidRPr="00A618FB" w:rsidRDefault="00A618FB" w:rsidP="00A618FB">
      <w:pPr>
        <w:pStyle w:val="ListParagraph"/>
        <w:rPr>
          <w:rFonts w:ascii="Aptos" w:hAnsi="Aptos"/>
          <w:sz w:val="25"/>
          <w:szCs w:val="25"/>
        </w:rPr>
      </w:pPr>
    </w:p>
    <w:p w14:paraId="3B5CE55B" w14:textId="351A5E3B" w:rsidR="00624514" w:rsidRPr="00A618FB" w:rsidRDefault="00FA6485" w:rsidP="000B1112">
      <w:pPr>
        <w:pStyle w:val="ListParagraph"/>
        <w:numPr>
          <w:ilvl w:val="0"/>
          <w:numId w:val="4"/>
        </w:numPr>
        <w:spacing w:after="0" w:line="240" w:lineRule="auto"/>
        <w:rPr>
          <w:rFonts w:ascii="Aptos" w:hAnsi="Aptos"/>
          <w:sz w:val="25"/>
          <w:szCs w:val="25"/>
        </w:rPr>
      </w:pPr>
      <w:r w:rsidRPr="00A618FB">
        <w:rPr>
          <w:rFonts w:ascii="Aptos" w:hAnsi="Aptos"/>
          <w:sz w:val="25"/>
          <w:szCs w:val="25"/>
        </w:rPr>
        <w:t>On September 4, 2024</w:t>
      </w:r>
      <w:r w:rsidR="0091261C" w:rsidRPr="00A618FB">
        <w:rPr>
          <w:rFonts w:ascii="Aptos" w:hAnsi="Aptos"/>
          <w:sz w:val="25"/>
          <w:szCs w:val="25"/>
        </w:rPr>
        <w:t xml:space="preserve">, Student was suspended from Clearway </w:t>
      </w:r>
      <w:r w:rsidR="00382C58">
        <w:rPr>
          <w:rFonts w:ascii="Aptos" w:hAnsi="Aptos"/>
          <w:sz w:val="25"/>
          <w:szCs w:val="25"/>
        </w:rPr>
        <w:t xml:space="preserve">returning on </w:t>
      </w:r>
      <w:r w:rsidR="0091261C" w:rsidRPr="00A618FB">
        <w:rPr>
          <w:rFonts w:ascii="Aptos" w:hAnsi="Aptos"/>
          <w:sz w:val="25"/>
          <w:szCs w:val="25"/>
        </w:rPr>
        <w:t>September 9, 2024</w:t>
      </w:r>
      <w:r w:rsidR="00D911C0">
        <w:rPr>
          <w:rFonts w:ascii="Aptos" w:hAnsi="Aptos"/>
          <w:sz w:val="25"/>
          <w:szCs w:val="25"/>
        </w:rPr>
        <w:t>,</w:t>
      </w:r>
      <w:r w:rsidR="0091261C" w:rsidRPr="00A618FB">
        <w:rPr>
          <w:rFonts w:ascii="Aptos" w:hAnsi="Aptos"/>
          <w:sz w:val="25"/>
          <w:szCs w:val="25"/>
        </w:rPr>
        <w:t xml:space="preserve"> after agreeing to a safety plan</w:t>
      </w:r>
      <w:r w:rsidR="0091261C">
        <w:rPr>
          <w:rStyle w:val="FootnoteReference"/>
          <w:rFonts w:ascii="Aptos" w:hAnsi="Aptos"/>
          <w:sz w:val="25"/>
          <w:szCs w:val="25"/>
        </w:rPr>
        <w:footnoteReference w:id="4"/>
      </w:r>
      <w:r w:rsidR="00634FBB">
        <w:rPr>
          <w:rFonts w:ascii="Aptos" w:hAnsi="Aptos"/>
          <w:sz w:val="25"/>
          <w:szCs w:val="25"/>
        </w:rPr>
        <w:t>;</w:t>
      </w:r>
      <w:r w:rsidR="00624514" w:rsidRPr="00A618FB">
        <w:rPr>
          <w:rFonts w:ascii="Aptos" w:hAnsi="Aptos"/>
          <w:sz w:val="25"/>
          <w:szCs w:val="25"/>
        </w:rPr>
        <w:t xml:space="preserve"> </w:t>
      </w:r>
    </w:p>
    <w:p w14:paraId="494DA2F6" w14:textId="6577AD90" w:rsidR="006D1A5E" w:rsidRPr="00C34AB2" w:rsidRDefault="00624514" w:rsidP="00C34AB2">
      <w:pPr>
        <w:pStyle w:val="ListParagraph"/>
        <w:numPr>
          <w:ilvl w:val="0"/>
          <w:numId w:val="4"/>
        </w:numPr>
        <w:spacing w:after="0" w:line="240" w:lineRule="auto"/>
        <w:rPr>
          <w:rFonts w:ascii="Aptos" w:hAnsi="Aptos"/>
          <w:sz w:val="25"/>
          <w:szCs w:val="25"/>
        </w:rPr>
      </w:pPr>
      <w:r>
        <w:rPr>
          <w:rFonts w:ascii="Aptos" w:hAnsi="Aptos"/>
          <w:sz w:val="25"/>
          <w:szCs w:val="25"/>
        </w:rPr>
        <w:t>On September 24</w:t>
      </w:r>
      <w:r w:rsidR="00CB5C6D">
        <w:rPr>
          <w:rFonts w:ascii="Aptos" w:hAnsi="Aptos"/>
          <w:sz w:val="25"/>
          <w:szCs w:val="25"/>
        </w:rPr>
        <w:t>,</w:t>
      </w:r>
      <w:r>
        <w:rPr>
          <w:rFonts w:ascii="Aptos" w:hAnsi="Aptos"/>
          <w:sz w:val="25"/>
          <w:szCs w:val="25"/>
        </w:rPr>
        <w:t xml:space="preserve"> 2024, </w:t>
      </w:r>
      <w:r w:rsidR="006D1A5E">
        <w:rPr>
          <w:rFonts w:ascii="Aptos" w:hAnsi="Aptos"/>
          <w:sz w:val="25"/>
          <w:szCs w:val="25"/>
        </w:rPr>
        <w:t>Parent was advised that Student was “making violent drawings, talking about digging a grave for his mother, and contacting a student he was told not to</w:t>
      </w:r>
      <w:proofErr w:type="gramStart"/>
      <w:r w:rsidR="006D1A5E">
        <w:rPr>
          <w:rFonts w:ascii="Aptos" w:hAnsi="Aptos"/>
          <w:sz w:val="25"/>
          <w:szCs w:val="25"/>
        </w:rPr>
        <w:t>”</w:t>
      </w:r>
      <w:r w:rsidR="00634FBB">
        <w:rPr>
          <w:rFonts w:ascii="Aptos" w:hAnsi="Aptos"/>
          <w:sz w:val="25"/>
          <w:szCs w:val="25"/>
        </w:rPr>
        <w:t>;</w:t>
      </w:r>
      <w:proofErr w:type="gramEnd"/>
      <w:r w:rsidR="006D1A5E">
        <w:rPr>
          <w:rFonts w:ascii="Aptos" w:hAnsi="Aptos"/>
          <w:sz w:val="25"/>
          <w:szCs w:val="25"/>
        </w:rPr>
        <w:t xml:space="preserve"> </w:t>
      </w:r>
    </w:p>
    <w:p w14:paraId="79241E17" w14:textId="4F9DDD1E" w:rsidR="00452360" w:rsidRPr="00C34AB2" w:rsidRDefault="00C34AB2" w:rsidP="00C34AB2">
      <w:pPr>
        <w:pStyle w:val="ListParagraph"/>
        <w:numPr>
          <w:ilvl w:val="0"/>
          <w:numId w:val="4"/>
        </w:numPr>
        <w:spacing w:after="0" w:line="240" w:lineRule="auto"/>
        <w:rPr>
          <w:rFonts w:ascii="Aptos" w:hAnsi="Aptos"/>
          <w:sz w:val="25"/>
          <w:szCs w:val="25"/>
        </w:rPr>
      </w:pPr>
      <w:r>
        <w:rPr>
          <w:rFonts w:ascii="Aptos" w:hAnsi="Aptos"/>
          <w:sz w:val="25"/>
          <w:szCs w:val="25"/>
        </w:rPr>
        <w:t>The September 25, 2024</w:t>
      </w:r>
      <w:r w:rsidR="00D911C0">
        <w:rPr>
          <w:rFonts w:ascii="Aptos" w:hAnsi="Aptos"/>
          <w:sz w:val="25"/>
          <w:szCs w:val="25"/>
        </w:rPr>
        <w:t>,</w:t>
      </w:r>
      <w:r>
        <w:rPr>
          <w:rFonts w:ascii="Aptos" w:hAnsi="Aptos"/>
          <w:sz w:val="25"/>
          <w:szCs w:val="25"/>
        </w:rPr>
        <w:t xml:space="preserve"> incident that led to Student’s hospitalization required Parent to call the police and involved Student “</w:t>
      </w:r>
      <w:r w:rsidR="00046A26">
        <w:rPr>
          <w:rFonts w:ascii="Aptos" w:hAnsi="Aptos"/>
          <w:sz w:val="25"/>
          <w:szCs w:val="25"/>
        </w:rPr>
        <w:t xml:space="preserve">throwing objects, breaking a large picture window in the kitchen, and hitting, kicking, punching and throwing objects at </w:t>
      </w:r>
      <w:r w:rsidR="00452360">
        <w:rPr>
          <w:rFonts w:ascii="Aptos" w:hAnsi="Aptos"/>
          <w:sz w:val="25"/>
          <w:szCs w:val="25"/>
        </w:rPr>
        <w:t xml:space="preserve">her” while </w:t>
      </w:r>
      <w:r w:rsidR="00850BCE">
        <w:rPr>
          <w:rFonts w:ascii="Aptos" w:hAnsi="Aptos"/>
          <w:sz w:val="25"/>
          <w:szCs w:val="25"/>
        </w:rPr>
        <w:t xml:space="preserve">his </w:t>
      </w:r>
      <w:r w:rsidR="00452360">
        <w:rPr>
          <w:rFonts w:ascii="Aptos" w:hAnsi="Aptos"/>
          <w:sz w:val="25"/>
          <w:szCs w:val="25"/>
        </w:rPr>
        <w:t xml:space="preserve">in-home-therapist was </w:t>
      </w:r>
      <w:proofErr w:type="gramStart"/>
      <w:r w:rsidR="00452360">
        <w:rPr>
          <w:rFonts w:ascii="Aptos" w:hAnsi="Aptos"/>
          <w:sz w:val="25"/>
          <w:szCs w:val="25"/>
        </w:rPr>
        <w:t>present</w:t>
      </w:r>
      <w:r w:rsidR="00634FBB">
        <w:rPr>
          <w:rFonts w:ascii="Aptos" w:hAnsi="Aptos"/>
          <w:sz w:val="25"/>
          <w:szCs w:val="25"/>
        </w:rPr>
        <w:t>;</w:t>
      </w:r>
      <w:proofErr w:type="gramEnd"/>
      <w:r w:rsidR="00452360">
        <w:rPr>
          <w:rFonts w:ascii="Aptos" w:hAnsi="Aptos"/>
          <w:sz w:val="25"/>
          <w:szCs w:val="25"/>
        </w:rPr>
        <w:t xml:space="preserve"> </w:t>
      </w:r>
    </w:p>
    <w:p w14:paraId="28757356" w14:textId="26B01972" w:rsidR="003D2271" w:rsidRDefault="0098468C" w:rsidP="003D2271">
      <w:pPr>
        <w:pStyle w:val="ListParagraph"/>
        <w:numPr>
          <w:ilvl w:val="0"/>
          <w:numId w:val="4"/>
        </w:numPr>
        <w:spacing w:after="0" w:line="240" w:lineRule="auto"/>
        <w:rPr>
          <w:rFonts w:ascii="Aptos" w:hAnsi="Aptos"/>
          <w:sz w:val="25"/>
          <w:szCs w:val="25"/>
        </w:rPr>
      </w:pPr>
      <w:r>
        <w:rPr>
          <w:rFonts w:ascii="Aptos" w:hAnsi="Aptos"/>
          <w:sz w:val="25"/>
          <w:szCs w:val="25"/>
        </w:rPr>
        <w:t xml:space="preserve">The </w:t>
      </w:r>
      <w:r w:rsidR="004110D4">
        <w:rPr>
          <w:rFonts w:ascii="Aptos" w:hAnsi="Aptos"/>
          <w:sz w:val="25"/>
          <w:szCs w:val="25"/>
        </w:rPr>
        <w:t>November 19, 2024</w:t>
      </w:r>
      <w:r w:rsidR="00D911C0">
        <w:rPr>
          <w:rFonts w:ascii="Aptos" w:hAnsi="Aptos"/>
          <w:sz w:val="25"/>
          <w:szCs w:val="25"/>
        </w:rPr>
        <w:t>,</w:t>
      </w:r>
      <w:r w:rsidR="00D37BB9">
        <w:rPr>
          <w:rFonts w:ascii="Aptos" w:hAnsi="Aptos"/>
          <w:sz w:val="25"/>
          <w:szCs w:val="25"/>
        </w:rPr>
        <w:t xml:space="preserve"> incident that led to Student’s hospitalization again required Parent to call the </w:t>
      </w:r>
      <w:r w:rsidR="004110D4">
        <w:rPr>
          <w:rFonts w:ascii="Aptos" w:hAnsi="Aptos"/>
          <w:sz w:val="25"/>
          <w:szCs w:val="25"/>
        </w:rPr>
        <w:t xml:space="preserve">police due to </w:t>
      </w:r>
      <w:r w:rsidR="00D37BB9">
        <w:rPr>
          <w:rFonts w:ascii="Aptos" w:hAnsi="Aptos"/>
          <w:sz w:val="25"/>
          <w:szCs w:val="25"/>
        </w:rPr>
        <w:t>Student</w:t>
      </w:r>
      <w:r w:rsidR="004574BA">
        <w:rPr>
          <w:rFonts w:ascii="Aptos" w:hAnsi="Aptos"/>
          <w:sz w:val="25"/>
          <w:szCs w:val="25"/>
        </w:rPr>
        <w:t>’s</w:t>
      </w:r>
      <w:r w:rsidR="00D37BB9">
        <w:rPr>
          <w:rFonts w:ascii="Aptos" w:hAnsi="Aptos"/>
          <w:sz w:val="25"/>
          <w:szCs w:val="25"/>
        </w:rPr>
        <w:t xml:space="preserve"> </w:t>
      </w:r>
      <w:r w:rsidR="004110D4">
        <w:rPr>
          <w:rFonts w:ascii="Aptos" w:hAnsi="Aptos"/>
          <w:sz w:val="25"/>
          <w:szCs w:val="25"/>
        </w:rPr>
        <w:t xml:space="preserve">homicidal ideation </w:t>
      </w:r>
      <w:r w:rsidR="006E6784">
        <w:rPr>
          <w:rFonts w:ascii="Aptos" w:hAnsi="Aptos"/>
          <w:sz w:val="25"/>
          <w:szCs w:val="25"/>
        </w:rPr>
        <w:t xml:space="preserve">towards </w:t>
      </w:r>
      <w:r w:rsidR="004110D4">
        <w:rPr>
          <w:rFonts w:ascii="Aptos" w:hAnsi="Aptos"/>
          <w:sz w:val="25"/>
          <w:szCs w:val="25"/>
        </w:rPr>
        <w:t>Parent and his in-home therapist</w:t>
      </w:r>
      <w:r w:rsidR="00104975">
        <w:rPr>
          <w:rFonts w:ascii="Aptos" w:hAnsi="Aptos"/>
          <w:sz w:val="25"/>
          <w:szCs w:val="25"/>
        </w:rPr>
        <w:t xml:space="preserve">.  Student had been prohibited from using his </w:t>
      </w:r>
      <w:proofErr w:type="gramStart"/>
      <w:r w:rsidR="00104975">
        <w:rPr>
          <w:rFonts w:ascii="Aptos" w:hAnsi="Aptos"/>
          <w:sz w:val="25"/>
          <w:szCs w:val="25"/>
        </w:rPr>
        <w:t>phone</w:t>
      </w:r>
      <w:proofErr w:type="gramEnd"/>
      <w:r w:rsidR="00104975">
        <w:rPr>
          <w:rFonts w:ascii="Aptos" w:hAnsi="Aptos"/>
          <w:sz w:val="25"/>
          <w:szCs w:val="25"/>
        </w:rPr>
        <w:t xml:space="preserve"> so he smashed open the plastic lockbox that held it with a hammer and proceeded to </w:t>
      </w:r>
      <w:r w:rsidR="0065018F">
        <w:rPr>
          <w:rFonts w:ascii="Aptos" w:hAnsi="Aptos"/>
          <w:sz w:val="25"/>
          <w:szCs w:val="25"/>
        </w:rPr>
        <w:t xml:space="preserve">threaten Parent and his in-home therapist with </w:t>
      </w:r>
      <w:r w:rsidR="00687932">
        <w:rPr>
          <w:rFonts w:ascii="Aptos" w:hAnsi="Aptos"/>
          <w:sz w:val="25"/>
          <w:szCs w:val="25"/>
        </w:rPr>
        <w:t>that tool</w:t>
      </w:r>
      <w:r w:rsidR="0065018F">
        <w:rPr>
          <w:rFonts w:ascii="Aptos" w:hAnsi="Aptos"/>
          <w:sz w:val="25"/>
          <w:szCs w:val="25"/>
        </w:rPr>
        <w:t xml:space="preserve">.  </w:t>
      </w:r>
      <w:r w:rsidR="00687932">
        <w:rPr>
          <w:rFonts w:ascii="Aptos" w:hAnsi="Aptos"/>
          <w:sz w:val="25"/>
          <w:szCs w:val="25"/>
        </w:rPr>
        <w:t xml:space="preserve">When </w:t>
      </w:r>
      <w:r w:rsidR="00DE239D">
        <w:rPr>
          <w:rFonts w:ascii="Aptos" w:hAnsi="Aptos"/>
          <w:sz w:val="25"/>
          <w:szCs w:val="25"/>
        </w:rPr>
        <w:t>Parent did not agree to pick Student up from the hospital</w:t>
      </w:r>
      <w:r w:rsidR="004E3681">
        <w:rPr>
          <w:rFonts w:ascii="Aptos" w:hAnsi="Aptos"/>
          <w:sz w:val="25"/>
          <w:szCs w:val="25"/>
        </w:rPr>
        <w:t>,</w:t>
      </w:r>
      <w:r w:rsidR="00DE239D">
        <w:rPr>
          <w:rFonts w:ascii="Aptos" w:hAnsi="Aptos"/>
          <w:sz w:val="25"/>
          <w:szCs w:val="25"/>
        </w:rPr>
        <w:t xml:space="preserve"> </w:t>
      </w:r>
      <w:r w:rsidR="00687932">
        <w:rPr>
          <w:rFonts w:ascii="Aptos" w:hAnsi="Aptos"/>
          <w:sz w:val="25"/>
          <w:szCs w:val="25"/>
        </w:rPr>
        <w:t xml:space="preserve">however, </w:t>
      </w:r>
      <w:r w:rsidR="00DE239D">
        <w:rPr>
          <w:rFonts w:ascii="Aptos" w:hAnsi="Aptos"/>
          <w:sz w:val="25"/>
          <w:szCs w:val="25"/>
        </w:rPr>
        <w:t>a 51A report was filed with DCF on November 22, 2024</w:t>
      </w:r>
      <w:r w:rsidR="003D2271">
        <w:rPr>
          <w:rFonts w:ascii="Aptos" w:hAnsi="Aptos"/>
          <w:sz w:val="25"/>
          <w:szCs w:val="25"/>
        </w:rPr>
        <w:t>; and</w:t>
      </w:r>
    </w:p>
    <w:p w14:paraId="01BE5018" w14:textId="755F844E" w:rsidR="00DE239D" w:rsidRDefault="003D2271" w:rsidP="00924689">
      <w:pPr>
        <w:pStyle w:val="ListParagraph"/>
        <w:numPr>
          <w:ilvl w:val="0"/>
          <w:numId w:val="4"/>
        </w:numPr>
        <w:spacing w:after="0" w:line="240" w:lineRule="auto"/>
        <w:rPr>
          <w:rFonts w:ascii="Aptos" w:hAnsi="Aptos"/>
          <w:sz w:val="25"/>
          <w:szCs w:val="25"/>
        </w:rPr>
      </w:pPr>
      <w:proofErr w:type="gramStart"/>
      <w:r>
        <w:rPr>
          <w:rFonts w:ascii="Aptos" w:hAnsi="Aptos"/>
          <w:sz w:val="25"/>
          <w:szCs w:val="25"/>
        </w:rPr>
        <w:t xml:space="preserve">The </w:t>
      </w:r>
      <w:r w:rsidRPr="003D2271">
        <w:rPr>
          <w:rFonts w:ascii="Aptos" w:hAnsi="Aptos"/>
          <w:sz w:val="25"/>
          <w:szCs w:val="25"/>
        </w:rPr>
        <w:t>December</w:t>
      </w:r>
      <w:proofErr w:type="gramEnd"/>
      <w:r w:rsidRPr="003D2271">
        <w:rPr>
          <w:rFonts w:ascii="Aptos" w:hAnsi="Aptos"/>
          <w:sz w:val="25"/>
          <w:szCs w:val="25"/>
        </w:rPr>
        <w:t xml:space="preserve"> 20, 2024</w:t>
      </w:r>
      <w:r w:rsidR="00D911C0">
        <w:rPr>
          <w:rFonts w:ascii="Aptos" w:hAnsi="Aptos"/>
          <w:sz w:val="25"/>
          <w:szCs w:val="25"/>
        </w:rPr>
        <w:t>,</w:t>
      </w:r>
      <w:r>
        <w:rPr>
          <w:rFonts w:ascii="Aptos" w:hAnsi="Aptos"/>
          <w:sz w:val="25"/>
          <w:szCs w:val="25"/>
        </w:rPr>
        <w:t xml:space="preserve"> </w:t>
      </w:r>
      <w:proofErr w:type="gramStart"/>
      <w:r>
        <w:rPr>
          <w:rFonts w:ascii="Aptos" w:hAnsi="Aptos"/>
          <w:sz w:val="25"/>
          <w:szCs w:val="25"/>
        </w:rPr>
        <w:t>incident</w:t>
      </w:r>
      <w:proofErr w:type="gramEnd"/>
      <w:r>
        <w:rPr>
          <w:rFonts w:ascii="Aptos" w:hAnsi="Aptos"/>
          <w:sz w:val="25"/>
          <w:szCs w:val="25"/>
        </w:rPr>
        <w:t xml:space="preserve"> that led to Student’s hospitalization involved Student </w:t>
      </w:r>
      <w:r w:rsidRPr="003D2271">
        <w:rPr>
          <w:rFonts w:ascii="Aptos" w:hAnsi="Aptos"/>
          <w:sz w:val="25"/>
          <w:szCs w:val="25"/>
        </w:rPr>
        <w:t>hitting Parent with a shoe and punching her while driving.  (</w:t>
      </w:r>
      <w:r w:rsidRPr="003D2271">
        <w:rPr>
          <w:rFonts w:ascii="Aptos" w:hAnsi="Aptos"/>
          <w:i/>
          <w:iCs/>
          <w:sz w:val="25"/>
          <w:szCs w:val="25"/>
        </w:rPr>
        <w:t>Hearing Request</w:t>
      </w:r>
      <w:r w:rsidRPr="003D2271">
        <w:rPr>
          <w:rFonts w:ascii="Aptos" w:hAnsi="Aptos"/>
          <w:sz w:val="25"/>
          <w:szCs w:val="25"/>
        </w:rPr>
        <w:t>).</w:t>
      </w:r>
    </w:p>
    <w:p w14:paraId="041B12F1" w14:textId="77777777" w:rsidR="00924689" w:rsidRPr="00924689" w:rsidRDefault="00924689" w:rsidP="00924689">
      <w:pPr>
        <w:pStyle w:val="ListParagraph"/>
        <w:spacing w:after="0" w:line="240" w:lineRule="auto"/>
        <w:ind w:left="1080"/>
        <w:rPr>
          <w:rFonts w:ascii="Aptos" w:hAnsi="Aptos"/>
          <w:sz w:val="25"/>
          <w:szCs w:val="25"/>
        </w:rPr>
      </w:pPr>
    </w:p>
    <w:p w14:paraId="7E5D155D" w14:textId="2F656647" w:rsidR="0089503C" w:rsidRDefault="0089503C" w:rsidP="0089503C">
      <w:pPr>
        <w:pStyle w:val="ListParagraph"/>
        <w:numPr>
          <w:ilvl w:val="0"/>
          <w:numId w:val="2"/>
        </w:numPr>
        <w:spacing w:after="0" w:line="240" w:lineRule="auto"/>
        <w:rPr>
          <w:rFonts w:ascii="Aptos" w:hAnsi="Aptos"/>
          <w:sz w:val="25"/>
          <w:szCs w:val="25"/>
        </w:rPr>
      </w:pPr>
      <w:proofErr w:type="gramStart"/>
      <w:r>
        <w:rPr>
          <w:rFonts w:ascii="Aptos" w:hAnsi="Aptos"/>
          <w:sz w:val="25"/>
          <w:szCs w:val="25"/>
        </w:rPr>
        <w:t>Parent is</w:t>
      </w:r>
      <w:proofErr w:type="gramEnd"/>
      <w:r>
        <w:rPr>
          <w:rFonts w:ascii="Aptos" w:hAnsi="Aptos"/>
          <w:sz w:val="25"/>
          <w:szCs w:val="25"/>
        </w:rPr>
        <w:t xml:space="preserve"> currently undergoing radiation treatment for a brain tumor and takes blood thinners making head injuries particularly dangerous.  (</w:t>
      </w:r>
      <w:r>
        <w:rPr>
          <w:rFonts w:ascii="Aptos" w:hAnsi="Aptos"/>
          <w:i/>
          <w:iCs/>
          <w:sz w:val="25"/>
          <w:szCs w:val="25"/>
        </w:rPr>
        <w:t>Hearing Request</w:t>
      </w:r>
      <w:r>
        <w:rPr>
          <w:rFonts w:ascii="Aptos" w:hAnsi="Aptos"/>
          <w:sz w:val="25"/>
          <w:szCs w:val="25"/>
        </w:rPr>
        <w:t>).</w:t>
      </w:r>
    </w:p>
    <w:p w14:paraId="47BA11B2" w14:textId="3E9219AF" w:rsidR="0030372F" w:rsidRDefault="0030372F" w:rsidP="0030372F">
      <w:pPr>
        <w:pStyle w:val="ListParagraph"/>
        <w:spacing w:after="0" w:line="240" w:lineRule="auto"/>
        <w:rPr>
          <w:rFonts w:ascii="Aptos" w:hAnsi="Aptos"/>
          <w:sz w:val="25"/>
          <w:szCs w:val="25"/>
        </w:rPr>
      </w:pPr>
    </w:p>
    <w:p w14:paraId="4EE1A531" w14:textId="2D851917" w:rsidR="0030372F" w:rsidRDefault="0030372F" w:rsidP="0030372F">
      <w:pPr>
        <w:pStyle w:val="ListParagraph"/>
        <w:numPr>
          <w:ilvl w:val="0"/>
          <w:numId w:val="2"/>
        </w:numPr>
        <w:spacing w:after="0" w:line="240" w:lineRule="auto"/>
        <w:rPr>
          <w:rFonts w:ascii="Aptos" w:hAnsi="Aptos"/>
          <w:sz w:val="25"/>
          <w:szCs w:val="25"/>
        </w:rPr>
      </w:pPr>
      <w:r>
        <w:rPr>
          <w:rFonts w:ascii="Aptos" w:hAnsi="Aptos"/>
          <w:sz w:val="25"/>
          <w:szCs w:val="25"/>
        </w:rPr>
        <w:t>A school meeting was held at Clearway on October 21, 2024</w:t>
      </w:r>
      <w:r w:rsidR="00AE6404">
        <w:rPr>
          <w:rFonts w:ascii="Aptos" w:hAnsi="Aptos"/>
          <w:sz w:val="25"/>
          <w:szCs w:val="25"/>
        </w:rPr>
        <w:t>,</w:t>
      </w:r>
      <w:r>
        <w:rPr>
          <w:rFonts w:ascii="Aptos" w:hAnsi="Aptos"/>
          <w:sz w:val="25"/>
          <w:szCs w:val="25"/>
        </w:rPr>
        <w:t xml:space="preserve"> </w:t>
      </w:r>
      <w:r w:rsidR="00A05C0A">
        <w:rPr>
          <w:rFonts w:ascii="Aptos" w:hAnsi="Aptos"/>
          <w:sz w:val="25"/>
          <w:szCs w:val="25"/>
        </w:rPr>
        <w:t xml:space="preserve">wherein </w:t>
      </w:r>
      <w:r>
        <w:rPr>
          <w:rFonts w:ascii="Aptos" w:hAnsi="Aptos"/>
          <w:sz w:val="25"/>
          <w:szCs w:val="25"/>
        </w:rPr>
        <w:t xml:space="preserve">Clearway advised the family that they needed to look for another school placement.  The </w:t>
      </w:r>
      <w:proofErr w:type="gramStart"/>
      <w:r>
        <w:rPr>
          <w:rFonts w:ascii="Aptos" w:hAnsi="Aptos"/>
          <w:sz w:val="25"/>
          <w:szCs w:val="25"/>
        </w:rPr>
        <w:t>District</w:t>
      </w:r>
      <w:proofErr w:type="gramEnd"/>
      <w:r>
        <w:rPr>
          <w:rFonts w:ascii="Aptos" w:hAnsi="Aptos"/>
          <w:sz w:val="25"/>
          <w:szCs w:val="25"/>
        </w:rPr>
        <w:t xml:space="preserve"> sent out referral packets with Parent’s consent shortly thereafter.  </w:t>
      </w:r>
      <w:r w:rsidR="00104E8D">
        <w:rPr>
          <w:rFonts w:ascii="Aptos" w:hAnsi="Aptos"/>
          <w:sz w:val="25"/>
          <w:szCs w:val="25"/>
        </w:rPr>
        <w:t>In December 2024</w:t>
      </w:r>
      <w:r w:rsidR="00D964A3">
        <w:rPr>
          <w:rFonts w:ascii="Aptos" w:hAnsi="Aptos"/>
          <w:sz w:val="25"/>
          <w:szCs w:val="25"/>
        </w:rPr>
        <w:t>,</w:t>
      </w:r>
      <w:r w:rsidR="00104E8D">
        <w:rPr>
          <w:rFonts w:ascii="Aptos" w:hAnsi="Aptos"/>
          <w:sz w:val="25"/>
          <w:szCs w:val="25"/>
        </w:rPr>
        <w:t xml:space="preserve"> Student was accepted at Perkins</w:t>
      </w:r>
      <w:r w:rsidR="00A05C0A">
        <w:rPr>
          <w:rFonts w:ascii="Aptos" w:hAnsi="Aptos"/>
          <w:sz w:val="25"/>
          <w:szCs w:val="25"/>
        </w:rPr>
        <w:t>,</w:t>
      </w:r>
      <w:r w:rsidR="00104E8D">
        <w:rPr>
          <w:rFonts w:ascii="Aptos" w:hAnsi="Aptos"/>
          <w:sz w:val="25"/>
          <w:szCs w:val="25"/>
        </w:rPr>
        <w:t xml:space="preserve"> and he started attending that program on January 6, 2024.  </w:t>
      </w:r>
      <w:r>
        <w:rPr>
          <w:rFonts w:ascii="Aptos" w:hAnsi="Aptos"/>
          <w:sz w:val="25"/>
          <w:szCs w:val="25"/>
        </w:rPr>
        <w:t>(</w:t>
      </w:r>
      <w:r>
        <w:rPr>
          <w:rFonts w:ascii="Aptos" w:hAnsi="Aptos"/>
          <w:i/>
          <w:iCs/>
          <w:sz w:val="25"/>
          <w:szCs w:val="25"/>
        </w:rPr>
        <w:t>Hearing Request</w:t>
      </w:r>
      <w:r>
        <w:rPr>
          <w:rFonts w:ascii="Aptos" w:hAnsi="Aptos"/>
          <w:sz w:val="25"/>
          <w:szCs w:val="25"/>
        </w:rPr>
        <w:t>).</w:t>
      </w:r>
    </w:p>
    <w:p w14:paraId="65DCEBF4" w14:textId="77777777" w:rsidR="00F76512" w:rsidRPr="00F76512" w:rsidRDefault="00F76512" w:rsidP="00F76512">
      <w:pPr>
        <w:pStyle w:val="ListParagraph"/>
        <w:rPr>
          <w:rFonts w:ascii="Aptos" w:hAnsi="Aptos"/>
          <w:sz w:val="25"/>
          <w:szCs w:val="25"/>
        </w:rPr>
      </w:pPr>
    </w:p>
    <w:p w14:paraId="3C2801E1" w14:textId="641141D2" w:rsidR="00F76512" w:rsidRDefault="00F76512" w:rsidP="0030372F">
      <w:pPr>
        <w:pStyle w:val="ListParagraph"/>
        <w:numPr>
          <w:ilvl w:val="0"/>
          <w:numId w:val="2"/>
        </w:numPr>
        <w:spacing w:after="0" w:line="240" w:lineRule="auto"/>
        <w:rPr>
          <w:rFonts w:ascii="Aptos" w:hAnsi="Aptos"/>
          <w:sz w:val="25"/>
          <w:szCs w:val="25"/>
        </w:rPr>
      </w:pPr>
      <w:r>
        <w:rPr>
          <w:rFonts w:ascii="Aptos" w:hAnsi="Aptos"/>
          <w:sz w:val="25"/>
          <w:szCs w:val="25"/>
        </w:rPr>
        <w:t xml:space="preserve">As a result of Student’s behavioral needs, Parent has received </w:t>
      </w:r>
      <w:r w:rsidR="00B517F3">
        <w:rPr>
          <w:rFonts w:ascii="Aptos" w:hAnsi="Aptos"/>
          <w:sz w:val="25"/>
          <w:szCs w:val="25"/>
        </w:rPr>
        <w:t>several written recommendations for Student</w:t>
      </w:r>
      <w:r w:rsidR="00CE6DF3">
        <w:rPr>
          <w:rFonts w:ascii="Aptos" w:hAnsi="Aptos"/>
          <w:sz w:val="25"/>
          <w:szCs w:val="25"/>
        </w:rPr>
        <w:t xml:space="preserve">’s placement in a </w:t>
      </w:r>
      <w:r w:rsidR="00B517F3">
        <w:rPr>
          <w:rFonts w:ascii="Aptos" w:hAnsi="Aptos"/>
          <w:sz w:val="25"/>
          <w:szCs w:val="25"/>
        </w:rPr>
        <w:t>residential program, including:</w:t>
      </w:r>
    </w:p>
    <w:p w14:paraId="581603D8" w14:textId="77777777" w:rsidR="00B517F3" w:rsidRPr="00B517F3" w:rsidRDefault="00B517F3" w:rsidP="00B517F3">
      <w:pPr>
        <w:pStyle w:val="ListParagraph"/>
        <w:rPr>
          <w:rFonts w:ascii="Aptos" w:hAnsi="Aptos"/>
          <w:sz w:val="25"/>
          <w:szCs w:val="25"/>
        </w:rPr>
      </w:pPr>
    </w:p>
    <w:p w14:paraId="5B369599" w14:textId="5469836A" w:rsidR="00B517F3" w:rsidRDefault="00B517F3" w:rsidP="00B517F3">
      <w:pPr>
        <w:pStyle w:val="ListParagraph"/>
        <w:numPr>
          <w:ilvl w:val="0"/>
          <w:numId w:val="6"/>
        </w:numPr>
        <w:spacing w:after="0" w:line="240" w:lineRule="auto"/>
        <w:rPr>
          <w:rFonts w:ascii="Aptos" w:hAnsi="Aptos"/>
          <w:sz w:val="25"/>
          <w:szCs w:val="25"/>
        </w:rPr>
      </w:pPr>
      <w:r>
        <w:rPr>
          <w:rFonts w:ascii="Aptos" w:hAnsi="Aptos"/>
          <w:sz w:val="25"/>
          <w:szCs w:val="25"/>
        </w:rPr>
        <w:t xml:space="preserve">A letter from Student’s pediatrician dated November 25, 2024, recommending that based on “significant safety concerns … as clearly demonstrated by his actions in the last 2 months” consisting of “ongoing behavioral and safety challenges at home and the frequent hospitalizations keeping him out of school” Student requires “at this time” to be educated in a residential school with “support and instruction 24 hours a day that will allow him to receive an appropriate education”; </w:t>
      </w:r>
    </w:p>
    <w:p w14:paraId="1DD8AE11" w14:textId="26A3AD76" w:rsidR="00147DF5" w:rsidRDefault="00147DF5" w:rsidP="00147DF5">
      <w:pPr>
        <w:pStyle w:val="ListParagraph"/>
        <w:numPr>
          <w:ilvl w:val="0"/>
          <w:numId w:val="6"/>
        </w:numPr>
        <w:spacing w:after="0" w:line="240" w:lineRule="auto"/>
        <w:rPr>
          <w:rFonts w:ascii="Aptos" w:hAnsi="Aptos"/>
          <w:sz w:val="25"/>
          <w:szCs w:val="25"/>
        </w:rPr>
      </w:pPr>
      <w:r>
        <w:rPr>
          <w:rFonts w:ascii="Aptos" w:hAnsi="Aptos"/>
          <w:sz w:val="25"/>
          <w:szCs w:val="25"/>
        </w:rPr>
        <w:t xml:space="preserve">A letter from an Ashland Police Officer </w:t>
      </w:r>
      <w:r w:rsidR="00954792">
        <w:rPr>
          <w:rFonts w:ascii="Aptos" w:hAnsi="Aptos"/>
          <w:sz w:val="25"/>
          <w:szCs w:val="25"/>
        </w:rPr>
        <w:t xml:space="preserve">written </w:t>
      </w:r>
      <w:r>
        <w:rPr>
          <w:rFonts w:ascii="Aptos" w:hAnsi="Aptos"/>
          <w:sz w:val="25"/>
          <w:szCs w:val="25"/>
        </w:rPr>
        <w:t xml:space="preserve">on behalf of </w:t>
      </w:r>
      <w:r w:rsidR="00C22001">
        <w:rPr>
          <w:rFonts w:ascii="Aptos" w:hAnsi="Aptos"/>
          <w:sz w:val="25"/>
          <w:szCs w:val="25"/>
        </w:rPr>
        <w:t>O</w:t>
      </w:r>
      <w:r>
        <w:rPr>
          <w:rFonts w:ascii="Aptos" w:hAnsi="Aptos"/>
          <w:sz w:val="25"/>
          <w:szCs w:val="25"/>
        </w:rPr>
        <w:t>fficers responding to 911 calls for services at Student’s home dated December 13, 2024</w:t>
      </w:r>
      <w:r w:rsidR="009B3CF3">
        <w:rPr>
          <w:rFonts w:ascii="Aptos" w:hAnsi="Aptos"/>
          <w:sz w:val="25"/>
          <w:szCs w:val="25"/>
        </w:rPr>
        <w:t>,</w:t>
      </w:r>
      <w:r>
        <w:rPr>
          <w:rFonts w:ascii="Aptos" w:hAnsi="Aptos"/>
          <w:sz w:val="25"/>
          <w:szCs w:val="25"/>
        </w:rPr>
        <w:t xml:space="preserve"> providing her professional opinion that Student “could seriously harm or kill his mother who is a single parent if he continues to reside with [her] with the current level of support”.  The letter noted Student’s “growing size, how out-of-control he is when escalated and that all of the calls for service involve weapons or objects being used as weapons in a violent manner.”; and</w:t>
      </w:r>
    </w:p>
    <w:p w14:paraId="20B3DE02" w14:textId="657DAC0E" w:rsidR="00B517F3" w:rsidRPr="00B517F3" w:rsidRDefault="00147DF5" w:rsidP="00B517F3">
      <w:pPr>
        <w:pStyle w:val="ListParagraph"/>
        <w:numPr>
          <w:ilvl w:val="0"/>
          <w:numId w:val="6"/>
        </w:numPr>
        <w:spacing w:after="0" w:line="240" w:lineRule="auto"/>
        <w:rPr>
          <w:rFonts w:ascii="Aptos" w:hAnsi="Aptos"/>
          <w:sz w:val="25"/>
          <w:szCs w:val="25"/>
        </w:rPr>
      </w:pPr>
      <w:r>
        <w:rPr>
          <w:rFonts w:ascii="Aptos" w:hAnsi="Aptos"/>
          <w:sz w:val="25"/>
          <w:szCs w:val="25"/>
        </w:rPr>
        <w:t xml:space="preserve">A letter from </w:t>
      </w:r>
      <w:r w:rsidR="0048697D">
        <w:rPr>
          <w:rFonts w:ascii="Aptos" w:hAnsi="Aptos"/>
          <w:sz w:val="25"/>
          <w:szCs w:val="25"/>
        </w:rPr>
        <w:t xml:space="preserve">a </w:t>
      </w:r>
      <w:r w:rsidR="003618AE">
        <w:rPr>
          <w:rFonts w:ascii="Aptos" w:hAnsi="Aptos"/>
          <w:sz w:val="25"/>
          <w:szCs w:val="25"/>
        </w:rPr>
        <w:t xml:space="preserve">registered </w:t>
      </w:r>
      <w:r w:rsidR="0048697D">
        <w:rPr>
          <w:rFonts w:ascii="Aptos" w:hAnsi="Aptos"/>
          <w:sz w:val="25"/>
          <w:szCs w:val="25"/>
        </w:rPr>
        <w:t xml:space="preserve">nurse dated December </w:t>
      </w:r>
      <w:r w:rsidR="002D56F9">
        <w:rPr>
          <w:rFonts w:ascii="Aptos" w:hAnsi="Aptos"/>
          <w:sz w:val="25"/>
          <w:szCs w:val="25"/>
        </w:rPr>
        <w:t>23, 2024</w:t>
      </w:r>
      <w:r w:rsidR="00570091">
        <w:rPr>
          <w:rFonts w:ascii="Aptos" w:hAnsi="Aptos"/>
          <w:sz w:val="25"/>
          <w:szCs w:val="25"/>
        </w:rPr>
        <w:t>,</w:t>
      </w:r>
      <w:r w:rsidR="002D56F9">
        <w:rPr>
          <w:rFonts w:ascii="Aptos" w:hAnsi="Aptos"/>
          <w:sz w:val="25"/>
          <w:szCs w:val="25"/>
        </w:rPr>
        <w:t xml:space="preserve"> recommending </w:t>
      </w:r>
      <w:r w:rsidR="00B37C61">
        <w:rPr>
          <w:rFonts w:ascii="Aptos" w:hAnsi="Aptos"/>
          <w:sz w:val="25"/>
          <w:szCs w:val="25"/>
        </w:rPr>
        <w:t xml:space="preserve">that </w:t>
      </w:r>
      <w:r w:rsidR="002D56F9">
        <w:rPr>
          <w:rFonts w:ascii="Aptos" w:hAnsi="Aptos"/>
          <w:sz w:val="25"/>
          <w:szCs w:val="25"/>
        </w:rPr>
        <w:t>“</w:t>
      </w:r>
      <w:r w:rsidR="00C6688C">
        <w:rPr>
          <w:rFonts w:ascii="Aptos" w:hAnsi="Aptos"/>
          <w:sz w:val="25"/>
          <w:szCs w:val="25"/>
        </w:rPr>
        <w:t>a residential school placement would be in [Student’s] best interest to help him with transitions</w:t>
      </w:r>
      <w:r w:rsidR="009E37F7">
        <w:rPr>
          <w:rFonts w:ascii="Aptos" w:hAnsi="Aptos"/>
          <w:sz w:val="25"/>
          <w:szCs w:val="25"/>
        </w:rPr>
        <w:t>, going to school on a regular basis, keeping him from going in and out of hospitals, as well as safety to himself and others”.  (</w:t>
      </w:r>
      <w:r w:rsidR="009E37F7">
        <w:rPr>
          <w:rFonts w:ascii="Aptos" w:hAnsi="Aptos"/>
          <w:i/>
          <w:iCs/>
          <w:sz w:val="25"/>
          <w:szCs w:val="25"/>
        </w:rPr>
        <w:t>Hearing Request</w:t>
      </w:r>
      <w:r w:rsidR="009E37F7">
        <w:rPr>
          <w:rFonts w:ascii="Aptos" w:hAnsi="Aptos"/>
          <w:sz w:val="25"/>
          <w:szCs w:val="25"/>
        </w:rPr>
        <w:t>)</w:t>
      </w:r>
      <w:r w:rsidR="00634FBB">
        <w:rPr>
          <w:rFonts w:ascii="Aptos" w:hAnsi="Aptos"/>
          <w:sz w:val="25"/>
          <w:szCs w:val="25"/>
        </w:rPr>
        <w:t>.</w:t>
      </w:r>
      <w:r w:rsidR="009E37F7">
        <w:rPr>
          <w:rFonts w:ascii="Aptos" w:hAnsi="Aptos"/>
          <w:sz w:val="25"/>
          <w:szCs w:val="25"/>
        </w:rPr>
        <w:t xml:space="preserve">  </w:t>
      </w:r>
    </w:p>
    <w:p w14:paraId="071C5151" w14:textId="14755584" w:rsidR="0089503C" w:rsidRDefault="0089503C" w:rsidP="0089503C">
      <w:pPr>
        <w:pStyle w:val="ListParagraph"/>
        <w:spacing w:after="0" w:line="240" w:lineRule="auto"/>
        <w:rPr>
          <w:rFonts w:ascii="Aptos" w:hAnsi="Aptos"/>
          <w:sz w:val="25"/>
          <w:szCs w:val="25"/>
        </w:rPr>
      </w:pPr>
    </w:p>
    <w:p w14:paraId="2FCD8A84" w14:textId="77777777" w:rsidR="001372CD" w:rsidRDefault="0089503C" w:rsidP="001372CD">
      <w:pPr>
        <w:pStyle w:val="ListParagraph"/>
        <w:numPr>
          <w:ilvl w:val="0"/>
          <w:numId w:val="2"/>
        </w:numPr>
        <w:spacing w:after="0" w:line="240" w:lineRule="auto"/>
        <w:rPr>
          <w:rFonts w:ascii="Aptos" w:hAnsi="Aptos"/>
          <w:sz w:val="25"/>
          <w:szCs w:val="25"/>
        </w:rPr>
      </w:pPr>
      <w:r w:rsidRPr="0089503C">
        <w:rPr>
          <w:rFonts w:ascii="Aptos" w:hAnsi="Aptos"/>
          <w:sz w:val="25"/>
          <w:szCs w:val="25"/>
        </w:rPr>
        <w:t xml:space="preserve">On November 26, 2024, Parent requested a Team meeting due to Student’s unanticipated escalating behaviors.  The </w:t>
      </w:r>
      <w:proofErr w:type="gramStart"/>
      <w:r w:rsidRPr="0089503C">
        <w:rPr>
          <w:rFonts w:ascii="Aptos" w:hAnsi="Aptos"/>
          <w:sz w:val="25"/>
          <w:szCs w:val="25"/>
        </w:rPr>
        <w:t>District</w:t>
      </w:r>
      <w:proofErr w:type="gramEnd"/>
      <w:r w:rsidRPr="0089503C">
        <w:rPr>
          <w:rFonts w:ascii="Aptos" w:hAnsi="Aptos"/>
          <w:sz w:val="25"/>
          <w:szCs w:val="25"/>
        </w:rPr>
        <w:t xml:space="preserve"> denied the request and refused to convene a Team meeting.  (</w:t>
      </w:r>
      <w:r w:rsidRPr="0089503C">
        <w:rPr>
          <w:rFonts w:ascii="Aptos" w:hAnsi="Aptos"/>
          <w:i/>
          <w:iCs/>
          <w:sz w:val="25"/>
          <w:szCs w:val="25"/>
        </w:rPr>
        <w:t>Hearing Request</w:t>
      </w:r>
      <w:r w:rsidRPr="0089503C">
        <w:rPr>
          <w:rFonts w:ascii="Aptos" w:hAnsi="Aptos"/>
          <w:sz w:val="25"/>
          <w:szCs w:val="25"/>
        </w:rPr>
        <w:t>).</w:t>
      </w:r>
    </w:p>
    <w:p w14:paraId="6148CDF9" w14:textId="79C0F7F7" w:rsidR="001372CD" w:rsidRDefault="001372CD" w:rsidP="001372CD">
      <w:pPr>
        <w:pStyle w:val="ListParagraph"/>
        <w:spacing w:after="0" w:line="240" w:lineRule="auto"/>
        <w:rPr>
          <w:rFonts w:ascii="Aptos" w:hAnsi="Aptos"/>
          <w:sz w:val="25"/>
          <w:szCs w:val="25"/>
        </w:rPr>
      </w:pPr>
    </w:p>
    <w:p w14:paraId="419BB5B2" w14:textId="097EF866" w:rsidR="000C1095" w:rsidRPr="00D964A3" w:rsidRDefault="009F3DE0" w:rsidP="00D964A3">
      <w:pPr>
        <w:pStyle w:val="ListParagraph"/>
        <w:numPr>
          <w:ilvl w:val="0"/>
          <w:numId w:val="2"/>
        </w:numPr>
        <w:spacing w:after="0" w:line="240" w:lineRule="auto"/>
        <w:rPr>
          <w:rFonts w:ascii="Aptos" w:hAnsi="Aptos"/>
          <w:sz w:val="25"/>
          <w:szCs w:val="25"/>
        </w:rPr>
      </w:pPr>
      <w:proofErr w:type="gramStart"/>
      <w:r w:rsidRPr="001372CD">
        <w:rPr>
          <w:rFonts w:ascii="Aptos" w:hAnsi="Aptos"/>
          <w:sz w:val="25"/>
          <w:szCs w:val="25"/>
        </w:rPr>
        <w:t>Student was</w:t>
      </w:r>
      <w:proofErr w:type="gramEnd"/>
      <w:r w:rsidRPr="001372CD">
        <w:rPr>
          <w:rFonts w:ascii="Aptos" w:hAnsi="Aptos"/>
          <w:sz w:val="25"/>
          <w:szCs w:val="25"/>
        </w:rPr>
        <w:t xml:space="preserve"> placed at a Youth Community Crisis Stabilization program a</w:t>
      </w:r>
      <w:r w:rsidR="00DC3934" w:rsidRPr="001372CD">
        <w:rPr>
          <w:rFonts w:ascii="Aptos" w:hAnsi="Aptos"/>
          <w:sz w:val="25"/>
          <w:szCs w:val="25"/>
        </w:rPr>
        <w:t xml:space="preserve">t Clifford Academy between November 25 and December 13, 2024.  </w:t>
      </w:r>
      <w:r w:rsidR="002A7E95">
        <w:rPr>
          <w:rFonts w:ascii="Aptos" w:hAnsi="Aptos"/>
          <w:sz w:val="25"/>
          <w:szCs w:val="25"/>
        </w:rPr>
        <w:t xml:space="preserve">Since </w:t>
      </w:r>
      <w:r w:rsidR="000C1095" w:rsidRPr="00D964A3">
        <w:rPr>
          <w:rFonts w:ascii="Aptos" w:hAnsi="Aptos"/>
          <w:sz w:val="25"/>
          <w:szCs w:val="25"/>
        </w:rPr>
        <w:t xml:space="preserve">discharge from the Clifford Academy program, </w:t>
      </w:r>
      <w:r w:rsidR="007C7451">
        <w:rPr>
          <w:rFonts w:ascii="Aptos" w:hAnsi="Aptos"/>
          <w:sz w:val="25"/>
          <w:szCs w:val="25"/>
        </w:rPr>
        <w:t xml:space="preserve">he has been </w:t>
      </w:r>
      <w:r w:rsidR="00A83CF3">
        <w:rPr>
          <w:rFonts w:ascii="Aptos" w:hAnsi="Aptos"/>
          <w:sz w:val="25"/>
          <w:szCs w:val="25"/>
        </w:rPr>
        <w:t xml:space="preserve">spending </w:t>
      </w:r>
      <w:r w:rsidR="000C1095" w:rsidRPr="00D964A3">
        <w:rPr>
          <w:rFonts w:ascii="Aptos" w:hAnsi="Aptos"/>
          <w:sz w:val="25"/>
          <w:szCs w:val="25"/>
        </w:rPr>
        <w:t xml:space="preserve">three to four nights a week at a DMH </w:t>
      </w:r>
      <w:proofErr w:type="gramStart"/>
      <w:r w:rsidR="000C1095" w:rsidRPr="00D964A3">
        <w:rPr>
          <w:rFonts w:ascii="Aptos" w:hAnsi="Aptos"/>
          <w:sz w:val="25"/>
          <w:szCs w:val="25"/>
        </w:rPr>
        <w:t>respite</w:t>
      </w:r>
      <w:proofErr w:type="gramEnd"/>
      <w:r w:rsidR="000C1095" w:rsidRPr="00D964A3">
        <w:rPr>
          <w:rFonts w:ascii="Aptos" w:hAnsi="Aptos"/>
          <w:sz w:val="25"/>
          <w:szCs w:val="25"/>
        </w:rPr>
        <w:t xml:space="preserve"> bed run by Open Sky</w:t>
      </w:r>
      <w:r w:rsidR="00D40C5C">
        <w:rPr>
          <w:rFonts w:ascii="Aptos" w:hAnsi="Aptos"/>
          <w:sz w:val="25"/>
          <w:szCs w:val="25"/>
        </w:rPr>
        <w:t>,</w:t>
      </w:r>
      <w:r w:rsidR="000C1095" w:rsidRPr="00D964A3">
        <w:rPr>
          <w:rFonts w:ascii="Aptos" w:hAnsi="Aptos"/>
          <w:sz w:val="25"/>
          <w:szCs w:val="25"/>
        </w:rPr>
        <w:t xml:space="preserve"> with his remaining time spent at home. According to DMH</w:t>
      </w:r>
      <w:r w:rsidR="00D40C5C">
        <w:rPr>
          <w:rFonts w:ascii="Aptos" w:hAnsi="Aptos"/>
          <w:sz w:val="25"/>
          <w:szCs w:val="25"/>
        </w:rPr>
        <w:t>,</w:t>
      </w:r>
      <w:r w:rsidR="000C1095" w:rsidRPr="00D964A3">
        <w:rPr>
          <w:rFonts w:ascii="Aptos" w:hAnsi="Aptos"/>
          <w:sz w:val="25"/>
          <w:szCs w:val="25"/>
        </w:rPr>
        <w:t xml:space="preserve"> this respite time is “a higher frequency than is typical for that service”.  Although not part of the </w:t>
      </w:r>
      <w:r w:rsidR="000C1095" w:rsidRPr="00D964A3">
        <w:rPr>
          <w:rFonts w:ascii="Aptos" w:hAnsi="Aptos"/>
          <w:i/>
          <w:iCs/>
          <w:sz w:val="25"/>
          <w:szCs w:val="25"/>
        </w:rPr>
        <w:t>Settlement Agreement</w:t>
      </w:r>
      <w:r w:rsidR="000C1095" w:rsidRPr="00D964A3">
        <w:rPr>
          <w:rFonts w:ascii="Aptos" w:hAnsi="Aptos"/>
          <w:sz w:val="25"/>
          <w:szCs w:val="25"/>
        </w:rPr>
        <w:t xml:space="preserve">, the District provides transportation to and from Open Sky for Student. </w:t>
      </w:r>
      <w:r w:rsidR="000C1095" w:rsidRPr="00D964A3">
        <w:rPr>
          <w:rFonts w:ascii="Aptos" w:hAnsi="Aptos"/>
          <w:i/>
          <w:iCs/>
          <w:sz w:val="25"/>
          <w:szCs w:val="25"/>
        </w:rPr>
        <w:t xml:space="preserve"> </w:t>
      </w:r>
      <w:r w:rsidR="000C1095" w:rsidRPr="00D964A3">
        <w:rPr>
          <w:rFonts w:ascii="Aptos" w:hAnsi="Aptos"/>
          <w:sz w:val="25"/>
          <w:szCs w:val="25"/>
        </w:rPr>
        <w:t>(</w:t>
      </w:r>
      <w:r w:rsidR="000C1095" w:rsidRPr="00D964A3">
        <w:rPr>
          <w:rFonts w:ascii="Aptos" w:hAnsi="Aptos"/>
          <w:i/>
          <w:iCs/>
          <w:sz w:val="25"/>
          <w:szCs w:val="25"/>
        </w:rPr>
        <w:t>Hearing Request</w:t>
      </w:r>
      <w:r w:rsidR="000C1095" w:rsidRPr="00D964A3">
        <w:rPr>
          <w:rFonts w:ascii="Aptos" w:hAnsi="Aptos"/>
          <w:sz w:val="25"/>
          <w:szCs w:val="25"/>
        </w:rPr>
        <w:t xml:space="preserve">; </w:t>
      </w:r>
      <w:r w:rsidR="000C1095" w:rsidRPr="00D964A3">
        <w:rPr>
          <w:rFonts w:ascii="Aptos" w:hAnsi="Aptos"/>
          <w:i/>
          <w:iCs/>
          <w:sz w:val="25"/>
          <w:szCs w:val="25"/>
        </w:rPr>
        <w:t>District Motion</w:t>
      </w:r>
      <w:r w:rsidR="000C1095" w:rsidRPr="00D964A3">
        <w:rPr>
          <w:rFonts w:ascii="Aptos" w:hAnsi="Aptos"/>
          <w:sz w:val="25"/>
          <w:szCs w:val="25"/>
        </w:rPr>
        <w:t xml:space="preserve">; </w:t>
      </w:r>
      <w:r w:rsidR="000C1095" w:rsidRPr="00D964A3">
        <w:rPr>
          <w:rFonts w:ascii="Aptos" w:hAnsi="Aptos"/>
          <w:i/>
          <w:iCs/>
          <w:sz w:val="25"/>
          <w:szCs w:val="25"/>
        </w:rPr>
        <w:t>DMH Motion</w:t>
      </w:r>
      <w:r w:rsidR="000C1095" w:rsidRPr="00D964A3">
        <w:rPr>
          <w:rFonts w:ascii="Aptos" w:hAnsi="Aptos"/>
          <w:sz w:val="25"/>
          <w:szCs w:val="25"/>
        </w:rPr>
        <w:t>).</w:t>
      </w:r>
    </w:p>
    <w:p w14:paraId="0C7C0989" w14:textId="77777777" w:rsidR="001372CD" w:rsidRPr="001372CD" w:rsidRDefault="001372CD" w:rsidP="001372CD">
      <w:pPr>
        <w:pStyle w:val="ListParagraph"/>
        <w:rPr>
          <w:rFonts w:ascii="Aptos" w:hAnsi="Aptos"/>
          <w:sz w:val="25"/>
          <w:szCs w:val="25"/>
        </w:rPr>
      </w:pPr>
    </w:p>
    <w:p w14:paraId="0898CEAB" w14:textId="7A568998" w:rsidR="00AD0F2B" w:rsidRPr="00C22001" w:rsidRDefault="00C22001" w:rsidP="00C22001">
      <w:pPr>
        <w:pStyle w:val="ListParagraph"/>
        <w:numPr>
          <w:ilvl w:val="0"/>
          <w:numId w:val="2"/>
        </w:numPr>
        <w:spacing w:after="0" w:line="240" w:lineRule="auto"/>
        <w:rPr>
          <w:rFonts w:ascii="Aptos" w:hAnsi="Aptos"/>
          <w:sz w:val="25"/>
          <w:szCs w:val="25"/>
        </w:rPr>
      </w:pPr>
      <w:r>
        <w:rPr>
          <w:rFonts w:ascii="Aptos" w:hAnsi="Aptos"/>
          <w:sz w:val="25"/>
          <w:szCs w:val="25"/>
        </w:rPr>
        <w:t xml:space="preserve">On December 10, 2024, upon Student’s </w:t>
      </w:r>
      <w:r w:rsidR="0028743A" w:rsidRPr="00C22001">
        <w:rPr>
          <w:rFonts w:ascii="Aptos" w:hAnsi="Aptos"/>
          <w:sz w:val="25"/>
          <w:szCs w:val="25"/>
        </w:rPr>
        <w:t>accept</w:t>
      </w:r>
      <w:r>
        <w:rPr>
          <w:rFonts w:ascii="Aptos" w:hAnsi="Aptos"/>
          <w:sz w:val="25"/>
          <w:szCs w:val="25"/>
        </w:rPr>
        <w:t>ance</w:t>
      </w:r>
      <w:r w:rsidR="0028743A" w:rsidRPr="00C22001">
        <w:rPr>
          <w:rFonts w:ascii="Aptos" w:hAnsi="Aptos"/>
          <w:sz w:val="25"/>
          <w:szCs w:val="25"/>
        </w:rPr>
        <w:t xml:space="preserve"> at Perkins</w:t>
      </w:r>
      <w:r w:rsidR="00514317">
        <w:rPr>
          <w:rFonts w:ascii="Aptos" w:hAnsi="Aptos"/>
          <w:sz w:val="25"/>
          <w:szCs w:val="25"/>
        </w:rPr>
        <w:t>,</w:t>
      </w:r>
      <w:r w:rsidR="0028743A" w:rsidRPr="00C22001">
        <w:rPr>
          <w:rFonts w:ascii="Aptos" w:hAnsi="Aptos"/>
          <w:sz w:val="25"/>
          <w:szCs w:val="25"/>
        </w:rPr>
        <w:t xml:space="preserve"> Parent asked DCF about voluntary services but was told to wait until the 51A investigation was </w:t>
      </w:r>
      <w:r w:rsidR="00002E90" w:rsidRPr="00C22001">
        <w:rPr>
          <w:rFonts w:ascii="Aptos" w:hAnsi="Aptos"/>
          <w:sz w:val="25"/>
          <w:szCs w:val="25"/>
        </w:rPr>
        <w:t>completed</w:t>
      </w:r>
      <w:r w:rsidR="0028743A" w:rsidRPr="00C22001">
        <w:rPr>
          <w:rFonts w:ascii="Aptos" w:hAnsi="Aptos"/>
          <w:sz w:val="25"/>
          <w:szCs w:val="25"/>
        </w:rPr>
        <w:t>.  (</w:t>
      </w:r>
      <w:r w:rsidR="0028743A" w:rsidRPr="00C22001">
        <w:rPr>
          <w:rFonts w:ascii="Aptos" w:hAnsi="Aptos"/>
          <w:i/>
          <w:iCs/>
          <w:sz w:val="25"/>
          <w:szCs w:val="25"/>
        </w:rPr>
        <w:t>Hearing Request</w:t>
      </w:r>
      <w:r w:rsidR="0028743A" w:rsidRPr="00C22001">
        <w:rPr>
          <w:rFonts w:ascii="Aptos" w:hAnsi="Aptos"/>
          <w:sz w:val="25"/>
          <w:szCs w:val="25"/>
        </w:rPr>
        <w:t>).</w:t>
      </w:r>
    </w:p>
    <w:p w14:paraId="0FDAE8FD" w14:textId="77777777" w:rsidR="00201C2F" w:rsidRPr="00201C2F" w:rsidRDefault="00201C2F" w:rsidP="00201C2F">
      <w:pPr>
        <w:pStyle w:val="ListParagraph"/>
        <w:rPr>
          <w:rFonts w:ascii="Aptos" w:hAnsi="Aptos"/>
          <w:sz w:val="25"/>
          <w:szCs w:val="25"/>
        </w:rPr>
      </w:pPr>
    </w:p>
    <w:p w14:paraId="0105670B" w14:textId="481C70F0" w:rsidR="007B4822" w:rsidRDefault="009F2C24" w:rsidP="007B4822">
      <w:pPr>
        <w:pStyle w:val="ListParagraph"/>
        <w:numPr>
          <w:ilvl w:val="0"/>
          <w:numId w:val="2"/>
        </w:numPr>
        <w:spacing w:after="0" w:line="240" w:lineRule="auto"/>
        <w:rPr>
          <w:rFonts w:ascii="Aptos" w:hAnsi="Aptos"/>
          <w:sz w:val="25"/>
          <w:szCs w:val="25"/>
        </w:rPr>
      </w:pPr>
      <w:r>
        <w:rPr>
          <w:rFonts w:ascii="Aptos" w:hAnsi="Aptos"/>
          <w:sz w:val="25"/>
          <w:szCs w:val="25"/>
        </w:rPr>
        <w:t xml:space="preserve">On December 21, 2024, DCF closed their investigation and </w:t>
      </w:r>
      <w:r w:rsidR="00FB0D75">
        <w:rPr>
          <w:rFonts w:ascii="Aptos" w:hAnsi="Aptos"/>
          <w:sz w:val="25"/>
          <w:szCs w:val="25"/>
        </w:rPr>
        <w:t xml:space="preserve">advised </w:t>
      </w:r>
      <w:r>
        <w:rPr>
          <w:rFonts w:ascii="Aptos" w:hAnsi="Aptos"/>
          <w:sz w:val="25"/>
          <w:szCs w:val="25"/>
        </w:rPr>
        <w:t>Parent to call to ask for voluntary services.  (</w:t>
      </w:r>
      <w:r>
        <w:rPr>
          <w:rFonts w:ascii="Aptos" w:hAnsi="Aptos"/>
          <w:i/>
          <w:iCs/>
          <w:sz w:val="25"/>
          <w:szCs w:val="25"/>
        </w:rPr>
        <w:t>Hearing Request</w:t>
      </w:r>
      <w:r>
        <w:rPr>
          <w:rFonts w:ascii="Aptos" w:hAnsi="Aptos"/>
          <w:sz w:val="25"/>
          <w:szCs w:val="25"/>
        </w:rPr>
        <w:t>).</w:t>
      </w:r>
    </w:p>
    <w:p w14:paraId="474EBB68" w14:textId="77777777" w:rsidR="007B4822" w:rsidRPr="007B4822" w:rsidRDefault="007B4822" w:rsidP="007B4822">
      <w:pPr>
        <w:pStyle w:val="ListParagraph"/>
        <w:rPr>
          <w:rFonts w:ascii="Aptos" w:hAnsi="Aptos"/>
          <w:sz w:val="25"/>
          <w:szCs w:val="25"/>
        </w:rPr>
      </w:pPr>
    </w:p>
    <w:p w14:paraId="3A87669E" w14:textId="2A8875A6" w:rsidR="009F2C24" w:rsidRPr="007B4822" w:rsidRDefault="003231DB" w:rsidP="007B4822">
      <w:pPr>
        <w:pStyle w:val="ListParagraph"/>
        <w:numPr>
          <w:ilvl w:val="0"/>
          <w:numId w:val="2"/>
        </w:numPr>
        <w:spacing w:after="0" w:line="240" w:lineRule="auto"/>
        <w:rPr>
          <w:rFonts w:ascii="Aptos" w:hAnsi="Aptos"/>
          <w:sz w:val="25"/>
          <w:szCs w:val="25"/>
        </w:rPr>
      </w:pPr>
      <w:r w:rsidRPr="007B4822">
        <w:rPr>
          <w:rFonts w:ascii="Aptos" w:hAnsi="Aptos"/>
          <w:sz w:val="25"/>
          <w:szCs w:val="25"/>
        </w:rPr>
        <w:lastRenderedPageBreak/>
        <w:t>On</w:t>
      </w:r>
      <w:r w:rsidR="00505093" w:rsidRPr="007B4822">
        <w:rPr>
          <w:rFonts w:ascii="Aptos" w:hAnsi="Aptos"/>
          <w:sz w:val="25"/>
          <w:szCs w:val="25"/>
        </w:rPr>
        <w:t xml:space="preserve"> or about</w:t>
      </w:r>
      <w:r w:rsidRPr="007B4822">
        <w:rPr>
          <w:rFonts w:ascii="Aptos" w:hAnsi="Aptos"/>
          <w:sz w:val="25"/>
          <w:szCs w:val="25"/>
        </w:rPr>
        <w:t xml:space="preserve"> January 1, 202</w:t>
      </w:r>
      <w:r w:rsidR="00592491" w:rsidRPr="007B4822">
        <w:rPr>
          <w:rFonts w:ascii="Aptos" w:hAnsi="Aptos"/>
          <w:sz w:val="25"/>
          <w:szCs w:val="25"/>
        </w:rPr>
        <w:t>5</w:t>
      </w:r>
      <w:r w:rsidRPr="007B4822">
        <w:rPr>
          <w:rFonts w:ascii="Aptos" w:hAnsi="Aptos"/>
          <w:sz w:val="25"/>
          <w:szCs w:val="25"/>
        </w:rPr>
        <w:t xml:space="preserve">, </w:t>
      </w:r>
      <w:r w:rsidR="00363B57" w:rsidRPr="007B4822">
        <w:rPr>
          <w:rFonts w:ascii="Aptos" w:hAnsi="Aptos"/>
          <w:sz w:val="25"/>
          <w:szCs w:val="25"/>
        </w:rPr>
        <w:t xml:space="preserve">police were again called </w:t>
      </w:r>
      <w:r w:rsidR="0024683B">
        <w:rPr>
          <w:rFonts w:ascii="Aptos" w:hAnsi="Aptos"/>
          <w:sz w:val="25"/>
          <w:szCs w:val="25"/>
        </w:rPr>
        <w:t xml:space="preserve">to the home </w:t>
      </w:r>
      <w:r w:rsidR="00363B57" w:rsidRPr="007B4822">
        <w:rPr>
          <w:rFonts w:ascii="Aptos" w:hAnsi="Aptos"/>
          <w:sz w:val="25"/>
          <w:szCs w:val="25"/>
        </w:rPr>
        <w:t>due to Student’s behavior</w:t>
      </w:r>
      <w:r w:rsidR="00F15CDD">
        <w:rPr>
          <w:rFonts w:ascii="Aptos" w:hAnsi="Aptos"/>
          <w:sz w:val="25"/>
          <w:szCs w:val="25"/>
        </w:rPr>
        <w:t xml:space="preserve">.  Student was </w:t>
      </w:r>
      <w:r w:rsidR="00050AA0" w:rsidRPr="007B4822">
        <w:rPr>
          <w:rFonts w:ascii="Aptos" w:hAnsi="Aptos"/>
          <w:sz w:val="25"/>
          <w:szCs w:val="25"/>
        </w:rPr>
        <w:t xml:space="preserve">banging on Parent’s locked bedroom door with a metal pipe, </w:t>
      </w:r>
      <w:r w:rsidR="00F15CDD">
        <w:rPr>
          <w:rFonts w:ascii="Aptos" w:hAnsi="Aptos"/>
          <w:sz w:val="25"/>
          <w:szCs w:val="25"/>
        </w:rPr>
        <w:t xml:space="preserve">had </w:t>
      </w:r>
      <w:r w:rsidR="00B72C09" w:rsidRPr="007B4822">
        <w:rPr>
          <w:rFonts w:ascii="Aptos" w:hAnsi="Aptos"/>
          <w:sz w:val="25"/>
          <w:szCs w:val="25"/>
        </w:rPr>
        <w:t xml:space="preserve">attempted </w:t>
      </w:r>
      <w:r w:rsidR="00D63780">
        <w:rPr>
          <w:rFonts w:ascii="Aptos" w:hAnsi="Aptos"/>
          <w:sz w:val="25"/>
          <w:szCs w:val="25"/>
        </w:rPr>
        <w:t xml:space="preserve">a </w:t>
      </w:r>
      <w:r w:rsidR="00B72C09" w:rsidRPr="007B4822">
        <w:rPr>
          <w:rFonts w:ascii="Aptos" w:hAnsi="Aptos"/>
          <w:sz w:val="25"/>
          <w:szCs w:val="25"/>
        </w:rPr>
        <w:t xml:space="preserve">medication overdose, </w:t>
      </w:r>
      <w:r w:rsidR="00410CE4" w:rsidRPr="007B4822">
        <w:rPr>
          <w:rFonts w:ascii="Aptos" w:hAnsi="Aptos"/>
          <w:sz w:val="25"/>
          <w:szCs w:val="25"/>
        </w:rPr>
        <w:t xml:space="preserve">and </w:t>
      </w:r>
      <w:r w:rsidR="00B72C09" w:rsidRPr="007B4822">
        <w:rPr>
          <w:rFonts w:ascii="Aptos" w:hAnsi="Aptos"/>
          <w:sz w:val="25"/>
          <w:szCs w:val="25"/>
        </w:rPr>
        <w:t>access</w:t>
      </w:r>
      <w:r w:rsidR="00F15CDD">
        <w:rPr>
          <w:rFonts w:ascii="Aptos" w:hAnsi="Aptos"/>
          <w:sz w:val="25"/>
          <w:szCs w:val="25"/>
        </w:rPr>
        <w:t>ed</w:t>
      </w:r>
      <w:r w:rsidR="00B72C09" w:rsidRPr="007B4822">
        <w:rPr>
          <w:rFonts w:ascii="Aptos" w:hAnsi="Aptos"/>
          <w:sz w:val="25"/>
          <w:szCs w:val="25"/>
        </w:rPr>
        <w:t xml:space="preserve"> a ball peen </w:t>
      </w:r>
      <w:r w:rsidR="00410CE4" w:rsidRPr="007B4822">
        <w:rPr>
          <w:rFonts w:ascii="Aptos" w:hAnsi="Aptos"/>
          <w:sz w:val="25"/>
          <w:szCs w:val="25"/>
        </w:rPr>
        <w:t>hammer.  Additionally, Student discov</w:t>
      </w:r>
      <w:r w:rsidR="00DC79EF" w:rsidRPr="007B4822">
        <w:rPr>
          <w:rFonts w:ascii="Aptos" w:hAnsi="Aptos"/>
          <w:sz w:val="25"/>
          <w:szCs w:val="25"/>
        </w:rPr>
        <w:t xml:space="preserve">ered a package containing two cannabis gummies resulting in </w:t>
      </w:r>
      <w:r w:rsidR="003529B3" w:rsidRPr="007B4822">
        <w:rPr>
          <w:rFonts w:ascii="Aptos" w:hAnsi="Aptos"/>
          <w:sz w:val="25"/>
          <w:szCs w:val="25"/>
        </w:rPr>
        <w:t xml:space="preserve">DCF </w:t>
      </w:r>
      <w:r w:rsidR="00DC79EF" w:rsidRPr="007B4822">
        <w:rPr>
          <w:rFonts w:ascii="Aptos" w:hAnsi="Aptos"/>
          <w:sz w:val="25"/>
          <w:szCs w:val="25"/>
        </w:rPr>
        <w:t xml:space="preserve">being </w:t>
      </w:r>
      <w:r w:rsidR="003529B3" w:rsidRPr="007B4822">
        <w:rPr>
          <w:rFonts w:ascii="Aptos" w:hAnsi="Aptos"/>
          <w:sz w:val="25"/>
          <w:szCs w:val="25"/>
        </w:rPr>
        <w:t xml:space="preserve">called anew. </w:t>
      </w:r>
      <w:r w:rsidR="003574D0" w:rsidRPr="007B4822">
        <w:rPr>
          <w:rFonts w:ascii="Aptos" w:hAnsi="Aptos"/>
          <w:sz w:val="25"/>
          <w:szCs w:val="25"/>
        </w:rPr>
        <w:t xml:space="preserve">DCF </w:t>
      </w:r>
      <w:r w:rsidR="00EF4AE8" w:rsidRPr="007B4822">
        <w:rPr>
          <w:rFonts w:ascii="Aptos" w:hAnsi="Aptos"/>
          <w:sz w:val="25"/>
          <w:szCs w:val="25"/>
        </w:rPr>
        <w:t>advised they were closing this case on January 17, 2025</w:t>
      </w:r>
      <w:r w:rsidR="00806A19" w:rsidRPr="007B4822">
        <w:rPr>
          <w:rFonts w:ascii="Aptos" w:hAnsi="Aptos"/>
          <w:sz w:val="25"/>
          <w:szCs w:val="25"/>
        </w:rPr>
        <w:t>,</w:t>
      </w:r>
      <w:r w:rsidR="00EF4AE8" w:rsidRPr="007B4822">
        <w:rPr>
          <w:rFonts w:ascii="Aptos" w:hAnsi="Aptos"/>
          <w:sz w:val="25"/>
          <w:szCs w:val="25"/>
        </w:rPr>
        <w:t xml:space="preserve"> but then opened a neglect case on January 21, 2025, </w:t>
      </w:r>
      <w:r w:rsidR="00D954BE" w:rsidRPr="007B4822">
        <w:rPr>
          <w:rFonts w:ascii="Aptos" w:hAnsi="Aptos"/>
          <w:sz w:val="25"/>
          <w:szCs w:val="25"/>
        </w:rPr>
        <w:t xml:space="preserve">to </w:t>
      </w:r>
      <w:r w:rsidR="00C42862" w:rsidRPr="007B4822">
        <w:rPr>
          <w:rFonts w:ascii="Aptos" w:hAnsi="Aptos"/>
          <w:sz w:val="25"/>
          <w:szCs w:val="25"/>
        </w:rPr>
        <w:t>“work with mother to ensure</w:t>
      </w:r>
      <w:r w:rsidR="009437B9" w:rsidRPr="007B4822">
        <w:rPr>
          <w:rFonts w:ascii="Aptos" w:hAnsi="Aptos"/>
          <w:sz w:val="25"/>
          <w:szCs w:val="25"/>
        </w:rPr>
        <w:t>”</w:t>
      </w:r>
      <w:r w:rsidR="00C42862" w:rsidRPr="007B4822">
        <w:rPr>
          <w:rFonts w:ascii="Aptos" w:hAnsi="Aptos"/>
          <w:sz w:val="25"/>
          <w:szCs w:val="25"/>
        </w:rPr>
        <w:t xml:space="preserve"> she </w:t>
      </w:r>
      <w:r w:rsidR="009437B9" w:rsidRPr="007B4822">
        <w:rPr>
          <w:rFonts w:ascii="Aptos" w:hAnsi="Aptos"/>
          <w:sz w:val="25"/>
          <w:szCs w:val="25"/>
        </w:rPr>
        <w:t xml:space="preserve">locks up all </w:t>
      </w:r>
      <w:r w:rsidR="00EA65EC" w:rsidRPr="007B4822">
        <w:rPr>
          <w:rFonts w:ascii="Aptos" w:hAnsi="Aptos"/>
          <w:sz w:val="25"/>
          <w:szCs w:val="25"/>
        </w:rPr>
        <w:t xml:space="preserve">potential safety risk items and </w:t>
      </w:r>
      <w:r w:rsidR="00C42862" w:rsidRPr="007B4822">
        <w:rPr>
          <w:rFonts w:ascii="Aptos" w:hAnsi="Aptos"/>
          <w:sz w:val="25"/>
          <w:szCs w:val="25"/>
        </w:rPr>
        <w:t>cooperates with</w:t>
      </w:r>
      <w:r w:rsidR="00EA65EC" w:rsidRPr="007B4822">
        <w:rPr>
          <w:rFonts w:ascii="Aptos" w:hAnsi="Aptos"/>
          <w:sz w:val="25"/>
          <w:szCs w:val="25"/>
        </w:rPr>
        <w:t xml:space="preserve"> her DMH services “</w:t>
      </w:r>
      <w:r w:rsidR="00C42862" w:rsidRPr="007B4822">
        <w:rPr>
          <w:rFonts w:ascii="Aptos" w:hAnsi="Aptos"/>
          <w:sz w:val="25"/>
          <w:szCs w:val="25"/>
        </w:rPr>
        <w:t xml:space="preserve">to support herself and student </w:t>
      </w:r>
      <w:r w:rsidR="00170717" w:rsidRPr="007B4822">
        <w:rPr>
          <w:rFonts w:ascii="Aptos" w:hAnsi="Aptos"/>
          <w:sz w:val="25"/>
          <w:szCs w:val="25"/>
        </w:rPr>
        <w:t>around safety in the home and managing the student’s mental health and behavioral needs”</w:t>
      </w:r>
      <w:r w:rsidR="000E6085">
        <w:rPr>
          <w:rFonts w:ascii="Aptos" w:hAnsi="Aptos"/>
          <w:sz w:val="25"/>
          <w:szCs w:val="25"/>
        </w:rPr>
        <w:t xml:space="preserve">.  </w:t>
      </w:r>
      <w:r w:rsidR="00420E46">
        <w:rPr>
          <w:rFonts w:ascii="Aptos" w:hAnsi="Aptos"/>
          <w:sz w:val="25"/>
          <w:szCs w:val="25"/>
        </w:rPr>
        <w:t>While the clinical</w:t>
      </w:r>
      <w:r w:rsidR="000E6085">
        <w:rPr>
          <w:rFonts w:ascii="Aptos" w:hAnsi="Aptos"/>
          <w:sz w:val="25"/>
          <w:szCs w:val="25"/>
        </w:rPr>
        <w:t xml:space="preserve"> </w:t>
      </w:r>
      <w:r w:rsidR="00170717" w:rsidRPr="007B4822">
        <w:rPr>
          <w:rFonts w:ascii="Aptos" w:hAnsi="Aptos"/>
          <w:sz w:val="25"/>
          <w:szCs w:val="25"/>
        </w:rPr>
        <w:t xml:space="preserve">case </w:t>
      </w:r>
      <w:r w:rsidR="00EF4AE8" w:rsidRPr="007B4822">
        <w:rPr>
          <w:rFonts w:ascii="Aptos" w:hAnsi="Aptos"/>
          <w:sz w:val="25"/>
          <w:szCs w:val="25"/>
        </w:rPr>
        <w:t>currently remains open</w:t>
      </w:r>
      <w:r w:rsidR="00511F66" w:rsidRPr="007B4822">
        <w:rPr>
          <w:rFonts w:ascii="Aptos" w:hAnsi="Aptos"/>
          <w:sz w:val="25"/>
          <w:szCs w:val="25"/>
        </w:rPr>
        <w:t xml:space="preserve">, DCF </w:t>
      </w:r>
      <w:r w:rsidR="00E44F72">
        <w:rPr>
          <w:rFonts w:ascii="Aptos" w:hAnsi="Aptos"/>
          <w:sz w:val="25"/>
          <w:szCs w:val="25"/>
        </w:rPr>
        <w:t xml:space="preserve">has not </w:t>
      </w:r>
      <w:r w:rsidR="00511F66" w:rsidRPr="007B4822">
        <w:rPr>
          <w:rFonts w:ascii="Aptos" w:hAnsi="Aptos"/>
          <w:sz w:val="25"/>
          <w:szCs w:val="25"/>
        </w:rPr>
        <w:t>sought custody of Student or agreed to a voluntary placement</w:t>
      </w:r>
      <w:r w:rsidR="00EF4AE8" w:rsidRPr="007B4822">
        <w:rPr>
          <w:rFonts w:ascii="Aptos" w:hAnsi="Aptos"/>
          <w:sz w:val="25"/>
          <w:szCs w:val="25"/>
        </w:rPr>
        <w:t>.</w:t>
      </w:r>
      <w:r w:rsidR="003529B3" w:rsidRPr="007B4822">
        <w:rPr>
          <w:rFonts w:ascii="Aptos" w:hAnsi="Aptos"/>
          <w:sz w:val="25"/>
          <w:szCs w:val="25"/>
        </w:rPr>
        <w:t xml:space="preserve"> (</w:t>
      </w:r>
      <w:r w:rsidR="003529B3" w:rsidRPr="007B4822">
        <w:rPr>
          <w:rFonts w:ascii="Aptos" w:hAnsi="Aptos"/>
          <w:i/>
          <w:iCs/>
          <w:sz w:val="25"/>
          <w:szCs w:val="25"/>
        </w:rPr>
        <w:t>Hearing Request</w:t>
      </w:r>
      <w:r w:rsidR="00B72C09" w:rsidRPr="007B4822">
        <w:rPr>
          <w:rFonts w:ascii="Aptos" w:hAnsi="Aptos"/>
          <w:sz w:val="25"/>
          <w:szCs w:val="25"/>
        </w:rPr>
        <w:t xml:space="preserve">; </w:t>
      </w:r>
      <w:r w:rsidR="00B72C09" w:rsidRPr="007B4822">
        <w:rPr>
          <w:rFonts w:ascii="Aptos" w:hAnsi="Aptos"/>
          <w:i/>
          <w:iCs/>
          <w:sz w:val="25"/>
          <w:szCs w:val="25"/>
        </w:rPr>
        <w:t>DCF Motion</w:t>
      </w:r>
      <w:r w:rsidR="003529B3" w:rsidRPr="007B4822">
        <w:rPr>
          <w:rFonts w:ascii="Aptos" w:hAnsi="Aptos"/>
          <w:sz w:val="25"/>
          <w:szCs w:val="25"/>
        </w:rPr>
        <w:t>).</w:t>
      </w:r>
    </w:p>
    <w:p w14:paraId="109A21EC" w14:textId="77777777" w:rsidR="003529B3" w:rsidRPr="003529B3" w:rsidRDefault="003529B3" w:rsidP="003529B3">
      <w:pPr>
        <w:pStyle w:val="ListParagraph"/>
        <w:rPr>
          <w:rFonts w:ascii="Aptos" w:hAnsi="Aptos"/>
          <w:sz w:val="25"/>
          <w:szCs w:val="25"/>
        </w:rPr>
      </w:pPr>
    </w:p>
    <w:p w14:paraId="240FE392" w14:textId="5016214B" w:rsidR="003529B3" w:rsidRDefault="003529B3" w:rsidP="000C1095">
      <w:pPr>
        <w:pStyle w:val="ListParagraph"/>
        <w:numPr>
          <w:ilvl w:val="0"/>
          <w:numId w:val="2"/>
        </w:numPr>
        <w:spacing w:after="0" w:line="240" w:lineRule="auto"/>
        <w:rPr>
          <w:rFonts w:ascii="Aptos" w:hAnsi="Aptos"/>
          <w:sz w:val="25"/>
          <w:szCs w:val="25"/>
        </w:rPr>
      </w:pPr>
      <w:r>
        <w:rPr>
          <w:rFonts w:ascii="Aptos" w:hAnsi="Aptos"/>
          <w:sz w:val="25"/>
          <w:szCs w:val="25"/>
        </w:rPr>
        <w:t>Since attending Perkins</w:t>
      </w:r>
      <w:r w:rsidR="00D23E14">
        <w:rPr>
          <w:rFonts w:ascii="Aptos" w:hAnsi="Aptos"/>
          <w:sz w:val="25"/>
          <w:szCs w:val="25"/>
        </w:rPr>
        <w:t>,</w:t>
      </w:r>
      <w:r>
        <w:rPr>
          <w:rFonts w:ascii="Aptos" w:hAnsi="Aptos"/>
          <w:sz w:val="25"/>
          <w:szCs w:val="25"/>
        </w:rPr>
        <w:t xml:space="preserve"> Student’s </w:t>
      </w:r>
      <w:r w:rsidR="00D21443">
        <w:rPr>
          <w:rFonts w:ascii="Aptos" w:hAnsi="Aptos"/>
          <w:sz w:val="25"/>
          <w:szCs w:val="25"/>
        </w:rPr>
        <w:t>behavioral</w:t>
      </w:r>
      <w:r w:rsidR="007D0580">
        <w:rPr>
          <w:rFonts w:ascii="Aptos" w:hAnsi="Aptos"/>
          <w:sz w:val="25"/>
          <w:szCs w:val="25"/>
        </w:rPr>
        <w:t xml:space="preserve"> dysregulations </w:t>
      </w:r>
      <w:r w:rsidR="00D21443">
        <w:rPr>
          <w:rFonts w:ascii="Aptos" w:hAnsi="Aptos"/>
          <w:sz w:val="25"/>
          <w:szCs w:val="25"/>
        </w:rPr>
        <w:t xml:space="preserve">require </w:t>
      </w:r>
      <w:r>
        <w:rPr>
          <w:rFonts w:ascii="Aptos" w:hAnsi="Aptos"/>
          <w:sz w:val="25"/>
          <w:szCs w:val="25"/>
        </w:rPr>
        <w:t>restrai</w:t>
      </w:r>
      <w:r w:rsidR="007D0580">
        <w:rPr>
          <w:rFonts w:ascii="Aptos" w:hAnsi="Aptos"/>
          <w:sz w:val="25"/>
          <w:szCs w:val="25"/>
        </w:rPr>
        <w:t>n</w:t>
      </w:r>
      <w:r w:rsidR="006476CF">
        <w:rPr>
          <w:rFonts w:ascii="Aptos" w:hAnsi="Aptos"/>
          <w:sz w:val="25"/>
          <w:szCs w:val="25"/>
        </w:rPr>
        <w:t>t</w:t>
      </w:r>
      <w:r w:rsidR="00D63780">
        <w:rPr>
          <w:rFonts w:ascii="Aptos" w:hAnsi="Aptos"/>
          <w:sz w:val="25"/>
          <w:szCs w:val="25"/>
        </w:rPr>
        <w:t>s</w:t>
      </w:r>
      <w:r w:rsidR="007D0580">
        <w:rPr>
          <w:rFonts w:ascii="Aptos" w:hAnsi="Aptos"/>
          <w:sz w:val="25"/>
          <w:szCs w:val="25"/>
        </w:rPr>
        <w:t xml:space="preserve"> at school</w:t>
      </w:r>
      <w:r>
        <w:rPr>
          <w:rFonts w:ascii="Aptos" w:hAnsi="Aptos"/>
          <w:sz w:val="25"/>
          <w:szCs w:val="25"/>
        </w:rPr>
        <w:t xml:space="preserve"> multiple times a week</w:t>
      </w:r>
      <w:r w:rsidR="00BA4271">
        <w:rPr>
          <w:rFonts w:ascii="Aptos" w:hAnsi="Aptos"/>
          <w:sz w:val="25"/>
          <w:szCs w:val="25"/>
        </w:rPr>
        <w:t xml:space="preserve">.  His </w:t>
      </w:r>
      <w:proofErr w:type="gramStart"/>
      <w:r w:rsidR="00BA4271">
        <w:rPr>
          <w:rFonts w:ascii="Aptos" w:hAnsi="Aptos"/>
          <w:sz w:val="25"/>
          <w:szCs w:val="25"/>
        </w:rPr>
        <w:t>behaviors consist</w:t>
      </w:r>
      <w:proofErr w:type="gramEnd"/>
      <w:r w:rsidR="00BA4271">
        <w:rPr>
          <w:rFonts w:ascii="Aptos" w:hAnsi="Aptos"/>
          <w:sz w:val="25"/>
          <w:szCs w:val="25"/>
        </w:rPr>
        <w:t xml:space="preserve"> of punching holes in walls to the point of self-injury, </w:t>
      </w:r>
      <w:r w:rsidR="00B0748B">
        <w:rPr>
          <w:rFonts w:ascii="Aptos" w:hAnsi="Aptos"/>
          <w:sz w:val="25"/>
          <w:szCs w:val="25"/>
        </w:rPr>
        <w:t>ripping baseboards from the wall and putting thumbtacks in his mouth and throwing them at staff.</w:t>
      </w:r>
      <w:r w:rsidR="00D21443">
        <w:rPr>
          <w:rFonts w:ascii="Aptos" w:hAnsi="Aptos"/>
          <w:sz w:val="25"/>
          <w:szCs w:val="25"/>
        </w:rPr>
        <w:t xml:space="preserve"> (</w:t>
      </w:r>
      <w:r w:rsidR="00D21443">
        <w:rPr>
          <w:rFonts w:ascii="Aptos" w:hAnsi="Aptos"/>
          <w:i/>
          <w:iCs/>
          <w:sz w:val="25"/>
          <w:szCs w:val="25"/>
        </w:rPr>
        <w:t>Hearing Request</w:t>
      </w:r>
      <w:r w:rsidR="00D21443">
        <w:rPr>
          <w:rFonts w:ascii="Aptos" w:hAnsi="Aptos"/>
          <w:sz w:val="25"/>
          <w:szCs w:val="25"/>
        </w:rPr>
        <w:t>).</w:t>
      </w:r>
    </w:p>
    <w:p w14:paraId="66CEBF26" w14:textId="77777777" w:rsidR="002D517C" w:rsidRPr="002D517C" w:rsidRDefault="002D517C" w:rsidP="002D517C">
      <w:pPr>
        <w:pStyle w:val="ListParagraph"/>
        <w:rPr>
          <w:rFonts w:ascii="Aptos" w:hAnsi="Aptos"/>
          <w:sz w:val="25"/>
          <w:szCs w:val="25"/>
        </w:rPr>
      </w:pPr>
    </w:p>
    <w:p w14:paraId="5BE68E42" w14:textId="388FCC73" w:rsidR="00B027AF" w:rsidRDefault="004262DA" w:rsidP="000C1095">
      <w:pPr>
        <w:pStyle w:val="ListParagraph"/>
        <w:numPr>
          <w:ilvl w:val="0"/>
          <w:numId w:val="2"/>
        </w:numPr>
        <w:spacing w:after="0" w:line="240" w:lineRule="auto"/>
        <w:rPr>
          <w:rFonts w:ascii="Aptos" w:hAnsi="Aptos"/>
          <w:sz w:val="25"/>
          <w:szCs w:val="25"/>
        </w:rPr>
      </w:pPr>
      <w:r>
        <w:rPr>
          <w:rFonts w:ascii="Aptos" w:hAnsi="Aptos"/>
          <w:sz w:val="25"/>
          <w:szCs w:val="25"/>
        </w:rPr>
        <w:t>During January</w:t>
      </w:r>
      <w:r w:rsidR="00DB7894">
        <w:rPr>
          <w:rFonts w:ascii="Aptos" w:hAnsi="Aptos"/>
          <w:sz w:val="25"/>
          <w:szCs w:val="25"/>
        </w:rPr>
        <w:t xml:space="preserve"> 2025, </w:t>
      </w:r>
      <w:r>
        <w:rPr>
          <w:rFonts w:ascii="Aptos" w:hAnsi="Aptos"/>
          <w:sz w:val="25"/>
          <w:szCs w:val="25"/>
        </w:rPr>
        <w:t xml:space="preserve">Student’s behavioral incidents at home involved attacking the </w:t>
      </w:r>
      <w:r w:rsidR="00D21443">
        <w:rPr>
          <w:rFonts w:ascii="Aptos" w:hAnsi="Aptos"/>
          <w:sz w:val="25"/>
          <w:szCs w:val="25"/>
        </w:rPr>
        <w:t>family animals</w:t>
      </w:r>
      <w:r w:rsidR="0042173D">
        <w:rPr>
          <w:rFonts w:ascii="Aptos" w:hAnsi="Aptos"/>
          <w:sz w:val="25"/>
          <w:szCs w:val="25"/>
        </w:rPr>
        <w:t>,</w:t>
      </w:r>
      <w:r w:rsidR="00D21443">
        <w:rPr>
          <w:rFonts w:ascii="Aptos" w:hAnsi="Aptos"/>
          <w:sz w:val="25"/>
          <w:szCs w:val="25"/>
        </w:rPr>
        <w:t xml:space="preserve"> </w:t>
      </w:r>
      <w:r>
        <w:rPr>
          <w:rFonts w:ascii="Aptos" w:hAnsi="Aptos"/>
          <w:sz w:val="25"/>
          <w:szCs w:val="25"/>
        </w:rPr>
        <w:t xml:space="preserve">including putting </w:t>
      </w:r>
      <w:r w:rsidR="00D21443">
        <w:rPr>
          <w:rFonts w:ascii="Aptos" w:hAnsi="Aptos"/>
          <w:sz w:val="25"/>
          <w:szCs w:val="25"/>
        </w:rPr>
        <w:t>the cat</w:t>
      </w:r>
      <w:r>
        <w:rPr>
          <w:rFonts w:ascii="Aptos" w:hAnsi="Aptos"/>
          <w:sz w:val="25"/>
          <w:szCs w:val="25"/>
        </w:rPr>
        <w:t xml:space="preserve"> in a trash bag and trying to smother it, </w:t>
      </w:r>
      <w:r w:rsidR="00C21946">
        <w:rPr>
          <w:rFonts w:ascii="Aptos" w:hAnsi="Aptos"/>
          <w:sz w:val="25"/>
          <w:szCs w:val="25"/>
        </w:rPr>
        <w:t xml:space="preserve">throwing things at Parent and the cat, </w:t>
      </w:r>
      <w:r w:rsidR="00B13B0A">
        <w:rPr>
          <w:rFonts w:ascii="Aptos" w:hAnsi="Aptos"/>
          <w:sz w:val="25"/>
          <w:szCs w:val="25"/>
        </w:rPr>
        <w:t xml:space="preserve">and </w:t>
      </w:r>
      <w:r w:rsidR="00C21946">
        <w:rPr>
          <w:rFonts w:ascii="Aptos" w:hAnsi="Aptos"/>
          <w:sz w:val="25"/>
          <w:szCs w:val="25"/>
        </w:rPr>
        <w:t>putting a blanket over Parent’s head to try to strangle and smother he</w:t>
      </w:r>
      <w:r w:rsidR="00B13B0A">
        <w:rPr>
          <w:rFonts w:ascii="Aptos" w:hAnsi="Aptos"/>
          <w:sz w:val="25"/>
          <w:szCs w:val="25"/>
        </w:rPr>
        <w:t>r.</w:t>
      </w:r>
      <w:r w:rsidR="007B55C3">
        <w:rPr>
          <w:rFonts w:ascii="Aptos" w:hAnsi="Aptos"/>
          <w:sz w:val="25"/>
          <w:szCs w:val="25"/>
        </w:rPr>
        <w:t xml:space="preserve">  </w:t>
      </w:r>
      <w:r w:rsidR="002B27ED">
        <w:rPr>
          <w:rFonts w:ascii="Aptos" w:hAnsi="Aptos"/>
          <w:sz w:val="25"/>
          <w:szCs w:val="25"/>
        </w:rPr>
        <w:t xml:space="preserve">A DCF Social Worker was present for at least one of the situations.  </w:t>
      </w:r>
      <w:proofErr w:type="gramStart"/>
      <w:r w:rsidR="007B55C3">
        <w:rPr>
          <w:rFonts w:ascii="Aptos" w:hAnsi="Aptos"/>
          <w:sz w:val="25"/>
          <w:szCs w:val="25"/>
        </w:rPr>
        <w:t>Student was</w:t>
      </w:r>
      <w:proofErr w:type="gramEnd"/>
      <w:r w:rsidR="007B55C3">
        <w:rPr>
          <w:rFonts w:ascii="Aptos" w:hAnsi="Aptos"/>
          <w:sz w:val="25"/>
          <w:szCs w:val="25"/>
        </w:rPr>
        <w:t xml:space="preserve"> </w:t>
      </w:r>
      <w:r w:rsidR="00B51364">
        <w:rPr>
          <w:rFonts w:ascii="Aptos" w:hAnsi="Aptos"/>
          <w:sz w:val="25"/>
          <w:szCs w:val="25"/>
        </w:rPr>
        <w:t xml:space="preserve">also </w:t>
      </w:r>
      <w:r w:rsidR="007B55C3">
        <w:rPr>
          <w:rFonts w:ascii="Aptos" w:hAnsi="Aptos"/>
          <w:sz w:val="25"/>
          <w:szCs w:val="25"/>
        </w:rPr>
        <w:t>hospitalized at least once that month.</w:t>
      </w:r>
      <w:r w:rsidR="002B27ED">
        <w:rPr>
          <w:rFonts w:ascii="Aptos" w:hAnsi="Aptos"/>
          <w:sz w:val="25"/>
          <w:szCs w:val="25"/>
        </w:rPr>
        <w:t xml:space="preserve">  (</w:t>
      </w:r>
      <w:r w:rsidR="002B27ED">
        <w:rPr>
          <w:rFonts w:ascii="Aptos" w:hAnsi="Aptos"/>
          <w:i/>
          <w:iCs/>
          <w:sz w:val="25"/>
          <w:szCs w:val="25"/>
        </w:rPr>
        <w:t>Hearing Request</w:t>
      </w:r>
      <w:r w:rsidR="002B27ED">
        <w:rPr>
          <w:rFonts w:ascii="Aptos" w:hAnsi="Aptos"/>
          <w:sz w:val="25"/>
          <w:szCs w:val="25"/>
        </w:rPr>
        <w:t>).</w:t>
      </w:r>
    </w:p>
    <w:p w14:paraId="2C84218D" w14:textId="77777777" w:rsidR="002B27ED" w:rsidRPr="002B27ED" w:rsidRDefault="002B27ED" w:rsidP="002B27ED">
      <w:pPr>
        <w:pStyle w:val="ListParagraph"/>
        <w:rPr>
          <w:rFonts w:ascii="Aptos" w:hAnsi="Aptos"/>
          <w:sz w:val="25"/>
          <w:szCs w:val="25"/>
        </w:rPr>
      </w:pPr>
    </w:p>
    <w:p w14:paraId="7C0573C4" w14:textId="62EDEDAB" w:rsidR="00F53C90" w:rsidRDefault="00DB7894" w:rsidP="00F53C90">
      <w:pPr>
        <w:pStyle w:val="ListParagraph"/>
        <w:numPr>
          <w:ilvl w:val="0"/>
          <w:numId w:val="2"/>
        </w:numPr>
        <w:spacing w:after="0" w:line="240" w:lineRule="auto"/>
        <w:rPr>
          <w:rFonts w:ascii="Aptos" w:hAnsi="Aptos"/>
          <w:sz w:val="25"/>
          <w:szCs w:val="25"/>
        </w:rPr>
      </w:pPr>
      <w:r>
        <w:rPr>
          <w:rFonts w:ascii="Aptos" w:hAnsi="Aptos"/>
          <w:sz w:val="25"/>
          <w:szCs w:val="25"/>
        </w:rPr>
        <w:t xml:space="preserve">On </w:t>
      </w:r>
      <w:r w:rsidR="006F5A44">
        <w:rPr>
          <w:rFonts w:ascii="Aptos" w:hAnsi="Aptos"/>
          <w:sz w:val="25"/>
          <w:szCs w:val="25"/>
        </w:rPr>
        <w:t>February</w:t>
      </w:r>
      <w:r>
        <w:rPr>
          <w:rFonts w:ascii="Aptos" w:hAnsi="Aptos"/>
          <w:sz w:val="25"/>
          <w:szCs w:val="25"/>
        </w:rPr>
        <w:t xml:space="preserve"> 6, 2025</w:t>
      </w:r>
      <w:r w:rsidR="006F5A44">
        <w:rPr>
          <w:rFonts w:ascii="Aptos" w:hAnsi="Aptos"/>
          <w:sz w:val="25"/>
          <w:szCs w:val="25"/>
        </w:rPr>
        <w:t xml:space="preserve">, the </w:t>
      </w:r>
      <w:r w:rsidR="008D7D82">
        <w:rPr>
          <w:rFonts w:ascii="Aptos" w:hAnsi="Aptos"/>
          <w:sz w:val="25"/>
          <w:szCs w:val="25"/>
        </w:rPr>
        <w:t>p</w:t>
      </w:r>
      <w:r w:rsidR="006F5A44">
        <w:rPr>
          <w:rFonts w:ascii="Aptos" w:hAnsi="Aptos"/>
          <w:sz w:val="25"/>
          <w:szCs w:val="25"/>
        </w:rPr>
        <w:t>olice were</w:t>
      </w:r>
      <w:r w:rsidR="008D7D82">
        <w:rPr>
          <w:rFonts w:ascii="Aptos" w:hAnsi="Aptos"/>
          <w:sz w:val="25"/>
          <w:szCs w:val="25"/>
        </w:rPr>
        <w:t xml:space="preserve"> </w:t>
      </w:r>
      <w:r w:rsidR="006F5A44">
        <w:rPr>
          <w:rFonts w:ascii="Aptos" w:hAnsi="Aptos"/>
          <w:sz w:val="25"/>
          <w:szCs w:val="25"/>
        </w:rPr>
        <w:t xml:space="preserve">called to </w:t>
      </w:r>
      <w:r w:rsidR="00D371CE">
        <w:rPr>
          <w:rFonts w:ascii="Aptos" w:hAnsi="Aptos"/>
          <w:sz w:val="25"/>
          <w:szCs w:val="25"/>
        </w:rPr>
        <w:t xml:space="preserve">Student’s respite care </w:t>
      </w:r>
      <w:r w:rsidR="0042173D">
        <w:rPr>
          <w:rFonts w:ascii="Aptos" w:hAnsi="Aptos"/>
          <w:sz w:val="25"/>
          <w:szCs w:val="25"/>
        </w:rPr>
        <w:t xml:space="preserve">at </w:t>
      </w:r>
      <w:r w:rsidR="00D371CE">
        <w:rPr>
          <w:rFonts w:ascii="Aptos" w:hAnsi="Aptos"/>
          <w:sz w:val="25"/>
          <w:szCs w:val="25"/>
        </w:rPr>
        <w:t xml:space="preserve">Open Sky due to </w:t>
      </w:r>
      <w:r w:rsidR="0042173D">
        <w:rPr>
          <w:rFonts w:ascii="Aptos" w:hAnsi="Aptos"/>
          <w:sz w:val="25"/>
          <w:szCs w:val="25"/>
        </w:rPr>
        <w:t xml:space="preserve">his </w:t>
      </w:r>
      <w:r w:rsidR="004668FD">
        <w:rPr>
          <w:rFonts w:ascii="Aptos" w:hAnsi="Aptos"/>
          <w:sz w:val="25"/>
          <w:szCs w:val="25"/>
        </w:rPr>
        <w:t xml:space="preserve">interactions </w:t>
      </w:r>
      <w:r w:rsidR="00A50E4C">
        <w:rPr>
          <w:rFonts w:ascii="Aptos" w:hAnsi="Aptos"/>
          <w:sz w:val="25"/>
          <w:szCs w:val="25"/>
        </w:rPr>
        <w:t>with another youth</w:t>
      </w:r>
      <w:r w:rsidR="004668FD">
        <w:rPr>
          <w:rFonts w:ascii="Aptos" w:hAnsi="Aptos"/>
          <w:sz w:val="25"/>
          <w:szCs w:val="25"/>
        </w:rPr>
        <w:t xml:space="preserve">.  </w:t>
      </w:r>
      <w:proofErr w:type="gramStart"/>
      <w:r w:rsidR="004668FD">
        <w:rPr>
          <w:rFonts w:ascii="Aptos" w:hAnsi="Aptos"/>
          <w:sz w:val="25"/>
          <w:szCs w:val="25"/>
        </w:rPr>
        <w:t>Student</w:t>
      </w:r>
      <w:proofErr w:type="gramEnd"/>
      <w:r w:rsidR="004668FD">
        <w:rPr>
          <w:rFonts w:ascii="Aptos" w:hAnsi="Aptos"/>
          <w:sz w:val="25"/>
          <w:szCs w:val="25"/>
        </w:rPr>
        <w:t xml:space="preserve"> </w:t>
      </w:r>
      <w:r w:rsidR="00A50E4C">
        <w:rPr>
          <w:rFonts w:ascii="Aptos" w:hAnsi="Aptos"/>
          <w:sz w:val="25"/>
          <w:szCs w:val="25"/>
        </w:rPr>
        <w:t>had been punching holes in the walls and ha</w:t>
      </w:r>
      <w:r w:rsidR="004668FD">
        <w:rPr>
          <w:rFonts w:ascii="Aptos" w:hAnsi="Aptos"/>
          <w:sz w:val="25"/>
          <w:szCs w:val="25"/>
        </w:rPr>
        <w:t xml:space="preserve">d to be restrained for </w:t>
      </w:r>
      <w:r w:rsidR="002662BE">
        <w:rPr>
          <w:rFonts w:ascii="Aptos" w:hAnsi="Aptos"/>
          <w:sz w:val="25"/>
          <w:szCs w:val="25"/>
        </w:rPr>
        <w:t xml:space="preserve">5 minutes that day.  The police were able to de-escalate the situation </w:t>
      </w:r>
      <w:r w:rsidR="0042173D">
        <w:rPr>
          <w:rFonts w:ascii="Aptos" w:hAnsi="Aptos"/>
          <w:sz w:val="25"/>
          <w:szCs w:val="25"/>
        </w:rPr>
        <w:t xml:space="preserve">preventing </w:t>
      </w:r>
      <w:r w:rsidR="002662BE">
        <w:rPr>
          <w:rFonts w:ascii="Aptos" w:hAnsi="Aptos"/>
          <w:sz w:val="25"/>
          <w:szCs w:val="25"/>
        </w:rPr>
        <w:t>Student from having to be hospitalized.  (</w:t>
      </w:r>
      <w:r w:rsidR="002662BE">
        <w:rPr>
          <w:rFonts w:ascii="Aptos" w:hAnsi="Aptos"/>
          <w:i/>
          <w:iCs/>
          <w:sz w:val="25"/>
          <w:szCs w:val="25"/>
        </w:rPr>
        <w:t>Hearing Request</w:t>
      </w:r>
      <w:r w:rsidR="002662BE">
        <w:rPr>
          <w:rFonts w:ascii="Aptos" w:hAnsi="Aptos"/>
          <w:sz w:val="25"/>
          <w:szCs w:val="25"/>
        </w:rPr>
        <w:t>).</w:t>
      </w:r>
    </w:p>
    <w:p w14:paraId="783728CD" w14:textId="77777777" w:rsidR="00F53C90" w:rsidRPr="00F53C90" w:rsidRDefault="00F53C90" w:rsidP="00F53C90">
      <w:pPr>
        <w:pStyle w:val="ListParagraph"/>
        <w:rPr>
          <w:rFonts w:ascii="Aptos" w:hAnsi="Aptos"/>
          <w:sz w:val="25"/>
          <w:szCs w:val="25"/>
        </w:rPr>
      </w:pPr>
    </w:p>
    <w:p w14:paraId="27DCF2D0" w14:textId="00816B97" w:rsidR="008D7D82" w:rsidRPr="00F53C90" w:rsidRDefault="00DB7894" w:rsidP="00F53C90">
      <w:pPr>
        <w:pStyle w:val="ListParagraph"/>
        <w:numPr>
          <w:ilvl w:val="0"/>
          <w:numId w:val="2"/>
        </w:numPr>
        <w:spacing w:after="0" w:line="240" w:lineRule="auto"/>
        <w:rPr>
          <w:rFonts w:ascii="Aptos" w:hAnsi="Aptos"/>
          <w:sz w:val="25"/>
          <w:szCs w:val="25"/>
        </w:rPr>
      </w:pPr>
      <w:r w:rsidRPr="00F53C90">
        <w:rPr>
          <w:rFonts w:ascii="Aptos" w:hAnsi="Aptos"/>
          <w:sz w:val="25"/>
          <w:szCs w:val="25"/>
        </w:rPr>
        <w:t xml:space="preserve">On February 10, 2025, Parent filed this </w:t>
      </w:r>
      <w:r w:rsidRPr="00F53C90">
        <w:rPr>
          <w:rFonts w:ascii="Aptos" w:hAnsi="Aptos"/>
          <w:i/>
          <w:iCs/>
          <w:sz w:val="25"/>
          <w:szCs w:val="25"/>
        </w:rPr>
        <w:t>Hearing Request</w:t>
      </w:r>
      <w:r w:rsidRPr="00F53C90">
        <w:rPr>
          <w:rFonts w:ascii="Aptos" w:hAnsi="Aptos"/>
          <w:sz w:val="25"/>
          <w:szCs w:val="25"/>
        </w:rPr>
        <w:t xml:space="preserve"> against the District, DCF and DMH</w:t>
      </w:r>
      <w:r w:rsidR="0042173D">
        <w:rPr>
          <w:rFonts w:ascii="Aptos" w:hAnsi="Aptos"/>
          <w:sz w:val="25"/>
          <w:szCs w:val="25"/>
        </w:rPr>
        <w:t>,</w:t>
      </w:r>
      <w:r w:rsidR="00AF1912" w:rsidRPr="00F53C90">
        <w:rPr>
          <w:rFonts w:ascii="Aptos" w:hAnsi="Aptos"/>
          <w:sz w:val="25"/>
          <w:szCs w:val="25"/>
        </w:rPr>
        <w:t xml:space="preserve"> seeking to have one or more of these parties fund a residential placement for Student</w:t>
      </w:r>
      <w:r w:rsidR="00601028" w:rsidRPr="00F53C90">
        <w:rPr>
          <w:rFonts w:ascii="Aptos" w:hAnsi="Aptos"/>
          <w:sz w:val="25"/>
          <w:szCs w:val="25"/>
        </w:rPr>
        <w:t xml:space="preserve">, </w:t>
      </w:r>
      <w:r w:rsidR="0042173D">
        <w:rPr>
          <w:rFonts w:ascii="Aptos" w:hAnsi="Aptos"/>
          <w:sz w:val="25"/>
          <w:szCs w:val="25"/>
        </w:rPr>
        <w:t xml:space="preserve">a placement </w:t>
      </w:r>
      <w:r w:rsidR="00601028" w:rsidRPr="00F53C90">
        <w:rPr>
          <w:rFonts w:ascii="Aptos" w:hAnsi="Aptos"/>
          <w:sz w:val="25"/>
          <w:szCs w:val="25"/>
        </w:rPr>
        <w:t>that Parent contends is necessary at this time</w:t>
      </w:r>
      <w:r w:rsidR="009A1B43" w:rsidRPr="00F53C90">
        <w:rPr>
          <w:rFonts w:ascii="Aptos" w:hAnsi="Aptos"/>
          <w:sz w:val="25"/>
          <w:szCs w:val="25"/>
        </w:rPr>
        <w:t xml:space="preserve"> due to “the necessity of frequent hospitalizations render[</w:t>
      </w:r>
      <w:proofErr w:type="spellStart"/>
      <w:r w:rsidR="009A1B43" w:rsidRPr="00F53C90">
        <w:rPr>
          <w:rFonts w:ascii="Aptos" w:hAnsi="Aptos"/>
          <w:sz w:val="25"/>
          <w:szCs w:val="25"/>
        </w:rPr>
        <w:t>ing</w:t>
      </w:r>
      <w:proofErr w:type="spellEnd"/>
      <w:r w:rsidR="009A1B43" w:rsidRPr="00F53C90">
        <w:rPr>
          <w:rFonts w:ascii="Aptos" w:hAnsi="Aptos"/>
          <w:sz w:val="25"/>
          <w:szCs w:val="25"/>
        </w:rPr>
        <w:t>] his access to education simply untenable at any day program … [</w:t>
      </w:r>
      <w:r w:rsidR="00C31BF0">
        <w:rPr>
          <w:rFonts w:ascii="Aptos" w:hAnsi="Aptos"/>
          <w:sz w:val="25"/>
          <w:szCs w:val="25"/>
        </w:rPr>
        <w:t xml:space="preserve">and </w:t>
      </w:r>
      <w:r w:rsidR="009A1B43" w:rsidRPr="00F53C90">
        <w:rPr>
          <w:rFonts w:ascii="Aptos" w:hAnsi="Aptos"/>
          <w:sz w:val="25"/>
          <w:szCs w:val="25"/>
        </w:rPr>
        <w:t xml:space="preserve">his] worsening aggressive and impulsive behaviors </w:t>
      </w:r>
      <w:r w:rsidR="00971EE9" w:rsidRPr="00F53C90">
        <w:rPr>
          <w:rFonts w:ascii="Aptos" w:hAnsi="Aptos"/>
          <w:sz w:val="25"/>
          <w:szCs w:val="25"/>
        </w:rPr>
        <w:t>[creating] a situation where his and his mother’s safety are at significant risk …”.</w:t>
      </w:r>
      <w:r w:rsidR="0038599A" w:rsidRPr="00F53C90">
        <w:rPr>
          <w:rFonts w:ascii="Aptos" w:hAnsi="Aptos"/>
          <w:sz w:val="25"/>
          <w:szCs w:val="25"/>
        </w:rPr>
        <w:t xml:space="preserve">  </w:t>
      </w:r>
      <w:proofErr w:type="gramStart"/>
      <w:r w:rsidR="0038599A" w:rsidRPr="00F53C90">
        <w:rPr>
          <w:rFonts w:ascii="Aptos" w:hAnsi="Aptos"/>
          <w:sz w:val="25"/>
          <w:szCs w:val="25"/>
        </w:rPr>
        <w:t xml:space="preserve">Parent also </w:t>
      </w:r>
      <w:r w:rsidR="00745216" w:rsidRPr="00F53C90">
        <w:rPr>
          <w:rFonts w:ascii="Aptos" w:hAnsi="Aptos"/>
          <w:sz w:val="25"/>
          <w:szCs w:val="25"/>
        </w:rPr>
        <w:t>requests</w:t>
      </w:r>
      <w:proofErr w:type="gramEnd"/>
      <w:r w:rsidR="00745216" w:rsidRPr="00F53C90">
        <w:rPr>
          <w:rFonts w:ascii="Aptos" w:hAnsi="Aptos"/>
          <w:sz w:val="25"/>
          <w:szCs w:val="25"/>
        </w:rPr>
        <w:t xml:space="preserve"> </w:t>
      </w:r>
      <w:proofErr w:type="gramStart"/>
      <w:r w:rsidR="00745216" w:rsidRPr="00F53C90">
        <w:rPr>
          <w:rFonts w:ascii="Aptos" w:hAnsi="Aptos"/>
          <w:sz w:val="25"/>
          <w:szCs w:val="25"/>
        </w:rPr>
        <w:t>any and all</w:t>
      </w:r>
      <w:proofErr w:type="gramEnd"/>
      <w:r w:rsidR="00745216" w:rsidRPr="00F53C90">
        <w:rPr>
          <w:rFonts w:ascii="Aptos" w:hAnsi="Aptos"/>
          <w:sz w:val="25"/>
          <w:szCs w:val="25"/>
        </w:rPr>
        <w:t xml:space="preserve"> other remedies deemed appropriate under federal and state special education and </w:t>
      </w:r>
      <w:r w:rsidR="002A0604" w:rsidRPr="00F53C90">
        <w:rPr>
          <w:rFonts w:ascii="Aptos" w:hAnsi="Aptos"/>
          <w:sz w:val="25"/>
          <w:szCs w:val="25"/>
        </w:rPr>
        <w:t>disability laws or that the Hearing Officer deems just and necessary.  (</w:t>
      </w:r>
      <w:r w:rsidR="002A0604" w:rsidRPr="00F53C90">
        <w:rPr>
          <w:rFonts w:ascii="Aptos" w:hAnsi="Aptos"/>
          <w:i/>
          <w:iCs/>
          <w:sz w:val="25"/>
          <w:szCs w:val="25"/>
        </w:rPr>
        <w:t>Hearing Request</w:t>
      </w:r>
      <w:r w:rsidR="002A0604" w:rsidRPr="00F53C90">
        <w:rPr>
          <w:rFonts w:ascii="Aptos" w:hAnsi="Aptos"/>
          <w:sz w:val="25"/>
          <w:szCs w:val="25"/>
        </w:rPr>
        <w:t>).</w:t>
      </w:r>
    </w:p>
    <w:p w14:paraId="2EF40508" w14:textId="77777777" w:rsidR="00B7329C" w:rsidRDefault="00B7329C" w:rsidP="00B7329C">
      <w:pPr>
        <w:spacing w:after="0" w:line="240" w:lineRule="auto"/>
        <w:rPr>
          <w:rFonts w:ascii="Aptos" w:hAnsi="Aptos"/>
          <w:sz w:val="25"/>
          <w:szCs w:val="25"/>
        </w:rPr>
      </w:pPr>
    </w:p>
    <w:p w14:paraId="03F1B1CA" w14:textId="76D19E83" w:rsidR="009A6BEA" w:rsidRPr="009A6BEA" w:rsidRDefault="009A6BEA" w:rsidP="009A6BEA">
      <w:pPr>
        <w:spacing w:after="0" w:line="240" w:lineRule="auto"/>
        <w:rPr>
          <w:rFonts w:ascii="Aptos" w:hAnsi="Aptos" w:cs="Times New Roman"/>
          <w:b/>
          <w:bCs/>
          <w:sz w:val="25"/>
          <w:szCs w:val="25"/>
        </w:rPr>
      </w:pPr>
      <w:r w:rsidRPr="009A6BEA">
        <w:rPr>
          <w:rFonts w:ascii="Aptos" w:hAnsi="Aptos" w:cs="Times New Roman"/>
          <w:b/>
          <w:bCs/>
          <w:sz w:val="25"/>
          <w:szCs w:val="25"/>
        </w:rPr>
        <w:lastRenderedPageBreak/>
        <w:t>POSITION OF THE PARTIES</w:t>
      </w:r>
    </w:p>
    <w:p w14:paraId="6A3E397F" w14:textId="77777777" w:rsidR="009A6BEA" w:rsidRPr="009A6BEA" w:rsidRDefault="009A6BEA" w:rsidP="009A6BEA">
      <w:pPr>
        <w:spacing w:after="0" w:line="240" w:lineRule="auto"/>
        <w:rPr>
          <w:rFonts w:ascii="Aptos" w:hAnsi="Aptos" w:cs="Times New Roman"/>
          <w:b/>
          <w:bCs/>
          <w:sz w:val="25"/>
          <w:szCs w:val="25"/>
        </w:rPr>
      </w:pPr>
    </w:p>
    <w:p w14:paraId="1580AEF0" w14:textId="1B0F4100" w:rsidR="009A6BEA" w:rsidRDefault="00312E8A" w:rsidP="009A6BEA">
      <w:pPr>
        <w:spacing w:after="0" w:line="240" w:lineRule="auto"/>
        <w:rPr>
          <w:rFonts w:ascii="Aptos" w:hAnsi="Aptos" w:cs="Times New Roman"/>
          <w:sz w:val="25"/>
          <w:szCs w:val="25"/>
        </w:rPr>
      </w:pPr>
      <w:r>
        <w:rPr>
          <w:rFonts w:ascii="Aptos" w:hAnsi="Aptos" w:cs="Times New Roman"/>
          <w:sz w:val="25"/>
          <w:szCs w:val="25"/>
        </w:rPr>
        <w:t xml:space="preserve">Both DCF and DMH </w:t>
      </w:r>
      <w:r w:rsidR="007560A0">
        <w:rPr>
          <w:rFonts w:ascii="Aptos" w:hAnsi="Aptos" w:cs="Times New Roman"/>
          <w:sz w:val="25"/>
          <w:szCs w:val="25"/>
        </w:rPr>
        <w:t xml:space="preserve">argue that their respective rules, regulations and policies do not allow the relief Parent seeks in this matter –a residential </w:t>
      </w:r>
      <w:r w:rsidR="00D670C0">
        <w:rPr>
          <w:rFonts w:ascii="Aptos" w:hAnsi="Aptos" w:cs="Times New Roman"/>
          <w:sz w:val="25"/>
          <w:szCs w:val="25"/>
        </w:rPr>
        <w:t xml:space="preserve">placement for Student.  While DCF currently (and at multiple points throughout Student’s life) has an open clinical case </w:t>
      </w:r>
      <w:r w:rsidR="001412E9">
        <w:rPr>
          <w:rFonts w:ascii="Aptos" w:hAnsi="Aptos" w:cs="Times New Roman"/>
          <w:sz w:val="25"/>
          <w:szCs w:val="25"/>
        </w:rPr>
        <w:t xml:space="preserve">for </w:t>
      </w:r>
      <w:r w:rsidR="00EC20E1">
        <w:rPr>
          <w:rFonts w:ascii="Aptos" w:hAnsi="Aptos" w:cs="Times New Roman"/>
          <w:sz w:val="25"/>
          <w:szCs w:val="25"/>
        </w:rPr>
        <w:t>him</w:t>
      </w:r>
      <w:r w:rsidR="00F30DE6">
        <w:rPr>
          <w:rFonts w:ascii="Aptos" w:hAnsi="Aptos" w:cs="Times New Roman"/>
          <w:sz w:val="25"/>
          <w:szCs w:val="25"/>
        </w:rPr>
        <w:t>,</w:t>
      </w:r>
      <w:r w:rsidR="001412E9">
        <w:rPr>
          <w:rFonts w:ascii="Aptos" w:hAnsi="Aptos" w:cs="Times New Roman"/>
          <w:sz w:val="25"/>
          <w:szCs w:val="25"/>
        </w:rPr>
        <w:t xml:space="preserve"> it contends that</w:t>
      </w:r>
      <w:r w:rsidR="00FB4653">
        <w:rPr>
          <w:rFonts w:ascii="Aptos" w:hAnsi="Aptos" w:cs="Times New Roman"/>
          <w:sz w:val="25"/>
          <w:szCs w:val="25"/>
        </w:rPr>
        <w:t xml:space="preserve"> it</w:t>
      </w:r>
      <w:r w:rsidR="00EF7351">
        <w:rPr>
          <w:rFonts w:ascii="Aptos" w:hAnsi="Aptos" w:cs="Times New Roman"/>
          <w:sz w:val="25"/>
          <w:szCs w:val="25"/>
        </w:rPr>
        <w:t>s</w:t>
      </w:r>
      <w:r w:rsidR="008D581A">
        <w:rPr>
          <w:rFonts w:ascii="Aptos" w:hAnsi="Aptos" w:cs="Times New Roman"/>
          <w:sz w:val="25"/>
          <w:szCs w:val="25"/>
        </w:rPr>
        <w:t>’</w:t>
      </w:r>
      <w:r w:rsidR="00EF7351">
        <w:rPr>
          <w:rFonts w:ascii="Aptos" w:hAnsi="Aptos" w:cs="Times New Roman"/>
          <w:sz w:val="25"/>
          <w:szCs w:val="25"/>
        </w:rPr>
        <w:t xml:space="preserve"> inclusion as a Party in this matter</w:t>
      </w:r>
      <w:r w:rsidR="00FB4653">
        <w:rPr>
          <w:rFonts w:ascii="Aptos" w:hAnsi="Aptos" w:cs="Times New Roman"/>
          <w:sz w:val="25"/>
          <w:szCs w:val="25"/>
        </w:rPr>
        <w:t xml:space="preserve"> is premature</w:t>
      </w:r>
      <w:r w:rsidR="00EF7351">
        <w:rPr>
          <w:rFonts w:ascii="Aptos" w:hAnsi="Aptos" w:cs="Times New Roman"/>
          <w:sz w:val="25"/>
          <w:szCs w:val="25"/>
        </w:rPr>
        <w:t xml:space="preserve"> as </w:t>
      </w:r>
      <w:r w:rsidR="001412E9">
        <w:rPr>
          <w:rFonts w:ascii="Aptos" w:hAnsi="Aptos" w:cs="Times New Roman"/>
          <w:sz w:val="25"/>
          <w:szCs w:val="25"/>
        </w:rPr>
        <w:t xml:space="preserve">Student is not in </w:t>
      </w:r>
      <w:r w:rsidR="00FB4653">
        <w:rPr>
          <w:rFonts w:ascii="Aptos" w:hAnsi="Aptos" w:cs="Times New Roman"/>
          <w:sz w:val="25"/>
          <w:szCs w:val="25"/>
        </w:rPr>
        <w:t xml:space="preserve">DCF’s </w:t>
      </w:r>
      <w:r w:rsidR="00EF7351">
        <w:rPr>
          <w:rFonts w:ascii="Aptos" w:hAnsi="Aptos" w:cs="Times New Roman"/>
          <w:sz w:val="25"/>
          <w:szCs w:val="25"/>
        </w:rPr>
        <w:t>“</w:t>
      </w:r>
      <w:r w:rsidR="001412E9">
        <w:rPr>
          <w:rFonts w:ascii="Aptos" w:hAnsi="Aptos" w:cs="Times New Roman"/>
          <w:sz w:val="25"/>
          <w:szCs w:val="25"/>
        </w:rPr>
        <w:t>care or custody</w:t>
      </w:r>
      <w:r w:rsidR="00EF7351">
        <w:rPr>
          <w:rFonts w:ascii="Aptos" w:hAnsi="Aptos" w:cs="Times New Roman"/>
          <w:sz w:val="25"/>
          <w:szCs w:val="25"/>
        </w:rPr>
        <w:t>”</w:t>
      </w:r>
      <w:r w:rsidR="0088110C">
        <w:rPr>
          <w:rFonts w:ascii="Aptos" w:hAnsi="Aptos" w:cs="Times New Roman"/>
          <w:sz w:val="25"/>
          <w:szCs w:val="25"/>
        </w:rPr>
        <w:t xml:space="preserve">.  </w:t>
      </w:r>
      <w:r w:rsidR="00FB4653">
        <w:rPr>
          <w:rFonts w:ascii="Aptos" w:hAnsi="Aptos" w:cs="Times New Roman"/>
          <w:sz w:val="25"/>
          <w:szCs w:val="25"/>
        </w:rPr>
        <w:t>DCF</w:t>
      </w:r>
      <w:r w:rsidR="008856B6">
        <w:rPr>
          <w:rFonts w:ascii="Aptos" w:hAnsi="Aptos" w:cs="Times New Roman"/>
          <w:sz w:val="25"/>
          <w:szCs w:val="25"/>
        </w:rPr>
        <w:t xml:space="preserve"> claims it</w:t>
      </w:r>
      <w:r w:rsidR="00FB4653">
        <w:rPr>
          <w:rFonts w:ascii="Aptos" w:hAnsi="Aptos" w:cs="Times New Roman"/>
          <w:sz w:val="25"/>
          <w:szCs w:val="25"/>
        </w:rPr>
        <w:t xml:space="preserve"> </w:t>
      </w:r>
      <w:r w:rsidR="001412E9">
        <w:rPr>
          <w:rFonts w:ascii="Aptos" w:hAnsi="Aptos" w:cs="Times New Roman"/>
          <w:sz w:val="25"/>
          <w:szCs w:val="25"/>
        </w:rPr>
        <w:t>cannot be required</w:t>
      </w:r>
      <w:r w:rsidR="00BC5C6C">
        <w:rPr>
          <w:rFonts w:ascii="Aptos" w:hAnsi="Aptos" w:cs="Times New Roman"/>
          <w:sz w:val="25"/>
          <w:szCs w:val="25"/>
        </w:rPr>
        <w:t>,</w:t>
      </w:r>
      <w:r w:rsidR="001412E9">
        <w:rPr>
          <w:rFonts w:ascii="Aptos" w:hAnsi="Aptos" w:cs="Times New Roman"/>
          <w:sz w:val="25"/>
          <w:szCs w:val="25"/>
        </w:rPr>
        <w:t xml:space="preserve"> under its regulations</w:t>
      </w:r>
      <w:r w:rsidR="00BC5C6C">
        <w:rPr>
          <w:rFonts w:ascii="Aptos" w:hAnsi="Aptos" w:cs="Times New Roman"/>
          <w:sz w:val="25"/>
          <w:szCs w:val="25"/>
        </w:rPr>
        <w:t>,</w:t>
      </w:r>
      <w:r w:rsidR="001412E9">
        <w:rPr>
          <w:rFonts w:ascii="Aptos" w:hAnsi="Aptos" w:cs="Times New Roman"/>
          <w:sz w:val="25"/>
          <w:szCs w:val="25"/>
        </w:rPr>
        <w:t xml:space="preserve"> to fund a residential placement for </w:t>
      </w:r>
      <w:r w:rsidR="00333B98">
        <w:rPr>
          <w:rFonts w:ascii="Aptos" w:hAnsi="Aptos" w:cs="Times New Roman"/>
          <w:sz w:val="25"/>
          <w:szCs w:val="25"/>
        </w:rPr>
        <w:t>students not in its “care or custody”</w:t>
      </w:r>
      <w:r w:rsidR="001412E9">
        <w:rPr>
          <w:rFonts w:ascii="Aptos" w:hAnsi="Aptos" w:cs="Times New Roman"/>
          <w:sz w:val="25"/>
          <w:szCs w:val="25"/>
        </w:rPr>
        <w:t xml:space="preserve">.  </w:t>
      </w:r>
      <w:r w:rsidR="006408E0">
        <w:rPr>
          <w:rFonts w:ascii="Aptos" w:hAnsi="Aptos" w:cs="Times New Roman"/>
          <w:sz w:val="25"/>
          <w:szCs w:val="25"/>
        </w:rPr>
        <w:t xml:space="preserve">Similarly, DMH </w:t>
      </w:r>
      <w:r w:rsidR="000D055A">
        <w:rPr>
          <w:rFonts w:ascii="Aptos" w:hAnsi="Aptos" w:cs="Times New Roman"/>
          <w:sz w:val="25"/>
          <w:szCs w:val="25"/>
        </w:rPr>
        <w:t>submits that despite Student’s ongoing eligibility for DMH services</w:t>
      </w:r>
      <w:r w:rsidR="00CA0BB1">
        <w:rPr>
          <w:rFonts w:ascii="Aptos" w:hAnsi="Aptos" w:cs="Times New Roman"/>
          <w:sz w:val="25"/>
          <w:szCs w:val="25"/>
        </w:rPr>
        <w:t xml:space="preserve">, including </w:t>
      </w:r>
      <w:r w:rsidR="00DC6CB1">
        <w:rPr>
          <w:rFonts w:ascii="Aptos" w:hAnsi="Aptos" w:cs="Times New Roman"/>
          <w:sz w:val="25"/>
          <w:szCs w:val="25"/>
        </w:rPr>
        <w:t xml:space="preserve">its provision of respite </w:t>
      </w:r>
      <w:r w:rsidR="00CA0BB1">
        <w:rPr>
          <w:rFonts w:ascii="Aptos" w:hAnsi="Aptos" w:cs="Times New Roman"/>
          <w:sz w:val="25"/>
          <w:szCs w:val="25"/>
        </w:rPr>
        <w:t xml:space="preserve">services at a higher frequency than is typical, </w:t>
      </w:r>
      <w:r w:rsidR="005652D5">
        <w:rPr>
          <w:rFonts w:ascii="Aptos" w:hAnsi="Aptos" w:cs="Times New Roman"/>
          <w:sz w:val="25"/>
          <w:szCs w:val="25"/>
        </w:rPr>
        <w:t>the BSEA has no authority to require DMH to “cost-share a private residential school placement in any case including the current matter”.  Relying on its CYF Residential Intervention Policy</w:t>
      </w:r>
      <w:r w:rsidR="00E63352">
        <w:rPr>
          <w:rFonts w:ascii="Aptos" w:hAnsi="Aptos" w:cs="Times New Roman"/>
          <w:sz w:val="25"/>
          <w:szCs w:val="25"/>
        </w:rPr>
        <w:t>, DMH seeks dismissal as Parent ha</w:t>
      </w:r>
      <w:r w:rsidR="00EC20E1">
        <w:rPr>
          <w:rFonts w:ascii="Aptos" w:hAnsi="Aptos" w:cs="Times New Roman"/>
          <w:sz w:val="25"/>
          <w:szCs w:val="25"/>
        </w:rPr>
        <w:t>s</w:t>
      </w:r>
      <w:r w:rsidR="00E63352">
        <w:rPr>
          <w:rFonts w:ascii="Aptos" w:hAnsi="Aptos" w:cs="Times New Roman"/>
          <w:sz w:val="25"/>
          <w:szCs w:val="25"/>
        </w:rPr>
        <w:t xml:space="preserve"> failed to state a claim upon which relief can be granted by DMH</w:t>
      </w:r>
      <w:r w:rsidR="00061628">
        <w:rPr>
          <w:rFonts w:ascii="Aptos" w:hAnsi="Aptos" w:cs="Times New Roman"/>
          <w:sz w:val="25"/>
          <w:szCs w:val="25"/>
        </w:rPr>
        <w:t xml:space="preserve">, </w:t>
      </w:r>
      <w:r w:rsidR="00EA2AB3">
        <w:rPr>
          <w:rFonts w:ascii="Aptos" w:hAnsi="Aptos" w:cs="Times New Roman"/>
          <w:sz w:val="25"/>
          <w:szCs w:val="25"/>
        </w:rPr>
        <w:t>since</w:t>
      </w:r>
      <w:r w:rsidR="00061628">
        <w:rPr>
          <w:rFonts w:ascii="Aptos" w:hAnsi="Aptos" w:cs="Times New Roman"/>
          <w:sz w:val="25"/>
          <w:szCs w:val="25"/>
        </w:rPr>
        <w:t xml:space="preserve"> the </w:t>
      </w:r>
      <w:r w:rsidR="00895DDE">
        <w:rPr>
          <w:rFonts w:ascii="Aptos" w:hAnsi="Aptos" w:cs="Times New Roman"/>
          <w:sz w:val="25"/>
          <w:szCs w:val="25"/>
        </w:rPr>
        <w:t xml:space="preserve">issue in this matter involves whether Student requires </w:t>
      </w:r>
      <w:r w:rsidR="00061628">
        <w:rPr>
          <w:rFonts w:ascii="Aptos" w:hAnsi="Aptos" w:cs="Times New Roman"/>
          <w:sz w:val="25"/>
          <w:szCs w:val="25"/>
        </w:rPr>
        <w:t xml:space="preserve">a residential </w:t>
      </w:r>
      <w:r w:rsidR="00895DDE">
        <w:rPr>
          <w:rFonts w:ascii="Aptos" w:hAnsi="Aptos" w:cs="Times New Roman"/>
          <w:sz w:val="25"/>
          <w:szCs w:val="25"/>
        </w:rPr>
        <w:t xml:space="preserve">educational </w:t>
      </w:r>
      <w:r w:rsidR="007D3E69">
        <w:rPr>
          <w:rFonts w:ascii="Aptos" w:hAnsi="Aptos" w:cs="Times New Roman"/>
          <w:sz w:val="25"/>
          <w:szCs w:val="25"/>
        </w:rPr>
        <w:t xml:space="preserve">placement </w:t>
      </w:r>
      <w:r w:rsidR="00895DDE">
        <w:rPr>
          <w:rFonts w:ascii="Aptos" w:hAnsi="Aptos" w:cs="Times New Roman"/>
          <w:sz w:val="25"/>
          <w:szCs w:val="25"/>
        </w:rPr>
        <w:t>to receive a FAPE</w:t>
      </w:r>
      <w:r w:rsidR="007D3E69">
        <w:rPr>
          <w:rFonts w:ascii="Aptos" w:hAnsi="Aptos" w:cs="Times New Roman"/>
          <w:sz w:val="25"/>
          <w:szCs w:val="25"/>
        </w:rPr>
        <w:t xml:space="preserve">.  </w:t>
      </w:r>
      <w:r w:rsidR="00E63352">
        <w:rPr>
          <w:rFonts w:ascii="Aptos" w:hAnsi="Aptos" w:cs="Times New Roman"/>
          <w:sz w:val="25"/>
          <w:szCs w:val="25"/>
        </w:rPr>
        <w:t xml:space="preserve">  </w:t>
      </w:r>
    </w:p>
    <w:p w14:paraId="08AC5303" w14:textId="67FA153D" w:rsidR="00EA2AB3" w:rsidRDefault="00EA2AB3" w:rsidP="009A6BEA">
      <w:pPr>
        <w:spacing w:after="0" w:line="240" w:lineRule="auto"/>
        <w:rPr>
          <w:rFonts w:ascii="Aptos" w:hAnsi="Aptos" w:cs="Times New Roman"/>
          <w:sz w:val="25"/>
          <w:szCs w:val="25"/>
        </w:rPr>
      </w:pPr>
    </w:p>
    <w:p w14:paraId="54EC361E" w14:textId="71A0CFD4" w:rsidR="00475EE2" w:rsidRDefault="00EA2AB3" w:rsidP="009A6BEA">
      <w:pPr>
        <w:spacing w:after="0" w:line="240" w:lineRule="auto"/>
        <w:rPr>
          <w:rFonts w:ascii="Aptos" w:hAnsi="Aptos" w:cs="Times New Roman"/>
          <w:sz w:val="25"/>
          <w:szCs w:val="25"/>
        </w:rPr>
      </w:pPr>
      <w:r>
        <w:rPr>
          <w:rFonts w:ascii="Aptos" w:hAnsi="Aptos" w:cs="Times New Roman"/>
          <w:sz w:val="25"/>
          <w:szCs w:val="25"/>
        </w:rPr>
        <w:t xml:space="preserve">The </w:t>
      </w:r>
      <w:proofErr w:type="gramStart"/>
      <w:r>
        <w:rPr>
          <w:rFonts w:ascii="Aptos" w:hAnsi="Aptos" w:cs="Times New Roman"/>
          <w:sz w:val="25"/>
          <w:szCs w:val="25"/>
        </w:rPr>
        <w:t>District</w:t>
      </w:r>
      <w:proofErr w:type="gramEnd"/>
      <w:r>
        <w:rPr>
          <w:rFonts w:ascii="Aptos" w:hAnsi="Aptos" w:cs="Times New Roman"/>
          <w:sz w:val="25"/>
          <w:szCs w:val="25"/>
        </w:rPr>
        <w:t xml:space="preserve"> seeks dismissal </w:t>
      </w:r>
      <w:r w:rsidR="006E5AA7">
        <w:rPr>
          <w:rFonts w:ascii="Aptos" w:hAnsi="Aptos" w:cs="Times New Roman"/>
          <w:sz w:val="25"/>
          <w:szCs w:val="25"/>
        </w:rPr>
        <w:t xml:space="preserve">of the entire matter </w:t>
      </w:r>
      <w:r>
        <w:rPr>
          <w:rFonts w:ascii="Aptos" w:hAnsi="Aptos" w:cs="Times New Roman"/>
          <w:sz w:val="25"/>
          <w:szCs w:val="25"/>
        </w:rPr>
        <w:t xml:space="preserve">based upon the terms of the </w:t>
      </w:r>
      <w:r>
        <w:rPr>
          <w:rFonts w:ascii="Aptos" w:hAnsi="Aptos" w:cs="Times New Roman"/>
          <w:i/>
          <w:iCs/>
          <w:sz w:val="25"/>
          <w:szCs w:val="25"/>
        </w:rPr>
        <w:t>Settlement Agreement</w:t>
      </w:r>
      <w:r>
        <w:rPr>
          <w:rFonts w:ascii="Aptos" w:hAnsi="Aptos" w:cs="Times New Roman"/>
          <w:sz w:val="25"/>
          <w:szCs w:val="25"/>
        </w:rPr>
        <w:t xml:space="preserve"> that </w:t>
      </w:r>
      <w:r w:rsidR="008E0873">
        <w:rPr>
          <w:rFonts w:ascii="Aptos" w:hAnsi="Aptos" w:cs="Times New Roman"/>
          <w:sz w:val="25"/>
          <w:szCs w:val="25"/>
        </w:rPr>
        <w:t xml:space="preserve">is “ongoing” </w:t>
      </w:r>
      <w:r w:rsidR="00A575A5">
        <w:rPr>
          <w:rFonts w:ascii="Aptos" w:hAnsi="Aptos" w:cs="Times New Roman"/>
          <w:sz w:val="25"/>
          <w:szCs w:val="25"/>
        </w:rPr>
        <w:t xml:space="preserve">and </w:t>
      </w:r>
      <w:r w:rsidR="000419FD">
        <w:rPr>
          <w:rFonts w:ascii="Aptos" w:hAnsi="Aptos" w:cs="Times New Roman"/>
          <w:sz w:val="25"/>
          <w:szCs w:val="25"/>
        </w:rPr>
        <w:t>establishe</w:t>
      </w:r>
      <w:r w:rsidR="00A575A5">
        <w:rPr>
          <w:rFonts w:ascii="Aptos" w:hAnsi="Aptos" w:cs="Times New Roman"/>
          <w:sz w:val="25"/>
          <w:szCs w:val="25"/>
        </w:rPr>
        <w:t>d</w:t>
      </w:r>
      <w:r w:rsidR="000419FD">
        <w:rPr>
          <w:rFonts w:ascii="Aptos" w:hAnsi="Aptos" w:cs="Times New Roman"/>
          <w:sz w:val="25"/>
          <w:szCs w:val="25"/>
        </w:rPr>
        <w:t xml:space="preserve"> its educational responsibilities towards Student through August of 2026.  </w:t>
      </w:r>
      <w:r w:rsidR="00CA6DE8">
        <w:rPr>
          <w:rFonts w:ascii="Aptos" w:hAnsi="Aptos" w:cs="Times New Roman"/>
          <w:sz w:val="25"/>
          <w:szCs w:val="25"/>
        </w:rPr>
        <w:t xml:space="preserve">As the </w:t>
      </w:r>
      <w:r w:rsidR="007D4E7D">
        <w:rPr>
          <w:rFonts w:ascii="Aptos" w:hAnsi="Aptos" w:cs="Times New Roman"/>
          <w:sz w:val="25"/>
          <w:szCs w:val="25"/>
        </w:rPr>
        <w:t xml:space="preserve">District has met its obligations under the </w:t>
      </w:r>
      <w:r w:rsidR="007D4E7D">
        <w:rPr>
          <w:rFonts w:ascii="Aptos" w:hAnsi="Aptos" w:cs="Times New Roman"/>
          <w:i/>
          <w:iCs/>
          <w:sz w:val="25"/>
          <w:szCs w:val="25"/>
        </w:rPr>
        <w:t>Settlement Agreement</w:t>
      </w:r>
      <w:r w:rsidR="007D4E7D">
        <w:rPr>
          <w:rFonts w:ascii="Aptos" w:hAnsi="Aptos" w:cs="Times New Roman"/>
          <w:sz w:val="25"/>
          <w:szCs w:val="25"/>
        </w:rPr>
        <w:t xml:space="preserve"> </w:t>
      </w:r>
      <w:r w:rsidR="007E1B3A">
        <w:rPr>
          <w:rFonts w:ascii="Aptos" w:hAnsi="Aptos" w:cs="Times New Roman"/>
          <w:sz w:val="25"/>
          <w:szCs w:val="25"/>
        </w:rPr>
        <w:t>(</w:t>
      </w:r>
      <w:r w:rsidR="007D4E7D">
        <w:rPr>
          <w:rFonts w:ascii="Aptos" w:hAnsi="Aptos" w:cs="Times New Roman"/>
          <w:sz w:val="25"/>
          <w:szCs w:val="25"/>
        </w:rPr>
        <w:t xml:space="preserve">even going further than is required </w:t>
      </w:r>
      <w:r w:rsidR="00EC20E1">
        <w:rPr>
          <w:rFonts w:ascii="Aptos" w:hAnsi="Aptos" w:cs="Times New Roman"/>
          <w:sz w:val="25"/>
          <w:szCs w:val="25"/>
        </w:rPr>
        <w:t xml:space="preserve">by providing </w:t>
      </w:r>
      <w:r w:rsidR="007D4E7D">
        <w:rPr>
          <w:rFonts w:ascii="Aptos" w:hAnsi="Aptos" w:cs="Times New Roman"/>
          <w:sz w:val="25"/>
          <w:szCs w:val="25"/>
        </w:rPr>
        <w:t>transportation</w:t>
      </w:r>
      <w:r w:rsidR="00EC20E1">
        <w:rPr>
          <w:rFonts w:ascii="Aptos" w:hAnsi="Aptos" w:cs="Times New Roman"/>
          <w:sz w:val="25"/>
          <w:szCs w:val="25"/>
        </w:rPr>
        <w:t xml:space="preserve"> </w:t>
      </w:r>
      <w:r w:rsidR="008B5267">
        <w:rPr>
          <w:rFonts w:ascii="Aptos" w:hAnsi="Aptos" w:cs="Times New Roman"/>
          <w:sz w:val="25"/>
          <w:szCs w:val="25"/>
        </w:rPr>
        <w:t xml:space="preserve">between </w:t>
      </w:r>
      <w:r w:rsidR="00EC20E1">
        <w:rPr>
          <w:rFonts w:ascii="Aptos" w:hAnsi="Aptos" w:cs="Times New Roman"/>
          <w:sz w:val="25"/>
          <w:szCs w:val="25"/>
        </w:rPr>
        <w:t xml:space="preserve">Open Sky </w:t>
      </w:r>
      <w:r w:rsidR="008B5267">
        <w:rPr>
          <w:rFonts w:ascii="Aptos" w:hAnsi="Aptos" w:cs="Times New Roman"/>
          <w:sz w:val="25"/>
          <w:szCs w:val="25"/>
        </w:rPr>
        <w:t xml:space="preserve">as well as </w:t>
      </w:r>
      <w:r w:rsidR="00F258B2">
        <w:rPr>
          <w:rFonts w:ascii="Aptos" w:hAnsi="Aptos" w:cs="Times New Roman"/>
          <w:sz w:val="25"/>
          <w:szCs w:val="25"/>
        </w:rPr>
        <w:t>school</w:t>
      </w:r>
      <w:r w:rsidR="00F61D01">
        <w:rPr>
          <w:rFonts w:ascii="Aptos" w:hAnsi="Aptos" w:cs="Times New Roman"/>
          <w:sz w:val="25"/>
          <w:szCs w:val="25"/>
        </w:rPr>
        <w:t>)</w:t>
      </w:r>
      <w:r w:rsidR="007D4E7D">
        <w:rPr>
          <w:rFonts w:ascii="Aptos" w:hAnsi="Aptos" w:cs="Times New Roman"/>
          <w:sz w:val="25"/>
          <w:szCs w:val="25"/>
        </w:rPr>
        <w:t xml:space="preserve">, </w:t>
      </w:r>
      <w:r w:rsidR="00A563E6">
        <w:rPr>
          <w:rFonts w:ascii="Aptos" w:hAnsi="Aptos" w:cs="Times New Roman"/>
          <w:sz w:val="25"/>
          <w:szCs w:val="25"/>
        </w:rPr>
        <w:t xml:space="preserve">dismissal is warranted </w:t>
      </w:r>
      <w:r w:rsidR="0038264B">
        <w:rPr>
          <w:rFonts w:ascii="Aptos" w:hAnsi="Aptos" w:cs="Times New Roman"/>
          <w:sz w:val="25"/>
          <w:szCs w:val="25"/>
        </w:rPr>
        <w:t>because the BSEA does not have jurisdiction to enforce settlement agreements</w:t>
      </w:r>
      <w:r w:rsidR="00A03754">
        <w:rPr>
          <w:rFonts w:ascii="Aptos" w:hAnsi="Aptos" w:cs="Times New Roman"/>
          <w:sz w:val="25"/>
          <w:szCs w:val="25"/>
        </w:rPr>
        <w:t xml:space="preserve"> or to otherwise interpret or apply contract law</w:t>
      </w:r>
      <w:r w:rsidR="0038264B">
        <w:rPr>
          <w:rFonts w:ascii="Aptos" w:hAnsi="Aptos" w:cs="Times New Roman"/>
          <w:sz w:val="25"/>
          <w:szCs w:val="25"/>
        </w:rPr>
        <w:t xml:space="preserve">. </w:t>
      </w:r>
      <w:r w:rsidR="00CB5103">
        <w:rPr>
          <w:rFonts w:ascii="Aptos" w:hAnsi="Aptos" w:cs="Times New Roman"/>
          <w:sz w:val="25"/>
          <w:szCs w:val="25"/>
        </w:rPr>
        <w:t xml:space="preserve"> </w:t>
      </w:r>
      <w:r w:rsidR="00F258B2">
        <w:rPr>
          <w:rFonts w:ascii="Aptos" w:hAnsi="Aptos" w:cs="Times New Roman"/>
          <w:sz w:val="25"/>
          <w:szCs w:val="25"/>
        </w:rPr>
        <w:t xml:space="preserve">The </w:t>
      </w:r>
      <w:proofErr w:type="gramStart"/>
      <w:r w:rsidR="00F258B2">
        <w:rPr>
          <w:rFonts w:ascii="Aptos" w:hAnsi="Aptos" w:cs="Times New Roman"/>
          <w:sz w:val="25"/>
          <w:szCs w:val="25"/>
        </w:rPr>
        <w:t>District</w:t>
      </w:r>
      <w:proofErr w:type="gramEnd"/>
      <w:r w:rsidR="00F258B2">
        <w:rPr>
          <w:rFonts w:ascii="Aptos" w:hAnsi="Aptos" w:cs="Times New Roman"/>
          <w:sz w:val="25"/>
          <w:szCs w:val="25"/>
        </w:rPr>
        <w:t xml:space="preserve"> disputes that Student’s </w:t>
      </w:r>
      <w:proofErr w:type="gramStart"/>
      <w:r w:rsidR="00F258B2">
        <w:rPr>
          <w:rFonts w:ascii="Aptos" w:hAnsi="Aptos" w:cs="Times New Roman"/>
          <w:sz w:val="25"/>
          <w:szCs w:val="25"/>
        </w:rPr>
        <w:t>current status</w:t>
      </w:r>
      <w:proofErr w:type="gramEnd"/>
      <w:r w:rsidR="00F258B2">
        <w:rPr>
          <w:rFonts w:ascii="Aptos" w:hAnsi="Aptos" w:cs="Times New Roman"/>
          <w:sz w:val="25"/>
          <w:szCs w:val="25"/>
        </w:rPr>
        <w:t xml:space="preserve"> </w:t>
      </w:r>
      <w:r w:rsidR="00A558C3">
        <w:rPr>
          <w:rFonts w:ascii="Aptos" w:hAnsi="Aptos" w:cs="Times New Roman"/>
          <w:sz w:val="25"/>
          <w:szCs w:val="25"/>
        </w:rPr>
        <w:t xml:space="preserve">constitutes </w:t>
      </w:r>
      <w:r w:rsidR="00F258B2">
        <w:rPr>
          <w:rFonts w:ascii="Aptos" w:hAnsi="Aptos" w:cs="Times New Roman"/>
          <w:sz w:val="25"/>
          <w:szCs w:val="25"/>
        </w:rPr>
        <w:t>“unanticipated or catastrophic illness or injury” given his established diagnoses, history of repeated frequent hospitalizations, and ongoing challenges in the home</w:t>
      </w:r>
      <w:r w:rsidR="00A558C3">
        <w:rPr>
          <w:rFonts w:ascii="Aptos" w:hAnsi="Aptos" w:cs="Times New Roman"/>
          <w:sz w:val="25"/>
          <w:szCs w:val="25"/>
        </w:rPr>
        <w:t>,</w:t>
      </w:r>
      <w:r w:rsidR="00F258B2">
        <w:rPr>
          <w:rFonts w:ascii="Aptos" w:hAnsi="Aptos" w:cs="Times New Roman"/>
          <w:sz w:val="25"/>
          <w:szCs w:val="25"/>
        </w:rPr>
        <w:t xml:space="preserve"> as documented in the 2023 FBA.  </w:t>
      </w:r>
      <w:r w:rsidR="001F3A7B">
        <w:rPr>
          <w:rFonts w:ascii="Aptos" w:hAnsi="Aptos" w:cs="Times New Roman"/>
          <w:sz w:val="25"/>
          <w:szCs w:val="25"/>
        </w:rPr>
        <w:t xml:space="preserve">The </w:t>
      </w:r>
      <w:r w:rsidR="00657232">
        <w:rPr>
          <w:rFonts w:ascii="Aptos" w:hAnsi="Aptos" w:cs="Times New Roman"/>
          <w:sz w:val="25"/>
          <w:szCs w:val="25"/>
        </w:rPr>
        <w:t xml:space="preserve">applicability of the </w:t>
      </w:r>
      <w:r w:rsidR="00057A3F">
        <w:rPr>
          <w:rFonts w:ascii="Aptos" w:hAnsi="Aptos" w:cs="Times New Roman"/>
          <w:sz w:val="25"/>
          <w:szCs w:val="25"/>
        </w:rPr>
        <w:t>“</w:t>
      </w:r>
      <w:r w:rsidR="008F04DE">
        <w:rPr>
          <w:rFonts w:ascii="Aptos" w:hAnsi="Aptos" w:cs="Times New Roman"/>
          <w:sz w:val="25"/>
          <w:szCs w:val="25"/>
        </w:rPr>
        <w:t>unanticipated or catastrophic illness or injury</w:t>
      </w:r>
      <w:r w:rsidR="00057A3F">
        <w:rPr>
          <w:rFonts w:ascii="Aptos" w:hAnsi="Aptos" w:cs="Times New Roman"/>
          <w:sz w:val="25"/>
          <w:szCs w:val="25"/>
        </w:rPr>
        <w:t>”</w:t>
      </w:r>
      <w:r w:rsidR="008F04DE">
        <w:rPr>
          <w:rFonts w:ascii="Aptos" w:hAnsi="Aptos" w:cs="Times New Roman"/>
          <w:sz w:val="25"/>
          <w:szCs w:val="25"/>
        </w:rPr>
        <w:t xml:space="preserve"> provision is </w:t>
      </w:r>
      <w:r w:rsidR="002C2F9D">
        <w:rPr>
          <w:rFonts w:ascii="Aptos" w:hAnsi="Aptos" w:cs="Times New Roman"/>
          <w:sz w:val="25"/>
          <w:szCs w:val="25"/>
        </w:rPr>
        <w:t xml:space="preserve">a dispute over a contract term </w:t>
      </w:r>
      <w:r w:rsidR="00295B96">
        <w:rPr>
          <w:rFonts w:ascii="Aptos" w:hAnsi="Aptos" w:cs="Times New Roman"/>
          <w:sz w:val="25"/>
          <w:szCs w:val="25"/>
        </w:rPr>
        <w:t xml:space="preserve">that, </w:t>
      </w:r>
      <w:r w:rsidR="002C2F9D">
        <w:rPr>
          <w:rFonts w:ascii="Aptos" w:hAnsi="Aptos" w:cs="Times New Roman"/>
          <w:sz w:val="25"/>
          <w:szCs w:val="25"/>
        </w:rPr>
        <w:t>under the IDEA</w:t>
      </w:r>
      <w:r w:rsidR="00295B96">
        <w:rPr>
          <w:rFonts w:ascii="Aptos" w:hAnsi="Aptos" w:cs="Times New Roman"/>
          <w:sz w:val="25"/>
          <w:szCs w:val="25"/>
        </w:rPr>
        <w:t>,</w:t>
      </w:r>
      <w:r w:rsidR="002C2F9D">
        <w:rPr>
          <w:rFonts w:ascii="Aptos" w:hAnsi="Aptos" w:cs="Times New Roman"/>
          <w:sz w:val="25"/>
          <w:szCs w:val="25"/>
        </w:rPr>
        <w:t xml:space="preserve"> </w:t>
      </w:r>
      <w:r w:rsidR="0038264B">
        <w:rPr>
          <w:rFonts w:ascii="Aptos" w:hAnsi="Aptos" w:cs="Times New Roman"/>
          <w:sz w:val="25"/>
          <w:szCs w:val="25"/>
        </w:rPr>
        <w:t xml:space="preserve">must be brought to </w:t>
      </w:r>
      <w:r w:rsidR="00870B33">
        <w:rPr>
          <w:rFonts w:ascii="Aptos" w:hAnsi="Aptos" w:cs="Times New Roman"/>
          <w:sz w:val="25"/>
          <w:szCs w:val="25"/>
        </w:rPr>
        <w:t>the appropriate state or federal court</w:t>
      </w:r>
      <w:r w:rsidR="00057A3F">
        <w:rPr>
          <w:rFonts w:ascii="Aptos" w:hAnsi="Aptos" w:cs="Times New Roman"/>
          <w:sz w:val="25"/>
          <w:szCs w:val="25"/>
        </w:rPr>
        <w:t xml:space="preserve"> not the BSEA</w:t>
      </w:r>
      <w:r w:rsidR="00870B33">
        <w:rPr>
          <w:rFonts w:ascii="Aptos" w:hAnsi="Aptos" w:cs="Times New Roman"/>
          <w:sz w:val="25"/>
          <w:szCs w:val="25"/>
        </w:rPr>
        <w:t>.</w:t>
      </w:r>
      <w:r w:rsidR="0043424C">
        <w:rPr>
          <w:rFonts w:ascii="Aptos" w:hAnsi="Aptos" w:cs="Times New Roman"/>
          <w:sz w:val="25"/>
          <w:szCs w:val="25"/>
        </w:rPr>
        <w:t xml:space="preserve">  </w:t>
      </w:r>
      <w:r w:rsidR="00FA4559">
        <w:rPr>
          <w:rFonts w:ascii="Aptos" w:hAnsi="Aptos" w:cs="Times New Roman"/>
          <w:sz w:val="25"/>
          <w:szCs w:val="25"/>
        </w:rPr>
        <w:t xml:space="preserve">Not </w:t>
      </w:r>
      <w:r w:rsidR="00FA216F">
        <w:rPr>
          <w:rFonts w:ascii="Aptos" w:hAnsi="Aptos" w:cs="Times New Roman"/>
          <w:sz w:val="25"/>
          <w:szCs w:val="25"/>
        </w:rPr>
        <w:t>dismiss</w:t>
      </w:r>
      <w:r w:rsidR="00747528">
        <w:rPr>
          <w:rFonts w:ascii="Aptos" w:hAnsi="Aptos" w:cs="Times New Roman"/>
          <w:sz w:val="25"/>
          <w:szCs w:val="25"/>
        </w:rPr>
        <w:t>ing</w:t>
      </w:r>
      <w:r w:rsidR="00FA216F">
        <w:rPr>
          <w:rFonts w:ascii="Aptos" w:hAnsi="Aptos" w:cs="Times New Roman"/>
          <w:sz w:val="25"/>
          <w:szCs w:val="25"/>
        </w:rPr>
        <w:t xml:space="preserve"> this matter would </w:t>
      </w:r>
      <w:r w:rsidR="00FA4559">
        <w:rPr>
          <w:rFonts w:ascii="Aptos" w:hAnsi="Aptos" w:cs="Times New Roman"/>
          <w:sz w:val="25"/>
          <w:szCs w:val="25"/>
        </w:rPr>
        <w:t xml:space="preserve">also </w:t>
      </w:r>
      <w:r w:rsidR="00ED1DFF">
        <w:rPr>
          <w:rFonts w:ascii="Aptos" w:hAnsi="Aptos" w:cs="Times New Roman"/>
          <w:sz w:val="25"/>
          <w:szCs w:val="25"/>
        </w:rPr>
        <w:t xml:space="preserve">be contrary to public policy as it would </w:t>
      </w:r>
      <w:r w:rsidR="004E1CF4">
        <w:rPr>
          <w:rFonts w:ascii="Aptos" w:hAnsi="Aptos" w:cs="Times New Roman"/>
          <w:sz w:val="25"/>
          <w:szCs w:val="25"/>
        </w:rPr>
        <w:t>“</w:t>
      </w:r>
      <w:r w:rsidR="00E06EF8">
        <w:rPr>
          <w:rFonts w:ascii="Aptos" w:hAnsi="Aptos" w:cs="Times New Roman"/>
          <w:sz w:val="25"/>
          <w:szCs w:val="25"/>
        </w:rPr>
        <w:t xml:space="preserve">subvert” the </w:t>
      </w:r>
      <w:r w:rsidR="00747528">
        <w:rPr>
          <w:rFonts w:ascii="Aptos" w:hAnsi="Aptos" w:cs="Times New Roman"/>
          <w:sz w:val="25"/>
          <w:szCs w:val="25"/>
        </w:rPr>
        <w:t xml:space="preserve">intent of federal and state </w:t>
      </w:r>
      <w:r w:rsidR="00E06EF8">
        <w:rPr>
          <w:rFonts w:ascii="Aptos" w:hAnsi="Aptos" w:cs="Times New Roman"/>
          <w:sz w:val="25"/>
          <w:szCs w:val="25"/>
        </w:rPr>
        <w:t>special education laws to promote pre-hearing settleme</w:t>
      </w:r>
      <w:r w:rsidR="00967380">
        <w:rPr>
          <w:rFonts w:ascii="Aptos" w:hAnsi="Aptos" w:cs="Times New Roman"/>
          <w:sz w:val="25"/>
          <w:szCs w:val="25"/>
        </w:rPr>
        <w:t>nts</w:t>
      </w:r>
      <w:r w:rsidR="00ED1DFF">
        <w:rPr>
          <w:rFonts w:ascii="Aptos" w:hAnsi="Aptos" w:cs="Times New Roman"/>
          <w:sz w:val="25"/>
          <w:szCs w:val="25"/>
        </w:rPr>
        <w:t>.</w:t>
      </w:r>
      <w:r w:rsidR="000A0CB7">
        <w:rPr>
          <w:rFonts w:ascii="Aptos" w:hAnsi="Aptos" w:cs="Times New Roman"/>
          <w:sz w:val="25"/>
          <w:szCs w:val="25"/>
        </w:rPr>
        <w:t xml:space="preserve">  </w:t>
      </w:r>
    </w:p>
    <w:p w14:paraId="5FF435A8" w14:textId="77777777" w:rsidR="00475EE2" w:rsidRDefault="00475EE2" w:rsidP="009A6BEA">
      <w:pPr>
        <w:spacing w:after="0" w:line="240" w:lineRule="auto"/>
        <w:rPr>
          <w:rFonts w:ascii="Aptos" w:hAnsi="Aptos" w:cs="Times New Roman"/>
          <w:sz w:val="25"/>
          <w:szCs w:val="25"/>
        </w:rPr>
      </w:pPr>
    </w:p>
    <w:p w14:paraId="26688B5D" w14:textId="462C97BC" w:rsidR="00EA2AB3" w:rsidRDefault="00ED1DFF" w:rsidP="009A6BEA">
      <w:pPr>
        <w:spacing w:after="0" w:line="240" w:lineRule="auto"/>
        <w:rPr>
          <w:rFonts w:ascii="Aptos" w:hAnsi="Aptos" w:cs="Times New Roman"/>
          <w:sz w:val="25"/>
          <w:szCs w:val="25"/>
        </w:rPr>
      </w:pPr>
      <w:r>
        <w:rPr>
          <w:rFonts w:ascii="Aptos" w:hAnsi="Aptos" w:cs="Times New Roman"/>
          <w:sz w:val="25"/>
          <w:szCs w:val="25"/>
        </w:rPr>
        <w:t xml:space="preserve">If this </w:t>
      </w:r>
      <w:r w:rsidR="002C1657">
        <w:rPr>
          <w:rFonts w:ascii="Aptos" w:hAnsi="Aptos" w:cs="Times New Roman"/>
          <w:sz w:val="25"/>
          <w:szCs w:val="25"/>
        </w:rPr>
        <w:t xml:space="preserve">matter </w:t>
      </w:r>
      <w:r>
        <w:rPr>
          <w:rFonts w:ascii="Aptos" w:hAnsi="Aptos" w:cs="Times New Roman"/>
          <w:sz w:val="25"/>
          <w:szCs w:val="25"/>
        </w:rPr>
        <w:t xml:space="preserve">is </w:t>
      </w:r>
      <w:r w:rsidR="002C1657">
        <w:rPr>
          <w:rFonts w:ascii="Aptos" w:hAnsi="Aptos" w:cs="Times New Roman"/>
          <w:sz w:val="25"/>
          <w:szCs w:val="25"/>
        </w:rPr>
        <w:t xml:space="preserve">not dismissed, </w:t>
      </w:r>
      <w:r w:rsidR="00475EE2">
        <w:rPr>
          <w:rFonts w:ascii="Aptos" w:hAnsi="Aptos" w:cs="Times New Roman"/>
          <w:sz w:val="25"/>
          <w:szCs w:val="25"/>
        </w:rPr>
        <w:t xml:space="preserve">the </w:t>
      </w:r>
      <w:proofErr w:type="gramStart"/>
      <w:r w:rsidR="00475EE2">
        <w:rPr>
          <w:rFonts w:ascii="Aptos" w:hAnsi="Aptos" w:cs="Times New Roman"/>
          <w:sz w:val="25"/>
          <w:szCs w:val="25"/>
        </w:rPr>
        <w:t>District</w:t>
      </w:r>
      <w:proofErr w:type="gramEnd"/>
      <w:r w:rsidR="00475EE2">
        <w:rPr>
          <w:rFonts w:ascii="Aptos" w:hAnsi="Aptos" w:cs="Times New Roman"/>
          <w:sz w:val="25"/>
          <w:szCs w:val="25"/>
        </w:rPr>
        <w:t xml:space="preserve"> </w:t>
      </w:r>
      <w:r w:rsidR="00147A96">
        <w:rPr>
          <w:rFonts w:ascii="Aptos" w:hAnsi="Aptos" w:cs="Times New Roman"/>
          <w:sz w:val="25"/>
          <w:szCs w:val="25"/>
        </w:rPr>
        <w:t xml:space="preserve">also </w:t>
      </w:r>
      <w:r w:rsidR="00475EE2">
        <w:rPr>
          <w:rFonts w:ascii="Aptos" w:hAnsi="Aptos" w:cs="Times New Roman"/>
          <w:sz w:val="25"/>
          <w:szCs w:val="25"/>
        </w:rPr>
        <w:t xml:space="preserve">opposes dismissal of either </w:t>
      </w:r>
      <w:r w:rsidR="001A63B6">
        <w:rPr>
          <w:rFonts w:ascii="Aptos" w:hAnsi="Aptos" w:cs="Times New Roman"/>
          <w:sz w:val="25"/>
          <w:szCs w:val="25"/>
        </w:rPr>
        <w:t>DCF or DMH</w:t>
      </w:r>
      <w:r w:rsidR="002C1657">
        <w:rPr>
          <w:rFonts w:ascii="Aptos" w:hAnsi="Aptos" w:cs="Times New Roman"/>
          <w:sz w:val="25"/>
          <w:szCs w:val="25"/>
        </w:rPr>
        <w:t>.</w:t>
      </w:r>
      <w:r w:rsidR="001E47EE">
        <w:rPr>
          <w:rFonts w:ascii="Aptos" w:hAnsi="Aptos" w:cs="Times New Roman"/>
          <w:sz w:val="25"/>
          <w:szCs w:val="25"/>
        </w:rPr>
        <w:t xml:space="preserve">  </w:t>
      </w:r>
      <w:r w:rsidR="005A2A80">
        <w:rPr>
          <w:rFonts w:ascii="Aptos" w:hAnsi="Aptos" w:cs="Times New Roman"/>
          <w:sz w:val="25"/>
          <w:szCs w:val="25"/>
        </w:rPr>
        <w:t>R</w:t>
      </w:r>
      <w:r w:rsidR="00DB0AF3">
        <w:rPr>
          <w:rFonts w:ascii="Aptos" w:hAnsi="Aptos" w:cs="Times New Roman"/>
          <w:sz w:val="25"/>
          <w:szCs w:val="25"/>
        </w:rPr>
        <w:t xml:space="preserve">egardless of whether DCF </w:t>
      </w:r>
      <w:r w:rsidR="00200C1D">
        <w:rPr>
          <w:rFonts w:ascii="Aptos" w:hAnsi="Aptos" w:cs="Times New Roman"/>
          <w:sz w:val="25"/>
          <w:szCs w:val="25"/>
        </w:rPr>
        <w:t xml:space="preserve">can </w:t>
      </w:r>
      <w:r w:rsidR="00DB0AF3">
        <w:rPr>
          <w:rFonts w:ascii="Aptos" w:hAnsi="Aptos" w:cs="Times New Roman"/>
          <w:sz w:val="25"/>
          <w:szCs w:val="25"/>
        </w:rPr>
        <w:t xml:space="preserve">fund a residential placement for students not in its care or custody, DCF’s </w:t>
      </w:r>
      <w:r w:rsidR="000651F9">
        <w:rPr>
          <w:rFonts w:ascii="Aptos" w:hAnsi="Aptos" w:cs="Times New Roman"/>
          <w:sz w:val="25"/>
          <w:szCs w:val="25"/>
        </w:rPr>
        <w:t>open clinical case</w:t>
      </w:r>
      <w:r w:rsidR="00761F5C">
        <w:rPr>
          <w:rFonts w:ascii="Aptos" w:hAnsi="Aptos" w:cs="Times New Roman"/>
          <w:sz w:val="25"/>
          <w:szCs w:val="25"/>
        </w:rPr>
        <w:t xml:space="preserve"> </w:t>
      </w:r>
      <w:r w:rsidR="00200C1D">
        <w:rPr>
          <w:rFonts w:ascii="Aptos" w:hAnsi="Aptos" w:cs="Times New Roman"/>
          <w:sz w:val="25"/>
          <w:szCs w:val="25"/>
        </w:rPr>
        <w:t>o</w:t>
      </w:r>
      <w:r w:rsidR="00871FCC">
        <w:rPr>
          <w:rFonts w:ascii="Aptos" w:hAnsi="Aptos" w:cs="Times New Roman"/>
          <w:sz w:val="25"/>
          <w:szCs w:val="25"/>
        </w:rPr>
        <w:t>n</w:t>
      </w:r>
      <w:r w:rsidR="00200C1D">
        <w:rPr>
          <w:rFonts w:ascii="Aptos" w:hAnsi="Aptos" w:cs="Times New Roman"/>
          <w:sz w:val="25"/>
          <w:szCs w:val="25"/>
        </w:rPr>
        <w:t xml:space="preserve"> </w:t>
      </w:r>
      <w:r w:rsidR="00DB0AF3">
        <w:rPr>
          <w:rFonts w:ascii="Aptos" w:hAnsi="Aptos" w:cs="Times New Roman"/>
          <w:sz w:val="25"/>
          <w:szCs w:val="25"/>
        </w:rPr>
        <w:t xml:space="preserve">Student </w:t>
      </w:r>
      <w:r w:rsidR="00C5644E">
        <w:rPr>
          <w:rFonts w:ascii="Aptos" w:hAnsi="Aptos" w:cs="Times New Roman"/>
          <w:sz w:val="25"/>
          <w:szCs w:val="25"/>
        </w:rPr>
        <w:t xml:space="preserve">authorizes the BSEA to issue </w:t>
      </w:r>
      <w:r w:rsidR="00E365F6">
        <w:rPr>
          <w:rFonts w:ascii="Aptos" w:hAnsi="Aptos" w:cs="Times New Roman"/>
          <w:sz w:val="25"/>
          <w:szCs w:val="25"/>
        </w:rPr>
        <w:t>order</w:t>
      </w:r>
      <w:r w:rsidR="00C5644E">
        <w:rPr>
          <w:rFonts w:ascii="Aptos" w:hAnsi="Aptos" w:cs="Times New Roman"/>
          <w:sz w:val="25"/>
          <w:szCs w:val="25"/>
        </w:rPr>
        <w:t>s</w:t>
      </w:r>
      <w:r w:rsidR="00E365F6">
        <w:rPr>
          <w:rFonts w:ascii="Aptos" w:hAnsi="Aptos" w:cs="Times New Roman"/>
          <w:sz w:val="25"/>
          <w:szCs w:val="25"/>
        </w:rPr>
        <w:t xml:space="preserve"> </w:t>
      </w:r>
      <w:r w:rsidR="00C5644E">
        <w:rPr>
          <w:rFonts w:ascii="Aptos" w:hAnsi="Aptos" w:cs="Times New Roman"/>
          <w:sz w:val="25"/>
          <w:szCs w:val="25"/>
        </w:rPr>
        <w:t xml:space="preserve">to </w:t>
      </w:r>
      <w:r w:rsidR="00871FCC">
        <w:rPr>
          <w:rFonts w:ascii="Aptos" w:hAnsi="Aptos" w:cs="Times New Roman"/>
          <w:sz w:val="25"/>
          <w:szCs w:val="25"/>
        </w:rPr>
        <w:t>said agency</w:t>
      </w:r>
      <w:r w:rsidR="008070AA">
        <w:rPr>
          <w:rFonts w:ascii="Aptos" w:hAnsi="Aptos" w:cs="Times New Roman"/>
          <w:sz w:val="25"/>
          <w:szCs w:val="25"/>
        </w:rPr>
        <w:t xml:space="preserve"> </w:t>
      </w:r>
      <w:r w:rsidR="000651F9">
        <w:rPr>
          <w:rFonts w:ascii="Aptos" w:hAnsi="Aptos" w:cs="Times New Roman"/>
          <w:sz w:val="25"/>
          <w:szCs w:val="25"/>
        </w:rPr>
        <w:t>to provide</w:t>
      </w:r>
      <w:r w:rsidR="007C26E1">
        <w:rPr>
          <w:rFonts w:ascii="Aptos" w:hAnsi="Aptos" w:cs="Times New Roman"/>
          <w:sz w:val="25"/>
          <w:szCs w:val="25"/>
        </w:rPr>
        <w:t>, if needed,</w:t>
      </w:r>
      <w:r w:rsidR="000651F9">
        <w:rPr>
          <w:rFonts w:ascii="Aptos" w:hAnsi="Aptos" w:cs="Times New Roman"/>
          <w:sz w:val="25"/>
          <w:szCs w:val="25"/>
        </w:rPr>
        <w:t xml:space="preserve"> </w:t>
      </w:r>
      <w:r w:rsidR="00E365F6">
        <w:rPr>
          <w:rFonts w:ascii="Aptos" w:hAnsi="Aptos" w:cs="Times New Roman"/>
          <w:sz w:val="25"/>
          <w:szCs w:val="25"/>
        </w:rPr>
        <w:t xml:space="preserve">other non-residential placement services </w:t>
      </w:r>
      <w:r w:rsidR="001F5028">
        <w:rPr>
          <w:rFonts w:ascii="Aptos" w:hAnsi="Aptos" w:cs="Times New Roman"/>
          <w:sz w:val="25"/>
          <w:szCs w:val="25"/>
        </w:rPr>
        <w:t>to ensure Student receives a FAPE</w:t>
      </w:r>
      <w:r w:rsidR="00864559">
        <w:rPr>
          <w:rFonts w:ascii="Aptos" w:hAnsi="Aptos" w:cs="Times New Roman"/>
          <w:sz w:val="25"/>
          <w:szCs w:val="25"/>
        </w:rPr>
        <w:t xml:space="preserve">.  </w:t>
      </w:r>
      <w:r w:rsidR="005A2A80">
        <w:rPr>
          <w:rFonts w:ascii="Aptos" w:hAnsi="Aptos" w:cs="Times New Roman"/>
          <w:sz w:val="25"/>
          <w:szCs w:val="25"/>
        </w:rPr>
        <w:t>Similarly</w:t>
      </w:r>
      <w:r w:rsidR="00864559">
        <w:rPr>
          <w:rFonts w:ascii="Aptos" w:hAnsi="Aptos" w:cs="Times New Roman"/>
          <w:sz w:val="25"/>
          <w:szCs w:val="25"/>
        </w:rPr>
        <w:t xml:space="preserve">, </w:t>
      </w:r>
      <w:r w:rsidR="00CF3DE3">
        <w:rPr>
          <w:rFonts w:ascii="Aptos" w:hAnsi="Aptos" w:cs="Times New Roman"/>
          <w:sz w:val="25"/>
          <w:szCs w:val="25"/>
        </w:rPr>
        <w:t xml:space="preserve">even if </w:t>
      </w:r>
      <w:r w:rsidR="006130B5">
        <w:rPr>
          <w:rFonts w:ascii="Aptos" w:hAnsi="Aptos" w:cs="Times New Roman"/>
          <w:sz w:val="25"/>
          <w:szCs w:val="25"/>
        </w:rPr>
        <w:t xml:space="preserve">DMH’s </w:t>
      </w:r>
      <w:r w:rsidR="008070AA">
        <w:rPr>
          <w:rFonts w:ascii="Aptos" w:hAnsi="Aptos" w:cs="Times New Roman"/>
          <w:sz w:val="25"/>
          <w:szCs w:val="25"/>
        </w:rPr>
        <w:t>P</w:t>
      </w:r>
      <w:r w:rsidR="006130B5">
        <w:rPr>
          <w:rFonts w:ascii="Aptos" w:hAnsi="Aptos" w:cs="Times New Roman"/>
          <w:sz w:val="25"/>
          <w:szCs w:val="25"/>
        </w:rPr>
        <w:t xml:space="preserve">olicy prohibits a </w:t>
      </w:r>
      <w:r w:rsidR="00876208">
        <w:rPr>
          <w:rFonts w:ascii="Aptos" w:hAnsi="Aptos" w:cs="Times New Roman"/>
          <w:sz w:val="25"/>
          <w:szCs w:val="25"/>
        </w:rPr>
        <w:t>residential placement</w:t>
      </w:r>
      <w:r w:rsidR="006130B5">
        <w:rPr>
          <w:rFonts w:ascii="Aptos" w:hAnsi="Aptos" w:cs="Times New Roman"/>
          <w:sz w:val="25"/>
          <w:szCs w:val="25"/>
        </w:rPr>
        <w:t xml:space="preserve"> order </w:t>
      </w:r>
      <w:r w:rsidR="007C11CF">
        <w:rPr>
          <w:rFonts w:ascii="Aptos" w:hAnsi="Aptos" w:cs="Times New Roman"/>
          <w:sz w:val="25"/>
          <w:szCs w:val="25"/>
        </w:rPr>
        <w:t xml:space="preserve">to </w:t>
      </w:r>
      <w:r w:rsidR="006130B5">
        <w:rPr>
          <w:rFonts w:ascii="Aptos" w:hAnsi="Aptos" w:cs="Times New Roman"/>
          <w:sz w:val="25"/>
          <w:szCs w:val="25"/>
        </w:rPr>
        <w:t>DMH</w:t>
      </w:r>
      <w:r w:rsidR="006130B5">
        <w:rPr>
          <w:rStyle w:val="FootnoteReference"/>
          <w:rFonts w:ascii="Aptos" w:hAnsi="Aptos" w:cs="Times New Roman"/>
          <w:sz w:val="25"/>
          <w:szCs w:val="25"/>
        </w:rPr>
        <w:footnoteReference w:id="5"/>
      </w:r>
      <w:r w:rsidR="00876208">
        <w:rPr>
          <w:rFonts w:ascii="Aptos" w:hAnsi="Aptos" w:cs="Times New Roman"/>
          <w:sz w:val="25"/>
          <w:szCs w:val="25"/>
        </w:rPr>
        <w:t xml:space="preserve">, </w:t>
      </w:r>
      <w:r w:rsidR="007C11CF">
        <w:rPr>
          <w:rFonts w:ascii="Aptos" w:hAnsi="Aptos" w:cs="Times New Roman"/>
          <w:sz w:val="25"/>
          <w:szCs w:val="25"/>
        </w:rPr>
        <w:t xml:space="preserve">Student’s eligibility for DMH services supports maintaining DMH </w:t>
      </w:r>
      <w:r w:rsidR="00035A3A">
        <w:rPr>
          <w:rFonts w:ascii="Aptos" w:hAnsi="Aptos" w:cs="Times New Roman"/>
          <w:sz w:val="25"/>
          <w:szCs w:val="25"/>
        </w:rPr>
        <w:t>as a party</w:t>
      </w:r>
      <w:r w:rsidR="007C11CF">
        <w:rPr>
          <w:rFonts w:ascii="Aptos" w:hAnsi="Aptos" w:cs="Times New Roman"/>
          <w:sz w:val="25"/>
          <w:szCs w:val="25"/>
        </w:rPr>
        <w:t>, as</w:t>
      </w:r>
      <w:r w:rsidR="00035A3A">
        <w:rPr>
          <w:rFonts w:ascii="Aptos" w:hAnsi="Aptos" w:cs="Times New Roman"/>
          <w:sz w:val="25"/>
          <w:szCs w:val="25"/>
        </w:rPr>
        <w:t xml:space="preserve"> </w:t>
      </w:r>
      <w:r w:rsidR="00CF3DE3">
        <w:rPr>
          <w:rFonts w:ascii="Aptos" w:hAnsi="Aptos" w:cs="Times New Roman"/>
          <w:sz w:val="25"/>
          <w:szCs w:val="25"/>
        </w:rPr>
        <w:t xml:space="preserve">“DMH may be involved to provide ancillary services within its </w:t>
      </w:r>
      <w:r w:rsidR="00CF3DE3">
        <w:rPr>
          <w:rFonts w:ascii="Aptos" w:hAnsi="Aptos" w:cs="Times New Roman"/>
          <w:sz w:val="25"/>
          <w:szCs w:val="25"/>
        </w:rPr>
        <w:lastRenderedPageBreak/>
        <w:t>services system as clinically indicat</w:t>
      </w:r>
      <w:r w:rsidR="00FF4EB0">
        <w:rPr>
          <w:rFonts w:ascii="Aptos" w:hAnsi="Aptos" w:cs="Times New Roman"/>
          <w:sz w:val="25"/>
          <w:szCs w:val="25"/>
        </w:rPr>
        <w:t>ed and will assist youth in transitioning back to a community</w:t>
      </w:r>
      <w:r w:rsidR="00035A3A">
        <w:rPr>
          <w:rFonts w:ascii="Aptos" w:hAnsi="Aptos" w:cs="Times New Roman"/>
          <w:sz w:val="25"/>
          <w:szCs w:val="25"/>
        </w:rPr>
        <w:t>-</w:t>
      </w:r>
      <w:r w:rsidR="00FF4EB0">
        <w:rPr>
          <w:rFonts w:ascii="Aptos" w:hAnsi="Aptos" w:cs="Times New Roman"/>
          <w:sz w:val="25"/>
          <w:szCs w:val="25"/>
        </w:rPr>
        <w:t>based setting as soon as possible</w:t>
      </w:r>
      <w:r w:rsidR="00712506">
        <w:rPr>
          <w:rFonts w:ascii="Aptos" w:hAnsi="Aptos" w:cs="Times New Roman"/>
          <w:sz w:val="25"/>
          <w:szCs w:val="25"/>
        </w:rPr>
        <w:t>.”</w:t>
      </w:r>
    </w:p>
    <w:p w14:paraId="2819CA85" w14:textId="77777777" w:rsidR="0090435D" w:rsidRDefault="0090435D" w:rsidP="009A6BEA">
      <w:pPr>
        <w:spacing w:after="0" w:line="240" w:lineRule="auto"/>
        <w:rPr>
          <w:rFonts w:ascii="Aptos" w:hAnsi="Aptos" w:cs="Times New Roman"/>
          <w:sz w:val="25"/>
          <w:szCs w:val="25"/>
        </w:rPr>
      </w:pPr>
    </w:p>
    <w:p w14:paraId="0E4126E6" w14:textId="59D9ABD4" w:rsidR="0090435D" w:rsidRPr="00214076" w:rsidRDefault="0090435D" w:rsidP="009A6BEA">
      <w:pPr>
        <w:spacing w:after="0" w:line="240" w:lineRule="auto"/>
        <w:rPr>
          <w:rFonts w:ascii="Aptos" w:hAnsi="Aptos" w:cs="Times New Roman"/>
          <w:sz w:val="25"/>
          <w:szCs w:val="25"/>
        </w:rPr>
      </w:pPr>
      <w:proofErr w:type="gramStart"/>
      <w:r>
        <w:rPr>
          <w:rFonts w:ascii="Aptos" w:hAnsi="Aptos" w:cs="Times New Roman"/>
          <w:sz w:val="25"/>
          <w:szCs w:val="25"/>
        </w:rPr>
        <w:t>Parent opposes</w:t>
      </w:r>
      <w:proofErr w:type="gramEnd"/>
      <w:r>
        <w:rPr>
          <w:rFonts w:ascii="Aptos" w:hAnsi="Aptos" w:cs="Times New Roman"/>
          <w:sz w:val="25"/>
          <w:szCs w:val="25"/>
        </w:rPr>
        <w:t xml:space="preserve"> all the </w:t>
      </w:r>
      <w:r>
        <w:rPr>
          <w:rFonts w:ascii="Aptos" w:hAnsi="Aptos" w:cs="Times New Roman"/>
          <w:i/>
          <w:iCs/>
          <w:sz w:val="25"/>
          <w:szCs w:val="25"/>
        </w:rPr>
        <w:t>Motions</w:t>
      </w:r>
      <w:r>
        <w:rPr>
          <w:rFonts w:ascii="Aptos" w:hAnsi="Aptos" w:cs="Times New Roman"/>
          <w:sz w:val="25"/>
          <w:szCs w:val="25"/>
        </w:rPr>
        <w:t xml:space="preserve">.  As to the </w:t>
      </w:r>
      <w:r>
        <w:rPr>
          <w:rFonts w:ascii="Aptos" w:hAnsi="Aptos" w:cs="Times New Roman"/>
          <w:i/>
          <w:iCs/>
          <w:sz w:val="25"/>
          <w:szCs w:val="25"/>
        </w:rPr>
        <w:t>District Motion</w:t>
      </w:r>
      <w:r>
        <w:rPr>
          <w:rFonts w:ascii="Aptos" w:hAnsi="Aptos" w:cs="Times New Roman"/>
          <w:sz w:val="25"/>
          <w:szCs w:val="25"/>
        </w:rPr>
        <w:t xml:space="preserve">, Parent contends that </w:t>
      </w:r>
      <w:r w:rsidR="00CD7E81">
        <w:rPr>
          <w:rFonts w:ascii="Aptos" w:hAnsi="Aptos" w:cs="Times New Roman"/>
          <w:sz w:val="25"/>
          <w:szCs w:val="25"/>
        </w:rPr>
        <w:t xml:space="preserve">the </w:t>
      </w:r>
      <w:r w:rsidR="00CD7E81">
        <w:rPr>
          <w:rFonts w:ascii="Aptos" w:hAnsi="Aptos" w:cs="Times New Roman"/>
          <w:i/>
          <w:iCs/>
          <w:sz w:val="25"/>
          <w:szCs w:val="25"/>
        </w:rPr>
        <w:t xml:space="preserve">Settlement Agreement </w:t>
      </w:r>
      <w:r w:rsidR="00CD7E81">
        <w:rPr>
          <w:rFonts w:ascii="Aptos" w:hAnsi="Aptos" w:cs="Times New Roman"/>
          <w:sz w:val="25"/>
          <w:szCs w:val="25"/>
        </w:rPr>
        <w:t>does not preclude this matter</w:t>
      </w:r>
      <w:r w:rsidR="007C26E1">
        <w:rPr>
          <w:rFonts w:ascii="Aptos" w:hAnsi="Aptos" w:cs="Times New Roman"/>
          <w:sz w:val="25"/>
          <w:szCs w:val="25"/>
        </w:rPr>
        <w:t xml:space="preserve"> from being heard</w:t>
      </w:r>
      <w:r w:rsidR="00CD7E81">
        <w:rPr>
          <w:rFonts w:ascii="Aptos" w:hAnsi="Aptos" w:cs="Times New Roman"/>
          <w:sz w:val="25"/>
          <w:szCs w:val="25"/>
        </w:rPr>
        <w:t xml:space="preserve">.  Parent </w:t>
      </w:r>
      <w:r w:rsidR="007F220B">
        <w:rPr>
          <w:rFonts w:ascii="Aptos" w:hAnsi="Aptos" w:cs="Times New Roman"/>
          <w:sz w:val="25"/>
          <w:szCs w:val="25"/>
        </w:rPr>
        <w:t xml:space="preserve">claims </w:t>
      </w:r>
      <w:r w:rsidR="004123EF">
        <w:rPr>
          <w:rFonts w:ascii="Aptos" w:hAnsi="Aptos" w:cs="Times New Roman"/>
          <w:sz w:val="25"/>
          <w:szCs w:val="25"/>
        </w:rPr>
        <w:t xml:space="preserve">she </w:t>
      </w:r>
      <w:r w:rsidR="0089050E">
        <w:rPr>
          <w:rFonts w:ascii="Aptos" w:hAnsi="Aptos" w:cs="Times New Roman"/>
          <w:sz w:val="25"/>
          <w:szCs w:val="25"/>
        </w:rPr>
        <w:t xml:space="preserve">is </w:t>
      </w:r>
      <w:r>
        <w:rPr>
          <w:rFonts w:ascii="Aptos" w:hAnsi="Aptos" w:cs="Times New Roman"/>
          <w:sz w:val="25"/>
          <w:szCs w:val="25"/>
        </w:rPr>
        <w:t xml:space="preserve">not seeking to enforce any term of the </w:t>
      </w:r>
      <w:r>
        <w:rPr>
          <w:rFonts w:ascii="Aptos" w:hAnsi="Aptos" w:cs="Times New Roman"/>
          <w:i/>
          <w:iCs/>
          <w:sz w:val="25"/>
          <w:szCs w:val="25"/>
        </w:rPr>
        <w:t>Settlement Agreement</w:t>
      </w:r>
      <w:r>
        <w:rPr>
          <w:rFonts w:ascii="Aptos" w:hAnsi="Aptos" w:cs="Times New Roman"/>
          <w:sz w:val="25"/>
          <w:szCs w:val="25"/>
        </w:rPr>
        <w:t xml:space="preserve"> but rather</w:t>
      </w:r>
      <w:r w:rsidR="005B34E5">
        <w:rPr>
          <w:rFonts w:ascii="Aptos" w:hAnsi="Aptos" w:cs="Times New Roman"/>
          <w:sz w:val="25"/>
          <w:szCs w:val="25"/>
        </w:rPr>
        <w:t xml:space="preserve"> is looking for Student to be provided with residential educational services to receive a FAPE</w:t>
      </w:r>
      <w:r w:rsidR="0072777C">
        <w:rPr>
          <w:rFonts w:ascii="Aptos" w:hAnsi="Aptos" w:cs="Times New Roman"/>
          <w:sz w:val="25"/>
          <w:szCs w:val="25"/>
        </w:rPr>
        <w:t xml:space="preserve"> based upon a change in circumstances that has occurred since she executed the </w:t>
      </w:r>
      <w:r w:rsidR="0072777C">
        <w:rPr>
          <w:rFonts w:ascii="Aptos" w:hAnsi="Aptos" w:cs="Times New Roman"/>
          <w:i/>
          <w:iCs/>
          <w:sz w:val="25"/>
          <w:szCs w:val="25"/>
        </w:rPr>
        <w:t>Settlement Agreement</w:t>
      </w:r>
      <w:r w:rsidR="0072777C">
        <w:rPr>
          <w:rFonts w:ascii="Aptos" w:hAnsi="Aptos" w:cs="Times New Roman"/>
          <w:sz w:val="25"/>
          <w:szCs w:val="25"/>
        </w:rPr>
        <w:t xml:space="preserve">.  </w:t>
      </w:r>
      <w:r w:rsidR="001001B8">
        <w:rPr>
          <w:rFonts w:ascii="Aptos" w:hAnsi="Aptos" w:cs="Times New Roman"/>
          <w:sz w:val="25"/>
          <w:szCs w:val="25"/>
        </w:rPr>
        <w:t>As to</w:t>
      </w:r>
      <w:r w:rsidR="00214076">
        <w:rPr>
          <w:rFonts w:ascii="Aptos" w:hAnsi="Aptos" w:cs="Times New Roman"/>
          <w:sz w:val="25"/>
          <w:szCs w:val="25"/>
        </w:rPr>
        <w:t xml:space="preserve"> the</w:t>
      </w:r>
      <w:r w:rsidR="001001B8">
        <w:rPr>
          <w:rFonts w:ascii="Aptos" w:hAnsi="Aptos" w:cs="Times New Roman"/>
          <w:sz w:val="25"/>
          <w:szCs w:val="25"/>
        </w:rPr>
        <w:t xml:space="preserve"> </w:t>
      </w:r>
      <w:r w:rsidR="001001B8">
        <w:rPr>
          <w:rFonts w:ascii="Aptos" w:hAnsi="Aptos" w:cs="Times New Roman"/>
          <w:i/>
          <w:iCs/>
          <w:sz w:val="25"/>
          <w:szCs w:val="25"/>
        </w:rPr>
        <w:t>DCF Motion</w:t>
      </w:r>
      <w:r w:rsidR="001001B8">
        <w:rPr>
          <w:rFonts w:ascii="Aptos" w:hAnsi="Aptos" w:cs="Times New Roman"/>
          <w:sz w:val="25"/>
          <w:szCs w:val="25"/>
        </w:rPr>
        <w:t xml:space="preserve">, Parent </w:t>
      </w:r>
      <w:r w:rsidR="00FA15C9">
        <w:rPr>
          <w:rFonts w:ascii="Aptos" w:hAnsi="Aptos" w:cs="Times New Roman"/>
          <w:sz w:val="25"/>
          <w:szCs w:val="25"/>
        </w:rPr>
        <w:t>argues</w:t>
      </w:r>
      <w:r w:rsidR="00CD7E81">
        <w:rPr>
          <w:rFonts w:ascii="Aptos" w:hAnsi="Aptos" w:cs="Times New Roman"/>
          <w:sz w:val="25"/>
          <w:szCs w:val="25"/>
        </w:rPr>
        <w:t xml:space="preserve"> that DCF is a necessary </w:t>
      </w:r>
      <w:r w:rsidR="00BD5395">
        <w:rPr>
          <w:rFonts w:ascii="Aptos" w:hAnsi="Aptos" w:cs="Times New Roman"/>
          <w:sz w:val="25"/>
          <w:szCs w:val="25"/>
        </w:rPr>
        <w:t>P</w:t>
      </w:r>
      <w:r w:rsidR="00CD7E81">
        <w:rPr>
          <w:rFonts w:ascii="Aptos" w:hAnsi="Aptos" w:cs="Times New Roman"/>
          <w:sz w:val="25"/>
          <w:szCs w:val="25"/>
        </w:rPr>
        <w:t>arty</w:t>
      </w:r>
      <w:r w:rsidR="009E61AE">
        <w:rPr>
          <w:rFonts w:ascii="Aptos" w:hAnsi="Aptos" w:cs="Times New Roman"/>
          <w:sz w:val="25"/>
          <w:szCs w:val="25"/>
        </w:rPr>
        <w:t xml:space="preserve"> since Parent has </w:t>
      </w:r>
      <w:r w:rsidR="006550C5">
        <w:rPr>
          <w:rFonts w:ascii="Aptos" w:hAnsi="Aptos" w:cs="Times New Roman"/>
          <w:sz w:val="25"/>
          <w:szCs w:val="25"/>
        </w:rPr>
        <w:t xml:space="preserve">requested more than just a residential placement in her </w:t>
      </w:r>
      <w:r w:rsidR="006550C5">
        <w:rPr>
          <w:rFonts w:ascii="Aptos" w:hAnsi="Aptos" w:cs="Times New Roman"/>
          <w:i/>
          <w:iCs/>
          <w:sz w:val="25"/>
          <w:szCs w:val="25"/>
        </w:rPr>
        <w:t>Hearing Request</w:t>
      </w:r>
      <w:r w:rsidR="009E61AE">
        <w:rPr>
          <w:rFonts w:ascii="Aptos" w:hAnsi="Aptos" w:cs="Times New Roman"/>
          <w:sz w:val="25"/>
          <w:szCs w:val="25"/>
        </w:rPr>
        <w:t xml:space="preserve">, </w:t>
      </w:r>
      <w:r w:rsidR="007C49EF">
        <w:rPr>
          <w:rFonts w:ascii="Aptos" w:hAnsi="Aptos" w:cs="Times New Roman"/>
          <w:sz w:val="25"/>
          <w:szCs w:val="25"/>
        </w:rPr>
        <w:t xml:space="preserve">including relief that </w:t>
      </w:r>
      <w:r w:rsidR="006550C5">
        <w:rPr>
          <w:rFonts w:ascii="Aptos" w:hAnsi="Aptos" w:cs="Times New Roman"/>
          <w:sz w:val="25"/>
          <w:szCs w:val="25"/>
        </w:rPr>
        <w:t xml:space="preserve">could involve </w:t>
      </w:r>
      <w:r w:rsidR="00597C92">
        <w:rPr>
          <w:rFonts w:ascii="Aptos" w:hAnsi="Aptos" w:cs="Times New Roman"/>
          <w:sz w:val="25"/>
          <w:szCs w:val="25"/>
        </w:rPr>
        <w:t xml:space="preserve">the provision of other non-residential services from DCF </w:t>
      </w:r>
      <w:proofErr w:type="gramStart"/>
      <w:r w:rsidR="005112DA">
        <w:rPr>
          <w:rFonts w:ascii="Aptos" w:hAnsi="Aptos" w:cs="Times New Roman"/>
          <w:sz w:val="25"/>
          <w:szCs w:val="25"/>
        </w:rPr>
        <w:t xml:space="preserve">in order </w:t>
      </w:r>
      <w:r w:rsidR="00597C92">
        <w:rPr>
          <w:rFonts w:ascii="Aptos" w:hAnsi="Aptos" w:cs="Times New Roman"/>
          <w:sz w:val="25"/>
          <w:szCs w:val="25"/>
        </w:rPr>
        <w:t>for</w:t>
      </w:r>
      <w:proofErr w:type="gramEnd"/>
      <w:r w:rsidR="00597C92">
        <w:rPr>
          <w:rFonts w:ascii="Aptos" w:hAnsi="Aptos" w:cs="Times New Roman"/>
          <w:sz w:val="25"/>
          <w:szCs w:val="25"/>
        </w:rPr>
        <w:t xml:space="preserve"> Student to receive a FAPE</w:t>
      </w:r>
      <w:r w:rsidR="00F21369">
        <w:rPr>
          <w:rFonts w:ascii="Aptos" w:hAnsi="Aptos" w:cs="Times New Roman"/>
          <w:sz w:val="25"/>
          <w:szCs w:val="25"/>
        </w:rPr>
        <w:t xml:space="preserve">.  Further, joining DCF fosters administrative efficiency.  Parent </w:t>
      </w:r>
      <w:r w:rsidR="004175D5">
        <w:rPr>
          <w:rFonts w:ascii="Aptos" w:hAnsi="Aptos" w:cs="Times New Roman"/>
          <w:sz w:val="25"/>
          <w:szCs w:val="25"/>
        </w:rPr>
        <w:t xml:space="preserve">also </w:t>
      </w:r>
      <w:r w:rsidR="00F21369">
        <w:rPr>
          <w:rFonts w:ascii="Aptos" w:hAnsi="Aptos" w:cs="Times New Roman"/>
          <w:sz w:val="25"/>
          <w:szCs w:val="25"/>
        </w:rPr>
        <w:t>challenges whether DCF’s regulations, in fact,</w:t>
      </w:r>
      <w:r w:rsidR="007424B6">
        <w:rPr>
          <w:rFonts w:ascii="Aptos" w:hAnsi="Aptos" w:cs="Times New Roman"/>
          <w:sz w:val="25"/>
          <w:szCs w:val="25"/>
        </w:rPr>
        <w:t xml:space="preserve"> limit residential funding to children who are only in </w:t>
      </w:r>
      <w:r w:rsidR="008F4037">
        <w:rPr>
          <w:rFonts w:ascii="Aptos" w:hAnsi="Aptos" w:cs="Times New Roman"/>
          <w:sz w:val="25"/>
          <w:szCs w:val="25"/>
        </w:rPr>
        <w:t>its “care” or “custody”</w:t>
      </w:r>
      <w:r w:rsidR="00B44F25">
        <w:rPr>
          <w:rStyle w:val="FootnoteReference"/>
          <w:rFonts w:ascii="Aptos" w:hAnsi="Aptos" w:cs="Times New Roman"/>
          <w:sz w:val="25"/>
          <w:szCs w:val="25"/>
        </w:rPr>
        <w:footnoteReference w:id="6"/>
      </w:r>
      <w:r w:rsidR="008F4037">
        <w:rPr>
          <w:rFonts w:ascii="Aptos" w:hAnsi="Aptos" w:cs="Times New Roman"/>
          <w:sz w:val="25"/>
          <w:szCs w:val="25"/>
        </w:rPr>
        <w:t>.</w:t>
      </w:r>
      <w:r w:rsidR="00214076">
        <w:rPr>
          <w:rFonts w:ascii="Aptos" w:hAnsi="Aptos" w:cs="Times New Roman"/>
          <w:sz w:val="25"/>
          <w:szCs w:val="25"/>
        </w:rPr>
        <w:t xml:space="preserve">  Finally, as to the </w:t>
      </w:r>
      <w:r w:rsidR="00214076">
        <w:rPr>
          <w:rFonts w:ascii="Aptos" w:hAnsi="Aptos" w:cs="Times New Roman"/>
          <w:i/>
          <w:iCs/>
          <w:sz w:val="25"/>
          <w:szCs w:val="25"/>
        </w:rPr>
        <w:t>DMH Motion</w:t>
      </w:r>
      <w:r w:rsidR="00214076">
        <w:rPr>
          <w:rFonts w:ascii="Aptos" w:hAnsi="Aptos" w:cs="Times New Roman"/>
          <w:sz w:val="25"/>
          <w:szCs w:val="25"/>
        </w:rPr>
        <w:t xml:space="preserve">, </w:t>
      </w:r>
      <w:r w:rsidR="00BB657B">
        <w:rPr>
          <w:rFonts w:ascii="Aptos" w:hAnsi="Aptos" w:cs="Times New Roman"/>
          <w:sz w:val="25"/>
          <w:szCs w:val="25"/>
        </w:rPr>
        <w:t xml:space="preserve">Parent </w:t>
      </w:r>
      <w:r w:rsidR="005445D5">
        <w:rPr>
          <w:rFonts w:ascii="Aptos" w:hAnsi="Aptos" w:cs="Times New Roman"/>
          <w:sz w:val="25"/>
          <w:szCs w:val="25"/>
        </w:rPr>
        <w:t xml:space="preserve">contends </w:t>
      </w:r>
      <w:r w:rsidR="007C49EF">
        <w:rPr>
          <w:rFonts w:ascii="Aptos" w:hAnsi="Aptos" w:cs="Times New Roman"/>
          <w:sz w:val="25"/>
          <w:szCs w:val="25"/>
        </w:rPr>
        <w:t xml:space="preserve">that DMH is also a necessary </w:t>
      </w:r>
      <w:r w:rsidR="00BD5395">
        <w:rPr>
          <w:rFonts w:ascii="Aptos" w:hAnsi="Aptos" w:cs="Times New Roman"/>
          <w:sz w:val="25"/>
          <w:szCs w:val="25"/>
        </w:rPr>
        <w:t>P</w:t>
      </w:r>
      <w:r w:rsidR="007C49EF">
        <w:rPr>
          <w:rFonts w:ascii="Aptos" w:hAnsi="Aptos" w:cs="Times New Roman"/>
          <w:sz w:val="25"/>
          <w:szCs w:val="25"/>
        </w:rPr>
        <w:t>arty</w:t>
      </w:r>
      <w:r w:rsidR="00BD5395">
        <w:rPr>
          <w:rFonts w:ascii="Aptos" w:hAnsi="Aptos" w:cs="Times New Roman"/>
          <w:sz w:val="25"/>
          <w:szCs w:val="25"/>
        </w:rPr>
        <w:t>,</w:t>
      </w:r>
      <w:r w:rsidR="00BC2412">
        <w:rPr>
          <w:rFonts w:ascii="Aptos" w:hAnsi="Aptos" w:cs="Times New Roman"/>
          <w:sz w:val="25"/>
          <w:szCs w:val="25"/>
        </w:rPr>
        <w:t xml:space="preserve"> and she </w:t>
      </w:r>
      <w:r w:rsidR="006A21B1">
        <w:rPr>
          <w:rFonts w:ascii="Aptos" w:hAnsi="Aptos" w:cs="Times New Roman"/>
          <w:sz w:val="25"/>
          <w:szCs w:val="25"/>
        </w:rPr>
        <w:t xml:space="preserve">has </w:t>
      </w:r>
      <w:r w:rsidR="00BC2412">
        <w:rPr>
          <w:rFonts w:ascii="Aptos" w:hAnsi="Aptos" w:cs="Times New Roman"/>
          <w:sz w:val="25"/>
          <w:szCs w:val="25"/>
        </w:rPr>
        <w:t>show</w:t>
      </w:r>
      <w:r w:rsidR="006A21B1">
        <w:rPr>
          <w:rFonts w:ascii="Aptos" w:hAnsi="Aptos" w:cs="Times New Roman"/>
          <w:sz w:val="25"/>
          <w:szCs w:val="25"/>
        </w:rPr>
        <w:t>n</w:t>
      </w:r>
      <w:r w:rsidR="00BC2412">
        <w:rPr>
          <w:rFonts w:ascii="Aptos" w:hAnsi="Aptos" w:cs="Times New Roman"/>
          <w:sz w:val="25"/>
          <w:szCs w:val="25"/>
        </w:rPr>
        <w:t xml:space="preserve"> “at least in a preliminary way” that DMH could be responsible to offer some service</w:t>
      </w:r>
      <w:r w:rsidR="000C670B">
        <w:rPr>
          <w:rFonts w:ascii="Aptos" w:hAnsi="Aptos" w:cs="Times New Roman"/>
          <w:sz w:val="25"/>
          <w:szCs w:val="25"/>
        </w:rPr>
        <w:t>s</w:t>
      </w:r>
      <w:r w:rsidR="007C49EF">
        <w:rPr>
          <w:rFonts w:ascii="Aptos" w:hAnsi="Aptos" w:cs="Times New Roman"/>
          <w:sz w:val="25"/>
          <w:szCs w:val="25"/>
        </w:rPr>
        <w:t>.  According to Parent, c</w:t>
      </w:r>
      <w:r w:rsidR="00CF7C99">
        <w:rPr>
          <w:rFonts w:ascii="Aptos" w:hAnsi="Aptos" w:cs="Times New Roman"/>
          <w:sz w:val="25"/>
          <w:szCs w:val="25"/>
        </w:rPr>
        <w:t xml:space="preserve">onsistent with DMH’s regulations, </w:t>
      </w:r>
      <w:r w:rsidR="00971010">
        <w:rPr>
          <w:rFonts w:ascii="Aptos" w:hAnsi="Aptos" w:cs="Times New Roman"/>
          <w:sz w:val="25"/>
          <w:szCs w:val="25"/>
        </w:rPr>
        <w:t>it is possible that</w:t>
      </w:r>
      <w:r w:rsidR="00666B83">
        <w:rPr>
          <w:rFonts w:ascii="Aptos" w:hAnsi="Aptos" w:cs="Times New Roman"/>
          <w:sz w:val="25"/>
          <w:szCs w:val="25"/>
        </w:rPr>
        <w:t xml:space="preserve">, after a hearing, the BSEA could determine Student requires </w:t>
      </w:r>
      <w:r w:rsidR="00CF7C99">
        <w:rPr>
          <w:rFonts w:ascii="Aptos" w:hAnsi="Aptos" w:cs="Times New Roman"/>
          <w:sz w:val="25"/>
          <w:szCs w:val="25"/>
        </w:rPr>
        <w:t xml:space="preserve">residential services </w:t>
      </w:r>
      <w:r w:rsidR="00666B83">
        <w:rPr>
          <w:rFonts w:ascii="Aptos" w:hAnsi="Aptos" w:cs="Times New Roman"/>
          <w:sz w:val="25"/>
          <w:szCs w:val="25"/>
        </w:rPr>
        <w:t>for non-educational reasons.  In such a case</w:t>
      </w:r>
      <w:r w:rsidR="000247C8">
        <w:rPr>
          <w:rFonts w:ascii="Aptos" w:hAnsi="Aptos" w:cs="Times New Roman"/>
          <w:sz w:val="25"/>
          <w:szCs w:val="25"/>
        </w:rPr>
        <w:t xml:space="preserve">, the Hearing Officer could </w:t>
      </w:r>
      <w:r w:rsidR="00762CB0">
        <w:rPr>
          <w:rFonts w:ascii="Aptos" w:hAnsi="Aptos" w:cs="Times New Roman"/>
          <w:sz w:val="25"/>
          <w:szCs w:val="25"/>
        </w:rPr>
        <w:t xml:space="preserve">make residential placement </w:t>
      </w:r>
      <w:r w:rsidR="000247C8">
        <w:rPr>
          <w:rFonts w:ascii="Aptos" w:hAnsi="Aptos" w:cs="Times New Roman"/>
          <w:sz w:val="25"/>
          <w:szCs w:val="25"/>
        </w:rPr>
        <w:t>order</w:t>
      </w:r>
      <w:r w:rsidR="00762CB0">
        <w:rPr>
          <w:rFonts w:ascii="Aptos" w:hAnsi="Aptos" w:cs="Times New Roman"/>
          <w:sz w:val="25"/>
          <w:szCs w:val="25"/>
        </w:rPr>
        <w:t>s</w:t>
      </w:r>
      <w:r w:rsidR="00C23D57">
        <w:rPr>
          <w:rFonts w:ascii="Aptos" w:hAnsi="Aptos" w:cs="Times New Roman"/>
          <w:sz w:val="25"/>
          <w:szCs w:val="25"/>
        </w:rPr>
        <w:t xml:space="preserve"> to</w:t>
      </w:r>
      <w:r w:rsidR="000247C8">
        <w:rPr>
          <w:rFonts w:ascii="Aptos" w:hAnsi="Aptos" w:cs="Times New Roman"/>
          <w:sz w:val="25"/>
          <w:szCs w:val="25"/>
        </w:rPr>
        <w:t xml:space="preserve"> DMH </w:t>
      </w:r>
      <w:r w:rsidR="00CF7C99">
        <w:rPr>
          <w:rFonts w:ascii="Aptos" w:hAnsi="Aptos" w:cs="Times New Roman"/>
          <w:sz w:val="25"/>
          <w:szCs w:val="25"/>
        </w:rPr>
        <w:t xml:space="preserve">for non-educational reasons, </w:t>
      </w:r>
      <w:r w:rsidR="002D7ECF">
        <w:rPr>
          <w:rFonts w:ascii="Aptos" w:hAnsi="Aptos" w:cs="Times New Roman"/>
          <w:sz w:val="25"/>
          <w:szCs w:val="25"/>
        </w:rPr>
        <w:t xml:space="preserve">or </w:t>
      </w:r>
      <w:r w:rsidR="00C23D57">
        <w:rPr>
          <w:rFonts w:ascii="Aptos" w:hAnsi="Aptos" w:cs="Times New Roman"/>
          <w:sz w:val="25"/>
          <w:szCs w:val="25"/>
        </w:rPr>
        <w:t xml:space="preserve">on an </w:t>
      </w:r>
      <w:r w:rsidR="00CF7C99">
        <w:rPr>
          <w:rFonts w:ascii="Aptos" w:hAnsi="Aptos" w:cs="Times New Roman"/>
          <w:sz w:val="25"/>
          <w:szCs w:val="25"/>
        </w:rPr>
        <w:t xml:space="preserve">emergency short-term </w:t>
      </w:r>
      <w:r w:rsidR="00C23D57">
        <w:rPr>
          <w:rFonts w:ascii="Aptos" w:hAnsi="Aptos" w:cs="Times New Roman"/>
          <w:sz w:val="25"/>
          <w:szCs w:val="25"/>
        </w:rPr>
        <w:t>basis</w:t>
      </w:r>
      <w:r w:rsidR="00CF7C99">
        <w:rPr>
          <w:rFonts w:ascii="Aptos" w:hAnsi="Aptos" w:cs="Times New Roman"/>
          <w:sz w:val="25"/>
          <w:szCs w:val="25"/>
        </w:rPr>
        <w:t xml:space="preserve">, </w:t>
      </w:r>
      <w:r w:rsidR="00E43409">
        <w:rPr>
          <w:rFonts w:ascii="Aptos" w:hAnsi="Aptos" w:cs="Times New Roman"/>
          <w:sz w:val="25"/>
          <w:szCs w:val="25"/>
        </w:rPr>
        <w:t xml:space="preserve">or otherwise find </w:t>
      </w:r>
      <w:r w:rsidR="0073478F">
        <w:rPr>
          <w:rFonts w:ascii="Aptos" w:hAnsi="Aptos" w:cs="Times New Roman"/>
          <w:sz w:val="25"/>
          <w:szCs w:val="25"/>
        </w:rPr>
        <w:t xml:space="preserve">DMH </w:t>
      </w:r>
      <w:r w:rsidR="00E43409">
        <w:rPr>
          <w:rFonts w:ascii="Aptos" w:hAnsi="Aptos" w:cs="Times New Roman"/>
          <w:sz w:val="25"/>
          <w:szCs w:val="25"/>
        </w:rPr>
        <w:t xml:space="preserve">auxiliary services are needed.  </w:t>
      </w:r>
      <w:r w:rsidR="006A21B1">
        <w:rPr>
          <w:rFonts w:ascii="Aptos" w:hAnsi="Aptos" w:cs="Times New Roman"/>
          <w:sz w:val="25"/>
          <w:szCs w:val="25"/>
        </w:rPr>
        <w:t xml:space="preserve">Since </w:t>
      </w:r>
      <w:r w:rsidR="006D01B5">
        <w:rPr>
          <w:rFonts w:ascii="Aptos" w:hAnsi="Aptos" w:cs="Times New Roman"/>
          <w:sz w:val="25"/>
          <w:szCs w:val="25"/>
        </w:rPr>
        <w:t xml:space="preserve">any </w:t>
      </w:r>
      <w:r w:rsidR="002D7ECF">
        <w:rPr>
          <w:rFonts w:ascii="Aptos" w:hAnsi="Aptos" w:cs="Times New Roman"/>
          <w:sz w:val="25"/>
          <w:szCs w:val="25"/>
        </w:rPr>
        <w:t xml:space="preserve">such </w:t>
      </w:r>
      <w:r w:rsidR="0073478F">
        <w:rPr>
          <w:rFonts w:ascii="Aptos" w:hAnsi="Aptos" w:cs="Times New Roman"/>
          <w:sz w:val="25"/>
          <w:szCs w:val="25"/>
        </w:rPr>
        <w:t xml:space="preserve">Orders </w:t>
      </w:r>
      <w:r w:rsidR="002D7ECF">
        <w:rPr>
          <w:rFonts w:ascii="Aptos" w:hAnsi="Aptos" w:cs="Times New Roman"/>
          <w:sz w:val="25"/>
          <w:szCs w:val="25"/>
        </w:rPr>
        <w:t xml:space="preserve">are </w:t>
      </w:r>
      <w:r w:rsidR="006D01B5">
        <w:rPr>
          <w:rFonts w:ascii="Aptos" w:hAnsi="Aptos" w:cs="Times New Roman"/>
          <w:sz w:val="25"/>
          <w:szCs w:val="25"/>
        </w:rPr>
        <w:t xml:space="preserve">beyond the responsibility of the </w:t>
      </w:r>
      <w:proofErr w:type="gramStart"/>
      <w:r w:rsidR="006D01B5">
        <w:rPr>
          <w:rFonts w:ascii="Aptos" w:hAnsi="Aptos" w:cs="Times New Roman"/>
          <w:sz w:val="25"/>
          <w:szCs w:val="25"/>
        </w:rPr>
        <w:t>District</w:t>
      </w:r>
      <w:proofErr w:type="gramEnd"/>
      <w:r w:rsidR="006D01B5">
        <w:rPr>
          <w:rFonts w:ascii="Aptos" w:hAnsi="Aptos" w:cs="Times New Roman"/>
          <w:sz w:val="25"/>
          <w:szCs w:val="25"/>
        </w:rPr>
        <w:t>, it “would be impossible to grant full relie</w:t>
      </w:r>
      <w:r w:rsidR="00AA3825">
        <w:rPr>
          <w:rFonts w:ascii="Aptos" w:hAnsi="Aptos" w:cs="Times New Roman"/>
          <w:sz w:val="25"/>
          <w:szCs w:val="25"/>
        </w:rPr>
        <w:t>f</w:t>
      </w:r>
      <w:r w:rsidR="006D01B5">
        <w:rPr>
          <w:rFonts w:ascii="Aptos" w:hAnsi="Aptos" w:cs="Times New Roman"/>
          <w:sz w:val="25"/>
          <w:szCs w:val="25"/>
        </w:rPr>
        <w:t xml:space="preserve"> in DMH’s absence”.  </w:t>
      </w:r>
    </w:p>
    <w:p w14:paraId="4D050564" w14:textId="77777777" w:rsidR="00AA3825" w:rsidRDefault="00AA3825" w:rsidP="0016676E">
      <w:pPr>
        <w:spacing w:after="0" w:line="240" w:lineRule="auto"/>
        <w:rPr>
          <w:rFonts w:ascii="Aptos" w:hAnsi="Aptos" w:cs="Times New Roman"/>
          <w:sz w:val="25"/>
          <w:szCs w:val="25"/>
        </w:rPr>
      </w:pPr>
    </w:p>
    <w:p w14:paraId="51A6A277" w14:textId="0EA1B996" w:rsidR="0016676E" w:rsidRPr="000467B1" w:rsidRDefault="0016676E" w:rsidP="0016676E">
      <w:pPr>
        <w:spacing w:after="0" w:line="240" w:lineRule="auto"/>
        <w:rPr>
          <w:rFonts w:ascii="Aptos" w:hAnsi="Aptos" w:cs="Times New Roman"/>
          <w:b/>
          <w:bCs/>
          <w:sz w:val="25"/>
          <w:szCs w:val="25"/>
        </w:rPr>
      </w:pPr>
      <w:r w:rsidRPr="000467B1">
        <w:rPr>
          <w:rFonts w:ascii="Aptos" w:hAnsi="Aptos" w:cs="Times New Roman"/>
          <w:b/>
          <w:bCs/>
          <w:sz w:val="25"/>
          <w:szCs w:val="25"/>
        </w:rPr>
        <w:t>LEGAL STANDARD</w:t>
      </w:r>
      <w:r w:rsidR="005112DA">
        <w:rPr>
          <w:rFonts w:ascii="Aptos" w:hAnsi="Aptos" w:cs="Times New Roman"/>
          <w:b/>
          <w:bCs/>
          <w:sz w:val="25"/>
          <w:szCs w:val="25"/>
        </w:rPr>
        <w:t>S</w:t>
      </w:r>
    </w:p>
    <w:p w14:paraId="00B382B4" w14:textId="77777777" w:rsidR="0016676E" w:rsidRPr="000467B1" w:rsidRDefault="0016676E" w:rsidP="0016676E">
      <w:pPr>
        <w:spacing w:after="0" w:line="240" w:lineRule="auto"/>
        <w:rPr>
          <w:rFonts w:ascii="Aptos" w:eastAsia="Times New Roman" w:hAnsi="Aptos" w:cs="Times New Roman"/>
          <w:bCs/>
          <w:color w:val="000000"/>
          <w:sz w:val="25"/>
          <w:szCs w:val="25"/>
        </w:rPr>
      </w:pPr>
    </w:p>
    <w:p w14:paraId="1129A0D4" w14:textId="6D197C24" w:rsidR="00894CD6" w:rsidRDefault="00894CD6" w:rsidP="0016676E">
      <w:pPr>
        <w:spacing w:after="0" w:line="240" w:lineRule="auto"/>
        <w:rPr>
          <w:rFonts w:ascii="Aptos" w:eastAsia="Times New Roman" w:hAnsi="Aptos" w:cs="Times New Roman"/>
          <w:bCs/>
          <w:color w:val="000000"/>
          <w:sz w:val="25"/>
          <w:szCs w:val="25"/>
          <w:u w:val="single"/>
        </w:rPr>
      </w:pPr>
      <w:r>
        <w:rPr>
          <w:rFonts w:ascii="Aptos" w:eastAsia="Times New Roman" w:hAnsi="Aptos" w:cs="Times New Roman"/>
          <w:bCs/>
          <w:color w:val="000000"/>
          <w:sz w:val="25"/>
          <w:szCs w:val="25"/>
          <w:u w:val="single"/>
        </w:rPr>
        <w:t>I.</w:t>
      </w:r>
      <w:r>
        <w:rPr>
          <w:rFonts w:ascii="Aptos" w:eastAsia="Times New Roman" w:hAnsi="Aptos" w:cs="Times New Roman"/>
          <w:bCs/>
          <w:color w:val="000000"/>
          <w:sz w:val="25"/>
          <w:szCs w:val="25"/>
          <w:u w:val="single"/>
        </w:rPr>
        <w:tab/>
        <w:t>Motion</w:t>
      </w:r>
      <w:r w:rsidR="00CE4447">
        <w:rPr>
          <w:rFonts w:ascii="Aptos" w:eastAsia="Times New Roman" w:hAnsi="Aptos" w:cs="Times New Roman"/>
          <w:bCs/>
          <w:color w:val="000000"/>
          <w:sz w:val="25"/>
          <w:szCs w:val="25"/>
          <w:u w:val="single"/>
        </w:rPr>
        <w:t>s</w:t>
      </w:r>
      <w:r>
        <w:rPr>
          <w:rFonts w:ascii="Aptos" w:eastAsia="Times New Roman" w:hAnsi="Aptos" w:cs="Times New Roman"/>
          <w:bCs/>
          <w:color w:val="000000"/>
          <w:sz w:val="25"/>
          <w:szCs w:val="25"/>
          <w:u w:val="single"/>
        </w:rPr>
        <w:t xml:space="preserve"> to Dismiss</w:t>
      </w:r>
    </w:p>
    <w:p w14:paraId="58734243" w14:textId="77777777" w:rsidR="00A9719B" w:rsidRDefault="00A9719B" w:rsidP="00A73DC5">
      <w:pPr>
        <w:spacing w:after="0" w:line="240" w:lineRule="auto"/>
        <w:rPr>
          <w:rFonts w:ascii="Aptos" w:eastAsia="Times New Roman" w:hAnsi="Aptos" w:cs="Times New Roman"/>
          <w:bCs/>
          <w:color w:val="000000"/>
          <w:sz w:val="25"/>
          <w:szCs w:val="25"/>
        </w:rPr>
      </w:pPr>
    </w:p>
    <w:p w14:paraId="5D2FB731" w14:textId="1CB35ADC" w:rsidR="00A73DC5" w:rsidRPr="00A73DC5" w:rsidRDefault="00A73DC5" w:rsidP="00A73DC5">
      <w:pPr>
        <w:spacing w:after="0" w:line="240" w:lineRule="auto"/>
        <w:rPr>
          <w:rFonts w:ascii="Aptos" w:eastAsia="Times New Roman" w:hAnsi="Aptos" w:cs="Times New Roman"/>
          <w:bCs/>
          <w:color w:val="000000"/>
          <w:sz w:val="25"/>
          <w:szCs w:val="25"/>
        </w:rPr>
      </w:pPr>
      <w:r w:rsidRPr="00A73DC5">
        <w:rPr>
          <w:rFonts w:ascii="Aptos" w:eastAsia="Times New Roman" w:hAnsi="Aptos" w:cs="Times New Roman"/>
          <w:bCs/>
          <w:color w:val="000000"/>
          <w:sz w:val="25"/>
          <w:szCs w:val="25"/>
        </w:rPr>
        <w:t>Rule XVI(B)</w:t>
      </w:r>
      <w:r w:rsidR="0087523E">
        <w:rPr>
          <w:rFonts w:ascii="Aptos" w:eastAsia="Times New Roman" w:hAnsi="Aptos" w:cs="Times New Roman"/>
          <w:bCs/>
          <w:color w:val="000000"/>
          <w:sz w:val="25"/>
          <w:szCs w:val="25"/>
        </w:rPr>
        <w:t>(1) and (4)</w:t>
      </w:r>
      <w:r w:rsidRPr="00A73DC5">
        <w:rPr>
          <w:rFonts w:ascii="Aptos" w:eastAsia="Times New Roman" w:hAnsi="Aptos" w:cs="Times New Roman"/>
          <w:bCs/>
          <w:color w:val="000000"/>
          <w:sz w:val="25"/>
          <w:szCs w:val="25"/>
        </w:rPr>
        <w:t xml:space="preserve"> of the </w:t>
      </w:r>
      <w:r w:rsidRPr="00A73DC5">
        <w:rPr>
          <w:rFonts w:ascii="Aptos" w:eastAsia="Times New Roman" w:hAnsi="Aptos" w:cs="Times New Roman"/>
          <w:bCs/>
          <w:i/>
          <w:iCs/>
          <w:color w:val="000000"/>
          <w:sz w:val="25"/>
          <w:szCs w:val="25"/>
        </w:rPr>
        <w:t>Hearing Rules for Special Education Appeals </w:t>
      </w:r>
      <w:r w:rsidRPr="00A73DC5">
        <w:rPr>
          <w:rFonts w:ascii="Aptos" w:eastAsia="Times New Roman" w:hAnsi="Aptos" w:cs="Times New Roman"/>
          <w:bCs/>
          <w:color w:val="000000"/>
          <w:sz w:val="25"/>
          <w:szCs w:val="25"/>
        </w:rPr>
        <w:t xml:space="preserve">and 801 CMR 1.01(7)(g)(3), allows </w:t>
      </w:r>
      <w:r w:rsidR="00C621E5">
        <w:rPr>
          <w:rFonts w:ascii="Aptos" w:eastAsia="Times New Roman" w:hAnsi="Aptos" w:cs="Times New Roman"/>
          <w:bCs/>
          <w:color w:val="000000"/>
          <w:sz w:val="25"/>
          <w:szCs w:val="25"/>
        </w:rPr>
        <w:t xml:space="preserve">for dismissal of a hearing request if the BSEA </w:t>
      </w:r>
      <w:r w:rsidRPr="00A73DC5">
        <w:rPr>
          <w:rFonts w:ascii="Aptos" w:eastAsia="Times New Roman" w:hAnsi="Aptos" w:cs="Times New Roman"/>
          <w:bCs/>
          <w:color w:val="000000"/>
          <w:sz w:val="25"/>
          <w:szCs w:val="25"/>
        </w:rPr>
        <w:t xml:space="preserve">lacks jurisdiction over a claim or if </w:t>
      </w:r>
      <w:r w:rsidR="00A6406A">
        <w:rPr>
          <w:rFonts w:ascii="Aptos" w:eastAsia="Times New Roman" w:hAnsi="Aptos" w:cs="Times New Roman"/>
          <w:bCs/>
          <w:color w:val="000000"/>
          <w:sz w:val="25"/>
          <w:szCs w:val="25"/>
        </w:rPr>
        <w:t xml:space="preserve">a </w:t>
      </w:r>
      <w:r w:rsidRPr="00A73DC5">
        <w:rPr>
          <w:rFonts w:ascii="Aptos" w:eastAsia="Times New Roman" w:hAnsi="Aptos" w:cs="Times New Roman"/>
          <w:bCs/>
          <w:color w:val="000000"/>
          <w:sz w:val="25"/>
          <w:szCs w:val="25"/>
        </w:rPr>
        <w:t>party requesting the hearing fails to state a claim upon which relief can be granted</w:t>
      </w:r>
      <w:r w:rsidRPr="00A73DC5">
        <w:rPr>
          <w:rFonts w:ascii="Aptos" w:eastAsia="Times New Roman" w:hAnsi="Aptos" w:cs="Times New Roman"/>
          <w:bCs/>
          <w:color w:val="000000"/>
          <w:sz w:val="25"/>
          <w:szCs w:val="25"/>
          <w:vertAlign w:val="superscript"/>
        </w:rPr>
        <w:footnoteReference w:id="7"/>
      </w:r>
      <w:r w:rsidRPr="00A73DC5">
        <w:rPr>
          <w:rFonts w:ascii="Aptos" w:eastAsia="Times New Roman" w:hAnsi="Aptos" w:cs="Times New Roman"/>
          <w:bCs/>
          <w:color w:val="000000"/>
          <w:sz w:val="25"/>
          <w:szCs w:val="25"/>
        </w:rPr>
        <w:t>.  To survive a motion to dismiss, there must exist “factual ‘allegations plausibly suggesting (not merely consistent with)’ an entitlement to relief…”</w:t>
      </w:r>
      <w:r w:rsidRPr="00A73DC5">
        <w:rPr>
          <w:rFonts w:ascii="Aptos" w:eastAsia="Times New Roman" w:hAnsi="Aptos" w:cs="Times New Roman"/>
          <w:bCs/>
          <w:color w:val="000000"/>
          <w:sz w:val="25"/>
          <w:szCs w:val="25"/>
          <w:vertAlign w:val="superscript"/>
        </w:rPr>
        <w:footnoteReference w:id="8"/>
      </w:r>
      <w:r w:rsidRPr="00A73DC5">
        <w:rPr>
          <w:rFonts w:ascii="Aptos" w:eastAsia="Times New Roman" w:hAnsi="Aptos" w:cs="Times New Roman"/>
          <w:bCs/>
          <w:color w:val="000000"/>
          <w:sz w:val="25"/>
          <w:szCs w:val="25"/>
        </w:rPr>
        <w:t xml:space="preserve">.  The hearing officer </w:t>
      </w:r>
      <w:r w:rsidRPr="00A73DC5">
        <w:rPr>
          <w:rFonts w:ascii="Aptos" w:eastAsia="Times New Roman" w:hAnsi="Aptos" w:cs="Times New Roman"/>
          <w:bCs/>
          <w:color w:val="000000"/>
          <w:sz w:val="25"/>
          <w:szCs w:val="25"/>
        </w:rPr>
        <w:lastRenderedPageBreak/>
        <w:t>must take as true “the allegations of the complaint, as well as such inferences as may be drawn therefrom in the plaintiff’s favor”</w:t>
      </w:r>
      <w:r w:rsidRPr="00A73DC5">
        <w:rPr>
          <w:rFonts w:ascii="Aptos" w:eastAsia="Times New Roman" w:hAnsi="Aptos" w:cs="Times New Roman"/>
          <w:bCs/>
          <w:color w:val="000000"/>
          <w:sz w:val="25"/>
          <w:szCs w:val="25"/>
          <w:vertAlign w:val="superscript"/>
        </w:rPr>
        <w:footnoteReference w:id="9"/>
      </w:r>
      <w:r w:rsidRPr="00A73DC5">
        <w:rPr>
          <w:rFonts w:ascii="Aptos" w:eastAsia="Times New Roman" w:hAnsi="Aptos" w:cs="Times New Roman"/>
          <w:bCs/>
          <w:color w:val="000000"/>
          <w:sz w:val="25"/>
          <w:szCs w:val="25"/>
        </w:rPr>
        <w:t>.  “Factual allegations must be enough to raise a right to relief above the speculative level... [based] on the assumption that all the allegations in the [hearing request] (even if doubtful in fact) ....”</w:t>
      </w:r>
      <w:r w:rsidR="00DE702C">
        <w:rPr>
          <w:rStyle w:val="FootnoteReference"/>
          <w:rFonts w:ascii="Aptos" w:eastAsia="Times New Roman" w:hAnsi="Aptos" w:cs="Times New Roman"/>
          <w:bCs/>
          <w:color w:val="000000"/>
          <w:sz w:val="25"/>
          <w:szCs w:val="25"/>
        </w:rPr>
        <w:footnoteReference w:id="10"/>
      </w:r>
      <w:r w:rsidR="00DE702C">
        <w:rPr>
          <w:rFonts w:ascii="Aptos" w:eastAsia="Times New Roman" w:hAnsi="Aptos" w:cs="Times New Roman"/>
          <w:bCs/>
          <w:color w:val="000000"/>
          <w:sz w:val="25"/>
          <w:szCs w:val="25"/>
        </w:rPr>
        <w:t>.</w:t>
      </w:r>
      <w:r w:rsidRPr="00A73DC5">
        <w:rPr>
          <w:rFonts w:ascii="Aptos" w:eastAsia="Times New Roman" w:hAnsi="Aptos" w:cs="Times New Roman"/>
          <w:bCs/>
          <w:color w:val="000000"/>
          <w:sz w:val="25"/>
          <w:szCs w:val="25"/>
        </w:rPr>
        <w:t xml:space="preserve">  </w:t>
      </w:r>
    </w:p>
    <w:p w14:paraId="0A93B389" w14:textId="77777777" w:rsidR="00A73DC5" w:rsidRPr="00A73DC5" w:rsidRDefault="00A73DC5" w:rsidP="00A73DC5">
      <w:pPr>
        <w:spacing w:after="0" w:line="240" w:lineRule="auto"/>
        <w:rPr>
          <w:rFonts w:ascii="Aptos" w:eastAsia="Times New Roman" w:hAnsi="Aptos" w:cs="Times New Roman"/>
          <w:bCs/>
          <w:color w:val="000000"/>
          <w:sz w:val="25"/>
          <w:szCs w:val="25"/>
        </w:rPr>
      </w:pPr>
    </w:p>
    <w:p w14:paraId="14888D76" w14:textId="1B8484A9" w:rsidR="00A73DC5" w:rsidRPr="00A73DC5" w:rsidRDefault="005F2328" w:rsidP="00A73DC5">
      <w:pPr>
        <w:spacing w:after="0" w:line="240" w:lineRule="auto"/>
        <w:rPr>
          <w:rFonts w:ascii="Aptos" w:eastAsia="Times New Roman" w:hAnsi="Aptos" w:cs="Times New Roman"/>
          <w:bCs/>
          <w:i/>
          <w:iCs/>
          <w:color w:val="000000"/>
          <w:sz w:val="25"/>
          <w:szCs w:val="25"/>
          <w:u w:val="single"/>
        </w:rPr>
      </w:pPr>
      <w:r w:rsidRPr="005F2328">
        <w:rPr>
          <w:rFonts w:ascii="Aptos" w:eastAsia="Times New Roman" w:hAnsi="Aptos" w:cs="Times New Roman"/>
          <w:bCs/>
          <w:color w:val="000000"/>
          <w:sz w:val="25"/>
          <w:szCs w:val="25"/>
          <w:u w:val="single"/>
        </w:rPr>
        <w:t>II.</w:t>
      </w:r>
      <w:r w:rsidRPr="005F2328">
        <w:rPr>
          <w:rFonts w:ascii="Aptos" w:eastAsia="Times New Roman" w:hAnsi="Aptos" w:cs="Times New Roman"/>
          <w:bCs/>
          <w:color w:val="000000"/>
          <w:sz w:val="25"/>
          <w:szCs w:val="25"/>
          <w:u w:val="single"/>
        </w:rPr>
        <w:tab/>
      </w:r>
      <w:r w:rsidR="00A73DC5" w:rsidRPr="00A73DC5">
        <w:rPr>
          <w:rFonts w:ascii="Aptos" w:eastAsia="Times New Roman" w:hAnsi="Aptos" w:cs="Times New Roman"/>
          <w:bCs/>
          <w:color w:val="000000"/>
          <w:sz w:val="25"/>
          <w:szCs w:val="25"/>
          <w:u w:val="single"/>
        </w:rPr>
        <w:t>Jurisdiction of BSEA</w:t>
      </w:r>
      <w:r w:rsidR="00052F4B">
        <w:rPr>
          <w:rFonts w:ascii="Aptos" w:eastAsia="Times New Roman" w:hAnsi="Aptos" w:cs="Times New Roman"/>
          <w:bCs/>
          <w:color w:val="000000"/>
          <w:sz w:val="25"/>
          <w:szCs w:val="25"/>
          <w:u w:val="single"/>
        </w:rPr>
        <w:t xml:space="preserve"> </w:t>
      </w:r>
      <w:r w:rsidR="007A3861">
        <w:rPr>
          <w:rFonts w:ascii="Aptos" w:eastAsia="Times New Roman" w:hAnsi="Aptos" w:cs="Times New Roman"/>
          <w:bCs/>
          <w:color w:val="000000"/>
          <w:sz w:val="25"/>
          <w:szCs w:val="25"/>
          <w:u w:val="single"/>
        </w:rPr>
        <w:t xml:space="preserve">Generally </w:t>
      </w:r>
      <w:r w:rsidR="00052F4B">
        <w:rPr>
          <w:rFonts w:ascii="Aptos" w:eastAsia="Times New Roman" w:hAnsi="Aptos" w:cs="Times New Roman"/>
          <w:bCs/>
          <w:color w:val="000000"/>
          <w:sz w:val="25"/>
          <w:szCs w:val="25"/>
          <w:u w:val="single"/>
        </w:rPr>
        <w:t xml:space="preserve">and </w:t>
      </w:r>
      <w:r w:rsidR="007A3861">
        <w:rPr>
          <w:rFonts w:ascii="Aptos" w:eastAsia="Times New Roman" w:hAnsi="Aptos" w:cs="Times New Roman"/>
          <w:bCs/>
          <w:color w:val="000000"/>
          <w:sz w:val="25"/>
          <w:szCs w:val="25"/>
          <w:u w:val="single"/>
        </w:rPr>
        <w:t xml:space="preserve">Over </w:t>
      </w:r>
      <w:r w:rsidR="00052F4B">
        <w:rPr>
          <w:rFonts w:ascii="Aptos" w:eastAsia="Times New Roman" w:hAnsi="Aptos" w:cs="Times New Roman"/>
          <w:bCs/>
          <w:color w:val="000000"/>
          <w:sz w:val="25"/>
          <w:szCs w:val="25"/>
          <w:u w:val="single"/>
        </w:rPr>
        <w:t>Settlement Agreements</w:t>
      </w:r>
    </w:p>
    <w:p w14:paraId="55A7A289" w14:textId="77777777" w:rsidR="00A73DC5" w:rsidRPr="00A73DC5" w:rsidRDefault="00A73DC5" w:rsidP="00A73DC5">
      <w:pPr>
        <w:spacing w:after="0" w:line="240" w:lineRule="auto"/>
        <w:rPr>
          <w:rFonts w:ascii="Aptos" w:eastAsia="Times New Roman" w:hAnsi="Aptos" w:cs="Times New Roman"/>
          <w:bCs/>
          <w:i/>
          <w:iCs/>
          <w:color w:val="000000"/>
          <w:sz w:val="25"/>
          <w:szCs w:val="25"/>
        </w:rPr>
      </w:pPr>
    </w:p>
    <w:p w14:paraId="282C0C22" w14:textId="1968BC40" w:rsidR="007C408B" w:rsidRDefault="00A73DC5" w:rsidP="0016676E">
      <w:pPr>
        <w:spacing w:after="0" w:line="240" w:lineRule="auto"/>
        <w:rPr>
          <w:rFonts w:ascii="Aptos" w:eastAsia="Times New Roman" w:hAnsi="Aptos" w:cs="Times New Roman"/>
          <w:bCs/>
          <w:color w:val="000000"/>
          <w:sz w:val="25"/>
          <w:szCs w:val="25"/>
        </w:rPr>
      </w:pPr>
      <w:r w:rsidRPr="00A73DC5">
        <w:rPr>
          <w:rFonts w:ascii="Aptos" w:eastAsia="Times New Roman" w:hAnsi="Aptos" w:cs="Times New Roman"/>
          <w:bCs/>
          <w:color w:val="000000"/>
          <w:sz w:val="25"/>
          <w:szCs w:val="25"/>
        </w:rPr>
        <w:t xml:space="preserve">20 USC §1415(b)(6) grants parties the right to file timely complaints with the </w:t>
      </w:r>
      <w:r w:rsidR="0045677A">
        <w:rPr>
          <w:rFonts w:ascii="Aptos" w:eastAsia="Times New Roman" w:hAnsi="Aptos" w:cs="Times New Roman"/>
          <w:bCs/>
          <w:color w:val="000000"/>
          <w:sz w:val="25"/>
          <w:szCs w:val="25"/>
        </w:rPr>
        <w:t>designate</w:t>
      </w:r>
      <w:r w:rsidR="00B15020">
        <w:rPr>
          <w:rFonts w:ascii="Aptos" w:eastAsia="Times New Roman" w:hAnsi="Aptos" w:cs="Times New Roman"/>
          <w:bCs/>
          <w:color w:val="000000"/>
          <w:sz w:val="25"/>
          <w:szCs w:val="25"/>
        </w:rPr>
        <w:t>d</w:t>
      </w:r>
      <w:r w:rsidR="0045677A">
        <w:rPr>
          <w:rFonts w:ascii="Aptos" w:eastAsia="Times New Roman" w:hAnsi="Aptos" w:cs="Times New Roman"/>
          <w:bCs/>
          <w:color w:val="000000"/>
          <w:sz w:val="25"/>
          <w:szCs w:val="25"/>
        </w:rPr>
        <w:t xml:space="preserve"> </w:t>
      </w:r>
      <w:r w:rsidRPr="00A73DC5">
        <w:rPr>
          <w:rFonts w:ascii="Aptos" w:eastAsia="Times New Roman" w:hAnsi="Aptos" w:cs="Times New Roman"/>
          <w:bCs/>
          <w:color w:val="000000"/>
          <w:sz w:val="25"/>
          <w:szCs w:val="25"/>
        </w:rPr>
        <w:t>state educational agency “with respect to any matter relating to the identification, evaluation or educational placement of the child, or the provision of a free appropriate public education to such child”</w:t>
      </w:r>
      <w:r w:rsidRPr="00A73DC5">
        <w:rPr>
          <w:rFonts w:ascii="Aptos" w:eastAsia="Times New Roman" w:hAnsi="Aptos" w:cs="Times New Roman"/>
          <w:bCs/>
          <w:color w:val="000000"/>
          <w:sz w:val="25"/>
          <w:szCs w:val="25"/>
          <w:vertAlign w:val="superscript"/>
        </w:rPr>
        <w:footnoteReference w:id="11"/>
      </w:r>
      <w:r w:rsidRPr="00A73DC5">
        <w:rPr>
          <w:rFonts w:ascii="Aptos" w:eastAsia="Times New Roman" w:hAnsi="Aptos" w:cs="Times New Roman"/>
          <w:bCs/>
          <w:color w:val="000000"/>
          <w:sz w:val="25"/>
          <w:szCs w:val="25"/>
        </w:rPr>
        <w:t xml:space="preserve">.  </w:t>
      </w:r>
      <w:r w:rsidR="00AA127A">
        <w:rPr>
          <w:rFonts w:ascii="Aptos" w:eastAsia="Times New Roman" w:hAnsi="Aptos" w:cs="Times New Roman"/>
          <w:bCs/>
          <w:color w:val="000000"/>
          <w:sz w:val="25"/>
          <w:szCs w:val="25"/>
        </w:rPr>
        <w:t>However, e</w:t>
      </w:r>
      <w:r w:rsidRPr="00A73DC5">
        <w:rPr>
          <w:rFonts w:ascii="Aptos" w:eastAsia="Times New Roman" w:hAnsi="Aptos" w:cs="Times New Roman"/>
          <w:bCs/>
          <w:color w:val="000000"/>
          <w:sz w:val="25"/>
          <w:szCs w:val="25"/>
        </w:rPr>
        <w:t xml:space="preserve">very alleged wrong imposed on an IDEA or 504-eligible student is </w:t>
      </w:r>
      <w:r w:rsidR="00F106C3">
        <w:rPr>
          <w:rFonts w:ascii="Aptos" w:eastAsia="Times New Roman" w:hAnsi="Aptos" w:cs="Times New Roman"/>
          <w:bCs/>
          <w:color w:val="000000"/>
          <w:sz w:val="25"/>
          <w:szCs w:val="25"/>
        </w:rPr>
        <w:t xml:space="preserve">not necessarily </w:t>
      </w:r>
      <w:r w:rsidRPr="00A73DC5">
        <w:rPr>
          <w:rFonts w:ascii="Aptos" w:eastAsia="Times New Roman" w:hAnsi="Aptos" w:cs="Times New Roman"/>
          <w:bCs/>
          <w:color w:val="000000"/>
          <w:sz w:val="25"/>
          <w:szCs w:val="25"/>
        </w:rPr>
        <w:t>actionable at the BSEA</w:t>
      </w:r>
      <w:r w:rsidRPr="00A73DC5">
        <w:rPr>
          <w:rFonts w:ascii="Aptos" w:eastAsia="Times New Roman" w:hAnsi="Aptos" w:cs="Times New Roman"/>
          <w:bCs/>
          <w:color w:val="000000"/>
          <w:sz w:val="25"/>
          <w:szCs w:val="25"/>
          <w:vertAlign w:val="superscript"/>
        </w:rPr>
        <w:footnoteReference w:id="12"/>
      </w:r>
      <w:r w:rsidRPr="00A73DC5">
        <w:rPr>
          <w:rFonts w:ascii="Aptos" w:eastAsia="Times New Roman" w:hAnsi="Aptos" w:cs="Times New Roman"/>
          <w:bCs/>
          <w:color w:val="000000"/>
          <w:sz w:val="25"/>
          <w:szCs w:val="25"/>
        </w:rPr>
        <w:t xml:space="preserve">.  </w:t>
      </w:r>
      <w:r w:rsidR="00B56DB4">
        <w:rPr>
          <w:rFonts w:ascii="Aptos" w:eastAsia="Times New Roman" w:hAnsi="Aptos" w:cs="Times New Roman"/>
          <w:bCs/>
          <w:color w:val="000000"/>
          <w:sz w:val="25"/>
          <w:szCs w:val="25"/>
        </w:rPr>
        <w:t xml:space="preserve">The </w:t>
      </w:r>
      <w:r w:rsidR="004C2336">
        <w:rPr>
          <w:rFonts w:ascii="Aptos" w:eastAsia="Times New Roman" w:hAnsi="Aptos" w:cs="Times New Roman"/>
          <w:bCs/>
          <w:color w:val="000000"/>
          <w:sz w:val="25"/>
          <w:szCs w:val="25"/>
        </w:rPr>
        <w:t xml:space="preserve">BSEA’s jurisdiction over disputes </w:t>
      </w:r>
      <w:r w:rsidR="00B87DA6">
        <w:rPr>
          <w:rFonts w:ascii="Aptos" w:eastAsia="Times New Roman" w:hAnsi="Aptos" w:cs="Times New Roman"/>
          <w:bCs/>
          <w:color w:val="000000"/>
          <w:sz w:val="25"/>
          <w:szCs w:val="25"/>
        </w:rPr>
        <w:t xml:space="preserve">in which the Parties have previously executed a binding settlement agreement is </w:t>
      </w:r>
      <w:r w:rsidR="00851B29">
        <w:rPr>
          <w:rFonts w:ascii="Aptos" w:eastAsia="Times New Roman" w:hAnsi="Aptos" w:cs="Times New Roman"/>
          <w:bCs/>
          <w:color w:val="000000"/>
          <w:sz w:val="25"/>
          <w:szCs w:val="25"/>
        </w:rPr>
        <w:t xml:space="preserve">one such </w:t>
      </w:r>
      <w:r w:rsidR="00B86143">
        <w:rPr>
          <w:rFonts w:ascii="Aptos" w:eastAsia="Times New Roman" w:hAnsi="Aptos" w:cs="Times New Roman"/>
          <w:bCs/>
          <w:color w:val="000000"/>
          <w:sz w:val="25"/>
          <w:szCs w:val="25"/>
        </w:rPr>
        <w:t>area of limitation</w:t>
      </w:r>
      <w:r w:rsidR="0051140E">
        <w:rPr>
          <w:rFonts w:ascii="Aptos" w:eastAsia="Times New Roman" w:hAnsi="Aptos" w:cs="Times New Roman"/>
          <w:bCs/>
          <w:color w:val="000000"/>
          <w:sz w:val="25"/>
          <w:szCs w:val="25"/>
        </w:rPr>
        <w:t xml:space="preserve">. </w:t>
      </w:r>
    </w:p>
    <w:p w14:paraId="7D6FA073" w14:textId="77777777" w:rsidR="00DE702C" w:rsidRDefault="00DE702C" w:rsidP="0016676E">
      <w:pPr>
        <w:spacing w:after="0" w:line="240" w:lineRule="auto"/>
        <w:rPr>
          <w:rFonts w:ascii="Aptos" w:eastAsia="Times New Roman" w:hAnsi="Aptos" w:cs="Times New Roman"/>
          <w:bCs/>
          <w:color w:val="000000"/>
          <w:sz w:val="25"/>
          <w:szCs w:val="25"/>
        </w:rPr>
      </w:pPr>
    </w:p>
    <w:p w14:paraId="7D0A3933" w14:textId="2E9E8F45" w:rsidR="00117B59" w:rsidRDefault="00044703" w:rsidP="0016676E">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Under </w:t>
      </w:r>
      <w:r w:rsidR="00226141">
        <w:rPr>
          <w:rFonts w:ascii="Aptos" w:eastAsia="Times New Roman" w:hAnsi="Aptos" w:cs="Times New Roman"/>
          <w:bCs/>
          <w:color w:val="000000"/>
          <w:sz w:val="25"/>
          <w:szCs w:val="25"/>
        </w:rPr>
        <w:t>20 USC 1415</w:t>
      </w:r>
      <w:r w:rsidR="00CD1111">
        <w:rPr>
          <w:rFonts w:ascii="Aptos" w:eastAsia="Times New Roman" w:hAnsi="Aptos" w:cs="Times New Roman"/>
          <w:bCs/>
          <w:color w:val="000000"/>
          <w:sz w:val="25"/>
          <w:szCs w:val="25"/>
        </w:rPr>
        <w:t>(e)</w:t>
      </w:r>
      <w:r w:rsidR="00734D77">
        <w:rPr>
          <w:rFonts w:ascii="Aptos" w:eastAsia="Times New Roman" w:hAnsi="Aptos" w:cs="Times New Roman"/>
          <w:bCs/>
          <w:color w:val="000000"/>
          <w:sz w:val="25"/>
          <w:szCs w:val="25"/>
        </w:rPr>
        <w:t>(2)(F)(iii)</w:t>
      </w:r>
      <w:r w:rsidR="00CD1111">
        <w:rPr>
          <w:rFonts w:ascii="Aptos" w:eastAsia="Times New Roman" w:hAnsi="Aptos" w:cs="Times New Roman"/>
          <w:bCs/>
          <w:color w:val="000000"/>
          <w:sz w:val="25"/>
          <w:szCs w:val="25"/>
        </w:rPr>
        <w:t xml:space="preserve"> and (f)</w:t>
      </w:r>
      <w:r w:rsidR="008F5BB7">
        <w:rPr>
          <w:rFonts w:ascii="Aptos" w:eastAsia="Times New Roman" w:hAnsi="Aptos" w:cs="Times New Roman"/>
          <w:bCs/>
          <w:color w:val="000000"/>
          <w:sz w:val="25"/>
          <w:szCs w:val="25"/>
        </w:rPr>
        <w:t>(1)(B)(iii)(II)</w:t>
      </w:r>
      <w:r w:rsidR="00CD1111">
        <w:rPr>
          <w:rFonts w:ascii="Aptos" w:eastAsia="Times New Roman" w:hAnsi="Aptos" w:cs="Times New Roman"/>
          <w:bCs/>
          <w:color w:val="000000"/>
          <w:sz w:val="25"/>
          <w:szCs w:val="25"/>
        </w:rPr>
        <w:t xml:space="preserve">, settlement agreements reached </w:t>
      </w:r>
      <w:proofErr w:type="gramStart"/>
      <w:r w:rsidR="00CD1111">
        <w:rPr>
          <w:rFonts w:ascii="Aptos" w:eastAsia="Times New Roman" w:hAnsi="Aptos" w:cs="Times New Roman"/>
          <w:bCs/>
          <w:color w:val="000000"/>
          <w:sz w:val="25"/>
          <w:szCs w:val="25"/>
        </w:rPr>
        <w:t>as a result of</w:t>
      </w:r>
      <w:proofErr w:type="gramEnd"/>
      <w:r w:rsidR="00CD1111">
        <w:rPr>
          <w:rFonts w:ascii="Aptos" w:eastAsia="Times New Roman" w:hAnsi="Aptos" w:cs="Times New Roman"/>
          <w:bCs/>
          <w:color w:val="000000"/>
          <w:sz w:val="25"/>
          <w:szCs w:val="25"/>
        </w:rPr>
        <w:t xml:space="preserve"> mediations or resolution sessions </w:t>
      </w:r>
      <w:r w:rsidR="007E20D0">
        <w:rPr>
          <w:rFonts w:ascii="Aptos" w:eastAsia="Times New Roman" w:hAnsi="Aptos" w:cs="Times New Roman"/>
          <w:bCs/>
          <w:color w:val="000000"/>
          <w:sz w:val="25"/>
          <w:szCs w:val="25"/>
        </w:rPr>
        <w:t xml:space="preserve">are “enforceable in any State court of competent jurisdiction or in a district court </w:t>
      </w:r>
      <w:r w:rsidR="00734D77">
        <w:rPr>
          <w:rFonts w:ascii="Aptos" w:eastAsia="Times New Roman" w:hAnsi="Aptos" w:cs="Times New Roman"/>
          <w:bCs/>
          <w:color w:val="000000"/>
          <w:sz w:val="25"/>
          <w:szCs w:val="25"/>
        </w:rPr>
        <w:t>of the United States</w:t>
      </w:r>
      <w:r w:rsidR="008F5BB7">
        <w:rPr>
          <w:rFonts w:ascii="Aptos" w:eastAsia="Times New Roman" w:hAnsi="Aptos" w:cs="Times New Roman"/>
          <w:bCs/>
          <w:color w:val="000000"/>
          <w:sz w:val="25"/>
          <w:szCs w:val="25"/>
        </w:rPr>
        <w:t>”</w:t>
      </w:r>
      <w:r w:rsidR="00734D77">
        <w:rPr>
          <w:rFonts w:ascii="Aptos" w:eastAsia="Times New Roman" w:hAnsi="Aptos" w:cs="Times New Roman"/>
          <w:bCs/>
          <w:color w:val="000000"/>
          <w:sz w:val="25"/>
          <w:szCs w:val="25"/>
        </w:rPr>
        <w:t xml:space="preserve">.  </w:t>
      </w:r>
      <w:r w:rsidR="00D6366B">
        <w:rPr>
          <w:rFonts w:ascii="Aptos" w:eastAsia="Times New Roman" w:hAnsi="Aptos" w:cs="Times New Roman"/>
          <w:bCs/>
          <w:color w:val="000000"/>
          <w:sz w:val="25"/>
          <w:szCs w:val="25"/>
        </w:rPr>
        <w:t xml:space="preserve">While settlement agreements reached outside these two procedures are not explicitly addressed in the IDEA, </w:t>
      </w:r>
      <w:r w:rsidR="00172199">
        <w:rPr>
          <w:rFonts w:ascii="Aptos" w:eastAsia="Times New Roman" w:hAnsi="Aptos" w:cs="Times New Roman"/>
          <w:bCs/>
          <w:color w:val="000000"/>
          <w:sz w:val="25"/>
          <w:szCs w:val="25"/>
        </w:rPr>
        <w:t xml:space="preserve">the BSEA has </w:t>
      </w:r>
      <w:r w:rsidR="007F7F7C">
        <w:rPr>
          <w:rFonts w:ascii="Aptos" w:eastAsia="Times New Roman" w:hAnsi="Aptos" w:cs="Times New Roman"/>
          <w:bCs/>
          <w:color w:val="000000"/>
          <w:sz w:val="25"/>
          <w:szCs w:val="25"/>
        </w:rPr>
        <w:t xml:space="preserve">consistently </w:t>
      </w:r>
      <w:r w:rsidR="008A4025">
        <w:rPr>
          <w:rFonts w:ascii="Aptos" w:eastAsia="Times New Roman" w:hAnsi="Aptos" w:cs="Times New Roman"/>
          <w:bCs/>
          <w:color w:val="000000"/>
          <w:sz w:val="25"/>
          <w:szCs w:val="25"/>
        </w:rPr>
        <w:t xml:space="preserve">analyzed and </w:t>
      </w:r>
      <w:r w:rsidR="007F7F7C">
        <w:rPr>
          <w:rFonts w:ascii="Aptos" w:eastAsia="Times New Roman" w:hAnsi="Aptos" w:cs="Times New Roman"/>
          <w:bCs/>
          <w:color w:val="000000"/>
          <w:sz w:val="25"/>
          <w:szCs w:val="25"/>
        </w:rPr>
        <w:t xml:space="preserve">treated </w:t>
      </w:r>
      <w:r w:rsidR="008A4025">
        <w:rPr>
          <w:rFonts w:ascii="Aptos" w:eastAsia="Times New Roman" w:hAnsi="Aptos" w:cs="Times New Roman"/>
          <w:bCs/>
          <w:color w:val="000000"/>
          <w:sz w:val="25"/>
          <w:szCs w:val="25"/>
        </w:rPr>
        <w:t>all settlement agreements in the same way, regardless of the process under which they were created</w:t>
      </w:r>
      <w:r w:rsidR="00400718">
        <w:rPr>
          <w:rStyle w:val="FootnoteReference"/>
          <w:rFonts w:ascii="Aptos" w:eastAsia="Times New Roman" w:hAnsi="Aptos" w:cs="Times New Roman"/>
          <w:bCs/>
          <w:color w:val="000000"/>
          <w:sz w:val="25"/>
          <w:szCs w:val="25"/>
        </w:rPr>
        <w:footnoteReference w:id="13"/>
      </w:r>
      <w:r w:rsidR="008A4025">
        <w:rPr>
          <w:rFonts w:ascii="Aptos" w:eastAsia="Times New Roman" w:hAnsi="Aptos" w:cs="Times New Roman"/>
          <w:bCs/>
          <w:color w:val="000000"/>
          <w:sz w:val="25"/>
          <w:szCs w:val="25"/>
        </w:rPr>
        <w:t xml:space="preserve">.  </w:t>
      </w:r>
      <w:r w:rsidR="00491263">
        <w:rPr>
          <w:rFonts w:ascii="Aptos" w:eastAsia="Times New Roman" w:hAnsi="Aptos" w:cs="Times New Roman"/>
          <w:bCs/>
          <w:color w:val="000000"/>
          <w:sz w:val="25"/>
          <w:szCs w:val="25"/>
        </w:rPr>
        <w:t xml:space="preserve">Although </w:t>
      </w:r>
      <w:r w:rsidR="00471A1D">
        <w:rPr>
          <w:rFonts w:ascii="Aptos" w:eastAsia="Times New Roman" w:hAnsi="Aptos" w:cs="Times New Roman"/>
          <w:bCs/>
          <w:color w:val="000000"/>
          <w:sz w:val="25"/>
          <w:szCs w:val="25"/>
        </w:rPr>
        <w:t xml:space="preserve">BSEA </w:t>
      </w:r>
      <w:r w:rsidR="00AE5F71">
        <w:rPr>
          <w:rFonts w:ascii="Aptos" w:eastAsia="Times New Roman" w:hAnsi="Aptos" w:cs="Times New Roman"/>
          <w:bCs/>
          <w:color w:val="000000"/>
          <w:sz w:val="25"/>
          <w:szCs w:val="25"/>
        </w:rPr>
        <w:t xml:space="preserve">Hearing Officers have the “authority and responsibility </w:t>
      </w:r>
      <w:r w:rsidR="00D51FA5">
        <w:rPr>
          <w:rFonts w:ascii="Aptos" w:eastAsia="Times New Roman" w:hAnsi="Aptos" w:cs="Times New Roman"/>
          <w:bCs/>
          <w:color w:val="000000"/>
          <w:sz w:val="25"/>
          <w:szCs w:val="25"/>
        </w:rPr>
        <w:t>to consider [</w:t>
      </w:r>
      <w:r w:rsidR="00174CD8">
        <w:rPr>
          <w:rFonts w:ascii="Aptos" w:eastAsia="Times New Roman" w:hAnsi="Aptos" w:cs="Times New Roman"/>
          <w:bCs/>
          <w:color w:val="000000"/>
          <w:sz w:val="25"/>
          <w:szCs w:val="25"/>
        </w:rPr>
        <w:t xml:space="preserve">a </w:t>
      </w:r>
      <w:r w:rsidR="00D51FA5">
        <w:rPr>
          <w:rFonts w:ascii="Aptos" w:eastAsia="Times New Roman" w:hAnsi="Aptos" w:cs="Times New Roman"/>
          <w:bCs/>
          <w:color w:val="000000"/>
          <w:sz w:val="25"/>
          <w:szCs w:val="25"/>
        </w:rPr>
        <w:t xml:space="preserve">settlement] agreement and determine whether and to what extent the [settlement] agreement </w:t>
      </w:r>
      <w:r w:rsidR="00D51FA5">
        <w:rPr>
          <w:rFonts w:ascii="Aptos" w:eastAsia="Times New Roman" w:hAnsi="Aptos" w:cs="Times New Roman"/>
          <w:bCs/>
          <w:color w:val="000000"/>
          <w:sz w:val="25"/>
          <w:szCs w:val="25"/>
        </w:rPr>
        <w:lastRenderedPageBreak/>
        <w:t xml:space="preserve">alters the rights and responsibilities </w:t>
      </w:r>
      <w:r w:rsidR="00456990">
        <w:rPr>
          <w:rFonts w:ascii="Aptos" w:eastAsia="Times New Roman" w:hAnsi="Aptos" w:cs="Times New Roman"/>
          <w:bCs/>
          <w:color w:val="000000"/>
          <w:sz w:val="25"/>
          <w:szCs w:val="25"/>
        </w:rPr>
        <w:t>of the parties with respect to [a s]</w:t>
      </w:r>
      <w:proofErr w:type="spellStart"/>
      <w:r w:rsidR="00456990">
        <w:rPr>
          <w:rFonts w:ascii="Aptos" w:eastAsia="Times New Roman" w:hAnsi="Aptos" w:cs="Times New Roman"/>
          <w:bCs/>
          <w:color w:val="000000"/>
          <w:sz w:val="25"/>
          <w:szCs w:val="25"/>
        </w:rPr>
        <w:t>tudent’s</w:t>
      </w:r>
      <w:proofErr w:type="spellEnd"/>
      <w:r w:rsidR="00456990">
        <w:rPr>
          <w:rFonts w:ascii="Aptos" w:eastAsia="Times New Roman" w:hAnsi="Aptos" w:cs="Times New Roman"/>
          <w:bCs/>
          <w:color w:val="000000"/>
          <w:sz w:val="25"/>
          <w:szCs w:val="25"/>
        </w:rPr>
        <w:t xml:space="preserve"> special education services and related procedural protections</w:t>
      </w:r>
      <w:r w:rsidR="002B33E1">
        <w:rPr>
          <w:rStyle w:val="FootnoteReference"/>
          <w:rFonts w:ascii="Aptos" w:eastAsia="Times New Roman" w:hAnsi="Aptos" w:cs="Times New Roman"/>
          <w:bCs/>
          <w:color w:val="000000"/>
          <w:sz w:val="25"/>
          <w:szCs w:val="25"/>
        </w:rPr>
        <w:footnoteReference w:id="14"/>
      </w:r>
      <w:r w:rsidR="00456990">
        <w:rPr>
          <w:rFonts w:ascii="Aptos" w:eastAsia="Times New Roman" w:hAnsi="Aptos" w:cs="Times New Roman"/>
          <w:bCs/>
          <w:color w:val="000000"/>
          <w:sz w:val="25"/>
          <w:szCs w:val="25"/>
        </w:rPr>
        <w:t xml:space="preserve">, </w:t>
      </w:r>
      <w:r w:rsidR="005359BD">
        <w:rPr>
          <w:rFonts w:ascii="Aptos" w:eastAsia="Times New Roman" w:hAnsi="Aptos" w:cs="Times New Roman"/>
          <w:bCs/>
          <w:color w:val="000000"/>
          <w:sz w:val="25"/>
          <w:szCs w:val="25"/>
        </w:rPr>
        <w:t xml:space="preserve">the BSEA has also historically declined to take jurisdiction over </w:t>
      </w:r>
      <w:r w:rsidR="00623502">
        <w:rPr>
          <w:rFonts w:ascii="Aptos" w:eastAsia="Times New Roman" w:hAnsi="Aptos" w:cs="Times New Roman"/>
          <w:bCs/>
          <w:color w:val="000000"/>
          <w:sz w:val="25"/>
          <w:szCs w:val="25"/>
        </w:rPr>
        <w:t xml:space="preserve">issues of interpretation or enforcement of </w:t>
      </w:r>
      <w:r w:rsidR="00023622">
        <w:rPr>
          <w:rFonts w:ascii="Aptos" w:eastAsia="Times New Roman" w:hAnsi="Aptos" w:cs="Times New Roman"/>
          <w:bCs/>
          <w:color w:val="000000"/>
          <w:sz w:val="25"/>
          <w:szCs w:val="25"/>
        </w:rPr>
        <w:t>settlement agreement terms, as it lacks “subject matter jurisdiction over contract law disputes, cannot grant relief under contract law claims, and has no particular expertise in interpreting and applying contract law”</w:t>
      </w:r>
      <w:r w:rsidR="00023622">
        <w:rPr>
          <w:rStyle w:val="FootnoteReference"/>
          <w:rFonts w:ascii="Aptos" w:eastAsia="Times New Roman" w:hAnsi="Aptos" w:cs="Times New Roman"/>
          <w:bCs/>
          <w:color w:val="000000"/>
          <w:sz w:val="25"/>
          <w:szCs w:val="25"/>
        </w:rPr>
        <w:footnoteReference w:id="15"/>
      </w:r>
      <w:r w:rsidR="00023622">
        <w:rPr>
          <w:rFonts w:ascii="Aptos" w:eastAsia="Times New Roman" w:hAnsi="Aptos" w:cs="Times New Roman"/>
          <w:bCs/>
          <w:color w:val="000000"/>
          <w:sz w:val="25"/>
          <w:szCs w:val="25"/>
        </w:rPr>
        <w:t>.</w:t>
      </w:r>
      <w:r w:rsidR="00630683">
        <w:rPr>
          <w:rFonts w:ascii="Aptos" w:eastAsia="Times New Roman" w:hAnsi="Aptos" w:cs="Times New Roman"/>
          <w:bCs/>
          <w:color w:val="000000"/>
          <w:sz w:val="25"/>
          <w:szCs w:val="25"/>
        </w:rPr>
        <w:t xml:space="preserve">  </w:t>
      </w:r>
      <w:r w:rsidR="00DF7470">
        <w:rPr>
          <w:rFonts w:ascii="Aptos" w:eastAsia="Times New Roman" w:hAnsi="Aptos" w:cs="Times New Roman"/>
          <w:bCs/>
          <w:color w:val="000000"/>
          <w:sz w:val="25"/>
          <w:szCs w:val="25"/>
        </w:rPr>
        <w:t xml:space="preserve">Further, despite the </w:t>
      </w:r>
      <w:r w:rsidR="00CE61AA">
        <w:rPr>
          <w:rFonts w:ascii="Aptos" w:eastAsia="Times New Roman" w:hAnsi="Aptos" w:cs="Times New Roman"/>
          <w:bCs/>
          <w:color w:val="000000"/>
          <w:sz w:val="25"/>
          <w:szCs w:val="25"/>
        </w:rPr>
        <w:t>First Circuit</w:t>
      </w:r>
      <w:r w:rsidR="00D64CB2">
        <w:rPr>
          <w:rFonts w:ascii="Aptos" w:eastAsia="Times New Roman" w:hAnsi="Aptos" w:cs="Times New Roman"/>
          <w:bCs/>
          <w:color w:val="000000"/>
          <w:sz w:val="25"/>
          <w:szCs w:val="25"/>
        </w:rPr>
        <w:t>’</w:t>
      </w:r>
      <w:r w:rsidR="00DF7470">
        <w:rPr>
          <w:rFonts w:ascii="Aptos" w:eastAsia="Times New Roman" w:hAnsi="Aptos" w:cs="Times New Roman"/>
          <w:bCs/>
          <w:color w:val="000000"/>
          <w:sz w:val="25"/>
          <w:szCs w:val="25"/>
        </w:rPr>
        <w:t xml:space="preserve">s recognition and </w:t>
      </w:r>
      <w:r w:rsidR="00833BA1">
        <w:rPr>
          <w:rFonts w:ascii="Aptos" w:eastAsia="Times New Roman" w:hAnsi="Aptos" w:cs="Times New Roman"/>
          <w:bCs/>
          <w:color w:val="000000"/>
          <w:sz w:val="25"/>
          <w:szCs w:val="25"/>
        </w:rPr>
        <w:t xml:space="preserve">clear acknowledgment of the </w:t>
      </w:r>
      <w:r w:rsidR="00CE61AA">
        <w:rPr>
          <w:rFonts w:ascii="Aptos" w:eastAsia="Times New Roman" w:hAnsi="Aptos" w:cs="Times New Roman"/>
          <w:bCs/>
          <w:color w:val="000000"/>
          <w:sz w:val="25"/>
          <w:szCs w:val="25"/>
        </w:rPr>
        <w:t xml:space="preserve">potential preclusive </w:t>
      </w:r>
      <w:r w:rsidR="0055371A">
        <w:rPr>
          <w:rFonts w:ascii="Aptos" w:eastAsia="Times New Roman" w:hAnsi="Aptos" w:cs="Times New Roman"/>
          <w:bCs/>
          <w:color w:val="000000"/>
          <w:sz w:val="25"/>
          <w:szCs w:val="25"/>
        </w:rPr>
        <w:t>effect</w:t>
      </w:r>
      <w:r w:rsidR="00CE61AA">
        <w:rPr>
          <w:rFonts w:ascii="Aptos" w:eastAsia="Times New Roman" w:hAnsi="Aptos" w:cs="Times New Roman"/>
          <w:bCs/>
          <w:color w:val="000000"/>
          <w:sz w:val="25"/>
          <w:szCs w:val="25"/>
        </w:rPr>
        <w:t xml:space="preserve"> of settlement agreements on </w:t>
      </w:r>
      <w:r w:rsidR="0055371A">
        <w:rPr>
          <w:rFonts w:ascii="Aptos" w:eastAsia="Times New Roman" w:hAnsi="Aptos" w:cs="Times New Roman"/>
          <w:bCs/>
          <w:color w:val="000000"/>
          <w:sz w:val="25"/>
          <w:szCs w:val="25"/>
        </w:rPr>
        <w:t xml:space="preserve">subsequently filed disputes between parties to such agreements, </w:t>
      </w:r>
      <w:r w:rsidR="00833BA1">
        <w:rPr>
          <w:rFonts w:ascii="Aptos" w:eastAsia="Times New Roman" w:hAnsi="Aptos" w:cs="Times New Roman"/>
          <w:bCs/>
          <w:color w:val="000000"/>
          <w:sz w:val="25"/>
          <w:szCs w:val="25"/>
        </w:rPr>
        <w:t xml:space="preserve">no </w:t>
      </w:r>
      <w:r w:rsidR="008D477F">
        <w:rPr>
          <w:rFonts w:ascii="Aptos" w:eastAsia="Times New Roman" w:hAnsi="Aptos" w:cs="Times New Roman"/>
          <w:bCs/>
          <w:color w:val="000000"/>
          <w:sz w:val="25"/>
          <w:szCs w:val="25"/>
        </w:rPr>
        <w:t xml:space="preserve">Massachusetts </w:t>
      </w:r>
      <w:r w:rsidR="0089406E">
        <w:rPr>
          <w:rFonts w:ascii="Aptos" w:eastAsia="Times New Roman" w:hAnsi="Aptos" w:cs="Times New Roman"/>
          <w:bCs/>
          <w:color w:val="000000"/>
          <w:sz w:val="25"/>
          <w:szCs w:val="25"/>
        </w:rPr>
        <w:t>federal or state</w:t>
      </w:r>
      <w:r w:rsidR="00833BA1">
        <w:rPr>
          <w:rFonts w:ascii="Aptos" w:eastAsia="Times New Roman" w:hAnsi="Aptos" w:cs="Times New Roman"/>
          <w:bCs/>
          <w:color w:val="000000"/>
          <w:sz w:val="25"/>
          <w:szCs w:val="25"/>
        </w:rPr>
        <w:t xml:space="preserve"> Court</w:t>
      </w:r>
      <w:r w:rsidR="0089406E">
        <w:rPr>
          <w:rFonts w:ascii="Aptos" w:eastAsia="Times New Roman" w:hAnsi="Aptos" w:cs="Times New Roman"/>
          <w:bCs/>
          <w:color w:val="000000"/>
          <w:sz w:val="25"/>
          <w:szCs w:val="25"/>
        </w:rPr>
        <w:t xml:space="preserve"> </w:t>
      </w:r>
      <w:r w:rsidR="00833BA1">
        <w:rPr>
          <w:rFonts w:ascii="Aptos" w:eastAsia="Times New Roman" w:hAnsi="Aptos" w:cs="Times New Roman"/>
          <w:bCs/>
          <w:color w:val="000000"/>
          <w:sz w:val="25"/>
          <w:szCs w:val="25"/>
        </w:rPr>
        <w:t xml:space="preserve">has addressed </w:t>
      </w:r>
      <w:r w:rsidR="0055371A">
        <w:rPr>
          <w:rFonts w:ascii="Aptos" w:eastAsia="Times New Roman" w:hAnsi="Aptos" w:cs="Times New Roman"/>
          <w:bCs/>
          <w:color w:val="000000"/>
          <w:sz w:val="25"/>
          <w:szCs w:val="25"/>
        </w:rPr>
        <w:t>whether, or to what extent, administrative hearing officers</w:t>
      </w:r>
      <w:r w:rsidR="0011484B">
        <w:rPr>
          <w:rFonts w:ascii="Aptos" w:eastAsia="Times New Roman" w:hAnsi="Aptos" w:cs="Times New Roman"/>
          <w:bCs/>
          <w:color w:val="000000"/>
          <w:sz w:val="25"/>
          <w:szCs w:val="25"/>
        </w:rPr>
        <w:t xml:space="preserve">, rather than the </w:t>
      </w:r>
      <w:r w:rsidR="00D64CB2">
        <w:rPr>
          <w:rFonts w:ascii="Aptos" w:eastAsia="Times New Roman" w:hAnsi="Aptos" w:cs="Times New Roman"/>
          <w:bCs/>
          <w:color w:val="000000"/>
          <w:sz w:val="25"/>
          <w:szCs w:val="25"/>
        </w:rPr>
        <w:t>C</w:t>
      </w:r>
      <w:r w:rsidR="0011484B">
        <w:rPr>
          <w:rFonts w:ascii="Aptos" w:eastAsia="Times New Roman" w:hAnsi="Aptos" w:cs="Times New Roman"/>
          <w:bCs/>
          <w:color w:val="000000"/>
          <w:sz w:val="25"/>
          <w:szCs w:val="25"/>
        </w:rPr>
        <w:t>ourts have jurisdiction to interpret them</w:t>
      </w:r>
      <w:r w:rsidR="0011484B">
        <w:rPr>
          <w:rStyle w:val="FootnoteReference"/>
          <w:rFonts w:ascii="Aptos" w:eastAsia="Times New Roman" w:hAnsi="Aptos" w:cs="Times New Roman"/>
          <w:bCs/>
          <w:color w:val="000000"/>
          <w:sz w:val="25"/>
          <w:szCs w:val="25"/>
        </w:rPr>
        <w:footnoteReference w:id="16"/>
      </w:r>
      <w:r w:rsidR="0011484B">
        <w:rPr>
          <w:rFonts w:ascii="Aptos" w:eastAsia="Times New Roman" w:hAnsi="Aptos" w:cs="Times New Roman"/>
          <w:bCs/>
          <w:color w:val="000000"/>
          <w:sz w:val="25"/>
          <w:szCs w:val="25"/>
        </w:rPr>
        <w:t>.</w:t>
      </w:r>
    </w:p>
    <w:p w14:paraId="131FAE78" w14:textId="77777777" w:rsidR="00117B59" w:rsidRDefault="00117B59" w:rsidP="0016676E">
      <w:pPr>
        <w:spacing w:after="0" w:line="240" w:lineRule="auto"/>
        <w:rPr>
          <w:rFonts w:ascii="Aptos" w:eastAsia="Times New Roman" w:hAnsi="Aptos" w:cs="Times New Roman"/>
          <w:bCs/>
          <w:color w:val="000000"/>
          <w:sz w:val="25"/>
          <w:szCs w:val="25"/>
        </w:rPr>
      </w:pPr>
    </w:p>
    <w:p w14:paraId="619F7D8E" w14:textId="7E3BB311" w:rsidR="00CE4447" w:rsidRDefault="00827DB7" w:rsidP="0016676E">
      <w:pPr>
        <w:spacing w:after="0" w:line="240" w:lineRule="auto"/>
        <w:rPr>
          <w:rFonts w:ascii="Aptos" w:eastAsia="Times New Roman" w:hAnsi="Aptos" w:cs="Times New Roman"/>
          <w:bCs/>
          <w:color w:val="000000"/>
          <w:sz w:val="25"/>
          <w:szCs w:val="25"/>
        </w:rPr>
      </w:pPr>
      <w:r>
        <w:rPr>
          <w:rFonts w:ascii="Aptos" w:eastAsia="Times New Roman" w:hAnsi="Aptos" w:cs="Times New Roman"/>
          <w:bCs/>
          <w:color w:val="000000"/>
          <w:sz w:val="25"/>
          <w:szCs w:val="25"/>
        </w:rPr>
        <w:t>A</w:t>
      </w:r>
      <w:r w:rsidR="00C01CB2">
        <w:rPr>
          <w:rFonts w:ascii="Aptos" w:eastAsia="Times New Roman" w:hAnsi="Aptos" w:cs="Times New Roman"/>
          <w:bCs/>
          <w:color w:val="000000"/>
          <w:sz w:val="25"/>
          <w:szCs w:val="25"/>
        </w:rPr>
        <w:t xml:space="preserve">ccording to </w:t>
      </w:r>
      <w:r w:rsidR="00006001">
        <w:rPr>
          <w:rFonts w:ascii="Aptos" w:eastAsia="Times New Roman" w:hAnsi="Aptos" w:cs="Times New Roman"/>
          <w:bCs/>
          <w:color w:val="000000"/>
          <w:sz w:val="25"/>
          <w:szCs w:val="25"/>
        </w:rPr>
        <w:t>the First Circuit</w:t>
      </w:r>
      <w:r w:rsidR="000B7A91">
        <w:rPr>
          <w:rFonts w:ascii="Aptos" w:eastAsia="Times New Roman" w:hAnsi="Aptos" w:cs="Times New Roman"/>
          <w:bCs/>
          <w:color w:val="000000"/>
          <w:sz w:val="25"/>
          <w:szCs w:val="25"/>
        </w:rPr>
        <w:t xml:space="preserve">’s holding in </w:t>
      </w:r>
      <w:r w:rsidR="000B7A91" w:rsidRPr="007E2DC6">
        <w:rPr>
          <w:i/>
          <w:iCs/>
        </w:rPr>
        <w:t>South Kingstown Sch. Comm. v. Joanna S.</w:t>
      </w:r>
      <w:r w:rsidR="00C01CB2">
        <w:rPr>
          <w:rFonts w:ascii="Aptos" w:eastAsia="Times New Roman" w:hAnsi="Aptos" w:cs="Times New Roman"/>
          <w:bCs/>
          <w:color w:val="000000"/>
          <w:sz w:val="25"/>
          <w:szCs w:val="25"/>
        </w:rPr>
        <w:t>,</w:t>
      </w:r>
      <w:r w:rsidR="00006001">
        <w:rPr>
          <w:rFonts w:ascii="Aptos" w:eastAsia="Times New Roman" w:hAnsi="Aptos" w:cs="Times New Roman"/>
          <w:bCs/>
          <w:color w:val="000000"/>
          <w:sz w:val="25"/>
          <w:szCs w:val="25"/>
        </w:rPr>
        <w:t xml:space="preserve"> </w:t>
      </w:r>
      <w:r w:rsidR="00D91F5A">
        <w:rPr>
          <w:rFonts w:ascii="Aptos" w:eastAsia="Times New Roman" w:hAnsi="Aptos" w:cs="Times New Roman"/>
          <w:bCs/>
          <w:color w:val="000000"/>
          <w:sz w:val="25"/>
          <w:szCs w:val="25"/>
        </w:rPr>
        <w:t xml:space="preserve">settlement agreements will “… release </w:t>
      </w:r>
      <w:r w:rsidR="00890B1C">
        <w:rPr>
          <w:rFonts w:ascii="Aptos" w:eastAsia="Times New Roman" w:hAnsi="Aptos" w:cs="Times New Roman"/>
          <w:bCs/>
          <w:color w:val="000000"/>
          <w:sz w:val="25"/>
          <w:szCs w:val="25"/>
        </w:rPr>
        <w:t xml:space="preserve">any right to additional </w:t>
      </w:r>
      <w:r w:rsidR="008862B2">
        <w:rPr>
          <w:rFonts w:ascii="Aptos" w:eastAsia="Times New Roman" w:hAnsi="Aptos" w:cs="Times New Roman"/>
          <w:bCs/>
          <w:color w:val="000000"/>
          <w:sz w:val="25"/>
          <w:szCs w:val="25"/>
        </w:rPr>
        <w:t xml:space="preserve">[services] </w:t>
      </w:r>
      <w:r w:rsidR="00890B1C">
        <w:rPr>
          <w:rFonts w:ascii="Aptos" w:eastAsia="Times New Roman" w:hAnsi="Aptos" w:cs="Times New Roman"/>
          <w:bCs/>
          <w:color w:val="000000"/>
          <w:sz w:val="25"/>
          <w:szCs w:val="25"/>
        </w:rPr>
        <w:t>that [</w:t>
      </w:r>
      <w:r w:rsidR="00180065">
        <w:rPr>
          <w:rFonts w:ascii="Aptos" w:eastAsia="Times New Roman" w:hAnsi="Aptos" w:cs="Times New Roman"/>
          <w:bCs/>
          <w:color w:val="000000"/>
          <w:sz w:val="25"/>
          <w:szCs w:val="25"/>
        </w:rPr>
        <w:t xml:space="preserve">a </w:t>
      </w:r>
      <w:r w:rsidR="00890B1C">
        <w:rPr>
          <w:rFonts w:ascii="Aptos" w:eastAsia="Times New Roman" w:hAnsi="Aptos" w:cs="Times New Roman"/>
          <w:bCs/>
          <w:color w:val="000000"/>
          <w:sz w:val="25"/>
          <w:szCs w:val="25"/>
        </w:rPr>
        <w:t>student] may have had, except when [the] request</w:t>
      </w:r>
      <w:r w:rsidR="006510B8">
        <w:rPr>
          <w:rFonts w:ascii="Aptos" w:eastAsia="Times New Roman" w:hAnsi="Aptos" w:cs="Times New Roman"/>
          <w:bCs/>
          <w:color w:val="000000"/>
          <w:sz w:val="25"/>
          <w:szCs w:val="25"/>
        </w:rPr>
        <w:t xml:space="preserve"> …</w:t>
      </w:r>
      <w:r w:rsidR="00890B1C">
        <w:rPr>
          <w:rFonts w:ascii="Aptos" w:eastAsia="Times New Roman" w:hAnsi="Aptos" w:cs="Times New Roman"/>
          <w:bCs/>
          <w:color w:val="000000"/>
          <w:sz w:val="25"/>
          <w:szCs w:val="25"/>
        </w:rPr>
        <w:t xml:space="preserve"> arise</w:t>
      </w:r>
      <w:r w:rsidR="002D2C65">
        <w:rPr>
          <w:rFonts w:ascii="Aptos" w:eastAsia="Times New Roman" w:hAnsi="Aptos" w:cs="Times New Roman"/>
          <w:bCs/>
          <w:color w:val="000000"/>
          <w:sz w:val="25"/>
          <w:szCs w:val="25"/>
        </w:rPr>
        <w:t>s</w:t>
      </w:r>
      <w:r w:rsidR="00890B1C">
        <w:rPr>
          <w:rFonts w:ascii="Aptos" w:eastAsia="Times New Roman" w:hAnsi="Aptos" w:cs="Times New Roman"/>
          <w:bCs/>
          <w:color w:val="000000"/>
          <w:sz w:val="25"/>
          <w:szCs w:val="25"/>
        </w:rPr>
        <w:t xml:space="preserve"> from </w:t>
      </w:r>
      <w:r w:rsidR="0019285F">
        <w:rPr>
          <w:rFonts w:ascii="Aptos" w:eastAsia="Times New Roman" w:hAnsi="Aptos" w:cs="Times New Roman"/>
          <w:bCs/>
          <w:color w:val="000000"/>
          <w:sz w:val="25"/>
          <w:szCs w:val="25"/>
        </w:rPr>
        <w:t>a change in the conditions that prevailed at the time [the</w:t>
      </w:r>
      <w:r w:rsidR="005D773F">
        <w:rPr>
          <w:rFonts w:ascii="Aptos" w:eastAsia="Times New Roman" w:hAnsi="Aptos" w:cs="Times New Roman"/>
          <w:bCs/>
          <w:color w:val="000000"/>
          <w:sz w:val="25"/>
          <w:szCs w:val="25"/>
        </w:rPr>
        <w:t xml:space="preserve"> parties</w:t>
      </w:r>
      <w:r w:rsidR="0019285F">
        <w:rPr>
          <w:rFonts w:ascii="Aptos" w:eastAsia="Times New Roman" w:hAnsi="Aptos" w:cs="Times New Roman"/>
          <w:bCs/>
          <w:color w:val="000000"/>
          <w:sz w:val="25"/>
          <w:szCs w:val="25"/>
        </w:rPr>
        <w:t>] signed the [a]</w:t>
      </w:r>
      <w:proofErr w:type="spellStart"/>
      <w:r w:rsidR="0019285F">
        <w:rPr>
          <w:rFonts w:ascii="Aptos" w:eastAsia="Times New Roman" w:hAnsi="Aptos" w:cs="Times New Roman"/>
          <w:bCs/>
          <w:color w:val="000000"/>
          <w:sz w:val="25"/>
          <w:szCs w:val="25"/>
        </w:rPr>
        <w:t>greement</w:t>
      </w:r>
      <w:proofErr w:type="spellEnd"/>
      <w:r w:rsidR="0019285F">
        <w:rPr>
          <w:rFonts w:ascii="Aptos" w:eastAsia="Times New Roman" w:hAnsi="Aptos" w:cs="Times New Roman"/>
          <w:bCs/>
          <w:color w:val="000000"/>
          <w:sz w:val="25"/>
          <w:szCs w:val="25"/>
        </w:rPr>
        <w:t>”</w:t>
      </w:r>
      <w:r w:rsidR="0019285F">
        <w:rPr>
          <w:rStyle w:val="FootnoteReference"/>
          <w:rFonts w:ascii="Aptos" w:eastAsia="Times New Roman" w:hAnsi="Aptos" w:cs="Times New Roman"/>
          <w:bCs/>
          <w:color w:val="000000"/>
          <w:sz w:val="25"/>
          <w:szCs w:val="25"/>
        </w:rPr>
        <w:footnoteReference w:id="17"/>
      </w:r>
      <w:r w:rsidR="0019285F">
        <w:rPr>
          <w:rFonts w:ascii="Aptos" w:eastAsia="Times New Roman" w:hAnsi="Aptos" w:cs="Times New Roman"/>
          <w:bCs/>
          <w:color w:val="000000"/>
          <w:sz w:val="25"/>
          <w:szCs w:val="25"/>
        </w:rPr>
        <w:t xml:space="preserve">.  </w:t>
      </w:r>
      <w:r w:rsidR="0051653C" w:rsidRPr="007E2DC6">
        <w:rPr>
          <w:i/>
          <w:iCs/>
        </w:rPr>
        <w:t>S</w:t>
      </w:r>
      <w:r w:rsidR="00CB1C69">
        <w:rPr>
          <w:i/>
          <w:iCs/>
        </w:rPr>
        <w:t>.</w:t>
      </w:r>
      <w:r w:rsidR="0051653C" w:rsidRPr="007E2DC6">
        <w:rPr>
          <w:i/>
          <w:iCs/>
        </w:rPr>
        <w:t xml:space="preserve"> Kingstown </w:t>
      </w:r>
      <w:r w:rsidR="00CB1C69">
        <w:t xml:space="preserve">involved </w:t>
      </w:r>
      <w:r w:rsidR="00CB1C69">
        <w:rPr>
          <w:rFonts w:ascii="Aptos" w:eastAsia="Times New Roman" w:hAnsi="Aptos" w:cs="Times New Roman"/>
          <w:bCs/>
          <w:color w:val="000000"/>
          <w:sz w:val="25"/>
          <w:szCs w:val="25"/>
        </w:rPr>
        <w:t xml:space="preserve">requests for </w:t>
      </w:r>
      <w:r w:rsidR="008929A7">
        <w:rPr>
          <w:rFonts w:ascii="Aptos" w:eastAsia="Times New Roman" w:hAnsi="Aptos" w:cs="Times New Roman"/>
          <w:bCs/>
          <w:color w:val="000000"/>
          <w:sz w:val="25"/>
          <w:szCs w:val="25"/>
        </w:rPr>
        <w:t xml:space="preserve">ten new </w:t>
      </w:r>
      <w:r w:rsidR="0051653C">
        <w:rPr>
          <w:rFonts w:ascii="Aptos" w:eastAsia="Times New Roman" w:hAnsi="Aptos" w:cs="Times New Roman"/>
          <w:bCs/>
          <w:color w:val="000000"/>
          <w:sz w:val="25"/>
          <w:szCs w:val="25"/>
        </w:rPr>
        <w:t>evaluation</w:t>
      </w:r>
      <w:r w:rsidR="00831F02">
        <w:rPr>
          <w:rFonts w:ascii="Aptos" w:eastAsia="Times New Roman" w:hAnsi="Aptos" w:cs="Times New Roman"/>
          <w:bCs/>
          <w:color w:val="000000"/>
          <w:sz w:val="25"/>
          <w:szCs w:val="25"/>
        </w:rPr>
        <w:t>s</w:t>
      </w:r>
      <w:r w:rsidR="007D24FA">
        <w:rPr>
          <w:rFonts w:ascii="Aptos" w:eastAsia="Times New Roman" w:hAnsi="Aptos" w:cs="Times New Roman"/>
          <w:bCs/>
          <w:color w:val="000000"/>
          <w:sz w:val="25"/>
          <w:szCs w:val="25"/>
        </w:rPr>
        <w:t xml:space="preserve"> made </w:t>
      </w:r>
      <w:r w:rsidR="00831F02">
        <w:rPr>
          <w:rFonts w:ascii="Aptos" w:eastAsia="Times New Roman" w:hAnsi="Aptos" w:cs="Times New Roman"/>
          <w:bCs/>
          <w:color w:val="000000"/>
          <w:sz w:val="25"/>
          <w:szCs w:val="25"/>
        </w:rPr>
        <w:t xml:space="preserve">less than </w:t>
      </w:r>
      <w:r w:rsidR="007D24FA">
        <w:rPr>
          <w:rFonts w:ascii="Aptos" w:eastAsia="Times New Roman" w:hAnsi="Aptos" w:cs="Times New Roman"/>
          <w:bCs/>
          <w:color w:val="000000"/>
          <w:sz w:val="25"/>
          <w:szCs w:val="25"/>
        </w:rPr>
        <w:t xml:space="preserve">six months after </w:t>
      </w:r>
      <w:r w:rsidR="00FF6D94">
        <w:rPr>
          <w:rFonts w:ascii="Aptos" w:eastAsia="Times New Roman" w:hAnsi="Aptos" w:cs="Times New Roman"/>
          <w:bCs/>
          <w:color w:val="000000"/>
          <w:sz w:val="25"/>
          <w:szCs w:val="25"/>
        </w:rPr>
        <w:t xml:space="preserve">the </w:t>
      </w:r>
      <w:proofErr w:type="gramStart"/>
      <w:r w:rsidR="00FF6D94">
        <w:rPr>
          <w:rFonts w:ascii="Aptos" w:eastAsia="Times New Roman" w:hAnsi="Aptos" w:cs="Times New Roman"/>
          <w:bCs/>
          <w:color w:val="000000"/>
          <w:sz w:val="25"/>
          <w:szCs w:val="25"/>
        </w:rPr>
        <w:t>District’s</w:t>
      </w:r>
      <w:proofErr w:type="gramEnd"/>
      <w:r w:rsidR="00FF6D94">
        <w:rPr>
          <w:rFonts w:ascii="Aptos" w:eastAsia="Times New Roman" w:hAnsi="Aptos" w:cs="Times New Roman"/>
          <w:bCs/>
          <w:color w:val="000000"/>
          <w:sz w:val="25"/>
          <w:szCs w:val="25"/>
        </w:rPr>
        <w:t xml:space="preserve"> performance of four evaluation</w:t>
      </w:r>
      <w:r w:rsidR="00160462">
        <w:rPr>
          <w:rFonts w:ascii="Aptos" w:eastAsia="Times New Roman" w:hAnsi="Aptos" w:cs="Times New Roman"/>
          <w:bCs/>
          <w:color w:val="000000"/>
          <w:sz w:val="25"/>
          <w:szCs w:val="25"/>
        </w:rPr>
        <w:t xml:space="preserve">s </w:t>
      </w:r>
      <w:r w:rsidR="00176AE0">
        <w:rPr>
          <w:rFonts w:ascii="Aptos" w:eastAsia="Times New Roman" w:hAnsi="Aptos" w:cs="Times New Roman"/>
          <w:bCs/>
          <w:color w:val="000000"/>
          <w:sz w:val="25"/>
          <w:szCs w:val="25"/>
        </w:rPr>
        <w:t xml:space="preserve">agreed to pursuant to a </w:t>
      </w:r>
      <w:r w:rsidR="00160462">
        <w:rPr>
          <w:rFonts w:ascii="Aptos" w:eastAsia="Times New Roman" w:hAnsi="Aptos" w:cs="Times New Roman"/>
          <w:bCs/>
          <w:color w:val="000000"/>
          <w:sz w:val="25"/>
          <w:szCs w:val="25"/>
        </w:rPr>
        <w:t>settlement agreement</w:t>
      </w:r>
      <w:r w:rsidR="00FF6D94">
        <w:rPr>
          <w:rFonts w:ascii="Aptos" w:eastAsia="Times New Roman" w:hAnsi="Aptos" w:cs="Times New Roman"/>
          <w:bCs/>
          <w:color w:val="000000"/>
          <w:sz w:val="25"/>
          <w:szCs w:val="25"/>
        </w:rPr>
        <w:t xml:space="preserve"> </w:t>
      </w:r>
      <w:r w:rsidR="00053FE7">
        <w:rPr>
          <w:rFonts w:ascii="Aptos" w:eastAsia="Times New Roman" w:hAnsi="Aptos" w:cs="Times New Roman"/>
          <w:bCs/>
          <w:color w:val="000000"/>
          <w:sz w:val="25"/>
          <w:szCs w:val="25"/>
        </w:rPr>
        <w:t xml:space="preserve">that </w:t>
      </w:r>
      <w:r w:rsidR="0051653C">
        <w:rPr>
          <w:rFonts w:ascii="Aptos" w:eastAsia="Times New Roman" w:hAnsi="Aptos" w:cs="Times New Roman"/>
          <w:bCs/>
          <w:color w:val="000000"/>
          <w:sz w:val="25"/>
          <w:szCs w:val="25"/>
        </w:rPr>
        <w:t>contained a release of claims that were known or should have been known through the date of that agreement</w:t>
      </w:r>
      <w:r w:rsidR="007A24F8">
        <w:rPr>
          <w:rStyle w:val="FootnoteReference"/>
          <w:rFonts w:ascii="Aptos" w:eastAsia="Times New Roman" w:hAnsi="Aptos" w:cs="Times New Roman"/>
          <w:bCs/>
          <w:color w:val="000000"/>
          <w:sz w:val="25"/>
          <w:szCs w:val="25"/>
        </w:rPr>
        <w:footnoteReference w:id="18"/>
      </w:r>
      <w:r w:rsidR="0051653C">
        <w:rPr>
          <w:rFonts w:ascii="Aptos" w:eastAsia="Times New Roman" w:hAnsi="Aptos" w:cs="Times New Roman"/>
          <w:bCs/>
          <w:color w:val="000000"/>
          <w:sz w:val="25"/>
          <w:szCs w:val="25"/>
        </w:rPr>
        <w:t xml:space="preserve">.  </w:t>
      </w:r>
      <w:r w:rsidR="00E5098D">
        <w:rPr>
          <w:rFonts w:ascii="Aptos" w:eastAsia="Times New Roman" w:hAnsi="Aptos" w:cs="Times New Roman"/>
          <w:bCs/>
          <w:color w:val="000000"/>
          <w:sz w:val="25"/>
          <w:szCs w:val="25"/>
        </w:rPr>
        <w:t xml:space="preserve">Reasoning that </w:t>
      </w:r>
      <w:r w:rsidR="00A053C6">
        <w:rPr>
          <w:rFonts w:ascii="Aptos" w:eastAsia="Times New Roman" w:hAnsi="Aptos" w:cs="Times New Roman"/>
          <w:bCs/>
          <w:color w:val="000000"/>
          <w:sz w:val="25"/>
          <w:szCs w:val="25"/>
        </w:rPr>
        <w:t xml:space="preserve">“consent would be </w:t>
      </w:r>
      <w:r w:rsidR="00A053C6">
        <w:t>meaningless if [the parent] could nonetheless turn around the next day and demand the foregone [terms] anew</w:t>
      </w:r>
      <w:r w:rsidR="00E5098D">
        <w:t>”, the Court acknowledged that “[w]</w:t>
      </w:r>
      <w:r w:rsidR="00A053C6">
        <w:t xml:space="preserve">e cannot accept [this] reading of the [settlement </w:t>
      </w:r>
      <w:proofErr w:type="gramStart"/>
      <w:r w:rsidR="00A053C6">
        <w:t>a]</w:t>
      </w:r>
      <w:proofErr w:type="spellStart"/>
      <w:r w:rsidR="00A053C6">
        <w:t>greement</w:t>
      </w:r>
      <w:proofErr w:type="spellEnd"/>
      <w:proofErr w:type="gramEnd"/>
      <w:r w:rsidR="00A053C6">
        <w:t>, as we find it difficult to suppose the parties intended such a meaningless outcome of their negotiations”</w:t>
      </w:r>
      <w:r w:rsidR="002E626C" w:rsidRPr="002E626C">
        <w:rPr>
          <w:rStyle w:val="FootnoteReference"/>
          <w:rFonts w:ascii="Aptos" w:eastAsia="Times New Roman" w:hAnsi="Aptos" w:cs="Times New Roman"/>
          <w:bCs/>
          <w:color w:val="000000"/>
          <w:sz w:val="25"/>
          <w:szCs w:val="25"/>
        </w:rPr>
        <w:t xml:space="preserve"> </w:t>
      </w:r>
      <w:r w:rsidR="002E626C">
        <w:rPr>
          <w:rStyle w:val="FootnoteReference"/>
          <w:rFonts w:ascii="Aptos" w:eastAsia="Times New Roman" w:hAnsi="Aptos" w:cs="Times New Roman"/>
          <w:bCs/>
          <w:color w:val="000000"/>
          <w:sz w:val="25"/>
          <w:szCs w:val="25"/>
        </w:rPr>
        <w:footnoteReference w:id="19"/>
      </w:r>
      <w:r w:rsidR="00F479FE">
        <w:t xml:space="preserve">.  </w:t>
      </w:r>
      <w:r w:rsidR="00504798">
        <w:rPr>
          <w:rFonts w:ascii="Aptos" w:eastAsia="Times New Roman" w:hAnsi="Aptos" w:cs="Times New Roman"/>
          <w:bCs/>
          <w:color w:val="000000"/>
          <w:sz w:val="25"/>
          <w:szCs w:val="25"/>
        </w:rPr>
        <w:t xml:space="preserve">Adopting </w:t>
      </w:r>
      <w:r w:rsidR="008C084E">
        <w:rPr>
          <w:rFonts w:ascii="Aptos" w:eastAsia="Times New Roman" w:hAnsi="Aptos" w:cs="Times New Roman"/>
          <w:bCs/>
          <w:color w:val="000000"/>
          <w:sz w:val="25"/>
          <w:szCs w:val="25"/>
        </w:rPr>
        <w:t xml:space="preserve">a “change in </w:t>
      </w:r>
      <w:r w:rsidR="00495010">
        <w:rPr>
          <w:rFonts w:ascii="Aptos" w:eastAsia="Times New Roman" w:hAnsi="Aptos" w:cs="Times New Roman"/>
          <w:bCs/>
          <w:color w:val="000000"/>
          <w:sz w:val="25"/>
          <w:szCs w:val="25"/>
        </w:rPr>
        <w:t>conditions</w:t>
      </w:r>
      <w:r w:rsidR="008C084E">
        <w:rPr>
          <w:rFonts w:ascii="Aptos" w:eastAsia="Times New Roman" w:hAnsi="Aptos" w:cs="Times New Roman"/>
          <w:bCs/>
          <w:color w:val="000000"/>
          <w:sz w:val="25"/>
          <w:szCs w:val="25"/>
        </w:rPr>
        <w:t>” standard</w:t>
      </w:r>
      <w:r w:rsidR="00504798">
        <w:rPr>
          <w:rFonts w:ascii="Aptos" w:eastAsia="Times New Roman" w:hAnsi="Aptos" w:cs="Times New Roman"/>
          <w:bCs/>
          <w:color w:val="000000"/>
          <w:sz w:val="25"/>
          <w:szCs w:val="25"/>
        </w:rPr>
        <w:t>, explained the Court,</w:t>
      </w:r>
      <w:r w:rsidR="008C084E">
        <w:rPr>
          <w:rFonts w:ascii="Aptos" w:eastAsia="Times New Roman" w:hAnsi="Aptos" w:cs="Times New Roman"/>
          <w:bCs/>
          <w:color w:val="000000"/>
          <w:sz w:val="25"/>
          <w:szCs w:val="25"/>
        </w:rPr>
        <w:t xml:space="preserve"> </w:t>
      </w:r>
      <w:r w:rsidR="00783B14">
        <w:rPr>
          <w:rFonts w:ascii="Aptos" w:eastAsia="Times New Roman" w:hAnsi="Aptos" w:cs="Times New Roman"/>
          <w:bCs/>
          <w:color w:val="000000"/>
          <w:sz w:val="25"/>
          <w:szCs w:val="25"/>
        </w:rPr>
        <w:t>“</w:t>
      </w:r>
      <w:r w:rsidR="006E1C69" w:rsidRPr="006E1C69">
        <w:rPr>
          <w:rFonts w:ascii="Aptos" w:eastAsia="Times New Roman" w:hAnsi="Aptos" w:cs="Times New Roman"/>
          <w:bCs/>
          <w:color w:val="000000"/>
          <w:sz w:val="25"/>
          <w:szCs w:val="25"/>
        </w:rPr>
        <w:t xml:space="preserve">reflects both the role settlements may play in resolving IDEA disputes and the legitimate concern with allowing IDEA settlements to bargain away—potentially for all time and without regard to the change in conditions that may arise in the course of a child's development—the statutory right to a </w:t>
      </w:r>
      <w:r w:rsidR="00523DB1">
        <w:rPr>
          <w:rFonts w:ascii="Aptos" w:eastAsia="Times New Roman" w:hAnsi="Aptos" w:cs="Times New Roman"/>
          <w:bCs/>
          <w:color w:val="000000"/>
          <w:sz w:val="25"/>
          <w:szCs w:val="25"/>
        </w:rPr>
        <w:t>[FAPE]”</w:t>
      </w:r>
      <w:r w:rsidR="0086419D">
        <w:rPr>
          <w:rStyle w:val="FootnoteReference"/>
          <w:rFonts w:ascii="Aptos" w:eastAsia="Times New Roman" w:hAnsi="Aptos" w:cs="Times New Roman"/>
          <w:bCs/>
          <w:color w:val="000000"/>
          <w:sz w:val="25"/>
          <w:szCs w:val="25"/>
        </w:rPr>
        <w:footnoteReference w:id="20"/>
      </w:r>
      <w:r w:rsidR="00283D21">
        <w:rPr>
          <w:rFonts w:ascii="Aptos" w:eastAsia="Times New Roman" w:hAnsi="Aptos" w:cs="Times New Roman"/>
          <w:bCs/>
          <w:color w:val="000000"/>
          <w:sz w:val="25"/>
          <w:szCs w:val="25"/>
        </w:rPr>
        <w:t>.</w:t>
      </w:r>
    </w:p>
    <w:p w14:paraId="0674B893" w14:textId="77777777" w:rsidR="00107464" w:rsidRDefault="00107464" w:rsidP="0016676E">
      <w:pPr>
        <w:spacing w:after="0" w:line="240" w:lineRule="auto"/>
        <w:rPr>
          <w:rFonts w:ascii="Aptos" w:eastAsia="Times New Roman" w:hAnsi="Aptos" w:cs="Times New Roman"/>
          <w:bCs/>
          <w:color w:val="000000"/>
          <w:sz w:val="25"/>
          <w:szCs w:val="25"/>
          <w:u w:val="single"/>
        </w:rPr>
      </w:pPr>
    </w:p>
    <w:p w14:paraId="51B29054" w14:textId="7FE2441D" w:rsidR="00894CD6" w:rsidRPr="00894CD6" w:rsidRDefault="00CE4447" w:rsidP="0016676E">
      <w:pPr>
        <w:spacing w:after="0" w:line="240" w:lineRule="auto"/>
        <w:rPr>
          <w:rFonts w:ascii="Aptos" w:eastAsia="Times New Roman" w:hAnsi="Aptos" w:cs="Times New Roman"/>
          <w:bCs/>
          <w:color w:val="000000"/>
          <w:sz w:val="25"/>
          <w:szCs w:val="25"/>
          <w:u w:val="single"/>
        </w:rPr>
      </w:pPr>
      <w:r>
        <w:rPr>
          <w:rFonts w:ascii="Aptos" w:eastAsia="Times New Roman" w:hAnsi="Aptos" w:cs="Times New Roman"/>
          <w:bCs/>
          <w:color w:val="000000"/>
          <w:sz w:val="25"/>
          <w:szCs w:val="25"/>
          <w:u w:val="single"/>
        </w:rPr>
        <w:lastRenderedPageBreak/>
        <w:t>III.</w:t>
      </w:r>
      <w:r>
        <w:rPr>
          <w:rFonts w:ascii="Aptos" w:eastAsia="Times New Roman" w:hAnsi="Aptos" w:cs="Times New Roman"/>
          <w:bCs/>
          <w:color w:val="000000"/>
          <w:sz w:val="25"/>
          <w:szCs w:val="25"/>
          <w:u w:val="single"/>
        </w:rPr>
        <w:tab/>
      </w:r>
      <w:r w:rsidR="00894CD6" w:rsidRPr="00894CD6">
        <w:rPr>
          <w:rFonts w:ascii="Aptos" w:eastAsia="Times New Roman" w:hAnsi="Aptos" w:cs="Times New Roman"/>
          <w:bCs/>
          <w:color w:val="000000"/>
          <w:sz w:val="25"/>
          <w:szCs w:val="25"/>
          <w:u w:val="single"/>
        </w:rPr>
        <w:t>Joinder</w:t>
      </w:r>
    </w:p>
    <w:p w14:paraId="309CF554" w14:textId="77777777" w:rsidR="00894CD6" w:rsidRDefault="00894CD6" w:rsidP="0016676E">
      <w:pPr>
        <w:spacing w:after="0" w:line="240" w:lineRule="auto"/>
        <w:rPr>
          <w:rFonts w:ascii="Aptos" w:eastAsia="Times New Roman" w:hAnsi="Aptos" w:cs="Times New Roman"/>
          <w:bCs/>
          <w:color w:val="000000"/>
          <w:sz w:val="25"/>
          <w:szCs w:val="25"/>
        </w:rPr>
      </w:pPr>
    </w:p>
    <w:p w14:paraId="01A9F435" w14:textId="058979B5" w:rsidR="0016676E" w:rsidRPr="000E459D" w:rsidRDefault="000E459D" w:rsidP="0016676E">
      <w:pPr>
        <w:spacing w:after="0" w:line="240" w:lineRule="auto"/>
        <w:rPr>
          <w:rFonts w:ascii="Aptos" w:eastAsia="Times New Roman" w:hAnsi="Aptos" w:cs="Times New Roman"/>
          <w:bCs/>
          <w:color w:val="000000"/>
        </w:rPr>
      </w:pPr>
      <w:r w:rsidRPr="000E459D">
        <w:rPr>
          <w:rFonts w:ascii="Aptos" w:eastAsia="Times New Roman" w:hAnsi="Aptos" w:cs="Times New Roman"/>
          <w:bCs/>
          <w:color w:val="000000"/>
          <w:sz w:val="25"/>
          <w:szCs w:val="25"/>
        </w:rPr>
        <w:t xml:space="preserve">In the instant matter Parent filed her </w:t>
      </w:r>
      <w:r w:rsidRPr="000E459D">
        <w:rPr>
          <w:rFonts w:ascii="Aptos" w:eastAsia="Times New Roman" w:hAnsi="Aptos" w:cs="Times New Roman"/>
          <w:bCs/>
          <w:i/>
          <w:iCs/>
          <w:color w:val="000000"/>
          <w:sz w:val="25"/>
          <w:szCs w:val="25"/>
        </w:rPr>
        <w:t>Hearing Request</w:t>
      </w:r>
      <w:r w:rsidRPr="000E459D">
        <w:rPr>
          <w:rFonts w:ascii="Aptos" w:eastAsia="Times New Roman" w:hAnsi="Aptos" w:cs="Times New Roman"/>
          <w:bCs/>
          <w:color w:val="000000"/>
          <w:sz w:val="25"/>
          <w:szCs w:val="25"/>
        </w:rPr>
        <w:t xml:space="preserve"> </w:t>
      </w:r>
      <w:r w:rsidRPr="000E459D">
        <w:rPr>
          <w:rFonts w:ascii="Aptos" w:eastAsia="Times New Roman" w:hAnsi="Aptos" w:cs="Times New Roman"/>
          <w:bCs/>
          <w:i/>
          <w:iCs/>
          <w:color w:val="000000"/>
          <w:sz w:val="25"/>
          <w:szCs w:val="25"/>
        </w:rPr>
        <w:t xml:space="preserve">ab </w:t>
      </w:r>
      <w:proofErr w:type="gramStart"/>
      <w:r w:rsidRPr="000E459D">
        <w:rPr>
          <w:rFonts w:ascii="Aptos" w:eastAsia="Times New Roman" w:hAnsi="Aptos" w:cs="Times New Roman"/>
          <w:bCs/>
          <w:i/>
          <w:iCs/>
          <w:color w:val="000000"/>
          <w:sz w:val="25"/>
          <w:szCs w:val="25"/>
        </w:rPr>
        <w:t>initio</w:t>
      </w:r>
      <w:proofErr w:type="gramEnd"/>
      <w:r w:rsidRPr="000E459D">
        <w:rPr>
          <w:rFonts w:ascii="Aptos" w:eastAsia="Times New Roman" w:hAnsi="Aptos" w:cs="Times New Roman"/>
          <w:bCs/>
          <w:color w:val="000000"/>
          <w:sz w:val="25"/>
          <w:szCs w:val="25"/>
        </w:rPr>
        <w:t xml:space="preserve"> naming as parties both DMH and DCF, and those parties now seek dismissal. The same legal analysis that pertains to joinder is applicable in considering such dismissal motions.  </w:t>
      </w:r>
      <w:r w:rsidR="0016676E" w:rsidRPr="00F50CE3">
        <w:rPr>
          <w:rFonts w:ascii="Aptos" w:eastAsia="Times New Roman" w:hAnsi="Aptos" w:cs="Times New Roman"/>
          <w:bCs/>
          <w:color w:val="000000"/>
          <w:sz w:val="25"/>
          <w:szCs w:val="25"/>
        </w:rPr>
        <w:t>Rule</w:t>
      </w:r>
      <w:r w:rsidR="0016676E" w:rsidRPr="000467B1">
        <w:rPr>
          <w:rFonts w:ascii="Aptos" w:eastAsia="Times New Roman" w:hAnsi="Aptos" w:cs="Times New Roman"/>
          <w:bCs/>
          <w:color w:val="000000"/>
          <w:sz w:val="25"/>
          <w:szCs w:val="25"/>
        </w:rPr>
        <w:t xml:space="preserve"> I(J) of the </w:t>
      </w:r>
      <w:r w:rsidR="0016676E" w:rsidRPr="000467B1">
        <w:rPr>
          <w:rFonts w:ascii="Aptos" w:eastAsia="Times New Roman" w:hAnsi="Aptos" w:cs="Times New Roman"/>
          <w:bCs/>
          <w:i/>
          <w:iCs/>
          <w:color w:val="000000"/>
          <w:sz w:val="25"/>
          <w:szCs w:val="25"/>
        </w:rPr>
        <w:t>Hearing Rules</w:t>
      </w:r>
      <w:r w:rsidR="0016676E" w:rsidRPr="000467B1">
        <w:rPr>
          <w:rFonts w:ascii="Aptos" w:eastAsia="Times New Roman" w:hAnsi="Aptos" w:cs="Times New Roman"/>
          <w:bCs/>
          <w:color w:val="000000"/>
          <w:sz w:val="25"/>
          <w:szCs w:val="25"/>
        </w:rPr>
        <w:t xml:space="preserve"> states that, </w:t>
      </w:r>
    </w:p>
    <w:p w14:paraId="700A4D4D" w14:textId="77777777" w:rsidR="0016676E" w:rsidRPr="000467B1" w:rsidRDefault="0016676E" w:rsidP="0016676E">
      <w:pPr>
        <w:spacing w:after="0" w:line="240" w:lineRule="auto"/>
        <w:ind w:left="720" w:right="720"/>
        <w:rPr>
          <w:rFonts w:ascii="Aptos" w:eastAsia="Times New Roman" w:hAnsi="Aptos" w:cs="Times New Roman"/>
          <w:bCs/>
          <w:color w:val="000000"/>
          <w:sz w:val="25"/>
          <w:szCs w:val="25"/>
        </w:rPr>
      </w:pPr>
    </w:p>
    <w:p w14:paraId="56446337" w14:textId="31DA6408" w:rsidR="0016676E" w:rsidRPr="000467B1" w:rsidRDefault="0016676E" w:rsidP="0016676E">
      <w:pPr>
        <w:spacing w:after="0" w:line="240" w:lineRule="auto"/>
        <w:ind w:left="720" w:right="720"/>
        <w:rPr>
          <w:rFonts w:ascii="Aptos" w:eastAsia="Times New Roman" w:hAnsi="Aptos" w:cs="Times New Roman"/>
          <w:bCs/>
          <w:color w:val="000000"/>
          <w:sz w:val="25"/>
          <w:szCs w:val="25"/>
        </w:rPr>
      </w:pPr>
      <w:r w:rsidRPr="000467B1">
        <w:rPr>
          <w:rFonts w:ascii="Aptos" w:eastAsia="Times New Roman" w:hAnsi="Aptos" w:cs="Times New Roman"/>
          <w:bCs/>
          <w:color w:val="000000"/>
          <w:sz w:val="25"/>
          <w:szCs w:val="25"/>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w:t>
      </w:r>
      <w:r w:rsidR="008B2E66">
        <w:rPr>
          <w:rFonts w:ascii="Aptos" w:eastAsia="Times New Roman" w:hAnsi="Aptos" w:cs="Times New Roman"/>
          <w:bCs/>
          <w:color w:val="000000"/>
          <w:sz w:val="25"/>
          <w:szCs w:val="25"/>
        </w:rPr>
        <w:t xml:space="preserve"> </w:t>
      </w:r>
      <w:r w:rsidRPr="000467B1">
        <w:rPr>
          <w:rFonts w:ascii="Aptos" w:eastAsia="Times New Roman" w:hAnsi="Aptos" w:cs="Times New Roman"/>
          <w:bCs/>
          <w:color w:val="000000"/>
          <w:sz w:val="25"/>
          <w:szCs w:val="25"/>
        </w:rPr>
        <w:t xml:space="preserve">determination of joinder </w:t>
      </w:r>
      <w:proofErr w:type="gramStart"/>
      <w:r w:rsidRPr="000467B1">
        <w:rPr>
          <w:rFonts w:ascii="Aptos" w:eastAsia="Times New Roman" w:hAnsi="Aptos" w:cs="Times New Roman"/>
          <w:bCs/>
          <w:color w:val="000000"/>
          <w:sz w:val="25"/>
          <w:szCs w:val="25"/>
        </w:rPr>
        <w:t>are:</w:t>
      </w:r>
      <w:proofErr w:type="gramEnd"/>
      <w:r w:rsidRPr="000467B1">
        <w:rPr>
          <w:rFonts w:ascii="Aptos" w:eastAsia="Times New Roman" w:hAnsi="Aptos" w:cs="Times New Roman"/>
          <w:bCs/>
          <w:color w:val="000000"/>
          <w:sz w:val="25"/>
          <w:szCs w:val="25"/>
        </w:rPr>
        <w:t xml:space="preserve">  the risk of prejudice to the present parties in the absence of the proposed party; the range of alternatives for fashioning relief; the inadequacy of a judgement entered in the proposed party’s absence; and the existence of an alternative forum to resolve the dispute.”</w:t>
      </w:r>
    </w:p>
    <w:p w14:paraId="189F1737" w14:textId="77777777" w:rsidR="0016676E" w:rsidRPr="000467B1" w:rsidRDefault="0016676E" w:rsidP="0016676E">
      <w:pPr>
        <w:spacing w:after="0" w:line="240" w:lineRule="auto"/>
        <w:rPr>
          <w:rFonts w:ascii="Aptos" w:eastAsia="Times New Roman" w:hAnsi="Aptos" w:cs="Times New Roman"/>
          <w:bCs/>
          <w:color w:val="000000"/>
          <w:sz w:val="25"/>
          <w:szCs w:val="25"/>
        </w:rPr>
      </w:pPr>
    </w:p>
    <w:p w14:paraId="01120DA6" w14:textId="12815053" w:rsidR="002C57EF" w:rsidRPr="00331871" w:rsidRDefault="002C57EF" w:rsidP="002C57EF">
      <w:pPr>
        <w:spacing w:after="0" w:line="240" w:lineRule="auto"/>
        <w:rPr>
          <w:rFonts w:ascii="Aptos" w:eastAsia="Times New Roman" w:hAnsi="Aptos" w:cs="Times New Roman"/>
          <w:bCs/>
          <w:color w:val="000000"/>
          <w:sz w:val="25"/>
          <w:szCs w:val="25"/>
        </w:rPr>
      </w:pPr>
      <w:proofErr w:type="gramStart"/>
      <w:r w:rsidRPr="00331871">
        <w:rPr>
          <w:rFonts w:ascii="Aptos" w:eastAsia="Times New Roman" w:hAnsi="Aptos" w:cs="Times New Roman"/>
          <w:bCs/>
          <w:color w:val="000000"/>
          <w:sz w:val="25"/>
          <w:szCs w:val="25"/>
        </w:rPr>
        <w:t>In order for</w:t>
      </w:r>
      <w:proofErr w:type="gramEnd"/>
      <w:r w:rsidRPr="00331871">
        <w:rPr>
          <w:rFonts w:ascii="Aptos" w:eastAsia="Times New Roman" w:hAnsi="Aptos" w:cs="Times New Roman"/>
          <w:bCs/>
          <w:color w:val="000000"/>
          <w:sz w:val="25"/>
          <w:szCs w:val="25"/>
        </w:rPr>
        <w:t xml:space="preserve"> </w:t>
      </w:r>
      <w:r>
        <w:rPr>
          <w:rFonts w:ascii="Aptos" w:eastAsia="Times New Roman" w:hAnsi="Aptos" w:cs="Times New Roman"/>
          <w:bCs/>
          <w:color w:val="000000"/>
          <w:sz w:val="25"/>
          <w:szCs w:val="25"/>
        </w:rPr>
        <w:t xml:space="preserve">the BSEA to order a </w:t>
      </w:r>
      <w:proofErr w:type="gramStart"/>
      <w:r w:rsidRPr="00331871">
        <w:rPr>
          <w:rFonts w:ascii="Aptos" w:eastAsia="Times New Roman" w:hAnsi="Aptos" w:cs="Times New Roman"/>
          <w:bCs/>
          <w:color w:val="000000"/>
          <w:sz w:val="25"/>
          <w:szCs w:val="25"/>
        </w:rPr>
        <w:t>State</w:t>
      </w:r>
      <w:proofErr w:type="gramEnd"/>
      <w:r w:rsidRPr="00331871">
        <w:rPr>
          <w:rFonts w:ascii="Aptos" w:eastAsia="Times New Roman" w:hAnsi="Aptos" w:cs="Times New Roman"/>
          <w:bCs/>
          <w:color w:val="000000"/>
          <w:sz w:val="25"/>
          <w:szCs w:val="25"/>
        </w:rPr>
        <w:t xml:space="preserve"> agency to offer services, </w:t>
      </w:r>
      <w:r>
        <w:rPr>
          <w:rFonts w:ascii="Aptos" w:eastAsia="Times New Roman" w:hAnsi="Aptos" w:cs="Times New Roman"/>
          <w:bCs/>
          <w:color w:val="000000"/>
          <w:sz w:val="25"/>
          <w:szCs w:val="25"/>
        </w:rPr>
        <w:t>the</w:t>
      </w:r>
      <w:r w:rsidRPr="00331871">
        <w:rPr>
          <w:rFonts w:ascii="Aptos" w:eastAsia="Times New Roman" w:hAnsi="Aptos" w:cs="Times New Roman"/>
          <w:bCs/>
          <w:color w:val="000000"/>
          <w:sz w:val="25"/>
          <w:szCs w:val="25"/>
        </w:rPr>
        <w:t xml:space="preserve"> student must be eligible to receive </w:t>
      </w:r>
      <w:r>
        <w:rPr>
          <w:rFonts w:ascii="Aptos" w:eastAsia="Times New Roman" w:hAnsi="Aptos" w:cs="Times New Roman"/>
          <w:bCs/>
          <w:color w:val="000000"/>
          <w:sz w:val="25"/>
          <w:szCs w:val="25"/>
        </w:rPr>
        <w:t>the</w:t>
      </w:r>
      <w:r w:rsidRPr="00331871">
        <w:rPr>
          <w:rFonts w:ascii="Aptos" w:eastAsia="Times New Roman" w:hAnsi="Aptos" w:cs="Times New Roman"/>
          <w:bCs/>
          <w:color w:val="000000"/>
          <w:sz w:val="25"/>
          <w:szCs w:val="25"/>
        </w:rPr>
        <w:t xml:space="preserve"> services from that agency.  Under Mass. Gen. Laws c. 71B, § 3:</w:t>
      </w:r>
    </w:p>
    <w:p w14:paraId="2CA2582C" w14:textId="77777777" w:rsidR="002C57EF" w:rsidRPr="00331871" w:rsidRDefault="002C57EF" w:rsidP="002C57EF">
      <w:pPr>
        <w:spacing w:after="0" w:line="240" w:lineRule="auto"/>
        <w:rPr>
          <w:rFonts w:ascii="Aptos" w:eastAsia="Times New Roman" w:hAnsi="Aptos" w:cs="Times New Roman"/>
          <w:bCs/>
          <w:color w:val="000000"/>
          <w:sz w:val="25"/>
          <w:szCs w:val="25"/>
        </w:rPr>
      </w:pPr>
    </w:p>
    <w:p w14:paraId="6B1D52AB" w14:textId="52B99ED0" w:rsidR="002C57EF" w:rsidRPr="00331871" w:rsidRDefault="002C57EF" w:rsidP="002C57EF">
      <w:pPr>
        <w:spacing w:after="0" w:line="240" w:lineRule="auto"/>
        <w:ind w:left="720" w:right="720"/>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 xml:space="preserve">"The [BSEA] hearing officer may determine, in accordance with the rules, regulations and policies of the respective agencies, that services shall be provided by </w:t>
      </w:r>
      <w:r>
        <w:rPr>
          <w:rFonts w:ascii="Aptos" w:eastAsia="Times New Roman" w:hAnsi="Aptos" w:cs="Times New Roman"/>
          <w:bCs/>
          <w:color w:val="000000"/>
          <w:sz w:val="25"/>
          <w:szCs w:val="25"/>
        </w:rPr>
        <w:t>… any other state agency or program,</w:t>
      </w:r>
      <w:r w:rsidRPr="00331871">
        <w:rPr>
          <w:rFonts w:ascii="Aptos" w:eastAsia="Times New Roman" w:hAnsi="Aptos" w:cs="Times New Roman"/>
          <w:bCs/>
          <w:color w:val="000000"/>
          <w:sz w:val="25"/>
          <w:szCs w:val="25"/>
        </w:rPr>
        <w:t xml:space="preserve"> in addition to the program and related services to be provided by the school committee”</w:t>
      </w:r>
      <w:r w:rsidR="003B24B4">
        <w:rPr>
          <w:rStyle w:val="FootnoteReference"/>
          <w:rFonts w:ascii="Aptos" w:eastAsia="Times New Roman" w:hAnsi="Aptos" w:cs="Times New Roman"/>
          <w:bCs/>
          <w:color w:val="000000"/>
          <w:sz w:val="25"/>
          <w:szCs w:val="25"/>
        </w:rPr>
        <w:footnoteReference w:id="21"/>
      </w:r>
      <w:r w:rsidRPr="00331871">
        <w:rPr>
          <w:rFonts w:ascii="Aptos" w:eastAsia="Times New Roman" w:hAnsi="Aptos" w:cs="Times New Roman"/>
          <w:bCs/>
          <w:color w:val="000000"/>
          <w:sz w:val="25"/>
          <w:szCs w:val="25"/>
        </w:rPr>
        <w:t>.</w:t>
      </w:r>
    </w:p>
    <w:p w14:paraId="5EF968C9" w14:textId="77777777" w:rsidR="002C57EF" w:rsidRPr="00331871" w:rsidRDefault="002C57EF" w:rsidP="002C57EF">
      <w:pPr>
        <w:spacing w:after="0" w:line="240" w:lineRule="auto"/>
        <w:rPr>
          <w:rFonts w:ascii="Aptos" w:eastAsia="Times New Roman" w:hAnsi="Aptos" w:cs="Times New Roman"/>
          <w:bCs/>
          <w:color w:val="000000"/>
          <w:sz w:val="25"/>
          <w:szCs w:val="25"/>
        </w:rPr>
      </w:pPr>
    </w:p>
    <w:p w14:paraId="2135D697" w14:textId="0C614E19" w:rsidR="002C57EF" w:rsidRPr="00331871" w:rsidRDefault="002C57EF" w:rsidP="002C57EF">
      <w:pPr>
        <w:spacing w:after="0" w:line="240" w:lineRule="auto"/>
        <w:rPr>
          <w:rFonts w:ascii="Aptos" w:eastAsia="Times New Roman" w:hAnsi="Aptos" w:cs="Times New Roman"/>
          <w:bCs/>
          <w:color w:val="000000"/>
          <w:sz w:val="25"/>
          <w:szCs w:val="25"/>
        </w:rPr>
      </w:pPr>
      <w:r w:rsidRPr="00331871">
        <w:rPr>
          <w:rFonts w:ascii="Aptos" w:eastAsia="Times New Roman" w:hAnsi="Aptos" w:cs="Times New Roman"/>
          <w:bCs/>
          <w:color w:val="000000"/>
          <w:sz w:val="25"/>
          <w:szCs w:val="25"/>
        </w:rPr>
        <w:t xml:space="preserve">The ”in addition to” language within the statute has been consistently interpreted by </w:t>
      </w:r>
      <w:r w:rsidR="00AB23D9">
        <w:rPr>
          <w:rFonts w:ascii="Aptos" w:eastAsia="Times New Roman" w:hAnsi="Aptos" w:cs="Times New Roman"/>
          <w:bCs/>
          <w:color w:val="000000"/>
          <w:sz w:val="25"/>
          <w:szCs w:val="25"/>
        </w:rPr>
        <w:t xml:space="preserve">the </w:t>
      </w:r>
      <w:r w:rsidRPr="00331871">
        <w:rPr>
          <w:rFonts w:ascii="Aptos" w:eastAsia="Times New Roman" w:hAnsi="Aptos" w:cs="Times New Roman"/>
          <w:bCs/>
          <w:color w:val="000000"/>
          <w:sz w:val="25"/>
          <w:szCs w:val="25"/>
        </w:rPr>
        <w:t xml:space="preserve">BSEA to mean that if </w:t>
      </w:r>
      <w:r w:rsidR="000E459D">
        <w:rPr>
          <w:rFonts w:ascii="Aptos" w:eastAsia="Times New Roman" w:hAnsi="Aptos" w:cs="Times New Roman"/>
          <w:bCs/>
          <w:color w:val="000000"/>
          <w:sz w:val="25"/>
          <w:szCs w:val="25"/>
        </w:rPr>
        <w:t xml:space="preserve">there are </w:t>
      </w:r>
      <w:r w:rsidRPr="00331871">
        <w:rPr>
          <w:rFonts w:ascii="Aptos" w:eastAsia="Times New Roman" w:hAnsi="Aptos" w:cs="Times New Roman"/>
          <w:bCs/>
          <w:color w:val="000000"/>
          <w:sz w:val="25"/>
          <w:szCs w:val="25"/>
        </w:rPr>
        <w:t>services that the human service agency provides in accordance with its rules and policies</w:t>
      </w:r>
      <w:r w:rsidR="000E459D">
        <w:rPr>
          <w:rFonts w:ascii="Aptos" w:eastAsia="Times New Roman" w:hAnsi="Aptos" w:cs="Times New Roman"/>
          <w:bCs/>
          <w:color w:val="000000"/>
          <w:sz w:val="25"/>
          <w:szCs w:val="25"/>
        </w:rPr>
        <w:t xml:space="preserve"> that</w:t>
      </w:r>
      <w:r w:rsidRPr="00331871">
        <w:rPr>
          <w:rFonts w:ascii="Aptos" w:eastAsia="Times New Roman" w:hAnsi="Aptos" w:cs="Times New Roman"/>
          <w:bCs/>
          <w:color w:val="000000"/>
          <w:sz w:val="25"/>
          <w:szCs w:val="25"/>
        </w:rPr>
        <w:t xml:space="preserve"> are necessary for a student to access or benefit from the school district’s special education program “(over and above those services that are the responsibility of the school district)”, joinder may be appropriate</w:t>
      </w:r>
      <w:r w:rsidRPr="00331871">
        <w:rPr>
          <w:rStyle w:val="FootnoteReference"/>
          <w:rFonts w:ascii="Aptos" w:eastAsia="Times New Roman" w:hAnsi="Aptos" w:cs="Times New Roman"/>
          <w:bCs/>
          <w:color w:val="000000"/>
          <w:sz w:val="25"/>
          <w:szCs w:val="25"/>
        </w:rPr>
        <w:footnoteReference w:id="22"/>
      </w:r>
      <w:r w:rsidRPr="00331871">
        <w:rPr>
          <w:rFonts w:ascii="Aptos" w:eastAsia="Times New Roman" w:hAnsi="Aptos" w:cs="Times New Roman"/>
          <w:bCs/>
          <w:color w:val="000000"/>
          <w:sz w:val="25"/>
          <w:szCs w:val="25"/>
        </w:rPr>
        <w:t xml:space="preserve">.  </w:t>
      </w:r>
    </w:p>
    <w:p w14:paraId="18489D2F" w14:textId="77777777" w:rsidR="0016676E" w:rsidRPr="000467B1" w:rsidRDefault="0016676E" w:rsidP="0016676E">
      <w:pPr>
        <w:spacing w:after="0" w:line="240" w:lineRule="auto"/>
        <w:ind w:right="720"/>
        <w:rPr>
          <w:rFonts w:ascii="Aptos" w:eastAsia="Times New Roman" w:hAnsi="Aptos" w:cs="Times New Roman"/>
          <w:bCs/>
          <w:color w:val="000000"/>
          <w:sz w:val="25"/>
          <w:szCs w:val="25"/>
        </w:rPr>
      </w:pPr>
    </w:p>
    <w:p w14:paraId="34C2D6B0" w14:textId="67AAE4EA" w:rsidR="0016676E" w:rsidRPr="000467B1" w:rsidRDefault="0016676E" w:rsidP="0016676E">
      <w:pPr>
        <w:spacing w:after="0" w:line="240" w:lineRule="auto"/>
        <w:rPr>
          <w:rFonts w:ascii="Aptos" w:eastAsia="Times New Roman" w:hAnsi="Aptos" w:cs="Times New Roman"/>
          <w:bCs/>
          <w:i/>
          <w:iCs/>
          <w:color w:val="000000"/>
          <w:sz w:val="25"/>
          <w:szCs w:val="25"/>
        </w:rPr>
      </w:pPr>
      <w:r w:rsidRPr="000467B1">
        <w:rPr>
          <w:rFonts w:ascii="Aptos" w:eastAsia="Times New Roman" w:hAnsi="Aptos" w:cs="Times New Roman"/>
          <w:bCs/>
          <w:color w:val="000000"/>
          <w:sz w:val="25"/>
          <w:szCs w:val="25"/>
        </w:rPr>
        <w:t xml:space="preserve">With these statutory and procedural </w:t>
      </w:r>
      <w:r>
        <w:rPr>
          <w:rFonts w:ascii="Aptos" w:eastAsia="Times New Roman" w:hAnsi="Aptos" w:cs="Times New Roman"/>
          <w:bCs/>
          <w:color w:val="000000"/>
          <w:sz w:val="25"/>
          <w:szCs w:val="25"/>
        </w:rPr>
        <w:t>dictates</w:t>
      </w:r>
      <w:r w:rsidRPr="000467B1">
        <w:rPr>
          <w:rFonts w:ascii="Aptos" w:eastAsia="Times New Roman" w:hAnsi="Aptos" w:cs="Times New Roman"/>
          <w:bCs/>
          <w:color w:val="000000"/>
          <w:sz w:val="25"/>
          <w:szCs w:val="25"/>
        </w:rPr>
        <w:t xml:space="preserve"> in mind, I consider the</w:t>
      </w:r>
      <w:r>
        <w:rPr>
          <w:rFonts w:ascii="Aptos" w:eastAsia="Times New Roman" w:hAnsi="Aptos" w:cs="Times New Roman"/>
          <w:bCs/>
          <w:color w:val="000000"/>
          <w:sz w:val="25"/>
          <w:szCs w:val="25"/>
        </w:rPr>
        <w:t xml:space="preserve"> </w:t>
      </w:r>
      <w:r w:rsidRPr="000467B1">
        <w:rPr>
          <w:rFonts w:ascii="Aptos" w:eastAsia="Times New Roman" w:hAnsi="Aptos" w:cs="Times New Roman"/>
          <w:bCs/>
          <w:i/>
          <w:iCs/>
          <w:color w:val="000000"/>
          <w:sz w:val="25"/>
          <w:szCs w:val="25"/>
        </w:rPr>
        <w:t>Motion</w:t>
      </w:r>
      <w:r w:rsidR="001E3788">
        <w:rPr>
          <w:rFonts w:ascii="Aptos" w:eastAsia="Times New Roman" w:hAnsi="Aptos" w:cs="Times New Roman"/>
          <w:bCs/>
          <w:i/>
          <w:iCs/>
          <w:color w:val="000000"/>
          <w:sz w:val="25"/>
          <w:szCs w:val="25"/>
        </w:rPr>
        <w:t>s</w:t>
      </w:r>
      <w:r w:rsidRPr="000467B1">
        <w:rPr>
          <w:rFonts w:ascii="Aptos" w:eastAsia="Times New Roman" w:hAnsi="Aptos" w:cs="Times New Roman"/>
          <w:bCs/>
          <w:i/>
          <w:iCs/>
          <w:color w:val="000000"/>
          <w:sz w:val="25"/>
          <w:szCs w:val="25"/>
        </w:rPr>
        <w:t>.</w:t>
      </w:r>
    </w:p>
    <w:p w14:paraId="31B2E3C6" w14:textId="77777777" w:rsidR="0016676E" w:rsidRPr="000467B1" w:rsidRDefault="0016676E" w:rsidP="0016676E">
      <w:pPr>
        <w:spacing w:after="0" w:line="240" w:lineRule="auto"/>
        <w:rPr>
          <w:rFonts w:ascii="Aptos" w:hAnsi="Aptos" w:cs="Times New Roman"/>
          <w:b/>
          <w:bCs/>
          <w:sz w:val="25"/>
          <w:szCs w:val="25"/>
        </w:rPr>
      </w:pPr>
    </w:p>
    <w:p w14:paraId="36D8E17F" w14:textId="48ED996F" w:rsidR="0016676E" w:rsidRPr="000467B1" w:rsidRDefault="0016676E" w:rsidP="0016676E">
      <w:pPr>
        <w:spacing w:after="0" w:line="240" w:lineRule="auto"/>
        <w:rPr>
          <w:rFonts w:ascii="Aptos" w:hAnsi="Aptos" w:cs="Times New Roman"/>
          <w:b/>
          <w:bCs/>
          <w:sz w:val="25"/>
          <w:szCs w:val="25"/>
        </w:rPr>
      </w:pPr>
      <w:r w:rsidRPr="000467B1">
        <w:rPr>
          <w:rFonts w:ascii="Aptos" w:hAnsi="Aptos" w:cs="Times New Roman"/>
          <w:b/>
          <w:bCs/>
          <w:sz w:val="25"/>
          <w:szCs w:val="25"/>
        </w:rPr>
        <w:t>APPLICATION OF LEGAL STANDARD</w:t>
      </w:r>
      <w:r w:rsidR="001A331E">
        <w:rPr>
          <w:rFonts w:ascii="Aptos" w:hAnsi="Aptos" w:cs="Times New Roman"/>
          <w:b/>
          <w:bCs/>
          <w:sz w:val="25"/>
          <w:szCs w:val="25"/>
        </w:rPr>
        <w:t>S</w:t>
      </w:r>
    </w:p>
    <w:p w14:paraId="394F9250" w14:textId="77777777" w:rsidR="0016676E" w:rsidRDefault="0016676E" w:rsidP="0016676E">
      <w:pPr>
        <w:spacing w:after="0" w:line="240" w:lineRule="auto"/>
        <w:rPr>
          <w:rFonts w:ascii="Aptos" w:hAnsi="Aptos" w:cs="Times New Roman"/>
          <w:sz w:val="25"/>
          <w:szCs w:val="25"/>
        </w:rPr>
      </w:pPr>
    </w:p>
    <w:p w14:paraId="71A61AA6" w14:textId="77777777" w:rsidR="00E040E8" w:rsidRDefault="00080CF7" w:rsidP="0016676E">
      <w:pPr>
        <w:spacing w:after="0" w:line="240" w:lineRule="auto"/>
        <w:rPr>
          <w:rFonts w:ascii="Aptos" w:hAnsi="Aptos" w:cs="Times New Roman"/>
          <w:sz w:val="25"/>
          <w:szCs w:val="25"/>
        </w:rPr>
      </w:pPr>
      <w:r>
        <w:rPr>
          <w:rFonts w:ascii="Aptos" w:hAnsi="Aptos" w:cs="Times New Roman"/>
          <w:sz w:val="25"/>
          <w:szCs w:val="25"/>
        </w:rPr>
        <w:t xml:space="preserve">As my conclusion with respect to the </w:t>
      </w:r>
      <w:r>
        <w:rPr>
          <w:rFonts w:ascii="Aptos" w:hAnsi="Aptos" w:cs="Times New Roman"/>
          <w:i/>
          <w:iCs/>
          <w:sz w:val="25"/>
          <w:szCs w:val="25"/>
        </w:rPr>
        <w:t>District Motion</w:t>
      </w:r>
      <w:r>
        <w:rPr>
          <w:rFonts w:ascii="Aptos" w:hAnsi="Aptos" w:cs="Times New Roman"/>
          <w:sz w:val="25"/>
          <w:szCs w:val="25"/>
        </w:rPr>
        <w:t xml:space="preserve"> </w:t>
      </w:r>
      <w:r w:rsidR="00830115">
        <w:rPr>
          <w:rFonts w:ascii="Aptos" w:hAnsi="Aptos" w:cs="Times New Roman"/>
          <w:sz w:val="25"/>
          <w:szCs w:val="25"/>
        </w:rPr>
        <w:t>is outcome-</w:t>
      </w:r>
      <w:r w:rsidR="00E040E8">
        <w:rPr>
          <w:rFonts w:ascii="Aptos" w:hAnsi="Aptos" w:cs="Times New Roman"/>
          <w:sz w:val="25"/>
          <w:szCs w:val="25"/>
        </w:rPr>
        <w:t>determinative, I address it first.</w:t>
      </w:r>
    </w:p>
    <w:p w14:paraId="57A2AF49" w14:textId="77777777" w:rsidR="00E040E8" w:rsidRDefault="00E040E8" w:rsidP="0016676E">
      <w:pPr>
        <w:spacing w:after="0" w:line="240" w:lineRule="auto"/>
        <w:rPr>
          <w:rFonts w:ascii="Aptos" w:hAnsi="Aptos" w:cs="Times New Roman"/>
          <w:sz w:val="25"/>
          <w:szCs w:val="25"/>
        </w:rPr>
      </w:pPr>
    </w:p>
    <w:p w14:paraId="41F41BFB" w14:textId="2F2E444C" w:rsidR="00EC7C00" w:rsidRDefault="00E040E8" w:rsidP="0016676E">
      <w:pPr>
        <w:spacing w:after="0" w:line="240" w:lineRule="auto"/>
        <w:rPr>
          <w:rFonts w:ascii="Aptos" w:hAnsi="Aptos"/>
          <w:sz w:val="25"/>
          <w:szCs w:val="25"/>
        </w:rPr>
      </w:pPr>
      <w:r>
        <w:rPr>
          <w:rFonts w:ascii="Aptos" w:hAnsi="Aptos" w:cs="Times New Roman"/>
          <w:sz w:val="25"/>
          <w:szCs w:val="25"/>
        </w:rPr>
        <w:lastRenderedPageBreak/>
        <w:t xml:space="preserve">The </w:t>
      </w:r>
      <w:proofErr w:type="gramStart"/>
      <w:r>
        <w:rPr>
          <w:rFonts w:ascii="Aptos" w:hAnsi="Aptos" w:cs="Times New Roman"/>
          <w:sz w:val="25"/>
          <w:szCs w:val="25"/>
        </w:rPr>
        <w:t>District</w:t>
      </w:r>
      <w:proofErr w:type="gramEnd"/>
      <w:r>
        <w:rPr>
          <w:rFonts w:ascii="Aptos" w:hAnsi="Aptos" w:cs="Times New Roman"/>
          <w:sz w:val="25"/>
          <w:szCs w:val="25"/>
        </w:rPr>
        <w:t xml:space="preserve"> contends that the </w:t>
      </w:r>
      <w:r>
        <w:rPr>
          <w:rFonts w:ascii="Aptos" w:hAnsi="Aptos" w:cs="Times New Roman"/>
          <w:i/>
          <w:iCs/>
          <w:sz w:val="25"/>
          <w:szCs w:val="25"/>
        </w:rPr>
        <w:t>Settlement Agreement</w:t>
      </w:r>
      <w:r>
        <w:t xml:space="preserve"> </w:t>
      </w:r>
      <w:r w:rsidR="00443544">
        <w:t xml:space="preserve">mandates dismissal of this matter </w:t>
      </w:r>
      <w:r w:rsidR="0046769F">
        <w:t xml:space="preserve">as the </w:t>
      </w:r>
      <w:proofErr w:type="gramStart"/>
      <w:r w:rsidR="0046769F">
        <w:t>District</w:t>
      </w:r>
      <w:proofErr w:type="gramEnd"/>
      <w:r w:rsidR="0046769F">
        <w:t xml:space="preserve"> has indisputably complied with its obligations, </w:t>
      </w:r>
      <w:r w:rsidR="00524EE6">
        <w:t xml:space="preserve">and the terms of the </w:t>
      </w:r>
      <w:r w:rsidR="00524EE6">
        <w:rPr>
          <w:i/>
          <w:iCs/>
        </w:rPr>
        <w:t xml:space="preserve">Settlement Agreement </w:t>
      </w:r>
      <w:r w:rsidR="00524EE6">
        <w:t xml:space="preserve">make clear that </w:t>
      </w:r>
      <w:r w:rsidR="00171554">
        <w:t xml:space="preserve">such compliance by the </w:t>
      </w:r>
      <w:proofErr w:type="gramStart"/>
      <w:r w:rsidR="00171554">
        <w:t>District</w:t>
      </w:r>
      <w:proofErr w:type="gramEnd"/>
      <w:r w:rsidR="00171554">
        <w:t xml:space="preserve"> will “</w:t>
      </w:r>
      <w:r w:rsidR="00524EE6">
        <w:rPr>
          <w:rFonts w:ascii="Aptos" w:hAnsi="Aptos"/>
          <w:sz w:val="25"/>
          <w:szCs w:val="25"/>
        </w:rPr>
        <w:t xml:space="preserve">fulfill the </w:t>
      </w:r>
      <w:proofErr w:type="gramStart"/>
      <w:r w:rsidR="00524EE6">
        <w:rPr>
          <w:rFonts w:ascii="Aptos" w:hAnsi="Aptos"/>
          <w:sz w:val="25"/>
          <w:szCs w:val="25"/>
        </w:rPr>
        <w:t>District’s</w:t>
      </w:r>
      <w:proofErr w:type="gramEnd"/>
      <w:r w:rsidR="00524EE6">
        <w:rPr>
          <w:rFonts w:ascii="Aptos" w:hAnsi="Aptos"/>
          <w:sz w:val="25"/>
          <w:szCs w:val="25"/>
        </w:rPr>
        <w:t xml:space="preserve"> substantive and procedural obligations to provide an appropriate public education to the </w:t>
      </w:r>
      <w:proofErr w:type="gramStart"/>
      <w:r w:rsidR="00524EE6">
        <w:rPr>
          <w:rFonts w:ascii="Aptos" w:hAnsi="Aptos"/>
          <w:sz w:val="25"/>
          <w:szCs w:val="25"/>
        </w:rPr>
        <w:t>Student</w:t>
      </w:r>
      <w:proofErr w:type="gramEnd"/>
      <w:r w:rsidR="00171554">
        <w:rPr>
          <w:rFonts w:ascii="Aptos" w:hAnsi="Aptos"/>
          <w:sz w:val="25"/>
          <w:szCs w:val="25"/>
        </w:rPr>
        <w:t xml:space="preserve">” through August 2026.  The </w:t>
      </w:r>
      <w:proofErr w:type="gramStart"/>
      <w:r w:rsidR="00171554">
        <w:rPr>
          <w:rFonts w:ascii="Aptos" w:hAnsi="Aptos"/>
          <w:sz w:val="25"/>
          <w:szCs w:val="25"/>
        </w:rPr>
        <w:t>District</w:t>
      </w:r>
      <w:proofErr w:type="gramEnd"/>
      <w:r w:rsidR="00171554">
        <w:rPr>
          <w:rFonts w:ascii="Aptos" w:hAnsi="Aptos"/>
          <w:sz w:val="25"/>
          <w:szCs w:val="25"/>
        </w:rPr>
        <w:t xml:space="preserve"> </w:t>
      </w:r>
      <w:r w:rsidR="00CD3882">
        <w:rPr>
          <w:rFonts w:ascii="Aptos" w:hAnsi="Aptos"/>
          <w:sz w:val="25"/>
          <w:szCs w:val="25"/>
        </w:rPr>
        <w:t xml:space="preserve">suggests that this dispute is ultimately one about interpretation of the </w:t>
      </w:r>
      <w:r w:rsidR="008F4EFE">
        <w:rPr>
          <w:rFonts w:ascii="Aptos" w:hAnsi="Aptos"/>
          <w:sz w:val="25"/>
          <w:szCs w:val="25"/>
        </w:rPr>
        <w:t>“</w:t>
      </w:r>
      <w:r w:rsidR="007B1283">
        <w:rPr>
          <w:rFonts w:ascii="Aptos" w:hAnsi="Aptos"/>
          <w:sz w:val="25"/>
          <w:szCs w:val="25"/>
        </w:rPr>
        <w:t>unanticipated and catastrophic illness or injury</w:t>
      </w:r>
      <w:r w:rsidR="008F4EFE">
        <w:rPr>
          <w:rFonts w:ascii="Aptos" w:hAnsi="Aptos"/>
          <w:sz w:val="25"/>
          <w:szCs w:val="25"/>
        </w:rPr>
        <w:t>” provisions of the agreement, which must be decided in the appropriate state or federal court rather than at the BSEA</w:t>
      </w:r>
      <w:r w:rsidR="00EA4533">
        <w:rPr>
          <w:rFonts w:ascii="Aptos" w:hAnsi="Aptos"/>
          <w:sz w:val="25"/>
          <w:szCs w:val="25"/>
        </w:rPr>
        <w:t>.  A</w:t>
      </w:r>
      <w:r w:rsidR="008F4EFE">
        <w:rPr>
          <w:rFonts w:ascii="Aptos" w:hAnsi="Aptos"/>
          <w:sz w:val="25"/>
          <w:szCs w:val="25"/>
        </w:rPr>
        <w:t xml:space="preserve">ccording to the District, </w:t>
      </w:r>
      <w:r w:rsidR="002B2DEE">
        <w:rPr>
          <w:rFonts w:ascii="Aptos" w:hAnsi="Aptos"/>
          <w:sz w:val="25"/>
          <w:szCs w:val="25"/>
        </w:rPr>
        <w:t xml:space="preserve">nothing alleged in the </w:t>
      </w:r>
      <w:r w:rsidR="002B2DEE">
        <w:rPr>
          <w:rFonts w:ascii="Aptos" w:hAnsi="Aptos"/>
          <w:i/>
          <w:iCs/>
          <w:sz w:val="25"/>
          <w:szCs w:val="25"/>
        </w:rPr>
        <w:t xml:space="preserve">Hearing Request </w:t>
      </w:r>
      <w:r w:rsidR="002B2DEE">
        <w:rPr>
          <w:rFonts w:ascii="Aptos" w:hAnsi="Aptos"/>
          <w:sz w:val="25"/>
          <w:szCs w:val="25"/>
        </w:rPr>
        <w:t xml:space="preserve">amounts to an unknown, unanticipated or change in Student’s circumstances that would otherwise justify </w:t>
      </w:r>
      <w:r w:rsidR="001A6AAF">
        <w:rPr>
          <w:rFonts w:ascii="Aptos" w:hAnsi="Aptos"/>
          <w:sz w:val="25"/>
          <w:szCs w:val="25"/>
        </w:rPr>
        <w:t xml:space="preserve">further consideration of </w:t>
      </w:r>
      <w:r w:rsidR="00EC7C00">
        <w:rPr>
          <w:rFonts w:ascii="Aptos" w:hAnsi="Aptos"/>
          <w:sz w:val="25"/>
          <w:szCs w:val="25"/>
        </w:rPr>
        <w:t xml:space="preserve">the appropriate </w:t>
      </w:r>
      <w:r w:rsidR="00106863">
        <w:rPr>
          <w:rFonts w:ascii="Aptos" w:hAnsi="Aptos"/>
          <w:sz w:val="25"/>
          <w:szCs w:val="25"/>
        </w:rPr>
        <w:t xml:space="preserve">educational placement </w:t>
      </w:r>
      <w:r w:rsidR="001A331E">
        <w:rPr>
          <w:rFonts w:ascii="Aptos" w:hAnsi="Aptos"/>
          <w:sz w:val="25"/>
          <w:szCs w:val="25"/>
        </w:rPr>
        <w:t>for</w:t>
      </w:r>
      <w:r w:rsidR="00EC7C00">
        <w:rPr>
          <w:rFonts w:ascii="Aptos" w:hAnsi="Aptos"/>
          <w:sz w:val="25"/>
          <w:szCs w:val="25"/>
        </w:rPr>
        <w:t xml:space="preserve"> Student </w:t>
      </w:r>
      <w:r w:rsidR="00106863">
        <w:rPr>
          <w:rFonts w:ascii="Aptos" w:hAnsi="Aptos"/>
          <w:sz w:val="25"/>
          <w:szCs w:val="25"/>
        </w:rPr>
        <w:t>at this time.</w:t>
      </w:r>
    </w:p>
    <w:p w14:paraId="1DA57CE0" w14:textId="77777777" w:rsidR="00EC7C00" w:rsidRDefault="00EC7C00" w:rsidP="0016676E">
      <w:pPr>
        <w:spacing w:after="0" w:line="240" w:lineRule="auto"/>
        <w:rPr>
          <w:rFonts w:ascii="Aptos" w:hAnsi="Aptos"/>
          <w:sz w:val="25"/>
          <w:szCs w:val="25"/>
        </w:rPr>
      </w:pPr>
    </w:p>
    <w:p w14:paraId="344541BE" w14:textId="252DE5B4" w:rsidR="00080CF7" w:rsidRDefault="00EC7C00" w:rsidP="0016676E">
      <w:pPr>
        <w:spacing w:after="0" w:line="240" w:lineRule="auto"/>
        <w:rPr>
          <w:rFonts w:ascii="Aptos" w:hAnsi="Aptos"/>
          <w:sz w:val="25"/>
          <w:szCs w:val="25"/>
        </w:rPr>
      </w:pPr>
      <w:r>
        <w:rPr>
          <w:rFonts w:ascii="Aptos" w:hAnsi="Aptos"/>
          <w:sz w:val="25"/>
          <w:szCs w:val="25"/>
        </w:rPr>
        <w:t xml:space="preserve">However, </w:t>
      </w:r>
      <w:r w:rsidR="005313A8">
        <w:rPr>
          <w:rFonts w:ascii="Aptos" w:hAnsi="Aptos"/>
          <w:sz w:val="25"/>
          <w:szCs w:val="25"/>
        </w:rPr>
        <w:t xml:space="preserve">considering Parent’s claims in the light most favorable to </w:t>
      </w:r>
      <w:r w:rsidR="00E21A7E">
        <w:rPr>
          <w:rFonts w:ascii="Aptos" w:hAnsi="Aptos"/>
          <w:sz w:val="25"/>
          <w:szCs w:val="25"/>
        </w:rPr>
        <w:t>her</w:t>
      </w:r>
      <w:r w:rsidR="005313A8">
        <w:rPr>
          <w:rFonts w:ascii="Aptos" w:hAnsi="Aptos"/>
          <w:sz w:val="25"/>
          <w:szCs w:val="25"/>
        </w:rPr>
        <w:t>, and drawing all inferences therefrom in her favor, as I am obligated to do in the context of a motion to dismiss, I do not agree</w:t>
      </w:r>
      <w:r w:rsidR="005E77F1">
        <w:rPr>
          <w:rStyle w:val="FootnoteReference"/>
          <w:rFonts w:ascii="Aptos" w:hAnsi="Aptos"/>
          <w:sz w:val="25"/>
          <w:szCs w:val="25"/>
        </w:rPr>
        <w:footnoteReference w:id="23"/>
      </w:r>
      <w:r w:rsidR="005313A8">
        <w:rPr>
          <w:rFonts w:ascii="Aptos" w:hAnsi="Aptos"/>
          <w:sz w:val="25"/>
          <w:szCs w:val="25"/>
        </w:rPr>
        <w:t xml:space="preserve">.  </w:t>
      </w:r>
      <w:r w:rsidR="00E21A7E">
        <w:rPr>
          <w:rFonts w:ascii="Aptos" w:hAnsi="Aptos"/>
          <w:sz w:val="25"/>
          <w:szCs w:val="25"/>
        </w:rPr>
        <w:t xml:space="preserve">Parent’s </w:t>
      </w:r>
      <w:r w:rsidR="00593220">
        <w:rPr>
          <w:rFonts w:ascii="Aptos" w:hAnsi="Aptos"/>
          <w:i/>
          <w:iCs/>
          <w:sz w:val="25"/>
          <w:szCs w:val="25"/>
        </w:rPr>
        <w:t>Hearing Request</w:t>
      </w:r>
      <w:r w:rsidR="00593220">
        <w:rPr>
          <w:rFonts w:ascii="Aptos" w:hAnsi="Aptos"/>
          <w:sz w:val="25"/>
          <w:szCs w:val="25"/>
        </w:rPr>
        <w:t xml:space="preserve"> seeks </w:t>
      </w:r>
      <w:proofErr w:type="gramStart"/>
      <w:r w:rsidR="00593220">
        <w:rPr>
          <w:rFonts w:ascii="Aptos" w:hAnsi="Aptos"/>
          <w:sz w:val="25"/>
          <w:szCs w:val="25"/>
        </w:rPr>
        <w:t>a determination</w:t>
      </w:r>
      <w:proofErr w:type="gramEnd"/>
      <w:r w:rsidR="00593220">
        <w:rPr>
          <w:rFonts w:ascii="Aptos" w:hAnsi="Aptos"/>
          <w:sz w:val="25"/>
          <w:szCs w:val="25"/>
        </w:rPr>
        <w:t xml:space="preserve"> </w:t>
      </w:r>
      <w:r w:rsidR="00F659C8">
        <w:rPr>
          <w:rFonts w:ascii="Aptos" w:hAnsi="Aptos"/>
          <w:sz w:val="25"/>
          <w:szCs w:val="25"/>
        </w:rPr>
        <w:t xml:space="preserve">as to what </w:t>
      </w:r>
      <w:r w:rsidR="00396CC6">
        <w:rPr>
          <w:rFonts w:ascii="Aptos" w:hAnsi="Aptos"/>
          <w:sz w:val="25"/>
          <w:szCs w:val="25"/>
        </w:rPr>
        <w:t xml:space="preserve">currently </w:t>
      </w:r>
      <w:r w:rsidR="00F659C8">
        <w:rPr>
          <w:rFonts w:ascii="Aptos" w:hAnsi="Aptos"/>
          <w:sz w:val="25"/>
          <w:szCs w:val="25"/>
        </w:rPr>
        <w:t>constitutes a FAPE for Student</w:t>
      </w:r>
      <w:r w:rsidR="006E2F4E">
        <w:rPr>
          <w:rStyle w:val="FootnoteReference"/>
          <w:rFonts w:ascii="Aptos" w:hAnsi="Aptos"/>
          <w:sz w:val="25"/>
          <w:szCs w:val="25"/>
        </w:rPr>
        <w:footnoteReference w:id="24"/>
      </w:r>
      <w:r w:rsidR="00E93280">
        <w:rPr>
          <w:rFonts w:ascii="Aptos" w:hAnsi="Aptos"/>
          <w:sz w:val="25"/>
          <w:szCs w:val="25"/>
        </w:rPr>
        <w:t xml:space="preserve">; </w:t>
      </w:r>
      <w:r w:rsidR="00F659C8">
        <w:rPr>
          <w:rFonts w:ascii="Aptos" w:hAnsi="Aptos"/>
          <w:sz w:val="25"/>
          <w:szCs w:val="25"/>
        </w:rPr>
        <w:t>a question that is wholly within the jurisdiction of the BSEA</w:t>
      </w:r>
      <w:r w:rsidR="00E93280">
        <w:rPr>
          <w:rFonts w:ascii="Aptos" w:hAnsi="Aptos"/>
          <w:sz w:val="25"/>
          <w:szCs w:val="25"/>
        </w:rPr>
        <w:t>.  It</w:t>
      </w:r>
      <w:r w:rsidR="00F659C8">
        <w:rPr>
          <w:rFonts w:ascii="Aptos" w:hAnsi="Aptos"/>
          <w:sz w:val="25"/>
          <w:szCs w:val="25"/>
        </w:rPr>
        <w:t xml:space="preserve"> </w:t>
      </w:r>
      <w:r w:rsidR="00BD4DA1">
        <w:rPr>
          <w:rFonts w:ascii="Aptos" w:hAnsi="Aptos"/>
          <w:sz w:val="25"/>
          <w:szCs w:val="25"/>
        </w:rPr>
        <w:t>sets forth</w:t>
      </w:r>
      <w:r w:rsidR="00306DD1">
        <w:rPr>
          <w:rFonts w:ascii="Aptos" w:hAnsi="Aptos"/>
          <w:sz w:val="25"/>
          <w:szCs w:val="25"/>
        </w:rPr>
        <w:t xml:space="preserve"> sufficient allegations that, if taken as true, with all inferences drawn in </w:t>
      </w:r>
      <w:r w:rsidR="00BD4DA1">
        <w:rPr>
          <w:rFonts w:ascii="Aptos" w:hAnsi="Aptos"/>
          <w:sz w:val="25"/>
          <w:szCs w:val="25"/>
        </w:rPr>
        <w:t>Parent’s</w:t>
      </w:r>
      <w:r w:rsidR="00306DD1">
        <w:rPr>
          <w:rFonts w:ascii="Aptos" w:hAnsi="Aptos"/>
          <w:sz w:val="25"/>
          <w:szCs w:val="25"/>
        </w:rPr>
        <w:t xml:space="preserve"> favor, </w:t>
      </w:r>
      <w:r w:rsidR="00FE4682">
        <w:rPr>
          <w:rFonts w:ascii="Aptos" w:hAnsi="Aptos"/>
          <w:sz w:val="25"/>
          <w:szCs w:val="25"/>
        </w:rPr>
        <w:t>indicates a “change in conditions”</w:t>
      </w:r>
      <w:r w:rsidR="00306DD1">
        <w:rPr>
          <w:rFonts w:ascii="Aptos" w:hAnsi="Aptos"/>
          <w:sz w:val="25"/>
          <w:szCs w:val="25"/>
        </w:rPr>
        <w:t xml:space="preserve"> </w:t>
      </w:r>
      <w:r w:rsidR="001A331E">
        <w:rPr>
          <w:rFonts w:ascii="Aptos" w:hAnsi="Aptos"/>
          <w:sz w:val="25"/>
          <w:szCs w:val="25"/>
        </w:rPr>
        <w:t>regarding</w:t>
      </w:r>
      <w:r w:rsidR="00306DD1">
        <w:rPr>
          <w:rFonts w:ascii="Aptos" w:hAnsi="Aptos"/>
          <w:sz w:val="25"/>
          <w:szCs w:val="25"/>
        </w:rPr>
        <w:t xml:space="preserve"> Student since </w:t>
      </w:r>
      <w:r w:rsidR="00FD0AA6">
        <w:rPr>
          <w:rFonts w:ascii="Aptos" w:hAnsi="Aptos"/>
          <w:sz w:val="25"/>
          <w:szCs w:val="25"/>
        </w:rPr>
        <w:t>Parent</w:t>
      </w:r>
      <w:r w:rsidR="00E706D5">
        <w:rPr>
          <w:rFonts w:ascii="Aptos" w:hAnsi="Aptos"/>
          <w:sz w:val="25"/>
          <w:szCs w:val="25"/>
        </w:rPr>
        <w:t xml:space="preserve"> executed the </w:t>
      </w:r>
      <w:r w:rsidR="00E706D5">
        <w:rPr>
          <w:rFonts w:ascii="Aptos" w:hAnsi="Aptos"/>
          <w:i/>
          <w:iCs/>
          <w:sz w:val="25"/>
          <w:szCs w:val="25"/>
        </w:rPr>
        <w:t>Settlement Agreement</w:t>
      </w:r>
      <w:r w:rsidR="00C302DA">
        <w:rPr>
          <w:rStyle w:val="FootnoteReference"/>
          <w:rFonts w:ascii="Aptos" w:hAnsi="Aptos"/>
          <w:i/>
          <w:iCs/>
          <w:sz w:val="25"/>
          <w:szCs w:val="25"/>
        </w:rPr>
        <w:footnoteReference w:id="25"/>
      </w:r>
      <w:r w:rsidR="00E706D5">
        <w:rPr>
          <w:rFonts w:ascii="Aptos" w:hAnsi="Aptos"/>
          <w:sz w:val="25"/>
          <w:szCs w:val="25"/>
        </w:rPr>
        <w:t xml:space="preserve">.  </w:t>
      </w:r>
      <w:r w:rsidR="000F7B36">
        <w:rPr>
          <w:rFonts w:ascii="Aptos" w:hAnsi="Aptos"/>
          <w:sz w:val="25"/>
          <w:szCs w:val="25"/>
        </w:rPr>
        <w:t xml:space="preserve">Like </w:t>
      </w:r>
      <w:r w:rsidR="000F7B36" w:rsidRPr="000F7B36">
        <w:rPr>
          <w:rFonts w:ascii="Aptos" w:hAnsi="Aptos"/>
          <w:i/>
          <w:iCs/>
          <w:sz w:val="25"/>
          <w:szCs w:val="25"/>
        </w:rPr>
        <w:t>S. Kingston</w:t>
      </w:r>
      <w:r w:rsidR="000F7B36">
        <w:rPr>
          <w:rFonts w:ascii="Aptos" w:hAnsi="Aptos"/>
          <w:sz w:val="25"/>
          <w:szCs w:val="25"/>
        </w:rPr>
        <w:t xml:space="preserve">, the release language in the </w:t>
      </w:r>
      <w:r w:rsidR="000F7B36">
        <w:rPr>
          <w:rFonts w:ascii="Aptos" w:hAnsi="Aptos"/>
          <w:i/>
          <w:iCs/>
          <w:sz w:val="25"/>
          <w:szCs w:val="25"/>
        </w:rPr>
        <w:t xml:space="preserve">Settlement Agreement </w:t>
      </w:r>
      <w:r w:rsidR="00C244C8">
        <w:rPr>
          <w:rFonts w:ascii="Aptos" w:hAnsi="Aptos"/>
          <w:sz w:val="25"/>
          <w:szCs w:val="25"/>
        </w:rPr>
        <w:t>addressed all claims, known and unknown</w:t>
      </w:r>
      <w:r w:rsidR="0029277D">
        <w:rPr>
          <w:rFonts w:ascii="Aptos" w:hAnsi="Aptos"/>
          <w:sz w:val="25"/>
          <w:szCs w:val="25"/>
        </w:rPr>
        <w:t>,</w:t>
      </w:r>
      <w:r w:rsidR="00C244C8">
        <w:rPr>
          <w:rFonts w:ascii="Aptos" w:hAnsi="Aptos"/>
          <w:sz w:val="25"/>
          <w:szCs w:val="25"/>
        </w:rPr>
        <w:t xml:space="preserve"> through the date of </w:t>
      </w:r>
      <w:r w:rsidR="0029277D">
        <w:rPr>
          <w:rFonts w:ascii="Aptos" w:hAnsi="Aptos"/>
          <w:sz w:val="25"/>
          <w:szCs w:val="25"/>
        </w:rPr>
        <w:t>its execution</w:t>
      </w:r>
      <w:r w:rsidR="00C177AB">
        <w:rPr>
          <w:rStyle w:val="FootnoteReference"/>
          <w:rFonts w:ascii="Aptos" w:hAnsi="Aptos"/>
          <w:sz w:val="25"/>
          <w:szCs w:val="25"/>
        </w:rPr>
        <w:footnoteReference w:id="26"/>
      </w:r>
      <w:r w:rsidR="00C244C8">
        <w:rPr>
          <w:rFonts w:ascii="Aptos" w:hAnsi="Aptos"/>
          <w:sz w:val="25"/>
          <w:szCs w:val="25"/>
        </w:rPr>
        <w:t xml:space="preserve">.  </w:t>
      </w:r>
      <w:r w:rsidR="00BB247A">
        <w:rPr>
          <w:rFonts w:ascii="Aptos" w:hAnsi="Aptos"/>
          <w:sz w:val="25"/>
          <w:szCs w:val="25"/>
        </w:rPr>
        <w:t>W</w:t>
      </w:r>
      <w:r w:rsidR="0087080C">
        <w:rPr>
          <w:rFonts w:ascii="Aptos" w:hAnsi="Aptos"/>
          <w:sz w:val="25"/>
          <w:szCs w:val="25"/>
        </w:rPr>
        <w:t xml:space="preserve">hile Parent would not </w:t>
      </w:r>
      <w:r w:rsidR="0000278F">
        <w:rPr>
          <w:rFonts w:ascii="Aptos" w:hAnsi="Aptos"/>
          <w:sz w:val="25"/>
          <w:szCs w:val="25"/>
        </w:rPr>
        <w:t xml:space="preserve">have been </w:t>
      </w:r>
      <w:r w:rsidR="0087080C">
        <w:rPr>
          <w:rFonts w:ascii="Aptos" w:hAnsi="Aptos"/>
          <w:sz w:val="25"/>
          <w:szCs w:val="25"/>
        </w:rPr>
        <w:t xml:space="preserve">able to challenge Student’s placement based upon circumstances </w:t>
      </w:r>
      <w:r w:rsidR="00BB247A">
        <w:rPr>
          <w:rFonts w:ascii="Aptos" w:hAnsi="Aptos"/>
          <w:sz w:val="25"/>
          <w:szCs w:val="25"/>
        </w:rPr>
        <w:t xml:space="preserve">pre-dating </w:t>
      </w:r>
      <w:r w:rsidR="00A455F3">
        <w:rPr>
          <w:rFonts w:ascii="Aptos" w:hAnsi="Aptos"/>
          <w:sz w:val="25"/>
          <w:szCs w:val="25"/>
        </w:rPr>
        <w:t xml:space="preserve">the </w:t>
      </w:r>
      <w:r w:rsidR="00B921FF">
        <w:rPr>
          <w:rFonts w:ascii="Aptos" w:hAnsi="Aptos"/>
          <w:sz w:val="25"/>
          <w:szCs w:val="25"/>
        </w:rPr>
        <w:t>May 202</w:t>
      </w:r>
      <w:r w:rsidR="00A455F3">
        <w:rPr>
          <w:rFonts w:ascii="Aptos" w:hAnsi="Aptos"/>
          <w:sz w:val="25"/>
          <w:szCs w:val="25"/>
        </w:rPr>
        <w:t xml:space="preserve">4 execution of the </w:t>
      </w:r>
      <w:r w:rsidR="00B921FF">
        <w:rPr>
          <w:rFonts w:ascii="Aptos" w:hAnsi="Aptos"/>
          <w:i/>
          <w:iCs/>
          <w:sz w:val="25"/>
          <w:szCs w:val="25"/>
        </w:rPr>
        <w:t>Settlement Agreement</w:t>
      </w:r>
      <w:r w:rsidR="00A63294">
        <w:rPr>
          <w:rFonts w:ascii="Aptos" w:hAnsi="Aptos"/>
          <w:sz w:val="25"/>
          <w:szCs w:val="25"/>
        </w:rPr>
        <w:t xml:space="preserve">, </w:t>
      </w:r>
      <w:r w:rsidR="00B42743">
        <w:rPr>
          <w:rFonts w:ascii="Aptos" w:hAnsi="Aptos"/>
          <w:sz w:val="25"/>
          <w:szCs w:val="25"/>
        </w:rPr>
        <w:t xml:space="preserve">her </w:t>
      </w:r>
      <w:r w:rsidR="00A455F3">
        <w:rPr>
          <w:rFonts w:ascii="Aptos" w:hAnsi="Aptos"/>
          <w:sz w:val="25"/>
          <w:szCs w:val="25"/>
        </w:rPr>
        <w:t xml:space="preserve">allegations </w:t>
      </w:r>
      <w:r w:rsidR="00F73E92">
        <w:rPr>
          <w:rFonts w:ascii="Aptos" w:hAnsi="Aptos"/>
          <w:sz w:val="25"/>
          <w:szCs w:val="25"/>
        </w:rPr>
        <w:t xml:space="preserve">of Student’s “change in conditions” </w:t>
      </w:r>
      <w:r w:rsidR="00922655">
        <w:rPr>
          <w:rFonts w:ascii="Aptos" w:hAnsi="Aptos"/>
          <w:sz w:val="25"/>
          <w:szCs w:val="25"/>
        </w:rPr>
        <w:t xml:space="preserve">involve </w:t>
      </w:r>
      <w:r w:rsidR="00367DBE">
        <w:rPr>
          <w:rFonts w:ascii="Aptos" w:hAnsi="Aptos"/>
          <w:sz w:val="25"/>
          <w:szCs w:val="25"/>
        </w:rPr>
        <w:lastRenderedPageBreak/>
        <w:t xml:space="preserve">circumstances </w:t>
      </w:r>
      <w:r w:rsidR="00922655">
        <w:rPr>
          <w:rFonts w:ascii="Aptos" w:hAnsi="Aptos"/>
          <w:sz w:val="25"/>
          <w:szCs w:val="25"/>
        </w:rPr>
        <w:t xml:space="preserve">after that date, </w:t>
      </w:r>
      <w:r w:rsidR="00367DBE">
        <w:rPr>
          <w:rFonts w:ascii="Aptos" w:hAnsi="Aptos"/>
          <w:sz w:val="25"/>
          <w:szCs w:val="25"/>
        </w:rPr>
        <w:t xml:space="preserve">beginning in or around the </w:t>
      </w:r>
      <w:r w:rsidR="001A331E">
        <w:rPr>
          <w:rFonts w:ascii="Aptos" w:hAnsi="Aptos"/>
          <w:sz w:val="25"/>
          <w:szCs w:val="25"/>
        </w:rPr>
        <w:t>f</w:t>
      </w:r>
      <w:r w:rsidR="00367DBE">
        <w:rPr>
          <w:rFonts w:ascii="Aptos" w:hAnsi="Aptos"/>
          <w:sz w:val="25"/>
          <w:szCs w:val="25"/>
        </w:rPr>
        <w:t>all of 2024</w:t>
      </w:r>
      <w:r w:rsidR="00A4265F">
        <w:rPr>
          <w:rStyle w:val="FootnoteReference"/>
          <w:rFonts w:ascii="Aptos" w:hAnsi="Aptos"/>
          <w:sz w:val="25"/>
          <w:szCs w:val="25"/>
        </w:rPr>
        <w:footnoteReference w:id="27"/>
      </w:r>
      <w:r w:rsidR="00367DBE">
        <w:rPr>
          <w:rFonts w:ascii="Aptos" w:hAnsi="Aptos"/>
          <w:sz w:val="25"/>
          <w:szCs w:val="25"/>
        </w:rPr>
        <w:t xml:space="preserve">.  </w:t>
      </w:r>
      <w:r w:rsidR="00F73E92">
        <w:rPr>
          <w:rFonts w:ascii="Aptos" w:hAnsi="Aptos"/>
          <w:sz w:val="25"/>
          <w:szCs w:val="25"/>
        </w:rPr>
        <w:t xml:space="preserve">These allegations are sufficient, at this stage, to </w:t>
      </w:r>
      <w:r w:rsidR="000178F8">
        <w:rPr>
          <w:rFonts w:ascii="Aptos" w:hAnsi="Aptos"/>
          <w:sz w:val="25"/>
          <w:szCs w:val="25"/>
        </w:rPr>
        <w:t>allow the matter to proceed</w:t>
      </w:r>
      <w:r w:rsidR="00BD3D93">
        <w:rPr>
          <w:rStyle w:val="FootnoteReference"/>
          <w:rFonts w:ascii="Aptos" w:hAnsi="Aptos"/>
          <w:sz w:val="25"/>
          <w:szCs w:val="25"/>
        </w:rPr>
        <w:footnoteReference w:id="28"/>
      </w:r>
      <w:r w:rsidR="000178F8">
        <w:rPr>
          <w:rFonts w:ascii="Aptos" w:hAnsi="Aptos"/>
          <w:sz w:val="25"/>
          <w:szCs w:val="25"/>
        </w:rPr>
        <w:t>, and</w:t>
      </w:r>
      <w:r w:rsidR="002F5995">
        <w:rPr>
          <w:rFonts w:ascii="Aptos" w:hAnsi="Aptos"/>
          <w:sz w:val="25"/>
          <w:szCs w:val="25"/>
        </w:rPr>
        <w:t>,</w:t>
      </w:r>
      <w:r w:rsidR="000178F8">
        <w:rPr>
          <w:rFonts w:ascii="Aptos" w:hAnsi="Aptos"/>
          <w:sz w:val="25"/>
          <w:szCs w:val="25"/>
        </w:rPr>
        <w:t xml:space="preserve"> a</w:t>
      </w:r>
      <w:r w:rsidR="00E706D5" w:rsidRPr="000F7B36">
        <w:rPr>
          <w:rFonts w:ascii="Aptos" w:hAnsi="Aptos"/>
          <w:sz w:val="25"/>
          <w:szCs w:val="25"/>
        </w:rPr>
        <w:t>t</w:t>
      </w:r>
      <w:r w:rsidR="00E706D5">
        <w:rPr>
          <w:rFonts w:ascii="Aptos" w:hAnsi="Aptos"/>
          <w:sz w:val="25"/>
          <w:szCs w:val="25"/>
        </w:rPr>
        <w:t xml:space="preserve"> the very least, </w:t>
      </w:r>
      <w:r w:rsidR="000178F8">
        <w:rPr>
          <w:rFonts w:ascii="Aptos" w:hAnsi="Aptos"/>
          <w:sz w:val="25"/>
          <w:szCs w:val="25"/>
        </w:rPr>
        <w:t xml:space="preserve">require further development </w:t>
      </w:r>
      <w:r w:rsidR="00E52172">
        <w:rPr>
          <w:rFonts w:ascii="Aptos" w:hAnsi="Aptos"/>
          <w:sz w:val="25"/>
          <w:szCs w:val="25"/>
        </w:rPr>
        <w:t xml:space="preserve">at a hearing </w:t>
      </w:r>
      <w:r w:rsidR="000178F8">
        <w:rPr>
          <w:rFonts w:ascii="Aptos" w:hAnsi="Aptos"/>
          <w:sz w:val="25"/>
          <w:szCs w:val="25"/>
        </w:rPr>
        <w:t xml:space="preserve">to understand </w:t>
      </w:r>
      <w:r w:rsidR="006832D7">
        <w:rPr>
          <w:rFonts w:ascii="Aptos" w:hAnsi="Aptos"/>
          <w:sz w:val="25"/>
          <w:szCs w:val="25"/>
        </w:rPr>
        <w:t>the</w:t>
      </w:r>
      <w:r w:rsidR="00F73E92">
        <w:rPr>
          <w:rFonts w:ascii="Aptos" w:hAnsi="Aptos"/>
          <w:sz w:val="25"/>
          <w:szCs w:val="25"/>
        </w:rPr>
        <w:t xml:space="preserve"> extent</w:t>
      </w:r>
      <w:r w:rsidR="006159EA">
        <w:rPr>
          <w:rFonts w:ascii="Aptos" w:hAnsi="Aptos"/>
          <w:sz w:val="25"/>
          <w:szCs w:val="25"/>
        </w:rPr>
        <w:t>, if any,</w:t>
      </w:r>
      <w:r w:rsidR="00F73E92">
        <w:rPr>
          <w:rFonts w:ascii="Aptos" w:hAnsi="Aptos"/>
          <w:sz w:val="25"/>
          <w:szCs w:val="25"/>
        </w:rPr>
        <w:t xml:space="preserve"> of Student’s “change in conditions”</w:t>
      </w:r>
      <w:r w:rsidR="00E52172" w:rsidRPr="00E52172">
        <w:rPr>
          <w:rStyle w:val="FootnoteReference"/>
          <w:rFonts w:ascii="Aptos" w:hAnsi="Aptos"/>
          <w:sz w:val="25"/>
          <w:szCs w:val="25"/>
        </w:rPr>
        <w:t xml:space="preserve"> </w:t>
      </w:r>
      <w:r w:rsidR="00E52172">
        <w:rPr>
          <w:rStyle w:val="FootnoteReference"/>
          <w:rFonts w:ascii="Aptos" w:hAnsi="Aptos"/>
          <w:sz w:val="25"/>
          <w:szCs w:val="25"/>
        </w:rPr>
        <w:footnoteReference w:id="29"/>
      </w:r>
      <w:r w:rsidR="003855A7">
        <w:rPr>
          <w:rFonts w:ascii="Aptos" w:hAnsi="Aptos"/>
          <w:sz w:val="25"/>
          <w:szCs w:val="25"/>
        </w:rPr>
        <w:t>.</w:t>
      </w:r>
    </w:p>
    <w:p w14:paraId="4B91C7FD" w14:textId="77777777" w:rsidR="00BA0C0F" w:rsidRDefault="00BA0C0F" w:rsidP="0016676E">
      <w:pPr>
        <w:spacing w:after="0" w:line="240" w:lineRule="auto"/>
        <w:rPr>
          <w:rFonts w:ascii="Aptos" w:hAnsi="Aptos"/>
          <w:sz w:val="25"/>
          <w:szCs w:val="25"/>
        </w:rPr>
      </w:pPr>
    </w:p>
    <w:p w14:paraId="32D4C635" w14:textId="67F371F7" w:rsidR="00AB7F2E" w:rsidRDefault="00884631" w:rsidP="0016676E">
      <w:pPr>
        <w:spacing w:after="0" w:line="240" w:lineRule="auto"/>
        <w:rPr>
          <w:rFonts w:ascii="Aptos" w:hAnsi="Aptos"/>
          <w:sz w:val="25"/>
          <w:szCs w:val="25"/>
        </w:rPr>
      </w:pPr>
      <w:r>
        <w:rPr>
          <w:rFonts w:ascii="Aptos" w:hAnsi="Aptos"/>
          <w:sz w:val="25"/>
          <w:szCs w:val="25"/>
        </w:rPr>
        <w:t>Having</w:t>
      </w:r>
      <w:r w:rsidR="00553C12">
        <w:rPr>
          <w:rFonts w:ascii="Aptos" w:hAnsi="Aptos"/>
          <w:sz w:val="25"/>
          <w:szCs w:val="25"/>
        </w:rPr>
        <w:t xml:space="preserve"> therefore</w:t>
      </w:r>
      <w:r>
        <w:rPr>
          <w:rFonts w:ascii="Aptos" w:hAnsi="Aptos"/>
          <w:sz w:val="25"/>
          <w:szCs w:val="25"/>
        </w:rPr>
        <w:t xml:space="preserve"> concluded that Parent’s </w:t>
      </w:r>
      <w:r>
        <w:rPr>
          <w:rFonts w:ascii="Aptos" w:hAnsi="Aptos"/>
          <w:i/>
          <w:iCs/>
          <w:sz w:val="25"/>
          <w:szCs w:val="25"/>
        </w:rPr>
        <w:t xml:space="preserve">Hearing Request </w:t>
      </w:r>
      <w:r>
        <w:rPr>
          <w:rFonts w:ascii="Aptos" w:hAnsi="Aptos"/>
          <w:sz w:val="25"/>
          <w:szCs w:val="25"/>
        </w:rPr>
        <w:t xml:space="preserve">is not precluded by </w:t>
      </w:r>
      <w:r w:rsidR="005E0EF4">
        <w:rPr>
          <w:rFonts w:ascii="Aptos" w:hAnsi="Aptos"/>
          <w:sz w:val="25"/>
          <w:szCs w:val="25"/>
        </w:rPr>
        <w:t xml:space="preserve">the </w:t>
      </w:r>
      <w:r w:rsidR="005E0EF4">
        <w:rPr>
          <w:rFonts w:ascii="Aptos" w:hAnsi="Aptos"/>
          <w:i/>
          <w:iCs/>
          <w:sz w:val="25"/>
          <w:szCs w:val="25"/>
        </w:rPr>
        <w:t>Settlement Agreement</w:t>
      </w:r>
      <w:r w:rsidR="005E0EF4">
        <w:rPr>
          <w:rFonts w:ascii="Aptos" w:hAnsi="Aptos"/>
          <w:sz w:val="25"/>
          <w:szCs w:val="25"/>
        </w:rPr>
        <w:t xml:space="preserve"> and that a hearing is needed to determine both the </w:t>
      </w:r>
      <w:r w:rsidR="006159EA">
        <w:rPr>
          <w:rFonts w:ascii="Aptos" w:hAnsi="Aptos"/>
          <w:sz w:val="25"/>
          <w:szCs w:val="25"/>
        </w:rPr>
        <w:t>extent, if any,</w:t>
      </w:r>
      <w:r w:rsidR="005E0EF4">
        <w:rPr>
          <w:rFonts w:ascii="Aptos" w:hAnsi="Aptos"/>
          <w:sz w:val="25"/>
          <w:szCs w:val="25"/>
        </w:rPr>
        <w:t xml:space="preserve"> of Student’s change in circumstances and </w:t>
      </w:r>
      <w:r w:rsidR="00585BF3">
        <w:rPr>
          <w:rFonts w:ascii="Aptos" w:hAnsi="Aptos"/>
          <w:sz w:val="25"/>
          <w:szCs w:val="25"/>
        </w:rPr>
        <w:t xml:space="preserve">the special education and related services and placement </w:t>
      </w:r>
      <w:r w:rsidR="00F606AC">
        <w:rPr>
          <w:rFonts w:ascii="Aptos" w:hAnsi="Aptos"/>
          <w:sz w:val="25"/>
          <w:szCs w:val="25"/>
        </w:rPr>
        <w:t xml:space="preserve">occasioned thereby in order </w:t>
      </w:r>
      <w:r w:rsidR="00553C12">
        <w:rPr>
          <w:rFonts w:ascii="Aptos" w:hAnsi="Aptos"/>
          <w:sz w:val="25"/>
          <w:szCs w:val="25"/>
        </w:rPr>
        <w:t xml:space="preserve">for Student to receive </w:t>
      </w:r>
      <w:r w:rsidR="00585BF3">
        <w:rPr>
          <w:rFonts w:ascii="Aptos" w:hAnsi="Aptos"/>
          <w:sz w:val="25"/>
          <w:szCs w:val="25"/>
        </w:rPr>
        <w:t xml:space="preserve">a FAPE, I now turn to the requests by DCF and DMH to be dismissed as Parties.  </w:t>
      </w:r>
    </w:p>
    <w:p w14:paraId="397FF247" w14:textId="77777777" w:rsidR="00F15164" w:rsidRDefault="00F15164" w:rsidP="0016676E">
      <w:pPr>
        <w:spacing w:after="0" w:line="240" w:lineRule="auto"/>
        <w:rPr>
          <w:rFonts w:ascii="Aptos" w:hAnsi="Aptos"/>
          <w:sz w:val="25"/>
          <w:szCs w:val="25"/>
        </w:rPr>
      </w:pPr>
    </w:p>
    <w:p w14:paraId="1D9887BB" w14:textId="1DD5836A" w:rsidR="0002734C" w:rsidRDefault="00BA0C0F" w:rsidP="0016676E">
      <w:pPr>
        <w:spacing w:after="0" w:line="240" w:lineRule="auto"/>
        <w:rPr>
          <w:rFonts w:ascii="Aptos" w:hAnsi="Aptos"/>
          <w:sz w:val="25"/>
          <w:szCs w:val="25"/>
        </w:rPr>
      </w:pPr>
      <w:r>
        <w:rPr>
          <w:rFonts w:ascii="Aptos" w:hAnsi="Aptos"/>
          <w:sz w:val="25"/>
          <w:szCs w:val="25"/>
        </w:rPr>
        <w:t xml:space="preserve">DCF contends </w:t>
      </w:r>
      <w:r w:rsidR="00FF50E6">
        <w:rPr>
          <w:rFonts w:ascii="Aptos" w:hAnsi="Aptos"/>
          <w:sz w:val="25"/>
          <w:szCs w:val="25"/>
        </w:rPr>
        <w:t xml:space="preserve">it is premature to be included as a party as </w:t>
      </w:r>
      <w:r w:rsidR="00CA3378">
        <w:rPr>
          <w:rFonts w:ascii="Aptos" w:hAnsi="Aptos"/>
          <w:sz w:val="25"/>
          <w:szCs w:val="25"/>
        </w:rPr>
        <w:t>DCF</w:t>
      </w:r>
      <w:r w:rsidR="00A14BF2">
        <w:rPr>
          <w:rFonts w:ascii="Aptos" w:hAnsi="Aptos"/>
          <w:sz w:val="25"/>
          <w:szCs w:val="25"/>
        </w:rPr>
        <w:t xml:space="preserve"> regulations only </w:t>
      </w:r>
      <w:r w:rsidR="00A62DA9">
        <w:rPr>
          <w:rFonts w:ascii="Aptos" w:hAnsi="Aptos"/>
          <w:sz w:val="25"/>
          <w:szCs w:val="25"/>
        </w:rPr>
        <w:t>require</w:t>
      </w:r>
      <w:r w:rsidR="002F7680">
        <w:rPr>
          <w:rFonts w:ascii="Aptos" w:hAnsi="Aptos"/>
          <w:sz w:val="25"/>
          <w:szCs w:val="25"/>
        </w:rPr>
        <w:t xml:space="preserve"> that</w:t>
      </w:r>
      <w:r w:rsidR="00A62DA9">
        <w:rPr>
          <w:rFonts w:ascii="Aptos" w:hAnsi="Aptos"/>
          <w:sz w:val="25"/>
          <w:szCs w:val="25"/>
        </w:rPr>
        <w:t xml:space="preserve"> </w:t>
      </w:r>
      <w:r w:rsidR="00CA3378">
        <w:rPr>
          <w:rFonts w:ascii="Aptos" w:hAnsi="Aptos"/>
          <w:sz w:val="25"/>
          <w:szCs w:val="25"/>
        </w:rPr>
        <w:t xml:space="preserve">it </w:t>
      </w:r>
      <w:r w:rsidR="00A14BF2">
        <w:rPr>
          <w:rFonts w:ascii="Aptos" w:hAnsi="Aptos"/>
          <w:sz w:val="25"/>
          <w:szCs w:val="25"/>
        </w:rPr>
        <w:t>provide residential placements for children in its care and custody</w:t>
      </w:r>
      <w:r w:rsidR="002F7680">
        <w:rPr>
          <w:rFonts w:ascii="Aptos" w:hAnsi="Aptos"/>
          <w:sz w:val="25"/>
          <w:szCs w:val="25"/>
        </w:rPr>
        <w:t>, and it does not currently have care or custody of Student</w:t>
      </w:r>
      <w:r w:rsidR="00A14BF2">
        <w:rPr>
          <w:rFonts w:ascii="Aptos" w:hAnsi="Aptos"/>
          <w:sz w:val="25"/>
          <w:szCs w:val="25"/>
        </w:rPr>
        <w:t xml:space="preserve">.  </w:t>
      </w:r>
      <w:r w:rsidR="0002734C">
        <w:rPr>
          <w:rFonts w:ascii="Aptos" w:hAnsi="Aptos"/>
          <w:sz w:val="25"/>
          <w:szCs w:val="25"/>
        </w:rPr>
        <w:t xml:space="preserve">I concur with my sister Hearing Officers, however, that </w:t>
      </w:r>
      <w:r w:rsidR="009D5A8A">
        <w:rPr>
          <w:rFonts w:ascii="Aptos" w:hAnsi="Aptos"/>
          <w:sz w:val="25"/>
          <w:szCs w:val="25"/>
        </w:rPr>
        <w:t xml:space="preserve">a “care or custody” arrangement with DCF is not necessary </w:t>
      </w:r>
      <w:r w:rsidR="00AB1DB6">
        <w:rPr>
          <w:rFonts w:ascii="Aptos" w:hAnsi="Aptos"/>
          <w:sz w:val="25"/>
          <w:szCs w:val="25"/>
        </w:rPr>
        <w:t xml:space="preserve">for joinder of DCF, particularly where, as in the instant matter, DCF has a long involved history with the family, and currently has an open </w:t>
      </w:r>
      <w:r w:rsidR="00910E7D">
        <w:rPr>
          <w:rFonts w:ascii="Aptos" w:hAnsi="Aptos"/>
          <w:sz w:val="25"/>
          <w:szCs w:val="25"/>
        </w:rPr>
        <w:t xml:space="preserve">clinical case that </w:t>
      </w:r>
      <w:r w:rsidR="00240F0E">
        <w:rPr>
          <w:rFonts w:ascii="Aptos" w:hAnsi="Aptos"/>
          <w:sz w:val="25"/>
          <w:szCs w:val="25"/>
        </w:rPr>
        <w:t xml:space="preserve">includes </w:t>
      </w:r>
      <w:r w:rsidR="00910E7D">
        <w:rPr>
          <w:rFonts w:ascii="Aptos" w:hAnsi="Aptos"/>
          <w:sz w:val="25"/>
          <w:szCs w:val="25"/>
        </w:rPr>
        <w:t xml:space="preserve">a goal of supporting </w:t>
      </w:r>
      <w:r w:rsidR="00910E7D">
        <w:rPr>
          <w:rFonts w:ascii="Aptos" w:hAnsi="Aptos"/>
          <w:sz w:val="25"/>
          <w:szCs w:val="25"/>
        </w:rPr>
        <w:lastRenderedPageBreak/>
        <w:t xml:space="preserve">Parent </w:t>
      </w:r>
      <w:r w:rsidR="00910E7D" w:rsidRPr="007B4822">
        <w:rPr>
          <w:rFonts w:ascii="Aptos" w:hAnsi="Aptos"/>
          <w:sz w:val="25"/>
          <w:szCs w:val="25"/>
        </w:rPr>
        <w:t xml:space="preserve">and </w:t>
      </w:r>
      <w:r w:rsidR="00240F0E">
        <w:rPr>
          <w:rFonts w:ascii="Aptos" w:hAnsi="Aptos"/>
          <w:sz w:val="25"/>
          <w:szCs w:val="25"/>
        </w:rPr>
        <w:t>S</w:t>
      </w:r>
      <w:r w:rsidR="00910E7D" w:rsidRPr="007B4822">
        <w:rPr>
          <w:rFonts w:ascii="Aptos" w:hAnsi="Aptos"/>
          <w:sz w:val="25"/>
          <w:szCs w:val="25"/>
        </w:rPr>
        <w:t xml:space="preserve">tudent </w:t>
      </w:r>
      <w:r w:rsidR="00C4689E">
        <w:rPr>
          <w:rFonts w:ascii="Aptos" w:hAnsi="Aptos"/>
          <w:sz w:val="25"/>
          <w:szCs w:val="25"/>
        </w:rPr>
        <w:t>in accessing available DMH services and</w:t>
      </w:r>
      <w:r w:rsidR="005F15CD">
        <w:rPr>
          <w:rFonts w:ascii="Aptos" w:hAnsi="Aptos"/>
          <w:sz w:val="25"/>
          <w:szCs w:val="25"/>
        </w:rPr>
        <w:t xml:space="preserve"> </w:t>
      </w:r>
      <w:r w:rsidR="00DB67F8">
        <w:rPr>
          <w:rFonts w:ascii="Aptos" w:hAnsi="Aptos"/>
          <w:sz w:val="25"/>
          <w:szCs w:val="25"/>
        </w:rPr>
        <w:t xml:space="preserve">ensuring </w:t>
      </w:r>
      <w:r w:rsidR="00C4689E">
        <w:rPr>
          <w:rFonts w:ascii="Aptos" w:hAnsi="Aptos"/>
          <w:sz w:val="25"/>
          <w:szCs w:val="25"/>
        </w:rPr>
        <w:t>“</w:t>
      </w:r>
      <w:r w:rsidR="005F15CD">
        <w:rPr>
          <w:rFonts w:ascii="Aptos" w:hAnsi="Aptos"/>
          <w:sz w:val="25"/>
          <w:szCs w:val="25"/>
        </w:rPr>
        <w:t xml:space="preserve">… </w:t>
      </w:r>
      <w:r w:rsidR="00910E7D" w:rsidRPr="007B4822">
        <w:rPr>
          <w:rFonts w:ascii="Aptos" w:hAnsi="Aptos"/>
          <w:sz w:val="25"/>
          <w:szCs w:val="25"/>
        </w:rPr>
        <w:t>safety in the home and managing the student’s mental health and behavioral needs”</w:t>
      </w:r>
      <w:r w:rsidR="0069593D">
        <w:rPr>
          <w:rStyle w:val="FootnoteReference"/>
          <w:rFonts w:ascii="Aptos" w:hAnsi="Aptos"/>
          <w:sz w:val="25"/>
          <w:szCs w:val="25"/>
        </w:rPr>
        <w:footnoteReference w:id="30"/>
      </w:r>
      <w:r w:rsidR="00C4689E">
        <w:rPr>
          <w:rFonts w:ascii="Aptos" w:hAnsi="Aptos"/>
          <w:sz w:val="25"/>
          <w:szCs w:val="25"/>
        </w:rPr>
        <w:t xml:space="preserve">.  </w:t>
      </w:r>
      <w:r w:rsidR="00BB33BF">
        <w:rPr>
          <w:rFonts w:ascii="Aptos" w:hAnsi="Aptos"/>
          <w:sz w:val="25"/>
          <w:szCs w:val="25"/>
        </w:rPr>
        <w:t>And it</w:t>
      </w:r>
      <w:r w:rsidR="0083720B">
        <w:rPr>
          <w:rFonts w:ascii="Aptos" w:hAnsi="Aptos"/>
          <w:sz w:val="25"/>
          <w:szCs w:val="25"/>
        </w:rPr>
        <w:t xml:space="preserve"> is precisely Student’s mental health and behavioral needs that </w:t>
      </w:r>
      <w:r w:rsidR="003117EE">
        <w:rPr>
          <w:rFonts w:ascii="Aptos" w:hAnsi="Aptos"/>
          <w:sz w:val="25"/>
          <w:szCs w:val="25"/>
        </w:rPr>
        <w:t>are at issue</w:t>
      </w:r>
      <w:r w:rsidR="00803523">
        <w:rPr>
          <w:rFonts w:ascii="Aptos" w:hAnsi="Aptos"/>
          <w:sz w:val="25"/>
          <w:szCs w:val="25"/>
        </w:rPr>
        <w:t xml:space="preserve"> in this matter.</w:t>
      </w:r>
    </w:p>
    <w:p w14:paraId="68CCD656" w14:textId="77777777" w:rsidR="001D0D0E" w:rsidRDefault="001D0D0E" w:rsidP="0016676E">
      <w:pPr>
        <w:spacing w:after="0" w:line="240" w:lineRule="auto"/>
        <w:rPr>
          <w:rFonts w:ascii="Aptos" w:hAnsi="Aptos"/>
          <w:sz w:val="25"/>
          <w:szCs w:val="25"/>
        </w:rPr>
      </w:pPr>
    </w:p>
    <w:p w14:paraId="736079C1" w14:textId="074723B9" w:rsidR="001D0D0E" w:rsidRDefault="001D0D0E" w:rsidP="0016676E">
      <w:pPr>
        <w:spacing w:after="0" w:line="240" w:lineRule="auto"/>
        <w:rPr>
          <w:rFonts w:ascii="Aptos" w:hAnsi="Aptos"/>
          <w:sz w:val="25"/>
          <w:szCs w:val="25"/>
        </w:rPr>
      </w:pPr>
      <w:r>
        <w:rPr>
          <w:rFonts w:ascii="Aptos" w:hAnsi="Aptos"/>
          <w:sz w:val="25"/>
          <w:szCs w:val="25"/>
        </w:rPr>
        <w:t>Similarly, DMH argues that</w:t>
      </w:r>
      <w:r w:rsidR="00FF333A">
        <w:rPr>
          <w:rFonts w:ascii="Aptos" w:hAnsi="Aptos"/>
          <w:sz w:val="25"/>
          <w:szCs w:val="25"/>
        </w:rPr>
        <w:t xml:space="preserve"> it is unable to provide the relief Parent seeks as</w:t>
      </w:r>
      <w:r>
        <w:rPr>
          <w:rFonts w:ascii="Aptos" w:hAnsi="Aptos"/>
          <w:sz w:val="25"/>
          <w:szCs w:val="25"/>
        </w:rPr>
        <w:t xml:space="preserve"> its </w:t>
      </w:r>
      <w:r>
        <w:rPr>
          <w:rFonts w:ascii="Aptos" w:hAnsi="Aptos" w:cs="Times New Roman"/>
          <w:sz w:val="25"/>
          <w:szCs w:val="25"/>
        </w:rPr>
        <w:t>CYF Residential Intervention Policy</w:t>
      </w:r>
      <w:r w:rsidR="001D7E74">
        <w:rPr>
          <w:rFonts w:ascii="Aptos" w:hAnsi="Aptos" w:cs="Times New Roman"/>
          <w:sz w:val="25"/>
          <w:szCs w:val="25"/>
        </w:rPr>
        <w:t xml:space="preserve"> prohibits it from being ordered to “cost-share a private residential school placement”</w:t>
      </w:r>
      <w:r w:rsidR="001C54BC">
        <w:rPr>
          <w:rFonts w:ascii="Aptos" w:hAnsi="Aptos" w:cs="Times New Roman"/>
          <w:sz w:val="25"/>
          <w:szCs w:val="25"/>
        </w:rPr>
        <w:t xml:space="preserve"> </w:t>
      </w:r>
      <w:r w:rsidR="00CD05D2">
        <w:rPr>
          <w:rFonts w:ascii="Aptos" w:hAnsi="Aptos" w:cs="Times New Roman"/>
          <w:sz w:val="25"/>
          <w:szCs w:val="25"/>
        </w:rPr>
        <w:t xml:space="preserve">since that Policy </w:t>
      </w:r>
      <w:r w:rsidR="007007E6">
        <w:rPr>
          <w:rFonts w:ascii="Aptos" w:hAnsi="Aptos" w:cs="Times New Roman"/>
          <w:sz w:val="25"/>
          <w:szCs w:val="25"/>
        </w:rPr>
        <w:t>only authorizes DMH to provide residential services on a “short-term basis”</w:t>
      </w:r>
      <w:r w:rsidR="00BF741D">
        <w:rPr>
          <w:rFonts w:ascii="Aptos" w:hAnsi="Aptos" w:cs="Times New Roman"/>
          <w:sz w:val="25"/>
          <w:szCs w:val="25"/>
        </w:rPr>
        <w:t xml:space="preserve">, so it is unable to provide the relief Parent seeks.  </w:t>
      </w:r>
      <w:r w:rsidR="001C54BC">
        <w:rPr>
          <w:rFonts w:ascii="Aptos" w:hAnsi="Aptos" w:cs="Times New Roman"/>
          <w:sz w:val="25"/>
          <w:szCs w:val="25"/>
        </w:rPr>
        <w:t xml:space="preserve">However, </w:t>
      </w:r>
      <w:r w:rsidR="00BF741D">
        <w:rPr>
          <w:rFonts w:ascii="Aptos" w:hAnsi="Aptos" w:cs="Times New Roman"/>
          <w:sz w:val="25"/>
          <w:szCs w:val="25"/>
        </w:rPr>
        <w:t xml:space="preserve">consistent with my previous </w:t>
      </w:r>
      <w:r w:rsidR="0029793E">
        <w:rPr>
          <w:rFonts w:ascii="Aptos" w:hAnsi="Aptos" w:cs="Times New Roman"/>
          <w:sz w:val="25"/>
          <w:szCs w:val="25"/>
        </w:rPr>
        <w:t>conclusions</w:t>
      </w:r>
      <w:r w:rsidR="00CD05D2">
        <w:rPr>
          <w:rFonts w:ascii="Aptos" w:hAnsi="Aptos" w:cs="Times New Roman"/>
          <w:sz w:val="25"/>
          <w:szCs w:val="25"/>
        </w:rPr>
        <w:t xml:space="preserve"> in </w:t>
      </w:r>
      <w:r w:rsidR="005E262E" w:rsidRPr="00993212">
        <w:rPr>
          <w:rFonts w:ascii="Aptos" w:hAnsi="Aptos" w:cs="Times New Roman"/>
          <w:i/>
          <w:iCs/>
          <w:sz w:val="25"/>
          <w:szCs w:val="25"/>
        </w:rPr>
        <w:t xml:space="preserve">In Re: Quabbin &amp; DMH &amp; </w:t>
      </w:r>
      <w:r w:rsidR="00993212" w:rsidRPr="00993212">
        <w:rPr>
          <w:rFonts w:ascii="Aptos" w:hAnsi="Aptos" w:cs="Times New Roman"/>
          <w:i/>
          <w:iCs/>
          <w:sz w:val="25"/>
          <w:szCs w:val="25"/>
        </w:rPr>
        <w:t>DDS</w:t>
      </w:r>
      <w:r w:rsidR="00CD05D2">
        <w:rPr>
          <w:rStyle w:val="FootnoteReference"/>
          <w:rFonts w:ascii="Aptos" w:hAnsi="Aptos" w:cs="Times New Roman"/>
          <w:sz w:val="25"/>
          <w:szCs w:val="25"/>
        </w:rPr>
        <w:footnoteReference w:id="31"/>
      </w:r>
      <w:r w:rsidR="00CD05D2">
        <w:rPr>
          <w:rFonts w:ascii="Aptos" w:hAnsi="Aptos" w:cs="Times New Roman"/>
          <w:sz w:val="25"/>
          <w:szCs w:val="25"/>
        </w:rPr>
        <w:t>,</w:t>
      </w:r>
      <w:r w:rsidR="0029793E">
        <w:rPr>
          <w:rFonts w:ascii="Aptos" w:hAnsi="Aptos" w:cs="Times New Roman"/>
          <w:sz w:val="25"/>
          <w:szCs w:val="25"/>
        </w:rPr>
        <w:t xml:space="preserve"> </w:t>
      </w:r>
      <w:r w:rsidR="003A514D">
        <w:rPr>
          <w:rFonts w:ascii="Aptos" w:hAnsi="Aptos" w:cs="Times New Roman"/>
          <w:sz w:val="25"/>
          <w:szCs w:val="25"/>
        </w:rPr>
        <w:t xml:space="preserve">I do not find </w:t>
      </w:r>
      <w:r w:rsidR="0029793E">
        <w:rPr>
          <w:rFonts w:ascii="Aptos" w:hAnsi="Aptos" w:cs="Times New Roman"/>
          <w:sz w:val="25"/>
          <w:szCs w:val="25"/>
        </w:rPr>
        <w:t xml:space="preserve">this Policy </w:t>
      </w:r>
      <w:r w:rsidR="003A514D">
        <w:rPr>
          <w:rFonts w:ascii="Aptos" w:hAnsi="Aptos" w:cs="Times New Roman"/>
          <w:sz w:val="25"/>
          <w:szCs w:val="25"/>
        </w:rPr>
        <w:t xml:space="preserve">to </w:t>
      </w:r>
      <w:r w:rsidR="0029793E">
        <w:rPr>
          <w:rFonts w:ascii="Aptos" w:hAnsi="Aptos" w:cs="Times New Roman"/>
          <w:sz w:val="25"/>
          <w:szCs w:val="25"/>
        </w:rPr>
        <w:t xml:space="preserve">necessarily </w:t>
      </w:r>
      <w:r w:rsidR="00CD05D2">
        <w:rPr>
          <w:rFonts w:ascii="Aptos" w:hAnsi="Aptos" w:cs="Times New Roman"/>
          <w:sz w:val="25"/>
          <w:szCs w:val="25"/>
        </w:rPr>
        <w:t xml:space="preserve">so </w:t>
      </w:r>
      <w:r w:rsidR="0029793E">
        <w:rPr>
          <w:rFonts w:ascii="Aptos" w:hAnsi="Aptos" w:cs="Times New Roman"/>
          <w:sz w:val="25"/>
          <w:szCs w:val="25"/>
        </w:rPr>
        <w:t>limit DMH</w:t>
      </w:r>
      <w:r w:rsidR="003A514D">
        <w:rPr>
          <w:rFonts w:ascii="Aptos" w:hAnsi="Aptos" w:cs="Times New Roman"/>
          <w:sz w:val="25"/>
          <w:szCs w:val="25"/>
        </w:rPr>
        <w:t xml:space="preserve">.  </w:t>
      </w:r>
      <w:r w:rsidR="0035663C">
        <w:rPr>
          <w:rFonts w:ascii="Aptos" w:hAnsi="Aptos" w:cs="Times New Roman"/>
          <w:sz w:val="25"/>
          <w:szCs w:val="25"/>
        </w:rPr>
        <w:t xml:space="preserve">Since </w:t>
      </w:r>
      <w:r w:rsidR="00292846">
        <w:rPr>
          <w:rFonts w:ascii="Aptos" w:hAnsi="Aptos" w:cs="Times New Roman"/>
          <w:sz w:val="25"/>
          <w:szCs w:val="25"/>
        </w:rPr>
        <w:t xml:space="preserve">the Policy has </w:t>
      </w:r>
      <w:r w:rsidR="00853324">
        <w:rPr>
          <w:rFonts w:ascii="Aptos" w:hAnsi="Aptos" w:cs="Times New Roman"/>
          <w:sz w:val="25"/>
          <w:szCs w:val="25"/>
        </w:rPr>
        <w:t xml:space="preserve">not been amended </w:t>
      </w:r>
      <w:r w:rsidR="00292846">
        <w:rPr>
          <w:rFonts w:ascii="Aptos" w:hAnsi="Aptos" w:cs="Times New Roman"/>
          <w:sz w:val="25"/>
          <w:szCs w:val="25"/>
        </w:rPr>
        <w:t xml:space="preserve">since </w:t>
      </w:r>
      <w:r w:rsidR="007138B6">
        <w:rPr>
          <w:rFonts w:ascii="Aptos" w:hAnsi="Aptos" w:cs="Times New Roman"/>
          <w:sz w:val="25"/>
          <w:szCs w:val="25"/>
        </w:rPr>
        <w:t xml:space="preserve">my </w:t>
      </w:r>
      <w:r w:rsidR="007138B6">
        <w:rPr>
          <w:rFonts w:ascii="Aptos" w:hAnsi="Aptos" w:cs="Times New Roman"/>
          <w:i/>
          <w:iCs/>
          <w:sz w:val="25"/>
          <w:szCs w:val="25"/>
        </w:rPr>
        <w:t xml:space="preserve">Ruling </w:t>
      </w:r>
      <w:r w:rsidR="007138B6">
        <w:rPr>
          <w:rFonts w:ascii="Aptos" w:hAnsi="Aptos" w:cs="Times New Roman"/>
          <w:sz w:val="25"/>
          <w:szCs w:val="25"/>
        </w:rPr>
        <w:t xml:space="preserve">in </w:t>
      </w:r>
      <w:r w:rsidR="007138B6" w:rsidRPr="007138B6">
        <w:rPr>
          <w:rFonts w:ascii="Aptos" w:hAnsi="Aptos" w:cs="Times New Roman"/>
          <w:i/>
          <w:iCs/>
          <w:sz w:val="25"/>
          <w:szCs w:val="25"/>
        </w:rPr>
        <w:t>Quabbin</w:t>
      </w:r>
      <w:r w:rsidR="007138B6">
        <w:rPr>
          <w:rFonts w:ascii="Aptos" w:hAnsi="Aptos" w:cs="Times New Roman"/>
          <w:sz w:val="25"/>
          <w:szCs w:val="25"/>
        </w:rPr>
        <w:t>,</w:t>
      </w:r>
      <w:r w:rsidR="00E01CBE">
        <w:rPr>
          <w:rFonts w:ascii="Aptos" w:hAnsi="Aptos" w:cs="Times New Roman"/>
          <w:sz w:val="25"/>
          <w:szCs w:val="25"/>
        </w:rPr>
        <w:t xml:space="preserve"> </w:t>
      </w:r>
      <w:r w:rsidR="00E01CBE" w:rsidRPr="00E01CBE">
        <w:rPr>
          <w:rFonts w:ascii="Aptos" w:hAnsi="Aptos" w:cs="Times New Roman"/>
          <w:i/>
          <w:iCs/>
          <w:sz w:val="25"/>
          <w:szCs w:val="25"/>
        </w:rPr>
        <w:t>et. al.</w:t>
      </w:r>
      <w:r w:rsidR="00E01CBE">
        <w:rPr>
          <w:rFonts w:ascii="Aptos" w:hAnsi="Aptos" w:cs="Times New Roman"/>
          <w:sz w:val="25"/>
          <w:szCs w:val="25"/>
        </w:rPr>
        <w:t xml:space="preserve"> </w:t>
      </w:r>
      <w:r w:rsidR="00F003F0" w:rsidRPr="007138B6">
        <w:rPr>
          <w:rFonts w:ascii="Aptos" w:hAnsi="Aptos" w:cs="Times New Roman"/>
          <w:sz w:val="25"/>
          <w:szCs w:val="25"/>
        </w:rPr>
        <w:t>and</w:t>
      </w:r>
      <w:r w:rsidR="00DE3F6C">
        <w:rPr>
          <w:rFonts w:ascii="Aptos" w:hAnsi="Aptos" w:cs="Times New Roman"/>
          <w:sz w:val="25"/>
          <w:szCs w:val="25"/>
        </w:rPr>
        <w:t xml:space="preserve"> given </w:t>
      </w:r>
      <w:r w:rsidR="00643B2F">
        <w:rPr>
          <w:rFonts w:ascii="Aptos" w:hAnsi="Aptos" w:cs="Times New Roman"/>
          <w:sz w:val="25"/>
          <w:szCs w:val="25"/>
        </w:rPr>
        <w:t xml:space="preserve">DMH’s acknowledgement that </w:t>
      </w:r>
      <w:r w:rsidR="0000111E">
        <w:rPr>
          <w:rFonts w:ascii="Aptos" w:hAnsi="Aptos" w:cs="Times New Roman"/>
          <w:sz w:val="25"/>
          <w:szCs w:val="25"/>
        </w:rPr>
        <w:t xml:space="preserve">due to Student’s clinical needs </w:t>
      </w:r>
      <w:r w:rsidR="00DE3F6C">
        <w:rPr>
          <w:rFonts w:ascii="Aptos" w:hAnsi="Aptos" w:cs="Times New Roman"/>
          <w:sz w:val="25"/>
          <w:szCs w:val="25"/>
        </w:rPr>
        <w:t xml:space="preserve">it </w:t>
      </w:r>
      <w:r w:rsidR="00DF7645">
        <w:rPr>
          <w:rFonts w:ascii="Aptos" w:hAnsi="Aptos" w:cs="Times New Roman"/>
          <w:sz w:val="25"/>
          <w:szCs w:val="25"/>
        </w:rPr>
        <w:t>has been</w:t>
      </w:r>
      <w:r w:rsidR="00643B2F">
        <w:rPr>
          <w:rFonts w:ascii="Aptos" w:hAnsi="Aptos" w:cs="Times New Roman"/>
          <w:sz w:val="25"/>
          <w:szCs w:val="25"/>
        </w:rPr>
        <w:t xml:space="preserve"> providing </w:t>
      </w:r>
      <w:r w:rsidR="00DF7645">
        <w:rPr>
          <w:rFonts w:ascii="Aptos" w:hAnsi="Aptos" w:cs="Times New Roman"/>
          <w:sz w:val="25"/>
          <w:szCs w:val="25"/>
        </w:rPr>
        <w:t xml:space="preserve">atypical respite care services to </w:t>
      </w:r>
      <w:r w:rsidR="0000111E">
        <w:rPr>
          <w:rFonts w:ascii="Aptos" w:hAnsi="Aptos" w:cs="Times New Roman"/>
          <w:sz w:val="25"/>
          <w:szCs w:val="25"/>
        </w:rPr>
        <w:t>him</w:t>
      </w:r>
      <w:r w:rsidR="00895255">
        <w:rPr>
          <w:rFonts w:ascii="Aptos" w:hAnsi="Aptos" w:cs="Times New Roman"/>
          <w:sz w:val="25"/>
          <w:szCs w:val="25"/>
        </w:rPr>
        <w:t xml:space="preserve"> since December 2024</w:t>
      </w:r>
      <w:r w:rsidR="00D872FD">
        <w:rPr>
          <w:rFonts w:ascii="Aptos" w:hAnsi="Aptos" w:cs="Times New Roman"/>
          <w:sz w:val="25"/>
          <w:szCs w:val="25"/>
        </w:rPr>
        <w:t>, I find that</w:t>
      </w:r>
      <w:r w:rsidR="006114E4">
        <w:rPr>
          <w:rFonts w:ascii="Aptos" w:hAnsi="Aptos" w:cs="Times New Roman"/>
          <w:sz w:val="25"/>
          <w:szCs w:val="25"/>
        </w:rPr>
        <w:t xml:space="preserve"> </w:t>
      </w:r>
      <w:r w:rsidR="0092212A">
        <w:rPr>
          <w:rFonts w:ascii="Aptos" w:hAnsi="Aptos" w:cs="Times New Roman"/>
          <w:sz w:val="25"/>
          <w:szCs w:val="25"/>
        </w:rPr>
        <w:t>DMH is a necessary party to this proceeding</w:t>
      </w:r>
      <w:r w:rsidR="004F4C87" w:rsidRPr="000467B1">
        <w:rPr>
          <w:rStyle w:val="FootnoteReference"/>
          <w:rFonts w:ascii="Aptos" w:eastAsia="Times New Roman" w:hAnsi="Aptos" w:cs="Times New Roman"/>
          <w:bCs/>
          <w:color w:val="000000"/>
          <w:sz w:val="25"/>
          <w:szCs w:val="25"/>
        </w:rPr>
        <w:footnoteReference w:id="32"/>
      </w:r>
      <w:r w:rsidR="00DF7645">
        <w:rPr>
          <w:rFonts w:ascii="Aptos" w:hAnsi="Aptos" w:cs="Times New Roman"/>
          <w:sz w:val="25"/>
          <w:szCs w:val="25"/>
        </w:rPr>
        <w:t xml:space="preserve">.  </w:t>
      </w:r>
      <w:r w:rsidR="005A753D">
        <w:rPr>
          <w:rFonts w:ascii="Aptos" w:hAnsi="Aptos" w:cs="Times New Roman"/>
          <w:sz w:val="25"/>
          <w:szCs w:val="25"/>
        </w:rPr>
        <w:t xml:space="preserve"> </w:t>
      </w:r>
    </w:p>
    <w:p w14:paraId="0FD171ED" w14:textId="1B9ECB86" w:rsidR="003F797C" w:rsidRDefault="003F797C" w:rsidP="0016676E">
      <w:pPr>
        <w:spacing w:after="0" w:line="240" w:lineRule="auto"/>
        <w:rPr>
          <w:rFonts w:ascii="Aptos" w:hAnsi="Aptos"/>
          <w:sz w:val="25"/>
          <w:szCs w:val="25"/>
        </w:rPr>
      </w:pPr>
    </w:p>
    <w:p w14:paraId="0FF33481" w14:textId="5593EB40" w:rsidR="003F797C" w:rsidRDefault="00D943FA" w:rsidP="003F797C">
      <w:pPr>
        <w:spacing w:after="0" w:line="240" w:lineRule="auto"/>
        <w:rPr>
          <w:rFonts w:ascii="Aptos" w:eastAsia="Times New Roman" w:hAnsi="Aptos" w:cs="Times New Roman"/>
          <w:bCs/>
          <w:color w:val="000000"/>
          <w:sz w:val="25"/>
          <w:szCs w:val="25"/>
        </w:rPr>
      </w:pPr>
      <w:r>
        <w:rPr>
          <w:rFonts w:ascii="Aptos" w:hAnsi="Aptos"/>
          <w:sz w:val="25"/>
          <w:szCs w:val="25"/>
        </w:rPr>
        <w:t>Finally</w:t>
      </w:r>
      <w:r w:rsidR="00A36DF8">
        <w:rPr>
          <w:rFonts w:ascii="Aptos" w:hAnsi="Aptos"/>
          <w:sz w:val="25"/>
          <w:szCs w:val="25"/>
        </w:rPr>
        <w:t>,</w:t>
      </w:r>
      <w:r w:rsidR="003F797C">
        <w:rPr>
          <w:rFonts w:ascii="Aptos" w:hAnsi="Aptos"/>
          <w:sz w:val="25"/>
          <w:szCs w:val="25"/>
        </w:rPr>
        <w:t xml:space="preserve"> </w:t>
      </w:r>
      <w:r w:rsidR="003F797C" w:rsidRPr="000467B1">
        <w:rPr>
          <w:rFonts w:ascii="Aptos" w:eastAsia="Times New Roman" w:hAnsi="Aptos" w:cs="Times New Roman"/>
          <w:bCs/>
          <w:color w:val="000000"/>
          <w:sz w:val="25"/>
          <w:szCs w:val="25"/>
        </w:rPr>
        <w:t xml:space="preserve">all factors </w:t>
      </w:r>
      <w:r w:rsidR="00D872FD">
        <w:rPr>
          <w:rFonts w:ascii="Aptos" w:eastAsia="Times New Roman" w:hAnsi="Aptos" w:cs="Times New Roman"/>
          <w:bCs/>
          <w:color w:val="000000"/>
          <w:sz w:val="25"/>
          <w:szCs w:val="25"/>
        </w:rPr>
        <w:t xml:space="preserve">that are to be </w:t>
      </w:r>
      <w:r w:rsidR="003F797C" w:rsidRPr="000467B1">
        <w:rPr>
          <w:rFonts w:ascii="Aptos" w:eastAsia="Times New Roman" w:hAnsi="Aptos" w:cs="Times New Roman"/>
          <w:bCs/>
          <w:color w:val="000000"/>
          <w:sz w:val="25"/>
          <w:szCs w:val="25"/>
        </w:rPr>
        <w:t>considered for joinder</w:t>
      </w:r>
      <w:r w:rsidR="00814579">
        <w:rPr>
          <w:rFonts w:ascii="Aptos" w:eastAsia="Times New Roman" w:hAnsi="Aptos" w:cs="Times New Roman"/>
          <w:bCs/>
          <w:color w:val="000000"/>
          <w:sz w:val="25"/>
          <w:szCs w:val="25"/>
        </w:rPr>
        <w:t xml:space="preserve"> </w:t>
      </w:r>
      <w:r w:rsidR="003F797C" w:rsidRPr="000467B1">
        <w:rPr>
          <w:rFonts w:ascii="Aptos" w:eastAsia="Times New Roman" w:hAnsi="Aptos" w:cs="Times New Roman"/>
          <w:bCs/>
          <w:color w:val="000000"/>
          <w:sz w:val="25"/>
          <w:szCs w:val="25"/>
        </w:rPr>
        <w:t xml:space="preserve">support </w:t>
      </w:r>
      <w:r w:rsidR="00A36DF8">
        <w:rPr>
          <w:rFonts w:ascii="Aptos" w:eastAsia="Times New Roman" w:hAnsi="Aptos" w:cs="Times New Roman"/>
          <w:bCs/>
          <w:color w:val="000000"/>
          <w:sz w:val="25"/>
          <w:szCs w:val="25"/>
        </w:rPr>
        <w:t xml:space="preserve">both </w:t>
      </w:r>
      <w:r w:rsidR="003F797C">
        <w:rPr>
          <w:rFonts w:ascii="Aptos" w:eastAsia="Times New Roman" w:hAnsi="Aptos" w:cs="Times New Roman"/>
          <w:bCs/>
          <w:color w:val="000000"/>
          <w:sz w:val="25"/>
          <w:szCs w:val="25"/>
        </w:rPr>
        <w:t xml:space="preserve">DCF </w:t>
      </w:r>
      <w:r w:rsidR="00A36DF8">
        <w:rPr>
          <w:rFonts w:ascii="Aptos" w:eastAsia="Times New Roman" w:hAnsi="Aptos" w:cs="Times New Roman"/>
          <w:bCs/>
          <w:color w:val="000000"/>
          <w:sz w:val="25"/>
          <w:szCs w:val="25"/>
        </w:rPr>
        <w:t xml:space="preserve">and DMH </w:t>
      </w:r>
      <w:proofErr w:type="gramStart"/>
      <w:r w:rsidR="003F797C">
        <w:rPr>
          <w:rFonts w:ascii="Aptos" w:eastAsia="Times New Roman" w:hAnsi="Aptos" w:cs="Times New Roman"/>
          <w:bCs/>
          <w:color w:val="000000"/>
          <w:sz w:val="25"/>
          <w:szCs w:val="25"/>
        </w:rPr>
        <w:t>remaining</w:t>
      </w:r>
      <w:proofErr w:type="gramEnd"/>
      <w:r w:rsidR="003F797C">
        <w:rPr>
          <w:rFonts w:ascii="Aptos" w:eastAsia="Times New Roman" w:hAnsi="Aptos" w:cs="Times New Roman"/>
          <w:bCs/>
          <w:color w:val="000000"/>
          <w:sz w:val="25"/>
          <w:szCs w:val="25"/>
        </w:rPr>
        <w:t xml:space="preserve"> </w:t>
      </w:r>
      <w:r w:rsidR="003F797C" w:rsidRPr="000467B1">
        <w:rPr>
          <w:rFonts w:ascii="Aptos" w:eastAsia="Times New Roman" w:hAnsi="Aptos" w:cs="Times New Roman"/>
          <w:bCs/>
          <w:color w:val="000000"/>
          <w:sz w:val="25"/>
          <w:szCs w:val="25"/>
        </w:rPr>
        <w:t xml:space="preserve">as </w:t>
      </w:r>
      <w:r w:rsidR="00814579">
        <w:rPr>
          <w:rFonts w:ascii="Aptos" w:eastAsia="Times New Roman" w:hAnsi="Aptos" w:cs="Times New Roman"/>
          <w:bCs/>
          <w:color w:val="000000"/>
          <w:sz w:val="25"/>
          <w:szCs w:val="25"/>
        </w:rPr>
        <w:t>P</w:t>
      </w:r>
      <w:r w:rsidR="003F797C" w:rsidRPr="000467B1">
        <w:rPr>
          <w:rFonts w:ascii="Aptos" w:eastAsia="Times New Roman" w:hAnsi="Aptos" w:cs="Times New Roman"/>
          <w:bCs/>
          <w:color w:val="000000"/>
          <w:sz w:val="25"/>
          <w:szCs w:val="25"/>
        </w:rPr>
        <w:t>art</w:t>
      </w:r>
      <w:r w:rsidR="00A36DF8">
        <w:rPr>
          <w:rFonts w:ascii="Aptos" w:eastAsia="Times New Roman" w:hAnsi="Aptos" w:cs="Times New Roman"/>
          <w:bCs/>
          <w:color w:val="000000"/>
          <w:sz w:val="25"/>
          <w:szCs w:val="25"/>
        </w:rPr>
        <w:t>ies</w:t>
      </w:r>
      <w:r w:rsidR="004F4C87">
        <w:rPr>
          <w:rStyle w:val="FootnoteReference"/>
          <w:rFonts w:ascii="Aptos" w:eastAsia="Times New Roman" w:hAnsi="Aptos" w:cs="Times New Roman"/>
          <w:bCs/>
          <w:color w:val="000000"/>
          <w:sz w:val="25"/>
          <w:szCs w:val="25"/>
        </w:rPr>
        <w:footnoteReference w:id="33"/>
      </w:r>
      <w:r w:rsidR="003F797C" w:rsidRPr="000467B1">
        <w:rPr>
          <w:rFonts w:ascii="Aptos" w:eastAsia="Times New Roman" w:hAnsi="Aptos" w:cs="Times New Roman"/>
          <w:bCs/>
          <w:color w:val="000000"/>
          <w:sz w:val="25"/>
          <w:szCs w:val="25"/>
        </w:rPr>
        <w:t xml:space="preserve">.  </w:t>
      </w:r>
      <w:r w:rsidR="009762F5">
        <w:rPr>
          <w:rFonts w:ascii="Aptos" w:eastAsia="Times New Roman" w:hAnsi="Aptos" w:cs="Times New Roman"/>
          <w:bCs/>
          <w:color w:val="000000"/>
          <w:sz w:val="25"/>
          <w:szCs w:val="25"/>
        </w:rPr>
        <w:t>As explained above, the</w:t>
      </w:r>
      <w:r w:rsidR="003F797C">
        <w:rPr>
          <w:rFonts w:ascii="Aptos" w:eastAsia="Times New Roman" w:hAnsi="Aptos" w:cs="Times New Roman"/>
          <w:bCs/>
          <w:color w:val="000000"/>
          <w:sz w:val="25"/>
          <w:szCs w:val="25"/>
        </w:rPr>
        <w:t xml:space="preserve"> BSEA is </w:t>
      </w:r>
      <w:r w:rsidR="0029074A">
        <w:rPr>
          <w:rFonts w:ascii="Aptos" w:eastAsia="Times New Roman" w:hAnsi="Aptos" w:cs="Times New Roman"/>
          <w:bCs/>
          <w:color w:val="000000"/>
          <w:sz w:val="25"/>
          <w:szCs w:val="25"/>
        </w:rPr>
        <w:t xml:space="preserve">the appropriate forum to resolve the issues in Parent’s </w:t>
      </w:r>
      <w:r w:rsidR="0029074A">
        <w:rPr>
          <w:rFonts w:ascii="Aptos" w:eastAsia="Times New Roman" w:hAnsi="Aptos" w:cs="Times New Roman"/>
          <w:bCs/>
          <w:i/>
          <w:iCs/>
          <w:color w:val="000000"/>
          <w:sz w:val="25"/>
          <w:szCs w:val="25"/>
        </w:rPr>
        <w:t>Hearing Request</w:t>
      </w:r>
      <w:r w:rsidR="003F797C" w:rsidRPr="000467B1">
        <w:rPr>
          <w:rStyle w:val="FootnoteReference"/>
          <w:rFonts w:ascii="Aptos" w:eastAsia="Times New Roman" w:hAnsi="Aptos" w:cs="Times New Roman"/>
          <w:bCs/>
          <w:color w:val="000000"/>
          <w:sz w:val="25"/>
          <w:szCs w:val="25"/>
        </w:rPr>
        <w:footnoteReference w:id="34"/>
      </w:r>
      <w:r w:rsidR="00E60C45">
        <w:rPr>
          <w:rFonts w:ascii="Aptos" w:eastAsia="Times New Roman" w:hAnsi="Aptos" w:cs="Times New Roman"/>
          <w:bCs/>
          <w:color w:val="000000"/>
          <w:sz w:val="25"/>
          <w:szCs w:val="25"/>
        </w:rPr>
        <w:t xml:space="preserve"> and d</w:t>
      </w:r>
      <w:r w:rsidR="00E8154D">
        <w:rPr>
          <w:rFonts w:ascii="Aptos" w:eastAsia="Times New Roman" w:hAnsi="Aptos" w:cs="Times New Roman"/>
          <w:bCs/>
          <w:color w:val="000000"/>
          <w:sz w:val="25"/>
          <w:szCs w:val="25"/>
        </w:rPr>
        <w:t>ismissing DCF</w:t>
      </w:r>
      <w:r w:rsidR="00A36DF8">
        <w:rPr>
          <w:rFonts w:ascii="Aptos" w:eastAsia="Times New Roman" w:hAnsi="Aptos" w:cs="Times New Roman"/>
          <w:bCs/>
          <w:color w:val="000000"/>
          <w:sz w:val="25"/>
          <w:szCs w:val="25"/>
        </w:rPr>
        <w:t xml:space="preserve"> or DMH</w:t>
      </w:r>
      <w:r w:rsidR="00E8154D">
        <w:rPr>
          <w:rFonts w:ascii="Aptos" w:eastAsia="Times New Roman" w:hAnsi="Aptos" w:cs="Times New Roman"/>
          <w:bCs/>
          <w:color w:val="000000"/>
          <w:sz w:val="25"/>
          <w:szCs w:val="25"/>
        </w:rPr>
        <w:t xml:space="preserve"> as a party </w:t>
      </w:r>
      <w:r w:rsidR="00BD1C4B">
        <w:rPr>
          <w:rFonts w:ascii="Aptos" w:eastAsia="Times New Roman" w:hAnsi="Aptos" w:cs="Times New Roman"/>
          <w:bCs/>
          <w:color w:val="000000"/>
          <w:sz w:val="25"/>
          <w:szCs w:val="25"/>
        </w:rPr>
        <w:t xml:space="preserve">could </w:t>
      </w:r>
      <w:r w:rsidR="0019175B">
        <w:rPr>
          <w:rFonts w:ascii="Aptos" w:eastAsia="Times New Roman" w:hAnsi="Aptos" w:cs="Times New Roman"/>
          <w:bCs/>
          <w:color w:val="000000"/>
          <w:sz w:val="25"/>
          <w:szCs w:val="25"/>
        </w:rPr>
        <w:t xml:space="preserve">prejudice </w:t>
      </w:r>
      <w:r w:rsidR="00E60C45">
        <w:rPr>
          <w:rFonts w:ascii="Aptos" w:eastAsia="Times New Roman" w:hAnsi="Aptos" w:cs="Times New Roman"/>
          <w:bCs/>
          <w:color w:val="000000"/>
          <w:sz w:val="25"/>
          <w:szCs w:val="25"/>
        </w:rPr>
        <w:t xml:space="preserve">both </w:t>
      </w:r>
      <w:r w:rsidR="0019175B">
        <w:rPr>
          <w:rFonts w:ascii="Aptos" w:eastAsia="Times New Roman" w:hAnsi="Aptos" w:cs="Times New Roman"/>
          <w:bCs/>
          <w:color w:val="000000"/>
          <w:sz w:val="25"/>
          <w:szCs w:val="25"/>
        </w:rPr>
        <w:t xml:space="preserve">Parent </w:t>
      </w:r>
      <w:r w:rsidR="00E60C45">
        <w:rPr>
          <w:rFonts w:ascii="Aptos" w:eastAsia="Times New Roman" w:hAnsi="Aptos" w:cs="Times New Roman"/>
          <w:bCs/>
          <w:color w:val="000000"/>
          <w:sz w:val="25"/>
          <w:szCs w:val="25"/>
        </w:rPr>
        <w:t xml:space="preserve">and </w:t>
      </w:r>
      <w:r w:rsidR="0019175B">
        <w:rPr>
          <w:rFonts w:ascii="Aptos" w:eastAsia="Times New Roman" w:hAnsi="Aptos" w:cs="Times New Roman"/>
          <w:bCs/>
          <w:color w:val="000000"/>
          <w:sz w:val="25"/>
          <w:szCs w:val="25"/>
        </w:rPr>
        <w:t>the District</w:t>
      </w:r>
      <w:r w:rsidR="003F797C" w:rsidRPr="000467B1">
        <w:rPr>
          <w:rFonts w:ascii="Aptos" w:eastAsia="Times New Roman" w:hAnsi="Aptos" w:cs="Times New Roman"/>
          <w:bCs/>
          <w:color w:val="000000"/>
          <w:sz w:val="25"/>
          <w:szCs w:val="25"/>
        </w:rPr>
        <w:t>.</w:t>
      </w:r>
      <w:r w:rsidR="003F797C">
        <w:rPr>
          <w:rFonts w:ascii="Aptos" w:eastAsia="Times New Roman" w:hAnsi="Aptos" w:cs="Times New Roman"/>
          <w:bCs/>
          <w:color w:val="000000"/>
          <w:sz w:val="25"/>
          <w:szCs w:val="25"/>
        </w:rPr>
        <w:t xml:space="preserve">  </w:t>
      </w:r>
      <w:r w:rsidR="009F7BDA">
        <w:rPr>
          <w:rFonts w:ascii="Aptos" w:eastAsia="Times New Roman" w:hAnsi="Aptos" w:cs="Times New Roman"/>
          <w:bCs/>
          <w:color w:val="000000"/>
          <w:sz w:val="25"/>
          <w:szCs w:val="25"/>
        </w:rPr>
        <w:t>B</w:t>
      </w:r>
      <w:r w:rsidR="0091189E">
        <w:rPr>
          <w:rFonts w:ascii="Aptos" w:eastAsia="Times New Roman" w:hAnsi="Aptos" w:cs="Times New Roman"/>
          <w:bCs/>
          <w:color w:val="000000"/>
          <w:sz w:val="25"/>
          <w:szCs w:val="25"/>
        </w:rPr>
        <w:t xml:space="preserve">oth </w:t>
      </w:r>
      <w:r w:rsidR="00987156">
        <w:rPr>
          <w:rFonts w:ascii="Aptos" w:eastAsia="Times New Roman" w:hAnsi="Aptos" w:cs="Times New Roman"/>
          <w:bCs/>
          <w:color w:val="000000"/>
          <w:sz w:val="25"/>
          <w:szCs w:val="25"/>
        </w:rPr>
        <w:t xml:space="preserve">DCF and DMH </w:t>
      </w:r>
      <w:r w:rsidR="0091189E">
        <w:rPr>
          <w:rFonts w:ascii="Aptos" w:eastAsia="Times New Roman" w:hAnsi="Aptos" w:cs="Times New Roman"/>
          <w:bCs/>
          <w:color w:val="000000"/>
          <w:sz w:val="25"/>
          <w:szCs w:val="25"/>
        </w:rPr>
        <w:t xml:space="preserve">acknowledge their </w:t>
      </w:r>
      <w:r w:rsidR="004109FA">
        <w:rPr>
          <w:rFonts w:ascii="Aptos" w:eastAsia="Times New Roman" w:hAnsi="Aptos" w:cs="Times New Roman"/>
          <w:bCs/>
          <w:color w:val="000000"/>
          <w:sz w:val="25"/>
          <w:szCs w:val="25"/>
        </w:rPr>
        <w:t>pre-</w:t>
      </w:r>
      <w:r w:rsidR="0091189E">
        <w:rPr>
          <w:rFonts w:ascii="Aptos" w:eastAsia="Times New Roman" w:hAnsi="Aptos" w:cs="Times New Roman"/>
          <w:bCs/>
          <w:color w:val="000000"/>
          <w:sz w:val="25"/>
          <w:szCs w:val="25"/>
        </w:rPr>
        <w:t xml:space="preserve">existing and </w:t>
      </w:r>
      <w:r w:rsidR="004109FA">
        <w:rPr>
          <w:rFonts w:ascii="Aptos" w:eastAsia="Times New Roman" w:hAnsi="Aptos" w:cs="Times New Roman"/>
          <w:bCs/>
          <w:color w:val="000000"/>
          <w:sz w:val="25"/>
          <w:szCs w:val="25"/>
        </w:rPr>
        <w:t xml:space="preserve">ongoing </w:t>
      </w:r>
      <w:r w:rsidR="0091189E">
        <w:rPr>
          <w:rFonts w:ascii="Aptos" w:eastAsia="Times New Roman" w:hAnsi="Aptos" w:cs="Times New Roman"/>
          <w:bCs/>
          <w:color w:val="000000"/>
          <w:sz w:val="25"/>
          <w:szCs w:val="25"/>
        </w:rPr>
        <w:t>support of Student’s mental health</w:t>
      </w:r>
      <w:r w:rsidR="004C2B02">
        <w:rPr>
          <w:rFonts w:ascii="Aptos" w:eastAsia="Times New Roman" w:hAnsi="Aptos" w:cs="Times New Roman"/>
          <w:bCs/>
          <w:color w:val="000000"/>
          <w:sz w:val="25"/>
          <w:szCs w:val="25"/>
        </w:rPr>
        <w:t>,</w:t>
      </w:r>
      <w:r w:rsidR="0091189E">
        <w:rPr>
          <w:rFonts w:ascii="Aptos" w:eastAsia="Times New Roman" w:hAnsi="Aptos" w:cs="Times New Roman"/>
          <w:bCs/>
          <w:color w:val="000000"/>
          <w:sz w:val="25"/>
          <w:szCs w:val="25"/>
        </w:rPr>
        <w:t xml:space="preserve"> behavioral </w:t>
      </w:r>
      <w:r w:rsidR="004C2B02">
        <w:rPr>
          <w:rFonts w:ascii="Aptos" w:eastAsia="Times New Roman" w:hAnsi="Aptos" w:cs="Times New Roman"/>
          <w:bCs/>
          <w:color w:val="000000"/>
          <w:sz w:val="25"/>
          <w:szCs w:val="25"/>
        </w:rPr>
        <w:t xml:space="preserve">and clinical </w:t>
      </w:r>
      <w:r w:rsidR="0091189E">
        <w:rPr>
          <w:rFonts w:ascii="Aptos" w:eastAsia="Times New Roman" w:hAnsi="Aptos" w:cs="Times New Roman"/>
          <w:bCs/>
          <w:color w:val="000000"/>
          <w:sz w:val="25"/>
          <w:szCs w:val="25"/>
        </w:rPr>
        <w:t>need</w:t>
      </w:r>
      <w:r w:rsidR="002E1669">
        <w:rPr>
          <w:rFonts w:ascii="Aptos" w:eastAsia="Times New Roman" w:hAnsi="Aptos" w:cs="Times New Roman"/>
          <w:bCs/>
          <w:color w:val="000000"/>
          <w:sz w:val="25"/>
          <w:szCs w:val="25"/>
        </w:rPr>
        <w:t>s</w:t>
      </w:r>
      <w:r w:rsidR="009F7BDA">
        <w:rPr>
          <w:rFonts w:ascii="Aptos" w:eastAsia="Times New Roman" w:hAnsi="Aptos" w:cs="Times New Roman"/>
          <w:bCs/>
          <w:color w:val="000000"/>
          <w:sz w:val="25"/>
          <w:szCs w:val="25"/>
        </w:rPr>
        <w:t xml:space="preserve">. </w:t>
      </w:r>
      <w:r w:rsidR="002E1669">
        <w:rPr>
          <w:rFonts w:ascii="Aptos" w:eastAsia="Times New Roman" w:hAnsi="Aptos" w:cs="Times New Roman"/>
          <w:bCs/>
          <w:color w:val="000000"/>
          <w:sz w:val="25"/>
          <w:szCs w:val="25"/>
        </w:rPr>
        <w:t xml:space="preserve"> </w:t>
      </w:r>
      <w:r w:rsidR="009F7BDA">
        <w:rPr>
          <w:rFonts w:ascii="Aptos" w:eastAsia="Times New Roman" w:hAnsi="Aptos" w:cs="Times New Roman"/>
          <w:bCs/>
          <w:color w:val="000000"/>
          <w:sz w:val="25"/>
          <w:szCs w:val="25"/>
        </w:rPr>
        <w:t>D</w:t>
      </w:r>
      <w:r w:rsidR="002E1669">
        <w:rPr>
          <w:rFonts w:ascii="Aptos" w:eastAsia="Times New Roman" w:hAnsi="Aptos" w:cs="Times New Roman"/>
          <w:bCs/>
          <w:color w:val="000000"/>
          <w:sz w:val="25"/>
          <w:szCs w:val="25"/>
        </w:rPr>
        <w:t xml:space="preserve">ismissing </w:t>
      </w:r>
      <w:r w:rsidR="008F2DA1">
        <w:rPr>
          <w:rFonts w:ascii="Aptos" w:eastAsia="Times New Roman" w:hAnsi="Aptos" w:cs="Times New Roman"/>
          <w:bCs/>
          <w:color w:val="000000"/>
          <w:sz w:val="25"/>
          <w:szCs w:val="25"/>
        </w:rPr>
        <w:t>either as Parties</w:t>
      </w:r>
      <w:r w:rsidR="002E1669">
        <w:rPr>
          <w:rFonts w:ascii="Aptos" w:eastAsia="Times New Roman" w:hAnsi="Aptos" w:cs="Times New Roman"/>
          <w:bCs/>
          <w:color w:val="000000"/>
          <w:sz w:val="25"/>
          <w:szCs w:val="25"/>
        </w:rPr>
        <w:t xml:space="preserve"> in a matter </w:t>
      </w:r>
      <w:r w:rsidR="00900E3E">
        <w:rPr>
          <w:rFonts w:ascii="Aptos" w:eastAsia="Times New Roman" w:hAnsi="Aptos" w:cs="Times New Roman"/>
          <w:bCs/>
          <w:color w:val="000000"/>
          <w:sz w:val="25"/>
          <w:szCs w:val="25"/>
        </w:rPr>
        <w:t>wh</w:t>
      </w:r>
      <w:r w:rsidR="003F7771">
        <w:rPr>
          <w:rFonts w:ascii="Aptos" w:eastAsia="Times New Roman" w:hAnsi="Aptos" w:cs="Times New Roman"/>
          <w:bCs/>
          <w:color w:val="000000"/>
          <w:sz w:val="25"/>
          <w:szCs w:val="25"/>
        </w:rPr>
        <w:t>ere</w:t>
      </w:r>
      <w:r w:rsidR="00900E3E">
        <w:rPr>
          <w:rFonts w:ascii="Aptos" w:eastAsia="Times New Roman" w:hAnsi="Aptos" w:cs="Times New Roman"/>
          <w:bCs/>
          <w:color w:val="000000"/>
          <w:sz w:val="25"/>
          <w:szCs w:val="25"/>
        </w:rPr>
        <w:t xml:space="preserve"> evidence and testimony will </w:t>
      </w:r>
      <w:r w:rsidR="00DA6F4F">
        <w:rPr>
          <w:rFonts w:ascii="Aptos" w:eastAsia="Times New Roman" w:hAnsi="Aptos" w:cs="Times New Roman"/>
          <w:bCs/>
          <w:color w:val="000000"/>
          <w:sz w:val="25"/>
          <w:szCs w:val="25"/>
        </w:rPr>
        <w:t xml:space="preserve">primarily focus on the </w:t>
      </w:r>
      <w:r w:rsidR="004109FA">
        <w:rPr>
          <w:rFonts w:ascii="Aptos" w:eastAsia="Times New Roman" w:hAnsi="Aptos" w:cs="Times New Roman"/>
          <w:bCs/>
          <w:color w:val="000000"/>
          <w:sz w:val="25"/>
          <w:szCs w:val="25"/>
        </w:rPr>
        <w:t xml:space="preserve">historical and current </w:t>
      </w:r>
      <w:r w:rsidR="00DA6F4F">
        <w:rPr>
          <w:rFonts w:ascii="Aptos" w:eastAsia="Times New Roman" w:hAnsi="Aptos" w:cs="Times New Roman"/>
          <w:bCs/>
          <w:color w:val="000000"/>
          <w:sz w:val="25"/>
          <w:szCs w:val="25"/>
        </w:rPr>
        <w:t xml:space="preserve">mental health and behavioral aspects of Student’s profile, </w:t>
      </w:r>
      <w:r w:rsidR="000130C7">
        <w:rPr>
          <w:rFonts w:ascii="Aptos" w:eastAsia="Times New Roman" w:hAnsi="Aptos" w:cs="Times New Roman"/>
          <w:bCs/>
          <w:color w:val="000000"/>
          <w:sz w:val="25"/>
          <w:szCs w:val="25"/>
        </w:rPr>
        <w:t xml:space="preserve">risks loss of critical </w:t>
      </w:r>
      <w:r w:rsidR="0015371C">
        <w:rPr>
          <w:rFonts w:ascii="Aptos" w:eastAsia="Times New Roman" w:hAnsi="Aptos" w:cs="Times New Roman"/>
          <w:bCs/>
          <w:color w:val="000000"/>
          <w:sz w:val="25"/>
          <w:szCs w:val="25"/>
        </w:rPr>
        <w:t>input</w:t>
      </w:r>
      <w:r w:rsidR="000130C7">
        <w:rPr>
          <w:rFonts w:ascii="Aptos" w:eastAsia="Times New Roman" w:hAnsi="Aptos" w:cs="Times New Roman"/>
          <w:bCs/>
          <w:color w:val="000000"/>
          <w:sz w:val="25"/>
          <w:szCs w:val="25"/>
        </w:rPr>
        <w:t xml:space="preserve"> </w:t>
      </w:r>
      <w:r w:rsidR="008F2DA1">
        <w:rPr>
          <w:rFonts w:ascii="Aptos" w:eastAsia="Times New Roman" w:hAnsi="Aptos" w:cs="Times New Roman"/>
          <w:bCs/>
          <w:color w:val="000000"/>
          <w:sz w:val="25"/>
          <w:szCs w:val="25"/>
        </w:rPr>
        <w:t xml:space="preserve">that will be essential </w:t>
      </w:r>
      <w:r w:rsidR="00E618A8">
        <w:rPr>
          <w:rFonts w:ascii="Aptos" w:eastAsia="Times New Roman" w:hAnsi="Aptos" w:cs="Times New Roman"/>
          <w:bCs/>
          <w:color w:val="000000"/>
          <w:sz w:val="25"/>
          <w:szCs w:val="25"/>
        </w:rPr>
        <w:t xml:space="preserve">in </w:t>
      </w:r>
      <w:r w:rsidR="008F2DA1">
        <w:rPr>
          <w:rFonts w:ascii="Aptos" w:eastAsia="Times New Roman" w:hAnsi="Aptos" w:cs="Times New Roman"/>
          <w:bCs/>
          <w:color w:val="000000"/>
          <w:sz w:val="25"/>
          <w:szCs w:val="25"/>
        </w:rPr>
        <w:t xml:space="preserve">determining </w:t>
      </w:r>
      <w:r w:rsidR="008243CD">
        <w:rPr>
          <w:rFonts w:ascii="Aptos" w:eastAsia="Times New Roman" w:hAnsi="Aptos" w:cs="Times New Roman"/>
          <w:bCs/>
          <w:color w:val="000000"/>
          <w:sz w:val="25"/>
          <w:szCs w:val="25"/>
        </w:rPr>
        <w:t xml:space="preserve">the </w:t>
      </w:r>
      <w:r w:rsidR="006643D9">
        <w:rPr>
          <w:rFonts w:ascii="Aptos" w:eastAsia="Times New Roman" w:hAnsi="Aptos" w:cs="Times New Roman"/>
          <w:bCs/>
          <w:color w:val="000000"/>
          <w:sz w:val="25"/>
          <w:szCs w:val="25"/>
        </w:rPr>
        <w:t xml:space="preserve">underlying issues to be addressed at </w:t>
      </w:r>
      <w:r w:rsidR="00CB48AD">
        <w:rPr>
          <w:rFonts w:ascii="Aptos" w:eastAsia="Times New Roman" w:hAnsi="Aptos" w:cs="Times New Roman"/>
          <w:bCs/>
          <w:color w:val="000000"/>
          <w:sz w:val="25"/>
          <w:szCs w:val="25"/>
        </w:rPr>
        <w:t>h</w:t>
      </w:r>
      <w:r w:rsidR="001B2CD1">
        <w:rPr>
          <w:rFonts w:ascii="Aptos" w:eastAsia="Times New Roman" w:hAnsi="Aptos" w:cs="Times New Roman"/>
          <w:bCs/>
          <w:color w:val="000000"/>
          <w:sz w:val="25"/>
          <w:szCs w:val="25"/>
        </w:rPr>
        <w:t>earing</w:t>
      </w:r>
      <w:r w:rsidR="008243CD">
        <w:rPr>
          <w:rFonts w:ascii="Aptos" w:eastAsia="Times New Roman" w:hAnsi="Aptos" w:cs="Times New Roman"/>
          <w:bCs/>
          <w:color w:val="000000"/>
          <w:sz w:val="25"/>
          <w:szCs w:val="25"/>
        </w:rPr>
        <w:t xml:space="preserve">.  </w:t>
      </w:r>
      <w:r w:rsidR="005A0DEC">
        <w:rPr>
          <w:rFonts w:ascii="Aptos" w:eastAsia="Times New Roman" w:hAnsi="Aptos" w:cs="Times New Roman"/>
          <w:bCs/>
          <w:color w:val="000000"/>
          <w:sz w:val="25"/>
          <w:szCs w:val="25"/>
        </w:rPr>
        <w:t xml:space="preserve">Dismissal could also prevent comprehensive relief </w:t>
      </w:r>
      <w:r w:rsidR="005A0DEC" w:rsidRPr="000467B1">
        <w:rPr>
          <w:rFonts w:ascii="Aptos" w:eastAsia="Times New Roman" w:hAnsi="Aptos" w:cs="Times New Roman"/>
          <w:bCs/>
          <w:color w:val="000000"/>
          <w:sz w:val="25"/>
          <w:szCs w:val="25"/>
        </w:rPr>
        <w:t xml:space="preserve">options that </w:t>
      </w:r>
      <w:r w:rsidR="005A0DEC">
        <w:rPr>
          <w:rFonts w:ascii="Aptos" w:eastAsia="Times New Roman" w:hAnsi="Aptos" w:cs="Times New Roman"/>
          <w:bCs/>
          <w:color w:val="000000"/>
          <w:sz w:val="25"/>
          <w:szCs w:val="25"/>
        </w:rPr>
        <w:t>are</w:t>
      </w:r>
      <w:r w:rsidR="005A0DEC" w:rsidRPr="000467B1">
        <w:rPr>
          <w:rFonts w:ascii="Aptos" w:eastAsia="Times New Roman" w:hAnsi="Aptos" w:cs="Times New Roman"/>
          <w:bCs/>
          <w:color w:val="000000"/>
          <w:sz w:val="25"/>
          <w:szCs w:val="25"/>
        </w:rPr>
        <w:t xml:space="preserve"> not possible without </w:t>
      </w:r>
      <w:r w:rsidR="005A0DEC">
        <w:rPr>
          <w:rFonts w:ascii="Aptos" w:eastAsia="Times New Roman" w:hAnsi="Aptos" w:cs="Times New Roman"/>
          <w:bCs/>
          <w:color w:val="000000"/>
          <w:sz w:val="25"/>
          <w:szCs w:val="25"/>
        </w:rPr>
        <w:t>the</w:t>
      </w:r>
      <w:r w:rsidR="005A0DEC" w:rsidRPr="000467B1">
        <w:rPr>
          <w:rFonts w:ascii="Aptos" w:eastAsia="Times New Roman" w:hAnsi="Aptos" w:cs="Times New Roman"/>
          <w:bCs/>
          <w:color w:val="000000"/>
          <w:sz w:val="25"/>
          <w:szCs w:val="25"/>
        </w:rPr>
        <w:t xml:space="preserve"> involvement</w:t>
      </w:r>
      <w:r w:rsidR="005A0DEC">
        <w:rPr>
          <w:rFonts w:ascii="Aptos" w:eastAsia="Times New Roman" w:hAnsi="Aptos" w:cs="Times New Roman"/>
          <w:bCs/>
          <w:color w:val="000000"/>
          <w:sz w:val="25"/>
          <w:szCs w:val="25"/>
        </w:rPr>
        <w:t xml:space="preserve"> of either agency. </w:t>
      </w:r>
      <w:r w:rsidR="005A0DEC" w:rsidRPr="000467B1">
        <w:rPr>
          <w:rFonts w:ascii="Aptos" w:eastAsia="Times New Roman" w:hAnsi="Aptos" w:cs="Times New Roman"/>
          <w:bCs/>
          <w:color w:val="000000"/>
          <w:sz w:val="25"/>
          <w:szCs w:val="25"/>
        </w:rPr>
        <w:t xml:space="preserve"> </w:t>
      </w:r>
      <w:r w:rsidR="003F797C" w:rsidRPr="000467B1">
        <w:rPr>
          <w:rFonts w:ascii="Aptos" w:eastAsia="Times New Roman" w:hAnsi="Aptos" w:cs="Times New Roman"/>
          <w:bCs/>
          <w:color w:val="000000"/>
          <w:sz w:val="25"/>
          <w:szCs w:val="25"/>
        </w:rPr>
        <w:t xml:space="preserve">Specifically, </w:t>
      </w:r>
      <w:r w:rsidR="003F797C">
        <w:rPr>
          <w:rFonts w:ascii="Aptos" w:eastAsia="Times New Roman" w:hAnsi="Aptos" w:cs="Times New Roman"/>
          <w:bCs/>
          <w:color w:val="000000"/>
          <w:sz w:val="25"/>
          <w:szCs w:val="25"/>
        </w:rPr>
        <w:t xml:space="preserve">after a hearing on the merits it is feasible that I </w:t>
      </w:r>
      <w:r w:rsidR="00BC5FCB">
        <w:rPr>
          <w:rFonts w:ascii="Aptos" w:eastAsia="Times New Roman" w:hAnsi="Aptos" w:cs="Times New Roman"/>
          <w:bCs/>
          <w:color w:val="000000"/>
          <w:sz w:val="25"/>
          <w:szCs w:val="25"/>
        </w:rPr>
        <w:t>could determine that Student</w:t>
      </w:r>
      <w:r w:rsidR="00A86926">
        <w:rPr>
          <w:rFonts w:ascii="Aptos" w:eastAsia="Times New Roman" w:hAnsi="Aptos" w:cs="Times New Roman"/>
          <w:bCs/>
          <w:color w:val="000000"/>
          <w:sz w:val="25"/>
          <w:szCs w:val="25"/>
        </w:rPr>
        <w:t xml:space="preserve"> does not need residential services for educational reasons or otherwise</w:t>
      </w:r>
      <w:r w:rsidR="00BC5FCB">
        <w:rPr>
          <w:rFonts w:ascii="Aptos" w:eastAsia="Times New Roman" w:hAnsi="Aptos" w:cs="Times New Roman"/>
          <w:bCs/>
          <w:color w:val="000000"/>
          <w:sz w:val="25"/>
          <w:szCs w:val="25"/>
        </w:rPr>
        <w:t xml:space="preserve"> requires </w:t>
      </w:r>
      <w:r w:rsidR="00A12208">
        <w:rPr>
          <w:rFonts w:ascii="Aptos" w:eastAsia="Times New Roman" w:hAnsi="Aptos" w:cs="Times New Roman"/>
          <w:bCs/>
          <w:color w:val="000000"/>
          <w:sz w:val="25"/>
          <w:szCs w:val="25"/>
        </w:rPr>
        <w:t>ongoing</w:t>
      </w:r>
      <w:r w:rsidR="00BC5FCB">
        <w:rPr>
          <w:rFonts w:ascii="Aptos" w:eastAsia="Times New Roman" w:hAnsi="Aptos" w:cs="Times New Roman"/>
          <w:bCs/>
          <w:color w:val="000000"/>
          <w:sz w:val="25"/>
          <w:szCs w:val="25"/>
        </w:rPr>
        <w:t xml:space="preserve"> </w:t>
      </w:r>
      <w:r w:rsidR="00A12208">
        <w:rPr>
          <w:rFonts w:ascii="Aptos" w:eastAsia="Times New Roman" w:hAnsi="Aptos" w:cs="Times New Roman"/>
          <w:bCs/>
          <w:color w:val="000000"/>
          <w:sz w:val="25"/>
          <w:szCs w:val="25"/>
        </w:rPr>
        <w:t xml:space="preserve">and/or additional </w:t>
      </w:r>
      <w:r w:rsidR="00FA40A2">
        <w:rPr>
          <w:rFonts w:ascii="Aptos" w:eastAsia="Times New Roman" w:hAnsi="Aptos" w:cs="Times New Roman"/>
          <w:bCs/>
          <w:color w:val="000000"/>
          <w:sz w:val="25"/>
          <w:szCs w:val="25"/>
        </w:rPr>
        <w:t xml:space="preserve">ancillary services </w:t>
      </w:r>
      <w:r w:rsidR="00A12208">
        <w:rPr>
          <w:rFonts w:ascii="Aptos" w:eastAsia="Times New Roman" w:hAnsi="Aptos" w:cs="Times New Roman"/>
          <w:bCs/>
          <w:color w:val="000000"/>
          <w:sz w:val="25"/>
          <w:szCs w:val="25"/>
        </w:rPr>
        <w:t xml:space="preserve">from </w:t>
      </w:r>
      <w:r w:rsidR="00FA40A2">
        <w:rPr>
          <w:rFonts w:ascii="Aptos" w:eastAsia="Times New Roman" w:hAnsi="Aptos" w:cs="Times New Roman"/>
          <w:bCs/>
          <w:color w:val="000000"/>
          <w:sz w:val="25"/>
          <w:szCs w:val="25"/>
        </w:rPr>
        <w:t>DCF</w:t>
      </w:r>
      <w:r w:rsidR="00252CCD">
        <w:rPr>
          <w:rFonts w:ascii="Aptos" w:eastAsia="Times New Roman" w:hAnsi="Aptos" w:cs="Times New Roman"/>
          <w:bCs/>
          <w:color w:val="000000"/>
          <w:sz w:val="25"/>
          <w:szCs w:val="25"/>
        </w:rPr>
        <w:t xml:space="preserve"> and/or DMH</w:t>
      </w:r>
      <w:r w:rsidR="00FA40A2">
        <w:rPr>
          <w:rFonts w:ascii="Aptos" w:eastAsia="Times New Roman" w:hAnsi="Aptos" w:cs="Times New Roman"/>
          <w:bCs/>
          <w:color w:val="000000"/>
          <w:sz w:val="25"/>
          <w:szCs w:val="25"/>
        </w:rPr>
        <w:t xml:space="preserve"> to support </w:t>
      </w:r>
      <w:r w:rsidR="00FA40A2">
        <w:rPr>
          <w:rFonts w:ascii="Aptos" w:eastAsia="Times New Roman" w:hAnsi="Aptos" w:cs="Times New Roman"/>
          <w:bCs/>
          <w:color w:val="000000"/>
          <w:sz w:val="25"/>
          <w:szCs w:val="25"/>
        </w:rPr>
        <w:lastRenderedPageBreak/>
        <w:t xml:space="preserve">him </w:t>
      </w:r>
      <w:r w:rsidR="00E92443">
        <w:rPr>
          <w:rFonts w:ascii="Aptos" w:eastAsia="Times New Roman" w:hAnsi="Aptos" w:cs="Times New Roman"/>
          <w:bCs/>
          <w:color w:val="000000"/>
          <w:sz w:val="25"/>
          <w:szCs w:val="25"/>
        </w:rPr>
        <w:t xml:space="preserve">at home or </w:t>
      </w:r>
      <w:r w:rsidR="00A86926">
        <w:rPr>
          <w:rFonts w:ascii="Aptos" w:eastAsia="Times New Roman" w:hAnsi="Aptos" w:cs="Times New Roman"/>
          <w:bCs/>
          <w:color w:val="000000"/>
          <w:sz w:val="25"/>
          <w:szCs w:val="25"/>
        </w:rPr>
        <w:t xml:space="preserve">to access </w:t>
      </w:r>
      <w:r w:rsidR="00FA40A2">
        <w:rPr>
          <w:rFonts w:ascii="Aptos" w:eastAsia="Times New Roman" w:hAnsi="Aptos" w:cs="Times New Roman"/>
          <w:bCs/>
          <w:color w:val="000000"/>
          <w:sz w:val="25"/>
          <w:szCs w:val="25"/>
        </w:rPr>
        <w:t>his education whether at a day or residential schoo</w:t>
      </w:r>
      <w:r w:rsidR="00CB7391">
        <w:rPr>
          <w:rFonts w:ascii="Aptos" w:eastAsia="Times New Roman" w:hAnsi="Aptos" w:cs="Times New Roman"/>
          <w:bCs/>
          <w:color w:val="000000"/>
          <w:sz w:val="25"/>
          <w:szCs w:val="25"/>
        </w:rPr>
        <w:t>l</w:t>
      </w:r>
      <w:r w:rsidR="003F797C" w:rsidRPr="000467B1">
        <w:rPr>
          <w:rFonts w:ascii="Aptos" w:eastAsia="Times New Roman" w:hAnsi="Aptos" w:cs="Times New Roman"/>
          <w:bCs/>
          <w:color w:val="000000"/>
          <w:sz w:val="25"/>
          <w:szCs w:val="25"/>
        </w:rPr>
        <w:t>.</w:t>
      </w:r>
      <w:r w:rsidR="00EC029D">
        <w:rPr>
          <w:rFonts w:ascii="Aptos" w:eastAsia="Times New Roman" w:hAnsi="Aptos" w:cs="Times New Roman"/>
          <w:bCs/>
          <w:color w:val="000000"/>
          <w:sz w:val="25"/>
          <w:szCs w:val="25"/>
        </w:rPr>
        <w:t xml:space="preserve">  I could not</w:t>
      </w:r>
      <w:r w:rsidR="0034164E">
        <w:rPr>
          <w:rFonts w:ascii="Aptos" w:eastAsia="Times New Roman" w:hAnsi="Aptos" w:cs="Times New Roman"/>
          <w:bCs/>
          <w:color w:val="000000"/>
          <w:sz w:val="25"/>
          <w:szCs w:val="25"/>
        </w:rPr>
        <w:t>, however,</w:t>
      </w:r>
      <w:r w:rsidR="00EC029D">
        <w:rPr>
          <w:rFonts w:ascii="Aptos" w:eastAsia="Times New Roman" w:hAnsi="Aptos" w:cs="Times New Roman"/>
          <w:bCs/>
          <w:color w:val="000000"/>
          <w:sz w:val="25"/>
          <w:szCs w:val="25"/>
        </w:rPr>
        <w:t xml:space="preserve"> order such relief, if I were to dismiss DCF or DMH as a party now.  </w:t>
      </w:r>
      <w:r w:rsidR="003F797C" w:rsidRPr="000467B1">
        <w:rPr>
          <w:rFonts w:ascii="Aptos" w:eastAsia="Times New Roman" w:hAnsi="Aptos" w:cs="Times New Roman"/>
          <w:bCs/>
          <w:color w:val="000000"/>
          <w:sz w:val="25"/>
          <w:szCs w:val="25"/>
        </w:rPr>
        <w:t xml:space="preserve">    </w:t>
      </w:r>
    </w:p>
    <w:p w14:paraId="6C8E8AA2" w14:textId="77777777" w:rsidR="00252CCD" w:rsidRDefault="00252CCD" w:rsidP="0016676E">
      <w:pPr>
        <w:spacing w:after="0" w:line="240" w:lineRule="auto"/>
        <w:rPr>
          <w:rFonts w:ascii="Aptos" w:eastAsia="Times New Roman" w:hAnsi="Aptos" w:cs="Times New Roman"/>
          <w:bCs/>
          <w:color w:val="000000"/>
          <w:sz w:val="25"/>
          <w:szCs w:val="25"/>
        </w:rPr>
      </w:pPr>
    </w:p>
    <w:p w14:paraId="333361DF" w14:textId="28A50E8C" w:rsidR="0016676E" w:rsidRPr="000F05CE" w:rsidRDefault="0016676E" w:rsidP="0016676E">
      <w:pPr>
        <w:spacing w:after="0" w:line="240" w:lineRule="auto"/>
        <w:rPr>
          <w:rFonts w:ascii="Aptos" w:eastAsia="Times New Roman" w:hAnsi="Aptos" w:cs="Times New Roman"/>
          <w:bCs/>
          <w:color w:val="000000"/>
          <w:sz w:val="25"/>
          <w:szCs w:val="25"/>
        </w:rPr>
      </w:pPr>
      <w:r w:rsidRPr="002C0D3A">
        <w:rPr>
          <w:rFonts w:ascii="Aptos" w:eastAsia="Times New Roman" w:hAnsi="Aptos" w:cs="Times New Roman"/>
          <w:bCs/>
          <w:color w:val="000000"/>
          <w:sz w:val="25"/>
          <w:szCs w:val="25"/>
        </w:rPr>
        <w:t>Having</w:t>
      </w:r>
      <w:r>
        <w:rPr>
          <w:rFonts w:ascii="Aptos" w:eastAsia="Times New Roman" w:hAnsi="Aptos" w:cs="Times New Roman"/>
          <w:bCs/>
          <w:color w:val="000000"/>
          <w:sz w:val="25"/>
          <w:szCs w:val="25"/>
        </w:rPr>
        <w:t xml:space="preserve"> </w:t>
      </w:r>
      <w:r w:rsidRPr="002C0D3A">
        <w:rPr>
          <w:rFonts w:ascii="Aptos" w:eastAsia="Times New Roman" w:hAnsi="Aptos" w:cs="Times New Roman"/>
          <w:bCs/>
          <w:color w:val="000000"/>
          <w:sz w:val="25"/>
          <w:szCs w:val="25"/>
        </w:rPr>
        <w:t xml:space="preserve">considered the </w:t>
      </w:r>
      <w:r w:rsidR="005767B0">
        <w:rPr>
          <w:rFonts w:ascii="Aptos" w:eastAsia="Times New Roman" w:hAnsi="Aptos" w:cs="Times New Roman"/>
          <w:bCs/>
          <w:color w:val="000000"/>
          <w:sz w:val="25"/>
          <w:szCs w:val="25"/>
        </w:rPr>
        <w:t xml:space="preserve">thoughtful arguments of the Parties, in tandem with the legal </w:t>
      </w:r>
      <w:r w:rsidR="00C17CA3">
        <w:rPr>
          <w:rFonts w:ascii="Aptos" w:eastAsia="Times New Roman" w:hAnsi="Aptos" w:cs="Times New Roman"/>
          <w:bCs/>
          <w:color w:val="000000"/>
          <w:sz w:val="25"/>
          <w:szCs w:val="25"/>
        </w:rPr>
        <w:t xml:space="preserve">requirements relating to the preclusive effect of settlement agreements, and the </w:t>
      </w:r>
      <w:r w:rsidRPr="002C0D3A">
        <w:rPr>
          <w:rFonts w:ascii="Aptos" w:eastAsia="Times New Roman" w:hAnsi="Aptos" w:cs="Times New Roman"/>
          <w:bCs/>
          <w:color w:val="000000"/>
          <w:sz w:val="25"/>
          <w:szCs w:val="25"/>
        </w:rPr>
        <w:t>requisite factors for joinder</w:t>
      </w:r>
      <w:r w:rsidR="00C17CA3">
        <w:rPr>
          <w:rFonts w:ascii="Aptos" w:eastAsia="Times New Roman" w:hAnsi="Aptos" w:cs="Times New Roman"/>
          <w:bCs/>
          <w:color w:val="000000"/>
          <w:sz w:val="25"/>
          <w:szCs w:val="25"/>
        </w:rPr>
        <w:t xml:space="preserve">, the </w:t>
      </w:r>
      <w:r w:rsidR="00C17CA3">
        <w:rPr>
          <w:rFonts w:ascii="Aptos" w:eastAsia="Times New Roman" w:hAnsi="Aptos" w:cs="Times New Roman"/>
          <w:bCs/>
          <w:i/>
          <w:iCs/>
          <w:color w:val="000000"/>
          <w:sz w:val="25"/>
          <w:szCs w:val="25"/>
        </w:rPr>
        <w:t xml:space="preserve">Motions </w:t>
      </w:r>
      <w:r w:rsidR="00C17CA3">
        <w:rPr>
          <w:rFonts w:ascii="Aptos" w:eastAsia="Times New Roman" w:hAnsi="Aptos" w:cs="Times New Roman"/>
          <w:bCs/>
          <w:color w:val="000000"/>
          <w:sz w:val="25"/>
          <w:szCs w:val="25"/>
        </w:rPr>
        <w:t xml:space="preserve">are </w:t>
      </w:r>
      <w:r w:rsidR="00C17CA3">
        <w:rPr>
          <w:rFonts w:ascii="Aptos" w:eastAsia="Times New Roman" w:hAnsi="Aptos" w:cs="Times New Roman"/>
          <w:b/>
          <w:color w:val="000000"/>
          <w:sz w:val="25"/>
          <w:szCs w:val="25"/>
        </w:rPr>
        <w:t>DENIED</w:t>
      </w:r>
      <w:r w:rsidR="00C17CA3">
        <w:rPr>
          <w:rFonts w:ascii="Aptos" w:eastAsia="Times New Roman" w:hAnsi="Aptos" w:cs="Times New Roman"/>
          <w:bCs/>
          <w:color w:val="000000"/>
          <w:sz w:val="25"/>
          <w:szCs w:val="25"/>
        </w:rPr>
        <w:t xml:space="preserve"> and </w:t>
      </w:r>
      <w:r w:rsidR="00D3345D">
        <w:rPr>
          <w:rFonts w:ascii="Aptos" w:eastAsia="Times New Roman" w:hAnsi="Aptos" w:cs="Times New Roman"/>
          <w:bCs/>
          <w:color w:val="000000"/>
          <w:sz w:val="25"/>
          <w:szCs w:val="25"/>
        </w:rPr>
        <w:t>neither the underlying matter nor any of the Parties will be dismissed</w:t>
      </w:r>
      <w:r w:rsidRPr="000467B1">
        <w:rPr>
          <w:rFonts w:ascii="Aptos" w:eastAsia="Times New Roman" w:hAnsi="Aptos" w:cs="Times New Roman"/>
          <w:bCs/>
          <w:color w:val="000000"/>
          <w:sz w:val="25"/>
          <w:szCs w:val="25"/>
        </w:rPr>
        <w:t>.   Accordingly, the above-referenced matter will proceed</w:t>
      </w:r>
      <w:r w:rsidR="006B3304">
        <w:rPr>
          <w:rFonts w:ascii="Aptos" w:eastAsia="Times New Roman" w:hAnsi="Aptos" w:cs="Times New Roman"/>
          <w:bCs/>
          <w:color w:val="000000"/>
          <w:sz w:val="25"/>
          <w:szCs w:val="25"/>
        </w:rPr>
        <w:t xml:space="preserve"> in accordance with </w:t>
      </w:r>
      <w:r w:rsidR="007D712A">
        <w:rPr>
          <w:rFonts w:ascii="Aptos" w:eastAsia="Times New Roman" w:hAnsi="Aptos" w:cs="Times New Roman"/>
          <w:bCs/>
          <w:color w:val="000000"/>
          <w:sz w:val="25"/>
          <w:szCs w:val="25"/>
        </w:rPr>
        <w:t xml:space="preserve">the </w:t>
      </w:r>
      <w:r w:rsidR="007D712A">
        <w:rPr>
          <w:rFonts w:ascii="Aptos" w:eastAsia="Times New Roman" w:hAnsi="Aptos" w:cs="Times New Roman"/>
          <w:bCs/>
          <w:i/>
          <w:iCs/>
          <w:color w:val="000000"/>
          <w:sz w:val="25"/>
          <w:szCs w:val="25"/>
        </w:rPr>
        <w:t>March 7, 2025</w:t>
      </w:r>
      <w:r w:rsidR="008262AE">
        <w:rPr>
          <w:rFonts w:ascii="Aptos" w:eastAsia="Times New Roman" w:hAnsi="Aptos" w:cs="Times New Roman"/>
          <w:bCs/>
          <w:i/>
          <w:iCs/>
          <w:color w:val="000000"/>
          <w:sz w:val="25"/>
          <w:szCs w:val="25"/>
        </w:rPr>
        <w:t>,</w:t>
      </w:r>
      <w:r w:rsidR="007D712A">
        <w:rPr>
          <w:rFonts w:ascii="Aptos" w:eastAsia="Times New Roman" w:hAnsi="Aptos" w:cs="Times New Roman"/>
          <w:bCs/>
          <w:i/>
          <w:iCs/>
          <w:color w:val="000000"/>
          <w:sz w:val="25"/>
          <w:szCs w:val="25"/>
        </w:rPr>
        <w:t xml:space="preserve"> Revised Ruling</w:t>
      </w:r>
      <w:r w:rsidRPr="00635423">
        <w:rPr>
          <w:rFonts w:eastAsia="Times New Roman" w:cs="Times New Roman"/>
          <w:kern w:val="0"/>
        </w:rPr>
        <w:t xml:space="preserve">.  </w:t>
      </w:r>
    </w:p>
    <w:p w14:paraId="553E7D6E" w14:textId="77777777" w:rsidR="0016676E" w:rsidRPr="000467B1" w:rsidRDefault="0016676E" w:rsidP="0016676E">
      <w:pPr>
        <w:spacing w:after="0" w:line="240" w:lineRule="auto"/>
        <w:rPr>
          <w:rFonts w:ascii="Aptos" w:hAnsi="Aptos" w:cs="Times New Roman"/>
          <w:sz w:val="25"/>
          <w:szCs w:val="25"/>
        </w:rPr>
      </w:pPr>
    </w:p>
    <w:p w14:paraId="595EC17F" w14:textId="77777777" w:rsidR="0016676E" w:rsidRPr="000467B1" w:rsidRDefault="0016676E" w:rsidP="0016676E">
      <w:pPr>
        <w:shd w:val="clear" w:color="auto" w:fill="FFFFFF"/>
        <w:spacing w:after="0"/>
        <w:rPr>
          <w:rFonts w:ascii="Aptos" w:eastAsia="Times New Roman" w:hAnsi="Aptos" w:cs="Times New Roman"/>
          <w:sz w:val="25"/>
          <w:szCs w:val="25"/>
        </w:rPr>
      </w:pPr>
      <w:r w:rsidRPr="000467B1">
        <w:rPr>
          <w:rFonts w:ascii="Aptos" w:eastAsia="Times New Roman" w:hAnsi="Aptos" w:cs="Times New Roman"/>
          <w:sz w:val="25"/>
          <w:szCs w:val="25"/>
        </w:rPr>
        <w:t xml:space="preserve">By the Hearing Officer, </w:t>
      </w:r>
    </w:p>
    <w:p w14:paraId="23320B7E" w14:textId="77777777" w:rsidR="0016676E" w:rsidRDefault="0016676E" w:rsidP="0016676E">
      <w:pPr>
        <w:spacing w:after="0" w:line="240" w:lineRule="auto"/>
        <w:rPr>
          <w:rFonts w:ascii="Lucida Handwriting" w:eastAsia="Times New Roman" w:hAnsi="Lucida Handwriting" w:cs="Times New Roman"/>
          <w:kern w:val="0"/>
          <w:u w:val="single"/>
        </w:rPr>
      </w:pPr>
    </w:p>
    <w:p w14:paraId="51EF98E5" w14:textId="77777777" w:rsidR="0016676E" w:rsidRPr="00B14BD6" w:rsidRDefault="0016676E" w:rsidP="0016676E">
      <w:pPr>
        <w:spacing w:after="0" w:line="240" w:lineRule="auto"/>
        <w:rPr>
          <w:rFonts w:ascii="Lucida Handwriting" w:eastAsia="Times New Roman" w:hAnsi="Lucida Handwriting" w:cs="Times New Roman"/>
          <w:kern w:val="0"/>
          <w:u w:val="single"/>
        </w:rPr>
      </w:pPr>
      <w:r w:rsidRPr="00406932">
        <w:rPr>
          <w:rFonts w:ascii="Lucida Handwriting" w:eastAsia="Times New Roman" w:hAnsi="Lucida Handwriting" w:cs="Times New Roman"/>
          <w:kern w:val="0"/>
          <w:u w:val="single"/>
        </w:rPr>
        <w:t>/s</w:t>
      </w:r>
      <w:proofErr w:type="gramStart"/>
      <w:r w:rsidRPr="00406932">
        <w:rPr>
          <w:rFonts w:ascii="Lucida Handwriting" w:eastAsia="Times New Roman" w:hAnsi="Lucida Handwriting" w:cs="Times New Roman"/>
          <w:kern w:val="0"/>
          <w:u w:val="single"/>
        </w:rPr>
        <w:t>/  Marguerite</w:t>
      </w:r>
      <w:proofErr w:type="gramEnd"/>
      <w:r w:rsidRPr="00406932">
        <w:rPr>
          <w:rFonts w:ascii="Lucida Handwriting" w:eastAsia="Times New Roman" w:hAnsi="Lucida Handwriting" w:cs="Times New Roman"/>
          <w:kern w:val="0"/>
          <w:u w:val="single"/>
        </w:rPr>
        <w:t xml:space="preserve"> M. Mitchell</w:t>
      </w:r>
      <w:r w:rsidRPr="000467B1">
        <w:rPr>
          <w:rFonts w:ascii="Aptos" w:eastAsia="Times New Roman" w:hAnsi="Aptos" w:cs="Times New Roman"/>
          <w:sz w:val="25"/>
          <w:szCs w:val="25"/>
          <w:u w:val="single"/>
        </w:rPr>
        <w:br/>
      </w:r>
      <w:r w:rsidRPr="000467B1">
        <w:rPr>
          <w:rFonts w:ascii="Aptos" w:eastAsia="Times New Roman" w:hAnsi="Aptos" w:cs="Times New Roman"/>
          <w:sz w:val="25"/>
          <w:szCs w:val="25"/>
        </w:rPr>
        <w:t>Marguerite M. Mitchell</w:t>
      </w:r>
    </w:p>
    <w:p w14:paraId="6FC964E7" w14:textId="701949DE" w:rsidR="0016676E" w:rsidRDefault="0016676E" w:rsidP="0016676E">
      <w:pPr>
        <w:spacing w:line="240" w:lineRule="auto"/>
      </w:pPr>
      <w:r w:rsidRPr="000467B1">
        <w:rPr>
          <w:rFonts w:ascii="Aptos" w:eastAsia="Times New Roman" w:hAnsi="Aptos" w:cs="Times New Roman"/>
          <w:sz w:val="25"/>
          <w:szCs w:val="25"/>
        </w:rPr>
        <w:t xml:space="preserve">Date: </w:t>
      </w:r>
      <w:r w:rsidR="007D4A50">
        <w:rPr>
          <w:rFonts w:ascii="Aptos" w:eastAsia="Times New Roman" w:hAnsi="Aptos" w:cs="Times New Roman"/>
          <w:sz w:val="25"/>
          <w:szCs w:val="25"/>
        </w:rPr>
        <w:t>April 11</w:t>
      </w:r>
      <w:r>
        <w:rPr>
          <w:rFonts w:ascii="Aptos" w:eastAsia="Times New Roman" w:hAnsi="Aptos" w:cs="Times New Roman"/>
          <w:sz w:val="25"/>
          <w:szCs w:val="25"/>
        </w:rPr>
        <w:t>, 2025</w:t>
      </w:r>
    </w:p>
    <w:p w14:paraId="2C7EC1E9" w14:textId="77777777" w:rsidR="0016676E" w:rsidRDefault="0016676E"/>
    <w:sectPr w:rsidR="001667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13E8" w14:textId="77777777" w:rsidR="00E41E96" w:rsidRDefault="00E41E96" w:rsidP="0016676E">
      <w:pPr>
        <w:spacing w:after="0" w:line="240" w:lineRule="auto"/>
      </w:pPr>
      <w:r>
        <w:separator/>
      </w:r>
    </w:p>
  </w:endnote>
  <w:endnote w:type="continuationSeparator" w:id="0">
    <w:p w14:paraId="76968BB3" w14:textId="77777777" w:rsidR="00E41E96" w:rsidRDefault="00E41E96" w:rsidP="0016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246629"/>
      <w:docPartObj>
        <w:docPartGallery w:val="Page Numbers (Bottom of Page)"/>
        <w:docPartUnique/>
      </w:docPartObj>
    </w:sdtPr>
    <w:sdtEndPr>
      <w:rPr>
        <w:noProof/>
      </w:rPr>
    </w:sdtEndPr>
    <w:sdtContent>
      <w:p w14:paraId="7DAD280E" w14:textId="4BF2475C" w:rsidR="00EC44ED" w:rsidRDefault="00EC4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0EAFD" w14:textId="77777777" w:rsidR="00EC44ED" w:rsidRDefault="00EC4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446D" w14:textId="77777777" w:rsidR="00E41E96" w:rsidRDefault="00E41E96" w:rsidP="0016676E">
      <w:pPr>
        <w:spacing w:after="0" w:line="240" w:lineRule="auto"/>
      </w:pPr>
      <w:r>
        <w:separator/>
      </w:r>
    </w:p>
  </w:footnote>
  <w:footnote w:type="continuationSeparator" w:id="0">
    <w:p w14:paraId="47204B5B" w14:textId="77777777" w:rsidR="00E41E96" w:rsidRDefault="00E41E96" w:rsidP="0016676E">
      <w:pPr>
        <w:spacing w:after="0" w:line="240" w:lineRule="auto"/>
      </w:pPr>
      <w:r>
        <w:continuationSeparator/>
      </w:r>
    </w:p>
  </w:footnote>
  <w:footnote w:id="1">
    <w:p w14:paraId="5352F032" w14:textId="48F198DD" w:rsidR="0052479A" w:rsidRPr="0016676E" w:rsidRDefault="0052479A" w:rsidP="0052479A">
      <w:pPr>
        <w:pStyle w:val="FootnoteText"/>
      </w:pPr>
      <w:r>
        <w:rPr>
          <w:rStyle w:val="FootnoteReference"/>
        </w:rPr>
        <w:footnoteRef/>
      </w:r>
      <w:r>
        <w:t xml:space="preserve">   DMH sought and received approval to file its </w:t>
      </w:r>
      <w:r>
        <w:rPr>
          <w:i/>
          <w:iCs/>
        </w:rPr>
        <w:t>Motion</w:t>
      </w:r>
      <w:r>
        <w:t xml:space="preserve"> on this date as noted in my March 7, 2025</w:t>
      </w:r>
      <w:r w:rsidR="0010085C">
        <w:t>,</w:t>
      </w:r>
      <w:r>
        <w:t xml:space="preserve"> </w:t>
      </w:r>
      <w:r>
        <w:rPr>
          <w:i/>
          <w:iCs/>
        </w:rPr>
        <w:t>Ruling on Joint Request to Postpone Hearing and to Hold Hearing Virtually, Revised</w:t>
      </w:r>
      <w:r>
        <w:t xml:space="preserve"> (</w:t>
      </w:r>
      <w:r>
        <w:rPr>
          <w:i/>
          <w:iCs/>
        </w:rPr>
        <w:t>March 7, 2025</w:t>
      </w:r>
      <w:r w:rsidR="0010085C">
        <w:rPr>
          <w:i/>
          <w:iCs/>
        </w:rPr>
        <w:t>,</w:t>
      </w:r>
      <w:r>
        <w:rPr>
          <w:i/>
          <w:iCs/>
        </w:rPr>
        <w:t xml:space="preserve"> Revised Ruling</w:t>
      </w:r>
      <w:r>
        <w:t>).</w:t>
      </w:r>
    </w:p>
  </w:footnote>
  <w:footnote w:id="2">
    <w:p w14:paraId="56A73475" w14:textId="77823823" w:rsidR="0084404C" w:rsidRPr="0084404C" w:rsidRDefault="0084404C">
      <w:pPr>
        <w:pStyle w:val="FootnoteText"/>
      </w:pPr>
      <w:r w:rsidRPr="0084404C">
        <w:rPr>
          <w:rStyle w:val="FootnoteReference"/>
        </w:rPr>
        <w:footnoteRef/>
      </w:r>
      <w:r w:rsidRPr="0084404C">
        <w:t xml:space="preserve">   </w:t>
      </w:r>
      <w:r>
        <w:rPr>
          <w:rFonts w:ascii="Aptos" w:hAnsi="Aptos" w:cs="Times New Roman"/>
        </w:rPr>
        <w:t xml:space="preserve">Parent sought and received approval to file </w:t>
      </w:r>
      <w:r w:rsidR="00844E61" w:rsidRPr="00844E61">
        <w:rPr>
          <w:rFonts w:ascii="Aptos" w:hAnsi="Aptos" w:cs="Times New Roman"/>
        </w:rPr>
        <w:t>her</w:t>
      </w:r>
      <w:r w:rsidR="00844E61">
        <w:rPr>
          <w:rFonts w:ascii="Aptos" w:hAnsi="Aptos" w:cs="Times New Roman"/>
          <w:i/>
          <w:iCs/>
        </w:rPr>
        <w:t xml:space="preserve"> </w:t>
      </w:r>
      <w:r>
        <w:rPr>
          <w:rFonts w:ascii="Aptos" w:hAnsi="Aptos" w:cs="Times New Roman"/>
          <w:i/>
          <w:iCs/>
        </w:rPr>
        <w:t>Oppositions</w:t>
      </w:r>
      <w:r>
        <w:rPr>
          <w:rFonts w:ascii="Aptos" w:hAnsi="Aptos" w:cs="Times New Roman"/>
        </w:rPr>
        <w:t xml:space="preserve"> on this date as noted in </w:t>
      </w:r>
      <w:r w:rsidR="00787D7E">
        <w:rPr>
          <w:rFonts w:ascii="Aptos" w:hAnsi="Aptos" w:cs="Times New Roman"/>
        </w:rPr>
        <w:t xml:space="preserve">my </w:t>
      </w:r>
      <w:r w:rsidRPr="0084404C">
        <w:rPr>
          <w:rFonts w:ascii="Aptos" w:hAnsi="Aptos" w:cs="Times New Roman"/>
        </w:rPr>
        <w:t>March 18, 2025</w:t>
      </w:r>
      <w:r w:rsidR="0010085C">
        <w:rPr>
          <w:rFonts w:ascii="Aptos" w:hAnsi="Aptos" w:cs="Times New Roman"/>
        </w:rPr>
        <w:t>,</w:t>
      </w:r>
      <w:r w:rsidRPr="0084404C">
        <w:rPr>
          <w:rFonts w:ascii="Aptos" w:hAnsi="Aptos" w:cs="Times New Roman"/>
        </w:rPr>
        <w:t xml:space="preserve"> </w:t>
      </w:r>
      <w:r w:rsidRPr="0084404C">
        <w:rPr>
          <w:rFonts w:ascii="Aptos" w:hAnsi="Aptos" w:cs="Times New Roman"/>
          <w:i/>
          <w:iCs/>
        </w:rPr>
        <w:t>Ruling on Joint Request Relating to Pending Motions</w:t>
      </w:r>
      <w:r>
        <w:rPr>
          <w:rFonts w:ascii="Aptos" w:hAnsi="Aptos" w:cs="Times New Roman"/>
        </w:rPr>
        <w:t>.</w:t>
      </w:r>
    </w:p>
  </w:footnote>
  <w:footnote w:id="3">
    <w:p w14:paraId="0C11F44E" w14:textId="314DAAA1" w:rsidR="00E75E52" w:rsidRPr="00E75E52" w:rsidRDefault="00E75E52">
      <w:pPr>
        <w:pStyle w:val="FootnoteText"/>
      </w:pPr>
      <w:r>
        <w:rPr>
          <w:rStyle w:val="FootnoteReference"/>
        </w:rPr>
        <w:footnoteRef/>
      </w:r>
      <w:r>
        <w:t xml:space="preserve">   Based upon the documents reviewed for this </w:t>
      </w:r>
      <w:r>
        <w:rPr>
          <w:i/>
          <w:iCs/>
        </w:rPr>
        <w:t>Ruling</w:t>
      </w:r>
      <w:r>
        <w:t xml:space="preserve">, </w:t>
      </w:r>
      <w:r w:rsidR="00A022D2">
        <w:t>Student was not hospitalized at all during the 2023-2024 school year.</w:t>
      </w:r>
    </w:p>
  </w:footnote>
  <w:footnote w:id="4">
    <w:p w14:paraId="61A5DC56" w14:textId="4DCD2E22" w:rsidR="0091261C" w:rsidRDefault="0091261C">
      <w:pPr>
        <w:pStyle w:val="FootnoteText"/>
      </w:pPr>
      <w:r>
        <w:rPr>
          <w:rStyle w:val="FootnoteReference"/>
        </w:rPr>
        <w:footnoteRef/>
      </w:r>
      <w:r>
        <w:t xml:space="preserve">   No information was provided about </w:t>
      </w:r>
      <w:r w:rsidR="00624514">
        <w:t>the conduct that led to the suspension.</w:t>
      </w:r>
    </w:p>
  </w:footnote>
  <w:footnote w:id="5">
    <w:p w14:paraId="779EF497" w14:textId="19C9BCCB" w:rsidR="006130B5" w:rsidRDefault="006130B5" w:rsidP="006130B5">
      <w:pPr>
        <w:pStyle w:val="FootnoteText"/>
      </w:pPr>
      <w:r>
        <w:rPr>
          <w:rStyle w:val="FootnoteReference"/>
        </w:rPr>
        <w:footnoteRef/>
      </w:r>
      <w:r>
        <w:t xml:space="preserve">   However, </w:t>
      </w:r>
      <w:r w:rsidR="00340F13">
        <w:t xml:space="preserve">as </w:t>
      </w:r>
      <w:r>
        <w:t xml:space="preserve">the </w:t>
      </w:r>
      <w:proofErr w:type="gramStart"/>
      <w:r>
        <w:t>District</w:t>
      </w:r>
      <w:proofErr w:type="gramEnd"/>
      <w:r>
        <w:t xml:space="preserve"> notes</w:t>
      </w:r>
      <w:r w:rsidR="00340F13">
        <w:t>,</w:t>
      </w:r>
      <w:r>
        <w:t xml:space="preserve"> I have previously reviewed this Policy and indicated it may not necessarily preclude DMH from ever providing residential services.  </w:t>
      </w:r>
      <w:r>
        <w:rPr>
          <w:i/>
          <w:iCs/>
        </w:rPr>
        <w:t>In Re:  Quabbin Reg. Sch. Dist. &amp; [DMH] &amp; Dept. of Developmental Services</w:t>
      </w:r>
      <w:r>
        <w:t xml:space="preserve">, BSEA No. 2211285, </w:t>
      </w:r>
      <w:r w:rsidR="00DA2FD3" w:rsidRPr="00DA2FD3">
        <w:t>28</w:t>
      </w:r>
      <w:r w:rsidRPr="00DA2FD3">
        <w:t xml:space="preserve"> MSER </w:t>
      </w:r>
      <w:r w:rsidR="00DA2FD3" w:rsidRPr="00DA2FD3">
        <w:t>189</w:t>
      </w:r>
      <w:r w:rsidRPr="00DA2FD3">
        <w:t xml:space="preserve"> (Ruling, Mitchell, 2022</w:t>
      </w:r>
      <w:r w:rsidR="00DA2FD3">
        <w:t>).</w:t>
      </w:r>
    </w:p>
  </w:footnote>
  <w:footnote w:id="6">
    <w:p w14:paraId="03F63272" w14:textId="5DF54A82" w:rsidR="00B44F25" w:rsidRPr="00C17145" w:rsidRDefault="00B44F25">
      <w:pPr>
        <w:pStyle w:val="FootnoteText"/>
      </w:pPr>
      <w:r>
        <w:rPr>
          <w:rStyle w:val="FootnoteReference"/>
        </w:rPr>
        <w:footnoteRef/>
      </w:r>
      <w:r>
        <w:t xml:space="preserve">   Specifically, according to Parent,</w:t>
      </w:r>
      <w:r w:rsidR="005D688D">
        <w:t xml:space="preserve"> </w:t>
      </w:r>
      <w:r w:rsidR="00FD417F">
        <w:t xml:space="preserve">110 CMR 7.404, </w:t>
      </w:r>
      <w:r>
        <w:t xml:space="preserve">the regulation </w:t>
      </w:r>
      <w:r w:rsidR="0086539A">
        <w:t xml:space="preserve">governing </w:t>
      </w:r>
      <w:r w:rsidR="00471F88">
        <w:t>cost-share arrangements with a school district</w:t>
      </w:r>
      <w:r w:rsidR="00FD417F">
        <w:t>,</w:t>
      </w:r>
      <w:r w:rsidR="00471F88">
        <w:t xml:space="preserve"> does not include a “care” or “custody” requirement, </w:t>
      </w:r>
      <w:r w:rsidR="0086539A">
        <w:t>despite</w:t>
      </w:r>
      <w:r w:rsidR="00FD417F">
        <w:t xml:space="preserve"> other provisions in </w:t>
      </w:r>
      <w:r w:rsidR="005D688D">
        <w:t xml:space="preserve">DCF’s Special Education Services </w:t>
      </w:r>
      <w:r w:rsidR="00FD417F">
        <w:t xml:space="preserve">regulatory scheme, </w:t>
      </w:r>
      <w:r w:rsidR="00DA1573">
        <w:t>including 110 CMR 7.402 and 110 CMR 7.403(2)</w:t>
      </w:r>
      <w:r w:rsidR="003D00C4">
        <w:t>,</w:t>
      </w:r>
      <w:r w:rsidR="002272EE">
        <w:t xml:space="preserve"> expressly </w:t>
      </w:r>
      <w:r w:rsidR="003D00C4">
        <w:t xml:space="preserve">stating </w:t>
      </w:r>
      <w:r w:rsidR="002272EE">
        <w:t xml:space="preserve">that they pertain only to </w:t>
      </w:r>
      <w:r w:rsidR="00C17145">
        <w:t>“care” or “custody”</w:t>
      </w:r>
      <w:r w:rsidR="003D00C4">
        <w:t xml:space="preserve"> situations</w:t>
      </w:r>
      <w:r w:rsidR="00C17145">
        <w:t xml:space="preserve">.  </w:t>
      </w:r>
      <w:r w:rsidR="00C17145">
        <w:rPr>
          <w:i/>
          <w:iCs/>
        </w:rPr>
        <w:t xml:space="preserve">Compare </w:t>
      </w:r>
      <w:r w:rsidR="00C17145">
        <w:t>110 CMR 7.403(1) also failing to include any “care” or “custody” limitation.</w:t>
      </w:r>
    </w:p>
  </w:footnote>
  <w:footnote w:id="7">
    <w:p w14:paraId="74F58C61" w14:textId="77777777" w:rsidR="00A73DC5" w:rsidRPr="007126D5" w:rsidRDefault="00A73DC5" w:rsidP="00A73DC5">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eastAsia="Times New Roman" w:hAnsi="Aptos" w:cs="Times New Roman"/>
        </w:rPr>
        <w:t>As these rules/regulations are analogous to Rule 12(b)(6) of the Federal and Massachusetts Rules of Civil Procedure (FRCP and MRCP, respectively), hearing officers are generally guided by federal court decisions in deciding such motions.</w:t>
      </w:r>
    </w:p>
  </w:footnote>
  <w:footnote w:id="8">
    <w:p w14:paraId="0B176B5D" w14:textId="77777777" w:rsidR="00A73DC5" w:rsidRPr="007126D5" w:rsidRDefault="00A73DC5" w:rsidP="00A73DC5">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proofErr w:type="spellStart"/>
      <w:r w:rsidRPr="007126D5">
        <w:rPr>
          <w:rFonts w:ascii="Aptos" w:eastAsia="Times New Roman" w:hAnsi="Aptos" w:cs="Times New Roman"/>
          <w:i/>
          <w:iCs/>
        </w:rPr>
        <w:t>Iannocchino</w:t>
      </w:r>
      <w:proofErr w:type="spellEnd"/>
      <w:r w:rsidRPr="007126D5">
        <w:rPr>
          <w:rFonts w:ascii="Aptos" w:eastAsia="Times New Roman" w:hAnsi="Aptos" w:cs="Times New Roman"/>
          <w:i/>
          <w:iCs/>
        </w:rPr>
        <w:t xml:space="preserve"> v. Ford Motor Co.</w:t>
      </w:r>
      <w:r w:rsidRPr="007126D5">
        <w:rPr>
          <w:rFonts w:ascii="Aptos" w:eastAsia="Times New Roman" w:hAnsi="Aptos" w:cs="Times New Roman"/>
        </w:rPr>
        <w:t>, 451 Mass. 623, 636 (2008) quoting </w:t>
      </w:r>
      <w:r w:rsidRPr="007126D5">
        <w:rPr>
          <w:rFonts w:ascii="Aptos" w:eastAsia="Times New Roman" w:hAnsi="Aptos" w:cs="Times New Roman"/>
          <w:i/>
          <w:iCs/>
        </w:rPr>
        <w:t>Bell Atl. Corp. v. Twombly</w:t>
      </w:r>
      <w:r w:rsidRPr="007126D5">
        <w:rPr>
          <w:rFonts w:ascii="Aptos" w:eastAsia="Times New Roman" w:hAnsi="Aptos" w:cs="Times New Roman"/>
        </w:rPr>
        <w:t>, 550 U.S. 544, 557 (2007).</w:t>
      </w:r>
    </w:p>
  </w:footnote>
  <w:footnote w:id="9">
    <w:p w14:paraId="1C7E87A9" w14:textId="77777777" w:rsidR="00A73DC5" w:rsidRPr="007126D5" w:rsidRDefault="00A73DC5" w:rsidP="00A73DC5">
      <w:pPr>
        <w:pStyle w:val="FootnoteText"/>
        <w:rPr>
          <w:rFonts w:ascii="Aptos" w:eastAsia="Times New Roman"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eastAsia="Times New Roman" w:hAnsi="Aptos" w:cs="Times New Roman"/>
          <w:i/>
          <w:iCs/>
        </w:rPr>
        <w:t>Blank v. Chelmsford Ob/Gyn, P.C.</w:t>
      </w:r>
      <w:r w:rsidRPr="007126D5">
        <w:rPr>
          <w:rFonts w:ascii="Aptos" w:eastAsia="Times New Roman" w:hAnsi="Aptos" w:cs="Times New Roman"/>
        </w:rPr>
        <w:t>, 420 Mass. 404, 407 (1995).</w:t>
      </w:r>
    </w:p>
  </w:footnote>
  <w:footnote w:id="10">
    <w:p w14:paraId="6A3D1175" w14:textId="29417D26" w:rsidR="00DE702C" w:rsidRDefault="00DE702C">
      <w:pPr>
        <w:pStyle w:val="FootnoteText"/>
      </w:pPr>
      <w:r>
        <w:rPr>
          <w:rStyle w:val="FootnoteReference"/>
        </w:rPr>
        <w:footnoteRef/>
      </w:r>
      <w:r>
        <w:t xml:space="preserve"> </w:t>
      </w:r>
      <w:proofErr w:type="spellStart"/>
      <w:r w:rsidRPr="007126D5">
        <w:rPr>
          <w:rFonts w:ascii="Aptos" w:eastAsia="Times New Roman" w:hAnsi="Aptos" w:cs="Times New Roman"/>
          <w:i/>
          <w:iCs/>
        </w:rPr>
        <w:t>Iannocchino</w:t>
      </w:r>
      <w:proofErr w:type="spellEnd"/>
      <w:r w:rsidRPr="007126D5">
        <w:rPr>
          <w:rFonts w:ascii="Aptos" w:eastAsia="Times New Roman" w:hAnsi="Aptos" w:cs="Times New Roman"/>
          <w:i/>
          <w:iCs/>
        </w:rPr>
        <w:t xml:space="preserve"> </w:t>
      </w:r>
      <w:r w:rsidRPr="007126D5">
        <w:rPr>
          <w:rFonts w:ascii="Aptos" w:eastAsia="Times New Roman" w:hAnsi="Aptos" w:cs="Times New Roman"/>
        </w:rPr>
        <w:t>451 Mass. at 636 (quoting </w:t>
      </w:r>
      <w:r w:rsidRPr="007126D5">
        <w:rPr>
          <w:rFonts w:ascii="Aptos" w:eastAsia="Times New Roman" w:hAnsi="Aptos" w:cs="Times New Roman"/>
          <w:i/>
          <w:iCs/>
        </w:rPr>
        <w:t>Bell Atl. Corp.</w:t>
      </w:r>
      <w:r w:rsidRPr="007126D5">
        <w:rPr>
          <w:rFonts w:ascii="Aptos" w:eastAsia="Times New Roman" w:hAnsi="Aptos" w:cs="Times New Roman"/>
        </w:rPr>
        <w:t xml:space="preserve">, 550 U.S. at 555); see </w:t>
      </w:r>
      <w:r w:rsidRPr="007126D5">
        <w:rPr>
          <w:rFonts w:ascii="Aptos" w:hAnsi="Aptos" w:cs="Times New Roman"/>
          <w:i/>
          <w:iCs/>
        </w:rPr>
        <w:t>Ocasio-Hernandez v. Fortuno-Burset</w:t>
      </w:r>
      <w:r w:rsidRPr="007126D5">
        <w:rPr>
          <w:rFonts w:ascii="Aptos" w:hAnsi="Aptos" w:cs="Times New Roman"/>
        </w:rPr>
        <w:t>, 640 F.3d 1, 12 (1st Cir. 2011)</w:t>
      </w:r>
      <w:r w:rsidRPr="007126D5">
        <w:rPr>
          <w:rFonts w:ascii="Aptos" w:eastAsia="Times New Roman" w:hAnsi="Aptos" w:cs="Times New Roman"/>
        </w:rPr>
        <w:t>.</w:t>
      </w:r>
    </w:p>
  </w:footnote>
  <w:footnote w:id="11">
    <w:p w14:paraId="0F70924D" w14:textId="46C7BEBE" w:rsidR="00A73DC5" w:rsidRPr="007126D5" w:rsidRDefault="00A73DC5" w:rsidP="00A73DC5">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009A6AF2">
        <w:rPr>
          <w:rFonts w:ascii="Aptos" w:hAnsi="Aptos" w:cs="Times New Roman"/>
        </w:rPr>
        <w:t xml:space="preserve">See </w:t>
      </w:r>
      <w:r w:rsidR="007C5848" w:rsidRPr="00A73DC5">
        <w:rPr>
          <w:rFonts w:ascii="Aptos" w:hAnsi="Aptos" w:cs="Times New Roman"/>
          <w:bCs/>
        </w:rPr>
        <w:t>M.G.L. c. 71B §2A</w:t>
      </w:r>
      <w:r w:rsidR="007C5848" w:rsidRPr="007C5848">
        <w:rPr>
          <w:rFonts w:ascii="Aptos" w:hAnsi="Aptos" w:cs="Times New Roman"/>
        </w:rPr>
        <w:t xml:space="preserve"> </w:t>
      </w:r>
      <w:r w:rsidR="007C5848">
        <w:rPr>
          <w:rFonts w:ascii="Aptos" w:hAnsi="Aptos" w:cs="Times New Roman"/>
        </w:rPr>
        <w:t xml:space="preserve">(establishing the BSEA and authorizing it to hear disputes over </w:t>
      </w:r>
      <w:r w:rsidR="007C5848" w:rsidRPr="00A73DC5">
        <w:rPr>
          <w:rFonts w:ascii="Aptos" w:hAnsi="Aptos" w:cs="Times New Roman"/>
          <w:bCs/>
        </w:rPr>
        <w:t xml:space="preserve">“…(i) any matter relating to the identification, evaluation, education program or educational placement of a child with a disability or the provision of a free and appropriate public education to the child arising under </w:t>
      </w:r>
      <w:r w:rsidR="002A7F6E">
        <w:rPr>
          <w:rFonts w:ascii="Aptos" w:hAnsi="Aptos" w:cs="Times New Roman"/>
          <w:bCs/>
        </w:rPr>
        <w:t>[state or federal special education laws and regulations]</w:t>
      </w:r>
      <w:r w:rsidR="007C5848" w:rsidRPr="00A73DC5">
        <w:rPr>
          <w:rFonts w:ascii="Aptos" w:hAnsi="Aptos" w:cs="Times New Roman"/>
          <w:bCs/>
        </w:rPr>
        <w:t xml:space="preserve">; or (ii) a student's rights under Section 504 </w:t>
      </w:r>
      <w:r w:rsidR="004469BC">
        <w:rPr>
          <w:rFonts w:ascii="Aptos" w:hAnsi="Aptos" w:cs="Times New Roman"/>
          <w:bCs/>
        </w:rPr>
        <w:t>…</w:t>
      </w:r>
      <w:r w:rsidR="007C5848" w:rsidRPr="00A73DC5">
        <w:rPr>
          <w:rFonts w:ascii="Aptos" w:hAnsi="Aptos" w:cs="Times New Roman"/>
          <w:bCs/>
        </w:rPr>
        <w:t>, and its regulations”</w:t>
      </w:r>
      <w:r w:rsidR="004469BC">
        <w:rPr>
          <w:rFonts w:ascii="Aptos" w:hAnsi="Aptos" w:cs="Times New Roman"/>
          <w:bCs/>
        </w:rPr>
        <w:t xml:space="preserve">); </w:t>
      </w:r>
      <w:r w:rsidRPr="007126D5">
        <w:rPr>
          <w:rFonts w:ascii="Aptos" w:hAnsi="Aptos" w:cs="Times New Roman"/>
        </w:rPr>
        <w:t>34 CFR 300.507(a)(1); 603 CMR 28.08(3)(a).</w:t>
      </w:r>
    </w:p>
  </w:footnote>
  <w:footnote w:id="12">
    <w:p w14:paraId="6CA93BE8" w14:textId="3F73DC93" w:rsidR="00A73DC5" w:rsidRPr="007126D5" w:rsidRDefault="00A73DC5" w:rsidP="00A73DC5">
      <w:pPr>
        <w:pStyle w:val="FootnoteText"/>
        <w:rPr>
          <w:rFonts w:ascii="Aptos" w:hAnsi="Aptos" w:cs="Times New Roman"/>
        </w:rPr>
      </w:pPr>
      <w:r w:rsidRPr="007126D5">
        <w:rPr>
          <w:rStyle w:val="FootnoteReference"/>
          <w:rFonts w:ascii="Aptos" w:hAnsi="Aptos" w:cs="Times New Roman"/>
        </w:rPr>
        <w:footnoteRef/>
      </w:r>
      <w:r w:rsidRPr="007126D5">
        <w:rPr>
          <w:rFonts w:ascii="Aptos" w:hAnsi="Aptos" w:cs="Times New Roman"/>
        </w:rPr>
        <w:t xml:space="preserve">   </w:t>
      </w:r>
      <w:r w:rsidRPr="007126D5">
        <w:rPr>
          <w:rFonts w:ascii="Aptos" w:hAnsi="Aptos" w:cs="Times New Roman"/>
          <w:i/>
          <w:iCs/>
        </w:rPr>
        <w:t>Fry v. Napoleon</w:t>
      </w:r>
      <w:r w:rsidRPr="007126D5">
        <w:rPr>
          <w:rFonts w:ascii="Aptos" w:hAnsi="Aptos" w:cs="Times New Roman"/>
        </w:rPr>
        <w:t xml:space="preserve">, 580 US 154, 167-68 (2017) </w:t>
      </w:r>
      <w:r w:rsidR="003907C8">
        <w:rPr>
          <w:rFonts w:ascii="Aptos" w:hAnsi="Aptos" w:cs="Times New Roman"/>
        </w:rPr>
        <w:t>(</w:t>
      </w:r>
      <w:r w:rsidRPr="007126D5">
        <w:rPr>
          <w:rFonts w:ascii="Aptos" w:hAnsi="Aptos" w:cs="Times New Roman"/>
        </w:rPr>
        <w:t>holding that in situations where a dispute does not involve the IDEA’s FAPE requirement “even though the dispute is between a child with a disability and the school she attends … the hearing officer cannot provide the requested relief.  [The hearing officer’s] role, under the IDEA, is to enforce the child’s ‘substantive right’ to a FAPE….  And that is all.” (internal citations omitted)</w:t>
      </w:r>
      <w:r w:rsidR="00286EF8">
        <w:rPr>
          <w:rFonts w:ascii="Aptos" w:hAnsi="Aptos" w:cs="Times New Roman"/>
        </w:rPr>
        <w:t xml:space="preserve">.  </w:t>
      </w:r>
      <w:r w:rsidR="00DA0980">
        <w:rPr>
          <w:rFonts w:ascii="Aptos" w:hAnsi="Aptos" w:cs="Times New Roman"/>
        </w:rPr>
        <w:t>The BSEA does not, for instance, have jurisdiction over class claims</w:t>
      </w:r>
      <w:r w:rsidR="00A96323">
        <w:rPr>
          <w:rFonts w:ascii="Aptos" w:hAnsi="Aptos" w:cs="Times New Roman"/>
        </w:rPr>
        <w:t>,</w:t>
      </w:r>
      <w:r w:rsidR="00DA0980">
        <w:rPr>
          <w:rFonts w:ascii="Aptos" w:hAnsi="Aptos" w:cs="Times New Roman"/>
        </w:rPr>
        <w:t xml:space="preserve"> </w:t>
      </w:r>
      <w:r w:rsidR="00DA0980" w:rsidRPr="007126D5">
        <w:rPr>
          <w:rFonts w:ascii="Aptos" w:hAnsi="Aptos"/>
          <w:i/>
          <w:iCs/>
        </w:rPr>
        <w:t>In Re: Holyoke Pub. Sch. and Jay</w:t>
      </w:r>
      <w:r w:rsidR="00DA0980" w:rsidRPr="007126D5">
        <w:rPr>
          <w:rFonts w:ascii="Aptos" w:hAnsi="Aptos"/>
        </w:rPr>
        <w:t xml:space="preserve">, BSEA #1800619, 24 MSER 20 (Ruling, Oliver, 2018); see </w:t>
      </w:r>
      <w:r w:rsidR="00DA0980" w:rsidRPr="007126D5">
        <w:rPr>
          <w:rFonts w:ascii="Aptos" w:hAnsi="Aptos"/>
          <w:i/>
          <w:iCs/>
        </w:rPr>
        <w:t>In Re:  Springfield Pub. Schs.</w:t>
      </w:r>
      <w:r w:rsidR="00DA0980" w:rsidRPr="007126D5">
        <w:rPr>
          <w:rFonts w:ascii="Aptos" w:hAnsi="Aptos"/>
        </w:rPr>
        <w:t xml:space="preserve">, BSEA #2203555, 28 MSER 111 (Ruling, Berman, 2022) </w:t>
      </w:r>
      <w:r w:rsidR="00DA0980">
        <w:rPr>
          <w:rFonts w:ascii="Aptos" w:hAnsi="Aptos" w:cs="Times New Roman"/>
        </w:rPr>
        <w:t xml:space="preserve"> </w:t>
      </w:r>
      <w:r w:rsidR="00DA0980" w:rsidRPr="007126D5">
        <w:rPr>
          <w:rFonts w:ascii="Aptos" w:hAnsi="Aptos"/>
        </w:rPr>
        <w:t xml:space="preserve">citing </w:t>
      </w:r>
      <w:r w:rsidR="00DA0980" w:rsidRPr="007126D5">
        <w:rPr>
          <w:rFonts w:ascii="Aptos" w:eastAsia="Times New Roman" w:hAnsi="Aptos" w:cs="Times New Roman"/>
          <w:bCs/>
          <w:i/>
          <w:iCs/>
          <w:color w:val="000000"/>
        </w:rPr>
        <w:t>Globe Newspaper Co. v. Beacon Hill Architectural Comm.</w:t>
      </w:r>
      <w:r w:rsidR="00DA0980" w:rsidRPr="007126D5">
        <w:rPr>
          <w:rFonts w:ascii="Aptos" w:eastAsia="Times New Roman" w:hAnsi="Aptos" w:cs="Times New Roman"/>
          <w:bCs/>
          <w:color w:val="000000"/>
        </w:rPr>
        <w:t xml:space="preserve">, 421 Mass. 570, 586 (1996); </w:t>
      </w:r>
      <w:r w:rsidR="00DA0980" w:rsidRPr="007126D5">
        <w:rPr>
          <w:rFonts w:ascii="Aptos" w:hAnsi="Aptos"/>
          <w:i/>
          <w:iCs/>
        </w:rPr>
        <w:t xml:space="preserve">In Re: Student &amp; Quincy Pub. Sch. and Dept. of Elementary and Secondary Education, </w:t>
      </w:r>
      <w:r w:rsidR="00DA0980" w:rsidRPr="007126D5">
        <w:rPr>
          <w:rFonts w:ascii="Aptos" w:hAnsi="Aptos"/>
        </w:rPr>
        <w:t>BSEA #2408249, 30 MSER 176 (Ruling, Mitchell, 2024)</w:t>
      </w:r>
      <w:r w:rsidR="00DA0980">
        <w:rPr>
          <w:rFonts w:ascii="Aptos" w:hAnsi="Aptos"/>
        </w:rPr>
        <w:t xml:space="preserve">; </w:t>
      </w:r>
      <w:r w:rsidR="00E930AB">
        <w:rPr>
          <w:rFonts w:ascii="Aptos" w:hAnsi="Aptos"/>
        </w:rPr>
        <w:t xml:space="preserve">or </w:t>
      </w:r>
      <w:r w:rsidR="00286EF8" w:rsidRPr="00286EF8">
        <w:rPr>
          <w:rFonts w:ascii="Aptos" w:eastAsia="Times New Roman" w:hAnsi="Aptos" w:cs="Times New Roman"/>
          <w:bCs/>
          <w:color w:val="000000"/>
        </w:rPr>
        <w:t xml:space="preserve">to address violations that pertain to </w:t>
      </w:r>
      <w:r w:rsidR="00286EF8" w:rsidRPr="00A73DC5">
        <w:rPr>
          <w:rFonts w:ascii="Aptos" w:eastAsia="Times New Roman" w:hAnsi="Aptos" w:cs="Times New Roman"/>
          <w:bCs/>
          <w:color w:val="000000"/>
        </w:rPr>
        <w:t>a right that is available to all students regardless of their disability status or eligibility under the IDEA</w:t>
      </w:r>
      <w:r w:rsidR="00A96323">
        <w:rPr>
          <w:rFonts w:ascii="Aptos" w:eastAsia="Times New Roman" w:hAnsi="Aptos" w:cs="Times New Roman"/>
          <w:bCs/>
          <w:color w:val="000000"/>
        </w:rPr>
        <w:t>,</w:t>
      </w:r>
      <w:r w:rsidR="00E930AB">
        <w:rPr>
          <w:rFonts w:ascii="Aptos" w:eastAsia="Times New Roman" w:hAnsi="Aptos" w:cs="Times New Roman"/>
          <w:bCs/>
          <w:color w:val="000000"/>
        </w:rPr>
        <w:t xml:space="preserve"> </w:t>
      </w:r>
      <w:r w:rsidR="00E930AB" w:rsidRPr="007126D5">
        <w:rPr>
          <w:rFonts w:ascii="Aptos" w:hAnsi="Aptos"/>
          <w:i/>
          <w:iCs/>
        </w:rPr>
        <w:t>In Re: Springfield Pub. Schs., et. al.</w:t>
      </w:r>
      <w:r w:rsidR="00E930AB" w:rsidRPr="007126D5">
        <w:rPr>
          <w:rFonts w:ascii="Aptos" w:hAnsi="Aptos"/>
        </w:rPr>
        <w:t>, BSEA #2309351, 29 MSER 154 (Ruling, Mitchell, 2023)</w:t>
      </w:r>
      <w:r w:rsidR="00E930AB">
        <w:rPr>
          <w:rFonts w:ascii="Aptos" w:eastAsia="Times New Roman" w:hAnsi="Aptos" w:cs="Times New Roman"/>
          <w:bCs/>
          <w:color w:val="000000"/>
        </w:rPr>
        <w:t>.</w:t>
      </w:r>
      <w:r w:rsidR="00286EF8">
        <w:rPr>
          <w:rFonts w:ascii="Aptos" w:eastAsia="Times New Roman" w:hAnsi="Aptos" w:cs="Times New Roman"/>
          <w:bCs/>
          <w:color w:val="000000"/>
        </w:rPr>
        <w:t xml:space="preserve"> </w:t>
      </w:r>
    </w:p>
  </w:footnote>
  <w:footnote w:id="13">
    <w:p w14:paraId="1C594338" w14:textId="50234D08" w:rsidR="00400718" w:rsidRPr="001A7B7C" w:rsidRDefault="00400718">
      <w:pPr>
        <w:pStyle w:val="FootnoteText"/>
      </w:pPr>
      <w:r>
        <w:rPr>
          <w:rStyle w:val="FootnoteReference"/>
        </w:rPr>
        <w:footnoteRef/>
      </w:r>
      <w:r>
        <w:t xml:space="preserve">  See </w:t>
      </w:r>
      <w:r w:rsidR="001A7B7C">
        <w:rPr>
          <w:i/>
          <w:iCs/>
        </w:rPr>
        <w:t>In Re: Student R. and Lincoln-Sudbury Pub. Sch.</w:t>
      </w:r>
      <w:r w:rsidR="001A7B7C">
        <w:t xml:space="preserve">, BSEA #11-2546, </w:t>
      </w:r>
      <w:r w:rsidR="00B4457C" w:rsidRPr="00B4457C">
        <w:t>16</w:t>
      </w:r>
      <w:r w:rsidR="001A7B7C" w:rsidRPr="00B4457C">
        <w:t xml:space="preserve"> MSER </w:t>
      </w:r>
      <w:r w:rsidR="00B4457C">
        <w:t>424</w:t>
      </w:r>
      <w:r w:rsidR="00CE3B5F">
        <w:t xml:space="preserve"> (Ruling, Figueroa, 2010) (</w:t>
      </w:r>
      <w:r w:rsidR="00DC3AF4">
        <w:t>noting that “[e]</w:t>
      </w:r>
      <w:proofErr w:type="spellStart"/>
      <w:r w:rsidR="00DC3AF4" w:rsidRPr="00DC3AF4">
        <w:t>ven</w:t>
      </w:r>
      <w:proofErr w:type="spellEnd"/>
      <w:r w:rsidR="00DC3AF4" w:rsidRPr="00DC3AF4">
        <w:t xml:space="preserve"> if Parties agree between themselves that the BSEA will have authority to </w:t>
      </w:r>
      <w:r w:rsidR="00DC3AF4">
        <w:t>‘</w:t>
      </w:r>
      <w:r w:rsidR="00DC3AF4" w:rsidRPr="00DC3AF4">
        <w:t>enforce</w:t>
      </w:r>
      <w:r w:rsidR="00DC3AF4">
        <w:t>’</w:t>
      </w:r>
      <w:r w:rsidR="00DC3AF4" w:rsidRPr="00DC3AF4">
        <w:t xml:space="preserve"> agreements, such language is insufficient to bind the BSEA where it otherwise lacks statutory authority, and enforcement of agreements is not one of the powers specifically granted to BSEA Hearing Officers</w:t>
      </w:r>
      <w:r w:rsidR="00302F6D">
        <w:t>…”</w:t>
      </w:r>
      <w:r w:rsidR="00DC3AF4">
        <w:t>)</w:t>
      </w:r>
      <w:r w:rsidR="00784F5F">
        <w:t>.</w:t>
      </w:r>
    </w:p>
  </w:footnote>
  <w:footnote w:id="14">
    <w:p w14:paraId="329D6C26" w14:textId="0844E760" w:rsidR="002B33E1" w:rsidRPr="008D69FB" w:rsidRDefault="002B33E1">
      <w:pPr>
        <w:pStyle w:val="FootnoteText"/>
      </w:pPr>
      <w:r>
        <w:rPr>
          <w:rStyle w:val="FootnoteReference"/>
        </w:rPr>
        <w:footnoteRef/>
      </w:r>
      <w:r>
        <w:t xml:space="preserve">   </w:t>
      </w:r>
      <w:r>
        <w:rPr>
          <w:i/>
          <w:iCs/>
        </w:rPr>
        <w:t xml:space="preserve">In Re: Longmeadow Pub. </w:t>
      </w:r>
      <w:r w:rsidRPr="008D69FB">
        <w:rPr>
          <w:i/>
          <w:iCs/>
        </w:rPr>
        <w:t>Schs.</w:t>
      </w:r>
      <w:r w:rsidRPr="008D69FB">
        <w:t>, BSEA No</w:t>
      </w:r>
      <w:r w:rsidR="008E0046" w:rsidRPr="008D69FB">
        <w:t xml:space="preserve">. </w:t>
      </w:r>
      <w:r w:rsidR="008D69FB" w:rsidRPr="008D69FB">
        <w:t>07-2866, 14 MSER 249 (Ruling</w:t>
      </w:r>
      <w:r w:rsidR="008D69FB">
        <w:t>, Crane, 2008) (collecting authorities)</w:t>
      </w:r>
      <w:r w:rsidR="00162BBC">
        <w:t xml:space="preserve"> (internal citations omitted).  </w:t>
      </w:r>
    </w:p>
  </w:footnote>
  <w:footnote w:id="15">
    <w:p w14:paraId="6C08BD4A" w14:textId="7369CC0A" w:rsidR="00023622" w:rsidRPr="00960E38" w:rsidRDefault="00023622">
      <w:pPr>
        <w:pStyle w:val="FootnoteText"/>
      </w:pPr>
      <w:r>
        <w:rPr>
          <w:rStyle w:val="FootnoteReference"/>
        </w:rPr>
        <w:footnoteRef/>
      </w:r>
      <w:r>
        <w:t xml:space="preserve">   </w:t>
      </w:r>
      <w:r>
        <w:rPr>
          <w:i/>
          <w:iCs/>
        </w:rPr>
        <w:t>In Re: Mil</w:t>
      </w:r>
      <w:r w:rsidR="00050E1F">
        <w:rPr>
          <w:i/>
          <w:iCs/>
        </w:rPr>
        <w:t xml:space="preserve">ford Pub. </w:t>
      </w:r>
      <w:r w:rsidR="00050E1F" w:rsidRPr="00960E38">
        <w:rPr>
          <w:i/>
          <w:iCs/>
        </w:rPr>
        <w:t>Schs.</w:t>
      </w:r>
      <w:r w:rsidR="00050E1F" w:rsidRPr="00960E38">
        <w:t>, BSEA No. 16</w:t>
      </w:r>
      <w:r w:rsidR="002856A0">
        <w:t>-</w:t>
      </w:r>
      <w:r w:rsidR="00050E1F" w:rsidRPr="00960E38">
        <w:t xml:space="preserve">01412, </w:t>
      </w:r>
      <w:r w:rsidR="002856A0" w:rsidRPr="002856A0">
        <w:t>21</w:t>
      </w:r>
      <w:r w:rsidR="00050E1F" w:rsidRPr="002856A0">
        <w:t xml:space="preserve"> MSER </w:t>
      </w:r>
      <w:r w:rsidR="002856A0" w:rsidRPr="002856A0">
        <w:t>219</w:t>
      </w:r>
      <w:r w:rsidR="00960E38" w:rsidRPr="00960E38">
        <w:t xml:space="preserve"> (Ruling</w:t>
      </w:r>
      <w:r w:rsidR="00960E38">
        <w:t>, Berman, 2015).</w:t>
      </w:r>
    </w:p>
  </w:footnote>
  <w:footnote w:id="16">
    <w:p w14:paraId="29144A7D" w14:textId="67D6B736" w:rsidR="0011484B" w:rsidRDefault="0011484B">
      <w:pPr>
        <w:pStyle w:val="FootnoteText"/>
      </w:pPr>
      <w:r>
        <w:rPr>
          <w:rStyle w:val="FootnoteReference"/>
        </w:rPr>
        <w:footnoteRef/>
      </w:r>
      <w:r>
        <w:t xml:space="preserve"> </w:t>
      </w:r>
      <w:r w:rsidRPr="0011484B">
        <w:t> </w:t>
      </w:r>
      <w:r w:rsidR="00752882">
        <w:t xml:space="preserve"> </w:t>
      </w:r>
      <w:r w:rsidR="000B7A91">
        <w:rPr>
          <w:i/>
          <w:iCs/>
        </w:rPr>
        <w:t>S. Kingston</w:t>
      </w:r>
      <w:r w:rsidRPr="007E2DC6">
        <w:rPr>
          <w:i/>
          <w:iCs/>
        </w:rPr>
        <w:t>.</w:t>
      </w:r>
      <w:r w:rsidRPr="0011484B">
        <w:t> 773 F.3d </w:t>
      </w:r>
      <w:r w:rsidR="00752882">
        <w:t xml:space="preserve">344, </w:t>
      </w:r>
      <w:r w:rsidRPr="0011484B">
        <w:t>n.3 (1st Cir. 2014)</w:t>
      </w:r>
      <w:r w:rsidR="00D253A1">
        <w:t xml:space="preserve"> (internal citations omitted); </w:t>
      </w:r>
      <w:r w:rsidR="00D253A1">
        <w:rPr>
          <w:i/>
          <w:iCs/>
        </w:rPr>
        <w:t>Milford</w:t>
      </w:r>
      <w:r w:rsidR="00D253A1" w:rsidRPr="00960E38">
        <w:t xml:space="preserve">, </w:t>
      </w:r>
      <w:r w:rsidR="00BE72DE">
        <w:t>21 MSER 219</w:t>
      </w:r>
      <w:r w:rsidR="00D253A1" w:rsidRPr="00960E38">
        <w:t xml:space="preserve"> (</w:t>
      </w:r>
      <w:r w:rsidR="00D253A1">
        <w:t>Berman, 2015)</w:t>
      </w:r>
      <w:r w:rsidR="00A37480">
        <w:t xml:space="preserve">; see </w:t>
      </w:r>
      <w:r w:rsidR="00391FC8" w:rsidRPr="00391FC8">
        <w:rPr>
          <w:i/>
          <w:iCs/>
        </w:rPr>
        <w:t>Alison H. v. Byard</w:t>
      </w:r>
      <w:r w:rsidR="00391FC8" w:rsidRPr="00391FC8">
        <w:t>, 163 F.3d 2</w:t>
      </w:r>
      <w:r w:rsidR="00C01E38">
        <w:t>, 6</w:t>
      </w:r>
      <w:r w:rsidR="00391FC8" w:rsidRPr="00391FC8">
        <w:t xml:space="preserve"> (1</w:t>
      </w:r>
      <w:r w:rsidR="00391FC8" w:rsidRPr="00391FC8">
        <w:rPr>
          <w:vertAlign w:val="superscript"/>
        </w:rPr>
        <w:t>st</w:t>
      </w:r>
      <w:r w:rsidR="00391FC8" w:rsidRPr="00391FC8">
        <w:t> Cir. 1998)</w:t>
      </w:r>
      <w:r w:rsidR="00391FC8">
        <w:t xml:space="preserve"> (</w:t>
      </w:r>
      <w:r w:rsidR="0037606A">
        <w:t xml:space="preserve">concluding a </w:t>
      </w:r>
      <w:r w:rsidR="00391FC8">
        <w:t xml:space="preserve">settlement agreement altered the </w:t>
      </w:r>
      <w:r w:rsidR="00C66541">
        <w:t xml:space="preserve">parties’ IDEA </w:t>
      </w:r>
      <w:r w:rsidR="00391FC8">
        <w:t xml:space="preserve">rights and responsibilities by extinguishing the parent’s </w:t>
      </w:r>
      <w:r w:rsidR="00A5213F">
        <w:t>ability to seek attorney fees under the IDEA that they otherwise held)</w:t>
      </w:r>
      <w:r w:rsidR="00807559">
        <w:t xml:space="preserve">; </w:t>
      </w:r>
      <w:r w:rsidR="00B22E48" w:rsidRPr="00B22E48">
        <w:rPr>
          <w:i/>
          <w:iCs/>
        </w:rPr>
        <w:t>Michelle K. v. Pentucket Reg'l Sch. Dist.</w:t>
      </w:r>
      <w:r w:rsidR="00B22E48" w:rsidRPr="00B22E48">
        <w:t>, 79 F. Supp. 3d 361, 371 (D. Mass. 2015)</w:t>
      </w:r>
      <w:r w:rsidR="00B22E48">
        <w:t xml:space="preserve"> (remanding to the BSEA </w:t>
      </w:r>
      <w:r w:rsidR="001003CC">
        <w:t xml:space="preserve">to address an ambiguous settlement term </w:t>
      </w:r>
      <w:r w:rsidR="00364399">
        <w:t>so that “</w:t>
      </w:r>
      <w:r w:rsidR="00364399" w:rsidRPr="00B22E48">
        <w:t xml:space="preserve">the parties have </w:t>
      </w:r>
      <w:r w:rsidR="00364399">
        <w:t>[a]</w:t>
      </w:r>
      <w:r w:rsidR="00364399" w:rsidRPr="00B22E48">
        <w:t xml:space="preserve"> further opportunity to develop the record including whether </w:t>
      </w:r>
      <w:r w:rsidR="00364399">
        <w:t xml:space="preserve">[they] </w:t>
      </w:r>
      <w:r w:rsidR="00364399" w:rsidRPr="00B22E48">
        <w:t>should be permitted to advance parole evidence regarding their understanding of the settlement agreement</w:t>
      </w:r>
      <w:r w:rsidR="00364399">
        <w:t>”</w:t>
      </w:r>
      <w:r w:rsidR="008E0926">
        <w:t xml:space="preserve">);  </w:t>
      </w:r>
      <w:r w:rsidR="00F97140">
        <w:rPr>
          <w:i/>
          <w:iCs/>
        </w:rPr>
        <w:t>In Re: Lexington Pub. Schs.</w:t>
      </w:r>
      <w:r w:rsidR="00F97140">
        <w:t xml:space="preserve">, BSEA No. 1701925 </w:t>
      </w:r>
      <w:r w:rsidR="00EE5996">
        <w:t xml:space="preserve">22 MSER 204 </w:t>
      </w:r>
      <w:r w:rsidR="00F97140">
        <w:t xml:space="preserve">(Ruling, Figueroa, </w:t>
      </w:r>
      <w:r w:rsidR="007E2DC6">
        <w:t>2016).</w:t>
      </w:r>
    </w:p>
  </w:footnote>
  <w:footnote w:id="17">
    <w:p w14:paraId="4EC652AE" w14:textId="2A31E286" w:rsidR="0019285F" w:rsidRPr="00AE24FC" w:rsidRDefault="0019285F">
      <w:pPr>
        <w:pStyle w:val="FootnoteText"/>
      </w:pPr>
      <w:r>
        <w:rPr>
          <w:rStyle w:val="FootnoteReference"/>
        </w:rPr>
        <w:footnoteRef/>
      </w:r>
      <w:r>
        <w:t xml:space="preserve"> </w:t>
      </w:r>
      <w:r w:rsidR="00A7133A">
        <w:rPr>
          <w:i/>
          <w:iCs/>
        </w:rPr>
        <w:t>S.</w:t>
      </w:r>
      <w:r w:rsidRPr="007E2DC6">
        <w:rPr>
          <w:i/>
          <w:iCs/>
        </w:rPr>
        <w:t xml:space="preserve"> Kingstown</w:t>
      </w:r>
      <w:r w:rsidR="00A7133A">
        <w:t xml:space="preserve">, 773 F.3d at 354; see </w:t>
      </w:r>
      <w:r w:rsidR="00432021" w:rsidRPr="00432021">
        <w:rPr>
          <w:i/>
          <w:iCs/>
        </w:rPr>
        <w:t>D.R. by M.R. v. E. Brunswick Bd. of Educ.</w:t>
      </w:r>
      <w:r w:rsidR="00432021" w:rsidRPr="00432021">
        <w:t>, 109 F.3d 896, 901 (3d Cir. 1997)</w:t>
      </w:r>
      <w:r w:rsidR="00581C9D">
        <w:t xml:space="preserve"> (</w:t>
      </w:r>
      <w:r w:rsidR="005057E2">
        <w:t>holding that a settlement agreement is “</w:t>
      </w:r>
      <w:r w:rsidR="00432021" w:rsidRPr="00432021">
        <w:t>binding on the parties</w:t>
      </w:r>
      <w:r w:rsidR="005057E2">
        <w:t>” unless there has been a change in circumstances</w:t>
      </w:r>
      <w:r w:rsidR="00DD3181">
        <w:t>”)</w:t>
      </w:r>
      <w:r w:rsidR="007C5AB4">
        <w:t xml:space="preserve">; see </w:t>
      </w:r>
      <w:r w:rsidR="00AE24FC" w:rsidRPr="0018419F">
        <w:rPr>
          <w:i/>
          <w:iCs/>
        </w:rPr>
        <w:t>Jefferson v. Raimondo</w:t>
      </w:r>
      <w:r w:rsidR="00AE24FC" w:rsidRPr="0018419F">
        <w:t>, 2018 WL 3873233, at *12 (D.R.I. Aug. 15, 2018)</w:t>
      </w:r>
      <w:r w:rsidR="00DD3181">
        <w:t>.</w:t>
      </w:r>
      <w:r w:rsidRPr="007E2DC6">
        <w:rPr>
          <w:i/>
          <w:iCs/>
        </w:rPr>
        <w:t xml:space="preserve"> </w:t>
      </w:r>
    </w:p>
  </w:footnote>
  <w:footnote w:id="18">
    <w:p w14:paraId="171A968F" w14:textId="23A7D499" w:rsidR="007A24F8" w:rsidRPr="007A24F8" w:rsidRDefault="007A24F8">
      <w:pPr>
        <w:pStyle w:val="FootnoteText"/>
      </w:pPr>
      <w:r>
        <w:rPr>
          <w:rStyle w:val="FootnoteReference"/>
        </w:rPr>
        <w:footnoteRef/>
      </w:r>
      <w:r>
        <w:t xml:space="preserve">   </w:t>
      </w:r>
      <w:r>
        <w:rPr>
          <w:i/>
          <w:iCs/>
        </w:rPr>
        <w:t>S. Kingston</w:t>
      </w:r>
      <w:r>
        <w:t xml:space="preserve">, 773 F.3d </w:t>
      </w:r>
      <w:r w:rsidR="002E7CD2">
        <w:t>at 347-48, 354.</w:t>
      </w:r>
    </w:p>
  </w:footnote>
  <w:footnote w:id="19">
    <w:p w14:paraId="37E80C8B" w14:textId="46D07DAE" w:rsidR="002E626C" w:rsidRPr="00ED33F0" w:rsidRDefault="002E626C" w:rsidP="002E626C">
      <w:pPr>
        <w:pStyle w:val="FootnoteText"/>
      </w:pPr>
      <w:r>
        <w:rPr>
          <w:rStyle w:val="FootnoteReference"/>
        </w:rPr>
        <w:footnoteRef/>
      </w:r>
      <w:r>
        <w:t xml:space="preserve">   </w:t>
      </w:r>
      <w:r>
        <w:rPr>
          <w:i/>
          <w:iCs/>
        </w:rPr>
        <w:t>Id.</w:t>
      </w:r>
      <w:r>
        <w:t xml:space="preserve"> at 354 (internal citations omitted)); see </w:t>
      </w:r>
      <w:r>
        <w:rPr>
          <w:i/>
          <w:iCs/>
        </w:rPr>
        <w:t>Lexington</w:t>
      </w:r>
      <w:r>
        <w:t xml:space="preserve">, </w:t>
      </w:r>
      <w:r w:rsidR="00463CFD">
        <w:t>22 MSER 204</w:t>
      </w:r>
      <w:r>
        <w:t xml:space="preserve"> (Figueroa, 2016)</w:t>
      </w:r>
      <w:r w:rsidR="004C2CA4">
        <w:t>.</w:t>
      </w:r>
    </w:p>
  </w:footnote>
  <w:footnote w:id="20">
    <w:p w14:paraId="0A00CC03" w14:textId="70788329" w:rsidR="0086419D" w:rsidRPr="0086419D" w:rsidRDefault="0086419D">
      <w:pPr>
        <w:pStyle w:val="FootnoteText"/>
      </w:pPr>
      <w:r>
        <w:rPr>
          <w:rStyle w:val="FootnoteReference"/>
        </w:rPr>
        <w:footnoteRef/>
      </w:r>
      <w:r>
        <w:t xml:space="preserve">   </w:t>
      </w:r>
      <w:r>
        <w:rPr>
          <w:i/>
          <w:iCs/>
        </w:rPr>
        <w:t>Id.</w:t>
      </w:r>
    </w:p>
  </w:footnote>
  <w:footnote w:id="21">
    <w:p w14:paraId="360E7E6F" w14:textId="0E6D3669" w:rsidR="003B24B4" w:rsidRDefault="003B24B4">
      <w:pPr>
        <w:pStyle w:val="FootnoteText"/>
      </w:pPr>
      <w:r>
        <w:rPr>
          <w:rStyle w:val="FootnoteReference"/>
        </w:rPr>
        <w:footnoteRef/>
      </w:r>
      <w:r>
        <w:t xml:space="preserve">  </w:t>
      </w:r>
      <w:r w:rsidR="00182CF8" w:rsidRPr="00856989">
        <w:rPr>
          <w:rFonts w:ascii="Aptos" w:eastAsia="Times New Roman" w:hAnsi="Aptos" w:cs="Times New Roman"/>
          <w:bCs/>
          <w:color w:val="000000"/>
        </w:rPr>
        <w:t>MGL c. 71B, §3; see 603 CMR 28.08(3).</w:t>
      </w:r>
    </w:p>
  </w:footnote>
  <w:footnote w:id="22">
    <w:p w14:paraId="7CACBAB2" w14:textId="15115F05" w:rsidR="002C57EF" w:rsidRPr="00856989" w:rsidRDefault="002C57EF" w:rsidP="002C57EF">
      <w:pPr>
        <w:pStyle w:val="FootnoteText"/>
        <w:rPr>
          <w:rFonts w:ascii="Aptos" w:hAnsi="Aptos"/>
        </w:rPr>
      </w:pPr>
      <w:r w:rsidRPr="00856989">
        <w:rPr>
          <w:rStyle w:val="FootnoteReference"/>
          <w:rFonts w:ascii="Aptos" w:hAnsi="Aptos"/>
        </w:rPr>
        <w:footnoteRef/>
      </w:r>
      <w:r w:rsidRPr="00856989">
        <w:rPr>
          <w:rFonts w:ascii="Aptos" w:hAnsi="Aptos"/>
        </w:rPr>
        <w:t xml:space="preserve">   </w:t>
      </w:r>
      <w:r w:rsidRPr="00856989">
        <w:rPr>
          <w:rFonts w:ascii="Aptos" w:hAnsi="Aptos"/>
          <w:i/>
          <w:iCs/>
        </w:rPr>
        <w:t xml:space="preserve">In Re: Plymouth Pub. Sch. </w:t>
      </w:r>
      <w:r w:rsidRPr="00856989">
        <w:rPr>
          <w:rFonts w:ascii="Aptos" w:hAnsi="Aptos"/>
        </w:rPr>
        <w:t>BSEA No. 06-2584, 12 MSER 33 (</w:t>
      </w:r>
      <w:r w:rsidR="00050E1F" w:rsidRPr="00D7506A">
        <w:rPr>
          <w:rFonts w:ascii="Aptos" w:hAnsi="Aptos"/>
        </w:rPr>
        <w:t>Ruling</w:t>
      </w:r>
      <w:r w:rsidR="00050E1F">
        <w:rPr>
          <w:rFonts w:ascii="Aptos" w:hAnsi="Aptos"/>
        </w:rPr>
        <w:t xml:space="preserve"> </w:t>
      </w:r>
      <w:r w:rsidRPr="00856989">
        <w:rPr>
          <w:rFonts w:ascii="Aptos" w:hAnsi="Aptos"/>
        </w:rPr>
        <w:t xml:space="preserve">Crane, 2006) (internal citations omitted); </w:t>
      </w:r>
      <w:r w:rsidRPr="00856989">
        <w:rPr>
          <w:rFonts w:ascii="Aptos" w:hAnsi="Aptos"/>
          <w:i/>
          <w:iCs/>
        </w:rPr>
        <w:t>In Re: Fitchburg Pub. Sch.</w:t>
      </w:r>
      <w:r w:rsidRPr="00856989">
        <w:rPr>
          <w:rFonts w:ascii="Aptos" w:hAnsi="Aptos"/>
        </w:rPr>
        <w:t xml:space="preserve"> BSEA No. 02-0038, 8 MSER 141 (</w:t>
      </w:r>
      <w:r w:rsidR="00050E1F" w:rsidRPr="00FC6E3C">
        <w:rPr>
          <w:rFonts w:ascii="Aptos" w:hAnsi="Aptos"/>
        </w:rPr>
        <w:t>Ruling</w:t>
      </w:r>
      <w:r w:rsidR="00FC6E3C">
        <w:rPr>
          <w:rFonts w:ascii="Aptos" w:hAnsi="Aptos"/>
        </w:rPr>
        <w:t xml:space="preserve"> </w:t>
      </w:r>
      <w:r w:rsidRPr="00856989">
        <w:rPr>
          <w:rFonts w:ascii="Aptos" w:hAnsi="Aptos"/>
        </w:rPr>
        <w:t>Byrne, 2002).</w:t>
      </w:r>
    </w:p>
  </w:footnote>
  <w:footnote w:id="23">
    <w:p w14:paraId="6886DB1A" w14:textId="5BAD2E30" w:rsidR="005E77F1" w:rsidRDefault="005E77F1">
      <w:pPr>
        <w:pStyle w:val="FootnoteText"/>
      </w:pPr>
      <w:r>
        <w:rPr>
          <w:rStyle w:val="FootnoteReference"/>
        </w:rPr>
        <w:footnoteRef/>
      </w:r>
      <w:r>
        <w:t xml:space="preserve">   </w:t>
      </w:r>
      <w:r w:rsidR="00FD4558" w:rsidRPr="007126D5">
        <w:rPr>
          <w:rFonts w:ascii="Aptos" w:eastAsia="Times New Roman" w:hAnsi="Aptos" w:cs="Times New Roman"/>
          <w:i/>
          <w:iCs/>
        </w:rPr>
        <w:t>Blank</w:t>
      </w:r>
      <w:r w:rsidR="00FD4558" w:rsidRPr="007126D5">
        <w:rPr>
          <w:rFonts w:ascii="Aptos" w:eastAsia="Times New Roman" w:hAnsi="Aptos" w:cs="Times New Roman"/>
        </w:rPr>
        <w:t xml:space="preserve">, 420 Mass. </w:t>
      </w:r>
      <w:r w:rsidR="00FD4558">
        <w:rPr>
          <w:rFonts w:ascii="Aptos" w:eastAsia="Times New Roman" w:hAnsi="Aptos" w:cs="Times New Roman"/>
        </w:rPr>
        <w:t xml:space="preserve">at </w:t>
      </w:r>
      <w:r w:rsidR="00FD4558" w:rsidRPr="007126D5">
        <w:rPr>
          <w:rFonts w:ascii="Aptos" w:eastAsia="Times New Roman" w:hAnsi="Aptos" w:cs="Times New Roman"/>
        </w:rPr>
        <w:t>407.</w:t>
      </w:r>
    </w:p>
  </w:footnote>
  <w:footnote w:id="24">
    <w:p w14:paraId="4CFBFA97" w14:textId="1BFBF05C" w:rsidR="006E2F4E" w:rsidRPr="00564696" w:rsidRDefault="006E2F4E">
      <w:pPr>
        <w:pStyle w:val="FootnoteText"/>
      </w:pPr>
      <w:r>
        <w:rPr>
          <w:rStyle w:val="FootnoteReference"/>
        </w:rPr>
        <w:footnoteRef/>
      </w:r>
      <w:r>
        <w:t xml:space="preserve">   Compare </w:t>
      </w:r>
      <w:r w:rsidR="00045244">
        <w:rPr>
          <w:i/>
          <w:iCs/>
        </w:rPr>
        <w:t xml:space="preserve">In Re: Harvard Pub. Schs. </w:t>
      </w:r>
      <w:r w:rsidR="00406FB4">
        <w:t xml:space="preserve">BSEA No. 210881, 27 MSER </w:t>
      </w:r>
      <w:r w:rsidR="00202235">
        <w:t>386 (Ruling, Kantor Nir 2021)</w:t>
      </w:r>
      <w:r w:rsidR="00E17871">
        <w:t xml:space="preserve"> (concluding </w:t>
      </w:r>
      <w:r w:rsidR="00A62E8A">
        <w:t xml:space="preserve">the </w:t>
      </w:r>
      <w:r w:rsidR="00E17871">
        <w:t xml:space="preserve">terms of a settlement agreement </w:t>
      </w:r>
      <w:r w:rsidR="00284E06">
        <w:t xml:space="preserve">releasing </w:t>
      </w:r>
      <w:r w:rsidR="006D752B">
        <w:t xml:space="preserve">claims prior to its execution </w:t>
      </w:r>
      <w:r w:rsidR="00284E06">
        <w:t xml:space="preserve">but resulting </w:t>
      </w:r>
      <w:r w:rsidR="006D752B">
        <w:t xml:space="preserve">in a </w:t>
      </w:r>
      <w:r w:rsidR="00A62E8A">
        <w:t>s</w:t>
      </w:r>
      <w:r w:rsidR="006D752B">
        <w:t xml:space="preserve">tudent meeting graduation requirements, when there was no dispute as to the student’s receipt of a FAPE during </w:t>
      </w:r>
      <w:r w:rsidR="007578D1">
        <w:t>the agreed upon</w:t>
      </w:r>
      <w:r w:rsidR="000D5EF1">
        <w:t xml:space="preserve"> transitional year</w:t>
      </w:r>
      <w:r w:rsidR="00EE3F3E">
        <w:t>,</w:t>
      </w:r>
      <w:r w:rsidR="000D5EF1">
        <w:t xml:space="preserve"> precluded further educational obligations by Harvard for the student); </w:t>
      </w:r>
      <w:r>
        <w:rPr>
          <w:i/>
          <w:iCs/>
        </w:rPr>
        <w:t xml:space="preserve">Milford </w:t>
      </w:r>
      <w:r w:rsidR="00BE72DE">
        <w:t>21 MSER 219</w:t>
      </w:r>
      <w:r w:rsidR="00BE72DE" w:rsidRPr="00564696">
        <w:t xml:space="preserve"> </w:t>
      </w:r>
      <w:r w:rsidR="00564696" w:rsidRPr="00564696">
        <w:t>(B</w:t>
      </w:r>
      <w:r w:rsidR="00564696">
        <w:t>erman, 2015) (</w:t>
      </w:r>
      <w:r w:rsidR="00FF602A">
        <w:t xml:space="preserve">dismissing a claim due to </w:t>
      </w:r>
      <w:r w:rsidR="0033652E">
        <w:t xml:space="preserve">a </w:t>
      </w:r>
      <w:r w:rsidR="00FF602A">
        <w:t>settlement agreement in a matter where the parent</w:t>
      </w:r>
      <w:r w:rsidR="0033652E">
        <w:t>s</w:t>
      </w:r>
      <w:r w:rsidR="00FF602A">
        <w:t xml:space="preserve"> </w:t>
      </w:r>
      <w:r w:rsidR="002334EE">
        <w:t>“framed their claims as constituting a breach of contract under the doctrines of impossibility and implied covenant of good faith and fair dealing</w:t>
      </w:r>
      <w:r w:rsidR="006A49A6">
        <w:t>” rather than alleging the student’s “IEP is inappropriate or has not been implemented, or that Milford has denied [s]</w:t>
      </w:r>
      <w:proofErr w:type="spellStart"/>
      <w:r w:rsidR="006A49A6">
        <w:t>tudent</w:t>
      </w:r>
      <w:proofErr w:type="spellEnd"/>
      <w:r w:rsidR="006A49A6">
        <w:t xml:space="preserve"> a </w:t>
      </w:r>
      <w:r w:rsidR="0012117F">
        <w:t>FAPE”)</w:t>
      </w:r>
      <w:r w:rsidR="00CF2F8F">
        <w:t>.</w:t>
      </w:r>
    </w:p>
  </w:footnote>
  <w:footnote w:id="25">
    <w:p w14:paraId="4399344F" w14:textId="50C1D90B" w:rsidR="00C302DA" w:rsidRPr="00C302DA" w:rsidRDefault="00C302DA">
      <w:pPr>
        <w:pStyle w:val="FootnoteText"/>
      </w:pPr>
      <w:r>
        <w:rPr>
          <w:rStyle w:val="FootnoteReference"/>
        </w:rPr>
        <w:footnoteRef/>
      </w:r>
      <w:r>
        <w:t xml:space="preserve">   </w:t>
      </w:r>
      <w:r>
        <w:rPr>
          <w:i/>
          <w:iCs/>
        </w:rPr>
        <w:t>S. Kingston</w:t>
      </w:r>
      <w:r>
        <w:t>, 773 F.3d at 354.</w:t>
      </w:r>
    </w:p>
  </w:footnote>
  <w:footnote w:id="26">
    <w:p w14:paraId="5465BF17" w14:textId="38287B40" w:rsidR="00C177AB" w:rsidRPr="00E94FFB" w:rsidRDefault="00C177AB">
      <w:pPr>
        <w:pStyle w:val="FootnoteText"/>
      </w:pPr>
      <w:r>
        <w:rPr>
          <w:rStyle w:val="FootnoteReference"/>
        </w:rPr>
        <w:footnoteRef/>
      </w:r>
      <w:r>
        <w:t xml:space="preserve">   Compare </w:t>
      </w:r>
      <w:r>
        <w:rPr>
          <w:i/>
          <w:iCs/>
        </w:rPr>
        <w:t xml:space="preserve">In Re:  </w:t>
      </w:r>
      <w:r w:rsidR="00CD5DDC">
        <w:rPr>
          <w:i/>
          <w:iCs/>
        </w:rPr>
        <w:t>Andover Pub</w:t>
      </w:r>
      <w:r w:rsidR="006E2F4E">
        <w:rPr>
          <w:i/>
          <w:iCs/>
        </w:rPr>
        <w:t>.</w:t>
      </w:r>
      <w:r w:rsidR="00CD5DDC">
        <w:rPr>
          <w:i/>
          <w:iCs/>
        </w:rPr>
        <w:t xml:space="preserve"> Schs</w:t>
      </w:r>
      <w:r w:rsidR="006E2F4E">
        <w:rPr>
          <w:i/>
          <w:iCs/>
        </w:rPr>
        <w:t>.</w:t>
      </w:r>
      <w:r w:rsidR="00E94FFB">
        <w:t xml:space="preserve">, </w:t>
      </w:r>
      <w:r w:rsidR="00E94FFB" w:rsidRPr="002801EC">
        <w:t xml:space="preserve">BSEA No. </w:t>
      </w:r>
      <w:r w:rsidR="002801EC" w:rsidRPr="002801EC">
        <w:t>200773</w:t>
      </w:r>
      <w:r w:rsidR="00E94FFB">
        <w:t xml:space="preserve">, 29 MSER 137 (Ruling, </w:t>
      </w:r>
      <w:r w:rsidR="002801EC">
        <w:t>Berman</w:t>
      </w:r>
      <w:r w:rsidR="00BB39CB">
        <w:t xml:space="preserve">, 2020) (concluding that </w:t>
      </w:r>
      <w:r w:rsidR="00353532">
        <w:t xml:space="preserve">the dispute as to the interpretation of </w:t>
      </w:r>
      <w:r w:rsidR="00BB39CB">
        <w:t>a settlement agreement whose terms prohibited the parents from seeking p</w:t>
      </w:r>
      <w:r w:rsidR="00397A36">
        <w:t xml:space="preserve">ublic funding for private placements in subsequent school years </w:t>
      </w:r>
      <w:r w:rsidR="002D192F">
        <w:t>“except in the event of extraordinary circumstances which substantially and materially change the [s]</w:t>
      </w:r>
      <w:proofErr w:type="spellStart"/>
      <w:r w:rsidR="002D192F">
        <w:t>tudent’s</w:t>
      </w:r>
      <w:proofErr w:type="spellEnd"/>
      <w:r w:rsidR="002D192F">
        <w:t xml:space="preserve"> disabling condition or educational needs”</w:t>
      </w:r>
      <w:r w:rsidR="00CA1786">
        <w:t xml:space="preserve"> must be </w:t>
      </w:r>
      <w:r w:rsidR="00353532">
        <w:t xml:space="preserve">brought to the courts to assess the </w:t>
      </w:r>
      <w:r w:rsidR="002801EC">
        <w:t>“circumstances surrounding the negotiations” of that agreement</w:t>
      </w:r>
      <w:r w:rsidR="00D3545F">
        <w:t xml:space="preserve"> </w:t>
      </w:r>
      <w:r w:rsidR="001F791C">
        <w:t xml:space="preserve">in a dispute involving </w:t>
      </w:r>
      <w:r w:rsidR="00D3545F">
        <w:t xml:space="preserve">Parent’s request for public funding of a placement </w:t>
      </w:r>
      <w:r w:rsidR="0009030F">
        <w:t>after the settlement agreement term had expired</w:t>
      </w:r>
      <w:r w:rsidR="00340082">
        <w:t xml:space="preserve"> and where no change in circumstances was at issue</w:t>
      </w:r>
      <w:r w:rsidR="00AC76F5">
        <w:t>)</w:t>
      </w:r>
      <w:r w:rsidR="00A80057">
        <w:t xml:space="preserve">; </w:t>
      </w:r>
      <w:r w:rsidR="004C2CA4">
        <w:rPr>
          <w:i/>
          <w:iCs/>
        </w:rPr>
        <w:t>Lexington</w:t>
      </w:r>
      <w:r w:rsidR="004C2CA4">
        <w:t>, 22 MSER 204 (Figueroa, 2016)</w:t>
      </w:r>
      <w:r w:rsidR="00A80057">
        <w:t xml:space="preserve"> (</w:t>
      </w:r>
      <w:r w:rsidR="007C0D25">
        <w:t xml:space="preserve">deferring dismissal to provide Parents a chance to </w:t>
      </w:r>
      <w:r w:rsidR="00C5606B">
        <w:t xml:space="preserve">further develop the record by </w:t>
      </w:r>
      <w:r w:rsidR="007C0D25">
        <w:t>seek</w:t>
      </w:r>
      <w:r w:rsidR="00C5606B">
        <w:t>ing</w:t>
      </w:r>
      <w:r w:rsidR="007C0D25">
        <w:t xml:space="preserve"> a hearing on the merits as to their understanding of a settlement agreement in a dispute </w:t>
      </w:r>
      <w:r w:rsidR="00041136">
        <w:t xml:space="preserve">involving a request for reimbursement for </w:t>
      </w:r>
      <w:r w:rsidR="006A0C82">
        <w:t xml:space="preserve">subsequent </w:t>
      </w:r>
      <w:r w:rsidR="005A61E4">
        <w:t xml:space="preserve">placements </w:t>
      </w:r>
      <w:r w:rsidR="00696903">
        <w:t xml:space="preserve">based upon a change in circumstances </w:t>
      </w:r>
      <w:r w:rsidR="005A61E4">
        <w:t xml:space="preserve">after expiration of a </w:t>
      </w:r>
      <w:r w:rsidR="006A0C82">
        <w:t xml:space="preserve">settlement </w:t>
      </w:r>
      <w:r w:rsidR="007C0D25">
        <w:t>agreement</w:t>
      </w:r>
      <w:r w:rsidR="006A0C82">
        <w:t xml:space="preserve"> </w:t>
      </w:r>
      <w:r w:rsidR="000664C4">
        <w:t xml:space="preserve">containing </w:t>
      </w:r>
      <w:r w:rsidR="005440E0">
        <w:t>broad</w:t>
      </w:r>
      <w:r w:rsidR="00D30474">
        <w:t xml:space="preserve"> waiver language covering </w:t>
      </w:r>
      <w:r w:rsidR="007C0D25">
        <w:t xml:space="preserve">future </w:t>
      </w:r>
      <w:r w:rsidR="00CB3243">
        <w:t xml:space="preserve">placement </w:t>
      </w:r>
      <w:r w:rsidR="00E741D9">
        <w:t>claims</w:t>
      </w:r>
      <w:r w:rsidR="00D20D93">
        <w:t xml:space="preserve"> </w:t>
      </w:r>
      <w:r w:rsidR="000B67D8">
        <w:t>regardless of any change in circumstances</w:t>
      </w:r>
      <w:r w:rsidR="00CB3243">
        <w:t>)</w:t>
      </w:r>
      <w:r w:rsidR="002801EC">
        <w:t>.</w:t>
      </w:r>
    </w:p>
  </w:footnote>
  <w:footnote w:id="27">
    <w:p w14:paraId="5B73D3A3" w14:textId="6CC5603F" w:rsidR="00A4265F" w:rsidRPr="00A4265F" w:rsidRDefault="00A4265F">
      <w:pPr>
        <w:pStyle w:val="FootnoteText"/>
      </w:pPr>
      <w:r>
        <w:rPr>
          <w:rStyle w:val="FootnoteReference"/>
        </w:rPr>
        <w:footnoteRef/>
      </w:r>
      <w:r>
        <w:t xml:space="preserve">   </w:t>
      </w:r>
      <w:r w:rsidR="00C302DA">
        <w:rPr>
          <w:i/>
          <w:iCs/>
        </w:rPr>
        <w:t xml:space="preserve">Id.  </w:t>
      </w:r>
    </w:p>
  </w:footnote>
  <w:footnote w:id="28">
    <w:p w14:paraId="5AC286D5" w14:textId="6F7289E7" w:rsidR="00BD3D93" w:rsidRDefault="00BD3D93" w:rsidP="00BD3D93">
      <w:pPr>
        <w:pStyle w:val="FootnoteText"/>
      </w:pPr>
      <w:r>
        <w:rPr>
          <w:rStyle w:val="FootnoteReference"/>
        </w:rPr>
        <w:footnoteRef/>
      </w:r>
      <w:r>
        <w:t xml:space="preserve">   Numerous questions exist at this stage, t</w:t>
      </w:r>
      <w:r w:rsidR="00D41581">
        <w:t xml:space="preserve">hat can only be answered at a hearing </w:t>
      </w:r>
      <w:r>
        <w:t xml:space="preserve">including </w:t>
      </w:r>
      <w:r w:rsidR="00E00F3F">
        <w:t xml:space="preserve">to what extent </w:t>
      </w:r>
      <w:r>
        <w:t xml:space="preserve">Student’s behavioral dysregulation in school and at home and the </w:t>
      </w:r>
      <w:r w:rsidR="00513412">
        <w:t xml:space="preserve">residential </w:t>
      </w:r>
      <w:r>
        <w:t xml:space="preserve">placement recommendations </w:t>
      </w:r>
      <w:r w:rsidR="00E00F3F">
        <w:t xml:space="preserve">differ from what </w:t>
      </w:r>
      <w:r>
        <w:t xml:space="preserve">existed at the time the </w:t>
      </w:r>
      <w:r>
        <w:rPr>
          <w:i/>
          <w:iCs/>
        </w:rPr>
        <w:t xml:space="preserve">Settlement Agreement </w:t>
      </w:r>
      <w:r>
        <w:t xml:space="preserve">was signed.  </w:t>
      </w:r>
      <w:r w:rsidRPr="006F5D2B">
        <w:rPr>
          <w:i/>
          <w:iCs/>
        </w:rPr>
        <w:t>Mr. Catling v. York Sch. Dep't</w:t>
      </w:r>
      <w:r w:rsidRPr="006F5D2B">
        <w:t>, 2019 WL 3936386, at</w:t>
      </w:r>
      <w:r>
        <w:t xml:space="preserve"> Ftnt. 3</w:t>
      </w:r>
      <w:r w:rsidRPr="006F5D2B">
        <w:t xml:space="preserve"> (D. Me. Aug. 20, 2019), </w:t>
      </w:r>
      <w:r w:rsidRPr="006F5D2B">
        <w:rPr>
          <w:i/>
          <w:iCs/>
        </w:rPr>
        <w:t>report and recommendation adopted</w:t>
      </w:r>
      <w:r w:rsidRPr="006F5D2B">
        <w:rPr>
          <w:u w:val="single"/>
        </w:rPr>
        <w:t>,</w:t>
      </w:r>
      <w:r w:rsidRPr="006F5D2B">
        <w:t xml:space="preserve"> 2019 WL 4455986 (D. Me. Sept. 17, 2019)</w:t>
      </w:r>
      <w:r>
        <w:t xml:space="preserve"> (declining to dismiss the matter at a motion to dismiss stage </w:t>
      </w:r>
      <w:r w:rsidR="002A3855">
        <w:t xml:space="preserve">but </w:t>
      </w:r>
      <w:r>
        <w:t xml:space="preserve">acknowledging that after “development of the record” Plaintiffs may not be able to meet their burden to show that their claims “in fact involve changed circumstances to overcome the bar presented by the prior settlement agreement”); see </w:t>
      </w:r>
      <w:r w:rsidRPr="00E87F59">
        <w:rPr>
          <w:i/>
          <w:iCs/>
        </w:rPr>
        <w:t>J.G. v. Los Angeles Unified Sch. Dist.</w:t>
      </w:r>
      <w:r w:rsidRPr="00E87F59">
        <w:t xml:space="preserve">, 2023 WL 8125847, at </w:t>
      </w:r>
      <w:r>
        <w:t>Ftnt 3</w:t>
      </w:r>
      <w:r w:rsidRPr="00E87F59">
        <w:t xml:space="preserve"> (C.D. Cal. July 10, 2023)</w:t>
      </w:r>
      <w:r>
        <w:t xml:space="preserve"> (finding Plaintiff did not provide evidence of changed circumstances); </w:t>
      </w:r>
      <w:r w:rsidR="007C38E3" w:rsidRPr="00B25306">
        <w:rPr>
          <w:i/>
          <w:iCs/>
        </w:rPr>
        <w:t>Mr. Catling v. York Sch. Dep't</w:t>
      </w:r>
      <w:r w:rsidR="007C38E3" w:rsidRPr="00B25306">
        <w:t xml:space="preserve">, 2020 WL 6309743, at *6 (D. Me. Oct. 28, 2020), </w:t>
      </w:r>
      <w:r w:rsidR="007C38E3" w:rsidRPr="00B25306">
        <w:rPr>
          <w:i/>
          <w:iCs/>
        </w:rPr>
        <w:t>report and recommendation adopted</w:t>
      </w:r>
      <w:r w:rsidR="007C38E3" w:rsidRPr="00B25306">
        <w:rPr>
          <w:u w:val="single"/>
        </w:rPr>
        <w:t>,</w:t>
      </w:r>
      <w:r w:rsidR="007C38E3" w:rsidRPr="00B25306">
        <w:t xml:space="preserve"> 2020 WL 7233351 (D. Me. Dec. 8, 2020)</w:t>
      </w:r>
      <w:r w:rsidR="007C38E3">
        <w:t xml:space="preserve"> </w:t>
      </w:r>
      <w:r>
        <w:t>(concluding after “a</w:t>
      </w:r>
      <w:r w:rsidRPr="00B25306">
        <w:t xml:space="preserve"> review of the record and the parties' arguments</w:t>
      </w:r>
      <w:r>
        <w:t>” that the alleged “new” information “</w:t>
      </w:r>
      <w:r w:rsidR="00C1158E">
        <w:t>[did]</w:t>
      </w:r>
      <w:r w:rsidRPr="00B25306">
        <w:t xml:space="preserve"> not constitute changed conditions</w:t>
      </w:r>
      <w:r>
        <w:t xml:space="preserve">” until the Team determined additional services were warranted based upon a </w:t>
      </w:r>
      <w:r w:rsidR="00C1158E">
        <w:t xml:space="preserve">post-settlement agreement review of a </w:t>
      </w:r>
      <w:r>
        <w:t>speech and language evaluation</w:t>
      </w:r>
      <w:r w:rsidR="00C1158E">
        <w:t>)</w:t>
      </w:r>
      <w:r>
        <w:t xml:space="preserve">.  </w:t>
      </w:r>
    </w:p>
  </w:footnote>
  <w:footnote w:id="29">
    <w:p w14:paraId="1DBF7D71" w14:textId="08CC2358" w:rsidR="00E52172" w:rsidRPr="00B239AE" w:rsidRDefault="00E52172" w:rsidP="00E52172">
      <w:pPr>
        <w:pStyle w:val="FootnoteText"/>
      </w:pPr>
      <w:r>
        <w:rPr>
          <w:rStyle w:val="FootnoteReference"/>
        </w:rPr>
        <w:footnoteRef/>
      </w:r>
      <w:r>
        <w:t xml:space="preserve">   </w:t>
      </w:r>
      <w:r>
        <w:rPr>
          <w:i/>
          <w:iCs/>
        </w:rPr>
        <w:t>S. Kingston</w:t>
      </w:r>
      <w:r>
        <w:t xml:space="preserve">, 773 F.3d at 355 </w:t>
      </w:r>
      <w:r w:rsidR="002A2CA8">
        <w:t>(</w:t>
      </w:r>
      <w:r w:rsidR="00420156">
        <w:t>examining on “</w:t>
      </w:r>
      <w:r>
        <w:t xml:space="preserve">any changes in [the student]’s behavioral presentations that occurred after the settlement”); see </w:t>
      </w:r>
      <w:r w:rsidR="007C38E3" w:rsidRPr="00B25306">
        <w:rPr>
          <w:i/>
          <w:iCs/>
        </w:rPr>
        <w:t xml:space="preserve">Mr. Catling </w:t>
      </w:r>
      <w:r w:rsidR="007C38E3" w:rsidRPr="00B25306">
        <w:t xml:space="preserve">2020 WL at *6 </w:t>
      </w:r>
      <w:r>
        <w:t xml:space="preserve">(considering evaluation recommendations that the district did not have at the time of the settlement agreement’s execution).  I also agree with Parent’s that since the situation in the instant matter involves significant current health and safety concerns to Student, Parent and others, </w:t>
      </w:r>
      <w:r w:rsidRPr="00946890">
        <w:t xml:space="preserve">that have yet to be alleviated, it is substantively different from the circumstances in the cases relied upon by Ashland.  See </w:t>
      </w:r>
      <w:r w:rsidR="00C230B3" w:rsidRPr="00946890">
        <w:rPr>
          <w:i/>
          <w:iCs/>
        </w:rPr>
        <w:t xml:space="preserve">In Re: Norton Pub. Schs. </w:t>
      </w:r>
      <w:r w:rsidR="0001163E">
        <w:rPr>
          <w:i/>
          <w:iCs/>
        </w:rPr>
        <w:t>a</w:t>
      </w:r>
      <w:r w:rsidR="00C230B3" w:rsidRPr="00946890">
        <w:rPr>
          <w:i/>
          <w:iCs/>
        </w:rPr>
        <w:t>nd Rafael</w:t>
      </w:r>
      <w:r w:rsidR="00C230B3" w:rsidRPr="00946890">
        <w:t>, BSEA No.</w:t>
      </w:r>
      <w:r w:rsidR="00C230B3" w:rsidRPr="00946890">
        <w:rPr>
          <w:i/>
          <w:iCs/>
        </w:rPr>
        <w:t xml:space="preserve"> </w:t>
      </w:r>
      <w:r w:rsidR="00C230B3" w:rsidRPr="00946890">
        <w:t xml:space="preserve">1602348, 22 MSER 169 (Ruling, Byrne 2016) (challenging the failure to provide ESY services at home, and seeking relief under </w:t>
      </w:r>
      <w:r w:rsidR="00406FCB">
        <w:t xml:space="preserve">laws besides the </w:t>
      </w:r>
      <w:r w:rsidR="00C230B3" w:rsidRPr="00946890">
        <w:t xml:space="preserve">IDEA, or Section 504); </w:t>
      </w:r>
      <w:r w:rsidR="00023C5A">
        <w:rPr>
          <w:i/>
          <w:iCs/>
        </w:rPr>
        <w:t xml:space="preserve">In Re: </w:t>
      </w:r>
      <w:r w:rsidR="00C50C5D" w:rsidRPr="00946890">
        <w:rPr>
          <w:i/>
          <w:iCs/>
        </w:rPr>
        <w:t>Milford</w:t>
      </w:r>
      <w:r w:rsidR="00C50C5D" w:rsidRPr="00946890">
        <w:t xml:space="preserve">, 21 MSER 219 (Berman, 2015) (seeking unilateral reimbursement for a private placement in </w:t>
      </w:r>
      <w:r w:rsidR="00406FCB">
        <w:t>a</w:t>
      </w:r>
      <w:r w:rsidR="00C50C5D" w:rsidRPr="00946890">
        <w:t xml:space="preserve"> non-FAPE dispute); </w:t>
      </w:r>
      <w:r w:rsidR="00C50C5D" w:rsidRPr="00946890">
        <w:rPr>
          <w:i/>
          <w:iCs/>
        </w:rPr>
        <w:t xml:space="preserve">In Re: Pentucket </w:t>
      </w:r>
      <w:proofErr w:type="spellStart"/>
      <w:r w:rsidR="00C50C5D" w:rsidRPr="00946890">
        <w:rPr>
          <w:i/>
          <w:iCs/>
        </w:rPr>
        <w:t>Regl</w:t>
      </w:r>
      <w:proofErr w:type="spellEnd"/>
      <w:r w:rsidR="00C50C5D" w:rsidRPr="00946890">
        <w:rPr>
          <w:i/>
          <w:iCs/>
        </w:rPr>
        <w:t>. High Sch.</w:t>
      </w:r>
      <w:r w:rsidR="00C50C5D" w:rsidRPr="00946890">
        <w:t xml:space="preserve">, BSEA No. 12-8636, 19 MSER 84 (Ruling, Figueroa, 2013) (involving claims </w:t>
      </w:r>
      <w:r w:rsidR="008F3504">
        <w:t xml:space="preserve">for </w:t>
      </w:r>
      <w:r w:rsidR="00C50C5D" w:rsidRPr="00946890">
        <w:t xml:space="preserve">prior year services </w:t>
      </w:r>
      <w:r w:rsidR="008F3504">
        <w:t xml:space="preserve">when </w:t>
      </w:r>
      <w:r w:rsidR="00C50C5D" w:rsidRPr="00946890">
        <w:t xml:space="preserve">current placement was not </w:t>
      </w:r>
      <w:r w:rsidR="008F3504">
        <w:t xml:space="preserve">in </w:t>
      </w:r>
      <w:r w:rsidR="00C50C5D" w:rsidRPr="00946890">
        <w:t xml:space="preserve">dispute); </w:t>
      </w:r>
      <w:r w:rsidR="004D0340" w:rsidRPr="00946890">
        <w:rPr>
          <w:i/>
          <w:iCs/>
        </w:rPr>
        <w:t xml:space="preserve">In Re: </w:t>
      </w:r>
      <w:r w:rsidRPr="00946890">
        <w:rPr>
          <w:i/>
          <w:iCs/>
        </w:rPr>
        <w:t>Lincoln-Sudbur</w:t>
      </w:r>
      <w:r w:rsidR="004D0340" w:rsidRPr="00946890">
        <w:rPr>
          <w:i/>
          <w:iCs/>
        </w:rPr>
        <w:t xml:space="preserve">y Pub. Schs. </w:t>
      </w:r>
      <w:r w:rsidR="004D0340" w:rsidRPr="00946890">
        <w:t xml:space="preserve">BSEA No. </w:t>
      </w:r>
      <w:r w:rsidRPr="00946890">
        <w:t>11-2546</w:t>
      </w:r>
      <w:r w:rsidR="004D0340" w:rsidRPr="00946890">
        <w:t>, 16 MSER 424 (Ruling, Figueroa, 2010)</w:t>
      </w:r>
      <w:r w:rsidRPr="00946890">
        <w:t xml:space="preserve"> (seeking compensatory services and reimbursement for tutoring costs </w:t>
      </w:r>
      <w:r w:rsidR="008F3504">
        <w:t xml:space="preserve">for </w:t>
      </w:r>
      <w:r w:rsidRPr="00946890">
        <w:t xml:space="preserve">prior years); </w:t>
      </w:r>
      <w:r w:rsidR="00D50939" w:rsidRPr="00946890">
        <w:rPr>
          <w:i/>
          <w:iCs/>
        </w:rPr>
        <w:t>In Re:</w:t>
      </w:r>
      <w:r w:rsidR="00023C5A">
        <w:rPr>
          <w:i/>
          <w:iCs/>
        </w:rPr>
        <w:t xml:space="preserve"> </w:t>
      </w:r>
      <w:proofErr w:type="spellStart"/>
      <w:r w:rsidRPr="00946890">
        <w:rPr>
          <w:i/>
          <w:iCs/>
        </w:rPr>
        <w:t>Masconomet</w:t>
      </w:r>
      <w:proofErr w:type="spellEnd"/>
      <w:r w:rsidR="00D50939" w:rsidRPr="00946890">
        <w:rPr>
          <w:i/>
          <w:iCs/>
        </w:rPr>
        <w:t xml:space="preserve"> </w:t>
      </w:r>
      <w:proofErr w:type="spellStart"/>
      <w:r w:rsidR="00D50939" w:rsidRPr="00946890">
        <w:rPr>
          <w:i/>
          <w:iCs/>
        </w:rPr>
        <w:t>Regl</w:t>
      </w:r>
      <w:proofErr w:type="spellEnd"/>
      <w:r w:rsidR="00D50939" w:rsidRPr="00946890">
        <w:rPr>
          <w:i/>
          <w:iCs/>
        </w:rPr>
        <w:t>. Sch. Dist. and Jake</w:t>
      </w:r>
      <w:r w:rsidR="00D50939" w:rsidRPr="00946890">
        <w:t>, BSEA No.</w:t>
      </w:r>
      <w:r w:rsidRPr="00946890">
        <w:rPr>
          <w:i/>
          <w:iCs/>
        </w:rPr>
        <w:t xml:space="preserve"> </w:t>
      </w:r>
      <w:r w:rsidRPr="00946890">
        <w:t>11-2194</w:t>
      </w:r>
      <w:r w:rsidR="00D50939" w:rsidRPr="00946890">
        <w:t>, 16 MSER 408 (Ruling, Oliver, 2010)</w:t>
      </w:r>
      <w:r w:rsidRPr="00946890">
        <w:t xml:space="preserve"> (involving a dispute over the appropriateness of a proposed IEP) </w:t>
      </w:r>
      <w:r w:rsidR="00BE0319" w:rsidRPr="00946890">
        <w:rPr>
          <w:i/>
          <w:iCs/>
        </w:rPr>
        <w:t xml:space="preserve">In Re: </w:t>
      </w:r>
      <w:r w:rsidRPr="00946890">
        <w:rPr>
          <w:i/>
          <w:iCs/>
        </w:rPr>
        <w:t>Longmeadow</w:t>
      </w:r>
      <w:r w:rsidR="00BE0319" w:rsidRPr="00946890">
        <w:rPr>
          <w:i/>
          <w:iCs/>
        </w:rPr>
        <w:t xml:space="preserve"> Sch. Dist.</w:t>
      </w:r>
      <w:r w:rsidR="00BE0319" w:rsidRPr="00946890">
        <w:t>, BSEA No.</w:t>
      </w:r>
      <w:r w:rsidRPr="00946890">
        <w:rPr>
          <w:i/>
          <w:iCs/>
        </w:rPr>
        <w:t xml:space="preserve"> </w:t>
      </w:r>
      <w:r w:rsidRPr="00946890">
        <w:t>07-2866</w:t>
      </w:r>
      <w:r w:rsidR="00BE0319" w:rsidRPr="00946890">
        <w:t>, 14 MSER 249</w:t>
      </w:r>
      <w:r w:rsidR="007B4677" w:rsidRPr="00946890">
        <w:t xml:space="preserve"> (Ruling, Crane, 2008)</w:t>
      </w:r>
      <w:r w:rsidRPr="00946890">
        <w:t xml:space="preserve"> (</w:t>
      </w:r>
      <w:r w:rsidR="00270C24">
        <w:t xml:space="preserve">about </w:t>
      </w:r>
      <w:r w:rsidRPr="00946890">
        <w:t xml:space="preserve">the binding effect of a handwritten agreement at a Settlement Conference involving </w:t>
      </w:r>
      <w:r w:rsidR="002F6203" w:rsidRPr="00946890">
        <w:t xml:space="preserve">requests for </w:t>
      </w:r>
      <w:r w:rsidRPr="00946890">
        <w:t>compensatory speech and language services and reimbursement)</w:t>
      </w:r>
      <w:r w:rsidR="0035277D" w:rsidRPr="00946890">
        <w:t>.</w:t>
      </w:r>
    </w:p>
  </w:footnote>
  <w:footnote w:id="30">
    <w:p w14:paraId="6551CE0D" w14:textId="698D7118" w:rsidR="0069593D" w:rsidRPr="00713AF0" w:rsidRDefault="0069593D">
      <w:pPr>
        <w:pStyle w:val="FootnoteText"/>
      </w:pPr>
      <w:r>
        <w:rPr>
          <w:rStyle w:val="FootnoteReference"/>
        </w:rPr>
        <w:footnoteRef/>
      </w:r>
      <w:r>
        <w:t xml:space="preserve">  </w:t>
      </w:r>
      <w:r w:rsidR="009C17A9">
        <w:rPr>
          <w:i/>
          <w:iCs/>
        </w:rPr>
        <w:t>In Re:  Boston Pub</w:t>
      </w:r>
      <w:r w:rsidR="003E372A">
        <w:rPr>
          <w:i/>
          <w:iCs/>
        </w:rPr>
        <w:t>.</w:t>
      </w:r>
      <w:r w:rsidR="009C17A9">
        <w:rPr>
          <w:i/>
          <w:iCs/>
        </w:rPr>
        <w:t xml:space="preserve"> Sc</w:t>
      </w:r>
      <w:r w:rsidR="003E372A">
        <w:rPr>
          <w:i/>
          <w:iCs/>
        </w:rPr>
        <w:t>h</w:t>
      </w:r>
      <w:r w:rsidR="009C17A9">
        <w:rPr>
          <w:i/>
          <w:iCs/>
        </w:rPr>
        <w:t>s</w:t>
      </w:r>
      <w:r w:rsidR="003E372A">
        <w:rPr>
          <w:i/>
          <w:iCs/>
        </w:rPr>
        <w:t>.</w:t>
      </w:r>
      <w:r w:rsidR="009C17A9">
        <w:t xml:space="preserve">, </w:t>
      </w:r>
      <w:r w:rsidR="009C17A9" w:rsidRPr="002801EC">
        <w:t>BSEA No. 2</w:t>
      </w:r>
      <w:r w:rsidR="009C17A9">
        <w:t xml:space="preserve">303331, </w:t>
      </w:r>
      <w:r w:rsidR="003926D4" w:rsidRPr="003926D4">
        <w:t>28</w:t>
      </w:r>
      <w:r w:rsidR="009C17A9" w:rsidRPr="003926D4">
        <w:t xml:space="preserve"> MSE</w:t>
      </w:r>
      <w:r w:rsidR="003926D4" w:rsidRPr="003926D4">
        <w:t>R 309</w:t>
      </w:r>
      <w:r w:rsidR="009C17A9">
        <w:t xml:space="preserve"> (Ruling, Kantor Nir, 2022); </w:t>
      </w:r>
      <w:r w:rsidR="00F933A8">
        <w:rPr>
          <w:i/>
          <w:iCs/>
        </w:rPr>
        <w:t>In Re: Yakov v. Lynn Pub. Schs.</w:t>
      </w:r>
      <w:r w:rsidR="00F933A8">
        <w:t xml:space="preserve">, </w:t>
      </w:r>
      <w:r w:rsidR="00F933A8" w:rsidRPr="002801EC">
        <w:t>BSEA No. 2</w:t>
      </w:r>
      <w:r w:rsidR="00F933A8">
        <w:t>205</w:t>
      </w:r>
      <w:r w:rsidR="00C2197A">
        <w:t>8</w:t>
      </w:r>
      <w:r w:rsidR="00F933A8">
        <w:t xml:space="preserve">81, </w:t>
      </w:r>
      <w:r w:rsidR="00C2197A">
        <w:t>28 MSER 104</w:t>
      </w:r>
      <w:r w:rsidR="00F933A8">
        <w:t xml:space="preserve"> (Ruling, Reichbach, 2022)</w:t>
      </w:r>
      <w:r w:rsidR="00713AF0">
        <w:t xml:space="preserve">; </w:t>
      </w:r>
      <w:r w:rsidR="00713AF0">
        <w:rPr>
          <w:i/>
          <w:iCs/>
        </w:rPr>
        <w:t xml:space="preserve">In Re: North Middlesex </w:t>
      </w:r>
      <w:proofErr w:type="spellStart"/>
      <w:r w:rsidR="003E372A">
        <w:rPr>
          <w:i/>
          <w:iCs/>
        </w:rPr>
        <w:t>Regl</w:t>
      </w:r>
      <w:proofErr w:type="spellEnd"/>
      <w:r w:rsidR="003E372A">
        <w:rPr>
          <w:i/>
          <w:iCs/>
        </w:rPr>
        <w:t>. Sch. Dist.</w:t>
      </w:r>
      <w:r w:rsidR="00713AF0">
        <w:t xml:space="preserve">, </w:t>
      </w:r>
      <w:r w:rsidR="00713AF0" w:rsidRPr="002801EC">
        <w:t xml:space="preserve">BSEA No. </w:t>
      </w:r>
      <w:r w:rsidR="003E372A">
        <w:t>1612096</w:t>
      </w:r>
      <w:r w:rsidR="00713AF0">
        <w:t xml:space="preserve">, </w:t>
      </w:r>
      <w:r w:rsidR="00FA32A3">
        <w:t>22 MSER 156</w:t>
      </w:r>
      <w:r w:rsidR="00713AF0">
        <w:t xml:space="preserve"> (Ruling, </w:t>
      </w:r>
      <w:r w:rsidR="003E372A">
        <w:t>Figueroa</w:t>
      </w:r>
      <w:r w:rsidR="00713AF0">
        <w:t>, 20</w:t>
      </w:r>
      <w:r w:rsidR="003E372A">
        <w:t>16</w:t>
      </w:r>
      <w:r w:rsidR="00713AF0">
        <w:t>)</w:t>
      </w:r>
      <w:r w:rsidR="003117EE">
        <w:t>.</w:t>
      </w:r>
    </w:p>
  </w:footnote>
  <w:footnote w:id="31">
    <w:p w14:paraId="70A3F97E" w14:textId="77777777" w:rsidR="00CD05D2" w:rsidRPr="00410628" w:rsidRDefault="00CD05D2" w:rsidP="00CD05D2">
      <w:pPr>
        <w:pStyle w:val="FootnoteText"/>
      </w:pPr>
      <w:r>
        <w:rPr>
          <w:rStyle w:val="FootnoteReference"/>
        </w:rPr>
        <w:footnoteRef/>
      </w:r>
      <w:r>
        <w:t xml:space="preserve">   </w:t>
      </w:r>
      <w:r>
        <w:rPr>
          <w:i/>
          <w:iCs/>
        </w:rPr>
        <w:t>In Re:  Quabbin</w:t>
      </w:r>
      <w:r>
        <w:t xml:space="preserve">, BSEA No. 2211285, (reviewing the same argument by DMH as to its </w:t>
      </w:r>
      <w:r w:rsidRPr="00B419F6">
        <w:rPr>
          <w:rFonts w:ascii="Aptos" w:hAnsi="Aptos" w:cs="Times New Roman"/>
        </w:rPr>
        <w:t>CYF Residential Intervention Policy</w:t>
      </w:r>
      <w:r>
        <w:rPr>
          <w:rFonts w:ascii="Aptos" w:hAnsi="Aptos" w:cs="Times New Roman"/>
        </w:rPr>
        <w:t>, referred to as DMH Policy 19-02 in that matter).</w:t>
      </w:r>
    </w:p>
  </w:footnote>
  <w:footnote w:id="32">
    <w:p w14:paraId="78258D66" w14:textId="243DFC35" w:rsidR="004F4C87" w:rsidRPr="000467B1" w:rsidRDefault="004F4C87" w:rsidP="004F4C87">
      <w:pPr>
        <w:spacing w:after="0" w:line="240" w:lineRule="auto"/>
        <w:rPr>
          <w:rFonts w:ascii="Aptos" w:hAnsi="Aptos"/>
        </w:rPr>
      </w:pPr>
      <w:r w:rsidRPr="00301953">
        <w:rPr>
          <w:rStyle w:val="FootnoteReference"/>
          <w:rFonts w:ascii="Aptos" w:hAnsi="Aptos"/>
          <w:sz w:val="20"/>
          <w:szCs w:val="20"/>
        </w:rPr>
        <w:footnoteRef/>
      </w:r>
      <w:r w:rsidRPr="00301953">
        <w:rPr>
          <w:rFonts w:ascii="Aptos" w:hAnsi="Aptos"/>
          <w:sz w:val="20"/>
          <w:szCs w:val="20"/>
        </w:rPr>
        <w:t xml:space="preserve">    See </w:t>
      </w:r>
      <w:r w:rsidRPr="00301953">
        <w:rPr>
          <w:rFonts w:ascii="Aptos" w:hAnsi="Aptos"/>
          <w:i/>
          <w:iCs/>
          <w:sz w:val="20"/>
          <w:szCs w:val="20"/>
        </w:rPr>
        <w:t>Plymouth</w:t>
      </w:r>
      <w:r w:rsidR="00260CB6">
        <w:rPr>
          <w:rFonts w:ascii="Aptos" w:hAnsi="Aptos"/>
          <w:i/>
          <w:iCs/>
          <w:sz w:val="20"/>
          <w:szCs w:val="20"/>
        </w:rPr>
        <w:t xml:space="preserve"> </w:t>
      </w:r>
      <w:r w:rsidR="00260CB6" w:rsidRPr="00260CB6">
        <w:rPr>
          <w:rFonts w:ascii="Aptos" w:hAnsi="Aptos"/>
          <w:sz w:val="20"/>
          <w:szCs w:val="20"/>
        </w:rPr>
        <w:t>12 MSER 33 (Ruling Crane, 2006)</w:t>
      </w:r>
      <w:r w:rsidRPr="00301953">
        <w:rPr>
          <w:rFonts w:ascii="Aptos" w:hAnsi="Aptos"/>
          <w:sz w:val="20"/>
          <w:szCs w:val="20"/>
        </w:rPr>
        <w:t xml:space="preserve">, (reasoning </w:t>
      </w:r>
      <w:r>
        <w:rPr>
          <w:rFonts w:ascii="Aptos" w:hAnsi="Aptos"/>
          <w:sz w:val="20"/>
          <w:szCs w:val="20"/>
        </w:rPr>
        <w:t xml:space="preserve">that DMH’s joinder was warranted, </w:t>
      </w:r>
      <w:r w:rsidRPr="00301953">
        <w:rPr>
          <w:rFonts w:ascii="Aptos" w:hAnsi="Aptos"/>
          <w:sz w:val="20"/>
          <w:szCs w:val="20"/>
        </w:rPr>
        <w:t xml:space="preserve">in part </w:t>
      </w:r>
      <w:r>
        <w:rPr>
          <w:rFonts w:ascii="Aptos" w:hAnsi="Aptos"/>
          <w:sz w:val="20"/>
          <w:szCs w:val="20"/>
        </w:rPr>
        <w:t xml:space="preserve">due to </w:t>
      </w:r>
      <w:r w:rsidRPr="00301953">
        <w:rPr>
          <w:rFonts w:ascii="Aptos" w:hAnsi="Aptos"/>
          <w:sz w:val="20"/>
          <w:szCs w:val="20"/>
        </w:rPr>
        <w:t>“</w:t>
      </w:r>
      <w:r>
        <w:rPr>
          <w:rFonts w:ascii="Aptos" w:eastAsia="Times New Roman" w:hAnsi="Aptos" w:cs="Times New Roman"/>
          <w:bCs/>
          <w:color w:val="000000"/>
          <w:sz w:val="20"/>
          <w:szCs w:val="20"/>
        </w:rPr>
        <w:t xml:space="preserve">… </w:t>
      </w:r>
      <w:r w:rsidRPr="00301953">
        <w:rPr>
          <w:rFonts w:ascii="Aptos" w:hAnsi="Aptos"/>
          <w:sz w:val="20"/>
          <w:szCs w:val="20"/>
        </w:rPr>
        <w:t xml:space="preserve">the apparent severity of Student's mental health needs, the current involvement and expertise of DMH, the likely usefulness of DMH's participation in the Hearing regarding </w:t>
      </w:r>
      <w:r>
        <w:rPr>
          <w:rFonts w:ascii="Aptos" w:hAnsi="Aptos"/>
          <w:sz w:val="20"/>
          <w:szCs w:val="20"/>
        </w:rPr>
        <w:t>[a]</w:t>
      </w:r>
      <w:r w:rsidRPr="00301953">
        <w:rPr>
          <w:rFonts w:ascii="Aptos" w:hAnsi="Aptos"/>
          <w:sz w:val="20"/>
          <w:szCs w:val="20"/>
        </w:rPr>
        <w:t xml:space="preserve"> determination of Student's needs and how they should be met</w:t>
      </w:r>
      <w:r>
        <w:rPr>
          <w:rFonts w:ascii="Aptos" w:hAnsi="Aptos"/>
          <w:sz w:val="20"/>
          <w:szCs w:val="20"/>
        </w:rPr>
        <w:t>…</w:t>
      </w:r>
      <w:r w:rsidRPr="00301953">
        <w:rPr>
          <w:rFonts w:ascii="Aptos" w:hAnsi="Aptos"/>
          <w:sz w:val="20"/>
          <w:szCs w:val="20"/>
        </w:rPr>
        <w:t xml:space="preserve">”); </w:t>
      </w:r>
      <w:r w:rsidR="00260CB6" w:rsidRPr="00764BA2">
        <w:rPr>
          <w:rFonts w:ascii="Aptos" w:hAnsi="Aptos"/>
          <w:i/>
          <w:iCs/>
          <w:sz w:val="20"/>
          <w:szCs w:val="20"/>
        </w:rPr>
        <w:t>Fitchburg</w:t>
      </w:r>
      <w:r w:rsidR="00260CB6">
        <w:rPr>
          <w:rFonts w:ascii="Aptos" w:hAnsi="Aptos"/>
          <w:sz w:val="20"/>
          <w:szCs w:val="20"/>
        </w:rPr>
        <w:t xml:space="preserve">, </w:t>
      </w:r>
      <w:r w:rsidR="00260CB6" w:rsidRPr="00260CB6">
        <w:rPr>
          <w:rFonts w:ascii="Aptos" w:hAnsi="Aptos"/>
          <w:sz w:val="20"/>
          <w:szCs w:val="20"/>
        </w:rPr>
        <w:t>8 MSER 141</w:t>
      </w:r>
      <w:r w:rsidR="00260CB6" w:rsidRPr="00260CB6">
        <w:rPr>
          <w:rFonts w:ascii="Aptos" w:hAnsi="Aptos"/>
          <w:i/>
          <w:iCs/>
          <w:sz w:val="20"/>
          <w:szCs w:val="20"/>
        </w:rPr>
        <w:t xml:space="preserve"> </w:t>
      </w:r>
      <w:r w:rsidR="00260CB6" w:rsidRPr="00260CB6">
        <w:rPr>
          <w:rFonts w:ascii="Aptos" w:hAnsi="Aptos"/>
          <w:sz w:val="20"/>
          <w:szCs w:val="20"/>
        </w:rPr>
        <w:t>(Byrne, 2002)</w:t>
      </w:r>
      <w:r w:rsidRPr="00301953">
        <w:rPr>
          <w:rFonts w:ascii="Aptos" w:hAnsi="Aptos"/>
          <w:sz w:val="20"/>
          <w:szCs w:val="20"/>
        </w:rPr>
        <w:t>.</w:t>
      </w:r>
      <w:r>
        <w:rPr>
          <w:rFonts w:ascii="Aptos" w:hAnsi="Aptos"/>
          <w:i/>
          <w:iCs/>
          <w:sz w:val="20"/>
          <w:szCs w:val="20"/>
          <w:u w:val="single"/>
        </w:rPr>
        <w:t xml:space="preserve"> </w:t>
      </w:r>
      <w:r w:rsidRPr="00543859">
        <w:rPr>
          <w:rFonts w:ascii="Aptos" w:hAnsi="Aptos"/>
          <w:sz w:val="20"/>
          <w:szCs w:val="20"/>
        </w:rPr>
        <w:t xml:space="preserve">  </w:t>
      </w:r>
    </w:p>
  </w:footnote>
  <w:footnote w:id="33">
    <w:p w14:paraId="262F126F" w14:textId="45FCA825" w:rsidR="004F4C87" w:rsidRPr="005767B0" w:rsidRDefault="004F4C87" w:rsidP="004F4C87">
      <w:pPr>
        <w:spacing w:after="0" w:line="240" w:lineRule="auto"/>
        <w:rPr>
          <w:sz w:val="20"/>
          <w:szCs w:val="20"/>
        </w:rPr>
      </w:pPr>
      <w:r w:rsidRPr="005767B0">
        <w:rPr>
          <w:rStyle w:val="FootnoteReference"/>
          <w:sz w:val="20"/>
          <w:szCs w:val="20"/>
        </w:rPr>
        <w:footnoteRef/>
      </w:r>
      <w:r w:rsidRPr="005767B0">
        <w:rPr>
          <w:sz w:val="20"/>
          <w:szCs w:val="20"/>
        </w:rPr>
        <w:t xml:space="preserve">   Notwithstanding my prior conclusions that DMH’s Policy’s “short-term basis” requirement may not preclude ordering DMH to provide residential placement relief to a student in some instances, or </w:t>
      </w:r>
      <w:r w:rsidRPr="005767B0">
        <w:rPr>
          <w:rFonts w:ascii="Aptos" w:hAnsi="Aptos"/>
          <w:sz w:val="20"/>
          <w:szCs w:val="20"/>
        </w:rPr>
        <w:t>Parent’s argument that DCF’s regulations do not, in fact, limit DCF to providing residential placement only if it has “care” or “custody” of a child, a final determination as to whether I can or should order residential placement relief from either agency</w:t>
      </w:r>
      <w:r w:rsidR="00DA210B">
        <w:rPr>
          <w:rFonts w:ascii="Aptos" w:hAnsi="Aptos"/>
          <w:sz w:val="20"/>
          <w:szCs w:val="20"/>
        </w:rPr>
        <w:t xml:space="preserve"> can only be made </w:t>
      </w:r>
      <w:r w:rsidRPr="005767B0">
        <w:rPr>
          <w:rFonts w:ascii="Aptos" w:hAnsi="Aptos"/>
          <w:sz w:val="20"/>
          <w:szCs w:val="20"/>
        </w:rPr>
        <w:t xml:space="preserve">after a hearing on the merits.  </w:t>
      </w:r>
      <w:r w:rsidR="007427CB">
        <w:rPr>
          <w:rFonts w:ascii="Aptos" w:hAnsi="Aptos"/>
          <w:sz w:val="20"/>
          <w:szCs w:val="20"/>
        </w:rPr>
        <w:t>A</w:t>
      </w:r>
      <w:r w:rsidRPr="005767B0">
        <w:rPr>
          <w:rFonts w:ascii="Aptos" w:hAnsi="Aptos"/>
          <w:sz w:val="20"/>
          <w:szCs w:val="20"/>
        </w:rPr>
        <w:t>t that time</w:t>
      </w:r>
      <w:r w:rsidR="007427CB">
        <w:rPr>
          <w:rFonts w:ascii="Aptos" w:hAnsi="Aptos"/>
          <w:sz w:val="20"/>
          <w:szCs w:val="20"/>
        </w:rPr>
        <w:t>, however,</w:t>
      </w:r>
      <w:r w:rsidRPr="005767B0">
        <w:rPr>
          <w:rFonts w:ascii="Aptos" w:hAnsi="Aptos"/>
          <w:sz w:val="20"/>
          <w:szCs w:val="20"/>
        </w:rPr>
        <w:t xml:space="preserve"> I cannot order any relief that is contrary to the rules, regulations or policies of DCF or DMH.  </w:t>
      </w:r>
      <w:r w:rsidR="00D37289">
        <w:rPr>
          <w:rFonts w:ascii="Aptos" w:hAnsi="Aptos"/>
          <w:sz w:val="20"/>
          <w:szCs w:val="20"/>
        </w:rPr>
        <w:t xml:space="preserve">MGL. c. 71B </w:t>
      </w:r>
      <w:r w:rsidR="002932E7">
        <w:rPr>
          <w:rFonts w:ascii="Aptos" w:hAnsi="Aptos"/>
          <w:sz w:val="20"/>
          <w:szCs w:val="20"/>
        </w:rPr>
        <w:t>§</w:t>
      </w:r>
      <w:r w:rsidR="007427CB">
        <w:rPr>
          <w:rFonts w:ascii="Aptos" w:hAnsi="Aptos"/>
          <w:sz w:val="20"/>
          <w:szCs w:val="20"/>
        </w:rPr>
        <w:t xml:space="preserve"> </w:t>
      </w:r>
      <w:r w:rsidR="002932E7">
        <w:rPr>
          <w:rFonts w:ascii="Aptos" w:hAnsi="Aptos"/>
          <w:sz w:val="20"/>
          <w:szCs w:val="20"/>
        </w:rPr>
        <w:t>3.</w:t>
      </w:r>
    </w:p>
  </w:footnote>
  <w:footnote w:id="34">
    <w:p w14:paraId="0FA6341C" w14:textId="77777777" w:rsidR="003F797C" w:rsidRPr="000467B1" w:rsidRDefault="003F797C" w:rsidP="003F797C">
      <w:pPr>
        <w:pStyle w:val="FootnoteText"/>
        <w:rPr>
          <w:rFonts w:ascii="Aptos" w:hAnsi="Aptos" w:cs="Times New Roman"/>
        </w:rPr>
      </w:pPr>
      <w:r w:rsidRPr="000467B1">
        <w:rPr>
          <w:rStyle w:val="FootnoteReference"/>
          <w:rFonts w:ascii="Aptos" w:hAnsi="Aptos" w:cs="Times New Roman"/>
        </w:rPr>
        <w:footnoteRef/>
      </w:r>
      <w:r w:rsidRPr="000467B1">
        <w:rPr>
          <w:rFonts w:ascii="Aptos" w:hAnsi="Aptos" w:cs="Times New Roman"/>
        </w:rPr>
        <w:t xml:space="preserve">    </w:t>
      </w:r>
      <w:r w:rsidRPr="000467B1">
        <w:rPr>
          <w:rFonts w:ascii="Aptos" w:hAnsi="Aptos" w:cs="Times New Roman"/>
          <w:bCs/>
        </w:rPr>
        <w:t xml:space="preserve">20 USC §1415(b)(6); </w:t>
      </w:r>
      <w:r w:rsidRPr="000467B1">
        <w:rPr>
          <w:rFonts w:ascii="Aptos" w:hAnsi="Aptos" w:cs="Times New Roman"/>
        </w:rPr>
        <w:t>M.G.L. c. 71 § 2A; see 34 CFR 300.507(a)(1); 603 CMR 28.08(3)(a</w:t>
      </w:r>
      <w:r>
        <w:rPr>
          <w:rFonts w:ascii="Aptos" w:hAnsi="Aptos" w:cs="Times New Roman"/>
        </w:rPr>
        <w:t>)</w:t>
      </w:r>
      <w:r w:rsidRPr="000467B1">
        <w:rPr>
          <w:rFonts w:ascii="Aptos" w:hAnsi="Aptos" w:cs="Times New Roman"/>
        </w:rPr>
        <w:t>; see 34 CFR 300.507(a)(1); 603 CMR 28.08(3)(a).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F34"/>
    <w:multiLevelType w:val="hybridMultilevel"/>
    <w:tmpl w:val="F37E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82E29"/>
    <w:multiLevelType w:val="hybridMultilevel"/>
    <w:tmpl w:val="2A80E0F2"/>
    <w:lvl w:ilvl="0" w:tplc="DCEE2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7C5DE5"/>
    <w:multiLevelType w:val="hybridMultilevel"/>
    <w:tmpl w:val="FAA0702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E3F3036"/>
    <w:multiLevelType w:val="hybridMultilevel"/>
    <w:tmpl w:val="FAA07022"/>
    <w:lvl w:ilvl="0" w:tplc="35E64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BE7F13"/>
    <w:multiLevelType w:val="hybridMultilevel"/>
    <w:tmpl w:val="5B7C1C48"/>
    <w:lvl w:ilvl="0" w:tplc="35E64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1B4CD5"/>
    <w:multiLevelType w:val="hybridMultilevel"/>
    <w:tmpl w:val="C0C03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128518">
    <w:abstractNumId w:val="0"/>
  </w:num>
  <w:num w:numId="2" w16cid:durableId="1074476671">
    <w:abstractNumId w:val="5"/>
  </w:num>
  <w:num w:numId="3" w16cid:durableId="576089147">
    <w:abstractNumId w:val="1"/>
  </w:num>
  <w:num w:numId="4" w16cid:durableId="1334188233">
    <w:abstractNumId w:val="3"/>
  </w:num>
  <w:num w:numId="5" w16cid:durableId="1548687296">
    <w:abstractNumId w:val="2"/>
  </w:num>
  <w:num w:numId="6" w16cid:durableId="1861821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6E"/>
    <w:rsid w:val="0000111E"/>
    <w:rsid w:val="00001260"/>
    <w:rsid w:val="0000278F"/>
    <w:rsid w:val="00002E90"/>
    <w:rsid w:val="00003715"/>
    <w:rsid w:val="000038A1"/>
    <w:rsid w:val="00003F1A"/>
    <w:rsid w:val="00006001"/>
    <w:rsid w:val="00010A8E"/>
    <w:rsid w:val="0001163E"/>
    <w:rsid w:val="000130C7"/>
    <w:rsid w:val="000178F8"/>
    <w:rsid w:val="0002129E"/>
    <w:rsid w:val="00022A89"/>
    <w:rsid w:val="00023622"/>
    <w:rsid w:val="00023C5A"/>
    <w:rsid w:val="000247C8"/>
    <w:rsid w:val="0002734C"/>
    <w:rsid w:val="000273D3"/>
    <w:rsid w:val="00035A3A"/>
    <w:rsid w:val="00036273"/>
    <w:rsid w:val="000375D3"/>
    <w:rsid w:val="00041136"/>
    <w:rsid w:val="000419FD"/>
    <w:rsid w:val="00044703"/>
    <w:rsid w:val="00044931"/>
    <w:rsid w:val="00045244"/>
    <w:rsid w:val="00046A26"/>
    <w:rsid w:val="000507A3"/>
    <w:rsid w:val="00050AA0"/>
    <w:rsid w:val="00050E1F"/>
    <w:rsid w:val="00052F4B"/>
    <w:rsid w:val="00053556"/>
    <w:rsid w:val="00053B97"/>
    <w:rsid w:val="00053FE7"/>
    <w:rsid w:val="00054ED1"/>
    <w:rsid w:val="00057A3F"/>
    <w:rsid w:val="0006070B"/>
    <w:rsid w:val="00061628"/>
    <w:rsid w:val="000651F9"/>
    <w:rsid w:val="000664C4"/>
    <w:rsid w:val="00066CA1"/>
    <w:rsid w:val="000803C2"/>
    <w:rsid w:val="00080CF7"/>
    <w:rsid w:val="0008462D"/>
    <w:rsid w:val="000876ED"/>
    <w:rsid w:val="00090257"/>
    <w:rsid w:val="0009030F"/>
    <w:rsid w:val="00093E22"/>
    <w:rsid w:val="00094237"/>
    <w:rsid w:val="000A0CB7"/>
    <w:rsid w:val="000A1447"/>
    <w:rsid w:val="000B45E1"/>
    <w:rsid w:val="000B56CB"/>
    <w:rsid w:val="000B67D8"/>
    <w:rsid w:val="000B7A91"/>
    <w:rsid w:val="000C1095"/>
    <w:rsid w:val="000C280C"/>
    <w:rsid w:val="000C670B"/>
    <w:rsid w:val="000D055A"/>
    <w:rsid w:val="000D0835"/>
    <w:rsid w:val="000D2ABD"/>
    <w:rsid w:val="000D3EAF"/>
    <w:rsid w:val="000D5EF1"/>
    <w:rsid w:val="000E1B78"/>
    <w:rsid w:val="000E2220"/>
    <w:rsid w:val="000E459D"/>
    <w:rsid w:val="000E51DD"/>
    <w:rsid w:val="000E5644"/>
    <w:rsid w:val="000E6085"/>
    <w:rsid w:val="000F05CE"/>
    <w:rsid w:val="000F21F6"/>
    <w:rsid w:val="000F498B"/>
    <w:rsid w:val="000F7B36"/>
    <w:rsid w:val="001001B8"/>
    <w:rsid w:val="001003CC"/>
    <w:rsid w:val="0010085C"/>
    <w:rsid w:val="00101AEA"/>
    <w:rsid w:val="00101F75"/>
    <w:rsid w:val="00104975"/>
    <w:rsid w:val="00104E8D"/>
    <w:rsid w:val="00106863"/>
    <w:rsid w:val="00107464"/>
    <w:rsid w:val="0011484B"/>
    <w:rsid w:val="00117B59"/>
    <w:rsid w:val="0012117F"/>
    <w:rsid w:val="001270CC"/>
    <w:rsid w:val="00131739"/>
    <w:rsid w:val="001336A7"/>
    <w:rsid w:val="0013422D"/>
    <w:rsid w:val="001372CD"/>
    <w:rsid w:val="001412E9"/>
    <w:rsid w:val="00147A96"/>
    <w:rsid w:val="00147DF5"/>
    <w:rsid w:val="001524BB"/>
    <w:rsid w:val="0015371C"/>
    <w:rsid w:val="0015722D"/>
    <w:rsid w:val="00160462"/>
    <w:rsid w:val="00162BBC"/>
    <w:rsid w:val="00165C37"/>
    <w:rsid w:val="0016676E"/>
    <w:rsid w:val="00170717"/>
    <w:rsid w:val="00171554"/>
    <w:rsid w:val="00171F98"/>
    <w:rsid w:val="00172199"/>
    <w:rsid w:val="00173E4F"/>
    <w:rsid w:val="00174CD8"/>
    <w:rsid w:val="00175ABB"/>
    <w:rsid w:val="001760D7"/>
    <w:rsid w:val="00176AE0"/>
    <w:rsid w:val="00176E18"/>
    <w:rsid w:val="00180065"/>
    <w:rsid w:val="00181D72"/>
    <w:rsid w:val="00182CF8"/>
    <w:rsid w:val="00183A7B"/>
    <w:rsid w:val="0018419F"/>
    <w:rsid w:val="00184962"/>
    <w:rsid w:val="00186EFD"/>
    <w:rsid w:val="0019175B"/>
    <w:rsid w:val="0019285F"/>
    <w:rsid w:val="00195126"/>
    <w:rsid w:val="001A2116"/>
    <w:rsid w:val="001A2140"/>
    <w:rsid w:val="001A331E"/>
    <w:rsid w:val="001A63B6"/>
    <w:rsid w:val="001A6AAF"/>
    <w:rsid w:val="001A7B7C"/>
    <w:rsid w:val="001B2CD1"/>
    <w:rsid w:val="001C3F70"/>
    <w:rsid w:val="001C54BC"/>
    <w:rsid w:val="001C6EA2"/>
    <w:rsid w:val="001C7B8D"/>
    <w:rsid w:val="001D0D0E"/>
    <w:rsid w:val="001D2438"/>
    <w:rsid w:val="001D624E"/>
    <w:rsid w:val="001D7E74"/>
    <w:rsid w:val="001E3787"/>
    <w:rsid w:val="001E3788"/>
    <w:rsid w:val="001E47EE"/>
    <w:rsid w:val="001E7F2C"/>
    <w:rsid w:val="001F2C1A"/>
    <w:rsid w:val="001F3A7B"/>
    <w:rsid w:val="001F5028"/>
    <w:rsid w:val="001F791C"/>
    <w:rsid w:val="00200C1D"/>
    <w:rsid w:val="00201B30"/>
    <w:rsid w:val="00201C2F"/>
    <w:rsid w:val="00202235"/>
    <w:rsid w:val="00205054"/>
    <w:rsid w:val="002059C0"/>
    <w:rsid w:val="00206A24"/>
    <w:rsid w:val="00210DB2"/>
    <w:rsid w:val="00211E32"/>
    <w:rsid w:val="002134DE"/>
    <w:rsid w:val="00214076"/>
    <w:rsid w:val="0021758D"/>
    <w:rsid w:val="00217DB8"/>
    <w:rsid w:val="0022225F"/>
    <w:rsid w:val="002236B1"/>
    <w:rsid w:val="00226141"/>
    <w:rsid w:val="002267F4"/>
    <w:rsid w:val="002272EE"/>
    <w:rsid w:val="002334EE"/>
    <w:rsid w:val="00240F0E"/>
    <w:rsid w:val="00245665"/>
    <w:rsid w:val="0024683B"/>
    <w:rsid w:val="00252CCD"/>
    <w:rsid w:val="00255F22"/>
    <w:rsid w:val="002572D3"/>
    <w:rsid w:val="00260CB6"/>
    <w:rsid w:val="00260E1A"/>
    <w:rsid w:val="00262AB6"/>
    <w:rsid w:val="0026345E"/>
    <w:rsid w:val="00264A19"/>
    <w:rsid w:val="002662BE"/>
    <w:rsid w:val="00270C24"/>
    <w:rsid w:val="002801EC"/>
    <w:rsid w:val="00283A52"/>
    <w:rsid w:val="00283D21"/>
    <w:rsid w:val="00284E06"/>
    <w:rsid w:val="002856A0"/>
    <w:rsid w:val="00286EF8"/>
    <w:rsid w:val="0028743A"/>
    <w:rsid w:val="0029074A"/>
    <w:rsid w:val="0029150C"/>
    <w:rsid w:val="00292006"/>
    <w:rsid w:val="0029277D"/>
    <w:rsid w:val="00292846"/>
    <w:rsid w:val="002932E7"/>
    <w:rsid w:val="00295B96"/>
    <w:rsid w:val="0029793E"/>
    <w:rsid w:val="002A0604"/>
    <w:rsid w:val="002A11D7"/>
    <w:rsid w:val="002A2CA8"/>
    <w:rsid w:val="002A3855"/>
    <w:rsid w:val="002A4055"/>
    <w:rsid w:val="002A4B9E"/>
    <w:rsid w:val="002A7E95"/>
    <w:rsid w:val="002A7F6E"/>
    <w:rsid w:val="002B1F50"/>
    <w:rsid w:val="002B27ED"/>
    <w:rsid w:val="002B2DEE"/>
    <w:rsid w:val="002B33E1"/>
    <w:rsid w:val="002C1657"/>
    <w:rsid w:val="002C2F9D"/>
    <w:rsid w:val="002C57EF"/>
    <w:rsid w:val="002D114D"/>
    <w:rsid w:val="002D192F"/>
    <w:rsid w:val="002D2C65"/>
    <w:rsid w:val="002D3065"/>
    <w:rsid w:val="002D517C"/>
    <w:rsid w:val="002D56F9"/>
    <w:rsid w:val="002D7ECF"/>
    <w:rsid w:val="002E0F56"/>
    <w:rsid w:val="002E1669"/>
    <w:rsid w:val="002E345F"/>
    <w:rsid w:val="002E4F25"/>
    <w:rsid w:val="002E626C"/>
    <w:rsid w:val="002E7CD2"/>
    <w:rsid w:val="002F0D98"/>
    <w:rsid w:val="002F13D1"/>
    <w:rsid w:val="002F1560"/>
    <w:rsid w:val="002F5995"/>
    <w:rsid w:val="002F6203"/>
    <w:rsid w:val="002F7680"/>
    <w:rsid w:val="00301C5B"/>
    <w:rsid w:val="00302F6D"/>
    <w:rsid w:val="0030372F"/>
    <w:rsid w:val="00306DD1"/>
    <w:rsid w:val="0031021D"/>
    <w:rsid w:val="003117EE"/>
    <w:rsid w:val="00312E8A"/>
    <w:rsid w:val="00317A9F"/>
    <w:rsid w:val="003231DB"/>
    <w:rsid w:val="00324A5F"/>
    <w:rsid w:val="00326952"/>
    <w:rsid w:val="00333B98"/>
    <w:rsid w:val="00335395"/>
    <w:rsid w:val="00335DFB"/>
    <w:rsid w:val="0033652E"/>
    <w:rsid w:val="00340082"/>
    <w:rsid w:val="00340F13"/>
    <w:rsid w:val="0034164E"/>
    <w:rsid w:val="003429F8"/>
    <w:rsid w:val="00345C33"/>
    <w:rsid w:val="00347CFF"/>
    <w:rsid w:val="00351A22"/>
    <w:rsid w:val="0035277D"/>
    <w:rsid w:val="003529B3"/>
    <w:rsid w:val="00353532"/>
    <w:rsid w:val="0035663C"/>
    <w:rsid w:val="003574D0"/>
    <w:rsid w:val="00357F95"/>
    <w:rsid w:val="00360FEC"/>
    <w:rsid w:val="003618AE"/>
    <w:rsid w:val="003626A3"/>
    <w:rsid w:val="00363B57"/>
    <w:rsid w:val="00364399"/>
    <w:rsid w:val="00367DBE"/>
    <w:rsid w:val="00367F17"/>
    <w:rsid w:val="00370B78"/>
    <w:rsid w:val="0037606A"/>
    <w:rsid w:val="003760ED"/>
    <w:rsid w:val="0038264B"/>
    <w:rsid w:val="00382C58"/>
    <w:rsid w:val="00383F23"/>
    <w:rsid w:val="003855A7"/>
    <w:rsid w:val="00385654"/>
    <w:rsid w:val="0038599A"/>
    <w:rsid w:val="0038683E"/>
    <w:rsid w:val="003907C8"/>
    <w:rsid w:val="00391FC8"/>
    <w:rsid w:val="003926B2"/>
    <w:rsid w:val="003926D4"/>
    <w:rsid w:val="00393845"/>
    <w:rsid w:val="00396CC6"/>
    <w:rsid w:val="00397A36"/>
    <w:rsid w:val="00397F77"/>
    <w:rsid w:val="003A1EAB"/>
    <w:rsid w:val="003A514D"/>
    <w:rsid w:val="003A6F67"/>
    <w:rsid w:val="003B0D7C"/>
    <w:rsid w:val="003B24B4"/>
    <w:rsid w:val="003D00C4"/>
    <w:rsid w:val="003D10E0"/>
    <w:rsid w:val="003D2271"/>
    <w:rsid w:val="003D2AE4"/>
    <w:rsid w:val="003D5520"/>
    <w:rsid w:val="003D5B72"/>
    <w:rsid w:val="003E372A"/>
    <w:rsid w:val="003F4804"/>
    <w:rsid w:val="003F588B"/>
    <w:rsid w:val="003F7771"/>
    <w:rsid w:val="003F797C"/>
    <w:rsid w:val="00400718"/>
    <w:rsid w:val="00406FB4"/>
    <w:rsid w:val="00406FCB"/>
    <w:rsid w:val="004070A8"/>
    <w:rsid w:val="00410628"/>
    <w:rsid w:val="004109FA"/>
    <w:rsid w:val="00410CE4"/>
    <w:rsid w:val="004110D4"/>
    <w:rsid w:val="004123EF"/>
    <w:rsid w:val="00415F67"/>
    <w:rsid w:val="004175D5"/>
    <w:rsid w:val="00417B56"/>
    <w:rsid w:val="00420156"/>
    <w:rsid w:val="00420E46"/>
    <w:rsid w:val="0042173D"/>
    <w:rsid w:val="0042201A"/>
    <w:rsid w:val="00424B16"/>
    <w:rsid w:val="004262DA"/>
    <w:rsid w:val="00430C55"/>
    <w:rsid w:val="00432021"/>
    <w:rsid w:val="00432A62"/>
    <w:rsid w:val="0043424C"/>
    <w:rsid w:val="00443544"/>
    <w:rsid w:val="004458A2"/>
    <w:rsid w:val="004469BC"/>
    <w:rsid w:val="00446A3C"/>
    <w:rsid w:val="00446AAE"/>
    <w:rsid w:val="00450709"/>
    <w:rsid w:val="00451763"/>
    <w:rsid w:val="00451E1C"/>
    <w:rsid w:val="00452360"/>
    <w:rsid w:val="0045677A"/>
    <w:rsid w:val="00456858"/>
    <w:rsid w:val="00456990"/>
    <w:rsid w:val="004574BA"/>
    <w:rsid w:val="00460165"/>
    <w:rsid w:val="004637BD"/>
    <w:rsid w:val="00463CFD"/>
    <w:rsid w:val="00463D63"/>
    <w:rsid w:val="004668FD"/>
    <w:rsid w:val="0046769F"/>
    <w:rsid w:val="00471A1D"/>
    <w:rsid w:val="00471F88"/>
    <w:rsid w:val="00475EE2"/>
    <w:rsid w:val="00476F70"/>
    <w:rsid w:val="00481B28"/>
    <w:rsid w:val="0048241E"/>
    <w:rsid w:val="0048697D"/>
    <w:rsid w:val="00491263"/>
    <w:rsid w:val="00491F8D"/>
    <w:rsid w:val="0049433F"/>
    <w:rsid w:val="00495010"/>
    <w:rsid w:val="00497692"/>
    <w:rsid w:val="004A2BBA"/>
    <w:rsid w:val="004A4554"/>
    <w:rsid w:val="004A7EFB"/>
    <w:rsid w:val="004B233F"/>
    <w:rsid w:val="004B6F1C"/>
    <w:rsid w:val="004C1999"/>
    <w:rsid w:val="004C2336"/>
    <w:rsid w:val="004C2B02"/>
    <w:rsid w:val="004C2CA4"/>
    <w:rsid w:val="004C6D95"/>
    <w:rsid w:val="004D0340"/>
    <w:rsid w:val="004D5195"/>
    <w:rsid w:val="004D5CBE"/>
    <w:rsid w:val="004E0512"/>
    <w:rsid w:val="004E1CF4"/>
    <w:rsid w:val="004E2F62"/>
    <w:rsid w:val="004E3681"/>
    <w:rsid w:val="004E6A4A"/>
    <w:rsid w:val="004F1D31"/>
    <w:rsid w:val="004F1DCB"/>
    <w:rsid w:val="004F330F"/>
    <w:rsid w:val="004F4C87"/>
    <w:rsid w:val="004F5FFF"/>
    <w:rsid w:val="004F61E1"/>
    <w:rsid w:val="004F78A1"/>
    <w:rsid w:val="005016B3"/>
    <w:rsid w:val="00503AEA"/>
    <w:rsid w:val="0050420B"/>
    <w:rsid w:val="00504798"/>
    <w:rsid w:val="00505093"/>
    <w:rsid w:val="005057E2"/>
    <w:rsid w:val="005112DA"/>
    <w:rsid w:val="0051140E"/>
    <w:rsid w:val="00511F66"/>
    <w:rsid w:val="00513412"/>
    <w:rsid w:val="00514317"/>
    <w:rsid w:val="0051653C"/>
    <w:rsid w:val="00517E7B"/>
    <w:rsid w:val="00523DB1"/>
    <w:rsid w:val="0052479A"/>
    <w:rsid w:val="00524EE6"/>
    <w:rsid w:val="00526ABB"/>
    <w:rsid w:val="005313A8"/>
    <w:rsid w:val="005359BD"/>
    <w:rsid w:val="00537BB9"/>
    <w:rsid w:val="00540071"/>
    <w:rsid w:val="005440E0"/>
    <w:rsid w:val="005445D5"/>
    <w:rsid w:val="0055371A"/>
    <w:rsid w:val="00553C12"/>
    <w:rsid w:val="00561103"/>
    <w:rsid w:val="0056157D"/>
    <w:rsid w:val="00564696"/>
    <w:rsid w:val="005652D5"/>
    <w:rsid w:val="00570091"/>
    <w:rsid w:val="00570443"/>
    <w:rsid w:val="005735D2"/>
    <w:rsid w:val="005767B0"/>
    <w:rsid w:val="00581C9D"/>
    <w:rsid w:val="005830AA"/>
    <w:rsid w:val="00584A86"/>
    <w:rsid w:val="005853C5"/>
    <w:rsid w:val="00585BF3"/>
    <w:rsid w:val="005879F7"/>
    <w:rsid w:val="00592491"/>
    <w:rsid w:val="00593220"/>
    <w:rsid w:val="00593CAC"/>
    <w:rsid w:val="00597C92"/>
    <w:rsid w:val="005A0DEC"/>
    <w:rsid w:val="005A1341"/>
    <w:rsid w:val="005A21DF"/>
    <w:rsid w:val="005A2A80"/>
    <w:rsid w:val="005A61E4"/>
    <w:rsid w:val="005A6985"/>
    <w:rsid w:val="005A753D"/>
    <w:rsid w:val="005A7F2C"/>
    <w:rsid w:val="005B34E5"/>
    <w:rsid w:val="005C1CA7"/>
    <w:rsid w:val="005C7851"/>
    <w:rsid w:val="005D1443"/>
    <w:rsid w:val="005D2187"/>
    <w:rsid w:val="005D688D"/>
    <w:rsid w:val="005D6A47"/>
    <w:rsid w:val="005D773F"/>
    <w:rsid w:val="005E0781"/>
    <w:rsid w:val="005E0EF4"/>
    <w:rsid w:val="005E262E"/>
    <w:rsid w:val="005E77F1"/>
    <w:rsid w:val="005F15CD"/>
    <w:rsid w:val="005F2328"/>
    <w:rsid w:val="00601028"/>
    <w:rsid w:val="00606D9B"/>
    <w:rsid w:val="006114E4"/>
    <w:rsid w:val="00611A03"/>
    <w:rsid w:val="006130B5"/>
    <w:rsid w:val="006159EA"/>
    <w:rsid w:val="00623502"/>
    <w:rsid w:val="00624514"/>
    <w:rsid w:val="00625FEC"/>
    <w:rsid w:val="00630683"/>
    <w:rsid w:val="00633602"/>
    <w:rsid w:val="00633ED7"/>
    <w:rsid w:val="00634FBB"/>
    <w:rsid w:val="006408E0"/>
    <w:rsid w:val="00642F31"/>
    <w:rsid w:val="00643B2F"/>
    <w:rsid w:val="006468DD"/>
    <w:rsid w:val="006476CF"/>
    <w:rsid w:val="0065018F"/>
    <w:rsid w:val="006510B8"/>
    <w:rsid w:val="006515C2"/>
    <w:rsid w:val="0065354A"/>
    <w:rsid w:val="006550C5"/>
    <w:rsid w:val="00657232"/>
    <w:rsid w:val="0066062D"/>
    <w:rsid w:val="00660D0B"/>
    <w:rsid w:val="006643D9"/>
    <w:rsid w:val="006654F5"/>
    <w:rsid w:val="006668F5"/>
    <w:rsid w:val="00666B83"/>
    <w:rsid w:val="00675C47"/>
    <w:rsid w:val="00677361"/>
    <w:rsid w:val="00677FA6"/>
    <w:rsid w:val="00681EEE"/>
    <w:rsid w:val="006832D7"/>
    <w:rsid w:val="00687932"/>
    <w:rsid w:val="0069572A"/>
    <w:rsid w:val="0069593D"/>
    <w:rsid w:val="00696903"/>
    <w:rsid w:val="00697275"/>
    <w:rsid w:val="00697FBE"/>
    <w:rsid w:val="006A0C82"/>
    <w:rsid w:val="006A21B1"/>
    <w:rsid w:val="006A49A6"/>
    <w:rsid w:val="006A7206"/>
    <w:rsid w:val="006B1FD7"/>
    <w:rsid w:val="006B3304"/>
    <w:rsid w:val="006B7776"/>
    <w:rsid w:val="006C4846"/>
    <w:rsid w:val="006D01B5"/>
    <w:rsid w:val="006D1A5E"/>
    <w:rsid w:val="006D6BE8"/>
    <w:rsid w:val="006D73E9"/>
    <w:rsid w:val="006D752B"/>
    <w:rsid w:val="006E0FB3"/>
    <w:rsid w:val="006E1C69"/>
    <w:rsid w:val="006E2F4E"/>
    <w:rsid w:val="006E5AA7"/>
    <w:rsid w:val="006E6784"/>
    <w:rsid w:val="006E708C"/>
    <w:rsid w:val="006F5A44"/>
    <w:rsid w:val="006F5D2B"/>
    <w:rsid w:val="007007E6"/>
    <w:rsid w:val="00702798"/>
    <w:rsid w:val="0070412D"/>
    <w:rsid w:val="007114BF"/>
    <w:rsid w:val="00712506"/>
    <w:rsid w:val="007138B6"/>
    <w:rsid w:val="00713AF0"/>
    <w:rsid w:val="00720590"/>
    <w:rsid w:val="00720CF1"/>
    <w:rsid w:val="0072777C"/>
    <w:rsid w:val="00730BA2"/>
    <w:rsid w:val="00731372"/>
    <w:rsid w:val="00731E62"/>
    <w:rsid w:val="0073478F"/>
    <w:rsid w:val="00734D77"/>
    <w:rsid w:val="007424B6"/>
    <w:rsid w:val="007427CB"/>
    <w:rsid w:val="00745216"/>
    <w:rsid w:val="007464DE"/>
    <w:rsid w:val="00746B01"/>
    <w:rsid w:val="00747528"/>
    <w:rsid w:val="00751B43"/>
    <w:rsid w:val="00752882"/>
    <w:rsid w:val="007535F1"/>
    <w:rsid w:val="007560A0"/>
    <w:rsid w:val="007569D2"/>
    <w:rsid w:val="007578D1"/>
    <w:rsid w:val="007610C6"/>
    <w:rsid w:val="00761F5C"/>
    <w:rsid w:val="00762CB0"/>
    <w:rsid w:val="00764A56"/>
    <w:rsid w:val="00764BA2"/>
    <w:rsid w:val="00764EB9"/>
    <w:rsid w:val="00766692"/>
    <w:rsid w:val="0077120B"/>
    <w:rsid w:val="007748DA"/>
    <w:rsid w:val="007817F7"/>
    <w:rsid w:val="007822EE"/>
    <w:rsid w:val="00783B14"/>
    <w:rsid w:val="00784F5F"/>
    <w:rsid w:val="00787D7E"/>
    <w:rsid w:val="007925F7"/>
    <w:rsid w:val="00794162"/>
    <w:rsid w:val="007944ED"/>
    <w:rsid w:val="0079500E"/>
    <w:rsid w:val="007A0A4B"/>
    <w:rsid w:val="007A24F8"/>
    <w:rsid w:val="007A3861"/>
    <w:rsid w:val="007B08C4"/>
    <w:rsid w:val="007B1283"/>
    <w:rsid w:val="007B4677"/>
    <w:rsid w:val="007B4822"/>
    <w:rsid w:val="007B4CA1"/>
    <w:rsid w:val="007B55C3"/>
    <w:rsid w:val="007B5D9C"/>
    <w:rsid w:val="007B5E51"/>
    <w:rsid w:val="007B686E"/>
    <w:rsid w:val="007B7E12"/>
    <w:rsid w:val="007C0D25"/>
    <w:rsid w:val="007C11CF"/>
    <w:rsid w:val="007C26E1"/>
    <w:rsid w:val="007C38E3"/>
    <w:rsid w:val="007C408B"/>
    <w:rsid w:val="007C49EF"/>
    <w:rsid w:val="007C5848"/>
    <w:rsid w:val="007C5AB4"/>
    <w:rsid w:val="007C7451"/>
    <w:rsid w:val="007D0580"/>
    <w:rsid w:val="007D24FA"/>
    <w:rsid w:val="007D276C"/>
    <w:rsid w:val="007D3E69"/>
    <w:rsid w:val="007D4A50"/>
    <w:rsid w:val="007D4E7D"/>
    <w:rsid w:val="007D586D"/>
    <w:rsid w:val="007D712A"/>
    <w:rsid w:val="007E1311"/>
    <w:rsid w:val="007E1B3A"/>
    <w:rsid w:val="007E20D0"/>
    <w:rsid w:val="007E2DC6"/>
    <w:rsid w:val="007E7ED3"/>
    <w:rsid w:val="007F0482"/>
    <w:rsid w:val="007F220B"/>
    <w:rsid w:val="007F38C3"/>
    <w:rsid w:val="007F72F6"/>
    <w:rsid w:val="007F7F7C"/>
    <w:rsid w:val="00803523"/>
    <w:rsid w:val="00805273"/>
    <w:rsid w:val="0080595B"/>
    <w:rsid w:val="008063E5"/>
    <w:rsid w:val="00806A19"/>
    <w:rsid w:val="008070AA"/>
    <w:rsid w:val="00807559"/>
    <w:rsid w:val="0081156B"/>
    <w:rsid w:val="00814579"/>
    <w:rsid w:val="008211F9"/>
    <w:rsid w:val="008243CD"/>
    <w:rsid w:val="008262AE"/>
    <w:rsid w:val="00827DB7"/>
    <w:rsid w:val="00830115"/>
    <w:rsid w:val="00831F02"/>
    <w:rsid w:val="00833BA1"/>
    <w:rsid w:val="0083720B"/>
    <w:rsid w:val="0084404C"/>
    <w:rsid w:val="008441BE"/>
    <w:rsid w:val="00844E61"/>
    <w:rsid w:val="00850BCE"/>
    <w:rsid w:val="00851B29"/>
    <w:rsid w:val="00853324"/>
    <w:rsid w:val="008623F0"/>
    <w:rsid w:val="00862A27"/>
    <w:rsid w:val="0086419D"/>
    <w:rsid w:val="00864559"/>
    <w:rsid w:val="00864BA9"/>
    <w:rsid w:val="0086539A"/>
    <w:rsid w:val="0087080C"/>
    <w:rsid w:val="00870B33"/>
    <w:rsid w:val="00871FCC"/>
    <w:rsid w:val="0087523E"/>
    <w:rsid w:val="00876208"/>
    <w:rsid w:val="00880F41"/>
    <w:rsid w:val="0088110C"/>
    <w:rsid w:val="00882D46"/>
    <w:rsid w:val="00884631"/>
    <w:rsid w:val="008856B6"/>
    <w:rsid w:val="008862B2"/>
    <w:rsid w:val="0089050E"/>
    <w:rsid w:val="00890B1C"/>
    <w:rsid w:val="00890DDB"/>
    <w:rsid w:val="008929A7"/>
    <w:rsid w:val="0089406E"/>
    <w:rsid w:val="00894CD6"/>
    <w:rsid w:val="0089503C"/>
    <w:rsid w:val="00895255"/>
    <w:rsid w:val="00895DDE"/>
    <w:rsid w:val="008A1870"/>
    <w:rsid w:val="008A1984"/>
    <w:rsid w:val="008A4025"/>
    <w:rsid w:val="008A7C9E"/>
    <w:rsid w:val="008B164A"/>
    <w:rsid w:val="008B2E66"/>
    <w:rsid w:val="008B5267"/>
    <w:rsid w:val="008C084E"/>
    <w:rsid w:val="008C501F"/>
    <w:rsid w:val="008C59A1"/>
    <w:rsid w:val="008D2F0C"/>
    <w:rsid w:val="008D477F"/>
    <w:rsid w:val="008D581A"/>
    <w:rsid w:val="008D69FB"/>
    <w:rsid w:val="008D7D82"/>
    <w:rsid w:val="008E0046"/>
    <w:rsid w:val="008E07EC"/>
    <w:rsid w:val="008E0873"/>
    <w:rsid w:val="008E0926"/>
    <w:rsid w:val="008E0D41"/>
    <w:rsid w:val="008E34B5"/>
    <w:rsid w:val="008F04DE"/>
    <w:rsid w:val="008F2DA1"/>
    <w:rsid w:val="008F3504"/>
    <w:rsid w:val="008F4037"/>
    <w:rsid w:val="008F4EFE"/>
    <w:rsid w:val="008F57D5"/>
    <w:rsid w:val="008F5BB7"/>
    <w:rsid w:val="00900480"/>
    <w:rsid w:val="00900E3E"/>
    <w:rsid w:val="0090435D"/>
    <w:rsid w:val="00910E7D"/>
    <w:rsid w:val="0091189E"/>
    <w:rsid w:val="0091261C"/>
    <w:rsid w:val="00915BB8"/>
    <w:rsid w:val="00916F0E"/>
    <w:rsid w:val="00917B5C"/>
    <w:rsid w:val="0092031A"/>
    <w:rsid w:val="0092212A"/>
    <w:rsid w:val="0092236E"/>
    <w:rsid w:val="00922655"/>
    <w:rsid w:val="00924689"/>
    <w:rsid w:val="00926877"/>
    <w:rsid w:val="0093726E"/>
    <w:rsid w:val="009437B9"/>
    <w:rsid w:val="00946890"/>
    <w:rsid w:val="00951493"/>
    <w:rsid w:val="00953428"/>
    <w:rsid w:val="00954792"/>
    <w:rsid w:val="00960E38"/>
    <w:rsid w:val="00967380"/>
    <w:rsid w:val="00970439"/>
    <w:rsid w:val="00971010"/>
    <w:rsid w:val="009715B9"/>
    <w:rsid w:val="009716B2"/>
    <w:rsid w:val="00971EE9"/>
    <w:rsid w:val="009762F5"/>
    <w:rsid w:val="0098468C"/>
    <w:rsid w:val="009848BF"/>
    <w:rsid w:val="00987156"/>
    <w:rsid w:val="009922E2"/>
    <w:rsid w:val="00993212"/>
    <w:rsid w:val="0099330E"/>
    <w:rsid w:val="00993BB9"/>
    <w:rsid w:val="00995935"/>
    <w:rsid w:val="009A1B43"/>
    <w:rsid w:val="009A6AF2"/>
    <w:rsid w:val="009A6BEA"/>
    <w:rsid w:val="009B0263"/>
    <w:rsid w:val="009B248F"/>
    <w:rsid w:val="009B2E50"/>
    <w:rsid w:val="009B3CF3"/>
    <w:rsid w:val="009B5B23"/>
    <w:rsid w:val="009C17A9"/>
    <w:rsid w:val="009C3710"/>
    <w:rsid w:val="009C5350"/>
    <w:rsid w:val="009D0A6A"/>
    <w:rsid w:val="009D113F"/>
    <w:rsid w:val="009D5A8A"/>
    <w:rsid w:val="009E1D64"/>
    <w:rsid w:val="009E22B3"/>
    <w:rsid w:val="009E37F7"/>
    <w:rsid w:val="009E61AE"/>
    <w:rsid w:val="009E6D4E"/>
    <w:rsid w:val="009E7254"/>
    <w:rsid w:val="009F053F"/>
    <w:rsid w:val="009F1188"/>
    <w:rsid w:val="009F2C24"/>
    <w:rsid w:val="009F3DE0"/>
    <w:rsid w:val="009F636D"/>
    <w:rsid w:val="009F7BDA"/>
    <w:rsid w:val="00A003F5"/>
    <w:rsid w:val="00A022D2"/>
    <w:rsid w:val="00A03754"/>
    <w:rsid w:val="00A053C6"/>
    <w:rsid w:val="00A05C0A"/>
    <w:rsid w:val="00A07550"/>
    <w:rsid w:val="00A104B3"/>
    <w:rsid w:val="00A12208"/>
    <w:rsid w:val="00A127D6"/>
    <w:rsid w:val="00A14BF2"/>
    <w:rsid w:val="00A15A13"/>
    <w:rsid w:val="00A31C75"/>
    <w:rsid w:val="00A364CD"/>
    <w:rsid w:val="00A36DF8"/>
    <w:rsid w:val="00A37480"/>
    <w:rsid w:val="00A40EF7"/>
    <w:rsid w:val="00A413E7"/>
    <w:rsid w:val="00A4265F"/>
    <w:rsid w:val="00A447DF"/>
    <w:rsid w:val="00A455F3"/>
    <w:rsid w:val="00A47CA5"/>
    <w:rsid w:val="00A50E4C"/>
    <w:rsid w:val="00A5213F"/>
    <w:rsid w:val="00A558C3"/>
    <w:rsid w:val="00A563E6"/>
    <w:rsid w:val="00A575A5"/>
    <w:rsid w:val="00A618FB"/>
    <w:rsid w:val="00A62DA9"/>
    <w:rsid w:val="00A62E8A"/>
    <w:rsid w:val="00A63294"/>
    <w:rsid w:val="00A6406A"/>
    <w:rsid w:val="00A710D2"/>
    <w:rsid w:val="00A7133A"/>
    <w:rsid w:val="00A73DC5"/>
    <w:rsid w:val="00A75877"/>
    <w:rsid w:val="00A80057"/>
    <w:rsid w:val="00A83CF3"/>
    <w:rsid w:val="00A84AA4"/>
    <w:rsid w:val="00A86926"/>
    <w:rsid w:val="00A96323"/>
    <w:rsid w:val="00A9719B"/>
    <w:rsid w:val="00AA127A"/>
    <w:rsid w:val="00AA3825"/>
    <w:rsid w:val="00AB1DB6"/>
    <w:rsid w:val="00AB23D9"/>
    <w:rsid w:val="00AB3E04"/>
    <w:rsid w:val="00AB5B97"/>
    <w:rsid w:val="00AB7622"/>
    <w:rsid w:val="00AB7F2E"/>
    <w:rsid w:val="00AC03DC"/>
    <w:rsid w:val="00AC0BEA"/>
    <w:rsid w:val="00AC632B"/>
    <w:rsid w:val="00AC6A2E"/>
    <w:rsid w:val="00AC76F5"/>
    <w:rsid w:val="00AD0F2B"/>
    <w:rsid w:val="00AD1F54"/>
    <w:rsid w:val="00AD581F"/>
    <w:rsid w:val="00AE24FC"/>
    <w:rsid w:val="00AE315B"/>
    <w:rsid w:val="00AE3B5B"/>
    <w:rsid w:val="00AE5F71"/>
    <w:rsid w:val="00AE6404"/>
    <w:rsid w:val="00AE688B"/>
    <w:rsid w:val="00AF1912"/>
    <w:rsid w:val="00AF3F3B"/>
    <w:rsid w:val="00AF4308"/>
    <w:rsid w:val="00B009D8"/>
    <w:rsid w:val="00B027AF"/>
    <w:rsid w:val="00B0748B"/>
    <w:rsid w:val="00B10DDF"/>
    <w:rsid w:val="00B13B0A"/>
    <w:rsid w:val="00B15020"/>
    <w:rsid w:val="00B22E48"/>
    <w:rsid w:val="00B239AE"/>
    <w:rsid w:val="00B25306"/>
    <w:rsid w:val="00B33DF9"/>
    <w:rsid w:val="00B35748"/>
    <w:rsid w:val="00B37C61"/>
    <w:rsid w:val="00B419F6"/>
    <w:rsid w:val="00B41F6A"/>
    <w:rsid w:val="00B42743"/>
    <w:rsid w:val="00B43DD5"/>
    <w:rsid w:val="00B4457C"/>
    <w:rsid w:val="00B44F25"/>
    <w:rsid w:val="00B51364"/>
    <w:rsid w:val="00B517F3"/>
    <w:rsid w:val="00B523B2"/>
    <w:rsid w:val="00B5591C"/>
    <w:rsid w:val="00B56DB4"/>
    <w:rsid w:val="00B63049"/>
    <w:rsid w:val="00B63DC0"/>
    <w:rsid w:val="00B6430C"/>
    <w:rsid w:val="00B66D54"/>
    <w:rsid w:val="00B66EB8"/>
    <w:rsid w:val="00B72C09"/>
    <w:rsid w:val="00B7329C"/>
    <w:rsid w:val="00B86143"/>
    <w:rsid w:val="00B8749A"/>
    <w:rsid w:val="00B87986"/>
    <w:rsid w:val="00B87DA6"/>
    <w:rsid w:val="00B921FF"/>
    <w:rsid w:val="00B92F0A"/>
    <w:rsid w:val="00BA0C0F"/>
    <w:rsid w:val="00BA4271"/>
    <w:rsid w:val="00BB247A"/>
    <w:rsid w:val="00BB33BF"/>
    <w:rsid w:val="00BB353B"/>
    <w:rsid w:val="00BB39CB"/>
    <w:rsid w:val="00BB657B"/>
    <w:rsid w:val="00BC2412"/>
    <w:rsid w:val="00BC5C6C"/>
    <w:rsid w:val="00BC5FCB"/>
    <w:rsid w:val="00BC6A7C"/>
    <w:rsid w:val="00BC791F"/>
    <w:rsid w:val="00BD1C4B"/>
    <w:rsid w:val="00BD3384"/>
    <w:rsid w:val="00BD3D93"/>
    <w:rsid w:val="00BD4DA1"/>
    <w:rsid w:val="00BD5395"/>
    <w:rsid w:val="00BD7649"/>
    <w:rsid w:val="00BE0319"/>
    <w:rsid w:val="00BE54B1"/>
    <w:rsid w:val="00BE6B43"/>
    <w:rsid w:val="00BE6B98"/>
    <w:rsid w:val="00BE70E7"/>
    <w:rsid w:val="00BE72DE"/>
    <w:rsid w:val="00BF01B4"/>
    <w:rsid w:val="00BF0A4A"/>
    <w:rsid w:val="00BF0F86"/>
    <w:rsid w:val="00BF3726"/>
    <w:rsid w:val="00BF45B6"/>
    <w:rsid w:val="00BF741D"/>
    <w:rsid w:val="00C01CB2"/>
    <w:rsid w:val="00C01E38"/>
    <w:rsid w:val="00C05C37"/>
    <w:rsid w:val="00C108C7"/>
    <w:rsid w:val="00C1158E"/>
    <w:rsid w:val="00C1421F"/>
    <w:rsid w:val="00C14681"/>
    <w:rsid w:val="00C17145"/>
    <w:rsid w:val="00C177AB"/>
    <w:rsid w:val="00C17CA3"/>
    <w:rsid w:val="00C200DC"/>
    <w:rsid w:val="00C21946"/>
    <w:rsid w:val="00C2197A"/>
    <w:rsid w:val="00C22001"/>
    <w:rsid w:val="00C230B3"/>
    <w:rsid w:val="00C23D57"/>
    <w:rsid w:val="00C244C8"/>
    <w:rsid w:val="00C302DA"/>
    <w:rsid w:val="00C31BF0"/>
    <w:rsid w:val="00C34AB2"/>
    <w:rsid w:val="00C35921"/>
    <w:rsid w:val="00C42862"/>
    <w:rsid w:val="00C4689E"/>
    <w:rsid w:val="00C50C5D"/>
    <w:rsid w:val="00C55094"/>
    <w:rsid w:val="00C5606B"/>
    <w:rsid w:val="00C5644E"/>
    <w:rsid w:val="00C621E5"/>
    <w:rsid w:val="00C62C4D"/>
    <w:rsid w:val="00C64FE4"/>
    <w:rsid w:val="00C65EAA"/>
    <w:rsid w:val="00C66283"/>
    <w:rsid w:val="00C664D7"/>
    <w:rsid w:val="00C66541"/>
    <w:rsid w:val="00C6688C"/>
    <w:rsid w:val="00C67D25"/>
    <w:rsid w:val="00C74074"/>
    <w:rsid w:val="00C7584B"/>
    <w:rsid w:val="00C86164"/>
    <w:rsid w:val="00C90608"/>
    <w:rsid w:val="00C96E7F"/>
    <w:rsid w:val="00CA0BB1"/>
    <w:rsid w:val="00CA1786"/>
    <w:rsid w:val="00CA3378"/>
    <w:rsid w:val="00CA6DE8"/>
    <w:rsid w:val="00CB1C69"/>
    <w:rsid w:val="00CB3231"/>
    <w:rsid w:val="00CB3243"/>
    <w:rsid w:val="00CB3F7B"/>
    <w:rsid w:val="00CB48AD"/>
    <w:rsid w:val="00CB5103"/>
    <w:rsid w:val="00CB5C6D"/>
    <w:rsid w:val="00CB7391"/>
    <w:rsid w:val="00CC1FF5"/>
    <w:rsid w:val="00CD05D2"/>
    <w:rsid w:val="00CD1111"/>
    <w:rsid w:val="00CD3882"/>
    <w:rsid w:val="00CD39C2"/>
    <w:rsid w:val="00CD4B5C"/>
    <w:rsid w:val="00CD5123"/>
    <w:rsid w:val="00CD5DDC"/>
    <w:rsid w:val="00CD6E33"/>
    <w:rsid w:val="00CD7E81"/>
    <w:rsid w:val="00CE29EA"/>
    <w:rsid w:val="00CE2D06"/>
    <w:rsid w:val="00CE3B5F"/>
    <w:rsid w:val="00CE4447"/>
    <w:rsid w:val="00CE584B"/>
    <w:rsid w:val="00CE61AA"/>
    <w:rsid w:val="00CE6DF3"/>
    <w:rsid w:val="00CF2F8F"/>
    <w:rsid w:val="00CF3DE3"/>
    <w:rsid w:val="00CF7C99"/>
    <w:rsid w:val="00D02B60"/>
    <w:rsid w:val="00D06C6E"/>
    <w:rsid w:val="00D10287"/>
    <w:rsid w:val="00D10E27"/>
    <w:rsid w:val="00D17A46"/>
    <w:rsid w:val="00D17B42"/>
    <w:rsid w:val="00D20D93"/>
    <w:rsid w:val="00D21443"/>
    <w:rsid w:val="00D23E14"/>
    <w:rsid w:val="00D244FE"/>
    <w:rsid w:val="00D253A1"/>
    <w:rsid w:val="00D25C72"/>
    <w:rsid w:val="00D30474"/>
    <w:rsid w:val="00D3113B"/>
    <w:rsid w:val="00D316D0"/>
    <w:rsid w:val="00D3345D"/>
    <w:rsid w:val="00D33E4B"/>
    <w:rsid w:val="00D3545F"/>
    <w:rsid w:val="00D371CE"/>
    <w:rsid w:val="00D37289"/>
    <w:rsid w:val="00D37BB9"/>
    <w:rsid w:val="00D40C5C"/>
    <w:rsid w:val="00D40EE7"/>
    <w:rsid w:val="00D41581"/>
    <w:rsid w:val="00D50939"/>
    <w:rsid w:val="00D51AA8"/>
    <w:rsid w:val="00D51FA5"/>
    <w:rsid w:val="00D56938"/>
    <w:rsid w:val="00D61F3C"/>
    <w:rsid w:val="00D6366B"/>
    <w:rsid w:val="00D63780"/>
    <w:rsid w:val="00D64CB2"/>
    <w:rsid w:val="00D667A0"/>
    <w:rsid w:val="00D670C0"/>
    <w:rsid w:val="00D706FC"/>
    <w:rsid w:val="00D743E1"/>
    <w:rsid w:val="00D7506A"/>
    <w:rsid w:val="00D806B0"/>
    <w:rsid w:val="00D845D2"/>
    <w:rsid w:val="00D8707A"/>
    <w:rsid w:val="00D872FD"/>
    <w:rsid w:val="00D911C0"/>
    <w:rsid w:val="00D91F5A"/>
    <w:rsid w:val="00D943FA"/>
    <w:rsid w:val="00D954BE"/>
    <w:rsid w:val="00D964A3"/>
    <w:rsid w:val="00DA0980"/>
    <w:rsid w:val="00DA1573"/>
    <w:rsid w:val="00DA1FBC"/>
    <w:rsid w:val="00DA210B"/>
    <w:rsid w:val="00DA2FD3"/>
    <w:rsid w:val="00DA6F4F"/>
    <w:rsid w:val="00DB0AF3"/>
    <w:rsid w:val="00DB4992"/>
    <w:rsid w:val="00DB67F8"/>
    <w:rsid w:val="00DB778D"/>
    <w:rsid w:val="00DB7894"/>
    <w:rsid w:val="00DC3934"/>
    <w:rsid w:val="00DC3AF4"/>
    <w:rsid w:val="00DC6CB1"/>
    <w:rsid w:val="00DC79EF"/>
    <w:rsid w:val="00DC7ADE"/>
    <w:rsid w:val="00DD0926"/>
    <w:rsid w:val="00DD3181"/>
    <w:rsid w:val="00DD5DBC"/>
    <w:rsid w:val="00DD76E1"/>
    <w:rsid w:val="00DE239D"/>
    <w:rsid w:val="00DE3F6C"/>
    <w:rsid w:val="00DE702C"/>
    <w:rsid w:val="00DE7B09"/>
    <w:rsid w:val="00DF0D10"/>
    <w:rsid w:val="00DF125E"/>
    <w:rsid w:val="00DF355D"/>
    <w:rsid w:val="00DF7470"/>
    <w:rsid w:val="00DF7645"/>
    <w:rsid w:val="00DF7B2A"/>
    <w:rsid w:val="00E00F3F"/>
    <w:rsid w:val="00E01CBE"/>
    <w:rsid w:val="00E040E8"/>
    <w:rsid w:val="00E06EF8"/>
    <w:rsid w:val="00E12F76"/>
    <w:rsid w:val="00E137C5"/>
    <w:rsid w:val="00E15DEB"/>
    <w:rsid w:val="00E17871"/>
    <w:rsid w:val="00E21A7E"/>
    <w:rsid w:val="00E22FA4"/>
    <w:rsid w:val="00E33B04"/>
    <w:rsid w:val="00E365F6"/>
    <w:rsid w:val="00E41E96"/>
    <w:rsid w:val="00E43409"/>
    <w:rsid w:val="00E44F72"/>
    <w:rsid w:val="00E5098D"/>
    <w:rsid w:val="00E52172"/>
    <w:rsid w:val="00E544B4"/>
    <w:rsid w:val="00E60C45"/>
    <w:rsid w:val="00E618A8"/>
    <w:rsid w:val="00E63352"/>
    <w:rsid w:val="00E63914"/>
    <w:rsid w:val="00E65C08"/>
    <w:rsid w:val="00E706D5"/>
    <w:rsid w:val="00E72ABE"/>
    <w:rsid w:val="00E741D9"/>
    <w:rsid w:val="00E75E52"/>
    <w:rsid w:val="00E80618"/>
    <w:rsid w:val="00E8154D"/>
    <w:rsid w:val="00E845E0"/>
    <w:rsid w:val="00E8616B"/>
    <w:rsid w:val="00E87F59"/>
    <w:rsid w:val="00E92443"/>
    <w:rsid w:val="00E930AB"/>
    <w:rsid w:val="00E93280"/>
    <w:rsid w:val="00E94FFB"/>
    <w:rsid w:val="00EA15EC"/>
    <w:rsid w:val="00EA2AB3"/>
    <w:rsid w:val="00EA3A58"/>
    <w:rsid w:val="00EA4533"/>
    <w:rsid w:val="00EA6195"/>
    <w:rsid w:val="00EA65EC"/>
    <w:rsid w:val="00EB12E1"/>
    <w:rsid w:val="00EB20FA"/>
    <w:rsid w:val="00EB7609"/>
    <w:rsid w:val="00EB7EAB"/>
    <w:rsid w:val="00EC029D"/>
    <w:rsid w:val="00EC20E1"/>
    <w:rsid w:val="00EC44ED"/>
    <w:rsid w:val="00EC7C00"/>
    <w:rsid w:val="00ED01B9"/>
    <w:rsid w:val="00ED1DFF"/>
    <w:rsid w:val="00ED33F0"/>
    <w:rsid w:val="00ED54D2"/>
    <w:rsid w:val="00ED7AD4"/>
    <w:rsid w:val="00EE3F3E"/>
    <w:rsid w:val="00EE4F68"/>
    <w:rsid w:val="00EE5996"/>
    <w:rsid w:val="00EE5A52"/>
    <w:rsid w:val="00EE630B"/>
    <w:rsid w:val="00EE741F"/>
    <w:rsid w:val="00EF04D8"/>
    <w:rsid w:val="00EF196B"/>
    <w:rsid w:val="00EF4AE8"/>
    <w:rsid w:val="00EF7351"/>
    <w:rsid w:val="00EF7527"/>
    <w:rsid w:val="00F003F0"/>
    <w:rsid w:val="00F034B3"/>
    <w:rsid w:val="00F05017"/>
    <w:rsid w:val="00F10684"/>
    <w:rsid w:val="00F106C3"/>
    <w:rsid w:val="00F15164"/>
    <w:rsid w:val="00F15CDD"/>
    <w:rsid w:val="00F20982"/>
    <w:rsid w:val="00F20E04"/>
    <w:rsid w:val="00F21369"/>
    <w:rsid w:val="00F23439"/>
    <w:rsid w:val="00F258B2"/>
    <w:rsid w:val="00F30DE6"/>
    <w:rsid w:val="00F35888"/>
    <w:rsid w:val="00F41339"/>
    <w:rsid w:val="00F42E9F"/>
    <w:rsid w:val="00F43624"/>
    <w:rsid w:val="00F43B04"/>
    <w:rsid w:val="00F479FE"/>
    <w:rsid w:val="00F47B2C"/>
    <w:rsid w:val="00F5066D"/>
    <w:rsid w:val="00F50CE3"/>
    <w:rsid w:val="00F536F7"/>
    <w:rsid w:val="00F53C90"/>
    <w:rsid w:val="00F54525"/>
    <w:rsid w:val="00F5531F"/>
    <w:rsid w:val="00F606AC"/>
    <w:rsid w:val="00F61D01"/>
    <w:rsid w:val="00F659C8"/>
    <w:rsid w:val="00F72B05"/>
    <w:rsid w:val="00F73E92"/>
    <w:rsid w:val="00F76512"/>
    <w:rsid w:val="00F84765"/>
    <w:rsid w:val="00F933A8"/>
    <w:rsid w:val="00F95874"/>
    <w:rsid w:val="00F97140"/>
    <w:rsid w:val="00FA15C9"/>
    <w:rsid w:val="00FA216F"/>
    <w:rsid w:val="00FA32A3"/>
    <w:rsid w:val="00FA40A2"/>
    <w:rsid w:val="00FA4559"/>
    <w:rsid w:val="00FA5591"/>
    <w:rsid w:val="00FA6485"/>
    <w:rsid w:val="00FA69FA"/>
    <w:rsid w:val="00FB0D75"/>
    <w:rsid w:val="00FB4653"/>
    <w:rsid w:val="00FC531D"/>
    <w:rsid w:val="00FC6E3C"/>
    <w:rsid w:val="00FD0AA6"/>
    <w:rsid w:val="00FD417F"/>
    <w:rsid w:val="00FD4558"/>
    <w:rsid w:val="00FE0D11"/>
    <w:rsid w:val="00FE1321"/>
    <w:rsid w:val="00FE4682"/>
    <w:rsid w:val="00FE7A25"/>
    <w:rsid w:val="00FF333A"/>
    <w:rsid w:val="00FF4EB0"/>
    <w:rsid w:val="00FF50E6"/>
    <w:rsid w:val="00FF602A"/>
    <w:rsid w:val="00FF6D9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58231"/>
  <w15:chartTrackingRefBased/>
  <w15:docId w15:val="{4C24CE14-035A-4EE4-AB36-EDF4C395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6E"/>
    <w:rPr>
      <w:rFonts w:eastAsiaTheme="minorHAnsi"/>
      <w:szCs w:val="24"/>
      <w:lang w:eastAsia="en-US" w:bidi="ar-SA"/>
    </w:rPr>
  </w:style>
  <w:style w:type="paragraph" w:styleId="Heading1">
    <w:name w:val="heading 1"/>
    <w:basedOn w:val="Normal"/>
    <w:next w:val="Normal"/>
    <w:link w:val="Heading1Char"/>
    <w:uiPriority w:val="9"/>
    <w:qFormat/>
    <w:rsid w:val="0016676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676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676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6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6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676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676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6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6E"/>
    <w:rPr>
      <w:rFonts w:eastAsiaTheme="majorEastAsia" w:cstheme="majorBidi"/>
      <w:color w:val="272727" w:themeColor="text1" w:themeTint="D8"/>
    </w:rPr>
  </w:style>
  <w:style w:type="paragraph" w:styleId="Title">
    <w:name w:val="Title"/>
    <w:basedOn w:val="Normal"/>
    <w:next w:val="Normal"/>
    <w:link w:val="TitleChar"/>
    <w:uiPriority w:val="10"/>
    <w:qFormat/>
    <w:rsid w:val="0016676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676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676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676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676E"/>
    <w:pPr>
      <w:spacing w:before="160"/>
      <w:jc w:val="center"/>
    </w:pPr>
    <w:rPr>
      <w:i/>
      <w:iCs/>
      <w:color w:val="404040" w:themeColor="text1" w:themeTint="BF"/>
    </w:rPr>
  </w:style>
  <w:style w:type="character" w:customStyle="1" w:styleId="QuoteChar">
    <w:name w:val="Quote Char"/>
    <w:basedOn w:val="DefaultParagraphFont"/>
    <w:link w:val="Quote"/>
    <w:uiPriority w:val="29"/>
    <w:rsid w:val="0016676E"/>
    <w:rPr>
      <w:i/>
      <w:iCs/>
      <w:color w:val="404040" w:themeColor="text1" w:themeTint="BF"/>
    </w:rPr>
  </w:style>
  <w:style w:type="paragraph" w:styleId="ListParagraph">
    <w:name w:val="List Paragraph"/>
    <w:basedOn w:val="Normal"/>
    <w:uiPriority w:val="34"/>
    <w:qFormat/>
    <w:rsid w:val="0016676E"/>
    <w:pPr>
      <w:ind w:left="720"/>
      <w:contextualSpacing/>
    </w:pPr>
  </w:style>
  <w:style w:type="character" w:styleId="IntenseEmphasis">
    <w:name w:val="Intense Emphasis"/>
    <w:basedOn w:val="DefaultParagraphFont"/>
    <w:uiPriority w:val="21"/>
    <w:qFormat/>
    <w:rsid w:val="0016676E"/>
    <w:rPr>
      <w:i/>
      <w:iCs/>
      <w:color w:val="0F4761" w:themeColor="accent1" w:themeShade="BF"/>
    </w:rPr>
  </w:style>
  <w:style w:type="paragraph" w:styleId="IntenseQuote">
    <w:name w:val="Intense Quote"/>
    <w:basedOn w:val="Normal"/>
    <w:next w:val="Normal"/>
    <w:link w:val="IntenseQuoteChar"/>
    <w:uiPriority w:val="30"/>
    <w:qFormat/>
    <w:rsid w:val="00166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6E"/>
    <w:rPr>
      <w:i/>
      <w:iCs/>
      <w:color w:val="0F4761" w:themeColor="accent1" w:themeShade="BF"/>
    </w:rPr>
  </w:style>
  <w:style w:type="character" w:styleId="IntenseReference">
    <w:name w:val="Intense Reference"/>
    <w:basedOn w:val="DefaultParagraphFont"/>
    <w:uiPriority w:val="32"/>
    <w:qFormat/>
    <w:rsid w:val="0016676E"/>
    <w:rPr>
      <w:b/>
      <w:bCs/>
      <w:smallCaps/>
      <w:color w:val="0F4761" w:themeColor="accent1" w:themeShade="BF"/>
      <w:spacing w:val="5"/>
    </w:rPr>
  </w:style>
  <w:style w:type="paragraph" w:styleId="FootnoteText">
    <w:name w:val="footnote text"/>
    <w:basedOn w:val="Normal"/>
    <w:link w:val="FootnoteTextChar"/>
    <w:uiPriority w:val="99"/>
    <w:unhideWhenUsed/>
    <w:rsid w:val="0016676E"/>
    <w:pPr>
      <w:spacing w:after="0" w:line="240" w:lineRule="auto"/>
    </w:pPr>
    <w:rPr>
      <w:sz w:val="20"/>
      <w:szCs w:val="20"/>
    </w:rPr>
  </w:style>
  <w:style w:type="character" w:customStyle="1" w:styleId="FootnoteTextChar">
    <w:name w:val="Footnote Text Char"/>
    <w:basedOn w:val="DefaultParagraphFont"/>
    <w:link w:val="FootnoteText"/>
    <w:uiPriority w:val="99"/>
    <w:rsid w:val="0016676E"/>
    <w:rPr>
      <w:rFonts w:eastAsiaTheme="minorHAnsi"/>
      <w:sz w:val="20"/>
      <w:szCs w:val="20"/>
      <w:lang w:eastAsia="en-US" w:bidi="ar-SA"/>
    </w:rPr>
  </w:style>
  <w:style w:type="character" w:styleId="FootnoteReference">
    <w:name w:val="footnote reference"/>
    <w:basedOn w:val="DefaultParagraphFont"/>
    <w:uiPriority w:val="99"/>
    <w:unhideWhenUsed/>
    <w:rsid w:val="0016676E"/>
    <w:rPr>
      <w:vertAlign w:val="superscript"/>
    </w:rPr>
  </w:style>
  <w:style w:type="paragraph" w:styleId="NormalWeb">
    <w:name w:val="Normal (Web)"/>
    <w:basedOn w:val="Normal"/>
    <w:uiPriority w:val="99"/>
    <w:unhideWhenUsed/>
    <w:rsid w:val="0016676E"/>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844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04C"/>
    <w:rPr>
      <w:rFonts w:eastAsiaTheme="minorHAnsi"/>
      <w:szCs w:val="24"/>
      <w:lang w:eastAsia="en-US" w:bidi="ar-SA"/>
    </w:rPr>
  </w:style>
  <w:style w:type="paragraph" w:styleId="Footer">
    <w:name w:val="footer"/>
    <w:basedOn w:val="Normal"/>
    <w:link w:val="FooterChar"/>
    <w:uiPriority w:val="99"/>
    <w:unhideWhenUsed/>
    <w:rsid w:val="00844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04C"/>
    <w:rPr>
      <w:rFonts w:eastAsiaTheme="minorHAnsi"/>
      <w:szCs w:val="24"/>
      <w:lang w:eastAsia="en-US" w:bidi="ar-SA"/>
    </w:rPr>
  </w:style>
  <w:style w:type="character" w:styleId="Hyperlink">
    <w:name w:val="Hyperlink"/>
    <w:basedOn w:val="DefaultParagraphFont"/>
    <w:uiPriority w:val="99"/>
    <w:unhideWhenUsed/>
    <w:rsid w:val="00A73D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695">
      <w:bodyDiv w:val="1"/>
      <w:marLeft w:val="0"/>
      <w:marRight w:val="0"/>
      <w:marTop w:val="0"/>
      <w:marBottom w:val="0"/>
      <w:divBdr>
        <w:top w:val="none" w:sz="0" w:space="0" w:color="auto"/>
        <w:left w:val="none" w:sz="0" w:space="0" w:color="auto"/>
        <w:bottom w:val="none" w:sz="0" w:space="0" w:color="auto"/>
        <w:right w:val="none" w:sz="0" w:space="0" w:color="auto"/>
      </w:divBdr>
      <w:divsChild>
        <w:div w:id="522867911">
          <w:marLeft w:val="0"/>
          <w:marRight w:val="0"/>
          <w:marTop w:val="0"/>
          <w:marBottom w:val="0"/>
          <w:divBdr>
            <w:top w:val="none" w:sz="0" w:space="0" w:color="3D3D3D"/>
            <w:left w:val="none" w:sz="0" w:space="0" w:color="3D3D3D"/>
            <w:bottom w:val="none" w:sz="0" w:space="0" w:color="3D3D3D"/>
            <w:right w:val="none" w:sz="0" w:space="0" w:color="3D3D3D"/>
          </w:divBdr>
          <w:divsChild>
            <w:div w:id="20991354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932929">
      <w:bodyDiv w:val="1"/>
      <w:marLeft w:val="0"/>
      <w:marRight w:val="0"/>
      <w:marTop w:val="0"/>
      <w:marBottom w:val="0"/>
      <w:divBdr>
        <w:top w:val="none" w:sz="0" w:space="0" w:color="auto"/>
        <w:left w:val="none" w:sz="0" w:space="0" w:color="auto"/>
        <w:bottom w:val="none" w:sz="0" w:space="0" w:color="auto"/>
        <w:right w:val="none" w:sz="0" w:space="0" w:color="auto"/>
      </w:divBdr>
      <w:divsChild>
        <w:div w:id="1608125064">
          <w:marLeft w:val="0"/>
          <w:marRight w:val="0"/>
          <w:marTop w:val="0"/>
          <w:marBottom w:val="0"/>
          <w:divBdr>
            <w:top w:val="none" w:sz="0" w:space="0" w:color="3D3D3D"/>
            <w:left w:val="none" w:sz="0" w:space="0" w:color="3D3D3D"/>
            <w:bottom w:val="none" w:sz="0" w:space="0" w:color="3D3D3D"/>
            <w:right w:val="none" w:sz="0" w:space="0" w:color="3D3D3D"/>
          </w:divBdr>
        </w:div>
      </w:divsChild>
    </w:div>
    <w:div w:id="328338606">
      <w:bodyDiv w:val="1"/>
      <w:marLeft w:val="0"/>
      <w:marRight w:val="0"/>
      <w:marTop w:val="0"/>
      <w:marBottom w:val="0"/>
      <w:divBdr>
        <w:top w:val="none" w:sz="0" w:space="0" w:color="auto"/>
        <w:left w:val="none" w:sz="0" w:space="0" w:color="auto"/>
        <w:bottom w:val="none" w:sz="0" w:space="0" w:color="auto"/>
        <w:right w:val="none" w:sz="0" w:space="0" w:color="auto"/>
      </w:divBdr>
      <w:divsChild>
        <w:div w:id="832338476">
          <w:marLeft w:val="0"/>
          <w:marRight w:val="0"/>
          <w:marTop w:val="0"/>
          <w:marBottom w:val="0"/>
          <w:divBdr>
            <w:top w:val="none" w:sz="0" w:space="0" w:color="3D3D3D"/>
            <w:left w:val="none" w:sz="0" w:space="0" w:color="3D3D3D"/>
            <w:bottom w:val="none" w:sz="0" w:space="0" w:color="3D3D3D"/>
            <w:right w:val="none" w:sz="0" w:space="0" w:color="3D3D3D"/>
          </w:divBdr>
          <w:divsChild>
            <w:div w:id="13830160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9531389">
      <w:bodyDiv w:val="1"/>
      <w:marLeft w:val="0"/>
      <w:marRight w:val="0"/>
      <w:marTop w:val="0"/>
      <w:marBottom w:val="0"/>
      <w:divBdr>
        <w:top w:val="none" w:sz="0" w:space="0" w:color="auto"/>
        <w:left w:val="none" w:sz="0" w:space="0" w:color="auto"/>
        <w:bottom w:val="none" w:sz="0" w:space="0" w:color="auto"/>
        <w:right w:val="none" w:sz="0" w:space="0" w:color="auto"/>
      </w:divBdr>
      <w:divsChild>
        <w:div w:id="1499736191">
          <w:marLeft w:val="0"/>
          <w:marRight w:val="0"/>
          <w:marTop w:val="0"/>
          <w:marBottom w:val="0"/>
          <w:divBdr>
            <w:top w:val="none" w:sz="0" w:space="0" w:color="3D3D3D"/>
            <w:left w:val="none" w:sz="0" w:space="0" w:color="3D3D3D"/>
            <w:bottom w:val="none" w:sz="0" w:space="0" w:color="3D3D3D"/>
            <w:right w:val="none" w:sz="0" w:space="0" w:color="3D3D3D"/>
          </w:divBdr>
          <w:divsChild>
            <w:div w:id="9427629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1760089">
      <w:bodyDiv w:val="1"/>
      <w:marLeft w:val="0"/>
      <w:marRight w:val="0"/>
      <w:marTop w:val="0"/>
      <w:marBottom w:val="0"/>
      <w:divBdr>
        <w:top w:val="none" w:sz="0" w:space="0" w:color="auto"/>
        <w:left w:val="none" w:sz="0" w:space="0" w:color="auto"/>
        <w:bottom w:val="none" w:sz="0" w:space="0" w:color="auto"/>
        <w:right w:val="none" w:sz="0" w:space="0" w:color="auto"/>
      </w:divBdr>
      <w:divsChild>
        <w:div w:id="926963689">
          <w:marLeft w:val="0"/>
          <w:marRight w:val="0"/>
          <w:marTop w:val="0"/>
          <w:marBottom w:val="0"/>
          <w:divBdr>
            <w:top w:val="none" w:sz="0" w:space="0" w:color="3D3D3D"/>
            <w:left w:val="none" w:sz="0" w:space="0" w:color="3D3D3D"/>
            <w:bottom w:val="none" w:sz="0" w:space="0" w:color="3D3D3D"/>
            <w:right w:val="none" w:sz="0" w:space="0" w:color="3D3D3D"/>
          </w:divBdr>
          <w:divsChild>
            <w:div w:id="551697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2741574">
      <w:bodyDiv w:val="1"/>
      <w:marLeft w:val="0"/>
      <w:marRight w:val="0"/>
      <w:marTop w:val="0"/>
      <w:marBottom w:val="0"/>
      <w:divBdr>
        <w:top w:val="none" w:sz="0" w:space="0" w:color="auto"/>
        <w:left w:val="none" w:sz="0" w:space="0" w:color="auto"/>
        <w:bottom w:val="none" w:sz="0" w:space="0" w:color="auto"/>
        <w:right w:val="none" w:sz="0" w:space="0" w:color="auto"/>
      </w:divBdr>
      <w:divsChild>
        <w:div w:id="1471166622">
          <w:marLeft w:val="0"/>
          <w:marRight w:val="0"/>
          <w:marTop w:val="0"/>
          <w:marBottom w:val="0"/>
          <w:divBdr>
            <w:top w:val="none" w:sz="0" w:space="0" w:color="3D3D3D"/>
            <w:left w:val="none" w:sz="0" w:space="0" w:color="3D3D3D"/>
            <w:bottom w:val="none" w:sz="0" w:space="0" w:color="3D3D3D"/>
            <w:right w:val="none" w:sz="0" w:space="0" w:color="3D3D3D"/>
          </w:divBdr>
          <w:divsChild>
            <w:div w:id="11756813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7903550">
      <w:bodyDiv w:val="1"/>
      <w:marLeft w:val="0"/>
      <w:marRight w:val="0"/>
      <w:marTop w:val="0"/>
      <w:marBottom w:val="0"/>
      <w:divBdr>
        <w:top w:val="none" w:sz="0" w:space="0" w:color="auto"/>
        <w:left w:val="none" w:sz="0" w:space="0" w:color="auto"/>
        <w:bottom w:val="none" w:sz="0" w:space="0" w:color="auto"/>
        <w:right w:val="none" w:sz="0" w:space="0" w:color="auto"/>
      </w:divBdr>
      <w:divsChild>
        <w:div w:id="1496606451">
          <w:marLeft w:val="0"/>
          <w:marRight w:val="0"/>
          <w:marTop w:val="0"/>
          <w:marBottom w:val="0"/>
          <w:divBdr>
            <w:top w:val="none" w:sz="0" w:space="0" w:color="3D3D3D"/>
            <w:left w:val="none" w:sz="0" w:space="0" w:color="3D3D3D"/>
            <w:bottom w:val="none" w:sz="0" w:space="0" w:color="3D3D3D"/>
            <w:right w:val="none" w:sz="0" w:space="0" w:color="3D3D3D"/>
          </w:divBdr>
          <w:divsChild>
            <w:div w:id="18854802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7177459">
      <w:bodyDiv w:val="1"/>
      <w:marLeft w:val="0"/>
      <w:marRight w:val="0"/>
      <w:marTop w:val="0"/>
      <w:marBottom w:val="0"/>
      <w:divBdr>
        <w:top w:val="none" w:sz="0" w:space="0" w:color="auto"/>
        <w:left w:val="none" w:sz="0" w:space="0" w:color="auto"/>
        <w:bottom w:val="none" w:sz="0" w:space="0" w:color="auto"/>
        <w:right w:val="none" w:sz="0" w:space="0" w:color="auto"/>
      </w:divBdr>
      <w:divsChild>
        <w:div w:id="2134781739">
          <w:marLeft w:val="0"/>
          <w:marRight w:val="0"/>
          <w:marTop w:val="0"/>
          <w:marBottom w:val="0"/>
          <w:divBdr>
            <w:top w:val="none" w:sz="0" w:space="0" w:color="3D3D3D"/>
            <w:left w:val="none" w:sz="0" w:space="0" w:color="3D3D3D"/>
            <w:bottom w:val="none" w:sz="0" w:space="0" w:color="3D3D3D"/>
            <w:right w:val="none" w:sz="0" w:space="0" w:color="3D3D3D"/>
          </w:divBdr>
          <w:divsChild>
            <w:div w:id="254555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6710088">
      <w:bodyDiv w:val="1"/>
      <w:marLeft w:val="0"/>
      <w:marRight w:val="0"/>
      <w:marTop w:val="0"/>
      <w:marBottom w:val="0"/>
      <w:divBdr>
        <w:top w:val="none" w:sz="0" w:space="0" w:color="auto"/>
        <w:left w:val="none" w:sz="0" w:space="0" w:color="auto"/>
        <w:bottom w:val="none" w:sz="0" w:space="0" w:color="auto"/>
        <w:right w:val="none" w:sz="0" w:space="0" w:color="auto"/>
      </w:divBdr>
      <w:divsChild>
        <w:div w:id="1074232310">
          <w:marLeft w:val="0"/>
          <w:marRight w:val="0"/>
          <w:marTop w:val="0"/>
          <w:marBottom w:val="0"/>
          <w:divBdr>
            <w:top w:val="none" w:sz="0" w:space="0" w:color="3D3D3D"/>
            <w:left w:val="none" w:sz="0" w:space="0" w:color="3D3D3D"/>
            <w:bottom w:val="none" w:sz="0" w:space="0" w:color="3D3D3D"/>
            <w:right w:val="none" w:sz="0" w:space="0" w:color="3D3D3D"/>
          </w:divBdr>
        </w:div>
      </w:divsChild>
    </w:div>
    <w:div w:id="737480125">
      <w:bodyDiv w:val="1"/>
      <w:marLeft w:val="0"/>
      <w:marRight w:val="0"/>
      <w:marTop w:val="0"/>
      <w:marBottom w:val="0"/>
      <w:divBdr>
        <w:top w:val="none" w:sz="0" w:space="0" w:color="auto"/>
        <w:left w:val="none" w:sz="0" w:space="0" w:color="auto"/>
        <w:bottom w:val="none" w:sz="0" w:space="0" w:color="auto"/>
        <w:right w:val="none" w:sz="0" w:space="0" w:color="auto"/>
      </w:divBdr>
      <w:divsChild>
        <w:div w:id="474302570">
          <w:marLeft w:val="0"/>
          <w:marRight w:val="0"/>
          <w:marTop w:val="0"/>
          <w:marBottom w:val="0"/>
          <w:divBdr>
            <w:top w:val="none" w:sz="0" w:space="0" w:color="3D3D3D"/>
            <w:left w:val="none" w:sz="0" w:space="0" w:color="3D3D3D"/>
            <w:bottom w:val="none" w:sz="0" w:space="0" w:color="3D3D3D"/>
            <w:right w:val="none" w:sz="0" w:space="0" w:color="3D3D3D"/>
          </w:divBdr>
          <w:divsChild>
            <w:div w:id="13050862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3471466">
      <w:bodyDiv w:val="1"/>
      <w:marLeft w:val="0"/>
      <w:marRight w:val="0"/>
      <w:marTop w:val="0"/>
      <w:marBottom w:val="0"/>
      <w:divBdr>
        <w:top w:val="none" w:sz="0" w:space="0" w:color="auto"/>
        <w:left w:val="none" w:sz="0" w:space="0" w:color="auto"/>
        <w:bottom w:val="none" w:sz="0" w:space="0" w:color="auto"/>
        <w:right w:val="none" w:sz="0" w:space="0" w:color="auto"/>
      </w:divBdr>
      <w:divsChild>
        <w:div w:id="956982704">
          <w:marLeft w:val="0"/>
          <w:marRight w:val="0"/>
          <w:marTop w:val="0"/>
          <w:marBottom w:val="0"/>
          <w:divBdr>
            <w:top w:val="none" w:sz="0" w:space="0" w:color="3D3D3D"/>
            <w:left w:val="none" w:sz="0" w:space="0" w:color="3D3D3D"/>
            <w:bottom w:val="none" w:sz="0" w:space="0" w:color="3D3D3D"/>
            <w:right w:val="none" w:sz="0" w:space="0" w:color="3D3D3D"/>
          </w:divBdr>
          <w:divsChild>
            <w:div w:id="8165374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6512697">
      <w:bodyDiv w:val="1"/>
      <w:marLeft w:val="0"/>
      <w:marRight w:val="0"/>
      <w:marTop w:val="0"/>
      <w:marBottom w:val="0"/>
      <w:divBdr>
        <w:top w:val="none" w:sz="0" w:space="0" w:color="auto"/>
        <w:left w:val="none" w:sz="0" w:space="0" w:color="auto"/>
        <w:bottom w:val="none" w:sz="0" w:space="0" w:color="auto"/>
        <w:right w:val="none" w:sz="0" w:space="0" w:color="auto"/>
      </w:divBdr>
      <w:divsChild>
        <w:div w:id="1641037643">
          <w:marLeft w:val="0"/>
          <w:marRight w:val="0"/>
          <w:marTop w:val="0"/>
          <w:marBottom w:val="0"/>
          <w:divBdr>
            <w:top w:val="none" w:sz="0" w:space="0" w:color="3D3D3D"/>
            <w:left w:val="none" w:sz="0" w:space="0" w:color="3D3D3D"/>
            <w:bottom w:val="none" w:sz="0" w:space="0" w:color="3D3D3D"/>
            <w:right w:val="none" w:sz="0" w:space="0" w:color="3D3D3D"/>
          </w:divBdr>
          <w:divsChild>
            <w:div w:id="9133979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7498696">
      <w:bodyDiv w:val="1"/>
      <w:marLeft w:val="0"/>
      <w:marRight w:val="0"/>
      <w:marTop w:val="0"/>
      <w:marBottom w:val="0"/>
      <w:divBdr>
        <w:top w:val="none" w:sz="0" w:space="0" w:color="auto"/>
        <w:left w:val="none" w:sz="0" w:space="0" w:color="auto"/>
        <w:bottom w:val="none" w:sz="0" w:space="0" w:color="auto"/>
        <w:right w:val="none" w:sz="0" w:space="0" w:color="auto"/>
      </w:divBdr>
      <w:divsChild>
        <w:div w:id="1763984664">
          <w:marLeft w:val="0"/>
          <w:marRight w:val="0"/>
          <w:marTop w:val="0"/>
          <w:marBottom w:val="0"/>
          <w:divBdr>
            <w:top w:val="none" w:sz="0" w:space="0" w:color="3D3D3D"/>
            <w:left w:val="none" w:sz="0" w:space="0" w:color="3D3D3D"/>
            <w:bottom w:val="none" w:sz="0" w:space="0" w:color="3D3D3D"/>
            <w:right w:val="none" w:sz="0" w:space="0" w:color="3D3D3D"/>
          </w:divBdr>
          <w:divsChild>
            <w:div w:id="10235522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4033943">
      <w:bodyDiv w:val="1"/>
      <w:marLeft w:val="0"/>
      <w:marRight w:val="0"/>
      <w:marTop w:val="0"/>
      <w:marBottom w:val="0"/>
      <w:divBdr>
        <w:top w:val="none" w:sz="0" w:space="0" w:color="auto"/>
        <w:left w:val="none" w:sz="0" w:space="0" w:color="auto"/>
        <w:bottom w:val="none" w:sz="0" w:space="0" w:color="auto"/>
        <w:right w:val="none" w:sz="0" w:space="0" w:color="auto"/>
      </w:divBdr>
      <w:divsChild>
        <w:div w:id="551230097">
          <w:marLeft w:val="0"/>
          <w:marRight w:val="0"/>
          <w:marTop w:val="0"/>
          <w:marBottom w:val="0"/>
          <w:divBdr>
            <w:top w:val="none" w:sz="0" w:space="0" w:color="3D3D3D"/>
            <w:left w:val="none" w:sz="0" w:space="0" w:color="3D3D3D"/>
            <w:bottom w:val="none" w:sz="0" w:space="0" w:color="3D3D3D"/>
            <w:right w:val="none" w:sz="0" w:space="0" w:color="3D3D3D"/>
          </w:divBdr>
          <w:divsChild>
            <w:div w:id="6694058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3577238">
      <w:bodyDiv w:val="1"/>
      <w:marLeft w:val="0"/>
      <w:marRight w:val="0"/>
      <w:marTop w:val="0"/>
      <w:marBottom w:val="0"/>
      <w:divBdr>
        <w:top w:val="none" w:sz="0" w:space="0" w:color="auto"/>
        <w:left w:val="none" w:sz="0" w:space="0" w:color="auto"/>
        <w:bottom w:val="none" w:sz="0" w:space="0" w:color="auto"/>
        <w:right w:val="none" w:sz="0" w:space="0" w:color="auto"/>
      </w:divBdr>
      <w:divsChild>
        <w:div w:id="701250713">
          <w:marLeft w:val="0"/>
          <w:marRight w:val="0"/>
          <w:marTop w:val="0"/>
          <w:marBottom w:val="0"/>
          <w:divBdr>
            <w:top w:val="none" w:sz="0" w:space="0" w:color="3D3D3D"/>
            <w:left w:val="none" w:sz="0" w:space="0" w:color="3D3D3D"/>
            <w:bottom w:val="none" w:sz="0" w:space="0" w:color="3D3D3D"/>
            <w:right w:val="none" w:sz="0" w:space="0" w:color="3D3D3D"/>
          </w:divBdr>
          <w:divsChild>
            <w:div w:id="17720507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1866368">
      <w:bodyDiv w:val="1"/>
      <w:marLeft w:val="0"/>
      <w:marRight w:val="0"/>
      <w:marTop w:val="0"/>
      <w:marBottom w:val="0"/>
      <w:divBdr>
        <w:top w:val="none" w:sz="0" w:space="0" w:color="auto"/>
        <w:left w:val="none" w:sz="0" w:space="0" w:color="auto"/>
        <w:bottom w:val="none" w:sz="0" w:space="0" w:color="auto"/>
        <w:right w:val="none" w:sz="0" w:space="0" w:color="auto"/>
      </w:divBdr>
      <w:divsChild>
        <w:div w:id="115637396">
          <w:marLeft w:val="0"/>
          <w:marRight w:val="0"/>
          <w:marTop w:val="0"/>
          <w:marBottom w:val="0"/>
          <w:divBdr>
            <w:top w:val="none" w:sz="0" w:space="0" w:color="3D3D3D"/>
            <w:left w:val="none" w:sz="0" w:space="0" w:color="3D3D3D"/>
            <w:bottom w:val="none" w:sz="0" w:space="0" w:color="3D3D3D"/>
            <w:right w:val="none" w:sz="0" w:space="0" w:color="3D3D3D"/>
          </w:divBdr>
          <w:divsChild>
            <w:div w:id="130812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8183501">
      <w:bodyDiv w:val="1"/>
      <w:marLeft w:val="0"/>
      <w:marRight w:val="0"/>
      <w:marTop w:val="0"/>
      <w:marBottom w:val="0"/>
      <w:divBdr>
        <w:top w:val="none" w:sz="0" w:space="0" w:color="auto"/>
        <w:left w:val="none" w:sz="0" w:space="0" w:color="auto"/>
        <w:bottom w:val="none" w:sz="0" w:space="0" w:color="auto"/>
        <w:right w:val="none" w:sz="0" w:space="0" w:color="auto"/>
      </w:divBdr>
      <w:divsChild>
        <w:div w:id="1052733751">
          <w:marLeft w:val="0"/>
          <w:marRight w:val="0"/>
          <w:marTop w:val="0"/>
          <w:marBottom w:val="0"/>
          <w:divBdr>
            <w:top w:val="none" w:sz="0" w:space="0" w:color="3D3D3D"/>
            <w:left w:val="none" w:sz="0" w:space="0" w:color="3D3D3D"/>
            <w:bottom w:val="none" w:sz="0" w:space="0" w:color="3D3D3D"/>
            <w:right w:val="none" w:sz="0" w:space="0" w:color="3D3D3D"/>
          </w:divBdr>
          <w:divsChild>
            <w:div w:id="1913466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9471827">
      <w:bodyDiv w:val="1"/>
      <w:marLeft w:val="0"/>
      <w:marRight w:val="0"/>
      <w:marTop w:val="0"/>
      <w:marBottom w:val="0"/>
      <w:divBdr>
        <w:top w:val="none" w:sz="0" w:space="0" w:color="auto"/>
        <w:left w:val="none" w:sz="0" w:space="0" w:color="auto"/>
        <w:bottom w:val="none" w:sz="0" w:space="0" w:color="auto"/>
        <w:right w:val="none" w:sz="0" w:space="0" w:color="auto"/>
      </w:divBdr>
      <w:divsChild>
        <w:div w:id="1974364120">
          <w:marLeft w:val="0"/>
          <w:marRight w:val="0"/>
          <w:marTop w:val="0"/>
          <w:marBottom w:val="0"/>
          <w:divBdr>
            <w:top w:val="none" w:sz="0" w:space="0" w:color="3D3D3D"/>
            <w:left w:val="none" w:sz="0" w:space="0" w:color="3D3D3D"/>
            <w:bottom w:val="none" w:sz="0" w:space="0" w:color="3D3D3D"/>
            <w:right w:val="none" w:sz="0" w:space="0" w:color="3D3D3D"/>
          </w:divBdr>
          <w:divsChild>
            <w:div w:id="1127498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3D32C-86A4-4F78-B6E1-B46BBE5BB88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4960</Words>
  <Characters>26987</Characters>
  <Application>Microsoft Office Word</Application>
  <DocSecurity>0</DocSecurity>
  <Lines>1124</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2</cp:revision>
  <dcterms:created xsi:type="dcterms:W3CDTF">2025-04-18T12:49:00Z</dcterms:created>
  <dcterms:modified xsi:type="dcterms:W3CDTF">2025-04-18T12:49:00Z</dcterms:modified>
</cp:coreProperties>
</file>