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647F" w14:textId="77777777" w:rsidR="00E571A4" w:rsidRPr="002A42E8" w:rsidRDefault="00E571A4" w:rsidP="00E571A4">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COMMONWEALTH OF MASSACHUSETTS </w:t>
      </w:r>
    </w:p>
    <w:p w14:paraId="32232C50" w14:textId="77777777" w:rsidR="00E571A4" w:rsidRPr="002A42E8" w:rsidRDefault="00E571A4" w:rsidP="00E571A4">
      <w:pPr>
        <w:spacing w:after="0" w:line="240" w:lineRule="auto"/>
        <w:jc w:val="center"/>
        <w:rPr>
          <w:rFonts w:ascii="Aptos" w:hAnsi="Aptos" w:cs="Times New Roman"/>
          <w:b/>
          <w:bCs/>
          <w:sz w:val="28"/>
          <w:szCs w:val="28"/>
        </w:rPr>
      </w:pPr>
      <w:r w:rsidRPr="002A42E8">
        <w:rPr>
          <w:rFonts w:ascii="Aptos" w:hAnsi="Aptos" w:cs="Times New Roman"/>
          <w:b/>
          <w:bCs/>
          <w:sz w:val="28"/>
          <w:szCs w:val="28"/>
        </w:rPr>
        <w:t xml:space="preserve">DIVISION OF ADMINISTRATIVE LAW APPEALS </w:t>
      </w:r>
    </w:p>
    <w:p w14:paraId="0A67BA2E" w14:textId="77777777" w:rsidR="00E571A4" w:rsidRPr="00C14E43" w:rsidRDefault="00E571A4" w:rsidP="00E571A4">
      <w:pPr>
        <w:spacing w:after="0" w:line="240" w:lineRule="auto"/>
        <w:jc w:val="center"/>
        <w:rPr>
          <w:rFonts w:ascii="Aptos" w:hAnsi="Aptos" w:cs="Times New Roman"/>
          <w:b/>
          <w:bCs/>
          <w:sz w:val="28"/>
          <w:szCs w:val="28"/>
        </w:rPr>
      </w:pPr>
      <w:r w:rsidRPr="002A42E8">
        <w:rPr>
          <w:rFonts w:ascii="Aptos" w:hAnsi="Aptos" w:cs="Times New Roman"/>
          <w:b/>
          <w:bCs/>
          <w:sz w:val="28"/>
          <w:szCs w:val="28"/>
        </w:rPr>
        <w:t>BUREAU OF SPECIAL EDUCATION APPEALS</w:t>
      </w:r>
    </w:p>
    <w:p w14:paraId="173022A9" w14:textId="77777777" w:rsidR="004835AB" w:rsidRPr="002A42E8" w:rsidRDefault="004835AB" w:rsidP="001162E6">
      <w:pPr>
        <w:spacing w:after="0" w:line="240" w:lineRule="auto"/>
        <w:rPr>
          <w:rFonts w:ascii="Aptos" w:hAnsi="Aptos" w:cs="Times New Roman"/>
          <w:b/>
          <w:bCs/>
          <w:sz w:val="25"/>
          <w:szCs w:val="25"/>
        </w:rPr>
      </w:pPr>
    </w:p>
    <w:p w14:paraId="51FCCE85" w14:textId="40021752" w:rsidR="00E571A4" w:rsidRPr="001162E6" w:rsidRDefault="00E571A4" w:rsidP="001162E6">
      <w:pPr>
        <w:spacing w:after="0" w:line="240" w:lineRule="auto"/>
        <w:ind w:left="720" w:hanging="720"/>
        <w:rPr>
          <w:rFonts w:ascii="Aptos" w:hAnsi="Aptos" w:cs="Times New Roman"/>
          <w:b/>
          <w:bCs/>
          <w:sz w:val="25"/>
          <w:szCs w:val="25"/>
        </w:rPr>
      </w:pPr>
      <w:r w:rsidRPr="00401ABB">
        <w:rPr>
          <w:rFonts w:ascii="Aptos" w:hAnsi="Aptos" w:cs="Times New Roman"/>
          <w:b/>
          <w:bCs/>
          <w:sz w:val="25"/>
          <w:szCs w:val="25"/>
        </w:rPr>
        <w:t xml:space="preserve">In Re: </w:t>
      </w:r>
      <w:r w:rsidRPr="00401ABB">
        <w:rPr>
          <w:rFonts w:ascii="Aptos" w:hAnsi="Aptos" w:cs="Times New Roman"/>
          <w:b/>
          <w:bCs/>
          <w:sz w:val="25"/>
          <w:szCs w:val="25"/>
        </w:rPr>
        <w:tab/>
        <w:t xml:space="preserve">Student &amp; </w:t>
      </w:r>
      <w:r>
        <w:rPr>
          <w:rFonts w:ascii="Aptos" w:hAnsi="Aptos" w:cs="Times New Roman"/>
          <w:b/>
          <w:bCs/>
          <w:sz w:val="25"/>
          <w:szCs w:val="25"/>
        </w:rPr>
        <w:t>Boston</w:t>
      </w:r>
      <w:r w:rsidRPr="00401ABB">
        <w:rPr>
          <w:rFonts w:ascii="Aptos" w:hAnsi="Aptos" w:cs="Times New Roman"/>
          <w:b/>
          <w:bCs/>
          <w:sz w:val="25"/>
          <w:szCs w:val="25"/>
        </w:rPr>
        <w:t xml:space="preserve"> Public Schools </w:t>
      </w:r>
      <w:r w:rsidRPr="00401ABB">
        <w:rPr>
          <w:rFonts w:ascii="Aptos" w:hAnsi="Aptos" w:cs="Times New Roman"/>
          <w:b/>
          <w:bCs/>
          <w:sz w:val="25"/>
          <w:szCs w:val="25"/>
        </w:rPr>
        <w:tab/>
      </w:r>
      <w:r w:rsidRPr="00401ABB">
        <w:rPr>
          <w:rFonts w:ascii="Aptos" w:hAnsi="Aptos" w:cs="Times New Roman"/>
          <w:b/>
          <w:bCs/>
          <w:sz w:val="25"/>
          <w:szCs w:val="25"/>
        </w:rPr>
        <w:tab/>
      </w:r>
      <w:r w:rsidRPr="00401ABB">
        <w:rPr>
          <w:rFonts w:ascii="Aptos" w:hAnsi="Aptos" w:cs="Times New Roman"/>
          <w:b/>
          <w:bCs/>
          <w:sz w:val="25"/>
          <w:szCs w:val="25"/>
        </w:rPr>
        <w:tab/>
      </w:r>
      <w:r w:rsidRPr="00401ABB">
        <w:rPr>
          <w:rFonts w:ascii="Aptos" w:hAnsi="Aptos" w:cs="Times New Roman"/>
          <w:b/>
          <w:bCs/>
          <w:sz w:val="25"/>
          <w:szCs w:val="25"/>
        </w:rPr>
        <w:tab/>
        <w:t xml:space="preserve">       BSEA # 250</w:t>
      </w:r>
      <w:r>
        <w:rPr>
          <w:rFonts w:ascii="Aptos" w:hAnsi="Aptos" w:cs="Times New Roman"/>
          <w:b/>
          <w:bCs/>
          <w:sz w:val="25"/>
          <w:szCs w:val="25"/>
        </w:rPr>
        <w:t>9839</w:t>
      </w:r>
    </w:p>
    <w:p w14:paraId="32621F5C" w14:textId="77777777" w:rsidR="004835AB" w:rsidRPr="00401ABB" w:rsidRDefault="004835AB" w:rsidP="00E571A4">
      <w:pPr>
        <w:spacing w:after="0" w:line="240" w:lineRule="auto"/>
        <w:ind w:left="720" w:hanging="720"/>
        <w:jc w:val="center"/>
        <w:rPr>
          <w:rFonts w:ascii="Aptos" w:hAnsi="Aptos" w:cs="Times New Roman"/>
          <w:b/>
          <w:bCs/>
          <w:sz w:val="25"/>
          <w:szCs w:val="25"/>
          <w:u w:val="single"/>
        </w:rPr>
      </w:pPr>
    </w:p>
    <w:p w14:paraId="6A8B99BB" w14:textId="23AFF611" w:rsidR="00E571A4" w:rsidRPr="00401ABB" w:rsidRDefault="00E571A4" w:rsidP="00E571A4">
      <w:pPr>
        <w:spacing w:after="0" w:line="240" w:lineRule="auto"/>
        <w:ind w:left="720" w:hanging="720"/>
        <w:jc w:val="center"/>
        <w:rPr>
          <w:rFonts w:ascii="Aptos" w:hAnsi="Aptos" w:cs="Times New Roman"/>
          <w:b/>
          <w:bCs/>
          <w:sz w:val="25"/>
          <w:szCs w:val="25"/>
          <w:u w:val="single"/>
        </w:rPr>
      </w:pPr>
      <w:bookmarkStart w:id="0" w:name="_Hlk189159859"/>
      <w:r w:rsidRPr="00401ABB">
        <w:rPr>
          <w:rFonts w:ascii="Aptos" w:hAnsi="Aptos" w:cs="Times New Roman"/>
          <w:b/>
          <w:bCs/>
          <w:sz w:val="25"/>
          <w:szCs w:val="25"/>
          <w:u w:val="single"/>
        </w:rPr>
        <w:t xml:space="preserve">RULING ON </w:t>
      </w:r>
      <w:r>
        <w:rPr>
          <w:rFonts w:ascii="Aptos" w:hAnsi="Aptos" w:cs="Times New Roman"/>
          <w:b/>
          <w:bCs/>
          <w:sz w:val="25"/>
          <w:szCs w:val="25"/>
          <w:u w:val="single"/>
        </w:rPr>
        <w:t>BOSTON</w:t>
      </w:r>
      <w:r w:rsidRPr="00401ABB">
        <w:rPr>
          <w:rFonts w:ascii="Aptos" w:hAnsi="Aptos" w:cs="Times New Roman"/>
          <w:b/>
          <w:bCs/>
          <w:sz w:val="25"/>
          <w:szCs w:val="25"/>
          <w:u w:val="single"/>
        </w:rPr>
        <w:t xml:space="preserve"> PUBLIC SCHOOL</w:t>
      </w:r>
      <w:r w:rsidR="003237CD">
        <w:rPr>
          <w:rFonts w:ascii="Aptos" w:hAnsi="Aptos" w:cs="Times New Roman"/>
          <w:b/>
          <w:bCs/>
          <w:sz w:val="25"/>
          <w:szCs w:val="25"/>
          <w:u w:val="single"/>
        </w:rPr>
        <w:t>S</w:t>
      </w:r>
      <w:r w:rsidR="005F56AF">
        <w:rPr>
          <w:rFonts w:ascii="Aptos" w:hAnsi="Aptos" w:cs="Times New Roman"/>
          <w:b/>
          <w:bCs/>
          <w:sz w:val="25"/>
          <w:szCs w:val="25"/>
          <w:u w:val="single"/>
        </w:rPr>
        <w:t>’</w:t>
      </w:r>
      <w:r w:rsidR="003237CD">
        <w:rPr>
          <w:rFonts w:ascii="Aptos" w:hAnsi="Aptos" w:cs="Times New Roman"/>
          <w:b/>
          <w:bCs/>
          <w:sz w:val="25"/>
          <w:szCs w:val="25"/>
          <w:u w:val="single"/>
        </w:rPr>
        <w:t xml:space="preserve"> </w:t>
      </w:r>
      <w:r w:rsidRPr="00401ABB">
        <w:rPr>
          <w:rFonts w:ascii="Aptos" w:hAnsi="Aptos" w:cs="Times New Roman"/>
          <w:b/>
          <w:bCs/>
          <w:sz w:val="25"/>
          <w:szCs w:val="25"/>
          <w:u w:val="single"/>
        </w:rPr>
        <w:t xml:space="preserve">MOTION TO JOIN </w:t>
      </w:r>
    </w:p>
    <w:p w14:paraId="6ED4DABA" w14:textId="6647CBCD" w:rsidR="00E571A4" w:rsidRPr="001162E6" w:rsidRDefault="00E571A4" w:rsidP="001162E6">
      <w:pPr>
        <w:spacing w:after="0" w:line="240" w:lineRule="auto"/>
        <w:ind w:left="720" w:hanging="720"/>
        <w:jc w:val="center"/>
        <w:rPr>
          <w:rFonts w:ascii="Aptos" w:hAnsi="Aptos" w:cs="Times New Roman"/>
          <w:b/>
          <w:bCs/>
          <w:sz w:val="25"/>
          <w:szCs w:val="25"/>
          <w:u w:val="single"/>
        </w:rPr>
      </w:pPr>
      <w:r w:rsidRPr="00401ABB">
        <w:rPr>
          <w:rFonts w:ascii="Aptos" w:hAnsi="Aptos" w:cs="Times New Roman"/>
          <w:b/>
          <w:bCs/>
          <w:sz w:val="25"/>
          <w:szCs w:val="25"/>
          <w:u w:val="single"/>
        </w:rPr>
        <w:t xml:space="preserve">THE MASSACHUSETTS DEPARTMENT OF </w:t>
      </w:r>
      <w:r>
        <w:rPr>
          <w:rFonts w:ascii="Aptos" w:hAnsi="Aptos" w:cs="Times New Roman"/>
          <w:b/>
          <w:bCs/>
          <w:sz w:val="25"/>
          <w:szCs w:val="25"/>
          <w:u w:val="single"/>
        </w:rPr>
        <w:t>MENTAL HEALTH</w:t>
      </w:r>
      <w:bookmarkEnd w:id="0"/>
    </w:p>
    <w:p w14:paraId="090E8813" w14:textId="77777777" w:rsidR="004835AB" w:rsidRPr="00401ABB" w:rsidRDefault="004835AB" w:rsidP="00E571A4">
      <w:pPr>
        <w:spacing w:after="0" w:line="240" w:lineRule="auto"/>
        <w:rPr>
          <w:rFonts w:ascii="Aptos" w:hAnsi="Aptos" w:cs="Times New Roman"/>
          <w:sz w:val="25"/>
          <w:szCs w:val="25"/>
        </w:rPr>
      </w:pPr>
    </w:p>
    <w:p w14:paraId="79712F99" w14:textId="7C4D6AC1" w:rsidR="00E571A4" w:rsidRPr="00401ABB" w:rsidRDefault="00E571A4" w:rsidP="00E571A4">
      <w:pPr>
        <w:spacing w:after="0" w:line="240" w:lineRule="auto"/>
        <w:rPr>
          <w:rFonts w:ascii="Aptos" w:hAnsi="Aptos" w:cs="Times New Roman"/>
          <w:sz w:val="25"/>
          <w:szCs w:val="25"/>
        </w:rPr>
      </w:pPr>
      <w:r w:rsidRPr="00401ABB">
        <w:rPr>
          <w:rFonts w:ascii="Aptos" w:hAnsi="Aptos" w:cs="Times New Roman"/>
          <w:sz w:val="25"/>
          <w:szCs w:val="25"/>
        </w:rPr>
        <w:t xml:space="preserve">This matter comes before the Hearing Officer on the </w:t>
      </w:r>
      <w:r>
        <w:rPr>
          <w:rFonts w:ascii="Aptos" w:hAnsi="Aptos" w:cs="Times New Roman"/>
          <w:sz w:val="25"/>
          <w:szCs w:val="25"/>
        </w:rPr>
        <w:t>Boston</w:t>
      </w:r>
      <w:r w:rsidRPr="00401ABB">
        <w:rPr>
          <w:rFonts w:ascii="Aptos" w:hAnsi="Aptos" w:cs="Times New Roman"/>
          <w:sz w:val="25"/>
          <w:szCs w:val="25"/>
        </w:rPr>
        <w:t xml:space="preserve"> Public School</w:t>
      </w:r>
      <w:r w:rsidR="004309E3">
        <w:rPr>
          <w:rFonts w:ascii="Aptos" w:hAnsi="Aptos" w:cs="Times New Roman"/>
          <w:sz w:val="25"/>
          <w:szCs w:val="25"/>
        </w:rPr>
        <w:t>s</w:t>
      </w:r>
      <w:r w:rsidR="005F56AF">
        <w:rPr>
          <w:rFonts w:ascii="Aptos" w:hAnsi="Aptos" w:cs="Times New Roman"/>
          <w:sz w:val="25"/>
          <w:szCs w:val="25"/>
        </w:rPr>
        <w:t>’</w:t>
      </w:r>
      <w:r w:rsidRPr="00401ABB">
        <w:rPr>
          <w:rFonts w:ascii="Aptos" w:hAnsi="Aptos" w:cs="Times New Roman"/>
          <w:sz w:val="25"/>
          <w:szCs w:val="25"/>
        </w:rPr>
        <w:t xml:space="preserve"> (District)</w:t>
      </w:r>
      <w:r w:rsidR="004309E3">
        <w:rPr>
          <w:rFonts w:ascii="Aptos" w:hAnsi="Aptos" w:cs="Times New Roman"/>
          <w:sz w:val="25"/>
          <w:szCs w:val="25"/>
        </w:rPr>
        <w:t xml:space="preserve"> May 8, 2025</w:t>
      </w:r>
      <w:r w:rsidRPr="00401ABB">
        <w:rPr>
          <w:rFonts w:ascii="Aptos" w:hAnsi="Aptos" w:cs="Times New Roman"/>
          <w:sz w:val="25"/>
          <w:szCs w:val="25"/>
        </w:rPr>
        <w:t xml:space="preserve"> </w:t>
      </w:r>
      <w:r w:rsidRPr="00401ABB">
        <w:rPr>
          <w:rFonts w:ascii="Aptos" w:hAnsi="Aptos" w:cs="Times New Roman"/>
          <w:i/>
          <w:iCs/>
          <w:sz w:val="25"/>
          <w:szCs w:val="25"/>
        </w:rPr>
        <w:t xml:space="preserve">Motion to Join the Massachusetts Department of </w:t>
      </w:r>
      <w:r>
        <w:rPr>
          <w:rFonts w:ascii="Aptos" w:hAnsi="Aptos" w:cs="Times New Roman"/>
          <w:i/>
          <w:iCs/>
          <w:sz w:val="25"/>
          <w:szCs w:val="25"/>
        </w:rPr>
        <w:t xml:space="preserve">Mental Health </w:t>
      </w:r>
      <w:r w:rsidRPr="00401ABB">
        <w:rPr>
          <w:rFonts w:ascii="Aptos" w:hAnsi="Aptos" w:cs="Times New Roman"/>
          <w:i/>
          <w:iCs/>
          <w:sz w:val="25"/>
          <w:szCs w:val="25"/>
        </w:rPr>
        <w:t>(Motion)</w:t>
      </w:r>
      <w:r w:rsidR="00AA0B43">
        <w:rPr>
          <w:rFonts w:ascii="Aptos" w:hAnsi="Aptos" w:cs="Times New Roman"/>
          <w:sz w:val="25"/>
          <w:szCs w:val="25"/>
        </w:rPr>
        <w:t xml:space="preserve"> seeking </w:t>
      </w:r>
      <w:r w:rsidRPr="00401ABB">
        <w:rPr>
          <w:rFonts w:ascii="Aptos" w:hAnsi="Aptos" w:cs="Times New Roman"/>
          <w:sz w:val="25"/>
          <w:szCs w:val="25"/>
        </w:rPr>
        <w:t xml:space="preserve">joinder of the Massachusetts Department of </w:t>
      </w:r>
      <w:r>
        <w:rPr>
          <w:rFonts w:ascii="Aptos" w:hAnsi="Aptos" w:cs="Times New Roman"/>
          <w:sz w:val="25"/>
          <w:szCs w:val="25"/>
        </w:rPr>
        <w:t>Mental Health</w:t>
      </w:r>
      <w:r w:rsidRPr="00401ABB">
        <w:rPr>
          <w:rFonts w:ascii="Aptos" w:hAnsi="Aptos" w:cs="Times New Roman"/>
          <w:sz w:val="25"/>
          <w:szCs w:val="25"/>
        </w:rPr>
        <w:t xml:space="preserve"> (</w:t>
      </w:r>
      <w:r>
        <w:rPr>
          <w:rFonts w:ascii="Aptos" w:hAnsi="Aptos" w:cs="Times New Roman"/>
          <w:sz w:val="25"/>
          <w:szCs w:val="25"/>
        </w:rPr>
        <w:t>DMH</w:t>
      </w:r>
      <w:r w:rsidRPr="00401ABB">
        <w:rPr>
          <w:rFonts w:ascii="Aptos" w:hAnsi="Aptos" w:cs="Times New Roman"/>
          <w:sz w:val="25"/>
          <w:szCs w:val="25"/>
        </w:rPr>
        <w:t xml:space="preserve">) as a necessary party </w:t>
      </w:r>
      <w:r w:rsidR="003237CD">
        <w:rPr>
          <w:rFonts w:ascii="Aptos" w:hAnsi="Aptos" w:cs="Times New Roman"/>
          <w:sz w:val="25"/>
          <w:szCs w:val="25"/>
        </w:rPr>
        <w:t xml:space="preserve">to a matter pending before the </w:t>
      </w:r>
      <w:r w:rsidRPr="00401ABB">
        <w:rPr>
          <w:rFonts w:ascii="Aptos" w:hAnsi="Aptos" w:cs="Times New Roman"/>
          <w:sz w:val="25"/>
          <w:szCs w:val="25"/>
        </w:rPr>
        <w:t xml:space="preserve">Bureau of Special Education Appeals (BSEA) </w:t>
      </w:r>
      <w:r w:rsidR="00530231" w:rsidRPr="00401ABB">
        <w:rPr>
          <w:rFonts w:ascii="Aptos" w:hAnsi="Aptos" w:cs="Times New Roman"/>
          <w:sz w:val="25"/>
          <w:szCs w:val="25"/>
        </w:rPr>
        <w:t xml:space="preserve">in accordance with Rule I(J) of the </w:t>
      </w:r>
      <w:r w:rsidR="00530231">
        <w:rPr>
          <w:rFonts w:ascii="Aptos" w:hAnsi="Aptos" w:cs="Times New Roman"/>
          <w:sz w:val="25"/>
          <w:szCs w:val="25"/>
        </w:rPr>
        <w:t xml:space="preserve">BSEA’s </w:t>
      </w:r>
      <w:r w:rsidRPr="00401ABB">
        <w:rPr>
          <w:rFonts w:ascii="Aptos" w:hAnsi="Aptos" w:cs="Times New Roman"/>
          <w:i/>
          <w:iCs/>
          <w:sz w:val="25"/>
          <w:szCs w:val="25"/>
        </w:rPr>
        <w:t>Hearing Rules for Special Education Appeals (Rules)</w:t>
      </w:r>
      <w:r w:rsidRPr="00401ABB">
        <w:rPr>
          <w:rFonts w:ascii="Aptos" w:hAnsi="Aptos" w:cs="Times New Roman"/>
          <w:sz w:val="25"/>
          <w:szCs w:val="25"/>
        </w:rPr>
        <w:t xml:space="preserve">.  </w:t>
      </w:r>
      <w:r w:rsidR="00B329E8">
        <w:rPr>
          <w:rFonts w:ascii="Aptos" w:hAnsi="Aptos" w:cs="Times New Roman"/>
          <w:sz w:val="25"/>
          <w:szCs w:val="25"/>
        </w:rPr>
        <w:t xml:space="preserve">On May 13, 2025, DMH filed its </w:t>
      </w:r>
      <w:r w:rsidR="00B329E8">
        <w:rPr>
          <w:rFonts w:ascii="Aptos" w:hAnsi="Aptos" w:cs="Times New Roman"/>
          <w:i/>
          <w:iCs/>
          <w:sz w:val="25"/>
          <w:szCs w:val="25"/>
        </w:rPr>
        <w:t xml:space="preserve">Opposition </w:t>
      </w:r>
      <w:r w:rsidR="00B63AA0">
        <w:rPr>
          <w:rFonts w:ascii="Aptos" w:hAnsi="Aptos" w:cs="Times New Roman"/>
          <w:i/>
          <w:iCs/>
          <w:sz w:val="25"/>
          <w:szCs w:val="25"/>
        </w:rPr>
        <w:t>to Motion to Join</w:t>
      </w:r>
      <w:r w:rsidR="00B63AA0">
        <w:rPr>
          <w:rFonts w:ascii="Aptos" w:hAnsi="Aptos" w:cs="Times New Roman"/>
          <w:sz w:val="25"/>
          <w:szCs w:val="25"/>
        </w:rPr>
        <w:t xml:space="preserve"> (</w:t>
      </w:r>
      <w:r w:rsidR="00B63AA0">
        <w:rPr>
          <w:rFonts w:ascii="Aptos" w:hAnsi="Aptos" w:cs="Times New Roman"/>
          <w:i/>
          <w:iCs/>
          <w:sz w:val="25"/>
          <w:szCs w:val="25"/>
        </w:rPr>
        <w:t>Opposition</w:t>
      </w:r>
      <w:r w:rsidR="00B63AA0">
        <w:rPr>
          <w:rFonts w:ascii="Aptos" w:hAnsi="Aptos" w:cs="Times New Roman"/>
          <w:sz w:val="25"/>
          <w:szCs w:val="25"/>
        </w:rPr>
        <w:t xml:space="preserve">).  </w:t>
      </w:r>
      <w:r w:rsidR="00AA0B43">
        <w:rPr>
          <w:rFonts w:ascii="Aptos" w:hAnsi="Aptos" w:cs="Times New Roman"/>
          <w:sz w:val="25"/>
          <w:szCs w:val="25"/>
        </w:rPr>
        <w:t xml:space="preserve">On </w:t>
      </w:r>
      <w:r w:rsidR="00823550">
        <w:rPr>
          <w:rFonts w:ascii="Aptos" w:hAnsi="Aptos" w:cs="Times New Roman"/>
          <w:sz w:val="25"/>
          <w:szCs w:val="25"/>
        </w:rPr>
        <w:t xml:space="preserve">May 20, 2025, </w:t>
      </w:r>
      <w:r w:rsidR="00AA0B43">
        <w:rPr>
          <w:rFonts w:ascii="Aptos" w:hAnsi="Aptos" w:cs="Times New Roman"/>
          <w:sz w:val="25"/>
          <w:szCs w:val="25"/>
        </w:rPr>
        <w:t>with the Hearing Officer</w:t>
      </w:r>
      <w:r w:rsidR="00530231">
        <w:rPr>
          <w:rFonts w:ascii="Aptos" w:hAnsi="Aptos" w:cs="Times New Roman"/>
          <w:sz w:val="25"/>
          <w:szCs w:val="25"/>
        </w:rPr>
        <w:t>’s permission</w:t>
      </w:r>
      <w:r w:rsidR="00AA0B43">
        <w:rPr>
          <w:rFonts w:ascii="Aptos" w:hAnsi="Aptos" w:cs="Times New Roman"/>
          <w:sz w:val="25"/>
          <w:szCs w:val="25"/>
        </w:rPr>
        <w:t xml:space="preserve">, </w:t>
      </w:r>
      <w:r w:rsidR="00823550">
        <w:rPr>
          <w:rFonts w:ascii="Aptos" w:hAnsi="Aptos" w:cs="Times New Roman"/>
          <w:sz w:val="25"/>
          <w:szCs w:val="25"/>
        </w:rPr>
        <w:t xml:space="preserve">the District filed its </w:t>
      </w:r>
      <w:r w:rsidR="00823550">
        <w:rPr>
          <w:rFonts w:ascii="Aptos" w:hAnsi="Aptos" w:cs="Times New Roman"/>
          <w:i/>
          <w:iCs/>
          <w:sz w:val="25"/>
          <w:szCs w:val="25"/>
        </w:rPr>
        <w:t xml:space="preserve">Reply to [DMH’s] Opposition to Motion to Join </w:t>
      </w:r>
      <w:r w:rsidR="00823550">
        <w:rPr>
          <w:rFonts w:ascii="Aptos" w:hAnsi="Aptos" w:cs="Times New Roman"/>
          <w:sz w:val="25"/>
          <w:szCs w:val="25"/>
        </w:rPr>
        <w:t>(</w:t>
      </w:r>
      <w:r w:rsidR="00823550">
        <w:rPr>
          <w:rFonts w:ascii="Aptos" w:hAnsi="Aptos" w:cs="Times New Roman"/>
          <w:i/>
          <w:iCs/>
          <w:sz w:val="25"/>
          <w:szCs w:val="25"/>
        </w:rPr>
        <w:t>Reply</w:t>
      </w:r>
      <w:r w:rsidR="00823550">
        <w:rPr>
          <w:rFonts w:ascii="Aptos" w:hAnsi="Aptos" w:cs="Times New Roman"/>
          <w:sz w:val="25"/>
          <w:szCs w:val="25"/>
        </w:rPr>
        <w:t>).</w:t>
      </w:r>
      <w:r w:rsidR="00C62A45">
        <w:rPr>
          <w:rFonts w:ascii="Aptos" w:hAnsi="Aptos" w:cs="Times New Roman"/>
          <w:sz w:val="25"/>
          <w:szCs w:val="25"/>
        </w:rPr>
        <w:t xml:space="preserve">  </w:t>
      </w:r>
      <w:r w:rsidR="00B163BC">
        <w:rPr>
          <w:rFonts w:ascii="Aptos" w:hAnsi="Aptos" w:cs="Times New Roman"/>
          <w:sz w:val="25"/>
          <w:szCs w:val="25"/>
        </w:rPr>
        <w:t xml:space="preserve">Further, </w:t>
      </w:r>
      <w:r w:rsidR="008C520E">
        <w:rPr>
          <w:rFonts w:ascii="Aptos" w:hAnsi="Aptos" w:cs="Times New Roman"/>
          <w:sz w:val="25"/>
          <w:szCs w:val="25"/>
        </w:rPr>
        <w:t xml:space="preserve">on July 7, 2025, </w:t>
      </w:r>
      <w:r w:rsidR="00B163BC">
        <w:rPr>
          <w:rFonts w:ascii="Aptos" w:hAnsi="Aptos" w:cs="Times New Roman"/>
          <w:sz w:val="25"/>
          <w:szCs w:val="25"/>
        </w:rPr>
        <w:t>p</w:t>
      </w:r>
      <w:r w:rsidR="00A51CA0">
        <w:rPr>
          <w:rFonts w:ascii="Aptos" w:hAnsi="Aptos" w:cs="Times New Roman"/>
          <w:sz w:val="25"/>
          <w:szCs w:val="25"/>
        </w:rPr>
        <w:t xml:space="preserve">ursuant to </w:t>
      </w:r>
      <w:r w:rsidR="001F00ED">
        <w:rPr>
          <w:rFonts w:ascii="Aptos" w:hAnsi="Aptos" w:cs="Times New Roman"/>
          <w:sz w:val="25"/>
          <w:szCs w:val="25"/>
        </w:rPr>
        <w:t xml:space="preserve">a </w:t>
      </w:r>
      <w:r w:rsidR="00A51CA0">
        <w:rPr>
          <w:rFonts w:ascii="Aptos" w:hAnsi="Aptos" w:cs="Times New Roman"/>
          <w:sz w:val="25"/>
          <w:szCs w:val="25"/>
        </w:rPr>
        <w:t xml:space="preserve">June 26, 2025 </w:t>
      </w:r>
      <w:r w:rsidR="00A51CA0">
        <w:rPr>
          <w:rFonts w:ascii="Aptos" w:hAnsi="Aptos" w:cs="Times New Roman"/>
          <w:i/>
          <w:iCs/>
          <w:sz w:val="25"/>
          <w:szCs w:val="25"/>
        </w:rPr>
        <w:t>Order</w:t>
      </w:r>
      <w:r w:rsidR="00A51CA0">
        <w:rPr>
          <w:rFonts w:ascii="Aptos" w:hAnsi="Aptos" w:cs="Times New Roman"/>
          <w:sz w:val="25"/>
          <w:szCs w:val="25"/>
        </w:rPr>
        <w:t>, the District and Student</w:t>
      </w:r>
      <w:r w:rsidR="008C520E">
        <w:rPr>
          <w:rStyle w:val="FootnoteReference"/>
          <w:rFonts w:ascii="Aptos" w:hAnsi="Aptos" w:cs="Times New Roman"/>
          <w:sz w:val="25"/>
          <w:szCs w:val="25"/>
        </w:rPr>
        <w:footnoteReference w:id="1"/>
      </w:r>
      <w:r w:rsidR="00136B3F">
        <w:rPr>
          <w:rFonts w:ascii="Aptos" w:hAnsi="Aptos" w:cs="Times New Roman"/>
          <w:sz w:val="25"/>
          <w:szCs w:val="25"/>
        </w:rPr>
        <w:t xml:space="preserve"> filed status reports</w:t>
      </w:r>
      <w:r w:rsidR="008C520E">
        <w:rPr>
          <w:rFonts w:ascii="Aptos" w:hAnsi="Aptos" w:cs="Times New Roman"/>
          <w:sz w:val="25"/>
          <w:szCs w:val="25"/>
        </w:rPr>
        <w:t xml:space="preserve">, </w:t>
      </w:r>
      <w:r w:rsidR="002D1BE5">
        <w:rPr>
          <w:rFonts w:ascii="Aptos" w:hAnsi="Aptos" w:cs="Times New Roman"/>
          <w:sz w:val="25"/>
          <w:szCs w:val="25"/>
        </w:rPr>
        <w:t xml:space="preserve">wherein </w:t>
      </w:r>
      <w:r w:rsidR="002D2A43">
        <w:rPr>
          <w:rFonts w:ascii="Aptos" w:hAnsi="Aptos" w:cs="Times New Roman"/>
          <w:sz w:val="25"/>
          <w:szCs w:val="25"/>
        </w:rPr>
        <w:t xml:space="preserve">Student </w:t>
      </w:r>
      <w:r w:rsidR="008C520E">
        <w:rPr>
          <w:rFonts w:ascii="Aptos" w:hAnsi="Aptos" w:cs="Times New Roman"/>
          <w:sz w:val="25"/>
          <w:szCs w:val="25"/>
        </w:rPr>
        <w:t>advis</w:t>
      </w:r>
      <w:r w:rsidR="002D1BE5">
        <w:rPr>
          <w:rFonts w:ascii="Aptos" w:hAnsi="Aptos" w:cs="Times New Roman"/>
          <w:sz w:val="25"/>
          <w:szCs w:val="25"/>
        </w:rPr>
        <w:t>ed</w:t>
      </w:r>
      <w:r w:rsidR="008C520E">
        <w:rPr>
          <w:rFonts w:ascii="Aptos" w:hAnsi="Aptos" w:cs="Times New Roman"/>
          <w:sz w:val="25"/>
          <w:szCs w:val="25"/>
        </w:rPr>
        <w:t xml:space="preserve"> </w:t>
      </w:r>
      <w:r w:rsidR="00BB1901">
        <w:rPr>
          <w:rFonts w:ascii="Aptos" w:hAnsi="Aptos" w:cs="Times New Roman"/>
          <w:sz w:val="25"/>
          <w:szCs w:val="25"/>
        </w:rPr>
        <w:t>that he</w:t>
      </w:r>
      <w:r w:rsidR="00207164">
        <w:rPr>
          <w:rFonts w:ascii="Aptos" w:hAnsi="Aptos" w:cs="Times New Roman"/>
          <w:sz w:val="25"/>
          <w:szCs w:val="25"/>
        </w:rPr>
        <w:t xml:space="preserve"> takes no position on the </w:t>
      </w:r>
      <w:r w:rsidR="00207164">
        <w:rPr>
          <w:rFonts w:ascii="Aptos" w:hAnsi="Aptos" w:cs="Times New Roman"/>
          <w:i/>
          <w:iCs/>
          <w:sz w:val="25"/>
          <w:szCs w:val="25"/>
        </w:rPr>
        <w:t>Motion</w:t>
      </w:r>
      <w:r w:rsidR="00207164">
        <w:rPr>
          <w:rFonts w:ascii="Aptos" w:hAnsi="Aptos" w:cs="Times New Roman"/>
          <w:sz w:val="25"/>
          <w:szCs w:val="25"/>
        </w:rPr>
        <w:t>.</w:t>
      </w:r>
      <w:r w:rsidR="00AF4B7A">
        <w:rPr>
          <w:rFonts w:ascii="Aptos" w:hAnsi="Aptos" w:cs="Times New Roman"/>
          <w:sz w:val="25"/>
          <w:szCs w:val="25"/>
        </w:rPr>
        <w:t xml:space="preserve">  </w:t>
      </w:r>
      <w:r w:rsidRPr="00401ABB">
        <w:rPr>
          <w:rFonts w:ascii="Aptos" w:hAnsi="Aptos" w:cs="Times New Roman"/>
          <w:sz w:val="25"/>
          <w:szCs w:val="25"/>
        </w:rPr>
        <w:t xml:space="preserve">For the reasons articulated below, the District’s </w:t>
      </w:r>
      <w:r w:rsidRPr="00401ABB">
        <w:rPr>
          <w:rFonts w:ascii="Aptos" w:hAnsi="Aptos" w:cs="Times New Roman"/>
          <w:i/>
          <w:iCs/>
          <w:sz w:val="25"/>
          <w:szCs w:val="25"/>
        </w:rPr>
        <w:t xml:space="preserve">Motion </w:t>
      </w:r>
      <w:r w:rsidRPr="00401ABB">
        <w:rPr>
          <w:rFonts w:ascii="Aptos" w:hAnsi="Aptos" w:cs="Times New Roman"/>
          <w:sz w:val="25"/>
          <w:szCs w:val="25"/>
        </w:rPr>
        <w:t xml:space="preserve">is </w:t>
      </w:r>
      <w:r w:rsidR="00AF4B7A">
        <w:rPr>
          <w:rFonts w:ascii="Aptos" w:hAnsi="Aptos" w:cs="Times New Roman"/>
          <w:b/>
          <w:bCs/>
          <w:sz w:val="25"/>
          <w:szCs w:val="25"/>
        </w:rPr>
        <w:t>DENIED without prejudice</w:t>
      </w:r>
      <w:r w:rsidR="00DC5FAB">
        <w:rPr>
          <w:rFonts w:ascii="Aptos" w:hAnsi="Aptos" w:cs="Times New Roman"/>
          <w:b/>
          <w:bCs/>
          <w:sz w:val="25"/>
          <w:szCs w:val="25"/>
        </w:rPr>
        <w:t xml:space="preserve"> </w:t>
      </w:r>
      <w:r w:rsidR="00DC5FAB">
        <w:rPr>
          <w:rFonts w:ascii="Aptos" w:hAnsi="Aptos" w:cs="Times New Roman"/>
          <w:sz w:val="25"/>
          <w:szCs w:val="25"/>
        </w:rPr>
        <w:t>and DMH is not joined as a party at this time</w:t>
      </w:r>
      <w:r w:rsidRPr="00401ABB">
        <w:rPr>
          <w:rFonts w:ascii="Aptos" w:hAnsi="Aptos" w:cs="Times New Roman"/>
          <w:sz w:val="25"/>
          <w:szCs w:val="25"/>
        </w:rPr>
        <w:t xml:space="preserve">. </w:t>
      </w:r>
    </w:p>
    <w:p w14:paraId="27C17B2A" w14:textId="77777777" w:rsidR="00E571A4" w:rsidRPr="00401ABB" w:rsidRDefault="00E571A4" w:rsidP="00E571A4">
      <w:pPr>
        <w:spacing w:after="0" w:line="240" w:lineRule="auto"/>
        <w:rPr>
          <w:rFonts w:ascii="Aptos" w:hAnsi="Aptos" w:cs="Times New Roman"/>
          <w:sz w:val="25"/>
          <w:szCs w:val="25"/>
        </w:rPr>
      </w:pPr>
    </w:p>
    <w:p w14:paraId="4D34E497" w14:textId="09E935CE" w:rsidR="00E571A4" w:rsidRPr="00E60DCD" w:rsidRDefault="00E571A4" w:rsidP="00E60DCD">
      <w:pPr>
        <w:pStyle w:val="Heading1"/>
      </w:pPr>
      <w:r w:rsidRPr="00E60DCD">
        <w:rPr>
          <w:rStyle w:val="Heading1Char"/>
          <w:b/>
          <w:bCs/>
        </w:rPr>
        <w:t>FACTS</w:t>
      </w:r>
      <w:r w:rsidRPr="00401ABB">
        <w:rPr>
          <w:rStyle w:val="FootnoteReference"/>
          <w:rFonts w:ascii="Aptos" w:hAnsi="Aptos" w:cs="Times New Roman"/>
        </w:rPr>
        <w:footnoteReference w:id="2"/>
      </w:r>
    </w:p>
    <w:p w14:paraId="013246D5" w14:textId="77777777" w:rsidR="00E571A4" w:rsidRPr="00401ABB" w:rsidRDefault="00E571A4" w:rsidP="00E571A4">
      <w:pPr>
        <w:spacing w:after="0" w:line="240" w:lineRule="auto"/>
        <w:rPr>
          <w:rFonts w:ascii="Aptos" w:hAnsi="Aptos" w:cs="Times New Roman"/>
          <w:sz w:val="25"/>
          <w:szCs w:val="25"/>
        </w:rPr>
      </w:pPr>
    </w:p>
    <w:p w14:paraId="00D401EB" w14:textId="61CC254F" w:rsidR="00E571A4" w:rsidRDefault="00E571A4" w:rsidP="00E571A4">
      <w:pPr>
        <w:pStyle w:val="ListParagraph"/>
        <w:numPr>
          <w:ilvl w:val="0"/>
          <w:numId w:val="1"/>
        </w:numPr>
        <w:spacing w:after="0" w:line="240" w:lineRule="auto"/>
        <w:rPr>
          <w:rFonts w:ascii="Aptos" w:hAnsi="Aptos" w:cs="Times New Roman"/>
          <w:sz w:val="25"/>
          <w:szCs w:val="25"/>
        </w:rPr>
      </w:pPr>
      <w:r w:rsidRPr="00401ABB">
        <w:rPr>
          <w:rFonts w:ascii="Aptos" w:hAnsi="Aptos" w:cs="Times New Roman"/>
          <w:sz w:val="25"/>
          <w:szCs w:val="25"/>
        </w:rPr>
        <w:t xml:space="preserve">Student is </w:t>
      </w:r>
      <w:r w:rsidR="004835AB">
        <w:rPr>
          <w:rFonts w:ascii="Aptos" w:hAnsi="Aptos" w:cs="Times New Roman"/>
          <w:sz w:val="25"/>
          <w:szCs w:val="25"/>
        </w:rPr>
        <w:t xml:space="preserve">16 </w:t>
      </w:r>
      <w:r w:rsidRPr="00401ABB">
        <w:rPr>
          <w:rFonts w:ascii="Aptos" w:hAnsi="Aptos" w:cs="Times New Roman"/>
          <w:sz w:val="25"/>
          <w:szCs w:val="25"/>
        </w:rPr>
        <w:t>years old.  H</w:t>
      </w:r>
      <w:r w:rsidR="00AA1F01">
        <w:rPr>
          <w:rFonts w:ascii="Aptos" w:hAnsi="Aptos" w:cs="Times New Roman"/>
          <w:sz w:val="25"/>
          <w:szCs w:val="25"/>
        </w:rPr>
        <w:t>e is</w:t>
      </w:r>
      <w:r w:rsidRPr="00401ABB">
        <w:rPr>
          <w:rFonts w:ascii="Aptos" w:hAnsi="Aptos" w:cs="Times New Roman"/>
          <w:sz w:val="25"/>
          <w:szCs w:val="25"/>
        </w:rPr>
        <w:t xml:space="preserve"> eligibl</w:t>
      </w:r>
      <w:r w:rsidR="00AA1F01">
        <w:rPr>
          <w:rFonts w:ascii="Aptos" w:hAnsi="Aptos" w:cs="Times New Roman"/>
          <w:sz w:val="25"/>
          <w:szCs w:val="25"/>
        </w:rPr>
        <w:t>e</w:t>
      </w:r>
      <w:r w:rsidRPr="00401ABB">
        <w:rPr>
          <w:rFonts w:ascii="Aptos" w:hAnsi="Aptos" w:cs="Times New Roman"/>
          <w:sz w:val="25"/>
          <w:szCs w:val="25"/>
        </w:rPr>
        <w:t xml:space="preserve"> for special education services under the </w:t>
      </w:r>
      <w:r w:rsidR="00CB3D83">
        <w:rPr>
          <w:rFonts w:ascii="Aptos" w:hAnsi="Aptos" w:cs="Times New Roman"/>
          <w:sz w:val="25"/>
          <w:szCs w:val="25"/>
        </w:rPr>
        <w:t xml:space="preserve">Emotional </w:t>
      </w:r>
      <w:r w:rsidRPr="00401ABB">
        <w:rPr>
          <w:rFonts w:ascii="Aptos" w:hAnsi="Aptos" w:cs="Times New Roman"/>
          <w:sz w:val="25"/>
          <w:szCs w:val="25"/>
        </w:rPr>
        <w:t>disability categor</w:t>
      </w:r>
      <w:r w:rsidR="001B540A">
        <w:rPr>
          <w:rFonts w:ascii="Aptos" w:hAnsi="Aptos" w:cs="Times New Roman"/>
          <w:sz w:val="25"/>
          <w:szCs w:val="25"/>
        </w:rPr>
        <w:t>y based upon his diagnoses of Emotional-Social Disorder, Post-Traumatic Stress Disorder, Attention Deficit Hyperactivity Disorder, and Disruptive Mo</w:t>
      </w:r>
      <w:r w:rsidR="0013452A">
        <w:rPr>
          <w:rFonts w:ascii="Aptos" w:hAnsi="Aptos" w:cs="Times New Roman"/>
          <w:sz w:val="25"/>
          <w:szCs w:val="25"/>
        </w:rPr>
        <w:t>o</w:t>
      </w:r>
      <w:r w:rsidR="001B540A">
        <w:rPr>
          <w:rFonts w:ascii="Aptos" w:hAnsi="Aptos" w:cs="Times New Roman"/>
          <w:sz w:val="25"/>
          <w:szCs w:val="25"/>
        </w:rPr>
        <w:t>d D</w:t>
      </w:r>
      <w:r w:rsidR="00E772E8">
        <w:rPr>
          <w:rFonts w:ascii="Aptos" w:hAnsi="Aptos" w:cs="Times New Roman"/>
          <w:sz w:val="25"/>
          <w:szCs w:val="25"/>
        </w:rPr>
        <w:t>ysregulation Disorder</w:t>
      </w:r>
      <w:r w:rsidR="0013452A">
        <w:rPr>
          <w:rStyle w:val="FootnoteReference"/>
          <w:rFonts w:ascii="Aptos" w:hAnsi="Aptos" w:cs="Times New Roman"/>
          <w:sz w:val="25"/>
          <w:szCs w:val="25"/>
        </w:rPr>
        <w:footnoteReference w:id="3"/>
      </w:r>
      <w:r w:rsidR="004E59EF">
        <w:rPr>
          <w:rFonts w:ascii="Aptos" w:hAnsi="Aptos" w:cs="Times New Roman"/>
          <w:sz w:val="25"/>
          <w:szCs w:val="25"/>
        </w:rPr>
        <w:t xml:space="preserve">.  Neither his diagnoses nor eligibility are </w:t>
      </w:r>
      <w:r w:rsidRPr="00401ABB">
        <w:rPr>
          <w:rFonts w:ascii="Aptos" w:hAnsi="Aptos" w:cs="Times New Roman"/>
          <w:sz w:val="25"/>
          <w:szCs w:val="25"/>
        </w:rPr>
        <w:t>in dispute.  (</w:t>
      </w:r>
      <w:r w:rsidRPr="00401ABB">
        <w:rPr>
          <w:rFonts w:ascii="Aptos" w:hAnsi="Aptos" w:cs="Times New Roman"/>
          <w:i/>
          <w:iCs/>
          <w:sz w:val="25"/>
          <w:szCs w:val="25"/>
        </w:rPr>
        <w:t>Hearing Request</w:t>
      </w:r>
      <w:r w:rsidR="00F343AA">
        <w:rPr>
          <w:rFonts w:ascii="Aptos" w:hAnsi="Aptos" w:cs="Times New Roman"/>
          <w:sz w:val="25"/>
          <w:szCs w:val="25"/>
        </w:rPr>
        <w:t xml:space="preserve">; </w:t>
      </w:r>
      <w:r w:rsidR="00F343AA">
        <w:rPr>
          <w:rFonts w:ascii="Aptos" w:hAnsi="Aptos" w:cs="Times New Roman"/>
          <w:i/>
          <w:iCs/>
          <w:sz w:val="25"/>
          <w:szCs w:val="25"/>
        </w:rPr>
        <w:t>Motion</w:t>
      </w:r>
      <w:r w:rsidRPr="00401ABB">
        <w:rPr>
          <w:rFonts w:ascii="Aptos" w:hAnsi="Aptos" w:cs="Times New Roman"/>
          <w:sz w:val="25"/>
          <w:szCs w:val="25"/>
        </w:rPr>
        <w:t>).</w:t>
      </w:r>
    </w:p>
    <w:p w14:paraId="57AE1E90" w14:textId="0BF7AD10" w:rsidR="00566051" w:rsidRDefault="00566051" w:rsidP="00566051">
      <w:pPr>
        <w:pStyle w:val="ListParagraph"/>
        <w:spacing w:after="0" w:line="240" w:lineRule="auto"/>
        <w:rPr>
          <w:rFonts w:ascii="Aptos" w:hAnsi="Aptos" w:cs="Times New Roman"/>
          <w:sz w:val="25"/>
          <w:szCs w:val="25"/>
        </w:rPr>
      </w:pPr>
    </w:p>
    <w:p w14:paraId="4DA35BF5" w14:textId="1983F5E8" w:rsidR="00566051" w:rsidRDefault="00566051"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Student </w:t>
      </w:r>
      <w:r w:rsidR="00F565E1">
        <w:rPr>
          <w:rFonts w:ascii="Aptos" w:hAnsi="Aptos" w:cs="Times New Roman"/>
          <w:sz w:val="25"/>
          <w:szCs w:val="25"/>
        </w:rPr>
        <w:t xml:space="preserve">previously </w:t>
      </w:r>
      <w:r>
        <w:rPr>
          <w:rFonts w:ascii="Aptos" w:hAnsi="Aptos" w:cs="Times New Roman"/>
          <w:sz w:val="25"/>
          <w:szCs w:val="25"/>
        </w:rPr>
        <w:t>received services from DMH</w:t>
      </w:r>
      <w:r w:rsidR="00F565E1">
        <w:rPr>
          <w:rFonts w:ascii="Aptos" w:hAnsi="Aptos" w:cs="Times New Roman"/>
          <w:sz w:val="25"/>
          <w:szCs w:val="25"/>
        </w:rPr>
        <w:t xml:space="preserve"> </w:t>
      </w:r>
      <w:r w:rsidR="001D3CD2">
        <w:rPr>
          <w:rFonts w:ascii="Aptos" w:hAnsi="Aptos" w:cs="Times New Roman"/>
          <w:sz w:val="25"/>
          <w:szCs w:val="25"/>
        </w:rPr>
        <w:t xml:space="preserve">between </w:t>
      </w:r>
      <w:r w:rsidR="00F565E1">
        <w:rPr>
          <w:rFonts w:ascii="Aptos" w:hAnsi="Aptos" w:cs="Times New Roman"/>
          <w:sz w:val="25"/>
          <w:szCs w:val="25"/>
        </w:rPr>
        <w:t xml:space="preserve">December 2016 </w:t>
      </w:r>
      <w:r w:rsidR="001D3CD2">
        <w:rPr>
          <w:rFonts w:ascii="Aptos" w:hAnsi="Aptos" w:cs="Times New Roman"/>
          <w:sz w:val="25"/>
          <w:szCs w:val="25"/>
        </w:rPr>
        <w:t xml:space="preserve">and </w:t>
      </w:r>
      <w:r w:rsidR="00F565E1">
        <w:rPr>
          <w:rFonts w:ascii="Aptos" w:hAnsi="Aptos" w:cs="Times New Roman"/>
          <w:sz w:val="25"/>
          <w:szCs w:val="25"/>
        </w:rPr>
        <w:t>September 2018</w:t>
      </w:r>
      <w:r w:rsidR="005856C4">
        <w:rPr>
          <w:rFonts w:ascii="Aptos" w:hAnsi="Aptos" w:cs="Times New Roman"/>
          <w:sz w:val="25"/>
          <w:szCs w:val="25"/>
        </w:rPr>
        <w:t xml:space="preserve"> </w:t>
      </w:r>
      <w:r w:rsidR="003E7EDC">
        <w:rPr>
          <w:rFonts w:ascii="Aptos" w:hAnsi="Aptos" w:cs="Times New Roman"/>
          <w:sz w:val="25"/>
          <w:szCs w:val="25"/>
        </w:rPr>
        <w:t>while</w:t>
      </w:r>
      <w:r w:rsidR="005856C4">
        <w:rPr>
          <w:rFonts w:ascii="Aptos" w:hAnsi="Aptos" w:cs="Times New Roman"/>
          <w:sz w:val="25"/>
          <w:szCs w:val="25"/>
        </w:rPr>
        <w:t xml:space="preserve"> </w:t>
      </w:r>
      <w:r w:rsidR="001A5BF6">
        <w:rPr>
          <w:rFonts w:ascii="Aptos" w:hAnsi="Aptos" w:cs="Times New Roman"/>
          <w:sz w:val="25"/>
          <w:szCs w:val="25"/>
        </w:rPr>
        <w:t>he</w:t>
      </w:r>
      <w:r w:rsidR="005856C4">
        <w:rPr>
          <w:rFonts w:ascii="Aptos" w:hAnsi="Aptos" w:cs="Times New Roman"/>
          <w:sz w:val="25"/>
          <w:szCs w:val="25"/>
        </w:rPr>
        <w:t xml:space="preserve"> </w:t>
      </w:r>
      <w:r w:rsidR="001A5BF6">
        <w:rPr>
          <w:rFonts w:ascii="Aptos" w:hAnsi="Aptos" w:cs="Times New Roman"/>
          <w:sz w:val="25"/>
          <w:szCs w:val="25"/>
        </w:rPr>
        <w:t xml:space="preserve">was </w:t>
      </w:r>
      <w:r w:rsidR="005856C4">
        <w:rPr>
          <w:rFonts w:ascii="Aptos" w:hAnsi="Aptos" w:cs="Times New Roman"/>
          <w:sz w:val="25"/>
          <w:szCs w:val="25"/>
        </w:rPr>
        <w:t xml:space="preserve">attending a residential school placement </w:t>
      </w:r>
      <w:r w:rsidR="00783B18">
        <w:rPr>
          <w:rFonts w:ascii="Aptos" w:hAnsi="Aptos" w:cs="Times New Roman"/>
          <w:sz w:val="25"/>
          <w:szCs w:val="25"/>
        </w:rPr>
        <w:t xml:space="preserve">at </w:t>
      </w:r>
      <w:r w:rsidR="002B2D45">
        <w:rPr>
          <w:rFonts w:ascii="Aptos" w:hAnsi="Aptos" w:cs="Times New Roman"/>
          <w:sz w:val="25"/>
          <w:szCs w:val="25"/>
        </w:rPr>
        <w:t>t</w:t>
      </w:r>
      <w:r w:rsidR="00783B18">
        <w:rPr>
          <w:rFonts w:ascii="Aptos" w:hAnsi="Aptos" w:cs="Times New Roman"/>
          <w:sz w:val="25"/>
          <w:szCs w:val="25"/>
        </w:rPr>
        <w:t>he Brandon School and Residential Treatment Center (Brandon)</w:t>
      </w:r>
      <w:r w:rsidR="00F565E1">
        <w:rPr>
          <w:rFonts w:ascii="Aptos" w:hAnsi="Aptos" w:cs="Times New Roman"/>
          <w:sz w:val="25"/>
          <w:szCs w:val="25"/>
        </w:rPr>
        <w:t>.</w:t>
      </w:r>
      <w:r w:rsidR="00094A84">
        <w:rPr>
          <w:rFonts w:ascii="Aptos" w:hAnsi="Aptos" w:cs="Times New Roman"/>
          <w:sz w:val="25"/>
          <w:szCs w:val="25"/>
        </w:rPr>
        <w:t xml:space="preserve">  Student </w:t>
      </w:r>
      <w:r w:rsidR="00094A84">
        <w:rPr>
          <w:rFonts w:ascii="Aptos" w:hAnsi="Aptos" w:cs="Times New Roman"/>
          <w:sz w:val="25"/>
          <w:szCs w:val="25"/>
        </w:rPr>
        <w:lastRenderedPageBreak/>
        <w:t>experienced academic, emotional and behavioral success at Brandon</w:t>
      </w:r>
      <w:r w:rsidR="00114FB6">
        <w:rPr>
          <w:rFonts w:ascii="Aptos" w:hAnsi="Aptos" w:cs="Times New Roman"/>
          <w:sz w:val="25"/>
          <w:szCs w:val="25"/>
        </w:rPr>
        <w:t xml:space="preserve">.  Due to this success and the COVID-19 pandemic, </w:t>
      </w:r>
      <w:r w:rsidR="00C551C5">
        <w:rPr>
          <w:rFonts w:ascii="Aptos" w:hAnsi="Aptos" w:cs="Times New Roman"/>
          <w:sz w:val="25"/>
          <w:szCs w:val="25"/>
        </w:rPr>
        <w:t xml:space="preserve">Student </w:t>
      </w:r>
      <w:r w:rsidR="006053EE">
        <w:rPr>
          <w:rFonts w:ascii="Aptos" w:hAnsi="Aptos" w:cs="Times New Roman"/>
          <w:sz w:val="25"/>
          <w:szCs w:val="25"/>
        </w:rPr>
        <w:t>began attending Brandon as a day student</w:t>
      </w:r>
      <w:r w:rsidR="00B2661E">
        <w:rPr>
          <w:rFonts w:ascii="Aptos" w:hAnsi="Aptos" w:cs="Times New Roman"/>
          <w:sz w:val="25"/>
          <w:szCs w:val="25"/>
        </w:rPr>
        <w:t xml:space="preserve"> in March 2020</w:t>
      </w:r>
      <w:r w:rsidR="006053EE">
        <w:rPr>
          <w:rFonts w:ascii="Aptos" w:hAnsi="Aptos" w:cs="Times New Roman"/>
          <w:sz w:val="25"/>
          <w:szCs w:val="25"/>
        </w:rPr>
        <w:t>, returning to live at home with his older sister (Caregiver)</w:t>
      </w:r>
      <w:r w:rsidR="00BE6B08">
        <w:rPr>
          <w:rStyle w:val="FootnoteReference"/>
          <w:rFonts w:ascii="Aptos" w:hAnsi="Aptos" w:cs="Times New Roman"/>
          <w:sz w:val="25"/>
          <w:szCs w:val="25"/>
        </w:rPr>
        <w:footnoteReference w:id="4"/>
      </w:r>
      <w:r w:rsidR="006053EE">
        <w:rPr>
          <w:rFonts w:ascii="Aptos" w:hAnsi="Aptos" w:cs="Times New Roman"/>
          <w:sz w:val="25"/>
          <w:szCs w:val="25"/>
        </w:rPr>
        <w:t xml:space="preserve"> and older brother.</w:t>
      </w:r>
      <w:r w:rsidR="00F565E1">
        <w:rPr>
          <w:rFonts w:ascii="Aptos" w:hAnsi="Aptos" w:cs="Times New Roman"/>
          <w:sz w:val="25"/>
          <w:szCs w:val="25"/>
        </w:rPr>
        <w:t xml:space="preserve">  </w:t>
      </w:r>
      <w:r w:rsidR="00843468">
        <w:rPr>
          <w:rFonts w:ascii="Aptos" w:hAnsi="Aptos" w:cs="Times New Roman"/>
          <w:sz w:val="25"/>
          <w:szCs w:val="25"/>
        </w:rPr>
        <w:t xml:space="preserve">In September 2023, based upon further progress, </w:t>
      </w:r>
      <w:r w:rsidR="00C551C5">
        <w:rPr>
          <w:rFonts w:ascii="Aptos" w:hAnsi="Aptos" w:cs="Times New Roman"/>
          <w:sz w:val="25"/>
          <w:szCs w:val="25"/>
        </w:rPr>
        <w:t xml:space="preserve">he </w:t>
      </w:r>
      <w:r w:rsidR="0054450D">
        <w:rPr>
          <w:rFonts w:ascii="Aptos" w:hAnsi="Aptos" w:cs="Times New Roman"/>
          <w:sz w:val="25"/>
          <w:szCs w:val="25"/>
        </w:rPr>
        <w:t>began</w:t>
      </w:r>
      <w:r w:rsidR="00843468">
        <w:rPr>
          <w:rFonts w:ascii="Aptos" w:hAnsi="Aptos" w:cs="Times New Roman"/>
          <w:sz w:val="25"/>
          <w:szCs w:val="25"/>
        </w:rPr>
        <w:t xml:space="preserve"> attending a collaborative school program.  </w:t>
      </w:r>
      <w:r w:rsidR="00F565E1">
        <w:rPr>
          <w:rFonts w:ascii="Aptos" w:hAnsi="Aptos" w:cs="Times New Roman"/>
          <w:sz w:val="25"/>
          <w:szCs w:val="25"/>
        </w:rPr>
        <w:t>(</w:t>
      </w:r>
      <w:r w:rsidR="00F565E1">
        <w:rPr>
          <w:rFonts w:ascii="Aptos" w:hAnsi="Aptos" w:cs="Times New Roman"/>
          <w:i/>
          <w:iCs/>
          <w:sz w:val="25"/>
          <w:szCs w:val="25"/>
        </w:rPr>
        <w:t>Hearing Request</w:t>
      </w:r>
      <w:r w:rsidR="001D3CD2">
        <w:rPr>
          <w:rFonts w:ascii="Aptos" w:hAnsi="Aptos" w:cs="Times New Roman"/>
          <w:sz w:val="25"/>
          <w:szCs w:val="25"/>
        </w:rPr>
        <w:t xml:space="preserve">; </w:t>
      </w:r>
      <w:r w:rsidR="001D3CD2" w:rsidRPr="001D3CD2">
        <w:rPr>
          <w:rFonts w:ascii="Aptos" w:hAnsi="Aptos" w:cs="Times New Roman"/>
          <w:i/>
          <w:iCs/>
          <w:sz w:val="25"/>
          <w:szCs w:val="25"/>
        </w:rPr>
        <w:t>Motion</w:t>
      </w:r>
      <w:r w:rsidR="00F565E1">
        <w:rPr>
          <w:rFonts w:ascii="Aptos" w:hAnsi="Aptos" w:cs="Times New Roman"/>
          <w:sz w:val="25"/>
          <w:szCs w:val="25"/>
        </w:rPr>
        <w:t>).</w:t>
      </w:r>
    </w:p>
    <w:p w14:paraId="51889821" w14:textId="77777777" w:rsidR="008676B2" w:rsidRPr="008676B2" w:rsidRDefault="008676B2" w:rsidP="008676B2">
      <w:pPr>
        <w:pStyle w:val="ListParagraph"/>
        <w:rPr>
          <w:rFonts w:ascii="Aptos" w:hAnsi="Aptos" w:cs="Times New Roman"/>
          <w:sz w:val="25"/>
          <w:szCs w:val="25"/>
        </w:rPr>
      </w:pPr>
    </w:p>
    <w:p w14:paraId="56A3142E" w14:textId="0B291107" w:rsidR="00E54C44" w:rsidRDefault="005E5795"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Despite initial progress at the </w:t>
      </w:r>
      <w:r w:rsidR="0054450D">
        <w:rPr>
          <w:rFonts w:ascii="Aptos" w:hAnsi="Aptos" w:cs="Times New Roman"/>
          <w:sz w:val="25"/>
          <w:szCs w:val="25"/>
        </w:rPr>
        <w:t>c</w:t>
      </w:r>
      <w:r>
        <w:rPr>
          <w:rFonts w:ascii="Aptos" w:hAnsi="Aptos" w:cs="Times New Roman"/>
          <w:sz w:val="25"/>
          <w:szCs w:val="25"/>
        </w:rPr>
        <w:t xml:space="preserve">ollaborative program, </w:t>
      </w:r>
      <w:r w:rsidR="008676B2">
        <w:rPr>
          <w:rFonts w:ascii="Aptos" w:hAnsi="Aptos" w:cs="Times New Roman"/>
          <w:sz w:val="25"/>
          <w:szCs w:val="25"/>
        </w:rPr>
        <w:t>Student</w:t>
      </w:r>
      <w:r w:rsidR="00FE687F">
        <w:rPr>
          <w:rFonts w:ascii="Aptos" w:hAnsi="Aptos" w:cs="Times New Roman"/>
          <w:sz w:val="25"/>
          <w:szCs w:val="25"/>
        </w:rPr>
        <w:t xml:space="preserve"> increasingly</w:t>
      </w:r>
      <w:r w:rsidR="008676B2">
        <w:rPr>
          <w:rFonts w:ascii="Aptos" w:hAnsi="Aptos" w:cs="Times New Roman"/>
          <w:sz w:val="25"/>
          <w:szCs w:val="25"/>
        </w:rPr>
        <w:t xml:space="preserve"> struggled</w:t>
      </w:r>
      <w:r w:rsidR="00FE687F">
        <w:rPr>
          <w:rFonts w:ascii="Aptos" w:hAnsi="Aptos" w:cs="Times New Roman"/>
          <w:sz w:val="25"/>
          <w:szCs w:val="25"/>
        </w:rPr>
        <w:t xml:space="preserve"> socially, emotionally, </w:t>
      </w:r>
      <w:r w:rsidR="003A07EC">
        <w:rPr>
          <w:rFonts w:ascii="Aptos" w:hAnsi="Aptos" w:cs="Times New Roman"/>
          <w:sz w:val="25"/>
          <w:szCs w:val="25"/>
        </w:rPr>
        <w:t>academically</w:t>
      </w:r>
      <w:r w:rsidR="00FE687F">
        <w:rPr>
          <w:rFonts w:ascii="Aptos" w:hAnsi="Aptos" w:cs="Times New Roman"/>
          <w:sz w:val="25"/>
          <w:szCs w:val="25"/>
        </w:rPr>
        <w:t xml:space="preserve"> and behaviorally </w:t>
      </w:r>
      <w:r w:rsidR="008676B2">
        <w:rPr>
          <w:rFonts w:ascii="Aptos" w:hAnsi="Aptos" w:cs="Times New Roman"/>
          <w:sz w:val="25"/>
          <w:szCs w:val="25"/>
        </w:rPr>
        <w:t>during his attendance</w:t>
      </w:r>
      <w:r w:rsidR="00AC04D3">
        <w:rPr>
          <w:rFonts w:ascii="Aptos" w:hAnsi="Aptos" w:cs="Times New Roman"/>
          <w:sz w:val="25"/>
          <w:szCs w:val="25"/>
        </w:rPr>
        <w:t xml:space="preserve">, culminating </w:t>
      </w:r>
      <w:r w:rsidR="00C9317D">
        <w:rPr>
          <w:rFonts w:ascii="Aptos" w:hAnsi="Aptos" w:cs="Times New Roman"/>
          <w:sz w:val="25"/>
          <w:szCs w:val="25"/>
        </w:rPr>
        <w:t>in an inappropriate interaction with a female student</w:t>
      </w:r>
      <w:r w:rsidR="003A07EC">
        <w:rPr>
          <w:rFonts w:ascii="Aptos" w:hAnsi="Aptos" w:cs="Times New Roman"/>
          <w:sz w:val="25"/>
          <w:szCs w:val="25"/>
        </w:rPr>
        <w:t xml:space="preserve"> he considered to be a girlfriend</w:t>
      </w:r>
      <w:r w:rsidR="00407600">
        <w:rPr>
          <w:rFonts w:ascii="Aptos" w:hAnsi="Aptos" w:cs="Times New Roman"/>
          <w:sz w:val="25"/>
          <w:szCs w:val="25"/>
        </w:rPr>
        <w:t xml:space="preserve"> at the end of th</w:t>
      </w:r>
      <w:r w:rsidR="00B568FD">
        <w:rPr>
          <w:rFonts w:ascii="Aptos" w:hAnsi="Aptos" w:cs="Times New Roman"/>
          <w:sz w:val="25"/>
          <w:szCs w:val="25"/>
        </w:rPr>
        <w:t>e 2023-2024 school year.  Student</w:t>
      </w:r>
      <w:r w:rsidR="00C9317D">
        <w:rPr>
          <w:rFonts w:ascii="Aptos" w:hAnsi="Aptos" w:cs="Times New Roman"/>
          <w:sz w:val="25"/>
          <w:szCs w:val="25"/>
        </w:rPr>
        <w:t xml:space="preserve"> </w:t>
      </w:r>
      <w:r w:rsidR="009560CE">
        <w:rPr>
          <w:rFonts w:ascii="Aptos" w:hAnsi="Aptos" w:cs="Times New Roman"/>
          <w:sz w:val="25"/>
          <w:szCs w:val="25"/>
        </w:rPr>
        <w:t xml:space="preserve">had initially made a suicide pact with </w:t>
      </w:r>
      <w:r w:rsidR="001811DE">
        <w:rPr>
          <w:rFonts w:ascii="Aptos" w:hAnsi="Aptos" w:cs="Times New Roman"/>
          <w:sz w:val="25"/>
          <w:szCs w:val="25"/>
        </w:rPr>
        <w:t>this student</w:t>
      </w:r>
      <w:r w:rsidR="00B568FD">
        <w:rPr>
          <w:rFonts w:ascii="Aptos" w:hAnsi="Aptos" w:cs="Times New Roman"/>
          <w:sz w:val="25"/>
          <w:szCs w:val="25"/>
        </w:rPr>
        <w:t xml:space="preserve">, </w:t>
      </w:r>
      <w:r w:rsidR="002114F9">
        <w:rPr>
          <w:rFonts w:ascii="Aptos" w:hAnsi="Aptos" w:cs="Times New Roman"/>
          <w:sz w:val="25"/>
          <w:szCs w:val="25"/>
        </w:rPr>
        <w:t xml:space="preserve">and </w:t>
      </w:r>
      <w:r w:rsidR="00FE5BDF">
        <w:rPr>
          <w:rFonts w:ascii="Aptos" w:hAnsi="Aptos" w:cs="Times New Roman"/>
          <w:sz w:val="25"/>
          <w:szCs w:val="25"/>
        </w:rPr>
        <w:t xml:space="preserve">Student’s </w:t>
      </w:r>
      <w:r w:rsidR="00F147F5">
        <w:rPr>
          <w:rFonts w:ascii="Aptos" w:hAnsi="Aptos" w:cs="Times New Roman"/>
          <w:sz w:val="25"/>
          <w:szCs w:val="25"/>
        </w:rPr>
        <w:t xml:space="preserve">inappropriate behavior occurred </w:t>
      </w:r>
      <w:r w:rsidR="002114F9">
        <w:rPr>
          <w:rFonts w:ascii="Aptos" w:hAnsi="Aptos" w:cs="Times New Roman"/>
          <w:sz w:val="25"/>
          <w:szCs w:val="25"/>
        </w:rPr>
        <w:t xml:space="preserve">when </w:t>
      </w:r>
      <w:r w:rsidR="00B568FD">
        <w:rPr>
          <w:rFonts w:ascii="Aptos" w:hAnsi="Aptos" w:cs="Times New Roman"/>
          <w:sz w:val="25"/>
          <w:szCs w:val="25"/>
        </w:rPr>
        <w:t xml:space="preserve">she </w:t>
      </w:r>
      <w:r w:rsidR="009560CE">
        <w:rPr>
          <w:rFonts w:ascii="Aptos" w:hAnsi="Aptos" w:cs="Times New Roman"/>
          <w:sz w:val="25"/>
          <w:szCs w:val="25"/>
        </w:rPr>
        <w:t>changed her mind</w:t>
      </w:r>
      <w:r w:rsidR="00407600">
        <w:rPr>
          <w:rFonts w:ascii="Aptos" w:hAnsi="Aptos" w:cs="Times New Roman"/>
          <w:sz w:val="25"/>
          <w:szCs w:val="25"/>
        </w:rPr>
        <w:t>.</w:t>
      </w:r>
      <w:r w:rsidR="00E54C44">
        <w:rPr>
          <w:rFonts w:ascii="Aptos" w:hAnsi="Aptos" w:cs="Times New Roman"/>
          <w:sz w:val="25"/>
          <w:szCs w:val="25"/>
        </w:rPr>
        <w:t xml:space="preserve">  (</w:t>
      </w:r>
      <w:r w:rsidR="00E54C44">
        <w:rPr>
          <w:rFonts w:ascii="Aptos" w:hAnsi="Aptos" w:cs="Times New Roman"/>
          <w:i/>
          <w:iCs/>
          <w:sz w:val="25"/>
          <w:szCs w:val="25"/>
        </w:rPr>
        <w:t>Hearing Request</w:t>
      </w:r>
      <w:r w:rsidR="00E54C44">
        <w:rPr>
          <w:rFonts w:ascii="Aptos" w:hAnsi="Aptos" w:cs="Times New Roman"/>
          <w:sz w:val="25"/>
          <w:szCs w:val="25"/>
        </w:rPr>
        <w:t>).</w:t>
      </w:r>
      <w:r w:rsidR="00407600">
        <w:rPr>
          <w:rFonts w:ascii="Aptos" w:hAnsi="Aptos" w:cs="Times New Roman"/>
          <w:sz w:val="25"/>
          <w:szCs w:val="25"/>
        </w:rPr>
        <w:t xml:space="preserve">  </w:t>
      </w:r>
    </w:p>
    <w:p w14:paraId="494A046C" w14:textId="77777777" w:rsidR="00E54C44" w:rsidRPr="00E54C44" w:rsidRDefault="00E54C44" w:rsidP="00E54C44">
      <w:pPr>
        <w:pStyle w:val="ListParagraph"/>
        <w:rPr>
          <w:rFonts w:ascii="Aptos" w:hAnsi="Aptos" w:cs="Times New Roman"/>
          <w:sz w:val="25"/>
          <w:szCs w:val="25"/>
        </w:rPr>
      </w:pPr>
    </w:p>
    <w:p w14:paraId="2A852927" w14:textId="062035FC" w:rsidR="008676B2" w:rsidRDefault="00686354"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Shortly thereafter, </w:t>
      </w:r>
      <w:r w:rsidR="006F6F39">
        <w:rPr>
          <w:rFonts w:ascii="Aptos" w:hAnsi="Aptos" w:cs="Times New Roman"/>
          <w:sz w:val="25"/>
          <w:szCs w:val="25"/>
        </w:rPr>
        <w:t xml:space="preserve">a search of Student’s laptop revealed </w:t>
      </w:r>
      <w:r w:rsidR="00AA2898">
        <w:rPr>
          <w:rFonts w:ascii="Aptos" w:hAnsi="Aptos" w:cs="Times New Roman"/>
          <w:sz w:val="25"/>
          <w:szCs w:val="25"/>
        </w:rPr>
        <w:t xml:space="preserve">his substantial involvement </w:t>
      </w:r>
      <w:r w:rsidR="00344D05">
        <w:rPr>
          <w:rFonts w:ascii="Aptos" w:hAnsi="Aptos" w:cs="Times New Roman"/>
          <w:sz w:val="25"/>
          <w:szCs w:val="25"/>
        </w:rPr>
        <w:t xml:space="preserve">in an on-line “racist group chat, where [Student] and others described Student as a ‘slave’ to be used by them and encouraged Student to self-harm”.  </w:t>
      </w:r>
      <w:r w:rsidR="00FE5BDF">
        <w:rPr>
          <w:rFonts w:ascii="Aptos" w:hAnsi="Aptos" w:cs="Times New Roman"/>
          <w:sz w:val="25"/>
          <w:szCs w:val="25"/>
        </w:rPr>
        <w:t xml:space="preserve">Student’s access </w:t>
      </w:r>
      <w:r w:rsidR="00C32B8F">
        <w:rPr>
          <w:rFonts w:ascii="Aptos" w:hAnsi="Aptos" w:cs="Times New Roman"/>
          <w:sz w:val="25"/>
          <w:szCs w:val="25"/>
        </w:rPr>
        <w:t xml:space="preserve">to technology was limited following this search.  Student then </w:t>
      </w:r>
      <w:r w:rsidR="008F60E0">
        <w:rPr>
          <w:rFonts w:ascii="Aptos" w:hAnsi="Aptos" w:cs="Times New Roman"/>
          <w:sz w:val="25"/>
          <w:szCs w:val="25"/>
        </w:rPr>
        <w:t xml:space="preserve">became increasingly agitated </w:t>
      </w:r>
      <w:r w:rsidR="00134082">
        <w:rPr>
          <w:rFonts w:ascii="Aptos" w:hAnsi="Aptos" w:cs="Times New Roman"/>
          <w:sz w:val="25"/>
          <w:szCs w:val="25"/>
        </w:rPr>
        <w:t xml:space="preserve">and expressed suicidal and homicidal ideations towards </w:t>
      </w:r>
      <w:proofErr w:type="gramStart"/>
      <w:r w:rsidR="00134082">
        <w:rPr>
          <w:rFonts w:ascii="Aptos" w:hAnsi="Aptos" w:cs="Times New Roman"/>
          <w:sz w:val="25"/>
          <w:szCs w:val="25"/>
        </w:rPr>
        <w:t>his</w:t>
      </w:r>
      <w:proofErr w:type="gramEnd"/>
      <w:r w:rsidR="00134082">
        <w:rPr>
          <w:rFonts w:ascii="Aptos" w:hAnsi="Aptos" w:cs="Times New Roman"/>
          <w:sz w:val="25"/>
          <w:szCs w:val="25"/>
        </w:rPr>
        <w:t xml:space="preserve"> siblings </w:t>
      </w:r>
      <w:r w:rsidR="002879A9">
        <w:rPr>
          <w:rFonts w:ascii="Aptos" w:hAnsi="Aptos" w:cs="Times New Roman"/>
          <w:sz w:val="25"/>
          <w:szCs w:val="25"/>
        </w:rPr>
        <w:t xml:space="preserve">before eloping from home on July 1, 2024.  Upon being located by police “lying in a graveyard”, Student was </w:t>
      </w:r>
      <w:r w:rsidR="00FB7A58">
        <w:rPr>
          <w:rFonts w:ascii="Aptos" w:hAnsi="Aptos" w:cs="Times New Roman"/>
          <w:sz w:val="25"/>
          <w:szCs w:val="25"/>
        </w:rPr>
        <w:t>hospitalized at his request.  (</w:t>
      </w:r>
      <w:r w:rsidR="00FB7A58">
        <w:rPr>
          <w:rFonts w:ascii="Aptos" w:hAnsi="Aptos" w:cs="Times New Roman"/>
          <w:i/>
          <w:iCs/>
          <w:sz w:val="25"/>
          <w:szCs w:val="25"/>
        </w:rPr>
        <w:t>Hearing Request</w:t>
      </w:r>
      <w:r w:rsidR="00FB7A58">
        <w:rPr>
          <w:rFonts w:ascii="Aptos" w:hAnsi="Aptos" w:cs="Times New Roman"/>
          <w:sz w:val="25"/>
          <w:szCs w:val="25"/>
        </w:rPr>
        <w:t>).</w:t>
      </w:r>
    </w:p>
    <w:p w14:paraId="7BE23831" w14:textId="77777777" w:rsidR="00394E6E" w:rsidRPr="00394E6E" w:rsidRDefault="00394E6E" w:rsidP="00394E6E">
      <w:pPr>
        <w:pStyle w:val="ListParagraph"/>
        <w:rPr>
          <w:rFonts w:ascii="Aptos" w:hAnsi="Aptos" w:cs="Times New Roman"/>
          <w:sz w:val="25"/>
          <w:szCs w:val="25"/>
        </w:rPr>
      </w:pPr>
    </w:p>
    <w:p w14:paraId="7D1DFB5E" w14:textId="2C86920D" w:rsidR="00BB6788" w:rsidRDefault="007A1C82" w:rsidP="00E571A4">
      <w:pPr>
        <w:pStyle w:val="ListParagraph"/>
        <w:numPr>
          <w:ilvl w:val="0"/>
          <w:numId w:val="1"/>
        </w:numPr>
        <w:spacing w:after="0" w:line="240" w:lineRule="auto"/>
        <w:rPr>
          <w:rFonts w:ascii="Aptos" w:hAnsi="Aptos" w:cs="Times New Roman"/>
          <w:sz w:val="25"/>
          <w:szCs w:val="25"/>
        </w:rPr>
      </w:pPr>
      <w:r w:rsidRPr="005E277F">
        <w:rPr>
          <w:rFonts w:ascii="Aptos" w:hAnsi="Aptos" w:cs="Times New Roman"/>
          <w:sz w:val="25"/>
          <w:szCs w:val="25"/>
        </w:rPr>
        <w:t>Student spent the summer of 2024 in various</w:t>
      </w:r>
      <w:r w:rsidR="00050EC2">
        <w:rPr>
          <w:rFonts w:ascii="Aptos" w:hAnsi="Aptos" w:cs="Times New Roman"/>
          <w:sz w:val="25"/>
          <w:szCs w:val="25"/>
        </w:rPr>
        <w:t xml:space="preserve"> levels of </w:t>
      </w:r>
      <w:r w:rsidRPr="005E277F">
        <w:rPr>
          <w:rFonts w:ascii="Aptos" w:hAnsi="Aptos" w:cs="Times New Roman"/>
          <w:sz w:val="25"/>
          <w:szCs w:val="25"/>
        </w:rPr>
        <w:t>hospitalizations</w:t>
      </w:r>
      <w:r w:rsidR="00F62413" w:rsidRPr="005E277F">
        <w:rPr>
          <w:rFonts w:ascii="Aptos" w:hAnsi="Aptos" w:cs="Times New Roman"/>
          <w:sz w:val="25"/>
          <w:szCs w:val="25"/>
        </w:rPr>
        <w:t xml:space="preserve">, </w:t>
      </w:r>
      <w:r w:rsidR="007A4576">
        <w:rPr>
          <w:rFonts w:ascii="Aptos" w:hAnsi="Aptos" w:cs="Times New Roman"/>
          <w:sz w:val="25"/>
          <w:szCs w:val="25"/>
        </w:rPr>
        <w:t>completing</w:t>
      </w:r>
      <w:r w:rsidR="00F62413" w:rsidRPr="005E277F">
        <w:rPr>
          <w:rFonts w:ascii="Aptos" w:hAnsi="Aptos" w:cs="Times New Roman"/>
          <w:sz w:val="25"/>
          <w:szCs w:val="25"/>
        </w:rPr>
        <w:t xml:space="preserve"> a partial hospitalization program on September 2, 2024.  </w:t>
      </w:r>
      <w:r w:rsidR="007A4576">
        <w:rPr>
          <w:rFonts w:ascii="Aptos" w:hAnsi="Aptos" w:cs="Times New Roman"/>
          <w:sz w:val="25"/>
          <w:szCs w:val="25"/>
        </w:rPr>
        <w:t xml:space="preserve">Student did not return to school at his collaborative </w:t>
      </w:r>
      <w:r w:rsidR="009776A4">
        <w:rPr>
          <w:rFonts w:ascii="Aptos" w:hAnsi="Aptos" w:cs="Times New Roman"/>
          <w:sz w:val="25"/>
          <w:szCs w:val="25"/>
        </w:rPr>
        <w:t xml:space="preserve">placement with the start of the school year as he was awaiting a requested re-entry meeting.  </w:t>
      </w:r>
      <w:r w:rsidR="00050EC2">
        <w:rPr>
          <w:rFonts w:ascii="Aptos" w:hAnsi="Aptos" w:cs="Times New Roman"/>
          <w:sz w:val="25"/>
          <w:szCs w:val="25"/>
        </w:rPr>
        <w:t>(</w:t>
      </w:r>
      <w:r w:rsidR="00050EC2">
        <w:rPr>
          <w:rFonts w:ascii="Aptos" w:hAnsi="Aptos" w:cs="Times New Roman"/>
          <w:i/>
          <w:iCs/>
          <w:sz w:val="25"/>
          <w:szCs w:val="25"/>
        </w:rPr>
        <w:t>Hearing Request</w:t>
      </w:r>
      <w:r w:rsidR="00050EC2">
        <w:rPr>
          <w:rFonts w:ascii="Aptos" w:hAnsi="Aptos" w:cs="Times New Roman"/>
          <w:sz w:val="25"/>
          <w:szCs w:val="25"/>
        </w:rPr>
        <w:t>).</w:t>
      </w:r>
    </w:p>
    <w:p w14:paraId="0241473A" w14:textId="77777777" w:rsidR="00BB6788" w:rsidRPr="00BB6788" w:rsidRDefault="00BB6788" w:rsidP="00BB6788">
      <w:pPr>
        <w:pStyle w:val="ListParagraph"/>
        <w:rPr>
          <w:rFonts w:ascii="Aptos" w:hAnsi="Aptos" w:cs="Times New Roman"/>
          <w:sz w:val="25"/>
          <w:szCs w:val="25"/>
        </w:rPr>
      </w:pPr>
    </w:p>
    <w:p w14:paraId="2BE208ED" w14:textId="30B51363" w:rsidR="00BB6788" w:rsidRDefault="005E277F"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On December 17, 202</w:t>
      </w:r>
      <w:r w:rsidR="00050EC2">
        <w:rPr>
          <w:rFonts w:ascii="Aptos" w:hAnsi="Aptos" w:cs="Times New Roman"/>
          <w:sz w:val="25"/>
          <w:szCs w:val="25"/>
        </w:rPr>
        <w:t>4,</w:t>
      </w:r>
      <w:r>
        <w:rPr>
          <w:rFonts w:ascii="Aptos" w:hAnsi="Aptos" w:cs="Times New Roman"/>
          <w:sz w:val="25"/>
          <w:szCs w:val="25"/>
        </w:rPr>
        <w:t xml:space="preserve"> Caregiver consented to </w:t>
      </w:r>
      <w:r w:rsidR="007A02FC">
        <w:rPr>
          <w:rFonts w:ascii="Aptos" w:hAnsi="Aptos" w:cs="Times New Roman"/>
          <w:sz w:val="25"/>
          <w:szCs w:val="25"/>
        </w:rPr>
        <w:t xml:space="preserve">a </w:t>
      </w:r>
      <w:r w:rsidR="00BB6788">
        <w:rPr>
          <w:rFonts w:ascii="Aptos" w:hAnsi="Aptos" w:cs="Times New Roman"/>
          <w:sz w:val="25"/>
          <w:szCs w:val="25"/>
        </w:rPr>
        <w:t>three-year re-evaluation</w:t>
      </w:r>
      <w:r w:rsidR="007A02FC">
        <w:rPr>
          <w:rFonts w:ascii="Aptos" w:hAnsi="Aptos" w:cs="Times New Roman"/>
          <w:sz w:val="25"/>
          <w:szCs w:val="25"/>
        </w:rPr>
        <w:t xml:space="preserve"> for Student that the District has proposed on November </w:t>
      </w:r>
      <w:r w:rsidR="009407B2">
        <w:rPr>
          <w:rFonts w:ascii="Aptos" w:hAnsi="Aptos" w:cs="Times New Roman"/>
          <w:sz w:val="25"/>
          <w:szCs w:val="25"/>
        </w:rPr>
        <w:t>8, 2024</w:t>
      </w:r>
      <w:r w:rsidR="00BB6788">
        <w:rPr>
          <w:rFonts w:ascii="Aptos" w:hAnsi="Aptos" w:cs="Times New Roman"/>
          <w:sz w:val="25"/>
          <w:szCs w:val="25"/>
        </w:rPr>
        <w:t xml:space="preserve">, however testing was not able to be conducted </w:t>
      </w:r>
      <w:r w:rsidR="005C64E9">
        <w:rPr>
          <w:rFonts w:ascii="Aptos" w:hAnsi="Aptos" w:cs="Times New Roman"/>
          <w:sz w:val="25"/>
          <w:szCs w:val="25"/>
        </w:rPr>
        <w:t xml:space="preserve">then </w:t>
      </w:r>
      <w:r w:rsidR="009407B2">
        <w:rPr>
          <w:rFonts w:ascii="Aptos" w:hAnsi="Aptos" w:cs="Times New Roman"/>
          <w:sz w:val="25"/>
          <w:szCs w:val="25"/>
        </w:rPr>
        <w:t xml:space="preserve">as Student was receiving interim virtual </w:t>
      </w:r>
      <w:r w:rsidR="002A1671">
        <w:rPr>
          <w:rFonts w:ascii="Aptos" w:hAnsi="Aptos" w:cs="Times New Roman"/>
          <w:sz w:val="25"/>
          <w:szCs w:val="25"/>
        </w:rPr>
        <w:t>tutoring while the parties searched for a new day program</w:t>
      </w:r>
      <w:r w:rsidR="00BB6788">
        <w:rPr>
          <w:rFonts w:ascii="Aptos" w:hAnsi="Aptos" w:cs="Times New Roman"/>
          <w:sz w:val="25"/>
          <w:szCs w:val="25"/>
        </w:rPr>
        <w:t>.  (</w:t>
      </w:r>
      <w:r w:rsidR="00BB6788">
        <w:rPr>
          <w:rFonts w:ascii="Aptos" w:hAnsi="Aptos" w:cs="Times New Roman"/>
          <w:i/>
          <w:iCs/>
          <w:sz w:val="25"/>
          <w:szCs w:val="25"/>
        </w:rPr>
        <w:t>Hearing Request</w:t>
      </w:r>
      <w:r w:rsidR="00050EC2">
        <w:rPr>
          <w:rFonts w:ascii="Aptos" w:hAnsi="Aptos" w:cs="Times New Roman"/>
          <w:sz w:val="25"/>
          <w:szCs w:val="25"/>
        </w:rPr>
        <w:t>).</w:t>
      </w:r>
    </w:p>
    <w:p w14:paraId="197D3B4D" w14:textId="77777777" w:rsidR="00BB6788" w:rsidRPr="00BB6788" w:rsidRDefault="00BB6788" w:rsidP="00BB6788">
      <w:pPr>
        <w:pStyle w:val="ListParagraph"/>
        <w:rPr>
          <w:rFonts w:ascii="Aptos" w:hAnsi="Aptos" w:cs="Times New Roman"/>
          <w:sz w:val="25"/>
          <w:szCs w:val="25"/>
        </w:rPr>
      </w:pPr>
    </w:p>
    <w:p w14:paraId="158073AC" w14:textId="075992EF" w:rsidR="00394E6E" w:rsidRPr="005E277F" w:rsidRDefault="00337A0F" w:rsidP="00E571A4">
      <w:pPr>
        <w:pStyle w:val="ListParagraph"/>
        <w:numPr>
          <w:ilvl w:val="0"/>
          <w:numId w:val="1"/>
        </w:numPr>
        <w:spacing w:after="0" w:line="240" w:lineRule="auto"/>
        <w:rPr>
          <w:rFonts w:ascii="Aptos" w:hAnsi="Aptos" w:cs="Times New Roman"/>
          <w:sz w:val="25"/>
          <w:szCs w:val="25"/>
        </w:rPr>
      </w:pPr>
      <w:r w:rsidRPr="005E277F">
        <w:rPr>
          <w:rFonts w:ascii="Aptos" w:hAnsi="Aptos" w:cs="Times New Roman"/>
          <w:sz w:val="25"/>
          <w:szCs w:val="25"/>
        </w:rPr>
        <w:t>In February 2025, Student began attending a private therapeutic day program</w:t>
      </w:r>
      <w:r w:rsidR="00C56B73">
        <w:rPr>
          <w:rFonts w:ascii="Aptos" w:hAnsi="Aptos" w:cs="Times New Roman"/>
          <w:sz w:val="25"/>
          <w:szCs w:val="25"/>
        </w:rPr>
        <w:t>.  W</w:t>
      </w:r>
      <w:r w:rsidR="00A168CE" w:rsidRPr="005E277F">
        <w:rPr>
          <w:rFonts w:ascii="Aptos" w:hAnsi="Aptos" w:cs="Times New Roman"/>
          <w:sz w:val="25"/>
          <w:szCs w:val="25"/>
        </w:rPr>
        <w:t xml:space="preserve">ithin a few weeks </w:t>
      </w:r>
      <w:r w:rsidR="00C56B73">
        <w:rPr>
          <w:rFonts w:ascii="Aptos" w:hAnsi="Aptos" w:cs="Times New Roman"/>
          <w:sz w:val="25"/>
          <w:szCs w:val="25"/>
        </w:rPr>
        <w:t xml:space="preserve">he </w:t>
      </w:r>
      <w:r w:rsidR="00A168CE" w:rsidRPr="005E277F">
        <w:rPr>
          <w:rFonts w:ascii="Aptos" w:hAnsi="Aptos" w:cs="Times New Roman"/>
          <w:sz w:val="25"/>
          <w:szCs w:val="25"/>
        </w:rPr>
        <w:t xml:space="preserve">engaged in an inappropriate physical way with a female student prior to a school field trip.  </w:t>
      </w:r>
      <w:proofErr w:type="gramStart"/>
      <w:r w:rsidR="00C56B73">
        <w:rPr>
          <w:rFonts w:ascii="Aptos" w:hAnsi="Aptos" w:cs="Times New Roman"/>
          <w:sz w:val="25"/>
          <w:szCs w:val="25"/>
        </w:rPr>
        <w:t>As a consequence</w:t>
      </w:r>
      <w:proofErr w:type="gramEnd"/>
      <w:r w:rsidR="00C56B73">
        <w:rPr>
          <w:rFonts w:ascii="Aptos" w:hAnsi="Aptos" w:cs="Times New Roman"/>
          <w:sz w:val="25"/>
          <w:szCs w:val="25"/>
        </w:rPr>
        <w:t xml:space="preserve">, </w:t>
      </w:r>
      <w:r w:rsidR="004C771C" w:rsidRPr="005E277F">
        <w:rPr>
          <w:rFonts w:ascii="Aptos" w:hAnsi="Aptos" w:cs="Times New Roman"/>
          <w:sz w:val="25"/>
          <w:szCs w:val="25"/>
        </w:rPr>
        <w:t>Student’s electronics were confiscated</w:t>
      </w:r>
      <w:r w:rsidR="00A81AF1" w:rsidRPr="005E277F">
        <w:rPr>
          <w:rFonts w:ascii="Aptos" w:hAnsi="Aptos" w:cs="Times New Roman"/>
          <w:sz w:val="25"/>
          <w:szCs w:val="25"/>
        </w:rPr>
        <w:t xml:space="preserve">.  Three days later, on February </w:t>
      </w:r>
      <w:r w:rsidR="00FD3AF5" w:rsidRPr="005E277F">
        <w:rPr>
          <w:rFonts w:ascii="Aptos" w:hAnsi="Aptos" w:cs="Times New Roman"/>
          <w:sz w:val="25"/>
          <w:szCs w:val="25"/>
        </w:rPr>
        <w:t>21</w:t>
      </w:r>
      <w:r w:rsidR="00A81AF1" w:rsidRPr="005E277F">
        <w:rPr>
          <w:rFonts w:ascii="Aptos" w:hAnsi="Aptos" w:cs="Times New Roman"/>
          <w:sz w:val="25"/>
          <w:szCs w:val="25"/>
        </w:rPr>
        <w:t xml:space="preserve">, 2025, Student eloped from home </w:t>
      </w:r>
      <w:r w:rsidR="00514CDA" w:rsidRPr="005E277F">
        <w:rPr>
          <w:rFonts w:ascii="Aptos" w:hAnsi="Aptos" w:cs="Times New Roman"/>
          <w:sz w:val="25"/>
          <w:szCs w:val="25"/>
        </w:rPr>
        <w:t>to live with an unknown female he had met on the internet.  He refused to answer calls from his family</w:t>
      </w:r>
      <w:r w:rsidR="00E62780">
        <w:rPr>
          <w:rFonts w:ascii="Aptos" w:hAnsi="Aptos" w:cs="Times New Roman"/>
          <w:sz w:val="25"/>
          <w:szCs w:val="25"/>
        </w:rPr>
        <w:t>.  Student</w:t>
      </w:r>
      <w:r w:rsidR="00514CDA" w:rsidRPr="005E277F">
        <w:rPr>
          <w:rFonts w:ascii="Aptos" w:hAnsi="Aptos" w:cs="Times New Roman"/>
          <w:sz w:val="25"/>
          <w:szCs w:val="25"/>
        </w:rPr>
        <w:t xml:space="preserve"> did </w:t>
      </w:r>
      <w:r w:rsidR="00D327B3">
        <w:rPr>
          <w:rFonts w:ascii="Aptos" w:hAnsi="Aptos" w:cs="Times New Roman"/>
          <w:sz w:val="25"/>
          <w:szCs w:val="25"/>
        </w:rPr>
        <w:t>talk to</w:t>
      </w:r>
      <w:r w:rsidR="00514CDA" w:rsidRPr="005E277F">
        <w:rPr>
          <w:rFonts w:ascii="Aptos" w:hAnsi="Aptos" w:cs="Times New Roman"/>
          <w:sz w:val="25"/>
          <w:szCs w:val="25"/>
        </w:rPr>
        <w:t xml:space="preserve"> the Director of </w:t>
      </w:r>
      <w:r w:rsidR="00BC0115">
        <w:rPr>
          <w:rFonts w:ascii="Aptos" w:hAnsi="Aptos" w:cs="Times New Roman"/>
          <w:sz w:val="25"/>
          <w:szCs w:val="25"/>
        </w:rPr>
        <w:t xml:space="preserve">his </w:t>
      </w:r>
      <w:r w:rsidR="00F36E73" w:rsidRPr="005E277F">
        <w:rPr>
          <w:rFonts w:ascii="Aptos" w:hAnsi="Aptos" w:cs="Times New Roman"/>
          <w:sz w:val="25"/>
          <w:szCs w:val="25"/>
        </w:rPr>
        <w:t xml:space="preserve">day </w:t>
      </w:r>
      <w:proofErr w:type="gramStart"/>
      <w:r w:rsidR="00F36E73" w:rsidRPr="005E277F">
        <w:rPr>
          <w:rFonts w:ascii="Aptos" w:hAnsi="Aptos" w:cs="Times New Roman"/>
          <w:sz w:val="25"/>
          <w:szCs w:val="25"/>
        </w:rPr>
        <w:t xml:space="preserve">program, </w:t>
      </w:r>
      <w:r w:rsidR="00D327B3">
        <w:rPr>
          <w:rFonts w:ascii="Aptos" w:hAnsi="Aptos" w:cs="Times New Roman"/>
          <w:sz w:val="25"/>
          <w:szCs w:val="25"/>
        </w:rPr>
        <w:t>and</w:t>
      </w:r>
      <w:proofErr w:type="gramEnd"/>
      <w:r w:rsidR="00D327B3">
        <w:rPr>
          <w:rFonts w:ascii="Aptos" w:hAnsi="Aptos" w:cs="Times New Roman"/>
          <w:sz w:val="25"/>
          <w:szCs w:val="25"/>
        </w:rPr>
        <w:t xml:space="preserve"> agreed</w:t>
      </w:r>
      <w:r w:rsidR="00F36E73" w:rsidRPr="005E277F">
        <w:rPr>
          <w:rFonts w:ascii="Aptos" w:hAnsi="Aptos" w:cs="Times New Roman"/>
          <w:sz w:val="25"/>
          <w:szCs w:val="25"/>
        </w:rPr>
        <w:t xml:space="preserve"> to meet with </w:t>
      </w:r>
      <w:r w:rsidR="00646D72">
        <w:rPr>
          <w:rFonts w:ascii="Aptos" w:hAnsi="Aptos" w:cs="Times New Roman"/>
          <w:sz w:val="25"/>
          <w:szCs w:val="25"/>
        </w:rPr>
        <w:t xml:space="preserve">him </w:t>
      </w:r>
      <w:r w:rsidR="00F36E73" w:rsidRPr="005E277F">
        <w:rPr>
          <w:rFonts w:ascii="Aptos" w:hAnsi="Aptos" w:cs="Times New Roman"/>
          <w:sz w:val="25"/>
          <w:szCs w:val="25"/>
        </w:rPr>
        <w:t>and speak with a school counselor</w:t>
      </w:r>
      <w:r w:rsidR="00646D72">
        <w:rPr>
          <w:rFonts w:ascii="Aptos" w:hAnsi="Aptos" w:cs="Times New Roman"/>
          <w:sz w:val="25"/>
          <w:szCs w:val="25"/>
        </w:rPr>
        <w:t>,</w:t>
      </w:r>
      <w:r w:rsidR="00D71A2A" w:rsidRPr="005E277F">
        <w:rPr>
          <w:rFonts w:ascii="Aptos" w:hAnsi="Aptos" w:cs="Times New Roman"/>
          <w:sz w:val="25"/>
          <w:szCs w:val="25"/>
        </w:rPr>
        <w:t xml:space="preserve"> whereupon he </w:t>
      </w:r>
      <w:r w:rsidR="00D71A2A" w:rsidRPr="005E277F">
        <w:rPr>
          <w:rFonts w:ascii="Aptos" w:hAnsi="Aptos" w:cs="Times New Roman"/>
          <w:sz w:val="25"/>
          <w:szCs w:val="25"/>
        </w:rPr>
        <w:lastRenderedPageBreak/>
        <w:t>made further “significant homicidal threats against his older sister and older brother</w:t>
      </w:r>
      <w:r w:rsidR="00CC1F23">
        <w:rPr>
          <w:rFonts w:ascii="Aptos" w:hAnsi="Aptos" w:cs="Times New Roman"/>
          <w:sz w:val="25"/>
          <w:szCs w:val="25"/>
        </w:rPr>
        <w:t>,</w:t>
      </w:r>
      <w:r w:rsidR="00D71A2A" w:rsidRPr="005E277F">
        <w:rPr>
          <w:rFonts w:ascii="Aptos" w:hAnsi="Aptos" w:cs="Times New Roman"/>
          <w:sz w:val="25"/>
          <w:szCs w:val="25"/>
        </w:rPr>
        <w:t>” resulti</w:t>
      </w:r>
      <w:r w:rsidR="00BE6FAB" w:rsidRPr="005E277F">
        <w:rPr>
          <w:rFonts w:ascii="Aptos" w:hAnsi="Aptos" w:cs="Times New Roman"/>
          <w:sz w:val="25"/>
          <w:szCs w:val="25"/>
        </w:rPr>
        <w:t xml:space="preserve">ng in </w:t>
      </w:r>
      <w:r w:rsidR="001D561D">
        <w:rPr>
          <w:rFonts w:ascii="Aptos" w:hAnsi="Aptos" w:cs="Times New Roman"/>
          <w:sz w:val="25"/>
          <w:szCs w:val="25"/>
        </w:rPr>
        <w:t xml:space="preserve">another </w:t>
      </w:r>
      <w:r w:rsidR="00BE6FAB" w:rsidRPr="005E277F">
        <w:rPr>
          <w:rFonts w:ascii="Aptos" w:hAnsi="Aptos" w:cs="Times New Roman"/>
          <w:sz w:val="25"/>
          <w:szCs w:val="25"/>
        </w:rPr>
        <w:t>in-patient hospitalization.  (</w:t>
      </w:r>
      <w:r w:rsidR="00BE6FAB" w:rsidRPr="005E277F">
        <w:rPr>
          <w:rFonts w:ascii="Aptos" w:hAnsi="Aptos" w:cs="Times New Roman"/>
          <w:i/>
          <w:iCs/>
          <w:sz w:val="25"/>
          <w:szCs w:val="25"/>
        </w:rPr>
        <w:t>Hearing Request</w:t>
      </w:r>
      <w:r w:rsidR="00BE6FAB" w:rsidRPr="005E277F">
        <w:rPr>
          <w:rFonts w:ascii="Aptos" w:hAnsi="Aptos" w:cs="Times New Roman"/>
          <w:sz w:val="25"/>
          <w:szCs w:val="25"/>
        </w:rPr>
        <w:t>).</w:t>
      </w:r>
    </w:p>
    <w:p w14:paraId="612A9723" w14:textId="77777777" w:rsidR="00BE6FAB" w:rsidRPr="00BE6FAB" w:rsidRDefault="00BE6FAB" w:rsidP="00BE6FAB">
      <w:pPr>
        <w:pStyle w:val="ListParagraph"/>
        <w:rPr>
          <w:rFonts w:ascii="Aptos" w:hAnsi="Aptos" w:cs="Times New Roman"/>
          <w:sz w:val="25"/>
          <w:szCs w:val="25"/>
        </w:rPr>
      </w:pPr>
    </w:p>
    <w:p w14:paraId="122CF11D" w14:textId="057FEE2C" w:rsidR="00BE6FAB" w:rsidRDefault="00CE7BF5"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Between </w:t>
      </w:r>
      <w:r w:rsidR="00FD3AF5">
        <w:rPr>
          <w:rFonts w:ascii="Aptos" w:hAnsi="Aptos" w:cs="Times New Roman"/>
          <w:sz w:val="25"/>
          <w:szCs w:val="25"/>
        </w:rPr>
        <w:t xml:space="preserve">the hospitalization on February 21, </w:t>
      </w:r>
      <w:r w:rsidR="000C5511">
        <w:rPr>
          <w:rFonts w:ascii="Aptos" w:hAnsi="Aptos" w:cs="Times New Roman"/>
          <w:sz w:val="25"/>
          <w:szCs w:val="25"/>
        </w:rPr>
        <w:t>2025,</w:t>
      </w:r>
      <w:r w:rsidR="00FD3AF5">
        <w:rPr>
          <w:rFonts w:ascii="Aptos" w:hAnsi="Aptos" w:cs="Times New Roman"/>
          <w:sz w:val="25"/>
          <w:szCs w:val="25"/>
        </w:rPr>
        <w:t xml:space="preserve"> and the end of May 2025, Student remained in various </w:t>
      </w:r>
      <w:r w:rsidR="00CC1D4B">
        <w:rPr>
          <w:rFonts w:ascii="Aptos" w:hAnsi="Aptos" w:cs="Times New Roman"/>
          <w:sz w:val="25"/>
          <w:szCs w:val="25"/>
        </w:rPr>
        <w:t xml:space="preserve">in-patient </w:t>
      </w:r>
      <w:r w:rsidR="00FD3AF5">
        <w:rPr>
          <w:rFonts w:ascii="Aptos" w:hAnsi="Aptos" w:cs="Times New Roman"/>
          <w:sz w:val="25"/>
          <w:szCs w:val="25"/>
        </w:rPr>
        <w:t>hospital placements</w:t>
      </w:r>
      <w:r w:rsidR="00964424">
        <w:rPr>
          <w:rFonts w:ascii="Aptos" w:hAnsi="Aptos" w:cs="Times New Roman"/>
          <w:sz w:val="25"/>
          <w:szCs w:val="25"/>
        </w:rPr>
        <w:t xml:space="preserve"> (at one point </w:t>
      </w:r>
      <w:r w:rsidR="00DC6E4F">
        <w:rPr>
          <w:rFonts w:ascii="Aptos" w:hAnsi="Aptos" w:cs="Times New Roman"/>
          <w:sz w:val="25"/>
          <w:szCs w:val="25"/>
        </w:rPr>
        <w:t xml:space="preserve">stepping </w:t>
      </w:r>
      <w:r w:rsidR="00964424">
        <w:rPr>
          <w:rFonts w:ascii="Aptos" w:hAnsi="Aptos" w:cs="Times New Roman"/>
          <w:sz w:val="25"/>
          <w:szCs w:val="25"/>
        </w:rPr>
        <w:t xml:space="preserve">down to a </w:t>
      </w:r>
      <w:r w:rsidR="00820EA4">
        <w:rPr>
          <w:rFonts w:ascii="Aptos" w:hAnsi="Aptos" w:cs="Times New Roman"/>
          <w:sz w:val="25"/>
          <w:szCs w:val="25"/>
        </w:rPr>
        <w:t>Community-Based Acute Treatment (</w:t>
      </w:r>
      <w:r w:rsidR="00964424">
        <w:rPr>
          <w:rFonts w:ascii="Aptos" w:hAnsi="Aptos" w:cs="Times New Roman"/>
          <w:sz w:val="25"/>
          <w:szCs w:val="25"/>
        </w:rPr>
        <w:t>CBAT</w:t>
      </w:r>
      <w:r w:rsidR="00820EA4">
        <w:rPr>
          <w:rFonts w:ascii="Aptos" w:hAnsi="Aptos" w:cs="Times New Roman"/>
          <w:sz w:val="25"/>
          <w:szCs w:val="25"/>
        </w:rPr>
        <w:t xml:space="preserve">) </w:t>
      </w:r>
      <w:proofErr w:type="gramStart"/>
      <w:r w:rsidR="00820EA4">
        <w:rPr>
          <w:rFonts w:ascii="Aptos" w:hAnsi="Aptos" w:cs="Times New Roman"/>
          <w:sz w:val="25"/>
          <w:szCs w:val="25"/>
        </w:rPr>
        <w:t>program,</w:t>
      </w:r>
      <w:r w:rsidR="00964424">
        <w:rPr>
          <w:rFonts w:ascii="Aptos" w:hAnsi="Aptos" w:cs="Times New Roman"/>
          <w:sz w:val="25"/>
          <w:szCs w:val="25"/>
        </w:rPr>
        <w:t xml:space="preserve"> but</w:t>
      </w:r>
      <w:proofErr w:type="gramEnd"/>
      <w:r w:rsidR="00964424">
        <w:rPr>
          <w:rFonts w:ascii="Aptos" w:hAnsi="Aptos" w:cs="Times New Roman"/>
          <w:sz w:val="25"/>
          <w:szCs w:val="25"/>
        </w:rPr>
        <w:t xml:space="preserve"> </w:t>
      </w:r>
      <w:r w:rsidR="00DC6E4F">
        <w:rPr>
          <w:rFonts w:ascii="Aptos" w:hAnsi="Aptos" w:cs="Times New Roman"/>
          <w:sz w:val="25"/>
          <w:szCs w:val="25"/>
        </w:rPr>
        <w:t xml:space="preserve">being </w:t>
      </w:r>
      <w:r w:rsidR="00964424">
        <w:rPr>
          <w:rFonts w:ascii="Aptos" w:hAnsi="Aptos" w:cs="Times New Roman"/>
          <w:sz w:val="25"/>
          <w:szCs w:val="25"/>
        </w:rPr>
        <w:t>re-hospitalized shortly thereafter</w:t>
      </w:r>
      <w:r w:rsidR="00340800">
        <w:rPr>
          <w:rFonts w:ascii="Aptos" w:hAnsi="Aptos" w:cs="Times New Roman"/>
          <w:sz w:val="25"/>
          <w:szCs w:val="25"/>
        </w:rPr>
        <w:t xml:space="preserve"> due to making threatening statements</w:t>
      </w:r>
      <w:r w:rsidR="00964424">
        <w:rPr>
          <w:rFonts w:ascii="Aptos" w:hAnsi="Aptos" w:cs="Times New Roman"/>
          <w:sz w:val="25"/>
          <w:szCs w:val="25"/>
        </w:rPr>
        <w:t xml:space="preserve">).  </w:t>
      </w:r>
      <w:r w:rsidR="00CC1D4B">
        <w:rPr>
          <w:rFonts w:ascii="Aptos" w:hAnsi="Aptos" w:cs="Times New Roman"/>
          <w:sz w:val="25"/>
          <w:szCs w:val="25"/>
        </w:rPr>
        <w:t>(</w:t>
      </w:r>
      <w:r w:rsidR="00CC1D4B">
        <w:rPr>
          <w:rFonts w:ascii="Aptos" w:hAnsi="Aptos" w:cs="Times New Roman"/>
          <w:i/>
          <w:iCs/>
          <w:sz w:val="25"/>
          <w:szCs w:val="25"/>
        </w:rPr>
        <w:t>Hearing Request</w:t>
      </w:r>
      <w:r w:rsidR="00CC1D4B">
        <w:rPr>
          <w:rFonts w:ascii="Aptos" w:hAnsi="Aptos" w:cs="Times New Roman"/>
          <w:sz w:val="25"/>
          <w:szCs w:val="25"/>
        </w:rPr>
        <w:t xml:space="preserve">; </w:t>
      </w:r>
      <w:r w:rsidR="00CC1D4B">
        <w:rPr>
          <w:rFonts w:ascii="Aptos" w:hAnsi="Aptos" w:cs="Times New Roman"/>
          <w:i/>
          <w:iCs/>
          <w:sz w:val="25"/>
          <w:szCs w:val="25"/>
        </w:rPr>
        <w:t>Motion</w:t>
      </w:r>
      <w:r w:rsidR="00CC1D4B">
        <w:rPr>
          <w:rFonts w:ascii="Aptos" w:hAnsi="Aptos" w:cs="Times New Roman"/>
          <w:sz w:val="25"/>
          <w:szCs w:val="25"/>
        </w:rPr>
        <w:t xml:space="preserve">; </w:t>
      </w:r>
      <w:r w:rsidR="00EF0AF2">
        <w:rPr>
          <w:rFonts w:ascii="Aptos" w:hAnsi="Aptos" w:cs="Times New Roman"/>
          <w:i/>
          <w:iCs/>
          <w:sz w:val="25"/>
          <w:szCs w:val="25"/>
        </w:rPr>
        <w:t>Reply</w:t>
      </w:r>
      <w:r w:rsidR="007C2354">
        <w:rPr>
          <w:rFonts w:ascii="Aptos" w:hAnsi="Aptos" w:cs="Times New Roman"/>
          <w:sz w:val="25"/>
          <w:szCs w:val="25"/>
        </w:rPr>
        <w:t>).</w:t>
      </w:r>
    </w:p>
    <w:p w14:paraId="3AF0D4A6" w14:textId="77777777" w:rsidR="00CB29F1" w:rsidRPr="00CB29F1" w:rsidRDefault="00CB29F1" w:rsidP="00CB29F1">
      <w:pPr>
        <w:pStyle w:val="ListParagraph"/>
        <w:rPr>
          <w:rFonts w:ascii="Aptos" w:hAnsi="Aptos" w:cs="Times New Roman"/>
          <w:sz w:val="25"/>
          <w:szCs w:val="25"/>
        </w:rPr>
      </w:pPr>
    </w:p>
    <w:p w14:paraId="29BCAD44" w14:textId="77777777" w:rsidR="00A45EE6" w:rsidRDefault="00CB29F1"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During this time, </w:t>
      </w:r>
      <w:r w:rsidR="00EC6689">
        <w:rPr>
          <w:rFonts w:ascii="Aptos" w:hAnsi="Aptos" w:cs="Times New Roman"/>
          <w:sz w:val="25"/>
          <w:szCs w:val="25"/>
        </w:rPr>
        <w:t xml:space="preserve">Caregiver filed an application for Student to receive DMH services.  On April 28, 2025, DMH advised that </w:t>
      </w:r>
      <w:r w:rsidR="00115A9A">
        <w:rPr>
          <w:rFonts w:ascii="Aptos" w:hAnsi="Aptos" w:cs="Times New Roman"/>
          <w:sz w:val="25"/>
          <w:szCs w:val="25"/>
        </w:rPr>
        <w:t>it had</w:t>
      </w:r>
      <w:r w:rsidR="00A45EE6">
        <w:rPr>
          <w:rFonts w:ascii="Aptos" w:hAnsi="Aptos" w:cs="Times New Roman"/>
          <w:sz w:val="25"/>
          <w:szCs w:val="25"/>
        </w:rPr>
        <w:t>,</w:t>
      </w:r>
    </w:p>
    <w:p w14:paraId="464FC45F" w14:textId="77777777" w:rsidR="00A45EE6" w:rsidRPr="00A45EE6" w:rsidRDefault="00A45EE6" w:rsidP="00A45EE6">
      <w:pPr>
        <w:pStyle w:val="ListParagraph"/>
        <w:rPr>
          <w:rFonts w:ascii="Aptos" w:hAnsi="Aptos" w:cs="Times New Roman"/>
          <w:sz w:val="25"/>
          <w:szCs w:val="25"/>
        </w:rPr>
      </w:pPr>
    </w:p>
    <w:p w14:paraId="2719E622" w14:textId="158FAC48" w:rsidR="00C22F0C" w:rsidRDefault="00115A9A" w:rsidP="00A45EE6">
      <w:pPr>
        <w:pStyle w:val="ListParagraph"/>
        <w:spacing w:after="0" w:line="240" w:lineRule="auto"/>
        <w:ind w:left="1440" w:right="720"/>
        <w:rPr>
          <w:rFonts w:ascii="Aptos" w:hAnsi="Aptos" w:cs="Times New Roman"/>
          <w:sz w:val="25"/>
          <w:szCs w:val="25"/>
        </w:rPr>
      </w:pPr>
      <w:r>
        <w:rPr>
          <w:rFonts w:ascii="Aptos" w:hAnsi="Aptos" w:cs="Times New Roman"/>
          <w:sz w:val="25"/>
          <w:szCs w:val="25"/>
        </w:rPr>
        <w:t xml:space="preserve">“determined [Student] to meet the </w:t>
      </w:r>
      <w:r w:rsidR="008301C3">
        <w:rPr>
          <w:rFonts w:ascii="Aptos" w:hAnsi="Aptos" w:cs="Times New Roman"/>
          <w:sz w:val="25"/>
          <w:szCs w:val="25"/>
        </w:rPr>
        <w:t xml:space="preserve">[Child, Youth and Family] </w:t>
      </w:r>
      <w:r>
        <w:rPr>
          <w:rFonts w:ascii="Aptos" w:hAnsi="Aptos" w:cs="Times New Roman"/>
          <w:sz w:val="25"/>
          <w:szCs w:val="25"/>
        </w:rPr>
        <w:t>CYF</w:t>
      </w:r>
      <w:r w:rsidR="009055B8">
        <w:rPr>
          <w:rFonts w:ascii="Aptos" w:hAnsi="Aptos" w:cs="Times New Roman"/>
          <w:sz w:val="25"/>
          <w:szCs w:val="25"/>
        </w:rPr>
        <w:t xml:space="preserve"> clinical criteria.  However, the application process for DMH has two steps; the first is a review of clinical eligibility and the second is a review of service needs.  In review of [Student’s] service needs it was determined that he does not </w:t>
      </w:r>
      <w:r w:rsidR="00A45EE6">
        <w:rPr>
          <w:rFonts w:ascii="Aptos" w:hAnsi="Aptos" w:cs="Times New Roman"/>
          <w:sz w:val="25"/>
          <w:szCs w:val="25"/>
        </w:rPr>
        <w:t xml:space="preserve">have a current need for a DMH CYF service.” </w:t>
      </w:r>
      <w:r w:rsidR="00C22F0C">
        <w:rPr>
          <w:rFonts w:ascii="Aptos" w:hAnsi="Aptos" w:cs="Times New Roman"/>
          <w:sz w:val="25"/>
          <w:szCs w:val="25"/>
        </w:rPr>
        <w:t>(</w:t>
      </w:r>
      <w:r w:rsidR="00C22F0C" w:rsidRPr="00F3280A">
        <w:rPr>
          <w:rFonts w:ascii="Aptos" w:hAnsi="Aptos" w:cs="Times New Roman"/>
          <w:i/>
          <w:iCs/>
          <w:sz w:val="25"/>
          <w:szCs w:val="25"/>
        </w:rPr>
        <w:t>DMH Determination</w:t>
      </w:r>
      <w:r w:rsidR="00C22F0C">
        <w:rPr>
          <w:rFonts w:ascii="Aptos" w:hAnsi="Aptos" w:cs="Times New Roman"/>
          <w:sz w:val="25"/>
          <w:szCs w:val="25"/>
        </w:rPr>
        <w:t>)</w:t>
      </w:r>
    </w:p>
    <w:p w14:paraId="1BC9C446" w14:textId="77777777" w:rsidR="00C22F0C" w:rsidRDefault="00C22F0C" w:rsidP="00C22F0C">
      <w:pPr>
        <w:spacing w:after="0" w:line="240" w:lineRule="auto"/>
        <w:ind w:right="720" w:firstLine="720"/>
        <w:rPr>
          <w:rFonts w:ascii="Aptos" w:hAnsi="Aptos" w:cs="Times New Roman"/>
          <w:sz w:val="25"/>
          <w:szCs w:val="25"/>
        </w:rPr>
      </w:pPr>
    </w:p>
    <w:p w14:paraId="38DE15A3" w14:textId="4FFAEFD3" w:rsidR="00CB29F1" w:rsidRPr="00C22F0C" w:rsidRDefault="00C22F0C" w:rsidP="00706273">
      <w:pPr>
        <w:spacing w:after="0" w:line="240" w:lineRule="auto"/>
        <w:ind w:left="720"/>
        <w:rPr>
          <w:rFonts w:ascii="Aptos" w:hAnsi="Aptos" w:cs="Times New Roman"/>
          <w:sz w:val="25"/>
          <w:szCs w:val="25"/>
        </w:rPr>
      </w:pPr>
      <w:r>
        <w:rPr>
          <w:rFonts w:ascii="Aptos" w:hAnsi="Aptos" w:cs="Times New Roman"/>
          <w:sz w:val="25"/>
          <w:szCs w:val="25"/>
        </w:rPr>
        <w:t xml:space="preserve">The </w:t>
      </w:r>
      <w:r w:rsidRPr="00F3280A">
        <w:rPr>
          <w:rFonts w:ascii="Aptos" w:hAnsi="Aptos" w:cs="Times New Roman"/>
          <w:i/>
          <w:iCs/>
          <w:sz w:val="25"/>
          <w:szCs w:val="25"/>
        </w:rPr>
        <w:t>DMH Determination</w:t>
      </w:r>
      <w:r>
        <w:rPr>
          <w:rFonts w:ascii="Aptos" w:hAnsi="Aptos" w:cs="Times New Roman"/>
          <w:sz w:val="25"/>
          <w:szCs w:val="25"/>
        </w:rPr>
        <w:t xml:space="preserve"> advised that </w:t>
      </w:r>
      <w:r w:rsidR="004233BE">
        <w:rPr>
          <w:rFonts w:ascii="Aptos" w:hAnsi="Aptos" w:cs="Times New Roman"/>
          <w:sz w:val="25"/>
          <w:szCs w:val="25"/>
        </w:rPr>
        <w:t>an appeal could be filed within ten working days</w:t>
      </w:r>
      <w:r w:rsidR="00820EA4">
        <w:rPr>
          <w:rFonts w:ascii="Aptos" w:hAnsi="Aptos" w:cs="Times New Roman"/>
          <w:sz w:val="25"/>
          <w:szCs w:val="25"/>
        </w:rPr>
        <w:t>.  No appeal was filed</w:t>
      </w:r>
      <w:r w:rsidR="004233BE">
        <w:rPr>
          <w:rFonts w:ascii="Aptos" w:hAnsi="Aptos" w:cs="Times New Roman"/>
          <w:sz w:val="25"/>
          <w:szCs w:val="25"/>
        </w:rPr>
        <w:t xml:space="preserve">.  </w:t>
      </w:r>
      <w:r w:rsidR="00A45EE6" w:rsidRPr="00C22F0C">
        <w:rPr>
          <w:rFonts w:ascii="Aptos" w:hAnsi="Aptos" w:cs="Times New Roman"/>
          <w:sz w:val="25"/>
          <w:szCs w:val="25"/>
        </w:rPr>
        <w:t>(</w:t>
      </w:r>
      <w:r w:rsidR="008301C3" w:rsidRPr="00C22F0C">
        <w:rPr>
          <w:rFonts w:ascii="Aptos" w:hAnsi="Aptos" w:cs="Times New Roman"/>
          <w:i/>
          <w:iCs/>
          <w:sz w:val="25"/>
          <w:szCs w:val="25"/>
        </w:rPr>
        <w:t>Motion</w:t>
      </w:r>
      <w:r w:rsidR="008301C3" w:rsidRPr="00C22F0C">
        <w:rPr>
          <w:rFonts w:ascii="Aptos" w:hAnsi="Aptos" w:cs="Times New Roman"/>
          <w:sz w:val="25"/>
          <w:szCs w:val="25"/>
        </w:rPr>
        <w:t xml:space="preserve">; </w:t>
      </w:r>
      <w:r w:rsidR="00A45EE6" w:rsidRPr="00C22F0C">
        <w:rPr>
          <w:rFonts w:ascii="Aptos" w:hAnsi="Aptos" w:cs="Times New Roman"/>
          <w:i/>
          <w:iCs/>
          <w:sz w:val="25"/>
          <w:szCs w:val="25"/>
        </w:rPr>
        <w:t>Opposition</w:t>
      </w:r>
      <w:r w:rsidR="00A45EE6" w:rsidRPr="00C22F0C">
        <w:rPr>
          <w:rFonts w:ascii="Aptos" w:hAnsi="Aptos" w:cs="Times New Roman"/>
          <w:sz w:val="25"/>
          <w:szCs w:val="25"/>
        </w:rPr>
        <w:t>;</w:t>
      </w:r>
      <w:r w:rsidR="008301C3" w:rsidRPr="00C22F0C">
        <w:rPr>
          <w:rFonts w:ascii="Aptos" w:hAnsi="Aptos" w:cs="Times New Roman"/>
          <w:sz w:val="25"/>
          <w:szCs w:val="25"/>
        </w:rPr>
        <w:t xml:space="preserve"> </w:t>
      </w:r>
      <w:r w:rsidR="008301C3" w:rsidRPr="00C22F0C">
        <w:rPr>
          <w:rFonts w:ascii="Aptos" w:hAnsi="Aptos" w:cs="Times New Roman"/>
          <w:i/>
          <w:iCs/>
          <w:sz w:val="25"/>
          <w:szCs w:val="25"/>
        </w:rPr>
        <w:t>Reply</w:t>
      </w:r>
      <w:r w:rsidR="00501EC7">
        <w:rPr>
          <w:rFonts w:ascii="Aptos" w:hAnsi="Aptos" w:cs="Times New Roman"/>
          <w:sz w:val="25"/>
          <w:szCs w:val="25"/>
        </w:rPr>
        <w:t xml:space="preserve">; </w:t>
      </w:r>
      <w:r w:rsidR="00501EC7" w:rsidRPr="00501EC7">
        <w:rPr>
          <w:rFonts w:ascii="Aptos" w:hAnsi="Aptos" w:cs="Times New Roman"/>
          <w:i/>
          <w:iCs/>
          <w:sz w:val="25"/>
          <w:szCs w:val="25"/>
        </w:rPr>
        <w:t>Student status report</w:t>
      </w:r>
      <w:r w:rsidRPr="00C22F0C">
        <w:rPr>
          <w:rFonts w:ascii="Aptos" w:hAnsi="Aptos" w:cs="Times New Roman"/>
          <w:sz w:val="25"/>
          <w:szCs w:val="25"/>
        </w:rPr>
        <w:t>).</w:t>
      </w:r>
      <w:r w:rsidR="00A45EE6" w:rsidRPr="00C22F0C">
        <w:rPr>
          <w:rFonts w:ascii="Aptos" w:hAnsi="Aptos" w:cs="Times New Roman"/>
          <w:sz w:val="25"/>
          <w:szCs w:val="25"/>
        </w:rPr>
        <w:t xml:space="preserve"> </w:t>
      </w:r>
    </w:p>
    <w:p w14:paraId="368FBD35" w14:textId="77777777" w:rsidR="007C2354" w:rsidRPr="007C2354" w:rsidRDefault="007C2354" w:rsidP="007C2354">
      <w:pPr>
        <w:pStyle w:val="ListParagraph"/>
        <w:rPr>
          <w:rFonts w:ascii="Aptos" w:hAnsi="Aptos" w:cs="Times New Roman"/>
          <w:sz w:val="25"/>
          <w:szCs w:val="25"/>
        </w:rPr>
      </w:pPr>
    </w:p>
    <w:p w14:paraId="5C049332" w14:textId="5A82934C" w:rsidR="007C2354" w:rsidRDefault="00F665DF"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 xml:space="preserve">On May 28, 2025, Student transferred to </w:t>
      </w:r>
      <w:r w:rsidR="00AD7935">
        <w:rPr>
          <w:rFonts w:ascii="Aptos" w:hAnsi="Aptos" w:cs="Times New Roman"/>
          <w:sz w:val="25"/>
          <w:szCs w:val="25"/>
        </w:rPr>
        <w:t xml:space="preserve">Brandon’s residential program </w:t>
      </w:r>
      <w:r>
        <w:rPr>
          <w:rFonts w:ascii="Aptos" w:hAnsi="Aptos" w:cs="Times New Roman"/>
          <w:sz w:val="25"/>
          <w:szCs w:val="25"/>
        </w:rPr>
        <w:t xml:space="preserve">to begin a District-funded extended three-year re-evaluation that is </w:t>
      </w:r>
      <w:r w:rsidR="004D0137">
        <w:rPr>
          <w:rFonts w:ascii="Aptos" w:hAnsi="Aptos" w:cs="Times New Roman"/>
          <w:sz w:val="25"/>
          <w:szCs w:val="25"/>
        </w:rPr>
        <w:t>expected to conclude in mid-September 2025</w:t>
      </w:r>
      <w:r w:rsidR="00F96C0C">
        <w:rPr>
          <w:rFonts w:ascii="Aptos" w:hAnsi="Aptos" w:cs="Times New Roman"/>
          <w:sz w:val="25"/>
          <w:szCs w:val="25"/>
        </w:rPr>
        <w:t>, whereupon a Team meeting will be held to develop an IEP and propose a placement</w:t>
      </w:r>
      <w:r w:rsidR="00581BB7">
        <w:rPr>
          <w:rFonts w:ascii="Aptos" w:hAnsi="Aptos" w:cs="Times New Roman"/>
          <w:sz w:val="25"/>
          <w:szCs w:val="25"/>
        </w:rPr>
        <w:t xml:space="preserve">.  </w:t>
      </w:r>
      <w:r w:rsidR="00B2661E">
        <w:rPr>
          <w:rFonts w:ascii="Aptos" w:hAnsi="Aptos" w:cs="Times New Roman"/>
          <w:sz w:val="25"/>
          <w:szCs w:val="25"/>
        </w:rPr>
        <w:t xml:space="preserve">The Parties are working to schedule a mid-point meeting.  </w:t>
      </w:r>
      <w:r w:rsidR="00581BB7">
        <w:rPr>
          <w:rFonts w:ascii="Aptos" w:hAnsi="Aptos" w:cs="Times New Roman"/>
          <w:sz w:val="25"/>
          <w:szCs w:val="25"/>
        </w:rPr>
        <w:t xml:space="preserve">Student </w:t>
      </w:r>
      <w:r w:rsidR="00C97469">
        <w:rPr>
          <w:rFonts w:ascii="Aptos" w:hAnsi="Aptos" w:cs="Times New Roman"/>
          <w:sz w:val="25"/>
          <w:szCs w:val="25"/>
        </w:rPr>
        <w:t xml:space="preserve">transferred to Brandon directly from the </w:t>
      </w:r>
      <w:r w:rsidR="00581BB7">
        <w:rPr>
          <w:rFonts w:ascii="Aptos" w:hAnsi="Aptos" w:cs="Times New Roman"/>
          <w:sz w:val="25"/>
          <w:szCs w:val="25"/>
        </w:rPr>
        <w:t xml:space="preserve">hospital </w:t>
      </w:r>
      <w:r w:rsidR="00C97469">
        <w:rPr>
          <w:rFonts w:ascii="Aptos" w:hAnsi="Aptos" w:cs="Times New Roman"/>
          <w:sz w:val="25"/>
          <w:szCs w:val="25"/>
        </w:rPr>
        <w:t xml:space="preserve">given </w:t>
      </w:r>
      <w:r w:rsidR="00BD0621">
        <w:rPr>
          <w:rFonts w:ascii="Aptos" w:hAnsi="Aptos" w:cs="Times New Roman"/>
          <w:sz w:val="25"/>
          <w:szCs w:val="25"/>
        </w:rPr>
        <w:t xml:space="preserve">the safety </w:t>
      </w:r>
      <w:r w:rsidR="00DD3F81">
        <w:rPr>
          <w:rFonts w:ascii="Aptos" w:hAnsi="Aptos" w:cs="Times New Roman"/>
          <w:sz w:val="25"/>
          <w:szCs w:val="25"/>
        </w:rPr>
        <w:t xml:space="preserve">concerns </w:t>
      </w:r>
      <w:r w:rsidR="001A51A8">
        <w:rPr>
          <w:rFonts w:ascii="Aptos" w:hAnsi="Aptos" w:cs="Times New Roman"/>
          <w:sz w:val="25"/>
          <w:szCs w:val="25"/>
        </w:rPr>
        <w:t xml:space="preserve">that continue to exist </w:t>
      </w:r>
      <w:r w:rsidR="00E74B86">
        <w:rPr>
          <w:rFonts w:ascii="Aptos" w:hAnsi="Aptos" w:cs="Times New Roman"/>
          <w:sz w:val="25"/>
          <w:szCs w:val="25"/>
        </w:rPr>
        <w:t xml:space="preserve">for Student and his siblings </w:t>
      </w:r>
      <w:r w:rsidR="001A51A8">
        <w:rPr>
          <w:rFonts w:ascii="Aptos" w:hAnsi="Aptos" w:cs="Times New Roman"/>
          <w:sz w:val="25"/>
          <w:szCs w:val="25"/>
        </w:rPr>
        <w:t xml:space="preserve">if he were to </w:t>
      </w:r>
      <w:r w:rsidR="00C97469">
        <w:rPr>
          <w:rFonts w:ascii="Aptos" w:hAnsi="Aptos" w:cs="Times New Roman"/>
          <w:sz w:val="25"/>
          <w:szCs w:val="25"/>
        </w:rPr>
        <w:t xml:space="preserve">return home.  </w:t>
      </w:r>
      <w:r w:rsidR="007E1C51">
        <w:rPr>
          <w:rFonts w:ascii="Aptos" w:hAnsi="Aptos" w:cs="Times New Roman"/>
          <w:sz w:val="25"/>
          <w:szCs w:val="25"/>
        </w:rPr>
        <w:t>(</w:t>
      </w:r>
      <w:r w:rsidR="007E1C51">
        <w:rPr>
          <w:rFonts w:ascii="Aptos" w:hAnsi="Aptos" w:cs="Times New Roman"/>
          <w:i/>
          <w:iCs/>
          <w:sz w:val="25"/>
          <w:szCs w:val="25"/>
        </w:rPr>
        <w:t>Motion</w:t>
      </w:r>
      <w:r w:rsidR="007E1C51">
        <w:rPr>
          <w:rFonts w:ascii="Aptos" w:hAnsi="Aptos" w:cs="Times New Roman"/>
          <w:sz w:val="25"/>
          <w:szCs w:val="25"/>
        </w:rPr>
        <w:t xml:space="preserve">; </w:t>
      </w:r>
      <w:r w:rsidR="007E1C51">
        <w:rPr>
          <w:rFonts w:ascii="Aptos" w:hAnsi="Aptos" w:cs="Times New Roman"/>
          <w:i/>
          <w:iCs/>
          <w:sz w:val="25"/>
          <w:szCs w:val="25"/>
        </w:rPr>
        <w:t>Reply</w:t>
      </w:r>
      <w:r w:rsidR="007E1C51">
        <w:rPr>
          <w:rFonts w:ascii="Aptos" w:hAnsi="Aptos" w:cs="Times New Roman"/>
          <w:sz w:val="25"/>
          <w:szCs w:val="25"/>
        </w:rPr>
        <w:t>;</w:t>
      </w:r>
      <w:r w:rsidR="00E74B86">
        <w:rPr>
          <w:rFonts w:ascii="Aptos" w:hAnsi="Aptos" w:cs="Times New Roman"/>
          <w:sz w:val="25"/>
          <w:szCs w:val="25"/>
        </w:rPr>
        <w:t xml:space="preserve"> </w:t>
      </w:r>
      <w:r w:rsidR="00E74B86">
        <w:rPr>
          <w:rFonts w:ascii="Aptos" w:hAnsi="Aptos" w:cs="Times New Roman"/>
          <w:i/>
          <w:iCs/>
          <w:sz w:val="25"/>
          <w:szCs w:val="25"/>
        </w:rPr>
        <w:t>District status report</w:t>
      </w:r>
      <w:r w:rsidR="005C22A8">
        <w:rPr>
          <w:rFonts w:ascii="Aptos" w:hAnsi="Aptos" w:cs="Times New Roman"/>
          <w:sz w:val="25"/>
          <w:szCs w:val="25"/>
        </w:rPr>
        <w:t xml:space="preserve">; </w:t>
      </w:r>
      <w:r w:rsidR="005C22A8">
        <w:rPr>
          <w:rFonts w:ascii="Aptos" w:hAnsi="Aptos" w:cs="Times New Roman"/>
          <w:i/>
          <w:iCs/>
          <w:sz w:val="25"/>
          <w:szCs w:val="25"/>
        </w:rPr>
        <w:t>Student status report</w:t>
      </w:r>
      <w:r w:rsidR="00E74B86">
        <w:rPr>
          <w:rFonts w:ascii="Aptos" w:hAnsi="Aptos" w:cs="Times New Roman"/>
          <w:sz w:val="25"/>
          <w:szCs w:val="25"/>
        </w:rPr>
        <w:t xml:space="preserve">).  </w:t>
      </w:r>
      <w:r w:rsidR="007E1C51">
        <w:rPr>
          <w:rFonts w:ascii="Aptos" w:hAnsi="Aptos" w:cs="Times New Roman"/>
          <w:sz w:val="25"/>
          <w:szCs w:val="25"/>
        </w:rPr>
        <w:t xml:space="preserve"> </w:t>
      </w:r>
    </w:p>
    <w:p w14:paraId="1F0C0C6A" w14:textId="77777777" w:rsidR="009E224F" w:rsidRPr="009E224F" w:rsidRDefault="009E224F" w:rsidP="009E224F">
      <w:pPr>
        <w:pStyle w:val="ListParagraph"/>
        <w:rPr>
          <w:rFonts w:ascii="Aptos" w:hAnsi="Aptos" w:cs="Times New Roman"/>
          <w:sz w:val="25"/>
          <w:szCs w:val="25"/>
        </w:rPr>
      </w:pPr>
    </w:p>
    <w:p w14:paraId="4E0132F0" w14:textId="0E1F3358" w:rsidR="009E224F" w:rsidRDefault="00F3280A" w:rsidP="00E571A4">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As of July 7, 2025, n</w:t>
      </w:r>
      <w:r w:rsidR="00DD53E1">
        <w:rPr>
          <w:rFonts w:ascii="Aptos" w:hAnsi="Aptos" w:cs="Times New Roman"/>
          <w:sz w:val="25"/>
          <w:szCs w:val="25"/>
        </w:rPr>
        <w:t xml:space="preserve">o new </w:t>
      </w:r>
      <w:r w:rsidR="00FE4B1D">
        <w:rPr>
          <w:rFonts w:ascii="Aptos" w:hAnsi="Aptos" w:cs="Times New Roman"/>
          <w:sz w:val="25"/>
          <w:szCs w:val="25"/>
        </w:rPr>
        <w:t xml:space="preserve">application </w:t>
      </w:r>
      <w:r w:rsidR="006A1801">
        <w:rPr>
          <w:rFonts w:ascii="Aptos" w:hAnsi="Aptos" w:cs="Times New Roman"/>
          <w:sz w:val="25"/>
          <w:szCs w:val="25"/>
        </w:rPr>
        <w:t>or re-</w:t>
      </w:r>
      <w:r w:rsidR="00DD53E1">
        <w:rPr>
          <w:rFonts w:ascii="Aptos" w:hAnsi="Aptos" w:cs="Times New Roman"/>
          <w:sz w:val="25"/>
          <w:szCs w:val="25"/>
        </w:rPr>
        <w:t>application for DMH services has been filed.</w:t>
      </w:r>
      <w:r w:rsidR="00600DA5">
        <w:rPr>
          <w:rFonts w:ascii="Aptos" w:hAnsi="Aptos" w:cs="Times New Roman"/>
          <w:sz w:val="25"/>
          <w:szCs w:val="25"/>
        </w:rPr>
        <w:t xml:space="preserve"> (</w:t>
      </w:r>
      <w:r w:rsidR="00600DA5">
        <w:rPr>
          <w:rFonts w:ascii="Aptos" w:hAnsi="Aptos" w:cs="Times New Roman"/>
          <w:i/>
          <w:iCs/>
          <w:sz w:val="25"/>
          <w:szCs w:val="25"/>
        </w:rPr>
        <w:t>Student status report</w:t>
      </w:r>
      <w:r w:rsidR="00600DA5">
        <w:rPr>
          <w:rFonts w:ascii="Aptos" w:hAnsi="Aptos" w:cs="Times New Roman"/>
          <w:sz w:val="25"/>
          <w:szCs w:val="25"/>
        </w:rPr>
        <w:t xml:space="preserve">).  </w:t>
      </w:r>
    </w:p>
    <w:p w14:paraId="582032B0" w14:textId="77777777" w:rsidR="00866325" w:rsidRPr="00866325" w:rsidRDefault="00866325" w:rsidP="00866325">
      <w:pPr>
        <w:pStyle w:val="ListParagraph"/>
        <w:rPr>
          <w:rFonts w:ascii="Aptos" w:hAnsi="Aptos" w:cs="Times New Roman"/>
          <w:sz w:val="25"/>
          <w:szCs w:val="25"/>
        </w:rPr>
      </w:pPr>
    </w:p>
    <w:p w14:paraId="04FD99F8" w14:textId="521F93F4" w:rsidR="00C7418F" w:rsidRDefault="00866325" w:rsidP="00586F13">
      <w:pPr>
        <w:pStyle w:val="ListParagraph"/>
        <w:numPr>
          <w:ilvl w:val="0"/>
          <w:numId w:val="1"/>
        </w:numPr>
        <w:spacing w:after="0" w:line="240" w:lineRule="auto"/>
        <w:rPr>
          <w:rFonts w:ascii="Aptos" w:hAnsi="Aptos" w:cs="Times New Roman"/>
          <w:sz w:val="25"/>
          <w:szCs w:val="25"/>
        </w:rPr>
      </w:pPr>
      <w:r>
        <w:rPr>
          <w:rFonts w:ascii="Aptos" w:hAnsi="Aptos" w:cs="Times New Roman"/>
          <w:sz w:val="25"/>
          <w:szCs w:val="25"/>
        </w:rPr>
        <w:t>Student’s “stay put” placement remains the therapeutic day program he began attending in February 2025</w:t>
      </w:r>
      <w:r w:rsidR="00210B9E">
        <w:rPr>
          <w:rFonts w:ascii="Aptos" w:hAnsi="Aptos" w:cs="Times New Roman"/>
          <w:sz w:val="25"/>
          <w:szCs w:val="25"/>
        </w:rPr>
        <w:t>.  (</w:t>
      </w:r>
      <w:r w:rsidR="00210B9E">
        <w:rPr>
          <w:rFonts w:ascii="Aptos" w:hAnsi="Aptos" w:cs="Times New Roman"/>
          <w:i/>
          <w:iCs/>
          <w:sz w:val="25"/>
          <w:szCs w:val="25"/>
        </w:rPr>
        <w:t>Motion</w:t>
      </w:r>
      <w:r w:rsidR="00210B9E">
        <w:rPr>
          <w:rFonts w:ascii="Aptos" w:hAnsi="Aptos" w:cs="Times New Roman"/>
          <w:sz w:val="25"/>
          <w:szCs w:val="25"/>
        </w:rPr>
        <w:t xml:space="preserve">; </w:t>
      </w:r>
      <w:r w:rsidR="00746D35">
        <w:rPr>
          <w:rFonts w:ascii="Aptos" w:hAnsi="Aptos" w:cs="Times New Roman"/>
          <w:i/>
          <w:iCs/>
          <w:sz w:val="25"/>
          <w:szCs w:val="25"/>
        </w:rPr>
        <w:t>Reply</w:t>
      </w:r>
      <w:r w:rsidR="00746D35">
        <w:rPr>
          <w:rFonts w:ascii="Aptos" w:hAnsi="Aptos" w:cs="Times New Roman"/>
          <w:sz w:val="25"/>
          <w:szCs w:val="25"/>
        </w:rPr>
        <w:t>;</w:t>
      </w:r>
      <w:r w:rsidR="00746D35">
        <w:rPr>
          <w:rFonts w:ascii="Aptos" w:hAnsi="Aptos" w:cs="Times New Roman"/>
          <w:i/>
          <w:iCs/>
          <w:sz w:val="25"/>
          <w:szCs w:val="25"/>
        </w:rPr>
        <w:t xml:space="preserve"> </w:t>
      </w:r>
      <w:r w:rsidR="00210B9E">
        <w:rPr>
          <w:rFonts w:ascii="Aptos" w:hAnsi="Aptos" w:cs="Times New Roman"/>
          <w:i/>
          <w:iCs/>
          <w:sz w:val="25"/>
          <w:szCs w:val="25"/>
        </w:rPr>
        <w:t>District status report</w:t>
      </w:r>
      <w:r w:rsidR="00210B9E">
        <w:rPr>
          <w:rFonts w:ascii="Aptos" w:hAnsi="Aptos" w:cs="Times New Roman"/>
          <w:sz w:val="25"/>
          <w:szCs w:val="25"/>
        </w:rPr>
        <w:t xml:space="preserve">).  </w:t>
      </w:r>
    </w:p>
    <w:p w14:paraId="48096789" w14:textId="77777777" w:rsidR="00DC6E4F" w:rsidRPr="00DC6E4F" w:rsidRDefault="00DC6E4F" w:rsidP="00DC6E4F">
      <w:pPr>
        <w:spacing w:after="0" w:line="240" w:lineRule="auto"/>
        <w:rPr>
          <w:rFonts w:ascii="Aptos" w:hAnsi="Aptos" w:cs="Times New Roman"/>
          <w:sz w:val="25"/>
          <w:szCs w:val="25"/>
        </w:rPr>
      </w:pPr>
    </w:p>
    <w:p w14:paraId="1259E829" w14:textId="5E59A1F9" w:rsidR="00550B5F" w:rsidRDefault="00550B5F" w:rsidP="00E60DCD">
      <w:pPr>
        <w:pStyle w:val="Heading1"/>
      </w:pPr>
      <w:r>
        <w:t xml:space="preserve">POSITION OF </w:t>
      </w:r>
      <w:r w:rsidR="009266D5">
        <w:t xml:space="preserve">THE DISTRICT </w:t>
      </w:r>
    </w:p>
    <w:p w14:paraId="1E2C2D8F" w14:textId="77777777" w:rsidR="00550B5F" w:rsidRDefault="00550B5F" w:rsidP="00550B5F">
      <w:pPr>
        <w:spacing w:after="0" w:line="240" w:lineRule="auto"/>
        <w:rPr>
          <w:rFonts w:ascii="Aptos" w:hAnsi="Aptos" w:cs="Times New Roman"/>
          <w:b/>
          <w:bCs/>
          <w:sz w:val="25"/>
          <w:szCs w:val="25"/>
        </w:rPr>
      </w:pPr>
    </w:p>
    <w:p w14:paraId="1FDC976D" w14:textId="6D057650" w:rsidR="00550B5F" w:rsidRDefault="00070BE7" w:rsidP="00550B5F">
      <w:pPr>
        <w:spacing w:after="0" w:line="240" w:lineRule="auto"/>
        <w:rPr>
          <w:rFonts w:ascii="Aptos" w:hAnsi="Aptos" w:cs="Times New Roman"/>
          <w:sz w:val="25"/>
          <w:szCs w:val="25"/>
        </w:rPr>
      </w:pPr>
      <w:r>
        <w:rPr>
          <w:rFonts w:ascii="Aptos" w:hAnsi="Aptos" w:cs="Times New Roman"/>
          <w:sz w:val="25"/>
          <w:szCs w:val="25"/>
        </w:rPr>
        <w:t xml:space="preserve">The District contends </w:t>
      </w:r>
      <w:r w:rsidR="00550B5F">
        <w:rPr>
          <w:rFonts w:ascii="Aptos" w:hAnsi="Aptos" w:cs="Times New Roman"/>
          <w:sz w:val="25"/>
          <w:szCs w:val="25"/>
        </w:rPr>
        <w:t xml:space="preserve">DMH is a necessary party consistent with the provisions of </w:t>
      </w:r>
      <w:r w:rsidR="00550B5F">
        <w:rPr>
          <w:rFonts w:ascii="Aptos" w:hAnsi="Aptos" w:cs="Times New Roman"/>
          <w:i/>
          <w:iCs/>
          <w:sz w:val="25"/>
          <w:szCs w:val="25"/>
        </w:rPr>
        <w:t>Rule I(J)</w:t>
      </w:r>
      <w:r w:rsidR="00550B5F">
        <w:rPr>
          <w:rFonts w:ascii="Aptos" w:hAnsi="Aptos" w:cs="Times New Roman"/>
          <w:sz w:val="25"/>
          <w:szCs w:val="25"/>
        </w:rPr>
        <w:t xml:space="preserve">.  Specifically, </w:t>
      </w:r>
      <w:r w:rsidR="00B2661E">
        <w:rPr>
          <w:rFonts w:ascii="Aptos" w:hAnsi="Aptos" w:cs="Times New Roman"/>
          <w:sz w:val="25"/>
          <w:szCs w:val="25"/>
        </w:rPr>
        <w:t xml:space="preserve">the District asserts that </w:t>
      </w:r>
      <w:r w:rsidR="00550B5F">
        <w:rPr>
          <w:rFonts w:ascii="Aptos" w:hAnsi="Aptos" w:cs="Times New Roman"/>
          <w:sz w:val="25"/>
          <w:szCs w:val="25"/>
        </w:rPr>
        <w:t>if</w:t>
      </w:r>
      <w:r w:rsidR="00FE4B1D">
        <w:rPr>
          <w:rFonts w:ascii="Aptos" w:hAnsi="Aptos" w:cs="Times New Roman"/>
          <w:sz w:val="25"/>
          <w:szCs w:val="25"/>
        </w:rPr>
        <w:t>,</w:t>
      </w:r>
      <w:r w:rsidR="00550B5F">
        <w:rPr>
          <w:rFonts w:ascii="Aptos" w:hAnsi="Aptos" w:cs="Times New Roman"/>
          <w:sz w:val="25"/>
          <w:szCs w:val="25"/>
        </w:rPr>
        <w:t xml:space="preserve"> after a hearing on the merits, it is determined that Student does not require a residential placement for educational </w:t>
      </w:r>
      <w:r w:rsidR="00550B5F">
        <w:rPr>
          <w:rFonts w:ascii="Aptos" w:hAnsi="Aptos" w:cs="Times New Roman"/>
          <w:sz w:val="25"/>
          <w:szCs w:val="25"/>
        </w:rPr>
        <w:lastRenderedPageBreak/>
        <w:t xml:space="preserve">reasons, DMH may be responsible for providing </w:t>
      </w:r>
      <w:r w:rsidR="006D2E0F">
        <w:rPr>
          <w:rFonts w:ascii="Aptos" w:hAnsi="Aptos" w:cs="Times New Roman"/>
          <w:sz w:val="25"/>
          <w:szCs w:val="25"/>
        </w:rPr>
        <w:t xml:space="preserve">Student </w:t>
      </w:r>
      <w:r w:rsidR="00550B5F">
        <w:rPr>
          <w:rFonts w:ascii="Aptos" w:hAnsi="Aptos" w:cs="Times New Roman"/>
          <w:sz w:val="25"/>
          <w:szCs w:val="25"/>
        </w:rPr>
        <w:t xml:space="preserve">additional services and supports “up to and including residential placement” </w:t>
      </w:r>
      <w:proofErr w:type="gramStart"/>
      <w:r w:rsidR="00A379D0">
        <w:rPr>
          <w:rFonts w:ascii="Aptos" w:hAnsi="Aptos" w:cs="Times New Roman"/>
          <w:sz w:val="25"/>
          <w:szCs w:val="25"/>
        </w:rPr>
        <w:t xml:space="preserve">in order </w:t>
      </w:r>
      <w:r w:rsidR="00550B5F">
        <w:rPr>
          <w:rFonts w:ascii="Aptos" w:hAnsi="Aptos" w:cs="Times New Roman"/>
          <w:sz w:val="25"/>
          <w:szCs w:val="25"/>
        </w:rPr>
        <w:t>to</w:t>
      </w:r>
      <w:proofErr w:type="gramEnd"/>
      <w:r w:rsidR="00550B5F">
        <w:rPr>
          <w:rFonts w:ascii="Aptos" w:hAnsi="Aptos" w:cs="Times New Roman"/>
          <w:sz w:val="25"/>
          <w:szCs w:val="25"/>
        </w:rPr>
        <w:t xml:space="preserve"> receive a </w:t>
      </w:r>
      <w:r w:rsidR="0066427E">
        <w:rPr>
          <w:rFonts w:ascii="Aptos" w:hAnsi="Aptos" w:cs="Times New Roman"/>
          <w:sz w:val="25"/>
          <w:szCs w:val="25"/>
        </w:rPr>
        <w:t>free appropriate public education (FAPE</w:t>
      </w:r>
      <w:r w:rsidR="008C1233">
        <w:rPr>
          <w:rFonts w:ascii="Aptos" w:hAnsi="Aptos" w:cs="Times New Roman"/>
          <w:sz w:val="25"/>
          <w:szCs w:val="25"/>
        </w:rPr>
        <w:t>)</w:t>
      </w:r>
      <w:r w:rsidR="00550B5F">
        <w:rPr>
          <w:rFonts w:ascii="Aptos" w:hAnsi="Aptos" w:cs="Times New Roman"/>
          <w:sz w:val="25"/>
          <w:szCs w:val="25"/>
        </w:rPr>
        <w:t xml:space="preserve"> in a day school program.  Moreover, DMH may be responsible for providing interim services to Student pending a hearing on the merits to support him as he continues to receive his “stay put” day school program.  </w:t>
      </w:r>
      <w:r w:rsidR="000D75E6">
        <w:rPr>
          <w:rFonts w:ascii="Aptos" w:hAnsi="Aptos" w:cs="Times New Roman"/>
          <w:sz w:val="25"/>
          <w:szCs w:val="25"/>
        </w:rPr>
        <w:t>The District also contends that t</w:t>
      </w:r>
      <w:r w:rsidR="000B7009">
        <w:rPr>
          <w:rFonts w:ascii="Aptos" w:hAnsi="Aptos" w:cs="Times New Roman"/>
          <w:sz w:val="25"/>
          <w:szCs w:val="25"/>
        </w:rPr>
        <w:t xml:space="preserve">he failure to appeal </w:t>
      </w:r>
      <w:r w:rsidR="00A07821">
        <w:rPr>
          <w:rFonts w:ascii="Aptos" w:hAnsi="Aptos" w:cs="Times New Roman"/>
          <w:sz w:val="25"/>
          <w:szCs w:val="25"/>
        </w:rPr>
        <w:t xml:space="preserve">the </w:t>
      </w:r>
      <w:r w:rsidR="00A07821" w:rsidRPr="00F3280A">
        <w:rPr>
          <w:rFonts w:ascii="Aptos" w:hAnsi="Aptos" w:cs="Times New Roman"/>
          <w:i/>
          <w:iCs/>
          <w:sz w:val="25"/>
          <w:szCs w:val="25"/>
        </w:rPr>
        <w:t>DMH Determination</w:t>
      </w:r>
      <w:r w:rsidR="00A07821">
        <w:rPr>
          <w:rFonts w:ascii="Aptos" w:hAnsi="Aptos" w:cs="Times New Roman"/>
          <w:sz w:val="25"/>
          <w:szCs w:val="25"/>
        </w:rPr>
        <w:t xml:space="preserve"> </w:t>
      </w:r>
      <w:r w:rsidR="00550B5F">
        <w:rPr>
          <w:rFonts w:ascii="Aptos" w:hAnsi="Aptos" w:cs="Times New Roman"/>
          <w:sz w:val="25"/>
          <w:szCs w:val="25"/>
        </w:rPr>
        <w:t xml:space="preserve">of Student’s clinical eligibility but lack of need for services is of no consequence to the joinder request, as the </w:t>
      </w:r>
      <w:r w:rsidR="00F3280A">
        <w:rPr>
          <w:rFonts w:ascii="Aptos" w:hAnsi="Aptos" w:cs="Times New Roman"/>
          <w:i/>
          <w:iCs/>
          <w:sz w:val="25"/>
          <w:szCs w:val="25"/>
        </w:rPr>
        <w:t xml:space="preserve">DMH Determination </w:t>
      </w:r>
      <w:r w:rsidR="00550B5F">
        <w:rPr>
          <w:rFonts w:ascii="Aptos" w:hAnsi="Aptos" w:cs="Times New Roman"/>
          <w:sz w:val="25"/>
          <w:szCs w:val="25"/>
        </w:rPr>
        <w:t>failed to provide all information required by DMH’s regulations (10</w:t>
      </w:r>
      <w:r w:rsidR="00A85FCE">
        <w:rPr>
          <w:rFonts w:ascii="Aptos" w:hAnsi="Aptos" w:cs="Times New Roman"/>
          <w:sz w:val="25"/>
          <w:szCs w:val="25"/>
        </w:rPr>
        <w:t>4</w:t>
      </w:r>
      <w:r w:rsidR="00550B5F">
        <w:rPr>
          <w:rFonts w:ascii="Aptos" w:hAnsi="Aptos" w:cs="Times New Roman"/>
          <w:sz w:val="25"/>
          <w:szCs w:val="25"/>
        </w:rPr>
        <w:t xml:space="preserve"> CMR 29.04(5)(e)).  </w:t>
      </w:r>
      <w:r w:rsidR="008C23CC">
        <w:rPr>
          <w:rFonts w:ascii="Aptos" w:hAnsi="Aptos" w:cs="Times New Roman"/>
          <w:sz w:val="25"/>
          <w:szCs w:val="25"/>
        </w:rPr>
        <w:t>Finally</w:t>
      </w:r>
      <w:r w:rsidR="00676DF7">
        <w:rPr>
          <w:rFonts w:ascii="Aptos" w:hAnsi="Aptos" w:cs="Times New Roman"/>
          <w:sz w:val="25"/>
          <w:szCs w:val="25"/>
        </w:rPr>
        <w:t xml:space="preserve">, </w:t>
      </w:r>
      <w:r w:rsidR="006E0871">
        <w:rPr>
          <w:rFonts w:ascii="Aptos" w:hAnsi="Aptos" w:cs="Times New Roman"/>
          <w:sz w:val="25"/>
          <w:szCs w:val="25"/>
        </w:rPr>
        <w:t xml:space="preserve">the District asserts </w:t>
      </w:r>
      <w:r w:rsidR="001F1AC8">
        <w:rPr>
          <w:rFonts w:ascii="Aptos" w:hAnsi="Aptos" w:cs="Times New Roman"/>
          <w:sz w:val="25"/>
          <w:szCs w:val="25"/>
        </w:rPr>
        <w:t xml:space="preserve">the BSEA has authority to join DMH in the instant matter </w:t>
      </w:r>
      <w:r w:rsidR="00676DF7">
        <w:rPr>
          <w:rFonts w:ascii="Aptos" w:hAnsi="Aptos" w:cs="Times New Roman"/>
          <w:sz w:val="25"/>
          <w:szCs w:val="25"/>
        </w:rPr>
        <w:t xml:space="preserve">as </w:t>
      </w:r>
      <w:r w:rsidR="00550B5F">
        <w:rPr>
          <w:rFonts w:ascii="Aptos" w:hAnsi="Aptos" w:cs="Times New Roman"/>
          <w:sz w:val="25"/>
          <w:szCs w:val="25"/>
        </w:rPr>
        <w:t>DMH</w:t>
      </w:r>
      <w:r w:rsidR="00A92A1A">
        <w:rPr>
          <w:rFonts w:ascii="Aptos" w:hAnsi="Aptos" w:cs="Times New Roman"/>
          <w:sz w:val="25"/>
          <w:szCs w:val="25"/>
        </w:rPr>
        <w:t>’s</w:t>
      </w:r>
      <w:r w:rsidR="00550B5F">
        <w:rPr>
          <w:rFonts w:ascii="Aptos" w:hAnsi="Aptos" w:cs="Times New Roman"/>
          <w:sz w:val="25"/>
          <w:szCs w:val="25"/>
        </w:rPr>
        <w:t xml:space="preserve"> regulations (104 CMR 29.04(5)(f)) </w:t>
      </w:r>
      <w:r w:rsidR="00676DF7">
        <w:rPr>
          <w:rFonts w:ascii="Aptos" w:hAnsi="Aptos" w:cs="Times New Roman"/>
          <w:sz w:val="25"/>
          <w:szCs w:val="25"/>
        </w:rPr>
        <w:t>provide that</w:t>
      </w:r>
      <w:r w:rsidR="00BB6B4B">
        <w:rPr>
          <w:rFonts w:ascii="Aptos" w:hAnsi="Aptos" w:cs="Times New Roman"/>
          <w:sz w:val="25"/>
          <w:szCs w:val="25"/>
        </w:rPr>
        <w:t xml:space="preserve"> </w:t>
      </w:r>
      <w:r w:rsidR="002D770E">
        <w:rPr>
          <w:rFonts w:ascii="Aptos" w:hAnsi="Aptos" w:cs="Times New Roman"/>
          <w:sz w:val="25"/>
          <w:szCs w:val="25"/>
        </w:rPr>
        <w:t xml:space="preserve">when denial is </w:t>
      </w:r>
      <w:r w:rsidR="005C0704">
        <w:rPr>
          <w:rFonts w:ascii="Aptos" w:hAnsi="Aptos" w:cs="Times New Roman"/>
          <w:sz w:val="25"/>
          <w:szCs w:val="25"/>
        </w:rPr>
        <w:t xml:space="preserve">based on a failure to demonstrate a need </w:t>
      </w:r>
      <w:r w:rsidR="002D770E">
        <w:rPr>
          <w:rFonts w:ascii="Aptos" w:hAnsi="Aptos" w:cs="Times New Roman"/>
          <w:sz w:val="25"/>
          <w:szCs w:val="25"/>
        </w:rPr>
        <w:t xml:space="preserve">for </w:t>
      </w:r>
      <w:r w:rsidR="003D4A41">
        <w:rPr>
          <w:rFonts w:ascii="Aptos" w:hAnsi="Aptos" w:cs="Times New Roman"/>
          <w:sz w:val="25"/>
          <w:szCs w:val="25"/>
        </w:rPr>
        <w:t xml:space="preserve">DMH services, despite </w:t>
      </w:r>
      <w:r w:rsidR="00540A0B">
        <w:rPr>
          <w:rFonts w:ascii="Aptos" w:hAnsi="Aptos" w:cs="Times New Roman"/>
          <w:sz w:val="25"/>
          <w:szCs w:val="25"/>
        </w:rPr>
        <w:t xml:space="preserve">a </w:t>
      </w:r>
      <w:r w:rsidR="003D4A41">
        <w:rPr>
          <w:rFonts w:ascii="Aptos" w:hAnsi="Aptos" w:cs="Times New Roman"/>
          <w:sz w:val="25"/>
          <w:szCs w:val="25"/>
        </w:rPr>
        <w:t xml:space="preserve">finding </w:t>
      </w:r>
      <w:r w:rsidR="00540A0B">
        <w:rPr>
          <w:rFonts w:ascii="Aptos" w:hAnsi="Aptos" w:cs="Times New Roman"/>
          <w:sz w:val="25"/>
          <w:szCs w:val="25"/>
        </w:rPr>
        <w:t xml:space="preserve">of </w:t>
      </w:r>
      <w:r w:rsidR="003D4A41">
        <w:rPr>
          <w:rFonts w:ascii="Aptos" w:hAnsi="Aptos" w:cs="Times New Roman"/>
          <w:sz w:val="25"/>
          <w:szCs w:val="25"/>
        </w:rPr>
        <w:t xml:space="preserve">clinical eligibility, </w:t>
      </w:r>
      <w:r w:rsidR="00BB6B4B">
        <w:rPr>
          <w:rFonts w:ascii="Aptos" w:hAnsi="Aptos" w:cs="Times New Roman"/>
          <w:sz w:val="25"/>
          <w:szCs w:val="25"/>
        </w:rPr>
        <w:t xml:space="preserve">the presumption of clinical eligibility remains in place for the 12 months subsequent to </w:t>
      </w:r>
      <w:r w:rsidR="003D4A41">
        <w:rPr>
          <w:rFonts w:ascii="Aptos" w:hAnsi="Aptos" w:cs="Times New Roman"/>
          <w:sz w:val="25"/>
          <w:szCs w:val="25"/>
        </w:rPr>
        <w:t xml:space="preserve">such </w:t>
      </w:r>
      <w:r w:rsidR="00BB6B4B">
        <w:rPr>
          <w:rFonts w:ascii="Aptos" w:hAnsi="Aptos" w:cs="Times New Roman"/>
          <w:sz w:val="25"/>
          <w:szCs w:val="25"/>
        </w:rPr>
        <w:t>a denial</w:t>
      </w:r>
      <w:r w:rsidR="00196069">
        <w:rPr>
          <w:rFonts w:ascii="Aptos" w:hAnsi="Aptos" w:cs="Times New Roman"/>
          <w:sz w:val="25"/>
          <w:szCs w:val="25"/>
        </w:rPr>
        <w:t>,</w:t>
      </w:r>
      <w:r w:rsidR="00550B5F">
        <w:rPr>
          <w:rFonts w:ascii="Aptos" w:hAnsi="Aptos" w:cs="Times New Roman"/>
          <w:sz w:val="25"/>
          <w:szCs w:val="25"/>
        </w:rPr>
        <w:t xml:space="preserve"> </w:t>
      </w:r>
      <w:r w:rsidR="00196069">
        <w:rPr>
          <w:rFonts w:ascii="Aptos" w:hAnsi="Aptos" w:cs="Times New Roman"/>
          <w:sz w:val="25"/>
          <w:szCs w:val="25"/>
        </w:rPr>
        <w:t xml:space="preserve">and </w:t>
      </w:r>
      <w:r w:rsidR="00550B5F">
        <w:rPr>
          <w:rFonts w:ascii="Aptos" w:hAnsi="Aptos" w:cs="Times New Roman"/>
          <w:sz w:val="25"/>
          <w:szCs w:val="25"/>
        </w:rPr>
        <w:t xml:space="preserve">a reapplication </w:t>
      </w:r>
      <w:r w:rsidR="00196069">
        <w:rPr>
          <w:rFonts w:ascii="Aptos" w:hAnsi="Aptos" w:cs="Times New Roman"/>
          <w:sz w:val="25"/>
          <w:szCs w:val="25"/>
        </w:rPr>
        <w:t xml:space="preserve">can be made </w:t>
      </w:r>
      <w:r w:rsidR="00550B5F">
        <w:rPr>
          <w:rFonts w:ascii="Aptos" w:hAnsi="Aptos" w:cs="Times New Roman"/>
          <w:sz w:val="25"/>
          <w:szCs w:val="25"/>
        </w:rPr>
        <w:t>due to a “change in circumstances” within this timeframe.   Thus</w:t>
      </w:r>
      <w:r w:rsidR="00B603C1">
        <w:rPr>
          <w:rFonts w:ascii="Aptos" w:hAnsi="Aptos" w:cs="Times New Roman"/>
          <w:sz w:val="25"/>
          <w:szCs w:val="25"/>
        </w:rPr>
        <w:t>,</w:t>
      </w:r>
      <w:r w:rsidR="00550B5F">
        <w:rPr>
          <w:rFonts w:ascii="Aptos" w:hAnsi="Aptos" w:cs="Times New Roman"/>
          <w:sz w:val="25"/>
          <w:szCs w:val="25"/>
        </w:rPr>
        <w:t xml:space="preserve"> a grant of joinder “… in advance” of such a </w:t>
      </w:r>
      <w:r w:rsidR="00C01D4D">
        <w:rPr>
          <w:rFonts w:ascii="Aptos" w:hAnsi="Aptos" w:cs="Times New Roman"/>
          <w:sz w:val="25"/>
          <w:szCs w:val="25"/>
        </w:rPr>
        <w:t xml:space="preserve">likely </w:t>
      </w:r>
      <w:r w:rsidR="00550B5F">
        <w:rPr>
          <w:rFonts w:ascii="Aptos" w:hAnsi="Aptos" w:cs="Times New Roman"/>
          <w:sz w:val="25"/>
          <w:szCs w:val="25"/>
        </w:rPr>
        <w:t xml:space="preserve">request for </w:t>
      </w:r>
      <w:r w:rsidR="00C34CCC">
        <w:rPr>
          <w:rFonts w:ascii="Aptos" w:hAnsi="Aptos" w:cs="Times New Roman"/>
          <w:sz w:val="25"/>
          <w:szCs w:val="25"/>
        </w:rPr>
        <w:t>“</w:t>
      </w:r>
      <w:r w:rsidR="00550B5F">
        <w:rPr>
          <w:rFonts w:ascii="Aptos" w:hAnsi="Aptos" w:cs="Times New Roman"/>
          <w:sz w:val="25"/>
          <w:szCs w:val="25"/>
        </w:rPr>
        <w:t>reconsideration</w:t>
      </w:r>
      <w:r w:rsidR="00C34CCC">
        <w:rPr>
          <w:rFonts w:ascii="Aptos" w:hAnsi="Aptos" w:cs="Times New Roman"/>
          <w:sz w:val="25"/>
          <w:szCs w:val="25"/>
        </w:rPr>
        <w:t>”</w:t>
      </w:r>
      <w:r w:rsidR="00550B5F">
        <w:rPr>
          <w:rFonts w:ascii="Aptos" w:hAnsi="Aptos" w:cs="Times New Roman"/>
          <w:sz w:val="25"/>
          <w:szCs w:val="25"/>
        </w:rPr>
        <w:t xml:space="preserve"> </w:t>
      </w:r>
      <w:r w:rsidR="00C01D4D">
        <w:rPr>
          <w:rFonts w:ascii="Aptos" w:hAnsi="Aptos" w:cs="Times New Roman"/>
          <w:sz w:val="25"/>
          <w:szCs w:val="25"/>
        </w:rPr>
        <w:t xml:space="preserve">ensures </w:t>
      </w:r>
      <w:r w:rsidR="00540A0B">
        <w:rPr>
          <w:rFonts w:ascii="Aptos" w:hAnsi="Aptos" w:cs="Times New Roman"/>
          <w:sz w:val="25"/>
          <w:szCs w:val="25"/>
        </w:rPr>
        <w:t xml:space="preserve">that </w:t>
      </w:r>
      <w:r w:rsidR="00550B5F">
        <w:rPr>
          <w:rFonts w:ascii="Aptos" w:hAnsi="Aptos" w:cs="Times New Roman"/>
          <w:sz w:val="25"/>
          <w:szCs w:val="25"/>
        </w:rPr>
        <w:t>complete relief is available, “in concert with DMH regulations”.</w:t>
      </w:r>
    </w:p>
    <w:p w14:paraId="08A26EDD" w14:textId="77777777" w:rsidR="009040FB" w:rsidRPr="00DC6E4F" w:rsidRDefault="009040FB" w:rsidP="009040FB">
      <w:pPr>
        <w:spacing w:after="0" w:line="240" w:lineRule="auto"/>
        <w:rPr>
          <w:rFonts w:ascii="Aptos" w:hAnsi="Aptos" w:cs="Times New Roman"/>
          <w:sz w:val="25"/>
          <w:szCs w:val="25"/>
        </w:rPr>
      </w:pPr>
    </w:p>
    <w:p w14:paraId="5A83CAC2" w14:textId="15332211" w:rsidR="009040FB" w:rsidRDefault="009040FB" w:rsidP="009040FB">
      <w:pPr>
        <w:pStyle w:val="Heading1"/>
      </w:pPr>
      <w:r>
        <w:t xml:space="preserve">POSITION OF DMH </w:t>
      </w:r>
    </w:p>
    <w:p w14:paraId="6CA9E738" w14:textId="77777777" w:rsidR="00550B5F" w:rsidRDefault="00550B5F" w:rsidP="00550B5F">
      <w:pPr>
        <w:spacing w:after="0" w:line="240" w:lineRule="auto"/>
        <w:rPr>
          <w:rFonts w:ascii="Aptos" w:hAnsi="Aptos" w:cs="Times New Roman"/>
          <w:sz w:val="25"/>
          <w:szCs w:val="25"/>
        </w:rPr>
      </w:pPr>
    </w:p>
    <w:p w14:paraId="4A87A79F" w14:textId="5A48ABC4" w:rsidR="00550B5F" w:rsidRPr="00550B5F" w:rsidRDefault="00550B5F" w:rsidP="00E571A4">
      <w:pPr>
        <w:spacing w:after="0" w:line="240" w:lineRule="auto"/>
        <w:rPr>
          <w:rFonts w:ascii="Aptos" w:hAnsi="Aptos" w:cs="Times New Roman"/>
          <w:sz w:val="25"/>
          <w:szCs w:val="25"/>
        </w:rPr>
      </w:pPr>
      <w:r>
        <w:rPr>
          <w:rFonts w:ascii="Aptos" w:hAnsi="Aptos" w:cs="Times New Roman"/>
          <w:sz w:val="25"/>
          <w:szCs w:val="25"/>
        </w:rPr>
        <w:t xml:space="preserve">DMH submits that the </w:t>
      </w:r>
      <w:r w:rsidR="00F3280A" w:rsidRPr="008C23CC">
        <w:rPr>
          <w:rFonts w:ascii="Aptos" w:hAnsi="Aptos" w:cs="Times New Roman"/>
          <w:i/>
          <w:iCs/>
          <w:sz w:val="25"/>
          <w:szCs w:val="25"/>
        </w:rPr>
        <w:t>DMH Determination</w:t>
      </w:r>
      <w:r w:rsidR="00F3280A">
        <w:rPr>
          <w:rFonts w:ascii="Aptos" w:hAnsi="Aptos" w:cs="Times New Roman"/>
          <w:i/>
          <w:iCs/>
          <w:sz w:val="25"/>
          <w:szCs w:val="25"/>
        </w:rPr>
        <w:t xml:space="preserve"> </w:t>
      </w:r>
      <w:r>
        <w:rPr>
          <w:rFonts w:ascii="Aptos" w:hAnsi="Aptos" w:cs="Times New Roman"/>
          <w:sz w:val="25"/>
          <w:szCs w:val="25"/>
        </w:rPr>
        <w:t>is final and binding</w:t>
      </w:r>
      <w:r w:rsidR="008C23CC">
        <w:rPr>
          <w:rFonts w:ascii="Aptos" w:hAnsi="Aptos" w:cs="Times New Roman"/>
          <w:sz w:val="25"/>
          <w:szCs w:val="25"/>
        </w:rPr>
        <w:t xml:space="preserve"> as i</w:t>
      </w:r>
      <w:r>
        <w:rPr>
          <w:rFonts w:ascii="Aptos" w:hAnsi="Aptos" w:cs="Times New Roman"/>
          <w:sz w:val="25"/>
          <w:szCs w:val="25"/>
        </w:rPr>
        <w:t xml:space="preserve">t was not appealed, thus the BSEA lacks any authority to </w:t>
      </w:r>
      <w:r w:rsidR="009040FB">
        <w:rPr>
          <w:rFonts w:ascii="Aptos" w:hAnsi="Aptos" w:cs="Times New Roman"/>
          <w:sz w:val="25"/>
          <w:szCs w:val="25"/>
        </w:rPr>
        <w:t>join</w:t>
      </w:r>
      <w:r>
        <w:rPr>
          <w:rFonts w:ascii="Aptos" w:hAnsi="Aptos" w:cs="Times New Roman"/>
          <w:sz w:val="25"/>
          <w:szCs w:val="25"/>
        </w:rPr>
        <w:t xml:space="preserve"> DMH </w:t>
      </w:r>
      <w:r w:rsidR="009040FB">
        <w:rPr>
          <w:rFonts w:ascii="Aptos" w:hAnsi="Aptos" w:cs="Times New Roman"/>
          <w:sz w:val="25"/>
          <w:szCs w:val="25"/>
        </w:rPr>
        <w:t xml:space="preserve">as </w:t>
      </w:r>
      <w:r>
        <w:rPr>
          <w:rFonts w:ascii="Aptos" w:hAnsi="Aptos" w:cs="Times New Roman"/>
          <w:sz w:val="25"/>
          <w:szCs w:val="25"/>
        </w:rPr>
        <w:t xml:space="preserve">a </w:t>
      </w:r>
      <w:r w:rsidR="00853E05">
        <w:rPr>
          <w:rFonts w:ascii="Aptos" w:hAnsi="Aptos" w:cs="Times New Roman"/>
          <w:sz w:val="25"/>
          <w:szCs w:val="25"/>
        </w:rPr>
        <w:t>p</w:t>
      </w:r>
      <w:r>
        <w:rPr>
          <w:rFonts w:ascii="Aptos" w:hAnsi="Aptos" w:cs="Times New Roman"/>
          <w:sz w:val="25"/>
          <w:szCs w:val="25"/>
        </w:rPr>
        <w:t>arty in this matter</w:t>
      </w:r>
      <w:r w:rsidR="00983F7E">
        <w:rPr>
          <w:rFonts w:ascii="Aptos" w:hAnsi="Aptos" w:cs="Times New Roman"/>
          <w:sz w:val="25"/>
          <w:szCs w:val="25"/>
        </w:rPr>
        <w:t xml:space="preserve">.  Pursuant </w:t>
      </w:r>
      <w:r>
        <w:rPr>
          <w:rFonts w:ascii="Aptos" w:hAnsi="Aptos" w:cs="Times New Roman"/>
          <w:sz w:val="25"/>
          <w:szCs w:val="25"/>
        </w:rPr>
        <w:t xml:space="preserve">to M.G.L. c. 71B §3, </w:t>
      </w:r>
      <w:r w:rsidR="00983F7E">
        <w:rPr>
          <w:rFonts w:ascii="Aptos" w:hAnsi="Aptos" w:cs="Times New Roman"/>
          <w:sz w:val="25"/>
          <w:szCs w:val="25"/>
        </w:rPr>
        <w:t xml:space="preserve">the BSEA </w:t>
      </w:r>
      <w:r>
        <w:rPr>
          <w:rFonts w:ascii="Aptos" w:hAnsi="Aptos" w:cs="Times New Roman"/>
          <w:sz w:val="25"/>
          <w:szCs w:val="25"/>
        </w:rPr>
        <w:t xml:space="preserve">can only order services from DMH “in accordance with the rules, regulations and policies of the respective </w:t>
      </w:r>
      <w:proofErr w:type="spellStart"/>
      <w:r>
        <w:rPr>
          <w:rFonts w:ascii="Aptos" w:hAnsi="Aptos" w:cs="Times New Roman"/>
          <w:sz w:val="25"/>
          <w:szCs w:val="25"/>
        </w:rPr>
        <w:t>a</w:t>
      </w:r>
      <w:r w:rsidR="006A1801">
        <w:rPr>
          <w:rFonts w:ascii="Aptos" w:hAnsi="Aptos" w:cs="Times New Roman"/>
          <w:sz w:val="25"/>
          <w:szCs w:val="25"/>
        </w:rPr>
        <w:t>g</w:t>
      </w:r>
      <w:r>
        <w:rPr>
          <w:rFonts w:ascii="Aptos" w:hAnsi="Aptos" w:cs="Times New Roman"/>
          <w:sz w:val="25"/>
          <w:szCs w:val="25"/>
        </w:rPr>
        <w:t>enc</w:t>
      </w:r>
      <w:proofErr w:type="spellEnd"/>
      <w:r>
        <w:rPr>
          <w:rFonts w:ascii="Aptos" w:hAnsi="Aptos" w:cs="Times New Roman"/>
          <w:sz w:val="25"/>
          <w:szCs w:val="25"/>
        </w:rPr>
        <w:t xml:space="preserve">[y] … in addition to the program and related services to be provided by the school committee”.  The </w:t>
      </w:r>
      <w:r w:rsidR="00F3280A" w:rsidRPr="00F3280A">
        <w:rPr>
          <w:rFonts w:ascii="Aptos" w:hAnsi="Aptos" w:cs="Times New Roman"/>
          <w:i/>
          <w:iCs/>
          <w:sz w:val="25"/>
          <w:szCs w:val="25"/>
        </w:rPr>
        <w:t>DMH Determination</w:t>
      </w:r>
      <w:r>
        <w:rPr>
          <w:rFonts w:ascii="Aptos" w:hAnsi="Aptos" w:cs="Times New Roman"/>
          <w:i/>
          <w:iCs/>
          <w:sz w:val="25"/>
          <w:szCs w:val="25"/>
        </w:rPr>
        <w:t xml:space="preserve"> </w:t>
      </w:r>
      <w:r>
        <w:rPr>
          <w:rFonts w:ascii="Aptos" w:hAnsi="Aptos" w:cs="Times New Roman"/>
          <w:sz w:val="25"/>
          <w:szCs w:val="25"/>
        </w:rPr>
        <w:t>was made in accordance with DMH’s regulations, specifically 104 CMR 29.04 (2) through (4)</w:t>
      </w:r>
      <w:r w:rsidR="00540A0B">
        <w:rPr>
          <w:rFonts w:ascii="Aptos" w:hAnsi="Aptos" w:cs="Times New Roman"/>
          <w:sz w:val="25"/>
          <w:szCs w:val="25"/>
        </w:rPr>
        <w:t>,</w:t>
      </w:r>
      <w:r>
        <w:rPr>
          <w:rFonts w:ascii="Aptos" w:hAnsi="Aptos" w:cs="Times New Roman"/>
          <w:sz w:val="25"/>
          <w:szCs w:val="25"/>
        </w:rPr>
        <w:t xml:space="preserve"> and no application for services is currently pending.  The BSEA process cannot and should not be used </w:t>
      </w:r>
      <w:r w:rsidR="00913EEC">
        <w:rPr>
          <w:rFonts w:ascii="Aptos" w:hAnsi="Aptos" w:cs="Times New Roman"/>
          <w:sz w:val="25"/>
          <w:szCs w:val="25"/>
        </w:rPr>
        <w:t>to challenge</w:t>
      </w:r>
      <w:r>
        <w:rPr>
          <w:rFonts w:ascii="Aptos" w:hAnsi="Aptos" w:cs="Times New Roman"/>
          <w:sz w:val="25"/>
          <w:szCs w:val="25"/>
        </w:rPr>
        <w:t xml:space="preserve"> the </w:t>
      </w:r>
      <w:r w:rsidR="00F3280A" w:rsidRPr="00F3280A">
        <w:rPr>
          <w:rFonts w:ascii="Aptos" w:hAnsi="Aptos" w:cs="Times New Roman"/>
          <w:i/>
          <w:iCs/>
          <w:sz w:val="25"/>
          <w:szCs w:val="25"/>
        </w:rPr>
        <w:t>DMH Determination</w:t>
      </w:r>
      <w:r w:rsidR="00F3280A">
        <w:rPr>
          <w:rFonts w:ascii="Aptos" w:hAnsi="Aptos" w:cs="Times New Roman"/>
          <w:sz w:val="25"/>
          <w:szCs w:val="25"/>
        </w:rPr>
        <w:t xml:space="preserve"> </w:t>
      </w:r>
      <w:r>
        <w:rPr>
          <w:rFonts w:ascii="Aptos" w:hAnsi="Aptos" w:cs="Times New Roman"/>
          <w:sz w:val="25"/>
          <w:szCs w:val="25"/>
        </w:rPr>
        <w:t xml:space="preserve">once the appeal period has run without an appeal being filed, and the BSEA cannot order DMH to provide services to a </w:t>
      </w:r>
      <w:r w:rsidR="009040FB">
        <w:rPr>
          <w:rFonts w:ascii="Aptos" w:hAnsi="Aptos" w:cs="Times New Roman"/>
          <w:sz w:val="25"/>
          <w:szCs w:val="25"/>
        </w:rPr>
        <w:t>s</w:t>
      </w:r>
      <w:r>
        <w:rPr>
          <w:rFonts w:ascii="Aptos" w:hAnsi="Aptos" w:cs="Times New Roman"/>
          <w:sz w:val="25"/>
          <w:szCs w:val="25"/>
        </w:rPr>
        <w:t xml:space="preserve">tudent in situations where DMH has determined that the </w:t>
      </w:r>
      <w:r w:rsidR="00AB1D2D">
        <w:rPr>
          <w:rFonts w:ascii="Aptos" w:hAnsi="Aptos" w:cs="Times New Roman"/>
          <w:sz w:val="25"/>
          <w:szCs w:val="25"/>
        </w:rPr>
        <w:t>s</w:t>
      </w:r>
      <w:r>
        <w:rPr>
          <w:rFonts w:ascii="Aptos" w:hAnsi="Aptos" w:cs="Times New Roman"/>
          <w:sz w:val="25"/>
          <w:szCs w:val="25"/>
        </w:rPr>
        <w:t xml:space="preserve">tudent is not eligible for receipt of any DMH services.  </w:t>
      </w:r>
      <w:r w:rsidR="00540A0B">
        <w:rPr>
          <w:rFonts w:ascii="Aptos" w:hAnsi="Aptos" w:cs="Times New Roman"/>
          <w:sz w:val="25"/>
          <w:szCs w:val="25"/>
        </w:rPr>
        <w:t xml:space="preserve">Joinder is not required for the </w:t>
      </w:r>
      <w:r w:rsidR="00943492">
        <w:rPr>
          <w:rFonts w:ascii="Aptos" w:hAnsi="Aptos" w:cs="Times New Roman"/>
          <w:sz w:val="25"/>
          <w:szCs w:val="25"/>
        </w:rPr>
        <w:t xml:space="preserve">Parties </w:t>
      </w:r>
      <w:r>
        <w:rPr>
          <w:rFonts w:ascii="Aptos" w:hAnsi="Aptos" w:cs="Times New Roman"/>
          <w:sz w:val="25"/>
          <w:szCs w:val="25"/>
        </w:rPr>
        <w:t>to seek discovery of information in the possession of DMH or its vendors, thus there is no risk of prejudice to the Parties without DMH’s joinder.</w:t>
      </w:r>
    </w:p>
    <w:p w14:paraId="2FFCDA92" w14:textId="77777777" w:rsidR="00550B5F" w:rsidRDefault="00550B5F" w:rsidP="00E571A4">
      <w:pPr>
        <w:spacing w:after="0" w:line="240" w:lineRule="auto"/>
        <w:rPr>
          <w:rFonts w:ascii="Aptos" w:hAnsi="Aptos" w:cs="Times New Roman"/>
          <w:b/>
          <w:bCs/>
          <w:sz w:val="25"/>
          <w:szCs w:val="25"/>
        </w:rPr>
      </w:pPr>
    </w:p>
    <w:p w14:paraId="7D724A64" w14:textId="686996BE" w:rsidR="00E571A4" w:rsidRPr="00E725ED" w:rsidRDefault="00E571A4" w:rsidP="00E60DCD">
      <w:pPr>
        <w:pStyle w:val="Heading1"/>
      </w:pPr>
      <w:r w:rsidRPr="00E725ED">
        <w:rPr>
          <w:rStyle w:val="Heading1Char"/>
          <w:b/>
          <w:bCs/>
        </w:rPr>
        <w:t>LEGAL STANDARD</w:t>
      </w:r>
    </w:p>
    <w:p w14:paraId="249CCF06" w14:textId="77777777" w:rsidR="00E571A4" w:rsidRPr="00401ABB" w:rsidRDefault="00E571A4" w:rsidP="00E571A4">
      <w:pPr>
        <w:spacing w:after="0" w:line="240" w:lineRule="auto"/>
        <w:rPr>
          <w:rFonts w:ascii="Aptos" w:eastAsia="Times New Roman" w:hAnsi="Aptos" w:cs="Times New Roman"/>
          <w:bCs/>
          <w:color w:val="000000"/>
          <w:sz w:val="25"/>
          <w:szCs w:val="25"/>
        </w:rPr>
      </w:pPr>
    </w:p>
    <w:p w14:paraId="2EBED3DA" w14:textId="77777777" w:rsidR="00E571A4" w:rsidRPr="00401ABB" w:rsidRDefault="00E571A4" w:rsidP="00E571A4">
      <w:pPr>
        <w:spacing w:after="0" w:line="240" w:lineRule="auto"/>
        <w:rPr>
          <w:rFonts w:ascii="Aptos" w:eastAsia="Times New Roman" w:hAnsi="Aptos" w:cs="Times New Roman"/>
          <w:bCs/>
          <w:color w:val="000000"/>
          <w:sz w:val="25"/>
          <w:szCs w:val="25"/>
        </w:rPr>
      </w:pPr>
      <w:r w:rsidRPr="003C48B9">
        <w:rPr>
          <w:rFonts w:ascii="Aptos" w:eastAsia="Times New Roman" w:hAnsi="Aptos" w:cs="Times New Roman"/>
          <w:bCs/>
          <w:i/>
          <w:iCs/>
          <w:color w:val="000000"/>
          <w:sz w:val="25"/>
          <w:szCs w:val="25"/>
        </w:rPr>
        <w:t>Rule I(J)</w:t>
      </w:r>
      <w:r w:rsidRPr="00401ABB">
        <w:rPr>
          <w:rFonts w:ascii="Aptos" w:eastAsia="Times New Roman" w:hAnsi="Aptos" w:cs="Times New Roman"/>
          <w:bCs/>
          <w:color w:val="000000"/>
          <w:sz w:val="25"/>
          <w:szCs w:val="25"/>
        </w:rPr>
        <w:t xml:space="preserve"> of the </w:t>
      </w:r>
      <w:r w:rsidRPr="00401ABB">
        <w:rPr>
          <w:rFonts w:ascii="Aptos" w:eastAsia="Times New Roman" w:hAnsi="Aptos" w:cs="Times New Roman"/>
          <w:bCs/>
          <w:i/>
          <w:iCs/>
          <w:color w:val="000000"/>
          <w:sz w:val="25"/>
          <w:szCs w:val="25"/>
        </w:rPr>
        <w:t>Hearing Rules</w:t>
      </w:r>
      <w:r w:rsidRPr="00401ABB">
        <w:rPr>
          <w:rFonts w:ascii="Aptos" w:eastAsia="Times New Roman" w:hAnsi="Aptos" w:cs="Times New Roman"/>
          <w:bCs/>
          <w:color w:val="000000"/>
          <w:sz w:val="25"/>
          <w:szCs w:val="25"/>
        </w:rPr>
        <w:t xml:space="preserve"> states that, </w:t>
      </w:r>
    </w:p>
    <w:p w14:paraId="69D20E49" w14:textId="77777777" w:rsidR="00E571A4" w:rsidRPr="00401ABB" w:rsidRDefault="00E571A4" w:rsidP="00E571A4">
      <w:pPr>
        <w:spacing w:after="0" w:line="240" w:lineRule="auto"/>
        <w:ind w:left="720" w:right="720"/>
        <w:rPr>
          <w:rFonts w:ascii="Aptos" w:eastAsia="Times New Roman" w:hAnsi="Aptos" w:cs="Times New Roman"/>
          <w:bCs/>
          <w:color w:val="000000"/>
          <w:sz w:val="25"/>
          <w:szCs w:val="25"/>
        </w:rPr>
      </w:pPr>
    </w:p>
    <w:p w14:paraId="3A7AFA49" w14:textId="77777777" w:rsidR="00E571A4" w:rsidRPr="00401ABB" w:rsidRDefault="00E571A4" w:rsidP="00E571A4">
      <w:pPr>
        <w:spacing w:after="0" w:line="240" w:lineRule="auto"/>
        <w:ind w:left="720" w:right="720"/>
        <w:rPr>
          <w:rFonts w:ascii="Aptos" w:eastAsia="Times New Roman" w:hAnsi="Aptos" w:cs="Times New Roman"/>
          <w:bCs/>
          <w:color w:val="000000"/>
          <w:sz w:val="25"/>
          <w:szCs w:val="25"/>
        </w:rPr>
      </w:pPr>
      <w:r w:rsidRPr="00401ABB">
        <w:rPr>
          <w:rFonts w:ascii="Aptos" w:eastAsia="Times New Roman" w:hAnsi="Aptos" w:cs="Times New Roman"/>
          <w:bCs/>
          <w:color w:val="000000"/>
          <w:sz w:val="25"/>
          <w:szCs w:val="25"/>
        </w:rPr>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w:t>
      </w:r>
      <w:r w:rsidRPr="00401ABB">
        <w:rPr>
          <w:rFonts w:ascii="Aptos" w:eastAsia="Times New Roman" w:hAnsi="Aptos" w:cs="Times New Roman"/>
          <w:bCs/>
          <w:color w:val="000000"/>
          <w:sz w:val="25"/>
          <w:szCs w:val="25"/>
        </w:rPr>
        <w:lastRenderedPageBreak/>
        <w:t xml:space="preserve">determination of joinder </w:t>
      </w:r>
      <w:proofErr w:type="gramStart"/>
      <w:r w:rsidRPr="00401ABB">
        <w:rPr>
          <w:rFonts w:ascii="Aptos" w:eastAsia="Times New Roman" w:hAnsi="Aptos" w:cs="Times New Roman"/>
          <w:bCs/>
          <w:color w:val="000000"/>
          <w:sz w:val="25"/>
          <w:szCs w:val="25"/>
        </w:rPr>
        <w:t>are:</w:t>
      </w:r>
      <w:proofErr w:type="gramEnd"/>
      <w:r w:rsidRPr="00401ABB">
        <w:rPr>
          <w:rFonts w:ascii="Aptos" w:eastAsia="Times New Roman" w:hAnsi="Aptos" w:cs="Times New Roman"/>
          <w:bCs/>
          <w:color w:val="000000"/>
          <w:sz w:val="25"/>
          <w:szCs w:val="25"/>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1AE08E59" w14:textId="77777777" w:rsidR="00E571A4" w:rsidRPr="00401ABB" w:rsidRDefault="00E571A4" w:rsidP="00E571A4">
      <w:pPr>
        <w:spacing w:after="0" w:line="240" w:lineRule="auto"/>
        <w:rPr>
          <w:rFonts w:ascii="Aptos" w:eastAsia="Times New Roman" w:hAnsi="Aptos" w:cs="Times New Roman"/>
          <w:bCs/>
          <w:color w:val="000000"/>
          <w:sz w:val="25"/>
          <w:szCs w:val="25"/>
        </w:rPr>
      </w:pPr>
    </w:p>
    <w:p w14:paraId="1DCD937B" w14:textId="1301897A" w:rsidR="00E571A4" w:rsidRPr="00401ABB" w:rsidRDefault="00E571A4" w:rsidP="00B3277F">
      <w:pPr>
        <w:spacing w:after="0" w:line="240" w:lineRule="auto"/>
        <w:rPr>
          <w:rFonts w:ascii="Aptos" w:eastAsia="Times New Roman" w:hAnsi="Aptos" w:cs="Times New Roman"/>
          <w:bCs/>
          <w:color w:val="000000"/>
          <w:sz w:val="25"/>
          <w:szCs w:val="25"/>
        </w:rPr>
      </w:pPr>
      <w:r w:rsidRPr="00401ABB">
        <w:rPr>
          <w:rFonts w:ascii="Aptos" w:eastAsia="Times New Roman" w:hAnsi="Aptos" w:cs="Times New Roman"/>
          <w:bCs/>
          <w:color w:val="000000"/>
          <w:sz w:val="25"/>
          <w:szCs w:val="25"/>
        </w:rPr>
        <w:t>To analyze a joinder request, I must also consider the state and federal laws that establish the limited jurisdictional authority of the BSEA.  Specifically, 20 USC §1415(b)(6) grants parties the right to file timely complaints with the state educational agency designated to hear such “with respect to any matter relating to the identification, evaluation or educational placement of the child, or the provision of a free appropriate public education to such child”</w:t>
      </w:r>
      <w:r w:rsidR="00B3277F">
        <w:rPr>
          <w:rStyle w:val="FootnoteReference"/>
          <w:rFonts w:ascii="Aptos" w:eastAsia="Times New Roman" w:hAnsi="Aptos" w:cs="Times New Roman"/>
          <w:bCs/>
          <w:color w:val="000000"/>
          <w:sz w:val="25"/>
          <w:szCs w:val="25"/>
        </w:rPr>
        <w:footnoteReference w:id="5"/>
      </w:r>
      <w:r w:rsidRPr="00401ABB">
        <w:rPr>
          <w:rFonts w:ascii="Aptos" w:eastAsia="Times New Roman" w:hAnsi="Aptos" w:cs="Times New Roman"/>
          <w:bCs/>
          <w:color w:val="000000"/>
          <w:sz w:val="25"/>
          <w:szCs w:val="25"/>
        </w:rPr>
        <w:t xml:space="preserve">.   </w:t>
      </w:r>
    </w:p>
    <w:p w14:paraId="729FA7CD" w14:textId="77777777" w:rsidR="00E571A4" w:rsidRPr="00401ABB" w:rsidRDefault="00E571A4" w:rsidP="00E571A4">
      <w:pPr>
        <w:spacing w:after="0" w:line="240" w:lineRule="auto"/>
        <w:rPr>
          <w:rFonts w:ascii="Aptos" w:eastAsia="Times New Roman" w:hAnsi="Aptos" w:cs="Times New Roman"/>
          <w:bCs/>
          <w:color w:val="000000"/>
          <w:sz w:val="25"/>
          <w:szCs w:val="25"/>
        </w:rPr>
      </w:pPr>
    </w:p>
    <w:p w14:paraId="71F566AB" w14:textId="25A28218" w:rsidR="00E571A4" w:rsidRPr="00401ABB" w:rsidRDefault="005400C9" w:rsidP="00E571A4">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M.G.L. c. 71B §3</w:t>
      </w:r>
      <w:r w:rsidR="003820E5">
        <w:rPr>
          <w:rFonts w:ascii="Aptos" w:eastAsia="Times New Roman" w:hAnsi="Aptos" w:cs="Times New Roman"/>
          <w:bCs/>
          <w:color w:val="000000"/>
          <w:sz w:val="25"/>
          <w:szCs w:val="25"/>
        </w:rPr>
        <w:t xml:space="preserve"> provides, </w:t>
      </w:r>
      <w:r w:rsidR="00E571A4" w:rsidRPr="00401ABB">
        <w:rPr>
          <w:rFonts w:ascii="Aptos" w:eastAsia="Times New Roman" w:hAnsi="Aptos" w:cs="Times New Roman"/>
          <w:bCs/>
          <w:color w:val="000000"/>
          <w:sz w:val="25"/>
          <w:szCs w:val="25"/>
        </w:rPr>
        <w:t>in relevant part</w:t>
      </w:r>
      <w:r w:rsidR="003820E5">
        <w:rPr>
          <w:rFonts w:ascii="Aptos" w:eastAsia="Times New Roman" w:hAnsi="Aptos" w:cs="Times New Roman"/>
          <w:bCs/>
          <w:color w:val="000000"/>
          <w:sz w:val="25"/>
          <w:szCs w:val="25"/>
        </w:rPr>
        <w:t>, that,</w:t>
      </w:r>
    </w:p>
    <w:p w14:paraId="6E70B06B" w14:textId="77777777" w:rsidR="00E571A4" w:rsidRPr="00401ABB" w:rsidRDefault="00E571A4" w:rsidP="00E571A4">
      <w:pPr>
        <w:spacing w:after="0" w:line="240" w:lineRule="auto"/>
        <w:rPr>
          <w:rFonts w:ascii="Aptos" w:eastAsia="Times New Roman" w:hAnsi="Aptos" w:cs="Times New Roman"/>
          <w:bCs/>
          <w:color w:val="000000"/>
          <w:sz w:val="25"/>
          <w:szCs w:val="25"/>
        </w:rPr>
      </w:pPr>
    </w:p>
    <w:p w14:paraId="742CF446" w14:textId="67BF9A37" w:rsidR="00E571A4" w:rsidRPr="00401ABB" w:rsidRDefault="00E571A4" w:rsidP="00E571A4">
      <w:pPr>
        <w:spacing w:after="0" w:line="240" w:lineRule="auto"/>
        <w:ind w:left="720" w:right="720"/>
        <w:rPr>
          <w:rFonts w:ascii="Aptos" w:eastAsia="Times New Roman" w:hAnsi="Aptos" w:cs="Times New Roman"/>
          <w:bCs/>
          <w:color w:val="000000"/>
          <w:sz w:val="25"/>
          <w:szCs w:val="25"/>
        </w:rPr>
      </w:pPr>
      <w:r w:rsidRPr="00401ABB">
        <w:rPr>
          <w:rFonts w:ascii="Aptos" w:eastAsia="Times New Roman" w:hAnsi="Aptos" w:cs="Times New Roman"/>
          <w:bCs/>
          <w:color w:val="000000"/>
          <w:sz w:val="25"/>
          <w:szCs w:val="25"/>
        </w:rPr>
        <w:t xml:space="preserve">"The [BSEA] hearing officer may determine, in accordance with the rules, regulations and policies of the respective agencies, that services shall be provided by the … department of </w:t>
      </w:r>
      <w:r w:rsidR="003820E5">
        <w:rPr>
          <w:rFonts w:ascii="Aptos" w:eastAsia="Times New Roman" w:hAnsi="Aptos" w:cs="Times New Roman"/>
          <w:bCs/>
          <w:color w:val="000000"/>
          <w:sz w:val="25"/>
          <w:szCs w:val="25"/>
        </w:rPr>
        <w:t>mental health</w:t>
      </w:r>
      <w:r w:rsidRPr="00401ABB">
        <w:rPr>
          <w:rFonts w:ascii="Aptos" w:eastAsia="Times New Roman" w:hAnsi="Aptos" w:cs="Times New Roman"/>
          <w:bCs/>
          <w:color w:val="000000"/>
          <w:sz w:val="25"/>
          <w:szCs w:val="25"/>
        </w:rPr>
        <w:t>, …, in addition to the program and related services to be provided by the school committee”</w:t>
      </w:r>
      <w:r w:rsidRPr="00401ABB">
        <w:rPr>
          <w:rStyle w:val="FootnoteReference"/>
          <w:rFonts w:ascii="Aptos" w:eastAsia="Times New Roman" w:hAnsi="Aptos" w:cs="Times New Roman"/>
          <w:bCs/>
          <w:color w:val="000000"/>
          <w:sz w:val="25"/>
          <w:szCs w:val="25"/>
        </w:rPr>
        <w:footnoteReference w:id="6"/>
      </w:r>
      <w:r w:rsidRPr="00401ABB">
        <w:rPr>
          <w:rFonts w:ascii="Aptos" w:eastAsia="Times New Roman" w:hAnsi="Aptos" w:cs="Times New Roman"/>
          <w:bCs/>
          <w:color w:val="000000"/>
          <w:sz w:val="25"/>
          <w:szCs w:val="25"/>
        </w:rPr>
        <w:t>.</w:t>
      </w:r>
    </w:p>
    <w:p w14:paraId="7BA427EC" w14:textId="77777777" w:rsidR="00E571A4" w:rsidRPr="00401ABB" w:rsidRDefault="00E571A4" w:rsidP="00E571A4">
      <w:pPr>
        <w:spacing w:after="0" w:line="240" w:lineRule="auto"/>
        <w:rPr>
          <w:rFonts w:ascii="Aptos" w:eastAsia="Times New Roman" w:hAnsi="Aptos" w:cs="Times New Roman"/>
          <w:bCs/>
          <w:color w:val="000000"/>
          <w:sz w:val="25"/>
          <w:szCs w:val="25"/>
        </w:rPr>
      </w:pPr>
    </w:p>
    <w:p w14:paraId="639C8ABC" w14:textId="7D58D991" w:rsidR="00E571A4" w:rsidRPr="00401ABB" w:rsidRDefault="00B52E7D" w:rsidP="00E571A4">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For </w:t>
      </w:r>
      <w:r w:rsidR="00ED68EB">
        <w:rPr>
          <w:rFonts w:ascii="Aptos" w:eastAsia="Times New Roman" w:hAnsi="Aptos" w:cs="Times New Roman"/>
          <w:bCs/>
          <w:color w:val="000000"/>
          <w:sz w:val="25"/>
          <w:szCs w:val="25"/>
        </w:rPr>
        <w:t xml:space="preserve">a </w:t>
      </w:r>
      <w:r w:rsidR="00ED68EB" w:rsidRPr="00401ABB">
        <w:rPr>
          <w:rFonts w:ascii="Aptos" w:eastAsia="Times New Roman" w:hAnsi="Aptos" w:cs="Times New Roman"/>
          <w:bCs/>
          <w:color w:val="000000"/>
          <w:sz w:val="25"/>
          <w:szCs w:val="25"/>
        </w:rPr>
        <w:t xml:space="preserve">State agency </w:t>
      </w:r>
      <w:r>
        <w:rPr>
          <w:rFonts w:ascii="Aptos" w:eastAsia="Times New Roman" w:hAnsi="Aptos" w:cs="Times New Roman"/>
          <w:bCs/>
          <w:color w:val="000000"/>
          <w:sz w:val="25"/>
          <w:szCs w:val="25"/>
        </w:rPr>
        <w:t xml:space="preserve">to be ordered </w:t>
      </w:r>
      <w:r w:rsidR="00ED68EB" w:rsidRPr="00401ABB">
        <w:rPr>
          <w:rFonts w:ascii="Aptos" w:eastAsia="Times New Roman" w:hAnsi="Aptos" w:cs="Times New Roman"/>
          <w:bCs/>
          <w:color w:val="000000"/>
          <w:sz w:val="25"/>
          <w:szCs w:val="25"/>
        </w:rPr>
        <w:t xml:space="preserve">to offer services, </w:t>
      </w:r>
      <w:r>
        <w:rPr>
          <w:rFonts w:ascii="Aptos" w:eastAsia="Times New Roman" w:hAnsi="Aptos" w:cs="Times New Roman"/>
          <w:bCs/>
          <w:color w:val="000000"/>
          <w:sz w:val="25"/>
          <w:szCs w:val="25"/>
        </w:rPr>
        <w:t xml:space="preserve">however, </w:t>
      </w:r>
      <w:r w:rsidR="00ED68EB" w:rsidRPr="00401ABB">
        <w:rPr>
          <w:rFonts w:ascii="Aptos" w:eastAsia="Times New Roman" w:hAnsi="Aptos" w:cs="Times New Roman"/>
          <w:bCs/>
          <w:color w:val="000000"/>
          <w:sz w:val="25"/>
          <w:szCs w:val="25"/>
        </w:rPr>
        <w:t>the student must</w:t>
      </w:r>
      <w:r w:rsidR="00071018">
        <w:rPr>
          <w:rFonts w:ascii="Aptos" w:eastAsia="Times New Roman" w:hAnsi="Aptos" w:cs="Times New Roman"/>
          <w:bCs/>
          <w:color w:val="000000"/>
          <w:sz w:val="25"/>
          <w:szCs w:val="25"/>
        </w:rPr>
        <w:t>, as a preliminary matter,</w:t>
      </w:r>
      <w:r w:rsidR="00ED68EB" w:rsidRPr="00401ABB">
        <w:rPr>
          <w:rFonts w:ascii="Aptos" w:eastAsia="Times New Roman" w:hAnsi="Aptos" w:cs="Times New Roman"/>
          <w:bCs/>
          <w:color w:val="000000"/>
          <w:sz w:val="25"/>
          <w:szCs w:val="25"/>
        </w:rPr>
        <w:t xml:space="preserve"> be eligible to receive those services from that state agency</w:t>
      </w:r>
      <w:r w:rsidR="00ED68EB" w:rsidRPr="00401ABB">
        <w:rPr>
          <w:rStyle w:val="FootnoteReference"/>
          <w:rFonts w:ascii="Aptos" w:eastAsia="Times New Roman" w:hAnsi="Aptos" w:cs="Times New Roman"/>
          <w:bCs/>
          <w:color w:val="000000"/>
          <w:sz w:val="25"/>
          <w:szCs w:val="25"/>
        </w:rPr>
        <w:footnoteReference w:id="7"/>
      </w:r>
      <w:r w:rsidR="00ED68EB" w:rsidRPr="00401ABB">
        <w:rPr>
          <w:rFonts w:ascii="Aptos" w:eastAsia="Times New Roman" w:hAnsi="Aptos" w:cs="Times New Roman"/>
          <w:bCs/>
          <w:color w:val="000000"/>
          <w:sz w:val="25"/>
          <w:szCs w:val="25"/>
        </w:rPr>
        <w:t>.</w:t>
      </w:r>
    </w:p>
    <w:p w14:paraId="6E75570B" w14:textId="77777777" w:rsidR="00E571A4" w:rsidRPr="00401ABB" w:rsidRDefault="00E571A4" w:rsidP="00E571A4">
      <w:pPr>
        <w:spacing w:after="0" w:line="240" w:lineRule="auto"/>
        <w:rPr>
          <w:rFonts w:ascii="Aptos" w:hAnsi="Aptos" w:cs="Times New Roman"/>
          <w:b/>
          <w:bCs/>
          <w:sz w:val="25"/>
          <w:szCs w:val="25"/>
        </w:rPr>
      </w:pPr>
    </w:p>
    <w:p w14:paraId="26992BB2" w14:textId="2554B64F" w:rsidR="00E571A4" w:rsidRPr="00401ABB" w:rsidRDefault="00E571A4" w:rsidP="00E60DCD">
      <w:pPr>
        <w:pStyle w:val="Heading1"/>
      </w:pPr>
      <w:r w:rsidRPr="00401ABB">
        <w:t>APPLICATION OF LEGAL STANDARD</w:t>
      </w:r>
    </w:p>
    <w:p w14:paraId="5D2E1850" w14:textId="77777777" w:rsidR="00E571A4" w:rsidRPr="00401ABB" w:rsidRDefault="00E571A4" w:rsidP="00E571A4">
      <w:pPr>
        <w:spacing w:after="0" w:line="240" w:lineRule="auto"/>
        <w:rPr>
          <w:rFonts w:ascii="Aptos" w:hAnsi="Aptos" w:cs="Times New Roman"/>
          <w:sz w:val="25"/>
          <w:szCs w:val="25"/>
        </w:rPr>
      </w:pPr>
    </w:p>
    <w:p w14:paraId="474CB6C6" w14:textId="1FD457E2" w:rsidR="00ED1DFF" w:rsidRDefault="00E571A4" w:rsidP="00ED1DFF">
      <w:pPr>
        <w:spacing w:after="0" w:line="240" w:lineRule="auto"/>
        <w:rPr>
          <w:rFonts w:ascii="Aptos" w:hAnsi="Aptos" w:cs="Times New Roman"/>
          <w:sz w:val="25"/>
          <w:szCs w:val="25"/>
        </w:rPr>
      </w:pPr>
      <w:r w:rsidRPr="00401ABB">
        <w:rPr>
          <w:rFonts w:ascii="Aptos" w:hAnsi="Aptos" w:cs="Times New Roman"/>
          <w:sz w:val="25"/>
          <w:szCs w:val="25"/>
        </w:rPr>
        <w:t xml:space="preserve">The District </w:t>
      </w:r>
      <w:r w:rsidR="0018667A">
        <w:rPr>
          <w:rFonts w:ascii="Aptos" w:hAnsi="Aptos" w:cs="Times New Roman"/>
          <w:sz w:val="25"/>
          <w:szCs w:val="25"/>
        </w:rPr>
        <w:t xml:space="preserve">seeks </w:t>
      </w:r>
      <w:r w:rsidRPr="00401ABB">
        <w:rPr>
          <w:rFonts w:ascii="Aptos" w:hAnsi="Aptos" w:cs="Times New Roman"/>
          <w:sz w:val="25"/>
          <w:szCs w:val="25"/>
        </w:rPr>
        <w:t xml:space="preserve">joinder of </w:t>
      </w:r>
      <w:r>
        <w:rPr>
          <w:rFonts w:ascii="Aptos" w:hAnsi="Aptos" w:cs="Times New Roman"/>
          <w:sz w:val="25"/>
          <w:szCs w:val="25"/>
        </w:rPr>
        <w:t>DMH</w:t>
      </w:r>
      <w:r w:rsidRPr="00401ABB">
        <w:rPr>
          <w:rFonts w:ascii="Aptos" w:hAnsi="Aptos" w:cs="Times New Roman"/>
          <w:sz w:val="25"/>
          <w:szCs w:val="25"/>
        </w:rPr>
        <w:t>, a state agency, in a matter involving a dispute</w:t>
      </w:r>
      <w:r w:rsidR="00AB1D2D">
        <w:rPr>
          <w:rFonts w:ascii="Aptos" w:hAnsi="Aptos" w:cs="Times New Roman"/>
          <w:sz w:val="25"/>
          <w:szCs w:val="25"/>
        </w:rPr>
        <w:t xml:space="preserve"> with respect to </w:t>
      </w:r>
      <w:r w:rsidR="002D1CA9">
        <w:rPr>
          <w:rFonts w:ascii="Aptos" w:hAnsi="Aptos" w:cs="Times New Roman"/>
          <w:sz w:val="25"/>
          <w:szCs w:val="25"/>
        </w:rPr>
        <w:t xml:space="preserve">Student’s placement – specifically, whether Student requires </w:t>
      </w:r>
      <w:r w:rsidR="002D7945">
        <w:rPr>
          <w:rFonts w:ascii="Aptos" w:hAnsi="Aptos" w:cs="Times New Roman"/>
          <w:sz w:val="25"/>
          <w:szCs w:val="25"/>
        </w:rPr>
        <w:t xml:space="preserve">a residential educational program to receive a FAPE.  </w:t>
      </w:r>
      <w:r w:rsidR="00BE56FD">
        <w:rPr>
          <w:rFonts w:ascii="Aptos" w:hAnsi="Aptos" w:cs="Times New Roman"/>
          <w:sz w:val="25"/>
          <w:szCs w:val="25"/>
        </w:rPr>
        <w:t>I</w:t>
      </w:r>
      <w:r w:rsidR="00DB5830">
        <w:rPr>
          <w:rFonts w:ascii="Aptos" w:hAnsi="Aptos" w:cs="Times New Roman"/>
          <w:sz w:val="25"/>
          <w:szCs w:val="25"/>
        </w:rPr>
        <w:t>t is undisputed that</w:t>
      </w:r>
      <w:r w:rsidR="002D1CA9">
        <w:rPr>
          <w:rFonts w:ascii="Aptos" w:hAnsi="Aptos" w:cs="Times New Roman"/>
          <w:sz w:val="25"/>
          <w:szCs w:val="25"/>
        </w:rPr>
        <w:t>:</w:t>
      </w:r>
      <w:r w:rsidR="00DB5830">
        <w:rPr>
          <w:rFonts w:ascii="Aptos" w:hAnsi="Aptos" w:cs="Times New Roman"/>
          <w:sz w:val="25"/>
          <w:szCs w:val="25"/>
        </w:rPr>
        <w:t xml:space="preserve"> </w:t>
      </w:r>
      <w:r w:rsidR="002D1CA9">
        <w:rPr>
          <w:rFonts w:ascii="Aptos" w:hAnsi="Aptos" w:cs="Times New Roman"/>
          <w:sz w:val="25"/>
          <w:szCs w:val="25"/>
        </w:rPr>
        <w:t xml:space="preserve">(1) </w:t>
      </w:r>
      <w:r w:rsidR="00ED1DFF">
        <w:rPr>
          <w:rFonts w:ascii="Aptos" w:hAnsi="Aptos" w:cs="Times New Roman"/>
          <w:sz w:val="25"/>
          <w:szCs w:val="25"/>
        </w:rPr>
        <w:t>Student was found to meet the clinical criteria for DMH services under 104 CMR 29.04(</w:t>
      </w:r>
      <w:r w:rsidR="008336E1">
        <w:rPr>
          <w:rFonts w:ascii="Aptos" w:hAnsi="Aptos" w:cs="Times New Roman"/>
          <w:sz w:val="25"/>
          <w:szCs w:val="25"/>
        </w:rPr>
        <w:t>3</w:t>
      </w:r>
      <w:r w:rsidR="00ED1DFF">
        <w:rPr>
          <w:rFonts w:ascii="Aptos" w:hAnsi="Aptos" w:cs="Times New Roman"/>
          <w:sz w:val="25"/>
          <w:szCs w:val="25"/>
        </w:rPr>
        <w:t>) on April 28, 2025</w:t>
      </w:r>
      <w:r w:rsidR="006432AF">
        <w:rPr>
          <w:rFonts w:ascii="Aptos" w:hAnsi="Aptos" w:cs="Times New Roman"/>
          <w:sz w:val="25"/>
          <w:szCs w:val="25"/>
        </w:rPr>
        <w:t>; (2)</w:t>
      </w:r>
      <w:r w:rsidR="0018667A">
        <w:rPr>
          <w:rFonts w:ascii="Aptos" w:hAnsi="Aptos" w:cs="Times New Roman"/>
          <w:sz w:val="25"/>
          <w:szCs w:val="25"/>
        </w:rPr>
        <w:t xml:space="preserve"> </w:t>
      </w:r>
      <w:r w:rsidR="00ED1DFF">
        <w:rPr>
          <w:rFonts w:ascii="Aptos" w:hAnsi="Aptos" w:cs="Times New Roman"/>
          <w:sz w:val="25"/>
          <w:szCs w:val="25"/>
        </w:rPr>
        <w:t>at the same time, was found not to need DMH services under 104 CMR 29.04</w:t>
      </w:r>
      <w:r w:rsidR="004D7C5B">
        <w:rPr>
          <w:rFonts w:ascii="Aptos" w:hAnsi="Aptos" w:cs="Times New Roman"/>
          <w:sz w:val="25"/>
          <w:szCs w:val="25"/>
        </w:rPr>
        <w:t xml:space="preserve">(4) and </w:t>
      </w:r>
      <w:r w:rsidR="00ED1DFF">
        <w:rPr>
          <w:rFonts w:ascii="Aptos" w:hAnsi="Aptos" w:cs="Times New Roman"/>
          <w:sz w:val="25"/>
          <w:szCs w:val="25"/>
        </w:rPr>
        <w:t>(</w:t>
      </w:r>
      <w:r w:rsidR="00015689">
        <w:rPr>
          <w:rFonts w:ascii="Aptos" w:hAnsi="Aptos" w:cs="Times New Roman"/>
          <w:sz w:val="25"/>
          <w:szCs w:val="25"/>
        </w:rPr>
        <w:t>5</w:t>
      </w:r>
      <w:r w:rsidR="00ED1DFF">
        <w:rPr>
          <w:rFonts w:ascii="Aptos" w:hAnsi="Aptos" w:cs="Times New Roman"/>
          <w:sz w:val="25"/>
          <w:szCs w:val="25"/>
        </w:rPr>
        <w:t>)</w:t>
      </w:r>
      <w:r w:rsidR="006432AF">
        <w:rPr>
          <w:rFonts w:ascii="Aptos" w:hAnsi="Aptos" w:cs="Times New Roman"/>
          <w:sz w:val="25"/>
          <w:szCs w:val="25"/>
        </w:rPr>
        <w:t>;</w:t>
      </w:r>
      <w:r w:rsidR="00ED1DFF">
        <w:rPr>
          <w:rFonts w:ascii="Aptos" w:hAnsi="Aptos" w:cs="Times New Roman"/>
          <w:sz w:val="25"/>
          <w:szCs w:val="25"/>
        </w:rPr>
        <w:t xml:space="preserve"> and </w:t>
      </w:r>
      <w:r w:rsidR="006432AF">
        <w:rPr>
          <w:rFonts w:ascii="Aptos" w:hAnsi="Aptos" w:cs="Times New Roman"/>
          <w:sz w:val="25"/>
          <w:szCs w:val="25"/>
        </w:rPr>
        <w:t xml:space="preserve">(3) </w:t>
      </w:r>
      <w:r w:rsidR="00ED1DFF">
        <w:rPr>
          <w:rFonts w:ascii="Aptos" w:hAnsi="Aptos" w:cs="Times New Roman"/>
          <w:sz w:val="25"/>
          <w:szCs w:val="25"/>
        </w:rPr>
        <w:t xml:space="preserve">that this determination has not been appealed.  </w:t>
      </w:r>
      <w:r w:rsidR="000E1CA9">
        <w:rPr>
          <w:rFonts w:ascii="Aptos" w:hAnsi="Aptos" w:cs="Times New Roman"/>
          <w:sz w:val="25"/>
          <w:szCs w:val="25"/>
        </w:rPr>
        <w:t xml:space="preserve">Further, </w:t>
      </w:r>
      <w:r w:rsidR="00332328">
        <w:rPr>
          <w:rFonts w:ascii="Aptos" w:hAnsi="Aptos" w:cs="Times New Roman"/>
          <w:sz w:val="25"/>
          <w:szCs w:val="25"/>
        </w:rPr>
        <w:t>Student has not reapplied</w:t>
      </w:r>
      <w:r w:rsidR="00332328">
        <w:rPr>
          <w:rStyle w:val="FootnoteReference"/>
          <w:rFonts w:ascii="Aptos" w:hAnsi="Aptos" w:cs="Times New Roman"/>
          <w:sz w:val="25"/>
          <w:szCs w:val="25"/>
        </w:rPr>
        <w:footnoteReference w:id="8"/>
      </w:r>
      <w:r w:rsidR="00332328">
        <w:rPr>
          <w:rFonts w:ascii="Aptos" w:hAnsi="Aptos" w:cs="Times New Roman"/>
          <w:sz w:val="25"/>
          <w:szCs w:val="25"/>
        </w:rPr>
        <w:t xml:space="preserve"> for DMH services</w:t>
      </w:r>
      <w:r w:rsidR="00287519">
        <w:rPr>
          <w:rFonts w:ascii="Aptos" w:hAnsi="Aptos" w:cs="Times New Roman"/>
          <w:sz w:val="25"/>
          <w:szCs w:val="25"/>
        </w:rPr>
        <w:t xml:space="preserve"> based upon a change of circumstances</w:t>
      </w:r>
      <w:r w:rsidR="00DC3A6E">
        <w:rPr>
          <w:rFonts w:ascii="Aptos" w:hAnsi="Aptos" w:cs="Times New Roman"/>
          <w:sz w:val="25"/>
          <w:szCs w:val="25"/>
        </w:rPr>
        <w:t xml:space="preserve"> under 104 CMR </w:t>
      </w:r>
      <w:r w:rsidR="00DC3A6E">
        <w:rPr>
          <w:rFonts w:ascii="Aptos" w:hAnsi="Aptos" w:cs="Times New Roman"/>
          <w:sz w:val="25"/>
          <w:szCs w:val="25"/>
        </w:rPr>
        <w:lastRenderedPageBreak/>
        <w:t>29.04(</w:t>
      </w:r>
      <w:r w:rsidR="002E4B09">
        <w:rPr>
          <w:rFonts w:ascii="Aptos" w:hAnsi="Aptos" w:cs="Times New Roman"/>
          <w:sz w:val="25"/>
          <w:szCs w:val="25"/>
        </w:rPr>
        <w:t>5</w:t>
      </w:r>
      <w:r w:rsidR="000B179D">
        <w:rPr>
          <w:rFonts w:ascii="Aptos" w:hAnsi="Aptos" w:cs="Times New Roman"/>
          <w:sz w:val="25"/>
          <w:szCs w:val="25"/>
        </w:rPr>
        <w:t>)</w:t>
      </w:r>
      <w:r w:rsidR="002E4B09">
        <w:rPr>
          <w:rFonts w:ascii="Aptos" w:hAnsi="Aptos" w:cs="Times New Roman"/>
          <w:sz w:val="25"/>
          <w:szCs w:val="25"/>
        </w:rPr>
        <w:t>(f)</w:t>
      </w:r>
      <w:r w:rsidR="00DC3A6E">
        <w:rPr>
          <w:rFonts w:ascii="Aptos" w:hAnsi="Aptos" w:cs="Times New Roman"/>
          <w:sz w:val="25"/>
          <w:szCs w:val="25"/>
        </w:rPr>
        <w:t xml:space="preserve">.  </w:t>
      </w:r>
      <w:r w:rsidR="00ED1DFF">
        <w:rPr>
          <w:rFonts w:ascii="Aptos" w:hAnsi="Aptos" w:cs="Times New Roman"/>
          <w:sz w:val="25"/>
          <w:szCs w:val="25"/>
        </w:rPr>
        <w:t xml:space="preserve">Thus, I must first determine whether a </w:t>
      </w:r>
      <w:r w:rsidR="00346F1B">
        <w:rPr>
          <w:rFonts w:ascii="Aptos" w:hAnsi="Aptos" w:cs="Times New Roman"/>
          <w:sz w:val="25"/>
          <w:szCs w:val="25"/>
        </w:rPr>
        <w:t xml:space="preserve">final </w:t>
      </w:r>
      <w:r w:rsidR="00ED1DFF">
        <w:rPr>
          <w:rFonts w:ascii="Aptos" w:hAnsi="Aptos" w:cs="Times New Roman"/>
          <w:sz w:val="25"/>
          <w:szCs w:val="25"/>
        </w:rPr>
        <w:t>finding of clinical eligibility</w:t>
      </w:r>
      <w:r w:rsidR="007939F6">
        <w:rPr>
          <w:rFonts w:ascii="Aptos" w:hAnsi="Aptos" w:cs="Times New Roman"/>
          <w:sz w:val="25"/>
          <w:szCs w:val="25"/>
        </w:rPr>
        <w:t xml:space="preserve">, albeit in the context of </w:t>
      </w:r>
      <w:r w:rsidR="00ED1DFF">
        <w:rPr>
          <w:rFonts w:ascii="Aptos" w:hAnsi="Aptos" w:cs="Times New Roman"/>
          <w:sz w:val="25"/>
          <w:szCs w:val="25"/>
        </w:rPr>
        <w:t xml:space="preserve">a lack of a need for services </w:t>
      </w:r>
      <w:r w:rsidR="007939F6">
        <w:rPr>
          <w:rFonts w:ascii="Aptos" w:hAnsi="Aptos" w:cs="Times New Roman"/>
          <w:sz w:val="25"/>
          <w:szCs w:val="25"/>
        </w:rPr>
        <w:t xml:space="preserve">meets the standard for </w:t>
      </w:r>
      <w:r w:rsidR="00ED1DFF">
        <w:rPr>
          <w:rFonts w:ascii="Aptos" w:hAnsi="Aptos" w:cs="Times New Roman"/>
          <w:sz w:val="25"/>
          <w:szCs w:val="25"/>
        </w:rPr>
        <w:t>joinder of DMH.  Only if I determine</w:t>
      </w:r>
      <w:r w:rsidR="00F053A8">
        <w:rPr>
          <w:rFonts w:ascii="Aptos" w:hAnsi="Aptos" w:cs="Times New Roman"/>
          <w:sz w:val="25"/>
          <w:szCs w:val="25"/>
        </w:rPr>
        <w:t xml:space="preserve"> that</w:t>
      </w:r>
      <w:r w:rsidR="00ED1DFF">
        <w:rPr>
          <w:rFonts w:ascii="Aptos" w:hAnsi="Aptos" w:cs="Times New Roman"/>
          <w:sz w:val="25"/>
          <w:szCs w:val="25"/>
        </w:rPr>
        <w:t xml:space="preserve"> I maintain authority to join DMH in </w:t>
      </w:r>
      <w:r w:rsidR="00F053A8">
        <w:rPr>
          <w:rFonts w:ascii="Aptos" w:hAnsi="Aptos" w:cs="Times New Roman"/>
          <w:sz w:val="25"/>
          <w:szCs w:val="25"/>
        </w:rPr>
        <w:t>these circumstances</w:t>
      </w:r>
      <w:r w:rsidR="00ED1DFF">
        <w:rPr>
          <w:rFonts w:ascii="Aptos" w:hAnsi="Aptos" w:cs="Times New Roman"/>
          <w:sz w:val="25"/>
          <w:szCs w:val="25"/>
        </w:rPr>
        <w:t xml:space="preserve">, can I then consider whether joinder is warranted under </w:t>
      </w:r>
      <w:r w:rsidR="00346F1B">
        <w:rPr>
          <w:rFonts w:ascii="Aptos" w:hAnsi="Aptos" w:cs="Times New Roman"/>
          <w:i/>
          <w:iCs/>
          <w:sz w:val="25"/>
          <w:szCs w:val="25"/>
        </w:rPr>
        <w:t xml:space="preserve">Hearing </w:t>
      </w:r>
      <w:r w:rsidR="00ED1DFF">
        <w:rPr>
          <w:rFonts w:ascii="Aptos" w:hAnsi="Aptos" w:cs="Times New Roman"/>
          <w:i/>
          <w:iCs/>
          <w:sz w:val="25"/>
          <w:szCs w:val="25"/>
        </w:rPr>
        <w:t>Rule I(J)</w:t>
      </w:r>
      <w:r w:rsidR="00ED1DFF">
        <w:rPr>
          <w:rFonts w:ascii="Aptos" w:hAnsi="Aptos" w:cs="Times New Roman"/>
          <w:sz w:val="25"/>
          <w:szCs w:val="25"/>
        </w:rPr>
        <w:t>.</w:t>
      </w:r>
    </w:p>
    <w:p w14:paraId="6A9A231F" w14:textId="77777777" w:rsidR="00D81175" w:rsidRDefault="00D81175" w:rsidP="00ED1DFF">
      <w:pPr>
        <w:spacing w:after="0" w:line="240" w:lineRule="auto"/>
        <w:rPr>
          <w:rFonts w:ascii="Aptos" w:hAnsi="Aptos" w:cs="Times New Roman"/>
          <w:sz w:val="25"/>
          <w:szCs w:val="25"/>
        </w:rPr>
      </w:pPr>
    </w:p>
    <w:p w14:paraId="736E5AFC" w14:textId="78D86A25" w:rsidR="00392E51" w:rsidRDefault="00D81175" w:rsidP="00ED1DFF">
      <w:pPr>
        <w:spacing w:after="0" w:line="240" w:lineRule="auto"/>
        <w:rPr>
          <w:rFonts w:ascii="Aptos" w:hAnsi="Aptos" w:cs="Times New Roman"/>
          <w:sz w:val="25"/>
          <w:szCs w:val="25"/>
        </w:rPr>
      </w:pPr>
      <w:r>
        <w:rPr>
          <w:rFonts w:ascii="Aptos" w:hAnsi="Aptos" w:cs="Times New Roman"/>
          <w:sz w:val="25"/>
          <w:szCs w:val="25"/>
        </w:rPr>
        <w:t xml:space="preserve">I therefore </w:t>
      </w:r>
      <w:r w:rsidR="002D28CD">
        <w:rPr>
          <w:rFonts w:ascii="Aptos" w:hAnsi="Aptos" w:cs="Times New Roman"/>
          <w:sz w:val="25"/>
          <w:szCs w:val="25"/>
        </w:rPr>
        <w:t xml:space="preserve">examine </w:t>
      </w:r>
      <w:r>
        <w:rPr>
          <w:rFonts w:ascii="Aptos" w:hAnsi="Aptos" w:cs="Times New Roman"/>
          <w:sz w:val="25"/>
          <w:szCs w:val="25"/>
        </w:rPr>
        <w:t xml:space="preserve">the DMH regulatory scheme </w:t>
      </w:r>
      <w:r w:rsidR="0084015D">
        <w:rPr>
          <w:rFonts w:ascii="Aptos" w:hAnsi="Aptos" w:cs="Times New Roman"/>
          <w:sz w:val="25"/>
          <w:szCs w:val="25"/>
        </w:rPr>
        <w:t xml:space="preserve">pertaining to application for DMH services, </w:t>
      </w:r>
      <w:r>
        <w:rPr>
          <w:rFonts w:ascii="Aptos" w:hAnsi="Aptos" w:cs="Times New Roman"/>
          <w:sz w:val="25"/>
          <w:szCs w:val="25"/>
        </w:rPr>
        <w:t>set forth in 104 CMR 29.00</w:t>
      </w:r>
      <w:r w:rsidR="0084015D">
        <w:rPr>
          <w:rFonts w:ascii="Aptos" w:hAnsi="Aptos" w:cs="Times New Roman"/>
          <w:sz w:val="25"/>
          <w:szCs w:val="25"/>
        </w:rPr>
        <w:t xml:space="preserve">.  I note at the outset that “client” </w:t>
      </w:r>
      <w:r w:rsidR="001549EC">
        <w:rPr>
          <w:rFonts w:ascii="Aptos" w:hAnsi="Aptos" w:cs="Times New Roman"/>
          <w:sz w:val="25"/>
          <w:szCs w:val="25"/>
        </w:rPr>
        <w:t xml:space="preserve">is defined in 104 CMR 29.02 to be “an individual for whom DMH services have been authorized and who is enrolled in a DMH service”.  </w:t>
      </w:r>
      <w:r w:rsidR="00E64EEC">
        <w:rPr>
          <w:rFonts w:ascii="Aptos" w:hAnsi="Aptos" w:cs="Times New Roman"/>
          <w:sz w:val="25"/>
          <w:szCs w:val="25"/>
        </w:rPr>
        <w:t xml:space="preserve">It is also clear from the regulations that the determination that an applicant “meets clinical criteria” is distinct from a determination that an applicant “needs DMH services”.  Not only </w:t>
      </w:r>
      <w:r w:rsidR="00D70400">
        <w:rPr>
          <w:rFonts w:ascii="Aptos" w:hAnsi="Aptos" w:cs="Times New Roman"/>
          <w:sz w:val="25"/>
          <w:szCs w:val="25"/>
        </w:rPr>
        <w:t>is</w:t>
      </w:r>
      <w:r w:rsidR="00C71BB3">
        <w:rPr>
          <w:rFonts w:ascii="Aptos" w:hAnsi="Aptos" w:cs="Times New Roman"/>
          <w:sz w:val="25"/>
          <w:szCs w:val="25"/>
        </w:rPr>
        <w:t xml:space="preserve"> each determination addressed through separate </w:t>
      </w:r>
      <w:r w:rsidR="00370C33">
        <w:rPr>
          <w:rFonts w:ascii="Aptos" w:hAnsi="Aptos" w:cs="Times New Roman"/>
          <w:sz w:val="25"/>
          <w:szCs w:val="25"/>
        </w:rPr>
        <w:t>subsections</w:t>
      </w:r>
      <w:r w:rsidR="00C71BB3">
        <w:rPr>
          <w:rFonts w:ascii="Aptos" w:hAnsi="Aptos" w:cs="Times New Roman"/>
          <w:sz w:val="25"/>
          <w:szCs w:val="25"/>
        </w:rPr>
        <w:t xml:space="preserve"> (</w:t>
      </w:r>
      <w:r w:rsidR="002E0672">
        <w:rPr>
          <w:rFonts w:ascii="Aptos" w:hAnsi="Aptos" w:cs="Times New Roman"/>
          <w:sz w:val="25"/>
          <w:szCs w:val="25"/>
        </w:rPr>
        <w:t>i.e., 104 CMR 29.04(3) address</w:t>
      </w:r>
      <w:r w:rsidR="001B7BF0">
        <w:rPr>
          <w:rFonts w:ascii="Aptos" w:hAnsi="Aptos" w:cs="Times New Roman"/>
          <w:sz w:val="25"/>
          <w:szCs w:val="25"/>
        </w:rPr>
        <w:t>es</w:t>
      </w:r>
      <w:r w:rsidR="002E0672">
        <w:rPr>
          <w:rFonts w:ascii="Aptos" w:hAnsi="Aptos" w:cs="Times New Roman"/>
          <w:sz w:val="25"/>
          <w:szCs w:val="25"/>
        </w:rPr>
        <w:t xml:space="preserve"> </w:t>
      </w:r>
      <w:r w:rsidR="001B7BF0">
        <w:rPr>
          <w:rFonts w:ascii="Aptos" w:hAnsi="Aptos" w:cs="Times New Roman"/>
          <w:sz w:val="25"/>
          <w:szCs w:val="25"/>
        </w:rPr>
        <w:t xml:space="preserve">the </w:t>
      </w:r>
      <w:r w:rsidR="002E0672">
        <w:rPr>
          <w:rFonts w:ascii="Aptos" w:hAnsi="Aptos" w:cs="Times New Roman"/>
          <w:sz w:val="25"/>
          <w:szCs w:val="25"/>
        </w:rPr>
        <w:t xml:space="preserve">clinical criteria </w:t>
      </w:r>
      <w:r w:rsidR="001B7BF0">
        <w:rPr>
          <w:rFonts w:ascii="Aptos" w:hAnsi="Aptos" w:cs="Times New Roman"/>
          <w:sz w:val="25"/>
          <w:szCs w:val="25"/>
        </w:rPr>
        <w:t xml:space="preserve">requirement, while 104 CMR 29.04(4) </w:t>
      </w:r>
      <w:r w:rsidR="00CB4C07">
        <w:rPr>
          <w:rFonts w:ascii="Aptos" w:hAnsi="Aptos" w:cs="Times New Roman"/>
          <w:sz w:val="25"/>
          <w:szCs w:val="25"/>
        </w:rPr>
        <w:t xml:space="preserve">and (5) </w:t>
      </w:r>
      <w:r w:rsidR="001B7BF0">
        <w:rPr>
          <w:rFonts w:ascii="Aptos" w:hAnsi="Aptos" w:cs="Times New Roman"/>
          <w:sz w:val="25"/>
          <w:szCs w:val="25"/>
        </w:rPr>
        <w:t xml:space="preserve">address the </w:t>
      </w:r>
      <w:r w:rsidR="00F56804">
        <w:rPr>
          <w:rFonts w:ascii="Aptos" w:hAnsi="Aptos" w:cs="Times New Roman"/>
          <w:sz w:val="25"/>
          <w:szCs w:val="25"/>
        </w:rPr>
        <w:t xml:space="preserve">need for DMH services requirement), but </w:t>
      </w:r>
      <w:r w:rsidR="00A30121">
        <w:rPr>
          <w:rFonts w:ascii="Aptos" w:hAnsi="Aptos" w:cs="Times New Roman"/>
          <w:sz w:val="25"/>
          <w:szCs w:val="25"/>
        </w:rPr>
        <w:t xml:space="preserve">according to </w:t>
      </w:r>
      <w:r w:rsidR="006E13C9">
        <w:rPr>
          <w:rFonts w:ascii="Aptos" w:hAnsi="Aptos" w:cs="Times New Roman"/>
          <w:sz w:val="25"/>
          <w:szCs w:val="25"/>
        </w:rPr>
        <w:t xml:space="preserve">the </w:t>
      </w:r>
      <w:r w:rsidR="00F155C8">
        <w:rPr>
          <w:rFonts w:ascii="Aptos" w:hAnsi="Aptos" w:cs="Times New Roman"/>
          <w:sz w:val="25"/>
          <w:szCs w:val="25"/>
        </w:rPr>
        <w:t>“General Provisions”</w:t>
      </w:r>
      <w:r w:rsidR="00532447">
        <w:rPr>
          <w:rFonts w:ascii="Aptos" w:hAnsi="Aptos" w:cs="Times New Roman"/>
          <w:sz w:val="25"/>
          <w:szCs w:val="25"/>
        </w:rPr>
        <w:t xml:space="preserve"> section of the </w:t>
      </w:r>
      <w:r w:rsidR="00EB4799">
        <w:rPr>
          <w:rFonts w:ascii="Aptos" w:hAnsi="Aptos" w:cs="Times New Roman"/>
          <w:sz w:val="25"/>
          <w:szCs w:val="25"/>
        </w:rPr>
        <w:t xml:space="preserve">regulations, </w:t>
      </w:r>
      <w:r w:rsidR="00B31D9D">
        <w:rPr>
          <w:rFonts w:ascii="Aptos" w:hAnsi="Aptos" w:cs="Times New Roman"/>
          <w:sz w:val="25"/>
          <w:szCs w:val="25"/>
        </w:rPr>
        <w:t xml:space="preserve">104 CMR 29.03(2), </w:t>
      </w:r>
      <w:r w:rsidR="006E13C9">
        <w:rPr>
          <w:rFonts w:ascii="Aptos" w:hAnsi="Aptos" w:cs="Times New Roman"/>
          <w:sz w:val="25"/>
          <w:szCs w:val="25"/>
        </w:rPr>
        <w:t>they are separate and distinct requirements</w:t>
      </w:r>
      <w:r w:rsidR="00236B8A">
        <w:rPr>
          <w:rFonts w:ascii="Aptos" w:hAnsi="Aptos" w:cs="Times New Roman"/>
          <w:sz w:val="25"/>
          <w:szCs w:val="25"/>
        </w:rPr>
        <w:t xml:space="preserve">, </w:t>
      </w:r>
      <w:r w:rsidR="00B4468E">
        <w:rPr>
          <w:rFonts w:ascii="Aptos" w:hAnsi="Aptos" w:cs="Times New Roman"/>
          <w:sz w:val="25"/>
          <w:szCs w:val="25"/>
        </w:rPr>
        <w:t xml:space="preserve">and an applicant must meet both </w:t>
      </w:r>
      <w:r w:rsidR="00236B8A">
        <w:rPr>
          <w:rFonts w:ascii="Aptos" w:hAnsi="Aptos" w:cs="Times New Roman"/>
          <w:sz w:val="25"/>
          <w:szCs w:val="25"/>
        </w:rPr>
        <w:t xml:space="preserve">to be </w:t>
      </w:r>
      <w:r w:rsidR="00EB4799">
        <w:rPr>
          <w:rFonts w:ascii="Aptos" w:hAnsi="Aptos" w:cs="Times New Roman"/>
          <w:sz w:val="25"/>
          <w:szCs w:val="25"/>
        </w:rPr>
        <w:t>“authorized to receive a DMH service”</w:t>
      </w:r>
      <w:r w:rsidR="00236B8A">
        <w:rPr>
          <w:rStyle w:val="FootnoteReference"/>
          <w:rFonts w:ascii="Aptos" w:hAnsi="Aptos" w:cs="Times New Roman"/>
          <w:sz w:val="25"/>
          <w:szCs w:val="25"/>
        </w:rPr>
        <w:footnoteReference w:id="9"/>
      </w:r>
      <w:r w:rsidR="00402888">
        <w:rPr>
          <w:rFonts w:ascii="Aptos" w:hAnsi="Aptos" w:cs="Times New Roman"/>
          <w:sz w:val="25"/>
          <w:szCs w:val="25"/>
        </w:rPr>
        <w:t xml:space="preserve">.  </w:t>
      </w:r>
    </w:p>
    <w:p w14:paraId="426A1D8A" w14:textId="77777777" w:rsidR="00392E51" w:rsidRDefault="00392E51" w:rsidP="00ED1DFF">
      <w:pPr>
        <w:spacing w:after="0" w:line="240" w:lineRule="auto"/>
        <w:rPr>
          <w:rFonts w:ascii="Aptos" w:hAnsi="Aptos" w:cs="Times New Roman"/>
          <w:sz w:val="25"/>
          <w:szCs w:val="25"/>
        </w:rPr>
      </w:pPr>
    </w:p>
    <w:p w14:paraId="274A3C4A" w14:textId="1167A3F1" w:rsidR="00D81175" w:rsidRDefault="005D207D" w:rsidP="00ED1DFF">
      <w:pPr>
        <w:spacing w:after="0" w:line="240" w:lineRule="auto"/>
        <w:rPr>
          <w:rFonts w:ascii="Aptos" w:hAnsi="Aptos" w:cs="Times New Roman"/>
          <w:sz w:val="25"/>
          <w:szCs w:val="25"/>
        </w:rPr>
      </w:pPr>
      <w:r>
        <w:rPr>
          <w:rFonts w:ascii="Aptos" w:hAnsi="Aptos" w:cs="Times New Roman"/>
          <w:sz w:val="25"/>
          <w:szCs w:val="25"/>
        </w:rPr>
        <w:t xml:space="preserve">Each requirement is also reviewed at different times in the overall timeline </w:t>
      </w:r>
      <w:r w:rsidR="005B1D58">
        <w:rPr>
          <w:rFonts w:ascii="Aptos" w:hAnsi="Aptos" w:cs="Times New Roman"/>
          <w:sz w:val="25"/>
          <w:szCs w:val="25"/>
        </w:rPr>
        <w:t xml:space="preserve">DMH must follow </w:t>
      </w:r>
      <w:r w:rsidR="006A3A0C">
        <w:rPr>
          <w:rFonts w:ascii="Aptos" w:hAnsi="Aptos" w:cs="Times New Roman"/>
          <w:sz w:val="25"/>
          <w:szCs w:val="25"/>
        </w:rPr>
        <w:t>to respond to a completed application</w:t>
      </w:r>
      <w:r w:rsidR="008735F2">
        <w:rPr>
          <w:rStyle w:val="FootnoteReference"/>
          <w:rFonts w:ascii="Aptos" w:hAnsi="Aptos" w:cs="Times New Roman"/>
          <w:sz w:val="25"/>
          <w:szCs w:val="25"/>
        </w:rPr>
        <w:footnoteReference w:id="10"/>
      </w:r>
      <w:r w:rsidR="00370C33">
        <w:rPr>
          <w:rFonts w:ascii="Aptos" w:hAnsi="Aptos" w:cs="Times New Roman"/>
          <w:sz w:val="25"/>
          <w:szCs w:val="25"/>
        </w:rPr>
        <w:t xml:space="preserve">.  </w:t>
      </w:r>
      <w:r w:rsidR="0087106A">
        <w:rPr>
          <w:rFonts w:ascii="Aptos" w:hAnsi="Aptos" w:cs="Times New Roman"/>
          <w:sz w:val="25"/>
          <w:szCs w:val="25"/>
        </w:rPr>
        <w:t xml:space="preserve">According to 104 CMR 29.04(1)(f)(3), </w:t>
      </w:r>
      <w:r w:rsidR="0055093E">
        <w:rPr>
          <w:rFonts w:ascii="Aptos" w:hAnsi="Aptos" w:cs="Times New Roman"/>
          <w:sz w:val="25"/>
          <w:szCs w:val="25"/>
        </w:rPr>
        <w:t>i</w:t>
      </w:r>
      <w:r w:rsidR="00C97228">
        <w:rPr>
          <w:rFonts w:ascii="Aptos" w:hAnsi="Aptos" w:cs="Times New Roman"/>
          <w:sz w:val="25"/>
          <w:szCs w:val="25"/>
        </w:rPr>
        <w:t>nitially</w:t>
      </w:r>
      <w:r w:rsidR="0091147B">
        <w:rPr>
          <w:rFonts w:ascii="Aptos" w:hAnsi="Aptos" w:cs="Times New Roman"/>
          <w:sz w:val="25"/>
          <w:szCs w:val="25"/>
        </w:rPr>
        <w:t>,</w:t>
      </w:r>
      <w:r w:rsidR="00C97228">
        <w:rPr>
          <w:rFonts w:ascii="Aptos" w:hAnsi="Aptos" w:cs="Times New Roman"/>
          <w:sz w:val="25"/>
          <w:szCs w:val="25"/>
        </w:rPr>
        <w:t xml:space="preserve"> a determination</w:t>
      </w:r>
      <w:r w:rsidR="0055093E">
        <w:rPr>
          <w:rFonts w:ascii="Aptos" w:hAnsi="Aptos" w:cs="Times New Roman"/>
          <w:sz w:val="25"/>
          <w:szCs w:val="25"/>
        </w:rPr>
        <w:t xml:space="preserve"> must be made</w:t>
      </w:r>
      <w:r w:rsidR="00C97228">
        <w:rPr>
          <w:rFonts w:ascii="Aptos" w:hAnsi="Aptos" w:cs="Times New Roman"/>
          <w:sz w:val="25"/>
          <w:szCs w:val="25"/>
        </w:rPr>
        <w:t xml:space="preserve"> within 20 business days of receipt of the completed application </w:t>
      </w:r>
      <w:r w:rsidR="00A63676">
        <w:rPr>
          <w:rFonts w:ascii="Aptos" w:hAnsi="Aptos" w:cs="Times New Roman"/>
          <w:sz w:val="25"/>
          <w:szCs w:val="25"/>
        </w:rPr>
        <w:t>that an applicant “meets clinical criteria set forth in 104 CMR 29.04(3)”</w:t>
      </w:r>
      <w:r w:rsidR="0055093E">
        <w:rPr>
          <w:rFonts w:ascii="Aptos" w:hAnsi="Aptos" w:cs="Times New Roman"/>
          <w:sz w:val="25"/>
          <w:szCs w:val="25"/>
        </w:rPr>
        <w:t>.  T</w:t>
      </w:r>
      <w:r w:rsidR="00A63676">
        <w:rPr>
          <w:rFonts w:ascii="Aptos" w:hAnsi="Aptos" w:cs="Times New Roman"/>
          <w:sz w:val="25"/>
          <w:szCs w:val="25"/>
        </w:rPr>
        <w:t>hen</w:t>
      </w:r>
      <w:r w:rsidR="00CD3A78">
        <w:rPr>
          <w:rFonts w:ascii="Aptos" w:hAnsi="Aptos" w:cs="Times New Roman"/>
          <w:sz w:val="25"/>
          <w:szCs w:val="25"/>
        </w:rPr>
        <w:t>, 104 CMR 29.04(1)(f)(5) provides that</w:t>
      </w:r>
      <w:r w:rsidR="00A63676">
        <w:rPr>
          <w:rFonts w:ascii="Aptos" w:hAnsi="Aptos" w:cs="Times New Roman"/>
          <w:sz w:val="25"/>
          <w:szCs w:val="25"/>
        </w:rPr>
        <w:t xml:space="preserve"> </w:t>
      </w:r>
      <w:r w:rsidR="00591057">
        <w:rPr>
          <w:rFonts w:ascii="Aptos" w:hAnsi="Aptos" w:cs="Times New Roman"/>
          <w:sz w:val="25"/>
          <w:szCs w:val="25"/>
        </w:rPr>
        <w:t xml:space="preserve">DMH has </w:t>
      </w:r>
      <w:r w:rsidR="00A63676">
        <w:rPr>
          <w:rFonts w:ascii="Aptos" w:hAnsi="Aptos" w:cs="Times New Roman"/>
          <w:sz w:val="25"/>
          <w:szCs w:val="25"/>
        </w:rPr>
        <w:t xml:space="preserve">an additional 20 business days from that initial determination </w:t>
      </w:r>
      <w:r w:rsidR="00A50E40">
        <w:rPr>
          <w:rFonts w:ascii="Aptos" w:hAnsi="Aptos" w:cs="Times New Roman"/>
          <w:sz w:val="25"/>
          <w:szCs w:val="25"/>
        </w:rPr>
        <w:t xml:space="preserve">to determine that an applicant </w:t>
      </w:r>
      <w:r w:rsidR="00CE3676">
        <w:rPr>
          <w:rFonts w:ascii="Aptos" w:hAnsi="Aptos" w:cs="Times New Roman"/>
          <w:sz w:val="25"/>
          <w:szCs w:val="25"/>
        </w:rPr>
        <w:t xml:space="preserve">“needs DMH services as set forth in 104 CMR 29.04(4)”.  </w:t>
      </w:r>
      <w:r w:rsidR="00BB7589">
        <w:rPr>
          <w:rFonts w:ascii="Aptos" w:hAnsi="Aptos" w:cs="Times New Roman"/>
          <w:sz w:val="25"/>
          <w:szCs w:val="25"/>
        </w:rPr>
        <w:t xml:space="preserve">Additionally, </w:t>
      </w:r>
      <w:r w:rsidR="00417676">
        <w:rPr>
          <w:rFonts w:ascii="Aptos" w:hAnsi="Aptos" w:cs="Times New Roman"/>
          <w:sz w:val="25"/>
          <w:szCs w:val="25"/>
        </w:rPr>
        <w:t xml:space="preserve">the regulations </w:t>
      </w:r>
      <w:r w:rsidR="00EE5CF4">
        <w:rPr>
          <w:rFonts w:ascii="Aptos" w:hAnsi="Aptos" w:cs="Times New Roman"/>
          <w:sz w:val="25"/>
          <w:szCs w:val="25"/>
        </w:rPr>
        <w:t xml:space="preserve">explicitly </w:t>
      </w:r>
      <w:r w:rsidR="00F85053">
        <w:rPr>
          <w:rFonts w:ascii="Aptos" w:hAnsi="Aptos" w:cs="Times New Roman"/>
          <w:sz w:val="25"/>
          <w:szCs w:val="25"/>
        </w:rPr>
        <w:t>require</w:t>
      </w:r>
      <w:r w:rsidR="00EE5CF4">
        <w:rPr>
          <w:rFonts w:ascii="Aptos" w:hAnsi="Aptos" w:cs="Times New Roman"/>
          <w:sz w:val="25"/>
          <w:szCs w:val="25"/>
        </w:rPr>
        <w:t xml:space="preserve"> </w:t>
      </w:r>
      <w:r w:rsidR="00417676">
        <w:rPr>
          <w:rFonts w:ascii="Aptos" w:hAnsi="Aptos" w:cs="Times New Roman"/>
          <w:sz w:val="25"/>
          <w:szCs w:val="25"/>
        </w:rPr>
        <w:t>that upon a determination</w:t>
      </w:r>
      <w:r w:rsidR="005B1D58">
        <w:rPr>
          <w:rFonts w:ascii="Aptos" w:hAnsi="Aptos" w:cs="Times New Roman"/>
          <w:sz w:val="25"/>
          <w:szCs w:val="25"/>
        </w:rPr>
        <w:t xml:space="preserve"> that an applicant meets </w:t>
      </w:r>
      <w:r w:rsidR="00417676">
        <w:rPr>
          <w:rFonts w:ascii="Aptos" w:hAnsi="Aptos" w:cs="Times New Roman"/>
          <w:sz w:val="25"/>
          <w:szCs w:val="25"/>
        </w:rPr>
        <w:t>clinical criteria</w:t>
      </w:r>
      <w:r w:rsidR="00FA46B6">
        <w:rPr>
          <w:rFonts w:ascii="Aptos" w:hAnsi="Aptos" w:cs="Times New Roman"/>
          <w:sz w:val="25"/>
          <w:szCs w:val="25"/>
        </w:rPr>
        <w:t>,</w:t>
      </w:r>
      <w:r w:rsidR="00417676">
        <w:rPr>
          <w:rFonts w:ascii="Aptos" w:hAnsi="Aptos" w:cs="Times New Roman"/>
          <w:sz w:val="25"/>
          <w:szCs w:val="25"/>
        </w:rPr>
        <w:t xml:space="preserve"> the next step is to </w:t>
      </w:r>
      <w:proofErr w:type="gramStart"/>
      <w:r w:rsidR="00417676">
        <w:rPr>
          <w:rFonts w:ascii="Aptos" w:hAnsi="Aptos" w:cs="Times New Roman"/>
          <w:sz w:val="25"/>
          <w:szCs w:val="25"/>
        </w:rPr>
        <w:t>make a determination</w:t>
      </w:r>
      <w:proofErr w:type="gramEnd"/>
      <w:r w:rsidR="00417676">
        <w:rPr>
          <w:rFonts w:ascii="Aptos" w:hAnsi="Aptos" w:cs="Times New Roman"/>
          <w:sz w:val="25"/>
          <w:szCs w:val="25"/>
        </w:rPr>
        <w:t xml:space="preserve"> of need </w:t>
      </w:r>
      <w:r w:rsidR="002A360B">
        <w:rPr>
          <w:rFonts w:ascii="Aptos" w:hAnsi="Aptos" w:cs="Times New Roman"/>
          <w:sz w:val="25"/>
          <w:szCs w:val="25"/>
        </w:rPr>
        <w:t>for DMH services</w:t>
      </w:r>
      <w:r w:rsidR="002A360B">
        <w:rPr>
          <w:rStyle w:val="FootnoteReference"/>
          <w:rFonts w:ascii="Aptos" w:hAnsi="Aptos" w:cs="Times New Roman"/>
          <w:sz w:val="25"/>
          <w:szCs w:val="25"/>
        </w:rPr>
        <w:footnoteReference w:id="11"/>
      </w:r>
      <w:r w:rsidR="002A360B">
        <w:rPr>
          <w:rFonts w:ascii="Aptos" w:hAnsi="Aptos" w:cs="Times New Roman"/>
          <w:sz w:val="25"/>
          <w:szCs w:val="25"/>
        </w:rPr>
        <w:t xml:space="preserve">.  </w:t>
      </w:r>
      <w:r w:rsidR="00F41F00">
        <w:rPr>
          <w:rFonts w:ascii="Aptos" w:hAnsi="Aptos" w:cs="Times New Roman"/>
          <w:sz w:val="25"/>
          <w:szCs w:val="25"/>
        </w:rPr>
        <w:t xml:space="preserve">Finally, </w:t>
      </w:r>
      <w:r w:rsidR="007D190C">
        <w:rPr>
          <w:rFonts w:ascii="Aptos" w:hAnsi="Aptos" w:cs="Times New Roman"/>
          <w:sz w:val="25"/>
          <w:szCs w:val="25"/>
        </w:rPr>
        <w:t xml:space="preserve">separate </w:t>
      </w:r>
      <w:r w:rsidR="00F41F00">
        <w:rPr>
          <w:rFonts w:ascii="Aptos" w:hAnsi="Aptos" w:cs="Times New Roman"/>
          <w:sz w:val="25"/>
          <w:szCs w:val="25"/>
        </w:rPr>
        <w:t>appeal rights attach to each criteri</w:t>
      </w:r>
      <w:r w:rsidR="00FA46B6">
        <w:rPr>
          <w:rFonts w:ascii="Aptos" w:hAnsi="Aptos" w:cs="Times New Roman"/>
          <w:sz w:val="25"/>
          <w:szCs w:val="25"/>
        </w:rPr>
        <w:t>on</w:t>
      </w:r>
      <w:r w:rsidR="0003077C">
        <w:rPr>
          <w:rFonts w:ascii="Aptos" w:hAnsi="Aptos" w:cs="Times New Roman"/>
          <w:sz w:val="25"/>
          <w:szCs w:val="25"/>
        </w:rPr>
        <w:t xml:space="preserve"> upon</w:t>
      </w:r>
      <w:r w:rsidR="000A0A4B">
        <w:rPr>
          <w:rFonts w:ascii="Aptos" w:hAnsi="Aptos" w:cs="Times New Roman"/>
          <w:sz w:val="25"/>
          <w:szCs w:val="25"/>
        </w:rPr>
        <w:t xml:space="preserve"> a </w:t>
      </w:r>
      <w:r w:rsidR="0081005F">
        <w:rPr>
          <w:rFonts w:ascii="Aptos" w:hAnsi="Aptos" w:cs="Times New Roman"/>
          <w:sz w:val="25"/>
          <w:szCs w:val="25"/>
        </w:rPr>
        <w:t xml:space="preserve">denial, </w:t>
      </w:r>
      <w:r w:rsidR="00305F10">
        <w:rPr>
          <w:rFonts w:ascii="Aptos" w:hAnsi="Aptos" w:cs="Times New Roman"/>
          <w:sz w:val="25"/>
          <w:szCs w:val="25"/>
        </w:rPr>
        <w:t xml:space="preserve">with </w:t>
      </w:r>
      <w:r w:rsidR="0081005F">
        <w:rPr>
          <w:rFonts w:ascii="Aptos" w:hAnsi="Aptos" w:cs="Times New Roman"/>
          <w:sz w:val="25"/>
          <w:szCs w:val="25"/>
        </w:rPr>
        <w:t xml:space="preserve">denials based on clinical criteria </w:t>
      </w:r>
      <w:r w:rsidR="00305F10">
        <w:rPr>
          <w:rFonts w:ascii="Aptos" w:hAnsi="Aptos" w:cs="Times New Roman"/>
          <w:sz w:val="25"/>
          <w:szCs w:val="25"/>
        </w:rPr>
        <w:t xml:space="preserve">being </w:t>
      </w:r>
      <w:r w:rsidR="0081005F">
        <w:rPr>
          <w:rFonts w:ascii="Aptos" w:hAnsi="Aptos" w:cs="Times New Roman"/>
          <w:sz w:val="25"/>
          <w:szCs w:val="25"/>
        </w:rPr>
        <w:t>governed by 104 CMR 29.16(3)</w:t>
      </w:r>
      <w:r w:rsidR="0025685A">
        <w:rPr>
          <w:rStyle w:val="FootnoteReference"/>
          <w:rFonts w:ascii="Aptos" w:hAnsi="Aptos" w:cs="Times New Roman"/>
          <w:sz w:val="25"/>
          <w:szCs w:val="25"/>
        </w:rPr>
        <w:footnoteReference w:id="12"/>
      </w:r>
      <w:r w:rsidR="0081005F">
        <w:rPr>
          <w:rFonts w:ascii="Aptos" w:hAnsi="Aptos" w:cs="Times New Roman"/>
          <w:sz w:val="25"/>
          <w:szCs w:val="25"/>
        </w:rPr>
        <w:t>, while denials based on need for DMH services are governed by 104 CMR 29.16(4)</w:t>
      </w:r>
      <w:r w:rsidR="0025685A">
        <w:rPr>
          <w:rStyle w:val="FootnoteReference"/>
          <w:rFonts w:ascii="Aptos" w:hAnsi="Aptos" w:cs="Times New Roman"/>
          <w:sz w:val="25"/>
          <w:szCs w:val="25"/>
        </w:rPr>
        <w:footnoteReference w:id="13"/>
      </w:r>
      <w:r w:rsidR="0081005F">
        <w:rPr>
          <w:rFonts w:ascii="Aptos" w:hAnsi="Aptos" w:cs="Times New Roman"/>
          <w:sz w:val="25"/>
          <w:szCs w:val="25"/>
        </w:rPr>
        <w:t xml:space="preserve">. </w:t>
      </w:r>
    </w:p>
    <w:p w14:paraId="00F82580" w14:textId="77777777" w:rsidR="00C6292B" w:rsidRDefault="00C6292B" w:rsidP="00ED1DFF">
      <w:pPr>
        <w:spacing w:after="0" w:line="240" w:lineRule="auto"/>
        <w:rPr>
          <w:rFonts w:ascii="Aptos" w:hAnsi="Aptos" w:cs="Times New Roman"/>
          <w:sz w:val="25"/>
          <w:szCs w:val="25"/>
        </w:rPr>
      </w:pPr>
    </w:p>
    <w:p w14:paraId="3B1CBCA5" w14:textId="0552088C" w:rsidR="00CD2845" w:rsidRDefault="00C6292B" w:rsidP="00ED1DFF">
      <w:pPr>
        <w:spacing w:after="0" w:line="240" w:lineRule="auto"/>
        <w:rPr>
          <w:rFonts w:ascii="Aptos" w:hAnsi="Aptos" w:cs="Times New Roman"/>
          <w:sz w:val="25"/>
          <w:szCs w:val="25"/>
        </w:rPr>
      </w:pPr>
      <w:r>
        <w:rPr>
          <w:rFonts w:ascii="Aptos" w:hAnsi="Aptos" w:cs="Times New Roman"/>
          <w:sz w:val="25"/>
          <w:szCs w:val="25"/>
        </w:rPr>
        <w:t>The District</w:t>
      </w:r>
      <w:r w:rsidR="00542538">
        <w:rPr>
          <w:rFonts w:ascii="Aptos" w:hAnsi="Aptos" w:cs="Times New Roman"/>
          <w:sz w:val="25"/>
          <w:szCs w:val="25"/>
        </w:rPr>
        <w:t xml:space="preserve"> relies on 104 CMR 29.04(5)(f) to support its argument </w:t>
      </w:r>
      <w:r>
        <w:rPr>
          <w:rFonts w:ascii="Aptos" w:hAnsi="Aptos" w:cs="Times New Roman"/>
          <w:sz w:val="25"/>
          <w:szCs w:val="25"/>
        </w:rPr>
        <w:t xml:space="preserve">that </w:t>
      </w:r>
      <w:r w:rsidR="00756AB6">
        <w:rPr>
          <w:rFonts w:ascii="Aptos" w:hAnsi="Aptos" w:cs="Times New Roman"/>
          <w:sz w:val="25"/>
          <w:szCs w:val="25"/>
        </w:rPr>
        <w:t xml:space="preserve">joinder is warranted when </w:t>
      </w:r>
      <w:r w:rsidR="009855BE">
        <w:rPr>
          <w:rFonts w:ascii="Aptos" w:hAnsi="Aptos" w:cs="Times New Roman"/>
          <w:sz w:val="25"/>
          <w:szCs w:val="25"/>
        </w:rPr>
        <w:t xml:space="preserve">DMH has determined an applicant meets clinical criteria but does not </w:t>
      </w:r>
      <w:r w:rsidR="009855BE">
        <w:rPr>
          <w:rFonts w:ascii="Aptos" w:hAnsi="Aptos" w:cs="Times New Roman"/>
          <w:sz w:val="25"/>
          <w:szCs w:val="25"/>
        </w:rPr>
        <w:lastRenderedPageBreak/>
        <w:t>need DMH services</w:t>
      </w:r>
      <w:r w:rsidR="00BB34FE">
        <w:rPr>
          <w:rFonts w:ascii="Aptos" w:hAnsi="Aptos" w:cs="Times New Roman"/>
          <w:sz w:val="25"/>
          <w:szCs w:val="25"/>
        </w:rPr>
        <w:t xml:space="preserve">, </w:t>
      </w:r>
      <w:r w:rsidR="003325FA">
        <w:rPr>
          <w:rFonts w:ascii="Aptos" w:hAnsi="Aptos" w:cs="Times New Roman"/>
          <w:sz w:val="25"/>
          <w:szCs w:val="25"/>
        </w:rPr>
        <w:t xml:space="preserve">as meeting clinical criteria </w:t>
      </w:r>
      <w:r w:rsidR="001B491E">
        <w:rPr>
          <w:rFonts w:ascii="Aptos" w:hAnsi="Aptos" w:cs="Times New Roman"/>
          <w:sz w:val="25"/>
          <w:szCs w:val="25"/>
        </w:rPr>
        <w:t xml:space="preserve">is sufficient to bring a </w:t>
      </w:r>
      <w:r w:rsidR="00362B9E">
        <w:rPr>
          <w:rFonts w:ascii="Aptos" w:hAnsi="Aptos" w:cs="Times New Roman"/>
          <w:sz w:val="25"/>
          <w:szCs w:val="25"/>
        </w:rPr>
        <w:t>s</w:t>
      </w:r>
      <w:r w:rsidR="001B491E">
        <w:rPr>
          <w:rFonts w:ascii="Aptos" w:hAnsi="Aptos" w:cs="Times New Roman"/>
          <w:sz w:val="25"/>
          <w:szCs w:val="25"/>
        </w:rPr>
        <w:t xml:space="preserve">tudent under the </w:t>
      </w:r>
      <w:r w:rsidR="00F80393">
        <w:rPr>
          <w:rFonts w:ascii="Aptos" w:hAnsi="Aptos" w:cs="Times New Roman"/>
          <w:sz w:val="25"/>
          <w:szCs w:val="25"/>
        </w:rPr>
        <w:t>rules, regulations and policies of DMH</w:t>
      </w:r>
      <w:r w:rsidR="00655F75">
        <w:rPr>
          <w:rStyle w:val="FootnoteReference"/>
          <w:rFonts w:ascii="Aptos" w:hAnsi="Aptos" w:cs="Times New Roman"/>
          <w:sz w:val="25"/>
          <w:szCs w:val="25"/>
        </w:rPr>
        <w:footnoteReference w:id="14"/>
      </w:r>
      <w:r w:rsidR="00542538">
        <w:rPr>
          <w:rFonts w:ascii="Aptos" w:hAnsi="Aptos" w:cs="Times New Roman"/>
          <w:sz w:val="25"/>
          <w:szCs w:val="25"/>
        </w:rPr>
        <w:t xml:space="preserve">.  However, </w:t>
      </w:r>
      <w:r w:rsidR="007C7FA6">
        <w:rPr>
          <w:rFonts w:ascii="Aptos" w:hAnsi="Aptos" w:cs="Times New Roman"/>
          <w:sz w:val="25"/>
          <w:szCs w:val="25"/>
        </w:rPr>
        <w:t>this</w:t>
      </w:r>
      <w:r w:rsidR="00542538">
        <w:rPr>
          <w:rFonts w:ascii="Aptos" w:hAnsi="Aptos" w:cs="Times New Roman"/>
          <w:sz w:val="25"/>
          <w:szCs w:val="25"/>
        </w:rPr>
        <w:t xml:space="preserve"> provision </w:t>
      </w:r>
      <w:r w:rsidR="00116822">
        <w:rPr>
          <w:rFonts w:ascii="Aptos" w:hAnsi="Aptos" w:cs="Times New Roman"/>
          <w:sz w:val="25"/>
          <w:szCs w:val="25"/>
        </w:rPr>
        <w:t xml:space="preserve">falls under </w:t>
      </w:r>
      <w:r w:rsidR="001121C0">
        <w:rPr>
          <w:rFonts w:ascii="Aptos" w:hAnsi="Aptos" w:cs="Times New Roman"/>
          <w:sz w:val="25"/>
          <w:szCs w:val="25"/>
        </w:rPr>
        <w:t xml:space="preserve">the </w:t>
      </w:r>
      <w:r w:rsidR="007C7FA6">
        <w:rPr>
          <w:rFonts w:ascii="Aptos" w:hAnsi="Aptos" w:cs="Times New Roman"/>
          <w:sz w:val="25"/>
          <w:szCs w:val="25"/>
        </w:rPr>
        <w:t xml:space="preserve">regulatory </w:t>
      </w:r>
      <w:r w:rsidR="001121C0">
        <w:rPr>
          <w:rFonts w:ascii="Aptos" w:hAnsi="Aptos" w:cs="Times New Roman"/>
          <w:sz w:val="25"/>
          <w:szCs w:val="25"/>
        </w:rPr>
        <w:t xml:space="preserve">subsection relating to </w:t>
      </w:r>
      <w:r w:rsidR="00D50417">
        <w:rPr>
          <w:rFonts w:ascii="Aptos" w:hAnsi="Aptos" w:cs="Times New Roman"/>
          <w:sz w:val="25"/>
          <w:szCs w:val="25"/>
        </w:rPr>
        <w:t xml:space="preserve">denials </w:t>
      </w:r>
      <w:r w:rsidR="00413DAA">
        <w:rPr>
          <w:rFonts w:ascii="Aptos" w:hAnsi="Aptos" w:cs="Times New Roman"/>
          <w:sz w:val="25"/>
          <w:szCs w:val="25"/>
        </w:rPr>
        <w:t>due to not needing DMH services</w:t>
      </w:r>
      <w:r w:rsidR="001121C0">
        <w:rPr>
          <w:rFonts w:ascii="Aptos" w:hAnsi="Aptos" w:cs="Times New Roman"/>
          <w:sz w:val="25"/>
          <w:szCs w:val="25"/>
        </w:rPr>
        <w:t xml:space="preserve">, not the subsection for </w:t>
      </w:r>
      <w:r w:rsidR="00413DAA">
        <w:rPr>
          <w:rFonts w:ascii="Aptos" w:hAnsi="Aptos" w:cs="Times New Roman"/>
          <w:sz w:val="25"/>
          <w:szCs w:val="25"/>
        </w:rPr>
        <w:t>denials due to not meeting clinical criteria</w:t>
      </w:r>
      <w:r w:rsidR="007D2E5E">
        <w:rPr>
          <w:rStyle w:val="FootnoteReference"/>
          <w:rFonts w:ascii="Aptos" w:hAnsi="Aptos" w:cs="Times New Roman"/>
          <w:sz w:val="25"/>
          <w:szCs w:val="25"/>
        </w:rPr>
        <w:footnoteReference w:id="15"/>
      </w:r>
      <w:r w:rsidR="00413DAA">
        <w:rPr>
          <w:rFonts w:ascii="Aptos" w:hAnsi="Aptos" w:cs="Times New Roman"/>
          <w:sz w:val="25"/>
          <w:szCs w:val="25"/>
        </w:rPr>
        <w:t xml:space="preserve">. </w:t>
      </w:r>
      <w:r w:rsidR="00E7603E">
        <w:rPr>
          <w:rFonts w:ascii="Aptos" w:hAnsi="Aptos" w:cs="Times New Roman"/>
          <w:sz w:val="25"/>
          <w:szCs w:val="25"/>
        </w:rPr>
        <w:t xml:space="preserve"> Thus, I do not find </w:t>
      </w:r>
      <w:r w:rsidR="00BB34FE">
        <w:rPr>
          <w:rFonts w:ascii="Aptos" w:hAnsi="Aptos" w:cs="Times New Roman"/>
          <w:sz w:val="25"/>
          <w:szCs w:val="25"/>
        </w:rPr>
        <w:t>that</w:t>
      </w:r>
      <w:r w:rsidR="00E7603E">
        <w:rPr>
          <w:rFonts w:ascii="Aptos" w:hAnsi="Aptos" w:cs="Times New Roman"/>
          <w:sz w:val="25"/>
          <w:szCs w:val="25"/>
        </w:rPr>
        <w:t xml:space="preserve"> provision </w:t>
      </w:r>
      <w:r w:rsidR="00464419">
        <w:rPr>
          <w:rFonts w:ascii="Aptos" w:hAnsi="Aptos" w:cs="Times New Roman"/>
          <w:sz w:val="25"/>
          <w:szCs w:val="25"/>
        </w:rPr>
        <w:t>provide</w:t>
      </w:r>
      <w:r w:rsidR="00BB34FE">
        <w:rPr>
          <w:rFonts w:ascii="Aptos" w:hAnsi="Aptos" w:cs="Times New Roman"/>
          <w:sz w:val="25"/>
          <w:szCs w:val="25"/>
        </w:rPr>
        <w:t>s</w:t>
      </w:r>
      <w:r w:rsidR="00464419">
        <w:rPr>
          <w:rFonts w:ascii="Aptos" w:hAnsi="Aptos" w:cs="Times New Roman"/>
          <w:sz w:val="25"/>
          <w:szCs w:val="25"/>
        </w:rPr>
        <w:t xml:space="preserve"> regulatory authority to support joinder of DMH.</w:t>
      </w:r>
      <w:r w:rsidR="00413DAA">
        <w:rPr>
          <w:rFonts w:ascii="Aptos" w:hAnsi="Aptos" w:cs="Times New Roman"/>
          <w:sz w:val="25"/>
          <w:szCs w:val="25"/>
        </w:rPr>
        <w:t xml:space="preserve"> </w:t>
      </w:r>
    </w:p>
    <w:p w14:paraId="6C94F4A4" w14:textId="77777777" w:rsidR="00CD2845" w:rsidRDefault="00CD2845" w:rsidP="00ED1DFF">
      <w:pPr>
        <w:spacing w:after="0" w:line="240" w:lineRule="auto"/>
        <w:rPr>
          <w:rFonts w:ascii="Aptos" w:hAnsi="Aptos" w:cs="Times New Roman"/>
          <w:sz w:val="25"/>
          <w:szCs w:val="25"/>
        </w:rPr>
      </w:pPr>
    </w:p>
    <w:p w14:paraId="78EDD620" w14:textId="550F76C0" w:rsidR="009544CD" w:rsidRPr="00923A83" w:rsidRDefault="00CD2845" w:rsidP="009544CD">
      <w:pPr>
        <w:spacing w:after="0" w:line="240" w:lineRule="auto"/>
        <w:rPr>
          <w:rFonts w:ascii="Aptos" w:hAnsi="Aptos" w:cs="Times New Roman"/>
          <w:sz w:val="25"/>
          <w:szCs w:val="25"/>
        </w:rPr>
      </w:pPr>
      <w:r>
        <w:rPr>
          <w:rFonts w:ascii="Aptos" w:hAnsi="Aptos" w:cs="Times New Roman"/>
          <w:sz w:val="25"/>
          <w:szCs w:val="25"/>
        </w:rPr>
        <w:t xml:space="preserve">The District also points to </w:t>
      </w:r>
      <w:r w:rsidR="0078712A">
        <w:rPr>
          <w:rFonts w:ascii="Aptos" w:hAnsi="Aptos" w:cs="Times New Roman"/>
          <w:sz w:val="25"/>
          <w:szCs w:val="25"/>
        </w:rPr>
        <w:t xml:space="preserve">several BSEA cases in support of its </w:t>
      </w:r>
      <w:r w:rsidR="00D21FF1">
        <w:rPr>
          <w:rFonts w:ascii="Aptos" w:hAnsi="Aptos" w:cs="Times New Roman"/>
          <w:sz w:val="25"/>
          <w:szCs w:val="25"/>
        </w:rPr>
        <w:t xml:space="preserve">request for </w:t>
      </w:r>
      <w:proofErr w:type="gramStart"/>
      <w:r w:rsidR="00D21FF1">
        <w:rPr>
          <w:rFonts w:ascii="Aptos" w:hAnsi="Aptos" w:cs="Times New Roman"/>
          <w:sz w:val="25"/>
          <w:szCs w:val="25"/>
        </w:rPr>
        <w:t>joinder</w:t>
      </w:r>
      <w:proofErr w:type="gramEnd"/>
      <w:r w:rsidR="00D21FF1">
        <w:rPr>
          <w:rFonts w:ascii="Aptos" w:hAnsi="Aptos" w:cs="Times New Roman"/>
          <w:sz w:val="25"/>
          <w:szCs w:val="25"/>
        </w:rPr>
        <w:t xml:space="preserve">, </w:t>
      </w:r>
      <w:r w:rsidR="002701BE">
        <w:rPr>
          <w:rFonts w:ascii="Aptos" w:hAnsi="Aptos" w:cs="Times New Roman"/>
          <w:sz w:val="25"/>
          <w:szCs w:val="25"/>
        </w:rPr>
        <w:t xml:space="preserve">but I do not find these cases </w:t>
      </w:r>
      <w:r w:rsidR="007C3A85">
        <w:rPr>
          <w:rFonts w:ascii="Aptos" w:hAnsi="Aptos" w:cs="Times New Roman"/>
          <w:sz w:val="25"/>
          <w:szCs w:val="25"/>
        </w:rPr>
        <w:t>support the District’s assertion in the instant matter</w:t>
      </w:r>
      <w:r w:rsidR="002701BE">
        <w:rPr>
          <w:rFonts w:ascii="Aptos" w:hAnsi="Aptos" w:cs="Times New Roman"/>
          <w:sz w:val="25"/>
          <w:szCs w:val="25"/>
        </w:rPr>
        <w:t xml:space="preserve">.  </w:t>
      </w:r>
      <w:r w:rsidR="00D21FF1">
        <w:rPr>
          <w:rFonts w:ascii="Aptos" w:hAnsi="Aptos" w:cs="Times New Roman"/>
          <w:sz w:val="25"/>
          <w:szCs w:val="25"/>
        </w:rPr>
        <w:t>Two cases involve</w:t>
      </w:r>
      <w:r w:rsidR="00E51F5B">
        <w:rPr>
          <w:rFonts w:ascii="Aptos" w:hAnsi="Aptos" w:cs="Times New Roman"/>
          <w:sz w:val="25"/>
          <w:szCs w:val="25"/>
        </w:rPr>
        <w:t>d</w:t>
      </w:r>
      <w:r w:rsidR="00D21FF1">
        <w:rPr>
          <w:rFonts w:ascii="Aptos" w:hAnsi="Aptos" w:cs="Times New Roman"/>
          <w:sz w:val="25"/>
          <w:szCs w:val="25"/>
        </w:rPr>
        <w:t xml:space="preserve"> </w:t>
      </w:r>
      <w:r w:rsidR="00E51F5B">
        <w:rPr>
          <w:rFonts w:ascii="Aptos" w:hAnsi="Aptos" w:cs="Times New Roman"/>
          <w:sz w:val="25"/>
          <w:szCs w:val="25"/>
        </w:rPr>
        <w:t>s</w:t>
      </w:r>
      <w:r w:rsidR="00D21FF1">
        <w:rPr>
          <w:rFonts w:ascii="Aptos" w:hAnsi="Aptos" w:cs="Times New Roman"/>
          <w:sz w:val="25"/>
          <w:szCs w:val="25"/>
        </w:rPr>
        <w:t xml:space="preserve">tudents </w:t>
      </w:r>
      <w:r w:rsidR="007D5822">
        <w:rPr>
          <w:rFonts w:ascii="Aptos" w:hAnsi="Aptos" w:cs="Times New Roman"/>
          <w:sz w:val="25"/>
          <w:szCs w:val="25"/>
        </w:rPr>
        <w:t>where eligibility was not in dispute</w:t>
      </w:r>
      <w:r w:rsidR="009A4FAE">
        <w:rPr>
          <w:rStyle w:val="FootnoteReference"/>
          <w:rFonts w:ascii="Aptos" w:hAnsi="Aptos" w:cs="Times New Roman"/>
          <w:sz w:val="25"/>
          <w:szCs w:val="25"/>
        </w:rPr>
        <w:footnoteReference w:id="16"/>
      </w:r>
      <w:r w:rsidR="006A45F4">
        <w:rPr>
          <w:rFonts w:ascii="Aptos" w:hAnsi="Aptos" w:cs="Times New Roman"/>
          <w:sz w:val="25"/>
          <w:szCs w:val="25"/>
        </w:rPr>
        <w:t xml:space="preserve">, one case involved </w:t>
      </w:r>
      <w:r w:rsidR="00E51F5B">
        <w:rPr>
          <w:rFonts w:ascii="Aptos" w:hAnsi="Aptos" w:cs="Times New Roman"/>
          <w:sz w:val="25"/>
          <w:szCs w:val="25"/>
        </w:rPr>
        <w:t>a student who</w:t>
      </w:r>
      <w:r w:rsidR="00CE11A8">
        <w:rPr>
          <w:rFonts w:ascii="Aptos" w:hAnsi="Aptos" w:cs="Times New Roman"/>
          <w:sz w:val="25"/>
          <w:szCs w:val="25"/>
        </w:rPr>
        <w:t xml:space="preserve"> had a pending</w:t>
      </w:r>
      <w:r w:rsidR="00E51F5B">
        <w:rPr>
          <w:rFonts w:ascii="Aptos" w:hAnsi="Aptos" w:cs="Times New Roman"/>
          <w:sz w:val="25"/>
          <w:szCs w:val="25"/>
        </w:rPr>
        <w:t xml:space="preserve"> application for DMH services</w:t>
      </w:r>
      <w:r w:rsidR="00CE11A8">
        <w:rPr>
          <w:rStyle w:val="FootnoteReference"/>
          <w:rFonts w:ascii="Aptos" w:hAnsi="Aptos" w:cs="Times New Roman"/>
          <w:sz w:val="25"/>
          <w:szCs w:val="25"/>
        </w:rPr>
        <w:footnoteReference w:id="17"/>
      </w:r>
      <w:r w:rsidR="00CE11A8">
        <w:rPr>
          <w:rFonts w:ascii="Aptos" w:hAnsi="Aptos" w:cs="Times New Roman"/>
          <w:sz w:val="25"/>
          <w:szCs w:val="25"/>
        </w:rPr>
        <w:t xml:space="preserve">, and the last case involved a student </w:t>
      </w:r>
      <w:r w:rsidR="00FE47AB">
        <w:rPr>
          <w:rFonts w:ascii="Aptos" w:hAnsi="Aptos" w:cs="Times New Roman"/>
          <w:sz w:val="25"/>
          <w:szCs w:val="25"/>
        </w:rPr>
        <w:t xml:space="preserve">who had a pending appeal of a determination </w:t>
      </w:r>
      <w:r w:rsidR="009C579B">
        <w:rPr>
          <w:rFonts w:ascii="Aptos" w:hAnsi="Aptos" w:cs="Times New Roman"/>
          <w:sz w:val="25"/>
          <w:szCs w:val="25"/>
        </w:rPr>
        <w:t>that</w:t>
      </w:r>
      <w:r w:rsidR="00AB444B">
        <w:rPr>
          <w:rFonts w:ascii="Aptos" w:hAnsi="Aptos" w:cs="Times New Roman"/>
          <w:sz w:val="25"/>
          <w:szCs w:val="25"/>
        </w:rPr>
        <w:t xml:space="preserve"> she</w:t>
      </w:r>
      <w:r w:rsidR="009C579B">
        <w:rPr>
          <w:rFonts w:ascii="Aptos" w:hAnsi="Aptos" w:cs="Times New Roman"/>
          <w:sz w:val="25"/>
          <w:szCs w:val="25"/>
        </w:rPr>
        <w:t xml:space="preserve"> did not </w:t>
      </w:r>
      <w:r w:rsidR="00FE47AB">
        <w:rPr>
          <w:rFonts w:ascii="Aptos" w:hAnsi="Aptos" w:cs="Times New Roman"/>
          <w:sz w:val="25"/>
          <w:szCs w:val="25"/>
        </w:rPr>
        <w:t>meet clinical criteria</w:t>
      </w:r>
      <w:r w:rsidR="00FE47AB">
        <w:rPr>
          <w:rStyle w:val="FootnoteReference"/>
          <w:rFonts w:ascii="Aptos" w:hAnsi="Aptos" w:cs="Times New Roman"/>
          <w:sz w:val="25"/>
          <w:szCs w:val="25"/>
        </w:rPr>
        <w:footnoteReference w:id="18"/>
      </w:r>
      <w:r w:rsidR="00FE47AB">
        <w:rPr>
          <w:rFonts w:ascii="Aptos" w:hAnsi="Aptos" w:cs="Times New Roman"/>
          <w:sz w:val="25"/>
          <w:szCs w:val="25"/>
        </w:rPr>
        <w:t xml:space="preserve">.  </w:t>
      </w:r>
      <w:r w:rsidR="0015233A">
        <w:rPr>
          <w:rFonts w:ascii="Aptos" w:hAnsi="Aptos" w:cs="Times New Roman"/>
          <w:sz w:val="25"/>
          <w:szCs w:val="25"/>
        </w:rPr>
        <w:t xml:space="preserve">Further, while the </w:t>
      </w:r>
      <w:r w:rsidR="00FE47AB">
        <w:rPr>
          <w:rFonts w:ascii="Aptos" w:hAnsi="Aptos" w:cs="Times New Roman"/>
          <w:sz w:val="25"/>
          <w:szCs w:val="25"/>
        </w:rPr>
        <w:t>District conten</w:t>
      </w:r>
      <w:r w:rsidR="00031143">
        <w:rPr>
          <w:rFonts w:ascii="Aptos" w:hAnsi="Aptos" w:cs="Times New Roman"/>
          <w:sz w:val="25"/>
          <w:szCs w:val="25"/>
        </w:rPr>
        <w:t>ds</w:t>
      </w:r>
      <w:r w:rsidR="00FE47AB">
        <w:rPr>
          <w:rFonts w:ascii="Aptos" w:hAnsi="Aptos" w:cs="Times New Roman"/>
          <w:sz w:val="25"/>
          <w:szCs w:val="25"/>
        </w:rPr>
        <w:t xml:space="preserve"> </w:t>
      </w:r>
      <w:r w:rsidR="009859D8">
        <w:rPr>
          <w:rFonts w:ascii="Aptos" w:hAnsi="Aptos" w:cs="Times New Roman"/>
          <w:sz w:val="25"/>
          <w:szCs w:val="25"/>
        </w:rPr>
        <w:t>all</w:t>
      </w:r>
      <w:r w:rsidR="00FE47AB">
        <w:rPr>
          <w:rFonts w:ascii="Aptos" w:hAnsi="Aptos" w:cs="Times New Roman"/>
          <w:sz w:val="25"/>
          <w:szCs w:val="25"/>
        </w:rPr>
        <w:t xml:space="preserve"> three cases relied upon by DMH</w:t>
      </w:r>
      <w:r w:rsidR="00794665">
        <w:rPr>
          <w:rStyle w:val="FootnoteReference"/>
          <w:rFonts w:ascii="Aptos" w:hAnsi="Aptos" w:cs="Times New Roman"/>
          <w:sz w:val="25"/>
          <w:szCs w:val="25"/>
        </w:rPr>
        <w:footnoteReference w:id="19"/>
      </w:r>
      <w:r w:rsidR="00FE47AB">
        <w:rPr>
          <w:rFonts w:ascii="Aptos" w:hAnsi="Aptos" w:cs="Times New Roman"/>
          <w:sz w:val="25"/>
          <w:szCs w:val="25"/>
        </w:rPr>
        <w:t xml:space="preserve"> </w:t>
      </w:r>
      <w:r w:rsidR="002631A8">
        <w:rPr>
          <w:rFonts w:ascii="Aptos" w:hAnsi="Aptos" w:cs="Times New Roman"/>
          <w:sz w:val="25"/>
          <w:szCs w:val="25"/>
        </w:rPr>
        <w:t xml:space="preserve">are </w:t>
      </w:r>
      <w:r w:rsidR="00F550BA">
        <w:rPr>
          <w:rFonts w:ascii="Aptos" w:hAnsi="Aptos" w:cs="Times New Roman"/>
          <w:sz w:val="25"/>
          <w:szCs w:val="25"/>
        </w:rPr>
        <w:t>inapplicabl</w:t>
      </w:r>
      <w:r w:rsidR="00874E29">
        <w:rPr>
          <w:rFonts w:ascii="Aptos" w:hAnsi="Aptos" w:cs="Times New Roman"/>
          <w:sz w:val="25"/>
          <w:szCs w:val="25"/>
        </w:rPr>
        <w:t xml:space="preserve">e </w:t>
      </w:r>
      <w:r w:rsidR="00325354">
        <w:rPr>
          <w:rFonts w:ascii="Aptos" w:hAnsi="Aptos" w:cs="Times New Roman"/>
          <w:sz w:val="25"/>
          <w:szCs w:val="25"/>
        </w:rPr>
        <w:t xml:space="preserve">as they involved </w:t>
      </w:r>
      <w:r w:rsidR="00D134F6">
        <w:rPr>
          <w:rFonts w:ascii="Aptos" w:hAnsi="Aptos" w:cs="Times New Roman"/>
          <w:sz w:val="25"/>
          <w:szCs w:val="25"/>
        </w:rPr>
        <w:t xml:space="preserve">determinations </w:t>
      </w:r>
      <w:r w:rsidR="00031143">
        <w:rPr>
          <w:rFonts w:ascii="Aptos" w:hAnsi="Aptos" w:cs="Times New Roman"/>
          <w:sz w:val="25"/>
          <w:szCs w:val="25"/>
        </w:rPr>
        <w:t>that students did not meet clinical criteria</w:t>
      </w:r>
      <w:r w:rsidR="00266D51">
        <w:rPr>
          <w:rFonts w:ascii="Aptos" w:hAnsi="Aptos" w:cs="Times New Roman"/>
          <w:sz w:val="25"/>
          <w:szCs w:val="25"/>
        </w:rPr>
        <w:t>, i</w:t>
      </w:r>
      <w:r w:rsidR="00EA1C29">
        <w:rPr>
          <w:rFonts w:ascii="Aptos" w:hAnsi="Aptos" w:cs="Times New Roman"/>
          <w:sz w:val="25"/>
          <w:szCs w:val="25"/>
        </w:rPr>
        <w:t xml:space="preserve">n fact, </w:t>
      </w:r>
      <w:r w:rsidR="00EA1C29">
        <w:rPr>
          <w:rFonts w:ascii="Aptos" w:hAnsi="Aptos" w:cs="Times New Roman"/>
          <w:i/>
          <w:iCs/>
          <w:sz w:val="25"/>
          <w:szCs w:val="25"/>
        </w:rPr>
        <w:t xml:space="preserve">In Re: Nashoba Regional School District </w:t>
      </w:r>
      <w:r w:rsidR="00F552DE">
        <w:rPr>
          <w:rFonts w:ascii="Aptos" w:hAnsi="Aptos" w:cs="Times New Roman"/>
          <w:sz w:val="25"/>
          <w:szCs w:val="25"/>
        </w:rPr>
        <w:t xml:space="preserve">pertained to a </w:t>
      </w:r>
      <w:r w:rsidR="00565FC0">
        <w:rPr>
          <w:rFonts w:ascii="Aptos" w:hAnsi="Aptos" w:cs="Times New Roman"/>
          <w:sz w:val="25"/>
          <w:szCs w:val="25"/>
        </w:rPr>
        <w:t xml:space="preserve">determination that the student in that matter did not need DMH services, </w:t>
      </w:r>
      <w:r w:rsidR="001B5370">
        <w:rPr>
          <w:rFonts w:ascii="Aptos" w:hAnsi="Aptos" w:cs="Times New Roman"/>
          <w:sz w:val="25"/>
          <w:szCs w:val="25"/>
        </w:rPr>
        <w:t xml:space="preserve">a determination which had not been appealed prior to issuance of that </w:t>
      </w:r>
      <w:r w:rsidR="00565FC0">
        <w:rPr>
          <w:rFonts w:ascii="Aptos" w:hAnsi="Aptos" w:cs="Times New Roman"/>
          <w:i/>
          <w:iCs/>
          <w:sz w:val="25"/>
          <w:szCs w:val="25"/>
        </w:rPr>
        <w:t>Ruling</w:t>
      </w:r>
      <w:r w:rsidR="00565FC0">
        <w:rPr>
          <w:rStyle w:val="FootnoteReference"/>
          <w:rFonts w:ascii="Aptos" w:hAnsi="Aptos" w:cs="Times New Roman"/>
          <w:sz w:val="25"/>
          <w:szCs w:val="25"/>
        </w:rPr>
        <w:footnoteReference w:id="20"/>
      </w:r>
      <w:r w:rsidR="00565FC0">
        <w:rPr>
          <w:rFonts w:ascii="Aptos" w:hAnsi="Aptos" w:cs="Times New Roman"/>
          <w:sz w:val="25"/>
          <w:szCs w:val="25"/>
        </w:rPr>
        <w:t xml:space="preserve">.  </w:t>
      </w:r>
      <w:r w:rsidR="009544CD">
        <w:rPr>
          <w:rFonts w:ascii="Aptos" w:hAnsi="Aptos" w:cs="Times New Roman"/>
          <w:sz w:val="25"/>
          <w:szCs w:val="25"/>
        </w:rPr>
        <w:t xml:space="preserve">Thus, </w:t>
      </w:r>
      <w:r w:rsidR="00713D4A">
        <w:rPr>
          <w:rFonts w:ascii="Aptos" w:hAnsi="Aptos" w:cs="Times New Roman"/>
          <w:sz w:val="25"/>
          <w:szCs w:val="25"/>
        </w:rPr>
        <w:t xml:space="preserve">I conclude that </w:t>
      </w:r>
      <w:r w:rsidR="00793C20">
        <w:rPr>
          <w:rFonts w:ascii="Aptos" w:hAnsi="Aptos" w:cs="Times New Roman"/>
          <w:sz w:val="25"/>
          <w:szCs w:val="25"/>
        </w:rPr>
        <w:t xml:space="preserve">DMH </w:t>
      </w:r>
      <w:r w:rsidR="0047319B">
        <w:rPr>
          <w:rFonts w:ascii="Aptos" w:hAnsi="Aptos" w:cs="Times New Roman"/>
          <w:sz w:val="25"/>
          <w:szCs w:val="25"/>
        </w:rPr>
        <w:t xml:space="preserve">cannot be joined </w:t>
      </w:r>
      <w:r w:rsidR="00AC0915">
        <w:rPr>
          <w:rFonts w:ascii="Aptos" w:hAnsi="Aptos" w:cs="Times New Roman"/>
          <w:sz w:val="25"/>
          <w:szCs w:val="25"/>
        </w:rPr>
        <w:t>whe</w:t>
      </w:r>
      <w:r w:rsidR="001F126E">
        <w:rPr>
          <w:rFonts w:ascii="Aptos" w:hAnsi="Aptos" w:cs="Times New Roman"/>
          <w:sz w:val="25"/>
          <w:szCs w:val="25"/>
        </w:rPr>
        <w:t>re</w:t>
      </w:r>
      <w:r w:rsidR="000A33A1">
        <w:rPr>
          <w:rFonts w:ascii="Aptos" w:hAnsi="Aptos" w:cs="Times New Roman"/>
          <w:sz w:val="25"/>
          <w:szCs w:val="25"/>
        </w:rPr>
        <w:t>, as in the instant matter,</w:t>
      </w:r>
      <w:r w:rsidR="00AC0915">
        <w:rPr>
          <w:rFonts w:ascii="Aptos" w:hAnsi="Aptos" w:cs="Times New Roman"/>
          <w:sz w:val="25"/>
          <w:szCs w:val="25"/>
        </w:rPr>
        <w:t xml:space="preserve"> it has made an un-appealed determination </w:t>
      </w:r>
      <w:r w:rsidR="001F126E">
        <w:rPr>
          <w:rFonts w:ascii="Aptos" w:hAnsi="Aptos" w:cs="Times New Roman"/>
          <w:sz w:val="25"/>
          <w:szCs w:val="25"/>
        </w:rPr>
        <w:t xml:space="preserve">that an applicant does not need </w:t>
      </w:r>
      <w:r w:rsidR="009544CD">
        <w:rPr>
          <w:rFonts w:ascii="Aptos" w:hAnsi="Aptos" w:cs="Times New Roman"/>
          <w:sz w:val="25"/>
          <w:szCs w:val="25"/>
        </w:rPr>
        <w:t xml:space="preserve">DMH services despite </w:t>
      </w:r>
      <w:r w:rsidR="0047319B">
        <w:rPr>
          <w:rFonts w:ascii="Aptos" w:hAnsi="Aptos" w:cs="Times New Roman"/>
          <w:sz w:val="25"/>
          <w:szCs w:val="25"/>
        </w:rPr>
        <w:t xml:space="preserve">having decided </w:t>
      </w:r>
      <w:r w:rsidR="006644E8">
        <w:rPr>
          <w:rFonts w:ascii="Aptos" w:hAnsi="Aptos" w:cs="Times New Roman"/>
          <w:sz w:val="25"/>
          <w:szCs w:val="25"/>
        </w:rPr>
        <w:t xml:space="preserve">he </w:t>
      </w:r>
      <w:r w:rsidR="0047319B">
        <w:rPr>
          <w:rFonts w:ascii="Aptos" w:hAnsi="Aptos" w:cs="Times New Roman"/>
          <w:sz w:val="25"/>
          <w:szCs w:val="25"/>
        </w:rPr>
        <w:t xml:space="preserve">meets </w:t>
      </w:r>
      <w:r w:rsidR="009544CD">
        <w:rPr>
          <w:rFonts w:ascii="Aptos" w:hAnsi="Aptos" w:cs="Times New Roman"/>
          <w:sz w:val="25"/>
          <w:szCs w:val="25"/>
        </w:rPr>
        <w:t>clinical criteria</w:t>
      </w:r>
      <w:r w:rsidR="00A1327D">
        <w:rPr>
          <w:rFonts w:ascii="Aptos" w:hAnsi="Aptos" w:cs="Times New Roman"/>
          <w:sz w:val="25"/>
          <w:szCs w:val="25"/>
        </w:rPr>
        <w:t xml:space="preserve">.  </w:t>
      </w:r>
      <w:r w:rsidR="00F93653">
        <w:rPr>
          <w:rFonts w:ascii="Aptos" w:hAnsi="Aptos" w:cs="Times New Roman"/>
          <w:sz w:val="25"/>
          <w:szCs w:val="25"/>
        </w:rPr>
        <w:t xml:space="preserve">The DMH regulatory scheme </w:t>
      </w:r>
      <w:proofErr w:type="gramStart"/>
      <w:r w:rsidR="00F93653">
        <w:rPr>
          <w:rFonts w:ascii="Aptos" w:hAnsi="Aptos" w:cs="Times New Roman"/>
          <w:sz w:val="25"/>
          <w:szCs w:val="25"/>
        </w:rPr>
        <w:t xml:space="preserve">as a whole </w:t>
      </w:r>
      <w:r w:rsidR="006B16E8">
        <w:rPr>
          <w:rFonts w:ascii="Aptos" w:hAnsi="Aptos" w:cs="Times New Roman"/>
          <w:sz w:val="25"/>
          <w:szCs w:val="25"/>
        </w:rPr>
        <w:t>provides</w:t>
      </w:r>
      <w:proofErr w:type="gramEnd"/>
      <w:r w:rsidR="006B16E8">
        <w:rPr>
          <w:rFonts w:ascii="Aptos" w:hAnsi="Aptos" w:cs="Times New Roman"/>
          <w:sz w:val="25"/>
          <w:szCs w:val="25"/>
        </w:rPr>
        <w:t xml:space="preserve"> me with no authority to join DMH</w:t>
      </w:r>
      <w:r w:rsidR="00A1327D">
        <w:rPr>
          <w:rFonts w:ascii="Aptos" w:hAnsi="Aptos" w:cs="Times New Roman"/>
          <w:sz w:val="25"/>
          <w:szCs w:val="25"/>
        </w:rPr>
        <w:t xml:space="preserve"> </w:t>
      </w:r>
      <w:r w:rsidR="00F93653">
        <w:rPr>
          <w:rFonts w:ascii="Aptos" w:hAnsi="Aptos" w:cs="Times New Roman"/>
          <w:sz w:val="25"/>
          <w:szCs w:val="25"/>
        </w:rPr>
        <w:t xml:space="preserve">in such </w:t>
      </w:r>
      <w:r w:rsidR="005D6CEA">
        <w:rPr>
          <w:rFonts w:ascii="Aptos" w:hAnsi="Aptos" w:cs="Times New Roman"/>
          <w:sz w:val="25"/>
          <w:szCs w:val="25"/>
        </w:rPr>
        <w:t xml:space="preserve">circumstances </w:t>
      </w:r>
      <w:r w:rsidR="00A1327D">
        <w:rPr>
          <w:rFonts w:ascii="Aptos" w:hAnsi="Aptos" w:cs="Times New Roman"/>
          <w:sz w:val="25"/>
          <w:szCs w:val="25"/>
        </w:rPr>
        <w:t xml:space="preserve">as </w:t>
      </w:r>
      <w:r w:rsidR="00345128">
        <w:rPr>
          <w:rFonts w:ascii="Aptos" w:hAnsi="Aptos" w:cs="Times New Roman"/>
          <w:sz w:val="25"/>
          <w:szCs w:val="25"/>
        </w:rPr>
        <w:t xml:space="preserve">Student cannot be considered </w:t>
      </w:r>
      <w:r w:rsidR="00E469F9">
        <w:rPr>
          <w:rFonts w:ascii="Aptos" w:hAnsi="Aptos" w:cs="Times New Roman"/>
          <w:sz w:val="25"/>
          <w:szCs w:val="25"/>
        </w:rPr>
        <w:t xml:space="preserve">a current </w:t>
      </w:r>
      <w:r w:rsidR="00D110F1">
        <w:rPr>
          <w:rFonts w:ascii="Aptos" w:hAnsi="Aptos" w:cs="Times New Roman"/>
          <w:sz w:val="25"/>
          <w:szCs w:val="25"/>
        </w:rPr>
        <w:t>“</w:t>
      </w:r>
      <w:r w:rsidR="00B3677C">
        <w:rPr>
          <w:rFonts w:ascii="Aptos" w:hAnsi="Aptos" w:cs="Times New Roman"/>
          <w:sz w:val="25"/>
          <w:szCs w:val="25"/>
        </w:rPr>
        <w:t>client</w:t>
      </w:r>
      <w:r w:rsidR="00D110F1">
        <w:rPr>
          <w:rFonts w:ascii="Aptos" w:hAnsi="Aptos" w:cs="Times New Roman"/>
          <w:sz w:val="25"/>
          <w:szCs w:val="25"/>
        </w:rPr>
        <w:t>”</w:t>
      </w:r>
      <w:r w:rsidR="00B3677C">
        <w:rPr>
          <w:rFonts w:ascii="Aptos" w:hAnsi="Aptos" w:cs="Times New Roman"/>
          <w:sz w:val="25"/>
          <w:szCs w:val="25"/>
        </w:rPr>
        <w:t xml:space="preserve"> </w:t>
      </w:r>
      <w:r w:rsidR="00FF6175">
        <w:rPr>
          <w:rFonts w:ascii="Aptos" w:hAnsi="Aptos" w:cs="Times New Roman"/>
          <w:sz w:val="25"/>
          <w:szCs w:val="25"/>
        </w:rPr>
        <w:t xml:space="preserve">of </w:t>
      </w:r>
      <w:r w:rsidR="00B3677C">
        <w:rPr>
          <w:rFonts w:ascii="Aptos" w:hAnsi="Aptos" w:cs="Times New Roman"/>
          <w:sz w:val="25"/>
          <w:szCs w:val="25"/>
        </w:rPr>
        <w:t xml:space="preserve">or otherwise eligible for </w:t>
      </w:r>
      <w:r w:rsidR="00FF6175">
        <w:rPr>
          <w:rFonts w:ascii="Aptos" w:hAnsi="Aptos" w:cs="Times New Roman"/>
          <w:sz w:val="25"/>
          <w:szCs w:val="25"/>
        </w:rPr>
        <w:t>services from</w:t>
      </w:r>
      <w:r w:rsidR="00A1327D">
        <w:rPr>
          <w:rFonts w:ascii="Aptos" w:hAnsi="Aptos" w:cs="Times New Roman"/>
          <w:sz w:val="25"/>
          <w:szCs w:val="25"/>
        </w:rPr>
        <w:t>,</w:t>
      </w:r>
      <w:r w:rsidR="00FF6175">
        <w:rPr>
          <w:rFonts w:ascii="Aptos" w:hAnsi="Aptos" w:cs="Times New Roman"/>
          <w:sz w:val="25"/>
          <w:szCs w:val="25"/>
        </w:rPr>
        <w:t xml:space="preserve"> </w:t>
      </w:r>
      <w:r w:rsidR="00B3677C">
        <w:rPr>
          <w:rFonts w:ascii="Aptos" w:hAnsi="Aptos" w:cs="Times New Roman"/>
          <w:sz w:val="25"/>
          <w:szCs w:val="25"/>
        </w:rPr>
        <w:t>DMH</w:t>
      </w:r>
      <w:r w:rsidR="009544CD">
        <w:rPr>
          <w:rFonts w:ascii="Aptos" w:hAnsi="Aptos" w:cs="Times New Roman"/>
          <w:sz w:val="25"/>
          <w:szCs w:val="25"/>
        </w:rPr>
        <w:t>.</w:t>
      </w:r>
    </w:p>
    <w:p w14:paraId="3E55A158" w14:textId="77777777" w:rsidR="00403F90" w:rsidRDefault="00403F90" w:rsidP="00ED1DFF">
      <w:pPr>
        <w:spacing w:after="0" w:line="240" w:lineRule="auto"/>
        <w:rPr>
          <w:rFonts w:ascii="Aptos" w:hAnsi="Aptos" w:cs="Times New Roman"/>
          <w:sz w:val="25"/>
          <w:szCs w:val="25"/>
        </w:rPr>
      </w:pPr>
    </w:p>
    <w:p w14:paraId="00BDCA24" w14:textId="5ABF1631" w:rsidR="00EE342C" w:rsidRDefault="003E6C2F" w:rsidP="006B38CA">
      <w:pPr>
        <w:spacing w:after="0" w:line="240" w:lineRule="auto"/>
        <w:rPr>
          <w:rFonts w:ascii="Aptos" w:hAnsi="Aptos" w:cs="Times New Roman"/>
          <w:bCs/>
          <w:sz w:val="25"/>
          <w:szCs w:val="25"/>
        </w:rPr>
      </w:pPr>
      <w:r>
        <w:rPr>
          <w:rFonts w:ascii="Aptos" w:hAnsi="Aptos" w:cs="Times New Roman"/>
          <w:sz w:val="25"/>
          <w:szCs w:val="25"/>
        </w:rPr>
        <w:t xml:space="preserve">I am sympathetic to and share the District’s concerns that </w:t>
      </w:r>
      <w:r w:rsidR="00403F90">
        <w:rPr>
          <w:rFonts w:ascii="Aptos" w:hAnsi="Aptos" w:cs="Times New Roman"/>
          <w:sz w:val="25"/>
          <w:szCs w:val="25"/>
        </w:rPr>
        <w:t>a realistic possibility exists</w:t>
      </w:r>
      <w:r w:rsidR="00526019">
        <w:rPr>
          <w:rFonts w:ascii="Aptos" w:hAnsi="Aptos" w:cs="Times New Roman"/>
          <w:sz w:val="25"/>
          <w:szCs w:val="25"/>
        </w:rPr>
        <w:t>, given that Student’s “stay put” rights are only to a day placement,</w:t>
      </w:r>
      <w:r w:rsidR="00403F90">
        <w:rPr>
          <w:rFonts w:ascii="Aptos" w:hAnsi="Aptos" w:cs="Times New Roman"/>
          <w:sz w:val="25"/>
          <w:szCs w:val="25"/>
        </w:rPr>
        <w:t xml:space="preserve"> </w:t>
      </w:r>
      <w:r w:rsidR="00A51218">
        <w:rPr>
          <w:rFonts w:ascii="Aptos" w:hAnsi="Aptos" w:cs="Times New Roman"/>
          <w:sz w:val="25"/>
          <w:szCs w:val="25"/>
        </w:rPr>
        <w:t xml:space="preserve">that </w:t>
      </w:r>
      <w:r w:rsidR="00526019">
        <w:rPr>
          <w:rFonts w:ascii="Aptos" w:hAnsi="Aptos" w:cs="Times New Roman"/>
          <w:sz w:val="25"/>
          <w:szCs w:val="25"/>
        </w:rPr>
        <w:t>he</w:t>
      </w:r>
      <w:r w:rsidR="00E32782">
        <w:rPr>
          <w:rFonts w:ascii="Aptos" w:hAnsi="Aptos" w:cs="Times New Roman"/>
          <w:sz w:val="25"/>
          <w:szCs w:val="25"/>
        </w:rPr>
        <w:t xml:space="preserve"> could return home without necessary </w:t>
      </w:r>
      <w:r w:rsidR="00AF1DAF">
        <w:rPr>
          <w:rFonts w:ascii="Aptos" w:hAnsi="Aptos" w:cs="Times New Roman"/>
          <w:sz w:val="25"/>
          <w:szCs w:val="25"/>
        </w:rPr>
        <w:t xml:space="preserve">agency </w:t>
      </w:r>
      <w:r w:rsidR="00E32782">
        <w:rPr>
          <w:rFonts w:ascii="Aptos" w:hAnsi="Aptos" w:cs="Times New Roman"/>
          <w:sz w:val="25"/>
          <w:szCs w:val="25"/>
        </w:rPr>
        <w:t xml:space="preserve">supports in place to address safety </w:t>
      </w:r>
      <w:r w:rsidR="006D4FD8">
        <w:rPr>
          <w:rFonts w:ascii="Aptos" w:hAnsi="Aptos" w:cs="Times New Roman"/>
          <w:sz w:val="25"/>
          <w:szCs w:val="25"/>
        </w:rPr>
        <w:t>concerns</w:t>
      </w:r>
      <w:r w:rsidR="00E32782">
        <w:rPr>
          <w:rFonts w:ascii="Aptos" w:hAnsi="Aptos" w:cs="Times New Roman"/>
          <w:sz w:val="25"/>
          <w:szCs w:val="25"/>
        </w:rPr>
        <w:t xml:space="preserve">, </w:t>
      </w:r>
      <w:r w:rsidR="001D1445">
        <w:rPr>
          <w:rFonts w:ascii="Aptos" w:hAnsi="Aptos" w:cs="Times New Roman"/>
          <w:sz w:val="25"/>
          <w:szCs w:val="25"/>
        </w:rPr>
        <w:t xml:space="preserve">prior to </w:t>
      </w:r>
      <w:r w:rsidR="004121F6">
        <w:rPr>
          <w:rFonts w:ascii="Aptos" w:hAnsi="Aptos" w:cs="Times New Roman"/>
          <w:sz w:val="25"/>
          <w:szCs w:val="25"/>
        </w:rPr>
        <w:t xml:space="preserve">the issuance of </w:t>
      </w:r>
      <w:r w:rsidR="001D1445">
        <w:rPr>
          <w:rFonts w:ascii="Aptos" w:hAnsi="Aptos" w:cs="Times New Roman"/>
          <w:sz w:val="25"/>
          <w:szCs w:val="25"/>
        </w:rPr>
        <w:t>a decision in this matter</w:t>
      </w:r>
      <w:r w:rsidR="006D4FD8">
        <w:rPr>
          <w:rFonts w:ascii="Aptos" w:hAnsi="Aptos" w:cs="Times New Roman"/>
          <w:sz w:val="25"/>
          <w:szCs w:val="25"/>
        </w:rPr>
        <w:t xml:space="preserve">, however </w:t>
      </w:r>
      <w:r w:rsidR="00FF4A40">
        <w:rPr>
          <w:rFonts w:ascii="Aptos" w:hAnsi="Aptos" w:cs="Times New Roman"/>
          <w:sz w:val="25"/>
          <w:szCs w:val="25"/>
        </w:rPr>
        <w:t xml:space="preserve">I am constrained by DMH’s regulatory </w:t>
      </w:r>
      <w:r w:rsidR="00FF4A40">
        <w:rPr>
          <w:rFonts w:ascii="Aptos" w:hAnsi="Aptos" w:cs="Times New Roman"/>
          <w:sz w:val="25"/>
          <w:szCs w:val="25"/>
        </w:rPr>
        <w:lastRenderedPageBreak/>
        <w:t xml:space="preserve">provisions.  </w:t>
      </w:r>
      <w:r w:rsidR="005875AB">
        <w:rPr>
          <w:rFonts w:ascii="Aptos" w:hAnsi="Aptos" w:cs="Times New Roman"/>
          <w:sz w:val="25"/>
          <w:szCs w:val="25"/>
        </w:rPr>
        <w:t>S</w:t>
      </w:r>
      <w:r w:rsidR="00BB5B85">
        <w:rPr>
          <w:rFonts w:ascii="Aptos" w:hAnsi="Aptos" w:cs="Times New Roman"/>
          <w:sz w:val="25"/>
          <w:szCs w:val="25"/>
        </w:rPr>
        <w:t xml:space="preserve">hould such circumstances develop, </w:t>
      </w:r>
      <w:r w:rsidR="0053405D">
        <w:rPr>
          <w:rFonts w:ascii="Aptos" w:hAnsi="Aptos" w:cs="Times New Roman"/>
          <w:sz w:val="25"/>
          <w:szCs w:val="25"/>
        </w:rPr>
        <w:t>though</w:t>
      </w:r>
      <w:r w:rsidR="00BB5B85">
        <w:rPr>
          <w:rFonts w:ascii="Aptos" w:hAnsi="Aptos" w:cs="Times New Roman"/>
          <w:sz w:val="25"/>
          <w:szCs w:val="25"/>
        </w:rPr>
        <w:t>, S</w:t>
      </w:r>
      <w:r w:rsidR="005875AB">
        <w:rPr>
          <w:rFonts w:ascii="Aptos" w:hAnsi="Aptos" w:cs="Times New Roman"/>
          <w:sz w:val="25"/>
          <w:szCs w:val="25"/>
        </w:rPr>
        <w:t>tudent is not without recourse</w:t>
      </w:r>
      <w:r w:rsidR="00EE258A">
        <w:rPr>
          <w:rFonts w:ascii="Aptos" w:hAnsi="Aptos" w:cs="Times New Roman"/>
          <w:sz w:val="25"/>
          <w:szCs w:val="25"/>
        </w:rPr>
        <w:t xml:space="preserve">, as he can reapply for DMH services </w:t>
      </w:r>
      <w:r w:rsidR="005A7754">
        <w:rPr>
          <w:rFonts w:ascii="Aptos" w:hAnsi="Aptos" w:cs="Times New Roman"/>
          <w:sz w:val="25"/>
          <w:szCs w:val="25"/>
        </w:rPr>
        <w:t xml:space="preserve">at that time, and </w:t>
      </w:r>
      <w:r w:rsidR="00890133">
        <w:rPr>
          <w:rFonts w:ascii="Aptos" w:hAnsi="Aptos" w:cs="Times New Roman"/>
          <w:sz w:val="25"/>
          <w:szCs w:val="25"/>
        </w:rPr>
        <w:t xml:space="preserve">likely will </w:t>
      </w:r>
      <w:r w:rsidR="005A7754">
        <w:rPr>
          <w:rFonts w:ascii="Aptos" w:hAnsi="Aptos" w:cs="Times New Roman"/>
          <w:sz w:val="25"/>
          <w:szCs w:val="25"/>
        </w:rPr>
        <w:t xml:space="preserve">be within the </w:t>
      </w:r>
      <w:r w:rsidR="000B18A6">
        <w:rPr>
          <w:rFonts w:ascii="Aptos" w:hAnsi="Aptos" w:cs="Times New Roman"/>
          <w:sz w:val="25"/>
          <w:szCs w:val="25"/>
        </w:rPr>
        <w:t xml:space="preserve">12-month window where he is presumed </w:t>
      </w:r>
      <w:r w:rsidR="005A7754">
        <w:rPr>
          <w:rFonts w:ascii="Aptos" w:hAnsi="Aptos" w:cs="Times New Roman"/>
          <w:sz w:val="25"/>
          <w:szCs w:val="25"/>
        </w:rPr>
        <w:t xml:space="preserve">to still meet clinical criteria, </w:t>
      </w:r>
      <w:r w:rsidR="00B96C84">
        <w:rPr>
          <w:rFonts w:ascii="Aptos" w:hAnsi="Aptos" w:cs="Times New Roman"/>
          <w:sz w:val="25"/>
          <w:szCs w:val="25"/>
        </w:rPr>
        <w:t xml:space="preserve">thus </w:t>
      </w:r>
      <w:r w:rsidR="00197C44">
        <w:rPr>
          <w:rFonts w:ascii="Aptos" w:hAnsi="Aptos" w:cs="Times New Roman"/>
          <w:sz w:val="25"/>
          <w:szCs w:val="25"/>
        </w:rPr>
        <w:t>by</w:t>
      </w:r>
      <w:r w:rsidR="0053405D">
        <w:rPr>
          <w:rFonts w:ascii="Aptos" w:hAnsi="Aptos" w:cs="Times New Roman"/>
          <w:sz w:val="25"/>
          <w:szCs w:val="25"/>
        </w:rPr>
        <w:t>-</w:t>
      </w:r>
      <w:r w:rsidR="00197C44">
        <w:rPr>
          <w:rFonts w:ascii="Aptos" w:hAnsi="Aptos" w:cs="Times New Roman"/>
          <w:sz w:val="25"/>
          <w:szCs w:val="25"/>
        </w:rPr>
        <w:t>passing</w:t>
      </w:r>
      <w:r w:rsidR="00B96C84">
        <w:rPr>
          <w:rFonts w:ascii="Aptos" w:hAnsi="Aptos" w:cs="Times New Roman"/>
          <w:sz w:val="25"/>
          <w:szCs w:val="25"/>
        </w:rPr>
        <w:t xml:space="preserve"> the initial 20 business day determination time</w:t>
      </w:r>
      <w:r w:rsidR="00611B58">
        <w:rPr>
          <w:rFonts w:ascii="Aptos" w:hAnsi="Aptos" w:cs="Times New Roman"/>
          <w:sz w:val="25"/>
          <w:szCs w:val="25"/>
        </w:rPr>
        <w:t>frame</w:t>
      </w:r>
      <w:r w:rsidR="00B96C84">
        <w:rPr>
          <w:rStyle w:val="FootnoteReference"/>
          <w:rFonts w:ascii="Aptos" w:hAnsi="Aptos" w:cs="Times New Roman"/>
          <w:sz w:val="25"/>
          <w:szCs w:val="25"/>
        </w:rPr>
        <w:footnoteReference w:id="21"/>
      </w:r>
      <w:r w:rsidR="00B96C84">
        <w:rPr>
          <w:rFonts w:ascii="Aptos" w:hAnsi="Aptos" w:cs="Times New Roman"/>
          <w:sz w:val="25"/>
          <w:szCs w:val="25"/>
        </w:rPr>
        <w:t xml:space="preserve">.  </w:t>
      </w:r>
      <w:r w:rsidR="00F5312C">
        <w:rPr>
          <w:rFonts w:ascii="Aptos" w:hAnsi="Aptos" w:cs="Times New Roman"/>
          <w:sz w:val="25"/>
          <w:szCs w:val="25"/>
        </w:rPr>
        <w:t>U</w:t>
      </w:r>
      <w:r w:rsidR="0039010A">
        <w:rPr>
          <w:rFonts w:ascii="Aptos" w:hAnsi="Aptos" w:cs="Times New Roman"/>
          <w:sz w:val="25"/>
          <w:szCs w:val="25"/>
        </w:rPr>
        <w:t xml:space="preserve">pon </w:t>
      </w:r>
      <w:r w:rsidR="00BA5C08">
        <w:rPr>
          <w:rFonts w:ascii="Aptos" w:hAnsi="Aptos" w:cs="Times New Roman"/>
          <w:sz w:val="25"/>
          <w:szCs w:val="25"/>
        </w:rPr>
        <w:t xml:space="preserve">filing such a reapplication, joinder of DMH is no longer precluded by its regulations, particularly given </w:t>
      </w:r>
      <w:r w:rsidR="00F5312C">
        <w:rPr>
          <w:rFonts w:ascii="Aptos" w:hAnsi="Aptos" w:cs="Times New Roman"/>
          <w:sz w:val="25"/>
          <w:szCs w:val="25"/>
        </w:rPr>
        <w:t xml:space="preserve">DMH’s </w:t>
      </w:r>
      <w:r w:rsidR="00BA5C08">
        <w:rPr>
          <w:rFonts w:ascii="Aptos" w:hAnsi="Aptos" w:cs="Times New Roman"/>
          <w:sz w:val="25"/>
          <w:szCs w:val="25"/>
        </w:rPr>
        <w:t>determination that Student meets clinical criteria</w:t>
      </w:r>
      <w:r w:rsidR="00CC6886">
        <w:rPr>
          <w:rFonts w:ascii="Aptos" w:hAnsi="Aptos" w:cs="Times New Roman"/>
          <w:sz w:val="25"/>
          <w:szCs w:val="25"/>
        </w:rPr>
        <w:t xml:space="preserve">, and at </w:t>
      </w:r>
      <w:r w:rsidR="00197C44">
        <w:rPr>
          <w:rFonts w:ascii="Aptos" w:hAnsi="Aptos" w:cs="Times New Roman"/>
          <w:sz w:val="25"/>
          <w:szCs w:val="25"/>
        </w:rPr>
        <w:t xml:space="preserve">such </w:t>
      </w:r>
      <w:r w:rsidR="00CC6886">
        <w:rPr>
          <w:rFonts w:ascii="Aptos" w:hAnsi="Aptos" w:cs="Times New Roman"/>
          <w:sz w:val="25"/>
          <w:szCs w:val="25"/>
        </w:rPr>
        <w:t xml:space="preserve">a </w:t>
      </w:r>
      <w:r w:rsidR="00197C44">
        <w:rPr>
          <w:rFonts w:ascii="Aptos" w:hAnsi="Aptos" w:cs="Times New Roman"/>
          <w:sz w:val="25"/>
          <w:szCs w:val="25"/>
        </w:rPr>
        <w:t>time,</w:t>
      </w:r>
      <w:r w:rsidR="007828D3">
        <w:rPr>
          <w:rFonts w:ascii="Aptos" w:hAnsi="Aptos" w:cs="Times New Roman"/>
          <w:sz w:val="25"/>
          <w:szCs w:val="25"/>
        </w:rPr>
        <w:t xml:space="preserve"> therefore,</w:t>
      </w:r>
      <w:r w:rsidR="00197C44">
        <w:rPr>
          <w:rFonts w:ascii="Aptos" w:hAnsi="Aptos" w:cs="Times New Roman"/>
          <w:sz w:val="25"/>
          <w:szCs w:val="25"/>
        </w:rPr>
        <w:t xml:space="preserve"> </w:t>
      </w:r>
      <w:r w:rsidR="00CC6886">
        <w:rPr>
          <w:rFonts w:ascii="Aptos" w:hAnsi="Aptos" w:cs="Times New Roman"/>
          <w:sz w:val="25"/>
          <w:szCs w:val="25"/>
        </w:rPr>
        <w:t xml:space="preserve">either or both Parties </w:t>
      </w:r>
      <w:r w:rsidR="00DB3FE4">
        <w:rPr>
          <w:rFonts w:ascii="Aptos" w:hAnsi="Aptos" w:cs="Times New Roman"/>
          <w:sz w:val="25"/>
          <w:szCs w:val="25"/>
        </w:rPr>
        <w:t>may</w:t>
      </w:r>
      <w:r w:rsidR="00A71340">
        <w:rPr>
          <w:rFonts w:ascii="Aptos" w:hAnsi="Aptos" w:cs="Times New Roman"/>
          <w:sz w:val="25"/>
          <w:szCs w:val="25"/>
        </w:rPr>
        <w:t xml:space="preserve"> file a new </w:t>
      </w:r>
      <w:r w:rsidR="00DB58A8">
        <w:rPr>
          <w:rFonts w:ascii="Aptos" w:hAnsi="Aptos" w:cs="Times New Roman"/>
          <w:sz w:val="25"/>
          <w:szCs w:val="25"/>
        </w:rPr>
        <w:t>request to join DMH</w:t>
      </w:r>
      <w:r w:rsidR="00DB58A8">
        <w:rPr>
          <w:rStyle w:val="FootnoteReference"/>
          <w:rFonts w:ascii="Aptos" w:hAnsi="Aptos" w:cs="Times New Roman"/>
          <w:sz w:val="25"/>
          <w:szCs w:val="25"/>
        </w:rPr>
        <w:footnoteReference w:id="22"/>
      </w:r>
      <w:r w:rsidR="003002AF">
        <w:rPr>
          <w:rFonts w:ascii="Aptos" w:hAnsi="Aptos" w:cs="Times New Roman"/>
          <w:sz w:val="25"/>
          <w:szCs w:val="25"/>
        </w:rPr>
        <w:t xml:space="preserve">.  </w:t>
      </w:r>
    </w:p>
    <w:p w14:paraId="06E9681A" w14:textId="77777777" w:rsidR="00EE342C" w:rsidRDefault="00EE342C" w:rsidP="004835AB">
      <w:pPr>
        <w:spacing w:after="0" w:line="240" w:lineRule="auto"/>
        <w:rPr>
          <w:rFonts w:ascii="Aptos" w:hAnsi="Aptos" w:cs="Times New Roman"/>
          <w:bCs/>
          <w:sz w:val="25"/>
          <w:szCs w:val="25"/>
        </w:rPr>
      </w:pPr>
    </w:p>
    <w:p w14:paraId="1DC53391" w14:textId="3271B4F7" w:rsidR="004835AB" w:rsidRPr="004835AB" w:rsidRDefault="004835AB" w:rsidP="004835AB">
      <w:pPr>
        <w:spacing w:after="0" w:line="240" w:lineRule="auto"/>
        <w:rPr>
          <w:rFonts w:ascii="Aptos" w:hAnsi="Aptos" w:cs="Times New Roman"/>
          <w:bCs/>
          <w:sz w:val="25"/>
          <w:szCs w:val="25"/>
        </w:rPr>
      </w:pPr>
      <w:r w:rsidRPr="004835AB">
        <w:rPr>
          <w:rFonts w:ascii="Aptos" w:hAnsi="Aptos" w:cs="Times New Roman"/>
          <w:bCs/>
          <w:sz w:val="25"/>
          <w:szCs w:val="25"/>
        </w:rPr>
        <w:t xml:space="preserve">For </w:t>
      </w:r>
      <w:r w:rsidR="00551FE6">
        <w:rPr>
          <w:rFonts w:ascii="Aptos" w:hAnsi="Aptos" w:cs="Times New Roman"/>
          <w:bCs/>
          <w:sz w:val="25"/>
          <w:szCs w:val="25"/>
        </w:rPr>
        <w:t>these reasons</w:t>
      </w:r>
      <w:r w:rsidRPr="004835AB">
        <w:rPr>
          <w:rFonts w:ascii="Aptos" w:hAnsi="Aptos" w:cs="Times New Roman"/>
          <w:bCs/>
          <w:sz w:val="25"/>
          <w:szCs w:val="25"/>
        </w:rPr>
        <w:t xml:space="preserve">, the District’s </w:t>
      </w:r>
      <w:r w:rsidRPr="004835AB">
        <w:rPr>
          <w:rFonts w:ascii="Aptos" w:hAnsi="Aptos" w:cs="Times New Roman"/>
          <w:bCs/>
          <w:i/>
          <w:iCs/>
          <w:sz w:val="25"/>
          <w:szCs w:val="25"/>
        </w:rPr>
        <w:t xml:space="preserve">Motion </w:t>
      </w:r>
      <w:r w:rsidRPr="004835AB">
        <w:rPr>
          <w:rFonts w:ascii="Aptos" w:hAnsi="Aptos" w:cs="Times New Roman"/>
          <w:bCs/>
          <w:sz w:val="25"/>
          <w:szCs w:val="25"/>
        </w:rPr>
        <w:t xml:space="preserve">is </w:t>
      </w:r>
      <w:r w:rsidRPr="004835AB">
        <w:rPr>
          <w:rFonts w:ascii="Aptos" w:hAnsi="Aptos" w:cs="Times New Roman"/>
          <w:b/>
          <w:sz w:val="25"/>
          <w:szCs w:val="25"/>
        </w:rPr>
        <w:t>DENIED without prejudice</w:t>
      </w:r>
      <w:r w:rsidRPr="004835AB">
        <w:rPr>
          <w:rFonts w:ascii="Aptos" w:hAnsi="Aptos" w:cs="Times New Roman"/>
          <w:bCs/>
          <w:sz w:val="25"/>
          <w:szCs w:val="25"/>
        </w:rPr>
        <w:t>.</w:t>
      </w:r>
      <w:r w:rsidR="00FF4C0D">
        <w:rPr>
          <w:rFonts w:ascii="Aptos" w:hAnsi="Aptos" w:cs="Times New Roman"/>
          <w:bCs/>
          <w:sz w:val="25"/>
          <w:szCs w:val="25"/>
        </w:rPr>
        <w:t xml:space="preserve">  </w:t>
      </w:r>
      <w:r w:rsidRPr="004835AB">
        <w:rPr>
          <w:rFonts w:ascii="Aptos" w:hAnsi="Aptos" w:cs="Times New Roman"/>
          <w:bCs/>
          <w:sz w:val="25"/>
          <w:szCs w:val="25"/>
        </w:rPr>
        <w:t xml:space="preserve">Accordingly, the matter will proceed with </w:t>
      </w:r>
      <w:r w:rsidR="00DB3FE4">
        <w:rPr>
          <w:rFonts w:ascii="Aptos" w:hAnsi="Aptos" w:cs="Times New Roman"/>
          <w:bCs/>
          <w:sz w:val="25"/>
          <w:szCs w:val="25"/>
        </w:rPr>
        <w:t xml:space="preserve">only </w:t>
      </w:r>
      <w:r w:rsidR="00EE342C">
        <w:rPr>
          <w:rFonts w:ascii="Aptos" w:hAnsi="Aptos" w:cs="Times New Roman"/>
          <w:bCs/>
          <w:sz w:val="25"/>
          <w:szCs w:val="25"/>
        </w:rPr>
        <w:t xml:space="preserve">Student </w:t>
      </w:r>
      <w:r w:rsidRPr="004835AB">
        <w:rPr>
          <w:rFonts w:ascii="Aptos" w:hAnsi="Aptos" w:cs="Times New Roman"/>
          <w:bCs/>
          <w:sz w:val="25"/>
          <w:szCs w:val="25"/>
        </w:rPr>
        <w:t xml:space="preserve">and </w:t>
      </w:r>
      <w:r w:rsidR="00EE342C">
        <w:rPr>
          <w:rFonts w:ascii="Aptos" w:hAnsi="Aptos" w:cs="Times New Roman"/>
          <w:bCs/>
          <w:sz w:val="25"/>
          <w:szCs w:val="25"/>
        </w:rPr>
        <w:t xml:space="preserve">the </w:t>
      </w:r>
      <w:r w:rsidRPr="004835AB">
        <w:rPr>
          <w:rFonts w:ascii="Aptos" w:hAnsi="Aptos" w:cs="Times New Roman"/>
          <w:bCs/>
          <w:sz w:val="25"/>
          <w:szCs w:val="25"/>
        </w:rPr>
        <w:t>District as parties</w:t>
      </w:r>
      <w:r w:rsidR="00DB3FE4">
        <w:rPr>
          <w:rFonts w:ascii="Aptos" w:hAnsi="Aptos" w:cs="Times New Roman"/>
          <w:bCs/>
          <w:sz w:val="25"/>
          <w:szCs w:val="25"/>
        </w:rPr>
        <w:t xml:space="preserve"> herein</w:t>
      </w:r>
      <w:r w:rsidRPr="004835AB">
        <w:rPr>
          <w:rFonts w:ascii="Aptos" w:hAnsi="Aptos" w:cs="Times New Roman"/>
          <w:bCs/>
          <w:sz w:val="25"/>
          <w:szCs w:val="25"/>
        </w:rPr>
        <w:t xml:space="preserve">.  </w:t>
      </w:r>
      <w:r w:rsidR="004E6414">
        <w:rPr>
          <w:rFonts w:ascii="Aptos" w:hAnsi="Aptos" w:cs="Times New Roman"/>
          <w:bCs/>
          <w:sz w:val="25"/>
          <w:szCs w:val="25"/>
        </w:rPr>
        <w:t>Joinder of DMH can be sought</w:t>
      </w:r>
      <w:r w:rsidR="006B38CA">
        <w:rPr>
          <w:rFonts w:ascii="Aptos" w:hAnsi="Aptos" w:cs="Times New Roman"/>
          <w:bCs/>
          <w:sz w:val="25"/>
          <w:szCs w:val="25"/>
        </w:rPr>
        <w:t xml:space="preserve"> again</w:t>
      </w:r>
      <w:r w:rsidR="004E6414">
        <w:rPr>
          <w:rFonts w:ascii="Aptos" w:hAnsi="Aptos" w:cs="Times New Roman"/>
          <w:bCs/>
          <w:sz w:val="25"/>
          <w:szCs w:val="25"/>
        </w:rPr>
        <w:t xml:space="preserve"> </w:t>
      </w:r>
      <w:r w:rsidR="00581AF2">
        <w:rPr>
          <w:rFonts w:ascii="Aptos" w:hAnsi="Aptos" w:cs="Times New Roman"/>
          <w:bCs/>
          <w:sz w:val="25"/>
          <w:szCs w:val="25"/>
        </w:rPr>
        <w:t xml:space="preserve">if </w:t>
      </w:r>
      <w:r w:rsidR="00234461">
        <w:rPr>
          <w:rFonts w:ascii="Aptos" w:hAnsi="Aptos" w:cs="Times New Roman"/>
          <w:bCs/>
          <w:sz w:val="25"/>
          <w:szCs w:val="25"/>
        </w:rPr>
        <w:t xml:space="preserve">a </w:t>
      </w:r>
      <w:r w:rsidR="004021A0">
        <w:rPr>
          <w:rFonts w:ascii="Aptos" w:hAnsi="Aptos" w:cs="Times New Roman"/>
          <w:bCs/>
          <w:sz w:val="25"/>
          <w:szCs w:val="25"/>
        </w:rPr>
        <w:t>re-</w:t>
      </w:r>
      <w:r w:rsidR="00234461">
        <w:rPr>
          <w:rFonts w:ascii="Aptos" w:hAnsi="Aptos" w:cs="Times New Roman"/>
          <w:bCs/>
          <w:sz w:val="25"/>
          <w:szCs w:val="25"/>
        </w:rPr>
        <w:t xml:space="preserve">application for DMH services </w:t>
      </w:r>
      <w:r w:rsidR="00E10816">
        <w:rPr>
          <w:rFonts w:ascii="Aptos" w:hAnsi="Aptos" w:cs="Times New Roman"/>
          <w:bCs/>
          <w:sz w:val="25"/>
          <w:szCs w:val="25"/>
        </w:rPr>
        <w:t xml:space="preserve">is </w:t>
      </w:r>
      <w:r w:rsidR="00234461">
        <w:rPr>
          <w:rFonts w:ascii="Aptos" w:hAnsi="Aptos" w:cs="Times New Roman"/>
          <w:bCs/>
          <w:sz w:val="25"/>
          <w:szCs w:val="25"/>
        </w:rPr>
        <w:t>filed</w:t>
      </w:r>
      <w:r w:rsidR="0084414A">
        <w:rPr>
          <w:rFonts w:ascii="Aptos" w:hAnsi="Aptos" w:cs="Times New Roman"/>
          <w:bCs/>
          <w:sz w:val="25"/>
          <w:szCs w:val="25"/>
        </w:rPr>
        <w:t xml:space="preserve">.  </w:t>
      </w:r>
    </w:p>
    <w:p w14:paraId="1667712E" w14:textId="77777777" w:rsidR="00E571A4" w:rsidRPr="000467B1" w:rsidRDefault="00E571A4" w:rsidP="00E571A4">
      <w:pPr>
        <w:spacing w:after="0" w:line="240" w:lineRule="auto"/>
        <w:rPr>
          <w:rFonts w:ascii="Aptos" w:hAnsi="Aptos" w:cs="Times New Roman"/>
          <w:sz w:val="25"/>
          <w:szCs w:val="25"/>
        </w:rPr>
      </w:pPr>
    </w:p>
    <w:p w14:paraId="196DB154" w14:textId="77777777" w:rsidR="00E571A4" w:rsidRPr="00C0674D" w:rsidRDefault="00E571A4" w:rsidP="00E571A4">
      <w:pPr>
        <w:shd w:val="clear" w:color="auto" w:fill="FFFFFF"/>
        <w:spacing w:after="0"/>
        <w:rPr>
          <w:rFonts w:ascii="Aptos" w:eastAsia="Times New Roman" w:hAnsi="Aptos" w:cs="Times New Roman"/>
          <w:sz w:val="25"/>
          <w:szCs w:val="25"/>
        </w:rPr>
      </w:pPr>
      <w:r w:rsidRPr="000467B1">
        <w:rPr>
          <w:rFonts w:ascii="Aptos" w:eastAsia="Times New Roman" w:hAnsi="Aptos" w:cs="Times New Roman"/>
          <w:sz w:val="25"/>
          <w:szCs w:val="25"/>
        </w:rPr>
        <w:t xml:space="preserve">By the Hearing Officer, </w:t>
      </w:r>
    </w:p>
    <w:p w14:paraId="20389F29" w14:textId="77777777" w:rsidR="00E571A4" w:rsidRPr="00FF7756" w:rsidRDefault="00E571A4" w:rsidP="00E571A4">
      <w:pPr>
        <w:spacing w:after="0" w:line="240" w:lineRule="auto"/>
        <w:rPr>
          <w:rFonts w:ascii="Aptos" w:eastAsia="Times New Roman" w:hAnsi="Aptos" w:cs="Times New Roman"/>
          <w:kern w:val="0"/>
          <w:sz w:val="25"/>
          <w:szCs w:val="25"/>
          <w:u w:val="single"/>
        </w:rPr>
      </w:pPr>
    </w:p>
    <w:p w14:paraId="373EB1DA" w14:textId="77777777" w:rsidR="00E571A4" w:rsidRPr="00B14BD6" w:rsidRDefault="00E571A4" w:rsidP="00E571A4">
      <w:pPr>
        <w:spacing w:after="0" w:line="240" w:lineRule="auto"/>
        <w:rPr>
          <w:rFonts w:ascii="Lucida Handwriting" w:eastAsia="Times New Roman" w:hAnsi="Lucida Handwriting" w:cs="Times New Roman"/>
          <w:kern w:val="0"/>
          <w:u w:val="single"/>
        </w:rPr>
      </w:pPr>
      <w:r w:rsidRPr="00753150">
        <w:rPr>
          <w:rFonts w:ascii="Lucida Handwriting" w:eastAsia="Times New Roman" w:hAnsi="Lucida Handwriting" w:cs="Times New Roman"/>
          <w:kern w:val="0"/>
          <w:sz w:val="25"/>
          <w:szCs w:val="25"/>
          <w:u w:val="single"/>
        </w:rPr>
        <w:t>/s/  Marguerite M. Mitchell</w:t>
      </w:r>
      <w:r w:rsidRPr="00753150">
        <w:rPr>
          <w:rFonts w:ascii="Aptos" w:eastAsia="Times New Roman" w:hAnsi="Aptos" w:cs="Times New Roman"/>
          <w:sz w:val="25"/>
          <w:szCs w:val="25"/>
          <w:u w:val="single"/>
        </w:rPr>
        <w:br/>
      </w:r>
      <w:r w:rsidRPr="000467B1">
        <w:rPr>
          <w:rFonts w:ascii="Aptos" w:eastAsia="Times New Roman" w:hAnsi="Aptos" w:cs="Times New Roman"/>
          <w:sz w:val="25"/>
          <w:szCs w:val="25"/>
        </w:rPr>
        <w:t>Marguerite M. Mitchell</w:t>
      </w:r>
    </w:p>
    <w:p w14:paraId="66E878AB" w14:textId="50B98DD6" w:rsidR="002233FB" w:rsidRDefault="00E571A4" w:rsidP="000E2693">
      <w:pPr>
        <w:spacing w:line="240" w:lineRule="auto"/>
      </w:pPr>
      <w:r w:rsidRPr="000467B1">
        <w:rPr>
          <w:rFonts w:ascii="Aptos" w:eastAsia="Times New Roman" w:hAnsi="Aptos" w:cs="Times New Roman"/>
          <w:sz w:val="25"/>
          <w:szCs w:val="25"/>
        </w:rPr>
        <w:t xml:space="preserve">Date: </w:t>
      </w:r>
      <w:r w:rsidR="00F9465F">
        <w:rPr>
          <w:rFonts w:ascii="Aptos" w:eastAsia="Times New Roman" w:hAnsi="Aptos" w:cs="Times New Roman"/>
          <w:sz w:val="25"/>
          <w:szCs w:val="25"/>
        </w:rPr>
        <w:t xml:space="preserve">July </w:t>
      </w:r>
      <w:r w:rsidR="00F642A9">
        <w:rPr>
          <w:rFonts w:ascii="Aptos" w:eastAsia="Times New Roman" w:hAnsi="Aptos" w:cs="Times New Roman"/>
          <w:sz w:val="25"/>
          <w:szCs w:val="25"/>
        </w:rPr>
        <w:t>11</w:t>
      </w:r>
      <w:r w:rsidR="00F9465F">
        <w:rPr>
          <w:rFonts w:ascii="Aptos" w:eastAsia="Times New Roman" w:hAnsi="Aptos" w:cs="Times New Roman"/>
          <w:sz w:val="25"/>
          <w:szCs w:val="25"/>
        </w:rPr>
        <w:t>, 2025</w:t>
      </w:r>
    </w:p>
    <w:sectPr w:rsidR="002233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E87F" w14:textId="77777777" w:rsidR="005F5279" w:rsidRDefault="005F5279" w:rsidP="00E571A4">
      <w:pPr>
        <w:spacing w:after="0" w:line="240" w:lineRule="auto"/>
      </w:pPr>
      <w:r>
        <w:separator/>
      </w:r>
    </w:p>
  </w:endnote>
  <w:endnote w:type="continuationSeparator" w:id="0">
    <w:p w14:paraId="15494857" w14:textId="77777777" w:rsidR="005F5279" w:rsidRDefault="005F5279" w:rsidP="00E5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88356"/>
      <w:docPartObj>
        <w:docPartGallery w:val="Page Numbers (Bottom of Page)"/>
        <w:docPartUnique/>
      </w:docPartObj>
    </w:sdtPr>
    <w:sdtEndPr>
      <w:rPr>
        <w:noProof/>
      </w:rPr>
    </w:sdtEndPr>
    <w:sdtContent>
      <w:p w14:paraId="23CDB4D2" w14:textId="7D7BF01A" w:rsidR="000E2693" w:rsidRDefault="000E2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7AF02" w14:textId="77777777" w:rsidR="000E2693" w:rsidRDefault="000E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8DE3" w14:textId="77777777" w:rsidR="005F5279" w:rsidRDefault="005F5279" w:rsidP="00E571A4">
      <w:pPr>
        <w:spacing w:after="0" w:line="240" w:lineRule="auto"/>
      </w:pPr>
      <w:r>
        <w:separator/>
      </w:r>
    </w:p>
  </w:footnote>
  <w:footnote w:type="continuationSeparator" w:id="0">
    <w:p w14:paraId="7CDA2AA8" w14:textId="77777777" w:rsidR="005F5279" w:rsidRDefault="005F5279" w:rsidP="00E571A4">
      <w:pPr>
        <w:spacing w:after="0" w:line="240" w:lineRule="auto"/>
      </w:pPr>
      <w:r>
        <w:continuationSeparator/>
      </w:r>
    </w:p>
  </w:footnote>
  <w:footnote w:id="1">
    <w:p w14:paraId="20EBF8F6" w14:textId="77777777" w:rsidR="008C520E" w:rsidRPr="00064808" w:rsidRDefault="008C520E" w:rsidP="008C520E">
      <w:pPr>
        <w:pStyle w:val="FootnoteText"/>
        <w:rPr>
          <w:rFonts w:ascii="Aptos" w:hAnsi="Aptos"/>
        </w:rPr>
      </w:pPr>
      <w:r w:rsidRPr="00064808">
        <w:rPr>
          <w:rStyle w:val="FootnoteReference"/>
          <w:rFonts w:ascii="Aptos" w:hAnsi="Aptos"/>
        </w:rPr>
        <w:footnoteRef/>
      </w:r>
      <w:r w:rsidRPr="00064808">
        <w:rPr>
          <w:rFonts w:ascii="Aptos" w:hAnsi="Aptos"/>
        </w:rPr>
        <w:t xml:space="preserve">   Student’s status report was filed by Counsel for his Caregiver (his biological older sister with whom Student resides) who filed the initial </w:t>
      </w:r>
      <w:r w:rsidRPr="00064808">
        <w:rPr>
          <w:rFonts w:ascii="Aptos" w:hAnsi="Aptos"/>
          <w:i/>
          <w:iCs/>
        </w:rPr>
        <w:t xml:space="preserve">Hearing Request </w:t>
      </w:r>
      <w:r w:rsidRPr="00064808">
        <w:rPr>
          <w:rFonts w:ascii="Aptos" w:hAnsi="Aptos"/>
        </w:rPr>
        <w:t xml:space="preserve">in this matter on March 14, 2025.  For purposes of this </w:t>
      </w:r>
      <w:r w:rsidRPr="00064808">
        <w:rPr>
          <w:rFonts w:ascii="Aptos" w:hAnsi="Aptos"/>
          <w:i/>
          <w:iCs/>
        </w:rPr>
        <w:t>Ruling</w:t>
      </w:r>
      <w:r w:rsidRPr="00064808">
        <w:rPr>
          <w:rFonts w:ascii="Aptos" w:hAnsi="Aptos"/>
        </w:rPr>
        <w:t xml:space="preserve">, I refer to the Caregiver’s arguments as those of “Student”.  </w:t>
      </w:r>
    </w:p>
  </w:footnote>
  <w:footnote w:id="2">
    <w:p w14:paraId="096C4CF5" w14:textId="23BF3308" w:rsidR="00E571A4" w:rsidRPr="00064808" w:rsidRDefault="00E571A4" w:rsidP="00E571A4">
      <w:pPr>
        <w:pStyle w:val="FootnoteText"/>
        <w:rPr>
          <w:rFonts w:ascii="Aptos" w:hAnsi="Aptos"/>
        </w:rPr>
      </w:pPr>
      <w:r w:rsidRPr="00064808">
        <w:rPr>
          <w:rStyle w:val="FootnoteReference"/>
          <w:rFonts w:ascii="Aptos" w:hAnsi="Aptos"/>
        </w:rPr>
        <w:footnoteRef/>
      </w:r>
      <w:r w:rsidRPr="00064808">
        <w:rPr>
          <w:rFonts w:ascii="Aptos" w:hAnsi="Aptos"/>
        </w:rPr>
        <w:t xml:space="preserve">   </w:t>
      </w:r>
      <w:r w:rsidRPr="00064808">
        <w:rPr>
          <w:rFonts w:ascii="Aptos" w:hAnsi="Aptos" w:cs="Times New Roman"/>
        </w:rPr>
        <w:t xml:space="preserve">The facts stated herein are considered true solely for the purposes of this </w:t>
      </w:r>
      <w:r w:rsidRPr="00064808">
        <w:rPr>
          <w:rFonts w:ascii="Aptos" w:hAnsi="Aptos" w:cs="Times New Roman"/>
          <w:i/>
          <w:iCs/>
        </w:rPr>
        <w:t>Ruling</w:t>
      </w:r>
      <w:r w:rsidRPr="00064808">
        <w:rPr>
          <w:rFonts w:ascii="Aptos" w:hAnsi="Aptos" w:cs="Times New Roman"/>
        </w:rPr>
        <w:t>.</w:t>
      </w:r>
    </w:p>
  </w:footnote>
  <w:footnote w:id="3">
    <w:p w14:paraId="095890AA" w14:textId="7EED9C58" w:rsidR="0013452A" w:rsidRPr="00064808" w:rsidRDefault="0013452A" w:rsidP="00E60DCD">
      <w:pPr>
        <w:pStyle w:val="Heading2"/>
        <w:rPr>
          <w:rFonts w:ascii="Aptos" w:hAnsi="Aptos"/>
        </w:rPr>
      </w:pPr>
      <w:r w:rsidRPr="00064808">
        <w:rPr>
          <w:rStyle w:val="FootnoteReference"/>
          <w:rFonts w:ascii="Aptos" w:hAnsi="Aptos"/>
          <w:b w:val="0"/>
          <w:bCs w:val="0"/>
          <w:sz w:val="20"/>
          <w:szCs w:val="20"/>
        </w:rPr>
        <w:footnoteRef/>
      </w:r>
      <w:r w:rsidRPr="00064808">
        <w:rPr>
          <w:rFonts w:ascii="Aptos" w:hAnsi="Aptos"/>
        </w:rPr>
        <w:t xml:space="preserve">   </w:t>
      </w:r>
      <w:r w:rsidRPr="00064808">
        <w:rPr>
          <w:rFonts w:ascii="Aptos" w:hAnsi="Aptos"/>
          <w:b w:val="0"/>
          <w:bCs w:val="0"/>
          <w:sz w:val="20"/>
          <w:szCs w:val="20"/>
        </w:rPr>
        <w:t>Student was also diagnosed with Major Depressive Disorder, and Complex Post-Traumatic Stres</w:t>
      </w:r>
      <w:r w:rsidR="00526FB9" w:rsidRPr="00064808">
        <w:rPr>
          <w:rFonts w:ascii="Aptos" w:hAnsi="Aptos"/>
          <w:b w:val="0"/>
          <w:bCs w:val="0"/>
          <w:sz w:val="20"/>
          <w:szCs w:val="20"/>
        </w:rPr>
        <w:t>s Disorder based on an in-patient evaluation at Cambridge Health Alliance on July 11, 2024</w:t>
      </w:r>
      <w:r w:rsidR="004E59EF">
        <w:rPr>
          <w:rFonts w:ascii="Aptos" w:hAnsi="Aptos"/>
          <w:b w:val="0"/>
          <w:bCs w:val="0"/>
          <w:sz w:val="20"/>
          <w:szCs w:val="20"/>
        </w:rPr>
        <w:t>.  In addition</w:t>
      </w:r>
      <w:r w:rsidR="00994652" w:rsidRPr="00064808">
        <w:rPr>
          <w:rFonts w:ascii="Aptos" w:hAnsi="Aptos"/>
          <w:b w:val="0"/>
          <w:bCs w:val="0"/>
          <w:sz w:val="20"/>
          <w:szCs w:val="20"/>
        </w:rPr>
        <w:t xml:space="preserve">, his most recent neuropsychiatric evaluation conducted </w:t>
      </w:r>
      <w:r w:rsidR="00CF71EF">
        <w:rPr>
          <w:rFonts w:ascii="Aptos" w:hAnsi="Aptos"/>
          <w:b w:val="0"/>
          <w:bCs w:val="0"/>
          <w:sz w:val="20"/>
          <w:szCs w:val="20"/>
        </w:rPr>
        <w:t xml:space="preserve">during </w:t>
      </w:r>
      <w:r w:rsidR="00994652" w:rsidRPr="00064808">
        <w:rPr>
          <w:rFonts w:ascii="Aptos" w:hAnsi="Aptos"/>
          <w:b w:val="0"/>
          <w:bCs w:val="0"/>
          <w:sz w:val="20"/>
          <w:szCs w:val="20"/>
        </w:rPr>
        <w:t xml:space="preserve">an in-patient hospitalization in the spring of 2025 noted </w:t>
      </w:r>
      <w:r w:rsidR="00DB339D" w:rsidRPr="00064808">
        <w:rPr>
          <w:rFonts w:ascii="Aptos" w:hAnsi="Aptos"/>
          <w:b w:val="0"/>
          <w:bCs w:val="0"/>
          <w:sz w:val="20"/>
          <w:szCs w:val="20"/>
        </w:rPr>
        <w:t>Student’s “… personality is cluster B with borderline, narcissism, some histrionic with a lot of emotional numbing and callousness”</w:t>
      </w:r>
      <w:r w:rsidR="00526FB9" w:rsidRPr="00064808">
        <w:rPr>
          <w:rFonts w:ascii="Aptos" w:hAnsi="Aptos"/>
          <w:b w:val="0"/>
          <w:bCs w:val="0"/>
          <w:sz w:val="20"/>
          <w:szCs w:val="20"/>
        </w:rPr>
        <w:t>.  (</w:t>
      </w:r>
      <w:r w:rsidR="00526FB9" w:rsidRPr="00064808">
        <w:rPr>
          <w:rFonts w:ascii="Aptos" w:hAnsi="Aptos"/>
          <w:b w:val="0"/>
          <w:bCs w:val="0"/>
          <w:i/>
          <w:iCs/>
          <w:sz w:val="20"/>
          <w:szCs w:val="20"/>
        </w:rPr>
        <w:t>Hearing Request</w:t>
      </w:r>
      <w:r w:rsidR="00DB339D" w:rsidRPr="00064808">
        <w:rPr>
          <w:rFonts w:ascii="Aptos" w:hAnsi="Aptos"/>
          <w:b w:val="0"/>
          <w:bCs w:val="0"/>
          <w:sz w:val="20"/>
          <w:szCs w:val="20"/>
        </w:rPr>
        <w:t xml:space="preserve">; </w:t>
      </w:r>
      <w:r w:rsidR="00DB339D" w:rsidRPr="00064808">
        <w:rPr>
          <w:rFonts w:ascii="Aptos" w:hAnsi="Aptos"/>
          <w:b w:val="0"/>
          <w:bCs w:val="0"/>
          <w:i/>
          <w:iCs/>
          <w:sz w:val="20"/>
          <w:szCs w:val="20"/>
        </w:rPr>
        <w:t>Motion</w:t>
      </w:r>
      <w:r w:rsidR="00526FB9" w:rsidRPr="00064808">
        <w:rPr>
          <w:rFonts w:ascii="Aptos" w:hAnsi="Aptos"/>
          <w:b w:val="0"/>
          <w:bCs w:val="0"/>
          <w:sz w:val="20"/>
          <w:szCs w:val="20"/>
        </w:rPr>
        <w:t>).</w:t>
      </w:r>
    </w:p>
  </w:footnote>
  <w:footnote w:id="4">
    <w:p w14:paraId="4CE3750E" w14:textId="3904AEB4" w:rsidR="00BE6B08" w:rsidRPr="00064808" w:rsidRDefault="00BE6B08">
      <w:pPr>
        <w:pStyle w:val="FootnoteText"/>
        <w:rPr>
          <w:rFonts w:ascii="Aptos" w:hAnsi="Aptos"/>
        </w:rPr>
      </w:pPr>
      <w:r w:rsidRPr="00064808">
        <w:rPr>
          <w:rStyle w:val="FootnoteReference"/>
          <w:rFonts w:ascii="Aptos" w:hAnsi="Aptos"/>
        </w:rPr>
        <w:footnoteRef/>
      </w:r>
      <w:r w:rsidRPr="00064808">
        <w:rPr>
          <w:rFonts w:ascii="Aptos" w:hAnsi="Aptos"/>
        </w:rPr>
        <w:t xml:space="preserve">   According to the </w:t>
      </w:r>
      <w:r w:rsidRPr="00064808">
        <w:rPr>
          <w:rFonts w:ascii="Aptos" w:hAnsi="Aptos"/>
          <w:i/>
          <w:iCs/>
        </w:rPr>
        <w:t>Hearing Request</w:t>
      </w:r>
      <w:r w:rsidRPr="00064808">
        <w:rPr>
          <w:rFonts w:ascii="Aptos" w:hAnsi="Aptos"/>
        </w:rPr>
        <w:t xml:space="preserve">, Caregiver has </w:t>
      </w:r>
      <w:r w:rsidR="001F40AA" w:rsidRPr="00064808">
        <w:rPr>
          <w:rFonts w:ascii="Aptos" w:hAnsi="Aptos"/>
        </w:rPr>
        <w:t xml:space="preserve">had </w:t>
      </w:r>
      <w:r w:rsidRPr="00064808">
        <w:rPr>
          <w:rFonts w:ascii="Aptos" w:hAnsi="Aptos"/>
        </w:rPr>
        <w:t xml:space="preserve">educational </w:t>
      </w:r>
      <w:r w:rsidR="00B23D03" w:rsidRPr="00064808">
        <w:rPr>
          <w:rFonts w:ascii="Aptos" w:hAnsi="Aptos"/>
        </w:rPr>
        <w:t>decision-making</w:t>
      </w:r>
      <w:r w:rsidRPr="00064808">
        <w:rPr>
          <w:rFonts w:ascii="Aptos" w:hAnsi="Aptos"/>
        </w:rPr>
        <w:t xml:space="preserve"> authority for Student</w:t>
      </w:r>
      <w:r w:rsidR="001F40AA" w:rsidRPr="00064808">
        <w:rPr>
          <w:rFonts w:ascii="Aptos" w:hAnsi="Aptos"/>
        </w:rPr>
        <w:t xml:space="preserve"> for several years</w:t>
      </w:r>
      <w:r w:rsidRPr="00064808">
        <w:rPr>
          <w:rFonts w:ascii="Aptos" w:hAnsi="Aptos"/>
        </w:rPr>
        <w:t xml:space="preserve">, as she signed and accepted </w:t>
      </w:r>
      <w:r w:rsidR="001F40AA" w:rsidRPr="00064808">
        <w:rPr>
          <w:rFonts w:ascii="Aptos" w:hAnsi="Aptos"/>
        </w:rPr>
        <w:t>IEPs for him as far back as January of 2023.</w:t>
      </w:r>
    </w:p>
  </w:footnote>
  <w:footnote w:id="5">
    <w:p w14:paraId="3327C255" w14:textId="2403B1E5" w:rsidR="00B3277F" w:rsidRPr="00064808" w:rsidRDefault="00B3277F">
      <w:pPr>
        <w:pStyle w:val="FootnoteText"/>
        <w:rPr>
          <w:rFonts w:ascii="Aptos" w:hAnsi="Aptos"/>
        </w:rPr>
      </w:pPr>
      <w:r w:rsidRPr="00064808">
        <w:rPr>
          <w:rStyle w:val="FootnoteReference"/>
          <w:rFonts w:ascii="Aptos" w:hAnsi="Aptos"/>
        </w:rPr>
        <w:footnoteRef/>
      </w:r>
      <w:r w:rsidRPr="00064808">
        <w:rPr>
          <w:rFonts w:ascii="Aptos" w:hAnsi="Aptos"/>
        </w:rPr>
        <w:t xml:space="preserve">   See </w:t>
      </w:r>
      <w:r w:rsidRPr="00064808">
        <w:rPr>
          <w:rFonts w:ascii="Aptos" w:eastAsia="Times New Roman" w:hAnsi="Aptos" w:cs="Times New Roman"/>
          <w:bCs/>
          <w:color w:val="000000"/>
        </w:rPr>
        <w:t>M.G.L. c. 71B §2A.</w:t>
      </w:r>
    </w:p>
  </w:footnote>
  <w:footnote w:id="6">
    <w:p w14:paraId="45CEC8C2" w14:textId="18C9C148" w:rsidR="00E571A4" w:rsidRPr="00064808" w:rsidRDefault="00E571A4" w:rsidP="00E571A4">
      <w:pPr>
        <w:pStyle w:val="FootnoteText"/>
        <w:rPr>
          <w:rFonts w:ascii="Aptos" w:hAnsi="Aptos"/>
        </w:rPr>
      </w:pPr>
      <w:r w:rsidRPr="00064808">
        <w:rPr>
          <w:rStyle w:val="FootnoteReference"/>
          <w:rFonts w:ascii="Aptos" w:hAnsi="Aptos"/>
        </w:rPr>
        <w:footnoteRef/>
      </w:r>
      <w:r w:rsidRPr="00064808">
        <w:rPr>
          <w:rFonts w:ascii="Aptos" w:hAnsi="Aptos"/>
        </w:rPr>
        <w:t xml:space="preserve"> </w:t>
      </w:r>
      <w:r w:rsidRPr="00064808">
        <w:rPr>
          <w:rFonts w:ascii="Aptos" w:eastAsia="Times New Roman" w:hAnsi="Aptos" w:cs="Times New Roman"/>
          <w:bCs/>
          <w:color w:val="000000"/>
        </w:rPr>
        <w:t xml:space="preserve">MGL c. 71B, </w:t>
      </w:r>
      <w:r w:rsidR="001C1553" w:rsidRPr="00064808">
        <w:rPr>
          <w:rFonts w:ascii="Aptos" w:eastAsia="Times New Roman" w:hAnsi="Aptos" w:cs="Times New Roman"/>
          <w:bCs/>
          <w:color w:val="000000"/>
        </w:rPr>
        <w:t>§</w:t>
      </w:r>
      <w:r w:rsidRPr="00064808">
        <w:rPr>
          <w:rFonts w:ascii="Aptos" w:eastAsia="Times New Roman" w:hAnsi="Aptos" w:cs="Times New Roman"/>
          <w:bCs/>
          <w:color w:val="000000"/>
        </w:rPr>
        <w:t>3; see 603 CMR 28.08(3).</w:t>
      </w:r>
    </w:p>
  </w:footnote>
  <w:footnote w:id="7">
    <w:p w14:paraId="60B8EEA6" w14:textId="77777777" w:rsidR="00ED68EB" w:rsidRPr="00064808" w:rsidRDefault="00ED68EB" w:rsidP="00ED68EB">
      <w:pPr>
        <w:pStyle w:val="FootnoteText"/>
        <w:rPr>
          <w:rFonts w:ascii="Aptos" w:hAnsi="Aptos"/>
        </w:rPr>
      </w:pPr>
      <w:r w:rsidRPr="005848DE">
        <w:rPr>
          <w:rStyle w:val="FootnoteReference"/>
          <w:rFonts w:ascii="Aptos" w:hAnsi="Aptos"/>
        </w:rPr>
        <w:footnoteRef/>
      </w:r>
      <w:r w:rsidRPr="005848DE">
        <w:rPr>
          <w:rFonts w:ascii="Aptos" w:hAnsi="Aptos"/>
        </w:rPr>
        <w:t xml:space="preserve">   </w:t>
      </w:r>
      <w:r w:rsidRPr="005848DE">
        <w:rPr>
          <w:rFonts w:ascii="Aptos" w:hAnsi="Aptos" w:cs="Times New Roman"/>
          <w:i/>
          <w:iCs/>
        </w:rPr>
        <w:t>In Re: Acton-Boxborough Reg. Sch. Dist.</w:t>
      </w:r>
      <w:r w:rsidRPr="005848DE">
        <w:rPr>
          <w:rFonts w:ascii="Aptos" w:hAnsi="Aptos" w:cs="Times New Roman"/>
        </w:rPr>
        <w:t xml:space="preserve">, BSEA No. 1703770, 23 MSER 99 (Figueroa, 2017); see M.G.L. c. 71B </w:t>
      </w:r>
      <w:r w:rsidRPr="005848DE">
        <w:rPr>
          <w:rFonts w:ascii="Aptos" w:eastAsia="Times New Roman" w:hAnsi="Aptos" w:cs="Times New Roman"/>
          <w:bCs/>
          <w:color w:val="000000"/>
        </w:rPr>
        <w:t>§3;</w:t>
      </w:r>
      <w:r w:rsidRPr="005848DE">
        <w:rPr>
          <w:rFonts w:ascii="Aptos" w:hAnsi="Aptos" w:cs="Times New Roman"/>
        </w:rPr>
        <w:t xml:space="preserve"> </w:t>
      </w:r>
      <w:r w:rsidRPr="005848DE">
        <w:rPr>
          <w:rFonts w:ascii="Aptos" w:hAnsi="Aptos" w:cs="Times New Roman"/>
          <w:i/>
          <w:iCs/>
        </w:rPr>
        <w:t>In Re: Boston Pub. Sch. Dist.</w:t>
      </w:r>
      <w:r w:rsidRPr="005848DE">
        <w:rPr>
          <w:rFonts w:ascii="Aptos" w:hAnsi="Aptos" w:cs="Times New Roman"/>
        </w:rPr>
        <w:t>, BSEA No. 02-4553 (Figueroa, 2002)</w:t>
      </w:r>
      <w:r w:rsidRPr="005848DE">
        <w:rPr>
          <w:rFonts w:ascii="Aptos" w:eastAsia="Times New Roman" w:hAnsi="Aptos" w:cs="Times New Roman"/>
          <w:bCs/>
          <w:color w:val="000000"/>
        </w:rPr>
        <w:t>.</w:t>
      </w:r>
      <w:r w:rsidRPr="00064808">
        <w:rPr>
          <w:rFonts w:ascii="Aptos" w:eastAsia="Times New Roman" w:hAnsi="Aptos" w:cs="Times New Roman"/>
          <w:bCs/>
          <w:color w:val="000000"/>
        </w:rPr>
        <w:t xml:space="preserve">  </w:t>
      </w:r>
    </w:p>
  </w:footnote>
  <w:footnote w:id="8">
    <w:p w14:paraId="0CB8AA4F" w14:textId="77777777" w:rsidR="00332328" w:rsidRPr="0012600E" w:rsidRDefault="00332328" w:rsidP="00332328">
      <w:pPr>
        <w:pStyle w:val="FootnoteText"/>
        <w:rPr>
          <w:i/>
          <w:iCs/>
        </w:rPr>
      </w:pPr>
      <w:r>
        <w:rPr>
          <w:rStyle w:val="FootnoteReference"/>
        </w:rPr>
        <w:footnoteRef/>
      </w:r>
      <w:r>
        <w:t xml:space="preserve">   Although the District refers to this as “reconsideration”, the regulation uses the language “reapplies”.  104 CMR 29.04(5)(f) (“If an individual whose application was denied because of a determination that the individual did not need DMH services </w:t>
      </w:r>
      <w:r>
        <w:rPr>
          <w:i/>
          <w:iCs/>
        </w:rPr>
        <w:t xml:space="preserve">reapplies </w:t>
      </w:r>
      <w:r w:rsidRPr="00B57840">
        <w:t>due to a change in circumstances within 12 months of such denial …” (emphasis added).)</w:t>
      </w:r>
      <w:r>
        <w:t xml:space="preserve">  The term “reconsideration” is only used once in the regulatory scheme pertaining to situations involving appeals of denials where an applicant does not meet clinical criteria, which is not relevant to the instant matter.  See 104 CMR 29.16(3).  Filing a “reapplication”, however, means that the student must comply with the provisions of 104 CMR 29.04 relating to applications for DMH services, except as otherwise modified by subsection (5)(f).  See 104 CMR 29.04(1)(g) (providing, in relevant part, that “the </w:t>
      </w:r>
      <w:r w:rsidRPr="00B46542">
        <w:t>Department may redetermine whether a client continues to meet the criteria for DMH Services pursuant to 104 CMR 29.04(3) and (4) annually; when a client's circumstances have changed</w:t>
      </w:r>
      <w:r>
        <w:t xml:space="preserve"> …”).</w:t>
      </w:r>
    </w:p>
  </w:footnote>
  <w:footnote w:id="9">
    <w:p w14:paraId="38893426" w14:textId="08FE2686" w:rsidR="00236B8A" w:rsidRDefault="00236B8A">
      <w:pPr>
        <w:pStyle w:val="FootnoteText"/>
      </w:pPr>
      <w:r>
        <w:rPr>
          <w:rStyle w:val="FootnoteReference"/>
        </w:rPr>
        <w:footnoteRef/>
      </w:r>
      <w:r>
        <w:t xml:space="preserve">   </w:t>
      </w:r>
      <w:r w:rsidR="00106277">
        <w:t xml:space="preserve">According to </w:t>
      </w:r>
      <w:r w:rsidR="00402888">
        <w:t xml:space="preserve">104 CMR 29.03(2) </w:t>
      </w:r>
      <w:r w:rsidR="00647897">
        <w:t xml:space="preserve">there are </w:t>
      </w:r>
      <w:r w:rsidR="00FA46B6">
        <w:t>three prerequ</w:t>
      </w:r>
      <w:r w:rsidR="009855BE">
        <w:t xml:space="preserve">isites for authorization </w:t>
      </w:r>
      <w:r w:rsidR="00647897">
        <w:t>to receive a DMH service</w:t>
      </w:r>
      <w:r w:rsidR="009855BE">
        <w:t>:</w:t>
      </w:r>
      <w:r w:rsidR="00647897">
        <w:t xml:space="preserve"> </w:t>
      </w:r>
      <w:r w:rsidR="00402888" w:rsidRPr="00647897">
        <w:rPr>
          <w:rFonts w:ascii="Aptos" w:hAnsi="Aptos" w:cs="Times New Roman"/>
        </w:rPr>
        <w:t>being domiciled in Massachusetts</w:t>
      </w:r>
      <w:r w:rsidR="009855BE">
        <w:rPr>
          <w:rFonts w:ascii="Aptos" w:hAnsi="Aptos" w:cs="Times New Roman"/>
        </w:rPr>
        <w:t>;</w:t>
      </w:r>
      <w:r w:rsidR="00402888" w:rsidRPr="00647897">
        <w:rPr>
          <w:rFonts w:ascii="Aptos" w:hAnsi="Aptos" w:cs="Times New Roman"/>
        </w:rPr>
        <w:t xml:space="preserve"> “meet[</w:t>
      </w:r>
      <w:proofErr w:type="spellStart"/>
      <w:r w:rsidR="00402888" w:rsidRPr="00647897">
        <w:rPr>
          <w:rFonts w:ascii="Aptos" w:hAnsi="Aptos" w:cs="Times New Roman"/>
        </w:rPr>
        <w:t>ing</w:t>
      </w:r>
      <w:proofErr w:type="spellEnd"/>
      <w:r w:rsidR="00402888" w:rsidRPr="00647897">
        <w:rPr>
          <w:rFonts w:ascii="Aptos" w:hAnsi="Aptos" w:cs="Times New Roman"/>
        </w:rPr>
        <w:t>] the clinical criteria” of 104 CMR 29.04(3); “</w:t>
      </w:r>
      <w:r w:rsidR="00402888" w:rsidRPr="00647897">
        <w:rPr>
          <w:rFonts w:ascii="Aptos" w:hAnsi="Aptos" w:cs="Times New Roman"/>
          <w:i/>
          <w:iCs/>
        </w:rPr>
        <w:t>and</w:t>
      </w:r>
      <w:r w:rsidR="00402888" w:rsidRPr="00647897">
        <w:rPr>
          <w:rFonts w:ascii="Aptos" w:hAnsi="Aptos" w:cs="Times New Roman"/>
        </w:rPr>
        <w:t>” be</w:t>
      </w:r>
      <w:r w:rsidR="008072B1">
        <w:rPr>
          <w:rFonts w:ascii="Aptos" w:hAnsi="Aptos" w:cs="Times New Roman"/>
        </w:rPr>
        <w:t>ing</w:t>
      </w:r>
      <w:r w:rsidR="00402888" w:rsidRPr="00647897">
        <w:rPr>
          <w:rFonts w:ascii="Aptos" w:hAnsi="Aptos" w:cs="Times New Roman"/>
        </w:rPr>
        <w:t xml:space="preserve"> “determined to need a DMH service” under 104 CMR 29.04(4)</w:t>
      </w:r>
      <w:r w:rsidR="00647897">
        <w:rPr>
          <w:rFonts w:ascii="Aptos" w:hAnsi="Aptos" w:cs="Times New Roman"/>
        </w:rPr>
        <w:t xml:space="preserve"> (emphasis added).</w:t>
      </w:r>
      <w:r w:rsidR="00402888" w:rsidRPr="00647897">
        <w:t xml:space="preserve">  </w:t>
      </w:r>
    </w:p>
  </w:footnote>
  <w:footnote w:id="10">
    <w:p w14:paraId="59E5F4AF" w14:textId="42759B4D" w:rsidR="008735F2" w:rsidRDefault="008735F2">
      <w:pPr>
        <w:pStyle w:val="FootnoteText"/>
      </w:pPr>
      <w:r>
        <w:rPr>
          <w:rStyle w:val="FootnoteReference"/>
        </w:rPr>
        <w:footnoteRef/>
      </w:r>
      <w:r>
        <w:t xml:space="preserve">   The regulations allow all timelines to be extended for “good cause”.  104 CMR 29.04(1)(f)(6).</w:t>
      </w:r>
    </w:p>
  </w:footnote>
  <w:footnote w:id="11">
    <w:p w14:paraId="640C980E" w14:textId="603CA3E0" w:rsidR="002A360B" w:rsidRDefault="002A360B">
      <w:pPr>
        <w:pStyle w:val="FootnoteText"/>
      </w:pPr>
      <w:r>
        <w:rPr>
          <w:rStyle w:val="FootnoteReference"/>
        </w:rPr>
        <w:footnoteRef/>
      </w:r>
      <w:r>
        <w:t xml:space="preserve">   “If an individual is found to meet the clinical criteria for DMH services as set forth in 104 CMR 29.04(3), </w:t>
      </w:r>
      <w:r w:rsidRPr="002508B6">
        <w:rPr>
          <w:i/>
          <w:iCs/>
        </w:rPr>
        <w:t>then</w:t>
      </w:r>
      <w:r>
        <w:t xml:space="preserve"> [DMH] shall determine whether the individual </w:t>
      </w:r>
      <w:proofErr w:type="spellStart"/>
      <w:r>
        <w:t>needsDMH</w:t>
      </w:r>
      <w:proofErr w:type="spellEnd"/>
      <w:r>
        <w:t xml:space="preserve"> services as provided in 104 CMR 29.04(4)” (emphasis added).  </w:t>
      </w:r>
      <w:r w:rsidR="00795898">
        <w:t>104 CMR 29.04(3)(f)(1).</w:t>
      </w:r>
    </w:p>
  </w:footnote>
  <w:footnote w:id="12">
    <w:p w14:paraId="34702C21" w14:textId="1519519F" w:rsidR="0025685A" w:rsidRDefault="0025685A">
      <w:pPr>
        <w:pStyle w:val="FootnoteText"/>
      </w:pPr>
      <w:r>
        <w:rPr>
          <w:rStyle w:val="FootnoteReference"/>
        </w:rPr>
        <w:footnoteRef/>
      </w:r>
      <w:r>
        <w:t xml:space="preserve">   104 CMR 29.04(3)(f)</w:t>
      </w:r>
      <w:r w:rsidR="00262882">
        <w:t>(2)</w:t>
      </w:r>
      <w:r>
        <w:t>(b).</w:t>
      </w:r>
      <w:r w:rsidR="00FD08F3">
        <w:t xml:space="preserve">  </w:t>
      </w:r>
    </w:p>
  </w:footnote>
  <w:footnote w:id="13">
    <w:p w14:paraId="1100862F" w14:textId="33493156" w:rsidR="0025685A" w:rsidRDefault="0025685A">
      <w:pPr>
        <w:pStyle w:val="FootnoteText"/>
      </w:pPr>
      <w:r>
        <w:rPr>
          <w:rStyle w:val="FootnoteReference"/>
        </w:rPr>
        <w:footnoteRef/>
      </w:r>
      <w:r>
        <w:t xml:space="preserve">   104 </w:t>
      </w:r>
      <w:r w:rsidR="00351D91">
        <w:t>CMR 29.04(</w:t>
      </w:r>
      <w:r w:rsidR="004F5D05">
        <w:t>5</w:t>
      </w:r>
      <w:r w:rsidR="00351D91">
        <w:t>)</w:t>
      </w:r>
      <w:r w:rsidR="00262882">
        <w:t>(e)(2).</w:t>
      </w:r>
    </w:p>
  </w:footnote>
  <w:footnote w:id="14">
    <w:p w14:paraId="33036A41" w14:textId="36F3D728" w:rsidR="00655F75" w:rsidRPr="00655F75" w:rsidRDefault="00655F75">
      <w:pPr>
        <w:pStyle w:val="FootnoteText"/>
      </w:pPr>
      <w:r w:rsidRPr="00655F75">
        <w:rPr>
          <w:rStyle w:val="FootnoteReference"/>
        </w:rPr>
        <w:footnoteRef/>
      </w:r>
      <w:r w:rsidRPr="00655F75">
        <w:t xml:space="preserve">   </w:t>
      </w:r>
      <w:r w:rsidRPr="00655F75">
        <w:rPr>
          <w:rFonts w:ascii="Aptos" w:hAnsi="Aptos" w:cs="Times New Roman"/>
        </w:rPr>
        <w:t xml:space="preserve">104 CMR 29.04(5)(f) provides that a reapplication due to a change in circumstances within 12 months of denial of an application </w:t>
      </w:r>
      <w:r w:rsidR="00C7217E">
        <w:rPr>
          <w:rFonts w:ascii="Aptos" w:hAnsi="Aptos" w:cs="Times New Roman"/>
        </w:rPr>
        <w:t xml:space="preserve">based only on a determination that an application does not need </w:t>
      </w:r>
      <w:r w:rsidRPr="00655F75">
        <w:rPr>
          <w:rFonts w:ascii="Aptos" w:hAnsi="Aptos" w:cs="Times New Roman"/>
        </w:rPr>
        <w:t xml:space="preserve">DMH services will involve a continued presumption that the applicant continues to meet clinical criteria.  </w:t>
      </w:r>
    </w:p>
  </w:footnote>
  <w:footnote w:id="15">
    <w:p w14:paraId="37E3A470" w14:textId="1B314771" w:rsidR="007D2E5E" w:rsidRDefault="007D2E5E">
      <w:pPr>
        <w:pStyle w:val="FootnoteText"/>
      </w:pPr>
      <w:r>
        <w:rPr>
          <w:rStyle w:val="FootnoteReference"/>
        </w:rPr>
        <w:footnoteRef/>
      </w:r>
      <w:r>
        <w:t xml:space="preserve">   The District also contends that </w:t>
      </w:r>
      <w:r w:rsidR="00F7374A">
        <w:t xml:space="preserve">the </w:t>
      </w:r>
      <w:r w:rsidR="00F7374A">
        <w:rPr>
          <w:i/>
          <w:iCs/>
        </w:rPr>
        <w:t xml:space="preserve">DMH Determination </w:t>
      </w:r>
      <w:r>
        <w:t xml:space="preserve">failed to comply with </w:t>
      </w:r>
      <w:r w:rsidR="00F7374A">
        <w:t xml:space="preserve">the </w:t>
      </w:r>
      <w:r>
        <w:t xml:space="preserve">regulatory requirements to </w:t>
      </w:r>
      <w:r w:rsidR="000431D4">
        <w:t xml:space="preserve">inform Student of </w:t>
      </w:r>
      <w:r w:rsidR="009F1102">
        <w:t xml:space="preserve">the reasons for its denial and </w:t>
      </w:r>
      <w:r w:rsidR="00F7374A">
        <w:t xml:space="preserve">the </w:t>
      </w:r>
      <w:r w:rsidR="000431D4">
        <w:t xml:space="preserve">community services </w:t>
      </w:r>
      <w:r w:rsidR="0060669E">
        <w:t xml:space="preserve">that may be </w:t>
      </w:r>
      <w:r w:rsidR="000431D4">
        <w:t xml:space="preserve">available to meet his needs.  </w:t>
      </w:r>
      <w:r w:rsidR="009E6109">
        <w:t>Although</w:t>
      </w:r>
      <w:r w:rsidR="00F907B6">
        <w:t xml:space="preserve"> this </w:t>
      </w:r>
      <w:r w:rsidR="009E6109">
        <w:t xml:space="preserve">failure </w:t>
      </w:r>
      <w:r w:rsidR="00F6353A">
        <w:t xml:space="preserve">may </w:t>
      </w:r>
      <w:r w:rsidR="00F907B6">
        <w:t xml:space="preserve">have been a basis to appeal the denial, </w:t>
      </w:r>
      <w:r w:rsidR="009E6109">
        <w:t>no such appeal was filed</w:t>
      </w:r>
      <w:r w:rsidR="00F907B6">
        <w:t xml:space="preserve">.  </w:t>
      </w:r>
      <w:r w:rsidR="007A2876">
        <w:t xml:space="preserve">As </w:t>
      </w:r>
      <w:r w:rsidR="000431D4">
        <w:t xml:space="preserve">I have no authority </w:t>
      </w:r>
      <w:r w:rsidR="001D7D94">
        <w:t xml:space="preserve">to enforce </w:t>
      </w:r>
      <w:r w:rsidR="00F907B6">
        <w:t>DMH’s regulations,</w:t>
      </w:r>
      <w:r w:rsidR="006F1C32">
        <w:t xml:space="preserve"> </w:t>
      </w:r>
      <w:r w:rsidR="00427BBE">
        <w:t xml:space="preserve">but rather </w:t>
      </w:r>
      <w:r w:rsidR="006F1C32">
        <w:t xml:space="preserve">am limited by </w:t>
      </w:r>
      <w:r w:rsidR="00427BBE">
        <w:t xml:space="preserve">them, </w:t>
      </w:r>
      <w:r w:rsidR="00F907B6">
        <w:t xml:space="preserve">I do not </w:t>
      </w:r>
      <w:r w:rsidR="00204CA6">
        <w:t>find this argument persuasive</w:t>
      </w:r>
      <w:r w:rsidR="00427BBE">
        <w:t>, either</w:t>
      </w:r>
      <w:r w:rsidR="00F907B6">
        <w:t xml:space="preserve">.  </w:t>
      </w:r>
    </w:p>
  </w:footnote>
  <w:footnote w:id="16">
    <w:p w14:paraId="3675BE4E" w14:textId="56C80158" w:rsidR="009A4FAE" w:rsidRDefault="009A4FAE">
      <w:pPr>
        <w:pStyle w:val="FootnoteText"/>
      </w:pPr>
      <w:r>
        <w:rPr>
          <w:rStyle w:val="FootnoteReference"/>
        </w:rPr>
        <w:footnoteRef/>
      </w:r>
      <w:r>
        <w:t xml:space="preserve">   </w:t>
      </w:r>
      <w:r w:rsidR="00631CDB" w:rsidRPr="00631CDB">
        <w:rPr>
          <w:i/>
          <w:iCs/>
        </w:rPr>
        <w:t xml:space="preserve">In Re: Norwood Pub. </w:t>
      </w:r>
      <w:proofErr w:type="spellStart"/>
      <w:r w:rsidR="00631CDB" w:rsidRPr="00631CDB">
        <w:rPr>
          <w:i/>
          <w:iCs/>
        </w:rPr>
        <w:t>Schs</w:t>
      </w:r>
      <w:proofErr w:type="spellEnd"/>
      <w:r w:rsidR="00631CDB" w:rsidRPr="00631CDB">
        <w:rPr>
          <w:i/>
          <w:iCs/>
        </w:rPr>
        <w:t>., et. al.</w:t>
      </w:r>
      <w:r w:rsidR="00631CDB" w:rsidRPr="00631CDB">
        <w:t xml:space="preserve">, BSEA No. 1710189, 23 MSER 169 (Reichbach, 2017) (student eligible for DCF services); </w:t>
      </w:r>
      <w:r w:rsidRPr="00631CDB">
        <w:rPr>
          <w:i/>
          <w:iCs/>
        </w:rPr>
        <w:t>In Re</w:t>
      </w:r>
      <w:r w:rsidR="0039398C" w:rsidRPr="00631CDB">
        <w:rPr>
          <w:i/>
          <w:iCs/>
        </w:rPr>
        <w:t>:</w:t>
      </w:r>
      <w:r w:rsidRPr="00631CDB">
        <w:rPr>
          <w:i/>
          <w:iCs/>
        </w:rPr>
        <w:t xml:space="preserve"> </w:t>
      </w:r>
      <w:r w:rsidR="00154F56" w:rsidRPr="00631CDB">
        <w:rPr>
          <w:i/>
          <w:iCs/>
        </w:rPr>
        <w:t xml:space="preserve">Arlington Pub. </w:t>
      </w:r>
      <w:proofErr w:type="spellStart"/>
      <w:r w:rsidR="00154F56" w:rsidRPr="00631CDB">
        <w:rPr>
          <w:i/>
          <w:iCs/>
        </w:rPr>
        <w:t>Schs</w:t>
      </w:r>
      <w:proofErr w:type="spellEnd"/>
      <w:r w:rsidR="00154F56" w:rsidRPr="00631CDB">
        <w:rPr>
          <w:i/>
          <w:iCs/>
        </w:rPr>
        <w:t xml:space="preserve">. and </w:t>
      </w:r>
      <w:r w:rsidRPr="00631CDB">
        <w:rPr>
          <w:i/>
          <w:iCs/>
        </w:rPr>
        <w:t>Wanda</w:t>
      </w:r>
      <w:r w:rsidR="0070626B" w:rsidRPr="00631CDB">
        <w:t xml:space="preserve">, BSEA No. 1700442, </w:t>
      </w:r>
      <w:r w:rsidR="00154F56" w:rsidRPr="00631CDB">
        <w:t xml:space="preserve">22 </w:t>
      </w:r>
      <w:r w:rsidR="0070626B" w:rsidRPr="00631CDB">
        <w:t xml:space="preserve">MSER </w:t>
      </w:r>
      <w:r w:rsidR="00154F56" w:rsidRPr="00631CDB">
        <w:t>221</w:t>
      </w:r>
      <w:r w:rsidR="0070626B" w:rsidRPr="00631CDB">
        <w:t>(Reichbach,</w:t>
      </w:r>
      <w:r w:rsidR="00631CDB" w:rsidRPr="00631CDB">
        <w:t xml:space="preserve"> 2016</w:t>
      </w:r>
      <w:r w:rsidR="0070626B" w:rsidRPr="00631CDB">
        <w:t>)</w:t>
      </w:r>
      <w:r w:rsidRPr="00631CDB">
        <w:t xml:space="preserve"> (student eligible for DDS services)</w:t>
      </w:r>
      <w:r w:rsidR="006A45F4" w:rsidRPr="00631CDB">
        <w:t>.</w:t>
      </w:r>
    </w:p>
  </w:footnote>
  <w:footnote w:id="17">
    <w:p w14:paraId="37116738" w14:textId="423547EE" w:rsidR="00CE11A8" w:rsidRPr="005848DE" w:rsidRDefault="00CE11A8">
      <w:pPr>
        <w:pStyle w:val="FootnoteText"/>
      </w:pPr>
      <w:r>
        <w:rPr>
          <w:rStyle w:val="FootnoteReference"/>
        </w:rPr>
        <w:footnoteRef/>
      </w:r>
      <w:r>
        <w:t xml:space="preserve">   </w:t>
      </w:r>
      <w:r w:rsidRPr="00487AA3">
        <w:rPr>
          <w:i/>
          <w:iCs/>
        </w:rPr>
        <w:t>In Re</w:t>
      </w:r>
      <w:r w:rsidR="00A84619">
        <w:rPr>
          <w:i/>
          <w:iCs/>
        </w:rPr>
        <w:t>:</w:t>
      </w:r>
      <w:r w:rsidRPr="00487AA3">
        <w:rPr>
          <w:i/>
          <w:iCs/>
        </w:rPr>
        <w:t xml:space="preserve"> Westford</w:t>
      </w:r>
      <w:r w:rsidR="00CC4315" w:rsidRPr="00487AA3">
        <w:rPr>
          <w:i/>
          <w:iCs/>
        </w:rPr>
        <w:t xml:space="preserve"> Pub. </w:t>
      </w:r>
      <w:proofErr w:type="spellStart"/>
      <w:r w:rsidR="00CC4315" w:rsidRPr="005848DE">
        <w:rPr>
          <w:i/>
          <w:iCs/>
        </w:rPr>
        <w:t>Schs</w:t>
      </w:r>
      <w:proofErr w:type="spellEnd"/>
      <w:r w:rsidR="00CC4315" w:rsidRPr="005848DE">
        <w:rPr>
          <w:i/>
          <w:iCs/>
        </w:rPr>
        <w:t>.,</w:t>
      </w:r>
      <w:r w:rsidR="000D4E10" w:rsidRPr="005848DE">
        <w:rPr>
          <w:i/>
          <w:iCs/>
        </w:rPr>
        <w:t xml:space="preserve"> et. al.</w:t>
      </w:r>
      <w:r w:rsidR="002A1B32" w:rsidRPr="005848DE">
        <w:t xml:space="preserve">, BSEA No. </w:t>
      </w:r>
      <w:r w:rsidR="00177F9B" w:rsidRPr="005848DE">
        <w:t>1607922</w:t>
      </w:r>
      <w:r w:rsidR="002A1B32" w:rsidRPr="005848DE">
        <w:t xml:space="preserve">, </w:t>
      </w:r>
      <w:r w:rsidR="00C80E4F" w:rsidRPr="005848DE">
        <w:t xml:space="preserve">22 </w:t>
      </w:r>
      <w:r w:rsidR="00AA01EE" w:rsidRPr="005848DE">
        <w:t>MSER 77</w:t>
      </w:r>
      <w:r w:rsidR="00CC4315" w:rsidRPr="005848DE">
        <w:t xml:space="preserve"> (Reichbach, </w:t>
      </w:r>
      <w:r w:rsidR="00177F9B" w:rsidRPr="005848DE">
        <w:t>2016</w:t>
      </w:r>
      <w:r w:rsidR="00CC4315" w:rsidRPr="005848DE">
        <w:t>)</w:t>
      </w:r>
    </w:p>
  </w:footnote>
  <w:footnote w:id="18">
    <w:p w14:paraId="751D9FB2" w14:textId="6A0490F5" w:rsidR="00FE47AB" w:rsidRDefault="00FE47AB">
      <w:pPr>
        <w:pStyle w:val="FootnoteText"/>
      </w:pPr>
      <w:r>
        <w:rPr>
          <w:rStyle w:val="FootnoteReference"/>
        </w:rPr>
        <w:footnoteRef/>
      </w:r>
      <w:r>
        <w:t xml:space="preserve">   </w:t>
      </w:r>
      <w:r w:rsidRPr="005B56F6">
        <w:rPr>
          <w:i/>
          <w:iCs/>
        </w:rPr>
        <w:t>In Re</w:t>
      </w:r>
      <w:r w:rsidR="00A84619">
        <w:rPr>
          <w:i/>
          <w:iCs/>
        </w:rPr>
        <w:t>:</w:t>
      </w:r>
      <w:r w:rsidRPr="005B56F6">
        <w:rPr>
          <w:i/>
          <w:iCs/>
        </w:rPr>
        <w:t xml:space="preserve"> Georgetown</w:t>
      </w:r>
      <w:r w:rsidR="007C63CA" w:rsidRPr="005B56F6">
        <w:rPr>
          <w:i/>
          <w:iCs/>
        </w:rPr>
        <w:t xml:space="preserve"> Pub. </w:t>
      </w:r>
      <w:proofErr w:type="spellStart"/>
      <w:r w:rsidR="007C63CA" w:rsidRPr="005B56F6">
        <w:rPr>
          <w:i/>
          <w:iCs/>
        </w:rPr>
        <w:t>Schs</w:t>
      </w:r>
      <w:proofErr w:type="spellEnd"/>
      <w:r w:rsidR="007C63CA" w:rsidRPr="005B56F6">
        <w:rPr>
          <w:i/>
          <w:iCs/>
        </w:rPr>
        <w:t>.</w:t>
      </w:r>
      <w:r w:rsidR="005B56F6" w:rsidRPr="005B56F6">
        <w:rPr>
          <w:i/>
          <w:iCs/>
        </w:rPr>
        <w:t xml:space="preserve"> et. al.</w:t>
      </w:r>
      <w:r w:rsidR="005B56F6">
        <w:t>,</w:t>
      </w:r>
      <w:r w:rsidR="007C63CA">
        <w:t xml:space="preserve"> BSEA No. 1500020 (Ruling, 201</w:t>
      </w:r>
      <w:r w:rsidR="005B56F6">
        <w:t>4)</w:t>
      </w:r>
    </w:p>
  </w:footnote>
  <w:footnote w:id="19">
    <w:p w14:paraId="4D4B75B9" w14:textId="49B4E935" w:rsidR="00794665" w:rsidRPr="00FB1494" w:rsidRDefault="00794665">
      <w:pPr>
        <w:pStyle w:val="FootnoteText"/>
      </w:pPr>
      <w:r>
        <w:rPr>
          <w:rStyle w:val="FootnoteReference"/>
        </w:rPr>
        <w:footnoteRef/>
      </w:r>
      <w:r>
        <w:t xml:space="preserve">  </w:t>
      </w:r>
      <w:r w:rsidR="00272298">
        <w:t>Namely</w:t>
      </w:r>
      <w:r w:rsidR="00272298" w:rsidRPr="00272298">
        <w:rPr>
          <w:i/>
          <w:iCs/>
        </w:rPr>
        <w:t xml:space="preserve"> </w:t>
      </w:r>
      <w:r w:rsidR="00272298" w:rsidRPr="00E92E59">
        <w:rPr>
          <w:i/>
          <w:iCs/>
        </w:rPr>
        <w:t xml:space="preserve">In Re: Boston Pub. </w:t>
      </w:r>
      <w:proofErr w:type="spellStart"/>
      <w:r w:rsidR="00272298" w:rsidRPr="00E92E59">
        <w:rPr>
          <w:i/>
          <w:iCs/>
        </w:rPr>
        <w:t>Schs</w:t>
      </w:r>
      <w:proofErr w:type="spellEnd"/>
      <w:r w:rsidR="00272298" w:rsidRPr="00E92E59">
        <w:rPr>
          <w:i/>
          <w:iCs/>
        </w:rPr>
        <w:t>. et. al.</w:t>
      </w:r>
      <w:r w:rsidR="00272298" w:rsidRPr="00FB1494">
        <w:t xml:space="preserve">, BSEA No. 1707097 </w:t>
      </w:r>
      <w:r w:rsidR="00272298">
        <w:t>23</w:t>
      </w:r>
      <w:r w:rsidR="00272298" w:rsidRPr="00FB1494">
        <w:t xml:space="preserve"> MSER </w:t>
      </w:r>
      <w:r w:rsidR="00272298">
        <w:t>59</w:t>
      </w:r>
      <w:r w:rsidR="00272298" w:rsidRPr="00FB1494">
        <w:t xml:space="preserve"> (Berman, 2017)</w:t>
      </w:r>
      <w:r w:rsidR="00272298">
        <w:t xml:space="preserve">; </w:t>
      </w:r>
      <w:r w:rsidR="00F4245C" w:rsidRPr="00E92E59">
        <w:rPr>
          <w:i/>
          <w:iCs/>
        </w:rPr>
        <w:t xml:space="preserve">In Re: Northampton Pub. </w:t>
      </w:r>
      <w:proofErr w:type="spellStart"/>
      <w:r w:rsidR="00F4245C" w:rsidRPr="00E92E59">
        <w:rPr>
          <w:i/>
          <w:iCs/>
        </w:rPr>
        <w:t>Schs</w:t>
      </w:r>
      <w:proofErr w:type="spellEnd"/>
      <w:r w:rsidR="00F4245C" w:rsidRPr="00E92E59">
        <w:rPr>
          <w:i/>
          <w:iCs/>
        </w:rPr>
        <w:t>.</w:t>
      </w:r>
      <w:r w:rsidR="00F4245C">
        <w:t xml:space="preserve">, BSEA No. 2006485, </w:t>
      </w:r>
      <w:r w:rsidR="00FE220C">
        <w:t>26</w:t>
      </w:r>
      <w:r w:rsidR="00F4245C">
        <w:t xml:space="preserve"> MSER </w:t>
      </w:r>
      <w:r w:rsidR="00FE220C">
        <w:t>73</w:t>
      </w:r>
      <w:r w:rsidR="00F4245C">
        <w:t xml:space="preserve"> (Figueroa, 2020);</w:t>
      </w:r>
      <w:r w:rsidR="0041467B">
        <w:t xml:space="preserve"> and</w:t>
      </w:r>
      <w:r w:rsidR="00F4245C">
        <w:t xml:space="preserve"> </w:t>
      </w:r>
      <w:r w:rsidR="00272298" w:rsidRPr="00512164">
        <w:rPr>
          <w:i/>
          <w:iCs/>
        </w:rPr>
        <w:t>In Re: Nashoba Reg. Sch. Dist.</w:t>
      </w:r>
      <w:r w:rsidR="00272298">
        <w:t>, BSEA No. 2306061, 29 MSER 52 (Mitchell, 2023)</w:t>
      </w:r>
      <w:r w:rsidR="00F4245C">
        <w:t>.</w:t>
      </w:r>
      <w:r w:rsidR="00201576">
        <w:t xml:space="preserve"> </w:t>
      </w:r>
    </w:p>
  </w:footnote>
  <w:footnote w:id="20">
    <w:p w14:paraId="54CCAC62" w14:textId="0EC0B93E" w:rsidR="00565FC0" w:rsidRDefault="00565FC0">
      <w:pPr>
        <w:pStyle w:val="FootnoteText"/>
      </w:pPr>
      <w:r>
        <w:rPr>
          <w:rStyle w:val="FootnoteReference"/>
        </w:rPr>
        <w:footnoteRef/>
      </w:r>
      <w:r>
        <w:t xml:space="preserve">   </w:t>
      </w:r>
      <w:r w:rsidRPr="00B82455">
        <w:rPr>
          <w:i/>
          <w:iCs/>
        </w:rPr>
        <w:t>In Re</w:t>
      </w:r>
      <w:r w:rsidR="00A84619">
        <w:rPr>
          <w:i/>
          <w:iCs/>
        </w:rPr>
        <w:t>:</w:t>
      </w:r>
      <w:r w:rsidRPr="00B82455">
        <w:rPr>
          <w:i/>
          <w:iCs/>
        </w:rPr>
        <w:t xml:space="preserve"> Nashoba</w:t>
      </w:r>
      <w:r w:rsidR="003965B9">
        <w:t xml:space="preserve">, </w:t>
      </w:r>
      <w:r w:rsidR="00B82455">
        <w:t>BSEA No.  2306061.</w:t>
      </w:r>
      <w:r w:rsidR="00D94139">
        <w:t xml:space="preserve">  However, </w:t>
      </w:r>
      <w:r w:rsidR="008B1D5F">
        <w:t>the argument presented by the District here (i.e</w:t>
      </w:r>
      <w:r w:rsidR="00DA4464">
        <w:t>.</w:t>
      </w:r>
      <w:r w:rsidR="008B1D5F">
        <w:t xml:space="preserve">, that </w:t>
      </w:r>
      <w:r w:rsidR="00622AB4">
        <w:t xml:space="preserve">joinder is not precluded when there has been </w:t>
      </w:r>
      <w:r w:rsidR="008B1D5F">
        <w:t xml:space="preserve">a denial for reasons of lack of a need for DMH services, despite a </w:t>
      </w:r>
      <w:r w:rsidR="00C859F5">
        <w:t>finding of meeting clinical criteria</w:t>
      </w:r>
      <w:r w:rsidR="00DA4464">
        <w:t>)</w:t>
      </w:r>
      <w:r w:rsidR="008B1D5F">
        <w:t>, was not raised in that matter</w:t>
      </w:r>
      <w:r>
        <w:t>.</w:t>
      </w:r>
    </w:p>
  </w:footnote>
  <w:footnote w:id="21">
    <w:p w14:paraId="43CFA0DF" w14:textId="67EEEFB8" w:rsidR="00B96C84" w:rsidRDefault="00B96C84" w:rsidP="00B96C84">
      <w:pPr>
        <w:pStyle w:val="FootnoteText"/>
      </w:pPr>
      <w:r>
        <w:rPr>
          <w:rStyle w:val="FootnoteReference"/>
        </w:rPr>
        <w:footnoteRef/>
      </w:r>
      <w:r>
        <w:t xml:space="preserve">   Moreover, while an application is “pending” an applicant could be found to </w:t>
      </w:r>
      <w:proofErr w:type="gramStart"/>
      <w:r>
        <w:t>be in need of</w:t>
      </w:r>
      <w:proofErr w:type="gramEnd"/>
      <w:r>
        <w:t xml:space="preserve"> “short term services”</w:t>
      </w:r>
      <w:r w:rsidR="00551FE6">
        <w:t xml:space="preserve"> and authorized to receive</w:t>
      </w:r>
      <w:r w:rsidR="00913EEC">
        <w:t xml:space="preserve"> them</w:t>
      </w:r>
      <w:r>
        <w:t>.  104 CMR 29.04(1)(h).</w:t>
      </w:r>
    </w:p>
  </w:footnote>
  <w:footnote w:id="22">
    <w:p w14:paraId="6F6FD571" w14:textId="081EE937" w:rsidR="00DB58A8" w:rsidRDefault="00DB58A8">
      <w:pPr>
        <w:pStyle w:val="FootnoteText"/>
      </w:pPr>
      <w:r>
        <w:rPr>
          <w:rStyle w:val="FootnoteReference"/>
        </w:rPr>
        <w:footnoteRef/>
      </w:r>
      <w:r>
        <w:t xml:space="preserve">   See also </w:t>
      </w:r>
      <w:r w:rsidR="003E632B">
        <w:rPr>
          <w:i/>
          <w:iCs/>
        </w:rPr>
        <w:t>In Re:  Westford</w:t>
      </w:r>
      <w:r w:rsidR="003E632B">
        <w:t xml:space="preserve">, BSEA No. </w:t>
      </w:r>
      <w:r w:rsidR="00487AA3">
        <w:t xml:space="preserve">1607922 </w:t>
      </w:r>
      <w:r w:rsidR="00592DE8">
        <w:t>(</w:t>
      </w:r>
      <w:r w:rsidR="00913EEC">
        <w:t>holding</w:t>
      </w:r>
      <w:r w:rsidR="00592DE8">
        <w:t xml:space="preserve"> that as the student’s “</w:t>
      </w:r>
      <w:r w:rsidR="00592DE8" w:rsidRPr="00592DE8">
        <w:t>application is pending, and he may be found eligible for DMH services</w:t>
      </w:r>
      <w:r w:rsidR="000D4E10">
        <w:t xml:space="preserve"> …</w:t>
      </w:r>
      <w:r w:rsidR="00592DE8" w:rsidRPr="00592DE8">
        <w:t xml:space="preserve"> remaining a party to this matter is not inconsistent with DMH regulations</w:t>
      </w:r>
      <w:r w:rsidR="000D4E10">
        <w:t xml:space="preserve"> …”)</w:t>
      </w:r>
      <w:r w:rsidR="008731C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2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A4"/>
    <w:rsid w:val="000016E5"/>
    <w:rsid w:val="00003426"/>
    <w:rsid w:val="000055B3"/>
    <w:rsid w:val="0001010A"/>
    <w:rsid w:val="00015689"/>
    <w:rsid w:val="000246EE"/>
    <w:rsid w:val="00024EE7"/>
    <w:rsid w:val="0003077C"/>
    <w:rsid w:val="00031143"/>
    <w:rsid w:val="00032428"/>
    <w:rsid w:val="00035A9D"/>
    <w:rsid w:val="00037BE4"/>
    <w:rsid w:val="000431D4"/>
    <w:rsid w:val="000432F1"/>
    <w:rsid w:val="00046115"/>
    <w:rsid w:val="00046789"/>
    <w:rsid w:val="0005012F"/>
    <w:rsid w:val="00050EC2"/>
    <w:rsid w:val="00052E50"/>
    <w:rsid w:val="000541C2"/>
    <w:rsid w:val="00057526"/>
    <w:rsid w:val="00060659"/>
    <w:rsid w:val="000615BB"/>
    <w:rsid w:val="00061B6E"/>
    <w:rsid w:val="00061B74"/>
    <w:rsid w:val="00061D90"/>
    <w:rsid w:val="00064808"/>
    <w:rsid w:val="000658C4"/>
    <w:rsid w:val="00070BE7"/>
    <w:rsid w:val="00071018"/>
    <w:rsid w:val="0007497B"/>
    <w:rsid w:val="000762ED"/>
    <w:rsid w:val="00077F02"/>
    <w:rsid w:val="00080E40"/>
    <w:rsid w:val="00084979"/>
    <w:rsid w:val="000903BA"/>
    <w:rsid w:val="00093422"/>
    <w:rsid w:val="00094A84"/>
    <w:rsid w:val="000975C8"/>
    <w:rsid w:val="000A0214"/>
    <w:rsid w:val="000A0A4B"/>
    <w:rsid w:val="000A32EF"/>
    <w:rsid w:val="000A33A1"/>
    <w:rsid w:val="000A48F3"/>
    <w:rsid w:val="000B011C"/>
    <w:rsid w:val="000B179D"/>
    <w:rsid w:val="000B18A6"/>
    <w:rsid w:val="000B26E8"/>
    <w:rsid w:val="000B30C8"/>
    <w:rsid w:val="000B4368"/>
    <w:rsid w:val="000B47A1"/>
    <w:rsid w:val="000B5E67"/>
    <w:rsid w:val="000B64AA"/>
    <w:rsid w:val="000B7009"/>
    <w:rsid w:val="000C0243"/>
    <w:rsid w:val="000C34BD"/>
    <w:rsid w:val="000C5511"/>
    <w:rsid w:val="000D0B03"/>
    <w:rsid w:val="000D2FB8"/>
    <w:rsid w:val="000D2FD3"/>
    <w:rsid w:val="000D4E10"/>
    <w:rsid w:val="000D5E09"/>
    <w:rsid w:val="000D6337"/>
    <w:rsid w:val="000D75E6"/>
    <w:rsid w:val="000E16C6"/>
    <w:rsid w:val="000E1CA9"/>
    <w:rsid w:val="000E2693"/>
    <w:rsid w:val="000E35B8"/>
    <w:rsid w:val="000F1F43"/>
    <w:rsid w:val="000F318E"/>
    <w:rsid w:val="000F4432"/>
    <w:rsid w:val="00100A4E"/>
    <w:rsid w:val="001012B6"/>
    <w:rsid w:val="00101EE8"/>
    <w:rsid w:val="00105220"/>
    <w:rsid w:val="00106277"/>
    <w:rsid w:val="00110E1B"/>
    <w:rsid w:val="00111DD7"/>
    <w:rsid w:val="001121C0"/>
    <w:rsid w:val="00112A23"/>
    <w:rsid w:val="00112D67"/>
    <w:rsid w:val="00114FB6"/>
    <w:rsid w:val="00115A9A"/>
    <w:rsid w:val="001162E6"/>
    <w:rsid w:val="00116822"/>
    <w:rsid w:val="0012600E"/>
    <w:rsid w:val="00131FFE"/>
    <w:rsid w:val="00132BF5"/>
    <w:rsid w:val="00134082"/>
    <w:rsid w:val="0013452A"/>
    <w:rsid w:val="0013646A"/>
    <w:rsid w:val="00136B3F"/>
    <w:rsid w:val="00142E01"/>
    <w:rsid w:val="00142E42"/>
    <w:rsid w:val="001437F9"/>
    <w:rsid w:val="00143B34"/>
    <w:rsid w:val="001451FA"/>
    <w:rsid w:val="00147B25"/>
    <w:rsid w:val="0015233A"/>
    <w:rsid w:val="00153A6F"/>
    <w:rsid w:val="00153AB9"/>
    <w:rsid w:val="001549EC"/>
    <w:rsid w:val="00154F56"/>
    <w:rsid w:val="00156668"/>
    <w:rsid w:val="0016096F"/>
    <w:rsid w:val="001610B6"/>
    <w:rsid w:val="00161939"/>
    <w:rsid w:val="00164BDE"/>
    <w:rsid w:val="00172096"/>
    <w:rsid w:val="0017212F"/>
    <w:rsid w:val="001733BB"/>
    <w:rsid w:val="00177F9B"/>
    <w:rsid w:val="001806C6"/>
    <w:rsid w:val="001811DE"/>
    <w:rsid w:val="001844F4"/>
    <w:rsid w:val="0018470C"/>
    <w:rsid w:val="0018667A"/>
    <w:rsid w:val="00192D80"/>
    <w:rsid w:val="00192DE0"/>
    <w:rsid w:val="00193484"/>
    <w:rsid w:val="0019440E"/>
    <w:rsid w:val="00195562"/>
    <w:rsid w:val="00196069"/>
    <w:rsid w:val="00197C44"/>
    <w:rsid w:val="001A51A8"/>
    <w:rsid w:val="001A528B"/>
    <w:rsid w:val="001A5BF6"/>
    <w:rsid w:val="001A66F8"/>
    <w:rsid w:val="001B491E"/>
    <w:rsid w:val="001B531B"/>
    <w:rsid w:val="001B5370"/>
    <w:rsid w:val="001B540A"/>
    <w:rsid w:val="001B686B"/>
    <w:rsid w:val="001B7BF0"/>
    <w:rsid w:val="001C1553"/>
    <w:rsid w:val="001C24A3"/>
    <w:rsid w:val="001C3A55"/>
    <w:rsid w:val="001D0079"/>
    <w:rsid w:val="001D1445"/>
    <w:rsid w:val="001D1D25"/>
    <w:rsid w:val="001D37E9"/>
    <w:rsid w:val="001D3B4D"/>
    <w:rsid w:val="001D3CD2"/>
    <w:rsid w:val="001D561D"/>
    <w:rsid w:val="001D5B3E"/>
    <w:rsid w:val="001D6783"/>
    <w:rsid w:val="001D6BE4"/>
    <w:rsid w:val="001D7D94"/>
    <w:rsid w:val="001E0708"/>
    <w:rsid w:val="001E29CB"/>
    <w:rsid w:val="001E2E10"/>
    <w:rsid w:val="001E3A8C"/>
    <w:rsid w:val="001E6B3A"/>
    <w:rsid w:val="001F00ED"/>
    <w:rsid w:val="001F126E"/>
    <w:rsid w:val="001F1AAC"/>
    <w:rsid w:val="001F1AC8"/>
    <w:rsid w:val="001F21C4"/>
    <w:rsid w:val="001F3012"/>
    <w:rsid w:val="001F34AA"/>
    <w:rsid w:val="001F3CE3"/>
    <w:rsid w:val="001F40AA"/>
    <w:rsid w:val="001F7894"/>
    <w:rsid w:val="00201576"/>
    <w:rsid w:val="002030ED"/>
    <w:rsid w:val="00203A2E"/>
    <w:rsid w:val="00204CA6"/>
    <w:rsid w:val="00206715"/>
    <w:rsid w:val="00206BCC"/>
    <w:rsid w:val="00207164"/>
    <w:rsid w:val="00210B9E"/>
    <w:rsid w:val="002114F9"/>
    <w:rsid w:val="00212541"/>
    <w:rsid w:val="00213A66"/>
    <w:rsid w:val="00214594"/>
    <w:rsid w:val="00214ABC"/>
    <w:rsid w:val="002172AB"/>
    <w:rsid w:val="0021760F"/>
    <w:rsid w:val="00217845"/>
    <w:rsid w:val="00222639"/>
    <w:rsid w:val="002233FB"/>
    <w:rsid w:val="00223C3F"/>
    <w:rsid w:val="00227FCC"/>
    <w:rsid w:val="0023070C"/>
    <w:rsid w:val="00230712"/>
    <w:rsid w:val="00230A73"/>
    <w:rsid w:val="002326EC"/>
    <w:rsid w:val="00232EFF"/>
    <w:rsid w:val="00234461"/>
    <w:rsid w:val="00236B8A"/>
    <w:rsid w:val="00237B33"/>
    <w:rsid w:val="002435D3"/>
    <w:rsid w:val="00246C79"/>
    <w:rsid w:val="002508B6"/>
    <w:rsid w:val="00251B33"/>
    <w:rsid w:val="0025206A"/>
    <w:rsid w:val="00252D24"/>
    <w:rsid w:val="00255AB7"/>
    <w:rsid w:val="0025685A"/>
    <w:rsid w:val="00261BA9"/>
    <w:rsid w:val="00261CDC"/>
    <w:rsid w:val="00262882"/>
    <w:rsid w:val="0026291A"/>
    <w:rsid w:val="002631A8"/>
    <w:rsid w:val="00264390"/>
    <w:rsid w:val="00266C92"/>
    <w:rsid w:val="00266D51"/>
    <w:rsid w:val="002701BE"/>
    <w:rsid w:val="00270C53"/>
    <w:rsid w:val="00272112"/>
    <w:rsid w:val="00272298"/>
    <w:rsid w:val="002779E3"/>
    <w:rsid w:val="002815EC"/>
    <w:rsid w:val="0028371D"/>
    <w:rsid w:val="002862CF"/>
    <w:rsid w:val="0028700D"/>
    <w:rsid w:val="00287039"/>
    <w:rsid w:val="00287519"/>
    <w:rsid w:val="0028789A"/>
    <w:rsid w:val="002879A9"/>
    <w:rsid w:val="00291719"/>
    <w:rsid w:val="00292038"/>
    <w:rsid w:val="00292FA9"/>
    <w:rsid w:val="0029389B"/>
    <w:rsid w:val="002942FE"/>
    <w:rsid w:val="002A0A5B"/>
    <w:rsid w:val="002A1671"/>
    <w:rsid w:val="002A1B32"/>
    <w:rsid w:val="002A360B"/>
    <w:rsid w:val="002A3ED4"/>
    <w:rsid w:val="002A3EDF"/>
    <w:rsid w:val="002A4721"/>
    <w:rsid w:val="002A556F"/>
    <w:rsid w:val="002A5C58"/>
    <w:rsid w:val="002A7636"/>
    <w:rsid w:val="002A7B4A"/>
    <w:rsid w:val="002B1259"/>
    <w:rsid w:val="002B1A2A"/>
    <w:rsid w:val="002B1BA9"/>
    <w:rsid w:val="002B1D5B"/>
    <w:rsid w:val="002B2D45"/>
    <w:rsid w:val="002B6209"/>
    <w:rsid w:val="002B7607"/>
    <w:rsid w:val="002C1234"/>
    <w:rsid w:val="002C1484"/>
    <w:rsid w:val="002C24BE"/>
    <w:rsid w:val="002D01FA"/>
    <w:rsid w:val="002D0611"/>
    <w:rsid w:val="002D1BE5"/>
    <w:rsid w:val="002D1CA9"/>
    <w:rsid w:val="002D28CD"/>
    <w:rsid w:val="002D2A43"/>
    <w:rsid w:val="002D3CC1"/>
    <w:rsid w:val="002D4614"/>
    <w:rsid w:val="002D5E3B"/>
    <w:rsid w:val="002D73A3"/>
    <w:rsid w:val="002D770E"/>
    <w:rsid w:val="002D7945"/>
    <w:rsid w:val="002D7E33"/>
    <w:rsid w:val="002E0271"/>
    <w:rsid w:val="002E0672"/>
    <w:rsid w:val="002E07D5"/>
    <w:rsid w:val="002E4B09"/>
    <w:rsid w:val="002E6988"/>
    <w:rsid w:val="002F0030"/>
    <w:rsid w:val="002F0180"/>
    <w:rsid w:val="002F1672"/>
    <w:rsid w:val="002F4065"/>
    <w:rsid w:val="002F4545"/>
    <w:rsid w:val="002F7C0D"/>
    <w:rsid w:val="003002AF"/>
    <w:rsid w:val="00300582"/>
    <w:rsid w:val="00300A09"/>
    <w:rsid w:val="00301D44"/>
    <w:rsid w:val="00302992"/>
    <w:rsid w:val="003055BA"/>
    <w:rsid w:val="00305F10"/>
    <w:rsid w:val="003066C3"/>
    <w:rsid w:val="003067F5"/>
    <w:rsid w:val="003068A8"/>
    <w:rsid w:val="003116E3"/>
    <w:rsid w:val="0031532D"/>
    <w:rsid w:val="00315CF5"/>
    <w:rsid w:val="0032006C"/>
    <w:rsid w:val="003237CD"/>
    <w:rsid w:val="00323F4E"/>
    <w:rsid w:val="00325354"/>
    <w:rsid w:val="00332142"/>
    <w:rsid w:val="00332328"/>
    <w:rsid w:val="003325FA"/>
    <w:rsid w:val="00334A29"/>
    <w:rsid w:val="00337A0F"/>
    <w:rsid w:val="00340800"/>
    <w:rsid w:val="00341D18"/>
    <w:rsid w:val="00342937"/>
    <w:rsid w:val="00344BC6"/>
    <w:rsid w:val="00344D05"/>
    <w:rsid w:val="00345128"/>
    <w:rsid w:val="00346F1B"/>
    <w:rsid w:val="00351D91"/>
    <w:rsid w:val="00354B02"/>
    <w:rsid w:val="00355DA3"/>
    <w:rsid w:val="00357EFE"/>
    <w:rsid w:val="003600B1"/>
    <w:rsid w:val="00362B9E"/>
    <w:rsid w:val="00366203"/>
    <w:rsid w:val="00370C33"/>
    <w:rsid w:val="00377E81"/>
    <w:rsid w:val="0038181F"/>
    <w:rsid w:val="003820E5"/>
    <w:rsid w:val="00382951"/>
    <w:rsid w:val="00382C7A"/>
    <w:rsid w:val="003854F9"/>
    <w:rsid w:val="0039010A"/>
    <w:rsid w:val="00391B10"/>
    <w:rsid w:val="00392E51"/>
    <w:rsid w:val="0039398C"/>
    <w:rsid w:val="00393A3C"/>
    <w:rsid w:val="00394E6E"/>
    <w:rsid w:val="003965B9"/>
    <w:rsid w:val="00396B21"/>
    <w:rsid w:val="003A07EC"/>
    <w:rsid w:val="003A376D"/>
    <w:rsid w:val="003B0C05"/>
    <w:rsid w:val="003B537E"/>
    <w:rsid w:val="003C139B"/>
    <w:rsid w:val="003C48B9"/>
    <w:rsid w:val="003D0493"/>
    <w:rsid w:val="003D0CBC"/>
    <w:rsid w:val="003D4A41"/>
    <w:rsid w:val="003E24B8"/>
    <w:rsid w:val="003E372B"/>
    <w:rsid w:val="003E3F0A"/>
    <w:rsid w:val="003E45D9"/>
    <w:rsid w:val="003E5CE1"/>
    <w:rsid w:val="003E632B"/>
    <w:rsid w:val="003E6C2F"/>
    <w:rsid w:val="003E7EDC"/>
    <w:rsid w:val="003F090E"/>
    <w:rsid w:val="003F5A50"/>
    <w:rsid w:val="004021A0"/>
    <w:rsid w:val="00402888"/>
    <w:rsid w:val="00403F90"/>
    <w:rsid w:val="00407600"/>
    <w:rsid w:val="004121F6"/>
    <w:rsid w:val="0041383F"/>
    <w:rsid w:val="00413DAA"/>
    <w:rsid w:val="0041467B"/>
    <w:rsid w:val="00417676"/>
    <w:rsid w:val="004204CC"/>
    <w:rsid w:val="004214A2"/>
    <w:rsid w:val="004233BE"/>
    <w:rsid w:val="00423E0B"/>
    <w:rsid w:val="00425378"/>
    <w:rsid w:val="0042787B"/>
    <w:rsid w:val="00427BBE"/>
    <w:rsid w:val="004309E3"/>
    <w:rsid w:val="00431DD1"/>
    <w:rsid w:val="004328EF"/>
    <w:rsid w:val="00440F32"/>
    <w:rsid w:val="004421DC"/>
    <w:rsid w:val="0044235E"/>
    <w:rsid w:val="00442572"/>
    <w:rsid w:val="00444A36"/>
    <w:rsid w:val="00444DC7"/>
    <w:rsid w:val="004474FC"/>
    <w:rsid w:val="00450D86"/>
    <w:rsid w:val="00451953"/>
    <w:rsid w:val="004527F6"/>
    <w:rsid w:val="0045650B"/>
    <w:rsid w:val="00464182"/>
    <w:rsid w:val="00464419"/>
    <w:rsid w:val="00466B26"/>
    <w:rsid w:val="00467053"/>
    <w:rsid w:val="00467A59"/>
    <w:rsid w:val="004705D3"/>
    <w:rsid w:val="00471902"/>
    <w:rsid w:val="00471A8A"/>
    <w:rsid w:val="0047319B"/>
    <w:rsid w:val="00474FEF"/>
    <w:rsid w:val="00481C74"/>
    <w:rsid w:val="004835AB"/>
    <w:rsid w:val="00487AA3"/>
    <w:rsid w:val="00496465"/>
    <w:rsid w:val="004B0B07"/>
    <w:rsid w:val="004B0F77"/>
    <w:rsid w:val="004B25A2"/>
    <w:rsid w:val="004B5198"/>
    <w:rsid w:val="004B71CF"/>
    <w:rsid w:val="004C559C"/>
    <w:rsid w:val="004C70F5"/>
    <w:rsid w:val="004C771C"/>
    <w:rsid w:val="004D0137"/>
    <w:rsid w:val="004D7C5B"/>
    <w:rsid w:val="004E495A"/>
    <w:rsid w:val="004E59EF"/>
    <w:rsid w:val="004E6414"/>
    <w:rsid w:val="004E78AD"/>
    <w:rsid w:val="004E7E07"/>
    <w:rsid w:val="004F2FDD"/>
    <w:rsid w:val="004F33E6"/>
    <w:rsid w:val="004F4E41"/>
    <w:rsid w:val="004F5D05"/>
    <w:rsid w:val="00500568"/>
    <w:rsid w:val="00500676"/>
    <w:rsid w:val="00501EC7"/>
    <w:rsid w:val="00504418"/>
    <w:rsid w:val="00504933"/>
    <w:rsid w:val="00512164"/>
    <w:rsid w:val="00512D8F"/>
    <w:rsid w:val="00513A16"/>
    <w:rsid w:val="00514CDA"/>
    <w:rsid w:val="005154C3"/>
    <w:rsid w:val="00516914"/>
    <w:rsid w:val="00517765"/>
    <w:rsid w:val="00520102"/>
    <w:rsid w:val="00520528"/>
    <w:rsid w:val="00523E29"/>
    <w:rsid w:val="00526019"/>
    <w:rsid w:val="00526FB9"/>
    <w:rsid w:val="00530231"/>
    <w:rsid w:val="00532447"/>
    <w:rsid w:val="00532E53"/>
    <w:rsid w:val="0053405D"/>
    <w:rsid w:val="00536523"/>
    <w:rsid w:val="005400C9"/>
    <w:rsid w:val="00540A0B"/>
    <w:rsid w:val="00541089"/>
    <w:rsid w:val="00542538"/>
    <w:rsid w:val="00542F9B"/>
    <w:rsid w:val="00543BEB"/>
    <w:rsid w:val="0054450D"/>
    <w:rsid w:val="0055093E"/>
    <w:rsid w:val="00550B5F"/>
    <w:rsid w:val="0055113B"/>
    <w:rsid w:val="0055188F"/>
    <w:rsid w:val="00551FE6"/>
    <w:rsid w:val="005538CE"/>
    <w:rsid w:val="00553935"/>
    <w:rsid w:val="00557170"/>
    <w:rsid w:val="00557665"/>
    <w:rsid w:val="00557D03"/>
    <w:rsid w:val="00562E33"/>
    <w:rsid w:val="0056375B"/>
    <w:rsid w:val="00565FC0"/>
    <w:rsid w:val="00566051"/>
    <w:rsid w:val="00567E90"/>
    <w:rsid w:val="00570443"/>
    <w:rsid w:val="00570EF4"/>
    <w:rsid w:val="00573E8A"/>
    <w:rsid w:val="00575F0B"/>
    <w:rsid w:val="00577E18"/>
    <w:rsid w:val="00581AF2"/>
    <w:rsid w:val="00581BB7"/>
    <w:rsid w:val="005830EA"/>
    <w:rsid w:val="005848DE"/>
    <w:rsid w:val="00584FB1"/>
    <w:rsid w:val="005856C4"/>
    <w:rsid w:val="00585D56"/>
    <w:rsid w:val="00585F16"/>
    <w:rsid w:val="00586F13"/>
    <w:rsid w:val="005875AB"/>
    <w:rsid w:val="005905D9"/>
    <w:rsid w:val="00590988"/>
    <w:rsid w:val="00591057"/>
    <w:rsid w:val="00592DE8"/>
    <w:rsid w:val="00594FC6"/>
    <w:rsid w:val="005A0275"/>
    <w:rsid w:val="005A4FF2"/>
    <w:rsid w:val="005A7754"/>
    <w:rsid w:val="005B138F"/>
    <w:rsid w:val="005B1D58"/>
    <w:rsid w:val="005B1F8C"/>
    <w:rsid w:val="005B29A6"/>
    <w:rsid w:val="005B4397"/>
    <w:rsid w:val="005B56F6"/>
    <w:rsid w:val="005C0704"/>
    <w:rsid w:val="005C0FBC"/>
    <w:rsid w:val="005C22A8"/>
    <w:rsid w:val="005C239E"/>
    <w:rsid w:val="005C2C5E"/>
    <w:rsid w:val="005C2E4A"/>
    <w:rsid w:val="005C32AD"/>
    <w:rsid w:val="005C64E9"/>
    <w:rsid w:val="005C7869"/>
    <w:rsid w:val="005D207D"/>
    <w:rsid w:val="005D3542"/>
    <w:rsid w:val="005D4531"/>
    <w:rsid w:val="005D66DC"/>
    <w:rsid w:val="005D6CEA"/>
    <w:rsid w:val="005D7923"/>
    <w:rsid w:val="005D7D69"/>
    <w:rsid w:val="005E128F"/>
    <w:rsid w:val="005E277F"/>
    <w:rsid w:val="005E5795"/>
    <w:rsid w:val="005F2A25"/>
    <w:rsid w:val="005F5279"/>
    <w:rsid w:val="005F56AF"/>
    <w:rsid w:val="005F62F1"/>
    <w:rsid w:val="005F6821"/>
    <w:rsid w:val="00600DA5"/>
    <w:rsid w:val="00601115"/>
    <w:rsid w:val="00602123"/>
    <w:rsid w:val="006053EE"/>
    <w:rsid w:val="0060669E"/>
    <w:rsid w:val="00611232"/>
    <w:rsid w:val="00611B58"/>
    <w:rsid w:val="00611C03"/>
    <w:rsid w:val="00612E94"/>
    <w:rsid w:val="00616815"/>
    <w:rsid w:val="00617E77"/>
    <w:rsid w:val="006203FC"/>
    <w:rsid w:val="00621C41"/>
    <w:rsid w:val="00622AB4"/>
    <w:rsid w:val="00623159"/>
    <w:rsid w:val="0062607A"/>
    <w:rsid w:val="00631CDB"/>
    <w:rsid w:val="00633D1F"/>
    <w:rsid w:val="0064107F"/>
    <w:rsid w:val="0064146B"/>
    <w:rsid w:val="006414E6"/>
    <w:rsid w:val="0064164D"/>
    <w:rsid w:val="006416BC"/>
    <w:rsid w:val="00642A0C"/>
    <w:rsid w:val="00642E3E"/>
    <w:rsid w:val="006432AF"/>
    <w:rsid w:val="006449EC"/>
    <w:rsid w:val="00646D72"/>
    <w:rsid w:val="00647897"/>
    <w:rsid w:val="00650E6E"/>
    <w:rsid w:val="00654314"/>
    <w:rsid w:val="00654607"/>
    <w:rsid w:val="00655F75"/>
    <w:rsid w:val="0065767C"/>
    <w:rsid w:val="0066130E"/>
    <w:rsid w:val="006638CC"/>
    <w:rsid w:val="0066405C"/>
    <w:rsid w:val="0066427E"/>
    <w:rsid w:val="006644E8"/>
    <w:rsid w:val="00664FD5"/>
    <w:rsid w:val="006712BB"/>
    <w:rsid w:val="006746E4"/>
    <w:rsid w:val="00675466"/>
    <w:rsid w:val="006759EF"/>
    <w:rsid w:val="00676DF7"/>
    <w:rsid w:val="006849DA"/>
    <w:rsid w:val="00686019"/>
    <w:rsid w:val="00686354"/>
    <w:rsid w:val="0069128D"/>
    <w:rsid w:val="00692434"/>
    <w:rsid w:val="00693341"/>
    <w:rsid w:val="006937FD"/>
    <w:rsid w:val="00694717"/>
    <w:rsid w:val="00694EFB"/>
    <w:rsid w:val="00694F44"/>
    <w:rsid w:val="00696EFA"/>
    <w:rsid w:val="006A1801"/>
    <w:rsid w:val="006A2687"/>
    <w:rsid w:val="006A3A0C"/>
    <w:rsid w:val="006A45F4"/>
    <w:rsid w:val="006A75C3"/>
    <w:rsid w:val="006B0423"/>
    <w:rsid w:val="006B09A6"/>
    <w:rsid w:val="006B0DC9"/>
    <w:rsid w:val="006B16E8"/>
    <w:rsid w:val="006B195C"/>
    <w:rsid w:val="006B3620"/>
    <w:rsid w:val="006B38CA"/>
    <w:rsid w:val="006B3BFE"/>
    <w:rsid w:val="006B76F0"/>
    <w:rsid w:val="006C11CC"/>
    <w:rsid w:val="006C146A"/>
    <w:rsid w:val="006C2F8C"/>
    <w:rsid w:val="006C7765"/>
    <w:rsid w:val="006D051F"/>
    <w:rsid w:val="006D08B5"/>
    <w:rsid w:val="006D2E0F"/>
    <w:rsid w:val="006D319A"/>
    <w:rsid w:val="006D4FD8"/>
    <w:rsid w:val="006E0871"/>
    <w:rsid w:val="006E13C9"/>
    <w:rsid w:val="006E54C2"/>
    <w:rsid w:val="006E61E9"/>
    <w:rsid w:val="006E6857"/>
    <w:rsid w:val="006E6F3A"/>
    <w:rsid w:val="006F1C32"/>
    <w:rsid w:val="006F238B"/>
    <w:rsid w:val="006F4462"/>
    <w:rsid w:val="006F5D77"/>
    <w:rsid w:val="006F6F39"/>
    <w:rsid w:val="00701DBE"/>
    <w:rsid w:val="00701F67"/>
    <w:rsid w:val="00702CA3"/>
    <w:rsid w:val="0070626B"/>
    <w:rsid w:val="00706273"/>
    <w:rsid w:val="00711015"/>
    <w:rsid w:val="00711F19"/>
    <w:rsid w:val="007128B2"/>
    <w:rsid w:val="0071330A"/>
    <w:rsid w:val="00713D4A"/>
    <w:rsid w:val="00715FA0"/>
    <w:rsid w:val="007244E5"/>
    <w:rsid w:val="0073247A"/>
    <w:rsid w:val="00732E58"/>
    <w:rsid w:val="007335B9"/>
    <w:rsid w:val="007342C3"/>
    <w:rsid w:val="00735556"/>
    <w:rsid w:val="00736CCF"/>
    <w:rsid w:val="00736DBC"/>
    <w:rsid w:val="00740B08"/>
    <w:rsid w:val="00740C0C"/>
    <w:rsid w:val="00741A58"/>
    <w:rsid w:val="00742A4D"/>
    <w:rsid w:val="007463CD"/>
    <w:rsid w:val="00746D35"/>
    <w:rsid w:val="0075105A"/>
    <w:rsid w:val="00753150"/>
    <w:rsid w:val="00753789"/>
    <w:rsid w:val="0075595C"/>
    <w:rsid w:val="00756AB6"/>
    <w:rsid w:val="00757081"/>
    <w:rsid w:val="007654DC"/>
    <w:rsid w:val="007676D4"/>
    <w:rsid w:val="00767F0F"/>
    <w:rsid w:val="00772577"/>
    <w:rsid w:val="00772C09"/>
    <w:rsid w:val="00775BE1"/>
    <w:rsid w:val="00776D5A"/>
    <w:rsid w:val="007828D3"/>
    <w:rsid w:val="00783B18"/>
    <w:rsid w:val="0078541E"/>
    <w:rsid w:val="00786724"/>
    <w:rsid w:val="0078712A"/>
    <w:rsid w:val="0079104D"/>
    <w:rsid w:val="00791413"/>
    <w:rsid w:val="00791640"/>
    <w:rsid w:val="007939F6"/>
    <w:rsid w:val="00793C20"/>
    <w:rsid w:val="007940C3"/>
    <w:rsid w:val="00794665"/>
    <w:rsid w:val="00795898"/>
    <w:rsid w:val="007A02FC"/>
    <w:rsid w:val="007A1C82"/>
    <w:rsid w:val="007A1EB6"/>
    <w:rsid w:val="007A24FC"/>
    <w:rsid w:val="007A2876"/>
    <w:rsid w:val="007A333C"/>
    <w:rsid w:val="007A4576"/>
    <w:rsid w:val="007A49DC"/>
    <w:rsid w:val="007A5F05"/>
    <w:rsid w:val="007A7F24"/>
    <w:rsid w:val="007B1E85"/>
    <w:rsid w:val="007B2DDB"/>
    <w:rsid w:val="007B6AF0"/>
    <w:rsid w:val="007B6CA6"/>
    <w:rsid w:val="007C2354"/>
    <w:rsid w:val="007C39A7"/>
    <w:rsid w:val="007C3A85"/>
    <w:rsid w:val="007C4706"/>
    <w:rsid w:val="007C510B"/>
    <w:rsid w:val="007C63CA"/>
    <w:rsid w:val="007C7FA6"/>
    <w:rsid w:val="007D190C"/>
    <w:rsid w:val="007D286F"/>
    <w:rsid w:val="007D2E5E"/>
    <w:rsid w:val="007D5822"/>
    <w:rsid w:val="007D7177"/>
    <w:rsid w:val="007D795C"/>
    <w:rsid w:val="007E18A3"/>
    <w:rsid w:val="007E1C51"/>
    <w:rsid w:val="007E2AB3"/>
    <w:rsid w:val="007E2F86"/>
    <w:rsid w:val="007E5BD4"/>
    <w:rsid w:val="007F060C"/>
    <w:rsid w:val="007F4B4D"/>
    <w:rsid w:val="007F4CC1"/>
    <w:rsid w:val="007F745E"/>
    <w:rsid w:val="00800809"/>
    <w:rsid w:val="00800B01"/>
    <w:rsid w:val="00804E2C"/>
    <w:rsid w:val="008072B1"/>
    <w:rsid w:val="0081005F"/>
    <w:rsid w:val="00811A30"/>
    <w:rsid w:val="008147DB"/>
    <w:rsid w:val="00815455"/>
    <w:rsid w:val="0081652F"/>
    <w:rsid w:val="008202F6"/>
    <w:rsid w:val="00820CC3"/>
    <w:rsid w:val="00820EA4"/>
    <w:rsid w:val="00823550"/>
    <w:rsid w:val="00823912"/>
    <w:rsid w:val="00823BC7"/>
    <w:rsid w:val="00825CA5"/>
    <w:rsid w:val="00826BFB"/>
    <w:rsid w:val="008301C3"/>
    <w:rsid w:val="00830917"/>
    <w:rsid w:val="008336E1"/>
    <w:rsid w:val="008337DC"/>
    <w:rsid w:val="00833AC8"/>
    <w:rsid w:val="0084015D"/>
    <w:rsid w:val="00841B19"/>
    <w:rsid w:val="00843468"/>
    <w:rsid w:val="0084414A"/>
    <w:rsid w:val="00844803"/>
    <w:rsid w:val="008454ED"/>
    <w:rsid w:val="00845664"/>
    <w:rsid w:val="00845A71"/>
    <w:rsid w:val="008500B5"/>
    <w:rsid w:val="00852EE8"/>
    <w:rsid w:val="008538E6"/>
    <w:rsid w:val="00853CAA"/>
    <w:rsid w:val="00853E05"/>
    <w:rsid w:val="008553F2"/>
    <w:rsid w:val="00862A55"/>
    <w:rsid w:val="00864A70"/>
    <w:rsid w:val="00866325"/>
    <w:rsid w:val="008676B2"/>
    <w:rsid w:val="00867C57"/>
    <w:rsid w:val="0087106A"/>
    <w:rsid w:val="0087126A"/>
    <w:rsid w:val="008731CC"/>
    <w:rsid w:val="008735F2"/>
    <w:rsid w:val="00874E29"/>
    <w:rsid w:val="008754CE"/>
    <w:rsid w:val="008758A2"/>
    <w:rsid w:val="00880031"/>
    <w:rsid w:val="00883A2E"/>
    <w:rsid w:val="00885455"/>
    <w:rsid w:val="00890133"/>
    <w:rsid w:val="008916A5"/>
    <w:rsid w:val="0089253B"/>
    <w:rsid w:val="0089767B"/>
    <w:rsid w:val="008A2A7A"/>
    <w:rsid w:val="008A2CA7"/>
    <w:rsid w:val="008A5913"/>
    <w:rsid w:val="008A7A45"/>
    <w:rsid w:val="008B070C"/>
    <w:rsid w:val="008B1D5F"/>
    <w:rsid w:val="008B3D11"/>
    <w:rsid w:val="008B5205"/>
    <w:rsid w:val="008C1233"/>
    <w:rsid w:val="008C23CC"/>
    <w:rsid w:val="008C502A"/>
    <w:rsid w:val="008C520E"/>
    <w:rsid w:val="008D4BCA"/>
    <w:rsid w:val="008E714D"/>
    <w:rsid w:val="008F0576"/>
    <w:rsid w:val="008F0B92"/>
    <w:rsid w:val="008F4A1F"/>
    <w:rsid w:val="008F60E0"/>
    <w:rsid w:val="008F676D"/>
    <w:rsid w:val="00900C66"/>
    <w:rsid w:val="009036FA"/>
    <w:rsid w:val="009039CA"/>
    <w:rsid w:val="00903FB3"/>
    <w:rsid w:val="009040FB"/>
    <w:rsid w:val="009055B8"/>
    <w:rsid w:val="00906C1D"/>
    <w:rsid w:val="0091147B"/>
    <w:rsid w:val="009131F1"/>
    <w:rsid w:val="00913EEC"/>
    <w:rsid w:val="0092065F"/>
    <w:rsid w:val="00923217"/>
    <w:rsid w:val="00923A83"/>
    <w:rsid w:val="00923F16"/>
    <w:rsid w:val="009249DF"/>
    <w:rsid w:val="009251A9"/>
    <w:rsid w:val="009258C3"/>
    <w:rsid w:val="009266D5"/>
    <w:rsid w:val="00932731"/>
    <w:rsid w:val="00933EC3"/>
    <w:rsid w:val="00933F10"/>
    <w:rsid w:val="00936112"/>
    <w:rsid w:val="00936900"/>
    <w:rsid w:val="00936B05"/>
    <w:rsid w:val="009407B2"/>
    <w:rsid w:val="009414D0"/>
    <w:rsid w:val="00943492"/>
    <w:rsid w:val="00946FC5"/>
    <w:rsid w:val="0095107B"/>
    <w:rsid w:val="00951F44"/>
    <w:rsid w:val="00952557"/>
    <w:rsid w:val="009544CD"/>
    <w:rsid w:val="009560CE"/>
    <w:rsid w:val="00956472"/>
    <w:rsid w:val="00963F4D"/>
    <w:rsid w:val="00964424"/>
    <w:rsid w:val="0096475E"/>
    <w:rsid w:val="0096529E"/>
    <w:rsid w:val="00971E91"/>
    <w:rsid w:val="009776A4"/>
    <w:rsid w:val="00977D1E"/>
    <w:rsid w:val="00980C99"/>
    <w:rsid w:val="00983F7E"/>
    <w:rsid w:val="00984128"/>
    <w:rsid w:val="009855BE"/>
    <w:rsid w:val="009859D8"/>
    <w:rsid w:val="00990FBB"/>
    <w:rsid w:val="009918D0"/>
    <w:rsid w:val="00993F96"/>
    <w:rsid w:val="00994652"/>
    <w:rsid w:val="009A4CED"/>
    <w:rsid w:val="009A4FAE"/>
    <w:rsid w:val="009A600C"/>
    <w:rsid w:val="009A78A1"/>
    <w:rsid w:val="009B57CB"/>
    <w:rsid w:val="009C49E2"/>
    <w:rsid w:val="009C579B"/>
    <w:rsid w:val="009C58E8"/>
    <w:rsid w:val="009D0914"/>
    <w:rsid w:val="009D2F3D"/>
    <w:rsid w:val="009D695F"/>
    <w:rsid w:val="009E224F"/>
    <w:rsid w:val="009E5E8D"/>
    <w:rsid w:val="009E6109"/>
    <w:rsid w:val="009F0530"/>
    <w:rsid w:val="009F1102"/>
    <w:rsid w:val="009F19E3"/>
    <w:rsid w:val="009F5B66"/>
    <w:rsid w:val="009F6D49"/>
    <w:rsid w:val="00A0231D"/>
    <w:rsid w:val="00A0570D"/>
    <w:rsid w:val="00A07821"/>
    <w:rsid w:val="00A124CE"/>
    <w:rsid w:val="00A1327D"/>
    <w:rsid w:val="00A13520"/>
    <w:rsid w:val="00A168CE"/>
    <w:rsid w:val="00A1741B"/>
    <w:rsid w:val="00A218EB"/>
    <w:rsid w:val="00A23692"/>
    <w:rsid w:val="00A25AB3"/>
    <w:rsid w:val="00A30121"/>
    <w:rsid w:val="00A3063D"/>
    <w:rsid w:val="00A30DBD"/>
    <w:rsid w:val="00A36338"/>
    <w:rsid w:val="00A36EB8"/>
    <w:rsid w:val="00A37278"/>
    <w:rsid w:val="00A37375"/>
    <w:rsid w:val="00A37597"/>
    <w:rsid w:val="00A379D0"/>
    <w:rsid w:val="00A41FEA"/>
    <w:rsid w:val="00A43521"/>
    <w:rsid w:val="00A45072"/>
    <w:rsid w:val="00A45CC7"/>
    <w:rsid w:val="00A45EE6"/>
    <w:rsid w:val="00A474C5"/>
    <w:rsid w:val="00A50C11"/>
    <w:rsid w:val="00A50E40"/>
    <w:rsid w:val="00A51218"/>
    <w:rsid w:val="00A513E2"/>
    <w:rsid w:val="00A51CA0"/>
    <w:rsid w:val="00A530F6"/>
    <w:rsid w:val="00A53F9A"/>
    <w:rsid w:val="00A55E20"/>
    <w:rsid w:val="00A57789"/>
    <w:rsid w:val="00A57959"/>
    <w:rsid w:val="00A63676"/>
    <w:rsid w:val="00A6710F"/>
    <w:rsid w:val="00A70C5F"/>
    <w:rsid w:val="00A7114C"/>
    <w:rsid w:val="00A71340"/>
    <w:rsid w:val="00A731F8"/>
    <w:rsid w:val="00A744D5"/>
    <w:rsid w:val="00A75933"/>
    <w:rsid w:val="00A75CDE"/>
    <w:rsid w:val="00A76037"/>
    <w:rsid w:val="00A76A69"/>
    <w:rsid w:val="00A7716B"/>
    <w:rsid w:val="00A81AF1"/>
    <w:rsid w:val="00A81C82"/>
    <w:rsid w:val="00A8345F"/>
    <w:rsid w:val="00A84619"/>
    <w:rsid w:val="00A84653"/>
    <w:rsid w:val="00A85FCE"/>
    <w:rsid w:val="00A87905"/>
    <w:rsid w:val="00A91AAD"/>
    <w:rsid w:val="00A91DDB"/>
    <w:rsid w:val="00A92A1A"/>
    <w:rsid w:val="00A93F5E"/>
    <w:rsid w:val="00AA01EE"/>
    <w:rsid w:val="00AA0B43"/>
    <w:rsid w:val="00AA14F8"/>
    <w:rsid w:val="00AA1F01"/>
    <w:rsid w:val="00AA2898"/>
    <w:rsid w:val="00AA39EC"/>
    <w:rsid w:val="00AA60AE"/>
    <w:rsid w:val="00AB1D28"/>
    <w:rsid w:val="00AB1D2D"/>
    <w:rsid w:val="00AB22E2"/>
    <w:rsid w:val="00AB444B"/>
    <w:rsid w:val="00AB5617"/>
    <w:rsid w:val="00AB5DFF"/>
    <w:rsid w:val="00AC04D3"/>
    <w:rsid w:val="00AC0915"/>
    <w:rsid w:val="00AC0EE7"/>
    <w:rsid w:val="00AC3935"/>
    <w:rsid w:val="00AC3BDD"/>
    <w:rsid w:val="00AC4F32"/>
    <w:rsid w:val="00AD092F"/>
    <w:rsid w:val="00AD224E"/>
    <w:rsid w:val="00AD2E20"/>
    <w:rsid w:val="00AD3794"/>
    <w:rsid w:val="00AD3952"/>
    <w:rsid w:val="00AD7935"/>
    <w:rsid w:val="00AE124B"/>
    <w:rsid w:val="00AE1EC9"/>
    <w:rsid w:val="00AE3D12"/>
    <w:rsid w:val="00AF1652"/>
    <w:rsid w:val="00AF1DAF"/>
    <w:rsid w:val="00AF2647"/>
    <w:rsid w:val="00AF403F"/>
    <w:rsid w:val="00AF4B7A"/>
    <w:rsid w:val="00AF65DC"/>
    <w:rsid w:val="00AF70E1"/>
    <w:rsid w:val="00B00682"/>
    <w:rsid w:val="00B0070F"/>
    <w:rsid w:val="00B0162A"/>
    <w:rsid w:val="00B01CC0"/>
    <w:rsid w:val="00B03B90"/>
    <w:rsid w:val="00B07095"/>
    <w:rsid w:val="00B07E94"/>
    <w:rsid w:val="00B112CE"/>
    <w:rsid w:val="00B1164D"/>
    <w:rsid w:val="00B14E14"/>
    <w:rsid w:val="00B163BC"/>
    <w:rsid w:val="00B20521"/>
    <w:rsid w:val="00B23D03"/>
    <w:rsid w:val="00B25876"/>
    <w:rsid w:val="00B260DC"/>
    <w:rsid w:val="00B2661E"/>
    <w:rsid w:val="00B31037"/>
    <w:rsid w:val="00B313EB"/>
    <w:rsid w:val="00B31D9D"/>
    <w:rsid w:val="00B325C3"/>
    <w:rsid w:val="00B3277F"/>
    <w:rsid w:val="00B329E8"/>
    <w:rsid w:val="00B32FEC"/>
    <w:rsid w:val="00B34AE0"/>
    <w:rsid w:val="00B34EA6"/>
    <w:rsid w:val="00B3677C"/>
    <w:rsid w:val="00B4324F"/>
    <w:rsid w:val="00B4468E"/>
    <w:rsid w:val="00B46542"/>
    <w:rsid w:val="00B47250"/>
    <w:rsid w:val="00B51C4A"/>
    <w:rsid w:val="00B52E7D"/>
    <w:rsid w:val="00B541A6"/>
    <w:rsid w:val="00B568FD"/>
    <w:rsid w:val="00B57840"/>
    <w:rsid w:val="00B603C1"/>
    <w:rsid w:val="00B60573"/>
    <w:rsid w:val="00B60C08"/>
    <w:rsid w:val="00B625B0"/>
    <w:rsid w:val="00B627C9"/>
    <w:rsid w:val="00B63A75"/>
    <w:rsid w:val="00B63AA0"/>
    <w:rsid w:val="00B663B0"/>
    <w:rsid w:val="00B67AA0"/>
    <w:rsid w:val="00B70D20"/>
    <w:rsid w:val="00B73983"/>
    <w:rsid w:val="00B82455"/>
    <w:rsid w:val="00B83B72"/>
    <w:rsid w:val="00B85401"/>
    <w:rsid w:val="00B8609D"/>
    <w:rsid w:val="00B90C67"/>
    <w:rsid w:val="00B91963"/>
    <w:rsid w:val="00B9295F"/>
    <w:rsid w:val="00B932F4"/>
    <w:rsid w:val="00B95739"/>
    <w:rsid w:val="00B96C84"/>
    <w:rsid w:val="00BA2389"/>
    <w:rsid w:val="00BA5C08"/>
    <w:rsid w:val="00BA6145"/>
    <w:rsid w:val="00BA6F2B"/>
    <w:rsid w:val="00BA7174"/>
    <w:rsid w:val="00BB03E8"/>
    <w:rsid w:val="00BB1901"/>
    <w:rsid w:val="00BB2FE1"/>
    <w:rsid w:val="00BB34FE"/>
    <w:rsid w:val="00BB5B85"/>
    <w:rsid w:val="00BB6788"/>
    <w:rsid w:val="00BB6B4B"/>
    <w:rsid w:val="00BB7589"/>
    <w:rsid w:val="00BC0115"/>
    <w:rsid w:val="00BC5D9B"/>
    <w:rsid w:val="00BC742C"/>
    <w:rsid w:val="00BD0621"/>
    <w:rsid w:val="00BE2D75"/>
    <w:rsid w:val="00BE398B"/>
    <w:rsid w:val="00BE532E"/>
    <w:rsid w:val="00BE56FD"/>
    <w:rsid w:val="00BE59C4"/>
    <w:rsid w:val="00BE6962"/>
    <w:rsid w:val="00BE6A96"/>
    <w:rsid w:val="00BE6B08"/>
    <w:rsid w:val="00BE6FAB"/>
    <w:rsid w:val="00BE7BCD"/>
    <w:rsid w:val="00BF28BA"/>
    <w:rsid w:val="00BF2FCB"/>
    <w:rsid w:val="00BF39E4"/>
    <w:rsid w:val="00BF536C"/>
    <w:rsid w:val="00BF7844"/>
    <w:rsid w:val="00C01D4D"/>
    <w:rsid w:val="00C02A4D"/>
    <w:rsid w:val="00C0305A"/>
    <w:rsid w:val="00C072F5"/>
    <w:rsid w:val="00C10CA8"/>
    <w:rsid w:val="00C11707"/>
    <w:rsid w:val="00C17EBE"/>
    <w:rsid w:val="00C21718"/>
    <w:rsid w:val="00C22F0C"/>
    <w:rsid w:val="00C23FF4"/>
    <w:rsid w:val="00C243A3"/>
    <w:rsid w:val="00C27CA7"/>
    <w:rsid w:val="00C306DE"/>
    <w:rsid w:val="00C32B8F"/>
    <w:rsid w:val="00C3308C"/>
    <w:rsid w:val="00C34C4B"/>
    <w:rsid w:val="00C34C66"/>
    <w:rsid w:val="00C34CCC"/>
    <w:rsid w:val="00C35442"/>
    <w:rsid w:val="00C35D76"/>
    <w:rsid w:val="00C3608F"/>
    <w:rsid w:val="00C375E3"/>
    <w:rsid w:val="00C44645"/>
    <w:rsid w:val="00C462B6"/>
    <w:rsid w:val="00C4790C"/>
    <w:rsid w:val="00C5216C"/>
    <w:rsid w:val="00C524FB"/>
    <w:rsid w:val="00C551C5"/>
    <w:rsid w:val="00C56B73"/>
    <w:rsid w:val="00C60AFD"/>
    <w:rsid w:val="00C6292B"/>
    <w:rsid w:val="00C62A45"/>
    <w:rsid w:val="00C71BB3"/>
    <w:rsid w:val="00C7217E"/>
    <w:rsid w:val="00C7418F"/>
    <w:rsid w:val="00C74F2B"/>
    <w:rsid w:val="00C775EE"/>
    <w:rsid w:val="00C77FB4"/>
    <w:rsid w:val="00C80E4F"/>
    <w:rsid w:val="00C810C0"/>
    <w:rsid w:val="00C84A70"/>
    <w:rsid w:val="00C859F5"/>
    <w:rsid w:val="00C9259F"/>
    <w:rsid w:val="00C9317D"/>
    <w:rsid w:val="00C936B0"/>
    <w:rsid w:val="00C96BDA"/>
    <w:rsid w:val="00C97228"/>
    <w:rsid w:val="00C97469"/>
    <w:rsid w:val="00CA08CB"/>
    <w:rsid w:val="00CA27A0"/>
    <w:rsid w:val="00CA7FDC"/>
    <w:rsid w:val="00CB0910"/>
    <w:rsid w:val="00CB1F82"/>
    <w:rsid w:val="00CB29F1"/>
    <w:rsid w:val="00CB3D83"/>
    <w:rsid w:val="00CB4C07"/>
    <w:rsid w:val="00CB53DD"/>
    <w:rsid w:val="00CC1D4B"/>
    <w:rsid w:val="00CC1F23"/>
    <w:rsid w:val="00CC362B"/>
    <w:rsid w:val="00CC4315"/>
    <w:rsid w:val="00CC482D"/>
    <w:rsid w:val="00CC6886"/>
    <w:rsid w:val="00CC7340"/>
    <w:rsid w:val="00CD2845"/>
    <w:rsid w:val="00CD3A78"/>
    <w:rsid w:val="00CD62C7"/>
    <w:rsid w:val="00CE11A8"/>
    <w:rsid w:val="00CE213C"/>
    <w:rsid w:val="00CE3676"/>
    <w:rsid w:val="00CE3EE8"/>
    <w:rsid w:val="00CE7A4D"/>
    <w:rsid w:val="00CE7BF5"/>
    <w:rsid w:val="00CF13C7"/>
    <w:rsid w:val="00CF42DA"/>
    <w:rsid w:val="00CF579E"/>
    <w:rsid w:val="00CF6D30"/>
    <w:rsid w:val="00CF71EF"/>
    <w:rsid w:val="00D00BED"/>
    <w:rsid w:val="00D026F4"/>
    <w:rsid w:val="00D06E5B"/>
    <w:rsid w:val="00D07649"/>
    <w:rsid w:val="00D10C66"/>
    <w:rsid w:val="00D110F1"/>
    <w:rsid w:val="00D12D91"/>
    <w:rsid w:val="00D134F6"/>
    <w:rsid w:val="00D151E8"/>
    <w:rsid w:val="00D15E99"/>
    <w:rsid w:val="00D21FF1"/>
    <w:rsid w:val="00D30497"/>
    <w:rsid w:val="00D327B3"/>
    <w:rsid w:val="00D34517"/>
    <w:rsid w:val="00D36085"/>
    <w:rsid w:val="00D36671"/>
    <w:rsid w:val="00D40136"/>
    <w:rsid w:val="00D4104E"/>
    <w:rsid w:val="00D41EA0"/>
    <w:rsid w:val="00D44864"/>
    <w:rsid w:val="00D4766B"/>
    <w:rsid w:val="00D50417"/>
    <w:rsid w:val="00D50544"/>
    <w:rsid w:val="00D51A5C"/>
    <w:rsid w:val="00D523B3"/>
    <w:rsid w:val="00D544F1"/>
    <w:rsid w:val="00D56089"/>
    <w:rsid w:val="00D6335A"/>
    <w:rsid w:val="00D65799"/>
    <w:rsid w:val="00D70400"/>
    <w:rsid w:val="00D71269"/>
    <w:rsid w:val="00D7164F"/>
    <w:rsid w:val="00D71A2A"/>
    <w:rsid w:val="00D71A7D"/>
    <w:rsid w:val="00D74EFA"/>
    <w:rsid w:val="00D81175"/>
    <w:rsid w:val="00D83371"/>
    <w:rsid w:val="00D85A12"/>
    <w:rsid w:val="00D86552"/>
    <w:rsid w:val="00D87073"/>
    <w:rsid w:val="00D878E2"/>
    <w:rsid w:val="00D94139"/>
    <w:rsid w:val="00D961F4"/>
    <w:rsid w:val="00D96D64"/>
    <w:rsid w:val="00DA1EE1"/>
    <w:rsid w:val="00DA2A3F"/>
    <w:rsid w:val="00DA32D2"/>
    <w:rsid w:val="00DA4464"/>
    <w:rsid w:val="00DA4C90"/>
    <w:rsid w:val="00DB339D"/>
    <w:rsid w:val="00DB34BD"/>
    <w:rsid w:val="00DB3822"/>
    <w:rsid w:val="00DB3D60"/>
    <w:rsid w:val="00DB3FE4"/>
    <w:rsid w:val="00DB5830"/>
    <w:rsid w:val="00DB58A8"/>
    <w:rsid w:val="00DC1D19"/>
    <w:rsid w:val="00DC38B0"/>
    <w:rsid w:val="00DC3A6E"/>
    <w:rsid w:val="00DC58E2"/>
    <w:rsid w:val="00DC5FAB"/>
    <w:rsid w:val="00DC61D8"/>
    <w:rsid w:val="00DC6E4F"/>
    <w:rsid w:val="00DC70F4"/>
    <w:rsid w:val="00DD03B4"/>
    <w:rsid w:val="00DD3F81"/>
    <w:rsid w:val="00DD45A6"/>
    <w:rsid w:val="00DD53E1"/>
    <w:rsid w:val="00DE4607"/>
    <w:rsid w:val="00DE709B"/>
    <w:rsid w:val="00DF0F95"/>
    <w:rsid w:val="00DF3B7E"/>
    <w:rsid w:val="00DF4554"/>
    <w:rsid w:val="00E01630"/>
    <w:rsid w:val="00E02968"/>
    <w:rsid w:val="00E05043"/>
    <w:rsid w:val="00E06FAB"/>
    <w:rsid w:val="00E10816"/>
    <w:rsid w:val="00E1293C"/>
    <w:rsid w:val="00E129BE"/>
    <w:rsid w:val="00E13F56"/>
    <w:rsid w:val="00E14A06"/>
    <w:rsid w:val="00E159B4"/>
    <w:rsid w:val="00E20567"/>
    <w:rsid w:val="00E2073A"/>
    <w:rsid w:val="00E24652"/>
    <w:rsid w:val="00E24FC3"/>
    <w:rsid w:val="00E25BC4"/>
    <w:rsid w:val="00E32782"/>
    <w:rsid w:val="00E3751B"/>
    <w:rsid w:val="00E40571"/>
    <w:rsid w:val="00E413D0"/>
    <w:rsid w:val="00E4609A"/>
    <w:rsid w:val="00E469F9"/>
    <w:rsid w:val="00E47BAF"/>
    <w:rsid w:val="00E47C5B"/>
    <w:rsid w:val="00E51F5B"/>
    <w:rsid w:val="00E5237F"/>
    <w:rsid w:val="00E53430"/>
    <w:rsid w:val="00E54C44"/>
    <w:rsid w:val="00E55DD0"/>
    <w:rsid w:val="00E571A4"/>
    <w:rsid w:val="00E57A4F"/>
    <w:rsid w:val="00E60DCD"/>
    <w:rsid w:val="00E626B0"/>
    <w:rsid w:val="00E62780"/>
    <w:rsid w:val="00E643FC"/>
    <w:rsid w:val="00E64EEC"/>
    <w:rsid w:val="00E65D50"/>
    <w:rsid w:val="00E707C2"/>
    <w:rsid w:val="00E725ED"/>
    <w:rsid w:val="00E74B86"/>
    <w:rsid w:val="00E7603E"/>
    <w:rsid w:val="00E772E8"/>
    <w:rsid w:val="00E80403"/>
    <w:rsid w:val="00E807D9"/>
    <w:rsid w:val="00E80CE8"/>
    <w:rsid w:val="00E92E59"/>
    <w:rsid w:val="00E95BE5"/>
    <w:rsid w:val="00EA0F0D"/>
    <w:rsid w:val="00EA1C29"/>
    <w:rsid w:val="00EA309D"/>
    <w:rsid w:val="00EA3273"/>
    <w:rsid w:val="00EA3681"/>
    <w:rsid w:val="00EB4799"/>
    <w:rsid w:val="00EB61B1"/>
    <w:rsid w:val="00EC0646"/>
    <w:rsid w:val="00EC4D90"/>
    <w:rsid w:val="00EC6504"/>
    <w:rsid w:val="00EC6689"/>
    <w:rsid w:val="00EC75B4"/>
    <w:rsid w:val="00ED090B"/>
    <w:rsid w:val="00ED1DFF"/>
    <w:rsid w:val="00ED57C1"/>
    <w:rsid w:val="00ED68EB"/>
    <w:rsid w:val="00EE258A"/>
    <w:rsid w:val="00EE2C5E"/>
    <w:rsid w:val="00EE342C"/>
    <w:rsid w:val="00EE5CF4"/>
    <w:rsid w:val="00EE627D"/>
    <w:rsid w:val="00EE6C3D"/>
    <w:rsid w:val="00EF0AF2"/>
    <w:rsid w:val="00EF15AE"/>
    <w:rsid w:val="00EF589B"/>
    <w:rsid w:val="00EF66E9"/>
    <w:rsid w:val="00F03BA5"/>
    <w:rsid w:val="00F04E68"/>
    <w:rsid w:val="00F053A8"/>
    <w:rsid w:val="00F06231"/>
    <w:rsid w:val="00F113CD"/>
    <w:rsid w:val="00F13519"/>
    <w:rsid w:val="00F139BB"/>
    <w:rsid w:val="00F147F5"/>
    <w:rsid w:val="00F15371"/>
    <w:rsid w:val="00F155C8"/>
    <w:rsid w:val="00F16750"/>
    <w:rsid w:val="00F22940"/>
    <w:rsid w:val="00F243E8"/>
    <w:rsid w:val="00F24453"/>
    <w:rsid w:val="00F246F5"/>
    <w:rsid w:val="00F24CAF"/>
    <w:rsid w:val="00F26487"/>
    <w:rsid w:val="00F31554"/>
    <w:rsid w:val="00F3280A"/>
    <w:rsid w:val="00F33F5D"/>
    <w:rsid w:val="00F343AA"/>
    <w:rsid w:val="00F36E73"/>
    <w:rsid w:val="00F3763B"/>
    <w:rsid w:val="00F41F00"/>
    <w:rsid w:val="00F4245C"/>
    <w:rsid w:val="00F46AA0"/>
    <w:rsid w:val="00F50848"/>
    <w:rsid w:val="00F508EE"/>
    <w:rsid w:val="00F5312C"/>
    <w:rsid w:val="00F54E9A"/>
    <w:rsid w:val="00F550BA"/>
    <w:rsid w:val="00F552DE"/>
    <w:rsid w:val="00F558E5"/>
    <w:rsid w:val="00F565E1"/>
    <w:rsid w:val="00F56804"/>
    <w:rsid w:val="00F56B7A"/>
    <w:rsid w:val="00F62413"/>
    <w:rsid w:val="00F6353A"/>
    <w:rsid w:val="00F63E82"/>
    <w:rsid w:val="00F642A9"/>
    <w:rsid w:val="00F65701"/>
    <w:rsid w:val="00F665DF"/>
    <w:rsid w:val="00F72814"/>
    <w:rsid w:val="00F72B93"/>
    <w:rsid w:val="00F7374A"/>
    <w:rsid w:val="00F776E5"/>
    <w:rsid w:val="00F80393"/>
    <w:rsid w:val="00F80D09"/>
    <w:rsid w:val="00F811B1"/>
    <w:rsid w:val="00F81DDC"/>
    <w:rsid w:val="00F823A9"/>
    <w:rsid w:val="00F843A6"/>
    <w:rsid w:val="00F84971"/>
    <w:rsid w:val="00F85053"/>
    <w:rsid w:val="00F8525C"/>
    <w:rsid w:val="00F85685"/>
    <w:rsid w:val="00F85EB2"/>
    <w:rsid w:val="00F87D48"/>
    <w:rsid w:val="00F907B6"/>
    <w:rsid w:val="00F93653"/>
    <w:rsid w:val="00F93DD2"/>
    <w:rsid w:val="00F93E8A"/>
    <w:rsid w:val="00F942BD"/>
    <w:rsid w:val="00F9465F"/>
    <w:rsid w:val="00F957D2"/>
    <w:rsid w:val="00F96C0C"/>
    <w:rsid w:val="00FA46B6"/>
    <w:rsid w:val="00FA75F0"/>
    <w:rsid w:val="00FB0982"/>
    <w:rsid w:val="00FB1494"/>
    <w:rsid w:val="00FB3981"/>
    <w:rsid w:val="00FB3EAF"/>
    <w:rsid w:val="00FB6CE9"/>
    <w:rsid w:val="00FB7A58"/>
    <w:rsid w:val="00FC0D5B"/>
    <w:rsid w:val="00FC3BBF"/>
    <w:rsid w:val="00FC656E"/>
    <w:rsid w:val="00FD08F3"/>
    <w:rsid w:val="00FD3AF5"/>
    <w:rsid w:val="00FE0174"/>
    <w:rsid w:val="00FE037E"/>
    <w:rsid w:val="00FE220C"/>
    <w:rsid w:val="00FE2965"/>
    <w:rsid w:val="00FE47AB"/>
    <w:rsid w:val="00FE4B1D"/>
    <w:rsid w:val="00FE5596"/>
    <w:rsid w:val="00FE5BDF"/>
    <w:rsid w:val="00FE687F"/>
    <w:rsid w:val="00FE6ED6"/>
    <w:rsid w:val="00FF35AA"/>
    <w:rsid w:val="00FF4A40"/>
    <w:rsid w:val="00FF4C0D"/>
    <w:rsid w:val="00FF6175"/>
    <w:rsid w:val="00FF6926"/>
    <w:rsid w:val="00FF6EDF"/>
    <w:rsid w:val="00FF77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E9A5"/>
  <w15:chartTrackingRefBased/>
  <w15:docId w15:val="{8595ABF1-DA27-4086-9171-33B7751B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D0"/>
    <w:rPr>
      <w:rFonts w:eastAsiaTheme="minorHAnsi"/>
      <w:szCs w:val="24"/>
      <w:lang w:eastAsia="en-US" w:bidi="ar-SA"/>
    </w:rPr>
  </w:style>
  <w:style w:type="paragraph" w:styleId="Heading1">
    <w:name w:val="heading 1"/>
    <w:basedOn w:val="Normal"/>
    <w:next w:val="Normal"/>
    <w:link w:val="Heading1Char"/>
    <w:uiPriority w:val="9"/>
    <w:qFormat/>
    <w:rsid w:val="00E60DCD"/>
    <w:pPr>
      <w:spacing w:after="0" w:line="240" w:lineRule="auto"/>
      <w:outlineLvl w:val="0"/>
    </w:pPr>
    <w:rPr>
      <w:b/>
      <w:bCs/>
      <w:sz w:val="25"/>
      <w:szCs w:val="25"/>
    </w:rPr>
  </w:style>
  <w:style w:type="paragraph" w:styleId="Heading2">
    <w:name w:val="heading 2"/>
    <w:basedOn w:val="Heading1"/>
    <w:next w:val="Normal"/>
    <w:link w:val="Heading2Char"/>
    <w:uiPriority w:val="9"/>
    <w:unhideWhenUsed/>
    <w:qFormat/>
    <w:rsid w:val="006C11CC"/>
    <w:pPr>
      <w:outlineLvl w:val="1"/>
    </w:pPr>
  </w:style>
  <w:style w:type="paragraph" w:styleId="Heading3">
    <w:name w:val="heading 3"/>
    <w:basedOn w:val="Normal"/>
    <w:next w:val="Normal"/>
    <w:link w:val="Heading3Char"/>
    <w:uiPriority w:val="9"/>
    <w:semiHidden/>
    <w:unhideWhenUsed/>
    <w:qFormat/>
    <w:rsid w:val="00E571A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5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CD"/>
    <w:rPr>
      <w:rFonts w:eastAsiaTheme="minorHAnsi"/>
      <w:b/>
      <w:bCs/>
      <w:sz w:val="25"/>
      <w:szCs w:val="25"/>
      <w:lang w:eastAsia="en-US" w:bidi="ar-SA"/>
    </w:rPr>
  </w:style>
  <w:style w:type="character" w:customStyle="1" w:styleId="Heading2Char">
    <w:name w:val="Heading 2 Char"/>
    <w:basedOn w:val="DefaultParagraphFont"/>
    <w:link w:val="Heading2"/>
    <w:uiPriority w:val="9"/>
    <w:rsid w:val="006C11CC"/>
    <w:rPr>
      <w:rFonts w:eastAsiaTheme="minorHAnsi"/>
      <w:i/>
      <w:iCs/>
      <w:sz w:val="20"/>
      <w:szCs w:val="20"/>
      <w:lang w:eastAsia="en-US" w:bidi="ar-SA"/>
    </w:rPr>
  </w:style>
  <w:style w:type="character" w:customStyle="1" w:styleId="Heading3Char">
    <w:name w:val="Heading 3 Char"/>
    <w:basedOn w:val="DefaultParagraphFont"/>
    <w:link w:val="Heading3"/>
    <w:uiPriority w:val="9"/>
    <w:semiHidden/>
    <w:rsid w:val="00E571A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5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1A4"/>
    <w:rPr>
      <w:rFonts w:eastAsiaTheme="majorEastAsia" w:cstheme="majorBidi"/>
      <w:color w:val="272727" w:themeColor="text1" w:themeTint="D8"/>
    </w:rPr>
  </w:style>
  <w:style w:type="paragraph" w:styleId="Title">
    <w:name w:val="Title"/>
    <w:basedOn w:val="Normal"/>
    <w:next w:val="Normal"/>
    <w:link w:val="TitleChar"/>
    <w:uiPriority w:val="10"/>
    <w:qFormat/>
    <w:rsid w:val="00E571A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571A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571A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571A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571A4"/>
    <w:pPr>
      <w:spacing w:before="160"/>
      <w:jc w:val="center"/>
    </w:pPr>
    <w:rPr>
      <w:i/>
      <w:iCs/>
      <w:color w:val="404040" w:themeColor="text1" w:themeTint="BF"/>
    </w:rPr>
  </w:style>
  <w:style w:type="character" w:customStyle="1" w:styleId="QuoteChar">
    <w:name w:val="Quote Char"/>
    <w:basedOn w:val="DefaultParagraphFont"/>
    <w:link w:val="Quote"/>
    <w:uiPriority w:val="29"/>
    <w:rsid w:val="00E571A4"/>
    <w:rPr>
      <w:i/>
      <w:iCs/>
      <w:color w:val="404040" w:themeColor="text1" w:themeTint="BF"/>
    </w:rPr>
  </w:style>
  <w:style w:type="paragraph" w:styleId="ListParagraph">
    <w:name w:val="List Paragraph"/>
    <w:basedOn w:val="Normal"/>
    <w:uiPriority w:val="34"/>
    <w:qFormat/>
    <w:rsid w:val="00E571A4"/>
    <w:pPr>
      <w:ind w:left="720"/>
      <w:contextualSpacing/>
    </w:pPr>
  </w:style>
  <w:style w:type="character" w:styleId="IntenseEmphasis">
    <w:name w:val="Intense Emphasis"/>
    <w:basedOn w:val="DefaultParagraphFont"/>
    <w:uiPriority w:val="21"/>
    <w:qFormat/>
    <w:rsid w:val="00E571A4"/>
    <w:rPr>
      <w:i/>
      <w:iCs/>
      <w:color w:val="0F4761" w:themeColor="accent1" w:themeShade="BF"/>
    </w:rPr>
  </w:style>
  <w:style w:type="paragraph" w:styleId="IntenseQuote">
    <w:name w:val="Intense Quote"/>
    <w:basedOn w:val="Normal"/>
    <w:next w:val="Normal"/>
    <w:link w:val="IntenseQuoteChar"/>
    <w:uiPriority w:val="30"/>
    <w:qFormat/>
    <w:rsid w:val="00E5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1A4"/>
    <w:rPr>
      <w:i/>
      <w:iCs/>
      <w:color w:val="0F4761" w:themeColor="accent1" w:themeShade="BF"/>
    </w:rPr>
  </w:style>
  <w:style w:type="character" w:styleId="IntenseReference">
    <w:name w:val="Intense Reference"/>
    <w:basedOn w:val="DefaultParagraphFont"/>
    <w:uiPriority w:val="32"/>
    <w:qFormat/>
    <w:rsid w:val="00E571A4"/>
    <w:rPr>
      <w:b/>
      <w:bCs/>
      <w:smallCaps/>
      <w:color w:val="0F4761" w:themeColor="accent1" w:themeShade="BF"/>
      <w:spacing w:val="5"/>
    </w:rPr>
  </w:style>
  <w:style w:type="paragraph" w:styleId="FootnoteText">
    <w:name w:val="footnote text"/>
    <w:basedOn w:val="Normal"/>
    <w:link w:val="FootnoteTextChar"/>
    <w:uiPriority w:val="99"/>
    <w:unhideWhenUsed/>
    <w:rsid w:val="00E571A4"/>
    <w:pPr>
      <w:spacing w:after="0" w:line="240" w:lineRule="auto"/>
    </w:pPr>
    <w:rPr>
      <w:sz w:val="20"/>
      <w:szCs w:val="20"/>
    </w:rPr>
  </w:style>
  <w:style w:type="character" w:customStyle="1" w:styleId="FootnoteTextChar">
    <w:name w:val="Footnote Text Char"/>
    <w:basedOn w:val="DefaultParagraphFont"/>
    <w:link w:val="FootnoteText"/>
    <w:uiPriority w:val="99"/>
    <w:rsid w:val="00E571A4"/>
    <w:rPr>
      <w:rFonts w:eastAsiaTheme="minorHAnsi"/>
      <w:sz w:val="20"/>
      <w:szCs w:val="20"/>
      <w:lang w:eastAsia="en-US" w:bidi="ar-SA"/>
    </w:rPr>
  </w:style>
  <w:style w:type="character" w:styleId="FootnoteReference">
    <w:name w:val="footnote reference"/>
    <w:basedOn w:val="DefaultParagraphFont"/>
    <w:uiPriority w:val="99"/>
    <w:unhideWhenUsed/>
    <w:rsid w:val="00E571A4"/>
    <w:rPr>
      <w:vertAlign w:val="superscript"/>
    </w:rPr>
  </w:style>
  <w:style w:type="paragraph" w:styleId="Header">
    <w:name w:val="header"/>
    <w:basedOn w:val="Normal"/>
    <w:link w:val="HeaderChar"/>
    <w:uiPriority w:val="99"/>
    <w:unhideWhenUsed/>
    <w:rsid w:val="0058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F16"/>
    <w:rPr>
      <w:rFonts w:eastAsiaTheme="minorHAnsi"/>
      <w:szCs w:val="24"/>
      <w:lang w:eastAsia="en-US" w:bidi="ar-SA"/>
    </w:rPr>
  </w:style>
  <w:style w:type="paragraph" w:styleId="Footer">
    <w:name w:val="footer"/>
    <w:basedOn w:val="Normal"/>
    <w:link w:val="FooterChar"/>
    <w:uiPriority w:val="99"/>
    <w:unhideWhenUsed/>
    <w:rsid w:val="0058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F16"/>
    <w:rPr>
      <w:rFonts w:eastAsiaTheme="minorHAnsi"/>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811B-0E61-4AE5-B9C7-C267A9A1BFC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2495</Words>
  <Characters>14222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2025-07-15T14:50:00Z</dcterms:created>
  <dcterms:modified xsi:type="dcterms:W3CDTF">2025-07-15T14:50:00Z</dcterms:modified>
</cp:coreProperties>
</file>