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D58" w14:textId="0BFD792D" w:rsidR="001B4DFD" w:rsidRPr="005C6354" w:rsidRDefault="001B4DFD" w:rsidP="006346EC">
      <w:pPr>
        <w:jc w:val="center"/>
        <w:rPr>
          <w:rFonts w:ascii="Aptos" w:hAnsi="Aptos"/>
          <w:b/>
          <w:color w:val="000000" w:themeColor="text1"/>
        </w:rPr>
      </w:pPr>
      <w:r w:rsidRPr="005C6354">
        <w:rPr>
          <w:rFonts w:ascii="Aptos" w:hAnsi="Aptos"/>
          <w:b/>
          <w:color w:val="000000" w:themeColor="text1"/>
        </w:rPr>
        <w:t>COMMONWEALTH OF MASSACHUSETTS</w:t>
      </w:r>
    </w:p>
    <w:p w14:paraId="240D9614" w14:textId="77777777" w:rsidR="001B4DFD" w:rsidRPr="005C6354" w:rsidRDefault="001B4DFD" w:rsidP="006346EC">
      <w:pPr>
        <w:jc w:val="center"/>
        <w:rPr>
          <w:rFonts w:ascii="Aptos" w:hAnsi="Aptos"/>
          <w:b/>
          <w:color w:val="000000" w:themeColor="text1"/>
        </w:rPr>
      </w:pPr>
      <w:r w:rsidRPr="005C6354">
        <w:rPr>
          <w:rFonts w:ascii="Aptos" w:hAnsi="Aptos"/>
          <w:b/>
          <w:color w:val="000000" w:themeColor="text1"/>
        </w:rPr>
        <w:t>DIVISION OF ADMINISTRATIVE LAW APPEALS</w:t>
      </w:r>
    </w:p>
    <w:p w14:paraId="38433E14" w14:textId="77777777" w:rsidR="001B4DFD" w:rsidRPr="005C6354" w:rsidRDefault="001B4DFD" w:rsidP="006346EC">
      <w:pPr>
        <w:jc w:val="center"/>
        <w:rPr>
          <w:rFonts w:ascii="Aptos" w:hAnsi="Aptos"/>
          <w:b/>
          <w:color w:val="000000" w:themeColor="text1"/>
        </w:rPr>
      </w:pPr>
      <w:r w:rsidRPr="005C6354">
        <w:rPr>
          <w:rFonts w:ascii="Aptos" w:hAnsi="Aptos"/>
          <w:b/>
          <w:color w:val="000000" w:themeColor="text1"/>
        </w:rPr>
        <w:t>BUREAU OF SPECIAL EDUCATION APPEALS</w:t>
      </w:r>
    </w:p>
    <w:p w14:paraId="3548EBAF" w14:textId="77777777" w:rsidR="00E4777B" w:rsidRPr="005C6354" w:rsidRDefault="00E4777B" w:rsidP="006346EC">
      <w:pPr>
        <w:tabs>
          <w:tab w:val="left" w:pos="8400"/>
        </w:tabs>
        <w:rPr>
          <w:rFonts w:ascii="Aptos" w:hAnsi="Aptos"/>
          <w:b/>
          <w:color w:val="000000" w:themeColor="text1"/>
        </w:rPr>
      </w:pPr>
    </w:p>
    <w:p w14:paraId="26E07F8A" w14:textId="0E68EF32" w:rsidR="00CE6EA1" w:rsidRPr="005C6354" w:rsidRDefault="00E4777B" w:rsidP="006346EC">
      <w:pPr>
        <w:tabs>
          <w:tab w:val="left" w:pos="8400"/>
        </w:tabs>
        <w:rPr>
          <w:rFonts w:ascii="Aptos" w:hAnsi="Aptos"/>
          <w:b/>
          <w:bCs/>
          <w:color w:val="000000" w:themeColor="text1"/>
        </w:rPr>
      </w:pPr>
      <w:r w:rsidRPr="005C6354">
        <w:rPr>
          <w:rFonts w:ascii="Aptos" w:hAnsi="Aptos"/>
          <w:b/>
          <w:color w:val="000000" w:themeColor="text1"/>
        </w:rPr>
        <w:t xml:space="preserve">In </w:t>
      </w:r>
      <w:r w:rsidRPr="005C6354">
        <w:rPr>
          <w:rFonts w:ascii="Aptos" w:hAnsi="Aptos"/>
          <w:b/>
          <w:bCs/>
          <w:color w:val="000000" w:themeColor="text1"/>
        </w:rPr>
        <w:t xml:space="preserve">Re: </w:t>
      </w:r>
      <w:r w:rsidR="004A0583" w:rsidRPr="005C6354">
        <w:rPr>
          <w:rFonts w:ascii="Aptos" w:hAnsi="Aptos"/>
          <w:b/>
          <w:bCs/>
          <w:color w:val="000000" w:themeColor="text1"/>
        </w:rPr>
        <w:t>Student v. Longmeadow Public Schools</w:t>
      </w:r>
      <w:r w:rsidR="00391F8D" w:rsidRPr="005C6354">
        <w:rPr>
          <w:rFonts w:ascii="Aptos" w:hAnsi="Aptos"/>
          <w:b/>
          <w:bCs/>
          <w:color w:val="000000" w:themeColor="text1"/>
        </w:rPr>
        <w:t xml:space="preserve">                   </w:t>
      </w:r>
      <w:r w:rsidR="00AB046A" w:rsidRPr="005C6354">
        <w:rPr>
          <w:rFonts w:ascii="Aptos" w:hAnsi="Aptos"/>
          <w:b/>
          <w:bCs/>
          <w:color w:val="000000" w:themeColor="text1"/>
        </w:rPr>
        <w:t xml:space="preserve">                        </w:t>
      </w:r>
      <w:r w:rsidR="00391F8D" w:rsidRPr="005C6354">
        <w:rPr>
          <w:rFonts w:ascii="Aptos" w:hAnsi="Aptos"/>
          <w:b/>
          <w:bCs/>
          <w:color w:val="000000" w:themeColor="text1"/>
        </w:rPr>
        <w:t xml:space="preserve">BSEA #: </w:t>
      </w:r>
      <w:r w:rsidR="004A0583" w:rsidRPr="005C6354">
        <w:rPr>
          <w:rFonts w:ascii="Aptos" w:hAnsi="Aptos"/>
          <w:b/>
          <w:bCs/>
          <w:color w:val="000000" w:themeColor="text1"/>
        </w:rPr>
        <w:t>2510207</w:t>
      </w:r>
    </w:p>
    <w:p w14:paraId="4BBE66FF" w14:textId="77777777" w:rsidR="00CE6EA1" w:rsidRPr="005C6354" w:rsidRDefault="00CE6EA1" w:rsidP="006346EC">
      <w:pPr>
        <w:tabs>
          <w:tab w:val="left" w:pos="8400"/>
        </w:tabs>
        <w:jc w:val="center"/>
        <w:rPr>
          <w:rFonts w:ascii="Aptos" w:hAnsi="Aptos"/>
          <w:b/>
          <w:color w:val="000000" w:themeColor="text1"/>
          <w:u w:val="single"/>
        </w:rPr>
      </w:pPr>
    </w:p>
    <w:p w14:paraId="0FD724CE" w14:textId="7FE75386" w:rsidR="00AB046A" w:rsidRPr="005C6354" w:rsidRDefault="00E04C70" w:rsidP="006346EC">
      <w:pPr>
        <w:tabs>
          <w:tab w:val="left" w:pos="8400"/>
        </w:tabs>
        <w:jc w:val="center"/>
        <w:rPr>
          <w:rFonts w:ascii="Aptos" w:hAnsi="Aptos"/>
          <w:b/>
          <w:color w:val="000000" w:themeColor="text1"/>
          <w:u w:val="single"/>
        </w:rPr>
      </w:pPr>
      <w:r w:rsidRPr="005C6354">
        <w:rPr>
          <w:rFonts w:ascii="Aptos" w:hAnsi="Aptos"/>
          <w:b/>
          <w:color w:val="000000" w:themeColor="text1"/>
          <w:u w:val="single"/>
        </w:rPr>
        <w:t xml:space="preserve">RULING ON </w:t>
      </w:r>
      <w:r w:rsidR="004A0583" w:rsidRPr="005C6354">
        <w:rPr>
          <w:rFonts w:ascii="Aptos" w:hAnsi="Aptos"/>
          <w:b/>
          <w:color w:val="000000" w:themeColor="text1"/>
          <w:u w:val="single"/>
        </w:rPr>
        <w:t>PARENT’S</w:t>
      </w:r>
      <w:r w:rsidR="004A0583" w:rsidRPr="005C6354">
        <w:rPr>
          <w:rFonts w:ascii="Aptos" w:hAnsi="Aptos"/>
          <w:b/>
          <w:u w:val="single"/>
        </w:rPr>
        <w:t xml:space="preserve"> MOTION </w:t>
      </w:r>
      <w:r w:rsidR="00CE3583" w:rsidRPr="005C6354">
        <w:rPr>
          <w:rFonts w:ascii="Aptos" w:hAnsi="Aptos"/>
          <w:b/>
          <w:u w:val="single"/>
        </w:rPr>
        <w:t xml:space="preserve">FOR </w:t>
      </w:r>
      <w:r w:rsidR="004A0583" w:rsidRPr="005C6354">
        <w:rPr>
          <w:rFonts w:ascii="Aptos" w:hAnsi="Aptos"/>
          <w:b/>
          <w:color w:val="000000" w:themeColor="text1"/>
          <w:u w:val="single"/>
        </w:rPr>
        <w:t>PARTIAL SUMMARY JUDGEMENT</w:t>
      </w:r>
      <w:r w:rsidR="00AB046A" w:rsidRPr="005C6354">
        <w:rPr>
          <w:rFonts w:ascii="Aptos" w:hAnsi="Aptos"/>
          <w:b/>
          <w:color w:val="000000" w:themeColor="text1"/>
          <w:u w:val="single"/>
        </w:rPr>
        <w:t xml:space="preserve"> </w:t>
      </w:r>
    </w:p>
    <w:p w14:paraId="3D7C03F3" w14:textId="6BFACEA9" w:rsidR="004A0583" w:rsidRPr="005C6354" w:rsidRDefault="004A0583" w:rsidP="006346EC">
      <w:pPr>
        <w:tabs>
          <w:tab w:val="left" w:pos="8400"/>
        </w:tabs>
        <w:jc w:val="center"/>
        <w:rPr>
          <w:rFonts w:ascii="Aptos" w:hAnsi="Aptos"/>
          <w:b/>
          <w:color w:val="000000" w:themeColor="text1"/>
          <w:u w:val="single"/>
        </w:rPr>
      </w:pPr>
      <w:r w:rsidRPr="005C6354">
        <w:rPr>
          <w:rFonts w:ascii="Aptos" w:hAnsi="Aptos"/>
          <w:b/>
          <w:color w:val="000000" w:themeColor="text1"/>
          <w:u w:val="single"/>
        </w:rPr>
        <w:t>AND DECLARATORY [RELIEF]</w:t>
      </w:r>
    </w:p>
    <w:p w14:paraId="437B1A3B" w14:textId="65221ECB" w:rsidR="00A3349B" w:rsidRPr="005C6354" w:rsidRDefault="004A0583" w:rsidP="006346EC">
      <w:pPr>
        <w:tabs>
          <w:tab w:val="left" w:pos="8400"/>
        </w:tabs>
        <w:jc w:val="center"/>
        <w:rPr>
          <w:rFonts w:ascii="Aptos" w:hAnsi="Aptos"/>
          <w:b/>
          <w:color w:val="000000" w:themeColor="text1"/>
          <w:u w:val="single"/>
        </w:rPr>
      </w:pPr>
      <w:r w:rsidRPr="005C6354">
        <w:rPr>
          <w:rFonts w:ascii="Aptos" w:hAnsi="Aptos"/>
          <w:b/>
          <w:color w:val="000000" w:themeColor="text1"/>
          <w:u w:val="single"/>
        </w:rPr>
        <w:t>REGARDING DENIAL OF FAPE DECEMBER 20, 2024 - APRIL 16, 2025</w:t>
      </w:r>
    </w:p>
    <w:p w14:paraId="68676D07" w14:textId="77777777" w:rsidR="00502706" w:rsidRPr="005C6354" w:rsidRDefault="00502706" w:rsidP="006346EC">
      <w:pPr>
        <w:rPr>
          <w:rFonts w:ascii="Aptos" w:hAnsi="Aptos"/>
          <w:bCs/>
          <w:color w:val="000000" w:themeColor="text1"/>
        </w:rPr>
      </w:pPr>
    </w:p>
    <w:p w14:paraId="5F7D6D9A" w14:textId="4651ED4E" w:rsidR="00654614" w:rsidRPr="005C6354" w:rsidRDefault="00A2232C" w:rsidP="006346EC">
      <w:pPr>
        <w:rPr>
          <w:rFonts w:ascii="Aptos" w:hAnsi="Aptos"/>
          <w:bCs/>
          <w:color w:val="000000" w:themeColor="text1"/>
        </w:rPr>
      </w:pPr>
      <w:r w:rsidRPr="005C6354">
        <w:rPr>
          <w:rFonts w:ascii="Aptos" w:hAnsi="Aptos"/>
          <w:bCs/>
          <w:color w:val="000000" w:themeColor="text1"/>
        </w:rPr>
        <w:t xml:space="preserve">On </w:t>
      </w:r>
      <w:r w:rsidR="004A0583" w:rsidRPr="005C6354">
        <w:rPr>
          <w:rFonts w:ascii="Aptos" w:hAnsi="Aptos"/>
          <w:bCs/>
          <w:color w:val="000000" w:themeColor="text1"/>
        </w:rPr>
        <w:t>November 4</w:t>
      </w:r>
      <w:r w:rsidR="00896D5D" w:rsidRPr="005C6354">
        <w:rPr>
          <w:rFonts w:ascii="Aptos" w:hAnsi="Aptos"/>
          <w:bCs/>
          <w:color w:val="000000" w:themeColor="text1"/>
        </w:rPr>
        <w:t xml:space="preserve">, 2025, </w:t>
      </w:r>
      <w:r w:rsidR="004A0583" w:rsidRPr="005C6354">
        <w:rPr>
          <w:rFonts w:ascii="Aptos" w:hAnsi="Aptos"/>
          <w:bCs/>
          <w:color w:val="000000" w:themeColor="text1"/>
        </w:rPr>
        <w:t xml:space="preserve"> </w:t>
      </w:r>
      <w:r w:rsidR="00AB046A" w:rsidRPr="005C6354">
        <w:rPr>
          <w:rFonts w:ascii="Aptos" w:hAnsi="Aptos"/>
          <w:bCs/>
          <w:color w:val="000000" w:themeColor="text1"/>
        </w:rPr>
        <w:t xml:space="preserve">Parent filed </w:t>
      </w:r>
      <w:r w:rsidR="00AB046A" w:rsidRPr="005C6354">
        <w:rPr>
          <w:rFonts w:ascii="Aptos" w:hAnsi="Aptos"/>
          <w:bCs/>
          <w:i/>
          <w:iCs/>
          <w:color w:val="000000" w:themeColor="text1"/>
        </w:rPr>
        <w:t xml:space="preserve">Parent’s Motion For Partial Summary Judgement And Declaratory [Relief] Regarding Denial </w:t>
      </w:r>
      <w:r w:rsidR="00CE3583" w:rsidRPr="005C6354">
        <w:rPr>
          <w:rFonts w:ascii="Aptos" w:hAnsi="Aptos"/>
          <w:bCs/>
          <w:i/>
          <w:iCs/>
          <w:color w:val="000000" w:themeColor="text1"/>
        </w:rPr>
        <w:t>o</w:t>
      </w:r>
      <w:r w:rsidR="00AB046A" w:rsidRPr="005C6354">
        <w:rPr>
          <w:rFonts w:ascii="Aptos" w:hAnsi="Aptos"/>
          <w:bCs/>
          <w:i/>
          <w:iCs/>
          <w:color w:val="000000" w:themeColor="text1"/>
        </w:rPr>
        <w:t>f FAPE December 20, 2024 - April 16, 2025 (Motion for Summary Judgment)</w:t>
      </w:r>
      <w:r w:rsidR="00654614" w:rsidRPr="005C6354">
        <w:rPr>
          <w:rStyle w:val="FootnoteReference"/>
          <w:rFonts w:ascii="Aptos" w:hAnsi="Aptos"/>
          <w:bCs/>
          <w:i/>
          <w:iCs/>
          <w:color w:val="000000" w:themeColor="text1"/>
        </w:rPr>
        <w:footnoteReference w:id="1"/>
      </w:r>
      <w:r w:rsidR="00654614" w:rsidRPr="005C6354">
        <w:rPr>
          <w:rFonts w:ascii="Aptos" w:hAnsi="Aptos"/>
          <w:bCs/>
          <w:color w:val="000000" w:themeColor="text1"/>
        </w:rPr>
        <w:t xml:space="preserve">, </w:t>
      </w:r>
      <w:r w:rsidR="00AB046A" w:rsidRPr="005C6354">
        <w:rPr>
          <w:rFonts w:ascii="Aptos" w:hAnsi="Aptos"/>
          <w:bCs/>
          <w:color w:val="000000" w:themeColor="text1"/>
        </w:rPr>
        <w:t>asserting that “</w:t>
      </w:r>
      <w:bookmarkStart w:id="0" w:name="OLE_LINK1"/>
      <w:r w:rsidR="00AB046A" w:rsidRPr="005C6354">
        <w:rPr>
          <w:rFonts w:ascii="Aptos" w:hAnsi="Aptos"/>
          <w:bCs/>
          <w:color w:val="000000" w:themeColor="text1"/>
        </w:rPr>
        <w:t>no Individualized Education Program (IEP) was in effect for the Student between December 20, 2024 and April 16, 2025</w:t>
      </w:r>
      <w:bookmarkEnd w:id="0"/>
      <w:r w:rsidR="00AB046A" w:rsidRPr="005C6354">
        <w:rPr>
          <w:rFonts w:ascii="Aptos" w:hAnsi="Aptos"/>
          <w:bCs/>
          <w:color w:val="000000" w:themeColor="text1"/>
        </w:rPr>
        <w:t>, thereby constituting a per se denial of a Free Appropriate Public Education (FAPE) under federal and state law</w:t>
      </w:r>
      <w:r w:rsidR="00DF118E" w:rsidRPr="005C6354">
        <w:rPr>
          <w:rFonts w:ascii="Aptos" w:hAnsi="Aptos"/>
          <w:bCs/>
          <w:color w:val="000000" w:themeColor="text1"/>
        </w:rPr>
        <w:t>,</w:t>
      </w:r>
      <w:r w:rsidR="00AB046A" w:rsidRPr="005C6354">
        <w:rPr>
          <w:rFonts w:ascii="Aptos" w:hAnsi="Aptos"/>
          <w:bCs/>
          <w:color w:val="000000" w:themeColor="text1"/>
        </w:rPr>
        <w:t>”</w:t>
      </w:r>
      <w:r w:rsidR="00DF118E" w:rsidRPr="005C6354">
        <w:rPr>
          <w:rFonts w:ascii="Aptos" w:hAnsi="Aptos"/>
          <w:bCs/>
          <w:color w:val="000000" w:themeColor="text1"/>
        </w:rPr>
        <w:t xml:space="preserve"> </w:t>
      </w:r>
      <w:r w:rsidR="00AB046A" w:rsidRPr="005C6354">
        <w:rPr>
          <w:rFonts w:ascii="Aptos" w:hAnsi="Aptos"/>
          <w:bCs/>
          <w:color w:val="000000" w:themeColor="text1"/>
        </w:rPr>
        <w:t xml:space="preserve">and seeking </w:t>
      </w:r>
    </w:p>
    <w:p w14:paraId="01B2EB08" w14:textId="4D8E19B7" w:rsidR="004773F7" w:rsidRPr="005C6354" w:rsidRDefault="00AB046A" w:rsidP="006346EC">
      <w:pPr>
        <w:ind w:left="1440"/>
        <w:rPr>
          <w:rFonts w:ascii="Aptos" w:hAnsi="Aptos"/>
          <w:bCs/>
          <w:i/>
          <w:iCs/>
          <w:color w:val="000000" w:themeColor="text1"/>
        </w:rPr>
      </w:pPr>
      <w:r w:rsidRPr="005C6354">
        <w:rPr>
          <w:rFonts w:ascii="Aptos" w:hAnsi="Aptos"/>
          <w:bCs/>
          <w:color w:val="000000" w:themeColor="text1"/>
        </w:rPr>
        <w:t>“only a declaratory finding on this discrete issue so that the Bureau [of Special Education Appeals (BSEA)] may take this established denial into account when fashioning comprehensive relief at hearing. Parent does not</w:t>
      </w:r>
      <w:r w:rsidR="00654614" w:rsidRPr="005C6354">
        <w:rPr>
          <w:rFonts w:ascii="Aptos" w:hAnsi="Aptos"/>
          <w:bCs/>
          <w:i/>
          <w:iCs/>
          <w:color w:val="000000" w:themeColor="text1"/>
        </w:rPr>
        <w:t xml:space="preserve"> </w:t>
      </w:r>
      <w:r w:rsidRPr="005C6354">
        <w:rPr>
          <w:rFonts w:ascii="Aptos" w:hAnsi="Aptos"/>
          <w:bCs/>
          <w:color w:val="000000" w:themeColor="text1"/>
        </w:rPr>
        <w:t>seek to duplicate evidence or request immediate remedy in this motion; rather, the requested declaration will narrow the factual disputes for hearing and promote judicial economy.”</w:t>
      </w:r>
    </w:p>
    <w:p w14:paraId="4CC77B4B" w14:textId="77777777" w:rsidR="00ED1562" w:rsidRPr="005C6354" w:rsidRDefault="00ED1562" w:rsidP="006346EC">
      <w:pPr>
        <w:autoSpaceDE w:val="0"/>
        <w:autoSpaceDN w:val="0"/>
        <w:adjustRightInd w:val="0"/>
        <w:rPr>
          <w:rFonts w:ascii="Aptos" w:eastAsiaTheme="minorHAnsi" w:hAnsi="Aptos"/>
        </w:rPr>
      </w:pPr>
    </w:p>
    <w:p w14:paraId="5B662B06" w14:textId="0D7C6A63" w:rsidR="00AB046A" w:rsidRPr="005C6354" w:rsidRDefault="00AB046A" w:rsidP="006346EC">
      <w:pPr>
        <w:pStyle w:val="NoSpacing"/>
        <w:rPr>
          <w:rFonts w:ascii="Aptos" w:hAnsi="Aptos"/>
          <w:bCs/>
          <w:color w:val="000000" w:themeColor="text1"/>
        </w:rPr>
      </w:pPr>
      <w:r w:rsidRPr="005C6354">
        <w:rPr>
          <w:rFonts w:ascii="Aptos" w:hAnsi="Aptos"/>
          <w:bCs/>
          <w:color w:val="000000" w:themeColor="text1"/>
        </w:rPr>
        <w:t>The procedural history of this matter is delineated in prior rulings and orders and shall not be repeated here. For the purpose of this Ruling, I note that the hearing in this matter</w:t>
      </w:r>
      <w:r w:rsidR="00CE3583" w:rsidRPr="005C6354">
        <w:rPr>
          <w:rFonts w:ascii="Aptos" w:hAnsi="Aptos"/>
          <w:bCs/>
          <w:color w:val="000000" w:themeColor="text1"/>
        </w:rPr>
        <w:t>,</w:t>
      </w:r>
      <w:r w:rsidRPr="005C6354">
        <w:rPr>
          <w:rFonts w:ascii="Aptos" w:hAnsi="Aptos"/>
          <w:bCs/>
          <w:color w:val="000000" w:themeColor="text1"/>
        </w:rPr>
        <w:t xml:space="preserve"> currently scheduled to begin on January 28, 2026, will proceed on the following issues:  </w:t>
      </w:r>
    </w:p>
    <w:p w14:paraId="798D6A68" w14:textId="77777777" w:rsidR="00AB046A" w:rsidRPr="005C6354" w:rsidRDefault="00AB046A" w:rsidP="006346EC">
      <w:pPr>
        <w:pStyle w:val="NoSpacing"/>
        <w:rPr>
          <w:rFonts w:ascii="Aptos" w:hAnsi="Aptos"/>
          <w:bCs/>
          <w:color w:val="000000" w:themeColor="text1"/>
        </w:rPr>
      </w:pPr>
    </w:p>
    <w:p w14:paraId="413800D5" w14:textId="77777777" w:rsidR="00AB046A" w:rsidRPr="005C6354" w:rsidRDefault="00AB046A" w:rsidP="006346EC">
      <w:pPr>
        <w:pStyle w:val="NoSpacing"/>
        <w:numPr>
          <w:ilvl w:val="0"/>
          <w:numId w:val="29"/>
        </w:numPr>
        <w:rPr>
          <w:rFonts w:ascii="Aptos" w:hAnsi="Aptos"/>
          <w:bCs/>
          <w:color w:val="000000" w:themeColor="text1"/>
        </w:rPr>
      </w:pPr>
      <w:r w:rsidRPr="005C6354">
        <w:rPr>
          <w:rFonts w:ascii="Aptos" w:hAnsi="Aptos"/>
          <w:bCs/>
          <w:color w:val="000000" w:themeColor="text1"/>
        </w:rPr>
        <w:t>Academic Year 2022-2023</w:t>
      </w:r>
      <w:r w:rsidRPr="005C6354">
        <w:rPr>
          <w:rStyle w:val="FootnoteReference"/>
          <w:rFonts w:ascii="Aptos" w:hAnsi="Aptos"/>
          <w:bCs/>
          <w:color w:val="000000" w:themeColor="text1"/>
        </w:rPr>
        <w:footnoteReference w:id="2"/>
      </w:r>
    </w:p>
    <w:p w14:paraId="1C84B82F"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Longmeadow failed to implement Student’s IEP for the period 3/18/22 to 3/17/2023, as amended on November 18, 2022</w:t>
      </w:r>
      <w:r w:rsidRPr="005C6354">
        <w:rPr>
          <w:rStyle w:val="FootnoteReference"/>
          <w:rFonts w:ascii="Aptos" w:hAnsi="Aptos"/>
          <w:bCs/>
          <w:color w:val="000000" w:themeColor="text1"/>
        </w:rPr>
        <w:footnoteReference w:id="3"/>
      </w:r>
      <w:r w:rsidRPr="005C6354">
        <w:rPr>
          <w:rFonts w:ascii="Aptos" w:hAnsi="Aptos"/>
          <w:bCs/>
          <w:color w:val="000000" w:themeColor="text1"/>
        </w:rPr>
        <w:t xml:space="preserve">, from March 21, 2023 until the end of the 2022-2023 school year (during Student’s ninth grade) (i.e., access to assistive technology and other accommodations); </w:t>
      </w:r>
    </w:p>
    <w:p w14:paraId="2A9A9D85"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 xml:space="preserve">Whether Longmeadow violated Student’s and Parent’s procedural due process rights during the relevant </w:t>
      </w:r>
      <w:proofErr w:type="gramStart"/>
      <w:r w:rsidRPr="005C6354">
        <w:rPr>
          <w:rFonts w:ascii="Aptos" w:hAnsi="Aptos"/>
          <w:bCs/>
          <w:color w:val="000000" w:themeColor="text1"/>
        </w:rPr>
        <w:t>time period</w:t>
      </w:r>
      <w:proofErr w:type="gramEnd"/>
      <w:r w:rsidRPr="005C6354">
        <w:rPr>
          <w:rFonts w:ascii="Aptos" w:hAnsi="Aptos"/>
          <w:bCs/>
          <w:color w:val="000000" w:themeColor="text1"/>
        </w:rPr>
        <w:t xml:space="preserve"> in the 2022-2023 school year (i.e., March 21, 2023 through the end of the school year), including whether Longmeadow violated the child find requirement of the law in failing to identify a specific learning disability in written expression; </w:t>
      </w:r>
    </w:p>
    <w:p w14:paraId="0899C4DF"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lastRenderedPageBreak/>
        <w:t>If the answer to any of the above is affirmative, then what is the proper remedy?</w:t>
      </w:r>
    </w:p>
    <w:p w14:paraId="0E22526A" w14:textId="77777777" w:rsidR="00AB046A" w:rsidRPr="005C6354" w:rsidRDefault="00AB046A" w:rsidP="006346EC">
      <w:pPr>
        <w:pStyle w:val="NoSpacing"/>
        <w:numPr>
          <w:ilvl w:val="0"/>
          <w:numId w:val="29"/>
        </w:numPr>
        <w:rPr>
          <w:rFonts w:ascii="Aptos" w:hAnsi="Aptos"/>
          <w:bCs/>
          <w:color w:val="000000" w:themeColor="text1"/>
        </w:rPr>
      </w:pPr>
      <w:r w:rsidRPr="005C6354">
        <w:rPr>
          <w:rFonts w:ascii="Aptos" w:hAnsi="Aptos"/>
          <w:bCs/>
          <w:color w:val="000000" w:themeColor="text1"/>
        </w:rPr>
        <w:t>Academic Year 2023-2024</w:t>
      </w:r>
    </w:p>
    <w:p w14:paraId="55C07736"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Longmeadow failed to implement the accepted stay put IEP (3/18/22 to 3/17/2023, as amended on November 18, 2022) and accepted portions, if any, of the IEP for the period 12/20/2023 to 12/19/2024 during the 2023-2024 school year ( Student’s tenth grade) i.e., access to assistive technology and other accommodations);</w:t>
      </w:r>
    </w:p>
    <w:p w14:paraId="53AA3020"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 xml:space="preserve">Whether Longmeadow violated Student’s and Parent’s procedural due process rights during the 2023-2024 school year, including whether Longmeadow violated the child find requirement of the law in failing to identify a specific learning disability in written expression; </w:t>
      </w:r>
    </w:p>
    <w:p w14:paraId="43052FD7"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convene an IEP meeting to consider the results of an IEE  within 10 school days;</w:t>
      </w:r>
    </w:p>
    <w:p w14:paraId="39091A61"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If the answer to any of the above is affirmative, then what is the proper remedy?</w:t>
      </w:r>
    </w:p>
    <w:p w14:paraId="2D45DBD3"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Parent is eligible for reimbursement for a July 2024 privately funded independent educational evaluation, and, if so, whether she is eligible for such reimbursement in full (i.e., at a rate above the state rate)?</w:t>
      </w:r>
    </w:p>
    <w:p w14:paraId="6C0EE64C" w14:textId="77777777" w:rsidR="00AB046A" w:rsidRPr="005C6354" w:rsidRDefault="00AB046A" w:rsidP="006346EC">
      <w:pPr>
        <w:pStyle w:val="NoSpacing"/>
        <w:numPr>
          <w:ilvl w:val="0"/>
          <w:numId w:val="29"/>
        </w:numPr>
        <w:rPr>
          <w:rFonts w:ascii="Aptos" w:hAnsi="Aptos"/>
          <w:bCs/>
          <w:color w:val="000000" w:themeColor="text1"/>
        </w:rPr>
      </w:pPr>
      <w:r w:rsidRPr="005C6354">
        <w:rPr>
          <w:rFonts w:ascii="Aptos" w:hAnsi="Aptos"/>
          <w:bCs/>
          <w:color w:val="000000" w:themeColor="text1"/>
        </w:rPr>
        <w:t>Academic Year 2024-2025</w:t>
      </w:r>
    </w:p>
    <w:p w14:paraId="12A5D7BD"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propose an IEP in a timely manner for the 2024-2025 school year;</w:t>
      </w:r>
    </w:p>
    <w:p w14:paraId="7F523750"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the  IEP for the period 12/20/2023 to 12/19/2024 failed to offer Student a FAPE for the 2024-2025 school year</w:t>
      </w:r>
      <w:r w:rsidRPr="005C6354">
        <w:rPr>
          <w:rFonts w:ascii="Aptos" w:hAnsi="Aptos"/>
          <w:bCs/>
          <w:color w:val="000000" w:themeColor="text1"/>
          <w:vertAlign w:val="superscript"/>
        </w:rPr>
        <w:footnoteReference w:id="4"/>
      </w:r>
      <w:r w:rsidRPr="005C6354">
        <w:rPr>
          <w:rFonts w:ascii="Aptos" w:hAnsi="Aptos"/>
          <w:bCs/>
          <w:color w:val="000000" w:themeColor="text1"/>
        </w:rPr>
        <w:t xml:space="preserve">; </w:t>
      </w:r>
    </w:p>
    <w:p w14:paraId="1020E71C"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provide Student with assistive technology for the 2024-2025 school year;</w:t>
      </w:r>
    </w:p>
    <w:p w14:paraId="594ED7FD"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If the answer to any of the above is affirmative, then what is the proper remedy?</w:t>
      </w:r>
    </w:p>
    <w:p w14:paraId="40C0F54E" w14:textId="77777777" w:rsidR="00AB046A" w:rsidRPr="005C6354" w:rsidRDefault="00AB046A" w:rsidP="006346EC">
      <w:pPr>
        <w:pStyle w:val="NoSpacing"/>
        <w:numPr>
          <w:ilvl w:val="0"/>
          <w:numId w:val="29"/>
        </w:numPr>
        <w:rPr>
          <w:rFonts w:ascii="Aptos" w:hAnsi="Aptos"/>
          <w:bCs/>
          <w:color w:val="000000" w:themeColor="text1"/>
        </w:rPr>
      </w:pPr>
      <w:r w:rsidRPr="005C6354">
        <w:rPr>
          <w:rFonts w:ascii="Aptos" w:hAnsi="Aptos"/>
          <w:bCs/>
          <w:color w:val="000000" w:themeColor="text1"/>
        </w:rPr>
        <w:t>Academic Year 2025-2026</w:t>
      </w:r>
    </w:p>
    <w:p w14:paraId="458F767F"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provide Student with assistive technology for the 2025-2026 school year;</w:t>
      </w:r>
    </w:p>
    <w:p w14:paraId="2BC1B2B7" w14:textId="01E0C956"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 xml:space="preserve">Whether the April 16, 2025 IEP failed to provide the student with a FAPE  due to its failure to consider Student’s trauma, its failure to include an Autism and/or Specific Learning Disability in writing </w:t>
      </w:r>
      <w:r w:rsidR="00C02C4A" w:rsidRPr="005C6354">
        <w:rPr>
          <w:rFonts w:ascii="Aptos" w:hAnsi="Aptos"/>
          <w:bCs/>
          <w:color w:val="000000" w:themeColor="text1"/>
        </w:rPr>
        <w:t xml:space="preserve">in the </w:t>
      </w:r>
      <w:r w:rsidRPr="005C6354">
        <w:rPr>
          <w:rFonts w:ascii="Aptos" w:hAnsi="Aptos"/>
          <w:bCs/>
          <w:color w:val="000000" w:themeColor="text1"/>
        </w:rPr>
        <w:t>Disability Categories, and its proposal of a full inclusion program at Longmeadow High School;</w:t>
      </w:r>
    </w:p>
    <w:p w14:paraId="40F1E262" w14:textId="77777777"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hold a timely meeting to review the rejected April 16, 2025 IEP and Parent’s concerns;</w:t>
      </w:r>
    </w:p>
    <w:p w14:paraId="61DED985" w14:textId="7B014568" w:rsidR="00AB046A" w:rsidRPr="005C6354" w:rsidRDefault="00AB046A" w:rsidP="006346EC">
      <w:pPr>
        <w:pStyle w:val="NoSpacing"/>
        <w:numPr>
          <w:ilvl w:val="0"/>
          <w:numId w:val="28"/>
        </w:numPr>
        <w:rPr>
          <w:rFonts w:ascii="Aptos" w:hAnsi="Aptos"/>
          <w:bCs/>
          <w:color w:val="000000" w:themeColor="text1"/>
        </w:rPr>
      </w:pPr>
      <w:r w:rsidRPr="005C6354">
        <w:rPr>
          <w:rFonts w:ascii="Aptos" w:hAnsi="Aptos"/>
          <w:bCs/>
          <w:color w:val="000000" w:themeColor="text1"/>
        </w:rPr>
        <w:t>If the answer to any of the above is affirmative, then what is the proper remedy?</w:t>
      </w:r>
    </w:p>
    <w:p w14:paraId="5216A216" w14:textId="77777777" w:rsidR="004D7007" w:rsidRPr="005C6354" w:rsidRDefault="004D7007" w:rsidP="004D7007">
      <w:pPr>
        <w:pStyle w:val="NoSpacing"/>
        <w:numPr>
          <w:ilvl w:val="0"/>
          <w:numId w:val="29"/>
        </w:numPr>
        <w:rPr>
          <w:rFonts w:ascii="Aptos" w:hAnsi="Aptos"/>
          <w:bCs/>
          <w:color w:val="000000" w:themeColor="text1"/>
        </w:rPr>
      </w:pPr>
      <w:r w:rsidRPr="005C6354">
        <w:rPr>
          <w:rFonts w:ascii="Aptos" w:hAnsi="Aptos"/>
          <w:bCs/>
          <w:color w:val="000000" w:themeColor="text1"/>
        </w:rPr>
        <w:lastRenderedPageBreak/>
        <w:t>Academic Year 2022-2023</w:t>
      </w:r>
      <w:r w:rsidRPr="005C6354">
        <w:rPr>
          <w:rStyle w:val="FootnoteReference"/>
          <w:rFonts w:ascii="Aptos" w:hAnsi="Aptos"/>
          <w:bCs/>
          <w:color w:val="000000" w:themeColor="text1"/>
        </w:rPr>
        <w:footnoteReference w:id="5"/>
      </w:r>
    </w:p>
    <w:p w14:paraId="49550B85"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Longmeadow failed to implement Student’s IEP for the period 3/18/22 to 3/17/2023, as amended on November 18, 2022</w:t>
      </w:r>
      <w:r w:rsidRPr="005C6354">
        <w:rPr>
          <w:rStyle w:val="FootnoteReference"/>
          <w:rFonts w:ascii="Aptos" w:hAnsi="Aptos"/>
          <w:bCs/>
          <w:color w:val="000000" w:themeColor="text1"/>
        </w:rPr>
        <w:footnoteReference w:id="6"/>
      </w:r>
      <w:r w:rsidRPr="005C6354">
        <w:rPr>
          <w:rFonts w:ascii="Aptos" w:hAnsi="Aptos"/>
          <w:bCs/>
          <w:color w:val="000000" w:themeColor="text1"/>
        </w:rPr>
        <w:t xml:space="preserve">, from March 21, 2023 until the end of the 2022-2023 school year (during Student’s ninth grade) (i.e., access to assistive technology and other accommodations); </w:t>
      </w:r>
    </w:p>
    <w:p w14:paraId="5EA7CBE0"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 xml:space="preserve">Whether Longmeadow violated Student’s and Parent’s procedural due process rights during the relevant </w:t>
      </w:r>
      <w:proofErr w:type="gramStart"/>
      <w:r w:rsidRPr="005C6354">
        <w:rPr>
          <w:rFonts w:ascii="Aptos" w:hAnsi="Aptos"/>
          <w:bCs/>
          <w:color w:val="000000" w:themeColor="text1"/>
        </w:rPr>
        <w:t>time period</w:t>
      </w:r>
      <w:proofErr w:type="gramEnd"/>
      <w:r w:rsidRPr="005C6354">
        <w:rPr>
          <w:rFonts w:ascii="Aptos" w:hAnsi="Aptos"/>
          <w:bCs/>
          <w:color w:val="000000" w:themeColor="text1"/>
        </w:rPr>
        <w:t xml:space="preserve"> in the 2022-2023 school year (i.e., March 21, 2023 through the end of the school year), including whether Longmeadow violated the child find requirement of the law in failing to identify a specific learning disability in written expression; </w:t>
      </w:r>
    </w:p>
    <w:p w14:paraId="6645330E"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If the answer to any of the above is affirmative, then what is the proper remedy?</w:t>
      </w:r>
    </w:p>
    <w:p w14:paraId="07C48265" w14:textId="77777777" w:rsidR="004D7007" w:rsidRPr="005C6354" w:rsidRDefault="004D7007" w:rsidP="004D7007">
      <w:pPr>
        <w:pStyle w:val="NoSpacing"/>
        <w:numPr>
          <w:ilvl w:val="0"/>
          <w:numId w:val="29"/>
        </w:numPr>
        <w:rPr>
          <w:rFonts w:ascii="Aptos" w:hAnsi="Aptos"/>
          <w:bCs/>
          <w:color w:val="000000" w:themeColor="text1"/>
        </w:rPr>
      </w:pPr>
      <w:r w:rsidRPr="005C6354">
        <w:rPr>
          <w:rFonts w:ascii="Aptos" w:hAnsi="Aptos"/>
          <w:bCs/>
          <w:color w:val="000000" w:themeColor="text1"/>
        </w:rPr>
        <w:t>Academic Year 2023-2024</w:t>
      </w:r>
    </w:p>
    <w:p w14:paraId="18CB1C29"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Longmeadow failed to implement the accepted stay put IEP (3/18/22 to 3/17/2023, as amended on November 18, 2022) and accepted portions, if any, of the IEP for the period 12/20/2023 to 12/19/2024 during the 2023-2024 school year ( Student’s tenth grade) i.e., access to assistive technology and other accommodations);</w:t>
      </w:r>
    </w:p>
    <w:p w14:paraId="4303FE9A"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 xml:space="preserve">Whether Longmeadow violated Student’s and Parent’s procedural due process rights during the 2023-2024 school year, including whether Longmeadow violated the child find requirement of the law in failing to identify a specific learning disability in written expression; </w:t>
      </w:r>
    </w:p>
    <w:p w14:paraId="0B4B2C25"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convene an IEP meeting to consider the results of an IEE  within 10 school days;</w:t>
      </w:r>
    </w:p>
    <w:p w14:paraId="5DE944E2"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If the answer to any of the above is affirmative, then what is the proper remedy?</w:t>
      </w:r>
    </w:p>
    <w:p w14:paraId="590469D7"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Parent is eligible for reimbursement for a July 2024 privately funded independent educational evaluation, and, if so, whether she is eligible for such reimbursement in full (i.e., at a rate above the state rate)?</w:t>
      </w:r>
    </w:p>
    <w:p w14:paraId="195D51D9" w14:textId="77777777" w:rsidR="004D7007" w:rsidRPr="005C6354" w:rsidRDefault="004D7007" w:rsidP="004D7007">
      <w:pPr>
        <w:pStyle w:val="NoSpacing"/>
        <w:numPr>
          <w:ilvl w:val="0"/>
          <w:numId w:val="29"/>
        </w:numPr>
        <w:rPr>
          <w:rFonts w:ascii="Aptos" w:hAnsi="Aptos"/>
          <w:bCs/>
          <w:color w:val="000000" w:themeColor="text1"/>
        </w:rPr>
      </w:pPr>
      <w:r w:rsidRPr="005C6354">
        <w:rPr>
          <w:rFonts w:ascii="Aptos" w:hAnsi="Aptos"/>
          <w:bCs/>
          <w:color w:val="000000" w:themeColor="text1"/>
        </w:rPr>
        <w:t>Academic Year 2024-2025</w:t>
      </w:r>
    </w:p>
    <w:p w14:paraId="2C19A529"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propose an IEP in a timely manner for the 2024-2025 school year;</w:t>
      </w:r>
    </w:p>
    <w:p w14:paraId="6EE1D9A1"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the  IEP for the period 12/20/2023 to 12/19/2024 failed to offer Student a FAPE for the 2024-2025 school year</w:t>
      </w:r>
      <w:r w:rsidRPr="005C6354">
        <w:rPr>
          <w:rFonts w:ascii="Aptos" w:hAnsi="Aptos"/>
          <w:bCs/>
          <w:color w:val="000000" w:themeColor="text1"/>
          <w:vertAlign w:val="superscript"/>
        </w:rPr>
        <w:footnoteReference w:id="7"/>
      </w:r>
      <w:r w:rsidRPr="005C6354">
        <w:rPr>
          <w:rFonts w:ascii="Aptos" w:hAnsi="Aptos"/>
          <w:bCs/>
          <w:color w:val="000000" w:themeColor="text1"/>
        </w:rPr>
        <w:t xml:space="preserve">; </w:t>
      </w:r>
    </w:p>
    <w:p w14:paraId="6966D71E"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provide Student with assistive technology for the 2024-2025 school year;</w:t>
      </w:r>
    </w:p>
    <w:p w14:paraId="29578DD0"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lastRenderedPageBreak/>
        <w:t>If the answer to any of the above is affirmative, then what is the proper remedy?</w:t>
      </w:r>
    </w:p>
    <w:p w14:paraId="1EE83E54" w14:textId="77777777" w:rsidR="004D7007" w:rsidRPr="005C6354" w:rsidRDefault="004D7007" w:rsidP="004D7007">
      <w:pPr>
        <w:pStyle w:val="NoSpacing"/>
        <w:numPr>
          <w:ilvl w:val="0"/>
          <w:numId w:val="29"/>
        </w:numPr>
        <w:rPr>
          <w:rFonts w:ascii="Aptos" w:hAnsi="Aptos"/>
          <w:bCs/>
          <w:color w:val="000000" w:themeColor="text1"/>
        </w:rPr>
      </w:pPr>
      <w:r w:rsidRPr="005C6354">
        <w:rPr>
          <w:rFonts w:ascii="Aptos" w:hAnsi="Aptos"/>
          <w:bCs/>
          <w:color w:val="000000" w:themeColor="text1"/>
        </w:rPr>
        <w:t>Academic Year 2025-2026</w:t>
      </w:r>
    </w:p>
    <w:p w14:paraId="4EABE738"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provide Student with assistive technology for the 2025-2026 school year;</w:t>
      </w:r>
    </w:p>
    <w:p w14:paraId="33D22CDB"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 xml:space="preserve">Whether the April 16, 2025 IEP failed to provide the student with a FAPE  due to its failure to consider Student’s trauma, its failure to include </w:t>
      </w:r>
      <w:proofErr w:type="gramStart"/>
      <w:r w:rsidRPr="005C6354">
        <w:rPr>
          <w:rFonts w:ascii="Aptos" w:hAnsi="Aptos"/>
          <w:bCs/>
          <w:color w:val="000000" w:themeColor="text1"/>
        </w:rPr>
        <w:t>an Autism</w:t>
      </w:r>
      <w:proofErr w:type="gramEnd"/>
      <w:r w:rsidRPr="005C6354">
        <w:rPr>
          <w:rFonts w:ascii="Aptos" w:hAnsi="Aptos"/>
          <w:bCs/>
          <w:color w:val="000000" w:themeColor="text1"/>
        </w:rPr>
        <w:t xml:space="preserve"> and/or Specific Learning Disability in writing in the Disability Categories, and its proposal of a full inclusion program at Longmeadow High School;</w:t>
      </w:r>
    </w:p>
    <w:p w14:paraId="210F9B69" w14:textId="77777777" w:rsidR="004D7007" w:rsidRPr="005C6354" w:rsidRDefault="004D7007" w:rsidP="004D7007">
      <w:pPr>
        <w:pStyle w:val="NoSpacing"/>
        <w:numPr>
          <w:ilvl w:val="0"/>
          <w:numId w:val="28"/>
        </w:numPr>
        <w:rPr>
          <w:rFonts w:ascii="Aptos" w:hAnsi="Aptos"/>
          <w:bCs/>
          <w:color w:val="000000" w:themeColor="text1"/>
        </w:rPr>
      </w:pPr>
      <w:r w:rsidRPr="005C6354">
        <w:rPr>
          <w:rFonts w:ascii="Aptos" w:hAnsi="Aptos"/>
          <w:bCs/>
          <w:color w:val="000000" w:themeColor="text1"/>
        </w:rPr>
        <w:t>Whether the District failed to hold a timely meeting to review the rejected April 16, 2025 IEP and Parent’s concerns;</w:t>
      </w:r>
    </w:p>
    <w:p w14:paraId="617C4B93" w14:textId="54539202" w:rsidR="004D7007" w:rsidRPr="005C6354" w:rsidRDefault="004D7007" w:rsidP="00DF118E">
      <w:pPr>
        <w:pStyle w:val="NoSpacing"/>
        <w:numPr>
          <w:ilvl w:val="0"/>
          <w:numId w:val="28"/>
        </w:numPr>
        <w:rPr>
          <w:rFonts w:ascii="Aptos" w:hAnsi="Aptos"/>
          <w:bCs/>
          <w:color w:val="000000" w:themeColor="text1"/>
        </w:rPr>
      </w:pPr>
      <w:r w:rsidRPr="005C6354">
        <w:rPr>
          <w:rFonts w:ascii="Aptos" w:hAnsi="Aptos"/>
          <w:bCs/>
          <w:color w:val="000000" w:themeColor="text1"/>
        </w:rPr>
        <w:t>If the answer to any of the above is affirmative, then what is the proper remedy?</w:t>
      </w:r>
    </w:p>
    <w:p w14:paraId="1D22E7CE" w14:textId="77777777" w:rsidR="00AB046A" w:rsidRPr="005C6354" w:rsidRDefault="00AB046A" w:rsidP="006346EC">
      <w:pPr>
        <w:rPr>
          <w:rFonts w:ascii="Aptos" w:hAnsi="Aptos"/>
          <w:color w:val="000000" w:themeColor="text1"/>
        </w:rPr>
      </w:pPr>
    </w:p>
    <w:p w14:paraId="2CC794B1" w14:textId="77777777" w:rsidR="00BA1B7C" w:rsidRPr="005C6354" w:rsidRDefault="008F7117" w:rsidP="00BA1B7C">
      <w:pPr>
        <w:pStyle w:val="NoSpacing"/>
        <w:rPr>
          <w:rFonts w:ascii="Aptos" w:hAnsi="Aptos"/>
          <w:color w:val="000000" w:themeColor="text1"/>
        </w:rPr>
      </w:pPr>
      <w:r w:rsidRPr="005C6354">
        <w:rPr>
          <w:rFonts w:ascii="Aptos" w:hAnsi="Aptos"/>
          <w:color w:val="000000" w:themeColor="text1"/>
        </w:rPr>
        <w:t xml:space="preserve">On November 5, 2025, Longmeadow Public Schools (Longmeadow or the District) filed </w:t>
      </w:r>
      <w:r w:rsidRPr="005C6354">
        <w:rPr>
          <w:rFonts w:ascii="Aptos" w:hAnsi="Aptos"/>
          <w:i/>
          <w:iCs/>
          <w:color w:val="000000" w:themeColor="text1"/>
        </w:rPr>
        <w:t>Longmeadow Public School's Opposition To Parent's Motion For Partial Summary Judgement And Declaratory Relief</w:t>
      </w:r>
      <w:r w:rsidRPr="005C6354">
        <w:rPr>
          <w:rFonts w:ascii="Aptos" w:hAnsi="Aptos"/>
          <w:color w:val="000000" w:themeColor="text1"/>
        </w:rPr>
        <w:t xml:space="preserve"> (</w:t>
      </w:r>
      <w:r w:rsidRPr="005C6354">
        <w:rPr>
          <w:rFonts w:ascii="Aptos" w:hAnsi="Aptos"/>
          <w:i/>
          <w:iCs/>
          <w:color w:val="000000" w:themeColor="text1"/>
        </w:rPr>
        <w:t>Opposition</w:t>
      </w:r>
      <w:r w:rsidRPr="005C6354">
        <w:rPr>
          <w:rFonts w:ascii="Aptos" w:hAnsi="Aptos"/>
          <w:color w:val="000000" w:themeColor="text1"/>
        </w:rPr>
        <w:t>)</w:t>
      </w:r>
      <w:r w:rsidRPr="005C6354">
        <w:rPr>
          <w:rFonts w:ascii="Aptos" w:hAnsi="Aptos"/>
          <w:i/>
          <w:iCs/>
          <w:color w:val="000000" w:themeColor="text1"/>
        </w:rPr>
        <w:t>,</w:t>
      </w:r>
      <w:r w:rsidRPr="005C6354">
        <w:rPr>
          <w:rFonts w:ascii="Aptos" w:hAnsi="Aptos"/>
          <w:color w:val="000000" w:themeColor="text1"/>
        </w:rPr>
        <w:t xml:space="preserve"> asserting that Parent </w:t>
      </w:r>
      <w:r w:rsidR="002C6B19" w:rsidRPr="005C6354">
        <w:rPr>
          <w:rFonts w:ascii="Aptos" w:hAnsi="Aptos"/>
          <w:color w:val="000000" w:themeColor="text1"/>
        </w:rPr>
        <w:t>“</w:t>
      </w:r>
      <w:r w:rsidRPr="005C6354">
        <w:rPr>
          <w:rFonts w:ascii="Aptos" w:hAnsi="Aptos"/>
          <w:color w:val="000000" w:themeColor="text1"/>
        </w:rPr>
        <w:t>misunderstands</w:t>
      </w:r>
      <w:r w:rsidR="002C6B19" w:rsidRPr="005C6354">
        <w:rPr>
          <w:rFonts w:ascii="Aptos" w:hAnsi="Aptos"/>
          <w:color w:val="000000" w:themeColor="text1"/>
        </w:rPr>
        <w:t>”</w:t>
      </w:r>
      <w:r w:rsidRPr="005C6354">
        <w:rPr>
          <w:rFonts w:ascii="Aptos" w:hAnsi="Aptos"/>
          <w:color w:val="000000" w:themeColor="text1"/>
        </w:rPr>
        <w:t xml:space="preserve"> the IEP process. </w:t>
      </w:r>
      <w:r w:rsidR="002C6B19" w:rsidRPr="005C6354">
        <w:rPr>
          <w:rFonts w:ascii="Aptos" w:hAnsi="Aptos"/>
          <w:color w:val="000000" w:themeColor="text1"/>
        </w:rPr>
        <w:t>According to Longmeadow, e</w:t>
      </w:r>
      <w:r w:rsidRPr="005C6354">
        <w:rPr>
          <w:rFonts w:ascii="Aptos" w:hAnsi="Aptos"/>
          <w:color w:val="000000" w:themeColor="text1"/>
        </w:rPr>
        <w:t>ven if a new IEP is overdue, the previous accepted IEP remains in effect, and services cannot be stopped simply because a new IEP has not yet been issued. Therefore, the Parent’s claim that no IEP was in effect from December 20, 2024 to April 16, 2025 is incorrect. The District further asserts that a procedural delay only amounts to a denial of FAPE if educational harm is proven</w:t>
      </w:r>
      <w:r w:rsidR="002C6B19" w:rsidRPr="005C6354">
        <w:rPr>
          <w:rFonts w:ascii="Aptos" w:hAnsi="Aptos"/>
          <w:color w:val="000000" w:themeColor="text1"/>
        </w:rPr>
        <w:t>, and such a finding requires a</w:t>
      </w:r>
      <w:r w:rsidRPr="005C6354">
        <w:rPr>
          <w:rFonts w:ascii="Aptos" w:hAnsi="Aptos"/>
          <w:color w:val="000000" w:themeColor="text1"/>
        </w:rPr>
        <w:t xml:space="preserve"> hearing. Since the Student continued attending Flex School</w:t>
      </w:r>
      <w:r w:rsidR="00C02C4A" w:rsidRPr="005C6354">
        <w:rPr>
          <w:rFonts w:ascii="Aptos" w:hAnsi="Aptos"/>
          <w:color w:val="000000" w:themeColor="text1"/>
        </w:rPr>
        <w:t xml:space="preserve"> throughout the timeframe involved in the </w:t>
      </w:r>
      <w:r w:rsidR="00C02C4A" w:rsidRPr="005C6354">
        <w:rPr>
          <w:rFonts w:ascii="Aptos" w:hAnsi="Aptos"/>
          <w:i/>
          <w:iCs/>
          <w:color w:val="000000" w:themeColor="text1"/>
        </w:rPr>
        <w:t>Motion for Summary Judgment</w:t>
      </w:r>
      <w:r w:rsidR="00C02C4A" w:rsidRPr="005C6354">
        <w:rPr>
          <w:rFonts w:ascii="Aptos" w:hAnsi="Aptos"/>
          <w:color w:val="000000" w:themeColor="text1"/>
        </w:rPr>
        <w:t>,</w:t>
      </w:r>
      <w:r w:rsidRPr="005C6354">
        <w:rPr>
          <w:rFonts w:ascii="Aptos" w:hAnsi="Aptos"/>
          <w:color w:val="000000" w:themeColor="text1"/>
        </w:rPr>
        <w:t xml:space="preserve"> by Parent choice, any allegation of harm must be proven through evidence at hearing. Accordingly, the Parent is not entitled to declaratory relief, and the issue of whether FAPE was denied during this timeframe must be resolved through the hearing process.</w:t>
      </w:r>
      <w:r w:rsidR="00BA1B7C" w:rsidRPr="005C6354">
        <w:rPr>
          <w:rFonts w:ascii="Aptos" w:hAnsi="Aptos"/>
          <w:color w:val="000000" w:themeColor="text1"/>
        </w:rPr>
        <w:t xml:space="preserve"> </w:t>
      </w:r>
    </w:p>
    <w:p w14:paraId="7AF3F4CB" w14:textId="77777777" w:rsidR="008F7117" w:rsidRPr="005C6354" w:rsidRDefault="008F7117" w:rsidP="006346EC">
      <w:pPr>
        <w:rPr>
          <w:rFonts w:ascii="Aptos" w:hAnsi="Aptos"/>
          <w:color w:val="000000" w:themeColor="text1"/>
        </w:rPr>
      </w:pPr>
    </w:p>
    <w:p w14:paraId="2B8939D2" w14:textId="371FEA88" w:rsidR="008F0335" w:rsidRPr="005C6354" w:rsidRDefault="00D25A2D" w:rsidP="006346EC">
      <w:pPr>
        <w:rPr>
          <w:rFonts w:ascii="Aptos" w:hAnsi="Aptos"/>
          <w:color w:val="000000" w:themeColor="text1"/>
        </w:rPr>
      </w:pPr>
      <w:r w:rsidRPr="005C6354">
        <w:rPr>
          <w:rFonts w:ascii="Aptos" w:hAnsi="Aptos"/>
          <w:color w:val="000000" w:themeColor="text1"/>
        </w:rPr>
        <w:t>Because neither</w:t>
      </w:r>
      <w:r w:rsidR="00DA4A8B" w:rsidRPr="005C6354">
        <w:rPr>
          <w:rFonts w:ascii="Aptos" w:hAnsi="Aptos"/>
          <w:color w:val="000000" w:themeColor="text1"/>
        </w:rPr>
        <w:t xml:space="preserve"> party requested a hearing on the </w:t>
      </w:r>
      <w:r w:rsidR="00DA4A8B" w:rsidRPr="005C6354">
        <w:rPr>
          <w:rFonts w:ascii="Aptos" w:hAnsi="Aptos"/>
          <w:i/>
          <w:iCs/>
          <w:color w:val="000000" w:themeColor="text1"/>
        </w:rPr>
        <w:t>Motion</w:t>
      </w:r>
      <w:r w:rsidR="00DA4A8B" w:rsidRPr="005C6354">
        <w:rPr>
          <w:rFonts w:ascii="Aptos" w:hAnsi="Aptos"/>
          <w:color w:val="000000" w:themeColor="text1"/>
        </w:rPr>
        <w:t>, and as neither</w:t>
      </w:r>
      <w:r w:rsidRPr="005C6354">
        <w:rPr>
          <w:rFonts w:ascii="Aptos" w:hAnsi="Aptos"/>
          <w:color w:val="000000" w:themeColor="text1"/>
        </w:rPr>
        <w:t xml:space="preserve"> testimony nor oral argument would advance the Hearing Officer's understanding of the issues involved, this Ruling is issued without a hearing, pursuant to Bureau of Special Education Appeals Hearing Rule VII(D). </w:t>
      </w:r>
    </w:p>
    <w:p w14:paraId="76AF1D0E" w14:textId="77777777" w:rsidR="00842463" w:rsidRPr="005C6354" w:rsidRDefault="00842463" w:rsidP="006346EC">
      <w:pPr>
        <w:rPr>
          <w:rFonts w:ascii="Aptos" w:hAnsi="Aptos"/>
          <w:bCs/>
          <w:color w:val="000000" w:themeColor="text1"/>
        </w:rPr>
      </w:pPr>
    </w:p>
    <w:p w14:paraId="6992E87C" w14:textId="5069D141" w:rsidR="007F0A44" w:rsidRDefault="00CB10CB" w:rsidP="000827E0">
      <w:pPr>
        <w:tabs>
          <w:tab w:val="left" w:pos="8400"/>
        </w:tabs>
        <w:rPr>
          <w:rFonts w:ascii="Aptos" w:hAnsi="Aptos"/>
          <w:bCs/>
          <w:color w:val="000000" w:themeColor="text1"/>
        </w:rPr>
      </w:pPr>
      <w:r w:rsidRPr="005C6354">
        <w:rPr>
          <w:rFonts w:ascii="Aptos" w:hAnsi="Aptos"/>
          <w:bCs/>
          <w:color w:val="000000" w:themeColor="text1"/>
        </w:rPr>
        <w:t xml:space="preserve">For the reasons articulated below, </w:t>
      </w:r>
      <w:r w:rsidR="004A0583" w:rsidRPr="005C6354">
        <w:rPr>
          <w:rFonts w:ascii="Aptos" w:hAnsi="Aptos"/>
          <w:bCs/>
          <w:color w:val="000000" w:themeColor="text1"/>
        </w:rPr>
        <w:t xml:space="preserve">Parent’s </w:t>
      </w:r>
      <w:r w:rsidR="005533EC" w:rsidRPr="005C6354">
        <w:rPr>
          <w:rFonts w:ascii="Aptos" w:hAnsi="Aptos"/>
          <w:bCs/>
          <w:i/>
          <w:iCs/>
          <w:color w:val="000000" w:themeColor="text1"/>
        </w:rPr>
        <w:t>Motion</w:t>
      </w:r>
      <w:r w:rsidR="000E5B2D" w:rsidRPr="005C6354">
        <w:rPr>
          <w:rFonts w:ascii="Aptos" w:hAnsi="Aptos"/>
          <w:bCs/>
          <w:i/>
          <w:iCs/>
          <w:color w:val="000000" w:themeColor="text1"/>
        </w:rPr>
        <w:t xml:space="preserve"> for Partial Summary Judgment</w:t>
      </w:r>
      <w:r w:rsidR="005533EC" w:rsidRPr="005C6354">
        <w:rPr>
          <w:rFonts w:ascii="Aptos" w:hAnsi="Aptos"/>
          <w:bCs/>
          <w:color w:val="000000" w:themeColor="text1"/>
        </w:rPr>
        <w:t xml:space="preserve"> is ALLOWED</w:t>
      </w:r>
      <w:r w:rsidR="00E54C80" w:rsidRPr="005C6354">
        <w:rPr>
          <w:rStyle w:val="FootnoteReference"/>
          <w:rFonts w:ascii="Aptos" w:hAnsi="Aptos"/>
          <w:bCs/>
          <w:i/>
          <w:iCs/>
          <w:color w:val="000000" w:themeColor="text1"/>
        </w:rPr>
        <w:footnoteReference w:id="8"/>
      </w:r>
      <w:r w:rsidR="000827E0">
        <w:rPr>
          <w:rFonts w:ascii="Aptos" w:hAnsi="Aptos"/>
          <w:bCs/>
          <w:color w:val="000000" w:themeColor="text1"/>
        </w:rPr>
        <w:t>.</w:t>
      </w:r>
    </w:p>
    <w:p w14:paraId="7E7843CD" w14:textId="77777777" w:rsidR="000827E0" w:rsidRPr="000827E0" w:rsidRDefault="000827E0" w:rsidP="000827E0">
      <w:pPr>
        <w:tabs>
          <w:tab w:val="left" w:pos="8400"/>
        </w:tabs>
        <w:rPr>
          <w:rFonts w:ascii="Aptos" w:hAnsi="Aptos"/>
          <w:b/>
          <w:color w:val="000000" w:themeColor="text1"/>
          <w:u w:val="single"/>
        </w:rPr>
      </w:pPr>
    </w:p>
    <w:p w14:paraId="1342E07B" w14:textId="0911C08C" w:rsidR="007F0A44" w:rsidRPr="005C6354" w:rsidRDefault="007F0A44" w:rsidP="006346EC">
      <w:pPr>
        <w:rPr>
          <w:rFonts w:ascii="Aptos" w:hAnsi="Aptos"/>
          <w:b/>
          <w:color w:val="000000" w:themeColor="text1"/>
        </w:rPr>
      </w:pPr>
      <w:r w:rsidRPr="005C6354">
        <w:rPr>
          <w:rFonts w:ascii="Aptos" w:hAnsi="Aptos"/>
          <w:b/>
          <w:color w:val="000000" w:themeColor="text1"/>
        </w:rPr>
        <w:lastRenderedPageBreak/>
        <w:t>RELEVANT FACTS:</w:t>
      </w:r>
      <w:r w:rsidRPr="005C6354">
        <w:rPr>
          <w:rStyle w:val="FootnoteReference"/>
          <w:rFonts w:ascii="Aptos" w:hAnsi="Aptos"/>
          <w:b/>
          <w:color w:val="000000" w:themeColor="text1"/>
        </w:rPr>
        <w:footnoteReference w:id="9"/>
      </w:r>
    </w:p>
    <w:p w14:paraId="17E669EE" w14:textId="77777777" w:rsidR="007F0A44" w:rsidRPr="005C6354" w:rsidRDefault="007F0A44" w:rsidP="006346EC">
      <w:pPr>
        <w:rPr>
          <w:rFonts w:ascii="Aptos" w:hAnsi="Aptos"/>
          <w:bCs/>
          <w:color w:val="000000" w:themeColor="text1"/>
        </w:rPr>
      </w:pPr>
    </w:p>
    <w:p w14:paraId="4E684F73" w14:textId="3E000C02" w:rsidR="007F0A44" w:rsidRPr="005C6354" w:rsidRDefault="00654614" w:rsidP="006346EC">
      <w:pPr>
        <w:pStyle w:val="ListParagraph"/>
        <w:numPr>
          <w:ilvl w:val="0"/>
          <w:numId w:val="30"/>
        </w:numPr>
        <w:rPr>
          <w:rFonts w:ascii="Aptos" w:hAnsi="Aptos"/>
          <w:bCs/>
          <w:color w:val="000000" w:themeColor="text1"/>
        </w:rPr>
      </w:pPr>
      <w:r w:rsidRPr="005C6354">
        <w:rPr>
          <w:rFonts w:ascii="Aptos" w:hAnsi="Aptos"/>
          <w:bCs/>
          <w:color w:val="000000" w:themeColor="text1"/>
        </w:rPr>
        <w:t>Longmeadow Public Schools (Longmeadow or the District) is Student’s district of residence and local education agency (LEA). (P-A)</w:t>
      </w:r>
    </w:p>
    <w:p w14:paraId="54DC84AB" w14:textId="48A24626" w:rsidR="00654614" w:rsidRPr="005C6354" w:rsidRDefault="00654614" w:rsidP="006346EC">
      <w:pPr>
        <w:pStyle w:val="ListParagraph"/>
        <w:numPr>
          <w:ilvl w:val="0"/>
          <w:numId w:val="30"/>
        </w:numPr>
        <w:rPr>
          <w:rFonts w:ascii="Aptos" w:hAnsi="Aptos"/>
          <w:bCs/>
          <w:color w:val="000000" w:themeColor="text1"/>
        </w:rPr>
      </w:pPr>
      <w:r w:rsidRPr="005C6354">
        <w:rPr>
          <w:rFonts w:ascii="Aptos" w:hAnsi="Aptos"/>
          <w:bCs/>
          <w:color w:val="000000" w:themeColor="text1"/>
        </w:rPr>
        <w:t xml:space="preserve">In December 2023, Longmeadow proposed an IEP for the period 12/20/2023 to 12/19/2024 </w:t>
      </w:r>
      <w:r w:rsidR="006346EC" w:rsidRPr="005C6354">
        <w:rPr>
          <w:rFonts w:ascii="Aptos" w:hAnsi="Aptos"/>
          <w:bCs/>
          <w:color w:val="000000" w:themeColor="text1"/>
        </w:rPr>
        <w:t xml:space="preserve">(December 2023 IEP) </w:t>
      </w:r>
      <w:r w:rsidRPr="005C6354">
        <w:rPr>
          <w:rFonts w:ascii="Aptos" w:hAnsi="Aptos"/>
          <w:bCs/>
          <w:color w:val="000000" w:themeColor="text1"/>
        </w:rPr>
        <w:t>with a full inclusion placement at Longmeadow High School. (P-A)</w:t>
      </w:r>
    </w:p>
    <w:p w14:paraId="30EC59B5" w14:textId="19E8DEB7" w:rsidR="00654614" w:rsidRPr="005C6354" w:rsidRDefault="00654614" w:rsidP="006346EC">
      <w:pPr>
        <w:pStyle w:val="ListParagraph"/>
        <w:numPr>
          <w:ilvl w:val="0"/>
          <w:numId w:val="30"/>
        </w:numPr>
        <w:rPr>
          <w:rFonts w:ascii="Aptos" w:hAnsi="Aptos"/>
          <w:bCs/>
          <w:color w:val="000000" w:themeColor="text1"/>
        </w:rPr>
      </w:pPr>
      <w:r w:rsidRPr="005C6354">
        <w:rPr>
          <w:rFonts w:ascii="Aptos" w:hAnsi="Aptos"/>
          <w:bCs/>
          <w:color w:val="000000" w:themeColor="text1"/>
        </w:rPr>
        <w:t xml:space="preserve">The Team </w:t>
      </w:r>
      <w:r w:rsidR="00C02C4A" w:rsidRPr="005C6354">
        <w:rPr>
          <w:rFonts w:ascii="Aptos" w:hAnsi="Aptos"/>
          <w:bCs/>
          <w:color w:val="000000" w:themeColor="text1"/>
        </w:rPr>
        <w:t xml:space="preserve">next </w:t>
      </w:r>
      <w:r w:rsidRPr="005C6354">
        <w:rPr>
          <w:rFonts w:ascii="Aptos" w:hAnsi="Aptos"/>
          <w:bCs/>
          <w:color w:val="000000" w:themeColor="text1"/>
        </w:rPr>
        <w:t xml:space="preserve">reconvened on April 16, 2025. As a result of this meeting, the District proposed an IEP for the period 4/16/2025 to 4/15/2026 </w:t>
      </w:r>
      <w:r w:rsidR="006346EC" w:rsidRPr="005C6354">
        <w:rPr>
          <w:rFonts w:ascii="Aptos" w:hAnsi="Aptos"/>
          <w:bCs/>
          <w:color w:val="000000" w:themeColor="text1"/>
        </w:rPr>
        <w:t xml:space="preserve"> (April 2025 IEP) </w:t>
      </w:r>
      <w:r w:rsidRPr="005C6354">
        <w:rPr>
          <w:rFonts w:ascii="Aptos" w:hAnsi="Aptos"/>
          <w:bCs/>
          <w:color w:val="000000" w:themeColor="text1"/>
        </w:rPr>
        <w:t>with a full inclusion placement at Longmeadow High School. (P-B)</w:t>
      </w:r>
    </w:p>
    <w:p w14:paraId="180C8D6E" w14:textId="77777777" w:rsidR="007F0A44" w:rsidRPr="005C6354" w:rsidRDefault="007F0A44" w:rsidP="006346EC">
      <w:pPr>
        <w:rPr>
          <w:rFonts w:ascii="Aptos" w:hAnsi="Aptos"/>
          <w:bCs/>
          <w:color w:val="000000" w:themeColor="text1"/>
        </w:rPr>
      </w:pPr>
    </w:p>
    <w:p w14:paraId="6E67924A" w14:textId="3BC2A615" w:rsidR="00A01D7B" w:rsidRPr="005C6354" w:rsidRDefault="001A4757" w:rsidP="006346EC">
      <w:pPr>
        <w:rPr>
          <w:rFonts w:ascii="Aptos" w:hAnsi="Aptos"/>
          <w:b/>
          <w:color w:val="000000" w:themeColor="text1"/>
        </w:rPr>
      </w:pPr>
      <w:r w:rsidRPr="005C6354">
        <w:rPr>
          <w:rFonts w:ascii="Aptos" w:hAnsi="Aptos"/>
          <w:b/>
          <w:color w:val="000000" w:themeColor="text1"/>
        </w:rPr>
        <w:t>LEGAL STANDARD</w:t>
      </w:r>
      <w:r w:rsidR="00A01D7B" w:rsidRPr="005C6354">
        <w:rPr>
          <w:rFonts w:ascii="Aptos" w:hAnsi="Aptos"/>
          <w:b/>
          <w:color w:val="000000" w:themeColor="text1"/>
        </w:rPr>
        <w:t>S</w:t>
      </w:r>
      <w:r w:rsidRPr="005C6354">
        <w:rPr>
          <w:rFonts w:ascii="Aptos" w:hAnsi="Aptos"/>
          <w:b/>
          <w:color w:val="000000" w:themeColor="text1"/>
        </w:rPr>
        <w:t>:</w:t>
      </w:r>
    </w:p>
    <w:p w14:paraId="4B6F97A7" w14:textId="77777777" w:rsidR="00371F5F" w:rsidRPr="005C6354" w:rsidRDefault="00371F5F" w:rsidP="006346EC">
      <w:pPr>
        <w:rPr>
          <w:rFonts w:ascii="Aptos" w:hAnsi="Aptos"/>
          <w:b/>
          <w:color w:val="000000" w:themeColor="text1"/>
        </w:rPr>
      </w:pPr>
    </w:p>
    <w:p w14:paraId="5A2AEC93" w14:textId="77777777" w:rsidR="00371F5F" w:rsidRPr="005C6354" w:rsidRDefault="00371F5F" w:rsidP="006346EC">
      <w:pPr>
        <w:pStyle w:val="ListParagraph"/>
        <w:numPr>
          <w:ilvl w:val="0"/>
          <w:numId w:val="18"/>
        </w:numPr>
        <w:rPr>
          <w:rFonts w:ascii="Aptos" w:hAnsi="Aptos" w:cs="Open Sans"/>
          <w:color w:val="000000" w:themeColor="text1"/>
          <w:u w:val="single"/>
        </w:rPr>
      </w:pPr>
      <w:r w:rsidRPr="005C6354">
        <w:rPr>
          <w:rFonts w:ascii="Aptos" w:hAnsi="Aptos" w:cs="Open Sans"/>
          <w:color w:val="000000" w:themeColor="text1"/>
          <w:u w:val="single"/>
        </w:rPr>
        <w:t>Summary Judgment</w:t>
      </w:r>
    </w:p>
    <w:p w14:paraId="5C5DE5DB" w14:textId="77777777" w:rsidR="00371F5F" w:rsidRPr="005C6354" w:rsidRDefault="00371F5F" w:rsidP="006346EC">
      <w:pPr>
        <w:rPr>
          <w:rFonts w:ascii="Aptos" w:hAnsi="Aptos" w:cs="Open Sans"/>
          <w:color w:val="000000" w:themeColor="text1"/>
        </w:rPr>
      </w:pPr>
    </w:p>
    <w:p w14:paraId="345154A1" w14:textId="77777777" w:rsidR="00391775" w:rsidRPr="005C6354" w:rsidRDefault="00391775" w:rsidP="006346EC">
      <w:pPr>
        <w:shd w:val="clear" w:color="auto" w:fill="FFFFFF"/>
        <w:rPr>
          <w:rFonts w:ascii="Aptos" w:hAnsi="Aptos"/>
          <w:color w:val="000000" w:themeColor="text1"/>
        </w:rPr>
      </w:pPr>
      <w:r w:rsidRPr="005C6354">
        <w:rPr>
          <w:rFonts w:ascii="Aptos" w:hAnsi="Aptos"/>
          <w:color w:val="000000" w:themeColor="text1"/>
        </w:rPr>
        <w:t>Pursuant to 801 CMR 1.01(7)(h), summary decision may be granted when there is “no genuine issue of fact relating to all or part of a claim or defense and [the moving party] is entitled to prevail as a matter of law.”</w:t>
      </w:r>
      <w:r w:rsidRPr="005C6354">
        <w:rPr>
          <w:rStyle w:val="FootnoteReference"/>
          <w:rFonts w:ascii="Aptos" w:hAnsi="Aptos"/>
          <w:color w:val="000000" w:themeColor="text1"/>
        </w:rPr>
        <w:footnoteReference w:id="10"/>
      </w:r>
      <w:r w:rsidRPr="005C6354">
        <w:rPr>
          <w:rFonts w:ascii="Aptos" w:hAnsi="Aptos"/>
          <w:color w:val="000000" w:themeColor="text1"/>
        </w:rPr>
        <w:t xml:space="preserve"> </w:t>
      </w:r>
      <w:r w:rsidRPr="005C6354">
        <w:rPr>
          <w:rFonts w:ascii="Aptos" w:hAnsi="Aptos"/>
          <w:color w:val="000000" w:themeColor="text1"/>
          <w:shd w:val="clear" w:color="auto" w:fill="FFFFFF"/>
        </w:rPr>
        <w:t>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Pr="005C6354">
        <w:rPr>
          <w:rStyle w:val="FootnoteReference"/>
          <w:rFonts w:ascii="Aptos" w:hAnsi="Aptos"/>
          <w:color w:val="000000" w:themeColor="text1"/>
          <w:shd w:val="clear" w:color="auto" w:fill="FFFFFF"/>
        </w:rPr>
        <w:footnoteReference w:id="11"/>
      </w:r>
      <w:r w:rsidRPr="005C6354">
        <w:rPr>
          <w:rFonts w:ascii="Aptos" w:hAnsi="Aptos"/>
          <w:color w:val="000000" w:themeColor="text1"/>
        </w:rPr>
        <w:t xml:space="preserve"> A genuine dispute as to a material fact exists if a fact that “carries with it the potential to affect the outcome of the suit” is disputed such that “a reasonable [fact-finder] could resolve the point in the favor of the non-moving party.”</w:t>
      </w:r>
      <w:r w:rsidRPr="005C6354">
        <w:rPr>
          <w:rStyle w:val="FootnoteReference"/>
          <w:rFonts w:ascii="Aptos" w:hAnsi="Aptos"/>
          <w:color w:val="000000" w:themeColor="text1"/>
        </w:rPr>
        <w:footnoteReference w:id="12"/>
      </w:r>
      <w:r w:rsidRPr="005C6354">
        <w:rPr>
          <w:rFonts w:ascii="Aptos" w:hAnsi="Aptos"/>
          <w:color w:val="000000" w:themeColor="text1"/>
        </w:rPr>
        <w:t xml:space="preserve"> “As to materiality, the substantive law will identify which facts are material. Only disputes over facts that might affect the outcome of the suit under the governing law will properly preclude the entry of</w:t>
      </w:r>
      <w:r w:rsidRPr="005C6354">
        <w:rPr>
          <w:rStyle w:val="apple-converted-space"/>
          <w:rFonts w:ascii="Aptos" w:hAnsi="Aptos"/>
          <w:color w:val="000000" w:themeColor="text1"/>
        </w:rPr>
        <w:t> </w:t>
      </w:r>
      <w:r w:rsidRPr="005C6354">
        <w:rPr>
          <w:rStyle w:val="coconcept4349"/>
          <w:rFonts w:ascii="Aptos" w:hAnsi="Aptos"/>
          <w:color w:val="000000" w:themeColor="text1"/>
          <w:bdr w:val="none" w:sz="0" w:space="0" w:color="auto" w:frame="1"/>
          <w:shd w:val="clear" w:color="auto" w:fill="FFFFFF"/>
        </w:rPr>
        <w:t>summary</w:t>
      </w:r>
      <w:r w:rsidRPr="005C6354">
        <w:rPr>
          <w:rStyle w:val="apple-converted-space"/>
          <w:rFonts w:ascii="Aptos" w:hAnsi="Aptos"/>
          <w:color w:val="000000" w:themeColor="text1"/>
        </w:rPr>
        <w:t> </w:t>
      </w:r>
      <w:r w:rsidRPr="005C6354">
        <w:rPr>
          <w:rStyle w:val="coconcept5158"/>
          <w:rFonts w:ascii="Aptos" w:hAnsi="Aptos"/>
          <w:color w:val="000000" w:themeColor="text1"/>
          <w:bdr w:val="none" w:sz="0" w:space="0" w:color="auto" w:frame="1"/>
          <w:shd w:val="clear" w:color="auto" w:fill="FFFFFF"/>
        </w:rPr>
        <w:t>judgment</w:t>
      </w:r>
      <w:r w:rsidRPr="005C6354">
        <w:rPr>
          <w:rFonts w:ascii="Aptos" w:hAnsi="Aptos"/>
          <w:color w:val="000000" w:themeColor="text1"/>
        </w:rPr>
        <w:t>. Factual disputes that are irrelevant or unnecessary will not be counted.</w:t>
      </w:r>
      <w:r w:rsidRPr="005C6354">
        <w:rPr>
          <w:rStyle w:val="apple-converted-space"/>
          <w:rFonts w:ascii="Aptos" w:hAnsi="Aptos"/>
          <w:color w:val="000000" w:themeColor="text1"/>
        </w:rPr>
        <w:t>”</w:t>
      </w:r>
      <w:r w:rsidRPr="005C6354">
        <w:rPr>
          <w:rStyle w:val="FootnoteReference"/>
          <w:rFonts w:ascii="Aptos" w:hAnsi="Aptos"/>
          <w:color w:val="000000" w:themeColor="text1"/>
          <w:bdr w:val="none" w:sz="0" w:space="0" w:color="auto" w:frame="1"/>
        </w:rPr>
        <w:footnoteReference w:id="13"/>
      </w:r>
    </w:p>
    <w:p w14:paraId="2F2864A1" w14:textId="77777777" w:rsidR="00391775" w:rsidRPr="005C6354" w:rsidRDefault="00391775" w:rsidP="006346EC">
      <w:pPr>
        <w:shd w:val="clear" w:color="auto" w:fill="FFFFFF"/>
        <w:rPr>
          <w:rFonts w:ascii="Aptos" w:hAnsi="Aptos"/>
          <w:color w:val="000000" w:themeColor="text1"/>
        </w:rPr>
      </w:pPr>
      <w:r w:rsidRPr="005C6354">
        <w:rPr>
          <w:rFonts w:ascii="Aptos" w:hAnsi="Aptos"/>
          <w:color w:val="000000" w:themeColor="text1"/>
        </w:rPr>
        <w:br/>
        <w:t>The moving party bears the burden of proof, and all evidence and inferences must be viewed in the light most favorable to the party opposing summary judgment.</w:t>
      </w:r>
      <w:r w:rsidRPr="005C6354">
        <w:rPr>
          <w:rStyle w:val="FootnoteReference"/>
          <w:rFonts w:ascii="Aptos" w:hAnsi="Aptos"/>
          <w:color w:val="000000" w:themeColor="text1"/>
        </w:rPr>
        <w:footnoteReference w:id="14"/>
      </w:r>
      <w:r w:rsidRPr="005C6354">
        <w:rPr>
          <w:rFonts w:ascii="Aptos" w:hAnsi="Aptos"/>
          <w:color w:val="000000" w:themeColor="text1"/>
        </w:rPr>
        <w:t xml:space="preserve"> </w:t>
      </w:r>
    </w:p>
    <w:p w14:paraId="3BA93A8C" w14:textId="77777777" w:rsidR="00391775" w:rsidRPr="005C6354" w:rsidRDefault="00391775" w:rsidP="006346EC">
      <w:pPr>
        <w:pStyle w:val="ListParagraph"/>
        <w:ind w:left="1080"/>
        <w:rPr>
          <w:rFonts w:ascii="Aptos" w:hAnsi="Aptos"/>
          <w:color w:val="000000" w:themeColor="text1"/>
        </w:rPr>
      </w:pPr>
      <w:r w:rsidRPr="005C6354">
        <w:rPr>
          <w:rFonts w:ascii="Aptos" w:hAnsi="Aptos"/>
          <w:color w:val="000000" w:themeColor="text1"/>
        </w:rPr>
        <w:tab/>
      </w:r>
    </w:p>
    <w:p w14:paraId="6637E054" w14:textId="15B4C330" w:rsidR="00391775" w:rsidRPr="005C6354" w:rsidRDefault="00391775" w:rsidP="006346EC">
      <w:pPr>
        <w:pStyle w:val="ListParagraph"/>
        <w:ind w:left="0"/>
        <w:rPr>
          <w:rFonts w:ascii="Aptos" w:hAnsi="Aptos"/>
          <w:color w:val="000000" w:themeColor="text1"/>
        </w:rPr>
      </w:pPr>
      <w:r w:rsidRPr="005C6354">
        <w:rPr>
          <w:rFonts w:ascii="Aptos" w:hAnsi="Aptos"/>
          <w:color w:val="000000" w:themeColor="text1"/>
        </w:rPr>
        <w:lastRenderedPageBreak/>
        <w:t>In response to a motion for summary judgment, the opposing party “must set forth specific facts showing that there is a genuine issue for trial.”</w:t>
      </w:r>
      <w:r w:rsidRPr="005C6354">
        <w:rPr>
          <w:rStyle w:val="FootnoteReference"/>
          <w:rFonts w:ascii="Aptos" w:hAnsi="Aptos"/>
          <w:color w:val="000000" w:themeColor="text1"/>
        </w:rPr>
        <w:footnoteReference w:id="15"/>
      </w:r>
      <w:r w:rsidRPr="005C6354">
        <w:rPr>
          <w:rFonts w:ascii="Aptos" w:hAnsi="Aptos"/>
          <w:color w:val="000000" w:themeColor="text1"/>
        </w:rPr>
        <w:t xml:space="preserve"> To survive this motion and proceed to hearing, the adverse party must show that there is “sufficient evidence” in its favor that the fact finder could decide for it.</w:t>
      </w:r>
      <w:r w:rsidRPr="005C6354">
        <w:rPr>
          <w:rStyle w:val="FootnoteReference"/>
          <w:rFonts w:ascii="Aptos" w:hAnsi="Aptos"/>
          <w:color w:val="000000" w:themeColor="text1"/>
        </w:rPr>
        <w:footnoteReference w:id="16"/>
      </w:r>
      <w:r w:rsidRPr="005C6354">
        <w:rPr>
          <w:rFonts w:ascii="Aptos" w:hAnsi="Aptos"/>
          <w:color w:val="000000" w:themeColor="text1"/>
        </w:rPr>
        <w:t xml:space="preserve"> In other words, the evidence presented by the non-moving party “must have substance in the sense that it [demonstrates] differing versions of the truth which a factfinder must resolve at an ensuing trial.”</w:t>
      </w:r>
      <w:r w:rsidRPr="005C6354">
        <w:rPr>
          <w:rStyle w:val="FootnoteReference"/>
          <w:rFonts w:ascii="Aptos" w:hAnsi="Aptos"/>
          <w:color w:val="000000" w:themeColor="text1"/>
        </w:rPr>
        <w:footnoteReference w:id="17"/>
      </w:r>
      <w:r w:rsidRPr="005C6354">
        <w:rPr>
          <w:rFonts w:ascii="Aptos" w:hAnsi="Aptos"/>
          <w:color w:val="000000" w:themeColor="text1"/>
        </w:rPr>
        <w:t xml:space="preserve"> The non-moving party’s evidence will not suffice if it is comprised merely of “conclusory allegations, improbable inferences, and unsupported speculation.”</w:t>
      </w:r>
      <w:r w:rsidRPr="005C6354">
        <w:rPr>
          <w:rStyle w:val="FootnoteReference"/>
          <w:rFonts w:ascii="Aptos" w:hAnsi="Aptos"/>
          <w:color w:val="000000" w:themeColor="text1"/>
        </w:rPr>
        <w:footnoteReference w:id="18"/>
      </w:r>
      <w:r w:rsidRPr="005C6354">
        <w:rPr>
          <w:rFonts w:ascii="Aptos" w:hAnsi="Aptos"/>
          <w:color w:val="000000" w:themeColor="text1"/>
        </w:rPr>
        <w:t xml:space="preserve"> </w:t>
      </w:r>
    </w:p>
    <w:p w14:paraId="02257940" w14:textId="77777777" w:rsidR="006B37DA" w:rsidRPr="005C6354" w:rsidRDefault="006B37DA" w:rsidP="006346EC">
      <w:pPr>
        <w:pStyle w:val="ListParagraph"/>
        <w:ind w:left="0"/>
        <w:rPr>
          <w:rFonts w:ascii="Aptos" w:hAnsi="Aptos"/>
          <w:color w:val="000000" w:themeColor="text1"/>
        </w:rPr>
      </w:pPr>
    </w:p>
    <w:p w14:paraId="62D34AAC" w14:textId="2444C336" w:rsidR="006B37DA" w:rsidRPr="005C6354" w:rsidRDefault="006B37DA" w:rsidP="006346EC">
      <w:pPr>
        <w:pStyle w:val="ListParagraph"/>
        <w:numPr>
          <w:ilvl w:val="0"/>
          <w:numId w:val="18"/>
        </w:numPr>
        <w:rPr>
          <w:rFonts w:ascii="Aptos" w:hAnsi="Aptos"/>
          <w:color w:val="000000" w:themeColor="text1"/>
          <w:u w:val="single"/>
        </w:rPr>
      </w:pPr>
      <w:r w:rsidRPr="005C6354">
        <w:rPr>
          <w:rFonts w:ascii="Aptos" w:hAnsi="Aptos"/>
          <w:color w:val="000000" w:themeColor="text1"/>
          <w:u w:val="single"/>
        </w:rPr>
        <w:t xml:space="preserve">Failure To Offer </w:t>
      </w:r>
      <w:r w:rsidR="001236B2" w:rsidRPr="005C6354">
        <w:rPr>
          <w:rFonts w:ascii="Aptos" w:hAnsi="Aptos"/>
          <w:color w:val="000000" w:themeColor="text1"/>
          <w:u w:val="single"/>
        </w:rPr>
        <w:t xml:space="preserve">An </w:t>
      </w:r>
      <w:r w:rsidRPr="005C6354">
        <w:rPr>
          <w:rFonts w:ascii="Aptos" w:hAnsi="Aptos"/>
          <w:color w:val="000000" w:themeColor="text1"/>
          <w:u w:val="single"/>
        </w:rPr>
        <w:t>IEP To A Private School Student</w:t>
      </w:r>
    </w:p>
    <w:p w14:paraId="11BDAAE2" w14:textId="77777777" w:rsidR="00391775" w:rsidRPr="005C6354" w:rsidRDefault="00391775" w:rsidP="006346EC">
      <w:pPr>
        <w:rPr>
          <w:rFonts w:ascii="Aptos" w:hAnsi="Aptos" w:cs="Open Sans"/>
          <w:color w:val="000000" w:themeColor="text1"/>
        </w:rPr>
      </w:pPr>
    </w:p>
    <w:p w14:paraId="7BA2420E" w14:textId="1EB32FD4" w:rsidR="0006163F" w:rsidRPr="005C6354" w:rsidRDefault="008F7117" w:rsidP="006346EC">
      <w:pPr>
        <w:shd w:val="clear" w:color="auto" w:fill="FFFFFF"/>
        <w:rPr>
          <w:rFonts w:ascii="Aptos" w:hAnsi="Aptos"/>
          <w:color w:val="000000"/>
        </w:rPr>
      </w:pPr>
      <w:r w:rsidRPr="005C6354">
        <w:rPr>
          <w:rFonts w:ascii="Aptos" w:hAnsi="Aptos"/>
          <w:color w:val="000000"/>
        </w:rPr>
        <w:t>When a child has an IEP, school districts are required to review that IEP annually.</w:t>
      </w:r>
      <w:r w:rsidR="006346EC" w:rsidRPr="005C6354">
        <w:rPr>
          <w:rStyle w:val="FootnoteReference"/>
          <w:rFonts w:ascii="Aptos" w:hAnsi="Aptos"/>
          <w:color w:val="000000"/>
        </w:rPr>
        <w:footnoteReference w:id="19"/>
      </w:r>
      <w:r w:rsidRPr="005C6354">
        <w:rPr>
          <w:rFonts w:ascii="Aptos" w:hAnsi="Aptos"/>
          <w:color w:val="000000"/>
        </w:rPr>
        <w:t xml:space="preserve"> </w:t>
      </w:r>
      <w:r w:rsidR="00841E4E" w:rsidRPr="005C6354">
        <w:rPr>
          <w:rFonts w:ascii="Aptos" w:hAnsi="Aptos"/>
          <w:color w:val="000000"/>
        </w:rPr>
        <w:t xml:space="preserve">Consistent with the IDEA’s requirements, </w:t>
      </w:r>
      <w:r w:rsidR="006346EC" w:rsidRPr="005C6354">
        <w:rPr>
          <w:rFonts w:ascii="Aptos" w:hAnsi="Aptos"/>
          <w:color w:val="000000"/>
        </w:rPr>
        <w:t>a school district must ensure that the child's placement is determined at least annually, is based on the child's IEP, and is as close as possible to the child's home.</w:t>
      </w:r>
      <w:r w:rsidR="006346EC" w:rsidRPr="005C6354">
        <w:rPr>
          <w:rStyle w:val="FootnoteReference"/>
          <w:rFonts w:ascii="Aptos" w:hAnsi="Aptos"/>
          <w:color w:val="000000"/>
        </w:rPr>
        <w:footnoteReference w:id="20"/>
      </w:r>
      <w:r w:rsidR="006346EC" w:rsidRPr="005C6354">
        <w:rPr>
          <w:rFonts w:ascii="Aptos" w:hAnsi="Aptos"/>
          <w:color w:val="000000"/>
        </w:rPr>
        <w:t xml:space="preserve"> </w:t>
      </w:r>
      <w:r w:rsidR="00E3261D" w:rsidRPr="005C6354">
        <w:rPr>
          <w:rFonts w:ascii="Aptos" w:hAnsi="Aptos"/>
          <w:color w:val="000000"/>
        </w:rPr>
        <w:t>The Supreme Court has found that “</w:t>
      </w:r>
      <w:r w:rsidR="0006163F" w:rsidRPr="005C6354">
        <w:rPr>
          <w:rFonts w:ascii="Aptos" w:hAnsi="Aptos"/>
          <w:color w:val="000000"/>
        </w:rPr>
        <w:t>when a child requires special-education services, a school district's failure to propose</w:t>
      </w:r>
      <w:r w:rsidR="0006163F" w:rsidRPr="005C6354">
        <w:rPr>
          <w:rStyle w:val="apple-converted-space"/>
          <w:rFonts w:ascii="Aptos" w:hAnsi="Aptos"/>
          <w:color w:val="000000"/>
        </w:rPr>
        <w:t> </w:t>
      </w:r>
      <w:r w:rsidR="0006163F" w:rsidRPr="005C6354">
        <w:rPr>
          <w:rFonts w:ascii="Aptos" w:hAnsi="Aptos"/>
          <w:color w:val="000000"/>
        </w:rPr>
        <w:t>an IEP of any kind is at least as serious a violation of its responsibilities under IDEA as a failure to provide an adequate IEP.</w:t>
      </w:r>
      <w:r w:rsidR="00E3261D" w:rsidRPr="005C6354">
        <w:rPr>
          <w:rFonts w:ascii="Aptos" w:hAnsi="Aptos"/>
          <w:color w:val="000000"/>
        </w:rPr>
        <w:t>”</w:t>
      </w:r>
      <w:r w:rsidR="00E3261D" w:rsidRPr="005C6354">
        <w:rPr>
          <w:rStyle w:val="FootnoteReference"/>
          <w:rFonts w:ascii="Aptos" w:hAnsi="Aptos"/>
          <w:color w:val="000000" w:themeColor="text1"/>
        </w:rPr>
        <w:footnoteReference w:id="21"/>
      </w:r>
      <w:r w:rsidR="001236B2" w:rsidRPr="005C6354">
        <w:rPr>
          <w:rFonts w:ascii="Aptos" w:hAnsi="Aptos"/>
          <w:color w:val="000000"/>
        </w:rPr>
        <w:t xml:space="preserve"> </w:t>
      </w:r>
      <w:r w:rsidR="00841E4E" w:rsidRPr="005C6354">
        <w:rPr>
          <w:rFonts w:ascii="Aptos" w:hAnsi="Aptos"/>
          <w:color w:val="000000"/>
        </w:rPr>
        <w:t>In the same way, the federal district court</w:t>
      </w:r>
      <w:r w:rsidR="00936D72" w:rsidRPr="005C6354">
        <w:rPr>
          <w:rFonts w:ascii="Aptos" w:hAnsi="Aptos"/>
          <w:color w:val="000000"/>
        </w:rPr>
        <w:t xml:space="preserve"> for Massachusetts</w:t>
      </w:r>
      <w:r w:rsidR="00841E4E" w:rsidRPr="005C6354">
        <w:rPr>
          <w:rFonts w:ascii="Aptos" w:hAnsi="Aptos"/>
          <w:color w:val="000000"/>
        </w:rPr>
        <w:t xml:space="preserve"> has recognized that</w:t>
      </w:r>
      <w:r w:rsidR="001236B2" w:rsidRPr="005C6354">
        <w:rPr>
          <w:rFonts w:ascii="Aptos" w:hAnsi="Aptos"/>
          <w:color w:val="000000"/>
        </w:rPr>
        <w:t xml:space="preserve"> t</w:t>
      </w:r>
      <w:r w:rsidR="006B37DA" w:rsidRPr="005C6354">
        <w:rPr>
          <w:rFonts w:ascii="Aptos" w:hAnsi="Aptos"/>
          <w:color w:val="000000"/>
        </w:rPr>
        <w:t xml:space="preserve">he </w:t>
      </w:r>
      <w:r w:rsidR="001236B2" w:rsidRPr="005C6354">
        <w:rPr>
          <w:rFonts w:ascii="Aptos" w:hAnsi="Aptos"/>
          <w:color w:val="000000"/>
        </w:rPr>
        <w:t>“</w:t>
      </w:r>
      <w:r w:rsidR="006B37DA" w:rsidRPr="005C6354">
        <w:rPr>
          <w:rFonts w:ascii="Aptos" w:hAnsi="Aptos"/>
          <w:color w:val="000000"/>
        </w:rPr>
        <w:t xml:space="preserve">failure to schedule a Team meeting or propose an IEP </w:t>
      </w:r>
      <w:r w:rsidR="001236B2" w:rsidRPr="005C6354">
        <w:rPr>
          <w:rFonts w:ascii="Aptos" w:hAnsi="Aptos"/>
          <w:color w:val="000000"/>
        </w:rPr>
        <w:t>[is]</w:t>
      </w:r>
      <w:r w:rsidR="006B37DA" w:rsidRPr="005C6354">
        <w:rPr>
          <w:rFonts w:ascii="Aptos" w:hAnsi="Aptos"/>
          <w:color w:val="000000"/>
        </w:rPr>
        <w:t xml:space="preserve"> a sufficiently significant procedural violation, even in the absence of demonstrable educational harm, that it ha</w:t>
      </w:r>
      <w:r w:rsidR="001236B2" w:rsidRPr="005C6354">
        <w:rPr>
          <w:rFonts w:ascii="Aptos" w:hAnsi="Aptos"/>
          <w:color w:val="000000"/>
        </w:rPr>
        <w:t>[s]</w:t>
      </w:r>
      <w:r w:rsidR="006B37DA" w:rsidRPr="005C6354">
        <w:rPr>
          <w:rFonts w:ascii="Aptos" w:hAnsi="Aptos"/>
          <w:color w:val="000000"/>
        </w:rPr>
        <w:t xml:space="preserve"> the effect of denying</w:t>
      </w:r>
      <w:r w:rsidR="006B37DA" w:rsidRPr="005C6354">
        <w:rPr>
          <w:rStyle w:val="apple-converted-space"/>
          <w:rFonts w:ascii="Aptos" w:hAnsi="Aptos"/>
          <w:color w:val="000000"/>
        </w:rPr>
        <w:t> </w:t>
      </w:r>
      <w:r w:rsidR="001236B2" w:rsidRPr="005C6354">
        <w:rPr>
          <w:rStyle w:val="coconcept14"/>
          <w:rFonts w:ascii="Aptos" w:hAnsi="Aptos"/>
          <w:color w:val="000000"/>
          <w:bdr w:val="none" w:sz="0" w:space="0" w:color="auto" w:frame="1"/>
          <w:shd w:val="clear" w:color="auto" w:fill="FFFFFF"/>
        </w:rPr>
        <w:t>[a student]</w:t>
      </w:r>
      <w:r w:rsidR="006B37DA" w:rsidRPr="005C6354">
        <w:rPr>
          <w:rFonts w:ascii="Aptos" w:hAnsi="Aptos"/>
          <w:color w:val="000000"/>
        </w:rPr>
        <w:t xml:space="preserve"> a FAPE</w:t>
      </w:r>
      <w:r w:rsidR="001236B2" w:rsidRPr="005C6354">
        <w:rPr>
          <w:rFonts w:ascii="Aptos" w:hAnsi="Aptos"/>
          <w:color w:val="000000"/>
        </w:rPr>
        <w:t>.</w:t>
      </w:r>
      <w:r w:rsidR="001236B2" w:rsidRPr="005C6354">
        <w:rPr>
          <w:rStyle w:val="FootnoteReference"/>
          <w:rFonts w:ascii="Aptos" w:hAnsi="Aptos"/>
          <w:color w:val="000000" w:themeColor="text1"/>
        </w:rPr>
        <w:footnoteReference w:id="22"/>
      </w:r>
    </w:p>
    <w:p w14:paraId="004DFE9F" w14:textId="77777777" w:rsidR="0006163F" w:rsidRPr="005C6354" w:rsidRDefault="0006163F" w:rsidP="006346EC">
      <w:pPr>
        <w:rPr>
          <w:rFonts w:ascii="Aptos" w:hAnsi="Aptos"/>
          <w:b/>
          <w:bCs/>
          <w:color w:val="000000" w:themeColor="text1"/>
        </w:rPr>
      </w:pPr>
    </w:p>
    <w:p w14:paraId="6135470D" w14:textId="4B8AD532" w:rsidR="00D867C9" w:rsidRPr="005C6354" w:rsidRDefault="00D867C9" w:rsidP="006346EC">
      <w:pPr>
        <w:rPr>
          <w:rFonts w:ascii="Aptos" w:hAnsi="Aptos"/>
          <w:b/>
          <w:bCs/>
          <w:color w:val="000000" w:themeColor="text1"/>
        </w:rPr>
      </w:pPr>
      <w:r w:rsidRPr="005C6354">
        <w:rPr>
          <w:rFonts w:ascii="Aptos" w:hAnsi="Aptos"/>
          <w:b/>
          <w:bCs/>
          <w:color w:val="000000" w:themeColor="text1"/>
        </w:rPr>
        <w:t>DISCUSSION:</w:t>
      </w:r>
    </w:p>
    <w:p w14:paraId="2E92A641" w14:textId="77777777" w:rsidR="00D867C9" w:rsidRPr="005C6354" w:rsidRDefault="00D867C9" w:rsidP="006346EC">
      <w:pPr>
        <w:rPr>
          <w:rFonts w:ascii="Aptos" w:hAnsi="Aptos"/>
          <w:b/>
          <w:bCs/>
          <w:color w:val="000000" w:themeColor="text1"/>
        </w:rPr>
      </w:pPr>
    </w:p>
    <w:p w14:paraId="558B5F9B" w14:textId="6B23B631" w:rsidR="00623264" w:rsidRPr="005C6354" w:rsidRDefault="00D867C9" w:rsidP="006346EC">
      <w:pPr>
        <w:rPr>
          <w:rFonts w:ascii="Aptos" w:hAnsi="Aptos"/>
          <w:color w:val="000000" w:themeColor="text1"/>
        </w:rPr>
      </w:pPr>
      <w:r w:rsidRPr="005C6354">
        <w:rPr>
          <w:rFonts w:ascii="Aptos" w:hAnsi="Aptos"/>
          <w:color w:val="000000" w:themeColor="text1"/>
        </w:rPr>
        <w:t xml:space="preserve">Here, </w:t>
      </w:r>
      <w:r w:rsidR="004A0583" w:rsidRPr="005C6354">
        <w:rPr>
          <w:rFonts w:ascii="Aptos" w:hAnsi="Aptos"/>
          <w:color w:val="000000" w:themeColor="text1"/>
        </w:rPr>
        <w:t>Parent filed</w:t>
      </w:r>
      <w:r w:rsidR="00110DB4" w:rsidRPr="005C6354">
        <w:rPr>
          <w:rFonts w:ascii="Aptos" w:hAnsi="Aptos"/>
          <w:color w:val="000000" w:themeColor="text1"/>
        </w:rPr>
        <w:t xml:space="preserve"> a </w:t>
      </w:r>
      <w:r w:rsidR="00110DB4" w:rsidRPr="005C6354">
        <w:rPr>
          <w:rFonts w:ascii="Aptos" w:hAnsi="Aptos"/>
          <w:i/>
          <w:iCs/>
          <w:color w:val="000000" w:themeColor="text1"/>
        </w:rPr>
        <w:t>Motion</w:t>
      </w:r>
      <w:r w:rsidRPr="005C6354">
        <w:rPr>
          <w:rFonts w:ascii="Aptos" w:hAnsi="Aptos"/>
          <w:i/>
          <w:iCs/>
          <w:color w:val="000000" w:themeColor="text1"/>
        </w:rPr>
        <w:t xml:space="preserve"> for </w:t>
      </w:r>
      <w:r w:rsidR="00110DB4" w:rsidRPr="005C6354">
        <w:rPr>
          <w:rFonts w:ascii="Aptos" w:hAnsi="Aptos"/>
          <w:i/>
          <w:iCs/>
          <w:color w:val="000000" w:themeColor="text1"/>
        </w:rPr>
        <w:t>S</w:t>
      </w:r>
      <w:r w:rsidRPr="005C6354">
        <w:rPr>
          <w:rFonts w:ascii="Aptos" w:hAnsi="Aptos"/>
          <w:i/>
          <w:iCs/>
          <w:color w:val="000000" w:themeColor="text1"/>
        </w:rPr>
        <w:t xml:space="preserve">ummary </w:t>
      </w:r>
      <w:r w:rsidR="00110DB4" w:rsidRPr="005C6354">
        <w:rPr>
          <w:rFonts w:ascii="Aptos" w:hAnsi="Aptos"/>
          <w:i/>
          <w:iCs/>
          <w:color w:val="000000" w:themeColor="text1"/>
        </w:rPr>
        <w:t>J</w:t>
      </w:r>
      <w:r w:rsidRPr="005C6354">
        <w:rPr>
          <w:rFonts w:ascii="Aptos" w:hAnsi="Aptos"/>
          <w:i/>
          <w:iCs/>
          <w:color w:val="000000" w:themeColor="text1"/>
        </w:rPr>
        <w:t>udgment</w:t>
      </w:r>
      <w:r w:rsidRPr="005C6354">
        <w:rPr>
          <w:rFonts w:ascii="Aptos" w:hAnsi="Aptos"/>
          <w:color w:val="000000" w:themeColor="text1"/>
        </w:rPr>
        <w:t xml:space="preserve"> on </w:t>
      </w:r>
      <w:r w:rsidR="00797D3A" w:rsidRPr="005C6354">
        <w:rPr>
          <w:rFonts w:ascii="Aptos" w:hAnsi="Aptos"/>
          <w:color w:val="000000" w:themeColor="text1"/>
        </w:rPr>
        <w:t>the issue</w:t>
      </w:r>
      <w:r w:rsidR="00110DB4" w:rsidRPr="005C6354">
        <w:rPr>
          <w:rFonts w:ascii="Aptos" w:hAnsi="Aptos"/>
          <w:color w:val="000000" w:themeColor="text1"/>
        </w:rPr>
        <w:t xml:space="preserve"> of whether </w:t>
      </w:r>
      <w:r w:rsidR="0006163F" w:rsidRPr="005C6354">
        <w:rPr>
          <w:rFonts w:ascii="Aptos" w:hAnsi="Aptos"/>
          <w:bCs/>
          <w:color w:val="000000" w:themeColor="text1"/>
        </w:rPr>
        <w:t xml:space="preserve">the District’s failure to propose an IEP for Student between December 20, 2024 and April 16, 2025 was a per se violation of federal and state law and a denial of a FAPE. </w:t>
      </w:r>
      <w:r w:rsidR="00841E4E" w:rsidRPr="005C6354">
        <w:rPr>
          <w:rFonts w:ascii="Aptos" w:hAnsi="Aptos"/>
          <w:color w:val="000000" w:themeColor="text1"/>
        </w:rPr>
        <w:t>To prevail on this claim</w:t>
      </w:r>
      <w:r w:rsidR="009B1445" w:rsidRPr="005C6354">
        <w:rPr>
          <w:rFonts w:ascii="Aptos" w:hAnsi="Aptos"/>
          <w:color w:val="000000" w:themeColor="text1"/>
        </w:rPr>
        <w:t>,</w:t>
      </w:r>
      <w:r w:rsidRPr="005C6354">
        <w:rPr>
          <w:rFonts w:ascii="Aptos" w:hAnsi="Aptos"/>
          <w:color w:val="000000" w:themeColor="text1"/>
        </w:rPr>
        <w:t xml:space="preserve"> I must determine </w:t>
      </w:r>
      <w:r w:rsidR="009A0B9B" w:rsidRPr="005C6354">
        <w:rPr>
          <w:rFonts w:ascii="Aptos" w:hAnsi="Aptos"/>
          <w:color w:val="000000" w:themeColor="text1"/>
        </w:rPr>
        <w:t xml:space="preserve">if Parent has met her burden based on the documents she submitted in </w:t>
      </w:r>
      <w:r w:rsidR="009A0B9B" w:rsidRPr="005C6354">
        <w:rPr>
          <w:rFonts w:ascii="Aptos" w:hAnsi="Aptos"/>
          <w:color w:val="000000" w:themeColor="text1"/>
        </w:rPr>
        <w:lastRenderedPageBreak/>
        <w:t xml:space="preserve">support of her </w:t>
      </w:r>
      <w:r w:rsidR="009A0B9B" w:rsidRPr="005C6354">
        <w:rPr>
          <w:rFonts w:ascii="Aptos" w:hAnsi="Aptos"/>
          <w:i/>
          <w:iCs/>
          <w:color w:val="000000" w:themeColor="text1"/>
        </w:rPr>
        <w:t>Motion for Summary Judgment</w:t>
      </w:r>
      <w:r w:rsidR="009A0B9B" w:rsidRPr="005C6354">
        <w:rPr>
          <w:rFonts w:ascii="Aptos" w:hAnsi="Aptos"/>
          <w:color w:val="000000" w:themeColor="text1"/>
        </w:rPr>
        <w:t>, to</w:t>
      </w:r>
      <w:r w:rsidR="00292B2D" w:rsidRPr="005C6354">
        <w:rPr>
          <w:rFonts w:ascii="Aptos" w:hAnsi="Aptos"/>
          <w:color w:val="000000" w:themeColor="text1"/>
          <w:shd w:val="clear" w:color="auto" w:fill="FFFFFF"/>
        </w:rPr>
        <w:t xml:space="preserve"> show that there are no genuine issues as to any material fact and that the moving party is entitled to judgment as a matter of law.</w:t>
      </w:r>
      <w:r w:rsidR="009A0B9B" w:rsidRPr="005C6354">
        <w:rPr>
          <w:rFonts w:ascii="Aptos" w:hAnsi="Aptos"/>
          <w:color w:val="000000" w:themeColor="text1"/>
        </w:rPr>
        <w:t xml:space="preserve"> </w:t>
      </w:r>
      <w:r w:rsidRPr="005C6354">
        <w:rPr>
          <w:rFonts w:ascii="Aptos" w:hAnsi="Aptos"/>
          <w:color w:val="000000" w:themeColor="text1"/>
        </w:rPr>
        <w:t xml:space="preserve"> </w:t>
      </w:r>
      <w:r w:rsidR="000911D9" w:rsidRPr="005C6354">
        <w:rPr>
          <w:rFonts w:ascii="Aptos" w:hAnsi="Aptos"/>
          <w:color w:val="000000" w:themeColor="text1"/>
        </w:rPr>
        <w:t xml:space="preserve"> </w:t>
      </w:r>
    </w:p>
    <w:p w14:paraId="41DBE84E" w14:textId="77777777" w:rsidR="00623264" w:rsidRPr="005C6354" w:rsidRDefault="00623264" w:rsidP="006346EC">
      <w:pPr>
        <w:rPr>
          <w:rFonts w:ascii="Aptos" w:hAnsi="Aptos"/>
          <w:color w:val="000000" w:themeColor="text1"/>
        </w:rPr>
      </w:pPr>
    </w:p>
    <w:p w14:paraId="34144D1B" w14:textId="3C170B04" w:rsidR="001236B2" w:rsidRPr="005C6354" w:rsidRDefault="002C6B19" w:rsidP="006346EC">
      <w:pPr>
        <w:rPr>
          <w:rFonts w:ascii="Aptos" w:hAnsi="Aptos"/>
          <w:color w:val="000000" w:themeColor="text1"/>
        </w:rPr>
      </w:pPr>
      <w:r w:rsidRPr="005C6354">
        <w:rPr>
          <w:rFonts w:ascii="Aptos" w:hAnsi="Aptos"/>
          <w:color w:val="000000" w:themeColor="text1"/>
        </w:rPr>
        <w:t xml:space="preserve">The material fact </w:t>
      </w:r>
      <w:r w:rsidR="00841E4E" w:rsidRPr="005C6354">
        <w:rPr>
          <w:rFonts w:ascii="Aptos" w:hAnsi="Aptos"/>
          <w:color w:val="000000" w:themeColor="text1"/>
        </w:rPr>
        <w:t>pertaining to Parent’s claim</w:t>
      </w:r>
      <w:r w:rsidRPr="005C6354">
        <w:rPr>
          <w:rFonts w:ascii="Aptos" w:hAnsi="Aptos"/>
          <w:color w:val="000000" w:themeColor="text1"/>
        </w:rPr>
        <w:t xml:space="preserve"> </w:t>
      </w:r>
      <w:r w:rsidR="009A0B9B" w:rsidRPr="005C6354">
        <w:rPr>
          <w:rFonts w:ascii="Aptos" w:hAnsi="Aptos"/>
          <w:color w:val="000000" w:themeColor="text1"/>
        </w:rPr>
        <w:t>involve</w:t>
      </w:r>
      <w:r w:rsidR="00BA1B7C" w:rsidRPr="005C6354">
        <w:rPr>
          <w:rFonts w:ascii="Aptos" w:hAnsi="Aptos"/>
          <w:color w:val="000000" w:themeColor="text1"/>
        </w:rPr>
        <w:t>s</w:t>
      </w:r>
      <w:r w:rsidR="009A0B9B" w:rsidRPr="005C6354">
        <w:rPr>
          <w:rFonts w:ascii="Aptos" w:hAnsi="Aptos"/>
          <w:color w:val="000000" w:themeColor="text1"/>
        </w:rPr>
        <w:t xml:space="preserve"> </w:t>
      </w:r>
      <w:r w:rsidRPr="005C6354">
        <w:rPr>
          <w:rFonts w:ascii="Aptos" w:hAnsi="Aptos"/>
          <w:color w:val="000000" w:themeColor="text1"/>
        </w:rPr>
        <w:t xml:space="preserve">whether the District failed to propose an annual IEP </w:t>
      </w:r>
      <w:r w:rsidR="001764B7" w:rsidRPr="005C6354">
        <w:rPr>
          <w:rFonts w:ascii="Aptos" w:hAnsi="Aptos"/>
          <w:color w:val="000000" w:themeColor="text1"/>
        </w:rPr>
        <w:t xml:space="preserve">for Student </w:t>
      </w:r>
      <w:r w:rsidR="00292B2D" w:rsidRPr="005C6354">
        <w:rPr>
          <w:rFonts w:ascii="Aptos" w:hAnsi="Aptos"/>
          <w:color w:val="000000" w:themeColor="text1"/>
        </w:rPr>
        <w:t xml:space="preserve">on or </w:t>
      </w:r>
      <w:r w:rsidRPr="005C6354">
        <w:rPr>
          <w:rFonts w:ascii="Aptos" w:hAnsi="Aptos"/>
          <w:color w:val="000000" w:themeColor="text1"/>
        </w:rPr>
        <w:t xml:space="preserve">before the expiration of </w:t>
      </w:r>
      <w:r w:rsidR="001764B7" w:rsidRPr="005C6354">
        <w:rPr>
          <w:rFonts w:ascii="Aptos" w:hAnsi="Aptos"/>
          <w:color w:val="000000" w:themeColor="text1"/>
        </w:rPr>
        <w:t>his</w:t>
      </w:r>
      <w:r w:rsidRPr="005C6354">
        <w:rPr>
          <w:rFonts w:ascii="Aptos" w:hAnsi="Aptos"/>
          <w:color w:val="000000" w:themeColor="text1"/>
        </w:rPr>
        <w:t xml:space="preserve"> </w:t>
      </w:r>
      <w:r w:rsidR="001764B7" w:rsidRPr="005C6354">
        <w:rPr>
          <w:rFonts w:ascii="Aptos" w:hAnsi="Aptos"/>
          <w:color w:val="000000" w:themeColor="text1"/>
        </w:rPr>
        <w:t>prior</w:t>
      </w:r>
      <w:r w:rsidRPr="005C6354">
        <w:rPr>
          <w:rFonts w:ascii="Aptos" w:hAnsi="Aptos"/>
          <w:color w:val="000000" w:themeColor="text1"/>
        </w:rPr>
        <w:t xml:space="preserve"> IEP.</w:t>
      </w:r>
      <w:r w:rsidRPr="005C6354">
        <w:rPr>
          <w:rStyle w:val="FootnoteReference"/>
          <w:rFonts w:ascii="Aptos" w:hAnsi="Aptos"/>
          <w:color w:val="000000" w:themeColor="text1"/>
        </w:rPr>
        <w:t xml:space="preserve"> </w:t>
      </w:r>
      <w:r w:rsidRPr="005C6354">
        <w:rPr>
          <w:rStyle w:val="FootnoteReference"/>
          <w:rFonts w:ascii="Aptos" w:hAnsi="Aptos"/>
          <w:color w:val="000000" w:themeColor="text1"/>
        </w:rPr>
        <w:footnoteReference w:id="23"/>
      </w:r>
      <w:r w:rsidRPr="005C6354">
        <w:rPr>
          <w:rFonts w:ascii="Aptos" w:hAnsi="Aptos"/>
          <w:color w:val="000000" w:themeColor="text1"/>
        </w:rPr>
        <w:t xml:space="preserve"> </w:t>
      </w:r>
      <w:r w:rsidR="00292B2D" w:rsidRPr="005C6354">
        <w:rPr>
          <w:rFonts w:ascii="Aptos" w:hAnsi="Aptos"/>
          <w:color w:val="000000" w:themeColor="text1"/>
        </w:rPr>
        <w:t>D</w:t>
      </w:r>
      <w:r w:rsidR="00841E4E" w:rsidRPr="005C6354">
        <w:rPr>
          <w:rFonts w:ascii="Aptos" w:hAnsi="Aptos"/>
          <w:color w:val="000000" w:themeColor="text1"/>
        </w:rPr>
        <w:t xml:space="preserve">ocuments submitted </w:t>
      </w:r>
      <w:r w:rsidR="00292B2D" w:rsidRPr="005C6354">
        <w:rPr>
          <w:rFonts w:ascii="Aptos" w:hAnsi="Aptos"/>
          <w:color w:val="000000" w:themeColor="text1"/>
        </w:rPr>
        <w:t xml:space="preserve">by Parent </w:t>
      </w:r>
      <w:r w:rsidR="00841E4E" w:rsidRPr="005C6354">
        <w:rPr>
          <w:rFonts w:ascii="Aptos" w:hAnsi="Aptos"/>
          <w:color w:val="000000" w:themeColor="text1"/>
        </w:rPr>
        <w:t xml:space="preserve">in support of her claim, which were unrefuted by the District, evidence that </w:t>
      </w:r>
      <w:r w:rsidR="006346EC" w:rsidRPr="005C6354">
        <w:rPr>
          <w:rFonts w:ascii="Aptos" w:hAnsi="Aptos"/>
          <w:color w:val="000000" w:themeColor="text1"/>
        </w:rPr>
        <w:t xml:space="preserve">the December 2023 IEP expired on December 19, 2024, and </w:t>
      </w:r>
      <w:r w:rsidR="0006163F" w:rsidRPr="005C6354">
        <w:rPr>
          <w:rFonts w:ascii="Aptos" w:hAnsi="Aptos"/>
          <w:color w:val="000000" w:themeColor="text1"/>
        </w:rPr>
        <w:t>Longmeadow failed to propose a</w:t>
      </w:r>
      <w:r w:rsidR="006346EC" w:rsidRPr="005C6354">
        <w:rPr>
          <w:rFonts w:ascii="Aptos" w:hAnsi="Aptos"/>
          <w:color w:val="000000" w:themeColor="text1"/>
        </w:rPr>
        <w:t xml:space="preserve"> new annual</w:t>
      </w:r>
      <w:r w:rsidR="0006163F" w:rsidRPr="005C6354">
        <w:rPr>
          <w:rFonts w:ascii="Aptos" w:hAnsi="Aptos"/>
          <w:color w:val="000000" w:themeColor="text1"/>
        </w:rPr>
        <w:t xml:space="preserve"> IEP for </w:t>
      </w:r>
      <w:r w:rsidR="00910F9A" w:rsidRPr="005C6354">
        <w:rPr>
          <w:rFonts w:ascii="Aptos" w:hAnsi="Aptos"/>
          <w:color w:val="000000" w:themeColor="text1"/>
        </w:rPr>
        <w:t xml:space="preserve">Student </w:t>
      </w:r>
      <w:r w:rsidR="006346EC" w:rsidRPr="005C6354">
        <w:rPr>
          <w:rFonts w:ascii="Aptos" w:hAnsi="Aptos"/>
          <w:color w:val="000000" w:themeColor="text1"/>
        </w:rPr>
        <w:t>until</w:t>
      </w:r>
      <w:r w:rsidR="0006163F" w:rsidRPr="005C6354">
        <w:rPr>
          <w:rFonts w:ascii="Aptos" w:hAnsi="Aptos"/>
          <w:color w:val="000000" w:themeColor="text1"/>
        </w:rPr>
        <w:t xml:space="preserve"> April 16, 2025. </w:t>
      </w:r>
      <w:r w:rsidR="006346EC" w:rsidRPr="005C6354">
        <w:rPr>
          <w:rFonts w:ascii="Aptos" w:hAnsi="Aptos"/>
          <w:color w:val="000000" w:themeColor="text1"/>
        </w:rPr>
        <w:t>The District</w:t>
      </w:r>
      <w:r w:rsidR="009A0B9B" w:rsidRPr="005C6354">
        <w:rPr>
          <w:rFonts w:ascii="Aptos" w:hAnsi="Aptos"/>
          <w:color w:val="000000" w:themeColor="text1"/>
        </w:rPr>
        <w:t xml:space="preserve"> does not dispute this but instead</w:t>
      </w:r>
      <w:r w:rsidR="006346EC" w:rsidRPr="005C6354">
        <w:rPr>
          <w:rFonts w:ascii="Aptos" w:hAnsi="Aptos"/>
          <w:color w:val="000000" w:themeColor="text1"/>
        </w:rPr>
        <w:t xml:space="preserve"> argues that Student was not without an IEP during the months between December 2024 and April 2025</w:t>
      </w:r>
      <w:r w:rsidR="001764B7" w:rsidRPr="005C6354">
        <w:rPr>
          <w:rFonts w:ascii="Aptos" w:hAnsi="Aptos"/>
          <w:color w:val="000000" w:themeColor="text1"/>
        </w:rPr>
        <w:t>,</w:t>
      </w:r>
      <w:r w:rsidR="006346EC" w:rsidRPr="005C6354">
        <w:rPr>
          <w:rFonts w:ascii="Aptos" w:hAnsi="Aptos"/>
          <w:color w:val="000000" w:themeColor="text1"/>
        </w:rPr>
        <w:t xml:space="preserve"> </w:t>
      </w:r>
      <w:r w:rsidR="001764B7" w:rsidRPr="005C6354">
        <w:rPr>
          <w:rFonts w:ascii="Aptos" w:hAnsi="Aptos"/>
          <w:color w:val="000000" w:themeColor="text1"/>
        </w:rPr>
        <w:t>as</w:t>
      </w:r>
      <w:r w:rsidR="006346EC" w:rsidRPr="005C6354">
        <w:rPr>
          <w:rFonts w:ascii="Aptos" w:hAnsi="Aptos"/>
          <w:color w:val="000000" w:themeColor="text1"/>
        </w:rPr>
        <w:t xml:space="preserve"> the old IEP </w:t>
      </w:r>
      <w:r w:rsidR="001764B7" w:rsidRPr="005C6354">
        <w:rPr>
          <w:rFonts w:ascii="Aptos" w:hAnsi="Aptos"/>
          <w:color w:val="000000" w:themeColor="text1"/>
        </w:rPr>
        <w:t>remained</w:t>
      </w:r>
      <w:r w:rsidR="006346EC" w:rsidRPr="005C6354">
        <w:rPr>
          <w:rFonts w:ascii="Aptos" w:hAnsi="Aptos"/>
          <w:color w:val="000000" w:themeColor="text1"/>
        </w:rPr>
        <w:t xml:space="preserve"> in place</w:t>
      </w:r>
      <w:r w:rsidR="001764B7" w:rsidRPr="005C6354">
        <w:rPr>
          <w:rFonts w:ascii="Aptos" w:hAnsi="Aptos"/>
          <w:color w:val="000000" w:themeColor="text1"/>
        </w:rPr>
        <w:t xml:space="preserve"> until the proposal of the April 2025 IEP</w:t>
      </w:r>
      <w:r w:rsidR="006346EC" w:rsidRPr="005C6354">
        <w:rPr>
          <w:rFonts w:ascii="Aptos" w:hAnsi="Aptos"/>
          <w:color w:val="000000" w:themeColor="text1"/>
        </w:rPr>
        <w:t xml:space="preserve">. However, this argument is unpersuasive as it </w:t>
      </w:r>
      <w:r w:rsidR="00841E4E" w:rsidRPr="005C6354">
        <w:rPr>
          <w:rFonts w:ascii="Aptos" w:hAnsi="Aptos"/>
          <w:color w:val="000000" w:themeColor="text1"/>
        </w:rPr>
        <w:t xml:space="preserve">fails to account for </w:t>
      </w:r>
      <w:r w:rsidR="006346EC" w:rsidRPr="005C6354">
        <w:rPr>
          <w:rFonts w:ascii="Aptos" w:hAnsi="Aptos"/>
          <w:color w:val="000000" w:themeColor="text1"/>
        </w:rPr>
        <w:t xml:space="preserve">the District’s obligation to convene the Team annually and develop a new IEP for an eligible Student. </w:t>
      </w:r>
      <w:r w:rsidR="00841E4E" w:rsidRPr="005C6354">
        <w:rPr>
          <w:rFonts w:ascii="Aptos" w:hAnsi="Aptos"/>
          <w:color w:val="000000" w:themeColor="text1"/>
        </w:rPr>
        <w:t xml:space="preserve">Since </w:t>
      </w:r>
      <w:r w:rsidR="0006163F" w:rsidRPr="005C6354">
        <w:rPr>
          <w:rFonts w:ascii="Aptos" w:hAnsi="Aptos"/>
          <w:color w:val="000000" w:themeColor="text1"/>
        </w:rPr>
        <w:t>the failure to provide an appropriate IEP constitutes a denial of FAPE, the complete failure to offer any IEP during this four-month period is, by definition, a per se violation of the IDEA and a denial of FAPE.</w:t>
      </w:r>
      <w:r w:rsidR="001236B2" w:rsidRPr="005C6354">
        <w:rPr>
          <w:rFonts w:ascii="Aptos" w:hAnsi="Aptos"/>
          <w:color w:val="000000" w:themeColor="text1"/>
        </w:rPr>
        <w:t xml:space="preserve"> Therefore, there is no genuine issue of fact relating to whether </w:t>
      </w:r>
      <w:r w:rsidR="001236B2" w:rsidRPr="005C6354">
        <w:rPr>
          <w:rFonts w:ascii="Aptos" w:hAnsi="Aptos"/>
          <w:bCs/>
          <w:color w:val="000000" w:themeColor="text1"/>
        </w:rPr>
        <w:t xml:space="preserve">the District’s failure to propose an IEP for Student between December 20, 2024 and April 16, 2025 was a per se violation of federal and state law and a denial of a FAPE, and Parent </w:t>
      </w:r>
      <w:r w:rsidR="001236B2" w:rsidRPr="005C6354">
        <w:rPr>
          <w:rFonts w:ascii="Aptos" w:hAnsi="Aptos"/>
          <w:color w:val="000000" w:themeColor="text1"/>
        </w:rPr>
        <w:t xml:space="preserve">is entitled to prevail </w:t>
      </w:r>
      <w:r w:rsidR="00841E4E" w:rsidRPr="005C6354">
        <w:rPr>
          <w:rFonts w:ascii="Aptos" w:hAnsi="Aptos"/>
          <w:color w:val="000000" w:themeColor="text1"/>
        </w:rPr>
        <w:t xml:space="preserve">on said claim </w:t>
      </w:r>
      <w:r w:rsidR="001236B2" w:rsidRPr="005C6354">
        <w:rPr>
          <w:rFonts w:ascii="Aptos" w:hAnsi="Aptos"/>
          <w:color w:val="000000" w:themeColor="text1"/>
        </w:rPr>
        <w:t>as a matter of law.</w:t>
      </w:r>
      <w:r w:rsidR="001236B2" w:rsidRPr="005C6354">
        <w:rPr>
          <w:rStyle w:val="FootnoteReference"/>
          <w:rFonts w:ascii="Aptos" w:hAnsi="Aptos"/>
          <w:color w:val="000000" w:themeColor="text1"/>
        </w:rPr>
        <w:footnoteReference w:id="24"/>
      </w:r>
      <w:r w:rsidR="001236B2" w:rsidRPr="005C6354">
        <w:rPr>
          <w:rStyle w:val="apple-converted-space"/>
          <w:rFonts w:ascii="Aptos" w:hAnsi="Aptos"/>
          <w:color w:val="000000" w:themeColor="text1"/>
        </w:rPr>
        <w:t> </w:t>
      </w:r>
      <w:r w:rsidR="001236B2" w:rsidRPr="005C6354">
        <w:rPr>
          <w:rFonts w:ascii="Aptos" w:hAnsi="Aptos"/>
          <w:color w:val="000000" w:themeColor="text1"/>
        </w:rPr>
        <w:t xml:space="preserve"> </w:t>
      </w:r>
      <w:r w:rsidR="006B650E" w:rsidRPr="005C6354">
        <w:rPr>
          <w:rFonts w:ascii="Aptos" w:hAnsi="Aptos"/>
          <w:color w:val="000000" w:themeColor="text1"/>
        </w:rPr>
        <w:t xml:space="preserve">Where </w:t>
      </w:r>
      <w:r w:rsidR="009A0B9B" w:rsidRPr="005C6354">
        <w:rPr>
          <w:rFonts w:ascii="Aptos" w:hAnsi="Aptos"/>
          <w:color w:val="000000" w:themeColor="text1"/>
        </w:rPr>
        <w:t>the</w:t>
      </w:r>
      <w:r w:rsidR="006B650E" w:rsidRPr="005C6354">
        <w:rPr>
          <w:rFonts w:ascii="Aptos" w:hAnsi="Aptos"/>
          <w:color w:val="000000" w:themeColor="text1"/>
        </w:rPr>
        <w:t xml:space="preserve"> District fail</w:t>
      </w:r>
      <w:r w:rsidR="009A0B9B" w:rsidRPr="005C6354">
        <w:rPr>
          <w:rFonts w:ascii="Aptos" w:hAnsi="Aptos"/>
          <w:color w:val="000000" w:themeColor="text1"/>
        </w:rPr>
        <w:t>ed</w:t>
      </w:r>
      <w:r w:rsidR="006B650E" w:rsidRPr="005C6354">
        <w:rPr>
          <w:rFonts w:ascii="Aptos" w:hAnsi="Aptos"/>
          <w:color w:val="000000" w:themeColor="text1"/>
        </w:rPr>
        <w:t xml:space="preserve"> to offer an IEP, Parent has satisfied the first prong for reimbursement of a unilateral private school placement.</w:t>
      </w:r>
      <w:r w:rsidR="00C151AD" w:rsidRPr="005C6354">
        <w:rPr>
          <w:rStyle w:val="FootnoteReference"/>
          <w:rFonts w:ascii="Aptos" w:hAnsi="Aptos"/>
          <w:color w:val="000000" w:themeColor="text1"/>
        </w:rPr>
        <w:t xml:space="preserve"> </w:t>
      </w:r>
      <w:r w:rsidR="00BA1B7C" w:rsidRPr="005C6354">
        <w:rPr>
          <w:rFonts w:ascii="Aptos" w:hAnsi="Aptos"/>
          <w:color w:val="000000" w:themeColor="text1"/>
        </w:rPr>
        <w:t xml:space="preserve"> </w:t>
      </w:r>
      <w:r w:rsidR="006B650E" w:rsidRPr="005C6354">
        <w:rPr>
          <w:rFonts w:ascii="Aptos" w:hAnsi="Aptos"/>
          <w:color w:val="000000" w:themeColor="text1"/>
        </w:rPr>
        <w:t xml:space="preserve">The issue next becomes whether </w:t>
      </w:r>
      <w:r w:rsidR="009A0B9B" w:rsidRPr="005C6354">
        <w:rPr>
          <w:rFonts w:ascii="Aptos" w:hAnsi="Aptos"/>
          <w:color w:val="000000" w:themeColor="text1"/>
        </w:rPr>
        <w:t xml:space="preserve">Student’s </w:t>
      </w:r>
      <w:r w:rsidR="006B650E" w:rsidRPr="005C6354">
        <w:rPr>
          <w:rFonts w:ascii="Aptos" w:hAnsi="Aptos"/>
          <w:color w:val="000000" w:themeColor="text1"/>
        </w:rPr>
        <w:t>unilateral placement was an otherwise proper placement.</w:t>
      </w:r>
      <w:r w:rsidR="006B650E" w:rsidRPr="005C6354">
        <w:rPr>
          <w:rStyle w:val="FootnoteReference"/>
          <w:rFonts w:ascii="Aptos" w:hAnsi="Aptos"/>
          <w:color w:val="000000" w:themeColor="text1"/>
        </w:rPr>
        <w:footnoteReference w:id="25"/>
      </w:r>
      <w:r w:rsidR="006B650E" w:rsidRPr="005C6354">
        <w:rPr>
          <w:rFonts w:ascii="Aptos" w:hAnsi="Aptos"/>
          <w:color w:val="000000" w:themeColor="text1"/>
        </w:rPr>
        <w:t xml:space="preserve"> </w:t>
      </w:r>
      <w:r w:rsidR="006346EC" w:rsidRPr="005C6354">
        <w:rPr>
          <w:rFonts w:ascii="Aptos" w:hAnsi="Aptos"/>
          <w:color w:val="000000" w:themeColor="text1"/>
        </w:rPr>
        <w:t xml:space="preserve">Parent requested no findings relevant to remedies at this time, </w:t>
      </w:r>
      <w:r w:rsidR="009A0B9B" w:rsidRPr="005C6354">
        <w:rPr>
          <w:rFonts w:ascii="Aptos" w:hAnsi="Aptos"/>
          <w:color w:val="000000" w:themeColor="text1"/>
        </w:rPr>
        <w:t xml:space="preserve">and this </w:t>
      </w:r>
      <w:r w:rsidR="006346EC" w:rsidRPr="005C6354">
        <w:rPr>
          <w:rFonts w:ascii="Aptos" w:hAnsi="Aptos"/>
          <w:color w:val="000000" w:themeColor="text1"/>
        </w:rPr>
        <w:t>issue will be addressed after a hearing on the merits.</w:t>
      </w:r>
      <w:r w:rsidR="00BA4140" w:rsidRPr="005C6354">
        <w:rPr>
          <w:rStyle w:val="FootnoteReference"/>
          <w:rFonts w:ascii="Aptos" w:hAnsi="Aptos"/>
          <w:color w:val="000000" w:themeColor="text1"/>
        </w:rPr>
        <w:footnoteReference w:id="26"/>
      </w:r>
    </w:p>
    <w:p w14:paraId="756FB88A" w14:textId="77777777" w:rsidR="0006163F" w:rsidRPr="005C6354" w:rsidRDefault="0006163F" w:rsidP="006346EC">
      <w:pPr>
        <w:rPr>
          <w:rFonts w:ascii="Aptos" w:hAnsi="Aptos"/>
          <w:color w:val="000000" w:themeColor="text1"/>
        </w:rPr>
      </w:pPr>
    </w:p>
    <w:p w14:paraId="25ACA1CE" w14:textId="7B653A04" w:rsidR="00C56CBF" w:rsidRPr="005C6354" w:rsidRDefault="00C56CBF" w:rsidP="006346EC">
      <w:pPr>
        <w:rPr>
          <w:rFonts w:ascii="Aptos" w:hAnsi="Aptos"/>
          <w:b/>
          <w:bCs/>
          <w:color w:val="000000" w:themeColor="text1"/>
        </w:rPr>
      </w:pPr>
      <w:r w:rsidRPr="005C6354">
        <w:rPr>
          <w:rFonts w:ascii="Aptos" w:hAnsi="Aptos"/>
          <w:b/>
          <w:bCs/>
          <w:color w:val="000000" w:themeColor="text1"/>
        </w:rPr>
        <w:t>ORDER:</w:t>
      </w:r>
    </w:p>
    <w:p w14:paraId="5010AD47" w14:textId="5B0E6AB9" w:rsidR="00FA61F5" w:rsidRPr="005C6354" w:rsidRDefault="004A0583" w:rsidP="006346EC">
      <w:pPr>
        <w:rPr>
          <w:rFonts w:ascii="Aptos" w:hAnsi="Aptos"/>
          <w:color w:val="000000" w:themeColor="text1"/>
        </w:rPr>
      </w:pPr>
      <w:r w:rsidRPr="005C6354">
        <w:rPr>
          <w:rFonts w:ascii="Aptos" w:hAnsi="Aptos"/>
          <w:bCs/>
          <w:color w:val="000000" w:themeColor="text1"/>
        </w:rPr>
        <w:t>Parent’s</w:t>
      </w:r>
      <w:r w:rsidR="00FA61F5" w:rsidRPr="005C6354">
        <w:rPr>
          <w:rFonts w:ascii="Aptos" w:hAnsi="Aptos"/>
          <w:bCs/>
          <w:color w:val="000000" w:themeColor="text1"/>
        </w:rPr>
        <w:t xml:space="preserve"> </w:t>
      </w:r>
      <w:r w:rsidR="00FA61F5" w:rsidRPr="005C6354">
        <w:rPr>
          <w:rFonts w:ascii="Aptos" w:hAnsi="Aptos"/>
          <w:bCs/>
          <w:i/>
          <w:iCs/>
          <w:color w:val="000000" w:themeColor="text1"/>
        </w:rPr>
        <w:t>Motion</w:t>
      </w:r>
      <w:r w:rsidR="00FA61F5" w:rsidRPr="005C6354">
        <w:rPr>
          <w:rFonts w:ascii="Aptos" w:hAnsi="Aptos"/>
          <w:bCs/>
          <w:color w:val="000000" w:themeColor="text1"/>
        </w:rPr>
        <w:t xml:space="preserve"> is </w:t>
      </w:r>
      <w:r w:rsidR="00B755CC" w:rsidRPr="005C6354">
        <w:rPr>
          <w:rFonts w:ascii="Aptos" w:hAnsi="Aptos"/>
          <w:bCs/>
          <w:color w:val="000000" w:themeColor="text1"/>
        </w:rPr>
        <w:t>A</w:t>
      </w:r>
      <w:r w:rsidR="00FA61F5" w:rsidRPr="005C6354">
        <w:rPr>
          <w:rFonts w:ascii="Aptos" w:hAnsi="Aptos"/>
          <w:bCs/>
          <w:color w:val="000000" w:themeColor="text1"/>
        </w:rPr>
        <w:t>LLOWED.</w:t>
      </w:r>
      <w:r w:rsidR="00945316" w:rsidRPr="005C6354">
        <w:rPr>
          <w:rStyle w:val="FootnoteReference"/>
          <w:rFonts w:ascii="Aptos" w:hAnsi="Aptos"/>
          <w:bCs/>
          <w:color w:val="000000" w:themeColor="text1"/>
        </w:rPr>
        <w:footnoteReference w:id="27"/>
      </w:r>
      <w:r w:rsidR="0057146C" w:rsidRPr="005C6354">
        <w:rPr>
          <w:rFonts w:ascii="Aptos" w:hAnsi="Aptos"/>
          <w:bCs/>
          <w:color w:val="000000" w:themeColor="text1"/>
        </w:rPr>
        <w:t xml:space="preserve"> </w:t>
      </w:r>
      <w:r w:rsidR="0057146C" w:rsidRPr="005C6354">
        <w:rPr>
          <w:rFonts w:ascii="Aptos" w:hAnsi="Aptos"/>
          <w:color w:val="000000" w:themeColor="text1"/>
        </w:rPr>
        <w:t xml:space="preserve"> </w:t>
      </w:r>
      <w:r w:rsidR="00B755CC" w:rsidRPr="005C6354">
        <w:rPr>
          <w:rFonts w:ascii="Aptos" w:hAnsi="Aptos"/>
          <w:color w:val="000000" w:themeColor="text1"/>
        </w:rPr>
        <w:t>All remaining issues</w:t>
      </w:r>
      <w:r w:rsidR="00DB5FF7" w:rsidRPr="005C6354">
        <w:rPr>
          <w:rFonts w:ascii="Aptos" w:hAnsi="Aptos"/>
          <w:color w:val="000000" w:themeColor="text1"/>
        </w:rPr>
        <w:t xml:space="preserve">, including </w:t>
      </w:r>
      <w:r w:rsidR="00C151AD" w:rsidRPr="005C6354">
        <w:rPr>
          <w:rFonts w:ascii="Aptos" w:hAnsi="Aptos"/>
          <w:color w:val="000000" w:themeColor="text1"/>
        </w:rPr>
        <w:t xml:space="preserve">all of </w:t>
      </w:r>
      <w:r w:rsidR="00DB5FF7" w:rsidRPr="005C6354">
        <w:rPr>
          <w:rFonts w:ascii="Aptos" w:hAnsi="Aptos"/>
          <w:color w:val="000000" w:themeColor="text1"/>
        </w:rPr>
        <w:t>Parent</w:t>
      </w:r>
      <w:r w:rsidR="009E0D5D" w:rsidRPr="005C6354">
        <w:rPr>
          <w:rFonts w:ascii="Aptos" w:hAnsi="Aptos"/>
          <w:color w:val="000000" w:themeColor="text1"/>
        </w:rPr>
        <w:t>’s</w:t>
      </w:r>
      <w:r w:rsidR="00DB5FF7" w:rsidRPr="005C6354">
        <w:rPr>
          <w:rFonts w:ascii="Aptos" w:hAnsi="Aptos"/>
          <w:color w:val="000000" w:themeColor="text1"/>
        </w:rPr>
        <w:t xml:space="preserve"> claim</w:t>
      </w:r>
      <w:r w:rsidR="00C151AD" w:rsidRPr="005C6354">
        <w:rPr>
          <w:rFonts w:ascii="Aptos" w:hAnsi="Aptos"/>
          <w:color w:val="000000" w:themeColor="text1"/>
        </w:rPr>
        <w:t>s</w:t>
      </w:r>
      <w:r w:rsidR="00DB5FF7" w:rsidRPr="005C6354">
        <w:rPr>
          <w:rFonts w:ascii="Aptos" w:hAnsi="Aptos"/>
          <w:color w:val="000000" w:themeColor="text1"/>
        </w:rPr>
        <w:t xml:space="preserve"> for remed</w:t>
      </w:r>
      <w:r w:rsidR="00C151AD" w:rsidRPr="005C6354">
        <w:rPr>
          <w:rFonts w:ascii="Aptos" w:hAnsi="Aptos"/>
          <w:color w:val="000000" w:themeColor="text1"/>
        </w:rPr>
        <w:t>ies</w:t>
      </w:r>
      <w:r w:rsidR="00B755CC" w:rsidRPr="005C6354">
        <w:rPr>
          <w:rFonts w:ascii="Aptos" w:hAnsi="Aptos"/>
          <w:color w:val="000000" w:themeColor="text1"/>
        </w:rPr>
        <w:t xml:space="preserve"> related to procedural and substantive violations of FAPE</w:t>
      </w:r>
      <w:r w:rsidR="00C151AD" w:rsidRPr="005C6354">
        <w:rPr>
          <w:rFonts w:ascii="Aptos" w:hAnsi="Aptos"/>
          <w:color w:val="000000" w:themeColor="text1"/>
        </w:rPr>
        <w:t>,</w:t>
      </w:r>
      <w:r w:rsidR="00B755CC" w:rsidRPr="005C6354">
        <w:rPr>
          <w:rFonts w:ascii="Aptos" w:hAnsi="Aptos"/>
          <w:color w:val="000000" w:themeColor="text1"/>
        </w:rPr>
        <w:t xml:space="preserve"> will proceed to hearing.</w:t>
      </w:r>
      <w:r w:rsidR="006B37DA" w:rsidRPr="005C6354">
        <w:rPr>
          <w:rFonts w:ascii="Aptos" w:hAnsi="Aptos"/>
          <w:color w:val="000000" w:themeColor="text1"/>
        </w:rPr>
        <w:t xml:space="preserve"> </w:t>
      </w:r>
    </w:p>
    <w:p w14:paraId="087F8F5E" w14:textId="77777777" w:rsidR="006346EC" w:rsidRPr="005C6354" w:rsidRDefault="006346EC" w:rsidP="006346EC">
      <w:pPr>
        <w:rPr>
          <w:rFonts w:ascii="Aptos" w:hAnsi="Aptos"/>
          <w:color w:val="000000" w:themeColor="text1"/>
        </w:rPr>
      </w:pPr>
    </w:p>
    <w:p w14:paraId="5644DDCF" w14:textId="2CD52880" w:rsidR="00C56CBF" w:rsidRPr="005C6354" w:rsidRDefault="00C56CBF" w:rsidP="006346EC">
      <w:pPr>
        <w:rPr>
          <w:rFonts w:ascii="Aptos" w:hAnsi="Aptos"/>
          <w:color w:val="000000" w:themeColor="text1"/>
        </w:rPr>
      </w:pPr>
      <w:r w:rsidRPr="005C6354">
        <w:rPr>
          <w:rFonts w:ascii="Aptos" w:hAnsi="Aptos"/>
          <w:color w:val="000000" w:themeColor="text1"/>
        </w:rPr>
        <w:t>So Ordered by the Hearing Officer,</w:t>
      </w:r>
    </w:p>
    <w:p w14:paraId="2AFE2425" w14:textId="77777777" w:rsidR="00C56CBF" w:rsidRPr="005C6354" w:rsidRDefault="00C56CBF" w:rsidP="006346EC">
      <w:pPr>
        <w:rPr>
          <w:rFonts w:ascii="Aptos" w:hAnsi="Aptos"/>
          <w:color w:val="000000" w:themeColor="text1"/>
        </w:rPr>
      </w:pPr>
    </w:p>
    <w:p w14:paraId="72BD6007" w14:textId="77777777" w:rsidR="00C56CBF" w:rsidRPr="005C6354" w:rsidRDefault="00C56CBF" w:rsidP="006346EC">
      <w:pPr>
        <w:rPr>
          <w:rFonts w:ascii="Aptos" w:hAnsi="Aptos"/>
          <w:color w:val="000000" w:themeColor="text1"/>
          <w:u w:val="single"/>
          <w:lang w:val="pt-BR"/>
        </w:rPr>
      </w:pPr>
      <w:r w:rsidRPr="005C6354">
        <w:rPr>
          <w:rFonts w:ascii="Aptos" w:hAnsi="Aptos"/>
          <w:color w:val="000000" w:themeColor="text1"/>
          <w:u w:val="single"/>
          <w:lang w:val="pt-BR"/>
        </w:rPr>
        <w:lastRenderedPageBreak/>
        <w:t xml:space="preserve">/s/ </w:t>
      </w:r>
      <w:r w:rsidRPr="007F6E91">
        <w:rPr>
          <w:rFonts w:ascii="Baguet Script" w:hAnsi="Baguet Script" w:cs="Apple Chancery"/>
          <w:color w:val="000000" w:themeColor="text1"/>
          <w:u w:val="single"/>
          <w:lang w:val="pt-BR"/>
        </w:rPr>
        <w:t>Alina Kantor Nir</w:t>
      </w:r>
    </w:p>
    <w:p w14:paraId="6619DC69" w14:textId="77777777" w:rsidR="00C56CBF" w:rsidRPr="005C6354" w:rsidRDefault="00C56CBF" w:rsidP="006346EC">
      <w:pPr>
        <w:rPr>
          <w:rFonts w:ascii="Aptos" w:hAnsi="Aptos"/>
          <w:color w:val="000000" w:themeColor="text1"/>
          <w:lang w:val="pt-BR"/>
        </w:rPr>
      </w:pPr>
      <w:r w:rsidRPr="005C6354">
        <w:rPr>
          <w:rFonts w:ascii="Aptos" w:hAnsi="Aptos"/>
          <w:color w:val="000000" w:themeColor="text1"/>
          <w:lang w:val="pt-BR"/>
        </w:rPr>
        <w:t>Alina Kantor Nir</w:t>
      </w:r>
    </w:p>
    <w:p w14:paraId="36001DD5" w14:textId="10DE7F58" w:rsidR="001F3065" w:rsidRPr="005C6354" w:rsidRDefault="00C56CBF" w:rsidP="006346EC">
      <w:pPr>
        <w:rPr>
          <w:rFonts w:ascii="Aptos" w:hAnsi="Aptos"/>
          <w:color w:val="000000" w:themeColor="text1"/>
        </w:rPr>
      </w:pPr>
      <w:r w:rsidRPr="005C6354">
        <w:rPr>
          <w:rFonts w:ascii="Aptos" w:hAnsi="Aptos"/>
          <w:color w:val="000000" w:themeColor="text1"/>
        </w:rPr>
        <w:t>Dated:</w:t>
      </w:r>
      <w:r w:rsidR="00FC7E92" w:rsidRPr="005C6354">
        <w:rPr>
          <w:rFonts w:ascii="Aptos" w:hAnsi="Aptos"/>
          <w:color w:val="000000" w:themeColor="text1"/>
        </w:rPr>
        <w:t xml:space="preserve"> </w:t>
      </w:r>
      <w:r w:rsidR="006346EC" w:rsidRPr="005C6354">
        <w:rPr>
          <w:rFonts w:ascii="Aptos" w:hAnsi="Aptos"/>
          <w:color w:val="000000" w:themeColor="text1"/>
        </w:rPr>
        <w:t>November 6,</w:t>
      </w:r>
      <w:r w:rsidR="00304240" w:rsidRPr="005C6354">
        <w:rPr>
          <w:rFonts w:ascii="Aptos" w:hAnsi="Aptos"/>
          <w:color w:val="000000" w:themeColor="text1"/>
        </w:rPr>
        <w:t xml:space="preserve"> 2025</w:t>
      </w:r>
    </w:p>
    <w:p w14:paraId="4289D395" w14:textId="39BAE1CE" w:rsidR="00B65254" w:rsidRPr="005C6354" w:rsidRDefault="00B65254" w:rsidP="006346EC">
      <w:pPr>
        <w:rPr>
          <w:rFonts w:ascii="Aptos" w:hAnsi="Aptos"/>
          <w:color w:val="000000" w:themeColor="text1"/>
        </w:rPr>
      </w:pPr>
      <w:r w:rsidRPr="005C6354">
        <w:rPr>
          <w:rFonts w:ascii="Aptos" w:hAnsi="Aptos"/>
          <w:color w:val="000000" w:themeColor="text1"/>
        </w:rPr>
        <w:br w:type="page"/>
      </w:r>
    </w:p>
    <w:p w14:paraId="69795544" w14:textId="77777777" w:rsidR="00B65254" w:rsidRPr="005C6354" w:rsidRDefault="00B65254" w:rsidP="006346EC">
      <w:pPr>
        <w:rPr>
          <w:rFonts w:ascii="Aptos" w:hAnsi="Aptos"/>
          <w:color w:val="000000" w:themeColor="text1"/>
        </w:rPr>
      </w:pPr>
    </w:p>
    <w:p w14:paraId="6A4853BF" w14:textId="77777777" w:rsidR="00166F30" w:rsidRPr="005C6354" w:rsidRDefault="00166F30" w:rsidP="00166F30">
      <w:pPr>
        <w:jc w:val="center"/>
        <w:rPr>
          <w:b/>
          <w:bCs/>
          <w:color w:val="000000"/>
          <w:sz w:val="28"/>
          <w:szCs w:val="28"/>
        </w:rPr>
      </w:pPr>
      <w:r w:rsidRPr="005C6354">
        <w:rPr>
          <w:b/>
          <w:bCs/>
          <w:color w:val="000000"/>
          <w:sz w:val="28"/>
          <w:szCs w:val="28"/>
        </w:rPr>
        <w:t>COMMONWEALTH OF MASSACHUSETTS</w:t>
      </w:r>
    </w:p>
    <w:p w14:paraId="73C1C1CA" w14:textId="77777777" w:rsidR="00166F30" w:rsidRPr="005C6354" w:rsidRDefault="00166F30" w:rsidP="00166F30">
      <w:pPr>
        <w:jc w:val="center"/>
        <w:rPr>
          <w:b/>
          <w:bCs/>
          <w:color w:val="000000"/>
          <w:sz w:val="28"/>
          <w:szCs w:val="28"/>
        </w:rPr>
      </w:pPr>
      <w:r w:rsidRPr="005C6354">
        <w:rPr>
          <w:b/>
          <w:bCs/>
          <w:color w:val="000000"/>
          <w:sz w:val="28"/>
          <w:szCs w:val="28"/>
        </w:rPr>
        <w:t>BUREAU OF SPECIAL EDUCATION APPEALS</w:t>
      </w:r>
    </w:p>
    <w:p w14:paraId="6B3468CD" w14:textId="77777777" w:rsidR="00166F30" w:rsidRPr="005C6354" w:rsidRDefault="00166F30" w:rsidP="00166F30">
      <w:pPr>
        <w:jc w:val="center"/>
        <w:rPr>
          <w:b/>
          <w:bCs/>
          <w:color w:val="000000"/>
          <w:sz w:val="26"/>
          <w:szCs w:val="26"/>
          <w:u w:val="single" w:color="000000"/>
        </w:rPr>
      </w:pPr>
      <w:r w:rsidRPr="005C6354">
        <w:rPr>
          <w:b/>
          <w:bCs/>
          <w:color w:val="000000"/>
          <w:sz w:val="26"/>
          <w:szCs w:val="26"/>
          <w:u w:val="single" w:color="000000"/>
        </w:rPr>
        <w:t>EFFECT OF FINAL BSEA ACTIONS AND RIGHTS OF APPEAL</w:t>
      </w:r>
    </w:p>
    <w:p w14:paraId="54A57B6E" w14:textId="77777777" w:rsidR="00166F30" w:rsidRPr="005C6354" w:rsidRDefault="00166F30" w:rsidP="00166F30">
      <w:pPr>
        <w:tabs>
          <w:tab w:val="center" w:pos="440"/>
          <w:tab w:val="center" w:pos="4627"/>
        </w:tabs>
        <w:jc w:val="center"/>
        <w:rPr>
          <w:b/>
          <w:bCs/>
          <w:color w:val="000000"/>
          <w:sz w:val="26"/>
          <w:szCs w:val="26"/>
        </w:rPr>
      </w:pPr>
    </w:p>
    <w:p w14:paraId="6B7D07A5" w14:textId="77777777" w:rsidR="00166F30" w:rsidRPr="005C6354" w:rsidRDefault="00166F30" w:rsidP="00166F30">
      <w:pPr>
        <w:keepNext/>
        <w:keepLines/>
        <w:outlineLvl w:val="0"/>
        <w:rPr>
          <w:b/>
          <w:bCs/>
          <w:color w:val="000000"/>
          <w:u w:val="single" w:color="000000"/>
        </w:rPr>
      </w:pPr>
      <w:r w:rsidRPr="005C6354">
        <w:rPr>
          <w:b/>
          <w:bCs/>
          <w:color w:val="000000"/>
          <w:u w:val="single" w:color="000000"/>
        </w:rPr>
        <w:t>Effect of BSEA Decision, Dismissal with Prejudice and Allowance of Motion for Summary Judgment</w:t>
      </w:r>
    </w:p>
    <w:p w14:paraId="369B393B" w14:textId="77777777" w:rsidR="00166F30" w:rsidRPr="005C6354" w:rsidRDefault="00166F30" w:rsidP="00166F30">
      <w:pPr>
        <w:spacing w:after="312" w:line="250" w:lineRule="auto"/>
        <w:ind w:left="43" w:firstLine="5"/>
        <w:rPr>
          <w:color w:val="000000"/>
        </w:rPr>
      </w:pPr>
      <w:r w:rsidRPr="005C6354">
        <w:rPr>
          <w:color w:val="000000"/>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BEF62AC" w14:textId="77777777" w:rsidR="00166F30" w:rsidRPr="005C6354" w:rsidRDefault="00166F30" w:rsidP="00166F30">
      <w:pPr>
        <w:spacing w:after="312" w:line="250" w:lineRule="auto"/>
        <w:ind w:left="43" w:firstLine="5"/>
        <w:rPr>
          <w:color w:val="000000"/>
        </w:rPr>
      </w:pPr>
      <w:r w:rsidRPr="005C6354">
        <w:rPr>
          <w:color w:val="000000"/>
        </w:rPr>
        <w:t>Accordingly</w:t>
      </w:r>
      <w:r w:rsidRPr="005C6354">
        <w:rPr>
          <w:strike/>
          <w:color w:val="000000"/>
        </w:rPr>
        <w:t>,</w:t>
      </w:r>
      <w:r w:rsidRPr="005C6354">
        <w:rPr>
          <w:color w:val="000000"/>
        </w:rPr>
        <w:t xml:space="preserve"> the Bureau cannot permit motions to reconsider or to re-open either a Bureau decision or the Rulings set forth above once they have issued. They are final subject only to judicial (court) review.</w:t>
      </w:r>
    </w:p>
    <w:p w14:paraId="29A96350" w14:textId="77777777" w:rsidR="00166F30" w:rsidRPr="005C6354" w:rsidRDefault="00166F30" w:rsidP="00166F30">
      <w:pPr>
        <w:spacing w:after="292" w:line="243" w:lineRule="auto"/>
        <w:ind w:left="19" w:right="62"/>
        <w:jc w:val="both"/>
        <w:rPr>
          <w:color w:val="000000"/>
        </w:rPr>
      </w:pPr>
      <w:r w:rsidRPr="005C6354">
        <w:rPr>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253AD15" w14:textId="77777777" w:rsidR="00166F30" w:rsidRPr="005C6354" w:rsidRDefault="00166F30" w:rsidP="00166F30">
      <w:pPr>
        <w:spacing w:after="292" w:line="243" w:lineRule="auto"/>
        <w:ind w:left="19" w:right="62"/>
        <w:jc w:val="both"/>
        <w:rPr>
          <w:color w:val="000000"/>
        </w:rPr>
      </w:pPr>
      <w:r w:rsidRPr="005C6354">
        <w:rPr>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F23E13C" w14:textId="77777777" w:rsidR="00166F30" w:rsidRPr="005C6354" w:rsidRDefault="00166F30" w:rsidP="00166F30">
      <w:pPr>
        <w:spacing w:line="243" w:lineRule="auto"/>
        <w:ind w:left="19" w:right="62"/>
        <w:jc w:val="both"/>
        <w:rPr>
          <w:color w:val="000000"/>
        </w:rPr>
      </w:pPr>
      <w:r w:rsidRPr="005C6354">
        <w:rPr>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5C6354">
        <w:rPr>
          <w:i/>
          <w:iCs/>
          <w:color w:val="000000"/>
        </w:rPr>
        <w:t>School Committee of Burlington v. Massachusetts Department of Education</w:t>
      </w:r>
      <w:r w:rsidRPr="005C6354">
        <w:rPr>
          <w:color w:val="000000"/>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5C6354">
        <w:rPr>
          <w:i/>
          <w:iCs/>
          <w:color w:val="000000"/>
        </w:rPr>
        <w:t>Honig v. Doe</w:t>
      </w:r>
      <w:r w:rsidRPr="005C6354">
        <w:rPr>
          <w:color w:val="000000"/>
        </w:rPr>
        <w:t xml:space="preserve">, 484 U.S. 305 (1988); </w:t>
      </w:r>
      <w:r w:rsidRPr="005C6354">
        <w:rPr>
          <w:i/>
          <w:iCs/>
          <w:color w:val="000000"/>
        </w:rPr>
        <w:t>Doe v. Brookline</w:t>
      </w:r>
      <w:r w:rsidRPr="005C6354">
        <w:rPr>
          <w:color w:val="000000"/>
        </w:rPr>
        <w:t>, 722 F.2d 910 (1</w:t>
      </w:r>
      <w:r w:rsidRPr="005C6354">
        <w:rPr>
          <w:color w:val="000000"/>
          <w:vertAlign w:val="superscript"/>
        </w:rPr>
        <w:t>st</w:t>
      </w:r>
      <w:r w:rsidRPr="005C6354">
        <w:rPr>
          <w:color w:val="000000"/>
        </w:rPr>
        <w:t xml:space="preserve"> Cir. 1983).</w:t>
      </w:r>
    </w:p>
    <w:p w14:paraId="5E849622" w14:textId="77777777" w:rsidR="00166F30" w:rsidRPr="005C6354" w:rsidRDefault="00166F30" w:rsidP="00166F30">
      <w:pPr>
        <w:spacing w:line="243" w:lineRule="auto"/>
        <w:ind w:left="19" w:right="62"/>
        <w:jc w:val="both"/>
        <w:rPr>
          <w:color w:val="000000"/>
        </w:rPr>
      </w:pPr>
    </w:p>
    <w:p w14:paraId="1F80804D" w14:textId="77777777" w:rsidR="00166F30" w:rsidRPr="005C6354" w:rsidRDefault="00166F30" w:rsidP="00166F30">
      <w:pPr>
        <w:keepNext/>
        <w:keepLines/>
        <w:ind w:hanging="10"/>
        <w:outlineLvl w:val="0"/>
        <w:rPr>
          <w:b/>
          <w:bCs/>
          <w:color w:val="000000"/>
          <w:u w:val="single" w:color="000000"/>
        </w:rPr>
      </w:pPr>
      <w:r w:rsidRPr="005C6354">
        <w:rPr>
          <w:b/>
          <w:bCs/>
          <w:color w:val="000000"/>
          <w:u w:val="single" w:color="000000"/>
        </w:rPr>
        <w:t>Compliance</w:t>
      </w:r>
    </w:p>
    <w:p w14:paraId="1FC6DDAB" w14:textId="77777777" w:rsidR="00166F30" w:rsidRPr="005C6354" w:rsidRDefault="00166F30" w:rsidP="00166F30">
      <w:pPr>
        <w:spacing w:line="243" w:lineRule="auto"/>
        <w:ind w:left="19" w:right="172"/>
        <w:jc w:val="both"/>
        <w:rPr>
          <w:color w:val="000000"/>
        </w:rPr>
      </w:pPr>
      <w:r w:rsidRPr="005C6354">
        <w:rPr>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w:t>
      </w:r>
      <w:r w:rsidRPr="005C6354">
        <w:rPr>
          <w:color w:val="000000"/>
        </w:rPr>
        <w:lastRenderedPageBreak/>
        <w:t>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B32BED7" w14:textId="77777777" w:rsidR="00166F30" w:rsidRPr="005C6354" w:rsidRDefault="00166F30" w:rsidP="00166F30">
      <w:pPr>
        <w:spacing w:line="243" w:lineRule="auto"/>
        <w:ind w:left="19" w:right="172"/>
        <w:jc w:val="both"/>
        <w:rPr>
          <w:color w:val="000000"/>
        </w:rPr>
      </w:pPr>
    </w:p>
    <w:p w14:paraId="54D01027" w14:textId="77777777" w:rsidR="00166F30" w:rsidRPr="005C6354" w:rsidRDefault="00166F30" w:rsidP="00166F30">
      <w:pPr>
        <w:keepNext/>
        <w:keepLines/>
        <w:ind w:left="-5" w:hanging="10"/>
        <w:outlineLvl w:val="0"/>
        <w:rPr>
          <w:b/>
          <w:bCs/>
          <w:color w:val="000000"/>
          <w:u w:val="single" w:color="000000"/>
        </w:rPr>
      </w:pPr>
      <w:r w:rsidRPr="005C6354">
        <w:rPr>
          <w:b/>
          <w:bCs/>
          <w:color w:val="000000"/>
          <w:u w:val="single" w:color="000000"/>
        </w:rPr>
        <w:t>Rights of Appeal</w:t>
      </w:r>
    </w:p>
    <w:p w14:paraId="4D087E09" w14:textId="77777777" w:rsidR="00166F30" w:rsidRPr="005C6354" w:rsidRDefault="00166F30" w:rsidP="00166F30">
      <w:pPr>
        <w:spacing w:after="292" w:line="243" w:lineRule="auto"/>
        <w:ind w:left="19" w:right="172"/>
        <w:jc w:val="both"/>
        <w:rPr>
          <w:color w:val="000000"/>
        </w:rPr>
      </w:pPr>
      <w:r w:rsidRPr="005C6354">
        <w:rPr>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59D7FF40" w14:textId="77777777" w:rsidR="00166F30" w:rsidRPr="005C6354" w:rsidRDefault="00166F30" w:rsidP="00166F30">
      <w:pPr>
        <w:spacing w:line="243" w:lineRule="auto"/>
        <w:ind w:left="19" w:right="172"/>
        <w:jc w:val="both"/>
        <w:rPr>
          <w:color w:val="000000"/>
        </w:rPr>
      </w:pPr>
      <w:r w:rsidRPr="005C6354">
        <w:rPr>
          <w:color w:val="000000"/>
        </w:rPr>
        <w:t>An appeal of a Bureau decision to state superior court or to federal district court must be filed within ninety (90) days from the date of the decision. 20 U.S.C. s. 1415(i)(2)(B).</w:t>
      </w:r>
    </w:p>
    <w:p w14:paraId="4E682E3D" w14:textId="77777777" w:rsidR="00166F30" w:rsidRPr="005C6354" w:rsidRDefault="00166F30" w:rsidP="00166F30">
      <w:pPr>
        <w:spacing w:line="243" w:lineRule="auto"/>
        <w:ind w:left="19" w:right="172"/>
        <w:jc w:val="both"/>
        <w:rPr>
          <w:color w:val="000000"/>
        </w:rPr>
      </w:pPr>
    </w:p>
    <w:p w14:paraId="0DC2BAE5" w14:textId="77777777" w:rsidR="00166F30" w:rsidRPr="005C6354" w:rsidRDefault="00166F30" w:rsidP="00166F30">
      <w:pPr>
        <w:keepNext/>
        <w:keepLines/>
        <w:ind w:left="-5" w:hanging="10"/>
        <w:outlineLvl w:val="0"/>
        <w:rPr>
          <w:b/>
          <w:bCs/>
          <w:color w:val="000000"/>
          <w:u w:val="single" w:color="000000"/>
        </w:rPr>
      </w:pPr>
      <w:r w:rsidRPr="005C6354">
        <w:rPr>
          <w:b/>
          <w:bCs/>
          <w:color w:val="000000"/>
          <w:u w:val="single" w:color="000000"/>
        </w:rPr>
        <w:t>Confidentiality</w:t>
      </w:r>
    </w:p>
    <w:p w14:paraId="0288A9C7" w14:textId="77777777" w:rsidR="00166F30" w:rsidRPr="005C6354" w:rsidRDefault="00166F30" w:rsidP="00166F30">
      <w:pPr>
        <w:spacing w:line="243" w:lineRule="auto"/>
        <w:ind w:left="19" w:right="34"/>
        <w:jc w:val="both"/>
        <w:rPr>
          <w:color w:val="000000"/>
        </w:rPr>
      </w:pPr>
      <w:r w:rsidRPr="005C6354">
        <w:rPr>
          <w:color w:val="000000"/>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5C6354">
        <w:rPr>
          <w:i/>
          <w:iCs/>
          <w:color w:val="000000"/>
        </w:rPr>
        <w:t>Webster Grove School District v. Pulitzer Publishing Company</w:t>
      </w:r>
      <w:r w:rsidRPr="005C6354">
        <w:rPr>
          <w:color w:val="000000"/>
        </w:rPr>
        <w:t>, 898 F.2d 1371 (8th. Cir. 1990). If the appealing party does not seek to impound the documents, the Bureau of Special Education Appeals, through the Attorney General's Office, may move to impound the documents.</w:t>
      </w:r>
    </w:p>
    <w:p w14:paraId="4FE5EED0" w14:textId="77777777" w:rsidR="00166F30" w:rsidRPr="005C6354" w:rsidRDefault="00166F30" w:rsidP="00166F30">
      <w:pPr>
        <w:spacing w:line="243" w:lineRule="auto"/>
        <w:ind w:left="19" w:right="34"/>
        <w:jc w:val="both"/>
        <w:rPr>
          <w:color w:val="000000"/>
        </w:rPr>
      </w:pPr>
    </w:p>
    <w:p w14:paraId="43079242" w14:textId="77777777" w:rsidR="00166F30" w:rsidRPr="005C6354" w:rsidRDefault="00166F30" w:rsidP="00166F30">
      <w:pPr>
        <w:ind w:left="62"/>
        <w:rPr>
          <w:b/>
          <w:bCs/>
          <w:color w:val="000000"/>
          <w:u w:val="single"/>
        </w:rPr>
      </w:pPr>
      <w:r w:rsidRPr="005C6354">
        <w:rPr>
          <w:b/>
          <w:bCs/>
          <w:color w:val="000000"/>
          <w:u w:val="single"/>
        </w:rPr>
        <w:t>Record of the Hearing</w:t>
      </w:r>
    </w:p>
    <w:p w14:paraId="1482BFA7" w14:textId="77777777" w:rsidR="00166F30" w:rsidRDefault="00166F30" w:rsidP="00166F30">
      <w:pPr>
        <w:spacing w:after="292" w:line="243" w:lineRule="auto"/>
        <w:ind w:left="19" w:right="172"/>
        <w:jc w:val="both"/>
      </w:pPr>
      <w:r w:rsidRPr="005C6354">
        <w:rPr>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6FF1CB1" w14:textId="77777777" w:rsidR="00166F30" w:rsidRDefault="00166F30" w:rsidP="00166F30">
      <w:pPr>
        <w:ind w:left="360"/>
      </w:pPr>
    </w:p>
    <w:p w14:paraId="1954E8F2" w14:textId="77777777" w:rsidR="004D0501" w:rsidRPr="006346EC" w:rsidRDefault="004D0501" w:rsidP="00166F30">
      <w:pPr>
        <w:jc w:val="center"/>
        <w:rPr>
          <w:rFonts w:ascii="Aptos" w:hAnsi="Aptos"/>
          <w:color w:val="000000" w:themeColor="text1"/>
        </w:rPr>
      </w:pPr>
    </w:p>
    <w:sectPr w:rsidR="004D0501" w:rsidRPr="006346E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8957" w14:textId="77777777" w:rsidR="00B92EE3" w:rsidRDefault="00B92EE3" w:rsidP="001B4DFD">
      <w:r>
        <w:separator/>
      </w:r>
    </w:p>
  </w:endnote>
  <w:endnote w:type="continuationSeparator" w:id="0">
    <w:p w14:paraId="4F17866C" w14:textId="77777777" w:rsidR="00B92EE3" w:rsidRDefault="00B92EE3" w:rsidP="001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guet Script">
    <w:charset w:val="00"/>
    <w:family w:val="auto"/>
    <w:pitch w:val="variable"/>
    <w:sig w:usb0="00000007" w:usb1="00000000" w:usb2="00000000" w:usb3="00000000" w:csb0="00000093" w:csb1="00000000"/>
  </w:font>
  <w:font w:name="Apple Chancery">
    <w:altName w:val="APPLE CHANCERY"/>
    <w:charset w:val="B1"/>
    <w:family w:val="script"/>
    <w:pitch w:val="variable"/>
    <w:sig w:usb0="80000867" w:usb1="00000003" w:usb2="00000000" w:usb3="00000000" w:csb0="000001F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836346"/>
      <w:docPartObj>
        <w:docPartGallery w:val="Page Numbers (Bottom of Page)"/>
        <w:docPartUnique/>
      </w:docPartObj>
    </w:sdtPr>
    <w:sdtEndPr>
      <w:rPr>
        <w:rStyle w:val="PageNumber"/>
      </w:rPr>
    </w:sdtEndPr>
    <w:sdtContent>
      <w:p w14:paraId="1639B0B9" w14:textId="541C2B9B"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52C1A" w14:textId="77777777" w:rsidR="00FB6C3B" w:rsidRDefault="00FB6C3B" w:rsidP="00FB6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901652"/>
      <w:docPartObj>
        <w:docPartGallery w:val="Page Numbers (Bottom of Page)"/>
        <w:docPartUnique/>
      </w:docPartObj>
    </w:sdtPr>
    <w:sdtEndPr>
      <w:rPr>
        <w:rStyle w:val="PageNumber"/>
      </w:rPr>
    </w:sdtEndPr>
    <w:sdtContent>
      <w:p w14:paraId="5085DD65" w14:textId="499C101A" w:rsidR="00FB6C3B" w:rsidRDefault="00FB6C3B" w:rsidP="00902B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F900B" w14:textId="77777777" w:rsidR="00FB6C3B" w:rsidRDefault="00FB6C3B" w:rsidP="00FB6C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CE6A" w14:textId="77777777" w:rsidR="00B92EE3" w:rsidRDefault="00B92EE3" w:rsidP="001B4DFD">
      <w:r>
        <w:separator/>
      </w:r>
    </w:p>
  </w:footnote>
  <w:footnote w:type="continuationSeparator" w:id="0">
    <w:p w14:paraId="2751B4C8" w14:textId="77777777" w:rsidR="00B92EE3" w:rsidRDefault="00B92EE3" w:rsidP="001B4DFD">
      <w:r>
        <w:continuationSeparator/>
      </w:r>
    </w:p>
  </w:footnote>
  <w:footnote w:id="1">
    <w:p w14:paraId="1270DBA7" w14:textId="71D31EC7" w:rsidR="00654614" w:rsidRPr="005C6354" w:rsidRDefault="00654614"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Parent filed two exhibits in support of her Motion for Summary Judgment. These are marked as P-A and P-B f</w:t>
      </w:r>
      <w:r w:rsidR="00CE3583" w:rsidRPr="005C6354">
        <w:rPr>
          <w:rFonts w:ascii="Aptos" w:hAnsi="Aptos"/>
          <w:color w:val="000000" w:themeColor="text1"/>
        </w:rPr>
        <w:t>o</w:t>
      </w:r>
      <w:r w:rsidRPr="005C6354">
        <w:rPr>
          <w:rFonts w:ascii="Aptos" w:hAnsi="Aptos"/>
          <w:color w:val="000000" w:themeColor="text1"/>
        </w:rPr>
        <w:t xml:space="preserve">r the purpose of this </w:t>
      </w:r>
      <w:r w:rsidR="00CE3583" w:rsidRPr="005C6354">
        <w:rPr>
          <w:rFonts w:ascii="Aptos" w:hAnsi="Aptos"/>
          <w:i/>
          <w:iCs/>
          <w:color w:val="000000" w:themeColor="text1"/>
        </w:rPr>
        <w:t>Ruling</w:t>
      </w:r>
      <w:r w:rsidRPr="005C6354">
        <w:rPr>
          <w:rFonts w:ascii="Aptos" w:hAnsi="Aptos"/>
          <w:color w:val="000000" w:themeColor="text1"/>
        </w:rPr>
        <w:t>.</w:t>
      </w:r>
    </w:p>
  </w:footnote>
  <w:footnote w:id="2">
    <w:p w14:paraId="24CAB77D" w14:textId="77777777" w:rsidR="00AB046A" w:rsidRPr="005C6354" w:rsidRDefault="00AB046A"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The claims for this school year are limited to those arising from March 21, 2023 until the end of the 2022-2023 school year.</w:t>
      </w:r>
    </w:p>
  </w:footnote>
  <w:footnote w:id="3">
    <w:p w14:paraId="0FEE0503" w14:textId="77777777" w:rsidR="00AB046A" w:rsidRPr="005C6354" w:rsidRDefault="00AB046A"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This date was erroneously written as November 18, 2023 in my prior</w:t>
      </w:r>
      <w:r w:rsidRPr="005C6354">
        <w:rPr>
          <w:rFonts w:ascii="Aptos" w:hAnsi="Aptos"/>
          <w:i/>
          <w:iCs/>
          <w:color w:val="000000" w:themeColor="text1"/>
        </w:rPr>
        <w:t xml:space="preserve"> Ruling on Parent's Motion To Compel Discovery, Motion For Sanctions, and Motion For Continuance</w:t>
      </w:r>
      <w:r w:rsidRPr="005C6354">
        <w:rPr>
          <w:rFonts w:ascii="Aptos" w:hAnsi="Aptos"/>
          <w:color w:val="000000" w:themeColor="text1"/>
        </w:rPr>
        <w:t xml:space="preserve"> issued on October 27, 2025.</w:t>
      </w:r>
    </w:p>
  </w:footnote>
  <w:footnote w:id="4">
    <w:p w14:paraId="39430C52" w14:textId="77777777" w:rsidR="00AB046A" w:rsidRPr="005C6354" w:rsidRDefault="00AB046A"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This IEP was accepted on January 22, 2024 but later rejected on June 28, 2024.</w:t>
      </w:r>
    </w:p>
  </w:footnote>
  <w:footnote w:id="5">
    <w:p w14:paraId="6EC9DA6B" w14:textId="77777777" w:rsidR="004D7007" w:rsidRPr="005C6354" w:rsidRDefault="004D7007" w:rsidP="004D700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The claims for this school year are limited to those arising from March 21, 2023 until the end of the 2022-2023 school year.</w:t>
      </w:r>
    </w:p>
  </w:footnote>
  <w:footnote w:id="6">
    <w:p w14:paraId="50CD1B74" w14:textId="77777777" w:rsidR="004D7007" w:rsidRPr="005C6354" w:rsidRDefault="004D7007" w:rsidP="004D700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This date was erroneously written as November 18, 2023 in my prior</w:t>
      </w:r>
      <w:r w:rsidRPr="005C6354">
        <w:rPr>
          <w:rFonts w:ascii="Aptos" w:hAnsi="Aptos"/>
          <w:i/>
          <w:iCs/>
          <w:color w:val="000000" w:themeColor="text1"/>
        </w:rPr>
        <w:t xml:space="preserve"> Ruling on Parent's Motion To Compel Discovery, Motion For Sanctions, and Motion For Continuance</w:t>
      </w:r>
      <w:r w:rsidRPr="005C6354">
        <w:rPr>
          <w:rFonts w:ascii="Aptos" w:hAnsi="Aptos"/>
          <w:color w:val="000000" w:themeColor="text1"/>
        </w:rPr>
        <w:t xml:space="preserve"> issued on October 27, 2025.</w:t>
      </w:r>
    </w:p>
  </w:footnote>
  <w:footnote w:id="7">
    <w:p w14:paraId="67A31039" w14:textId="77777777" w:rsidR="004D7007" w:rsidRPr="005C6354" w:rsidRDefault="004D7007" w:rsidP="004D700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This IEP was accepted on January 22, 2024 but later rejected on June 28, 2024.</w:t>
      </w:r>
    </w:p>
  </w:footnote>
  <w:footnote w:id="8">
    <w:p w14:paraId="0F00AA4E" w14:textId="08452828" w:rsidR="00E54C80" w:rsidRPr="005C6354" w:rsidRDefault="00E54C80" w:rsidP="00E54C80">
      <w:pPr>
        <w:pStyle w:val="FootnoteText"/>
        <w:rPr>
          <w:rFonts w:ascii="Aptos" w:hAnsi="Aptos"/>
        </w:rPr>
      </w:pPr>
      <w:r w:rsidRPr="005C6354">
        <w:rPr>
          <w:rStyle w:val="FootnoteReference"/>
          <w:rFonts w:ascii="Aptos" w:hAnsi="Aptos"/>
        </w:rPr>
        <w:footnoteRef/>
      </w:r>
      <w:r w:rsidRPr="005C6354">
        <w:rPr>
          <w:rFonts w:ascii="Aptos" w:hAnsi="Aptos"/>
        </w:rPr>
        <w:t xml:space="preserve">  Nevertheless, Parent’s request for declaratory relief is DENIED as the BSEA has no jurisdiction to grant declaratory relief. See </w:t>
      </w:r>
      <w:r w:rsidRPr="005C6354">
        <w:rPr>
          <w:rFonts w:ascii="Aptos" w:hAnsi="Aptos"/>
          <w:i/>
          <w:iCs/>
        </w:rPr>
        <w:t>In Re: Student &amp; Boston Public Schools (Ruling on Cross Motions for Summary Judgment),</w:t>
      </w:r>
      <w:r w:rsidRPr="005C6354">
        <w:rPr>
          <w:rFonts w:ascii="Aptos" w:hAnsi="Aptos"/>
        </w:rPr>
        <w:t xml:space="preserve"> BSEA #</w:t>
      </w:r>
      <w:r w:rsidR="000827E0">
        <w:rPr>
          <w:rFonts w:ascii="Aptos" w:hAnsi="Aptos"/>
        </w:rPr>
        <w:t xml:space="preserve"> </w:t>
      </w:r>
      <w:r w:rsidRPr="005C6354">
        <w:rPr>
          <w:rFonts w:ascii="Aptos" w:hAnsi="Aptos"/>
        </w:rPr>
        <w:t xml:space="preserve">19-00241 (Berman, 2019) (finding </w:t>
      </w:r>
      <w:r w:rsidR="009A6053" w:rsidRPr="005C6354">
        <w:rPr>
          <w:rFonts w:ascii="Aptos" w:hAnsi="Aptos"/>
        </w:rPr>
        <w:t>“[t]he equitable, declaratory and administrative relief properly sought by the Parents at the BSEA is inextricably intertwined with their additional requests for relief not available under the IDEA but authorized by other statutes”).</w:t>
      </w:r>
    </w:p>
  </w:footnote>
  <w:footnote w:id="9">
    <w:p w14:paraId="09145E9B" w14:textId="3E31E3D8" w:rsidR="007F0A44" w:rsidRPr="005C6354" w:rsidRDefault="007F0A44"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00217851" w:rsidRPr="005C6354">
        <w:rPr>
          <w:rFonts w:ascii="Aptos" w:hAnsi="Aptos"/>
          <w:color w:val="000000" w:themeColor="text1"/>
        </w:rPr>
        <w:t>The information in this section is drawn from the parties’ pleadings and is subject to revision in further proceedings.</w:t>
      </w:r>
    </w:p>
  </w:footnote>
  <w:footnote w:id="10">
    <w:p w14:paraId="08A5DDB2" w14:textId="77777777" w:rsidR="00391775" w:rsidRPr="005C6354" w:rsidRDefault="00391775"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color w:val="000000" w:themeColor="text1"/>
          <w:shd w:val="clear" w:color="auto" w:fill="FFFFFF"/>
        </w:rPr>
        <w:t>801 CMR 1.01(7)(h).</w:t>
      </w:r>
    </w:p>
  </w:footnote>
  <w:footnote w:id="11">
    <w:p w14:paraId="5E36ADB5" w14:textId="77777777" w:rsidR="00391775" w:rsidRPr="005C6354" w:rsidRDefault="00391775"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iCs/>
          <w:color w:val="000000" w:themeColor="text1"/>
          <w:shd w:val="clear" w:color="auto" w:fill="FFFFFF"/>
        </w:rPr>
        <w:t>Id</w:t>
      </w:r>
      <w:r w:rsidRPr="005C6354">
        <w:rPr>
          <w:rFonts w:ascii="Aptos" w:hAnsi="Aptos"/>
          <w:color w:val="000000" w:themeColor="text1"/>
          <w:shd w:val="clear" w:color="auto" w:fill="FFFFFF"/>
        </w:rPr>
        <w:t>.</w:t>
      </w:r>
    </w:p>
  </w:footnote>
  <w:footnote w:id="12">
    <w:p w14:paraId="72B2F3DC" w14:textId="77777777" w:rsidR="00391775" w:rsidRPr="005C6354" w:rsidRDefault="00391775"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iCs/>
          <w:color w:val="000000" w:themeColor="text1"/>
        </w:rPr>
        <w:t>French v. Merrill</w:t>
      </w:r>
      <w:r w:rsidRPr="005C6354">
        <w:rPr>
          <w:rFonts w:ascii="Aptos" w:hAnsi="Aptos"/>
          <w:color w:val="000000" w:themeColor="text1"/>
        </w:rPr>
        <w:t xml:space="preserve">, 15 F.4th 116, 123 (1st Cir. 2021); see </w:t>
      </w:r>
      <w:r w:rsidRPr="005C6354">
        <w:rPr>
          <w:rFonts w:ascii="Aptos" w:hAnsi="Aptos"/>
          <w:i/>
          <w:color w:val="000000" w:themeColor="text1"/>
          <w:bdr w:val="none" w:sz="0" w:space="0" w:color="auto" w:frame="1"/>
        </w:rPr>
        <w:t>Maldanado-Denis v. Castillo-Rodriguez,</w:t>
      </w:r>
      <w:r w:rsidRPr="005C6354">
        <w:rPr>
          <w:rFonts w:ascii="Aptos" w:hAnsi="Aptos"/>
          <w:color w:val="000000" w:themeColor="text1"/>
          <w:bdr w:val="none" w:sz="0" w:space="0" w:color="auto" w:frame="1"/>
        </w:rPr>
        <w:t xml:space="preserve"> 23 F.3d 576, 581 (1st  Cir. 1994).</w:t>
      </w:r>
    </w:p>
  </w:footnote>
  <w:footnote w:id="13">
    <w:p w14:paraId="56422978" w14:textId="77777777" w:rsidR="00391775" w:rsidRPr="005C6354" w:rsidRDefault="00391775" w:rsidP="00DB5FF7">
      <w:pPr>
        <w:shd w:val="clear" w:color="auto" w:fill="FFFFFF"/>
        <w:rPr>
          <w:rFonts w:ascii="Aptos" w:hAnsi="Aptos"/>
          <w:color w:val="000000" w:themeColor="text1"/>
          <w:sz w:val="20"/>
          <w:szCs w:val="20"/>
        </w:rPr>
      </w:pPr>
      <w:r w:rsidRPr="005C6354">
        <w:rPr>
          <w:rStyle w:val="FootnoteReference"/>
          <w:rFonts w:ascii="Aptos" w:hAnsi="Aptos"/>
          <w:color w:val="000000" w:themeColor="text1"/>
          <w:sz w:val="20"/>
          <w:szCs w:val="20"/>
        </w:rPr>
        <w:footnoteRef/>
      </w:r>
      <w:r w:rsidRPr="005C6354">
        <w:rPr>
          <w:rFonts w:ascii="Aptos" w:hAnsi="Aptos"/>
          <w:color w:val="000000" w:themeColor="text1"/>
          <w:sz w:val="20"/>
          <w:szCs w:val="20"/>
        </w:rPr>
        <w:t xml:space="preserve"> </w:t>
      </w:r>
      <w:r w:rsidRPr="005C6354">
        <w:rPr>
          <w:rFonts w:ascii="Aptos" w:hAnsi="Aptos"/>
          <w:i/>
          <w:iCs/>
          <w:color w:val="000000" w:themeColor="text1"/>
          <w:sz w:val="20"/>
          <w:szCs w:val="20"/>
          <w:bdr w:val="none" w:sz="0" w:space="0" w:color="auto" w:frame="1"/>
        </w:rPr>
        <w:t>Anderson v. Liberty Lobby, Inc.</w:t>
      </w:r>
      <w:r w:rsidRPr="005C6354">
        <w:rPr>
          <w:rFonts w:ascii="Aptos" w:hAnsi="Aptos"/>
          <w:i/>
          <w:iCs/>
          <w:color w:val="000000" w:themeColor="text1"/>
          <w:sz w:val="20"/>
          <w:szCs w:val="20"/>
        </w:rPr>
        <w:t>,</w:t>
      </w:r>
      <w:r w:rsidRPr="005C6354">
        <w:rPr>
          <w:rFonts w:ascii="Aptos" w:hAnsi="Aptos"/>
          <w:color w:val="000000" w:themeColor="text1"/>
          <w:sz w:val="20"/>
          <w:szCs w:val="20"/>
        </w:rPr>
        <w:t xml:space="preserve"> 477 U.S. 242, 248 (1986).</w:t>
      </w:r>
    </w:p>
  </w:footnote>
  <w:footnote w:id="14">
    <w:p w14:paraId="433DC5AC" w14:textId="17C5A73A" w:rsidR="00391775" w:rsidRPr="005C6354" w:rsidRDefault="00391775" w:rsidP="00DB5FF7">
      <w:pPr>
        <w:rPr>
          <w:rFonts w:ascii="Aptos" w:hAnsi="Aptos"/>
          <w:color w:val="000000" w:themeColor="text1"/>
          <w:sz w:val="20"/>
          <w:szCs w:val="20"/>
        </w:rPr>
      </w:pPr>
      <w:r w:rsidRPr="005C6354">
        <w:rPr>
          <w:rStyle w:val="FootnoteReference"/>
          <w:rFonts w:ascii="Aptos" w:hAnsi="Aptos"/>
          <w:color w:val="000000" w:themeColor="text1"/>
          <w:sz w:val="20"/>
          <w:szCs w:val="20"/>
        </w:rPr>
        <w:footnoteRef/>
      </w:r>
      <w:r w:rsidRPr="005C6354">
        <w:rPr>
          <w:rFonts w:ascii="Aptos" w:hAnsi="Aptos"/>
          <w:color w:val="000000" w:themeColor="text1"/>
          <w:sz w:val="20"/>
          <w:szCs w:val="20"/>
        </w:rPr>
        <w:t xml:space="preserve"> </w:t>
      </w:r>
      <w:r w:rsidR="00BD59E6" w:rsidRPr="005C6354">
        <w:rPr>
          <w:rFonts w:ascii="Aptos" w:hAnsi="Aptos"/>
          <w:color w:val="000000" w:themeColor="text1"/>
          <w:sz w:val="20"/>
          <w:szCs w:val="20"/>
        </w:rPr>
        <w:t xml:space="preserve">See </w:t>
      </w:r>
      <w:r w:rsidR="00BD59E6" w:rsidRPr="005C6354">
        <w:rPr>
          <w:rFonts w:ascii="Aptos" w:hAnsi="Aptos"/>
          <w:i/>
          <w:iCs/>
          <w:color w:val="000000" w:themeColor="text1"/>
          <w:sz w:val="20"/>
          <w:szCs w:val="20"/>
        </w:rPr>
        <w:t>i</w:t>
      </w:r>
      <w:r w:rsidRPr="005C6354">
        <w:rPr>
          <w:rFonts w:ascii="Aptos" w:hAnsi="Aptos"/>
          <w:i/>
          <w:iCs/>
          <w:color w:val="000000" w:themeColor="text1"/>
          <w:sz w:val="20"/>
          <w:szCs w:val="20"/>
        </w:rPr>
        <w:t>d</w:t>
      </w:r>
      <w:r w:rsidRPr="005C6354">
        <w:rPr>
          <w:rFonts w:ascii="Aptos" w:hAnsi="Aptos"/>
          <w:color w:val="000000" w:themeColor="text1"/>
          <w:sz w:val="20"/>
          <w:szCs w:val="20"/>
        </w:rPr>
        <w:t>. at 252; see</w:t>
      </w:r>
      <w:r w:rsidR="00BD59E6" w:rsidRPr="005C6354">
        <w:rPr>
          <w:rFonts w:ascii="Aptos" w:hAnsi="Aptos"/>
          <w:color w:val="000000" w:themeColor="text1"/>
          <w:sz w:val="20"/>
          <w:szCs w:val="20"/>
        </w:rPr>
        <w:t xml:space="preserve"> also</w:t>
      </w:r>
      <w:r w:rsidRPr="005C6354">
        <w:rPr>
          <w:rFonts w:ascii="Aptos" w:hAnsi="Aptos"/>
          <w:color w:val="000000" w:themeColor="text1"/>
          <w:sz w:val="20"/>
          <w:szCs w:val="20"/>
        </w:rPr>
        <w:t xml:space="preserve"> </w:t>
      </w:r>
      <w:r w:rsidRPr="005C6354">
        <w:rPr>
          <w:rFonts w:ascii="Aptos" w:hAnsi="Aptos"/>
          <w:i/>
          <w:iCs/>
          <w:color w:val="000000" w:themeColor="text1"/>
          <w:sz w:val="20"/>
          <w:szCs w:val="20"/>
          <w:shd w:val="clear" w:color="auto" w:fill="FFFFFF"/>
        </w:rPr>
        <w:t>In</w:t>
      </w:r>
      <w:r w:rsidRPr="005C6354">
        <w:rPr>
          <w:rStyle w:val="apple-converted-space"/>
          <w:rFonts w:ascii="Aptos" w:hAnsi="Aptos"/>
          <w:color w:val="000000" w:themeColor="text1"/>
          <w:sz w:val="20"/>
          <w:szCs w:val="20"/>
          <w:shd w:val="clear" w:color="auto" w:fill="FFFFFF"/>
        </w:rPr>
        <w:t> </w:t>
      </w:r>
      <w:r w:rsidRPr="005C6354">
        <w:rPr>
          <w:rStyle w:val="Emphasis"/>
          <w:rFonts w:ascii="Aptos" w:hAnsi="Aptos"/>
          <w:color w:val="000000" w:themeColor="text1"/>
          <w:sz w:val="20"/>
          <w:szCs w:val="20"/>
          <w:bdr w:val="none" w:sz="0" w:space="0" w:color="auto" w:frame="1"/>
        </w:rPr>
        <w:t>Re: Westwood Pub. Sch.</w:t>
      </w:r>
      <w:r w:rsidRPr="005C6354">
        <w:rPr>
          <w:rFonts w:ascii="Aptos" w:hAnsi="Aptos"/>
          <w:color w:val="000000" w:themeColor="text1"/>
          <w:sz w:val="20"/>
          <w:szCs w:val="20"/>
          <w:shd w:val="clear" w:color="auto" w:fill="FFFFFF"/>
        </w:rPr>
        <w:t xml:space="preserve">, BSEA </w:t>
      </w:r>
      <w:r w:rsidR="005C6354">
        <w:rPr>
          <w:rFonts w:ascii="Aptos" w:hAnsi="Aptos"/>
          <w:color w:val="000000" w:themeColor="text1"/>
          <w:sz w:val="20"/>
          <w:szCs w:val="20"/>
          <w:shd w:val="clear" w:color="auto" w:fill="FFFFFF"/>
        </w:rPr>
        <w:t>#</w:t>
      </w:r>
      <w:r w:rsidR="005C6354" w:rsidRPr="005C6354">
        <w:rPr>
          <w:rFonts w:ascii="Aptos" w:hAnsi="Aptos"/>
          <w:color w:val="000000" w:themeColor="text1"/>
          <w:sz w:val="20"/>
          <w:szCs w:val="20"/>
          <w:shd w:val="clear" w:color="auto" w:fill="FFFFFF"/>
        </w:rPr>
        <w:t xml:space="preserve"> </w:t>
      </w:r>
      <w:r w:rsidRPr="005C6354">
        <w:rPr>
          <w:rFonts w:ascii="Aptos" w:hAnsi="Aptos"/>
          <w:color w:val="000000" w:themeColor="text1"/>
          <w:sz w:val="20"/>
          <w:szCs w:val="20"/>
          <w:shd w:val="clear" w:color="auto" w:fill="FFFFFF"/>
        </w:rPr>
        <w:t>10-1162 (Figueroa, 2010</w:t>
      </w:r>
      <w:r w:rsidRPr="005C6354">
        <w:rPr>
          <w:rStyle w:val="Emphasis"/>
          <w:rFonts w:ascii="Aptos" w:hAnsi="Aptos"/>
          <w:color w:val="000000" w:themeColor="text1"/>
          <w:sz w:val="20"/>
          <w:szCs w:val="20"/>
          <w:bdr w:val="none" w:sz="0" w:space="0" w:color="auto" w:frame="1"/>
        </w:rPr>
        <w:t>); In Re: Mike v. Boston Pub. Sch.</w:t>
      </w:r>
      <w:r w:rsidRPr="005C6354">
        <w:rPr>
          <w:rFonts w:ascii="Aptos" w:hAnsi="Aptos"/>
          <w:color w:val="000000" w:themeColor="text1"/>
          <w:sz w:val="20"/>
          <w:szCs w:val="20"/>
          <w:shd w:val="clear" w:color="auto" w:fill="FFFFFF"/>
        </w:rPr>
        <w:t xml:space="preserve">, BSEA </w:t>
      </w:r>
      <w:r w:rsidR="005C6354">
        <w:rPr>
          <w:rFonts w:ascii="Aptos" w:hAnsi="Aptos"/>
          <w:color w:val="000000" w:themeColor="text1"/>
          <w:sz w:val="20"/>
          <w:szCs w:val="20"/>
          <w:shd w:val="clear" w:color="auto" w:fill="FFFFFF"/>
        </w:rPr>
        <w:t>#</w:t>
      </w:r>
      <w:r w:rsidRPr="005C6354">
        <w:rPr>
          <w:rFonts w:ascii="Aptos" w:hAnsi="Aptos"/>
          <w:color w:val="000000" w:themeColor="text1"/>
          <w:sz w:val="20"/>
          <w:szCs w:val="20"/>
          <w:shd w:val="clear" w:color="auto" w:fill="FFFFFF"/>
        </w:rPr>
        <w:t xml:space="preserve"> 10-2417 (Oliver, 2010); </w:t>
      </w:r>
      <w:r w:rsidRPr="005C6354">
        <w:rPr>
          <w:rStyle w:val="Emphasis"/>
          <w:rFonts w:ascii="Aptos" w:hAnsi="Aptos"/>
          <w:color w:val="000000" w:themeColor="text1"/>
          <w:sz w:val="20"/>
          <w:szCs w:val="20"/>
          <w:bdr w:val="none" w:sz="0" w:space="0" w:color="auto" w:frame="1"/>
        </w:rPr>
        <w:t>Zelda v. Bridgewater-Raynham Pub. Sch. and Bristol County Agricultural Sch.</w:t>
      </w:r>
      <w:r w:rsidRPr="005C6354">
        <w:rPr>
          <w:rFonts w:ascii="Aptos" w:hAnsi="Aptos"/>
          <w:color w:val="000000" w:themeColor="text1"/>
          <w:sz w:val="20"/>
          <w:szCs w:val="20"/>
          <w:shd w:val="clear" w:color="auto" w:fill="FFFFFF"/>
        </w:rPr>
        <w:t xml:space="preserve">, BSEA </w:t>
      </w:r>
      <w:r w:rsidR="005C6354">
        <w:rPr>
          <w:rFonts w:ascii="Aptos" w:hAnsi="Aptos"/>
          <w:color w:val="000000" w:themeColor="text1"/>
          <w:sz w:val="20"/>
          <w:szCs w:val="20"/>
          <w:shd w:val="clear" w:color="auto" w:fill="FFFFFF"/>
        </w:rPr>
        <w:t>#</w:t>
      </w:r>
      <w:r w:rsidRPr="005C6354">
        <w:rPr>
          <w:rFonts w:ascii="Aptos" w:hAnsi="Aptos"/>
          <w:color w:val="000000" w:themeColor="text1"/>
          <w:sz w:val="20"/>
          <w:szCs w:val="20"/>
          <w:shd w:val="clear" w:color="auto" w:fill="FFFFFF"/>
        </w:rPr>
        <w:t xml:space="preserve"> 06-0256 (Byrne, 2006).</w:t>
      </w:r>
    </w:p>
  </w:footnote>
  <w:footnote w:id="15">
    <w:p w14:paraId="33D53299" w14:textId="77777777" w:rsidR="00391775" w:rsidRPr="005C6354" w:rsidRDefault="00391775"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color w:val="000000" w:themeColor="text1"/>
        </w:rPr>
        <w:t>Anderson,</w:t>
      </w:r>
      <w:r w:rsidRPr="005C6354">
        <w:rPr>
          <w:rFonts w:ascii="Aptos" w:hAnsi="Aptos"/>
          <w:color w:val="000000" w:themeColor="text1"/>
        </w:rPr>
        <w:t xml:space="preserve"> 477 U.S</w:t>
      </w:r>
      <w:r w:rsidRPr="005C6354">
        <w:rPr>
          <w:rFonts w:ascii="Aptos" w:hAnsi="Aptos"/>
          <w:i/>
          <w:color w:val="000000" w:themeColor="text1"/>
        </w:rPr>
        <w:t xml:space="preserve">. </w:t>
      </w:r>
      <w:r w:rsidRPr="005C6354">
        <w:rPr>
          <w:rFonts w:ascii="Aptos" w:hAnsi="Aptos"/>
          <w:color w:val="000000" w:themeColor="text1"/>
        </w:rPr>
        <w:t>at 250.</w:t>
      </w:r>
    </w:p>
  </w:footnote>
  <w:footnote w:id="16">
    <w:p w14:paraId="1502ECA1" w14:textId="77777777" w:rsidR="00391775" w:rsidRPr="005C6354" w:rsidRDefault="00391775"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color w:val="000000" w:themeColor="text1"/>
        </w:rPr>
        <w:t>Id</w:t>
      </w:r>
      <w:r w:rsidRPr="005C6354">
        <w:rPr>
          <w:rFonts w:ascii="Aptos" w:hAnsi="Aptos"/>
          <w:iCs/>
          <w:color w:val="000000" w:themeColor="text1"/>
        </w:rPr>
        <w:t>.</w:t>
      </w:r>
      <w:r w:rsidRPr="005C6354">
        <w:rPr>
          <w:rFonts w:ascii="Aptos" w:hAnsi="Aptos"/>
          <w:color w:val="000000" w:themeColor="text1"/>
        </w:rPr>
        <w:t xml:space="preserve"> at 249.</w:t>
      </w:r>
    </w:p>
  </w:footnote>
  <w:footnote w:id="17">
    <w:p w14:paraId="2C3C962F" w14:textId="77777777" w:rsidR="00391775" w:rsidRPr="005C6354" w:rsidRDefault="00391775"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color w:val="000000" w:themeColor="text1"/>
        </w:rPr>
        <w:t xml:space="preserve">Mack v. Great Atl. &amp; Pac. Tea Co., </w:t>
      </w:r>
      <w:r w:rsidRPr="005C6354">
        <w:rPr>
          <w:rFonts w:ascii="Aptos" w:hAnsi="Aptos"/>
          <w:color w:val="000000" w:themeColor="text1"/>
        </w:rPr>
        <w:t xml:space="preserve">871 F.2d 179, 181 (1st Cir. 1989). </w:t>
      </w:r>
    </w:p>
  </w:footnote>
  <w:footnote w:id="18">
    <w:p w14:paraId="2B5A5DAB" w14:textId="77777777" w:rsidR="00391775" w:rsidRPr="005C6354" w:rsidRDefault="00391775"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color w:val="000000" w:themeColor="text1"/>
        </w:rPr>
        <w:t xml:space="preserve">Medina-Munoz v. R.J. Reynolds Tobacco Co., </w:t>
      </w:r>
      <w:r w:rsidRPr="005C6354">
        <w:rPr>
          <w:rFonts w:ascii="Aptos" w:hAnsi="Aptos"/>
          <w:color w:val="000000" w:themeColor="text1"/>
        </w:rPr>
        <w:t>896 F.2d 5, 8 (1st Cir. 1990).</w:t>
      </w:r>
    </w:p>
  </w:footnote>
  <w:footnote w:id="19">
    <w:p w14:paraId="76EF6CE6" w14:textId="52F26401" w:rsidR="006346EC" w:rsidRPr="005C6354" w:rsidRDefault="006346EC"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See 20 U.S.C. § 1414(d)(4)(A)(i).</w:t>
      </w:r>
    </w:p>
  </w:footnote>
  <w:footnote w:id="20">
    <w:p w14:paraId="0AEFAF08" w14:textId="77557E3D" w:rsidR="006346EC" w:rsidRPr="005C6354" w:rsidRDefault="006346EC"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See 34 CFR 300.116(b).</w:t>
      </w:r>
    </w:p>
  </w:footnote>
  <w:footnote w:id="21">
    <w:p w14:paraId="64FA4EC8" w14:textId="0AB911C4" w:rsidR="00E3261D" w:rsidRPr="005C6354" w:rsidRDefault="00E3261D" w:rsidP="00DB5FF7">
      <w:pPr>
        <w:shd w:val="clear" w:color="auto" w:fill="FFFFFF"/>
        <w:rPr>
          <w:rFonts w:ascii="Aptos" w:hAnsi="Aptos"/>
          <w:color w:val="000000" w:themeColor="text1"/>
          <w:sz w:val="20"/>
          <w:szCs w:val="20"/>
        </w:rPr>
      </w:pPr>
      <w:r w:rsidRPr="005C6354">
        <w:rPr>
          <w:rStyle w:val="FootnoteReference"/>
          <w:rFonts w:ascii="Aptos" w:hAnsi="Aptos"/>
          <w:color w:val="000000" w:themeColor="text1"/>
          <w:sz w:val="20"/>
          <w:szCs w:val="20"/>
        </w:rPr>
        <w:footnoteRef/>
      </w:r>
      <w:r w:rsidRPr="005C6354">
        <w:rPr>
          <w:rFonts w:ascii="Aptos" w:hAnsi="Aptos"/>
          <w:color w:val="000000" w:themeColor="text1"/>
          <w:sz w:val="20"/>
          <w:szCs w:val="20"/>
        </w:rPr>
        <w:t xml:space="preserve"> </w:t>
      </w:r>
      <w:r w:rsidRPr="005C6354">
        <w:rPr>
          <w:rFonts w:ascii="Aptos" w:hAnsi="Aptos"/>
          <w:i/>
          <w:iCs/>
          <w:color w:val="000000" w:themeColor="text1"/>
          <w:sz w:val="20"/>
          <w:szCs w:val="20"/>
        </w:rPr>
        <w:t>Forest Grove Sch. Dist. v. T.A.</w:t>
      </w:r>
      <w:r w:rsidRPr="005C6354">
        <w:rPr>
          <w:rFonts w:ascii="Aptos" w:hAnsi="Aptos"/>
          <w:color w:val="000000" w:themeColor="text1"/>
          <w:sz w:val="20"/>
          <w:szCs w:val="20"/>
        </w:rPr>
        <w:t>, 557 U.S. 230, 238–39</w:t>
      </w:r>
      <w:r w:rsidR="001236B2" w:rsidRPr="005C6354">
        <w:rPr>
          <w:rFonts w:ascii="Aptos" w:hAnsi="Aptos"/>
          <w:color w:val="000000" w:themeColor="text1"/>
          <w:sz w:val="20"/>
          <w:szCs w:val="20"/>
        </w:rPr>
        <w:t>, 245</w:t>
      </w:r>
      <w:r w:rsidRPr="005C6354">
        <w:rPr>
          <w:rFonts w:ascii="Aptos" w:hAnsi="Aptos"/>
          <w:color w:val="000000" w:themeColor="text1"/>
          <w:sz w:val="20"/>
          <w:szCs w:val="20"/>
        </w:rPr>
        <w:t xml:space="preserve"> (2009) (“It would be particularly strange for the Act to provide a remedy, as all agree it does, when a school district offers a child inadequate special-education services but to leave parents without relief in the more egregious situation in which the school district unreasonably denies a child access to such services altogether</w:t>
      </w:r>
      <w:r w:rsidR="001236B2" w:rsidRPr="005C6354">
        <w:rPr>
          <w:rFonts w:ascii="Aptos" w:hAnsi="Aptos"/>
          <w:color w:val="000000" w:themeColor="text1"/>
          <w:sz w:val="20"/>
          <w:szCs w:val="20"/>
        </w:rPr>
        <w:t>”)</w:t>
      </w:r>
      <w:r w:rsidRPr="005C6354">
        <w:rPr>
          <w:rFonts w:ascii="Aptos" w:hAnsi="Aptos"/>
          <w:color w:val="000000" w:themeColor="text1"/>
          <w:sz w:val="20"/>
          <w:szCs w:val="20"/>
        </w:rPr>
        <w:t>.</w:t>
      </w:r>
    </w:p>
  </w:footnote>
  <w:footnote w:id="22">
    <w:p w14:paraId="68DDF333" w14:textId="147181AE" w:rsidR="001236B2" w:rsidRPr="005C6354" w:rsidRDefault="001236B2"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iCs/>
          <w:color w:val="000000" w:themeColor="text1"/>
        </w:rPr>
        <w:t>C.D. by &amp; through M.D. v. Natick Pub. Sch. Dist.</w:t>
      </w:r>
      <w:r w:rsidRPr="005C6354">
        <w:rPr>
          <w:rFonts w:ascii="Aptos" w:hAnsi="Aptos"/>
          <w:color w:val="000000" w:themeColor="text1"/>
        </w:rPr>
        <w:t>, No. CV 19-12427, 2020 WL 7632260, at *5 (D. Mass. Dec. 22, 2020)</w:t>
      </w:r>
      <w:r w:rsidR="001764B7" w:rsidRPr="005C6354">
        <w:rPr>
          <w:rFonts w:ascii="Aptos" w:hAnsi="Aptos"/>
          <w:color w:val="000000" w:themeColor="text1"/>
        </w:rPr>
        <w:t xml:space="preserve">; see </w:t>
      </w:r>
      <w:r w:rsidR="001764B7" w:rsidRPr="005C6354">
        <w:rPr>
          <w:rFonts w:ascii="Aptos" w:hAnsi="Aptos"/>
          <w:i/>
          <w:iCs/>
          <w:color w:val="000000" w:themeColor="text1"/>
        </w:rPr>
        <w:t>Doe v. E. Lyme Bd. of Educ.,</w:t>
      </w:r>
      <w:r w:rsidR="001764B7" w:rsidRPr="005C6354">
        <w:rPr>
          <w:rFonts w:ascii="Aptos" w:hAnsi="Aptos"/>
          <w:color w:val="000000" w:themeColor="text1"/>
        </w:rPr>
        <w:t xml:space="preserve"> 790 F.3d 440, 451 (2d Cir. 2015) (“But without the benefit of an IEP from the district of residence, a parent could not intelligently evaluate whether the child was offered a FAPE or elect [ ] to place the child elsewhere. Thus</w:t>
      </w:r>
      <w:r w:rsidR="00841E4E" w:rsidRPr="005C6354">
        <w:rPr>
          <w:rFonts w:ascii="Aptos" w:hAnsi="Aptos"/>
          <w:color w:val="000000" w:themeColor="text1"/>
        </w:rPr>
        <w:t>,</w:t>
      </w:r>
      <w:r w:rsidR="001764B7" w:rsidRPr="005C6354">
        <w:rPr>
          <w:rFonts w:ascii="Aptos" w:hAnsi="Aptos"/>
          <w:color w:val="000000" w:themeColor="text1"/>
        </w:rPr>
        <w:t xml:space="preserve"> an educational agency must issue an IEP for a resident qualifying child, even if that child has been enrolled in a private school outside the boundaries of the school district”) (internal quotations and citations omitted).</w:t>
      </w:r>
    </w:p>
  </w:footnote>
  <w:footnote w:id="23">
    <w:p w14:paraId="7875B642" w14:textId="2E63C0E7" w:rsidR="002C6B19" w:rsidRPr="005C6354" w:rsidRDefault="002C6B19" w:rsidP="002C6B19">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w:t>
      </w:r>
      <w:r w:rsidRPr="005C6354">
        <w:rPr>
          <w:rFonts w:ascii="Aptos" w:hAnsi="Aptos"/>
          <w:i/>
          <w:iCs/>
          <w:color w:val="000000" w:themeColor="text1"/>
        </w:rPr>
        <w:t>C.D.</w:t>
      </w:r>
      <w:r w:rsidRPr="005C6354">
        <w:rPr>
          <w:rFonts w:ascii="Aptos" w:hAnsi="Aptos"/>
          <w:color w:val="000000" w:themeColor="text1"/>
        </w:rPr>
        <w:t>, WL 7632260, at *5.</w:t>
      </w:r>
    </w:p>
  </w:footnote>
  <w:footnote w:id="24">
    <w:p w14:paraId="463B7609" w14:textId="77777777" w:rsidR="001236B2" w:rsidRPr="005C6354" w:rsidRDefault="001236B2" w:rsidP="00DB5FF7">
      <w:pPr>
        <w:pStyle w:val="FootnoteText"/>
        <w:rPr>
          <w:rFonts w:ascii="Aptos" w:hAnsi="Aptos"/>
          <w:color w:val="000000" w:themeColor="text1"/>
        </w:rPr>
      </w:pPr>
      <w:r w:rsidRPr="005C6354">
        <w:rPr>
          <w:rStyle w:val="FootnoteReference"/>
          <w:rFonts w:ascii="Aptos" w:hAnsi="Aptos"/>
          <w:color w:val="000000" w:themeColor="text1"/>
        </w:rPr>
        <w:footnoteRef/>
      </w:r>
      <w:r w:rsidRPr="005C6354">
        <w:rPr>
          <w:rFonts w:ascii="Aptos" w:hAnsi="Aptos"/>
          <w:color w:val="000000" w:themeColor="text1"/>
        </w:rPr>
        <w:t xml:space="preserve"> 801 CMR 1.01(7)(h).</w:t>
      </w:r>
    </w:p>
  </w:footnote>
  <w:footnote w:id="25">
    <w:p w14:paraId="71486A2A" w14:textId="040C0FB2" w:rsidR="006B650E" w:rsidRPr="005C6354" w:rsidRDefault="006B650E">
      <w:pPr>
        <w:pStyle w:val="FootnoteText"/>
        <w:rPr>
          <w:rFonts w:ascii="Aptos" w:hAnsi="Aptos"/>
        </w:rPr>
      </w:pPr>
      <w:r w:rsidRPr="005C6354">
        <w:rPr>
          <w:rStyle w:val="FootnoteReference"/>
          <w:rFonts w:ascii="Aptos" w:hAnsi="Aptos"/>
        </w:rPr>
        <w:footnoteRef/>
      </w:r>
      <w:r w:rsidRPr="005C6354">
        <w:rPr>
          <w:rFonts w:ascii="Aptos" w:hAnsi="Aptos"/>
        </w:rPr>
        <w:t xml:space="preserve"> </w:t>
      </w:r>
      <w:r w:rsidRPr="005C6354">
        <w:rPr>
          <w:rFonts w:ascii="Aptos" w:hAnsi="Aptos"/>
          <w:color w:val="000000" w:themeColor="text1"/>
        </w:rPr>
        <w:t xml:space="preserve">See </w:t>
      </w:r>
      <w:r w:rsidRPr="005C6354">
        <w:rPr>
          <w:rFonts w:ascii="Aptos" w:hAnsi="Aptos"/>
          <w:i/>
          <w:iCs/>
          <w:color w:val="000000" w:themeColor="text1"/>
        </w:rPr>
        <w:t>Florence Cnty. Sch. Dist. Four v. Carter By &amp; Through Carter,</w:t>
      </w:r>
      <w:r w:rsidRPr="005C6354">
        <w:rPr>
          <w:rFonts w:ascii="Aptos" w:hAnsi="Aptos"/>
          <w:color w:val="000000" w:themeColor="text1"/>
        </w:rPr>
        <w:t xml:space="preserve"> 510 U.S. 7, 15 (1993) (Parents “are entitled to reimbursement </w:t>
      </w:r>
      <w:r w:rsidRPr="005C6354">
        <w:rPr>
          <w:rFonts w:ascii="Aptos" w:hAnsi="Aptos"/>
          <w:i/>
          <w:iCs/>
          <w:color w:val="000000" w:themeColor="text1"/>
        </w:rPr>
        <w:t>only</w:t>
      </w:r>
      <w:r w:rsidRPr="005C6354">
        <w:rPr>
          <w:rFonts w:ascii="Aptos" w:hAnsi="Aptos"/>
          <w:color w:val="000000" w:themeColor="text1"/>
        </w:rPr>
        <w:t xml:space="preserve"> if a federal court concludes both that the public placement violated IDEA and that the private school placement was proper under the Act”); see also </w:t>
      </w:r>
      <w:r w:rsidRPr="005C6354">
        <w:rPr>
          <w:rFonts w:ascii="Aptos" w:hAnsi="Aptos"/>
          <w:i/>
          <w:iCs/>
          <w:color w:val="000000" w:themeColor="text1"/>
        </w:rPr>
        <w:t>Forest Grove Sch. Dist</w:t>
      </w:r>
      <w:r w:rsidRPr="005C6354">
        <w:rPr>
          <w:rFonts w:ascii="Aptos" w:hAnsi="Aptos"/>
          <w:color w:val="000000" w:themeColor="text1"/>
        </w:rPr>
        <w:t>., 557 U.S. at 247 (“When a court or hearing officer concludes that a school district failed to provide a FAPE and the private placement was suitable, it must consider all relevant factors, including the notice provided by the parents and the school district's opportunities for evaluating the child, in determining whether reimbursement for some or all of the cost of the child's private education is warranted”).</w:t>
      </w:r>
    </w:p>
  </w:footnote>
  <w:footnote w:id="26">
    <w:p w14:paraId="7473AC55" w14:textId="7A642A0E" w:rsidR="00BA4140" w:rsidRPr="005C6354" w:rsidRDefault="00BA4140" w:rsidP="00DB5FF7">
      <w:pPr>
        <w:shd w:val="clear" w:color="auto" w:fill="FFFFFF"/>
        <w:rPr>
          <w:rFonts w:ascii="Aptos" w:hAnsi="Aptos"/>
          <w:color w:val="000000" w:themeColor="text1"/>
          <w:sz w:val="20"/>
          <w:szCs w:val="20"/>
        </w:rPr>
      </w:pPr>
      <w:r w:rsidRPr="005C6354">
        <w:rPr>
          <w:rStyle w:val="FootnoteReference"/>
          <w:rFonts w:ascii="Aptos" w:hAnsi="Aptos"/>
          <w:color w:val="000000" w:themeColor="text1"/>
          <w:sz w:val="20"/>
          <w:szCs w:val="20"/>
        </w:rPr>
        <w:footnoteRef/>
      </w:r>
      <w:r w:rsidRPr="005C6354">
        <w:rPr>
          <w:rFonts w:ascii="Aptos" w:hAnsi="Aptos"/>
          <w:color w:val="000000" w:themeColor="text1"/>
          <w:sz w:val="20"/>
          <w:szCs w:val="20"/>
        </w:rPr>
        <w:t xml:space="preserve"> </w:t>
      </w:r>
      <w:r w:rsidRPr="005C6354">
        <w:rPr>
          <w:rStyle w:val="Emphasis"/>
          <w:rFonts w:ascii="Aptos" w:hAnsi="Aptos"/>
          <w:i w:val="0"/>
          <w:iCs w:val="0"/>
          <w:color w:val="000000" w:themeColor="text1"/>
          <w:sz w:val="20"/>
          <w:szCs w:val="20"/>
          <w:bdr w:val="none" w:sz="0" w:space="0" w:color="auto" w:frame="1"/>
        </w:rPr>
        <w:t>See</w:t>
      </w:r>
      <w:r w:rsidRPr="005C6354">
        <w:rPr>
          <w:rStyle w:val="apple-converted-space"/>
          <w:rFonts w:ascii="Aptos" w:hAnsi="Aptos"/>
          <w:i/>
          <w:iCs/>
          <w:color w:val="000000" w:themeColor="text1"/>
          <w:sz w:val="20"/>
          <w:szCs w:val="20"/>
          <w:bdr w:val="none" w:sz="0" w:space="0" w:color="auto" w:frame="1"/>
        </w:rPr>
        <w:t> </w:t>
      </w:r>
      <w:r w:rsidRPr="005C6354">
        <w:rPr>
          <w:rStyle w:val="Emphasis"/>
          <w:rFonts w:ascii="Aptos" w:hAnsi="Aptos"/>
          <w:color w:val="000000" w:themeColor="text1"/>
          <w:sz w:val="20"/>
          <w:szCs w:val="20"/>
          <w:bdr w:val="none" w:sz="0" w:space="0" w:color="auto" w:frame="1"/>
        </w:rPr>
        <w:t>Sch. Comm. of Burlington v. Dep't of Educ.,</w:t>
      </w:r>
      <w:r w:rsidRPr="005C6354">
        <w:rPr>
          <w:rStyle w:val="apple-converted-space"/>
          <w:rFonts w:ascii="Aptos" w:hAnsi="Aptos"/>
          <w:color w:val="000000" w:themeColor="text1"/>
          <w:sz w:val="20"/>
          <w:szCs w:val="20"/>
        </w:rPr>
        <w:t> </w:t>
      </w:r>
      <w:r w:rsidRPr="005C6354">
        <w:rPr>
          <w:rFonts w:ascii="Aptos" w:hAnsi="Aptos"/>
          <w:color w:val="000000" w:themeColor="text1"/>
          <w:sz w:val="20"/>
          <w:szCs w:val="20"/>
        </w:rPr>
        <w:t>471 U.S. 359, 369</w:t>
      </w:r>
      <w:r w:rsidR="00DB5FF7" w:rsidRPr="005C6354">
        <w:rPr>
          <w:rFonts w:ascii="Aptos" w:hAnsi="Aptos"/>
          <w:color w:val="000000" w:themeColor="text1"/>
          <w:sz w:val="20"/>
          <w:szCs w:val="20"/>
        </w:rPr>
        <w:t xml:space="preserve"> </w:t>
      </w:r>
      <w:r w:rsidRPr="005C6354">
        <w:rPr>
          <w:rFonts w:ascii="Aptos" w:hAnsi="Aptos"/>
          <w:color w:val="000000" w:themeColor="text1"/>
          <w:sz w:val="20"/>
          <w:szCs w:val="20"/>
        </w:rPr>
        <w:t>(1985)</w:t>
      </w:r>
      <w:r w:rsidR="001764B7" w:rsidRPr="005C6354">
        <w:rPr>
          <w:rFonts w:ascii="Aptos" w:hAnsi="Aptos"/>
          <w:color w:val="000000" w:themeColor="text1"/>
          <w:sz w:val="20"/>
          <w:szCs w:val="20"/>
        </w:rPr>
        <w:t xml:space="preserve"> (finding that</w:t>
      </w:r>
      <w:r w:rsidR="001764B7" w:rsidRPr="005C6354">
        <w:rPr>
          <w:rStyle w:val="apple-converted-space"/>
          <w:rFonts w:ascii="Aptos" w:hAnsi="Aptos"/>
          <w:color w:val="000000" w:themeColor="text1"/>
          <w:sz w:val="20"/>
          <w:szCs w:val="20"/>
        </w:rPr>
        <w:t> </w:t>
      </w:r>
      <w:r w:rsidR="00C151AD" w:rsidRPr="005C6354">
        <w:rPr>
          <w:rStyle w:val="apple-converted-space"/>
          <w:rFonts w:ascii="Aptos" w:hAnsi="Aptos"/>
          <w:color w:val="000000" w:themeColor="text1"/>
          <w:sz w:val="20"/>
          <w:szCs w:val="20"/>
        </w:rPr>
        <w:t xml:space="preserve">the </w:t>
      </w:r>
      <w:r w:rsidR="001764B7" w:rsidRPr="005C6354">
        <w:rPr>
          <w:rStyle w:val="coconcept14"/>
          <w:rFonts w:ascii="Aptos" w:hAnsi="Aptos"/>
          <w:color w:val="000000" w:themeColor="text1"/>
          <w:sz w:val="20"/>
          <w:szCs w:val="20"/>
          <w:bdr w:val="none" w:sz="0" w:space="0" w:color="auto" w:frame="1"/>
          <w:shd w:val="clear" w:color="auto" w:fill="FFFFFF"/>
        </w:rPr>
        <w:t>IDEA</w:t>
      </w:r>
      <w:r w:rsidR="001764B7" w:rsidRPr="005C6354">
        <w:rPr>
          <w:rStyle w:val="apple-converted-space"/>
          <w:rFonts w:ascii="Aptos" w:hAnsi="Aptos"/>
          <w:color w:val="000000" w:themeColor="text1"/>
          <w:sz w:val="20"/>
          <w:szCs w:val="20"/>
        </w:rPr>
        <w:t> </w:t>
      </w:r>
      <w:r w:rsidR="001764B7" w:rsidRPr="005C6354">
        <w:rPr>
          <w:rFonts w:ascii="Aptos" w:hAnsi="Aptos"/>
          <w:color w:val="000000" w:themeColor="text1"/>
          <w:sz w:val="20"/>
          <w:szCs w:val="20"/>
        </w:rPr>
        <w:t>authorizes courts to order school authorities to reimburse parents for their expenditures on private education for a child if the court ultimately decides that such placement, rather than the</w:t>
      </w:r>
      <w:r w:rsidR="001764B7" w:rsidRPr="005C6354">
        <w:rPr>
          <w:rStyle w:val="apple-converted-space"/>
          <w:rFonts w:ascii="Aptos" w:hAnsi="Aptos"/>
          <w:color w:val="000000" w:themeColor="text1"/>
          <w:sz w:val="20"/>
          <w:szCs w:val="20"/>
        </w:rPr>
        <w:t> </w:t>
      </w:r>
      <w:r w:rsidR="001764B7" w:rsidRPr="005C6354">
        <w:rPr>
          <w:rStyle w:val="coconcept1723"/>
          <w:rFonts w:ascii="Aptos" w:hAnsi="Aptos"/>
          <w:color w:val="000000" w:themeColor="text1"/>
          <w:sz w:val="20"/>
          <w:szCs w:val="20"/>
          <w:bdr w:val="none" w:sz="0" w:space="0" w:color="auto" w:frame="1"/>
          <w:shd w:val="clear" w:color="auto" w:fill="FFFFFF"/>
        </w:rPr>
        <w:t>proposed</w:t>
      </w:r>
      <w:r w:rsidR="001764B7" w:rsidRPr="005C6354">
        <w:rPr>
          <w:rStyle w:val="apple-converted-space"/>
          <w:rFonts w:ascii="Aptos" w:hAnsi="Aptos"/>
          <w:color w:val="000000" w:themeColor="text1"/>
          <w:sz w:val="20"/>
          <w:szCs w:val="20"/>
        </w:rPr>
        <w:t> </w:t>
      </w:r>
      <w:r w:rsidR="001764B7" w:rsidRPr="005C6354">
        <w:rPr>
          <w:rStyle w:val="coconcept2527"/>
          <w:rFonts w:ascii="Aptos" w:hAnsi="Aptos"/>
          <w:color w:val="000000" w:themeColor="text1"/>
          <w:sz w:val="20"/>
          <w:szCs w:val="20"/>
          <w:bdr w:val="none" w:sz="0" w:space="0" w:color="auto" w:frame="1"/>
          <w:shd w:val="clear" w:color="auto" w:fill="FFFFFF"/>
        </w:rPr>
        <w:t>IEP</w:t>
      </w:r>
      <w:r w:rsidR="001764B7" w:rsidRPr="005C6354">
        <w:rPr>
          <w:rFonts w:ascii="Aptos" w:hAnsi="Aptos"/>
          <w:color w:val="000000" w:themeColor="text1"/>
          <w:sz w:val="20"/>
          <w:szCs w:val="20"/>
        </w:rPr>
        <w:t>, is proper under the</w:t>
      </w:r>
      <w:r w:rsidR="001764B7" w:rsidRPr="005C6354">
        <w:rPr>
          <w:rStyle w:val="apple-converted-space"/>
          <w:rFonts w:ascii="Aptos" w:hAnsi="Aptos"/>
          <w:color w:val="000000" w:themeColor="text1"/>
          <w:sz w:val="20"/>
          <w:szCs w:val="20"/>
        </w:rPr>
        <w:t> </w:t>
      </w:r>
      <w:r w:rsidR="001764B7" w:rsidRPr="005C6354">
        <w:rPr>
          <w:rStyle w:val="coconcept14"/>
          <w:rFonts w:ascii="Aptos" w:hAnsi="Aptos"/>
          <w:color w:val="000000" w:themeColor="text1"/>
          <w:sz w:val="20"/>
          <w:szCs w:val="20"/>
          <w:bdr w:val="none" w:sz="0" w:space="0" w:color="auto" w:frame="1"/>
          <w:shd w:val="clear" w:color="auto" w:fill="FFFFFF"/>
        </w:rPr>
        <w:t>IDEA</w:t>
      </w:r>
      <w:r w:rsidR="001764B7" w:rsidRPr="005C6354">
        <w:rPr>
          <w:rFonts w:ascii="Aptos" w:hAnsi="Aptos"/>
          <w:color w:val="000000" w:themeColor="text1"/>
          <w:sz w:val="20"/>
          <w:szCs w:val="20"/>
        </w:rPr>
        <w:t xml:space="preserve">). </w:t>
      </w:r>
      <w:r w:rsidRPr="005C6354">
        <w:rPr>
          <w:rFonts w:ascii="Aptos" w:hAnsi="Aptos"/>
          <w:color w:val="000000" w:themeColor="text1"/>
          <w:sz w:val="20"/>
          <w:szCs w:val="20"/>
        </w:rPr>
        <w:t xml:space="preserve"> </w:t>
      </w:r>
    </w:p>
  </w:footnote>
  <w:footnote w:id="27">
    <w:p w14:paraId="7813CBCA" w14:textId="38CA9EDE" w:rsidR="00321528" w:rsidRPr="005C6354" w:rsidRDefault="00945316" w:rsidP="00321528">
      <w:pPr>
        <w:pStyle w:val="FootnoteText"/>
        <w:rPr>
          <w:rFonts w:ascii="Aptos" w:hAnsi="Aptos"/>
        </w:rPr>
      </w:pPr>
      <w:r w:rsidRPr="005C6354">
        <w:rPr>
          <w:rStyle w:val="FootnoteReference"/>
          <w:rFonts w:ascii="Aptos" w:hAnsi="Aptos"/>
        </w:rPr>
        <w:footnoteRef/>
      </w:r>
      <w:r w:rsidRPr="005C6354">
        <w:rPr>
          <w:rFonts w:ascii="Aptos" w:hAnsi="Aptos"/>
        </w:rPr>
        <w:t xml:space="preserve"> </w:t>
      </w:r>
      <w:r w:rsidR="009A6053" w:rsidRPr="005C6354">
        <w:rPr>
          <w:rFonts w:ascii="Aptos" w:hAnsi="Aptos"/>
        </w:rPr>
        <w:t xml:space="preserve">As stated </w:t>
      </w:r>
      <w:r w:rsidR="009A6053" w:rsidRPr="005C6354">
        <w:rPr>
          <w:rFonts w:ascii="Aptos" w:hAnsi="Aptos"/>
          <w:i/>
          <w:iCs/>
        </w:rPr>
        <w:t>supra</w:t>
      </w:r>
      <w:r w:rsidR="009A6053" w:rsidRPr="005C6354">
        <w:rPr>
          <w:rFonts w:ascii="Aptos" w:hAnsi="Aptos"/>
        </w:rPr>
        <w:t xml:space="preserve">, Parent’s request for declaratory relief is DENIED as the BSEA has no jurisdiction to grant declaratory relief. See </w:t>
      </w:r>
      <w:r w:rsidR="009A6053" w:rsidRPr="005C6354">
        <w:rPr>
          <w:rFonts w:ascii="Aptos" w:hAnsi="Aptos"/>
          <w:i/>
          <w:iCs/>
        </w:rPr>
        <w:t>In Re: Student &amp; Boston Public Schools (Ruling on Cross Motions for Summary Judgment)</w:t>
      </w:r>
      <w:r w:rsidR="005C6354">
        <w:rPr>
          <w:rFonts w:ascii="Aptos" w:hAnsi="Aptos"/>
          <w:i/>
          <w:iCs/>
        </w:rPr>
        <w:t>.</w:t>
      </w:r>
    </w:p>
    <w:p w14:paraId="25659D2C" w14:textId="2A7DEEEF" w:rsidR="00945316" w:rsidRPr="005C6354" w:rsidRDefault="00945316">
      <w:pPr>
        <w:pStyle w:val="FootnoteText"/>
        <w:rPr>
          <w:rFonts w:ascii="Aptos" w:hAnsi="Apto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01C"/>
    <w:multiLevelType w:val="hybridMultilevel"/>
    <w:tmpl w:val="0770A404"/>
    <w:lvl w:ilvl="0" w:tplc="3A343C1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46102"/>
    <w:multiLevelType w:val="hybridMultilevel"/>
    <w:tmpl w:val="CC80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A367B"/>
    <w:multiLevelType w:val="multilevel"/>
    <w:tmpl w:val="B8D0A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02157"/>
    <w:multiLevelType w:val="multilevel"/>
    <w:tmpl w:val="72BE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C635B"/>
    <w:multiLevelType w:val="hybridMultilevel"/>
    <w:tmpl w:val="0CDEE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36333"/>
    <w:multiLevelType w:val="hybridMultilevel"/>
    <w:tmpl w:val="21A28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411E"/>
    <w:multiLevelType w:val="hybridMultilevel"/>
    <w:tmpl w:val="5F20C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B5CF2"/>
    <w:multiLevelType w:val="multilevel"/>
    <w:tmpl w:val="E4FE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16286"/>
    <w:multiLevelType w:val="multilevel"/>
    <w:tmpl w:val="E5BC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D5230A"/>
    <w:multiLevelType w:val="multilevel"/>
    <w:tmpl w:val="E836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C32B6"/>
    <w:multiLevelType w:val="multilevel"/>
    <w:tmpl w:val="4A8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5357D"/>
    <w:multiLevelType w:val="multilevel"/>
    <w:tmpl w:val="7B0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B7360"/>
    <w:multiLevelType w:val="multilevel"/>
    <w:tmpl w:val="E392DE4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406E0363"/>
    <w:multiLevelType w:val="multilevel"/>
    <w:tmpl w:val="2FB4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E5B5F"/>
    <w:multiLevelType w:val="hybridMultilevel"/>
    <w:tmpl w:val="5ED45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C27CD"/>
    <w:multiLevelType w:val="multilevel"/>
    <w:tmpl w:val="26FE6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206BE1"/>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04E6A"/>
    <w:multiLevelType w:val="multilevel"/>
    <w:tmpl w:val="D7F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D82049"/>
    <w:multiLevelType w:val="multilevel"/>
    <w:tmpl w:val="A17C9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86215"/>
    <w:multiLevelType w:val="hybridMultilevel"/>
    <w:tmpl w:val="8900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A0528"/>
    <w:multiLevelType w:val="multilevel"/>
    <w:tmpl w:val="E272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0E76B0"/>
    <w:multiLevelType w:val="hybridMultilevel"/>
    <w:tmpl w:val="85B03F64"/>
    <w:lvl w:ilvl="0" w:tplc="A540F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DA6AFB"/>
    <w:multiLevelType w:val="multilevel"/>
    <w:tmpl w:val="FCD03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7125193"/>
    <w:multiLevelType w:val="hybridMultilevel"/>
    <w:tmpl w:val="C9622912"/>
    <w:lvl w:ilvl="0" w:tplc="03BE0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2C0CFF"/>
    <w:multiLevelType w:val="multilevel"/>
    <w:tmpl w:val="7E062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686484"/>
    <w:multiLevelType w:val="hybridMultilevel"/>
    <w:tmpl w:val="251A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94CF6"/>
    <w:multiLevelType w:val="hybridMultilevel"/>
    <w:tmpl w:val="5ED45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4227141">
    <w:abstractNumId w:val="19"/>
  </w:num>
  <w:num w:numId="2" w16cid:durableId="1786579088">
    <w:abstractNumId w:val="1"/>
  </w:num>
  <w:num w:numId="3" w16cid:durableId="1196847715">
    <w:abstractNumId w:val="28"/>
  </w:num>
  <w:num w:numId="4" w16cid:durableId="1643999685">
    <w:abstractNumId w:val="23"/>
  </w:num>
  <w:num w:numId="5" w16cid:durableId="1307122449">
    <w:abstractNumId w:val="26"/>
  </w:num>
  <w:num w:numId="6" w16cid:durableId="1082141932">
    <w:abstractNumId w:val="6"/>
  </w:num>
  <w:num w:numId="7" w16cid:durableId="1460344415">
    <w:abstractNumId w:val="4"/>
  </w:num>
  <w:num w:numId="8" w16cid:durableId="1683707188">
    <w:abstractNumId w:val="27"/>
  </w:num>
  <w:num w:numId="9" w16cid:durableId="1633825476">
    <w:abstractNumId w:val="25"/>
  </w:num>
  <w:num w:numId="10" w16cid:durableId="1703240591">
    <w:abstractNumId w:val="17"/>
  </w:num>
  <w:num w:numId="11" w16cid:durableId="599410669">
    <w:abstractNumId w:val="10"/>
  </w:num>
  <w:num w:numId="12" w16cid:durableId="2067294411">
    <w:abstractNumId w:val="3"/>
  </w:num>
  <w:num w:numId="13" w16cid:durableId="738332282">
    <w:abstractNumId w:val="13"/>
  </w:num>
  <w:num w:numId="14" w16cid:durableId="1152409489">
    <w:abstractNumId w:val="5"/>
  </w:num>
  <w:num w:numId="15" w16cid:durableId="295961047">
    <w:abstractNumId w:val="22"/>
  </w:num>
  <w:num w:numId="16" w16cid:durableId="1264725787">
    <w:abstractNumId w:val="14"/>
  </w:num>
  <w:num w:numId="17" w16cid:durableId="1944799202">
    <w:abstractNumId w:val="2"/>
  </w:num>
  <w:num w:numId="18" w16cid:durableId="253781753">
    <w:abstractNumId w:val="16"/>
  </w:num>
  <w:num w:numId="19" w16cid:durableId="2018648765">
    <w:abstractNumId w:val="9"/>
  </w:num>
  <w:num w:numId="20" w16cid:durableId="1320695945">
    <w:abstractNumId w:val="29"/>
  </w:num>
  <w:num w:numId="21" w16cid:durableId="1026247183">
    <w:abstractNumId w:val="11"/>
  </w:num>
  <w:num w:numId="22" w16cid:durableId="2028168323">
    <w:abstractNumId w:val="12"/>
  </w:num>
  <w:num w:numId="23" w16cid:durableId="1245650677">
    <w:abstractNumId w:val="20"/>
  </w:num>
  <w:num w:numId="24" w16cid:durableId="2133786637">
    <w:abstractNumId w:val="8"/>
  </w:num>
  <w:num w:numId="25" w16cid:durableId="748692193">
    <w:abstractNumId w:val="21"/>
  </w:num>
  <w:num w:numId="26" w16cid:durableId="491914680">
    <w:abstractNumId w:val="15"/>
  </w:num>
  <w:num w:numId="27" w16cid:durableId="1996641443">
    <w:abstractNumId w:val="7"/>
  </w:num>
  <w:num w:numId="28" w16cid:durableId="1706755585">
    <w:abstractNumId w:val="18"/>
  </w:num>
  <w:num w:numId="29" w16cid:durableId="61032054">
    <w:abstractNumId w:val="24"/>
  </w:num>
  <w:num w:numId="30" w16cid:durableId="106352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FD"/>
    <w:rsid w:val="0000484A"/>
    <w:rsid w:val="00004BDD"/>
    <w:rsid w:val="00006552"/>
    <w:rsid w:val="00007335"/>
    <w:rsid w:val="00013E86"/>
    <w:rsid w:val="00015346"/>
    <w:rsid w:val="00015CFC"/>
    <w:rsid w:val="00016AD2"/>
    <w:rsid w:val="000273F7"/>
    <w:rsid w:val="000311BA"/>
    <w:rsid w:val="000375D6"/>
    <w:rsid w:val="000410B4"/>
    <w:rsid w:val="00041C4B"/>
    <w:rsid w:val="00041F82"/>
    <w:rsid w:val="00043B83"/>
    <w:rsid w:val="000518D8"/>
    <w:rsid w:val="0005604B"/>
    <w:rsid w:val="00060460"/>
    <w:rsid w:val="0006163F"/>
    <w:rsid w:val="000617A7"/>
    <w:rsid w:val="000621AD"/>
    <w:rsid w:val="00063869"/>
    <w:rsid w:val="00063B22"/>
    <w:rsid w:val="000665F4"/>
    <w:rsid w:val="00067A70"/>
    <w:rsid w:val="0007174B"/>
    <w:rsid w:val="00072A5B"/>
    <w:rsid w:val="00073C44"/>
    <w:rsid w:val="00076703"/>
    <w:rsid w:val="000827E0"/>
    <w:rsid w:val="00082804"/>
    <w:rsid w:val="0008412E"/>
    <w:rsid w:val="00085393"/>
    <w:rsid w:val="00086843"/>
    <w:rsid w:val="00087F2E"/>
    <w:rsid w:val="000911D9"/>
    <w:rsid w:val="00092750"/>
    <w:rsid w:val="00092C48"/>
    <w:rsid w:val="0009374B"/>
    <w:rsid w:val="00093AD0"/>
    <w:rsid w:val="000A5868"/>
    <w:rsid w:val="000A6EE3"/>
    <w:rsid w:val="000A7AE3"/>
    <w:rsid w:val="000A7F3D"/>
    <w:rsid w:val="000B03E2"/>
    <w:rsid w:val="000B3F12"/>
    <w:rsid w:val="000B6D6D"/>
    <w:rsid w:val="000B7D5F"/>
    <w:rsid w:val="000C07B0"/>
    <w:rsid w:val="000C2304"/>
    <w:rsid w:val="000C2E92"/>
    <w:rsid w:val="000C37CA"/>
    <w:rsid w:val="000C4E5D"/>
    <w:rsid w:val="000C67A7"/>
    <w:rsid w:val="000C685C"/>
    <w:rsid w:val="000D04AF"/>
    <w:rsid w:val="000D383B"/>
    <w:rsid w:val="000E18CC"/>
    <w:rsid w:val="000E5B2D"/>
    <w:rsid w:val="000F0922"/>
    <w:rsid w:val="000F2411"/>
    <w:rsid w:val="000F2AE9"/>
    <w:rsid w:val="000F2B29"/>
    <w:rsid w:val="000F384C"/>
    <w:rsid w:val="000F5943"/>
    <w:rsid w:val="000F63A1"/>
    <w:rsid w:val="00100D8A"/>
    <w:rsid w:val="001026D8"/>
    <w:rsid w:val="00106167"/>
    <w:rsid w:val="00106C75"/>
    <w:rsid w:val="00107205"/>
    <w:rsid w:val="0010753C"/>
    <w:rsid w:val="00110DB4"/>
    <w:rsid w:val="00113171"/>
    <w:rsid w:val="001134A3"/>
    <w:rsid w:val="0011407A"/>
    <w:rsid w:val="00114B6A"/>
    <w:rsid w:val="001174D6"/>
    <w:rsid w:val="001229D5"/>
    <w:rsid w:val="001233AF"/>
    <w:rsid w:val="001236B2"/>
    <w:rsid w:val="001249B9"/>
    <w:rsid w:val="00127AD2"/>
    <w:rsid w:val="0013122C"/>
    <w:rsid w:val="001319D9"/>
    <w:rsid w:val="00132885"/>
    <w:rsid w:val="0013387B"/>
    <w:rsid w:val="00135B23"/>
    <w:rsid w:val="0014040C"/>
    <w:rsid w:val="00140E1E"/>
    <w:rsid w:val="00145617"/>
    <w:rsid w:val="001524F9"/>
    <w:rsid w:val="001533E1"/>
    <w:rsid w:val="00156F4C"/>
    <w:rsid w:val="001578E1"/>
    <w:rsid w:val="0016047F"/>
    <w:rsid w:val="00160F3F"/>
    <w:rsid w:val="00162A54"/>
    <w:rsid w:val="0016474F"/>
    <w:rsid w:val="00164C2F"/>
    <w:rsid w:val="00166F30"/>
    <w:rsid w:val="00171021"/>
    <w:rsid w:val="00171C34"/>
    <w:rsid w:val="00171FDD"/>
    <w:rsid w:val="001727C7"/>
    <w:rsid w:val="00173FC2"/>
    <w:rsid w:val="00174E27"/>
    <w:rsid w:val="001764B7"/>
    <w:rsid w:val="00176D08"/>
    <w:rsid w:val="00176E6F"/>
    <w:rsid w:val="0017772B"/>
    <w:rsid w:val="00180599"/>
    <w:rsid w:val="00180C0B"/>
    <w:rsid w:val="001826C5"/>
    <w:rsid w:val="00185719"/>
    <w:rsid w:val="001932B7"/>
    <w:rsid w:val="00193D85"/>
    <w:rsid w:val="001942C6"/>
    <w:rsid w:val="001950BF"/>
    <w:rsid w:val="00197A80"/>
    <w:rsid w:val="001A4757"/>
    <w:rsid w:val="001A4D16"/>
    <w:rsid w:val="001A6FE4"/>
    <w:rsid w:val="001A73D0"/>
    <w:rsid w:val="001A7473"/>
    <w:rsid w:val="001B1149"/>
    <w:rsid w:val="001B13E6"/>
    <w:rsid w:val="001B29C0"/>
    <w:rsid w:val="001B2E9E"/>
    <w:rsid w:val="001B2F5D"/>
    <w:rsid w:val="001B4DFD"/>
    <w:rsid w:val="001B5CCE"/>
    <w:rsid w:val="001B61BE"/>
    <w:rsid w:val="001B76EC"/>
    <w:rsid w:val="001B7CFB"/>
    <w:rsid w:val="001C209E"/>
    <w:rsid w:val="001C4619"/>
    <w:rsid w:val="001C6DFD"/>
    <w:rsid w:val="001D289B"/>
    <w:rsid w:val="001D36DB"/>
    <w:rsid w:val="001D7025"/>
    <w:rsid w:val="001D7E3A"/>
    <w:rsid w:val="001E3366"/>
    <w:rsid w:val="001E40F1"/>
    <w:rsid w:val="001E5B65"/>
    <w:rsid w:val="001E76B6"/>
    <w:rsid w:val="001E7DA8"/>
    <w:rsid w:val="001F0649"/>
    <w:rsid w:val="001F3065"/>
    <w:rsid w:val="001F531F"/>
    <w:rsid w:val="001F5B2D"/>
    <w:rsid w:val="001F5DA8"/>
    <w:rsid w:val="00203A25"/>
    <w:rsid w:val="00204D23"/>
    <w:rsid w:val="0020764C"/>
    <w:rsid w:val="0021238A"/>
    <w:rsid w:val="002143CD"/>
    <w:rsid w:val="0021730F"/>
    <w:rsid w:val="00217851"/>
    <w:rsid w:val="00224C2A"/>
    <w:rsid w:val="0023018E"/>
    <w:rsid w:val="0023651B"/>
    <w:rsid w:val="00236F99"/>
    <w:rsid w:val="00241034"/>
    <w:rsid w:val="00242A25"/>
    <w:rsid w:val="00242DD2"/>
    <w:rsid w:val="002440D4"/>
    <w:rsid w:val="00244120"/>
    <w:rsid w:val="002462B2"/>
    <w:rsid w:val="002514A4"/>
    <w:rsid w:val="002520E6"/>
    <w:rsid w:val="00254E53"/>
    <w:rsid w:val="002570CE"/>
    <w:rsid w:val="0026421D"/>
    <w:rsid w:val="00265994"/>
    <w:rsid w:val="00266471"/>
    <w:rsid w:val="0027064F"/>
    <w:rsid w:val="00271F84"/>
    <w:rsid w:val="00272733"/>
    <w:rsid w:val="00274040"/>
    <w:rsid w:val="0027488E"/>
    <w:rsid w:val="002751F0"/>
    <w:rsid w:val="002759DE"/>
    <w:rsid w:val="00281E4B"/>
    <w:rsid w:val="00284621"/>
    <w:rsid w:val="00286207"/>
    <w:rsid w:val="00290AB5"/>
    <w:rsid w:val="00292112"/>
    <w:rsid w:val="00292232"/>
    <w:rsid w:val="00292A6F"/>
    <w:rsid w:val="00292B2D"/>
    <w:rsid w:val="002A2F08"/>
    <w:rsid w:val="002A4839"/>
    <w:rsid w:val="002A53D1"/>
    <w:rsid w:val="002A6AAC"/>
    <w:rsid w:val="002B02EE"/>
    <w:rsid w:val="002B22E1"/>
    <w:rsid w:val="002B2404"/>
    <w:rsid w:val="002B290C"/>
    <w:rsid w:val="002B4FE0"/>
    <w:rsid w:val="002B7202"/>
    <w:rsid w:val="002B7985"/>
    <w:rsid w:val="002C08FF"/>
    <w:rsid w:val="002C5117"/>
    <w:rsid w:val="002C6B19"/>
    <w:rsid w:val="002C6C65"/>
    <w:rsid w:val="002C787B"/>
    <w:rsid w:val="002D15E3"/>
    <w:rsid w:val="002D4CE9"/>
    <w:rsid w:val="002D649D"/>
    <w:rsid w:val="002D78CF"/>
    <w:rsid w:val="002E3309"/>
    <w:rsid w:val="002E38C9"/>
    <w:rsid w:val="002E466D"/>
    <w:rsid w:val="002E5064"/>
    <w:rsid w:val="002E5065"/>
    <w:rsid w:val="002E519F"/>
    <w:rsid w:val="002E6FF3"/>
    <w:rsid w:val="002F2B66"/>
    <w:rsid w:val="002F4217"/>
    <w:rsid w:val="002F5242"/>
    <w:rsid w:val="002F7555"/>
    <w:rsid w:val="00302F3D"/>
    <w:rsid w:val="00304240"/>
    <w:rsid w:val="003054A5"/>
    <w:rsid w:val="00306487"/>
    <w:rsid w:val="00307B28"/>
    <w:rsid w:val="003112B0"/>
    <w:rsid w:val="00313728"/>
    <w:rsid w:val="00315528"/>
    <w:rsid w:val="003155D5"/>
    <w:rsid w:val="00321528"/>
    <w:rsid w:val="00327067"/>
    <w:rsid w:val="00330F25"/>
    <w:rsid w:val="003324C9"/>
    <w:rsid w:val="00340E3B"/>
    <w:rsid w:val="00341264"/>
    <w:rsid w:val="00342EFC"/>
    <w:rsid w:val="003434F4"/>
    <w:rsid w:val="00344607"/>
    <w:rsid w:val="003450B4"/>
    <w:rsid w:val="0034681B"/>
    <w:rsid w:val="00346B3F"/>
    <w:rsid w:val="00347272"/>
    <w:rsid w:val="00351233"/>
    <w:rsid w:val="0035306C"/>
    <w:rsid w:val="00353472"/>
    <w:rsid w:val="003566DA"/>
    <w:rsid w:val="00357E45"/>
    <w:rsid w:val="00362E60"/>
    <w:rsid w:val="003644BD"/>
    <w:rsid w:val="003704A1"/>
    <w:rsid w:val="00371F5F"/>
    <w:rsid w:val="00373D1B"/>
    <w:rsid w:val="00377E9D"/>
    <w:rsid w:val="00390506"/>
    <w:rsid w:val="00391435"/>
    <w:rsid w:val="00391775"/>
    <w:rsid w:val="00391F8D"/>
    <w:rsid w:val="00394C4E"/>
    <w:rsid w:val="00394F73"/>
    <w:rsid w:val="00395ACC"/>
    <w:rsid w:val="00395C16"/>
    <w:rsid w:val="00397EF2"/>
    <w:rsid w:val="00397FF1"/>
    <w:rsid w:val="003A4AAA"/>
    <w:rsid w:val="003A4E58"/>
    <w:rsid w:val="003A598A"/>
    <w:rsid w:val="003B1149"/>
    <w:rsid w:val="003B1B0E"/>
    <w:rsid w:val="003B2C2E"/>
    <w:rsid w:val="003B34D4"/>
    <w:rsid w:val="003B3E13"/>
    <w:rsid w:val="003B534F"/>
    <w:rsid w:val="003B614C"/>
    <w:rsid w:val="003C1A38"/>
    <w:rsid w:val="003C47C5"/>
    <w:rsid w:val="003C4964"/>
    <w:rsid w:val="003C50D8"/>
    <w:rsid w:val="003D40C5"/>
    <w:rsid w:val="003D5A09"/>
    <w:rsid w:val="003E07DD"/>
    <w:rsid w:val="003E0EC2"/>
    <w:rsid w:val="003E27B3"/>
    <w:rsid w:val="003E47B5"/>
    <w:rsid w:val="003E4F8E"/>
    <w:rsid w:val="003E5991"/>
    <w:rsid w:val="003E7301"/>
    <w:rsid w:val="003F0FB2"/>
    <w:rsid w:val="003F1175"/>
    <w:rsid w:val="003F1E10"/>
    <w:rsid w:val="003F201C"/>
    <w:rsid w:val="003F2666"/>
    <w:rsid w:val="003F324D"/>
    <w:rsid w:val="003F401A"/>
    <w:rsid w:val="0040039D"/>
    <w:rsid w:val="00400D1F"/>
    <w:rsid w:val="00401C0B"/>
    <w:rsid w:val="00401E38"/>
    <w:rsid w:val="00403D3B"/>
    <w:rsid w:val="004072AE"/>
    <w:rsid w:val="00410546"/>
    <w:rsid w:val="00410870"/>
    <w:rsid w:val="004231BC"/>
    <w:rsid w:val="00423BC8"/>
    <w:rsid w:val="00424591"/>
    <w:rsid w:val="00424841"/>
    <w:rsid w:val="004276C5"/>
    <w:rsid w:val="00427E85"/>
    <w:rsid w:val="004308FC"/>
    <w:rsid w:val="0043180C"/>
    <w:rsid w:val="00432C9F"/>
    <w:rsid w:val="0043750F"/>
    <w:rsid w:val="0043751E"/>
    <w:rsid w:val="004405AC"/>
    <w:rsid w:val="00440C20"/>
    <w:rsid w:val="00442EE9"/>
    <w:rsid w:val="00445735"/>
    <w:rsid w:val="00445736"/>
    <w:rsid w:val="00450720"/>
    <w:rsid w:val="00451CF5"/>
    <w:rsid w:val="00451DED"/>
    <w:rsid w:val="00451EC4"/>
    <w:rsid w:val="00453F54"/>
    <w:rsid w:val="004659E1"/>
    <w:rsid w:val="00466B7B"/>
    <w:rsid w:val="004753F1"/>
    <w:rsid w:val="00476C57"/>
    <w:rsid w:val="00476E8D"/>
    <w:rsid w:val="004773F7"/>
    <w:rsid w:val="00480726"/>
    <w:rsid w:val="00484024"/>
    <w:rsid w:val="004860C8"/>
    <w:rsid w:val="004917ED"/>
    <w:rsid w:val="00494A96"/>
    <w:rsid w:val="00497D24"/>
    <w:rsid w:val="00497DEC"/>
    <w:rsid w:val="004A0583"/>
    <w:rsid w:val="004A2E7E"/>
    <w:rsid w:val="004A4872"/>
    <w:rsid w:val="004A49CF"/>
    <w:rsid w:val="004B3122"/>
    <w:rsid w:val="004B7694"/>
    <w:rsid w:val="004B7999"/>
    <w:rsid w:val="004B799E"/>
    <w:rsid w:val="004B7D6C"/>
    <w:rsid w:val="004C13C1"/>
    <w:rsid w:val="004C1B82"/>
    <w:rsid w:val="004C37F7"/>
    <w:rsid w:val="004C4F9C"/>
    <w:rsid w:val="004C7C8B"/>
    <w:rsid w:val="004D0501"/>
    <w:rsid w:val="004D1438"/>
    <w:rsid w:val="004D1558"/>
    <w:rsid w:val="004D27A7"/>
    <w:rsid w:val="004D5AB5"/>
    <w:rsid w:val="004D7007"/>
    <w:rsid w:val="004E0ABE"/>
    <w:rsid w:val="004E4890"/>
    <w:rsid w:val="004E4925"/>
    <w:rsid w:val="004E57CC"/>
    <w:rsid w:val="004E66D1"/>
    <w:rsid w:val="004F0D49"/>
    <w:rsid w:val="004F1FD1"/>
    <w:rsid w:val="004F491E"/>
    <w:rsid w:val="004F4C42"/>
    <w:rsid w:val="004F4E4C"/>
    <w:rsid w:val="004F5AEC"/>
    <w:rsid w:val="004F5D42"/>
    <w:rsid w:val="00502706"/>
    <w:rsid w:val="005055E2"/>
    <w:rsid w:val="00511AC0"/>
    <w:rsid w:val="00514E60"/>
    <w:rsid w:val="005174CA"/>
    <w:rsid w:val="0052117B"/>
    <w:rsid w:val="005213E1"/>
    <w:rsid w:val="005246E0"/>
    <w:rsid w:val="005343B9"/>
    <w:rsid w:val="00534516"/>
    <w:rsid w:val="0053683C"/>
    <w:rsid w:val="00541A2D"/>
    <w:rsid w:val="00545E64"/>
    <w:rsid w:val="0054718B"/>
    <w:rsid w:val="005522F5"/>
    <w:rsid w:val="00553089"/>
    <w:rsid w:val="005533EC"/>
    <w:rsid w:val="00555CE0"/>
    <w:rsid w:val="00556FD3"/>
    <w:rsid w:val="005614C2"/>
    <w:rsid w:val="005624F6"/>
    <w:rsid w:val="00563BF6"/>
    <w:rsid w:val="00565618"/>
    <w:rsid w:val="00567F9A"/>
    <w:rsid w:val="0057146C"/>
    <w:rsid w:val="005726F3"/>
    <w:rsid w:val="00572C41"/>
    <w:rsid w:val="005740BD"/>
    <w:rsid w:val="005750A5"/>
    <w:rsid w:val="00575E0B"/>
    <w:rsid w:val="0057697F"/>
    <w:rsid w:val="00580FDF"/>
    <w:rsid w:val="00581ACD"/>
    <w:rsid w:val="00582502"/>
    <w:rsid w:val="00582A9D"/>
    <w:rsid w:val="00583826"/>
    <w:rsid w:val="00585A50"/>
    <w:rsid w:val="00587397"/>
    <w:rsid w:val="00590698"/>
    <w:rsid w:val="00593974"/>
    <w:rsid w:val="005941BF"/>
    <w:rsid w:val="00595092"/>
    <w:rsid w:val="005A366C"/>
    <w:rsid w:val="005A625B"/>
    <w:rsid w:val="005A6F0D"/>
    <w:rsid w:val="005B174C"/>
    <w:rsid w:val="005B5586"/>
    <w:rsid w:val="005B5AC0"/>
    <w:rsid w:val="005B6D8E"/>
    <w:rsid w:val="005B76B1"/>
    <w:rsid w:val="005C1949"/>
    <w:rsid w:val="005C1A43"/>
    <w:rsid w:val="005C1BC9"/>
    <w:rsid w:val="005C25C4"/>
    <w:rsid w:val="005C2E4A"/>
    <w:rsid w:val="005C3201"/>
    <w:rsid w:val="005C4251"/>
    <w:rsid w:val="005C4D96"/>
    <w:rsid w:val="005C5FAB"/>
    <w:rsid w:val="005C6354"/>
    <w:rsid w:val="005C6E66"/>
    <w:rsid w:val="005C7E7E"/>
    <w:rsid w:val="005D16D2"/>
    <w:rsid w:val="005D33C3"/>
    <w:rsid w:val="005D5EF0"/>
    <w:rsid w:val="005D7382"/>
    <w:rsid w:val="005E1060"/>
    <w:rsid w:val="005E299F"/>
    <w:rsid w:val="005E4689"/>
    <w:rsid w:val="005E490A"/>
    <w:rsid w:val="005F2941"/>
    <w:rsid w:val="005F6901"/>
    <w:rsid w:val="005F7955"/>
    <w:rsid w:val="006002A8"/>
    <w:rsid w:val="00600814"/>
    <w:rsid w:val="0060081B"/>
    <w:rsid w:val="00601FE0"/>
    <w:rsid w:val="00606599"/>
    <w:rsid w:val="0060737F"/>
    <w:rsid w:val="00607DE2"/>
    <w:rsid w:val="006104BE"/>
    <w:rsid w:val="00612411"/>
    <w:rsid w:val="00621294"/>
    <w:rsid w:val="00622760"/>
    <w:rsid w:val="00622F12"/>
    <w:rsid w:val="00623264"/>
    <w:rsid w:val="00627EDF"/>
    <w:rsid w:val="00631CE7"/>
    <w:rsid w:val="00633B9F"/>
    <w:rsid w:val="006346EC"/>
    <w:rsid w:val="00636198"/>
    <w:rsid w:val="006371BD"/>
    <w:rsid w:val="00641A3E"/>
    <w:rsid w:val="00641E3A"/>
    <w:rsid w:val="00646040"/>
    <w:rsid w:val="006470DA"/>
    <w:rsid w:val="00650ADC"/>
    <w:rsid w:val="00652EE8"/>
    <w:rsid w:val="00654614"/>
    <w:rsid w:val="00656CED"/>
    <w:rsid w:val="006625C9"/>
    <w:rsid w:val="00666B53"/>
    <w:rsid w:val="00673CFA"/>
    <w:rsid w:val="0068026A"/>
    <w:rsid w:val="00684D2C"/>
    <w:rsid w:val="00687216"/>
    <w:rsid w:val="006927F1"/>
    <w:rsid w:val="00692818"/>
    <w:rsid w:val="006957EC"/>
    <w:rsid w:val="00696AB1"/>
    <w:rsid w:val="00696CDF"/>
    <w:rsid w:val="006A1D82"/>
    <w:rsid w:val="006A4D47"/>
    <w:rsid w:val="006A511A"/>
    <w:rsid w:val="006A7C66"/>
    <w:rsid w:val="006B095B"/>
    <w:rsid w:val="006B37DA"/>
    <w:rsid w:val="006B500D"/>
    <w:rsid w:val="006B650E"/>
    <w:rsid w:val="006C1D4A"/>
    <w:rsid w:val="006C47BB"/>
    <w:rsid w:val="006C4A21"/>
    <w:rsid w:val="006C50C6"/>
    <w:rsid w:val="006D057F"/>
    <w:rsid w:val="006D2688"/>
    <w:rsid w:val="006D3B76"/>
    <w:rsid w:val="006D5B96"/>
    <w:rsid w:val="006E0BF5"/>
    <w:rsid w:val="006E0CD3"/>
    <w:rsid w:val="006E2C0D"/>
    <w:rsid w:val="006E34A9"/>
    <w:rsid w:val="006E49E6"/>
    <w:rsid w:val="006F07F2"/>
    <w:rsid w:val="006F0B8B"/>
    <w:rsid w:val="006F32D4"/>
    <w:rsid w:val="006F46DA"/>
    <w:rsid w:val="006F7D42"/>
    <w:rsid w:val="007016D2"/>
    <w:rsid w:val="0070376C"/>
    <w:rsid w:val="00706013"/>
    <w:rsid w:val="00707994"/>
    <w:rsid w:val="00707D0D"/>
    <w:rsid w:val="0071229F"/>
    <w:rsid w:val="00712D52"/>
    <w:rsid w:val="00715C19"/>
    <w:rsid w:val="0072058C"/>
    <w:rsid w:val="00720AE0"/>
    <w:rsid w:val="00721C25"/>
    <w:rsid w:val="0072243E"/>
    <w:rsid w:val="00722936"/>
    <w:rsid w:val="0072445A"/>
    <w:rsid w:val="00726EDE"/>
    <w:rsid w:val="00727C92"/>
    <w:rsid w:val="007304F1"/>
    <w:rsid w:val="007337A7"/>
    <w:rsid w:val="00734A75"/>
    <w:rsid w:val="00734E72"/>
    <w:rsid w:val="00736EF8"/>
    <w:rsid w:val="007373EF"/>
    <w:rsid w:val="00740584"/>
    <w:rsid w:val="0074521D"/>
    <w:rsid w:val="00745266"/>
    <w:rsid w:val="00746C42"/>
    <w:rsid w:val="00746FFF"/>
    <w:rsid w:val="00752A1F"/>
    <w:rsid w:val="00752AC8"/>
    <w:rsid w:val="007539AD"/>
    <w:rsid w:val="0075464F"/>
    <w:rsid w:val="00757948"/>
    <w:rsid w:val="00761885"/>
    <w:rsid w:val="0076228D"/>
    <w:rsid w:val="00763716"/>
    <w:rsid w:val="007638DF"/>
    <w:rsid w:val="00763E93"/>
    <w:rsid w:val="00766ADB"/>
    <w:rsid w:val="00767531"/>
    <w:rsid w:val="00770BAA"/>
    <w:rsid w:val="00773DE4"/>
    <w:rsid w:val="0077414E"/>
    <w:rsid w:val="00776EF7"/>
    <w:rsid w:val="00777F1D"/>
    <w:rsid w:val="00782066"/>
    <w:rsid w:val="007827DC"/>
    <w:rsid w:val="0078332B"/>
    <w:rsid w:val="007855D7"/>
    <w:rsid w:val="00786401"/>
    <w:rsid w:val="00791062"/>
    <w:rsid w:val="00791E56"/>
    <w:rsid w:val="007923C7"/>
    <w:rsid w:val="00792959"/>
    <w:rsid w:val="00796050"/>
    <w:rsid w:val="00797D3A"/>
    <w:rsid w:val="007A0AF4"/>
    <w:rsid w:val="007A101B"/>
    <w:rsid w:val="007A1894"/>
    <w:rsid w:val="007A2877"/>
    <w:rsid w:val="007A36A5"/>
    <w:rsid w:val="007B02CA"/>
    <w:rsid w:val="007B211F"/>
    <w:rsid w:val="007B363F"/>
    <w:rsid w:val="007B3CA0"/>
    <w:rsid w:val="007B4646"/>
    <w:rsid w:val="007B52E1"/>
    <w:rsid w:val="007B5C35"/>
    <w:rsid w:val="007C0A6A"/>
    <w:rsid w:val="007C4AC5"/>
    <w:rsid w:val="007D2FD4"/>
    <w:rsid w:val="007D4D55"/>
    <w:rsid w:val="007D51D4"/>
    <w:rsid w:val="007D73C8"/>
    <w:rsid w:val="007E09D6"/>
    <w:rsid w:val="007E1733"/>
    <w:rsid w:val="007E4685"/>
    <w:rsid w:val="007E7D7E"/>
    <w:rsid w:val="007F0A44"/>
    <w:rsid w:val="007F0E79"/>
    <w:rsid w:val="007F2EA6"/>
    <w:rsid w:val="007F6E91"/>
    <w:rsid w:val="00804135"/>
    <w:rsid w:val="00804E68"/>
    <w:rsid w:val="00806021"/>
    <w:rsid w:val="00806E10"/>
    <w:rsid w:val="00806F5A"/>
    <w:rsid w:val="008121EB"/>
    <w:rsid w:val="00813A00"/>
    <w:rsid w:val="00820169"/>
    <w:rsid w:val="00820237"/>
    <w:rsid w:val="00827302"/>
    <w:rsid w:val="008306EF"/>
    <w:rsid w:val="00832834"/>
    <w:rsid w:val="00833029"/>
    <w:rsid w:val="008331DE"/>
    <w:rsid w:val="0083378C"/>
    <w:rsid w:val="00833CF2"/>
    <w:rsid w:val="008363E2"/>
    <w:rsid w:val="00837E84"/>
    <w:rsid w:val="00840646"/>
    <w:rsid w:val="00841E4E"/>
    <w:rsid w:val="00842463"/>
    <w:rsid w:val="008441D4"/>
    <w:rsid w:val="00857869"/>
    <w:rsid w:val="0086057E"/>
    <w:rsid w:val="00860D55"/>
    <w:rsid w:val="008624BB"/>
    <w:rsid w:val="0086598B"/>
    <w:rsid w:val="008703AF"/>
    <w:rsid w:val="00872276"/>
    <w:rsid w:val="00872ACD"/>
    <w:rsid w:val="008735DC"/>
    <w:rsid w:val="00877BD0"/>
    <w:rsid w:val="008907CC"/>
    <w:rsid w:val="00891B7C"/>
    <w:rsid w:val="00896D5D"/>
    <w:rsid w:val="008A158A"/>
    <w:rsid w:val="008A1BDB"/>
    <w:rsid w:val="008B1A65"/>
    <w:rsid w:val="008B2429"/>
    <w:rsid w:val="008B37FC"/>
    <w:rsid w:val="008B45E8"/>
    <w:rsid w:val="008B49FE"/>
    <w:rsid w:val="008B4F6C"/>
    <w:rsid w:val="008B787B"/>
    <w:rsid w:val="008C0DD2"/>
    <w:rsid w:val="008C2DA4"/>
    <w:rsid w:val="008C4406"/>
    <w:rsid w:val="008D36CF"/>
    <w:rsid w:val="008D435C"/>
    <w:rsid w:val="008D51E9"/>
    <w:rsid w:val="008D59D8"/>
    <w:rsid w:val="008D6533"/>
    <w:rsid w:val="008D7713"/>
    <w:rsid w:val="008E0343"/>
    <w:rsid w:val="008E09CE"/>
    <w:rsid w:val="008E5E3E"/>
    <w:rsid w:val="008F0335"/>
    <w:rsid w:val="008F17C6"/>
    <w:rsid w:val="008F27A5"/>
    <w:rsid w:val="008F59FE"/>
    <w:rsid w:val="008F6319"/>
    <w:rsid w:val="008F7117"/>
    <w:rsid w:val="008F784F"/>
    <w:rsid w:val="009000DC"/>
    <w:rsid w:val="0090061F"/>
    <w:rsid w:val="00907130"/>
    <w:rsid w:val="00910B85"/>
    <w:rsid w:val="00910F9A"/>
    <w:rsid w:val="009115ED"/>
    <w:rsid w:val="009137A3"/>
    <w:rsid w:val="009144F9"/>
    <w:rsid w:val="00915E38"/>
    <w:rsid w:val="00917092"/>
    <w:rsid w:val="0092080B"/>
    <w:rsid w:val="009229E6"/>
    <w:rsid w:val="00925004"/>
    <w:rsid w:val="00926C65"/>
    <w:rsid w:val="00927A65"/>
    <w:rsid w:val="00930521"/>
    <w:rsid w:val="00933510"/>
    <w:rsid w:val="009369F9"/>
    <w:rsid w:val="00936D72"/>
    <w:rsid w:val="009418CE"/>
    <w:rsid w:val="00941B78"/>
    <w:rsid w:val="00945316"/>
    <w:rsid w:val="00945AC9"/>
    <w:rsid w:val="00945D52"/>
    <w:rsid w:val="009470E0"/>
    <w:rsid w:val="009506BE"/>
    <w:rsid w:val="00953BC4"/>
    <w:rsid w:val="00954291"/>
    <w:rsid w:val="0095571B"/>
    <w:rsid w:val="00963260"/>
    <w:rsid w:val="0096691F"/>
    <w:rsid w:val="009672C6"/>
    <w:rsid w:val="00967A5E"/>
    <w:rsid w:val="00972910"/>
    <w:rsid w:val="00973ACF"/>
    <w:rsid w:val="009746F6"/>
    <w:rsid w:val="00976C4B"/>
    <w:rsid w:val="00976EDB"/>
    <w:rsid w:val="00982926"/>
    <w:rsid w:val="0098452D"/>
    <w:rsid w:val="009847D6"/>
    <w:rsid w:val="009866BE"/>
    <w:rsid w:val="009920B1"/>
    <w:rsid w:val="00992543"/>
    <w:rsid w:val="00992873"/>
    <w:rsid w:val="0099294D"/>
    <w:rsid w:val="009945B8"/>
    <w:rsid w:val="0099527F"/>
    <w:rsid w:val="00995BC3"/>
    <w:rsid w:val="00996E4D"/>
    <w:rsid w:val="009A0B9B"/>
    <w:rsid w:val="009A12EE"/>
    <w:rsid w:val="009A1D5D"/>
    <w:rsid w:val="009A4092"/>
    <w:rsid w:val="009A4829"/>
    <w:rsid w:val="009A6053"/>
    <w:rsid w:val="009A71D9"/>
    <w:rsid w:val="009A7377"/>
    <w:rsid w:val="009A754A"/>
    <w:rsid w:val="009B1445"/>
    <w:rsid w:val="009B1A97"/>
    <w:rsid w:val="009B1DC5"/>
    <w:rsid w:val="009B5E97"/>
    <w:rsid w:val="009C30A9"/>
    <w:rsid w:val="009C35B8"/>
    <w:rsid w:val="009C4595"/>
    <w:rsid w:val="009C51CA"/>
    <w:rsid w:val="009C52C0"/>
    <w:rsid w:val="009D082D"/>
    <w:rsid w:val="009D3B2A"/>
    <w:rsid w:val="009D43A0"/>
    <w:rsid w:val="009D730F"/>
    <w:rsid w:val="009E0D5D"/>
    <w:rsid w:val="009E0FD2"/>
    <w:rsid w:val="009E1A5C"/>
    <w:rsid w:val="009E2784"/>
    <w:rsid w:val="009E7F17"/>
    <w:rsid w:val="009F2A01"/>
    <w:rsid w:val="009F374F"/>
    <w:rsid w:val="009F3C8A"/>
    <w:rsid w:val="009F3D70"/>
    <w:rsid w:val="009F7DA0"/>
    <w:rsid w:val="00A00ABA"/>
    <w:rsid w:val="00A01D7B"/>
    <w:rsid w:val="00A025C5"/>
    <w:rsid w:val="00A02F52"/>
    <w:rsid w:val="00A03927"/>
    <w:rsid w:val="00A05471"/>
    <w:rsid w:val="00A0772E"/>
    <w:rsid w:val="00A12922"/>
    <w:rsid w:val="00A156A0"/>
    <w:rsid w:val="00A15721"/>
    <w:rsid w:val="00A20B36"/>
    <w:rsid w:val="00A20FDF"/>
    <w:rsid w:val="00A2232C"/>
    <w:rsid w:val="00A2252B"/>
    <w:rsid w:val="00A266FD"/>
    <w:rsid w:val="00A30CDD"/>
    <w:rsid w:val="00A31053"/>
    <w:rsid w:val="00A3349B"/>
    <w:rsid w:val="00A36AF1"/>
    <w:rsid w:val="00A36E56"/>
    <w:rsid w:val="00A37061"/>
    <w:rsid w:val="00A37E3A"/>
    <w:rsid w:val="00A427A9"/>
    <w:rsid w:val="00A42C22"/>
    <w:rsid w:val="00A5227A"/>
    <w:rsid w:val="00A53FC3"/>
    <w:rsid w:val="00A57854"/>
    <w:rsid w:val="00A6001C"/>
    <w:rsid w:val="00A60197"/>
    <w:rsid w:val="00A614FA"/>
    <w:rsid w:val="00A640AF"/>
    <w:rsid w:val="00A64D1A"/>
    <w:rsid w:val="00A65B82"/>
    <w:rsid w:val="00A6698C"/>
    <w:rsid w:val="00A72B96"/>
    <w:rsid w:val="00A7342D"/>
    <w:rsid w:val="00A77632"/>
    <w:rsid w:val="00A81BC0"/>
    <w:rsid w:val="00A834EA"/>
    <w:rsid w:val="00A83752"/>
    <w:rsid w:val="00A851E7"/>
    <w:rsid w:val="00A86ED5"/>
    <w:rsid w:val="00A86F5F"/>
    <w:rsid w:val="00A93941"/>
    <w:rsid w:val="00A94830"/>
    <w:rsid w:val="00A9513E"/>
    <w:rsid w:val="00A965CA"/>
    <w:rsid w:val="00A96BFD"/>
    <w:rsid w:val="00A97DA0"/>
    <w:rsid w:val="00AA09D0"/>
    <w:rsid w:val="00AA1A6F"/>
    <w:rsid w:val="00AB046A"/>
    <w:rsid w:val="00AB2141"/>
    <w:rsid w:val="00AB38A6"/>
    <w:rsid w:val="00AB4440"/>
    <w:rsid w:val="00AC05EB"/>
    <w:rsid w:val="00AC7622"/>
    <w:rsid w:val="00AD1D2C"/>
    <w:rsid w:val="00AD35FD"/>
    <w:rsid w:val="00AD5546"/>
    <w:rsid w:val="00AD60C7"/>
    <w:rsid w:val="00AD73D6"/>
    <w:rsid w:val="00AE0EE6"/>
    <w:rsid w:val="00AE2447"/>
    <w:rsid w:val="00AE3FAE"/>
    <w:rsid w:val="00AE5615"/>
    <w:rsid w:val="00AE64C8"/>
    <w:rsid w:val="00AE66DA"/>
    <w:rsid w:val="00AE69F5"/>
    <w:rsid w:val="00AF4CB0"/>
    <w:rsid w:val="00AF58FF"/>
    <w:rsid w:val="00AF5A6D"/>
    <w:rsid w:val="00AF7118"/>
    <w:rsid w:val="00AF7C51"/>
    <w:rsid w:val="00B011F9"/>
    <w:rsid w:val="00B016EF"/>
    <w:rsid w:val="00B03486"/>
    <w:rsid w:val="00B04F5A"/>
    <w:rsid w:val="00B0504A"/>
    <w:rsid w:val="00B05227"/>
    <w:rsid w:val="00B06321"/>
    <w:rsid w:val="00B069ED"/>
    <w:rsid w:val="00B06B39"/>
    <w:rsid w:val="00B07994"/>
    <w:rsid w:val="00B07DED"/>
    <w:rsid w:val="00B12DE3"/>
    <w:rsid w:val="00B14030"/>
    <w:rsid w:val="00B143AA"/>
    <w:rsid w:val="00B14A2F"/>
    <w:rsid w:val="00B150FF"/>
    <w:rsid w:val="00B16C9F"/>
    <w:rsid w:val="00B26149"/>
    <w:rsid w:val="00B27DCE"/>
    <w:rsid w:val="00B328E5"/>
    <w:rsid w:val="00B32E00"/>
    <w:rsid w:val="00B35C78"/>
    <w:rsid w:val="00B378F7"/>
    <w:rsid w:val="00B40599"/>
    <w:rsid w:val="00B4098C"/>
    <w:rsid w:val="00B4438A"/>
    <w:rsid w:val="00B45A2A"/>
    <w:rsid w:val="00B4630A"/>
    <w:rsid w:val="00B46AD1"/>
    <w:rsid w:val="00B56C5B"/>
    <w:rsid w:val="00B65254"/>
    <w:rsid w:val="00B67688"/>
    <w:rsid w:val="00B725E1"/>
    <w:rsid w:val="00B72D74"/>
    <w:rsid w:val="00B740F9"/>
    <w:rsid w:val="00B755CC"/>
    <w:rsid w:val="00B76372"/>
    <w:rsid w:val="00B803B2"/>
    <w:rsid w:val="00B82380"/>
    <w:rsid w:val="00B82BA2"/>
    <w:rsid w:val="00B82BAF"/>
    <w:rsid w:val="00B8374A"/>
    <w:rsid w:val="00B840DE"/>
    <w:rsid w:val="00B85663"/>
    <w:rsid w:val="00B86583"/>
    <w:rsid w:val="00B92EE3"/>
    <w:rsid w:val="00B94146"/>
    <w:rsid w:val="00B950C7"/>
    <w:rsid w:val="00B97DBD"/>
    <w:rsid w:val="00BA0968"/>
    <w:rsid w:val="00BA1B7C"/>
    <w:rsid w:val="00BA1C22"/>
    <w:rsid w:val="00BA3E1B"/>
    <w:rsid w:val="00BA4140"/>
    <w:rsid w:val="00BB2B04"/>
    <w:rsid w:val="00BB4CB2"/>
    <w:rsid w:val="00BB5812"/>
    <w:rsid w:val="00BB6777"/>
    <w:rsid w:val="00BC059F"/>
    <w:rsid w:val="00BC3C77"/>
    <w:rsid w:val="00BC50FE"/>
    <w:rsid w:val="00BC601C"/>
    <w:rsid w:val="00BD0083"/>
    <w:rsid w:val="00BD00F2"/>
    <w:rsid w:val="00BD1734"/>
    <w:rsid w:val="00BD28AD"/>
    <w:rsid w:val="00BD37BF"/>
    <w:rsid w:val="00BD4FAC"/>
    <w:rsid w:val="00BD5480"/>
    <w:rsid w:val="00BD591B"/>
    <w:rsid w:val="00BD59E6"/>
    <w:rsid w:val="00BD5F53"/>
    <w:rsid w:val="00BD6282"/>
    <w:rsid w:val="00BD7625"/>
    <w:rsid w:val="00BE048C"/>
    <w:rsid w:val="00BE1293"/>
    <w:rsid w:val="00BE19A1"/>
    <w:rsid w:val="00BE1B86"/>
    <w:rsid w:val="00BE3B83"/>
    <w:rsid w:val="00BE5033"/>
    <w:rsid w:val="00BE5C1F"/>
    <w:rsid w:val="00BE7C53"/>
    <w:rsid w:val="00BF14AB"/>
    <w:rsid w:val="00BF4BE5"/>
    <w:rsid w:val="00BF798F"/>
    <w:rsid w:val="00C01DBD"/>
    <w:rsid w:val="00C02C4A"/>
    <w:rsid w:val="00C05C97"/>
    <w:rsid w:val="00C06245"/>
    <w:rsid w:val="00C10890"/>
    <w:rsid w:val="00C10CAE"/>
    <w:rsid w:val="00C151AD"/>
    <w:rsid w:val="00C160A7"/>
    <w:rsid w:val="00C21994"/>
    <w:rsid w:val="00C36EC0"/>
    <w:rsid w:val="00C37342"/>
    <w:rsid w:val="00C43E4F"/>
    <w:rsid w:val="00C446A1"/>
    <w:rsid w:val="00C45229"/>
    <w:rsid w:val="00C46D79"/>
    <w:rsid w:val="00C506BD"/>
    <w:rsid w:val="00C50DD7"/>
    <w:rsid w:val="00C52089"/>
    <w:rsid w:val="00C53BC0"/>
    <w:rsid w:val="00C53CAA"/>
    <w:rsid w:val="00C550B9"/>
    <w:rsid w:val="00C56CBF"/>
    <w:rsid w:val="00C57103"/>
    <w:rsid w:val="00C63827"/>
    <w:rsid w:val="00C65AA1"/>
    <w:rsid w:val="00C670E7"/>
    <w:rsid w:val="00C6755E"/>
    <w:rsid w:val="00C70FC5"/>
    <w:rsid w:val="00C83977"/>
    <w:rsid w:val="00C84437"/>
    <w:rsid w:val="00C85178"/>
    <w:rsid w:val="00C909A6"/>
    <w:rsid w:val="00C957A2"/>
    <w:rsid w:val="00C9594A"/>
    <w:rsid w:val="00CA13FD"/>
    <w:rsid w:val="00CA26AA"/>
    <w:rsid w:val="00CA3D97"/>
    <w:rsid w:val="00CA7306"/>
    <w:rsid w:val="00CA7FFA"/>
    <w:rsid w:val="00CB02A7"/>
    <w:rsid w:val="00CB10CB"/>
    <w:rsid w:val="00CB2323"/>
    <w:rsid w:val="00CB2E45"/>
    <w:rsid w:val="00CB7043"/>
    <w:rsid w:val="00CC016C"/>
    <w:rsid w:val="00CC0848"/>
    <w:rsid w:val="00CC4922"/>
    <w:rsid w:val="00CC5907"/>
    <w:rsid w:val="00CC6B31"/>
    <w:rsid w:val="00CD1D75"/>
    <w:rsid w:val="00CD43F1"/>
    <w:rsid w:val="00CD4FED"/>
    <w:rsid w:val="00CE01A7"/>
    <w:rsid w:val="00CE0318"/>
    <w:rsid w:val="00CE3583"/>
    <w:rsid w:val="00CE4C11"/>
    <w:rsid w:val="00CE503B"/>
    <w:rsid w:val="00CE6EA1"/>
    <w:rsid w:val="00CE7514"/>
    <w:rsid w:val="00D014DB"/>
    <w:rsid w:val="00D016BD"/>
    <w:rsid w:val="00D01796"/>
    <w:rsid w:val="00D036D1"/>
    <w:rsid w:val="00D0763E"/>
    <w:rsid w:val="00D1201D"/>
    <w:rsid w:val="00D15AEE"/>
    <w:rsid w:val="00D164D3"/>
    <w:rsid w:val="00D20390"/>
    <w:rsid w:val="00D20EE3"/>
    <w:rsid w:val="00D252E5"/>
    <w:rsid w:val="00D253F0"/>
    <w:rsid w:val="00D256E5"/>
    <w:rsid w:val="00D25A2D"/>
    <w:rsid w:val="00D27A5D"/>
    <w:rsid w:val="00D31769"/>
    <w:rsid w:val="00D33C80"/>
    <w:rsid w:val="00D33F9D"/>
    <w:rsid w:val="00D34375"/>
    <w:rsid w:val="00D37844"/>
    <w:rsid w:val="00D41A54"/>
    <w:rsid w:val="00D41EE1"/>
    <w:rsid w:val="00D4227C"/>
    <w:rsid w:val="00D422FE"/>
    <w:rsid w:val="00D43543"/>
    <w:rsid w:val="00D43AB1"/>
    <w:rsid w:val="00D50FA2"/>
    <w:rsid w:val="00D526F0"/>
    <w:rsid w:val="00D544D8"/>
    <w:rsid w:val="00D602D4"/>
    <w:rsid w:val="00D61CAC"/>
    <w:rsid w:val="00D61DBD"/>
    <w:rsid w:val="00D6344B"/>
    <w:rsid w:val="00D71CB8"/>
    <w:rsid w:val="00D71EBE"/>
    <w:rsid w:val="00D73D11"/>
    <w:rsid w:val="00D77969"/>
    <w:rsid w:val="00D8023F"/>
    <w:rsid w:val="00D808F1"/>
    <w:rsid w:val="00D867C9"/>
    <w:rsid w:val="00D86F12"/>
    <w:rsid w:val="00D90102"/>
    <w:rsid w:val="00D96779"/>
    <w:rsid w:val="00DA220A"/>
    <w:rsid w:val="00DA44B2"/>
    <w:rsid w:val="00DA4A8B"/>
    <w:rsid w:val="00DB1DA0"/>
    <w:rsid w:val="00DB4647"/>
    <w:rsid w:val="00DB4ACA"/>
    <w:rsid w:val="00DB5FF7"/>
    <w:rsid w:val="00DB632D"/>
    <w:rsid w:val="00DC0859"/>
    <w:rsid w:val="00DC5E0F"/>
    <w:rsid w:val="00DC5F9A"/>
    <w:rsid w:val="00DC61CA"/>
    <w:rsid w:val="00DD161A"/>
    <w:rsid w:val="00DD1C65"/>
    <w:rsid w:val="00DD22D5"/>
    <w:rsid w:val="00DD52BD"/>
    <w:rsid w:val="00DD62B9"/>
    <w:rsid w:val="00DD6AF5"/>
    <w:rsid w:val="00DD762E"/>
    <w:rsid w:val="00DE22A3"/>
    <w:rsid w:val="00DE3F24"/>
    <w:rsid w:val="00DE5A25"/>
    <w:rsid w:val="00DF0BC2"/>
    <w:rsid w:val="00DF118E"/>
    <w:rsid w:val="00DF474B"/>
    <w:rsid w:val="00DF491C"/>
    <w:rsid w:val="00E04C70"/>
    <w:rsid w:val="00E112FF"/>
    <w:rsid w:val="00E1149E"/>
    <w:rsid w:val="00E13314"/>
    <w:rsid w:val="00E20A16"/>
    <w:rsid w:val="00E27ACC"/>
    <w:rsid w:val="00E31760"/>
    <w:rsid w:val="00E31D06"/>
    <w:rsid w:val="00E3261D"/>
    <w:rsid w:val="00E36175"/>
    <w:rsid w:val="00E41A11"/>
    <w:rsid w:val="00E41B21"/>
    <w:rsid w:val="00E43812"/>
    <w:rsid w:val="00E43C93"/>
    <w:rsid w:val="00E44B2C"/>
    <w:rsid w:val="00E4777B"/>
    <w:rsid w:val="00E51525"/>
    <w:rsid w:val="00E53085"/>
    <w:rsid w:val="00E54C80"/>
    <w:rsid w:val="00E57744"/>
    <w:rsid w:val="00E628BB"/>
    <w:rsid w:val="00E632DF"/>
    <w:rsid w:val="00E636B5"/>
    <w:rsid w:val="00E64BCF"/>
    <w:rsid w:val="00E67DF7"/>
    <w:rsid w:val="00E7510C"/>
    <w:rsid w:val="00E76FBD"/>
    <w:rsid w:val="00E82E24"/>
    <w:rsid w:val="00E8533B"/>
    <w:rsid w:val="00E85ABD"/>
    <w:rsid w:val="00E92DF3"/>
    <w:rsid w:val="00E9464C"/>
    <w:rsid w:val="00E96CE7"/>
    <w:rsid w:val="00E97001"/>
    <w:rsid w:val="00EA012F"/>
    <w:rsid w:val="00EA26AE"/>
    <w:rsid w:val="00EA31CD"/>
    <w:rsid w:val="00EB096D"/>
    <w:rsid w:val="00EB45A3"/>
    <w:rsid w:val="00EB57A1"/>
    <w:rsid w:val="00EB73F9"/>
    <w:rsid w:val="00EC121E"/>
    <w:rsid w:val="00EC15D2"/>
    <w:rsid w:val="00EC1D15"/>
    <w:rsid w:val="00ED0017"/>
    <w:rsid w:val="00ED079C"/>
    <w:rsid w:val="00ED1562"/>
    <w:rsid w:val="00ED1C09"/>
    <w:rsid w:val="00ED2EA3"/>
    <w:rsid w:val="00ED3F80"/>
    <w:rsid w:val="00ED757B"/>
    <w:rsid w:val="00ED7FEF"/>
    <w:rsid w:val="00EE0284"/>
    <w:rsid w:val="00EE06BE"/>
    <w:rsid w:val="00EE06E0"/>
    <w:rsid w:val="00EE3EFC"/>
    <w:rsid w:val="00EF3A2A"/>
    <w:rsid w:val="00EF3A90"/>
    <w:rsid w:val="00EF48B4"/>
    <w:rsid w:val="00EF54EB"/>
    <w:rsid w:val="00EF584C"/>
    <w:rsid w:val="00F034DC"/>
    <w:rsid w:val="00F0457A"/>
    <w:rsid w:val="00F10015"/>
    <w:rsid w:val="00F1228E"/>
    <w:rsid w:val="00F20D83"/>
    <w:rsid w:val="00F20E58"/>
    <w:rsid w:val="00F22495"/>
    <w:rsid w:val="00F23404"/>
    <w:rsid w:val="00F240D4"/>
    <w:rsid w:val="00F2503B"/>
    <w:rsid w:val="00F27FFD"/>
    <w:rsid w:val="00F32DE7"/>
    <w:rsid w:val="00F34FCD"/>
    <w:rsid w:val="00F37E98"/>
    <w:rsid w:val="00F40FC6"/>
    <w:rsid w:val="00F435E3"/>
    <w:rsid w:val="00F43E3B"/>
    <w:rsid w:val="00F443AE"/>
    <w:rsid w:val="00F47C4A"/>
    <w:rsid w:val="00F50A4D"/>
    <w:rsid w:val="00F53325"/>
    <w:rsid w:val="00F539CE"/>
    <w:rsid w:val="00F54B64"/>
    <w:rsid w:val="00F5691F"/>
    <w:rsid w:val="00F56BFD"/>
    <w:rsid w:val="00F5712C"/>
    <w:rsid w:val="00F60FED"/>
    <w:rsid w:val="00F64C51"/>
    <w:rsid w:val="00F738E9"/>
    <w:rsid w:val="00F7674E"/>
    <w:rsid w:val="00F769D2"/>
    <w:rsid w:val="00F77FD2"/>
    <w:rsid w:val="00F81EDD"/>
    <w:rsid w:val="00F82572"/>
    <w:rsid w:val="00F82D5B"/>
    <w:rsid w:val="00F84368"/>
    <w:rsid w:val="00F86B15"/>
    <w:rsid w:val="00F8718A"/>
    <w:rsid w:val="00F91FB2"/>
    <w:rsid w:val="00F9286A"/>
    <w:rsid w:val="00F94D9F"/>
    <w:rsid w:val="00F96230"/>
    <w:rsid w:val="00F97757"/>
    <w:rsid w:val="00FA0A8D"/>
    <w:rsid w:val="00FA2AA9"/>
    <w:rsid w:val="00FA3E3A"/>
    <w:rsid w:val="00FA61F5"/>
    <w:rsid w:val="00FA69B4"/>
    <w:rsid w:val="00FB2089"/>
    <w:rsid w:val="00FB50E1"/>
    <w:rsid w:val="00FB5C1E"/>
    <w:rsid w:val="00FB6C3B"/>
    <w:rsid w:val="00FC1AF7"/>
    <w:rsid w:val="00FC283A"/>
    <w:rsid w:val="00FC7E92"/>
    <w:rsid w:val="00FD21EC"/>
    <w:rsid w:val="00FD5DDC"/>
    <w:rsid w:val="00FD66CA"/>
    <w:rsid w:val="00FE2A4E"/>
    <w:rsid w:val="00FE4C66"/>
    <w:rsid w:val="00FE5CE4"/>
    <w:rsid w:val="00FE686A"/>
    <w:rsid w:val="00FF36C4"/>
    <w:rsid w:val="00FF3F5D"/>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935F9"/>
  <w15:chartTrackingRefBased/>
  <w15:docId w15:val="{BCE71A4B-494C-7E43-B5EA-22400805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DA"/>
    <w:rPr>
      <w:rFonts w:ascii="Times New Roman" w:eastAsia="Times New Roman" w:hAnsi="Times New Roman" w:cs="Times New Roman"/>
    </w:rPr>
  </w:style>
  <w:style w:type="paragraph" w:styleId="Heading1">
    <w:name w:val="heading 1"/>
    <w:basedOn w:val="Normal"/>
    <w:next w:val="Normal"/>
    <w:link w:val="Heading1Char"/>
    <w:qFormat/>
    <w:rsid w:val="00B65254"/>
    <w:pPr>
      <w:keepNext/>
      <w:tabs>
        <w:tab w:val="center" w:pos="5400"/>
      </w:tabs>
      <w:suppressAutoHyphens/>
      <w:jc w:val="center"/>
      <w:outlineLvl w:val="0"/>
    </w:pPr>
    <w:rPr>
      <w:b/>
      <w:spacing w:val="-3"/>
      <w:sz w:val="25"/>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4DFD"/>
    <w:rPr>
      <w:sz w:val="20"/>
      <w:szCs w:val="20"/>
    </w:rPr>
  </w:style>
  <w:style w:type="character" w:customStyle="1" w:styleId="FootnoteTextChar">
    <w:name w:val="Footnote Text Char"/>
    <w:basedOn w:val="DefaultParagraphFont"/>
    <w:link w:val="FootnoteText"/>
    <w:uiPriority w:val="99"/>
    <w:rsid w:val="001B4DFD"/>
    <w:rPr>
      <w:sz w:val="20"/>
      <w:szCs w:val="20"/>
    </w:rPr>
  </w:style>
  <w:style w:type="character" w:styleId="FootnoteReference">
    <w:name w:val="footnote reference"/>
    <w:basedOn w:val="DefaultParagraphFont"/>
    <w:uiPriority w:val="99"/>
    <w:unhideWhenUsed/>
    <w:rsid w:val="001B4DFD"/>
    <w:rPr>
      <w:vertAlign w:val="superscript"/>
    </w:rPr>
  </w:style>
  <w:style w:type="character" w:styleId="Hyperlink">
    <w:name w:val="Hyperlink"/>
    <w:basedOn w:val="DefaultParagraphFont"/>
    <w:uiPriority w:val="99"/>
    <w:unhideWhenUsed/>
    <w:rsid w:val="00511AC0"/>
    <w:rPr>
      <w:color w:val="0563C1" w:themeColor="hyperlink"/>
      <w:u w:val="single"/>
    </w:rPr>
  </w:style>
  <w:style w:type="character" w:styleId="UnresolvedMention">
    <w:name w:val="Unresolved Mention"/>
    <w:basedOn w:val="DefaultParagraphFont"/>
    <w:uiPriority w:val="99"/>
    <w:semiHidden/>
    <w:unhideWhenUsed/>
    <w:rsid w:val="00511AC0"/>
    <w:rPr>
      <w:color w:val="605E5C"/>
      <w:shd w:val="clear" w:color="auto" w:fill="E1DFDD"/>
    </w:rPr>
  </w:style>
  <w:style w:type="character" w:styleId="Emphasis">
    <w:name w:val="Emphasis"/>
    <w:basedOn w:val="DefaultParagraphFont"/>
    <w:uiPriority w:val="20"/>
    <w:qFormat/>
    <w:rsid w:val="004E4890"/>
    <w:rPr>
      <w:i/>
      <w:iCs/>
    </w:rPr>
  </w:style>
  <w:style w:type="paragraph" w:styleId="ListParagraph">
    <w:name w:val="List Paragraph"/>
    <w:basedOn w:val="Normal"/>
    <w:uiPriority w:val="34"/>
    <w:qFormat/>
    <w:rsid w:val="00B06321"/>
    <w:pPr>
      <w:ind w:left="720"/>
      <w:contextualSpacing/>
    </w:pPr>
  </w:style>
  <w:style w:type="paragraph" w:styleId="Footer">
    <w:name w:val="footer"/>
    <w:basedOn w:val="Normal"/>
    <w:link w:val="FooterChar"/>
    <w:uiPriority w:val="99"/>
    <w:unhideWhenUsed/>
    <w:rsid w:val="00FB6C3B"/>
    <w:pPr>
      <w:tabs>
        <w:tab w:val="center" w:pos="4680"/>
        <w:tab w:val="right" w:pos="9360"/>
      </w:tabs>
    </w:pPr>
  </w:style>
  <w:style w:type="character" w:customStyle="1" w:styleId="FooterChar">
    <w:name w:val="Footer Char"/>
    <w:basedOn w:val="DefaultParagraphFont"/>
    <w:link w:val="Footer"/>
    <w:uiPriority w:val="99"/>
    <w:rsid w:val="00FB6C3B"/>
    <w:rPr>
      <w:sz w:val="22"/>
      <w:szCs w:val="22"/>
    </w:rPr>
  </w:style>
  <w:style w:type="character" w:styleId="PageNumber">
    <w:name w:val="page number"/>
    <w:basedOn w:val="DefaultParagraphFont"/>
    <w:uiPriority w:val="99"/>
    <w:semiHidden/>
    <w:unhideWhenUsed/>
    <w:rsid w:val="00FB6C3B"/>
  </w:style>
  <w:style w:type="character" w:customStyle="1" w:styleId="apple-converted-space">
    <w:name w:val="apple-converted-space"/>
    <w:basedOn w:val="DefaultParagraphFont"/>
    <w:rsid w:val="00E04C70"/>
  </w:style>
  <w:style w:type="paragraph" w:styleId="Revision">
    <w:name w:val="Revision"/>
    <w:hidden/>
    <w:uiPriority w:val="99"/>
    <w:semiHidden/>
    <w:rsid w:val="00B4630A"/>
    <w:rPr>
      <w:sz w:val="22"/>
      <w:szCs w:val="22"/>
    </w:rPr>
  </w:style>
  <w:style w:type="paragraph" w:customStyle="1" w:styleId="Default">
    <w:name w:val="Default"/>
    <w:rsid w:val="00FC7E92"/>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E43812"/>
  </w:style>
  <w:style w:type="paragraph" w:customStyle="1" w:styleId="has-text-align-center">
    <w:name w:val="has-text-align-center"/>
    <w:basedOn w:val="Normal"/>
    <w:rsid w:val="003F1E10"/>
    <w:pPr>
      <w:spacing w:before="100" w:beforeAutospacing="1" w:after="100" w:afterAutospacing="1"/>
    </w:pPr>
  </w:style>
  <w:style w:type="character" w:customStyle="1" w:styleId="coconcept4349">
    <w:name w:val="co_concept_43_49"/>
    <w:basedOn w:val="DefaultParagraphFont"/>
    <w:rsid w:val="00391775"/>
  </w:style>
  <w:style w:type="character" w:customStyle="1" w:styleId="coconcept5158">
    <w:name w:val="co_concept_51_58"/>
    <w:basedOn w:val="DefaultParagraphFont"/>
    <w:rsid w:val="00391775"/>
  </w:style>
  <w:style w:type="character" w:customStyle="1" w:styleId="coconcept4650">
    <w:name w:val="co_concept_46_50"/>
    <w:basedOn w:val="DefaultParagraphFont"/>
    <w:rsid w:val="00D867C9"/>
  </w:style>
  <w:style w:type="character" w:customStyle="1" w:styleId="coconcept5257">
    <w:name w:val="co_concept_52_57"/>
    <w:basedOn w:val="DefaultParagraphFont"/>
    <w:rsid w:val="00D867C9"/>
  </w:style>
  <w:style w:type="paragraph" w:styleId="NoSpacing">
    <w:name w:val="No Spacing"/>
    <w:link w:val="NoSpacingChar"/>
    <w:uiPriority w:val="1"/>
    <w:qFormat/>
    <w:rsid w:val="00CC016C"/>
    <w:rPr>
      <w:rFonts w:ascii="Times New Roman" w:eastAsia="Times New Roman" w:hAnsi="Times New Roman" w:cs="Times New Roman"/>
    </w:rPr>
  </w:style>
  <w:style w:type="character" w:styleId="Strong">
    <w:name w:val="Strong"/>
    <w:basedOn w:val="DefaultParagraphFont"/>
    <w:uiPriority w:val="22"/>
    <w:qFormat/>
    <w:rsid w:val="00007335"/>
    <w:rPr>
      <w:b/>
      <w:bCs/>
    </w:rPr>
  </w:style>
  <w:style w:type="paragraph" w:customStyle="1" w:styleId="casepara">
    <w:name w:val="casepara"/>
    <w:basedOn w:val="Normal"/>
    <w:rsid w:val="00041F82"/>
    <w:pPr>
      <w:spacing w:before="100" w:beforeAutospacing="1" w:after="100" w:afterAutospacing="1"/>
    </w:pPr>
  </w:style>
  <w:style w:type="character" w:customStyle="1" w:styleId="coconcept2838">
    <w:name w:val="co_concept_28_38"/>
    <w:basedOn w:val="DefaultParagraphFont"/>
    <w:rsid w:val="005C7E7E"/>
  </w:style>
  <w:style w:type="character" w:customStyle="1" w:styleId="coconcept14">
    <w:name w:val="co_concept_1_4"/>
    <w:basedOn w:val="DefaultParagraphFont"/>
    <w:rsid w:val="003434F4"/>
  </w:style>
  <w:style w:type="character" w:customStyle="1" w:styleId="coconcept715">
    <w:name w:val="co_concept_7_15"/>
    <w:basedOn w:val="DefaultParagraphFont"/>
    <w:rsid w:val="003434F4"/>
  </w:style>
  <w:style w:type="character" w:customStyle="1" w:styleId="coconcept1719">
    <w:name w:val="co_concept_17_19"/>
    <w:basedOn w:val="DefaultParagraphFont"/>
    <w:rsid w:val="003434F4"/>
  </w:style>
  <w:style w:type="character" w:customStyle="1" w:styleId="coconcept718">
    <w:name w:val="co_concept_7_18"/>
    <w:basedOn w:val="DefaultParagraphFont"/>
    <w:rsid w:val="00606599"/>
  </w:style>
  <w:style w:type="character" w:customStyle="1" w:styleId="coconcept1825">
    <w:name w:val="co_concept_18_25"/>
    <w:basedOn w:val="DefaultParagraphFont"/>
    <w:rsid w:val="004860C8"/>
  </w:style>
  <w:style w:type="character" w:customStyle="1" w:styleId="coconcept716">
    <w:name w:val="co_concept_7_16"/>
    <w:basedOn w:val="DefaultParagraphFont"/>
    <w:rsid w:val="004860C8"/>
  </w:style>
  <w:style w:type="character" w:customStyle="1" w:styleId="Heading1Char">
    <w:name w:val="Heading 1 Char"/>
    <w:basedOn w:val="DefaultParagraphFont"/>
    <w:link w:val="Heading1"/>
    <w:rsid w:val="00B65254"/>
    <w:rPr>
      <w:rFonts w:ascii="Times New Roman" w:eastAsia="Times New Roman" w:hAnsi="Times New Roman" w:cs="Times New Roman"/>
      <w:b/>
      <w:spacing w:val="-3"/>
      <w:sz w:val="25"/>
      <w:szCs w:val="20"/>
      <w:u w:val="single"/>
    </w:rPr>
  </w:style>
  <w:style w:type="paragraph" w:styleId="Header">
    <w:name w:val="header"/>
    <w:basedOn w:val="Normal"/>
    <w:link w:val="HeaderChar"/>
    <w:uiPriority w:val="99"/>
    <w:unhideWhenUsed/>
    <w:rsid w:val="003D40C5"/>
    <w:pPr>
      <w:tabs>
        <w:tab w:val="center" w:pos="4680"/>
        <w:tab w:val="right" w:pos="9360"/>
      </w:tabs>
    </w:pPr>
  </w:style>
  <w:style w:type="character" w:customStyle="1" w:styleId="HeaderChar">
    <w:name w:val="Header Char"/>
    <w:basedOn w:val="DefaultParagraphFont"/>
    <w:link w:val="Header"/>
    <w:uiPriority w:val="99"/>
    <w:rsid w:val="003D40C5"/>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AB046A"/>
    <w:rPr>
      <w:rFonts w:ascii="Times New Roman" w:eastAsia="Times New Roman" w:hAnsi="Times New Roman" w:cs="Times New Roman"/>
    </w:rPr>
  </w:style>
  <w:style w:type="character" w:customStyle="1" w:styleId="coconcept914">
    <w:name w:val="co_concept_9_14"/>
    <w:basedOn w:val="DefaultParagraphFont"/>
    <w:rsid w:val="006B37DA"/>
  </w:style>
  <w:style w:type="character" w:customStyle="1" w:styleId="coconcept2124">
    <w:name w:val="co_concept_21_24"/>
    <w:basedOn w:val="DefaultParagraphFont"/>
    <w:rsid w:val="006B37DA"/>
  </w:style>
  <w:style w:type="character" w:customStyle="1" w:styleId="coconcept2629">
    <w:name w:val="co_concept_26_29"/>
    <w:basedOn w:val="DefaultParagraphFont"/>
    <w:rsid w:val="006B37DA"/>
  </w:style>
  <w:style w:type="character" w:customStyle="1" w:styleId="costarpage">
    <w:name w:val="co_starpage"/>
    <w:basedOn w:val="DefaultParagraphFont"/>
    <w:rsid w:val="0006163F"/>
  </w:style>
  <w:style w:type="character" w:customStyle="1" w:styleId="coconcept1723">
    <w:name w:val="co_concept_17_23"/>
    <w:basedOn w:val="DefaultParagraphFont"/>
    <w:rsid w:val="00BA4140"/>
  </w:style>
  <w:style w:type="character" w:customStyle="1" w:styleId="coconcept2527">
    <w:name w:val="co_concept_25_27"/>
    <w:basedOn w:val="DefaultParagraphFont"/>
    <w:rsid w:val="00BA4140"/>
  </w:style>
  <w:style w:type="character" w:styleId="CommentReference">
    <w:name w:val="annotation reference"/>
    <w:basedOn w:val="DefaultParagraphFont"/>
    <w:uiPriority w:val="99"/>
    <w:semiHidden/>
    <w:unhideWhenUsed/>
    <w:rsid w:val="00C02C4A"/>
    <w:rPr>
      <w:sz w:val="16"/>
      <w:szCs w:val="16"/>
    </w:rPr>
  </w:style>
  <w:style w:type="paragraph" w:styleId="CommentText">
    <w:name w:val="annotation text"/>
    <w:basedOn w:val="Normal"/>
    <w:link w:val="CommentTextChar"/>
    <w:uiPriority w:val="99"/>
    <w:unhideWhenUsed/>
    <w:rsid w:val="00C02C4A"/>
    <w:rPr>
      <w:sz w:val="20"/>
      <w:szCs w:val="20"/>
    </w:rPr>
  </w:style>
  <w:style w:type="character" w:customStyle="1" w:styleId="CommentTextChar">
    <w:name w:val="Comment Text Char"/>
    <w:basedOn w:val="DefaultParagraphFont"/>
    <w:link w:val="CommentText"/>
    <w:uiPriority w:val="99"/>
    <w:rsid w:val="00C02C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2C4A"/>
    <w:rPr>
      <w:b/>
      <w:bCs/>
    </w:rPr>
  </w:style>
  <w:style w:type="character" w:customStyle="1" w:styleId="CommentSubjectChar">
    <w:name w:val="Comment Subject Char"/>
    <w:basedOn w:val="CommentTextChar"/>
    <w:link w:val="CommentSubject"/>
    <w:uiPriority w:val="99"/>
    <w:semiHidden/>
    <w:rsid w:val="00C02C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03">
      <w:bodyDiv w:val="1"/>
      <w:marLeft w:val="0"/>
      <w:marRight w:val="0"/>
      <w:marTop w:val="0"/>
      <w:marBottom w:val="0"/>
      <w:divBdr>
        <w:top w:val="none" w:sz="0" w:space="0" w:color="auto"/>
        <w:left w:val="none" w:sz="0" w:space="0" w:color="auto"/>
        <w:bottom w:val="none" w:sz="0" w:space="0" w:color="auto"/>
        <w:right w:val="none" w:sz="0" w:space="0" w:color="auto"/>
      </w:divBdr>
      <w:divsChild>
        <w:div w:id="1718236448">
          <w:marLeft w:val="0"/>
          <w:marRight w:val="0"/>
          <w:marTop w:val="0"/>
          <w:marBottom w:val="0"/>
          <w:divBdr>
            <w:top w:val="none" w:sz="0" w:space="0" w:color="auto"/>
            <w:left w:val="none" w:sz="0" w:space="0" w:color="auto"/>
            <w:bottom w:val="none" w:sz="0" w:space="0" w:color="auto"/>
            <w:right w:val="none" w:sz="0" w:space="0" w:color="auto"/>
          </w:divBdr>
        </w:div>
        <w:div w:id="683558701">
          <w:marLeft w:val="0"/>
          <w:marRight w:val="0"/>
          <w:marTop w:val="0"/>
          <w:marBottom w:val="0"/>
          <w:divBdr>
            <w:top w:val="none" w:sz="0" w:space="0" w:color="auto"/>
            <w:left w:val="none" w:sz="0" w:space="0" w:color="auto"/>
            <w:bottom w:val="none" w:sz="0" w:space="0" w:color="auto"/>
            <w:right w:val="none" w:sz="0" w:space="0" w:color="auto"/>
          </w:divBdr>
        </w:div>
        <w:div w:id="917593438">
          <w:marLeft w:val="0"/>
          <w:marRight w:val="0"/>
          <w:marTop w:val="0"/>
          <w:marBottom w:val="0"/>
          <w:divBdr>
            <w:top w:val="none" w:sz="0" w:space="0" w:color="auto"/>
            <w:left w:val="none" w:sz="0" w:space="0" w:color="auto"/>
            <w:bottom w:val="none" w:sz="0" w:space="0" w:color="auto"/>
            <w:right w:val="none" w:sz="0" w:space="0" w:color="auto"/>
          </w:divBdr>
        </w:div>
      </w:divsChild>
    </w:div>
    <w:div w:id="17901116">
      <w:bodyDiv w:val="1"/>
      <w:marLeft w:val="0"/>
      <w:marRight w:val="0"/>
      <w:marTop w:val="0"/>
      <w:marBottom w:val="0"/>
      <w:divBdr>
        <w:top w:val="none" w:sz="0" w:space="0" w:color="auto"/>
        <w:left w:val="none" w:sz="0" w:space="0" w:color="auto"/>
        <w:bottom w:val="none" w:sz="0" w:space="0" w:color="auto"/>
        <w:right w:val="none" w:sz="0" w:space="0" w:color="auto"/>
      </w:divBdr>
      <w:divsChild>
        <w:div w:id="1507163778">
          <w:marLeft w:val="0"/>
          <w:marRight w:val="0"/>
          <w:marTop w:val="0"/>
          <w:marBottom w:val="0"/>
          <w:divBdr>
            <w:top w:val="none" w:sz="0" w:space="0" w:color="auto"/>
            <w:left w:val="none" w:sz="0" w:space="0" w:color="auto"/>
            <w:bottom w:val="none" w:sz="0" w:space="0" w:color="auto"/>
            <w:right w:val="none" w:sz="0" w:space="0" w:color="auto"/>
          </w:divBdr>
        </w:div>
        <w:div w:id="1819296793">
          <w:marLeft w:val="0"/>
          <w:marRight w:val="0"/>
          <w:marTop w:val="0"/>
          <w:marBottom w:val="0"/>
          <w:divBdr>
            <w:top w:val="none" w:sz="0" w:space="0" w:color="auto"/>
            <w:left w:val="none" w:sz="0" w:space="0" w:color="auto"/>
            <w:bottom w:val="none" w:sz="0" w:space="0" w:color="auto"/>
            <w:right w:val="none" w:sz="0" w:space="0" w:color="auto"/>
          </w:divBdr>
        </w:div>
      </w:divsChild>
    </w:div>
    <w:div w:id="118960285">
      <w:bodyDiv w:val="1"/>
      <w:marLeft w:val="0"/>
      <w:marRight w:val="0"/>
      <w:marTop w:val="0"/>
      <w:marBottom w:val="0"/>
      <w:divBdr>
        <w:top w:val="none" w:sz="0" w:space="0" w:color="auto"/>
        <w:left w:val="none" w:sz="0" w:space="0" w:color="auto"/>
        <w:bottom w:val="none" w:sz="0" w:space="0" w:color="auto"/>
        <w:right w:val="none" w:sz="0" w:space="0" w:color="auto"/>
      </w:divBdr>
    </w:div>
    <w:div w:id="341278029">
      <w:bodyDiv w:val="1"/>
      <w:marLeft w:val="0"/>
      <w:marRight w:val="0"/>
      <w:marTop w:val="0"/>
      <w:marBottom w:val="0"/>
      <w:divBdr>
        <w:top w:val="none" w:sz="0" w:space="0" w:color="auto"/>
        <w:left w:val="none" w:sz="0" w:space="0" w:color="auto"/>
        <w:bottom w:val="none" w:sz="0" w:space="0" w:color="auto"/>
        <w:right w:val="none" w:sz="0" w:space="0" w:color="auto"/>
      </w:divBdr>
      <w:divsChild>
        <w:div w:id="1227648011">
          <w:marLeft w:val="0"/>
          <w:marRight w:val="0"/>
          <w:marTop w:val="0"/>
          <w:marBottom w:val="0"/>
          <w:divBdr>
            <w:top w:val="none" w:sz="0" w:space="0" w:color="auto"/>
            <w:left w:val="none" w:sz="0" w:space="0" w:color="auto"/>
            <w:bottom w:val="none" w:sz="0" w:space="0" w:color="auto"/>
            <w:right w:val="none" w:sz="0" w:space="0" w:color="auto"/>
          </w:divBdr>
        </w:div>
      </w:divsChild>
    </w:div>
    <w:div w:id="373163749">
      <w:bodyDiv w:val="1"/>
      <w:marLeft w:val="0"/>
      <w:marRight w:val="0"/>
      <w:marTop w:val="0"/>
      <w:marBottom w:val="0"/>
      <w:divBdr>
        <w:top w:val="none" w:sz="0" w:space="0" w:color="auto"/>
        <w:left w:val="none" w:sz="0" w:space="0" w:color="auto"/>
        <w:bottom w:val="none" w:sz="0" w:space="0" w:color="auto"/>
        <w:right w:val="none" w:sz="0" w:space="0" w:color="auto"/>
      </w:divBdr>
      <w:divsChild>
        <w:div w:id="1284191513">
          <w:marLeft w:val="0"/>
          <w:marRight w:val="0"/>
          <w:marTop w:val="0"/>
          <w:marBottom w:val="0"/>
          <w:divBdr>
            <w:top w:val="none" w:sz="0" w:space="0" w:color="3D3D3D"/>
            <w:left w:val="none" w:sz="0" w:space="0" w:color="3D3D3D"/>
            <w:bottom w:val="none" w:sz="0" w:space="0" w:color="3D3D3D"/>
            <w:right w:val="none" w:sz="0" w:space="0" w:color="3D3D3D"/>
          </w:divBdr>
          <w:divsChild>
            <w:div w:id="3693806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231367">
      <w:bodyDiv w:val="1"/>
      <w:marLeft w:val="0"/>
      <w:marRight w:val="0"/>
      <w:marTop w:val="0"/>
      <w:marBottom w:val="0"/>
      <w:divBdr>
        <w:top w:val="none" w:sz="0" w:space="0" w:color="auto"/>
        <w:left w:val="none" w:sz="0" w:space="0" w:color="auto"/>
        <w:bottom w:val="none" w:sz="0" w:space="0" w:color="auto"/>
        <w:right w:val="none" w:sz="0" w:space="0" w:color="auto"/>
      </w:divBdr>
      <w:divsChild>
        <w:div w:id="139685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781437">
      <w:bodyDiv w:val="1"/>
      <w:marLeft w:val="0"/>
      <w:marRight w:val="0"/>
      <w:marTop w:val="0"/>
      <w:marBottom w:val="0"/>
      <w:divBdr>
        <w:top w:val="none" w:sz="0" w:space="0" w:color="auto"/>
        <w:left w:val="none" w:sz="0" w:space="0" w:color="auto"/>
        <w:bottom w:val="none" w:sz="0" w:space="0" w:color="auto"/>
        <w:right w:val="none" w:sz="0" w:space="0" w:color="auto"/>
      </w:divBdr>
    </w:div>
    <w:div w:id="1115176848">
      <w:bodyDiv w:val="1"/>
      <w:marLeft w:val="0"/>
      <w:marRight w:val="0"/>
      <w:marTop w:val="0"/>
      <w:marBottom w:val="0"/>
      <w:divBdr>
        <w:top w:val="none" w:sz="0" w:space="0" w:color="auto"/>
        <w:left w:val="none" w:sz="0" w:space="0" w:color="auto"/>
        <w:bottom w:val="none" w:sz="0" w:space="0" w:color="auto"/>
        <w:right w:val="none" w:sz="0" w:space="0" w:color="auto"/>
      </w:divBdr>
      <w:divsChild>
        <w:div w:id="2135244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867592">
      <w:bodyDiv w:val="1"/>
      <w:marLeft w:val="0"/>
      <w:marRight w:val="0"/>
      <w:marTop w:val="0"/>
      <w:marBottom w:val="0"/>
      <w:divBdr>
        <w:top w:val="none" w:sz="0" w:space="0" w:color="auto"/>
        <w:left w:val="none" w:sz="0" w:space="0" w:color="auto"/>
        <w:bottom w:val="none" w:sz="0" w:space="0" w:color="auto"/>
        <w:right w:val="none" w:sz="0" w:space="0" w:color="auto"/>
      </w:divBdr>
      <w:divsChild>
        <w:div w:id="1852716373">
          <w:marLeft w:val="0"/>
          <w:marRight w:val="0"/>
          <w:marTop w:val="0"/>
          <w:marBottom w:val="0"/>
          <w:divBdr>
            <w:top w:val="none" w:sz="0" w:space="0" w:color="auto"/>
            <w:left w:val="none" w:sz="0" w:space="0" w:color="auto"/>
            <w:bottom w:val="none" w:sz="0" w:space="0" w:color="auto"/>
            <w:right w:val="none" w:sz="0" w:space="0" w:color="auto"/>
          </w:divBdr>
        </w:div>
        <w:div w:id="534778863">
          <w:marLeft w:val="0"/>
          <w:marRight w:val="0"/>
          <w:marTop w:val="0"/>
          <w:marBottom w:val="0"/>
          <w:divBdr>
            <w:top w:val="none" w:sz="0" w:space="0" w:color="auto"/>
            <w:left w:val="none" w:sz="0" w:space="0" w:color="auto"/>
            <w:bottom w:val="none" w:sz="0" w:space="0" w:color="auto"/>
            <w:right w:val="none" w:sz="0" w:space="0" w:color="auto"/>
          </w:divBdr>
        </w:div>
        <w:div w:id="1165589401">
          <w:marLeft w:val="0"/>
          <w:marRight w:val="0"/>
          <w:marTop w:val="0"/>
          <w:marBottom w:val="0"/>
          <w:divBdr>
            <w:top w:val="none" w:sz="0" w:space="0" w:color="auto"/>
            <w:left w:val="none" w:sz="0" w:space="0" w:color="auto"/>
            <w:bottom w:val="none" w:sz="0" w:space="0" w:color="auto"/>
            <w:right w:val="none" w:sz="0" w:space="0" w:color="auto"/>
          </w:divBdr>
        </w:div>
      </w:divsChild>
    </w:div>
    <w:div w:id="1536238361">
      <w:bodyDiv w:val="1"/>
      <w:marLeft w:val="0"/>
      <w:marRight w:val="0"/>
      <w:marTop w:val="0"/>
      <w:marBottom w:val="0"/>
      <w:divBdr>
        <w:top w:val="none" w:sz="0" w:space="0" w:color="auto"/>
        <w:left w:val="none" w:sz="0" w:space="0" w:color="auto"/>
        <w:bottom w:val="none" w:sz="0" w:space="0" w:color="auto"/>
        <w:right w:val="none" w:sz="0" w:space="0" w:color="auto"/>
      </w:divBdr>
    </w:div>
    <w:div w:id="1616791448">
      <w:bodyDiv w:val="1"/>
      <w:marLeft w:val="0"/>
      <w:marRight w:val="0"/>
      <w:marTop w:val="0"/>
      <w:marBottom w:val="0"/>
      <w:divBdr>
        <w:top w:val="none" w:sz="0" w:space="0" w:color="auto"/>
        <w:left w:val="none" w:sz="0" w:space="0" w:color="auto"/>
        <w:bottom w:val="none" w:sz="0" w:space="0" w:color="auto"/>
        <w:right w:val="none" w:sz="0" w:space="0" w:color="auto"/>
      </w:divBdr>
      <w:divsChild>
        <w:div w:id="701318522">
          <w:marLeft w:val="0"/>
          <w:marRight w:val="0"/>
          <w:marTop w:val="0"/>
          <w:marBottom w:val="0"/>
          <w:divBdr>
            <w:top w:val="none" w:sz="0" w:space="0" w:color="auto"/>
            <w:left w:val="none" w:sz="0" w:space="0" w:color="auto"/>
            <w:bottom w:val="none" w:sz="0" w:space="0" w:color="auto"/>
            <w:right w:val="none" w:sz="0" w:space="0" w:color="auto"/>
          </w:divBdr>
        </w:div>
        <w:div w:id="2034258478">
          <w:marLeft w:val="0"/>
          <w:marRight w:val="0"/>
          <w:marTop w:val="0"/>
          <w:marBottom w:val="0"/>
          <w:divBdr>
            <w:top w:val="none" w:sz="0" w:space="0" w:color="auto"/>
            <w:left w:val="none" w:sz="0" w:space="0" w:color="auto"/>
            <w:bottom w:val="none" w:sz="0" w:space="0" w:color="auto"/>
            <w:right w:val="none" w:sz="0" w:space="0" w:color="auto"/>
          </w:divBdr>
        </w:div>
        <w:div w:id="1344012731">
          <w:marLeft w:val="0"/>
          <w:marRight w:val="0"/>
          <w:marTop w:val="0"/>
          <w:marBottom w:val="0"/>
          <w:divBdr>
            <w:top w:val="none" w:sz="0" w:space="0" w:color="auto"/>
            <w:left w:val="none" w:sz="0" w:space="0" w:color="auto"/>
            <w:bottom w:val="none" w:sz="0" w:space="0" w:color="auto"/>
            <w:right w:val="none" w:sz="0" w:space="0" w:color="auto"/>
          </w:divBdr>
        </w:div>
      </w:divsChild>
    </w:div>
    <w:div w:id="1650861484">
      <w:bodyDiv w:val="1"/>
      <w:marLeft w:val="0"/>
      <w:marRight w:val="0"/>
      <w:marTop w:val="0"/>
      <w:marBottom w:val="0"/>
      <w:divBdr>
        <w:top w:val="none" w:sz="0" w:space="0" w:color="auto"/>
        <w:left w:val="none" w:sz="0" w:space="0" w:color="auto"/>
        <w:bottom w:val="none" w:sz="0" w:space="0" w:color="auto"/>
        <w:right w:val="none" w:sz="0" w:space="0" w:color="auto"/>
      </w:divBdr>
    </w:div>
    <w:div w:id="1676808826">
      <w:bodyDiv w:val="1"/>
      <w:marLeft w:val="0"/>
      <w:marRight w:val="0"/>
      <w:marTop w:val="0"/>
      <w:marBottom w:val="0"/>
      <w:divBdr>
        <w:top w:val="none" w:sz="0" w:space="0" w:color="auto"/>
        <w:left w:val="none" w:sz="0" w:space="0" w:color="auto"/>
        <w:bottom w:val="none" w:sz="0" w:space="0" w:color="auto"/>
        <w:right w:val="none" w:sz="0" w:space="0" w:color="auto"/>
      </w:divBdr>
      <w:divsChild>
        <w:div w:id="80639380">
          <w:marLeft w:val="0"/>
          <w:marRight w:val="0"/>
          <w:marTop w:val="0"/>
          <w:marBottom w:val="0"/>
          <w:divBdr>
            <w:top w:val="none" w:sz="0" w:space="0" w:color="3D3D3D"/>
            <w:left w:val="none" w:sz="0" w:space="0" w:color="3D3D3D"/>
            <w:bottom w:val="none" w:sz="0" w:space="0" w:color="3D3D3D"/>
            <w:right w:val="none" w:sz="0" w:space="0" w:color="3D3D3D"/>
          </w:divBdr>
          <w:divsChild>
            <w:div w:id="18711409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9853520">
      <w:bodyDiv w:val="1"/>
      <w:marLeft w:val="0"/>
      <w:marRight w:val="0"/>
      <w:marTop w:val="0"/>
      <w:marBottom w:val="0"/>
      <w:divBdr>
        <w:top w:val="none" w:sz="0" w:space="0" w:color="auto"/>
        <w:left w:val="none" w:sz="0" w:space="0" w:color="auto"/>
        <w:bottom w:val="none" w:sz="0" w:space="0" w:color="auto"/>
        <w:right w:val="none" w:sz="0" w:space="0" w:color="auto"/>
      </w:divBdr>
      <w:divsChild>
        <w:div w:id="102671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Props1.xml><?xml version="1.0" encoding="utf-8"?>
<ds:datastoreItem xmlns:ds="http://schemas.openxmlformats.org/officeDocument/2006/customXml" ds:itemID="{4BA2C211-72DB-7C44-A403-81D723B33ECA}">
  <ds:schemaRefs>
    <ds:schemaRef ds:uri="http://schemas.openxmlformats.org/officeDocument/2006/bibliography"/>
  </ds:schemaRefs>
</ds:datastoreItem>
</file>

<file path=customXml/itemProps2.xml><?xml version="1.0" encoding="utf-8"?>
<ds:datastoreItem xmlns:ds="http://schemas.openxmlformats.org/officeDocument/2006/customXml" ds:itemID="{2E147A56-A9F7-44B6-AB3B-FEFB0686D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30C5F-2124-4EEF-B97E-52ACAD1EAE04}">
  <ds:schemaRefs>
    <ds:schemaRef ds:uri="http://schemas.microsoft.com/sharepoint/v3/contenttype/forms"/>
  </ds:schemaRefs>
</ds:datastoreItem>
</file>

<file path=customXml/itemProps4.xml><?xml version="1.0" encoding="utf-8"?>
<ds:datastoreItem xmlns:ds="http://schemas.openxmlformats.org/officeDocument/2006/customXml" ds:itemID="{2B0E6DC4-EC5B-42DD-B7D2-96BF766D4A63}">
  <ds:schemaRefs>
    <ds:schemaRef ds:uri="http://schemas.microsoft.com/office/2006/metadata/properties"/>
    <ds:schemaRef ds:uri="http://schemas.microsoft.com/office/infopath/2007/PartnerControls"/>
    <ds:schemaRef ds:uri="df54f2d5-1923-4881-9adf-f1a6cc0baa8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2937</Words>
  <Characters>16746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2025-11-06T20:11:00Z</cp:lastPrinted>
  <dcterms:created xsi:type="dcterms:W3CDTF">2025-11-09T12:54:00Z</dcterms:created>
  <dcterms:modified xsi:type="dcterms:W3CDTF">2025-11-09T12:54:00Z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