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30ED1" w14:textId="77777777" w:rsidR="00F9634B" w:rsidRPr="007F2D35" w:rsidRDefault="00F9634B" w:rsidP="00F9634B">
      <w:pPr>
        <w:pStyle w:val="NoSpacing"/>
        <w:jc w:val="center"/>
        <w:rPr>
          <w:rFonts w:cs="Times New Roman"/>
          <w:b/>
          <w:color w:val="000000" w:themeColor="text1"/>
          <w:sz w:val="25"/>
          <w:szCs w:val="25"/>
        </w:rPr>
      </w:pPr>
      <w:r w:rsidRPr="007F2D35">
        <w:rPr>
          <w:rFonts w:cs="Times New Roman"/>
          <w:b/>
          <w:color w:val="000000" w:themeColor="text1"/>
          <w:sz w:val="25"/>
          <w:szCs w:val="25"/>
        </w:rPr>
        <w:t>COMMONWEALTH OF MASSACHUSETTS</w:t>
      </w:r>
    </w:p>
    <w:p w14:paraId="388C63C8" w14:textId="77777777" w:rsidR="00F9634B" w:rsidRPr="007F2D35" w:rsidRDefault="00F9634B" w:rsidP="00F9634B">
      <w:pPr>
        <w:pStyle w:val="NoSpacing"/>
        <w:jc w:val="center"/>
        <w:rPr>
          <w:rFonts w:cs="Times New Roman"/>
          <w:b/>
          <w:color w:val="000000" w:themeColor="text1"/>
          <w:sz w:val="25"/>
          <w:szCs w:val="25"/>
        </w:rPr>
      </w:pPr>
      <w:r w:rsidRPr="007F2D35">
        <w:rPr>
          <w:rFonts w:cs="Times New Roman"/>
          <w:b/>
          <w:color w:val="000000" w:themeColor="text1"/>
          <w:sz w:val="25"/>
          <w:szCs w:val="25"/>
        </w:rPr>
        <w:t>Division of Administrative Law Appeals</w:t>
      </w:r>
    </w:p>
    <w:p w14:paraId="7CDCD328" w14:textId="77777777" w:rsidR="00F9634B" w:rsidRPr="007F2D35" w:rsidRDefault="00F9634B" w:rsidP="00F9634B">
      <w:pPr>
        <w:pStyle w:val="NoSpacing"/>
        <w:jc w:val="center"/>
        <w:rPr>
          <w:rFonts w:eastAsia="Times New Roman" w:cs="Times New Roman"/>
          <w:b/>
          <w:color w:val="000000" w:themeColor="text1"/>
          <w:sz w:val="25"/>
          <w:szCs w:val="25"/>
        </w:rPr>
      </w:pPr>
      <w:r w:rsidRPr="007F2D35">
        <w:rPr>
          <w:rFonts w:eastAsia="Times New Roman" w:cs="Times New Roman"/>
          <w:b/>
          <w:color w:val="000000" w:themeColor="text1"/>
          <w:sz w:val="25"/>
          <w:szCs w:val="25"/>
        </w:rPr>
        <w:t>Bureau of Special Education Appeals</w:t>
      </w:r>
    </w:p>
    <w:p w14:paraId="5D0362D3" w14:textId="77777777" w:rsidR="00F9634B" w:rsidRPr="007F2D35" w:rsidRDefault="00F9634B" w:rsidP="00F9634B">
      <w:pPr>
        <w:tabs>
          <w:tab w:val="left" w:pos="2700"/>
        </w:tabs>
        <w:rPr>
          <w:rFonts w:asciiTheme="minorHAnsi" w:hAnsiTheme="minorHAnsi"/>
          <w:b/>
          <w:color w:val="000000" w:themeColor="text1"/>
          <w:sz w:val="25"/>
          <w:szCs w:val="25"/>
        </w:rPr>
      </w:pPr>
    </w:p>
    <w:p w14:paraId="4AEA7235" w14:textId="06156C73" w:rsidR="001B7032" w:rsidRDefault="00F9634B" w:rsidP="00F9634B">
      <w:pPr>
        <w:tabs>
          <w:tab w:val="left" w:pos="2700"/>
        </w:tabs>
        <w:rPr>
          <w:rFonts w:asciiTheme="minorHAnsi" w:hAnsiTheme="minorHAnsi"/>
          <w:b/>
          <w:color w:val="000000" w:themeColor="text1"/>
          <w:sz w:val="25"/>
          <w:szCs w:val="25"/>
        </w:rPr>
      </w:pPr>
      <w:r w:rsidRPr="007F2D35">
        <w:rPr>
          <w:rFonts w:asciiTheme="minorHAnsi" w:hAnsiTheme="minorHAnsi"/>
          <w:b/>
          <w:color w:val="000000" w:themeColor="text1"/>
          <w:sz w:val="25"/>
          <w:szCs w:val="25"/>
        </w:rPr>
        <w:t xml:space="preserve">In Re:    Student </w:t>
      </w:r>
      <w:r w:rsidR="001B7032" w:rsidRPr="001B7032">
        <w:rPr>
          <w:rFonts w:asciiTheme="minorHAnsi" w:hAnsiTheme="minorHAnsi"/>
          <w:b/>
          <w:color w:val="000000" w:themeColor="text1"/>
          <w:sz w:val="25"/>
          <w:szCs w:val="25"/>
        </w:rPr>
        <w:t>v. Topsfield Pu</w:t>
      </w:r>
      <w:r w:rsidR="00451BC1">
        <w:rPr>
          <w:rFonts w:asciiTheme="minorHAnsi" w:hAnsiTheme="minorHAnsi"/>
          <w:b/>
          <w:color w:val="000000" w:themeColor="text1"/>
          <w:sz w:val="25"/>
          <w:szCs w:val="25"/>
        </w:rPr>
        <w:t>b</w:t>
      </w:r>
      <w:r w:rsidR="001B7032" w:rsidRPr="001B7032">
        <w:rPr>
          <w:rFonts w:asciiTheme="minorHAnsi" w:hAnsiTheme="minorHAnsi"/>
          <w:b/>
          <w:color w:val="000000" w:themeColor="text1"/>
          <w:sz w:val="25"/>
          <w:szCs w:val="25"/>
        </w:rPr>
        <w:t xml:space="preserve">lic Schools and Masconomet RSD </w:t>
      </w:r>
    </w:p>
    <w:p w14:paraId="2A0A024C" w14:textId="77777777" w:rsidR="001B7032" w:rsidRDefault="001B7032" w:rsidP="00F9634B">
      <w:pPr>
        <w:tabs>
          <w:tab w:val="left" w:pos="2700"/>
        </w:tabs>
        <w:rPr>
          <w:rFonts w:asciiTheme="minorHAnsi" w:hAnsiTheme="minorHAnsi"/>
          <w:b/>
          <w:color w:val="000000" w:themeColor="text1"/>
          <w:sz w:val="25"/>
          <w:szCs w:val="25"/>
        </w:rPr>
      </w:pPr>
      <w:r>
        <w:rPr>
          <w:rFonts w:asciiTheme="minorHAnsi" w:hAnsiTheme="minorHAnsi"/>
          <w:b/>
          <w:color w:val="000000" w:themeColor="text1"/>
          <w:sz w:val="25"/>
          <w:szCs w:val="25"/>
        </w:rPr>
        <w:tab/>
      </w:r>
      <w:r>
        <w:rPr>
          <w:rFonts w:asciiTheme="minorHAnsi" w:hAnsiTheme="minorHAnsi"/>
          <w:b/>
          <w:color w:val="000000" w:themeColor="text1"/>
          <w:sz w:val="25"/>
          <w:szCs w:val="25"/>
        </w:rPr>
        <w:tab/>
      </w:r>
      <w:r>
        <w:rPr>
          <w:rFonts w:asciiTheme="minorHAnsi" w:hAnsiTheme="minorHAnsi"/>
          <w:b/>
          <w:color w:val="000000" w:themeColor="text1"/>
          <w:sz w:val="25"/>
          <w:szCs w:val="25"/>
        </w:rPr>
        <w:tab/>
      </w:r>
      <w:r>
        <w:rPr>
          <w:rFonts w:asciiTheme="minorHAnsi" w:hAnsiTheme="minorHAnsi"/>
          <w:b/>
          <w:color w:val="000000" w:themeColor="text1"/>
          <w:sz w:val="25"/>
          <w:szCs w:val="25"/>
        </w:rPr>
        <w:tab/>
      </w:r>
      <w:r>
        <w:rPr>
          <w:rFonts w:asciiTheme="minorHAnsi" w:hAnsiTheme="minorHAnsi"/>
          <w:b/>
          <w:color w:val="000000" w:themeColor="text1"/>
          <w:sz w:val="25"/>
          <w:szCs w:val="25"/>
        </w:rPr>
        <w:tab/>
      </w:r>
      <w:r>
        <w:rPr>
          <w:rFonts w:asciiTheme="minorHAnsi" w:hAnsiTheme="minorHAnsi"/>
          <w:b/>
          <w:color w:val="000000" w:themeColor="text1"/>
          <w:sz w:val="25"/>
          <w:szCs w:val="25"/>
        </w:rPr>
        <w:tab/>
      </w:r>
      <w:r>
        <w:rPr>
          <w:rFonts w:asciiTheme="minorHAnsi" w:hAnsiTheme="minorHAnsi"/>
          <w:b/>
          <w:color w:val="000000" w:themeColor="text1"/>
          <w:sz w:val="25"/>
          <w:szCs w:val="25"/>
        </w:rPr>
        <w:tab/>
      </w:r>
    </w:p>
    <w:p w14:paraId="56215D50" w14:textId="7A8C5795" w:rsidR="00F9634B" w:rsidRPr="007F2D35" w:rsidRDefault="001B7032" w:rsidP="00F9634B">
      <w:pPr>
        <w:tabs>
          <w:tab w:val="left" w:pos="2700"/>
        </w:tabs>
        <w:rPr>
          <w:rFonts w:asciiTheme="minorHAnsi" w:hAnsiTheme="minorHAnsi"/>
          <w:b/>
          <w:color w:val="000000" w:themeColor="text1"/>
          <w:sz w:val="25"/>
          <w:szCs w:val="25"/>
        </w:rPr>
      </w:pPr>
      <w:r>
        <w:rPr>
          <w:rFonts w:asciiTheme="minorHAnsi" w:hAnsiTheme="minorHAnsi"/>
          <w:b/>
          <w:color w:val="000000" w:themeColor="text1"/>
          <w:sz w:val="25"/>
          <w:szCs w:val="25"/>
        </w:rPr>
        <w:tab/>
      </w:r>
      <w:r>
        <w:rPr>
          <w:rFonts w:asciiTheme="minorHAnsi" w:hAnsiTheme="minorHAnsi"/>
          <w:b/>
          <w:color w:val="000000" w:themeColor="text1"/>
          <w:sz w:val="25"/>
          <w:szCs w:val="25"/>
        </w:rPr>
        <w:tab/>
      </w:r>
      <w:r>
        <w:rPr>
          <w:rFonts w:asciiTheme="minorHAnsi" w:hAnsiTheme="minorHAnsi"/>
          <w:b/>
          <w:color w:val="000000" w:themeColor="text1"/>
          <w:sz w:val="25"/>
          <w:szCs w:val="25"/>
        </w:rPr>
        <w:tab/>
      </w:r>
      <w:r>
        <w:rPr>
          <w:rFonts w:asciiTheme="minorHAnsi" w:hAnsiTheme="minorHAnsi"/>
          <w:b/>
          <w:color w:val="000000" w:themeColor="text1"/>
          <w:sz w:val="25"/>
          <w:szCs w:val="25"/>
        </w:rPr>
        <w:tab/>
      </w:r>
      <w:r>
        <w:rPr>
          <w:rFonts w:asciiTheme="minorHAnsi" w:hAnsiTheme="minorHAnsi"/>
          <w:b/>
          <w:color w:val="000000" w:themeColor="text1"/>
          <w:sz w:val="25"/>
          <w:szCs w:val="25"/>
        </w:rPr>
        <w:tab/>
      </w:r>
      <w:r>
        <w:rPr>
          <w:rFonts w:asciiTheme="minorHAnsi" w:hAnsiTheme="minorHAnsi"/>
          <w:b/>
          <w:color w:val="000000" w:themeColor="text1"/>
          <w:sz w:val="25"/>
          <w:szCs w:val="25"/>
        </w:rPr>
        <w:tab/>
      </w:r>
      <w:r>
        <w:rPr>
          <w:rFonts w:asciiTheme="minorHAnsi" w:hAnsiTheme="minorHAnsi"/>
          <w:b/>
          <w:color w:val="000000" w:themeColor="text1"/>
          <w:sz w:val="25"/>
          <w:szCs w:val="25"/>
        </w:rPr>
        <w:tab/>
      </w:r>
      <w:r w:rsidRPr="001B7032">
        <w:rPr>
          <w:rFonts w:asciiTheme="minorHAnsi" w:hAnsiTheme="minorHAnsi"/>
          <w:b/>
          <w:color w:val="000000" w:themeColor="text1"/>
          <w:sz w:val="25"/>
          <w:szCs w:val="25"/>
        </w:rPr>
        <w:t xml:space="preserve">BSEA </w:t>
      </w:r>
      <w:r>
        <w:rPr>
          <w:rFonts w:asciiTheme="minorHAnsi" w:hAnsiTheme="minorHAnsi"/>
          <w:b/>
          <w:color w:val="000000" w:themeColor="text1"/>
          <w:sz w:val="25"/>
          <w:szCs w:val="25"/>
        </w:rPr>
        <w:t>#</w:t>
      </w:r>
      <w:r w:rsidRPr="001B7032">
        <w:rPr>
          <w:rFonts w:asciiTheme="minorHAnsi" w:hAnsiTheme="minorHAnsi"/>
          <w:b/>
          <w:color w:val="000000" w:themeColor="text1"/>
          <w:sz w:val="25"/>
          <w:szCs w:val="25"/>
        </w:rPr>
        <w:t xml:space="preserve"> 2510694 </w:t>
      </w:r>
      <w:r w:rsidR="00F9634B" w:rsidRPr="007F2D35">
        <w:rPr>
          <w:rFonts w:asciiTheme="minorHAnsi" w:hAnsiTheme="minorHAnsi"/>
          <w:b/>
          <w:color w:val="000000" w:themeColor="text1"/>
          <w:sz w:val="25"/>
          <w:szCs w:val="25"/>
        </w:rPr>
        <w:t xml:space="preserve">  </w:t>
      </w:r>
      <w:r w:rsidR="00F9634B" w:rsidRPr="007F2D35">
        <w:rPr>
          <w:rFonts w:asciiTheme="minorHAnsi" w:hAnsiTheme="minorHAnsi"/>
          <w:b/>
          <w:color w:val="000000" w:themeColor="text1"/>
          <w:sz w:val="25"/>
          <w:szCs w:val="25"/>
        </w:rPr>
        <w:tab/>
        <w:t xml:space="preserve">                    </w:t>
      </w:r>
      <w:r w:rsidR="00F9634B" w:rsidRPr="007F2D35">
        <w:rPr>
          <w:rFonts w:asciiTheme="minorHAnsi" w:hAnsiTheme="minorHAnsi"/>
          <w:b/>
          <w:color w:val="000000" w:themeColor="text1"/>
          <w:sz w:val="25"/>
          <w:szCs w:val="25"/>
        </w:rPr>
        <w:tab/>
      </w:r>
      <w:r w:rsidR="00F9634B" w:rsidRPr="007F2D35">
        <w:rPr>
          <w:rFonts w:asciiTheme="minorHAnsi" w:hAnsiTheme="minorHAnsi"/>
          <w:b/>
          <w:color w:val="000000" w:themeColor="text1"/>
          <w:sz w:val="25"/>
          <w:szCs w:val="25"/>
        </w:rPr>
        <w:tab/>
      </w:r>
      <w:r w:rsidR="00F9634B" w:rsidRPr="007F2D35">
        <w:rPr>
          <w:rFonts w:asciiTheme="minorHAnsi" w:hAnsiTheme="minorHAnsi"/>
          <w:b/>
          <w:color w:val="000000" w:themeColor="text1"/>
          <w:sz w:val="25"/>
          <w:szCs w:val="25"/>
        </w:rPr>
        <w:tab/>
        <w:t xml:space="preserve">      </w:t>
      </w:r>
    </w:p>
    <w:p w14:paraId="59059C9A" w14:textId="36D8D84C" w:rsidR="00F9634B" w:rsidRPr="007F2D35" w:rsidRDefault="00DA18DA" w:rsidP="00F9634B">
      <w:pPr>
        <w:keepNext/>
        <w:jc w:val="center"/>
        <w:outlineLvl w:val="2"/>
        <w:rPr>
          <w:rFonts w:asciiTheme="minorHAnsi" w:hAnsiTheme="minorHAnsi"/>
          <w:b/>
          <w:color w:val="000000" w:themeColor="text1"/>
          <w:sz w:val="25"/>
          <w:szCs w:val="25"/>
        </w:rPr>
      </w:pPr>
      <w:r>
        <w:rPr>
          <w:rFonts w:asciiTheme="minorHAnsi" w:eastAsia="Arial Unicode MS" w:hAnsiTheme="minorHAnsi"/>
          <w:b/>
          <w:color w:val="000000" w:themeColor="text1"/>
          <w:sz w:val="25"/>
          <w:szCs w:val="25"/>
        </w:rPr>
        <w:t>RULING ON OBJECTIONS TO EXHIBITS</w:t>
      </w:r>
    </w:p>
    <w:p w14:paraId="146A78F2" w14:textId="77777777" w:rsidR="00F9634B" w:rsidRPr="007F2D35" w:rsidRDefault="00F9634B" w:rsidP="00F9634B">
      <w:pPr>
        <w:rPr>
          <w:rFonts w:asciiTheme="minorHAnsi" w:hAnsiTheme="minorHAnsi"/>
          <w:sz w:val="25"/>
          <w:szCs w:val="25"/>
        </w:rPr>
      </w:pPr>
    </w:p>
    <w:p w14:paraId="73E3C5B8" w14:textId="60748BCA" w:rsidR="00EF3DEA" w:rsidRDefault="007A38DE" w:rsidP="00D357C5">
      <w:pPr>
        <w:rPr>
          <w:rFonts w:asciiTheme="minorHAnsi" w:hAnsiTheme="minorHAnsi"/>
          <w:bCs/>
          <w:sz w:val="25"/>
          <w:szCs w:val="25"/>
        </w:rPr>
      </w:pPr>
      <w:r>
        <w:rPr>
          <w:rFonts w:asciiTheme="minorHAnsi" w:hAnsiTheme="minorHAnsi"/>
          <w:bCs/>
          <w:sz w:val="25"/>
          <w:szCs w:val="25"/>
        </w:rPr>
        <w:t xml:space="preserve">On </w:t>
      </w:r>
      <w:r w:rsidR="001B6604">
        <w:rPr>
          <w:rFonts w:asciiTheme="minorHAnsi" w:hAnsiTheme="minorHAnsi"/>
          <w:bCs/>
          <w:sz w:val="25"/>
          <w:szCs w:val="25"/>
        </w:rPr>
        <w:t xml:space="preserve">February 3, 2026, Parents submitted </w:t>
      </w:r>
      <w:r w:rsidR="00EF3DEA">
        <w:rPr>
          <w:rFonts w:asciiTheme="minorHAnsi" w:hAnsiTheme="minorHAnsi"/>
          <w:bCs/>
          <w:sz w:val="25"/>
          <w:szCs w:val="25"/>
        </w:rPr>
        <w:t>the following</w:t>
      </w:r>
      <w:r w:rsidR="001B6604">
        <w:rPr>
          <w:rFonts w:asciiTheme="minorHAnsi" w:hAnsiTheme="minorHAnsi"/>
          <w:bCs/>
          <w:sz w:val="25"/>
          <w:szCs w:val="25"/>
        </w:rPr>
        <w:t xml:space="preserve"> exhibits in preparation for the hearing scheduled for February 10, 2026</w:t>
      </w:r>
      <w:r w:rsidR="00EF3DEA">
        <w:rPr>
          <w:rFonts w:asciiTheme="minorHAnsi" w:hAnsiTheme="minorHAnsi"/>
          <w:bCs/>
          <w:sz w:val="25"/>
          <w:szCs w:val="25"/>
        </w:rPr>
        <w:t>: P-1 through P-5, P-6(1) and P-6(2), P-7(1) and P-7(2), P-8(1) and P-8(2), P-9, P-10(1) through P-10(5), P-11, P-12(1) and P-12(2), P-13(1) through P-13(3), P-14, P-15(1) and P-15(2), P-16(1) and P-16(2), P-17(1) through P-17(9), P-18(1) through P-18(4), and P-19.</w:t>
      </w:r>
      <w:r w:rsidR="001B6604">
        <w:rPr>
          <w:rFonts w:asciiTheme="minorHAnsi" w:hAnsiTheme="minorHAnsi"/>
          <w:bCs/>
          <w:sz w:val="25"/>
          <w:szCs w:val="25"/>
        </w:rPr>
        <w:t xml:space="preserve"> </w:t>
      </w:r>
    </w:p>
    <w:p w14:paraId="2057ACEF" w14:textId="77777777" w:rsidR="00EF3DEA" w:rsidRDefault="00EF3DEA" w:rsidP="00D357C5">
      <w:pPr>
        <w:rPr>
          <w:rFonts w:asciiTheme="minorHAnsi" w:hAnsiTheme="minorHAnsi"/>
          <w:bCs/>
          <w:sz w:val="25"/>
          <w:szCs w:val="25"/>
        </w:rPr>
      </w:pPr>
    </w:p>
    <w:p w14:paraId="26DDF9EE" w14:textId="3CC24C69" w:rsidR="00CD1927" w:rsidRDefault="001B6604" w:rsidP="00D357C5">
      <w:pPr>
        <w:rPr>
          <w:rFonts w:asciiTheme="minorHAnsi" w:hAnsiTheme="minorHAnsi"/>
          <w:bCs/>
          <w:sz w:val="25"/>
          <w:szCs w:val="25"/>
        </w:rPr>
      </w:pPr>
      <w:r>
        <w:rPr>
          <w:rFonts w:asciiTheme="minorHAnsi" w:hAnsiTheme="minorHAnsi"/>
          <w:bCs/>
          <w:sz w:val="25"/>
          <w:szCs w:val="25"/>
        </w:rPr>
        <w:t xml:space="preserve">Also on </w:t>
      </w:r>
      <w:r w:rsidR="00D357C5">
        <w:rPr>
          <w:rFonts w:asciiTheme="minorHAnsi" w:hAnsiTheme="minorHAnsi"/>
          <w:bCs/>
          <w:sz w:val="25"/>
          <w:szCs w:val="25"/>
        </w:rPr>
        <w:t xml:space="preserve">February 3, Topsfield Public Schools (Topsfield or the District) filed objections to </w:t>
      </w:r>
      <w:r w:rsidR="00D357C5" w:rsidRPr="00C52C3F">
        <w:rPr>
          <w:rFonts w:asciiTheme="minorHAnsi" w:hAnsiTheme="minorHAnsi"/>
          <w:bCs/>
          <w:sz w:val="25"/>
          <w:szCs w:val="25"/>
        </w:rPr>
        <w:t>Parents' exhibits 8, 12 and 13(2)</w:t>
      </w:r>
      <w:r w:rsidR="00CD1927">
        <w:rPr>
          <w:rFonts w:asciiTheme="minorHAnsi" w:hAnsiTheme="minorHAnsi"/>
          <w:bCs/>
          <w:sz w:val="25"/>
          <w:szCs w:val="25"/>
        </w:rPr>
        <w:t xml:space="preserve">. Specifically, </w:t>
      </w:r>
      <w:r w:rsidR="00CD1927" w:rsidRPr="00CD1927">
        <w:rPr>
          <w:rFonts w:asciiTheme="minorHAnsi" w:hAnsiTheme="minorHAnsi"/>
          <w:bCs/>
          <w:sz w:val="25"/>
          <w:szCs w:val="25"/>
        </w:rPr>
        <w:t xml:space="preserve">The District argues that Exhibit 8 is irrelevant because it describes a new Elementary Language Academy program that did not exist until the 2025–26 school year and was never proposed for </w:t>
      </w:r>
      <w:r w:rsidR="00CD1927">
        <w:rPr>
          <w:rFonts w:asciiTheme="minorHAnsi" w:hAnsiTheme="minorHAnsi"/>
          <w:bCs/>
          <w:sz w:val="25"/>
          <w:szCs w:val="25"/>
        </w:rPr>
        <w:t>Student</w:t>
      </w:r>
      <w:r w:rsidR="00CD1927" w:rsidRPr="00CD1927">
        <w:rPr>
          <w:rFonts w:asciiTheme="minorHAnsi" w:hAnsiTheme="minorHAnsi"/>
          <w:bCs/>
          <w:sz w:val="25"/>
          <w:szCs w:val="25"/>
        </w:rPr>
        <w:t>. It also objects to Dr. Wilson’s March 19, 2025 Academic Evaluation (P-12) because Parents declined the District’s offer to review it with the Team and instead reserved it for due process, so it cannot be used to challenge the appropriateness of the 2024–25 IEP. Finally, the District objects to Ms. DeAngelis’s observation report (P-13(2)) because it was never shared with the Team and was only presented at the P</w:t>
      </w:r>
      <w:r w:rsidR="00AA2C24">
        <w:rPr>
          <w:rFonts w:asciiTheme="minorHAnsi" w:hAnsiTheme="minorHAnsi"/>
          <w:bCs/>
          <w:sz w:val="25"/>
          <w:szCs w:val="25"/>
        </w:rPr>
        <w:t>re-hearing conference</w:t>
      </w:r>
      <w:r w:rsidR="00CD1927" w:rsidRPr="00CD1927">
        <w:rPr>
          <w:rFonts w:asciiTheme="minorHAnsi" w:hAnsiTheme="minorHAnsi"/>
          <w:bCs/>
          <w:sz w:val="25"/>
          <w:szCs w:val="25"/>
        </w:rPr>
        <w:t>; therefore, the District’s IEPs cannot be evaluated based on that report.</w:t>
      </w:r>
    </w:p>
    <w:p w14:paraId="18493CBE" w14:textId="77777777" w:rsidR="00683A1A" w:rsidRDefault="00683A1A" w:rsidP="00D357C5">
      <w:pPr>
        <w:rPr>
          <w:rFonts w:asciiTheme="minorHAnsi" w:hAnsiTheme="minorHAnsi"/>
          <w:bCs/>
          <w:sz w:val="25"/>
          <w:szCs w:val="25"/>
        </w:rPr>
      </w:pPr>
    </w:p>
    <w:p w14:paraId="7D82CB7F" w14:textId="401CA75D" w:rsidR="00683A1A" w:rsidRDefault="00683A1A" w:rsidP="00D357C5">
      <w:pPr>
        <w:rPr>
          <w:rFonts w:asciiTheme="minorHAnsi" w:hAnsiTheme="minorHAnsi"/>
          <w:bCs/>
          <w:sz w:val="25"/>
          <w:szCs w:val="25"/>
        </w:rPr>
      </w:pPr>
      <w:r>
        <w:rPr>
          <w:rFonts w:asciiTheme="minorHAnsi" w:hAnsiTheme="minorHAnsi"/>
          <w:bCs/>
          <w:sz w:val="25"/>
          <w:szCs w:val="25"/>
        </w:rPr>
        <w:t>In response, on the same date, Parents responded as follows:</w:t>
      </w:r>
    </w:p>
    <w:p w14:paraId="05D6176A" w14:textId="77777777" w:rsidR="00683A1A" w:rsidRDefault="00683A1A" w:rsidP="00D357C5">
      <w:pPr>
        <w:rPr>
          <w:rFonts w:asciiTheme="minorHAnsi" w:hAnsiTheme="minorHAnsi"/>
          <w:bCs/>
          <w:sz w:val="25"/>
          <w:szCs w:val="25"/>
        </w:rPr>
      </w:pPr>
    </w:p>
    <w:p w14:paraId="7F97C749" w14:textId="04FA22DA" w:rsidR="00683A1A" w:rsidRPr="00C52C3F" w:rsidRDefault="00683A1A" w:rsidP="00683A1A">
      <w:pPr>
        <w:ind w:left="1440"/>
        <w:rPr>
          <w:rFonts w:asciiTheme="minorHAnsi" w:hAnsiTheme="minorHAnsi"/>
          <w:bCs/>
          <w:sz w:val="25"/>
          <w:szCs w:val="25"/>
        </w:rPr>
      </w:pPr>
      <w:r>
        <w:rPr>
          <w:rFonts w:asciiTheme="minorHAnsi" w:hAnsiTheme="minorHAnsi"/>
          <w:bCs/>
          <w:sz w:val="25"/>
          <w:szCs w:val="25"/>
        </w:rPr>
        <w:t>“</w:t>
      </w:r>
      <w:r w:rsidRPr="00683A1A">
        <w:rPr>
          <w:rFonts w:asciiTheme="minorHAnsi" w:hAnsiTheme="minorHAnsi"/>
          <w:bCs/>
          <w:sz w:val="25"/>
          <w:szCs w:val="25"/>
        </w:rPr>
        <w:t>To streamline the process, we will withdraw Exhibit P-8, the description of the Elementary Language Academy.</w:t>
      </w:r>
      <w:r>
        <w:rPr>
          <w:rFonts w:asciiTheme="minorHAnsi" w:hAnsiTheme="minorHAnsi"/>
          <w:bCs/>
          <w:sz w:val="25"/>
          <w:szCs w:val="25"/>
        </w:rPr>
        <w:t xml:space="preserve"> </w:t>
      </w:r>
      <w:r w:rsidRPr="00683A1A">
        <w:rPr>
          <w:rFonts w:asciiTheme="minorHAnsi" w:hAnsiTheme="minorHAnsi"/>
          <w:bCs/>
          <w:sz w:val="25"/>
          <w:szCs w:val="25"/>
        </w:rPr>
        <w:t xml:space="preserve">However, we maintain that Exhibit P-12 (Dr. Wilson’s March 2025 evaluation) and Exhibit P-13(2) (Ms. DeAngelis’ observation report) are essential for you to have a complete and accurate understanding of </w:t>
      </w:r>
      <w:r w:rsidR="00AA2C24">
        <w:rPr>
          <w:rFonts w:asciiTheme="minorHAnsi" w:hAnsiTheme="minorHAnsi"/>
          <w:bCs/>
          <w:sz w:val="25"/>
          <w:szCs w:val="25"/>
        </w:rPr>
        <w:t>[Student’s]</w:t>
      </w:r>
      <w:r w:rsidRPr="00683A1A">
        <w:rPr>
          <w:rFonts w:asciiTheme="minorHAnsi" w:hAnsiTheme="minorHAnsi"/>
          <w:bCs/>
          <w:sz w:val="25"/>
          <w:szCs w:val="25"/>
        </w:rPr>
        <w:t xml:space="preserve"> case. For a fair hearing to occur, it’s important that all relevant information about a student's needs and experiences be available for consideration.</w:t>
      </w:r>
      <w:r>
        <w:rPr>
          <w:rFonts w:asciiTheme="minorHAnsi" w:hAnsiTheme="minorHAnsi"/>
          <w:bCs/>
          <w:sz w:val="25"/>
          <w:szCs w:val="25"/>
        </w:rPr>
        <w:t>”</w:t>
      </w:r>
    </w:p>
    <w:p w14:paraId="23E06259" w14:textId="77777777" w:rsidR="00A17121" w:rsidRDefault="00A17121" w:rsidP="0057591F">
      <w:pPr>
        <w:rPr>
          <w:rFonts w:asciiTheme="minorHAnsi" w:hAnsiTheme="minorHAnsi"/>
          <w:bCs/>
          <w:sz w:val="25"/>
          <w:szCs w:val="25"/>
        </w:rPr>
      </w:pPr>
    </w:p>
    <w:p w14:paraId="728BA72E" w14:textId="14F8B264" w:rsidR="002863A1" w:rsidRDefault="002863A1" w:rsidP="0057591F">
      <w:pPr>
        <w:rPr>
          <w:rFonts w:asciiTheme="minorHAnsi" w:hAnsiTheme="minorHAnsi"/>
          <w:bCs/>
          <w:sz w:val="25"/>
          <w:szCs w:val="25"/>
        </w:rPr>
      </w:pPr>
      <w:r>
        <w:rPr>
          <w:rFonts w:asciiTheme="minorHAnsi" w:hAnsiTheme="minorHAnsi"/>
          <w:bCs/>
          <w:sz w:val="25"/>
          <w:szCs w:val="25"/>
        </w:rPr>
        <w:t xml:space="preserve">RELEVANT PROCEDURAL HISTORY: </w:t>
      </w:r>
    </w:p>
    <w:p w14:paraId="1FB8BFB1" w14:textId="77777777" w:rsidR="00DA18DA" w:rsidRDefault="00DA18DA" w:rsidP="0057591F">
      <w:pPr>
        <w:rPr>
          <w:rFonts w:asciiTheme="minorHAnsi" w:hAnsiTheme="minorHAnsi"/>
          <w:bCs/>
          <w:sz w:val="25"/>
          <w:szCs w:val="25"/>
        </w:rPr>
      </w:pPr>
    </w:p>
    <w:p w14:paraId="3FAB785F" w14:textId="77777777" w:rsidR="00380E74" w:rsidRPr="00380E74" w:rsidRDefault="00380E74" w:rsidP="00380E74">
      <w:pPr>
        <w:rPr>
          <w:rFonts w:asciiTheme="minorHAnsi" w:hAnsiTheme="minorHAnsi"/>
          <w:bCs/>
          <w:sz w:val="25"/>
          <w:szCs w:val="25"/>
        </w:rPr>
      </w:pPr>
      <w:r w:rsidRPr="00380E74">
        <w:rPr>
          <w:rFonts w:asciiTheme="minorHAnsi" w:hAnsiTheme="minorHAnsi"/>
          <w:bCs/>
          <w:sz w:val="25"/>
          <w:szCs w:val="25"/>
        </w:rPr>
        <w:t>The following issues are in dispute:</w:t>
      </w:r>
    </w:p>
    <w:p w14:paraId="01FE721B" w14:textId="7D4990E4" w:rsidR="00FE75CD" w:rsidRDefault="00FE75CD" w:rsidP="00FE75CD">
      <w:pPr>
        <w:numPr>
          <w:ilvl w:val="0"/>
          <w:numId w:val="9"/>
        </w:numPr>
        <w:spacing w:after="160" w:line="276" w:lineRule="atLeast"/>
        <w:ind w:firstLine="0"/>
        <w:rPr>
          <w:rFonts w:ascii="Aptos" w:hAnsi="Aptos"/>
          <w:color w:val="000000"/>
        </w:rPr>
      </w:pPr>
      <w:r>
        <w:rPr>
          <w:rFonts w:ascii="Aptos" w:hAnsi="Aptos"/>
          <w:color w:val="000000"/>
        </w:rPr>
        <w:t>Whether the IEP for Student’s 6</w:t>
      </w:r>
      <w:r>
        <w:rPr>
          <w:rFonts w:ascii="Aptos" w:hAnsi="Aptos"/>
          <w:color w:val="000000"/>
          <w:vertAlign w:val="superscript"/>
        </w:rPr>
        <w:t>th</w:t>
      </w:r>
      <w:r>
        <w:rPr>
          <w:rFonts w:ascii="Aptos" w:hAnsi="Aptos"/>
          <w:color w:val="000000"/>
        </w:rPr>
        <w:t xml:space="preserve">-grade year at Topsfield provided Student with a FAPE in the </w:t>
      </w:r>
      <w:r w:rsidR="00AA2C24">
        <w:rPr>
          <w:rFonts w:ascii="Aptos" w:hAnsi="Aptos"/>
          <w:color w:val="000000"/>
        </w:rPr>
        <w:t>east rest</w:t>
      </w:r>
      <w:r w:rsidR="00D92F01">
        <w:rPr>
          <w:rFonts w:ascii="Aptos" w:hAnsi="Aptos"/>
          <w:color w:val="000000"/>
        </w:rPr>
        <w:t>ri</w:t>
      </w:r>
      <w:r w:rsidR="00AA2C24">
        <w:rPr>
          <w:rFonts w:ascii="Aptos" w:hAnsi="Aptos"/>
          <w:color w:val="000000"/>
        </w:rPr>
        <w:t>ctive environment</w:t>
      </w:r>
      <w:r w:rsidR="00D92F01">
        <w:rPr>
          <w:rFonts w:ascii="Aptos" w:hAnsi="Aptos"/>
          <w:color w:val="000000"/>
        </w:rPr>
        <w:t xml:space="preserve"> (LRE)</w:t>
      </w:r>
      <w:r>
        <w:rPr>
          <w:rFonts w:ascii="Aptos" w:hAnsi="Aptos"/>
          <w:color w:val="000000"/>
        </w:rPr>
        <w:t xml:space="preserve">? If the answer is negative, then </w:t>
      </w:r>
      <w:r>
        <w:rPr>
          <w:rFonts w:ascii="Aptos" w:hAnsi="Aptos"/>
          <w:color w:val="000000"/>
        </w:rPr>
        <w:lastRenderedPageBreak/>
        <w:t>whether Topsfield must provide the student with compensatory services in the form of a year at Landmark School, including transportation and summer?  </w:t>
      </w:r>
    </w:p>
    <w:p w14:paraId="7C4271E9" w14:textId="1A6B0AA8" w:rsidR="00380E74" w:rsidRPr="00D96887" w:rsidRDefault="00FE75CD" w:rsidP="00F6709A">
      <w:pPr>
        <w:numPr>
          <w:ilvl w:val="0"/>
          <w:numId w:val="9"/>
        </w:numPr>
        <w:spacing w:after="160" w:line="276" w:lineRule="atLeast"/>
        <w:ind w:firstLine="0"/>
        <w:rPr>
          <w:rFonts w:ascii="Aptos" w:hAnsi="Aptos"/>
          <w:color w:val="000000"/>
        </w:rPr>
      </w:pPr>
      <w:r>
        <w:rPr>
          <w:rFonts w:ascii="Aptos" w:hAnsi="Aptos"/>
          <w:color w:val="000000"/>
        </w:rPr>
        <w:t>Whether the IEP  for Student’s 7</w:t>
      </w:r>
      <w:r>
        <w:rPr>
          <w:rFonts w:ascii="Aptos" w:hAnsi="Aptos"/>
          <w:color w:val="000000"/>
          <w:vertAlign w:val="superscript"/>
        </w:rPr>
        <w:t>th</w:t>
      </w:r>
      <w:r>
        <w:rPr>
          <w:rFonts w:ascii="Aptos" w:hAnsi="Aptos"/>
          <w:color w:val="000000"/>
        </w:rPr>
        <w:t xml:space="preserve"> grade at MASCO provided Student with a FAPE in the LRE? If the answer is negative, then whether MASCO must reimburse </w:t>
      </w:r>
      <w:r w:rsidR="00AA2C24">
        <w:rPr>
          <w:rFonts w:ascii="Aptos" w:hAnsi="Aptos"/>
          <w:color w:val="000000"/>
        </w:rPr>
        <w:t>Parent</w:t>
      </w:r>
      <w:r w:rsidR="00D92F01">
        <w:rPr>
          <w:rFonts w:ascii="Aptos" w:hAnsi="Aptos"/>
          <w:color w:val="000000"/>
        </w:rPr>
        <w:t>s</w:t>
      </w:r>
      <w:r>
        <w:rPr>
          <w:rFonts w:ascii="Aptos" w:hAnsi="Aptos"/>
          <w:color w:val="000000"/>
        </w:rPr>
        <w:t> for</w:t>
      </w:r>
      <w:r w:rsidR="00AA2C24">
        <w:rPr>
          <w:rFonts w:ascii="Aptos" w:hAnsi="Aptos"/>
          <w:color w:val="000000"/>
        </w:rPr>
        <w:t xml:space="preserve"> costs of the</w:t>
      </w:r>
      <w:r>
        <w:rPr>
          <w:rFonts w:ascii="Aptos" w:hAnsi="Aptos"/>
          <w:color w:val="000000"/>
        </w:rPr>
        <w:t xml:space="preserve"> Landmark School, including transportation and summer?  </w:t>
      </w:r>
    </w:p>
    <w:p w14:paraId="77C8793B" w14:textId="77777777" w:rsidR="00380E74" w:rsidRDefault="00380E74" w:rsidP="0057591F">
      <w:pPr>
        <w:rPr>
          <w:rFonts w:asciiTheme="minorHAnsi" w:hAnsiTheme="minorHAnsi"/>
          <w:bCs/>
          <w:sz w:val="25"/>
          <w:szCs w:val="25"/>
        </w:rPr>
      </w:pPr>
    </w:p>
    <w:p w14:paraId="61F04A3D" w14:textId="7F29F7A2" w:rsidR="002863A1" w:rsidRDefault="002863A1" w:rsidP="0057591F">
      <w:pPr>
        <w:rPr>
          <w:rFonts w:asciiTheme="minorHAnsi" w:hAnsiTheme="minorHAnsi"/>
          <w:bCs/>
          <w:sz w:val="25"/>
          <w:szCs w:val="25"/>
        </w:rPr>
      </w:pPr>
      <w:r>
        <w:rPr>
          <w:rFonts w:asciiTheme="minorHAnsi" w:hAnsiTheme="minorHAnsi"/>
          <w:bCs/>
          <w:sz w:val="25"/>
          <w:szCs w:val="25"/>
        </w:rPr>
        <w:t>LEGAL STANDARDS:</w:t>
      </w:r>
    </w:p>
    <w:p w14:paraId="198C0634" w14:textId="77777777" w:rsidR="002863A1" w:rsidRPr="007F2D35" w:rsidRDefault="002863A1" w:rsidP="0057591F">
      <w:pPr>
        <w:rPr>
          <w:rFonts w:asciiTheme="minorHAnsi" w:hAnsiTheme="minorHAnsi"/>
          <w:bCs/>
          <w:sz w:val="25"/>
          <w:szCs w:val="25"/>
        </w:rPr>
      </w:pPr>
    </w:p>
    <w:p w14:paraId="2E7D3E6F" w14:textId="4C311F03" w:rsidR="0057591F" w:rsidRPr="007F2D35" w:rsidRDefault="0057591F" w:rsidP="0057591F">
      <w:pPr>
        <w:rPr>
          <w:rFonts w:asciiTheme="minorHAnsi" w:hAnsiTheme="minorHAnsi"/>
          <w:bCs/>
          <w:sz w:val="25"/>
          <w:szCs w:val="25"/>
        </w:rPr>
      </w:pPr>
      <w:r w:rsidRPr="007F2D35">
        <w:rPr>
          <w:rFonts w:asciiTheme="minorHAnsi" w:hAnsiTheme="minorHAnsi"/>
          <w:bCs/>
          <w:sz w:val="25"/>
          <w:szCs w:val="25"/>
        </w:rPr>
        <w:t xml:space="preserve">BSEA Hearing IXC states that the Hearing Officer shall not be bound by the rules of evidence applicable to </w:t>
      </w:r>
      <w:proofErr w:type="gramStart"/>
      <w:r w:rsidRPr="007F2D35">
        <w:rPr>
          <w:rFonts w:asciiTheme="minorHAnsi" w:hAnsiTheme="minorHAnsi"/>
          <w:bCs/>
          <w:sz w:val="25"/>
          <w:szCs w:val="25"/>
        </w:rPr>
        <w:t>courts, but</w:t>
      </w:r>
      <w:proofErr w:type="gramEnd"/>
      <w:r w:rsidRPr="007F2D35">
        <w:rPr>
          <w:rFonts w:asciiTheme="minorHAnsi" w:hAnsiTheme="minorHAnsi"/>
          <w:bCs/>
          <w:sz w:val="25"/>
          <w:szCs w:val="25"/>
        </w:rPr>
        <w:t xml:space="preserve"> shall observe the rules of privilege recognized by law. Evidence shall be admitted only if it is the kind of evidence upon which reasonable persons are accustomed to </w:t>
      </w:r>
      <w:proofErr w:type="gramStart"/>
      <w:r w:rsidRPr="007F2D35">
        <w:rPr>
          <w:rFonts w:asciiTheme="minorHAnsi" w:hAnsiTheme="minorHAnsi"/>
          <w:bCs/>
          <w:sz w:val="25"/>
          <w:szCs w:val="25"/>
        </w:rPr>
        <w:t>rely</w:t>
      </w:r>
      <w:proofErr w:type="gramEnd"/>
      <w:r w:rsidRPr="007F2D35">
        <w:rPr>
          <w:rFonts w:asciiTheme="minorHAnsi" w:hAnsiTheme="minorHAnsi"/>
          <w:bCs/>
          <w:sz w:val="25"/>
          <w:szCs w:val="25"/>
        </w:rPr>
        <w:t xml:space="preserve"> in the conduct of serious affairs. It is the responsibility of the Hearing Officer to receive and consider all relevant and reliable evidence.</w:t>
      </w:r>
      <w:r w:rsidRPr="007F2D35">
        <w:rPr>
          <w:rStyle w:val="FootnoteReference"/>
          <w:rFonts w:asciiTheme="minorHAnsi" w:hAnsiTheme="minorHAnsi"/>
          <w:bCs/>
          <w:sz w:val="25"/>
          <w:szCs w:val="25"/>
        </w:rPr>
        <w:footnoteReference w:id="1"/>
      </w:r>
    </w:p>
    <w:p w14:paraId="15D0E70B" w14:textId="77777777" w:rsidR="0057591F" w:rsidRPr="007F2D35" w:rsidRDefault="0057591F" w:rsidP="0057591F">
      <w:pPr>
        <w:rPr>
          <w:rFonts w:asciiTheme="minorHAnsi" w:hAnsiTheme="minorHAnsi"/>
          <w:bCs/>
          <w:sz w:val="25"/>
          <w:szCs w:val="25"/>
        </w:rPr>
      </w:pPr>
    </w:p>
    <w:p w14:paraId="11DF6DB5" w14:textId="134B9C47" w:rsidR="00F9634B" w:rsidRDefault="002863A1" w:rsidP="0057591F">
      <w:pPr>
        <w:rPr>
          <w:rFonts w:asciiTheme="minorHAnsi" w:hAnsiTheme="minorHAnsi"/>
          <w:bCs/>
          <w:sz w:val="25"/>
          <w:szCs w:val="25"/>
        </w:rPr>
      </w:pPr>
      <w:r>
        <w:rPr>
          <w:rFonts w:asciiTheme="minorHAnsi" w:hAnsiTheme="minorHAnsi"/>
          <w:bCs/>
          <w:sz w:val="25"/>
          <w:szCs w:val="25"/>
        </w:rPr>
        <w:t>APPLICATION OF LEGAL STANDARDS:</w:t>
      </w:r>
    </w:p>
    <w:p w14:paraId="22037419" w14:textId="00BD684F" w:rsidR="00A17121" w:rsidRDefault="00A17121" w:rsidP="00FA57CB">
      <w:pPr>
        <w:rPr>
          <w:rFonts w:asciiTheme="minorHAnsi" w:hAnsiTheme="minorHAnsi"/>
          <w:bCs/>
          <w:sz w:val="25"/>
          <w:szCs w:val="25"/>
        </w:rPr>
      </w:pPr>
    </w:p>
    <w:p w14:paraId="3C6A2C1C" w14:textId="6D590217" w:rsidR="00CC59A5" w:rsidRDefault="00D96887" w:rsidP="008258F9">
      <w:pPr>
        <w:rPr>
          <w:rFonts w:asciiTheme="minorHAnsi" w:hAnsiTheme="minorHAnsi"/>
          <w:bCs/>
          <w:sz w:val="25"/>
          <w:szCs w:val="25"/>
        </w:rPr>
      </w:pPr>
      <w:r>
        <w:rPr>
          <w:rFonts w:asciiTheme="minorHAnsi" w:hAnsiTheme="minorHAnsi"/>
          <w:bCs/>
          <w:sz w:val="25"/>
          <w:szCs w:val="25"/>
        </w:rPr>
        <w:t>As Pa</w:t>
      </w:r>
      <w:r w:rsidR="0056299B">
        <w:rPr>
          <w:rFonts w:asciiTheme="minorHAnsi" w:hAnsiTheme="minorHAnsi"/>
          <w:bCs/>
          <w:sz w:val="25"/>
          <w:szCs w:val="25"/>
        </w:rPr>
        <w:t xml:space="preserve">rents have agreed to withdraw P-8, it is hereby excluded from the record.  </w:t>
      </w:r>
    </w:p>
    <w:p w14:paraId="706FBB2D" w14:textId="030CB832" w:rsidR="008258F9" w:rsidRDefault="00AA2C24" w:rsidP="008258F9">
      <w:pPr>
        <w:rPr>
          <w:rFonts w:asciiTheme="minorHAnsi" w:hAnsiTheme="minorHAnsi"/>
          <w:bCs/>
          <w:sz w:val="25"/>
          <w:szCs w:val="25"/>
        </w:rPr>
      </w:pPr>
      <w:r>
        <w:rPr>
          <w:rFonts w:asciiTheme="minorHAnsi" w:hAnsiTheme="minorHAnsi"/>
          <w:bCs/>
          <w:sz w:val="25"/>
          <w:szCs w:val="25"/>
        </w:rPr>
        <w:t xml:space="preserve"> </w:t>
      </w:r>
    </w:p>
    <w:p w14:paraId="329D14B3" w14:textId="114454D8" w:rsidR="008258F9" w:rsidRDefault="008258F9" w:rsidP="008258F9">
      <w:pPr>
        <w:rPr>
          <w:rFonts w:asciiTheme="minorHAnsi" w:hAnsiTheme="minorHAnsi" w:cs="Calibri"/>
          <w:color w:val="000000"/>
          <w:sz w:val="25"/>
          <w:szCs w:val="25"/>
        </w:rPr>
      </w:pPr>
      <w:r w:rsidRPr="008258F9">
        <w:rPr>
          <w:rFonts w:asciiTheme="minorHAnsi" w:hAnsiTheme="minorHAnsi" w:cs="Calibri"/>
          <w:color w:val="000000"/>
          <w:sz w:val="25"/>
          <w:szCs w:val="25"/>
        </w:rPr>
        <w:t xml:space="preserve">The fact that P-12 and P-13(2) were not previously provided to the IEP Team </w:t>
      </w:r>
      <w:r>
        <w:rPr>
          <w:rFonts w:asciiTheme="minorHAnsi" w:hAnsiTheme="minorHAnsi" w:cs="Calibri"/>
          <w:color w:val="000000"/>
          <w:sz w:val="25"/>
          <w:szCs w:val="25"/>
        </w:rPr>
        <w:t>may</w:t>
      </w:r>
      <w:r w:rsidRPr="008258F9">
        <w:rPr>
          <w:rFonts w:asciiTheme="minorHAnsi" w:hAnsiTheme="minorHAnsi" w:cs="Calibri"/>
          <w:color w:val="000000"/>
          <w:sz w:val="25"/>
          <w:szCs w:val="25"/>
        </w:rPr>
        <w:t xml:space="preserve"> affect the weight I assign to that evidence</w:t>
      </w:r>
      <w:r>
        <w:rPr>
          <w:rFonts w:asciiTheme="minorHAnsi" w:hAnsiTheme="minorHAnsi" w:cs="Calibri"/>
          <w:color w:val="000000"/>
          <w:sz w:val="25"/>
          <w:szCs w:val="25"/>
        </w:rPr>
        <w:t xml:space="preserve">, but the evidence is relevant </w:t>
      </w:r>
      <w:r w:rsidR="00AD10A9">
        <w:rPr>
          <w:rFonts w:asciiTheme="minorHAnsi" w:hAnsiTheme="minorHAnsi" w:cs="Calibri"/>
          <w:color w:val="000000"/>
          <w:sz w:val="25"/>
          <w:szCs w:val="25"/>
        </w:rPr>
        <w:t xml:space="preserve">to the issues at hearing </w:t>
      </w:r>
      <w:r>
        <w:rPr>
          <w:rFonts w:asciiTheme="minorHAnsi" w:hAnsiTheme="minorHAnsi" w:cs="Calibri"/>
          <w:color w:val="000000"/>
          <w:sz w:val="25"/>
          <w:szCs w:val="25"/>
        </w:rPr>
        <w:t>and will be admitted into the record.</w:t>
      </w:r>
    </w:p>
    <w:p w14:paraId="7C852A53" w14:textId="7CE4BC0F" w:rsidR="00CC59A5" w:rsidRDefault="00CC59A5" w:rsidP="008D1225">
      <w:pPr>
        <w:pStyle w:val="NormalWeb"/>
        <w:rPr>
          <w:rFonts w:asciiTheme="minorHAnsi" w:hAnsiTheme="minorHAnsi" w:cs="Calibri"/>
          <w:color w:val="000000"/>
          <w:sz w:val="25"/>
          <w:szCs w:val="25"/>
        </w:rPr>
      </w:pPr>
      <w:r>
        <w:rPr>
          <w:rFonts w:asciiTheme="minorHAnsi" w:hAnsiTheme="minorHAnsi" w:cs="Calibri"/>
          <w:color w:val="000000"/>
          <w:sz w:val="25"/>
          <w:szCs w:val="25"/>
        </w:rPr>
        <w:t>ORDER:</w:t>
      </w:r>
    </w:p>
    <w:p w14:paraId="56DFE97A" w14:textId="0272FE32" w:rsidR="002863A1" w:rsidRDefault="008C7FFA" w:rsidP="00D2332B">
      <w:pPr>
        <w:rPr>
          <w:rFonts w:asciiTheme="minorHAnsi" w:hAnsiTheme="minorHAnsi"/>
          <w:bCs/>
          <w:sz w:val="25"/>
          <w:szCs w:val="25"/>
        </w:rPr>
      </w:pPr>
      <w:r>
        <w:rPr>
          <w:rFonts w:asciiTheme="minorHAnsi" w:hAnsiTheme="minorHAnsi" w:cs="Calibri"/>
          <w:color w:val="000000"/>
          <w:sz w:val="25"/>
          <w:szCs w:val="25"/>
        </w:rPr>
        <w:t xml:space="preserve">The following Parents’ exhibits will be entered into </w:t>
      </w:r>
      <w:r w:rsidR="00D2332B">
        <w:rPr>
          <w:rFonts w:asciiTheme="minorHAnsi" w:hAnsiTheme="minorHAnsi" w:cs="Calibri"/>
          <w:color w:val="000000"/>
          <w:sz w:val="25"/>
          <w:szCs w:val="25"/>
        </w:rPr>
        <w:t xml:space="preserve">the record: </w:t>
      </w:r>
      <w:r w:rsidR="00D2332B">
        <w:rPr>
          <w:rFonts w:asciiTheme="minorHAnsi" w:hAnsiTheme="minorHAnsi"/>
          <w:bCs/>
          <w:sz w:val="25"/>
          <w:szCs w:val="25"/>
        </w:rPr>
        <w:t xml:space="preserve">P-1 through P-5, P-6(1) and P-6(2), P-7(1) and P-7(2), P-9, P-10(1) through P-10(5), P-11, P-12(1) and P-12(2), P-13(1) through P-13(3), P-14, P-15(1) and P-15(2), P-16(1) and P-16(2), P-17(1) through P-17(9), P-18(1) through P-18(4), and P-19. </w:t>
      </w:r>
    </w:p>
    <w:p w14:paraId="448DC062" w14:textId="77777777" w:rsidR="00D2332B" w:rsidRPr="00D2332B" w:rsidRDefault="00D2332B" w:rsidP="00D2332B">
      <w:pPr>
        <w:rPr>
          <w:rFonts w:asciiTheme="minorHAnsi" w:hAnsiTheme="minorHAnsi"/>
          <w:bCs/>
          <w:sz w:val="25"/>
          <w:szCs w:val="25"/>
        </w:rPr>
      </w:pPr>
    </w:p>
    <w:p w14:paraId="4380638A" w14:textId="77777777" w:rsidR="00F9634B" w:rsidRPr="007F2D35" w:rsidRDefault="00F9634B" w:rsidP="00F9634B">
      <w:pPr>
        <w:rPr>
          <w:rFonts w:asciiTheme="minorHAnsi" w:hAnsiTheme="minorHAnsi"/>
          <w:color w:val="000000" w:themeColor="text1"/>
          <w:sz w:val="25"/>
          <w:szCs w:val="25"/>
        </w:rPr>
      </w:pPr>
      <w:r w:rsidRPr="007F2D35">
        <w:rPr>
          <w:rFonts w:asciiTheme="minorHAnsi" w:hAnsiTheme="minorHAnsi"/>
          <w:color w:val="000000" w:themeColor="text1"/>
          <w:sz w:val="25"/>
          <w:szCs w:val="25"/>
        </w:rPr>
        <w:t>So Ordered by the Hearing Officer,</w:t>
      </w:r>
    </w:p>
    <w:p w14:paraId="2F77741C" w14:textId="77777777" w:rsidR="00F9634B" w:rsidRPr="007F2D35" w:rsidRDefault="00F9634B" w:rsidP="00F9634B">
      <w:pPr>
        <w:rPr>
          <w:rFonts w:asciiTheme="minorHAnsi" w:hAnsiTheme="minorHAnsi"/>
          <w:color w:val="000000" w:themeColor="text1"/>
          <w:sz w:val="25"/>
          <w:szCs w:val="25"/>
        </w:rPr>
      </w:pPr>
    </w:p>
    <w:p w14:paraId="14AE1AE2" w14:textId="77777777" w:rsidR="00F9634B" w:rsidRPr="00D92F01" w:rsidRDefault="00F9634B" w:rsidP="00F9634B">
      <w:pPr>
        <w:rPr>
          <w:rFonts w:ascii="Baguet Script" w:hAnsi="Baguet Script" w:cs="Apple Chancery"/>
          <w:color w:val="000000" w:themeColor="text1"/>
          <w:sz w:val="25"/>
          <w:szCs w:val="25"/>
          <w:u w:val="single"/>
          <w:lang w:val="pt-BR"/>
        </w:rPr>
      </w:pPr>
      <w:r w:rsidRPr="00D92F01">
        <w:rPr>
          <w:rFonts w:asciiTheme="minorHAnsi" w:hAnsiTheme="minorHAnsi"/>
          <w:color w:val="000000" w:themeColor="text1"/>
          <w:sz w:val="25"/>
          <w:szCs w:val="25"/>
          <w:u w:val="single"/>
          <w:lang w:val="pt-BR"/>
        </w:rPr>
        <w:t xml:space="preserve">/s/ </w:t>
      </w:r>
      <w:r w:rsidRPr="00D92F01">
        <w:rPr>
          <w:rFonts w:ascii="Baguet Script" w:hAnsi="Baguet Script" w:cs="Apple Chancery"/>
          <w:color w:val="000000" w:themeColor="text1"/>
          <w:sz w:val="25"/>
          <w:szCs w:val="25"/>
          <w:u w:val="single"/>
          <w:lang w:val="pt-BR"/>
        </w:rPr>
        <w:t>Alina Kantor Nir</w:t>
      </w:r>
    </w:p>
    <w:p w14:paraId="764A193B" w14:textId="77777777" w:rsidR="00F9634B" w:rsidRPr="00D92F01" w:rsidRDefault="00F9634B" w:rsidP="00F9634B">
      <w:pPr>
        <w:rPr>
          <w:rFonts w:asciiTheme="minorHAnsi" w:hAnsiTheme="minorHAnsi"/>
          <w:color w:val="000000" w:themeColor="text1"/>
          <w:sz w:val="25"/>
          <w:szCs w:val="25"/>
          <w:lang w:val="pt-BR"/>
        </w:rPr>
      </w:pPr>
      <w:r w:rsidRPr="00D92F01">
        <w:rPr>
          <w:rFonts w:asciiTheme="minorHAnsi" w:hAnsiTheme="minorHAnsi"/>
          <w:color w:val="000000" w:themeColor="text1"/>
          <w:sz w:val="25"/>
          <w:szCs w:val="25"/>
          <w:lang w:val="pt-BR"/>
        </w:rPr>
        <w:t>Alina Kantor Nir</w:t>
      </w:r>
    </w:p>
    <w:p w14:paraId="411A4137" w14:textId="5050FCFD" w:rsidR="00F9634B" w:rsidRPr="007F2D35" w:rsidRDefault="00F9634B" w:rsidP="00F9634B">
      <w:pPr>
        <w:rPr>
          <w:rFonts w:asciiTheme="minorHAnsi" w:hAnsiTheme="minorHAnsi"/>
          <w:color w:val="000000" w:themeColor="text1"/>
          <w:sz w:val="25"/>
          <w:szCs w:val="25"/>
        </w:rPr>
      </w:pPr>
      <w:r w:rsidRPr="007F2D35">
        <w:rPr>
          <w:rFonts w:asciiTheme="minorHAnsi" w:hAnsiTheme="minorHAnsi"/>
          <w:color w:val="000000" w:themeColor="text1"/>
          <w:sz w:val="25"/>
          <w:szCs w:val="25"/>
        </w:rPr>
        <w:t xml:space="preserve">Dated: </w:t>
      </w:r>
      <w:r w:rsidR="00F6709A">
        <w:rPr>
          <w:rFonts w:asciiTheme="minorHAnsi" w:hAnsiTheme="minorHAnsi"/>
          <w:color w:val="000000" w:themeColor="text1"/>
          <w:sz w:val="25"/>
          <w:szCs w:val="25"/>
        </w:rPr>
        <w:t xml:space="preserve"> </w:t>
      </w:r>
      <w:r w:rsidR="00D2332B">
        <w:rPr>
          <w:rFonts w:asciiTheme="minorHAnsi" w:hAnsiTheme="minorHAnsi"/>
          <w:color w:val="000000" w:themeColor="text1"/>
          <w:sz w:val="25"/>
          <w:szCs w:val="25"/>
        </w:rPr>
        <w:t>February 4, 2025</w:t>
      </w:r>
    </w:p>
    <w:sectPr w:rsidR="00F9634B" w:rsidRPr="007F2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C4344" w14:textId="77777777" w:rsidR="005760BB" w:rsidRDefault="005760BB" w:rsidP="00E80D1E">
      <w:r>
        <w:separator/>
      </w:r>
    </w:p>
  </w:endnote>
  <w:endnote w:type="continuationSeparator" w:id="0">
    <w:p w14:paraId="007FA2F8" w14:textId="77777777" w:rsidR="005760BB" w:rsidRDefault="005760BB" w:rsidP="00E80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Unicode MS">
    <w:panose1 w:val="020B0604020202020204"/>
    <w:charset w:val="80"/>
    <w:family w:val="swiss"/>
    <w:notTrueType/>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Baguet Script">
    <w:charset w:val="00"/>
    <w:family w:val="auto"/>
    <w:pitch w:val="variable"/>
    <w:sig w:usb0="00000007" w:usb1="00000000" w:usb2="00000000" w:usb3="00000000" w:csb0="00000093" w:csb1="00000000"/>
  </w:font>
  <w:font w:name="Apple Chancery">
    <w:altName w:val="APPLE CHANCERY"/>
    <w:charset w:val="B1"/>
    <w:family w:val="script"/>
    <w:pitch w:val="variable"/>
    <w:sig w:usb0="80000867" w:usb1="00000003" w:usb2="00000000" w:usb3="00000000" w:csb0="000001F3"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68093" w14:textId="77777777" w:rsidR="005760BB" w:rsidRDefault="005760BB" w:rsidP="00E80D1E">
      <w:r>
        <w:separator/>
      </w:r>
    </w:p>
  </w:footnote>
  <w:footnote w:type="continuationSeparator" w:id="0">
    <w:p w14:paraId="695CA3DB" w14:textId="77777777" w:rsidR="005760BB" w:rsidRDefault="005760BB" w:rsidP="00E80D1E">
      <w:r>
        <w:continuationSeparator/>
      </w:r>
    </w:p>
  </w:footnote>
  <w:footnote w:id="1">
    <w:p w14:paraId="68A20693" w14:textId="50628971" w:rsidR="0057591F" w:rsidRDefault="0057591F">
      <w:pPr>
        <w:pStyle w:val="FootnoteText"/>
      </w:pPr>
      <w:r>
        <w:rPr>
          <w:rStyle w:val="FootnoteReference"/>
        </w:rPr>
        <w:footnoteRef/>
      </w:r>
      <w:r>
        <w:t xml:space="preserve"> BSEA Hearing Rule IXB.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A1731"/>
    <w:multiLevelType w:val="hybridMultilevel"/>
    <w:tmpl w:val="2528C2B4"/>
    <w:lvl w:ilvl="0" w:tplc="36EA191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C91A0D"/>
    <w:multiLevelType w:val="hybridMultilevel"/>
    <w:tmpl w:val="F342C08C"/>
    <w:lvl w:ilvl="0" w:tplc="E01E692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C592FB6"/>
    <w:multiLevelType w:val="hybridMultilevel"/>
    <w:tmpl w:val="31D4DB5C"/>
    <w:lvl w:ilvl="0" w:tplc="374846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1951B4E"/>
    <w:multiLevelType w:val="multilevel"/>
    <w:tmpl w:val="8370C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206BE1"/>
    <w:multiLevelType w:val="hybridMultilevel"/>
    <w:tmpl w:val="97088DF0"/>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4BD90CD6"/>
    <w:multiLevelType w:val="hybridMultilevel"/>
    <w:tmpl w:val="8D323976"/>
    <w:lvl w:ilvl="0" w:tplc="1A6ADF14">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51E20FB0"/>
    <w:multiLevelType w:val="hybridMultilevel"/>
    <w:tmpl w:val="DF401508"/>
    <w:lvl w:ilvl="0" w:tplc="6088A378">
      <w:start w:val="1"/>
      <w:numFmt w:val="decimal"/>
      <w:lvlText w:val="%1)"/>
      <w:lvlJc w:val="left"/>
      <w:pPr>
        <w:ind w:left="1440" w:hanging="360"/>
      </w:pPr>
      <w:rPr>
        <w:rFonts w:ascii="Aptos" w:hAnsi="Apto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D0E76B0"/>
    <w:multiLevelType w:val="hybridMultilevel"/>
    <w:tmpl w:val="85B03F64"/>
    <w:lvl w:ilvl="0" w:tplc="A540F9B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D356746"/>
    <w:multiLevelType w:val="hybridMultilevel"/>
    <w:tmpl w:val="97088DF0"/>
    <w:lvl w:ilvl="0" w:tplc="776628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015717617">
    <w:abstractNumId w:val="8"/>
  </w:num>
  <w:num w:numId="2" w16cid:durableId="1706755585">
    <w:abstractNumId w:val="4"/>
  </w:num>
  <w:num w:numId="3" w16cid:durableId="61032054">
    <w:abstractNumId w:val="7"/>
  </w:num>
  <w:num w:numId="4" w16cid:durableId="1560945984">
    <w:abstractNumId w:val="6"/>
  </w:num>
  <w:num w:numId="5" w16cid:durableId="798760755">
    <w:abstractNumId w:val="2"/>
  </w:num>
  <w:num w:numId="6" w16cid:durableId="341973593">
    <w:abstractNumId w:val="5"/>
  </w:num>
  <w:num w:numId="7" w16cid:durableId="47462389">
    <w:abstractNumId w:val="1"/>
  </w:num>
  <w:num w:numId="8" w16cid:durableId="269163785">
    <w:abstractNumId w:val="0"/>
  </w:num>
  <w:num w:numId="9" w16cid:durableId="1846808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D1E"/>
    <w:rsid w:val="00055636"/>
    <w:rsid w:val="00081B19"/>
    <w:rsid w:val="000832DD"/>
    <w:rsid w:val="000C6102"/>
    <w:rsid w:val="0012775E"/>
    <w:rsid w:val="0018486C"/>
    <w:rsid w:val="00192E65"/>
    <w:rsid w:val="001B395E"/>
    <w:rsid w:val="001B6604"/>
    <w:rsid w:val="001B7032"/>
    <w:rsid w:val="00207DF2"/>
    <w:rsid w:val="002754DA"/>
    <w:rsid w:val="0028183A"/>
    <w:rsid w:val="002863A1"/>
    <w:rsid w:val="002939BE"/>
    <w:rsid w:val="002F0A03"/>
    <w:rsid w:val="002F5E43"/>
    <w:rsid w:val="00300863"/>
    <w:rsid w:val="003023A5"/>
    <w:rsid w:val="00307752"/>
    <w:rsid w:val="00335980"/>
    <w:rsid w:val="00380E74"/>
    <w:rsid w:val="003878CE"/>
    <w:rsid w:val="003925FE"/>
    <w:rsid w:val="003C76D2"/>
    <w:rsid w:val="003D7D17"/>
    <w:rsid w:val="0041781D"/>
    <w:rsid w:val="00451BC1"/>
    <w:rsid w:val="004701E9"/>
    <w:rsid w:val="00475D1C"/>
    <w:rsid w:val="004A1667"/>
    <w:rsid w:val="004D727F"/>
    <w:rsid w:val="00535D7F"/>
    <w:rsid w:val="0056299B"/>
    <w:rsid w:val="0057591F"/>
    <w:rsid w:val="005760BB"/>
    <w:rsid w:val="005E0664"/>
    <w:rsid w:val="006730C2"/>
    <w:rsid w:val="00683A1A"/>
    <w:rsid w:val="00690827"/>
    <w:rsid w:val="006D7147"/>
    <w:rsid w:val="00746578"/>
    <w:rsid w:val="00752002"/>
    <w:rsid w:val="0075269D"/>
    <w:rsid w:val="0075627C"/>
    <w:rsid w:val="007A38DE"/>
    <w:rsid w:val="007F2D35"/>
    <w:rsid w:val="008258F9"/>
    <w:rsid w:val="00890B51"/>
    <w:rsid w:val="008A2809"/>
    <w:rsid w:val="008B2F8F"/>
    <w:rsid w:val="008C7FFA"/>
    <w:rsid w:val="008D1225"/>
    <w:rsid w:val="008E1222"/>
    <w:rsid w:val="00947E5B"/>
    <w:rsid w:val="009D36B2"/>
    <w:rsid w:val="009F6688"/>
    <w:rsid w:val="00A170FC"/>
    <w:rsid w:val="00A17121"/>
    <w:rsid w:val="00A217B2"/>
    <w:rsid w:val="00A53281"/>
    <w:rsid w:val="00A76D0A"/>
    <w:rsid w:val="00AA2C24"/>
    <w:rsid w:val="00AD10A9"/>
    <w:rsid w:val="00AD1459"/>
    <w:rsid w:val="00AD541D"/>
    <w:rsid w:val="00AF6385"/>
    <w:rsid w:val="00B01C6F"/>
    <w:rsid w:val="00B8765E"/>
    <w:rsid w:val="00BB05A6"/>
    <w:rsid w:val="00BC22AA"/>
    <w:rsid w:val="00C42A5B"/>
    <w:rsid w:val="00C52C3F"/>
    <w:rsid w:val="00C70FC5"/>
    <w:rsid w:val="00C71D00"/>
    <w:rsid w:val="00CA2172"/>
    <w:rsid w:val="00CA2731"/>
    <w:rsid w:val="00CB7F38"/>
    <w:rsid w:val="00CC59A5"/>
    <w:rsid w:val="00CD1694"/>
    <w:rsid w:val="00CD1927"/>
    <w:rsid w:val="00CE3EA6"/>
    <w:rsid w:val="00D1559A"/>
    <w:rsid w:val="00D2332B"/>
    <w:rsid w:val="00D357C5"/>
    <w:rsid w:val="00D35881"/>
    <w:rsid w:val="00D57239"/>
    <w:rsid w:val="00D67643"/>
    <w:rsid w:val="00D92F01"/>
    <w:rsid w:val="00D96887"/>
    <w:rsid w:val="00DA18DA"/>
    <w:rsid w:val="00DC3F41"/>
    <w:rsid w:val="00DE0657"/>
    <w:rsid w:val="00DF683C"/>
    <w:rsid w:val="00E31C0A"/>
    <w:rsid w:val="00E80D1E"/>
    <w:rsid w:val="00EB498F"/>
    <w:rsid w:val="00EF3DEA"/>
    <w:rsid w:val="00F131B2"/>
    <w:rsid w:val="00F3688C"/>
    <w:rsid w:val="00F57C57"/>
    <w:rsid w:val="00F6709A"/>
    <w:rsid w:val="00F81EDD"/>
    <w:rsid w:val="00F83624"/>
    <w:rsid w:val="00F9634B"/>
    <w:rsid w:val="00FA3E69"/>
    <w:rsid w:val="00FA57CB"/>
    <w:rsid w:val="00FD31BF"/>
    <w:rsid w:val="00FE75C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15F83"/>
  <w15:chartTrackingRefBased/>
  <w15:docId w15:val="{D3E99A13-F42B-0946-BDB4-53FE9D3AF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D1E"/>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80D1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80D1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80D1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80D1E"/>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E80D1E"/>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E80D1E"/>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80D1E"/>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80D1E"/>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80D1E"/>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0D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0D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0D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0D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0D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0D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0D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0D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0D1E"/>
    <w:rPr>
      <w:rFonts w:eastAsiaTheme="majorEastAsia" w:cstheme="majorBidi"/>
      <w:color w:val="272727" w:themeColor="text1" w:themeTint="D8"/>
    </w:rPr>
  </w:style>
  <w:style w:type="paragraph" w:styleId="Title">
    <w:name w:val="Title"/>
    <w:basedOn w:val="Normal"/>
    <w:next w:val="Normal"/>
    <w:link w:val="TitleChar"/>
    <w:uiPriority w:val="10"/>
    <w:qFormat/>
    <w:rsid w:val="00E80D1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80D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0D1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80D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0D1E"/>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E80D1E"/>
    <w:rPr>
      <w:i/>
      <w:iCs/>
      <w:color w:val="404040" w:themeColor="text1" w:themeTint="BF"/>
    </w:rPr>
  </w:style>
  <w:style w:type="paragraph" w:styleId="ListParagraph">
    <w:name w:val="List Paragraph"/>
    <w:basedOn w:val="Normal"/>
    <w:uiPriority w:val="34"/>
    <w:qFormat/>
    <w:rsid w:val="00E80D1E"/>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E80D1E"/>
    <w:rPr>
      <w:i/>
      <w:iCs/>
      <w:color w:val="0F4761" w:themeColor="accent1" w:themeShade="BF"/>
    </w:rPr>
  </w:style>
  <w:style w:type="paragraph" w:styleId="IntenseQuote">
    <w:name w:val="Intense Quote"/>
    <w:basedOn w:val="Normal"/>
    <w:next w:val="Normal"/>
    <w:link w:val="IntenseQuoteChar"/>
    <w:uiPriority w:val="30"/>
    <w:qFormat/>
    <w:rsid w:val="00E80D1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E80D1E"/>
    <w:rPr>
      <w:i/>
      <w:iCs/>
      <w:color w:val="0F4761" w:themeColor="accent1" w:themeShade="BF"/>
    </w:rPr>
  </w:style>
  <w:style w:type="character" w:styleId="IntenseReference">
    <w:name w:val="Intense Reference"/>
    <w:basedOn w:val="DefaultParagraphFont"/>
    <w:uiPriority w:val="32"/>
    <w:qFormat/>
    <w:rsid w:val="00E80D1E"/>
    <w:rPr>
      <w:b/>
      <w:bCs/>
      <w:smallCaps/>
      <w:color w:val="0F4761" w:themeColor="accent1" w:themeShade="BF"/>
      <w:spacing w:val="5"/>
    </w:rPr>
  </w:style>
  <w:style w:type="paragraph" w:styleId="NoSpacing">
    <w:name w:val="No Spacing"/>
    <w:link w:val="NoSpacingChar"/>
    <w:uiPriority w:val="1"/>
    <w:qFormat/>
    <w:rsid w:val="00E80D1E"/>
    <w:pPr>
      <w:spacing w:after="0" w:line="240" w:lineRule="auto"/>
    </w:pPr>
    <w:rPr>
      <w:kern w:val="0"/>
      <w:sz w:val="22"/>
      <w:szCs w:val="22"/>
      <w14:ligatures w14:val="none"/>
    </w:rPr>
  </w:style>
  <w:style w:type="character" w:customStyle="1" w:styleId="NoSpacingChar">
    <w:name w:val="No Spacing Char"/>
    <w:basedOn w:val="DefaultParagraphFont"/>
    <w:link w:val="NoSpacing"/>
    <w:uiPriority w:val="1"/>
    <w:rsid w:val="00E80D1E"/>
    <w:rPr>
      <w:kern w:val="0"/>
      <w:sz w:val="22"/>
      <w:szCs w:val="22"/>
      <w14:ligatures w14:val="none"/>
    </w:rPr>
  </w:style>
  <w:style w:type="paragraph" w:styleId="FootnoteText">
    <w:name w:val="footnote text"/>
    <w:basedOn w:val="Normal"/>
    <w:link w:val="FootnoteTextChar"/>
    <w:uiPriority w:val="99"/>
    <w:unhideWhenUsed/>
    <w:rsid w:val="00E80D1E"/>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E80D1E"/>
    <w:rPr>
      <w:kern w:val="0"/>
      <w:sz w:val="20"/>
      <w:szCs w:val="20"/>
      <w14:ligatures w14:val="none"/>
    </w:rPr>
  </w:style>
  <w:style w:type="character" w:styleId="FootnoteReference">
    <w:name w:val="footnote reference"/>
    <w:basedOn w:val="DefaultParagraphFont"/>
    <w:uiPriority w:val="99"/>
    <w:unhideWhenUsed/>
    <w:rsid w:val="00E80D1E"/>
    <w:rPr>
      <w:vertAlign w:val="superscript"/>
    </w:rPr>
  </w:style>
  <w:style w:type="character" w:styleId="Emphasis">
    <w:name w:val="Emphasis"/>
    <w:basedOn w:val="DefaultParagraphFont"/>
    <w:uiPriority w:val="20"/>
    <w:qFormat/>
    <w:rsid w:val="00E80D1E"/>
    <w:rPr>
      <w:i/>
      <w:iCs/>
    </w:rPr>
  </w:style>
  <w:style w:type="character" w:customStyle="1" w:styleId="apple-converted-space">
    <w:name w:val="apple-converted-space"/>
    <w:basedOn w:val="DefaultParagraphFont"/>
    <w:rsid w:val="00E80D1E"/>
  </w:style>
  <w:style w:type="character" w:customStyle="1" w:styleId="coconcept14">
    <w:name w:val="co_concept_1_4"/>
    <w:basedOn w:val="DefaultParagraphFont"/>
    <w:rsid w:val="00E80D1E"/>
  </w:style>
  <w:style w:type="character" w:customStyle="1" w:styleId="coconcept1723">
    <w:name w:val="co_concept_17_23"/>
    <w:basedOn w:val="DefaultParagraphFont"/>
    <w:rsid w:val="00E80D1E"/>
  </w:style>
  <w:style w:type="character" w:customStyle="1" w:styleId="coconcept2527">
    <w:name w:val="co_concept_25_27"/>
    <w:basedOn w:val="DefaultParagraphFont"/>
    <w:rsid w:val="00E80D1E"/>
  </w:style>
  <w:style w:type="character" w:styleId="Hyperlink">
    <w:name w:val="Hyperlink"/>
    <w:basedOn w:val="DefaultParagraphFont"/>
    <w:uiPriority w:val="99"/>
    <w:unhideWhenUsed/>
    <w:rsid w:val="002F5E43"/>
    <w:rPr>
      <w:color w:val="467886" w:themeColor="hyperlink"/>
      <w:u w:val="single"/>
    </w:rPr>
  </w:style>
  <w:style w:type="character" w:styleId="UnresolvedMention">
    <w:name w:val="Unresolved Mention"/>
    <w:basedOn w:val="DefaultParagraphFont"/>
    <w:uiPriority w:val="99"/>
    <w:semiHidden/>
    <w:unhideWhenUsed/>
    <w:rsid w:val="002F5E43"/>
    <w:rPr>
      <w:color w:val="605E5C"/>
      <w:shd w:val="clear" w:color="auto" w:fill="E1DFDD"/>
    </w:rPr>
  </w:style>
  <w:style w:type="paragraph" w:styleId="NormalWeb">
    <w:name w:val="Normal (Web)"/>
    <w:basedOn w:val="Normal"/>
    <w:uiPriority w:val="99"/>
    <w:unhideWhenUsed/>
    <w:rsid w:val="00AF6385"/>
    <w:pPr>
      <w:spacing w:before="100" w:beforeAutospacing="1" w:after="100" w:afterAutospacing="1"/>
    </w:pPr>
  </w:style>
  <w:style w:type="paragraph" w:styleId="Revision">
    <w:name w:val="Revision"/>
    <w:hidden/>
    <w:uiPriority w:val="99"/>
    <w:semiHidden/>
    <w:rsid w:val="00AA2C24"/>
    <w:pPr>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9C5FD-EDAF-A144-96B2-0C64B9910F43}">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577</Words>
  <Characters>3293</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Kantor Nir, Alina (ALA)</dc:creator>
  <cp:keywords/>
  <dc:description/>
  <cp:lastModifiedBy>Erlichman, Reece (ALA)</cp:lastModifiedBy>
  <cp:revision>2</cp:revision>
  <cp:lastPrinted>2026-02-04T13:17:00Z</cp:lastPrinted>
  <dcterms:created xsi:type="dcterms:W3CDTF">2026-02-04T13:39:00Z</dcterms:created>
  <dcterms:modified xsi:type="dcterms:W3CDTF">2026-02-04T13:39:00Z</dcterms:modified>
</cp:coreProperties>
</file>