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56BD0" w14:textId="12D9A3AE" w:rsidR="000E7A2A" w:rsidRPr="002A42E8" w:rsidRDefault="000E7A2A" w:rsidP="00A7261B">
      <w:pPr>
        <w:spacing w:after="0" w:line="240" w:lineRule="auto"/>
        <w:jc w:val="center"/>
        <w:rPr>
          <w:rFonts w:ascii="Aptos" w:hAnsi="Aptos" w:cs="Times New Roman"/>
          <w:b/>
          <w:bCs/>
          <w:sz w:val="28"/>
          <w:szCs w:val="28"/>
        </w:rPr>
      </w:pPr>
      <w:r w:rsidRPr="002A42E8">
        <w:rPr>
          <w:rFonts w:ascii="Aptos" w:hAnsi="Aptos" w:cs="Times New Roman"/>
          <w:b/>
          <w:bCs/>
          <w:sz w:val="28"/>
          <w:szCs w:val="28"/>
        </w:rPr>
        <w:t>COMMONWEALTH OF MASSACHUSETTS</w:t>
      </w:r>
    </w:p>
    <w:p w14:paraId="5A45EFA4" w14:textId="77777777" w:rsidR="000E7A2A" w:rsidRPr="002A42E8" w:rsidRDefault="000E7A2A" w:rsidP="000E7A2A">
      <w:pPr>
        <w:spacing w:after="0" w:line="240" w:lineRule="auto"/>
        <w:jc w:val="center"/>
        <w:rPr>
          <w:rFonts w:ascii="Aptos" w:hAnsi="Aptos" w:cs="Times New Roman"/>
          <w:b/>
          <w:bCs/>
          <w:sz w:val="28"/>
          <w:szCs w:val="28"/>
        </w:rPr>
      </w:pPr>
      <w:r w:rsidRPr="002A42E8">
        <w:rPr>
          <w:rFonts w:ascii="Aptos" w:hAnsi="Aptos" w:cs="Times New Roman"/>
          <w:b/>
          <w:bCs/>
          <w:sz w:val="28"/>
          <w:szCs w:val="28"/>
        </w:rPr>
        <w:t xml:space="preserve">DIVISION OF ADMINISTRATIVE LAW APPEALS </w:t>
      </w:r>
    </w:p>
    <w:p w14:paraId="480741B1" w14:textId="77777777" w:rsidR="000E7A2A" w:rsidRPr="002A42E8" w:rsidRDefault="000E7A2A" w:rsidP="000E7A2A">
      <w:pPr>
        <w:spacing w:after="0" w:line="240" w:lineRule="auto"/>
        <w:jc w:val="center"/>
        <w:rPr>
          <w:rFonts w:ascii="Aptos" w:hAnsi="Aptos" w:cs="Times New Roman"/>
          <w:b/>
          <w:bCs/>
          <w:sz w:val="28"/>
          <w:szCs w:val="28"/>
        </w:rPr>
      </w:pPr>
      <w:r w:rsidRPr="002A42E8">
        <w:rPr>
          <w:rFonts w:ascii="Aptos" w:hAnsi="Aptos" w:cs="Times New Roman"/>
          <w:b/>
          <w:bCs/>
          <w:sz w:val="28"/>
          <w:szCs w:val="28"/>
        </w:rPr>
        <w:t>BUREAU OF SPECIAL EDUCATION APPEALS</w:t>
      </w:r>
    </w:p>
    <w:p w14:paraId="37972807" w14:textId="77777777" w:rsidR="000E7A2A" w:rsidRPr="002A42E8" w:rsidRDefault="000E7A2A" w:rsidP="001A3476">
      <w:pPr>
        <w:spacing w:after="0" w:line="240" w:lineRule="auto"/>
        <w:rPr>
          <w:rFonts w:ascii="Aptos" w:hAnsi="Aptos" w:cs="Times New Roman"/>
          <w:b/>
          <w:bCs/>
          <w:sz w:val="25"/>
          <w:szCs w:val="25"/>
        </w:rPr>
      </w:pPr>
    </w:p>
    <w:p w14:paraId="3CE76923" w14:textId="4F51CA78" w:rsidR="000E7A2A" w:rsidRDefault="000E7A2A" w:rsidP="000E7A2A">
      <w:pPr>
        <w:spacing w:after="0" w:line="240" w:lineRule="auto"/>
        <w:ind w:left="720" w:hanging="720"/>
        <w:rPr>
          <w:rFonts w:ascii="Aptos" w:hAnsi="Aptos" w:cs="Times New Roman"/>
          <w:b/>
          <w:bCs/>
          <w:sz w:val="25"/>
          <w:szCs w:val="25"/>
        </w:rPr>
      </w:pPr>
      <w:r w:rsidRPr="000467B1">
        <w:rPr>
          <w:rFonts w:ascii="Aptos" w:hAnsi="Aptos" w:cs="Times New Roman"/>
          <w:b/>
          <w:bCs/>
          <w:sz w:val="25"/>
          <w:szCs w:val="25"/>
        </w:rPr>
        <w:t xml:space="preserve">In Re: </w:t>
      </w:r>
      <w:r w:rsidRPr="000467B1">
        <w:rPr>
          <w:rFonts w:ascii="Aptos" w:hAnsi="Aptos" w:cs="Times New Roman"/>
          <w:b/>
          <w:bCs/>
          <w:sz w:val="25"/>
          <w:szCs w:val="25"/>
        </w:rPr>
        <w:tab/>
      </w:r>
      <w:r>
        <w:rPr>
          <w:rFonts w:ascii="Aptos" w:hAnsi="Aptos" w:cs="Times New Roman"/>
          <w:b/>
          <w:bCs/>
          <w:sz w:val="25"/>
          <w:szCs w:val="25"/>
        </w:rPr>
        <w:t xml:space="preserve">Student </w:t>
      </w:r>
      <w:r w:rsidRPr="000467B1">
        <w:rPr>
          <w:rFonts w:ascii="Aptos" w:hAnsi="Aptos" w:cs="Times New Roman"/>
          <w:b/>
          <w:bCs/>
          <w:sz w:val="25"/>
          <w:szCs w:val="25"/>
        </w:rPr>
        <w:t xml:space="preserve">&amp; </w:t>
      </w:r>
      <w:r>
        <w:rPr>
          <w:rFonts w:ascii="Aptos" w:hAnsi="Aptos" w:cs="Times New Roman"/>
          <w:b/>
          <w:bCs/>
          <w:sz w:val="25"/>
          <w:szCs w:val="25"/>
        </w:rPr>
        <w:t xml:space="preserve">Boston Public Schools </w:t>
      </w:r>
      <w:r>
        <w:rPr>
          <w:rFonts w:ascii="Aptos" w:hAnsi="Aptos" w:cs="Times New Roman"/>
          <w:b/>
          <w:bCs/>
          <w:sz w:val="25"/>
          <w:szCs w:val="25"/>
        </w:rPr>
        <w:tab/>
      </w:r>
      <w:r>
        <w:rPr>
          <w:rFonts w:ascii="Aptos" w:hAnsi="Aptos" w:cs="Times New Roman"/>
          <w:b/>
          <w:bCs/>
          <w:sz w:val="25"/>
          <w:szCs w:val="25"/>
        </w:rPr>
        <w:tab/>
      </w:r>
      <w:r w:rsidRPr="000467B1">
        <w:rPr>
          <w:rFonts w:ascii="Aptos" w:hAnsi="Aptos" w:cs="Times New Roman"/>
          <w:b/>
          <w:bCs/>
          <w:sz w:val="25"/>
          <w:szCs w:val="25"/>
        </w:rPr>
        <w:tab/>
      </w:r>
      <w:r w:rsidRPr="000467B1">
        <w:rPr>
          <w:rFonts w:ascii="Aptos" w:hAnsi="Aptos" w:cs="Times New Roman"/>
          <w:b/>
          <w:bCs/>
          <w:sz w:val="25"/>
          <w:szCs w:val="25"/>
        </w:rPr>
        <w:tab/>
      </w:r>
      <w:r>
        <w:rPr>
          <w:rFonts w:ascii="Aptos" w:hAnsi="Aptos" w:cs="Times New Roman"/>
          <w:b/>
          <w:bCs/>
          <w:sz w:val="25"/>
          <w:szCs w:val="25"/>
        </w:rPr>
        <w:t xml:space="preserve">       </w:t>
      </w:r>
      <w:r w:rsidRPr="000467B1">
        <w:rPr>
          <w:rFonts w:ascii="Aptos" w:hAnsi="Aptos" w:cs="Times New Roman"/>
          <w:b/>
          <w:bCs/>
          <w:sz w:val="25"/>
          <w:szCs w:val="25"/>
        </w:rPr>
        <w:t>BSEA # 25</w:t>
      </w:r>
      <w:r w:rsidR="003756A6">
        <w:rPr>
          <w:rFonts w:ascii="Aptos" w:hAnsi="Aptos" w:cs="Times New Roman"/>
          <w:b/>
          <w:bCs/>
          <w:sz w:val="25"/>
          <w:szCs w:val="25"/>
        </w:rPr>
        <w:t>12021</w:t>
      </w:r>
    </w:p>
    <w:p w14:paraId="00D70553" w14:textId="4268FAC4" w:rsidR="000E7A2A" w:rsidRPr="000467B1" w:rsidRDefault="000E7A2A" w:rsidP="00A7261B">
      <w:pPr>
        <w:spacing w:after="0" w:line="240" w:lineRule="auto"/>
        <w:ind w:left="720" w:hanging="720"/>
        <w:rPr>
          <w:rFonts w:ascii="Aptos" w:hAnsi="Aptos" w:cs="Times New Roman"/>
          <w:b/>
          <w:bCs/>
          <w:sz w:val="25"/>
          <w:szCs w:val="25"/>
        </w:rPr>
      </w:pPr>
      <w:r>
        <w:rPr>
          <w:rFonts w:ascii="Aptos" w:hAnsi="Aptos" w:cs="Times New Roman"/>
          <w:b/>
          <w:bCs/>
          <w:sz w:val="25"/>
          <w:szCs w:val="25"/>
        </w:rPr>
        <w:t xml:space="preserve">             </w:t>
      </w:r>
    </w:p>
    <w:p w14:paraId="35169BC6" w14:textId="075421BC" w:rsidR="000E7A2A" w:rsidRDefault="000E7A2A" w:rsidP="000E7A2A">
      <w:pPr>
        <w:spacing w:after="0" w:line="240" w:lineRule="auto"/>
        <w:jc w:val="center"/>
        <w:rPr>
          <w:rFonts w:ascii="Aptos" w:hAnsi="Aptos" w:cs="Times New Roman"/>
          <w:b/>
          <w:bCs/>
          <w:sz w:val="25"/>
          <w:szCs w:val="25"/>
          <w:u w:val="single"/>
        </w:rPr>
      </w:pPr>
      <w:r w:rsidRPr="000467B1">
        <w:rPr>
          <w:rFonts w:ascii="Aptos" w:hAnsi="Aptos" w:cs="Times New Roman"/>
          <w:b/>
          <w:bCs/>
          <w:sz w:val="25"/>
          <w:szCs w:val="25"/>
          <w:u w:val="single"/>
        </w:rPr>
        <w:t xml:space="preserve">RULING ON </w:t>
      </w:r>
      <w:r>
        <w:rPr>
          <w:rFonts w:ascii="Aptos" w:hAnsi="Aptos" w:cs="Times New Roman"/>
          <w:b/>
          <w:bCs/>
          <w:sz w:val="25"/>
          <w:szCs w:val="25"/>
          <w:u w:val="single"/>
        </w:rPr>
        <w:t xml:space="preserve">STUDENT’S </w:t>
      </w:r>
      <w:r w:rsidRPr="000467B1">
        <w:rPr>
          <w:rFonts w:ascii="Aptos" w:hAnsi="Aptos" w:cs="Times New Roman"/>
          <w:b/>
          <w:bCs/>
          <w:sz w:val="25"/>
          <w:szCs w:val="25"/>
          <w:u w:val="single"/>
        </w:rPr>
        <w:t xml:space="preserve">MOTION TO JOIN </w:t>
      </w:r>
    </w:p>
    <w:p w14:paraId="5152D248" w14:textId="61207432" w:rsidR="000E7A2A" w:rsidRDefault="000E7A2A" w:rsidP="000E7A2A">
      <w:pPr>
        <w:spacing w:after="0" w:line="240" w:lineRule="auto"/>
        <w:jc w:val="center"/>
        <w:rPr>
          <w:rFonts w:ascii="Aptos" w:hAnsi="Aptos" w:cs="Times New Roman"/>
          <w:b/>
          <w:bCs/>
          <w:sz w:val="25"/>
          <w:szCs w:val="25"/>
          <w:u w:val="single"/>
        </w:rPr>
      </w:pPr>
      <w:r>
        <w:rPr>
          <w:rFonts w:ascii="Aptos" w:hAnsi="Aptos" w:cs="Times New Roman"/>
          <w:b/>
          <w:bCs/>
          <w:sz w:val="25"/>
          <w:szCs w:val="25"/>
          <w:u w:val="single"/>
        </w:rPr>
        <w:t>DEPARTMENT OF ELEMENTARY AND SECONDARY EDUCATION</w:t>
      </w:r>
    </w:p>
    <w:p w14:paraId="1AC41B2C" w14:textId="77777777" w:rsidR="000E7A2A" w:rsidRPr="000467B1" w:rsidRDefault="000E7A2A" w:rsidP="000E7A2A">
      <w:pPr>
        <w:spacing w:after="0" w:line="240" w:lineRule="auto"/>
        <w:jc w:val="center"/>
        <w:rPr>
          <w:rFonts w:ascii="Aptos" w:hAnsi="Aptos" w:cs="Times New Roman"/>
          <w:b/>
          <w:bCs/>
          <w:sz w:val="25"/>
          <w:szCs w:val="25"/>
          <w:u w:val="single"/>
        </w:rPr>
      </w:pPr>
    </w:p>
    <w:p w14:paraId="7159F077" w14:textId="4B72F4D8" w:rsidR="000E7A2A" w:rsidRPr="000467B1" w:rsidRDefault="000E7A2A" w:rsidP="000E7A2A">
      <w:pPr>
        <w:spacing w:after="0" w:line="240" w:lineRule="auto"/>
        <w:rPr>
          <w:rFonts w:ascii="Aptos" w:hAnsi="Aptos" w:cs="Times New Roman"/>
          <w:sz w:val="25"/>
          <w:szCs w:val="25"/>
        </w:rPr>
      </w:pPr>
      <w:r w:rsidRPr="000467B1">
        <w:rPr>
          <w:rFonts w:ascii="Aptos" w:hAnsi="Aptos" w:cs="Times New Roman"/>
          <w:sz w:val="25"/>
          <w:szCs w:val="25"/>
        </w:rPr>
        <w:t xml:space="preserve">This matter comes before the Hearing Officer on </w:t>
      </w:r>
      <w:r>
        <w:rPr>
          <w:rFonts w:ascii="Aptos" w:hAnsi="Aptos" w:cs="Times New Roman"/>
          <w:sz w:val="25"/>
          <w:szCs w:val="25"/>
        </w:rPr>
        <w:t xml:space="preserve">Student’s June 16, 2025 </w:t>
      </w:r>
      <w:r w:rsidRPr="000467B1">
        <w:rPr>
          <w:rFonts w:ascii="Aptos" w:hAnsi="Aptos" w:cs="Times New Roman"/>
          <w:i/>
          <w:iCs/>
          <w:sz w:val="25"/>
          <w:szCs w:val="25"/>
        </w:rPr>
        <w:t xml:space="preserve">Motion to Join </w:t>
      </w:r>
      <w:r>
        <w:rPr>
          <w:rFonts w:ascii="Aptos" w:hAnsi="Aptos" w:cs="Times New Roman"/>
          <w:i/>
          <w:iCs/>
          <w:sz w:val="25"/>
          <w:szCs w:val="25"/>
        </w:rPr>
        <w:t xml:space="preserve">Department of Elementary and Secondary Education </w:t>
      </w:r>
      <w:r w:rsidRPr="000467B1">
        <w:rPr>
          <w:rFonts w:ascii="Aptos" w:hAnsi="Aptos" w:cs="Times New Roman"/>
          <w:i/>
          <w:iCs/>
          <w:sz w:val="25"/>
          <w:szCs w:val="25"/>
        </w:rPr>
        <w:t>(Motion)</w:t>
      </w:r>
      <w:r w:rsidRPr="000467B1">
        <w:rPr>
          <w:rFonts w:ascii="Aptos" w:hAnsi="Aptos" w:cs="Times New Roman"/>
          <w:sz w:val="25"/>
          <w:szCs w:val="25"/>
        </w:rPr>
        <w:t xml:space="preserve">.  </w:t>
      </w:r>
      <w:r>
        <w:rPr>
          <w:rFonts w:ascii="Aptos" w:hAnsi="Aptos" w:cs="Times New Roman"/>
          <w:sz w:val="25"/>
          <w:szCs w:val="25"/>
        </w:rPr>
        <w:t>Student</w:t>
      </w:r>
      <w:r w:rsidR="00070508">
        <w:rPr>
          <w:rStyle w:val="FootnoteReference"/>
          <w:rFonts w:ascii="Aptos" w:hAnsi="Aptos" w:cs="Times New Roman"/>
          <w:sz w:val="25"/>
          <w:szCs w:val="25"/>
        </w:rPr>
        <w:footnoteReference w:id="1"/>
      </w:r>
      <w:r>
        <w:rPr>
          <w:rFonts w:ascii="Aptos" w:hAnsi="Aptos" w:cs="Times New Roman"/>
          <w:sz w:val="25"/>
          <w:szCs w:val="25"/>
        </w:rPr>
        <w:t xml:space="preserve"> </w:t>
      </w:r>
      <w:r w:rsidRPr="000467B1">
        <w:rPr>
          <w:rFonts w:ascii="Aptos" w:hAnsi="Aptos" w:cs="Times New Roman"/>
          <w:sz w:val="25"/>
          <w:szCs w:val="25"/>
        </w:rPr>
        <w:t xml:space="preserve">seeks joinder of the </w:t>
      </w:r>
      <w:r>
        <w:rPr>
          <w:rFonts w:ascii="Aptos" w:hAnsi="Aptos" w:cs="Times New Roman"/>
          <w:sz w:val="25"/>
          <w:szCs w:val="25"/>
        </w:rPr>
        <w:t xml:space="preserve">Department of Elementary and Secondary Education </w:t>
      </w:r>
      <w:r w:rsidRPr="000467B1">
        <w:rPr>
          <w:rFonts w:ascii="Aptos" w:hAnsi="Aptos" w:cs="Times New Roman"/>
          <w:sz w:val="25"/>
          <w:szCs w:val="25"/>
        </w:rPr>
        <w:t>(</w:t>
      </w:r>
      <w:r>
        <w:rPr>
          <w:rFonts w:ascii="Aptos" w:hAnsi="Aptos" w:cs="Times New Roman"/>
          <w:sz w:val="25"/>
          <w:szCs w:val="25"/>
        </w:rPr>
        <w:t>DESE</w:t>
      </w:r>
      <w:r w:rsidRPr="000467B1">
        <w:rPr>
          <w:rFonts w:ascii="Aptos" w:hAnsi="Aptos" w:cs="Times New Roman"/>
          <w:sz w:val="25"/>
          <w:szCs w:val="25"/>
        </w:rPr>
        <w:t xml:space="preserve">) as a necessary party in accordance with Rule I(J) of the Bureau of Special Education Appeals (BSEA) </w:t>
      </w:r>
      <w:r w:rsidRPr="000467B1">
        <w:rPr>
          <w:rFonts w:ascii="Aptos" w:hAnsi="Aptos" w:cs="Times New Roman"/>
          <w:i/>
          <w:iCs/>
          <w:sz w:val="25"/>
          <w:szCs w:val="25"/>
        </w:rPr>
        <w:t xml:space="preserve">Hearing Rules for Special Education Appeals </w:t>
      </w:r>
      <w:r w:rsidRPr="00A7261B">
        <w:rPr>
          <w:rFonts w:ascii="Aptos" w:hAnsi="Aptos" w:cs="Times New Roman"/>
          <w:sz w:val="25"/>
          <w:szCs w:val="25"/>
        </w:rPr>
        <w:t>(</w:t>
      </w:r>
      <w:r w:rsidRPr="000467B1">
        <w:rPr>
          <w:rFonts w:ascii="Aptos" w:hAnsi="Aptos" w:cs="Times New Roman"/>
          <w:i/>
          <w:iCs/>
          <w:sz w:val="25"/>
          <w:szCs w:val="25"/>
        </w:rPr>
        <w:t>Hearing Rules</w:t>
      </w:r>
      <w:r w:rsidRPr="00A7261B">
        <w:rPr>
          <w:rFonts w:ascii="Aptos" w:hAnsi="Aptos" w:cs="Times New Roman"/>
          <w:sz w:val="25"/>
          <w:szCs w:val="25"/>
        </w:rPr>
        <w:t>)</w:t>
      </w:r>
      <w:r w:rsidR="0074254B">
        <w:rPr>
          <w:rFonts w:ascii="Aptos" w:hAnsi="Aptos" w:cs="Times New Roman"/>
          <w:sz w:val="25"/>
          <w:szCs w:val="25"/>
        </w:rPr>
        <w:t xml:space="preserve">, </w:t>
      </w:r>
      <w:r w:rsidRPr="000467B1">
        <w:rPr>
          <w:rFonts w:ascii="Aptos" w:hAnsi="Aptos" w:cs="Times New Roman"/>
          <w:sz w:val="25"/>
          <w:szCs w:val="25"/>
        </w:rPr>
        <w:t xml:space="preserve">claiming complete relief cannot be granted in </w:t>
      </w:r>
      <w:r>
        <w:rPr>
          <w:rFonts w:ascii="Aptos" w:hAnsi="Aptos" w:cs="Times New Roman"/>
          <w:sz w:val="25"/>
          <w:szCs w:val="25"/>
        </w:rPr>
        <w:t>its</w:t>
      </w:r>
      <w:r w:rsidRPr="000467B1">
        <w:rPr>
          <w:rFonts w:ascii="Aptos" w:hAnsi="Aptos" w:cs="Times New Roman"/>
          <w:sz w:val="25"/>
          <w:szCs w:val="25"/>
        </w:rPr>
        <w:t xml:space="preserve"> absence.  Specifically, </w:t>
      </w:r>
      <w:r>
        <w:rPr>
          <w:rFonts w:ascii="Aptos" w:hAnsi="Aptos" w:cs="Times New Roman"/>
          <w:sz w:val="25"/>
          <w:szCs w:val="25"/>
        </w:rPr>
        <w:t xml:space="preserve">Student </w:t>
      </w:r>
      <w:r w:rsidRPr="000467B1">
        <w:rPr>
          <w:rFonts w:ascii="Aptos" w:hAnsi="Aptos" w:cs="Times New Roman"/>
          <w:sz w:val="25"/>
          <w:szCs w:val="25"/>
        </w:rPr>
        <w:t xml:space="preserve">contends that </w:t>
      </w:r>
      <w:r>
        <w:rPr>
          <w:rFonts w:ascii="Aptos" w:hAnsi="Aptos" w:cs="Times New Roman"/>
          <w:sz w:val="25"/>
          <w:szCs w:val="25"/>
        </w:rPr>
        <w:t xml:space="preserve">DESE has   </w:t>
      </w:r>
      <w:r w:rsidR="00CC1431">
        <w:rPr>
          <w:rFonts w:ascii="Aptos" w:hAnsi="Aptos" w:cs="Times New Roman"/>
          <w:sz w:val="25"/>
          <w:szCs w:val="25"/>
        </w:rPr>
        <w:t xml:space="preserve">failed </w:t>
      </w:r>
      <w:r>
        <w:rPr>
          <w:rFonts w:ascii="Aptos" w:hAnsi="Aptos" w:cs="Times New Roman"/>
          <w:sz w:val="25"/>
          <w:szCs w:val="25"/>
        </w:rPr>
        <w:t>to ensure</w:t>
      </w:r>
      <w:r w:rsidR="00A276A8">
        <w:rPr>
          <w:rFonts w:ascii="Aptos" w:hAnsi="Aptos" w:cs="Times New Roman"/>
          <w:sz w:val="25"/>
          <w:szCs w:val="25"/>
        </w:rPr>
        <w:t xml:space="preserve"> that</w:t>
      </w:r>
      <w:r>
        <w:rPr>
          <w:rFonts w:ascii="Aptos" w:hAnsi="Aptos" w:cs="Times New Roman"/>
          <w:sz w:val="25"/>
          <w:szCs w:val="25"/>
        </w:rPr>
        <w:t xml:space="preserve"> Student,</w:t>
      </w:r>
      <w:r w:rsidR="004E4E6E">
        <w:rPr>
          <w:rFonts w:ascii="Aptos" w:hAnsi="Aptos" w:cs="Times New Roman"/>
          <w:sz w:val="25"/>
          <w:szCs w:val="25"/>
        </w:rPr>
        <w:t xml:space="preserve"> while in </w:t>
      </w:r>
      <w:proofErr w:type="gramStart"/>
      <w:r w:rsidR="004E4E6E">
        <w:rPr>
          <w:rFonts w:ascii="Aptos" w:hAnsi="Aptos" w:cs="Times New Roman"/>
          <w:sz w:val="25"/>
          <w:szCs w:val="25"/>
        </w:rPr>
        <w:t>the custody</w:t>
      </w:r>
      <w:proofErr w:type="gramEnd"/>
      <w:r w:rsidR="004E4E6E">
        <w:rPr>
          <w:rFonts w:ascii="Aptos" w:hAnsi="Aptos" w:cs="Times New Roman"/>
          <w:sz w:val="25"/>
          <w:szCs w:val="25"/>
        </w:rPr>
        <w:t xml:space="preserve"> of the Department of Youth Services (DYS)</w:t>
      </w:r>
      <w:r w:rsidR="00183EC1">
        <w:rPr>
          <w:rFonts w:ascii="Aptos" w:hAnsi="Aptos" w:cs="Times New Roman"/>
          <w:sz w:val="25"/>
          <w:szCs w:val="25"/>
        </w:rPr>
        <w:t xml:space="preserve"> d</w:t>
      </w:r>
      <w:r w:rsidR="00685740">
        <w:rPr>
          <w:rFonts w:ascii="Aptos" w:hAnsi="Aptos" w:cs="Times New Roman"/>
          <w:sz w:val="25"/>
          <w:szCs w:val="25"/>
        </w:rPr>
        <w:t>uring</w:t>
      </w:r>
      <w:r w:rsidR="00183EC1">
        <w:rPr>
          <w:rFonts w:ascii="Aptos" w:hAnsi="Aptos" w:cs="Times New Roman"/>
          <w:sz w:val="25"/>
          <w:szCs w:val="25"/>
        </w:rPr>
        <w:t xml:space="preserve"> </w:t>
      </w:r>
      <w:r w:rsidR="00685740">
        <w:rPr>
          <w:rFonts w:ascii="Aptos" w:hAnsi="Aptos" w:cs="Times New Roman"/>
          <w:sz w:val="25"/>
          <w:szCs w:val="25"/>
        </w:rPr>
        <w:t>t</w:t>
      </w:r>
      <w:r w:rsidR="00183EC1">
        <w:rPr>
          <w:rFonts w:ascii="Aptos" w:hAnsi="Aptos" w:cs="Times New Roman"/>
          <w:sz w:val="25"/>
          <w:szCs w:val="25"/>
        </w:rPr>
        <w:t xml:space="preserve">he </w:t>
      </w:r>
      <w:proofErr w:type="gramStart"/>
      <w:r w:rsidR="00183EC1">
        <w:rPr>
          <w:rFonts w:ascii="Aptos" w:hAnsi="Aptos" w:cs="Times New Roman"/>
          <w:sz w:val="25"/>
          <w:szCs w:val="25"/>
        </w:rPr>
        <w:t>time period</w:t>
      </w:r>
      <w:proofErr w:type="gramEnd"/>
      <w:r w:rsidR="00183EC1">
        <w:rPr>
          <w:rFonts w:ascii="Aptos" w:hAnsi="Aptos" w:cs="Times New Roman"/>
          <w:sz w:val="25"/>
          <w:szCs w:val="25"/>
        </w:rPr>
        <w:t xml:space="preserve"> at issue in the instant matter</w:t>
      </w:r>
      <w:r w:rsidR="00A7261B">
        <w:rPr>
          <w:rFonts w:ascii="Aptos" w:hAnsi="Aptos" w:cs="Times New Roman"/>
          <w:sz w:val="25"/>
          <w:szCs w:val="25"/>
        </w:rPr>
        <w:t>,</w:t>
      </w:r>
      <w:r>
        <w:rPr>
          <w:rFonts w:ascii="Aptos" w:hAnsi="Aptos" w:cs="Times New Roman"/>
          <w:sz w:val="25"/>
          <w:szCs w:val="25"/>
        </w:rPr>
        <w:t xml:space="preserve"> </w:t>
      </w:r>
      <w:r w:rsidR="008E02FA">
        <w:rPr>
          <w:rFonts w:ascii="Aptos" w:hAnsi="Aptos" w:cs="Times New Roman"/>
          <w:sz w:val="25"/>
          <w:szCs w:val="25"/>
        </w:rPr>
        <w:t>has been provided with</w:t>
      </w:r>
      <w:r>
        <w:rPr>
          <w:rFonts w:ascii="Aptos" w:hAnsi="Aptos" w:cs="Times New Roman"/>
          <w:sz w:val="25"/>
          <w:szCs w:val="25"/>
        </w:rPr>
        <w:t xml:space="preserve"> a free appropriate public education (FAPE)</w:t>
      </w:r>
      <w:r w:rsidR="00E95D39">
        <w:rPr>
          <w:rFonts w:ascii="Aptos" w:hAnsi="Aptos" w:cs="Times New Roman"/>
          <w:sz w:val="25"/>
          <w:szCs w:val="25"/>
        </w:rPr>
        <w:t xml:space="preserve"> and </w:t>
      </w:r>
      <w:r w:rsidR="00525A27">
        <w:rPr>
          <w:rFonts w:ascii="Aptos" w:hAnsi="Aptos" w:cs="Times New Roman"/>
          <w:sz w:val="25"/>
          <w:szCs w:val="25"/>
        </w:rPr>
        <w:t xml:space="preserve">his </w:t>
      </w:r>
      <w:r w:rsidR="00E95D39">
        <w:rPr>
          <w:rFonts w:ascii="Aptos" w:hAnsi="Aptos" w:cs="Times New Roman"/>
          <w:sz w:val="25"/>
          <w:szCs w:val="25"/>
        </w:rPr>
        <w:t>agreed-upon educational services</w:t>
      </w:r>
      <w:r w:rsidR="00A276A8">
        <w:rPr>
          <w:rFonts w:ascii="Aptos" w:hAnsi="Aptos" w:cs="Times New Roman"/>
          <w:sz w:val="25"/>
          <w:szCs w:val="25"/>
        </w:rPr>
        <w:t xml:space="preserve"> there</w:t>
      </w:r>
      <w:r>
        <w:rPr>
          <w:rFonts w:ascii="Aptos" w:hAnsi="Aptos" w:cs="Times New Roman"/>
          <w:sz w:val="25"/>
          <w:szCs w:val="25"/>
        </w:rPr>
        <w:t xml:space="preserve">.  </w:t>
      </w:r>
    </w:p>
    <w:p w14:paraId="226AFD0B" w14:textId="77777777" w:rsidR="000E7A2A" w:rsidRPr="000467B1" w:rsidRDefault="000E7A2A" w:rsidP="000E7A2A">
      <w:pPr>
        <w:spacing w:after="0" w:line="240" w:lineRule="auto"/>
        <w:rPr>
          <w:rFonts w:ascii="Aptos" w:hAnsi="Aptos" w:cs="Times New Roman"/>
          <w:sz w:val="25"/>
          <w:szCs w:val="25"/>
        </w:rPr>
      </w:pPr>
    </w:p>
    <w:p w14:paraId="7D7A538D" w14:textId="1427CE00" w:rsidR="000E7A2A" w:rsidRPr="000467B1" w:rsidRDefault="000E7A2A" w:rsidP="000E7A2A">
      <w:pPr>
        <w:spacing w:after="0" w:line="240" w:lineRule="auto"/>
        <w:rPr>
          <w:rFonts w:ascii="Aptos" w:hAnsi="Aptos" w:cs="Times New Roman"/>
          <w:sz w:val="25"/>
          <w:szCs w:val="25"/>
        </w:rPr>
      </w:pPr>
      <w:r w:rsidRPr="000467B1">
        <w:rPr>
          <w:rFonts w:ascii="Aptos" w:hAnsi="Aptos" w:cs="Times New Roman"/>
          <w:sz w:val="25"/>
          <w:szCs w:val="25"/>
        </w:rPr>
        <w:t xml:space="preserve">For the reasons articulated below, the District’s </w:t>
      </w:r>
      <w:r w:rsidRPr="000467B1">
        <w:rPr>
          <w:rFonts w:ascii="Aptos" w:hAnsi="Aptos" w:cs="Times New Roman"/>
          <w:i/>
          <w:iCs/>
          <w:sz w:val="25"/>
          <w:szCs w:val="25"/>
        </w:rPr>
        <w:t xml:space="preserve">Motion </w:t>
      </w:r>
      <w:r w:rsidRPr="000467B1">
        <w:rPr>
          <w:rFonts w:ascii="Aptos" w:hAnsi="Aptos" w:cs="Times New Roman"/>
          <w:sz w:val="25"/>
          <w:szCs w:val="25"/>
        </w:rPr>
        <w:t xml:space="preserve">is </w:t>
      </w:r>
      <w:r w:rsidRPr="000467B1">
        <w:rPr>
          <w:rFonts w:ascii="Aptos" w:hAnsi="Aptos" w:cs="Times New Roman"/>
          <w:b/>
          <w:bCs/>
          <w:sz w:val="25"/>
          <w:szCs w:val="25"/>
        </w:rPr>
        <w:t>ALLOWED</w:t>
      </w:r>
      <w:r w:rsidRPr="000467B1">
        <w:rPr>
          <w:rFonts w:ascii="Aptos" w:hAnsi="Aptos" w:cs="Times New Roman"/>
          <w:sz w:val="25"/>
          <w:szCs w:val="25"/>
        </w:rPr>
        <w:t xml:space="preserve"> </w:t>
      </w:r>
      <w:r w:rsidR="00E95D39">
        <w:rPr>
          <w:rFonts w:ascii="Aptos" w:hAnsi="Aptos" w:cs="Times New Roman"/>
          <w:b/>
          <w:bCs/>
          <w:sz w:val="25"/>
          <w:szCs w:val="25"/>
        </w:rPr>
        <w:t>in part</w:t>
      </w:r>
      <w:r w:rsidR="00A7261B">
        <w:rPr>
          <w:rStyle w:val="FootnoteReference"/>
          <w:rFonts w:ascii="Aptos" w:hAnsi="Aptos" w:cs="Times New Roman"/>
          <w:b/>
          <w:bCs/>
          <w:sz w:val="25"/>
          <w:szCs w:val="25"/>
        </w:rPr>
        <w:footnoteReference w:id="2"/>
      </w:r>
      <w:r w:rsidRPr="000467B1">
        <w:rPr>
          <w:rFonts w:ascii="Aptos" w:hAnsi="Aptos" w:cs="Times New Roman"/>
          <w:sz w:val="25"/>
          <w:szCs w:val="25"/>
        </w:rPr>
        <w:t xml:space="preserve">. </w:t>
      </w:r>
    </w:p>
    <w:p w14:paraId="58E45024" w14:textId="77777777" w:rsidR="000E7A2A" w:rsidRPr="000467B1" w:rsidRDefault="000E7A2A" w:rsidP="000E7A2A">
      <w:pPr>
        <w:spacing w:after="0" w:line="240" w:lineRule="auto"/>
        <w:rPr>
          <w:rFonts w:ascii="Aptos" w:hAnsi="Aptos" w:cs="Times New Roman"/>
          <w:b/>
          <w:bCs/>
          <w:sz w:val="25"/>
          <w:szCs w:val="25"/>
        </w:rPr>
      </w:pPr>
    </w:p>
    <w:p w14:paraId="49E36219" w14:textId="77777777" w:rsidR="000E7A2A" w:rsidRPr="000467B1" w:rsidRDefault="000E7A2A" w:rsidP="000E7A2A">
      <w:pPr>
        <w:spacing w:after="0" w:line="240" w:lineRule="auto"/>
        <w:rPr>
          <w:rFonts w:ascii="Aptos" w:hAnsi="Aptos" w:cs="Times New Roman"/>
          <w:sz w:val="25"/>
          <w:szCs w:val="25"/>
        </w:rPr>
      </w:pPr>
      <w:r w:rsidRPr="000467B1">
        <w:rPr>
          <w:rFonts w:ascii="Aptos" w:hAnsi="Aptos" w:cs="Times New Roman"/>
          <w:b/>
          <w:bCs/>
          <w:sz w:val="25"/>
          <w:szCs w:val="25"/>
        </w:rPr>
        <w:t>RELEVANT PROCEDURAL HISTORY</w:t>
      </w:r>
    </w:p>
    <w:p w14:paraId="33373DF0" w14:textId="77777777" w:rsidR="000E7A2A" w:rsidRPr="000467B1" w:rsidRDefault="000E7A2A" w:rsidP="000E7A2A">
      <w:pPr>
        <w:spacing w:after="0" w:line="240" w:lineRule="auto"/>
        <w:rPr>
          <w:rFonts w:ascii="Aptos" w:hAnsi="Aptos" w:cs="Times New Roman"/>
          <w:sz w:val="25"/>
          <w:szCs w:val="25"/>
        </w:rPr>
      </w:pPr>
    </w:p>
    <w:p w14:paraId="662122CB" w14:textId="2C807939" w:rsidR="00D75421" w:rsidRDefault="000E7A2A" w:rsidP="000E7A2A">
      <w:pPr>
        <w:spacing w:after="0" w:line="240" w:lineRule="auto"/>
        <w:rPr>
          <w:rFonts w:ascii="Aptos" w:hAnsi="Aptos" w:cs="Times New Roman"/>
          <w:sz w:val="25"/>
          <w:szCs w:val="25"/>
        </w:rPr>
      </w:pPr>
      <w:r w:rsidRPr="000467B1">
        <w:rPr>
          <w:rFonts w:ascii="Aptos" w:hAnsi="Aptos" w:cs="Times New Roman"/>
          <w:sz w:val="25"/>
          <w:szCs w:val="25"/>
        </w:rPr>
        <w:t xml:space="preserve">On </w:t>
      </w:r>
      <w:r w:rsidR="00895C9C">
        <w:rPr>
          <w:rFonts w:ascii="Aptos" w:hAnsi="Aptos" w:cs="Times New Roman"/>
          <w:sz w:val="25"/>
          <w:szCs w:val="25"/>
        </w:rPr>
        <w:t>April 29, 2025</w:t>
      </w:r>
      <w:r w:rsidRPr="000467B1">
        <w:rPr>
          <w:rFonts w:ascii="Aptos" w:hAnsi="Aptos" w:cs="Times New Roman"/>
          <w:sz w:val="25"/>
          <w:szCs w:val="25"/>
        </w:rPr>
        <w:t xml:space="preserve">, Parent filed a </w:t>
      </w:r>
      <w:r w:rsidRPr="000467B1">
        <w:rPr>
          <w:rFonts w:ascii="Aptos" w:hAnsi="Aptos" w:cs="Times New Roman"/>
          <w:i/>
          <w:iCs/>
          <w:sz w:val="25"/>
          <w:szCs w:val="25"/>
        </w:rPr>
        <w:t xml:space="preserve">Hearing Request </w:t>
      </w:r>
      <w:r w:rsidR="00895C9C">
        <w:rPr>
          <w:rFonts w:ascii="Aptos" w:hAnsi="Aptos" w:cs="Times New Roman"/>
          <w:sz w:val="25"/>
          <w:szCs w:val="25"/>
        </w:rPr>
        <w:t xml:space="preserve">against the Boston Public School District (District) challenging an IEP proposed in November 2024 and seeking both compensatory and prospective services and prospective placement in a therapeutic </w:t>
      </w:r>
      <w:r w:rsidR="00EB69D0">
        <w:rPr>
          <w:rFonts w:ascii="Aptos" w:hAnsi="Aptos" w:cs="Times New Roman"/>
          <w:sz w:val="25"/>
          <w:szCs w:val="25"/>
        </w:rPr>
        <w:t xml:space="preserve">educational </w:t>
      </w:r>
      <w:r w:rsidR="00895C9C">
        <w:rPr>
          <w:rFonts w:ascii="Aptos" w:hAnsi="Aptos" w:cs="Times New Roman"/>
          <w:sz w:val="25"/>
          <w:szCs w:val="25"/>
        </w:rPr>
        <w:t xml:space="preserve">setting.  </w:t>
      </w:r>
      <w:r w:rsidR="00460BB5">
        <w:rPr>
          <w:rFonts w:ascii="Aptos" w:hAnsi="Aptos" w:cs="Times New Roman"/>
          <w:sz w:val="25"/>
          <w:szCs w:val="25"/>
        </w:rPr>
        <w:t>The</w:t>
      </w:r>
      <w:r w:rsidR="00D75421">
        <w:rPr>
          <w:rFonts w:ascii="Aptos" w:hAnsi="Aptos" w:cs="Times New Roman"/>
          <w:sz w:val="25"/>
          <w:szCs w:val="25"/>
        </w:rPr>
        <w:t xml:space="preserve"> compensatory claims were retroactive to October of 2023</w:t>
      </w:r>
      <w:r w:rsidR="009D42D1">
        <w:rPr>
          <w:rStyle w:val="FootnoteReference"/>
          <w:rFonts w:ascii="Aptos" w:hAnsi="Aptos" w:cs="Times New Roman"/>
          <w:sz w:val="25"/>
          <w:szCs w:val="25"/>
        </w:rPr>
        <w:footnoteReference w:id="3"/>
      </w:r>
      <w:r w:rsidR="00D75421">
        <w:rPr>
          <w:rFonts w:ascii="Aptos" w:hAnsi="Aptos" w:cs="Times New Roman"/>
          <w:sz w:val="25"/>
          <w:szCs w:val="25"/>
        </w:rPr>
        <w:t xml:space="preserve">.  </w:t>
      </w:r>
    </w:p>
    <w:p w14:paraId="6E30A161" w14:textId="77777777" w:rsidR="00D75421" w:rsidRDefault="00D75421" w:rsidP="000E7A2A">
      <w:pPr>
        <w:spacing w:after="0" w:line="240" w:lineRule="auto"/>
        <w:rPr>
          <w:rFonts w:ascii="Aptos" w:hAnsi="Aptos" w:cs="Times New Roman"/>
          <w:sz w:val="25"/>
          <w:szCs w:val="25"/>
        </w:rPr>
      </w:pPr>
    </w:p>
    <w:p w14:paraId="14467163" w14:textId="1FCD9AAB" w:rsidR="00D75421" w:rsidRDefault="00895C9C" w:rsidP="000E7A2A">
      <w:pPr>
        <w:spacing w:after="0" w:line="240" w:lineRule="auto"/>
        <w:rPr>
          <w:rFonts w:ascii="Aptos" w:hAnsi="Aptos" w:cs="Times New Roman"/>
          <w:i/>
          <w:iCs/>
          <w:sz w:val="25"/>
          <w:szCs w:val="25"/>
        </w:rPr>
      </w:pPr>
      <w:r>
        <w:rPr>
          <w:rFonts w:ascii="Aptos" w:hAnsi="Aptos" w:cs="Times New Roman"/>
          <w:sz w:val="25"/>
          <w:szCs w:val="25"/>
        </w:rPr>
        <w:t xml:space="preserve">With the agreement of the Parties and the Hearing Officer, the District filed its response on May 16, 2025, advising that the issue of prospective placement was now moot, based upon the Team decision at a meeting held on April 30, 2025, to </w:t>
      </w:r>
      <w:r w:rsidR="00D75421">
        <w:rPr>
          <w:rFonts w:ascii="Aptos" w:hAnsi="Aptos" w:cs="Times New Roman"/>
          <w:sz w:val="25"/>
          <w:szCs w:val="25"/>
        </w:rPr>
        <w:t xml:space="preserve">place student in a therapeutic day </w:t>
      </w:r>
      <w:r w:rsidR="00FB3569">
        <w:rPr>
          <w:rFonts w:ascii="Aptos" w:hAnsi="Aptos" w:cs="Times New Roman"/>
          <w:sz w:val="25"/>
          <w:szCs w:val="25"/>
        </w:rPr>
        <w:t>school</w:t>
      </w:r>
      <w:r w:rsidR="00FF3012">
        <w:rPr>
          <w:rFonts w:ascii="Aptos" w:hAnsi="Aptos" w:cs="Times New Roman"/>
          <w:sz w:val="25"/>
          <w:szCs w:val="25"/>
        </w:rPr>
        <w:t xml:space="preserve"> and denying </w:t>
      </w:r>
      <w:r w:rsidR="00D75421">
        <w:rPr>
          <w:rFonts w:ascii="Aptos" w:hAnsi="Aptos" w:cs="Times New Roman"/>
          <w:sz w:val="25"/>
          <w:szCs w:val="25"/>
        </w:rPr>
        <w:t xml:space="preserve">the remaining allegations in the </w:t>
      </w:r>
      <w:r w:rsidR="00D75421">
        <w:rPr>
          <w:rFonts w:ascii="Aptos" w:hAnsi="Aptos" w:cs="Times New Roman"/>
          <w:i/>
          <w:iCs/>
          <w:sz w:val="25"/>
          <w:szCs w:val="25"/>
        </w:rPr>
        <w:t>Hearing Request</w:t>
      </w:r>
      <w:r w:rsidR="00D75421">
        <w:rPr>
          <w:rFonts w:ascii="Aptos" w:hAnsi="Aptos" w:cs="Times New Roman"/>
          <w:sz w:val="25"/>
          <w:szCs w:val="25"/>
        </w:rPr>
        <w:t xml:space="preserve">. </w:t>
      </w:r>
      <w:r w:rsidR="00D75421">
        <w:rPr>
          <w:rFonts w:ascii="Aptos" w:hAnsi="Aptos" w:cs="Times New Roman"/>
          <w:i/>
          <w:iCs/>
          <w:sz w:val="25"/>
          <w:szCs w:val="25"/>
        </w:rPr>
        <w:t xml:space="preserve"> </w:t>
      </w:r>
    </w:p>
    <w:p w14:paraId="4804C9A4" w14:textId="77777777" w:rsidR="00D75421" w:rsidRDefault="00D75421" w:rsidP="000E7A2A">
      <w:pPr>
        <w:spacing w:after="0" w:line="240" w:lineRule="auto"/>
        <w:rPr>
          <w:rFonts w:ascii="Aptos" w:hAnsi="Aptos" w:cs="Times New Roman"/>
          <w:i/>
          <w:iCs/>
          <w:sz w:val="25"/>
          <w:szCs w:val="25"/>
        </w:rPr>
      </w:pPr>
    </w:p>
    <w:p w14:paraId="0E2A9A24" w14:textId="3469C7DE" w:rsidR="00D75421" w:rsidRDefault="00D75421" w:rsidP="000E7A2A">
      <w:pPr>
        <w:spacing w:after="0" w:line="240" w:lineRule="auto"/>
        <w:rPr>
          <w:rFonts w:ascii="Aptos" w:hAnsi="Aptos" w:cs="Times New Roman"/>
          <w:sz w:val="25"/>
          <w:szCs w:val="25"/>
        </w:rPr>
      </w:pPr>
      <w:r>
        <w:rPr>
          <w:rFonts w:ascii="Aptos" w:hAnsi="Aptos" w:cs="Times New Roman"/>
          <w:sz w:val="25"/>
          <w:szCs w:val="25"/>
        </w:rPr>
        <w:t xml:space="preserve">Both the </w:t>
      </w:r>
      <w:r>
        <w:rPr>
          <w:rFonts w:ascii="Aptos" w:hAnsi="Aptos" w:cs="Times New Roman"/>
          <w:i/>
          <w:iCs/>
          <w:sz w:val="25"/>
          <w:szCs w:val="25"/>
        </w:rPr>
        <w:t xml:space="preserve">Hearing Request </w:t>
      </w:r>
      <w:r>
        <w:rPr>
          <w:rFonts w:ascii="Aptos" w:hAnsi="Aptos" w:cs="Times New Roman"/>
          <w:sz w:val="25"/>
          <w:szCs w:val="25"/>
        </w:rPr>
        <w:t xml:space="preserve">and the </w:t>
      </w:r>
      <w:r>
        <w:rPr>
          <w:rFonts w:ascii="Aptos" w:hAnsi="Aptos" w:cs="Times New Roman"/>
          <w:i/>
          <w:iCs/>
          <w:sz w:val="25"/>
          <w:szCs w:val="25"/>
        </w:rPr>
        <w:t>Response</w:t>
      </w:r>
      <w:r>
        <w:rPr>
          <w:rFonts w:ascii="Aptos" w:hAnsi="Aptos" w:cs="Times New Roman"/>
          <w:sz w:val="25"/>
          <w:szCs w:val="25"/>
        </w:rPr>
        <w:t xml:space="preserve"> noted that Student was confined to DYS during some of the 2024-2025 school year, during which time he received some </w:t>
      </w:r>
      <w:r>
        <w:rPr>
          <w:rFonts w:ascii="Aptos" w:hAnsi="Aptos" w:cs="Times New Roman"/>
          <w:sz w:val="25"/>
          <w:szCs w:val="25"/>
        </w:rPr>
        <w:lastRenderedPageBreak/>
        <w:t xml:space="preserve">services via the Special Education in Institutional Settings (SEIS) </w:t>
      </w:r>
      <w:r w:rsidRPr="00267D79">
        <w:rPr>
          <w:rFonts w:ascii="Aptos" w:hAnsi="Aptos" w:cs="Times New Roman"/>
          <w:sz w:val="25"/>
          <w:szCs w:val="25"/>
        </w:rPr>
        <w:t xml:space="preserve">program operated by DESE.  </w:t>
      </w:r>
      <w:r w:rsidR="00927588">
        <w:rPr>
          <w:rFonts w:ascii="Aptos" w:hAnsi="Aptos" w:cs="Times New Roman"/>
          <w:sz w:val="25"/>
          <w:szCs w:val="25"/>
        </w:rPr>
        <w:t>O</w:t>
      </w:r>
      <w:r w:rsidRPr="00267D79">
        <w:rPr>
          <w:rFonts w:ascii="Aptos" w:hAnsi="Aptos" w:cs="Times New Roman"/>
          <w:sz w:val="25"/>
          <w:szCs w:val="25"/>
        </w:rPr>
        <w:t xml:space="preserve">n May 19, 2025, </w:t>
      </w:r>
      <w:r w:rsidR="004139E3">
        <w:rPr>
          <w:rFonts w:ascii="Aptos" w:hAnsi="Aptos" w:cs="Times New Roman"/>
          <w:sz w:val="25"/>
          <w:szCs w:val="25"/>
        </w:rPr>
        <w:t xml:space="preserve">during the </w:t>
      </w:r>
      <w:r>
        <w:rPr>
          <w:rFonts w:ascii="Aptos" w:hAnsi="Aptos" w:cs="Times New Roman"/>
          <w:sz w:val="25"/>
          <w:szCs w:val="25"/>
        </w:rPr>
        <w:t xml:space="preserve">initial Conference Call </w:t>
      </w:r>
      <w:r w:rsidR="004139E3">
        <w:rPr>
          <w:rFonts w:ascii="Aptos" w:hAnsi="Aptos" w:cs="Times New Roman"/>
          <w:sz w:val="25"/>
          <w:szCs w:val="25"/>
        </w:rPr>
        <w:t xml:space="preserve">the Parties </w:t>
      </w:r>
      <w:r>
        <w:rPr>
          <w:rFonts w:ascii="Aptos" w:hAnsi="Aptos" w:cs="Times New Roman"/>
          <w:sz w:val="25"/>
          <w:szCs w:val="25"/>
        </w:rPr>
        <w:t>advised that Student had recently been re-confined to DYS</w:t>
      </w:r>
      <w:r w:rsidR="006F3A8F">
        <w:rPr>
          <w:rFonts w:ascii="Aptos" w:hAnsi="Aptos" w:cs="Times New Roman"/>
          <w:sz w:val="25"/>
          <w:szCs w:val="25"/>
        </w:rPr>
        <w:t>.  H</w:t>
      </w:r>
      <w:r w:rsidR="00927588">
        <w:rPr>
          <w:rFonts w:ascii="Aptos" w:hAnsi="Aptos" w:cs="Times New Roman"/>
          <w:sz w:val="25"/>
          <w:szCs w:val="25"/>
        </w:rPr>
        <w:t xml:space="preserve">e </w:t>
      </w:r>
      <w:r>
        <w:rPr>
          <w:rFonts w:ascii="Aptos" w:hAnsi="Aptos" w:cs="Times New Roman"/>
          <w:sz w:val="25"/>
          <w:szCs w:val="25"/>
        </w:rPr>
        <w:t xml:space="preserve">currently remains in DYS custody.  </w:t>
      </w:r>
    </w:p>
    <w:p w14:paraId="63B651E3" w14:textId="77777777" w:rsidR="00D75421" w:rsidRDefault="00D75421" w:rsidP="000E7A2A">
      <w:pPr>
        <w:spacing w:after="0" w:line="240" w:lineRule="auto"/>
        <w:rPr>
          <w:rFonts w:ascii="Aptos" w:hAnsi="Aptos" w:cs="Times New Roman"/>
          <w:sz w:val="25"/>
          <w:szCs w:val="25"/>
        </w:rPr>
      </w:pPr>
    </w:p>
    <w:p w14:paraId="45F11F62" w14:textId="65B5B8BE" w:rsidR="00D75421" w:rsidRDefault="00D75421" w:rsidP="000E7A2A">
      <w:pPr>
        <w:spacing w:after="0" w:line="240" w:lineRule="auto"/>
        <w:rPr>
          <w:rFonts w:ascii="Aptos" w:hAnsi="Aptos" w:cs="Times New Roman"/>
          <w:sz w:val="25"/>
          <w:szCs w:val="25"/>
        </w:rPr>
      </w:pPr>
      <w:r>
        <w:rPr>
          <w:rFonts w:ascii="Aptos" w:hAnsi="Aptos" w:cs="Times New Roman"/>
          <w:sz w:val="25"/>
          <w:szCs w:val="25"/>
        </w:rPr>
        <w:t xml:space="preserve">On June 16, </w:t>
      </w:r>
      <w:r w:rsidR="00C916A0">
        <w:rPr>
          <w:rFonts w:ascii="Aptos" w:hAnsi="Aptos" w:cs="Times New Roman"/>
          <w:sz w:val="25"/>
          <w:szCs w:val="25"/>
        </w:rPr>
        <w:t>2025,</w:t>
      </w:r>
      <w:r>
        <w:rPr>
          <w:rFonts w:ascii="Aptos" w:hAnsi="Aptos" w:cs="Times New Roman"/>
          <w:sz w:val="25"/>
          <w:szCs w:val="25"/>
        </w:rPr>
        <w:t xml:space="preserve"> Student filed the </w:t>
      </w:r>
      <w:r>
        <w:rPr>
          <w:rFonts w:ascii="Aptos" w:hAnsi="Aptos" w:cs="Times New Roman"/>
          <w:i/>
          <w:iCs/>
          <w:sz w:val="25"/>
          <w:szCs w:val="25"/>
        </w:rPr>
        <w:t>Motion</w:t>
      </w:r>
      <w:r>
        <w:rPr>
          <w:rFonts w:ascii="Aptos" w:hAnsi="Aptos" w:cs="Times New Roman"/>
          <w:sz w:val="25"/>
          <w:szCs w:val="25"/>
        </w:rPr>
        <w:t xml:space="preserve"> seeking to join DESE as a party to this matter.  Student claims DESE is responsible not only for the provision of agreed-upon special education and related services through SEIS </w:t>
      </w:r>
      <w:r w:rsidR="00C916A0">
        <w:rPr>
          <w:rFonts w:ascii="Aptos" w:hAnsi="Aptos" w:cs="Times New Roman"/>
          <w:sz w:val="25"/>
          <w:szCs w:val="25"/>
        </w:rPr>
        <w:t>pursuant to M.G.L. c. 71B §12 and 603 CMR 28.06(9)</w:t>
      </w:r>
      <w:r w:rsidR="008536B8">
        <w:rPr>
          <w:rFonts w:ascii="Aptos" w:hAnsi="Aptos" w:cs="Times New Roman"/>
          <w:sz w:val="25"/>
          <w:szCs w:val="25"/>
        </w:rPr>
        <w:t>,</w:t>
      </w:r>
      <w:r w:rsidR="00C916A0">
        <w:rPr>
          <w:rFonts w:ascii="Aptos" w:hAnsi="Aptos" w:cs="Times New Roman"/>
          <w:sz w:val="25"/>
          <w:szCs w:val="25"/>
        </w:rPr>
        <w:t xml:space="preserve"> </w:t>
      </w:r>
      <w:r>
        <w:rPr>
          <w:rFonts w:ascii="Aptos" w:hAnsi="Aptos" w:cs="Times New Roman"/>
          <w:sz w:val="25"/>
          <w:szCs w:val="25"/>
        </w:rPr>
        <w:t>but also t</w:t>
      </w:r>
      <w:r w:rsidR="00C916A0">
        <w:rPr>
          <w:rFonts w:ascii="Aptos" w:hAnsi="Aptos" w:cs="Times New Roman"/>
          <w:sz w:val="25"/>
          <w:szCs w:val="25"/>
        </w:rPr>
        <w:t>hat it has overall supervisory responsibility under federal law (specifically 20 USC 1412 (a)(1)(A) and (a)(12); 35 CFR 300.2 (b)(1)(iv) and 300.154) “for ensuring continued access to FAPE for youth in institutional settings within DESE”.</w:t>
      </w:r>
    </w:p>
    <w:p w14:paraId="30E85821" w14:textId="77777777" w:rsidR="00FA0E63" w:rsidRDefault="00FA0E63" w:rsidP="000E7A2A">
      <w:pPr>
        <w:spacing w:after="0" w:line="240" w:lineRule="auto"/>
        <w:rPr>
          <w:rFonts w:ascii="Aptos" w:hAnsi="Aptos" w:cs="Times New Roman"/>
          <w:sz w:val="25"/>
          <w:szCs w:val="25"/>
        </w:rPr>
      </w:pPr>
    </w:p>
    <w:p w14:paraId="288CD755" w14:textId="08AB1BC7" w:rsidR="00FA0E63" w:rsidRPr="00165DB7" w:rsidRDefault="00FA0E63" w:rsidP="000E7A2A">
      <w:pPr>
        <w:spacing w:after="0" w:line="240" w:lineRule="auto"/>
      </w:pPr>
      <w:r>
        <w:rPr>
          <w:rFonts w:ascii="Aptos" w:hAnsi="Aptos" w:cs="Times New Roman"/>
          <w:sz w:val="25"/>
          <w:szCs w:val="25"/>
        </w:rPr>
        <w:t xml:space="preserve">On July 7, 2025, the District advised that it </w:t>
      </w:r>
      <w:r w:rsidR="00165DB7">
        <w:rPr>
          <w:rFonts w:ascii="Aptos" w:hAnsi="Aptos" w:cs="Times New Roman"/>
          <w:sz w:val="25"/>
          <w:szCs w:val="25"/>
        </w:rPr>
        <w:t xml:space="preserve">agrees and supports the </w:t>
      </w:r>
      <w:r w:rsidR="00165DB7">
        <w:rPr>
          <w:rFonts w:ascii="Aptos" w:hAnsi="Aptos" w:cs="Times New Roman"/>
          <w:i/>
          <w:iCs/>
          <w:sz w:val="25"/>
          <w:szCs w:val="25"/>
        </w:rPr>
        <w:t>Motion</w:t>
      </w:r>
      <w:r w:rsidR="00165DB7">
        <w:t xml:space="preserve"> to join DESE “insofar as they may have some responsibility for the student’s services during the time that he has been in the custody of DYS”.  </w:t>
      </w:r>
    </w:p>
    <w:p w14:paraId="674DA164" w14:textId="77777777" w:rsidR="00C916A0" w:rsidRDefault="00C916A0" w:rsidP="000E7A2A">
      <w:pPr>
        <w:spacing w:after="0" w:line="240" w:lineRule="auto"/>
        <w:rPr>
          <w:rFonts w:ascii="Aptos" w:hAnsi="Aptos" w:cs="Times New Roman"/>
          <w:sz w:val="25"/>
          <w:szCs w:val="25"/>
        </w:rPr>
      </w:pPr>
    </w:p>
    <w:p w14:paraId="24118446" w14:textId="54B82F17" w:rsidR="00C916A0" w:rsidRDefault="00C916A0" w:rsidP="000E7A2A">
      <w:pPr>
        <w:spacing w:after="0" w:line="240" w:lineRule="auto"/>
        <w:rPr>
          <w:rFonts w:ascii="Aptos" w:hAnsi="Aptos" w:cs="Times New Roman"/>
          <w:sz w:val="25"/>
          <w:szCs w:val="25"/>
        </w:rPr>
      </w:pPr>
      <w:r>
        <w:rPr>
          <w:rFonts w:ascii="Aptos" w:hAnsi="Aptos" w:cs="Times New Roman"/>
          <w:sz w:val="25"/>
          <w:szCs w:val="25"/>
        </w:rPr>
        <w:t xml:space="preserve">By agreement of the Parties and DESE, on July 9, 2025, DESE filed a </w:t>
      </w:r>
      <w:r>
        <w:rPr>
          <w:rFonts w:ascii="Aptos" w:hAnsi="Aptos" w:cs="Times New Roman"/>
          <w:i/>
          <w:iCs/>
          <w:sz w:val="25"/>
          <w:szCs w:val="25"/>
        </w:rPr>
        <w:t>Response to the Motion to Join and Partial Motion to Dismiss</w:t>
      </w:r>
      <w:r w:rsidR="006F4D30">
        <w:rPr>
          <w:rFonts w:ascii="Aptos" w:hAnsi="Aptos" w:cs="Times New Roman"/>
          <w:i/>
          <w:iCs/>
          <w:sz w:val="25"/>
          <w:szCs w:val="25"/>
        </w:rPr>
        <w:t xml:space="preserve"> </w:t>
      </w:r>
      <w:r w:rsidR="006F4D30">
        <w:rPr>
          <w:rFonts w:ascii="Aptos" w:hAnsi="Aptos" w:cs="Times New Roman"/>
          <w:sz w:val="25"/>
          <w:szCs w:val="25"/>
        </w:rPr>
        <w:t>(</w:t>
      </w:r>
      <w:r w:rsidR="006F4D30">
        <w:rPr>
          <w:rFonts w:ascii="Aptos" w:hAnsi="Aptos" w:cs="Times New Roman"/>
          <w:i/>
          <w:iCs/>
          <w:sz w:val="25"/>
          <w:szCs w:val="25"/>
        </w:rPr>
        <w:t>Response</w:t>
      </w:r>
      <w:r w:rsidR="006F4D30">
        <w:rPr>
          <w:rFonts w:ascii="Aptos" w:hAnsi="Aptos" w:cs="Times New Roman"/>
          <w:sz w:val="25"/>
          <w:szCs w:val="25"/>
        </w:rPr>
        <w:t>)</w:t>
      </w:r>
      <w:r>
        <w:rPr>
          <w:rFonts w:ascii="Aptos" w:hAnsi="Aptos" w:cs="Times New Roman"/>
          <w:sz w:val="25"/>
          <w:szCs w:val="25"/>
        </w:rPr>
        <w:t xml:space="preserve">, advising it </w:t>
      </w:r>
      <w:r w:rsidR="006F4D30">
        <w:rPr>
          <w:rFonts w:ascii="Aptos" w:hAnsi="Aptos" w:cs="Times New Roman"/>
          <w:sz w:val="25"/>
          <w:szCs w:val="25"/>
        </w:rPr>
        <w:t xml:space="preserve">does </w:t>
      </w:r>
      <w:r>
        <w:rPr>
          <w:rFonts w:ascii="Aptos" w:hAnsi="Aptos" w:cs="Times New Roman"/>
          <w:sz w:val="25"/>
          <w:szCs w:val="25"/>
        </w:rPr>
        <w:t>not object to being joined as a Party with regard to any claims relating to providing Student with SEIS services while he has been and continues to be in DYS custody (i.e., claims under M.G.L. c. 71B §12 and 603 CMR 28.06(9))</w:t>
      </w:r>
      <w:r w:rsidR="006F7AF8">
        <w:rPr>
          <w:rFonts w:ascii="Aptos" w:hAnsi="Aptos" w:cs="Times New Roman"/>
          <w:sz w:val="25"/>
          <w:szCs w:val="25"/>
        </w:rPr>
        <w:t>, although it denie</w:t>
      </w:r>
      <w:r w:rsidR="000210CD">
        <w:rPr>
          <w:rFonts w:ascii="Aptos" w:hAnsi="Aptos" w:cs="Times New Roman"/>
          <w:sz w:val="25"/>
          <w:szCs w:val="25"/>
        </w:rPr>
        <w:t xml:space="preserve">s </w:t>
      </w:r>
      <w:r w:rsidR="006F7AF8">
        <w:rPr>
          <w:rFonts w:ascii="Aptos" w:hAnsi="Aptos" w:cs="Times New Roman"/>
          <w:sz w:val="25"/>
          <w:szCs w:val="25"/>
        </w:rPr>
        <w:t>all such claims</w:t>
      </w:r>
      <w:r w:rsidR="00942554">
        <w:rPr>
          <w:rFonts w:ascii="Aptos" w:hAnsi="Aptos" w:cs="Times New Roman"/>
          <w:sz w:val="25"/>
          <w:szCs w:val="25"/>
        </w:rPr>
        <w:t xml:space="preserve">.  </w:t>
      </w:r>
      <w:r w:rsidR="000210CD">
        <w:rPr>
          <w:rFonts w:ascii="Aptos" w:hAnsi="Aptos" w:cs="Times New Roman"/>
          <w:sz w:val="25"/>
          <w:szCs w:val="25"/>
        </w:rPr>
        <w:t xml:space="preserve">Further, </w:t>
      </w:r>
      <w:r w:rsidR="00942554">
        <w:rPr>
          <w:rFonts w:ascii="Aptos" w:hAnsi="Aptos" w:cs="Times New Roman"/>
          <w:sz w:val="25"/>
          <w:szCs w:val="25"/>
        </w:rPr>
        <w:t xml:space="preserve">DESE seeks </w:t>
      </w:r>
      <w:r w:rsidR="00A1425D">
        <w:rPr>
          <w:rFonts w:ascii="Aptos" w:hAnsi="Aptos" w:cs="Times New Roman"/>
          <w:sz w:val="25"/>
          <w:szCs w:val="25"/>
        </w:rPr>
        <w:t>dismissal of cl</w:t>
      </w:r>
      <w:r w:rsidR="00DF1701">
        <w:rPr>
          <w:rFonts w:ascii="Aptos" w:hAnsi="Aptos" w:cs="Times New Roman"/>
          <w:sz w:val="25"/>
          <w:szCs w:val="25"/>
        </w:rPr>
        <w:t xml:space="preserve">aims in the </w:t>
      </w:r>
      <w:r w:rsidR="00DF1701">
        <w:rPr>
          <w:rFonts w:ascii="Aptos" w:hAnsi="Aptos" w:cs="Times New Roman"/>
          <w:i/>
          <w:iCs/>
          <w:sz w:val="25"/>
          <w:szCs w:val="25"/>
        </w:rPr>
        <w:t>Motion</w:t>
      </w:r>
      <w:r w:rsidR="00DF1701">
        <w:rPr>
          <w:rFonts w:ascii="Aptos" w:hAnsi="Aptos" w:cs="Times New Roman"/>
          <w:sz w:val="25"/>
          <w:szCs w:val="25"/>
        </w:rPr>
        <w:t xml:space="preserve"> pertaining to its general supervisory authority to ensure a FAPE is provided to students in institutional settings under 20 USC 1412 (a)(1)(A) and (a)(12); 35 CFR 300.2 (b)(1)(iv) and 300.154</w:t>
      </w:r>
      <w:r w:rsidR="00942554">
        <w:rPr>
          <w:rStyle w:val="FootnoteReference"/>
          <w:rFonts w:ascii="Aptos" w:eastAsia="Times New Roman" w:hAnsi="Aptos" w:cs="Times New Roman"/>
          <w:bCs/>
          <w:color w:val="000000"/>
          <w:sz w:val="25"/>
          <w:szCs w:val="25"/>
        </w:rPr>
        <w:footnoteReference w:id="4"/>
      </w:r>
      <w:r w:rsidR="00DF1701">
        <w:rPr>
          <w:rFonts w:ascii="Aptos" w:hAnsi="Aptos" w:cs="Times New Roman"/>
          <w:sz w:val="25"/>
          <w:szCs w:val="25"/>
        </w:rPr>
        <w:t>.</w:t>
      </w:r>
    </w:p>
    <w:p w14:paraId="66F95D6E" w14:textId="77777777" w:rsidR="00DF1701" w:rsidRDefault="00DF1701" w:rsidP="000E7A2A">
      <w:pPr>
        <w:spacing w:after="0" w:line="240" w:lineRule="auto"/>
        <w:rPr>
          <w:rFonts w:ascii="Aptos" w:hAnsi="Aptos" w:cs="Times New Roman"/>
          <w:sz w:val="25"/>
          <w:szCs w:val="25"/>
        </w:rPr>
      </w:pPr>
    </w:p>
    <w:p w14:paraId="59196E4D" w14:textId="1724A1F5" w:rsidR="000E7A2A" w:rsidRPr="000467B1" w:rsidRDefault="008D6F99" w:rsidP="000E7A2A">
      <w:pPr>
        <w:spacing w:after="0" w:line="240" w:lineRule="auto"/>
        <w:rPr>
          <w:rFonts w:ascii="Aptos" w:hAnsi="Aptos" w:cs="Times New Roman"/>
          <w:b/>
          <w:bCs/>
          <w:sz w:val="25"/>
          <w:szCs w:val="25"/>
        </w:rPr>
      </w:pPr>
      <w:r>
        <w:rPr>
          <w:rFonts w:ascii="Aptos" w:hAnsi="Aptos" w:cs="Times New Roman"/>
          <w:b/>
          <w:bCs/>
          <w:sz w:val="25"/>
          <w:szCs w:val="25"/>
        </w:rPr>
        <w:t xml:space="preserve">RELEVANT </w:t>
      </w:r>
      <w:r w:rsidR="000E7A2A" w:rsidRPr="000467B1">
        <w:rPr>
          <w:rFonts w:ascii="Aptos" w:hAnsi="Aptos" w:cs="Times New Roman"/>
          <w:b/>
          <w:bCs/>
          <w:sz w:val="25"/>
          <w:szCs w:val="25"/>
        </w:rPr>
        <w:t>FACTS</w:t>
      </w:r>
      <w:r w:rsidR="000E7A2A" w:rsidRPr="000467B1">
        <w:rPr>
          <w:rStyle w:val="FootnoteReference"/>
          <w:rFonts w:ascii="Aptos" w:hAnsi="Aptos" w:cs="Times New Roman"/>
          <w:b/>
          <w:bCs/>
          <w:sz w:val="25"/>
          <w:szCs w:val="25"/>
        </w:rPr>
        <w:footnoteReference w:id="5"/>
      </w:r>
    </w:p>
    <w:p w14:paraId="3FA95B3C" w14:textId="77777777" w:rsidR="000E7A2A" w:rsidRPr="000467B1" w:rsidRDefault="000E7A2A" w:rsidP="000E7A2A">
      <w:pPr>
        <w:spacing w:after="0" w:line="240" w:lineRule="auto"/>
        <w:rPr>
          <w:rFonts w:ascii="Aptos" w:hAnsi="Aptos" w:cs="Times New Roman"/>
          <w:sz w:val="25"/>
          <w:szCs w:val="25"/>
        </w:rPr>
      </w:pPr>
    </w:p>
    <w:p w14:paraId="5F1DEFC7" w14:textId="30187FDA" w:rsidR="000E7A2A" w:rsidRPr="000467B1" w:rsidRDefault="000E7A2A" w:rsidP="000E7A2A">
      <w:pPr>
        <w:pStyle w:val="ListParagraph"/>
        <w:numPr>
          <w:ilvl w:val="0"/>
          <w:numId w:val="1"/>
        </w:numPr>
        <w:spacing w:after="0" w:line="240" w:lineRule="auto"/>
        <w:rPr>
          <w:rFonts w:ascii="Aptos" w:hAnsi="Aptos" w:cs="Times New Roman"/>
          <w:sz w:val="25"/>
          <w:szCs w:val="25"/>
        </w:rPr>
      </w:pPr>
      <w:r w:rsidRPr="000467B1">
        <w:rPr>
          <w:rFonts w:ascii="Aptos" w:hAnsi="Aptos" w:cs="Times New Roman"/>
          <w:sz w:val="25"/>
          <w:szCs w:val="25"/>
        </w:rPr>
        <w:t xml:space="preserve">Student is 13 years old and </w:t>
      </w:r>
      <w:r w:rsidR="008C3B2D">
        <w:rPr>
          <w:rFonts w:ascii="Aptos" w:hAnsi="Aptos" w:cs="Times New Roman"/>
          <w:sz w:val="25"/>
          <w:szCs w:val="25"/>
        </w:rPr>
        <w:t xml:space="preserve">is eligible for special education </w:t>
      </w:r>
      <w:r w:rsidR="004D4A5C">
        <w:rPr>
          <w:rFonts w:ascii="Aptos" w:hAnsi="Aptos" w:cs="Times New Roman"/>
          <w:sz w:val="25"/>
          <w:szCs w:val="25"/>
        </w:rPr>
        <w:t xml:space="preserve">under the disability categories of </w:t>
      </w:r>
      <w:r w:rsidR="008C3B2D">
        <w:rPr>
          <w:rFonts w:ascii="Aptos" w:hAnsi="Aptos" w:cs="Times New Roman"/>
          <w:sz w:val="25"/>
          <w:szCs w:val="25"/>
        </w:rPr>
        <w:t xml:space="preserve">communication impairment, specific learning disabilities </w:t>
      </w:r>
      <w:r w:rsidR="004D4A5C">
        <w:rPr>
          <w:rFonts w:ascii="Aptos" w:hAnsi="Aptos" w:cs="Times New Roman"/>
          <w:sz w:val="25"/>
          <w:szCs w:val="25"/>
        </w:rPr>
        <w:t xml:space="preserve">in reading, writing and math, emotional impairment and health impairment (ADHD).  </w:t>
      </w:r>
      <w:r w:rsidRPr="000467B1">
        <w:rPr>
          <w:rFonts w:ascii="Aptos" w:hAnsi="Aptos" w:cs="Times New Roman"/>
          <w:sz w:val="25"/>
          <w:szCs w:val="25"/>
        </w:rPr>
        <w:t>(</w:t>
      </w:r>
      <w:r w:rsidRPr="000467B1">
        <w:rPr>
          <w:rFonts w:ascii="Aptos" w:hAnsi="Aptos" w:cs="Times New Roman"/>
          <w:i/>
          <w:iCs/>
          <w:sz w:val="25"/>
          <w:szCs w:val="25"/>
        </w:rPr>
        <w:t xml:space="preserve">Hearing Request; Memorandum in Support of Motion).   </w:t>
      </w:r>
    </w:p>
    <w:p w14:paraId="1A847D1D" w14:textId="77777777" w:rsidR="000E7A2A" w:rsidRPr="000467B1" w:rsidRDefault="000E7A2A" w:rsidP="000E7A2A">
      <w:pPr>
        <w:pStyle w:val="ListParagraph"/>
        <w:spacing w:after="0" w:line="240" w:lineRule="auto"/>
        <w:rPr>
          <w:rFonts w:ascii="Aptos" w:hAnsi="Aptos" w:cs="Times New Roman"/>
          <w:sz w:val="25"/>
          <w:szCs w:val="25"/>
        </w:rPr>
      </w:pPr>
    </w:p>
    <w:p w14:paraId="67C07083" w14:textId="58436DA7" w:rsidR="000E7A2A" w:rsidRPr="000467B1" w:rsidRDefault="00434877" w:rsidP="000E7A2A">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Between November 2024 and Ju</w:t>
      </w:r>
      <w:r w:rsidR="008A3B25">
        <w:rPr>
          <w:rFonts w:ascii="Aptos" w:hAnsi="Aptos" w:cs="Times New Roman"/>
          <w:sz w:val="25"/>
          <w:szCs w:val="25"/>
        </w:rPr>
        <w:t xml:space="preserve">ly 2025, </w:t>
      </w:r>
      <w:r>
        <w:rPr>
          <w:rFonts w:ascii="Aptos" w:hAnsi="Aptos" w:cs="Times New Roman"/>
          <w:sz w:val="25"/>
          <w:szCs w:val="25"/>
        </w:rPr>
        <w:t xml:space="preserve">Student </w:t>
      </w:r>
      <w:r w:rsidR="008A3B25">
        <w:rPr>
          <w:rFonts w:ascii="Aptos" w:hAnsi="Aptos" w:cs="Times New Roman"/>
          <w:sz w:val="25"/>
          <w:szCs w:val="25"/>
        </w:rPr>
        <w:t xml:space="preserve">has </w:t>
      </w:r>
      <w:r>
        <w:rPr>
          <w:rFonts w:ascii="Aptos" w:hAnsi="Aptos" w:cs="Times New Roman"/>
          <w:sz w:val="25"/>
          <w:szCs w:val="25"/>
        </w:rPr>
        <w:t>spent over 60 days in DYS custody</w:t>
      </w:r>
      <w:r w:rsidR="00537FA5">
        <w:rPr>
          <w:rFonts w:ascii="Aptos" w:hAnsi="Aptos" w:cs="Times New Roman"/>
          <w:sz w:val="25"/>
          <w:szCs w:val="25"/>
        </w:rPr>
        <w:t xml:space="preserve"> at the facilities of Carbone Hall in Framingham (Carbone)</w:t>
      </w:r>
      <w:r w:rsidR="00A7261B">
        <w:rPr>
          <w:rStyle w:val="FootnoteReference"/>
          <w:rFonts w:ascii="Aptos" w:hAnsi="Aptos" w:cs="Times New Roman"/>
          <w:sz w:val="25"/>
          <w:szCs w:val="25"/>
        </w:rPr>
        <w:footnoteReference w:id="6"/>
      </w:r>
      <w:r w:rsidR="00A7261B">
        <w:rPr>
          <w:rFonts w:ascii="Aptos" w:hAnsi="Aptos" w:cs="Times New Roman"/>
          <w:sz w:val="25"/>
          <w:szCs w:val="25"/>
        </w:rPr>
        <w:t xml:space="preserve"> </w:t>
      </w:r>
      <w:r w:rsidR="00537FA5">
        <w:rPr>
          <w:rFonts w:ascii="Aptos" w:hAnsi="Aptos" w:cs="Times New Roman"/>
          <w:sz w:val="25"/>
          <w:szCs w:val="25"/>
        </w:rPr>
        <w:t xml:space="preserve">and Metro in Boston (Metro).  Student is currently in DYS custody at Metro.  </w:t>
      </w:r>
      <w:r w:rsidR="000E7A2A" w:rsidRPr="00321ECD">
        <w:rPr>
          <w:rFonts w:ascii="Aptos" w:hAnsi="Aptos" w:cs="Times New Roman"/>
          <w:sz w:val="25"/>
          <w:szCs w:val="25"/>
        </w:rPr>
        <w:t>(</w:t>
      </w:r>
      <w:r w:rsidR="000E7A2A" w:rsidRPr="000467B1">
        <w:rPr>
          <w:rFonts w:ascii="Aptos" w:hAnsi="Aptos" w:cs="Times New Roman"/>
          <w:i/>
          <w:iCs/>
          <w:sz w:val="25"/>
          <w:szCs w:val="25"/>
        </w:rPr>
        <w:t>Memorandum in Support of Motion</w:t>
      </w:r>
      <w:r w:rsidR="000E7A2A" w:rsidRPr="00321ECD">
        <w:rPr>
          <w:rFonts w:ascii="Aptos" w:hAnsi="Aptos" w:cs="Times New Roman"/>
          <w:sz w:val="25"/>
          <w:szCs w:val="25"/>
        </w:rPr>
        <w:t>).</w:t>
      </w:r>
      <w:r w:rsidR="000E7A2A" w:rsidRPr="000467B1">
        <w:rPr>
          <w:rFonts w:ascii="Aptos" w:hAnsi="Aptos" w:cs="Times New Roman"/>
          <w:i/>
          <w:iCs/>
          <w:sz w:val="25"/>
          <w:szCs w:val="25"/>
        </w:rPr>
        <w:t xml:space="preserve">  </w:t>
      </w:r>
    </w:p>
    <w:p w14:paraId="5CA94D85" w14:textId="77777777" w:rsidR="000E7A2A" w:rsidRPr="000467B1" w:rsidRDefault="000E7A2A" w:rsidP="000E7A2A">
      <w:pPr>
        <w:pStyle w:val="ListParagraph"/>
        <w:spacing w:after="0" w:line="240" w:lineRule="auto"/>
        <w:rPr>
          <w:rFonts w:ascii="Aptos" w:hAnsi="Aptos" w:cs="Times New Roman"/>
          <w:sz w:val="25"/>
          <w:szCs w:val="25"/>
        </w:rPr>
      </w:pPr>
    </w:p>
    <w:p w14:paraId="4CCE5A73" w14:textId="77777777" w:rsidR="00A7261B" w:rsidRPr="00A7261B" w:rsidRDefault="0077526F" w:rsidP="00A7261B">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lastRenderedPageBreak/>
        <w:t xml:space="preserve">Between November 2024 and </w:t>
      </w:r>
      <w:r w:rsidR="00D63CCB">
        <w:rPr>
          <w:rFonts w:ascii="Aptos" w:hAnsi="Aptos" w:cs="Times New Roman"/>
          <w:sz w:val="25"/>
          <w:szCs w:val="25"/>
        </w:rPr>
        <w:t>June 12, 2025</w:t>
      </w:r>
      <w:r>
        <w:rPr>
          <w:rFonts w:ascii="Aptos" w:hAnsi="Aptos" w:cs="Times New Roman"/>
          <w:sz w:val="25"/>
          <w:szCs w:val="25"/>
        </w:rPr>
        <w:t>, Student</w:t>
      </w:r>
      <w:r w:rsidR="000624D5">
        <w:rPr>
          <w:rFonts w:ascii="Aptos" w:hAnsi="Aptos" w:cs="Times New Roman"/>
          <w:sz w:val="25"/>
          <w:szCs w:val="25"/>
        </w:rPr>
        <w:t xml:space="preserve">’s accepted IEP called for </w:t>
      </w:r>
      <w:r w:rsidR="00642ABA">
        <w:rPr>
          <w:rFonts w:ascii="Aptos" w:hAnsi="Aptos" w:cs="Times New Roman"/>
          <w:sz w:val="25"/>
          <w:szCs w:val="25"/>
        </w:rPr>
        <w:t xml:space="preserve">the following </w:t>
      </w:r>
      <w:r w:rsidR="000624D5">
        <w:rPr>
          <w:rFonts w:ascii="Aptos" w:hAnsi="Aptos" w:cs="Times New Roman"/>
          <w:sz w:val="25"/>
          <w:szCs w:val="25"/>
        </w:rPr>
        <w:t xml:space="preserve">C-Grid </w:t>
      </w:r>
      <w:r w:rsidR="00642ABA">
        <w:rPr>
          <w:rFonts w:ascii="Aptos" w:hAnsi="Aptos" w:cs="Times New Roman"/>
          <w:sz w:val="25"/>
          <w:szCs w:val="25"/>
        </w:rPr>
        <w:t xml:space="preserve">services:  </w:t>
      </w:r>
      <w:r w:rsidR="000624D5">
        <w:rPr>
          <w:rFonts w:ascii="Aptos" w:hAnsi="Aptos" w:cs="Times New Roman"/>
          <w:sz w:val="25"/>
          <w:szCs w:val="25"/>
        </w:rPr>
        <w:t>5 x 69 minutes/week</w:t>
      </w:r>
      <w:r w:rsidR="00642ABA">
        <w:rPr>
          <w:rFonts w:ascii="Aptos" w:hAnsi="Aptos" w:cs="Times New Roman"/>
          <w:sz w:val="25"/>
          <w:szCs w:val="25"/>
        </w:rPr>
        <w:t xml:space="preserve"> (m/w)</w:t>
      </w:r>
      <w:r w:rsidR="000624D5">
        <w:rPr>
          <w:rFonts w:ascii="Aptos" w:hAnsi="Aptos" w:cs="Times New Roman"/>
          <w:sz w:val="25"/>
          <w:szCs w:val="25"/>
        </w:rPr>
        <w:t xml:space="preserve"> </w:t>
      </w:r>
      <w:r w:rsidR="00321ECD">
        <w:rPr>
          <w:rFonts w:ascii="Aptos" w:hAnsi="Aptos" w:cs="Times New Roman"/>
          <w:sz w:val="25"/>
          <w:szCs w:val="25"/>
        </w:rPr>
        <w:t>each of Math, ELA, Self-Regulation, and Executive Instruction</w:t>
      </w:r>
      <w:r w:rsidR="00A003AD">
        <w:rPr>
          <w:rFonts w:ascii="Aptos" w:hAnsi="Aptos" w:cs="Times New Roman"/>
          <w:sz w:val="25"/>
          <w:szCs w:val="25"/>
        </w:rPr>
        <w:t>,</w:t>
      </w:r>
      <w:r w:rsidR="00321ECD">
        <w:rPr>
          <w:rFonts w:ascii="Aptos" w:hAnsi="Aptos" w:cs="Times New Roman"/>
          <w:sz w:val="25"/>
          <w:szCs w:val="25"/>
        </w:rPr>
        <w:t xml:space="preserve"> all with a special educator</w:t>
      </w:r>
      <w:r w:rsidR="00321391">
        <w:rPr>
          <w:rFonts w:ascii="Aptos" w:hAnsi="Aptos" w:cs="Times New Roman"/>
          <w:sz w:val="25"/>
          <w:szCs w:val="25"/>
        </w:rPr>
        <w:t>;</w:t>
      </w:r>
      <w:r w:rsidR="00321ECD">
        <w:rPr>
          <w:rFonts w:ascii="Aptos" w:hAnsi="Aptos" w:cs="Times New Roman"/>
          <w:sz w:val="25"/>
          <w:szCs w:val="25"/>
        </w:rPr>
        <w:t xml:space="preserve"> and 1 x 30 </w:t>
      </w:r>
      <w:r w:rsidR="00642ABA">
        <w:rPr>
          <w:rFonts w:ascii="Aptos" w:hAnsi="Aptos" w:cs="Times New Roman"/>
          <w:sz w:val="25"/>
          <w:szCs w:val="25"/>
        </w:rPr>
        <w:t>m/w</w:t>
      </w:r>
      <w:r w:rsidR="00321ECD">
        <w:rPr>
          <w:rFonts w:ascii="Aptos" w:hAnsi="Aptos" w:cs="Times New Roman"/>
          <w:sz w:val="25"/>
          <w:szCs w:val="25"/>
        </w:rPr>
        <w:t xml:space="preserve"> of Counseling with a counselor.</w:t>
      </w:r>
      <w:r w:rsidR="00ED03B1">
        <w:rPr>
          <w:rFonts w:ascii="Aptos" w:hAnsi="Aptos" w:cs="Times New Roman"/>
          <w:sz w:val="25"/>
          <w:szCs w:val="25"/>
        </w:rPr>
        <w:t xml:space="preserve">  </w:t>
      </w:r>
      <w:r w:rsidR="002243E5">
        <w:rPr>
          <w:rFonts w:ascii="Aptos" w:hAnsi="Aptos" w:cs="Times New Roman"/>
          <w:sz w:val="25"/>
          <w:szCs w:val="25"/>
        </w:rPr>
        <w:t xml:space="preserve">On </w:t>
      </w:r>
      <w:r w:rsidR="00642ABA">
        <w:rPr>
          <w:rFonts w:ascii="Aptos" w:hAnsi="Aptos" w:cs="Times New Roman"/>
          <w:sz w:val="25"/>
          <w:szCs w:val="25"/>
        </w:rPr>
        <w:t xml:space="preserve">April 28, 2025, </w:t>
      </w:r>
      <w:r w:rsidR="006C1224">
        <w:rPr>
          <w:rFonts w:ascii="Aptos" w:hAnsi="Aptos" w:cs="Times New Roman"/>
          <w:sz w:val="25"/>
          <w:szCs w:val="25"/>
        </w:rPr>
        <w:t xml:space="preserve">Parent </w:t>
      </w:r>
      <w:r w:rsidR="00ED03B1">
        <w:rPr>
          <w:rFonts w:ascii="Aptos" w:hAnsi="Aptos" w:cs="Times New Roman"/>
          <w:sz w:val="25"/>
          <w:szCs w:val="25"/>
        </w:rPr>
        <w:t>accepted a</w:t>
      </w:r>
      <w:r w:rsidR="002243E5">
        <w:rPr>
          <w:rFonts w:ascii="Aptos" w:hAnsi="Aptos" w:cs="Times New Roman"/>
          <w:sz w:val="25"/>
          <w:szCs w:val="25"/>
        </w:rPr>
        <w:t xml:space="preserve">n additional </w:t>
      </w:r>
      <w:r w:rsidR="00ED03B1">
        <w:rPr>
          <w:rFonts w:ascii="Aptos" w:hAnsi="Aptos" w:cs="Times New Roman"/>
          <w:sz w:val="25"/>
          <w:szCs w:val="25"/>
        </w:rPr>
        <w:t xml:space="preserve">C-Grid service of </w:t>
      </w:r>
      <w:r w:rsidR="002351E7">
        <w:rPr>
          <w:rFonts w:ascii="Aptos" w:hAnsi="Aptos" w:cs="Times New Roman"/>
          <w:sz w:val="25"/>
          <w:szCs w:val="25"/>
        </w:rPr>
        <w:t xml:space="preserve">“rules-based reading instruction” </w:t>
      </w:r>
      <w:r w:rsidR="002243E5">
        <w:rPr>
          <w:rFonts w:ascii="Aptos" w:hAnsi="Aptos" w:cs="Times New Roman"/>
          <w:sz w:val="25"/>
          <w:szCs w:val="25"/>
        </w:rPr>
        <w:t xml:space="preserve">4 x 30 m/w </w:t>
      </w:r>
      <w:r w:rsidR="002351E7">
        <w:rPr>
          <w:rFonts w:ascii="Aptos" w:hAnsi="Aptos" w:cs="Times New Roman"/>
          <w:sz w:val="25"/>
          <w:szCs w:val="25"/>
        </w:rPr>
        <w:t>with a special educator.</w:t>
      </w:r>
      <w:r w:rsidR="00321ECD">
        <w:rPr>
          <w:rFonts w:ascii="Aptos" w:hAnsi="Aptos" w:cs="Times New Roman"/>
          <w:sz w:val="25"/>
          <w:szCs w:val="25"/>
        </w:rPr>
        <w:t xml:space="preserve">  </w:t>
      </w:r>
      <w:r w:rsidR="00321ECD" w:rsidRPr="00321ECD">
        <w:rPr>
          <w:rFonts w:ascii="Aptos" w:hAnsi="Aptos" w:cs="Times New Roman"/>
          <w:sz w:val="25"/>
          <w:szCs w:val="25"/>
        </w:rPr>
        <w:t>(</w:t>
      </w:r>
      <w:r w:rsidR="00321ECD">
        <w:rPr>
          <w:rFonts w:ascii="Aptos" w:hAnsi="Aptos" w:cs="Times New Roman"/>
          <w:i/>
          <w:iCs/>
          <w:sz w:val="25"/>
          <w:szCs w:val="25"/>
        </w:rPr>
        <w:t>Student</w:t>
      </w:r>
      <w:r w:rsidR="00321ECD" w:rsidRPr="000467B1">
        <w:rPr>
          <w:rFonts w:ascii="Aptos" w:hAnsi="Aptos" w:cs="Times New Roman"/>
          <w:i/>
          <w:iCs/>
          <w:sz w:val="25"/>
          <w:szCs w:val="25"/>
        </w:rPr>
        <w:t xml:space="preserve"> Memorandum in Support of Motion</w:t>
      </w:r>
      <w:r w:rsidR="00321ECD" w:rsidRPr="00321ECD">
        <w:rPr>
          <w:rFonts w:ascii="Aptos" w:hAnsi="Aptos" w:cs="Times New Roman"/>
          <w:sz w:val="25"/>
          <w:szCs w:val="25"/>
        </w:rPr>
        <w:t>).</w:t>
      </w:r>
      <w:r w:rsidR="00321ECD" w:rsidRPr="000467B1">
        <w:rPr>
          <w:rFonts w:ascii="Aptos" w:hAnsi="Aptos" w:cs="Times New Roman"/>
          <w:i/>
          <w:iCs/>
          <w:sz w:val="25"/>
          <w:szCs w:val="25"/>
        </w:rPr>
        <w:t xml:space="preserve"> </w:t>
      </w:r>
    </w:p>
    <w:p w14:paraId="2370C213" w14:textId="77777777" w:rsidR="00A7261B" w:rsidRPr="00A7261B" w:rsidRDefault="00A7261B" w:rsidP="00A7261B">
      <w:pPr>
        <w:pStyle w:val="ListParagraph"/>
        <w:rPr>
          <w:rFonts w:ascii="Aptos" w:hAnsi="Aptos" w:cs="Times New Roman"/>
          <w:sz w:val="25"/>
          <w:szCs w:val="25"/>
        </w:rPr>
      </w:pPr>
    </w:p>
    <w:p w14:paraId="64C051A0" w14:textId="4593DC4E" w:rsidR="00A05E4E" w:rsidRPr="00A7261B" w:rsidRDefault="00A05E4E" w:rsidP="00A7261B">
      <w:pPr>
        <w:pStyle w:val="ListParagraph"/>
        <w:numPr>
          <w:ilvl w:val="0"/>
          <w:numId w:val="1"/>
        </w:numPr>
        <w:spacing w:after="0" w:line="240" w:lineRule="auto"/>
        <w:rPr>
          <w:rFonts w:ascii="Aptos" w:hAnsi="Aptos" w:cs="Times New Roman"/>
          <w:sz w:val="25"/>
          <w:szCs w:val="25"/>
        </w:rPr>
      </w:pPr>
      <w:r w:rsidRPr="00A7261B">
        <w:rPr>
          <w:rFonts w:ascii="Aptos" w:hAnsi="Aptos" w:cs="Times New Roman"/>
          <w:sz w:val="25"/>
          <w:szCs w:val="25"/>
        </w:rPr>
        <w:t xml:space="preserve">While at Carbone, a special education </w:t>
      </w:r>
      <w:r w:rsidR="00DF68FC" w:rsidRPr="00A7261B">
        <w:rPr>
          <w:rFonts w:ascii="Aptos" w:hAnsi="Aptos" w:cs="Times New Roman"/>
          <w:sz w:val="25"/>
          <w:szCs w:val="25"/>
        </w:rPr>
        <w:t>teacher from SEIS provided Student with support two hours per week</w:t>
      </w:r>
      <w:r w:rsidR="00A7261B">
        <w:rPr>
          <w:rFonts w:ascii="Aptos" w:hAnsi="Aptos" w:cs="Times New Roman"/>
          <w:sz w:val="25"/>
          <w:szCs w:val="25"/>
        </w:rPr>
        <w:t xml:space="preserve">, and he received all other instruction </w:t>
      </w:r>
      <w:r w:rsidR="00DF68FC" w:rsidRPr="00A7261B">
        <w:rPr>
          <w:rFonts w:ascii="Aptos" w:hAnsi="Aptos" w:cs="Times New Roman"/>
          <w:sz w:val="25"/>
          <w:szCs w:val="25"/>
        </w:rPr>
        <w:t>from a general education teacher.  The District did not provide any additional special education services or support</w:t>
      </w:r>
      <w:r w:rsidR="009C3D03" w:rsidRPr="00A7261B">
        <w:rPr>
          <w:rFonts w:ascii="Aptos" w:hAnsi="Aptos" w:cs="Times New Roman"/>
          <w:sz w:val="25"/>
          <w:szCs w:val="25"/>
        </w:rPr>
        <w:t xml:space="preserve"> </w:t>
      </w:r>
      <w:r w:rsidR="00A7261B">
        <w:rPr>
          <w:rFonts w:ascii="Aptos" w:hAnsi="Aptos" w:cs="Times New Roman"/>
          <w:sz w:val="25"/>
          <w:szCs w:val="25"/>
        </w:rPr>
        <w:t>there</w:t>
      </w:r>
      <w:r w:rsidR="00DF68FC" w:rsidRPr="00A7261B">
        <w:rPr>
          <w:rFonts w:ascii="Aptos" w:hAnsi="Aptos" w:cs="Times New Roman"/>
          <w:sz w:val="25"/>
          <w:szCs w:val="25"/>
        </w:rPr>
        <w:t xml:space="preserve">.  </w:t>
      </w:r>
      <w:r w:rsidR="00F15C44" w:rsidRPr="00A7261B">
        <w:rPr>
          <w:rFonts w:ascii="Aptos" w:hAnsi="Aptos" w:cs="Times New Roman"/>
          <w:sz w:val="25"/>
          <w:szCs w:val="25"/>
        </w:rPr>
        <w:t>(</w:t>
      </w:r>
      <w:r w:rsidR="00F15C44" w:rsidRPr="00A7261B">
        <w:rPr>
          <w:rFonts w:ascii="Aptos" w:hAnsi="Aptos" w:cs="Times New Roman"/>
          <w:i/>
          <w:iCs/>
          <w:sz w:val="25"/>
          <w:szCs w:val="25"/>
        </w:rPr>
        <w:t>Memorandum in Support of Motion</w:t>
      </w:r>
      <w:r w:rsidR="00F15C44" w:rsidRPr="00A7261B">
        <w:rPr>
          <w:rFonts w:ascii="Aptos" w:hAnsi="Aptos" w:cs="Times New Roman"/>
          <w:sz w:val="25"/>
          <w:szCs w:val="25"/>
        </w:rPr>
        <w:t>).</w:t>
      </w:r>
    </w:p>
    <w:p w14:paraId="1EA92ADD" w14:textId="77777777" w:rsidR="00F15C44" w:rsidRPr="00F15C44" w:rsidRDefault="00F15C44" w:rsidP="00F15C44">
      <w:pPr>
        <w:pStyle w:val="ListParagraph"/>
        <w:rPr>
          <w:rFonts w:ascii="Aptos" w:hAnsi="Aptos" w:cs="Times New Roman"/>
          <w:sz w:val="25"/>
          <w:szCs w:val="25"/>
        </w:rPr>
      </w:pPr>
    </w:p>
    <w:p w14:paraId="40817D02" w14:textId="5477775F" w:rsidR="00982949" w:rsidRDefault="00F15C44" w:rsidP="000E7A2A">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While at Metro, a special education teacher from SEIS </w:t>
      </w:r>
      <w:r w:rsidR="00DD079E">
        <w:rPr>
          <w:rFonts w:ascii="Aptos" w:hAnsi="Aptos" w:cs="Times New Roman"/>
          <w:sz w:val="25"/>
          <w:szCs w:val="25"/>
        </w:rPr>
        <w:t xml:space="preserve">has and continues to </w:t>
      </w:r>
      <w:r>
        <w:rPr>
          <w:rFonts w:ascii="Aptos" w:hAnsi="Aptos" w:cs="Times New Roman"/>
          <w:sz w:val="25"/>
          <w:szCs w:val="25"/>
        </w:rPr>
        <w:t>provide Student with support one to two hours per week</w:t>
      </w:r>
      <w:r w:rsidR="00A7261B">
        <w:rPr>
          <w:rFonts w:ascii="Aptos" w:hAnsi="Aptos" w:cs="Times New Roman"/>
          <w:sz w:val="25"/>
          <w:szCs w:val="25"/>
        </w:rPr>
        <w:t xml:space="preserve"> and he receives all other </w:t>
      </w:r>
      <w:r>
        <w:rPr>
          <w:rFonts w:ascii="Aptos" w:hAnsi="Aptos" w:cs="Times New Roman"/>
          <w:sz w:val="25"/>
          <w:szCs w:val="25"/>
        </w:rPr>
        <w:t xml:space="preserve">instruction from a general education teacher.  The District </w:t>
      </w:r>
      <w:r w:rsidR="00DD079E">
        <w:rPr>
          <w:rFonts w:ascii="Aptos" w:hAnsi="Aptos" w:cs="Times New Roman"/>
          <w:sz w:val="25"/>
          <w:szCs w:val="25"/>
        </w:rPr>
        <w:t xml:space="preserve">has never </w:t>
      </w:r>
      <w:r>
        <w:rPr>
          <w:rFonts w:ascii="Aptos" w:hAnsi="Aptos" w:cs="Times New Roman"/>
          <w:sz w:val="25"/>
          <w:szCs w:val="25"/>
        </w:rPr>
        <w:t>provide</w:t>
      </w:r>
      <w:r w:rsidR="00DD079E">
        <w:rPr>
          <w:rFonts w:ascii="Aptos" w:hAnsi="Aptos" w:cs="Times New Roman"/>
          <w:sz w:val="25"/>
          <w:szCs w:val="25"/>
        </w:rPr>
        <w:t>d</w:t>
      </w:r>
      <w:r>
        <w:rPr>
          <w:rFonts w:ascii="Aptos" w:hAnsi="Aptos" w:cs="Times New Roman"/>
          <w:sz w:val="25"/>
          <w:szCs w:val="25"/>
        </w:rPr>
        <w:t xml:space="preserve"> any special education services or support</w:t>
      </w:r>
      <w:r w:rsidR="009C3D03">
        <w:rPr>
          <w:rFonts w:ascii="Aptos" w:hAnsi="Aptos" w:cs="Times New Roman"/>
          <w:sz w:val="25"/>
          <w:szCs w:val="25"/>
        </w:rPr>
        <w:t xml:space="preserve"> </w:t>
      </w:r>
      <w:r w:rsidR="00A7261B">
        <w:rPr>
          <w:rFonts w:ascii="Aptos" w:hAnsi="Aptos" w:cs="Times New Roman"/>
          <w:sz w:val="25"/>
          <w:szCs w:val="25"/>
        </w:rPr>
        <w:t>there</w:t>
      </w:r>
      <w:r>
        <w:rPr>
          <w:rFonts w:ascii="Aptos" w:hAnsi="Aptos" w:cs="Times New Roman"/>
          <w:sz w:val="25"/>
          <w:szCs w:val="25"/>
        </w:rPr>
        <w:t xml:space="preserve">.  </w:t>
      </w:r>
      <w:r w:rsidRPr="00321ECD">
        <w:rPr>
          <w:rFonts w:ascii="Aptos" w:hAnsi="Aptos" w:cs="Times New Roman"/>
          <w:sz w:val="25"/>
          <w:szCs w:val="25"/>
        </w:rPr>
        <w:t>(</w:t>
      </w:r>
      <w:r w:rsidRPr="000467B1">
        <w:rPr>
          <w:rFonts w:ascii="Aptos" w:hAnsi="Aptos" w:cs="Times New Roman"/>
          <w:i/>
          <w:iCs/>
          <w:sz w:val="25"/>
          <w:szCs w:val="25"/>
        </w:rPr>
        <w:t>Memorandum in Support of Motion</w:t>
      </w:r>
      <w:r w:rsidRPr="00321ECD">
        <w:rPr>
          <w:rFonts w:ascii="Aptos" w:hAnsi="Aptos" w:cs="Times New Roman"/>
          <w:sz w:val="25"/>
          <w:szCs w:val="25"/>
        </w:rPr>
        <w:t>).</w:t>
      </w:r>
    </w:p>
    <w:p w14:paraId="33BC91DE" w14:textId="77777777" w:rsidR="00303B85" w:rsidRPr="00A7261B" w:rsidRDefault="00303B85" w:rsidP="00A7261B">
      <w:pPr>
        <w:pStyle w:val="ListParagraph"/>
        <w:rPr>
          <w:rFonts w:ascii="Aptos" w:hAnsi="Aptos" w:cs="Times New Roman"/>
          <w:sz w:val="25"/>
          <w:szCs w:val="25"/>
        </w:rPr>
      </w:pPr>
    </w:p>
    <w:p w14:paraId="104EA27F" w14:textId="062B6BF4" w:rsidR="00303B85" w:rsidRPr="00A7261B" w:rsidRDefault="00303B85" w:rsidP="00A7261B">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On June 12, 2025, Parent accepted a new IEP placing Student in a therapeutic day school program with A-Grid monthly consultation by a speech and language pathologist (SLP) and a counselor and the following C-Grid services: 5 x 60 m/w of Reading/Writing, Math Skills, Self-Regulation Skills, and Executive Functioning Skills with a special educator; 4 x 45 m/w of rules-based Reading with a special educator; 1 x 45 m/w of speech and language services with an SLP or SLP Assistant; and 1 x 30 m/w of Counseling.  </w:t>
      </w:r>
      <w:r w:rsidRPr="00321ECD">
        <w:rPr>
          <w:rFonts w:ascii="Aptos" w:hAnsi="Aptos" w:cs="Times New Roman"/>
          <w:sz w:val="25"/>
          <w:szCs w:val="25"/>
        </w:rPr>
        <w:t>(</w:t>
      </w:r>
      <w:r w:rsidRPr="000467B1">
        <w:rPr>
          <w:rFonts w:ascii="Aptos" w:hAnsi="Aptos" w:cs="Times New Roman"/>
          <w:i/>
          <w:iCs/>
          <w:sz w:val="25"/>
          <w:szCs w:val="25"/>
        </w:rPr>
        <w:t>Memorandum in Support of Motion</w:t>
      </w:r>
      <w:r w:rsidRPr="00321ECD">
        <w:rPr>
          <w:rFonts w:ascii="Aptos" w:hAnsi="Aptos" w:cs="Times New Roman"/>
          <w:sz w:val="25"/>
          <w:szCs w:val="25"/>
        </w:rPr>
        <w:t>).</w:t>
      </w:r>
      <w:r w:rsidRPr="000467B1">
        <w:rPr>
          <w:rFonts w:ascii="Aptos" w:hAnsi="Aptos" w:cs="Times New Roman"/>
          <w:i/>
          <w:iCs/>
          <w:sz w:val="25"/>
          <w:szCs w:val="25"/>
        </w:rPr>
        <w:t xml:space="preserve">  </w:t>
      </w:r>
    </w:p>
    <w:p w14:paraId="01983BC5" w14:textId="77777777" w:rsidR="006479F9" w:rsidRDefault="006479F9" w:rsidP="006479F9">
      <w:pPr>
        <w:spacing w:after="0" w:line="240" w:lineRule="auto"/>
        <w:rPr>
          <w:rFonts w:ascii="Aptos" w:hAnsi="Aptos" w:cs="Times New Roman"/>
          <w:b/>
          <w:bCs/>
          <w:sz w:val="25"/>
          <w:szCs w:val="25"/>
        </w:rPr>
      </w:pPr>
    </w:p>
    <w:p w14:paraId="78A5C89A" w14:textId="32419693" w:rsidR="006479F9" w:rsidRPr="00331871" w:rsidRDefault="006479F9" w:rsidP="006479F9">
      <w:pPr>
        <w:spacing w:after="0" w:line="240" w:lineRule="auto"/>
        <w:rPr>
          <w:rFonts w:ascii="Aptos" w:hAnsi="Aptos" w:cs="Times New Roman"/>
          <w:b/>
          <w:bCs/>
          <w:sz w:val="25"/>
          <w:szCs w:val="25"/>
        </w:rPr>
      </w:pPr>
      <w:r w:rsidRPr="00331871">
        <w:rPr>
          <w:rFonts w:ascii="Aptos" w:hAnsi="Aptos" w:cs="Times New Roman"/>
          <w:b/>
          <w:bCs/>
          <w:sz w:val="25"/>
          <w:szCs w:val="25"/>
        </w:rPr>
        <w:t>LEGAL STANDARD</w:t>
      </w:r>
      <w:r w:rsidR="00615824">
        <w:rPr>
          <w:rFonts w:ascii="Aptos" w:hAnsi="Aptos" w:cs="Times New Roman"/>
          <w:b/>
          <w:bCs/>
          <w:sz w:val="25"/>
          <w:szCs w:val="25"/>
        </w:rPr>
        <w:t>S</w:t>
      </w:r>
    </w:p>
    <w:p w14:paraId="0B0DC345" w14:textId="77777777" w:rsidR="006479F9" w:rsidRPr="00331871" w:rsidRDefault="006479F9" w:rsidP="006479F9">
      <w:pPr>
        <w:spacing w:after="0" w:line="240" w:lineRule="auto"/>
        <w:rPr>
          <w:rFonts w:ascii="Aptos" w:eastAsia="Times New Roman" w:hAnsi="Aptos" w:cs="Times New Roman"/>
          <w:bCs/>
          <w:color w:val="000000"/>
          <w:sz w:val="25"/>
          <w:szCs w:val="25"/>
        </w:rPr>
      </w:pPr>
    </w:p>
    <w:p w14:paraId="2A08E358" w14:textId="77777777" w:rsidR="006479F9" w:rsidRPr="00331871" w:rsidRDefault="006479F9" w:rsidP="006479F9">
      <w:pPr>
        <w:spacing w:after="0" w:line="240" w:lineRule="auto"/>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A.</w:t>
      </w:r>
      <w:r w:rsidRPr="00331871">
        <w:rPr>
          <w:rFonts w:ascii="Aptos" w:eastAsia="Times New Roman" w:hAnsi="Aptos" w:cs="Times New Roman"/>
          <w:bCs/>
          <w:color w:val="000000"/>
          <w:sz w:val="25"/>
          <w:szCs w:val="25"/>
        </w:rPr>
        <w:tab/>
      </w:r>
      <w:r w:rsidRPr="00331871">
        <w:rPr>
          <w:rFonts w:ascii="Aptos" w:eastAsia="Times New Roman" w:hAnsi="Aptos" w:cs="Times New Roman"/>
          <w:bCs/>
          <w:color w:val="000000"/>
          <w:sz w:val="25"/>
          <w:szCs w:val="25"/>
          <w:u w:val="single"/>
        </w:rPr>
        <w:t xml:space="preserve">Joinder of </w:t>
      </w:r>
      <w:r>
        <w:rPr>
          <w:rFonts w:ascii="Aptos" w:eastAsia="Times New Roman" w:hAnsi="Aptos" w:cs="Times New Roman"/>
          <w:bCs/>
          <w:color w:val="000000"/>
          <w:sz w:val="25"/>
          <w:szCs w:val="25"/>
          <w:u w:val="single"/>
        </w:rPr>
        <w:t>a</w:t>
      </w:r>
      <w:r w:rsidRPr="00331871">
        <w:rPr>
          <w:rFonts w:ascii="Aptos" w:eastAsia="Times New Roman" w:hAnsi="Aptos" w:cs="Times New Roman"/>
          <w:bCs/>
          <w:color w:val="000000"/>
          <w:sz w:val="25"/>
          <w:szCs w:val="25"/>
          <w:u w:val="single"/>
        </w:rPr>
        <w:t xml:space="preserve"> State Agency</w:t>
      </w:r>
    </w:p>
    <w:p w14:paraId="32066011" w14:textId="77777777" w:rsidR="006479F9" w:rsidRPr="00331871" w:rsidRDefault="006479F9" w:rsidP="006479F9">
      <w:pPr>
        <w:spacing w:after="0" w:line="240" w:lineRule="auto"/>
        <w:rPr>
          <w:rFonts w:ascii="Aptos" w:eastAsia="Times New Roman" w:hAnsi="Aptos" w:cs="Times New Roman"/>
          <w:bCs/>
          <w:color w:val="000000"/>
          <w:sz w:val="25"/>
          <w:szCs w:val="25"/>
        </w:rPr>
      </w:pPr>
    </w:p>
    <w:p w14:paraId="39A02F63" w14:textId="5E563FCE" w:rsidR="006479F9" w:rsidRPr="00331871" w:rsidRDefault="006479F9" w:rsidP="006479F9">
      <w:pPr>
        <w:spacing w:after="0" w:line="240" w:lineRule="auto"/>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 xml:space="preserve">Rule I(J) of the </w:t>
      </w:r>
      <w:r w:rsidRPr="00331871">
        <w:rPr>
          <w:rFonts w:ascii="Aptos" w:eastAsia="Times New Roman" w:hAnsi="Aptos" w:cs="Times New Roman"/>
          <w:bCs/>
          <w:i/>
          <w:iCs/>
          <w:color w:val="000000"/>
          <w:sz w:val="25"/>
          <w:szCs w:val="25"/>
        </w:rPr>
        <w:t>Hearing Rules</w:t>
      </w:r>
      <w:r w:rsidRPr="00331871">
        <w:rPr>
          <w:rFonts w:ascii="Aptos" w:eastAsia="Times New Roman" w:hAnsi="Aptos" w:cs="Times New Roman"/>
          <w:bCs/>
          <w:color w:val="000000"/>
          <w:sz w:val="25"/>
          <w:szCs w:val="25"/>
        </w:rPr>
        <w:t xml:space="preserve"> states that, </w:t>
      </w:r>
    </w:p>
    <w:p w14:paraId="5146C02E" w14:textId="77777777" w:rsidR="006479F9" w:rsidRPr="00331871" w:rsidRDefault="006479F9" w:rsidP="006479F9">
      <w:pPr>
        <w:spacing w:after="0" w:line="240" w:lineRule="auto"/>
        <w:ind w:left="720" w:right="720"/>
        <w:rPr>
          <w:rFonts w:ascii="Aptos" w:eastAsia="Times New Roman" w:hAnsi="Aptos" w:cs="Times New Roman"/>
          <w:bCs/>
          <w:color w:val="000000"/>
          <w:sz w:val="25"/>
          <w:szCs w:val="25"/>
        </w:rPr>
      </w:pPr>
    </w:p>
    <w:p w14:paraId="22478F09" w14:textId="77777777" w:rsidR="006479F9" w:rsidRPr="00331871" w:rsidRDefault="006479F9" w:rsidP="006479F9">
      <w:pPr>
        <w:spacing w:after="0" w:line="240" w:lineRule="auto"/>
        <w:ind w:left="720" w:right="720"/>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 xml:space="preserve">“Upon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 determination of joinder </w:t>
      </w:r>
      <w:proofErr w:type="gramStart"/>
      <w:r w:rsidRPr="00331871">
        <w:rPr>
          <w:rFonts w:ascii="Aptos" w:eastAsia="Times New Roman" w:hAnsi="Aptos" w:cs="Times New Roman"/>
          <w:bCs/>
          <w:color w:val="000000"/>
          <w:sz w:val="25"/>
          <w:szCs w:val="25"/>
        </w:rPr>
        <w:t>are:</w:t>
      </w:r>
      <w:proofErr w:type="gramEnd"/>
      <w:r w:rsidRPr="00331871">
        <w:rPr>
          <w:rFonts w:ascii="Aptos" w:eastAsia="Times New Roman" w:hAnsi="Aptos" w:cs="Times New Roman"/>
          <w:bCs/>
          <w:color w:val="000000"/>
          <w:sz w:val="25"/>
          <w:szCs w:val="25"/>
        </w:rPr>
        <w:t xml:space="preserve">  the risk of prejudice to the present parties in the absence of the proposed party; the range of alternatives for fashioning relief; the inadequacy of a judgement entered in the proposed party’s absence; and the existence of an alternative forum to resolve the dispute.”</w:t>
      </w:r>
    </w:p>
    <w:p w14:paraId="2E471C72" w14:textId="77777777" w:rsidR="006479F9" w:rsidRPr="00331871" w:rsidRDefault="006479F9" w:rsidP="006479F9">
      <w:pPr>
        <w:spacing w:after="0" w:line="240" w:lineRule="auto"/>
        <w:rPr>
          <w:rFonts w:ascii="Aptos" w:eastAsia="Times New Roman" w:hAnsi="Aptos" w:cs="Times New Roman"/>
          <w:bCs/>
          <w:color w:val="000000"/>
          <w:sz w:val="25"/>
          <w:szCs w:val="25"/>
        </w:rPr>
      </w:pPr>
    </w:p>
    <w:p w14:paraId="62F66FFD" w14:textId="3C9A3E25" w:rsidR="006479F9" w:rsidRPr="00331871" w:rsidRDefault="00226162" w:rsidP="00A7261B">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Pursuant to </w:t>
      </w:r>
      <w:r w:rsidR="00A7261B">
        <w:rPr>
          <w:rFonts w:ascii="Aptos" w:eastAsia="Times New Roman" w:hAnsi="Aptos" w:cs="Times New Roman"/>
          <w:bCs/>
          <w:color w:val="000000"/>
          <w:sz w:val="25"/>
          <w:szCs w:val="25"/>
        </w:rPr>
        <w:t>M.G.L.</w:t>
      </w:r>
      <w:r w:rsidRPr="00331871">
        <w:rPr>
          <w:rFonts w:ascii="Aptos" w:eastAsia="Times New Roman" w:hAnsi="Aptos" w:cs="Times New Roman"/>
          <w:bCs/>
          <w:color w:val="000000"/>
          <w:sz w:val="25"/>
          <w:szCs w:val="25"/>
        </w:rPr>
        <w:t xml:space="preserve"> c. 71B, §3</w:t>
      </w:r>
      <w:r w:rsidR="00A7261B">
        <w:rPr>
          <w:rFonts w:ascii="Aptos" w:eastAsia="Times New Roman" w:hAnsi="Aptos" w:cs="Times New Roman"/>
          <w:bCs/>
          <w:color w:val="000000"/>
          <w:sz w:val="25"/>
          <w:szCs w:val="25"/>
        </w:rPr>
        <w:t xml:space="preserve">, </w:t>
      </w:r>
      <w:r w:rsidR="006479F9">
        <w:rPr>
          <w:rFonts w:ascii="Aptos" w:eastAsia="Times New Roman" w:hAnsi="Aptos" w:cs="Times New Roman"/>
          <w:bCs/>
          <w:color w:val="000000"/>
          <w:sz w:val="25"/>
          <w:szCs w:val="25"/>
        </w:rPr>
        <w:t xml:space="preserve">the BSEA </w:t>
      </w:r>
      <w:r>
        <w:rPr>
          <w:rFonts w:ascii="Aptos" w:eastAsia="Times New Roman" w:hAnsi="Aptos" w:cs="Times New Roman"/>
          <w:bCs/>
          <w:color w:val="000000"/>
          <w:sz w:val="25"/>
          <w:szCs w:val="25"/>
        </w:rPr>
        <w:t>may</w:t>
      </w:r>
      <w:r w:rsidR="006479F9">
        <w:rPr>
          <w:rFonts w:ascii="Aptos" w:eastAsia="Times New Roman" w:hAnsi="Aptos" w:cs="Times New Roman"/>
          <w:bCs/>
          <w:color w:val="000000"/>
          <w:sz w:val="25"/>
          <w:szCs w:val="25"/>
        </w:rPr>
        <w:t xml:space="preserve"> order a </w:t>
      </w:r>
      <w:r w:rsidR="006479F9" w:rsidRPr="00331871">
        <w:rPr>
          <w:rFonts w:ascii="Aptos" w:eastAsia="Times New Roman" w:hAnsi="Aptos" w:cs="Times New Roman"/>
          <w:bCs/>
          <w:color w:val="000000"/>
          <w:sz w:val="25"/>
          <w:szCs w:val="25"/>
        </w:rPr>
        <w:t>State agency to offer services</w:t>
      </w:r>
      <w:r w:rsidR="00A7261B">
        <w:rPr>
          <w:rFonts w:ascii="Aptos" w:eastAsia="Times New Roman" w:hAnsi="Aptos" w:cs="Times New Roman"/>
          <w:bCs/>
          <w:color w:val="000000"/>
          <w:sz w:val="25"/>
          <w:szCs w:val="25"/>
        </w:rPr>
        <w:t>,</w:t>
      </w:r>
      <w:r>
        <w:rPr>
          <w:rFonts w:ascii="Aptos" w:eastAsia="Times New Roman" w:hAnsi="Aptos" w:cs="Times New Roman"/>
          <w:bCs/>
          <w:color w:val="000000"/>
          <w:sz w:val="25"/>
          <w:szCs w:val="25"/>
        </w:rPr>
        <w:t xml:space="preserve"> if</w:t>
      </w:r>
      <w:r w:rsidR="004A62DD">
        <w:rPr>
          <w:rFonts w:ascii="Aptos" w:eastAsia="Times New Roman" w:hAnsi="Aptos" w:cs="Times New Roman"/>
          <w:bCs/>
          <w:color w:val="000000"/>
          <w:sz w:val="25"/>
          <w:szCs w:val="25"/>
        </w:rPr>
        <w:t xml:space="preserve"> the Hearing Officer determines, </w:t>
      </w:r>
      <w:r w:rsidR="006479F9" w:rsidRPr="00331871">
        <w:rPr>
          <w:rFonts w:ascii="Aptos" w:eastAsia="Times New Roman" w:hAnsi="Aptos" w:cs="Times New Roman"/>
          <w:bCs/>
          <w:color w:val="000000"/>
          <w:sz w:val="25"/>
          <w:szCs w:val="25"/>
        </w:rPr>
        <w:t xml:space="preserve">"in accordance with the rules, regulations and policies of the respective agencies, that services shall be provided by </w:t>
      </w:r>
      <w:r w:rsidR="006479F9">
        <w:rPr>
          <w:rFonts w:ascii="Aptos" w:eastAsia="Times New Roman" w:hAnsi="Aptos" w:cs="Times New Roman"/>
          <w:bCs/>
          <w:color w:val="000000"/>
          <w:sz w:val="25"/>
          <w:szCs w:val="25"/>
        </w:rPr>
        <w:t>… any other state agency or program,</w:t>
      </w:r>
      <w:r w:rsidR="006479F9" w:rsidRPr="00331871">
        <w:rPr>
          <w:rFonts w:ascii="Aptos" w:eastAsia="Times New Roman" w:hAnsi="Aptos" w:cs="Times New Roman"/>
          <w:bCs/>
          <w:color w:val="000000"/>
          <w:sz w:val="25"/>
          <w:szCs w:val="25"/>
        </w:rPr>
        <w:t xml:space="preserve"> in addition to the program and related services to be provided by the school committee”</w:t>
      </w:r>
      <w:r w:rsidR="006479F9" w:rsidRPr="00331871">
        <w:rPr>
          <w:rStyle w:val="FootnoteReference"/>
          <w:rFonts w:ascii="Aptos" w:eastAsia="Times New Roman" w:hAnsi="Aptos" w:cs="Times New Roman"/>
          <w:bCs/>
          <w:color w:val="000000"/>
          <w:sz w:val="25"/>
          <w:szCs w:val="25"/>
        </w:rPr>
        <w:footnoteReference w:id="7"/>
      </w:r>
      <w:r w:rsidR="006479F9" w:rsidRPr="00331871">
        <w:rPr>
          <w:rFonts w:ascii="Aptos" w:eastAsia="Times New Roman" w:hAnsi="Aptos" w:cs="Times New Roman"/>
          <w:bCs/>
          <w:color w:val="000000"/>
          <w:sz w:val="25"/>
          <w:szCs w:val="25"/>
        </w:rPr>
        <w:t>.</w:t>
      </w:r>
    </w:p>
    <w:p w14:paraId="233328F5" w14:textId="77777777" w:rsidR="006479F9" w:rsidRPr="00331871" w:rsidRDefault="006479F9" w:rsidP="006479F9">
      <w:pPr>
        <w:spacing w:after="0" w:line="240" w:lineRule="auto"/>
        <w:rPr>
          <w:rFonts w:ascii="Aptos" w:eastAsia="Times New Roman" w:hAnsi="Aptos" w:cs="Times New Roman"/>
          <w:bCs/>
          <w:color w:val="000000"/>
          <w:sz w:val="25"/>
          <w:szCs w:val="25"/>
        </w:rPr>
      </w:pPr>
    </w:p>
    <w:p w14:paraId="3CCE8B2B" w14:textId="77777777" w:rsidR="00A56DA2" w:rsidRPr="00A56DA2" w:rsidRDefault="00A56DA2" w:rsidP="00A56DA2">
      <w:pPr>
        <w:spacing w:after="0" w:line="240" w:lineRule="auto"/>
        <w:ind w:right="720"/>
        <w:rPr>
          <w:rFonts w:ascii="Aptos" w:eastAsia="Times New Roman" w:hAnsi="Aptos" w:cs="Times New Roman"/>
          <w:bCs/>
          <w:i/>
          <w:iCs/>
          <w:color w:val="000000"/>
          <w:sz w:val="25"/>
          <w:szCs w:val="25"/>
        </w:rPr>
      </w:pPr>
      <w:r w:rsidRPr="00A56DA2">
        <w:rPr>
          <w:rFonts w:ascii="Aptos" w:eastAsia="Times New Roman" w:hAnsi="Aptos" w:cs="Times New Roman"/>
          <w:bCs/>
          <w:i/>
          <w:iCs/>
          <w:color w:val="000000"/>
          <w:sz w:val="25"/>
          <w:szCs w:val="25"/>
        </w:rPr>
        <w:t>B.</w:t>
      </w:r>
      <w:r w:rsidRPr="00A56DA2">
        <w:rPr>
          <w:rFonts w:ascii="Aptos" w:eastAsia="Times New Roman" w:hAnsi="Aptos" w:cs="Times New Roman"/>
          <w:bCs/>
          <w:i/>
          <w:iCs/>
          <w:color w:val="000000"/>
          <w:sz w:val="25"/>
          <w:szCs w:val="25"/>
        </w:rPr>
        <w:tab/>
        <w:t>Jurisdiction of BSEA.</w:t>
      </w:r>
    </w:p>
    <w:p w14:paraId="5ABDD4E0" w14:textId="77777777" w:rsidR="00A56DA2" w:rsidRPr="00A56DA2" w:rsidRDefault="00A56DA2" w:rsidP="00A56DA2">
      <w:pPr>
        <w:spacing w:after="0" w:line="240" w:lineRule="auto"/>
        <w:ind w:right="720"/>
        <w:rPr>
          <w:rFonts w:ascii="Aptos" w:eastAsia="Times New Roman" w:hAnsi="Aptos" w:cs="Times New Roman"/>
          <w:bCs/>
          <w:i/>
          <w:iCs/>
          <w:color w:val="000000"/>
          <w:sz w:val="25"/>
          <w:szCs w:val="25"/>
        </w:rPr>
      </w:pPr>
    </w:p>
    <w:p w14:paraId="13BFEC18" w14:textId="5408AB79" w:rsidR="00A56DA2" w:rsidRPr="00A56DA2" w:rsidRDefault="00A56DA2" w:rsidP="00D95A64">
      <w:pPr>
        <w:spacing w:after="0" w:line="240" w:lineRule="auto"/>
        <w:rPr>
          <w:rFonts w:ascii="Aptos" w:eastAsia="Times New Roman" w:hAnsi="Aptos" w:cs="Times New Roman"/>
          <w:bCs/>
          <w:color w:val="000000"/>
          <w:sz w:val="25"/>
          <w:szCs w:val="25"/>
        </w:rPr>
      </w:pPr>
      <w:r w:rsidRPr="00A56DA2">
        <w:rPr>
          <w:rFonts w:ascii="Aptos" w:eastAsia="Times New Roman" w:hAnsi="Aptos" w:cs="Times New Roman"/>
          <w:bCs/>
          <w:color w:val="000000"/>
          <w:sz w:val="25"/>
          <w:szCs w:val="25"/>
        </w:rPr>
        <w:t>Unlike a court with general jurisdiction, the BSEA may consider only those claims for which enabling statutes and regulations expressly grant authority”</w:t>
      </w:r>
      <w:r w:rsidRPr="00A56DA2">
        <w:rPr>
          <w:rFonts w:ascii="Aptos" w:eastAsia="Times New Roman" w:hAnsi="Aptos" w:cs="Times New Roman"/>
          <w:bCs/>
          <w:color w:val="000000"/>
          <w:sz w:val="25"/>
          <w:szCs w:val="25"/>
          <w:vertAlign w:val="superscript"/>
        </w:rPr>
        <w:footnoteReference w:id="8"/>
      </w:r>
      <w:r w:rsidRPr="00A56DA2">
        <w:rPr>
          <w:rFonts w:ascii="Aptos" w:eastAsia="Times New Roman" w:hAnsi="Aptos" w:cs="Times New Roman"/>
          <w:bCs/>
          <w:color w:val="000000"/>
          <w:sz w:val="25"/>
          <w:szCs w:val="25"/>
        </w:rPr>
        <w:t xml:space="preserve">.  The IDEA grants parties the right to file timely complaints (within </w:t>
      </w:r>
      <w:r w:rsidR="00227488">
        <w:rPr>
          <w:rFonts w:ascii="Aptos" w:eastAsia="Times New Roman" w:hAnsi="Aptos" w:cs="Times New Roman"/>
          <w:bCs/>
          <w:color w:val="000000"/>
          <w:sz w:val="25"/>
          <w:szCs w:val="25"/>
        </w:rPr>
        <w:t>a</w:t>
      </w:r>
      <w:r w:rsidRPr="00A56DA2">
        <w:rPr>
          <w:rFonts w:ascii="Aptos" w:eastAsia="Times New Roman" w:hAnsi="Aptos" w:cs="Times New Roman"/>
          <w:bCs/>
          <w:color w:val="000000"/>
          <w:sz w:val="25"/>
          <w:szCs w:val="25"/>
        </w:rPr>
        <w:t xml:space="preserve"> </w:t>
      </w:r>
      <w:r w:rsidR="00CD4ED3" w:rsidRPr="00A56DA2">
        <w:rPr>
          <w:rFonts w:ascii="Aptos" w:eastAsia="Times New Roman" w:hAnsi="Aptos" w:cs="Times New Roman"/>
          <w:bCs/>
          <w:color w:val="000000"/>
          <w:sz w:val="25"/>
          <w:szCs w:val="25"/>
        </w:rPr>
        <w:t>two-year</w:t>
      </w:r>
      <w:r w:rsidRPr="00A56DA2">
        <w:rPr>
          <w:rFonts w:ascii="Aptos" w:eastAsia="Times New Roman" w:hAnsi="Aptos" w:cs="Times New Roman"/>
          <w:bCs/>
          <w:color w:val="000000"/>
          <w:sz w:val="25"/>
          <w:szCs w:val="25"/>
        </w:rPr>
        <w:t xml:space="preserve"> statute of limitations</w:t>
      </w:r>
      <w:r w:rsidRPr="00A56DA2">
        <w:rPr>
          <w:rFonts w:ascii="Aptos" w:eastAsia="Times New Roman" w:hAnsi="Aptos" w:cs="Times New Roman"/>
          <w:bCs/>
          <w:color w:val="000000"/>
          <w:sz w:val="25"/>
          <w:szCs w:val="25"/>
          <w:vertAlign w:val="superscript"/>
        </w:rPr>
        <w:footnoteReference w:id="9"/>
      </w:r>
      <w:r w:rsidRPr="00A56DA2">
        <w:rPr>
          <w:rFonts w:ascii="Aptos" w:eastAsia="Times New Roman" w:hAnsi="Aptos" w:cs="Times New Roman"/>
          <w:bCs/>
          <w:color w:val="000000"/>
          <w:sz w:val="25"/>
          <w:szCs w:val="25"/>
        </w:rPr>
        <w:t>)</w:t>
      </w:r>
      <w:r w:rsidR="007958AE">
        <w:rPr>
          <w:rFonts w:ascii="Aptos" w:eastAsia="Times New Roman" w:hAnsi="Aptos" w:cs="Times New Roman"/>
          <w:bCs/>
          <w:color w:val="000000"/>
          <w:sz w:val="25"/>
          <w:szCs w:val="25"/>
        </w:rPr>
        <w:t xml:space="preserve"> “</w:t>
      </w:r>
      <w:r w:rsidRPr="00A56DA2">
        <w:rPr>
          <w:rFonts w:ascii="Aptos" w:eastAsia="Times New Roman" w:hAnsi="Aptos" w:cs="Times New Roman"/>
          <w:bCs/>
          <w:color w:val="000000"/>
          <w:sz w:val="25"/>
          <w:szCs w:val="25"/>
        </w:rPr>
        <w:t>with respect to any matter relating to the identification, evaluation or educational</w:t>
      </w:r>
      <w:r w:rsidR="007958AE">
        <w:rPr>
          <w:rFonts w:ascii="Aptos" w:eastAsia="Times New Roman" w:hAnsi="Aptos" w:cs="Times New Roman"/>
          <w:bCs/>
          <w:color w:val="000000"/>
          <w:sz w:val="25"/>
          <w:szCs w:val="25"/>
        </w:rPr>
        <w:t xml:space="preserve"> </w:t>
      </w:r>
      <w:r w:rsidRPr="00A56DA2">
        <w:rPr>
          <w:rFonts w:ascii="Aptos" w:eastAsia="Times New Roman" w:hAnsi="Aptos" w:cs="Times New Roman"/>
          <w:bCs/>
          <w:color w:val="000000"/>
          <w:sz w:val="25"/>
          <w:szCs w:val="25"/>
        </w:rPr>
        <w:t>placement of the child, or the provision of a free appropriate public education to such child”</w:t>
      </w:r>
      <w:r w:rsidRPr="00A56DA2">
        <w:rPr>
          <w:rFonts w:ascii="Aptos" w:eastAsia="Times New Roman" w:hAnsi="Aptos" w:cs="Times New Roman"/>
          <w:bCs/>
          <w:color w:val="000000"/>
          <w:sz w:val="25"/>
          <w:szCs w:val="25"/>
          <w:vertAlign w:val="superscript"/>
        </w:rPr>
        <w:footnoteReference w:id="10"/>
      </w:r>
      <w:r w:rsidRPr="00A56DA2">
        <w:rPr>
          <w:rFonts w:ascii="Aptos" w:eastAsia="Times New Roman" w:hAnsi="Aptos" w:cs="Times New Roman"/>
          <w:bCs/>
          <w:color w:val="000000"/>
          <w:sz w:val="25"/>
          <w:szCs w:val="25"/>
        </w:rPr>
        <w:t xml:space="preserve">.  Similarly, M.G.L. c. 71B §2A, establishing the BSEA, authorizes it to resolve special education disputes concerning, </w:t>
      </w:r>
    </w:p>
    <w:p w14:paraId="44D10366" w14:textId="77777777" w:rsidR="00A56DA2" w:rsidRPr="00A56DA2" w:rsidRDefault="00A56DA2" w:rsidP="00A56DA2">
      <w:pPr>
        <w:spacing w:after="0" w:line="240" w:lineRule="auto"/>
        <w:ind w:right="720"/>
        <w:rPr>
          <w:rFonts w:ascii="Aptos" w:eastAsia="Times New Roman" w:hAnsi="Aptos" w:cs="Times New Roman"/>
          <w:bCs/>
          <w:color w:val="000000"/>
          <w:sz w:val="25"/>
          <w:szCs w:val="25"/>
        </w:rPr>
      </w:pPr>
    </w:p>
    <w:p w14:paraId="217C401D" w14:textId="77777777" w:rsidR="00A56DA2" w:rsidRPr="00A56DA2" w:rsidRDefault="00A56DA2" w:rsidP="00D95A64">
      <w:pPr>
        <w:spacing w:after="0" w:line="240" w:lineRule="auto"/>
        <w:ind w:left="720" w:right="720"/>
        <w:rPr>
          <w:rFonts w:ascii="Aptos" w:eastAsia="Times New Roman" w:hAnsi="Aptos" w:cs="Times New Roman"/>
          <w:bCs/>
          <w:color w:val="000000"/>
          <w:sz w:val="25"/>
          <w:szCs w:val="25"/>
        </w:rPr>
      </w:pPr>
      <w:r w:rsidRPr="00A56DA2">
        <w:rPr>
          <w:rFonts w:ascii="Aptos" w:eastAsia="Times New Roman" w:hAnsi="Aptos" w:cs="Times New Roman"/>
          <w:bCs/>
          <w:color w:val="000000"/>
          <w:sz w:val="25"/>
          <w:szCs w:val="25"/>
        </w:rPr>
        <w:t>“…(i) any matter relating to the identification, evaluation, education program or educational placement of a child with a disability or the provision of a free and appropriate public education to the child arising under this chapter and regulations promulgated hereunder or under the [IDEA], 20 U.S.C. section 1400 et seq., and its regulations; or (ii) a student's rights under Section 504 of the Rehabilitation Act of 1973, 29 U.S.C. section 794, and its regulations”</w:t>
      </w:r>
      <w:r w:rsidRPr="00A56DA2">
        <w:rPr>
          <w:rFonts w:ascii="Aptos" w:eastAsia="Times New Roman" w:hAnsi="Aptos" w:cs="Times New Roman"/>
          <w:bCs/>
          <w:color w:val="000000"/>
          <w:sz w:val="25"/>
          <w:szCs w:val="25"/>
          <w:vertAlign w:val="superscript"/>
        </w:rPr>
        <w:footnoteReference w:id="11"/>
      </w:r>
      <w:r w:rsidRPr="00A56DA2">
        <w:rPr>
          <w:rFonts w:ascii="Aptos" w:eastAsia="Times New Roman" w:hAnsi="Aptos" w:cs="Times New Roman"/>
          <w:bCs/>
          <w:color w:val="000000"/>
          <w:sz w:val="25"/>
          <w:szCs w:val="25"/>
        </w:rPr>
        <w:t xml:space="preserve">. </w:t>
      </w:r>
    </w:p>
    <w:p w14:paraId="16D3AD0F" w14:textId="77777777" w:rsidR="006479F9" w:rsidRPr="00331871" w:rsidRDefault="006479F9" w:rsidP="006479F9">
      <w:pPr>
        <w:spacing w:after="0" w:line="240" w:lineRule="auto"/>
        <w:ind w:right="720"/>
        <w:rPr>
          <w:rFonts w:ascii="Aptos" w:eastAsia="Times New Roman" w:hAnsi="Aptos" w:cs="Times New Roman"/>
          <w:bCs/>
          <w:color w:val="000000"/>
          <w:sz w:val="25"/>
          <w:szCs w:val="25"/>
        </w:rPr>
      </w:pPr>
    </w:p>
    <w:p w14:paraId="51A2CE9F" w14:textId="14FE662F" w:rsidR="006479F9" w:rsidRPr="00EC47EF" w:rsidRDefault="006479F9" w:rsidP="006479F9">
      <w:pPr>
        <w:spacing w:after="0" w:line="240" w:lineRule="auto"/>
        <w:ind w:right="720"/>
        <w:rPr>
          <w:rFonts w:ascii="Aptos" w:hAnsi="Aptos"/>
          <w:sz w:val="25"/>
          <w:szCs w:val="25"/>
          <w:u w:val="single"/>
        </w:rPr>
      </w:pPr>
      <w:r w:rsidRPr="00EC47EF">
        <w:rPr>
          <w:rFonts w:ascii="Aptos" w:eastAsia="Times New Roman" w:hAnsi="Aptos" w:cs="Times New Roman"/>
          <w:bCs/>
          <w:color w:val="000000"/>
          <w:sz w:val="25"/>
          <w:szCs w:val="25"/>
        </w:rPr>
        <w:t>B.</w:t>
      </w:r>
      <w:r w:rsidRPr="00EC47EF">
        <w:rPr>
          <w:rFonts w:ascii="Aptos" w:eastAsia="Times New Roman" w:hAnsi="Aptos" w:cs="Times New Roman"/>
          <w:bCs/>
          <w:color w:val="000000"/>
          <w:sz w:val="25"/>
          <w:szCs w:val="25"/>
        </w:rPr>
        <w:tab/>
      </w:r>
      <w:r w:rsidRPr="00EC47EF">
        <w:rPr>
          <w:rFonts w:ascii="Aptos" w:eastAsia="Times New Roman" w:hAnsi="Aptos" w:cs="Times New Roman"/>
          <w:bCs/>
          <w:color w:val="000000"/>
          <w:sz w:val="25"/>
          <w:szCs w:val="25"/>
          <w:u w:val="single"/>
        </w:rPr>
        <w:t xml:space="preserve">DESE as a Party </w:t>
      </w:r>
      <w:r w:rsidR="00B319EA">
        <w:rPr>
          <w:rFonts w:ascii="Aptos" w:eastAsia="Times New Roman" w:hAnsi="Aptos" w:cs="Times New Roman"/>
          <w:bCs/>
          <w:color w:val="000000"/>
          <w:sz w:val="25"/>
          <w:szCs w:val="25"/>
          <w:u w:val="single"/>
        </w:rPr>
        <w:t xml:space="preserve">In Matters </w:t>
      </w:r>
      <w:r w:rsidR="002A4E5B">
        <w:rPr>
          <w:rFonts w:ascii="Aptos" w:eastAsia="Times New Roman" w:hAnsi="Aptos" w:cs="Times New Roman"/>
          <w:bCs/>
          <w:color w:val="000000"/>
          <w:sz w:val="25"/>
          <w:szCs w:val="25"/>
          <w:u w:val="single"/>
        </w:rPr>
        <w:t>Involving Students in DYS Custody</w:t>
      </w:r>
    </w:p>
    <w:p w14:paraId="6DDD901C" w14:textId="77777777" w:rsidR="006479F9" w:rsidRPr="00EC47EF" w:rsidRDefault="006479F9" w:rsidP="006479F9">
      <w:pPr>
        <w:spacing w:after="0" w:line="240" w:lineRule="auto"/>
        <w:rPr>
          <w:rFonts w:ascii="Aptos" w:eastAsia="Times New Roman" w:hAnsi="Aptos" w:cs="Times New Roman"/>
          <w:bCs/>
          <w:color w:val="000000"/>
          <w:sz w:val="25"/>
          <w:szCs w:val="25"/>
        </w:rPr>
      </w:pPr>
    </w:p>
    <w:p w14:paraId="706DDF98" w14:textId="2EC8DFFB" w:rsidR="00C10CF5" w:rsidRPr="005D5B35" w:rsidRDefault="005E7954" w:rsidP="006479F9">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While DESE may, in certain circumstances, be an appropriate party to a BSEA due process proceeding, something more than its general supervisory authority </w:t>
      </w:r>
      <w:r>
        <w:rPr>
          <w:rFonts w:ascii="Aptos" w:eastAsia="Times New Roman" w:hAnsi="Aptos" w:cs="Times New Roman"/>
          <w:bCs/>
          <w:color w:val="000000"/>
          <w:sz w:val="25"/>
          <w:szCs w:val="25"/>
        </w:rPr>
        <w:lastRenderedPageBreak/>
        <w:t>obligations</w:t>
      </w:r>
      <w:r w:rsidR="00681ADE">
        <w:rPr>
          <w:rStyle w:val="FootnoteReference"/>
          <w:rFonts w:ascii="Aptos" w:eastAsia="Times New Roman" w:hAnsi="Aptos" w:cs="Times New Roman"/>
          <w:bCs/>
          <w:color w:val="000000"/>
          <w:sz w:val="25"/>
          <w:szCs w:val="25"/>
        </w:rPr>
        <w:footnoteReference w:id="12"/>
      </w:r>
      <w:r w:rsidR="005D5B35">
        <w:rPr>
          <w:rFonts w:ascii="Aptos" w:eastAsia="Times New Roman" w:hAnsi="Aptos" w:cs="Times New Roman"/>
          <w:bCs/>
          <w:color w:val="000000"/>
          <w:sz w:val="25"/>
          <w:szCs w:val="25"/>
        </w:rPr>
        <w:t xml:space="preserve"> </w:t>
      </w:r>
      <w:r>
        <w:rPr>
          <w:rFonts w:ascii="Aptos" w:eastAsia="Times New Roman" w:hAnsi="Aptos" w:cs="Times New Roman"/>
          <w:bCs/>
          <w:color w:val="000000"/>
          <w:sz w:val="25"/>
          <w:szCs w:val="25"/>
        </w:rPr>
        <w:t>must be involved to support a grant of party status</w:t>
      </w:r>
      <w:r w:rsidR="004F3B23">
        <w:rPr>
          <w:rFonts w:ascii="Aptos" w:eastAsia="Times New Roman" w:hAnsi="Aptos" w:cs="Times New Roman"/>
          <w:bCs/>
          <w:color w:val="000000"/>
          <w:sz w:val="25"/>
          <w:szCs w:val="25"/>
        </w:rPr>
        <w:t>.</w:t>
      </w:r>
      <w:r>
        <w:rPr>
          <w:rStyle w:val="FootnoteReference"/>
          <w:rFonts w:ascii="Aptos" w:eastAsia="Times New Roman" w:hAnsi="Aptos" w:cs="Times New Roman"/>
          <w:bCs/>
          <w:color w:val="000000"/>
          <w:sz w:val="25"/>
          <w:szCs w:val="25"/>
        </w:rPr>
        <w:footnoteReference w:id="13"/>
      </w:r>
      <w:r w:rsidR="004F3B23">
        <w:rPr>
          <w:rFonts w:ascii="Aptos" w:eastAsia="Times New Roman" w:hAnsi="Aptos" w:cs="Times New Roman"/>
          <w:bCs/>
          <w:color w:val="000000"/>
          <w:sz w:val="25"/>
          <w:szCs w:val="25"/>
        </w:rPr>
        <w:t xml:space="preserve"> </w:t>
      </w:r>
      <w:r w:rsidR="00BA43DB">
        <w:rPr>
          <w:rFonts w:ascii="Aptos" w:eastAsia="Times New Roman" w:hAnsi="Aptos" w:cs="Times New Roman"/>
          <w:bCs/>
          <w:color w:val="000000"/>
          <w:sz w:val="25"/>
          <w:szCs w:val="25"/>
        </w:rPr>
        <w:t>For an SEA</w:t>
      </w:r>
      <w:r w:rsidR="00B21181">
        <w:rPr>
          <w:rStyle w:val="FootnoteReference"/>
          <w:rFonts w:ascii="Aptos" w:hAnsi="Aptos" w:cs="Times New Roman"/>
          <w:sz w:val="25"/>
          <w:szCs w:val="25"/>
        </w:rPr>
        <w:footnoteReference w:id="14"/>
      </w:r>
      <w:r w:rsidR="00BA43DB">
        <w:rPr>
          <w:rFonts w:ascii="Aptos" w:eastAsia="Times New Roman" w:hAnsi="Aptos" w:cs="Times New Roman"/>
          <w:bCs/>
          <w:color w:val="000000"/>
          <w:sz w:val="25"/>
          <w:szCs w:val="25"/>
        </w:rPr>
        <w:t xml:space="preserve"> to be liable for denials of FAPE, specific actions or inactions by the SEA must have contributed to or caused such a denial</w:t>
      </w:r>
      <w:r w:rsidR="00BA43DB">
        <w:rPr>
          <w:rStyle w:val="FootnoteReference"/>
          <w:rFonts w:ascii="Aptos" w:eastAsia="Times New Roman" w:hAnsi="Aptos" w:cs="Times New Roman"/>
          <w:bCs/>
          <w:color w:val="000000"/>
          <w:sz w:val="25"/>
          <w:szCs w:val="25"/>
        </w:rPr>
        <w:footnoteReference w:id="15"/>
      </w:r>
      <w:r w:rsidR="00BA43DB">
        <w:rPr>
          <w:rFonts w:ascii="Aptos" w:eastAsia="Times New Roman" w:hAnsi="Aptos" w:cs="Times New Roman"/>
          <w:bCs/>
          <w:color w:val="000000"/>
          <w:sz w:val="25"/>
          <w:szCs w:val="25"/>
        </w:rPr>
        <w:t xml:space="preserve">.    </w:t>
      </w:r>
    </w:p>
    <w:p w14:paraId="331F7E96" w14:textId="77777777" w:rsidR="00CA5496" w:rsidRDefault="00CA5496" w:rsidP="00717742">
      <w:pPr>
        <w:spacing w:after="0" w:line="240" w:lineRule="auto"/>
        <w:rPr>
          <w:rFonts w:ascii="Aptos" w:eastAsia="Times New Roman" w:hAnsi="Aptos" w:cs="Times New Roman"/>
          <w:bCs/>
          <w:color w:val="000000"/>
          <w:sz w:val="25"/>
          <w:szCs w:val="25"/>
        </w:rPr>
      </w:pPr>
    </w:p>
    <w:p w14:paraId="7E5304A9" w14:textId="7F813D60" w:rsidR="00717742" w:rsidRDefault="00CA5496" w:rsidP="00D957F3">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U</w:t>
      </w:r>
      <w:r w:rsidRPr="00E27E63">
        <w:rPr>
          <w:rFonts w:ascii="Aptos" w:eastAsia="Times New Roman" w:hAnsi="Aptos" w:cs="Times New Roman"/>
          <w:bCs/>
          <w:color w:val="000000"/>
          <w:sz w:val="25"/>
          <w:szCs w:val="25"/>
        </w:rPr>
        <w:t xml:space="preserve">nder federal and state special education laws and regulations, special education eligible students with disabilities who are incarcerated in </w:t>
      </w:r>
      <w:r>
        <w:rPr>
          <w:rFonts w:ascii="Aptos" w:eastAsia="Times New Roman" w:hAnsi="Aptos" w:cs="Times New Roman"/>
          <w:bCs/>
          <w:color w:val="000000"/>
          <w:sz w:val="25"/>
          <w:szCs w:val="25"/>
        </w:rPr>
        <w:t xml:space="preserve">juvenile detention facilities, such as DYS, </w:t>
      </w:r>
      <w:r w:rsidR="0079126F">
        <w:rPr>
          <w:rFonts w:ascii="Aptos" w:eastAsia="Times New Roman" w:hAnsi="Aptos" w:cs="Times New Roman"/>
          <w:bCs/>
          <w:color w:val="000000"/>
          <w:sz w:val="25"/>
          <w:szCs w:val="25"/>
        </w:rPr>
        <w:t xml:space="preserve">maintain their </w:t>
      </w:r>
      <w:r w:rsidR="0079126F" w:rsidRPr="00A56DA2">
        <w:rPr>
          <w:rFonts w:ascii="Aptos" w:eastAsia="Times New Roman" w:hAnsi="Aptos" w:cs="Times New Roman"/>
          <w:bCs/>
          <w:color w:val="000000"/>
          <w:sz w:val="25"/>
          <w:szCs w:val="25"/>
        </w:rPr>
        <w:t xml:space="preserve">right to a FAPE and </w:t>
      </w:r>
      <w:r w:rsidR="0079126F">
        <w:rPr>
          <w:rFonts w:ascii="Aptos" w:eastAsia="Times New Roman" w:hAnsi="Aptos" w:cs="Times New Roman"/>
          <w:bCs/>
          <w:color w:val="000000"/>
          <w:sz w:val="25"/>
          <w:szCs w:val="25"/>
        </w:rPr>
        <w:t xml:space="preserve">are entitled to </w:t>
      </w:r>
      <w:r w:rsidR="0079126F" w:rsidRPr="00A56DA2">
        <w:rPr>
          <w:rFonts w:ascii="Aptos" w:eastAsia="Times New Roman" w:hAnsi="Aptos" w:cs="Times New Roman"/>
          <w:bCs/>
          <w:color w:val="000000"/>
          <w:sz w:val="25"/>
          <w:szCs w:val="25"/>
        </w:rPr>
        <w:t>receive special education services from</w:t>
      </w:r>
      <w:r w:rsidR="0079126F">
        <w:rPr>
          <w:rFonts w:ascii="Aptos" w:eastAsia="Times New Roman" w:hAnsi="Aptos" w:cs="Times New Roman"/>
          <w:bCs/>
          <w:color w:val="000000"/>
          <w:sz w:val="25"/>
          <w:szCs w:val="25"/>
        </w:rPr>
        <w:t xml:space="preserve"> both</w:t>
      </w:r>
      <w:r w:rsidR="0079126F" w:rsidRPr="00A56DA2">
        <w:rPr>
          <w:rFonts w:ascii="Aptos" w:eastAsia="Times New Roman" w:hAnsi="Aptos" w:cs="Times New Roman"/>
          <w:bCs/>
          <w:color w:val="000000"/>
          <w:sz w:val="25"/>
          <w:szCs w:val="25"/>
        </w:rPr>
        <w:t xml:space="preserve"> DESE and local school district</w:t>
      </w:r>
      <w:r w:rsidR="0079126F">
        <w:rPr>
          <w:rFonts w:ascii="Aptos" w:eastAsia="Times New Roman" w:hAnsi="Aptos" w:cs="Times New Roman"/>
          <w:bCs/>
          <w:color w:val="000000"/>
          <w:sz w:val="25"/>
          <w:szCs w:val="25"/>
        </w:rPr>
        <w:t>s</w:t>
      </w:r>
      <w:r w:rsidR="008948DC">
        <w:rPr>
          <w:rFonts w:ascii="Aptos" w:eastAsia="Times New Roman" w:hAnsi="Aptos" w:cs="Times New Roman"/>
          <w:bCs/>
          <w:color w:val="000000"/>
          <w:sz w:val="25"/>
          <w:szCs w:val="25"/>
        </w:rPr>
        <w:t>, among other entit</w:t>
      </w:r>
      <w:r w:rsidR="00CB5F5D">
        <w:rPr>
          <w:rFonts w:ascii="Aptos" w:eastAsia="Times New Roman" w:hAnsi="Aptos" w:cs="Times New Roman"/>
          <w:bCs/>
          <w:color w:val="000000"/>
          <w:sz w:val="25"/>
          <w:szCs w:val="25"/>
        </w:rPr>
        <w:t>i</w:t>
      </w:r>
      <w:r w:rsidR="008948DC">
        <w:rPr>
          <w:rFonts w:ascii="Aptos" w:eastAsia="Times New Roman" w:hAnsi="Aptos" w:cs="Times New Roman"/>
          <w:bCs/>
          <w:color w:val="000000"/>
          <w:sz w:val="25"/>
          <w:szCs w:val="25"/>
        </w:rPr>
        <w:t>es,</w:t>
      </w:r>
      <w:r w:rsidR="0079126F">
        <w:rPr>
          <w:rFonts w:ascii="Aptos" w:eastAsia="Times New Roman" w:hAnsi="Aptos" w:cs="Times New Roman"/>
          <w:bCs/>
          <w:color w:val="000000"/>
          <w:sz w:val="25"/>
          <w:szCs w:val="25"/>
        </w:rPr>
        <w:t xml:space="preserve"> while in DYS custody</w:t>
      </w:r>
      <w:r w:rsidR="0079126F" w:rsidRPr="00E27E63">
        <w:rPr>
          <w:rStyle w:val="FootnoteReference"/>
          <w:rFonts w:ascii="Aptos" w:eastAsia="Times New Roman" w:hAnsi="Aptos" w:cs="Times New Roman"/>
          <w:bCs/>
          <w:color w:val="000000"/>
          <w:sz w:val="25"/>
          <w:szCs w:val="25"/>
        </w:rPr>
        <w:t xml:space="preserve"> </w:t>
      </w:r>
      <w:r w:rsidRPr="00E27E63">
        <w:rPr>
          <w:rStyle w:val="FootnoteReference"/>
          <w:rFonts w:ascii="Aptos" w:eastAsia="Times New Roman" w:hAnsi="Aptos" w:cs="Times New Roman"/>
          <w:bCs/>
          <w:color w:val="000000"/>
          <w:sz w:val="25"/>
          <w:szCs w:val="25"/>
        </w:rPr>
        <w:footnoteReference w:id="16"/>
      </w:r>
      <w:r w:rsidRPr="00E27E63">
        <w:rPr>
          <w:rFonts w:ascii="Aptos" w:eastAsia="Times New Roman" w:hAnsi="Aptos" w:cs="Times New Roman"/>
          <w:bCs/>
          <w:color w:val="000000"/>
          <w:sz w:val="25"/>
          <w:szCs w:val="25"/>
        </w:rPr>
        <w:t xml:space="preserve">.  </w:t>
      </w:r>
      <w:r w:rsidR="00717742">
        <w:rPr>
          <w:rFonts w:ascii="Aptos" w:eastAsia="Times New Roman" w:hAnsi="Aptos" w:cs="Times New Roman"/>
          <w:bCs/>
          <w:color w:val="000000"/>
          <w:sz w:val="25"/>
          <w:szCs w:val="25"/>
        </w:rPr>
        <w:t>Specifically, DESE “</w:t>
      </w:r>
      <w:r w:rsidR="00717742">
        <w:rPr>
          <w:rFonts w:ascii="Aptos" w:eastAsia="Times New Roman" w:hAnsi="Aptos" w:cs="Times New Roman"/>
          <w:bCs/>
          <w:i/>
          <w:iCs/>
          <w:color w:val="000000"/>
          <w:sz w:val="25"/>
          <w:szCs w:val="25"/>
        </w:rPr>
        <w:t xml:space="preserve">shall </w:t>
      </w:r>
      <w:r w:rsidR="00717742">
        <w:rPr>
          <w:rFonts w:ascii="Aptos" w:eastAsia="Times New Roman" w:hAnsi="Aptos" w:cs="Times New Roman"/>
          <w:bCs/>
          <w:color w:val="000000"/>
          <w:sz w:val="25"/>
          <w:szCs w:val="25"/>
        </w:rPr>
        <w:t xml:space="preserve">provide </w:t>
      </w:r>
      <w:r w:rsidR="00717742" w:rsidRPr="007B1475">
        <w:rPr>
          <w:rFonts w:ascii="Aptos" w:eastAsia="Times New Roman" w:hAnsi="Aptos" w:cs="Times New Roman"/>
          <w:bCs/>
          <w:color w:val="000000"/>
          <w:sz w:val="25"/>
          <w:szCs w:val="25"/>
        </w:rPr>
        <w:t xml:space="preserve">certain special education services to </w:t>
      </w:r>
      <w:r w:rsidR="00717742" w:rsidRPr="007B1475">
        <w:rPr>
          <w:rFonts w:ascii="Aptos" w:eastAsia="Times New Roman" w:hAnsi="Aptos" w:cs="Times New Roman"/>
          <w:bCs/>
          <w:color w:val="000000"/>
          <w:sz w:val="25"/>
          <w:szCs w:val="25"/>
        </w:rPr>
        <w:lastRenderedPageBreak/>
        <w:t xml:space="preserve">eligible students in certain facilities operated by or under contract with the </w:t>
      </w:r>
      <w:r w:rsidR="00717742">
        <w:rPr>
          <w:rFonts w:ascii="Aptos" w:eastAsia="Times New Roman" w:hAnsi="Aptos" w:cs="Times New Roman"/>
          <w:bCs/>
          <w:color w:val="000000"/>
          <w:sz w:val="25"/>
          <w:szCs w:val="25"/>
        </w:rPr>
        <w:t xml:space="preserve">… </w:t>
      </w:r>
      <w:r w:rsidR="00717742" w:rsidRPr="007B1475">
        <w:rPr>
          <w:rFonts w:ascii="Aptos" w:eastAsia="Times New Roman" w:hAnsi="Aptos" w:cs="Times New Roman"/>
          <w:bCs/>
          <w:color w:val="000000"/>
          <w:sz w:val="25"/>
          <w:szCs w:val="25"/>
        </w:rPr>
        <w:t>the Department of Youth Services</w:t>
      </w:r>
      <w:r w:rsidR="00717742">
        <w:rPr>
          <w:rFonts w:ascii="Aptos" w:eastAsia="Times New Roman" w:hAnsi="Aptos" w:cs="Times New Roman"/>
          <w:bCs/>
          <w:color w:val="000000"/>
          <w:sz w:val="25"/>
          <w:szCs w:val="25"/>
        </w:rPr>
        <w:t xml:space="preserve"> …”</w:t>
      </w:r>
      <w:r w:rsidR="00D957F3">
        <w:rPr>
          <w:rFonts w:ascii="Aptos" w:eastAsia="Times New Roman" w:hAnsi="Aptos" w:cs="Times New Roman"/>
          <w:bCs/>
          <w:color w:val="000000"/>
          <w:sz w:val="25"/>
          <w:szCs w:val="25"/>
        </w:rPr>
        <w:t xml:space="preserve"> (emphasis added)</w:t>
      </w:r>
      <w:r w:rsidR="00717742">
        <w:rPr>
          <w:rFonts w:ascii="Aptos" w:eastAsia="Times New Roman" w:hAnsi="Aptos" w:cs="Times New Roman"/>
          <w:bCs/>
          <w:color w:val="000000"/>
          <w:sz w:val="25"/>
          <w:szCs w:val="25"/>
        </w:rPr>
        <w:t>, however,</w:t>
      </w:r>
    </w:p>
    <w:p w14:paraId="745C197B" w14:textId="77777777" w:rsidR="00A02844" w:rsidRDefault="00A02844" w:rsidP="00717742">
      <w:pPr>
        <w:spacing w:after="0" w:line="240" w:lineRule="auto"/>
        <w:rPr>
          <w:rFonts w:ascii="Aptos" w:eastAsia="Times New Roman" w:hAnsi="Aptos" w:cs="Times New Roman"/>
          <w:bCs/>
          <w:color w:val="000000"/>
          <w:sz w:val="25"/>
          <w:szCs w:val="25"/>
        </w:rPr>
      </w:pPr>
    </w:p>
    <w:p w14:paraId="65074AC0" w14:textId="0FF9F8A3" w:rsidR="00C6754B" w:rsidRDefault="00717742" w:rsidP="00717742">
      <w:pPr>
        <w:spacing w:after="0" w:line="240" w:lineRule="auto"/>
        <w:ind w:left="720" w:right="720"/>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“where </w:t>
      </w:r>
      <w:r w:rsidRPr="00CD2199">
        <w:rPr>
          <w:rFonts w:ascii="Aptos" w:eastAsia="Times New Roman" w:hAnsi="Aptos" w:cs="Times New Roman"/>
          <w:bCs/>
          <w:color w:val="000000"/>
          <w:sz w:val="25"/>
          <w:szCs w:val="25"/>
        </w:rPr>
        <w:t xml:space="preserve">a student's IEP requires a type or amount of service that the facility does not provide, it shall remain the responsibility of the school district where the </w:t>
      </w:r>
      <w:r>
        <w:rPr>
          <w:rFonts w:ascii="Aptos" w:eastAsia="Times New Roman" w:hAnsi="Aptos" w:cs="Times New Roman"/>
          <w:bCs/>
          <w:color w:val="000000"/>
          <w:sz w:val="25"/>
          <w:szCs w:val="25"/>
        </w:rPr>
        <w:t xml:space="preserve">[Parent] </w:t>
      </w:r>
      <w:r w:rsidRPr="00CD2199">
        <w:rPr>
          <w:rFonts w:ascii="Aptos" w:eastAsia="Times New Roman" w:hAnsi="Aptos" w:cs="Times New Roman"/>
          <w:bCs/>
          <w:color w:val="000000"/>
          <w:sz w:val="25"/>
          <w:szCs w:val="25"/>
        </w:rPr>
        <w:t xml:space="preserve">resides, </w:t>
      </w:r>
      <w:r>
        <w:rPr>
          <w:rFonts w:ascii="Aptos" w:eastAsia="Times New Roman" w:hAnsi="Aptos" w:cs="Times New Roman"/>
          <w:bCs/>
          <w:color w:val="000000"/>
          <w:sz w:val="25"/>
          <w:szCs w:val="25"/>
        </w:rPr>
        <w:t>[with exceptions not relevant to the instant matter]</w:t>
      </w:r>
      <w:r w:rsidRPr="00CD2199">
        <w:rPr>
          <w:rFonts w:ascii="Aptos" w:eastAsia="Times New Roman" w:hAnsi="Aptos" w:cs="Times New Roman"/>
          <w:bCs/>
          <w:color w:val="000000"/>
          <w:sz w:val="25"/>
          <w:szCs w:val="25"/>
        </w:rPr>
        <w:t>, to implement the student's IEP by arranging and paying for the provision of such services</w:t>
      </w:r>
      <w:r>
        <w:rPr>
          <w:rFonts w:ascii="Aptos" w:eastAsia="Times New Roman" w:hAnsi="Aptos" w:cs="Times New Roman"/>
          <w:bCs/>
          <w:color w:val="000000"/>
          <w:sz w:val="25"/>
          <w:szCs w:val="25"/>
        </w:rPr>
        <w:t>”</w:t>
      </w:r>
      <w:r>
        <w:rPr>
          <w:rStyle w:val="FootnoteReference"/>
          <w:rFonts w:ascii="Aptos" w:eastAsia="Times New Roman" w:hAnsi="Aptos" w:cs="Times New Roman"/>
          <w:bCs/>
          <w:color w:val="000000"/>
          <w:sz w:val="25"/>
          <w:szCs w:val="25"/>
        </w:rPr>
        <w:footnoteReference w:id="17"/>
      </w:r>
      <w:r>
        <w:rPr>
          <w:rFonts w:ascii="Aptos" w:eastAsia="Times New Roman" w:hAnsi="Aptos" w:cs="Times New Roman"/>
          <w:bCs/>
          <w:color w:val="000000"/>
          <w:sz w:val="25"/>
          <w:szCs w:val="25"/>
        </w:rPr>
        <w:t>.</w:t>
      </w:r>
      <w:r w:rsidR="0027397A">
        <w:rPr>
          <w:rFonts w:ascii="Aptos" w:eastAsia="Times New Roman" w:hAnsi="Aptos" w:cs="Times New Roman"/>
          <w:bCs/>
          <w:color w:val="000000"/>
          <w:sz w:val="25"/>
          <w:szCs w:val="25"/>
        </w:rPr>
        <w:t xml:space="preserve"> </w:t>
      </w:r>
    </w:p>
    <w:p w14:paraId="498E3373" w14:textId="77777777" w:rsidR="006479F9" w:rsidRDefault="006479F9" w:rsidP="006479F9">
      <w:pPr>
        <w:spacing w:after="0" w:line="240" w:lineRule="auto"/>
        <w:rPr>
          <w:rFonts w:ascii="Aptos" w:eastAsia="Times New Roman" w:hAnsi="Aptos" w:cs="Times New Roman"/>
          <w:bCs/>
          <w:color w:val="000000"/>
          <w:sz w:val="25"/>
          <w:szCs w:val="25"/>
        </w:rPr>
      </w:pPr>
    </w:p>
    <w:p w14:paraId="6F58901A" w14:textId="482FD5A4" w:rsidR="006479F9" w:rsidRPr="00331871" w:rsidRDefault="006479F9" w:rsidP="006479F9">
      <w:pPr>
        <w:spacing w:after="0" w:line="240" w:lineRule="auto"/>
        <w:rPr>
          <w:rFonts w:ascii="Aptos" w:eastAsia="Times New Roman" w:hAnsi="Aptos" w:cs="Times New Roman"/>
          <w:bCs/>
          <w:i/>
          <w:iCs/>
          <w:color w:val="000000"/>
          <w:sz w:val="25"/>
          <w:szCs w:val="25"/>
        </w:rPr>
      </w:pPr>
      <w:r>
        <w:rPr>
          <w:rFonts w:ascii="Aptos" w:eastAsia="Times New Roman" w:hAnsi="Aptos" w:cs="Times New Roman"/>
          <w:bCs/>
          <w:color w:val="000000"/>
          <w:sz w:val="25"/>
          <w:szCs w:val="25"/>
        </w:rPr>
        <w:t>It is w</w:t>
      </w:r>
      <w:r w:rsidRPr="00331871">
        <w:rPr>
          <w:rFonts w:ascii="Aptos" w:eastAsia="Times New Roman" w:hAnsi="Aptos" w:cs="Times New Roman"/>
          <w:bCs/>
          <w:color w:val="000000"/>
          <w:sz w:val="25"/>
          <w:szCs w:val="25"/>
        </w:rPr>
        <w:t>ith</w:t>
      </w:r>
      <w:r w:rsidR="0027397A">
        <w:rPr>
          <w:rFonts w:ascii="Aptos" w:eastAsia="Times New Roman" w:hAnsi="Aptos" w:cs="Times New Roman"/>
          <w:bCs/>
          <w:color w:val="000000"/>
          <w:sz w:val="25"/>
          <w:szCs w:val="25"/>
        </w:rPr>
        <w:t>in the context of</w:t>
      </w:r>
      <w:r w:rsidRPr="00331871">
        <w:rPr>
          <w:rFonts w:ascii="Aptos" w:eastAsia="Times New Roman" w:hAnsi="Aptos" w:cs="Times New Roman"/>
          <w:bCs/>
          <w:color w:val="000000"/>
          <w:sz w:val="25"/>
          <w:szCs w:val="25"/>
        </w:rPr>
        <w:t xml:space="preserve"> these statutory and procedural dictates</w:t>
      </w:r>
      <w:r>
        <w:rPr>
          <w:rFonts w:ascii="Aptos" w:eastAsia="Times New Roman" w:hAnsi="Aptos" w:cs="Times New Roman"/>
          <w:bCs/>
          <w:color w:val="000000"/>
          <w:sz w:val="25"/>
          <w:szCs w:val="25"/>
        </w:rPr>
        <w:t xml:space="preserve"> that</w:t>
      </w:r>
      <w:r w:rsidRPr="00331871">
        <w:rPr>
          <w:rFonts w:ascii="Aptos" w:eastAsia="Times New Roman" w:hAnsi="Aptos" w:cs="Times New Roman"/>
          <w:bCs/>
          <w:color w:val="000000"/>
          <w:sz w:val="25"/>
          <w:szCs w:val="25"/>
        </w:rPr>
        <w:t xml:space="preserve"> I consider the</w:t>
      </w:r>
      <w:r w:rsidR="0027397A">
        <w:rPr>
          <w:rFonts w:ascii="Aptos" w:eastAsia="Times New Roman" w:hAnsi="Aptos" w:cs="Times New Roman"/>
          <w:bCs/>
          <w:color w:val="000000"/>
          <w:sz w:val="25"/>
          <w:szCs w:val="25"/>
        </w:rPr>
        <w:t xml:space="preserve"> instant</w:t>
      </w:r>
      <w:r w:rsidRPr="00331871">
        <w:rPr>
          <w:rFonts w:ascii="Aptos" w:eastAsia="Times New Roman" w:hAnsi="Aptos" w:cs="Times New Roman"/>
          <w:bCs/>
          <w:color w:val="000000"/>
          <w:sz w:val="25"/>
          <w:szCs w:val="25"/>
        </w:rPr>
        <w:t xml:space="preserve"> </w:t>
      </w:r>
      <w:r w:rsidRPr="00331871">
        <w:rPr>
          <w:rFonts w:ascii="Aptos" w:eastAsia="Times New Roman" w:hAnsi="Aptos" w:cs="Times New Roman"/>
          <w:bCs/>
          <w:i/>
          <w:iCs/>
          <w:color w:val="000000"/>
          <w:sz w:val="25"/>
          <w:szCs w:val="25"/>
        </w:rPr>
        <w:t>Motion.</w:t>
      </w:r>
    </w:p>
    <w:p w14:paraId="238901D8" w14:textId="77777777" w:rsidR="000E7A2A" w:rsidRPr="000467B1" w:rsidRDefault="000E7A2A" w:rsidP="000E7A2A">
      <w:pPr>
        <w:spacing w:after="0" w:line="240" w:lineRule="auto"/>
        <w:rPr>
          <w:rFonts w:ascii="Aptos" w:hAnsi="Aptos" w:cs="Times New Roman"/>
          <w:b/>
          <w:bCs/>
          <w:sz w:val="25"/>
          <w:szCs w:val="25"/>
        </w:rPr>
      </w:pPr>
    </w:p>
    <w:p w14:paraId="5A1889D8" w14:textId="13ABA14E" w:rsidR="000E7A2A" w:rsidRPr="000467B1" w:rsidRDefault="000E7A2A" w:rsidP="000E7A2A">
      <w:pPr>
        <w:spacing w:after="0" w:line="240" w:lineRule="auto"/>
        <w:rPr>
          <w:rFonts w:ascii="Aptos" w:hAnsi="Aptos" w:cs="Times New Roman"/>
          <w:b/>
          <w:bCs/>
          <w:sz w:val="25"/>
          <w:szCs w:val="25"/>
        </w:rPr>
      </w:pPr>
      <w:r w:rsidRPr="000467B1">
        <w:rPr>
          <w:rFonts w:ascii="Aptos" w:hAnsi="Aptos" w:cs="Times New Roman"/>
          <w:b/>
          <w:bCs/>
          <w:sz w:val="25"/>
          <w:szCs w:val="25"/>
        </w:rPr>
        <w:t>APPLICATION OF LEGAL STANDARD</w:t>
      </w:r>
      <w:r w:rsidR="004F3B23">
        <w:rPr>
          <w:rFonts w:ascii="Aptos" w:hAnsi="Aptos" w:cs="Times New Roman"/>
          <w:b/>
          <w:bCs/>
          <w:sz w:val="25"/>
          <w:szCs w:val="25"/>
        </w:rPr>
        <w:t>S</w:t>
      </w:r>
    </w:p>
    <w:p w14:paraId="7A6CFD28" w14:textId="77777777" w:rsidR="000E7A2A" w:rsidRPr="000467B1" w:rsidRDefault="000E7A2A" w:rsidP="000E7A2A">
      <w:pPr>
        <w:spacing w:after="0" w:line="240" w:lineRule="auto"/>
        <w:rPr>
          <w:rFonts w:ascii="Aptos" w:hAnsi="Aptos" w:cs="Times New Roman"/>
          <w:sz w:val="25"/>
          <w:szCs w:val="25"/>
        </w:rPr>
      </w:pPr>
    </w:p>
    <w:p w14:paraId="616F821E" w14:textId="7D09B07B" w:rsidR="0051666B" w:rsidRDefault="008D0908" w:rsidP="000E7A2A">
      <w:pPr>
        <w:spacing w:after="0" w:line="240" w:lineRule="auto"/>
        <w:rPr>
          <w:rFonts w:ascii="Aptos" w:eastAsia="Times New Roman" w:hAnsi="Aptos" w:cs="Times New Roman"/>
          <w:bCs/>
          <w:color w:val="000000"/>
          <w:sz w:val="25"/>
          <w:szCs w:val="25"/>
        </w:rPr>
      </w:pPr>
      <w:r>
        <w:rPr>
          <w:rFonts w:ascii="Aptos" w:hAnsi="Aptos" w:cs="Times New Roman"/>
          <w:sz w:val="25"/>
          <w:szCs w:val="25"/>
        </w:rPr>
        <w:t xml:space="preserve">Parent </w:t>
      </w:r>
      <w:r w:rsidR="00306D4E">
        <w:rPr>
          <w:rFonts w:ascii="Aptos" w:hAnsi="Aptos" w:cs="Times New Roman"/>
          <w:sz w:val="25"/>
          <w:szCs w:val="25"/>
        </w:rPr>
        <w:t xml:space="preserve">seeks to join DESE </w:t>
      </w:r>
      <w:r w:rsidR="000E7A2A" w:rsidRPr="000467B1">
        <w:rPr>
          <w:rFonts w:ascii="Aptos" w:hAnsi="Aptos" w:cs="Times New Roman"/>
          <w:sz w:val="25"/>
          <w:szCs w:val="25"/>
        </w:rPr>
        <w:t xml:space="preserve">in a matter involving a dispute over whether Student </w:t>
      </w:r>
      <w:r w:rsidR="00401C0D">
        <w:rPr>
          <w:rFonts w:ascii="Aptos" w:hAnsi="Aptos" w:cs="Times New Roman"/>
          <w:sz w:val="25"/>
          <w:szCs w:val="25"/>
        </w:rPr>
        <w:t xml:space="preserve">is owed compensatory services </w:t>
      </w:r>
      <w:r w:rsidR="009122DC">
        <w:rPr>
          <w:rFonts w:ascii="Aptos" w:hAnsi="Aptos" w:cs="Times New Roman"/>
          <w:sz w:val="25"/>
          <w:szCs w:val="25"/>
        </w:rPr>
        <w:t xml:space="preserve">for failure to be provided with a FAPE since </w:t>
      </w:r>
      <w:r w:rsidR="00656664">
        <w:rPr>
          <w:rFonts w:ascii="Aptos" w:hAnsi="Aptos" w:cs="Times New Roman"/>
          <w:sz w:val="25"/>
          <w:szCs w:val="25"/>
        </w:rPr>
        <w:t>October 2023</w:t>
      </w:r>
      <w:r w:rsidR="00206989">
        <w:rPr>
          <w:rFonts w:ascii="Aptos" w:hAnsi="Aptos" w:cs="Times New Roman"/>
          <w:sz w:val="25"/>
          <w:szCs w:val="25"/>
        </w:rPr>
        <w:t>, an issue squarely within the BSEA’s jurisdiction</w:t>
      </w:r>
      <w:r w:rsidR="00B538B4">
        <w:rPr>
          <w:rFonts w:ascii="Aptos" w:hAnsi="Aptos" w:cs="Times New Roman"/>
          <w:sz w:val="25"/>
          <w:szCs w:val="25"/>
        </w:rPr>
        <w:t xml:space="preserve">.  </w:t>
      </w:r>
      <w:r w:rsidR="00D31B8F">
        <w:rPr>
          <w:rFonts w:ascii="Aptos" w:hAnsi="Aptos" w:cs="Times New Roman"/>
          <w:sz w:val="25"/>
          <w:szCs w:val="25"/>
        </w:rPr>
        <w:t xml:space="preserve">It is undisputed that during </w:t>
      </w:r>
      <w:r w:rsidR="00B538B4">
        <w:rPr>
          <w:rFonts w:ascii="Aptos" w:hAnsi="Aptos" w:cs="Times New Roman"/>
          <w:sz w:val="25"/>
          <w:szCs w:val="25"/>
        </w:rPr>
        <w:t>some of this time Student was in the custody of DYS</w:t>
      </w:r>
      <w:r w:rsidR="00D31B8F">
        <w:rPr>
          <w:rFonts w:ascii="Aptos" w:hAnsi="Aptos" w:cs="Times New Roman"/>
          <w:sz w:val="25"/>
          <w:szCs w:val="25"/>
        </w:rPr>
        <w:t xml:space="preserve">, </w:t>
      </w:r>
      <w:r w:rsidR="00256DEC">
        <w:rPr>
          <w:rFonts w:ascii="Aptos" w:hAnsi="Aptos" w:cs="Times New Roman"/>
          <w:sz w:val="25"/>
          <w:szCs w:val="25"/>
        </w:rPr>
        <w:t>receiving educational services from SEIS, a program run by DESE</w:t>
      </w:r>
      <w:r w:rsidR="003A2156">
        <w:rPr>
          <w:rFonts w:ascii="Aptos" w:hAnsi="Aptos" w:cs="Times New Roman"/>
          <w:sz w:val="25"/>
          <w:szCs w:val="25"/>
        </w:rPr>
        <w:t xml:space="preserve">.  </w:t>
      </w:r>
      <w:r w:rsidR="005E06A9">
        <w:rPr>
          <w:rFonts w:ascii="Aptos" w:hAnsi="Aptos" w:cs="Times New Roman"/>
          <w:sz w:val="25"/>
          <w:szCs w:val="25"/>
        </w:rPr>
        <w:t>Although DESE denies</w:t>
      </w:r>
      <w:r w:rsidR="00B30FE1">
        <w:rPr>
          <w:rFonts w:ascii="Aptos" w:hAnsi="Aptos" w:cs="Times New Roman"/>
          <w:sz w:val="25"/>
          <w:szCs w:val="25"/>
        </w:rPr>
        <w:t xml:space="preserve"> responsibility for any FAPE violations Student may be found to have </w:t>
      </w:r>
      <w:r w:rsidR="00854AA8">
        <w:rPr>
          <w:rFonts w:ascii="Aptos" w:hAnsi="Aptos" w:cs="Times New Roman"/>
          <w:sz w:val="25"/>
          <w:szCs w:val="25"/>
        </w:rPr>
        <w:t>experienced</w:t>
      </w:r>
      <w:r w:rsidR="00B30FE1">
        <w:rPr>
          <w:rFonts w:ascii="Aptos" w:hAnsi="Aptos" w:cs="Times New Roman"/>
          <w:sz w:val="25"/>
          <w:szCs w:val="25"/>
        </w:rPr>
        <w:t xml:space="preserve"> </w:t>
      </w:r>
      <w:r w:rsidR="005E06A9">
        <w:rPr>
          <w:rFonts w:ascii="Aptos" w:hAnsi="Aptos" w:cs="Times New Roman"/>
          <w:sz w:val="25"/>
          <w:szCs w:val="25"/>
        </w:rPr>
        <w:t xml:space="preserve">during his confinement, it </w:t>
      </w:r>
      <w:r w:rsidR="000E7A2A" w:rsidRPr="000467B1">
        <w:rPr>
          <w:rFonts w:ascii="Aptos" w:eastAsia="Times New Roman" w:hAnsi="Aptos" w:cs="Times New Roman"/>
          <w:bCs/>
          <w:color w:val="000000"/>
          <w:sz w:val="25"/>
          <w:szCs w:val="25"/>
        </w:rPr>
        <w:t xml:space="preserve">does not contest that it is a necessary party </w:t>
      </w:r>
      <w:r w:rsidR="00804AFA">
        <w:rPr>
          <w:rFonts w:ascii="Aptos" w:eastAsia="Times New Roman" w:hAnsi="Aptos" w:cs="Times New Roman"/>
          <w:bCs/>
          <w:color w:val="000000"/>
          <w:sz w:val="25"/>
          <w:szCs w:val="25"/>
        </w:rPr>
        <w:t xml:space="preserve">pursuant to </w:t>
      </w:r>
      <w:r w:rsidR="00804AFA">
        <w:rPr>
          <w:rFonts w:ascii="Aptos" w:hAnsi="Aptos" w:cs="Times New Roman"/>
          <w:sz w:val="25"/>
          <w:szCs w:val="25"/>
        </w:rPr>
        <w:t>M.G.L. c. 71B §12 and 603 CMR 28.06(9)</w:t>
      </w:r>
      <w:r w:rsidR="00B840D0">
        <w:rPr>
          <w:rFonts w:ascii="Aptos" w:eastAsia="Times New Roman" w:hAnsi="Aptos" w:cs="Times New Roman"/>
          <w:bCs/>
          <w:color w:val="000000"/>
          <w:sz w:val="25"/>
          <w:szCs w:val="25"/>
        </w:rPr>
        <w:t xml:space="preserve">.  </w:t>
      </w:r>
    </w:p>
    <w:p w14:paraId="1AED3196" w14:textId="77777777" w:rsidR="0051666B" w:rsidRDefault="0051666B" w:rsidP="000E7A2A">
      <w:pPr>
        <w:spacing w:after="0" w:line="240" w:lineRule="auto"/>
        <w:rPr>
          <w:rFonts w:ascii="Aptos" w:eastAsia="Times New Roman" w:hAnsi="Aptos" w:cs="Times New Roman"/>
          <w:bCs/>
          <w:color w:val="000000"/>
          <w:sz w:val="25"/>
          <w:szCs w:val="25"/>
        </w:rPr>
      </w:pPr>
    </w:p>
    <w:p w14:paraId="57A25096" w14:textId="5A8788AB" w:rsidR="0051666B" w:rsidRDefault="0051666B" w:rsidP="000E7A2A">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DESE disputes </w:t>
      </w:r>
      <w:r w:rsidR="008C4341">
        <w:rPr>
          <w:rFonts w:ascii="Aptos" w:eastAsia="Times New Roman" w:hAnsi="Aptos" w:cs="Times New Roman"/>
          <w:bCs/>
          <w:color w:val="000000"/>
          <w:sz w:val="25"/>
          <w:szCs w:val="25"/>
        </w:rPr>
        <w:t>though join</w:t>
      </w:r>
      <w:r w:rsidR="00854AA8">
        <w:rPr>
          <w:rFonts w:ascii="Aptos" w:eastAsia="Times New Roman" w:hAnsi="Aptos" w:cs="Times New Roman"/>
          <w:bCs/>
          <w:color w:val="000000"/>
          <w:sz w:val="25"/>
          <w:szCs w:val="25"/>
        </w:rPr>
        <w:t>der</w:t>
      </w:r>
      <w:r w:rsidR="008C4341">
        <w:rPr>
          <w:rFonts w:ascii="Aptos" w:eastAsia="Times New Roman" w:hAnsi="Aptos" w:cs="Times New Roman"/>
          <w:bCs/>
          <w:color w:val="000000"/>
          <w:sz w:val="25"/>
          <w:szCs w:val="25"/>
        </w:rPr>
        <w:t xml:space="preserve"> </w:t>
      </w:r>
      <w:r w:rsidR="006A1793">
        <w:rPr>
          <w:rFonts w:ascii="Aptos" w:eastAsia="Times New Roman" w:hAnsi="Aptos" w:cs="Times New Roman"/>
          <w:bCs/>
          <w:color w:val="000000"/>
          <w:sz w:val="25"/>
          <w:szCs w:val="25"/>
        </w:rPr>
        <w:t xml:space="preserve">pursuant to </w:t>
      </w:r>
      <w:r w:rsidR="00204DEF">
        <w:rPr>
          <w:rFonts w:ascii="Aptos" w:eastAsia="Times New Roman" w:hAnsi="Aptos" w:cs="Times New Roman"/>
          <w:bCs/>
          <w:color w:val="000000"/>
          <w:sz w:val="25"/>
          <w:szCs w:val="25"/>
        </w:rPr>
        <w:t xml:space="preserve">its general supervisory obligations under the IDEA.  </w:t>
      </w:r>
      <w:r w:rsidR="00854AA8">
        <w:rPr>
          <w:rFonts w:ascii="Aptos" w:eastAsia="Times New Roman" w:hAnsi="Aptos" w:cs="Times New Roman"/>
          <w:bCs/>
          <w:color w:val="000000"/>
          <w:sz w:val="25"/>
          <w:szCs w:val="25"/>
        </w:rPr>
        <w:t>I</w:t>
      </w:r>
      <w:r w:rsidR="00ED6895">
        <w:rPr>
          <w:rFonts w:ascii="Aptos" w:eastAsia="Times New Roman" w:hAnsi="Aptos" w:cs="Times New Roman"/>
          <w:bCs/>
          <w:color w:val="000000"/>
          <w:sz w:val="25"/>
          <w:szCs w:val="25"/>
        </w:rPr>
        <w:t xml:space="preserve">t is not necessary for me to address this </w:t>
      </w:r>
      <w:r w:rsidR="002428B5">
        <w:rPr>
          <w:rFonts w:ascii="Aptos" w:eastAsia="Times New Roman" w:hAnsi="Aptos" w:cs="Times New Roman"/>
          <w:bCs/>
          <w:color w:val="000000"/>
          <w:sz w:val="25"/>
          <w:szCs w:val="25"/>
        </w:rPr>
        <w:t>distinction</w:t>
      </w:r>
      <w:r w:rsidR="00ED6895">
        <w:rPr>
          <w:rFonts w:ascii="Aptos" w:eastAsia="Times New Roman" w:hAnsi="Aptos" w:cs="Times New Roman"/>
          <w:bCs/>
          <w:color w:val="000000"/>
          <w:sz w:val="25"/>
          <w:szCs w:val="25"/>
        </w:rPr>
        <w:t xml:space="preserve"> </w:t>
      </w:r>
      <w:r w:rsidR="00AF5BB8">
        <w:rPr>
          <w:rFonts w:ascii="Aptos" w:eastAsia="Times New Roman" w:hAnsi="Aptos" w:cs="Times New Roman"/>
          <w:bCs/>
          <w:color w:val="000000"/>
          <w:sz w:val="25"/>
          <w:szCs w:val="25"/>
        </w:rPr>
        <w:t>in the instant matter</w:t>
      </w:r>
      <w:r w:rsidR="00ED6895">
        <w:rPr>
          <w:rFonts w:ascii="Aptos" w:eastAsia="Times New Roman" w:hAnsi="Aptos" w:cs="Times New Roman"/>
          <w:bCs/>
          <w:color w:val="000000"/>
          <w:sz w:val="25"/>
          <w:szCs w:val="25"/>
        </w:rPr>
        <w:t xml:space="preserve">, as </w:t>
      </w:r>
      <w:r w:rsidR="00A909C5">
        <w:rPr>
          <w:rFonts w:ascii="Aptos" w:eastAsia="Times New Roman" w:hAnsi="Aptos" w:cs="Times New Roman"/>
          <w:bCs/>
          <w:color w:val="000000"/>
          <w:sz w:val="25"/>
          <w:szCs w:val="25"/>
        </w:rPr>
        <w:t xml:space="preserve">joinder under M.G.L. c. 71B §12 and 603 CMR 28.09(9) </w:t>
      </w:r>
      <w:r w:rsidR="002428B5">
        <w:rPr>
          <w:rFonts w:ascii="Aptos" w:eastAsia="Times New Roman" w:hAnsi="Aptos" w:cs="Times New Roman"/>
          <w:bCs/>
          <w:color w:val="000000"/>
          <w:sz w:val="25"/>
          <w:szCs w:val="25"/>
        </w:rPr>
        <w:t xml:space="preserve">will </w:t>
      </w:r>
      <w:r w:rsidR="00DC668D">
        <w:rPr>
          <w:rFonts w:ascii="Aptos" w:eastAsia="Times New Roman" w:hAnsi="Aptos" w:cs="Times New Roman"/>
          <w:bCs/>
          <w:color w:val="000000"/>
          <w:sz w:val="25"/>
          <w:szCs w:val="25"/>
        </w:rPr>
        <w:t xml:space="preserve">be </w:t>
      </w:r>
      <w:r w:rsidR="00A909C5">
        <w:rPr>
          <w:rFonts w:ascii="Aptos" w:eastAsia="Times New Roman" w:hAnsi="Aptos" w:cs="Times New Roman"/>
          <w:bCs/>
          <w:color w:val="000000"/>
          <w:sz w:val="25"/>
          <w:szCs w:val="25"/>
        </w:rPr>
        <w:t xml:space="preserve">sufficient to address the claims </w:t>
      </w:r>
      <w:r w:rsidR="004A33EF">
        <w:rPr>
          <w:rFonts w:ascii="Aptos" w:eastAsia="Times New Roman" w:hAnsi="Aptos" w:cs="Times New Roman"/>
          <w:bCs/>
          <w:color w:val="000000"/>
          <w:sz w:val="25"/>
          <w:szCs w:val="25"/>
        </w:rPr>
        <w:t xml:space="preserve">relevant to DESE </w:t>
      </w:r>
      <w:r w:rsidR="00A909C5">
        <w:rPr>
          <w:rFonts w:ascii="Aptos" w:eastAsia="Times New Roman" w:hAnsi="Aptos" w:cs="Times New Roman"/>
          <w:bCs/>
          <w:color w:val="000000"/>
          <w:sz w:val="25"/>
          <w:szCs w:val="25"/>
        </w:rPr>
        <w:t xml:space="preserve">raised in the </w:t>
      </w:r>
      <w:r w:rsidR="00A909C5">
        <w:rPr>
          <w:rFonts w:ascii="Aptos" w:eastAsia="Times New Roman" w:hAnsi="Aptos" w:cs="Times New Roman"/>
          <w:bCs/>
          <w:i/>
          <w:iCs/>
          <w:color w:val="000000"/>
          <w:sz w:val="25"/>
          <w:szCs w:val="25"/>
        </w:rPr>
        <w:t xml:space="preserve">Hearing </w:t>
      </w:r>
      <w:r w:rsidR="00A909C5" w:rsidRPr="00A909C5">
        <w:rPr>
          <w:rFonts w:ascii="Aptos" w:eastAsia="Times New Roman" w:hAnsi="Aptos" w:cs="Times New Roman"/>
          <w:bCs/>
          <w:i/>
          <w:iCs/>
          <w:color w:val="000000"/>
          <w:sz w:val="25"/>
          <w:szCs w:val="25"/>
        </w:rPr>
        <w:t>Request</w:t>
      </w:r>
      <w:r w:rsidR="00A909C5">
        <w:rPr>
          <w:rFonts w:ascii="Aptos" w:eastAsia="Times New Roman" w:hAnsi="Aptos" w:cs="Times New Roman"/>
          <w:bCs/>
          <w:color w:val="000000"/>
          <w:sz w:val="25"/>
          <w:szCs w:val="25"/>
        </w:rPr>
        <w:t xml:space="preserve"> </w:t>
      </w:r>
      <w:r w:rsidR="00AF5BB8">
        <w:rPr>
          <w:rFonts w:ascii="Aptos" w:eastAsia="Times New Roman" w:hAnsi="Aptos" w:cs="Times New Roman"/>
          <w:bCs/>
          <w:color w:val="000000"/>
          <w:sz w:val="25"/>
          <w:szCs w:val="25"/>
        </w:rPr>
        <w:t xml:space="preserve">(i.e., </w:t>
      </w:r>
      <w:r w:rsidR="004F4855">
        <w:rPr>
          <w:rFonts w:ascii="Aptos" w:eastAsia="Times New Roman" w:hAnsi="Aptos" w:cs="Times New Roman"/>
          <w:bCs/>
          <w:color w:val="000000"/>
          <w:sz w:val="25"/>
          <w:szCs w:val="25"/>
        </w:rPr>
        <w:t xml:space="preserve">whether Student </w:t>
      </w:r>
      <w:r w:rsidR="006A1793">
        <w:rPr>
          <w:rFonts w:ascii="Aptos" w:eastAsia="Times New Roman" w:hAnsi="Aptos" w:cs="Times New Roman"/>
          <w:bCs/>
          <w:color w:val="000000"/>
          <w:sz w:val="25"/>
          <w:szCs w:val="25"/>
        </w:rPr>
        <w:t xml:space="preserve">is owed compensatory services </w:t>
      </w:r>
      <w:r w:rsidR="00473875">
        <w:rPr>
          <w:rFonts w:ascii="Aptos" w:eastAsia="Times New Roman" w:hAnsi="Aptos" w:cs="Times New Roman"/>
          <w:bCs/>
          <w:color w:val="000000"/>
          <w:sz w:val="25"/>
          <w:szCs w:val="25"/>
        </w:rPr>
        <w:t xml:space="preserve">due to being unable to access FAPE </w:t>
      </w:r>
      <w:r w:rsidR="004F4855">
        <w:rPr>
          <w:rFonts w:ascii="Aptos" w:eastAsia="Times New Roman" w:hAnsi="Aptos" w:cs="Times New Roman"/>
          <w:bCs/>
          <w:color w:val="000000"/>
          <w:sz w:val="25"/>
          <w:szCs w:val="25"/>
        </w:rPr>
        <w:t>while in DYS custody</w:t>
      </w:r>
      <w:r w:rsidR="00AF5BB8">
        <w:rPr>
          <w:rFonts w:ascii="Aptos" w:eastAsia="Times New Roman" w:hAnsi="Aptos" w:cs="Times New Roman"/>
          <w:bCs/>
          <w:color w:val="000000"/>
          <w:sz w:val="25"/>
          <w:szCs w:val="25"/>
        </w:rPr>
        <w:t>)</w:t>
      </w:r>
      <w:r w:rsidR="00FE4F16">
        <w:rPr>
          <w:rStyle w:val="FootnoteReference"/>
          <w:rFonts w:ascii="Aptos" w:eastAsia="Times New Roman" w:hAnsi="Aptos" w:cs="Times New Roman"/>
          <w:bCs/>
          <w:i/>
          <w:iCs/>
          <w:color w:val="000000"/>
          <w:sz w:val="25"/>
          <w:szCs w:val="25"/>
        </w:rPr>
        <w:footnoteReference w:id="18"/>
      </w:r>
      <w:r w:rsidR="00A23C9C">
        <w:rPr>
          <w:rFonts w:ascii="Aptos" w:eastAsia="Times New Roman" w:hAnsi="Aptos" w:cs="Times New Roman"/>
          <w:bCs/>
          <w:color w:val="000000"/>
          <w:sz w:val="25"/>
          <w:szCs w:val="25"/>
        </w:rPr>
        <w:t>.  Further, t</w:t>
      </w:r>
      <w:r w:rsidR="004066E8" w:rsidRPr="00A23C9C">
        <w:rPr>
          <w:rFonts w:ascii="Aptos" w:eastAsia="Times New Roman" w:hAnsi="Aptos" w:cs="Times New Roman"/>
          <w:bCs/>
          <w:color w:val="000000"/>
          <w:sz w:val="25"/>
          <w:szCs w:val="25"/>
        </w:rPr>
        <w:t>he</w:t>
      </w:r>
      <w:r w:rsidR="004066E8">
        <w:rPr>
          <w:rFonts w:ascii="Aptos" w:eastAsia="Times New Roman" w:hAnsi="Aptos" w:cs="Times New Roman"/>
          <w:bCs/>
          <w:color w:val="000000"/>
          <w:sz w:val="25"/>
          <w:szCs w:val="25"/>
        </w:rPr>
        <w:t xml:space="preserve"> statutory and regulatory language</w:t>
      </w:r>
      <w:r w:rsidR="002055CF">
        <w:rPr>
          <w:rFonts w:ascii="Aptos" w:eastAsia="Times New Roman" w:hAnsi="Aptos" w:cs="Times New Roman"/>
          <w:bCs/>
          <w:color w:val="000000"/>
          <w:sz w:val="25"/>
          <w:szCs w:val="25"/>
        </w:rPr>
        <w:t xml:space="preserve"> under which </w:t>
      </w:r>
      <w:r w:rsidR="004066E8">
        <w:rPr>
          <w:rFonts w:ascii="Aptos" w:eastAsia="Times New Roman" w:hAnsi="Aptos" w:cs="Times New Roman"/>
          <w:bCs/>
          <w:color w:val="000000"/>
          <w:sz w:val="25"/>
          <w:szCs w:val="25"/>
        </w:rPr>
        <w:t xml:space="preserve">DESE </w:t>
      </w:r>
      <w:r w:rsidR="00963027">
        <w:rPr>
          <w:rFonts w:ascii="Aptos" w:eastAsia="Times New Roman" w:hAnsi="Aptos" w:cs="Times New Roman"/>
          <w:bCs/>
          <w:color w:val="000000"/>
          <w:sz w:val="25"/>
          <w:szCs w:val="25"/>
        </w:rPr>
        <w:t xml:space="preserve">agrees to be joined </w:t>
      </w:r>
      <w:r w:rsidR="00327307">
        <w:rPr>
          <w:rFonts w:ascii="Aptos" w:eastAsia="Times New Roman" w:hAnsi="Aptos" w:cs="Times New Roman"/>
          <w:bCs/>
          <w:color w:val="000000"/>
          <w:sz w:val="25"/>
          <w:szCs w:val="25"/>
        </w:rPr>
        <w:t xml:space="preserve">clearly establishes </w:t>
      </w:r>
      <w:r w:rsidR="00157414">
        <w:rPr>
          <w:rFonts w:ascii="Aptos" w:eastAsia="Times New Roman" w:hAnsi="Aptos" w:cs="Times New Roman"/>
          <w:bCs/>
          <w:color w:val="000000"/>
          <w:sz w:val="25"/>
          <w:szCs w:val="25"/>
        </w:rPr>
        <w:t xml:space="preserve">its </w:t>
      </w:r>
      <w:r w:rsidR="00327307">
        <w:rPr>
          <w:rFonts w:ascii="Aptos" w:eastAsia="Times New Roman" w:hAnsi="Aptos" w:cs="Times New Roman"/>
          <w:bCs/>
          <w:color w:val="000000"/>
          <w:sz w:val="25"/>
          <w:szCs w:val="25"/>
        </w:rPr>
        <w:t xml:space="preserve">obligations both for </w:t>
      </w:r>
      <w:r w:rsidR="0015659F">
        <w:rPr>
          <w:rFonts w:ascii="Aptos" w:eastAsia="Times New Roman" w:hAnsi="Aptos" w:cs="Times New Roman"/>
          <w:bCs/>
          <w:color w:val="000000"/>
          <w:sz w:val="25"/>
          <w:szCs w:val="25"/>
        </w:rPr>
        <w:t xml:space="preserve">providing services and </w:t>
      </w:r>
      <w:r w:rsidR="00327307">
        <w:rPr>
          <w:rFonts w:ascii="Aptos" w:eastAsia="Times New Roman" w:hAnsi="Aptos" w:cs="Times New Roman"/>
          <w:bCs/>
          <w:color w:val="000000"/>
          <w:sz w:val="25"/>
          <w:szCs w:val="25"/>
        </w:rPr>
        <w:t>for ensuring the provision of services by other entities</w:t>
      </w:r>
      <w:r w:rsidR="0015659F">
        <w:rPr>
          <w:rFonts w:ascii="Aptos" w:eastAsia="Times New Roman" w:hAnsi="Aptos" w:cs="Times New Roman"/>
          <w:bCs/>
          <w:color w:val="000000"/>
          <w:sz w:val="25"/>
          <w:szCs w:val="25"/>
        </w:rPr>
        <w:t xml:space="preserve"> with respect to </w:t>
      </w:r>
      <w:r w:rsidR="00157414">
        <w:rPr>
          <w:rFonts w:ascii="Aptos" w:eastAsia="Times New Roman" w:hAnsi="Aptos" w:cs="Times New Roman"/>
          <w:bCs/>
          <w:color w:val="000000"/>
          <w:sz w:val="25"/>
          <w:szCs w:val="25"/>
        </w:rPr>
        <w:t>s</w:t>
      </w:r>
      <w:r w:rsidR="0015659F">
        <w:rPr>
          <w:rFonts w:ascii="Aptos" w:eastAsia="Times New Roman" w:hAnsi="Aptos" w:cs="Times New Roman"/>
          <w:bCs/>
          <w:color w:val="000000"/>
          <w:sz w:val="25"/>
          <w:szCs w:val="25"/>
        </w:rPr>
        <w:t>tudents</w:t>
      </w:r>
      <w:r w:rsidR="00157414">
        <w:rPr>
          <w:rFonts w:ascii="Aptos" w:eastAsia="Times New Roman" w:hAnsi="Aptos" w:cs="Times New Roman"/>
          <w:bCs/>
          <w:color w:val="000000"/>
          <w:sz w:val="25"/>
          <w:szCs w:val="25"/>
        </w:rPr>
        <w:t>, including Student,</w:t>
      </w:r>
      <w:r w:rsidR="0015659F">
        <w:rPr>
          <w:rFonts w:ascii="Aptos" w:eastAsia="Times New Roman" w:hAnsi="Aptos" w:cs="Times New Roman"/>
          <w:bCs/>
          <w:color w:val="000000"/>
          <w:sz w:val="25"/>
          <w:szCs w:val="25"/>
        </w:rPr>
        <w:t xml:space="preserve"> in DYS facilities</w:t>
      </w:r>
      <w:r w:rsidR="00C5559D">
        <w:rPr>
          <w:rStyle w:val="FootnoteReference"/>
          <w:rFonts w:ascii="Aptos" w:eastAsia="Times New Roman" w:hAnsi="Aptos" w:cs="Times New Roman"/>
          <w:bCs/>
          <w:color w:val="000000"/>
          <w:sz w:val="25"/>
          <w:szCs w:val="25"/>
        </w:rPr>
        <w:footnoteReference w:id="19"/>
      </w:r>
      <w:r w:rsidR="001B7F72">
        <w:rPr>
          <w:rFonts w:ascii="Aptos" w:eastAsia="Times New Roman" w:hAnsi="Aptos" w:cs="Times New Roman"/>
          <w:bCs/>
          <w:color w:val="000000"/>
          <w:sz w:val="25"/>
          <w:szCs w:val="25"/>
        </w:rPr>
        <w:t>.  M</w:t>
      </w:r>
      <w:r w:rsidR="00A7325E">
        <w:rPr>
          <w:rFonts w:ascii="Aptos" w:eastAsia="Times New Roman" w:hAnsi="Aptos" w:cs="Times New Roman"/>
          <w:bCs/>
          <w:color w:val="000000"/>
          <w:sz w:val="25"/>
          <w:szCs w:val="25"/>
        </w:rPr>
        <w:t xml:space="preserve">.G.L. c. 71B §12 states </w:t>
      </w:r>
      <w:r w:rsidR="004C3698">
        <w:rPr>
          <w:rFonts w:ascii="Aptos" w:eastAsia="Times New Roman" w:hAnsi="Aptos" w:cs="Times New Roman"/>
          <w:bCs/>
          <w:color w:val="000000"/>
          <w:sz w:val="25"/>
          <w:szCs w:val="25"/>
        </w:rPr>
        <w:t xml:space="preserve">“[DESE] </w:t>
      </w:r>
      <w:r w:rsidR="004C3698">
        <w:rPr>
          <w:rFonts w:ascii="Aptos" w:eastAsia="Times New Roman" w:hAnsi="Aptos" w:cs="Times New Roman"/>
          <w:bCs/>
          <w:i/>
          <w:iCs/>
          <w:color w:val="000000"/>
          <w:sz w:val="25"/>
          <w:szCs w:val="25"/>
        </w:rPr>
        <w:t xml:space="preserve">shall </w:t>
      </w:r>
      <w:r w:rsidR="004C3698">
        <w:rPr>
          <w:rFonts w:ascii="Aptos" w:eastAsia="Times New Roman" w:hAnsi="Aptos" w:cs="Times New Roman"/>
          <w:bCs/>
          <w:color w:val="000000"/>
          <w:sz w:val="25"/>
          <w:szCs w:val="25"/>
        </w:rPr>
        <w:t xml:space="preserve">establish </w:t>
      </w:r>
      <w:r w:rsidR="004C3698">
        <w:rPr>
          <w:rFonts w:ascii="Aptos" w:eastAsia="Times New Roman" w:hAnsi="Aptos" w:cs="Times New Roman"/>
          <w:bCs/>
          <w:i/>
          <w:iCs/>
          <w:color w:val="000000"/>
          <w:sz w:val="25"/>
          <w:szCs w:val="25"/>
        </w:rPr>
        <w:t>and maintain a school department</w:t>
      </w:r>
      <w:r w:rsidR="004C3698">
        <w:rPr>
          <w:rFonts w:ascii="Aptos" w:eastAsia="Times New Roman" w:hAnsi="Aptos" w:cs="Times New Roman"/>
          <w:bCs/>
          <w:color w:val="000000"/>
          <w:sz w:val="25"/>
          <w:szCs w:val="25"/>
        </w:rPr>
        <w:t xml:space="preserve"> for school-aged children in each institution under the control of the </w:t>
      </w:r>
      <w:r w:rsidR="004C3698">
        <w:rPr>
          <w:rFonts w:ascii="Aptos" w:eastAsia="Times New Roman" w:hAnsi="Aptos" w:cs="Times New Roman"/>
          <w:bCs/>
          <w:color w:val="000000"/>
          <w:sz w:val="25"/>
          <w:szCs w:val="25"/>
        </w:rPr>
        <w:lastRenderedPageBreak/>
        <w:t>department[</w:t>
      </w:r>
      <w:r w:rsidR="00A84BFD">
        <w:rPr>
          <w:rFonts w:ascii="Aptos" w:eastAsia="Times New Roman" w:hAnsi="Aptos" w:cs="Times New Roman"/>
          <w:bCs/>
          <w:color w:val="000000"/>
          <w:sz w:val="25"/>
          <w:szCs w:val="25"/>
        </w:rPr>
        <w:t xml:space="preserve"> </w:t>
      </w:r>
      <w:r w:rsidR="004C3698">
        <w:rPr>
          <w:rFonts w:ascii="Aptos" w:eastAsia="Times New Roman" w:hAnsi="Aptos" w:cs="Times New Roman"/>
          <w:bCs/>
          <w:color w:val="000000"/>
          <w:sz w:val="25"/>
          <w:szCs w:val="25"/>
        </w:rPr>
        <w:t>] … of yout</w:t>
      </w:r>
      <w:r w:rsidR="00A7325E">
        <w:rPr>
          <w:rFonts w:ascii="Aptos" w:eastAsia="Times New Roman" w:hAnsi="Aptos" w:cs="Times New Roman"/>
          <w:bCs/>
          <w:color w:val="000000"/>
          <w:sz w:val="25"/>
          <w:szCs w:val="25"/>
        </w:rPr>
        <w:t>h</w:t>
      </w:r>
      <w:r w:rsidR="004C3698">
        <w:rPr>
          <w:rFonts w:ascii="Aptos" w:eastAsia="Times New Roman" w:hAnsi="Aptos" w:cs="Times New Roman"/>
          <w:bCs/>
          <w:color w:val="000000"/>
          <w:sz w:val="25"/>
          <w:szCs w:val="25"/>
        </w:rPr>
        <w:t xml:space="preserve"> services</w:t>
      </w:r>
      <w:r w:rsidR="004729A2">
        <w:rPr>
          <w:rFonts w:ascii="Aptos" w:eastAsia="Times New Roman" w:hAnsi="Aptos" w:cs="Times New Roman"/>
          <w:bCs/>
          <w:color w:val="000000"/>
          <w:sz w:val="25"/>
          <w:szCs w:val="25"/>
        </w:rPr>
        <w:t xml:space="preserve"> …” while 603 CMR 28.06(9) states “[DESE] </w:t>
      </w:r>
      <w:r w:rsidR="004729A2">
        <w:rPr>
          <w:rFonts w:ascii="Aptos" w:eastAsia="Times New Roman" w:hAnsi="Aptos" w:cs="Times New Roman"/>
          <w:bCs/>
          <w:i/>
          <w:iCs/>
          <w:color w:val="000000"/>
          <w:sz w:val="25"/>
          <w:szCs w:val="25"/>
        </w:rPr>
        <w:t xml:space="preserve">shall </w:t>
      </w:r>
      <w:r w:rsidR="004729A2">
        <w:rPr>
          <w:rFonts w:ascii="Aptos" w:eastAsia="Times New Roman" w:hAnsi="Aptos" w:cs="Times New Roman"/>
          <w:bCs/>
          <w:color w:val="000000"/>
          <w:sz w:val="25"/>
          <w:szCs w:val="25"/>
        </w:rPr>
        <w:t xml:space="preserve">provide </w:t>
      </w:r>
      <w:r w:rsidR="00C55E33">
        <w:rPr>
          <w:rFonts w:ascii="Aptos" w:eastAsia="Times New Roman" w:hAnsi="Aptos" w:cs="Times New Roman"/>
          <w:bCs/>
          <w:color w:val="000000"/>
          <w:sz w:val="25"/>
          <w:szCs w:val="25"/>
        </w:rPr>
        <w:t>“certain special education services”</w:t>
      </w:r>
      <w:r w:rsidR="00F91F70">
        <w:rPr>
          <w:rFonts w:ascii="Aptos" w:eastAsia="Times New Roman" w:hAnsi="Aptos" w:cs="Times New Roman"/>
          <w:bCs/>
          <w:color w:val="000000"/>
          <w:sz w:val="25"/>
          <w:szCs w:val="25"/>
        </w:rPr>
        <w:t xml:space="preserve"> (emphasis added).</w:t>
      </w:r>
      <w:r w:rsidR="001B7F72">
        <w:rPr>
          <w:rFonts w:ascii="Aptos" w:eastAsia="Times New Roman" w:hAnsi="Aptos" w:cs="Times New Roman"/>
          <w:bCs/>
          <w:color w:val="000000"/>
          <w:sz w:val="25"/>
          <w:szCs w:val="25"/>
        </w:rPr>
        <w:t xml:space="preserve">  </w:t>
      </w:r>
    </w:p>
    <w:p w14:paraId="7BA4A639" w14:textId="77777777" w:rsidR="00EF3470" w:rsidRDefault="00EF3470" w:rsidP="000E7A2A">
      <w:pPr>
        <w:spacing w:after="0" w:line="240" w:lineRule="auto"/>
        <w:rPr>
          <w:rFonts w:ascii="Aptos" w:eastAsia="Times New Roman" w:hAnsi="Aptos" w:cs="Times New Roman"/>
          <w:bCs/>
          <w:color w:val="000000"/>
          <w:sz w:val="25"/>
          <w:szCs w:val="25"/>
        </w:rPr>
      </w:pPr>
    </w:p>
    <w:p w14:paraId="55B845BD" w14:textId="79257250" w:rsidR="000E7A2A" w:rsidRPr="000467B1" w:rsidRDefault="005A57E8" w:rsidP="000E7A2A">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I </w:t>
      </w:r>
      <w:r w:rsidR="001904E4">
        <w:rPr>
          <w:rFonts w:ascii="Aptos" w:eastAsia="Times New Roman" w:hAnsi="Aptos" w:cs="Times New Roman"/>
          <w:bCs/>
          <w:color w:val="000000"/>
          <w:sz w:val="25"/>
          <w:szCs w:val="25"/>
        </w:rPr>
        <w:t xml:space="preserve">also </w:t>
      </w:r>
      <w:r>
        <w:rPr>
          <w:rFonts w:ascii="Aptos" w:eastAsia="Times New Roman" w:hAnsi="Aptos" w:cs="Times New Roman"/>
          <w:bCs/>
          <w:color w:val="000000"/>
          <w:sz w:val="25"/>
          <w:szCs w:val="25"/>
        </w:rPr>
        <w:t xml:space="preserve">find that all </w:t>
      </w:r>
      <w:r w:rsidR="000E7A2A" w:rsidRPr="000467B1">
        <w:rPr>
          <w:rFonts w:ascii="Aptos" w:eastAsia="Times New Roman" w:hAnsi="Aptos" w:cs="Times New Roman"/>
          <w:bCs/>
          <w:color w:val="000000"/>
          <w:sz w:val="25"/>
          <w:szCs w:val="25"/>
        </w:rPr>
        <w:t xml:space="preserve">factors to be considered for joinder support </w:t>
      </w:r>
      <w:r w:rsidR="000E7A2A">
        <w:rPr>
          <w:rFonts w:ascii="Aptos" w:eastAsia="Times New Roman" w:hAnsi="Aptos" w:cs="Times New Roman"/>
          <w:bCs/>
          <w:color w:val="000000"/>
          <w:sz w:val="25"/>
          <w:szCs w:val="25"/>
        </w:rPr>
        <w:t>joining</w:t>
      </w:r>
      <w:r w:rsidR="000E7A2A" w:rsidRPr="000467B1">
        <w:rPr>
          <w:rFonts w:ascii="Aptos" w:eastAsia="Times New Roman" w:hAnsi="Aptos" w:cs="Times New Roman"/>
          <w:bCs/>
          <w:color w:val="000000"/>
          <w:sz w:val="25"/>
          <w:szCs w:val="25"/>
        </w:rPr>
        <w:t xml:space="preserve"> </w:t>
      </w:r>
      <w:r w:rsidR="00D325FB">
        <w:rPr>
          <w:rFonts w:ascii="Aptos" w:eastAsia="Times New Roman" w:hAnsi="Aptos" w:cs="Times New Roman"/>
          <w:bCs/>
          <w:color w:val="000000"/>
          <w:sz w:val="25"/>
          <w:szCs w:val="25"/>
        </w:rPr>
        <w:t>DESE</w:t>
      </w:r>
      <w:r w:rsidR="000E7A2A" w:rsidRPr="000467B1">
        <w:rPr>
          <w:rFonts w:ascii="Aptos" w:eastAsia="Times New Roman" w:hAnsi="Aptos" w:cs="Times New Roman"/>
          <w:bCs/>
          <w:color w:val="000000"/>
          <w:sz w:val="25"/>
          <w:szCs w:val="25"/>
        </w:rPr>
        <w:t xml:space="preserve"> as a party in this case</w:t>
      </w:r>
      <w:r w:rsidR="00FE1765">
        <w:rPr>
          <w:rFonts w:ascii="Aptos" w:eastAsia="Times New Roman" w:hAnsi="Aptos" w:cs="Times New Roman"/>
          <w:bCs/>
          <w:color w:val="000000"/>
          <w:sz w:val="25"/>
          <w:szCs w:val="25"/>
        </w:rPr>
        <w:t>,</w:t>
      </w:r>
      <w:r w:rsidR="00D325FB">
        <w:rPr>
          <w:rFonts w:ascii="Aptos" w:eastAsia="Times New Roman" w:hAnsi="Aptos" w:cs="Times New Roman"/>
          <w:bCs/>
          <w:color w:val="000000"/>
          <w:sz w:val="25"/>
          <w:szCs w:val="25"/>
        </w:rPr>
        <w:t xml:space="preserve"> </w:t>
      </w:r>
      <w:r w:rsidR="00071F4C">
        <w:rPr>
          <w:rFonts w:ascii="Aptos" w:eastAsia="Times New Roman" w:hAnsi="Aptos" w:cs="Times New Roman"/>
          <w:bCs/>
          <w:color w:val="000000"/>
          <w:sz w:val="25"/>
          <w:szCs w:val="25"/>
        </w:rPr>
        <w:t xml:space="preserve">pursuant to </w:t>
      </w:r>
      <w:r w:rsidR="00D325FB">
        <w:rPr>
          <w:rFonts w:ascii="Aptos" w:eastAsia="Times New Roman" w:hAnsi="Aptos" w:cs="Times New Roman"/>
          <w:bCs/>
          <w:color w:val="000000"/>
          <w:sz w:val="25"/>
          <w:szCs w:val="25"/>
        </w:rPr>
        <w:t>M.G.L. c. 71B §12 and 603 CMR 28.06(9)</w:t>
      </w:r>
      <w:r w:rsidR="00051E73" w:rsidRPr="00051E73">
        <w:rPr>
          <w:rStyle w:val="FootnoteReference"/>
          <w:rFonts w:ascii="Aptos" w:eastAsia="Times New Roman" w:hAnsi="Aptos" w:cs="Times New Roman"/>
          <w:bCs/>
          <w:color w:val="000000"/>
          <w:sz w:val="25"/>
          <w:szCs w:val="25"/>
        </w:rPr>
        <w:t xml:space="preserve"> </w:t>
      </w:r>
      <w:r w:rsidR="00051E73" w:rsidRPr="000467B1">
        <w:rPr>
          <w:rStyle w:val="FootnoteReference"/>
          <w:rFonts w:ascii="Aptos" w:eastAsia="Times New Roman" w:hAnsi="Aptos" w:cs="Times New Roman"/>
          <w:bCs/>
          <w:color w:val="000000"/>
          <w:sz w:val="25"/>
          <w:szCs w:val="25"/>
        </w:rPr>
        <w:footnoteReference w:id="20"/>
      </w:r>
      <w:r w:rsidR="007614BB">
        <w:rPr>
          <w:rFonts w:ascii="Aptos" w:eastAsia="Times New Roman" w:hAnsi="Aptos" w:cs="Times New Roman"/>
          <w:bCs/>
          <w:color w:val="000000"/>
          <w:sz w:val="25"/>
          <w:szCs w:val="25"/>
        </w:rPr>
        <w:t xml:space="preserve">.  </w:t>
      </w:r>
      <w:r w:rsidR="000E7A2A">
        <w:rPr>
          <w:rFonts w:ascii="Aptos" w:eastAsia="Times New Roman" w:hAnsi="Aptos" w:cs="Times New Roman"/>
          <w:bCs/>
          <w:color w:val="000000"/>
          <w:sz w:val="25"/>
          <w:szCs w:val="25"/>
        </w:rPr>
        <w:t>J</w:t>
      </w:r>
      <w:r w:rsidR="000E7A2A" w:rsidRPr="000467B1">
        <w:rPr>
          <w:rFonts w:ascii="Aptos" w:eastAsia="Times New Roman" w:hAnsi="Aptos" w:cs="Times New Roman"/>
          <w:bCs/>
          <w:color w:val="000000"/>
          <w:sz w:val="25"/>
          <w:szCs w:val="25"/>
        </w:rPr>
        <w:t xml:space="preserve">oinder of </w:t>
      </w:r>
      <w:r w:rsidR="002231E0">
        <w:rPr>
          <w:rFonts w:ascii="Aptos" w:eastAsia="Times New Roman" w:hAnsi="Aptos" w:cs="Times New Roman"/>
          <w:bCs/>
          <w:color w:val="000000"/>
          <w:sz w:val="25"/>
          <w:szCs w:val="25"/>
        </w:rPr>
        <w:t>DESE</w:t>
      </w:r>
      <w:r w:rsidR="000E7A2A" w:rsidRPr="000467B1">
        <w:rPr>
          <w:rFonts w:ascii="Aptos" w:eastAsia="Times New Roman" w:hAnsi="Aptos" w:cs="Times New Roman"/>
          <w:bCs/>
          <w:color w:val="000000"/>
          <w:sz w:val="25"/>
          <w:szCs w:val="25"/>
        </w:rPr>
        <w:t xml:space="preserve"> is essential to reduc</w:t>
      </w:r>
      <w:r w:rsidR="00511588">
        <w:rPr>
          <w:rFonts w:ascii="Aptos" w:eastAsia="Times New Roman" w:hAnsi="Aptos" w:cs="Times New Roman"/>
          <w:bCs/>
          <w:color w:val="000000"/>
          <w:sz w:val="25"/>
          <w:szCs w:val="25"/>
        </w:rPr>
        <w:t>ing</w:t>
      </w:r>
      <w:r w:rsidR="000E7A2A" w:rsidRPr="000467B1">
        <w:rPr>
          <w:rFonts w:ascii="Aptos" w:eastAsia="Times New Roman" w:hAnsi="Aptos" w:cs="Times New Roman"/>
          <w:bCs/>
          <w:color w:val="000000"/>
          <w:sz w:val="25"/>
          <w:szCs w:val="25"/>
        </w:rPr>
        <w:t xml:space="preserve"> the risk of prejudice</w:t>
      </w:r>
      <w:r w:rsidR="00511588">
        <w:rPr>
          <w:rFonts w:ascii="Aptos" w:eastAsia="Times New Roman" w:hAnsi="Aptos" w:cs="Times New Roman"/>
          <w:bCs/>
          <w:color w:val="000000"/>
          <w:sz w:val="25"/>
          <w:szCs w:val="25"/>
        </w:rPr>
        <w:t>,</w:t>
      </w:r>
      <w:r w:rsidR="00B3259E">
        <w:rPr>
          <w:rFonts w:ascii="Aptos" w:eastAsia="Times New Roman" w:hAnsi="Aptos" w:cs="Times New Roman"/>
          <w:bCs/>
          <w:color w:val="000000"/>
          <w:sz w:val="25"/>
          <w:szCs w:val="25"/>
        </w:rPr>
        <w:t xml:space="preserve"> </w:t>
      </w:r>
      <w:r w:rsidR="002B4405" w:rsidRPr="000467B1">
        <w:rPr>
          <w:rFonts w:ascii="Aptos" w:eastAsia="Times New Roman" w:hAnsi="Aptos" w:cs="Times New Roman"/>
          <w:bCs/>
          <w:color w:val="000000"/>
          <w:sz w:val="25"/>
          <w:szCs w:val="25"/>
        </w:rPr>
        <w:t>ensur</w:t>
      </w:r>
      <w:r w:rsidR="00511588">
        <w:rPr>
          <w:rFonts w:ascii="Aptos" w:eastAsia="Times New Roman" w:hAnsi="Aptos" w:cs="Times New Roman"/>
          <w:bCs/>
          <w:color w:val="000000"/>
          <w:sz w:val="25"/>
          <w:szCs w:val="25"/>
        </w:rPr>
        <w:t>ing</w:t>
      </w:r>
      <w:r w:rsidR="002B4405" w:rsidRPr="000467B1">
        <w:rPr>
          <w:rFonts w:ascii="Aptos" w:eastAsia="Times New Roman" w:hAnsi="Aptos" w:cs="Times New Roman"/>
          <w:bCs/>
          <w:color w:val="000000"/>
          <w:sz w:val="25"/>
          <w:szCs w:val="25"/>
        </w:rPr>
        <w:t xml:space="preserve"> that all options for appropriate relief</w:t>
      </w:r>
      <w:r w:rsidR="00B35385">
        <w:rPr>
          <w:rFonts w:ascii="Aptos" w:eastAsia="Times New Roman" w:hAnsi="Aptos" w:cs="Times New Roman"/>
          <w:bCs/>
          <w:color w:val="000000"/>
          <w:sz w:val="25"/>
          <w:szCs w:val="25"/>
        </w:rPr>
        <w:t>,</w:t>
      </w:r>
      <w:r w:rsidR="003D30DB">
        <w:rPr>
          <w:rFonts w:ascii="Aptos" w:eastAsia="Times New Roman" w:hAnsi="Aptos" w:cs="Times New Roman"/>
          <w:bCs/>
          <w:color w:val="000000"/>
          <w:sz w:val="25"/>
          <w:szCs w:val="25"/>
        </w:rPr>
        <w:t xml:space="preserve"> </w:t>
      </w:r>
      <w:r w:rsidR="003D30DB" w:rsidRPr="000467B1">
        <w:rPr>
          <w:rFonts w:ascii="Aptos" w:eastAsia="Times New Roman" w:hAnsi="Aptos" w:cs="Times New Roman"/>
          <w:bCs/>
          <w:color w:val="000000"/>
          <w:sz w:val="25"/>
          <w:szCs w:val="25"/>
        </w:rPr>
        <w:t>not possible without its involvement</w:t>
      </w:r>
      <w:r w:rsidR="003D30DB">
        <w:rPr>
          <w:rFonts w:ascii="Aptos" w:eastAsia="Times New Roman" w:hAnsi="Aptos" w:cs="Times New Roman"/>
          <w:bCs/>
          <w:color w:val="000000"/>
          <w:sz w:val="25"/>
          <w:szCs w:val="25"/>
        </w:rPr>
        <w:t>,</w:t>
      </w:r>
      <w:r w:rsidR="002B4405" w:rsidRPr="000467B1">
        <w:rPr>
          <w:rFonts w:ascii="Aptos" w:eastAsia="Times New Roman" w:hAnsi="Aptos" w:cs="Times New Roman"/>
          <w:bCs/>
          <w:color w:val="000000"/>
          <w:sz w:val="25"/>
          <w:szCs w:val="25"/>
        </w:rPr>
        <w:t xml:space="preserve"> are available</w:t>
      </w:r>
      <w:r w:rsidR="00B3259E">
        <w:rPr>
          <w:rFonts w:ascii="Aptos" w:eastAsia="Times New Roman" w:hAnsi="Aptos" w:cs="Times New Roman"/>
          <w:bCs/>
          <w:color w:val="000000"/>
          <w:sz w:val="25"/>
          <w:szCs w:val="25"/>
        </w:rPr>
        <w:t>,</w:t>
      </w:r>
      <w:r w:rsidR="00B35385">
        <w:rPr>
          <w:rFonts w:ascii="Aptos" w:eastAsia="Times New Roman" w:hAnsi="Aptos" w:cs="Times New Roman"/>
          <w:bCs/>
          <w:color w:val="000000"/>
          <w:sz w:val="25"/>
          <w:szCs w:val="25"/>
        </w:rPr>
        <w:t xml:space="preserve"> and allowing for</w:t>
      </w:r>
      <w:r w:rsidR="00003005">
        <w:rPr>
          <w:rFonts w:ascii="Aptos" w:eastAsia="Times New Roman" w:hAnsi="Aptos" w:cs="Times New Roman"/>
          <w:bCs/>
          <w:color w:val="000000"/>
          <w:sz w:val="25"/>
          <w:szCs w:val="25"/>
        </w:rPr>
        <w:t xml:space="preserve"> </w:t>
      </w:r>
      <w:r w:rsidR="00FE1765">
        <w:rPr>
          <w:rFonts w:ascii="Aptos" w:eastAsia="Times New Roman" w:hAnsi="Aptos" w:cs="Times New Roman"/>
          <w:bCs/>
          <w:color w:val="000000"/>
          <w:sz w:val="25"/>
          <w:szCs w:val="25"/>
        </w:rPr>
        <w:t xml:space="preserve">fair </w:t>
      </w:r>
      <w:r w:rsidR="00152038">
        <w:rPr>
          <w:rFonts w:ascii="Aptos" w:eastAsia="Times New Roman" w:hAnsi="Aptos" w:cs="Times New Roman"/>
          <w:bCs/>
          <w:color w:val="000000"/>
          <w:sz w:val="25"/>
          <w:szCs w:val="25"/>
        </w:rPr>
        <w:t>judgment</w:t>
      </w:r>
      <w:r w:rsidR="00FE1765">
        <w:rPr>
          <w:rFonts w:ascii="Aptos" w:eastAsia="Times New Roman" w:hAnsi="Aptos" w:cs="Times New Roman"/>
          <w:bCs/>
          <w:color w:val="000000"/>
          <w:sz w:val="25"/>
          <w:szCs w:val="25"/>
        </w:rPr>
        <w:t xml:space="preserve"> to be </w:t>
      </w:r>
      <w:r w:rsidR="00152038">
        <w:rPr>
          <w:rFonts w:ascii="Aptos" w:eastAsia="Times New Roman" w:hAnsi="Aptos" w:cs="Times New Roman"/>
          <w:bCs/>
          <w:color w:val="000000"/>
          <w:sz w:val="25"/>
          <w:szCs w:val="25"/>
        </w:rPr>
        <w:t>made.</w:t>
      </w:r>
      <w:r w:rsidR="000E7A2A" w:rsidRPr="000467B1">
        <w:rPr>
          <w:rFonts w:ascii="Aptos" w:eastAsia="Times New Roman" w:hAnsi="Aptos" w:cs="Times New Roman"/>
          <w:bCs/>
          <w:color w:val="000000"/>
          <w:sz w:val="25"/>
          <w:szCs w:val="25"/>
        </w:rPr>
        <w:t xml:space="preserve">  </w:t>
      </w:r>
      <w:r w:rsidR="00003005">
        <w:rPr>
          <w:rFonts w:ascii="Aptos" w:eastAsia="Times New Roman" w:hAnsi="Aptos" w:cs="Times New Roman"/>
          <w:bCs/>
          <w:color w:val="000000"/>
          <w:sz w:val="25"/>
          <w:szCs w:val="25"/>
        </w:rPr>
        <w:t xml:space="preserve">Having DESE as a party enables options for relief that are not possible without its involvement.  </w:t>
      </w:r>
      <w:r w:rsidR="000E7A2A" w:rsidRPr="000467B1">
        <w:rPr>
          <w:rFonts w:ascii="Aptos" w:eastAsia="Times New Roman" w:hAnsi="Aptos" w:cs="Times New Roman"/>
          <w:bCs/>
          <w:color w:val="000000"/>
          <w:sz w:val="25"/>
          <w:szCs w:val="25"/>
        </w:rPr>
        <w:t xml:space="preserve">Specifically, if, after a hearing on the merits, I determine that Student </w:t>
      </w:r>
      <w:r w:rsidR="00234EC5">
        <w:rPr>
          <w:rFonts w:ascii="Aptos" w:eastAsia="Times New Roman" w:hAnsi="Aptos" w:cs="Times New Roman"/>
          <w:bCs/>
          <w:color w:val="000000"/>
          <w:sz w:val="25"/>
          <w:szCs w:val="25"/>
        </w:rPr>
        <w:t xml:space="preserve">did not receive a FAPE during any </w:t>
      </w:r>
      <w:r w:rsidR="00482273">
        <w:rPr>
          <w:rFonts w:ascii="Aptos" w:eastAsia="Times New Roman" w:hAnsi="Aptos" w:cs="Times New Roman"/>
          <w:bCs/>
          <w:color w:val="000000"/>
          <w:sz w:val="25"/>
          <w:szCs w:val="25"/>
        </w:rPr>
        <w:t>time</w:t>
      </w:r>
      <w:r w:rsidR="00261FA4">
        <w:rPr>
          <w:rFonts w:ascii="Aptos" w:eastAsia="Times New Roman" w:hAnsi="Aptos" w:cs="Times New Roman"/>
          <w:bCs/>
          <w:color w:val="000000"/>
          <w:sz w:val="25"/>
          <w:szCs w:val="25"/>
        </w:rPr>
        <w:t xml:space="preserve"> </w:t>
      </w:r>
      <w:r w:rsidR="00234EC5">
        <w:rPr>
          <w:rFonts w:ascii="Aptos" w:eastAsia="Times New Roman" w:hAnsi="Aptos" w:cs="Times New Roman"/>
          <w:bCs/>
          <w:color w:val="000000"/>
          <w:sz w:val="25"/>
          <w:szCs w:val="25"/>
        </w:rPr>
        <w:t xml:space="preserve">he was in </w:t>
      </w:r>
      <w:r w:rsidR="00261FA4">
        <w:rPr>
          <w:rFonts w:ascii="Aptos" w:eastAsia="Times New Roman" w:hAnsi="Aptos" w:cs="Times New Roman"/>
          <w:bCs/>
          <w:color w:val="000000"/>
          <w:sz w:val="25"/>
          <w:szCs w:val="25"/>
        </w:rPr>
        <w:t xml:space="preserve">DYS </w:t>
      </w:r>
      <w:r w:rsidR="00234EC5">
        <w:rPr>
          <w:rFonts w:ascii="Aptos" w:eastAsia="Times New Roman" w:hAnsi="Aptos" w:cs="Times New Roman"/>
          <w:bCs/>
          <w:color w:val="000000"/>
          <w:sz w:val="25"/>
          <w:szCs w:val="25"/>
        </w:rPr>
        <w:t>custody</w:t>
      </w:r>
      <w:r w:rsidR="000E7A2A" w:rsidRPr="000467B1">
        <w:rPr>
          <w:rFonts w:ascii="Aptos" w:eastAsia="Times New Roman" w:hAnsi="Aptos" w:cs="Times New Roman"/>
          <w:bCs/>
          <w:color w:val="000000"/>
          <w:sz w:val="25"/>
          <w:szCs w:val="25"/>
        </w:rPr>
        <w:t xml:space="preserve">, I would </w:t>
      </w:r>
      <w:r w:rsidR="00FA4693">
        <w:rPr>
          <w:rFonts w:ascii="Aptos" w:eastAsia="Times New Roman" w:hAnsi="Aptos" w:cs="Times New Roman"/>
          <w:bCs/>
          <w:color w:val="000000"/>
          <w:sz w:val="25"/>
          <w:szCs w:val="25"/>
        </w:rPr>
        <w:t xml:space="preserve">be unable </w:t>
      </w:r>
      <w:r w:rsidR="000E7A2A" w:rsidRPr="000467B1">
        <w:rPr>
          <w:rFonts w:ascii="Aptos" w:eastAsia="Times New Roman" w:hAnsi="Aptos" w:cs="Times New Roman"/>
          <w:bCs/>
          <w:color w:val="000000"/>
          <w:sz w:val="25"/>
          <w:szCs w:val="25"/>
        </w:rPr>
        <w:t xml:space="preserve">to order comprehensive relief without </w:t>
      </w:r>
      <w:r w:rsidR="00FA4693">
        <w:rPr>
          <w:rFonts w:ascii="Aptos" w:eastAsia="Times New Roman" w:hAnsi="Aptos" w:cs="Times New Roman"/>
          <w:bCs/>
          <w:color w:val="000000"/>
          <w:sz w:val="25"/>
          <w:szCs w:val="25"/>
        </w:rPr>
        <w:t xml:space="preserve">DESE’s </w:t>
      </w:r>
      <w:r w:rsidR="000E7A2A" w:rsidRPr="000467B1">
        <w:rPr>
          <w:rFonts w:ascii="Aptos" w:eastAsia="Times New Roman" w:hAnsi="Aptos" w:cs="Times New Roman"/>
          <w:bCs/>
          <w:color w:val="000000"/>
          <w:sz w:val="25"/>
          <w:szCs w:val="25"/>
        </w:rPr>
        <w:t>part</w:t>
      </w:r>
      <w:r w:rsidR="00FE1765">
        <w:rPr>
          <w:rFonts w:ascii="Aptos" w:eastAsia="Times New Roman" w:hAnsi="Aptos" w:cs="Times New Roman"/>
          <w:bCs/>
          <w:color w:val="000000"/>
          <w:sz w:val="25"/>
          <w:szCs w:val="25"/>
        </w:rPr>
        <w:t>y status</w:t>
      </w:r>
      <w:r w:rsidR="000E7A2A" w:rsidRPr="000467B1">
        <w:rPr>
          <w:rFonts w:ascii="Aptos" w:eastAsia="Times New Roman" w:hAnsi="Aptos" w:cs="Times New Roman"/>
          <w:bCs/>
          <w:color w:val="000000"/>
          <w:sz w:val="25"/>
          <w:szCs w:val="25"/>
        </w:rPr>
        <w:t xml:space="preserve">.  </w:t>
      </w:r>
      <w:r w:rsidR="00FA4693">
        <w:rPr>
          <w:rFonts w:ascii="Aptos" w:eastAsia="Times New Roman" w:hAnsi="Aptos" w:cs="Times New Roman"/>
          <w:bCs/>
          <w:color w:val="000000"/>
          <w:sz w:val="25"/>
          <w:szCs w:val="25"/>
        </w:rPr>
        <w:t xml:space="preserve">It </w:t>
      </w:r>
      <w:r w:rsidR="000E7A2A" w:rsidRPr="000467B1">
        <w:rPr>
          <w:rFonts w:ascii="Aptos" w:eastAsia="Times New Roman" w:hAnsi="Aptos" w:cs="Times New Roman"/>
          <w:bCs/>
          <w:color w:val="000000"/>
          <w:sz w:val="25"/>
          <w:szCs w:val="25"/>
        </w:rPr>
        <w:t xml:space="preserve">is </w:t>
      </w:r>
      <w:r w:rsidR="00FA4693">
        <w:rPr>
          <w:rFonts w:ascii="Aptos" w:eastAsia="Times New Roman" w:hAnsi="Aptos" w:cs="Times New Roman"/>
          <w:bCs/>
          <w:color w:val="000000"/>
          <w:sz w:val="25"/>
          <w:szCs w:val="25"/>
        </w:rPr>
        <w:t xml:space="preserve">also </w:t>
      </w:r>
      <w:r w:rsidR="000E7A2A" w:rsidRPr="000467B1">
        <w:rPr>
          <w:rFonts w:ascii="Aptos" w:eastAsia="Times New Roman" w:hAnsi="Aptos" w:cs="Times New Roman"/>
          <w:bCs/>
          <w:color w:val="000000"/>
          <w:sz w:val="25"/>
          <w:szCs w:val="25"/>
        </w:rPr>
        <w:t>undisputed that the BSEA is not only the appropriate forum but the only forum, to resolve the</w:t>
      </w:r>
      <w:r w:rsidR="00DE7B3B">
        <w:rPr>
          <w:rFonts w:ascii="Aptos" w:eastAsia="Times New Roman" w:hAnsi="Aptos" w:cs="Times New Roman"/>
          <w:bCs/>
          <w:color w:val="000000"/>
          <w:sz w:val="25"/>
          <w:szCs w:val="25"/>
        </w:rPr>
        <w:t xml:space="preserve"> disputed</w:t>
      </w:r>
      <w:r w:rsidR="000E7A2A" w:rsidRPr="000467B1">
        <w:rPr>
          <w:rFonts w:ascii="Aptos" w:eastAsia="Times New Roman" w:hAnsi="Aptos" w:cs="Times New Roman"/>
          <w:bCs/>
          <w:color w:val="000000"/>
          <w:sz w:val="25"/>
          <w:szCs w:val="25"/>
        </w:rPr>
        <w:t xml:space="preserve"> </w:t>
      </w:r>
      <w:r w:rsidR="00DC3A99">
        <w:rPr>
          <w:rFonts w:ascii="Aptos" w:eastAsia="Times New Roman" w:hAnsi="Aptos" w:cs="Times New Roman"/>
          <w:bCs/>
          <w:color w:val="000000"/>
          <w:sz w:val="25"/>
          <w:szCs w:val="25"/>
        </w:rPr>
        <w:t xml:space="preserve">issues </w:t>
      </w:r>
      <w:r w:rsidR="000E7A2A" w:rsidRPr="000467B1">
        <w:rPr>
          <w:rFonts w:ascii="Aptos" w:eastAsia="Times New Roman" w:hAnsi="Aptos" w:cs="Times New Roman"/>
          <w:bCs/>
          <w:color w:val="000000"/>
          <w:sz w:val="25"/>
          <w:szCs w:val="25"/>
        </w:rPr>
        <w:t>in this matter</w:t>
      </w:r>
      <w:r w:rsidR="000E7A2A" w:rsidRPr="000467B1">
        <w:rPr>
          <w:rStyle w:val="FootnoteReference"/>
          <w:rFonts w:ascii="Aptos" w:eastAsia="Times New Roman" w:hAnsi="Aptos" w:cs="Times New Roman"/>
          <w:bCs/>
          <w:color w:val="000000"/>
          <w:sz w:val="25"/>
          <w:szCs w:val="25"/>
        </w:rPr>
        <w:footnoteReference w:id="21"/>
      </w:r>
      <w:r w:rsidR="000E7A2A" w:rsidRPr="000467B1">
        <w:rPr>
          <w:rFonts w:ascii="Aptos" w:eastAsia="Times New Roman" w:hAnsi="Aptos" w:cs="Times New Roman"/>
          <w:bCs/>
          <w:color w:val="000000"/>
          <w:sz w:val="25"/>
          <w:szCs w:val="25"/>
        </w:rPr>
        <w:t xml:space="preserve">.  </w:t>
      </w:r>
    </w:p>
    <w:p w14:paraId="19583675" w14:textId="77777777" w:rsidR="000E7A2A" w:rsidRPr="000467B1" w:rsidRDefault="000E7A2A" w:rsidP="000E7A2A">
      <w:pPr>
        <w:spacing w:after="0" w:line="240" w:lineRule="auto"/>
        <w:rPr>
          <w:rFonts w:ascii="Aptos" w:eastAsia="Times New Roman" w:hAnsi="Aptos" w:cs="Times New Roman"/>
          <w:bCs/>
          <w:color w:val="000000"/>
          <w:sz w:val="25"/>
          <w:szCs w:val="25"/>
        </w:rPr>
      </w:pPr>
    </w:p>
    <w:p w14:paraId="682DF554" w14:textId="338B1AAF" w:rsidR="000E7A2A" w:rsidRPr="000467B1" w:rsidRDefault="000E7A2A" w:rsidP="000E7A2A">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H</w:t>
      </w:r>
      <w:r w:rsidRPr="000467B1">
        <w:rPr>
          <w:rFonts w:ascii="Aptos" w:eastAsia="Times New Roman" w:hAnsi="Aptos" w:cs="Times New Roman"/>
          <w:bCs/>
          <w:color w:val="000000"/>
          <w:sz w:val="25"/>
          <w:szCs w:val="25"/>
        </w:rPr>
        <w:t xml:space="preserve">aving considered the requisite factors for joinder, in tandem with </w:t>
      </w:r>
      <w:r w:rsidR="00F7596C">
        <w:rPr>
          <w:rFonts w:ascii="Aptos" w:eastAsia="Times New Roman" w:hAnsi="Aptos" w:cs="Times New Roman"/>
          <w:bCs/>
          <w:color w:val="000000"/>
          <w:sz w:val="25"/>
          <w:szCs w:val="25"/>
        </w:rPr>
        <w:t xml:space="preserve">DESE’s </w:t>
      </w:r>
      <w:r w:rsidR="00152038" w:rsidRPr="000467B1">
        <w:rPr>
          <w:rFonts w:ascii="Aptos" w:eastAsia="Times New Roman" w:hAnsi="Aptos" w:cs="Times New Roman"/>
          <w:bCs/>
          <w:color w:val="000000"/>
          <w:sz w:val="25"/>
          <w:szCs w:val="25"/>
        </w:rPr>
        <w:t>response,</w:t>
      </w:r>
      <w:r w:rsidR="00D51DF6">
        <w:rPr>
          <w:rFonts w:ascii="Aptos" w:eastAsia="Times New Roman" w:hAnsi="Aptos" w:cs="Times New Roman"/>
          <w:bCs/>
          <w:color w:val="000000"/>
          <w:sz w:val="25"/>
          <w:szCs w:val="25"/>
        </w:rPr>
        <w:t xml:space="preserve"> which does</w:t>
      </w:r>
      <w:r w:rsidRPr="000467B1">
        <w:rPr>
          <w:rFonts w:ascii="Aptos" w:eastAsia="Times New Roman" w:hAnsi="Aptos" w:cs="Times New Roman"/>
          <w:bCs/>
          <w:color w:val="000000"/>
          <w:sz w:val="25"/>
          <w:szCs w:val="25"/>
        </w:rPr>
        <w:t xml:space="preserve"> not oppos</w:t>
      </w:r>
      <w:r w:rsidR="00D51DF6">
        <w:rPr>
          <w:rFonts w:ascii="Aptos" w:eastAsia="Times New Roman" w:hAnsi="Aptos" w:cs="Times New Roman"/>
          <w:bCs/>
          <w:color w:val="000000"/>
          <w:sz w:val="25"/>
          <w:szCs w:val="25"/>
        </w:rPr>
        <w:t>e</w:t>
      </w:r>
      <w:r w:rsidRPr="000467B1">
        <w:rPr>
          <w:rFonts w:ascii="Aptos" w:eastAsia="Times New Roman" w:hAnsi="Aptos" w:cs="Times New Roman"/>
          <w:bCs/>
          <w:color w:val="000000"/>
          <w:sz w:val="25"/>
          <w:szCs w:val="25"/>
        </w:rPr>
        <w:t xml:space="preserve"> the </w:t>
      </w:r>
      <w:r w:rsidRPr="000467B1">
        <w:rPr>
          <w:rFonts w:ascii="Aptos" w:eastAsia="Times New Roman" w:hAnsi="Aptos" w:cs="Times New Roman"/>
          <w:bCs/>
          <w:i/>
          <w:iCs/>
          <w:color w:val="000000"/>
          <w:sz w:val="25"/>
          <w:szCs w:val="25"/>
        </w:rPr>
        <w:t>Motion</w:t>
      </w:r>
      <w:r w:rsidR="00F7596C">
        <w:rPr>
          <w:rFonts w:ascii="Aptos" w:eastAsia="Times New Roman" w:hAnsi="Aptos" w:cs="Times New Roman"/>
          <w:bCs/>
          <w:i/>
          <w:iCs/>
          <w:color w:val="000000"/>
          <w:sz w:val="25"/>
          <w:szCs w:val="25"/>
        </w:rPr>
        <w:t xml:space="preserve"> </w:t>
      </w:r>
      <w:proofErr w:type="gramStart"/>
      <w:r w:rsidR="00D87D89">
        <w:rPr>
          <w:rFonts w:ascii="Aptos" w:eastAsia="Times New Roman" w:hAnsi="Aptos" w:cs="Times New Roman"/>
          <w:bCs/>
          <w:color w:val="000000"/>
          <w:sz w:val="25"/>
          <w:szCs w:val="25"/>
        </w:rPr>
        <w:t>with regard to</w:t>
      </w:r>
      <w:proofErr w:type="gramEnd"/>
      <w:r w:rsidR="00D87D89">
        <w:rPr>
          <w:rFonts w:ascii="Aptos" w:eastAsia="Times New Roman" w:hAnsi="Aptos" w:cs="Times New Roman"/>
          <w:bCs/>
          <w:color w:val="000000"/>
          <w:sz w:val="25"/>
          <w:szCs w:val="25"/>
        </w:rPr>
        <w:t xml:space="preserve"> its obligations under </w:t>
      </w:r>
      <w:r w:rsidR="00F7596C">
        <w:rPr>
          <w:rFonts w:ascii="Aptos" w:eastAsia="Times New Roman" w:hAnsi="Aptos" w:cs="Times New Roman"/>
          <w:bCs/>
          <w:color w:val="000000"/>
          <w:sz w:val="25"/>
          <w:szCs w:val="25"/>
        </w:rPr>
        <w:t>M.G.L. c. 71B §12 and 603 CMR 28.06(9) only</w:t>
      </w:r>
      <w:r w:rsidRPr="000467B1">
        <w:rPr>
          <w:rFonts w:ascii="Aptos" w:eastAsia="Times New Roman" w:hAnsi="Aptos" w:cs="Times New Roman"/>
          <w:bCs/>
          <w:color w:val="000000"/>
          <w:sz w:val="25"/>
          <w:szCs w:val="25"/>
        </w:rPr>
        <w:t xml:space="preserve">, </w:t>
      </w:r>
      <w:r w:rsidR="007F4547">
        <w:rPr>
          <w:rFonts w:ascii="Aptos" w:eastAsia="Times New Roman" w:hAnsi="Aptos" w:cs="Times New Roman"/>
          <w:bCs/>
          <w:color w:val="000000"/>
          <w:sz w:val="25"/>
          <w:szCs w:val="25"/>
        </w:rPr>
        <w:t xml:space="preserve">and the specific allegations of the </w:t>
      </w:r>
      <w:r w:rsidR="007F4547">
        <w:rPr>
          <w:rFonts w:ascii="Aptos" w:eastAsia="Times New Roman" w:hAnsi="Aptos" w:cs="Times New Roman"/>
          <w:bCs/>
          <w:i/>
          <w:iCs/>
          <w:color w:val="000000"/>
          <w:sz w:val="25"/>
          <w:szCs w:val="25"/>
        </w:rPr>
        <w:t>Hearing Request</w:t>
      </w:r>
      <w:r w:rsidR="007F4547">
        <w:rPr>
          <w:rFonts w:ascii="Aptos" w:eastAsia="Times New Roman" w:hAnsi="Aptos" w:cs="Times New Roman"/>
          <w:bCs/>
          <w:color w:val="000000"/>
          <w:sz w:val="25"/>
          <w:szCs w:val="25"/>
        </w:rPr>
        <w:t>,</w:t>
      </w:r>
      <w:r w:rsidR="007F4547">
        <w:rPr>
          <w:rFonts w:ascii="Aptos" w:eastAsia="Times New Roman" w:hAnsi="Aptos" w:cs="Times New Roman"/>
          <w:bCs/>
          <w:i/>
          <w:iCs/>
          <w:color w:val="000000"/>
          <w:sz w:val="25"/>
          <w:szCs w:val="25"/>
        </w:rPr>
        <w:t xml:space="preserve"> </w:t>
      </w:r>
      <w:r w:rsidR="00F7596C">
        <w:rPr>
          <w:rFonts w:ascii="Aptos" w:eastAsia="Times New Roman" w:hAnsi="Aptos" w:cs="Times New Roman"/>
          <w:bCs/>
          <w:color w:val="000000"/>
          <w:sz w:val="25"/>
          <w:szCs w:val="25"/>
        </w:rPr>
        <w:t xml:space="preserve">the </w:t>
      </w:r>
      <w:r w:rsidRPr="000467B1">
        <w:rPr>
          <w:rFonts w:ascii="Aptos" w:eastAsia="Times New Roman" w:hAnsi="Aptos" w:cs="Times New Roman"/>
          <w:bCs/>
          <w:i/>
          <w:iCs/>
          <w:color w:val="000000"/>
          <w:sz w:val="25"/>
          <w:szCs w:val="25"/>
        </w:rPr>
        <w:t>Motion</w:t>
      </w:r>
      <w:r w:rsidRPr="000467B1">
        <w:rPr>
          <w:rFonts w:ascii="Aptos" w:eastAsia="Times New Roman" w:hAnsi="Aptos" w:cs="Times New Roman"/>
          <w:bCs/>
          <w:color w:val="000000"/>
          <w:sz w:val="25"/>
          <w:szCs w:val="25"/>
        </w:rPr>
        <w:t xml:space="preserve"> is </w:t>
      </w:r>
      <w:r w:rsidRPr="000467B1">
        <w:rPr>
          <w:rFonts w:ascii="Aptos" w:eastAsia="Times New Roman" w:hAnsi="Aptos" w:cs="Times New Roman"/>
          <w:b/>
          <w:color w:val="000000"/>
          <w:sz w:val="25"/>
          <w:szCs w:val="25"/>
        </w:rPr>
        <w:t>ALLOWED</w:t>
      </w:r>
      <w:r w:rsidR="00F7596C">
        <w:rPr>
          <w:rFonts w:ascii="Aptos" w:eastAsia="Times New Roman" w:hAnsi="Aptos" w:cs="Times New Roman"/>
          <w:b/>
          <w:color w:val="000000"/>
          <w:sz w:val="25"/>
          <w:szCs w:val="25"/>
        </w:rPr>
        <w:t xml:space="preserve"> in </w:t>
      </w:r>
      <w:r w:rsidR="00F7596C" w:rsidRPr="00D87D89">
        <w:rPr>
          <w:rFonts w:ascii="Aptos" w:eastAsia="Times New Roman" w:hAnsi="Aptos" w:cs="Times New Roman"/>
          <w:b/>
          <w:color w:val="000000"/>
          <w:sz w:val="25"/>
          <w:szCs w:val="25"/>
        </w:rPr>
        <w:t>part</w:t>
      </w:r>
      <w:r w:rsidR="00D87D89">
        <w:rPr>
          <w:rFonts w:ascii="Aptos" w:eastAsia="Times New Roman" w:hAnsi="Aptos" w:cs="Times New Roman"/>
          <w:bCs/>
          <w:color w:val="000000"/>
          <w:sz w:val="25"/>
          <w:szCs w:val="25"/>
        </w:rPr>
        <w:t xml:space="preserve">.  </w:t>
      </w:r>
      <w:r w:rsidR="00F7596C" w:rsidRPr="00D87D89">
        <w:rPr>
          <w:rFonts w:ascii="Aptos" w:eastAsia="Times New Roman" w:hAnsi="Aptos" w:cs="Times New Roman"/>
          <w:bCs/>
          <w:color w:val="000000"/>
          <w:sz w:val="25"/>
          <w:szCs w:val="25"/>
        </w:rPr>
        <w:t>DESE</w:t>
      </w:r>
      <w:r w:rsidR="00F7596C">
        <w:rPr>
          <w:rFonts w:ascii="Aptos" w:eastAsia="Times New Roman" w:hAnsi="Aptos" w:cs="Times New Roman"/>
          <w:bCs/>
          <w:color w:val="000000"/>
          <w:sz w:val="25"/>
          <w:szCs w:val="25"/>
        </w:rPr>
        <w:t xml:space="preserve"> </w:t>
      </w:r>
      <w:r w:rsidRPr="000467B1">
        <w:rPr>
          <w:rFonts w:ascii="Aptos" w:eastAsia="Times New Roman" w:hAnsi="Aptos" w:cs="Times New Roman"/>
          <w:bCs/>
          <w:color w:val="000000"/>
          <w:sz w:val="25"/>
          <w:szCs w:val="25"/>
        </w:rPr>
        <w:t xml:space="preserve">is </w:t>
      </w:r>
      <w:r w:rsidR="008163C1">
        <w:rPr>
          <w:rFonts w:ascii="Aptos" w:eastAsia="Times New Roman" w:hAnsi="Aptos" w:cs="Times New Roman"/>
          <w:bCs/>
          <w:color w:val="000000"/>
          <w:sz w:val="25"/>
          <w:szCs w:val="25"/>
        </w:rPr>
        <w:t xml:space="preserve">hereby </w:t>
      </w:r>
      <w:r w:rsidRPr="000467B1">
        <w:rPr>
          <w:rFonts w:ascii="Aptos" w:eastAsia="Times New Roman" w:hAnsi="Aptos" w:cs="Times New Roman"/>
          <w:bCs/>
          <w:color w:val="000000"/>
          <w:sz w:val="25"/>
          <w:szCs w:val="25"/>
        </w:rPr>
        <w:t xml:space="preserve">joined as a </w:t>
      </w:r>
      <w:r w:rsidR="00187EBD">
        <w:rPr>
          <w:rFonts w:ascii="Aptos" w:eastAsia="Times New Roman" w:hAnsi="Aptos" w:cs="Times New Roman"/>
          <w:bCs/>
          <w:color w:val="000000"/>
          <w:sz w:val="25"/>
          <w:szCs w:val="25"/>
        </w:rPr>
        <w:t>P</w:t>
      </w:r>
      <w:r w:rsidRPr="000467B1">
        <w:rPr>
          <w:rFonts w:ascii="Aptos" w:eastAsia="Times New Roman" w:hAnsi="Aptos" w:cs="Times New Roman"/>
          <w:bCs/>
          <w:color w:val="000000"/>
          <w:sz w:val="25"/>
          <w:szCs w:val="25"/>
        </w:rPr>
        <w:t xml:space="preserve">arty </w:t>
      </w:r>
      <w:r w:rsidR="00D01F3F">
        <w:rPr>
          <w:rFonts w:ascii="Aptos" w:eastAsia="Times New Roman" w:hAnsi="Aptos" w:cs="Times New Roman"/>
          <w:bCs/>
          <w:color w:val="000000"/>
          <w:sz w:val="25"/>
          <w:szCs w:val="25"/>
        </w:rPr>
        <w:t xml:space="preserve">pursuant to </w:t>
      </w:r>
      <w:r w:rsidR="00D01F3F">
        <w:rPr>
          <w:rFonts w:ascii="Aptos" w:hAnsi="Aptos" w:cs="Times New Roman"/>
          <w:sz w:val="25"/>
          <w:szCs w:val="25"/>
        </w:rPr>
        <w:t>M.G.L. c. 71B §12 and 603 CMR 28.06(9),</w:t>
      </w:r>
      <w:r w:rsidR="00F7596C">
        <w:rPr>
          <w:rFonts w:ascii="Aptos" w:eastAsia="Times New Roman" w:hAnsi="Aptos" w:cs="Times New Roman"/>
          <w:bCs/>
          <w:color w:val="000000"/>
          <w:sz w:val="25"/>
          <w:szCs w:val="25"/>
        </w:rPr>
        <w:t xml:space="preserve"> only</w:t>
      </w:r>
      <w:r w:rsidR="00187EBD">
        <w:rPr>
          <w:rFonts w:ascii="Aptos" w:eastAsia="Times New Roman" w:hAnsi="Aptos" w:cs="Times New Roman"/>
          <w:bCs/>
          <w:color w:val="000000"/>
          <w:sz w:val="25"/>
          <w:szCs w:val="25"/>
        </w:rPr>
        <w:t>,</w:t>
      </w:r>
      <w:r w:rsidR="00F7596C">
        <w:rPr>
          <w:rFonts w:ascii="Aptos" w:eastAsia="Times New Roman" w:hAnsi="Aptos" w:cs="Times New Roman"/>
          <w:bCs/>
          <w:color w:val="000000"/>
          <w:sz w:val="25"/>
          <w:szCs w:val="25"/>
        </w:rPr>
        <w:t xml:space="preserve"> </w:t>
      </w:r>
      <w:proofErr w:type="gramStart"/>
      <w:r w:rsidR="00F7596C">
        <w:rPr>
          <w:rFonts w:ascii="Aptos" w:eastAsia="Times New Roman" w:hAnsi="Aptos" w:cs="Times New Roman"/>
          <w:bCs/>
          <w:color w:val="000000"/>
          <w:sz w:val="25"/>
          <w:szCs w:val="25"/>
        </w:rPr>
        <w:t xml:space="preserve">with regard </w:t>
      </w:r>
      <w:r w:rsidR="00F7596C">
        <w:rPr>
          <w:rFonts w:ascii="Aptos" w:hAnsi="Aptos" w:cs="Times New Roman"/>
          <w:sz w:val="25"/>
          <w:szCs w:val="25"/>
        </w:rPr>
        <w:t>to</w:t>
      </w:r>
      <w:proofErr w:type="gramEnd"/>
      <w:r w:rsidR="00F7596C">
        <w:rPr>
          <w:rFonts w:ascii="Aptos" w:hAnsi="Aptos" w:cs="Times New Roman"/>
          <w:sz w:val="25"/>
          <w:szCs w:val="25"/>
        </w:rPr>
        <w:t xml:space="preserve"> Student’s </w:t>
      </w:r>
      <w:r w:rsidR="003A3A08">
        <w:rPr>
          <w:rFonts w:ascii="Aptos" w:hAnsi="Aptos" w:cs="Times New Roman"/>
          <w:sz w:val="25"/>
          <w:szCs w:val="25"/>
        </w:rPr>
        <w:t>SEIS</w:t>
      </w:r>
      <w:r w:rsidR="004516F7">
        <w:rPr>
          <w:rFonts w:ascii="Aptos" w:hAnsi="Aptos" w:cs="Times New Roman"/>
          <w:sz w:val="25"/>
          <w:szCs w:val="25"/>
        </w:rPr>
        <w:t>-</w:t>
      </w:r>
      <w:r w:rsidR="00F7596C">
        <w:rPr>
          <w:rFonts w:ascii="Aptos" w:hAnsi="Aptos" w:cs="Times New Roman"/>
          <w:sz w:val="25"/>
          <w:szCs w:val="25"/>
        </w:rPr>
        <w:t>based</w:t>
      </w:r>
      <w:r w:rsidR="003A3A08">
        <w:rPr>
          <w:rFonts w:ascii="Aptos" w:hAnsi="Aptos" w:cs="Times New Roman"/>
          <w:sz w:val="25"/>
          <w:szCs w:val="25"/>
        </w:rPr>
        <w:t xml:space="preserve"> FAPE</w:t>
      </w:r>
      <w:r w:rsidR="00F7596C">
        <w:rPr>
          <w:rFonts w:ascii="Aptos" w:hAnsi="Aptos" w:cs="Times New Roman"/>
          <w:sz w:val="25"/>
          <w:szCs w:val="25"/>
        </w:rPr>
        <w:t xml:space="preserve"> claims for those periods of time he has been and will prospectively be in </w:t>
      </w:r>
      <w:proofErr w:type="gramStart"/>
      <w:r w:rsidR="00F7596C">
        <w:rPr>
          <w:rFonts w:ascii="Aptos" w:hAnsi="Aptos" w:cs="Times New Roman"/>
          <w:sz w:val="25"/>
          <w:szCs w:val="25"/>
        </w:rPr>
        <w:t>the custody</w:t>
      </w:r>
      <w:proofErr w:type="gramEnd"/>
      <w:r w:rsidR="00F7596C">
        <w:rPr>
          <w:rFonts w:ascii="Aptos" w:hAnsi="Aptos" w:cs="Times New Roman"/>
          <w:sz w:val="25"/>
          <w:szCs w:val="25"/>
        </w:rPr>
        <w:t xml:space="preserve"> of DYS</w:t>
      </w:r>
      <w:r w:rsidRPr="000467B1">
        <w:rPr>
          <w:rFonts w:ascii="Aptos" w:eastAsia="Times New Roman" w:hAnsi="Aptos" w:cs="Times New Roman"/>
          <w:bCs/>
          <w:color w:val="000000"/>
          <w:sz w:val="25"/>
          <w:szCs w:val="25"/>
        </w:rPr>
        <w:t xml:space="preserve">.   </w:t>
      </w:r>
    </w:p>
    <w:p w14:paraId="462974A7" w14:textId="77777777" w:rsidR="000E7A2A" w:rsidRPr="000467B1" w:rsidRDefault="000E7A2A" w:rsidP="000E7A2A">
      <w:pPr>
        <w:spacing w:after="0" w:line="240" w:lineRule="auto"/>
        <w:rPr>
          <w:rFonts w:ascii="Aptos" w:eastAsia="Times New Roman" w:hAnsi="Aptos" w:cs="Times New Roman"/>
          <w:bCs/>
          <w:color w:val="000000"/>
          <w:sz w:val="25"/>
          <w:szCs w:val="25"/>
        </w:rPr>
      </w:pPr>
    </w:p>
    <w:p w14:paraId="3F6CFC0A" w14:textId="3F602795" w:rsidR="000E7A2A" w:rsidRPr="000467B1" w:rsidRDefault="000E7A2A" w:rsidP="000E7A2A">
      <w:pPr>
        <w:spacing w:after="0" w:line="240" w:lineRule="auto"/>
        <w:rPr>
          <w:rFonts w:ascii="Aptos" w:hAnsi="Aptos" w:cs="Times New Roman"/>
          <w:b/>
          <w:bCs/>
          <w:sz w:val="25"/>
          <w:szCs w:val="25"/>
        </w:rPr>
      </w:pPr>
      <w:r w:rsidRPr="000467B1">
        <w:rPr>
          <w:rFonts w:ascii="Aptos" w:eastAsia="Times New Roman" w:hAnsi="Aptos" w:cs="Times New Roman"/>
          <w:bCs/>
          <w:color w:val="000000"/>
          <w:sz w:val="25"/>
          <w:szCs w:val="25"/>
        </w:rPr>
        <w:t>Accordingly, the above-referenced matter will proceed with the Parent, District, and</w:t>
      </w:r>
      <w:r w:rsidR="00A75902">
        <w:rPr>
          <w:rFonts w:ascii="Aptos" w:eastAsia="Times New Roman" w:hAnsi="Aptos" w:cs="Times New Roman"/>
          <w:bCs/>
          <w:color w:val="000000"/>
          <w:sz w:val="25"/>
          <w:szCs w:val="25"/>
        </w:rPr>
        <w:t xml:space="preserve">, as to the specified claims, </w:t>
      </w:r>
      <w:r w:rsidR="00BF77B8">
        <w:rPr>
          <w:rFonts w:ascii="Aptos" w:eastAsia="Times New Roman" w:hAnsi="Aptos" w:cs="Times New Roman"/>
          <w:bCs/>
          <w:color w:val="000000"/>
          <w:sz w:val="25"/>
          <w:szCs w:val="25"/>
        </w:rPr>
        <w:t>DESE</w:t>
      </w:r>
      <w:r w:rsidR="00A75902">
        <w:rPr>
          <w:rFonts w:ascii="Aptos" w:eastAsia="Times New Roman" w:hAnsi="Aptos" w:cs="Times New Roman"/>
          <w:bCs/>
          <w:color w:val="000000"/>
          <w:sz w:val="25"/>
          <w:szCs w:val="25"/>
        </w:rPr>
        <w:t>,</w:t>
      </w:r>
      <w:r w:rsidR="00BF77B8">
        <w:rPr>
          <w:rFonts w:ascii="Aptos" w:eastAsia="Times New Roman" w:hAnsi="Aptos" w:cs="Times New Roman"/>
          <w:bCs/>
          <w:color w:val="000000"/>
          <w:sz w:val="25"/>
          <w:szCs w:val="25"/>
        </w:rPr>
        <w:t xml:space="preserve"> </w:t>
      </w:r>
      <w:r w:rsidRPr="000467B1">
        <w:rPr>
          <w:rFonts w:ascii="Aptos" w:eastAsia="Times New Roman" w:hAnsi="Aptos" w:cs="Times New Roman"/>
          <w:bCs/>
          <w:color w:val="000000"/>
          <w:sz w:val="25"/>
          <w:szCs w:val="25"/>
        </w:rPr>
        <w:t xml:space="preserve">in accordance with my </w:t>
      </w:r>
      <w:r w:rsidR="0051666B">
        <w:rPr>
          <w:rFonts w:ascii="Aptos" w:eastAsia="Times New Roman" w:hAnsi="Aptos" w:cs="Times New Roman"/>
          <w:bCs/>
          <w:color w:val="000000"/>
          <w:sz w:val="25"/>
          <w:szCs w:val="25"/>
        </w:rPr>
        <w:t xml:space="preserve">June 23, 2025 </w:t>
      </w:r>
      <w:r w:rsidR="0051666B">
        <w:rPr>
          <w:rFonts w:ascii="Aptos" w:eastAsia="Times New Roman" w:hAnsi="Aptos" w:cs="Times New Roman"/>
          <w:bCs/>
          <w:i/>
          <w:iCs/>
          <w:color w:val="000000"/>
          <w:sz w:val="25"/>
          <w:szCs w:val="25"/>
        </w:rPr>
        <w:t>Order</w:t>
      </w:r>
      <w:r w:rsidRPr="000467B1">
        <w:rPr>
          <w:rFonts w:ascii="Aptos" w:eastAsia="Times New Roman" w:hAnsi="Aptos" w:cs="Times New Roman"/>
          <w:bCs/>
          <w:i/>
          <w:iCs/>
          <w:color w:val="000000"/>
          <w:sz w:val="25"/>
          <w:szCs w:val="25"/>
        </w:rPr>
        <w:t xml:space="preserve">.  </w:t>
      </w:r>
    </w:p>
    <w:p w14:paraId="530DEF83" w14:textId="77777777" w:rsidR="000E7A2A" w:rsidRPr="000467B1" w:rsidRDefault="000E7A2A" w:rsidP="000E7A2A">
      <w:pPr>
        <w:spacing w:after="0" w:line="240" w:lineRule="auto"/>
        <w:rPr>
          <w:rFonts w:ascii="Aptos" w:hAnsi="Aptos" w:cs="Times New Roman"/>
          <w:sz w:val="25"/>
          <w:szCs w:val="25"/>
        </w:rPr>
      </w:pPr>
    </w:p>
    <w:p w14:paraId="58AA534C" w14:textId="25EF1C21" w:rsidR="000E7A2A" w:rsidRDefault="000E7A2A" w:rsidP="000E7A2A">
      <w:pPr>
        <w:shd w:val="clear" w:color="auto" w:fill="FFFFFF"/>
        <w:spacing w:after="0"/>
        <w:rPr>
          <w:rFonts w:ascii="Aptos" w:eastAsia="Times New Roman" w:hAnsi="Aptos" w:cs="Times New Roman"/>
          <w:sz w:val="25"/>
          <w:szCs w:val="25"/>
        </w:rPr>
      </w:pPr>
      <w:r w:rsidRPr="000467B1">
        <w:rPr>
          <w:rFonts w:ascii="Aptos" w:eastAsia="Times New Roman" w:hAnsi="Aptos" w:cs="Times New Roman"/>
          <w:sz w:val="25"/>
          <w:szCs w:val="25"/>
        </w:rPr>
        <w:t xml:space="preserve">By the Hearing Officer, </w:t>
      </w:r>
    </w:p>
    <w:p w14:paraId="4EBFAFF7" w14:textId="77777777" w:rsidR="008163C1" w:rsidRPr="000467B1" w:rsidRDefault="008163C1" w:rsidP="000E7A2A">
      <w:pPr>
        <w:shd w:val="clear" w:color="auto" w:fill="FFFFFF"/>
        <w:spacing w:after="0"/>
        <w:rPr>
          <w:rFonts w:ascii="Aptos" w:eastAsia="Times New Roman" w:hAnsi="Aptos" w:cs="Times New Roman"/>
          <w:sz w:val="25"/>
          <w:szCs w:val="25"/>
        </w:rPr>
      </w:pPr>
    </w:p>
    <w:p w14:paraId="194A7B3B" w14:textId="77777777" w:rsidR="000E7A2A" w:rsidRPr="00B14BD6" w:rsidRDefault="000E7A2A" w:rsidP="000E7A2A">
      <w:pPr>
        <w:spacing w:after="0" w:line="240" w:lineRule="auto"/>
        <w:rPr>
          <w:rFonts w:ascii="Lucida Handwriting" w:eastAsia="Times New Roman" w:hAnsi="Lucida Handwriting" w:cs="Times New Roman"/>
          <w:kern w:val="0"/>
          <w:u w:val="single"/>
        </w:rPr>
      </w:pPr>
      <w:r w:rsidRPr="00406932">
        <w:rPr>
          <w:rFonts w:ascii="Lucida Handwriting" w:eastAsia="Times New Roman" w:hAnsi="Lucida Handwriting" w:cs="Times New Roman"/>
          <w:kern w:val="0"/>
          <w:u w:val="single"/>
        </w:rPr>
        <w:t>/s/  Marguerite M. Mitchell</w:t>
      </w:r>
      <w:r w:rsidRPr="000467B1">
        <w:rPr>
          <w:rFonts w:ascii="Aptos" w:eastAsia="Times New Roman" w:hAnsi="Aptos" w:cs="Times New Roman"/>
          <w:sz w:val="25"/>
          <w:szCs w:val="25"/>
          <w:u w:val="single"/>
        </w:rPr>
        <w:br/>
      </w:r>
      <w:r w:rsidRPr="000467B1">
        <w:rPr>
          <w:rFonts w:ascii="Aptos" w:eastAsia="Times New Roman" w:hAnsi="Aptos" w:cs="Times New Roman"/>
          <w:sz w:val="25"/>
          <w:szCs w:val="25"/>
        </w:rPr>
        <w:t>Marguerite M. Mitchell</w:t>
      </w:r>
    </w:p>
    <w:p w14:paraId="77B5B674" w14:textId="3499D485" w:rsidR="002233FB" w:rsidRDefault="000E7A2A" w:rsidP="00A1331A">
      <w:pPr>
        <w:spacing w:line="240" w:lineRule="auto"/>
      </w:pPr>
      <w:r w:rsidRPr="000467B1">
        <w:rPr>
          <w:rFonts w:ascii="Aptos" w:eastAsia="Times New Roman" w:hAnsi="Aptos" w:cs="Times New Roman"/>
          <w:sz w:val="25"/>
          <w:szCs w:val="25"/>
        </w:rPr>
        <w:t xml:space="preserve">Date: </w:t>
      </w:r>
      <w:r>
        <w:rPr>
          <w:rFonts w:ascii="Aptos" w:eastAsia="Times New Roman" w:hAnsi="Aptos" w:cs="Times New Roman"/>
          <w:sz w:val="25"/>
          <w:szCs w:val="25"/>
        </w:rPr>
        <w:t>July 1</w:t>
      </w:r>
      <w:r w:rsidR="0051666B">
        <w:rPr>
          <w:rFonts w:ascii="Aptos" w:eastAsia="Times New Roman" w:hAnsi="Aptos" w:cs="Times New Roman"/>
          <w:sz w:val="25"/>
          <w:szCs w:val="25"/>
        </w:rPr>
        <w:t>8</w:t>
      </w:r>
      <w:r>
        <w:rPr>
          <w:rFonts w:ascii="Aptos" w:eastAsia="Times New Roman" w:hAnsi="Aptos" w:cs="Times New Roman"/>
          <w:sz w:val="25"/>
          <w:szCs w:val="25"/>
        </w:rPr>
        <w:t>, 2025</w:t>
      </w:r>
    </w:p>
    <w:sectPr w:rsidR="002233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4CACA" w14:textId="77777777" w:rsidR="004C2449" w:rsidRDefault="004C2449" w:rsidP="000E7A2A">
      <w:pPr>
        <w:spacing w:after="0" w:line="240" w:lineRule="auto"/>
      </w:pPr>
      <w:r>
        <w:separator/>
      </w:r>
    </w:p>
  </w:endnote>
  <w:endnote w:type="continuationSeparator" w:id="0">
    <w:p w14:paraId="53650895" w14:textId="77777777" w:rsidR="004C2449" w:rsidRDefault="004C2449" w:rsidP="000E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ucida Handwriting">
    <w:altName w:val="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415853"/>
      <w:docPartObj>
        <w:docPartGallery w:val="Page Numbers (Bottom of Page)"/>
        <w:docPartUnique/>
      </w:docPartObj>
    </w:sdtPr>
    <w:sdtEndPr>
      <w:rPr>
        <w:noProof/>
      </w:rPr>
    </w:sdtEndPr>
    <w:sdtContent>
      <w:p w14:paraId="76ECB326" w14:textId="563009D9" w:rsidR="002055CF" w:rsidRDefault="002055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609C51" w14:textId="77777777" w:rsidR="002055CF" w:rsidRDefault="00205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4DCDC" w14:textId="77777777" w:rsidR="004C2449" w:rsidRDefault="004C2449" w:rsidP="000E7A2A">
      <w:pPr>
        <w:spacing w:after="0" w:line="240" w:lineRule="auto"/>
      </w:pPr>
      <w:r>
        <w:separator/>
      </w:r>
    </w:p>
  </w:footnote>
  <w:footnote w:type="continuationSeparator" w:id="0">
    <w:p w14:paraId="583AF09C" w14:textId="77777777" w:rsidR="004C2449" w:rsidRDefault="004C2449" w:rsidP="000E7A2A">
      <w:pPr>
        <w:spacing w:after="0" w:line="240" w:lineRule="auto"/>
      </w:pPr>
      <w:r>
        <w:continuationSeparator/>
      </w:r>
    </w:p>
  </w:footnote>
  <w:footnote w:id="1">
    <w:p w14:paraId="3CF186E8" w14:textId="7518AB50" w:rsidR="00070508" w:rsidRPr="00D75421" w:rsidRDefault="00070508" w:rsidP="00070508">
      <w:pPr>
        <w:pStyle w:val="FootnoteText"/>
      </w:pPr>
      <w:r>
        <w:rPr>
          <w:rStyle w:val="FootnoteReference"/>
        </w:rPr>
        <w:footnoteRef/>
      </w:r>
      <w:r>
        <w:t xml:space="preserve">   </w:t>
      </w:r>
      <w:r w:rsidR="003176B1">
        <w:t xml:space="preserve">While the </w:t>
      </w:r>
      <w:r>
        <w:rPr>
          <w:i/>
          <w:iCs/>
        </w:rPr>
        <w:t xml:space="preserve">Motion </w:t>
      </w:r>
      <w:r>
        <w:t xml:space="preserve">is entitled and presented as being filed by “Student” </w:t>
      </w:r>
      <w:r w:rsidR="003176B1">
        <w:t>Parent filed the</w:t>
      </w:r>
      <w:r>
        <w:t xml:space="preserve"> </w:t>
      </w:r>
      <w:r>
        <w:rPr>
          <w:i/>
          <w:iCs/>
        </w:rPr>
        <w:t>Hearing Request</w:t>
      </w:r>
      <w:r>
        <w:t xml:space="preserve">.  </w:t>
      </w:r>
    </w:p>
  </w:footnote>
  <w:footnote w:id="2">
    <w:p w14:paraId="56168D12" w14:textId="215DF4AE" w:rsidR="00A7261B" w:rsidRPr="00A7261B" w:rsidRDefault="00A7261B">
      <w:pPr>
        <w:pStyle w:val="FootnoteText"/>
      </w:pPr>
      <w:r>
        <w:rPr>
          <w:rStyle w:val="FootnoteReference"/>
        </w:rPr>
        <w:footnoteRef/>
      </w:r>
      <w:r>
        <w:t xml:space="preserve">   As neither testimony nor oral argument would advance the Hearing Officer’s understanding of the issues involved, this Ruling is issued without a hearing pursuant to </w:t>
      </w:r>
      <w:r>
        <w:rPr>
          <w:i/>
          <w:iCs/>
        </w:rPr>
        <w:t>Hearing Rule VII(D)</w:t>
      </w:r>
      <w:r>
        <w:t>.</w:t>
      </w:r>
    </w:p>
  </w:footnote>
  <w:footnote w:id="3">
    <w:p w14:paraId="0D2CBED0" w14:textId="29FF15DA" w:rsidR="009D42D1" w:rsidRPr="00F0074D" w:rsidRDefault="009D42D1">
      <w:pPr>
        <w:pStyle w:val="FootnoteText"/>
      </w:pPr>
      <w:r>
        <w:rPr>
          <w:rStyle w:val="FootnoteReference"/>
        </w:rPr>
        <w:footnoteRef/>
      </w:r>
      <w:r>
        <w:t xml:space="preserve"> </w:t>
      </w:r>
      <w:r w:rsidR="00F0074D">
        <w:t xml:space="preserve">  Specifically, the</w:t>
      </w:r>
      <w:r w:rsidR="006F3A8F">
        <w:t xml:space="preserve"> “Issues” set forth in the</w:t>
      </w:r>
      <w:r w:rsidR="00F0074D">
        <w:t xml:space="preserve"> </w:t>
      </w:r>
      <w:r w:rsidR="00F0074D">
        <w:rPr>
          <w:i/>
          <w:iCs/>
        </w:rPr>
        <w:t>Hearing Request</w:t>
      </w:r>
      <w:r w:rsidR="00F0074D">
        <w:t xml:space="preserve"> are</w:t>
      </w:r>
      <w:r w:rsidR="006F3A8F">
        <w:t xml:space="preserve">: “1. </w:t>
      </w:r>
      <w:r w:rsidR="00F0074D">
        <w:t>Whether Boston’s proposed IEP and placement at [a District school] are reasonably calculated to provide [Student] with FAPE</w:t>
      </w:r>
      <w:r w:rsidR="006F3A8F">
        <w:t xml:space="preserve">; [and] </w:t>
      </w:r>
      <w:r w:rsidR="007B463B">
        <w:t>2. Whether [Student] is owed compensatory services from Boston for the period he was unable to access FAPE between October 2023 and the present”.</w:t>
      </w:r>
    </w:p>
  </w:footnote>
  <w:footnote w:id="4">
    <w:p w14:paraId="21DC821C" w14:textId="5FBE181C" w:rsidR="00942554" w:rsidRDefault="00942554" w:rsidP="00942554">
      <w:pPr>
        <w:pStyle w:val="FootnoteText"/>
      </w:pPr>
      <w:r>
        <w:rPr>
          <w:rStyle w:val="FootnoteReference"/>
        </w:rPr>
        <w:footnoteRef/>
      </w:r>
      <w:r>
        <w:t xml:space="preserve">   Although DESE </w:t>
      </w:r>
      <w:r w:rsidR="008F7BE3">
        <w:t xml:space="preserve">characterizes this argument as a </w:t>
      </w:r>
      <w:r>
        <w:t>request</w:t>
      </w:r>
      <w:r w:rsidR="008F7BE3">
        <w:t xml:space="preserve"> for</w:t>
      </w:r>
      <w:r>
        <w:t xml:space="preserve"> dismissal of such claims, </w:t>
      </w:r>
      <w:r w:rsidR="008F7BE3">
        <w:t xml:space="preserve">since </w:t>
      </w:r>
      <w:r>
        <w:t xml:space="preserve">it has yet to be joined as a party, procedurally, no claims exist against it </w:t>
      </w:r>
      <w:r w:rsidR="000062A4">
        <w:t xml:space="preserve">at this time </w:t>
      </w:r>
      <w:r>
        <w:t>to dismiss.  Thus, I consider DESE’s argument in the context of a request to limit the</w:t>
      </w:r>
      <w:r w:rsidR="0096172E">
        <w:t xml:space="preserve"> legal authority under which it is joined in this matter</w:t>
      </w:r>
      <w:r>
        <w:t xml:space="preserve">.  </w:t>
      </w:r>
    </w:p>
  </w:footnote>
  <w:footnote w:id="5">
    <w:p w14:paraId="0C83477E" w14:textId="72FF8279" w:rsidR="000E7A2A" w:rsidRPr="008D6F99" w:rsidRDefault="000E7A2A" w:rsidP="0096172E">
      <w:pPr>
        <w:spacing w:after="0" w:line="240" w:lineRule="auto"/>
        <w:rPr>
          <w:rFonts w:ascii="Aptos" w:hAnsi="Aptos" w:cs="Times New Roman"/>
          <w:sz w:val="20"/>
          <w:szCs w:val="20"/>
        </w:rPr>
      </w:pPr>
      <w:r w:rsidRPr="000467B1">
        <w:rPr>
          <w:rStyle w:val="FootnoteReference"/>
          <w:rFonts w:ascii="Aptos" w:hAnsi="Aptos"/>
          <w:sz w:val="20"/>
          <w:szCs w:val="20"/>
        </w:rPr>
        <w:footnoteRef/>
      </w:r>
      <w:r w:rsidRPr="000467B1">
        <w:rPr>
          <w:rFonts w:ascii="Aptos" w:hAnsi="Aptos"/>
          <w:sz w:val="20"/>
          <w:szCs w:val="20"/>
        </w:rPr>
        <w:t xml:space="preserve">   </w:t>
      </w:r>
      <w:r w:rsidRPr="000467B1">
        <w:rPr>
          <w:rFonts w:ascii="Aptos" w:hAnsi="Aptos" w:cs="Times New Roman"/>
          <w:sz w:val="20"/>
          <w:szCs w:val="20"/>
        </w:rPr>
        <w:t xml:space="preserve">The facts stated herein </w:t>
      </w:r>
      <w:proofErr w:type="gramStart"/>
      <w:r w:rsidRPr="000467B1">
        <w:rPr>
          <w:rFonts w:ascii="Aptos" w:hAnsi="Aptos" w:cs="Times New Roman"/>
          <w:sz w:val="20"/>
          <w:szCs w:val="20"/>
        </w:rPr>
        <w:t>are considered to be</w:t>
      </w:r>
      <w:proofErr w:type="gramEnd"/>
      <w:r w:rsidRPr="000467B1">
        <w:rPr>
          <w:rFonts w:ascii="Aptos" w:hAnsi="Aptos" w:cs="Times New Roman"/>
          <w:sz w:val="20"/>
          <w:szCs w:val="20"/>
        </w:rPr>
        <w:t xml:space="preserve"> true solely for the purposes of this </w:t>
      </w:r>
      <w:r w:rsidR="0096172E" w:rsidRPr="000467B1">
        <w:rPr>
          <w:rFonts w:ascii="Aptos" w:hAnsi="Aptos" w:cs="Times New Roman"/>
          <w:i/>
          <w:iCs/>
          <w:sz w:val="20"/>
          <w:szCs w:val="20"/>
        </w:rPr>
        <w:t>Ruling</w:t>
      </w:r>
      <w:r w:rsidR="0096172E">
        <w:rPr>
          <w:rFonts w:ascii="Aptos" w:hAnsi="Aptos" w:cs="Times New Roman"/>
          <w:sz w:val="20"/>
          <w:szCs w:val="20"/>
        </w:rPr>
        <w:t xml:space="preserve"> and</w:t>
      </w:r>
      <w:r w:rsidR="008D6F99">
        <w:rPr>
          <w:rFonts w:ascii="Aptos" w:hAnsi="Aptos" w:cs="Times New Roman"/>
          <w:sz w:val="20"/>
          <w:szCs w:val="20"/>
        </w:rPr>
        <w:t xml:space="preserve"> consist of only those facts relevant to the issue of </w:t>
      </w:r>
      <w:r w:rsidR="0096172E">
        <w:rPr>
          <w:rFonts w:ascii="Aptos" w:hAnsi="Aptos" w:cs="Times New Roman"/>
          <w:sz w:val="20"/>
          <w:szCs w:val="20"/>
        </w:rPr>
        <w:t xml:space="preserve">DESE’s potential </w:t>
      </w:r>
      <w:r w:rsidR="008D6F99">
        <w:rPr>
          <w:rFonts w:ascii="Aptos" w:hAnsi="Aptos" w:cs="Times New Roman"/>
          <w:sz w:val="20"/>
          <w:szCs w:val="20"/>
        </w:rPr>
        <w:t>joinder.</w:t>
      </w:r>
    </w:p>
  </w:footnote>
  <w:footnote w:id="6">
    <w:p w14:paraId="2DD284BF" w14:textId="7711B587" w:rsidR="00A7261B" w:rsidRDefault="00A7261B">
      <w:pPr>
        <w:pStyle w:val="FootnoteText"/>
      </w:pPr>
      <w:r>
        <w:rPr>
          <w:rStyle w:val="FootnoteReference"/>
        </w:rPr>
        <w:footnoteRef/>
      </w:r>
      <w:r>
        <w:t xml:space="preserve">   No information was provided as to the specific days Student was placed at Carbone.</w:t>
      </w:r>
    </w:p>
  </w:footnote>
  <w:footnote w:id="7">
    <w:p w14:paraId="2DFB1744" w14:textId="015DC467" w:rsidR="006479F9" w:rsidRPr="00ED0B59" w:rsidRDefault="006479F9" w:rsidP="006479F9">
      <w:pPr>
        <w:pStyle w:val="FootnoteText"/>
        <w:rPr>
          <w:rFonts w:ascii="Aptos" w:hAnsi="Aptos"/>
        </w:rPr>
      </w:pPr>
      <w:r w:rsidRPr="00ED0B59">
        <w:rPr>
          <w:rStyle w:val="FootnoteReference"/>
          <w:rFonts w:ascii="Aptos" w:hAnsi="Aptos"/>
        </w:rPr>
        <w:footnoteRef/>
      </w:r>
      <w:r w:rsidRPr="00ED0B59">
        <w:rPr>
          <w:rFonts w:ascii="Aptos" w:hAnsi="Aptos"/>
        </w:rPr>
        <w:t xml:space="preserve"> </w:t>
      </w:r>
      <w:r w:rsidR="008D0A78">
        <w:rPr>
          <w:rFonts w:ascii="Aptos" w:hAnsi="Aptos"/>
        </w:rPr>
        <w:t xml:space="preserve">  </w:t>
      </w:r>
      <w:r w:rsidRPr="00ED0B59">
        <w:rPr>
          <w:rFonts w:ascii="Aptos" w:eastAsia="Times New Roman" w:hAnsi="Aptos" w:cs="Times New Roman"/>
          <w:bCs/>
          <w:color w:val="000000"/>
        </w:rPr>
        <w:t>MGL c. 71B, §3; see 603 CMR 28.08(3)</w:t>
      </w:r>
      <w:r w:rsidR="00205A48">
        <w:rPr>
          <w:rFonts w:ascii="Aptos" w:eastAsia="Times New Roman" w:hAnsi="Aptos" w:cs="Times New Roman"/>
          <w:bCs/>
          <w:color w:val="000000"/>
        </w:rPr>
        <w:t xml:space="preserve">; </w:t>
      </w:r>
      <w:r w:rsidR="00205A48" w:rsidRPr="00856989">
        <w:rPr>
          <w:rFonts w:ascii="Aptos" w:hAnsi="Aptos" w:cs="Times New Roman"/>
          <w:i/>
          <w:iCs/>
        </w:rPr>
        <w:t>In Re: Acton-Boxborough Reg. Sch. Dist.</w:t>
      </w:r>
      <w:r w:rsidR="00205A48" w:rsidRPr="00856989">
        <w:rPr>
          <w:rFonts w:ascii="Aptos" w:hAnsi="Aptos" w:cs="Times New Roman"/>
        </w:rPr>
        <w:t xml:space="preserve">, BSEA No. 1703770, 23 MSER 99 (Figueroa, 2017); see M.G.L. c. 71B </w:t>
      </w:r>
      <w:r w:rsidR="00205A48" w:rsidRPr="00856989">
        <w:rPr>
          <w:rFonts w:ascii="Aptos" w:eastAsia="Times New Roman" w:hAnsi="Aptos" w:cs="Times New Roman"/>
          <w:bCs/>
          <w:color w:val="000000"/>
        </w:rPr>
        <w:t>§3;</w:t>
      </w:r>
      <w:r w:rsidR="00205A48" w:rsidRPr="00856989">
        <w:rPr>
          <w:rFonts w:ascii="Aptos" w:hAnsi="Aptos" w:cs="Times New Roman"/>
        </w:rPr>
        <w:t xml:space="preserve"> </w:t>
      </w:r>
      <w:r w:rsidR="00205A48" w:rsidRPr="00856989">
        <w:rPr>
          <w:rFonts w:ascii="Aptos" w:hAnsi="Aptos" w:cs="Times New Roman"/>
          <w:i/>
          <w:iCs/>
        </w:rPr>
        <w:t>In Re: Boston Pub. Sch. Dist.</w:t>
      </w:r>
      <w:r w:rsidR="00205A48" w:rsidRPr="00856989">
        <w:rPr>
          <w:rFonts w:ascii="Aptos" w:hAnsi="Aptos" w:cs="Times New Roman"/>
        </w:rPr>
        <w:t>, BSEA No. 02-4553 (Figueroa, 2002)</w:t>
      </w:r>
      <w:r w:rsidRPr="00ED0B59">
        <w:rPr>
          <w:rFonts w:ascii="Aptos" w:eastAsia="Times New Roman" w:hAnsi="Aptos" w:cs="Times New Roman"/>
          <w:bCs/>
          <w:color w:val="000000"/>
        </w:rPr>
        <w:t>.</w:t>
      </w:r>
      <w:r w:rsidR="00ED0B59" w:rsidRPr="00ED0B59">
        <w:rPr>
          <w:rFonts w:ascii="Aptos" w:eastAsia="Times New Roman" w:hAnsi="Aptos" w:cs="Times New Roman"/>
          <w:bCs/>
          <w:color w:val="000000"/>
        </w:rPr>
        <w:t xml:space="preserve">  The</w:t>
      </w:r>
      <w:r w:rsidR="00E969A5">
        <w:rPr>
          <w:rFonts w:ascii="Aptos" w:eastAsia="Times New Roman" w:hAnsi="Aptos" w:cs="Times New Roman"/>
          <w:bCs/>
          <w:color w:val="000000"/>
        </w:rPr>
        <w:t xml:space="preserve"> “</w:t>
      </w:r>
      <w:r w:rsidR="00ED0B59" w:rsidRPr="00ED0B59">
        <w:rPr>
          <w:rFonts w:ascii="Aptos" w:eastAsia="Times New Roman" w:hAnsi="Aptos" w:cs="Times New Roman"/>
          <w:bCs/>
          <w:color w:val="000000"/>
        </w:rPr>
        <w:t xml:space="preserve">in addition to” language </w:t>
      </w:r>
      <w:r w:rsidR="00E969A5">
        <w:rPr>
          <w:rFonts w:ascii="Aptos" w:eastAsia="Times New Roman" w:hAnsi="Aptos" w:cs="Times New Roman"/>
          <w:bCs/>
          <w:color w:val="000000"/>
        </w:rPr>
        <w:t xml:space="preserve">has been interpreted to mean that </w:t>
      </w:r>
      <w:r w:rsidR="00ED0B59" w:rsidRPr="00ED0B59">
        <w:rPr>
          <w:rFonts w:ascii="Aptos" w:eastAsia="Times New Roman" w:hAnsi="Aptos" w:cs="Times New Roman"/>
          <w:bCs/>
          <w:color w:val="000000"/>
        </w:rPr>
        <w:t>if services that the agency provides in accordance with its rules and policies, are necessary for a student to access or benefit from the school district’s special education program “(over and above those services that are the responsibility of the school district)”, joinder may be appropriate</w:t>
      </w:r>
      <w:r w:rsidR="00ED0B59">
        <w:rPr>
          <w:rFonts w:ascii="Aptos" w:eastAsia="Times New Roman" w:hAnsi="Aptos" w:cs="Times New Roman"/>
          <w:bCs/>
          <w:color w:val="000000"/>
        </w:rPr>
        <w:t>.</w:t>
      </w:r>
      <w:r w:rsidR="00636B1A">
        <w:rPr>
          <w:rFonts w:ascii="Aptos" w:eastAsia="Times New Roman" w:hAnsi="Aptos" w:cs="Times New Roman"/>
          <w:bCs/>
          <w:color w:val="000000"/>
        </w:rPr>
        <w:t xml:space="preserve">  </w:t>
      </w:r>
      <w:r w:rsidR="00636B1A" w:rsidRPr="00856989">
        <w:rPr>
          <w:rFonts w:ascii="Aptos" w:hAnsi="Aptos"/>
          <w:i/>
          <w:iCs/>
        </w:rPr>
        <w:t xml:space="preserve">In Re: Plymouth Pub. Sch. </w:t>
      </w:r>
      <w:r w:rsidR="00636B1A" w:rsidRPr="00856989">
        <w:rPr>
          <w:rFonts w:ascii="Aptos" w:hAnsi="Aptos"/>
        </w:rPr>
        <w:t xml:space="preserve">BSEA No. 06-2584, 12 MSER 33 (Crane, 2006) (internal citations omitted); </w:t>
      </w:r>
      <w:r w:rsidR="00636B1A" w:rsidRPr="00856989">
        <w:rPr>
          <w:rFonts w:ascii="Aptos" w:hAnsi="Aptos"/>
          <w:i/>
          <w:iCs/>
        </w:rPr>
        <w:t>In Re: Fitchburg Pub. Sch.</w:t>
      </w:r>
      <w:r w:rsidR="00636B1A" w:rsidRPr="00856989">
        <w:rPr>
          <w:rFonts w:ascii="Aptos" w:hAnsi="Aptos"/>
        </w:rPr>
        <w:t xml:space="preserve"> BSEA No. 02-0038, 8 MSER 141 (Byrne, 2002).</w:t>
      </w:r>
    </w:p>
  </w:footnote>
  <w:footnote w:id="8">
    <w:p w14:paraId="105245E8" w14:textId="77777777" w:rsidR="00A56DA2" w:rsidRPr="00E27E63" w:rsidRDefault="00A56DA2" w:rsidP="00A56DA2">
      <w:pPr>
        <w:spacing w:after="0" w:line="240" w:lineRule="auto"/>
        <w:rPr>
          <w:rFonts w:ascii="Aptos" w:eastAsia="Times New Roman" w:hAnsi="Aptos" w:cs="Times New Roman"/>
          <w:bCs/>
          <w:color w:val="000000"/>
          <w:sz w:val="20"/>
          <w:szCs w:val="20"/>
        </w:rPr>
      </w:pPr>
      <w:r w:rsidRPr="00E27E63">
        <w:rPr>
          <w:rStyle w:val="FootnoteReference"/>
          <w:rFonts w:ascii="Aptos" w:hAnsi="Aptos" w:cs="Times New Roman"/>
          <w:sz w:val="20"/>
          <w:szCs w:val="20"/>
        </w:rPr>
        <w:footnoteRef/>
      </w:r>
      <w:r w:rsidRPr="00E27E63">
        <w:rPr>
          <w:rFonts w:ascii="Aptos" w:hAnsi="Aptos" w:cs="Times New Roman"/>
          <w:sz w:val="20"/>
          <w:szCs w:val="20"/>
        </w:rPr>
        <w:t xml:space="preserve">   </w:t>
      </w:r>
      <w:r w:rsidRPr="00E27E63">
        <w:rPr>
          <w:rFonts w:ascii="Aptos" w:eastAsia="Times New Roman" w:hAnsi="Aptos" w:cs="Times New Roman"/>
          <w:bCs/>
          <w:color w:val="000000"/>
          <w:sz w:val="20"/>
          <w:szCs w:val="20"/>
        </w:rPr>
        <w:t xml:space="preserve">See </w:t>
      </w:r>
      <w:r w:rsidRPr="00E27E63">
        <w:rPr>
          <w:rFonts w:ascii="Aptos" w:eastAsia="Times New Roman" w:hAnsi="Aptos" w:cs="Times New Roman"/>
          <w:bCs/>
          <w:i/>
          <w:iCs/>
          <w:color w:val="000000"/>
          <w:sz w:val="20"/>
          <w:szCs w:val="20"/>
        </w:rPr>
        <w:t>Globe Newspaper Co. v. Beacon Hill Architectural Comm.</w:t>
      </w:r>
      <w:r w:rsidRPr="00E27E63">
        <w:rPr>
          <w:rFonts w:ascii="Aptos" w:eastAsia="Times New Roman" w:hAnsi="Aptos" w:cs="Times New Roman"/>
          <w:bCs/>
          <w:color w:val="000000"/>
          <w:sz w:val="20"/>
          <w:szCs w:val="20"/>
        </w:rPr>
        <w:t xml:space="preserve">, 421 Mass. 570, 586 (1996) “Any judicial review of agency action embodies the principle that an agency has no inherent authority beyond its enabling act and therefore it may do nothing that contradicts such legislation”.  </w:t>
      </w:r>
    </w:p>
  </w:footnote>
  <w:footnote w:id="9">
    <w:p w14:paraId="3F508948" w14:textId="77777777" w:rsidR="00A56DA2" w:rsidRPr="00E27E63" w:rsidRDefault="00A56DA2" w:rsidP="00A56DA2">
      <w:pPr>
        <w:pStyle w:val="FootnoteText"/>
        <w:rPr>
          <w:rFonts w:ascii="Aptos" w:hAnsi="Aptos"/>
        </w:rPr>
      </w:pPr>
      <w:r w:rsidRPr="00E27E63">
        <w:rPr>
          <w:rStyle w:val="FootnoteReference"/>
          <w:rFonts w:ascii="Aptos" w:hAnsi="Aptos"/>
        </w:rPr>
        <w:footnoteRef/>
      </w:r>
      <w:r w:rsidRPr="00E27E63">
        <w:rPr>
          <w:rFonts w:ascii="Aptos" w:hAnsi="Aptos"/>
        </w:rPr>
        <w:t xml:space="preserve">   20 US 1415(f)(3)(C).</w:t>
      </w:r>
    </w:p>
  </w:footnote>
  <w:footnote w:id="10">
    <w:p w14:paraId="0FAF6B3F" w14:textId="77777777" w:rsidR="00A56DA2" w:rsidRPr="00E27E63" w:rsidRDefault="00A56DA2" w:rsidP="00A56DA2">
      <w:pPr>
        <w:pStyle w:val="FootnoteText"/>
        <w:rPr>
          <w:rFonts w:ascii="Aptos" w:hAnsi="Aptos" w:cs="Times New Roman"/>
        </w:rPr>
      </w:pPr>
      <w:r w:rsidRPr="00E27E63">
        <w:rPr>
          <w:rStyle w:val="FootnoteReference"/>
          <w:rFonts w:ascii="Aptos" w:hAnsi="Aptos" w:cs="Times New Roman"/>
        </w:rPr>
        <w:footnoteRef/>
      </w:r>
      <w:r w:rsidRPr="00E27E63">
        <w:rPr>
          <w:rFonts w:ascii="Aptos" w:hAnsi="Aptos" w:cs="Times New Roman"/>
        </w:rPr>
        <w:t xml:space="preserve">   </w:t>
      </w:r>
      <w:r w:rsidRPr="00E27E63">
        <w:rPr>
          <w:rFonts w:ascii="Aptos" w:hAnsi="Aptos" w:cs="Times New Roman"/>
          <w:bCs/>
        </w:rPr>
        <w:t xml:space="preserve">20 USC §1415(b)(6); </w:t>
      </w:r>
      <w:r w:rsidRPr="00E27E63">
        <w:rPr>
          <w:rFonts w:ascii="Aptos" w:hAnsi="Aptos" w:cs="Times New Roman"/>
        </w:rPr>
        <w:t xml:space="preserve">see 34 CFR 300.507(a)(1).  </w:t>
      </w:r>
    </w:p>
  </w:footnote>
  <w:footnote w:id="11">
    <w:p w14:paraId="57B20C6D" w14:textId="77777777" w:rsidR="00A56DA2" w:rsidRPr="00E27E63" w:rsidRDefault="00A56DA2" w:rsidP="00A56DA2">
      <w:pPr>
        <w:pStyle w:val="FootnoteText"/>
        <w:rPr>
          <w:rFonts w:ascii="Aptos" w:hAnsi="Aptos"/>
        </w:rPr>
      </w:pPr>
      <w:r w:rsidRPr="00E27E63">
        <w:rPr>
          <w:rStyle w:val="FootnoteReference"/>
          <w:rFonts w:ascii="Aptos" w:hAnsi="Aptos"/>
        </w:rPr>
        <w:footnoteRef/>
      </w:r>
      <w:r w:rsidRPr="00E27E63">
        <w:rPr>
          <w:rFonts w:ascii="Aptos" w:hAnsi="Aptos"/>
        </w:rPr>
        <w:t xml:space="preserve">   See also </w:t>
      </w:r>
      <w:r w:rsidRPr="00E27E63">
        <w:rPr>
          <w:rFonts w:ascii="Aptos" w:eastAsia="Times New Roman" w:hAnsi="Aptos" w:cs="Times New Roman"/>
          <w:bCs/>
          <w:color w:val="000000"/>
        </w:rPr>
        <w:t>603 CMR 28.08(3)(a) (authorizing the BSEA to hear “… any matter concerning the eligibility, evaluation, placement, IEP, provision of special education in accordance with state and federal law or the procedural protections of state and federal law for students with disabilities).</w:t>
      </w:r>
    </w:p>
  </w:footnote>
  <w:footnote w:id="12">
    <w:p w14:paraId="1BDD6EE1" w14:textId="60185AB5" w:rsidR="00681ADE" w:rsidRPr="001B29D3" w:rsidRDefault="00681ADE" w:rsidP="007C4848">
      <w:pPr>
        <w:spacing w:after="0" w:line="240" w:lineRule="auto"/>
        <w:rPr>
          <w:rFonts w:ascii="Aptos" w:eastAsia="Times New Roman" w:hAnsi="Aptos" w:cs="Times New Roman"/>
          <w:bCs/>
          <w:color w:val="000000"/>
          <w:sz w:val="20"/>
          <w:szCs w:val="20"/>
        </w:rPr>
      </w:pPr>
      <w:r w:rsidRPr="001B29D3">
        <w:rPr>
          <w:rStyle w:val="FootnoteReference"/>
          <w:sz w:val="20"/>
          <w:szCs w:val="20"/>
        </w:rPr>
        <w:footnoteRef/>
      </w:r>
      <w:r w:rsidRPr="001B29D3">
        <w:rPr>
          <w:sz w:val="20"/>
          <w:szCs w:val="20"/>
        </w:rPr>
        <w:t xml:space="preserve"> </w:t>
      </w:r>
      <w:r w:rsidRPr="001B29D3">
        <w:rPr>
          <w:rFonts w:ascii="Aptos" w:hAnsi="Aptos" w:cs="Times New Roman"/>
          <w:sz w:val="20"/>
          <w:szCs w:val="20"/>
        </w:rPr>
        <w:t>Section 1412 of the IDEA establishes the overarching oversight obligations of the State educational authority (SEA)</w:t>
      </w:r>
      <w:r w:rsidRPr="001B29D3">
        <w:rPr>
          <w:rStyle w:val="FootnoteReference"/>
          <w:rFonts w:ascii="Aptos" w:hAnsi="Aptos" w:cs="Times New Roman"/>
          <w:sz w:val="20"/>
          <w:szCs w:val="20"/>
        </w:rPr>
        <w:t xml:space="preserve"> </w:t>
      </w:r>
      <w:r w:rsidRPr="001B29D3">
        <w:rPr>
          <w:rStyle w:val="FootnoteReference"/>
          <w:rFonts w:ascii="Aptos" w:hAnsi="Aptos" w:cs="Times New Roman"/>
          <w:sz w:val="20"/>
          <w:szCs w:val="20"/>
        </w:rPr>
        <w:footnoteRef/>
      </w:r>
      <w:r w:rsidRPr="001B29D3">
        <w:rPr>
          <w:rFonts w:ascii="Aptos" w:hAnsi="Aptos" w:cs="Times New Roman"/>
          <w:sz w:val="20"/>
          <w:szCs w:val="20"/>
        </w:rPr>
        <w:t xml:space="preserve">.  20 USC 1412(a)(11) requires DESE ensure that “all requirements of [Part B of the IDEA] are met; [and] all educational programs for children with disabilities in the State … are under the general supervision of individuals in the State who are responsible for educational programs for children with disabilities; and meet the educational standards of the [SEA] …”.  </w:t>
      </w:r>
      <w:r w:rsidR="001B29D3" w:rsidRPr="001B29D3">
        <w:rPr>
          <w:rFonts w:ascii="Aptos" w:hAnsi="Aptos" w:cs="Times New Roman"/>
          <w:sz w:val="20"/>
          <w:szCs w:val="20"/>
        </w:rPr>
        <w:t xml:space="preserve">20 USC 1412(12) and 34 CFR 300.154, the statute and regulation relied on in the </w:t>
      </w:r>
      <w:r w:rsidR="001B29D3" w:rsidRPr="001B29D3">
        <w:rPr>
          <w:rFonts w:ascii="Aptos" w:hAnsi="Aptos" w:cs="Times New Roman"/>
          <w:i/>
          <w:iCs/>
          <w:sz w:val="20"/>
          <w:szCs w:val="20"/>
        </w:rPr>
        <w:t>Motion</w:t>
      </w:r>
      <w:r w:rsidR="001B29D3" w:rsidRPr="001B29D3">
        <w:rPr>
          <w:rFonts w:ascii="Aptos" w:hAnsi="Aptos" w:cs="Times New Roman"/>
          <w:sz w:val="20"/>
          <w:szCs w:val="20"/>
        </w:rPr>
        <w:t xml:space="preserve">, </w:t>
      </w:r>
      <w:r w:rsidR="00497D94">
        <w:rPr>
          <w:rFonts w:ascii="Aptos" w:hAnsi="Aptos" w:cs="Times New Roman"/>
          <w:sz w:val="20"/>
          <w:szCs w:val="20"/>
        </w:rPr>
        <w:t>also establishes</w:t>
      </w:r>
      <w:r w:rsidR="001B29D3" w:rsidRPr="001B29D3">
        <w:rPr>
          <w:rFonts w:ascii="Aptos" w:hAnsi="Aptos" w:cs="Times New Roman"/>
          <w:sz w:val="20"/>
          <w:szCs w:val="20"/>
        </w:rPr>
        <w:t xml:space="preserve"> the SEA’s obligation to ensure interagency agreements or coordination mechanisms are in place between noneducational public agencies responsible to provide or pay for special education or related services and the SEA to ensure the provision of FAPE.</w:t>
      </w:r>
    </w:p>
  </w:footnote>
  <w:footnote w:id="13">
    <w:p w14:paraId="7AC592C6" w14:textId="7133CE0E" w:rsidR="005E7954" w:rsidRPr="00856989" w:rsidRDefault="005E7954" w:rsidP="005E7954">
      <w:pPr>
        <w:pStyle w:val="FootnoteText"/>
        <w:rPr>
          <w:rFonts w:ascii="Aptos" w:hAnsi="Aptos"/>
        </w:rPr>
      </w:pPr>
      <w:r w:rsidRPr="002C0995">
        <w:rPr>
          <w:rStyle w:val="FootnoteReference"/>
          <w:rFonts w:ascii="Aptos" w:hAnsi="Aptos"/>
        </w:rPr>
        <w:footnoteRef/>
      </w:r>
      <w:r w:rsidRPr="002C0995">
        <w:rPr>
          <w:rFonts w:ascii="Aptos" w:hAnsi="Aptos"/>
        </w:rPr>
        <w:t xml:space="preserve">   See </w:t>
      </w:r>
      <w:r w:rsidRPr="002C0995">
        <w:rPr>
          <w:rFonts w:ascii="Aptos" w:hAnsi="Aptos"/>
          <w:i/>
          <w:iCs/>
        </w:rPr>
        <w:t>In Re: Franklin PS and DDS</w:t>
      </w:r>
      <w:r w:rsidRPr="002C0995">
        <w:rPr>
          <w:rFonts w:ascii="Aptos" w:hAnsi="Aptos"/>
        </w:rPr>
        <w:t xml:space="preserve">, BSEA No.  2500429, </w:t>
      </w:r>
      <w:r>
        <w:rPr>
          <w:rFonts w:ascii="Aptos" w:hAnsi="Aptos"/>
        </w:rPr>
        <w:t>31 MSER 35</w:t>
      </w:r>
      <w:r w:rsidRPr="002C0995">
        <w:rPr>
          <w:rFonts w:ascii="Aptos" w:hAnsi="Aptos"/>
        </w:rPr>
        <w:t xml:space="preserve"> (Mitchell, 2025) (declining to join DESE as a party to a matter where </w:t>
      </w:r>
      <w:r>
        <w:rPr>
          <w:rFonts w:ascii="Aptos" w:hAnsi="Aptos" w:cs="Times New Roman"/>
          <w:bCs/>
        </w:rPr>
        <w:t xml:space="preserve">no evidence was presented as to DESE’s </w:t>
      </w:r>
      <w:r w:rsidRPr="002C0995">
        <w:rPr>
          <w:rFonts w:ascii="Aptos" w:hAnsi="Aptos" w:cs="Times New Roman"/>
          <w:bCs/>
        </w:rPr>
        <w:t xml:space="preserve">specific responsibility </w:t>
      </w:r>
      <w:r>
        <w:rPr>
          <w:rFonts w:ascii="Aptos" w:hAnsi="Aptos" w:cs="Times New Roman"/>
          <w:bCs/>
        </w:rPr>
        <w:t xml:space="preserve">for the student </w:t>
      </w:r>
      <w:r w:rsidR="00497D94">
        <w:rPr>
          <w:rFonts w:ascii="Aptos" w:hAnsi="Aptos" w:cs="Times New Roman"/>
          <w:bCs/>
        </w:rPr>
        <w:t xml:space="preserve">as </w:t>
      </w:r>
      <w:r>
        <w:rPr>
          <w:rFonts w:ascii="Aptos" w:hAnsi="Aptos" w:cs="Times New Roman"/>
          <w:bCs/>
        </w:rPr>
        <w:t xml:space="preserve">to DESE’s actions or inactions towards the student or </w:t>
      </w:r>
      <w:r w:rsidRPr="002C0995">
        <w:rPr>
          <w:rFonts w:ascii="Aptos" w:hAnsi="Aptos" w:cs="Times New Roman"/>
          <w:bCs/>
        </w:rPr>
        <w:t>his receipt of a FAPE);</w:t>
      </w:r>
      <w:r w:rsidRPr="00856989">
        <w:rPr>
          <w:rFonts w:ascii="Aptos" w:hAnsi="Aptos"/>
        </w:rPr>
        <w:t xml:space="preserve"> </w:t>
      </w:r>
      <w:r w:rsidRPr="00856989">
        <w:rPr>
          <w:rFonts w:ascii="Aptos" w:hAnsi="Aptos"/>
          <w:i/>
          <w:iCs/>
        </w:rPr>
        <w:t>In Re: Lawrence P.S.</w:t>
      </w:r>
      <w:r w:rsidRPr="00856989">
        <w:rPr>
          <w:rFonts w:ascii="Aptos" w:hAnsi="Aptos"/>
        </w:rPr>
        <w:t xml:space="preserve">, BSEA No. </w:t>
      </w:r>
      <w:r>
        <w:rPr>
          <w:rFonts w:ascii="Aptos" w:hAnsi="Aptos"/>
        </w:rPr>
        <w:t xml:space="preserve">2107071, </w:t>
      </w:r>
      <w:r w:rsidRPr="00856989">
        <w:rPr>
          <w:rFonts w:ascii="Aptos" w:hAnsi="Aptos"/>
        </w:rPr>
        <w:t>27 MSER 193</w:t>
      </w:r>
      <w:r>
        <w:rPr>
          <w:rFonts w:ascii="Aptos" w:hAnsi="Aptos"/>
        </w:rPr>
        <w:t xml:space="preserve"> (Kantor Nir)</w:t>
      </w:r>
      <w:r w:rsidRPr="00856989">
        <w:rPr>
          <w:rFonts w:ascii="Aptos" w:hAnsi="Aptos"/>
        </w:rPr>
        <w:t xml:space="preserve"> (dismissing DESE from a matter as “</w:t>
      </w:r>
      <w:r w:rsidRPr="00856989">
        <w:rPr>
          <w:rFonts w:ascii="Aptos" w:eastAsia="Times New Roman" w:hAnsi="Aptos" w:cs="Times New Roman"/>
          <w:bCs/>
          <w:color w:val="000000"/>
        </w:rPr>
        <w:t>Parent asserted no facts suggesting that DESE was involved in the IEP process, was asked to participate in Student's assessment or placement, or was called upon to fund Student's education or to respond to complaints regarding Student's program”</w:t>
      </w:r>
      <w:r>
        <w:rPr>
          <w:rFonts w:ascii="Aptos" w:eastAsia="Times New Roman" w:hAnsi="Aptos" w:cs="Times New Roman"/>
          <w:bCs/>
          <w:color w:val="000000"/>
        </w:rPr>
        <w:t xml:space="preserve"> </w:t>
      </w:r>
      <w:r w:rsidRPr="00856989">
        <w:rPr>
          <w:rFonts w:ascii="Aptos" w:eastAsia="Times New Roman" w:hAnsi="Aptos" w:cs="Times New Roman"/>
          <w:bCs/>
          <w:color w:val="000000"/>
        </w:rPr>
        <w:t xml:space="preserve">citing </w:t>
      </w:r>
      <w:proofErr w:type="spellStart"/>
      <w:r w:rsidR="00E831A9" w:rsidRPr="00856989">
        <w:rPr>
          <w:rFonts w:ascii="Aptos" w:hAnsi="Aptos"/>
          <w:i/>
          <w:iCs/>
        </w:rPr>
        <w:t>Carnwath</w:t>
      </w:r>
      <w:proofErr w:type="spellEnd"/>
      <w:r w:rsidR="00E831A9" w:rsidRPr="00856989">
        <w:rPr>
          <w:rFonts w:ascii="Aptos" w:hAnsi="Aptos"/>
          <w:i/>
          <w:iCs/>
        </w:rPr>
        <w:t xml:space="preserve"> v. Grasmick</w:t>
      </w:r>
      <w:r w:rsidR="00E831A9" w:rsidRPr="00856989">
        <w:rPr>
          <w:rFonts w:ascii="Aptos" w:hAnsi="Aptos"/>
        </w:rPr>
        <w:t>, 115 F. Supp. 2d 577, 58</w:t>
      </w:r>
      <w:r w:rsidR="00E831A9">
        <w:rPr>
          <w:rFonts w:ascii="Aptos" w:hAnsi="Aptos"/>
        </w:rPr>
        <w:t>5</w:t>
      </w:r>
      <w:r w:rsidR="00E831A9" w:rsidRPr="00856989">
        <w:rPr>
          <w:rFonts w:ascii="Aptos" w:hAnsi="Aptos"/>
        </w:rPr>
        <w:t xml:space="preserve"> (D. Md. 2000)</w:t>
      </w:r>
      <w:r>
        <w:rPr>
          <w:rFonts w:ascii="Aptos" w:eastAsia="Times New Roman" w:hAnsi="Aptos" w:cs="Times New Roman"/>
          <w:bCs/>
          <w:color w:val="000000"/>
        </w:rPr>
        <w:t>)</w:t>
      </w:r>
      <w:r w:rsidRPr="00856989">
        <w:rPr>
          <w:rFonts w:ascii="Aptos" w:eastAsia="Times New Roman" w:hAnsi="Aptos" w:cs="Times New Roman"/>
          <w:bCs/>
          <w:color w:val="000000"/>
        </w:rPr>
        <w:t xml:space="preserve">; compare </w:t>
      </w:r>
      <w:r w:rsidRPr="00856989">
        <w:rPr>
          <w:rFonts w:ascii="Aptos" w:eastAsia="Times New Roman" w:hAnsi="Aptos" w:cs="Times New Roman"/>
          <w:bCs/>
          <w:i/>
          <w:iCs/>
          <w:color w:val="000000"/>
        </w:rPr>
        <w:t>In Re: Mass. Dept. of Ed</w:t>
      </w:r>
      <w:r w:rsidRPr="00856989">
        <w:rPr>
          <w:rFonts w:ascii="Aptos" w:eastAsia="Times New Roman" w:hAnsi="Aptos" w:cs="Times New Roman"/>
          <w:bCs/>
          <w:color w:val="000000"/>
        </w:rPr>
        <w:t xml:space="preserve">., </w:t>
      </w:r>
      <w:r>
        <w:rPr>
          <w:rFonts w:ascii="Aptos" w:eastAsia="Times New Roman" w:hAnsi="Aptos" w:cs="Times New Roman"/>
          <w:bCs/>
          <w:color w:val="000000"/>
        </w:rPr>
        <w:t xml:space="preserve">BSEA No. 03-1785, </w:t>
      </w:r>
      <w:r w:rsidRPr="00856989">
        <w:rPr>
          <w:rFonts w:ascii="Aptos" w:eastAsia="Times New Roman" w:hAnsi="Aptos" w:cs="Times New Roman"/>
          <w:bCs/>
          <w:color w:val="000000"/>
        </w:rPr>
        <w:t>9 MSER 1</w:t>
      </w:r>
      <w:r>
        <w:rPr>
          <w:rFonts w:ascii="Aptos" w:eastAsia="Times New Roman" w:hAnsi="Aptos" w:cs="Times New Roman"/>
          <w:bCs/>
          <w:color w:val="000000"/>
        </w:rPr>
        <w:t xml:space="preserve"> (Crane, 2003)</w:t>
      </w:r>
      <w:r w:rsidRPr="00856989">
        <w:rPr>
          <w:rFonts w:ascii="Aptos" w:eastAsia="Times New Roman" w:hAnsi="Aptos" w:cs="Times New Roman"/>
          <w:bCs/>
          <w:color w:val="000000"/>
        </w:rPr>
        <w:t xml:space="preserve"> </w:t>
      </w:r>
      <w:r>
        <w:rPr>
          <w:rFonts w:ascii="Aptos" w:eastAsia="Times New Roman" w:hAnsi="Aptos" w:cs="Times New Roman"/>
          <w:bCs/>
          <w:color w:val="000000"/>
        </w:rPr>
        <w:t>(</w:t>
      </w:r>
      <w:r w:rsidRPr="00856989">
        <w:rPr>
          <w:rFonts w:ascii="Aptos" w:eastAsia="Times New Roman" w:hAnsi="Aptos" w:cs="Times New Roman"/>
          <w:bCs/>
          <w:color w:val="000000"/>
        </w:rPr>
        <w:t xml:space="preserve">distinguishing </w:t>
      </w:r>
      <w:proofErr w:type="spellStart"/>
      <w:r w:rsidRPr="00856989">
        <w:rPr>
          <w:rFonts w:ascii="Aptos" w:eastAsia="Times New Roman" w:hAnsi="Aptos" w:cs="Times New Roman"/>
          <w:bCs/>
          <w:i/>
          <w:iCs/>
          <w:color w:val="000000"/>
        </w:rPr>
        <w:t>Carnwath</w:t>
      </w:r>
      <w:proofErr w:type="spellEnd"/>
      <w:r w:rsidR="009D74F0">
        <w:rPr>
          <w:rFonts w:ascii="Aptos" w:eastAsia="Times New Roman" w:hAnsi="Aptos" w:cs="Times New Roman"/>
          <w:bCs/>
          <w:color w:val="000000"/>
        </w:rPr>
        <w:t>,</w:t>
      </w:r>
      <w:r w:rsidRPr="00856989">
        <w:rPr>
          <w:rFonts w:ascii="Aptos" w:eastAsia="Times New Roman" w:hAnsi="Aptos" w:cs="Times New Roman"/>
          <w:bCs/>
          <w:i/>
          <w:iCs/>
          <w:color w:val="000000"/>
        </w:rPr>
        <w:t xml:space="preserve"> </w:t>
      </w:r>
      <w:r w:rsidRPr="00856989">
        <w:rPr>
          <w:rFonts w:ascii="Aptos" w:eastAsia="Times New Roman" w:hAnsi="Aptos" w:cs="Times New Roman"/>
          <w:bCs/>
          <w:color w:val="000000"/>
        </w:rPr>
        <w:t>115 F. Supp. 2d at 585</w:t>
      </w:r>
      <w:r>
        <w:rPr>
          <w:rFonts w:ascii="Aptos" w:eastAsia="Times New Roman" w:hAnsi="Aptos" w:cs="Times New Roman"/>
          <w:bCs/>
          <w:color w:val="000000"/>
        </w:rPr>
        <w:t xml:space="preserve"> </w:t>
      </w:r>
      <w:r w:rsidRPr="00856989">
        <w:rPr>
          <w:rFonts w:ascii="Aptos" w:eastAsia="Times New Roman" w:hAnsi="Aptos" w:cs="Times New Roman"/>
          <w:bCs/>
          <w:color w:val="000000"/>
        </w:rPr>
        <w:t xml:space="preserve">and </w:t>
      </w:r>
      <w:r w:rsidRPr="00856989">
        <w:rPr>
          <w:rFonts w:ascii="Aptos" w:eastAsia="Times New Roman" w:hAnsi="Aptos" w:cs="Times New Roman"/>
          <w:bCs/>
          <w:i/>
          <w:iCs/>
          <w:color w:val="000000"/>
        </w:rPr>
        <w:t>Beard</w:t>
      </w:r>
      <w:r w:rsidR="009D74F0">
        <w:rPr>
          <w:rFonts w:ascii="Aptos" w:eastAsia="Times New Roman" w:hAnsi="Aptos" w:cs="Times New Roman"/>
          <w:bCs/>
          <w:i/>
          <w:iCs/>
          <w:color w:val="000000"/>
        </w:rPr>
        <w:t xml:space="preserve"> v. Teska</w:t>
      </w:r>
      <w:r w:rsidR="009D74F0">
        <w:rPr>
          <w:rFonts w:ascii="Aptos" w:eastAsia="Times New Roman" w:hAnsi="Aptos" w:cs="Times New Roman"/>
          <w:bCs/>
          <w:color w:val="000000"/>
        </w:rPr>
        <w:t>,</w:t>
      </w:r>
      <w:r>
        <w:rPr>
          <w:rFonts w:ascii="Aptos" w:eastAsia="Times New Roman" w:hAnsi="Aptos" w:cs="Times New Roman"/>
          <w:bCs/>
          <w:color w:val="000000"/>
        </w:rPr>
        <w:t xml:space="preserve"> </w:t>
      </w:r>
      <w:r w:rsidRPr="00856989">
        <w:rPr>
          <w:rFonts w:ascii="Aptos" w:eastAsia="Times New Roman" w:hAnsi="Aptos" w:cs="Times New Roman"/>
          <w:bCs/>
          <w:color w:val="000000"/>
        </w:rPr>
        <w:t xml:space="preserve">31 F.3d </w:t>
      </w:r>
      <w:r w:rsidR="009D74F0">
        <w:rPr>
          <w:rFonts w:ascii="Aptos" w:eastAsia="Times New Roman" w:hAnsi="Aptos" w:cs="Times New Roman"/>
          <w:bCs/>
          <w:color w:val="000000"/>
        </w:rPr>
        <w:t xml:space="preserve">942, </w:t>
      </w:r>
      <w:r w:rsidRPr="00856989">
        <w:rPr>
          <w:rFonts w:ascii="Aptos" w:eastAsia="Times New Roman" w:hAnsi="Aptos" w:cs="Times New Roman"/>
          <w:bCs/>
          <w:color w:val="000000"/>
        </w:rPr>
        <w:t>954</w:t>
      </w:r>
      <w:r w:rsidR="009D74F0">
        <w:rPr>
          <w:rFonts w:ascii="Aptos" w:eastAsia="Times New Roman" w:hAnsi="Aptos" w:cs="Times New Roman"/>
          <w:bCs/>
          <w:color w:val="000000"/>
        </w:rPr>
        <w:t xml:space="preserve"> (1</w:t>
      </w:r>
      <w:r w:rsidR="001877DE">
        <w:rPr>
          <w:rFonts w:ascii="Aptos" w:eastAsia="Times New Roman" w:hAnsi="Aptos" w:cs="Times New Roman"/>
          <w:bCs/>
          <w:color w:val="000000"/>
        </w:rPr>
        <w:t>0th</w:t>
      </w:r>
      <w:r w:rsidR="009D74F0">
        <w:rPr>
          <w:rFonts w:ascii="Aptos" w:eastAsia="Times New Roman" w:hAnsi="Aptos" w:cs="Times New Roman"/>
          <w:bCs/>
          <w:color w:val="000000"/>
        </w:rPr>
        <w:t xml:space="preserve"> Cir. 1994) </w:t>
      </w:r>
      <w:r w:rsidR="009D74F0">
        <w:rPr>
          <w:rFonts w:ascii="Aptos" w:eastAsia="Times New Roman" w:hAnsi="Aptos" w:cs="Times New Roman"/>
          <w:bCs/>
          <w:i/>
          <w:iCs/>
          <w:color w:val="000000"/>
        </w:rPr>
        <w:t>abrogated on other grounds by Buckhannon Bd. &amp; Care Home, Inc. v. W. Virginia Dep’t of Health &amp; Hum. Res.</w:t>
      </w:r>
      <w:r w:rsidR="009D74F0">
        <w:rPr>
          <w:rFonts w:ascii="Aptos" w:eastAsia="Times New Roman" w:hAnsi="Aptos" w:cs="Times New Roman"/>
          <w:bCs/>
          <w:color w:val="000000"/>
        </w:rPr>
        <w:t>, 532 US 598 (2001)</w:t>
      </w:r>
      <w:r>
        <w:rPr>
          <w:rFonts w:ascii="Aptos" w:eastAsia="Times New Roman" w:hAnsi="Aptos" w:cs="Times New Roman"/>
          <w:bCs/>
          <w:color w:val="000000"/>
        </w:rPr>
        <w:t xml:space="preserve">, </w:t>
      </w:r>
      <w:r w:rsidRPr="00856989">
        <w:rPr>
          <w:rFonts w:ascii="Aptos" w:eastAsia="Times New Roman" w:hAnsi="Aptos" w:cs="Times New Roman"/>
          <w:bCs/>
          <w:color w:val="000000"/>
        </w:rPr>
        <w:t xml:space="preserve">concluding DESE may be liable for compensatory services due to allegations </w:t>
      </w:r>
      <w:r>
        <w:rPr>
          <w:rFonts w:ascii="Aptos" w:eastAsia="Times New Roman" w:hAnsi="Aptos" w:cs="Times New Roman"/>
          <w:bCs/>
          <w:color w:val="000000"/>
        </w:rPr>
        <w:t>it</w:t>
      </w:r>
      <w:r w:rsidRPr="00856989">
        <w:rPr>
          <w:rFonts w:ascii="Aptos" w:eastAsia="Times New Roman" w:hAnsi="Aptos" w:cs="Times New Roman"/>
          <w:bCs/>
          <w:color w:val="000000"/>
        </w:rPr>
        <w:t xml:space="preserve"> was aware of the lack of an identified responsible LEA during the </w:t>
      </w:r>
      <w:r>
        <w:rPr>
          <w:rFonts w:ascii="Aptos" w:eastAsia="Times New Roman" w:hAnsi="Aptos" w:cs="Times New Roman"/>
          <w:bCs/>
          <w:color w:val="000000"/>
        </w:rPr>
        <w:t xml:space="preserve">relevant timeframe </w:t>
      </w:r>
      <w:r w:rsidRPr="00856989">
        <w:rPr>
          <w:rFonts w:ascii="Aptos" w:eastAsia="Times New Roman" w:hAnsi="Aptos" w:cs="Times New Roman"/>
          <w:bCs/>
          <w:color w:val="000000"/>
        </w:rPr>
        <w:t>in that matter, had failed to assign a responsible LEA despite being requested to do so, and had provided Student with tutoring services while also refusing to develop an IEP for her)</w:t>
      </w:r>
      <w:r w:rsidRPr="00856989">
        <w:rPr>
          <w:rFonts w:ascii="Aptos" w:hAnsi="Aptos"/>
        </w:rPr>
        <w:t>.</w:t>
      </w:r>
    </w:p>
  </w:footnote>
  <w:footnote w:id="14">
    <w:p w14:paraId="46EB53BD" w14:textId="77777777" w:rsidR="00B21181" w:rsidRPr="00856989" w:rsidRDefault="00B21181" w:rsidP="00B21181">
      <w:pPr>
        <w:pStyle w:val="FootnoteText"/>
        <w:rPr>
          <w:rFonts w:ascii="Aptos" w:hAnsi="Aptos"/>
        </w:rPr>
      </w:pPr>
      <w:r w:rsidRPr="00856989">
        <w:rPr>
          <w:rStyle w:val="FootnoteReference"/>
          <w:rFonts w:ascii="Aptos" w:hAnsi="Aptos"/>
        </w:rPr>
        <w:footnoteRef/>
      </w:r>
      <w:r w:rsidRPr="00856989">
        <w:rPr>
          <w:rFonts w:ascii="Aptos" w:hAnsi="Aptos"/>
        </w:rPr>
        <w:t xml:space="preserve">   In Massachusetts the SEA is DESE.</w:t>
      </w:r>
    </w:p>
  </w:footnote>
  <w:footnote w:id="15">
    <w:p w14:paraId="531FC4CE" w14:textId="2320EFC7" w:rsidR="00BA43DB" w:rsidRPr="00856989" w:rsidRDefault="00BA43DB" w:rsidP="00BA43DB">
      <w:pPr>
        <w:spacing w:after="0" w:line="240" w:lineRule="auto"/>
        <w:rPr>
          <w:rFonts w:ascii="Aptos" w:eastAsia="Times New Roman" w:hAnsi="Aptos" w:cs="Times New Roman"/>
          <w:bCs/>
          <w:color w:val="000000"/>
          <w:sz w:val="20"/>
          <w:szCs w:val="20"/>
        </w:rPr>
      </w:pPr>
      <w:r w:rsidRPr="00856989">
        <w:rPr>
          <w:rStyle w:val="FootnoteReference"/>
          <w:rFonts w:ascii="Aptos" w:hAnsi="Aptos"/>
          <w:sz w:val="20"/>
          <w:szCs w:val="20"/>
        </w:rPr>
        <w:footnoteRef/>
      </w:r>
      <w:r w:rsidRPr="00856989">
        <w:rPr>
          <w:rFonts w:ascii="Aptos" w:hAnsi="Aptos"/>
          <w:sz w:val="20"/>
          <w:szCs w:val="20"/>
        </w:rPr>
        <w:t xml:space="preserve">   See </w:t>
      </w:r>
      <w:proofErr w:type="spellStart"/>
      <w:r w:rsidRPr="00856989">
        <w:rPr>
          <w:rFonts w:ascii="Aptos" w:hAnsi="Aptos"/>
          <w:i/>
          <w:iCs/>
          <w:sz w:val="20"/>
          <w:szCs w:val="20"/>
        </w:rPr>
        <w:t>Carnwath</w:t>
      </w:r>
      <w:proofErr w:type="spellEnd"/>
      <w:r w:rsidRPr="00856989">
        <w:rPr>
          <w:rFonts w:ascii="Aptos" w:hAnsi="Aptos"/>
          <w:sz w:val="20"/>
          <w:szCs w:val="20"/>
        </w:rPr>
        <w:t xml:space="preserve">, 115 F. Supp.2d </w:t>
      </w:r>
      <w:r w:rsidR="00E831A9">
        <w:rPr>
          <w:rFonts w:ascii="Aptos" w:hAnsi="Aptos"/>
          <w:sz w:val="20"/>
          <w:szCs w:val="20"/>
        </w:rPr>
        <w:t xml:space="preserve">at </w:t>
      </w:r>
      <w:r w:rsidRPr="00856989">
        <w:rPr>
          <w:rFonts w:ascii="Aptos" w:hAnsi="Aptos"/>
          <w:sz w:val="20"/>
          <w:szCs w:val="20"/>
        </w:rPr>
        <w:t xml:space="preserve">582 (“The SEA may also be liable where its own failure to follow the procedural requirements of the IDEA leads to denial of FAPE.  The critical point, however, is that the SEA may not be held liable where it was not responsible for the procedural failure”) (internal citations omitted); </w:t>
      </w:r>
      <w:r w:rsidRPr="00856989">
        <w:rPr>
          <w:rFonts w:ascii="Aptos" w:eastAsia="Times New Roman" w:hAnsi="Aptos" w:cs="Times New Roman"/>
          <w:bCs/>
          <w:i/>
          <w:iCs/>
          <w:color w:val="000000"/>
          <w:sz w:val="20"/>
          <w:szCs w:val="20"/>
        </w:rPr>
        <w:t>R.V. v. Rivera</w:t>
      </w:r>
      <w:r w:rsidRPr="00856989">
        <w:rPr>
          <w:rFonts w:ascii="Aptos" w:eastAsia="Times New Roman" w:hAnsi="Aptos" w:cs="Times New Roman"/>
          <w:bCs/>
          <w:color w:val="000000"/>
          <w:sz w:val="20"/>
          <w:szCs w:val="20"/>
        </w:rPr>
        <w:t xml:space="preserve">, 220 F. Supp. 3d 588, 594 (E.D. Pa. 2016) </w:t>
      </w:r>
      <w:r>
        <w:rPr>
          <w:rFonts w:ascii="Aptos" w:eastAsia="Times New Roman" w:hAnsi="Aptos" w:cs="Times New Roman"/>
          <w:bCs/>
          <w:color w:val="000000"/>
          <w:sz w:val="20"/>
          <w:szCs w:val="20"/>
        </w:rPr>
        <w:t>(</w:t>
      </w:r>
      <w:r w:rsidRPr="00856989">
        <w:rPr>
          <w:rFonts w:ascii="Aptos" w:eastAsia="Times New Roman" w:hAnsi="Aptos" w:cs="Times New Roman"/>
          <w:bCs/>
          <w:color w:val="000000"/>
          <w:sz w:val="20"/>
          <w:szCs w:val="20"/>
        </w:rPr>
        <w:t>finding the SEA to be a proper party in a FAPE claim against a failed charter school that was no longer in existence, reasoning that,</w:t>
      </w:r>
    </w:p>
    <w:p w14:paraId="04CE02C8" w14:textId="77777777" w:rsidR="00BA43DB" w:rsidRPr="00856989" w:rsidRDefault="00BA43DB" w:rsidP="00BA43DB">
      <w:pPr>
        <w:pStyle w:val="FootnoteText"/>
        <w:ind w:left="720" w:right="720"/>
        <w:rPr>
          <w:rFonts w:ascii="Aptos" w:hAnsi="Aptos"/>
        </w:rPr>
      </w:pPr>
      <w:r w:rsidRPr="00856989">
        <w:rPr>
          <w:rFonts w:ascii="Aptos" w:eastAsia="Times New Roman" w:hAnsi="Aptos" w:cs="Times New Roman"/>
          <w:bCs/>
          <w:color w:val="000000"/>
        </w:rPr>
        <w:t>“[i]t does not follow from this, as [the SEA] fears, that in every instance where an LEA is alleged to have failed to provide a FAPE or otherwise comply with its IDEA obligations an SEA may be named in a due process complaint regarding those allegations. Where there is an existing LEA that could be held responsible for alleged FAPE violations, then it, and not the SEA, would be the proper party in a due process hearing.  Where, as here, there is no other educational agency to which a parent may look to vindicate her child's rights to a FAPE because the LEA in which the alleged violations occurred has since ceased to exist, the SEA's obligations as the backstop to the state's IDEA obligations kick in. Accordingly, [the SEA] was a proper party to the IDEA due process complaint in this case”</w:t>
      </w:r>
      <w:r>
        <w:rPr>
          <w:rFonts w:ascii="Aptos" w:eastAsia="Times New Roman" w:hAnsi="Aptos" w:cs="Times New Roman"/>
          <w:bCs/>
          <w:color w:val="000000"/>
        </w:rPr>
        <w:t>)</w:t>
      </w:r>
      <w:r w:rsidRPr="00856989">
        <w:rPr>
          <w:rFonts w:ascii="Aptos" w:hAnsi="Aptos"/>
        </w:rPr>
        <w:t xml:space="preserve">.  </w:t>
      </w:r>
    </w:p>
  </w:footnote>
  <w:footnote w:id="16">
    <w:p w14:paraId="16E2B1B3" w14:textId="03BD3289" w:rsidR="00CA5496" w:rsidRPr="00E27E63" w:rsidRDefault="00CA5496" w:rsidP="00CA5496">
      <w:pPr>
        <w:pStyle w:val="FootnoteText"/>
        <w:rPr>
          <w:rFonts w:ascii="Aptos" w:hAnsi="Aptos"/>
        </w:rPr>
      </w:pPr>
      <w:r w:rsidRPr="003D1059">
        <w:rPr>
          <w:rStyle w:val="FootnoteReference"/>
          <w:rFonts w:ascii="Aptos" w:hAnsi="Aptos"/>
        </w:rPr>
        <w:footnoteRef/>
      </w:r>
      <w:r w:rsidRPr="003D1059">
        <w:rPr>
          <w:rFonts w:ascii="Aptos" w:hAnsi="Aptos"/>
        </w:rPr>
        <w:t xml:space="preserve">   M.G.L. c. 71B §</w:t>
      </w:r>
      <w:r w:rsidR="006E74A9" w:rsidRPr="003D1059">
        <w:rPr>
          <w:rFonts w:ascii="Aptos" w:hAnsi="Aptos"/>
        </w:rPr>
        <w:t>12</w:t>
      </w:r>
      <w:r w:rsidR="00183105" w:rsidRPr="003D1059">
        <w:rPr>
          <w:rFonts w:ascii="Aptos" w:hAnsi="Aptos"/>
        </w:rPr>
        <w:t xml:space="preserve"> </w:t>
      </w:r>
      <w:r w:rsidR="00773469" w:rsidRPr="003D1059">
        <w:rPr>
          <w:rFonts w:ascii="Aptos" w:hAnsi="Aptos"/>
        </w:rPr>
        <w:t>(</w:t>
      </w:r>
      <w:r w:rsidR="00183105" w:rsidRPr="003D1059">
        <w:rPr>
          <w:rFonts w:ascii="Aptos" w:hAnsi="Aptos"/>
        </w:rPr>
        <w:t>”</w:t>
      </w:r>
      <w:r w:rsidR="00C452EB" w:rsidRPr="003D1059">
        <w:rPr>
          <w:rFonts w:ascii="Aptos" w:hAnsi="Aptos"/>
        </w:rPr>
        <w:t>[DESE</w:t>
      </w:r>
      <w:r w:rsidR="00183105" w:rsidRPr="003D1059">
        <w:rPr>
          <w:rFonts w:ascii="Aptos" w:hAnsi="Aptos"/>
        </w:rPr>
        <w:t>] shall establish and maintain a school department for school-age children in each institution under the control of the department[] of … youth services which provides support and care for resident children with a disability, acting jointly with the department which has control over the particular institution …”.)</w:t>
      </w:r>
      <w:r w:rsidRPr="003D1059">
        <w:rPr>
          <w:rFonts w:ascii="Aptos" w:hAnsi="Aptos"/>
        </w:rPr>
        <w:t>; 603 CMR 28.06(9)</w:t>
      </w:r>
      <w:r w:rsidR="00183105" w:rsidRPr="003D1059">
        <w:rPr>
          <w:rFonts w:ascii="Aptos" w:hAnsi="Aptos"/>
        </w:rPr>
        <w:t xml:space="preserve"> (entitled “Educational Services in Institutional Settings”)</w:t>
      </w:r>
      <w:r w:rsidRPr="003D1059">
        <w:rPr>
          <w:rFonts w:ascii="Aptos" w:hAnsi="Aptos"/>
        </w:rPr>
        <w:t xml:space="preserve">; see M.G.L. c. 71B §1; </w:t>
      </w:r>
      <w:r w:rsidR="003D1059" w:rsidRPr="003D1059">
        <w:rPr>
          <w:rFonts w:ascii="Aptos" w:hAnsi="Aptos"/>
        </w:rPr>
        <w:t>34 CFR 300.2(b)(1)(iv)</w:t>
      </w:r>
      <w:r w:rsidR="00D957F3">
        <w:rPr>
          <w:rFonts w:ascii="Aptos" w:hAnsi="Aptos"/>
        </w:rPr>
        <w:t xml:space="preserve"> (the IDEA applies to “state and local juvenile and adult correctional facilities”)</w:t>
      </w:r>
      <w:r w:rsidR="003D1059">
        <w:rPr>
          <w:rFonts w:ascii="Aptos" w:hAnsi="Aptos"/>
        </w:rPr>
        <w:t xml:space="preserve">; </w:t>
      </w:r>
      <w:r w:rsidRPr="00E27E63">
        <w:rPr>
          <w:rFonts w:ascii="Aptos" w:hAnsi="Aptos"/>
          <w:i/>
          <w:iCs/>
        </w:rPr>
        <w:t>Letter to Colleague</w:t>
      </w:r>
      <w:r w:rsidRPr="00E27E63">
        <w:rPr>
          <w:rFonts w:ascii="Aptos" w:hAnsi="Aptos"/>
        </w:rPr>
        <w:t xml:space="preserve"> (OSERS, December 5, 2014)</w:t>
      </w:r>
      <w:r w:rsidR="000F3E1F" w:rsidRPr="00856989">
        <w:rPr>
          <w:rFonts w:ascii="Aptos" w:hAnsi="Aptos"/>
        </w:rPr>
        <w:t>.</w:t>
      </w:r>
    </w:p>
  </w:footnote>
  <w:footnote w:id="17">
    <w:p w14:paraId="6D8D18DF" w14:textId="54822149" w:rsidR="00717742" w:rsidRDefault="00717742" w:rsidP="00717742">
      <w:pPr>
        <w:pStyle w:val="FootnoteText"/>
      </w:pPr>
      <w:r>
        <w:rPr>
          <w:rStyle w:val="FootnoteReference"/>
        </w:rPr>
        <w:footnoteRef/>
      </w:r>
      <w:r>
        <w:t xml:space="preserve">   603 CMR 28.06(9) and (9)(c)</w:t>
      </w:r>
      <w:r w:rsidR="00B85BD5">
        <w:t xml:space="preserve">; </w:t>
      </w:r>
      <w:r w:rsidR="00B85BD5">
        <w:rPr>
          <w:rFonts w:ascii="Aptos" w:hAnsi="Aptos"/>
        </w:rPr>
        <w:t>s</w:t>
      </w:r>
      <w:r w:rsidR="00B85BD5" w:rsidRPr="00856989">
        <w:rPr>
          <w:rFonts w:ascii="Aptos" w:hAnsi="Aptos"/>
        </w:rPr>
        <w:t>ee</w:t>
      </w:r>
      <w:r w:rsidR="00B85BD5">
        <w:rPr>
          <w:rFonts w:ascii="Aptos" w:hAnsi="Aptos"/>
        </w:rPr>
        <w:t xml:space="preserve"> 20 US </w:t>
      </w:r>
      <w:r w:rsidR="00B85BD5" w:rsidRPr="00856989">
        <w:rPr>
          <w:rFonts w:ascii="Aptos" w:hAnsi="Aptos"/>
        </w:rPr>
        <w:t xml:space="preserve">1412(b) </w:t>
      </w:r>
      <w:r w:rsidR="00B85BD5">
        <w:rPr>
          <w:rFonts w:ascii="Aptos" w:hAnsi="Aptos"/>
        </w:rPr>
        <w:t>(</w:t>
      </w:r>
      <w:r w:rsidR="00B85BD5" w:rsidRPr="00856989">
        <w:rPr>
          <w:rFonts w:ascii="Aptos" w:hAnsi="Aptos"/>
        </w:rPr>
        <w:t xml:space="preserve">entitled “State educational agency as provider of </w:t>
      </w:r>
      <w:r w:rsidR="00872FA7">
        <w:rPr>
          <w:rFonts w:ascii="Aptos" w:hAnsi="Aptos"/>
        </w:rPr>
        <w:t>[FAPE]</w:t>
      </w:r>
      <w:r w:rsidR="00B85BD5" w:rsidRPr="00856989">
        <w:rPr>
          <w:rFonts w:ascii="Aptos" w:hAnsi="Aptos"/>
        </w:rPr>
        <w:t xml:space="preserve"> or direct services” </w:t>
      </w:r>
      <w:r w:rsidR="00B85BD5">
        <w:rPr>
          <w:rFonts w:ascii="Aptos" w:hAnsi="Aptos"/>
        </w:rPr>
        <w:t xml:space="preserve">and </w:t>
      </w:r>
      <w:r w:rsidR="00B85BD5" w:rsidRPr="00856989">
        <w:rPr>
          <w:rFonts w:ascii="Aptos" w:hAnsi="Aptos"/>
        </w:rPr>
        <w:t>providing that “</w:t>
      </w:r>
      <w:r w:rsidR="00B85BD5" w:rsidRPr="00856989">
        <w:rPr>
          <w:rFonts w:ascii="Aptos" w:hAnsi="Aptos"/>
          <w:i/>
          <w:iCs/>
        </w:rPr>
        <w:t>if</w:t>
      </w:r>
      <w:r w:rsidR="00B85BD5" w:rsidRPr="00856989">
        <w:rPr>
          <w:rFonts w:ascii="Aptos" w:hAnsi="Aptos"/>
        </w:rPr>
        <w:t xml:space="preserve"> the [SEA] provides [FAPE] to children with disabilities, or provides direct services to such children, such agency shall comply with any additional requirements of section 1413(a) [of the IDEA] </w:t>
      </w:r>
      <w:r w:rsidR="00B85BD5" w:rsidRPr="00856989">
        <w:rPr>
          <w:rFonts w:ascii="Aptos" w:hAnsi="Aptos"/>
          <w:i/>
          <w:iCs/>
        </w:rPr>
        <w:t>as if such agency were a local educational agency</w:t>
      </w:r>
      <w:r w:rsidR="00B85BD5" w:rsidRPr="00856989">
        <w:rPr>
          <w:rFonts w:ascii="Aptos" w:hAnsi="Aptos"/>
        </w:rPr>
        <w:t xml:space="preserve"> …” (emphasis added)</w:t>
      </w:r>
      <w:r w:rsidR="00B85BD5">
        <w:rPr>
          <w:rFonts w:ascii="Aptos" w:hAnsi="Aptos"/>
        </w:rPr>
        <w:t>)</w:t>
      </w:r>
      <w:r>
        <w:t>.</w:t>
      </w:r>
    </w:p>
  </w:footnote>
  <w:footnote w:id="18">
    <w:p w14:paraId="051C410D" w14:textId="77777777" w:rsidR="00FE4F16" w:rsidRPr="00C26571" w:rsidRDefault="00FE4F16" w:rsidP="00FE4F16">
      <w:pPr>
        <w:pStyle w:val="FootnoteText"/>
      </w:pPr>
      <w:r>
        <w:rPr>
          <w:rStyle w:val="FootnoteReference"/>
        </w:rPr>
        <w:footnoteRef/>
      </w:r>
      <w:r>
        <w:t xml:space="preserve"> </w:t>
      </w:r>
      <w:r w:rsidRPr="00874C21">
        <w:rPr>
          <w:rFonts w:ascii="Aptos" w:eastAsia="Times New Roman" w:hAnsi="Aptos" w:cs="Times New Roman"/>
          <w:bCs/>
          <w:color w:val="000000"/>
        </w:rPr>
        <w:t xml:space="preserve">Although the </w:t>
      </w:r>
      <w:r w:rsidRPr="00874C21">
        <w:rPr>
          <w:rFonts w:ascii="Aptos" w:eastAsia="Times New Roman" w:hAnsi="Aptos" w:cs="Times New Roman"/>
          <w:bCs/>
          <w:i/>
          <w:iCs/>
          <w:color w:val="000000"/>
        </w:rPr>
        <w:t xml:space="preserve">Motion </w:t>
      </w:r>
      <w:r w:rsidRPr="00874C21">
        <w:rPr>
          <w:rFonts w:ascii="Aptos" w:eastAsia="Times New Roman" w:hAnsi="Aptos" w:cs="Times New Roman"/>
          <w:bCs/>
          <w:color w:val="000000"/>
        </w:rPr>
        <w:t>argues that pursuant to DESE’s IDEA general supervisory authority Student “may be entitled to relief from DESE due to their (sic) failure to provide, or ensure the provision of, [Student’s special education] services” while in DYS custody, this argument i</w:t>
      </w:r>
      <w:r>
        <w:rPr>
          <w:rFonts w:ascii="Aptos" w:eastAsia="Times New Roman" w:hAnsi="Aptos" w:cs="Times New Roman"/>
          <w:bCs/>
          <w:color w:val="000000"/>
        </w:rPr>
        <w:t>s</w:t>
      </w:r>
      <w:r w:rsidRPr="00874C21">
        <w:rPr>
          <w:rFonts w:ascii="Aptos" w:eastAsia="Times New Roman" w:hAnsi="Aptos" w:cs="Times New Roman"/>
          <w:bCs/>
          <w:color w:val="000000"/>
        </w:rPr>
        <w:t xml:space="preserve"> beyond the actual issues raised in the </w:t>
      </w:r>
      <w:r w:rsidRPr="00874C21">
        <w:rPr>
          <w:rFonts w:ascii="Aptos" w:eastAsia="Times New Roman" w:hAnsi="Aptos" w:cs="Times New Roman"/>
          <w:bCs/>
          <w:i/>
          <w:iCs/>
          <w:color w:val="000000"/>
        </w:rPr>
        <w:t>Hearing Request.</w:t>
      </w:r>
    </w:p>
  </w:footnote>
  <w:footnote w:id="19">
    <w:p w14:paraId="46208EFD" w14:textId="77777777" w:rsidR="00C5559D" w:rsidRDefault="00C5559D" w:rsidP="00C5559D">
      <w:pPr>
        <w:pStyle w:val="FootnoteText"/>
      </w:pPr>
      <w:r>
        <w:rPr>
          <w:rStyle w:val="FootnoteReference"/>
        </w:rPr>
        <w:footnoteRef/>
      </w:r>
      <w:r>
        <w:t xml:space="preserve">   </w:t>
      </w:r>
      <w:r w:rsidRPr="00856989">
        <w:rPr>
          <w:rFonts w:ascii="Aptos" w:hAnsi="Aptos"/>
        </w:rPr>
        <w:t xml:space="preserve">See </w:t>
      </w:r>
      <w:r>
        <w:rPr>
          <w:rFonts w:ascii="Aptos" w:hAnsi="Aptos"/>
        </w:rPr>
        <w:t xml:space="preserve">20 US </w:t>
      </w:r>
      <w:r w:rsidRPr="00856989">
        <w:rPr>
          <w:rFonts w:ascii="Aptos" w:hAnsi="Aptos"/>
        </w:rPr>
        <w:t>1412(b</w:t>
      </w:r>
      <w:r>
        <w:rPr>
          <w:rFonts w:ascii="Aptos" w:hAnsi="Aptos"/>
        </w:rPr>
        <w:t>).</w:t>
      </w:r>
    </w:p>
  </w:footnote>
  <w:footnote w:id="20">
    <w:p w14:paraId="3602EE51" w14:textId="126CC411" w:rsidR="00051E73" w:rsidRPr="004516F7" w:rsidRDefault="00051E73" w:rsidP="004516F7">
      <w:pPr>
        <w:spacing w:after="0" w:line="240" w:lineRule="auto"/>
        <w:rPr>
          <w:rFonts w:ascii="Aptos" w:hAnsi="Aptos"/>
          <w:sz w:val="20"/>
          <w:szCs w:val="20"/>
        </w:rPr>
      </w:pPr>
      <w:r w:rsidRPr="004516F7">
        <w:rPr>
          <w:rStyle w:val="FootnoteReference"/>
          <w:rFonts w:ascii="Aptos" w:hAnsi="Aptos"/>
          <w:sz w:val="20"/>
          <w:szCs w:val="20"/>
        </w:rPr>
        <w:footnoteRef/>
      </w:r>
      <w:r w:rsidR="004516F7" w:rsidRPr="004516F7">
        <w:rPr>
          <w:rFonts w:ascii="Aptos" w:hAnsi="Aptos"/>
          <w:sz w:val="20"/>
          <w:szCs w:val="20"/>
        </w:rPr>
        <w:t xml:space="preserve">   See </w:t>
      </w:r>
      <w:r w:rsidR="004516F7" w:rsidRPr="004516F7">
        <w:rPr>
          <w:rFonts w:ascii="Aptos" w:hAnsi="Aptos"/>
          <w:i/>
          <w:iCs/>
          <w:sz w:val="20"/>
          <w:szCs w:val="20"/>
        </w:rPr>
        <w:t xml:space="preserve">Hearing </w:t>
      </w:r>
      <w:r w:rsidR="00DD332A" w:rsidRPr="004516F7">
        <w:rPr>
          <w:rFonts w:ascii="Aptos" w:eastAsia="Times New Roman" w:hAnsi="Aptos" w:cs="Times New Roman"/>
          <w:bCs/>
          <w:i/>
          <w:iCs/>
          <w:color w:val="000000"/>
          <w:sz w:val="20"/>
          <w:szCs w:val="20"/>
        </w:rPr>
        <w:t>Rule I(J)</w:t>
      </w:r>
      <w:r w:rsidR="004516F7" w:rsidRPr="004516F7">
        <w:rPr>
          <w:rFonts w:ascii="Aptos" w:eastAsia="Times New Roman" w:hAnsi="Aptos" w:cs="Times New Roman"/>
          <w:bCs/>
          <w:color w:val="000000"/>
          <w:sz w:val="20"/>
          <w:szCs w:val="20"/>
        </w:rPr>
        <w:t>.</w:t>
      </w:r>
    </w:p>
  </w:footnote>
  <w:footnote w:id="21">
    <w:p w14:paraId="29274077" w14:textId="77777777" w:rsidR="000E7A2A" w:rsidRPr="000467B1" w:rsidRDefault="000E7A2A" w:rsidP="000E7A2A">
      <w:pPr>
        <w:pStyle w:val="FootnoteText"/>
        <w:rPr>
          <w:rFonts w:ascii="Aptos" w:hAnsi="Aptos" w:cs="Times New Roman"/>
        </w:rPr>
      </w:pPr>
      <w:r w:rsidRPr="000467B1">
        <w:rPr>
          <w:rStyle w:val="FootnoteReference"/>
          <w:rFonts w:ascii="Aptos" w:hAnsi="Aptos" w:cs="Times New Roman"/>
        </w:rPr>
        <w:footnoteRef/>
      </w:r>
      <w:r w:rsidRPr="000467B1">
        <w:rPr>
          <w:rFonts w:ascii="Aptos" w:hAnsi="Aptos" w:cs="Times New Roman"/>
        </w:rPr>
        <w:t xml:space="preserve">    </w:t>
      </w:r>
      <w:r w:rsidRPr="000467B1">
        <w:rPr>
          <w:rFonts w:ascii="Aptos" w:hAnsi="Aptos" w:cs="Times New Roman"/>
          <w:bCs/>
        </w:rPr>
        <w:t xml:space="preserve">20 USC §1415(b)(6); </w:t>
      </w:r>
      <w:r w:rsidRPr="000467B1">
        <w:rPr>
          <w:rFonts w:ascii="Aptos" w:hAnsi="Aptos" w:cs="Times New Roman"/>
        </w:rPr>
        <w:t>M.G.L. c. 71 § 2A; see 34 CFR 300.507(a)(1); 603 CMR 28.08(3)(a), providing for the BSEA to hear “… any matter concerning the eligibility, evaluation, placement, IEP, provision of special education in accordance with state and federal law or the procedural protections of state and federal law for students with disabilities.”; see 34 CFR 300.507(a)(1); 603 CMR 28.08(3)(a).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F34"/>
    <w:multiLevelType w:val="hybridMultilevel"/>
    <w:tmpl w:val="F37E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12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2A"/>
    <w:rsid w:val="000016E5"/>
    <w:rsid w:val="00003005"/>
    <w:rsid w:val="00003426"/>
    <w:rsid w:val="000055B3"/>
    <w:rsid w:val="000062A4"/>
    <w:rsid w:val="00013B75"/>
    <w:rsid w:val="00017513"/>
    <w:rsid w:val="000210CD"/>
    <w:rsid w:val="000246EE"/>
    <w:rsid w:val="000300A7"/>
    <w:rsid w:val="00031F5C"/>
    <w:rsid w:val="00032428"/>
    <w:rsid w:val="00037BE4"/>
    <w:rsid w:val="000432F1"/>
    <w:rsid w:val="00046115"/>
    <w:rsid w:val="00046789"/>
    <w:rsid w:val="0005012F"/>
    <w:rsid w:val="00051E73"/>
    <w:rsid w:val="000541C2"/>
    <w:rsid w:val="00055F3A"/>
    <w:rsid w:val="00060659"/>
    <w:rsid w:val="000615BB"/>
    <w:rsid w:val="00061763"/>
    <w:rsid w:val="00061B6E"/>
    <w:rsid w:val="000624D5"/>
    <w:rsid w:val="00070508"/>
    <w:rsid w:val="00071F4C"/>
    <w:rsid w:val="000728FD"/>
    <w:rsid w:val="0007497B"/>
    <w:rsid w:val="00077F02"/>
    <w:rsid w:val="00080E40"/>
    <w:rsid w:val="00084979"/>
    <w:rsid w:val="000903BA"/>
    <w:rsid w:val="00093422"/>
    <w:rsid w:val="00096CCD"/>
    <w:rsid w:val="000975C8"/>
    <w:rsid w:val="000A3873"/>
    <w:rsid w:val="000A48F3"/>
    <w:rsid w:val="000B26E8"/>
    <w:rsid w:val="000B30C8"/>
    <w:rsid w:val="000B531B"/>
    <w:rsid w:val="000B64AA"/>
    <w:rsid w:val="000B7054"/>
    <w:rsid w:val="000C0243"/>
    <w:rsid w:val="000C34BD"/>
    <w:rsid w:val="000D0B03"/>
    <w:rsid w:val="000D2FB8"/>
    <w:rsid w:val="000D2FD3"/>
    <w:rsid w:val="000D5006"/>
    <w:rsid w:val="000D5E09"/>
    <w:rsid w:val="000E16C6"/>
    <w:rsid w:val="000E35B8"/>
    <w:rsid w:val="000E5649"/>
    <w:rsid w:val="000E7A2A"/>
    <w:rsid w:val="000F0389"/>
    <w:rsid w:val="000F1F43"/>
    <w:rsid w:val="000F318E"/>
    <w:rsid w:val="000F3E1F"/>
    <w:rsid w:val="00100A4E"/>
    <w:rsid w:val="001012B6"/>
    <w:rsid w:val="00101EE8"/>
    <w:rsid w:val="00105220"/>
    <w:rsid w:val="001061AF"/>
    <w:rsid w:val="00111DD7"/>
    <w:rsid w:val="00112A23"/>
    <w:rsid w:val="00112D67"/>
    <w:rsid w:val="00121AB1"/>
    <w:rsid w:val="00131FFE"/>
    <w:rsid w:val="00132BF5"/>
    <w:rsid w:val="0013646A"/>
    <w:rsid w:val="00142E01"/>
    <w:rsid w:val="00142E42"/>
    <w:rsid w:val="001437F9"/>
    <w:rsid w:val="00143B34"/>
    <w:rsid w:val="001451FA"/>
    <w:rsid w:val="00147B25"/>
    <w:rsid w:val="00152038"/>
    <w:rsid w:val="0015659F"/>
    <w:rsid w:val="00156668"/>
    <w:rsid w:val="00157414"/>
    <w:rsid w:val="0016096F"/>
    <w:rsid w:val="001610B6"/>
    <w:rsid w:val="00161939"/>
    <w:rsid w:val="0016271D"/>
    <w:rsid w:val="00164BDE"/>
    <w:rsid w:val="001658C3"/>
    <w:rsid w:val="00165DB7"/>
    <w:rsid w:val="001669FC"/>
    <w:rsid w:val="0017212F"/>
    <w:rsid w:val="001733BB"/>
    <w:rsid w:val="001806C6"/>
    <w:rsid w:val="00183105"/>
    <w:rsid w:val="00183EC1"/>
    <w:rsid w:val="001844F4"/>
    <w:rsid w:val="001877DE"/>
    <w:rsid w:val="00187EBD"/>
    <w:rsid w:val="001904E4"/>
    <w:rsid w:val="00193484"/>
    <w:rsid w:val="00195562"/>
    <w:rsid w:val="001A12A9"/>
    <w:rsid w:val="001A3476"/>
    <w:rsid w:val="001A528B"/>
    <w:rsid w:val="001B1A53"/>
    <w:rsid w:val="001B29D3"/>
    <w:rsid w:val="001B531B"/>
    <w:rsid w:val="001B686B"/>
    <w:rsid w:val="001B7F72"/>
    <w:rsid w:val="001C24A3"/>
    <w:rsid w:val="001C39FC"/>
    <w:rsid w:val="001C3A55"/>
    <w:rsid w:val="001C429A"/>
    <w:rsid w:val="001D0079"/>
    <w:rsid w:val="001D1D25"/>
    <w:rsid w:val="001D37E9"/>
    <w:rsid w:val="001D3B4D"/>
    <w:rsid w:val="001D5B3E"/>
    <w:rsid w:val="001D6BE4"/>
    <w:rsid w:val="001E0708"/>
    <w:rsid w:val="001E29CB"/>
    <w:rsid w:val="001E2E10"/>
    <w:rsid w:val="001E3A8C"/>
    <w:rsid w:val="001E6B3A"/>
    <w:rsid w:val="001E6C24"/>
    <w:rsid w:val="001F1AAC"/>
    <w:rsid w:val="001F21C4"/>
    <w:rsid w:val="001F3012"/>
    <w:rsid w:val="001F34AA"/>
    <w:rsid w:val="001F7894"/>
    <w:rsid w:val="00200EA3"/>
    <w:rsid w:val="00201808"/>
    <w:rsid w:val="002030ED"/>
    <w:rsid w:val="00203A2E"/>
    <w:rsid w:val="00204DBD"/>
    <w:rsid w:val="00204DEF"/>
    <w:rsid w:val="002055CF"/>
    <w:rsid w:val="00205A48"/>
    <w:rsid w:val="00206715"/>
    <w:rsid w:val="00206989"/>
    <w:rsid w:val="00213A66"/>
    <w:rsid w:val="00213FDA"/>
    <w:rsid w:val="002147C7"/>
    <w:rsid w:val="0021760F"/>
    <w:rsid w:val="00222639"/>
    <w:rsid w:val="0022276C"/>
    <w:rsid w:val="002231E0"/>
    <w:rsid w:val="002233FB"/>
    <w:rsid w:val="00223C3F"/>
    <w:rsid w:val="002243E5"/>
    <w:rsid w:val="00226162"/>
    <w:rsid w:val="0022647A"/>
    <w:rsid w:val="00227488"/>
    <w:rsid w:val="00227632"/>
    <w:rsid w:val="00227FCC"/>
    <w:rsid w:val="0023070C"/>
    <w:rsid w:val="00230712"/>
    <w:rsid w:val="00230A73"/>
    <w:rsid w:val="002326EC"/>
    <w:rsid w:val="00232EFF"/>
    <w:rsid w:val="00234EC5"/>
    <w:rsid w:val="002351E7"/>
    <w:rsid w:val="00235E4B"/>
    <w:rsid w:val="00237B33"/>
    <w:rsid w:val="00240AB2"/>
    <w:rsid w:val="00241875"/>
    <w:rsid w:val="002428B5"/>
    <w:rsid w:val="002435D3"/>
    <w:rsid w:val="00251B33"/>
    <w:rsid w:val="0025206A"/>
    <w:rsid w:val="00253CD0"/>
    <w:rsid w:val="00255AB7"/>
    <w:rsid w:val="00256DEC"/>
    <w:rsid w:val="00261CDC"/>
    <w:rsid w:val="00261FA4"/>
    <w:rsid w:val="0026291A"/>
    <w:rsid w:val="00264390"/>
    <w:rsid w:val="00267D79"/>
    <w:rsid w:val="00270C53"/>
    <w:rsid w:val="00272112"/>
    <w:rsid w:val="0027397A"/>
    <w:rsid w:val="00275FFC"/>
    <w:rsid w:val="002815EC"/>
    <w:rsid w:val="00284DCE"/>
    <w:rsid w:val="00286DF4"/>
    <w:rsid w:val="00287039"/>
    <w:rsid w:val="0028789A"/>
    <w:rsid w:val="002878F0"/>
    <w:rsid w:val="00291719"/>
    <w:rsid w:val="00292038"/>
    <w:rsid w:val="0029389B"/>
    <w:rsid w:val="002942FE"/>
    <w:rsid w:val="002A0A5B"/>
    <w:rsid w:val="002A3ED4"/>
    <w:rsid w:val="002A4721"/>
    <w:rsid w:val="002A4E5B"/>
    <w:rsid w:val="002A556F"/>
    <w:rsid w:val="002A5C58"/>
    <w:rsid w:val="002A7B4A"/>
    <w:rsid w:val="002B1259"/>
    <w:rsid w:val="002B1A2A"/>
    <w:rsid w:val="002B1BA9"/>
    <w:rsid w:val="002B1D5B"/>
    <w:rsid w:val="002B4405"/>
    <w:rsid w:val="002B496C"/>
    <w:rsid w:val="002B7607"/>
    <w:rsid w:val="002C0995"/>
    <w:rsid w:val="002C1234"/>
    <w:rsid w:val="002C24BE"/>
    <w:rsid w:val="002C6B18"/>
    <w:rsid w:val="002D01FA"/>
    <w:rsid w:val="002D6078"/>
    <w:rsid w:val="002D73A3"/>
    <w:rsid w:val="002D7E33"/>
    <w:rsid w:val="002E0271"/>
    <w:rsid w:val="002E07D5"/>
    <w:rsid w:val="002E6988"/>
    <w:rsid w:val="002F0030"/>
    <w:rsid w:val="002F0180"/>
    <w:rsid w:val="002F4545"/>
    <w:rsid w:val="002F74E0"/>
    <w:rsid w:val="002F7C0D"/>
    <w:rsid w:val="00300582"/>
    <w:rsid w:val="00300A09"/>
    <w:rsid w:val="00301D44"/>
    <w:rsid w:val="00302992"/>
    <w:rsid w:val="00303B85"/>
    <w:rsid w:val="003055BA"/>
    <w:rsid w:val="003068A8"/>
    <w:rsid w:val="00306D4E"/>
    <w:rsid w:val="0031532D"/>
    <w:rsid w:val="00315CF5"/>
    <w:rsid w:val="00316570"/>
    <w:rsid w:val="003176B1"/>
    <w:rsid w:val="00317F90"/>
    <w:rsid w:val="00321391"/>
    <w:rsid w:val="00321ECD"/>
    <w:rsid w:val="00327307"/>
    <w:rsid w:val="00332142"/>
    <w:rsid w:val="00334A29"/>
    <w:rsid w:val="00342937"/>
    <w:rsid w:val="00344BC6"/>
    <w:rsid w:val="003531F3"/>
    <w:rsid w:val="00354B02"/>
    <w:rsid w:val="00355DA3"/>
    <w:rsid w:val="00357EFE"/>
    <w:rsid w:val="003600B1"/>
    <w:rsid w:val="00360418"/>
    <w:rsid w:val="003615B4"/>
    <w:rsid w:val="003756A6"/>
    <w:rsid w:val="00377E81"/>
    <w:rsid w:val="0038181F"/>
    <w:rsid w:val="00382951"/>
    <w:rsid w:val="00382C7A"/>
    <w:rsid w:val="003854F9"/>
    <w:rsid w:val="00390AF7"/>
    <w:rsid w:val="00390B18"/>
    <w:rsid w:val="00393A3C"/>
    <w:rsid w:val="00396B21"/>
    <w:rsid w:val="00396E85"/>
    <w:rsid w:val="003A2156"/>
    <w:rsid w:val="003A376D"/>
    <w:rsid w:val="003A3A08"/>
    <w:rsid w:val="003A7B51"/>
    <w:rsid w:val="003B537E"/>
    <w:rsid w:val="003C3133"/>
    <w:rsid w:val="003C7C73"/>
    <w:rsid w:val="003D0CBC"/>
    <w:rsid w:val="003D1059"/>
    <w:rsid w:val="003D30DB"/>
    <w:rsid w:val="003E24B8"/>
    <w:rsid w:val="003E372B"/>
    <w:rsid w:val="003E45D9"/>
    <w:rsid w:val="003E5CE1"/>
    <w:rsid w:val="003F53E9"/>
    <w:rsid w:val="003F5A50"/>
    <w:rsid w:val="00401C0D"/>
    <w:rsid w:val="004066E8"/>
    <w:rsid w:val="0041383F"/>
    <w:rsid w:val="004139E3"/>
    <w:rsid w:val="004204CC"/>
    <w:rsid w:val="004214A2"/>
    <w:rsid w:val="00421A57"/>
    <w:rsid w:val="00423E0B"/>
    <w:rsid w:val="00425378"/>
    <w:rsid w:val="0043144B"/>
    <w:rsid w:val="00431DD1"/>
    <w:rsid w:val="00434877"/>
    <w:rsid w:val="00440F32"/>
    <w:rsid w:val="0044235E"/>
    <w:rsid w:val="00442572"/>
    <w:rsid w:val="00444A36"/>
    <w:rsid w:val="00444DC7"/>
    <w:rsid w:val="004474FC"/>
    <w:rsid w:val="00450D86"/>
    <w:rsid w:val="004516F7"/>
    <w:rsid w:val="00451953"/>
    <w:rsid w:val="004527F6"/>
    <w:rsid w:val="00455864"/>
    <w:rsid w:val="0045650B"/>
    <w:rsid w:val="00460BB5"/>
    <w:rsid w:val="00464182"/>
    <w:rsid w:val="00465376"/>
    <w:rsid w:val="00467053"/>
    <w:rsid w:val="00467A59"/>
    <w:rsid w:val="004705D3"/>
    <w:rsid w:val="00471A8A"/>
    <w:rsid w:val="004729A2"/>
    <w:rsid w:val="00473875"/>
    <w:rsid w:val="00474FEF"/>
    <w:rsid w:val="00481C74"/>
    <w:rsid w:val="00482273"/>
    <w:rsid w:val="00487DE2"/>
    <w:rsid w:val="00496465"/>
    <w:rsid w:val="00497D94"/>
    <w:rsid w:val="004A1552"/>
    <w:rsid w:val="004A33EF"/>
    <w:rsid w:val="004A62DD"/>
    <w:rsid w:val="004B0B07"/>
    <w:rsid w:val="004B0F77"/>
    <w:rsid w:val="004B25A2"/>
    <w:rsid w:val="004B5198"/>
    <w:rsid w:val="004B71CF"/>
    <w:rsid w:val="004C2449"/>
    <w:rsid w:val="004C3698"/>
    <w:rsid w:val="004C70F5"/>
    <w:rsid w:val="004D1D14"/>
    <w:rsid w:val="004D4A5C"/>
    <w:rsid w:val="004E49CA"/>
    <w:rsid w:val="004E4E6E"/>
    <w:rsid w:val="004E78AD"/>
    <w:rsid w:val="004E7E07"/>
    <w:rsid w:val="004F2FDD"/>
    <w:rsid w:val="004F33E6"/>
    <w:rsid w:val="004F3B23"/>
    <w:rsid w:val="004F4855"/>
    <w:rsid w:val="00500568"/>
    <w:rsid w:val="00500676"/>
    <w:rsid w:val="00504418"/>
    <w:rsid w:val="0050789A"/>
    <w:rsid w:val="00511588"/>
    <w:rsid w:val="00512D8F"/>
    <w:rsid w:val="00513A16"/>
    <w:rsid w:val="0051555B"/>
    <w:rsid w:val="0051666B"/>
    <w:rsid w:val="00516CE0"/>
    <w:rsid w:val="00520102"/>
    <w:rsid w:val="00520528"/>
    <w:rsid w:val="0052210B"/>
    <w:rsid w:val="00523E29"/>
    <w:rsid w:val="0052571D"/>
    <w:rsid w:val="00525A27"/>
    <w:rsid w:val="00530EFE"/>
    <w:rsid w:val="00532E53"/>
    <w:rsid w:val="00536523"/>
    <w:rsid w:val="00537FA5"/>
    <w:rsid w:val="00541089"/>
    <w:rsid w:val="00541283"/>
    <w:rsid w:val="005415BD"/>
    <w:rsid w:val="00543BEB"/>
    <w:rsid w:val="0055113B"/>
    <w:rsid w:val="005538CE"/>
    <w:rsid w:val="00553935"/>
    <w:rsid w:val="00557170"/>
    <w:rsid w:val="00557D03"/>
    <w:rsid w:val="0056375B"/>
    <w:rsid w:val="0056486F"/>
    <w:rsid w:val="00567E90"/>
    <w:rsid w:val="00570443"/>
    <w:rsid w:val="00570EF4"/>
    <w:rsid w:val="00573E8A"/>
    <w:rsid w:val="00577E18"/>
    <w:rsid w:val="005830EA"/>
    <w:rsid w:val="00584FB1"/>
    <w:rsid w:val="00585D56"/>
    <w:rsid w:val="005905D9"/>
    <w:rsid w:val="00590988"/>
    <w:rsid w:val="00594FC6"/>
    <w:rsid w:val="005A0275"/>
    <w:rsid w:val="005A4FF2"/>
    <w:rsid w:val="005A57E8"/>
    <w:rsid w:val="005B004A"/>
    <w:rsid w:val="005B138F"/>
    <w:rsid w:val="005B29A6"/>
    <w:rsid w:val="005B4397"/>
    <w:rsid w:val="005B6CA3"/>
    <w:rsid w:val="005C239E"/>
    <w:rsid w:val="005C2E4A"/>
    <w:rsid w:val="005C32AD"/>
    <w:rsid w:val="005C6070"/>
    <w:rsid w:val="005C7869"/>
    <w:rsid w:val="005D3025"/>
    <w:rsid w:val="005D3057"/>
    <w:rsid w:val="005D52CB"/>
    <w:rsid w:val="005D5B35"/>
    <w:rsid w:val="005D66DC"/>
    <w:rsid w:val="005D67E1"/>
    <w:rsid w:val="005D7923"/>
    <w:rsid w:val="005E06A9"/>
    <w:rsid w:val="005E0A33"/>
    <w:rsid w:val="005E128F"/>
    <w:rsid w:val="005E6DC9"/>
    <w:rsid w:val="005E7954"/>
    <w:rsid w:val="005F0CE8"/>
    <w:rsid w:val="005F3D13"/>
    <w:rsid w:val="005F6821"/>
    <w:rsid w:val="00601115"/>
    <w:rsid w:val="00602123"/>
    <w:rsid w:val="00610E85"/>
    <w:rsid w:val="00611232"/>
    <w:rsid w:val="00611C03"/>
    <w:rsid w:val="00612E94"/>
    <w:rsid w:val="00615824"/>
    <w:rsid w:val="00616815"/>
    <w:rsid w:val="00617E77"/>
    <w:rsid w:val="00617F88"/>
    <w:rsid w:val="006203FC"/>
    <w:rsid w:val="00621C41"/>
    <w:rsid w:val="0062607A"/>
    <w:rsid w:val="00633D1F"/>
    <w:rsid w:val="00636B1A"/>
    <w:rsid w:val="0064107F"/>
    <w:rsid w:val="0064146B"/>
    <w:rsid w:val="006414E6"/>
    <w:rsid w:val="0064164D"/>
    <w:rsid w:val="006416BC"/>
    <w:rsid w:val="00642ABA"/>
    <w:rsid w:val="00642E3E"/>
    <w:rsid w:val="006449EC"/>
    <w:rsid w:val="006479F9"/>
    <w:rsid w:val="00650E6E"/>
    <w:rsid w:val="00654314"/>
    <w:rsid w:val="00656664"/>
    <w:rsid w:val="0065767C"/>
    <w:rsid w:val="0066130E"/>
    <w:rsid w:val="0066405C"/>
    <w:rsid w:val="00664FD5"/>
    <w:rsid w:val="00666401"/>
    <w:rsid w:val="006712BB"/>
    <w:rsid w:val="00681ADE"/>
    <w:rsid w:val="006849DA"/>
    <w:rsid w:val="00685740"/>
    <w:rsid w:val="00686019"/>
    <w:rsid w:val="0068696B"/>
    <w:rsid w:val="0069128D"/>
    <w:rsid w:val="00692434"/>
    <w:rsid w:val="00692FB9"/>
    <w:rsid w:val="00693341"/>
    <w:rsid w:val="006937FD"/>
    <w:rsid w:val="00694065"/>
    <w:rsid w:val="00694EFB"/>
    <w:rsid w:val="00694F44"/>
    <w:rsid w:val="00696EFA"/>
    <w:rsid w:val="006A1793"/>
    <w:rsid w:val="006A2687"/>
    <w:rsid w:val="006A75C3"/>
    <w:rsid w:val="006B0423"/>
    <w:rsid w:val="006B3620"/>
    <w:rsid w:val="006B3BFE"/>
    <w:rsid w:val="006B76F0"/>
    <w:rsid w:val="006C1224"/>
    <w:rsid w:val="006C146A"/>
    <w:rsid w:val="006C2187"/>
    <w:rsid w:val="006D08B5"/>
    <w:rsid w:val="006D319A"/>
    <w:rsid w:val="006E54C2"/>
    <w:rsid w:val="006E61E9"/>
    <w:rsid w:val="006E6857"/>
    <w:rsid w:val="006E6F3A"/>
    <w:rsid w:val="006E74A9"/>
    <w:rsid w:val="006F238B"/>
    <w:rsid w:val="006F3A8F"/>
    <w:rsid w:val="006F4462"/>
    <w:rsid w:val="006F4D30"/>
    <w:rsid w:val="006F5D77"/>
    <w:rsid w:val="006F7AF8"/>
    <w:rsid w:val="00701DBE"/>
    <w:rsid w:val="00701F67"/>
    <w:rsid w:val="00703541"/>
    <w:rsid w:val="00706413"/>
    <w:rsid w:val="00711015"/>
    <w:rsid w:val="007112F8"/>
    <w:rsid w:val="00711AAC"/>
    <w:rsid w:val="00711C5C"/>
    <w:rsid w:val="00711F19"/>
    <w:rsid w:val="0071330A"/>
    <w:rsid w:val="0071620C"/>
    <w:rsid w:val="00717742"/>
    <w:rsid w:val="007244E5"/>
    <w:rsid w:val="0073247A"/>
    <w:rsid w:val="00732E58"/>
    <w:rsid w:val="007335B9"/>
    <w:rsid w:val="007342C3"/>
    <w:rsid w:val="00736CCF"/>
    <w:rsid w:val="00740B08"/>
    <w:rsid w:val="00740C0C"/>
    <w:rsid w:val="00741A58"/>
    <w:rsid w:val="0074254B"/>
    <w:rsid w:val="00742A4D"/>
    <w:rsid w:val="007463CD"/>
    <w:rsid w:val="00747732"/>
    <w:rsid w:val="0075105A"/>
    <w:rsid w:val="007520FF"/>
    <w:rsid w:val="0075595C"/>
    <w:rsid w:val="00755A35"/>
    <w:rsid w:val="00757081"/>
    <w:rsid w:val="007614BB"/>
    <w:rsid w:val="007654DC"/>
    <w:rsid w:val="007676D4"/>
    <w:rsid w:val="00767F0F"/>
    <w:rsid w:val="00772577"/>
    <w:rsid w:val="00773469"/>
    <w:rsid w:val="0077441F"/>
    <w:rsid w:val="0077526F"/>
    <w:rsid w:val="00775BE1"/>
    <w:rsid w:val="00776D5A"/>
    <w:rsid w:val="00783B49"/>
    <w:rsid w:val="0078541E"/>
    <w:rsid w:val="00786724"/>
    <w:rsid w:val="0079126F"/>
    <w:rsid w:val="00791640"/>
    <w:rsid w:val="00792425"/>
    <w:rsid w:val="007958AE"/>
    <w:rsid w:val="007A1EB6"/>
    <w:rsid w:val="007A24FC"/>
    <w:rsid w:val="007A333C"/>
    <w:rsid w:val="007A49DC"/>
    <w:rsid w:val="007A5F05"/>
    <w:rsid w:val="007A64FE"/>
    <w:rsid w:val="007A7F24"/>
    <w:rsid w:val="007B1176"/>
    <w:rsid w:val="007B1475"/>
    <w:rsid w:val="007B1E85"/>
    <w:rsid w:val="007B2DDB"/>
    <w:rsid w:val="007B463B"/>
    <w:rsid w:val="007B6AF0"/>
    <w:rsid w:val="007B6CA6"/>
    <w:rsid w:val="007C39A7"/>
    <w:rsid w:val="007C4848"/>
    <w:rsid w:val="007C510B"/>
    <w:rsid w:val="007D1585"/>
    <w:rsid w:val="007D7177"/>
    <w:rsid w:val="007D795C"/>
    <w:rsid w:val="007E18A3"/>
    <w:rsid w:val="007E2AB3"/>
    <w:rsid w:val="007E3E83"/>
    <w:rsid w:val="007E5BD4"/>
    <w:rsid w:val="007F060C"/>
    <w:rsid w:val="007F119D"/>
    <w:rsid w:val="007F2E76"/>
    <w:rsid w:val="007F4547"/>
    <w:rsid w:val="007F4B4D"/>
    <w:rsid w:val="007F4CC1"/>
    <w:rsid w:val="007F745E"/>
    <w:rsid w:val="00800809"/>
    <w:rsid w:val="00804AFA"/>
    <w:rsid w:val="00804E2C"/>
    <w:rsid w:val="00811A30"/>
    <w:rsid w:val="008147DB"/>
    <w:rsid w:val="00815455"/>
    <w:rsid w:val="008163C1"/>
    <w:rsid w:val="0081652F"/>
    <w:rsid w:val="008202F6"/>
    <w:rsid w:val="00820CC3"/>
    <w:rsid w:val="00823912"/>
    <w:rsid w:val="00823BC7"/>
    <w:rsid w:val="00825CA5"/>
    <w:rsid w:val="00826BFB"/>
    <w:rsid w:val="00830917"/>
    <w:rsid w:val="008337DC"/>
    <w:rsid w:val="00833AC8"/>
    <w:rsid w:val="00842842"/>
    <w:rsid w:val="00844803"/>
    <w:rsid w:val="008454ED"/>
    <w:rsid w:val="00845664"/>
    <w:rsid w:val="00845A71"/>
    <w:rsid w:val="008500B5"/>
    <w:rsid w:val="008536B8"/>
    <w:rsid w:val="00853CAA"/>
    <w:rsid w:val="00854AA8"/>
    <w:rsid w:val="00860B3D"/>
    <w:rsid w:val="008625AC"/>
    <w:rsid w:val="00862A55"/>
    <w:rsid w:val="00864A70"/>
    <w:rsid w:val="00867C57"/>
    <w:rsid w:val="0087126A"/>
    <w:rsid w:val="00872FA7"/>
    <w:rsid w:val="008758A2"/>
    <w:rsid w:val="00880031"/>
    <w:rsid w:val="00882C41"/>
    <w:rsid w:val="00883A2E"/>
    <w:rsid w:val="00885455"/>
    <w:rsid w:val="0088574E"/>
    <w:rsid w:val="00890FE2"/>
    <w:rsid w:val="008916A5"/>
    <w:rsid w:val="0089253B"/>
    <w:rsid w:val="00892E89"/>
    <w:rsid w:val="008948DC"/>
    <w:rsid w:val="00895C9C"/>
    <w:rsid w:val="008A2A7A"/>
    <w:rsid w:val="008A2CA7"/>
    <w:rsid w:val="008A3B25"/>
    <w:rsid w:val="008A432E"/>
    <w:rsid w:val="008A5D90"/>
    <w:rsid w:val="008A7A45"/>
    <w:rsid w:val="008B080E"/>
    <w:rsid w:val="008B179E"/>
    <w:rsid w:val="008B3D11"/>
    <w:rsid w:val="008B5205"/>
    <w:rsid w:val="008B59AA"/>
    <w:rsid w:val="008C3585"/>
    <w:rsid w:val="008C3B2D"/>
    <w:rsid w:val="008C4341"/>
    <w:rsid w:val="008C502A"/>
    <w:rsid w:val="008D0908"/>
    <w:rsid w:val="008D0A78"/>
    <w:rsid w:val="008D4BCA"/>
    <w:rsid w:val="008D6F99"/>
    <w:rsid w:val="008E02FA"/>
    <w:rsid w:val="008F0576"/>
    <w:rsid w:val="008F676D"/>
    <w:rsid w:val="008F6C8C"/>
    <w:rsid w:val="008F7BE3"/>
    <w:rsid w:val="00900C66"/>
    <w:rsid w:val="009015A6"/>
    <w:rsid w:val="009036FA"/>
    <w:rsid w:val="009039CA"/>
    <w:rsid w:val="00906C1D"/>
    <w:rsid w:val="009122DC"/>
    <w:rsid w:val="009131F1"/>
    <w:rsid w:val="0092065F"/>
    <w:rsid w:val="00920A72"/>
    <w:rsid w:val="00923217"/>
    <w:rsid w:val="00923E9C"/>
    <w:rsid w:val="009251A9"/>
    <w:rsid w:val="009258C3"/>
    <w:rsid w:val="00927588"/>
    <w:rsid w:val="00932731"/>
    <w:rsid w:val="00933EC3"/>
    <w:rsid w:val="00936112"/>
    <w:rsid w:val="00936B05"/>
    <w:rsid w:val="00937D3C"/>
    <w:rsid w:val="009414D0"/>
    <w:rsid w:val="00942554"/>
    <w:rsid w:val="00946FC5"/>
    <w:rsid w:val="0095107B"/>
    <w:rsid w:val="00951F44"/>
    <w:rsid w:val="009521FA"/>
    <w:rsid w:val="00952557"/>
    <w:rsid w:val="00954F2C"/>
    <w:rsid w:val="009568A5"/>
    <w:rsid w:val="0096172E"/>
    <w:rsid w:val="00962F9F"/>
    <w:rsid w:val="00963027"/>
    <w:rsid w:val="00963F4D"/>
    <w:rsid w:val="0096475E"/>
    <w:rsid w:val="009768E8"/>
    <w:rsid w:val="00977D1E"/>
    <w:rsid w:val="00980C99"/>
    <w:rsid w:val="00982949"/>
    <w:rsid w:val="00984128"/>
    <w:rsid w:val="00986D96"/>
    <w:rsid w:val="00990FBB"/>
    <w:rsid w:val="009918D0"/>
    <w:rsid w:val="00993F96"/>
    <w:rsid w:val="009A0A50"/>
    <w:rsid w:val="009A14E9"/>
    <w:rsid w:val="009A1568"/>
    <w:rsid w:val="009A1B26"/>
    <w:rsid w:val="009A600C"/>
    <w:rsid w:val="009A78A1"/>
    <w:rsid w:val="009A7FCF"/>
    <w:rsid w:val="009B57CB"/>
    <w:rsid w:val="009B6F85"/>
    <w:rsid w:val="009C3D03"/>
    <w:rsid w:val="009C49E2"/>
    <w:rsid w:val="009C58E8"/>
    <w:rsid w:val="009D0914"/>
    <w:rsid w:val="009D2F3D"/>
    <w:rsid w:val="009D42D1"/>
    <w:rsid w:val="009D695F"/>
    <w:rsid w:val="009D6E7D"/>
    <w:rsid w:val="009D74F0"/>
    <w:rsid w:val="009E7C06"/>
    <w:rsid w:val="009F0530"/>
    <w:rsid w:val="009F1554"/>
    <w:rsid w:val="009F19E3"/>
    <w:rsid w:val="00A003AD"/>
    <w:rsid w:val="00A0231D"/>
    <w:rsid w:val="00A02844"/>
    <w:rsid w:val="00A04128"/>
    <w:rsid w:val="00A05E4E"/>
    <w:rsid w:val="00A1331A"/>
    <w:rsid w:val="00A13520"/>
    <w:rsid w:val="00A1425D"/>
    <w:rsid w:val="00A1741B"/>
    <w:rsid w:val="00A218EB"/>
    <w:rsid w:val="00A23692"/>
    <w:rsid w:val="00A23C9C"/>
    <w:rsid w:val="00A25AB3"/>
    <w:rsid w:val="00A276A8"/>
    <w:rsid w:val="00A3063D"/>
    <w:rsid w:val="00A36338"/>
    <w:rsid w:val="00A36EB8"/>
    <w:rsid w:val="00A37375"/>
    <w:rsid w:val="00A41FEA"/>
    <w:rsid w:val="00A45072"/>
    <w:rsid w:val="00A474C5"/>
    <w:rsid w:val="00A50C11"/>
    <w:rsid w:val="00A530F6"/>
    <w:rsid w:val="00A53F9A"/>
    <w:rsid w:val="00A55E20"/>
    <w:rsid w:val="00A56DA2"/>
    <w:rsid w:val="00A57789"/>
    <w:rsid w:val="00A70C5F"/>
    <w:rsid w:val="00A7114C"/>
    <w:rsid w:val="00A7261B"/>
    <w:rsid w:val="00A731F8"/>
    <w:rsid w:val="00A7325E"/>
    <w:rsid w:val="00A744D5"/>
    <w:rsid w:val="00A75902"/>
    <w:rsid w:val="00A75933"/>
    <w:rsid w:val="00A75CDE"/>
    <w:rsid w:val="00A76037"/>
    <w:rsid w:val="00A76A69"/>
    <w:rsid w:val="00A7716B"/>
    <w:rsid w:val="00A7736C"/>
    <w:rsid w:val="00A81C82"/>
    <w:rsid w:val="00A84653"/>
    <w:rsid w:val="00A84BFD"/>
    <w:rsid w:val="00A87905"/>
    <w:rsid w:val="00A90702"/>
    <w:rsid w:val="00A909C5"/>
    <w:rsid w:val="00A91AAD"/>
    <w:rsid w:val="00A91DDB"/>
    <w:rsid w:val="00A93F5E"/>
    <w:rsid w:val="00AA041D"/>
    <w:rsid w:val="00AA39EC"/>
    <w:rsid w:val="00AB22E2"/>
    <w:rsid w:val="00AB7FE1"/>
    <w:rsid w:val="00AC1EAC"/>
    <w:rsid w:val="00AC3BDD"/>
    <w:rsid w:val="00AC4F32"/>
    <w:rsid w:val="00AD092F"/>
    <w:rsid w:val="00AD224E"/>
    <w:rsid w:val="00AD2E20"/>
    <w:rsid w:val="00AD3794"/>
    <w:rsid w:val="00AD3952"/>
    <w:rsid w:val="00AE124B"/>
    <w:rsid w:val="00AE1EC9"/>
    <w:rsid w:val="00AF1652"/>
    <w:rsid w:val="00AF2647"/>
    <w:rsid w:val="00AF5BB8"/>
    <w:rsid w:val="00AF65DC"/>
    <w:rsid w:val="00AF70E1"/>
    <w:rsid w:val="00B00682"/>
    <w:rsid w:val="00B0070F"/>
    <w:rsid w:val="00B03CCB"/>
    <w:rsid w:val="00B05B00"/>
    <w:rsid w:val="00B06131"/>
    <w:rsid w:val="00B0759A"/>
    <w:rsid w:val="00B07E94"/>
    <w:rsid w:val="00B112CE"/>
    <w:rsid w:val="00B13CE5"/>
    <w:rsid w:val="00B14E14"/>
    <w:rsid w:val="00B20521"/>
    <w:rsid w:val="00B21181"/>
    <w:rsid w:val="00B25876"/>
    <w:rsid w:val="00B260DC"/>
    <w:rsid w:val="00B271EA"/>
    <w:rsid w:val="00B30FE1"/>
    <w:rsid w:val="00B31037"/>
    <w:rsid w:val="00B313EB"/>
    <w:rsid w:val="00B319EA"/>
    <w:rsid w:val="00B3259E"/>
    <w:rsid w:val="00B325C3"/>
    <w:rsid w:val="00B32FEC"/>
    <w:rsid w:val="00B34AE0"/>
    <w:rsid w:val="00B34EA6"/>
    <w:rsid w:val="00B35385"/>
    <w:rsid w:val="00B3785D"/>
    <w:rsid w:val="00B4324F"/>
    <w:rsid w:val="00B435B2"/>
    <w:rsid w:val="00B47250"/>
    <w:rsid w:val="00B538B4"/>
    <w:rsid w:val="00B541A6"/>
    <w:rsid w:val="00B60573"/>
    <w:rsid w:val="00B6072B"/>
    <w:rsid w:val="00B60C08"/>
    <w:rsid w:val="00B625B0"/>
    <w:rsid w:val="00B63A75"/>
    <w:rsid w:val="00B663B0"/>
    <w:rsid w:val="00B73983"/>
    <w:rsid w:val="00B755E2"/>
    <w:rsid w:val="00B82F24"/>
    <w:rsid w:val="00B833C7"/>
    <w:rsid w:val="00B83B72"/>
    <w:rsid w:val="00B840D0"/>
    <w:rsid w:val="00B85401"/>
    <w:rsid w:val="00B85BD5"/>
    <w:rsid w:val="00B90C67"/>
    <w:rsid w:val="00B927A8"/>
    <w:rsid w:val="00B9295F"/>
    <w:rsid w:val="00B932F4"/>
    <w:rsid w:val="00B95739"/>
    <w:rsid w:val="00BA1B02"/>
    <w:rsid w:val="00BA1BEC"/>
    <w:rsid w:val="00BA1EF2"/>
    <w:rsid w:val="00BA2389"/>
    <w:rsid w:val="00BA43DB"/>
    <w:rsid w:val="00BA479D"/>
    <w:rsid w:val="00BA6145"/>
    <w:rsid w:val="00BA6F2B"/>
    <w:rsid w:val="00BA7174"/>
    <w:rsid w:val="00BB03E8"/>
    <w:rsid w:val="00BB15E4"/>
    <w:rsid w:val="00BB2FE1"/>
    <w:rsid w:val="00BC3F2F"/>
    <w:rsid w:val="00BC742C"/>
    <w:rsid w:val="00BD1866"/>
    <w:rsid w:val="00BD36CA"/>
    <w:rsid w:val="00BD4A4F"/>
    <w:rsid w:val="00BE398B"/>
    <w:rsid w:val="00BE5014"/>
    <w:rsid w:val="00BE59C4"/>
    <w:rsid w:val="00BE6962"/>
    <w:rsid w:val="00BE6A96"/>
    <w:rsid w:val="00BE7BCD"/>
    <w:rsid w:val="00BF28BA"/>
    <w:rsid w:val="00BF2FCB"/>
    <w:rsid w:val="00BF39E4"/>
    <w:rsid w:val="00BF536C"/>
    <w:rsid w:val="00BF77B8"/>
    <w:rsid w:val="00C02A4D"/>
    <w:rsid w:val="00C072F5"/>
    <w:rsid w:val="00C10CF5"/>
    <w:rsid w:val="00C11707"/>
    <w:rsid w:val="00C170F2"/>
    <w:rsid w:val="00C17EBE"/>
    <w:rsid w:val="00C26571"/>
    <w:rsid w:val="00C27BD7"/>
    <w:rsid w:val="00C27CA7"/>
    <w:rsid w:val="00C306DE"/>
    <w:rsid w:val="00C317A8"/>
    <w:rsid w:val="00C3308C"/>
    <w:rsid w:val="00C34614"/>
    <w:rsid w:val="00C34C66"/>
    <w:rsid w:val="00C35D76"/>
    <w:rsid w:val="00C3608F"/>
    <w:rsid w:val="00C375E3"/>
    <w:rsid w:val="00C452EB"/>
    <w:rsid w:val="00C462B6"/>
    <w:rsid w:val="00C524FB"/>
    <w:rsid w:val="00C5559D"/>
    <w:rsid w:val="00C55E33"/>
    <w:rsid w:val="00C60AFD"/>
    <w:rsid w:val="00C66210"/>
    <w:rsid w:val="00C6754B"/>
    <w:rsid w:val="00C775EE"/>
    <w:rsid w:val="00C77FB4"/>
    <w:rsid w:val="00C84A70"/>
    <w:rsid w:val="00C916A0"/>
    <w:rsid w:val="00C9259F"/>
    <w:rsid w:val="00C9459F"/>
    <w:rsid w:val="00C96BDA"/>
    <w:rsid w:val="00CA08CB"/>
    <w:rsid w:val="00CA27A0"/>
    <w:rsid w:val="00CA2CEB"/>
    <w:rsid w:val="00CA4A27"/>
    <w:rsid w:val="00CA4D9D"/>
    <w:rsid w:val="00CA5496"/>
    <w:rsid w:val="00CB1F82"/>
    <w:rsid w:val="00CB53DD"/>
    <w:rsid w:val="00CB5F5D"/>
    <w:rsid w:val="00CC1431"/>
    <w:rsid w:val="00CC362B"/>
    <w:rsid w:val="00CC482D"/>
    <w:rsid w:val="00CC7340"/>
    <w:rsid w:val="00CD2199"/>
    <w:rsid w:val="00CD4ED3"/>
    <w:rsid w:val="00CE213C"/>
    <w:rsid w:val="00CE3EE8"/>
    <w:rsid w:val="00CE7A4D"/>
    <w:rsid w:val="00CF13C7"/>
    <w:rsid w:val="00CF42DA"/>
    <w:rsid w:val="00CF579E"/>
    <w:rsid w:val="00D01F3F"/>
    <w:rsid w:val="00D026F4"/>
    <w:rsid w:val="00D06E5B"/>
    <w:rsid w:val="00D10C66"/>
    <w:rsid w:val="00D124EB"/>
    <w:rsid w:val="00D12D91"/>
    <w:rsid w:val="00D1586E"/>
    <w:rsid w:val="00D15E99"/>
    <w:rsid w:val="00D30497"/>
    <w:rsid w:val="00D31B8F"/>
    <w:rsid w:val="00D325FB"/>
    <w:rsid w:val="00D33E33"/>
    <w:rsid w:val="00D34517"/>
    <w:rsid w:val="00D36085"/>
    <w:rsid w:val="00D36671"/>
    <w:rsid w:val="00D40136"/>
    <w:rsid w:val="00D4104E"/>
    <w:rsid w:val="00D4766B"/>
    <w:rsid w:val="00D50544"/>
    <w:rsid w:val="00D51A5C"/>
    <w:rsid w:val="00D51DF6"/>
    <w:rsid w:val="00D523B3"/>
    <w:rsid w:val="00D544F1"/>
    <w:rsid w:val="00D56089"/>
    <w:rsid w:val="00D63CCB"/>
    <w:rsid w:val="00D71269"/>
    <w:rsid w:val="00D73A5B"/>
    <w:rsid w:val="00D75421"/>
    <w:rsid w:val="00D83371"/>
    <w:rsid w:val="00D86552"/>
    <w:rsid w:val="00D87073"/>
    <w:rsid w:val="00D87D89"/>
    <w:rsid w:val="00D957F3"/>
    <w:rsid w:val="00D95A64"/>
    <w:rsid w:val="00D961F4"/>
    <w:rsid w:val="00D96D64"/>
    <w:rsid w:val="00DA1EE1"/>
    <w:rsid w:val="00DA2A3F"/>
    <w:rsid w:val="00DA4C90"/>
    <w:rsid w:val="00DB34BD"/>
    <w:rsid w:val="00DB3D60"/>
    <w:rsid w:val="00DC0E7D"/>
    <w:rsid w:val="00DC1D19"/>
    <w:rsid w:val="00DC2ED1"/>
    <w:rsid w:val="00DC38B0"/>
    <w:rsid w:val="00DC3A99"/>
    <w:rsid w:val="00DC668D"/>
    <w:rsid w:val="00DC70F4"/>
    <w:rsid w:val="00DD03B4"/>
    <w:rsid w:val="00DD079E"/>
    <w:rsid w:val="00DD137B"/>
    <w:rsid w:val="00DD332A"/>
    <w:rsid w:val="00DD45A6"/>
    <w:rsid w:val="00DD4F67"/>
    <w:rsid w:val="00DE7B3B"/>
    <w:rsid w:val="00DF0F95"/>
    <w:rsid w:val="00DF1701"/>
    <w:rsid w:val="00DF3B7E"/>
    <w:rsid w:val="00DF4413"/>
    <w:rsid w:val="00DF4554"/>
    <w:rsid w:val="00DF4BF0"/>
    <w:rsid w:val="00DF68FC"/>
    <w:rsid w:val="00E01630"/>
    <w:rsid w:val="00E02968"/>
    <w:rsid w:val="00E06FAB"/>
    <w:rsid w:val="00E1040C"/>
    <w:rsid w:val="00E1293C"/>
    <w:rsid w:val="00E129BE"/>
    <w:rsid w:val="00E13F56"/>
    <w:rsid w:val="00E159B4"/>
    <w:rsid w:val="00E20567"/>
    <w:rsid w:val="00E2073A"/>
    <w:rsid w:val="00E22920"/>
    <w:rsid w:val="00E24FC3"/>
    <w:rsid w:val="00E25BC4"/>
    <w:rsid w:val="00E2776C"/>
    <w:rsid w:val="00E3751B"/>
    <w:rsid w:val="00E37796"/>
    <w:rsid w:val="00E40571"/>
    <w:rsid w:val="00E413D0"/>
    <w:rsid w:val="00E45436"/>
    <w:rsid w:val="00E47BAF"/>
    <w:rsid w:val="00E47C5B"/>
    <w:rsid w:val="00E52577"/>
    <w:rsid w:val="00E53430"/>
    <w:rsid w:val="00E55B59"/>
    <w:rsid w:val="00E57A4F"/>
    <w:rsid w:val="00E626B0"/>
    <w:rsid w:val="00E643FC"/>
    <w:rsid w:val="00E65D50"/>
    <w:rsid w:val="00E707C2"/>
    <w:rsid w:val="00E807D9"/>
    <w:rsid w:val="00E80CE8"/>
    <w:rsid w:val="00E831A9"/>
    <w:rsid w:val="00E90CC2"/>
    <w:rsid w:val="00E95BE5"/>
    <w:rsid w:val="00E95D39"/>
    <w:rsid w:val="00E969A5"/>
    <w:rsid w:val="00EA0F0D"/>
    <w:rsid w:val="00EA3273"/>
    <w:rsid w:val="00EA3681"/>
    <w:rsid w:val="00EA5FA1"/>
    <w:rsid w:val="00EB5739"/>
    <w:rsid w:val="00EB61B1"/>
    <w:rsid w:val="00EB69D0"/>
    <w:rsid w:val="00EB7E07"/>
    <w:rsid w:val="00EC0646"/>
    <w:rsid w:val="00EC4D90"/>
    <w:rsid w:val="00EC6504"/>
    <w:rsid w:val="00EC75B4"/>
    <w:rsid w:val="00ED03B1"/>
    <w:rsid w:val="00ED0B59"/>
    <w:rsid w:val="00ED6895"/>
    <w:rsid w:val="00ED7411"/>
    <w:rsid w:val="00EE627D"/>
    <w:rsid w:val="00EE6C3D"/>
    <w:rsid w:val="00EF15AE"/>
    <w:rsid w:val="00EF3470"/>
    <w:rsid w:val="00EF589B"/>
    <w:rsid w:val="00EF66E9"/>
    <w:rsid w:val="00F0074D"/>
    <w:rsid w:val="00F03BA5"/>
    <w:rsid w:val="00F04E68"/>
    <w:rsid w:val="00F06231"/>
    <w:rsid w:val="00F113CD"/>
    <w:rsid w:val="00F15C44"/>
    <w:rsid w:val="00F16750"/>
    <w:rsid w:val="00F22940"/>
    <w:rsid w:val="00F22980"/>
    <w:rsid w:val="00F243E8"/>
    <w:rsid w:val="00F24453"/>
    <w:rsid w:val="00F246F5"/>
    <w:rsid w:val="00F24CAF"/>
    <w:rsid w:val="00F26B14"/>
    <w:rsid w:val="00F31554"/>
    <w:rsid w:val="00F33F5D"/>
    <w:rsid w:val="00F46AA0"/>
    <w:rsid w:val="00F50848"/>
    <w:rsid w:val="00F508EE"/>
    <w:rsid w:val="00F50CBA"/>
    <w:rsid w:val="00F524C8"/>
    <w:rsid w:val="00F54E9A"/>
    <w:rsid w:val="00F558E5"/>
    <w:rsid w:val="00F61ACD"/>
    <w:rsid w:val="00F63E82"/>
    <w:rsid w:val="00F72814"/>
    <w:rsid w:val="00F72B93"/>
    <w:rsid w:val="00F743B9"/>
    <w:rsid w:val="00F7596C"/>
    <w:rsid w:val="00F774FB"/>
    <w:rsid w:val="00F776E5"/>
    <w:rsid w:val="00F811B1"/>
    <w:rsid w:val="00F81DDC"/>
    <w:rsid w:val="00F835AF"/>
    <w:rsid w:val="00F843A6"/>
    <w:rsid w:val="00F84971"/>
    <w:rsid w:val="00F84F21"/>
    <w:rsid w:val="00F8525C"/>
    <w:rsid w:val="00F87D48"/>
    <w:rsid w:val="00F91F70"/>
    <w:rsid w:val="00F93DD2"/>
    <w:rsid w:val="00F93E8A"/>
    <w:rsid w:val="00F957D2"/>
    <w:rsid w:val="00FA0E63"/>
    <w:rsid w:val="00FA4693"/>
    <w:rsid w:val="00FB0982"/>
    <w:rsid w:val="00FB2025"/>
    <w:rsid w:val="00FB3569"/>
    <w:rsid w:val="00FB3981"/>
    <w:rsid w:val="00FB3EAF"/>
    <w:rsid w:val="00FC0D5B"/>
    <w:rsid w:val="00FC37CF"/>
    <w:rsid w:val="00FC3BBF"/>
    <w:rsid w:val="00FC656E"/>
    <w:rsid w:val="00FC6CC1"/>
    <w:rsid w:val="00FD6C17"/>
    <w:rsid w:val="00FD729E"/>
    <w:rsid w:val="00FE037E"/>
    <w:rsid w:val="00FE1765"/>
    <w:rsid w:val="00FE2965"/>
    <w:rsid w:val="00FE4F16"/>
    <w:rsid w:val="00FE5596"/>
    <w:rsid w:val="00FE6ED6"/>
    <w:rsid w:val="00FF236B"/>
    <w:rsid w:val="00FF3012"/>
    <w:rsid w:val="00FF35AA"/>
    <w:rsid w:val="00FF6926"/>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417CC"/>
  <w15:chartTrackingRefBased/>
  <w15:docId w15:val="{96748A5B-E160-42F1-A741-E0A200A3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A2A"/>
    <w:rPr>
      <w:rFonts w:eastAsiaTheme="minorHAnsi"/>
      <w:szCs w:val="24"/>
      <w:lang w:eastAsia="en-US" w:bidi="ar-SA"/>
    </w:rPr>
  </w:style>
  <w:style w:type="paragraph" w:styleId="Heading1">
    <w:name w:val="heading 1"/>
    <w:basedOn w:val="Normal"/>
    <w:next w:val="Normal"/>
    <w:link w:val="Heading1Char"/>
    <w:uiPriority w:val="9"/>
    <w:qFormat/>
    <w:rsid w:val="000E7A2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E7A2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E7A2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E7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A2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E7A2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E7A2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E7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A2A"/>
    <w:rPr>
      <w:rFonts w:eastAsiaTheme="majorEastAsia" w:cstheme="majorBidi"/>
      <w:color w:val="272727" w:themeColor="text1" w:themeTint="D8"/>
    </w:rPr>
  </w:style>
  <w:style w:type="paragraph" w:styleId="Title">
    <w:name w:val="Title"/>
    <w:basedOn w:val="Normal"/>
    <w:next w:val="Normal"/>
    <w:link w:val="TitleChar"/>
    <w:uiPriority w:val="10"/>
    <w:qFormat/>
    <w:rsid w:val="000E7A2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E7A2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E7A2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E7A2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E7A2A"/>
    <w:pPr>
      <w:spacing w:before="160"/>
      <w:jc w:val="center"/>
    </w:pPr>
    <w:rPr>
      <w:i/>
      <w:iCs/>
      <w:color w:val="404040" w:themeColor="text1" w:themeTint="BF"/>
    </w:rPr>
  </w:style>
  <w:style w:type="character" w:customStyle="1" w:styleId="QuoteChar">
    <w:name w:val="Quote Char"/>
    <w:basedOn w:val="DefaultParagraphFont"/>
    <w:link w:val="Quote"/>
    <w:uiPriority w:val="29"/>
    <w:rsid w:val="000E7A2A"/>
    <w:rPr>
      <w:i/>
      <w:iCs/>
      <w:color w:val="404040" w:themeColor="text1" w:themeTint="BF"/>
    </w:rPr>
  </w:style>
  <w:style w:type="paragraph" w:styleId="ListParagraph">
    <w:name w:val="List Paragraph"/>
    <w:basedOn w:val="Normal"/>
    <w:uiPriority w:val="34"/>
    <w:qFormat/>
    <w:rsid w:val="000E7A2A"/>
    <w:pPr>
      <w:ind w:left="720"/>
      <w:contextualSpacing/>
    </w:pPr>
  </w:style>
  <w:style w:type="character" w:styleId="IntenseEmphasis">
    <w:name w:val="Intense Emphasis"/>
    <w:basedOn w:val="DefaultParagraphFont"/>
    <w:uiPriority w:val="21"/>
    <w:qFormat/>
    <w:rsid w:val="000E7A2A"/>
    <w:rPr>
      <w:i/>
      <w:iCs/>
      <w:color w:val="0F4761" w:themeColor="accent1" w:themeShade="BF"/>
    </w:rPr>
  </w:style>
  <w:style w:type="paragraph" w:styleId="IntenseQuote">
    <w:name w:val="Intense Quote"/>
    <w:basedOn w:val="Normal"/>
    <w:next w:val="Normal"/>
    <w:link w:val="IntenseQuoteChar"/>
    <w:uiPriority w:val="30"/>
    <w:qFormat/>
    <w:rsid w:val="000E7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A2A"/>
    <w:rPr>
      <w:i/>
      <w:iCs/>
      <w:color w:val="0F4761" w:themeColor="accent1" w:themeShade="BF"/>
    </w:rPr>
  </w:style>
  <w:style w:type="character" w:styleId="IntenseReference">
    <w:name w:val="Intense Reference"/>
    <w:basedOn w:val="DefaultParagraphFont"/>
    <w:uiPriority w:val="32"/>
    <w:qFormat/>
    <w:rsid w:val="000E7A2A"/>
    <w:rPr>
      <w:b/>
      <w:bCs/>
      <w:smallCaps/>
      <w:color w:val="0F4761" w:themeColor="accent1" w:themeShade="BF"/>
      <w:spacing w:val="5"/>
    </w:rPr>
  </w:style>
  <w:style w:type="paragraph" w:styleId="FootnoteText">
    <w:name w:val="footnote text"/>
    <w:basedOn w:val="Normal"/>
    <w:link w:val="FootnoteTextChar"/>
    <w:uiPriority w:val="99"/>
    <w:unhideWhenUsed/>
    <w:rsid w:val="000E7A2A"/>
    <w:pPr>
      <w:spacing w:after="0" w:line="240" w:lineRule="auto"/>
    </w:pPr>
    <w:rPr>
      <w:sz w:val="20"/>
      <w:szCs w:val="20"/>
    </w:rPr>
  </w:style>
  <w:style w:type="character" w:customStyle="1" w:styleId="FootnoteTextChar">
    <w:name w:val="Footnote Text Char"/>
    <w:basedOn w:val="DefaultParagraphFont"/>
    <w:link w:val="FootnoteText"/>
    <w:uiPriority w:val="99"/>
    <w:rsid w:val="000E7A2A"/>
    <w:rPr>
      <w:rFonts w:eastAsiaTheme="minorHAnsi"/>
      <w:sz w:val="20"/>
      <w:szCs w:val="20"/>
      <w:lang w:eastAsia="en-US" w:bidi="ar-SA"/>
    </w:rPr>
  </w:style>
  <w:style w:type="character" w:styleId="FootnoteReference">
    <w:name w:val="footnote reference"/>
    <w:basedOn w:val="DefaultParagraphFont"/>
    <w:uiPriority w:val="99"/>
    <w:unhideWhenUsed/>
    <w:rsid w:val="000E7A2A"/>
    <w:rPr>
      <w:vertAlign w:val="superscript"/>
    </w:rPr>
  </w:style>
  <w:style w:type="paragraph" w:styleId="Header">
    <w:name w:val="header"/>
    <w:basedOn w:val="Normal"/>
    <w:link w:val="HeaderChar"/>
    <w:uiPriority w:val="99"/>
    <w:unhideWhenUsed/>
    <w:rsid w:val="00862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5AC"/>
    <w:rPr>
      <w:rFonts w:eastAsiaTheme="minorHAnsi"/>
      <w:szCs w:val="24"/>
      <w:lang w:eastAsia="en-US" w:bidi="ar-SA"/>
    </w:rPr>
  </w:style>
  <w:style w:type="paragraph" w:styleId="Footer">
    <w:name w:val="footer"/>
    <w:basedOn w:val="Normal"/>
    <w:link w:val="FooterChar"/>
    <w:uiPriority w:val="99"/>
    <w:unhideWhenUsed/>
    <w:rsid w:val="00862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5AC"/>
    <w:rPr>
      <w:rFonts w:eastAsiaTheme="minorHAnsi"/>
      <w:szCs w:val="24"/>
      <w:lang w:eastAsia="en-US" w:bidi="ar-SA"/>
    </w:rPr>
  </w:style>
  <w:style w:type="paragraph" w:styleId="Revision">
    <w:name w:val="Revision"/>
    <w:hidden/>
    <w:uiPriority w:val="99"/>
    <w:semiHidden/>
    <w:rsid w:val="00031F5C"/>
    <w:pPr>
      <w:spacing w:after="0" w:line="240" w:lineRule="auto"/>
    </w:pPr>
    <w:rPr>
      <w:rFonts w:eastAsiaTheme="minorHAnsi"/>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9B03D-EF3C-4758-A1EA-3011DBC3AB3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10820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cp:lastPrinted>2025-07-18T18:33:00Z</cp:lastPrinted>
  <dcterms:created xsi:type="dcterms:W3CDTF">2025-07-22T13:50:00Z</dcterms:created>
  <dcterms:modified xsi:type="dcterms:W3CDTF">2025-07-22T13:50:00Z</dcterms:modified>
</cp:coreProperties>
</file>