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20D7" w14:textId="77777777" w:rsidR="00F85DA5" w:rsidRPr="00536C90" w:rsidRDefault="00F85DA5" w:rsidP="00F4614C">
      <w:pPr>
        <w:spacing w:after="0" w:line="240" w:lineRule="auto"/>
        <w:ind w:right="720"/>
        <w:jc w:val="center"/>
        <w:rPr>
          <w:rFonts w:ascii="Aptos" w:hAnsi="Aptos" w:cs="Times New Roman"/>
          <w:b/>
          <w:sz w:val="24"/>
          <w:szCs w:val="24"/>
        </w:rPr>
      </w:pPr>
      <w:r w:rsidRPr="00536C90">
        <w:rPr>
          <w:rFonts w:ascii="Aptos" w:hAnsi="Aptos" w:cs="Times New Roman"/>
          <w:b/>
          <w:sz w:val="24"/>
          <w:szCs w:val="24"/>
        </w:rPr>
        <w:t>COMMONWEALTH OF MASSACHUSETTS</w:t>
      </w:r>
    </w:p>
    <w:p w14:paraId="38869FBD" w14:textId="77777777" w:rsidR="00F85DA5" w:rsidRPr="00536C90" w:rsidRDefault="00F85DA5" w:rsidP="00F4614C">
      <w:pPr>
        <w:spacing w:after="0" w:line="240" w:lineRule="auto"/>
        <w:ind w:right="720"/>
        <w:jc w:val="center"/>
        <w:rPr>
          <w:rFonts w:ascii="Aptos" w:hAnsi="Aptos" w:cs="Times New Roman"/>
          <w:b/>
          <w:sz w:val="24"/>
          <w:szCs w:val="24"/>
        </w:rPr>
      </w:pPr>
      <w:r w:rsidRPr="00536C90">
        <w:rPr>
          <w:rFonts w:ascii="Aptos" w:hAnsi="Aptos" w:cs="Times New Roman"/>
          <w:b/>
          <w:sz w:val="24"/>
          <w:szCs w:val="24"/>
        </w:rPr>
        <w:t>DIVISION OF ADMINISTRATIVE LAW APPEALS</w:t>
      </w:r>
    </w:p>
    <w:p w14:paraId="1FAAE204" w14:textId="77777777" w:rsidR="00F85DA5" w:rsidRPr="00536C90" w:rsidRDefault="00F85DA5" w:rsidP="00F4614C">
      <w:pPr>
        <w:spacing w:after="0" w:line="240" w:lineRule="auto"/>
        <w:ind w:right="720"/>
        <w:jc w:val="center"/>
        <w:rPr>
          <w:rFonts w:ascii="Aptos" w:hAnsi="Aptos" w:cs="Times New Roman"/>
          <w:b/>
          <w:sz w:val="24"/>
          <w:szCs w:val="24"/>
        </w:rPr>
      </w:pPr>
      <w:r w:rsidRPr="00536C90">
        <w:rPr>
          <w:rFonts w:ascii="Aptos" w:hAnsi="Aptos" w:cs="Times New Roman"/>
          <w:b/>
          <w:sz w:val="24"/>
          <w:szCs w:val="24"/>
        </w:rPr>
        <w:t>BUREAU OF SPECIAL EDUCATION APPEALS</w:t>
      </w:r>
    </w:p>
    <w:p w14:paraId="79AD6A73" w14:textId="77777777" w:rsidR="000147F0" w:rsidRPr="00536C90" w:rsidRDefault="000147F0" w:rsidP="00F4614C">
      <w:pPr>
        <w:spacing w:after="0" w:line="240" w:lineRule="auto"/>
        <w:ind w:right="720"/>
        <w:rPr>
          <w:rFonts w:ascii="Aptos" w:eastAsia="Times New Roman" w:hAnsi="Aptos" w:cs="Times New Roman"/>
          <w:b/>
          <w:sz w:val="24"/>
          <w:szCs w:val="24"/>
        </w:rPr>
      </w:pPr>
    </w:p>
    <w:p w14:paraId="0CD9A40F" w14:textId="77777777" w:rsidR="000147F0" w:rsidRPr="00536C90" w:rsidRDefault="000147F0" w:rsidP="00F4614C">
      <w:pPr>
        <w:spacing w:after="0" w:line="240" w:lineRule="auto"/>
        <w:ind w:right="720"/>
        <w:rPr>
          <w:rFonts w:ascii="Aptos" w:eastAsia="Times New Roman" w:hAnsi="Aptos" w:cs="Times New Roman"/>
          <w:b/>
          <w:sz w:val="24"/>
          <w:szCs w:val="24"/>
        </w:rPr>
      </w:pPr>
    </w:p>
    <w:p w14:paraId="147784AE" w14:textId="2537CB3A" w:rsidR="00F85DA5" w:rsidRPr="00536C90" w:rsidRDefault="00F85DA5" w:rsidP="00F4614C">
      <w:pPr>
        <w:spacing w:after="0" w:line="240" w:lineRule="auto"/>
        <w:ind w:right="720"/>
        <w:rPr>
          <w:rFonts w:ascii="Aptos" w:eastAsia="Times New Roman" w:hAnsi="Aptos" w:cs="Times New Roman"/>
          <w:b/>
          <w:sz w:val="24"/>
          <w:szCs w:val="24"/>
        </w:rPr>
      </w:pPr>
      <w:r w:rsidRPr="00536C90">
        <w:rPr>
          <w:rFonts w:ascii="Aptos" w:eastAsia="Times New Roman" w:hAnsi="Aptos" w:cs="Times New Roman"/>
          <w:b/>
          <w:sz w:val="24"/>
          <w:szCs w:val="24"/>
        </w:rPr>
        <w:t xml:space="preserve">In Re:  Student </w:t>
      </w:r>
      <w:r w:rsidR="00144A97" w:rsidRPr="00536C90">
        <w:rPr>
          <w:rFonts w:ascii="Aptos" w:eastAsia="Times New Roman" w:hAnsi="Aptos" w:cs="Times New Roman"/>
          <w:b/>
          <w:sz w:val="24"/>
          <w:szCs w:val="24"/>
        </w:rPr>
        <w:t>v</w:t>
      </w:r>
      <w:r w:rsidR="005B6D37" w:rsidRPr="00536C90">
        <w:rPr>
          <w:rFonts w:ascii="Aptos" w:eastAsia="Times New Roman" w:hAnsi="Aptos" w:cs="Times New Roman"/>
          <w:b/>
          <w:sz w:val="24"/>
          <w:szCs w:val="24"/>
        </w:rPr>
        <w:t>.</w:t>
      </w:r>
      <w:r w:rsidR="00144A97" w:rsidRPr="00536C90">
        <w:rPr>
          <w:rFonts w:ascii="Aptos" w:eastAsia="Times New Roman" w:hAnsi="Aptos" w:cs="Times New Roman"/>
          <w:b/>
          <w:sz w:val="24"/>
          <w:szCs w:val="24"/>
        </w:rPr>
        <w:t xml:space="preserve"> </w:t>
      </w:r>
      <w:r w:rsidR="00B71B84" w:rsidRPr="00536C90">
        <w:rPr>
          <w:rFonts w:ascii="Aptos" w:eastAsia="Times New Roman" w:hAnsi="Aptos" w:cs="Times New Roman"/>
          <w:b/>
          <w:sz w:val="24"/>
          <w:szCs w:val="24"/>
        </w:rPr>
        <w:t>Revere Public Schools</w:t>
      </w:r>
      <w:r w:rsidR="006F30F1" w:rsidRPr="00536C90">
        <w:rPr>
          <w:rFonts w:ascii="Aptos" w:eastAsia="Times New Roman" w:hAnsi="Aptos" w:cs="Times New Roman"/>
          <w:b/>
          <w:sz w:val="24"/>
          <w:szCs w:val="24"/>
        </w:rPr>
        <w:tab/>
      </w:r>
      <w:r w:rsidR="006F30F1" w:rsidRPr="00536C90">
        <w:rPr>
          <w:rFonts w:ascii="Aptos" w:eastAsia="Times New Roman" w:hAnsi="Aptos" w:cs="Times New Roman"/>
          <w:b/>
          <w:sz w:val="24"/>
          <w:szCs w:val="24"/>
        </w:rPr>
        <w:tab/>
      </w:r>
      <w:r w:rsidR="00B0142A">
        <w:rPr>
          <w:rFonts w:ascii="Aptos" w:eastAsia="Times New Roman" w:hAnsi="Aptos" w:cs="Times New Roman"/>
          <w:b/>
          <w:sz w:val="24"/>
          <w:szCs w:val="24"/>
        </w:rPr>
        <w:tab/>
      </w:r>
      <w:r w:rsidR="006F30F1" w:rsidRPr="00536C90">
        <w:rPr>
          <w:rFonts w:ascii="Aptos" w:eastAsia="Times New Roman" w:hAnsi="Aptos" w:cs="Times New Roman"/>
          <w:b/>
          <w:sz w:val="24"/>
          <w:szCs w:val="24"/>
        </w:rPr>
        <w:tab/>
        <w:t>BSEA</w:t>
      </w:r>
      <w:r w:rsidR="00B0142A">
        <w:rPr>
          <w:rFonts w:ascii="Aptos" w:eastAsia="Times New Roman" w:hAnsi="Aptos" w:cs="Times New Roman"/>
          <w:b/>
          <w:sz w:val="24"/>
          <w:szCs w:val="24"/>
        </w:rPr>
        <w:t xml:space="preserve"> </w:t>
      </w:r>
      <w:r w:rsidR="006F30F1" w:rsidRPr="00536C90">
        <w:rPr>
          <w:rFonts w:ascii="Aptos" w:eastAsia="Times New Roman" w:hAnsi="Aptos" w:cs="Times New Roman"/>
          <w:b/>
          <w:sz w:val="24"/>
          <w:szCs w:val="24"/>
        </w:rPr>
        <w:t>#</w:t>
      </w:r>
      <w:r w:rsidR="00B71B84" w:rsidRPr="00536C90">
        <w:rPr>
          <w:rFonts w:ascii="Aptos" w:hAnsi="Aptos"/>
          <w:sz w:val="24"/>
          <w:szCs w:val="24"/>
        </w:rPr>
        <w:t xml:space="preserve"> </w:t>
      </w:r>
      <w:r w:rsidR="00B71B84" w:rsidRPr="00536C90">
        <w:rPr>
          <w:rFonts w:ascii="Aptos" w:eastAsia="Times New Roman" w:hAnsi="Aptos" w:cs="Times New Roman"/>
          <w:b/>
          <w:sz w:val="24"/>
          <w:szCs w:val="24"/>
        </w:rPr>
        <w:t>2604600</w:t>
      </w:r>
      <w:r w:rsidRPr="00536C90">
        <w:rPr>
          <w:rFonts w:ascii="Aptos" w:eastAsia="Times New Roman" w:hAnsi="Aptos" w:cs="Times New Roman"/>
          <w:b/>
          <w:sz w:val="24"/>
          <w:szCs w:val="24"/>
        </w:rPr>
        <w:tab/>
      </w:r>
    </w:p>
    <w:p w14:paraId="4829C7A6" w14:textId="2FDC1829" w:rsidR="004E43F6" w:rsidRPr="00536C90" w:rsidRDefault="00B0142A" w:rsidP="00F4614C">
      <w:pPr>
        <w:spacing w:after="0" w:line="240" w:lineRule="auto"/>
        <w:ind w:right="720"/>
        <w:rPr>
          <w:rFonts w:ascii="Aptos" w:hAnsi="Aptos" w:cs="Times New Roman"/>
          <w:bCs/>
          <w:sz w:val="24"/>
          <w:szCs w:val="24"/>
        </w:rPr>
      </w:pPr>
      <w:r>
        <w:rPr>
          <w:rFonts w:ascii="Aptos" w:hAnsi="Aptos" w:cs="Times New Roman"/>
          <w:bCs/>
          <w:sz w:val="24"/>
          <w:szCs w:val="24"/>
        </w:rPr>
        <w:t xml:space="preserve"> </w:t>
      </w:r>
    </w:p>
    <w:p w14:paraId="05DD0D3D" w14:textId="77777777" w:rsidR="00F85DA5" w:rsidRPr="00536C90" w:rsidRDefault="00F85DA5" w:rsidP="00F4614C">
      <w:pPr>
        <w:spacing w:after="0" w:line="240" w:lineRule="auto"/>
        <w:ind w:right="720"/>
        <w:jc w:val="center"/>
        <w:rPr>
          <w:rFonts w:ascii="Aptos" w:eastAsia="Times New Roman" w:hAnsi="Aptos" w:cs="Times New Roman"/>
          <w:b/>
          <w:color w:val="000000"/>
          <w:sz w:val="24"/>
          <w:szCs w:val="24"/>
          <w:u w:val="single"/>
        </w:rPr>
      </w:pPr>
      <w:r w:rsidRPr="00536C90">
        <w:rPr>
          <w:rFonts w:ascii="Aptos" w:eastAsia="Times New Roman" w:hAnsi="Aptos" w:cs="Times New Roman"/>
          <w:b/>
          <w:color w:val="000000"/>
          <w:sz w:val="24"/>
          <w:szCs w:val="24"/>
          <w:u w:val="single"/>
        </w:rPr>
        <w:t xml:space="preserve">RULING ON </w:t>
      </w:r>
      <w:r w:rsidR="005B6D37" w:rsidRPr="00536C90">
        <w:rPr>
          <w:rFonts w:ascii="Aptos" w:eastAsia="Times New Roman" w:hAnsi="Aptos" w:cs="Times New Roman"/>
          <w:b/>
          <w:color w:val="000000"/>
          <w:sz w:val="24"/>
          <w:szCs w:val="24"/>
          <w:u w:val="single"/>
        </w:rPr>
        <w:t>PARENT</w:t>
      </w:r>
      <w:r w:rsidR="008C1BAA" w:rsidRPr="00536C90">
        <w:rPr>
          <w:rFonts w:ascii="Aptos" w:eastAsia="Times New Roman" w:hAnsi="Aptos" w:cs="Times New Roman"/>
          <w:b/>
          <w:color w:val="000000"/>
          <w:sz w:val="24"/>
          <w:szCs w:val="24"/>
          <w:u w:val="single"/>
        </w:rPr>
        <w:t>’</w:t>
      </w:r>
      <w:r w:rsidR="00F4614C" w:rsidRPr="00536C90">
        <w:rPr>
          <w:rFonts w:ascii="Aptos" w:eastAsia="Times New Roman" w:hAnsi="Aptos" w:cs="Times New Roman"/>
          <w:b/>
          <w:color w:val="000000"/>
          <w:sz w:val="24"/>
          <w:szCs w:val="24"/>
          <w:u w:val="single"/>
        </w:rPr>
        <w:t>S</w:t>
      </w:r>
      <w:r w:rsidRPr="00536C90">
        <w:rPr>
          <w:rFonts w:ascii="Aptos" w:eastAsia="Times New Roman" w:hAnsi="Aptos" w:cs="Times New Roman"/>
          <w:b/>
          <w:color w:val="000000"/>
          <w:sz w:val="24"/>
          <w:szCs w:val="24"/>
          <w:u w:val="single"/>
        </w:rPr>
        <w:t xml:space="preserve"> MOTION TO </w:t>
      </w:r>
      <w:r w:rsidR="00C9554D" w:rsidRPr="00536C90">
        <w:rPr>
          <w:rFonts w:ascii="Aptos" w:eastAsia="Times New Roman" w:hAnsi="Aptos" w:cs="Times New Roman"/>
          <w:b/>
          <w:color w:val="000000"/>
          <w:sz w:val="24"/>
          <w:szCs w:val="24"/>
          <w:u w:val="single"/>
        </w:rPr>
        <w:t>EXPEDITE DISCOVERY</w:t>
      </w:r>
    </w:p>
    <w:p w14:paraId="0C51A026" w14:textId="77777777" w:rsidR="00144A97" w:rsidRPr="00536C90" w:rsidRDefault="00144A97" w:rsidP="00F4614C">
      <w:pPr>
        <w:spacing w:after="0" w:line="240" w:lineRule="auto"/>
        <w:ind w:right="720"/>
        <w:jc w:val="center"/>
        <w:rPr>
          <w:rFonts w:ascii="Aptos" w:hAnsi="Aptos" w:cs="Times New Roman"/>
          <w:bCs/>
          <w:sz w:val="24"/>
          <w:szCs w:val="24"/>
        </w:rPr>
      </w:pPr>
    </w:p>
    <w:p w14:paraId="3279941E" w14:textId="397B7C4D" w:rsidR="00C9554D" w:rsidRPr="00536C90" w:rsidRDefault="00F85DA5" w:rsidP="00310EE9">
      <w:pPr>
        <w:spacing w:after="0" w:line="240" w:lineRule="auto"/>
        <w:ind w:right="720"/>
        <w:rPr>
          <w:rFonts w:ascii="Aptos" w:hAnsi="Aptos" w:cs="Times New Roman"/>
          <w:bCs/>
          <w:sz w:val="24"/>
          <w:szCs w:val="24"/>
        </w:rPr>
      </w:pPr>
      <w:r w:rsidRPr="00536C90">
        <w:rPr>
          <w:rFonts w:ascii="Aptos" w:hAnsi="Aptos" w:cs="Times New Roman"/>
          <w:bCs/>
          <w:sz w:val="24"/>
          <w:szCs w:val="24"/>
        </w:rPr>
        <w:t xml:space="preserve">This matter comes before the Hearing Officer on </w:t>
      </w:r>
      <w:r w:rsidR="00164385" w:rsidRPr="00536C90">
        <w:rPr>
          <w:rFonts w:ascii="Aptos" w:hAnsi="Aptos" w:cs="Times New Roman"/>
          <w:bCs/>
          <w:i/>
          <w:iCs/>
          <w:sz w:val="24"/>
          <w:szCs w:val="24"/>
        </w:rPr>
        <w:t>Parent</w:t>
      </w:r>
      <w:r w:rsidR="00B0142A">
        <w:rPr>
          <w:rFonts w:ascii="Aptos" w:hAnsi="Aptos" w:cs="Times New Roman"/>
          <w:bCs/>
          <w:i/>
          <w:iCs/>
          <w:sz w:val="24"/>
          <w:szCs w:val="24"/>
        </w:rPr>
        <w:t>’s</w:t>
      </w:r>
      <w:r w:rsidRPr="00536C90">
        <w:rPr>
          <w:rFonts w:ascii="Aptos" w:hAnsi="Aptos" w:cs="Times New Roman"/>
          <w:bCs/>
          <w:i/>
          <w:iCs/>
          <w:sz w:val="24"/>
          <w:szCs w:val="24"/>
        </w:rPr>
        <w:t xml:space="preserve"> </w:t>
      </w:r>
      <w:r w:rsidR="00164385" w:rsidRPr="00536C90">
        <w:rPr>
          <w:rFonts w:ascii="Aptos" w:hAnsi="Aptos" w:cs="Times New Roman"/>
          <w:bCs/>
          <w:i/>
          <w:iCs/>
          <w:sz w:val="24"/>
          <w:szCs w:val="24"/>
        </w:rPr>
        <w:t xml:space="preserve">Motion to </w:t>
      </w:r>
      <w:r w:rsidR="00C9554D" w:rsidRPr="00536C90">
        <w:rPr>
          <w:rFonts w:ascii="Aptos" w:hAnsi="Aptos" w:cs="Times New Roman"/>
          <w:bCs/>
          <w:i/>
          <w:iCs/>
          <w:sz w:val="24"/>
          <w:szCs w:val="24"/>
        </w:rPr>
        <w:t xml:space="preserve">Expedite Discovery </w:t>
      </w:r>
      <w:r w:rsidR="00B71B84" w:rsidRPr="00536C90">
        <w:rPr>
          <w:rFonts w:ascii="Aptos" w:hAnsi="Aptos" w:cs="Times New Roman"/>
          <w:bCs/>
          <w:i/>
          <w:iCs/>
          <w:sz w:val="24"/>
          <w:szCs w:val="24"/>
        </w:rPr>
        <w:t xml:space="preserve"> </w:t>
      </w:r>
      <w:r w:rsidRPr="00536C90">
        <w:rPr>
          <w:rFonts w:ascii="Aptos" w:hAnsi="Aptos" w:cs="Times New Roman"/>
          <w:bCs/>
          <w:sz w:val="24"/>
          <w:szCs w:val="24"/>
        </w:rPr>
        <w:t>(</w:t>
      </w:r>
      <w:r w:rsidR="00580E9D" w:rsidRPr="00536C90">
        <w:rPr>
          <w:rFonts w:ascii="Aptos" w:hAnsi="Aptos" w:cs="Times New Roman"/>
          <w:bCs/>
          <w:sz w:val="24"/>
          <w:szCs w:val="24"/>
        </w:rPr>
        <w:t>the</w:t>
      </w:r>
      <w:r w:rsidR="00580E9D" w:rsidRPr="00536C90">
        <w:rPr>
          <w:rFonts w:ascii="Aptos" w:hAnsi="Aptos" w:cs="Times New Roman"/>
          <w:bCs/>
          <w:i/>
          <w:iCs/>
          <w:sz w:val="24"/>
          <w:szCs w:val="24"/>
        </w:rPr>
        <w:t xml:space="preserve"> </w:t>
      </w:r>
      <w:r w:rsidRPr="00536C90">
        <w:rPr>
          <w:rFonts w:ascii="Aptos" w:hAnsi="Aptos" w:cs="Times New Roman"/>
          <w:bCs/>
          <w:i/>
          <w:iCs/>
          <w:sz w:val="24"/>
          <w:szCs w:val="24"/>
        </w:rPr>
        <w:t>Motion)</w:t>
      </w:r>
      <w:r w:rsidRPr="00536C90">
        <w:rPr>
          <w:rFonts w:ascii="Aptos" w:hAnsi="Aptos" w:cs="Times New Roman"/>
          <w:bCs/>
          <w:sz w:val="24"/>
          <w:szCs w:val="24"/>
        </w:rPr>
        <w:t xml:space="preserve">, filed </w:t>
      </w:r>
      <w:r w:rsidR="00C9554D" w:rsidRPr="00536C90">
        <w:rPr>
          <w:rFonts w:ascii="Aptos" w:hAnsi="Aptos" w:cs="Times New Roman"/>
          <w:bCs/>
          <w:sz w:val="24"/>
          <w:szCs w:val="24"/>
        </w:rPr>
        <w:t>via email on November 21,</w:t>
      </w:r>
      <w:r w:rsidR="00310EE9" w:rsidRPr="00536C90">
        <w:rPr>
          <w:rFonts w:ascii="Aptos" w:hAnsi="Aptos" w:cs="Times New Roman"/>
          <w:bCs/>
          <w:sz w:val="24"/>
          <w:szCs w:val="24"/>
        </w:rPr>
        <w:t xml:space="preserve"> </w:t>
      </w:r>
      <w:r w:rsidR="00C9554D" w:rsidRPr="00536C90">
        <w:rPr>
          <w:rFonts w:ascii="Aptos" w:hAnsi="Aptos" w:cs="Times New Roman"/>
          <w:bCs/>
          <w:sz w:val="24"/>
          <w:szCs w:val="24"/>
        </w:rPr>
        <w:t>2025</w:t>
      </w:r>
      <w:r w:rsidR="00310EE9" w:rsidRPr="00536C90">
        <w:rPr>
          <w:rFonts w:ascii="Aptos" w:hAnsi="Aptos" w:cs="Times New Roman"/>
          <w:bCs/>
          <w:sz w:val="24"/>
          <w:szCs w:val="24"/>
        </w:rPr>
        <w:t>,</w:t>
      </w:r>
      <w:r w:rsidR="00C9554D" w:rsidRPr="00536C90">
        <w:rPr>
          <w:rFonts w:ascii="Aptos" w:hAnsi="Aptos" w:cs="Times New Roman"/>
          <w:bCs/>
          <w:sz w:val="24"/>
          <w:szCs w:val="24"/>
        </w:rPr>
        <w:t xml:space="preserve"> </w:t>
      </w:r>
      <w:r w:rsidRPr="00536C90">
        <w:rPr>
          <w:rFonts w:ascii="Aptos" w:hAnsi="Aptos" w:cs="Times New Roman"/>
          <w:bCs/>
          <w:sz w:val="24"/>
          <w:szCs w:val="24"/>
        </w:rPr>
        <w:t xml:space="preserve">with the </w:t>
      </w:r>
      <w:r w:rsidR="00F4614C" w:rsidRPr="00536C90">
        <w:rPr>
          <w:rFonts w:ascii="Aptos" w:hAnsi="Aptos" w:cs="Times New Roman"/>
          <w:bCs/>
          <w:sz w:val="24"/>
          <w:szCs w:val="24"/>
        </w:rPr>
        <w:t>Bureau of Special Education Appeals (</w:t>
      </w:r>
      <w:r w:rsidRPr="00536C90">
        <w:rPr>
          <w:rFonts w:ascii="Aptos" w:hAnsi="Aptos" w:cs="Times New Roman"/>
          <w:bCs/>
          <w:sz w:val="24"/>
          <w:szCs w:val="24"/>
        </w:rPr>
        <w:t>BSEA</w:t>
      </w:r>
      <w:r w:rsidR="00F4614C" w:rsidRPr="00536C90">
        <w:rPr>
          <w:rFonts w:ascii="Aptos" w:hAnsi="Aptos" w:cs="Times New Roman"/>
          <w:bCs/>
          <w:sz w:val="24"/>
          <w:szCs w:val="24"/>
        </w:rPr>
        <w:t>)</w:t>
      </w:r>
      <w:r w:rsidR="00164385" w:rsidRPr="00536C90">
        <w:rPr>
          <w:rFonts w:ascii="Aptos" w:hAnsi="Aptos" w:cs="Times New Roman"/>
          <w:bCs/>
          <w:sz w:val="24"/>
          <w:szCs w:val="24"/>
        </w:rPr>
        <w:t>.</w:t>
      </w:r>
      <w:r w:rsidR="00B312B1" w:rsidRPr="00536C90">
        <w:rPr>
          <w:rFonts w:ascii="Aptos" w:hAnsi="Aptos" w:cs="Times New Roman"/>
          <w:bCs/>
          <w:sz w:val="24"/>
          <w:szCs w:val="24"/>
        </w:rPr>
        <w:t xml:space="preserve">  </w:t>
      </w:r>
      <w:r w:rsidR="00B938E0" w:rsidRPr="00536C90">
        <w:rPr>
          <w:rFonts w:ascii="Aptos" w:hAnsi="Aptos" w:cs="Times New Roman"/>
          <w:bCs/>
          <w:sz w:val="24"/>
          <w:szCs w:val="24"/>
        </w:rPr>
        <w:t>Parents</w:t>
      </w:r>
      <w:r w:rsidRPr="00536C90">
        <w:rPr>
          <w:rFonts w:ascii="Aptos" w:hAnsi="Aptos" w:cs="Times New Roman"/>
          <w:bCs/>
          <w:sz w:val="24"/>
          <w:szCs w:val="24"/>
        </w:rPr>
        <w:t xml:space="preserve"> seek </w:t>
      </w:r>
      <w:r w:rsidR="00C9554D" w:rsidRPr="00536C90">
        <w:rPr>
          <w:rFonts w:ascii="Aptos" w:hAnsi="Aptos"/>
          <w:color w:val="212121"/>
          <w:sz w:val="24"/>
          <w:szCs w:val="24"/>
        </w:rPr>
        <w:t xml:space="preserve">an Order </w:t>
      </w:r>
      <w:r w:rsidR="00310EE9" w:rsidRPr="00536C90">
        <w:rPr>
          <w:rFonts w:ascii="Aptos" w:hAnsi="Aptos"/>
          <w:color w:val="212121"/>
          <w:sz w:val="24"/>
          <w:szCs w:val="24"/>
        </w:rPr>
        <w:t>“</w:t>
      </w:r>
      <w:r w:rsidR="00C9554D" w:rsidRPr="00536C90">
        <w:rPr>
          <w:rFonts w:ascii="Aptos" w:hAnsi="Aptos"/>
          <w:color w:val="212121"/>
          <w:sz w:val="24"/>
          <w:szCs w:val="24"/>
        </w:rPr>
        <w:t xml:space="preserve">shortening the time for </w:t>
      </w:r>
      <w:r w:rsidR="00310EE9" w:rsidRPr="00536C90">
        <w:rPr>
          <w:rFonts w:ascii="Aptos" w:hAnsi="Aptos"/>
          <w:color w:val="212121"/>
          <w:sz w:val="24"/>
          <w:szCs w:val="24"/>
        </w:rPr>
        <w:t xml:space="preserve">[Revere Public Schools, or] </w:t>
      </w:r>
      <w:r w:rsidR="00C9554D" w:rsidRPr="00536C90">
        <w:rPr>
          <w:rFonts w:ascii="Aptos" w:hAnsi="Aptos"/>
          <w:color w:val="212121"/>
          <w:sz w:val="24"/>
          <w:szCs w:val="24"/>
        </w:rPr>
        <w:t xml:space="preserve">the District to respond to the Parent’s First Request for Production of Documents (served </w:t>
      </w:r>
      <w:r w:rsidR="00310EE9" w:rsidRPr="00536C90">
        <w:rPr>
          <w:rFonts w:ascii="Aptos" w:hAnsi="Aptos"/>
          <w:color w:val="212121"/>
          <w:sz w:val="24"/>
          <w:szCs w:val="24"/>
        </w:rPr>
        <w:t>[on November 21, 2025]</w:t>
      </w:r>
      <w:r w:rsidR="00C9554D" w:rsidRPr="00536C90">
        <w:rPr>
          <w:rFonts w:ascii="Aptos" w:hAnsi="Aptos"/>
          <w:color w:val="212121"/>
          <w:sz w:val="24"/>
          <w:szCs w:val="24"/>
        </w:rPr>
        <w:t>) from thirty (30) days to ten (10) days</w:t>
      </w:r>
      <w:r w:rsidR="00310EE9" w:rsidRPr="00536C90">
        <w:rPr>
          <w:rFonts w:ascii="Aptos" w:hAnsi="Aptos"/>
          <w:color w:val="212121"/>
          <w:sz w:val="24"/>
          <w:szCs w:val="24"/>
        </w:rPr>
        <w:t xml:space="preserve">” on the grounds that </w:t>
      </w:r>
    </w:p>
    <w:p w14:paraId="7D341338" w14:textId="77777777" w:rsidR="00310EE9" w:rsidRPr="00536C90" w:rsidRDefault="00310EE9" w:rsidP="00310EE9">
      <w:pPr>
        <w:pStyle w:val="NormalWeb"/>
        <w:spacing w:before="0" w:beforeAutospacing="0" w:after="0" w:afterAutospacing="0"/>
        <w:ind w:left="720"/>
        <w:rPr>
          <w:rFonts w:ascii="Aptos" w:hAnsi="Aptos"/>
          <w:color w:val="212121"/>
        </w:rPr>
      </w:pPr>
      <w:r w:rsidRPr="00536C90">
        <w:rPr>
          <w:rFonts w:ascii="Aptos" w:hAnsi="Aptos"/>
          <w:color w:val="212121"/>
        </w:rPr>
        <w:t xml:space="preserve">“1. </w:t>
      </w:r>
      <w:r w:rsidR="00C9554D" w:rsidRPr="00536C90">
        <w:rPr>
          <w:rFonts w:ascii="Aptos" w:hAnsi="Aptos"/>
          <w:color w:val="212121"/>
        </w:rPr>
        <w:t>The evidentiary hearing is scheduled for January 26, 2026.</w:t>
      </w:r>
    </w:p>
    <w:p w14:paraId="51D240C1" w14:textId="77777777" w:rsidR="00310EE9" w:rsidRPr="00536C90" w:rsidRDefault="00310EE9" w:rsidP="00310EE9">
      <w:pPr>
        <w:pStyle w:val="NormalWeb"/>
        <w:spacing w:before="0" w:beforeAutospacing="0" w:after="0" w:afterAutospacing="0"/>
        <w:ind w:left="720"/>
        <w:rPr>
          <w:rFonts w:ascii="Aptos" w:hAnsi="Aptos"/>
          <w:color w:val="212121"/>
        </w:rPr>
      </w:pPr>
      <w:r w:rsidRPr="00536C90">
        <w:rPr>
          <w:rFonts w:ascii="Aptos" w:hAnsi="Aptos"/>
          <w:color w:val="212121"/>
        </w:rPr>
        <w:t xml:space="preserve">  2.  </w:t>
      </w:r>
      <w:r w:rsidR="00C9554D" w:rsidRPr="00536C90">
        <w:rPr>
          <w:rFonts w:ascii="Aptos" w:hAnsi="Aptos"/>
          <w:color w:val="212121"/>
        </w:rPr>
        <w:t>The Parent needs adequate time to review documents and prepare for hearing.</w:t>
      </w:r>
    </w:p>
    <w:p w14:paraId="0A0B1E3C" w14:textId="77777777" w:rsidR="00C9554D" w:rsidRPr="00536C90" w:rsidRDefault="00310EE9" w:rsidP="00310EE9">
      <w:pPr>
        <w:pStyle w:val="NormalWeb"/>
        <w:spacing w:before="0" w:beforeAutospacing="0" w:after="0" w:afterAutospacing="0"/>
        <w:ind w:left="720"/>
        <w:rPr>
          <w:rFonts w:ascii="Aptos" w:hAnsi="Aptos"/>
          <w:color w:val="212121"/>
        </w:rPr>
      </w:pPr>
      <w:r w:rsidRPr="00536C90">
        <w:rPr>
          <w:rFonts w:ascii="Aptos" w:hAnsi="Aptos"/>
          <w:color w:val="212121"/>
        </w:rPr>
        <w:t xml:space="preserve">  3.  </w:t>
      </w:r>
      <w:r w:rsidR="00C9554D" w:rsidRPr="00536C90">
        <w:rPr>
          <w:rFonts w:ascii="Aptos" w:hAnsi="Aptos"/>
          <w:color w:val="212121"/>
        </w:rPr>
        <w:t>The requested documents have been sought since October 20, 2025.</w:t>
      </w:r>
    </w:p>
    <w:p w14:paraId="67938969" w14:textId="77777777" w:rsidR="00C9554D" w:rsidRPr="00536C90" w:rsidRDefault="00C9554D" w:rsidP="00310EE9">
      <w:pPr>
        <w:pStyle w:val="NormalWeb"/>
        <w:numPr>
          <w:ilvl w:val="0"/>
          <w:numId w:val="12"/>
        </w:numPr>
        <w:spacing w:before="0" w:beforeAutospacing="0" w:after="0" w:afterAutospacing="0"/>
        <w:rPr>
          <w:rFonts w:ascii="Aptos" w:hAnsi="Aptos"/>
          <w:color w:val="212121"/>
        </w:rPr>
      </w:pPr>
      <w:r w:rsidRPr="00536C90">
        <w:rPr>
          <w:rFonts w:ascii="Aptos" w:hAnsi="Aptos"/>
          <w:color w:val="212121"/>
        </w:rPr>
        <w:t>The District has had ample time to identify and compile responsive materials.</w:t>
      </w:r>
    </w:p>
    <w:p w14:paraId="220B6207" w14:textId="77777777" w:rsidR="00C9554D" w:rsidRPr="00536C90" w:rsidRDefault="00310EE9" w:rsidP="00310EE9">
      <w:pPr>
        <w:pStyle w:val="NormalWeb"/>
        <w:numPr>
          <w:ilvl w:val="0"/>
          <w:numId w:val="12"/>
        </w:numPr>
        <w:spacing w:before="0" w:beforeAutospacing="0" w:after="0" w:afterAutospacing="0"/>
        <w:rPr>
          <w:rFonts w:ascii="Aptos" w:hAnsi="Aptos"/>
          <w:color w:val="212121"/>
        </w:rPr>
      </w:pPr>
      <w:r w:rsidRPr="00536C90">
        <w:rPr>
          <w:rFonts w:ascii="Aptos" w:hAnsi="Aptos"/>
          <w:color w:val="212121"/>
        </w:rPr>
        <w:t>[The]</w:t>
      </w:r>
      <w:r w:rsidR="00C9554D" w:rsidRPr="00536C90">
        <w:rPr>
          <w:rFonts w:ascii="Aptos" w:hAnsi="Aptos"/>
          <w:color w:val="212121"/>
        </w:rPr>
        <w:t xml:space="preserve"> November 21, 2025 Ruling confirmed the BSEA’s authority to address discovery obligations in pending matters.</w:t>
      </w:r>
      <w:r w:rsidRPr="00536C90">
        <w:rPr>
          <w:rFonts w:ascii="Aptos" w:hAnsi="Aptos"/>
          <w:color w:val="212121"/>
        </w:rPr>
        <w:t>”</w:t>
      </w:r>
    </w:p>
    <w:p w14:paraId="29BC7B10" w14:textId="77777777" w:rsidR="00536C90" w:rsidRPr="00536C90" w:rsidRDefault="00536C90" w:rsidP="00536C90">
      <w:pPr>
        <w:pStyle w:val="NormalWeb"/>
        <w:spacing w:before="0" w:beforeAutospacing="0" w:after="0" w:afterAutospacing="0"/>
        <w:rPr>
          <w:rFonts w:ascii="Aptos" w:hAnsi="Aptos"/>
          <w:color w:val="212121"/>
        </w:rPr>
      </w:pPr>
    </w:p>
    <w:p w14:paraId="3EC9EA75" w14:textId="77777777" w:rsidR="00536C90" w:rsidRPr="00536C90" w:rsidRDefault="00536C90" w:rsidP="00536C90">
      <w:pPr>
        <w:pStyle w:val="NormalWeb"/>
        <w:spacing w:before="0" w:beforeAutospacing="0" w:after="0" w:afterAutospacing="0"/>
        <w:rPr>
          <w:rFonts w:ascii="Aptos" w:hAnsi="Aptos"/>
          <w:color w:val="212121"/>
        </w:rPr>
      </w:pPr>
      <w:r w:rsidRPr="00536C90">
        <w:rPr>
          <w:rFonts w:ascii="Aptos" w:hAnsi="Aptos"/>
          <w:color w:val="212121"/>
        </w:rPr>
        <w:t xml:space="preserve">On November 28, 2025, the District filed </w:t>
      </w:r>
      <w:r w:rsidRPr="00536C90">
        <w:rPr>
          <w:rFonts w:ascii="Aptos" w:hAnsi="Aptos"/>
          <w:i/>
          <w:iCs/>
          <w:color w:val="212121"/>
        </w:rPr>
        <w:t>Opposition To Motion To Shorten Time For Discovery Responses</w:t>
      </w:r>
      <w:r w:rsidRPr="00536C90">
        <w:rPr>
          <w:rFonts w:ascii="Aptos" w:hAnsi="Aptos"/>
          <w:color w:val="212121"/>
        </w:rPr>
        <w:t xml:space="preserve"> arguing that Parent has not set forth a sufficient basis to shorten the time for discovery responses; that, a</w:t>
      </w:r>
      <w:r w:rsidRPr="00536C90">
        <w:rPr>
          <w:rFonts w:ascii="Aptos" w:hAnsi="Aptos"/>
        </w:rPr>
        <w:t>s of the date of this Opposition, the issues for the January 26th hearing have yet to be identified</w:t>
      </w:r>
      <w:r>
        <w:rPr>
          <w:rStyle w:val="FootnoteReference"/>
          <w:rFonts w:ascii="Aptos" w:hAnsi="Aptos"/>
        </w:rPr>
        <w:footnoteReference w:id="1"/>
      </w:r>
      <w:r w:rsidRPr="00536C90">
        <w:rPr>
          <w:rFonts w:ascii="Aptos" w:hAnsi="Aptos"/>
        </w:rPr>
        <w:t>; and that the request as written is so overly broad that the District could not conceivably comply with the typical thirty day timeframe, let alone a ten day timeframe</w:t>
      </w:r>
    </w:p>
    <w:p w14:paraId="63345595" w14:textId="77777777" w:rsidR="00310EE9" w:rsidRPr="00536C90" w:rsidRDefault="00310EE9" w:rsidP="00C9554D">
      <w:pPr>
        <w:spacing w:after="0" w:line="240" w:lineRule="auto"/>
        <w:ind w:right="720"/>
        <w:rPr>
          <w:rFonts w:ascii="Aptos" w:hAnsi="Aptos" w:cs="Times New Roman"/>
          <w:bCs/>
          <w:sz w:val="24"/>
          <w:szCs w:val="24"/>
        </w:rPr>
      </w:pPr>
    </w:p>
    <w:p w14:paraId="69C40F1E" w14:textId="77777777" w:rsidR="0005015B" w:rsidRPr="00536C90" w:rsidRDefault="0005015B" w:rsidP="00C9554D">
      <w:pPr>
        <w:spacing w:after="0" w:line="240" w:lineRule="auto"/>
        <w:ind w:right="720"/>
        <w:rPr>
          <w:rFonts w:ascii="Aptos" w:hAnsi="Aptos" w:cs="Times New Roman"/>
          <w:bCs/>
          <w:sz w:val="24"/>
          <w:szCs w:val="24"/>
        </w:rPr>
      </w:pPr>
      <w:r w:rsidRPr="00536C90">
        <w:rPr>
          <w:rFonts w:ascii="Aptos" w:hAnsi="Aptos" w:cs="Times New Roman"/>
          <w:bCs/>
          <w:sz w:val="24"/>
          <w:szCs w:val="24"/>
        </w:rPr>
        <w:t xml:space="preserve">Because neither testimony nor oral argument would advance the Hearing Officer’s understanding of the issues involved, this Ruling is issued without a hearing, pursuant to </w:t>
      </w:r>
      <w:r w:rsidRPr="00536C90">
        <w:rPr>
          <w:rFonts w:ascii="Aptos" w:hAnsi="Aptos" w:cs="Times New Roman"/>
          <w:bCs/>
          <w:i/>
          <w:sz w:val="24"/>
          <w:szCs w:val="24"/>
        </w:rPr>
        <w:t xml:space="preserve">Bureau of Special Education Appeals Hearing Rule </w:t>
      </w:r>
      <w:r w:rsidRPr="00536C90">
        <w:rPr>
          <w:rFonts w:ascii="Aptos" w:hAnsi="Aptos" w:cs="Times New Roman"/>
          <w:bCs/>
          <w:sz w:val="24"/>
          <w:szCs w:val="24"/>
        </w:rPr>
        <w:t xml:space="preserve">VII(D). </w:t>
      </w:r>
    </w:p>
    <w:p w14:paraId="2184D182" w14:textId="77777777" w:rsidR="00144A97" w:rsidRPr="00536C90" w:rsidRDefault="00144A97" w:rsidP="00F4614C">
      <w:pPr>
        <w:spacing w:after="0" w:line="240" w:lineRule="auto"/>
        <w:ind w:right="720"/>
        <w:rPr>
          <w:rFonts w:ascii="Aptos" w:hAnsi="Aptos" w:cs="Times New Roman"/>
          <w:bCs/>
          <w:sz w:val="24"/>
          <w:szCs w:val="24"/>
        </w:rPr>
      </w:pPr>
    </w:p>
    <w:p w14:paraId="7F66395F" w14:textId="77777777" w:rsidR="007853C9" w:rsidRPr="00536C90" w:rsidRDefault="00F85DA5" w:rsidP="00F4614C">
      <w:pPr>
        <w:spacing w:after="0" w:line="240" w:lineRule="auto"/>
        <w:ind w:right="720"/>
        <w:rPr>
          <w:rFonts w:ascii="Aptos" w:eastAsia="Times New Roman" w:hAnsi="Aptos" w:cs="Times New Roman"/>
          <w:bCs/>
          <w:color w:val="000000"/>
          <w:sz w:val="24"/>
          <w:szCs w:val="24"/>
        </w:rPr>
      </w:pPr>
      <w:r w:rsidRPr="00536C90">
        <w:rPr>
          <w:rFonts w:ascii="Aptos" w:hAnsi="Aptos" w:cs="Times New Roman"/>
          <w:bCs/>
          <w:sz w:val="24"/>
          <w:szCs w:val="24"/>
        </w:rPr>
        <w:t xml:space="preserve">For the reasons articulated below, </w:t>
      </w:r>
      <w:r w:rsidR="00C3137B" w:rsidRPr="00536C90">
        <w:rPr>
          <w:rFonts w:ascii="Aptos" w:hAnsi="Aptos" w:cs="Times New Roman"/>
          <w:bCs/>
          <w:sz w:val="24"/>
          <w:szCs w:val="24"/>
        </w:rPr>
        <w:t>Parent</w:t>
      </w:r>
      <w:r w:rsidR="00310EE9" w:rsidRPr="00536C90">
        <w:rPr>
          <w:rFonts w:ascii="Aptos" w:hAnsi="Aptos" w:cs="Times New Roman"/>
          <w:bCs/>
          <w:sz w:val="24"/>
          <w:szCs w:val="24"/>
        </w:rPr>
        <w:t>’</w:t>
      </w:r>
      <w:r w:rsidR="00C3137B" w:rsidRPr="00536C90">
        <w:rPr>
          <w:rFonts w:ascii="Aptos" w:hAnsi="Aptos" w:cs="Times New Roman"/>
          <w:bCs/>
          <w:sz w:val="24"/>
          <w:szCs w:val="24"/>
        </w:rPr>
        <w:t>s</w:t>
      </w:r>
      <w:r w:rsidR="00B070E2" w:rsidRPr="00536C90">
        <w:rPr>
          <w:rFonts w:ascii="Aptos" w:hAnsi="Aptos" w:cs="Times New Roman"/>
          <w:bCs/>
          <w:sz w:val="24"/>
          <w:szCs w:val="24"/>
        </w:rPr>
        <w:t xml:space="preserve"> </w:t>
      </w:r>
      <w:r w:rsidRPr="00536C90">
        <w:rPr>
          <w:rFonts w:ascii="Aptos" w:hAnsi="Aptos" w:cs="Times New Roman"/>
          <w:bCs/>
          <w:i/>
          <w:iCs/>
          <w:sz w:val="24"/>
          <w:szCs w:val="24"/>
        </w:rPr>
        <w:t>Motion</w:t>
      </w:r>
      <w:r w:rsidRPr="00536C90">
        <w:rPr>
          <w:rFonts w:ascii="Aptos" w:hAnsi="Aptos" w:cs="Times New Roman"/>
          <w:bCs/>
          <w:sz w:val="24"/>
          <w:szCs w:val="24"/>
        </w:rPr>
        <w:t xml:space="preserve"> is </w:t>
      </w:r>
      <w:r w:rsidR="0037277D" w:rsidRPr="00536C90">
        <w:rPr>
          <w:rFonts w:ascii="Aptos" w:eastAsia="Times New Roman" w:hAnsi="Aptos" w:cs="Times New Roman"/>
          <w:bCs/>
          <w:color w:val="000000"/>
          <w:sz w:val="24"/>
          <w:szCs w:val="24"/>
        </w:rPr>
        <w:t>DENIED.</w:t>
      </w:r>
    </w:p>
    <w:p w14:paraId="0FB3E6DA" w14:textId="77777777" w:rsidR="00F85DA5" w:rsidRPr="00536C90" w:rsidRDefault="00F85DA5" w:rsidP="00F4614C">
      <w:pPr>
        <w:spacing w:after="0" w:line="240" w:lineRule="auto"/>
        <w:ind w:right="720"/>
        <w:rPr>
          <w:rFonts w:ascii="Aptos" w:hAnsi="Aptos" w:cs="Times New Roman"/>
          <w:bCs/>
          <w:sz w:val="24"/>
          <w:szCs w:val="24"/>
        </w:rPr>
      </w:pPr>
    </w:p>
    <w:p w14:paraId="03ABFDE9" w14:textId="77777777" w:rsidR="00F85DA5" w:rsidRPr="00536C90" w:rsidRDefault="00F85DA5" w:rsidP="00F4614C">
      <w:pPr>
        <w:spacing w:after="0" w:line="240" w:lineRule="auto"/>
        <w:ind w:right="720"/>
        <w:rPr>
          <w:rFonts w:ascii="Aptos" w:hAnsi="Aptos" w:cs="Times New Roman"/>
          <w:b/>
          <w:sz w:val="24"/>
          <w:szCs w:val="24"/>
        </w:rPr>
      </w:pPr>
      <w:r w:rsidRPr="00536C90">
        <w:rPr>
          <w:rFonts w:ascii="Aptos" w:hAnsi="Aptos" w:cs="Times New Roman"/>
          <w:b/>
          <w:sz w:val="24"/>
          <w:szCs w:val="24"/>
        </w:rPr>
        <w:t xml:space="preserve">RELEVANT </w:t>
      </w:r>
      <w:r w:rsidR="00580E9D" w:rsidRPr="00536C90">
        <w:rPr>
          <w:rFonts w:ascii="Aptos" w:hAnsi="Aptos" w:cs="Times New Roman"/>
          <w:b/>
          <w:sz w:val="24"/>
          <w:szCs w:val="24"/>
        </w:rPr>
        <w:t xml:space="preserve">FACTS AND </w:t>
      </w:r>
      <w:r w:rsidRPr="00536C90">
        <w:rPr>
          <w:rFonts w:ascii="Aptos" w:hAnsi="Aptos" w:cs="Times New Roman"/>
          <w:b/>
          <w:sz w:val="24"/>
          <w:szCs w:val="24"/>
        </w:rPr>
        <w:t>PROCEDURAL HISTORY</w:t>
      </w:r>
      <w:r w:rsidR="00580E9D" w:rsidRPr="00536C90">
        <w:rPr>
          <w:rFonts w:ascii="Aptos" w:hAnsi="Aptos" w:cs="Times New Roman"/>
          <w:b/>
          <w:sz w:val="24"/>
          <w:szCs w:val="24"/>
        </w:rPr>
        <w:t>:</w:t>
      </w:r>
    </w:p>
    <w:p w14:paraId="78387668" w14:textId="77777777" w:rsidR="002F40E0" w:rsidRPr="00536C90" w:rsidRDefault="002F40E0" w:rsidP="00F4614C">
      <w:pPr>
        <w:spacing w:after="0" w:line="240" w:lineRule="auto"/>
        <w:ind w:right="720"/>
        <w:rPr>
          <w:rFonts w:ascii="Aptos" w:hAnsi="Aptos" w:cs="Times New Roman"/>
          <w:bCs/>
          <w:sz w:val="24"/>
          <w:szCs w:val="24"/>
        </w:rPr>
      </w:pPr>
    </w:p>
    <w:p w14:paraId="29237EC6" w14:textId="77777777" w:rsidR="00294D56" w:rsidRPr="00536C90" w:rsidRDefault="00F4614C" w:rsidP="00F4614C">
      <w:pPr>
        <w:spacing w:after="0" w:line="240" w:lineRule="auto"/>
        <w:ind w:right="720"/>
        <w:rPr>
          <w:rFonts w:ascii="Aptos" w:hAnsi="Aptos" w:cs="Times New Roman"/>
          <w:bCs/>
          <w:sz w:val="24"/>
          <w:szCs w:val="24"/>
        </w:rPr>
      </w:pPr>
      <w:r w:rsidRPr="00536C90">
        <w:rPr>
          <w:rFonts w:ascii="Aptos" w:hAnsi="Aptos" w:cs="Times New Roman"/>
          <w:bCs/>
          <w:sz w:val="24"/>
          <w:szCs w:val="24"/>
        </w:rPr>
        <w:t xml:space="preserve">On October 27, 2025, Parent filed a Hearing Request with the BSEA alleging stay-put and other procedural violations by Revere. On November 13, 2025, at the joint request of the parties and for good cause, the matter was postponed until </w:t>
      </w:r>
      <w:r w:rsidR="00B71B84" w:rsidRPr="00536C90">
        <w:rPr>
          <w:rFonts w:ascii="Aptos" w:hAnsi="Aptos" w:cs="Times New Roman"/>
          <w:bCs/>
          <w:sz w:val="24"/>
          <w:szCs w:val="24"/>
        </w:rPr>
        <w:t>January 26, 2026</w:t>
      </w:r>
      <w:r w:rsidR="00294D56" w:rsidRPr="00536C90">
        <w:rPr>
          <w:rFonts w:ascii="Aptos" w:hAnsi="Aptos" w:cs="Times New Roman"/>
          <w:bCs/>
          <w:sz w:val="24"/>
          <w:szCs w:val="24"/>
        </w:rPr>
        <w:t>.</w:t>
      </w:r>
    </w:p>
    <w:p w14:paraId="51C349AC" w14:textId="77777777" w:rsidR="00536C90" w:rsidRPr="00536C90" w:rsidRDefault="00536C90" w:rsidP="00F4614C">
      <w:pPr>
        <w:spacing w:after="0" w:line="240" w:lineRule="auto"/>
        <w:ind w:right="720"/>
        <w:rPr>
          <w:rFonts w:ascii="Aptos" w:hAnsi="Aptos" w:cs="Times New Roman"/>
          <w:bCs/>
          <w:sz w:val="24"/>
          <w:szCs w:val="24"/>
        </w:rPr>
      </w:pPr>
    </w:p>
    <w:p w14:paraId="4BEE19DC" w14:textId="77777777" w:rsidR="00536C90" w:rsidRPr="00536C90" w:rsidRDefault="00536C90" w:rsidP="00536C90">
      <w:pPr>
        <w:spacing w:after="0" w:line="240" w:lineRule="auto"/>
        <w:ind w:right="720"/>
        <w:rPr>
          <w:rFonts w:ascii="Aptos" w:hAnsi="Aptos" w:cs="Times New Roman"/>
          <w:bCs/>
          <w:sz w:val="24"/>
          <w:szCs w:val="24"/>
        </w:rPr>
      </w:pPr>
      <w:r w:rsidRPr="00536C90">
        <w:rPr>
          <w:rFonts w:ascii="Aptos" w:hAnsi="Aptos" w:cs="Times New Roman"/>
          <w:bCs/>
          <w:sz w:val="24"/>
          <w:szCs w:val="24"/>
        </w:rPr>
        <w:lastRenderedPageBreak/>
        <w:t>On October 20, 2025, Parent’s representative submitted the following public records request to the District:</w:t>
      </w:r>
    </w:p>
    <w:p w14:paraId="0862E69D" w14:textId="77777777" w:rsidR="00536C90" w:rsidRPr="00536C90" w:rsidRDefault="00536C90" w:rsidP="00536C90">
      <w:pPr>
        <w:spacing w:after="0" w:line="240" w:lineRule="auto"/>
        <w:ind w:left="1440" w:right="720"/>
        <w:rPr>
          <w:rFonts w:ascii="Aptos" w:hAnsi="Aptos" w:cs="Times New Roman"/>
          <w:bCs/>
          <w:sz w:val="24"/>
          <w:szCs w:val="24"/>
        </w:rPr>
      </w:pPr>
      <w:r w:rsidRPr="00536C90">
        <w:rPr>
          <w:rFonts w:ascii="Aptos" w:hAnsi="Aptos" w:cs="Times New Roman"/>
          <w:bCs/>
          <w:sz w:val="24"/>
          <w:szCs w:val="24"/>
        </w:rPr>
        <w:t xml:space="preserve">1. All email communications, memoranda, meeting notes, or written records that reference </w:t>
      </w:r>
      <w:r>
        <w:rPr>
          <w:rFonts w:ascii="Aptos" w:hAnsi="Aptos" w:cs="Times New Roman"/>
          <w:bCs/>
          <w:sz w:val="24"/>
          <w:szCs w:val="24"/>
        </w:rPr>
        <w:t>Student</w:t>
      </w:r>
      <w:r w:rsidRPr="00536C90">
        <w:rPr>
          <w:rFonts w:ascii="Aptos" w:hAnsi="Aptos" w:cs="Times New Roman"/>
          <w:bCs/>
          <w:sz w:val="24"/>
          <w:szCs w:val="24"/>
        </w:rPr>
        <w:t xml:space="preserve"> (DOB 04/23/2017) or any discussion of her IEP, placement, transportation, or “IGNITE” program assignment, from September 1 through the time of the execution of this request. This includes communications among district administrators, special-education staff, building principals, and transportation or zoning personnel concerning A.C. Whelan Elementary, </w:t>
      </w:r>
      <w:proofErr w:type="spellStart"/>
      <w:r w:rsidRPr="00536C90">
        <w:rPr>
          <w:rFonts w:ascii="Aptos" w:hAnsi="Aptos" w:cs="Times New Roman"/>
          <w:bCs/>
          <w:sz w:val="24"/>
          <w:szCs w:val="24"/>
        </w:rPr>
        <w:t>Beachmont</w:t>
      </w:r>
      <w:proofErr w:type="spellEnd"/>
      <w:r w:rsidRPr="00536C90">
        <w:rPr>
          <w:rFonts w:ascii="Aptos" w:hAnsi="Aptos" w:cs="Times New Roman"/>
          <w:bCs/>
          <w:sz w:val="24"/>
          <w:szCs w:val="24"/>
        </w:rPr>
        <w:t xml:space="preserve"> Elementary, or any “redesign” initiative or non-neighborhood reassignment.</w:t>
      </w:r>
    </w:p>
    <w:p w14:paraId="5535D8C5" w14:textId="77777777" w:rsidR="00536C90" w:rsidRPr="00536C90" w:rsidRDefault="00536C90" w:rsidP="00536C90">
      <w:pPr>
        <w:spacing w:after="0" w:line="240" w:lineRule="auto"/>
        <w:ind w:left="1440" w:right="720"/>
        <w:rPr>
          <w:rFonts w:ascii="Aptos" w:hAnsi="Aptos" w:cs="Times New Roman"/>
          <w:bCs/>
          <w:sz w:val="24"/>
          <w:szCs w:val="24"/>
        </w:rPr>
      </w:pPr>
      <w:r w:rsidRPr="00536C90">
        <w:rPr>
          <w:rFonts w:ascii="Aptos" w:hAnsi="Aptos" w:cs="Times New Roman"/>
          <w:bCs/>
          <w:sz w:val="24"/>
          <w:szCs w:val="24"/>
        </w:rPr>
        <w:t>2. All internal and external correspondence — including emails, drafts, attachments, or talking points — containing or referencing any of the following keywords: “IGNITE,” “redesign,” “program,” “neighborhood,” “non-neighborhood,” “zoning,” “assignment,” “attendance area,” “transportation,” “door-to-door,” “1 Gibson Way,” “bus route,” “cost,” “sustainable,” “budget,” “added expense,” “efficiency,” “placement,” “transfer,” “</w:t>
      </w:r>
      <w:proofErr w:type="spellStart"/>
      <w:r w:rsidRPr="00536C90">
        <w:rPr>
          <w:rFonts w:ascii="Aptos" w:hAnsi="Aptos" w:cs="Times New Roman"/>
          <w:bCs/>
          <w:sz w:val="24"/>
          <w:szCs w:val="24"/>
        </w:rPr>
        <w:t>Beachmont</w:t>
      </w:r>
      <w:proofErr w:type="spellEnd"/>
      <w:r w:rsidRPr="00536C90">
        <w:rPr>
          <w:rFonts w:ascii="Aptos" w:hAnsi="Aptos" w:cs="Times New Roman"/>
          <w:bCs/>
          <w:sz w:val="24"/>
          <w:szCs w:val="24"/>
        </w:rPr>
        <w:t>,” “Whelan,” “out-of-district,” “program move,” “pickup,” “drop-off,” “stop location,” “routing,” “resources,” “allocation,” “feasibility,” “staffing,” “reassignment,”</w:t>
      </w:r>
      <w:r>
        <w:rPr>
          <w:rFonts w:ascii="Aptos" w:hAnsi="Aptos" w:cs="Times New Roman"/>
          <w:bCs/>
          <w:sz w:val="24"/>
          <w:szCs w:val="24"/>
        </w:rPr>
        <w:t xml:space="preserve"> </w:t>
      </w:r>
      <w:r w:rsidRPr="00536C90">
        <w:rPr>
          <w:rFonts w:ascii="Aptos" w:hAnsi="Aptos" w:cs="Times New Roman"/>
          <w:bCs/>
          <w:sz w:val="24"/>
          <w:szCs w:val="24"/>
        </w:rPr>
        <w:t>“drafting,” “PWN,” “Prior Written Notice,” “addendum,” “stay-put,” “stay put,”</w:t>
      </w:r>
      <w:r>
        <w:rPr>
          <w:rFonts w:ascii="Aptos" w:hAnsi="Aptos" w:cs="Times New Roman"/>
          <w:bCs/>
          <w:sz w:val="24"/>
          <w:szCs w:val="24"/>
        </w:rPr>
        <w:t xml:space="preserve"> </w:t>
      </w:r>
      <w:r w:rsidRPr="00536C90">
        <w:rPr>
          <w:rFonts w:ascii="Aptos" w:hAnsi="Aptos" w:cs="Times New Roman"/>
          <w:bCs/>
          <w:sz w:val="24"/>
          <w:szCs w:val="24"/>
        </w:rPr>
        <w:t>“BSEA,” “mediation,” “due process,” “DESE,” “complaint,” “records request,” “parent advocate.”</w:t>
      </w:r>
    </w:p>
    <w:p w14:paraId="0DC9DF34" w14:textId="77777777" w:rsidR="00536C90" w:rsidRPr="00536C90" w:rsidRDefault="00536C90" w:rsidP="00536C90">
      <w:pPr>
        <w:spacing w:after="0" w:line="240" w:lineRule="auto"/>
        <w:ind w:left="1440" w:right="720"/>
        <w:rPr>
          <w:rFonts w:ascii="Aptos" w:hAnsi="Aptos" w:cs="Times New Roman"/>
          <w:bCs/>
          <w:sz w:val="24"/>
          <w:szCs w:val="24"/>
        </w:rPr>
      </w:pPr>
      <w:r w:rsidRPr="00536C90">
        <w:rPr>
          <w:rFonts w:ascii="Aptos" w:hAnsi="Aptos" w:cs="Times New Roman"/>
          <w:bCs/>
          <w:sz w:val="24"/>
          <w:szCs w:val="24"/>
        </w:rPr>
        <w:t>3. All records, directives, or meeting notes documenting administrative or policy-level decisions about the redesign or reassignment of the IGNITE program</w:t>
      </w:r>
      <w:r>
        <w:rPr>
          <w:rFonts w:ascii="Aptos" w:hAnsi="Aptos" w:cs="Times New Roman"/>
          <w:bCs/>
          <w:sz w:val="24"/>
          <w:szCs w:val="24"/>
        </w:rPr>
        <w:t xml:space="preserve"> </w:t>
      </w:r>
      <w:r w:rsidRPr="00536C90">
        <w:rPr>
          <w:rFonts w:ascii="Aptos" w:hAnsi="Aptos" w:cs="Times New Roman"/>
          <w:bCs/>
          <w:sz w:val="24"/>
          <w:szCs w:val="24"/>
        </w:rPr>
        <w:t>between district schools, including rationales or justifications related to cost, staffing, zoning, or proximity.</w:t>
      </w:r>
    </w:p>
    <w:p w14:paraId="14847502" w14:textId="77777777" w:rsidR="00536C90" w:rsidRDefault="00536C90" w:rsidP="00536C90">
      <w:pPr>
        <w:spacing w:after="0" w:line="240" w:lineRule="auto"/>
        <w:ind w:right="720"/>
        <w:rPr>
          <w:rFonts w:ascii="Aptos" w:hAnsi="Aptos" w:cs="Times New Roman"/>
          <w:bCs/>
          <w:sz w:val="24"/>
          <w:szCs w:val="24"/>
        </w:rPr>
      </w:pPr>
    </w:p>
    <w:p w14:paraId="38897A29" w14:textId="77777777" w:rsidR="00536C90" w:rsidRDefault="00536C90" w:rsidP="00536C90">
      <w:pPr>
        <w:spacing w:after="0" w:line="240" w:lineRule="auto"/>
        <w:ind w:right="720"/>
        <w:rPr>
          <w:rFonts w:ascii="Aptos" w:hAnsi="Aptos" w:cs="Times New Roman"/>
          <w:bCs/>
          <w:sz w:val="24"/>
          <w:szCs w:val="24"/>
        </w:rPr>
      </w:pPr>
      <w:r w:rsidRPr="00536C90">
        <w:rPr>
          <w:rFonts w:ascii="Aptos" w:hAnsi="Aptos" w:cs="Times New Roman"/>
          <w:bCs/>
          <w:sz w:val="24"/>
          <w:szCs w:val="24"/>
        </w:rPr>
        <w:t xml:space="preserve">On October 31, 2025, the District responded to the request. Due to the ongoing BSEA proceedings, the District declined to issue a substantive response based on 950 CMR 32.08(2)(b)(1) which allows the Supervisor of Public Records (“SPR”) to deny a request for records which “are the subject of disputes in active litigation, administrative hearings or mediation.” </w:t>
      </w:r>
      <w:r>
        <w:rPr>
          <w:rFonts w:ascii="Aptos" w:hAnsi="Aptos" w:cs="Times New Roman"/>
          <w:bCs/>
          <w:sz w:val="24"/>
          <w:szCs w:val="24"/>
        </w:rPr>
        <w:t>Parent</w:t>
      </w:r>
      <w:r w:rsidRPr="00536C90">
        <w:rPr>
          <w:rFonts w:ascii="Aptos" w:hAnsi="Aptos" w:cs="Times New Roman"/>
          <w:bCs/>
          <w:sz w:val="24"/>
          <w:szCs w:val="24"/>
        </w:rPr>
        <w:t xml:space="preserve"> timely appealed the District’s response to SPR. In its determination, SPR declined to opine based on the pending matters before the BSEA. Parent filed a Motion to Compel with the BSEA arising out of this request, which was denied on November 14, 2025</w:t>
      </w:r>
      <w:r>
        <w:rPr>
          <w:rFonts w:ascii="Aptos" w:hAnsi="Aptos" w:cs="Times New Roman"/>
          <w:bCs/>
          <w:sz w:val="24"/>
          <w:szCs w:val="24"/>
        </w:rPr>
        <w:t>, for lack of subject matter jurisdiction</w:t>
      </w:r>
      <w:r w:rsidRPr="00536C90">
        <w:rPr>
          <w:rFonts w:ascii="Aptos" w:hAnsi="Aptos" w:cs="Times New Roman"/>
          <w:bCs/>
          <w:sz w:val="24"/>
          <w:szCs w:val="24"/>
        </w:rPr>
        <w:t>.</w:t>
      </w:r>
    </w:p>
    <w:p w14:paraId="0D2045B9" w14:textId="77777777" w:rsidR="00536C90" w:rsidRPr="00536C90" w:rsidRDefault="00536C90" w:rsidP="00536C90">
      <w:pPr>
        <w:spacing w:after="0" w:line="240" w:lineRule="auto"/>
        <w:ind w:right="720"/>
        <w:rPr>
          <w:rFonts w:ascii="Aptos" w:hAnsi="Aptos" w:cs="Times New Roman"/>
          <w:bCs/>
          <w:sz w:val="24"/>
          <w:szCs w:val="24"/>
        </w:rPr>
      </w:pPr>
    </w:p>
    <w:p w14:paraId="2A1F80FB" w14:textId="77777777" w:rsidR="00536C90" w:rsidRDefault="00536C90" w:rsidP="00536C90">
      <w:pPr>
        <w:spacing w:after="0" w:line="240" w:lineRule="auto"/>
        <w:ind w:right="720"/>
        <w:rPr>
          <w:rFonts w:ascii="Aptos" w:hAnsi="Aptos" w:cs="Times New Roman"/>
          <w:bCs/>
          <w:sz w:val="24"/>
          <w:szCs w:val="24"/>
        </w:rPr>
      </w:pPr>
      <w:r w:rsidRPr="00536C90">
        <w:rPr>
          <w:rFonts w:ascii="Aptos" w:hAnsi="Aptos" w:cs="Times New Roman"/>
          <w:bCs/>
          <w:sz w:val="24"/>
          <w:szCs w:val="24"/>
        </w:rPr>
        <w:t>On November 14, 2025, Paren</w:t>
      </w:r>
      <w:r w:rsidRPr="002564E8">
        <w:rPr>
          <w:rFonts w:ascii="Aptos" w:hAnsi="Aptos" w:cs="Times New Roman"/>
          <w:bCs/>
          <w:sz w:val="24"/>
          <w:szCs w:val="24"/>
        </w:rPr>
        <w:t>t</w:t>
      </w:r>
      <w:r w:rsidRPr="00536C90">
        <w:rPr>
          <w:rFonts w:ascii="Aptos" w:hAnsi="Aptos" w:cs="Times New Roman"/>
          <w:bCs/>
          <w:sz w:val="24"/>
          <w:szCs w:val="24"/>
        </w:rPr>
        <w:t xml:space="preserve"> served her First Request for Production of Documents (“RPOD”) on the District. The RPOD was substantially similar to the public records request, albeit with two additional categories of requested documents. </w:t>
      </w:r>
    </w:p>
    <w:p w14:paraId="15A3EE8F" w14:textId="77777777" w:rsidR="00536C90" w:rsidRPr="00536C90" w:rsidRDefault="00536C90" w:rsidP="00536C90">
      <w:pPr>
        <w:spacing w:after="0" w:line="240" w:lineRule="auto"/>
        <w:ind w:right="720"/>
        <w:rPr>
          <w:rFonts w:ascii="Aptos" w:hAnsi="Aptos" w:cs="Times New Roman"/>
          <w:bCs/>
          <w:sz w:val="24"/>
          <w:szCs w:val="24"/>
        </w:rPr>
      </w:pPr>
      <w:r w:rsidRPr="00536C90">
        <w:rPr>
          <w:rFonts w:ascii="Aptos" w:hAnsi="Aptos" w:cs="Times New Roman"/>
          <w:bCs/>
          <w:sz w:val="24"/>
          <w:szCs w:val="24"/>
        </w:rPr>
        <w:lastRenderedPageBreak/>
        <w:t xml:space="preserve">The hearing in this matter is scheduled for January 26, 2025. </w:t>
      </w:r>
      <w:r>
        <w:rPr>
          <w:rFonts w:ascii="Aptos" w:hAnsi="Aptos" w:cs="Times New Roman"/>
          <w:bCs/>
          <w:sz w:val="24"/>
          <w:szCs w:val="24"/>
        </w:rPr>
        <w:t xml:space="preserve"> </w:t>
      </w:r>
    </w:p>
    <w:p w14:paraId="4D03A177" w14:textId="77777777" w:rsidR="00294D56" w:rsidRPr="00536C90" w:rsidRDefault="00294D56" w:rsidP="00F4614C">
      <w:pPr>
        <w:spacing w:after="0" w:line="240" w:lineRule="auto"/>
        <w:ind w:right="720"/>
        <w:rPr>
          <w:rFonts w:ascii="Aptos" w:hAnsi="Aptos" w:cs="Times New Roman"/>
          <w:bCs/>
          <w:sz w:val="24"/>
          <w:szCs w:val="24"/>
        </w:rPr>
      </w:pPr>
    </w:p>
    <w:p w14:paraId="1F5630F1" w14:textId="77777777" w:rsidR="00294D56" w:rsidRPr="00536C90" w:rsidRDefault="00294D56" w:rsidP="00F4614C">
      <w:pPr>
        <w:spacing w:after="0" w:line="240" w:lineRule="auto"/>
        <w:ind w:right="720"/>
        <w:rPr>
          <w:rFonts w:ascii="Aptos" w:hAnsi="Aptos" w:cs="Times New Roman"/>
          <w:b/>
          <w:sz w:val="24"/>
          <w:szCs w:val="24"/>
        </w:rPr>
      </w:pPr>
      <w:r w:rsidRPr="00536C90">
        <w:rPr>
          <w:rFonts w:ascii="Aptos" w:hAnsi="Aptos" w:cs="Times New Roman"/>
          <w:b/>
          <w:sz w:val="24"/>
          <w:szCs w:val="24"/>
        </w:rPr>
        <w:t>LEGAL STANDARDS:</w:t>
      </w:r>
    </w:p>
    <w:p w14:paraId="48A057CE" w14:textId="77777777" w:rsidR="00867673" w:rsidRPr="00536C90" w:rsidRDefault="00867673" w:rsidP="00F4614C">
      <w:pPr>
        <w:spacing w:after="0" w:line="240" w:lineRule="auto"/>
        <w:ind w:right="720"/>
        <w:rPr>
          <w:rFonts w:ascii="Aptos" w:hAnsi="Aptos"/>
          <w:bCs/>
          <w:color w:val="000000"/>
          <w:sz w:val="24"/>
          <w:szCs w:val="24"/>
        </w:rPr>
      </w:pPr>
    </w:p>
    <w:p w14:paraId="4A5553E6" w14:textId="77777777" w:rsidR="00294D56" w:rsidRPr="00536C90" w:rsidRDefault="00294D56" w:rsidP="00F4614C">
      <w:pPr>
        <w:spacing w:after="0" w:line="240" w:lineRule="auto"/>
        <w:ind w:right="720"/>
        <w:rPr>
          <w:rFonts w:ascii="Aptos" w:eastAsia="Times New Roman" w:hAnsi="Aptos" w:cs="Times New Roman"/>
          <w:bCs/>
          <w:color w:val="000000"/>
          <w:sz w:val="24"/>
          <w:szCs w:val="24"/>
        </w:rPr>
      </w:pPr>
      <w:r w:rsidRPr="00536C90">
        <w:rPr>
          <w:rFonts w:ascii="Aptos" w:hAnsi="Aptos"/>
          <w:bCs/>
          <w:color w:val="000000"/>
          <w:sz w:val="24"/>
          <w:szCs w:val="24"/>
        </w:rPr>
        <w:t xml:space="preserve">Rule V of the </w:t>
      </w:r>
      <w:r w:rsidRPr="00536C90">
        <w:rPr>
          <w:rFonts w:ascii="Aptos" w:hAnsi="Aptos"/>
          <w:bCs/>
          <w:i/>
          <w:iCs/>
          <w:color w:val="000000"/>
          <w:sz w:val="24"/>
          <w:szCs w:val="24"/>
        </w:rPr>
        <w:t>BSEA</w:t>
      </w:r>
      <w:r w:rsidRPr="00536C90">
        <w:rPr>
          <w:rFonts w:ascii="Aptos" w:hAnsi="Aptos"/>
          <w:bCs/>
          <w:color w:val="000000"/>
          <w:sz w:val="24"/>
          <w:szCs w:val="24"/>
        </w:rPr>
        <w:t xml:space="preserve"> </w:t>
      </w:r>
      <w:r w:rsidRPr="00536C90">
        <w:rPr>
          <w:rFonts w:ascii="Aptos" w:hAnsi="Aptos"/>
          <w:bCs/>
          <w:i/>
          <w:iCs/>
          <w:color w:val="000000"/>
          <w:sz w:val="24"/>
          <w:szCs w:val="24"/>
        </w:rPr>
        <w:t xml:space="preserve">Hearing Rules </w:t>
      </w:r>
      <w:r w:rsidRPr="00536C90">
        <w:rPr>
          <w:rFonts w:ascii="Aptos" w:hAnsi="Aptos"/>
          <w:bCs/>
          <w:color w:val="000000"/>
          <w:sz w:val="24"/>
          <w:szCs w:val="24"/>
        </w:rPr>
        <w:t>governs the discovery process before the BSEA.  Rule V(A) advises that “the parties are encouraged to exchange information cooperatively and by agreement prior to the hearing.”  Additionally, parties can request of other parties that they produce documents or answer up to 25 interrogatories within thirty (30) calendar days of being served such requests, unless a Hearing Officer orders otherwise.</w:t>
      </w:r>
      <w:r w:rsidRPr="00536C90">
        <w:rPr>
          <w:rStyle w:val="FootnoteReference"/>
          <w:rFonts w:ascii="Aptos" w:eastAsia="Times New Roman" w:hAnsi="Aptos" w:cs="Times New Roman"/>
          <w:bCs/>
          <w:color w:val="000000"/>
          <w:sz w:val="24"/>
          <w:szCs w:val="24"/>
        </w:rPr>
        <w:footnoteReference w:id="2"/>
      </w:r>
      <w:r w:rsidRPr="00536C90">
        <w:rPr>
          <w:rFonts w:ascii="Aptos" w:hAnsi="Aptos"/>
          <w:bCs/>
          <w:color w:val="000000"/>
          <w:sz w:val="24"/>
          <w:szCs w:val="24"/>
        </w:rPr>
        <w:t xml:space="preserve">  </w:t>
      </w:r>
      <w:r w:rsidR="00065DC5" w:rsidRPr="00536C90">
        <w:rPr>
          <w:rFonts w:ascii="Aptos" w:hAnsi="Aptos"/>
          <w:bCs/>
          <w:color w:val="000000"/>
          <w:sz w:val="24"/>
          <w:szCs w:val="24"/>
        </w:rPr>
        <w:t>Where the information or the documents requested are “not subject to any sort of privilege, the accessibility of the documents requested and their relevance to the dispute may militate in favor or against production.”</w:t>
      </w:r>
      <w:r w:rsidR="00065DC5" w:rsidRPr="00536C90">
        <w:rPr>
          <w:rStyle w:val="FootnoteReference"/>
          <w:rFonts w:ascii="Aptos" w:eastAsia="Times New Roman" w:hAnsi="Aptos" w:cs="Times New Roman"/>
          <w:bCs/>
          <w:color w:val="000000"/>
          <w:sz w:val="24"/>
          <w:szCs w:val="24"/>
        </w:rPr>
        <w:footnoteReference w:id="3"/>
      </w:r>
      <w:r w:rsidR="00065DC5" w:rsidRPr="00536C90">
        <w:rPr>
          <w:rFonts w:ascii="Aptos" w:hAnsi="Aptos"/>
          <w:bCs/>
          <w:color w:val="000000"/>
          <w:sz w:val="24"/>
          <w:szCs w:val="24"/>
        </w:rPr>
        <w:t xml:space="preserve">  </w:t>
      </w:r>
      <w:r w:rsidRPr="00536C90">
        <w:rPr>
          <w:rFonts w:ascii="Aptos" w:eastAsia="Times New Roman" w:hAnsi="Aptos" w:cs="Times New Roman"/>
          <w:bCs/>
          <w:color w:val="000000"/>
          <w:sz w:val="24"/>
          <w:szCs w:val="24"/>
        </w:rPr>
        <w:t>Objections to any discovery requests can be made within ten calendar days of service of the request, or parties can move for a protective order within that timeframe as well.</w:t>
      </w:r>
      <w:r w:rsidRPr="00536C90">
        <w:rPr>
          <w:rStyle w:val="FootnoteReference"/>
          <w:rFonts w:ascii="Aptos" w:eastAsia="Times New Roman" w:hAnsi="Aptos" w:cs="Times New Roman"/>
          <w:bCs/>
          <w:color w:val="000000"/>
          <w:sz w:val="24"/>
          <w:szCs w:val="24"/>
        </w:rPr>
        <w:footnoteReference w:id="4"/>
      </w:r>
      <w:r w:rsidRPr="00536C90">
        <w:rPr>
          <w:rFonts w:ascii="Aptos" w:eastAsia="Times New Roman" w:hAnsi="Aptos" w:cs="Times New Roman"/>
          <w:bCs/>
          <w:color w:val="000000"/>
          <w:sz w:val="24"/>
          <w:szCs w:val="24"/>
        </w:rPr>
        <w:t xml:space="preserve"> </w:t>
      </w:r>
      <w:r w:rsidR="00310EE9" w:rsidRPr="00536C90">
        <w:rPr>
          <w:rFonts w:ascii="Aptos" w:eastAsia="Times New Roman" w:hAnsi="Aptos" w:cs="Times New Roman"/>
          <w:bCs/>
          <w:color w:val="000000"/>
          <w:sz w:val="24"/>
          <w:szCs w:val="24"/>
        </w:rPr>
        <w:t xml:space="preserve"> </w:t>
      </w:r>
    </w:p>
    <w:p w14:paraId="46808522" w14:textId="77777777" w:rsidR="00294D56" w:rsidRPr="00536C90" w:rsidRDefault="00294D56" w:rsidP="00F4614C">
      <w:pPr>
        <w:spacing w:after="0" w:line="240" w:lineRule="auto"/>
        <w:ind w:right="720"/>
        <w:rPr>
          <w:rFonts w:ascii="Aptos" w:eastAsia="Times New Roman" w:hAnsi="Aptos" w:cs="Times New Roman"/>
          <w:bCs/>
          <w:color w:val="000000"/>
          <w:sz w:val="24"/>
          <w:szCs w:val="24"/>
        </w:rPr>
      </w:pPr>
    </w:p>
    <w:p w14:paraId="4B803661" w14:textId="77777777" w:rsidR="00294D56" w:rsidRPr="00536C90" w:rsidRDefault="00294D56" w:rsidP="00F4614C">
      <w:pPr>
        <w:spacing w:after="0" w:line="240" w:lineRule="auto"/>
        <w:ind w:right="720"/>
        <w:rPr>
          <w:rFonts w:ascii="Aptos" w:eastAsia="Times New Roman" w:hAnsi="Aptos" w:cs="Times New Roman"/>
          <w:b/>
          <w:color w:val="000000"/>
          <w:sz w:val="24"/>
          <w:szCs w:val="24"/>
        </w:rPr>
      </w:pPr>
      <w:r w:rsidRPr="00536C90">
        <w:rPr>
          <w:rFonts w:ascii="Aptos" w:eastAsia="Times New Roman" w:hAnsi="Aptos" w:cs="Times New Roman"/>
          <w:b/>
          <w:color w:val="000000"/>
          <w:sz w:val="24"/>
          <w:szCs w:val="24"/>
        </w:rPr>
        <w:t>APPLICATION OF LEGAL STANDARDS</w:t>
      </w:r>
      <w:r w:rsidR="004A0CD6" w:rsidRPr="00536C90">
        <w:rPr>
          <w:rFonts w:ascii="Aptos" w:eastAsia="Times New Roman" w:hAnsi="Aptos" w:cs="Times New Roman"/>
          <w:b/>
          <w:color w:val="000000"/>
          <w:sz w:val="24"/>
          <w:szCs w:val="24"/>
        </w:rPr>
        <w:t xml:space="preserve"> AND CONCLUSIONS</w:t>
      </w:r>
      <w:r w:rsidRPr="00536C90">
        <w:rPr>
          <w:rFonts w:ascii="Aptos" w:eastAsia="Times New Roman" w:hAnsi="Aptos" w:cs="Times New Roman"/>
          <w:b/>
          <w:color w:val="000000"/>
          <w:sz w:val="24"/>
          <w:szCs w:val="24"/>
        </w:rPr>
        <w:t>:</w:t>
      </w:r>
    </w:p>
    <w:p w14:paraId="10B2F697" w14:textId="77777777" w:rsidR="00294D56" w:rsidRPr="00536C90" w:rsidRDefault="00294D56" w:rsidP="00F4614C">
      <w:pPr>
        <w:spacing w:after="0" w:line="240" w:lineRule="auto"/>
        <w:ind w:right="720"/>
        <w:rPr>
          <w:rFonts w:ascii="Aptos" w:eastAsia="Times New Roman" w:hAnsi="Aptos" w:cs="Times New Roman"/>
          <w:bCs/>
          <w:color w:val="000000"/>
          <w:sz w:val="24"/>
          <w:szCs w:val="24"/>
        </w:rPr>
      </w:pPr>
    </w:p>
    <w:p w14:paraId="3CAAC00B" w14:textId="0A8CF057" w:rsidR="00294D56" w:rsidRPr="00536C90" w:rsidRDefault="00294D56" w:rsidP="00F4614C">
      <w:pPr>
        <w:spacing w:after="0" w:line="240" w:lineRule="auto"/>
        <w:ind w:right="720"/>
        <w:rPr>
          <w:rFonts w:ascii="Aptos" w:eastAsia="Times New Roman" w:hAnsi="Aptos" w:cs="Times New Roman"/>
          <w:bCs/>
          <w:color w:val="000000"/>
          <w:sz w:val="24"/>
          <w:szCs w:val="24"/>
        </w:rPr>
      </w:pPr>
      <w:r w:rsidRPr="00536C90">
        <w:rPr>
          <w:rFonts w:ascii="Aptos" w:eastAsia="Times New Roman" w:hAnsi="Aptos" w:cs="Times New Roman"/>
          <w:bCs/>
          <w:color w:val="000000"/>
          <w:sz w:val="24"/>
          <w:szCs w:val="24"/>
        </w:rPr>
        <w:t>Here, after consideration of the relevant procedural history set forth above and the applicable legal standards</w:t>
      </w:r>
      <w:r w:rsidR="00321B5A" w:rsidRPr="00536C90">
        <w:rPr>
          <w:rFonts w:ascii="Aptos" w:eastAsia="Times New Roman" w:hAnsi="Aptos" w:cs="Times New Roman"/>
          <w:bCs/>
          <w:color w:val="000000"/>
          <w:sz w:val="24"/>
          <w:szCs w:val="24"/>
        </w:rPr>
        <w:t xml:space="preserve"> delineated </w:t>
      </w:r>
      <w:r w:rsidR="00321B5A" w:rsidRPr="00536C90">
        <w:rPr>
          <w:rFonts w:ascii="Aptos" w:eastAsia="Times New Roman" w:hAnsi="Aptos" w:cs="Times New Roman"/>
          <w:bCs/>
          <w:i/>
          <w:iCs/>
          <w:color w:val="000000"/>
          <w:sz w:val="24"/>
          <w:szCs w:val="24"/>
        </w:rPr>
        <w:t>supra</w:t>
      </w:r>
      <w:r w:rsidRPr="00536C90">
        <w:rPr>
          <w:rFonts w:ascii="Aptos" w:eastAsia="Times New Roman" w:hAnsi="Aptos" w:cs="Times New Roman"/>
          <w:bCs/>
          <w:color w:val="000000"/>
          <w:sz w:val="24"/>
          <w:szCs w:val="24"/>
        </w:rPr>
        <w:t xml:space="preserve">, I find </w:t>
      </w:r>
      <w:r w:rsidR="00C5343A" w:rsidRPr="00536C90">
        <w:rPr>
          <w:rFonts w:ascii="Aptos" w:eastAsia="Times New Roman" w:hAnsi="Aptos" w:cs="Times New Roman"/>
          <w:bCs/>
          <w:color w:val="000000"/>
          <w:sz w:val="24"/>
          <w:szCs w:val="24"/>
        </w:rPr>
        <w:t>that Paren</w:t>
      </w:r>
      <w:r w:rsidR="00C5343A" w:rsidRPr="002564E8">
        <w:rPr>
          <w:rFonts w:ascii="Aptos" w:eastAsia="Times New Roman" w:hAnsi="Aptos" w:cs="Times New Roman"/>
          <w:bCs/>
          <w:color w:val="000000"/>
          <w:sz w:val="24"/>
          <w:szCs w:val="24"/>
        </w:rPr>
        <w:t>t</w:t>
      </w:r>
      <w:r w:rsidR="00310EE9" w:rsidRPr="002564E8">
        <w:rPr>
          <w:rFonts w:ascii="Aptos" w:eastAsia="Times New Roman" w:hAnsi="Aptos" w:cs="Times New Roman"/>
          <w:bCs/>
          <w:color w:val="000000"/>
          <w:sz w:val="24"/>
          <w:szCs w:val="24"/>
        </w:rPr>
        <w:t>’</w:t>
      </w:r>
      <w:r w:rsidR="00C5343A" w:rsidRPr="002564E8">
        <w:rPr>
          <w:rFonts w:ascii="Aptos" w:eastAsia="Times New Roman" w:hAnsi="Aptos" w:cs="Times New Roman"/>
          <w:bCs/>
          <w:color w:val="000000"/>
          <w:sz w:val="24"/>
          <w:szCs w:val="24"/>
        </w:rPr>
        <w:t>s</w:t>
      </w:r>
      <w:r w:rsidR="00B0142A">
        <w:rPr>
          <w:rFonts w:ascii="Aptos" w:eastAsia="Times New Roman" w:hAnsi="Aptos" w:cs="Times New Roman"/>
          <w:bCs/>
          <w:color w:val="000000"/>
          <w:sz w:val="24"/>
          <w:szCs w:val="24"/>
        </w:rPr>
        <w:t xml:space="preserve"> </w:t>
      </w:r>
      <w:r w:rsidR="00C5343A" w:rsidRPr="00536C90">
        <w:rPr>
          <w:rFonts w:ascii="Aptos" w:eastAsia="Times New Roman" w:hAnsi="Aptos" w:cs="Times New Roman"/>
          <w:bCs/>
          <w:i/>
          <w:iCs/>
          <w:color w:val="000000"/>
          <w:sz w:val="24"/>
          <w:szCs w:val="24"/>
        </w:rPr>
        <w:t>Motion</w:t>
      </w:r>
      <w:r w:rsidR="00C5343A" w:rsidRPr="00536C90">
        <w:rPr>
          <w:rFonts w:ascii="Aptos" w:eastAsia="Times New Roman" w:hAnsi="Aptos" w:cs="Times New Roman"/>
          <w:bCs/>
          <w:color w:val="000000"/>
          <w:sz w:val="24"/>
          <w:szCs w:val="24"/>
        </w:rPr>
        <w:t xml:space="preserve"> must be DENIED</w:t>
      </w:r>
      <w:r w:rsidR="00310EE9" w:rsidRPr="00536C90">
        <w:rPr>
          <w:rFonts w:ascii="Aptos" w:eastAsia="Times New Roman" w:hAnsi="Aptos" w:cs="Times New Roman"/>
          <w:bCs/>
          <w:color w:val="000000"/>
          <w:sz w:val="24"/>
          <w:szCs w:val="24"/>
        </w:rPr>
        <w:t>. Here, Parent served discovery on Revere Public Schools on November 21, 2025. As such, the District must respond to Parents by December 21, 2025, almost one month before the start of the Hearing in this matter, which should be “</w:t>
      </w:r>
      <w:r w:rsidR="00310EE9" w:rsidRPr="00536C90">
        <w:rPr>
          <w:rFonts w:ascii="Aptos" w:hAnsi="Aptos"/>
          <w:color w:val="212121"/>
          <w:sz w:val="24"/>
          <w:szCs w:val="24"/>
        </w:rPr>
        <w:t>adequate time [for Parent] to review documents and prepare for hearing.”</w:t>
      </w:r>
    </w:p>
    <w:p w14:paraId="7D9640E1" w14:textId="77777777" w:rsidR="00B71B84" w:rsidRPr="00536C90" w:rsidRDefault="00B71B84" w:rsidP="00F4614C">
      <w:pPr>
        <w:spacing w:after="0" w:line="240" w:lineRule="auto"/>
        <w:ind w:right="720"/>
        <w:rPr>
          <w:rFonts w:ascii="Aptos" w:eastAsia="Times New Roman" w:hAnsi="Aptos" w:cs="Times New Roman"/>
          <w:bCs/>
          <w:color w:val="000000"/>
          <w:sz w:val="24"/>
          <w:szCs w:val="24"/>
        </w:rPr>
      </w:pPr>
    </w:p>
    <w:p w14:paraId="0844049B" w14:textId="77777777" w:rsidR="00294D56" w:rsidRPr="00536C90" w:rsidRDefault="00294D56" w:rsidP="00F4614C">
      <w:pPr>
        <w:spacing w:after="0" w:line="240" w:lineRule="auto"/>
        <w:ind w:right="720"/>
        <w:rPr>
          <w:rFonts w:ascii="Aptos" w:eastAsia="Times New Roman" w:hAnsi="Aptos" w:cs="Times New Roman"/>
          <w:b/>
          <w:color w:val="000000"/>
          <w:sz w:val="24"/>
          <w:szCs w:val="24"/>
        </w:rPr>
      </w:pPr>
      <w:r w:rsidRPr="00536C90">
        <w:rPr>
          <w:rFonts w:ascii="Aptos" w:eastAsia="Times New Roman" w:hAnsi="Aptos" w:cs="Times New Roman"/>
          <w:b/>
          <w:color w:val="000000"/>
          <w:sz w:val="24"/>
          <w:szCs w:val="24"/>
        </w:rPr>
        <w:t>ORDER:</w:t>
      </w:r>
    </w:p>
    <w:p w14:paraId="3471745E" w14:textId="77777777" w:rsidR="00294D56" w:rsidRPr="00536C90" w:rsidRDefault="00294D56" w:rsidP="00F4614C">
      <w:pPr>
        <w:spacing w:after="0" w:line="240" w:lineRule="auto"/>
        <w:ind w:right="720"/>
        <w:rPr>
          <w:rFonts w:ascii="Aptos" w:eastAsia="Times New Roman" w:hAnsi="Aptos" w:cs="Times New Roman"/>
          <w:bCs/>
          <w:color w:val="000000"/>
          <w:sz w:val="24"/>
          <w:szCs w:val="24"/>
        </w:rPr>
      </w:pPr>
    </w:p>
    <w:p w14:paraId="7F8A0D9D" w14:textId="3AF8A300" w:rsidR="00294D56" w:rsidRPr="00536C90" w:rsidRDefault="00294D56" w:rsidP="00F4614C">
      <w:pPr>
        <w:spacing w:after="0" w:line="240" w:lineRule="auto"/>
        <w:ind w:right="720"/>
        <w:rPr>
          <w:rFonts w:ascii="Aptos" w:eastAsia="Times New Roman" w:hAnsi="Aptos" w:cs="Times New Roman"/>
          <w:bCs/>
          <w:color w:val="000000"/>
          <w:sz w:val="24"/>
          <w:szCs w:val="24"/>
        </w:rPr>
      </w:pPr>
      <w:r w:rsidRPr="002564E8">
        <w:rPr>
          <w:rFonts w:ascii="Aptos" w:eastAsia="Times New Roman" w:hAnsi="Aptos" w:cs="Times New Roman"/>
          <w:bCs/>
          <w:color w:val="000000"/>
          <w:sz w:val="24"/>
          <w:szCs w:val="24"/>
        </w:rPr>
        <w:t>Parent</w:t>
      </w:r>
      <w:r w:rsidR="00B0142A">
        <w:rPr>
          <w:rFonts w:ascii="Aptos" w:eastAsia="Times New Roman" w:hAnsi="Aptos" w:cs="Times New Roman"/>
          <w:bCs/>
          <w:color w:val="000000"/>
          <w:sz w:val="24"/>
          <w:szCs w:val="24"/>
        </w:rPr>
        <w:t>’</w:t>
      </w:r>
      <w:r w:rsidRPr="002564E8">
        <w:rPr>
          <w:rFonts w:ascii="Aptos" w:eastAsia="Times New Roman" w:hAnsi="Aptos" w:cs="Times New Roman"/>
          <w:bCs/>
          <w:color w:val="000000"/>
          <w:sz w:val="24"/>
          <w:szCs w:val="24"/>
        </w:rPr>
        <w:t>s</w:t>
      </w:r>
      <w:r w:rsidR="00B0142A">
        <w:rPr>
          <w:rFonts w:ascii="Aptos" w:eastAsia="Times New Roman" w:hAnsi="Aptos" w:cs="Times New Roman"/>
          <w:bCs/>
          <w:color w:val="000000"/>
          <w:sz w:val="24"/>
          <w:szCs w:val="24"/>
        </w:rPr>
        <w:t xml:space="preserve"> </w:t>
      </w:r>
      <w:r w:rsidRPr="00536C90">
        <w:rPr>
          <w:rFonts w:ascii="Aptos" w:eastAsia="Times New Roman" w:hAnsi="Aptos" w:cs="Times New Roman"/>
          <w:bCs/>
          <w:i/>
          <w:iCs/>
          <w:color w:val="000000"/>
          <w:sz w:val="24"/>
          <w:szCs w:val="24"/>
        </w:rPr>
        <w:t>Motion</w:t>
      </w:r>
      <w:r w:rsidRPr="00536C90">
        <w:rPr>
          <w:rFonts w:ascii="Aptos" w:eastAsia="Times New Roman" w:hAnsi="Aptos" w:cs="Times New Roman"/>
          <w:bCs/>
          <w:color w:val="000000"/>
          <w:sz w:val="24"/>
          <w:szCs w:val="24"/>
        </w:rPr>
        <w:t xml:space="preserve"> is hereby </w:t>
      </w:r>
      <w:r w:rsidR="00C5343A" w:rsidRPr="00536C90">
        <w:rPr>
          <w:rFonts w:ascii="Aptos" w:eastAsia="Times New Roman" w:hAnsi="Aptos" w:cs="Times New Roman"/>
          <w:bCs/>
          <w:color w:val="000000"/>
          <w:sz w:val="24"/>
          <w:szCs w:val="24"/>
        </w:rPr>
        <w:t>DENIED.</w:t>
      </w:r>
    </w:p>
    <w:p w14:paraId="6E394D92" w14:textId="77777777" w:rsidR="00294D56" w:rsidRPr="00536C90" w:rsidRDefault="00294D56" w:rsidP="00F4614C">
      <w:pPr>
        <w:spacing w:after="0" w:line="240" w:lineRule="auto"/>
        <w:ind w:right="720"/>
        <w:rPr>
          <w:rFonts w:ascii="Aptos" w:hAnsi="Aptos" w:cs="Times New Roman"/>
          <w:bCs/>
          <w:sz w:val="24"/>
          <w:szCs w:val="24"/>
        </w:rPr>
      </w:pPr>
    </w:p>
    <w:p w14:paraId="2761DEE4" w14:textId="77777777" w:rsidR="00294D56" w:rsidRPr="00536C90" w:rsidRDefault="00294D56" w:rsidP="00F4614C">
      <w:pPr>
        <w:spacing w:after="0" w:line="240" w:lineRule="auto"/>
        <w:ind w:right="720"/>
        <w:rPr>
          <w:rFonts w:ascii="Aptos" w:hAnsi="Aptos" w:cs="Times New Roman"/>
          <w:bCs/>
          <w:sz w:val="24"/>
          <w:szCs w:val="24"/>
        </w:rPr>
      </w:pPr>
      <w:r w:rsidRPr="00536C90">
        <w:rPr>
          <w:rFonts w:ascii="Aptos" w:hAnsi="Aptos" w:cs="Times New Roman"/>
          <w:bCs/>
          <w:sz w:val="24"/>
          <w:szCs w:val="24"/>
        </w:rPr>
        <w:t>So Ordered by the Hearing Officer</w:t>
      </w:r>
    </w:p>
    <w:p w14:paraId="70B08640" w14:textId="77777777" w:rsidR="00294D56" w:rsidRPr="00536C90" w:rsidRDefault="00294D56" w:rsidP="00F4614C">
      <w:pPr>
        <w:spacing w:after="0" w:line="240" w:lineRule="auto"/>
        <w:ind w:right="720"/>
        <w:rPr>
          <w:rFonts w:ascii="Aptos" w:hAnsi="Aptos" w:cs="Times New Roman"/>
          <w:bCs/>
          <w:sz w:val="24"/>
          <w:szCs w:val="24"/>
        </w:rPr>
      </w:pPr>
    </w:p>
    <w:p w14:paraId="3F1B32A5" w14:textId="77777777" w:rsidR="00294D56" w:rsidRPr="00536C90" w:rsidRDefault="00294D56" w:rsidP="00F4614C">
      <w:pPr>
        <w:spacing w:after="0" w:line="240" w:lineRule="auto"/>
        <w:ind w:right="720"/>
        <w:rPr>
          <w:rFonts w:ascii="Aptos" w:hAnsi="Aptos" w:cs="Times New Roman"/>
          <w:bCs/>
          <w:sz w:val="24"/>
          <w:szCs w:val="24"/>
          <w:u w:val="single"/>
        </w:rPr>
      </w:pPr>
      <w:r w:rsidRPr="00536C90">
        <w:rPr>
          <w:rFonts w:ascii="Aptos" w:hAnsi="Aptos" w:cs="Times New Roman"/>
          <w:bCs/>
          <w:sz w:val="24"/>
          <w:szCs w:val="24"/>
          <w:u w:val="single"/>
        </w:rPr>
        <w:t>/s/  Alina Kantor Nir</w:t>
      </w:r>
    </w:p>
    <w:p w14:paraId="1172C547" w14:textId="77777777" w:rsidR="00294D56" w:rsidRPr="00536C90" w:rsidRDefault="00294D56" w:rsidP="00F4614C">
      <w:pPr>
        <w:spacing w:after="0" w:line="240" w:lineRule="auto"/>
        <w:ind w:right="720"/>
        <w:rPr>
          <w:rFonts w:ascii="Aptos" w:hAnsi="Aptos" w:cs="Times New Roman"/>
          <w:bCs/>
          <w:sz w:val="24"/>
          <w:szCs w:val="24"/>
        </w:rPr>
      </w:pPr>
      <w:r w:rsidRPr="00536C90">
        <w:rPr>
          <w:rFonts w:ascii="Aptos" w:hAnsi="Aptos" w:cs="Times New Roman"/>
          <w:bCs/>
          <w:sz w:val="24"/>
          <w:szCs w:val="24"/>
        </w:rPr>
        <w:t>Alina Kantor Nir, Hearing Officer</w:t>
      </w:r>
    </w:p>
    <w:p w14:paraId="7B06E664" w14:textId="4F3E5511" w:rsidR="00294D56" w:rsidRPr="00536C90" w:rsidRDefault="00294D56" w:rsidP="00F4614C">
      <w:pPr>
        <w:spacing w:after="0" w:line="240" w:lineRule="auto"/>
        <w:ind w:right="720"/>
        <w:rPr>
          <w:rFonts w:ascii="Aptos" w:hAnsi="Aptos" w:cs="Times New Roman"/>
          <w:bCs/>
          <w:sz w:val="24"/>
          <w:szCs w:val="24"/>
        </w:rPr>
      </w:pPr>
      <w:r w:rsidRPr="00536C90">
        <w:rPr>
          <w:rFonts w:ascii="Aptos" w:hAnsi="Aptos" w:cs="Times New Roman"/>
          <w:bCs/>
          <w:sz w:val="24"/>
          <w:szCs w:val="24"/>
        </w:rPr>
        <w:t xml:space="preserve">Dated: </w:t>
      </w:r>
      <w:r w:rsidR="00B0142A">
        <w:rPr>
          <w:rFonts w:ascii="Aptos" w:hAnsi="Aptos" w:cs="Times New Roman"/>
          <w:bCs/>
          <w:sz w:val="24"/>
          <w:szCs w:val="24"/>
        </w:rPr>
        <w:t>December 1</w:t>
      </w:r>
      <w:r w:rsidR="00741F63" w:rsidRPr="00536C90">
        <w:rPr>
          <w:rFonts w:ascii="Aptos" w:hAnsi="Aptos" w:cs="Times New Roman"/>
          <w:bCs/>
          <w:sz w:val="24"/>
          <w:szCs w:val="24"/>
        </w:rPr>
        <w:t>, 2025</w:t>
      </w:r>
    </w:p>
    <w:p w14:paraId="52C193F8" w14:textId="77777777" w:rsidR="007D7837" w:rsidRPr="00536C90" w:rsidRDefault="007D7837" w:rsidP="00F4614C">
      <w:pPr>
        <w:spacing w:after="0" w:line="240" w:lineRule="auto"/>
        <w:ind w:right="720"/>
        <w:rPr>
          <w:rFonts w:ascii="Aptos" w:hAnsi="Aptos" w:cs="Times New Roman"/>
          <w:b/>
          <w:sz w:val="24"/>
          <w:szCs w:val="24"/>
        </w:rPr>
        <w:sectPr w:rsidR="007D7837" w:rsidRPr="00536C90" w:rsidSect="007241B7">
          <w:footerReference w:type="even" r:id="rId8"/>
          <w:footerReference w:type="default" r:id="rId9"/>
          <w:pgSz w:w="12240" w:h="15840"/>
          <w:pgMar w:top="1440" w:right="1440" w:bottom="1440" w:left="1440" w:header="720" w:footer="720" w:gutter="0"/>
          <w:cols w:space="720"/>
        </w:sectPr>
      </w:pPr>
    </w:p>
    <w:p w14:paraId="675684DB" w14:textId="77777777" w:rsidR="00DE04AB" w:rsidRPr="00536C90" w:rsidRDefault="00DE04AB" w:rsidP="00F4614C">
      <w:pPr>
        <w:pStyle w:val="Heading2"/>
        <w:tabs>
          <w:tab w:val="left" w:pos="843"/>
        </w:tabs>
        <w:ind w:left="0" w:right="720" w:firstLine="0"/>
        <w:rPr>
          <w:rFonts w:ascii="Aptos" w:hAnsi="Aptos"/>
          <w:bCs w:val="0"/>
          <w:sz w:val="24"/>
          <w:szCs w:val="24"/>
        </w:rPr>
      </w:pPr>
    </w:p>
    <w:sectPr w:rsidR="00DE04AB" w:rsidRPr="00536C90" w:rsidSect="007241B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EE7E" w14:textId="77777777" w:rsidR="000052DC" w:rsidRDefault="000052DC" w:rsidP="00F85DA5">
      <w:pPr>
        <w:spacing w:after="0" w:line="240" w:lineRule="auto"/>
      </w:pPr>
      <w:r>
        <w:separator/>
      </w:r>
    </w:p>
  </w:endnote>
  <w:endnote w:type="continuationSeparator" w:id="0">
    <w:p w14:paraId="6DF80FDD" w14:textId="77777777" w:rsidR="000052DC" w:rsidRDefault="000052DC" w:rsidP="00F8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1749672"/>
      <w:docPartObj>
        <w:docPartGallery w:val="Page Numbers (Bottom of Page)"/>
        <w:docPartUnique/>
      </w:docPartObj>
    </w:sdtPr>
    <w:sdtEndPr>
      <w:rPr>
        <w:rStyle w:val="PageNumber"/>
      </w:rPr>
    </w:sdtEndPr>
    <w:sdtContent>
      <w:p w14:paraId="5D539C06" w14:textId="77777777" w:rsidR="004F5F9C" w:rsidRDefault="004F5F9C" w:rsidP="00C63D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956D37" w14:textId="77777777" w:rsidR="004F5F9C" w:rsidRDefault="004F5F9C" w:rsidP="00DE04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4581352"/>
      <w:docPartObj>
        <w:docPartGallery w:val="Page Numbers (Bottom of Page)"/>
        <w:docPartUnique/>
      </w:docPartObj>
    </w:sdtPr>
    <w:sdtEndPr>
      <w:rPr>
        <w:rStyle w:val="PageNumber"/>
      </w:rPr>
    </w:sdtEndPr>
    <w:sdtContent>
      <w:p w14:paraId="3407AC0D" w14:textId="77777777" w:rsidR="004F5F9C" w:rsidRDefault="004F5F9C" w:rsidP="00C63D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6042F2" w14:textId="77777777" w:rsidR="004F5F9C" w:rsidRDefault="004F5F9C" w:rsidP="00DE04A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18952"/>
      <w:docPartObj>
        <w:docPartGallery w:val="Page Numbers (Bottom of Page)"/>
        <w:docPartUnique/>
      </w:docPartObj>
    </w:sdtPr>
    <w:sdtEndPr>
      <w:rPr>
        <w:noProof/>
      </w:rPr>
    </w:sdtEndPr>
    <w:sdtContent>
      <w:p w14:paraId="68CED022" w14:textId="77777777" w:rsidR="000147F0" w:rsidRDefault="000147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3A734" w14:textId="77777777" w:rsidR="000147F0" w:rsidRDefault="00014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6700" w14:textId="77777777" w:rsidR="000052DC" w:rsidRDefault="000052DC" w:rsidP="00F85DA5">
      <w:pPr>
        <w:spacing w:after="0" w:line="240" w:lineRule="auto"/>
      </w:pPr>
      <w:r>
        <w:separator/>
      </w:r>
    </w:p>
  </w:footnote>
  <w:footnote w:type="continuationSeparator" w:id="0">
    <w:p w14:paraId="35D74DB4" w14:textId="77777777" w:rsidR="000052DC" w:rsidRDefault="000052DC" w:rsidP="00F85DA5">
      <w:pPr>
        <w:spacing w:after="0" w:line="240" w:lineRule="auto"/>
      </w:pPr>
      <w:r>
        <w:continuationSeparator/>
      </w:r>
    </w:p>
  </w:footnote>
  <w:footnote w:id="1">
    <w:p w14:paraId="70EAD2B9" w14:textId="77777777" w:rsidR="00536C90" w:rsidRDefault="00536C90">
      <w:pPr>
        <w:pStyle w:val="FootnoteText"/>
      </w:pPr>
      <w:r>
        <w:rPr>
          <w:rStyle w:val="FootnoteReference"/>
        </w:rPr>
        <w:footnoteRef/>
      </w:r>
      <w:r>
        <w:t xml:space="preserve"> A Decision </w:t>
      </w:r>
      <w:r w:rsidR="0064025C">
        <w:t>in</w:t>
      </w:r>
      <w:r>
        <w:t xml:space="preserve"> BSEA # </w:t>
      </w:r>
      <w:r w:rsidRPr="00536C90">
        <w:t>2604601</w:t>
      </w:r>
      <w:r>
        <w:t xml:space="preserve"> is pending which should help clarify and limit the issues for the instant matter. </w:t>
      </w:r>
    </w:p>
  </w:footnote>
  <w:footnote w:id="2">
    <w:p w14:paraId="7BA2E7FB" w14:textId="77777777" w:rsidR="00294D56" w:rsidRPr="00B71B84" w:rsidRDefault="00294D56" w:rsidP="00294D56">
      <w:pPr>
        <w:pStyle w:val="FootnoteText"/>
        <w:rPr>
          <w:rFonts w:ascii="Aptos" w:hAnsi="Aptos" w:cs="Times New Roman"/>
          <w:color w:val="000000" w:themeColor="text1"/>
        </w:rPr>
      </w:pPr>
      <w:r w:rsidRPr="00B71B84">
        <w:rPr>
          <w:rStyle w:val="FootnoteReference"/>
          <w:rFonts w:ascii="Aptos" w:hAnsi="Aptos" w:cs="Times New Roman"/>
          <w:color w:val="000000" w:themeColor="text1"/>
        </w:rPr>
        <w:footnoteRef/>
      </w:r>
      <w:r w:rsidRPr="00B71B84">
        <w:rPr>
          <w:rFonts w:ascii="Aptos" w:hAnsi="Aptos" w:cs="Times New Roman"/>
          <w:color w:val="000000" w:themeColor="text1"/>
        </w:rPr>
        <w:t xml:space="preserve"> See Rule V(B)(1) and (2).</w:t>
      </w:r>
    </w:p>
  </w:footnote>
  <w:footnote w:id="3">
    <w:p w14:paraId="33AA943A" w14:textId="77777777" w:rsidR="00065DC5" w:rsidRPr="00B71B84" w:rsidRDefault="00065DC5" w:rsidP="00321B5A">
      <w:pPr>
        <w:pStyle w:val="FootnoteText"/>
        <w:rPr>
          <w:rFonts w:ascii="Aptos" w:hAnsi="Aptos" w:cs="Times New Roman"/>
        </w:rPr>
      </w:pPr>
      <w:r w:rsidRPr="00B71B84">
        <w:rPr>
          <w:rStyle w:val="FootnoteReference"/>
          <w:rFonts w:ascii="Aptos" w:hAnsi="Aptos" w:cs="Times New Roman"/>
        </w:rPr>
        <w:footnoteRef/>
      </w:r>
      <w:r w:rsidRPr="00B71B84">
        <w:rPr>
          <w:rFonts w:ascii="Aptos" w:hAnsi="Aptos" w:cs="Times New Roman"/>
        </w:rPr>
        <w:t xml:space="preserve"> </w:t>
      </w:r>
      <w:r w:rsidR="00321B5A" w:rsidRPr="00B71B84">
        <w:rPr>
          <w:rFonts w:ascii="Aptos" w:hAnsi="Aptos" w:cs="Times New Roman"/>
          <w:i/>
          <w:iCs/>
        </w:rPr>
        <w:t>In Re: Dorian and Waltham Public Schools (Ruling),</w:t>
      </w:r>
      <w:r w:rsidR="00321B5A" w:rsidRPr="00B71B84">
        <w:rPr>
          <w:rFonts w:ascii="Aptos" w:hAnsi="Aptos" w:cs="Times New Roman"/>
        </w:rPr>
        <w:t xml:space="preserve"> BSEA # 17-02306 (Reichbach, 2017). </w:t>
      </w:r>
    </w:p>
  </w:footnote>
  <w:footnote w:id="4">
    <w:p w14:paraId="32053B48" w14:textId="77777777" w:rsidR="00294D56" w:rsidRPr="00B71B84" w:rsidRDefault="00294D56" w:rsidP="00294D56">
      <w:pPr>
        <w:pStyle w:val="FootnoteText"/>
        <w:rPr>
          <w:rFonts w:ascii="Aptos" w:hAnsi="Aptos" w:cs="Times New Roman"/>
          <w:color w:val="000000" w:themeColor="text1"/>
        </w:rPr>
      </w:pPr>
      <w:r w:rsidRPr="00B71B84">
        <w:rPr>
          <w:rStyle w:val="FootnoteReference"/>
          <w:rFonts w:ascii="Aptos" w:hAnsi="Aptos" w:cs="Times New Roman"/>
          <w:color w:val="000000" w:themeColor="text1"/>
        </w:rPr>
        <w:footnoteRef/>
      </w:r>
      <w:r w:rsidRPr="00B71B84">
        <w:rPr>
          <w:rFonts w:ascii="Aptos" w:hAnsi="Aptos" w:cs="Times New Roman"/>
          <w:color w:val="000000" w:themeColor="text1"/>
        </w:rPr>
        <w:t xml:space="preserve"> See Rule V(C).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5A59"/>
    <w:multiLevelType w:val="multilevel"/>
    <w:tmpl w:val="85BACDFA"/>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 w15:restartNumberingAfterBreak="0">
    <w:nsid w:val="0D0D6D42"/>
    <w:multiLevelType w:val="hybridMultilevel"/>
    <w:tmpl w:val="B33ECD1C"/>
    <w:lvl w:ilvl="0" w:tplc="5538A1F8">
      <w:start w:val="1"/>
      <w:numFmt w:val="decimal"/>
      <w:lvlText w:val="%1."/>
      <w:lvlJc w:val="left"/>
      <w:pPr>
        <w:ind w:left="1208" w:hanging="708"/>
      </w:pPr>
      <w:rPr>
        <w:rFonts w:ascii="Times New Roman" w:eastAsia="Times New Roman" w:hAnsi="Times New Roman" w:cs="Times New Roman" w:hint="default"/>
        <w:b w:val="0"/>
        <w:bCs w:val="0"/>
        <w:i w:val="0"/>
        <w:iCs w:val="0"/>
        <w:w w:val="102"/>
        <w:sz w:val="23"/>
        <w:szCs w:val="23"/>
        <w:lang w:val="en-US" w:eastAsia="en-US" w:bidi="ar-SA"/>
      </w:rPr>
    </w:lvl>
    <w:lvl w:ilvl="1" w:tplc="46A8FFBC">
      <w:numFmt w:val="bullet"/>
      <w:lvlText w:val="•"/>
      <w:lvlJc w:val="left"/>
      <w:pPr>
        <w:ind w:left="2040" w:hanging="708"/>
      </w:pPr>
      <w:rPr>
        <w:rFonts w:hint="default"/>
        <w:lang w:val="en-US" w:eastAsia="en-US" w:bidi="ar-SA"/>
      </w:rPr>
    </w:lvl>
    <w:lvl w:ilvl="2" w:tplc="63A8A180">
      <w:numFmt w:val="bullet"/>
      <w:lvlText w:val="•"/>
      <w:lvlJc w:val="left"/>
      <w:pPr>
        <w:ind w:left="2880" w:hanging="708"/>
      </w:pPr>
      <w:rPr>
        <w:rFonts w:hint="default"/>
        <w:lang w:val="en-US" w:eastAsia="en-US" w:bidi="ar-SA"/>
      </w:rPr>
    </w:lvl>
    <w:lvl w:ilvl="3" w:tplc="54A22BC2">
      <w:numFmt w:val="bullet"/>
      <w:lvlText w:val="•"/>
      <w:lvlJc w:val="left"/>
      <w:pPr>
        <w:ind w:left="3720" w:hanging="708"/>
      </w:pPr>
      <w:rPr>
        <w:rFonts w:hint="default"/>
        <w:lang w:val="en-US" w:eastAsia="en-US" w:bidi="ar-SA"/>
      </w:rPr>
    </w:lvl>
    <w:lvl w:ilvl="4" w:tplc="F8709D70">
      <w:numFmt w:val="bullet"/>
      <w:lvlText w:val="•"/>
      <w:lvlJc w:val="left"/>
      <w:pPr>
        <w:ind w:left="4560" w:hanging="708"/>
      </w:pPr>
      <w:rPr>
        <w:rFonts w:hint="default"/>
        <w:lang w:val="en-US" w:eastAsia="en-US" w:bidi="ar-SA"/>
      </w:rPr>
    </w:lvl>
    <w:lvl w:ilvl="5" w:tplc="422AB67A">
      <w:numFmt w:val="bullet"/>
      <w:lvlText w:val="•"/>
      <w:lvlJc w:val="left"/>
      <w:pPr>
        <w:ind w:left="5400" w:hanging="708"/>
      </w:pPr>
      <w:rPr>
        <w:rFonts w:hint="default"/>
        <w:lang w:val="en-US" w:eastAsia="en-US" w:bidi="ar-SA"/>
      </w:rPr>
    </w:lvl>
    <w:lvl w:ilvl="6" w:tplc="F454C920">
      <w:numFmt w:val="bullet"/>
      <w:lvlText w:val="•"/>
      <w:lvlJc w:val="left"/>
      <w:pPr>
        <w:ind w:left="6240" w:hanging="708"/>
      </w:pPr>
      <w:rPr>
        <w:rFonts w:hint="default"/>
        <w:lang w:val="en-US" w:eastAsia="en-US" w:bidi="ar-SA"/>
      </w:rPr>
    </w:lvl>
    <w:lvl w:ilvl="7" w:tplc="515486FE">
      <w:numFmt w:val="bullet"/>
      <w:lvlText w:val="•"/>
      <w:lvlJc w:val="left"/>
      <w:pPr>
        <w:ind w:left="7080" w:hanging="708"/>
      </w:pPr>
      <w:rPr>
        <w:rFonts w:hint="default"/>
        <w:lang w:val="en-US" w:eastAsia="en-US" w:bidi="ar-SA"/>
      </w:rPr>
    </w:lvl>
    <w:lvl w:ilvl="8" w:tplc="5B66C0FC">
      <w:numFmt w:val="bullet"/>
      <w:lvlText w:val="•"/>
      <w:lvlJc w:val="left"/>
      <w:pPr>
        <w:ind w:left="7920" w:hanging="708"/>
      </w:pPr>
      <w:rPr>
        <w:rFonts w:hint="default"/>
        <w:lang w:val="en-US" w:eastAsia="en-US" w:bidi="ar-SA"/>
      </w:rPr>
    </w:lvl>
  </w:abstractNum>
  <w:abstractNum w:abstractNumId="2" w15:restartNumberingAfterBreak="0">
    <w:nsid w:val="299B6C70"/>
    <w:multiLevelType w:val="hybridMultilevel"/>
    <w:tmpl w:val="B4D6EB40"/>
    <w:lvl w:ilvl="0" w:tplc="6F56B218">
      <w:start w:val="3"/>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31B814F1"/>
    <w:multiLevelType w:val="hybridMultilevel"/>
    <w:tmpl w:val="1902D7EC"/>
    <w:lvl w:ilvl="0" w:tplc="2CF6292C">
      <w:start w:val="1"/>
      <w:numFmt w:val="decimal"/>
      <w:lvlText w:val="%1."/>
      <w:lvlJc w:val="left"/>
      <w:pPr>
        <w:ind w:left="1238" w:hanging="709"/>
      </w:pPr>
      <w:rPr>
        <w:rFonts w:hint="default"/>
        <w:w w:val="97"/>
        <w:lang w:val="en-US" w:eastAsia="en-US" w:bidi="ar-SA"/>
      </w:rPr>
    </w:lvl>
    <w:lvl w:ilvl="1" w:tplc="CB5C4802">
      <w:numFmt w:val="bullet"/>
      <w:lvlText w:val="•"/>
      <w:lvlJc w:val="left"/>
      <w:pPr>
        <w:ind w:left="2080" w:hanging="709"/>
      </w:pPr>
      <w:rPr>
        <w:rFonts w:hint="default"/>
        <w:lang w:val="en-US" w:eastAsia="en-US" w:bidi="ar-SA"/>
      </w:rPr>
    </w:lvl>
    <w:lvl w:ilvl="2" w:tplc="E2A446C6">
      <w:numFmt w:val="bullet"/>
      <w:lvlText w:val="•"/>
      <w:lvlJc w:val="left"/>
      <w:pPr>
        <w:ind w:left="2920" w:hanging="709"/>
      </w:pPr>
      <w:rPr>
        <w:rFonts w:hint="default"/>
        <w:lang w:val="en-US" w:eastAsia="en-US" w:bidi="ar-SA"/>
      </w:rPr>
    </w:lvl>
    <w:lvl w:ilvl="3" w:tplc="763EA9B8">
      <w:numFmt w:val="bullet"/>
      <w:lvlText w:val="•"/>
      <w:lvlJc w:val="left"/>
      <w:pPr>
        <w:ind w:left="3760" w:hanging="709"/>
      </w:pPr>
      <w:rPr>
        <w:rFonts w:hint="default"/>
        <w:lang w:val="en-US" w:eastAsia="en-US" w:bidi="ar-SA"/>
      </w:rPr>
    </w:lvl>
    <w:lvl w:ilvl="4" w:tplc="94028DC8">
      <w:numFmt w:val="bullet"/>
      <w:lvlText w:val="•"/>
      <w:lvlJc w:val="left"/>
      <w:pPr>
        <w:ind w:left="4600" w:hanging="709"/>
      </w:pPr>
      <w:rPr>
        <w:rFonts w:hint="default"/>
        <w:lang w:val="en-US" w:eastAsia="en-US" w:bidi="ar-SA"/>
      </w:rPr>
    </w:lvl>
    <w:lvl w:ilvl="5" w:tplc="96DA9426">
      <w:numFmt w:val="bullet"/>
      <w:lvlText w:val="•"/>
      <w:lvlJc w:val="left"/>
      <w:pPr>
        <w:ind w:left="5440" w:hanging="709"/>
      </w:pPr>
      <w:rPr>
        <w:rFonts w:hint="default"/>
        <w:lang w:val="en-US" w:eastAsia="en-US" w:bidi="ar-SA"/>
      </w:rPr>
    </w:lvl>
    <w:lvl w:ilvl="6" w:tplc="EEF6DF78">
      <w:numFmt w:val="bullet"/>
      <w:lvlText w:val="•"/>
      <w:lvlJc w:val="left"/>
      <w:pPr>
        <w:ind w:left="6280" w:hanging="709"/>
      </w:pPr>
      <w:rPr>
        <w:rFonts w:hint="default"/>
        <w:lang w:val="en-US" w:eastAsia="en-US" w:bidi="ar-SA"/>
      </w:rPr>
    </w:lvl>
    <w:lvl w:ilvl="7" w:tplc="7E5E77DE">
      <w:numFmt w:val="bullet"/>
      <w:lvlText w:val="•"/>
      <w:lvlJc w:val="left"/>
      <w:pPr>
        <w:ind w:left="7120" w:hanging="709"/>
      </w:pPr>
      <w:rPr>
        <w:rFonts w:hint="default"/>
        <w:lang w:val="en-US" w:eastAsia="en-US" w:bidi="ar-SA"/>
      </w:rPr>
    </w:lvl>
    <w:lvl w:ilvl="8" w:tplc="112417A6">
      <w:numFmt w:val="bullet"/>
      <w:lvlText w:val="•"/>
      <w:lvlJc w:val="left"/>
      <w:pPr>
        <w:ind w:left="7960" w:hanging="709"/>
      </w:pPr>
      <w:rPr>
        <w:rFonts w:hint="default"/>
        <w:lang w:val="en-US" w:eastAsia="en-US" w:bidi="ar-SA"/>
      </w:rPr>
    </w:lvl>
  </w:abstractNum>
  <w:abstractNum w:abstractNumId="4" w15:restartNumberingAfterBreak="0">
    <w:nsid w:val="46F97FA8"/>
    <w:multiLevelType w:val="hybridMultilevel"/>
    <w:tmpl w:val="4E30DE02"/>
    <w:lvl w:ilvl="0" w:tplc="5694BD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F022C6"/>
    <w:multiLevelType w:val="hybridMultilevel"/>
    <w:tmpl w:val="E362EC3A"/>
    <w:lvl w:ilvl="0" w:tplc="0062EFC0">
      <w:start w:val="1"/>
      <w:numFmt w:val="lowerLetter"/>
      <w:lvlText w:val="%1."/>
      <w:lvlJc w:val="left"/>
      <w:pPr>
        <w:ind w:left="720" w:hanging="360"/>
      </w:pPr>
      <w:rPr>
        <w:rFonts w:ascii="Aptos" w:eastAsia="Times New Roman" w:hAnsi="Apto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D580D"/>
    <w:multiLevelType w:val="hybridMultilevel"/>
    <w:tmpl w:val="79D0B318"/>
    <w:lvl w:ilvl="0" w:tplc="45E005DA">
      <w:start w:val="1"/>
      <w:numFmt w:val="decimal"/>
      <w:lvlText w:val="%1."/>
      <w:lvlJc w:val="left"/>
      <w:pPr>
        <w:ind w:left="883" w:hanging="351"/>
        <w:jc w:val="right"/>
      </w:pPr>
      <w:rPr>
        <w:rFonts w:hint="default"/>
        <w:w w:val="99"/>
        <w:lang w:val="en-US" w:eastAsia="en-US" w:bidi="ar-SA"/>
      </w:rPr>
    </w:lvl>
    <w:lvl w:ilvl="1" w:tplc="004255C8">
      <w:numFmt w:val="bullet"/>
      <w:lvlText w:val="•"/>
      <w:lvlJc w:val="left"/>
      <w:pPr>
        <w:ind w:left="1756" w:hanging="351"/>
      </w:pPr>
      <w:rPr>
        <w:rFonts w:hint="default"/>
        <w:lang w:val="en-US" w:eastAsia="en-US" w:bidi="ar-SA"/>
      </w:rPr>
    </w:lvl>
    <w:lvl w:ilvl="2" w:tplc="44804F12">
      <w:numFmt w:val="bullet"/>
      <w:lvlText w:val="•"/>
      <w:lvlJc w:val="left"/>
      <w:pPr>
        <w:ind w:left="2632" w:hanging="351"/>
      </w:pPr>
      <w:rPr>
        <w:rFonts w:hint="default"/>
        <w:lang w:val="en-US" w:eastAsia="en-US" w:bidi="ar-SA"/>
      </w:rPr>
    </w:lvl>
    <w:lvl w:ilvl="3" w:tplc="C07029DC">
      <w:numFmt w:val="bullet"/>
      <w:lvlText w:val="•"/>
      <w:lvlJc w:val="left"/>
      <w:pPr>
        <w:ind w:left="3508" w:hanging="351"/>
      </w:pPr>
      <w:rPr>
        <w:rFonts w:hint="default"/>
        <w:lang w:val="en-US" w:eastAsia="en-US" w:bidi="ar-SA"/>
      </w:rPr>
    </w:lvl>
    <w:lvl w:ilvl="4" w:tplc="4438873C">
      <w:numFmt w:val="bullet"/>
      <w:lvlText w:val="•"/>
      <w:lvlJc w:val="left"/>
      <w:pPr>
        <w:ind w:left="4384" w:hanging="351"/>
      </w:pPr>
      <w:rPr>
        <w:rFonts w:hint="default"/>
        <w:lang w:val="en-US" w:eastAsia="en-US" w:bidi="ar-SA"/>
      </w:rPr>
    </w:lvl>
    <w:lvl w:ilvl="5" w:tplc="A7D4DF10">
      <w:numFmt w:val="bullet"/>
      <w:lvlText w:val="•"/>
      <w:lvlJc w:val="left"/>
      <w:pPr>
        <w:ind w:left="5260" w:hanging="351"/>
      </w:pPr>
      <w:rPr>
        <w:rFonts w:hint="default"/>
        <w:lang w:val="en-US" w:eastAsia="en-US" w:bidi="ar-SA"/>
      </w:rPr>
    </w:lvl>
    <w:lvl w:ilvl="6" w:tplc="2DE2C2E0">
      <w:numFmt w:val="bullet"/>
      <w:lvlText w:val="•"/>
      <w:lvlJc w:val="left"/>
      <w:pPr>
        <w:ind w:left="6136" w:hanging="351"/>
      </w:pPr>
      <w:rPr>
        <w:rFonts w:hint="default"/>
        <w:lang w:val="en-US" w:eastAsia="en-US" w:bidi="ar-SA"/>
      </w:rPr>
    </w:lvl>
    <w:lvl w:ilvl="7" w:tplc="959E7426">
      <w:numFmt w:val="bullet"/>
      <w:lvlText w:val="•"/>
      <w:lvlJc w:val="left"/>
      <w:pPr>
        <w:ind w:left="7012" w:hanging="351"/>
      </w:pPr>
      <w:rPr>
        <w:rFonts w:hint="default"/>
        <w:lang w:val="en-US" w:eastAsia="en-US" w:bidi="ar-SA"/>
      </w:rPr>
    </w:lvl>
    <w:lvl w:ilvl="8" w:tplc="45F41990">
      <w:numFmt w:val="bullet"/>
      <w:lvlText w:val="•"/>
      <w:lvlJc w:val="left"/>
      <w:pPr>
        <w:ind w:left="7888" w:hanging="351"/>
      </w:pPr>
      <w:rPr>
        <w:rFonts w:hint="default"/>
        <w:lang w:val="en-US" w:eastAsia="en-US" w:bidi="ar-SA"/>
      </w:rPr>
    </w:lvl>
  </w:abstractNum>
  <w:abstractNum w:abstractNumId="8" w15:restartNumberingAfterBreak="0">
    <w:nsid w:val="5BFA58D4"/>
    <w:multiLevelType w:val="hybridMultilevel"/>
    <w:tmpl w:val="E2F0A258"/>
    <w:lvl w:ilvl="0" w:tplc="8D4C367E">
      <w:start w:val="4"/>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610D7A14"/>
    <w:multiLevelType w:val="hybridMultilevel"/>
    <w:tmpl w:val="9CFABF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6B1139"/>
    <w:multiLevelType w:val="hybridMultilevel"/>
    <w:tmpl w:val="C228F61E"/>
    <w:lvl w:ilvl="0" w:tplc="99B4F28E">
      <w:start w:val="1"/>
      <w:numFmt w:val="decimal"/>
      <w:lvlText w:val="%1."/>
      <w:lvlJc w:val="left"/>
      <w:pPr>
        <w:ind w:left="859" w:hanging="351"/>
      </w:pPr>
      <w:rPr>
        <w:rFonts w:hint="default"/>
        <w:w w:val="68"/>
        <w:lang w:val="en-US" w:eastAsia="en-US" w:bidi="ar-SA"/>
      </w:rPr>
    </w:lvl>
    <w:lvl w:ilvl="1" w:tplc="B1C42D54">
      <w:numFmt w:val="bullet"/>
      <w:lvlText w:val="•"/>
      <w:lvlJc w:val="left"/>
      <w:pPr>
        <w:ind w:left="1734" w:hanging="351"/>
      </w:pPr>
      <w:rPr>
        <w:rFonts w:hint="default"/>
        <w:lang w:val="en-US" w:eastAsia="en-US" w:bidi="ar-SA"/>
      </w:rPr>
    </w:lvl>
    <w:lvl w:ilvl="2" w:tplc="7ED89D82">
      <w:numFmt w:val="bullet"/>
      <w:lvlText w:val="•"/>
      <w:lvlJc w:val="left"/>
      <w:pPr>
        <w:ind w:left="2608" w:hanging="351"/>
      </w:pPr>
      <w:rPr>
        <w:rFonts w:hint="default"/>
        <w:lang w:val="en-US" w:eastAsia="en-US" w:bidi="ar-SA"/>
      </w:rPr>
    </w:lvl>
    <w:lvl w:ilvl="3" w:tplc="11BE2E18">
      <w:numFmt w:val="bullet"/>
      <w:lvlText w:val="•"/>
      <w:lvlJc w:val="left"/>
      <w:pPr>
        <w:ind w:left="3482" w:hanging="351"/>
      </w:pPr>
      <w:rPr>
        <w:rFonts w:hint="default"/>
        <w:lang w:val="en-US" w:eastAsia="en-US" w:bidi="ar-SA"/>
      </w:rPr>
    </w:lvl>
    <w:lvl w:ilvl="4" w:tplc="D02CBFE2">
      <w:numFmt w:val="bullet"/>
      <w:lvlText w:val="•"/>
      <w:lvlJc w:val="left"/>
      <w:pPr>
        <w:ind w:left="4356" w:hanging="351"/>
      </w:pPr>
      <w:rPr>
        <w:rFonts w:hint="default"/>
        <w:lang w:val="en-US" w:eastAsia="en-US" w:bidi="ar-SA"/>
      </w:rPr>
    </w:lvl>
    <w:lvl w:ilvl="5" w:tplc="DBEC9CA2">
      <w:numFmt w:val="bullet"/>
      <w:lvlText w:val="•"/>
      <w:lvlJc w:val="left"/>
      <w:pPr>
        <w:ind w:left="5230" w:hanging="351"/>
      </w:pPr>
      <w:rPr>
        <w:rFonts w:hint="default"/>
        <w:lang w:val="en-US" w:eastAsia="en-US" w:bidi="ar-SA"/>
      </w:rPr>
    </w:lvl>
    <w:lvl w:ilvl="6" w:tplc="864227C2">
      <w:numFmt w:val="bullet"/>
      <w:lvlText w:val="•"/>
      <w:lvlJc w:val="left"/>
      <w:pPr>
        <w:ind w:left="6104" w:hanging="351"/>
      </w:pPr>
      <w:rPr>
        <w:rFonts w:hint="default"/>
        <w:lang w:val="en-US" w:eastAsia="en-US" w:bidi="ar-SA"/>
      </w:rPr>
    </w:lvl>
    <w:lvl w:ilvl="7" w:tplc="9224E172">
      <w:numFmt w:val="bullet"/>
      <w:lvlText w:val="•"/>
      <w:lvlJc w:val="left"/>
      <w:pPr>
        <w:ind w:left="6978" w:hanging="351"/>
      </w:pPr>
      <w:rPr>
        <w:rFonts w:hint="default"/>
        <w:lang w:val="en-US" w:eastAsia="en-US" w:bidi="ar-SA"/>
      </w:rPr>
    </w:lvl>
    <w:lvl w:ilvl="8" w:tplc="74F2D54E">
      <w:numFmt w:val="bullet"/>
      <w:lvlText w:val="•"/>
      <w:lvlJc w:val="left"/>
      <w:pPr>
        <w:ind w:left="7852" w:hanging="351"/>
      </w:pPr>
      <w:rPr>
        <w:rFonts w:hint="default"/>
        <w:lang w:val="en-US" w:eastAsia="en-US" w:bidi="ar-SA"/>
      </w:rPr>
    </w:lvl>
  </w:abstractNum>
  <w:abstractNum w:abstractNumId="11" w15:restartNumberingAfterBreak="0">
    <w:nsid w:val="7B663C98"/>
    <w:multiLevelType w:val="hybridMultilevel"/>
    <w:tmpl w:val="E174A30C"/>
    <w:lvl w:ilvl="0" w:tplc="283E5B3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4968469">
    <w:abstractNumId w:val="5"/>
  </w:num>
  <w:num w:numId="2" w16cid:durableId="700783413">
    <w:abstractNumId w:val="4"/>
  </w:num>
  <w:num w:numId="3" w16cid:durableId="875503129">
    <w:abstractNumId w:val="1"/>
  </w:num>
  <w:num w:numId="4" w16cid:durableId="1377125835">
    <w:abstractNumId w:val="3"/>
  </w:num>
  <w:num w:numId="5" w16cid:durableId="1287158178">
    <w:abstractNumId w:val="10"/>
  </w:num>
  <w:num w:numId="6" w16cid:durableId="472404819">
    <w:abstractNumId w:val="7"/>
  </w:num>
  <w:num w:numId="7" w16cid:durableId="1243562863">
    <w:abstractNumId w:val="6"/>
  </w:num>
  <w:num w:numId="8" w16cid:durableId="1330869314">
    <w:abstractNumId w:val="9"/>
  </w:num>
  <w:num w:numId="9" w16cid:durableId="956913386">
    <w:abstractNumId w:val="0"/>
  </w:num>
  <w:num w:numId="10" w16cid:durableId="733161291">
    <w:abstractNumId w:val="11"/>
  </w:num>
  <w:num w:numId="11" w16cid:durableId="771123264">
    <w:abstractNumId w:val="2"/>
  </w:num>
  <w:num w:numId="12" w16cid:durableId="13562993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42A"/>
    <w:rsid w:val="000052DC"/>
    <w:rsid w:val="000060DF"/>
    <w:rsid w:val="000127AA"/>
    <w:rsid w:val="000147F0"/>
    <w:rsid w:val="00017C12"/>
    <w:rsid w:val="00023A37"/>
    <w:rsid w:val="0002628D"/>
    <w:rsid w:val="00032DE0"/>
    <w:rsid w:val="000448A4"/>
    <w:rsid w:val="00047326"/>
    <w:rsid w:val="00047B57"/>
    <w:rsid w:val="0005015B"/>
    <w:rsid w:val="00051EEF"/>
    <w:rsid w:val="0006007C"/>
    <w:rsid w:val="00065DC5"/>
    <w:rsid w:val="00083D7B"/>
    <w:rsid w:val="000864E3"/>
    <w:rsid w:val="00090698"/>
    <w:rsid w:val="00091133"/>
    <w:rsid w:val="00092064"/>
    <w:rsid w:val="0009393D"/>
    <w:rsid w:val="000A7B18"/>
    <w:rsid w:val="000B5885"/>
    <w:rsid w:val="000C0C23"/>
    <w:rsid w:val="000C5CE6"/>
    <w:rsid w:val="000D0D3E"/>
    <w:rsid w:val="000D3ABA"/>
    <w:rsid w:val="0010026B"/>
    <w:rsid w:val="001034CA"/>
    <w:rsid w:val="00104870"/>
    <w:rsid w:val="00130B16"/>
    <w:rsid w:val="00137E22"/>
    <w:rsid w:val="00144A97"/>
    <w:rsid w:val="00145B57"/>
    <w:rsid w:val="001473F4"/>
    <w:rsid w:val="00155114"/>
    <w:rsid w:val="001576F4"/>
    <w:rsid w:val="00164385"/>
    <w:rsid w:val="0018663A"/>
    <w:rsid w:val="00186834"/>
    <w:rsid w:val="00190590"/>
    <w:rsid w:val="001A18BD"/>
    <w:rsid w:val="001A3690"/>
    <w:rsid w:val="001A42D1"/>
    <w:rsid w:val="001A7A04"/>
    <w:rsid w:val="001B036A"/>
    <w:rsid w:val="001B450A"/>
    <w:rsid w:val="001D1CEB"/>
    <w:rsid w:val="001D26C6"/>
    <w:rsid w:val="001F4E5A"/>
    <w:rsid w:val="00205BD1"/>
    <w:rsid w:val="002273CF"/>
    <w:rsid w:val="00231D94"/>
    <w:rsid w:val="002326CB"/>
    <w:rsid w:val="002357B3"/>
    <w:rsid w:val="0025323E"/>
    <w:rsid w:val="002564E8"/>
    <w:rsid w:val="002620CE"/>
    <w:rsid w:val="00266439"/>
    <w:rsid w:val="00267521"/>
    <w:rsid w:val="00270247"/>
    <w:rsid w:val="00280BB4"/>
    <w:rsid w:val="002907F0"/>
    <w:rsid w:val="002914A5"/>
    <w:rsid w:val="00292547"/>
    <w:rsid w:val="00294D56"/>
    <w:rsid w:val="00297D28"/>
    <w:rsid w:val="002A0E3D"/>
    <w:rsid w:val="002A74FF"/>
    <w:rsid w:val="002B1899"/>
    <w:rsid w:val="002B4375"/>
    <w:rsid w:val="002C5F1A"/>
    <w:rsid w:val="002D11A4"/>
    <w:rsid w:val="002D4AF6"/>
    <w:rsid w:val="002D4CE0"/>
    <w:rsid w:val="002D71F0"/>
    <w:rsid w:val="002F40E0"/>
    <w:rsid w:val="00310EE9"/>
    <w:rsid w:val="0032092C"/>
    <w:rsid w:val="00321B5A"/>
    <w:rsid w:val="00324897"/>
    <w:rsid w:val="00336E22"/>
    <w:rsid w:val="00337B2A"/>
    <w:rsid w:val="0034155D"/>
    <w:rsid w:val="0034562F"/>
    <w:rsid w:val="00363B0E"/>
    <w:rsid w:val="003658DC"/>
    <w:rsid w:val="00372531"/>
    <w:rsid w:val="0037277D"/>
    <w:rsid w:val="00376EDE"/>
    <w:rsid w:val="00382B46"/>
    <w:rsid w:val="00383305"/>
    <w:rsid w:val="00385C87"/>
    <w:rsid w:val="00396DB1"/>
    <w:rsid w:val="003975EF"/>
    <w:rsid w:val="003A28A5"/>
    <w:rsid w:val="003A7F9A"/>
    <w:rsid w:val="003B4804"/>
    <w:rsid w:val="003C266A"/>
    <w:rsid w:val="003D12F7"/>
    <w:rsid w:val="003D2AFD"/>
    <w:rsid w:val="003E40B0"/>
    <w:rsid w:val="00401075"/>
    <w:rsid w:val="0042060A"/>
    <w:rsid w:val="004220B2"/>
    <w:rsid w:val="004225ED"/>
    <w:rsid w:val="00422653"/>
    <w:rsid w:val="00436551"/>
    <w:rsid w:val="00436CA3"/>
    <w:rsid w:val="004402DB"/>
    <w:rsid w:val="004433EB"/>
    <w:rsid w:val="00445A50"/>
    <w:rsid w:val="00450716"/>
    <w:rsid w:val="004537C6"/>
    <w:rsid w:val="00461485"/>
    <w:rsid w:val="004730C4"/>
    <w:rsid w:val="0049331A"/>
    <w:rsid w:val="00496E88"/>
    <w:rsid w:val="004A0CD6"/>
    <w:rsid w:val="004A219C"/>
    <w:rsid w:val="004A3BAB"/>
    <w:rsid w:val="004B0E6A"/>
    <w:rsid w:val="004C2829"/>
    <w:rsid w:val="004C2E31"/>
    <w:rsid w:val="004C3491"/>
    <w:rsid w:val="004C5E7F"/>
    <w:rsid w:val="004D06F7"/>
    <w:rsid w:val="004D3395"/>
    <w:rsid w:val="004D7515"/>
    <w:rsid w:val="004E43F6"/>
    <w:rsid w:val="004E50B8"/>
    <w:rsid w:val="004F0B61"/>
    <w:rsid w:val="004F5F9C"/>
    <w:rsid w:val="0050220A"/>
    <w:rsid w:val="00513BB4"/>
    <w:rsid w:val="00515F32"/>
    <w:rsid w:val="00536C90"/>
    <w:rsid w:val="005527E2"/>
    <w:rsid w:val="00552FB4"/>
    <w:rsid w:val="00553A9F"/>
    <w:rsid w:val="00554A1C"/>
    <w:rsid w:val="00567FBA"/>
    <w:rsid w:val="00576F16"/>
    <w:rsid w:val="00580E9D"/>
    <w:rsid w:val="00587B01"/>
    <w:rsid w:val="0059048B"/>
    <w:rsid w:val="00592A9B"/>
    <w:rsid w:val="005A3A4D"/>
    <w:rsid w:val="005B43BD"/>
    <w:rsid w:val="005B594B"/>
    <w:rsid w:val="005B6D37"/>
    <w:rsid w:val="005C4EBB"/>
    <w:rsid w:val="005C6BC5"/>
    <w:rsid w:val="005C7574"/>
    <w:rsid w:val="005D015D"/>
    <w:rsid w:val="005D6530"/>
    <w:rsid w:val="005E0117"/>
    <w:rsid w:val="005E4C45"/>
    <w:rsid w:val="00607D6E"/>
    <w:rsid w:val="00613FE5"/>
    <w:rsid w:val="00624CA2"/>
    <w:rsid w:val="00626269"/>
    <w:rsid w:val="006266F5"/>
    <w:rsid w:val="0064025C"/>
    <w:rsid w:val="00653FEE"/>
    <w:rsid w:val="0066720F"/>
    <w:rsid w:val="00671600"/>
    <w:rsid w:val="0067350F"/>
    <w:rsid w:val="00675D82"/>
    <w:rsid w:val="006762B4"/>
    <w:rsid w:val="006763C3"/>
    <w:rsid w:val="00694A7E"/>
    <w:rsid w:val="0069754F"/>
    <w:rsid w:val="006975DA"/>
    <w:rsid w:val="006A54D1"/>
    <w:rsid w:val="006C5818"/>
    <w:rsid w:val="006C5EEC"/>
    <w:rsid w:val="006D0230"/>
    <w:rsid w:val="006E35B3"/>
    <w:rsid w:val="006E7180"/>
    <w:rsid w:val="006F30F1"/>
    <w:rsid w:val="006F4740"/>
    <w:rsid w:val="00707D4C"/>
    <w:rsid w:val="0071356C"/>
    <w:rsid w:val="007241B7"/>
    <w:rsid w:val="00733C52"/>
    <w:rsid w:val="00741F63"/>
    <w:rsid w:val="00745DB4"/>
    <w:rsid w:val="00766331"/>
    <w:rsid w:val="00781BE2"/>
    <w:rsid w:val="00782CCE"/>
    <w:rsid w:val="007853C9"/>
    <w:rsid w:val="007866C8"/>
    <w:rsid w:val="00787507"/>
    <w:rsid w:val="0079033E"/>
    <w:rsid w:val="00790C2C"/>
    <w:rsid w:val="00791117"/>
    <w:rsid w:val="007A5EDD"/>
    <w:rsid w:val="007B2AD9"/>
    <w:rsid w:val="007B3774"/>
    <w:rsid w:val="007D0870"/>
    <w:rsid w:val="007D1F9D"/>
    <w:rsid w:val="007D7837"/>
    <w:rsid w:val="007E2EEA"/>
    <w:rsid w:val="007E41BB"/>
    <w:rsid w:val="007E60AA"/>
    <w:rsid w:val="007F18CE"/>
    <w:rsid w:val="007F4447"/>
    <w:rsid w:val="008070DD"/>
    <w:rsid w:val="00826C2A"/>
    <w:rsid w:val="0082739F"/>
    <w:rsid w:val="0083395B"/>
    <w:rsid w:val="008345F1"/>
    <w:rsid w:val="008361F9"/>
    <w:rsid w:val="008538DB"/>
    <w:rsid w:val="00865046"/>
    <w:rsid w:val="00867673"/>
    <w:rsid w:val="00870C83"/>
    <w:rsid w:val="008747A0"/>
    <w:rsid w:val="008802A7"/>
    <w:rsid w:val="00880FE4"/>
    <w:rsid w:val="008839C4"/>
    <w:rsid w:val="008901F7"/>
    <w:rsid w:val="00890326"/>
    <w:rsid w:val="00891F41"/>
    <w:rsid w:val="00895DFD"/>
    <w:rsid w:val="008A5C94"/>
    <w:rsid w:val="008B0134"/>
    <w:rsid w:val="008C1BAA"/>
    <w:rsid w:val="008C1EA1"/>
    <w:rsid w:val="008C3F62"/>
    <w:rsid w:val="008D3012"/>
    <w:rsid w:val="008D4877"/>
    <w:rsid w:val="008D4EC4"/>
    <w:rsid w:val="008D792F"/>
    <w:rsid w:val="008F0A63"/>
    <w:rsid w:val="008F30DD"/>
    <w:rsid w:val="008F6E5D"/>
    <w:rsid w:val="0090671E"/>
    <w:rsid w:val="009141EE"/>
    <w:rsid w:val="0091735B"/>
    <w:rsid w:val="009249A7"/>
    <w:rsid w:val="00924B88"/>
    <w:rsid w:val="00940734"/>
    <w:rsid w:val="009414D1"/>
    <w:rsid w:val="009475B4"/>
    <w:rsid w:val="00952463"/>
    <w:rsid w:val="009556E6"/>
    <w:rsid w:val="009703E3"/>
    <w:rsid w:val="00980576"/>
    <w:rsid w:val="009936D3"/>
    <w:rsid w:val="00993BFB"/>
    <w:rsid w:val="009A7A12"/>
    <w:rsid w:val="009C2876"/>
    <w:rsid w:val="009C4C88"/>
    <w:rsid w:val="009C6803"/>
    <w:rsid w:val="009D4A07"/>
    <w:rsid w:val="009E2A0E"/>
    <w:rsid w:val="009E53E1"/>
    <w:rsid w:val="009F126A"/>
    <w:rsid w:val="00A105E8"/>
    <w:rsid w:val="00A11C80"/>
    <w:rsid w:val="00A1219D"/>
    <w:rsid w:val="00A15C36"/>
    <w:rsid w:val="00A22FB7"/>
    <w:rsid w:val="00A34F5A"/>
    <w:rsid w:val="00A427BC"/>
    <w:rsid w:val="00A45508"/>
    <w:rsid w:val="00A54CB1"/>
    <w:rsid w:val="00A6092F"/>
    <w:rsid w:val="00A6558C"/>
    <w:rsid w:val="00A657F7"/>
    <w:rsid w:val="00A83817"/>
    <w:rsid w:val="00A9071A"/>
    <w:rsid w:val="00A93387"/>
    <w:rsid w:val="00AA2465"/>
    <w:rsid w:val="00AA309B"/>
    <w:rsid w:val="00AA466D"/>
    <w:rsid w:val="00AD116E"/>
    <w:rsid w:val="00AD235D"/>
    <w:rsid w:val="00AD27C2"/>
    <w:rsid w:val="00B0142A"/>
    <w:rsid w:val="00B070E2"/>
    <w:rsid w:val="00B1660D"/>
    <w:rsid w:val="00B173FF"/>
    <w:rsid w:val="00B27102"/>
    <w:rsid w:val="00B312B1"/>
    <w:rsid w:val="00B35E4E"/>
    <w:rsid w:val="00B4371B"/>
    <w:rsid w:val="00B53239"/>
    <w:rsid w:val="00B54F78"/>
    <w:rsid w:val="00B71B84"/>
    <w:rsid w:val="00B80873"/>
    <w:rsid w:val="00B81266"/>
    <w:rsid w:val="00B87635"/>
    <w:rsid w:val="00B9134C"/>
    <w:rsid w:val="00B938E0"/>
    <w:rsid w:val="00B94741"/>
    <w:rsid w:val="00C029C9"/>
    <w:rsid w:val="00C043E2"/>
    <w:rsid w:val="00C12904"/>
    <w:rsid w:val="00C16F7A"/>
    <w:rsid w:val="00C22241"/>
    <w:rsid w:val="00C232F7"/>
    <w:rsid w:val="00C3137B"/>
    <w:rsid w:val="00C5104A"/>
    <w:rsid w:val="00C52E31"/>
    <w:rsid w:val="00C5343A"/>
    <w:rsid w:val="00C62ADB"/>
    <w:rsid w:val="00C66E0B"/>
    <w:rsid w:val="00C9185D"/>
    <w:rsid w:val="00C9554D"/>
    <w:rsid w:val="00CC29C3"/>
    <w:rsid w:val="00CD0051"/>
    <w:rsid w:val="00CD1ADC"/>
    <w:rsid w:val="00CD5265"/>
    <w:rsid w:val="00CE0A67"/>
    <w:rsid w:val="00CF2C1A"/>
    <w:rsid w:val="00D068D1"/>
    <w:rsid w:val="00D06CF6"/>
    <w:rsid w:val="00D07B7D"/>
    <w:rsid w:val="00D20B95"/>
    <w:rsid w:val="00D22B81"/>
    <w:rsid w:val="00D44908"/>
    <w:rsid w:val="00D610A4"/>
    <w:rsid w:val="00D63F24"/>
    <w:rsid w:val="00D64D38"/>
    <w:rsid w:val="00D66188"/>
    <w:rsid w:val="00D70939"/>
    <w:rsid w:val="00D7300F"/>
    <w:rsid w:val="00D82E70"/>
    <w:rsid w:val="00D87705"/>
    <w:rsid w:val="00D92080"/>
    <w:rsid w:val="00DA5560"/>
    <w:rsid w:val="00DA57F5"/>
    <w:rsid w:val="00DA79B4"/>
    <w:rsid w:val="00DC48DC"/>
    <w:rsid w:val="00DC7F28"/>
    <w:rsid w:val="00DD2450"/>
    <w:rsid w:val="00DE015D"/>
    <w:rsid w:val="00DE04AB"/>
    <w:rsid w:val="00DE29B5"/>
    <w:rsid w:val="00DF3ACD"/>
    <w:rsid w:val="00E04064"/>
    <w:rsid w:val="00E06139"/>
    <w:rsid w:val="00E071DF"/>
    <w:rsid w:val="00E14E0A"/>
    <w:rsid w:val="00E348F8"/>
    <w:rsid w:val="00E57413"/>
    <w:rsid w:val="00E6549F"/>
    <w:rsid w:val="00E743E6"/>
    <w:rsid w:val="00E8459A"/>
    <w:rsid w:val="00E92BF4"/>
    <w:rsid w:val="00EA28C3"/>
    <w:rsid w:val="00EA443A"/>
    <w:rsid w:val="00EA7D17"/>
    <w:rsid w:val="00EB04C2"/>
    <w:rsid w:val="00EF70CD"/>
    <w:rsid w:val="00F079F1"/>
    <w:rsid w:val="00F21B0E"/>
    <w:rsid w:val="00F43E38"/>
    <w:rsid w:val="00F4614C"/>
    <w:rsid w:val="00F468FC"/>
    <w:rsid w:val="00F52563"/>
    <w:rsid w:val="00F547BC"/>
    <w:rsid w:val="00F56216"/>
    <w:rsid w:val="00F73EB4"/>
    <w:rsid w:val="00F85DA5"/>
    <w:rsid w:val="00F97F1B"/>
    <w:rsid w:val="00FA4A5C"/>
    <w:rsid w:val="00FB3670"/>
    <w:rsid w:val="00FB5984"/>
    <w:rsid w:val="00FC5663"/>
    <w:rsid w:val="00FC7293"/>
    <w:rsid w:val="00FD3AB5"/>
    <w:rsid w:val="00FE0E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EA539"/>
  <w15:chartTrackingRefBased/>
  <w15:docId w15:val="{FE1E17AD-7AB8-A345-B3DD-5E36444C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DA5"/>
  </w:style>
  <w:style w:type="paragraph" w:styleId="Heading1">
    <w:name w:val="heading 1"/>
    <w:basedOn w:val="Normal"/>
    <w:link w:val="Heading1Char"/>
    <w:uiPriority w:val="9"/>
    <w:qFormat/>
    <w:rsid w:val="003C266A"/>
    <w:pPr>
      <w:widowControl w:val="0"/>
      <w:autoSpaceDE w:val="0"/>
      <w:autoSpaceDN w:val="0"/>
      <w:spacing w:before="66" w:after="0" w:line="240" w:lineRule="auto"/>
      <w:ind w:left="459" w:right="114" w:hanging="35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3C266A"/>
    <w:pPr>
      <w:widowControl w:val="0"/>
      <w:autoSpaceDE w:val="0"/>
      <w:autoSpaceDN w:val="0"/>
      <w:spacing w:after="0" w:line="240" w:lineRule="auto"/>
      <w:ind w:left="823" w:right="122" w:hanging="356"/>
      <w:outlineLvl w:val="1"/>
    </w:pPr>
    <w:rPr>
      <w:rFonts w:ascii="Times New Roman" w:eastAsia="Times New Roman" w:hAnsi="Times New Roman" w:cs="Times New Roman"/>
      <w:b/>
      <w:bCs/>
      <w:sz w:val="23"/>
      <w:szCs w:val="23"/>
    </w:rPr>
  </w:style>
  <w:style w:type="paragraph" w:styleId="Heading3">
    <w:name w:val="heading 3"/>
    <w:basedOn w:val="Normal"/>
    <w:link w:val="Heading3Char"/>
    <w:uiPriority w:val="9"/>
    <w:unhideWhenUsed/>
    <w:qFormat/>
    <w:rsid w:val="003C266A"/>
    <w:pPr>
      <w:widowControl w:val="0"/>
      <w:autoSpaceDE w:val="0"/>
      <w:autoSpaceDN w:val="0"/>
      <w:spacing w:after="0" w:line="240" w:lineRule="auto"/>
      <w:ind w:left="868"/>
      <w:jc w:val="center"/>
      <w:outlineLvl w:val="2"/>
    </w:pPr>
    <w:rPr>
      <w:rFonts w:ascii="Times New Roman" w:eastAsia="Times New Roman" w:hAnsi="Times New Roman" w:cs="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5DA5"/>
    <w:pPr>
      <w:spacing w:after="0" w:line="240" w:lineRule="auto"/>
    </w:pPr>
    <w:rPr>
      <w:sz w:val="20"/>
      <w:szCs w:val="20"/>
    </w:rPr>
  </w:style>
  <w:style w:type="character" w:customStyle="1" w:styleId="FootnoteTextChar">
    <w:name w:val="Footnote Text Char"/>
    <w:basedOn w:val="DefaultParagraphFont"/>
    <w:link w:val="FootnoteText"/>
    <w:uiPriority w:val="99"/>
    <w:rsid w:val="00F85DA5"/>
    <w:rPr>
      <w:sz w:val="20"/>
      <w:szCs w:val="20"/>
    </w:rPr>
  </w:style>
  <w:style w:type="character" w:styleId="FootnoteReference">
    <w:name w:val="footnote reference"/>
    <w:basedOn w:val="DefaultParagraphFont"/>
    <w:uiPriority w:val="99"/>
    <w:unhideWhenUsed/>
    <w:rsid w:val="00F85DA5"/>
    <w:rPr>
      <w:vertAlign w:val="superscript"/>
    </w:rPr>
  </w:style>
  <w:style w:type="paragraph" w:styleId="Header">
    <w:name w:val="header"/>
    <w:basedOn w:val="Normal"/>
    <w:link w:val="HeaderChar"/>
    <w:uiPriority w:val="99"/>
    <w:unhideWhenUsed/>
    <w:rsid w:val="0001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7F0"/>
  </w:style>
  <w:style w:type="paragraph" w:styleId="Footer">
    <w:name w:val="footer"/>
    <w:basedOn w:val="Normal"/>
    <w:link w:val="FooterChar"/>
    <w:uiPriority w:val="99"/>
    <w:unhideWhenUsed/>
    <w:rsid w:val="0001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F0"/>
  </w:style>
  <w:style w:type="paragraph" w:styleId="ListParagraph">
    <w:name w:val="List Paragraph"/>
    <w:basedOn w:val="Normal"/>
    <w:uiPriority w:val="34"/>
    <w:qFormat/>
    <w:rsid w:val="00A45508"/>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5D015D"/>
    <w:pPr>
      <w:spacing w:after="0" w:line="240" w:lineRule="auto"/>
    </w:pPr>
  </w:style>
  <w:style w:type="character" w:customStyle="1" w:styleId="Heading1Char">
    <w:name w:val="Heading 1 Char"/>
    <w:basedOn w:val="DefaultParagraphFont"/>
    <w:link w:val="Heading1"/>
    <w:uiPriority w:val="9"/>
    <w:rsid w:val="003C266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3C266A"/>
    <w:rPr>
      <w:rFonts w:ascii="Times New Roman" w:eastAsia="Times New Roman" w:hAnsi="Times New Roman" w:cs="Times New Roman"/>
      <w:b/>
      <w:bCs/>
      <w:sz w:val="23"/>
      <w:szCs w:val="23"/>
    </w:rPr>
  </w:style>
  <w:style w:type="character" w:customStyle="1" w:styleId="Heading3Char">
    <w:name w:val="Heading 3 Char"/>
    <w:basedOn w:val="DefaultParagraphFont"/>
    <w:link w:val="Heading3"/>
    <w:uiPriority w:val="9"/>
    <w:rsid w:val="003C266A"/>
    <w:rPr>
      <w:rFonts w:ascii="Times New Roman" w:eastAsia="Times New Roman" w:hAnsi="Times New Roman" w:cs="Times New Roman"/>
      <w:sz w:val="23"/>
      <w:szCs w:val="23"/>
    </w:rPr>
  </w:style>
  <w:style w:type="paragraph" w:styleId="BodyText">
    <w:name w:val="Body Text"/>
    <w:basedOn w:val="Normal"/>
    <w:link w:val="BodyTextChar"/>
    <w:uiPriority w:val="1"/>
    <w:qFormat/>
    <w:rsid w:val="003C266A"/>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C266A"/>
    <w:rPr>
      <w:rFonts w:ascii="Times New Roman" w:eastAsia="Times New Roman" w:hAnsi="Times New Roman" w:cs="Times New Roman"/>
      <w:sz w:val="23"/>
      <w:szCs w:val="23"/>
    </w:rPr>
  </w:style>
  <w:style w:type="paragraph" w:styleId="Title">
    <w:name w:val="Title"/>
    <w:basedOn w:val="Normal"/>
    <w:link w:val="TitleChar"/>
    <w:uiPriority w:val="10"/>
    <w:qFormat/>
    <w:rsid w:val="003C266A"/>
    <w:pPr>
      <w:widowControl w:val="0"/>
      <w:autoSpaceDE w:val="0"/>
      <w:autoSpaceDN w:val="0"/>
      <w:spacing w:before="245" w:after="0" w:line="240" w:lineRule="auto"/>
      <w:ind w:left="2046" w:right="2042"/>
      <w:jc w:val="center"/>
    </w:pPr>
    <w:rPr>
      <w:rFonts w:ascii="Times New Roman" w:eastAsia="Times New Roman" w:hAnsi="Times New Roman" w:cs="Times New Roman"/>
      <w:sz w:val="58"/>
      <w:szCs w:val="58"/>
    </w:rPr>
  </w:style>
  <w:style w:type="character" w:customStyle="1" w:styleId="TitleChar">
    <w:name w:val="Title Char"/>
    <w:basedOn w:val="DefaultParagraphFont"/>
    <w:link w:val="Title"/>
    <w:uiPriority w:val="10"/>
    <w:rsid w:val="003C266A"/>
    <w:rPr>
      <w:rFonts w:ascii="Times New Roman" w:eastAsia="Times New Roman" w:hAnsi="Times New Roman" w:cs="Times New Roman"/>
      <w:sz w:val="58"/>
      <w:szCs w:val="58"/>
    </w:rPr>
  </w:style>
  <w:style w:type="paragraph" w:customStyle="1" w:styleId="TableParagraph">
    <w:name w:val="Table Paragraph"/>
    <w:basedOn w:val="Normal"/>
    <w:uiPriority w:val="1"/>
    <w:qFormat/>
    <w:rsid w:val="003C266A"/>
    <w:pPr>
      <w:widowControl w:val="0"/>
      <w:autoSpaceDE w:val="0"/>
      <w:autoSpaceDN w:val="0"/>
      <w:spacing w:after="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DE04AB"/>
  </w:style>
  <w:style w:type="paragraph" w:customStyle="1" w:styleId="p1">
    <w:name w:val="p1"/>
    <w:basedOn w:val="Normal"/>
    <w:rsid w:val="00867673"/>
    <w:pPr>
      <w:spacing w:after="0" w:line="240" w:lineRule="auto"/>
    </w:pPr>
    <w:rPr>
      <w:rFonts w:ascii="Times New Roman" w:eastAsia="Times New Roman" w:hAnsi="Times New Roman" w:cs="Times New Roman"/>
      <w:color w:val="000000"/>
      <w:sz w:val="18"/>
      <w:szCs w:val="18"/>
    </w:rPr>
  </w:style>
  <w:style w:type="paragraph" w:customStyle="1" w:styleId="p2">
    <w:name w:val="p2"/>
    <w:basedOn w:val="Normal"/>
    <w:rsid w:val="00867673"/>
    <w:pPr>
      <w:spacing w:after="0" w:line="240" w:lineRule="auto"/>
    </w:pPr>
    <w:rPr>
      <w:rFonts w:ascii="Times New Roman" w:eastAsia="Times New Roman" w:hAnsi="Times New Roman" w:cs="Times New Roman"/>
      <w:color w:val="000000"/>
      <w:sz w:val="12"/>
      <w:szCs w:val="12"/>
    </w:rPr>
  </w:style>
  <w:style w:type="character" w:customStyle="1" w:styleId="s1">
    <w:name w:val="s1"/>
    <w:basedOn w:val="DefaultParagraphFont"/>
    <w:rsid w:val="00867673"/>
    <w:rPr>
      <w:rFonts w:ascii="Times New Roman" w:hAnsi="Times New Roman" w:cs="Times New Roman" w:hint="default"/>
      <w:sz w:val="12"/>
      <w:szCs w:val="12"/>
    </w:rPr>
  </w:style>
  <w:style w:type="character" w:customStyle="1" w:styleId="apple-converted-space">
    <w:name w:val="apple-converted-space"/>
    <w:basedOn w:val="DefaultParagraphFont"/>
    <w:rsid w:val="00867673"/>
  </w:style>
  <w:style w:type="paragraph" w:customStyle="1" w:styleId="p3">
    <w:name w:val="p3"/>
    <w:basedOn w:val="Normal"/>
    <w:rsid w:val="00867673"/>
    <w:pPr>
      <w:spacing w:after="0" w:line="240" w:lineRule="auto"/>
    </w:pPr>
    <w:rPr>
      <w:rFonts w:ascii="Times New Roman" w:eastAsia="Times New Roman" w:hAnsi="Times New Roman" w:cs="Times New Roman"/>
      <w:color w:val="000000"/>
      <w:sz w:val="12"/>
      <w:szCs w:val="12"/>
    </w:rPr>
  </w:style>
  <w:style w:type="paragraph" w:customStyle="1" w:styleId="p4">
    <w:name w:val="p4"/>
    <w:basedOn w:val="Normal"/>
    <w:rsid w:val="00867673"/>
    <w:pPr>
      <w:spacing w:after="0" w:line="240" w:lineRule="auto"/>
    </w:pPr>
    <w:rPr>
      <w:rFonts w:ascii="Times New Roman" w:eastAsia="Times New Roman" w:hAnsi="Times New Roman" w:cs="Times New Roman"/>
      <w:color w:val="0000FF"/>
      <w:sz w:val="18"/>
      <w:szCs w:val="18"/>
    </w:rPr>
  </w:style>
  <w:style w:type="paragraph" w:styleId="NormalWeb">
    <w:name w:val="Normal (Web)"/>
    <w:basedOn w:val="Normal"/>
    <w:uiPriority w:val="99"/>
    <w:semiHidden/>
    <w:unhideWhenUsed/>
    <w:rsid w:val="00C955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5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37494">
      <w:bodyDiv w:val="1"/>
      <w:marLeft w:val="0"/>
      <w:marRight w:val="0"/>
      <w:marTop w:val="0"/>
      <w:marBottom w:val="0"/>
      <w:divBdr>
        <w:top w:val="none" w:sz="0" w:space="0" w:color="auto"/>
        <w:left w:val="none" w:sz="0" w:space="0" w:color="auto"/>
        <w:bottom w:val="none" w:sz="0" w:space="0" w:color="auto"/>
        <w:right w:val="none" w:sz="0" w:space="0" w:color="auto"/>
      </w:divBdr>
    </w:div>
    <w:div w:id="1839736022">
      <w:bodyDiv w:val="1"/>
      <w:marLeft w:val="0"/>
      <w:marRight w:val="0"/>
      <w:marTop w:val="0"/>
      <w:marBottom w:val="0"/>
      <w:divBdr>
        <w:top w:val="none" w:sz="0" w:space="0" w:color="auto"/>
        <w:left w:val="none" w:sz="0" w:space="0" w:color="auto"/>
        <w:bottom w:val="none" w:sz="0" w:space="0" w:color="auto"/>
        <w:right w:val="none" w:sz="0" w:space="0" w:color="auto"/>
      </w:divBdr>
    </w:div>
    <w:div w:id="211196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027E-A465-440D-A08C-C14CD2013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Erlichman, Reece (ALA)</cp:lastModifiedBy>
  <cp:revision>2</cp:revision>
  <cp:lastPrinted>2022-09-30T15:45:00Z</cp:lastPrinted>
  <dcterms:created xsi:type="dcterms:W3CDTF">2025-12-01T11:53:00Z</dcterms:created>
  <dcterms:modified xsi:type="dcterms:W3CDTF">2025-12-01T11:53:00Z</dcterms:modified>
</cp:coreProperties>
</file>