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40B19" w14:textId="77777777" w:rsidR="002564A8" w:rsidRPr="00857442" w:rsidRDefault="002564A8" w:rsidP="002564A8">
      <w:pPr>
        <w:tabs>
          <w:tab w:val="left" w:pos="720"/>
        </w:tabs>
        <w:jc w:val="center"/>
        <w:rPr>
          <w:rFonts w:ascii="Aptos" w:hAnsi="Aptos"/>
          <w:sz w:val="28"/>
          <w:szCs w:val="28"/>
        </w:rPr>
      </w:pPr>
      <w:r w:rsidRPr="00857442">
        <w:rPr>
          <w:rFonts w:ascii="Aptos" w:hAnsi="Aptos"/>
          <w:b/>
          <w:bCs/>
          <w:sz w:val="28"/>
          <w:szCs w:val="28"/>
        </w:rPr>
        <w:t>COMMONWEALTH OF MASSACHUSETTS</w:t>
      </w:r>
    </w:p>
    <w:p w14:paraId="793AAC60" w14:textId="77777777" w:rsidR="002564A8" w:rsidRPr="00857442" w:rsidRDefault="002564A8" w:rsidP="002564A8">
      <w:pPr>
        <w:tabs>
          <w:tab w:val="left" w:pos="720"/>
        </w:tabs>
        <w:jc w:val="center"/>
        <w:rPr>
          <w:rFonts w:ascii="Aptos" w:hAnsi="Aptos"/>
          <w:sz w:val="28"/>
          <w:szCs w:val="28"/>
        </w:rPr>
      </w:pPr>
      <w:r w:rsidRPr="00857442">
        <w:rPr>
          <w:rFonts w:ascii="Aptos" w:hAnsi="Aptos"/>
          <w:b/>
          <w:bCs/>
          <w:sz w:val="28"/>
          <w:szCs w:val="28"/>
        </w:rPr>
        <w:t>DIVISION OF ADMINISTRATIVE LAW APPEALS</w:t>
      </w:r>
    </w:p>
    <w:p w14:paraId="5AF3C719" w14:textId="77777777" w:rsidR="002564A8" w:rsidRPr="00857442" w:rsidRDefault="002564A8" w:rsidP="002564A8">
      <w:pPr>
        <w:tabs>
          <w:tab w:val="left" w:pos="720"/>
        </w:tabs>
        <w:jc w:val="center"/>
        <w:rPr>
          <w:rFonts w:ascii="Aptos" w:hAnsi="Aptos"/>
          <w:sz w:val="28"/>
          <w:szCs w:val="28"/>
        </w:rPr>
      </w:pPr>
      <w:r w:rsidRPr="00857442">
        <w:rPr>
          <w:rFonts w:ascii="Aptos" w:hAnsi="Aptos"/>
          <w:b/>
          <w:bCs/>
          <w:sz w:val="28"/>
          <w:szCs w:val="28"/>
        </w:rPr>
        <w:t>BUREAU OF SPECIAL EDUCATION APPEALS</w:t>
      </w:r>
    </w:p>
    <w:p w14:paraId="5529FD65" w14:textId="77777777" w:rsidR="002564A8" w:rsidRPr="005F0F7E" w:rsidRDefault="002564A8" w:rsidP="002564A8">
      <w:pPr>
        <w:tabs>
          <w:tab w:val="left" w:pos="720"/>
        </w:tabs>
      </w:pPr>
    </w:p>
    <w:p w14:paraId="46EAFA6F" w14:textId="77777777" w:rsidR="002564A8" w:rsidRPr="005F0F7E" w:rsidRDefault="002564A8" w:rsidP="002564A8">
      <w:pPr>
        <w:tabs>
          <w:tab w:val="left" w:pos="720"/>
        </w:tabs>
      </w:pPr>
    </w:p>
    <w:p w14:paraId="269E99F9" w14:textId="5F054CE3" w:rsidR="008017D6" w:rsidRPr="00857442" w:rsidRDefault="002564A8" w:rsidP="008017D6">
      <w:pPr>
        <w:tabs>
          <w:tab w:val="left" w:pos="720"/>
        </w:tabs>
        <w:rPr>
          <w:rFonts w:ascii="Aptos" w:hAnsi="Aptos"/>
          <w:sz w:val="25"/>
          <w:szCs w:val="25"/>
        </w:rPr>
      </w:pPr>
      <w:r w:rsidRPr="00857442">
        <w:rPr>
          <w:rFonts w:ascii="Aptos" w:hAnsi="Aptos"/>
          <w:sz w:val="25"/>
          <w:szCs w:val="25"/>
        </w:rPr>
        <w:t>In re:    </w:t>
      </w:r>
      <w:r w:rsidR="008017D6">
        <w:rPr>
          <w:rFonts w:ascii="Aptos" w:hAnsi="Aptos"/>
          <w:sz w:val="25"/>
          <w:szCs w:val="25"/>
        </w:rPr>
        <w:t>Foxborough Public Schools, Norwood Public Schools,</w:t>
      </w:r>
      <w:r w:rsidR="008017D6">
        <w:rPr>
          <w:rFonts w:ascii="Aptos" w:hAnsi="Aptos"/>
          <w:sz w:val="25"/>
          <w:szCs w:val="25"/>
        </w:rPr>
        <w:tab/>
      </w:r>
      <w:r w:rsidR="008017D6" w:rsidRPr="00857442">
        <w:rPr>
          <w:rFonts w:ascii="Aptos" w:hAnsi="Aptos"/>
          <w:sz w:val="25"/>
          <w:szCs w:val="25"/>
        </w:rPr>
        <w:t>BSEA</w:t>
      </w:r>
      <w:r w:rsidR="008017D6" w:rsidRPr="00857442">
        <w:rPr>
          <w:rFonts w:ascii="Aptos" w:hAnsi="Aptos"/>
          <w:b/>
          <w:bCs/>
          <w:sz w:val="25"/>
          <w:szCs w:val="25"/>
        </w:rPr>
        <w:t xml:space="preserve"> #</w:t>
      </w:r>
      <w:r w:rsidR="008017D6" w:rsidRPr="00857442">
        <w:rPr>
          <w:rFonts w:ascii="Aptos" w:hAnsi="Aptos"/>
          <w:sz w:val="25"/>
          <w:szCs w:val="25"/>
        </w:rPr>
        <w:t>2</w:t>
      </w:r>
      <w:r w:rsidR="008017D6">
        <w:rPr>
          <w:rFonts w:ascii="Aptos" w:hAnsi="Aptos"/>
          <w:sz w:val="25"/>
          <w:szCs w:val="25"/>
        </w:rPr>
        <w:t>600283</w:t>
      </w:r>
    </w:p>
    <w:p w14:paraId="0CF9E1C5" w14:textId="08700E6E" w:rsidR="008017D6" w:rsidRDefault="008017D6" w:rsidP="002564A8">
      <w:pPr>
        <w:tabs>
          <w:tab w:val="left" w:pos="720"/>
        </w:tabs>
        <w:rPr>
          <w:rFonts w:ascii="Aptos" w:hAnsi="Aptos"/>
          <w:sz w:val="25"/>
          <w:szCs w:val="25"/>
        </w:rPr>
      </w:pPr>
      <w:r>
        <w:rPr>
          <w:rFonts w:ascii="Aptos" w:hAnsi="Aptos"/>
          <w:sz w:val="25"/>
          <w:szCs w:val="25"/>
        </w:rPr>
        <w:tab/>
      </w:r>
      <w:r w:rsidR="002770F1">
        <w:rPr>
          <w:rFonts w:ascii="Aptos" w:hAnsi="Aptos"/>
          <w:sz w:val="25"/>
          <w:szCs w:val="25"/>
        </w:rPr>
        <w:t xml:space="preserve">the </w:t>
      </w:r>
      <w:r>
        <w:rPr>
          <w:rFonts w:ascii="Aptos" w:hAnsi="Aptos"/>
          <w:sz w:val="25"/>
          <w:szCs w:val="25"/>
        </w:rPr>
        <w:t>Department of Elementary and Secondary Education,</w:t>
      </w:r>
    </w:p>
    <w:p w14:paraId="3F965FFF" w14:textId="02D77137" w:rsidR="002564A8" w:rsidRPr="00857442" w:rsidRDefault="008017D6" w:rsidP="002564A8">
      <w:pPr>
        <w:tabs>
          <w:tab w:val="left" w:pos="720"/>
        </w:tabs>
        <w:rPr>
          <w:rFonts w:ascii="Aptos" w:hAnsi="Aptos"/>
          <w:sz w:val="25"/>
          <w:szCs w:val="25"/>
        </w:rPr>
      </w:pPr>
      <w:r>
        <w:rPr>
          <w:rFonts w:ascii="Aptos" w:hAnsi="Aptos"/>
          <w:sz w:val="25"/>
          <w:szCs w:val="25"/>
        </w:rPr>
        <w:tab/>
        <w:t>&amp; Student</w:t>
      </w:r>
      <w:r>
        <w:rPr>
          <w:rFonts w:ascii="Aptos" w:hAnsi="Aptos"/>
          <w:sz w:val="25"/>
          <w:szCs w:val="25"/>
        </w:rPr>
        <w:tab/>
      </w:r>
      <w:r>
        <w:rPr>
          <w:rFonts w:ascii="Aptos" w:hAnsi="Aptos"/>
          <w:sz w:val="25"/>
          <w:szCs w:val="25"/>
        </w:rPr>
        <w:tab/>
      </w:r>
      <w:r>
        <w:rPr>
          <w:rFonts w:ascii="Aptos" w:hAnsi="Aptos"/>
          <w:sz w:val="25"/>
          <w:szCs w:val="25"/>
        </w:rPr>
        <w:tab/>
      </w:r>
      <w:r w:rsidR="00AD6552">
        <w:rPr>
          <w:rFonts w:ascii="Aptos" w:hAnsi="Aptos"/>
          <w:sz w:val="25"/>
          <w:szCs w:val="25"/>
        </w:rPr>
        <w:tab/>
      </w:r>
      <w:r w:rsidR="00AD6552">
        <w:rPr>
          <w:rFonts w:ascii="Aptos" w:hAnsi="Aptos"/>
          <w:sz w:val="25"/>
          <w:szCs w:val="25"/>
        </w:rPr>
        <w:tab/>
        <w:t xml:space="preserve"> </w:t>
      </w:r>
      <w:r w:rsidR="002564A8" w:rsidRPr="00857442">
        <w:rPr>
          <w:rFonts w:ascii="Aptos" w:hAnsi="Aptos"/>
          <w:sz w:val="25"/>
          <w:szCs w:val="25"/>
        </w:rPr>
        <w:t xml:space="preserve">                              </w:t>
      </w:r>
      <w:r w:rsidR="002564A8" w:rsidRPr="00857442">
        <w:rPr>
          <w:rFonts w:ascii="Aptos" w:hAnsi="Aptos"/>
          <w:sz w:val="25"/>
          <w:szCs w:val="25"/>
        </w:rPr>
        <w:tab/>
      </w:r>
    </w:p>
    <w:p w14:paraId="06ED9427" w14:textId="77777777" w:rsidR="002564A8" w:rsidRPr="00857442" w:rsidRDefault="002564A8" w:rsidP="002564A8">
      <w:pPr>
        <w:tabs>
          <w:tab w:val="left" w:pos="720"/>
        </w:tabs>
        <w:rPr>
          <w:rFonts w:ascii="Aptos" w:hAnsi="Aptos"/>
          <w:sz w:val="25"/>
          <w:szCs w:val="25"/>
        </w:rPr>
      </w:pPr>
    </w:p>
    <w:p w14:paraId="63595FD4" w14:textId="77777777" w:rsidR="002564A8" w:rsidRDefault="002564A8" w:rsidP="002564A8">
      <w:pPr>
        <w:tabs>
          <w:tab w:val="left" w:pos="720"/>
        </w:tabs>
        <w:spacing w:after="100" w:afterAutospacing="1" w:line="360" w:lineRule="auto"/>
        <w:jc w:val="center"/>
        <w:rPr>
          <w:rFonts w:ascii="Aptos" w:hAnsi="Aptos"/>
          <w:sz w:val="25"/>
          <w:szCs w:val="25"/>
        </w:rPr>
      </w:pPr>
      <w:r w:rsidRPr="00857442">
        <w:rPr>
          <w:rFonts w:ascii="Aptos" w:hAnsi="Aptos"/>
          <w:b/>
          <w:bCs/>
          <w:sz w:val="25"/>
          <w:szCs w:val="25"/>
          <w:u w:val="single"/>
        </w:rPr>
        <w:t>DECISION</w:t>
      </w:r>
    </w:p>
    <w:p w14:paraId="76BE22AD" w14:textId="1896C65C" w:rsidR="002564A8" w:rsidRPr="00857442" w:rsidRDefault="002564A8" w:rsidP="002564A8">
      <w:pPr>
        <w:tabs>
          <w:tab w:val="left" w:pos="720"/>
        </w:tabs>
        <w:spacing w:after="100" w:afterAutospacing="1"/>
        <w:rPr>
          <w:rFonts w:ascii="Aptos" w:hAnsi="Aptos"/>
          <w:sz w:val="25"/>
          <w:szCs w:val="25"/>
        </w:rPr>
      </w:pPr>
      <w:r>
        <w:rPr>
          <w:rFonts w:ascii="Aptos" w:hAnsi="Aptos"/>
          <w:sz w:val="25"/>
          <w:szCs w:val="25"/>
        </w:rPr>
        <w:tab/>
      </w:r>
      <w:r w:rsidRPr="00857442">
        <w:rPr>
          <w:rFonts w:ascii="Aptos" w:hAnsi="Aptos"/>
          <w:sz w:val="25"/>
          <w:szCs w:val="25"/>
        </w:rPr>
        <w:t>This decision is issued pursuant to</w:t>
      </w:r>
      <w:r w:rsidR="002770F1">
        <w:rPr>
          <w:rFonts w:ascii="Aptos" w:hAnsi="Aptos"/>
          <w:sz w:val="25"/>
          <w:szCs w:val="25"/>
        </w:rPr>
        <w:t xml:space="preserve"> </w:t>
      </w:r>
      <w:bookmarkStart w:id="0" w:name="_Hlk219110877"/>
      <w:r w:rsidR="002770F1">
        <w:rPr>
          <w:rFonts w:ascii="Aptos" w:hAnsi="Aptos"/>
          <w:sz w:val="25"/>
          <w:szCs w:val="25"/>
        </w:rPr>
        <w:t>603 CMR 28.10</w:t>
      </w:r>
      <w:bookmarkEnd w:id="0"/>
      <w:r w:rsidRPr="00857442">
        <w:rPr>
          <w:rFonts w:ascii="Aptos" w:hAnsi="Aptos"/>
          <w:sz w:val="25"/>
          <w:szCs w:val="25"/>
        </w:rPr>
        <w:t xml:space="preserve">, </w:t>
      </w:r>
      <w:r w:rsidR="002C32A7">
        <w:rPr>
          <w:rFonts w:ascii="Aptos" w:hAnsi="Aptos"/>
          <w:sz w:val="25"/>
          <w:szCs w:val="25"/>
        </w:rPr>
        <w:t xml:space="preserve">the </w:t>
      </w:r>
      <w:r w:rsidR="001830B2">
        <w:rPr>
          <w:rFonts w:ascii="Aptos" w:hAnsi="Aptos"/>
          <w:sz w:val="25"/>
          <w:szCs w:val="25"/>
        </w:rPr>
        <w:t xml:space="preserve">state special education law (M. G.L. c. 71B), </w:t>
      </w:r>
      <w:r w:rsidRPr="00857442">
        <w:rPr>
          <w:rFonts w:ascii="Aptos" w:hAnsi="Aptos"/>
          <w:sz w:val="25"/>
          <w:szCs w:val="25"/>
        </w:rPr>
        <w:t>the state Administrative Procedure Act (M</w:t>
      </w:r>
      <w:r w:rsidR="005705BE">
        <w:rPr>
          <w:rFonts w:ascii="Aptos" w:hAnsi="Aptos"/>
          <w:sz w:val="25"/>
          <w:szCs w:val="25"/>
        </w:rPr>
        <w:t>.</w:t>
      </w:r>
      <w:r w:rsidRPr="00857442">
        <w:rPr>
          <w:rFonts w:ascii="Aptos" w:hAnsi="Aptos"/>
          <w:sz w:val="25"/>
          <w:szCs w:val="25"/>
        </w:rPr>
        <w:t>G</w:t>
      </w:r>
      <w:r w:rsidR="005705BE">
        <w:rPr>
          <w:rFonts w:ascii="Aptos" w:hAnsi="Aptos"/>
          <w:sz w:val="25"/>
          <w:szCs w:val="25"/>
        </w:rPr>
        <w:t>.</w:t>
      </w:r>
      <w:r w:rsidRPr="00857442">
        <w:rPr>
          <w:rFonts w:ascii="Aptos" w:hAnsi="Aptos"/>
          <w:sz w:val="25"/>
          <w:szCs w:val="25"/>
        </w:rPr>
        <w:t>L</w:t>
      </w:r>
      <w:r w:rsidR="005705BE">
        <w:rPr>
          <w:rFonts w:ascii="Aptos" w:hAnsi="Aptos"/>
          <w:sz w:val="25"/>
          <w:szCs w:val="25"/>
        </w:rPr>
        <w:t>.</w:t>
      </w:r>
      <w:r w:rsidRPr="00857442">
        <w:rPr>
          <w:rFonts w:ascii="Aptos" w:hAnsi="Aptos"/>
          <w:sz w:val="25"/>
          <w:szCs w:val="25"/>
        </w:rPr>
        <w:t xml:space="preserve"> c. 30A), and the</w:t>
      </w:r>
      <w:r w:rsidR="008017D6">
        <w:rPr>
          <w:rFonts w:ascii="Aptos" w:hAnsi="Aptos"/>
          <w:sz w:val="25"/>
          <w:szCs w:val="25"/>
        </w:rPr>
        <w:t xml:space="preserve"> </w:t>
      </w:r>
      <w:r w:rsidRPr="00857442">
        <w:rPr>
          <w:rFonts w:ascii="Aptos" w:hAnsi="Aptos"/>
          <w:sz w:val="25"/>
          <w:szCs w:val="25"/>
        </w:rPr>
        <w:t xml:space="preserve">regulations promulgated under these statutes. </w:t>
      </w:r>
    </w:p>
    <w:p w14:paraId="6DD2492A" w14:textId="75278487" w:rsidR="002564A8" w:rsidRPr="00DB0954" w:rsidRDefault="002564A8" w:rsidP="00DB0954">
      <w:pPr>
        <w:spacing w:after="100" w:afterAutospacing="1"/>
        <w:ind w:firstLine="720"/>
        <w:outlineLvl w:val="8"/>
        <w:rPr>
          <w:rFonts w:ascii="Aptos" w:hAnsi="Aptos"/>
        </w:rPr>
      </w:pPr>
      <w:r w:rsidRPr="00857442">
        <w:rPr>
          <w:rFonts w:ascii="Aptos" w:hAnsi="Aptos"/>
          <w:sz w:val="25"/>
          <w:szCs w:val="25"/>
        </w:rPr>
        <w:t>A</w:t>
      </w:r>
      <w:r>
        <w:rPr>
          <w:rFonts w:ascii="Aptos" w:hAnsi="Aptos"/>
          <w:sz w:val="25"/>
          <w:szCs w:val="25"/>
        </w:rPr>
        <w:t xml:space="preserve"> </w:t>
      </w:r>
      <w:r w:rsidRPr="00857442">
        <w:rPr>
          <w:rFonts w:ascii="Aptos" w:hAnsi="Aptos"/>
          <w:sz w:val="25"/>
          <w:szCs w:val="25"/>
        </w:rPr>
        <w:t xml:space="preserve">hearing was held on </w:t>
      </w:r>
      <w:r w:rsidR="002770F1">
        <w:rPr>
          <w:rFonts w:ascii="Aptos" w:hAnsi="Aptos"/>
          <w:sz w:val="25"/>
          <w:szCs w:val="25"/>
        </w:rPr>
        <w:t>January 12, 2026</w:t>
      </w:r>
      <w:r>
        <w:rPr>
          <w:rFonts w:ascii="Aptos" w:hAnsi="Aptos"/>
          <w:sz w:val="25"/>
          <w:szCs w:val="25"/>
        </w:rPr>
        <w:t>,</w:t>
      </w:r>
      <w:r w:rsidRPr="00857442">
        <w:rPr>
          <w:rFonts w:ascii="Aptos" w:hAnsi="Aptos"/>
          <w:sz w:val="25"/>
          <w:szCs w:val="25"/>
        </w:rPr>
        <w:t xml:space="preserve"> before Hearing Officer Amy Reichbach</w:t>
      </w:r>
      <w:r w:rsidR="002770F1">
        <w:rPr>
          <w:rFonts w:ascii="Aptos" w:hAnsi="Aptos"/>
          <w:sz w:val="25"/>
          <w:szCs w:val="25"/>
        </w:rPr>
        <w:t xml:space="preserve">, to permit the parties to supplement their written </w:t>
      </w:r>
      <w:r w:rsidR="002C32A7">
        <w:rPr>
          <w:rFonts w:ascii="Aptos" w:hAnsi="Aptos"/>
          <w:sz w:val="25"/>
          <w:szCs w:val="25"/>
        </w:rPr>
        <w:t>submissions</w:t>
      </w:r>
      <w:r w:rsidR="001830B2">
        <w:rPr>
          <w:rFonts w:ascii="Aptos" w:hAnsi="Aptos"/>
          <w:sz w:val="25"/>
          <w:szCs w:val="25"/>
        </w:rPr>
        <w:t xml:space="preserve"> with oral arguments</w:t>
      </w:r>
      <w:r w:rsidRPr="00857442">
        <w:rPr>
          <w:rFonts w:ascii="Aptos" w:hAnsi="Aptos"/>
          <w:sz w:val="25"/>
          <w:szCs w:val="25"/>
        </w:rPr>
        <w:t xml:space="preserve">. With the consent of </w:t>
      </w:r>
      <w:r w:rsidR="001830B2">
        <w:rPr>
          <w:rFonts w:ascii="Aptos" w:hAnsi="Aptos"/>
          <w:sz w:val="25"/>
          <w:szCs w:val="25"/>
        </w:rPr>
        <w:t>all</w:t>
      </w:r>
      <w:r w:rsidRPr="00857442">
        <w:rPr>
          <w:rFonts w:ascii="Aptos" w:hAnsi="Aptos"/>
          <w:sz w:val="25"/>
          <w:szCs w:val="25"/>
        </w:rPr>
        <w:t xml:space="preserve"> parties and agreement of all participants, </w:t>
      </w:r>
      <w:r w:rsidR="005705BE">
        <w:rPr>
          <w:rFonts w:ascii="Aptos" w:hAnsi="Aptos"/>
          <w:sz w:val="25"/>
          <w:szCs w:val="25"/>
        </w:rPr>
        <w:t>the hearing</w:t>
      </w:r>
      <w:r>
        <w:rPr>
          <w:rFonts w:ascii="Aptos" w:hAnsi="Aptos"/>
          <w:sz w:val="25"/>
          <w:szCs w:val="25"/>
        </w:rPr>
        <w:t xml:space="preserve"> was </w:t>
      </w:r>
      <w:r w:rsidR="00873AD7">
        <w:rPr>
          <w:rFonts w:ascii="Aptos" w:hAnsi="Aptos"/>
          <w:sz w:val="25"/>
          <w:szCs w:val="25"/>
        </w:rPr>
        <w:t>held</w:t>
      </w:r>
      <w:r w:rsidR="00AD6552">
        <w:rPr>
          <w:rFonts w:ascii="Aptos" w:hAnsi="Aptos"/>
          <w:sz w:val="25"/>
          <w:szCs w:val="25"/>
        </w:rPr>
        <w:t xml:space="preserve"> </w:t>
      </w:r>
      <w:r>
        <w:rPr>
          <w:rFonts w:ascii="Aptos" w:hAnsi="Aptos"/>
          <w:sz w:val="25"/>
          <w:szCs w:val="25"/>
        </w:rPr>
        <w:t xml:space="preserve">in a </w:t>
      </w:r>
      <w:r w:rsidR="0081757A">
        <w:rPr>
          <w:rFonts w:ascii="Aptos" w:hAnsi="Aptos"/>
          <w:sz w:val="25"/>
          <w:szCs w:val="25"/>
        </w:rPr>
        <w:t>virtual</w:t>
      </w:r>
      <w:r>
        <w:rPr>
          <w:rFonts w:ascii="Aptos" w:hAnsi="Aptos"/>
          <w:sz w:val="25"/>
          <w:szCs w:val="25"/>
        </w:rPr>
        <w:t xml:space="preserve"> format</w:t>
      </w:r>
      <w:r w:rsidR="0081757A">
        <w:rPr>
          <w:rFonts w:ascii="Aptos" w:hAnsi="Aptos"/>
          <w:sz w:val="25"/>
          <w:szCs w:val="25"/>
        </w:rPr>
        <w:t>.</w:t>
      </w:r>
      <w:r w:rsidRPr="00857442">
        <w:rPr>
          <w:rFonts w:ascii="Aptos" w:hAnsi="Aptos"/>
          <w:sz w:val="25"/>
          <w:szCs w:val="25"/>
        </w:rPr>
        <w:t xml:space="preserve"> Those present for all or part of the proceedings</w:t>
      </w:r>
      <w:r>
        <w:rPr>
          <w:rFonts w:ascii="Aptos" w:hAnsi="Aptos"/>
          <w:sz w:val="25"/>
          <w:szCs w:val="25"/>
        </w:rPr>
        <w:t xml:space="preserve"> </w:t>
      </w:r>
      <w:r w:rsidRPr="00857442">
        <w:rPr>
          <w:rFonts w:ascii="Aptos" w:hAnsi="Aptos"/>
          <w:sz w:val="25"/>
          <w:szCs w:val="25"/>
        </w:rPr>
        <w:t xml:space="preserve">were: </w:t>
      </w:r>
      <w:r w:rsidR="00876259" w:rsidRPr="00876259">
        <w:rPr>
          <w:rFonts w:ascii="Aptos" w:hAnsi="Aptos"/>
          <w:sz w:val="25"/>
          <w:szCs w:val="25"/>
        </w:rPr>
        <w:tab/>
      </w:r>
    </w:p>
    <w:p w14:paraId="67AD1910" w14:textId="77777777" w:rsidR="00DB0954" w:rsidRDefault="00DB0954" w:rsidP="00DB0954">
      <w:pPr>
        <w:tabs>
          <w:tab w:val="left" w:pos="720"/>
        </w:tabs>
        <w:ind w:left="3600" w:hanging="3600"/>
        <w:rPr>
          <w:rFonts w:ascii="Aptos" w:hAnsi="Aptos"/>
          <w:sz w:val="25"/>
          <w:szCs w:val="25"/>
        </w:rPr>
      </w:pPr>
      <w:r>
        <w:rPr>
          <w:rFonts w:ascii="Aptos" w:hAnsi="Aptos"/>
          <w:sz w:val="25"/>
          <w:szCs w:val="25"/>
        </w:rPr>
        <w:t>Cory Mikolazyk</w:t>
      </w:r>
      <w:r>
        <w:rPr>
          <w:rFonts w:ascii="Aptos" w:hAnsi="Aptos"/>
          <w:sz w:val="25"/>
          <w:szCs w:val="25"/>
        </w:rPr>
        <w:tab/>
        <w:t>Director of Student Services, Foxborough Public Schools</w:t>
      </w:r>
      <w:r>
        <w:rPr>
          <w:rFonts w:ascii="Aptos" w:hAnsi="Aptos"/>
          <w:sz w:val="25"/>
          <w:szCs w:val="25"/>
        </w:rPr>
        <w:tab/>
      </w:r>
      <w:r>
        <w:rPr>
          <w:rFonts w:ascii="Aptos" w:hAnsi="Aptos"/>
          <w:sz w:val="25"/>
          <w:szCs w:val="25"/>
        </w:rPr>
        <w:tab/>
      </w:r>
      <w:r>
        <w:rPr>
          <w:rFonts w:ascii="Aptos" w:hAnsi="Aptos"/>
          <w:sz w:val="25"/>
          <w:szCs w:val="25"/>
        </w:rPr>
        <w:tab/>
      </w:r>
      <w:r>
        <w:rPr>
          <w:rFonts w:ascii="Aptos" w:hAnsi="Aptos"/>
          <w:sz w:val="25"/>
          <w:szCs w:val="25"/>
        </w:rPr>
        <w:tab/>
      </w:r>
      <w:r>
        <w:rPr>
          <w:rFonts w:ascii="Aptos" w:hAnsi="Aptos"/>
          <w:sz w:val="25"/>
          <w:szCs w:val="25"/>
        </w:rPr>
        <w:tab/>
      </w:r>
    </w:p>
    <w:p w14:paraId="11E63AD2" w14:textId="76A77744" w:rsidR="00F7463E" w:rsidRDefault="00084FB5" w:rsidP="00DB0954">
      <w:pPr>
        <w:tabs>
          <w:tab w:val="left" w:pos="720"/>
        </w:tabs>
        <w:ind w:left="3600" w:hanging="3600"/>
        <w:rPr>
          <w:rFonts w:ascii="Aptos" w:hAnsi="Aptos"/>
          <w:sz w:val="25"/>
          <w:szCs w:val="25"/>
        </w:rPr>
      </w:pPr>
      <w:r>
        <w:rPr>
          <w:rFonts w:ascii="Aptos" w:hAnsi="Aptos"/>
          <w:sz w:val="25"/>
          <w:szCs w:val="25"/>
        </w:rPr>
        <w:t>Craig Kowalski, Esq.</w:t>
      </w:r>
      <w:r>
        <w:rPr>
          <w:rFonts w:ascii="Aptos" w:hAnsi="Aptos"/>
          <w:sz w:val="25"/>
          <w:szCs w:val="25"/>
        </w:rPr>
        <w:tab/>
        <w:t>Attorney for Foxborough Public Schools</w:t>
      </w:r>
    </w:p>
    <w:p w14:paraId="6922DFA9" w14:textId="2A24A14A" w:rsidR="00084FB5" w:rsidRDefault="00084FB5" w:rsidP="002564A8">
      <w:pPr>
        <w:tabs>
          <w:tab w:val="left" w:pos="720"/>
        </w:tabs>
        <w:rPr>
          <w:rFonts w:ascii="Aptos" w:hAnsi="Aptos"/>
          <w:sz w:val="25"/>
          <w:szCs w:val="25"/>
        </w:rPr>
      </w:pPr>
      <w:r>
        <w:rPr>
          <w:rFonts w:ascii="Aptos" w:hAnsi="Aptos"/>
          <w:sz w:val="25"/>
          <w:szCs w:val="25"/>
        </w:rPr>
        <w:t>Catherine Lyons, Esq.</w:t>
      </w:r>
      <w:r>
        <w:rPr>
          <w:rFonts w:ascii="Aptos" w:hAnsi="Aptos"/>
          <w:sz w:val="25"/>
          <w:szCs w:val="25"/>
        </w:rPr>
        <w:tab/>
      </w:r>
      <w:r>
        <w:rPr>
          <w:rFonts w:ascii="Aptos" w:hAnsi="Aptos"/>
          <w:sz w:val="25"/>
          <w:szCs w:val="25"/>
        </w:rPr>
        <w:tab/>
        <w:t>Attorney for Norwood Public Schools</w:t>
      </w:r>
    </w:p>
    <w:p w14:paraId="15F0E780" w14:textId="3D67CBA3" w:rsidR="00DB0954" w:rsidRPr="00DB0954" w:rsidRDefault="00DB0954" w:rsidP="00DB0954">
      <w:pPr>
        <w:tabs>
          <w:tab w:val="left" w:pos="720"/>
        </w:tabs>
        <w:ind w:left="3600" w:hanging="3600"/>
        <w:rPr>
          <w:rFonts w:ascii="Aptos" w:hAnsi="Aptos"/>
          <w:sz w:val="25"/>
          <w:szCs w:val="25"/>
        </w:rPr>
      </w:pPr>
      <w:r w:rsidRPr="00F87A2E">
        <w:rPr>
          <w:rFonts w:ascii="Aptos" w:hAnsi="Aptos"/>
          <w:sz w:val="25"/>
          <w:szCs w:val="25"/>
        </w:rPr>
        <w:t>Leah Porter, Esq.</w:t>
      </w:r>
      <w:r w:rsidRPr="00F87A2E">
        <w:rPr>
          <w:rFonts w:ascii="Aptos" w:hAnsi="Aptos"/>
          <w:sz w:val="25"/>
          <w:szCs w:val="25"/>
        </w:rPr>
        <w:tab/>
      </w:r>
      <w:r>
        <w:rPr>
          <w:rFonts w:ascii="Aptos" w:hAnsi="Aptos"/>
          <w:sz w:val="25"/>
          <w:szCs w:val="25"/>
        </w:rPr>
        <w:t>Attorney for the Department of Elementary and Secondary Education</w:t>
      </w:r>
    </w:p>
    <w:p w14:paraId="43075B6D" w14:textId="4634086B" w:rsidR="00084FB5" w:rsidRDefault="00084FB5" w:rsidP="00084FB5">
      <w:pPr>
        <w:tabs>
          <w:tab w:val="left" w:pos="720"/>
        </w:tabs>
        <w:ind w:left="3600" w:hanging="3600"/>
        <w:rPr>
          <w:rFonts w:ascii="Aptos" w:hAnsi="Aptos"/>
          <w:sz w:val="25"/>
          <w:szCs w:val="25"/>
        </w:rPr>
      </w:pPr>
      <w:r w:rsidRPr="00F87A2E">
        <w:rPr>
          <w:rFonts w:ascii="Aptos" w:hAnsi="Aptos"/>
          <w:sz w:val="25"/>
          <w:szCs w:val="25"/>
        </w:rPr>
        <w:t>Josh</w:t>
      </w:r>
      <w:r w:rsidR="00DB0954" w:rsidRPr="00F87A2E">
        <w:rPr>
          <w:rFonts w:ascii="Aptos" w:hAnsi="Aptos"/>
          <w:sz w:val="25"/>
          <w:szCs w:val="25"/>
        </w:rPr>
        <w:t>ua</w:t>
      </w:r>
      <w:r w:rsidRPr="00F87A2E">
        <w:rPr>
          <w:rFonts w:ascii="Aptos" w:hAnsi="Aptos"/>
          <w:sz w:val="25"/>
          <w:szCs w:val="25"/>
        </w:rPr>
        <w:t xml:space="preserve"> Varon, Esq.</w:t>
      </w:r>
      <w:r w:rsidRPr="00F87A2E">
        <w:rPr>
          <w:rFonts w:ascii="Aptos" w:hAnsi="Aptos"/>
          <w:sz w:val="25"/>
          <w:szCs w:val="25"/>
        </w:rPr>
        <w:tab/>
      </w:r>
      <w:r>
        <w:rPr>
          <w:rFonts w:ascii="Aptos" w:hAnsi="Aptos"/>
          <w:sz w:val="25"/>
          <w:szCs w:val="25"/>
        </w:rPr>
        <w:t>Attorney for the Department of Elementary and Secondary Education</w:t>
      </w:r>
    </w:p>
    <w:p w14:paraId="1A935FC1" w14:textId="22CD3519" w:rsidR="00084FB5" w:rsidRPr="00857442" w:rsidRDefault="00084FB5" w:rsidP="002564A8">
      <w:pPr>
        <w:tabs>
          <w:tab w:val="left" w:pos="720"/>
        </w:tabs>
        <w:rPr>
          <w:rFonts w:ascii="Aptos" w:hAnsi="Aptos"/>
          <w:sz w:val="25"/>
          <w:szCs w:val="25"/>
        </w:rPr>
      </w:pPr>
      <w:r>
        <w:rPr>
          <w:rFonts w:ascii="Aptos" w:hAnsi="Aptos"/>
          <w:sz w:val="25"/>
          <w:szCs w:val="25"/>
        </w:rPr>
        <w:t>Kristin Wesolaski, Esq.</w:t>
      </w:r>
      <w:r>
        <w:rPr>
          <w:rFonts w:ascii="Aptos" w:hAnsi="Aptos"/>
          <w:sz w:val="25"/>
          <w:szCs w:val="25"/>
        </w:rPr>
        <w:tab/>
      </w:r>
      <w:r>
        <w:rPr>
          <w:rFonts w:ascii="Aptos" w:hAnsi="Aptos"/>
          <w:sz w:val="25"/>
          <w:szCs w:val="25"/>
        </w:rPr>
        <w:tab/>
        <w:t>Attorney for Norwood Public Schools</w:t>
      </w:r>
    </w:p>
    <w:p w14:paraId="595BBEA7" w14:textId="6207F64C" w:rsidR="00084FB5" w:rsidRDefault="002564A8" w:rsidP="008D3991">
      <w:pPr>
        <w:tabs>
          <w:tab w:val="left" w:pos="720"/>
        </w:tabs>
        <w:rPr>
          <w:rFonts w:ascii="Aptos" w:hAnsi="Aptos"/>
          <w:color w:val="000000" w:themeColor="text1"/>
          <w:sz w:val="25"/>
          <w:szCs w:val="25"/>
        </w:rPr>
      </w:pPr>
      <w:r w:rsidRPr="00857442">
        <w:rPr>
          <w:rFonts w:ascii="Aptos" w:hAnsi="Aptos"/>
          <w:color w:val="000000" w:themeColor="text1"/>
          <w:sz w:val="25"/>
          <w:szCs w:val="25"/>
        </w:rPr>
        <w:t>Carol Kusinitz</w:t>
      </w:r>
      <w:r w:rsidRPr="00857442">
        <w:rPr>
          <w:rFonts w:ascii="Aptos" w:hAnsi="Aptos"/>
          <w:color w:val="000000" w:themeColor="text1"/>
          <w:sz w:val="25"/>
          <w:szCs w:val="25"/>
        </w:rPr>
        <w:tab/>
      </w:r>
      <w:r w:rsidRPr="00857442">
        <w:rPr>
          <w:rFonts w:ascii="Aptos" w:hAnsi="Aptos"/>
          <w:color w:val="000000" w:themeColor="text1"/>
          <w:sz w:val="25"/>
          <w:szCs w:val="25"/>
        </w:rPr>
        <w:tab/>
      </w:r>
      <w:r w:rsidRPr="00857442">
        <w:rPr>
          <w:rFonts w:ascii="Aptos" w:hAnsi="Aptos"/>
          <w:color w:val="000000" w:themeColor="text1"/>
          <w:sz w:val="25"/>
          <w:szCs w:val="25"/>
        </w:rPr>
        <w:tab/>
        <w:t>Court Reporter</w:t>
      </w:r>
    </w:p>
    <w:p w14:paraId="0EE2F67E" w14:textId="77777777" w:rsidR="008D3991" w:rsidRPr="00171E76" w:rsidRDefault="008D3991" w:rsidP="008D3991">
      <w:pPr>
        <w:tabs>
          <w:tab w:val="left" w:pos="720"/>
        </w:tabs>
        <w:rPr>
          <w:rFonts w:ascii="Aptos" w:hAnsi="Aptos"/>
          <w:color w:val="000000" w:themeColor="text1"/>
          <w:sz w:val="25"/>
          <w:szCs w:val="25"/>
        </w:rPr>
      </w:pPr>
    </w:p>
    <w:p w14:paraId="40A40CFE" w14:textId="0A6B8CD3" w:rsidR="002564A8" w:rsidRPr="00857442" w:rsidRDefault="002564A8" w:rsidP="002564A8">
      <w:pPr>
        <w:tabs>
          <w:tab w:val="left" w:pos="720"/>
        </w:tabs>
        <w:spacing w:after="100" w:afterAutospacing="1"/>
        <w:ind w:firstLine="720"/>
        <w:rPr>
          <w:rFonts w:ascii="Aptos" w:hAnsi="Aptos"/>
          <w:sz w:val="25"/>
          <w:szCs w:val="25"/>
        </w:rPr>
      </w:pPr>
      <w:r w:rsidRPr="00857442">
        <w:rPr>
          <w:rFonts w:ascii="Aptos" w:hAnsi="Aptos"/>
          <w:sz w:val="25"/>
          <w:szCs w:val="25"/>
        </w:rPr>
        <w:t>The official record of the hearing consists of documents submitted by</w:t>
      </w:r>
      <w:r w:rsidR="0017608D">
        <w:rPr>
          <w:rFonts w:ascii="Aptos" w:hAnsi="Aptos"/>
          <w:sz w:val="25"/>
          <w:szCs w:val="25"/>
        </w:rPr>
        <w:t xml:space="preserve"> Foxborough Public Schools (Foxborough, or FPS)</w:t>
      </w:r>
      <w:r w:rsidRPr="00857442">
        <w:rPr>
          <w:rFonts w:ascii="Aptos" w:hAnsi="Aptos"/>
          <w:sz w:val="25"/>
          <w:szCs w:val="25"/>
        </w:rPr>
        <w:t xml:space="preserve"> and marked as Exhibits </w:t>
      </w:r>
      <w:r w:rsidR="0017608D">
        <w:rPr>
          <w:rFonts w:ascii="Aptos" w:hAnsi="Aptos"/>
          <w:sz w:val="25"/>
          <w:szCs w:val="25"/>
        </w:rPr>
        <w:t>F</w:t>
      </w:r>
      <w:r w:rsidRPr="00857442">
        <w:rPr>
          <w:rFonts w:ascii="Aptos" w:hAnsi="Aptos"/>
          <w:sz w:val="25"/>
          <w:szCs w:val="25"/>
        </w:rPr>
        <w:t xml:space="preserve">-1 to </w:t>
      </w:r>
      <w:r w:rsidR="0017608D">
        <w:rPr>
          <w:rFonts w:ascii="Aptos" w:hAnsi="Aptos"/>
          <w:sz w:val="25"/>
          <w:szCs w:val="25"/>
        </w:rPr>
        <w:t>F-7</w:t>
      </w:r>
      <w:r w:rsidR="00AD6552">
        <w:rPr>
          <w:rFonts w:ascii="Aptos" w:hAnsi="Aptos"/>
          <w:sz w:val="25"/>
          <w:szCs w:val="25"/>
        </w:rPr>
        <w:t>;</w:t>
      </w:r>
      <w:r w:rsidRPr="00857442">
        <w:rPr>
          <w:rFonts w:ascii="Aptos" w:hAnsi="Aptos"/>
          <w:sz w:val="25"/>
          <w:szCs w:val="25"/>
        </w:rPr>
        <w:t xml:space="preserve"> documents submitted by </w:t>
      </w:r>
      <w:r w:rsidR="0017608D">
        <w:rPr>
          <w:rFonts w:ascii="Aptos" w:hAnsi="Aptos"/>
          <w:sz w:val="25"/>
          <w:szCs w:val="25"/>
        </w:rPr>
        <w:t xml:space="preserve">the Department of Elementary and Secondary Education (DESE, or the Department) and marked as Exhibits D-1 through D-24; documents submitted by Norwood Public Schools (Norwood, or NPS) and marked as Exhibits N-1 through N-4; </w:t>
      </w:r>
      <w:r w:rsidR="00DB0954">
        <w:rPr>
          <w:rFonts w:ascii="Aptos" w:hAnsi="Aptos"/>
          <w:sz w:val="25"/>
          <w:szCs w:val="25"/>
        </w:rPr>
        <w:t>one half hour</w:t>
      </w:r>
      <w:r w:rsidR="0017608D">
        <w:rPr>
          <w:rFonts w:ascii="Aptos" w:hAnsi="Aptos"/>
          <w:sz w:val="25"/>
          <w:szCs w:val="25"/>
        </w:rPr>
        <w:t xml:space="preserve"> of oral argument; and a one-volume transcript produced by the court reporter.</w:t>
      </w:r>
    </w:p>
    <w:p w14:paraId="1F63514E" w14:textId="4407DAEA" w:rsidR="002770F1" w:rsidRPr="0017608D" w:rsidRDefault="002564A8" w:rsidP="0017608D">
      <w:pPr>
        <w:pStyle w:val="ListParagraph"/>
        <w:numPr>
          <w:ilvl w:val="0"/>
          <w:numId w:val="7"/>
        </w:numPr>
        <w:tabs>
          <w:tab w:val="left" w:pos="720"/>
        </w:tabs>
        <w:spacing w:after="100" w:afterAutospacing="1"/>
        <w:rPr>
          <w:rFonts w:ascii="Aptos" w:hAnsi="Aptos"/>
          <w:b/>
          <w:bCs/>
          <w:sz w:val="25"/>
          <w:szCs w:val="25"/>
        </w:rPr>
      </w:pPr>
      <w:r w:rsidRPr="00027026">
        <w:rPr>
          <w:rFonts w:ascii="Aptos" w:hAnsi="Aptos"/>
          <w:b/>
          <w:bCs/>
          <w:sz w:val="25"/>
          <w:szCs w:val="25"/>
        </w:rPr>
        <w:t>INTRODUCTION</w:t>
      </w:r>
    </w:p>
    <w:p w14:paraId="4032E066" w14:textId="77777777" w:rsidR="002770F1" w:rsidRDefault="002770F1" w:rsidP="002770F1">
      <w:pPr>
        <w:pStyle w:val="NoSpacing"/>
        <w:rPr>
          <w:rFonts w:ascii="Aptos" w:hAnsi="Aptos"/>
          <w:sz w:val="25"/>
          <w:szCs w:val="25"/>
        </w:rPr>
      </w:pPr>
    </w:p>
    <w:p w14:paraId="7AD77255" w14:textId="43ED05F4" w:rsidR="002770F1" w:rsidRDefault="002770F1" w:rsidP="002770F1">
      <w:pPr>
        <w:pStyle w:val="NoSpacing"/>
        <w:ind w:firstLine="720"/>
        <w:rPr>
          <w:rFonts w:ascii="Aptos" w:hAnsi="Aptos"/>
          <w:sz w:val="25"/>
          <w:szCs w:val="25"/>
        </w:rPr>
      </w:pPr>
      <w:r>
        <w:rPr>
          <w:rFonts w:ascii="Aptos" w:hAnsi="Aptos"/>
          <w:sz w:val="25"/>
          <w:szCs w:val="25"/>
        </w:rPr>
        <w:lastRenderedPageBreak/>
        <w:t xml:space="preserve">On July 9, 2025, Foxborough filed a </w:t>
      </w:r>
      <w:r w:rsidRPr="008F3CDE">
        <w:rPr>
          <w:rFonts w:ascii="Aptos" w:hAnsi="Aptos"/>
          <w:i/>
          <w:iCs/>
          <w:sz w:val="25"/>
          <w:szCs w:val="25"/>
        </w:rPr>
        <w:t>LEA</w:t>
      </w:r>
      <w:r>
        <w:rPr>
          <w:rFonts w:ascii="Aptos" w:hAnsi="Aptos"/>
          <w:sz w:val="25"/>
          <w:szCs w:val="25"/>
        </w:rPr>
        <w:t xml:space="preserve"> (Local Educational Agency) </w:t>
      </w:r>
      <w:r w:rsidRPr="008F3CDE">
        <w:rPr>
          <w:rFonts w:ascii="Aptos" w:hAnsi="Aptos"/>
          <w:i/>
          <w:iCs/>
          <w:sz w:val="25"/>
          <w:szCs w:val="25"/>
        </w:rPr>
        <w:t>Assignment Hearing Request</w:t>
      </w:r>
      <w:r>
        <w:rPr>
          <w:rFonts w:ascii="Aptos" w:hAnsi="Aptos"/>
          <w:sz w:val="25"/>
          <w:szCs w:val="25"/>
        </w:rPr>
        <w:t xml:space="preserve"> (</w:t>
      </w:r>
      <w:r w:rsidRPr="008E4F40">
        <w:rPr>
          <w:rFonts w:ascii="Aptos" w:hAnsi="Aptos"/>
          <w:i/>
          <w:iCs/>
          <w:sz w:val="25"/>
          <w:szCs w:val="25"/>
        </w:rPr>
        <w:t>Hearing Request</w:t>
      </w:r>
      <w:r w:rsidRPr="008E4F40">
        <w:rPr>
          <w:rFonts w:ascii="Aptos" w:hAnsi="Aptos"/>
          <w:sz w:val="25"/>
          <w:szCs w:val="25"/>
        </w:rPr>
        <w:t>) with the BSEA against Norwood,</w:t>
      </w:r>
      <w:r w:rsidR="0017608D" w:rsidRPr="008E4F40">
        <w:rPr>
          <w:rFonts w:ascii="Aptos" w:hAnsi="Aptos"/>
          <w:sz w:val="25"/>
          <w:szCs w:val="25"/>
        </w:rPr>
        <w:t xml:space="preserve"> </w:t>
      </w:r>
      <w:r w:rsidRPr="008E4F40">
        <w:rPr>
          <w:rFonts w:ascii="Aptos" w:hAnsi="Aptos"/>
          <w:sz w:val="25"/>
          <w:szCs w:val="25"/>
        </w:rPr>
        <w:t>DESE, and Student</w:t>
      </w:r>
      <w:r w:rsidR="008E4F40" w:rsidRPr="008E4F40">
        <w:rPr>
          <w:rFonts w:ascii="Aptos" w:hAnsi="Aptos"/>
          <w:sz w:val="25"/>
          <w:szCs w:val="25"/>
        </w:rPr>
        <w:t xml:space="preserve">. The </w:t>
      </w:r>
      <w:r w:rsidR="008E4F40" w:rsidRPr="008E4F40">
        <w:rPr>
          <w:rFonts w:ascii="Aptos" w:hAnsi="Aptos"/>
          <w:i/>
          <w:iCs/>
          <w:sz w:val="25"/>
          <w:szCs w:val="25"/>
        </w:rPr>
        <w:t>Hearing Request</w:t>
      </w:r>
      <w:r w:rsidR="008E4F40" w:rsidRPr="008E4F40">
        <w:rPr>
          <w:rFonts w:ascii="Aptos" w:hAnsi="Aptos"/>
          <w:sz w:val="25"/>
          <w:szCs w:val="25"/>
        </w:rPr>
        <w:t xml:space="preserve"> sought</w:t>
      </w:r>
      <w:r w:rsidRPr="008E4F40">
        <w:rPr>
          <w:rFonts w:ascii="Aptos" w:hAnsi="Aptos"/>
          <w:sz w:val="25"/>
          <w:szCs w:val="25"/>
        </w:rPr>
        <w:t xml:space="preserve"> a determination that DESE erred in assigning programmatic and financial responsibility for Student’s special education program to </w:t>
      </w:r>
      <w:r w:rsidR="0017608D" w:rsidRPr="008E4F40">
        <w:rPr>
          <w:rFonts w:ascii="Aptos" w:hAnsi="Aptos"/>
          <w:sz w:val="25"/>
          <w:szCs w:val="25"/>
        </w:rPr>
        <w:t>FPS</w:t>
      </w:r>
      <w:r w:rsidR="00581368" w:rsidRPr="008E4F40">
        <w:rPr>
          <w:rFonts w:ascii="Aptos" w:hAnsi="Aptos"/>
          <w:sz w:val="25"/>
          <w:szCs w:val="25"/>
        </w:rPr>
        <w:t xml:space="preserve"> and an order</w:t>
      </w:r>
      <w:r w:rsidR="00873AD7" w:rsidRPr="008E4F40">
        <w:rPr>
          <w:rFonts w:ascii="Aptos" w:hAnsi="Aptos"/>
          <w:sz w:val="25"/>
          <w:szCs w:val="25"/>
        </w:rPr>
        <w:t xml:space="preserve"> for reimbursement by Norwood </w:t>
      </w:r>
      <w:r w:rsidR="00581368" w:rsidRPr="008E4F40">
        <w:rPr>
          <w:rFonts w:ascii="Aptos" w:hAnsi="Aptos"/>
          <w:sz w:val="25"/>
          <w:szCs w:val="25"/>
        </w:rPr>
        <w:t>for costs incurred by FPS, including, but not limited to, all tuition paid by Foxborough</w:t>
      </w:r>
      <w:r w:rsidR="00581368">
        <w:rPr>
          <w:rFonts w:ascii="Aptos" w:hAnsi="Aptos"/>
          <w:sz w:val="25"/>
          <w:szCs w:val="25"/>
        </w:rPr>
        <w:t xml:space="preserve"> to a public day school on behalf of Student and costs associated with transporting her there</w:t>
      </w:r>
      <w:r>
        <w:rPr>
          <w:rFonts w:ascii="Aptos" w:hAnsi="Aptos"/>
          <w:sz w:val="25"/>
          <w:szCs w:val="25"/>
        </w:rPr>
        <w:t>. Specifically, Foxborough argue</w:t>
      </w:r>
      <w:r w:rsidR="0017608D">
        <w:rPr>
          <w:rFonts w:ascii="Aptos" w:hAnsi="Aptos"/>
          <w:sz w:val="25"/>
          <w:szCs w:val="25"/>
        </w:rPr>
        <w:t>d</w:t>
      </w:r>
      <w:r>
        <w:rPr>
          <w:rFonts w:ascii="Aptos" w:hAnsi="Aptos"/>
          <w:sz w:val="25"/>
          <w:szCs w:val="25"/>
        </w:rPr>
        <w:t xml:space="preserve"> that Student, who attends a separate public day school</w:t>
      </w:r>
      <w:r>
        <w:rPr>
          <w:rStyle w:val="FootnoteReference"/>
          <w:rFonts w:ascii="Aptos" w:hAnsi="Aptos"/>
          <w:sz w:val="25"/>
          <w:szCs w:val="25"/>
        </w:rPr>
        <w:footnoteReference w:id="1"/>
      </w:r>
      <w:r>
        <w:rPr>
          <w:rFonts w:ascii="Aptos" w:hAnsi="Aptos"/>
          <w:sz w:val="25"/>
          <w:szCs w:val="25"/>
        </w:rPr>
        <w:t xml:space="preserve"> and has been staying with Parent at a hotel</w:t>
      </w:r>
      <w:r>
        <w:rPr>
          <w:rStyle w:val="FootnoteReference"/>
          <w:rFonts w:ascii="Aptos" w:hAnsi="Aptos"/>
          <w:sz w:val="25"/>
          <w:szCs w:val="25"/>
        </w:rPr>
        <w:footnoteReference w:id="2"/>
      </w:r>
      <w:r>
        <w:rPr>
          <w:rFonts w:ascii="Aptos" w:hAnsi="Aptos"/>
          <w:sz w:val="25"/>
          <w:szCs w:val="25"/>
        </w:rPr>
        <w:t xml:space="preserve"> within its geographical limits since on or about February 2025, is homeless under the McKinney-Vento Homeless Assistance Act (McKinney-Vento</w:t>
      </w:r>
      <w:r w:rsidR="00873AD7">
        <w:rPr>
          <w:rFonts w:ascii="Aptos" w:hAnsi="Aptos"/>
          <w:sz w:val="25"/>
          <w:szCs w:val="25"/>
        </w:rPr>
        <w:t xml:space="preserve"> or the Act</w:t>
      </w:r>
      <w:r>
        <w:rPr>
          <w:rFonts w:ascii="Aptos" w:hAnsi="Aptos"/>
          <w:sz w:val="25"/>
          <w:szCs w:val="25"/>
        </w:rPr>
        <w:t>). As such, as her last known residence, Norwood is her “district of origin” pursuant to relevant statutes and should continue to bear programmatic and fiscal responsibility for her</w:t>
      </w:r>
      <w:r w:rsidR="00BC2468">
        <w:rPr>
          <w:rFonts w:ascii="Aptos" w:hAnsi="Aptos"/>
          <w:sz w:val="25"/>
          <w:szCs w:val="25"/>
        </w:rPr>
        <w:t xml:space="preserve"> education</w:t>
      </w:r>
      <w:r>
        <w:rPr>
          <w:rFonts w:ascii="Aptos" w:hAnsi="Aptos"/>
          <w:sz w:val="25"/>
          <w:szCs w:val="25"/>
        </w:rPr>
        <w:t>. In the underlying LEA Assignment matter, DESE issued an Assignment of School Responsibility</w:t>
      </w:r>
      <w:r w:rsidR="00BC2468">
        <w:rPr>
          <w:rFonts w:ascii="Aptos" w:hAnsi="Aptos"/>
          <w:sz w:val="25"/>
          <w:szCs w:val="25"/>
        </w:rPr>
        <w:t xml:space="preserve"> on June 18, 2025</w:t>
      </w:r>
      <w:r w:rsidR="002C32A7">
        <w:rPr>
          <w:rFonts w:ascii="Aptos" w:hAnsi="Aptos"/>
          <w:sz w:val="25"/>
          <w:szCs w:val="25"/>
        </w:rPr>
        <w:t>,</w:t>
      </w:r>
      <w:r w:rsidR="00BC2468">
        <w:rPr>
          <w:rFonts w:ascii="Aptos" w:hAnsi="Aptos"/>
          <w:sz w:val="25"/>
          <w:szCs w:val="25"/>
        </w:rPr>
        <w:t xml:space="preserve"> in which the Department concluded</w:t>
      </w:r>
      <w:r>
        <w:rPr>
          <w:rFonts w:ascii="Aptos" w:hAnsi="Aptos"/>
          <w:sz w:val="25"/>
          <w:szCs w:val="25"/>
        </w:rPr>
        <w:t xml:space="preserve"> that Student was not homeless and assigned programmatic and financial responsibility for her special education program to Foxborough. The</w:t>
      </w:r>
      <w:r w:rsidR="008E4F40">
        <w:rPr>
          <w:rFonts w:ascii="Aptos" w:hAnsi="Aptos"/>
          <w:sz w:val="25"/>
          <w:szCs w:val="25"/>
        </w:rPr>
        <w:t xml:space="preserve"> BSEA</w:t>
      </w:r>
      <w:r>
        <w:rPr>
          <w:rFonts w:ascii="Aptos" w:hAnsi="Aptos"/>
          <w:sz w:val="25"/>
          <w:szCs w:val="25"/>
        </w:rPr>
        <w:t xml:space="preserve"> Hearing on Foxborough</w:t>
      </w:r>
      <w:r w:rsidR="00BC2468">
        <w:rPr>
          <w:rFonts w:ascii="Aptos" w:hAnsi="Aptos"/>
          <w:sz w:val="25"/>
          <w:szCs w:val="25"/>
        </w:rPr>
        <w:t xml:space="preserve">’s </w:t>
      </w:r>
      <w:r>
        <w:rPr>
          <w:rFonts w:ascii="Aptos" w:hAnsi="Aptos"/>
          <w:i/>
          <w:iCs/>
          <w:sz w:val="25"/>
          <w:szCs w:val="25"/>
        </w:rPr>
        <w:t xml:space="preserve">Hearing Request </w:t>
      </w:r>
      <w:r>
        <w:rPr>
          <w:rFonts w:ascii="Aptos" w:hAnsi="Aptos"/>
          <w:sz w:val="25"/>
          <w:szCs w:val="25"/>
        </w:rPr>
        <w:t xml:space="preserve">was </w:t>
      </w:r>
      <w:r w:rsidR="002C32A7">
        <w:rPr>
          <w:rFonts w:ascii="Aptos" w:hAnsi="Aptos"/>
          <w:sz w:val="25"/>
          <w:szCs w:val="25"/>
        </w:rPr>
        <w:t xml:space="preserve">initially </w:t>
      </w:r>
      <w:r>
        <w:rPr>
          <w:rFonts w:ascii="Aptos" w:hAnsi="Aptos"/>
          <w:sz w:val="25"/>
          <w:szCs w:val="25"/>
        </w:rPr>
        <w:t>scheduled for July 29, 2025.</w:t>
      </w:r>
    </w:p>
    <w:p w14:paraId="364A1972" w14:textId="77777777" w:rsidR="002770F1" w:rsidRDefault="002770F1" w:rsidP="002770F1">
      <w:pPr>
        <w:pStyle w:val="NoSpacing"/>
        <w:ind w:firstLine="720"/>
        <w:rPr>
          <w:rFonts w:ascii="Aptos" w:hAnsi="Aptos"/>
          <w:sz w:val="25"/>
          <w:szCs w:val="25"/>
        </w:rPr>
      </w:pPr>
    </w:p>
    <w:p w14:paraId="53BEF9E9" w14:textId="2E5AA0A3" w:rsidR="002770F1" w:rsidRDefault="002770F1" w:rsidP="002770F1">
      <w:pPr>
        <w:pStyle w:val="NoSpacing"/>
        <w:ind w:firstLine="720"/>
        <w:rPr>
          <w:rFonts w:ascii="Aptos" w:hAnsi="Aptos"/>
          <w:sz w:val="25"/>
          <w:szCs w:val="25"/>
        </w:rPr>
      </w:pPr>
      <w:r>
        <w:rPr>
          <w:rFonts w:ascii="Aptos" w:hAnsi="Aptos"/>
          <w:sz w:val="25"/>
          <w:szCs w:val="25"/>
        </w:rPr>
        <w:t xml:space="preserve">Norwood filed its </w:t>
      </w:r>
      <w:r>
        <w:rPr>
          <w:rFonts w:ascii="Aptos" w:hAnsi="Aptos"/>
          <w:i/>
          <w:iCs/>
          <w:sz w:val="25"/>
          <w:szCs w:val="25"/>
        </w:rPr>
        <w:t xml:space="preserve">Response </w:t>
      </w:r>
      <w:r>
        <w:rPr>
          <w:rFonts w:ascii="Aptos" w:hAnsi="Aptos"/>
          <w:sz w:val="25"/>
          <w:szCs w:val="25"/>
        </w:rPr>
        <w:t xml:space="preserve">to Foxborough’s </w:t>
      </w:r>
      <w:r>
        <w:rPr>
          <w:rFonts w:ascii="Aptos" w:hAnsi="Aptos"/>
          <w:i/>
          <w:iCs/>
          <w:sz w:val="25"/>
          <w:szCs w:val="25"/>
        </w:rPr>
        <w:t>Hearing Request</w:t>
      </w:r>
      <w:r>
        <w:rPr>
          <w:rFonts w:ascii="Aptos" w:hAnsi="Aptos"/>
          <w:sz w:val="25"/>
          <w:szCs w:val="25"/>
        </w:rPr>
        <w:t xml:space="preserve"> on July 17, 2025</w:t>
      </w:r>
      <w:r w:rsidR="00D46062">
        <w:rPr>
          <w:rFonts w:ascii="Aptos" w:hAnsi="Aptos"/>
          <w:sz w:val="25"/>
          <w:szCs w:val="25"/>
        </w:rPr>
        <w:t>, asserting that DESE properly determined, after making an individualized inquiry, that Student and Father are not homeless as they do not lack a fixed, regular, and adequate nighttime residence, and that the Department properly assigned programmatic and financial responsibility for Student to FPS because she resides in Foxborough.</w:t>
      </w:r>
      <w:r>
        <w:rPr>
          <w:rFonts w:ascii="Aptos" w:hAnsi="Aptos"/>
          <w:sz w:val="25"/>
          <w:szCs w:val="25"/>
        </w:rPr>
        <w:t xml:space="preserve"> On July 18, 2025, Foxborough filed an assented-to request to postpone the Hearing to October 6 and 10, 2025, </w:t>
      </w:r>
      <w:r w:rsidR="002C32A7">
        <w:rPr>
          <w:rFonts w:ascii="Aptos" w:hAnsi="Aptos"/>
          <w:sz w:val="25"/>
          <w:szCs w:val="25"/>
        </w:rPr>
        <w:t>which was</w:t>
      </w:r>
      <w:r>
        <w:rPr>
          <w:rFonts w:ascii="Aptos" w:hAnsi="Aptos"/>
          <w:sz w:val="25"/>
          <w:szCs w:val="25"/>
        </w:rPr>
        <w:t xml:space="preserve"> allowed for good cause</w:t>
      </w:r>
      <w:r w:rsidR="002C32A7">
        <w:rPr>
          <w:rFonts w:ascii="Aptos" w:hAnsi="Aptos"/>
          <w:sz w:val="25"/>
          <w:szCs w:val="25"/>
        </w:rPr>
        <w:t xml:space="preserve"> on</w:t>
      </w:r>
      <w:r>
        <w:rPr>
          <w:rFonts w:ascii="Aptos" w:hAnsi="Aptos"/>
          <w:sz w:val="25"/>
          <w:szCs w:val="25"/>
        </w:rPr>
        <w:t xml:space="preserve"> the same day. On July 21, 2025, DESE filed its </w:t>
      </w:r>
      <w:r>
        <w:rPr>
          <w:rFonts w:ascii="Aptos" w:hAnsi="Aptos"/>
          <w:i/>
          <w:iCs/>
          <w:sz w:val="25"/>
          <w:szCs w:val="25"/>
        </w:rPr>
        <w:t>Response</w:t>
      </w:r>
      <w:r>
        <w:rPr>
          <w:rFonts w:ascii="Aptos" w:hAnsi="Aptos"/>
          <w:sz w:val="25"/>
          <w:szCs w:val="25"/>
        </w:rPr>
        <w:t xml:space="preserve"> to Foxborough’s </w:t>
      </w:r>
      <w:r>
        <w:rPr>
          <w:rFonts w:ascii="Aptos" w:hAnsi="Aptos"/>
          <w:i/>
          <w:iCs/>
          <w:sz w:val="25"/>
          <w:szCs w:val="25"/>
        </w:rPr>
        <w:t>Hearing Request</w:t>
      </w:r>
      <w:r w:rsidR="00D46062">
        <w:rPr>
          <w:rFonts w:ascii="Aptos" w:hAnsi="Aptos"/>
          <w:sz w:val="25"/>
          <w:szCs w:val="25"/>
        </w:rPr>
        <w:t>, asserting that the BSEA should affirm DESE’s LEA assignment because the Department carefully reviewed the factual circumstances before determining that Student resides in Foxborough; the BSEA does not have jurisdiction to review DESE’s determination that Student is not homeless; and the BSEA should defer to DESE’s interpretation of its own regulations.</w:t>
      </w:r>
    </w:p>
    <w:p w14:paraId="60865521" w14:textId="77777777" w:rsidR="002770F1" w:rsidRDefault="002770F1" w:rsidP="002770F1">
      <w:pPr>
        <w:pStyle w:val="NoSpacing"/>
        <w:ind w:firstLine="720"/>
        <w:rPr>
          <w:rFonts w:ascii="Aptos" w:hAnsi="Aptos"/>
          <w:sz w:val="25"/>
          <w:szCs w:val="25"/>
        </w:rPr>
      </w:pPr>
    </w:p>
    <w:p w14:paraId="1548F58C" w14:textId="52DEF71D" w:rsidR="002770F1" w:rsidRDefault="002C32A7" w:rsidP="00DA621A">
      <w:pPr>
        <w:pStyle w:val="NoSpacing"/>
        <w:ind w:firstLine="720"/>
        <w:rPr>
          <w:rFonts w:ascii="Aptos" w:hAnsi="Aptos"/>
          <w:sz w:val="25"/>
          <w:szCs w:val="25"/>
        </w:rPr>
      </w:pPr>
      <w:r>
        <w:rPr>
          <w:rFonts w:ascii="Aptos" w:hAnsi="Aptos"/>
          <w:sz w:val="25"/>
          <w:szCs w:val="25"/>
        </w:rPr>
        <w:t>O</w:t>
      </w:r>
      <w:r w:rsidR="002770F1">
        <w:rPr>
          <w:rFonts w:ascii="Aptos" w:hAnsi="Aptos"/>
          <w:sz w:val="25"/>
          <w:szCs w:val="25"/>
        </w:rPr>
        <w:t xml:space="preserve">n August 18, 2025, </w:t>
      </w:r>
      <w:r>
        <w:rPr>
          <w:rFonts w:ascii="Aptos" w:hAnsi="Aptos"/>
          <w:sz w:val="25"/>
          <w:szCs w:val="25"/>
        </w:rPr>
        <w:t xml:space="preserve">pursuant to the joint request of the parties, </w:t>
      </w:r>
      <w:r w:rsidR="002770F1">
        <w:rPr>
          <w:rFonts w:ascii="Aptos" w:hAnsi="Aptos"/>
          <w:sz w:val="25"/>
          <w:szCs w:val="25"/>
        </w:rPr>
        <w:t>the undersigned Hearing Officer issued an Order providing that the matter would proceed on written submissions, rather than live testimony.</w:t>
      </w:r>
      <w:r w:rsidR="00C652E0">
        <w:rPr>
          <w:rFonts w:ascii="Aptos" w:hAnsi="Aptos"/>
          <w:sz w:val="25"/>
          <w:szCs w:val="25"/>
        </w:rPr>
        <w:t xml:space="preserve"> On September 25, 2025, the parties jointly requested that the due date for final written submissions and arguments be extended to November 18, 2025, with oral arguments on November 19, 2025</w:t>
      </w:r>
      <w:r w:rsidR="00873AD7">
        <w:rPr>
          <w:rFonts w:ascii="Aptos" w:hAnsi="Aptos"/>
          <w:sz w:val="25"/>
          <w:szCs w:val="25"/>
        </w:rPr>
        <w:t>,</w:t>
      </w:r>
      <w:r w:rsidR="00C652E0">
        <w:rPr>
          <w:rFonts w:ascii="Aptos" w:hAnsi="Aptos"/>
          <w:sz w:val="25"/>
          <w:szCs w:val="25"/>
        </w:rPr>
        <w:t xml:space="preserve"> to allow for the </w:t>
      </w:r>
      <w:r w:rsidR="00C652E0">
        <w:rPr>
          <w:rFonts w:ascii="Aptos" w:hAnsi="Aptos"/>
          <w:sz w:val="25"/>
          <w:szCs w:val="25"/>
        </w:rPr>
        <w:lastRenderedPageBreak/>
        <w:t xml:space="preserve">resolution of </w:t>
      </w:r>
      <w:r w:rsidR="008E4F40">
        <w:rPr>
          <w:rFonts w:ascii="Aptos" w:hAnsi="Aptos"/>
          <w:sz w:val="25"/>
          <w:szCs w:val="25"/>
        </w:rPr>
        <w:t xml:space="preserve">an </w:t>
      </w:r>
      <w:r w:rsidR="00C652E0">
        <w:rPr>
          <w:rFonts w:ascii="Aptos" w:hAnsi="Aptos"/>
          <w:sz w:val="25"/>
          <w:szCs w:val="25"/>
        </w:rPr>
        <w:t xml:space="preserve">outstanding </w:t>
      </w:r>
      <w:r w:rsidR="008E4F40">
        <w:rPr>
          <w:rFonts w:ascii="Aptos" w:hAnsi="Aptos"/>
          <w:sz w:val="25"/>
          <w:szCs w:val="25"/>
        </w:rPr>
        <w:t xml:space="preserve">issue involving a subpoena </w:t>
      </w:r>
      <w:r w:rsidR="008E4F40">
        <w:rPr>
          <w:rFonts w:ascii="Aptos" w:hAnsi="Aptos"/>
          <w:i/>
          <w:iCs/>
          <w:sz w:val="25"/>
          <w:szCs w:val="25"/>
        </w:rPr>
        <w:t>duces tecum</w:t>
      </w:r>
      <w:r w:rsidR="00C652E0">
        <w:rPr>
          <w:rFonts w:ascii="Aptos" w:hAnsi="Aptos"/>
          <w:sz w:val="25"/>
          <w:szCs w:val="25"/>
        </w:rPr>
        <w:t>.</w:t>
      </w:r>
      <w:r w:rsidR="00C652E0">
        <w:rPr>
          <w:rStyle w:val="FootnoteReference"/>
          <w:rFonts w:ascii="Aptos" w:hAnsi="Aptos"/>
          <w:sz w:val="25"/>
          <w:szCs w:val="25"/>
        </w:rPr>
        <w:footnoteReference w:id="3"/>
      </w:r>
      <w:r w:rsidR="00C652E0">
        <w:rPr>
          <w:rFonts w:ascii="Aptos" w:hAnsi="Aptos"/>
          <w:sz w:val="25"/>
          <w:szCs w:val="25"/>
        </w:rPr>
        <w:t xml:space="preserve"> This request was allowed for good cause on September 26, 2025. On November 14, 2025, </w:t>
      </w:r>
      <w:r>
        <w:rPr>
          <w:rFonts w:ascii="Aptos" w:hAnsi="Aptos"/>
          <w:sz w:val="25"/>
          <w:szCs w:val="25"/>
        </w:rPr>
        <w:t xml:space="preserve">at the </w:t>
      </w:r>
      <w:r w:rsidR="003F755F">
        <w:rPr>
          <w:rFonts w:ascii="Aptos" w:hAnsi="Aptos"/>
          <w:sz w:val="25"/>
          <w:szCs w:val="25"/>
        </w:rPr>
        <w:t xml:space="preserve">joint request of the parties and for good cause, the Hearing was continued to </w:t>
      </w:r>
      <w:r w:rsidR="00B557A2">
        <w:rPr>
          <w:rFonts w:ascii="Aptos" w:hAnsi="Aptos"/>
          <w:sz w:val="25"/>
          <w:szCs w:val="25"/>
        </w:rPr>
        <w:t xml:space="preserve">December 19, 2025. </w:t>
      </w:r>
      <w:r w:rsidR="00A33261">
        <w:rPr>
          <w:rFonts w:ascii="Aptos" w:hAnsi="Aptos"/>
          <w:sz w:val="25"/>
          <w:szCs w:val="25"/>
        </w:rPr>
        <w:t>On November 19, 2025, t</w:t>
      </w:r>
      <w:r w:rsidR="00B557A2">
        <w:rPr>
          <w:rFonts w:ascii="Aptos" w:hAnsi="Aptos"/>
          <w:sz w:val="25"/>
          <w:szCs w:val="25"/>
        </w:rPr>
        <w:t xml:space="preserve">he Hearing was advanced by one day for administrative reasons and with the agreement of the parties, but on December 17, 2025, </w:t>
      </w:r>
      <w:r w:rsidR="003F755F">
        <w:rPr>
          <w:rFonts w:ascii="Aptos" w:hAnsi="Aptos"/>
          <w:sz w:val="25"/>
          <w:szCs w:val="25"/>
        </w:rPr>
        <w:t xml:space="preserve">Foxborough requested a further postponement. With the assent of all parties, the matter was postponed, </w:t>
      </w:r>
      <w:r w:rsidR="00B557A2">
        <w:rPr>
          <w:rFonts w:ascii="Aptos" w:hAnsi="Aptos"/>
          <w:sz w:val="25"/>
          <w:szCs w:val="25"/>
        </w:rPr>
        <w:t>for good cause, to January 12, 2026</w:t>
      </w:r>
      <w:r w:rsidR="00873AD7">
        <w:rPr>
          <w:rFonts w:ascii="Aptos" w:hAnsi="Aptos"/>
          <w:sz w:val="25"/>
          <w:szCs w:val="25"/>
        </w:rPr>
        <w:t>.</w:t>
      </w:r>
      <w:r w:rsidR="008E4F40">
        <w:rPr>
          <w:rFonts w:ascii="Aptos" w:hAnsi="Aptos"/>
          <w:sz w:val="25"/>
          <w:szCs w:val="25"/>
        </w:rPr>
        <w:t xml:space="preserve"> Oral arguments were heard and the record closed on that date.</w:t>
      </w:r>
    </w:p>
    <w:p w14:paraId="28A033BA" w14:textId="77777777" w:rsidR="00DA621A" w:rsidRPr="00DA621A" w:rsidRDefault="00DA621A" w:rsidP="00DA621A">
      <w:pPr>
        <w:pStyle w:val="NoSpacing"/>
        <w:ind w:firstLine="720"/>
        <w:rPr>
          <w:rFonts w:ascii="Aptos" w:hAnsi="Aptos"/>
          <w:sz w:val="25"/>
          <w:szCs w:val="25"/>
        </w:rPr>
      </w:pPr>
    </w:p>
    <w:p w14:paraId="4BB52D45" w14:textId="02368A8D" w:rsidR="00B92ECF" w:rsidRDefault="00CE6C20" w:rsidP="00C86C69">
      <w:pPr>
        <w:pStyle w:val="NoSpacing"/>
        <w:spacing w:after="100" w:afterAutospacing="1"/>
        <w:ind w:firstLine="720"/>
        <w:rPr>
          <w:rFonts w:ascii="Aptos" w:hAnsi="Aptos"/>
          <w:sz w:val="25"/>
          <w:szCs w:val="25"/>
        </w:rPr>
      </w:pPr>
      <w:bookmarkStart w:id="1" w:name="_Hlk177045748"/>
      <w:r w:rsidRPr="00C86C69">
        <w:rPr>
          <w:rFonts w:ascii="Aptos" w:hAnsi="Aptos"/>
          <w:sz w:val="25"/>
          <w:szCs w:val="25"/>
        </w:rPr>
        <w:t>The</w:t>
      </w:r>
      <w:r w:rsidR="00B557A2">
        <w:rPr>
          <w:rFonts w:ascii="Aptos" w:hAnsi="Aptos"/>
          <w:sz w:val="25"/>
          <w:szCs w:val="25"/>
        </w:rPr>
        <w:t xml:space="preserve"> sole</w:t>
      </w:r>
      <w:r w:rsidRPr="00C86C69">
        <w:rPr>
          <w:rFonts w:ascii="Aptos" w:hAnsi="Aptos"/>
          <w:sz w:val="25"/>
          <w:szCs w:val="25"/>
        </w:rPr>
        <w:t xml:space="preserve"> issue set forth for Hearing </w:t>
      </w:r>
      <w:r w:rsidR="00B557A2">
        <w:rPr>
          <w:rFonts w:ascii="Aptos" w:hAnsi="Aptos"/>
          <w:sz w:val="25"/>
          <w:szCs w:val="25"/>
        </w:rPr>
        <w:t>is</w:t>
      </w:r>
      <w:r w:rsidRPr="00C86C69">
        <w:rPr>
          <w:rFonts w:ascii="Aptos" w:hAnsi="Aptos"/>
          <w:sz w:val="25"/>
          <w:szCs w:val="25"/>
        </w:rPr>
        <w:t xml:space="preserve"> as follows:</w:t>
      </w:r>
      <w:bookmarkEnd w:id="1"/>
      <w:r w:rsidR="00B557A2">
        <w:rPr>
          <w:rFonts w:ascii="Aptos" w:hAnsi="Aptos"/>
          <w:sz w:val="25"/>
          <w:szCs w:val="25"/>
        </w:rPr>
        <w:t xml:space="preserve"> </w:t>
      </w:r>
      <w:r w:rsidR="00A33261">
        <w:rPr>
          <w:rFonts w:ascii="Aptos" w:hAnsi="Aptos"/>
          <w:sz w:val="25"/>
          <w:szCs w:val="25"/>
        </w:rPr>
        <w:t>w</w:t>
      </w:r>
      <w:r w:rsidR="00873AD7">
        <w:rPr>
          <w:rFonts w:ascii="Aptos" w:hAnsi="Aptos"/>
          <w:sz w:val="25"/>
          <w:szCs w:val="25"/>
        </w:rPr>
        <w:t>hether DESE</w:t>
      </w:r>
      <w:r w:rsidR="00B557A2">
        <w:rPr>
          <w:rFonts w:ascii="Aptos" w:hAnsi="Aptos"/>
          <w:sz w:val="25"/>
          <w:szCs w:val="25"/>
        </w:rPr>
        <w:t xml:space="preserve"> erred in assigning programmatic and financial responsibility for Student’s special education program to Foxborough in </w:t>
      </w:r>
      <w:r w:rsidR="00A33261">
        <w:rPr>
          <w:rFonts w:ascii="Aptos" w:hAnsi="Aptos"/>
          <w:sz w:val="25"/>
          <w:szCs w:val="25"/>
        </w:rPr>
        <w:t>the</w:t>
      </w:r>
      <w:r w:rsidR="00B557A2">
        <w:rPr>
          <w:rFonts w:ascii="Aptos" w:hAnsi="Aptos"/>
          <w:sz w:val="25"/>
          <w:szCs w:val="25"/>
        </w:rPr>
        <w:t xml:space="preserve"> Assignment of School Responsibility issued</w:t>
      </w:r>
      <w:r w:rsidR="00A33261">
        <w:rPr>
          <w:rFonts w:ascii="Aptos" w:hAnsi="Aptos"/>
          <w:sz w:val="25"/>
          <w:szCs w:val="25"/>
        </w:rPr>
        <w:t xml:space="preserve"> by the Department</w:t>
      </w:r>
      <w:r w:rsidR="00B557A2">
        <w:rPr>
          <w:rFonts w:ascii="Aptos" w:hAnsi="Aptos"/>
          <w:sz w:val="25"/>
          <w:szCs w:val="25"/>
        </w:rPr>
        <w:t xml:space="preserve"> on June 18, 2025.</w:t>
      </w:r>
    </w:p>
    <w:p w14:paraId="2AACD3B4" w14:textId="77777777" w:rsidR="00C86C69" w:rsidRPr="00C86C69" w:rsidRDefault="00C86C69" w:rsidP="00FA3068">
      <w:pPr>
        <w:pStyle w:val="NoSpacing"/>
        <w:rPr>
          <w:rFonts w:ascii="Aptos" w:hAnsi="Aptos" w:cs="Arial"/>
          <w:sz w:val="25"/>
          <w:szCs w:val="25"/>
        </w:rPr>
      </w:pPr>
    </w:p>
    <w:p w14:paraId="39F78A35" w14:textId="7D288E5A" w:rsidR="00E632F0" w:rsidRDefault="002564A8" w:rsidP="00E632F0">
      <w:pPr>
        <w:pStyle w:val="ListParagraph"/>
        <w:numPr>
          <w:ilvl w:val="0"/>
          <w:numId w:val="7"/>
        </w:numPr>
        <w:spacing w:after="100" w:afterAutospacing="1"/>
        <w:rPr>
          <w:rFonts w:ascii="Aptos" w:hAnsi="Aptos"/>
          <w:b/>
          <w:bCs/>
          <w:sz w:val="25"/>
          <w:szCs w:val="25"/>
        </w:rPr>
      </w:pPr>
      <w:r w:rsidRPr="00027026">
        <w:rPr>
          <w:rFonts w:ascii="Aptos" w:hAnsi="Aptos"/>
          <w:b/>
          <w:bCs/>
          <w:sz w:val="25"/>
          <w:szCs w:val="25"/>
        </w:rPr>
        <w:t>FINDINGS OF FACT</w:t>
      </w:r>
      <w:r w:rsidRPr="00857442">
        <w:rPr>
          <w:rStyle w:val="FootnoteReference"/>
          <w:rFonts w:ascii="Aptos" w:eastAsiaTheme="majorEastAsia" w:hAnsi="Aptos"/>
          <w:color w:val="000000"/>
          <w:sz w:val="25"/>
          <w:szCs w:val="25"/>
        </w:rPr>
        <w:footnoteReference w:id="4"/>
      </w:r>
    </w:p>
    <w:p w14:paraId="73E0701D" w14:textId="77777777" w:rsidR="00E632F0" w:rsidRPr="00E632F0" w:rsidRDefault="00E632F0" w:rsidP="00E632F0">
      <w:pPr>
        <w:pStyle w:val="ListParagraph"/>
        <w:spacing w:after="100" w:afterAutospacing="1"/>
        <w:ind w:left="1080"/>
        <w:rPr>
          <w:rFonts w:ascii="Aptos" w:hAnsi="Aptos"/>
          <w:b/>
          <w:bCs/>
          <w:sz w:val="25"/>
          <w:szCs w:val="25"/>
        </w:rPr>
      </w:pPr>
    </w:p>
    <w:p w14:paraId="5B36E47D" w14:textId="50F50334" w:rsidR="00431DB3" w:rsidRDefault="00647A55" w:rsidP="00A31635">
      <w:pPr>
        <w:pStyle w:val="ListParagraph"/>
        <w:numPr>
          <w:ilvl w:val="0"/>
          <w:numId w:val="30"/>
        </w:numPr>
        <w:spacing w:after="120"/>
        <w:ind w:left="360"/>
        <w:rPr>
          <w:rFonts w:ascii="Aptos" w:hAnsi="Aptos"/>
          <w:sz w:val="25"/>
          <w:szCs w:val="25"/>
        </w:rPr>
      </w:pPr>
      <w:r>
        <w:rPr>
          <w:rFonts w:ascii="Aptos" w:hAnsi="Aptos"/>
          <w:sz w:val="25"/>
          <w:szCs w:val="25"/>
        </w:rPr>
        <w:t xml:space="preserve">Student is </w:t>
      </w:r>
      <w:r w:rsidR="00431DB3">
        <w:rPr>
          <w:rFonts w:ascii="Aptos" w:hAnsi="Aptos"/>
          <w:sz w:val="25"/>
          <w:szCs w:val="25"/>
        </w:rPr>
        <w:t xml:space="preserve">17 years old. Prior to February 3, 2025, Student resided with her mother (Mother) in Norwood, Massachusetts. </w:t>
      </w:r>
      <w:r w:rsidR="0028433D">
        <w:rPr>
          <w:rFonts w:ascii="Aptos" w:hAnsi="Aptos"/>
          <w:sz w:val="25"/>
          <w:szCs w:val="25"/>
        </w:rPr>
        <w:t>Mother hold</w:t>
      </w:r>
      <w:r w:rsidR="00256EC8">
        <w:rPr>
          <w:rFonts w:ascii="Aptos" w:hAnsi="Aptos"/>
          <w:sz w:val="25"/>
          <w:szCs w:val="25"/>
        </w:rPr>
        <w:t>s</w:t>
      </w:r>
      <w:r w:rsidR="0028433D">
        <w:rPr>
          <w:rFonts w:ascii="Aptos" w:hAnsi="Aptos"/>
          <w:sz w:val="25"/>
          <w:szCs w:val="25"/>
        </w:rPr>
        <w:t xml:space="preserve"> full custody of </w:t>
      </w:r>
      <w:r w:rsidR="00431DB3">
        <w:rPr>
          <w:rFonts w:ascii="Aptos" w:hAnsi="Aptos"/>
          <w:sz w:val="25"/>
          <w:szCs w:val="25"/>
        </w:rPr>
        <w:t>S</w:t>
      </w:r>
      <w:r w:rsidR="0028433D">
        <w:rPr>
          <w:rFonts w:ascii="Aptos" w:hAnsi="Aptos"/>
          <w:sz w:val="25"/>
          <w:szCs w:val="25"/>
        </w:rPr>
        <w:t>tudent, who</w:t>
      </w:r>
      <w:r w:rsidR="00431DB3">
        <w:rPr>
          <w:rFonts w:ascii="Aptos" w:hAnsi="Aptos"/>
          <w:sz w:val="25"/>
          <w:szCs w:val="25"/>
        </w:rPr>
        <w:t xml:space="preserve"> </w:t>
      </w:r>
      <w:r w:rsidR="00E266E0">
        <w:rPr>
          <w:rFonts w:ascii="Aptos" w:hAnsi="Aptos"/>
          <w:sz w:val="25"/>
          <w:szCs w:val="25"/>
        </w:rPr>
        <w:t>was enrolled in</w:t>
      </w:r>
      <w:r w:rsidR="00431DB3">
        <w:rPr>
          <w:rFonts w:ascii="Aptos" w:hAnsi="Aptos"/>
          <w:sz w:val="25"/>
          <w:szCs w:val="25"/>
        </w:rPr>
        <w:t xml:space="preserve"> NPS from 2013 to 2025.</w:t>
      </w:r>
      <w:r w:rsidR="00203895">
        <w:rPr>
          <w:rFonts w:ascii="Aptos" w:hAnsi="Aptos"/>
          <w:sz w:val="25"/>
          <w:szCs w:val="25"/>
        </w:rPr>
        <w:t xml:space="preserve"> </w:t>
      </w:r>
      <w:r w:rsidR="00256EC8">
        <w:rPr>
          <w:rFonts w:ascii="Aptos" w:hAnsi="Aptos"/>
          <w:sz w:val="25"/>
          <w:szCs w:val="25"/>
        </w:rPr>
        <w:t>On or about July 1, 2023,</w:t>
      </w:r>
      <w:r w:rsidR="00203895">
        <w:rPr>
          <w:rFonts w:ascii="Aptos" w:hAnsi="Aptos"/>
          <w:sz w:val="25"/>
          <w:szCs w:val="25"/>
        </w:rPr>
        <w:t xml:space="preserve"> Norwood placed Student in an out-of-district placement, pursuant to an</w:t>
      </w:r>
      <w:r w:rsidR="00D15FA9">
        <w:rPr>
          <w:rFonts w:ascii="Aptos" w:hAnsi="Aptos"/>
          <w:sz w:val="25"/>
          <w:szCs w:val="25"/>
        </w:rPr>
        <w:t xml:space="preserve"> accepted</w:t>
      </w:r>
      <w:r w:rsidR="00203895">
        <w:rPr>
          <w:rFonts w:ascii="Aptos" w:hAnsi="Aptos"/>
          <w:sz w:val="25"/>
          <w:szCs w:val="25"/>
        </w:rPr>
        <w:t xml:space="preserve"> individualized education program (IEP).</w:t>
      </w:r>
      <w:r w:rsidR="00F1079B">
        <w:rPr>
          <w:rStyle w:val="FootnoteReference"/>
          <w:rFonts w:ascii="Aptos" w:hAnsi="Aptos"/>
          <w:sz w:val="25"/>
          <w:szCs w:val="25"/>
        </w:rPr>
        <w:footnoteReference w:id="5"/>
      </w:r>
      <w:r w:rsidR="00203895">
        <w:rPr>
          <w:rFonts w:ascii="Aptos" w:hAnsi="Aptos"/>
          <w:sz w:val="25"/>
          <w:szCs w:val="25"/>
        </w:rPr>
        <w:t xml:space="preserve"> Norwood provided </w:t>
      </w:r>
      <w:r w:rsidR="009F1125">
        <w:rPr>
          <w:rFonts w:ascii="Aptos" w:hAnsi="Aptos"/>
          <w:sz w:val="25"/>
          <w:szCs w:val="25"/>
        </w:rPr>
        <w:t xml:space="preserve">door-to-door </w:t>
      </w:r>
      <w:r w:rsidR="00203895">
        <w:rPr>
          <w:rFonts w:ascii="Aptos" w:hAnsi="Aptos"/>
          <w:sz w:val="25"/>
          <w:szCs w:val="25"/>
        </w:rPr>
        <w:t>regular transportation for Student from Mother’s address to her out-of-district placement, as Student</w:t>
      </w:r>
      <w:r w:rsidR="009F1125">
        <w:rPr>
          <w:rFonts w:ascii="Aptos" w:hAnsi="Aptos"/>
          <w:sz w:val="25"/>
          <w:szCs w:val="25"/>
        </w:rPr>
        <w:t>’s</w:t>
      </w:r>
      <w:r w:rsidR="00203895">
        <w:rPr>
          <w:rFonts w:ascii="Aptos" w:hAnsi="Aptos"/>
          <w:sz w:val="25"/>
          <w:szCs w:val="25"/>
        </w:rPr>
        <w:t xml:space="preserve"> IEP did not and does not provide for specialized transportation, </w:t>
      </w:r>
      <w:r w:rsidR="00431DB3">
        <w:rPr>
          <w:rFonts w:ascii="Aptos" w:hAnsi="Aptos"/>
          <w:sz w:val="25"/>
          <w:szCs w:val="25"/>
        </w:rPr>
        <w:t>(F-1</w:t>
      </w:r>
      <w:r w:rsidR="0028433D">
        <w:rPr>
          <w:rFonts w:ascii="Aptos" w:hAnsi="Aptos"/>
          <w:sz w:val="25"/>
          <w:szCs w:val="25"/>
        </w:rPr>
        <w:t>, F-4</w:t>
      </w:r>
      <w:r w:rsidR="00DA621A">
        <w:rPr>
          <w:rFonts w:ascii="Aptos" w:hAnsi="Aptos"/>
          <w:sz w:val="25"/>
          <w:szCs w:val="25"/>
        </w:rPr>
        <w:t>; D-1</w:t>
      </w:r>
      <w:r w:rsidR="003F3D55">
        <w:rPr>
          <w:rFonts w:ascii="Aptos" w:hAnsi="Aptos"/>
          <w:sz w:val="25"/>
          <w:szCs w:val="25"/>
        </w:rPr>
        <w:t>, D-4</w:t>
      </w:r>
      <w:r w:rsidR="00C714D8">
        <w:rPr>
          <w:rFonts w:ascii="Aptos" w:hAnsi="Aptos"/>
          <w:sz w:val="25"/>
          <w:szCs w:val="25"/>
        </w:rPr>
        <w:t>, D-13A,</w:t>
      </w:r>
      <w:r w:rsidR="00D15FA9">
        <w:rPr>
          <w:rFonts w:ascii="Aptos" w:hAnsi="Aptos"/>
          <w:sz w:val="25"/>
          <w:szCs w:val="25"/>
        </w:rPr>
        <w:t xml:space="preserve"> D-14</w:t>
      </w:r>
      <w:r w:rsidR="006C45E1">
        <w:rPr>
          <w:rFonts w:ascii="Aptos" w:hAnsi="Aptos"/>
          <w:sz w:val="25"/>
          <w:szCs w:val="25"/>
        </w:rPr>
        <w:t>; N-1</w:t>
      </w:r>
      <w:r w:rsidR="00431DB3">
        <w:rPr>
          <w:rFonts w:ascii="Aptos" w:hAnsi="Aptos"/>
          <w:sz w:val="25"/>
          <w:szCs w:val="25"/>
        </w:rPr>
        <w:t>)</w:t>
      </w:r>
    </w:p>
    <w:p w14:paraId="758BA8CE" w14:textId="77777777" w:rsidR="00A31635" w:rsidRPr="00A31635" w:rsidRDefault="00A31635" w:rsidP="00A31635">
      <w:pPr>
        <w:pStyle w:val="ListParagraph"/>
        <w:spacing w:after="120"/>
        <w:ind w:left="360"/>
        <w:rPr>
          <w:rFonts w:ascii="Aptos" w:hAnsi="Aptos"/>
          <w:sz w:val="12"/>
          <w:szCs w:val="12"/>
        </w:rPr>
      </w:pPr>
    </w:p>
    <w:p w14:paraId="37B96DF1" w14:textId="60832871" w:rsidR="00A31635" w:rsidRDefault="00431DB3" w:rsidP="00A31635">
      <w:pPr>
        <w:pStyle w:val="ListParagraph"/>
        <w:numPr>
          <w:ilvl w:val="0"/>
          <w:numId w:val="30"/>
        </w:numPr>
        <w:ind w:left="360"/>
        <w:rPr>
          <w:rFonts w:ascii="Aptos" w:hAnsi="Aptos"/>
          <w:sz w:val="25"/>
          <w:szCs w:val="25"/>
        </w:rPr>
      </w:pPr>
      <w:r>
        <w:rPr>
          <w:rFonts w:ascii="Aptos" w:hAnsi="Aptos"/>
          <w:sz w:val="25"/>
          <w:szCs w:val="25"/>
        </w:rPr>
        <w:t>Student has been living with her father (Father) at Hotel</w:t>
      </w:r>
      <w:r w:rsidR="00E266E0">
        <w:rPr>
          <w:rFonts w:ascii="Aptos" w:hAnsi="Aptos"/>
          <w:sz w:val="25"/>
          <w:szCs w:val="25"/>
        </w:rPr>
        <w:t xml:space="preserve"> </w:t>
      </w:r>
      <w:r w:rsidR="00203895">
        <w:rPr>
          <w:rFonts w:ascii="Aptos" w:hAnsi="Aptos"/>
          <w:sz w:val="25"/>
          <w:szCs w:val="25"/>
        </w:rPr>
        <w:t xml:space="preserve">in Foxborough </w:t>
      </w:r>
      <w:r w:rsidR="00E266E0">
        <w:rPr>
          <w:rFonts w:ascii="Aptos" w:hAnsi="Aptos"/>
          <w:sz w:val="25"/>
          <w:szCs w:val="25"/>
        </w:rPr>
        <w:t xml:space="preserve">since on or about </w:t>
      </w:r>
      <w:r>
        <w:rPr>
          <w:rFonts w:ascii="Aptos" w:hAnsi="Aptos"/>
          <w:sz w:val="25"/>
          <w:szCs w:val="25"/>
        </w:rPr>
        <w:t>February 3, 2025.</w:t>
      </w:r>
      <w:r w:rsidR="00DB7B30">
        <w:rPr>
          <w:rStyle w:val="FootnoteReference"/>
          <w:rFonts w:ascii="Aptos" w:hAnsi="Aptos"/>
          <w:sz w:val="25"/>
          <w:szCs w:val="25"/>
        </w:rPr>
        <w:footnoteReference w:id="6"/>
      </w:r>
      <w:r>
        <w:rPr>
          <w:rFonts w:ascii="Aptos" w:hAnsi="Aptos"/>
          <w:sz w:val="25"/>
          <w:szCs w:val="25"/>
        </w:rPr>
        <w:t xml:space="preserve"> (F-1</w:t>
      </w:r>
      <w:r w:rsidR="00DA621A">
        <w:rPr>
          <w:rFonts w:ascii="Aptos" w:hAnsi="Aptos"/>
          <w:sz w:val="25"/>
          <w:szCs w:val="25"/>
        </w:rPr>
        <w:t>; D-1</w:t>
      </w:r>
      <w:r>
        <w:rPr>
          <w:rFonts w:ascii="Aptos" w:hAnsi="Aptos"/>
          <w:sz w:val="25"/>
          <w:szCs w:val="25"/>
        </w:rPr>
        <w:t>)</w:t>
      </w:r>
    </w:p>
    <w:p w14:paraId="4A4ACFAF" w14:textId="77777777" w:rsidR="00A31635" w:rsidRPr="00A31635" w:rsidRDefault="00A31635" w:rsidP="00A31635">
      <w:pPr>
        <w:rPr>
          <w:rFonts w:ascii="Aptos" w:hAnsi="Aptos"/>
          <w:sz w:val="12"/>
          <w:szCs w:val="12"/>
        </w:rPr>
      </w:pPr>
    </w:p>
    <w:p w14:paraId="2B4BA981" w14:textId="6C511DDC" w:rsidR="00431DB3" w:rsidRDefault="00431DB3" w:rsidP="00A31635">
      <w:pPr>
        <w:pStyle w:val="ListParagraph"/>
        <w:numPr>
          <w:ilvl w:val="0"/>
          <w:numId w:val="30"/>
        </w:numPr>
        <w:ind w:left="360"/>
        <w:rPr>
          <w:rFonts w:ascii="Aptos" w:hAnsi="Aptos"/>
          <w:sz w:val="25"/>
          <w:szCs w:val="25"/>
        </w:rPr>
      </w:pPr>
      <w:r>
        <w:rPr>
          <w:rFonts w:ascii="Aptos" w:hAnsi="Aptos"/>
          <w:sz w:val="25"/>
          <w:szCs w:val="25"/>
        </w:rPr>
        <w:t xml:space="preserve">Although Student </w:t>
      </w:r>
      <w:r w:rsidR="008E4F40">
        <w:rPr>
          <w:rFonts w:ascii="Aptos" w:hAnsi="Aptos"/>
          <w:sz w:val="25"/>
          <w:szCs w:val="25"/>
        </w:rPr>
        <w:t>was not, and is</w:t>
      </w:r>
      <w:r>
        <w:rPr>
          <w:rFonts w:ascii="Aptos" w:hAnsi="Aptos"/>
          <w:sz w:val="25"/>
          <w:szCs w:val="25"/>
        </w:rPr>
        <w:t xml:space="preserve"> not</w:t>
      </w:r>
      <w:r w:rsidR="008E4F40">
        <w:rPr>
          <w:rFonts w:ascii="Aptos" w:hAnsi="Aptos"/>
          <w:sz w:val="25"/>
          <w:szCs w:val="25"/>
        </w:rPr>
        <w:t>,</w:t>
      </w:r>
      <w:r>
        <w:rPr>
          <w:rFonts w:ascii="Aptos" w:hAnsi="Aptos"/>
          <w:sz w:val="25"/>
          <w:szCs w:val="25"/>
        </w:rPr>
        <w:t xml:space="preserve"> in DCF custody, DCF </w:t>
      </w:r>
      <w:proofErr w:type="gramStart"/>
      <w:r>
        <w:rPr>
          <w:rFonts w:ascii="Aptos" w:hAnsi="Aptos"/>
          <w:sz w:val="25"/>
          <w:szCs w:val="25"/>
        </w:rPr>
        <w:t>provided assistance to</w:t>
      </w:r>
      <w:proofErr w:type="gramEnd"/>
      <w:r>
        <w:rPr>
          <w:rFonts w:ascii="Aptos" w:hAnsi="Aptos"/>
          <w:sz w:val="25"/>
          <w:szCs w:val="25"/>
        </w:rPr>
        <w:t xml:space="preserve"> her and helped facilitate </w:t>
      </w:r>
      <w:r w:rsidR="008E4F40">
        <w:rPr>
          <w:rFonts w:ascii="Aptos" w:hAnsi="Aptos"/>
          <w:sz w:val="25"/>
          <w:szCs w:val="25"/>
        </w:rPr>
        <w:t>her</w:t>
      </w:r>
      <w:r>
        <w:rPr>
          <w:rFonts w:ascii="Aptos" w:hAnsi="Aptos"/>
          <w:sz w:val="25"/>
          <w:szCs w:val="25"/>
        </w:rPr>
        <w:t xml:space="preserve"> relocation to Foxborough. Mother and Father assented to </w:t>
      </w:r>
      <w:r w:rsidR="00873AD7">
        <w:rPr>
          <w:rFonts w:ascii="Aptos" w:hAnsi="Aptos"/>
          <w:sz w:val="25"/>
          <w:szCs w:val="25"/>
        </w:rPr>
        <w:t>t</w:t>
      </w:r>
      <w:r>
        <w:rPr>
          <w:rFonts w:ascii="Aptos" w:hAnsi="Aptos"/>
          <w:sz w:val="25"/>
          <w:szCs w:val="25"/>
        </w:rPr>
        <w:t>his arrangement</w:t>
      </w:r>
      <w:r w:rsidR="00037DEB">
        <w:rPr>
          <w:rFonts w:ascii="Aptos" w:hAnsi="Aptos"/>
          <w:sz w:val="25"/>
          <w:szCs w:val="25"/>
        </w:rPr>
        <w:t xml:space="preserve">. </w:t>
      </w:r>
      <w:r>
        <w:rPr>
          <w:rFonts w:ascii="Aptos" w:hAnsi="Aptos"/>
          <w:sz w:val="25"/>
          <w:szCs w:val="25"/>
        </w:rPr>
        <w:t>Mother signed an undated caregiver authorization affidavit that names Father as Student’s lawful caregiver</w:t>
      </w:r>
      <w:r w:rsidR="00037DEB">
        <w:rPr>
          <w:rFonts w:ascii="Aptos" w:hAnsi="Aptos"/>
          <w:sz w:val="25"/>
          <w:szCs w:val="25"/>
        </w:rPr>
        <w:t xml:space="preserve"> and lists his address at Hotel</w:t>
      </w:r>
      <w:r>
        <w:rPr>
          <w:rFonts w:ascii="Aptos" w:hAnsi="Aptos"/>
          <w:sz w:val="25"/>
          <w:szCs w:val="25"/>
        </w:rPr>
        <w:t xml:space="preserve">. </w:t>
      </w:r>
      <w:r w:rsidR="00E266E0">
        <w:rPr>
          <w:rFonts w:ascii="Aptos" w:hAnsi="Aptos"/>
          <w:sz w:val="25"/>
          <w:szCs w:val="25"/>
        </w:rPr>
        <w:t>There is no evidence to suggest that Mother’s parental rights have been terminated</w:t>
      </w:r>
      <w:r w:rsidR="00A33261">
        <w:rPr>
          <w:rFonts w:ascii="Aptos" w:hAnsi="Aptos"/>
          <w:sz w:val="25"/>
          <w:szCs w:val="25"/>
        </w:rPr>
        <w:t xml:space="preserve"> or otherwise limited</w:t>
      </w:r>
      <w:r w:rsidR="00E266E0">
        <w:rPr>
          <w:rFonts w:ascii="Aptos" w:hAnsi="Aptos"/>
          <w:sz w:val="25"/>
          <w:szCs w:val="25"/>
        </w:rPr>
        <w:t xml:space="preserve">. </w:t>
      </w:r>
      <w:r>
        <w:rPr>
          <w:rFonts w:ascii="Aptos" w:hAnsi="Aptos"/>
          <w:sz w:val="25"/>
          <w:szCs w:val="25"/>
        </w:rPr>
        <w:t>(F-1</w:t>
      </w:r>
      <w:r w:rsidR="00037DEB">
        <w:rPr>
          <w:rFonts w:ascii="Aptos" w:hAnsi="Aptos"/>
          <w:sz w:val="25"/>
          <w:szCs w:val="25"/>
        </w:rPr>
        <w:t>, F-2</w:t>
      </w:r>
      <w:r w:rsidR="00E266E0">
        <w:rPr>
          <w:rFonts w:ascii="Aptos" w:hAnsi="Aptos"/>
          <w:sz w:val="25"/>
          <w:szCs w:val="25"/>
        </w:rPr>
        <w:t>, F-4</w:t>
      </w:r>
      <w:r w:rsidR="00DA621A">
        <w:rPr>
          <w:rFonts w:ascii="Aptos" w:hAnsi="Aptos"/>
          <w:sz w:val="25"/>
          <w:szCs w:val="25"/>
        </w:rPr>
        <w:t>; D-1</w:t>
      </w:r>
      <w:r w:rsidR="00DB2690">
        <w:rPr>
          <w:rFonts w:ascii="Aptos" w:hAnsi="Aptos"/>
          <w:sz w:val="25"/>
          <w:szCs w:val="25"/>
        </w:rPr>
        <w:t xml:space="preserve">, </w:t>
      </w:r>
      <w:r w:rsidR="00DA621A">
        <w:rPr>
          <w:rFonts w:ascii="Aptos" w:hAnsi="Aptos"/>
          <w:sz w:val="25"/>
          <w:szCs w:val="25"/>
        </w:rPr>
        <w:t>D-3</w:t>
      </w:r>
      <w:r w:rsidR="00DB2690">
        <w:rPr>
          <w:rFonts w:ascii="Aptos" w:hAnsi="Aptos"/>
          <w:sz w:val="25"/>
          <w:szCs w:val="25"/>
        </w:rPr>
        <w:t>, D-11</w:t>
      </w:r>
      <w:r>
        <w:rPr>
          <w:rFonts w:ascii="Aptos" w:hAnsi="Aptos"/>
          <w:sz w:val="25"/>
          <w:szCs w:val="25"/>
        </w:rPr>
        <w:t>)</w:t>
      </w:r>
    </w:p>
    <w:p w14:paraId="70D8AE38" w14:textId="77777777" w:rsidR="0067424F" w:rsidRPr="0067424F" w:rsidRDefault="0067424F" w:rsidP="0067424F">
      <w:pPr>
        <w:pStyle w:val="ListParagraph"/>
        <w:rPr>
          <w:rFonts w:ascii="Aptos" w:hAnsi="Aptos"/>
          <w:sz w:val="12"/>
          <w:szCs w:val="12"/>
        </w:rPr>
      </w:pPr>
    </w:p>
    <w:p w14:paraId="3C649088" w14:textId="7EEF0A8D" w:rsidR="0067424F" w:rsidRPr="0067424F" w:rsidRDefault="0067424F" w:rsidP="0067424F">
      <w:pPr>
        <w:pStyle w:val="ListParagraph"/>
        <w:numPr>
          <w:ilvl w:val="0"/>
          <w:numId w:val="30"/>
        </w:numPr>
        <w:ind w:left="360"/>
        <w:rPr>
          <w:rFonts w:ascii="Aptos" w:hAnsi="Aptos"/>
          <w:sz w:val="25"/>
          <w:szCs w:val="25"/>
        </w:rPr>
      </w:pPr>
      <w:r>
        <w:rPr>
          <w:rFonts w:ascii="Aptos" w:hAnsi="Aptos"/>
          <w:sz w:val="25"/>
          <w:szCs w:val="25"/>
        </w:rPr>
        <w:t>Father has been living at Hotel since November 2021 and, as of June 18, 2025, ha</w:t>
      </w:r>
      <w:r w:rsidR="00A33261">
        <w:rPr>
          <w:rFonts w:ascii="Aptos" w:hAnsi="Aptos"/>
          <w:sz w:val="25"/>
          <w:szCs w:val="25"/>
        </w:rPr>
        <w:t>d been</w:t>
      </w:r>
      <w:r>
        <w:rPr>
          <w:rFonts w:ascii="Aptos" w:hAnsi="Aptos"/>
          <w:sz w:val="25"/>
          <w:szCs w:val="25"/>
        </w:rPr>
        <w:t xml:space="preserve"> rent</w:t>
      </w:r>
      <w:r w:rsidR="00A33261">
        <w:rPr>
          <w:rFonts w:ascii="Aptos" w:hAnsi="Aptos"/>
          <w:sz w:val="25"/>
          <w:szCs w:val="25"/>
        </w:rPr>
        <w:t>ing</w:t>
      </w:r>
      <w:r>
        <w:rPr>
          <w:rFonts w:ascii="Aptos" w:hAnsi="Aptos"/>
          <w:sz w:val="25"/>
          <w:szCs w:val="25"/>
        </w:rPr>
        <w:t xml:space="preserve"> the same un</w:t>
      </w:r>
      <w:r w:rsidR="00873AD7">
        <w:rPr>
          <w:rFonts w:ascii="Aptos" w:hAnsi="Aptos"/>
          <w:sz w:val="25"/>
          <w:szCs w:val="25"/>
        </w:rPr>
        <w:t>it</w:t>
      </w:r>
      <w:r>
        <w:rPr>
          <w:rFonts w:ascii="Aptos" w:hAnsi="Aptos"/>
          <w:sz w:val="25"/>
          <w:szCs w:val="25"/>
        </w:rPr>
        <w:t xml:space="preserve"> for approximately 3.5 years. He pays a weekly rent amount of $375, which includes utilities.</w:t>
      </w:r>
      <w:r w:rsidR="00920003">
        <w:rPr>
          <w:rStyle w:val="FootnoteReference"/>
          <w:rFonts w:ascii="Aptos" w:hAnsi="Aptos"/>
          <w:sz w:val="25"/>
          <w:szCs w:val="25"/>
        </w:rPr>
        <w:footnoteReference w:id="7"/>
      </w:r>
      <w:r>
        <w:rPr>
          <w:rFonts w:ascii="Aptos" w:hAnsi="Aptos"/>
          <w:sz w:val="25"/>
          <w:szCs w:val="25"/>
        </w:rPr>
        <w:t xml:space="preserve"> (F-1</w:t>
      </w:r>
      <w:r w:rsidR="00F1079B">
        <w:rPr>
          <w:rFonts w:ascii="Aptos" w:hAnsi="Aptos"/>
          <w:sz w:val="25"/>
          <w:szCs w:val="25"/>
        </w:rPr>
        <w:t>, F-4</w:t>
      </w:r>
      <w:r w:rsidR="00DA621A">
        <w:rPr>
          <w:rFonts w:ascii="Aptos" w:hAnsi="Aptos"/>
          <w:sz w:val="25"/>
          <w:szCs w:val="25"/>
        </w:rPr>
        <w:t>; D-1</w:t>
      </w:r>
      <w:r w:rsidR="00257782">
        <w:rPr>
          <w:rFonts w:ascii="Aptos" w:hAnsi="Aptos"/>
          <w:sz w:val="25"/>
          <w:szCs w:val="25"/>
        </w:rPr>
        <w:t>, D-6, D-7</w:t>
      </w:r>
      <w:r w:rsidR="00C714D8">
        <w:rPr>
          <w:rFonts w:ascii="Aptos" w:hAnsi="Aptos"/>
          <w:sz w:val="25"/>
          <w:szCs w:val="25"/>
        </w:rPr>
        <w:t>, D-13</w:t>
      </w:r>
      <w:r w:rsidR="00F1079B">
        <w:rPr>
          <w:rFonts w:ascii="Aptos" w:hAnsi="Aptos"/>
          <w:sz w:val="25"/>
          <w:szCs w:val="25"/>
        </w:rPr>
        <w:t>)</w:t>
      </w:r>
    </w:p>
    <w:p w14:paraId="6D68E58E" w14:textId="77777777" w:rsidR="0067424F" w:rsidRPr="0067424F" w:rsidRDefault="0067424F" w:rsidP="0067424F">
      <w:pPr>
        <w:rPr>
          <w:rFonts w:ascii="Aptos" w:hAnsi="Aptos"/>
          <w:sz w:val="12"/>
          <w:szCs w:val="12"/>
        </w:rPr>
      </w:pPr>
    </w:p>
    <w:p w14:paraId="135CF967" w14:textId="07D8932E" w:rsidR="0067424F" w:rsidRPr="0067424F" w:rsidRDefault="0067424F" w:rsidP="0067424F">
      <w:pPr>
        <w:pStyle w:val="ListParagraph"/>
        <w:numPr>
          <w:ilvl w:val="0"/>
          <w:numId w:val="30"/>
        </w:numPr>
        <w:spacing w:after="120"/>
        <w:ind w:left="360"/>
        <w:rPr>
          <w:rFonts w:ascii="Aptos" w:hAnsi="Aptos"/>
          <w:sz w:val="25"/>
          <w:szCs w:val="25"/>
        </w:rPr>
      </w:pPr>
      <w:r>
        <w:rPr>
          <w:rFonts w:ascii="Aptos" w:hAnsi="Aptos"/>
          <w:sz w:val="25"/>
          <w:szCs w:val="25"/>
        </w:rPr>
        <w:t>The hotel unit features amenities such as a kitchen, including a sink, stove, and refrigerator; a full bathroom; and a bedroom.</w:t>
      </w:r>
      <w:r w:rsidR="00C714D8">
        <w:rPr>
          <w:rStyle w:val="FootnoteReference"/>
          <w:rFonts w:ascii="Aptos" w:hAnsi="Aptos"/>
          <w:sz w:val="25"/>
          <w:szCs w:val="25"/>
        </w:rPr>
        <w:footnoteReference w:id="8"/>
      </w:r>
      <w:r>
        <w:rPr>
          <w:rFonts w:ascii="Aptos" w:hAnsi="Aptos"/>
          <w:sz w:val="25"/>
          <w:szCs w:val="25"/>
        </w:rPr>
        <w:t xml:space="preserve"> Father occupies the bedroom. Student has a twin bed in the open living/dining area. (F-1</w:t>
      </w:r>
      <w:r w:rsidR="00DA621A">
        <w:rPr>
          <w:rFonts w:ascii="Aptos" w:hAnsi="Aptos"/>
          <w:sz w:val="25"/>
          <w:szCs w:val="25"/>
        </w:rPr>
        <w:t>; D-1</w:t>
      </w:r>
      <w:r w:rsidR="00C714D8">
        <w:rPr>
          <w:rFonts w:ascii="Aptos" w:hAnsi="Aptos"/>
          <w:sz w:val="25"/>
          <w:szCs w:val="25"/>
        </w:rPr>
        <w:t>, D-13A</w:t>
      </w:r>
      <w:r w:rsidR="00CB5523">
        <w:rPr>
          <w:rFonts w:ascii="Aptos" w:hAnsi="Aptos"/>
          <w:sz w:val="25"/>
          <w:szCs w:val="25"/>
        </w:rPr>
        <w:t>, D-17</w:t>
      </w:r>
      <w:r w:rsidR="006C45E1">
        <w:rPr>
          <w:rFonts w:ascii="Aptos" w:hAnsi="Aptos"/>
          <w:sz w:val="25"/>
          <w:szCs w:val="25"/>
        </w:rPr>
        <w:t>; N-1</w:t>
      </w:r>
      <w:r w:rsidR="00632C4C">
        <w:rPr>
          <w:rFonts w:ascii="Aptos" w:hAnsi="Aptos"/>
          <w:sz w:val="25"/>
          <w:szCs w:val="25"/>
        </w:rPr>
        <w:t>, N-2</w:t>
      </w:r>
      <w:r>
        <w:rPr>
          <w:rFonts w:ascii="Aptos" w:hAnsi="Aptos"/>
          <w:sz w:val="25"/>
          <w:szCs w:val="25"/>
        </w:rPr>
        <w:t>)</w:t>
      </w:r>
    </w:p>
    <w:p w14:paraId="77CBFAFC" w14:textId="77777777" w:rsidR="0067424F" w:rsidRPr="0067424F" w:rsidRDefault="0067424F" w:rsidP="0067424F">
      <w:pPr>
        <w:pStyle w:val="ListParagraph"/>
        <w:rPr>
          <w:rFonts w:ascii="Aptos" w:hAnsi="Aptos"/>
          <w:sz w:val="12"/>
          <w:szCs w:val="12"/>
        </w:rPr>
      </w:pPr>
    </w:p>
    <w:p w14:paraId="2EB52EAA" w14:textId="15C20D0B" w:rsidR="0067424F" w:rsidRDefault="0067424F" w:rsidP="0067424F">
      <w:pPr>
        <w:pStyle w:val="ListParagraph"/>
        <w:numPr>
          <w:ilvl w:val="0"/>
          <w:numId w:val="30"/>
        </w:numPr>
        <w:spacing w:after="120"/>
        <w:ind w:left="360"/>
        <w:rPr>
          <w:rFonts w:ascii="Aptos" w:hAnsi="Aptos"/>
          <w:sz w:val="25"/>
          <w:szCs w:val="25"/>
        </w:rPr>
      </w:pPr>
      <w:r>
        <w:rPr>
          <w:rFonts w:ascii="Aptos" w:hAnsi="Aptos"/>
          <w:sz w:val="25"/>
          <w:szCs w:val="25"/>
        </w:rPr>
        <w:t xml:space="preserve">Father receives </w:t>
      </w:r>
      <w:r w:rsidR="00F1079B">
        <w:rPr>
          <w:rFonts w:ascii="Aptos" w:hAnsi="Aptos"/>
          <w:sz w:val="25"/>
          <w:szCs w:val="25"/>
        </w:rPr>
        <w:t xml:space="preserve">all </w:t>
      </w:r>
      <w:r>
        <w:rPr>
          <w:rFonts w:ascii="Aptos" w:hAnsi="Aptos"/>
          <w:sz w:val="25"/>
          <w:szCs w:val="25"/>
        </w:rPr>
        <w:t>mail</w:t>
      </w:r>
      <w:r w:rsidR="00F1079B">
        <w:rPr>
          <w:rFonts w:ascii="Aptos" w:hAnsi="Aptos"/>
          <w:sz w:val="25"/>
          <w:szCs w:val="25"/>
        </w:rPr>
        <w:t xml:space="preserve"> and legal documents</w:t>
      </w:r>
      <w:r>
        <w:rPr>
          <w:rFonts w:ascii="Aptos" w:hAnsi="Aptos"/>
          <w:sz w:val="25"/>
          <w:szCs w:val="25"/>
        </w:rPr>
        <w:t xml:space="preserve">, including his automobile insurance bill, at a relative’s address in Plainville, Massachusetts. He communicated to </w:t>
      </w:r>
      <w:r w:rsidR="00F1079B">
        <w:rPr>
          <w:rFonts w:ascii="Aptos" w:hAnsi="Aptos"/>
          <w:sz w:val="25"/>
          <w:szCs w:val="25"/>
        </w:rPr>
        <w:t xml:space="preserve">Norwood and to </w:t>
      </w:r>
      <w:r>
        <w:rPr>
          <w:rFonts w:ascii="Aptos" w:hAnsi="Aptos"/>
          <w:sz w:val="25"/>
          <w:szCs w:val="25"/>
        </w:rPr>
        <w:t>DESE that this is for privacy. Father’s driver’s license lists the same Plainville address. (F-1, F-2, F-4</w:t>
      </w:r>
      <w:r w:rsidR="00DA621A">
        <w:rPr>
          <w:rFonts w:ascii="Aptos" w:hAnsi="Aptos"/>
          <w:sz w:val="25"/>
          <w:szCs w:val="25"/>
        </w:rPr>
        <w:t>; D-1</w:t>
      </w:r>
      <w:r w:rsidR="00257782">
        <w:rPr>
          <w:rFonts w:ascii="Aptos" w:hAnsi="Aptos"/>
          <w:sz w:val="25"/>
          <w:szCs w:val="25"/>
        </w:rPr>
        <w:t>, D-8, D-9</w:t>
      </w:r>
      <w:r w:rsidR="00C714D8">
        <w:rPr>
          <w:rFonts w:ascii="Aptos" w:hAnsi="Aptos"/>
          <w:sz w:val="25"/>
          <w:szCs w:val="25"/>
        </w:rPr>
        <w:t>, D-13A</w:t>
      </w:r>
      <w:r w:rsidR="006C45E1">
        <w:rPr>
          <w:rFonts w:ascii="Aptos" w:hAnsi="Aptos"/>
          <w:sz w:val="25"/>
          <w:szCs w:val="25"/>
        </w:rPr>
        <w:t>; N-1</w:t>
      </w:r>
      <w:r>
        <w:rPr>
          <w:rFonts w:ascii="Aptos" w:hAnsi="Aptos"/>
          <w:sz w:val="25"/>
          <w:szCs w:val="25"/>
        </w:rPr>
        <w:t>)</w:t>
      </w:r>
    </w:p>
    <w:p w14:paraId="27DA4AE8" w14:textId="77777777" w:rsidR="0067424F" w:rsidRPr="0067424F" w:rsidRDefault="0067424F" w:rsidP="0067424F">
      <w:pPr>
        <w:pStyle w:val="ListParagraph"/>
        <w:rPr>
          <w:rFonts w:ascii="Aptos" w:hAnsi="Aptos"/>
          <w:sz w:val="12"/>
          <w:szCs w:val="12"/>
        </w:rPr>
      </w:pPr>
    </w:p>
    <w:p w14:paraId="1E9DD3FD" w14:textId="30604E84" w:rsidR="0067424F" w:rsidRDefault="0067424F" w:rsidP="0067424F">
      <w:pPr>
        <w:pStyle w:val="ListParagraph"/>
        <w:numPr>
          <w:ilvl w:val="0"/>
          <w:numId w:val="30"/>
        </w:numPr>
        <w:spacing w:after="120"/>
        <w:ind w:left="360"/>
        <w:rPr>
          <w:rFonts w:ascii="Aptos" w:hAnsi="Aptos"/>
          <w:sz w:val="25"/>
          <w:szCs w:val="25"/>
        </w:rPr>
      </w:pPr>
      <w:r>
        <w:rPr>
          <w:rFonts w:ascii="Aptos" w:hAnsi="Aptos"/>
          <w:sz w:val="25"/>
          <w:szCs w:val="25"/>
        </w:rPr>
        <w:t>There is no evidence to suggest that Father chose to live in a hotel specifically due to a lack of alternative adequate accommodations. (F-1</w:t>
      </w:r>
      <w:r w:rsidR="00DA621A">
        <w:rPr>
          <w:rFonts w:ascii="Aptos" w:hAnsi="Aptos"/>
          <w:sz w:val="25"/>
          <w:szCs w:val="25"/>
        </w:rPr>
        <w:t>; D-1</w:t>
      </w:r>
      <w:r>
        <w:rPr>
          <w:rFonts w:ascii="Aptos" w:hAnsi="Aptos"/>
          <w:sz w:val="25"/>
          <w:szCs w:val="25"/>
        </w:rPr>
        <w:t>)</w:t>
      </w:r>
    </w:p>
    <w:p w14:paraId="76D8C629" w14:textId="77777777" w:rsidR="00DB7B30" w:rsidRPr="00920003" w:rsidRDefault="00DB7B30" w:rsidP="00DB7B30">
      <w:pPr>
        <w:pStyle w:val="ListParagraph"/>
        <w:rPr>
          <w:rFonts w:ascii="Aptos" w:hAnsi="Aptos"/>
          <w:sz w:val="12"/>
          <w:szCs w:val="12"/>
        </w:rPr>
      </w:pPr>
    </w:p>
    <w:p w14:paraId="2C132E02" w14:textId="44BB6DCB" w:rsidR="00DB7B30" w:rsidRDefault="008E4F40" w:rsidP="0067424F">
      <w:pPr>
        <w:pStyle w:val="ListParagraph"/>
        <w:numPr>
          <w:ilvl w:val="0"/>
          <w:numId w:val="30"/>
        </w:numPr>
        <w:spacing w:after="120"/>
        <w:ind w:left="360"/>
        <w:rPr>
          <w:rFonts w:ascii="Aptos" w:hAnsi="Aptos"/>
          <w:sz w:val="25"/>
          <w:szCs w:val="25"/>
        </w:rPr>
      </w:pPr>
      <w:r>
        <w:rPr>
          <w:rFonts w:ascii="Aptos" w:hAnsi="Aptos"/>
          <w:sz w:val="25"/>
          <w:szCs w:val="25"/>
        </w:rPr>
        <w:t>The Directors of Student Services from Norwood and Foxborough discussed this case at a virtual meeting o</w:t>
      </w:r>
      <w:r w:rsidR="00DB7B30">
        <w:rPr>
          <w:rFonts w:ascii="Aptos" w:hAnsi="Aptos"/>
          <w:sz w:val="25"/>
          <w:szCs w:val="25"/>
        </w:rPr>
        <w:t>n or about February 14, 2025</w:t>
      </w:r>
      <w:r w:rsidR="00920003">
        <w:rPr>
          <w:rFonts w:ascii="Aptos" w:hAnsi="Aptos"/>
          <w:sz w:val="25"/>
          <w:szCs w:val="25"/>
        </w:rPr>
        <w:t>. The Districts met again</w:t>
      </w:r>
      <w:r w:rsidR="004C50A7">
        <w:rPr>
          <w:rFonts w:ascii="Aptos" w:hAnsi="Aptos"/>
          <w:sz w:val="25"/>
          <w:szCs w:val="25"/>
        </w:rPr>
        <w:t xml:space="preserve"> on February 28, 2025</w:t>
      </w:r>
      <w:r w:rsidR="00920003">
        <w:rPr>
          <w:rFonts w:ascii="Aptos" w:hAnsi="Aptos"/>
          <w:sz w:val="25"/>
          <w:szCs w:val="25"/>
        </w:rPr>
        <w:t xml:space="preserve">, this time with representatives from DESE and DCF, </w:t>
      </w:r>
      <w:r w:rsidR="00A174D8">
        <w:rPr>
          <w:rFonts w:ascii="Aptos" w:hAnsi="Aptos"/>
          <w:sz w:val="25"/>
          <w:szCs w:val="25"/>
        </w:rPr>
        <w:t>including the State Coordinator for Homeless Education</w:t>
      </w:r>
      <w:r w:rsidR="00920003">
        <w:rPr>
          <w:rFonts w:ascii="Aptos" w:hAnsi="Aptos"/>
          <w:sz w:val="25"/>
          <w:szCs w:val="25"/>
        </w:rPr>
        <w:t>. (F-4)</w:t>
      </w:r>
    </w:p>
    <w:p w14:paraId="049D0DCD" w14:textId="77777777" w:rsidR="00F1079B" w:rsidRPr="00A174D8" w:rsidRDefault="00F1079B" w:rsidP="00F1079B">
      <w:pPr>
        <w:pStyle w:val="ListParagraph"/>
        <w:rPr>
          <w:rFonts w:ascii="Aptos" w:hAnsi="Aptos"/>
          <w:sz w:val="12"/>
          <w:szCs w:val="12"/>
        </w:rPr>
      </w:pPr>
    </w:p>
    <w:p w14:paraId="14B1D09F" w14:textId="7DD7C5B3" w:rsidR="00F1079B" w:rsidRDefault="004C50A7" w:rsidP="0067424F">
      <w:pPr>
        <w:pStyle w:val="ListParagraph"/>
        <w:numPr>
          <w:ilvl w:val="0"/>
          <w:numId w:val="30"/>
        </w:numPr>
        <w:spacing w:after="120"/>
        <w:ind w:left="360"/>
        <w:rPr>
          <w:rFonts w:ascii="Aptos" w:hAnsi="Aptos"/>
          <w:sz w:val="25"/>
          <w:szCs w:val="25"/>
        </w:rPr>
      </w:pPr>
      <w:r w:rsidRPr="008E4F40">
        <w:rPr>
          <w:rFonts w:ascii="Aptos" w:hAnsi="Aptos"/>
          <w:sz w:val="25"/>
          <w:szCs w:val="25"/>
        </w:rPr>
        <w:t xml:space="preserve">On February 26, 2025, </w:t>
      </w:r>
      <w:r w:rsidR="007F0DCE" w:rsidRPr="008E4F40">
        <w:rPr>
          <w:rFonts w:ascii="Aptos" w:hAnsi="Aptos"/>
          <w:sz w:val="25"/>
          <w:szCs w:val="25"/>
        </w:rPr>
        <w:t>Norwood</w:t>
      </w:r>
      <w:r w:rsidR="00F1079B" w:rsidRPr="008E4F40">
        <w:rPr>
          <w:rFonts w:ascii="Aptos" w:hAnsi="Aptos"/>
          <w:sz w:val="25"/>
          <w:szCs w:val="25"/>
        </w:rPr>
        <w:t xml:space="preserve"> </w:t>
      </w:r>
      <w:r w:rsidR="007F0DCE" w:rsidRPr="008E4F40">
        <w:rPr>
          <w:rFonts w:ascii="Aptos" w:hAnsi="Aptos"/>
          <w:sz w:val="25"/>
          <w:szCs w:val="25"/>
        </w:rPr>
        <w:t xml:space="preserve">filed a </w:t>
      </w:r>
      <w:r w:rsidR="00C666A4" w:rsidRPr="008E4F40">
        <w:rPr>
          <w:rFonts w:ascii="Aptos" w:hAnsi="Aptos"/>
          <w:sz w:val="25"/>
          <w:szCs w:val="25"/>
        </w:rPr>
        <w:t>request with DESE for clarification of school</w:t>
      </w:r>
      <w:r w:rsidR="00C666A4">
        <w:rPr>
          <w:rFonts w:ascii="Aptos" w:hAnsi="Aptos"/>
          <w:sz w:val="25"/>
          <w:szCs w:val="25"/>
        </w:rPr>
        <w:t xml:space="preserve"> district responsibility (LEA Assignment request)</w:t>
      </w:r>
      <w:r w:rsidR="007F0DCE">
        <w:rPr>
          <w:rFonts w:ascii="Aptos" w:hAnsi="Aptos"/>
          <w:sz w:val="25"/>
          <w:szCs w:val="25"/>
        </w:rPr>
        <w:t>.</w:t>
      </w:r>
      <w:r w:rsidR="00F1079B">
        <w:rPr>
          <w:rFonts w:ascii="Aptos" w:hAnsi="Aptos"/>
          <w:sz w:val="25"/>
          <w:szCs w:val="25"/>
        </w:rPr>
        <w:t xml:space="preserve"> On March 10, 2025, </w:t>
      </w:r>
      <w:r w:rsidR="007F0DCE">
        <w:rPr>
          <w:rFonts w:ascii="Aptos" w:hAnsi="Aptos"/>
          <w:sz w:val="25"/>
          <w:szCs w:val="25"/>
        </w:rPr>
        <w:t xml:space="preserve">however, </w:t>
      </w:r>
      <w:r w:rsidR="00F1079B">
        <w:rPr>
          <w:rFonts w:ascii="Aptos" w:hAnsi="Aptos"/>
          <w:sz w:val="25"/>
          <w:szCs w:val="25"/>
        </w:rPr>
        <w:t xml:space="preserve">DESE informed FPS and NPS that </w:t>
      </w:r>
      <w:r>
        <w:rPr>
          <w:rFonts w:ascii="Aptos" w:hAnsi="Aptos"/>
          <w:sz w:val="25"/>
          <w:szCs w:val="25"/>
        </w:rPr>
        <w:t xml:space="preserve">Norwood’s </w:t>
      </w:r>
      <w:r w:rsidR="00F1079B">
        <w:rPr>
          <w:rFonts w:ascii="Aptos" w:hAnsi="Aptos"/>
          <w:sz w:val="25"/>
          <w:szCs w:val="25"/>
        </w:rPr>
        <w:t xml:space="preserve">request would be closed “until a </w:t>
      </w:r>
      <w:r w:rsidR="00F1079B">
        <w:rPr>
          <w:rFonts w:ascii="Aptos" w:hAnsi="Aptos"/>
          <w:sz w:val="25"/>
          <w:szCs w:val="25"/>
        </w:rPr>
        <w:lastRenderedPageBreak/>
        <w:t>determination of homelessness or not is made and agreed upon” by Norwood and Foxborough.</w:t>
      </w:r>
      <w:r w:rsidR="007F0DCE">
        <w:rPr>
          <w:rFonts w:ascii="Aptos" w:hAnsi="Aptos"/>
          <w:sz w:val="25"/>
          <w:szCs w:val="25"/>
        </w:rPr>
        <w:t xml:space="preserve"> (F-4</w:t>
      </w:r>
      <w:r w:rsidR="00DA621A">
        <w:rPr>
          <w:rFonts w:ascii="Aptos" w:hAnsi="Aptos"/>
          <w:sz w:val="25"/>
          <w:szCs w:val="25"/>
        </w:rPr>
        <w:t>; D-4</w:t>
      </w:r>
      <w:r w:rsidR="00D15FA9">
        <w:rPr>
          <w:rFonts w:ascii="Aptos" w:hAnsi="Aptos"/>
          <w:sz w:val="25"/>
          <w:szCs w:val="25"/>
        </w:rPr>
        <w:t>, D-14</w:t>
      </w:r>
      <w:r w:rsidR="00CB5523">
        <w:rPr>
          <w:rFonts w:ascii="Aptos" w:hAnsi="Aptos"/>
          <w:sz w:val="25"/>
          <w:szCs w:val="25"/>
        </w:rPr>
        <w:t>, D-16</w:t>
      </w:r>
      <w:r w:rsidR="007F0DCE">
        <w:rPr>
          <w:rFonts w:ascii="Aptos" w:hAnsi="Aptos"/>
          <w:sz w:val="25"/>
          <w:szCs w:val="25"/>
        </w:rPr>
        <w:t>)</w:t>
      </w:r>
    </w:p>
    <w:p w14:paraId="4286237B" w14:textId="77777777" w:rsidR="00632C4C" w:rsidRPr="00632C4C" w:rsidRDefault="00632C4C" w:rsidP="00632C4C">
      <w:pPr>
        <w:pStyle w:val="ListParagraph"/>
        <w:rPr>
          <w:rFonts w:ascii="Aptos" w:hAnsi="Aptos"/>
          <w:sz w:val="12"/>
          <w:szCs w:val="12"/>
        </w:rPr>
      </w:pPr>
    </w:p>
    <w:p w14:paraId="5AE94843" w14:textId="7EB3FE94" w:rsidR="00632C4C" w:rsidRPr="00632C4C" w:rsidRDefault="00632C4C" w:rsidP="00632C4C">
      <w:pPr>
        <w:pStyle w:val="ListParagraph"/>
        <w:numPr>
          <w:ilvl w:val="0"/>
          <w:numId w:val="30"/>
        </w:numPr>
        <w:ind w:left="360"/>
        <w:rPr>
          <w:rFonts w:ascii="Aptos" w:hAnsi="Aptos"/>
          <w:sz w:val="25"/>
          <w:szCs w:val="25"/>
        </w:rPr>
      </w:pPr>
      <w:r>
        <w:rPr>
          <w:rFonts w:ascii="Aptos" w:hAnsi="Aptos"/>
          <w:sz w:val="25"/>
          <w:szCs w:val="25"/>
        </w:rPr>
        <w:t xml:space="preserve">In or about early </w:t>
      </w:r>
      <w:r w:rsidR="0017076C">
        <w:rPr>
          <w:rFonts w:ascii="Aptos" w:hAnsi="Aptos"/>
          <w:sz w:val="25"/>
          <w:szCs w:val="25"/>
        </w:rPr>
        <w:t>to mid-</w:t>
      </w:r>
      <w:r>
        <w:rPr>
          <w:rFonts w:ascii="Aptos" w:hAnsi="Aptos"/>
          <w:sz w:val="25"/>
          <w:szCs w:val="25"/>
        </w:rPr>
        <w:t>March</w:t>
      </w:r>
      <w:r w:rsidR="008E4F40">
        <w:rPr>
          <w:rFonts w:ascii="Aptos" w:hAnsi="Aptos"/>
          <w:sz w:val="25"/>
          <w:szCs w:val="25"/>
        </w:rPr>
        <w:t>, 2025</w:t>
      </w:r>
      <w:r>
        <w:rPr>
          <w:rFonts w:ascii="Aptos" w:hAnsi="Aptos"/>
          <w:sz w:val="25"/>
          <w:szCs w:val="25"/>
        </w:rPr>
        <w:t>, DCF assisted Father in submitting enrollment paperwork to Foxborough, including recent pay stubs and a letter on Hotel letterhead from an individual stating that he is the owner of Hotel, indicating that Father has permission to use the address of Hotel “as his residence.” The letter was not notarized or dated. (F-1, F-2, F-4; D-1, D-6)</w:t>
      </w:r>
    </w:p>
    <w:p w14:paraId="1642E9AD" w14:textId="77777777" w:rsidR="00257782" w:rsidRPr="00257782" w:rsidRDefault="00257782" w:rsidP="00257782">
      <w:pPr>
        <w:pStyle w:val="ListParagraph"/>
        <w:rPr>
          <w:rFonts w:ascii="Aptos" w:hAnsi="Aptos"/>
          <w:sz w:val="12"/>
          <w:szCs w:val="12"/>
        </w:rPr>
      </w:pPr>
    </w:p>
    <w:p w14:paraId="7E8A2F3B" w14:textId="5803DCF1" w:rsidR="00257782" w:rsidRDefault="00257782" w:rsidP="0067424F">
      <w:pPr>
        <w:pStyle w:val="ListParagraph"/>
        <w:numPr>
          <w:ilvl w:val="0"/>
          <w:numId w:val="30"/>
        </w:numPr>
        <w:spacing w:after="120"/>
        <w:ind w:left="360"/>
        <w:rPr>
          <w:rFonts w:ascii="Aptos" w:hAnsi="Aptos"/>
          <w:sz w:val="25"/>
          <w:szCs w:val="25"/>
        </w:rPr>
      </w:pPr>
      <w:r>
        <w:rPr>
          <w:rFonts w:ascii="Aptos" w:hAnsi="Aptos"/>
          <w:sz w:val="25"/>
          <w:szCs w:val="25"/>
        </w:rPr>
        <w:t>On March 4, 2025, Norwood provided Father with a “Determination of Housing Status,” a letter informing him that NPS does not consider Student to be homeless, given the facts presented to Norwood. (D-5</w:t>
      </w:r>
      <w:r w:rsidR="00D15FA9">
        <w:rPr>
          <w:rFonts w:ascii="Aptos" w:hAnsi="Aptos"/>
          <w:sz w:val="25"/>
          <w:szCs w:val="25"/>
        </w:rPr>
        <w:t>, D-13C</w:t>
      </w:r>
      <w:r w:rsidR="006C45E1">
        <w:rPr>
          <w:rFonts w:ascii="Aptos" w:hAnsi="Aptos"/>
          <w:sz w:val="25"/>
          <w:szCs w:val="25"/>
        </w:rPr>
        <w:t>;</w:t>
      </w:r>
      <w:r w:rsidR="00D15FA9">
        <w:rPr>
          <w:rFonts w:ascii="Aptos" w:hAnsi="Aptos"/>
          <w:sz w:val="25"/>
          <w:szCs w:val="25"/>
        </w:rPr>
        <w:t xml:space="preserve"> </w:t>
      </w:r>
      <w:r w:rsidR="006C45E1">
        <w:rPr>
          <w:rFonts w:ascii="Aptos" w:hAnsi="Aptos"/>
          <w:sz w:val="25"/>
          <w:szCs w:val="25"/>
        </w:rPr>
        <w:t>N-3</w:t>
      </w:r>
      <w:r>
        <w:rPr>
          <w:rFonts w:ascii="Aptos" w:hAnsi="Aptos"/>
          <w:sz w:val="25"/>
          <w:szCs w:val="25"/>
        </w:rPr>
        <w:t>) Parents did not appeal this determination. (F-4)</w:t>
      </w:r>
    </w:p>
    <w:p w14:paraId="55644FA4" w14:textId="77777777" w:rsidR="00920003" w:rsidRPr="00920003" w:rsidRDefault="00920003" w:rsidP="00920003">
      <w:pPr>
        <w:pStyle w:val="ListParagraph"/>
        <w:rPr>
          <w:rFonts w:ascii="Aptos" w:hAnsi="Aptos"/>
          <w:sz w:val="12"/>
          <w:szCs w:val="12"/>
        </w:rPr>
      </w:pPr>
    </w:p>
    <w:p w14:paraId="1544C6E4" w14:textId="2DADE646" w:rsidR="00DB0954" w:rsidRDefault="00920003" w:rsidP="00DB0954">
      <w:pPr>
        <w:pStyle w:val="ListParagraph"/>
        <w:numPr>
          <w:ilvl w:val="0"/>
          <w:numId w:val="30"/>
        </w:numPr>
        <w:ind w:left="360"/>
        <w:rPr>
          <w:rFonts w:ascii="Aptos" w:hAnsi="Aptos"/>
          <w:sz w:val="25"/>
          <w:szCs w:val="25"/>
        </w:rPr>
      </w:pPr>
      <w:r>
        <w:rPr>
          <w:rFonts w:ascii="Aptos" w:hAnsi="Aptos"/>
          <w:sz w:val="25"/>
          <w:szCs w:val="25"/>
        </w:rPr>
        <w:t xml:space="preserve"> </w:t>
      </w:r>
      <w:r w:rsidR="004C50A7">
        <w:rPr>
          <w:rFonts w:ascii="Aptos" w:hAnsi="Aptos"/>
          <w:sz w:val="25"/>
          <w:szCs w:val="25"/>
        </w:rPr>
        <w:t>On</w:t>
      </w:r>
      <w:r w:rsidR="00FE4181">
        <w:rPr>
          <w:rFonts w:ascii="Aptos" w:hAnsi="Aptos"/>
          <w:sz w:val="25"/>
          <w:szCs w:val="25"/>
        </w:rPr>
        <w:t xml:space="preserve"> March 11, 2025, </w:t>
      </w:r>
      <w:r w:rsidR="00A174D8">
        <w:rPr>
          <w:rFonts w:ascii="Aptos" w:hAnsi="Aptos"/>
          <w:sz w:val="25"/>
          <w:szCs w:val="25"/>
        </w:rPr>
        <w:t xml:space="preserve">the </w:t>
      </w:r>
      <w:r w:rsidR="0017076C">
        <w:rPr>
          <w:rFonts w:ascii="Aptos" w:hAnsi="Aptos"/>
          <w:sz w:val="25"/>
          <w:szCs w:val="25"/>
        </w:rPr>
        <w:t xml:space="preserve">Department’s </w:t>
      </w:r>
      <w:r w:rsidR="00A174D8">
        <w:rPr>
          <w:rFonts w:ascii="Aptos" w:hAnsi="Aptos"/>
          <w:sz w:val="25"/>
          <w:szCs w:val="25"/>
        </w:rPr>
        <w:t>State Coordinator for Homeless Education</w:t>
      </w:r>
      <w:r w:rsidR="00FE4181">
        <w:rPr>
          <w:rFonts w:ascii="Aptos" w:hAnsi="Aptos"/>
          <w:sz w:val="25"/>
          <w:szCs w:val="25"/>
        </w:rPr>
        <w:t xml:space="preserve"> informed th</w:t>
      </w:r>
      <w:r w:rsidR="008E4F40">
        <w:rPr>
          <w:rFonts w:ascii="Aptos" w:hAnsi="Aptos"/>
          <w:sz w:val="25"/>
          <w:szCs w:val="25"/>
        </w:rPr>
        <w:t>e</w:t>
      </w:r>
      <w:r w:rsidR="00FE4181">
        <w:rPr>
          <w:rFonts w:ascii="Aptos" w:hAnsi="Aptos"/>
          <w:sz w:val="25"/>
          <w:szCs w:val="25"/>
        </w:rPr>
        <w:t xml:space="preserve"> parties that as Norwood had determined that Student was not eligible for </w:t>
      </w:r>
      <w:r w:rsidR="004A7EBE">
        <w:rPr>
          <w:rFonts w:ascii="Aptos" w:hAnsi="Aptos"/>
          <w:sz w:val="25"/>
          <w:szCs w:val="25"/>
        </w:rPr>
        <w:t xml:space="preserve">McKinney-Vento </w:t>
      </w:r>
      <w:r w:rsidR="00FE4181">
        <w:rPr>
          <w:rFonts w:ascii="Aptos" w:hAnsi="Aptos"/>
          <w:sz w:val="25"/>
          <w:szCs w:val="25"/>
        </w:rPr>
        <w:t xml:space="preserve">and Parents had not appealed, Foxborough should enroll Student as soon as possible. DESE explained that if FPS deemed Student eligible for McKinney-Vento, Foxborough could dispute Norwood’s homeless determination, which would be reviewed through DESE’s compliance office. </w:t>
      </w:r>
      <w:r w:rsidR="004C50A7">
        <w:rPr>
          <w:rFonts w:ascii="Aptos" w:hAnsi="Aptos"/>
          <w:sz w:val="25"/>
          <w:szCs w:val="25"/>
        </w:rPr>
        <w:t xml:space="preserve">At the time of this email, on March 11, 2025, Norwood was continuing to fund Student’s out-of-district placement and transportation to and from Norwood. </w:t>
      </w:r>
      <w:r w:rsidR="00FE4181">
        <w:rPr>
          <w:rFonts w:ascii="Aptos" w:hAnsi="Aptos"/>
          <w:sz w:val="25"/>
          <w:szCs w:val="25"/>
        </w:rPr>
        <w:t>(F-4)</w:t>
      </w:r>
    </w:p>
    <w:p w14:paraId="61DE2ED0" w14:textId="77777777" w:rsidR="0067424F" w:rsidRPr="0017076C" w:rsidRDefault="0067424F" w:rsidP="0017076C">
      <w:pPr>
        <w:rPr>
          <w:rFonts w:ascii="Aptos" w:hAnsi="Aptos"/>
          <w:sz w:val="12"/>
          <w:szCs w:val="12"/>
        </w:rPr>
      </w:pPr>
    </w:p>
    <w:p w14:paraId="0E0FD6A2" w14:textId="7CED70E0" w:rsidR="00DB0954" w:rsidRDefault="00A913F4" w:rsidP="00DB0954">
      <w:pPr>
        <w:pStyle w:val="ListParagraph"/>
        <w:numPr>
          <w:ilvl w:val="0"/>
          <w:numId w:val="30"/>
        </w:numPr>
        <w:spacing w:after="120"/>
        <w:ind w:left="360"/>
        <w:rPr>
          <w:rFonts w:ascii="Aptos" w:hAnsi="Aptos"/>
          <w:sz w:val="25"/>
          <w:szCs w:val="25"/>
        </w:rPr>
      </w:pPr>
      <w:r>
        <w:rPr>
          <w:rFonts w:ascii="Aptos" w:hAnsi="Aptos"/>
          <w:sz w:val="25"/>
          <w:szCs w:val="25"/>
        </w:rPr>
        <w:t>As of March 12, 2025, Student had not been enrolled in Foxborough</w:t>
      </w:r>
      <w:r w:rsidR="0028433D">
        <w:rPr>
          <w:rFonts w:ascii="Aptos" w:hAnsi="Aptos"/>
          <w:sz w:val="25"/>
          <w:szCs w:val="25"/>
        </w:rPr>
        <w:t xml:space="preserve">, as FPS </w:t>
      </w:r>
      <w:r w:rsidR="00A43AE8">
        <w:rPr>
          <w:rFonts w:ascii="Aptos" w:hAnsi="Aptos"/>
          <w:sz w:val="25"/>
          <w:szCs w:val="25"/>
        </w:rPr>
        <w:t>had determined</w:t>
      </w:r>
      <w:r w:rsidR="0028433D">
        <w:rPr>
          <w:rFonts w:ascii="Aptos" w:hAnsi="Aptos"/>
          <w:sz w:val="25"/>
          <w:szCs w:val="25"/>
        </w:rPr>
        <w:t xml:space="preserve"> that</w:t>
      </w:r>
      <w:r w:rsidR="00BD71FB">
        <w:rPr>
          <w:rFonts w:ascii="Aptos" w:hAnsi="Aptos"/>
          <w:sz w:val="25"/>
          <w:szCs w:val="25"/>
        </w:rPr>
        <w:t xml:space="preserve"> Father ha</w:t>
      </w:r>
      <w:r w:rsidR="005779C7">
        <w:rPr>
          <w:rFonts w:ascii="Aptos" w:hAnsi="Aptos"/>
          <w:sz w:val="25"/>
          <w:szCs w:val="25"/>
        </w:rPr>
        <w:t>d</w:t>
      </w:r>
      <w:r w:rsidR="00BD71FB">
        <w:rPr>
          <w:rFonts w:ascii="Aptos" w:hAnsi="Aptos"/>
          <w:sz w:val="25"/>
          <w:szCs w:val="25"/>
        </w:rPr>
        <w:t xml:space="preserve"> not submitted</w:t>
      </w:r>
      <w:r w:rsidR="0028433D">
        <w:rPr>
          <w:rFonts w:ascii="Aptos" w:hAnsi="Aptos"/>
          <w:sz w:val="25"/>
          <w:szCs w:val="25"/>
        </w:rPr>
        <w:t xml:space="preserve"> sufficient proof of residency</w:t>
      </w:r>
      <w:r>
        <w:rPr>
          <w:rFonts w:ascii="Aptos" w:hAnsi="Aptos"/>
          <w:sz w:val="25"/>
          <w:szCs w:val="25"/>
        </w:rPr>
        <w:t xml:space="preserve">. </w:t>
      </w:r>
      <w:r w:rsidR="0067424F">
        <w:rPr>
          <w:rFonts w:ascii="Aptos" w:hAnsi="Aptos"/>
          <w:sz w:val="25"/>
          <w:szCs w:val="25"/>
        </w:rPr>
        <w:t xml:space="preserve">According to DCF, Father had submitted all available documentation of his address in Foxborough and did not have any utility bills, tax bills, </w:t>
      </w:r>
      <w:r w:rsidR="0091473F">
        <w:rPr>
          <w:rFonts w:ascii="Aptos" w:hAnsi="Aptos"/>
          <w:sz w:val="25"/>
          <w:szCs w:val="25"/>
        </w:rPr>
        <w:t xml:space="preserve">a </w:t>
      </w:r>
      <w:r w:rsidR="0067424F">
        <w:rPr>
          <w:rFonts w:ascii="Aptos" w:hAnsi="Aptos"/>
          <w:sz w:val="25"/>
          <w:szCs w:val="25"/>
        </w:rPr>
        <w:t xml:space="preserve">formal lease, or other documents to provide. </w:t>
      </w:r>
      <w:r w:rsidR="0028433D">
        <w:rPr>
          <w:rFonts w:ascii="Aptos" w:hAnsi="Aptos"/>
          <w:sz w:val="25"/>
          <w:szCs w:val="25"/>
        </w:rPr>
        <w:t xml:space="preserve">At this time, </w:t>
      </w:r>
      <w:r>
        <w:rPr>
          <w:rFonts w:ascii="Aptos" w:hAnsi="Aptos"/>
          <w:sz w:val="25"/>
          <w:szCs w:val="25"/>
        </w:rPr>
        <w:t>Father was driving</w:t>
      </w:r>
      <w:r w:rsidR="0028433D">
        <w:rPr>
          <w:rFonts w:ascii="Aptos" w:hAnsi="Aptos"/>
          <w:sz w:val="25"/>
          <w:szCs w:val="25"/>
        </w:rPr>
        <w:t xml:space="preserve"> Student</w:t>
      </w:r>
      <w:r>
        <w:rPr>
          <w:rFonts w:ascii="Aptos" w:hAnsi="Aptos"/>
          <w:sz w:val="25"/>
          <w:szCs w:val="25"/>
        </w:rPr>
        <w:t xml:space="preserve"> to and from Norwood to meet her transportation</w:t>
      </w:r>
      <w:r w:rsidR="00203895">
        <w:rPr>
          <w:rFonts w:ascii="Aptos" w:hAnsi="Aptos"/>
          <w:sz w:val="25"/>
          <w:szCs w:val="25"/>
        </w:rPr>
        <w:t>, which was endangering his continued employment</w:t>
      </w:r>
      <w:r>
        <w:rPr>
          <w:rFonts w:ascii="Aptos" w:hAnsi="Aptos"/>
          <w:sz w:val="25"/>
          <w:szCs w:val="25"/>
        </w:rPr>
        <w:t xml:space="preserve">. </w:t>
      </w:r>
      <w:r w:rsidR="0028433D">
        <w:rPr>
          <w:rFonts w:ascii="Aptos" w:hAnsi="Aptos"/>
          <w:sz w:val="25"/>
          <w:szCs w:val="25"/>
        </w:rPr>
        <w:t xml:space="preserve">Foxborough maintained that </w:t>
      </w:r>
      <w:r w:rsidR="00BD71FB">
        <w:rPr>
          <w:rFonts w:ascii="Aptos" w:hAnsi="Aptos"/>
          <w:sz w:val="25"/>
          <w:szCs w:val="25"/>
        </w:rPr>
        <w:t xml:space="preserve">Student should have been identified “homeless” pursuant to McKinney-Vento, and that </w:t>
      </w:r>
      <w:r w:rsidR="0028433D">
        <w:rPr>
          <w:rFonts w:ascii="Aptos" w:hAnsi="Aptos"/>
          <w:sz w:val="25"/>
          <w:szCs w:val="25"/>
        </w:rPr>
        <w:t>had Norwood determined that Student was “homeless in accordance with the Massachusetts DESE definition of Homeless Children and Youth, there would be no disruption in education or transportatio</w:t>
      </w:r>
      <w:r w:rsidR="00BD71FB">
        <w:rPr>
          <w:rFonts w:ascii="Aptos" w:hAnsi="Aptos"/>
          <w:sz w:val="25"/>
          <w:szCs w:val="25"/>
        </w:rPr>
        <w:t>n.</w:t>
      </w:r>
      <w:r w:rsidR="0028433D">
        <w:rPr>
          <w:rFonts w:ascii="Aptos" w:hAnsi="Aptos"/>
          <w:sz w:val="25"/>
          <w:szCs w:val="25"/>
        </w:rPr>
        <w:t xml:space="preserve">” </w:t>
      </w:r>
      <w:r w:rsidR="00BD71FB">
        <w:rPr>
          <w:rFonts w:ascii="Aptos" w:hAnsi="Aptos"/>
          <w:sz w:val="25"/>
          <w:szCs w:val="25"/>
        </w:rPr>
        <w:t>A</w:t>
      </w:r>
      <w:r w:rsidR="0028433D">
        <w:rPr>
          <w:rFonts w:ascii="Aptos" w:hAnsi="Aptos"/>
          <w:sz w:val="25"/>
          <w:szCs w:val="25"/>
        </w:rPr>
        <w:t>bsent such determination, Student’s registration within FPS could not be finalized</w:t>
      </w:r>
      <w:r w:rsidR="00256EC8">
        <w:rPr>
          <w:rFonts w:ascii="Aptos" w:hAnsi="Aptos"/>
          <w:sz w:val="25"/>
          <w:szCs w:val="25"/>
        </w:rPr>
        <w:t xml:space="preserve"> and Foxborough would be “unable to provide transportation or fund the current placement</w:t>
      </w:r>
      <w:r w:rsidR="0028433D">
        <w:rPr>
          <w:rFonts w:ascii="Aptos" w:hAnsi="Aptos"/>
          <w:sz w:val="25"/>
          <w:szCs w:val="25"/>
        </w:rPr>
        <w:t>.</w:t>
      </w:r>
      <w:r w:rsidR="00256EC8">
        <w:rPr>
          <w:rFonts w:ascii="Aptos" w:hAnsi="Aptos"/>
          <w:sz w:val="25"/>
          <w:szCs w:val="25"/>
        </w:rPr>
        <w:t>”</w:t>
      </w:r>
      <w:r w:rsidR="0028433D">
        <w:rPr>
          <w:rFonts w:ascii="Aptos" w:hAnsi="Aptos"/>
          <w:sz w:val="25"/>
          <w:szCs w:val="25"/>
        </w:rPr>
        <w:t xml:space="preserve"> DCF contacted DESE several times in March 2025, copying both FPS and NPS, advocating for Student’s enrollment in Foxborough. </w:t>
      </w:r>
      <w:r w:rsidR="005779C7">
        <w:rPr>
          <w:rFonts w:ascii="Aptos" w:hAnsi="Aptos"/>
          <w:sz w:val="25"/>
          <w:szCs w:val="25"/>
        </w:rPr>
        <w:t>Foxborough responded that as Father could not provide the necessary residency documentation, “Norwood should reconsider their determination of the student’s homelessness status.”</w:t>
      </w:r>
      <w:r w:rsidR="00493A40">
        <w:rPr>
          <w:rFonts w:ascii="Aptos" w:hAnsi="Aptos"/>
          <w:sz w:val="25"/>
          <w:szCs w:val="25"/>
        </w:rPr>
        <w:t xml:space="preserve"> FPS also asserted that Foxborough “would begin the registration process once [FPS] receive[d] an LEA assignment letter.”</w:t>
      </w:r>
      <w:r w:rsidR="005779C7">
        <w:rPr>
          <w:rFonts w:ascii="Aptos" w:hAnsi="Aptos"/>
          <w:sz w:val="25"/>
          <w:szCs w:val="25"/>
        </w:rPr>
        <w:t xml:space="preserve"> </w:t>
      </w:r>
      <w:r>
        <w:rPr>
          <w:rFonts w:ascii="Aptos" w:hAnsi="Aptos"/>
          <w:sz w:val="25"/>
          <w:szCs w:val="25"/>
        </w:rPr>
        <w:t>(F-4</w:t>
      </w:r>
      <w:r w:rsidR="00DA621A">
        <w:rPr>
          <w:rFonts w:ascii="Aptos" w:hAnsi="Aptos"/>
          <w:sz w:val="25"/>
          <w:szCs w:val="25"/>
        </w:rPr>
        <w:t>; D-4</w:t>
      </w:r>
      <w:r w:rsidR="00CB5523">
        <w:rPr>
          <w:rFonts w:ascii="Aptos" w:hAnsi="Aptos"/>
          <w:sz w:val="25"/>
          <w:szCs w:val="25"/>
        </w:rPr>
        <w:t>, D-15</w:t>
      </w:r>
      <w:r>
        <w:rPr>
          <w:rFonts w:ascii="Aptos" w:hAnsi="Aptos"/>
          <w:sz w:val="25"/>
          <w:szCs w:val="25"/>
        </w:rPr>
        <w:t>)</w:t>
      </w:r>
    </w:p>
    <w:p w14:paraId="212AE95B" w14:textId="77777777" w:rsidR="00DB0954" w:rsidRPr="00DB0954" w:rsidRDefault="00DB0954" w:rsidP="00DB0954">
      <w:pPr>
        <w:pStyle w:val="ListParagraph"/>
        <w:spacing w:after="120"/>
        <w:ind w:left="360"/>
        <w:rPr>
          <w:rFonts w:ascii="Aptos" w:hAnsi="Aptos"/>
          <w:sz w:val="12"/>
          <w:szCs w:val="12"/>
        </w:rPr>
      </w:pPr>
    </w:p>
    <w:p w14:paraId="1AEB3779" w14:textId="46E5E01D" w:rsidR="00DB0954" w:rsidRDefault="00DB0954" w:rsidP="00DB0954">
      <w:pPr>
        <w:pStyle w:val="ListParagraph"/>
        <w:numPr>
          <w:ilvl w:val="0"/>
          <w:numId w:val="30"/>
        </w:numPr>
        <w:spacing w:after="120"/>
        <w:ind w:left="360"/>
        <w:rPr>
          <w:rFonts w:ascii="Aptos" w:hAnsi="Aptos"/>
          <w:sz w:val="25"/>
          <w:szCs w:val="25"/>
        </w:rPr>
      </w:pPr>
      <w:r w:rsidRPr="00DB0954">
        <w:rPr>
          <w:rFonts w:ascii="Aptos" w:hAnsi="Aptos"/>
          <w:sz w:val="25"/>
          <w:szCs w:val="25"/>
        </w:rPr>
        <w:t xml:space="preserve">At some </w:t>
      </w:r>
      <w:r>
        <w:rPr>
          <w:rFonts w:ascii="Aptos" w:hAnsi="Aptos"/>
          <w:sz w:val="25"/>
          <w:szCs w:val="25"/>
        </w:rPr>
        <w:t>point around this time,</w:t>
      </w:r>
      <w:r w:rsidRPr="00DB0954">
        <w:rPr>
          <w:rFonts w:ascii="Aptos" w:hAnsi="Aptos"/>
          <w:sz w:val="25"/>
          <w:szCs w:val="25"/>
        </w:rPr>
        <w:t xml:space="preserve"> Norwood initiated disenrollment procedures, </w:t>
      </w:r>
      <w:r>
        <w:rPr>
          <w:rFonts w:ascii="Aptos" w:hAnsi="Aptos"/>
          <w:sz w:val="25"/>
          <w:szCs w:val="25"/>
        </w:rPr>
        <w:t xml:space="preserve">consistent with its conclusion that </w:t>
      </w:r>
      <w:r w:rsidRPr="00DB0954">
        <w:rPr>
          <w:rFonts w:ascii="Aptos" w:hAnsi="Aptos"/>
          <w:sz w:val="25"/>
          <w:szCs w:val="25"/>
        </w:rPr>
        <w:t xml:space="preserve">Student was no longer a resident of Norwood, </w:t>
      </w:r>
      <w:r w:rsidRPr="00DB0954">
        <w:rPr>
          <w:rFonts w:ascii="Aptos" w:hAnsi="Aptos"/>
          <w:sz w:val="25"/>
          <w:szCs w:val="25"/>
        </w:rPr>
        <w:lastRenderedPageBreak/>
        <w:t>not homeless, and had established residency in Foxborough. Neither parent disputed this determination. (F-1, F-4; D-1)</w:t>
      </w:r>
    </w:p>
    <w:p w14:paraId="5855083A" w14:textId="77777777" w:rsidR="00A43AE8" w:rsidRPr="00A43AE8" w:rsidRDefault="00A43AE8" w:rsidP="00A43AE8">
      <w:pPr>
        <w:pStyle w:val="ListParagraph"/>
        <w:rPr>
          <w:rFonts w:ascii="Aptos" w:hAnsi="Aptos"/>
          <w:sz w:val="12"/>
          <w:szCs w:val="12"/>
        </w:rPr>
      </w:pPr>
    </w:p>
    <w:p w14:paraId="2DB6C94B" w14:textId="734668A6" w:rsidR="00A43AE8" w:rsidRPr="00DB0954" w:rsidRDefault="00A43AE8" w:rsidP="00DB0954">
      <w:pPr>
        <w:pStyle w:val="ListParagraph"/>
        <w:numPr>
          <w:ilvl w:val="0"/>
          <w:numId w:val="30"/>
        </w:numPr>
        <w:spacing w:after="120"/>
        <w:ind w:left="360"/>
        <w:rPr>
          <w:rFonts w:ascii="Aptos" w:hAnsi="Aptos"/>
          <w:sz w:val="25"/>
          <w:szCs w:val="25"/>
        </w:rPr>
      </w:pPr>
      <w:r>
        <w:rPr>
          <w:rFonts w:ascii="Aptos" w:hAnsi="Aptos"/>
          <w:sz w:val="25"/>
          <w:szCs w:val="25"/>
        </w:rPr>
        <w:t xml:space="preserve">On or about March 21, 2025, Foxborough filed a </w:t>
      </w:r>
      <w:r>
        <w:rPr>
          <w:rFonts w:ascii="Aptos" w:hAnsi="Aptos"/>
          <w:i/>
          <w:iCs/>
          <w:sz w:val="25"/>
          <w:szCs w:val="25"/>
        </w:rPr>
        <w:t>LEA Hearin</w:t>
      </w:r>
      <w:r w:rsidR="00C666A4">
        <w:rPr>
          <w:rFonts w:ascii="Aptos" w:hAnsi="Aptos"/>
          <w:i/>
          <w:iCs/>
          <w:sz w:val="25"/>
          <w:szCs w:val="25"/>
        </w:rPr>
        <w:t>g</w:t>
      </w:r>
      <w:r>
        <w:rPr>
          <w:rFonts w:ascii="Aptos" w:hAnsi="Aptos"/>
          <w:i/>
          <w:iCs/>
          <w:sz w:val="25"/>
          <w:szCs w:val="25"/>
        </w:rPr>
        <w:t xml:space="preserve"> Request</w:t>
      </w:r>
      <w:r>
        <w:rPr>
          <w:rFonts w:ascii="Aptos" w:hAnsi="Aptos"/>
          <w:sz w:val="25"/>
          <w:szCs w:val="25"/>
        </w:rPr>
        <w:t xml:space="preserve"> against Norwood and DESE (BSEA #2510624) </w:t>
      </w:r>
      <w:r w:rsidRPr="00BB13F6">
        <w:rPr>
          <w:rFonts w:ascii="Aptos" w:hAnsi="Aptos"/>
        </w:rPr>
        <w:t xml:space="preserve">requesting a determination that Student became “homeless” within the meaning of </w:t>
      </w:r>
      <w:r>
        <w:rPr>
          <w:rFonts w:ascii="Aptos" w:hAnsi="Aptos"/>
          <w:i/>
          <w:iCs/>
        </w:rPr>
        <w:t>McKinney-Vento</w:t>
      </w:r>
      <w:r w:rsidRPr="00BB13F6">
        <w:rPr>
          <w:rFonts w:ascii="Aptos" w:hAnsi="Aptos"/>
        </w:rPr>
        <w:t xml:space="preserve"> when she began staying with Father at Hotel, and </w:t>
      </w:r>
      <w:r>
        <w:rPr>
          <w:rFonts w:ascii="Aptos" w:hAnsi="Aptos"/>
        </w:rPr>
        <w:t>a</w:t>
      </w:r>
      <w:r w:rsidRPr="00BB13F6">
        <w:rPr>
          <w:rFonts w:ascii="Aptos" w:hAnsi="Aptos"/>
        </w:rPr>
        <w:t xml:space="preserve"> determination that DESE erred in failing to issue a LEA Assignment.</w:t>
      </w:r>
      <w:r>
        <w:rPr>
          <w:rFonts w:ascii="Aptos" w:hAnsi="Aptos"/>
          <w:sz w:val="25"/>
          <w:szCs w:val="25"/>
        </w:rPr>
        <w:t xml:space="preserve"> </w:t>
      </w:r>
      <w:r w:rsidR="00C666A4">
        <w:rPr>
          <w:rFonts w:ascii="Aptos" w:hAnsi="Aptos"/>
          <w:sz w:val="25"/>
          <w:szCs w:val="25"/>
        </w:rPr>
        <w:t>BSEA #2510624</w:t>
      </w:r>
      <w:r>
        <w:rPr>
          <w:rFonts w:ascii="Aptos" w:hAnsi="Aptos"/>
          <w:sz w:val="25"/>
          <w:szCs w:val="25"/>
        </w:rPr>
        <w:t xml:space="preserve"> was dismissed on or about April 15, 2025, when Hearing Officer Alina Kantor Nir</w:t>
      </w:r>
      <w:r w:rsidR="00C666A4">
        <w:rPr>
          <w:rFonts w:ascii="Aptos" w:hAnsi="Aptos"/>
          <w:sz w:val="25"/>
          <w:szCs w:val="25"/>
        </w:rPr>
        <w:t xml:space="preserve"> concluded that BSEA involvement was premature and, as such, granted</w:t>
      </w:r>
      <w:r>
        <w:rPr>
          <w:rFonts w:ascii="Aptos" w:hAnsi="Aptos"/>
          <w:sz w:val="25"/>
          <w:szCs w:val="25"/>
        </w:rPr>
        <w:t xml:space="preserve"> Motions to Dismiss filed by </w:t>
      </w:r>
      <w:r w:rsidR="00C666A4">
        <w:rPr>
          <w:rFonts w:ascii="Aptos" w:hAnsi="Aptos"/>
          <w:sz w:val="25"/>
          <w:szCs w:val="25"/>
        </w:rPr>
        <w:t xml:space="preserve">both </w:t>
      </w:r>
      <w:r>
        <w:rPr>
          <w:rFonts w:ascii="Aptos" w:hAnsi="Aptos"/>
          <w:sz w:val="25"/>
          <w:szCs w:val="25"/>
        </w:rPr>
        <w:t>DESE and Norwood.</w:t>
      </w:r>
      <w:r w:rsidR="00C666A4">
        <w:rPr>
          <w:rFonts w:ascii="Aptos" w:hAnsi="Aptos"/>
          <w:sz w:val="25"/>
          <w:szCs w:val="25"/>
        </w:rPr>
        <w:t xml:space="preserve"> </w:t>
      </w:r>
      <w:r>
        <w:rPr>
          <w:rFonts w:ascii="Aptos" w:hAnsi="Aptos"/>
          <w:sz w:val="25"/>
          <w:szCs w:val="25"/>
        </w:rPr>
        <w:t>(</w:t>
      </w:r>
      <w:r w:rsidR="00C666A4">
        <w:rPr>
          <w:rFonts w:ascii="Aptos" w:hAnsi="Aptos"/>
          <w:sz w:val="25"/>
          <w:szCs w:val="25"/>
        </w:rPr>
        <w:t xml:space="preserve">D-10, D-18, D-19, </w:t>
      </w:r>
      <w:r>
        <w:rPr>
          <w:rFonts w:ascii="Aptos" w:hAnsi="Aptos"/>
          <w:sz w:val="25"/>
          <w:szCs w:val="25"/>
        </w:rPr>
        <w:t>D-20)</w:t>
      </w:r>
    </w:p>
    <w:p w14:paraId="74D79E84" w14:textId="77777777" w:rsidR="00431DB3" w:rsidRPr="00A31635" w:rsidRDefault="00431DB3" w:rsidP="00431DB3">
      <w:pPr>
        <w:pStyle w:val="ListParagraph"/>
        <w:rPr>
          <w:rFonts w:ascii="Aptos" w:hAnsi="Aptos"/>
          <w:sz w:val="12"/>
          <w:szCs w:val="12"/>
        </w:rPr>
      </w:pPr>
    </w:p>
    <w:p w14:paraId="3FF61765" w14:textId="148BDB55" w:rsidR="00A31635" w:rsidRDefault="00DB0954" w:rsidP="00920003">
      <w:pPr>
        <w:pStyle w:val="ListParagraph"/>
        <w:numPr>
          <w:ilvl w:val="0"/>
          <w:numId w:val="30"/>
        </w:numPr>
        <w:ind w:left="360"/>
        <w:rPr>
          <w:rFonts w:ascii="Aptos" w:hAnsi="Aptos"/>
          <w:sz w:val="25"/>
          <w:szCs w:val="25"/>
        </w:rPr>
      </w:pPr>
      <w:r>
        <w:rPr>
          <w:rFonts w:ascii="Aptos" w:hAnsi="Aptos"/>
          <w:sz w:val="25"/>
          <w:szCs w:val="25"/>
        </w:rPr>
        <w:t>Ultimately</w:t>
      </w:r>
      <w:r w:rsidR="0067424F">
        <w:rPr>
          <w:rFonts w:ascii="Aptos" w:hAnsi="Aptos"/>
          <w:sz w:val="25"/>
          <w:szCs w:val="25"/>
        </w:rPr>
        <w:t xml:space="preserve">, </w:t>
      </w:r>
      <w:r w:rsidR="00037DEB">
        <w:rPr>
          <w:rFonts w:ascii="Aptos" w:hAnsi="Aptos"/>
          <w:sz w:val="25"/>
          <w:szCs w:val="25"/>
        </w:rPr>
        <w:t>Father</w:t>
      </w:r>
      <w:r w:rsidR="0067424F">
        <w:rPr>
          <w:rFonts w:ascii="Aptos" w:hAnsi="Aptos"/>
          <w:sz w:val="25"/>
          <w:szCs w:val="25"/>
        </w:rPr>
        <w:t xml:space="preserve"> was able to</w:t>
      </w:r>
      <w:r w:rsidR="00037DEB">
        <w:rPr>
          <w:rFonts w:ascii="Aptos" w:hAnsi="Aptos"/>
          <w:sz w:val="25"/>
          <w:szCs w:val="25"/>
        </w:rPr>
        <w:t xml:space="preserve"> enroll Student in FPS </w:t>
      </w:r>
      <w:r w:rsidR="00614449">
        <w:rPr>
          <w:rFonts w:ascii="Aptos" w:hAnsi="Aptos"/>
          <w:sz w:val="25"/>
          <w:szCs w:val="25"/>
        </w:rPr>
        <w:t>on or about April 3, 2025</w:t>
      </w:r>
      <w:r w:rsidR="008B00BB">
        <w:rPr>
          <w:rFonts w:ascii="Aptos" w:hAnsi="Aptos"/>
          <w:sz w:val="25"/>
          <w:szCs w:val="25"/>
        </w:rPr>
        <w:t xml:space="preserve">. </w:t>
      </w:r>
      <w:r w:rsidR="00614449">
        <w:rPr>
          <w:rFonts w:ascii="Aptos" w:hAnsi="Aptos"/>
          <w:sz w:val="25"/>
          <w:szCs w:val="25"/>
        </w:rPr>
        <w:t xml:space="preserve">Foxborough </w:t>
      </w:r>
      <w:r w:rsidR="008B00BB">
        <w:rPr>
          <w:rFonts w:ascii="Aptos" w:hAnsi="Aptos"/>
          <w:sz w:val="25"/>
          <w:szCs w:val="25"/>
        </w:rPr>
        <w:t xml:space="preserve">enrolled Student </w:t>
      </w:r>
      <w:r w:rsidR="00614449">
        <w:rPr>
          <w:rFonts w:ascii="Aptos" w:hAnsi="Aptos"/>
          <w:sz w:val="25"/>
          <w:szCs w:val="25"/>
        </w:rPr>
        <w:t>pursuant to McKinney-Vento, as “[d]espite multiple conversations, [Father] was unable to provide valid proof of residency.</w:t>
      </w:r>
      <w:r w:rsidR="00D15FA9">
        <w:rPr>
          <w:rStyle w:val="FootnoteReference"/>
          <w:rFonts w:ascii="Aptos" w:hAnsi="Aptos"/>
          <w:sz w:val="25"/>
          <w:szCs w:val="25"/>
        </w:rPr>
        <w:footnoteReference w:id="9"/>
      </w:r>
      <w:r w:rsidR="00A913F4">
        <w:rPr>
          <w:rFonts w:ascii="Aptos" w:hAnsi="Aptos"/>
          <w:sz w:val="25"/>
          <w:szCs w:val="25"/>
        </w:rPr>
        <w:t xml:space="preserve"> </w:t>
      </w:r>
      <w:r w:rsidR="00037DEB">
        <w:rPr>
          <w:rFonts w:ascii="Aptos" w:hAnsi="Aptos"/>
          <w:sz w:val="25"/>
          <w:szCs w:val="25"/>
        </w:rPr>
        <w:t xml:space="preserve">Foxborough began providing transportation for </w:t>
      </w:r>
      <w:r w:rsidR="00614449">
        <w:rPr>
          <w:rFonts w:ascii="Aptos" w:hAnsi="Aptos"/>
          <w:sz w:val="25"/>
          <w:szCs w:val="25"/>
        </w:rPr>
        <w:t>Student</w:t>
      </w:r>
      <w:r w:rsidR="00037DEB">
        <w:rPr>
          <w:rFonts w:ascii="Aptos" w:hAnsi="Aptos"/>
          <w:sz w:val="25"/>
          <w:szCs w:val="25"/>
        </w:rPr>
        <w:t xml:space="preserve"> from Hotel to her special education placement</w:t>
      </w:r>
      <w:r w:rsidR="0017076C">
        <w:rPr>
          <w:rFonts w:ascii="Aptos" w:hAnsi="Aptos"/>
          <w:sz w:val="25"/>
          <w:szCs w:val="25"/>
        </w:rPr>
        <w:t>.</w:t>
      </w:r>
      <w:r w:rsidR="00037DEB">
        <w:rPr>
          <w:rFonts w:ascii="Aptos" w:hAnsi="Aptos"/>
          <w:sz w:val="25"/>
          <w:szCs w:val="25"/>
        </w:rPr>
        <w:t xml:space="preserve"> (F-1</w:t>
      </w:r>
      <w:r w:rsidR="008B00BB">
        <w:rPr>
          <w:rFonts w:ascii="Aptos" w:hAnsi="Aptos"/>
          <w:sz w:val="25"/>
          <w:szCs w:val="25"/>
        </w:rPr>
        <w:t>, F-4</w:t>
      </w:r>
      <w:r w:rsidR="00DA621A">
        <w:rPr>
          <w:rFonts w:ascii="Aptos" w:hAnsi="Aptos"/>
          <w:sz w:val="25"/>
          <w:szCs w:val="25"/>
        </w:rPr>
        <w:t>; D-1</w:t>
      </w:r>
      <w:r w:rsidR="00DB2690">
        <w:rPr>
          <w:rFonts w:ascii="Aptos" w:hAnsi="Aptos"/>
          <w:sz w:val="25"/>
          <w:szCs w:val="25"/>
        </w:rPr>
        <w:t>, D-11</w:t>
      </w:r>
      <w:r w:rsidR="00037DEB">
        <w:rPr>
          <w:rFonts w:ascii="Aptos" w:hAnsi="Aptos"/>
          <w:sz w:val="25"/>
          <w:szCs w:val="25"/>
        </w:rPr>
        <w:t>)</w:t>
      </w:r>
    </w:p>
    <w:p w14:paraId="47556A97" w14:textId="77777777" w:rsidR="0067424F" w:rsidRPr="00920003" w:rsidRDefault="0067424F" w:rsidP="00920003">
      <w:pPr>
        <w:rPr>
          <w:rFonts w:ascii="Aptos" w:hAnsi="Aptos"/>
          <w:sz w:val="12"/>
          <w:szCs w:val="12"/>
        </w:rPr>
      </w:pPr>
    </w:p>
    <w:p w14:paraId="174EF80A" w14:textId="2EE98FCF" w:rsidR="00431DB3" w:rsidRDefault="00431DB3" w:rsidP="00920003">
      <w:pPr>
        <w:pStyle w:val="ListParagraph"/>
        <w:numPr>
          <w:ilvl w:val="0"/>
          <w:numId w:val="30"/>
        </w:numPr>
        <w:ind w:left="360"/>
        <w:rPr>
          <w:rFonts w:ascii="Aptos" w:hAnsi="Aptos"/>
          <w:sz w:val="25"/>
          <w:szCs w:val="25"/>
        </w:rPr>
      </w:pPr>
      <w:r>
        <w:rPr>
          <w:rFonts w:ascii="Aptos" w:hAnsi="Aptos"/>
          <w:sz w:val="25"/>
          <w:szCs w:val="25"/>
        </w:rPr>
        <w:t xml:space="preserve">On or about April 3, 2025, Foxborough filed a </w:t>
      </w:r>
      <w:r w:rsidR="00C666A4">
        <w:rPr>
          <w:rFonts w:ascii="Aptos" w:hAnsi="Aptos"/>
          <w:sz w:val="25"/>
          <w:szCs w:val="25"/>
        </w:rPr>
        <w:t xml:space="preserve">further LEA Assignment request </w:t>
      </w:r>
      <w:r>
        <w:rPr>
          <w:rFonts w:ascii="Aptos" w:hAnsi="Aptos"/>
          <w:sz w:val="25"/>
          <w:szCs w:val="25"/>
        </w:rPr>
        <w:t xml:space="preserve">for Student. </w:t>
      </w:r>
      <w:r w:rsidR="00DB2690">
        <w:rPr>
          <w:rFonts w:ascii="Aptos" w:hAnsi="Aptos"/>
          <w:sz w:val="25"/>
          <w:szCs w:val="25"/>
        </w:rPr>
        <w:t>At the time, Foxborough was unable to provide DESE with a signed IEP, administrative data page, and PL1, as FPS had not received these documents from Norwood.</w:t>
      </w:r>
      <w:r w:rsidR="00C714D8">
        <w:rPr>
          <w:rStyle w:val="FootnoteReference"/>
          <w:rFonts w:ascii="Aptos" w:hAnsi="Aptos"/>
          <w:sz w:val="25"/>
          <w:szCs w:val="25"/>
        </w:rPr>
        <w:footnoteReference w:id="10"/>
      </w:r>
      <w:r w:rsidR="00DB2690">
        <w:rPr>
          <w:rFonts w:ascii="Aptos" w:hAnsi="Aptos"/>
          <w:sz w:val="25"/>
          <w:szCs w:val="25"/>
        </w:rPr>
        <w:t xml:space="preserve"> </w:t>
      </w:r>
      <w:r>
        <w:rPr>
          <w:rFonts w:ascii="Aptos" w:hAnsi="Aptos"/>
          <w:sz w:val="25"/>
          <w:szCs w:val="25"/>
        </w:rPr>
        <w:t>(F-1</w:t>
      </w:r>
      <w:r w:rsidR="00DA621A">
        <w:rPr>
          <w:rFonts w:ascii="Aptos" w:hAnsi="Aptos"/>
          <w:sz w:val="25"/>
          <w:szCs w:val="25"/>
        </w:rPr>
        <w:t>; D-1</w:t>
      </w:r>
      <w:r w:rsidR="00DB2690">
        <w:rPr>
          <w:rFonts w:ascii="Aptos" w:hAnsi="Aptos"/>
          <w:sz w:val="25"/>
          <w:szCs w:val="25"/>
        </w:rPr>
        <w:t>, D-10, D-11</w:t>
      </w:r>
      <w:r>
        <w:rPr>
          <w:rFonts w:ascii="Aptos" w:hAnsi="Aptos"/>
          <w:sz w:val="25"/>
          <w:szCs w:val="25"/>
        </w:rPr>
        <w:t>)</w:t>
      </w:r>
    </w:p>
    <w:p w14:paraId="23B4C5DC" w14:textId="77777777" w:rsidR="00DC758C" w:rsidRPr="00DC758C" w:rsidRDefault="00DC758C" w:rsidP="00DC758C">
      <w:pPr>
        <w:pStyle w:val="ListParagraph"/>
        <w:rPr>
          <w:rFonts w:ascii="Aptos" w:hAnsi="Aptos"/>
          <w:sz w:val="12"/>
          <w:szCs w:val="12"/>
        </w:rPr>
      </w:pPr>
    </w:p>
    <w:p w14:paraId="114BCAEE" w14:textId="3AA563A5" w:rsidR="00DC758C" w:rsidRDefault="00DC758C" w:rsidP="00920003">
      <w:pPr>
        <w:pStyle w:val="ListParagraph"/>
        <w:numPr>
          <w:ilvl w:val="0"/>
          <w:numId w:val="30"/>
        </w:numPr>
        <w:ind w:left="360"/>
        <w:rPr>
          <w:rFonts w:ascii="Aptos" w:hAnsi="Aptos"/>
          <w:sz w:val="25"/>
          <w:szCs w:val="25"/>
        </w:rPr>
      </w:pPr>
      <w:r>
        <w:rPr>
          <w:rFonts w:ascii="Aptos" w:hAnsi="Aptos"/>
          <w:sz w:val="25"/>
          <w:szCs w:val="25"/>
        </w:rPr>
        <w:t>On May 1, 2025, DESE issued a LEA Assignment Alert to Foxborough and Norwood, outlining the facts as the Depar</w:t>
      </w:r>
      <w:r w:rsidR="00C714D8">
        <w:rPr>
          <w:rFonts w:ascii="Aptos" w:hAnsi="Aptos"/>
          <w:sz w:val="25"/>
          <w:szCs w:val="25"/>
        </w:rPr>
        <w:t>t</w:t>
      </w:r>
      <w:r>
        <w:rPr>
          <w:rFonts w:ascii="Aptos" w:hAnsi="Aptos"/>
          <w:sz w:val="25"/>
          <w:szCs w:val="25"/>
        </w:rPr>
        <w:t>ment had received them and inviting both districts to submit additional information within 14 days. (D-12)</w:t>
      </w:r>
      <w:r w:rsidR="00C714D8">
        <w:rPr>
          <w:rFonts w:ascii="Aptos" w:hAnsi="Aptos"/>
          <w:sz w:val="25"/>
          <w:szCs w:val="25"/>
        </w:rPr>
        <w:t xml:space="preserve"> Norwood provided a Narrative Response on May 12, 2025, outlining its position that Student was not homeless; that she had moved from Norwood to Foxborough on or about February 3, 2025; and that, consequently, Foxborough is responsible </w:t>
      </w:r>
      <w:r w:rsidR="00C666A4">
        <w:rPr>
          <w:rFonts w:ascii="Aptos" w:hAnsi="Aptos"/>
          <w:sz w:val="25"/>
          <w:szCs w:val="25"/>
        </w:rPr>
        <w:t xml:space="preserve">as of that date </w:t>
      </w:r>
      <w:r w:rsidR="00C714D8">
        <w:rPr>
          <w:rFonts w:ascii="Aptos" w:hAnsi="Aptos"/>
          <w:sz w:val="25"/>
          <w:szCs w:val="25"/>
        </w:rPr>
        <w:t>for all special education costs</w:t>
      </w:r>
      <w:r w:rsidR="0017076C">
        <w:rPr>
          <w:rFonts w:ascii="Aptos" w:hAnsi="Aptos"/>
          <w:sz w:val="25"/>
          <w:szCs w:val="25"/>
        </w:rPr>
        <w:t xml:space="preserve"> and programming</w:t>
      </w:r>
      <w:r w:rsidR="00C714D8">
        <w:rPr>
          <w:rFonts w:ascii="Aptos" w:hAnsi="Aptos"/>
          <w:sz w:val="25"/>
          <w:szCs w:val="25"/>
        </w:rPr>
        <w:t xml:space="preserve"> as described in Student’s IEP and placement in a public day school program. (D-13)</w:t>
      </w:r>
      <w:r w:rsidR="00D15FA9">
        <w:rPr>
          <w:rFonts w:ascii="Aptos" w:hAnsi="Aptos"/>
          <w:sz w:val="25"/>
          <w:szCs w:val="25"/>
        </w:rPr>
        <w:t xml:space="preserve"> On May 14, </w:t>
      </w:r>
      <w:r w:rsidR="00873AD7">
        <w:rPr>
          <w:rFonts w:ascii="Aptos" w:hAnsi="Aptos"/>
          <w:sz w:val="25"/>
          <w:szCs w:val="25"/>
        </w:rPr>
        <w:t xml:space="preserve">2025, </w:t>
      </w:r>
      <w:r w:rsidR="00D15FA9">
        <w:rPr>
          <w:rFonts w:ascii="Aptos" w:hAnsi="Aptos"/>
          <w:sz w:val="25"/>
          <w:szCs w:val="25"/>
        </w:rPr>
        <w:t xml:space="preserve">Foxborough provided its own letter, outlining FPS’s position that Student became homeless when she began staying with Father at Hotel and, as such, Norwood (as Student’s </w:t>
      </w:r>
      <w:r w:rsidR="00D15FA9">
        <w:rPr>
          <w:rFonts w:ascii="Aptos" w:hAnsi="Aptos"/>
          <w:sz w:val="25"/>
          <w:szCs w:val="25"/>
        </w:rPr>
        <w:lastRenderedPageBreak/>
        <w:t xml:space="preserve">“district of origin”) retains </w:t>
      </w:r>
      <w:r w:rsidR="00AE794E">
        <w:rPr>
          <w:rFonts w:ascii="Aptos" w:hAnsi="Aptos"/>
          <w:sz w:val="25"/>
          <w:szCs w:val="25"/>
        </w:rPr>
        <w:t>programmatic and financial responsibility for her education.</w:t>
      </w:r>
    </w:p>
    <w:p w14:paraId="696FFD23" w14:textId="77777777" w:rsidR="00431DB3" w:rsidRPr="00A31635" w:rsidRDefault="00431DB3" w:rsidP="00431DB3">
      <w:pPr>
        <w:pStyle w:val="ListParagraph"/>
        <w:rPr>
          <w:rFonts w:ascii="Aptos" w:hAnsi="Aptos"/>
          <w:sz w:val="12"/>
          <w:szCs w:val="12"/>
        </w:rPr>
      </w:pPr>
    </w:p>
    <w:p w14:paraId="611122C6" w14:textId="6B852B36" w:rsidR="00431DB3" w:rsidRDefault="00431DB3" w:rsidP="009465C0">
      <w:pPr>
        <w:pStyle w:val="ListParagraph"/>
        <w:numPr>
          <w:ilvl w:val="0"/>
          <w:numId w:val="30"/>
        </w:numPr>
        <w:spacing w:after="120"/>
        <w:ind w:left="360"/>
        <w:rPr>
          <w:rFonts w:ascii="Aptos" w:hAnsi="Aptos"/>
          <w:sz w:val="25"/>
          <w:szCs w:val="25"/>
        </w:rPr>
      </w:pPr>
      <w:r>
        <w:rPr>
          <w:rFonts w:ascii="Aptos" w:hAnsi="Aptos"/>
          <w:sz w:val="25"/>
          <w:szCs w:val="25"/>
        </w:rPr>
        <w:t>In an Assignment of School District Responsibility</w:t>
      </w:r>
      <w:r w:rsidR="00F86D83">
        <w:rPr>
          <w:rFonts w:ascii="Aptos" w:hAnsi="Aptos"/>
          <w:sz w:val="25"/>
          <w:szCs w:val="25"/>
        </w:rPr>
        <w:t xml:space="preserve"> (LEA Assignment)</w:t>
      </w:r>
      <w:r>
        <w:rPr>
          <w:rFonts w:ascii="Aptos" w:hAnsi="Aptos"/>
          <w:sz w:val="25"/>
          <w:szCs w:val="25"/>
        </w:rPr>
        <w:t xml:space="preserve"> issued by DESE on June 18, 2025, the Department assigned both programmatic and fiscal responsibility for Student to Foxborough</w:t>
      </w:r>
      <w:r w:rsidR="005278C6">
        <w:rPr>
          <w:rFonts w:ascii="Aptos" w:hAnsi="Aptos"/>
          <w:sz w:val="25"/>
          <w:szCs w:val="25"/>
        </w:rPr>
        <w:t xml:space="preserve"> as of February 3, 2025</w:t>
      </w:r>
      <w:r>
        <w:rPr>
          <w:rFonts w:ascii="Aptos" w:hAnsi="Aptos"/>
          <w:sz w:val="25"/>
          <w:szCs w:val="25"/>
        </w:rPr>
        <w:t xml:space="preserve">. Specifically, DESE found that Student “resides in a hotel with Father,” </w:t>
      </w:r>
      <w:r w:rsidR="002C792D">
        <w:rPr>
          <w:rFonts w:ascii="Aptos" w:hAnsi="Aptos"/>
          <w:sz w:val="25"/>
          <w:szCs w:val="25"/>
        </w:rPr>
        <w:t xml:space="preserve">and </w:t>
      </w:r>
      <w:r>
        <w:rPr>
          <w:rFonts w:ascii="Aptos" w:hAnsi="Aptos"/>
          <w:sz w:val="25"/>
          <w:szCs w:val="25"/>
        </w:rPr>
        <w:t>that “hotel management treats him as a resident</w:t>
      </w:r>
      <w:r w:rsidR="002C792D">
        <w:rPr>
          <w:rFonts w:ascii="Aptos" w:hAnsi="Aptos"/>
          <w:sz w:val="25"/>
          <w:szCs w:val="25"/>
        </w:rPr>
        <w:t>.</w:t>
      </w:r>
      <w:r>
        <w:rPr>
          <w:rFonts w:ascii="Aptos" w:hAnsi="Aptos"/>
          <w:sz w:val="25"/>
          <w:szCs w:val="25"/>
        </w:rPr>
        <w:t xml:space="preserve">” </w:t>
      </w:r>
      <w:r w:rsidR="002C792D">
        <w:rPr>
          <w:rFonts w:ascii="Aptos" w:hAnsi="Aptos"/>
          <w:sz w:val="25"/>
          <w:szCs w:val="25"/>
        </w:rPr>
        <w:t>DESE concluded that Hotel</w:t>
      </w:r>
      <w:r>
        <w:rPr>
          <w:rFonts w:ascii="Aptos" w:hAnsi="Aptos"/>
          <w:sz w:val="25"/>
          <w:szCs w:val="25"/>
        </w:rPr>
        <w:t xml:space="preserve"> is a </w:t>
      </w:r>
      <w:r w:rsidR="002C792D">
        <w:rPr>
          <w:rFonts w:ascii="Aptos" w:hAnsi="Aptos"/>
          <w:sz w:val="25"/>
          <w:szCs w:val="25"/>
        </w:rPr>
        <w:t>“</w:t>
      </w:r>
      <w:r>
        <w:rPr>
          <w:rFonts w:ascii="Aptos" w:hAnsi="Aptos"/>
          <w:sz w:val="25"/>
          <w:szCs w:val="25"/>
        </w:rPr>
        <w:t>fixed, regular</w:t>
      </w:r>
      <w:r w:rsidR="002C792D">
        <w:rPr>
          <w:rFonts w:ascii="Aptos" w:hAnsi="Aptos"/>
          <w:sz w:val="25"/>
          <w:szCs w:val="25"/>
        </w:rPr>
        <w:t>, adequate nighttime residence,” pursuant t</w:t>
      </w:r>
      <w:r w:rsidR="005278C6">
        <w:rPr>
          <w:rFonts w:ascii="Aptos" w:hAnsi="Aptos"/>
          <w:sz w:val="25"/>
          <w:szCs w:val="25"/>
        </w:rPr>
        <w:t>o</w:t>
      </w:r>
      <w:r w:rsidR="002C792D">
        <w:rPr>
          <w:rFonts w:ascii="Aptos" w:hAnsi="Aptos"/>
          <w:sz w:val="25"/>
          <w:szCs w:val="25"/>
        </w:rPr>
        <w:t xml:space="preserve"> the definitions</w:t>
      </w:r>
      <w:r w:rsidR="005278C6">
        <w:rPr>
          <w:rFonts w:ascii="Aptos" w:hAnsi="Aptos"/>
          <w:sz w:val="25"/>
          <w:szCs w:val="25"/>
        </w:rPr>
        <w:t xml:space="preserve"> within McKinney-Ve</w:t>
      </w:r>
      <w:r w:rsidR="00AE794E">
        <w:rPr>
          <w:rFonts w:ascii="Aptos" w:hAnsi="Aptos"/>
          <w:sz w:val="25"/>
          <w:szCs w:val="25"/>
        </w:rPr>
        <w:t>nto.</w:t>
      </w:r>
      <w:r w:rsidR="00CE7AF5">
        <w:rPr>
          <w:rFonts w:ascii="Aptos" w:hAnsi="Aptos"/>
          <w:sz w:val="25"/>
          <w:szCs w:val="25"/>
        </w:rPr>
        <w:t xml:space="preserve"> (F-1</w:t>
      </w:r>
      <w:r w:rsidR="00DA621A">
        <w:rPr>
          <w:rFonts w:ascii="Aptos" w:hAnsi="Aptos"/>
          <w:sz w:val="25"/>
          <w:szCs w:val="25"/>
        </w:rPr>
        <w:t>; D-1</w:t>
      </w:r>
      <w:r w:rsidR="00CE7AF5">
        <w:rPr>
          <w:rFonts w:ascii="Aptos" w:hAnsi="Aptos"/>
          <w:sz w:val="25"/>
          <w:szCs w:val="25"/>
        </w:rPr>
        <w:t>)</w:t>
      </w:r>
    </w:p>
    <w:p w14:paraId="3C6FB004" w14:textId="77777777" w:rsidR="00431DB3" w:rsidRPr="00A31635" w:rsidRDefault="00431DB3" w:rsidP="00431DB3">
      <w:pPr>
        <w:pStyle w:val="ListParagraph"/>
        <w:rPr>
          <w:rFonts w:ascii="Aptos" w:hAnsi="Aptos"/>
          <w:sz w:val="12"/>
          <w:szCs w:val="12"/>
        </w:rPr>
      </w:pPr>
    </w:p>
    <w:p w14:paraId="1D185F63" w14:textId="777A77A7" w:rsidR="0067424F" w:rsidRDefault="00037DEB" w:rsidP="0067424F">
      <w:pPr>
        <w:pStyle w:val="ListParagraph"/>
        <w:numPr>
          <w:ilvl w:val="0"/>
          <w:numId w:val="30"/>
        </w:numPr>
        <w:ind w:left="360"/>
        <w:rPr>
          <w:rFonts w:ascii="Aptos" w:hAnsi="Aptos"/>
          <w:sz w:val="25"/>
          <w:szCs w:val="25"/>
        </w:rPr>
      </w:pPr>
      <w:r>
        <w:rPr>
          <w:rFonts w:ascii="Aptos" w:hAnsi="Aptos"/>
          <w:sz w:val="25"/>
          <w:szCs w:val="25"/>
        </w:rPr>
        <w:t>In connection with the underlying LEA Assignment, Student’s former DCF caseworker provided information to DESE that “verified the features of the space where Student is living with Father in Foxborough.” (F-1</w:t>
      </w:r>
      <w:r w:rsidR="00DA621A">
        <w:rPr>
          <w:rFonts w:ascii="Aptos" w:hAnsi="Aptos"/>
          <w:sz w:val="25"/>
          <w:szCs w:val="25"/>
        </w:rPr>
        <w:t>; D-1</w:t>
      </w:r>
      <w:r>
        <w:rPr>
          <w:rFonts w:ascii="Aptos" w:hAnsi="Aptos"/>
          <w:sz w:val="25"/>
          <w:szCs w:val="25"/>
        </w:rPr>
        <w:t>)</w:t>
      </w:r>
    </w:p>
    <w:p w14:paraId="6679A285" w14:textId="77777777" w:rsidR="0067424F" w:rsidRPr="0067424F" w:rsidRDefault="0067424F" w:rsidP="0067424F">
      <w:pPr>
        <w:rPr>
          <w:rFonts w:ascii="Aptos" w:hAnsi="Aptos"/>
          <w:sz w:val="12"/>
          <w:szCs w:val="12"/>
        </w:rPr>
      </w:pPr>
    </w:p>
    <w:p w14:paraId="6116A2C8" w14:textId="2536C9D7" w:rsidR="00431DB3" w:rsidRDefault="00FF26AE" w:rsidP="0067424F">
      <w:pPr>
        <w:pStyle w:val="ListParagraph"/>
        <w:numPr>
          <w:ilvl w:val="0"/>
          <w:numId w:val="30"/>
        </w:numPr>
        <w:ind w:left="360"/>
        <w:rPr>
          <w:rFonts w:ascii="Aptos" w:hAnsi="Aptos"/>
          <w:sz w:val="25"/>
          <w:szCs w:val="25"/>
        </w:rPr>
      </w:pPr>
      <w:r>
        <w:rPr>
          <w:rFonts w:ascii="Aptos" w:hAnsi="Aptos"/>
          <w:sz w:val="25"/>
          <w:szCs w:val="25"/>
        </w:rPr>
        <w:t>Three unrelated s</w:t>
      </w:r>
      <w:r w:rsidR="00037DEB">
        <w:rPr>
          <w:rFonts w:ascii="Aptos" w:hAnsi="Aptos"/>
          <w:sz w:val="25"/>
          <w:szCs w:val="25"/>
        </w:rPr>
        <w:t xml:space="preserve">chool districts have concluded that </w:t>
      </w:r>
      <w:r>
        <w:rPr>
          <w:rFonts w:ascii="Aptos" w:hAnsi="Aptos"/>
          <w:sz w:val="25"/>
          <w:szCs w:val="25"/>
        </w:rPr>
        <w:t>three individual students who attend schools within their school districts</w:t>
      </w:r>
      <w:r w:rsidR="00037DEB">
        <w:rPr>
          <w:rFonts w:ascii="Aptos" w:hAnsi="Aptos"/>
          <w:sz w:val="25"/>
          <w:szCs w:val="25"/>
        </w:rPr>
        <w:t xml:space="preserve"> </w:t>
      </w:r>
      <w:r>
        <w:rPr>
          <w:rFonts w:ascii="Aptos" w:hAnsi="Aptos"/>
          <w:sz w:val="25"/>
          <w:szCs w:val="25"/>
        </w:rPr>
        <w:t>and reside</w:t>
      </w:r>
      <w:r w:rsidR="00037DEB">
        <w:rPr>
          <w:rFonts w:ascii="Aptos" w:hAnsi="Aptos"/>
          <w:sz w:val="25"/>
          <w:szCs w:val="25"/>
        </w:rPr>
        <w:t xml:space="preserve"> in Foxborough at Hotel qualify as “homeless” for purposes of</w:t>
      </w:r>
      <w:r>
        <w:rPr>
          <w:rFonts w:ascii="Aptos" w:hAnsi="Aptos"/>
          <w:sz w:val="25"/>
          <w:szCs w:val="25"/>
        </w:rPr>
        <w:t xml:space="preserve"> sharing transportation costs under</w:t>
      </w:r>
      <w:r w:rsidR="00037DEB">
        <w:rPr>
          <w:rFonts w:ascii="Aptos" w:hAnsi="Aptos"/>
          <w:sz w:val="25"/>
          <w:szCs w:val="25"/>
        </w:rPr>
        <w:t xml:space="preserve"> McKinne</w:t>
      </w:r>
      <w:r w:rsidR="00F86D83">
        <w:rPr>
          <w:rFonts w:ascii="Aptos" w:hAnsi="Aptos"/>
          <w:sz w:val="25"/>
          <w:szCs w:val="25"/>
        </w:rPr>
        <w:t>y-</w:t>
      </w:r>
      <w:r w:rsidR="00037DEB">
        <w:rPr>
          <w:rFonts w:ascii="Aptos" w:hAnsi="Aptos"/>
          <w:sz w:val="25"/>
          <w:szCs w:val="25"/>
        </w:rPr>
        <w:t xml:space="preserve">Vento. </w:t>
      </w:r>
      <w:r w:rsidR="00A31635">
        <w:rPr>
          <w:rFonts w:ascii="Aptos" w:hAnsi="Aptos"/>
          <w:sz w:val="25"/>
          <w:szCs w:val="25"/>
        </w:rPr>
        <w:t>No further information has been provided regarding the living situations</w:t>
      </w:r>
      <w:r w:rsidR="00AE794E">
        <w:rPr>
          <w:rFonts w:ascii="Aptos" w:hAnsi="Aptos"/>
          <w:sz w:val="25"/>
          <w:szCs w:val="25"/>
        </w:rPr>
        <w:t xml:space="preserve"> of these students</w:t>
      </w:r>
      <w:r w:rsidR="00A31635">
        <w:rPr>
          <w:rFonts w:ascii="Aptos" w:hAnsi="Aptos"/>
          <w:sz w:val="25"/>
          <w:szCs w:val="25"/>
        </w:rPr>
        <w:t xml:space="preserve">. </w:t>
      </w:r>
      <w:r w:rsidR="00037DEB">
        <w:rPr>
          <w:rFonts w:ascii="Aptos" w:hAnsi="Aptos"/>
          <w:sz w:val="25"/>
          <w:szCs w:val="25"/>
        </w:rPr>
        <w:t>(F-3</w:t>
      </w:r>
      <w:r w:rsidR="00A31635">
        <w:rPr>
          <w:rFonts w:ascii="Aptos" w:hAnsi="Aptos"/>
          <w:sz w:val="25"/>
          <w:szCs w:val="25"/>
        </w:rPr>
        <w:t>)</w:t>
      </w:r>
    </w:p>
    <w:p w14:paraId="5FD21D4C" w14:textId="77777777" w:rsidR="00C10267" w:rsidRPr="00CE6951" w:rsidRDefault="00C10267" w:rsidP="00C10267">
      <w:pPr>
        <w:pStyle w:val="ListParagraph"/>
        <w:spacing w:after="120"/>
        <w:ind w:left="360"/>
        <w:rPr>
          <w:rFonts w:ascii="Aptos" w:hAnsi="Aptos"/>
          <w:sz w:val="16"/>
          <w:szCs w:val="16"/>
        </w:rPr>
      </w:pPr>
    </w:p>
    <w:p w14:paraId="77CA7232" w14:textId="77777777" w:rsidR="00855E3C" w:rsidRPr="00855E3C" w:rsidRDefault="00855E3C" w:rsidP="00855E3C">
      <w:pPr>
        <w:pStyle w:val="ListParagraph"/>
        <w:spacing w:after="100" w:afterAutospacing="1"/>
        <w:ind w:left="360"/>
        <w:rPr>
          <w:rFonts w:ascii="Aptos" w:hAnsi="Aptos"/>
          <w:sz w:val="25"/>
          <w:szCs w:val="25"/>
        </w:rPr>
      </w:pPr>
    </w:p>
    <w:p w14:paraId="6EAE98BF" w14:textId="77777777" w:rsidR="00125754" w:rsidRPr="00125754" w:rsidRDefault="00D234F8" w:rsidP="00125754">
      <w:pPr>
        <w:pStyle w:val="ListParagraph"/>
        <w:numPr>
          <w:ilvl w:val="0"/>
          <w:numId w:val="7"/>
        </w:numPr>
        <w:spacing w:after="100" w:afterAutospacing="1"/>
        <w:rPr>
          <w:rFonts w:ascii="Aptos" w:hAnsi="Aptos"/>
          <w:sz w:val="25"/>
          <w:szCs w:val="25"/>
        </w:rPr>
      </w:pPr>
      <w:r w:rsidRPr="000729EC">
        <w:rPr>
          <w:rFonts w:ascii="Aptos" w:hAnsi="Aptos"/>
          <w:b/>
          <w:bCs/>
          <w:sz w:val="25"/>
          <w:szCs w:val="25"/>
        </w:rPr>
        <w:t>DISCUSSION</w:t>
      </w:r>
    </w:p>
    <w:p w14:paraId="5117C5E0" w14:textId="5C592638" w:rsidR="00DB0954" w:rsidRPr="00686B80" w:rsidRDefault="00D234F8" w:rsidP="00F86D83">
      <w:pPr>
        <w:spacing w:after="100" w:afterAutospacing="1"/>
        <w:ind w:firstLine="720"/>
        <w:rPr>
          <w:rFonts w:ascii="Aptos" w:hAnsi="Aptos"/>
          <w:i/>
          <w:iCs/>
          <w:sz w:val="25"/>
          <w:szCs w:val="25"/>
        </w:rPr>
      </w:pPr>
      <w:r w:rsidRPr="00125754">
        <w:rPr>
          <w:rFonts w:ascii="Aptos" w:hAnsi="Aptos"/>
          <w:sz w:val="25"/>
          <w:szCs w:val="25"/>
        </w:rPr>
        <w:t xml:space="preserve">To determine whether </w:t>
      </w:r>
      <w:r w:rsidR="00801B5D">
        <w:rPr>
          <w:rFonts w:ascii="Aptos" w:hAnsi="Aptos"/>
          <w:sz w:val="25"/>
          <w:szCs w:val="25"/>
        </w:rPr>
        <w:t xml:space="preserve">DESE correctly assigned </w:t>
      </w:r>
      <w:r w:rsidR="00AE794E">
        <w:rPr>
          <w:rFonts w:ascii="Aptos" w:hAnsi="Aptos"/>
          <w:sz w:val="25"/>
          <w:szCs w:val="25"/>
        </w:rPr>
        <w:t xml:space="preserve">programmatic and financial </w:t>
      </w:r>
      <w:r w:rsidR="00801B5D">
        <w:rPr>
          <w:rFonts w:ascii="Aptos" w:hAnsi="Aptos"/>
          <w:sz w:val="25"/>
          <w:szCs w:val="25"/>
        </w:rPr>
        <w:t>responsibility for Student</w:t>
      </w:r>
      <w:r w:rsidR="00AE794E">
        <w:rPr>
          <w:rFonts w:ascii="Aptos" w:hAnsi="Aptos"/>
          <w:sz w:val="25"/>
          <w:szCs w:val="25"/>
        </w:rPr>
        <w:t>’s education</w:t>
      </w:r>
      <w:r w:rsidR="00801B5D">
        <w:rPr>
          <w:rFonts w:ascii="Aptos" w:hAnsi="Aptos"/>
          <w:sz w:val="25"/>
          <w:szCs w:val="25"/>
        </w:rPr>
        <w:t xml:space="preserve"> to </w:t>
      </w:r>
      <w:r w:rsidR="00DB0954">
        <w:rPr>
          <w:rFonts w:ascii="Aptos" w:hAnsi="Aptos"/>
          <w:sz w:val="25"/>
          <w:szCs w:val="25"/>
        </w:rPr>
        <w:t>Foxborough</w:t>
      </w:r>
      <w:r w:rsidR="00801B5D">
        <w:rPr>
          <w:rFonts w:ascii="Aptos" w:hAnsi="Aptos"/>
          <w:sz w:val="25"/>
          <w:szCs w:val="25"/>
        </w:rPr>
        <w:t>, I</w:t>
      </w:r>
      <w:r w:rsidR="00DB0954">
        <w:rPr>
          <w:rFonts w:ascii="Aptos" w:hAnsi="Aptos"/>
          <w:sz w:val="25"/>
          <w:szCs w:val="25"/>
        </w:rPr>
        <w:t xml:space="preserve"> must consider state and fede</w:t>
      </w:r>
      <w:r w:rsidR="00801B5D">
        <w:rPr>
          <w:rFonts w:ascii="Aptos" w:hAnsi="Aptos"/>
          <w:sz w:val="25"/>
          <w:szCs w:val="25"/>
        </w:rPr>
        <w:t>r</w:t>
      </w:r>
      <w:r w:rsidR="00DB0954">
        <w:rPr>
          <w:rFonts w:ascii="Aptos" w:hAnsi="Aptos"/>
          <w:sz w:val="25"/>
          <w:szCs w:val="25"/>
        </w:rPr>
        <w:t>al law regarding</w:t>
      </w:r>
      <w:r w:rsidR="008E4F40">
        <w:rPr>
          <w:rFonts w:ascii="Aptos" w:hAnsi="Aptos"/>
          <w:sz w:val="25"/>
          <w:szCs w:val="25"/>
        </w:rPr>
        <w:t xml:space="preserve"> </w:t>
      </w:r>
      <w:r w:rsidR="00DB0954">
        <w:rPr>
          <w:rFonts w:ascii="Aptos" w:hAnsi="Aptos"/>
          <w:sz w:val="25"/>
          <w:szCs w:val="25"/>
        </w:rPr>
        <w:t>school district responsibility for students with disabilities</w:t>
      </w:r>
      <w:r w:rsidR="00686B80">
        <w:rPr>
          <w:rFonts w:ascii="Aptos" w:hAnsi="Aptos"/>
          <w:sz w:val="25"/>
          <w:szCs w:val="25"/>
        </w:rPr>
        <w:t>;</w:t>
      </w:r>
      <w:r w:rsidR="00DB0954">
        <w:rPr>
          <w:rFonts w:ascii="Aptos" w:hAnsi="Aptos"/>
          <w:sz w:val="25"/>
          <w:szCs w:val="25"/>
        </w:rPr>
        <w:t xml:space="preserve"> </w:t>
      </w:r>
      <w:r w:rsidR="00686B80">
        <w:rPr>
          <w:rFonts w:ascii="Aptos" w:hAnsi="Aptos"/>
          <w:sz w:val="25"/>
          <w:szCs w:val="25"/>
        </w:rPr>
        <w:t xml:space="preserve">definitions pertaining to, and rights of, homeless children and youth; and the limits of BSEA jurisdiction. I then apply these laws and regulations to the facts above. </w:t>
      </w:r>
    </w:p>
    <w:p w14:paraId="60703486" w14:textId="21876C11" w:rsidR="00D234F8" w:rsidRPr="00125754" w:rsidRDefault="00D234F8" w:rsidP="00125754">
      <w:pPr>
        <w:pStyle w:val="ListParagraph"/>
        <w:numPr>
          <w:ilvl w:val="0"/>
          <w:numId w:val="40"/>
        </w:numPr>
        <w:spacing w:after="100" w:afterAutospacing="1"/>
        <w:rPr>
          <w:rFonts w:ascii="Aptos" w:hAnsi="Aptos"/>
          <w:sz w:val="25"/>
          <w:szCs w:val="25"/>
          <w:u w:val="single"/>
        </w:rPr>
      </w:pPr>
      <w:r w:rsidRPr="00125754">
        <w:rPr>
          <w:rFonts w:ascii="Aptos" w:hAnsi="Aptos"/>
          <w:sz w:val="25"/>
          <w:szCs w:val="25"/>
          <w:u w:val="single"/>
        </w:rPr>
        <w:t>Legal Standards</w:t>
      </w:r>
    </w:p>
    <w:p w14:paraId="4DCA23EE" w14:textId="77777777" w:rsidR="005D3622" w:rsidRDefault="005D3622" w:rsidP="005D3622">
      <w:pPr>
        <w:pStyle w:val="ListParagraph"/>
        <w:spacing w:after="100" w:afterAutospacing="1"/>
        <w:rPr>
          <w:rFonts w:ascii="Aptos" w:hAnsi="Aptos"/>
          <w:sz w:val="25"/>
          <w:szCs w:val="25"/>
          <w:u w:val="single"/>
        </w:rPr>
      </w:pPr>
    </w:p>
    <w:p w14:paraId="5F63A67D" w14:textId="77777777" w:rsidR="00AE089F" w:rsidRDefault="00AE089F" w:rsidP="007B6E36">
      <w:pPr>
        <w:pStyle w:val="ListParagraph"/>
        <w:numPr>
          <w:ilvl w:val="0"/>
          <w:numId w:val="37"/>
        </w:numPr>
        <w:spacing w:after="100" w:afterAutospacing="1"/>
        <w:rPr>
          <w:rFonts w:ascii="Aptos" w:hAnsi="Aptos"/>
          <w:i/>
          <w:iCs/>
          <w:sz w:val="25"/>
          <w:szCs w:val="25"/>
        </w:rPr>
      </w:pPr>
      <w:r>
        <w:rPr>
          <w:rFonts w:ascii="Aptos" w:hAnsi="Aptos"/>
          <w:i/>
          <w:iCs/>
          <w:sz w:val="25"/>
          <w:szCs w:val="25"/>
        </w:rPr>
        <w:t>BSEA Jurisdiction</w:t>
      </w:r>
    </w:p>
    <w:p w14:paraId="6F4285E5" w14:textId="77777777" w:rsidR="00F44A04" w:rsidRPr="00F44A04" w:rsidRDefault="00F44A04" w:rsidP="00F44A04">
      <w:pPr>
        <w:spacing w:before="240"/>
        <w:ind w:firstLine="720"/>
        <w:rPr>
          <w:rFonts w:ascii="Aptos" w:hAnsi="Aptos"/>
          <w:sz w:val="25"/>
          <w:szCs w:val="25"/>
        </w:rPr>
      </w:pPr>
      <w:r w:rsidRPr="00F44A04">
        <w:rPr>
          <w:rFonts w:ascii="Aptos" w:hAnsi="Aptos"/>
          <w:sz w:val="25"/>
          <w:szCs w:val="25"/>
        </w:rPr>
        <w:t xml:space="preserve">The IDEA, 20 U.S.C. § 1400 </w:t>
      </w:r>
      <w:r w:rsidRPr="00F44A04">
        <w:rPr>
          <w:rFonts w:ascii="Aptos" w:hAnsi="Aptos"/>
          <w:i/>
          <w:sz w:val="25"/>
          <w:szCs w:val="25"/>
        </w:rPr>
        <w:t>et seq.</w:t>
      </w:r>
      <w:r w:rsidRPr="00F44A04">
        <w:rPr>
          <w:rFonts w:ascii="Aptos" w:hAnsi="Aptos"/>
          <w:iCs/>
          <w:sz w:val="25"/>
          <w:szCs w:val="25"/>
        </w:rPr>
        <w:t>,</w:t>
      </w:r>
      <w:r w:rsidRPr="00F44A04">
        <w:rPr>
          <w:rFonts w:ascii="Aptos" w:hAnsi="Aptos"/>
          <w:sz w:val="25"/>
          <w:szCs w:val="25"/>
        </w:rPr>
        <w:t xml:space="preserve"> provides parents the right to pursue a formal due process complaint with respect to “any matter relating to the identification, evaluation, or educational placement of the child, or the provision of a free appropriate public education to such child.”</w:t>
      </w:r>
      <w:r w:rsidRPr="009F2251">
        <w:rPr>
          <w:rStyle w:val="FootnoteReference"/>
          <w:rFonts w:ascii="Aptos" w:eastAsiaTheme="majorEastAsia" w:hAnsi="Aptos"/>
          <w:sz w:val="25"/>
          <w:szCs w:val="25"/>
        </w:rPr>
        <w:footnoteReference w:id="11"/>
      </w:r>
      <w:r w:rsidRPr="00F44A04">
        <w:rPr>
          <w:rFonts w:ascii="Aptos" w:hAnsi="Aptos"/>
          <w:sz w:val="25"/>
          <w:szCs w:val="25"/>
        </w:rPr>
        <w:t xml:space="preserve"> In Massachusetts, the BSEA is the administrative agency before which any impartial due process hearing regarding these issues takes place. The BSEA is an agency of limited jurisdiction; it has jurisdiction over requests for hearing filed by: </w:t>
      </w:r>
    </w:p>
    <w:p w14:paraId="66179A86" w14:textId="77777777" w:rsidR="00F44A04" w:rsidRDefault="00F44A04" w:rsidP="00F44A04">
      <w:pPr>
        <w:pStyle w:val="ListParagraph"/>
        <w:spacing w:before="240" w:after="240"/>
        <w:ind w:left="1080"/>
        <w:rPr>
          <w:rFonts w:ascii="Aptos" w:hAnsi="Aptos"/>
          <w:sz w:val="25"/>
          <w:szCs w:val="25"/>
        </w:rPr>
      </w:pPr>
      <w:r w:rsidRPr="00F44A04">
        <w:rPr>
          <w:rFonts w:ascii="Aptos" w:hAnsi="Aptos"/>
          <w:sz w:val="25"/>
          <w:szCs w:val="25"/>
        </w:rPr>
        <w:t xml:space="preserve">a parent or school district   . . . on any matter concerning the eligibility, evaluation, placement, IEP, provision of special education in accordance </w:t>
      </w:r>
      <w:r w:rsidRPr="00F44A04">
        <w:rPr>
          <w:rFonts w:ascii="Aptos" w:hAnsi="Aptos"/>
          <w:sz w:val="25"/>
          <w:szCs w:val="25"/>
        </w:rPr>
        <w:lastRenderedPageBreak/>
        <w:t>with state and federal law, or procedural protections of state and federal law for students with disabilities. A parent of a student with a disability may also request a hearing on any issue involving the denial of the free appropriate public education guaranteed by Section 504 . . . .</w:t>
      </w:r>
      <w:r w:rsidRPr="009F2251">
        <w:rPr>
          <w:rStyle w:val="FootnoteReference"/>
          <w:rFonts w:ascii="Aptos" w:eastAsiaTheme="majorEastAsia" w:hAnsi="Aptos"/>
          <w:sz w:val="25"/>
          <w:szCs w:val="25"/>
        </w:rPr>
        <w:footnoteReference w:id="12"/>
      </w:r>
    </w:p>
    <w:p w14:paraId="204E7CE9" w14:textId="4E9B6B53" w:rsidR="00686B80" w:rsidRPr="0017076C" w:rsidRDefault="00801B5D" w:rsidP="0017076C">
      <w:pPr>
        <w:spacing w:before="240" w:after="240"/>
        <w:rPr>
          <w:rFonts w:ascii="Aptos" w:hAnsi="Aptos"/>
          <w:sz w:val="25"/>
          <w:szCs w:val="25"/>
        </w:rPr>
      </w:pPr>
      <w:r>
        <w:rPr>
          <w:rFonts w:ascii="Aptos" w:hAnsi="Aptos"/>
          <w:sz w:val="25"/>
          <w:szCs w:val="25"/>
        </w:rPr>
        <w:tab/>
        <w:t>BSEA jurisdiction specifically includes appeals of the Department’s assignments of school district responsibility</w:t>
      </w:r>
      <w:r w:rsidR="00767AD2">
        <w:rPr>
          <w:rFonts w:ascii="Aptos" w:hAnsi="Aptos"/>
          <w:sz w:val="25"/>
          <w:szCs w:val="25"/>
        </w:rPr>
        <w:t xml:space="preserve"> for children with disabilities</w:t>
      </w:r>
      <w:r>
        <w:rPr>
          <w:rFonts w:ascii="Aptos" w:hAnsi="Aptos"/>
          <w:sz w:val="25"/>
          <w:szCs w:val="25"/>
        </w:rPr>
        <w:t>,</w:t>
      </w:r>
      <w:r w:rsidR="00767AD2">
        <w:rPr>
          <w:rStyle w:val="FootnoteReference"/>
          <w:rFonts w:ascii="Aptos" w:hAnsi="Aptos"/>
          <w:sz w:val="25"/>
          <w:szCs w:val="25"/>
        </w:rPr>
        <w:footnoteReference w:id="13"/>
      </w:r>
      <w:r>
        <w:rPr>
          <w:rFonts w:ascii="Aptos" w:hAnsi="Aptos"/>
          <w:sz w:val="25"/>
          <w:szCs w:val="25"/>
        </w:rPr>
        <w:t xml:space="preserve"> </w:t>
      </w:r>
      <w:r w:rsidR="00767AD2">
        <w:rPr>
          <w:rFonts w:ascii="Aptos" w:hAnsi="Aptos"/>
          <w:sz w:val="25"/>
          <w:szCs w:val="25"/>
        </w:rPr>
        <w:t>as each LEA assignment necessarily</w:t>
      </w:r>
      <w:r>
        <w:rPr>
          <w:rFonts w:ascii="Aptos" w:hAnsi="Aptos"/>
          <w:sz w:val="25"/>
          <w:szCs w:val="25"/>
        </w:rPr>
        <w:t xml:space="preserve"> concern</w:t>
      </w:r>
      <w:r w:rsidR="00767AD2">
        <w:rPr>
          <w:rFonts w:ascii="Aptos" w:hAnsi="Aptos"/>
          <w:sz w:val="25"/>
          <w:szCs w:val="25"/>
        </w:rPr>
        <w:t>s</w:t>
      </w:r>
      <w:r>
        <w:rPr>
          <w:rFonts w:ascii="Aptos" w:hAnsi="Aptos"/>
          <w:sz w:val="25"/>
          <w:szCs w:val="25"/>
        </w:rPr>
        <w:t xml:space="preserve"> “a matter relating to the . . . education program or educational placement of a child with a disability or the provision of a free appropriate public education to the child.”</w:t>
      </w:r>
      <w:r w:rsidR="00767AD2">
        <w:rPr>
          <w:rStyle w:val="FootnoteReference"/>
          <w:rFonts w:ascii="Aptos" w:hAnsi="Aptos"/>
          <w:sz w:val="25"/>
          <w:szCs w:val="25"/>
        </w:rPr>
        <w:footnoteReference w:id="14"/>
      </w:r>
      <w:r>
        <w:rPr>
          <w:rFonts w:ascii="Aptos" w:hAnsi="Aptos"/>
          <w:sz w:val="25"/>
          <w:szCs w:val="25"/>
        </w:rPr>
        <w:t xml:space="preserve"> </w:t>
      </w:r>
    </w:p>
    <w:p w14:paraId="48AFD5E4" w14:textId="7F2207AD" w:rsidR="007B6E36" w:rsidRDefault="00686B80" w:rsidP="000E0048">
      <w:pPr>
        <w:pStyle w:val="ListParagraph"/>
        <w:numPr>
          <w:ilvl w:val="0"/>
          <w:numId w:val="37"/>
        </w:numPr>
        <w:spacing w:after="100" w:afterAutospacing="1"/>
        <w:jc w:val="both"/>
        <w:rPr>
          <w:rFonts w:ascii="Aptos" w:hAnsi="Aptos"/>
          <w:i/>
          <w:iCs/>
          <w:sz w:val="25"/>
          <w:szCs w:val="25"/>
        </w:rPr>
      </w:pPr>
      <w:r>
        <w:rPr>
          <w:rFonts w:ascii="Aptos" w:hAnsi="Aptos"/>
          <w:i/>
          <w:iCs/>
          <w:sz w:val="25"/>
          <w:szCs w:val="25"/>
        </w:rPr>
        <w:t>School District Responsibility for Children with Disabilities</w:t>
      </w:r>
    </w:p>
    <w:p w14:paraId="58527266" w14:textId="0BBD96D2" w:rsidR="00F44A04" w:rsidRPr="00F44A04" w:rsidRDefault="00F44A04" w:rsidP="00F44A04">
      <w:pPr>
        <w:spacing w:after="100" w:afterAutospacing="1"/>
        <w:ind w:firstLine="720"/>
        <w:rPr>
          <w:rFonts w:ascii="Aptos" w:hAnsi="Aptos"/>
          <w:sz w:val="25"/>
          <w:szCs w:val="25"/>
        </w:rPr>
      </w:pPr>
      <w:r w:rsidRPr="00F44A04">
        <w:rPr>
          <w:rFonts w:ascii="Aptos" w:hAnsi="Aptos"/>
          <w:sz w:val="25"/>
          <w:szCs w:val="25"/>
        </w:rPr>
        <w:t>In Massachusetts, all students have the right to enroll in the school district where they reside.</w:t>
      </w:r>
      <w:r>
        <w:rPr>
          <w:rStyle w:val="FootnoteReference"/>
          <w:rFonts w:ascii="Aptos" w:hAnsi="Aptos"/>
          <w:sz w:val="25"/>
          <w:szCs w:val="25"/>
        </w:rPr>
        <w:footnoteReference w:id="15"/>
      </w:r>
      <w:r w:rsidRPr="00F44A04">
        <w:rPr>
          <w:rFonts w:ascii="Aptos" w:hAnsi="Aptos"/>
          <w:sz w:val="25"/>
          <w:szCs w:val="25"/>
        </w:rPr>
        <w:t xml:space="preserve"> </w:t>
      </w:r>
      <w:r>
        <w:rPr>
          <w:rFonts w:ascii="Aptos" w:hAnsi="Aptos"/>
          <w:sz w:val="25"/>
          <w:szCs w:val="25"/>
        </w:rPr>
        <w:t xml:space="preserve">Each school district </w:t>
      </w:r>
      <w:r w:rsidR="000E0048">
        <w:rPr>
          <w:rFonts w:ascii="Aptos" w:hAnsi="Aptos"/>
          <w:sz w:val="25"/>
          <w:szCs w:val="25"/>
        </w:rPr>
        <w:t xml:space="preserve">must identify </w:t>
      </w:r>
      <w:r>
        <w:rPr>
          <w:rFonts w:ascii="Aptos" w:hAnsi="Aptos"/>
          <w:sz w:val="25"/>
          <w:szCs w:val="25"/>
        </w:rPr>
        <w:t xml:space="preserve">school age children residing within its bounds who have a disability, </w:t>
      </w:r>
      <w:r w:rsidR="000E0048">
        <w:rPr>
          <w:rFonts w:ascii="Aptos" w:hAnsi="Aptos"/>
          <w:sz w:val="25"/>
          <w:szCs w:val="25"/>
        </w:rPr>
        <w:t>“</w:t>
      </w:r>
      <w:r>
        <w:rPr>
          <w:rFonts w:ascii="Aptos" w:hAnsi="Aptos"/>
          <w:sz w:val="25"/>
          <w:szCs w:val="25"/>
        </w:rPr>
        <w:t>diagnos</w:t>
      </w:r>
      <w:r w:rsidR="000E0048">
        <w:rPr>
          <w:rFonts w:ascii="Aptos" w:hAnsi="Aptos"/>
          <w:sz w:val="25"/>
          <w:szCs w:val="25"/>
        </w:rPr>
        <w:t>e</w:t>
      </w:r>
      <w:r>
        <w:rPr>
          <w:rFonts w:ascii="Aptos" w:hAnsi="Aptos"/>
          <w:sz w:val="25"/>
          <w:szCs w:val="25"/>
        </w:rPr>
        <w:t xml:space="preserve"> and evaluat</w:t>
      </w:r>
      <w:r w:rsidR="000E0048">
        <w:rPr>
          <w:rFonts w:ascii="Aptos" w:hAnsi="Aptos"/>
          <w:sz w:val="25"/>
          <w:szCs w:val="25"/>
        </w:rPr>
        <w:t>e the needs of such children, propose a special education program to meet those needs, provide or arrange for the provision of such special education program, maintain a record of such identification, diagnosis, proposal and program actually provided and make such reports as the department may require.”</w:t>
      </w:r>
      <w:r w:rsidR="000E0048">
        <w:rPr>
          <w:rStyle w:val="FootnoteReference"/>
          <w:rFonts w:ascii="Aptos" w:hAnsi="Aptos"/>
          <w:sz w:val="25"/>
          <w:szCs w:val="25"/>
        </w:rPr>
        <w:footnoteReference w:id="16"/>
      </w:r>
      <w:r w:rsidR="000E0048">
        <w:rPr>
          <w:rFonts w:ascii="Aptos" w:hAnsi="Aptos"/>
          <w:sz w:val="25"/>
          <w:szCs w:val="25"/>
        </w:rPr>
        <w:t xml:space="preserve"> The district in which a student resides is responsible for her special education programming.</w:t>
      </w:r>
      <w:r w:rsidR="000E0048">
        <w:rPr>
          <w:rStyle w:val="FootnoteReference"/>
          <w:rFonts w:ascii="Aptos" w:hAnsi="Aptos"/>
          <w:sz w:val="25"/>
          <w:szCs w:val="25"/>
        </w:rPr>
        <w:footnoteReference w:id="17"/>
      </w:r>
      <w:r w:rsidR="000E0048">
        <w:rPr>
          <w:rFonts w:ascii="Aptos" w:hAnsi="Aptos"/>
          <w:sz w:val="25"/>
          <w:szCs w:val="25"/>
        </w:rPr>
        <w:t xml:space="preserve"> Where a student’s legal residence is unclear, DESE has the authority to adopt regulations to assist in resolving the issue.</w:t>
      </w:r>
      <w:r w:rsidR="000E0048">
        <w:rPr>
          <w:rStyle w:val="FootnoteReference"/>
          <w:rFonts w:ascii="Aptos" w:hAnsi="Aptos"/>
          <w:sz w:val="25"/>
          <w:szCs w:val="25"/>
        </w:rPr>
        <w:footnoteReference w:id="18"/>
      </w:r>
      <w:r w:rsidR="000E0048">
        <w:rPr>
          <w:rFonts w:ascii="Aptos" w:hAnsi="Aptos"/>
          <w:sz w:val="25"/>
          <w:szCs w:val="25"/>
        </w:rPr>
        <w:t xml:space="preserve"> Pursuant to this authority, the Department promulgated regulations concerning assignment of special education responsib</w:t>
      </w:r>
      <w:r w:rsidR="00686B80">
        <w:rPr>
          <w:rFonts w:ascii="Aptos" w:hAnsi="Aptos"/>
          <w:sz w:val="25"/>
          <w:szCs w:val="25"/>
        </w:rPr>
        <w:t>ilit</w:t>
      </w:r>
      <w:r w:rsidR="000E0048">
        <w:rPr>
          <w:rFonts w:ascii="Aptos" w:hAnsi="Aptos"/>
          <w:sz w:val="25"/>
          <w:szCs w:val="25"/>
        </w:rPr>
        <w:t xml:space="preserve">y, which are set forth at 603 </w:t>
      </w:r>
      <w:r w:rsidR="00985225">
        <w:rPr>
          <w:rFonts w:ascii="Aptos" w:hAnsi="Aptos"/>
          <w:sz w:val="25"/>
          <w:szCs w:val="25"/>
        </w:rPr>
        <w:t>CMR</w:t>
      </w:r>
      <w:r w:rsidR="000E0048">
        <w:rPr>
          <w:rFonts w:ascii="Aptos" w:hAnsi="Aptos"/>
          <w:sz w:val="25"/>
          <w:szCs w:val="25"/>
        </w:rPr>
        <w:t xml:space="preserve"> 28.10.</w:t>
      </w:r>
    </w:p>
    <w:p w14:paraId="6732CBE4" w14:textId="2FBFC02F" w:rsidR="00A55635" w:rsidRPr="00F241C7" w:rsidRDefault="00F86D83" w:rsidP="00F241C7">
      <w:pPr>
        <w:spacing w:after="100" w:afterAutospacing="1"/>
        <w:ind w:firstLine="720"/>
        <w:rPr>
          <w:rFonts w:ascii="Aptos" w:hAnsi="Aptos"/>
          <w:sz w:val="25"/>
          <w:szCs w:val="25"/>
        </w:rPr>
      </w:pPr>
      <w:r>
        <w:rPr>
          <w:rFonts w:ascii="Aptos" w:hAnsi="Aptos"/>
          <w:sz w:val="25"/>
          <w:szCs w:val="25"/>
        </w:rPr>
        <w:t>In accordance with</w:t>
      </w:r>
      <w:r w:rsidR="00A55635">
        <w:rPr>
          <w:rFonts w:ascii="Aptos" w:hAnsi="Aptos"/>
          <w:sz w:val="25"/>
          <w:szCs w:val="25"/>
        </w:rPr>
        <w:t xml:space="preserve"> 603 CMR</w:t>
      </w:r>
      <w:r w:rsidR="000E0048">
        <w:rPr>
          <w:rFonts w:ascii="Aptos" w:hAnsi="Aptos"/>
          <w:sz w:val="25"/>
          <w:szCs w:val="25"/>
        </w:rPr>
        <w:t xml:space="preserve"> 28.10, DESE assigns school district responsibility for a particular student based on whether the student lives with one or both parents; is over 18 years old and has established her own residence as an adult; lives in an institutional facility operated by one of several enumerated state agencies; lives with relatives; is placed in foster care; is homeless; or is in another living situation as </w:t>
      </w:r>
      <w:r w:rsidR="000E0048">
        <w:rPr>
          <w:rFonts w:ascii="Aptos" w:hAnsi="Aptos"/>
          <w:sz w:val="25"/>
          <w:szCs w:val="25"/>
        </w:rPr>
        <w:lastRenderedPageBreak/>
        <w:t xml:space="preserve">described. </w:t>
      </w:r>
      <w:r w:rsidR="003B14EE">
        <w:rPr>
          <w:rFonts w:ascii="Aptos" w:hAnsi="Aptos"/>
          <w:sz w:val="25"/>
          <w:szCs w:val="25"/>
        </w:rPr>
        <w:t xml:space="preserve">Generally, when </w:t>
      </w:r>
      <w:r w:rsidR="000E0048">
        <w:rPr>
          <w:rFonts w:ascii="Aptos" w:hAnsi="Aptos"/>
          <w:sz w:val="25"/>
          <w:szCs w:val="25"/>
        </w:rPr>
        <w:t>a student is living with a parent, the school district “where the student resides shall have both programmatic and financial responsibility.”</w:t>
      </w:r>
      <w:r w:rsidR="000E0048">
        <w:rPr>
          <w:rStyle w:val="FootnoteReference"/>
          <w:rFonts w:ascii="Aptos" w:hAnsi="Aptos"/>
          <w:sz w:val="25"/>
          <w:szCs w:val="25"/>
        </w:rPr>
        <w:footnoteReference w:id="19"/>
      </w:r>
    </w:p>
    <w:p w14:paraId="2C364091" w14:textId="0C968738" w:rsidR="00F450FC" w:rsidRPr="00087418" w:rsidRDefault="005278C6" w:rsidP="00C07D1E">
      <w:pPr>
        <w:pStyle w:val="ListParagraph"/>
        <w:numPr>
          <w:ilvl w:val="0"/>
          <w:numId w:val="37"/>
        </w:numPr>
        <w:spacing w:after="100" w:afterAutospacing="1"/>
        <w:rPr>
          <w:rFonts w:ascii="Aptos" w:hAnsi="Aptos"/>
          <w:sz w:val="25"/>
          <w:szCs w:val="25"/>
        </w:rPr>
      </w:pPr>
      <w:r>
        <w:rPr>
          <w:rFonts w:ascii="Aptos" w:hAnsi="Aptos"/>
          <w:i/>
          <w:iCs/>
          <w:sz w:val="25"/>
          <w:szCs w:val="25"/>
        </w:rPr>
        <w:t>“Homelessness” Under the McKinney-Vento Act</w:t>
      </w:r>
      <w:r w:rsidR="00F241C7">
        <w:rPr>
          <w:rFonts w:ascii="Aptos" w:hAnsi="Aptos"/>
          <w:i/>
          <w:iCs/>
          <w:sz w:val="25"/>
          <w:szCs w:val="25"/>
        </w:rPr>
        <w:t xml:space="preserve"> and Massachusetts Regulations</w:t>
      </w:r>
    </w:p>
    <w:p w14:paraId="7263871F" w14:textId="77777777" w:rsidR="00087418" w:rsidRPr="00A55635" w:rsidRDefault="00087418" w:rsidP="00087418">
      <w:pPr>
        <w:pStyle w:val="ListParagraph"/>
        <w:spacing w:after="100" w:afterAutospacing="1"/>
        <w:ind w:left="1080"/>
        <w:rPr>
          <w:rFonts w:ascii="Aptos" w:hAnsi="Aptos"/>
          <w:sz w:val="25"/>
          <w:szCs w:val="25"/>
        </w:rPr>
      </w:pPr>
    </w:p>
    <w:p w14:paraId="313A4007" w14:textId="79E0D15E" w:rsidR="00087418" w:rsidRPr="00087418" w:rsidRDefault="00087418" w:rsidP="00087418">
      <w:pPr>
        <w:pStyle w:val="ListParagraph"/>
        <w:numPr>
          <w:ilvl w:val="0"/>
          <w:numId w:val="43"/>
        </w:numPr>
        <w:spacing w:after="100" w:afterAutospacing="1"/>
        <w:rPr>
          <w:rFonts w:ascii="Aptos" w:hAnsi="Aptos"/>
          <w:sz w:val="25"/>
          <w:szCs w:val="25"/>
        </w:rPr>
      </w:pPr>
      <w:r>
        <w:rPr>
          <w:rFonts w:ascii="Aptos" w:hAnsi="Aptos"/>
          <w:sz w:val="25"/>
          <w:szCs w:val="25"/>
          <w:u w:val="single"/>
        </w:rPr>
        <w:t xml:space="preserve">School Placement of, and School District Responsibility for, </w:t>
      </w:r>
      <w:r w:rsidR="00AE794E">
        <w:rPr>
          <w:rFonts w:ascii="Aptos" w:hAnsi="Aptos"/>
          <w:sz w:val="25"/>
          <w:szCs w:val="25"/>
          <w:u w:val="single"/>
        </w:rPr>
        <w:t>H</w:t>
      </w:r>
      <w:r>
        <w:rPr>
          <w:rFonts w:ascii="Aptos" w:hAnsi="Aptos"/>
          <w:sz w:val="25"/>
          <w:szCs w:val="25"/>
          <w:u w:val="single"/>
        </w:rPr>
        <w:t>omeless Children and Youth</w:t>
      </w:r>
    </w:p>
    <w:p w14:paraId="1D117B4A" w14:textId="62CB6F50" w:rsidR="003462C8" w:rsidRDefault="00F241C7" w:rsidP="00767AD2">
      <w:pPr>
        <w:spacing w:after="100" w:afterAutospacing="1"/>
        <w:ind w:firstLine="720"/>
        <w:rPr>
          <w:rFonts w:ascii="Aptos" w:hAnsi="Aptos"/>
          <w:sz w:val="25"/>
          <w:szCs w:val="25"/>
        </w:rPr>
      </w:pPr>
      <w:r>
        <w:rPr>
          <w:rFonts w:ascii="Aptos" w:hAnsi="Aptos"/>
          <w:sz w:val="25"/>
          <w:szCs w:val="25"/>
        </w:rPr>
        <w:t xml:space="preserve">Notwithstanding </w:t>
      </w:r>
      <w:r w:rsidR="008E4F40">
        <w:rPr>
          <w:rFonts w:ascii="Aptos" w:hAnsi="Aptos"/>
          <w:sz w:val="25"/>
          <w:szCs w:val="25"/>
        </w:rPr>
        <w:t>s</w:t>
      </w:r>
      <w:r>
        <w:rPr>
          <w:rFonts w:ascii="Aptos" w:hAnsi="Aptos"/>
          <w:sz w:val="25"/>
          <w:szCs w:val="25"/>
        </w:rPr>
        <w:t>tate laws regarding student enrollment, feder</w:t>
      </w:r>
      <w:r w:rsidR="00A55635">
        <w:rPr>
          <w:rFonts w:ascii="Aptos" w:hAnsi="Aptos"/>
          <w:sz w:val="25"/>
          <w:szCs w:val="25"/>
        </w:rPr>
        <w:t>al law</w:t>
      </w:r>
      <w:r w:rsidR="00767AD2">
        <w:rPr>
          <w:rFonts w:ascii="Aptos" w:hAnsi="Aptos"/>
          <w:sz w:val="25"/>
          <w:szCs w:val="25"/>
        </w:rPr>
        <w:t xml:space="preserve"> </w:t>
      </w:r>
      <w:r w:rsidR="00A55635">
        <w:rPr>
          <w:rFonts w:ascii="Aptos" w:hAnsi="Aptos"/>
          <w:sz w:val="25"/>
          <w:szCs w:val="25"/>
        </w:rPr>
        <w:t>confer</w:t>
      </w:r>
      <w:r>
        <w:rPr>
          <w:rFonts w:ascii="Aptos" w:hAnsi="Aptos"/>
          <w:sz w:val="25"/>
          <w:szCs w:val="25"/>
        </w:rPr>
        <w:t xml:space="preserve">s additional </w:t>
      </w:r>
      <w:r w:rsidR="00A55635">
        <w:rPr>
          <w:rFonts w:ascii="Aptos" w:hAnsi="Aptos"/>
          <w:sz w:val="25"/>
          <w:szCs w:val="25"/>
        </w:rPr>
        <w:t>rights on students who are experiencing homelessness</w:t>
      </w:r>
      <w:r>
        <w:rPr>
          <w:rFonts w:ascii="Aptos" w:hAnsi="Aptos"/>
          <w:sz w:val="25"/>
          <w:szCs w:val="25"/>
        </w:rPr>
        <w:t xml:space="preserve">. </w:t>
      </w:r>
      <w:r w:rsidR="00A55635">
        <w:rPr>
          <w:rFonts w:ascii="Aptos" w:hAnsi="Aptos"/>
          <w:sz w:val="25"/>
          <w:szCs w:val="25"/>
        </w:rPr>
        <w:t>McKinney-Vent</w:t>
      </w:r>
      <w:r w:rsidR="00347542">
        <w:rPr>
          <w:rFonts w:ascii="Aptos" w:hAnsi="Aptos"/>
          <w:sz w:val="25"/>
          <w:szCs w:val="25"/>
        </w:rPr>
        <w:t>o</w:t>
      </w:r>
      <w:r>
        <w:rPr>
          <w:rFonts w:ascii="Aptos" w:hAnsi="Aptos"/>
          <w:sz w:val="25"/>
          <w:szCs w:val="25"/>
        </w:rPr>
        <w:t xml:space="preserve"> provides that</w:t>
      </w:r>
      <w:r w:rsidR="00A55635">
        <w:rPr>
          <w:rFonts w:ascii="Aptos" w:hAnsi="Aptos"/>
          <w:sz w:val="25"/>
          <w:szCs w:val="25"/>
        </w:rPr>
        <w:t xml:space="preserve"> a student who has become homeless has the right to continue her enrollment in the district where she resided before becoming homeless or to enroll in the district where she resides temporarily.</w:t>
      </w:r>
      <w:r w:rsidR="001647B4">
        <w:rPr>
          <w:rStyle w:val="FootnoteReference"/>
          <w:rFonts w:ascii="Aptos" w:hAnsi="Aptos"/>
          <w:sz w:val="25"/>
          <w:szCs w:val="25"/>
        </w:rPr>
        <w:footnoteReference w:id="20"/>
      </w:r>
      <w:r w:rsidR="00A55635">
        <w:rPr>
          <w:rFonts w:ascii="Aptos" w:hAnsi="Aptos"/>
          <w:sz w:val="25"/>
          <w:szCs w:val="25"/>
        </w:rPr>
        <w:t xml:space="preserve"> </w:t>
      </w:r>
      <w:r w:rsidR="00F86D83">
        <w:rPr>
          <w:rFonts w:ascii="Aptos" w:hAnsi="Aptos"/>
          <w:sz w:val="25"/>
          <w:szCs w:val="25"/>
        </w:rPr>
        <w:t xml:space="preserve">Pursuant to </w:t>
      </w:r>
      <w:r w:rsidR="003462C8">
        <w:rPr>
          <w:rFonts w:ascii="Aptos" w:hAnsi="Aptos"/>
          <w:sz w:val="25"/>
          <w:szCs w:val="25"/>
        </w:rPr>
        <w:t>Massachusetts regulations regarding assignment of school district responsibility for homeless students</w:t>
      </w:r>
      <w:r w:rsidR="00F86D83">
        <w:rPr>
          <w:rFonts w:ascii="Aptos" w:hAnsi="Aptos"/>
          <w:sz w:val="25"/>
          <w:szCs w:val="25"/>
        </w:rPr>
        <w:t>,</w:t>
      </w:r>
      <w:r w:rsidR="003462C8">
        <w:rPr>
          <w:rFonts w:ascii="Aptos" w:hAnsi="Aptos"/>
          <w:sz w:val="25"/>
          <w:szCs w:val="25"/>
        </w:rPr>
        <w:t xml:space="preserve"> this determination depends on whether the student chooses to remain enrolled in the district where she was enrolled prior to becoming homeless or elects to enroll in the district where she is residing temporarily during the period of homelessness.</w:t>
      </w:r>
      <w:r w:rsidR="00F86D83">
        <w:rPr>
          <w:rStyle w:val="FootnoteReference"/>
          <w:rFonts w:ascii="Aptos" w:hAnsi="Aptos"/>
          <w:sz w:val="25"/>
          <w:szCs w:val="25"/>
        </w:rPr>
        <w:footnoteReference w:id="21"/>
      </w:r>
      <w:r w:rsidR="003462C8">
        <w:rPr>
          <w:rFonts w:ascii="Aptos" w:hAnsi="Aptos"/>
          <w:sz w:val="25"/>
          <w:szCs w:val="25"/>
        </w:rPr>
        <w:t xml:space="preserve"> Specifically:</w:t>
      </w:r>
    </w:p>
    <w:p w14:paraId="365439BC" w14:textId="63F9B903" w:rsidR="003462C8" w:rsidRDefault="003462C8" w:rsidP="004A7EBE">
      <w:pPr>
        <w:spacing w:after="100" w:afterAutospacing="1"/>
        <w:ind w:left="1440"/>
        <w:rPr>
          <w:rFonts w:ascii="Aptos" w:hAnsi="Aptos"/>
          <w:sz w:val="25"/>
          <w:szCs w:val="25"/>
        </w:rPr>
      </w:pPr>
      <w:r>
        <w:rPr>
          <w:rFonts w:ascii="Aptos" w:hAnsi="Aptos"/>
          <w:sz w:val="25"/>
          <w:szCs w:val="25"/>
        </w:rPr>
        <w:t>The school district(s) that was programmatically and financially responsible prior to the student becoming homeless shall remain programmatically and financially responsible for a homeless student until the parent(s) or legal guardian or state agency with care or custody of the student chooses to enroll the student in the school district where the shelter or temporary residence is located . . . When a student whose IEP requires out-of-district services is enrolled in the school district where the student is temporarily residing, then that school district shall become programmatically responsible upon enrollment and the school district(s) that was financially responsible prior to the student becoming homeless shall remain financially responsible until the student is no longer homeless.</w:t>
      </w:r>
      <w:r>
        <w:rPr>
          <w:rStyle w:val="FootnoteReference"/>
          <w:rFonts w:ascii="Aptos" w:hAnsi="Aptos"/>
          <w:sz w:val="25"/>
          <w:szCs w:val="25"/>
        </w:rPr>
        <w:footnoteReference w:id="22"/>
      </w:r>
    </w:p>
    <w:p w14:paraId="374D0D17" w14:textId="77777777" w:rsidR="008E4F40" w:rsidRDefault="001647B4" w:rsidP="003462C8">
      <w:pPr>
        <w:spacing w:after="100" w:afterAutospacing="1"/>
        <w:ind w:firstLine="720"/>
        <w:rPr>
          <w:rFonts w:ascii="Aptos" w:hAnsi="Aptos"/>
          <w:sz w:val="25"/>
          <w:szCs w:val="25"/>
        </w:rPr>
      </w:pPr>
      <w:r>
        <w:rPr>
          <w:rFonts w:ascii="Aptos" w:hAnsi="Aptos"/>
          <w:sz w:val="25"/>
          <w:szCs w:val="25"/>
        </w:rPr>
        <w:lastRenderedPageBreak/>
        <w:t>McKinney-Vento</w:t>
      </w:r>
      <w:r w:rsidR="00347542">
        <w:rPr>
          <w:rFonts w:ascii="Aptos" w:hAnsi="Aptos"/>
          <w:sz w:val="25"/>
          <w:szCs w:val="25"/>
        </w:rPr>
        <w:t xml:space="preserve"> requires States, as a condition of receiving federal funds, to ensure that school districts provide educational services to homeless children and youth</w:t>
      </w:r>
      <w:r w:rsidR="004A7EBE">
        <w:rPr>
          <w:rFonts w:ascii="Aptos" w:hAnsi="Aptos"/>
          <w:sz w:val="25"/>
          <w:szCs w:val="25"/>
        </w:rPr>
        <w:t>, and that all homeless students with disabilities have equal access to a free appropriate public education</w:t>
      </w:r>
      <w:r w:rsidR="00347542">
        <w:rPr>
          <w:rFonts w:ascii="Aptos" w:hAnsi="Aptos"/>
          <w:sz w:val="25"/>
          <w:szCs w:val="25"/>
        </w:rPr>
        <w:t>.</w:t>
      </w:r>
      <w:r w:rsidR="00347542">
        <w:rPr>
          <w:rStyle w:val="FootnoteReference"/>
          <w:rFonts w:ascii="Aptos" w:hAnsi="Aptos"/>
          <w:sz w:val="25"/>
          <w:szCs w:val="25"/>
        </w:rPr>
        <w:footnoteReference w:id="23"/>
      </w:r>
      <w:r w:rsidR="00347542">
        <w:rPr>
          <w:rFonts w:ascii="Aptos" w:hAnsi="Aptos"/>
          <w:sz w:val="25"/>
          <w:szCs w:val="25"/>
        </w:rPr>
        <w:t xml:space="preserve"> Further, </w:t>
      </w:r>
      <w:r w:rsidR="00AE794E">
        <w:rPr>
          <w:rFonts w:ascii="Aptos" w:hAnsi="Aptos"/>
          <w:sz w:val="25"/>
          <w:szCs w:val="25"/>
        </w:rPr>
        <w:t>the Act</w:t>
      </w:r>
      <w:r>
        <w:rPr>
          <w:rFonts w:ascii="Aptos" w:hAnsi="Aptos"/>
          <w:sz w:val="25"/>
          <w:szCs w:val="25"/>
        </w:rPr>
        <w:t xml:space="preserve"> instructs States to establish a system for resolution of disputes regarding the educational placement of homeless students.</w:t>
      </w:r>
      <w:r w:rsidR="00E42106">
        <w:rPr>
          <w:rStyle w:val="FootnoteReference"/>
          <w:rFonts w:ascii="Aptos" w:hAnsi="Aptos"/>
          <w:sz w:val="25"/>
          <w:szCs w:val="25"/>
        </w:rPr>
        <w:footnoteReference w:id="24"/>
      </w:r>
      <w:r>
        <w:rPr>
          <w:rFonts w:ascii="Aptos" w:hAnsi="Aptos"/>
          <w:sz w:val="25"/>
          <w:szCs w:val="25"/>
        </w:rPr>
        <w:t xml:space="preserve"> </w:t>
      </w:r>
    </w:p>
    <w:p w14:paraId="3E869D48" w14:textId="5AFBB0DF" w:rsidR="003462C8" w:rsidRDefault="001647B4" w:rsidP="008E4F40">
      <w:pPr>
        <w:spacing w:after="100" w:afterAutospacing="1"/>
        <w:ind w:firstLine="720"/>
        <w:rPr>
          <w:rFonts w:ascii="Aptos" w:hAnsi="Aptos"/>
          <w:sz w:val="25"/>
          <w:szCs w:val="25"/>
        </w:rPr>
      </w:pPr>
      <w:r>
        <w:rPr>
          <w:rFonts w:ascii="Aptos" w:hAnsi="Aptos"/>
          <w:sz w:val="25"/>
          <w:szCs w:val="25"/>
        </w:rPr>
        <w:t>In Massachusetts, the Dep</w:t>
      </w:r>
      <w:r w:rsidR="00AE089F">
        <w:rPr>
          <w:rFonts w:ascii="Aptos" w:hAnsi="Aptos"/>
          <w:sz w:val="25"/>
          <w:szCs w:val="25"/>
        </w:rPr>
        <w:t>artment issued an advisory</w:t>
      </w:r>
      <w:r w:rsidR="003462C8">
        <w:rPr>
          <w:rFonts w:ascii="Aptos" w:hAnsi="Aptos"/>
          <w:sz w:val="25"/>
          <w:szCs w:val="25"/>
        </w:rPr>
        <w:t xml:space="preserve"> entitled </w:t>
      </w:r>
      <w:r w:rsidR="003462C8" w:rsidRPr="00F86D83">
        <w:rPr>
          <w:rFonts w:ascii="Aptos" w:hAnsi="Aptos"/>
          <w:i/>
          <w:iCs/>
          <w:sz w:val="25"/>
          <w:szCs w:val="25"/>
        </w:rPr>
        <w:t>McKinney-Vento Homeless Education Assistance – Advisories</w:t>
      </w:r>
      <w:r w:rsidR="003462C8">
        <w:rPr>
          <w:rFonts w:ascii="Aptos" w:hAnsi="Aptos"/>
          <w:sz w:val="25"/>
          <w:szCs w:val="25"/>
        </w:rPr>
        <w:t xml:space="preserve"> (Department’s McKinney-Vento Guidance), which </w:t>
      </w:r>
      <w:r>
        <w:rPr>
          <w:rFonts w:ascii="Aptos" w:hAnsi="Aptos"/>
          <w:sz w:val="25"/>
          <w:szCs w:val="25"/>
        </w:rPr>
        <w:t>outlines this system.</w:t>
      </w:r>
      <w:r w:rsidR="008E4F40">
        <w:rPr>
          <w:rFonts w:ascii="Aptos" w:hAnsi="Aptos"/>
          <w:sz w:val="25"/>
          <w:szCs w:val="25"/>
        </w:rPr>
        <w:t xml:space="preserve"> </w:t>
      </w:r>
      <w:r w:rsidR="00AE089F">
        <w:rPr>
          <w:rFonts w:ascii="Aptos" w:hAnsi="Aptos"/>
          <w:sz w:val="25"/>
          <w:szCs w:val="25"/>
        </w:rPr>
        <w:t xml:space="preserve">Under </w:t>
      </w:r>
      <w:r w:rsidR="003462C8">
        <w:rPr>
          <w:rFonts w:ascii="Aptos" w:hAnsi="Aptos"/>
          <w:sz w:val="25"/>
          <w:szCs w:val="25"/>
        </w:rPr>
        <w:t xml:space="preserve">the </w:t>
      </w:r>
      <w:r w:rsidR="00AE089F">
        <w:rPr>
          <w:rFonts w:ascii="Aptos" w:hAnsi="Aptos"/>
          <w:sz w:val="25"/>
          <w:szCs w:val="25"/>
        </w:rPr>
        <w:t xml:space="preserve">Department’s McKinney-Vento Guidance, </w:t>
      </w:r>
      <w:r w:rsidR="00767AD2">
        <w:rPr>
          <w:rFonts w:ascii="Aptos" w:hAnsi="Aptos"/>
          <w:sz w:val="25"/>
          <w:szCs w:val="25"/>
        </w:rPr>
        <w:t>if a dispute arises between a school district and a parent, the parent must be “</w:t>
      </w:r>
      <w:r w:rsidR="00AE089F">
        <w:rPr>
          <w:rFonts w:ascii="Aptos" w:hAnsi="Aptos"/>
          <w:sz w:val="25"/>
          <w:szCs w:val="25"/>
        </w:rPr>
        <w:t xml:space="preserve">provided with a written explanation of any enrollment decisions made by the district and must be informed of </w:t>
      </w:r>
      <w:r w:rsidR="00767AD2">
        <w:rPr>
          <w:rFonts w:ascii="Aptos" w:hAnsi="Aptos"/>
          <w:sz w:val="25"/>
          <w:szCs w:val="25"/>
        </w:rPr>
        <w:t xml:space="preserve">the </w:t>
      </w:r>
      <w:r w:rsidR="00AE089F">
        <w:rPr>
          <w:rFonts w:ascii="Aptos" w:hAnsi="Aptos"/>
          <w:sz w:val="25"/>
          <w:szCs w:val="25"/>
        </w:rPr>
        <w:t>right</w:t>
      </w:r>
      <w:r w:rsidR="00767AD2">
        <w:rPr>
          <w:rFonts w:ascii="Aptos" w:hAnsi="Aptos"/>
          <w:sz w:val="25"/>
          <w:szCs w:val="25"/>
        </w:rPr>
        <w:t xml:space="preserve"> . . .</w:t>
      </w:r>
      <w:r w:rsidR="00AE089F">
        <w:rPr>
          <w:rFonts w:ascii="Aptos" w:hAnsi="Aptos"/>
          <w:sz w:val="25"/>
          <w:szCs w:val="25"/>
        </w:rPr>
        <w:t xml:space="preserve"> to appeal the decision to [DESE].”</w:t>
      </w:r>
      <w:r w:rsidR="00AE089F">
        <w:rPr>
          <w:rStyle w:val="FootnoteReference"/>
          <w:rFonts w:ascii="Aptos" w:hAnsi="Aptos"/>
          <w:sz w:val="25"/>
          <w:szCs w:val="25"/>
        </w:rPr>
        <w:footnoteReference w:id="25"/>
      </w:r>
      <w:r w:rsidR="00AE089F">
        <w:rPr>
          <w:rFonts w:ascii="Aptos" w:hAnsi="Aptos"/>
          <w:sz w:val="25"/>
          <w:szCs w:val="25"/>
        </w:rPr>
        <w:t xml:space="preserve"> Pursuant to the Guidance, upon receipt of a form documenting a school district’s denial of a student’s requested enrollment, the appeal, and any additional requested information, the Department’s Commissioner “shall promptly issue a decision,” which “shall be final.”</w:t>
      </w:r>
      <w:r w:rsidR="00AE089F">
        <w:rPr>
          <w:rStyle w:val="FootnoteReference"/>
          <w:rFonts w:ascii="Aptos" w:hAnsi="Aptos"/>
          <w:sz w:val="25"/>
          <w:szCs w:val="25"/>
        </w:rPr>
        <w:footnoteReference w:id="26"/>
      </w:r>
    </w:p>
    <w:p w14:paraId="13D56B65" w14:textId="65BD1656" w:rsidR="00087418" w:rsidRPr="00767AD2" w:rsidRDefault="00087418" w:rsidP="00087418">
      <w:pPr>
        <w:pStyle w:val="ListParagraph"/>
        <w:numPr>
          <w:ilvl w:val="0"/>
          <w:numId w:val="43"/>
        </w:numPr>
        <w:spacing w:after="100" w:afterAutospacing="1"/>
        <w:rPr>
          <w:rFonts w:ascii="Aptos" w:hAnsi="Aptos"/>
          <w:sz w:val="25"/>
          <w:szCs w:val="25"/>
        </w:rPr>
      </w:pPr>
      <w:r>
        <w:rPr>
          <w:rFonts w:ascii="Aptos" w:hAnsi="Aptos"/>
          <w:sz w:val="25"/>
          <w:szCs w:val="25"/>
          <w:u w:val="single"/>
        </w:rPr>
        <w:t>Defining Homelessness</w:t>
      </w:r>
    </w:p>
    <w:p w14:paraId="3C35909D" w14:textId="54CB1B88" w:rsidR="00767AD2" w:rsidRDefault="00767AD2" w:rsidP="005B3181">
      <w:pPr>
        <w:spacing w:after="100" w:afterAutospacing="1"/>
        <w:ind w:firstLine="720"/>
        <w:rPr>
          <w:rFonts w:ascii="Aptos" w:hAnsi="Aptos"/>
          <w:sz w:val="25"/>
          <w:szCs w:val="25"/>
        </w:rPr>
      </w:pPr>
      <w:r>
        <w:rPr>
          <w:rFonts w:ascii="Aptos" w:hAnsi="Aptos"/>
          <w:sz w:val="25"/>
          <w:szCs w:val="25"/>
        </w:rPr>
        <w:t xml:space="preserve">McKinney-Vento </w:t>
      </w:r>
      <w:r w:rsidR="005B3181">
        <w:rPr>
          <w:rFonts w:ascii="Aptos" w:hAnsi="Aptos"/>
          <w:sz w:val="25"/>
          <w:szCs w:val="25"/>
        </w:rPr>
        <w:t>defines “homeless children and youth</w:t>
      </w:r>
      <w:r w:rsidR="008B5A39">
        <w:rPr>
          <w:rFonts w:ascii="Aptos" w:hAnsi="Aptos"/>
          <w:sz w:val="25"/>
          <w:szCs w:val="25"/>
        </w:rPr>
        <w:t>s</w:t>
      </w:r>
      <w:r w:rsidR="005B3181">
        <w:rPr>
          <w:rFonts w:ascii="Aptos" w:hAnsi="Aptos"/>
          <w:sz w:val="25"/>
          <w:szCs w:val="25"/>
        </w:rPr>
        <w:t>” as “individuals who lack a fixed, regular, and adequate nighttime residence.”</w:t>
      </w:r>
      <w:r w:rsidR="005B3181">
        <w:rPr>
          <w:rStyle w:val="FootnoteReference"/>
          <w:rFonts w:ascii="Aptos" w:hAnsi="Aptos"/>
          <w:sz w:val="25"/>
          <w:szCs w:val="25"/>
        </w:rPr>
        <w:footnoteReference w:id="27"/>
      </w:r>
      <w:r w:rsidR="009A027F">
        <w:rPr>
          <w:rFonts w:ascii="Aptos" w:hAnsi="Aptos"/>
          <w:sz w:val="25"/>
          <w:szCs w:val="25"/>
        </w:rPr>
        <w:t xml:space="preserve"> The term specifically includes, in pertinent part, “children and youth</w:t>
      </w:r>
      <w:r w:rsidR="008B5A39">
        <w:rPr>
          <w:rFonts w:ascii="Aptos" w:hAnsi="Aptos"/>
          <w:sz w:val="25"/>
          <w:szCs w:val="25"/>
        </w:rPr>
        <w:t>s</w:t>
      </w:r>
      <w:r w:rsidR="009A027F">
        <w:rPr>
          <w:rFonts w:ascii="Aptos" w:hAnsi="Aptos"/>
          <w:sz w:val="25"/>
          <w:szCs w:val="25"/>
        </w:rPr>
        <w:t xml:space="preserve"> who are sharing the housing of other persons due to loss of housing, economic hardship, or a similar reason; are living in motels, hotels, trailer parks, or camping grounds due to the lack of alternative adequate accommodations; are living in emergency or transitional shelters; or are abandoned in hospitals.”</w:t>
      </w:r>
      <w:r w:rsidR="009A027F">
        <w:rPr>
          <w:rStyle w:val="FootnoteReference"/>
          <w:rFonts w:ascii="Aptos" w:hAnsi="Aptos"/>
          <w:sz w:val="25"/>
          <w:szCs w:val="25"/>
        </w:rPr>
        <w:footnoteReference w:id="28"/>
      </w:r>
      <w:r w:rsidR="00DE0A87">
        <w:rPr>
          <w:rFonts w:ascii="Aptos" w:hAnsi="Aptos"/>
          <w:sz w:val="25"/>
          <w:szCs w:val="25"/>
        </w:rPr>
        <w:t xml:space="preserve"> </w:t>
      </w:r>
    </w:p>
    <w:p w14:paraId="775A60C5" w14:textId="4A6DA167" w:rsidR="00503BE2" w:rsidRDefault="00DE0A87" w:rsidP="00B26BBF">
      <w:pPr>
        <w:spacing w:after="100" w:afterAutospacing="1"/>
        <w:ind w:firstLine="720"/>
        <w:rPr>
          <w:rFonts w:ascii="Aptos" w:hAnsi="Aptos"/>
          <w:sz w:val="25"/>
          <w:szCs w:val="25"/>
        </w:rPr>
      </w:pPr>
      <w:r>
        <w:rPr>
          <w:rFonts w:ascii="Aptos" w:hAnsi="Aptos"/>
          <w:sz w:val="25"/>
          <w:szCs w:val="25"/>
        </w:rPr>
        <w:t xml:space="preserve">The National Center for Homeless Education (NCHE) advises those analyzing whether a student is homeless pursuant to McKinney-Vento to begin by gathering information regarding the child’s or youth’s living situation and considering “whether the student’s living arrangement fits into one of the specific examples listed in the </w:t>
      </w:r>
      <w:r>
        <w:rPr>
          <w:rFonts w:ascii="Aptos" w:hAnsi="Aptos"/>
          <w:sz w:val="25"/>
          <w:szCs w:val="25"/>
        </w:rPr>
        <w:lastRenderedPageBreak/>
        <w:t>definition.”</w:t>
      </w:r>
      <w:r>
        <w:rPr>
          <w:rStyle w:val="FootnoteReference"/>
          <w:rFonts w:ascii="Aptos" w:hAnsi="Aptos"/>
          <w:sz w:val="25"/>
          <w:szCs w:val="25"/>
        </w:rPr>
        <w:footnoteReference w:id="29"/>
      </w:r>
      <w:r>
        <w:rPr>
          <w:rFonts w:ascii="Aptos" w:hAnsi="Aptos"/>
          <w:sz w:val="25"/>
          <w:szCs w:val="25"/>
        </w:rPr>
        <w:t xml:space="preserve"> Living in </w:t>
      </w:r>
      <w:r w:rsidR="00AE794E">
        <w:rPr>
          <w:rFonts w:ascii="Aptos" w:hAnsi="Aptos"/>
          <w:sz w:val="25"/>
          <w:szCs w:val="25"/>
        </w:rPr>
        <w:t xml:space="preserve">a </w:t>
      </w:r>
      <w:r>
        <w:rPr>
          <w:rFonts w:ascii="Aptos" w:hAnsi="Aptos"/>
          <w:sz w:val="25"/>
          <w:szCs w:val="25"/>
        </w:rPr>
        <w:t>motel, hotel, trailer park, or camping grounds does not, howe</w:t>
      </w:r>
      <w:r w:rsidR="006018C6">
        <w:rPr>
          <w:rFonts w:ascii="Aptos" w:hAnsi="Aptos"/>
          <w:sz w:val="25"/>
          <w:szCs w:val="25"/>
        </w:rPr>
        <w:t xml:space="preserve">ver, </w:t>
      </w:r>
      <w:r>
        <w:rPr>
          <w:rFonts w:ascii="Aptos" w:hAnsi="Aptos"/>
          <w:sz w:val="25"/>
          <w:szCs w:val="25"/>
        </w:rPr>
        <w:t xml:space="preserve">automatically render a child homeless, as NCHE counsels that </w:t>
      </w:r>
      <w:r w:rsidR="006018C6">
        <w:rPr>
          <w:rFonts w:ascii="Aptos" w:hAnsi="Aptos"/>
          <w:sz w:val="25"/>
          <w:szCs w:val="25"/>
        </w:rPr>
        <w:t>most families or youth living in motels, hotels, or camping grounds “are likely to be considered homeless, as these arrangements are rarely fixed, regular, and adequate, or intended to serve as a permanent residence; however considering whether alternative adequate accommodations are available can help identify possible exceptions</w:t>
      </w:r>
      <w:r>
        <w:rPr>
          <w:rFonts w:ascii="Aptos" w:hAnsi="Aptos"/>
          <w:sz w:val="25"/>
          <w:szCs w:val="25"/>
        </w:rPr>
        <w:t>.”</w:t>
      </w:r>
      <w:r>
        <w:rPr>
          <w:rStyle w:val="FootnoteReference"/>
          <w:rFonts w:ascii="Aptos" w:hAnsi="Aptos"/>
          <w:sz w:val="25"/>
          <w:szCs w:val="25"/>
        </w:rPr>
        <w:footnoteReference w:id="30"/>
      </w:r>
      <w:r w:rsidR="00AE0048">
        <w:rPr>
          <w:rFonts w:ascii="Aptos" w:hAnsi="Aptos"/>
          <w:sz w:val="25"/>
          <w:szCs w:val="25"/>
        </w:rPr>
        <w:t xml:space="preserve"> </w:t>
      </w:r>
      <w:r w:rsidR="00C045E0">
        <w:rPr>
          <w:rFonts w:ascii="Aptos" w:hAnsi="Aptos"/>
          <w:sz w:val="25"/>
          <w:szCs w:val="25"/>
        </w:rPr>
        <w:t>A judge in the United States Court for the District of Delaware</w:t>
      </w:r>
      <w:r w:rsidR="008D190D">
        <w:rPr>
          <w:rFonts w:ascii="Aptos" w:hAnsi="Aptos"/>
          <w:sz w:val="25"/>
          <w:szCs w:val="25"/>
        </w:rPr>
        <w:t>, for example,</w:t>
      </w:r>
      <w:r w:rsidR="00C045E0">
        <w:rPr>
          <w:rFonts w:ascii="Aptos" w:hAnsi="Aptos"/>
          <w:sz w:val="25"/>
          <w:szCs w:val="25"/>
        </w:rPr>
        <w:t xml:space="preserve"> found that where parents held joint custody of children and the children moved in with their father in another school district after their mother lost her apartment within the school district they attended, they did not qualify for continued enrollment as homeless children</w:t>
      </w:r>
      <w:r w:rsidR="008D190D">
        <w:rPr>
          <w:rFonts w:ascii="Aptos" w:hAnsi="Aptos"/>
          <w:sz w:val="25"/>
          <w:szCs w:val="25"/>
        </w:rPr>
        <w:t xml:space="preserve"> because they had alternative adequate </w:t>
      </w:r>
      <w:r w:rsidR="006018C6">
        <w:rPr>
          <w:rFonts w:ascii="Aptos" w:hAnsi="Aptos"/>
          <w:sz w:val="25"/>
          <w:szCs w:val="25"/>
        </w:rPr>
        <w:t>accommodations</w:t>
      </w:r>
      <w:r w:rsidR="00C045E0">
        <w:rPr>
          <w:rFonts w:ascii="Aptos" w:hAnsi="Aptos"/>
          <w:sz w:val="25"/>
          <w:szCs w:val="25"/>
        </w:rPr>
        <w:t>.</w:t>
      </w:r>
      <w:r w:rsidR="00C045E0">
        <w:rPr>
          <w:rStyle w:val="FootnoteReference"/>
          <w:rFonts w:ascii="Aptos" w:hAnsi="Aptos"/>
          <w:sz w:val="25"/>
          <w:szCs w:val="25"/>
        </w:rPr>
        <w:footnoteReference w:id="31"/>
      </w:r>
    </w:p>
    <w:p w14:paraId="3330B3A2" w14:textId="0635FEEF" w:rsidR="00985225" w:rsidRDefault="00985225" w:rsidP="00862C10">
      <w:pPr>
        <w:spacing w:after="100" w:afterAutospacing="1"/>
        <w:ind w:firstLine="720"/>
        <w:rPr>
          <w:rFonts w:ascii="Aptos" w:hAnsi="Aptos"/>
          <w:sz w:val="25"/>
          <w:szCs w:val="25"/>
        </w:rPr>
      </w:pPr>
      <w:r>
        <w:rPr>
          <w:rFonts w:ascii="Aptos" w:hAnsi="Aptos"/>
          <w:sz w:val="25"/>
          <w:szCs w:val="25"/>
        </w:rPr>
        <w:t xml:space="preserve">In an Appendix to its </w:t>
      </w:r>
      <w:r>
        <w:rPr>
          <w:rFonts w:ascii="Aptos" w:hAnsi="Aptos"/>
          <w:i/>
          <w:iCs/>
          <w:sz w:val="25"/>
          <w:szCs w:val="25"/>
        </w:rPr>
        <w:t>Guide for Determining McKinney-Vento Eligibility</w:t>
      </w:r>
      <w:r>
        <w:rPr>
          <w:rFonts w:ascii="Aptos" w:hAnsi="Aptos"/>
          <w:sz w:val="25"/>
          <w:szCs w:val="25"/>
        </w:rPr>
        <w:t>, NCHE provides guidance for determining whether a particular living situation is “fixed,” “regular,” and “adequate,” given that McKinney-Vento does not define any of these terms.</w:t>
      </w:r>
      <w:r>
        <w:rPr>
          <w:rStyle w:val="FootnoteReference"/>
          <w:rFonts w:ascii="Aptos" w:hAnsi="Aptos"/>
          <w:sz w:val="25"/>
          <w:szCs w:val="25"/>
        </w:rPr>
        <w:footnoteReference w:id="32"/>
      </w:r>
      <w:r>
        <w:rPr>
          <w:rFonts w:ascii="Aptos" w:hAnsi="Aptos"/>
          <w:sz w:val="25"/>
          <w:szCs w:val="25"/>
        </w:rPr>
        <w:t xml:space="preserve"> NCHE lists several dictionary definitions for “fixed”: placed or attached in a way that does not move easily; securely placed or fastened; not subject to change or fluctuation.</w:t>
      </w:r>
      <w:r>
        <w:rPr>
          <w:rStyle w:val="FootnoteReference"/>
          <w:rFonts w:ascii="Aptos" w:hAnsi="Aptos"/>
          <w:sz w:val="25"/>
          <w:szCs w:val="25"/>
        </w:rPr>
        <w:footnoteReference w:id="33"/>
      </w:r>
      <w:r>
        <w:rPr>
          <w:rFonts w:ascii="Aptos" w:hAnsi="Aptos"/>
          <w:sz w:val="25"/>
          <w:szCs w:val="25"/>
        </w:rPr>
        <w:t xml:space="preserve"> For “regular,” NCHE lists definitions from both Merriam-Webster and Ballantine’s Law Dictionary: happening over and over again at the same time or in the same way; occurring every day, week, month, etc.; recurring, attending, or functioning at fixed, uniform, or normal intervals; conforming to an established rule, principle, or custom; consistent, following a fixed procedure or schedule; acting or happening at uniform levels.</w:t>
      </w:r>
      <w:r>
        <w:rPr>
          <w:rStyle w:val="FootnoteReference"/>
          <w:rFonts w:ascii="Aptos" w:hAnsi="Aptos"/>
          <w:sz w:val="25"/>
          <w:szCs w:val="25"/>
        </w:rPr>
        <w:footnoteReference w:id="34"/>
      </w:r>
      <w:r>
        <w:rPr>
          <w:rFonts w:ascii="Aptos" w:hAnsi="Aptos"/>
          <w:sz w:val="25"/>
          <w:szCs w:val="25"/>
        </w:rPr>
        <w:t xml:space="preserve"> “Adequate” is defined by these dictionaries as: sufficient for a specific requirement; fully sufficient, equal to what is required, lawfully and reasonably sufficient.</w:t>
      </w:r>
      <w:r>
        <w:rPr>
          <w:rStyle w:val="FootnoteReference"/>
          <w:rFonts w:ascii="Aptos" w:hAnsi="Aptos"/>
          <w:sz w:val="25"/>
          <w:szCs w:val="25"/>
        </w:rPr>
        <w:footnoteReference w:id="35"/>
      </w:r>
      <w:r>
        <w:rPr>
          <w:rFonts w:ascii="Aptos" w:hAnsi="Aptos"/>
          <w:sz w:val="25"/>
          <w:szCs w:val="25"/>
        </w:rPr>
        <w:t xml:space="preserve"> A</w:t>
      </w:r>
      <w:r w:rsidR="000E6DA4">
        <w:rPr>
          <w:rFonts w:ascii="Aptos" w:hAnsi="Aptos"/>
          <w:sz w:val="25"/>
          <w:szCs w:val="25"/>
        </w:rPr>
        <w:t xml:space="preserve">dministrative </w:t>
      </w:r>
      <w:r>
        <w:rPr>
          <w:rFonts w:ascii="Aptos" w:hAnsi="Aptos"/>
          <w:sz w:val="25"/>
          <w:szCs w:val="25"/>
        </w:rPr>
        <w:t>L</w:t>
      </w:r>
      <w:r w:rsidR="000E6DA4">
        <w:rPr>
          <w:rFonts w:ascii="Aptos" w:hAnsi="Aptos"/>
          <w:sz w:val="25"/>
          <w:szCs w:val="25"/>
        </w:rPr>
        <w:t xml:space="preserve">aw </w:t>
      </w:r>
      <w:r>
        <w:rPr>
          <w:rFonts w:ascii="Aptos" w:hAnsi="Aptos"/>
          <w:sz w:val="25"/>
          <w:szCs w:val="25"/>
        </w:rPr>
        <w:t>J</w:t>
      </w:r>
      <w:r w:rsidR="000E6DA4">
        <w:rPr>
          <w:rFonts w:ascii="Aptos" w:hAnsi="Aptos"/>
          <w:sz w:val="25"/>
          <w:szCs w:val="25"/>
        </w:rPr>
        <w:t>udge</w:t>
      </w:r>
      <w:r>
        <w:rPr>
          <w:rFonts w:ascii="Aptos" w:hAnsi="Aptos"/>
          <w:sz w:val="25"/>
          <w:szCs w:val="25"/>
        </w:rPr>
        <w:t>s</w:t>
      </w:r>
      <w:r w:rsidR="000E6DA4">
        <w:rPr>
          <w:rFonts w:ascii="Aptos" w:hAnsi="Aptos"/>
          <w:sz w:val="25"/>
          <w:szCs w:val="25"/>
        </w:rPr>
        <w:t xml:space="preserve"> (ALJs)</w:t>
      </w:r>
      <w:r>
        <w:rPr>
          <w:rFonts w:ascii="Aptos" w:hAnsi="Aptos"/>
          <w:sz w:val="25"/>
          <w:szCs w:val="25"/>
        </w:rPr>
        <w:t xml:space="preserve"> in New Jersey have applied these definitions </w:t>
      </w:r>
      <w:r w:rsidR="00862C10">
        <w:rPr>
          <w:rFonts w:ascii="Aptos" w:hAnsi="Aptos"/>
          <w:sz w:val="25"/>
          <w:szCs w:val="25"/>
        </w:rPr>
        <w:t xml:space="preserve">to conclude </w:t>
      </w:r>
      <w:r>
        <w:rPr>
          <w:rFonts w:ascii="Aptos" w:hAnsi="Aptos"/>
          <w:sz w:val="25"/>
          <w:szCs w:val="25"/>
        </w:rPr>
        <w:t xml:space="preserve">that children were not homeless despite </w:t>
      </w:r>
      <w:r w:rsidR="00862C10">
        <w:rPr>
          <w:rFonts w:ascii="Aptos" w:hAnsi="Aptos"/>
          <w:sz w:val="25"/>
          <w:szCs w:val="25"/>
        </w:rPr>
        <w:t>living in the circumstances enumerated in</w:t>
      </w:r>
      <w:r w:rsidR="00862C10" w:rsidRPr="006018C6">
        <w:rPr>
          <w:rFonts w:ascii="Aptos" w:hAnsi="Aptos"/>
        </w:rPr>
        <w:t xml:space="preserve"> § 11434a(2)(B)(i)</w:t>
      </w:r>
      <w:r w:rsidR="00862C10">
        <w:rPr>
          <w:rFonts w:ascii="Aptos" w:hAnsi="Aptos"/>
        </w:rPr>
        <w:t xml:space="preserve"> of McKinney-Vento (i.e. </w:t>
      </w:r>
      <w:r>
        <w:rPr>
          <w:rFonts w:ascii="Aptos" w:hAnsi="Aptos"/>
          <w:sz w:val="25"/>
          <w:szCs w:val="25"/>
        </w:rPr>
        <w:t xml:space="preserve">sharing the </w:t>
      </w:r>
      <w:r>
        <w:rPr>
          <w:rFonts w:ascii="Aptos" w:hAnsi="Aptos"/>
          <w:sz w:val="25"/>
          <w:szCs w:val="25"/>
        </w:rPr>
        <w:lastRenderedPageBreak/>
        <w:t>housing o</w:t>
      </w:r>
      <w:r w:rsidR="00862C10">
        <w:rPr>
          <w:rFonts w:ascii="Aptos" w:hAnsi="Aptos"/>
          <w:sz w:val="25"/>
          <w:szCs w:val="25"/>
        </w:rPr>
        <w:t>f</w:t>
      </w:r>
      <w:r>
        <w:rPr>
          <w:rFonts w:ascii="Aptos" w:hAnsi="Aptos"/>
          <w:sz w:val="25"/>
          <w:szCs w:val="25"/>
        </w:rPr>
        <w:t xml:space="preserve"> relatives or living in a mobile home on a campground</w:t>
      </w:r>
      <w:r w:rsidR="00862C10">
        <w:rPr>
          <w:rFonts w:ascii="Aptos" w:hAnsi="Aptos"/>
          <w:sz w:val="25"/>
          <w:szCs w:val="25"/>
        </w:rPr>
        <w:t>), finding</w:t>
      </w:r>
      <w:r>
        <w:rPr>
          <w:rFonts w:ascii="Aptos" w:hAnsi="Aptos"/>
          <w:sz w:val="25"/>
          <w:szCs w:val="25"/>
        </w:rPr>
        <w:t xml:space="preserve"> “that the location was fixed and that the use was regular because the family had lived in the same place for several years; and that their living situation was adequate because the children had a designated sleeping area and access to a kitchen and bathroom facilities, despite the sharing of rooms and limited space.”</w:t>
      </w:r>
      <w:r>
        <w:rPr>
          <w:rStyle w:val="FootnoteReference"/>
          <w:rFonts w:ascii="Aptos" w:hAnsi="Aptos"/>
          <w:sz w:val="25"/>
          <w:szCs w:val="25"/>
        </w:rPr>
        <w:footnoteReference w:id="36"/>
      </w:r>
    </w:p>
    <w:p w14:paraId="398CADF5" w14:textId="5ED541FE" w:rsidR="00DC1FBB" w:rsidRDefault="00DE0A87" w:rsidP="00A461D6">
      <w:pPr>
        <w:spacing w:after="100" w:afterAutospacing="1"/>
        <w:ind w:firstLine="720"/>
        <w:rPr>
          <w:rFonts w:ascii="Aptos" w:hAnsi="Aptos"/>
          <w:sz w:val="25"/>
          <w:szCs w:val="25"/>
        </w:rPr>
      </w:pPr>
      <w:r>
        <w:rPr>
          <w:rFonts w:ascii="Aptos" w:hAnsi="Aptos"/>
          <w:sz w:val="25"/>
          <w:szCs w:val="25"/>
        </w:rPr>
        <w:t xml:space="preserve">Consistent with its recognition that exceptions exist within </w:t>
      </w:r>
      <w:r w:rsidR="006018C6">
        <w:rPr>
          <w:rFonts w:ascii="Aptos" w:hAnsi="Aptos"/>
          <w:sz w:val="25"/>
          <w:szCs w:val="25"/>
        </w:rPr>
        <w:t>the Act</w:t>
      </w:r>
      <w:r>
        <w:rPr>
          <w:rFonts w:ascii="Aptos" w:hAnsi="Aptos"/>
          <w:sz w:val="25"/>
          <w:szCs w:val="25"/>
        </w:rPr>
        <w:t xml:space="preserve">’s enumerated categories, </w:t>
      </w:r>
      <w:r w:rsidR="000F3D5F">
        <w:rPr>
          <w:rFonts w:ascii="Aptos" w:hAnsi="Aptos"/>
          <w:sz w:val="25"/>
          <w:szCs w:val="25"/>
        </w:rPr>
        <w:t xml:space="preserve">NCHE further advises that determinations regarding students’ homelessness pursuant to </w:t>
      </w:r>
      <w:r w:rsidR="000F3D5F" w:rsidRPr="00DB64D0">
        <w:rPr>
          <w:rFonts w:ascii="Aptos" w:hAnsi="Aptos"/>
          <w:sz w:val="25"/>
          <w:szCs w:val="25"/>
        </w:rPr>
        <w:t>McKinney</w:t>
      </w:r>
      <w:r w:rsidR="000F3D5F">
        <w:rPr>
          <w:rFonts w:ascii="Aptos" w:hAnsi="Aptos"/>
          <w:i/>
          <w:iCs/>
          <w:sz w:val="25"/>
          <w:szCs w:val="25"/>
        </w:rPr>
        <w:t>-</w:t>
      </w:r>
      <w:r w:rsidR="000F3D5F" w:rsidRPr="00DB64D0">
        <w:rPr>
          <w:rFonts w:ascii="Aptos" w:hAnsi="Aptos"/>
          <w:sz w:val="25"/>
          <w:szCs w:val="25"/>
        </w:rPr>
        <w:t>Vento</w:t>
      </w:r>
      <w:r w:rsidR="000F3D5F">
        <w:rPr>
          <w:rFonts w:ascii="Aptos" w:hAnsi="Aptos"/>
          <w:sz w:val="25"/>
          <w:szCs w:val="25"/>
        </w:rPr>
        <w:t xml:space="preserve"> should be made “on a case-by-case basis, considering what is known about each individual child’s or youth’s circumstances.”</w:t>
      </w:r>
      <w:r w:rsidR="000F3D5F">
        <w:rPr>
          <w:rStyle w:val="FootnoteReference"/>
          <w:rFonts w:ascii="Aptos" w:hAnsi="Aptos"/>
          <w:sz w:val="25"/>
          <w:szCs w:val="25"/>
        </w:rPr>
        <w:footnoteReference w:id="37"/>
      </w:r>
      <w:r w:rsidR="000F3D5F">
        <w:rPr>
          <w:rFonts w:ascii="Aptos" w:hAnsi="Aptos"/>
          <w:sz w:val="25"/>
          <w:szCs w:val="25"/>
        </w:rPr>
        <w:t xml:space="preserve"> </w:t>
      </w:r>
      <w:r w:rsidR="00AA6DD5">
        <w:rPr>
          <w:rFonts w:ascii="Aptos" w:hAnsi="Aptos"/>
          <w:sz w:val="25"/>
          <w:szCs w:val="25"/>
        </w:rPr>
        <w:t>A</w:t>
      </w:r>
      <w:r w:rsidR="00467567">
        <w:rPr>
          <w:rFonts w:ascii="Aptos" w:hAnsi="Aptos"/>
          <w:sz w:val="25"/>
          <w:szCs w:val="25"/>
        </w:rPr>
        <w:t>LJs</w:t>
      </w:r>
      <w:r w:rsidR="00AA6DD5">
        <w:rPr>
          <w:rFonts w:ascii="Aptos" w:hAnsi="Aptos"/>
          <w:sz w:val="25"/>
          <w:szCs w:val="25"/>
        </w:rPr>
        <w:t xml:space="preserve"> have come to the same conclusion, noting, for example, that “the evaluation of homelessness cannot be based upon simple calculations;” that “homelessness is best viewed in a continuum;” </w:t>
      </w:r>
      <w:r w:rsidR="008D190D">
        <w:rPr>
          <w:rFonts w:ascii="Aptos" w:hAnsi="Aptos"/>
          <w:sz w:val="25"/>
          <w:szCs w:val="25"/>
        </w:rPr>
        <w:t xml:space="preserve">that a decision-maker must consider “the totality of the circumstances;” </w:t>
      </w:r>
      <w:r w:rsidR="00A461D6">
        <w:rPr>
          <w:rFonts w:ascii="Aptos" w:hAnsi="Aptos"/>
          <w:sz w:val="25"/>
          <w:szCs w:val="25"/>
        </w:rPr>
        <w:t>and that “[t]he reasons for the children’s homelessness, their living conditions, and the resources and intentions of the parents or custodians are relevant.”</w:t>
      </w:r>
      <w:r w:rsidR="00A461D6">
        <w:rPr>
          <w:rStyle w:val="FootnoteReference"/>
          <w:rFonts w:ascii="Aptos" w:hAnsi="Aptos"/>
          <w:sz w:val="25"/>
          <w:szCs w:val="25"/>
        </w:rPr>
        <w:footnoteReference w:id="38"/>
      </w:r>
      <w:r w:rsidR="00A461D6">
        <w:rPr>
          <w:rFonts w:ascii="Aptos" w:hAnsi="Aptos"/>
          <w:sz w:val="25"/>
          <w:szCs w:val="25"/>
        </w:rPr>
        <w:t xml:space="preserve"> </w:t>
      </w:r>
      <w:r w:rsidR="00885C74">
        <w:rPr>
          <w:rFonts w:ascii="Aptos" w:hAnsi="Aptos"/>
          <w:sz w:val="25"/>
          <w:szCs w:val="25"/>
        </w:rPr>
        <w:t xml:space="preserve">Courts have </w:t>
      </w:r>
      <w:r w:rsidR="008128B6">
        <w:rPr>
          <w:rFonts w:ascii="Aptos" w:hAnsi="Aptos"/>
          <w:sz w:val="25"/>
          <w:szCs w:val="25"/>
        </w:rPr>
        <w:t xml:space="preserve">also </w:t>
      </w:r>
      <w:r w:rsidR="00A461D6">
        <w:rPr>
          <w:rFonts w:ascii="Aptos" w:hAnsi="Aptos"/>
          <w:sz w:val="25"/>
          <w:szCs w:val="25"/>
        </w:rPr>
        <w:t>adopted this case-by-case approach</w:t>
      </w:r>
      <w:r w:rsidR="00AE794E">
        <w:rPr>
          <w:rFonts w:ascii="Aptos" w:hAnsi="Aptos"/>
          <w:sz w:val="25"/>
          <w:szCs w:val="25"/>
        </w:rPr>
        <w:t xml:space="preserve"> to </w:t>
      </w:r>
      <w:r w:rsidR="00885C74">
        <w:rPr>
          <w:rFonts w:ascii="Aptos" w:hAnsi="Aptos"/>
          <w:sz w:val="25"/>
          <w:szCs w:val="25"/>
        </w:rPr>
        <w:t>find that due to a child’s individual circumstances, she is not “homeless” for purposes of McKinney-Vento despite living in hotel or motel or sharing the housing of a family member.</w:t>
      </w:r>
      <w:r w:rsidR="00885C74">
        <w:rPr>
          <w:rStyle w:val="FootnoteReference"/>
          <w:rFonts w:ascii="Aptos" w:hAnsi="Aptos"/>
          <w:sz w:val="25"/>
          <w:szCs w:val="25"/>
        </w:rPr>
        <w:footnoteReference w:id="39"/>
      </w:r>
      <w:r w:rsidR="00177936">
        <w:rPr>
          <w:rFonts w:ascii="Aptos" w:hAnsi="Aptos"/>
          <w:sz w:val="25"/>
          <w:szCs w:val="25"/>
        </w:rPr>
        <w:t xml:space="preserve"> </w:t>
      </w:r>
    </w:p>
    <w:p w14:paraId="764D796D" w14:textId="21974C73" w:rsidR="00A461D6" w:rsidRDefault="00177936" w:rsidP="006C2AA1">
      <w:pPr>
        <w:spacing w:after="100" w:afterAutospacing="1"/>
        <w:ind w:firstLine="720"/>
        <w:rPr>
          <w:rFonts w:ascii="Aptos" w:hAnsi="Aptos"/>
          <w:sz w:val="25"/>
          <w:szCs w:val="25"/>
        </w:rPr>
      </w:pPr>
      <w:r>
        <w:rPr>
          <w:rFonts w:ascii="Aptos" w:hAnsi="Aptos"/>
          <w:sz w:val="25"/>
          <w:szCs w:val="25"/>
        </w:rPr>
        <w:t>For example</w:t>
      </w:r>
      <w:r w:rsidRPr="00DC1FBB">
        <w:rPr>
          <w:rFonts w:ascii="Aptos" w:hAnsi="Aptos"/>
          <w:sz w:val="25"/>
          <w:szCs w:val="25"/>
        </w:rPr>
        <w:t xml:space="preserve">, the </w:t>
      </w:r>
      <w:r w:rsidR="00DC1FBB">
        <w:rPr>
          <w:rFonts w:ascii="Aptos" w:hAnsi="Aptos"/>
          <w:sz w:val="25"/>
          <w:szCs w:val="25"/>
        </w:rPr>
        <w:t xml:space="preserve">Commissioner of </w:t>
      </w:r>
      <w:r w:rsidRPr="00DC1FBB">
        <w:rPr>
          <w:rFonts w:ascii="Aptos" w:hAnsi="Aptos"/>
          <w:sz w:val="25"/>
          <w:szCs w:val="25"/>
        </w:rPr>
        <w:t xml:space="preserve">New York State Education Department </w:t>
      </w:r>
      <w:r w:rsidR="00EA5247">
        <w:rPr>
          <w:rFonts w:ascii="Aptos" w:hAnsi="Aptos"/>
          <w:sz w:val="25"/>
          <w:szCs w:val="25"/>
        </w:rPr>
        <w:t xml:space="preserve">(NYSED) </w:t>
      </w:r>
      <w:r w:rsidRPr="00DC1FBB">
        <w:rPr>
          <w:rFonts w:ascii="Aptos" w:hAnsi="Aptos"/>
          <w:sz w:val="25"/>
          <w:szCs w:val="25"/>
        </w:rPr>
        <w:t>upheld a school district’s determination that siblings were not homeless</w:t>
      </w:r>
      <w:r w:rsidR="006E1287">
        <w:rPr>
          <w:rFonts w:ascii="Aptos" w:hAnsi="Aptos"/>
          <w:sz w:val="25"/>
          <w:szCs w:val="25"/>
        </w:rPr>
        <w:t xml:space="preserve"> under state and federal law</w:t>
      </w:r>
      <w:r w:rsidRPr="00DC1FBB">
        <w:rPr>
          <w:rFonts w:ascii="Aptos" w:hAnsi="Aptos"/>
          <w:sz w:val="25"/>
          <w:szCs w:val="25"/>
        </w:rPr>
        <w:t>, though they were sharing the housing of a relative due to a loss of housing and economic hardship after their home was damaged during a hurricane and ultimately had to be sold in a short sale.</w:t>
      </w:r>
      <w:r w:rsidRPr="00DC1FBB">
        <w:rPr>
          <w:rStyle w:val="FootnoteReference"/>
          <w:rFonts w:ascii="Aptos" w:hAnsi="Aptos"/>
          <w:sz w:val="25"/>
          <w:szCs w:val="25"/>
        </w:rPr>
        <w:footnoteReference w:id="40"/>
      </w:r>
      <w:r w:rsidRPr="00DC1FBB">
        <w:rPr>
          <w:rFonts w:ascii="Aptos" w:hAnsi="Aptos"/>
          <w:sz w:val="25"/>
          <w:szCs w:val="25"/>
        </w:rPr>
        <w:t xml:space="preserve"> Specifically, the Commissioner concluded that </w:t>
      </w:r>
      <w:r w:rsidR="00DC1FBB" w:rsidRPr="00DC1FBB">
        <w:rPr>
          <w:rFonts w:ascii="Aptos" w:hAnsi="Aptos"/>
          <w:sz w:val="25"/>
          <w:szCs w:val="25"/>
        </w:rPr>
        <w:t xml:space="preserve">as </w:t>
      </w:r>
      <w:r w:rsidRPr="00DC1FBB">
        <w:rPr>
          <w:rFonts w:ascii="Aptos" w:hAnsi="Aptos"/>
          <w:sz w:val="25"/>
          <w:szCs w:val="25"/>
        </w:rPr>
        <w:t>the siblings had resided at th</w:t>
      </w:r>
      <w:r w:rsidR="006018C6">
        <w:rPr>
          <w:rFonts w:ascii="Aptos" w:hAnsi="Aptos"/>
          <w:sz w:val="25"/>
          <w:szCs w:val="25"/>
        </w:rPr>
        <w:t>e same</w:t>
      </w:r>
      <w:r w:rsidRPr="00DC1FBB">
        <w:rPr>
          <w:rFonts w:ascii="Aptos" w:hAnsi="Aptos"/>
          <w:sz w:val="25"/>
          <w:szCs w:val="25"/>
        </w:rPr>
        <w:t xml:space="preserve"> out-of-district address for almost three years</w:t>
      </w:r>
      <w:r w:rsidR="00DC1FBB" w:rsidRPr="00DC1FBB">
        <w:rPr>
          <w:rFonts w:ascii="Aptos" w:hAnsi="Aptos"/>
          <w:sz w:val="25"/>
          <w:szCs w:val="25"/>
        </w:rPr>
        <w:t xml:space="preserve"> and</w:t>
      </w:r>
      <w:r w:rsidRPr="00DC1FBB">
        <w:rPr>
          <w:rFonts w:ascii="Aptos" w:hAnsi="Aptos"/>
          <w:sz w:val="25"/>
          <w:szCs w:val="25"/>
        </w:rPr>
        <w:t xml:space="preserve"> each had their own bedroom</w:t>
      </w:r>
      <w:r w:rsidR="00DC1FBB" w:rsidRPr="00DC1FBB">
        <w:rPr>
          <w:rFonts w:ascii="Aptos" w:hAnsi="Aptos"/>
          <w:sz w:val="25"/>
          <w:szCs w:val="25"/>
        </w:rPr>
        <w:t>, they had</w:t>
      </w:r>
      <w:r w:rsidRPr="00DC1FBB">
        <w:rPr>
          <w:rFonts w:ascii="Aptos" w:hAnsi="Aptos"/>
          <w:sz w:val="25"/>
          <w:szCs w:val="25"/>
        </w:rPr>
        <w:t xml:space="preserve"> a “fixed, regular and adequate nighttime residence and there is no evidence that such residence is temporary or inadequat</w:t>
      </w:r>
      <w:r w:rsidR="00DC1FBB">
        <w:rPr>
          <w:rFonts w:ascii="Aptos" w:hAnsi="Aptos"/>
          <w:sz w:val="25"/>
          <w:szCs w:val="25"/>
        </w:rPr>
        <w:t>e</w:t>
      </w:r>
      <w:r w:rsidR="00AE794E">
        <w:rPr>
          <w:rFonts w:ascii="Aptos" w:hAnsi="Aptos"/>
          <w:sz w:val="25"/>
          <w:szCs w:val="25"/>
        </w:rPr>
        <w:t>.</w:t>
      </w:r>
      <w:r w:rsidR="00DC1FBB">
        <w:rPr>
          <w:rFonts w:ascii="Aptos" w:hAnsi="Aptos"/>
          <w:sz w:val="25"/>
          <w:szCs w:val="25"/>
        </w:rPr>
        <w:t>”</w:t>
      </w:r>
      <w:r w:rsidR="00AE794E">
        <w:rPr>
          <w:rStyle w:val="FootnoteReference"/>
          <w:rFonts w:ascii="Aptos" w:hAnsi="Aptos"/>
          <w:sz w:val="25"/>
          <w:szCs w:val="25"/>
        </w:rPr>
        <w:footnoteReference w:id="41"/>
      </w:r>
      <w:r w:rsidR="00DC1FBB">
        <w:rPr>
          <w:rFonts w:ascii="Aptos" w:hAnsi="Aptos"/>
          <w:sz w:val="25"/>
          <w:szCs w:val="25"/>
        </w:rPr>
        <w:t xml:space="preserve"> </w:t>
      </w:r>
      <w:r w:rsidR="00AE794E">
        <w:rPr>
          <w:rFonts w:ascii="Aptos" w:hAnsi="Aptos"/>
          <w:sz w:val="25"/>
          <w:szCs w:val="25"/>
        </w:rPr>
        <w:t>M</w:t>
      </w:r>
      <w:r w:rsidR="00DC1FBB">
        <w:rPr>
          <w:rFonts w:ascii="Aptos" w:hAnsi="Aptos"/>
          <w:sz w:val="25"/>
          <w:szCs w:val="25"/>
        </w:rPr>
        <w:t>oreover, according to the Commissioner, “[p]roof of economic hardship, in and of itself, is not sufficient to establish homelessness.”</w:t>
      </w:r>
      <w:r w:rsidR="00DC1FBB">
        <w:rPr>
          <w:rStyle w:val="FootnoteReference"/>
          <w:rFonts w:ascii="Aptos" w:hAnsi="Aptos"/>
          <w:sz w:val="25"/>
          <w:szCs w:val="25"/>
        </w:rPr>
        <w:footnoteReference w:id="42"/>
      </w:r>
      <w:r w:rsidR="00DC1FBB">
        <w:rPr>
          <w:rFonts w:ascii="Aptos" w:hAnsi="Aptos"/>
          <w:sz w:val="25"/>
          <w:szCs w:val="25"/>
        </w:rPr>
        <w:t xml:space="preserve"> </w:t>
      </w:r>
      <w:r w:rsidR="00A461D6">
        <w:rPr>
          <w:rFonts w:ascii="Aptos" w:hAnsi="Aptos"/>
          <w:sz w:val="25"/>
          <w:szCs w:val="25"/>
        </w:rPr>
        <w:t>Similarly, an ALJ in the New Jers</w:t>
      </w:r>
      <w:r w:rsidR="00AE794E">
        <w:rPr>
          <w:rFonts w:ascii="Aptos" w:hAnsi="Aptos"/>
          <w:sz w:val="25"/>
          <w:szCs w:val="25"/>
        </w:rPr>
        <w:t>e</w:t>
      </w:r>
      <w:r w:rsidR="00A461D6">
        <w:rPr>
          <w:rFonts w:ascii="Aptos" w:hAnsi="Aptos"/>
          <w:sz w:val="25"/>
          <w:szCs w:val="25"/>
        </w:rPr>
        <w:t>y Office of Administrative Law</w:t>
      </w:r>
      <w:r w:rsidR="000F6ABC">
        <w:rPr>
          <w:rFonts w:ascii="Aptos" w:hAnsi="Aptos"/>
          <w:sz w:val="25"/>
          <w:szCs w:val="25"/>
        </w:rPr>
        <w:t xml:space="preserve"> held</w:t>
      </w:r>
      <w:r w:rsidR="000834F9">
        <w:rPr>
          <w:rFonts w:ascii="Aptos" w:hAnsi="Aptos"/>
          <w:sz w:val="25"/>
          <w:szCs w:val="25"/>
        </w:rPr>
        <w:t xml:space="preserve"> that where a family “could no longer meet the income requirements for the lease” in the town where the children were attending school and was “forced to relocate” to a relative’s home in </w:t>
      </w:r>
      <w:r w:rsidR="000834F9">
        <w:rPr>
          <w:rFonts w:ascii="Aptos" w:hAnsi="Aptos"/>
          <w:sz w:val="25"/>
          <w:szCs w:val="25"/>
        </w:rPr>
        <w:lastRenderedPageBreak/>
        <w:t xml:space="preserve">another town, </w:t>
      </w:r>
      <w:r w:rsidR="000F6ABC">
        <w:rPr>
          <w:rFonts w:ascii="Aptos" w:hAnsi="Aptos"/>
          <w:sz w:val="25"/>
          <w:szCs w:val="25"/>
        </w:rPr>
        <w:t>the family was not “homeless” under state and federal law.</w:t>
      </w:r>
      <w:r w:rsidR="000F6ABC" w:rsidRPr="000F6ABC">
        <w:rPr>
          <w:rStyle w:val="FootnoteReference"/>
          <w:rFonts w:ascii="Aptos" w:hAnsi="Aptos"/>
          <w:sz w:val="25"/>
          <w:szCs w:val="25"/>
        </w:rPr>
        <w:t xml:space="preserve"> </w:t>
      </w:r>
      <w:r w:rsidR="000F6ABC">
        <w:rPr>
          <w:rStyle w:val="FootnoteReference"/>
          <w:rFonts w:ascii="Aptos" w:hAnsi="Aptos"/>
          <w:sz w:val="25"/>
          <w:szCs w:val="25"/>
        </w:rPr>
        <w:footnoteReference w:id="43"/>
      </w:r>
      <w:r w:rsidR="000F6ABC">
        <w:rPr>
          <w:rFonts w:ascii="Aptos" w:hAnsi="Aptos"/>
          <w:sz w:val="25"/>
          <w:szCs w:val="25"/>
        </w:rPr>
        <w:t xml:space="preserve"> In </w:t>
      </w:r>
      <w:r w:rsidR="00AE794E">
        <w:rPr>
          <w:rFonts w:ascii="Aptos" w:hAnsi="Aptos"/>
          <w:sz w:val="25"/>
          <w:szCs w:val="25"/>
        </w:rPr>
        <w:t>reaching this conclusion</w:t>
      </w:r>
      <w:r w:rsidR="000F6ABC">
        <w:rPr>
          <w:rFonts w:ascii="Aptos" w:hAnsi="Aptos"/>
          <w:sz w:val="25"/>
          <w:szCs w:val="25"/>
        </w:rPr>
        <w:t>, the ALJ noted that “[n]</w:t>
      </w:r>
      <w:proofErr w:type="spellStart"/>
      <w:r w:rsidR="000F6ABC">
        <w:rPr>
          <w:rFonts w:ascii="Aptos" w:hAnsi="Aptos"/>
          <w:sz w:val="25"/>
          <w:szCs w:val="25"/>
        </w:rPr>
        <w:t>ot</w:t>
      </w:r>
      <w:proofErr w:type="spellEnd"/>
      <w:r w:rsidR="000F6ABC">
        <w:rPr>
          <w:rFonts w:ascii="Aptos" w:hAnsi="Aptos"/>
          <w:sz w:val="25"/>
          <w:szCs w:val="25"/>
        </w:rPr>
        <w:t xml:space="preserve"> every child residing temporarily with a relative is ‘homeless,’</w:t>
      </w:r>
      <w:r w:rsidR="00931BEE">
        <w:rPr>
          <w:rFonts w:ascii="Aptos" w:hAnsi="Aptos"/>
          <w:sz w:val="25"/>
          <w:szCs w:val="25"/>
        </w:rPr>
        <w:t>”</w:t>
      </w:r>
      <w:r w:rsidR="000F6ABC">
        <w:rPr>
          <w:rFonts w:ascii="Aptos" w:hAnsi="Aptos"/>
          <w:sz w:val="25"/>
          <w:szCs w:val="25"/>
        </w:rPr>
        <w:t xml:space="preserve"> then </w:t>
      </w:r>
      <w:r w:rsidR="00931BEE">
        <w:rPr>
          <w:rFonts w:ascii="Aptos" w:hAnsi="Aptos"/>
          <w:sz w:val="25"/>
          <w:szCs w:val="25"/>
        </w:rPr>
        <w:t>discussed the family’s living circumstances and found that despite the fact that the children were sharing the home of a relative, they lived in a “fixed, regular, and adequate residence.”</w:t>
      </w:r>
      <w:r w:rsidR="00931BEE" w:rsidRPr="00931BEE">
        <w:rPr>
          <w:rStyle w:val="FootnoteReference"/>
          <w:rFonts w:ascii="Aptos" w:hAnsi="Aptos"/>
          <w:sz w:val="25"/>
          <w:szCs w:val="25"/>
        </w:rPr>
        <w:t xml:space="preserve"> </w:t>
      </w:r>
      <w:r w:rsidR="00931BEE">
        <w:rPr>
          <w:rStyle w:val="FootnoteReference"/>
          <w:rFonts w:ascii="Aptos" w:hAnsi="Aptos"/>
          <w:sz w:val="25"/>
          <w:szCs w:val="25"/>
        </w:rPr>
        <w:footnoteReference w:id="44"/>
      </w:r>
    </w:p>
    <w:p w14:paraId="6E5FB35C" w14:textId="7D4073C9" w:rsidR="006E1287" w:rsidRDefault="00931BEE" w:rsidP="006C2AA1">
      <w:pPr>
        <w:spacing w:after="100" w:afterAutospacing="1"/>
        <w:ind w:firstLine="720"/>
        <w:rPr>
          <w:rFonts w:ascii="Aptos" w:hAnsi="Aptos"/>
          <w:sz w:val="25"/>
          <w:szCs w:val="25"/>
        </w:rPr>
      </w:pPr>
      <w:r>
        <w:rPr>
          <w:rFonts w:ascii="Aptos" w:hAnsi="Aptos"/>
          <w:sz w:val="25"/>
          <w:szCs w:val="25"/>
        </w:rPr>
        <w:t>I</w:t>
      </w:r>
      <w:r w:rsidR="006E1287">
        <w:rPr>
          <w:rFonts w:ascii="Aptos" w:hAnsi="Aptos"/>
          <w:sz w:val="25"/>
          <w:szCs w:val="25"/>
        </w:rPr>
        <w:t xml:space="preserve">n </w:t>
      </w:r>
      <w:r w:rsidR="006E1287">
        <w:rPr>
          <w:rFonts w:ascii="Aptos" w:hAnsi="Aptos"/>
          <w:i/>
          <w:iCs/>
          <w:sz w:val="25"/>
          <w:szCs w:val="25"/>
        </w:rPr>
        <w:t xml:space="preserve">Board of Education of Mount Olive v. Board of Education of </w:t>
      </w:r>
      <w:r w:rsidR="006E1287" w:rsidRPr="006E1287">
        <w:rPr>
          <w:rFonts w:ascii="Aptos" w:hAnsi="Aptos"/>
          <w:i/>
          <w:iCs/>
          <w:sz w:val="25"/>
          <w:szCs w:val="25"/>
        </w:rPr>
        <w:t>Englewood</w:t>
      </w:r>
      <w:r w:rsidR="006E1287">
        <w:rPr>
          <w:rFonts w:ascii="Aptos" w:hAnsi="Aptos"/>
          <w:sz w:val="25"/>
          <w:szCs w:val="25"/>
        </w:rPr>
        <w:t xml:space="preserve">, </w:t>
      </w:r>
      <w:r w:rsidR="006E1287" w:rsidRPr="006E1287">
        <w:rPr>
          <w:rFonts w:ascii="Aptos" w:hAnsi="Aptos"/>
          <w:sz w:val="25"/>
          <w:szCs w:val="25"/>
        </w:rPr>
        <w:t>a</w:t>
      </w:r>
      <w:r w:rsidR="00F77A51">
        <w:rPr>
          <w:rFonts w:ascii="Aptos" w:hAnsi="Aptos"/>
          <w:sz w:val="25"/>
          <w:szCs w:val="25"/>
        </w:rPr>
        <w:t xml:space="preserve">nother </w:t>
      </w:r>
      <w:r w:rsidR="006E1287">
        <w:rPr>
          <w:rFonts w:ascii="Aptos" w:hAnsi="Aptos"/>
          <w:sz w:val="25"/>
          <w:szCs w:val="25"/>
        </w:rPr>
        <w:t>ALJ</w:t>
      </w:r>
      <w:r>
        <w:rPr>
          <w:rFonts w:ascii="Aptos" w:hAnsi="Aptos"/>
          <w:sz w:val="25"/>
          <w:szCs w:val="25"/>
        </w:rPr>
        <w:t xml:space="preserve"> in</w:t>
      </w:r>
      <w:r w:rsidR="006E1287">
        <w:rPr>
          <w:rFonts w:ascii="Aptos" w:hAnsi="Aptos"/>
          <w:sz w:val="25"/>
          <w:szCs w:val="25"/>
        </w:rPr>
        <w:t xml:space="preserve"> New Jers</w:t>
      </w:r>
      <w:r>
        <w:rPr>
          <w:rFonts w:ascii="Aptos" w:hAnsi="Aptos"/>
          <w:sz w:val="25"/>
          <w:szCs w:val="25"/>
        </w:rPr>
        <w:t>e</w:t>
      </w:r>
      <w:r w:rsidR="006E1287">
        <w:rPr>
          <w:rFonts w:ascii="Aptos" w:hAnsi="Aptos"/>
          <w:sz w:val="25"/>
          <w:szCs w:val="25"/>
        </w:rPr>
        <w:t xml:space="preserve">y </w:t>
      </w:r>
      <w:r>
        <w:rPr>
          <w:rFonts w:ascii="Aptos" w:hAnsi="Aptos"/>
          <w:sz w:val="25"/>
          <w:szCs w:val="25"/>
        </w:rPr>
        <w:t>examined the specific circumstances underlying a family’s living situation</w:t>
      </w:r>
      <w:r w:rsidR="00CF33D2">
        <w:rPr>
          <w:rFonts w:ascii="Aptos" w:hAnsi="Aptos"/>
          <w:sz w:val="25"/>
          <w:szCs w:val="25"/>
        </w:rPr>
        <w:t>, and upheld</w:t>
      </w:r>
      <w:r w:rsidR="006E1287">
        <w:rPr>
          <w:rFonts w:ascii="Aptos" w:hAnsi="Aptos"/>
          <w:sz w:val="25"/>
          <w:szCs w:val="25"/>
        </w:rPr>
        <w:t xml:space="preserve"> a school district’s determination that children were not homeless</w:t>
      </w:r>
      <w:r>
        <w:rPr>
          <w:rFonts w:ascii="Aptos" w:hAnsi="Aptos"/>
          <w:sz w:val="25"/>
          <w:szCs w:val="25"/>
        </w:rPr>
        <w:t xml:space="preserve"> despite living</w:t>
      </w:r>
      <w:r w:rsidR="006E1287">
        <w:rPr>
          <w:rFonts w:ascii="Aptos" w:hAnsi="Aptos"/>
          <w:sz w:val="25"/>
          <w:szCs w:val="25"/>
        </w:rPr>
        <w:t xml:space="preserve"> in a mobile home on a </w:t>
      </w:r>
      <w:r>
        <w:rPr>
          <w:rFonts w:ascii="Aptos" w:hAnsi="Aptos"/>
          <w:sz w:val="25"/>
          <w:szCs w:val="25"/>
        </w:rPr>
        <w:t>campground,</w:t>
      </w:r>
      <w:r w:rsidR="00AE794E">
        <w:rPr>
          <w:rFonts w:ascii="Aptos" w:hAnsi="Aptos"/>
          <w:sz w:val="25"/>
          <w:szCs w:val="25"/>
        </w:rPr>
        <w:t xml:space="preserve"> which he recognized as one of the enumerated circumstances for “homelessness” under McKinney-Vento</w:t>
      </w:r>
      <w:r w:rsidR="00AE794E">
        <w:rPr>
          <w:rStyle w:val="FootnoteReference"/>
          <w:rFonts w:ascii="Aptos" w:hAnsi="Aptos"/>
          <w:sz w:val="25"/>
          <w:szCs w:val="25"/>
        </w:rPr>
        <w:t xml:space="preserve"> </w:t>
      </w:r>
      <w:r w:rsidR="00AE794E">
        <w:rPr>
          <w:rFonts w:ascii="Aptos" w:hAnsi="Aptos"/>
          <w:sz w:val="25"/>
          <w:szCs w:val="25"/>
        </w:rPr>
        <w:t>.</w:t>
      </w:r>
      <w:r w:rsidR="006E1287">
        <w:rPr>
          <w:rStyle w:val="FootnoteReference"/>
          <w:rFonts w:ascii="Aptos" w:hAnsi="Aptos"/>
          <w:sz w:val="25"/>
          <w:szCs w:val="25"/>
        </w:rPr>
        <w:footnoteReference w:id="45"/>
      </w:r>
      <w:r w:rsidR="006E1287">
        <w:rPr>
          <w:rFonts w:ascii="Aptos" w:hAnsi="Aptos"/>
          <w:sz w:val="25"/>
          <w:szCs w:val="25"/>
        </w:rPr>
        <w:t xml:space="preserve"> Factors the ALJ considered in making his decision were that the campground was open all year long</w:t>
      </w:r>
      <w:r w:rsidR="00EA5247">
        <w:rPr>
          <w:rFonts w:ascii="Aptos" w:hAnsi="Aptos"/>
          <w:sz w:val="25"/>
          <w:szCs w:val="25"/>
        </w:rPr>
        <w:t>;</w:t>
      </w:r>
      <w:r w:rsidR="006E1287">
        <w:rPr>
          <w:rFonts w:ascii="Aptos" w:hAnsi="Aptos"/>
          <w:sz w:val="25"/>
          <w:szCs w:val="25"/>
        </w:rPr>
        <w:t xml:space="preserve"> that the family paid a monthly fee that included both water and electricity</w:t>
      </w:r>
      <w:r w:rsidR="00EA5247">
        <w:rPr>
          <w:rFonts w:ascii="Aptos" w:hAnsi="Aptos"/>
          <w:sz w:val="25"/>
          <w:szCs w:val="25"/>
        </w:rPr>
        <w:t>;</w:t>
      </w:r>
      <w:r w:rsidR="006E1287">
        <w:rPr>
          <w:rFonts w:ascii="Aptos" w:hAnsi="Aptos"/>
          <w:sz w:val="25"/>
          <w:szCs w:val="25"/>
        </w:rPr>
        <w:t xml:space="preserve"> that the mobile home had a kitchen and each child had his own room</w:t>
      </w:r>
      <w:r w:rsidR="00EA5247">
        <w:rPr>
          <w:rFonts w:ascii="Aptos" w:hAnsi="Aptos"/>
          <w:sz w:val="25"/>
          <w:szCs w:val="25"/>
        </w:rPr>
        <w:t>;</w:t>
      </w:r>
      <w:r w:rsidR="006E1287">
        <w:rPr>
          <w:rFonts w:ascii="Aptos" w:hAnsi="Aptos"/>
          <w:sz w:val="25"/>
          <w:szCs w:val="25"/>
        </w:rPr>
        <w:t xml:space="preserve"> </w:t>
      </w:r>
      <w:r w:rsidR="0006570D">
        <w:rPr>
          <w:rFonts w:ascii="Aptos" w:hAnsi="Aptos"/>
          <w:sz w:val="25"/>
          <w:szCs w:val="25"/>
        </w:rPr>
        <w:t>and</w:t>
      </w:r>
      <w:r w:rsidR="006E1287">
        <w:rPr>
          <w:rFonts w:ascii="Aptos" w:hAnsi="Aptos"/>
          <w:sz w:val="25"/>
          <w:szCs w:val="25"/>
        </w:rPr>
        <w:t xml:space="preserve"> that the family “consider[ed] the mobile home as their permanent home.”</w:t>
      </w:r>
      <w:r w:rsidR="006E1287">
        <w:rPr>
          <w:rStyle w:val="FootnoteReference"/>
          <w:rFonts w:ascii="Aptos" w:hAnsi="Aptos"/>
          <w:sz w:val="25"/>
          <w:szCs w:val="25"/>
        </w:rPr>
        <w:footnoteReference w:id="46"/>
      </w:r>
      <w:r w:rsidR="006E1287">
        <w:rPr>
          <w:rFonts w:ascii="Aptos" w:hAnsi="Aptos"/>
          <w:sz w:val="25"/>
          <w:szCs w:val="25"/>
        </w:rPr>
        <w:t xml:space="preserve"> </w:t>
      </w:r>
      <w:r w:rsidR="00CF33D2">
        <w:rPr>
          <w:rFonts w:ascii="Aptos" w:hAnsi="Aptos"/>
          <w:sz w:val="25"/>
          <w:szCs w:val="25"/>
        </w:rPr>
        <w:t>The ALJ</w:t>
      </w:r>
      <w:r w:rsidR="006C2AA1">
        <w:rPr>
          <w:rFonts w:ascii="Aptos" w:hAnsi="Aptos"/>
          <w:sz w:val="25"/>
          <w:szCs w:val="25"/>
        </w:rPr>
        <w:t xml:space="preserve"> rejected the argument that the family was homeless because living in a mobile home was included in the definition of homelessness under both McKinney-Vento and New Jersey regulations, as these definitions both “have at their core the concept of a fixed, regular, and adequate place to live with regular sleeping accommodations.”</w:t>
      </w:r>
      <w:r w:rsidR="006C2AA1">
        <w:rPr>
          <w:rStyle w:val="FootnoteReference"/>
          <w:rFonts w:ascii="Aptos" w:hAnsi="Aptos"/>
          <w:sz w:val="25"/>
          <w:szCs w:val="25"/>
        </w:rPr>
        <w:footnoteReference w:id="47"/>
      </w:r>
      <w:r w:rsidR="006C2AA1">
        <w:rPr>
          <w:rFonts w:ascii="Aptos" w:hAnsi="Aptos"/>
          <w:sz w:val="25"/>
          <w:szCs w:val="25"/>
        </w:rPr>
        <w:t xml:space="preserve"> The ALJ concluded that the mobile home was the family’s domicile, or their “true, fixed, permanent home, from which [they have] no intention of moving,” and, as such, the students resided in the school district in which the campground was located.</w:t>
      </w:r>
      <w:r w:rsidR="006C2AA1">
        <w:rPr>
          <w:rStyle w:val="FootnoteReference"/>
          <w:rFonts w:ascii="Aptos" w:hAnsi="Aptos"/>
          <w:sz w:val="25"/>
          <w:szCs w:val="25"/>
        </w:rPr>
        <w:footnoteReference w:id="48"/>
      </w:r>
    </w:p>
    <w:p w14:paraId="24ACFCCE" w14:textId="18EECC1D" w:rsidR="006B6381" w:rsidRDefault="00931BEE" w:rsidP="00DC1FBB">
      <w:pPr>
        <w:spacing w:after="100" w:afterAutospacing="1"/>
        <w:ind w:firstLine="720"/>
        <w:rPr>
          <w:rFonts w:ascii="Aptos" w:hAnsi="Aptos"/>
          <w:sz w:val="25"/>
          <w:szCs w:val="25"/>
        </w:rPr>
      </w:pPr>
      <w:r>
        <w:rPr>
          <w:rFonts w:ascii="Aptos" w:hAnsi="Aptos"/>
          <w:sz w:val="25"/>
          <w:szCs w:val="25"/>
        </w:rPr>
        <w:t xml:space="preserve">This reasoning has also been applied to find that children and youth living in hotels are not </w:t>
      </w:r>
      <w:r w:rsidR="00EA5247">
        <w:rPr>
          <w:rFonts w:ascii="Aptos" w:hAnsi="Aptos"/>
          <w:sz w:val="25"/>
          <w:szCs w:val="25"/>
        </w:rPr>
        <w:t xml:space="preserve">necessarily </w:t>
      </w:r>
      <w:r>
        <w:rPr>
          <w:rFonts w:ascii="Aptos" w:hAnsi="Aptos"/>
          <w:sz w:val="25"/>
          <w:szCs w:val="25"/>
        </w:rPr>
        <w:t xml:space="preserve">homeless. </w:t>
      </w:r>
      <w:r w:rsidR="00DC1FBB">
        <w:rPr>
          <w:rFonts w:ascii="Aptos" w:hAnsi="Aptos"/>
          <w:sz w:val="25"/>
          <w:szCs w:val="25"/>
        </w:rPr>
        <w:t xml:space="preserve">In </w:t>
      </w:r>
      <w:r w:rsidR="00DC1FBB">
        <w:rPr>
          <w:rFonts w:ascii="Aptos" w:hAnsi="Aptos"/>
          <w:i/>
          <w:iCs/>
          <w:sz w:val="25"/>
          <w:szCs w:val="25"/>
        </w:rPr>
        <w:t>Appeal of M.M.</w:t>
      </w:r>
      <w:r w:rsidR="00DC1FBB">
        <w:rPr>
          <w:rFonts w:ascii="Aptos" w:hAnsi="Aptos"/>
          <w:sz w:val="25"/>
          <w:szCs w:val="25"/>
        </w:rPr>
        <w:t xml:space="preserve">, the </w:t>
      </w:r>
      <w:r w:rsidR="00EA5247">
        <w:rPr>
          <w:rFonts w:ascii="Aptos" w:hAnsi="Aptos"/>
          <w:sz w:val="25"/>
          <w:szCs w:val="25"/>
        </w:rPr>
        <w:t xml:space="preserve">NYSED </w:t>
      </w:r>
      <w:r w:rsidR="00DC1FBB">
        <w:rPr>
          <w:rFonts w:ascii="Aptos" w:hAnsi="Aptos"/>
          <w:sz w:val="25"/>
          <w:szCs w:val="25"/>
        </w:rPr>
        <w:t>Commissioner noted that students who had</w:t>
      </w:r>
      <w:r w:rsidR="004F7C86">
        <w:rPr>
          <w:rFonts w:ascii="Aptos" w:hAnsi="Aptos"/>
          <w:sz w:val="25"/>
          <w:szCs w:val="25"/>
        </w:rPr>
        <w:t>, in 2016,</w:t>
      </w:r>
      <w:r w:rsidR="00DC1FBB">
        <w:rPr>
          <w:rFonts w:ascii="Aptos" w:hAnsi="Aptos"/>
          <w:sz w:val="25"/>
          <w:szCs w:val="25"/>
        </w:rPr>
        <w:t xml:space="preserve"> been displaced from their home and began living at a hotel located within </w:t>
      </w:r>
      <w:r w:rsidR="004F7C86">
        <w:rPr>
          <w:rFonts w:ascii="Aptos" w:hAnsi="Aptos"/>
          <w:sz w:val="25"/>
          <w:szCs w:val="25"/>
        </w:rPr>
        <w:t>the</w:t>
      </w:r>
      <w:r w:rsidR="00DC1FBB">
        <w:rPr>
          <w:rFonts w:ascii="Aptos" w:hAnsi="Aptos"/>
          <w:sz w:val="25"/>
          <w:szCs w:val="25"/>
        </w:rPr>
        <w:t xml:space="preserve"> school district </w:t>
      </w:r>
      <w:r w:rsidR="004F7C86">
        <w:rPr>
          <w:rFonts w:ascii="Aptos" w:hAnsi="Aptos"/>
          <w:sz w:val="25"/>
          <w:szCs w:val="25"/>
        </w:rPr>
        <w:t>they had been attending (at which time the school district had deemed the</w:t>
      </w:r>
      <w:r w:rsidR="00CF33D2">
        <w:rPr>
          <w:rFonts w:ascii="Aptos" w:hAnsi="Aptos"/>
          <w:sz w:val="25"/>
          <w:szCs w:val="25"/>
        </w:rPr>
        <w:t>m</w:t>
      </w:r>
      <w:r w:rsidR="004F7C86">
        <w:rPr>
          <w:rFonts w:ascii="Aptos" w:hAnsi="Aptos"/>
          <w:sz w:val="25"/>
          <w:szCs w:val="25"/>
        </w:rPr>
        <w:t xml:space="preserve"> homeless), </w:t>
      </w:r>
      <w:r>
        <w:rPr>
          <w:rFonts w:ascii="Aptos" w:hAnsi="Aptos"/>
          <w:sz w:val="25"/>
          <w:szCs w:val="25"/>
        </w:rPr>
        <w:t xml:space="preserve">were to be considered </w:t>
      </w:r>
      <w:r w:rsidR="004F7C86">
        <w:rPr>
          <w:rFonts w:ascii="Aptos" w:hAnsi="Aptos"/>
          <w:sz w:val="25"/>
          <w:szCs w:val="25"/>
        </w:rPr>
        <w:t>district residents</w:t>
      </w:r>
      <w:r w:rsidR="00167A80">
        <w:rPr>
          <w:rFonts w:ascii="Aptos" w:hAnsi="Aptos"/>
          <w:sz w:val="25"/>
          <w:szCs w:val="25"/>
        </w:rPr>
        <w:t xml:space="preserve"> </w:t>
      </w:r>
      <w:r w:rsidR="00523BB9">
        <w:rPr>
          <w:rFonts w:ascii="Aptos" w:hAnsi="Aptos"/>
          <w:sz w:val="25"/>
          <w:szCs w:val="25"/>
        </w:rPr>
        <w:t xml:space="preserve">in 2020, </w:t>
      </w:r>
      <w:r w:rsidR="00167A80">
        <w:rPr>
          <w:rFonts w:ascii="Aptos" w:hAnsi="Aptos"/>
          <w:sz w:val="25"/>
          <w:szCs w:val="25"/>
        </w:rPr>
        <w:t>though</w:t>
      </w:r>
      <w:r w:rsidR="004F7C86">
        <w:rPr>
          <w:rFonts w:ascii="Aptos" w:hAnsi="Aptos"/>
          <w:sz w:val="25"/>
          <w:szCs w:val="25"/>
        </w:rPr>
        <w:t xml:space="preserve"> they were still living </w:t>
      </w:r>
      <w:r w:rsidR="00167A80">
        <w:rPr>
          <w:rFonts w:ascii="Aptos" w:hAnsi="Aptos"/>
          <w:sz w:val="25"/>
          <w:szCs w:val="25"/>
        </w:rPr>
        <w:t>at</w:t>
      </w:r>
      <w:r w:rsidR="004F7C86">
        <w:rPr>
          <w:rFonts w:ascii="Aptos" w:hAnsi="Aptos"/>
          <w:sz w:val="25"/>
          <w:szCs w:val="25"/>
        </w:rPr>
        <w:t xml:space="preserve"> the</w:t>
      </w:r>
      <w:r w:rsidR="00EA5247">
        <w:rPr>
          <w:rFonts w:ascii="Aptos" w:hAnsi="Aptos"/>
          <w:sz w:val="25"/>
          <w:szCs w:val="25"/>
        </w:rPr>
        <w:t xml:space="preserve"> same</w:t>
      </w:r>
      <w:r w:rsidR="004F7C86">
        <w:rPr>
          <w:rFonts w:ascii="Aptos" w:hAnsi="Aptos"/>
          <w:sz w:val="25"/>
          <w:szCs w:val="25"/>
        </w:rPr>
        <w:t xml:space="preserve"> hotel.</w:t>
      </w:r>
      <w:r w:rsidR="004F7C86">
        <w:rPr>
          <w:rStyle w:val="FootnoteReference"/>
          <w:rFonts w:ascii="Aptos" w:hAnsi="Aptos"/>
          <w:sz w:val="25"/>
          <w:szCs w:val="25"/>
        </w:rPr>
        <w:footnoteReference w:id="49"/>
      </w:r>
      <w:r w:rsidR="006E1287">
        <w:rPr>
          <w:rFonts w:ascii="Aptos" w:hAnsi="Aptos"/>
          <w:sz w:val="25"/>
          <w:szCs w:val="25"/>
        </w:rPr>
        <w:t xml:space="preserve"> </w:t>
      </w:r>
      <w:r w:rsidR="006B6381">
        <w:rPr>
          <w:rFonts w:ascii="Aptos" w:hAnsi="Aptos"/>
          <w:sz w:val="25"/>
          <w:szCs w:val="25"/>
        </w:rPr>
        <w:t xml:space="preserve">DESE’s 2020 </w:t>
      </w:r>
      <w:r w:rsidR="006B6381">
        <w:rPr>
          <w:rFonts w:ascii="Aptos" w:hAnsi="Aptos"/>
          <w:i/>
          <w:iCs/>
          <w:sz w:val="25"/>
          <w:szCs w:val="25"/>
        </w:rPr>
        <w:t xml:space="preserve">Guidance on </w:t>
      </w:r>
      <w:r w:rsidR="006B6381">
        <w:rPr>
          <w:rFonts w:ascii="Aptos" w:hAnsi="Aptos"/>
          <w:i/>
          <w:iCs/>
          <w:sz w:val="25"/>
          <w:szCs w:val="25"/>
        </w:rPr>
        <w:lastRenderedPageBreak/>
        <w:t>Fixed, Regular, and Adequate Housing: Identifying Family and Youth Homelessness</w:t>
      </w:r>
      <w:r w:rsidR="00CF33D2">
        <w:rPr>
          <w:rFonts w:ascii="Aptos" w:hAnsi="Aptos"/>
          <w:i/>
          <w:iCs/>
          <w:sz w:val="25"/>
          <w:szCs w:val="25"/>
        </w:rPr>
        <w:t xml:space="preserve"> </w:t>
      </w:r>
      <w:r w:rsidR="00CF33D2" w:rsidRPr="00CF33D2">
        <w:rPr>
          <w:rFonts w:ascii="Aptos" w:hAnsi="Aptos"/>
          <w:sz w:val="25"/>
          <w:szCs w:val="25"/>
        </w:rPr>
        <w:t>(</w:t>
      </w:r>
      <w:r w:rsidR="00F77A51">
        <w:rPr>
          <w:rFonts w:ascii="Aptos" w:hAnsi="Aptos"/>
          <w:sz w:val="25"/>
          <w:szCs w:val="25"/>
        </w:rPr>
        <w:t>Department’s Housing</w:t>
      </w:r>
      <w:r w:rsidR="00CF33D2" w:rsidRPr="00CF33D2">
        <w:rPr>
          <w:rFonts w:ascii="Aptos" w:hAnsi="Aptos"/>
          <w:sz w:val="25"/>
          <w:szCs w:val="25"/>
        </w:rPr>
        <w:t xml:space="preserve"> Guidance)</w:t>
      </w:r>
      <w:r w:rsidR="006B6381" w:rsidRPr="00CF33D2">
        <w:rPr>
          <w:rFonts w:ascii="Aptos" w:hAnsi="Aptos"/>
          <w:sz w:val="25"/>
          <w:szCs w:val="25"/>
        </w:rPr>
        <w:t xml:space="preserve">, </w:t>
      </w:r>
      <w:r w:rsidR="006B6381">
        <w:rPr>
          <w:rFonts w:ascii="Aptos" w:hAnsi="Aptos"/>
          <w:sz w:val="25"/>
          <w:szCs w:val="25"/>
        </w:rPr>
        <w:t xml:space="preserve">reflects </w:t>
      </w:r>
      <w:r w:rsidR="0006570D">
        <w:rPr>
          <w:rFonts w:ascii="Aptos" w:hAnsi="Aptos"/>
          <w:sz w:val="25"/>
          <w:szCs w:val="25"/>
        </w:rPr>
        <w:t xml:space="preserve">this </w:t>
      </w:r>
      <w:r w:rsidR="006B6381">
        <w:rPr>
          <w:rFonts w:ascii="Aptos" w:hAnsi="Aptos"/>
          <w:sz w:val="25"/>
          <w:szCs w:val="25"/>
        </w:rPr>
        <w:t>possibility as well</w:t>
      </w:r>
      <w:r w:rsidR="00EA5247">
        <w:rPr>
          <w:rFonts w:ascii="Aptos" w:hAnsi="Aptos"/>
          <w:sz w:val="25"/>
          <w:szCs w:val="25"/>
        </w:rPr>
        <w:t xml:space="preserve">, as it </w:t>
      </w:r>
      <w:r w:rsidR="006B6381">
        <w:rPr>
          <w:rFonts w:ascii="Aptos" w:hAnsi="Aptos"/>
          <w:sz w:val="25"/>
          <w:szCs w:val="25"/>
        </w:rPr>
        <w:t>advis</w:t>
      </w:r>
      <w:r w:rsidR="0006570D">
        <w:rPr>
          <w:rFonts w:ascii="Aptos" w:hAnsi="Aptos"/>
          <w:sz w:val="25"/>
          <w:szCs w:val="25"/>
        </w:rPr>
        <w:t>es</w:t>
      </w:r>
      <w:r w:rsidR="006B6381">
        <w:rPr>
          <w:rFonts w:ascii="Aptos" w:hAnsi="Aptos"/>
          <w:sz w:val="25"/>
          <w:szCs w:val="25"/>
        </w:rPr>
        <w:t xml:space="preserve"> that those making determinations of homelessness involving families renting rooms consider individual factors</w:t>
      </w:r>
      <w:r w:rsidR="00EA5247">
        <w:rPr>
          <w:rFonts w:ascii="Aptos" w:hAnsi="Aptos"/>
          <w:sz w:val="25"/>
          <w:szCs w:val="25"/>
        </w:rPr>
        <w:t>.</w:t>
      </w:r>
      <w:r w:rsidR="00E07043">
        <w:rPr>
          <w:rStyle w:val="FootnoteReference"/>
          <w:rFonts w:ascii="Aptos" w:hAnsi="Aptos"/>
          <w:sz w:val="25"/>
          <w:szCs w:val="25"/>
        </w:rPr>
        <w:footnoteReference w:id="50"/>
      </w:r>
      <w:r w:rsidR="00EA5247">
        <w:rPr>
          <w:rFonts w:ascii="Aptos" w:hAnsi="Aptos"/>
          <w:sz w:val="25"/>
          <w:szCs w:val="25"/>
        </w:rPr>
        <w:t xml:space="preserve"> Specifically, the </w:t>
      </w:r>
      <w:r w:rsidR="00F77A51">
        <w:rPr>
          <w:rFonts w:ascii="Aptos" w:hAnsi="Aptos"/>
          <w:sz w:val="25"/>
          <w:szCs w:val="25"/>
        </w:rPr>
        <w:t>Department’s Housing</w:t>
      </w:r>
      <w:r w:rsidR="00EA5247">
        <w:rPr>
          <w:rFonts w:ascii="Aptos" w:hAnsi="Aptos"/>
          <w:sz w:val="25"/>
          <w:szCs w:val="25"/>
        </w:rPr>
        <w:t xml:space="preserve"> Guidance counsels that</w:t>
      </w:r>
      <w:r w:rsidR="006B6381">
        <w:rPr>
          <w:rFonts w:ascii="Aptos" w:hAnsi="Aptos"/>
          <w:sz w:val="25"/>
          <w:szCs w:val="25"/>
        </w:rPr>
        <w:t xml:space="preserve">: </w:t>
      </w:r>
    </w:p>
    <w:p w14:paraId="112C5F96" w14:textId="113B1EBA" w:rsidR="00177936" w:rsidRPr="006B6381" w:rsidRDefault="006B6381" w:rsidP="006B6381">
      <w:pPr>
        <w:spacing w:after="100" w:afterAutospacing="1"/>
        <w:ind w:left="1440"/>
        <w:rPr>
          <w:rFonts w:ascii="Aptos" w:hAnsi="Aptos"/>
        </w:rPr>
      </w:pPr>
      <w:r>
        <w:rPr>
          <w:rFonts w:ascii="Aptos" w:hAnsi="Aptos"/>
          <w:sz w:val="25"/>
          <w:szCs w:val="25"/>
        </w:rPr>
        <w:t>Though a family is paying rent, a room may not be adequate to meet the physical and psychological needs of the student. Many room rental arrangements are not regular and far from secure or stable. When determining homelessness, liaisons should consider the context that requires the student/family to live in a room rental arrangement, the local housing market, and other factors that may contribute to housing instability.</w:t>
      </w:r>
      <w:r>
        <w:rPr>
          <w:rStyle w:val="FootnoteReference"/>
          <w:rFonts w:ascii="Aptos" w:hAnsi="Aptos"/>
          <w:sz w:val="25"/>
          <w:szCs w:val="25"/>
        </w:rPr>
        <w:footnoteReference w:id="51"/>
      </w:r>
    </w:p>
    <w:p w14:paraId="0E2A4D13" w14:textId="69B070AE" w:rsidR="008B5A39" w:rsidRDefault="00DE0A87" w:rsidP="009063F6">
      <w:pPr>
        <w:spacing w:after="100" w:afterAutospacing="1"/>
        <w:ind w:firstLine="720"/>
        <w:rPr>
          <w:rFonts w:ascii="Aptos" w:hAnsi="Aptos"/>
          <w:sz w:val="25"/>
          <w:szCs w:val="25"/>
        </w:rPr>
      </w:pPr>
      <w:r>
        <w:rPr>
          <w:rFonts w:ascii="Aptos" w:hAnsi="Aptos"/>
          <w:sz w:val="25"/>
          <w:szCs w:val="25"/>
        </w:rPr>
        <w:t xml:space="preserve">Due </w:t>
      </w:r>
      <w:r w:rsidR="000F3D5F">
        <w:rPr>
          <w:rFonts w:ascii="Aptos" w:hAnsi="Aptos"/>
          <w:sz w:val="25"/>
          <w:szCs w:val="25"/>
        </w:rPr>
        <w:t xml:space="preserve">to the stigma associated with homelessness, </w:t>
      </w:r>
      <w:r>
        <w:rPr>
          <w:rFonts w:ascii="Aptos" w:hAnsi="Aptos"/>
          <w:sz w:val="25"/>
          <w:szCs w:val="25"/>
        </w:rPr>
        <w:t xml:space="preserve">NCHE cautions, </w:t>
      </w:r>
      <w:r w:rsidR="000F3D5F">
        <w:rPr>
          <w:rFonts w:ascii="Aptos" w:hAnsi="Aptos"/>
          <w:sz w:val="25"/>
          <w:szCs w:val="25"/>
        </w:rPr>
        <w:t>“families or youth may not consider themselves homeless even though their living arrangement meets the definition.”</w:t>
      </w:r>
      <w:r w:rsidR="000F3D5F">
        <w:rPr>
          <w:rStyle w:val="FootnoteReference"/>
          <w:rFonts w:ascii="Aptos" w:hAnsi="Aptos"/>
          <w:sz w:val="25"/>
          <w:szCs w:val="25"/>
        </w:rPr>
        <w:footnoteReference w:id="52"/>
      </w:r>
      <w:r w:rsidR="000F3D5F">
        <w:rPr>
          <w:rFonts w:ascii="Aptos" w:hAnsi="Aptos"/>
          <w:sz w:val="25"/>
          <w:szCs w:val="25"/>
        </w:rPr>
        <w:t xml:space="preserve"> </w:t>
      </w:r>
      <w:r w:rsidR="00F22270">
        <w:rPr>
          <w:rFonts w:ascii="Aptos" w:hAnsi="Aptos"/>
          <w:sz w:val="25"/>
          <w:szCs w:val="25"/>
        </w:rPr>
        <w:t>Nevertheless</w:t>
      </w:r>
      <w:r w:rsidR="000F3D5F">
        <w:rPr>
          <w:rFonts w:ascii="Aptos" w:hAnsi="Aptos"/>
          <w:sz w:val="25"/>
          <w:szCs w:val="25"/>
        </w:rPr>
        <w:t>, review</w:t>
      </w:r>
      <w:r w:rsidR="0006570D">
        <w:rPr>
          <w:rFonts w:ascii="Aptos" w:hAnsi="Aptos"/>
          <w:sz w:val="25"/>
          <w:szCs w:val="25"/>
        </w:rPr>
        <w:t>s of</w:t>
      </w:r>
      <w:r w:rsidR="00AA6DD5">
        <w:rPr>
          <w:rFonts w:ascii="Aptos" w:hAnsi="Aptos"/>
          <w:sz w:val="25"/>
          <w:szCs w:val="25"/>
        </w:rPr>
        <w:t xml:space="preserve"> school district</w:t>
      </w:r>
      <w:r w:rsidR="000F3D5F">
        <w:rPr>
          <w:rFonts w:ascii="Aptos" w:hAnsi="Aptos"/>
          <w:sz w:val="25"/>
          <w:szCs w:val="25"/>
        </w:rPr>
        <w:t xml:space="preserve"> decision</w:t>
      </w:r>
      <w:r w:rsidR="00982BAF">
        <w:rPr>
          <w:rFonts w:ascii="Aptos" w:hAnsi="Aptos"/>
          <w:sz w:val="25"/>
          <w:szCs w:val="25"/>
        </w:rPr>
        <w:t>s</w:t>
      </w:r>
      <w:r w:rsidR="000F3D5F">
        <w:rPr>
          <w:rFonts w:ascii="Aptos" w:hAnsi="Aptos"/>
          <w:sz w:val="25"/>
          <w:szCs w:val="25"/>
        </w:rPr>
        <w:t xml:space="preserve"> about whether a student is homeless have, at times, considered</w:t>
      </w:r>
      <w:r w:rsidR="00E07043">
        <w:rPr>
          <w:rFonts w:ascii="Aptos" w:hAnsi="Aptos"/>
          <w:sz w:val="25"/>
          <w:szCs w:val="25"/>
        </w:rPr>
        <w:t xml:space="preserve"> a family’s view of (or intentions regarding), their living arrangement </w:t>
      </w:r>
      <w:r w:rsidR="000F3D5F">
        <w:rPr>
          <w:rFonts w:ascii="Aptos" w:hAnsi="Aptos"/>
          <w:sz w:val="25"/>
          <w:szCs w:val="25"/>
        </w:rPr>
        <w:t>as one factor in the determination.</w:t>
      </w:r>
      <w:r w:rsidR="000F3D5F">
        <w:rPr>
          <w:rStyle w:val="FootnoteReference"/>
          <w:rFonts w:ascii="Aptos" w:hAnsi="Aptos"/>
          <w:sz w:val="25"/>
          <w:szCs w:val="25"/>
        </w:rPr>
        <w:footnoteReference w:id="53"/>
      </w:r>
      <w:r w:rsidR="00E07043">
        <w:rPr>
          <w:rFonts w:ascii="Aptos" w:hAnsi="Aptos"/>
          <w:sz w:val="25"/>
          <w:szCs w:val="25"/>
        </w:rPr>
        <w:t xml:space="preserve"> </w:t>
      </w:r>
      <w:r w:rsidR="0006570D">
        <w:rPr>
          <w:rFonts w:ascii="Aptos" w:hAnsi="Aptos"/>
          <w:sz w:val="25"/>
          <w:szCs w:val="25"/>
        </w:rPr>
        <w:t>The availability of r</w:t>
      </w:r>
      <w:r w:rsidR="008128B6">
        <w:rPr>
          <w:rFonts w:ascii="Aptos" w:hAnsi="Aptos"/>
          <w:sz w:val="25"/>
          <w:szCs w:val="25"/>
        </w:rPr>
        <w:t xml:space="preserve">esources and whether parents intend for a housing situation to be temporary or permanent, however, </w:t>
      </w:r>
      <w:r w:rsidR="00CF33D2">
        <w:rPr>
          <w:rFonts w:ascii="Aptos" w:hAnsi="Aptos"/>
          <w:sz w:val="25"/>
          <w:szCs w:val="25"/>
        </w:rPr>
        <w:t>is</w:t>
      </w:r>
      <w:r w:rsidR="008128B6">
        <w:rPr>
          <w:rFonts w:ascii="Aptos" w:hAnsi="Aptos"/>
          <w:sz w:val="25"/>
          <w:szCs w:val="25"/>
        </w:rPr>
        <w:t xml:space="preserve"> not controlling. </w:t>
      </w:r>
      <w:r w:rsidR="00E07043">
        <w:rPr>
          <w:rFonts w:ascii="Aptos" w:hAnsi="Aptos"/>
          <w:sz w:val="25"/>
          <w:szCs w:val="25"/>
        </w:rPr>
        <w:t xml:space="preserve">Even if </w:t>
      </w:r>
      <w:r w:rsidR="00F22270">
        <w:rPr>
          <w:rFonts w:ascii="Aptos" w:hAnsi="Aptos"/>
          <w:sz w:val="25"/>
          <w:szCs w:val="25"/>
        </w:rPr>
        <w:t>parents</w:t>
      </w:r>
      <w:r w:rsidR="00931BEE">
        <w:rPr>
          <w:rFonts w:ascii="Aptos" w:hAnsi="Aptos"/>
          <w:sz w:val="25"/>
          <w:szCs w:val="25"/>
        </w:rPr>
        <w:t xml:space="preserve"> lack </w:t>
      </w:r>
      <w:r w:rsidR="00F22270">
        <w:rPr>
          <w:rFonts w:ascii="Aptos" w:hAnsi="Aptos"/>
          <w:sz w:val="25"/>
          <w:szCs w:val="25"/>
        </w:rPr>
        <w:t xml:space="preserve">the </w:t>
      </w:r>
      <w:r w:rsidR="00931BEE">
        <w:rPr>
          <w:rFonts w:ascii="Aptos" w:hAnsi="Aptos"/>
          <w:sz w:val="25"/>
          <w:szCs w:val="25"/>
        </w:rPr>
        <w:t>resources</w:t>
      </w:r>
      <w:r w:rsidR="00982BAF">
        <w:rPr>
          <w:rFonts w:ascii="Aptos" w:hAnsi="Aptos"/>
          <w:sz w:val="25"/>
          <w:szCs w:val="25"/>
        </w:rPr>
        <w:t xml:space="preserve"> to move out of shared housing arrangements or hotels</w:t>
      </w:r>
      <w:r w:rsidR="00F22270">
        <w:rPr>
          <w:rFonts w:ascii="Aptos" w:hAnsi="Aptos"/>
          <w:sz w:val="25"/>
          <w:szCs w:val="25"/>
        </w:rPr>
        <w:t xml:space="preserve"> that they intend to be temporary</w:t>
      </w:r>
      <w:r w:rsidR="00982BAF">
        <w:rPr>
          <w:rFonts w:ascii="Aptos" w:hAnsi="Aptos"/>
          <w:sz w:val="25"/>
          <w:szCs w:val="25"/>
        </w:rPr>
        <w:t>, th</w:t>
      </w:r>
      <w:r w:rsidR="00F22270">
        <w:rPr>
          <w:rFonts w:ascii="Aptos" w:hAnsi="Aptos"/>
          <w:sz w:val="25"/>
          <w:szCs w:val="25"/>
        </w:rPr>
        <w:t>ese circumstances and this intention, together, do</w:t>
      </w:r>
      <w:r w:rsidR="00982BAF">
        <w:rPr>
          <w:rFonts w:ascii="Aptos" w:hAnsi="Aptos"/>
          <w:sz w:val="25"/>
          <w:szCs w:val="25"/>
        </w:rPr>
        <w:t xml:space="preserve"> not render their children permanently homeless, as “the realities of long-term economic hardship, or at least of long-term economic limitations, shared by so many families,” may “work to convert a state of ‘homelessness’ to one where the child is no longer ‘homeless,’” at least where the child regularly occupies an adequate living place.</w:t>
      </w:r>
      <w:r w:rsidR="00982BAF">
        <w:rPr>
          <w:rStyle w:val="FootnoteReference"/>
          <w:rFonts w:ascii="Aptos" w:hAnsi="Aptos"/>
          <w:sz w:val="25"/>
          <w:szCs w:val="25"/>
        </w:rPr>
        <w:footnoteReference w:id="54"/>
      </w:r>
      <w:r w:rsidR="00982BAF">
        <w:rPr>
          <w:rFonts w:ascii="Aptos" w:hAnsi="Aptos"/>
          <w:sz w:val="25"/>
          <w:szCs w:val="25"/>
        </w:rPr>
        <w:t xml:space="preserve"> </w:t>
      </w:r>
      <w:r w:rsidR="008128B6">
        <w:rPr>
          <w:rFonts w:ascii="Aptos" w:hAnsi="Aptos"/>
          <w:sz w:val="25"/>
          <w:szCs w:val="25"/>
        </w:rPr>
        <w:t xml:space="preserve">That living place need not be permanent; McKinney-Vento is “intended to address situations, for </w:t>
      </w:r>
      <w:r w:rsidR="008128B6">
        <w:rPr>
          <w:rFonts w:ascii="Aptos" w:hAnsi="Aptos"/>
          <w:sz w:val="25"/>
          <w:szCs w:val="25"/>
        </w:rPr>
        <w:lastRenderedPageBreak/>
        <w:t>example, of a parent who has no place to live, or moves frequently from place to place or is temporarily living in a motel.”</w:t>
      </w:r>
      <w:r w:rsidR="008128B6">
        <w:rPr>
          <w:rStyle w:val="FootnoteReference"/>
          <w:rFonts w:ascii="Aptos" w:hAnsi="Aptos"/>
          <w:sz w:val="25"/>
          <w:szCs w:val="25"/>
        </w:rPr>
        <w:footnoteReference w:id="55"/>
      </w:r>
    </w:p>
    <w:p w14:paraId="2FCC0583" w14:textId="4A146A4E" w:rsidR="00087418" w:rsidRPr="004E0F52" w:rsidRDefault="00087418" w:rsidP="00087418">
      <w:pPr>
        <w:pStyle w:val="ListParagraph"/>
        <w:numPr>
          <w:ilvl w:val="0"/>
          <w:numId w:val="43"/>
        </w:numPr>
        <w:spacing w:after="100" w:afterAutospacing="1"/>
        <w:rPr>
          <w:rFonts w:ascii="Aptos" w:hAnsi="Aptos"/>
          <w:sz w:val="25"/>
          <w:szCs w:val="25"/>
        </w:rPr>
      </w:pPr>
      <w:r>
        <w:rPr>
          <w:rFonts w:ascii="Aptos" w:hAnsi="Aptos"/>
          <w:sz w:val="25"/>
          <w:szCs w:val="25"/>
          <w:u w:val="single"/>
        </w:rPr>
        <w:t>DCF and Homelessness</w:t>
      </w:r>
    </w:p>
    <w:p w14:paraId="40F1138B" w14:textId="33FFBAC8" w:rsidR="006E122D" w:rsidRDefault="004E0F52" w:rsidP="006E122D">
      <w:pPr>
        <w:spacing w:after="100" w:afterAutospacing="1"/>
        <w:ind w:firstLine="720"/>
        <w:rPr>
          <w:rFonts w:ascii="Aptos" w:hAnsi="Aptos"/>
          <w:sz w:val="25"/>
          <w:szCs w:val="25"/>
        </w:rPr>
      </w:pPr>
      <w:r>
        <w:rPr>
          <w:rFonts w:ascii="Aptos" w:hAnsi="Aptos"/>
          <w:sz w:val="25"/>
          <w:szCs w:val="25"/>
        </w:rPr>
        <w:t xml:space="preserve">Because </w:t>
      </w:r>
      <w:r w:rsidRPr="004E0F52">
        <w:rPr>
          <w:rFonts w:ascii="Aptos" w:hAnsi="Aptos"/>
          <w:sz w:val="25"/>
          <w:szCs w:val="25"/>
        </w:rPr>
        <w:t>Foxborough argues</w:t>
      </w:r>
      <w:r w:rsidR="00F33B5F">
        <w:rPr>
          <w:rFonts w:ascii="Aptos" w:hAnsi="Aptos"/>
          <w:sz w:val="25"/>
          <w:szCs w:val="25"/>
        </w:rPr>
        <w:t xml:space="preserve"> that DCF could have facilitated Student’s placement with Father even if </w:t>
      </w:r>
      <w:r w:rsidR="00F77A51">
        <w:rPr>
          <w:rFonts w:ascii="Aptos" w:hAnsi="Aptos"/>
          <w:sz w:val="25"/>
          <w:szCs w:val="25"/>
        </w:rPr>
        <w:t>Father</w:t>
      </w:r>
      <w:r w:rsidR="00F33B5F">
        <w:rPr>
          <w:rFonts w:ascii="Aptos" w:hAnsi="Aptos"/>
          <w:sz w:val="25"/>
          <w:szCs w:val="25"/>
        </w:rPr>
        <w:t xml:space="preserve"> were homeless, I </w:t>
      </w:r>
      <w:proofErr w:type="gramStart"/>
      <w:r w:rsidR="00F33B5F">
        <w:rPr>
          <w:rFonts w:ascii="Aptos" w:hAnsi="Aptos"/>
          <w:sz w:val="25"/>
          <w:szCs w:val="25"/>
        </w:rPr>
        <w:t>examine</w:t>
      </w:r>
      <w:proofErr w:type="gramEnd"/>
      <w:r w:rsidR="00F33B5F">
        <w:rPr>
          <w:rFonts w:ascii="Aptos" w:hAnsi="Aptos"/>
          <w:sz w:val="25"/>
          <w:szCs w:val="25"/>
        </w:rPr>
        <w:t xml:space="preserve"> relevant DCF regulations</w:t>
      </w:r>
      <w:r w:rsidR="00CF33D2">
        <w:rPr>
          <w:rFonts w:ascii="Aptos" w:hAnsi="Aptos"/>
          <w:sz w:val="25"/>
          <w:szCs w:val="25"/>
        </w:rPr>
        <w:t xml:space="preserve"> regarding homeless children and families</w:t>
      </w:r>
      <w:r w:rsidR="00F33B5F">
        <w:rPr>
          <w:rFonts w:ascii="Aptos" w:hAnsi="Aptos"/>
          <w:sz w:val="25"/>
          <w:szCs w:val="25"/>
        </w:rPr>
        <w:t>.</w:t>
      </w:r>
      <w:r w:rsidR="00D66650">
        <w:rPr>
          <w:rFonts w:ascii="Aptos" w:hAnsi="Aptos"/>
          <w:sz w:val="25"/>
          <w:szCs w:val="25"/>
        </w:rPr>
        <w:t xml:space="preserve"> Most of these regulations are tangential to this case, as they relate to placements and removals made by DCF, neither of which applies to the instant matter. </w:t>
      </w:r>
      <w:r w:rsidR="00F33B5F">
        <w:rPr>
          <w:rFonts w:ascii="Aptos" w:hAnsi="Aptos"/>
          <w:sz w:val="25"/>
          <w:szCs w:val="25"/>
        </w:rPr>
        <w:t>110 C</w:t>
      </w:r>
      <w:r w:rsidR="00985225">
        <w:rPr>
          <w:rFonts w:ascii="Aptos" w:hAnsi="Aptos"/>
          <w:sz w:val="25"/>
          <w:szCs w:val="25"/>
        </w:rPr>
        <w:t>MR</w:t>
      </w:r>
      <w:r w:rsidR="00F33B5F">
        <w:rPr>
          <w:rFonts w:ascii="Aptos" w:hAnsi="Aptos"/>
          <w:sz w:val="25"/>
          <w:szCs w:val="25"/>
        </w:rPr>
        <w:t xml:space="preserve"> Mass. Regs 1.11</w:t>
      </w:r>
      <w:r w:rsidR="00D66650">
        <w:rPr>
          <w:rFonts w:ascii="Aptos" w:hAnsi="Aptos"/>
          <w:sz w:val="25"/>
          <w:szCs w:val="25"/>
        </w:rPr>
        <w:t xml:space="preserve">, for example, entitled </w:t>
      </w:r>
      <w:r w:rsidR="00D66650">
        <w:rPr>
          <w:rFonts w:ascii="Aptos" w:hAnsi="Aptos"/>
          <w:i/>
          <w:iCs/>
          <w:sz w:val="25"/>
          <w:szCs w:val="25"/>
        </w:rPr>
        <w:t>Special Provisions Relating to Homeless Families</w:t>
      </w:r>
      <w:r w:rsidR="00D66650">
        <w:rPr>
          <w:rFonts w:ascii="Aptos" w:hAnsi="Aptos"/>
          <w:sz w:val="25"/>
          <w:szCs w:val="25"/>
        </w:rPr>
        <w:t xml:space="preserve">, “affirms [DCF’s] policy that poverty or </w:t>
      </w:r>
      <w:r w:rsidRPr="004E0F52">
        <w:rPr>
          <w:rFonts w:ascii="Aptos" w:hAnsi="Aptos"/>
          <w:sz w:val="25"/>
          <w:szCs w:val="25"/>
        </w:rPr>
        <w:t>homelessness are not per se indicative of child abuse or neglect; and that children should never be removed from their parents and placed into substitute care on the sole basis of homelessness</w:t>
      </w:r>
      <w:r w:rsidR="00D66650">
        <w:rPr>
          <w:rFonts w:ascii="Aptos" w:hAnsi="Aptos"/>
          <w:sz w:val="25"/>
          <w:szCs w:val="25"/>
        </w:rPr>
        <w:t>.</w:t>
      </w:r>
      <w:r w:rsidRPr="004E0F52">
        <w:rPr>
          <w:rFonts w:ascii="Aptos" w:hAnsi="Aptos"/>
          <w:sz w:val="25"/>
          <w:szCs w:val="25"/>
        </w:rPr>
        <w:t>”</w:t>
      </w:r>
      <w:r w:rsidR="00D66650">
        <w:rPr>
          <w:rFonts w:ascii="Aptos" w:hAnsi="Aptos"/>
          <w:sz w:val="25"/>
          <w:szCs w:val="25"/>
        </w:rPr>
        <w:t xml:space="preserve"> The same provision describes DCF’s efforts on behalf of a homeless family as including “efforts to provide access to facilities which allow a family to feed, bathe, and care for their children.”</w:t>
      </w:r>
      <w:r w:rsidR="00D66650">
        <w:rPr>
          <w:rStyle w:val="FootnoteReference"/>
          <w:rFonts w:ascii="Aptos" w:hAnsi="Aptos"/>
          <w:sz w:val="25"/>
          <w:szCs w:val="25"/>
        </w:rPr>
        <w:footnoteReference w:id="56"/>
      </w:r>
      <w:r w:rsidR="00D66650">
        <w:rPr>
          <w:rFonts w:ascii="Aptos" w:hAnsi="Aptos"/>
          <w:sz w:val="25"/>
          <w:szCs w:val="25"/>
        </w:rPr>
        <w:t xml:space="preserve"> </w:t>
      </w:r>
      <w:r w:rsidR="006E122D">
        <w:rPr>
          <w:rFonts w:ascii="Aptos" w:hAnsi="Aptos"/>
          <w:sz w:val="25"/>
          <w:szCs w:val="25"/>
        </w:rPr>
        <w:t>A Memorandum of Understanding Between the Department of Housing and Community Development and DCF entered into on January 2, 2015, which the agencies entered into “for the purpose of better coordinating the services each provide to homeless families” in Massachusetts, references placement of homeless families in motels and hotels, but specifies that the agreement refers only to families that “need to be placed in a motel/hotel due to lack of family shelter availability,” where a family is ready to reunify and a lack of housing is the only remaining barrier.</w:t>
      </w:r>
      <w:r w:rsidR="009032B4">
        <w:rPr>
          <w:rStyle w:val="FootnoteReference"/>
          <w:rFonts w:ascii="Aptos" w:hAnsi="Aptos"/>
          <w:sz w:val="25"/>
          <w:szCs w:val="25"/>
        </w:rPr>
        <w:footnoteReference w:id="57"/>
      </w:r>
    </w:p>
    <w:p w14:paraId="3615C882" w14:textId="357032B3" w:rsidR="00AE089F" w:rsidRDefault="00D66650" w:rsidP="00581368">
      <w:pPr>
        <w:spacing w:after="100" w:afterAutospacing="1"/>
        <w:ind w:firstLine="720"/>
        <w:rPr>
          <w:rFonts w:ascii="Aptos" w:hAnsi="Aptos"/>
          <w:sz w:val="25"/>
          <w:szCs w:val="25"/>
        </w:rPr>
      </w:pPr>
      <w:r>
        <w:rPr>
          <w:rFonts w:ascii="Aptos" w:hAnsi="Aptos"/>
          <w:sz w:val="25"/>
          <w:szCs w:val="25"/>
        </w:rPr>
        <w:t>Within its policy regarding housing standards for foster, pre-adoptive, and kinship homes, DCF sets forth</w:t>
      </w:r>
      <w:r w:rsidR="006E122D">
        <w:rPr>
          <w:rFonts w:ascii="Aptos" w:hAnsi="Aptos"/>
          <w:sz w:val="25"/>
          <w:szCs w:val="25"/>
        </w:rPr>
        <w:t xml:space="preserve"> requirements for licensing of such homes for children in its care or custody.</w:t>
      </w:r>
      <w:r>
        <w:rPr>
          <w:rStyle w:val="FootnoteReference"/>
          <w:rFonts w:ascii="Aptos" w:hAnsi="Aptos"/>
          <w:sz w:val="25"/>
          <w:szCs w:val="25"/>
        </w:rPr>
        <w:footnoteReference w:id="58"/>
      </w:r>
      <w:r>
        <w:rPr>
          <w:rFonts w:ascii="Aptos" w:hAnsi="Aptos"/>
          <w:sz w:val="25"/>
          <w:szCs w:val="25"/>
        </w:rPr>
        <w:t xml:space="preserve"> Under “Sleeping,” the policy explains that the “home must have sufficient furniture to allow each child to sleep in a separate bed and to have adequate storage space for his or her personal belongings,” and that bedrooms must provide “at least 50 square feet per child, unless determined in the best interest of the child, on a case-by-case basis, for kinship placements.</w:t>
      </w:r>
      <w:r w:rsidR="00DC415F">
        <w:rPr>
          <w:rFonts w:ascii="Aptos" w:hAnsi="Aptos"/>
          <w:sz w:val="25"/>
          <w:szCs w:val="25"/>
        </w:rPr>
        <w:t>”</w:t>
      </w:r>
      <w:r w:rsidR="006E122D">
        <w:rPr>
          <w:rStyle w:val="FootnoteReference"/>
          <w:rFonts w:ascii="Aptos" w:hAnsi="Aptos"/>
          <w:sz w:val="25"/>
          <w:szCs w:val="25"/>
        </w:rPr>
        <w:footnoteReference w:id="59"/>
      </w:r>
      <w:r w:rsidR="006E122D">
        <w:rPr>
          <w:rFonts w:ascii="Aptos" w:hAnsi="Aptos"/>
          <w:sz w:val="25"/>
          <w:szCs w:val="25"/>
        </w:rPr>
        <w:t xml:space="preserve"> </w:t>
      </w:r>
      <w:r w:rsidR="00DC415F">
        <w:rPr>
          <w:rFonts w:ascii="Aptos" w:hAnsi="Aptos"/>
          <w:sz w:val="25"/>
          <w:szCs w:val="25"/>
        </w:rPr>
        <w:t>As to</w:t>
      </w:r>
      <w:r w:rsidR="006E122D">
        <w:rPr>
          <w:rFonts w:ascii="Aptos" w:hAnsi="Aptos"/>
          <w:sz w:val="25"/>
          <w:szCs w:val="25"/>
        </w:rPr>
        <w:t xml:space="preserve"> “Utilities, Kitchen and Bath,” the policy specifies that in addition to access to a working telephone, the home must have safe and adequate lighting, ventilation, electricity, and heat; hot and cold running </w:t>
      </w:r>
      <w:r w:rsidR="006E122D">
        <w:rPr>
          <w:rFonts w:ascii="Aptos" w:hAnsi="Aptos"/>
          <w:sz w:val="25"/>
          <w:szCs w:val="25"/>
        </w:rPr>
        <w:lastRenderedPageBreak/>
        <w:t>water; a properly operating bathroom with a sink, toilet, tub and/or shower; and a properly operating kitchen with a sink, refrigerator and stove and oven.</w:t>
      </w:r>
      <w:r w:rsidR="006E122D">
        <w:rPr>
          <w:rStyle w:val="FootnoteReference"/>
          <w:rFonts w:ascii="Aptos" w:hAnsi="Aptos"/>
          <w:sz w:val="25"/>
          <w:szCs w:val="25"/>
        </w:rPr>
        <w:footnoteReference w:id="60"/>
      </w:r>
      <w:r w:rsidR="006E122D">
        <w:rPr>
          <w:rFonts w:ascii="Aptos" w:hAnsi="Aptos"/>
          <w:sz w:val="25"/>
          <w:szCs w:val="25"/>
        </w:rPr>
        <w:t xml:space="preserve"> </w:t>
      </w:r>
    </w:p>
    <w:p w14:paraId="7D0E179E" w14:textId="7CADA811" w:rsidR="00AE089F" w:rsidRPr="00932535" w:rsidRDefault="00AE089F" w:rsidP="00932535">
      <w:pPr>
        <w:pStyle w:val="ListParagraph"/>
        <w:numPr>
          <w:ilvl w:val="0"/>
          <w:numId w:val="40"/>
        </w:numPr>
        <w:spacing w:after="100" w:afterAutospacing="1"/>
        <w:rPr>
          <w:rFonts w:ascii="Aptos" w:hAnsi="Aptos"/>
          <w:sz w:val="25"/>
          <w:szCs w:val="25"/>
        </w:rPr>
      </w:pPr>
      <w:r w:rsidRPr="00F77A51">
        <w:rPr>
          <w:rFonts w:ascii="Aptos" w:hAnsi="Aptos"/>
          <w:sz w:val="25"/>
          <w:szCs w:val="25"/>
          <w:u w:val="single"/>
        </w:rPr>
        <w:t>Application</w:t>
      </w:r>
      <w:r w:rsidR="00F77A51" w:rsidRPr="00F77A51">
        <w:rPr>
          <w:rFonts w:ascii="Aptos" w:hAnsi="Aptos"/>
          <w:sz w:val="25"/>
          <w:szCs w:val="25"/>
          <w:u w:val="single"/>
        </w:rPr>
        <w:t xml:space="preserve"> of Legal Standards</w:t>
      </w:r>
      <w:r w:rsidR="00AA5261">
        <w:rPr>
          <w:rStyle w:val="FootnoteReference"/>
          <w:rFonts w:ascii="Aptos" w:hAnsi="Aptos"/>
          <w:sz w:val="25"/>
          <w:szCs w:val="25"/>
        </w:rPr>
        <w:footnoteReference w:id="61"/>
      </w:r>
    </w:p>
    <w:p w14:paraId="470CAD91" w14:textId="40095E75" w:rsidR="000E0048" w:rsidRDefault="00932535" w:rsidP="00581368">
      <w:pPr>
        <w:spacing w:after="100" w:afterAutospacing="1"/>
        <w:ind w:firstLine="720"/>
        <w:rPr>
          <w:rFonts w:ascii="Aptos" w:hAnsi="Aptos"/>
          <w:sz w:val="25"/>
          <w:szCs w:val="25"/>
        </w:rPr>
      </w:pPr>
      <w:r>
        <w:rPr>
          <w:rFonts w:ascii="Aptos" w:hAnsi="Aptos"/>
          <w:sz w:val="25"/>
          <w:szCs w:val="25"/>
        </w:rPr>
        <w:t xml:space="preserve">Pursuant to 603 CMR § 28.10(9) and because an appeal of </w:t>
      </w:r>
      <w:r w:rsidR="000E0048">
        <w:rPr>
          <w:rFonts w:ascii="Aptos" w:hAnsi="Aptos"/>
          <w:sz w:val="25"/>
          <w:szCs w:val="25"/>
        </w:rPr>
        <w:t xml:space="preserve">DESE’s LEA Assignment concerns “a matter relating to the . . . education program or educational placement of a child with a disability or the provision of a free appropriate public education to the child,” the BSEA has jurisdiction over the </w:t>
      </w:r>
      <w:r w:rsidR="009032B4">
        <w:rPr>
          <w:rFonts w:ascii="Aptos" w:hAnsi="Aptos"/>
          <w:sz w:val="25"/>
          <w:szCs w:val="25"/>
        </w:rPr>
        <w:t xml:space="preserve">instant </w:t>
      </w:r>
      <w:r w:rsidR="000E0048">
        <w:rPr>
          <w:rFonts w:ascii="Aptos" w:hAnsi="Aptos"/>
          <w:sz w:val="25"/>
          <w:szCs w:val="25"/>
        </w:rPr>
        <w:t>matter.</w:t>
      </w:r>
      <w:r>
        <w:rPr>
          <w:rStyle w:val="FootnoteReference"/>
          <w:rFonts w:ascii="Aptos" w:hAnsi="Aptos"/>
          <w:sz w:val="25"/>
          <w:szCs w:val="25"/>
        </w:rPr>
        <w:footnoteReference w:id="62"/>
      </w:r>
      <w:r w:rsidR="00D46062">
        <w:rPr>
          <w:rFonts w:ascii="Aptos" w:hAnsi="Aptos"/>
          <w:sz w:val="25"/>
          <w:szCs w:val="25"/>
        </w:rPr>
        <w:t xml:space="preserve"> </w:t>
      </w:r>
    </w:p>
    <w:p w14:paraId="58D1C06B" w14:textId="30E7139B" w:rsidR="00932535" w:rsidRDefault="00932535" w:rsidP="00581368">
      <w:pPr>
        <w:spacing w:after="100" w:afterAutospacing="1"/>
        <w:ind w:firstLine="720"/>
        <w:rPr>
          <w:rFonts w:ascii="Aptos" w:hAnsi="Aptos"/>
          <w:sz w:val="25"/>
          <w:szCs w:val="25"/>
        </w:rPr>
      </w:pPr>
      <w:r>
        <w:rPr>
          <w:rFonts w:ascii="Aptos" w:hAnsi="Aptos"/>
          <w:sz w:val="25"/>
          <w:szCs w:val="25"/>
        </w:rPr>
        <w:t>F</w:t>
      </w:r>
      <w:r w:rsidR="009032B4">
        <w:rPr>
          <w:rFonts w:ascii="Aptos" w:hAnsi="Aptos"/>
          <w:sz w:val="25"/>
          <w:szCs w:val="25"/>
        </w:rPr>
        <w:t xml:space="preserve">PS </w:t>
      </w:r>
      <w:r>
        <w:rPr>
          <w:rFonts w:ascii="Aptos" w:hAnsi="Aptos"/>
          <w:sz w:val="25"/>
          <w:szCs w:val="25"/>
        </w:rPr>
        <w:t xml:space="preserve">contends that Student does not reside in Foxborough because she is homeless pursuant to McKinney-Vento and corresponding </w:t>
      </w:r>
      <w:r w:rsidR="00F77A51">
        <w:rPr>
          <w:rFonts w:ascii="Aptos" w:hAnsi="Aptos"/>
          <w:sz w:val="25"/>
          <w:szCs w:val="25"/>
        </w:rPr>
        <w:t>s</w:t>
      </w:r>
      <w:r>
        <w:rPr>
          <w:rFonts w:ascii="Aptos" w:hAnsi="Aptos"/>
          <w:sz w:val="25"/>
          <w:szCs w:val="25"/>
        </w:rPr>
        <w:t xml:space="preserve">tate regulations and that, as such, DESE erred in assigning programmatic and financial responsibility to FPS. Foxborough reasons that McKinney-Vento establishes a rebuttable presumption that children staying in a hotel are homeless, given that </w:t>
      </w:r>
      <w:r w:rsidR="000F0D2D">
        <w:rPr>
          <w:rFonts w:ascii="Aptos" w:hAnsi="Aptos"/>
          <w:sz w:val="25"/>
          <w:szCs w:val="25"/>
        </w:rPr>
        <w:t>section 11434a(2) specifically includes</w:t>
      </w:r>
      <w:r w:rsidR="00985225">
        <w:rPr>
          <w:rFonts w:ascii="Aptos" w:hAnsi="Aptos"/>
          <w:sz w:val="25"/>
          <w:szCs w:val="25"/>
        </w:rPr>
        <w:t xml:space="preserve"> chil</w:t>
      </w:r>
      <w:r w:rsidR="000F0D2D">
        <w:rPr>
          <w:rFonts w:ascii="Aptos" w:hAnsi="Aptos"/>
          <w:sz w:val="25"/>
          <w:szCs w:val="25"/>
        </w:rPr>
        <w:t>dren</w:t>
      </w:r>
      <w:r w:rsidR="00985225">
        <w:rPr>
          <w:rFonts w:ascii="Aptos" w:hAnsi="Aptos"/>
          <w:sz w:val="25"/>
          <w:szCs w:val="25"/>
        </w:rPr>
        <w:t xml:space="preserve"> living in such circumstances</w:t>
      </w:r>
      <w:r w:rsidR="000F0D2D">
        <w:rPr>
          <w:rFonts w:ascii="Aptos" w:hAnsi="Aptos"/>
          <w:sz w:val="25"/>
          <w:szCs w:val="25"/>
        </w:rPr>
        <w:t xml:space="preserve"> as “individuals who lack a fixed, regular, and adequate nighttime residence.” According to FPS, DESE’s position that Student’s hotel room is a “fixed” residence contravenes the language of </w:t>
      </w:r>
      <w:r w:rsidR="009032B4">
        <w:rPr>
          <w:rFonts w:ascii="Aptos" w:hAnsi="Aptos"/>
          <w:sz w:val="25"/>
          <w:szCs w:val="25"/>
        </w:rPr>
        <w:t>the Act</w:t>
      </w:r>
      <w:r w:rsidR="000F0D2D">
        <w:rPr>
          <w:rFonts w:ascii="Aptos" w:hAnsi="Aptos"/>
          <w:sz w:val="25"/>
          <w:szCs w:val="25"/>
        </w:rPr>
        <w:t>, particularly where Massachusetts has historically utilized hotels and motels to shelter homeless families when traditional shelters have reached capacity.</w:t>
      </w:r>
      <w:r w:rsidR="000F0D2D">
        <w:rPr>
          <w:rStyle w:val="FootnoteReference"/>
          <w:rFonts w:ascii="Aptos" w:hAnsi="Aptos"/>
          <w:sz w:val="25"/>
          <w:szCs w:val="25"/>
        </w:rPr>
        <w:footnoteReference w:id="63"/>
      </w:r>
      <w:r w:rsidR="000F0D2D">
        <w:rPr>
          <w:rFonts w:ascii="Aptos" w:hAnsi="Aptos"/>
          <w:sz w:val="25"/>
          <w:szCs w:val="25"/>
        </w:rPr>
        <w:t xml:space="preserve"> Moreover, to the extent DESE relied on information reportedly obtained from DCF regarding Student’s living situation, DESE could not produce any written documentation regarding this information or demonstrating that a representative from DCF or DESE actually visited </w:t>
      </w:r>
      <w:r w:rsidR="003B14EE">
        <w:rPr>
          <w:rFonts w:ascii="Aptos" w:hAnsi="Aptos"/>
          <w:sz w:val="25"/>
          <w:szCs w:val="25"/>
        </w:rPr>
        <w:t>Father’s</w:t>
      </w:r>
      <w:r w:rsidR="000F0D2D">
        <w:rPr>
          <w:rFonts w:ascii="Aptos" w:hAnsi="Aptos"/>
          <w:sz w:val="25"/>
          <w:szCs w:val="25"/>
        </w:rPr>
        <w:t xml:space="preserve"> hotel room. </w:t>
      </w:r>
      <w:r w:rsidR="00DC415F">
        <w:rPr>
          <w:rFonts w:ascii="Aptos" w:hAnsi="Aptos"/>
          <w:sz w:val="25"/>
          <w:szCs w:val="25"/>
        </w:rPr>
        <w:t xml:space="preserve">In addition to the absence of documentation regarding a visit to Hotel to verify the features of Father’s unit, </w:t>
      </w:r>
      <w:r w:rsidR="000F0D2D">
        <w:rPr>
          <w:rFonts w:ascii="Aptos" w:hAnsi="Aptos"/>
          <w:sz w:val="25"/>
          <w:szCs w:val="25"/>
        </w:rPr>
        <w:t>F</w:t>
      </w:r>
      <w:r w:rsidR="00581368">
        <w:rPr>
          <w:rFonts w:ascii="Aptos" w:hAnsi="Aptos"/>
          <w:sz w:val="25"/>
          <w:szCs w:val="25"/>
        </w:rPr>
        <w:t>ather’s statement that he is not homeless notwithstanding, F</w:t>
      </w:r>
      <w:r w:rsidR="000F0D2D">
        <w:rPr>
          <w:rFonts w:ascii="Aptos" w:hAnsi="Aptos"/>
          <w:sz w:val="25"/>
          <w:szCs w:val="25"/>
        </w:rPr>
        <w:t>oxborough cites</w:t>
      </w:r>
      <w:r w:rsidR="00DC415F">
        <w:rPr>
          <w:rFonts w:ascii="Aptos" w:hAnsi="Aptos"/>
          <w:sz w:val="25"/>
          <w:szCs w:val="25"/>
        </w:rPr>
        <w:t xml:space="preserve"> the following as further evidence that Student is homeless:</w:t>
      </w:r>
      <w:r w:rsidR="000F0D2D">
        <w:rPr>
          <w:rFonts w:ascii="Aptos" w:hAnsi="Aptos"/>
          <w:sz w:val="25"/>
          <w:szCs w:val="25"/>
        </w:rPr>
        <w:t xml:space="preserve"> </w:t>
      </w:r>
      <w:r w:rsidR="00581368">
        <w:rPr>
          <w:rFonts w:ascii="Aptos" w:hAnsi="Aptos"/>
          <w:sz w:val="25"/>
          <w:szCs w:val="25"/>
        </w:rPr>
        <w:t xml:space="preserve">the </w:t>
      </w:r>
      <w:r w:rsidR="009032B4">
        <w:rPr>
          <w:rFonts w:ascii="Aptos" w:hAnsi="Aptos"/>
          <w:sz w:val="25"/>
          <w:szCs w:val="25"/>
        </w:rPr>
        <w:t>absence of a</w:t>
      </w:r>
      <w:r w:rsidR="000F0D2D">
        <w:rPr>
          <w:rFonts w:ascii="Aptos" w:hAnsi="Aptos"/>
          <w:sz w:val="25"/>
          <w:szCs w:val="25"/>
        </w:rPr>
        <w:t xml:space="preserve"> lease or rental agreement between Father and Hotel; the failure to produce every receipt for </w:t>
      </w:r>
      <w:r w:rsidR="00E06927">
        <w:rPr>
          <w:rFonts w:ascii="Aptos" w:hAnsi="Aptos"/>
          <w:sz w:val="25"/>
          <w:szCs w:val="25"/>
        </w:rPr>
        <w:t>Father’s</w:t>
      </w:r>
      <w:r w:rsidR="000F0D2D">
        <w:rPr>
          <w:rFonts w:ascii="Aptos" w:hAnsi="Aptos"/>
          <w:sz w:val="25"/>
          <w:szCs w:val="25"/>
        </w:rPr>
        <w:t xml:space="preserve"> weekly payments; and </w:t>
      </w:r>
      <w:r w:rsidR="00581368">
        <w:rPr>
          <w:rFonts w:ascii="Aptos" w:hAnsi="Aptos"/>
          <w:sz w:val="25"/>
          <w:szCs w:val="25"/>
        </w:rPr>
        <w:t>Foxborough</w:t>
      </w:r>
      <w:r w:rsidR="00E06927">
        <w:rPr>
          <w:rFonts w:ascii="Aptos" w:hAnsi="Aptos"/>
          <w:sz w:val="25"/>
          <w:szCs w:val="25"/>
        </w:rPr>
        <w:t>’s</w:t>
      </w:r>
      <w:r w:rsidR="000F0D2D">
        <w:rPr>
          <w:rFonts w:ascii="Aptos" w:hAnsi="Aptos"/>
          <w:sz w:val="25"/>
          <w:szCs w:val="25"/>
        </w:rPr>
        <w:t xml:space="preserve"> own assertion</w:t>
      </w:r>
      <w:r w:rsidR="003E74B8">
        <w:rPr>
          <w:rFonts w:ascii="Aptos" w:hAnsi="Aptos"/>
          <w:sz w:val="25"/>
          <w:szCs w:val="25"/>
        </w:rPr>
        <w:t>, devoid of factual support in the record,</w:t>
      </w:r>
      <w:r w:rsidR="000F0D2D">
        <w:rPr>
          <w:rFonts w:ascii="Aptos" w:hAnsi="Aptos"/>
          <w:sz w:val="25"/>
          <w:szCs w:val="25"/>
        </w:rPr>
        <w:t xml:space="preserve"> that Father would not be able to locate</w:t>
      </w:r>
      <w:r w:rsidR="00581368">
        <w:rPr>
          <w:rFonts w:ascii="Aptos" w:hAnsi="Aptos"/>
          <w:sz w:val="25"/>
          <w:szCs w:val="25"/>
        </w:rPr>
        <w:t xml:space="preserve"> alternative adequate accommodations (which FPS describes as</w:t>
      </w:r>
      <w:r w:rsidR="000F0D2D">
        <w:rPr>
          <w:rFonts w:ascii="Aptos" w:hAnsi="Aptos"/>
          <w:sz w:val="25"/>
          <w:szCs w:val="25"/>
        </w:rPr>
        <w:t xml:space="preserve"> a two-bedroom rental</w:t>
      </w:r>
      <w:r w:rsidR="00581368">
        <w:rPr>
          <w:rFonts w:ascii="Aptos" w:hAnsi="Aptos"/>
          <w:sz w:val="25"/>
          <w:szCs w:val="25"/>
        </w:rPr>
        <w:t>)</w:t>
      </w:r>
      <w:r w:rsidR="000F0D2D">
        <w:rPr>
          <w:rFonts w:ascii="Aptos" w:hAnsi="Aptos"/>
          <w:sz w:val="25"/>
          <w:szCs w:val="25"/>
        </w:rPr>
        <w:t xml:space="preserve"> in Foxborough</w:t>
      </w:r>
      <w:r w:rsidR="009032B4">
        <w:rPr>
          <w:rFonts w:ascii="Aptos" w:hAnsi="Aptos"/>
          <w:sz w:val="25"/>
          <w:szCs w:val="25"/>
        </w:rPr>
        <w:t xml:space="preserve"> for $1500 including utilities</w:t>
      </w:r>
      <w:r w:rsidR="00DC415F">
        <w:rPr>
          <w:rFonts w:ascii="Aptos" w:hAnsi="Aptos"/>
          <w:sz w:val="25"/>
          <w:szCs w:val="25"/>
        </w:rPr>
        <w:t>.</w:t>
      </w:r>
    </w:p>
    <w:p w14:paraId="2FEBD147" w14:textId="39853B2B" w:rsidR="00AE089F" w:rsidRDefault="00AE089F" w:rsidP="00E06927">
      <w:pPr>
        <w:spacing w:after="100" w:afterAutospacing="1"/>
        <w:ind w:firstLine="720"/>
        <w:rPr>
          <w:rFonts w:ascii="Aptos" w:hAnsi="Aptos"/>
          <w:sz w:val="25"/>
          <w:szCs w:val="25"/>
        </w:rPr>
      </w:pPr>
      <w:r>
        <w:rPr>
          <w:rFonts w:ascii="Aptos" w:hAnsi="Aptos"/>
          <w:sz w:val="25"/>
          <w:szCs w:val="25"/>
        </w:rPr>
        <w:t>DESE a</w:t>
      </w:r>
      <w:r w:rsidR="00581368">
        <w:rPr>
          <w:rFonts w:ascii="Aptos" w:hAnsi="Aptos"/>
          <w:sz w:val="25"/>
          <w:szCs w:val="25"/>
        </w:rPr>
        <w:t>sserts that the Department properly</w:t>
      </w:r>
      <w:r w:rsidR="00E06927">
        <w:rPr>
          <w:rFonts w:ascii="Aptos" w:hAnsi="Aptos"/>
          <w:sz w:val="25"/>
          <w:szCs w:val="25"/>
        </w:rPr>
        <w:t xml:space="preserve"> applied</w:t>
      </w:r>
      <w:r w:rsidR="00581368">
        <w:rPr>
          <w:rFonts w:ascii="Aptos" w:hAnsi="Aptos"/>
          <w:sz w:val="25"/>
          <w:szCs w:val="25"/>
        </w:rPr>
        <w:t xml:space="preserve"> federal and state law regarding enrollment, school district responsibility, and homeless children and youth. </w:t>
      </w:r>
      <w:r w:rsidR="00581368">
        <w:rPr>
          <w:rFonts w:ascii="Aptos" w:hAnsi="Aptos"/>
          <w:sz w:val="25"/>
          <w:szCs w:val="25"/>
        </w:rPr>
        <w:lastRenderedPageBreak/>
        <w:t>According to</w:t>
      </w:r>
      <w:r w:rsidR="008D190D">
        <w:rPr>
          <w:rFonts w:ascii="Aptos" w:hAnsi="Aptos"/>
          <w:sz w:val="25"/>
          <w:szCs w:val="25"/>
        </w:rPr>
        <w:t xml:space="preserve"> D</w:t>
      </w:r>
      <w:r w:rsidR="00E06927">
        <w:rPr>
          <w:rFonts w:ascii="Aptos" w:hAnsi="Aptos"/>
          <w:sz w:val="25"/>
          <w:szCs w:val="25"/>
        </w:rPr>
        <w:t>ESE</w:t>
      </w:r>
      <w:r w:rsidR="00581368">
        <w:rPr>
          <w:rFonts w:ascii="Aptos" w:hAnsi="Aptos"/>
          <w:sz w:val="25"/>
          <w:szCs w:val="25"/>
        </w:rPr>
        <w:t>, it made the required fact-specific inquiry</w:t>
      </w:r>
      <w:r w:rsidR="008D190D">
        <w:rPr>
          <w:rFonts w:ascii="Aptos" w:hAnsi="Aptos"/>
          <w:sz w:val="25"/>
          <w:szCs w:val="25"/>
        </w:rPr>
        <w:t xml:space="preserve"> and considered the totality of the circumstances </w:t>
      </w:r>
      <w:r w:rsidR="00E06927">
        <w:rPr>
          <w:rFonts w:ascii="Aptos" w:hAnsi="Aptos"/>
          <w:sz w:val="25"/>
          <w:szCs w:val="25"/>
        </w:rPr>
        <w:t>in reaching its conclusion</w:t>
      </w:r>
      <w:r w:rsidR="008D190D">
        <w:rPr>
          <w:rFonts w:ascii="Aptos" w:hAnsi="Aptos"/>
          <w:sz w:val="25"/>
          <w:szCs w:val="25"/>
        </w:rPr>
        <w:t xml:space="preserve"> that Student</w:t>
      </w:r>
      <w:r w:rsidR="00E06927">
        <w:rPr>
          <w:rFonts w:ascii="Aptos" w:hAnsi="Aptos"/>
          <w:sz w:val="25"/>
          <w:szCs w:val="25"/>
        </w:rPr>
        <w:t xml:space="preserve"> resides with Father in Foxborough and</w:t>
      </w:r>
      <w:r w:rsidR="008D190D">
        <w:rPr>
          <w:rFonts w:ascii="Aptos" w:hAnsi="Aptos"/>
          <w:sz w:val="25"/>
          <w:szCs w:val="25"/>
        </w:rPr>
        <w:t xml:space="preserve"> is not homeless. The information </w:t>
      </w:r>
      <w:proofErr w:type="gramStart"/>
      <w:r w:rsidR="008D190D">
        <w:rPr>
          <w:rFonts w:ascii="Aptos" w:hAnsi="Aptos"/>
          <w:sz w:val="25"/>
          <w:szCs w:val="25"/>
        </w:rPr>
        <w:t>before</w:t>
      </w:r>
      <w:proofErr w:type="gramEnd"/>
      <w:r w:rsidR="008D190D">
        <w:rPr>
          <w:rFonts w:ascii="Aptos" w:hAnsi="Aptos"/>
          <w:sz w:val="25"/>
          <w:szCs w:val="25"/>
        </w:rPr>
        <w:t xml:space="preserve"> </w:t>
      </w:r>
      <w:r w:rsidR="00E06927">
        <w:rPr>
          <w:rFonts w:ascii="Aptos" w:hAnsi="Aptos"/>
          <w:sz w:val="25"/>
          <w:szCs w:val="25"/>
        </w:rPr>
        <w:t>the Department</w:t>
      </w:r>
      <w:r w:rsidR="008D190D">
        <w:rPr>
          <w:rFonts w:ascii="Aptos" w:hAnsi="Aptos"/>
          <w:sz w:val="25"/>
          <w:szCs w:val="25"/>
        </w:rPr>
        <w:t xml:space="preserve"> at the time of the LEA Assignment established that although Student and Father lived </w:t>
      </w:r>
      <w:r w:rsidR="003B14EE">
        <w:rPr>
          <w:rFonts w:ascii="Aptos" w:hAnsi="Aptos"/>
          <w:sz w:val="25"/>
          <w:szCs w:val="25"/>
        </w:rPr>
        <w:t>a</w:t>
      </w:r>
      <w:r w:rsidR="00E06927">
        <w:rPr>
          <w:rFonts w:ascii="Aptos" w:hAnsi="Aptos"/>
          <w:sz w:val="25"/>
          <w:szCs w:val="25"/>
        </w:rPr>
        <w:t>t</w:t>
      </w:r>
      <w:r w:rsidR="008D190D">
        <w:rPr>
          <w:rFonts w:ascii="Aptos" w:hAnsi="Aptos"/>
          <w:sz w:val="25"/>
          <w:szCs w:val="25"/>
        </w:rPr>
        <w:t xml:space="preserve"> Hotel, they had a fixed, regular, and adequate nighttime residence, and that their living situation did not arise from a loss of housing, economic hardship, or lack of alternative</w:t>
      </w:r>
      <w:r w:rsidR="006A150D">
        <w:rPr>
          <w:rFonts w:ascii="Aptos" w:hAnsi="Aptos"/>
          <w:sz w:val="25"/>
          <w:szCs w:val="25"/>
        </w:rPr>
        <w:t xml:space="preserve"> </w:t>
      </w:r>
      <w:r w:rsidR="008D190D">
        <w:rPr>
          <w:rFonts w:ascii="Aptos" w:hAnsi="Aptos"/>
          <w:sz w:val="25"/>
          <w:szCs w:val="25"/>
        </w:rPr>
        <w:t>accommodations.</w:t>
      </w:r>
      <w:r w:rsidR="003B14EE">
        <w:rPr>
          <w:rFonts w:ascii="Aptos" w:hAnsi="Aptos"/>
          <w:sz w:val="25"/>
          <w:szCs w:val="25"/>
        </w:rPr>
        <w:t xml:space="preserve"> Given this analysis, DESE contends that the BSEA should defer to its proper interpretation of its own regulations.</w:t>
      </w:r>
    </w:p>
    <w:p w14:paraId="12FF7EF2" w14:textId="7175B460" w:rsidR="00885C74" w:rsidRDefault="00885410" w:rsidP="00E06927">
      <w:pPr>
        <w:spacing w:after="100" w:afterAutospacing="1"/>
        <w:ind w:firstLine="720"/>
        <w:rPr>
          <w:rFonts w:ascii="Aptos" w:hAnsi="Aptos"/>
          <w:sz w:val="25"/>
          <w:szCs w:val="25"/>
        </w:rPr>
      </w:pPr>
      <w:r>
        <w:rPr>
          <w:rFonts w:ascii="Aptos" w:hAnsi="Aptos"/>
          <w:sz w:val="25"/>
          <w:szCs w:val="25"/>
        </w:rPr>
        <w:t>According to Norwood, Father is not homeless, and when Student moved from Norwood to Foxborough on or about February 3, 2025 to live with him, she became a resident of Foxborough. As such, Foxborough</w:t>
      </w:r>
      <w:r w:rsidR="00E06927">
        <w:rPr>
          <w:rFonts w:ascii="Aptos" w:hAnsi="Aptos"/>
          <w:sz w:val="25"/>
          <w:szCs w:val="25"/>
        </w:rPr>
        <w:t xml:space="preserve"> was, and remains,</w:t>
      </w:r>
      <w:r>
        <w:rPr>
          <w:rFonts w:ascii="Aptos" w:hAnsi="Aptos"/>
          <w:sz w:val="25"/>
          <w:szCs w:val="25"/>
        </w:rPr>
        <w:t xml:space="preserve"> both programmatically and fiscally responsible for Student’s education as of that date.</w:t>
      </w:r>
    </w:p>
    <w:p w14:paraId="34B1283C" w14:textId="3343324D" w:rsidR="006A150D" w:rsidRDefault="008D190D" w:rsidP="00885410">
      <w:pPr>
        <w:spacing w:after="100" w:afterAutospacing="1"/>
        <w:ind w:firstLine="360"/>
        <w:rPr>
          <w:rFonts w:ascii="Aptos" w:hAnsi="Aptos"/>
          <w:sz w:val="25"/>
          <w:szCs w:val="25"/>
        </w:rPr>
      </w:pPr>
      <w:r>
        <w:rPr>
          <w:rFonts w:ascii="Aptos" w:hAnsi="Aptos"/>
          <w:sz w:val="25"/>
          <w:szCs w:val="25"/>
        </w:rPr>
        <w:tab/>
      </w:r>
      <w:r w:rsidR="006A150D">
        <w:rPr>
          <w:rFonts w:ascii="Aptos" w:hAnsi="Aptos"/>
          <w:sz w:val="25"/>
          <w:szCs w:val="25"/>
        </w:rPr>
        <w:t>Although Foxborough is correct that</w:t>
      </w:r>
      <w:r w:rsidR="004667F9">
        <w:rPr>
          <w:rFonts w:ascii="Aptos" w:hAnsi="Aptos"/>
          <w:sz w:val="25"/>
          <w:szCs w:val="25"/>
        </w:rPr>
        <w:t xml:space="preserve"> the language of</w:t>
      </w:r>
      <w:r w:rsidR="006A150D">
        <w:rPr>
          <w:rFonts w:ascii="Aptos" w:hAnsi="Aptos"/>
          <w:sz w:val="25"/>
          <w:szCs w:val="25"/>
        </w:rPr>
        <w:t xml:space="preserve"> McKinney-Vento includes living in a hotel a</w:t>
      </w:r>
      <w:r w:rsidR="00E06927">
        <w:rPr>
          <w:rFonts w:ascii="Aptos" w:hAnsi="Aptos"/>
          <w:sz w:val="25"/>
          <w:szCs w:val="25"/>
        </w:rPr>
        <w:t xml:space="preserve">s </w:t>
      </w:r>
      <w:r w:rsidR="004667F9">
        <w:rPr>
          <w:rFonts w:ascii="Aptos" w:hAnsi="Aptos"/>
          <w:sz w:val="25"/>
          <w:szCs w:val="25"/>
        </w:rPr>
        <w:t>one</w:t>
      </w:r>
      <w:r w:rsidR="006A150D">
        <w:rPr>
          <w:rFonts w:ascii="Aptos" w:hAnsi="Aptos"/>
          <w:sz w:val="25"/>
          <w:szCs w:val="25"/>
        </w:rPr>
        <w:t xml:space="preserve"> category of “</w:t>
      </w:r>
      <w:r w:rsidR="00E06927">
        <w:rPr>
          <w:rFonts w:ascii="Aptos" w:hAnsi="Aptos"/>
          <w:sz w:val="25"/>
          <w:szCs w:val="25"/>
        </w:rPr>
        <w:t xml:space="preserve">individuals </w:t>
      </w:r>
      <w:r w:rsidR="006A150D">
        <w:rPr>
          <w:rFonts w:ascii="Aptos" w:hAnsi="Aptos"/>
          <w:sz w:val="25"/>
          <w:szCs w:val="25"/>
        </w:rPr>
        <w:t>who lack a fixed, regular, and adequate nighttime residence,” I do not agree that this establishes a presumption that all children living in hotels are homeless. The provision establishing these categories includes children who are “sharing the housing of other persons due to loss of housing, economic hardship, or a similar reason,” and those who are “living in motels, hotels, trailer parks, or camping grounds due to the lack of alternative adequate accommodations.”</w:t>
      </w:r>
      <w:r w:rsidR="006A150D">
        <w:rPr>
          <w:rStyle w:val="FootnoteReference"/>
          <w:rFonts w:ascii="Aptos" w:hAnsi="Aptos"/>
          <w:sz w:val="25"/>
          <w:szCs w:val="25"/>
        </w:rPr>
        <w:footnoteReference w:id="64"/>
      </w:r>
      <w:r w:rsidR="0021763D">
        <w:rPr>
          <w:rFonts w:ascii="Aptos" w:hAnsi="Aptos"/>
          <w:sz w:val="25"/>
          <w:szCs w:val="25"/>
        </w:rPr>
        <w:t xml:space="preserve"> Here, Student was living with Mother prior to February 3, 2025, when she moved in with Father. There is no evidence that Student was removed from Mother’s custody by DCF or that Mother does not retain custodial rights regarding Student. As such, Student arguably has alternative adequate accommodations available to her.</w:t>
      </w:r>
      <w:r w:rsidR="0021763D">
        <w:rPr>
          <w:rStyle w:val="FootnoteReference"/>
          <w:rFonts w:ascii="Aptos" w:hAnsi="Aptos"/>
          <w:sz w:val="25"/>
          <w:szCs w:val="25"/>
        </w:rPr>
        <w:footnoteReference w:id="65"/>
      </w:r>
      <w:r w:rsidR="003E74B8">
        <w:rPr>
          <w:rFonts w:ascii="Aptos" w:hAnsi="Aptos"/>
          <w:sz w:val="25"/>
          <w:szCs w:val="25"/>
        </w:rPr>
        <w:t xml:space="preserve"> Moreover, the Department concluded, based on the facts presented to it, that “Father has chosen to live in a hotel un</w:t>
      </w:r>
      <w:r w:rsidR="00467567">
        <w:rPr>
          <w:rFonts w:ascii="Aptos" w:hAnsi="Aptos"/>
          <w:sz w:val="25"/>
          <w:szCs w:val="25"/>
        </w:rPr>
        <w:t>it</w:t>
      </w:r>
      <w:r w:rsidR="003E74B8">
        <w:rPr>
          <w:rFonts w:ascii="Aptos" w:hAnsi="Aptos"/>
          <w:sz w:val="25"/>
          <w:szCs w:val="25"/>
        </w:rPr>
        <w:t xml:space="preserve"> and that his residence is there is not due to a lack of alternative accommodations.” Notwithstanding Foxborough’s contention that Father could not afford to rent a two-bedroom apartment within its </w:t>
      </w:r>
      <w:r w:rsidR="007531C2">
        <w:rPr>
          <w:rFonts w:ascii="Aptos" w:hAnsi="Aptos"/>
          <w:sz w:val="25"/>
          <w:szCs w:val="25"/>
        </w:rPr>
        <w:t>geographic boundaries</w:t>
      </w:r>
      <w:r w:rsidR="003E74B8">
        <w:rPr>
          <w:rFonts w:ascii="Aptos" w:hAnsi="Aptos"/>
          <w:sz w:val="25"/>
          <w:szCs w:val="25"/>
        </w:rPr>
        <w:t>, there is no evidence before me to su</w:t>
      </w:r>
      <w:r w:rsidR="00E06927">
        <w:rPr>
          <w:rFonts w:ascii="Aptos" w:hAnsi="Aptos"/>
          <w:sz w:val="25"/>
          <w:szCs w:val="25"/>
        </w:rPr>
        <w:t>ggest</w:t>
      </w:r>
      <w:r w:rsidR="003E74B8">
        <w:rPr>
          <w:rFonts w:ascii="Aptos" w:hAnsi="Aptos"/>
          <w:sz w:val="25"/>
          <w:szCs w:val="25"/>
        </w:rPr>
        <w:t xml:space="preserve"> that Father has not chosen his living situation.</w:t>
      </w:r>
      <w:r w:rsidR="003E74B8">
        <w:rPr>
          <w:rStyle w:val="FootnoteReference"/>
          <w:rFonts w:ascii="Aptos" w:hAnsi="Aptos"/>
          <w:sz w:val="25"/>
          <w:szCs w:val="25"/>
        </w:rPr>
        <w:footnoteReference w:id="66"/>
      </w:r>
    </w:p>
    <w:p w14:paraId="56EB21C7" w14:textId="33ED923C" w:rsidR="00614449" w:rsidRDefault="006A150D" w:rsidP="00406C42">
      <w:pPr>
        <w:spacing w:after="100" w:afterAutospacing="1"/>
        <w:ind w:firstLine="720"/>
        <w:rPr>
          <w:rFonts w:ascii="Aptos" w:hAnsi="Aptos"/>
          <w:sz w:val="25"/>
          <w:szCs w:val="25"/>
        </w:rPr>
      </w:pPr>
      <w:r>
        <w:rPr>
          <w:rFonts w:ascii="Aptos" w:hAnsi="Aptos"/>
          <w:sz w:val="25"/>
          <w:szCs w:val="25"/>
        </w:rPr>
        <w:lastRenderedPageBreak/>
        <w:t>Moreover, g</w:t>
      </w:r>
      <w:r w:rsidR="008D190D">
        <w:rPr>
          <w:rFonts w:ascii="Aptos" w:hAnsi="Aptos"/>
          <w:sz w:val="25"/>
          <w:szCs w:val="25"/>
        </w:rPr>
        <w:t>uided by relevant case law, I do not apply a rigid definition of “homelessness,” but instead examine the “totality of the circumstances” of Student’s living situation</w:t>
      </w:r>
      <w:r>
        <w:rPr>
          <w:rFonts w:ascii="Aptos" w:hAnsi="Aptos"/>
          <w:sz w:val="25"/>
          <w:szCs w:val="25"/>
        </w:rPr>
        <w:t>.</w:t>
      </w:r>
      <w:r>
        <w:rPr>
          <w:rStyle w:val="FootnoteReference"/>
          <w:rFonts w:ascii="Aptos" w:hAnsi="Aptos"/>
          <w:sz w:val="25"/>
          <w:szCs w:val="25"/>
        </w:rPr>
        <w:footnoteReference w:id="67"/>
      </w:r>
      <w:r>
        <w:rPr>
          <w:rFonts w:ascii="Aptos" w:hAnsi="Aptos"/>
          <w:sz w:val="25"/>
          <w:szCs w:val="25"/>
        </w:rPr>
        <w:t xml:space="preserve"> </w:t>
      </w:r>
      <w:r w:rsidR="00AA5261">
        <w:rPr>
          <w:rFonts w:ascii="Aptos" w:hAnsi="Aptos"/>
          <w:sz w:val="25"/>
          <w:szCs w:val="25"/>
        </w:rPr>
        <w:t xml:space="preserve">At the time DESE rendered its LEA Assignment, Father had been living </w:t>
      </w:r>
      <w:r w:rsidR="00E06927">
        <w:rPr>
          <w:rFonts w:ascii="Aptos" w:hAnsi="Aptos"/>
          <w:sz w:val="25"/>
          <w:szCs w:val="25"/>
        </w:rPr>
        <w:t xml:space="preserve">in the same unit at </w:t>
      </w:r>
      <w:r w:rsidR="00AA5261">
        <w:rPr>
          <w:rFonts w:ascii="Aptos" w:hAnsi="Aptos"/>
          <w:sz w:val="25"/>
          <w:szCs w:val="25"/>
        </w:rPr>
        <w:t xml:space="preserve">Hotel for approximately 3.5 years, paying weekly rent </w:t>
      </w:r>
      <w:r w:rsidR="00E06927">
        <w:rPr>
          <w:rFonts w:ascii="Aptos" w:hAnsi="Aptos"/>
          <w:sz w:val="25"/>
          <w:szCs w:val="25"/>
        </w:rPr>
        <w:t xml:space="preserve">in the </w:t>
      </w:r>
      <w:r w:rsidR="00AA5261">
        <w:rPr>
          <w:rFonts w:ascii="Aptos" w:hAnsi="Aptos"/>
          <w:sz w:val="25"/>
          <w:szCs w:val="25"/>
        </w:rPr>
        <w:t xml:space="preserve">amount of $375. The hotel unit includes a kitchen, which features a sink, stove, and refrigerator, and a full bathroom. Although there is only one bedroom, Student has her own bed in a separate area. DESE concluded </w:t>
      </w:r>
      <w:r w:rsidR="00E06927">
        <w:rPr>
          <w:rFonts w:ascii="Aptos" w:hAnsi="Aptos"/>
          <w:sz w:val="25"/>
          <w:szCs w:val="25"/>
        </w:rPr>
        <w:t xml:space="preserve">that </w:t>
      </w:r>
      <w:r w:rsidR="00AA5261">
        <w:rPr>
          <w:rFonts w:ascii="Aptos" w:hAnsi="Aptos"/>
          <w:sz w:val="25"/>
          <w:szCs w:val="25"/>
        </w:rPr>
        <w:t xml:space="preserve">Student’s living situation was fixed, regular, and adequate. I agree. </w:t>
      </w:r>
      <w:r w:rsidR="007531C2">
        <w:rPr>
          <w:rFonts w:ascii="Aptos" w:hAnsi="Aptos"/>
          <w:sz w:val="25"/>
          <w:szCs w:val="25"/>
        </w:rPr>
        <w:t>Father has been living in the same unit for an extended time, suggesting that Hotel is a “fixed” nighttime residence in that it appears to be securely placed and not subject to change or fluctuation.</w:t>
      </w:r>
      <w:r w:rsidR="007531C2">
        <w:rPr>
          <w:rStyle w:val="FootnoteReference"/>
          <w:rFonts w:ascii="Aptos" w:hAnsi="Aptos"/>
          <w:sz w:val="25"/>
          <w:szCs w:val="25"/>
        </w:rPr>
        <w:footnoteReference w:id="68"/>
      </w:r>
      <w:r w:rsidR="007531C2">
        <w:rPr>
          <w:rFonts w:ascii="Aptos" w:hAnsi="Aptos"/>
          <w:sz w:val="25"/>
          <w:szCs w:val="25"/>
        </w:rPr>
        <w:t xml:space="preserve"> Student returns to </w:t>
      </w:r>
      <w:r w:rsidR="00DA42DB">
        <w:rPr>
          <w:rFonts w:ascii="Aptos" w:hAnsi="Aptos"/>
          <w:sz w:val="25"/>
          <w:szCs w:val="25"/>
        </w:rPr>
        <w:t xml:space="preserve">the same unit at Hotel every day, conforming to an established schedule; Hotel is therefore a </w:t>
      </w:r>
      <w:r w:rsidR="004667F9">
        <w:rPr>
          <w:rFonts w:ascii="Aptos" w:hAnsi="Aptos"/>
          <w:sz w:val="25"/>
          <w:szCs w:val="25"/>
        </w:rPr>
        <w:t>“</w:t>
      </w:r>
      <w:r w:rsidR="00DA42DB">
        <w:rPr>
          <w:rFonts w:ascii="Aptos" w:hAnsi="Aptos"/>
          <w:sz w:val="25"/>
          <w:szCs w:val="25"/>
        </w:rPr>
        <w:t>regular</w:t>
      </w:r>
      <w:r w:rsidR="004667F9">
        <w:rPr>
          <w:rFonts w:ascii="Aptos" w:hAnsi="Aptos"/>
          <w:sz w:val="25"/>
          <w:szCs w:val="25"/>
        </w:rPr>
        <w:t xml:space="preserve">” </w:t>
      </w:r>
      <w:r w:rsidR="00DA42DB">
        <w:rPr>
          <w:rFonts w:ascii="Aptos" w:hAnsi="Aptos"/>
          <w:sz w:val="25"/>
          <w:szCs w:val="25"/>
        </w:rPr>
        <w:t>nighttime residence.</w:t>
      </w:r>
      <w:r w:rsidR="00467567">
        <w:rPr>
          <w:rStyle w:val="FootnoteReference"/>
          <w:rFonts w:ascii="Aptos" w:hAnsi="Aptos"/>
          <w:sz w:val="25"/>
          <w:szCs w:val="25"/>
        </w:rPr>
        <w:footnoteReference w:id="69"/>
      </w:r>
      <w:r w:rsidR="00DA42DB">
        <w:rPr>
          <w:rFonts w:ascii="Aptos" w:hAnsi="Aptos"/>
          <w:sz w:val="25"/>
          <w:szCs w:val="25"/>
        </w:rPr>
        <w:t xml:space="preserve"> Like the mobile home in </w:t>
      </w:r>
      <w:r w:rsidR="00DA42DB">
        <w:rPr>
          <w:rFonts w:ascii="Aptos" w:hAnsi="Aptos"/>
          <w:i/>
          <w:iCs/>
          <w:sz w:val="25"/>
          <w:szCs w:val="25"/>
        </w:rPr>
        <w:t>Mount Olive</w:t>
      </w:r>
      <w:r w:rsidR="00DA42DB">
        <w:rPr>
          <w:rFonts w:ascii="Aptos" w:hAnsi="Aptos"/>
          <w:sz w:val="25"/>
          <w:szCs w:val="25"/>
        </w:rPr>
        <w:t xml:space="preserve"> and the relative’s home in </w:t>
      </w:r>
      <w:r w:rsidR="00DA42DB">
        <w:rPr>
          <w:rFonts w:ascii="Aptos" w:hAnsi="Aptos"/>
          <w:i/>
          <w:iCs/>
          <w:sz w:val="25"/>
          <w:szCs w:val="25"/>
        </w:rPr>
        <w:t>Camden v. Volk</w:t>
      </w:r>
      <w:r w:rsidR="00DA42DB">
        <w:rPr>
          <w:rFonts w:ascii="Aptos" w:hAnsi="Aptos"/>
          <w:sz w:val="25"/>
          <w:szCs w:val="25"/>
        </w:rPr>
        <w:t>, the location</w:t>
      </w:r>
      <w:r w:rsidR="004667F9">
        <w:rPr>
          <w:rFonts w:ascii="Aptos" w:hAnsi="Aptos"/>
          <w:sz w:val="25"/>
          <w:szCs w:val="25"/>
        </w:rPr>
        <w:t xml:space="preserve"> of Hotel</w:t>
      </w:r>
      <w:r w:rsidR="00DA42DB">
        <w:rPr>
          <w:rFonts w:ascii="Aptos" w:hAnsi="Aptos"/>
          <w:sz w:val="25"/>
          <w:szCs w:val="25"/>
        </w:rPr>
        <w:t xml:space="preserve"> is </w:t>
      </w:r>
      <w:r w:rsidR="004667F9">
        <w:rPr>
          <w:rFonts w:ascii="Aptos" w:hAnsi="Aptos"/>
          <w:sz w:val="25"/>
          <w:szCs w:val="25"/>
        </w:rPr>
        <w:t>“</w:t>
      </w:r>
      <w:r w:rsidR="00DA42DB">
        <w:rPr>
          <w:rFonts w:ascii="Aptos" w:hAnsi="Aptos"/>
          <w:sz w:val="25"/>
          <w:szCs w:val="25"/>
        </w:rPr>
        <w:t xml:space="preserve">fixed and </w:t>
      </w:r>
      <w:r w:rsidR="00DC415F">
        <w:rPr>
          <w:rFonts w:ascii="Aptos" w:hAnsi="Aptos"/>
          <w:sz w:val="25"/>
          <w:szCs w:val="25"/>
        </w:rPr>
        <w:t xml:space="preserve">. . . </w:t>
      </w:r>
      <w:r w:rsidR="00DA42DB">
        <w:rPr>
          <w:rFonts w:ascii="Aptos" w:hAnsi="Aptos"/>
          <w:sz w:val="25"/>
          <w:szCs w:val="25"/>
        </w:rPr>
        <w:t>the use [is] regular because the family ha[s] lived in the same place for several years.</w:t>
      </w:r>
      <w:r w:rsidR="00DC415F">
        <w:rPr>
          <w:rFonts w:ascii="Aptos" w:hAnsi="Aptos"/>
          <w:sz w:val="25"/>
          <w:szCs w:val="25"/>
        </w:rPr>
        <w:t>”</w:t>
      </w:r>
      <w:r w:rsidR="00DA42DB" w:rsidRPr="00DA42DB">
        <w:rPr>
          <w:rStyle w:val="FootnoteReference"/>
          <w:rFonts w:ascii="Aptos" w:hAnsi="Aptos"/>
          <w:sz w:val="25"/>
          <w:szCs w:val="25"/>
        </w:rPr>
        <w:t xml:space="preserve"> </w:t>
      </w:r>
      <w:r w:rsidR="00DA42DB">
        <w:rPr>
          <w:rStyle w:val="FootnoteReference"/>
          <w:rFonts w:ascii="Aptos" w:hAnsi="Aptos"/>
          <w:sz w:val="25"/>
          <w:szCs w:val="25"/>
        </w:rPr>
        <w:footnoteReference w:id="70"/>
      </w:r>
      <w:r w:rsidR="00DA42DB">
        <w:rPr>
          <w:rFonts w:ascii="Aptos" w:hAnsi="Aptos"/>
          <w:sz w:val="25"/>
          <w:szCs w:val="25"/>
        </w:rPr>
        <w:t xml:space="preserve"> </w:t>
      </w:r>
      <w:r w:rsidR="004667F9">
        <w:rPr>
          <w:rFonts w:ascii="Aptos" w:hAnsi="Aptos"/>
          <w:sz w:val="25"/>
          <w:szCs w:val="25"/>
        </w:rPr>
        <w:t>Finally, a</w:t>
      </w:r>
      <w:r w:rsidR="00E01E7E">
        <w:rPr>
          <w:rFonts w:ascii="Aptos" w:hAnsi="Aptos"/>
          <w:sz w:val="25"/>
          <w:szCs w:val="25"/>
        </w:rPr>
        <w:t>lthough none of the DCF regulations described in Part III(A)(iii), above, is exactly on point (and there is no evidence before me regarding the size of Student’s sleeping space or whether the kitchen includes an oven in addition to a stove), Hotel appears to meet “Sleeping” and “Utilities, Kitchen and Bath” requirements for licensing as a foster, pre-adoptive, or kinship home for a child in DCF’s care or custody.</w:t>
      </w:r>
      <w:r w:rsidR="00E01E7E">
        <w:rPr>
          <w:rStyle w:val="FootnoteReference"/>
          <w:rFonts w:ascii="Aptos" w:hAnsi="Aptos"/>
          <w:sz w:val="25"/>
          <w:szCs w:val="25"/>
        </w:rPr>
        <w:footnoteReference w:id="71"/>
      </w:r>
      <w:r w:rsidR="00E01E7E">
        <w:rPr>
          <w:rFonts w:ascii="Aptos" w:hAnsi="Aptos"/>
          <w:sz w:val="25"/>
          <w:szCs w:val="25"/>
        </w:rPr>
        <w:t xml:space="preserve"> Though Student was not in DCF’s care or custody,</w:t>
      </w:r>
      <w:r w:rsidR="00406C42">
        <w:rPr>
          <w:rFonts w:ascii="Aptos" w:hAnsi="Aptos"/>
          <w:sz w:val="25"/>
          <w:szCs w:val="25"/>
        </w:rPr>
        <w:t xml:space="preserve"> the agency’s </w:t>
      </w:r>
      <w:r w:rsidR="00E01E7E">
        <w:rPr>
          <w:rFonts w:ascii="Aptos" w:hAnsi="Aptos"/>
          <w:sz w:val="25"/>
          <w:szCs w:val="25"/>
        </w:rPr>
        <w:t>willing</w:t>
      </w:r>
      <w:r w:rsidR="00406C42">
        <w:rPr>
          <w:rFonts w:ascii="Aptos" w:hAnsi="Aptos"/>
          <w:sz w:val="25"/>
          <w:szCs w:val="25"/>
        </w:rPr>
        <w:t>n</w:t>
      </w:r>
      <w:r w:rsidR="00E06927">
        <w:rPr>
          <w:rFonts w:ascii="Aptos" w:hAnsi="Aptos"/>
          <w:sz w:val="25"/>
          <w:szCs w:val="25"/>
        </w:rPr>
        <w:t>ess</w:t>
      </w:r>
      <w:r w:rsidR="00E01E7E">
        <w:rPr>
          <w:rFonts w:ascii="Aptos" w:hAnsi="Aptos"/>
          <w:sz w:val="25"/>
          <w:szCs w:val="25"/>
        </w:rPr>
        <w:t xml:space="preserve"> to assist Student in relocating to Hotel </w:t>
      </w:r>
      <w:r w:rsidR="004667F9">
        <w:rPr>
          <w:rFonts w:ascii="Aptos" w:hAnsi="Aptos"/>
          <w:sz w:val="25"/>
          <w:szCs w:val="25"/>
        </w:rPr>
        <w:t xml:space="preserve">also </w:t>
      </w:r>
      <w:r w:rsidR="00E01E7E">
        <w:rPr>
          <w:rFonts w:ascii="Aptos" w:hAnsi="Aptos"/>
          <w:sz w:val="25"/>
          <w:szCs w:val="25"/>
        </w:rPr>
        <w:t>suggests that DCF found Hotel to be</w:t>
      </w:r>
      <w:r w:rsidR="00406C42">
        <w:rPr>
          <w:rFonts w:ascii="Aptos" w:hAnsi="Aptos"/>
          <w:sz w:val="25"/>
          <w:szCs w:val="25"/>
        </w:rPr>
        <w:t xml:space="preserve"> an</w:t>
      </w:r>
      <w:r w:rsidR="00E01E7E">
        <w:rPr>
          <w:rFonts w:ascii="Aptos" w:hAnsi="Aptos"/>
          <w:sz w:val="25"/>
          <w:szCs w:val="25"/>
        </w:rPr>
        <w:t xml:space="preserve"> </w:t>
      </w:r>
      <w:r w:rsidR="004667F9">
        <w:rPr>
          <w:rFonts w:ascii="Aptos" w:hAnsi="Aptos"/>
          <w:sz w:val="25"/>
          <w:szCs w:val="25"/>
        </w:rPr>
        <w:t>“</w:t>
      </w:r>
      <w:r w:rsidR="00E01E7E">
        <w:rPr>
          <w:rFonts w:ascii="Aptos" w:hAnsi="Aptos"/>
          <w:sz w:val="25"/>
          <w:szCs w:val="25"/>
        </w:rPr>
        <w:t>adequate</w:t>
      </w:r>
      <w:r w:rsidR="004667F9">
        <w:rPr>
          <w:rFonts w:ascii="Aptos" w:hAnsi="Aptos"/>
          <w:sz w:val="25"/>
          <w:szCs w:val="25"/>
        </w:rPr>
        <w:t>”</w:t>
      </w:r>
      <w:r w:rsidR="00E01E7E">
        <w:rPr>
          <w:rFonts w:ascii="Aptos" w:hAnsi="Aptos"/>
          <w:sz w:val="25"/>
          <w:szCs w:val="25"/>
        </w:rPr>
        <w:t xml:space="preserve"> </w:t>
      </w:r>
      <w:r w:rsidR="00406C42">
        <w:rPr>
          <w:rFonts w:ascii="Aptos" w:hAnsi="Aptos"/>
          <w:sz w:val="25"/>
          <w:szCs w:val="25"/>
        </w:rPr>
        <w:t>nighttime residence</w:t>
      </w:r>
      <w:r w:rsidR="00E01E7E">
        <w:rPr>
          <w:rFonts w:ascii="Aptos" w:hAnsi="Aptos"/>
          <w:sz w:val="25"/>
          <w:szCs w:val="25"/>
        </w:rPr>
        <w:t>.</w:t>
      </w:r>
      <w:r w:rsidR="00BC6768">
        <w:rPr>
          <w:rStyle w:val="FootnoteReference"/>
          <w:rFonts w:ascii="Aptos" w:hAnsi="Aptos"/>
          <w:sz w:val="25"/>
          <w:szCs w:val="25"/>
        </w:rPr>
        <w:footnoteReference w:id="72"/>
      </w:r>
      <w:r w:rsidR="00E01E7E">
        <w:rPr>
          <w:rFonts w:ascii="Aptos" w:hAnsi="Aptos"/>
          <w:sz w:val="25"/>
          <w:szCs w:val="25"/>
        </w:rPr>
        <w:t xml:space="preserve"> DESE agreed, citing the existence within the unit of a kitchen with a sink, stove, and refrigerator, a full bathroom, and separate spaces for sleeping. </w:t>
      </w:r>
      <w:r w:rsidR="00BC6768">
        <w:rPr>
          <w:rFonts w:ascii="Aptos" w:hAnsi="Aptos"/>
          <w:sz w:val="25"/>
          <w:szCs w:val="25"/>
        </w:rPr>
        <w:t>I find this analysis persuasive</w:t>
      </w:r>
      <w:r w:rsidR="004667F9">
        <w:rPr>
          <w:rFonts w:ascii="Aptos" w:hAnsi="Aptos"/>
          <w:sz w:val="25"/>
          <w:szCs w:val="25"/>
        </w:rPr>
        <w:t xml:space="preserve">. Father’s hotel unit is sufficient for </w:t>
      </w:r>
      <w:r w:rsidR="00F77A51">
        <w:rPr>
          <w:rFonts w:ascii="Aptos" w:hAnsi="Aptos"/>
          <w:sz w:val="25"/>
          <w:szCs w:val="25"/>
        </w:rPr>
        <w:t>this</w:t>
      </w:r>
      <w:r w:rsidR="004667F9">
        <w:rPr>
          <w:rFonts w:ascii="Aptos" w:hAnsi="Aptos"/>
          <w:sz w:val="25"/>
          <w:szCs w:val="25"/>
        </w:rPr>
        <w:t xml:space="preserve"> specific requirement and equal to what is required, </w:t>
      </w:r>
      <w:r w:rsidR="00406C42">
        <w:rPr>
          <w:rFonts w:ascii="Aptos" w:hAnsi="Aptos"/>
          <w:sz w:val="25"/>
          <w:szCs w:val="25"/>
        </w:rPr>
        <w:t>as</w:t>
      </w:r>
      <w:r w:rsidR="00BC6768">
        <w:rPr>
          <w:rFonts w:ascii="Aptos" w:hAnsi="Aptos"/>
          <w:sz w:val="25"/>
          <w:szCs w:val="25"/>
        </w:rPr>
        <w:t xml:space="preserve"> Student has “a designated sleeping area and access to a kitchen and bathroom facilities, despite the sharing of rooms and limited space.”</w:t>
      </w:r>
      <w:r w:rsidR="00BC6768">
        <w:rPr>
          <w:rStyle w:val="FootnoteReference"/>
          <w:rFonts w:ascii="Aptos" w:hAnsi="Aptos"/>
          <w:sz w:val="25"/>
          <w:szCs w:val="25"/>
        </w:rPr>
        <w:footnoteReference w:id="73"/>
      </w:r>
      <w:r w:rsidR="00BC6768">
        <w:rPr>
          <w:rFonts w:ascii="Aptos" w:hAnsi="Aptos"/>
          <w:sz w:val="25"/>
          <w:szCs w:val="25"/>
        </w:rPr>
        <w:t xml:space="preserve"> Given the totality of the circumstances, I find that </w:t>
      </w:r>
      <w:r w:rsidR="00406C42">
        <w:rPr>
          <w:rFonts w:ascii="Aptos" w:hAnsi="Aptos"/>
          <w:sz w:val="25"/>
          <w:szCs w:val="25"/>
        </w:rPr>
        <w:t>although Student</w:t>
      </w:r>
      <w:r w:rsidR="00BC6768">
        <w:rPr>
          <w:rFonts w:ascii="Aptos" w:hAnsi="Aptos"/>
          <w:sz w:val="25"/>
          <w:szCs w:val="25"/>
        </w:rPr>
        <w:t xml:space="preserve"> is living with Father in a hotel, </w:t>
      </w:r>
      <w:r w:rsidR="00406C42">
        <w:rPr>
          <w:rFonts w:ascii="Aptos" w:hAnsi="Aptos"/>
          <w:sz w:val="25"/>
          <w:szCs w:val="25"/>
        </w:rPr>
        <w:t>she</w:t>
      </w:r>
      <w:r w:rsidR="00BC6768">
        <w:rPr>
          <w:rFonts w:ascii="Aptos" w:hAnsi="Aptos"/>
          <w:sz w:val="25"/>
          <w:szCs w:val="25"/>
        </w:rPr>
        <w:t xml:space="preserve"> does not “lack a fixed, regular, and adequate nighttime residence.”</w:t>
      </w:r>
      <w:r w:rsidR="00BC6768">
        <w:rPr>
          <w:rStyle w:val="FootnoteReference"/>
          <w:rFonts w:ascii="Aptos" w:hAnsi="Aptos"/>
          <w:sz w:val="25"/>
          <w:szCs w:val="25"/>
        </w:rPr>
        <w:footnoteReference w:id="74"/>
      </w:r>
      <w:r w:rsidR="00DC415F">
        <w:rPr>
          <w:rFonts w:ascii="Aptos" w:hAnsi="Aptos"/>
          <w:sz w:val="25"/>
          <w:szCs w:val="25"/>
        </w:rPr>
        <w:t xml:space="preserve"> </w:t>
      </w:r>
    </w:p>
    <w:p w14:paraId="10EF467B" w14:textId="77777777" w:rsidR="00753B47" w:rsidRDefault="00753B47" w:rsidP="00D234F8">
      <w:pPr>
        <w:pStyle w:val="NoSpacing"/>
        <w:spacing w:after="100" w:afterAutospacing="1"/>
        <w:jc w:val="center"/>
        <w:rPr>
          <w:rFonts w:ascii="Aptos" w:hAnsi="Aptos" w:cs="Times New Roman"/>
          <w:b/>
          <w:bCs/>
          <w:sz w:val="25"/>
          <w:szCs w:val="25"/>
        </w:rPr>
      </w:pPr>
    </w:p>
    <w:p w14:paraId="51FA663A" w14:textId="3B4CEB65" w:rsidR="00D234F8" w:rsidRPr="000729EC" w:rsidRDefault="00D234F8" w:rsidP="00D234F8">
      <w:pPr>
        <w:pStyle w:val="NoSpacing"/>
        <w:spacing w:after="100" w:afterAutospacing="1"/>
        <w:jc w:val="center"/>
        <w:rPr>
          <w:rFonts w:ascii="Aptos" w:hAnsi="Aptos" w:cs="Times New Roman"/>
          <w:b/>
          <w:bCs/>
          <w:sz w:val="25"/>
          <w:szCs w:val="25"/>
        </w:rPr>
      </w:pPr>
      <w:r w:rsidRPr="000729EC">
        <w:rPr>
          <w:rFonts w:ascii="Aptos" w:hAnsi="Aptos" w:cs="Times New Roman"/>
          <w:b/>
          <w:bCs/>
          <w:sz w:val="25"/>
          <w:szCs w:val="25"/>
        </w:rPr>
        <w:t>CONCLUSION</w:t>
      </w:r>
      <w:r w:rsidR="00127CB4">
        <w:rPr>
          <w:rFonts w:ascii="Aptos" w:hAnsi="Aptos" w:cs="Times New Roman"/>
          <w:b/>
          <w:bCs/>
          <w:sz w:val="25"/>
          <w:szCs w:val="25"/>
        </w:rPr>
        <w:t xml:space="preserve"> AND ORDER</w:t>
      </w:r>
    </w:p>
    <w:p w14:paraId="466F866B" w14:textId="5B182E89" w:rsidR="00753B47" w:rsidRPr="00BC6768" w:rsidRDefault="00D234F8" w:rsidP="00753B47">
      <w:pPr>
        <w:spacing w:after="100" w:afterAutospacing="1"/>
        <w:ind w:firstLine="720"/>
        <w:rPr>
          <w:rFonts w:ascii="Aptos" w:hAnsi="Aptos"/>
          <w:sz w:val="25"/>
          <w:szCs w:val="25"/>
        </w:rPr>
      </w:pPr>
      <w:r w:rsidRPr="000729EC">
        <w:rPr>
          <w:rFonts w:ascii="Aptos" w:hAnsi="Aptos"/>
          <w:sz w:val="25"/>
          <w:szCs w:val="25"/>
        </w:rPr>
        <w:t>After reviewing the record in its entire</w:t>
      </w:r>
      <w:r>
        <w:rPr>
          <w:rFonts w:ascii="Aptos" w:hAnsi="Aptos"/>
          <w:sz w:val="25"/>
          <w:szCs w:val="25"/>
        </w:rPr>
        <w:t>t</w:t>
      </w:r>
      <w:r w:rsidRPr="000729EC">
        <w:rPr>
          <w:rFonts w:ascii="Aptos" w:hAnsi="Aptos"/>
          <w:sz w:val="25"/>
          <w:szCs w:val="25"/>
        </w:rPr>
        <w:t xml:space="preserve">y in the context of relevant </w:t>
      </w:r>
      <w:r w:rsidR="00CF485F">
        <w:rPr>
          <w:rFonts w:ascii="Aptos" w:hAnsi="Aptos"/>
          <w:sz w:val="25"/>
          <w:szCs w:val="25"/>
        </w:rPr>
        <w:t xml:space="preserve">statutory and </w:t>
      </w:r>
      <w:r w:rsidRPr="000729EC">
        <w:rPr>
          <w:rFonts w:ascii="Aptos" w:hAnsi="Aptos"/>
          <w:sz w:val="25"/>
          <w:szCs w:val="25"/>
        </w:rPr>
        <w:t>case law, I conclude that</w:t>
      </w:r>
      <w:r w:rsidR="00753B47">
        <w:rPr>
          <w:rFonts w:ascii="Aptos" w:hAnsi="Aptos"/>
          <w:sz w:val="25"/>
          <w:szCs w:val="25"/>
        </w:rPr>
        <w:t xml:space="preserve"> Student is not homeless and that she </w:t>
      </w:r>
      <w:r w:rsidR="00136E87">
        <w:rPr>
          <w:rFonts w:ascii="Aptos" w:hAnsi="Aptos"/>
          <w:sz w:val="25"/>
          <w:szCs w:val="25"/>
        </w:rPr>
        <w:t>became</w:t>
      </w:r>
      <w:r w:rsidR="00753B47">
        <w:rPr>
          <w:rFonts w:ascii="Aptos" w:hAnsi="Aptos"/>
          <w:sz w:val="25"/>
          <w:szCs w:val="25"/>
        </w:rPr>
        <w:t xml:space="preserve"> a resident of Foxborough</w:t>
      </w:r>
      <w:r w:rsidR="00136E87">
        <w:rPr>
          <w:rFonts w:ascii="Aptos" w:hAnsi="Aptos"/>
          <w:sz w:val="25"/>
          <w:szCs w:val="25"/>
        </w:rPr>
        <w:t xml:space="preserve"> on or about February 3, 2025</w:t>
      </w:r>
      <w:r w:rsidR="00753B47">
        <w:rPr>
          <w:rFonts w:ascii="Aptos" w:hAnsi="Aptos"/>
          <w:sz w:val="25"/>
          <w:szCs w:val="25"/>
        </w:rPr>
        <w:t xml:space="preserve">. As such, I uphold DESE’s </w:t>
      </w:r>
      <w:r w:rsidR="00406C42">
        <w:rPr>
          <w:rFonts w:ascii="Aptos" w:hAnsi="Aptos"/>
          <w:sz w:val="25"/>
          <w:szCs w:val="25"/>
        </w:rPr>
        <w:t>assignment of</w:t>
      </w:r>
      <w:r w:rsidR="00753B47">
        <w:rPr>
          <w:rFonts w:ascii="Aptos" w:hAnsi="Aptos"/>
          <w:sz w:val="25"/>
          <w:szCs w:val="25"/>
        </w:rPr>
        <w:t xml:space="preserve"> programmatic and financial responsibility for Student’s special </w:t>
      </w:r>
      <w:r w:rsidR="00136E87">
        <w:rPr>
          <w:rFonts w:ascii="Aptos" w:hAnsi="Aptos"/>
          <w:sz w:val="25"/>
          <w:szCs w:val="25"/>
        </w:rPr>
        <w:t>education program to Foxborough as of that date.</w:t>
      </w:r>
      <w:r w:rsidR="006E5698">
        <w:rPr>
          <w:rStyle w:val="FootnoteReference"/>
          <w:rFonts w:ascii="Aptos" w:hAnsi="Aptos"/>
          <w:sz w:val="25"/>
          <w:szCs w:val="25"/>
        </w:rPr>
        <w:footnoteReference w:id="75"/>
      </w:r>
    </w:p>
    <w:p w14:paraId="2D9A8F45" w14:textId="3F849761" w:rsidR="00D234F8" w:rsidRDefault="00D234F8" w:rsidP="009047A2">
      <w:pPr>
        <w:pStyle w:val="NoSpacing"/>
        <w:spacing w:after="100" w:afterAutospacing="1"/>
        <w:ind w:firstLine="720"/>
        <w:rPr>
          <w:rFonts w:ascii="Aptos" w:hAnsi="Aptos"/>
          <w:sz w:val="25"/>
          <w:szCs w:val="25"/>
        </w:rPr>
      </w:pPr>
    </w:p>
    <w:p w14:paraId="5C110D7A" w14:textId="716843FF" w:rsidR="00D63D04" w:rsidRPr="009047A2" w:rsidRDefault="00D63D04" w:rsidP="009047A2">
      <w:pPr>
        <w:pStyle w:val="NoSpacing"/>
        <w:spacing w:after="100" w:afterAutospacing="1"/>
        <w:ind w:firstLine="720"/>
        <w:rPr>
          <w:rFonts w:ascii="Aptos" w:hAnsi="Aptos" w:cs="Times New Roman"/>
          <w:sz w:val="25"/>
          <w:szCs w:val="25"/>
        </w:rPr>
      </w:pPr>
    </w:p>
    <w:p w14:paraId="4A178AA3" w14:textId="1D16AB55" w:rsidR="00411C46" w:rsidRDefault="00D234F8" w:rsidP="00411C46">
      <w:pPr>
        <w:rPr>
          <w:rFonts w:ascii="Aptos" w:hAnsi="Aptos"/>
          <w:sz w:val="25"/>
          <w:szCs w:val="25"/>
        </w:rPr>
      </w:pPr>
      <w:r w:rsidRPr="000729EC">
        <w:rPr>
          <w:rFonts w:ascii="Aptos" w:hAnsi="Aptos"/>
          <w:sz w:val="25"/>
          <w:szCs w:val="25"/>
        </w:rPr>
        <w:t>By the Hearing Officer</w:t>
      </w:r>
      <w:r w:rsidR="00411C46" w:rsidRPr="00E000BD">
        <w:rPr>
          <w:rFonts w:ascii="Aptos" w:hAnsi="Aptos"/>
          <w:sz w:val="25"/>
          <w:szCs w:val="25"/>
        </w:rPr>
        <w:t>:</w:t>
      </w:r>
    </w:p>
    <w:p w14:paraId="042E7472" w14:textId="77777777" w:rsidR="00411C46" w:rsidRDefault="00411C46" w:rsidP="00411C46">
      <w:pPr>
        <w:rPr>
          <w:rFonts w:ascii="Aptos" w:hAnsi="Aptos"/>
          <w:sz w:val="25"/>
          <w:szCs w:val="25"/>
        </w:rPr>
      </w:pPr>
    </w:p>
    <w:p w14:paraId="1CCF0066" w14:textId="77777777" w:rsidR="00BC1C05" w:rsidRPr="00E000BD" w:rsidRDefault="00BC1C05" w:rsidP="00411C46">
      <w:pPr>
        <w:rPr>
          <w:rFonts w:ascii="Aptos" w:hAnsi="Aptos"/>
          <w:sz w:val="25"/>
          <w:szCs w:val="25"/>
        </w:rPr>
      </w:pPr>
    </w:p>
    <w:p w14:paraId="0535FC1B" w14:textId="77777777" w:rsidR="00411C46" w:rsidRPr="00B702DC" w:rsidRDefault="00411C46" w:rsidP="00411C46">
      <w:pPr>
        <w:rPr>
          <w:rFonts w:ascii="Lucida Handwriting" w:hAnsi="Lucida Handwriting"/>
          <w:sz w:val="32"/>
          <w:szCs w:val="32"/>
          <w:u w:val="single"/>
        </w:rPr>
      </w:pPr>
      <w:r w:rsidRPr="00857442">
        <w:rPr>
          <w:rFonts w:ascii="Aptos" w:hAnsi="Aptos"/>
          <w:sz w:val="25"/>
          <w:szCs w:val="25"/>
          <w:u w:val="single"/>
        </w:rPr>
        <w:t xml:space="preserve">      </w:t>
      </w:r>
      <w:r w:rsidRPr="00857442">
        <w:rPr>
          <w:rFonts w:ascii="Lucida Handwriting" w:hAnsi="Lucida Handwriting"/>
          <w:sz w:val="32"/>
          <w:szCs w:val="32"/>
          <w:u w:val="single"/>
        </w:rPr>
        <w:t>/s/</w:t>
      </w:r>
      <w:r>
        <w:rPr>
          <w:rFonts w:ascii="Lucida Handwriting" w:hAnsi="Lucida Handwriting"/>
          <w:sz w:val="32"/>
          <w:szCs w:val="32"/>
          <w:u w:val="single"/>
        </w:rPr>
        <w:t xml:space="preserve">  </w:t>
      </w:r>
      <w:r w:rsidRPr="00857442">
        <w:rPr>
          <w:rFonts w:ascii="Lucida Handwriting" w:hAnsi="Lucida Handwriting"/>
          <w:sz w:val="32"/>
          <w:szCs w:val="32"/>
          <w:u w:val="single"/>
        </w:rPr>
        <w:t>Amy M. Reichbach</w:t>
      </w:r>
    </w:p>
    <w:p w14:paraId="1A4C9FA8" w14:textId="77777777" w:rsidR="00136E87" w:rsidRDefault="00411C46" w:rsidP="00411C46">
      <w:pPr>
        <w:pStyle w:val="NoSpacing"/>
        <w:rPr>
          <w:rFonts w:ascii="Aptos" w:hAnsi="Aptos"/>
          <w:sz w:val="25"/>
          <w:szCs w:val="25"/>
        </w:rPr>
      </w:pPr>
      <w:r w:rsidRPr="00E000BD">
        <w:rPr>
          <w:rFonts w:ascii="Aptos" w:hAnsi="Aptos"/>
          <w:sz w:val="25"/>
          <w:szCs w:val="25"/>
        </w:rPr>
        <w:t xml:space="preserve">Dated: </w:t>
      </w:r>
      <w:r w:rsidR="00136E87">
        <w:rPr>
          <w:rFonts w:ascii="Aptos" w:hAnsi="Aptos"/>
          <w:sz w:val="25"/>
          <w:szCs w:val="25"/>
        </w:rPr>
        <w:t>February 3, 2026</w:t>
      </w:r>
    </w:p>
    <w:p w14:paraId="03153E40" w14:textId="399459FA" w:rsidR="00411C46" w:rsidRPr="00794A04" w:rsidRDefault="00411C46" w:rsidP="00411C46">
      <w:pPr>
        <w:pStyle w:val="NoSpacing"/>
        <w:rPr>
          <w:rFonts w:ascii="Aptos" w:hAnsi="Aptos"/>
          <w:sz w:val="25"/>
          <w:szCs w:val="25"/>
        </w:rPr>
      </w:pPr>
    </w:p>
    <w:p w14:paraId="10DBF1A5" w14:textId="707780CF" w:rsidR="00455D85" w:rsidRDefault="00455D85" w:rsidP="004F4748">
      <w:pPr>
        <w:spacing w:after="160" w:line="259" w:lineRule="auto"/>
        <w:rPr>
          <w:rFonts w:ascii="Aptos" w:hAnsi="Aptos"/>
          <w:sz w:val="25"/>
          <w:szCs w:val="25"/>
        </w:rPr>
      </w:pPr>
    </w:p>
    <w:sectPr w:rsidR="00455D8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FEDFB" w14:textId="77777777" w:rsidR="00846EB7" w:rsidRDefault="00846EB7" w:rsidP="002564A8">
      <w:r>
        <w:separator/>
      </w:r>
    </w:p>
  </w:endnote>
  <w:endnote w:type="continuationSeparator" w:id="0">
    <w:p w14:paraId="7E3C515D" w14:textId="77777777" w:rsidR="00846EB7" w:rsidRDefault="00846EB7" w:rsidP="00256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7567"/>
      <w:docPartObj>
        <w:docPartGallery w:val="Page Numbers (Bottom of Page)"/>
        <w:docPartUnique/>
      </w:docPartObj>
    </w:sdtPr>
    <w:sdtEndPr>
      <w:rPr>
        <w:noProof/>
      </w:rPr>
    </w:sdtEndPr>
    <w:sdtContent>
      <w:p w14:paraId="69D1CAED" w14:textId="0B6B9AAD" w:rsidR="00875C3A" w:rsidRDefault="00875C3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278F3D" w14:textId="77777777" w:rsidR="00875C3A" w:rsidRDefault="00875C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D2768" w14:textId="77777777" w:rsidR="00846EB7" w:rsidRDefault="00846EB7" w:rsidP="002564A8">
      <w:r>
        <w:separator/>
      </w:r>
    </w:p>
  </w:footnote>
  <w:footnote w:type="continuationSeparator" w:id="0">
    <w:p w14:paraId="7EEC1E28" w14:textId="77777777" w:rsidR="00846EB7" w:rsidRDefault="00846EB7" w:rsidP="002564A8">
      <w:r>
        <w:continuationSeparator/>
      </w:r>
    </w:p>
  </w:footnote>
  <w:footnote w:id="1">
    <w:p w14:paraId="211C633C" w14:textId="63FD8B45" w:rsidR="002770F1" w:rsidRPr="00C652E0" w:rsidRDefault="002770F1" w:rsidP="002770F1">
      <w:pPr>
        <w:pStyle w:val="FootnoteText"/>
        <w:rPr>
          <w:rFonts w:ascii="Aptos" w:hAnsi="Aptos"/>
        </w:rPr>
      </w:pPr>
      <w:r w:rsidRPr="00C652E0">
        <w:rPr>
          <w:rStyle w:val="FootnoteReference"/>
          <w:rFonts w:ascii="Aptos" w:eastAsiaTheme="majorEastAsia" w:hAnsi="Aptos"/>
        </w:rPr>
        <w:footnoteRef/>
      </w:r>
      <w:r w:rsidRPr="00C652E0">
        <w:rPr>
          <w:rFonts w:ascii="Aptos" w:hAnsi="Aptos"/>
        </w:rPr>
        <w:t xml:space="preserve"> According to Foxborough, Student attends a separate public day school pursuant to an Individual Education Program (IEP) developed by Norwood. The name of the public day school is withheld to maintain the confidentiality of Student and Parent.</w:t>
      </w:r>
    </w:p>
  </w:footnote>
  <w:footnote w:id="2">
    <w:p w14:paraId="5917B54F" w14:textId="77777777" w:rsidR="002770F1" w:rsidRPr="00C652E0" w:rsidRDefault="002770F1" w:rsidP="002770F1">
      <w:pPr>
        <w:pStyle w:val="FootnoteText"/>
        <w:rPr>
          <w:rFonts w:ascii="Aptos" w:hAnsi="Aptos"/>
        </w:rPr>
      </w:pPr>
      <w:r w:rsidRPr="00C652E0">
        <w:rPr>
          <w:rStyle w:val="FootnoteReference"/>
          <w:rFonts w:ascii="Aptos" w:eastAsiaTheme="majorEastAsia" w:hAnsi="Aptos"/>
        </w:rPr>
        <w:footnoteRef/>
      </w:r>
      <w:r w:rsidRPr="00C652E0">
        <w:rPr>
          <w:rFonts w:ascii="Aptos" w:hAnsi="Aptos"/>
        </w:rPr>
        <w:t xml:space="preserve"> The name of the Hotel is withheld to maintain the confidentiality of Student and Parent.</w:t>
      </w:r>
    </w:p>
  </w:footnote>
  <w:footnote w:id="3">
    <w:p w14:paraId="65F044A7" w14:textId="063E2B02" w:rsidR="00C652E0" w:rsidRPr="00C652E0" w:rsidRDefault="00C652E0">
      <w:pPr>
        <w:pStyle w:val="FootnoteText"/>
      </w:pPr>
      <w:r w:rsidRPr="00C652E0">
        <w:rPr>
          <w:rStyle w:val="FootnoteReference"/>
          <w:rFonts w:ascii="Aptos" w:hAnsi="Aptos"/>
        </w:rPr>
        <w:footnoteRef/>
      </w:r>
      <w:r w:rsidRPr="00C652E0">
        <w:rPr>
          <w:rFonts w:ascii="Aptos" w:hAnsi="Aptos"/>
        </w:rPr>
        <w:t xml:space="preserve"> On September 17, 2025, the Department of Children and Families (DCF) filed an Objection to and Petition to Vacate </w:t>
      </w:r>
      <w:r w:rsidR="003F755F">
        <w:rPr>
          <w:rFonts w:ascii="Aptos" w:hAnsi="Aptos"/>
        </w:rPr>
        <w:t>a</w:t>
      </w:r>
      <w:r w:rsidRPr="00C652E0">
        <w:rPr>
          <w:rFonts w:ascii="Aptos" w:hAnsi="Aptos"/>
        </w:rPr>
        <w:t xml:space="preserve"> subpoena </w:t>
      </w:r>
      <w:r w:rsidRPr="00C652E0">
        <w:rPr>
          <w:rFonts w:ascii="Aptos" w:hAnsi="Aptos"/>
          <w:i/>
          <w:iCs/>
        </w:rPr>
        <w:t>duces</w:t>
      </w:r>
      <w:r w:rsidRPr="00C652E0">
        <w:rPr>
          <w:rFonts w:ascii="Aptos" w:hAnsi="Aptos"/>
        </w:rPr>
        <w:t xml:space="preserve"> </w:t>
      </w:r>
      <w:r w:rsidRPr="00C652E0">
        <w:rPr>
          <w:rFonts w:ascii="Aptos" w:hAnsi="Aptos"/>
          <w:i/>
          <w:iCs/>
        </w:rPr>
        <w:t xml:space="preserve">tecum </w:t>
      </w:r>
      <w:r w:rsidRPr="00C652E0">
        <w:rPr>
          <w:rFonts w:ascii="Aptos" w:hAnsi="Aptos"/>
        </w:rPr>
        <w:t xml:space="preserve">that had been issued </w:t>
      </w:r>
      <w:r w:rsidR="003F755F">
        <w:rPr>
          <w:rFonts w:ascii="Aptos" w:hAnsi="Aptos"/>
        </w:rPr>
        <w:t xml:space="preserve">to it </w:t>
      </w:r>
      <w:r w:rsidRPr="00C652E0">
        <w:rPr>
          <w:rFonts w:ascii="Aptos" w:hAnsi="Aptos"/>
        </w:rPr>
        <w:t xml:space="preserve">by the BSEA pursuant to Foxborough’s request. Foxborough and DCF were unable to </w:t>
      </w:r>
      <w:r w:rsidR="003F755F">
        <w:rPr>
          <w:rFonts w:ascii="Aptos" w:hAnsi="Aptos"/>
        </w:rPr>
        <w:t xml:space="preserve">fully </w:t>
      </w:r>
      <w:r w:rsidRPr="00C652E0">
        <w:rPr>
          <w:rFonts w:ascii="Aptos" w:hAnsi="Aptos"/>
        </w:rPr>
        <w:t xml:space="preserve">resolve the matter informally, and on October 15, 2025, Foxborough filed a second, narrower </w:t>
      </w:r>
      <w:r w:rsidR="00873AD7">
        <w:rPr>
          <w:rFonts w:ascii="Aptos" w:hAnsi="Aptos"/>
        </w:rPr>
        <w:t xml:space="preserve">request for a </w:t>
      </w:r>
      <w:r w:rsidRPr="00C652E0">
        <w:rPr>
          <w:rFonts w:ascii="Aptos" w:hAnsi="Aptos"/>
        </w:rPr>
        <w:t xml:space="preserve">subpoena </w:t>
      </w:r>
      <w:r w:rsidRPr="00C652E0">
        <w:rPr>
          <w:rFonts w:ascii="Aptos" w:hAnsi="Aptos"/>
          <w:i/>
          <w:iCs/>
        </w:rPr>
        <w:t xml:space="preserve">duces tecum </w:t>
      </w:r>
      <w:r w:rsidRPr="00C652E0">
        <w:rPr>
          <w:rFonts w:ascii="Aptos" w:hAnsi="Aptos"/>
        </w:rPr>
        <w:t xml:space="preserve">to which DCF filed an Objection on October 24, 2025. On November 10, 2025, the undersigned Hearing Officer issued a </w:t>
      </w:r>
      <w:r w:rsidRPr="00C652E0">
        <w:rPr>
          <w:rFonts w:ascii="Aptos" w:hAnsi="Aptos"/>
          <w:i/>
          <w:iCs/>
        </w:rPr>
        <w:t>Ruling</w:t>
      </w:r>
      <w:r w:rsidRPr="00C652E0">
        <w:rPr>
          <w:rFonts w:ascii="Aptos" w:hAnsi="Aptos"/>
        </w:rPr>
        <w:t xml:space="preserve"> sustaining DCF’s objection and quashing Foxborough’s subpoena </w:t>
      </w:r>
      <w:r w:rsidRPr="00C652E0">
        <w:rPr>
          <w:rFonts w:ascii="Aptos" w:hAnsi="Aptos"/>
          <w:i/>
          <w:iCs/>
        </w:rPr>
        <w:t>duces tecum</w:t>
      </w:r>
      <w:r w:rsidRPr="00C652E0">
        <w:rPr>
          <w:rFonts w:ascii="Aptos" w:hAnsi="Aptos"/>
        </w:rPr>
        <w:t>.</w:t>
      </w:r>
    </w:p>
  </w:footnote>
  <w:footnote w:id="4">
    <w:p w14:paraId="1DCAEFF1" w14:textId="7287467D" w:rsidR="002564A8" w:rsidRPr="00FE4181" w:rsidRDefault="002564A8" w:rsidP="002564A8">
      <w:pPr>
        <w:pStyle w:val="FootnoteText"/>
        <w:rPr>
          <w:rFonts w:ascii="Aptos" w:hAnsi="Aptos"/>
        </w:rPr>
      </w:pPr>
      <w:r w:rsidRPr="00FE4181">
        <w:rPr>
          <w:rStyle w:val="FootnoteReference"/>
          <w:rFonts w:ascii="Aptos" w:eastAsiaTheme="majorEastAsia" w:hAnsi="Aptos"/>
        </w:rPr>
        <w:footnoteRef/>
      </w:r>
      <w:r w:rsidRPr="00FE4181">
        <w:rPr>
          <w:rFonts w:ascii="Aptos" w:hAnsi="Aptos"/>
        </w:rPr>
        <w:t xml:space="preserve"> I have carefully considered all evidence presented in this matter. I make findings of fact with re</w:t>
      </w:r>
      <w:r w:rsidR="000819D1" w:rsidRPr="00FE4181">
        <w:rPr>
          <w:rFonts w:ascii="Aptos" w:hAnsi="Aptos"/>
        </w:rPr>
        <w:t>s</w:t>
      </w:r>
      <w:r w:rsidRPr="00FE4181">
        <w:rPr>
          <w:rFonts w:ascii="Aptos" w:hAnsi="Aptos"/>
        </w:rPr>
        <w:t xml:space="preserve">pect to the </w:t>
      </w:r>
      <w:r w:rsidR="002C32A7">
        <w:rPr>
          <w:rFonts w:ascii="Aptos" w:hAnsi="Aptos"/>
        </w:rPr>
        <w:t>evidence</w:t>
      </w:r>
      <w:r w:rsidRPr="00FE4181">
        <w:rPr>
          <w:rFonts w:ascii="Aptos" w:hAnsi="Aptos"/>
        </w:rPr>
        <w:t>, however, only as necessary to resolve the issues presented.</w:t>
      </w:r>
    </w:p>
  </w:footnote>
  <w:footnote w:id="5">
    <w:p w14:paraId="58A3F4B2" w14:textId="226342F9" w:rsidR="00F1079B" w:rsidRPr="00FE4181" w:rsidRDefault="00F1079B">
      <w:pPr>
        <w:pStyle w:val="FootnoteText"/>
        <w:rPr>
          <w:rFonts w:ascii="Aptos" w:hAnsi="Aptos"/>
        </w:rPr>
      </w:pPr>
      <w:r w:rsidRPr="00FE4181">
        <w:rPr>
          <w:rStyle w:val="FootnoteReference"/>
          <w:rFonts w:ascii="Aptos" w:hAnsi="Aptos"/>
        </w:rPr>
        <w:footnoteRef/>
      </w:r>
      <w:r w:rsidRPr="00FE4181">
        <w:rPr>
          <w:rFonts w:ascii="Aptos" w:hAnsi="Aptos"/>
        </w:rPr>
        <w:t xml:space="preserve"> An email from </w:t>
      </w:r>
      <w:r w:rsidR="00257782">
        <w:rPr>
          <w:rFonts w:ascii="Aptos" w:hAnsi="Aptos"/>
        </w:rPr>
        <w:t xml:space="preserve">Lori Cimeno, </w:t>
      </w:r>
      <w:r w:rsidR="00FE4181">
        <w:rPr>
          <w:rFonts w:ascii="Aptos" w:hAnsi="Aptos"/>
        </w:rPr>
        <w:t>Norwood</w:t>
      </w:r>
      <w:r w:rsidR="00257782">
        <w:rPr>
          <w:rFonts w:ascii="Aptos" w:hAnsi="Aptos"/>
        </w:rPr>
        <w:t>’s</w:t>
      </w:r>
      <w:r w:rsidR="00FE4181">
        <w:rPr>
          <w:rFonts w:ascii="Aptos" w:hAnsi="Aptos"/>
        </w:rPr>
        <w:t xml:space="preserve"> Director of Student Services</w:t>
      </w:r>
      <w:r w:rsidR="00257782">
        <w:rPr>
          <w:rFonts w:ascii="Aptos" w:hAnsi="Aptos"/>
        </w:rPr>
        <w:t>,</w:t>
      </w:r>
      <w:r w:rsidRPr="00FE4181">
        <w:rPr>
          <w:rFonts w:ascii="Aptos" w:hAnsi="Aptos"/>
        </w:rPr>
        <w:t xml:space="preserve"> to DESE and Foxborough</w:t>
      </w:r>
      <w:r w:rsidR="00A33261">
        <w:rPr>
          <w:rFonts w:ascii="Aptos" w:hAnsi="Aptos"/>
        </w:rPr>
        <w:t>,</w:t>
      </w:r>
      <w:r w:rsidR="00FE4181" w:rsidRPr="00FE4181">
        <w:rPr>
          <w:rFonts w:ascii="Aptos" w:hAnsi="Aptos"/>
        </w:rPr>
        <w:t xml:space="preserve"> dated March 7, 2025</w:t>
      </w:r>
      <w:r w:rsidR="00A33261">
        <w:rPr>
          <w:rFonts w:ascii="Aptos" w:hAnsi="Aptos"/>
        </w:rPr>
        <w:t>,</w:t>
      </w:r>
      <w:r w:rsidRPr="00FE4181">
        <w:rPr>
          <w:rFonts w:ascii="Aptos" w:hAnsi="Aptos"/>
        </w:rPr>
        <w:t xml:space="preserve"> indicates a start date of July 3, 2023; an email from Ms. Cimeno to </w:t>
      </w:r>
      <w:r w:rsidR="00FE4181" w:rsidRPr="00FE4181">
        <w:rPr>
          <w:rFonts w:ascii="Aptos" w:hAnsi="Aptos"/>
        </w:rPr>
        <w:t>these and other individuals</w:t>
      </w:r>
      <w:r w:rsidR="00A33261">
        <w:rPr>
          <w:rFonts w:ascii="Aptos" w:hAnsi="Aptos"/>
        </w:rPr>
        <w:t>,</w:t>
      </w:r>
      <w:r w:rsidR="00FE4181" w:rsidRPr="00FE4181">
        <w:rPr>
          <w:rFonts w:ascii="Aptos" w:hAnsi="Aptos"/>
        </w:rPr>
        <w:t xml:space="preserve"> dated March 11, 2023</w:t>
      </w:r>
      <w:r w:rsidR="00A33261">
        <w:rPr>
          <w:rFonts w:ascii="Aptos" w:hAnsi="Aptos"/>
        </w:rPr>
        <w:t>,</w:t>
      </w:r>
      <w:r w:rsidR="00FE4181" w:rsidRPr="00FE4181">
        <w:rPr>
          <w:rFonts w:ascii="Aptos" w:hAnsi="Aptos"/>
        </w:rPr>
        <w:t xml:space="preserve"> specifies a start date of July 1, 2023. (F-4</w:t>
      </w:r>
      <w:r w:rsidR="00DA621A">
        <w:rPr>
          <w:rFonts w:ascii="Aptos" w:hAnsi="Aptos"/>
        </w:rPr>
        <w:t>; D-4</w:t>
      </w:r>
      <w:r w:rsidR="00FE4181" w:rsidRPr="00FE4181">
        <w:rPr>
          <w:rFonts w:ascii="Aptos" w:hAnsi="Aptos"/>
        </w:rPr>
        <w:t>)</w:t>
      </w:r>
      <w:r w:rsidR="00506130">
        <w:rPr>
          <w:rFonts w:ascii="Aptos" w:hAnsi="Aptos"/>
        </w:rPr>
        <w:t xml:space="preserve"> Foxborough’s undated Request for Clarification of Assignment of School District Responsibility (LEA Assignment Request) includes a start date of July 2, 2023. (D-10)</w:t>
      </w:r>
      <w:r w:rsidR="00873AD7">
        <w:rPr>
          <w:rFonts w:ascii="Aptos" w:hAnsi="Aptos"/>
        </w:rPr>
        <w:t xml:space="preserve"> </w:t>
      </w:r>
      <w:r w:rsidR="008E4F40">
        <w:rPr>
          <w:rFonts w:ascii="Aptos" w:hAnsi="Aptos"/>
        </w:rPr>
        <w:t>While I note t</w:t>
      </w:r>
      <w:r w:rsidR="00873AD7">
        <w:rPr>
          <w:rFonts w:ascii="Aptos" w:hAnsi="Aptos"/>
        </w:rPr>
        <w:t>hese inconsistencies</w:t>
      </w:r>
      <w:r w:rsidR="008E4F40">
        <w:rPr>
          <w:rFonts w:ascii="Aptos" w:hAnsi="Aptos"/>
        </w:rPr>
        <w:t>, they</w:t>
      </w:r>
      <w:r w:rsidR="00873AD7">
        <w:rPr>
          <w:rFonts w:ascii="Aptos" w:hAnsi="Aptos"/>
        </w:rPr>
        <w:t xml:space="preserve"> are minor and I need not resolve them for purposes of this Decision.</w:t>
      </w:r>
    </w:p>
  </w:footnote>
  <w:footnote w:id="6">
    <w:p w14:paraId="70A53836" w14:textId="5DFE1092" w:rsidR="00DB7B30" w:rsidRPr="00FE4181" w:rsidRDefault="00DB7B30">
      <w:pPr>
        <w:pStyle w:val="FootnoteText"/>
        <w:rPr>
          <w:rFonts w:ascii="Aptos" w:hAnsi="Aptos"/>
        </w:rPr>
      </w:pPr>
      <w:r w:rsidRPr="00FE4181">
        <w:rPr>
          <w:rStyle w:val="FootnoteReference"/>
          <w:rFonts w:ascii="Aptos" w:hAnsi="Aptos"/>
        </w:rPr>
        <w:footnoteRef/>
      </w:r>
      <w:r w:rsidRPr="00FE4181">
        <w:rPr>
          <w:rFonts w:ascii="Aptos" w:hAnsi="Aptos"/>
        </w:rPr>
        <w:t xml:space="preserve"> An email from </w:t>
      </w:r>
      <w:r w:rsidR="00FE4181">
        <w:rPr>
          <w:rFonts w:ascii="Aptos" w:hAnsi="Aptos"/>
        </w:rPr>
        <w:t xml:space="preserve">Ms. </w:t>
      </w:r>
      <w:r w:rsidRPr="00FE4181">
        <w:rPr>
          <w:rFonts w:ascii="Aptos" w:hAnsi="Aptos"/>
        </w:rPr>
        <w:t>Cimeno</w:t>
      </w:r>
      <w:r w:rsidR="00FE4181">
        <w:rPr>
          <w:rFonts w:ascii="Aptos" w:hAnsi="Aptos"/>
        </w:rPr>
        <w:t xml:space="preserve"> </w:t>
      </w:r>
      <w:r w:rsidRPr="00FE4181">
        <w:rPr>
          <w:rFonts w:ascii="Aptos" w:hAnsi="Aptos"/>
        </w:rPr>
        <w:t>to</w:t>
      </w:r>
      <w:r w:rsidR="00257782">
        <w:rPr>
          <w:rFonts w:ascii="Aptos" w:hAnsi="Aptos"/>
        </w:rPr>
        <w:t xml:space="preserve"> Cory Mikolazyk,</w:t>
      </w:r>
      <w:r w:rsidRPr="00FE4181">
        <w:rPr>
          <w:rFonts w:ascii="Aptos" w:hAnsi="Aptos"/>
        </w:rPr>
        <w:t xml:space="preserve"> Foxborough’s </w:t>
      </w:r>
      <w:r w:rsidR="00FE4181">
        <w:rPr>
          <w:rFonts w:ascii="Aptos" w:hAnsi="Aptos"/>
        </w:rPr>
        <w:t>Director of Student Services</w:t>
      </w:r>
      <w:r w:rsidR="00257782">
        <w:rPr>
          <w:rFonts w:ascii="Aptos" w:hAnsi="Aptos"/>
        </w:rPr>
        <w:t>,</w:t>
      </w:r>
      <w:r w:rsidRPr="00FE4181">
        <w:rPr>
          <w:rFonts w:ascii="Aptos" w:hAnsi="Aptos"/>
        </w:rPr>
        <w:t xml:space="preserve"> dated March 11, 2025</w:t>
      </w:r>
      <w:r w:rsidR="00A33261">
        <w:rPr>
          <w:rFonts w:ascii="Aptos" w:hAnsi="Aptos"/>
        </w:rPr>
        <w:t>,</w:t>
      </w:r>
      <w:r w:rsidRPr="00FE4181">
        <w:rPr>
          <w:rFonts w:ascii="Aptos" w:hAnsi="Aptos"/>
        </w:rPr>
        <w:t xml:space="preserve"> suggests that Student </w:t>
      </w:r>
      <w:r w:rsidR="00DA621A">
        <w:rPr>
          <w:rFonts w:ascii="Aptos" w:hAnsi="Aptos"/>
        </w:rPr>
        <w:t>h</w:t>
      </w:r>
      <w:r w:rsidRPr="00FE4181">
        <w:rPr>
          <w:rFonts w:ascii="Aptos" w:hAnsi="Aptos"/>
        </w:rPr>
        <w:t xml:space="preserve">as been residing with Father </w:t>
      </w:r>
      <w:r w:rsidR="00DA621A">
        <w:rPr>
          <w:rFonts w:ascii="Aptos" w:hAnsi="Aptos"/>
        </w:rPr>
        <w:t>since</w:t>
      </w:r>
      <w:r w:rsidRPr="00FE4181">
        <w:rPr>
          <w:rFonts w:ascii="Aptos" w:hAnsi="Aptos"/>
        </w:rPr>
        <w:t xml:space="preserve"> February 1, 2025. (F-4</w:t>
      </w:r>
      <w:r w:rsidR="00DA621A">
        <w:rPr>
          <w:rFonts w:ascii="Aptos" w:hAnsi="Aptos"/>
        </w:rPr>
        <w:t>; D-4</w:t>
      </w:r>
      <w:r w:rsidRPr="00FE4181">
        <w:rPr>
          <w:rFonts w:ascii="Aptos" w:hAnsi="Aptos"/>
        </w:rPr>
        <w:t>)</w:t>
      </w:r>
      <w:r w:rsidR="00DA621A">
        <w:rPr>
          <w:rFonts w:ascii="Aptos" w:hAnsi="Aptos"/>
        </w:rPr>
        <w:t xml:space="preserve"> DESE provided an undated letter from </w:t>
      </w:r>
      <w:r w:rsidR="00A33261">
        <w:rPr>
          <w:rFonts w:ascii="Aptos" w:hAnsi="Aptos"/>
        </w:rPr>
        <w:t>a</w:t>
      </w:r>
      <w:r w:rsidR="00DA621A">
        <w:rPr>
          <w:rFonts w:ascii="Aptos" w:hAnsi="Aptos"/>
        </w:rPr>
        <w:t xml:space="preserve"> DCF social worker indicating that Student “is currently residing and in the care of her father” at the address of </w:t>
      </w:r>
      <w:r w:rsidR="00DA621A">
        <w:rPr>
          <w:rFonts w:ascii="Aptos" w:hAnsi="Aptos"/>
        </w:rPr>
        <w:t>Hotel. (D-2</w:t>
      </w:r>
      <w:r w:rsidR="00D15FA9">
        <w:rPr>
          <w:rFonts w:ascii="Aptos" w:hAnsi="Aptos"/>
        </w:rPr>
        <w:t>, D-13D</w:t>
      </w:r>
      <w:r w:rsidR="006C45E1">
        <w:rPr>
          <w:rFonts w:ascii="Aptos" w:hAnsi="Aptos"/>
        </w:rPr>
        <w:t>; N-4</w:t>
      </w:r>
      <w:r w:rsidR="00DA621A">
        <w:rPr>
          <w:rFonts w:ascii="Aptos" w:hAnsi="Aptos"/>
        </w:rPr>
        <w:t>) According to an email from Ms. Cimeno dated March 7, 2025, this letter was written at the end of January or beginning of February, as it was provided by Father to the out-of-district placement on February 1, 2025.</w:t>
      </w:r>
      <w:r w:rsidR="00D15FA9">
        <w:rPr>
          <w:rFonts w:ascii="Aptos" w:hAnsi="Aptos"/>
        </w:rPr>
        <w:t xml:space="preserve"> (F-4, D-4) The letter appears to have been provided to DESE by Norwood. (D-13)</w:t>
      </w:r>
    </w:p>
  </w:footnote>
  <w:footnote w:id="7">
    <w:p w14:paraId="193CBC64" w14:textId="0C057C8B" w:rsidR="00920003" w:rsidRPr="00D15FA9" w:rsidRDefault="00920003">
      <w:pPr>
        <w:pStyle w:val="FootnoteText"/>
        <w:rPr>
          <w:rFonts w:ascii="Aptos" w:hAnsi="Aptos"/>
        </w:rPr>
      </w:pPr>
      <w:r w:rsidRPr="00FE4181">
        <w:rPr>
          <w:rStyle w:val="FootnoteReference"/>
          <w:rFonts w:ascii="Aptos" w:hAnsi="Aptos"/>
        </w:rPr>
        <w:footnoteRef/>
      </w:r>
      <w:r w:rsidRPr="00FE4181">
        <w:rPr>
          <w:rFonts w:ascii="Aptos" w:hAnsi="Aptos"/>
        </w:rPr>
        <w:t xml:space="preserve"> </w:t>
      </w:r>
      <w:r w:rsidR="004C50A7">
        <w:rPr>
          <w:rFonts w:ascii="Aptos" w:hAnsi="Aptos"/>
        </w:rPr>
        <w:t>According to the</w:t>
      </w:r>
      <w:r w:rsidR="00632C4C">
        <w:rPr>
          <w:rFonts w:ascii="Aptos" w:hAnsi="Aptos"/>
        </w:rPr>
        <w:t xml:space="preserve"> March 22, </w:t>
      </w:r>
      <w:r w:rsidR="00632C4C">
        <w:rPr>
          <w:rFonts w:ascii="Aptos" w:hAnsi="Aptos"/>
        </w:rPr>
        <w:t>2025</w:t>
      </w:r>
      <w:r w:rsidR="004C50A7">
        <w:rPr>
          <w:rFonts w:ascii="Aptos" w:hAnsi="Aptos"/>
        </w:rPr>
        <w:t xml:space="preserve"> </w:t>
      </w:r>
      <w:r w:rsidRPr="00FE4181">
        <w:rPr>
          <w:rFonts w:ascii="Aptos" w:hAnsi="Aptos"/>
        </w:rPr>
        <w:t xml:space="preserve">email </w:t>
      </w:r>
      <w:r w:rsidR="00257782">
        <w:rPr>
          <w:rFonts w:ascii="Aptos" w:hAnsi="Aptos"/>
        </w:rPr>
        <w:t>from Ms. Cimeno</w:t>
      </w:r>
      <w:r w:rsidR="004C50A7">
        <w:rPr>
          <w:rFonts w:ascii="Aptos" w:hAnsi="Aptos"/>
        </w:rPr>
        <w:t xml:space="preserve"> referenced in note </w:t>
      </w:r>
      <w:r w:rsidR="004C50A7" w:rsidRPr="008E4F40">
        <w:rPr>
          <w:rFonts w:ascii="Aptos" w:hAnsi="Aptos"/>
        </w:rPr>
        <w:t>6</w:t>
      </w:r>
      <w:r w:rsidR="004C50A7">
        <w:rPr>
          <w:rFonts w:ascii="Aptos" w:hAnsi="Aptos"/>
        </w:rPr>
        <w:t xml:space="preserve">, </w:t>
      </w:r>
      <w:r w:rsidR="004C50A7" w:rsidRPr="008E4F40">
        <w:rPr>
          <w:rFonts w:ascii="Aptos" w:hAnsi="Aptos"/>
          <w:i/>
          <w:iCs/>
        </w:rPr>
        <w:t>supra</w:t>
      </w:r>
      <w:r w:rsidR="00257782">
        <w:rPr>
          <w:rFonts w:ascii="Aptos" w:hAnsi="Aptos"/>
        </w:rPr>
        <w:t>,</w:t>
      </w:r>
      <w:r w:rsidR="004C50A7">
        <w:rPr>
          <w:rFonts w:ascii="Aptos" w:hAnsi="Aptos"/>
        </w:rPr>
        <w:t xml:space="preserve"> </w:t>
      </w:r>
      <w:r w:rsidRPr="00FE4181">
        <w:rPr>
          <w:rFonts w:ascii="Aptos" w:hAnsi="Aptos"/>
        </w:rPr>
        <w:t>Norwood held a telephone</w:t>
      </w:r>
      <w:r w:rsidRPr="00920003">
        <w:rPr>
          <w:rFonts w:ascii="Aptos" w:hAnsi="Aptos"/>
        </w:rPr>
        <w:t xml:space="preserve"> conversation with Father on February 28, 2025, during which Father stated that he paid $2000 in rent per month</w:t>
      </w:r>
      <w:r w:rsidR="00257782">
        <w:rPr>
          <w:rFonts w:ascii="Aptos" w:hAnsi="Aptos"/>
        </w:rPr>
        <w:t>. H</w:t>
      </w:r>
      <w:r>
        <w:rPr>
          <w:rFonts w:ascii="Aptos" w:hAnsi="Aptos"/>
        </w:rPr>
        <w:t>owever, the proof of payment for rent for the week of March 7, 2025 and the</w:t>
      </w:r>
      <w:r w:rsidR="00257782">
        <w:rPr>
          <w:rFonts w:ascii="Aptos" w:hAnsi="Aptos"/>
        </w:rPr>
        <w:t xml:space="preserve"> letter</w:t>
      </w:r>
      <w:r>
        <w:rPr>
          <w:rFonts w:ascii="Aptos" w:hAnsi="Aptos"/>
        </w:rPr>
        <w:t xml:space="preserve"> from the Hotel owner both confirmed that Father pays $375 per week, for a total of $19,500 per year</w:t>
      </w:r>
      <w:r w:rsidRPr="00920003">
        <w:rPr>
          <w:rFonts w:ascii="Aptos" w:hAnsi="Aptos"/>
        </w:rPr>
        <w:t>.</w:t>
      </w:r>
      <w:r>
        <w:rPr>
          <w:rFonts w:ascii="Aptos" w:hAnsi="Aptos"/>
        </w:rPr>
        <w:t xml:space="preserve"> (F-4</w:t>
      </w:r>
      <w:r w:rsidR="00DA621A">
        <w:rPr>
          <w:rFonts w:ascii="Aptos" w:hAnsi="Aptos"/>
        </w:rPr>
        <w:t>; D-4</w:t>
      </w:r>
      <w:r w:rsidR="00257782">
        <w:rPr>
          <w:rFonts w:ascii="Aptos" w:hAnsi="Aptos"/>
        </w:rPr>
        <w:t>, D-7</w:t>
      </w:r>
      <w:r>
        <w:rPr>
          <w:rFonts w:ascii="Aptos" w:hAnsi="Aptos"/>
        </w:rPr>
        <w:t>)</w:t>
      </w:r>
      <w:r w:rsidR="00257782">
        <w:rPr>
          <w:rFonts w:ascii="Aptos" w:hAnsi="Aptos"/>
        </w:rPr>
        <w:t xml:space="preserve"> In its</w:t>
      </w:r>
      <w:r w:rsidR="00873AD7">
        <w:rPr>
          <w:rFonts w:ascii="Aptos" w:hAnsi="Aptos"/>
        </w:rPr>
        <w:t xml:space="preserve"> </w:t>
      </w:r>
      <w:r w:rsidR="00873AD7">
        <w:rPr>
          <w:rFonts w:ascii="Aptos" w:hAnsi="Aptos"/>
          <w:i/>
          <w:iCs/>
        </w:rPr>
        <w:t>Memorandum in Support of Appeal of L</w:t>
      </w:r>
      <w:r w:rsidR="004C50A7">
        <w:rPr>
          <w:rFonts w:ascii="Aptos" w:hAnsi="Aptos"/>
          <w:i/>
          <w:iCs/>
        </w:rPr>
        <w:t>EA</w:t>
      </w:r>
      <w:r w:rsidR="00873AD7">
        <w:rPr>
          <w:rFonts w:ascii="Aptos" w:hAnsi="Aptos"/>
          <w:i/>
          <w:iCs/>
        </w:rPr>
        <w:t xml:space="preserve"> </w:t>
      </w:r>
      <w:r w:rsidR="00873AD7" w:rsidRPr="00873AD7">
        <w:rPr>
          <w:rFonts w:ascii="Aptos" w:hAnsi="Aptos"/>
          <w:i/>
          <w:iCs/>
        </w:rPr>
        <w:t>Assignment</w:t>
      </w:r>
      <w:r w:rsidR="00873AD7">
        <w:rPr>
          <w:rFonts w:ascii="Aptos" w:hAnsi="Aptos"/>
        </w:rPr>
        <w:t xml:space="preserve">, </w:t>
      </w:r>
      <w:r w:rsidR="00257782" w:rsidRPr="00873AD7">
        <w:rPr>
          <w:rFonts w:ascii="Aptos" w:hAnsi="Aptos"/>
        </w:rPr>
        <w:t>Foxborough</w:t>
      </w:r>
      <w:r w:rsidR="00257782">
        <w:rPr>
          <w:rFonts w:ascii="Aptos" w:hAnsi="Aptos"/>
        </w:rPr>
        <w:t xml:space="preserve"> contends that the proof of payment, which includes a “date in” of November 14, 2021 and a “</w:t>
      </w:r>
      <w:r w:rsidR="00257782" w:rsidRPr="00D15FA9">
        <w:rPr>
          <w:rFonts w:ascii="Aptos" w:hAnsi="Aptos"/>
        </w:rPr>
        <w:t>date out” of March 16, 2025, shows that Father paid $375 on March 7, 2025, but does not prove that he pays this amount weekly.</w:t>
      </w:r>
    </w:p>
  </w:footnote>
  <w:footnote w:id="8">
    <w:p w14:paraId="1BD5F7A9" w14:textId="0F258B38" w:rsidR="00C714D8" w:rsidRDefault="00C714D8">
      <w:pPr>
        <w:pStyle w:val="FootnoteText"/>
      </w:pPr>
      <w:r w:rsidRPr="00D15FA9">
        <w:rPr>
          <w:rStyle w:val="FootnoteReference"/>
          <w:rFonts w:ascii="Aptos" w:hAnsi="Aptos"/>
        </w:rPr>
        <w:footnoteRef/>
      </w:r>
      <w:r w:rsidRPr="00D15FA9">
        <w:rPr>
          <w:rFonts w:ascii="Aptos" w:hAnsi="Aptos"/>
        </w:rPr>
        <w:t xml:space="preserve"> An affidavit submitted to DESE by Norwood’s </w:t>
      </w:r>
      <w:r w:rsidR="004C50A7">
        <w:rPr>
          <w:rFonts w:ascii="Aptos" w:hAnsi="Aptos"/>
        </w:rPr>
        <w:t>O</w:t>
      </w:r>
      <w:r w:rsidRPr="00D15FA9">
        <w:rPr>
          <w:rFonts w:ascii="Aptos" w:hAnsi="Aptos"/>
        </w:rPr>
        <w:t>ut-of-</w:t>
      </w:r>
      <w:r w:rsidR="004C50A7">
        <w:rPr>
          <w:rFonts w:ascii="Aptos" w:hAnsi="Aptos"/>
        </w:rPr>
        <w:t>D</w:t>
      </w:r>
      <w:r w:rsidRPr="00D15FA9">
        <w:rPr>
          <w:rFonts w:ascii="Aptos" w:hAnsi="Aptos"/>
        </w:rPr>
        <w:t xml:space="preserve">istrict </w:t>
      </w:r>
      <w:r w:rsidR="004C50A7">
        <w:rPr>
          <w:rFonts w:ascii="Aptos" w:hAnsi="Aptos"/>
        </w:rPr>
        <w:t>C</w:t>
      </w:r>
      <w:r w:rsidRPr="00D15FA9">
        <w:rPr>
          <w:rFonts w:ascii="Aptos" w:hAnsi="Aptos"/>
        </w:rPr>
        <w:t>oordinator, Karen Milch, states that Father reporte</w:t>
      </w:r>
      <w:r w:rsidR="00873AD7">
        <w:rPr>
          <w:rFonts w:ascii="Aptos" w:hAnsi="Aptos"/>
        </w:rPr>
        <w:t>d</w:t>
      </w:r>
      <w:r w:rsidRPr="00D15FA9">
        <w:rPr>
          <w:rFonts w:ascii="Aptos" w:hAnsi="Aptos"/>
        </w:rPr>
        <w:t xml:space="preserve"> to Ms. Milch that his apartment at </w:t>
      </w:r>
      <w:r w:rsidRPr="00D15FA9">
        <w:rPr>
          <w:rFonts w:ascii="Aptos" w:hAnsi="Aptos"/>
        </w:rPr>
        <w:t>Hotel “includes a bedroom, working bathroom, and working kitchenette.” (D-13A</w:t>
      </w:r>
      <w:r w:rsidR="006C45E1">
        <w:rPr>
          <w:rFonts w:ascii="Aptos" w:hAnsi="Aptos"/>
        </w:rPr>
        <w:t>; N-1</w:t>
      </w:r>
      <w:r w:rsidRPr="00D15FA9">
        <w:rPr>
          <w:rFonts w:ascii="Aptos" w:hAnsi="Aptos"/>
        </w:rPr>
        <w:t xml:space="preserve">) </w:t>
      </w:r>
      <w:r w:rsidR="00D15FA9" w:rsidRPr="00D15FA9">
        <w:rPr>
          <w:rFonts w:ascii="Aptos" w:hAnsi="Aptos"/>
        </w:rPr>
        <w:t>Norwood submitted to DESE an Affidavit signed by Father that described his apartment in the same way. (D-13B</w:t>
      </w:r>
      <w:r w:rsidR="00632C4C">
        <w:rPr>
          <w:rFonts w:ascii="Aptos" w:hAnsi="Aptos"/>
        </w:rPr>
        <w:t>, D-17</w:t>
      </w:r>
      <w:r w:rsidR="006C45E1">
        <w:rPr>
          <w:rFonts w:ascii="Aptos" w:hAnsi="Aptos"/>
        </w:rPr>
        <w:t>; N-2</w:t>
      </w:r>
      <w:r w:rsidR="00CB5523">
        <w:rPr>
          <w:rFonts w:ascii="Aptos" w:hAnsi="Aptos"/>
        </w:rPr>
        <w:t xml:space="preserve">) </w:t>
      </w:r>
    </w:p>
  </w:footnote>
  <w:footnote w:id="9">
    <w:p w14:paraId="68B501F6" w14:textId="78357A54" w:rsidR="00D15FA9" w:rsidRPr="00901D92" w:rsidRDefault="00D15FA9">
      <w:pPr>
        <w:pStyle w:val="FootnoteText"/>
        <w:rPr>
          <w:rFonts w:ascii="Aptos" w:hAnsi="Aptos"/>
        </w:rPr>
      </w:pPr>
      <w:r w:rsidRPr="00CB5523">
        <w:rPr>
          <w:rStyle w:val="FootnoteReference"/>
          <w:rFonts w:ascii="Aptos" w:hAnsi="Aptos"/>
        </w:rPr>
        <w:footnoteRef/>
      </w:r>
      <w:r w:rsidRPr="00CB5523">
        <w:rPr>
          <w:rFonts w:ascii="Aptos" w:hAnsi="Aptos"/>
        </w:rPr>
        <w:t xml:space="preserve"> </w:t>
      </w:r>
      <w:r w:rsidR="000E6DA4">
        <w:rPr>
          <w:rFonts w:ascii="Aptos" w:hAnsi="Aptos"/>
        </w:rPr>
        <w:t>Foxborough</w:t>
      </w:r>
      <w:r w:rsidRPr="00CB5523">
        <w:rPr>
          <w:rFonts w:ascii="Aptos" w:hAnsi="Aptos"/>
        </w:rPr>
        <w:t>’s letter in response to DESE’s LEA Assignment Alert suggests that Foxborough enrolled Student as of March 11, 2025 (D-14), but this assertion is not supported by the balance of the evidence. Specifical</w:t>
      </w:r>
      <w:r w:rsidR="00873AD7">
        <w:rPr>
          <w:rFonts w:ascii="Aptos" w:hAnsi="Aptos"/>
        </w:rPr>
        <w:t>ly,</w:t>
      </w:r>
      <w:r w:rsidRPr="00CB5523">
        <w:rPr>
          <w:rFonts w:ascii="Aptos" w:hAnsi="Aptos"/>
        </w:rPr>
        <w:t xml:space="preserve"> in an email</w:t>
      </w:r>
      <w:r w:rsidR="00CB5523" w:rsidRPr="00CB5523">
        <w:rPr>
          <w:rFonts w:ascii="Aptos" w:hAnsi="Aptos"/>
        </w:rPr>
        <w:t xml:space="preserve"> to representatives from DCF, DESE, Student’s out-of-district placement, and Foxborough</w:t>
      </w:r>
      <w:r w:rsidRPr="00CB5523">
        <w:rPr>
          <w:rFonts w:ascii="Aptos" w:hAnsi="Aptos"/>
        </w:rPr>
        <w:t xml:space="preserve"> dated March 18, 2025, M</w:t>
      </w:r>
      <w:r w:rsidR="0017076C">
        <w:rPr>
          <w:rFonts w:ascii="Aptos" w:hAnsi="Aptos"/>
        </w:rPr>
        <w:t>r</w:t>
      </w:r>
      <w:r w:rsidRPr="00CB5523">
        <w:rPr>
          <w:rFonts w:ascii="Aptos" w:hAnsi="Aptos"/>
        </w:rPr>
        <w:t xml:space="preserve">. </w:t>
      </w:r>
      <w:r w:rsidRPr="00CB5523">
        <w:rPr>
          <w:rFonts w:ascii="Aptos" w:hAnsi="Aptos"/>
        </w:rPr>
        <w:t xml:space="preserve">Mikolazyk </w:t>
      </w:r>
      <w:r w:rsidR="00CB5523" w:rsidRPr="00CB5523">
        <w:rPr>
          <w:rFonts w:ascii="Aptos" w:hAnsi="Aptos"/>
        </w:rPr>
        <w:t>wrote that Foxborough had not failed to enroll Student, but the family had been unable to provide proof of residence, and that, as such, the family should be seeking support from Norwood. On the same day, M</w:t>
      </w:r>
      <w:r w:rsidR="0017076C">
        <w:rPr>
          <w:rFonts w:ascii="Aptos" w:hAnsi="Aptos"/>
        </w:rPr>
        <w:t>r</w:t>
      </w:r>
      <w:r w:rsidR="00CB5523" w:rsidRPr="00CB5523">
        <w:rPr>
          <w:rFonts w:ascii="Aptos" w:hAnsi="Aptos"/>
        </w:rPr>
        <w:t xml:space="preserve">. Mikolazyk informed the same individuals that he “wanted to follow up to confirm that the family has not provided any documentation to meet the residency requirements. I respectfully request that Foxborough not be included in future correspondences regarding this matter. Please take a moment to review the McKinney-Vento (MKV) advisories, as they will make you more informed </w:t>
      </w:r>
      <w:r w:rsidR="00CB5523" w:rsidRPr="00BB13F6">
        <w:rPr>
          <w:rFonts w:ascii="Aptos" w:hAnsi="Aptos"/>
        </w:rPr>
        <w:t>and will provide additional clarity and guidance.” (D-15</w:t>
      </w:r>
      <w:r w:rsidR="0017076C">
        <w:rPr>
          <w:rFonts w:ascii="Aptos" w:hAnsi="Aptos"/>
        </w:rPr>
        <w:t>)</w:t>
      </w:r>
    </w:p>
  </w:footnote>
  <w:footnote w:id="10">
    <w:p w14:paraId="0EE524AA" w14:textId="520E7B52" w:rsidR="00C714D8" w:rsidRPr="00C714D8" w:rsidRDefault="00C714D8">
      <w:pPr>
        <w:pStyle w:val="FootnoteText"/>
      </w:pPr>
      <w:r w:rsidRPr="00CB5523">
        <w:rPr>
          <w:rStyle w:val="FootnoteReference"/>
          <w:rFonts w:ascii="Aptos" w:hAnsi="Aptos"/>
        </w:rPr>
        <w:footnoteRef/>
      </w:r>
      <w:r w:rsidRPr="00CB5523">
        <w:rPr>
          <w:rFonts w:ascii="Aptos" w:hAnsi="Aptos"/>
        </w:rPr>
        <w:t xml:space="preserve"> DESE was subsequently provided with an IEP for Student dated 11/14/2024 to 11/14/2025 that had been accepted by Mother on 11/27/2024. (D-12)</w:t>
      </w:r>
    </w:p>
  </w:footnote>
  <w:footnote w:id="11">
    <w:p w14:paraId="58C6F065" w14:textId="77777777" w:rsidR="00F44A04" w:rsidRPr="00FA000D" w:rsidRDefault="00F44A04" w:rsidP="00F44A04">
      <w:pPr>
        <w:pStyle w:val="FootnoteText"/>
        <w:rPr>
          <w:rFonts w:ascii="Aptos" w:hAnsi="Aptos"/>
        </w:rPr>
      </w:pPr>
      <w:r w:rsidRPr="00FA000D">
        <w:rPr>
          <w:rStyle w:val="FootnoteReference"/>
          <w:rFonts w:ascii="Aptos" w:eastAsiaTheme="majorEastAsia" w:hAnsi="Aptos"/>
        </w:rPr>
        <w:footnoteRef/>
      </w:r>
      <w:r w:rsidRPr="00FA000D">
        <w:rPr>
          <w:rFonts w:ascii="Aptos" w:hAnsi="Aptos"/>
        </w:rPr>
        <w:t xml:space="preserve"> 20 U.S.C. § 1415(b)(6).</w:t>
      </w:r>
    </w:p>
  </w:footnote>
  <w:footnote w:id="12">
    <w:p w14:paraId="63013E10" w14:textId="77777777" w:rsidR="00F44A04" w:rsidRPr="00767AD2" w:rsidRDefault="00F44A04" w:rsidP="00F44A04">
      <w:pPr>
        <w:pStyle w:val="FootnoteText"/>
        <w:rPr>
          <w:rFonts w:ascii="Aptos" w:hAnsi="Aptos"/>
        </w:rPr>
      </w:pPr>
      <w:r w:rsidRPr="00767AD2">
        <w:rPr>
          <w:rStyle w:val="FootnoteReference"/>
          <w:rFonts w:ascii="Aptos" w:eastAsiaTheme="majorEastAsia" w:hAnsi="Aptos"/>
        </w:rPr>
        <w:footnoteRef/>
      </w:r>
      <w:r w:rsidRPr="00767AD2">
        <w:rPr>
          <w:rFonts w:ascii="Aptos" w:hAnsi="Aptos"/>
        </w:rPr>
        <w:t xml:space="preserve"> 603 CMR 28.08(3)(a). Sections 3(c) and 3(d) of 603 CMR 28.08 contain certain exceptions that do not apply here.</w:t>
      </w:r>
    </w:p>
  </w:footnote>
  <w:footnote w:id="13">
    <w:p w14:paraId="113ED594" w14:textId="71EE1788" w:rsidR="00767AD2" w:rsidRPr="00767AD2" w:rsidRDefault="00767AD2">
      <w:pPr>
        <w:pStyle w:val="FootnoteText"/>
        <w:rPr>
          <w:rFonts w:ascii="Aptos" w:hAnsi="Aptos"/>
        </w:rPr>
      </w:pPr>
      <w:r w:rsidRPr="00767AD2">
        <w:rPr>
          <w:rStyle w:val="FootnoteReference"/>
          <w:rFonts w:ascii="Aptos" w:hAnsi="Aptos"/>
        </w:rPr>
        <w:footnoteRef/>
      </w:r>
      <w:r w:rsidRPr="00767AD2">
        <w:rPr>
          <w:rFonts w:ascii="Aptos" w:hAnsi="Aptos"/>
        </w:rPr>
        <w:t xml:space="preserve"> See 603 CMR 28.10(9).</w:t>
      </w:r>
    </w:p>
  </w:footnote>
  <w:footnote w:id="14">
    <w:p w14:paraId="45D3BA86" w14:textId="3141E8DF" w:rsidR="00767AD2" w:rsidRDefault="00767AD2">
      <w:pPr>
        <w:pStyle w:val="FootnoteText"/>
      </w:pPr>
      <w:r w:rsidRPr="00767AD2">
        <w:rPr>
          <w:rStyle w:val="FootnoteReference"/>
          <w:rFonts w:ascii="Aptos" w:hAnsi="Aptos"/>
        </w:rPr>
        <w:footnoteRef/>
      </w:r>
      <w:r w:rsidRPr="00767AD2">
        <w:rPr>
          <w:rFonts w:ascii="Aptos" w:hAnsi="Aptos"/>
        </w:rPr>
        <w:t xml:space="preserve"> See M.G.L. c. 71B, § 2A (establishing the BSEA).</w:t>
      </w:r>
    </w:p>
  </w:footnote>
  <w:footnote w:id="15">
    <w:p w14:paraId="6DFB85EC" w14:textId="608CB66B" w:rsidR="00F44A04" w:rsidRPr="004A7EBE" w:rsidRDefault="00F44A04" w:rsidP="00F44A04">
      <w:pPr>
        <w:pStyle w:val="FootnoteText"/>
        <w:rPr>
          <w:rFonts w:ascii="Aptos" w:hAnsi="Aptos"/>
        </w:rPr>
      </w:pPr>
      <w:r w:rsidRPr="004A7EBE">
        <w:rPr>
          <w:rStyle w:val="FootnoteReference"/>
          <w:rFonts w:ascii="Aptos" w:hAnsi="Aptos"/>
        </w:rPr>
        <w:footnoteRef/>
      </w:r>
      <w:r w:rsidRPr="004A7EBE">
        <w:rPr>
          <w:rFonts w:ascii="Aptos" w:hAnsi="Aptos"/>
        </w:rPr>
        <w:t xml:space="preserve"> See </w:t>
      </w:r>
      <w:r w:rsidR="00686B80" w:rsidRPr="004A7EBE">
        <w:rPr>
          <w:rFonts w:ascii="Aptos" w:hAnsi="Aptos"/>
        </w:rPr>
        <w:t>M.</w:t>
      </w:r>
      <w:r w:rsidRPr="004A7EBE">
        <w:rPr>
          <w:rFonts w:ascii="Aptos" w:hAnsi="Aptos"/>
        </w:rPr>
        <w:t xml:space="preserve">G.L. c. 76, </w:t>
      </w:r>
      <w:r w:rsidR="00686B80" w:rsidRPr="004A7EBE">
        <w:rPr>
          <w:rFonts w:ascii="Aptos" w:hAnsi="Aptos"/>
        </w:rPr>
        <w:t>§</w:t>
      </w:r>
      <w:r w:rsidRPr="004A7EBE">
        <w:rPr>
          <w:rFonts w:ascii="Aptos" w:hAnsi="Aptos"/>
        </w:rPr>
        <w:t xml:space="preserve"> 5 (“Every person shall have a right to attend the public schools of the town where he </w:t>
      </w:r>
      <w:r w:rsidRPr="004A7EBE">
        <w:rPr>
          <w:rFonts w:ascii="Aptos" w:hAnsi="Aptos"/>
        </w:rPr>
        <w:t>actually resides</w:t>
      </w:r>
      <w:r w:rsidR="00686B80" w:rsidRPr="004A7EBE">
        <w:rPr>
          <w:rFonts w:ascii="Aptos" w:hAnsi="Aptos"/>
        </w:rPr>
        <w:t xml:space="preserve"> . . .</w:t>
      </w:r>
      <w:r w:rsidRPr="004A7EBE">
        <w:rPr>
          <w:rFonts w:ascii="Aptos" w:hAnsi="Aptos"/>
        </w:rPr>
        <w:t xml:space="preserve"> No school committee is required to enroll a person who does not actually reside in the town unless said enrollment is authorized by law or by the school committee”).</w:t>
      </w:r>
    </w:p>
  </w:footnote>
  <w:footnote w:id="16">
    <w:p w14:paraId="5BFDA0F5" w14:textId="46D654C4" w:rsidR="000E0048" w:rsidRPr="004A7EBE" w:rsidRDefault="000E0048">
      <w:pPr>
        <w:pStyle w:val="FootnoteText"/>
        <w:rPr>
          <w:rFonts w:ascii="Aptos" w:hAnsi="Aptos"/>
        </w:rPr>
      </w:pPr>
      <w:r w:rsidRPr="004A7EBE">
        <w:rPr>
          <w:rStyle w:val="FootnoteReference"/>
          <w:rFonts w:ascii="Aptos" w:hAnsi="Aptos"/>
        </w:rPr>
        <w:footnoteRef/>
      </w:r>
      <w:r w:rsidRPr="004A7EBE">
        <w:rPr>
          <w:rFonts w:ascii="Aptos" w:hAnsi="Aptos"/>
        </w:rPr>
        <w:t xml:space="preserve"> </w:t>
      </w:r>
      <w:r w:rsidR="00686B80" w:rsidRPr="004A7EBE">
        <w:rPr>
          <w:rFonts w:ascii="Aptos" w:hAnsi="Aptos"/>
        </w:rPr>
        <w:t>M.</w:t>
      </w:r>
      <w:r w:rsidRPr="004A7EBE">
        <w:rPr>
          <w:rFonts w:ascii="Aptos" w:hAnsi="Aptos"/>
        </w:rPr>
        <w:t xml:space="preserve">G.L. c. 71B, </w:t>
      </w:r>
      <w:r w:rsidR="00686B80" w:rsidRPr="004A7EBE">
        <w:rPr>
          <w:rFonts w:ascii="Aptos" w:hAnsi="Aptos"/>
        </w:rPr>
        <w:t>§</w:t>
      </w:r>
      <w:r w:rsidR="00F86D83">
        <w:rPr>
          <w:rFonts w:ascii="Aptos" w:hAnsi="Aptos"/>
        </w:rPr>
        <w:t xml:space="preserve"> </w:t>
      </w:r>
      <w:r w:rsidRPr="004A7EBE">
        <w:rPr>
          <w:rFonts w:ascii="Aptos" w:hAnsi="Aptos"/>
        </w:rPr>
        <w:t>3.</w:t>
      </w:r>
    </w:p>
  </w:footnote>
  <w:footnote w:id="17">
    <w:p w14:paraId="797D3C97" w14:textId="6A3C4EB1" w:rsidR="000E0048" w:rsidRPr="00C44368" w:rsidRDefault="000E0048">
      <w:pPr>
        <w:pStyle w:val="FootnoteText"/>
        <w:rPr>
          <w:rFonts w:ascii="Aptos" w:hAnsi="Aptos"/>
        </w:rPr>
      </w:pPr>
      <w:r w:rsidRPr="004A7EBE">
        <w:rPr>
          <w:rStyle w:val="FootnoteReference"/>
          <w:rFonts w:ascii="Aptos" w:hAnsi="Aptos"/>
        </w:rPr>
        <w:footnoteRef/>
      </w:r>
      <w:r w:rsidRPr="004A7EBE">
        <w:rPr>
          <w:rFonts w:ascii="Aptos" w:hAnsi="Aptos"/>
        </w:rPr>
        <w:t xml:space="preserve"> See </w:t>
      </w:r>
      <w:r w:rsidR="00686B80" w:rsidRPr="004A7EBE">
        <w:rPr>
          <w:rFonts w:ascii="Aptos" w:hAnsi="Aptos"/>
          <w:i/>
          <w:iCs/>
        </w:rPr>
        <w:t xml:space="preserve">Salem v. Bureau </w:t>
      </w:r>
      <w:r w:rsidR="00686B80" w:rsidRPr="00C44368">
        <w:rPr>
          <w:rFonts w:ascii="Aptos" w:hAnsi="Aptos"/>
          <w:i/>
          <w:iCs/>
        </w:rPr>
        <w:t>of Special Educ. Appeals</w:t>
      </w:r>
      <w:r w:rsidR="00686B80" w:rsidRPr="00C44368">
        <w:rPr>
          <w:rFonts w:ascii="Aptos" w:hAnsi="Aptos"/>
        </w:rPr>
        <w:t>,</w:t>
      </w:r>
      <w:r w:rsidR="00686B80" w:rsidRPr="004A7EBE">
        <w:rPr>
          <w:rFonts w:ascii="Aptos" w:hAnsi="Aptos"/>
        </w:rPr>
        <w:t xml:space="preserve"> 444 Mass. 476, 482 (2005); </w:t>
      </w:r>
      <w:r w:rsidRPr="004A7EBE">
        <w:rPr>
          <w:rFonts w:ascii="Aptos" w:hAnsi="Aptos"/>
          <w:i/>
          <w:iCs/>
        </w:rPr>
        <w:t>Wa</w:t>
      </w:r>
      <w:r w:rsidR="00686B80" w:rsidRPr="004A7EBE">
        <w:rPr>
          <w:rFonts w:ascii="Aptos" w:hAnsi="Aptos"/>
          <w:i/>
          <w:iCs/>
        </w:rPr>
        <w:t>l</w:t>
      </w:r>
      <w:r w:rsidRPr="004A7EBE">
        <w:rPr>
          <w:rFonts w:ascii="Aptos" w:hAnsi="Aptos"/>
          <w:i/>
          <w:iCs/>
        </w:rPr>
        <w:t>ker Home for Children, Inc.</w:t>
      </w:r>
      <w:r w:rsidR="00686B80" w:rsidRPr="004A7EBE">
        <w:rPr>
          <w:rFonts w:ascii="Aptos" w:hAnsi="Aptos"/>
          <w:i/>
          <w:iCs/>
        </w:rPr>
        <w:t xml:space="preserve"> v. Franklin</w:t>
      </w:r>
      <w:r w:rsidRPr="004A7EBE">
        <w:rPr>
          <w:rFonts w:ascii="Aptos" w:hAnsi="Aptos"/>
        </w:rPr>
        <w:t>, 416 Mass. 291</w:t>
      </w:r>
      <w:r w:rsidRPr="00C44368">
        <w:rPr>
          <w:rFonts w:ascii="Aptos" w:hAnsi="Aptos"/>
        </w:rPr>
        <w:t>, 295 (1993)</w:t>
      </w:r>
      <w:r w:rsidR="00686B80" w:rsidRPr="00C44368">
        <w:rPr>
          <w:rFonts w:ascii="Aptos" w:hAnsi="Aptos"/>
        </w:rPr>
        <w:t>.</w:t>
      </w:r>
    </w:p>
  </w:footnote>
  <w:footnote w:id="18">
    <w:p w14:paraId="47AA33F7" w14:textId="5170AA26" w:rsidR="000E0048" w:rsidRPr="004A7EBE" w:rsidRDefault="000E0048">
      <w:pPr>
        <w:pStyle w:val="FootnoteText"/>
        <w:rPr>
          <w:rFonts w:ascii="Aptos" w:hAnsi="Aptos"/>
        </w:rPr>
      </w:pPr>
      <w:r w:rsidRPr="00C44368">
        <w:rPr>
          <w:rStyle w:val="FootnoteReference"/>
          <w:rFonts w:ascii="Aptos" w:hAnsi="Aptos"/>
        </w:rPr>
        <w:footnoteRef/>
      </w:r>
      <w:r w:rsidRPr="00C44368">
        <w:rPr>
          <w:rFonts w:ascii="Aptos" w:hAnsi="Aptos"/>
        </w:rPr>
        <w:t xml:space="preserve"> See </w:t>
      </w:r>
      <w:r w:rsidR="00686B80" w:rsidRPr="00C44368">
        <w:rPr>
          <w:rFonts w:ascii="Aptos" w:hAnsi="Aptos"/>
          <w:i/>
          <w:iCs/>
        </w:rPr>
        <w:t xml:space="preserve">Massachusetts Hosp. Assoc. v. </w:t>
      </w:r>
      <w:r w:rsidR="00686B80" w:rsidRPr="00C44368">
        <w:rPr>
          <w:rFonts w:ascii="Aptos" w:hAnsi="Aptos"/>
          <w:i/>
          <w:iCs/>
        </w:rPr>
        <w:t>Dep’t of Med</w:t>
      </w:r>
      <w:r w:rsidR="00C44368" w:rsidRPr="00C44368">
        <w:rPr>
          <w:rFonts w:ascii="Aptos" w:hAnsi="Aptos"/>
          <w:i/>
          <w:iCs/>
        </w:rPr>
        <w:t>.</w:t>
      </w:r>
      <w:r w:rsidR="00686B80" w:rsidRPr="00C44368">
        <w:rPr>
          <w:rFonts w:ascii="Aptos" w:hAnsi="Aptos"/>
          <w:i/>
          <w:iCs/>
        </w:rPr>
        <w:t xml:space="preserve"> Sec.</w:t>
      </w:r>
      <w:r w:rsidR="00686B80" w:rsidRPr="00C44368">
        <w:rPr>
          <w:rFonts w:ascii="Aptos" w:hAnsi="Aptos"/>
        </w:rPr>
        <w:t>,</w:t>
      </w:r>
      <w:r w:rsidR="00686B80" w:rsidRPr="004A7EBE">
        <w:rPr>
          <w:rFonts w:ascii="Aptos" w:hAnsi="Aptos"/>
        </w:rPr>
        <w:t xml:space="preserve"> 412 Mass. 340, 342 (1992); </w:t>
      </w:r>
      <w:r w:rsidR="00686B80" w:rsidRPr="004A7EBE">
        <w:rPr>
          <w:rFonts w:ascii="Aptos" w:hAnsi="Aptos"/>
          <w:i/>
          <w:iCs/>
        </w:rPr>
        <w:t>Walker Home</w:t>
      </w:r>
      <w:r w:rsidR="00686B80" w:rsidRPr="004A7EBE">
        <w:rPr>
          <w:rFonts w:ascii="Aptos" w:hAnsi="Aptos"/>
        </w:rPr>
        <w:t>, 416 Mass. at 296.</w:t>
      </w:r>
    </w:p>
  </w:footnote>
  <w:footnote w:id="19">
    <w:p w14:paraId="67795D0A" w14:textId="7FCD6E6D" w:rsidR="000E0048" w:rsidRPr="00375E29" w:rsidRDefault="000E0048">
      <w:pPr>
        <w:pStyle w:val="FootnoteText"/>
      </w:pPr>
      <w:r w:rsidRPr="004A7EBE">
        <w:rPr>
          <w:rStyle w:val="FootnoteReference"/>
          <w:rFonts w:ascii="Aptos" w:hAnsi="Aptos"/>
        </w:rPr>
        <w:footnoteRef/>
      </w:r>
      <w:r w:rsidRPr="00375E29">
        <w:rPr>
          <w:rFonts w:ascii="Aptos" w:hAnsi="Aptos"/>
        </w:rPr>
        <w:t xml:space="preserve"> 603 CMR 28.10(2)(a).</w:t>
      </w:r>
    </w:p>
  </w:footnote>
  <w:footnote w:id="20">
    <w:p w14:paraId="1994EC95" w14:textId="276CF6DA" w:rsidR="001647B4" w:rsidRPr="00375E29" w:rsidRDefault="001647B4">
      <w:pPr>
        <w:pStyle w:val="FootnoteText"/>
        <w:rPr>
          <w:rFonts w:ascii="Aptos" w:hAnsi="Aptos"/>
        </w:rPr>
      </w:pPr>
      <w:r w:rsidRPr="00375E29">
        <w:rPr>
          <w:rStyle w:val="FootnoteReference"/>
          <w:rFonts w:ascii="Aptos" w:hAnsi="Aptos"/>
        </w:rPr>
        <w:footnoteRef/>
      </w:r>
      <w:r w:rsidRPr="00375E29">
        <w:rPr>
          <w:rFonts w:ascii="Aptos" w:hAnsi="Aptos"/>
        </w:rPr>
        <w:t xml:space="preserve"> See 42 U.S.C. </w:t>
      </w:r>
      <w:r w:rsidR="00375E29" w:rsidRPr="00375E29">
        <w:rPr>
          <w:rFonts w:ascii="Aptos" w:hAnsi="Aptos"/>
        </w:rPr>
        <w:t xml:space="preserve">§ </w:t>
      </w:r>
      <w:r w:rsidRPr="00375E29">
        <w:rPr>
          <w:rFonts w:ascii="Aptos" w:hAnsi="Aptos"/>
        </w:rPr>
        <w:t>11432(g)(3)(A) (for students experiencing homelessness, school districts are directed to either “continue the child’s or youth’s education in the school</w:t>
      </w:r>
      <w:r w:rsidRPr="00375E29">
        <w:rPr>
          <w:rFonts w:ascii="Aptos" w:hAnsi="Aptos"/>
          <w:sz w:val="25"/>
          <w:szCs w:val="25"/>
        </w:rPr>
        <w:t xml:space="preserve"> </w:t>
      </w:r>
      <w:r w:rsidRPr="00375E29">
        <w:rPr>
          <w:rFonts w:ascii="Aptos" w:hAnsi="Aptos"/>
        </w:rPr>
        <w:t xml:space="preserve">of origin for the duration of homelessness” or “enroll the child or youth in any public school that </w:t>
      </w:r>
      <w:r w:rsidRPr="00375E29">
        <w:rPr>
          <w:rFonts w:ascii="Aptos" w:hAnsi="Aptos"/>
        </w:rPr>
        <w:t>nonhomeless students who live in the attendance are</w:t>
      </w:r>
      <w:r w:rsidR="00375E29" w:rsidRPr="00375E29">
        <w:rPr>
          <w:rFonts w:ascii="Aptos" w:hAnsi="Aptos"/>
        </w:rPr>
        <w:t>a</w:t>
      </w:r>
      <w:r w:rsidRPr="00375E29">
        <w:rPr>
          <w:rFonts w:ascii="Aptos" w:hAnsi="Aptos"/>
        </w:rPr>
        <w:t xml:space="preserve"> in which the child or youth is actually living are eligible to attend”); see also Massachusetts Department of Elementary and Secondary Education, McKinney-Vento Homeless Educational Assistance – Advisories (rev. April 20</w:t>
      </w:r>
      <w:r w:rsidR="00375E29" w:rsidRPr="00375E29">
        <w:rPr>
          <w:rFonts w:ascii="Aptos" w:hAnsi="Aptos"/>
        </w:rPr>
        <w:t>1</w:t>
      </w:r>
      <w:r w:rsidRPr="00375E29">
        <w:rPr>
          <w:rFonts w:ascii="Aptos" w:hAnsi="Aptos"/>
        </w:rPr>
        <w:t xml:space="preserve">8) at </w:t>
      </w:r>
      <w:r w:rsidR="00375E29" w:rsidRPr="00375E29">
        <w:rPr>
          <w:rFonts w:ascii="Aptos" w:hAnsi="Aptos"/>
        </w:rPr>
        <w:t>5</w:t>
      </w:r>
      <w:r w:rsidRPr="00375E29">
        <w:rPr>
          <w:rFonts w:ascii="Aptos" w:hAnsi="Aptos"/>
        </w:rPr>
        <w:t xml:space="preserve">, </w:t>
      </w:r>
      <w:r w:rsidRPr="00F86D83">
        <w:rPr>
          <w:rFonts w:ascii="Aptos" w:hAnsi="Aptos"/>
          <w:i/>
          <w:iCs/>
        </w:rPr>
        <w:t>available at</w:t>
      </w:r>
      <w:r w:rsidRPr="00375E29">
        <w:rPr>
          <w:rFonts w:ascii="Aptos" w:hAnsi="Aptos"/>
        </w:rPr>
        <w:t xml:space="preserve"> </w:t>
      </w:r>
      <w:r w:rsidR="00375E29" w:rsidRPr="00375E29">
        <w:rPr>
          <w:rFonts w:ascii="Aptos" w:hAnsi="Aptos"/>
        </w:rPr>
        <w:t>https://www.doe.mass.edu/sfs/mv/advisories.docx</w:t>
      </w:r>
      <w:r w:rsidRPr="00375E29">
        <w:rPr>
          <w:rFonts w:ascii="Aptos" w:hAnsi="Aptos"/>
        </w:rPr>
        <w:t xml:space="preserve"> (Department’s McKinney-Vento Guidance) (“Homeless students have the right to remain enrolled in their school of origin and receive transportation or immediately enroll in the school district where they are temporarily residing”).</w:t>
      </w:r>
    </w:p>
  </w:footnote>
  <w:footnote w:id="21">
    <w:p w14:paraId="14960796" w14:textId="323F5472" w:rsidR="00F86D83" w:rsidRPr="00F86D83" w:rsidRDefault="00F86D83">
      <w:pPr>
        <w:pStyle w:val="FootnoteText"/>
        <w:rPr>
          <w:rFonts w:ascii="Aptos" w:hAnsi="Aptos"/>
        </w:rPr>
      </w:pPr>
      <w:r w:rsidRPr="00F86D83">
        <w:rPr>
          <w:rStyle w:val="FootnoteReference"/>
          <w:rFonts w:ascii="Aptos" w:hAnsi="Aptos"/>
        </w:rPr>
        <w:footnoteRef/>
      </w:r>
      <w:r w:rsidRPr="00F86D83">
        <w:rPr>
          <w:rFonts w:ascii="Aptos" w:hAnsi="Aptos"/>
        </w:rPr>
        <w:t xml:space="preserve"> See 603 CMR 28.10(5)(a)(2).</w:t>
      </w:r>
    </w:p>
  </w:footnote>
  <w:footnote w:id="22">
    <w:p w14:paraId="23D7C0E5" w14:textId="41062141" w:rsidR="003462C8" w:rsidRPr="00F86D83" w:rsidRDefault="003462C8">
      <w:pPr>
        <w:pStyle w:val="FootnoteText"/>
        <w:rPr>
          <w:rFonts w:ascii="Aptos" w:hAnsi="Aptos"/>
        </w:rPr>
      </w:pPr>
      <w:r w:rsidRPr="00F86D83">
        <w:rPr>
          <w:rStyle w:val="FootnoteReference"/>
          <w:rFonts w:ascii="Aptos" w:hAnsi="Aptos"/>
        </w:rPr>
        <w:footnoteRef/>
      </w:r>
      <w:r w:rsidRPr="00F86D83">
        <w:rPr>
          <w:rFonts w:ascii="Aptos" w:hAnsi="Aptos"/>
        </w:rPr>
        <w:t xml:space="preserve"> </w:t>
      </w:r>
      <w:r w:rsidR="00F86D83" w:rsidRPr="00F86D83">
        <w:rPr>
          <w:rFonts w:ascii="Aptos" w:hAnsi="Aptos"/>
          <w:i/>
          <w:iCs/>
        </w:rPr>
        <w:t>Id</w:t>
      </w:r>
      <w:r w:rsidRPr="00F86D83">
        <w:rPr>
          <w:rFonts w:ascii="Aptos" w:hAnsi="Aptos"/>
        </w:rPr>
        <w:t>.</w:t>
      </w:r>
    </w:p>
  </w:footnote>
  <w:footnote w:id="23">
    <w:p w14:paraId="426BF78A" w14:textId="68D374E0" w:rsidR="00347542" w:rsidRPr="00E42106" w:rsidRDefault="00347542">
      <w:pPr>
        <w:pStyle w:val="FootnoteText"/>
        <w:rPr>
          <w:rFonts w:ascii="Aptos" w:hAnsi="Aptos"/>
        </w:rPr>
      </w:pPr>
      <w:r w:rsidRPr="00E42106">
        <w:rPr>
          <w:rStyle w:val="FootnoteReference"/>
          <w:rFonts w:ascii="Aptos" w:hAnsi="Aptos"/>
        </w:rPr>
        <w:footnoteRef/>
      </w:r>
      <w:r w:rsidRPr="00E42106">
        <w:rPr>
          <w:rFonts w:ascii="Aptos" w:hAnsi="Aptos"/>
        </w:rPr>
        <w:t xml:space="preserve"> </w:t>
      </w:r>
      <w:r w:rsidR="004A7EBE" w:rsidRPr="00E42106">
        <w:rPr>
          <w:rFonts w:ascii="Aptos" w:hAnsi="Aptos"/>
        </w:rPr>
        <w:t>See 42 U.S.C. §§ 11431, 11432</w:t>
      </w:r>
      <w:r w:rsidR="00DE3E23" w:rsidRPr="00E42106">
        <w:rPr>
          <w:rFonts w:ascii="Aptos" w:hAnsi="Aptos"/>
        </w:rPr>
        <w:t>(g).</w:t>
      </w:r>
    </w:p>
  </w:footnote>
  <w:footnote w:id="24">
    <w:p w14:paraId="70B69303" w14:textId="5FE3881F" w:rsidR="00E42106" w:rsidRPr="00E42106" w:rsidRDefault="00E42106">
      <w:pPr>
        <w:pStyle w:val="FootnoteText"/>
        <w:rPr>
          <w:rFonts w:ascii="Aptos" w:hAnsi="Aptos"/>
        </w:rPr>
      </w:pPr>
      <w:r w:rsidRPr="00E42106">
        <w:rPr>
          <w:rStyle w:val="FootnoteReference"/>
          <w:rFonts w:ascii="Aptos" w:hAnsi="Aptos"/>
        </w:rPr>
        <w:footnoteRef/>
      </w:r>
      <w:r w:rsidRPr="00E42106">
        <w:rPr>
          <w:rFonts w:ascii="Aptos" w:hAnsi="Aptos"/>
        </w:rPr>
        <w:t xml:space="preserve"> See </w:t>
      </w:r>
      <w:r w:rsidRPr="00E42106">
        <w:rPr>
          <w:rFonts w:ascii="Aptos" w:hAnsi="Aptos"/>
          <w:i/>
          <w:iCs/>
        </w:rPr>
        <w:t>Id</w:t>
      </w:r>
      <w:r w:rsidRPr="00E42106">
        <w:rPr>
          <w:rFonts w:ascii="Aptos" w:hAnsi="Aptos"/>
        </w:rPr>
        <w:t>. at § 11432(g)(1)(C).</w:t>
      </w:r>
    </w:p>
  </w:footnote>
  <w:footnote w:id="25">
    <w:p w14:paraId="73D58DA1" w14:textId="32060164" w:rsidR="00AE089F" w:rsidRPr="00F86D83" w:rsidRDefault="00AE089F">
      <w:pPr>
        <w:pStyle w:val="FootnoteText"/>
        <w:rPr>
          <w:rFonts w:ascii="Aptos" w:hAnsi="Aptos"/>
        </w:rPr>
      </w:pPr>
      <w:r w:rsidRPr="00E42106">
        <w:rPr>
          <w:rStyle w:val="FootnoteReference"/>
          <w:rFonts w:ascii="Aptos" w:hAnsi="Aptos"/>
        </w:rPr>
        <w:footnoteRef/>
      </w:r>
      <w:r w:rsidRPr="00E42106">
        <w:rPr>
          <w:rFonts w:ascii="Aptos" w:hAnsi="Aptos"/>
          <w:i/>
          <w:iCs/>
        </w:rPr>
        <w:t xml:space="preserve"> </w:t>
      </w:r>
      <w:r w:rsidRPr="00E42106">
        <w:rPr>
          <w:rFonts w:ascii="Aptos" w:hAnsi="Aptos"/>
        </w:rPr>
        <w:t>See Department’s McKinney-Vento Guidance at 7.</w:t>
      </w:r>
    </w:p>
  </w:footnote>
  <w:footnote w:id="26">
    <w:p w14:paraId="512D5266" w14:textId="3DDE8C9E" w:rsidR="00AE089F" w:rsidRPr="00DB64D0" w:rsidRDefault="00AE089F">
      <w:pPr>
        <w:pStyle w:val="FootnoteText"/>
        <w:rPr>
          <w:rFonts w:ascii="Aptos" w:hAnsi="Aptos"/>
        </w:rPr>
      </w:pPr>
      <w:r w:rsidRPr="00F86D83">
        <w:rPr>
          <w:rStyle w:val="FootnoteReference"/>
          <w:rFonts w:ascii="Aptos" w:hAnsi="Aptos"/>
        </w:rPr>
        <w:footnoteRef/>
      </w:r>
      <w:r w:rsidRPr="00F86D83">
        <w:rPr>
          <w:rFonts w:ascii="Aptos" w:hAnsi="Aptos"/>
        </w:rPr>
        <w:t xml:space="preserve"> </w:t>
      </w:r>
      <w:r w:rsidRPr="00F86D83">
        <w:rPr>
          <w:rFonts w:ascii="Aptos" w:hAnsi="Aptos"/>
          <w:i/>
          <w:iCs/>
        </w:rPr>
        <w:t>Id</w:t>
      </w:r>
      <w:r w:rsidRPr="00F86D83">
        <w:rPr>
          <w:rFonts w:ascii="Aptos" w:hAnsi="Aptos"/>
        </w:rPr>
        <w:t>.</w:t>
      </w:r>
    </w:p>
  </w:footnote>
  <w:footnote w:id="27">
    <w:p w14:paraId="2993FA66" w14:textId="5FAC54E8" w:rsidR="005B3181" w:rsidRPr="00DB64D0" w:rsidRDefault="005B3181">
      <w:pPr>
        <w:pStyle w:val="FootnoteText"/>
        <w:rPr>
          <w:rFonts w:ascii="Aptos" w:hAnsi="Aptos"/>
        </w:rPr>
      </w:pPr>
      <w:r w:rsidRPr="00DB64D0">
        <w:rPr>
          <w:rStyle w:val="FootnoteReference"/>
          <w:rFonts w:ascii="Aptos" w:hAnsi="Aptos"/>
        </w:rPr>
        <w:footnoteRef/>
      </w:r>
      <w:r w:rsidR="00AE794E">
        <w:rPr>
          <w:rFonts w:ascii="Aptos" w:hAnsi="Aptos"/>
        </w:rPr>
        <w:t xml:space="preserve"> </w:t>
      </w:r>
      <w:r w:rsidRPr="00DB64D0">
        <w:rPr>
          <w:rFonts w:ascii="Aptos" w:hAnsi="Aptos"/>
        </w:rPr>
        <w:t>42 U.S.C. § 11434a(2)(A)</w:t>
      </w:r>
      <w:r w:rsidR="009A027F" w:rsidRPr="00DB64D0">
        <w:rPr>
          <w:rFonts w:ascii="Aptos" w:hAnsi="Aptos"/>
        </w:rPr>
        <w:t>; see Department’s McKinney-Vento Guidance at 2.</w:t>
      </w:r>
    </w:p>
  </w:footnote>
  <w:footnote w:id="28">
    <w:p w14:paraId="1B61CAB2" w14:textId="7142329A" w:rsidR="009A027F" w:rsidRPr="006018C6" w:rsidRDefault="009A027F">
      <w:pPr>
        <w:pStyle w:val="FootnoteText"/>
        <w:rPr>
          <w:rFonts w:ascii="Aptos" w:hAnsi="Aptos"/>
        </w:rPr>
      </w:pPr>
      <w:r w:rsidRPr="006018C6">
        <w:rPr>
          <w:rStyle w:val="FootnoteReference"/>
          <w:rFonts w:ascii="Aptos" w:hAnsi="Aptos"/>
        </w:rPr>
        <w:footnoteRef/>
      </w:r>
      <w:r w:rsidR="00AE794E" w:rsidRPr="006018C6">
        <w:rPr>
          <w:rFonts w:ascii="Aptos" w:hAnsi="Aptos"/>
          <w:i/>
          <w:iCs/>
        </w:rPr>
        <w:t xml:space="preserve"> </w:t>
      </w:r>
      <w:r w:rsidRPr="006018C6">
        <w:rPr>
          <w:rFonts w:ascii="Aptos" w:hAnsi="Aptos"/>
          <w:i/>
          <w:iCs/>
        </w:rPr>
        <w:t>Id</w:t>
      </w:r>
      <w:r w:rsidRPr="006018C6">
        <w:rPr>
          <w:rFonts w:ascii="Aptos" w:hAnsi="Aptos"/>
        </w:rPr>
        <w:t>. at § 11434a(2)(B)(</w:t>
      </w:r>
      <w:r w:rsidRPr="006018C6">
        <w:rPr>
          <w:rFonts w:ascii="Aptos" w:hAnsi="Aptos"/>
        </w:rPr>
        <w:t>i)</w:t>
      </w:r>
      <w:r w:rsidR="00DE0A87" w:rsidRPr="006018C6">
        <w:rPr>
          <w:rFonts w:ascii="Aptos" w:hAnsi="Aptos"/>
        </w:rPr>
        <w:t>. DESE has adopted these definitions in Massachusetts. S</w:t>
      </w:r>
      <w:r w:rsidRPr="006018C6">
        <w:rPr>
          <w:rFonts w:ascii="Aptos" w:hAnsi="Aptos"/>
        </w:rPr>
        <w:t>ee Department’s McKinney-Vento Guidance at 7</w:t>
      </w:r>
      <w:r w:rsidR="00DE0A87" w:rsidRPr="006018C6">
        <w:rPr>
          <w:rFonts w:ascii="Aptos" w:hAnsi="Aptos"/>
        </w:rPr>
        <w:t xml:space="preserve">; Kantor Nir </w:t>
      </w:r>
      <w:r w:rsidR="00DE0A87" w:rsidRPr="006018C6">
        <w:rPr>
          <w:rFonts w:ascii="Aptos" w:hAnsi="Aptos"/>
          <w:i/>
          <w:iCs/>
        </w:rPr>
        <w:t>Ruling.</w:t>
      </w:r>
      <w:r w:rsidR="00DE0A87" w:rsidRPr="006018C6">
        <w:rPr>
          <w:rFonts w:ascii="Aptos" w:hAnsi="Aptos"/>
        </w:rPr>
        <w:t xml:space="preserve"> </w:t>
      </w:r>
      <w:r w:rsidR="00F87A2E" w:rsidRPr="006018C6">
        <w:rPr>
          <w:rFonts w:ascii="Aptos" w:hAnsi="Aptos"/>
        </w:rPr>
        <w:t>Under McKinney-Vento, the term “homeless children and youth” also includes children and youth who</w:t>
      </w:r>
      <w:r w:rsidR="008B5A39" w:rsidRPr="006018C6">
        <w:rPr>
          <w:rFonts w:ascii="Aptos" w:hAnsi="Aptos"/>
        </w:rPr>
        <w:t xml:space="preserve"> “have a primary nighttime residence that is a public or private place not designed for or ordinarily used as a regular sleeping accommodation for human beings;” those “living in cars, parks, public spaces, abandoned buildings, substandard housing, bus or train stations, or similar settings;” and migratory children “who qualify as homeless” because they are living in the enumerated circumstances. See 42 U.S.C. § 11434a(2)(</w:t>
      </w:r>
      <w:r w:rsidR="008B5A39" w:rsidRPr="006018C6">
        <w:rPr>
          <w:rFonts w:ascii="Aptos" w:hAnsi="Aptos"/>
        </w:rPr>
        <w:t>B)(ii-iv).</w:t>
      </w:r>
    </w:p>
  </w:footnote>
  <w:footnote w:id="29">
    <w:p w14:paraId="5A2B2CD3" w14:textId="1E6F8463" w:rsidR="00DE0A87" w:rsidRPr="006018C6" w:rsidRDefault="00DE0A87" w:rsidP="00DE0A87">
      <w:pPr>
        <w:pStyle w:val="FootnoteText"/>
        <w:rPr>
          <w:rFonts w:ascii="Aptos" w:hAnsi="Aptos"/>
        </w:rPr>
      </w:pPr>
      <w:r w:rsidRPr="006018C6">
        <w:rPr>
          <w:rStyle w:val="FootnoteReference"/>
          <w:rFonts w:ascii="Aptos" w:hAnsi="Aptos"/>
        </w:rPr>
        <w:footnoteRef/>
      </w:r>
      <w:r w:rsidRPr="006018C6">
        <w:rPr>
          <w:rFonts w:ascii="Aptos" w:hAnsi="Aptos"/>
        </w:rPr>
        <w:t xml:space="preserve"> </w:t>
      </w:r>
      <w:r w:rsidR="00F86D83" w:rsidRPr="006018C6">
        <w:rPr>
          <w:rFonts w:ascii="Aptos" w:hAnsi="Aptos"/>
        </w:rPr>
        <w:t xml:space="preserve">National Center for Homeless Education, </w:t>
      </w:r>
      <w:r w:rsidR="00F86D83" w:rsidRPr="006018C6">
        <w:rPr>
          <w:rFonts w:ascii="Aptos" w:hAnsi="Aptos"/>
          <w:i/>
          <w:iCs/>
        </w:rPr>
        <w:t>Determining Eligibility for McKinney-Vento Rights and Services</w:t>
      </w:r>
      <w:r w:rsidR="00F86D83" w:rsidRPr="006018C6">
        <w:rPr>
          <w:rFonts w:ascii="Aptos" w:hAnsi="Aptos"/>
        </w:rPr>
        <w:t>, available at https://nche.ed/gov/determining-eligibility-for-mckinney-vento-rights-and-services/ (March 2021) (NCHE) at 2,</w:t>
      </w:r>
      <w:r w:rsidRPr="006018C6">
        <w:rPr>
          <w:rFonts w:ascii="Aptos" w:hAnsi="Aptos"/>
        </w:rPr>
        <w:t xml:space="preserve"> 3.</w:t>
      </w:r>
    </w:p>
  </w:footnote>
  <w:footnote w:id="30">
    <w:p w14:paraId="14226FD1" w14:textId="34D7B066" w:rsidR="00DE0A87" w:rsidRPr="006018C6" w:rsidRDefault="00DE0A87" w:rsidP="00DE0A87">
      <w:pPr>
        <w:pStyle w:val="FootnoteText"/>
        <w:tabs>
          <w:tab w:val="left" w:pos="1050"/>
        </w:tabs>
        <w:rPr>
          <w:rFonts w:ascii="Aptos" w:hAnsi="Aptos"/>
        </w:rPr>
      </w:pPr>
      <w:r w:rsidRPr="006018C6">
        <w:rPr>
          <w:rStyle w:val="FootnoteReference"/>
          <w:rFonts w:ascii="Aptos" w:hAnsi="Aptos"/>
        </w:rPr>
        <w:footnoteRef/>
      </w:r>
      <w:r w:rsidRPr="006018C6">
        <w:rPr>
          <w:rFonts w:ascii="Aptos" w:hAnsi="Aptos"/>
        </w:rPr>
        <w:t xml:space="preserve"> </w:t>
      </w:r>
      <w:r w:rsidRPr="006018C6">
        <w:rPr>
          <w:rFonts w:ascii="Aptos" w:hAnsi="Aptos"/>
          <w:i/>
          <w:iCs/>
        </w:rPr>
        <w:t>Id</w:t>
      </w:r>
      <w:r w:rsidR="006018C6" w:rsidRPr="006018C6">
        <w:rPr>
          <w:rFonts w:ascii="Aptos" w:hAnsi="Aptos"/>
        </w:rPr>
        <w:t xml:space="preserve">. at 5 (Appendix A: A Guide for Determining McKinney-Vento Eligibility) (The phrase </w:t>
      </w:r>
      <w:r w:rsidR="006018C6" w:rsidRPr="006018C6">
        <w:rPr>
          <w:rFonts w:ascii="Aptos" w:hAnsi="Aptos"/>
          <w:i/>
          <w:iCs/>
        </w:rPr>
        <w:t>due to lack of alternative adequate accommodations</w:t>
      </w:r>
      <w:r w:rsidR="006018C6" w:rsidRPr="006018C6">
        <w:rPr>
          <w:rFonts w:ascii="Aptos" w:hAnsi="Aptos"/>
        </w:rPr>
        <w:t xml:space="preserve"> can help determine whether the named living situations would meet the definition of homeless”</w:t>
      </w:r>
      <w:r w:rsidR="006018C6">
        <w:rPr>
          <w:rFonts w:ascii="Aptos" w:hAnsi="Aptos"/>
        </w:rPr>
        <w:t xml:space="preserve"> (emphasis in original)).</w:t>
      </w:r>
      <w:r w:rsidR="009063F6" w:rsidRPr="006018C6">
        <w:rPr>
          <w:rFonts w:ascii="Aptos" w:hAnsi="Aptos"/>
        </w:rPr>
        <w:t xml:space="preserve"> </w:t>
      </w:r>
      <w:r w:rsidR="00AE0048" w:rsidRPr="006018C6">
        <w:rPr>
          <w:rFonts w:ascii="Aptos" w:hAnsi="Aptos"/>
        </w:rPr>
        <w:t xml:space="preserve">See </w:t>
      </w:r>
      <w:r w:rsidR="00AE0048" w:rsidRPr="006018C6">
        <w:rPr>
          <w:rFonts w:ascii="Aptos" w:hAnsi="Aptos"/>
          <w:i/>
          <w:iCs/>
        </w:rPr>
        <w:t xml:space="preserve">Doe ex rel. Doe v. </w:t>
      </w:r>
      <w:r w:rsidR="00AE0048" w:rsidRPr="006018C6">
        <w:rPr>
          <w:rFonts w:ascii="Aptos" w:hAnsi="Aptos"/>
          <w:i/>
          <w:iCs/>
        </w:rPr>
        <w:t>Perille</w:t>
      </w:r>
      <w:r w:rsidR="00AE0048" w:rsidRPr="006018C6">
        <w:rPr>
          <w:rFonts w:ascii="Aptos" w:hAnsi="Aptos"/>
        </w:rPr>
        <w:t>, 2018 WL 5817024, at *6 (D. Mass. Nov. 6, 2018) (“Although few courts have had occasion to interpret the meaning of ‘homeless’ under the McKinney-Vento Act, the existing case law suggests that children who have alternative adequate living arrangements available to them do not qualify as homeless for purposes of the Act”).</w:t>
      </w:r>
    </w:p>
  </w:footnote>
  <w:footnote w:id="31">
    <w:p w14:paraId="239CA1D0" w14:textId="7E7EB35E" w:rsidR="00C045E0" w:rsidRPr="00AE794E" w:rsidRDefault="00C045E0">
      <w:pPr>
        <w:pStyle w:val="FootnoteText"/>
        <w:rPr>
          <w:rFonts w:ascii="Aptos" w:hAnsi="Aptos"/>
        </w:rPr>
      </w:pPr>
      <w:r w:rsidRPr="006018C6">
        <w:rPr>
          <w:rStyle w:val="FootnoteReference"/>
          <w:rFonts w:ascii="Aptos" w:hAnsi="Aptos"/>
        </w:rPr>
        <w:footnoteRef/>
      </w:r>
      <w:r w:rsidRPr="006018C6">
        <w:rPr>
          <w:rFonts w:ascii="Aptos" w:hAnsi="Aptos"/>
        </w:rPr>
        <w:t xml:space="preserve"> See </w:t>
      </w:r>
      <w:r w:rsidRPr="006018C6">
        <w:rPr>
          <w:rFonts w:ascii="Aptos" w:hAnsi="Aptos"/>
          <w:i/>
          <w:iCs/>
        </w:rPr>
        <w:t>J.S. ex rel. S.S. v. Red Clay Consol. Sch. Dist.</w:t>
      </w:r>
      <w:r w:rsidRPr="006018C6">
        <w:rPr>
          <w:rFonts w:ascii="Aptos" w:hAnsi="Aptos"/>
        </w:rPr>
        <w:t>, No. CV 15-876-LPS, 2015 WL 5920316, at *2 (D. Del. Oct. 8, 2015)</w:t>
      </w:r>
      <w:r w:rsidR="00B26BBF" w:rsidRPr="006018C6">
        <w:rPr>
          <w:rFonts w:ascii="Aptos" w:hAnsi="Aptos"/>
        </w:rPr>
        <w:t xml:space="preserve">; see also DESE </w:t>
      </w:r>
      <w:r w:rsidR="00B26BBF" w:rsidRPr="006018C6">
        <w:rPr>
          <w:rFonts w:ascii="Aptos" w:hAnsi="Aptos"/>
          <w:i/>
          <w:iCs/>
        </w:rPr>
        <w:t>Guidance on Fixed, Regular, and Adequate Housing: Identifying Family and Youth Homelessness, available at</w:t>
      </w:r>
      <w:r w:rsidR="00B26BBF" w:rsidRPr="006018C6">
        <w:rPr>
          <w:rFonts w:ascii="Aptos" w:hAnsi="Aptos"/>
        </w:rPr>
        <w:t xml:space="preserve"> https://doe.mass.edu/sfs/mv/housing-guidance.html</w:t>
      </w:r>
      <w:r w:rsidR="00B26BBF" w:rsidRPr="00AE794E">
        <w:rPr>
          <w:rFonts w:ascii="Aptos" w:hAnsi="Aptos"/>
        </w:rPr>
        <w:t xml:space="preserve"> (May 28, 2020) (</w:t>
      </w:r>
      <w:r w:rsidR="00F77A51">
        <w:rPr>
          <w:rFonts w:ascii="Aptos" w:hAnsi="Aptos"/>
        </w:rPr>
        <w:t>Department’s Housing</w:t>
      </w:r>
      <w:r w:rsidR="00B26BBF" w:rsidRPr="00AE794E">
        <w:rPr>
          <w:rFonts w:ascii="Aptos" w:hAnsi="Aptos"/>
        </w:rPr>
        <w:t xml:space="preserve"> Guidance) (“School enrollment is based on the </w:t>
      </w:r>
      <w:r w:rsidR="00B26BBF" w:rsidRPr="00AE794E">
        <w:rPr>
          <w:rFonts w:ascii="Aptos" w:hAnsi="Aptos"/>
          <w:b/>
          <w:bCs/>
        </w:rPr>
        <w:t>student’s</w:t>
      </w:r>
      <w:r w:rsidR="00B26BBF" w:rsidRPr="00AE794E">
        <w:rPr>
          <w:rFonts w:ascii="Aptos" w:hAnsi="Aptos"/>
        </w:rPr>
        <w:t>, not the parent’s, homelessness and where the student has been or is currently residing” (emphasis in original)).</w:t>
      </w:r>
    </w:p>
  </w:footnote>
  <w:footnote w:id="32">
    <w:p w14:paraId="29EA83F4" w14:textId="77777777" w:rsidR="00985225" w:rsidRPr="0006570D" w:rsidRDefault="00985225" w:rsidP="00985225">
      <w:pPr>
        <w:pStyle w:val="FootnoteText"/>
        <w:rPr>
          <w:rFonts w:ascii="Aptos" w:hAnsi="Aptos"/>
        </w:rPr>
      </w:pPr>
      <w:r w:rsidRPr="0006570D">
        <w:rPr>
          <w:rStyle w:val="FootnoteReference"/>
          <w:rFonts w:ascii="Aptos" w:hAnsi="Aptos"/>
        </w:rPr>
        <w:footnoteRef/>
      </w:r>
      <w:r w:rsidRPr="0006570D">
        <w:rPr>
          <w:rFonts w:ascii="Aptos" w:hAnsi="Aptos"/>
        </w:rPr>
        <w:t xml:space="preserve"> See NCHE at 7 (Appendix A).</w:t>
      </w:r>
    </w:p>
  </w:footnote>
  <w:footnote w:id="33">
    <w:p w14:paraId="24D4E9CE" w14:textId="77777777" w:rsidR="00985225" w:rsidRPr="004E0F52" w:rsidRDefault="00985225" w:rsidP="00985225">
      <w:pPr>
        <w:pStyle w:val="FootnoteText"/>
        <w:rPr>
          <w:rFonts w:ascii="Aptos" w:hAnsi="Aptos"/>
        </w:rPr>
      </w:pPr>
      <w:r w:rsidRPr="0006570D">
        <w:rPr>
          <w:rStyle w:val="FootnoteReference"/>
          <w:rFonts w:ascii="Aptos" w:hAnsi="Aptos"/>
        </w:rPr>
        <w:footnoteRef/>
      </w:r>
      <w:r w:rsidRPr="0006570D">
        <w:rPr>
          <w:rFonts w:ascii="Aptos" w:hAnsi="Aptos"/>
        </w:rPr>
        <w:t xml:space="preserve"> See </w:t>
      </w:r>
      <w:r w:rsidRPr="0006570D">
        <w:rPr>
          <w:rFonts w:ascii="Aptos" w:hAnsi="Aptos"/>
          <w:i/>
          <w:iCs/>
        </w:rPr>
        <w:t>id</w:t>
      </w:r>
      <w:r w:rsidRPr="0006570D">
        <w:rPr>
          <w:rFonts w:ascii="Aptos" w:hAnsi="Aptos"/>
        </w:rPr>
        <w:t>. (citing Merriam-Webster.com).</w:t>
      </w:r>
    </w:p>
  </w:footnote>
  <w:footnote w:id="34">
    <w:p w14:paraId="171A463A" w14:textId="77777777" w:rsidR="00985225" w:rsidRPr="009032B4" w:rsidRDefault="00985225" w:rsidP="00985225">
      <w:pPr>
        <w:pStyle w:val="FootnoteText"/>
        <w:rPr>
          <w:rFonts w:ascii="Aptos" w:hAnsi="Aptos"/>
        </w:rPr>
      </w:pPr>
      <w:r w:rsidRPr="009032B4">
        <w:rPr>
          <w:rStyle w:val="FootnoteReference"/>
          <w:rFonts w:ascii="Aptos" w:hAnsi="Aptos"/>
        </w:rPr>
        <w:footnoteRef/>
      </w:r>
      <w:r w:rsidRPr="009032B4">
        <w:rPr>
          <w:rFonts w:ascii="Aptos" w:hAnsi="Aptos"/>
        </w:rPr>
        <w:t xml:space="preserve"> See </w:t>
      </w:r>
      <w:r w:rsidRPr="009032B4">
        <w:rPr>
          <w:rFonts w:ascii="Aptos" w:hAnsi="Aptos"/>
          <w:i/>
          <w:iCs/>
        </w:rPr>
        <w:t>id</w:t>
      </w:r>
      <w:r w:rsidRPr="009032B4">
        <w:rPr>
          <w:rFonts w:ascii="Aptos" w:hAnsi="Aptos"/>
        </w:rPr>
        <w:t>.</w:t>
      </w:r>
    </w:p>
  </w:footnote>
  <w:footnote w:id="35">
    <w:p w14:paraId="6604CFFF" w14:textId="77777777" w:rsidR="00985225" w:rsidRPr="009032B4" w:rsidRDefault="00985225" w:rsidP="00985225">
      <w:pPr>
        <w:pStyle w:val="FootnoteText"/>
        <w:rPr>
          <w:rFonts w:ascii="Aptos" w:hAnsi="Aptos"/>
        </w:rPr>
      </w:pPr>
      <w:r w:rsidRPr="009032B4">
        <w:rPr>
          <w:rStyle w:val="FootnoteReference"/>
          <w:rFonts w:ascii="Aptos" w:hAnsi="Aptos"/>
        </w:rPr>
        <w:footnoteRef/>
      </w:r>
      <w:r w:rsidRPr="009032B4">
        <w:rPr>
          <w:rFonts w:ascii="Aptos" w:hAnsi="Aptos"/>
        </w:rPr>
        <w:t xml:space="preserve"> See </w:t>
      </w:r>
      <w:r w:rsidRPr="009032B4">
        <w:rPr>
          <w:rFonts w:ascii="Aptos" w:hAnsi="Aptos"/>
          <w:i/>
          <w:iCs/>
        </w:rPr>
        <w:t>id</w:t>
      </w:r>
      <w:r w:rsidRPr="009032B4">
        <w:rPr>
          <w:rFonts w:ascii="Aptos" w:hAnsi="Aptos"/>
        </w:rPr>
        <w:t>.</w:t>
      </w:r>
    </w:p>
  </w:footnote>
  <w:footnote w:id="36">
    <w:p w14:paraId="61AC5AED" w14:textId="7F37B59E" w:rsidR="00985225" w:rsidRPr="009032B4" w:rsidRDefault="00985225" w:rsidP="00985225">
      <w:pPr>
        <w:pStyle w:val="FootnoteText"/>
        <w:rPr>
          <w:rFonts w:ascii="Aptos" w:hAnsi="Aptos"/>
        </w:rPr>
      </w:pPr>
      <w:r w:rsidRPr="009032B4">
        <w:rPr>
          <w:rStyle w:val="FootnoteReference"/>
          <w:rFonts w:ascii="Aptos" w:hAnsi="Aptos"/>
        </w:rPr>
        <w:footnoteRef/>
      </w:r>
      <w:r w:rsidRPr="009032B4">
        <w:rPr>
          <w:rFonts w:ascii="Aptos" w:hAnsi="Aptos"/>
        </w:rPr>
        <w:t xml:space="preserve"> </w:t>
      </w:r>
      <w:r w:rsidR="00862C10" w:rsidRPr="00AE794E">
        <w:rPr>
          <w:rFonts w:ascii="Aptos" w:hAnsi="Aptos"/>
          <w:i/>
          <w:iCs/>
        </w:rPr>
        <w:t>Bd. of Educ. of Mount Olive v. Bd. of Educ. of Englewood</w:t>
      </w:r>
      <w:r w:rsidR="00862C10" w:rsidRPr="00AE794E">
        <w:rPr>
          <w:rFonts w:ascii="Aptos" w:hAnsi="Aptos"/>
        </w:rPr>
        <w:t>, EDU 18374-17, 2018 WL 5044197 (N.J. Admin. August 23, 2018)</w:t>
      </w:r>
      <w:r w:rsidR="00862C10">
        <w:rPr>
          <w:rFonts w:ascii="Aptos" w:hAnsi="Aptos"/>
        </w:rPr>
        <w:t>,</w:t>
      </w:r>
      <w:r w:rsidR="00862C10" w:rsidRPr="00AE794E">
        <w:rPr>
          <w:rFonts w:ascii="Aptos" w:hAnsi="Aptos"/>
        </w:rPr>
        <w:t xml:space="preserve"> at *4</w:t>
      </w:r>
      <w:r w:rsidR="00862C10">
        <w:rPr>
          <w:rFonts w:ascii="Aptos" w:hAnsi="Aptos"/>
        </w:rPr>
        <w:t xml:space="preserve"> </w:t>
      </w:r>
      <w:r w:rsidRPr="009032B4">
        <w:rPr>
          <w:rFonts w:ascii="Aptos" w:hAnsi="Aptos"/>
        </w:rPr>
        <w:t xml:space="preserve">(citing </w:t>
      </w:r>
      <w:r w:rsidR="00862C10" w:rsidRPr="00AE794E">
        <w:rPr>
          <w:rFonts w:ascii="Aptos" w:hAnsi="Aptos"/>
          <w:i/>
          <w:iCs/>
        </w:rPr>
        <w:t>State-Operated Sch. Dist. Of Camden v. Volk</w:t>
      </w:r>
      <w:r w:rsidR="00862C10" w:rsidRPr="00AE794E">
        <w:rPr>
          <w:rFonts w:ascii="Aptos" w:hAnsi="Aptos"/>
        </w:rPr>
        <w:t>, EDU4521-16, 2017 WL 1199594 (N.J. Admin. March 22, 2017)</w:t>
      </w:r>
      <w:r w:rsidR="00862C10">
        <w:rPr>
          <w:rFonts w:ascii="Aptos" w:hAnsi="Aptos"/>
        </w:rPr>
        <w:t>,</w:t>
      </w:r>
      <w:r w:rsidR="00862C10" w:rsidRPr="00AE794E">
        <w:rPr>
          <w:rFonts w:ascii="Aptos" w:hAnsi="Aptos"/>
        </w:rPr>
        <w:t xml:space="preserve"> </w:t>
      </w:r>
      <w:r w:rsidR="00862C10">
        <w:rPr>
          <w:rFonts w:ascii="Aptos" w:hAnsi="Aptos"/>
        </w:rPr>
        <w:t xml:space="preserve">at </w:t>
      </w:r>
      <w:r w:rsidRPr="009032B4">
        <w:rPr>
          <w:rFonts w:ascii="Aptos" w:hAnsi="Aptos"/>
        </w:rPr>
        <w:t>*11).</w:t>
      </w:r>
    </w:p>
  </w:footnote>
  <w:footnote w:id="37">
    <w:p w14:paraId="455F8D67" w14:textId="3807E278" w:rsidR="000F3D5F" w:rsidRPr="006B6381" w:rsidRDefault="000F3D5F" w:rsidP="000F3D5F">
      <w:pPr>
        <w:pStyle w:val="FootnoteText"/>
        <w:rPr>
          <w:rFonts w:ascii="Aptos" w:hAnsi="Aptos"/>
        </w:rPr>
      </w:pPr>
      <w:r w:rsidRPr="00AE794E">
        <w:rPr>
          <w:rStyle w:val="FootnoteReference"/>
          <w:rFonts w:ascii="Aptos" w:hAnsi="Aptos"/>
        </w:rPr>
        <w:footnoteRef/>
      </w:r>
      <w:r w:rsidRPr="00AE794E">
        <w:rPr>
          <w:rFonts w:ascii="Aptos" w:hAnsi="Aptos"/>
        </w:rPr>
        <w:t xml:space="preserve"> </w:t>
      </w:r>
      <w:r w:rsidR="00AE0048" w:rsidRPr="00AE794E">
        <w:rPr>
          <w:rFonts w:ascii="Aptos" w:hAnsi="Aptos"/>
        </w:rPr>
        <w:t>NCHE</w:t>
      </w:r>
      <w:r w:rsidRPr="00AE794E">
        <w:rPr>
          <w:rFonts w:ascii="Aptos" w:hAnsi="Aptos"/>
        </w:rPr>
        <w:t xml:space="preserve"> at 2.</w:t>
      </w:r>
      <w:r w:rsidR="006B6381" w:rsidRPr="00AE794E">
        <w:rPr>
          <w:rFonts w:ascii="Aptos" w:hAnsi="Aptos"/>
        </w:rPr>
        <w:t xml:space="preserve"> See </w:t>
      </w:r>
      <w:r w:rsidR="00F77A51">
        <w:rPr>
          <w:rFonts w:ascii="Aptos" w:hAnsi="Aptos"/>
        </w:rPr>
        <w:t>Department’s Housing</w:t>
      </w:r>
      <w:r w:rsidR="006B6381" w:rsidRPr="00AE794E">
        <w:rPr>
          <w:rFonts w:ascii="Aptos" w:hAnsi="Aptos"/>
          <w:i/>
          <w:iCs/>
        </w:rPr>
        <w:t xml:space="preserve"> </w:t>
      </w:r>
      <w:r w:rsidR="006B6381" w:rsidRPr="00AE794E">
        <w:rPr>
          <w:rFonts w:ascii="Aptos" w:hAnsi="Aptos"/>
        </w:rPr>
        <w:t>Guidance (“Living arrangements are not always clear, and certain arrangements may, simultaneously have characteristics of permanent housing and homelessness”).</w:t>
      </w:r>
      <w:r w:rsidR="006B6381">
        <w:rPr>
          <w:rFonts w:ascii="Aptos" w:hAnsi="Aptos"/>
        </w:rPr>
        <w:t xml:space="preserve"> </w:t>
      </w:r>
    </w:p>
  </w:footnote>
  <w:footnote w:id="38">
    <w:p w14:paraId="4AF91964" w14:textId="032D83A4" w:rsidR="00A461D6" w:rsidRPr="00AE794E" w:rsidRDefault="00A461D6">
      <w:pPr>
        <w:pStyle w:val="FootnoteText"/>
        <w:rPr>
          <w:rFonts w:ascii="Aptos" w:hAnsi="Aptos"/>
          <w:i/>
          <w:iCs/>
        </w:rPr>
      </w:pPr>
      <w:r w:rsidRPr="00AE794E">
        <w:rPr>
          <w:rStyle w:val="FootnoteReference"/>
          <w:rFonts w:ascii="Aptos" w:hAnsi="Aptos"/>
        </w:rPr>
        <w:footnoteRef/>
      </w:r>
      <w:r w:rsidRPr="00AE794E">
        <w:rPr>
          <w:rFonts w:ascii="Aptos" w:hAnsi="Aptos"/>
        </w:rPr>
        <w:t xml:space="preserve"> </w:t>
      </w:r>
      <w:r w:rsidR="008D190D" w:rsidRPr="00AE794E">
        <w:rPr>
          <w:rFonts w:ascii="Aptos" w:hAnsi="Aptos"/>
          <w:i/>
          <w:iCs/>
        </w:rPr>
        <w:t xml:space="preserve">Mount Olive </w:t>
      </w:r>
      <w:r w:rsidR="008D190D" w:rsidRPr="00AE794E">
        <w:rPr>
          <w:rFonts w:ascii="Aptos" w:hAnsi="Aptos"/>
        </w:rPr>
        <w:t>at *4;</w:t>
      </w:r>
      <w:r w:rsidRPr="00AE794E">
        <w:rPr>
          <w:rFonts w:ascii="Aptos" w:hAnsi="Aptos"/>
          <w:i/>
          <w:iCs/>
        </w:rPr>
        <w:t xml:space="preserve"> Volk</w:t>
      </w:r>
      <w:r w:rsidRPr="00AE794E">
        <w:rPr>
          <w:rFonts w:ascii="Aptos" w:hAnsi="Aptos"/>
        </w:rPr>
        <w:t xml:space="preserve"> at *11.</w:t>
      </w:r>
    </w:p>
  </w:footnote>
  <w:footnote w:id="39">
    <w:p w14:paraId="65A36906" w14:textId="0784FFE7" w:rsidR="00885C74" w:rsidRPr="00AE794E" w:rsidRDefault="00885C74">
      <w:pPr>
        <w:pStyle w:val="FootnoteText"/>
        <w:rPr>
          <w:rFonts w:ascii="Aptos" w:hAnsi="Aptos"/>
        </w:rPr>
      </w:pPr>
      <w:r w:rsidRPr="00AE794E">
        <w:rPr>
          <w:rStyle w:val="FootnoteReference"/>
          <w:rFonts w:ascii="Aptos" w:hAnsi="Aptos"/>
        </w:rPr>
        <w:footnoteRef/>
      </w:r>
      <w:r w:rsidRPr="00AE794E">
        <w:rPr>
          <w:rFonts w:ascii="Aptos" w:hAnsi="Aptos"/>
        </w:rPr>
        <w:t xml:space="preserve"> </w:t>
      </w:r>
      <w:r w:rsidR="00C44368" w:rsidRPr="00AE794E">
        <w:rPr>
          <w:rFonts w:ascii="Aptos" w:hAnsi="Aptos"/>
        </w:rPr>
        <w:t>See</w:t>
      </w:r>
      <w:r w:rsidR="00DC1FBB" w:rsidRPr="00AE794E">
        <w:rPr>
          <w:rFonts w:ascii="Aptos" w:hAnsi="Aptos"/>
        </w:rPr>
        <w:t xml:space="preserve"> </w:t>
      </w:r>
      <w:r w:rsidR="007075D8" w:rsidRPr="00AE794E">
        <w:rPr>
          <w:rFonts w:ascii="Aptos" w:hAnsi="Aptos"/>
          <w:i/>
          <w:iCs/>
        </w:rPr>
        <w:t>Appeal of M.M.</w:t>
      </w:r>
      <w:r w:rsidR="007075D8" w:rsidRPr="00AE794E">
        <w:rPr>
          <w:rFonts w:ascii="Aptos" w:hAnsi="Aptos"/>
        </w:rPr>
        <w:t xml:space="preserve">, 61 Ed </w:t>
      </w:r>
      <w:r w:rsidR="007075D8" w:rsidRPr="00AE794E">
        <w:rPr>
          <w:rFonts w:ascii="Aptos" w:hAnsi="Aptos"/>
        </w:rPr>
        <w:t>Dep’t Decision No. 18019, 2021 WL 3602796 (</w:t>
      </w:r>
      <w:r w:rsidR="00167A80" w:rsidRPr="00AE794E">
        <w:rPr>
          <w:rFonts w:ascii="Aptos" w:hAnsi="Aptos"/>
        </w:rPr>
        <w:t>N.Y. Educ. Dep’t July 19,</w:t>
      </w:r>
      <w:r w:rsidR="007075D8" w:rsidRPr="00AE794E">
        <w:rPr>
          <w:rFonts w:ascii="Aptos" w:hAnsi="Aptos"/>
        </w:rPr>
        <w:t xml:space="preserve"> 2021)</w:t>
      </w:r>
      <w:r w:rsidR="006018C6">
        <w:rPr>
          <w:rFonts w:ascii="Aptos" w:hAnsi="Aptos"/>
        </w:rPr>
        <w:t>,</w:t>
      </w:r>
      <w:r w:rsidR="000834F9" w:rsidRPr="00AE794E">
        <w:rPr>
          <w:rFonts w:ascii="Aptos" w:hAnsi="Aptos"/>
        </w:rPr>
        <w:t xml:space="preserve"> at *4</w:t>
      </w:r>
      <w:r w:rsidR="007075D8" w:rsidRPr="00AE794E">
        <w:rPr>
          <w:rFonts w:ascii="Aptos" w:hAnsi="Aptos"/>
        </w:rPr>
        <w:t>;</w:t>
      </w:r>
      <w:r w:rsidR="00AA6DD5" w:rsidRPr="00AE794E">
        <w:rPr>
          <w:rFonts w:ascii="Aptos" w:hAnsi="Aptos"/>
        </w:rPr>
        <w:t xml:space="preserve"> </w:t>
      </w:r>
      <w:r w:rsidR="00167A80" w:rsidRPr="00AE794E">
        <w:rPr>
          <w:rFonts w:ascii="Aptos" w:hAnsi="Aptos"/>
          <w:i/>
          <w:iCs/>
        </w:rPr>
        <w:t>Mount Olive</w:t>
      </w:r>
      <w:r w:rsidR="000834F9" w:rsidRPr="00AE794E">
        <w:rPr>
          <w:rFonts w:ascii="Aptos" w:hAnsi="Aptos"/>
        </w:rPr>
        <w:t xml:space="preserve"> at *5</w:t>
      </w:r>
      <w:r w:rsidR="00AA6DD5" w:rsidRPr="00AE794E">
        <w:rPr>
          <w:rFonts w:ascii="Aptos" w:hAnsi="Aptos"/>
          <w:i/>
          <w:iCs/>
        </w:rPr>
        <w:t>;</w:t>
      </w:r>
      <w:r w:rsidR="000834F9" w:rsidRPr="00AE794E">
        <w:rPr>
          <w:rFonts w:ascii="Aptos" w:hAnsi="Aptos"/>
          <w:i/>
          <w:iCs/>
        </w:rPr>
        <w:t xml:space="preserve"> Volk</w:t>
      </w:r>
      <w:r w:rsidR="000834F9" w:rsidRPr="00AE794E">
        <w:rPr>
          <w:rFonts w:ascii="Aptos" w:hAnsi="Aptos"/>
        </w:rPr>
        <w:t xml:space="preserve"> at *14; </w:t>
      </w:r>
      <w:r w:rsidR="00C44368" w:rsidRPr="00AE794E">
        <w:rPr>
          <w:rFonts w:ascii="Aptos" w:hAnsi="Aptos"/>
          <w:i/>
          <w:iCs/>
        </w:rPr>
        <w:t>Appeal of T.J.G. ex rel. T.G.</w:t>
      </w:r>
      <w:r w:rsidR="00C44368" w:rsidRPr="00AE794E">
        <w:rPr>
          <w:rFonts w:ascii="Aptos" w:hAnsi="Aptos"/>
        </w:rPr>
        <w:t>, 114 LRP 39231 (N</w:t>
      </w:r>
      <w:r w:rsidR="007075D8" w:rsidRPr="00AE794E">
        <w:rPr>
          <w:rFonts w:ascii="Aptos" w:hAnsi="Aptos"/>
        </w:rPr>
        <w:t>.Y.</w:t>
      </w:r>
      <w:r w:rsidR="00C44368" w:rsidRPr="00AE794E">
        <w:rPr>
          <w:rFonts w:ascii="Aptos" w:hAnsi="Aptos"/>
        </w:rPr>
        <w:t xml:space="preserve"> </w:t>
      </w:r>
      <w:r w:rsidR="007075D8" w:rsidRPr="00AE794E">
        <w:rPr>
          <w:rFonts w:ascii="Aptos" w:hAnsi="Aptos"/>
        </w:rPr>
        <w:t>Educ.</w:t>
      </w:r>
      <w:r w:rsidR="00167A80" w:rsidRPr="00AE794E">
        <w:rPr>
          <w:rFonts w:ascii="Aptos" w:hAnsi="Aptos"/>
        </w:rPr>
        <w:t xml:space="preserve"> Dep’t</w:t>
      </w:r>
      <w:r w:rsidR="007075D8" w:rsidRPr="00AE794E">
        <w:rPr>
          <w:rFonts w:ascii="Aptos" w:hAnsi="Aptos"/>
        </w:rPr>
        <w:t xml:space="preserve"> August 18,</w:t>
      </w:r>
      <w:r w:rsidR="00C44368" w:rsidRPr="00AE794E">
        <w:rPr>
          <w:rFonts w:ascii="Aptos" w:hAnsi="Aptos"/>
        </w:rPr>
        <w:t xml:space="preserve"> 2014)</w:t>
      </w:r>
      <w:r w:rsidR="008128B6" w:rsidRPr="00AE794E">
        <w:rPr>
          <w:rFonts w:ascii="Aptos" w:hAnsi="Aptos"/>
        </w:rPr>
        <w:t xml:space="preserve">; </w:t>
      </w:r>
      <w:r w:rsidR="008128B6" w:rsidRPr="00AE794E">
        <w:rPr>
          <w:rFonts w:ascii="Aptos" w:hAnsi="Aptos"/>
          <w:i/>
          <w:iCs/>
        </w:rPr>
        <w:t>L.C. v. Branchburg</w:t>
      </w:r>
      <w:r w:rsidR="008128B6" w:rsidRPr="00AE794E">
        <w:rPr>
          <w:rFonts w:ascii="Aptos" w:hAnsi="Aptos"/>
        </w:rPr>
        <w:t>, 96 N.J.A.R.2D (EDU), 1002 (N.J. Adm.), 1996 WL 784600 (Sept. 12, 1996)</w:t>
      </w:r>
      <w:r w:rsidR="006018C6">
        <w:rPr>
          <w:rFonts w:ascii="Aptos" w:hAnsi="Aptos"/>
        </w:rPr>
        <w:t>,</w:t>
      </w:r>
      <w:r w:rsidR="008128B6" w:rsidRPr="00AE794E">
        <w:rPr>
          <w:rFonts w:ascii="Aptos" w:hAnsi="Aptos"/>
        </w:rPr>
        <w:t xml:space="preserve"> at *5.</w:t>
      </w:r>
    </w:p>
  </w:footnote>
  <w:footnote w:id="40">
    <w:p w14:paraId="51DB9D5A" w14:textId="6D5B832E" w:rsidR="00177936" w:rsidRPr="00AE794E" w:rsidRDefault="00177936">
      <w:pPr>
        <w:pStyle w:val="FootnoteText"/>
        <w:rPr>
          <w:rFonts w:ascii="Aptos" w:hAnsi="Aptos"/>
        </w:rPr>
      </w:pPr>
      <w:r w:rsidRPr="00AE794E">
        <w:rPr>
          <w:rStyle w:val="FootnoteReference"/>
          <w:rFonts w:ascii="Aptos" w:hAnsi="Aptos"/>
        </w:rPr>
        <w:footnoteRef/>
      </w:r>
      <w:r w:rsidRPr="00AE794E">
        <w:rPr>
          <w:rFonts w:ascii="Aptos" w:hAnsi="Aptos"/>
        </w:rPr>
        <w:t xml:space="preserve"> See </w:t>
      </w:r>
      <w:r w:rsidRPr="00AE794E">
        <w:rPr>
          <w:rFonts w:ascii="Aptos" w:hAnsi="Aptos"/>
          <w:i/>
          <w:iCs/>
        </w:rPr>
        <w:t>Appeal of T.J.G.</w:t>
      </w:r>
    </w:p>
  </w:footnote>
  <w:footnote w:id="41">
    <w:p w14:paraId="42214718" w14:textId="794CF39A" w:rsidR="00AE794E" w:rsidRPr="00AE794E" w:rsidRDefault="00AE794E">
      <w:pPr>
        <w:pStyle w:val="FootnoteText"/>
        <w:rPr>
          <w:rFonts w:ascii="Aptos" w:hAnsi="Aptos"/>
        </w:rPr>
      </w:pPr>
      <w:r w:rsidRPr="00AE794E">
        <w:rPr>
          <w:rStyle w:val="FootnoteReference"/>
          <w:rFonts w:ascii="Aptos" w:hAnsi="Aptos"/>
        </w:rPr>
        <w:footnoteRef/>
      </w:r>
      <w:r w:rsidRPr="00AE794E">
        <w:rPr>
          <w:rFonts w:ascii="Aptos" w:hAnsi="Aptos"/>
        </w:rPr>
        <w:t xml:space="preserve"> </w:t>
      </w:r>
      <w:r w:rsidRPr="00AE794E">
        <w:rPr>
          <w:rFonts w:ascii="Aptos" w:hAnsi="Aptos"/>
          <w:i/>
          <w:iCs/>
        </w:rPr>
        <w:t>Id</w:t>
      </w:r>
      <w:r w:rsidRPr="00AE794E">
        <w:rPr>
          <w:rFonts w:ascii="Aptos" w:hAnsi="Aptos"/>
        </w:rPr>
        <w:t>.</w:t>
      </w:r>
    </w:p>
  </w:footnote>
  <w:footnote w:id="42">
    <w:p w14:paraId="72BEB78A" w14:textId="64CA4505" w:rsidR="00DC1FBB" w:rsidRPr="00AE794E" w:rsidRDefault="00DC1FBB">
      <w:pPr>
        <w:pStyle w:val="FootnoteText"/>
        <w:rPr>
          <w:rFonts w:ascii="Aptos" w:hAnsi="Aptos"/>
        </w:rPr>
      </w:pPr>
      <w:r w:rsidRPr="00AE794E">
        <w:rPr>
          <w:rStyle w:val="FootnoteReference"/>
          <w:rFonts w:ascii="Aptos" w:hAnsi="Aptos"/>
        </w:rPr>
        <w:footnoteRef/>
      </w:r>
      <w:r w:rsidRPr="00AE794E">
        <w:rPr>
          <w:rFonts w:ascii="Aptos" w:hAnsi="Aptos"/>
        </w:rPr>
        <w:t xml:space="preserve"> </w:t>
      </w:r>
      <w:r w:rsidRPr="00AE794E">
        <w:rPr>
          <w:rFonts w:ascii="Aptos" w:hAnsi="Aptos"/>
          <w:i/>
          <w:iCs/>
        </w:rPr>
        <w:t>Id</w:t>
      </w:r>
      <w:r w:rsidRPr="00AE794E">
        <w:rPr>
          <w:rFonts w:ascii="Aptos" w:hAnsi="Aptos"/>
        </w:rPr>
        <w:t>.</w:t>
      </w:r>
    </w:p>
  </w:footnote>
  <w:footnote w:id="43">
    <w:p w14:paraId="7C49B697" w14:textId="2428F5BF" w:rsidR="000F6ABC" w:rsidRPr="00AE794E" w:rsidRDefault="000F6ABC" w:rsidP="000F6ABC">
      <w:pPr>
        <w:pStyle w:val="FootnoteText"/>
        <w:rPr>
          <w:rFonts w:ascii="Aptos" w:hAnsi="Aptos"/>
        </w:rPr>
      </w:pPr>
      <w:r w:rsidRPr="00AE794E">
        <w:rPr>
          <w:rStyle w:val="FootnoteReference"/>
          <w:rFonts w:ascii="Aptos" w:hAnsi="Aptos"/>
        </w:rPr>
        <w:footnoteRef/>
      </w:r>
      <w:r w:rsidRPr="00AE794E">
        <w:rPr>
          <w:rFonts w:ascii="Aptos" w:hAnsi="Aptos"/>
        </w:rPr>
        <w:t xml:space="preserve"> </w:t>
      </w:r>
      <w:r w:rsidRPr="00AE794E">
        <w:rPr>
          <w:rFonts w:ascii="Aptos" w:hAnsi="Aptos"/>
          <w:i/>
          <w:iCs/>
        </w:rPr>
        <w:t>Volk</w:t>
      </w:r>
      <w:r w:rsidR="00982BAF" w:rsidRPr="00AE794E">
        <w:rPr>
          <w:rFonts w:ascii="Aptos" w:hAnsi="Aptos"/>
        </w:rPr>
        <w:t xml:space="preserve"> </w:t>
      </w:r>
      <w:r w:rsidRPr="00AE794E">
        <w:rPr>
          <w:rFonts w:ascii="Aptos" w:hAnsi="Aptos"/>
        </w:rPr>
        <w:t>at *1, *3, *6-*7.</w:t>
      </w:r>
    </w:p>
  </w:footnote>
  <w:footnote w:id="44">
    <w:p w14:paraId="147492DF" w14:textId="10B1072C" w:rsidR="00931BEE" w:rsidRPr="009063F6" w:rsidRDefault="00931BEE" w:rsidP="00931BEE">
      <w:pPr>
        <w:pStyle w:val="FootnoteText"/>
        <w:rPr>
          <w:rFonts w:ascii="Aptos" w:hAnsi="Aptos"/>
        </w:rPr>
      </w:pPr>
      <w:r w:rsidRPr="00AE794E">
        <w:rPr>
          <w:rStyle w:val="FootnoteReference"/>
          <w:rFonts w:ascii="Aptos" w:hAnsi="Aptos"/>
        </w:rPr>
        <w:footnoteRef/>
      </w:r>
      <w:r w:rsidRPr="00AE794E">
        <w:rPr>
          <w:rFonts w:ascii="Aptos" w:hAnsi="Aptos"/>
        </w:rPr>
        <w:t xml:space="preserve"> </w:t>
      </w:r>
      <w:r w:rsidRPr="00AE794E">
        <w:rPr>
          <w:rFonts w:ascii="Aptos" w:hAnsi="Aptos"/>
          <w:i/>
          <w:iCs/>
        </w:rPr>
        <w:t>Id</w:t>
      </w:r>
      <w:r w:rsidRPr="00AE794E">
        <w:rPr>
          <w:rFonts w:ascii="Aptos" w:hAnsi="Aptos"/>
        </w:rPr>
        <w:t>. at *6, *10, *11.</w:t>
      </w:r>
      <w:r w:rsidR="00982BAF" w:rsidRPr="00AE794E">
        <w:rPr>
          <w:rFonts w:ascii="Aptos" w:hAnsi="Aptos"/>
        </w:rPr>
        <w:t xml:space="preserve"> See </w:t>
      </w:r>
      <w:r w:rsidR="00982BAF" w:rsidRPr="00AE794E">
        <w:rPr>
          <w:rFonts w:ascii="Aptos" w:hAnsi="Aptos"/>
          <w:i/>
          <w:iCs/>
        </w:rPr>
        <w:t>id</w:t>
      </w:r>
      <w:r w:rsidR="00982BAF" w:rsidRPr="00AE794E">
        <w:rPr>
          <w:rFonts w:ascii="Aptos" w:hAnsi="Aptos"/>
        </w:rPr>
        <w:t>. at *12 (</w:t>
      </w:r>
      <w:r w:rsidR="00CF33D2">
        <w:rPr>
          <w:rFonts w:ascii="Aptos" w:hAnsi="Aptos"/>
        </w:rPr>
        <w:t>ALJ considered the</w:t>
      </w:r>
      <w:r w:rsidR="00982BAF" w:rsidRPr="00AE794E">
        <w:rPr>
          <w:rFonts w:ascii="Aptos" w:hAnsi="Aptos"/>
        </w:rPr>
        <w:t xml:space="preserve"> “very lengthy period of residence, the adequacy of the living place and the regularity of occupation</w:t>
      </w:r>
      <w:r w:rsidR="00EA5247">
        <w:rPr>
          <w:rFonts w:ascii="Aptos" w:hAnsi="Aptos"/>
        </w:rPr>
        <w:t>”</w:t>
      </w:r>
      <w:r w:rsidR="00982BAF" w:rsidRPr="00AE794E">
        <w:rPr>
          <w:rFonts w:ascii="Aptos" w:hAnsi="Aptos"/>
        </w:rPr>
        <w:t>).</w:t>
      </w:r>
      <w:r w:rsidR="009063F6" w:rsidRPr="00AE794E">
        <w:rPr>
          <w:rFonts w:ascii="Aptos" w:hAnsi="Aptos"/>
        </w:rPr>
        <w:t xml:space="preserve"> </w:t>
      </w:r>
      <w:r w:rsidR="009063F6" w:rsidRPr="00AE794E">
        <w:rPr>
          <w:rFonts w:ascii="Aptos" w:hAnsi="Aptos"/>
          <w:i/>
          <w:iCs/>
        </w:rPr>
        <w:t>Cf. L.R. ex rel. G.R. v. Steelton-Highspire Sch. Dist.</w:t>
      </w:r>
      <w:r w:rsidR="009063F6" w:rsidRPr="00AE794E">
        <w:rPr>
          <w:rFonts w:ascii="Aptos" w:hAnsi="Aptos"/>
        </w:rPr>
        <w:t>, 2010 WL 1433146 (M.D. Pa. April 7, 2010) (finding that student “qualifies as a homeless student because he lacks a ‘fixed, regular, and adequate nighttime residence’ . . . and he is ‘sharing the housing of other persons due to the loss of housing, economic hardship or similar reason”).</w:t>
      </w:r>
    </w:p>
  </w:footnote>
  <w:footnote w:id="45">
    <w:p w14:paraId="5321A948" w14:textId="40BB101E" w:rsidR="006E1287" w:rsidRPr="0006570D" w:rsidRDefault="006E1287">
      <w:pPr>
        <w:pStyle w:val="FootnoteText"/>
        <w:rPr>
          <w:rFonts w:ascii="Aptos" w:hAnsi="Aptos"/>
        </w:rPr>
      </w:pPr>
      <w:r w:rsidRPr="0006570D">
        <w:rPr>
          <w:rStyle w:val="FootnoteReference"/>
          <w:rFonts w:ascii="Aptos" w:hAnsi="Aptos"/>
        </w:rPr>
        <w:footnoteRef/>
      </w:r>
      <w:r w:rsidRPr="0006570D">
        <w:rPr>
          <w:rFonts w:ascii="Aptos" w:hAnsi="Aptos"/>
        </w:rPr>
        <w:t xml:space="preserve"> </w:t>
      </w:r>
      <w:r w:rsidRPr="0006570D">
        <w:rPr>
          <w:rFonts w:ascii="Aptos" w:hAnsi="Aptos"/>
          <w:i/>
          <w:iCs/>
        </w:rPr>
        <w:t>Mount Olive</w:t>
      </w:r>
      <w:r w:rsidRPr="0006570D">
        <w:rPr>
          <w:rFonts w:ascii="Aptos" w:hAnsi="Aptos"/>
        </w:rPr>
        <w:t xml:space="preserve"> at *1</w:t>
      </w:r>
      <w:r w:rsidR="006C2AA1" w:rsidRPr="0006570D">
        <w:rPr>
          <w:rFonts w:ascii="Aptos" w:hAnsi="Aptos"/>
        </w:rPr>
        <w:t>, *5</w:t>
      </w:r>
      <w:r w:rsidRPr="0006570D">
        <w:rPr>
          <w:rFonts w:ascii="Aptos" w:hAnsi="Aptos"/>
        </w:rPr>
        <w:t>.</w:t>
      </w:r>
    </w:p>
  </w:footnote>
  <w:footnote w:id="46">
    <w:p w14:paraId="32B70C03" w14:textId="427C8F4F" w:rsidR="006E1287" w:rsidRPr="0006570D" w:rsidRDefault="006E1287">
      <w:pPr>
        <w:pStyle w:val="FootnoteText"/>
        <w:rPr>
          <w:rFonts w:ascii="Aptos" w:hAnsi="Aptos"/>
        </w:rPr>
      </w:pPr>
      <w:r w:rsidRPr="0006570D">
        <w:rPr>
          <w:rStyle w:val="FootnoteReference"/>
          <w:rFonts w:ascii="Aptos" w:hAnsi="Aptos"/>
        </w:rPr>
        <w:footnoteRef/>
      </w:r>
      <w:r w:rsidRPr="0006570D">
        <w:rPr>
          <w:rFonts w:ascii="Aptos" w:hAnsi="Aptos"/>
        </w:rPr>
        <w:t xml:space="preserve"> </w:t>
      </w:r>
      <w:r w:rsidRPr="0006570D">
        <w:rPr>
          <w:rFonts w:ascii="Aptos" w:hAnsi="Aptos"/>
          <w:i/>
          <w:iCs/>
        </w:rPr>
        <w:t>Id</w:t>
      </w:r>
      <w:r w:rsidRPr="0006570D">
        <w:rPr>
          <w:rFonts w:ascii="Aptos" w:hAnsi="Aptos"/>
        </w:rPr>
        <w:t>. at *1-*2.</w:t>
      </w:r>
    </w:p>
  </w:footnote>
  <w:footnote w:id="47">
    <w:p w14:paraId="00CE644A" w14:textId="5063B55F" w:rsidR="006C2AA1" w:rsidRPr="0006570D" w:rsidRDefault="006C2AA1">
      <w:pPr>
        <w:pStyle w:val="FootnoteText"/>
        <w:rPr>
          <w:rFonts w:ascii="Aptos" w:hAnsi="Aptos"/>
        </w:rPr>
      </w:pPr>
      <w:r w:rsidRPr="0006570D">
        <w:rPr>
          <w:rStyle w:val="FootnoteReference"/>
          <w:rFonts w:ascii="Aptos" w:hAnsi="Aptos"/>
        </w:rPr>
        <w:footnoteRef/>
      </w:r>
      <w:r w:rsidRPr="0006570D">
        <w:rPr>
          <w:rFonts w:ascii="Aptos" w:hAnsi="Aptos"/>
        </w:rPr>
        <w:t xml:space="preserve"> </w:t>
      </w:r>
      <w:r w:rsidRPr="0006570D">
        <w:rPr>
          <w:rFonts w:ascii="Aptos" w:hAnsi="Aptos"/>
          <w:i/>
          <w:iCs/>
        </w:rPr>
        <w:t>Id</w:t>
      </w:r>
      <w:r w:rsidRPr="0006570D">
        <w:rPr>
          <w:rFonts w:ascii="Aptos" w:hAnsi="Aptos"/>
        </w:rPr>
        <w:t>. at *3.</w:t>
      </w:r>
    </w:p>
  </w:footnote>
  <w:footnote w:id="48">
    <w:p w14:paraId="47F6F553" w14:textId="663C9F80" w:rsidR="006C2AA1" w:rsidRPr="0006570D" w:rsidRDefault="006C2AA1">
      <w:pPr>
        <w:pStyle w:val="FootnoteText"/>
        <w:rPr>
          <w:rFonts w:ascii="Aptos" w:hAnsi="Aptos"/>
        </w:rPr>
      </w:pPr>
      <w:r w:rsidRPr="0006570D">
        <w:rPr>
          <w:rStyle w:val="FootnoteReference"/>
          <w:rFonts w:ascii="Aptos" w:hAnsi="Aptos"/>
        </w:rPr>
        <w:footnoteRef/>
      </w:r>
      <w:r w:rsidR="00CF33D2">
        <w:rPr>
          <w:rFonts w:ascii="Aptos" w:hAnsi="Aptos"/>
          <w:i/>
          <w:iCs/>
        </w:rPr>
        <w:t xml:space="preserve"> </w:t>
      </w:r>
      <w:r w:rsidRPr="0006570D">
        <w:rPr>
          <w:rFonts w:ascii="Aptos" w:hAnsi="Aptos"/>
          <w:i/>
          <w:iCs/>
        </w:rPr>
        <w:t>Id</w:t>
      </w:r>
      <w:r w:rsidRPr="0006570D">
        <w:rPr>
          <w:rFonts w:ascii="Aptos" w:hAnsi="Aptos"/>
        </w:rPr>
        <w:t>. at *1, *4.</w:t>
      </w:r>
    </w:p>
  </w:footnote>
  <w:footnote w:id="49">
    <w:p w14:paraId="3C824234" w14:textId="46CC5DE2" w:rsidR="004F7C86" w:rsidRPr="0006570D" w:rsidRDefault="004F7C86">
      <w:pPr>
        <w:pStyle w:val="FootnoteText"/>
        <w:rPr>
          <w:rFonts w:ascii="Aptos" w:hAnsi="Aptos"/>
        </w:rPr>
      </w:pPr>
      <w:r w:rsidRPr="0006570D">
        <w:rPr>
          <w:rStyle w:val="FootnoteReference"/>
          <w:rFonts w:ascii="Aptos" w:hAnsi="Aptos"/>
        </w:rPr>
        <w:footnoteRef/>
      </w:r>
      <w:r w:rsidRPr="0006570D">
        <w:rPr>
          <w:rFonts w:ascii="Aptos" w:hAnsi="Aptos"/>
        </w:rPr>
        <w:t xml:space="preserve"> See </w:t>
      </w:r>
      <w:r w:rsidRPr="0006570D">
        <w:rPr>
          <w:rFonts w:ascii="Aptos" w:hAnsi="Aptos"/>
          <w:i/>
          <w:iCs/>
        </w:rPr>
        <w:t>Appeal of M.M.</w:t>
      </w:r>
      <w:r w:rsidR="00167A80" w:rsidRPr="0006570D">
        <w:rPr>
          <w:rFonts w:ascii="Aptos" w:hAnsi="Aptos"/>
        </w:rPr>
        <w:t xml:space="preserve">, at *1-*3 </w:t>
      </w:r>
      <w:r w:rsidRPr="0006570D">
        <w:rPr>
          <w:rFonts w:ascii="Aptos" w:hAnsi="Aptos"/>
        </w:rPr>
        <w:t>In this case, the Commissioner overturned the school district’s “combined residency/homeless determination” that the students were no longer district residents because they were “permanently housed” at an out-of-district address. Because the petitioner and student had, at times, stayed with relatives in different locations due to the Covid-19 pandemic, the district had concluded that they “no longer resided at the hotel” within the district</w:t>
      </w:r>
      <w:r w:rsidR="0006570D">
        <w:rPr>
          <w:rFonts w:ascii="Aptos" w:hAnsi="Aptos"/>
        </w:rPr>
        <w:t>’s geographic boundaries</w:t>
      </w:r>
      <w:r w:rsidRPr="0006570D">
        <w:rPr>
          <w:rFonts w:ascii="Aptos" w:hAnsi="Aptos"/>
        </w:rPr>
        <w:t xml:space="preserve">. In finding that the petitioner “has met her burden of proving that the </w:t>
      </w:r>
      <w:r w:rsidRPr="0006570D">
        <w:rPr>
          <w:rFonts w:ascii="Aptos" w:hAnsi="Aptos"/>
        </w:rPr>
        <w:t>student[s are] district resident[s],</w:t>
      </w:r>
      <w:r w:rsidR="00CF33D2">
        <w:rPr>
          <w:rFonts w:ascii="Aptos" w:hAnsi="Aptos"/>
        </w:rPr>
        <w:t>”</w:t>
      </w:r>
      <w:r w:rsidRPr="0006570D">
        <w:rPr>
          <w:rFonts w:ascii="Aptos" w:hAnsi="Aptos"/>
        </w:rPr>
        <w:t xml:space="preserve"> the Commissioner did not address whether the students were eligible for assistance under McKinney-Vento because the issue had not been</w:t>
      </w:r>
      <w:r w:rsidR="00CF33D2">
        <w:rPr>
          <w:rFonts w:ascii="Aptos" w:hAnsi="Aptos"/>
        </w:rPr>
        <w:t xml:space="preserve"> properly</w:t>
      </w:r>
      <w:r w:rsidRPr="0006570D">
        <w:rPr>
          <w:rFonts w:ascii="Aptos" w:hAnsi="Aptos"/>
        </w:rPr>
        <w:t xml:space="preserve"> raised </w:t>
      </w:r>
      <w:r w:rsidR="00523BB9" w:rsidRPr="0006570D">
        <w:rPr>
          <w:rFonts w:ascii="Aptos" w:hAnsi="Aptos"/>
        </w:rPr>
        <w:t>below</w:t>
      </w:r>
      <w:r w:rsidRPr="0006570D">
        <w:rPr>
          <w:rFonts w:ascii="Aptos" w:hAnsi="Aptos"/>
        </w:rPr>
        <w:t xml:space="preserve">. See </w:t>
      </w:r>
      <w:r w:rsidRPr="0006570D">
        <w:rPr>
          <w:rFonts w:ascii="Aptos" w:hAnsi="Aptos"/>
          <w:i/>
          <w:iCs/>
        </w:rPr>
        <w:t>id</w:t>
      </w:r>
      <w:r w:rsidRPr="0006570D">
        <w:rPr>
          <w:rFonts w:ascii="Aptos" w:hAnsi="Aptos"/>
        </w:rPr>
        <w:t>.</w:t>
      </w:r>
    </w:p>
  </w:footnote>
  <w:footnote w:id="50">
    <w:p w14:paraId="11268CFA" w14:textId="053E3A09" w:rsidR="00E07043" w:rsidRDefault="00E07043" w:rsidP="00E07043">
      <w:pPr>
        <w:pStyle w:val="FootnoteText"/>
      </w:pPr>
      <w:r w:rsidRPr="0006570D">
        <w:rPr>
          <w:rStyle w:val="FootnoteReference"/>
          <w:rFonts w:ascii="Aptos" w:hAnsi="Aptos"/>
        </w:rPr>
        <w:footnoteRef/>
      </w:r>
      <w:r w:rsidRPr="0006570D">
        <w:rPr>
          <w:rFonts w:ascii="Aptos" w:hAnsi="Aptos"/>
        </w:rPr>
        <w:t xml:space="preserve"> See </w:t>
      </w:r>
      <w:r w:rsidR="00F77A51">
        <w:rPr>
          <w:rFonts w:ascii="Aptos" w:hAnsi="Aptos"/>
        </w:rPr>
        <w:t>Department’s Housing</w:t>
      </w:r>
      <w:r w:rsidRPr="0006570D">
        <w:rPr>
          <w:rFonts w:ascii="Aptos" w:hAnsi="Aptos"/>
        </w:rPr>
        <w:t xml:space="preserve"> Guidance.</w:t>
      </w:r>
    </w:p>
  </w:footnote>
  <w:footnote w:id="51">
    <w:p w14:paraId="24167CDF" w14:textId="2413EC93" w:rsidR="006B6381" w:rsidRPr="0006570D" w:rsidRDefault="006B6381">
      <w:pPr>
        <w:pStyle w:val="FootnoteText"/>
        <w:rPr>
          <w:rFonts w:ascii="Aptos" w:hAnsi="Aptos"/>
        </w:rPr>
      </w:pPr>
      <w:r w:rsidRPr="0006570D">
        <w:rPr>
          <w:rStyle w:val="FootnoteReference"/>
          <w:rFonts w:ascii="Aptos" w:hAnsi="Aptos"/>
        </w:rPr>
        <w:footnoteRef/>
      </w:r>
      <w:r w:rsidRPr="0006570D">
        <w:rPr>
          <w:rFonts w:ascii="Aptos" w:hAnsi="Aptos"/>
        </w:rPr>
        <w:t xml:space="preserve"> </w:t>
      </w:r>
      <w:r w:rsidR="00F77A51">
        <w:rPr>
          <w:rFonts w:ascii="Aptos" w:hAnsi="Aptos"/>
        </w:rPr>
        <w:t>Department’s Housing</w:t>
      </w:r>
      <w:r w:rsidRPr="0006570D">
        <w:rPr>
          <w:rFonts w:ascii="Aptos" w:hAnsi="Aptos"/>
        </w:rPr>
        <w:t xml:space="preserve"> Guidance.</w:t>
      </w:r>
    </w:p>
  </w:footnote>
  <w:footnote w:id="52">
    <w:p w14:paraId="0BBA015E" w14:textId="5F0E6237" w:rsidR="000F3D5F" w:rsidRPr="00E07043" w:rsidRDefault="000F3D5F" w:rsidP="000F3D5F">
      <w:pPr>
        <w:pStyle w:val="FootnoteText"/>
        <w:rPr>
          <w:rFonts w:ascii="Aptos" w:hAnsi="Aptos"/>
        </w:rPr>
      </w:pPr>
      <w:r w:rsidRPr="00E07043">
        <w:rPr>
          <w:rStyle w:val="FootnoteReference"/>
          <w:rFonts w:ascii="Aptos" w:hAnsi="Aptos"/>
        </w:rPr>
        <w:footnoteRef/>
      </w:r>
      <w:r w:rsidRPr="00E07043">
        <w:rPr>
          <w:rFonts w:ascii="Aptos" w:hAnsi="Aptos"/>
        </w:rPr>
        <w:t xml:space="preserve"> NCHE at 2.</w:t>
      </w:r>
      <w:r w:rsidR="00B26BBF" w:rsidRPr="00E07043">
        <w:rPr>
          <w:rFonts w:ascii="Aptos" w:hAnsi="Aptos"/>
        </w:rPr>
        <w:t xml:space="preserve"> See </w:t>
      </w:r>
      <w:r w:rsidR="00F77A51">
        <w:rPr>
          <w:rFonts w:ascii="Aptos" w:hAnsi="Aptos"/>
        </w:rPr>
        <w:t>Department’s Housing</w:t>
      </w:r>
      <w:r w:rsidR="00B26BBF" w:rsidRPr="00E07043">
        <w:rPr>
          <w:rFonts w:ascii="Aptos" w:hAnsi="Aptos"/>
          <w:i/>
          <w:iCs/>
        </w:rPr>
        <w:t xml:space="preserve"> </w:t>
      </w:r>
      <w:r w:rsidR="00B26BBF" w:rsidRPr="00E07043">
        <w:rPr>
          <w:rFonts w:ascii="Aptos" w:hAnsi="Aptos"/>
        </w:rPr>
        <w:t>Guidance.</w:t>
      </w:r>
    </w:p>
  </w:footnote>
  <w:footnote w:id="53">
    <w:p w14:paraId="7FAA15DB" w14:textId="314B44C5" w:rsidR="000F3D5F" w:rsidRPr="00E07043" w:rsidRDefault="000F3D5F">
      <w:pPr>
        <w:pStyle w:val="FootnoteText"/>
        <w:rPr>
          <w:rFonts w:ascii="Aptos" w:hAnsi="Aptos"/>
        </w:rPr>
      </w:pPr>
      <w:r w:rsidRPr="00E07043">
        <w:rPr>
          <w:rStyle w:val="FootnoteReference"/>
          <w:rFonts w:ascii="Aptos" w:hAnsi="Aptos"/>
        </w:rPr>
        <w:footnoteRef/>
      </w:r>
      <w:r w:rsidRPr="00E07043">
        <w:rPr>
          <w:rFonts w:ascii="Aptos" w:hAnsi="Aptos"/>
        </w:rPr>
        <w:t xml:space="preserve"> </w:t>
      </w:r>
      <w:r w:rsidR="006C2AA1" w:rsidRPr="00E07043">
        <w:rPr>
          <w:rFonts w:ascii="Aptos" w:hAnsi="Aptos"/>
        </w:rPr>
        <w:t xml:space="preserve">See </w:t>
      </w:r>
      <w:r w:rsidR="006C2AA1" w:rsidRPr="00E07043">
        <w:rPr>
          <w:rFonts w:ascii="Aptos" w:hAnsi="Aptos"/>
          <w:i/>
          <w:iCs/>
        </w:rPr>
        <w:t>Mount Olive</w:t>
      </w:r>
      <w:r w:rsidR="006C2AA1" w:rsidRPr="00E07043">
        <w:rPr>
          <w:rFonts w:ascii="Aptos" w:hAnsi="Aptos"/>
        </w:rPr>
        <w:t xml:space="preserve"> at</w:t>
      </w:r>
      <w:r w:rsidR="00E07043" w:rsidRPr="00E07043">
        <w:rPr>
          <w:rFonts w:ascii="Aptos" w:hAnsi="Aptos"/>
        </w:rPr>
        <w:t xml:space="preserve"> *4 (evaluation of homelessness “must include the reasons for the living conditions – including the resources and intentions of the parents or custodians”); see also </w:t>
      </w:r>
      <w:r w:rsidR="00E07043" w:rsidRPr="00E07043">
        <w:rPr>
          <w:rFonts w:ascii="Aptos" w:hAnsi="Aptos"/>
          <w:i/>
          <w:iCs/>
        </w:rPr>
        <w:t>id</w:t>
      </w:r>
      <w:r w:rsidR="00E07043" w:rsidRPr="00E07043">
        <w:rPr>
          <w:rFonts w:ascii="Aptos" w:hAnsi="Aptos"/>
        </w:rPr>
        <w:t>. at *1 (</w:t>
      </w:r>
      <w:r w:rsidR="00E07043">
        <w:rPr>
          <w:rFonts w:ascii="Aptos" w:hAnsi="Aptos"/>
        </w:rPr>
        <w:t xml:space="preserve">in </w:t>
      </w:r>
      <w:r w:rsidR="00E07043" w:rsidRPr="00E07043">
        <w:rPr>
          <w:rFonts w:ascii="Aptos" w:hAnsi="Aptos"/>
        </w:rPr>
        <w:t>determining that the family was not homeless, the ALJ considered the fact that they viewed their mobile home located on a campground as their permanent home</w:t>
      </w:r>
      <w:r w:rsidR="006C2AA1" w:rsidRPr="00E07043">
        <w:rPr>
          <w:rFonts w:ascii="Aptos" w:hAnsi="Aptos"/>
        </w:rPr>
        <w:t>)</w:t>
      </w:r>
      <w:r w:rsidR="00E07043" w:rsidRPr="00E07043">
        <w:rPr>
          <w:rFonts w:ascii="Aptos" w:hAnsi="Aptos"/>
        </w:rPr>
        <w:t>.</w:t>
      </w:r>
    </w:p>
  </w:footnote>
  <w:footnote w:id="54">
    <w:p w14:paraId="3BA89824" w14:textId="1494EAD7" w:rsidR="00982BAF" w:rsidRPr="0006570D" w:rsidRDefault="00982BAF">
      <w:pPr>
        <w:pStyle w:val="FootnoteText"/>
        <w:rPr>
          <w:rFonts w:ascii="Aptos" w:hAnsi="Aptos"/>
        </w:rPr>
      </w:pPr>
      <w:r w:rsidRPr="0006570D">
        <w:rPr>
          <w:rStyle w:val="FootnoteReference"/>
          <w:rFonts w:ascii="Aptos" w:hAnsi="Aptos"/>
        </w:rPr>
        <w:footnoteRef/>
      </w:r>
      <w:r w:rsidRPr="0006570D">
        <w:rPr>
          <w:rFonts w:ascii="Aptos" w:hAnsi="Aptos"/>
        </w:rPr>
        <w:t xml:space="preserve"> </w:t>
      </w:r>
      <w:r w:rsidRPr="0006570D">
        <w:rPr>
          <w:rFonts w:ascii="Aptos" w:hAnsi="Aptos"/>
          <w:i/>
          <w:iCs/>
        </w:rPr>
        <w:t>Volk</w:t>
      </w:r>
      <w:r w:rsidRPr="0006570D">
        <w:rPr>
          <w:rFonts w:ascii="Aptos" w:hAnsi="Aptos"/>
        </w:rPr>
        <w:t xml:space="preserve"> at *12</w:t>
      </w:r>
      <w:r w:rsidR="00B26BBF" w:rsidRPr="0006570D">
        <w:rPr>
          <w:rFonts w:ascii="Aptos" w:hAnsi="Aptos"/>
        </w:rPr>
        <w:t xml:space="preserve">; see </w:t>
      </w:r>
      <w:r w:rsidR="00F77A51">
        <w:rPr>
          <w:rFonts w:ascii="Aptos" w:hAnsi="Aptos"/>
        </w:rPr>
        <w:t>Department’s Housing</w:t>
      </w:r>
      <w:r w:rsidR="00B26BBF" w:rsidRPr="0006570D">
        <w:rPr>
          <w:rFonts w:ascii="Aptos" w:hAnsi="Aptos"/>
          <w:i/>
          <w:iCs/>
        </w:rPr>
        <w:t xml:space="preserve"> </w:t>
      </w:r>
      <w:r w:rsidR="00B26BBF" w:rsidRPr="0006570D">
        <w:rPr>
          <w:rFonts w:ascii="Aptos" w:hAnsi="Aptos"/>
        </w:rPr>
        <w:t>Guidance</w:t>
      </w:r>
      <w:r w:rsidR="00B26BBF" w:rsidRPr="0006570D">
        <w:rPr>
          <w:rFonts w:ascii="Aptos" w:hAnsi="Aptos"/>
          <w:i/>
          <w:iCs/>
        </w:rPr>
        <w:t xml:space="preserve"> </w:t>
      </w:r>
      <w:r w:rsidR="00B26BBF" w:rsidRPr="0006570D">
        <w:rPr>
          <w:rFonts w:ascii="Aptos" w:hAnsi="Aptos"/>
        </w:rPr>
        <w:t>(“Enrollment should not depend upon where the student or family intends to reside in the future”)</w:t>
      </w:r>
      <w:r w:rsidRPr="0006570D">
        <w:rPr>
          <w:rFonts w:ascii="Aptos" w:hAnsi="Aptos"/>
        </w:rPr>
        <w:t>.</w:t>
      </w:r>
      <w:r w:rsidR="00B26BBF" w:rsidRPr="0006570D">
        <w:rPr>
          <w:rFonts w:ascii="Aptos" w:hAnsi="Aptos"/>
        </w:rPr>
        <w:t xml:space="preserve"> But see </w:t>
      </w:r>
      <w:r w:rsidR="00F77A51">
        <w:rPr>
          <w:rFonts w:ascii="Aptos" w:hAnsi="Aptos"/>
        </w:rPr>
        <w:t>Department’s Housing</w:t>
      </w:r>
      <w:r w:rsidR="00B26BBF" w:rsidRPr="0006570D">
        <w:rPr>
          <w:rFonts w:ascii="Aptos" w:hAnsi="Aptos"/>
          <w:i/>
          <w:iCs/>
        </w:rPr>
        <w:t xml:space="preserve"> </w:t>
      </w:r>
      <w:r w:rsidR="00B26BBF" w:rsidRPr="0006570D">
        <w:rPr>
          <w:rFonts w:ascii="Aptos" w:hAnsi="Aptos"/>
        </w:rPr>
        <w:t>Guidance (“there is no time limit on homelessness</w:t>
      </w:r>
      <w:r w:rsidR="0006570D" w:rsidRPr="0006570D">
        <w:rPr>
          <w:rFonts w:ascii="Aptos" w:hAnsi="Aptos"/>
        </w:rPr>
        <w:t xml:space="preserve">. . . </w:t>
      </w:r>
      <w:r w:rsidR="00B26BBF" w:rsidRPr="0006570D">
        <w:rPr>
          <w:rFonts w:ascii="Aptos" w:hAnsi="Aptos"/>
        </w:rPr>
        <w:t>For example, families/students may be in a shelter for up to 24 months or longer. Doubled up situations can last for years. Families/students are considered homeless until they have acquired fixed, regular and adequate housing”).</w:t>
      </w:r>
    </w:p>
  </w:footnote>
  <w:footnote w:id="55">
    <w:p w14:paraId="2D98B855" w14:textId="7AB94D95" w:rsidR="008128B6" w:rsidRPr="0006570D" w:rsidRDefault="008128B6">
      <w:pPr>
        <w:pStyle w:val="FootnoteText"/>
        <w:rPr>
          <w:rFonts w:ascii="Aptos" w:hAnsi="Aptos"/>
        </w:rPr>
      </w:pPr>
      <w:r w:rsidRPr="0006570D">
        <w:rPr>
          <w:rStyle w:val="FootnoteReference"/>
          <w:rFonts w:ascii="Aptos" w:hAnsi="Aptos"/>
        </w:rPr>
        <w:footnoteRef/>
      </w:r>
      <w:r w:rsidRPr="0006570D">
        <w:rPr>
          <w:rFonts w:ascii="Aptos" w:hAnsi="Aptos"/>
        </w:rPr>
        <w:t xml:space="preserve"> </w:t>
      </w:r>
      <w:r w:rsidRPr="0006570D">
        <w:rPr>
          <w:rFonts w:ascii="Aptos" w:hAnsi="Aptos"/>
          <w:i/>
          <w:iCs/>
        </w:rPr>
        <w:t>Cf</w:t>
      </w:r>
      <w:r w:rsidRPr="0006570D">
        <w:rPr>
          <w:rFonts w:ascii="Aptos" w:hAnsi="Aptos"/>
        </w:rPr>
        <w:t xml:space="preserve">. </w:t>
      </w:r>
      <w:r w:rsidRPr="0006570D">
        <w:rPr>
          <w:rFonts w:ascii="Aptos" w:hAnsi="Aptos"/>
          <w:i/>
          <w:iCs/>
        </w:rPr>
        <w:t>Branchburg</w:t>
      </w:r>
      <w:r w:rsidRPr="0006570D">
        <w:rPr>
          <w:rFonts w:ascii="Aptos" w:hAnsi="Aptos"/>
        </w:rPr>
        <w:t>, at *4 (discussing New Jersey statute regarding homelessness for purposes of student enrollment).</w:t>
      </w:r>
    </w:p>
  </w:footnote>
  <w:footnote w:id="56">
    <w:p w14:paraId="605B8B3A" w14:textId="1FB8F389" w:rsidR="00D66650" w:rsidRPr="009032B4" w:rsidRDefault="00D66650">
      <w:pPr>
        <w:pStyle w:val="FootnoteText"/>
        <w:rPr>
          <w:rFonts w:ascii="Aptos" w:hAnsi="Aptos"/>
        </w:rPr>
      </w:pPr>
      <w:r w:rsidRPr="009032B4">
        <w:rPr>
          <w:rStyle w:val="FootnoteReference"/>
          <w:rFonts w:ascii="Aptos" w:hAnsi="Aptos"/>
        </w:rPr>
        <w:footnoteRef/>
      </w:r>
      <w:r w:rsidRPr="009032B4">
        <w:rPr>
          <w:rFonts w:ascii="Aptos" w:hAnsi="Aptos"/>
        </w:rPr>
        <w:t xml:space="preserve"> See 110 CMR § 1.11.</w:t>
      </w:r>
    </w:p>
  </w:footnote>
  <w:footnote w:id="57">
    <w:p w14:paraId="5FC8EB93" w14:textId="199A4C13" w:rsidR="009032B4" w:rsidRPr="009032B4" w:rsidRDefault="009032B4">
      <w:pPr>
        <w:pStyle w:val="FootnoteText"/>
        <w:rPr>
          <w:rFonts w:ascii="Aptos" w:hAnsi="Aptos"/>
        </w:rPr>
      </w:pPr>
      <w:r w:rsidRPr="009032B4">
        <w:rPr>
          <w:rStyle w:val="FootnoteReference"/>
          <w:rFonts w:ascii="Aptos" w:hAnsi="Aptos"/>
        </w:rPr>
        <w:footnoteRef/>
      </w:r>
      <w:r w:rsidRPr="009032B4">
        <w:rPr>
          <w:rFonts w:ascii="Aptos" w:hAnsi="Aptos"/>
        </w:rPr>
        <w:t xml:space="preserve"> </w:t>
      </w:r>
      <w:r w:rsidR="00E07043" w:rsidRPr="00AA6B4A">
        <w:rPr>
          <w:rFonts w:ascii="Aptos" w:hAnsi="Aptos"/>
        </w:rPr>
        <w:t>A copy of this M</w:t>
      </w:r>
      <w:r w:rsidR="00985225">
        <w:rPr>
          <w:rFonts w:ascii="Aptos" w:hAnsi="Aptos"/>
        </w:rPr>
        <w:t>emorandum of Understanding</w:t>
      </w:r>
      <w:r w:rsidR="00E07043" w:rsidRPr="00AA6B4A">
        <w:rPr>
          <w:rFonts w:ascii="Aptos" w:hAnsi="Aptos"/>
        </w:rPr>
        <w:t xml:space="preserve"> can be found at https://www.publiccounsel.net/wp-content/uploads/2014/11/Memo-of-understanding-DCF-and-HCD.pdf</w:t>
      </w:r>
      <w:r w:rsidR="00E07043">
        <w:rPr>
          <w:rFonts w:ascii="Aptos" w:hAnsi="Aptos"/>
        </w:rPr>
        <w:t>.</w:t>
      </w:r>
    </w:p>
  </w:footnote>
  <w:footnote w:id="58">
    <w:p w14:paraId="73E29070" w14:textId="47B8AFE4" w:rsidR="00D66650" w:rsidRPr="006E122D" w:rsidRDefault="00D66650">
      <w:pPr>
        <w:pStyle w:val="FootnoteText"/>
        <w:rPr>
          <w:rFonts w:ascii="Aptos" w:hAnsi="Aptos"/>
        </w:rPr>
      </w:pPr>
      <w:r w:rsidRPr="009032B4">
        <w:rPr>
          <w:rStyle w:val="FootnoteReference"/>
          <w:rFonts w:ascii="Aptos" w:hAnsi="Aptos"/>
        </w:rPr>
        <w:footnoteRef/>
      </w:r>
      <w:r w:rsidRPr="009032B4">
        <w:rPr>
          <w:rFonts w:ascii="Aptos" w:hAnsi="Aptos"/>
        </w:rPr>
        <w:t xml:space="preserve"> See DCF Policy # 23-01, Licensing of Foster, Pre-Adoptive, and Kinship Families (effective 02/27/2023)</w:t>
      </w:r>
      <w:r w:rsidR="009032B4">
        <w:rPr>
          <w:rFonts w:ascii="Aptos" w:hAnsi="Aptos"/>
        </w:rPr>
        <w:t xml:space="preserve">, </w:t>
      </w:r>
      <w:r w:rsidR="009032B4" w:rsidRPr="00DC415F">
        <w:rPr>
          <w:rFonts w:ascii="Aptos" w:hAnsi="Aptos"/>
          <w:i/>
          <w:iCs/>
        </w:rPr>
        <w:t>available at</w:t>
      </w:r>
      <w:r w:rsidR="009032B4">
        <w:rPr>
          <w:rFonts w:ascii="Aptos" w:hAnsi="Aptos"/>
        </w:rPr>
        <w:t xml:space="preserve"> </w:t>
      </w:r>
      <w:r w:rsidR="009032B4" w:rsidRPr="009032B4">
        <w:rPr>
          <w:rFonts w:ascii="Aptos" w:hAnsi="Aptos"/>
        </w:rPr>
        <w:t>https://www.mass.gov/doc/licensing-of-foster-pre-adoptive-and-kinship-families/</w:t>
      </w:r>
      <w:r w:rsidRPr="009032B4">
        <w:rPr>
          <w:rFonts w:ascii="Aptos" w:hAnsi="Aptos"/>
        </w:rPr>
        <w:t>.</w:t>
      </w:r>
    </w:p>
  </w:footnote>
  <w:footnote w:id="59">
    <w:p w14:paraId="453A6D06" w14:textId="7699099B" w:rsidR="006E122D" w:rsidRPr="009032B4" w:rsidRDefault="006E122D">
      <w:pPr>
        <w:pStyle w:val="FootnoteText"/>
        <w:rPr>
          <w:rFonts w:ascii="Aptos" w:hAnsi="Aptos"/>
        </w:rPr>
      </w:pPr>
      <w:r w:rsidRPr="009032B4">
        <w:rPr>
          <w:rStyle w:val="FootnoteReference"/>
          <w:rFonts w:ascii="Aptos" w:hAnsi="Aptos"/>
        </w:rPr>
        <w:footnoteRef/>
      </w:r>
      <w:r w:rsidRPr="009032B4">
        <w:rPr>
          <w:rFonts w:ascii="Aptos" w:hAnsi="Aptos"/>
        </w:rPr>
        <w:t xml:space="preserve"> See </w:t>
      </w:r>
      <w:r w:rsidRPr="009032B4">
        <w:rPr>
          <w:rFonts w:ascii="Aptos" w:hAnsi="Aptos"/>
          <w:i/>
          <w:iCs/>
        </w:rPr>
        <w:t>id</w:t>
      </w:r>
      <w:r w:rsidRPr="009032B4">
        <w:rPr>
          <w:rFonts w:ascii="Aptos" w:hAnsi="Aptos"/>
        </w:rPr>
        <w:t>.</w:t>
      </w:r>
    </w:p>
  </w:footnote>
  <w:footnote w:id="60">
    <w:p w14:paraId="1AEBFC41" w14:textId="1FF17C0D" w:rsidR="006E122D" w:rsidRPr="009032B4" w:rsidRDefault="006E122D">
      <w:pPr>
        <w:pStyle w:val="FootnoteText"/>
        <w:rPr>
          <w:rFonts w:ascii="Aptos" w:hAnsi="Aptos"/>
        </w:rPr>
      </w:pPr>
      <w:r w:rsidRPr="009032B4">
        <w:rPr>
          <w:rStyle w:val="FootnoteReference"/>
          <w:rFonts w:ascii="Aptos" w:hAnsi="Aptos"/>
        </w:rPr>
        <w:footnoteRef/>
      </w:r>
      <w:r w:rsidRPr="009032B4">
        <w:rPr>
          <w:rFonts w:ascii="Aptos" w:hAnsi="Aptos"/>
        </w:rPr>
        <w:t xml:space="preserve"> See </w:t>
      </w:r>
      <w:r w:rsidRPr="009032B4">
        <w:rPr>
          <w:rFonts w:ascii="Aptos" w:hAnsi="Aptos"/>
          <w:i/>
          <w:iCs/>
        </w:rPr>
        <w:t>id</w:t>
      </w:r>
      <w:r w:rsidRPr="009032B4">
        <w:rPr>
          <w:rFonts w:ascii="Aptos" w:hAnsi="Aptos"/>
        </w:rPr>
        <w:t>.</w:t>
      </w:r>
    </w:p>
  </w:footnote>
  <w:footnote w:id="61">
    <w:p w14:paraId="07805509" w14:textId="61B4FA59" w:rsidR="00AA5261" w:rsidRPr="009032B4" w:rsidRDefault="00AA5261">
      <w:pPr>
        <w:pStyle w:val="FootnoteText"/>
        <w:rPr>
          <w:rFonts w:ascii="Aptos" w:hAnsi="Aptos"/>
        </w:rPr>
      </w:pPr>
      <w:r w:rsidRPr="009032B4">
        <w:rPr>
          <w:rStyle w:val="FootnoteReference"/>
          <w:rFonts w:ascii="Aptos" w:hAnsi="Aptos"/>
        </w:rPr>
        <w:footnoteRef/>
      </w:r>
      <w:r w:rsidRPr="009032B4">
        <w:rPr>
          <w:rFonts w:ascii="Aptos" w:hAnsi="Aptos"/>
        </w:rPr>
        <w:t xml:space="preserve"> I incorporate by reference the factual findings made in Part II</w:t>
      </w:r>
      <w:r w:rsidR="009032B4">
        <w:rPr>
          <w:rFonts w:ascii="Aptos" w:hAnsi="Aptos"/>
        </w:rPr>
        <w:t>, a</w:t>
      </w:r>
      <w:r w:rsidRPr="009032B4">
        <w:rPr>
          <w:rFonts w:ascii="Aptos" w:hAnsi="Aptos"/>
        </w:rPr>
        <w:t>bove.</w:t>
      </w:r>
    </w:p>
  </w:footnote>
  <w:footnote w:id="62">
    <w:p w14:paraId="7340701B" w14:textId="6E052ACE" w:rsidR="00932535" w:rsidRPr="002865FC" w:rsidRDefault="00932535">
      <w:pPr>
        <w:pStyle w:val="FootnoteText"/>
        <w:rPr>
          <w:rFonts w:ascii="Aptos" w:hAnsi="Aptos"/>
        </w:rPr>
      </w:pPr>
      <w:r w:rsidRPr="009032B4">
        <w:rPr>
          <w:rStyle w:val="FootnoteReference"/>
          <w:rFonts w:ascii="Aptos" w:hAnsi="Aptos"/>
        </w:rPr>
        <w:footnoteRef/>
      </w:r>
      <w:r w:rsidRPr="009032B4">
        <w:rPr>
          <w:rFonts w:ascii="Aptos" w:hAnsi="Aptos"/>
        </w:rPr>
        <w:t xml:space="preserve"> </w:t>
      </w:r>
      <w:r w:rsidR="00E06927">
        <w:rPr>
          <w:rFonts w:ascii="Aptos" w:hAnsi="Aptos"/>
        </w:rPr>
        <w:t>M.</w:t>
      </w:r>
      <w:r w:rsidRPr="009032B4">
        <w:rPr>
          <w:rFonts w:ascii="Aptos" w:hAnsi="Aptos"/>
        </w:rPr>
        <w:t>G.L</w:t>
      </w:r>
      <w:r w:rsidR="00E06927">
        <w:rPr>
          <w:rFonts w:ascii="Aptos" w:hAnsi="Aptos"/>
        </w:rPr>
        <w:t xml:space="preserve"> </w:t>
      </w:r>
      <w:r w:rsidRPr="009032B4">
        <w:rPr>
          <w:rFonts w:ascii="Aptos" w:hAnsi="Aptos"/>
        </w:rPr>
        <w:t>.</w:t>
      </w:r>
      <w:r w:rsidR="00E06927">
        <w:rPr>
          <w:rFonts w:ascii="Aptos" w:hAnsi="Aptos"/>
        </w:rPr>
        <w:t xml:space="preserve"> </w:t>
      </w:r>
      <w:r w:rsidRPr="009032B4">
        <w:rPr>
          <w:rFonts w:ascii="Aptos" w:hAnsi="Aptos"/>
        </w:rPr>
        <w:t>c. 71B, § 2A</w:t>
      </w:r>
      <w:r w:rsidR="002865FC">
        <w:rPr>
          <w:rFonts w:ascii="Aptos" w:hAnsi="Aptos"/>
        </w:rPr>
        <w:t xml:space="preserve">. I am unpersuaded by DESE’s argument that the BSEA may not review whether a student is homeless under </w:t>
      </w:r>
      <w:r w:rsidR="002865FC">
        <w:rPr>
          <w:rFonts w:ascii="Aptos" w:hAnsi="Aptos"/>
          <w:i/>
          <w:iCs/>
        </w:rPr>
        <w:t>McKinney-Vento</w:t>
      </w:r>
      <w:r w:rsidR="002865FC">
        <w:rPr>
          <w:rFonts w:ascii="Aptos" w:hAnsi="Aptos"/>
        </w:rPr>
        <w:t xml:space="preserve"> when that determination is central to the BSEA’s review of a LEA Assignment issued by the Department. Among other things, DESE’s citation of </w:t>
      </w:r>
      <w:r w:rsidR="002865FC">
        <w:rPr>
          <w:rFonts w:ascii="Aptos" w:hAnsi="Aptos"/>
          <w:i/>
          <w:iCs/>
        </w:rPr>
        <w:t>Fitchburg Public Schools, Narragansett Regional School District, and DESE</w:t>
      </w:r>
      <w:r w:rsidR="002865FC">
        <w:rPr>
          <w:rFonts w:ascii="Aptos" w:hAnsi="Aptos"/>
        </w:rPr>
        <w:t xml:space="preserve"> in its </w:t>
      </w:r>
      <w:r w:rsidR="002865FC" w:rsidRPr="002865FC">
        <w:rPr>
          <w:rFonts w:ascii="Aptos" w:hAnsi="Aptos"/>
          <w:i/>
          <w:iCs/>
        </w:rPr>
        <w:t>Response</w:t>
      </w:r>
      <w:r w:rsidR="002865FC">
        <w:rPr>
          <w:rFonts w:ascii="Aptos" w:hAnsi="Aptos"/>
          <w:i/>
          <w:iCs/>
        </w:rPr>
        <w:t xml:space="preserve"> </w:t>
      </w:r>
      <w:r w:rsidR="002865FC">
        <w:rPr>
          <w:rFonts w:ascii="Aptos" w:hAnsi="Aptos"/>
        </w:rPr>
        <w:t xml:space="preserve">to Foxborough’s </w:t>
      </w:r>
      <w:r w:rsidR="002865FC">
        <w:rPr>
          <w:rFonts w:ascii="Aptos" w:hAnsi="Aptos"/>
          <w:i/>
          <w:iCs/>
        </w:rPr>
        <w:t>Hearing Request</w:t>
      </w:r>
      <w:r w:rsidR="002865FC">
        <w:rPr>
          <w:rFonts w:ascii="Aptos" w:hAnsi="Aptos"/>
        </w:rPr>
        <w:t xml:space="preserve"> </w:t>
      </w:r>
      <w:r w:rsidR="002865FC" w:rsidRPr="002865FC">
        <w:rPr>
          <w:rFonts w:ascii="Aptos" w:hAnsi="Aptos"/>
        </w:rPr>
        <w:t>is</w:t>
      </w:r>
      <w:r w:rsidR="002865FC">
        <w:rPr>
          <w:rFonts w:ascii="Aptos" w:hAnsi="Aptos"/>
        </w:rPr>
        <w:t xml:space="preserve"> inapposite; the Department quotes a footnote, out of context, within a decision where the Hearing Officer did review (and affirm) DESE’s determination that a student was homeless. See BSEA #12-3434 (Crane, 2012).</w:t>
      </w:r>
    </w:p>
  </w:footnote>
  <w:footnote w:id="63">
    <w:p w14:paraId="5D3B0C0B" w14:textId="0DA4C71B" w:rsidR="000F0D2D" w:rsidRDefault="000F0D2D">
      <w:pPr>
        <w:pStyle w:val="FootnoteText"/>
      </w:pPr>
      <w:r w:rsidRPr="009032B4">
        <w:rPr>
          <w:rStyle w:val="FootnoteReference"/>
          <w:rFonts w:ascii="Aptos" w:hAnsi="Aptos"/>
        </w:rPr>
        <w:footnoteRef/>
      </w:r>
      <w:r w:rsidRPr="009032B4">
        <w:rPr>
          <w:rFonts w:ascii="Aptos" w:hAnsi="Aptos"/>
        </w:rPr>
        <w:t xml:space="preserve"> See F-5.</w:t>
      </w:r>
      <w:r w:rsidR="00E06927">
        <w:rPr>
          <w:rFonts w:ascii="Aptos" w:hAnsi="Aptos"/>
        </w:rPr>
        <w:t xml:space="preserve"> </w:t>
      </w:r>
    </w:p>
  </w:footnote>
  <w:footnote w:id="64">
    <w:p w14:paraId="081971D6" w14:textId="373626E5" w:rsidR="006A150D" w:rsidRPr="003E74B8" w:rsidRDefault="006A150D">
      <w:pPr>
        <w:pStyle w:val="FootnoteText"/>
        <w:rPr>
          <w:rFonts w:ascii="Aptos" w:hAnsi="Aptos"/>
        </w:rPr>
      </w:pPr>
      <w:r w:rsidRPr="003E74B8">
        <w:rPr>
          <w:rStyle w:val="FootnoteReference"/>
          <w:rFonts w:ascii="Aptos" w:hAnsi="Aptos"/>
        </w:rPr>
        <w:footnoteRef/>
      </w:r>
      <w:r w:rsidRPr="003E74B8">
        <w:rPr>
          <w:rFonts w:ascii="Aptos" w:hAnsi="Aptos"/>
        </w:rPr>
        <w:t xml:space="preserve"> 42 U.S.C. § 11434a(2)(B)(</w:t>
      </w:r>
      <w:r w:rsidRPr="003E74B8">
        <w:rPr>
          <w:rFonts w:ascii="Aptos" w:hAnsi="Aptos"/>
        </w:rPr>
        <w:t>i).</w:t>
      </w:r>
    </w:p>
  </w:footnote>
  <w:footnote w:id="65">
    <w:p w14:paraId="0414F8D8" w14:textId="387E1143" w:rsidR="0021763D" w:rsidRPr="00885410" w:rsidRDefault="0021763D">
      <w:pPr>
        <w:pStyle w:val="FootnoteText"/>
        <w:rPr>
          <w:rFonts w:ascii="Aptos" w:hAnsi="Aptos"/>
        </w:rPr>
      </w:pPr>
      <w:r w:rsidRPr="003E74B8">
        <w:rPr>
          <w:rStyle w:val="FootnoteReference"/>
          <w:rFonts w:ascii="Aptos" w:hAnsi="Aptos"/>
        </w:rPr>
        <w:footnoteRef/>
      </w:r>
      <w:r w:rsidRPr="003E74B8">
        <w:rPr>
          <w:rFonts w:ascii="Aptos" w:hAnsi="Aptos"/>
        </w:rPr>
        <w:t xml:space="preserve"> See </w:t>
      </w:r>
      <w:r w:rsidR="00F77A51">
        <w:rPr>
          <w:rFonts w:ascii="Aptos" w:hAnsi="Aptos"/>
        </w:rPr>
        <w:t>Department’s Housing</w:t>
      </w:r>
      <w:r w:rsidRPr="003E74B8">
        <w:rPr>
          <w:rFonts w:ascii="Aptos" w:hAnsi="Aptos"/>
        </w:rPr>
        <w:t xml:space="preserve"> Guidance (homelessness is based on student’s circumstances, not those of the parent or guardian). </w:t>
      </w:r>
      <w:r w:rsidRPr="003E74B8">
        <w:rPr>
          <w:rFonts w:ascii="Aptos" w:hAnsi="Aptos"/>
          <w:i/>
          <w:iCs/>
        </w:rPr>
        <w:t>Cf. J.S.</w:t>
      </w:r>
      <w:r w:rsidRPr="003E74B8">
        <w:rPr>
          <w:rFonts w:ascii="Aptos" w:hAnsi="Aptos"/>
        </w:rPr>
        <w:t xml:space="preserve"> (suggesting that where parents have joint custody, homelessness cannot be predicated on a move from the home of one parent to the other, even if such move was due to the first parent’s loss of </w:t>
      </w:r>
      <w:r w:rsidRPr="00885410">
        <w:rPr>
          <w:rFonts w:ascii="Aptos" w:hAnsi="Aptos"/>
        </w:rPr>
        <w:t>housing or economic hardship)</w:t>
      </w:r>
      <w:r w:rsidR="003E74B8" w:rsidRPr="00885410">
        <w:rPr>
          <w:rFonts w:ascii="Aptos" w:hAnsi="Aptos"/>
        </w:rPr>
        <w:t xml:space="preserve">; </w:t>
      </w:r>
      <w:r w:rsidR="003E74B8" w:rsidRPr="00885410">
        <w:rPr>
          <w:rFonts w:ascii="Aptos" w:hAnsi="Aptos"/>
          <w:i/>
          <w:iCs/>
        </w:rPr>
        <w:t>Perille</w:t>
      </w:r>
      <w:r w:rsidR="009032B4">
        <w:rPr>
          <w:rFonts w:ascii="Aptos" w:hAnsi="Aptos"/>
        </w:rPr>
        <w:t xml:space="preserve"> </w:t>
      </w:r>
      <w:r w:rsidR="003E74B8" w:rsidRPr="00885410">
        <w:rPr>
          <w:rFonts w:ascii="Aptos" w:hAnsi="Aptos"/>
        </w:rPr>
        <w:t xml:space="preserve">at *6 (describing </w:t>
      </w:r>
      <w:r w:rsidR="003E74B8" w:rsidRPr="00885410">
        <w:rPr>
          <w:rFonts w:ascii="Aptos" w:hAnsi="Aptos"/>
          <w:i/>
          <w:iCs/>
        </w:rPr>
        <w:t>J.S.</w:t>
      </w:r>
      <w:r w:rsidR="003E74B8" w:rsidRPr="00885410">
        <w:rPr>
          <w:rFonts w:ascii="Aptos" w:hAnsi="Aptos"/>
        </w:rPr>
        <w:t xml:space="preserve"> as a case where children “who have alternative adequate living arrangements available to them do not qualify as homeless for the purposes of” McKinney-Vento).</w:t>
      </w:r>
    </w:p>
  </w:footnote>
  <w:footnote w:id="66">
    <w:p w14:paraId="7B26897B" w14:textId="61335C61" w:rsidR="003E74B8" w:rsidRPr="00885410" w:rsidRDefault="003E74B8">
      <w:pPr>
        <w:pStyle w:val="FootnoteText"/>
        <w:rPr>
          <w:rFonts w:ascii="Aptos" w:hAnsi="Aptos"/>
        </w:rPr>
      </w:pPr>
      <w:r w:rsidRPr="00885410">
        <w:rPr>
          <w:rStyle w:val="FootnoteReference"/>
          <w:rFonts w:ascii="Aptos" w:hAnsi="Aptos"/>
        </w:rPr>
        <w:footnoteRef/>
      </w:r>
      <w:r w:rsidRPr="00885410">
        <w:rPr>
          <w:rFonts w:ascii="Aptos" w:hAnsi="Aptos"/>
        </w:rPr>
        <w:t xml:space="preserve"> See </w:t>
      </w:r>
      <w:r w:rsidRPr="00885410">
        <w:rPr>
          <w:rFonts w:ascii="Aptos" w:hAnsi="Aptos"/>
          <w:i/>
          <w:iCs/>
        </w:rPr>
        <w:t>Mount Olive</w:t>
      </w:r>
      <w:r w:rsidR="009032B4">
        <w:rPr>
          <w:rFonts w:ascii="Aptos" w:hAnsi="Aptos"/>
        </w:rPr>
        <w:t xml:space="preserve"> </w:t>
      </w:r>
      <w:r w:rsidRPr="00885410">
        <w:rPr>
          <w:rFonts w:ascii="Aptos" w:hAnsi="Aptos"/>
        </w:rPr>
        <w:t xml:space="preserve">at *2 (where family lived in mobile home on campground </w:t>
      </w:r>
      <w:r w:rsidR="00DA42DB" w:rsidRPr="00885410">
        <w:rPr>
          <w:rFonts w:ascii="Aptos" w:hAnsi="Aptos"/>
        </w:rPr>
        <w:t>year-round</w:t>
      </w:r>
      <w:r w:rsidRPr="00885410">
        <w:rPr>
          <w:rFonts w:ascii="Aptos" w:hAnsi="Aptos"/>
        </w:rPr>
        <w:t xml:space="preserve"> and considered it their permanent home, ALJ </w:t>
      </w:r>
      <w:r w:rsidR="00885410" w:rsidRPr="00885410">
        <w:rPr>
          <w:rFonts w:ascii="Aptos" w:hAnsi="Aptos"/>
        </w:rPr>
        <w:t xml:space="preserve">concluded </w:t>
      </w:r>
      <w:r w:rsidRPr="00885410">
        <w:rPr>
          <w:rFonts w:ascii="Aptos" w:hAnsi="Aptos"/>
        </w:rPr>
        <w:t xml:space="preserve">that children were not homeless, </w:t>
      </w:r>
      <w:r w:rsidR="00E06927">
        <w:rPr>
          <w:rFonts w:ascii="Aptos" w:hAnsi="Aptos"/>
        </w:rPr>
        <w:t>finding that</w:t>
      </w:r>
      <w:r w:rsidR="00885410" w:rsidRPr="00885410">
        <w:rPr>
          <w:rFonts w:ascii="Aptos" w:hAnsi="Aptos"/>
        </w:rPr>
        <w:t xml:space="preserve"> “[</w:t>
      </w:r>
      <w:r w:rsidR="00885410" w:rsidRPr="00885410">
        <w:rPr>
          <w:rFonts w:ascii="Aptos" w:hAnsi="Aptos"/>
        </w:rPr>
        <w:t>i]n short, the M. family have chosen their living situation”).</w:t>
      </w:r>
    </w:p>
  </w:footnote>
  <w:footnote w:id="67">
    <w:p w14:paraId="7F2BA4FE" w14:textId="46B06EDD" w:rsidR="006A150D" w:rsidRPr="00467567" w:rsidRDefault="006A150D">
      <w:pPr>
        <w:pStyle w:val="FootnoteText"/>
        <w:rPr>
          <w:rFonts w:ascii="Aptos" w:hAnsi="Aptos"/>
          <w:i/>
          <w:iCs/>
        </w:rPr>
      </w:pPr>
      <w:r w:rsidRPr="00467567">
        <w:rPr>
          <w:rStyle w:val="FootnoteReference"/>
          <w:rFonts w:ascii="Aptos" w:hAnsi="Aptos"/>
        </w:rPr>
        <w:footnoteRef/>
      </w:r>
      <w:r w:rsidRPr="00467567">
        <w:rPr>
          <w:rFonts w:ascii="Aptos" w:hAnsi="Aptos"/>
        </w:rPr>
        <w:t xml:space="preserve"> </w:t>
      </w:r>
      <w:r w:rsidRPr="00467567">
        <w:rPr>
          <w:rFonts w:ascii="Aptos" w:hAnsi="Aptos"/>
          <w:i/>
          <w:iCs/>
        </w:rPr>
        <w:t>Mount Olive</w:t>
      </w:r>
      <w:r w:rsidRPr="00467567">
        <w:rPr>
          <w:rFonts w:ascii="Aptos" w:hAnsi="Aptos"/>
        </w:rPr>
        <w:t xml:space="preserve"> at *4; see </w:t>
      </w:r>
      <w:r w:rsidRPr="00467567">
        <w:rPr>
          <w:rFonts w:ascii="Aptos" w:hAnsi="Aptos"/>
          <w:i/>
          <w:iCs/>
        </w:rPr>
        <w:t>Volk</w:t>
      </w:r>
      <w:r w:rsidRPr="00467567">
        <w:rPr>
          <w:rFonts w:ascii="Aptos" w:hAnsi="Aptos"/>
        </w:rPr>
        <w:t xml:space="preserve"> at *11; NCHE at 2; </w:t>
      </w:r>
      <w:r w:rsidR="00F77A51" w:rsidRPr="00467567">
        <w:rPr>
          <w:rFonts w:ascii="Aptos" w:hAnsi="Aptos"/>
        </w:rPr>
        <w:t>Department’s Housing</w:t>
      </w:r>
      <w:r w:rsidRPr="00467567">
        <w:rPr>
          <w:rFonts w:ascii="Aptos" w:hAnsi="Aptos"/>
        </w:rPr>
        <w:t xml:space="preserve"> Guidance.</w:t>
      </w:r>
    </w:p>
  </w:footnote>
  <w:footnote w:id="68">
    <w:p w14:paraId="2317C67E" w14:textId="04019177" w:rsidR="007531C2" w:rsidRPr="00467567" w:rsidRDefault="007531C2">
      <w:pPr>
        <w:pStyle w:val="FootnoteText"/>
        <w:rPr>
          <w:rFonts w:ascii="Aptos" w:hAnsi="Aptos"/>
        </w:rPr>
      </w:pPr>
      <w:r w:rsidRPr="00467567">
        <w:rPr>
          <w:rStyle w:val="FootnoteReference"/>
          <w:rFonts w:ascii="Aptos" w:hAnsi="Aptos"/>
        </w:rPr>
        <w:footnoteRef/>
      </w:r>
      <w:r w:rsidRPr="00467567">
        <w:rPr>
          <w:rFonts w:ascii="Aptos" w:hAnsi="Aptos"/>
        </w:rPr>
        <w:t xml:space="preserve"> See NCHE at 7.</w:t>
      </w:r>
    </w:p>
  </w:footnote>
  <w:footnote w:id="69">
    <w:p w14:paraId="3C0FCE9B" w14:textId="6E0739A3" w:rsidR="00467567" w:rsidRPr="00467567" w:rsidRDefault="00467567">
      <w:pPr>
        <w:pStyle w:val="FootnoteText"/>
        <w:rPr>
          <w:rFonts w:ascii="Aptos" w:hAnsi="Aptos"/>
        </w:rPr>
      </w:pPr>
      <w:r w:rsidRPr="00467567">
        <w:rPr>
          <w:rStyle w:val="FootnoteReference"/>
          <w:rFonts w:ascii="Aptos" w:hAnsi="Aptos"/>
        </w:rPr>
        <w:footnoteRef/>
      </w:r>
      <w:r w:rsidRPr="00467567">
        <w:rPr>
          <w:rFonts w:ascii="Aptos" w:hAnsi="Aptos"/>
        </w:rPr>
        <w:t xml:space="preserve"> See </w:t>
      </w:r>
      <w:r w:rsidRPr="00467567">
        <w:rPr>
          <w:rFonts w:ascii="Aptos" w:hAnsi="Aptos"/>
          <w:i/>
          <w:iCs/>
        </w:rPr>
        <w:t>id</w:t>
      </w:r>
      <w:r w:rsidRPr="00467567">
        <w:rPr>
          <w:rFonts w:ascii="Aptos" w:hAnsi="Aptos"/>
        </w:rPr>
        <w:t>.</w:t>
      </w:r>
    </w:p>
  </w:footnote>
  <w:footnote w:id="70">
    <w:p w14:paraId="4A6A6958" w14:textId="77777777" w:rsidR="00DA42DB" w:rsidRPr="00467567" w:rsidRDefault="00DA42DB" w:rsidP="00DA42DB">
      <w:pPr>
        <w:pStyle w:val="FootnoteText"/>
        <w:rPr>
          <w:rFonts w:ascii="Aptos" w:hAnsi="Aptos"/>
        </w:rPr>
      </w:pPr>
      <w:r w:rsidRPr="00467567">
        <w:rPr>
          <w:rStyle w:val="FootnoteReference"/>
          <w:rFonts w:ascii="Aptos" w:hAnsi="Aptos"/>
        </w:rPr>
        <w:footnoteRef/>
      </w:r>
      <w:r w:rsidRPr="00467567">
        <w:rPr>
          <w:rFonts w:ascii="Aptos" w:hAnsi="Aptos"/>
        </w:rPr>
        <w:t xml:space="preserve"> </w:t>
      </w:r>
      <w:r w:rsidRPr="00467567">
        <w:rPr>
          <w:rFonts w:ascii="Aptos" w:hAnsi="Aptos"/>
          <w:i/>
          <w:iCs/>
        </w:rPr>
        <w:t>Mount Olive</w:t>
      </w:r>
      <w:r w:rsidRPr="00467567">
        <w:rPr>
          <w:rFonts w:ascii="Aptos" w:hAnsi="Aptos"/>
        </w:rPr>
        <w:t xml:space="preserve"> at *4 (citing </w:t>
      </w:r>
      <w:r w:rsidRPr="00467567">
        <w:rPr>
          <w:rFonts w:ascii="Aptos" w:hAnsi="Aptos"/>
          <w:i/>
          <w:iCs/>
        </w:rPr>
        <w:t>Volk</w:t>
      </w:r>
      <w:r w:rsidRPr="00467567">
        <w:rPr>
          <w:rFonts w:ascii="Aptos" w:hAnsi="Aptos"/>
        </w:rPr>
        <w:t xml:space="preserve"> at *11).</w:t>
      </w:r>
    </w:p>
  </w:footnote>
  <w:footnote w:id="71">
    <w:p w14:paraId="7B24F021" w14:textId="307F2F82" w:rsidR="00E01E7E" w:rsidRPr="00406C42" w:rsidRDefault="00E01E7E">
      <w:pPr>
        <w:pStyle w:val="FootnoteText"/>
        <w:rPr>
          <w:rFonts w:ascii="Aptos" w:hAnsi="Aptos"/>
        </w:rPr>
      </w:pPr>
      <w:r w:rsidRPr="00467567">
        <w:rPr>
          <w:rStyle w:val="FootnoteReference"/>
          <w:rFonts w:ascii="Aptos" w:hAnsi="Aptos"/>
        </w:rPr>
        <w:footnoteRef/>
      </w:r>
      <w:r w:rsidRPr="00467567">
        <w:rPr>
          <w:rFonts w:ascii="Aptos" w:hAnsi="Aptos"/>
        </w:rPr>
        <w:t xml:space="preserve"> See DCF Policy #23-01.</w:t>
      </w:r>
    </w:p>
  </w:footnote>
  <w:footnote w:id="72">
    <w:p w14:paraId="7DA943F3" w14:textId="2B35EB4D" w:rsidR="00BC6768" w:rsidRPr="00406C42" w:rsidRDefault="00BC6768">
      <w:pPr>
        <w:pStyle w:val="FootnoteText"/>
        <w:rPr>
          <w:rFonts w:ascii="Aptos" w:hAnsi="Aptos"/>
        </w:rPr>
      </w:pPr>
      <w:r w:rsidRPr="00406C42">
        <w:rPr>
          <w:rStyle w:val="FootnoteReference"/>
          <w:rFonts w:ascii="Aptos" w:hAnsi="Aptos"/>
        </w:rPr>
        <w:footnoteRef/>
      </w:r>
      <w:r w:rsidRPr="00406C42">
        <w:rPr>
          <w:rFonts w:ascii="Aptos" w:hAnsi="Aptos"/>
        </w:rPr>
        <w:t xml:space="preserve"> </w:t>
      </w:r>
      <w:r w:rsidR="004667F9">
        <w:rPr>
          <w:rFonts w:ascii="Aptos" w:hAnsi="Aptos"/>
        </w:rPr>
        <w:t xml:space="preserve">See NCHE at 7. </w:t>
      </w:r>
      <w:r w:rsidRPr="00406C42">
        <w:rPr>
          <w:rFonts w:ascii="Aptos" w:hAnsi="Aptos"/>
        </w:rPr>
        <w:t xml:space="preserve">Despite Foxborough’s argument, I am not persuaded </w:t>
      </w:r>
      <w:r w:rsidR="00406C42" w:rsidRPr="00406C42">
        <w:rPr>
          <w:rFonts w:ascii="Aptos" w:hAnsi="Aptos"/>
        </w:rPr>
        <w:t>that</w:t>
      </w:r>
      <w:r w:rsidRPr="00406C42">
        <w:rPr>
          <w:rFonts w:ascii="Aptos" w:hAnsi="Aptos"/>
        </w:rPr>
        <w:t xml:space="preserve"> DCF’s </w:t>
      </w:r>
      <w:r w:rsidR="00406C42" w:rsidRPr="00406C42">
        <w:rPr>
          <w:rFonts w:ascii="Aptos" w:hAnsi="Aptos"/>
        </w:rPr>
        <w:t>po</w:t>
      </w:r>
      <w:r w:rsidRPr="00406C42">
        <w:rPr>
          <w:rFonts w:ascii="Aptos" w:hAnsi="Aptos"/>
        </w:rPr>
        <w:t>licy that “children should never be removed from their parents . . . on the sole basis of homelessness</w:t>
      </w:r>
      <w:r w:rsidR="00406C42" w:rsidRPr="00406C42">
        <w:rPr>
          <w:rFonts w:ascii="Aptos" w:hAnsi="Aptos"/>
        </w:rPr>
        <w:t>,” s</w:t>
      </w:r>
      <w:r w:rsidR="00753B47" w:rsidRPr="00406C42">
        <w:rPr>
          <w:rFonts w:ascii="Aptos" w:hAnsi="Aptos"/>
        </w:rPr>
        <w:t xml:space="preserve">ee </w:t>
      </w:r>
      <w:r w:rsidR="00753B47" w:rsidRPr="00406C42">
        <w:rPr>
          <w:rFonts w:ascii="Aptos" w:hAnsi="Aptos"/>
          <w:i/>
          <w:iCs/>
        </w:rPr>
        <w:t>id</w:t>
      </w:r>
      <w:r w:rsidR="00753B47" w:rsidRPr="00406C42">
        <w:rPr>
          <w:rFonts w:ascii="Aptos" w:hAnsi="Aptos"/>
        </w:rPr>
        <w:t>.</w:t>
      </w:r>
      <w:r w:rsidR="00DC415F">
        <w:rPr>
          <w:rFonts w:ascii="Aptos" w:hAnsi="Aptos"/>
        </w:rPr>
        <w:t>,</w:t>
      </w:r>
      <w:r w:rsidR="00406C42" w:rsidRPr="00406C42">
        <w:rPr>
          <w:rFonts w:ascii="Aptos" w:hAnsi="Aptos"/>
        </w:rPr>
        <w:t xml:space="preserve"> necessarily implies that DCF would assist a student not in its care or custody in securing living arrangements that amounted to homelessness.</w:t>
      </w:r>
      <w:r w:rsidR="00753B47" w:rsidRPr="00406C42">
        <w:rPr>
          <w:rFonts w:ascii="Aptos" w:hAnsi="Aptos"/>
        </w:rPr>
        <w:t xml:space="preserve"> Moreover, DCF specifies that efforts </w:t>
      </w:r>
      <w:r w:rsidR="004667F9">
        <w:rPr>
          <w:rFonts w:ascii="Aptos" w:hAnsi="Aptos"/>
        </w:rPr>
        <w:t xml:space="preserve">the agency should make </w:t>
      </w:r>
      <w:r w:rsidR="00753B47" w:rsidRPr="00406C42">
        <w:rPr>
          <w:rFonts w:ascii="Aptos" w:hAnsi="Aptos"/>
        </w:rPr>
        <w:t xml:space="preserve">on behalf of a homeless family include efforts to provide access to facilities that allow the family to feed, bathe, and care for their children, see 110 CMR 1.11, and that homeless families might be placed in motels or hotels due to lack of family shelter availability, see MOU. These policies do not suggest that Father’s and Student’s living situation at </w:t>
      </w:r>
      <w:r w:rsidR="00753B47" w:rsidRPr="00406C42">
        <w:rPr>
          <w:rFonts w:ascii="Aptos" w:hAnsi="Aptos"/>
        </w:rPr>
        <w:t>Hotel renders them homeless; in fact, they support the oppositive conclusion.</w:t>
      </w:r>
    </w:p>
  </w:footnote>
  <w:footnote w:id="73">
    <w:p w14:paraId="22F312E0" w14:textId="578C2E16" w:rsidR="00BC6768" w:rsidRPr="00406C42" w:rsidRDefault="00BC6768" w:rsidP="00BC6768">
      <w:pPr>
        <w:pStyle w:val="FootnoteText"/>
        <w:rPr>
          <w:rFonts w:ascii="Aptos" w:hAnsi="Aptos"/>
        </w:rPr>
      </w:pPr>
      <w:r w:rsidRPr="00406C42">
        <w:rPr>
          <w:rStyle w:val="FootnoteReference"/>
          <w:rFonts w:ascii="Aptos" w:hAnsi="Aptos"/>
        </w:rPr>
        <w:footnoteRef/>
      </w:r>
      <w:r w:rsidRPr="00406C42">
        <w:rPr>
          <w:rFonts w:ascii="Aptos" w:hAnsi="Aptos"/>
        </w:rPr>
        <w:t xml:space="preserve"> </w:t>
      </w:r>
      <w:r w:rsidR="004667F9">
        <w:rPr>
          <w:rFonts w:ascii="Aptos" w:hAnsi="Aptos"/>
        </w:rPr>
        <w:t xml:space="preserve">See </w:t>
      </w:r>
      <w:r w:rsidRPr="00406C42">
        <w:rPr>
          <w:rFonts w:ascii="Aptos" w:hAnsi="Aptos"/>
          <w:i/>
          <w:iCs/>
        </w:rPr>
        <w:t>Mount Olive</w:t>
      </w:r>
      <w:r w:rsidRPr="00406C42">
        <w:rPr>
          <w:rFonts w:ascii="Aptos" w:hAnsi="Aptos"/>
        </w:rPr>
        <w:t xml:space="preserve"> at *4 (citing </w:t>
      </w:r>
      <w:r w:rsidRPr="00406C42">
        <w:rPr>
          <w:rFonts w:ascii="Aptos" w:hAnsi="Aptos"/>
          <w:i/>
          <w:iCs/>
        </w:rPr>
        <w:t>Volk</w:t>
      </w:r>
      <w:r w:rsidRPr="00406C42">
        <w:rPr>
          <w:rFonts w:ascii="Aptos" w:hAnsi="Aptos"/>
        </w:rPr>
        <w:t xml:space="preserve"> at *11)</w:t>
      </w:r>
      <w:r w:rsidR="00467567">
        <w:rPr>
          <w:rFonts w:ascii="Aptos" w:hAnsi="Aptos"/>
        </w:rPr>
        <w:t xml:space="preserve">; </w:t>
      </w:r>
      <w:r w:rsidR="00467567" w:rsidRPr="00467567">
        <w:rPr>
          <w:rFonts w:ascii="Aptos" w:hAnsi="Aptos"/>
        </w:rPr>
        <w:t>NCHE at 7.</w:t>
      </w:r>
    </w:p>
  </w:footnote>
  <w:footnote w:id="74">
    <w:p w14:paraId="664D3EFB" w14:textId="4A6B77FB" w:rsidR="00BC6768" w:rsidRDefault="00BC6768">
      <w:pPr>
        <w:pStyle w:val="FootnoteText"/>
      </w:pPr>
      <w:r w:rsidRPr="00406C42">
        <w:rPr>
          <w:rStyle w:val="FootnoteReference"/>
          <w:rFonts w:ascii="Aptos" w:hAnsi="Aptos"/>
        </w:rPr>
        <w:footnoteRef/>
      </w:r>
      <w:r w:rsidRPr="00406C42">
        <w:rPr>
          <w:rFonts w:ascii="Aptos" w:hAnsi="Aptos"/>
        </w:rPr>
        <w:t xml:space="preserve"> See 42 U.S.C. § 1432(a)(2).</w:t>
      </w:r>
    </w:p>
  </w:footnote>
  <w:footnote w:id="75">
    <w:p w14:paraId="49BE2924" w14:textId="25823BD6" w:rsidR="006E5698" w:rsidRPr="006E5698" w:rsidRDefault="006E5698">
      <w:pPr>
        <w:pStyle w:val="FootnoteText"/>
        <w:rPr>
          <w:rFonts w:ascii="Aptos" w:hAnsi="Aptos"/>
        </w:rPr>
      </w:pPr>
      <w:r w:rsidRPr="006E5698">
        <w:rPr>
          <w:rStyle w:val="FootnoteReference"/>
          <w:rFonts w:ascii="Aptos" w:hAnsi="Aptos"/>
        </w:rPr>
        <w:footnoteRef/>
      </w:r>
      <w:r w:rsidRPr="006E5698">
        <w:rPr>
          <w:rFonts w:ascii="Aptos" w:hAnsi="Aptos"/>
        </w:rPr>
        <w:t xml:space="preserve"> Given my conclusion, I need not address DESE’s argument that I should defer to the Department’s interpretation</w:t>
      </w:r>
      <w:r>
        <w:rPr>
          <w:rFonts w:ascii="Aptos" w:hAnsi="Aptos"/>
        </w:rPr>
        <w:t>s</w:t>
      </w:r>
      <w:r w:rsidRPr="006E5698">
        <w:rPr>
          <w:rFonts w:ascii="Aptos" w:hAnsi="Aptos"/>
        </w:rPr>
        <w:t xml:space="preserve"> of its own regulations. Although I recognize that administrative law jurisprudence generally supports this assertion, in the instant matter the same regulation on which DESE relies (603 CMR 28.10) also specifically provides for an appeal of DESE’s interpretation</w:t>
      </w:r>
      <w:r>
        <w:rPr>
          <w:rFonts w:ascii="Aptos" w:hAnsi="Aptos"/>
        </w:rPr>
        <w:t>s</w:t>
      </w:r>
      <w:r w:rsidRPr="006E5698">
        <w:rPr>
          <w:rFonts w:ascii="Aptos" w:hAnsi="Aptos"/>
        </w:rPr>
        <w:t xml:space="preserve"> to the BSEA, which “shall be limited to a determination of the assigned school district and the effective date of such assignment.” See 603 CMR 28.10(9)(f).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8795E"/>
    <w:multiLevelType w:val="hybridMultilevel"/>
    <w:tmpl w:val="55C27F80"/>
    <w:lvl w:ilvl="0" w:tplc="FFFFFFFF">
      <w:start w:val="1"/>
      <w:numFmt w:val="decimal"/>
      <w:lvlText w:val="%1."/>
      <w:lvlJc w:val="left"/>
      <w:pPr>
        <w:ind w:left="1800" w:hanging="360"/>
      </w:pPr>
      <w:rPr>
        <w:rFonts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 w15:restartNumberingAfterBreak="0">
    <w:nsid w:val="054E3E19"/>
    <w:multiLevelType w:val="hybridMultilevel"/>
    <w:tmpl w:val="D95C3BB2"/>
    <w:lvl w:ilvl="0" w:tplc="FFFFFFFF">
      <w:start w:val="1"/>
      <w:numFmt w:val="upperLetter"/>
      <w:lvlText w:val="%1."/>
      <w:lvlJc w:val="left"/>
      <w:pPr>
        <w:ind w:left="1440" w:hanging="720"/>
      </w:pPr>
      <w:rPr>
        <w:rFonts w:hint="default"/>
        <w:u w:val="none"/>
      </w:rPr>
    </w:lvl>
    <w:lvl w:ilvl="1" w:tplc="FFFFFFFF">
      <w:start w:val="1"/>
      <w:numFmt w:val="lowerRoman"/>
      <w:lvlText w:val="%2."/>
      <w:lvlJc w:val="left"/>
      <w:pPr>
        <w:ind w:left="1800" w:hanging="360"/>
      </w:pPr>
      <w:rPr>
        <w:rFonts w:ascii="Aptos" w:eastAsiaTheme="minorHAnsi" w:hAnsi="Aptos" w:cstheme="minorBidi"/>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A6D1AD7"/>
    <w:multiLevelType w:val="hybridMultilevel"/>
    <w:tmpl w:val="25080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56669"/>
    <w:multiLevelType w:val="multilevel"/>
    <w:tmpl w:val="2990D5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0D70D5"/>
    <w:multiLevelType w:val="hybridMultilevel"/>
    <w:tmpl w:val="B2644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F110A0"/>
    <w:multiLevelType w:val="hybridMultilevel"/>
    <w:tmpl w:val="B450D7DA"/>
    <w:lvl w:ilvl="0" w:tplc="3FBA21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31240DF"/>
    <w:multiLevelType w:val="hybridMultilevel"/>
    <w:tmpl w:val="473425DE"/>
    <w:lvl w:ilvl="0" w:tplc="B334507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60B5221"/>
    <w:multiLevelType w:val="hybridMultilevel"/>
    <w:tmpl w:val="41F6E828"/>
    <w:lvl w:ilvl="0" w:tplc="FFFFFFFF">
      <w:start w:val="1"/>
      <w:numFmt w:val="upp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 w15:restartNumberingAfterBreak="0">
    <w:nsid w:val="168238E6"/>
    <w:multiLevelType w:val="hybridMultilevel"/>
    <w:tmpl w:val="E3165150"/>
    <w:lvl w:ilvl="0" w:tplc="FFFFFFFF">
      <w:start w:val="1"/>
      <w:numFmt w:val="decimal"/>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9" w15:restartNumberingAfterBreak="0">
    <w:nsid w:val="1E0E47B7"/>
    <w:multiLevelType w:val="hybridMultilevel"/>
    <w:tmpl w:val="F2A66E12"/>
    <w:lvl w:ilvl="0" w:tplc="0409000F">
      <w:start w:val="1"/>
      <w:numFmt w:val="decimal"/>
      <w:lvlText w:val="%1."/>
      <w:lvlJc w:val="left"/>
      <w:pPr>
        <w:ind w:left="25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D41011"/>
    <w:multiLevelType w:val="hybridMultilevel"/>
    <w:tmpl w:val="D95C3BB2"/>
    <w:lvl w:ilvl="0" w:tplc="DCCC0B78">
      <w:start w:val="1"/>
      <w:numFmt w:val="upperLetter"/>
      <w:lvlText w:val="%1."/>
      <w:lvlJc w:val="left"/>
      <w:pPr>
        <w:ind w:left="1440" w:hanging="720"/>
      </w:pPr>
      <w:rPr>
        <w:rFonts w:hint="default"/>
        <w:u w:val="none"/>
      </w:rPr>
    </w:lvl>
    <w:lvl w:ilvl="1" w:tplc="A496B81C">
      <w:start w:val="1"/>
      <w:numFmt w:val="lowerRoman"/>
      <w:lvlText w:val="%2."/>
      <w:lvlJc w:val="left"/>
      <w:pPr>
        <w:ind w:left="1800" w:hanging="360"/>
      </w:pPr>
      <w:rPr>
        <w:rFonts w:ascii="Aptos" w:eastAsiaTheme="minorHAnsi" w:hAnsi="Aptos" w:cstheme="minorBidi"/>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6444601"/>
    <w:multiLevelType w:val="hybridMultilevel"/>
    <w:tmpl w:val="04A46BA6"/>
    <w:lvl w:ilvl="0" w:tplc="AC3CE858">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A22193A"/>
    <w:multiLevelType w:val="hybridMultilevel"/>
    <w:tmpl w:val="55C27F80"/>
    <w:lvl w:ilvl="0" w:tplc="354AE5B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A6646F0"/>
    <w:multiLevelType w:val="hybridMultilevel"/>
    <w:tmpl w:val="C88AF786"/>
    <w:lvl w:ilvl="0" w:tplc="6A501F3C">
      <w:start w:val="3"/>
      <w:numFmt w:val="lowerRoman"/>
      <w:lvlText w:val="%1."/>
      <w:lvlJc w:val="left"/>
      <w:pPr>
        <w:ind w:left="1440" w:hanging="720"/>
      </w:pPr>
      <w:rPr>
        <w:rFonts w:hint="default"/>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B2E4BAF"/>
    <w:multiLevelType w:val="multilevel"/>
    <w:tmpl w:val="9DE01D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17054C"/>
    <w:multiLevelType w:val="hybridMultilevel"/>
    <w:tmpl w:val="37842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2630E8"/>
    <w:multiLevelType w:val="hybridMultilevel"/>
    <w:tmpl w:val="BC0815D2"/>
    <w:lvl w:ilvl="0" w:tplc="767A9D4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E3F71C9"/>
    <w:multiLevelType w:val="multilevel"/>
    <w:tmpl w:val="ED14B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A82F28"/>
    <w:multiLevelType w:val="hybridMultilevel"/>
    <w:tmpl w:val="362243B6"/>
    <w:lvl w:ilvl="0" w:tplc="2B2200A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7B39D2"/>
    <w:multiLevelType w:val="hybridMultilevel"/>
    <w:tmpl w:val="C3A08CE6"/>
    <w:lvl w:ilvl="0" w:tplc="05B2F14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307F40CD"/>
    <w:multiLevelType w:val="hybridMultilevel"/>
    <w:tmpl w:val="E89AF7BE"/>
    <w:lvl w:ilvl="0" w:tplc="D92E3C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233149E"/>
    <w:multiLevelType w:val="multilevel"/>
    <w:tmpl w:val="4E0CA726"/>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32925416"/>
    <w:multiLevelType w:val="hybridMultilevel"/>
    <w:tmpl w:val="18FCD3CC"/>
    <w:lvl w:ilvl="0" w:tplc="BEAA28EE">
      <w:start w:val="1"/>
      <w:numFmt w:val="upp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092EC3"/>
    <w:multiLevelType w:val="hybridMultilevel"/>
    <w:tmpl w:val="2D6C14B4"/>
    <w:lvl w:ilvl="0" w:tplc="592E999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3847D75"/>
    <w:multiLevelType w:val="hybridMultilevel"/>
    <w:tmpl w:val="A9DE5450"/>
    <w:lvl w:ilvl="0" w:tplc="1A7A0F64">
      <w:start w:val="1"/>
      <w:numFmt w:val="lowerRoman"/>
      <w:lvlText w:val="%1."/>
      <w:lvlJc w:val="left"/>
      <w:pPr>
        <w:ind w:left="1440" w:hanging="720"/>
      </w:pPr>
      <w:rPr>
        <w:rFonts w:ascii="Aptos" w:eastAsia="Times New Roman" w:hAnsi="Aptos" w:cs="Times New Roman"/>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8EB5BF4"/>
    <w:multiLevelType w:val="hybridMultilevel"/>
    <w:tmpl w:val="3E584B52"/>
    <w:lvl w:ilvl="0" w:tplc="E7FAFF2E">
      <w:start w:val="2"/>
      <w:numFmt w:val="upperRoman"/>
      <w:lvlText w:val="%1."/>
      <w:lvlJc w:val="left"/>
      <w:pPr>
        <w:ind w:left="1440" w:hanging="72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33B63B1"/>
    <w:multiLevelType w:val="hybridMultilevel"/>
    <w:tmpl w:val="106EAF74"/>
    <w:lvl w:ilvl="0" w:tplc="58CCE73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7F849A5"/>
    <w:multiLevelType w:val="hybridMultilevel"/>
    <w:tmpl w:val="986AB418"/>
    <w:lvl w:ilvl="0" w:tplc="4A201792">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E7D4506"/>
    <w:multiLevelType w:val="multilevel"/>
    <w:tmpl w:val="67B4F3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077336B"/>
    <w:multiLevelType w:val="hybridMultilevel"/>
    <w:tmpl w:val="998E8D20"/>
    <w:lvl w:ilvl="0" w:tplc="A644F4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5590275"/>
    <w:multiLevelType w:val="multilevel"/>
    <w:tmpl w:val="E2B25E6A"/>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55CC28F3"/>
    <w:multiLevelType w:val="hybridMultilevel"/>
    <w:tmpl w:val="43C08970"/>
    <w:lvl w:ilvl="0" w:tplc="0944E6EA">
      <w:start w:val="1"/>
      <w:numFmt w:val="decimal"/>
      <w:lvlText w:val="%1."/>
      <w:lvlJc w:val="left"/>
      <w:pPr>
        <w:ind w:left="720" w:hanging="360"/>
      </w:pPr>
      <w:rPr>
        <w:rFonts w:cs="Times New Roman" w:hint="default"/>
        <w:i/>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B10475"/>
    <w:multiLevelType w:val="hybridMultilevel"/>
    <w:tmpl w:val="41560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CF586B"/>
    <w:multiLevelType w:val="hybridMultilevel"/>
    <w:tmpl w:val="F6BE7E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E627E3"/>
    <w:multiLevelType w:val="multilevel"/>
    <w:tmpl w:val="F2A66E12"/>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DE31ACB"/>
    <w:multiLevelType w:val="hybridMultilevel"/>
    <w:tmpl w:val="CE9A8F5E"/>
    <w:lvl w:ilvl="0" w:tplc="03FAE83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8387191"/>
    <w:multiLevelType w:val="hybridMultilevel"/>
    <w:tmpl w:val="617E885E"/>
    <w:lvl w:ilvl="0" w:tplc="F858F04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69E24D35"/>
    <w:multiLevelType w:val="hybridMultilevel"/>
    <w:tmpl w:val="9B4E6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7F6013"/>
    <w:multiLevelType w:val="multilevel"/>
    <w:tmpl w:val="0C06B0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C037F7B"/>
    <w:multiLevelType w:val="hybridMultilevel"/>
    <w:tmpl w:val="694E6E56"/>
    <w:lvl w:ilvl="0" w:tplc="5178EB74">
      <w:start w:val="1"/>
      <w:numFmt w:val="decimal"/>
      <w:lvlText w:val="%1."/>
      <w:lvlJc w:val="left"/>
      <w:pPr>
        <w:ind w:left="720" w:hanging="720"/>
      </w:pPr>
      <w:rPr>
        <w:rFonts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4E0012"/>
    <w:multiLevelType w:val="hybridMultilevel"/>
    <w:tmpl w:val="62D28E86"/>
    <w:lvl w:ilvl="0" w:tplc="3B1609C0">
      <w:start w:val="1"/>
      <w:numFmt w:val="decimal"/>
      <w:lvlText w:val="%1."/>
      <w:lvlJc w:val="left"/>
      <w:pPr>
        <w:ind w:left="1080" w:hanging="360"/>
      </w:pPr>
      <w:rPr>
        <w:rFonts w:hint="default"/>
        <w:i w:val="0"/>
        <w:i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E8C2D95"/>
    <w:multiLevelType w:val="hybridMultilevel"/>
    <w:tmpl w:val="C888ACD0"/>
    <w:lvl w:ilvl="0" w:tplc="FA58A3E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6F6D7899"/>
    <w:multiLevelType w:val="hybridMultilevel"/>
    <w:tmpl w:val="162E5D90"/>
    <w:lvl w:ilvl="0" w:tplc="F982BB22">
      <w:start w:val="1"/>
      <w:numFmt w:val="decimal"/>
      <w:lvlText w:val="%1."/>
      <w:lvlJc w:val="left"/>
      <w:pPr>
        <w:ind w:left="720" w:hanging="360"/>
      </w:pPr>
      <w:rPr>
        <w:rFonts w:hint="default"/>
      </w:rPr>
    </w:lvl>
    <w:lvl w:ilvl="1" w:tplc="EC868B12">
      <w:start w:val="1"/>
      <w:numFmt w:val="lowerLetter"/>
      <w:lvlText w:val="%2."/>
      <w:lvlJc w:val="left"/>
      <w:pPr>
        <w:ind w:left="1440" w:hanging="360"/>
      </w:pPr>
      <w:rPr>
        <w:i w:val="0"/>
        <w:i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9021475">
    <w:abstractNumId w:val="39"/>
  </w:num>
  <w:num w:numId="2" w16cid:durableId="1691297752">
    <w:abstractNumId w:val="7"/>
  </w:num>
  <w:num w:numId="3" w16cid:durableId="1840383342">
    <w:abstractNumId w:val="41"/>
  </w:num>
  <w:num w:numId="4" w16cid:durableId="1714233850">
    <w:abstractNumId w:val="26"/>
  </w:num>
  <w:num w:numId="5" w16cid:durableId="290287844">
    <w:abstractNumId w:val="12"/>
  </w:num>
  <w:num w:numId="6" w16cid:durableId="1353611288">
    <w:abstractNumId w:val="0"/>
  </w:num>
  <w:num w:numId="7" w16cid:durableId="304774282">
    <w:abstractNumId w:val="18"/>
  </w:num>
  <w:num w:numId="8" w16cid:durableId="33310429">
    <w:abstractNumId w:val="22"/>
  </w:num>
  <w:num w:numId="9" w16cid:durableId="670715468">
    <w:abstractNumId w:val="20"/>
  </w:num>
  <w:num w:numId="10" w16cid:durableId="670523335">
    <w:abstractNumId w:val="5"/>
  </w:num>
  <w:num w:numId="11" w16cid:durableId="1967152661">
    <w:abstractNumId w:val="40"/>
  </w:num>
  <w:num w:numId="12" w16cid:durableId="144443154">
    <w:abstractNumId w:val="21"/>
  </w:num>
  <w:num w:numId="13" w16cid:durableId="1389183894">
    <w:abstractNumId w:val="24"/>
  </w:num>
  <w:num w:numId="14" w16cid:durableId="321197536">
    <w:abstractNumId w:val="11"/>
  </w:num>
  <w:num w:numId="15" w16cid:durableId="1684239734">
    <w:abstractNumId w:val="25"/>
  </w:num>
  <w:num w:numId="16" w16cid:durableId="1239098318">
    <w:abstractNumId w:val="13"/>
  </w:num>
  <w:num w:numId="17" w16cid:durableId="991374316">
    <w:abstractNumId w:val="23"/>
  </w:num>
  <w:num w:numId="18" w16cid:durableId="931738135">
    <w:abstractNumId w:val="17"/>
  </w:num>
  <w:num w:numId="19" w16cid:durableId="1360398515">
    <w:abstractNumId w:val="30"/>
  </w:num>
  <w:num w:numId="20" w16cid:durableId="1319651663">
    <w:abstractNumId w:val="28"/>
  </w:num>
  <w:num w:numId="21" w16cid:durableId="1854300710">
    <w:abstractNumId w:val="38"/>
  </w:num>
  <w:num w:numId="22" w16cid:durableId="491914718">
    <w:abstractNumId w:val="3"/>
  </w:num>
  <w:num w:numId="23" w16cid:durableId="1814980603">
    <w:abstractNumId w:val="14"/>
  </w:num>
  <w:num w:numId="24" w16cid:durableId="1435326358">
    <w:abstractNumId w:val="37"/>
  </w:num>
  <w:num w:numId="25" w16cid:durableId="675961544">
    <w:abstractNumId w:val="10"/>
  </w:num>
  <w:num w:numId="26" w16cid:durableId="1607038904">
    <w:abstractNumId w:val="15"/>
  </w:num>
  <w:num w:numId="27" w16cid:durableId="1326283201">
    <w:abstractNumId w:val="32"/>
  </w:num>
  <w:num w:numId="28" w16cid:durableId="1769886106">
    <w:abstractNumId w:val="4"/>
  </w:num>
  <w:num w:numId="29" w16cid:durableId="101388812">
    <w:abstractNumId w:val="2"/>
  </w:num>
  <w:num w:numId="30" w16cid:durableId="3820765">
    <w:abstractNumId w:val="9"/>
  </w:num>
  <w:num w:numId="31" w16cid:durableId="91249136">
    <w:abstractNumId w:val="1"/>
  </w:num>
  <w:num w:numId="32" w16cid:durableId="466047535">
    <w:abstractNumId w:val="8"/>
  </w:num>
  <w:num w:numId="33" w16cid:durableId="63647941">
    <w:abstractNumId w:val="42"/>
  </w:num>
  <w:num w:numId="34" w16cid:durableId="646737858">
    <w:abstractNumId w:val="31"/>
  </w:num>
  <w:num w:numId="35" w16cid:durableId="1836920420">
    <w:abstractNumId w:val="34"/>
  </w:num>
  <w:num w:numId="36" w16cid:durableId="296300016">
    <w:abstractNumId w:val="36"/>
  </w:num>
  <w:num w:numId="37" w16cid:durableId="2142578432">
    <w:abstractNumId w:val="29"/>
  </w:num>
  <w:num w:numId="38" w16cid:durableId="474219279">
    <w:abstractNumId w:val="19"/>
  </w:num>
  <w:num w:numId="39" w16cid:durableId="1331105820">
    <w:abstractNumId w:val="27"/>
  </w:num>
  <w:num w:numId="40" w16cid:durableId="1630893827">
    <w:abstractNumId w:val="33"/>
  </w:num>
  <w:num w:numId="41" w16cid:durableId="199249383">
    <w:abstractNumId w:val="6"/>
  </w:num>
  <w:num w:numId="42" w16cid:durableId="2025012994">
    <w:abstractNumId w:val="35"/>
  </w:num>
  <w:num w:numId="43" w16cid:durableId="192506955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4A8"/>
    <w:rsid w:val="0000150D"/>
    <w:rsid w:val="000024E8"/>
    <w:rsid w:val="00003AFB"/>
    <w:rsid w:val="00004584"/>
    <w:rsid w:val="0000465B"/>
    <w:rsid w:val="00004BDC"/>
    <w:rsid w:val="0000502F"/>
    <w:rsid w:val="00005179"/>
    <w:rsid w:val="000053EB"/>
    <w:rsid w:val="00005C5D"/>
    <w:rsid w:val="0000635D"/>
    <w:rsid w:val="000067A7"/>
    <w:rsid w:val="00006DDD"/>
    <w:rsid w:val="00012E0C"/>
    <w:rsid w:val="000132DE"/>
    <w:rsid w:val="00013A41"/>
    <w:rsid w:val="00015466"/>
    <w:rsid w:val="0001628A"/>
    <w:rsid w:val="00017DC1"/>
    <w:rsid w:val="00020062"/>
    <w:rsid w:val="000208AA"/>
    <w:rsid w:val="00021CE5"/>
    <w:rsid w:val="000231BD"/>
    <w:rsid w:val="00023437"/>
    <w:rsid w:val="00023D4B"/>
    <w:rsid w:val="0002571F"/>
    <w:rsid w:val="00027026"/>
    <w:rsid w:val="00027BED"/>
    <w:rsid w:val="00027CC4"/>
    <w:rsid w:val="000308AC"/>
    <w:rsid w:val="00030CAD"/>
    <w:rsid w:val="000340EE"/>
    <w:rsid w:val="000342E3"/>
    <w:rsid w:val="00037DEB"/>
    <w:rsid w:val="00040311"/>
    <w:rsid w:val="000414D9"/>
    <w:rsid w:val="00042F7B"/>
    <w:rsid w:val="0004485C"/>
    <w:rsid w:val="000452EE"/>
    <w:rsid w:val="00045483"/>
    <w:rsid w:val="00046025"/>
    <w:rsid w:val="000460FA"/>
    <w:rsid w:val="000463AE"/>
    <w:rsid w:val="00046412"/>
    <w:rsid w:val="00046ABE"/>
    <w:rsid w:val="00046F96"/>
    <w:rsid w:val="00053A71"/>
    <w:rsid w:val="00056C05"/>
    <w:rsid w:val="0005706B"/>
    <w:rsid w:val="000574D5"/>
    <w:rsid w:val="00060DAD"/>
    <w:rsid w:val="00062E37"/>
    <w:rsid w:val="0006504B"/>
    <w:rsid w:val="0006570D"/>
    <w:rsid w:val="000659F3"/>
    <w:rsid w:val="00065AD5"/>
    <w:rsid w:val="00065BD8"/>
    <w:rsid w:val="000661D1"/>
    <w:rsid w:val="0006667B"/>
    <w:rsid w:val="00067775"/>
    <w:rsid w:val="00067E82"/>
    <w:rsid w:val="00070164"/>
    <w:rsid w:val="0007038A"/>
    <w:rsid w:val="00071C28"/>
    <w:rsid w:val="00071C3A"/>
    <w:rsid w:val="00073027"/>
    <w:rsid w:val="00075685"/>
    <w:rsid w:val="00075E8D"/>
    <w:rsid w:val="000762B6"/>
    <w:rsid w:val="0007713C"/>
    <w:rsid w:val="0007726C"/>
    <w:rsid w:val="00077779"/>
    <w:rsid w:val="000803A3"/>
    <w:rsid w:val="000819D1"/>
    <w:rsid w:val="00081C9E"/>
    <w:rsid w:val="00082544"/>
    <w:rsid w:val="000831EF"/>
    <w:rsid w:val="00083258"/>
    <w:rsid w:val="000832D0"/>
    <w:rsid w:val="000834F9"/>
    <w:rsid w:val="00083A55"/>
    <w:rsid w:val="00084FB5"/>
    <w:rsid w:val="00085D62"/>
    <w:rsid w:val="00086459"/>
    <w:rsid w:val="000870E1"/>
    <w:rsid w:val="00087418"/>
    <w:rsid w:val="00090727"/>
    <w:rsid w:val="00090E19"/>
    <w:rsid w:val="000910AC"/>
    <w:rsid w:val="00091CBE"/>
    <w:rsid w:val="000928CC"/>
    <w:rsid w:val="00092C13"/>
    <w:rsid w:val="00092CA7"/>
    <w:rsid w:val="00092DB8"/>
    <w:rsid w:val="000938AD"/>
    <w:rsid w:val="00093FFF"/>
    <w:rsid w:val="0009473C"/>
    <w:rsid w:val="0009643E"/>
    <w:rsid w:val="00097B95"/>
    <w:rsid w:val="000A1246"/>
    <w:rsid w:val="000A1CD9"/>
    <w:rsid w:val="000A2710"/>
    <w:rsid w:val="000A28AB"/>
    <w:rsid w:val="000A28D2"/>
    <w:rsid w:val="000A2AB1"/>
    <w:rsid w:val="000A329D"/>
    <w:rsid w:val="000A3617"/>
    <w:rsid w:val="000A41E2"/>
    <w:rsid w:val="000A53B0"/>
    <w:rsid w:val="000A5B9E"/>
    <w:rsid w:val="000A73A8"/>
    <w:rsid w:val="000B0D45"/>
    <w:rsid w:val="000B2481"/>
    <w:rsid w:val="000B362E"/>
    <w:rsid w:val="000B3E03"/>
    <w:rsid w:val="000B4D11"/>
    <w:rsid w:val="000B4FA5"/>
    <w:rsid w:val="000B6314"/>
    <w:rsid w:val="000B7AAF"/>
    <w:rsid w:val="000B7B44"/>
    <w:rsid w:val="000B7E81"/>
    <w:rsid w:val="000B7F8A"/>
    <w:rsid w:val="000C11F2"/>
    <w:rsid w:val="000C1365"/>
    <w:rsid w:val="000C2757"/>
    <w:rsid w:val="000C2BB2"/>
    <w:rsid w:val="000C3E6E"/>
    <w:rsid w:val="000C40BA"/>
    <w:rsid w:val="000C45E8"/>
    <w:rsid w:val="000C512D"/>
    <w:rsid w:val="000C582C"/>
    <w:rsid w:val="000C5C31"/>
    <w:rsid w:val="000C5C6F"/>
    <w:rsid w:val="000C5D96"/>
    <w:rsid w:val="000C5E91"/>
    <w:rsid w:val="000C708D"/>
    <w:rsid w:val="000D3448"/>
    <w:rsid w:val="000D38E6"/>
    <w:rsid w:val="000D49E6"/>
    <w:rsid w:val="000E0048"/>
    <w:rsid w:val="000E0394"/>
    <w:rsid w:val="000E131B"/>
    <w:rsid w:val="000E2370"/>
    <w:rsid w:val="000E287F"/>
    <w:rsid w:val="000E3EC9"/>
    <w:rsid w:val="000E45F8"/>
    <w:rsid w:val="000E4AB0"/>
    <w:rsid w:val="000E4B47"/>
    <w:rsid w:val="000E608F"/>
    <w:rsid w:val="000E6334"/>
    <w:rsid w:val="000E68BA"/>
    <w:rsid w:val="000E6DA4"/>
    <w:rsid w:val="000E708A"/>
    <w:rsid w:val="000F0108"/>
    <w:rsid w:val="000F0D2D"/>
    <w:rsid w:val="000F18AF"/>
    <w:rsid w:val="000F1F27"/>
    <w:rsid w:val="000F202D"/>
    <w:rsid w:val="000F3825"/>
    <w:rsid w:val="000F3D5F"/>
    <w:rsid w:val="000F471D"/>
    <w:rsid w:val="000F477F"/>
    <w:rsid w:val="000F50A8"/>
    <w:rsid w:val="000F5812"/>
    <w:rsid w:val="000F5CA7"/>
    <w:rsid w:val="000F6ABC"/>
    <w:rsid w:val="00100452"/>
    <w:rsid w:val="00100ECA"/>
    <w:rsid w:val="00101A4C"/>
    <w:rsid w:val="00101C1B"/>
    <w:rsid w:val="00102253"/>
    <w:rsid w:val="00102764"/>
    <w:rsid w:val="00103647"/>
    <w:rsid w:val="0010370E"/>
    <w:rsid w:val="00106886"/>
    <w:rsid w:val="00106936"/>
    <w:rsid w:val="001077F0"/>
    <w:rsid w:val="00110E84"/>
    <w:rsid w:val="00111106"/>
    <w:rsid w:val="0011117E"/>
    <w:rsid w:val="00111908"/>
    <w:rsid w:val="00111B25"/>
    <w:rsid w:val="00112269"/>
    <w:rsid w:val="001124D8"/>
    <w:rsid w:val="00112AD7"/>
    <w:rsid w:val="00112B9D"/>
    <w:rsid w:val="001131AD"/>
    <w:rsid w:val="00115019"/>
    <w:rsid w:val="001153C4"/>
    <w:rsid w:val="00115476"/>
    <w:rsid w:val="00115E7A"/>
    <w:rsid w:val="00120CB1"/>
    <w:rsid w:val="00123729"/>
    <w:rsid w:val="00123F38"/>
    <w:rsid w:val="0012419C"/>
    <w:rsid w:val="00124429"/>
    <w:rsid w:val="001252BD"/>
    <w:rsid w:val="00125754"/>
    <w:rsid w:val="001257D1"/>
    <w:rsid w:val="00127CB4"/>
    <w:rsid w:val="001312F3"/>
    <w:rsid w:val="00131931"/>
    <w:rsid w:val="0013274A"/>
    <w:rsid w:val="00133576"/>
    <w:rsid w:val="00133B7B"/>
    <w:rsid w:val="00136E87"/>
    <w:rsid w:val="0014016F"/>
    <w:rsid w:val="00141FAF"/>
    <w:rsid w:val="00142C21"/>
    <w:rsid w:val="00144C16"/>
    <w:rsid w:val="00145754"/>
    <w:rsid w:val="00145A2A"/>
    <w:rsid w:val="001463CD"/>
    <w:rsid w:val="00146C5B"/>
    <w:rsid w:val="00147926"/>
    <w:rsid w:val="00150052"/>
    <w:rsid w:val="001527C4"/>
    <w:rsid w:val="00152DFB"/>
    <w:rsid w:val="00154801"/>
    <w:rsid w:val="001563A7"/>
    <w:rsid w:val="00160154"/>
    <w:rsid w:val="00162BE8"/>
    <w:rsid w:val="00163FC1"/>
    <w:rsid w:val="0016414D"/>
    <w:rsid w:val="001647B4"/>
    <w:rsid w:val="00166B59"/>
    <w:rsid w:val="00166CE6"/>
    <w:rsid w:val="00167A80"/>
    <w:rsid w:val="0017076C"/>
    <w:rsid w:val="001711CC"/>
    <w:rsid w:val="001717B9"/>
    <w:rsid w:val="00171845"/>
    <w:rsid w:val="0017268A"/>
    <w:rsid w:val="001730CA"/>
    <w:rsid w:val="00173ABF"/>
    <w:rsid w:val="00173E08"/>
    <w:rsid w:val="00175ECF"/>
    <w:rsid w:val="0017608D"/>
    <w:rsid w:val="001761AB"/>
    <w:rsid w:val="0017646B"/>
    <w:rsid w:val="00177936"/>
    <w:rsid w:val="00177E31"/>
    <w:rsid w:val="001821DA"/>
    <w:rsid w:val="001830B2"/>
    <w:rsid w:val="001841E2"/>
    <w:rsid w:val="001848BC"/>
    <w:rsid w:val="001858BD"/>
    <w:rsid w:val="001866D7"/>
    <w:rsid w:val="00186A9F"/>
    <w:rsid w:val="00187B86"/>
    <w:rsid w:val="00187DAA"/>
    <w:rsid w:val="00192469"/>
    <w:rsid w:val="0019332E"/>
    <w:rsid w:val="00193AF5"/>
    <w:rsid w:val="0019493B"/>
    <w:rsid w:val="00194DD4"/>
    <w:rsid w:val="001950D8"/>
    <w:rsid w:val="0019524F"/>
    <w:rsid w:val="001956D6"/>
    <w:rsid w:val="0019690C"/>
    <w:rsid w:val="00197CED"/>
    <w:rsid w:val="001A1FB9"/>
    <w:rsid w:val="001A24C5"/>
    <w:rsid w:val="001A2E24"/>
    <w:rsid w:val="001A342C"/>
    <w:rsid w:val="001A49A9"/>
    <w:rsid w:val="001A4B17"/>
    <w:rsid w:val="001A7214"/>
    <w:rsid w:val="001B0B1D"/>
    <w:rsid w:val="001B0C0F"/>
    <w:rsid w:val="001B13C4"/>
    <w:rsid w:val="001B146B"/>
    <w:rsid w:val="001B2FA8"/>
    <w:rsid w:val="001B327B"/>
    <w:rsid w:val="001B3412"/>
    <w:rsid w:val="001B34A4"/>
    <w:rsid w:val="001B38F1"/>
    <w:rsid w:val="001B43B4"/>
    <w:rsid w:val="001B521D"/>
    <w:rsid w:val="001B5CD6"/>
    <w:rsid w:val="001B6E0C"/>
    <w:rsid w:val="001B799D"/>
    <w:rsid w:val="001C1197"/>
    <w:rsid w:val="001C1679"/>
    <w:rsid w:val="001C2291"/>
    <w:rsid w:val="001C23CF"/>
    <w:rsid w:val="001C245E"/>
    <w:rsid w:val="001C323A"/>
    <w:rsid w:val="001C368A"/>
    <w:rsid w:val="001C38AD"/>
    <w:rsid w:val="001C63A1"/>
    <w:rsid w:val="001C72A5"/>
    <w:rsid w:val="001D0868"/>
    <w:rsid w:val="001D1DA7"/>
    <w:rsid w:val="001D2A6C"/>
    <w:rsid w:val="001D4B72"/>
    <w:rsid w:val="001D5322"/>
    <w:rsid w:val="001D62C9"/>
    <w:rsid w:val="001D652B"/>
    <w:rsid w:val="001E072F"/>
    <w:rsid w:val="001E0C40"/>
    <w:rsid w:val="001E23B9"/>
    <w:rsid w:val="001E3E0A"/>
    <w:rsid w:val="001E3FDC"/>
    <w:rsid w:val="001E778C"/>
    <w:rsid w:val="001F1D5A"/>
    <w:rsid w:val="001F2A53"/>
    <w:rsid w:val="001F2B47"/>
    <w:rsid w:val="001F30E0"/>
    <w:rsid w:val="001F38A7"/>
    <w:rsid w:val="001F3A54"/>
    <w:rsid w:val="001F4217"/>
    <w:rsid w:val="001F4279"/>
    <w:rsid w:val="001F45DE"/>
    <w:rsid w:val="001F4806"/>
    <w:rsid w:val="001F5407"/>
    <w:rsid w:val="001F6227"/>
    <w:rsid w:val="001F69BA"/>
    <w:rsid w:val="001F7034"/>
    <w:rsid w:val="00200E92"/>
    <w:rsid w:val="00203895"/>
    <w:rsid w:val="00203EE2"/>
    <w:rsid w:val="00203FE3"/>
    <w:rsid w:val="00204175"/>
    <w:rsid w:val="0020534D"/>
    <w:rsid w:val="00207248"/>
    <w:rsid w:val="00211128"/>
    <w:rsid w:val="0021264D"/>
    <w:rsid w:val="00213B0B"/>
    <w:rsid w:val="0021415F"/>
    <w:rsid w:val="0021563C"/>
    <w:rsid w:val="00216D7A"/>
    <w:rsid w:val="0021763D"/>
    <w:rsid w:val="002179E8"/>
    <w:rsid w:val="002214C3"/>
    <w:rsid w:val="00222F36"/>
    <w:rsid w:val="002231D8"/>
    <w:rsid w:val="00224CC3"/>
    <w:rsid w:val="0022562D"/>
    <w:rsid w:val="002265E1"/>
    <w:rsid w:val="00226885"/>
    <w:rsid w:val="002268B0"/>
    <w:rsid w:val="00227866"/>
    <w:rsid w:val="0023031E"/>
    <w:rsid w:val="00231862"/>
    <w:rsid w:val="002318ED"/>
    <w:rsid w:val="00231B23"/>
    <w:rsid w:val="00232600"/>
    <w:rsid w:val="002326D0"/>
    <w:rsid w:val="0023298A"/>
    <w:rsid w:val="0023326D"/>
    <w:rsid w:val="00233B53"/>
    <w:rsid w:val="00236CCA"/>
    <w:rsid w:val="002371A1"/>
    <w:rsid w:val="00237304"/>
    <w:rsid w:val="002406E9"/>
    <w:rsid w:val="00240A65"/>
    <w:rsid w:val="0024134A"/>
    <w:rsid w:val="00241D92"/>
    <w:rsid w:val="0024207E"/>
    <w:rsid w:val="0024303D"/>
    <w:rsid w:val="002448E5"/>
    <w:rsid w:val="0024525D"/>
    <w:rsid w:val="00245773"/>
    <w:rsid w:val="002502C2"/>
    <w:rsid w:val="0025118E"/>
    <w:rsid w:val="00251230"/>
    <w:rsid w:val="00252806"/>
    <w:rsid w:val="002546AD"/>
    <w:rsid w:val="00255224"/>
    <w:rsid w:val="002552B4"/>
    <w:rsid w:val="002563B1"/>
    <w:rsid w:val="002564A8"/>
    <w:rsid w:val="00256EC8"/>
    <w:rsid w:val="0025717E"/>
    <w:rsid w:val="002571FD"/>
    <w:rsid w:val="00257782"/>
    <w:rsid w:val="002615C5"/>
    <w:rsid w:val="00262768"/>
    <w:rsid w:val="00264B6C"/>
    <w:rsid w:val="00267317"/>
    <w:rsid w:val="00267570"/>
    <w:rsid w:val="00267C59"/>
    <w:rsid w:val="0027129F"/>
    <w:rsid w:val="00271ACC"/>
    <w:rsid w:val="00272623"/>
    <w:rsid w:val="0027316D"/>
    <w:rsid w:val="00275BCB"/>
    <w:rsid w:val="002770F1"/>
    <w:rsid w:val="00277C0F"/>
    <w:rsid w:val="00280B4D"/>
    <w:rsid w:val="0028154F"/>
    <w:rsid w:val="00283CC3"/>
    <w:rsid w:val="0028433D"/>
    <w:rsid w:val="00284A90"/>
    <w:rsid w:val="00284DED"/>
    <w:rsid w:val="002865FC"/>
    <w:rsid w:val="00286A38"/>
    <w:rsid w:val="002915FD"/>
    <w:rsid w:val="00291716"/>
    <w:rsid w:val="00292447"/>
    <w:rsid w:val="002927D5"/>
    <w:rsid w:val="00292A4C"/>
    <w:rsid w:val="0029327F"/>
    <w:rsid w:val="00293E5A"/>
    <w:rsid w:val="00294090"/>
    <w:rsid w:val="002958C8"/>
    <w:rsid w:val="002965CE"/>
    <w:rsid w:val="00296D05"/>
    <w:rsid w:val="002A0848"/>
    <w:rsid w:val="002A176B"/>
    <w:rsid w:val="002A29C4"/>
    <w:rsid w:val="002A329D"/>
    <w:rsid w:val="002A3ED4"/>
    <w:rsid w:val="002A44E7"/>
    <w:rsid w:val="002A548C"/>
    <w:rsid w:val="002A66D8"/>
    <w:rsid w:val="002A6A5D"/>
    <w:rsid w:val="002A6F6C"/>
    <w:rsid w:val="002B0A07"/>
    <w:rsid w:val="002B0FD5"/>
    <w:rsid w:val="002B171D"/>
    <w:rsid w:val="002B1FB5"/>
    <w:rsid w:val="002B4341"/>
    <w:rsid w:val="002B5119"/>
    <w:rsid w:val="002B56DE"/>
    <w:rsid w:val="002B657F"/>
    <w:rsid w:val="002B75E7"/>
    <w:rsid w:val="002C06AA"/>
    <w:rsid w:val="002C07D4"/>
    <w:rsid w:val="002C1EBD"/>
    <w:rsid w:val="002C2CEF"/>
    <w:rsid w:val="002C2E82"/>
    <w:rsid w:val="002C32A7"/>
    <w:rsid w:val="002C37B3"/>
    <w:rsid w:val="002C38A2"/>
    <w:rsid w:val="002C3A4A"/>
    <w:rsid w:val="002C3C76"/>
    <w:rsid w:val="002C4C45"/>
    <w:rsid w:val="002C5359"/>
    <w:rsid w:val="002C792D"/>
    <w:rsid w:val="002C7FD9"/>
    <w:rsid w:val="002D000F"/>
    <w:rsid w:val="002D08BC"/>
    <w:rsid w:val="002D146A"/>
    <w:rsid w:val="002D15C9"/>
    <w:rsid w:val="002D211B"/>
    <w:rsid w:val="002D4640"/>
    <w:rsid w:val="002D4964"/>
    <w:rsid w:val="002D524F"/>
    <w:rsid w:val="002D7362"/>
    <w:rsid w:val="002D7818"/>
    <w:rsid w:val="002E0CD9"/>
    <w:rsid w:val="002E11E4"/>
    <w:rsid w:val="002E1733"/>
    <w:rsid w:val="002E1F1C"/>
    <w:rsid w:val="002E40D5"/>
    <w:rsid w:val="002E4201"/>
    <w:rsid w:val="002E5367"/>
    <w:rsid w:val="002E5D63"/>
    <w:rsid w:val="002E783F"/>
    <w:rsid w:val="002F0105"/>
    <w:rsid w:val="002F0278"/>
    <w:rsid w:val="002F0645"/>
    <w:rsid w:val="002F097B"/>
    <w:rsid w:val="002F1B84"/>
    <w:rsid w:val="002F2474"/>
    <w:rsid w:val="002F2915"/>
    <w:rsid w:val="002F2CC3"/>
    <w:rsid w:val="002F3651"/>
    <w:rsid w:val="002F4192"/>
    <w:rsid w:val="002F536D"/>
    <w:rsid w:val="002F54D9"/>
    <w:rsid w:val="002F5A13"/>
    <w:rsid w:val="002F6006"/>
    <w:rsid w:val="002F78DE"/>
    <w:rsid w:val="00300DB2"/>
    <w:rsid w:val="0030177B"/>
    <w:rsid w:val="003018D8"/>
    <w:rsid w:val="00302102"/>
    <w:rsid w:val="0030316B"/>
    <w:rsid w:val="003040DC"/>
    <w:rsid w:val="00305A06"/>
    <w:rsid w:val="00306D99"/>
    <w:rsid w:val="00307439"/>
    <w:rsid w:val="00310810"/>
    <w:rsid w:val="00313BA9"/>
    <w:rsid w:val="00315607"/>
    <w:rsid w:val="00315E8E"/>
    <w:rsid w:val="00316061"/>
    <w:rsid w:val="0031682D"/>
    <w:rsid w:val="00317A7D"/>
    <w:rsid w:val="00317F13"/>
    <w:rsid w:val="003207A0"/>
    <w:rsid w:val="0032339B"/>
    <w:rsid w:val="00325910"/>
    <w:rsid w:val="003259F4"/>
    <w:rsid w:val="0032650C"/>
    <w:rsid w:val="00327B0C"/>
    <w:rsid w:val="00330AFE"/>
    <w:rsid w:val="00330DE6"/>
    <w:rsid w:val="0033125F"/>
    <w:rsid w:val="0033211C"/>
    <w:rsid w:val="00332B20"/>
    <w:rsid w:val="00332CB7"/>
    <w:rsid w:val="00332ED9"/>
    <w:rsid w:val="00332F1C"/>
    <w:rsid w:val="0033373D"/>
    <w:rsid w:val="003345DC"/>
    <w:rsid w:val="00336476"/>
    <w:rsid w:val="0033748A"/>
    <w:rsid w:val="0034097C"/>
    <w:rsid w:val="0034151A"/>
    <w:rsid w:val="003418E1"/>
    <w:rsid w:val="00341B13"/>
    <w:rsid w:val="003429FC"/>
    <w:rsid w:val="00342BA9"/>
    <w:rsid w:val="00343744"/>
    <w:rsid w:val="00343AD7"/>
    <w:rsid w:val="00343B52"/>
    <w:rsid w:val="00344F5E"/>
    <w:rsid w:val="003456F5"/>
    <w:rsid w:val="003462C8"/>
    <w:rsid w:val="00346C15"/>
    <w:rsid w:val="00347542"/>
    <w:rsid w:val="003475D7"/>
    <w:rsid w:val="003478FC"/>
    <w:rsid w:val="00350448"/>
    <w:rsid w:val="00352837"/>
    <w:rsid w:val="00353321"/>
    <w:rsid w:val="003535DA"/>
    <w:rsid w:val="003539C0"/>
    <w:rsid w:val="00354705"/>
    <w:rsid w:val="0035483D"/>
    <w:rsid w:val="00355CF1"/>
    <w:rsid w:val="00355F3D"/>
    <w:rsid w:val="003607F3"/>
    <w:rsid w:val="00360F7F"/>
    <w:rsid w:val="00361186"/>
    <w:rsid w:val="003626BC"/>
    <w:rsid w:val="00362A17"/>
    <w:rsid w:val="00362D9F"/>
    <w:rsid w:val="00362F77"/>
    <w:rsid w:val="00363C11"/>
    <w:rsid w:val="0036444B"/>
    <w:rsid w:val="003644BF"/>
    <w:rsid w:val="0036511B"/>
    <w:rsid w:val="003654EF"/>
    <w:rsid w:val="003659F2"/>
    <w:rsid w:val="00365B44"/>
    <w:rsid w:val="00367230"/>
    <w:rsid w:val="003700AE"/>
    <w:rsid w:val="00370566"/>
    <w:rsid w:val="003707B2"/>
    <w:rsid w:val="00370C7F"/>
    <w:rsid w:val="003714FB"/>
    <w:rsid w:val="00371E30"/>
    <w:rsid w:val="003723EE"/>
    <w:rsid w:val="003729BD"/>
    <w:rsid w:val="003745DE"/>
    <w:rsid w:val="00375E29"/>
    <w:rsid w:val="0037600D"/>
    <w:rsid w:val="003765A4"/>
    <w:rsid w:val="00376AEB"/>
    <w:rsid w:val="00377DB6"/>
    <w:rsid w:val="00380358"/>
    <w:rsid w:val="00380B76"/>
    <w:rsid w:val="00381149"/>
    <w:rsid w:val="00381CB1"/>
    <w:rsid w:val="003822ED"/>
    <w:rsid w:val="0038236D"/>
    <w:rsid w:val="003833EA"/>
    <w:rsid w:val="003834BE"/>
    <w:rsid w:val="0038485F"/>
    <w:rsid w:val="0038533D"/>
    <w:rsid w:val="00386ED0"/>
    <w:rsid w:val="00387D66"/>
    <w:rsid w:val="00390D0D"/>
    <w:rsid w:val="003923D7"/>
    <w:rsid w:val="00395432"/>
    <w:rsid w:val="00396F88"/>
    <w:rsid w:val="00397F1D"/>
    <w:rsid w:val="003A03EA"/>
    <w:rsid w:val="003A06F2"/>
    <w:rsid w:val="003A07BB"/>
    <w:rsid w:val="003A0BC0"/>
    <w:rsid w:val="003A2121"/>
    <w:rsid w:val="003A51FE"/>
    <w:rsid w:val="003A5DB9"/>
    <w:rsid w:val="003B14EE"/>
    <w:rsid w:val="003B1D37"/>
    <w:rsid w:val="003B2B93"/>
    <w:rsid w:val="003B2B9B"/>
    <w:rsid w:val="003B31EA"/>
    <w:rsid w:val="003B35A5"/>
    <w:rsid w:val="003B3841"/>
    <w:rsid w:val="003B4215"/>
    <w:rsid w:val="003B4412"/>
    <w:rsid w:val="003B4A3C"/>
    <w:rsid w:val="003B6130"/>
    <w:rsid w:val="003B70AC"/>
    <w:rsid w:val="003B76A0"/>
    <w:rsid w:val="003B7C6F"/>
    <w:rsid w:val="003B7F43"/>
    <w:rsid w:val="003C0625"/>
    <w:rsid w:val="003C1389"/>
    <w:rsid w:val="003C1525"/>
    <w:rsid w:val="003C2634"/>
    <w:rsid w:val="003C2A03"/>
    <w:rsid w:val="003C3421"/>
    <w:rsid w:val="003C3B70"/>
    <w:rsid w:val="003C3EA0"/>
    <w:rsid w:val="003C69BE"/>
    <w:rsid w:val="003C741A"/>
    <w:rsid w:val="003D384A"/>
    <w:rsid w:val="003D3EC0"/>
    <w:rsid w:val="003D4529"/>
    <w:rsid w:val="003D4A62"/>
    <w:rsid w:val="003D4EE5"/>
    <w:rsid w:val="003D65AC"/>
    <w:rsid w:val="003D69F1"/>
    <w:rsid w:val="003E0370"/>
    <w:rsid w:val="003E1029"/>
    <w:rsid w:val="003E1169"/>
    <w:rsid w:val="003E1271"/>
    <w:rsid w:val="003E2579"/>
    <w:rsid w:val="003E4B33"/>
    <w:rsid w:val="003E6B6D"/>
    <w:rsid w:val="003E6EA7"/>
    <w:rsid w:val="003E74B8"/>
    <w:rsid w:val="003E7565"/>
    <w:rsid w:val="003E7D37"/>
    <w:rsid w:val="003E7EC2"/>
    <w:rsid w:val="003F0AD2"/>
    <w:rsid w:val="003F1DC9"/>
    <w:rsid w:val="003F237D"/>
    <w:rsid w:val="003F2E41"/>
    <w:rsid w:val="003F3BCB"/>
    <w:rsid w:val="003F3CDB"/>
    <w:rsid w:val="003F3D55"/>
    <w:rsid w:val="003F4855"/>
    <w:rsid w:val="003F66EE"/>
    <w:rsid w:val="003F68BD"/>
    <w:rsid w:val="003F725F"/>
    <w:rsid w:val="003F755F"/>
    <w:rsid w:val="003F7740"/>
    <w:rsid w:val="004008ED"/>
    <w:rsid w:val="004011C9"/>
    <w:rsid w:val="00401E96"/>
    <w:rsid w:val="00403AC8"/>
    <w:rsid w:val="00403C82"/>
    <w:rsid w:val="0040446D"/>
    <w:rsid w:val="00405BAB"/>
    <w:rsid w:val="00406C42"/>
    <w:rsid w:val="0041026C"/>
    <w:rsid w:val="004103E2"/>
    <w:rsid w:val="00410C16"/>
    <w:rsid w:val="00411C46"/>
    <w:rsid w:val="004126A1"/>
    <w:rsid w:val="00412AF4"/>
    <w:rsid w:val="00413FF3"/>
    <w:rsid w:val="00414179"/>
    <w:rsid w:val="0041450C"/>
    <w:rsid w:val="00415317"/>
    <w:rsid w:val="0041586E"/>
    <w:rsid w:val="00416D35"/>
    <w:rsid w:val="00416FD7"/>
    <w:rsid w:val="00417264"/>
    <w:rsid w:val="0042061C"/>
    <w:rsid w:val="00422391"/>
    <w:rsid w:val="00423345"/>
    <w:rsid w:val="004235D7"/>
    <w:rsid w:val="004236C6"/>
    <w:rsid w:val="00423E05"/>
    <w:rsid w:val="004240B9"/>
    <w:rsid w:val="004242CA"/>
    <w:rsid w:val="004246AB"/>
    <w:rsid w:val="00425677"/>
    <w:rsid w:val="00425CA0"/>
    <w:rsid w:val="0042775D"/>
    <w:rsid w:val="0043022D"/>
    <w:rsid w:val="0043025A"/>
    <w:rsid w:val="00430DD9"/>
    <w:rsid w:val="00430F9D"/>
    <w:rsid w:val="00431B4C"/>
    <w:rsid w:val="00431DB3"/>
    <w:rsid w:val="00433419"/>
    <w:rsid w:val="004334BD"/>
    <w:rsid w:val="004337D5"/>
    <w:rsid w:val="0043423E"/>
    <w:rsid w:val="00434FD4"/>
    <w:rsid w:val="00436B1D"/>
    <w:rsid w:val="0043738B"/>
    <w:rsid w:val="00442A5C"/>
    <w:rsid w:val="00443728"/>
    <w:rsid w:val="00443ED2"/>
    <w:rsid w:val="004509B9"/>
    <w:rsid w:val="00451653"/>
    <w:rsid w:val="004519EE"/>
    <w:rsid w:val="004531D7"/>
    <w:rsid w:val="0045507A"/>
    <w:rsid w:val="00455D85"/>
    <w:rsid w:val="00455F8A"/>
    <w:rsid w:val="00456136"/>
    <w:rsid w:val="00460317"/>
    <w:rsid w:val="00460CED"/>
    <w:rsid w:val="00461803"/>
    <w:rsid w:val="00462A12"/>
    <w:rsid w:val="00463E85"/>
    <w:rsid w:val="00463EDB"/>
    <w:rsid w:val="00464191"/>
    <w:rsid w:val="00465334"/>
    <w:rsid w:val="004667F9"/>
    <w:rsid w:val="00466BA4"/>
    <w:rsid w:val="00467567"/>
    <w:rsid w:val="00467755"/>
    <w:rsid w:val="00467A74"/>
    <w:rsid w:val="00470C96"/>
    <w:rsid w:val="004712CB"/>
    <w:rsid w:val="00471F82"/>
    <w:rsid w:val="00473E73"/>
    <w:rsid w:val="00473EF1"/>
    <w:rsid w:val="00474EC3"/>
    <w:rsid w:val="0047625B"/>
    <w:rsid w:val="00476F9B"/>
    <w:rsid w:val="004771B7"/>
    <w:rsid w:val="0047775D"/>
    <w:rsid w:val="004777C5"/>
    <w:rsid w:val="00477A5A"/>
    <w:rsid w:val="004811A0"/>
    <w:rsid w:val="00484936"/>
    <w:rsid w:val="00485A9A"/>
    <w:rsid w:val="004864B4"/>
    <w:rsid w:val="0048681A"/>
    <w:rsid w:val="00490C57"/>
    <w:rsid w:val="00490D0C"/>
    <w:rsid w:val="004930CD"/>
    <w:rsid w:val="004935EA"/>
    <w:rsid w:val="004939C4"/>
    <w:rsid w:val="00493A40"/>
    <w:rsid w:val="00494746"/>
    <w:rsid w:val="0049533E"/>
    <w:rsid w:val="0049562B"/>
    <w:rsid w:val="00495D95"/>
    <w:rsid w:val="004978A2"/>
    <w:rsid w:val="004979AD"/>
    <w:rsid w:val="00497A72"/>
    <w:rsid w:val="004A047B"/>
    <w:rsid w:val="004A0602"/>
    <w:rsid w:val="004A0AD2"/>
    <w:rsid w:val="004A0B74"/>
    <w:rsid w:val="004A0EE9"/>
    <w:rsid w:val="004A1383"/>
    <w:rsid w:val="004A21E2"/>
    <w:rsid w:val="004A24A4"/>
    <w:rsid w:val="004A2862"/>
    <w:rsid w:val="004A3BED"/>
    <w:rsid w:val="004A602E"/>
    <w:rsid w:val="004A7C8D"/>
    <w:rsid w:val="004A7EBE"/>
    <w:rsid w:val="004B07E4"/>
    <w:rsid w:val="004B2A80"/>
    <w:rsid w:val="004B396B"/>
    <w:rsid w:val="004B39C7"/>
    <w:rsid w:val="004B423F"/>
    <w:rsid w:val="004B44D4"/>
    <w:rsid w:val="004B4F86"/>
    <w:rsid w:val="004B587E"/>
    <w:rsid w:val="004B5A16"/>
    <w:rsid w:val="004C00F4"/>
    <w:rsid w:val="004C1323"/>
    <w:rsid w:val="004C17BA"/>
    <w:rsid w:val="004C1FAC"/>
    <w:rsid w:val="004C21ED"/>
    <w:rsid w:val="004C222E"/>
    <w:rsid w:val="004C339E"/>
    <w:rsid w:val="004C3935"/>
    <w:rsid w:val="004C48EC"/>
    <w:rsid w:val="004C4E28"/>
    <w:rsid w:val="004C50A7"/>
    <w:rsid w:val="004C5346"/>
    <w:rsid w:val="004C59A3"/>
    <w:rsid w:val="004C5CC1"/>
    <w:rsid w:val="004C7769"/>
    <w:rsid w:val="004D045A"/>
    <w:rsid w:val="004D120E"/>
    <w:rsid w:val="004D1AA9"/>
    <w:rsid w:val="004D22B7"/>
    <w:rsid w:val="004D2B6E"/>
    <w:rsid w:val="004D3A4A"/>
    <w:rsid w:val="004D6544"/>
    <w:rsid w:val="004D6567"/>
    <w:rsid w:val="004D6B3F"/>
    <w:rsid w:val="004D6E0C"/>
    <w:rsid w:val="004D6EE4"/>
    <w:rsid w:val="004D725C"/>
    <w:rsid w:val="004D7497"/>
    <w:rsid w:val="004D77EE"/>
    <w:rsid w:val="004E027A"/>
    <w:rsid w:val="004E0F52"/>
    <w:rsid w:val="004E168C"/>
    <w:rsid w:val="004E210D"/>
    <w:rsid w:val="004E25DE"/>
    <w:rsid w:val="004E2FED"/>
    <w:rsid w:val="004E39DE"/>
    <w:rsid w:val="004E4386"/>
    <w:rsid w:val="004E520F"/>
    <w:rsid w:val="004E5875"/>
    <w:rsid w:val="004E5AAA"/>
    <w:rsid w:val="004E5D97"/>
    <w:rsid w:val="004E623B"/>
    <w:rsid w:val="004E678A"/>
    <w:rsid w:val="004F020F"/>
    <w:rsid w:val="004F0CBC"/>
    <w:rsid w:val="004F4005"/>
    <w:rsid w:val="004F4748"/>
    <w:rsid w:val="004F4F64"/>
    <w:rsid w:val="004F54F9"/>
    <w:rsid w:val="004F5B33"/>
    <w:rsid w:val="004F62FC"/>
    <w:rsid w:val="004F65AE"/>
    <w:rsid w:val="004F6682"/>
    <w:rsid w:val="004F7C86"/>
    <w:rsid w:val="0050016D"/>
    <w:rsid w:val="00501058"/>
    <w:rsid w:val="00501146"/>
    <w:rsid w:val="005012AE"/>
    <w:rsid w:val="0050138E"/>
    <w:rsid w:val="005027FB"/>
    <w:rsid w:val="005029F9"/>
    <w:rsid w:val="00503998"/>
    <w:rsid w:val="00503BE2"/>
    <w:rsid w:val="00503D85"/>
    <w:rsid w:val="00505B01"/>
    <w:rsid w:val="00506130"/>
    <w:rsid w:val="00510814"/>
    <w:rsid w:val="005122B8"/>
    <w:rsid w:val="00513086"/>
    <w:rsid w:val="005131CA"/>
    <w:rsid w:val="005145F0"/>
    <w:rsid w:val="0051504E"/>
    <w:rsid w:val="00516CFE"/>
    <w:rsid w:val="00517D0F"/>
    <w:rsid w:val="00520E73"/>
    <w:rsid w:val="005213D0"/>
    <w:rsid w:val="005215C8"/>
    <w:rsid w:val="00521711"/>
    <w:rsid w:val="00522E88"/>
    <w:rsid w:val="005235F6"/>
    <w:rsid w:val="00523861"/>
    <w:rsid w:val="00523BB9"/>
    <w:rsid w:val="00524D50"/>
    <w:rsid w:val="00525DF6"/>
    <w:rsid w:val="00526CEE"/>
    <w:rsid w:val="00527871"/>
    <w:rsid w:val="005278C6"/>
    <w:rsid w:val="00531AB4"/>
    <w:rsid w:val="00531ABD"/>
    <w:rsid w:val="005320E1"/>
    <w:rsid w:val="00534913"/>
    <w:rsid w:val="0053492E"/>
    <w:rsid w:val="00535322"/>
    <w:rsid w:val="00541384"/>
    <w:rsid w:val="0054138B"/>
    <w:rsid w:val="00542F9B"/>
    <w:rsid w:val="00543B11"/>
    <w:rsid w:val="00545A20"/>
    <w:rsid w:val="00546010"/>
    <w:rsid w:val="005478B1"/>
    <w:rsid w:val="00550E18"/>
    <w:rsid w:val="005510F9"/>
    <w:rsid w:val="00553EF7"/>
    <w:rsid w:val="005565DD"/>
    <w:rsid w:val="0055684C"/>
    <w:rsid w:val="005568C3"/>
    <w:rsid w:val="00560455"/>
    <w:rsid w:val="00562943"/>
    <w:rsid w:val="00562DB8"/>
    <w:rsid w:val="00563B98"/>
    <w:rsid w:val="00563FB2"/>
    <w:rsid w:val="005643FB"/>
    <w:rsid w:val="00564518"/>
    <w:rsid w:val="00566CB4"/>
    <w:rsid w:val="00567277"/>
    <w:rsid w:val="00567535"/>
    <w:rsid w:val="00567C4A"/>
    <w:rsid w:val="005705BE"/>
    <w:rsid w:val="00570BAA"/>
    <w:rsid w:val="00570C39"/>
    <w:rsid w:val="005715B7"/>
    <w:rsid w:val="00571998"/>
    <w:rsid w:val="00571FDC"/>
    <w:rsid w:val="00572648"/>
    <w:rsid w:val="00572DC2"/>
    <w:rsid w:val="00573333"/>
    <w:rsid w:val="005737E2"/>
    <w:rsid w:val="00573944"/>
    <w:rsid w:val="00573AAC"/>
    <w:rsid w:val="00573E12"/>
    <w:rsid w:val="00574244"/>
    <w:rsid w:val="0057470D"/>
    <w:rsid w:val="005750D3"/>
    <w:rsid w:val="0057694A"/>
    <w:rsid w:val="00576984"/>
    <w:rsid w:val="00576D82"/>
    <w:rsid w:val="005779C7"/>
    <w:rsid w:val="00577ADE"/>
    <w:rsid w:val="00577BAC"/>
    <w:rsid w:val="00580365"/>
    <w:rsid w:val="00580B0A"/>
    <w:rsid w:val="00580BFC"/>
    <w:rsid w:val="00581368"/>
    <w:rsid w:val="00582067"/>
    <w:rsid w:val="005877D3"/>
    <w:rsid w:val="005901AD"/>
    <w:rsid w:val="00590C19"/>
    <w:rsid w:val="0059167C"/>
    <w:rsid w:val="0059265D"/>
    <w:rsid w:val="00594492"/>
    <w:rsid w:val="0059476D"/>
    <w:rsid w:val="005955C6"/>
    <w:rsid w:val="00595DE5"/>
    <w:rsid w:val="005A0879"/>
    <w:rsid w:val="005A11D6"/>
    <w:rsid w:val="005A28F4"/>
    <w:rsid w:val="005A2AD9"/>
    <w:rsid w:val="005A40E6"/>
    <w:rsid w:val="005A55E7"/>
    <w:rsid w:val="005A5764"/>
    <w:rsid w:val="005A5D2B"/>
    <w:rsid w:val="005A60CD"/>
    <w:rsid w:val="005A6D6B"/>
    <w:rsid w:val="005A71B3"/>
    <w:rsid w:val="005B1329"/>
    <w:rsid w:val="005B137F"/>
    <w:rsid w:val="005B1518"/>
    <w:rsid w:val="005B193B"/>
    <w:rsid w:val="005B2CDE"/>
    <w:rsid w:val="005B3181"/>
    <w:rsid w:val="005B47A5"/>
    <w:rsid w:val="005B5FE0"/>
    <w:rsid w:val="005B61FE"/>
    <w:rsid w:val="005B7607"/>
    <w:rsid w:val="005C1185"/>
    <w:rsid w:val="005C3379"/>
    <w:rsid w:val="005C3842"/>
    <w:rsid w:val="005C4160"/>
    <w:rsid w:val="005C4282"/>
    <w:rsid w:val="005C45D0"/>
    <w:rsid w:val="005C48D7"/>
    <w:rsid w:val="005C6B0F"/>
    <w:rsid w:val="005C7277"/>
    <w:rsid w:val="005D009C"/>
    <w:rsid w:val="005D0B16"/>
    <w:rsid w:val="005D0CB3"/>
    <w:rsid w:val="005D118C"/>
    <w:rsid w:val="005D2193"/>
    <w:rsid w:val="005D26D3"/>
    <w:rsid w:val="005D2A8D"/>
    <w:rsid w:val="005D2D13"/>
    <w:rsid w:val="005D3386"/>
    <w:rsid w:val="005D3622"/>
    <w:rsid w:val="005D3A65"/>
    <w:rsid w:val="005D42EA"/>
    <w:rsid w:val="005D4502"/>
    <w:rsid w:val="005D4905"/>
    <w:rsid w:val="005D6FB8"/>
    <w:rsid w:val="005D6FFF"/>
    <w:rsid w:val="005D7D67"/>
    <w:rsid w:val="005E0EB7"/>
    <w:rsid w:val="005E1093"/>
    <w:rsid w:val="005E11B9"/>
    <w:rsid w:val="005E15F9"/>
    <w:rsid w:val="005E17E5"/>
    <w:rsid w:val="005E2BF0"/>
    <w:rsid w:val="005E3EA0"/>
    <w:rsid w:val="005E559D"/>
    <w:rsid w:val="005E6D9B"/>
    <w:rsid w:val="005E7C8D"/>
    <w:rsid w:val="005E7C94"/>
    <w:rsid w:val="005E7EB3"/>
    <w:rsid w:val="005F003D"/>
    <w:rsid w:val="005F08A3"/>
    <w:rsid w:val="005F1323"/>
    <w:rsid w:val="005F159C"/>
    <w:rsid w:val="005F1ADC"/>
    <w:rsid w:val="005F2318"/>
    <w:rsid w:val="005F2D7F"/>
    <w:rsid w:val="005F3525"/>
    <w:rsid w:val="005F4F98"/>
    <w:rsid w:val="005F5594"/>
    <w:rsid w:val="005F738B"/>
    <w:rsid w:val="00600A63"/>
    <w:rsid w:val="00600E10"/>
    <w:rsid w:val="006011AF"/>
    <w:rsid w:val="006018C6"/>
    <w:rsid w:val="0060191A"/>
    <w:rsid w:val="00601ECA"/>
    <w:rsid w:val="006025ED"/>
    <w:rsid w:val="00603021"/>
    <w:rsid w:val="006037C8"/>
    <w:rsid w:val="00603ABF"/>
    <w:rsid w:val="00603CBB"/>
    <w:rsid w:val="00603E3A"/>
    <w:rsid w:val="00603FC8"/>
    <w:rsid w:val="00605416"/>
    <w:rsid w:val="00605903"/>
    <w:rsid w:val="00605E4E"/>
    <w:rsid w:val="00611D3E"/>
    <w:rsid w:val="00612798"/>
    <w:rsid w:val="00614449"/>
    <w:rsid w:val="006200E4"/>
    <w:rsid w:val="006206E4"/>
    <w:rsid w:val="006218AA"/>
    <w:rsid w:val="006235C7"/>
    <w:rsid w:val="006243A5"/>
    <w:rsid w:val="006244D1"/>
    <w:rsid w:val="00624AA6"/>
    <w:rsid w:val="0062757B"/>
    <w:rsid w:val="006323BA"/>
    <w:rsid w:val="00632BDC"/>
    <w:rsid w:val="00632C4C"/>
    <w:rsid w:val="00633F70"/>
    <w:rsid w:val="00634BC1"/>
    <w:rsid w:val="00634EC9"/>
    <w:rsid w:val="006353D3"/>
    <w:rsid w:val="006369AF"/>
    <w:rsid w:val="0063713C"/>
    <w:rsid w:val="00640637"/>
    <w:rsid w:val="00641A6D"/>
    <w:rsid w:val="00642B04"/>
    <w:rsid w:val="00642B13"/>
    <w:rsid w:val="00642CC8"/>
    <w:rsid w:val="00643A7B"/>
    <w:rsid w:val="00643CD7"/>
    <w:rsid w:val="00643F46"/>
    <w:rsid w:val="006445AD"/>
    <w:rsid w:val="006456B5"/>
    <w:rsid w:val="006456CD"/>
    <w:rsid w:val="006469D3"/>
    <w:rsid w:val="006470B3"/>
    <w:rsid w:val="006475AE"/>
    <w:rsid w:val="00647A55"/>
    <w:rsid w:val="00647E19"/>
    <w:rsid w:val="00650DC9"/>
    <w:rsid w:val="00651E91"/>
    <w:rsid w:val="006520DA"/>
    <w:rsid w:val="006524B6"/>
    <w:rsid w:val="00654276"/>
    <w:rsid w:val="0065660C"/>
    <w:rsid w:val="00656CC5"/>
    <w:rsid w:val="00657257"/>
    <w:rsid w:val="0065754A"/>
    <w:rsid w:val="00660103"/>
    <w:rsid w:val="00660CCF"/>
    <w:rsid w:val="0066328E"/>
    <w:rsid w:val="00663833"/>
    <w:rsid w:val="00663C06"/>
    <w:rsid w:val="006661CE"/>
    <w:rsid w:val="006709CE"/>
    <w:rsid w:val="00671212"/>
    <w:rsid w:val="00671A38"/>
    <w:rsid w:val="0067306D"/>
    <w:rsid w:val="0067424F"/>
    <w:rsid w:val="006743B9"/>
    <w:rsid w:val="00674772"/>
    <w:rsid w:val="00677043"/>
    <w:rsid w:val="006803F5"/>
    <w:rsid w:val="006814B9"/>
    <w:rsid w:val="006814C8"/>
    <w:rsid w:val="006835D9"/>
    <w:rsid w:val="00686B80"/>
    <w:rsid w:val="00686F62"/>
    <w:rsid w:val="00691085"/>
    <w:rsid w:val="00691380"/>
    <w:rsid w:val="0069245C"/>
    <w:rsid w:val="0069291C"/>
    <w:rsid w:val="00694427"/>
    <w:rsid w:val="00694551"/>
    <w:rsid w:val="00694B1B"/>
    <w:rsid w:val="00694CD9"/>
    <w:rsid w:val="006950EC"/>
    <w:rsid w:val="0069557E"/>
    <w:rsid w:val="00695C98"/>
    <w:rsid w:val="00696070"/>
    <w:rsid w:val="006962DB"/>
    <w:rsid w:val="00696D20"/>
    <w:rsid w:val="00697268"/>
    <w:rsid w:val="006A0006"/>
    <w:rsid w:val="006A00C9"/>
    <w:rsid w:val="006A0795"/>
    <w:rsid w:val="006A150D"/>
    <w:rsid w:val="006A3070"/>
    <w:rsid w:val="006A4047"/>
    <w:rsid w:val="006A56DB"/>
    <w:rsid w:val="006A63A9"/>
    <w:rsid w:val="006A7859"/>
    <w:rsid w:val="006B05CB"/>
    <w:rsid w:val="006B11E8"/>
    <w:rsid w:val="006B4150"/>
    <w:rsid w:val="006B4A52"/>
    <w:rsid w:val="006B54F9"/>
    <w:rsid w:val="006B5CE7"/>
    <w:rsid w:val="006B6381"/>
    <w:rsid w:val="006B670B"/>
    <w:rsid w:val="006B7110"/>
    <w:rsid w:val="006C0B67"/>
    <w:rsid w:val="006C2975"/>
    <w:rsid w:val="006C2AA1"/>
    <w:rsid w:val="006C3470"/>
    <w:rsid w:val="006C3FDF"/>
    <w:rsid w:val="006C4050"/>
    <w:rsid w:val="006C45E1"/>
    <w:rsid w:val="006C5004"/>
    <w:rsid w:val="006C7D0F"/>
    <w:rsid w:val="006D0431"/>
    <w:rsid w:val="006D09AA"/>
    <w:rsid w:val="006D1415"/>
    <w:rsid w:val="006D15B5"/>
    <w:rsid w:val="006D2204"/>
    <w:rsid w:val="006D3E45"/>
    <w:rsid w:val="006D4414"/>
    <w:rsid w:val="006D7087"/>
    <w:rsid w:val="006E122D"/>
    <w:rsid w:val="006E1287"/>
    <w:rsid w:val="006E13BA"/>
    <w:rsid w:val="006E1765"/>
    <w:rsid w:val="006E17AA"/>
    <w:rsid w:val="006E1BBC"/>
    <w:rsid w:val="006E1FB6"/>
    <w:rsid w:val="006E1FE8"/>
    <w:rsid w:val="006E218C"/>
    <w:rsid w:val="006E266A"/>
    <w:rsid w:val="006E425C"/>
    <w:rsid w:val="006E43FD"/>
    <w:rsid w:val="006E5698"/>
    <w:rsid w:val="006E5CC8"/>
    <w:rsid w:val="006E7DF5"/>
    <w:rsid w:val="006F050C"/>
    <w:rsid w:val="006F22A8"/>
    <w:rsid w:val="006F3077"/>
    <w:rsid w:val="006F312F"/>
    <w:rsid w:val="006F59BD"/>
    <w:rsid w:val="006F6D8F"/>
    <w:rsid w:val="006F7332"/>
    <w:rsid w:val="006F74A6"/>
    <w:rsid w:val="007000D5"/>
    <w:rsid w:val="0070053B"/>
    <w:rsid w:val="007012C0"/>
    <w:rsid w:val="007026FE"/>
    <w:rsid w:val="00703EB7"/>
    <w:rsid w:val="007044AD"/>
    <w:rsid w:val="007053B4"/>
    <w:rsid w:val="00705765"/>
    <w:rsid w:val="00705CD8"/>
    <w:rsid w:val="007067E5"/>
    <w:rsid w:val="00707446"/>
    <w:rsid w:val="007075D8"/>
    <w:rsid w:val="00707C26"/>
    <w:rsid w:val="0071062F"/>
    <w:rsid w:val="007126E8"/>
    <w:rsid w:val="00713195"/>
    <w:rsid w:val="0071321D"/>
    <w:rsid w:val="0071390B"/>
    <w:rsid w:val="00713FFE"/>
    <w:rsid w:val="0071579E"/>
    <w:rsid w:val="007158FD"/>
    <w:rsid w:val="00717701"/>
    <w:rsid w:val="007179FD"/>
    <w:rsid w:val="007204D5"/>
    <w:rsid w:val="00720503"/>
    <w:rsid w:val="0072091A"/>
    <w:rsid w:val="00721D0A"/>
    <w:rsid w:val="0072267E"/>
    <w:rsid w:val="007229B8"/>
    <w:rsid w:val="00723085"/>
    <w:rsid w:val="007239BD"/>
    <w:rsid w:val="00723A3A"/>
    <w:rsid w:val="00723DDB"/>
    <w:rsid w:val="00723EDD"/>
    <w:rsid w:val="00725CEF"/>
    <w:rsid w:val="007308FD"/>
    <w:rsid w:val="00731516"/>
    <w:rsid w:val="0073176E"/>
    <w:rsid w:val="007319BE"/>
    <w:rsid w:val="00732D4A"/>
    <w:rsid w:val="00733D9C"/>
    <w:rsid w:val="007343FC"/>
    <w:rsid w:val="00734BD9"/>
    <w:rsid w:val="00735694"/>
    <w:rsid w:val="007361DC"/>
    <w:rsid w:val="00736318"/>
    <w:rsid w:val="00736CE4"/>
    <w:rsid w:val="007377DE"/>
    <w:rsid w:val="007448D3"/>
    <w:rsid w:val="00744CED"/>
    <w:rsid w:val="0074570F"/>
    <w:rsid w:val="00745E65"/>
    <w:rsid w:val="00751733"/>
    <w:rsid w:val="00751FDE"/>
    <w:rsid w:val="00752D79"/>
    <w:rsid w:val="007531C2"/>
    <w:rsid w:val="007538F9"/>
    <w:rsid w:val="00753B47"/>
    <w:rsid w:val="00753BF0"/>
    <w:rsid w:val="00753E86"/>
    <w:rsid w:val="00754821"/>
    <w:rsid w:val="00755155"/>
    <w:rsid w:val="007568A4"/>
    <w:rsid w:val="007573D0"/>
    <w:rsid w:val="0075754C"/>
    <w:rsid w:val="0076049D"/>
    <w:rsid w:val="007611B8"/>
    <w:rsid w:val="0076126E"/>
    <w:rsid w:val="00761394"/>
    <w:rsid w:val="007626A7"/>
    <w:rsid w:val="00763ACC"/>
    <w:rsid w:val="00765F7C"/>
    <w:rsid w:val="0076666C"/>
    <w:rsid w:val="00767AD2"/>
    <w:rsid w:val="007702D5"/>
    <w:rsid w:val="00771066"/>
    <w:rsid w:val="0077116D"/>
    <w:rsid w:val="0077229E"/>
    <w:rsid w:val="00774282"/>
    <w:rsid w:val="00775364"/>
    <w:rsid w:val="00775A5F"/>
    <w:rsid w:val="00777212"/>
    <w:rsid w:val="00780244"/>
    <w:rsid w:val="00780676"/>
    <w:rsid w:val="007817AD"/>
    <w:rsid w:val="00781FAF"/>
    <w:rsid w:val="00782F2B"/>
    <w:rsid w:val="007833C2"/>
    <w:rsid w:val="00785351"/>
    <w:rsid w:val="00785C81"/>
    <w:rsid w:val="00786946"/>
    <w:rsid w:val="007914D7"/>
    <w:rsid w:val="007931AF"/>
    <w:rsid w:val="0079549C"/>
    <w:rsid w:val="00797185"/>
    <w:rsid w:val="007976D4"/>
    <w:rsid w:val="007A0409"/>
    <w:rsid w:val="007A08A8"/>
    <w:rsid w:val="007A0DE3"/>
    <w:rsid w:val="007A13CB"/>
    <w:rsid w:val="007A14BC"/>
    <w:rsid w:val="007A1F7D"/>
    <w:rsid w:val="007A3A50"/>
    <w:rsid w:val="007A485A"/>
    <w:rsid w:val="007A5298"/>
    <w:rsid w:val="007A59E6"/>
    <w:rsid w:val="007B206C"/>
    <w:rsid w:val="007B2595"/>
    <w:rsid w:val="007B3B5A"/>
    <w:rsid w:val="007B4CBF"/>
    <w:rsid w:val="007B4CEE"/>
    <w:rsid w:val="007B4ED0"/>
    <w:rsid w:val="007B6B1C"/>
    <w:rsid w:val="007B6E36"/>
    <w:rsid w:val="007B7CF9"/>
    <w:rsid w:val="007C110C"/>
    <w:rsid w:val="007C22B2"/>
    <w:rsid w:val="007C27E1"/>
    <w:rsid w:val="007C2A47"/>
    <w:rsid w:val="007C3369"/>
    <w:rsid w:val="007C33E4"/>
    <w:rsid w:val="007C5FB4"/>
    <w:rsid w:val="007C6D58"/>
    <w:rsid w:val="007C7C64"/>
    <w:rsid w:val="007D2957"/>
    <w:rsid w:val="007D2ABA"/>
    <w:rsid w:val="007D2F63"/>
    <w:rsid w:val="007D309A"/>
    <w:rsid w:val="007D348B"/>
    <w:rsid w:val="007D3663"/>
    <w:rsid w:val="007D38AD"/>
    <w:rsid w:val="007D3E5B"/>
    <w:rsid w:val="007D44B7"/>
    <w:rsid w:val="007D46FA"/>
    <w:rsid w:val="007D744E"/>
    <w:rsid w:val="007D79B8"/>
    <w:rsid w:val="007E0C5F"/>
    <w:rsid w:val="007E106D"/>
    <w:rsid w:val="007E279F"/>
    <w:rsid w:val="007E29FC"/>
    <w:rsid w:val="007E349A"/>
    <w:rsid w:val="007E40A7"/>
    <w:rsid w:val="007E53E0"/>
    <w:rsid w:val="007E5B4D"/>
    <w:rsid w:val="007E63CF"/>
    <w:rsid w:val="007E78EA"/>
    <w:rsid w:val="007E7BB3"/>
    <w:rsid w:val="007E7C56"/>
    <w:rsid w:val="007F08E1"/>
    <w:rsid w:val="007F0B85"/>
    <w:rsid w:val="007F0DCE"/>
    <w:rsid w:val="007F173E"/>
    <w:rsid w:val="007F22AC"/>
    <w:rsid w:val="007F24AE"/>
    <w:rsid w:val="007F3232"/>
    <w:rsid w:val="007F3CC5"/>
    <w:rsid w:val="007F465B"/>
    <w:rsid w:val="007F48E8"/>
    <w:rsid w:val="007F6A24"/>
    <w:rsid w:val="007F6CAC"/>
    <w:rsid w:val="00800E94"/>
    <w:rsid w:val="008017D6"/>
    <w:rsid w:val="00801B5D"/>
    <w:rsid w:val="00801D03"/>
    <w:rsid w:val="00803177"/>
    <w:rsid w:val="00803540"/>
    <w:rsid w:val="00803730"/>
    <w:rsid w:val="00804CD7"/>
    <w:rsid w:val="00805226"/>
    <w:rsid w:val="00805824"/>
    <w:rsid w:val="00807E4F"/>
    <w:rsid w:val="0081017E"/>
    <w:rsid w:val="00811FF1"/>
    <w:rsid w:val="008125A9"/>
    <w:rsid w:val="008128B6"/>
    <w:rsid w:val="008129F3"/>
    <w:rsid w:val="008136FE"/>
    <w:rsid w:val="00813EFB"/>
    <w:rsid w:val="0081477D"/>
    <w:rsid w:val="00815573"/>
    <w:rsid w:val="00817463"/>
    <w:rsid w:val="0081757A"/>
    <w:rsid w:val="00817D68"/>
    <w:rsid w:val="008223F8"/>
    <w:rsid w:val="00822593"/>
    <w:rsid w:val="00823B6F"/>
    <w:rsid w:val="00825559"/>
    <w:rsid w:val="008260DD"/>
    <w:rsid w:val="00826B5E"/>
    <w:rsid w:val="008271B9"/>
    <w:rsid w:val="008277F7"/>
    <w:rsid w:val="0083127C"/>
    <w:rsid w:val="00832124"/>
    <w:rsid w:val="00832D77"/>
    <w:rsid w:val="00833F26"/>
    <w:rsid w:val="008345AA"/>
    <w:rsid w:val="008347D7"/>
    <w:rsid w:val="008349EB"/>
    <w:rsid w:val="00834F73"/>
    <w:rsid w:val="0083536F"/>
    <w:rsid w:val="0083650D"/>
    <w:rsid w:val="008366B8"/>
    <w:rsid w:val="00837B5A"/>
    <w:rsid w:val="00837C23"/>
    <w:rsid w:val="0084132B"/>
    <w:rsid w:val="00842087"/>
    <w:rsid w:val="008435C1"/>
    <w:rsid w:val="0084447C"/>
    <w:rsid w:val="00846157"/>
    <w:rsid w:val="00846EB7"/>
    <w:rsid w:val="00847809"/>
    <w:rsid w:val="008500E9"/>
    <w:rsid w:val="00850119"/>
    <w:rsid w:val="00850279"/>
    <w:rsid w:val="00850ADC"/>
    <w:rsid w:val="00851235"/>
    <w:rsid w:val="00851608"/>
    <w:rsid w:val="00851A15"/>
    <w:rsid w:val="00851FBF"/>
    <w:rsid w:val="00852AEE"/>
    <w:rsid w:val="00852E78"/>
    <w:rsid w:val="008534AA"/>
    <w:rsid w:val="008557BB"/>
    <w:rsid w:val="00855E3C"/>
    <w:rsid w:val="0085745C"/>
    <w:rsid w:val="0086049B"/>
    <w:rsid w:val="00860D3C"/>
    <w:rsid w:val="00861BDC"/>
    <w:rsid w:val="008627A7"/>
    <w:rsid w:val="00862A8E"/>
    <w:rsid w:val="00862C10"/>
    <w:rsid w:val="0086342E"/>
    <w:rsid w:val="00864A62"/>
    <w:rsid w:val="008656CA"/>
    <w:rsid w:val="00866659"/>
    <w:rsid w:val="00866E1D"/>
    <w:rsid w:val="0086739F"/>
    <w:rsid w:val="008702CB"/>
    <w:rsid w:val="00873255"/>
    <w:rsid w:val="00873303"/>
    <w:rsid w:val="008737B5"/>
    <w:rsid w:val="00873AD7"/>
    <w:rsid w:val="00875C3A"/>
    <w:rsid w:val="00876259"/>
    <w:rsid w:val="00877A9E"/>
    <w:rsid w:val="00877DC9"/>
    <w:rsid w:val="00880D81"/>
    <w:rsid w:val="008813EF"/>
    <w:rsid w:val="00881478"/>
    <w:rsid w:val="00885410"/>
    <w:rsid w:val="00885C74"/>
    <w:rsid w:val="00892937"/>
    <w:rsid w:val="00892992"/>
    <w:rsid w:val="00893562"/>
    <w:rsid w:val="00894222"/>
    <w:rsid w:val="008943DD"/>
    <w:rsid w:val="00896AD7"/>
    <w:rsid w:val="0089779A"/>
    <w:rsid w:val="008A1C66"/>
    <w:rsid w:val="008A7343"/>
    <w:rsid w:val="008A7421"/>
    <w:rsid w:val="008B00BB"/>
    <w:rsid w:val="008B0D4B"/>
    <w:rsid w:val="008B153E"/>
    <w:rsid w:val="008B1BEB"/>
    <w:rsid w:val="008B2557"/>
    <w:rsid w:val="008B50F7"/>
    <w:rsid w:val="008B5A39"/>
    <w:rsid w:val="008B5C84"/>
    <w:rsid w:val="008B5FDD"/>
    <w:rsid w:val="008B74DB"/>
    <w:rsid w:val="008C0347"/>
    <w:rsid w:val="008C0801"/>
    <w:rsid w:val="008C39E9"/>
    <w:rsid w:val="008C3F0F"/>
    <w:rsid w:val="008C419A"/>
    <w:rsid w:val="008C6174"/>
    <w:rsid w:val="008C6618"/>
    <w:rsid w:val="008C6A18"/>
    <w:rsid w:val="008C74DB"/>
    <w:rsid w:val="008C76C4"/>
    <w:rsid w:val="008D0888"/>
    <w:rsid w:val="008D190D"/>
    <w:rsid w:val="008D3991"/>
    <w:rsid w:val="008D43C8"/>
    <w:rsid w:val="008D5AF4"/>
    <w:rsid w:val="008D5EA9"/>
    <w:rsid w:val="008D73F8"/>
    <w:rsid w:val="008E0A75"/>
    <w:rsid w:val="008E0C9B"/>
    <w:rsid w:val="008E1BAD"/>
    <w:rsid w:val="008E2084"/>
    <w:rsid w:val="008E288B"/>
    <w:rsid w:val="008E2E26"/>
    <w:rsid w:val="008E2EB4"/>
    <w:rsid w:val="008E32D7"/>
    <w:rsid w:val="008E33AF"/>
    <w:rsid w:val="008E34E2"/>
    <w:rsid w:val="008E44CC"/>
    <w:rsid w:val="008E4638"/>
    <w:rsid w:val="008E4F40"/>
    <w:rsid w:val="008E4F58"/>
    <w:rsid w:val="008E6E3E"/>
    <w:rsid w:val="008E7405"/>
    <w:rsid w:val="008E7AF7"/>
    <w:rsid w:val="008F04C3"/>
    <w:rsid w:val="008F0F7E"/>
    <w:rsid w:val="008F110E"/>
    <w:rsid w:val="008F2B50"/>
    <w:rsid w:val="008F2DFE"/>
    <w:rsid w:val="008F4C76"/>
    <w:rsid w:val="008F5118"/>
    <w:rsid w:val="008F5AFA"/>
    <w:rsid w:val="008F5B0F"/>
    <w:rsid w:val="008F60A1"/>
    <w:rsid w:val="0090142D"/>
    <w:rsid w:val="00901D92"/>
    <w:rsid w:val="00902DAF"/>
    <w:rsid w:val="009032B4"/>
    <w:rsid w:val="009047A2"/>
    <w:rsid w:val="00905420"/>
    <w:rsid w:val="009063F6"/>
    <w:rsid w:val="009071A2"/>
    <w:rsid w:val="00907C0A"/>
    <w:rsid w:val="00907E83"/>
    <w:rsid w:val="00910A65"/>
    <w:rsid w:val="00910C5F"/>
    <w:rsid w:val="00910D90"/>
    <w:rsid w:val="00910DC0"/>
    <w:rsid w:val="0091117D"/>
    <w:rsid w:val="00911DC1"/>
    <w:rsid w:val="00912CE1"/>
    <w:rsid w:val="0091473F"/>
    <w:rsid w:val="009149E0"/>
    <w:rsid w:val="0091513A"/>
    <w:rsid w:val="00915C90"/>
    <w:rsid w:val="00916884"/>
    <w:rsid w:val="009171DB"/>
    <w:rsid w:val="009177DF"/>
    <w:rsid w:val="00920003"/>
    <w:rsid w:val="00920069"/>
    <w:rsid w:val="00920418"/>
    <w:rsid w:val="00920D06"/>
    <w:rsid w:val="00922C00"/>
    <w:rsid w:val="0092307E"/>
    <w:rsid w:val="009238FD"/>
    <w:rsid w:val="009246C3"/>
    <w:rsid w:val="00925574"/>
    <w:rsid w:val="00925C62"/>
    <w:rsid w:val="00931B39"/>
    <w:rsid w:val="00931BEE"/>
    <w:rsid w:val="00931E60"/>
    <w:rsid w:val="00932535"/>
    <w:rsid w:val="00932E2C"/>
    <w:rsid w:val="00934BF3"/>
    <w:rsid w:val="00936D4C"/>
    <w:rsid w:val="00937DBD"/>
    <w:rsid w:val="009402E7"/>
    <w:rsid w:val="009408E5"/>
    <w:rsid w:val="009416E9"/>
    <w:rsid w:val="00941A51"/>
    <w:rsid w:val="00942548"/>
    <w:rsid w:val="00942B72"/>
    <w:rsid w:val="00942BBE"/>
    <w:rsid w:val="00943F5F"/>
    <w:rsid w:val="00943F60"/>
    <w:rsid w:val="00944282"/>
    <w:rsid w:val="00944D1F"/>
    <w:rsid w:val="009464E3"/>
    <w:rsid w:val="009465C0"/>
    <w:rsid w:val="00946B95"/>
    <w:rsid w:val="009475DF"/>
    <w:rsid w:val="00947887"/>
    <w:rsid w:val="00947F9B"/>
    <w:rsid w:val="0095025B"/>
    <w:rsid w:val="00951DDB"/>
    <w:rsid w:val="00952B34"/>
    <w:rsid w:val="00953248"/>
    <w:rsid w:val="009539BF"/>
    <w:rsid w:val="009542B4"/>
    <w:rsid w:val="00954827"/>
    <w:rsid w:val="009557A5"/>
    <w:rsid w:val="00955A0A"/>
    <w:rsid w:val="00955FE6"/>
    <w:rsid w:val="00956357"/>
    <w:rsid w:val="00957868"/>
    <w:rsid w:val="00957BE9"/>
    <w:rsid w:val="00957EFB"/>
    <w:rsid w:val="00960090"/>
    <w:rsid w:val="00960705"/>
    <w:rsid w:val="00961B10"/>
    <w:rsid w:val="0096296C"/>
    <w:rsid w:val="009629AF"/>
    <w:rsid w:val="00963BA5"/>
    <w:rsid w:val="0096473F"/>
    <w:rsid w:val="00964823"/>
    <w:rsid w:val="009652D8"/>
    <w:rsid w:val="00965BDF"/>
    <w:rsid w:val="009660DF"/>
    <w:rsid w:val="00966481"/>
    <w:rsid w:val="0096652D"/>
    <w:rsid w:val="009708BE"/>
    <w:rsid w:val="00970ED5"/>
    <w:rsid w:val="00970F1C"/>
    <w:rsid w:val="00971976"/>
    <w:rsid w:val="0097241D"/>
    <w:rsid w:val="00972C36"/>
    <w:rsid w:val="00973EC3"/>
    <w:rsid w:val="00975655"/>
    <w:rsid w:val="009756A0"/>
    <w:rsid w:val="00975AFB"/>
    <w:rsid w:val="00975EBA"/>
    <w:rsid w:val="00976AD6"/>
    <w:rsid w:val="00976EF9"/>
    <w:rsid w:val="00977A15"/>
    <w:rsid w:val="00981DA9"/>
    <w:rsid w:val="00982BAF"/>
    <w:rsid w:val="00983669"/>
    <w:rsid w:val="009838E0"/>
    <w:rsid w:val="0098453C"/>
    <w:rsid w:val="00984795"/>
    <w:rsid w:val="00984908"/>
    <w:rsid w:val="009850B4"/>
    <w:rsid w:val="00985225"/>
    <w:rsid w:val="009864F6"/>
    <w:rsid w:val="00986915"/>
    <w:rsid w:val="00986A61"/>
    <w:rsid w:val="00990A7D"/>
    <w:rsid w:val="0099141E"/>
    <w:rsid w:val="00991FC2"/>
    <w:rsid w:val="00992807"/>
    <w:rsid w:val="00992D09"/>
    <w:rsid w:val="009940FF"/>
    <w:rsid w:val="009952AC"/>
    <w:rsid w:val="009963A8"/>
    <w:rsid w:val="00996A91"/>
    <w:rsid w:val="00997148"/>
    <w:rsid w:val="009A027F"/>
    <w:rsid w:val="009A0FF2"/>
    <w:rsid w:val="009A22A4"/>
    <w:rsid w:val="009A2B29"/>
    <w:rsid w:val="009A3654"/>
    <w:rsid w:val="009A370A"/>
    <w:rsid w:val="009A3ADD"/>
    <w:rsid w:val="009A4CB2"/>
    <w:rsid w:val="009A6036"/>
    <w:rsid w:val="009A6E8E"/>
    <w:rsid w:val="009A7288"/>
    <w:rsid w:val="009B0209"/>
    <w:rsid w:val="009B0912"/>
    <w:rsid w:val="009B24E2"/>
    <w:rsid w:val="009B4433"/>
    <w:rsid w:val="009B62CF"/>
    <w:rsid w:val="009B68FD"/>
    <w:rsid w:val="009B7403"/>
    <w:rsid w:val="009B7AA5"/>
    <w:rsid w:val="009C23F5"/>
    <w:rsid w:val="009C2987"/>
    <w:rsid w:val="009C2DF0"/>
    <w:rsid w:val="009C2E40"/>
    <w:rsid w:val="009C34DA"/>
    <w:rsid w:val="009C3761"/>
    <w:rsid w:val="009C3885"/>
    <w:rsid w:val="009C4459"/>
    <w:rsid w:val="009C6BF5"/>
    <w:rsid w:val="009C73BE"/>
    <w:rsid w:val="009D1325"/>
    <w:rsid w:val="009D24FF"/>
    <w:rsid w:val="009D44B4"/>
    <w:rsid w:val="009D49F1"/>
    <w:rsid w:val="009D6558"/>
    <w:rsid w:val="009D71DE"/>
    <w:rsid w:val="009E0CA3"/>
    <w:rsid w:val="009E167A"/>
    <w:rsid w:val="009E17F5"/>
    <w:rsid w:val="009E18FD"/>
    <w:rsid w:val="009E2387"/>
    <w:rsid w:val="009E274D"/>
    <w:rsid w:val="009E4CCA"/>
    <w:rsid w:val="009E6CB2"/>
    <w:rsid w:val="009E6DB0"/>
    <w:rsid w:val="009E70F7"/>
    <w:rsid w:val="009E72F2"/>
    <w:rsid w:val="009E7BF5"/>
    <w:rsid w:val="009F0138"/>
    <w:rsid w:val="009F1125"/>
    <w:rsid w:val="009F1A15"/>
    <w:rsid w:val="009F1C78"/>
    <w:rsid w:val="009F4A0C"/>
    <w:rsid w:val="009F6328"/>
    <w:rsid w:val="009F73C8"/>
    <w:rsid w:val="009F745B"/>
    <w:rsid w:val="009F7AE0"/>
    <w:rsid w:val="00A00490"/>
    <w:rsid w:val="00A004A6"/>
    <w:rsid w:val="00A01CB2"/>
    <w:rsid w:val="00A05189"/>
    <w:rsid w:val="00A064A6"/>
    <w:rsid w:val="00A067F5"/>
    <w:rsid w:val="00A06C5C"/>
    <w:rsid w:val="00A07344"/>
    <w:rsid w:val="00A120A2"/>
    <w:rsid w:val="00A13F6F"/>
    <w:rsid w:val="00A143D6"/>
    <w:rsid w:val="00A154DF"/>
    <w:rsid w:val="00A174D8"/>
    <w:rsid w:val="00A1779F"/>
    <w:rsid w:val="00A17E7F"/>
    <w:rsid w:val="00A203C8"/>
    <w:rsid w:val="00A205F8"/>
    <w:rsid w:val="00A2110F"/>
    <w:rsid w:val="00A21578"/>
    <w:rsid w:val="00A22E53"/>
    <w:rsid w:val="00A23249"/>
    <w:rsid w:val="00A23714"/>
    <w:rsid w:val="00A23D1B"/>
    <w:rsid w:val="00A23E6C"/>
    <w:rsid w:val="00A24DE5"/>
    <w:rsid w:val="00A25EB0"/>
    <w:rsid w:val="00A26655"/>
    <w:rsid w:val="00A2681E"/>
    <w:rsid w:val="00A2693C"/>
    <w:rsid w:val="00A30B64"/>
    <w:rsid w:val="00A31635"/>
    <w:rsid w:val="00A33261"/>
    <w:rsid w:val="00A332F2"/>
    <w:rsid w:val="00A35C99"/>
    <w:rsid w:val="00A35F2E"/>
    <w:rsid w:val="00A362DC"/>
    <w:rsid w:val="00A375D5"/>
    <w:rsid w:val="00A43AE8"/>
    <w:rsid w:val="00A43B4B"/>
    <w:rsid w:val="00A44795"/>
    <w:rsid w:val="00A44E21"/>
    <w:rsid w:val="00A4507F"/>
    <w:rsid w:val="00A4518F"/>
    <w:rsid w:val="00A461D6"/>
    <w:rsid w:val="00A46E3E"/>
    <w:rsid w:val="00A505C6"/>
    <w:rsid w:val="00A50E1F"/>
    <w:rsid w:val="00A513BE"/>
    <w:rsid w:val="00A514CE"/>
    <w:rsid w:val="00A51B6B"/>
    <w:rsid w:val="00A52745"/>
    <w:rsid w:val="00A52C2A"/>
    <w:rsid w:val="00A52DFE"/>
    <w:rsid w:val="00A536E2"/>
    <w:rsid w:val="00A55421"/>
    <w:rsid w:val="00A55635"/>
    <w:rsid w:val="00A5584C"/>
    <w:rsid w:val="00A55B79"/>
    <w:rsid w:val="00A569B3"/>
    <w:rsid w:val="00A56D98"/>
    <w:rsid w:val="00A6116B"/>
    <w:rsid w:val="00A62497"/>
    <w:rsid w:val="00A625D6"/>
    <w:rsid w:val="00A6491E"/>
    <w:rsid w:val="00A64F9B"/>
    <w:rsid w:val="00A701A5"/>
    <w:rsid w:val="00A713B4"/>
    <w:rsid w:val="00A71FB6"/>
    <w:rsid w:val="00A73DBC"/>
    <w:rsid w:val="00A742DA"/>
    <w:rsid w:val="00A7507E"/>
    <w:rsid w:val="00A77703"/>
    <w:rsid w:val="00A778AD"/>
    <w:rsid w:val="00A77C03"/>
    <w:rsid w:val="00A80C3C"/>
    <w:rsid w:val="00A81372"/>
    <w:rsid w:val="00A828A2"/>
    <w:rsid w:val="00A83582"/>
    <w:rsid w:val="00A83CC8"/>
    <w:rsid w:val="00A843C4"/>
    <w:rsid w:val="00A85F2C"/>
    <w:rsid w:val="00A874DD"/>
    <w:rsid w:val="00A913F4"/>
    <w:rsid w:val="00A9225A"/>
    <w:rsid w:val="00A942DB"/>
    <w:rsid w:val="00A95CF6"/>
    <w:rsid w:val="00A96F41"/>
    <w:rsid w:val="00A970AC"/>
    <w:rsid w:val="00AA010D"/>
    <w:rsid w:val="00AA0DBF"/>
    <w:rsid w:val="00AA10FE"/>
    <w:rsid w:val="00AA4A6E"/>
    <w:rsid w:val="00AA4B68"/>
    <w:rsid w:val="00AA5261"/>
    <w:rsid w:val="00AA58AC"/>
    <w:rsid w:val="00AA66B1"/>
    <w:rsid w:val="00AA68CC"/>
    <w:rsid w:val="00AA68E3"/>
    <w:rsid w:val="00AA6DD5"/>
    <w:rsid w:val="00AB095B"/>
    <w:rsid w:val="00AB1CBA"/>
    <w:rsid w:val="00AB1D87"/>
    <w:rsid w:val="00AB313E"/>
    <w:rsid w:val="00AB4AD7"/>
    <w:rsid w:val="00AB57D6"/>
    <w:rsid w:val="00AB5BD7"/>
    <w:rsid w:val="00AB5CE7"/>
    <w:rsid w:val="00AB5F3A"/>
    <w:rsid w:val="00AB714A"/>
    <w:rsid w:val="00AB7784"/>
    <w:rsid w:val="00AC0152"/>
    <w:rsid w:val="00AC0C4E"/>
    <w:rsid w:val="00AC2351"/>
    <w:rsid w:val="00AC34CF"/>
    <w:rsid w:val="00AC352A"/>
    <w:rsid w:val="00AC478E"/>
    <w:rsid w:val="00AC51C2"/>
    <w:rsid w:val="00AC5C8C"/>
    <w:rsid w:val="00AC66CD"/>
    <w:rsid w:val="00AC67D7"/>
    <w:rsid w:val="00AD290B"/>
    <w:rsid w:val="00AD3E98"/>
    <w:rsid w:val="00AD3F83"/>
    <w:rsid w:val="00AD4F2F"/>
    <w:rsid w:val="00AD5AAA"/>
    <w:rsid w:val="00AD6142"/>
    <w:rsid w:val="00AD623D"/>
    <w:rsid w:val="00AD6552"/>
    <w:rsid w:val="00AD65BF"/>
    <w:rsid w:val="00AE0048"/>
    <w:rsid w:val="00AE0278"/>
    <w:rsid w:val="00AE089F"/>
    <w:rsid w:val="00AE10D9"/>
    <w:rsid w:val="00AE1D47"/>
    <w:rsid w:val="00AE1F26"/>
    <w:rsid w:val="00AE2218"/>
    <w:rsid w:val="00AE2251"/>
    <w:rsid w:val="00AE250F"/>
    <w:rsid w:val="00AE2634"/>
    <w:rsid w:val="00AE2CBD"/>
    <w:rsid w:val="00AE4FBF"/>
    <w:rsid w:val="00AE524A"/>
    <w:rsid w:val="00AE5DD7"/>
    <w:rsid w:val="00AE7562"/>
    <w:rsid w:val="00AE794E"/>
    <w:rsid w:val="00AE79B2"/>
    <w:rsid w:val="00AF0F14"/>
    <w:rsid w:val="00AF2818"/>
    <w:rsid w:val="00AF2D5E"/>
    <w:rsid w:val="00AF2F1D"/>
    <w:rsid w:val="00AF2F21"/>
    <w:rsid w:val="00AF3D4D"/>
    <w:rsid w:val="00AF4F63"/>
    <w:rsid w:val="00AF53F9"/>
    <w:rsid w:val="00AF5B6B"/>
    <w:rsid w:val="00AF654C"/>
    <w:rsid w:val="00AF6924"/>
    <w:rsid w:val="00AF6F18"/>
    <w:rsid w:val="00B00405"/>
    <w:rsid w:val="00B009FD"/>
    <w:rsid w:val="00B0108B"/>
    <w:rsid w:val="00B01ADF"/>
    <w:rsid w:val="00B02B6A"/>
    <w:rsid w:val="00B03C00"/>
    <w:rsid w:val="00B0579A"/>
    <w:rsid w:val="00B05859"/>
    <w:rsid w:val="00B068F4"/>
    <w:rsid w:val="00B06ACA"/>
    <w:rsid w:val="00B06F79"/>
    <w:rsid w:val="00B07D6A"/>
    <w:rsid w:val="00B1013C"/>
    <w:rsid w:val="00B105BE"/>
    <w:rsid w:val="00B10810"/>
    <w:rsid w:val="00B10D68"/>
    <w:rsid w:val="00B11A21"/>
    <w:rsid w:val="00B11C8D"/>
    <w:rsid w:val="00B1261E"/>
    <w:rsid w:val="00B12DDE"/>
    <w:rsid w:val="00B13011"/>
    <w:rsid w:val="00B1557A"/>
    <w:rsid w:val="00B159C5"/>
    <w:rsid w:val="00B1763E"/>
    <w:rsid w:val="00B22549"/>
    <w:rsid w:val="00B239C9"/>
    <w:rsid w:val="00B2418A"/>
    <w:rsid w:val="00B24759"/>
    <w:rsid w:val="00B24944"/>
    <w:rsid w:val="00B26BBF"/>
    <w:rsid w:val="00B271F1"/>
    <w:rsid w:val="00B2737B"/>
    <w:rsid w:val="00B30587"/>
    <w:rsid w:val="00B30669"/>
    <w:rsid w:val="00B30D80"/>
    <w:rsid w:val="00B3146F"/>
    <w:rsid w:val="00B3234D"/>
    <w:rsid w:val="00B32869"/>
    <w:rsid w:val="00B32990"/>
    <w:rsid w:val="00B32D4F"/>
    <w:rsid w:val="00B33190"/>
    <w:rsid w:val="00B336D9"/>
    <w:rsid w:val="00B33EE0"/>
    <w:rsid w:val="00B33F1E"/>
    <w:rsid w:val="00B33FD4"/>
    <w:rsid w:val="00B343D8"/>
    <w:rsid w:val="00B34753"/>
    <w:rsid w:val="00B3484D"/>
    <w:rsid w:val="00B34BFE"/>
    <w:rsid w:val="00B356B1"/>
    <w:rsid w:val="00B35FFE"/>
    <w:rsid w:val="00B363A5"/>
    <w:rsid w:val="00B37234"/>
    <w:rsid w:val="00B37DE1"/>
    <w:rsid w:val="00B40798"/>
    <w:rsid w:val="00B42138"/>
    <w:rsid w:val="00B430B0"/>
    <w:rsid w:val="00B44F68"/>
    <w:rsid w:val="00B45217"/>
    <w:rsid w:val="00B45C84"/>
    <w:rsid w:val="00B46A56"/>
    <w:rsid w:val="00B46D17"/>
    <w:rsid w:val="00B5101A"/>
    <w:rsid w:val="00B51661"/>
    <w:rsid w:val="00B51FCF"/>
    <w:rsid w:val="00B5395A"/>
    <w:rsid w:val="00B5481B"/>
    <w:rsid w:val="00B557A2"/>
    <w:rsid w:val="00B55FC2"/>
    <w:rsid w:val="00B560D5"/>
    <w:rsid w:val="00B56468"/>
    <w:rsid w:val="00B56790"/>
    <w:rsid w:val="00B56948"/>
    <w:rsid w:val="00B56D51"/>
    <w:rsid w:val="00B606AF"/>
    <w:rsid w:val="00B60C4E"/>
    <w:rsid w:val="00B63E6D"/>
    <w:rsid w:val="00B64A3A"/>
    <w:rsid w:val="00B64A6F"/>
    <w:rsid w:val="00B64F46"/>
    <w:rsid w:val="00B669FE"/>
    <w:rsid w:val="00B70E6F"/>
    <w:rsid w:val="00B7115A"/>
    <w:rsid w:val="00B7134F"/>
    <w:rsid w:val="00B72621"/>
    <w:rsid w:val="00B7339F"/>
    <w:rsid w:val="00B73C79"/>
    <w:rsid w:val="00B745C1"/>
    <w:rsid w:val="00B7569B"/>
    <w:rsid w:val="00B757DB"/>
    <w:rsid w:val="00B80098"/>
    <w:rsid w:val="00B80A7E"/>
    <w:rsid w:val="00B82A4A"/>
    <w:rsid w:val="00B836D4"/>
    <w:rsid w:val="00B86147"/>
    <w:rsid w:val="00B8640F"/>
    <w:rsid w:val="00B86BB1"/>
    <w:rsid w:val="00B86DB8"/>
    <w:rsid w:val="00B87F75"/>
    <w:rsid w:val="00B91BC7"/>
    <w:rsid w:val="00B921E2"/>
    <w:rsid w:val="00B9279F"/>
    <w:rsid w:val="00B92ECF"/>
    <w:rsid w:val="00B93512"/>
    <w:rsid w:val="00B93A2F"/>
    <w:rsid w:val="00B9428B"/>
    <w:rsid w:val="00B94472"/>
    <w:rsid w:val="00BA0767"/>
    <w:rsid w:val="00BA0E82"/>
    <w:rsid w:val="00BA1A78"/>
    <w:rsid w:val="00BA2720"/>
    <w:rsid w:val="00BA27EC"/>
    <w:rsid w:val="00BA2AD0"/>
    <w:rsid w:val="00BA2C43"/>
    <w:rsid w:val="00BA2F91"/>
    <w:rsid w:val="00BA34C3"/>
    <w:rsid w:val="00BA3E75"/>
    <w:rsid w:val="00BA621D"/>
    <w:rsid w:val="00BA7972"/>
    <w:rsid w:val="00BA7F4E"/>
    <w:rsid w:val="00BB0B3F"/>
    <w:rsid w:val="00BB13F6"/>
    <w:rsid w:val="00BB1429"/>
    <w:rsid w:val="00BB22C8"/>
    <w:rsid w:val="00BB2C97"/>
    <w:rsid w:val="00BB3390"/>
    <w:rsid w:val="00BB36F6"/>
    <w:rsid w:val="00BB4B90"/>
    <w:rsid w:val="00BB5183"/>
    <w:rsid w:val="00BB602C"/>
    <w:rsid w:val="00BB6DC6"/>
    <w:rsid w:val="00BC1C05"/>
    <w:rsid w:val="00BC2468"/>
    <w:rsid w:val="00BC24A0"/>
    <w:rsid w:val="00BC3634"/>
    <w:rsid w:val="00BC365E"/>
    <w:rsid w:val="00BC48F5"/>
    <w:rsid w:val="00BC4935"/>
    <w:rsid w:val="00BC58C7"/>
    <w:rsid w:val="00BC611D"/>
    <w:rsid w:val="00BC6768"/>
    <w:rsid w:val="00BC6B30"/>
    <w:rsid w:val="00BD01C0"/>
    <w:rsid w:val="00BD020A"/>
    <w:rsid w:val="00BD03E7"/>
    <w:rsid w:val="00BD1171"/>
    <w:rsid w:val="00BD1555"/>
    <w:rsid w:val="00BD2517"/>
    <w:rsid w:val="00BD273F"/>
    <w:rsid w:val="00BD366B"/>
    <w:rsid w:val="00BD4FB2"/>
    <w:rsid w:val="00BD55EF"/>
    <w:rsid w:val="00BD5F1E"/>
    <w:rsid w:val="00BD6590"/>
    <w:rsid w:val="00BD71FB"/>
    <w:rsid w:val="00BD72FD"/>
    <w:rsid w:val="00BD7A5F"/>
    <w:rsid w:val="00BE0303"/>
    <w:rsid w:val="00BE10F5"/>
    <w:rsid w:val="00BE288A"/>
    <w:rsid w:val="00BE32C5"/>
    <w:rsid w:val="00BE3621"/>
    <w:rsid w:val="00BE3768"/>
    <w:rsid w:val="00BE3CBD"/>
    <w:rsid w:val="00BE4D4B"/>
    <w:rsid w:val="00BE5798"/>
    <w:rsid w:val="00BE5ADB"/>
    <w:rsid w:val="00BE5D31"/>
    <w:rsid w:val="00BE613B"/>
    <w:rsid w:val="00BE637C"/>
    <w:rsid w:val="00BE638A"/>
    <w:rsid w:val="00BE63A6"/>
    <w:rsid w:val="00BE6F7E"/>
    <w:rsid w:val="00BF05AE"/>
    <w:rsid w:val="00BF07DE"/>
    <w:rsid w:val="00BF0AA7"/>
    <w:rsid w:val="00BF0CA1"/>
    <w:rsid w:val="00BF0FDD"/>
    <w:rsid w:val="00BF1102"/>
    <w:rsid w:val="00BF2D10"/>
    <w:rsid w:val="00BF34CB"/>
    <w:rsid w:val="00BF402A"/>
    <w:rsid w:val="00BF49CB"/>
    <w:rsid w:val="00BF6DDC"/>
    <w:rsid w:val="00BF6F04"/>
    <w:rsid w:val="00BF7CC8"/>
    <w:rsid w:val="00BF7EC1"/>
    <w:rsid w:val="00C000AC"/>
    <w:rsid w:val="00C0141C"/>
    <w:rsid w:val="00C045E0"/>
    <w:rsid w:val="00C0484D"/>
    <w:rsid w:val="00C04898"/>
    <w:rsid w:val="00C05327"/>
    <w:rsid w:val="00C05A96"/>
    <w:rsid w:val="00C05EBE"/>
    <w:rsid w:val="00C05F43"/>
    <w:rsid w:val="00C05F82"/>
    <w:rsid w:val="00C065EF"/>
    <w:rsid w:val="00C06659"/>
    <w:rsid w:val="00C068FF"/>
    <w:rsid w:val="00C07D1E"/>
    <w:rsid w:val="00C10267"/>
    <w:rsid w:val="00C10423"/>
    <w:rsid w:val="00C10B48"/>
    <w:rsid w:val="00C10EF5"/>
    <w:rsid w:val="00C116D4"/>
    <w:rsid w:val="00C11895"/>
    <w:rsid w:val="00C1271F"/>
    <w:rsid w:val="00C12EA4"/>
    <w:rsid w:val="00C13C44"/>
    <w:rsid w:val="00C16C8B"/>
    <w:rsid w:val="00C16DBD"/>
    <w:rsid w:val="00C179D8"/>
    <w:rsid w:val="00C17A30"/>
    <w:rsid w:val="00C17D41"/>
    <w:rsid w:val="00C17DD0"/>
    <w:rsid w:val="00C21838"/>
    <w:rsid w:val="00C23FE6"/>
    <w:rsid w:val="00C24882"/>
    <w:rsid w:val="00C24E88"/>
    <w:rsid w:val="00C25D7C"/>
    <w:rsid w:val="00C26FE9"/>
    <w:rsid w:val="00C27360"/>
    <w:rsid w:val="00C27577"/>
    <w:rsid w:val="00C2757D"/>
    <w:rsid w:val="00C27729"/>
    <w:rsid w:val="00C316DF"/>
    <w:rsid w:val="00C31F08"/>
    <w:rsid w:val="00C322D2"/>
    <w:rsid w:val="00C324A5"/>
    <w:rsid w:val="00C32EED"/>
    <w:rsid w:val="00C33D3E"/>
    <w:rsid w:val="00C3429C"/>
    <w:rsid w:val="00C35324"/>
    <w:rsid w:val="00C35E5C"/>
    <w:rsid w:val="00C37385"/>
    <w:rsid w:val="00C3751D"/>
    <w:rsid w:val="00C404B4"/>
    <w:rsid w:val="00C40947"/>
    <w:rsid w:val="00C41EEC"/>
    <w:rsid w:val="00C41F07"/>
    <w:rsid w:val="00C42172"/>
    <w:rsid w:val="00C425BF"/>
    <w:rsid w:val="00C42887"/>
    <w:rsid w:val="00C430BE"/>
    <w:rsid w:val="00C43482"/>
    <w:rsid w:val="00C43B60"/>
    <w:rsid w:val="00C43BEC"/>
    <w:rsid w:val="00C44368"/>
    <w:rsid w:val="00C44587"/>
    <w:rsid w:val="00C45B38"/>
    <w:rsid w:val="00C46BF2"/>
    <w:rsid w:val="00C507D2"/>
    <w:rsid w:val="00C50A7C"/>
    <w:rsid w:val="00C528BB"/>
    <w:rsid w:val="00C52AB6"/>
    <w:rsid w:val="00C538B6"/>
    <w:rsid w:val="00C54F0E"/>
    <w:rsid w:val="00C55E5B"/>
    <w:rsid w:val="00C57AD1"/>
    <w:rsid w:val="00C57CAE"/>
    <w:rsid w:val="00C62193"/>
    <w:rsid w:val="00C62F68"/>
    <w:rsid w:val="00C64117"/>
    <w:rsid w:val="00C652E0"/>
    <w:rsid w:val="00C666A4"/>
    <w:rsid w:val="00C67B10"/>
    <w:rsid w:val="00C7098F"/>
    <w:rsid w:val="00C70E3B"/>
    <w:rsid w:val="00C711C3"/>
    <w:rsid w:val="00C714D8"/>
    <w:rsid w:val="00C73F9F"/>
    <w:rsid w:val="00C74F8D"/>
    <w:rsid w:val="00C758AB"/>
    <w:rsid w:val="00C76AD9"/>
    <w:rsid w:val="00C76F7D"/>
    <w:rsid w:val="00C77467"/>
    <w:rsid w:val="00C7757F"/>
    <w:rsid w:val="00C776E3"/>
    <w:rsid w:val="00C779EC"/>
    <w:rsid w:val="00C80B3A"/>
    <w:rsid w:val="00C80F6C"/>
    <w:rsid w:val="00C81DD0"/>
    <w:rsid w:val="00C826C9"/>
    <w:rsid w:val="00C83572"/>
    <w:rsid w:val="00C846CB"/>
    <w:rsid w:val="00C85685"/>
    <w:rsid w:val="00C85891"/>
    <w:rsid w:val="00C858D3"/>
    <w:rsid w:val="00C86290"/>
    <w:rsid w:val="00C86C69"/>
    <w:rsid w:val="00C86F08"/>
    <w:rsid w:val="00C87FE6"/>
    <w:rsid w:val="00C9080D"/>
    <w:rsid w:val="00C90A74"/>
    <w:rsid w:val="00C92911"/>
    <w:rsid w:val="00C92BB0"/>
    <w:rsid w:val="00C92CC2"/>
    <w:rsid w:val="00C92D6B"/>
    <w:rsid w:val="00C93217"/>
    <w:rsid w:val="00C94321"/>
    <w:rsid w:val="00C947DE"/>
    <w:rsid w:val="00C95808"/>
    <w:rsid w:val="00CA0B8B"/>
    <w:rsid w:val="00CA0DB7"/>
    <w:rsid w:val="00CA14B9"/>
    <w:rsid w:val="00CA47B0"/>
    <w:rsid w:val="00CB048D"/>
    <w:rsid w:val="00CB07AA"/>
    <w:rsid w:val="00CB0CB7"/>
    <w:rsid w:val="00CB2262"/>
    <w:rsid w:val="00CB2632"/>
    <w:rsid w:val="00CB3462"/>
    <w:rsid w:val="00CB429B"/>
    <w:rsid w:val="00CB45F5"/>
    <w:rsid w:val="00CB517E"/>
    <w:rsid w:val="00CB5523"/>
    <w:rsid w:val="00CB636A"/>
    <w:rsid w:val="00CB73AC"/>
    <w:rsid w:val="00CB7AF9"/>
    <w:rsid w:val="00CC0284"/>
    <w:rsid w:val="00CC0322"/>
    <w:rsid w:val="00CC1F30"/>
    <w:rsid w:val="00CC2E70"/>
    <w:rsid w:val="00CC363C"/>
    <w:rsid w:val="00CC42C6"/>
    <w:rsid w:val="00CC43B3"/>
    <w:rsid w:val="00CC60F7"/>
    <w:rsid w:val="00CC65B6"/>
    <w:rsid w:val="00CD2E13"/>
    <w:rsid w:val="00CD3BBA"/>
    <w:rsid w:val="00CD4E78"/>
    <w:rsid w:val="00CD56AB"/>
    <w:rsid w:val="00CD5C03"/>
    <w:rsid w:val="00CE145D"/>
    <w:rsid w:val="00CE1641"/>
    <w:rsid w:val="00CE1E2C"/>
    <w:rsid w:val="00CE5900"/>
    <w:rsid w:val="00CE5A53"/>
    <w:rsid w:val="00CE626E"/>
    <w:rsid w:val="00CE66A8"/>
    <w:rsid w:val="00CE6951"/>
    <w:rsid w:val="00CE6957"/>
    <w:rsid w:val="00CE6C20"/>
    <w:rsid w:val="00CE790A"/>
    <w:rsid w:val="00CE7AF5"/>
    <w:rsid w:val="00CF3263"/>
    <w:rsid w:val="00CF33D2"/>
    <w:rsid w:val="00CF4561"/>
    <w:rsid w:val="00CF485F"/>
    <w:rsid w:val="00CF4864"/>
    <w:rsid w:val="00CF4AE3"/>
    <w:rsid w:val="00CF61EF"/>
    <w:rsid w:val="00D014B6"/>
    <w:rsid w:val="00D023D3"/>
    <w:rsid w:val="00D02600"/>
    <w:rsid w:val="00D03EB3"/>
    <w:rsid w:val="00D04338"/>
    <w:rsid w:val="00D04468"/>
    <w:rsid w:val="00D05973"/>
    <w:rsid w:val="00D0693F"/>
    <w:rsid w:val="00D0698E"/>
    <w:rsid w:val="00D06BE6"/>
    <w:rsid w:val="00D075A4"/>
    <w:rsid w:val="00D076E4"/>
    <w:rsid w:val="00D1080C"/>
    <w:rsid w:val="00D10BD9"/>
    <w:rsid w:val="00D12942"/>
    <w:rsid w:val="00D13060"/>
    <w:rsid w:val="00D1374C"/>
    <w:rsid w:val="00D150B6"/>
    <w:rsid w:val="00D15FA9"/>
    <w:rsid w:val="00D1622A"/>
    <w:rsid w:val="00D16761"/>
    <w:rsid w:val="00D179F9"/>
    <w:rsid w:val="00D2014A"/>
    <w:rsid w:val="00D21636"/>
    <w:rsid w:val="00D234F8"/>
    <w:rsid w:val="00D23A8B"/>
    <w:rsid w:val="00D23EFF"/>
    <w:rsid w:val="00D24186"/>
    <w:rsid w:val="00D24F85"/>
    <w:rsid w:val="00D251A1"/>
    <w:rsid w:val="00D27EC6"/>
    <w:rsid w:val="00D27F59"/>
    <w:rsid w:val="00D30FD4"/>
    <w:rsid w:val="00D31C91"/>
    <w:rsid w:val="00D322EA"/>
    <w:rsid w:val="00D3256D"/>
    <w:rsid w:val="00D32792"/>
    <w:rsid w:val="00D33354"/>
    <w:rsid w:val="00D3553C"/>
    <w:rsid w:val="00D35F3F"/>
    <w:rsid w:val="00D374FE"/>
    <w:rsid w:val="00D37C87"/>
    <w:rsid w:val="00D41048"/>
    <w:rsid w:val="00D41F85"/>
    <w:rsid w:val="00D43BF2"/>
    <w:rsid w:val="00D44224"/>
    <w:rsid w:val="00D44A43"/>
    <w:rsid w:val="00D4501D"/>
    <w:rsid w:val="00D46062"/>
    <w:rsid w:val="00D46DE8"/>
    <w:rsid w:val="00D50172"/>
    <w:rsid w:val="00D5457C"/>
    <w:rsid w:val="00D56231"/>
    <w:rsid w:val="00D57A66"/>
    <w:rsid w:val="00D57A7E"/>
    <w:rsid w:val="00D6180C"/>
    <w:rsid w:val="00D624DB"/>
    <w:rsid w:val="00D6338C"/>
    <w:rsid w:val="00D63D04"/>
    <w:rsid w:val="00D647DF"/>
    <w:rsid w:val="00D64921"/>
    <w:rsid w:val="00D65F61"/>
    <w:rsid w:val="00D66650"/>
    <w:rsid w:val="00D66B7E"/>
    <w:rsid w:val="00D675AC"/>
    <w:rsid w:val="00D678CD"/>
    <w:rsid w:val="00D67A6B"/>
    <w:rsid w:val="00D7042C"/>
    <w:rsid w:val="00D71FF3"/>
    <w:rsid w:val="00D72405"/>
    <w:rsid w:val="00D72FBC"/>
    <w:rsid w:val="00D74092"/>
    <w:rsid w:val="00D75282"/>
    <w:rsid w:val="00D754BC"/>
    <w:rsid w:val="00D808E7"/>
    <w:rsid w:val="00D81129"/>
    <w:rsid w:val="00D82629"/>
    <w:rsid w:val="00D82F6A"/>
    <w:rsid w:val="00D83047"/>
    <w:rsid w:val="00D832AE"/>
    <w:rsid w:val="00D83D05"/>
    <w:rsid w:val="00D83D46"/>
    <w:rsid w:val="00D8419A"/>
    <w:rsid w:val="00D8428D"/>
    <w:rsid w:val="00D849CC"/>
    <w:rsid w:val="00D8517C"/>
    <w:rsid w:val="00D8533B"/>
    <w:rsid w:val="00D8640D"/>
    <w:rsid w:val="00D86969"/>
    <w:rsid w:val="00D86F4B"/>
    <w:rsid w:val="00D904EC"/>
    <w:rsid w:val="00D9073D"/>
    <w:rsid w:val="00D91548"/>
    <w:rsid w:val="00D91886"/>
    <w:rsid w:val="00D926D5"/>
    <w:rsid w:val="00D92739"/>
    <w:rsid w:val="00D9298D"/>
    <w:rsid w:val="00D942FF"/>
    <w:rsid w:val="00D95565"/>
    <w:rsid w:val="00D95FEC"/>
    <w:rsid w:val="00D97037"/>
    <w:rsid w:val="00DA0048"/>
    <w:rsid w:val="00DA186C"/>
    <w:rsid w:val="00DA1B93"/>
    <w:rsid w:val="00DA2436"/>
    <w:rsid w:val="00DA2542"/>
    <w:rsid w:val="00DA36BB"/>
    <w:rsid w:val="00DA373E"/>
    <w:rsid w:val="00DA42DB"/>
    <w:rsid w:val="00DA5259"/>
    <w:rsid w:val="00DA55E0"/>
    <w:rsid w:val="00DA621A"/>
    <w:rsid w:val="00DA6374"/>
    <w:rsid w:val="00DA755D"/>
    <w:rsid w:val="00DA7749"/>
    <w:rsid w:val="00DA7A6D"/>
    <w:rsid w:val="00DB0954"/>
    <w:rsid w:val="00DB10B5"/>
    <w:rsid w:val="00DB2465"/>
    <w:rsid w:val="00DB25A9"/>
    <w:rsid w:val="00DB2690"/>
    <w:rsid w:val="00DB356F"/>
    <w:rsid w:val="00DB5D16"/>
    <w:rsid w:val="00DB64D0"/>
    <w:rsid w:val="00DB6F20"/>
    <w:rsid w:val="00DB7B0A"/>
    <w:rsid w:val="00DB7B30"/>
    <w:rsid w:val="00DC025D"/>
    <w:rsid w:val="00DC04D9"/>
    <w:rsid w:val="00DC1FBB"/>
    <w:rsid w:val="00DC2190"/>
    <w:rsid w:val="00DC2D27"/>
    <w:rsid w:val="00DC415F"/>
    <w:rsid w:val="00DC474E"/>
    <w:rsid w:val="00DC4A42"/>
    <w:rsid w:val="00DC4E3C"/>
    <w:rsid w:val="00DC547D"/>
    <w:rsid w:val="00DC5970"/>
    <w:rsid w:val="00DC66C7"/>
    <w:rsid w:val="00DC67B6"/>
    <w:rsid w:val="00DC6EFF"/>
    <w:rsid w:val="00DC7367"/>
    <w:rsid w:val="00DC758C"/>
    <w:rsid w:val="00DC76FC"/>
    <w:rsid w:val="00DD0836"/>
    <w:rsid w:val="00DD0C1D"/>
    <w:rsid w:val="00DD1D1C"/>
    <w:rsid w:val="00DD352D"/>
    <w:rsid w:val="00DD37A7"/>
    <w:rsid w:val="00DD3FD0"/>
    <w:rsid w:val="00DD4090"/>
    <w:rsid w:val="00DD5F65"/>
    <w:rsid w:val="00DE01F1"/>
    <w:rsid w:val="00DE0329"/>
    <w:rsid w:val="00DE0A87"/>
    <w:rsid w:val="00DE0D7C"/>
    <w:rsid w:val="00DE1262"/>
    <w:rsid w:val="00DE248B"/>
    <w:rsid w:val="00DE258D"/>
    <w:rsid w:val="00DE3ABD"/>
    <w:rsid w:val="00DE3E23"/>
    <w:rsid w:val="00DE3E6D"/>
    <w:rsid w:val="00DE4625"/>
    <w:rsid w:val="00DE5719"/>
    <w:rsid w:val="00DE625B"/>
    <w:rsid w:val="00DE676D"/>
    <w:rsid w:val="00DE69C2"/>
    <w:rsid w:val="00DE75BF"/>
    <w:rsid w:val="00DF0D82"/>
    <w:rsid w:val="00DF10E4"/>
    <w:rsid w:val="00DF313B"/>
    <w:rsid w:val="00DF3410"/>
    <w:rsid w:val="00DF44BC"/>
    <w:rsid w:val="00DF521F"/>
    <w:rsid w:val="00DF56C6"/>
    <w:rsid w:val="00DF5C1C"/>
    <w:rsid w:val="00E019E9"/>
    <w:rsid w:val="00E01B0F"/>
    <w:rsid w:val="00E01CEB"/>
    <w:rsid w:val="00E01E7E"/>
    <w:rsid w:val="00E01F16"/>
    <w:rsid w:val="00E02272"/>
    <w:rsid w:val="00E02C56"/>
    <w:rsid w:val="00E03B55"/>
    <w:rsid w:val="00E03DC1"/>
    <w:rsid w:val="00E0411F"/>
    <w:rsid w:val="00E04AFE"/>
    <w:rsid w:val="00E05438"/>
    <w:rsid w:val="00E05706"/>
    <w:rsid w:val="00E05ABE"/>
    <w:rsid w:val="00E06927"/>
    <w:rsid w:val="00E06FA9"/>
    <w:rsid w:val="00E07043"/>
    <w:rsid w:val="00E07955"/>
    <w:rsid w:val="00E07F12"/>
    <w:rsid w:val="00E104B0"/>
    <w:rsid w:val="00E108A6"/>
    <w:rsid w:val="00E11C62"/>
    <w:rsid w:val="00E141C8"/>
    <w:rsid w:val="00E146E5"/>
    <w:rsid w:val="00E157C1"/>
    <w:rsid w:val="00E15B2F"/>
    <w:rsid w:val="00E15BA4"/>
    <w:rsid w:val="00E162FC"/>
    <w:rsid w:val="00E165EB"/>
    <w:rsid w:val="00E16BA6"/>
    <w:rsid w:val="00E20857"/>
    <w:rsid w:val="00E21231"/>
    <w:rsid w:val="00E2160B"/>
    <w:rsid w:val="00E21964"/>
    <w:rsid w:val="00E21FD3"/>
    <w:rsid w:val="00E227F6"/>
    <w:rsid w:val="00E22D36"/>
    <w:rsid w:val="00E22F23"/>
    <w:rsid w:val="00E2578B"/>
    <w:rsid w:val="00E25A2E"/>
    <w:rsid w:val="00E26500"/>
    <w:rsid w:val="00E266E0"/>
    <w:rsid w:val="00E26E1A"/>
    <w:rsid w:val="00E26ED1"/>
    <w:rsid w:val="00E30395"/>
    <w:rsid w:val="00E30B79"/>
    <w:rsid w:val="00E32000"/>
    <w:rsid w:val="00E327CE"/>
    <w:rsid w:val="00E3285B"/>
    <w:rsid w:val="00E329AA"/>
    <w:rsid w:val="00E3401C"/>
    <w:rsid w:val="00E343F6"/>
    <w:rsid w:val="00E34B39"/>
    <w:rsid w:val="00E34FDF"/>
    <w:rsid w:val="00E4162F"/>
    <w:rsid w:val="00E42106"/>
    <w:rsid w:val="00E4390F"/>
    <w:rsid w:val="00E4404F"/>
    <w:rsid w:val="00E451BB"/>
    <w:rsid w:val="00E465E3"/>
    <w:rsid w:val="00E4687D"/>
    <w:rsid w:val="00E47021"/>
    <w:rsid w:val="00E473EF"/>
    <w:rsid w:val="00E47C83"/>
    <w:rsid w:val="00E5037E"/>
    <w:rsid w:val="00E5104D"/>
    <w:rsid w:val="00E5139D"/>
    <w:rsid w:val="00E51ADA"/>
    <w:rsid w:val="00E520E4"/>
    <w:rsid w:val="00E5224E"/>
    <w:rsid w:val="00E537EE"/>
    <w:rsid w:val="00E54C13"/>
    <w:rsid w:val="00E569D5"/>
    <w:rsid w:val="00E574F4"/>
    <w:rsid w:val="00E5766D"/>
    <w:rsid w:val="00E632D2"/>
    <w:rsid w:val="00E632F0"/>
    <w:rsid w:val="00E633FB"/>
    <w:rsid w:val="00E64735"/>
    <w:rsid w:val="00E6700C"/>
    <w:rsid w:val="00E67706"/>
    <w:rsid w:val="00E70132"/>
    <w:rsid w:val="00E70B93"/>
    <w:rsid w:val="00E70F80"/>
    <w:rsid w:val="00E7201E"/>
    <w:rsid w:val="00E726E8"/>
    <w:rsid w:val="00E74F2A"/>
    <w:rsid w:val="00E74F64"/>
    <w:rsid w:val="00E74FE5"/>
    <w:rsid w:val="00E753D8"/>
    <w:rsid w:val="00E76DC1"/>
    <w:rsid w:val="00E77C6C"/>
    <w:rsid w:val="00E80D56"/>
    <w:rsid w:val="00E80F62"/>
    <w:rsid w:val="00E81AEE"/>
    <w:rsid w:val="00E81E3B"/>
    <w:rsid w:val="00E81EA5"/>
    <w:rsid w:val="00E82446"/>
    <w:rsid w:val="00E826B2"/>
    <w:rsid w:val="00E839DB"/>
    <w:rsid w:val="00E857D9"/>
    <w:rsid w:val="00E85E65"/>
    <w:rsid w:val="00E86FBD"/>
    <w:rsid w:val="00E87DD9"/>
    <w:rsid w:val="00E87F21"/>
    <w:rsid w:val="00E903D3"/>
    <w:rsid w:val="00E907D5"/>
    <w:rsid w:val="00E91319"/>
    <w:rsid w:val="00E926C2"/>
    <w:rsid w:val="00E92AAA"/>
    <w:rsid w:val="00E94599"/>
    <w:rsid w:val="00E945A9"/>
    <w:rsid w:val="00E94AF3"/>
    <w:rsid w:val="00E95B6F"/>
    <w:rsid w:val="00E95C27"/>
    <w:rsid w:val="00E96E8B"/>
    <w:rsid w:val="00E9700E"/>
    <w:rsid w:val="00E9772E"/>
    <w:rsid w:val="00EA1FF0"/>
    <w:rsid w:val="00EA31B2"/>
    <w:rsid w:val="00EA3AA9"/>
    <w:rsid w:val="00EA5247"/>
    <w:rsid w:val="00EA5610"/>
    <w:rsid w:val="00EA662C"/>
    <w:rsid w:val="00EA73E5"/>
    <w:rsid w:val="00EA73E8"/>
    <w:rsid w:val="00EA7483"/>
    <w:rsid w:val="00EB08A3"/>
    <w:rsid w:val="00EB1305"/>
    <w:rsid w:val="00EB2812"/>
    <w:rsid w:val="00EB30CB"/>
    <w:rsid w:val="00EB311A"/>
    <w:rsid w:val="00EB386F"/>
    <w:rsid w:val="00EB3E4E"/>
    <w:rsid w:val="00EB4298"/>
    <w:rsid w:val="00EB4528"/>
    <w:rsid w:val="00EB4CAB"/>
    <w:rsid w:val="00EB4F21"/>
    <w:rsid w:val="00EB4F4E"/>
    <w:rsid w:val="00EB506F"/>
    <w:rsid w:val="00EB52A2"/>
    <w:rsid w:val="00EB5E0C"/>
    <w:rsid w:val="00EB69AE"/>
    <w:rsid w:val="00EB765B"/>
    <w:rsid w:val="00EB7D73"/>
    <w:rsid w:val="00EC0359"/>
    <w:rsid w:val="00EC0984"/>
    <w:rsid w:val="00EC1106"/>
    <w:rsid w:val="00EC2E4B"/>
    <w:rsid w:val="00EC350D"/>
    <w:rsid w:val="00EC3B6F"/>
    <w:rsid w:val="00EC3F2B"/>
    <w:rsid w:val="00EC6958"/>
    <w:rsid w:val="00ED0A4D"/>
    <w:rsid w:val="00ED0B28"/>
    <w:rsid w:val="00ED0BE2"/>
    <w:rsid w:val="00ED1094"/>
    <w:rsid w:val="00ED139A"/>
    <w:rsid w:val="00ED337B"/>
    <w:rsid w:val="00ED501A"/>
    <w:rsid w:val="00ED6C69"/>
    <w:rsid w:val="00ED7178"/>
    <w:rsid w:val="00EE0829"/>
    <w:rsid w:val="00EE25A6"/>
    <w:rsid w:val="00EE288C"/>
    <w:rsid w:val="00EE3217"/>
    <w:rsid w:val="00EE4044"/>
    <w:rsid w:val="00EE54A0"/>
    <w:rsid w:val="00EE5D28"/>
    <w:rsid w:val="00EE6FE0"/>
    <w:rsid w:val="00EE73A0"/>
    <w:rsid w:val="00EE741F"/>
    <w:rsid w:val="00EE75A1"/>
    <w:rsid w:val="00EF1625"/>
    <w:rsid w:val="00EF2AFF"/>
    <w:rsid w:val="00EF4B91"/>
    <w:rsid w:val="00EF58CC"/>
    <w:rsid w:val="00EF5A37"/>
    <w:rsid w:val="00EF647E"/>
    <w:rsid w:val="00EF6C3B"/>
    <w:rsid w:val="00EF6C57"/>
    <w:rsid w:val="00EF6D1E"/>
    <w:rsid w:val="00EF6FFF"/>
    <w:rsid w:val="00F03172"/>
    <w:rsid w:val="00F0350B"/>
    <w:rsid w:val="00F03FE5"/>
    <w:rsid w:val="00F04A6F"/>
    <w:rsid w:val="00F050F3"/>
    <w:rsid w:val="00F0663D"/>
    <w:rsid w:val="00F06E24"/>
    <w:rsid w:val="00F071FE"/>
    <w:rsid w:val="00F077A7"/>
    <w:rsid w:val="00F07A40"/>
    <w:rsid w:val="00F07B2C"/>
    <w:rsid w:val="00F1079B"/>
    <w:rsid w:val="00F10C3C"/>
    <w:rsid w:val="00F11E85"/>
    <w:rsid w:val="00F11EF9"/>
    <w:rsid w:val="00F126F8"/>
    <w:rsid w:val="00F12C20"/>
    <w:rsid w:val="00F12DFC"/>
    <w:rsid w:val="00F16AFB"/>
    <w:rsid w:val="00F17991"/>
    <w:rsid w:val="00F17AF4"/>
    <w:rsid w:val="00F17C83"/>
    <w:rsid w:val="00F20F7A"/>
    <w:rsid w:val="00F22270"/>
    <w:rsid w:val="00F223B1"/>
    <w:rsid w:val="00F2276B"/>
    <w:rsid w:val="00F233F6"/>
    <w:rsid w:val="00F23B81"/>
    <w:rsid w:val="00F23F30"/>
    <w:rsid w:val="00F241C7"/>
    <w:rsid w:val="00F242D4"/>
    <w:rsid w:val="00F24C5A"/>
    <w:rsid w:val="00F24C9C"/>
    <w:rsid w:val="00F2508B"/>
    <w:rsid w:val="00F25BF8"/>
    <w:rsid w:val="00F273E0"/>
    <w:rsid w:val="00F2762B"/>
    <w:rsid w:val="00F2771F"/>
    <w:rsid w:val="00F308C6"/>
    <w:rsid w:val="00F319C3"/>
    <w:rsid w:val="00F31EFF"/>
    <w:rsid w:val="00F3382A"/>
    <w:rsid w:val="00F33B5F"/>
    <w:rsid w:val="00F342C3"/>
    <w:rsid w:val="00F348ED"/>
    <w:rsid w:val="00F363C6"/>
    <w:rsid w:val="00F36BA9"/>
    <w:rsid w:val="00F3708B"/>
    <w:rsid w:val="00F4046C"/>
    <w:rsid w:val="00F40BFE"/>
    <w:rsid w:val="00F4120A"/>
    <w:rsid w:val="00F44A04"/>
    <w:rsid w:val="00F44E08"/>
    <w:rsid w:val="00F44F79"/>
    <w:rsid w:val="00F450FC"/>
    <w:rsid w:val="00F47DEE"/>
    <w:rsid w:val="00F50524"/>
    <w:rsid w:val="00F5124B"/>
    <w:rsid w:val="00F52375"/>
    <w:rsid w:val="00F5320E"/>
    <w:rsid w:val="00F53322"/>
    <w:rsid w:val="00F53E15"/>
    <w:rsid w:val="00F53E98"/>
    <w:rsid w:val="00F54B1A"/>
    <w:rsid w:val="00F555EF"/>
    <w:rsid w:val="00F556F3"/>
    <w:rsid w:val="00F55ED6"/>
    <w:rsid w:val="00F5611C"/>
    <w:rsid w:val="00F5653E"/>
    <w:rsid w:val="00F6056F"/>
    <w:rsid w:val="00F620BD"/>
    <w:rsid w:val="00F634E8"/>
    <w:rsid w:val="00F64888"/>
    <w:rsid w:val="00F6532B"/>
    <w:rsid w:val="00F66685"/>
    <w:rsid w:val="00F7092A"/>
    <w:rsid w:val="00F718B7"/>
    <w:rsid w:val="00F72C16"/>
    <w:rsid w:val="00F72D65"/>
    <w:rsid w:val="00F7346C"/>
    <w:rsid w:val="00F74211"/>
    <w:rsid w:val="00F742BD"/>
    <w:rsid w:val="00F744DD"/>
    <w:rsid w:val="00F744DF"/>
    <w:rsid w:val="00F7463E"/>
    <w:rsid w:val="00F74DAF"/>
    <w:rsid w:val="00F74DB2"/>
    <w:rsid w:val="00F7575A"/>
    <w:rsid w:val="00F7662C"/>
    <w:rsid w:val="00F7688A"/>
    <w:rsid w:val="00F77563"/>
    <w:rsid w:val="00F77899"/>
    <w:rsid w:val="00F77A51"/>
    <w:rsid w:val="00F8240E"/>
    <w:rsid w:val="00F82480"/>
    <w:rsid w:val="00F8253F"/>
    <w:rsid w:val="00F82DDA"/>
    <w:rsid w:val="00F82F77"/>
    <w:rsid w:val="00F83DAA"/>
    <w:rsid w:val="00F84318"/>
    <w:rsid w:val="00F85AA3"/>
    <w:rsid w:val="00F863EC"/>
    <w:rsid w:val="00F863F3"/>
    <w:rsid w:val="00F866F6"/>
    <w:rsid w:val="00F86D83"/>
    <w:rsid w:val="00F874D5"/>
    <w:rsid w:val="00F87A2E"/>
    <w:rsid w:val="00F92327"/>
    <w:rsid w:val="00F93AD9"/>
    <w:rsid w:val="00F94E54"/>
    <w:rsid w:val="00F94F58"/>
    <w:rsid w:val="00F959C6"/>
    <w:rsid w:val="00F96F87"/>
    <w:rsid w:val="00F97507"/>
    <w:rsid w:val="00F97D05"/>
    <w:rsid w:val="00FA002B"/>
    <w:rsid w:val="00FA1342"/>
    <w:rsid w:val="00FA3031"/>
    <w:rsid w:val="00FA3068"/>
    <w:rsid w:val="00FA33AE"/>
    <w:rsid w:val="00FA3E51"/>
    <w:rsid w:val="00FA6A7F"/>
    <w:rsid w:val="00FA7AC7"/>
    <w:rsid w:val="00FB00D9"/>
    <w:rsid w:val="00FB04E7"/>
    <w:rsid w:val="00FB1155"/>
    <w:rsid w:val="00FB1B8D"/>
    <w:rsid w:val="00FB3E04"/>
    <w:rsid w:val="00FB4B42"/>
    <w:rsid w:val="00FB5021"/>
    <w:rsid w:val="00FB5AF7"/>
    <w:rsid w:val="00FB5B76"/>
    <w:rsid w:val="00FB6003"/>
    <w:rsid w:val="00FB6CA2"/>
    <w:rsid w:val="00FB7D7A"/>
    <w:rsid w:val="00FC01E6"/>
    <w:rsid w:val="00FC06CC"/>
    <w:rsid w:val="00FC0FB9"/>
    <w:rsid w:val="00FC1376"/>
    <w:rsid w:val="00FC144B"/>
    <w:rsid w:val="00FC2595"/>
    <w:rsid w:val="00FC2722"/>
    <w:rsid w:val="00FC50CC"/>
    <w:rsid w:val="00FC5E78"/>
    <w:rsid w:val="00FC66C1"/>
    <w:rsid w:val="00FC7CB2"/>
    <w:rsid w:val="00FC7D58"/>
    <w:rsid w:val="00FD19FD"/>
    <w:rsid w:val="00FD3D55"/>
    <w:rsid w:val="00FD6608"/>
    <w:rsid w:val="00FD77D2"/>
    <w:rsid w:val="00FE0235"/>
    <w:rsid w:val="00FE13FE"/>
    <w:rsid w:val="00FE17EF"/>
    <w:rsid w:val="00FE22F3"/>
    <w:rsid w:val="00FE3350"/>
    <w:rsid w:val="00FE4181"/>
    <w:rsid w:val="00FE46AB"/>
    <w:rsid w:val="00FE4A88"/>
    <w:rsid w:val="00FE5186"/>
    <w:rsid w:val="00FE5355"/>
    <w:rsid w:val="00FE7415"/>
    <w:rsid w:val="00FE7A83"/>
    <w:rsid w:val="00FF115C"/>
    <w:rsid w:val="00FF13DA"/>
    <w:rsid w:val="00FF26AE"/>
    <w:rsid w:val="00FF2897"/>
    <w:rsid w:val="00FF3E81"/>
    <w:rsid w:val="00FF4BA7"/>
    <w:rsid w:val="00FF5086"/>
    <w:rsid w:val="00FF525B"/>
    <w:rsid w:val="00FF530A"/>
    <w:rsid w:val="00FF6639"/>
    <w:rsid w:val="00FF69A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B8DDD2"/>
  <w15:chartTrackingRefBased/>
  <w15:docId w15:val="{98DB4DAF-C7EE-405C-A84E-A2C3599B2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4A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564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564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564A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564A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564A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564A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64A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64A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64A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64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564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564A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64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564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64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64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64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64A8"/>
    <w:rPr>
      <w:rFonts w:eastAsiaTheme="majorEastAsia" w:cstheme="majorBidi"/>
      <w:color w:val="272727" w:themeColor="text1" w:themeTint="D8"/>
    </w:rPr>
  </w:style>
  <w:style w:type="paragraph" w:styleId="Title">
    <w:name w:val="Title"/>
    <w:basedOn w:val="Normal"/>
    <w:next w:val="Normal"/>
    <w:link w:val="TitleChar"/>
    <w:uiPriority w:val="10"/>
    <w:qFormat/>
    <w:rsid w:val="002564A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64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64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64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64A8"/>
    <w:pPr>
      <w:spacing w:before="160"/>
      <w:jc w:val="center"/>
    </w:pPr>
    <w:rPr>
      <w:i/>
      <w:iCs/>
      <w:color w:val="404040" w:themeColor="text1" w:themeTint="BF"/>
    </w:rPr>
  </w:style>
  <w:style w:type="character" w:customStyle="1" w:styleId="QuoteChar">
    <w:name w:val="Quote Char"/>
    <w:basedOn w:val="DefaultParagraphFont"/>
    <w:link w:val="Quote"/>
    <w:uiPriority w:val="29"/>
    <w:rsid w:val="002564A8"/>
    <w:rPr>
      <w:i/>
      <w:iCs/>
      <w:color w:val="404040" w:themeColor="text1" w:themeTint="BF"/>
    </w:rPr>
  </w:style>
  <w:style w:type="paragraph" w:styleId="ListParagraph">
    <w:name w:val="List Paragraph"/>
    <w:basedOn w:val="Normal"/>
    <w:uiPriority w:val="34"/>
    <w:qFormat/>
    <w:rsid w:val="002564A8"/>
    <w:pPr>
      <w:ind w:left="720"/>
      <w:contextualSpacing/>
    </w:pPr>
  </w:style>
  <w:style w:type="character" w:styleId="IntenseEmphasis">
    <w:name w:val="Intense Emphasis"/>
    <w:basedOn w:val="DefaultParagraphFont"/>
    <w:uiPriority w:val="21"/>
    <w:qFormat/>
    <w:rsid w:val="002564A8"/>
    <w:rPr>
      <w:i/>
      <w:iCs/>
      <w:color w:val="2F5496" w:themeColor="accent1" w:themeShade="BF"/>
    </w:rPr>
  </w:style>
  <w:style w:type="paragraph" w:styleId="IntenseQuote">
    <w:name w:val="Intense Quote"/>
    <w:basedOn w:val="Normal"/>
    <w:next w:val="Normal"/>
    <w:link w:val="IntenseQuoteChar"/>
    <w:uiPriority w:val="30"/>
    <w:qFormat/>
    <w:rsid w:val="002564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64A8"/>
    <w:rPr>
      <w:i/>
      <w:iCs/>
      <w:color w:val="2F5496" w:themeColor="accent1" w:themeShade="BF"/>
    </w:rPr>
  </w:style>
  <w:style w:type="character" w:styleId="IntenseReference">
    <w:name w:val="Intense Reference"/>
    <w:basedOn w:val="DefaultParagraphFont"/>
    <w:uiPriority w:val="32"/>
    <w:qFormat/>
    <w:rsid w:val="002564A8"/>
    <w:rPr>
      <w:b/>
      <w:bCs/>
      <w:smallCaps/>
      <w:color w:val="2F5496" w:themeColor="accent1" w:themeShade="BF"/>
      <w:spacing w:val="5"/>
    </w:rPr>
  </w:style>
  <w:style w:type="paragraph" w:styleId="FootnoteText">
    <w:name w:val="footnote text"/>
    <w:basedOn w:val="Normal"/>
    <w:link w:val="FootnoteTextChar"/>
    <w:unhideWhenUsed/>
    <w:rsid w:val="002564A8"/>
    <w:rPr>
      <w:sz w:val="20"/>
      <w:szCs w:val="20"/>
    </w:rPr>
  </w:style>
  <w:style w:type="character" w:customStyle="1" w:styleId="FootnoteTextChar">
    <w:name w:val="Footnote Text Char"/>
    <w:basedOn w:val="DefaultParagraphFont"/>
    <w:link w:val="FootnoteText"/>
    <w:rsid w:val="002564A8"/>
    <w:rPr>
      <w:rFonts w:ascii="Times New Roman" w:eastAsia="Times New Roman" w:hAnsi="Times New Roman" w:cs="Times New Roman"/>
      <w:sz w:val="20"/>
      <w:szCs w:val="20"/>
    </w:rPr>
  </w:style>
  <w:style w:type="character" w:styleId="FootnoteReference">
    <w:name w:val="footnote reference"/>
    <w:unhideWhenUsed/>
    <w:rsid w:val="002564A8"/>
    <w:rPr>
      <w:vertAlign w:val="superscript"/>
    </w:rPr>
  </w:style>
  <w:style w:type="paragraph" w:styleId="NoSpacing">
    <w:name w:val="No Spacing"/>
    <w:link w:val="NoSpacingChar"/>
    <w:uiPriority w:val="1"/>
    <w:qFormat/>
    <w:rsid w:val="002564A8"/>
    <w:pPr>
      <w:spacing w:after="0" w:line="240" w:lineRule="auto"/>
    </w:pPr>
  </w:style>
  <w:style w:type="character" w:customStyle="1" w:styleId="NoSpacingChar">
    <w:name w:val="No Spacing Char"/>
    <w:basedOn w:val="DefaultParagraphFont"/>
    <w:link w:val="NoSpacing"/>
    <w:uiPriority w:val="1"/>
    <w:rsid w:val="002564A8"/>
  </w:style>
  <w:style w:type="paragraph" w:styleId="Header">
    <w:name w:val="header"/>
    <w:basedOn w:val="Normal"/>
    <w:link w:val="HeaderChar"/>
    <w:uiPriority w:val="99"/>
    <w:unhideWhenUsed/>
    <w:rsid w:val="00875C3A"/>
    <w:pPr>
      <w:tabs>
        <w:tab w:val="center" w:pos="4680"/>
        <w:tab w:val="right" w:pos="9360"/>
      </w:tabs>
    </w:pPr>
  </w:style>
  <w:style w:type="character" w:customStyle="1" w:styleId="HeaderChar">
    <w:name w:val="Header Char"/>
    <w:basedOn w:val="DefaultParagraphFont"/>
    <w:link w:val="Header"/>
    <w:uiPriority w:val="99"/>
    <w:rsid w:val="00875C3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75C3A"/>
    <w:pPr>
      <w:tabs>
        <w:tab w:val="center" w:pos="4680"/>
        <w:tab w:val="right" w:pos="9360"/>
      </w:tabs>
    </w:pPr>
  </w:style>
  <w:style w:type="character" w:customStyle="1" w:styleId="FooterChar">
    <w:name w:val="Footer Char"/>
    <w:basedOn w:val="DefaultParagraphFont"/>
    <w:link w:val="Footer"/>
    <w:uiPriority w:val="99"/>
    <w:rsid w:val="00875C3A"/>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77C03"/>
    <w:rPr>
      <w:color w:val="0563C1" w:themeColor="hyperlink"/>
      <w:u w:val="single"/>
    </w:rPr>
  </w:style>
  <w:style w:type="character" w:styleId="UnresolvedMention">
    <w:name w:val="Unresolved Mention"/>
    <w:basedOn w:val="DefaultParagraphFont"/>
    <w:uiPriority w:val="99"/>
    <w:semiHidden/>
    <w:unhideWhenUsed/>
    <w:rsid w:val="00A77C03"/>
    <w:rPr>
      <w:color w:val="605E5C"/>
      <w:shd w:val="clear" w:color="auto" w:fill="E1DFDD"/>
    </w:rPr>
  </w:style>
  <w:style w:type="character" w:styleId="FollowedHyperlink">
    <w:name w:val="FollowedHyperlink"/>
    <w:basedOn w:val="DefaultParagraphFont"/>
    <w:uiPriority w:val="99"/>
    <w:semiHidden/>
    <w:unhideWhenUsed/>
    <w:rsid w:val="00A35C99"/>
    <w:rPr>
      <w:color w:val="954F72" w:themeColor="followedHyperlink"/>
      <w:u w:val="single"/>
    </w:rPr>
  </w:style>
  <w:style w:type="character" w:styleId="CommentReference">
    <w:name w:val="annotation reference"/>
    <w:basedOn w:val="DefaultParagraphFont"/>
    <w:uiPriority w:val="99"/>
    <w:semiHidden/>
    <w:unhideWhenUsed/>
    <w:rsid w:val="00F4120A"/>
    <w:rPr>
      <w:sz w:val="16"/>
      <w:szCs w:val="16"/>
    </w:rPr>
  </w:style>
  <w:style w:type="paragraph" w:styleId="CommentText">
    <w:name w:val="annotation text"/>
    <w:basedOn w:val="Normal"/>
    <w:link w:val="CommentTextChar"/>
    <w:uiPriority w:val="99"/>
    <w:unhideWhenUsed/>
    <w:rsid w:val="00F4120A"/>
    <w:rPr>
      <w:sz w:val="20"/>
      <w:szCs w:val="20"/>
    </w:rPr>
  </w:style>
  <w:style w:type="character" w:customStyle="1" w:styleId="CommentTextChar">
    <w:name w:val="Comment Text Char"/>
    <w:basedOn w:val="DefaultParagraphFont"/>
    <w:link w:val="CommentText"/>
    <w:uiPriority w:val="99"/>
    <w:rsid w:val="00F4120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4120A"/>
    <w:rPr>
      <w:b/>
      <w:bCs/>
    </w:rPr>
  </w:style>
  <w:style w:type="character" w:customStyle="1" w:styleId="CommentSubjectChar">
    <w:name w:val="Comment Subject Char"/>
    <w:basedOn w:val="CommentTextChar"/>
    <w:link w:val="CommentSubject"/>
    <w:uiPriority w:val="99"/>
    <w:semiHidden/>
    <w:rsid w:val="00F4120A"/>
    <w:rPr>
      <w:rFonts w:ascii="Times New Roman" w:eastAsia="Times New Roman" w:hAnsi="Times New Roman" w:cs="Times New Roman"/>
      <w:b/>
      <w:bCs/>
      <w:sz w:val="20"/>
      <w:szCs w:val="20"/>
    </w:rPr>
  </w:style>
  <w:style w:type="paragraph" w:styleId="EndnoteText">
    <w:name w:val="endnote text"/>
    <w:basedOn w:val="Normal"/>
    <w:link w:val="EndnoteTextChar"/>
    <w:uiPriority w:val="99"/>
    <w:semiHidden/>
    <w:unhideWhenUsed/>
    <w:rsid w:val="00837C23"/>
    <w:rPr>
      <w:sz w:val="20"/>
      <w:szCs w:val="20"/>
    </w:rPr>
  </w:style>
  <w:style w:type="character" w:customStyle="1" w:styleId="EndnoteTextChar">
    <w:name w:val="Endnote Text Char"/>
    <w:basedOn w:val="DefaultParagraphFont"/>
    <w:link w:val="EndnoteText"/>
    <w:uiPriority w:val="99"/>
    <w:semiHidden/>
    <w:rsid w:val="00837C2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37C23"/>
    <w:rPr>
      <w:vertAlign w:val="superscript"/>
    </w:rPr>
  </w:style>
  <w:style w:type="paragraph" w:customStyle="1" w:styleId="western">
    <w:name w:val="western"/>
    <w:basedOn w:val="Normal"/>
    <w:rsid w:val="00D234F8"/>
    <w:pPr>
      <w:spacing w:before="100" w:beforeAutospacing="1" w:after="100" w:afterAutospacing="1"/>
    </w:pPr>
  </w:style>
  <w:style w:type="paragraph" w:styleId="NormalWeb">
    <w:name w:val="Normal (Web)"/>
    <w:basedOn w:val="Normal"/>
    <w:uiPriority w:val="99"/>
    <w:unhideWhenUsed/>
    <w:rsid w:val="00D234F8"/>
    <w:pPr>
      <w:spacing w:before="100" w:beforeAutospacing="1" w:after="100" w:afterAutospacing="1"/>
    </w:pPr>
  </w:style>
  <w:style w:type="paragraph" w:styleId="Revision">
    <w:name w:val="Revision"/>
    <w:hidden/>
    <w:uiPriority w:val="99"/>
    <w:semiHidden/>
    <w:rsid w:val="00EC3F2B"/>
    <w:pPr>
      <w:spacing w:after="0" w:line="240" w:lineRule="auto"/>
    </w:pPr>
    <w:rPr>
      <w:rFonts w:ascii="Times New Roman" w:eastAsia="Times New Roman" w:hAnsi="Times New Roman" w:cs="Times New Roman"/>
      <w:sz w:val="24"/>
      <w:szCs w:val="24"/>
    </w:rPr>
  </w:style>
  <w:style w:type="numbering" w:customStyle="1" w:styleId="CurrentList1">
    <w:name w:val="Current List1"/>
    <w:uiPriority w:val="99"/>
    <w:rsid w:val="00D0698E"/>
    <w:pPr>
      <w:numPr>
        <w:numId w:val="35"/>
      </w:numPr>
    </w:pPr>
  </w:style>
  <w:style w:type="character" w:customStyle="1" w:styleId="apple-converted-space">
    <w:name w:val="apple-converted-space"/>
    <w:basedOn w:val="DefaultParagraphFont"/>
    <w:rsid w:val="00CE5A53"/>
  </w:style>
  <w:style w:type="character" w:styleId="Emphasis">
    <w:name w:val="Emphasis"/>
    <w:basedOn w:val="DefaultParagraphFont"/>
    <w:uiPriority w:val="20"/>
    <w:qFormat/>
    <w:rsid w:val="00CE5A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45102">
      <w:bodyDiv w:val="1"/>
      <w:marLeft w:val="0"/>
      <w:marRight w:val="0"/>
      <w:marTop w:val="0"/>
      <w:marBottom w:val="0"/>
      <w:divBdr>
        <w:top w:val="none" w:sz="0" w:space="0" w:color="auto"/>
        <w:left w:val="none" w:sz="0" w:space="0" w:color="auto"/>
        <w:bottom w:val="none" w:sz="0" w:space="0" w:color="auto"/>
        <w:right w:val="none" w:sz="0" w:space="0" w:color="auto"/>
      </w:divBdr>
      <w:divsChild>
        <w:div w:id="971591500">
          <w:marLeft w:val="240"/>
          <w:marRight w:val="0"/>
          <w:marTop w:val="60"/>
          <w:marBottom w:val="60"/>
          <w:divBdr>
            <w:top w:val="none" w:sz="0" w:space="0" w:color="auto"/>
            <w:left w:val="none" w:sz="0" w:space="0" w:color="auto"/>
            <w:bottom w:val="none" w:sz="0" w:space="0" w:color="auto"/>
            <w:right w:val="none" w:sz="0" w:space="0" w:color="auto"/>
          </w:divBdr>
          <w:divsChild>
            <w:div w:id="784932170">
              <w:marLeft w:val="0"/>
              <w:marRight w:val="0"/>
              <w:marTop w:val="0"/>
              <w:marBottom w:val="0"/>
              <w:divBdr>
                <w:top w:val="none" w:sz="0" w:space="0" w:color="auto"/>
                <w:left w:val="none" w:sz="0" w:space="0" w:color="auto"/>
                <w:bottom w:val="none" w:sz="0" w:space="0" w:color="auto"/>
                <w:right w:val="none" w:sz="0" w:space="0" w:color="auto"/>
              </w:divBdr>
            </w:div>
          </w:divsChild>
        </w:div>
        <w:div w:id="1148279604">
          <w:marLeft w:val="240"/>
          <w:marRight w:val="0"/>
          <w:marTop w:val="60"/>
          <w:marBottom w:val="60"/>
          <w:divBdr>
            <w:top w:val="none" w:sz="0" w:space="0" w:color="auto"/>
            <w:left w:val="none" w:sz="0" w:space="0" w:color="auto"/>
            <w:bottom w:val="none" w:sz="0" w:space="0" w:color="auto"/>
            <w:right w:val="none" w:sz="0" w:space="0" w:color="auto"/>
          </w:divBdr>
          <w:divsChild>
            <w:div w:id="1739865014">
              <w:marLeft w:val="0"/>
              <w:marRight w:val="0"/>
              <w:marTop w:val="0"/>
              <w:marBottom w:val="0"/>
              <w:divBdr>
                <w:top w:val="none" w:sz="0" w:space="0" w:color="auto"/>
                <w:left w:val="none" w:sz="0" w:space="0" w:color="auto"/>
                <w:bottom w:val="none" w:sz="0" w:space="0" w:color="auto"/>
                <w:right w:val="none" w:sz="0" w:space="0" w:color="auto"/>
              </w:divBdr>
            </w:div>
          </w:divsChild>
        </w:div>
        <w:div w:id="1580823840">
          <w:marLeft w:val="240"/>
          <w:marRight w:val="0"/>
          <w:marTop w:val="60"/>
          <w:marBottom w:val="60"/>
          <w:divBdr>
            <w:top w:val="none" w:sz="0" w:space="0" w:color="auto"/>
            <w:left w:val="none" w:sz="0" w:space="0" w:color="auto"/>
            <w:bottom w:val="none" w:sz="0" w:space="0" w:color="auto"/>
            <w:right w:val="none" w:sz="0" w:space="0" w:color="auto"/>
          </w:divBdr>
          <w:divsChild>
            <w:div w:id="116890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07847">
      <w:bodyDiv w:val="1"/>
      <w:marLeft w:val="0"/>
      <w:marRight w:val="0"/>
      <w:marTop w:val="0"/>
      <w:marBottom w:val="0"/>
      <w:divBdr>
        <w:top w:val="none" w:sz="0" w:space="0" w:color="auto"/>
        <w:left w:val="none" w:sz="0" w:space="0" w:color="auto"/>
        <w:bottom w:val="none" w:sz="0" w:space="0" w:color="auto"/>
        <w:right w:val="none" w:sz="0" w:space="0" w:color="auto"/>
      </w:divBdr>
    </w:div>
    <w:div w:id="81799360">
      <w:bodyDiv w:val="1"/>
      <w:marLeft w:val="0"/>
      <w:marRight w:val="0"/>
      <w:marTop w:val="0"/>
      <w:marBottom w:val="0"/>
      <w:divBdr>
        <w:top w:val="none" w:sz="0" w:space="0" w:color="auto"/>
        <w:left w:val="none" w:sz="0" w:space="0" w:color="auto"/>
        <w:bottom w:val="none" w:sz="0" w:space="0" w:color="auto"/>
        <w:right w:val="none" w:sz="0" w:space="0" w:color="auto"/>
      </w:divBdr>
    </w:div>
    <w:div w:id="104662127">
      <w:bodyDiv w:val="1"/>
      <w:marLeft w:val="0"/>
      <w:marRight w:val="0"/>
      <w:marTop w:val="0"/>
      <w:marBottom w:val="0"/>
      <w:divBdr>
        <w:top w:val="none" w:sz="0" w:space="0" w:color="auto"/>
        <w:left w:val="none" w:sz="0" w:space="0" w:color="auto"/>
        <w:bottom w:val="none" w:sz="0" w:space="0" w:color="auto"/>
        <w:right w:val="none" w:sz="0" w:space="0" w:color="auto"/>
      </w:divBdr>
    </w:div>
    <w:div w:id="134955904">
      <w:bodyDiv w:val="1"/>
      <w:marLeft w:val="0"/>
      <w:marRight w:val="0"/>
      <w:marTop w:val="0"/>
      <w:marBottom w:val="0"/>
      <w:divBdr>
        <w:top w:val="none" w:sz="0" w:space="0" w:color="auto"/>
        <w:left w:val="none" w:sz="0" w:space="0" w:color="auto"/>
        <w:bottom w:val="none" w:sz="0" w:space="0" w:color="auto"/>
        <w:right w:val="none" w:sz="0" w:space="0" w:color="auto"/>
      </w:divBdr>
    </w:div>
    <w:div w:id="136579910">
      <w:bodyDiv w:val="1"/>
      <w:marLeft w:val="0"/>
      <w:marRight w:val="0"/>
      <w:marTop w:val="0"/>
      <w:marBottom w:val="0"/>
      <w:divBdr>
        <w:top w:val="none" w:sz="0" w:space="0" w:color="auto"/>
        <w:left w:val="none" w:sz="0" w:space="0" w:color="auto"/>
        <w:bottom w:val="none" w:sz="0" w:space="0" w:color="auto"/>
        <w:right w:val="none" w:sz="0" w:space="0" w:color="auto"/>
      </w:divBdr>
      <w:divsChild>
        <w:div w:id="1907521898">
          <w:marLeft w:val="0"/>
          <w:marRight w:val="0"/>
          <w:marTop w:val="0"/>
          <w:marBottom w:val="0"/>
          <w:divBdr>
            <w:top w:val="none" w:sz="0" w:space="0" w:color="auto"/>
            <w:left w:val="none" w:sz="0" w:space="0" w:color="auto"/>
            <w:bottom w:val="none" w:sz="0" w:space="0" w:color="auto"/>
            <w:right w:val="none" w:sz="0" w:space="0" w:color="auto"/>
          </w:divBdr>
          <w:divsChild>
            <w:div w:id="1205563359">
              <w:marLeft w:val="0"/>
              <w:marRight w:val="0"/>
              <w:marTop w:val="0"/>
              <w:marBottom w:val="0"/>
              <w:divBdr>
                <w:top w:val="none" w:sz="0" w:space="0" w:color="auto"/>
                <w:left w:val="none" w:sz="0" w:space="0" w:color="auto"/>
                <w:bottom w:val="none" w:sz="0" w:space="0" w:color="auto"/>
                <w:right w:val="none" w:sz="0" w:space="0" w:color="auto"/>
              </w:divBdr>
            </w:div>
            <w:div w:id="1435202181">
              <w:marLeft w:val="0"/>
              <w:marRight w:val="0"/>
              <w:marTop w:val="0"/>
              <w:marBottom w:val="0"/>
              <w:divBdr>
                <w:top w:val="none" w:sz="0" w:space="0" w:color="auto"/>
                <w:left w:val="none" w:sz="0" w:space="0" w:color="auto"/>
                <w:bottom w:val="none" w:sz="0" w:space="0" w:color="auto"/>
                <w:right w:val="none" w:sz="0" w:space="0" w:color="auto"/>
              </w:divBdr>
            </w:div>
            <w:div w:id="1941333545">
              <w:marLeft w:val="0"/>
              <w:marRight w:val="0"/>
              <w:marTop w:val="0"/>
              <w:marBottom w:val="0"/>
              <w:divBdr>
                <w:top w:val="none" w:sz="0" w:space="0" w:color="auto"/>
                <w:left w:val="none" w:sz="0" w:space="0" w:color="auto"/>
                <w:bottom w:val="none" w:sz="0" w:space="0" w:color="auto"/>
                <w:right w:val="none" w:sz="0" w:space="0" w:color="auto"/>
              </w:divBdr>
            </w:div>
          </w:divsChild>
        </w:div>
        <w:div w:id="1959487054">
          <w:marLeft w:val="0"/>
          <w:marRight w:val="0"/>
          <w:marTop w:val="0"/>
          <w:marBottom w:val="0"/>
          <w:divBdr>
            <w:top w:val="none" w:sz="0" w:space="0" w:color="auto"/>
            <w:left w:val="none" w:sz="0" w:space="0" w:color="auto"/>
            <w:bottom w:val="none" w:sz="0" w:space="0" w:color="auto"/>
            <w:right w:val="none" w:sz="0" w:space="0" w:color="auto"/>
          </w:divBdr>
          <w:divsChild>
            <w:div w:id="1536189190">
              <w:marLeft w:val="0"/>
              <w:marRight w:val="0"/>
              <w:marTop w:val="0"/>
              <w:marBottom w:val="0"/>
              <w:divBdr>
                <w:top w:val="none" w:sz="0" w:space="0" w:color="auto"/>
                <w:left w:val="none" w:sz="0" w:space="0" w:color="auto"/>
                <w:bottom w:val="none" w:sz="0" w:space="0" w:color="auto"/>
                <w:right w:val="none" w:sz="0" w:space="0" w:color="auto"/>
              </w:divBdr>
              <w:divsChild>
                <w:div w:id="131991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19918">
      <w:bodyDiv w:val="1"/>
      <w:marLeft w:val="0"/>
      <w:marRight w:val="0"/>
      <w:marTop w:val="0"/>
      <w:marBottom w:val="0"/>
      <w:divBdr>
        <w:top w:val="none" w:sz="0" w:space="0" w:color="auto"/>
        <w:left w:val="none" w:sz="0" w:space="0" w:color="auto"/>
        <w:bottom w:val="none" w:sz="0" w:space="0" w:color="auto"/>
        <w:right w:val="none" w:sz="0" w:space="0" w:color="auto"/>
      </w:divBdr>
    </w:div>
    <w:div w:id="203753431">
      <w:bodyDiv w:val="1"/>
      <w:marLeft w:val="0"/>
      <w:marRight w:val="0"/>
      <w:marTop w:val="0"/>
      <w:marBottom w:val="0"/>
      <w:divBdr>
        <w:top w:val="none" w:sz="0" w:space="0" w:color="auto"/>
        <w:left w:val="none" w:sz="0" w:space="0" w:color="auto"/>
        <w:bottom w:val="none" w:sz="0" w:space="0" w:color="auto"/>
        <w:right w:val="none" w:sz="0" w:space="0" w:color="auto"/>
      </w:divBdr>
    </w:div>
    <w:div w:id="235480609">
      <w:bodyDiv w:val="1"/>
      <w:marLeft w:val="0"/>
      <w:marRight w:val="0"/>
      <w:marTop w:val="0"/>
      <w:marBottom w:val="0"/>
      <w:divBdr>
        <w:top w:val="none" w:sz="0" w:space="0" w:color="auto"/>
        <w:left w:val="none" w:sz="0" w:space="0" w:color="auto"/>
        <w:bottom w:val="none" w:sz="0" w:space="0" w:color="auto"/>
        <w:right w:val="none" w:sz="0" w:space="0" w:color="auto"/>
      </w:divBdr>
    </w:div>
    <w:div w:id="243227115">
      <w:bodyDiv w:val="1"/>
      <w:marLeft w:val="0"/>
      <w:marRight w:val="0"/>
      <w:marTop w:val="0"/>
      <w:marBottom w:val="0"/>
      <w:divBdr>
        <w:top w:val="none" w:sz="0" w:space="0" w:color="auto"/>
        <w:left w:val="none" w:sz="0" w:space="0" w:color="auto"/>
        <w:bottom w:val="none" w:sz="0" w:space="0" w:color="auto"/>
        <w:right w:val="none" w:sz="0" w:space="0" w:color="auto"/>
      </w:divBdr>
    </w:div>
    <w:div w:id="255358992">
      <w:bodyDiv w:val="1"/>
      <w:marLeft w:val="0"/>
      <w:marRight w:val="0"/>
      <w:marTop w:val="0"/>
      <w:marBottom w:val="0"/>
      <w:divBdr>
        <w:top w:val="none" w:sz="0" w:space="0" w:color="auto"/>
        <w:left w:val="none" w:sz="0" w:space="0" w:color="auto"/>
        <w:bottom w:val="none" w:sz="0" w:space="0" w:color="auto"/>
        <w:right w:val="none" w:sz="0" w:space="0" w:color="auto"/>
      </w:divBdr>
    </w:div>
    <w:div w:id="334189319">
      <w:bodyDiv w:val="1"/>
      <w:marLeft w:val="0"/>
      <w:marRight w:val="0"/>
      <w:marTop w:val="0"/>
      <w:marBottom w:val="0"/>
      <w:divBdr>
        <w:top w:val="none" w:sz="0" w:space="0" w:color="auto"/>
        <w:left w:val="none" w:sz="0" w:space="0" w:color="auto"/>
        <w:bottom w:val="none" w:sz="0" w:space="0" w:color="auto"/>
        <w:right w:val="none" w:sz="0" w:space="0" w:color="auto"/>
      </w:divBdr>
    </w:div>
    <w:div w:id="481313320">
      <w:bodyDiv w:val="1"/>
      <w:marLeft w:val="0"/>
      <w:marRight w:val="0"/>
      <w:marTop w:val="0"/>
      <w:marBottom w:val="0"/>
      <w:divBdr>
        <w:top w:val="none" w:sz="0" w:space="0" w:color="auto"/>
        <w:left w:val="none" w:sz="0" w:space="0" w:color="auto"/>
        <w:bottom w:val="none" w:sz="0" w:space="0" w:color="auto"/>
        <w:right w:val="none" w:sz="0" w:space="0" w:color="auto"/>
      </w:divBdr>
    </w:div>
    <w:div w:id="543643180">
      <w:bodyDiv w:val="1"/>
      <w:marLeft w:val="0"/>
      <w:marRight w:val="0"/>
      <w:marTop w:val="0"/>
      <w:marBottom w:val="0"/>
      <w:divBdr>
        <w:top w:val="none" w:sz="0" w:space="0" w:color="auto"/>
        <w:left w:val="none" w:sz="0" w:space="0" w:color="auto"/>
        <w:bottom w:val="none" w:sz="0" w:space="0" w:color="auto"/>
        <w:right w:val="none" w:sz="0" w:space="0" w:color="auto"/>
      </w:divBdr>
    </w:div>
    <w:div w:id="593904571">
      <w:bodyDiv w:val="1"/>
      <w:marLeft w:val="0"/>
      <w:marRight w:val="0"/>
      <w:marTop w:val="0"/>
      <w:marBottom w:val="0"/>
      <w:divBdr>
        <w:top w:val="none" w:sz="0" w:space="0" w:color="auto"/>
        <w:left w:val="none" w:sz="0" w:space="0" w:color="auto"/>
        <w:bottom w:val="none" w:sz="0" w:space="0" w:color="auto"/>
        <w:right w:val="none" w:sz="0" w:space="0" w:color="auto"/>
      </w:divBdr>
      <w:divsChild>
        <w:div w:id="527719488">
          <w:marLeft w:val="0"/>
          <w:marRight w:val="0"/>
          <w:marTop w:val="0"/>
          <w:marBottom w:val="0"/>
          <w:divBdr>
            <w:top w:val="none" w:sz="0" w:space="0" w:color="auto"/>
            <w:left w:val="none" w:sz="0" w:space="0" w:color="auto"/>
            <w:bottom w:val="none" w:sz="0" w:space="0" w:color="auto"/>
            <w:right w:val="none" w:sz="0" w:space="0" w:color="auto"/>
          </w:divBdr>
          <w:divsChild>
            <w:div w:id="796871296">
              <w:marLeft w:val="0"/>
              <w:marRight w:val="0"/>
              <w:marTop w:val="0"/>
              <w:marBottom w:val="0"/>
              <w:divBdr>
                <w:top w:val="none" w:sz="0" w:space="0" w:color="auto"/>
                <w:left w:val="none" w:sz="0" w:space="0" w:color="auto"/>
                <w:bottom w:val="none" w:sz="0" w:space="0" w:color="auto"/>
                <w:right w:val="none" w:sz="0" w:space="0" w:color="auto"/>
              </w:divBdr>
            </w:div>
            <w:div w:id="878935415">
              <w:marLeft w:val="0"/>
              <w:marRight w:val="0"/>
              <w:marTop w:val="0"/>
              <w:marBottom w:val="0"/>
              <w:divBdr>
                <w:top w:val="none" w:sz="0" w:space="0" w:color="auto"/>
                <w:left w:val="none" w:sz="0" w:space="0" w:color="auto"/>
                <w:bottom w:val="none" w:sz="0" w:space="0" w:color="auto"/>
                <w:right w:val="none" w:sz="0" w:space="0" w:color="auto"/>
              </w:divBdr>
            </w:div>
            <w:div w:id="1668098512">
              <w:marLeft w:val="0"/>
              <w:marRight w:val="0"/>
              <w:marTop w:val="0"/>
              <w:marBottom w:val="0"/>
              <w:divBdr>
                <w:top w:val="none" w:sz="0" w:space="0" w:color="auto"/>
                <w:left w:val="none" w:sz="0" w:space="0" w:color="auto"/>
                <w:bottom w:val="none" w:sz="0" w:space="0" w:color="auto"/>
                <w:right w:val="none" w:sz="0" w:space="0" w:color="auto"/>
              </w:divBdr>
            </w:div>
          </w:divsChild>
        </w:div>
        <w:div w:id="1468820332">
          <w:marLeft w:val="0"/>
          <w:marRight w:val="0"/>
          <w:marTop w:val="0"/>
          <w:marBottom w:val="0"/>
          <w:divBdr>
            <w:top w:val="none" w:sz="0" w:space="0" w:color="auto"/>
            <w:left w:val="none" w:sz="0" w:space="0" w:color="auto"/>
            <w:bottom w:val="none" w:sz="0" w:space="0" w:color="auto"/>
            <w:right w:val="none" w:sz="0" w:space="0" w:color="auto"/>
          </w:divBdr>
          <w:divsChild>
            <w:div w:id="1953123636">
              <w:marLeft w:val="0"/>
              <w:marRight w:val="0"/>
              <w:marTop w:val="0"/>
              <w:marBottom w:val="0"/>
              <w:divBdr>
                <w:top w:val="none" w:sz="0" w:space="0" w:color="auto"/>
                <w:left w:val="none" w:sz="0" w:space="0" w:color="auto"/>
                <w:bottom w:val="none" w:sz="0" w:space="0" w:color="auto"/>
                <w:right w:val="none" w:sz="0" w:space="0" w:color="auto"/>
              </w:divBdr>
              <w:divsChild>
                <w:div w:id="123975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450554">
      <w:bodyDiv w:val="1"/>
      <w:marLeft w:val="0"/>
      <w:marRight w:val="0"/>
      <w:marTop w:val="0"/>
      <w:marBottom w:val="0"/>
      <w:divBdr>
        <w:top w:val="none" w:sz="0" w:space="0" w:color="auto"/>
        <w:left w:val="none" w:sz="0" w:space="0" w:color="auto"/>
        <w:bottom w:val="none" w:sz="0" w:space="0" w:color="auto"/>
        <w:right w:val="none" w:sz="0" w:space="0" w:color="auto"/>
      </w:divBdr>
    </w:div>
    <w:div w:id="638338944">
      <w:bodyDiv w:val="1"/>
      <w:marLeft w:val="0"/>
      <w:marRight w:val="0"/>
      <w:marTop w:val="0"/>
      <w:marBottom w:val="0"/>
      <w:divBdr>
        <w:top w:val="none" w:sz="0" w:space="0" w:color="auto"/>
        <w:left w:val="none" w:sz="0" w:space="0" w:color="auto"/>
        <w:bottom w:val="none" w:sz="0" w:space="0" w:color="auto"/>
        <w:right w:val="none" w:sz="0" w:space="0" w:color="auto"/>
      </w:divBdr>
    </w:div>
    <w:div w:id="647242669">
      <w:bodyDiv w:val="1"/>
      <w:marLeft w:val="0"/>
      <w:marRight w:val="0"/>
      <w:marTop w:val="0"/>
      <w:marBottom w:val="0"/>
      <w:divBdr>
        <w:top w:val="none" w:sz="0" w:space="0" w:color="auto"/>
        <w:left w:val="none" w:sz="0" w:space="0" w:color="auto"/>
        <w:bottom w:val="none" w:sz="0" w:space="0" w:color="auto"/>
        <w:right w:val="none" w:sz="0" w:space="0" w:color="auto"/>
      </w:divBdr>
    </w:div>
    <w:div w:id="663047653">
      <w:bodyDiv w:val="1"/>
      <w:marLeft w:val="0"/>
      <w:marRight w:val="0"/>
      <w:marTop w:val="0"/>
      <w:marBottom w:val="0"/>
      <w:divBdr>
        <w:top w:val="none" w:sz="0" w:space="0" w:color="auto"/>
        <w:left w:val="none" w:sz="0" w:space="0" w:color="auto"/>
        <w:bottom w:val="none" w:sz="0" w:space="0" w:color="auto"/>
        <w:right w:val="none" w:sz="0" w:space="0" w:color="auto"/>
      </w:divBdr>
    </w:div>
    <w:div w:id="832381496">
      <w:bodyDiv w:val="1"/>
      <w:marLeft w:val="0"/>
      <w:marRight w:val="0"/>
      <w:marTop w:val="0"/>
      <w:marBottom w:val="0"/>
      <w:divBdr>
        <w:top w:val="none" w:sz="0" w:space="0" w:color="auto"/>
        <w:left w:val="none" w:sz="0" w:space="0" w:color="auto"/>
        <w:bottom w:val="none" w:sz="0" w:space="0" w:color="auto"/>
        <w:right w:val="none" w:sz="0" w:space="0" w:color="auto"/>
      </w:divBdr>
    </w:div>
    <w:div w:id="864829172">
      <w:bodyDiv w:val="1"/>
      <w:marLeft w:val="0"/>
      <w:marRight w:val="0"/>
      <w:marTop w:val="0"/>
      <w:marBottom w:val="0"/>
      <w:divBdr>
        <w:top w:val="none" w:sz="0" w:space="0" w:color="auto"/>
        <w:left w:val="none" w:sz="0" w:space="0" w:color="auto"/>
        <w:bottom w:val="none" w:sz="0" w:space="0" w:color="auto"/>
        <w:right w:val="none" w:sz="0" w:space="0" w:color="auto"/>
      </w:divBdr>
    </w:div>
    <w:div w:id="903292700">
      <w:bodyDiv w:val="1"/>
      <w:marLeft w:val="0"/>
      <w:marRight w:val="0"/>
      <w:marTop w:val="0"/>
      <w:marBottom w:val="0"/>
      <w:divBdr>
        <w:top w:val="none" w:sz="0" w:space="0" w:color="auto"/>
        <w:left w:val="none" w:sz="0" w:space="0" w:color="auto"/>
        <w:bottom w:val="none" w:sz="0" w:space="0" w:color="auto"/>
        <w:right w:val="none" w:sz="0" w:space="0" w:color="auto"/>
      </w:divBdr>
    </w:div>
    <w:div w:id="919676094">
      <w:bodyDiv w:val="1"/>
      <w:marLeft w:val="0"/>
      <w:marRight w:val="0"/>
      <w:marTop w:val="0"/>
      <w:marBottom w:val="0"/>
      <w:divBdr>
        <w:top w:val="none" w:sz="0" w:space="0" w:color="auto"/>
        <w:left w:val="none" w:sz="0" w:space="0" w:color="auto"/>
        <w:bottom w:val="none" w:sz="0" w:space="0" w:color="auto"/>
        <w:right w:val="none" w:sz="0" w:space="0" w:color="auto"/>
      </w:divBdr>
    </w:div>
    <w:div w:id="922027653">
      <w:bodyDiv w:val="1"/>
      <w:marLeft w:val="0"/>
      <w:marRight w:val="0"/>
      <w:marTop w:val="0"/>
      <w:marBottom w:val="0"/>
      <w:divBdr>
        <w:top w:val="none" w:sz="0" w:space="0" w:color="auto"/>
        <w:left w:val="none" w:sz="0" w:space="0" w:color="auto"/>
        <w:bottom w:val="none" w:sz="0" w:space="0" w:color="auto"/>
        <w:right w:val="none" w:sz="0" w:space="0" w:color="auto"/>
      </w:divBdr>
    </w:div>
    <w:div w:id="926841648">
      <w:bodyDiv w:val="1"/>
      <w:marLeft w:val="0"/>
      <w:marRight w:val="0"/>
      <w:marTop w:val="0"/>
      <w:marBottom w:val="0"/>
      <w:divBdr>
        <w:top w:val="none" w:sz="0" w:space="0" w:color="auto"/>
        <w:left w:val="none" w:sz="0" w:space="0" w:color="auto"/>
        <w:bottom w:val="none" w:sz="0" w:space="0" w:color="auto"/>
        <w:right w:val="none" w:sz="0" w:space="0" w:color="auto"/>
      </w:divBdr>
    </w:div>
    <w:div w:id="1211696381">
      <w:bodyDiv w:val="1"/>
      <w:marLeft w:val="0"/>
      <w:marRight w:val="0"/>
      <w:marTop w:val="0"/>
      <w:marBottom w:val="0"/>
      <w:divBdr>
        <w:top w:val="none" w:sz="0" w:space="0" w:color="auto"/>
        <w:left w:val="none" w:sz="0" w:space="0" w:color="auto"/>
        <w:bottom w:val="none" w:sz="0" w:space="0" w:color="auto"/>
        <w:right w:val="none" w:sz="0" w:space="0" w:color="auto"/>
      </w:divBdr>
    </w:div>
    <w:div w:id="1222252549">
      <w:bodyDiv w:val="1"/>
      <w:marLeft w:val="0"/>
      <w:marRight w:val="0"/>
      <w:marTop w:val="0"/>
      <w:marBottom w:val="0"/>
      <w:divBdr>
        <w:top w:val="none" w:sz="0" w:space="0" w:color="auto"/>
        <w:left w:val="none" w:sz="0" w:space="0" w:color="auto"/>
        <w:bottom w:val="none" w:sz="0" w:space="0" w:color="auto"/>
        <w:right w:val="none" w:sz="0" w:space="0" w:color="auto"/>
      </w:divBdr>
    </w:div>
    <w:div w:id="1239172917">
      <w:bodyDiv w:val="1"/>
      <w:marLeft w:val="0"/>
      <w:marRight w:val="0"/>
      <w:marTop w:val="0"/>
      <w:marBottom w:val="0"/>
      <w:divBdr>
        <w:top w:val="none" w:sz="0" w:space="0" w:color="auto"/>
        <w:left w:val="none" w:sz="0" w:space="0" w:color="auto"/>
        <w:bottom w:val="none" w:sz="0" w:space="0" w:color="auto"/>
        <w:right w:val="none" w:sz="0" w:space="0" w:color="auto"/>
      </w:divBdr>
    </w:div>
    <w:div w:id="1251696790">
      <w:bodyDiv w:val="1"/>
      <w:marLeft w:val="0"/>
      <w:marRight w:val="0"/>
      <w:marTop w:val="0"/>
      <w:marBottom w:val="0"/>
      <w:divBdr>
        <w:top w:val="none" w:sz="0" w:space="0" w:color="auto"/>
        <w:left w:val="none" w:sz="0" w:space="0" w:color="auto"/>
        <w:bottom w:val="none" w:sz="0" w:space="0" w:color="auto"/>
        <w:right w:val="none" w:sz="0" w:space="0" w:color="auto"/>
      </w:divBdr>
    </w:div>
    <w:div w:id="1283342660">
      <w:bodyDiv w:val="1"/>
      <w:marLeft w:val="0"/>
      <w:marRight w:val="0"/>
      <w:marTop w:val="0"/>
      <w:marBottom w:val="0"/>
      <w:divBdr>
        <w:top w:val="none" w:sz="0" w:space="0" w:color="auto"/>
        <w:left w:val="none" w:sz="0" w:space="0" w:color="auto"/>
        <w:bottom w:val="none" w:sz="0" w:space="0" w:color="auto"/>
        <w:right w:val="none" w:sz="0" w:space="0" w:color="auto"/>
      </w:divBdr>
    </w:div>
    <w:div w:id="1288001090">
      <w:bodyDiv w:val="1"/>
      <w:marLeft w:val="0"/>
      <w:marRight w:val="0"/>
      <w:marTop w:val="0"/>
      <w:marBottom w:val="0"/>
      <w:divBdr>
        <w:top w:val="none" w:sz="0" w:space="0" w:color="auto"/>
        <w:left w:val="none" w:sz="0" w:space="0" w:color="auto"/>
        <w:bottom w:val="none" w:sz="0" w:space="0" w:color="auto"/>
        <w:right w:val="none" w:sz="0" w:space="0" w:color="auto"/>
      </w:divBdr>
    </w:div>
    <w:div w:id="1423532704">
      <w:bodyDiv w:val="1"/>
      <w:marLeft w:val="0"/>
      <w:marRight w:val="0"/>
      <w:marTop w:val="0"/>
      <w:marBottom w:val="0"/>
      <w:divBdr>
        <w:top w:val="none" w:sz="0" w:space="0" w:color="auto"/>
        <w:left w:val="none" w:sz="0" w:space="0" w:color="auto"/>
        <w:bottom w:val="none" w:sz="0" w:space="0" w:color="auto"/>
        <w:right w:val="none" w:sz="0" w:space="0" w:color="auto"/>
      </w:divBdr>
    </w:div>
    <w:div w:id="1440106407">
      <w:bodyDiv w:val="1"/>
      <w:marLeft w:val="0"/>
      <w:marRight w:val="0"/>
      <w:marTop w:val="0"/>
      <w:marBottom w:val="0"/>
      <w:divBdr>
        <w:top w:val="none" w:sz="0" w:space="0" w:color="auto"/>
        <w:left w:val="none" w:sz="0" w:space="0" w:color="auto"/>
        <w:bottom w:val="none" w:sz="0" w:space="0" w:color="auto"/>
        <w:right w:val="none" w:sz="0" w:space="0" w:color="auto"/>
      </w:divBdr>
    </w:div>
    <w:div w:id="1440299016">
      <w:bodyDiv w:val="1"/>
      <w:marLeft w:val="0"/>
      <w:marRight w:val="0"/>
      <w:marTop w:val="0"/>
      <w:marBottom w:val="0"/>
      <w:divBdr>
        <w:top w:val="none" w:sz="0" w:space="0" w:color="auto"/>
        <w:left w:val="none" w:sz="0" w:space="0" w:color="auto"/>
        <w:bottom w:val="none" w:sz="0" w:space="0" w:color="auto"/>
        <w:right w:val="none" w:sz="0" w:space="0" w:color="auto"/>
      </w:divBdr>
      <w:divsChild>
        <w:div w:id="171340116">
          <w:marLeft w:val="0"/>
          <w:marRight w:val="0"/>
          <w:marTop w:val="0"/>
          <w:marBottom w:val="0"/>
          <w:divBdr>
            <w:top w:val="none" w:sz="0" w:space="0" w:color="auto"/>
            <w:left w:val="none" w:sz="0" w:space="0" w:color="auto"/>
            <w:bottom w:val="none" w:sz="0" w:space="0" w:color="auto"/>
            <w:right w:val="none" w:sz="0" w:space="0" w:color="auto"/>
          </w:divBdr>
          <w:divsChild>
            <w:div w:id="484929514">
              <w:marLeft w:val="0"/>
              <w:marRight w:val="0"/>
              <w:marTop w:val="0"/>
              <w:marBottom w:val="0"/>
              <w:divBdr>
                <w:top w:val="none" w:sz="0" w:space="0" w:color="auto"/>
                <w:left w:val="none" w:sz="0" w:space="0" w:color="auto"/>
                <w:bottom w:val="none" w:sz="0" w:space="0" w:color="auto"/>
                <w:right w:val="none" w:sz="0" w:space="0" w:color="auto"/>
              </w:divBdr>
              <w:divsChild>
                <w:div w:id="742065360">
                  <w:marLeft w:val="0"/>
                  <w:marRight w:val="0"/>
                  <w:marTop w:val="0"/>
                  <w:marBottom w:val="0"/>
                  <w:divBdr>
                    <w:top w:val="none" w:sz="0" w:space="0" w:color="auto"/>
                    <w:left w:val="none" w:sz="0" w:space="0" w:color="auto"/>
                    <w:bottom w:val="none" w:sz="0" w:space="0" w:color="auto"/>
                    <w:right w:val="none" w:sz="0" w:space="0" w:color="auto"/>
                  </w:divBdr>
                  <w:divsChild>
                    <w:div w:id="120082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415709">
          <w:marLeft w:val="0"/>
          <w:marRight w:val="0"/>
          <w:marTop w:val="0"/>
          <w:marBottom w:val="0"/>
          <w:divBdr>
            <w:top w:val="none" w:sz="0" w:space="0" w:color="auto"/>
            <w:left w:val="none" w:sz="0" w:space="0" w:color="auto"/>
            <w:bottom w:val="none" w:sz="0" w:space="0" w:color="auto"/>
            <w:right w:val="none" w:sz="0" w:space="0" w:color="auto"/>
          </w:divBdr>
          <w:divsChild>
            <w:div w:id="1135874084">
              <w:marLeft w:val="0"/>
              <w:marRight w:val="0"/>
              <w:marTop w:val="0"/>
              <w:marBottom w:val="0"/>
              <w:divBdr>
                <w:top w:val="none" w:sz="0" w:space="0" w:color="auto"/>
                <w:left w:val="none" w:sz="0" w:space="0" w:color="auto"/>
                <w:bottom w:val="none" w:sz="0" w:space="0" w:color="auto"/>
                <w:right w:val="none" w:sz="0" w:space="0" w:color="auto"/>
              </w:divBdr>
              <w:divsChild>
                <w:div w:id="768430811">
                  <w:marLeft w:val="0"/>
                  <w:marRight w:val="0"/>
                  <w:marTop w:val="0"/>
                  <w:marBottom w:val="0"/>
                  <w:divBdr>
                    <w:top w:val="none" w:sz="0" w:space="0" w:color="auto"/>
                    <w:left w:val="none" w:sz="0" w:space="0" w:color="auto"/>
                    <w:bottom w:val="none" w:sz="0" w:space="0" w:color="auto"/>
                    <w:right w:val="none" w:sz="0" w:space="0" w:color="auto"/>
                  </w:divBdr>
                  <w:divsChild>
                    <w:div w:id="100146080">
                      <w:marLeft w:val="0"/>
                      <w:marRight w:val="0"/>
                      <w:marTop w:val="0"/>
                      <w:marBottom w:val="0"/>
                      <w:divBdr>
                        <w:top w:val="none" w:sz="0" w:space="0" w:color="auto"/>
                        <w:left w:val="none" w:sz="0" w:space="0" w:color="auto"/>
                        <w:bottom w:val="none" w:sz="0" w:space="0" w:color="auto"/>
                        <w:right w:val="none" w:sz="0" w:space="0" w:color="auto"/>
                      </w:divBdr>
                    </w:div>
                    <w:div w:id="181143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242970">
      <w:bodyDiv w:val="1"/>
      <w:marLeft w:val="0"/>
      <w:marRight w:val="0"/>
      <w:marTop w:val="0"/>
      <w:marBottom w:val="0"/>
      <w:divBdr>
        <w:top w:val="none" w:sz="0" w:space="0" w:color="auto"/>
        <w:left w:val="none" w:sz="0" w:space="0" w:color="auto"/>
        <w:bottom w:val="none" w:sz="0" w:space="0" w:color="auto"/>
        <w:right w:val="none" w:sz="0" w:space="0" w:color="auto"/>
      </w:divBdr>
    </w:div>
    <w:div w:id="1546676052">
      <w:bodyDiv w:val="1"/>
      <w:marLeft w:val="0"/>
      <w:marRight w:val="0"/>
      <w:marTop w:val="0"/>
      <w:marBottom w:val="0"/>
      <w:divBdr>
        <w:top w:val="none" w:sz="0" w:space="0" w:color="auto"/>
        <w:left w:val="none" w:sz="0" w:space="0" w:color="auto"/>
        <w:bottom w:val="none" w:sz="0" w:space="0" w:color="auto"/>
        <w:right w:val="none" w:sz="0" w:space="0" w:color="auto"/>
      </w:divBdr>
    </w:div>
    <w:div w:id="1594970397">
      <w:bodyDiv w:val="1"/>
      <w:marLeft w:val="0"/>
      <w:marRight w:val="0"/>
      <w:marTop w:val="0"/>
      <w:marBottom w:val="0"/>
      <w:divBdr>
        <w:top w:val="none" w:sz="0" w:space="0" w:color="auto"/>
        <w:left w:val="none" w:sz="0" w:space="0" w:color="auto"/>
        <w:bottom w:val="none" w:sz="0" w:space="0" w:color="auto"/>
        <w:right w:val="none" w:sz="0" w:space="0" w:color="auto"/>
      </w:divBdr>
    </w:div>
    <w:div w:id="1675179364">
      <w:bodyDiv w:val="1"/>
      <w:marLeft w:val="0"/>
      <w:marRight w:val="0"/>
      <w:marTop w:val="0"/>
      <w:marBottom w:val="0"/>
      <w:divBdr>
        <w:top w:val="none" w:sz="0" w:space="0" w:color="auto"/>
        <w:left w:val="none" w:sz="0" w:space="0" w:color="auto"/>
        <w:bottom w:val="none" w:sz="0" w:space="0" w:color="auto"/>
        <w:right w:val="none" w:sz="0" w:space="0" w:color="auto"/>
      </w:divBdr>
      <w:divsChild>
        <w:div w:id="897328507">
          <w:marLeft w:val="0"/>
          <w:marRight w:val="0"/>
          <w:marTop w:val="0"/>
          <w:marBottom w:val="0"/>
          <w:divBdr>
            <w:top w:val="none" w:sz="0" w:space="0" w:color="3D3D3D"/>
            <w:left w:val="none" w:sz="0" w:space="0" w:color="3D3D3D"/>
            <w:bottom w:val="none" w:sz="0" w:space="0" w:color="3D3D3D"/>
            <w:right w:val="none" w:sz="0" w:space="0" w:color="3D3D3D"/>
          </w:divBdr>
        </w:div>
      </w:divsChild>
    </w:div>
    <w:div w:id="1708094657">
      <w:bodyDiv w:val="1"/>
      <w:marLeft w:val="0"/>
      <w:marRight w:val="0"/>
      <w:marTop w:val="0"/>
      <w:marBottom w:val="0"/>
      <w:divBdr>
        <w:top w:val="none" w:sz="0" w:space="0" w:color="auto"/>
        <w:left w:val="none" w:sz="0" w:space="0" w:color="auto"/>
        <w:bottom w:val="none" w:sz="0" w:space="0" w:color="auto"/>
        <w:right w:val="none" w:sz="0" w:space="0" w:color="auto"/>
      </w:divBdr>
    </w:div>
    <w:div w:id="1714693903">
      <w:bodyDiv w:val="1"/>
      <w:marLeft w:val="0"/>
      <w:marRight w:val="0"/>
      <w:marTop w:val="0"/>
      <w:marBottom w:val="0"/>
      <w:divBdr>
        <w:top w:val="none" w:sz="0" w:space="0" w:color="auto"/>
        <w:left w:val="none" w:sz="0" w:space="0" w:color="auto"/>
        <w:bottom w:val="none" w:sz="0" w:space="0" w:color="auto"/>
        <w:right w:val="none" w:sz="0" w:space="0" w:color="auto"/>
      </w:divBdr>
    </w:div>
    <w:div w:id="1721590733">
      <w:bodyDiv w:val="1"/>
      <w:marLeft w:val="0"/>
      <w:marRight w:val="0"/>
      <w:marTop w:val="0"/>
      <w:marBottom w:val="0"/>
      <w:divBdr>
        <w:top w:val="none" w:sz="0" w:space="0" w:color="auto"/>
        <w:left w:val="none" w:sz="0" w:space="0" w:color="auto"/>
        <w:bottom w:val="none" w:sz="0" w:space="0" w:color="auto"/>
        <w:right w:val="none" w:sz="0" w:space="0" w:color="auto"/>
      </w:divBdr>
    </w:div>
    <w:div w:id="1723015126">
      <w:bodyDiv w:val="1"/>
      <w:marLeft w:val="0"/>
      <w:marRight w:val="0"/>
      <w:marTop w:val="0"/>
      <w:marBottom w:val="0"/>
      <w:divBdr>
        <w:top w:val="none" w:sz="0" w:space="0" w:color="auto"/>
        <w:left w:val="none" w:sz="0" w:space="0" w:color="auto"/>
        <w:bottom w:val="none" w:sz="0" w:space="0" w:color="auto"/>
        <w:right w:val="none" w:sz="0" w:space="0" w:color="auto"/>
      </w:divBdr>
      <w:divsChild>
        <w:div w:id="996303982">
          <w:marLeft w:val="0"/>
          <w:marRight w:val="0"/>
          <w:marTop w:val="0"/>
          <w:marBottom w:val="0"/>
          <w:divBdr>
            <w:top w:val="none" w:sz="0" w:space="0" w:color="3D3D3D"/>
            <w:left w:val="none" w:sz="0" w:space="0" w:color="3D3D3D"/>
            <w:bottom w:val="none" w:sz="0" w:space="0" w:color="3D3D3D"/>
            <w:right w:val="none" w:sz="0" w:space="0" w:color="3D3D3D"/>
          </w:divBdr>
        </w:div>
      </w:divsChild>
    </w:div>
    <w:div w:id="1750232557">
      <w:bodyDiv w:val="1"/>
      <w:marLeft w:val="0"/>
      <w:marRight w:val="0"/>
      <w:marTop w:val="0"/>
      <w:marBottom w:val="0"/>
      <w:divBdr>
        <w:top w:val="none" w:sz="0" w:space="0" w:color="auto"/>
        <w:left w:val="none" w:sz="0" w:space="0" w:color="auto"/>
        <w:bottom w:val="none" w:sz="0" w:space="0" w:color="auto"/>
        <w:right w:val="none" w:sz="0" w:space="0" w:color="auto"/>
      </w:divBdr>
    </w:div>
    <w:div w:id="1762066890">
      <w:bodyDiv w:val="1"/>
      <w:marLeft w:val="0"/>
      <w:marRight w:val="0"/>
      <w:marTop w:val="0"/>
      <w:marBottom w:val="0"/>
      <w:divBdr>
        <w:top w:val="none" w:sz="0" w:space="0" w:color="auto"/>
        <w:left w:val="none" w:sz="0" w:space="0" w:color="auto"/>
        <w:bottom w:val="none" w:sz="0" w:space="0" w:color="auto"/>
        <w:right w:val="none" w:sz="0" w:space="0" w:color="auto"/>
      </w:divBdr>
    </w:div>
    <w:div w:id="1762263389">
      <w:bodyDiv w:val="1"/>
      <w:marLeft w:val="0"/>
      <w:marRight w:val="0"/>
      <w:marTop w:val="0"/>
      <w:marBottom w:val="0"/>
      <w:divBdr>
        <w:top w:val="none" w:sz="0" w:space="0" w:color="auto"/>
        <w:left w:val="none" w:sz="0" w:space="0" w:color="auto"/>
        <w:bottom w:val="none" w:sz="0" w:space="0" w:color="auto"/>
        <w:right w:val="none" w:sz="0" w:space="0" w:color="auto"/>
      </w:divBdr>
    </w:div>
    <w:div w:id="1850749076">
      <w:bodyDiv w:val="1"/>
      <w:marLeft w:val="0"/>
      <w:marRight w:val="0"/>
      <w:marTop w:val="0"/>
      <w:marBottom w:val="0"/>
      <w:divBdr>
        <w:top w:val="none" w:sz="0" w:space="0" w:color="auto"/>
        <w:left w:val="none" w:sz="0" w:space="0" w:color="auto"/>
        <w:bottom w:val="none" w:sz="0" w:space="0" w:color="auto"/>
        <w:right w:val="none" w:sz="0" w:space="0" w:color="auto"/>
      </w:divBdr>
    </w:div>
    <w:div w:id="1860387094">
      <w:bodyDiv w:val="1"/>
      <w:marLeft w:val="0"/>
      <w:marRight w:val="0"/>
      <w:marTop w:val="0"/>
      <w:marBottom w:val="0"/>
      <w:divBdr>
        <w:top w:val="none" w:sz="0" w:space="0" w:color="auto"/>
        <w:left w:val="none" w:sz="0" w:space="0" w:color="auto"/>
        <w:bottom w:val="none" w:sz="0" w:space="0" w:color="auto"/>
        <w:right w:val="none" w:sz="0" w:space="0" w:color="auto"/>
      </w:divBdr>
    </w:div>
    <w:div w:id="1891839694">
      <w:bodyDiv w:val="1"/>
      <w:marLeft w:val="0"/>
      <w:marRight w:val="0"/>
      <w:marTop w:val="0"/>
      <w:marBottom w:val="0"/>
      <w:divBdr>
        <w:top w:val="none" w:sz="0" w:space="0" w:color="auto"/>
        <w:left w:val="none" w:sz="0" w:space="0" w:color="auto"/>
        <w:bottom w:val="none" w:sz="0" w:space="0" w:color="auto"/>
        <w:right w:val="none" w:sz="0" w:space="0" w:color="auto"/>
      </w:divBdr>
    </w:div>
    <w:div w:id="1896698220">
      <w:bodyDiv w:val="1"/>
      <w:marLeft w:val="0"/>
      <w:marRight w:val="0"/>
      <w:marTop w:val="0"/>
      <w:marBottom w:val="0"/>
      <w:divBdr>
        <w:top w:val="none" w:sz="0" w:space="0" w:color="auto"/>
        <w:left w:val="none" w:sz="0" w:space="0" w:color="auto"/>
        <w:bottom w:val="none" w:sz="0" w:space="0" w:color="auto"/>
        <w:right w:val="none" w:sz="0" w:space="0" w:color="auto"/>
      </w:divBdr>
      <w:divsChild>
        <w:div w:id="487943045">
          <w:marLeft w:val="0"/>
          <w:marRight w:val="0"/>
          <w:marTop w:val="0"/>
          <w:marBottom w:val="0"/>
          <w:divBdr>
            <w:top w:val="none" w:sz="0" w:space="0" w:color="auto"/>
            <w:left w:val="none" w:sz="0" w:space="0" w:color="auto"/>
            <w:bottom w:val="none" w:sz="0" w:space="0" w:color="auto"/>
            <w:right w:val="none" w:sz="0" w:space="0" w:color="auto"/>
          </w:divBdr>
          <w:divsChild>
            <w:div w:id="1769614773">
              <w:marLeft w:val="0"/>
              <w:marRight w:val="0"/>
              <w:marTop w:val="0"/>
              <w:marBottom w:val="0"/>
              <w:divBdr>
                <w:top w:val="none" w:sz="0" w:space="0" w:color="auto"/>
                <w:left w:val="none" w:sz="0" w:space="0" w:color="auto"/>
                <w:bottom w:val="none" w:sz="0" w:space="0" w:color="auto"/>
                <w:right w:val="none" w:sz="0" w:space="0" w:color="auto"/>
              </w:divBdr>
              <w:divsChild>
                <w:div w:id="949121935">
                  <w:marLeft w:val="0"/>
                  <w:marRight w:val="0"/>
                  <w:marTop w:val="0"/>
                  <w:marBottom w:val="0"/>
                  <w:divBdr>
                    <w:top w:val="none" w:sz="0" w:space="0" w:color="auto"/>
                    <w:left w:val="none" w:sz="0" w:space="0" w:color="auto"/>
                    <w:bottom w:val="none" w:sz="0" w:space="0" w:color="auto"/>
                    <w:right w:val="none" w:sz="0" w:space="0" w:color="auto"/>
                  </w:divBdr>
                  <w:divsChild>
                    <w:div w:id="157131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631869">
          <w:marLeft w:val="0"/>
          <w:marRight w:val="0"/>
          <w:marTop w:val="0"/>
          <w:marBottom w:val="0"/>
          <w:divBdr>
            <w:top w:val="none" w:sz="0" w:space="0" w:color="auto"/>
            <w:left w:val="none" w:sz="0" w:space="0" w:color="auto"/>
            <w:bottom w:val="none" w:sz="0" w:space="0" w:color="auto"/>
            <w:right w:val="none" w:sz="0" w:space="0" w:color="auto"/>
          </w:divBdr>
          <w:divsChild>
            <w:div w:id="1356468387">
              <w:marLeft w:val="0"/>
              <w:marRight w:val="0"/>
              <w:marTop w:val="0"/>
              <w:marBottom w:val="0"/>
              <w:divBdr>
                <w:top w:val="none" w:sz="0" w:space="0" w:color="auto"/>
                <w:left w:val="none" w:sz="0" w:space="0" w:color="auto"/>
                <w:bottom w:val="none" w:sz="0" w:space="0" w:color="auto"/>
                <w:right w:val="none" w:sz="0" w:space="0" w:color="auto"/>
              </w:divBdr>
              <w:divsChild>
                <w:div w:id="741679709">
                  <w:marLeft w:val="0"/>
                  <w:marRight w:val="0"/>
                  <w:marTop w:val="0"/>
                  <w:marBottom w:val="0"/>
                  <w:divBdr>
                    <w:top w:val="none" w:sz="0" w:space="0" w:color="auto"/>
                    <w:left w:val="none" w:sz="0" w:space="0" w:color="auto"/>
                    <w:bottom w:val="none" w:sz="0" w:space="0" w:color="auto"/>
                    <w:right w:val="none" w:sz="0" w:space="0" w:color="auto"/>
                  </w:divBdr>
                  <w:divsChild>
                    <w:div w:id="1062291198">
                      <w:marLeft w:val="0"/>
                      <w:marRight w:val="0"/>
                      <w:marTop w:val="0"/>
                      <w:marBottom w:val="0"/>
                      <w:divBdr>
                        <w:top w:val="none" w:sz="0" w:space="0" w:color="auto"/>
                        <w:left w:val="none" w:sz="0" w:space="0" w:color="auto"/>
                        <w:bottom w:val="none" w:sz="0" w:space="0" w:color="auto"/>
                        <w:right w:val="none" w:sz="0" w:space="0" w:color="auto"/>
                      </w:divBdr>
                    </w:div>
                    <w:div w:id="177131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331974">
      <w:bodyDiv w:val="1"/>
      <w:marLeft w:val="0"/>
      <w:marRight w:val="0"/>
      <w:marTop w:val="0"/>
      <w:marBottom w:val="0"/>
      <w:divBdr>
        <w:top w:val="none" w:sz="0" w:space="0" w:color="auto"/>
        <w:left w:val="none" w:sz="0" w:space="0" w:color="auto"/>
        <w:bottom w:val="none" w:sz="0" w:space="0" w:color="auto"/>
        <w:right w:val="none" w:sz="0" w:space="0" w:color="auto"/>
      </w:divBdr>
    </w:div>
    <w:div w:id="2006279633">
      <w:bodyDiv w:val="1"/>
      <w:marLeft w:val="0"/>
      <w:marRight w:val="0"/>
      <w:marTop w:val="0"/>
      <w:marBottom w:val="0"/>
      <w:divBdr>
        <w:top w:val="none" w:sz="0" w:space="0" w:color="auto"/>
        <w:left w:val="none" w:sz="0" w:space="0" w:color="auto"/>
        <w:bottom w:val="none" w:sz="0" w:space="0" w:color="auto"/>
        <w:right w:val="none" w:sz="0" w:space="0" w:color="auto"/>
      </w:divBdr>
    </w:div>
    <w:div w:id="2024091676">
      <w:bodyDiv w:val="1"/>
      <w:marLeft w:val="0"/>
      <w:marRight w:val="0"/>
      <w:marTop w:val="0"/>
      <w:marBottom w:val="0"/>
      <w:divBdr>
        <w:top w:val="none" w:sz="0" w:space="0" w:color="auto"/>
        <w:left w:val="none" w:sz="0" w:space="0" w:color="auto"/>
        <w:bottom w:val="none" w:sz="0" w:space="0" w:color="auto"/>
        <w:right w:val="none" w:sz="0" w:space="0" w:color="auto"/>
      </w:divBdr>
    </w:div>
    <w:div w:id="2029401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1D102-6DA6-4BFA-BB31-8415DC837373}">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19</Pages>
  <Words>5976</Words>
  <Characters>34064</Characters>
  <Application>Microsoft Office Word</Application>
  <DocSecurity>4</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Reichbach, Amy (ALA)</dc:creator>
  <cp:keywords/>
  <dc:description/>
  <cp:lastModifiedBy>Erlichman, Reece (ALA)</cp:lastModifiedBy>
  <cp:revision>2</cp:revision>
  <cp:lastPrinted>2026-02-03T18:37:00Z</cp:lastPrinted>
  <dcterms:created xsi:type="dcterms:W3CDTF">2026-02-03T19:31:00Z</dcterms:created>
  <dcterms:modified xsi:type="dcterms:W3CDTF">2026-02-03T19:31:00Z</dcterms:modified>
</cp:coreProperties>
</file>