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9B248" w14:textId="77777777" w:rsidR="004864A1" w:rsidRPr="00365C93" w:rsidRDefault="004864A1" w:rsidP="005F4F64">
      <w:pPr>
        <w:pStyle w:val="NoSpacing"/>
        <w:jc w:val="center"/>
        <w:rPr>
          <w:rFonts w:ascii="Aptos" w:hAnsi="Aptos" w:cs="Times New Roman"/>
          <w:b/>
          <w:sz w:val="28"/>
          <w:szCs w:val="28"/>
        </w:rPr>
      </w:pPr>
      <w:r w:rsidRPr="00365C93">
        <w:rPr>
          <w:rFonts w:ascii="Aptos" w:hAnsi="Aptos" w:cs="Times New Roman"/>
          <w:b/>
          <w:sz w:val="28"/>
          <w:szCs w:val="28"/>
        </w:rPr>
        <w:t>COMMONWEALTH OF MASSACHUSETTS</w:t>
      </w:r>
    </w:p>
    <w:p w14:paraId="18294F6C" w14:textId="77777777" w:rsidR="004864A1" w:rsidRPr="00365C93" w:rsidRDefault="004864A1" w:rsidP="004864A1">
      <w:pPr>
        <w:pStyle w:val="NoSpacing"/>
        <w:jc w:val="center"/>
        <w:rPr>
          <w:rFonts w:ascii="Aptos" w:hAnsi="Aptos" w:cs="Times New Roman"/>
          <w:b/>
          <w:sz w:val="28"/>
          <w:szCs w:val="28"/>
        </w:rPr>
      </w:pPr>
      <w:r w:rsidRPr="00365C93">
        <w:rPr>
          <w:rFonts w:ascii="Aptos" w:hAnsi="Aptos" w:cs="Times New Roman"/>
          <w:b/>
          <w:sz w:val="28"/>
          <w:szCs w:val="28"/>
        </w:rPr>
        <w:t>DIVISION OF ADMINISTRATIVE LAW APPEALS</w:t>
      </w:r>
    </w:p>
    <w:p w14:paraId="03D89EDB" w14:textId="77777777" w:rsidR="004864A1" w:rsidRPr="00365C93" w:rsidRDefault="004864A1" w:rsidP="004864A1">
      <w:pPr>
        <w:pStyle w:val="NoSpacing"/>
        <w:jc w:val="center"/>
        <w:rPr>
          <w:rFonts w:ascii="Aptos" w:hAnsi="Aptos" w:cs="Times New Roman"/>
          <w:b/>
          <w:sz w:val="28"/>
          <w:szCs w:val="28"/>
        </w:rPr>
      </w:pPr>
      <w:r w:rsidRPr="00365C93">
        <w:rPr>
          <w:rFonts w:ascii="Aptos" w:hAnsi="Aptos" w:cs="Times New Roman"/>
          <w:b/>
          <w:sz w:val="28"/>
          <w:szCs w:val="28"/>
        </w:rPr>
        <w:t>BUREAU OF SPECIAL EDUCATION APPEALS</w:t>
      </w:r>
    </w:p>
    <w:p w14:paraId="2852E903" w14:textId="77777777" w:rsidR="004864A1" w:rsidRPr="00365C93" w:rsidRDefault="004864A1" w:rsidP="004864A1">
      <w:pPr>
        <w:pStyle w:val="NoSpacing"/>
        <w:jc w:val="center"/>
        <w:rPr>
          <w:rFonts w:ascii="Aptos" w:hAnsi="Aptos" w:cs="Times New Roman"/>
          <w:sz w:val="25"/>
          <w:szCs w:val="25"/>
        </w:rPr>
      </w:pPr>
    </w:p>
    <w:p w14:paraId="0FC1ED70" w14:textId="77777777" w:rsidR="004864A1" w:rsidRPr="00365C93" w:rsidRDefault="004864A1" w:rsidP="004864A1">
      <w:pPr>
        <w:pStyle w:val="NoSpacing"/>
        <w:jc w:val="center"/>
        <w:rPr>
          <w:rFonts w:ascii="Aptos" w:hAnsi="Aptos" w:cs="Times New Roman"/>
          <w:sz w:val="25"/>
          <w:szCs w:val="25"/>
        </w:rPr>
      </w:pPr>
    </w:p>
    <w:p w14:paraId="4D710A6D" w14:textId="1C4428BF" w:rsidR="009D55B6" w:rsidRDefault="004864A1" w:rsidP="009D55B6">
      <w:pPr>
        <w:pStyle w:val="NoSpacing"/>
        <w:rPr>
          <w:rFonts w:ascii="Aptos" w:hAnsi="Aptos" w:cs="Times New Roman"/>
          <w:bCs/>
          <w:sz w:val="25"/>
          <w:szCs w:val="25"/>
        </w:rPr>
      </w:pPr>
      <w:r w:rsidRPr="00365C93">
        <w:rPr>
          <w:rFonts w:ascii="Aptos" w:hAnsi="Aptos" w:cs="Times New Roman"/>
          <w:sz w:val="25"/>
          <w:szCs w:val="25"/>
        </w:rPr>
        <w:t xml:space="preserve">In re:   </w:t>
      </w:r>
      <w:r w:rsidRPr="00365C93">
        <w:rPr>
          <w:rFonts w:ascii="Aptos" w:hAnsi="Aptos" w:cs="Times New Roman"/>
          <w:color w:val="000000" w:themeColor="text1"/>
          <w:sz w:val="25"/>
          <w:szCs w:val="25"/>
        </w:rPr>
        <w:t xml:space="preserve"> </w:t>
      </w:r>
      <w:r w:rsidR="00227735">
        <w:rPr>
          <w:rFonts w:ascii="Aptos" w:hAnsi="Aptos" w:cs="Times New Roman"/>
          <w:color w:val="000000" w:themeColor="text1"/>
          <w:sz w:val="25"/>
          <w:szCs w:val="25"/>
        </w:rPr>
        <w:t xml:space="preserve">Foxborough Public Schools v </w:t>
      </w:r>
      <w:r w:rsidR="00227735">
        <w:rPr>
          <w:rFonts w:ascii="Aptos" w:hAnsi="Aptos" w:cs="Times New Roman"/>
          <w:color w:val="000000" w:themeColor="text1"/>
          <w:sz w:val="25"/>
          <w:szCs w:val="25"/>
        </w:rPr>
        <w:tab/>
      </w:r>
      <w:r w:rsidRPr="00365C93">
        <w:rPr>
          <w:rFonts w:ascii="Aptos" w:hAnsi="Aptos" w:cs="Times New Roman"/>
          <w:sz w:val="25"/>
          <w:szCs w:val="25"/>
        </w:rPr>
        <w:tab/>
      </w:r>
      <w:r w:rsidRPr="00365C93">
        <w:rPr>
          <w:rFonts w:ascii="Aptos" w:hAnsi="Aptos" w:cs="Times New Roman"/>
          <w:sz w:val="25"/>
          <w:szCs w:val="25"/>
        </w:rPr>
        <w:tab/>
      </w:r>
      <w:r w:rsidRPr="00365C93">
        <w:rPr>
          <w:rFonts w:ascii="Aptos" w:hAnsi="Aptos" w:cs="Times New Roman"/>
          <w:sz w:val="25"/>
          <w:szCs w:val="25"/>
        </w:rPr>
        <w:tab/>
        <w:t>BSEA</w:t>
      </w:r>
      <w:r w:rsidRPr="00365C93">
        <w:rPr>
          <w:rFonts w:ascii="Aptos" w:hAnsi="Aptos" w:cs="Times New Roman"/>
          <w:b/>
          <w:sz w:val="25"/>
          <w:szCs w:val="25"/>
        </w:rPr>
        <w:t xml:space="preserve"> #</w:t>
      </w:r>
      <w:r w:rsidR="00D61EC9">
        <w:rPr>
          <w:rFonts w:ascii="Aptos" w:hAnsi="Aptos" w:cs="Times New Roman"/>
          <w:bCs/>
          <w:sz w:val="25"/>
          <w:szCs w:val="25"/>
        </w:rPr>
        <w:t>260</w:t>
      </w:r>
      <w:r w:rsidR="00227735">
        <w:rPr>
          <w:rFonts w:ascii="Aptos" w:hAnsi="Aptos" w:cs="Times New Roman"/>
          <w:bCs/>
          <w:sz w:val="25"/>
          <w:szCs w:val="25"/>
        </w:rPr>
        <w:t>0283</w:t>
      </w:r>
    </w:p>
    <w:p w14:paraId="78174E8E" w14:textId="5D651728" w:rsidR="00227735" w:rsidRDefault="00227735" w:rsidP="009D55B6">
      <w:pPr>
        <w:pStyle w:val="NoSpacing"/>
        <w:rPr>
          <w:rFonts w:ascii="Aptos" w:hAnsi="Aptos" w:cs="Times New Roman"/>
          <w:bCs/>
          <w:sz w:val="25"/>
          <w:szCs w:val="25"/>
        </w:rPr>
      </w:pPr>
      <w:r>
        <w:rPr>
          <w:rFonts w:ascii="Aptos" w:hAnsi="Aptos" w:cs="Times New Roman"/>
          <w:bCs/>
          <w:sz w:val="25"/>
          <w:szCs w:val="25"/>
        </w:rPr>
        <w:tab/>
        <w:t xml:space="preserve">Norwood Public Schools, the Department of </w:t>
      </w:r>
    </w:p>
    <w:p w14:paraId="5DEA4356" w14:textId="632087E5" w:rsidR="00227735" w:rsidRDefault="00227735" w:rsidP="009D55B6">
      <w:pPr>
        <w:pStyle w:val="NoSpacing"/>
        <w:rPr>
          <w:rFonts w:ascii="Aptos" w:hAnsi="Aptos" w:cs="Times New Roman"/>
          <w:bCs/>
          <w:sz w:val="25"/>
          <w:szCs w:val="25"/>
        </w:rPr>
      </w:pPr>
      <w:r>
        <w:rPr>
          <w:rFonts w:ascii="Aptos" w:hAnsi="Aptos" w:cs="Times New Roman"/>
          <w:bCs/>
          <w:sz w:val="25"/>
          <w:szCs w:val="25"/>
        </w:rPr>
        <w:tab/>
        <w:t xml:space="preserve">Elementary and Secondary Education, and </w:t>
      </w:r>
    </w:p>
    <w:p w14:paraId="5686A0F0" w14:textId="10D001C8" w:rsidR="00D61EC9" w:rsidRPr="00D61EC9" w:rsidRDefault="00D61EC9" w:rsidP="009D55B6">
      <w:pPr>
        <w:pStyle w:val="NoSpacing"/>
        <w:rPr>
          <w:rFonts w:ascii="Aptos" w:hAnsi="Aptos"/>
          <w:bCs/>
          <w:sz w:val="25"/>
          <w:szCs w:val="25"/>
        </w:rPr>
      </w:pPr>
      <w:r>
        <w:rPr>
          <w:rFonts w:ascii="Aptos" w:hAnsi="Aptos" w:cs="Times New Roman"/>
          <w:bCs/>
          <w:sz w:val="25"/>
          <w:szCs w:val="25"/>
        </w:rPr>
        <w:tab/>
        <w:t>S</w:t>
      </w:r>
      <w:r w:rsidR="00227735">
        <w:rPr>
          <w:rFonts w:ascii="Aptos" w:hAnsi="Aptos" w:cs="Times New Roman"/>
          <w:bCs/>
          <w:sz w:val="25"/>
          <w:szCs w:val="25"/>
        </w:rPr>
        <w:t>tudent</w:t>
      </w:r>
    </w:p>
    <w:p w14:paraId="32C9654D" w14:textId="7C20D891" w:rsidR="006C2E3E" w:rsidRPr="000636B6" w:rsidRDefault="00CD76AD" w:rsidP="004864A1">
      <w:pPr>
        <w:pStyle w:val="NoSpacing"/>
        <w:rPr>
          <w:rFonts w:ascii="Aptos" w:hAnsi="Aptos"/>
          <w:sz w:val="25"/>
          <w:szCs w:val="25"/>
        </w:rPr>
      </w:pPr>
      <w:r>
        <w:rPr>
          <w:rFonts w:ascii="Aptos" w:hAnsi="Aptos"/>
          <w:sz w:val="25"/>
          <w:szCs w:val="25"/>
        </w:rPr>
        <w:tab/>
      </w:r>
      <w:r w:rsidR="009D55B6">
        <w:rPr>
          <w:rFonts w:ascii="Aptos" w:hAnsi="Aptos"/>
          <w:sz w:val="25"/>
          <w:szCs w:val="25"/>
        </w:rPr>
        <w:tab/>
      </w:r>
      <w:r w:rsidR="009D55B6">
        <w:rPr>
          <w:rFonts w:ascii="Aptos" w:hAnsi="Aptos"/>
          <w:sz w:val="25"/>
          <w:szCs w:val="25"/>
        </w:rPr>
        <w:tab/>
      </w:r>
      <w:r w:rsidR="009D55B6">
        <w:rPr>
          <w:rFonts w:ascii="Aptos" w:hAnsi="Aptos"/>
          <w:sz w:val="25"/>
          <w:szCs w:val="25"/>
        </w:rPr>
        <w:tab/>
      </w:r>
      <w:r w:rsidR="009D55B6">
        <w:rPr>
          <w:rFonts w:ascii="Aptos" w:hAnsi="Aptos"/>
          <w:sz w:val="25"/>
          <w:szCs w:val="25"/>
        </w:rPr>
        <w:tab/>
      </w:r>
      <w:r w:rsidR="009D55B6">
        <w:rPr>
          <w:rFonts w:ascii="Aptos" w:hAnsi="Aptos"/>
          <w:sz w:val="25"/>
          <w:szCs w:val="25"/>
        </w:rPr>
        <w:tab/>
      </w:r>
    </w:p>
    <w:p w14:paraId="73401914" w14:textId="77777777" w:rsidR="00BC0E37" w:rsidRPr="00365C93" w:rsidRDefault="00BC0E37" w:rsidP="004864A1">
      <w:pPr>
        <w:pStyle w:val="NoSpacing"/>
        <w:rPr>
          <w:rFonts w:ascii="Aptos" w:hAnsi="Aptos" w:cs="Times New Roman"/>
          <w:b/>
          <w:sz w:val="25"/>
          <w:szCs w:val="25"/>
        </w:rPr>
      </w:pPr>
    </w:p>
    <w:p w14:paraId="2C10E88E" w14:textId="69F17642" w:rsidR="00227735" w:rsidRDefault="004864A1" w:rsidP="00251A0E">
      <w:pPr>
        <w:pStyle w:val="NoSpacing"/>
        <w:jc w:val="center"/>
        <w:rPr>
          <w:rFonts w:ascii="Aptos" w:hAnsi="Aptos" w:cs="Times New Roman"/>
          <w:b/>
          <w:sz w:val="25"/>
          <w:szCs w:val="25"/>
          <w:u w:val="single"/>
        </w:rPr>
      </w:pPr>
      <w:r w:rsidRPr="00365C93">
        <w:rPr>
          <w:rFonts w:ascii="Aptos" w:hAnsi="Aptos" w:cs="Times New Roman"/>
          <w:b/>
          <w:sz w:val="25"/>
          <w:szCs w:val="25"/>
          <w:u w:val="single"/>
        </w:rPr>
        <w:t xml:space="preserve">RULING ON </w:t>
      </w:r>
      <w:r w:rsidR="00227735">
        <w:rPr>
          <w:rFonts w:ascii="Aptos" w:hAnsi="Aptos" w:cs="Times New Roman"/>
          <w:b/>
          <w:sz w:val="25"/>
          <w:szCs w:val="25"/>
          <w:u w:val="single"/>
        </w:rPr>
        <w:t>NON-PARTY MASSACHUSETTS DEPARTMENT OF CHILDREN AND FAMILIES’ OBJECTION AND PETITION TO VACATE PLAINTIFF, FOXBOROUGH PUBLIC SCHOOLS’ SUB</w:t>
      </w:r>
      <w:r w:rsidR="003D6B4B">
        <w:rPr>
          <w:rFonts w:ascii="Aptos" w:hAnsi="Aptos" w:cs="Times New Roman"/>
          <w:b/>
          <w:sz w:val="25"/>
          <w:szCs w:val="25"/>
          <w:u w:val="single"/>
        </w:rPr>
        <w:t>POE</w:t>
      </w:r>
      <w:r w:rsidR="00227735">
        <w:rPr>
          <w:rFonts w:ascii="Aptos" w:hAnsi="Aptos" w:cs="Times New Roman"/>
          <w:b/>
          <w:sz w:val="25"/>
          <w:szCs w:val="25"/>
          <w:u w:val="single"/>
        </w:rPr>
        <w:t>NA DUCES TECUM</w:t>
      </w:r>
    </w:p>
    <w:p w14:paraId="7D46A030" w14:textId="77777777" w:rsidR="000636B6" w:rsidRPr="00365C93" w:rsidRDefault="000636B6" w:rsidP="00D61EC9">
      <w:pPr>
        <w:pStyle w:val="NoSpacing"/>
        <w:rPr>
          <w:rFonts w:ascii="Aptos" w:hAnsi="Aptos" w:cs="Times New Roman"/>
          <w:sz w:val="25"/>
          <w:szCs w:val="25"/>
        </w:rPr>
      </w:pPr>
    </w:p>
    <w:p w14:paraId="0B572075" w14:textId="79382961" w:rsidR="00796BCE" w:rsidRPr="008F3CDE" w:rsidRDefault="004864A1" w:rsidP="00C137F1">
      <w:pPr>
        <w:pStyle w:val="NoSpacing"/>
        <w:ind w:firstLine="720"/>
        <w:rPr>
          <w:rFonts w:ascii="Aptos" w:hAnsi="Aptos" w:cs="Times New Roman"/>
          <w:sz w:val="25"/>
          <w:szCs w:val="25"/>
        </w:rPr>
      </w:pPr>
      <w:r w:rsidRPr="00365C93">
        <w:rPr>
          <w:rFonts w:ascii="Aptos" w:hAnsi="Aptos" w:cs="Times New Roman"/>
          <w:sz w:val="25"/>
          <w:szCs w:val="25"/>
        </w:rPr>
        <w:t>This matter comes b</w:t>
      </w:r>
      <w:r w:rsidR="00107316" w:rsidRPr="00365C93">
        <w:rPr>
          <w:rFonts w:ascii="Aptos" w:hAnsi="Aptos" w:cs="Times New Roman"/>
          <w:sz w:val="25"/>
          <w:szCs w:val="25"/>
        </w:rPr>
        <w:t>efore the Hearing Officer on</w:t>
      </w:r>
      <w:r w:rsidR="008F3CDE">
        <w:rPr>
          <w:rFonts w:ascii="Aptos" w:hAnsi="Aptos" w:cs="Times New Roman"/>
          <w:sz w:val="25"/>
          <w:szCs w:val="25"/>
        </w:rPr>
        <w:t xml:space="preserve"> the </w:t>
      </w:r>
      <w:r w:rsidR="008F3CDE">
        <w:rPr>
          <w:rFonts w:ascii="Aptos" w:hAnsi="Aptos" w:cs="Times New Roman"/>
          <w:i/>
          <w:iCs/>
          <w:sz w:val="25"/>
          <w:szCs w:val="25"/>
        </w:rPr>
        <w:t xml:space="preserve">Objection and Petition to Vacate Plaintiff, Foxborough Public Schools Subpoena Duces Tecum </w:t>
      </w:r>
      <w:r w:rsidR="008F3CDE">
        <w:rPr>
          <w:rFonts w:ascii="Aptos" w:hAnsi="Aptos" w:cs="Times New Roman"/>
          <w:sz w:val="25"/>
          <w:szCs w:val="25"/>
        </w:rPr>
        <w:t>(</w:t>
      </w:r>
      <w:r w:rsidR="008F3CDE">
        <w:rPr>
          <w:rFonts w:ascii="Aptos" w:hAnsi="Aptos" w:cs="Times New Roman"/>
          <w:i/>
          <w:iCs/>
          <w:sz w:val="25"/>
          <w:szCs w:val="25"/>
        </w:rPr>
        <w:t>Objection</w:t>
      </w:r>
      <w:r w:rsidR="008F3CDE">
        <w:rPr>
          <w:rFonts w:ascii="Aptos" w:hAnsi="Aptos" w:cs="Times New Roman"/>
          <w:sz w:val="25"/>
          <w:szCs w:val="25"/>
        </w:rPr>
        <w:t>) filed by non-party Massachusetts Department of Children and Families (DCF</w:t>
      </w:r>
      <w:r w:rsidR="00A608CF">
        <w:rPr>
          <w:rFonts w:ascii="Aptos" w:hAnsi="Aptos" w:cs="Times New Roman"/>
          <w:sz w:val="25"/>
          <w:szCs w:val="25"/>
        </w:rPr>
        <w:t xml:space="preserve"> or the Department</w:t>
      </w:r>
      <w:r w:rsidR="008F3CDE">
        <w:rPr>
          <w:rFonts w:ascii="Aptos" w:hAnsi="Aptos" w:cs="Times New Roman"/>
          <w:sz w:val="25"/>
          <w:szCs w:val="25"/>
        </w:rPr>
        <w:t xml:space="preserve">) in a matter pending before the Bureau of Special Education Appeals (BSEA). </w:t>
      </w:r>
      <w:r w:rsidR="002D5611" w:rsidRPr="002D5611">
        <w:rPr>
          <w:rFonts w:ascii="Aptos" w:hAnsi="Aptos" w:cs="Times New Roman"/>
          <w:sz w:val="25"/>
          <w:szCs w:val="25"/>
        </w:rPr>
        <w:t xml:space="preserve">As neither testimony nor oral argument would advance my understanding of the issues involved, I am issuing </w:t>
      </w:r>
      <w:r w:rsidR="006C379E">
        <w:rPr>
          <w:rFonts w:ascii="Aptos" w:hAnsi="Aptos" w:cs="Times New Roman"/>
          <w:sz w:val="25"/>
          <w:szCs w:val="25"/>
        </w:rPr>
        <w:t>this</w:t>
      </w:r>
      <w:r w:rsidR="002D5611" w:rsidRPr="002D5611">
        <w:rPr>
          <w:rFonts w:ascii="Aptos" w:hAnsi="Aptos" w:cs="Times New Roman"/>
          <w:sz w:val="25"/>
          <w:szCs w:val="25"/>
        </w:rPr>
        <w:t xml:space="preserve"> </w:t>
      </w:r>
      <w:r w:rsidR="006C379E">
        <w:rPr>
          <w:rFonts w:ascii="Aptos" w:hAnsi="Aptos" w:cs="Times New Roman"/>
          <w:sz w:val="25"/>
          <w:szCs w:val="25"/>
        </w:rPr>
        <w:t>R</w:t>
      </w:r>
      <w:r w:rsidR="002D5611" w:rsidRPr="002D5611">
        <w:rPr>
          <w:rFonts w:ascii="Aptos" w:hAnsi="Aptos" w:cs="Times New Roman"/>
          <w:sz w:val="25"/>
          <w:szCs w:val="25"/>
        </w:rPr>
        <w:t>uling on</w:t>
      </w:r>
      <w:r w:rsidR="008F3CDE">
        <w:rPr>
          <w:rFonts w:ascii="Aptos" w:hAnsi="Aptos" w:cs="Times New Roman"/>
          <w:sz w:val="25"/>
          <w:szCs w:val="25"/>
        </w:rPr>
        <w:t xml:space="preserve"> DCF’s </w:t>
      </w:r>
      <w:r w:rsidR="008F3CDE">
        <w:rPr>
          <w:rFonts w:ascii="Aptos" w:hAnsi="Aptos" w:cs="Times New Roman"/>
          <w:i/>
          <w:iCs/>
          <w:sz w:val="25"/>
          <w:szCs w:val="25"/>
        </w:rPr>
        <w:t>Objection</w:t>
      </w:r>
      <w:r w:rsidR="002D5611" w:rsidRPr="002D5611">
        <w:rPr>
          <w:rFonts w:ascii="Aptos" w:hAnsi="Aptos" w:cs="Times New Roman"/>
          <w:sz w:val="25"/>
          <w:szCs w:val="25"/>
        </w:rPr>
        <w:t xml:space="preserve"> without </w:t>
      </w:r>
      <w:proofErr w:type="gramStart"/>
      <w:r w:rsidR="002D5611" w:rsidRPr="002D5611">
        <w:rPr>
          <w:rFonts w:ascii="Aptos" w:hAnsi="Aptos" w:cs="Times New Roman"/>
          <w:sz w:val="25"/>
          <w:szCs w:val="25"/>
        </w:rPr>
        <w:t>a hearing</w:t>
      </w:r>
      <w:proofErr w:type="gramEnd"/>
      <w:r w:rsidR="002D5611" w:rsidRPr="002D5611">
        <w:rPr>
          <w:rFonts w:ascii="Aptos" w:hAnsi="Aptos" w:cs="Times New Roman"/>
          <w:sz w:val="25"/>
          <w:szCs w:val="25"/>
        </w:rPr>
        <w:t xml:space="preserve">, pursuant to </w:t>
      </w:r>
      <w:r w:rsidR="002D5611">
        <w:rPr>
          <w:rFonts w:ascii="Aptos" w:hAnsi="Aptos" w:cs="Times New Roman"/>
          <w:sz w:val="25"/>
          <w:szCs w:val="25"/>
        </w:rPr>
        <w:t xml:space="preserve">Rule VI(D) of the Bureau of Special Education </w:t>
      </w:r>
      <w:r w:rsidR="002D5611">
        <w:rPr>
          <w:rFonts w:ascii="Aptos" w:hAnsi="Aptos" w:cs="Times New Roman"/>
          <w:i/>
          <w:iCs/>
          <w:sz w:val="25"/>
          <w:szCs w:val="25"/>
        </w:rPr>
        <w:t xml:space="preserve">Hearing Rules for Special Education Appeals </w:t>
      </w:r>
      <w:r w:rsidR="002D5611">
        <w:rPr>
          <w:rFonts w:ascii="Aptos" w:hAnsi="Aptos" w:cs="Times New Roman"/>
          <w:sz w:val="25"/>
          <w:szCs w:val="25"/>
        </w:rPr>
        <w:t>(</w:t>
      </w:r>
      <w:r w:rsidR="002D5611" w:rsidRPr="002D5611">
        <w:rPr>
          <w:rFonts w:ascii="Aptos" w:hAnsi="Aptos" w:cs="Times New Roman"/>
          <w:sz w:val="25"/>
          <w:szCs w:val="25"/>
        </w:rPr>
        <w:t xml:space="preserve">BSEA </w:t>
      </w:r>
      <w:r w:rsidR="002D5611" w:rsidRPr="002D5611">
        <w:rPr>
          <w:rFonts w:ascii="Aptos" w:hAnsi="Aptos" w:cs="Times New Roman"/>
          <w:i/>
          <w:sz w:val="25"/>
          <w:szCs w:val="25"/>
        </w:rPr>
        <w:t>Hearing Rule</w:t>
      </w:r>
      <w:r w:rsidR="002D5611">
        <w:rPr>
          <w:rFonts w:ascii="Aptos" w:hAnsi="Aptos" w:cs="Times New Roman"/>
          <w:i/>
          <w:sz w:val="25"/>
          <w:szCs w:val="25"/>
        </w:rPr>
        <w:t>s</w:t>
      </w:r>
      <w:r w:rsidR="002D5611">
        <w:rPr>
          <w:rFonts w:ascii="Aptos" w:hAnsi="Aptos" w:cs="Times New Roman"/>
          <w:iCs/>
          <w:sz w:val="25"/>
          <w:szCs w:val="25"/>
        </w:rPr>
        <w:t>)</w:t>
      </w:r>
      <w:r w:rsidR="002D5611" w:rsidRPr="002D5611">
        <w:rPr>
          <w:rFonts w:ascii="Aptos" w:hAnsi="Aptos" w:cs="Times New Roman"/>
          <w:sz w:val="25"/>
          <w:szCs w:val="25"/>
        </w:rPr>
        <w:t>.</w:t>
      </w:r>
      <w:r w:rsidR="008F3CDE" w:rsidRPr="00365C93">
        <w:rPr>
          <w:rFonts w:ascii="Aptos" w:hAnsi="Aptos" w:cs="Times New Roman"/>
          <w:sz w:val="25"/>
          <w:szCs w:val="25"/>
        </w:rPr>
        <w:t xml:space="preserve"> </w:t>
      </w:r>
      <w:r w:rsidRPr="00365C93">
        <w:rPr>
          <w:rFonts w:ascii="Aptos" w:hAnsi="Aptos" w:cs="Times New Roman"/>
          <w:sz w:val="25"/>
          <w:szCs w:val="25"/>
        </w:rPr>
        <w:t>For the reasons set forth below,</w:t>
      </w:r>
      <w:r w:rsidR="0023408F" w:rsidRPr="00365C93">
        <w:rPr>
          <w:rFonts w:ascii="Aptos" w:hAnsi="Aptos" w:cs="Times New Roman"/>
          <w:sz w:val="25"/>
          <w:szCs w:val="25"/>
        </w:rPr>
        <w:t xml:space="preserve"> </w:t>
      </w:r>
      <w:r w:rsidR="008F3CDE">
        <w:rPr>
          <w:rFonts w:ascii="Aptos" w:hAnsi="Aptos" w:cs="Times New Roman"/>
          <w:sz w:val="25"/>
          <w:szCs w:val="25"/>
        </w:rPr>
        <w:t xml:space="preserve">DCF’s </w:t>
      </w:r>
      <w:r w:rsidR="008F3CDE">
        <w:rPr>
          <w:rFonts w:ascii="Aptos" w:hAnsi="Aptos" w:cs="Times New Roman"/>
          <w:i/>
          <w:iCs/>
          <w:sz w:val="25"/>
          <w:szCs w:val="25"/>
        </w:rPr>
        <w:t xml:space="preserve">Objection </w:t>
      </w:r>
      <w:r w:rsidR="008F3CDE">
        <w:rPr>
          <w:rFonts w:ascii="Aptos" w:hAnsi="Aptos" w:cs="Times New Roman"/>
          <w:sz w:val="25"/>
          <w:szCs w:val="25"/>
        </w:rPr>
        <w:t xml:space="preserve">is </w:t>
      </w:r>
      <w:r w:rsidR="003D6B4B">
        <w:rPr>
          <w:rFonts w:ascii="Aptos" w:hAnsi="Aptos" w:cs="Times New Roman"/>
          <w:sz w:val="25"/>
          <w:szCs w:val="25"/>
        </w:rPr>
        <w:t>ALLOWED</w:t>
      </w:r>
      <w:r w:rsidR="008F3CDE">
        <w:rPr>
          <w:rFonts w:ascii="Aptos" w:hAnsi="Aptos" w:cs="Times New Roman"/>
          <w:sz w:val="25"/>
          <w:szCs w:val="25"/>
        </w:rPr>
        <w:t>.</w:t>
      </w:r>
    </w:p>
    <w:p w14:paraId="14F061E6" w14:textId="77777777" w:rsidR="00235910" w:rsidRPr="00365C93" w:rsidRDefault="00235910" w:rsidP="00796BCE">
      <w:pPr>
        <w:pStyle w:val="NoSpacing"/>
        <w:rPr>
          <w:rFonts w:ascii="Aptos" w:hAnsi="Aptos" w:cs="Times New Roman"/>
          <w:sz w:val="25"/>
          <w:szCs w:val="25"/>
        </w:rPr>
      </w:pPr>
    </w:p>
    <w:p w14:paraId="4424058D" w14:textId="7D424724" w:rsidR="00F661D1" w:rsidRPr="00365C93" w:rsidRDefault="00F661D1" w:rsidP="00F661D1">
      <w:pPr>
        <w:pStyle w:val="NoSpacing"/>
        <w:jc w:val="both"/>
        <w:rPr>
          <w:rFonts w:ascii="Aptos" w:hAnsi="Aptos" w:cs="Times New Roman"/>
          <w:sz w:val="25"/>
          <w:szCs w:val="25"/>
          <w:u w:val="single"/>
        </w:rPr>
      </w:pPr>
      <w:r w:rsidRPr="00365C93">
        <w:rPr>
          <w:rFonts w:ascii="Aptos" w:hAnsi="Aptos" w:cs="Times New Roman"/>
          <w:sz w:val="25"/>
          <w:szCs w:val="25"/>
          <w:u w:val="single"/>
        </w:rPr>
        <w:t>FACTUAL BACKGROUND</w:t>
      </w:r>
      <w:r w:rsidR="0029431C">
        <w:rPr>
          <w:rStyle w:val="FootnoteReference"/>
          <w:rFonts w:ascii="Aptos" w:hAnsi="Aptos" w:cs="Times New Roman"/>
          <w:sz w:val="25"/>
          <w:szCs w:val="25"/>
          <w:u w:val="single"/>
        </w:rPr>
        <w:footnoteReference w:id="1"/>
      </w:r>
      <w:r w:rsidRPr="00365C93">
        <w:rPr>
          <w:rFonts w:ascii="Aptos" w:hAnsi="Aptos" w:cs="Times New Roman"/>
          <w:sz w:val="25"/>
          <w:szCs w:val="25"/>
          <w:u w:val="single"/>
        </w:rPr>
        <w:t xml:space="preserve"> AND PROCEDURAL HISTORY </w:t>
      </w:r>
    </w:p>
    <w:p w14:paraId="54BE57DF" w14:textId="77777777" w:rsidR="00251A0E" w:rsidRDefault="00251A0E" w:rsidP="008F3CDE">
      <w:pPr>
        <w:pStyle w:val="NoSpacing"/>
        <w:rPr>
          <w:rFonts w:ascii="Aptos" w:hAnsi="Aptos"/>
          <w:sz w:val="25"/>
          <w:szCs w:val="25"/>
        </w:rPr>
      </w:pPr>
    </w:p>
    <w:p w14:paraId="3E419B6A" w14:textId="30A09540" w:rsidR="008F3CDE" w:rsidRDefault="00D61EC9" w:rsidP="0029431C">
      <w:pPr>
        <w:pStyle w:val="NoSpacing"/>
        <w:ind w:firstLine="720"/>
        <w:rPr>
          <w:rFonts w:ascii="Aptos" w:hAnsi="Aptos"/>
          <w:sz w:val="25"/>
          <w:szCs w:val="25"/>
        </w:rPr>
      </w:pPr>
      <w:r>
        <w:rPr>
          <w:rFonts w:ascii="Aptos" w:hAnsi="Aptos"/>
          <w:sz w:val="25"/>
          <w:szCs w:val="25"/>
        </w:rPr>
        <w:t xml:space="preserve">On </w:t>
      </w:r>
      <w:r w:rsidR="008F3CDE">
        <w:rPr>
          <w:rFonts w:ascii="Aptos" w:hAnsi="Aptos"/>
          <w:sz w:val="25"/>
          <w:szCs w:val="25"/>
        </w:rPr>
        <w:t xml:space="preserve">July 9, 2025, Foxborough Public Schools (Foxborough or the District) filed a </w:t>
      </w:r>
      <w:r w:rsidR="008F3CDE" w:rsidRPr="008F3CDE">
        <w:rPr>
          <w:rFonts w:ascii="Aptos" w:hAnsi="Aptos"/>
          <w:i/>
          <w:iCs/>
          <w:sz w:val="25"/>
          <w:szCs w:val="25"/>
        </w:rPr>
        <w:t>LEA</w:t>
      </w:r>
      <w:r w:rsidR="008F3CDE">
        <w:rPr>
          <w:rFonts w:ascii="Aptos" w:hAnsi="Aptos"/>
          <w:sz w:val="25"/>
          <w:szCs w:val="25"/>
        </w:rPr>
        <w:t xml:space="preserve"> (Local Educational Agency) </w:t>
      </w:r>
      <w:r w:rsidR="008F3CDE" w:rsidRPr="008F3CDE">
        <w:rPr>
          <w:rFonts w:ascii="Aptos" w:hAnsi="Aptos"/>
          <w:i/>
          <w:iCs/>
          <w:sz w:val="25"/>
          <w:szCs w:val="25"/>
        </w:rPr>
        <w:t>Assignment Hearing Request</w:t>
      </w:r>
      <w:r w:rsidR="008F3CDE">
        <w:rPr>
          <w:rFonts w:ascii="Aptos" w:hAnsi="Aptos"/>
          <w:sz w:val="25"/>
          <w:szCs w:val="25"/>
        </w:rPr>
        <w:t xml:space="preserve"> </w:t>
      </w:r>
      <w:r w:rsidR="0029431C">
        <w:rPr>
          <w:rFonts w:ascii="Aptos" w:hAnsi="Aptos"/>
          <w:sz w:val="25"/>
          <w:szCs w:val="25"/>
        </w:rPr>
        <w:t>(</w:t>
      </w:r>
      <w:r w:rsidR="0029431C">
        <w:rPr>
          <w:rFonts w:ascii="Aptos" w:hAnsi="Aptos"/>
          <w:i/>
          <w:iCs/>
          <w:sz w:val="25"/>
          <w:szCs w:val="25"/>
        </w:rPr>
        <w:t>Hearing Request</w:t>
      </w:r>
      <w:r w:rsidR="0029431C">
        <w:rPr>
          <w:rFonts w:ascii="Aptos" w:hAnsi="Aptos"/>
          <w:sz w:val="25"/>
          <w:szCs w:val="25"/>
        </w:rPr>
        <w:t xml:space="preserve">) </w:t>
      </w:r>
      <w:r w:rsidR="008F3CDE">
        <w:rPr>
          <w:rFonts w:ascii="Aptos" w:hAnsi="Aptos"/>
          <w:sz w:val="25"/>
          <w:szCs w:val="25"/>
        </w:rPr>
        <w:t>with the BSEA against Norwood Public Schools (Norwood), the Department of Elementary and Secondary Education (DESE), and Student, seeking a determination that DESE erred in assigning programmatic and financial responsibility for Student’s special education program to the District. Specifically, Foxborough argues that Student, who attends a separate public day school</w:t>
      </w:r>
      <w:r w:rsidR="008F3CDE">
        <w:rPr>
          <w:rStyle w:val="FootnoteReference"/>
          <w:rFonts w:ascii="Aptos" w:hAnsi="Aptos"/>
          <w:sz w:val="25"/>
          <w:szCs w:val="25"/>
        </w:rPr>
        <w:footnoteReference w:id="2"/>
      </w:r>
      <w:r w:rsidR="008F3CDE">
        <w:rPr>
          <w:rFonts w:ascii="Aptos" w:hAnsi="Aptos"/>
          <w:sz w:val="25"/>
          <w:szCs w:val="25"/>
        </w:rPr>
        <w:t xml:space="preserve"> and has been staying with Parent at a </w:t>
      </w:r>
      <w:r w:rsidR="006C379E">
        <w:rPr>
          <w:rFonts w:ascii="Aptos" w:hAnsi="Aptos"/>
          <w:sz w:val="25"/>
          <w:szCs w:val="25"/>
        </w:rPr>
        <w:t>h</w:t>
      </w:r>
      <w:r w:rsidR="008F3CDE">
        <w:rPr>
          <w:rFonts w:ascii="Aptos" w:hAnsi="Aptos"/>
          <w:sz w:val="25"/>
          <w:szCs w:val="25"/>
        </w:rPr>
        <w:t>otel</w:t>
      </w:r>
      <w:r w:rsidR="008F3CDE">
        <w:rPr>
          <w:rStyle w:val="FootnoteReference"/>
          <w:rFonts w:ascii="Aptos" w:hAnsi="Aptos"/>
          <w:sz w:val="25"/>
          <w:szCs w:val="25"/>
        </w:rPr>
        <w:footnoteReference w:id="3"/>
      </w:r>
      <w:r w:rsidR="008F3CDE">
        <w:rPr>
          <w:rFonts w:ascii="Aptos" w:hAnsi="Aptos"/>
          <w:sz w:val="25"/>
          <w:szCs w:val="25"/>
        </w:rPr>
        <w:t xml:space="preserve"> within its geographical limits since on or about February 2025, is homeless under the McKinney-Vento Homeless Assistance Act (McKinney-Vento). As such, as her last </w:t>
      </w:r>
      <w:r w:rsidR="008F3CDE">
        <w:rPr>
          <w:rFonts w:ascii="Aptos" w:hAnsi="Aptos"/>
          <w:sz w:val="25"/>
          <w:szCs w:val="25"/>
        </w:rPr>
        <w:lastRenderedPageBreak/>
        <w:t>known residence,</w:t>
      </w:r>
      <w:r w:rsidR="003111AF">
        <w:rPr>
          <w:rFonts w:ascii="Aptos" w:hAnsi="Aptos"/>
          <w:sz w:val="25"/>
          <w:szCs w:val="25"/>
        </w:rPr>
        <w:t xml:space="preserve"> Norwood</w:t>
      </w:r>
      <w:r w:rsidR="008F3CDE">
        <w:rPr>
          <w:rFonts w:ascii="Aptos" w:hAnsi="Aptos"/>
          <w:sz w:val="25"/>
          <w:szCs w:val="25"/>
        </w:rPr>
        <w:t xml:space="preserve"> is her “district of origin” pursuant to relevant statutes and should continue to bear programmatic and fiscal responsibility for her.</w:t>
      </w:r>
      <w:r w:rsidR="0029431C">
        <w:rPr>
          <w:rFonts w:ascii="Aptos" w:hAnsi="Aptos"/>
          <w:sz w:val="25"/>
          <w:szCs w:val="25"/>
        </w:rPr>
        <w:t xml:space="preserve"> </w:t>
      </w:r>
      <w:r w:rsidR="008F3CDE">
        <w:rPr>
          <w:rFonts w:ascii="Aptos" w:hAnsi="Aptos"/>
          <w:sz w:val="25"/>
          <w:szCs w:val="25"/>
        </w:rPr>
        <w:t xml:space="preserve">In the underlying LEA Assignment matter, </w:t>
      </w:r>
      <w:r w:rsidR="0029431C">
        <w:rPr>
          <w:rFonts w:ascii="Aptos" w:hAnsi="Aptos"/>
          <w:sz w:val="25"/>
          <w:szCs w:val="25"/>
        </w:rPr>
        <w:t xml:space="preserve">on or about June 18, 2025, DESE issued an Assignment of School Responsibility, finding that Student was not homeless, and assigned programmatic and financial responsibility for her special education program to Foxborough. The Hearing on Foxborough’s </w:t>
      </w:r>
      <w:r w:rsidR="0029431C">
        <w:rPr>
          <w:rFonts w:ascii="Aptos" w:hAnsi="Aptos"/>
          <w:i/>
          <w:iCs/>
          <w:sz w:val="25"/>
          <w:szCs w:val="25"/>
        </w:rPr>
        <w:t xml:space="preserve">LEA Assignment Hearing Request </w:t>
      </w:r>
      <w:r w:rsidR="0029431C">
        <w:rPr>
          <w:rFonts w:ascii="Aptos" w:hAnsi="Aptos"/>
          <w:sz w:val="25"/>
          <w:szCs w:val="25"/>
        </w:rPr>
        <w:t>was scheduled for July 29, 2025.</w:t>
      </w:r>
    </w:p>
    <w:p w14:paraId="0C844FC0" w14:textId="77777777" w:rsidR="0029431C" w:rsidRDefault="0029431C" w:rsidP="0029431C">
      <w:pPr>
        <w:pStyle w:val="NoSpacing"/>
        <w:ind w:firstLine="720"/>
        <w:rPr>
          <w:rFonts w:ascii="Aptos" w:hAnsi="Aptos"/>
          <w:sz w:val="25"/>
          <w:szCs w:val="25"/>
        </w:rPr>
      </w:pPr>
    </w:p>
    <w:p w14:paraId="12DBCF8F" w14:textId="395E53CF" w:rsidR="0029431C" w:rsidRDefault="0029431C" w:rsidP="0029431C">
      <w:pPr>
        <w:pStyle w:val="NoSpacing"/>
        <w:ind w:firstLine="720"/>
        <w:rPr>
          <w:rFonts w:ascii="Aptos" w:hAnsi="Aptos"/>
          <w:sz w:val="25"/>
          <w:szCs w:val="25"/>
        </w:rPr>
      </w:pPr>
      <w:r>
        <w:rPr>
          <w:rFonts w:ascii="Aptos" w:hAnsi="Aptos"/>
          <w:sz w:val="25"/>
          <w:szCs w:val="25"/>
        </w:rPr>
        <w:t xml:space="preserve">Norwood filed its </w:t>
      </w:r>
      <w:r>
        <w:rPr>
          <w:rFonts w:ascii="Aptos" w:hAnsi="Aptos"/>
          <w:i/>
          <w:iCs/>
          <w:sz w:val="25"/>
          <w:szCs w:val="25"/>
        </w:rPr>
        <w:t xml:space="preserve">Response </w:t>
      </w:r>
      <w:r w:rsidR="003111AF">
        <w:rPr>
          <w:rFonts w:ascii="Aptos" w:hAnsi="Aptos"/>
          <w:sz w:val="25"/>
          <w:szCs w:val="25"/>
        </w:rPr>
        <w:t xml:space="preserve">to Foxborough’s </w:t>
      </w:r>
      <w:r w:rsidR="003111AF">
        <w:rPr>
          <w:rFonts w:ascii="Aptos" w:hAnsi="Aptos"/>
          <w:i/>
          <w:iCs/>
          <w:sz w:val="25"/>
          <w:szCs w:val="25"/>
        </w:rPr>
        <w:t>Hearing Request</w:t>
      </w:r>
      <w:r w:rsidR="003111AF">
        <w:rPr>
          <w:rFonts w:ascii="Aptos" w:hAnsi="Aptos"/>
          <w:sz w:val="25"/>
          <w:szCs w:val="25"/>
        </w:rPr>
        <w:t xml:space="preserve"> on July 17, 2025. On July 18, 2025, Foxborough filed an assented-to request to postpone the Hearing to October 6 and 10, 2025, due to a scheduling conflict and to allow sufficient time to prepare for Hearing. This request was allowed for good cause the same day. On July 21, 2025, DESE filed its </w:t>
      </w:r>
      <w:r w:rsidR="003111AF">
        <w:rPr>
          <w:rFonts w:ascii="Aptos" w:hAnsi="Aptos"/>
          <w:i/>
          <w:iCs/>
          <w:sz w:val="25"/>
          <w:szCs w:val="25"/>
        </w:rPr>
        <w:t>Response</w:t>
      </w:r>
      <w:r w:rsidR="003111AF">
        <w:rPr>
          <w:rFonts w:ascii="Aptos" w:hAnsi="Aptos"/>
          <w:sz w:val="25"/>
          <w:szCs w:val="25"/>
        </w:rPr>
        <w:t xml:space="preserve"> to Foxborough’s </w:t>
      </w:r>
      <w:r w:rsidR="003111AF">
        <w:rPr>
          <w:rFonts w:ascii="Aptos" w:hAnsi="Aptos"/>
          <w:i/>
          <w:iCs/>
          <w:sz w:val="25"/>
          <w:szCs w:val="25"/>
        </w:rPr>
        <w:t>Hearing Request</w:t>
      </w:r>
      <w:r w:rsidR="003111AF">
        <w:rPr>
          <w:rFonts w:ascii="Aptos" w:hAnsi="Aptos"/>
          <w:sz w:val="25"/>
          <w:szCs w:val="25"/>
        </w:rPr>
        <w:t xml:space="preserve">. </w:t>
      </w:r>
    </w:p>
    <w:p w14:paraId="198552C3" w14:textId="77777777" w:rsidR="003111AF" w:rsidRDefault="003111AF" w:rsidP="0029431C">
      <w:pPr>
        <w:pStyle w:val="NoSpacing"/>
        <w:ind w:firstLine="720"/>
        <w:rPr>
          <w:rFonts w:ascii="Aptos" w:hAnsi="Aptos"/>
          <w:sz w:val="25"/>
          <w:szCs w:val="25"/>
        </w:rPr>
      </w:pPr>
    </w:p>
    <w:p w14:paraId="5ADA6D55" w14:textId="7AE0C0AE" w:rsidR="003111AF" w:rsidRDefault="003111AF" w:rsidP="0029431C">
      <w:pPr>
        <w:pStyle w:val="NoSpacing"/>
        <w:ind w:firstLine="720"/>
        <w:rPr>
          <w:rFonts w:ascii="Aptos" w:hAnsi="Aptos"/>
          <w:sz w:val="25"/>
          <w:szCs w:val="25"/>
        </w:rPr>
      </w:pPr>
      <w:r>
        <w:rPr>
          <w:rFonts w:ascii="Aptos" w:hAnsi="Aptos"/>
          <w:sz w:val="25"/>
          <w:szCs w:val="25"/>
        </w:rPr>
        <w:t>Pursuant to the parties’ joint request, on August 18, 2025, the undersigned Hearing Officer issued an Order providing that the matter would proceed on written submissions, rather than live testimony, on October 10, 2025.</w:t>
      </w:r>
    </w:p>
    <w:p w14:paraId="6C0FA9FF" w14:textId="77777777" w:rsidR="003111AF" w:rsidRDefault="003111AF" w:rsidP="0029431C">
      <w:pPr>
        <w:pStyle w:val="NoSpacing"/>
        <w:ind w:firstLine="720"/>
        <w:rPr>
          <w:rFonts w:ascii="Aptos" w:hAnsi="Aptos"/>
          <w:sz w:val="25"/>
          <w:szCs w:val="25"/>
        </w:rPr>
      </w:pPr>
    </w:p>
    <w:p w14:paraId="1280DF73" w14:textId="701E9DBF" w:rsidR="003111AF" w:rsidRDefault="003111AF" w:rsidP="0029431C">
      <w:pPr>
        <w:pStyle w:val="NoSpacing"/>
        <w:ind w:firstLine="720"/>
        <w:rPr>
          <w:rFonts w:ascii="Aptos" w:hAnsi="Aptos"/>
          <w:sz w:val="25"/>
          <w:szCs w:val="25"/>
        </w:rPr>
      </w:pPr>
      <w:r>
        <w:rPr>
          <w:rFonts w:ascii="Aptos" w:hAnsi="Aptos"/>
          <w:sz w:val="25"/>
          <w:szCs w:val="25"/>
        </w:rPr>
        <w:t xml:space="preserve">Also on August 18, 2025, the BSEA issued a subpoena </w:t>
      </w:r>
      <w:r>
        <w:rPr>
          <w:rFonts w:ascii="Aptos" w:hAnsi="Aptos"/>
          <w:i/>
          <w:iCs/>
          <w:sz w:val="25"/>
          <w:szCs w:val="25"/>
        </w:rPr>
        <w:t xml:space="preserve">duces tecum </w:t>
      </w:r>
      <w:r>
        <w:rPr>
          <w:rFonts w:ascii="Aptos" w:hAnsi="Aptos"/>
          <w:sz w:val="25"/>
          <w:szCs w:val="25"/>
        </w:rPr>
        <w:t>to the Keeper of Records at DCF, requesting a number of documents related to Student.</w:t>
      </w:r>
      <w:r w:rsidR="007D6CB4">
        <w:rPr>
          <w:rStyle w:val="FootnoteReference"/>
          <w:rFonts w:ascii="Aptos" w:hAnsi="Aptos"/>
          <w:sz w:val="25"/>
          <w:szCs w:val="25"/>
        </w:rPr>
        <w:footnoteReference w:id="4"/>
      </w:r>
      <w:r>
        <w:rPr>
          <w:rFonts w:ascii="Aptos" w:hAnsi="Aptos"/>
          <w:sz w:val="25"/>
          <w:szCs w:val="25"/>
        </w:rPr>
        <w:t xml:space="preserve"> On September 17, 2025, Counsel for DCF filed a Limited Notice of Appearance and its </w:t>
      </w:r>
      <w:r>
        <w:rPr>
          <w:rFonts w:ascii="Aptos" w:hAnsi="Aptos"/>
          <w:i/>
          <w:iCs/>
          <w:sz w:val="25"/>
          <w:szCs w:val="25"/>
        </w:rPr>
        <w:t>Objection to and Petition to Vacate</w:t>
      </w:r>
      <w:r w:rsidR="007D6CB4">
        <w:rPr>
          <w:rFonts w:ascii="Aptos" w:hAnsi="Aptos"/>
          <w:i/>
          <w:iCs/>
          <w:sz w:val="25"/>
          <w:szCs w:val="25"/>
        </w:rPr>
        <w:t xml:space="preserve"> [Foxborough]’s</w:t>
      </w:r>
      <w:r>
        <w:rPr>
          <w:rStyle w:val="FootnoteReference"/>
          <w:rFonts w:ascii="Aptos" w:hAnsi="Aptos"/>
          <w:sz w:val="25"/>
          <w:szCs w:val="25"/>
        </w:rPr>
        <w:footnoteReference w:id="5"/>
      </w:r>
      <w:r w:rsidR="007D6CB4">
        <w:rPr>
          <w:rFonts w:ascii="Aptos" w:hAnsi="Aptos"/>
          <w:i/>
          <w:iCs/>
          <w:sz w:val="25"/>
          <w:szCs w:val="25"/>
        </w:rPr>
        <w:t xml:space="preserve"> Subpoena Duces Tecum</w:t>
      </w:r>
      <w:r w:rsidR="007D6CB4">
        <w:rPr>
          <w:rFonts w:ascii="Aptos" w:hAnsi="Aptos"/>
          <w:sz w:val="25"/>
          <w:szCs w:val="25"/>
        </w:rPr>
        <w:t xml:space="preserve"> (</w:t>
      </w:r>
      <w:r w:rsidR="007D6CB4">
        <w:rPr>
          <w:rFonts w:ascii="Aptos" w:hAnsi="Aptos"/>
          <w:i/>
          <w:iCs/>
          <w:sz w:val="25"/>
          <w:szCs w:val="25"/>
        </w:rPr>
        <w:t>First Objection</w:t>
      </w:r>
      <w:r w:rsidR="007D6CB4">
        <w:rPr>
          <w:rFonts w:ascii="Aptos" w:hAnsi="Aptos"/>
          <w:sz w:val="25"/>
          <w:szCs w:val="25"/>
        </w:rPr>
        <w:t>).</w:t>
      </w:r>
      <w:r w:rsidR="007D6CB4">
        <w:rPr>
          <w:rStyle w:val="FootnoteReference"/>
          <w:rFonts w:ascii="Aptos" w:hAnsi="Aptos"/>
          <w:sz w:val="25"/>
          <w:szCs w:val="25"/>
        </w:rPr>
        <w:footnoteReference w:id="6"/>
      </w:r>
      <w:r w:rsidR="007D6CB4">
        <w:rPr>
          <w:rFonts w:ascii="Aptos" w:hAnsi="Aptos"/>
          <w:sz w:val="25"/>
          <w:szCs w:val="25"/>
        </w:rPr>
        <w:t xml:space="preserve"> </w:t>
      </w:r>
      <w:r w:rsidR="00A608CF">
        <w:rPr>
          <w:rFonts w:ascii="Aptos" w:hAnsi="Aptos"/>
          <w:sz w:val="25"/>
          <w:szCs w:val="25"/>
        </w:rPr>
        <w:t>The Department</w:t>
      </w:r>
      <w:r w:rsidR="007D6CB4">
        <w:rPr>
          <w:rFonts w:ascii="Aptos" w:hAnsi="Aptos"/>
          <w:sz w:val="25"/>
          <w:szCs w:val="25"/>
        </w:rPr>
        <w:t xml:space="preserve"> argued that the request for records: (1)</w:t>
      </w:r>
      <w:r w:rsidR="00A4337F">
        <w:rPr>
          <w:rFonts w:ascii="Aptos" w:hAnsi="Aptos"/>
          <w:sz w:val="25"/>
          <w:szCs w:val="25"/>
        </w:rPr>
        <w:t xml:space="preserve"> does not relate with reasonable directness to any matter in question</w:t>
      </w:r>
      <w:r w:rsidR="00A608CF">
        <w:rPr>
          <w:rFonts w:ascii="Aptos" w:hAnsi="Aptos"/>
          <w:sz w:val="25"/>
          <w:szCs w:val="25"/>
        </w:rPr>
        <w:t>;</w:t>
      </w:r>
      <w:r w:rsidR="00A4337F">
        <w:rPr>
          <w:rFonts w:ascii="Aptos" w:hAnsi="Aptos"/>
          <w:sz w:val="25"/>
          <w:szCs w:val="25"/>
        </w:rPr>
        <w:t xml:space="preserve"> (2) seeks information or documents that are presumptively privileged</w:t>
      </w:r>
      <w:r w:rsidR="00A608CF">
        <w:rPr>
          <w:rFonts w:ascii="Aptos" w:hAnsi="Aptos"/>
          <w:sz w:val="25"/>
          <w:szCs w:val="25"/>
        </w:rPr>
        <w:t>;</w:t>
      </w:r>
      <w:r w:rsidR="00A4337F">
        <w:rPr>
          <w:rFonts w:ascii="Aptos" w:hAnsi="Aptos"/>
          <w:sz w:val="25"/>
          <w:szCs w:val="25"/>
        </w:rPr>
        <w:t xml:space="preserve"> (3) i</w:t>
      </w:r>
      <w:r w:rsidR="00A608CF">
        <w:rPr>
          <w:rFonts w:ascii="Aptos" w:hAnsi="Aptos"/>
          <w:sz w:val="25"/>
          <w:szCs w:val="25"/>
        </w:rPr>
        <w:t>s</w:t>
      </w:r>
      <w:r w:rsidR="00A4337F">
        <w:rPr>
          <w:rFonts w:ascii="Aptos" w:hAnsi="Aptos"/>
          <w:sz w:val="25"/>
          <w:szCs w:val="25"/>
        </w:rPr>
        <w:t xml:space="preserve"> overly broad and not narrowly tailored to</w:t>
      </w:r>
      <w:r w:rsidR="00CF3929">
        <w:rPr>
          <w:rFonts w:ascii="Aptos" w:hAnsi="Aptos"/>
          <w:sz w:val="25"/>
          <w:szCs w:val="25"/>
        </w:rPr>
        <w:t xml:space="preserve"> the</w:t>
      </w:r>
      <w:r w:rsidR="00A4337F">
        <w:rPr>
          <w:rFonts w:ascii="Aptos" w:hAnsi="Aptos"/>
          <w:sz w:val="25"/>
          <w:szCs w:val="25"/>
        </w:rPr>
        <w:t xml:space="preserve"> issue before the BSEA</w:t>
      </w:r>
      <w:r w:rsidR="00A608CF">
        <w:rPr>
          <w:rFonts w:ascii="Aptos" w:hAnsi="Aptos"/>
          <w:sz w:val="25"/>
          <w:szCs w:val="25"/>
        </w:rPr>
        <w:t xml:space="preserve">; </w:t>
      </w:r>
      <w:r w:rsidR="00A4337F">
        <w:rPr>
          <w:rFonts w:ascii="Aptos" w:hAnsi="Aptos"/>
          <w:sz w:val="25"/>
          <w:szCs w:val="25"/>
        </w:rPr>
        <w:t>(4) is unreasonable and oppressive</w:t>
      </w:r>
      <w:r w:rsidR="009A70BE">
        <w:rPr>
          <w:rFonts w:ascii="Aptos" w:hAnsi="Aptos"/>
          <w:sz w:val="25"/>
          <w:szCs w:val="25"/>
        </w:rPr>
        <w:t>;</w:t>
      </w:r>
      <w:r w:rsidR="00A4337F">
        <w:rPr>
          <w:rFonts w:ascii="Aptos" w:hAnsi="Aptos"/>
          <w:sz w:val="25"/>
          <w:szCs w:val="25"/>
        </w:rPr>
        <w:t xml:space="preserve"> and (5) was not issued with</w:t>
      </w:r>
      <w:r w:rsidR="003D6B4B">
        <w:rPr>
          <w:rFonts w:ascii="Aptos" w:hAnsi="Aptos"/>
          <w:sz w:val="25"/>
          <w:szCs w:val="25"/>
        </w:rPr>
        <w:t>in</w:t>
      </w:r>
      <w:r w:rsidR="00A4337F">
        <w:rPr>
          <w:rFonts w:ascii="Aptos" w:hAnsi="Aptos"/>
          <w:sz w:val="25"/>
          <w:szCs w:val="25"/>
        </w:rPr>
        <w:t xml:space="preserve"> a reasonable period of time in advance of when the evidence was requested. Foxborough filed its </w:t>
      </w:r>
      <w:r w:rsidR="00A4337F">
        <w:rPr>
          <w:rFonts w:ascii="Aptos" w:hAnsi="Aptos"/>
          <w:i/>
          <w:iCs/>
          <w:sz w:val="25"/>
          <w:szCs w:val="25"/>
        </w:rPr>
        <w:t>Opposition</w:t>
      </w:r>
      <w:r w:rsidR="00A4337F">
        <w:rPr>
          <w:rFonts w:ascii="Aptos" w:hAnsi="Aptos"/>
          <w:sz w:val="25"/>
          <w:szCs w:val="25"/>
        </w:rPr>
        <w:t xml:space="preserve"> to DCF’s </w:t>
      </w:r>
      <w:r w:rsidR="00A4337F">
        <w:rPr>
          <w:rFonts w:ascii="Aptos" w:hAnsi="Aptos"/>
          <w:i/>
          <w:iCs/>
          <w:sz w:val="25"/>
          <w:szCs w:val="25"/>
        </w:rPr>
        <w:t>First Objection</w:t>
      </w:r>
      <w:r w:rsidR="00A4337F">
        <w:rPr>
          <w:rFonts w:ascii="Aptos" w:hAnsi="Aptos"/>
          <w:sz w:val="25"/>
          <w:szCs w:val="25"/>
        </w:rPr>
        <w:t xml:space="preserve"> on September 19, 2025</w:t>
      </w:r>
      <w:r w:rsidR="009A70BE">
        <w:rPr>
          <w:rFonts w:ascii="Aptos" w:hAnsi="Aptos"/>
          <w:sz w:val="25"/>
          <w:szCs w:val="25"/>
        </w:rPr>
        <w:t xml:space="preserve"> (</w:t>
      </w:r>
      <w:r w:rsidR="009A70BE">
        <w:rPr>
          <w:rFonts w:ascii="Aptos" w:hAnsi="Aptos"/>
          <w:i/>
          <w:iCs/>
          <w:sz w:val="25"/>
          <w:szCs w:val="25"/>
        </w:rPr>
        <w:t>Objection</w:t>
      </w:r>
      <w:r w:rsidR="009A70BE">
        <w:rPr>
          <w:rFonts w:ascii="Aptos" w:hAnsi="Aptos"/>
          <w:sz w:val="25"/>
          <w:szCs w:val="25"/>
        </w:rPr>
        <w:t>)</w:t>
      </w:r>
      <w:r w:rsidR="00A4337F">
        <w:rPr>
          <w:rFonts w:ascii="Aptos" w:hAnsi="Aptos"/>
          <w:sz w:val="25"/>
          <w:szCs w:val="25"/>
        </w:rPr>
        <w:t>.</w:t>
      </w:r>
    </w:p>
    <w:p w14:paraId="56E7701C" w14:textId="77777777" w:rsidR="00A4337F" w:rsidRDefault="00A4337F" w:rsidP="0029431C">
      <w:pPr>
        <w:pStyle w:val="NoSpacing"/>
        <w:ind w:firstLine="720"/>
        <w:rPr>
          <w:rFonts w:ascii="Aptos" w:hAnsi="Aptos"/>
          <w:sz w:val="25"/>
          <w:szCs w:val="25"/>
        </w:rPr>
      </w:pPr>
    </w:p>
    <w:p w14:paraId="23B51683" w14:textId="6E0D61F7" w:rsidR="00A4337F" w:rsidRDefault="00A4337F" w:rsidP="0029431C">
      <w:pPr>
        <w:pStyle w:val="NoSpacing"/>
        <w:ind w:firstLine="720"/>
        <w:rPr>
          <w:rFonts w:ascii="Aptos" w:hAnsi="Aptos"/>
          <w:sz w:val="25"/>
          <w:szCs w:val="25"/>
        </w:rPr>
      </w:pPr>
      <w:r>
        <w:rPr>
          <w:rFonts w:ascii="Aptos" w:hAnsi="Aptos"/>
          <w:sz w:val="25"/>
          <w:szCs w:val="25"/>
        </w:rPr>
        <w:t xml:space="preserve">Following a Conference Call that took place on September 25, 2025 to discuss DCF’s </w:t>
      </w:r>
      <w:r>
        <w:rPr>
          <w:rFonts w:ascii="Aptos" w:hAnsi="Aptos"/>
          <w:i/>
          <w:iCs/>
          <w:sz w:val="25"/>
          <w:szCs w:val="25"/>
        </w:rPr>
        <w:t xml:space="preserve">First Objection </w:t>
      </w:r>
      <w:r>
        <w:rPr>
          <w:rFonts w:ascii="Aptos" w:hAnsi="Aptos"/>
          <w:sz w:val="25"/>
          <w:szCs w:val="25"/>
        </w:rPr>
        <w:t xml:space="preserve">and Foxborough’s </w:t>
      </w:r>
      <w:r>
        <w:rPr>
          <w:rFonts w:ascii="Aptos" w:hAnsi="Aptos"/>
          <w:i/>
          <w:iCs/>
          <w:sz w:val="25"/>
          <w:szCs w:val="25"/>
        </w:rPr>
        <w:t>Opposition</w:t>
      </w:r>
      <w:r>
        <w:rPr>
          <w:rFonts w:ascii="Aptos" w:hAnsi="Aptos"/>
          <w:sz w:val="25"/>
          <w:szCs w:val="25"/>
        </w:rPr>
        <w:t xml:space="preserve">, Foxborough agreed to withdraw its request and </w:t>
      </w:r>
      <w:r w:rsidR="009A70BE">
        <w:rPr>
          <w:rFonts w:ascii="Aptos" w:hAnsi="Aptos"/>
          <w:sz w:val="25"/>
          <w:szCs w:val="25"/>
        </w:rPr>
        <w:t>s</w:t>
      </w:r>
      <w:r w:rsidR="00C24E62">
        <w:rPr>
          <w:rFonts w:ascii="Aptos" w:hAnsi="Aptos"/>
          <w:sz w:val="25"/>
          <w:szCs w:val="25"/>
        </w:rPr>
        <w:t xml:space="preserve">eek a </w:t>
      </w:r>
      <w:r>
        <w:rPr>
          <w:rFonts w:ascii="Aptos" w:hAnsi="Aptos"/>
          <w:sz w:val="25"/>
          <w:szCs w:val="25"/>
        </w:rPr>
        <w:t xml:space="preserve">narrower subpoena </w:t>
      </w:r>
      <w:r>
        <w:rPr>
          <w:rFonts w:ascii="Aptos" w:hAnsi="Aptos"/>
          <w:i/>
          <w:iCs/>
          <w:sz w:val="25"/>
          <w:szCs w:val="25"/>
        </w:rPr>
        <w:t>duces tecum</w:t>
      </w:r>
      <w:r>
        <w:rPr>
          <w:rFonts w:ascii="Aptos" w:hAnsi="Aptos"/>
          <w:sz w:val="25"/>
          <w:szCs w:val="25"/>
        </w:rPr>
        <w:t xml:space="preserve"> </w:t>
      </w:r>
      <w:r w:rsidR="00C24E62">
        <w:rPr>
          <w:rFonts w:ascii="Aptos" w:hAnsi="Aptos"/>
          <w:sz w:val="25"/>
          <w:szCs w:val="25"/>
        </w:rPr>
        <w:t>for DCF records</w:t>
      </w:r>
      <w:r>
        <w:rPr>
          <w:rFonts w:ascii="Aptos" w:hAnsi="Aptos"/>
          <w:sz w:val="25"/>
          <w:szCs w:val="25"/>
        </w:rPr>
        <w:t xml:space="preserve">. Also on September 25, 2025, the parties jointly requested that the due date for final written </w:t>
      </w:r>
      <w:r>
        <w:rPr>
          <w:rFonts w:ascii="Aptos" w:hAnsi="Aptos"/>
          <w:sz w:val="25"/>
          <w:szCs w:val="25"/>
        </w:rPr>
        <w:lastRenderedPageBreak/>
        <w:t xml:space="preserve">submissions/arguments be extended to November 18, 2025, with oral arguments on November 19, 2025, to permit Foxborough to complete its review of records </w:t>
      </w:r>
      <w:r w:rsidR="007E3182">
        <w:rPr>
          <w:rFonts w:ascii="Aptos" w:hAnsi="Aptos"/>
          <w:sz w:val="25"/>
          <w:szCs w:val="25"/>
        </w:rPr>
        <w:t>the District</w:t>
      </w:r>
      <w:r>
        <w:rPr>
          <w:rFonts w:ascii="Aptos" w:hAnsi="Aptos"/>
          <w:sz w:val="25"/>
          <w:szCs w:val="25"/>
        </w:rPr>
        <w:t xml:space="preserve"> had obtained. This request was allowed for good cause on September 26, 2025.</w:t>
      </w:r>
    </w:p>
    <w:p w14:paraId="071A2EB8" w14:textId="77777777" w:rsidR="00A4337F" w:rsidRDefault="00A4337F" w:rsidP="0029431C">
      <w:pPr>
        <w:pStyle w:val="NoSpacing"/>
        <w:ind w:firstLine="720"/>
        <w:rPr>
          <w:rFonts w:ascii="Aptos" w:hAnsi="Aptos"/>
          <w:sz w:val="25"/>
          <w:szCs w:val="25"/>
        </w:rPr>
      </w:pPr>
    </w:p>
    <w:p w14:paraId="2E3AD519" w14:textId="38F0A1F0" w:rsidR="00A4337F" w:rsidRDefault="00A4337F" w:rsidP="0029431C">
      <w:pPr>
        <w:pStyle w:val="NoSpacing"/>
        <w:ind w:firstLine="720"/>
        <w:rPr>
          <w:rFonts w:ascii="Aptos" w:hAnsi="Aptos"/>
          <w:sz w:val="25"/>
          <w:szCs w:val="25"/>
        </w:rPr>
      </w:pPr>
      <w:r>
        <w:rPr>
          <w:rFonts w:ascii="Aptos" w:hAnsi="Aptos"/>
          <w:sz w:val="25"/>
          <w:szCs w:val="25"/>
        </w:rPr>
        <w:t xml:space="preserve">On October 15, 2025, Foxborough </w:t>
      </w:r>
      <w:r w:rsidR="00C24E62">
        <w:rPr>
          <w:rFonts w:ascii="Aptos" w:hAnsi="Aptos"/>
          <w:sz w:val="25"/>
          <w:szCs w:val="25"/>
        </w:rPr>
        <w:t xml:space="preserve">requested that the BSEA issue a subpoena </w:t>
      </w:r>
      <w:r w:rsidR="00C24E62">
        <w:rPr>
          <w:rFonts w:ascii="Aptos" w:hAnsi="Aptos"/>
          <w:i/>
          <w:iCs/>
          <w:sz w:val="25"/>
          <w:szCs w:val="25"/>
        </w:rPr>
        <w:t xml:space="preserve">duces tecum </w:t>
      </w:r>
      <w:r w:rsidR="00C24E62">
        <w:rPr>
          <w:rFonts w:ascii="Aptos" w:hAnsi="Aptos"/>
          <w:sz w:val="25"/>
          <w:szCs w:val="25"/>
        </w:rPr>
        <w:t>to DCF seeking:</w:t>
      </w:r>
    </w:p>
    <w:p w14:paraId="06C610B2" w14:textId="77777777" w:rsidR="00C24E62" w:rsidRDefault="00C24E62" w:rsidP="0029431C">
      <w:pPr>
        <w:pStyle w:val="NoSpacing"/>
        <w:ind w:firstLine="720"/>
        <w:rPr>
          <w:rFonts w:ascii="Aptos" w:hAnsi="Aptos"/>
          <w:sz w:val="25"/>
          <w:szCs w:val="25"/>
        </w:rPr>
      </w:pPr>
    </w:p>
    <w:p w14:paraId="4DE9B01E" w14:textId="15451C96" w:rsidR="00C24E62" w:rsidRDefault="00C24E62" w:rsidP="00C24E62">
      <w:pPr>
        <w:pStyle w:val="NoSpacing"/>
        <w:numPr>
          <w:ilvl w:val="0"/>
          <w:numId w:val="15"/>
        </w:numPr>
        <w:rPr>
          <w:rFonts w:ascii="Aptos" w:hAnsi="Aptos"/>
          <w:sz w:val="25"/>
          <w:szCs w:val="25"/>
        </w:rPr>
      </w:pPr>
      <w:r>
        <w:rPr>
          <w:rFonts w:ascii="Aptos" w:hAnsi="Aptos"/>
          <w:sz w:val="25"/>
          <w:szCs w:val="25"/>
        </w:rPr>
        <w:t>Complete copies of all correspondence, which shall include but not be limited to all mail, electronic mail (including attachments), and/or text messages, from an</w:t>
      </w:r>
      <w:r w:rsidR="007E3182">
        <w:rPr>
          <w:rFonts w:ascii="Aptos" w:hAnsi="Aptos"/>
          <w:sz w:val="25"/>
          <w:szCs w:val="25"/>
        </w:rPr>
        <w:t>y</w:t>
      </w:r>
      <w:r>
        <w:rPr>
          <w:rFonts w:ascii="Aptos" w:hAnsi="Aptos"/>
          <w:sz w:val="25"/>
          <w:szCs w:val="25"/>
        </w:rPr>
        <w:t xml:space="preserve"> individual employed by the Department of Children and Families and any individual employed by the Massachusetts Department of Elementary and Secondary Education from January 1, 2025, through present regarding [Student] and her living situation at [Hotel</w:t>
      </w:r>
      <w:r w:rsidR="007E3182">
        <w:rPr>
          <w:rFonts w:ascii="Aptos" w:hAnsi="Aptos"/>
          <w:sz w:val="25"/>
          <w:szCs w:val="25"/>
        </w:rPr>
        <w:t>]</w:t>
      </w:r>
      <w:r>
        <w:rPr>
          <w:rFonts w:ascii="Aptos" w:hAnsi="Aptos"/>
          <w:sz w:val="25"/>
          <w:szCs w:val="25"/>
        </w:rPr>
        <w:t>, located at [redacted address]. Said correspondence shall include, but not be limited to, correspondence which described the financial rental arrangements and physical attributes of the room the Student is staying in at [Hotel], located at [redacted address], including descriptions of rooms, furnishings, and amenities.</w:t>
      </w:r>
    </w:p>
    <w:p w14:paraId="342B44C5" w14:textId="440279BC" w:rsidR="00C24E62" w:rsidRDefault="00C24E62" w:rsidP="00C24E62">
      <w:pPr>
        <w:pStyle w:val="NoSpacing"/>
        <w:numPr>
          <w:ilvl w:val="0"/>
          <w:numId w:val="15"/>
        </w:numPr>
        <w:rPr>
          <w:rFonts w:ascii="Aptos" w:hAnsi="Aptos"/>
          <w:sz w:val="25"/>
          <w:szCs w:val="25"/>
        </w:rPr>
      </w:pPr>
      <w:r>
        <w:rPr>
          <w:rFonts w:ascii="Aptos" w:hAnsi="Aptos"/>
          <w:sz w:val="25"/>
          <w:szCs w:val="25"/>
        </w:rPr>
        <w:t>Any and all documents within DCF’s possession, custody and control relating to the financial rental arrangements and physical attributes of the room the student is staying in at [Hotel], located at [redacted address].</w:t>
      </w:r>
    </w:p>
    <w:p w14:paraId="23846246" w14:textId="77777777" w:rsidR="00C24E62" w:rsidRDefault="00C24E62" w:rsidP="00C24E62">
      <w:pPr>
        <w:pStyle w:val="NoSpacing"/>
        <w:rPr>
          <w:rFonts w:ascii="Aptos" w:hAnsi="Aptos"/>
          <w:sz w:val="25"/>
          <w:szCs w:val="25"/>
        </w:rPr>
      </w:pPr>
    </w:p>
    <w:p w14:paraId="2293A61C" w14:textId="3CCC89A9" w:rsidR="00C24E62" w:rsidRDefault="00C24E62" w:rsidP="00C24E62">
      <w:pPr>
        <w:pStyle w:val="NoSpacing"/>
        <w:ind w:left="720"/>
        <w:rPr>
          <w:rFonts w:ascii="Aptos" w:hAnsi="Aptos"/>
          <w:sz w:val="25"/>
          <w:szCs w:val="25"/>
        </w:rPr>
      </w:pPr>
      <w:r>
        <w:rPr>
          <w:rFonts w:ascii="Aptos" w:hAnsi="Aptos"/>
          <w:sz w:val="25"/>
          <w:szCs w:val="25"/>
        </w:rPr>
        <w:t>The BSEA issued the subpoena on October 16, 2025.</w:t>
      </w:r>
    </w:p>
    <w:p w14:paraId="178F9746" w14:textId="56CCACE1" w:rsidR="00C24E62" w:rsidRDefault="00C24E62" w:rsidP="00C24E62">
      <w:pPr>
        <w:pStyle w:val="NoSpacing"/>
        <w:rPr>
          <w:rFonts w:ascii="Aptos" w:hAnsi="Aptos"/>
          <w:sz w:val="25"/>
          <w:szCs w:val="25"/>
        </w:rPr>
      </w:pPr>
      <w:r>
        <w:rPr>
          <w:rFonts w:ascii="Aptos" w:hAnsi="Aptos"/>
          <w:sz w:val="25"/>
          <w:szCs w:val="25"/>
        </w:rPr>
        <w:tab/>
      </w:r>
    </w:p>
    <w:p w14:paraId="672DA323" w14:textId="76BAE31F" w:rsidR="007B48B6" w:rsidRPr="009A70BE" w:rsidRDefault="00C24E62" w:rsidP="00C24E62">
      <w:pPr>
        <w:pStyle w:val="NoSpacing"/>
        <w:rPr>
          <w:rFonts w:ascii="Aptos" w:hAnsi="Aptos"/>
          <w:sz w:val="25"/>
          <w:szCs w:val="25"/>
        </w:rPr>
      </w:pPr>
      <w:r w:rsidRPr="009A70BE">
        <w:rPr>
          <w:rFonts w:ascii="Aptos" w:hAnsi="Aptos"/>
          <w:sz w:val="25"/>
          <w:szCs w:val="25"/>
        </w:rPr>
        <w:tab/>
        <w:t xml:space="preserve">On October 24, 2025, DCF filed the instant </w:t>
      </w:r>
      <w:r w:rsidRPr="009A70BE">
        <w:rPr>
          <w:rFonts w:ascii="Aptos" w:hAnsi="Aptos"/>
          <w:i/>
          <w:iCs/>
          <w:sz w:val="25"/>
          <w:szCs w:val="25"/>
        </w:rPr>
        <w:t>Objection</w:t>
      </w:r>
      <w:r w:rsidR="003A1D3F" w:rsidRPr="009A70BE">
        <w:rPr>
          <w:rFonts w:ascii="Aptos" w:hAnsi="Aptos"/>
          <w:sz w:val="25"/>
          <w:szCs w:val="25"/>
        </w:rPr>
        <w:t xml:space="preserve">. </w:t>
      </w:r>
      <w:r w:rsidR="009A70BE" w:rsidRPr="009A70BE">
        <w:rPr>
          <w:rFonts w:ascii="Aptos" w:hAnsi="Aptos"/>
          <w:sz w:val="25"/>
          <w:szCs w:val="25"/>
        </w:rPr>
        <w:t>The Department</w:t>
      </w:r>
      <w:r w:rsidR="003A1D3F" w:rsidRPr="009A70BE">
        <w:rPr>
          <w:rFonts w:ascii="Aptos" w:hAnsi="Aptos"/>
          <w:sz w:val="25"/>
          <w:szCs w:val="25"/>
        </w:rPr>
        <w:t xml:space="preserve"> cites M.G.L. c. 119</w:t>
      </w:r>
      <w:r w:rsidR="009A70BE" w:rsidRPr="009A70BE">
        <w:rPr>
          <w:rFonts w:ascii="Aptos" w:hAnsi="Aptos"/>
          <w:sz w:val="25"/>
          <w:szCs w:val="25"/>
        </w:rPr>
        <w:t>,</w:t>
      </w:r>
      <w:r w:rsidR="009A70BE" w:rsidRPr="009A70BE">
        <w:rPr>
          <w:rFonts w:ascii="Aptos" w:hAnsi="Aptos" w:cs="Times New Roman"/>
          <w:color w:val="000000" w:themeColor="text1"/>
          <w:sz w:val="25"/>
          <w:szCs w:val="25"/>
        </w:rPr>
        <w:t xml:space="preserve"> §</w:t>
      </w:r>
      <w:r w:rsidR="00AD3DA3">
        <w:rPr>
          <w:rFonts w:ascii="Aptos" w:hAnsi="Aptos" w:cs="Times New Roman"/>
          <w:color w:val="000000" w:themeColor="text1"/>
          <w:sz w:val="25"/>
          <w:szCs w:val="25"/>
        </w:rPr>
        <w:t xml:space="preserve"> </w:t>
      </w:r>
      <w:r w:rsidR="003A1D3F" w:rsidRPr="009A70BE">
        <w:rPr>
          <w:rFonts w:ascii="Aptos" w:hAnsi="Aptos"/>
          <w:sz w:val="25"/>
          <w:szCs w:val="25"/>
        </w:rPr>
        <w:t xml:space="preserve">51E and </w:t>
      </w:r>
      <w:r w:rsidR="009A70BE" w:rsidRPr="009A70BE">
        <w:rPr>
          <w:rFonts w:ascii="Aptos" w:hAnsi="Aptos"/>
          <w:sz w:val="25"/>
          <w:szCs w:val="25"/>
        </w:rPr>
        <w:t xml:space="preserve">M. </w:t>
      </w:r>
      <w:r w:rsidR="003A1D3F" w:rsidRPr="009A70BE">
        <w:rPr>
          <w:rFonts w:ascii="Aptos" w:hAnsi="Aptos"/>
          <w:sz w:val="25"/>
          <w:szCs w:val="25"/>
        </w:rPr>
        <w:t>G.L. c. 112,</w:t>
      </w:r>
      <w:r w:rsidR="009A70BE" w:rsidRPr="009A70BE">
        <w:rPr>
          <w:rFonts w:ascii="Aptos" w:hAnsi="Aptos" w:cs="Times New Roman"/>
          <w:color w:val="000000" w:themeColor="text1"/>
          <w:sz w:val="25"/>
          <w:szCs w:val="25"/>
        </w:rPr>
        <w:t xml:space="preserve"> §</w:t>
      </w:r>
      <w:r w:rsidR="00AD3DA3">
        <w:rPr>
          <w:rFonts w:ascii="Aptos" w:hAnsi="Aptos" w:cs="Times New Roman"/>
          <w:color w:val="000000" w:themeColor="text1"/>
          <w:sz w:val="25"/>
          <w:szCs w:val="25"/>
        </w:rPr>
        <w:t xml:space="preserve"> 1</w:t>
      </w:r>
      <w:r w:rsidR="003A1D3F" w:rsidRPr="009A70BE">
        <w:rPr>
          <w:rFonts w:ascii="Aptos" w:hAnsi="Aptos"/>
          <w:sz w:val="25"/>
          <w:szCs w:val="25"/>
        </w:rPr>
        <w:t>35A</w:t>
      </w:r>
      <w:r w:rsidR="007E3182">
        <w:rPr>
          <w:rFonts w:ascii="Aptos" w:hAnsi="Aptos"/>
          <w:sz w:val="25"/>
          <w:szCs w:val="25"/>
        </w:rPr>
        <w:t xml:space="preserve"> and</w:t>
      </w:r>
      <w:r w:rsidR="003A1D3F" w:rsidRPr="009A70BE">
        <w:rPr>
          <w:rFonts w:ascii="Aptos" w:hAnsi="Aptos"/>
          <w:sz w:val="25"/>
          <w:szCs w:val="25"/>
        </w:rPr>
        <w:t xml:space="preserve"> argues, further, that the BSEA lacks the authority to issue an Order compelling the agency to comply with the subpoena, “as that authority is expressly reserved for a judge of the Superior Court.”</w:t>
      </w:r>
      <w:r w:rsidR="003A1D3F" w:rsidRPr="009A70BE">
        <w:rPr>
          <w:rStyle w:val="FootnoteReference"/>
          <w:rFonts w:ascii="Aptos" w:hAnsi="Aptos"/>
          <w:sz w:val="25"/>
          <w:szCs w:val="25"/>
        </w:rPr>
        <w:footnoteReference w:id="7"/>
      </w:r>
    </w:p>
    <w:p w14:paraId="740BAE40" w14:textId="77777777" w:rsidR="007B48B6" w:rsidRDefault="007B48B6" w:rsidP="00C24E62">
      <w:pPr>
        <w:pStyle w:val="NoSpacing"/>
        <w:rPr>
          <w:rFonts w:ascii="Aptos" w:hAnsi="Aptos"/>
          <w:sz w:val="25"/>
          <w:szCs w:val="25"/>
        </w:rPr>
      </w:pPr>
    </w:p>
    <w:p w14:paraId="7B4B2C89" w14:textId="22DB56E3" w:rsidR="00C24E62" w:rsidRPr="009A70BE" w:rsidRDefault="00C24E62" w:rsidP="007B48B6">
      <w:pPr>
        <w:pStyle w:val="NoSpacing"/>
        <w:ind w:firstLine="720"/>
        <w:rPr>
          <w:rFonts w:ascii="Aptos" w:hAnsi="Aptos"/>
          <w:sz w:val="25"/>
          <w:szCs w:val="25"/>
        </w:rPr>
      </w:pPr>
      <w:r>
        <w:rPr>
          <w:rFonts w:ascii="Aptos" w:hAnsi="Aptos"/>
          <w:sz w:val="25"/>
          <w:szCs w:val="25"/>
        </w:rPr>
        <w:t>Foxborough did not file a response</w:t>
      </w:r>
      <w:r w:rsidR="009A70BE">
        <w:rPr>
          <w:rFonts w:ascii="Aptos" w:hAnsi="Aptos"/>
          <w:sz w:val="25"/>
          <w:szCs w:val="25"/>
        </w:rPr>
        <w:t xml:space="preserve"> to the </w:t>
      </w:r>
      <w:r w:rsidR="009A70BE">
        <w:rPr>
          <w:rFonts w:ascii="Aptos" w:hAnsi="Aptos"/>
          <w:i/>
          <w:iCs/>
          <w:sz w:val="25"/>
          <w:szCs w:val="25"/>
        </w:rPr>
        <w:t>Objection</w:t>
      </w:r>
      <w:r>
        <w:rPr>
          <w:rFonts w:ascii="Aptos" w:hAnsi="Aptos"/>
          <w:sz w:val="25"/>
          <w:szCs w:val="25"/>
        </w:rPr>
        <w:t>.</w:t>
      </w:r>
      <w:r w:rsidR="009A70BE">
        <w:rPr>
          <w:rFonts w:ascii="Aptos" w:hAnsi="Aptos"/>
          <w:sz w:val="25"/>
          <w:szCs w:val="25"/>
        </w:rPr>
        <w:t xml:space="preserve"> In its initial </w:t>
      </w:r>
      <w:r w:rsidR="009A70BE">
        <w:rPr>
          <w:rFonts w:ascii="Aptos" w:hAnsi="Aptos"/>
          <w:i/>
          <w:iCs/>
          <w:sz w:val="25"/>
          <w:szCs w:val="25"/>
        </w:rPr>
        <w:t>Opposition</w:t>
      </w:r>
      <w:r w:rsidR="009A70BE">
        <w:rPr>
          <w:rFonts w:ascii="Aptos" w:hAnsi="Aptos"/>
          <w:sz w:val="25"/>
          <w:szCs w:val="25"/>
        </w:rPr>
        <w:t>, Foxborough a</w:t>
      </w:r>
      <w:r w:rsidR="007E3182">
        <w:rPr>
          <w:rFonts w:ascii="Aptos" w:hAnsi="Aptos"/>
          <w:sz w:val="25"/>
          <w:szCs w:val="25"/>
        </w:rPr>
        <w:t xml:space="preserve">sserted that the information the District had requested by way of the subpoena </w:t>
      </w:r>
      <w:r w:rsidR="007E3182">
        <w:rPr>
          <w:rFonts w:ascii="Aptos" w:hAnsi="Aptos"/>
          <w:i/>
          <w:iCs/>
          <w:sz w:val="25"/>
          <w:szCs w:val="25"/>
        </w:rPr>
        <w:t xml:space="preserve">duces tecum </w:t>
      </w:r>
      <w:r w:rsidR="009A70BE">
        <w:rPr>
          <w:rFonts w:ascii="Aptos" w:hAnsi="Aptos"/>
          <w:sz w:val="25"/>
          <w:szCs w:val="25"/>
        </w:rPr>
        <w:t>related directly to a matter in question. According to Foxborough</w:t>
      </w:r>
      <w:r w:rsidR="005F08B0">
        <w:rPr>
          <w:rFonts w:ascii="Aptos" w:hAnsi="Aptos"/>
          <w:sz w:val="25"/>
          <w:szCs w:val="25"/>
        </w:rPr>
        <w:t>,</w:t>
      </w:r>
      <w:r w:rsidR="009A70BE">
        <w:rPr>
          <w:rFonts w:ascii="Aptos" w:hAnsi="Aptos"/>
          <w:sz w:val="25"/>
          <w:szCs w:val="25"/>
        </w:rPr>
        <w:t xml:space="preserve"> DESE</w:t>
      </w:r>
      <w:r w:rsidR="007E3182">
        <w:rPr>
          <w:rFonts w:ascii="Aptos" w:hAnsi="Aptos"/>
          <w:sz w:val="25"/>
          <w:szCs w:val="25"/>
        </w:rPr>
        <w:t xml:space="preserve"> had</w:t>
      </w:r>
      <w:r w:rsidR="009A70BE">
        <w:rPr>
          <w:rFonts w:ascii="Aptos" w:hAnsi="Aptos"/>
          <w:sz w:val="25"/>
          <w:szCs w:val="25"/>
        </w:rPr>
        <w:t xml:space="preserve"> indicated in its Assignment of School District Responsibility that in determining</w:t>
      </w:r>
      <w:r w:rsidR="005F08B0">
        <w:rPr>
          <w:rFonts w:ascii="Aptos" w:hAnsi="Aptos"/>
          <w:sz w:val="25"/>
          <w:szCs w:val="25"/>
        </w:rPr>
        <w:t xml:space="preserve"> that Student was not homeless,</w:t>
      </w:r>
      <w:r w:rsidR="009A70BE">
        <w:rPr>
          <w:rFonts w:ascii="Aptos" w:hAnsi="Aptos"/>
          <w:sz w:val="25"/>
          <w:szCs w:val="25"/>
        </w:rPr>
        <w:t xml:space="preserve"> it had reviewed information provided by Student’s former DCF caseworker regarding the space in which </w:t>
      </w:r>
      <w:r w:rsidR="007E3182">
        <w:rPr>
          <w:rFonts w:ascii="Aptos" w:hAnsi="Aptos"/>
          <w:sz w:val="25"/>
          <w:szCs w:val="25"/>
        </w:rPr>
        <w:t>Student</w:t>
      </w:r>
      <w:r w:rsidR="009A70BE">
        <w:rPr>
          <w:rFonts w:ascii="Aptos" w:hAnsi="Aptos"/>
          <w:sz w:val="25"/>
          <w:szCs w:val="25"/>
        </w:rPr>
        <w:t xml:space="preserve"> lived with </w:t>
      </w:r>
      <w:r w:rsidR="007E3182">
        <w:rPr>
          <w:rFonts w:ascii="Aptos" w:hAnsi="Aptos"/>
          <w:sz w:val="25"/>
          <w:szCs w:val="25"/>
        </w:rPr>
        <w:t>Parent</w:t>
      </w:r>
      <w:r w:rsidR="005F08B0">
        <w:rPr>
          <w:rFonts w:ascii="Aptos" w:hAnsi="Aptos"/>
          <w:sz w:val="25"/>
          <w:szCs w:val="25"/>
        </w:rPr>
        <w:t>.</w:t>
      </w:r>
    </w:p>
    <w:p w14:paraId="36A076D6" w14:textId="77777777" w:rsidR="00796BCE" w:rsidRPr="00365C93" w:rsidRDefault="00796BCE" w:rsidP="00F661D1">
      <w:pPr>
        <w:pStyle w:val="NoSpacing"/>
        <w:rPr>
          <w:rFonts w:ascii="Aptos" w:hAnsi="Aptos" w:cs="Times New Roman"/>
          <w:sz w:val="25"/>
          <w:szCs w:val="25"/>
          <w:u w:val="single"/>
        </w:rPr>
      </w:pPr>
    </w:p>
    <w:p w14:paraId="354996DD" w14:textId="77777777" w:rsidR="00F661D1" w:rsidRDefault="00F661D1" w:rsidP="00F661D1">
      <w:pPr>
        <w:pStyle w:val="NoSpacing"/>
        <w:rPr>
          <w:rFonts w:ascii="Aptos" w:hAnsi="Aptos" w:cs="Times New Roman"/>
          <w:sz w:val="25"/>
          <w:szCs w:val="25"/>
          <w:u w:val="single"/>
        </w:rPr>
      </w:pPr>
      <w:r w:rsidRPr="00365C93">
        <w:rPr>
          <w:rFonts w:ascii="Aptos" w:hAnsi="Aptos" w:cs="Times New Roman"/>
          <w:sz w:val="25"/>
          <w:szCs w:val="25"/>
          <w:u w:val="single"/>
        </w:rPr>
        <w:lastRenderedPageBreak/>
        <w:t>DISCUSSION</w:t>
      </w:r>
    </w:p>
    <w:p w14:paraId="13963B84" w14:textId="77777777" w:rsidR="001E66D6" w:rsidRDefault="001E66D6" w:rsidP="00F661D1">
      <w:pPr>
        <w:pStyle w:val="NoSpacing"/>
        <w:rPr>
          <w:rFonts w:ascii="Aptos" w:hAnsi="Aptos" w:cs="Times New Roman"/>
          <w:sz w:val="25"/>
          <w:szCs w:val="25"/>
        </w:rPr>
      </w:pPr>
    </w:p>
    <w:p w14:paraId="7612EA70" w14:textId="1036B414" w:rsidR="001E66D6" w:rsidRPr="006526A3" w:rsidRDefault="001E66D6" w:rsidP="006526A3">
      <w:pPr>
        <w:pStyle w:val="NoSpacing"/>
        <w:numPr>
          <w:ilvl w:val="0"/>
          <w:numId w:val="8"/>
        </w:numPr>
        <w:rPr>
          <w:rFonts w:ascii="Aptos" w:hAnsi="Aptos" w:cs="Times New Roman"/>
          <w:sz w:val="25"/>
          <w:szCs w:val="25"/>
        </w:rPr>
      </w:pPr>
      <w:r w:rsidRPr="001C2AA5">
        <w:rPr>
          <w:rFonts w:ascii="Aptos" w:hAnsi="Aptos" w:cs="Times New Roman"/>
          <w:i/>
          <w:iCs/>
          <w:sz w:val="25"/>
          <w:szCs w:val="25"/>
        </w:rPr>
        <w:t xml:space="preserve">Legal Standards </w:t>
      </w:r>
      <w:r w:rsidR="006526A3">
        <w:rPr>
          <w:rFonts w:ascii="Aptos" w:hAnsi="Aptos" w:cs="Times New Roman"/>
          <w:i/>
          <w:iCs/>
          <w:sz w:val="25"/>
          <w:szCs w:val="25"/>
        </w:rPr>
        <w:t>for Motions to Quash</w:t>
      </w:r>
    </w:p>
    <w:p w14:paraId="4EB8BC94" w14:textId="77777777" w:rsidR="001E66D6" w:rsidRDefault="001E66D6" w:rsidP="001E66D6">
      <w:pPr>
        <w:pStyle w:val="NoSpacing"/>
        <w:rPr>
          <w:rFonts w:ascii="Aptos" w:hAnsi="Aptos" w:cs="Times New Roman"/>
          <w:sz w:val="25"/>
          <w:szCs w:val="25"/>
        </w:rPr>
      </w:pPr>
    </w:p>
    <w:p w14:paraId="4AA34A61" w14:textId="583C4D72" w:rsidR="007B48B6" w:rsidRPr="003A1D3F" w:rsidRDefault="00C21FE3" w:rsidP="007E3182">
      <w:pPr>
        <w:pStyle w:val="NoSpacing"/>
        <w:ind w:firstLine="720"/>
        <w:rPr>
          <w:rFonts w:ascii="Aptos" w:hAnsi="Aptos" w:cs="Times New Roman"/>
          <w:sz w:val="25"/>
          <w:szCs w:val="25"/>
        </w:rPr>
      </w:pPr>
      <w:r>
        <w:rPr>
          <w:rFonts w:ascii="Aptos" w:hAnsi="Aptos" w:cs="Times New Roman"/>
          <w:sz w:val="25"/>
          <w:szCs w:val="25"/>
        </w:rPr>
        <w:t xml:space="preserve">The issuance of subpoenas in BSEA hearings is governed by </w:t>
      </w:r>
      <w:r w:rsidR="001103AE">
        <w:rPr>
          <w:rFonts w:ascii="Aptos" w:hAnsi="Aptos" w:cs="Times New Roman"/>
          <w:sz w:val="25"/>
          <w:szCs w:val="25"/>
        </w:rPr>
        <w:t xml:space="preserve">BSEA </w:t>
      </w:r>
      <w:r w:rsidR="001103AE">
        <w:rPr>
          <w:rFonts w:ascii="Aptos" w:hAnsi="Aptos" w:cs="Times New Roman"/>
          <w:i/>
          <w:iCs/>
          <w:sz w:val="25"/>
          <w:szCs w:val="25"/>
        </w:rPr>
        <w:t>Hearing Rule</w:t>
      </w:r>
      <w:r w:rsidR="007E3182">
        <w:rPr>
          <w:rFonts w:ascii="Aptos" w:hAnsi="Aptos" w:cs="Times New Roman"/>
          <w:i/>
          <w:iCs/>
          <w:sz w:val="25"/>
          <w:szCs w:val="25"/>
        </w:rPr>
        <w:t xml:space="preserve"> </w:t>
      </w:r>
      <w:r w:rsidR="007E3182">
        <w:rPr>
          <w:rFonts w:ascii="Aptos" w:hAnsi="Aptos" w:cs="Times New Roman"/>
          <w:sz w:val="25"/>
          <w:szCs w:val="25"/>
        </w:rPr>
        <w:t>V</w:t>
      </w:r>
      <w:r w:rsidR="00CF3929">
        <w:rPr>
          <w:rFonts w:ascii="Aptos" w:hAnsi="Aptos" w:cs="Times New Roman"/>
          <w:sz w:val="25"/>
          <w:szCs w:val="25"/>
        </w:rPr>
        <w:t>I</w:t>
      </w:r>
      <w:r w:rsidR="007E3182">
        <w:rPr>
          <w:rFonts w:ascii="Aptos" w:hAnsi="Aptos" w:cs="Times New Roman"/>
          <w:sz w:val="25"/>
          <w:szCs w:val="25"/>
        </w:rPr>
        <w:t>I</w:t>
      </w:r>
      <w:r w:rsidR="001103AE">
        <w:rPr>
          <w:rFonts w:ascii="Aptos" w:hAnsi="Aptos" w:cs="Times New Roman"/>
          <w:sz w:val="25"/>
          <w:szCs w:val="25"/>
        </w:rPr>
        <w:t xml:space="preserve">. Pursuant to BSEA </w:t>
      </w:r>
      <w:r w:rsidR="001103AE">
        <w:rPr>
          <w:rFonts w:ascii="Aptos" w:hAnsi="Aptos" w:cs="Times New Roman"/>
          <w:i/>
          <w:iCs/>
          <w:sz w:val="25"/>
          <w:szCs w:val="25"/>
        </w:rPr>
        <w:t xml:space="preserve">Hearing Rule </w:t>
      </w:r>
      <w:r w:rsidR="001103AE">
        <w:rPr>
          <w:rFonts w:ascii="Aptos" w:hAnsi="Aptos" w:cs="Times New Roman"/>
          <w:sz w:val="25"/>
          <w:szCs w:val="25"/>
        </w:rPr>
        <w:t xml:space="preserve">VII(B), a party may serve a subpoena </w:t>
      </w:r>
      <w:r w:rsidR="001103AE">
        <w:rPr>
          <w:rFonts w:ascii="Aptos" w:hAnsi="Aptos" w:cs="Times New Roman"/>
          <w:i/>
          <w:iCs/>
          <w:sz w:val="25"/>
          <w:szCs w:val="25"/>
        </w:rPr>
        <w:t>duces tecum</w:t>
      </w:r>
      <w:r w:rsidR="001103AE">
        <w:rPr>
          <w:rFonts w:ascii="Aptos" w:hAnsi="Aptos" w:cs="Times New Roman"/>
          <w:sz w:val="25"/>
          <w:szCs w:val="25"/>
        </w:rPr>
        <w:t xml:space="preserve"> on a nonparty, requesting that documents be delivered to the office of the party requesting the documents prior to the hearing. BSEA </w:t>
      </w:r>
      <w:r w:rsidR="001103AE">
        <w:rPr>
          <w:rFonts w:ascii="Aptos" w:hAnsi="Aptos" w:cs="Times New Roman"/>
          <w:i/>
          <w:iCs/>
          <w:sz w:val="25"/>
          <w:szCs w:val="25"/>
        </w:rPr>
        <w:t xml:space="preserve">Hearing Rule </w:t>
      </w:r>
      <w:r w:rsidR="001103AE">
        <w:rPr>
          <w:rFonts w:ascii="Aptos" w:hAnsi="Aptos" w:cs="Times New Roman"/>
          <w:sz w:val="25"/>
          <w:szCs w:val="25"/>
        </w:rPr>
        <w:t>VII (C) permits a person receiving a subpoena to request that the Hearing Officer vacate or modify the subpoena.</w:t>
      </w:r>
      <w:r w:rsidR="007B48B6">
        <w:rPr>
          <w:rStyle w:val="FootnoteReference"/>
          <w:rFonts w:ascii="Aptos" w:hAnsi="Aptos" w:cs="Times New Roman"/>
          <w:sz w:val="25"/>
          <w:szCs w:val="25"/>
        </w:rPr>
        <w:footnoteReference w:id="8"/>
      </w:r>
      <w:r w:rsidR="003A1D3F">
        <w:rPr>
          <w:rFonts w:ascii="Aptos" w:hAnsi="Aptos" w:cs="Times New Roman"/>
          <w:sz w:val="25"/>
          <w:szCs w:val="25"/>
        </w:rPr>
        <w:t xml:space="preserve"> </w:t>
      </w:r>
      <w:r w:rsidR="007B48B6">
        <w:rPr>
          <w:rFonts w:ascii="Aptos" w:hAnsi="Aptos" w:cs="Times New Roman"/>
          <w:sz w:val="25"/>
          <w:szCs w:val="25"/>
        </w:rPr>
        <w:t xml:space="preserve">Under the BSEA </w:t>
      </w:r>
      <w:r w:rsidR="007B48B6">
        <w:rPr>
          <w:rFonts w:ascii="Aptos" w:hAnsi="Aptos" w:cs="Times New Roman"/>
          <w:i/>
          <w:iCs/>
          <w:sz w:val="25"/>
          <w:szCs w:val="25"/>
        </w:rPr>
        <w:t>Hearing Rules</w:t>
      </w:r>
      <w:r w:rsidR="007B48B6">
        <w:rPr>
          <w:rFonts w:ascii="Aptos" w:hAnsi="Aptos" w:cs="Times New Roman"/>
          <w:sz w:val="25"/>
          <w:szCs w:val="25"/>
        </w:rPr>
        <w:t>,</w:t>
      </w:r>
      <w:r w:rsidR="007B48B6">
        <w:rPr>
          <w:rFonts w:ascii="Aptos" w:hAnsi="Aptos" w:cs="Times New Roman"/>
          <w:i/>
          <w:iCs/>
          <w:sz w:val="25"/>
          <w:szCs w:val="25"/>
        </w:rPr>
        <w:t xml:space="preserve"> </w:t>
      </w:r>
      <w:r w:rsidR="007E3182">
        <w:rPr>
          <w:rFonts w:ascii="Aptos" w:hAnsi="Aptos" w:cs="Times New Roman"/>
          <w:sz w:val="25"/>
          <w:szCs w:val="25"/>
        </w:rPr>
        <w:t xml:space="preserve">a </w:t>
      </w:r>
      <w:r w:rsidR="001103AE">
        <w:rPr>
          <w:rFonts w:ascii="Aptos" w:hAnsi="Aptos" w:cs="Times New Roman"/>
          <w:sz w:val="25"/>
          <w:szCs w:val="25"/>
        </w:rPr>
        <w:t>Hearing Officer may grant this request upon a finding that the testimony or documents sought are not relevant to any matter in question</w:t>
      </w:r>
      <w:r w:rsidR="007B48B6">
        <w:rPr>
          <w:rFonts w:ascii="Aptos" w:hAnsi="Aptos" w:cs="Times New Roman"/>
          <w:sz w:val="25"/>
          <w:szCs w:val="25"/>
        </w:rPr>
        <w:t>;</w:t>
      </w:r>
      <w:r w:rsidR="007E3182">
        <w:rPr>
          <w:rFonts w:ascii="Aptos" w:hAnsi="Aptos" w:cs="Times New Roman"/>
          <w:sz w:val="25"/>
          <w:szCs w:val="25"/>
        </w:rPr>
        <w:t xml:space="preserve"> or</w:t>
      </w:r>
      <w:r w:rsidR="001103AE">
        <w:rPr>
          <w:rFonts w:ascii="Aptos" w:hAnsi="Aptos" w:cs="Times New Roman"/>
          <w:sz w:val="25"/>
          <w:szCs w:val="25"/>
        </w:rPr>
        <w:t xml:space="preserve"> that the time or place specified for compliance</w:t>
      </w:r>
      <w:r w:rsidR="007E3182">
        <w:rPr>
          <w:rFonts w:ascii="Aptos" w:hAnsi="Aptos" w:cs="Times New Roman"/>
          <w:sz w:val="25"/>
          <w:szCs w:val="25"/>
        </w:rPr>
        <w:t xml:space="preserve"> </w:t>
      </w:r>
      <w:r w:rsidR="001103AE">
        <w:rPr>
          <w:rFonts w:ascii="Aptos" w:hAnsi="Aptos" w:cs="Times New Roman"/>
          <w:sz w:val="25"/>
          <w:szCs w:val="25"/>
        </w:rPr>
        <w:t>or the breadth of the material sought imposes an undue burden on the person subpoenaed.</w:t>
      </w:r>
      <w:r w:rsidR="001103AE">
        <w:rPr>
          <w:rStyle w:val="FootnoteReference"/>
          <w:rFonts w:ascii="Aptos" w:hAnsi="Aptos" w:cs="Times New Roman"/>
          <w:sz w:val="25"/>
          <w:szCs w:val="25"/>
        </w:rPr>
        <w:footnoteReference w:id="9"/>
      </w:r>
      <w:r w:rsidR="003D6B4B">
        <w:rPr>
          <w:rFonts w:ascii="Aptos" w:hAnsi="Aptos" w:cs="Times New Roman"/>
          <w:sz w:val="25"/>
          <w:szCs w:val="25"/>
        </w:rPr>
        <w:t xml:space="preserve"> </w:t>
      </w:r>
      <w:r w:rsidR="007B48B6" w:rsidRPr="003A1D3F">
        <w:rPr>
          <w:rFonts w:ascii="Aptos" w:hAnsi="Aptos" w:cs="Times New Roman"/>
          <w:sz w:val="25"/>
          <w:szCs w:val="25"/>
        </w:rPr>
        <w:t>Massachusetts law also permits a Hearing Officer to vacate or modify a subpoena “upon a finding</w:t>
      </w:r>
      <w:r w:rsidR="003A1D3F" w:rsidRPr="003A1D3F">
        <w:rPr>
          <w:rFonts w:ascii="Aptos" w:hAnsi="Aptos" w:cs="Times New Roman"/>
          <w:sz w:val="25"/>
          <w:szCs w:val="25"/>
        </w:rPr>
        <w:t xml:space="preserve"> that . . . the evidence whose production is required, does not relate</w:t>
      </w:r>
      <w:r w:rsidR="007E3182">
        <w:rPr>
          <w:rFonts w:ascii="Aptos" w:hAnsi="Aptos" w:cs="Times New Roman"/>
          <w:sz w:val="25"/>
          <w:szCs w:val="25"/>
        </w:rPr>
        <w:t xml:space="preserve"> </w:t>
      </w:r>
      <w:r w:rsidR="007B48B6" w:rsidRPr="003A1D3F">
        <w:rPr>
          <w:rFonts w:ascii="Aptos" w:hAnsi="Aptos" w:cs="Times New Roman"/>
          <w:color w:val="000000" w:themeColor="text1"/>
          <w:sz w:val="25"/>
          <w:szCs w:val="25"/>
        </w:rPr>
        <w:t>with reasonable directness to any matter in question, or that a subpoena for</w:t>
      </w:r>
      <w:r w:rsidR="003A1D3F" w:rsidRPr="003A1D3F">
        <w:rPr>
          <w:rFonts w:ascii="Aptos" w:hAnsi="Aptos" w:cs="Times New Roman"/>
          <w:color w:val="000000" w:themeColor="text1"/>
          <w:sz w:val="25"/>
          <w:szCs w:val="25"/>
        </w:rPr>
        <w:t xml:space="preserve"> . . . </w:t>
      </w:r>
      <w:r w:rsidR="007B48B6" w:rsidRPr="003A1D3F">
        <w:rPr>
          <w:rFonts w:ascii="Aptos" w:hAnsi="Aptos" w:cs="Times New Roman"/>
          <w:color w:val="000000" w:themeColor="text1"/>
          <w:sz w:val="25"/>
          <w:szCs w:val="25"/>
        </w:rPr>
        <w:t xml:space="preserve"> the production of evidence is unreasonable or oppressive</w:t>
      </w:r>
      <w:r w:rsidR="003A1D3F" w:rsidRPr="003A1D3F">
        <w:rPr>
          <w:rFonts w:ascii="Aptos" w:hAnsi="Aptos" w:cs="Times New Roman"/>
          <w:color w:val="000000" w:themeColor="text1"/>
          <w:sz w:val="25"/>
          <w:szCs w:val="25"/>
        </w:rPr>
        <w:t xml:space="preserve"> . . . .”</w:t>
      </w:r>
      <w:r w:rsidR="003A1D3F">
        <w:rPr>
          <w:rStyle w:val="FootnoteReference"/>
          <w:rFonts w:ascii="Aptos" w:hAnsi="Aptos" w:cs="Times New Roman"/>
          <w:color w:val="000000" w:themeColor="text1"/>
          <w:sz w:val="25"/>
          <w:szCs w:val="25"/>
        </w:rPr>
        <w:footnoteReference w:id="10"/>
      </w:r>
      <w:r w:rsidR="006D3E32">
        <w:rPr>
          <w:rFonts w:ascii="Aptos" w:hAnsi="Aptos" w:cs="Times New Roman"/>
          <w:color w:val="000000" w:themeColor="text1"/>
          <w:sz w:val="25"/>
          <w:szCs w:val="25"/>
        </w:rPr>
        <w:t xml:space="preserve"> If a person fails to comply with a subpoena issued by a Massachusetts agency, the party requesting that the subpoena be issued may seek enforcement of the subpoena in the Superior Court.</w:t>
      </w:r>
      <w:r w:rsidR="006D3E32">
        <w:rPr>
          <w:rStyle w:val="FootnoteReference"/>
          <w:rFonts w:ascii="Aptos" w:hAnsi="Aptos" w:cs="Times New Roman"/>
          <w:color w:val="000000" w:themeColor="text1"/>
          <w:sz w:val="25"/>
          <w:szCs w:val="25"/>
        </w:rPr>
        <w:footnoteReference w:id="11"/>
      </w:r>
    </w:p>
    <w:p w14:paraId="13FA9E8D" w14:textId="77777777" w:rsidR="00C21FE3" w:rsidRDefault="00C21FE3" w:rsidP="006526A3">
      <w:pPr>
        <w:pStyle w:val="NoSpacing"/>
        <w:ind w:firstLine="720"/>
        <w:rPr>
          <w:rFonts w:ascii="Aptos" w:hAnsi="Aptos" w:cs="Times New Roman"/>
          <w:sz w:val="25"/>
          <w:szCs w:val="25"/>
        </w:rPr>
      </w:pPr>
    </w:p>
    <w:p w14:paraId="54E90312" w14:textId="55A3518E" w:rsidR="00C21FE3" w:rsidRPr="003A1D3F" w:rsidRDefault="007B48B6" w:rsidP="007B48B6">
      <w:pPr>
        <w:pStyle w:val="NoSpacing"/>
        <w:numPr>
          <w:ilvl w:val="0"/>
          <w:numId w:val="8"/>
        </w:numPr>
        <w:rPr>
          <w:rFonts w:ascii="Aptos" w:hAnsi="Aptos" w:cs="Times New Roman"/>
          <w:i/>
          <w:iCs/>
          <w:sz w:val="25"/>
          <w:szCs w:val="25"/>
        </w:rPr>
      </w:pPr>
      <w:r w:rsidRPr="007B48B6">
        <w:rPr>
          <w:rFonts w:ascii="Aptos" w:hAnsi="Aptos" w:cs="Times New Roman"/>
          <w:i/>
          <w:iCs/>
          <w:sz w:val="25"/>
          <w:szCs w:val="25"/>
        </w:rPr>
        <w:t>Other Relevant Legal Standards</w:t>
      </w:r>
      <w:r w:rsidR="003A1D3F">
        <w:rPr>
          <w:rFonts w:ascii="Aptos" w:hAnsi="Aptos" w:cs="Times New Roman"/>
          <w:i/>
          <w:iCs/>
          <w:sz w:val="25"/>
          <w:szCs w:val="25"/>
        </w:rPr>
        <w:t xml:space="preserve"> Cited by DCF</w:t>
      </w:r>
    </w:p>
    <w:p w14:paraId="45B025EF" w14:textId="77777777" w:rsidR="003A1D3F" w:rsidRDefault="003A1D3F" w:rsidP="003A1D3F">
      <w:pPr>
        <w:pStyle w:val="NoSpacing"/>
        <w:rPr>
          <w:rFonts w:ascii="Aptos" w:hAnsi="Aptos" w:cs="Times New Roman"/>
          <w:sz w:val="25"/>
          <w:szCs w:val="25"/>
        </w:rPr>
      </w:pPr>
    </w:p>
    <w:p w14:paraId="4E66992A" w14:textId="0A1EE6C0" w:rsidR="0050589E" w:rsidRDefault="00280C62" w:rsidP="0050589E">
      <w:pPr>
        <w:pStyle w:val="NoSpacing"/>
        <w:ind w:firstLine="720"/>
        <w:rPr>
          <w:rFonts w:ascii="Aptos" w:hAnsi="Aptos" w:cs="Times New Roman"/>
          <w:sz w:val="25"/>
          <w:szCs w:val="25"/>
        </w:rPr>
      </w:pPr>
      <w:r>
        <w:rPr>
          <w:rFonts w:ascii="Aptos" w:hAnsi="Aptos" w:cs="Times New Roman"/>
          <w:sz w:val="25"/>
          <w:szCs w:val="25"/>
        </w:rPr>
        <w:t xml:space="preserve">Under </w:t>
      </w:r>
      <w:r w:rsidR="002256CC">
        <w:rPr>
          <w:rFonts w:ascii="Aptos" w:hAnsi="Aptos" w:cs="Times New Roman"/>
          <w:sz w:val="25"/>
          <w:szCs w:val="25"/>
        </w:rPr>
        <w:t>Massachusetts law</w:t>
      </w:r>
      <w:r>
        <w:rPr>
          <w:rFonts w:ascii="Aptos" w:hAnsi="Aptos" w:cs="Times New Roman"/>
          <w:sz w:val="25"/>
          <w:szCs w:val="25"/>
        </w:rPr>
        <w:t>,</w:t>
      </w:r>
      <w:r w:rsidR="002256CC">
        <w:rPr>
          <w:rFonts w:ascii="Aptos" w:hAnsi="Aptos" w:cs="Times New Roman"/>
          <w:sz w:val="25"/>
          <w:szCs w:val="25"/>
        </w:rPr>
        <w:t xml:space="preserve"> communications between a licensed social worker employed in a state, county, or municipal governmental agency and a client are confidential.</w:t>
      </w:r>
      <w:r w:rsidR="002256CC">
        <w:rPr>
          <w:rStyle w:val="FootnoteReference"/>
          <w:rFonts w:ascii="Aptos" w:hAnsi="Aptos" w:cs="Times New Roman"/>
          <w:sz w:val="25"/>
          <w:szCs w:val="25"/>
        </w:rPr>
        <w:footnoteReference w:id="12"/>
      </w:r>
      <w:r w:rsidR="002256CC">
        <w:rPr>
          <w:rFonts w:ascii="Aptos" w:hAnsi="Aptos" w:cs="Times New Roman"/>
          <w:sz w:val="25"/>
          <w:szCs w:val="25"/>
        </w:rPr>
        <w:t xml:space="preserve"> </w:t>
      </w:r>
      <w:r w:rsidR="0050589E">
        <w:rPr>
          <w:rFonts w:ascii="Aptos" w:hAnsi="Aptos" w:cs="Times New Roman"/>
          <w:sz w:val="25"/>
          <w:szCs w:val="25"/>
        </w:rPr>
        <w:t>With exceptions that are not relevant in the instant matter, “[n]o s</w:t>
      </w:r>
      <w:r w:rsidR="0050589E" w:rsidRPr="0050589E">
        <w:rPr>
          <w:rFonts w:ascii="Aptos" w:hAnsi="Aptos" w:cs="Times New Roman"/>
          <w:sz w:val="25"/>
          <w:szCs w:val="25"/>
        </w:rPr>
        <w:t>uch social worker, colleague, agent or employee of any social worker, whether professional, clerical, academic or therapeutic, shall disclose any information acquired or revealed in the course of or in connection with the performance of the social worker's professional services, including the fact, circumstances, findings or records of such services</w:t>
      </w:r>
      <w:r w:rsidR="0050589E">
        <w:rPr>
          <w:rFonts w:ascii="Aptos" w:hAnsi="Aptos" w:cs="Times New Roman"/>
          <w:sz w:val="25"/>
          <w:szCs w:val="25"/>
        </w:rPr>
        <w:t>.”</w:t>
      </w:r>
      <w:r w:rsidR="00172B93">
        <w:rPr>
          <w:rFonts w:ascii="Aptos" w:hAnsi="Aptos" w:cs="Times New Roman"/>
          <w:sz w:val="25"/>
          <w:szCs w:val="25"/>
        </w:rPr>
        <w:t xml:space="preserve"> </w:t>
      </w:r>
      <w:r w:rsidR="0050589E">
        <w:rPr>
          <w:rFonts w:ascii="Aptos" w:hAnsi="Aptos" w:cs="Times New Roman"/>
          <w:sz w:val="25"/>
          <w:szCs w:val="25"/>
        </w:rPr>
        <w:t xml:space="preserve">Licensed Department social workers also have a testimonial </w:t>
      </w:r>
      <w:r w:rsidR="0050589E">
        <w:rPr>
          <w:rFonts w:ascii="Aptos" w:hAnsi="Aptos" w:cs="Times New Roman"/>
          <w:sz w:val="25"/>
          <w:szCs w:val="25"/>
        </w:rPr>
        <w:lastRenderedPageBreak/>
        <w:t>privilege</w:t>
      </w:r>
      <w:r w:rsidR="00AB2EBE">
        <w:rPr>
          <w:rFonts w:ascii="Aptos" w:hAnsi="Aptos" w:cs="Times New Roman"/>
          <w:sz w:val="25"/>
          <w:szCs w:val="25"/>
        </w:rPr>
        <w:t xml:space="preserve"> that protects communications regarding a client’s mental or emotional condition</w:t>
      </w:r>
      <w:r w:rsidR="0050589E">
        <w:rPr>
          <w:rFonts w:ascii="Aptos" w:hAnsi="Aptos" w:cs="Times New Roman"/>
          <w:sz w:val="25"/>
          <w:szCs w:val="25"/>
        </w:rPr>
        <w:t xml:space="preserve">, under which in any “administrative </w:t>
      </w:r>
      <w:r w:rsidR="0050589E" w:rsidRPr="0050589E">
        <w:rPr>
          <w:rFonts w:ascii="Aptos" w:hAnsi="Aptos" w:cs="Times New Roman"/>
          <w:sz w:val="25"/>
          <w:szCs w:val="25"/>
        </w:rPr>
        <w:t>proceedings, a client shall have the privilege of refusing to disclose and of preventing a witness from disclosing, any communication, wherever made, between said client</w:t>
      </w:r>
      <w:r>
        <w:rPr>
          <w:rFonts w:ascii="Aptos" w:hAnsi="Aptos" w:cs="Times New Roman"/>
          <w:sz w:val="25"/>
          <w:szCs w:val="25"/>
        </w:rPr>
        <w:t xml:space="preserve"> </w:t>
      </w:r>
      <w:r w:rsidR="00AB2EBE">
        <w:rPr>
          <w:rFonts w:ascii="Aptos" w:hAnsi="Aptos" w:cs="Times New Roman"/>
          <w:sz w:val="25"/>
          <w:szCs w:val="25"/>
        </w:rPr>
        <w:t>and the</w:t>
      </w:r>
      <w:r w:rsidR="0050589E">
        <w:rPr>
          <w:rFonts w:ascii="Aptos" w:hAnsi="Aptos" w:cs="Times New Roman"/>
          <w:sz w:val="25"/>
          <w:szCs w:val="25"/>
        </w:rPr>
        <w:t xml:space="preserve"> </w:t>
      </w:r>
      <w:r w:rsidR="0050589E" w:rsidRPr="0050589E">
        <w:rPr>
          <w:rFonts w:ascii="Aptos" w:hAnsi="Aptos" w:cs="Times New Roman"/>
          <w:sz w:val="25"/>
          <w:szCs w:val="25"/>
        </w:rPr>
        <w:t xml:space="preserve">social worker </w:t>
      </w:r>
      <w:r w:rsidR="00AB2EBE">
        <w:rPr>
          <w:rFonts w:ascii="Aptos" w:hAnsi="Aptos" w:cs="Times New Roman"/>
          <w:sz w:val="25"/>
          <w:szCs w:val="25"/>
        </w:rPr>
        <w:t>. . .</w:t>
      </w:r>
      <w:r w:rsidR="0050589E" w:rsidRPr="0050589E">
        <w:rPr>
          <w:rFonts w:ascii="Aptos" w:hAnsi="Aptos" w:cs="Times New Roman"/>
          <w:sz w:val="25"/>
          <w:szCs w:val="25"/>
        </w:rPr>
        <w:t xml:space="preserve"> relative to the diagnosis or treatment of the client's mental or emotional condition.</w:t>
      </w:r>
      <w:r w:rsidR="0083334E">
        <w:rPr>
          <w:rFonts w:ascii="Aptos" w:hAnsi="Aptos" w:cs="Times New Roman"/>
          <w:sz w:val="25"/>
          <w:szCs w:val="25"/>
        </w:rPr>
        <w:t>”</w:t>
      </w:r>
      <w:r w:rsidR="00172B93">
        <w:rPr>
          <w:rStyle w:val="FootnoteReference"/>
          <w:rFonts w:ascii="Aptos" w:hAnsi="Aptos" w:cs="Times New Roman"/>
          <w:sz w:val="25"/>
          <w:szCs w:val="25"/>
        </w:rPr>
        <w:footnoteReference w:id="13"/>
      </w:r>
    </w:p>
    <w:p w14:paraId="01238692" w14:textId="77777777" w:rsidR="002256CC" w:rsidRDefault="002256CC" w:rsidP="00A608CF">
      <w:pPr>
        <w:pStyle w:val="NoSpacing"/>
        <w:ind w:firstLine="720"/>
        <w:rPr>
          <w:rFonts w:ascii="Aptos" w:hAnsi="Aptos" w:cs="Times New Roman"/>
          <w:sz w:val="25"/>
          <w:szCs w:val="25"/>
        </w:rPr>
      </w:pPr>
    </w:p>
    <w:p w14:paraId="35326689" w14:textId="0E0DD527" w:rsidR="002256CC" w:rsidRDefault="00172B93" w:rsidP="00AB2EBE">
      <w:pPr>
        <w:pStyle w:val="NoSpacing"/>
        <w:ind w:firstLine="720"/>
        <w:rPr>
          <w:rFonts w:ascii="Aptos" w:hAnsi="Aptos" w:cs="Times New Roman"/>
          <w:sz w:val="25"/>
          <w:szCs w:val="25"/>
        </w:rPr>
      </w:pPr>
      <w:r>
        <w:rPr>
          <w:rFonts w:ascii="Aptos" w:hAnsi="Aptos" w:cs="Times New Roman"/>
          <w:sz w:val="25"/>
          <w:szCs w:val="25"/>
        </w:rPr>
        <w:t xml:space="preserve">In addition to files maintained by caseworkers, </w:t>
      </w:r>
      <w:r w:rsidR="003A1D3F">
        <w:rPr>
          <w:rFonts w:ascii="Aptos" w:hAnsi="Aptos" w:cs="Times New Roman"/>
          <w:sz w:val="25"/>
          <w:szCs w:val="25"/>
        </w:rPr>
        <w:t>Massachusetts law requires DCF to “maintain a central registry of information</w:t>
      </w:r>
      <w:r w:rsidR="000E5C05">
        <w:rPr>
          <w:rFonts w:ascii="Aptos" w:hAnsi="Aptos" w:cs="Times New Roman"/>
          <w:sz w:val="25"/>
          <w:szCs w:val="25"/>
        </w:rPr>
        <w:t>” relating to families that are involved with the agency in particular ways.</w:t>
      </w:r>
      <w:r w:rsidR="000E5C05">
        <w:rPr>
          <w:rStyle w:val="FootnoteReference"/>
          <w:rFonts w:ascii="Aptos" w:hAnsi="Aptos" w:cs="Times New Roman"/>
          <w:sz w:val="25"/>
          <w:szCs w:val="25"/>
        </w:rPr>
        <w:footnoteReference w:id="14"/>
      </w:r>
      <w:r w:rsidR="000E5C05">
        <w:rPr>
          <w:rFonts w:ascii="Aptos" w:hAnsi="Aptos" w:cs="Times New Roman"/>
          <w:sz w:val="25"/>
          <w:szCs w:val="25"/>
        </w:rPr>
        <w:t xml:space="preserve"> “Data and information </w:t>
      </w:r>
      <w:r w:rsidR="003A1D3F">
        <w:rPr>
          <w:rFonts w:ascii="Aptos" w:hAnsi="Aptos" w:cs="Times New Roman"/>
          <w:sz w:val="25"/>
          <w:szCs w:val="25"/>
        </w:rPr>
        <w:t>relating to individual cases</w:t>
      </w:r>
      <w:r w:rsidR="0039605C">
        <w:rPr>
          <w:rFonts w:ascii="Aptos" w:hAnsi="Aptos" w:cs="Times New Roman"/>
          <w:sz w:val="25"/>
          <w:szCs w:val="25"/>
        </w:rPr>
        <w:t xml:space="preserve"> in the central registry shall be </w:t>
      </w:r>
      <w:r w:rsidR="003A1D3F">
        <w:rPr>
          <w:rFonts w:ascii="Aptos" w:hAnsi="Aptos" w:cs="Times New Roman"/>
          <w:sz w:val="25"/>
          <w:szCs w:val="25"/>
        </w:rPr>
        <w:t>confidential and shall be made available only with the approval of the commissioner or upon court order.”</w:t>
      </w:r>
      <w:r w:rsidR="003A1D3F">
        <w:rPr>
          <w:rStyle w:val="FootnoteReference"/>
          <w:rFonts w:ascii="Aptos" w:hAnsi="Aptos" w:cs="Times New Roman"/>
          <w:sz w:val="25"/>
          <w:szCs w:val="25"/>
        </w:rPr>
        <w:footnoteReference w:id="15"/>
      </w:r>
      <w:r w:rsidR="000E5C05">
        <w:rPr>
          <w:rFonts w:ascii="Aptos" w:hAnsi="Aptos" w:cs="Times New Roman"/>
          <w:sz w:val="25"/>
          <w:szCs w:val="25"/>
        </w:rPr>
        <w:t xml:space="preserve"> </w:t>
      </w:r>
      <w:r w:rsidR="00A608CF">
        <w:rPr>
          <w:rFonts w:ascii="Aptos" w:hAnsi="Aptos" w:cs="Times New Roman"/>
          <w:sz w:val="25"/>
          <w:szCs w:val="25"/>
        </w:rPr>
        <w:t>DCF regulations permit the “release to any Department provider or other individual or entity acting at the Department’s request, any records, documents, or information</w:t>
      </w:r>
      <w:r w:rsidR="009A70BE">
        <w:rPr>
          <w:rFonts w:ascii="Aptos" w:hAnsi="Aptos" w:cs="Times New Roman"/>
          <w:sz w:val="25"/>
          <w:szCs w:val="25"/>
        </w:rPr>
        <w:t xml:space="preserve"> [regarding children in its care or custody]</w:t>
      </w:r>
      <w:r w:rsidR="00A608CF">
        <w:rPr>
          <w:rFonts w:ascii="Aptos" w:hAnsi="Aptos" w:cs="Times New Roman"/>
          <w:sz w:val="25"/>
          <w:szCs w:val="25"/>
        </w:rPr>
        <w:t xml:space="preserve"> which in the </w:t>
      </w:r>
      <w:r w:rsidR="00A608CF" w:rsidRPr="00A608CF">
        <w:rPr>
          <w:rFonts w:ascii="Aptos" w:hAnsi="Aptos" w:cs="Times New Roman"/>
          <w:sz w:val="25"/>
          <w:szCs w:val="25"/>
        </w:rPr>
        <w:t>judgment of the Department is necessary for service delivery to children in the care or custody of the Department.</w:t>
      </w:r>
      <w:r w:rsidR="00A608CF">
        <w:rPr>
          <w:rFonts w:ascii="Aptos" w:hAnsi="Aptos" w:cs="Times New Roman"/>
          <w:sz w:val="25"/>
          <w:szCs w:val="25"/>
        </w:rPr>
        <w:t>”</w:t>
      </w:r>
      <w:r w:rsidR="00A608CF">
        <w:rPr>
          <w:rStyle w:val="FootnoteReference"/>
          <w:rFonts w:ascii="Aptos" w:hAnsi="Aptos" w:cs="Times New Roman"/>
          <w:sz w:val="25"/>
          <w:szCs w:val="25"/>
        </w:rPr>
        <w:footnoteReference w:id="16"/>
      </w:r>
      <w:r w:rsidR="00A608CF">
        <w:rPr>
          <w:rFonts w:ascii="Aptos" w:hAnsi="Aptos" w:cs="Times New Roman"/>
          <w:sz w:val="25"/>
          <w:szCs w:val="25"/>
        </w:rPr>
        <w:t xml:space="preserve"> This release of personal information about a child </w:t>
      </w:r>
      <w:r w:rsidR="005F08B0">
        <w:rPr>
          <w:rFonts w:ascii="Aptos" w:hAnsi="Aptos" w:cs="Times New Roman"/>
          <w:sz w:val="25"/>
          <w:szCs w:val="25"/>
        </w:rPr>
        <w:t xml:space="preserve">in its care and custody, </w:t>
      </w:r>
      <w:r w:rsidR="00A608CF">
        <w:rPr>
          <w:rFonts w:ascii="Aptos" w:hAnsi="Aptos" w:cs="Times New Roman"/>
          <w:sz w:val="25"/>
          <w:szCs w:val="25"/>
        </w:rPr>
        <w:t>and the child’s family</w:t>
      </w:r>
      <w:r w:rsidR="005F08B0">
        <w:rPr>
          <w:rFonts w:ascii="Aptos" w:hAnsi="Aptos" w:cs="Times New Roman"/>
          <w:sz w:val="25"/>
          <w:szCs w:val="25"/>
        </w:rPr>
        <w:t>,</w:t>
      </w:r>
      <w:r w:rsidR="00A608CF">
        <w:rPr>
          <w:rFonts w:ascii="Aptos" w:hAnsi="Aptos" w:cs="Times New Roman"/>
          <w:sz w:val="25"/>
          <w:szCs w:val="25"/>
        </w:rPr>
        <w:t xml:space="preserve"> to entities such as medical providers, foster parents, and schools,</w:t>
      </w:r>
      <w:r w:rsidR="002256CC">
        <w:rPr>
          <w:rFonts w:ascii="Aptos" w:hAnsi="Aptos" w:cs="Times New Roman"/>
          <w:sz w:val="25"/>
          <w:szCs w:val="25"/>
        </w:rPr>
        <w:t xml:space="preserve"> is for the purpose of</w:t>
      </w:r>
      <w:r w:rsidR="005F08B0">
        <w:rPr>
          <w:rFonts w:ascii="Aptos" w:hAnsi="Aptos" w:cs="Times New Roman"/>
          <w:sz w:val="25"/>
          <w:szCs w:val="25"/>
        </w:rPr>
        <w:t xml:space="preserve"> </w:t>
      </w:r>
      <w:r w:rsidR="002256CC">
        <w:rPr>
          <w:rFonts w:ascii="Aptos" w:hAnsi="Aptos" w:cs="Times New Roman"/>
          <w:sz w:val="25"/>
          <w:szCs w:val="25"/>
        </w:rPr>
        <w:t xml:space="preserve">enabling </w:t>
      </w:r>
      <w:r w:rsidR="005F08B0">
        <w:rPr>
          <w:rFonts w:ascii="Aptos" w:hAnsi="Aptos" w:cs="Times New Roman"/>
          <w:sz w:val="25"/>
          <w:szCs w:val="25"/>
        </w:rPr>
        <w:t>those entities to provide needed services,</w:t>
      </w:r>
      <w:r w:rsidR="002256CC">
        <w:rPr>
          <w:rFonts w:ascii="Aptos" w:hAnsi="Aptos" w:cs="Times New Roman"/>
          <w:sz w:val="25"/>
          <w:szCs w:val="25"/>
        </w:rPr>
        <w:t xml:space="preserve"> and</w:t>
      </w:r>
      <w:r w:rsidR="00A608CF">
        <w:rPr>
          <w:rFonts w:ascii="Aptos" w:hAnsi="Aptos" w:cs="Times New Roman"/>
          <w:sz w:val="25"/>
          <w:szCs w:val="25"/>
        </w:rPr>
        <w:t xml:space="preserve"> is in the discretion of </w:t>
      </w:r>
      <w:r w:rsidR="005F08B0">
        <w:rPr>
          <w:rFonts w:ascii="Aptos" w:hAnsi="Aptos" w:cs="Times New Roman"/>
          <w:sz w:val="25"/>
          <w:szCs w:val="25"/>
        </w:rPr>
        <w:t>the Department.</w:t>
      </w:r>
      <w:r w:rsidR="005F08B0">
        <w:rPr>
          <w:rStyle w:val="FootnoteReference"/>
          <w:rFonts w:ascii="Aptos" w:hAnsi="Aptos" w:cs="Times New Roman"/>
          <w:sz w:val="25"/>
          <w:szCs w:val="25"/>
        </w:rPr>
        <w:footnoteReference w:id="17"/>
      </w:r>
    </w:p>
    <w:p w14:paraId="7F40FA81" w14:textId="224C5736" w:rsidR="00A608CF" w:rsidRDefault="00A608CF" w:rsidP="00A608CF">
      <w:pPr>
        <w:pStyle w:val="NoSpacing"/>
        <w:ind w:firstLine="720"/>
        <w:rPr>
          <w:rFonts w:ascii="Aptos" w:hAnsi="Aptos" w:cs="Times New Roman"/>
          <w:sz w:val="25"/>
          <w:szCs w:val="25"/>
        </w:rPr>
      </w:pPr>
    </w:p>
    <w:p w14:paraId="0228FBB4" w14:textId="48A6DABB" w:rsidR="00AB2EBE" w:rsidRDefault="005F08B0" w:rsidP="00A608CF">
      <w:pPr>
        <w:pStyle w:val="NoSpacing"/>
        <w:ind w:firstLine="720"/>
        <w:rPr>
          <w:rFonts w:ascii="Aptos" w:hAnsi="Aptos" w:cs="Times New Roman"/>
          <w:sz w:val="25"/>
          <w:szCs w:val="25"/>
        </w:rPr>
      </w:pPr>
      <w:r>
        <w:rPr>
          <w:rFonts w:ascii="Aptos" w:hAnsi="Aptos" w:cs="Times New Roman"/>
          <w:sz w:val="25"/>
          <w:szCs w:val="25"/>
        </w:rPr>
        <w:t xml:space="preserve">DCF regulations also provide that where Department records are sought by way of a subpoena “in any civil proceeding,” DCF shall not release those records until it has “made reasonable efforts to notify each data subject identified in the records,” </w:t>
      </w:r>
      <w:r w:rsidR="00AB2EBE">
        <w:rPr>
          <w:rFonts w:ascii="Aptos" w:hAnsi="Aptos" w:cs="Times New Roman"/>
          <w:sz w:val="25"/>
          <w:szCs w:val="25"/>
        </w:rPr>
        <w:t xml:space="preserve">and </w:t>
      </w:r>
      <w:r>
        <w:rPr>
          <w:rFonts w:ascii="Aptos" w:hAnsi="Aptos" w:cs="Times New Roman"/>
          <w:sz w:val="25"/>
          <w:szCs w:val="25"/>
        </w:rPr>
        <w:t xml:space="preserve">that individual has </w:t>
      </w:r>
      <w:r w:rsidR="003D6B4B">
        <w:rPr>
          <w:rFonts w:ascii="Aptos" w:hAnsi="Aptos" w:cs="Times New Roman"/>
          <w:sz w:val="25"/>
          <w:szCs w:val="25"/>
        </w:rPr>
        <w:t xml:space="preserve">a </w:t>
      </w:r>
      <w:r>
        <w:rPr>
          <w:rFonts w:ascii="Aptos" w:hAnsi="Aptos" w:cs="Times New Roman"/>
          <w:sz w:val="25"/>
          <w:szCs w:val="25"/>
        </w:rPr>
        <w:t>reasonable time to seek to quash the subpoena.</w:t>
      </w:r>
      <w:r w:rsidR="00AB2EBE">
        <w:rPr>
          <w:rStyle w:val="FootnoteReference"/>
          <w:rFonts w:ascii="Aptos" w:hAnsi="Aptos" w:cs="Times New Roman"/>
          <w:sz w:val="25"/>
          <w:szCs w:val="25"/>
        </w:rPr>
        <w:footnoteReference w:id="18"/>
      </w:r>
      <w:r>
        <w:rPr>
          <w:rFonts w:ascii="Aptos" w:hAnsi="Aptos" w:cs="Times New Roman"/>
          <w:sz w:val="25"/>
          <w:szCs w:val="25"/>
        </w:rPr>
        <w:t xml:space="preserve"> In the alternative, “the Department may elect to bring the entire file (unredacted, and without prior notification to any third parties named therein) before a judge in camera, and seek an order from said judge as to which records must be released;” before such release, DCF shall attempt to notify </w:t>
      </w:r>
      <w:r w:rsidR="00AB2EBE">
        <w:rPr>
          <w:rFonts w:ascii="Aptos" w:hAnsi="Aptos" w:cs="Times New Roman"/>
          <w:sz w:val="25"/>
          <w:szCs w:val="25"/>
        </w:rPr>
        <w:t xml:space="preserve">the </w:t>
      </w:r>
      <w:r>
        <w:rPr>
          <w:rFonts w:ascii="Aptos" w:hAnsi="Aptos" w:cs="Times New Roman"/>
          <w:sz w:val="25"/>
          <w:szCs w:val="25"/>
        </w:rPr>
        <w:t>third parties</w:t>
      </w:r>
      <w:r w:rsidR="00AB2EBE">
        <w:rPr>
          <w:rFonts w:ascii="Aptos" w:hAnsi="Aptos" w:cs="Times New Roman"/>
          <w:sz w:val="25"/>
          <w:szCs w:val="25"/>
        </w:rPr>
        <w:t xml:space="preserve"> involved</w:t>
      </w:r>
      <w:r>
        <w:rPr>
          <w:rFonts w:ascii="Aptos" w:hAnsi="Aptos" w:cs="Times New Roman"/>
          <w:sz w:val="25"/>
          <w:szCs w:val="25"/>
        </w:rPr>
        <w:t>.</w:t>
      </w:r>
      <w:r>
        <w:rPr>
          <w:rStyle w:val="FootnoteReference"/>
          <w:rFonts w:ascii="Aptos" w:hAnsi="Aptos" w:cs="Times New Roman"/>
          <w:sz w:val="25"/>
          <w:szCs w:val="25"/>
        </w:rPr>
        <w:footnoteReference w:id="19"/>
      </w:r>
      <w:r w:rsidR="00AB2EBE">
        <w:rPr>
          <w:rFonts w:ascii="Aptos" w:hAnsi="Aptos" w:cs="Times New Roman"/>
          <w:sz w:val="25"/>
          <w:szCs w:val="25"/>
        </w:rPr>
        <w:t xml:space="preserve"> </w:t>
      </w:r>
    </w:p>
    <w:p w14:paraId="1453C88F" w14:textId="77777777" w:rsidR="00AB2EBE" w:rsidRDefault="00AB2EBE" w:rsidP="00A608CF">
      <w:pPr>
        <w:pStyle w:val="NoSpacing"/>
        <w:ind w:firstLine="720"/>
        <w:rPr>
          <w:rFonts w:ascii="Aptos" w:hAnsi="Aptos" w:cs="Times New Roman"/>
          <w:sz w:val="25"/>
          <w:szCs w:val="25"/>
        </w:rPr>
      </w:pPr>
    </w:p>
    <w:p w14:paraId="353CF971" w14:textId="4BAF6ED1" w:rsidR="005F08B0" w:rsidRPr="005E6B42" w:rsidRDefault="00AB2EBE" w:rsidP="00A608CF">
      <w:pPr>
        <w:pStyle w:val="NoSpacing"/>
        <w:ind w:firstLine="720"/>
        <w:rPr>
          <w:rFonts w:ascii="Aptos" w:hAnsi="Aptos" w:cs="Times New Roman"/>
          <w:sz w:val="25"/>
          <w:szCs w:val="25"/>
        </w:rPr>
      </w:pPr>
      <w:r>
        <w:rPr>
          <w:rFonts w:ascii="Aptos" w:hAnsi="Aptos" w:cs="Times New Roman"/>
          <w:sz w:val="25"/>
          <w:szCs w:val="25"/>
        </w:rPr>
        <w:t xml:space="preserve">In its </w:t>
      </w:r>
      <w:r>
        <w:rPr>
          <w:rFonts w:ascii="Aptos" w:hAnsi="Aptos" w:cs="Times New Roman"/>
          <w:i/>
          <w:iCs/>
          <w:sz w:val="25"/>
          <w:szCs w:val="25"/>
        </w:rPr>
        <w:t>Objection</w:t>
      </w:r>
      <w:r>
        <w:rPr>
          <w:rFonts w:ascii="Aptos" w:hAnsi="Aptos" w:cs="Times New Roman"/>
          <w:sz w:val="25"/>
          <w:szCs w:val="25"/>
        </w:rPr>
        <w:t>, DCF asserts that the BSEA is n</w:t>
      </w:r>
      <w:r w:rsidR="005E6B42">
        <w:rPr>
          <w:rFonts w:ascii="Aptos" w:hAnsi="Aptos" w:cs="Times New Roman"/>
          <w:sz w:val="25"/>
          <w:szCs w:val="25"/>
        </w:rPr>
        <w:t xml:space="preserve">ot </w:t>
      </w:r>
      <w:r>
        <w:rPr>
          <w:rFonts w:ascii="Aptos" w:hAnsi="Aptos" w:cs="Times New Roman"/>
          <w:sz w:val="25"/>
          <w:szCs w:val="25"/>
        </w:rPr>
        <w:t xml:space="preserve">a court within the meaning of </w:t>
      </w:r>
      <w:r w:rsidR="005E6B42">
        <w:rPr>
          <w:rFonts w:ascii="Aptos" w:hAnsi="Aptos" w:cs="Times New Roman"/>
          <w:sz w:val="25"/>
          <w:szCs w:val="25"/>
        </w:rPr>
        <w:t>M.</w:t>
      </w:r>
      <w:r>
        <w:rPr>
          <w:rFonts w:ascii="Aptos" w:hAnsi="Aptos" w:cs="Times New Roman"/>
          <w:sz w:val="25"/>
          <w:szCs w:val="25"/>
        </w:rPr>
        <w:t xml:space="preserve">G.L. c. 119, </w:t>
      </w:r>
      <w:r w:rsidR="005E6B42" w:rsidRPr="005E6B42">
        <w:rPr>
          <w:rFonts w:ascii="Aptos" w:hAnsi="Aptos" w:cs="Times New Roman"/>
          <w:color w:val="000000" w:themeColor="text1"/>
          <w:sz w:val="25"/>
          <w:szCs w:val="25"/>
        </w:rPr>
        <w:t>§</w:t>
      </w:r>
      <w:r w:rsidR="00AD3DA3">
        <w:rPr>
          <w:rFonts w:ascii="Aptos" w:hAnsi="Aptos" w:cs="Times New Roman"/>
          <w:color w:val="000000" w:themeColor="text1"/>
          <w:sz w:val="25"/>
          <w:szCs w:val="25"/>
        </w:rPr>
        <w:t xml:space="preserve"> </w:t>
      </w:r>
      <w:r w:rsidRPr="005E6B42">
        <w:rPr>
          <w:rFonts w:ascii="Aptos" w:hAnsi="Aptos" w:cs="Times New Roman"/>
          <w:sz w:val="25"/>
          <w:szCs w:val="25"/>
        </w:rPr>
        <w:t>51F</w:t>
      </w:r>
      <w:r>
        <w:rPr>
          <w:rFonts w:ascii="Aptos" w:hAnsi="Aptos" w:cs="Times New Roman"/>
          <w:sz w:val="25"/>
          <w:szCs w:val="25"/>
        </w:rPr>
        <w:t xml:space="preserve">, that can </w:t>
      </w:r>
      <w:r w:rsidR="005E6B42">
        <w:rPr>
          <w:rFonts w:ascii="Aptos" w:hAnsi="Aptos" w:cs="Times New Roman"/>
          <w:sz w:val="25"/>
          <w:szCs w:val="25"/>
        </w:rPr>
        <w:t xml:space="preserve">issue an order compelling release of individual case information from the central registry, and that BSEA proceedings are adjudicatory hearings subject to M.G.L. c. 30A, not civil proceedings within the meaning of 110 C.M.R. </w:t>
      </w:r>
      <w:r w:rsidR="0083334E" w:rsidRPr="005E6B42">
        <w:rPr>
          <w:rFonts w:ascii="Aptos" w:hAnsi="Aptos" w:cs="Times New Roman"/>
          <w:color w:val="000000" w:themeColor="text1"/>
          <w:sz w:val="25"/>
          <w:szCs w:val="25"/>
        </w:rPr>
        <w:t>§</w:t>
      </w:r>
      <w:r w:rsidR="00AD3DA3">
        <w:rPr>
          <w:rFonts w:ascii="Aptos" w:hAnsi="Aptos" w:cs="Times New Roman"/>
          <w:color w:val="000000" w:themeColor="text1"/>
          <w:sz w:val="25"/>
          <w:szCs w:val="25"/>
        </w:rPr>
        <w:t xml:space="preserve"> </w:t>
      </w:r>
      <w:r w:rsidR="005E6B42">
        <w:rPr>
          <w:rFonts w:ascii="Aptos" w:hAnsi="Aptos" w:cs="Times New Roman"/>
          <w:sz w:val="25"/>
          <w:szCs w:val="25"/>
        </w:rPr>
        <w:t xml:space="preserve">12.07. Moreover, 110 C.M.R. </w:t>
      </w:r>
      <w:r w:rsidR="0083334E" w:rsidRPr="005E6B42">
        <w:rPr>
          <w:rFonts w:ascii="Aptos" w:hAnsi="Aptos" w:cs="Times New Roman"/>
          <w:color w:val="000000" w:themeColor="text1"/>
          <w:sz w:val="25"/>
          <w:szCs w:val="25"/>
        </w:rPr>
        <w:t>§</w:t>
      </w:r>
      <w:r w:rsidR="00AD3DA3">
        <w:rPr>
          <w:rFonts w:ascii="Aptos" w:hAnsi="Aptos" w:cs="Times New Roman"/>
          <w:color w:val="000000" w:themeColor="text1"/>
          <w:sz w:val="25"/>
          <w:szCs w:val="25"/>
        </w:rPr>
        <w:t xml:space="preserve"> </w:t>
      </w:r>
      <w:r w:rsidR="005E6B42">
        <w:rPr>
          <w:rFonts w:ascii="Aptos" w:hAnsi="Aptos" w:cs="Times New Roman"/>
          <w:sz w:val="25"/>
          <w:szCs w:val="25"/>
        </w:rPr>
        <w:t xml:space="preserve">12.07, according to DCF’s </w:t>
      </w:r>
      <w:r w:rsidR="005E6B42">
        <w:rPr>
          <w:rFonts w:ascii="Aptos" w:hAnsi="Aptos" w:cs="Times New Roman"/>
          <w:i/>
          <w:iCs/>
          <w:sz w:val="25"/>
          <w:szCs w:val="25"/>
        </w:rPr>
        <w:t>Objection</w:t>
      </w:r>
      <w:r w:rsidR="005E6B42">
        <w:rPr>
          <w:rFonts w:ascii="Aptos" w:hAnsi="Aptos" w:cs="Times New Roman"/>
          <w:sz w:val="25"/>
          <w:szCs w:val="25"/>
        </w:rPr>
        <w:t>, “does not rel</w:t>
      </w:r>
      <w:r w:rsidR="0083334E">
        <w:rPr>
          <w:rFonts w:ascii="Aptos" w:hAnsi="Aptos" w:cs="Times New Roman"/>
          <w:sz w:val="25"/>
          <w:szCs w:val="25"/>
        </w:rPr>
        <w:t>i</w:t>
      </w:r>
      <w:r w:rsidR="005E6B42">
        <w:rPr>
          <w:rFonts w:ascii="Aptos" w:hAnsi="Aptos" w:cs="Times New Roman"/>
          <w:sz w:val="25"/>
          <w:szCs w:val="25"/>
        </w:rPr>
        <w:t>eve the Department of its obligations under [M.]G.L.</w:t>
      </w:r>
      <w:r w:rsidR="00090BD9">
        <w:rPr>
          <w:rFonts w:ascii="Aptos" w:hAnsi="Aptos" w:cs="Times New Roman"/>
          <w:sz w:val="25"/>
          <w:szCs w:val="25"/>
        </w:rPr>
        <w:t xml:space="preserve"> </w:t>
      </w:r>
      <w:r w:rsidR="005E6B42">
        <w:rPr>
          <w:rFonts w:ascii="Aptos" w:hAnsi="Aptos" w:cs="Times New Roman"/>
          <w:sz w:val="25"/>
          <w:szCs w:val="25"/>
        </w:rPr>
        <w:t xml:space="preserve">c. </w:t>
      </w:r>
      <w:r w:rsidR="0083334E" w:rsidRPr="005E6B42">
        <w:rPr>
          <w:rFonts w:ascii="Aptos" w:hAnsi="Aptos" w:cs="Times New Roman"/>
          <w:color w:val="000000" w:themeColor="text1"/>
          <w:sz w:val="25"/>
          <w:szCs w:val="25"/>
        </w:rPr>
        <w:t>§</w:t>
      </w:r>
      <w:r w:rsidR="005E6B42">
        <w:rPr>
          <w:rFonts w:ascii="Aptos" w:hAnsi="Aptos" w:cs="Times New Roman"/>
          <w:sz w:val="25"/>
          <w:szCs w:val="25"/>
        </w:rPr>
        <w:t xml:space="preserve"> 51F and [M.]G.L. c. 112, </w:t>
      </w:r>
      <w:r w:rsidR="0083334E" w:rsidRPr="005E6B42">
        <w:rPr>
          <w:rFonts w:ascii="Aptos" w:hAnsi="Aptos" w:cs="Times New Roman"/>
          <w:color w:val="000000" w:themeColor="text1"/>
          <w:sz w:val="25"/>
          <w:szCs w:val="25"/>
        </w:rPr>
        <w:t>§</w:t>
      </w:r>
      <w:r w:rsidR="00AD3DA3">
        <w:rPr>
          <w:rFonts w:ascii="Aptos" w:hAnsi="Aptos" w:cs="Times New Roman"/>
          <w:color w:val="000000" w:themeColor="text1"/>
          <w:sz w:val="25"/>
          <w:szCs w:val="25"/>
        </w:rPr>
        <w:t xml:space="preserve"> </w:t>
      </w:r>
      <w:r w:rsidR="005E6B42">
        <w:rPr>
          <w:rFonts w:ascii="Aptos" w:hAnsi="Aptos" w:cs="Times New Roman"/>
          <w:sz w:val="25"/>
          <w:szCs w:val="25"/>
        </w:rPr>
        <w:lastRenderedPageBreak/>
        <w:t xml:space="preserve">135A[;] [s]uch language merely conforms with the language and requirements of [M.]G.L. c. 66A[, which] does not supersede that of [M.]G.L. c. 119, </w:t>
      </w:r>
      <w:r w:rsidR="0083334E" w:rsidRPr="005E6B42">
        <w:rPr>
          <w:rFonts w:ascii="Aptos" w:hAnsi="Aptos" w:cs="Times New Roman"/>
          <w:color w:val="000000" w:themeColor="text1"/>
          <w:sz w:val="25"/>
          <w:szCs w:val="25"/>
        </w:rPr>
        <w:t>§</w:t>
      </w:r>
      <w:r w:rsidR="005E6B42">
        <w:rPr>
          <w:rFonts w:ascii="Aptos" w:hAnsi="Aptos" w:cs="Times New Roman"/>
          <w:sz w:val="25"/>
          <w:szCs w:val="25"/>
        </w:rPr>
        <w:t xml:space="preserve">51F and </w:t>
      </w:r>
      <w:r w:rsidR="0083334E">
        <w:rPr>
          <w:rFonts w:ascii="Aptos" w:hAnsi="Aptos" w:cs="Times New Roman"/>
          <w:sz w:val="25"/>
          <w:szCs w:val="25"/>
        </w:rPr>
        <w:t>[M.]</w:t>
      </w:r>
      <w:r w:rsidR="005E6B42">
        <w:rPr>
          <w:rFonts w:ascii="Aptos" w:hAnsi="Aptos" w:cs="Times New Roman"/>
          <w:sz w:val="25"/>
          <w:szCs w:val="25"/>
        </w:rPr>
        <w:t>G.L.</w:t>
      </w:r>
      <w:r w:rsidR="0083334E">
        <w:rPr>
          <w:rFonts w:ascii="Aptos" w:hAnsi="Aptos" w:cs="Times New Roman"/>
          <w:sz w:val="25"/>
          <w:szCs w:val="25"/>
        </w:rPr>
        <w:t xml:space="preserve"> </w:t>
      </w:r>
      <w:r w:rsidR="005E6B42">
        <w:rPr>
          <w:rFonts w:ascii="Aptos" w:hAnsi="Aptos" w:cs="Times New Roman"/>
          <w:sz w:val="25"/>
          <w:szCs w:val="25"/>
        </w:rPr>
        <w:t xml:space="preserve">c. 112, </w:t>
      </w:r>
      <w:r w:rsidR="0083334E" w:rsidRPr="005E6B42">
        <w:rPr>
          <w:rFonts w:ascii="Aptos" w:hAnsi="Aptos" w:cs="Times New Roman"/>
          <w:color w:val="000000" w:themeColor="text1"/>
          <w:sz w:val="25"/>
          <w:szCs w:val="25"/>
        </w:rPr>
        <w:t>§</w:t>
      </w:r>
      <w:r w:rsidR="005E6B42">
        <w:rPr>
          <w:rFonts w:ascii="Aptos" w:hAnsi="Aptos" w:cs="Times New Roman"/>
          <w:sz w:val="25"/>
          <w:szCs w:val="25"/>
        </w:rPr>
        <w:t>135</w:t>
      </w:r>
      <w:r w:rsidR="0083334E">
        <w:rPr>
          <w:rFonts w:ascii="Aptos" w:hAnsi="Aptos" w:cs="Times New Roman"/>
          <w:sz w:val="25"/>
          <w:szCs w:val="25"/>
        </w:rPr>
        <w:t>A</w:t>
      </w:r>
      <w:r w:rsidR="005E6B42">
        <w:rPr>
          <w:rFonts w:ascii="Aptos" w:hAnsi="Aptos" w:cs="Times New Roman"/>
          <w:sz w:val="25"/>
          <w:szCs w:val="25"/>
        </w:rPr>
        <w:t xml:space="preserve"> absent specific language to the contrary.”</w:t>
      </w:r>
    </w:p>
    <w:p w14:paraId="6C37DCFC" w14:textId="77777777" w:rsidR="000E5C05" w:rsidRPr="000E5C05" w:rsidRDefault="000E5C05" w:rsidP="003A1D3F">
      <w:pPr>
        <w:pStyle w:val="NoSpacing"/>
        <w:rPr>
          <w:rFonts w:ascii="Aptos" w:hAnsi="Aptos" w:cs="Times New Roman"/>
          <w:sz w:val="25"/>
          <w:szCs w:val="25"/>
        </w:rPr>
      </w:pPr>
    </w:p>
    <w:p w14:paraId="5D643B0D" w14:textId="7FD3BCAF" w:rsidR="000E5C05" w:rsidRPr="000E5C05" w:rsidRDefault="000E5C05" w:rsidP="000E5C05">
      <w:pPr>
        <w:pStyle w:val="NoSpacing"/>
        <w:numPr>
          <w:ilvl w:val="0"/>
          <w:numId w:val="8"/>
        </w:numPr>
        <w:rPr>
          <w:rFonts w:ascii="Aptos" w:hAnsi="Aptos" w:cs="Times New Roman"/>
          <w:i/>
          <w:iCs/>
          <w:sz w:val="25"/>
          <w:szCs w:val="25"/>
        </w:rPr>
      </w:pPr>
      <w:r>
        <w:rPr>
          <w:rFonts w:ascii="Aptos" w:hAnsi="Aptos" w:cs="Times New Roman"/>
          <w:i/>
          <w:iCs/>
          <w:sz w:val="25"/>
          <w:szCs w:val="25"/>
        </w:rPr>
        <w:t>Application</w:t>
      </w:r>
    </w:p>
    <w:p w14:paraId="3DB7375E" w14:textId="77777777" w:rsidR="000E5C05" w:rsidRDefault="000E5C05" w:rsidP="000E5C05">
      <w:pPr>
        <w:pStyle w:val="NoSpacing"/>
        <w:rPr>
          <w:rFonts w:ascii="Aptos" w:hAnsi="Aptos" w:cs="Times New Roman"/>
          <w:sz w:val="25"/>
          <w:szCs w:val="25"/>
        </w:rPr>
      </w:pPr>
    </w:p>
    <w:p w14:paraId="7B0E3C99" w14:textId="375F5560" w:rsidR="0083334E" w:rsidRDefault="0083334E" w:rsidP="0083334E">
      <w:pPr>
        <w:pStyle w:val="NoSpacing"/>
        <w:ind w:firstLine="720"/>
        <w:rPr>
          <w:rFonts w:ascii="Aptos" w:hAnsi="Aptos" w:cs="Times New Roman"/>
          <w:sz w:val="25"/>
          <w:szCs w:val="25"/>
        </w:rPr>
      </w:pPr>
      <w:r>
        <w:rPr>
          <w:rFonts w:ascii="Aptos" w:hAnsi="Aptos" w:cs="Times New Roman"/>
          <w:sz w:val="25"/>
          <w:szCs w:val="25"/>
        </w:rPr>
        <w:t>According to Foxborough, in making its LEA assignment, DESE reviewed (and presumably relied on) information provided by DCF regarding Student’s living arrangements. As such, Foxborough is correct that the information it seeks from DCF, namely information regarding the physical attributes of the room, financial arrangements, and the like, is relevant for purposes of my review of DESE’s determination that Foxborough bears programmatic and financial responsibility for Student’s special education program.</w:t>
      </w:r>
    </w:p>
    <w:p w14:paraId="43DDBAAE" w14:textId="77777777" w:rsidR="0083334E" w:rsidRDefault="0083334E" w:rsidP="0083334E">
      <w:pPr>
        <w:pStyle w:val="NoSpacing"/>
        <w:ind w:firstLine="720"/>
        <w:rPr>
          <w:rFonts w:ascii="Aptos" w:hAnsi="Aptos" w:cs="Times New Roman"/>
          <w:sz w:val="25"/>
          <w:szCs w:val="25"/>
        </w:rPr>
      </w:pPr>
    </w:p>
    <w:p w14:paraId="346AA12C" w14:textId="4552C606" w:rsidR="00FB3255" w:rsidRDefault="0083334E" w:rsidP="00FB3255">
      <w:pPr>
        <w:pStyle w:val="FootnoteText"/>
        <w:ind w:firstLine="720"/>
        <w:rPr>
          <w:rFonts w:ascii="Aptos" w:hAnsi="Aptos" w:cs="Times New Roman"/>
          <w:sz w:val="25"/>
          <w:szCs w:val="25"/>
        </w:rPr>
      </w:pPr>
      <w:r>
        <w:rPr>
          <w:rFonts w:ascii="Aptos" w:hAnsi="Aptos" w:cs="Times New Roman"/>
          <w:sz w:val="25"/>
          <w:szCs w:val="25"/>
        </w:rPr>
        <w:t xml:space="preserve">DCF is also correct that </w:t>
      </w:r>
      <w:r w:rsidR="00FB3255">
        <w:rPr>
          <w:rFonts w:ascii="Aptos" w:hAnsi="Aptos" w:cs="Times New Roman"/>
          <w:sz w:val="25"/>
          <w:szCs w:val="25"/>
        </w:rPr>
        <w:t xml:space="preserve">the BSEA is not a court, within the meaning of M.G.L. c. 119, </w:t>
      </w:r>
      <w:r w:rsidR="00FB3255" w:rsidRPr="005E6B42">
        <w:rPr>
          <w:rFonts w:ascii="Aptos" w:hAnsi="Aptos" w:cs="Times New Roman"/>
          <w:color w:val="000000" w:themeColor="text1"/>
          <w:sz w:val="25"/>
          <w:szCs w:val="25"/>
        </w:rPr>
        <w:t>§</w:t>
      </w:r>
      <w:r w:rsidR="00AD3DA3">
        <w:rPr>
          <w:rFonts w:ascii="Aptos" w:hAnsi="Aptos" w:cs="Times New Roman"/>
          <w:color w:val="000000" w:themeColor="text1"/>
          <w:sz w:val="25"/>
          <w:szCs w:val="25"/>
        </w:rPr>
        <w:t xml:space="preserve"> </w:t>
      </w:r>
      <w:r w:rsidR="00FB3255">
        <w:rPr>
          <w:rFonts w:ascii="Aptos" w:hAnsi="Aptos" w:cs="Times New Roman"/>
          <w:sz w:val="25"/>
          <w:szCs w:val="25"/>
        </w:rPr>
        <w:t>51F, that can issue an order that confidential “d</w:t>
      </w:r>
      <w:r w:rsidR="00FB3255" w:rsidRPr="00FB3255">
        <w:rPr>
          <w:rFonts w:ascii="Aptos" w:hAnsi="Aptos" w:cs="Times New Roman"/>
          <w:sz w:val="25"/>
          <w:szCs w:val="25"/>
        </w:rPr>
        <w:t>ata and information relating to individual cases in the central registry</w:t>
      </w:r>
      <w:r w:rsidR="00FB3255">
        <w:rPr>
          <w:rFonts w:ascii="Aptos" w:hAnsi="Aptos" w:cs="Times New Roman"/>
          <w:sz w:val="25"/>
          <w:szCs w:val="25"/>
        </w:rPr>
        <w:t>” shall be</w:t>
      </w:r>
      <w:r w:rsidR="00FB3255" w:rsidRPr="00FB3255">
        <w:rPr>
          <w:rFonts w:ascii="Aptos" w:hAnsi="Aptos" w:cs="Times New Roman"/>
          <w:sz w:val="25"/>
          <w:szCs w:val="25"/>
        </w:rPr>
        <w:t xml:space="preserve"> made available</w:t>
      </w:r>
      <w:r w:rsidR="00FB3255">
        <w:rPr>
          <w:rFonts w:ascii="Aptos" w:hAnsi="Aptos" w:cs="Times New Roman"/>
          <w:sz w:val="25"/>
          <w:szCs w:val="25"/>
        </w:rPr>
        <w:t>.</w:t>
      </w:r>
      <w:r w:rsidR="00FB3255" w:rsidRPr="00FB3255">
        <w:rPr>
          <w:rFonts w:ascii="Aptos" w:hAnsi="Aptos" w:cs="Times New Roman"/>
          <w:sz w:val="25"/>
          <w:szCs w:val="25"/>
        </w:rPr>
        <w:t xml:space="preserve"> </w:t>
      </w:r>
      <w:r w:rsidR="00FB3255">
        <w:rPr>
          <w:rFonts w:ascii="Aptos" w:hAnsi="Aptos" w:cs="Times New Roman"/>
          <w:sz w:val="25"/>
          <w:szCs w:val="25"/>
        </w:rPr>
        <w:t>Moreover,</w:t>
      </w:r>
    </w:p>
    <w:p w14:paraId="3371B755" w14:textId="5261A6D1" w:rsidR="00FB3255" w:rsidRDefault="0083334E" w:rsidP="00FB3255">
      <w:pPr>
        <w:pStyle w:val="FootnoteText"/>
        <w:rPr>
          <w:rFonts w:ascii="Aptos" w:hAnsi="Aptos"/>
          <w:sz w:val="25"/>
          <w:szCs w:val="25"/>
        </w:rPr>
      </w:pPr>
      <w:r>
        <w:rPr>
          <w:rFonts w:ascii="Aptos" w:hAnsi="Aptos" w:cs="Times New Roman"/>
          <w:sz w:val="25"/>
          <w:szCs w:val="25"/>
        </w:rPr>
        <w:t xml:space="preserve">information regarding Student </w:t>
      </w:r>
      <w:r w:rsidR="00B252D8">
        <w:rPr>
          <w:rFonts w:ascii="Aptos" w:hAnsi="Aptos" w:cs="Times New Roman"/>
          <w:sz w:val="25"/>
          <w:szCs w:val="25"/>
        </w:rPr>
        <w:t>“acquired or revealed in the course of or in connection with the performance of [her] social worker’s professional services, including the fact, circumstances, findings, or records of such services” is presumptively privileged.</w:t>
      </w:r>
      <w:r w:rsidR="00B252D8">
        <w:rPr>
          <w:rStyle w:val="FootnoteReference"/>
          <w:rFonts w:ascii="Aptos" w:hAnsi="Aptos" w:cs="Times New Roman"/>
          <w:sz w:val="25"/>
          <w:szCs w:val="25"/>
        </w:rPr>
        <w:footnoteReference w:id="20"/>
      </w:r>
      <w:r w:rsidR="00B252D8">
        <w:rPr>
          <w:rFonts w:ascii="Aptos" w:hAnsi="Aptos" w:cs="Times New Roman"/>
          <w:sz w:val="25"/>
          <w:szCs w:val="25"/>
        </w:rPr>
        <w:t xml:space="preserve"> As a minor, Student cannot consent to the release of confidential information, and there is nothing in the record to indicate that Parent has done so. There is also nothing in the record to suggest </w:t>
      </w:r>
      <w:r w:rsidR="00B252D8" w:rsidRPr="00FB3255">
        <w:rPr>
          <w:rFonts w:ascii="Aptos" w:hAnsi="Aptos" w:cs="Times New Roman"/>
          <w:sz w:val="25"/>
          <w:szCs w:val="25"/>
        </w:rPr>
        <w:t xml:space="preserve">that Student is in the care or custody of the Department, implicating </w:t>
      </w:r>
      <w:r w:rsidR="00FB3255" w:rsidRPr="00FB3255">
        <w:rPr>
          <w:rFonts w:ascii="Aptos" w:hAnsi="Aptos" w:cs="Times New Roman"/>
          <w:sz w:val="25"/>
          <w:szCs w:val="25"/>
        </w:rPr>
        <w:t xml:space="preserve">potential exceptions under </w:t>
      </w:r>
      <w:r w:rsidR="00FB3255" w:rsidRPr="00FB3255">
        <w:rPr>
          <w:rFonts w:ascii="Aptos" w:hAnsi="Aptos"/>
          <w:sz w:val="25"/>
          <w:szCs w:val="25"/>
        </w:rPr>
        <w:t xml:space="preserve">110 </w:t>
      </w:r>
      <w:r w:rsidR="002B2544">
        <w:rPr>
          <w:rFonts w:ascii="Aptos" w:hAnsi="Aptos"/>
          <w:sz w:val="25"/>
          <w:szCs w:val="25"/>
        </w:rPr>
        <w:t>C.M.R.</w:t>
      </w:r>
      <w:r w:rsidR="00FB3255" w:rsidRPr="00FB3255">
        <w:rPr>
          <w:rFonts w:ascii="Aptos" w:hAnsi="Aptos"/>
          <w:sz w:val="25"/>
          <w:szCs w:val="25"/>
        </w:rPr>
        <w:t xml:space="preserve"> </w:t>
      </w:r>
      <w:r w:rsidR="00FB3255" w:rsidRPr="00FB3255">
        <w:rPr>
          <w:rFonts w:ascii="Aptos" w:hAnsi="Aptos" w:cs="Times New Roman"/>
          <w:color w:val="000000" w:themeColor="text1"/>
          <w:sz w:val="25"/>
          <w:szCs w:val="25"/>
        </w:rPr>
        <w:t>§</w:t>
      </w:r>
      <w:r w:rsidR="00FB3255" w:rsidRPr="00FB3255">
        <w:rPr>
          <w:rFonts w:ascii="Aptos" w:hAnsi="Aptos"/>
          <w:sz w:val="25"/>
          <w:szCs w:val="25"/>
        </w:rPr>
        <w:t>12.06.</w:t>
      </w:r>
      <w:r w:rsidR="00FB3255">
        <w:rPr>
          <w:rFonts w:ascii="Aptos" w:hAnsi="Aptos"/>
          <w:sz w:val="25"/>
          <w:szCs w:val="25"/>
        </w:rPr>
        <w:t xml:space="preserve"> Furthermore, </w:t>
      </w:r>
      <w:r w:rsidR="00172B93">
        <w:rPr>
          <w:rFonts w:ascii="Aptos" w:hAnsi="Aptos"/>
          <w:sz w:val="25"/>
          <w:szCs w:val="25"/>
        </w:rPr>
        <w:t xml:space="preserve">even if </w:t>
      </w:r>
      <w:r w:rsidR="002B2544">
        <w:rPr>
          <w:rFonts w:ascii="Aptos" w:hAnsi="Aptos"/>
          <w:sz w:val="25"/>
          <w:szCs w:val="25"/>
        </w:rPr>
        <w:t>Student</w:t>
      </w:r>
      <w:r w:rsidR="00172B93">
        <w:rPr>
          <w:rFonts w:ascii="Aptos" w:hAnsi="Aptos"/>
          <w:sz w:val="25"/>
          <w:szCs w:val="25"/>
        </w:rPr>
        <w:t xml:space="preserve"> were in the Department’s care, </w:t>
      </w:r>
      <w:r w:rsidR="00FB3255">
        <w:rPr>
          <w:rFonts w:ascii="Aptos" w:hAnsi="Aptos"/>
          <w:sz w:val="25"/>
          <w:szCs w:val="25"/>
        </w:rPr>
        <w:t xml:space="preserve">DCF has not indicated that release of information regarding Student is in her best interest; instead, it is challenging the issuance of a subpoena </w:t>
      </w:r>
      <w:r w:rsidR="00FB3255">
        <w:rPr>
          <w:rFonts w:ascii="Aptos" w:hAnsi="Aptos"/>
          <w:i/>
          <w:iCs/>
          <w:sz w:val="25"/>
          <w:szCs w:val="25"/>
        </w:rPr>
        <w:t>duces tecum</w:t>
      </w:r>
      <w:r w:rsidR="00FB3255">
        <w:rPr>
          <w:rFonts w:ascii="Aptos" w:hAnsi="Aptos"/>
          <w:sz w:val="25"/>
          <w:szCs w:val="25"/>
        </w:rPr>
        <w:t xml:space="preserve"> seeking this information.</w:t>
      </w:r>
      <w:r w:rsidR="00FB3255">
        <w:rPr>
          <w:rStyle w:val="FootnoteReference"/>
          <w:rFonts w:ascii="Aptos" w:hAnsi="Aptos"/>
          <w:sz w:val="25"/>
          <w:szCs w:val="25"/>
        </w:rPr>
        <w:footnoteReference w:id="21"/>
      </w:r>
      <w:r w:rsidR="00FB3255">
        <w:rPr>
          <w:rFonts w:ascii="Aptos" w:hAnsi="Aptos"/>
          <w:sz w:val="25"/>
          <w:szCs w:val="25"/>
        </w:rPr>
        <w:t xml:space="preserve"> </w:t>
      </w:r>
    </w:p>
    <w:p w14:paraId="47C07732" w14:textId="77777777" w:rsidR="00172B93" w:rsidRDefault="00172B93" w:rsidP="00FB3255">
      <w:pPr>
        <w:pStyle w:val="FootnoteText"/>
        <w:rPr>
          <w:rFonts w:ascii="Aptos" w:hAnsi="Aptos"/>
          <w:sz w:val="25"/>
          <w:szCs w:val="25"/>
        </w:rPr>
      </w:pPr>
    </w:p>
    <w:p w14:paraId="3B862FC8" w14:textId="57BB8410" w:rsidR="00217FEC" w:rsidRPr="003B7D42" w:rsidRDefault="006A5632" w:rsidP="00280C62">
      <w:pPr>
        <w:pStyle w:val="NoSpacing"/>
        <w:ind w:firstLine="720"/>
        <w:rPr>
          <w:rFonts w:ascii="Aptos" w:hAnsi="Aptos" w:cs="Times New Roman"/>
          <w:sz w:val="25"/>
          <w:szCs w:val="25"/>
        </w:rPr>
      </w:pPr>
      <w:r>
        <w:rPr>
          <w:rFonts w:ascii="Aptos" w:hAnsi="Aptos"/>
          <w:sz w:val="25"/>
          <w:szCs w:val="25"/>
        </w:rPr>
        <w:t>T</w:t>
      </w:r>
      <w:r w:rsidR="00172B93">
        <w:rPr>
          <w:rFonts w:ascii="Aptos" w:hAnsi="Aptos"/>
          <w:sz w:val="25"/>
          <w:szCs w:val="25"/>
        </w:rPr>
        <w:t>o the extent Foxborough seeks correspondence between DESE and DCF regarding Student and her living situation, it may request such correspondence from DESE without implicating the same statutory and regulatory protections raised by the Department. To the extent Foxborough seeks information in DCF’s “possession, custody and control relating to the financial rental arrangements and physical attributes of the room the student is staying in at [Hotel], located at [redacted address]</w:t>
      </w:r>
      <w:r w:rsidR="00217FEC">
        <w:rPr>
          <w:rFonts w:ascii="Aptos" w:hAnsi="Aptos"/>
          <w:sz w:val="25"/>
          <w:szCs w:val="25"/>
        </w:rPr>
        <w:t xml:space="preserve">,” </w:t>
      </w:r>
      <w:r w:rsidR="007E3182">
        <w:rPr>
          <w:rFonts w:ascii="Aptos" w:hAnsi="Aptos"/>
          <w:sz w:val="25"/>
          <w:szCs w:val="25"/>
        </w:rPr>
        <w:t>it is because, as the District asserts,</w:t>
      </w:r>
      <w:r w:rsidR="00217FEC">
        <w:rPr>
          <w:rFonts w:ascii="Aptos" w:hAnsi="Aptos"/>
          <w:sz w:val="25"/>
          <w:szCs w:val="25"/>
        </w:rPr>
        <w:t xml:space="preserve"> DESE relied on that information in making its LEA assignment</w:t>
      </w:r>
      <w:r w:rsidR="007E3182">
        <w:rPr>
          <w:rFonts w:ascii="Aptos" w:hAnsi="Aptos"/>
          <w:sz w:val="25"/>
          <w:szCs w:val="25"/>
        </w:rPr>
        <w:t>. The</w:t>
      </w:r>
      <w:r w:rsidR="00217FEC">
        <w:rPr>
          <w:rFonts w:ascii="Aptos" w:hAnsi="Aptos"/>
          <w:sz w:val="25"/>
          <w:szCs w:val="25"/>
        </w:rPr>
        <w:t xml:space="preserve"> District may obtain this information from DESE by way of a subpoena </w:t>
      </w:r>
      <w:r w:rsidR="00217FEC">
        <w:rPr>
          <w:rFonts w:ascii="Aptos" w:hAnsi="Aptos"/>
          <w:i/>
          <w:iCs/>
          <w:sz w:val="25"/>
          <w:szCs w:val="25"/>
        </w:rPr>
        <w:t xml:space="preserve">duces tecum </w:t>
      </w:r>
      <w:r w:rsidR="00217FEC">
        <w:rPr>
          <w:rFonts w:ascii="Aptos" w:hAnsi="Aptos"/>
          <w:sz w:val="25"/>
          <w:szCs w:val="25"/>
        </w:rPr>
        <w:t xml:space="preserve">and/or through live testimony. </w:t>
      </w:r>
      <w:r w:rsidR="00280C62">
        <w:rPr>
          <w:rFonts w:ascii="Aptos" w:hAnsi="Aptos"/>
          <w:sz w:val="25"/>
          <w:szCs w:val="25"/>
        </w:rPr>
        <w:t xml:space="preserve">Given the important </w:t>
      </w:r>
      <w:r w:rsidR="00280C62">
        <w:rPr>
          <w:rFonts w:ascii="Aptos" w:hAnsi="Aptos"/>
          <w:sz w:val="25"/>
          <w:szCs w:val="25"/>
        </w:rPr>
        <w:lastRenderedPageBreak/>
        <w:t>countervailing confidentiality concerns that arise when DCF records are sought, and the availability of this information through other means</w:t>
      </w:r>
      <w:r w:rsidR="002B2544">
        <w:rPr>
          <w:rFonts w:ascii="Aptos" w:hAnsi="Aptos"/>
          <w:sz w:val="25"/>
          <w:szCs w:val="25"/>
        </w:rPr>
        <w:t xml:space="preserve"> in this case</w:t>
      </w:r>
      <w:r w:rsidR="00280C62">
        <w:rPr>
          <w:rFonts w:ascii="Aptos" w:hAnsi="Aptos"/>
          <w:sz w:val="25"/>
          <w:szCs w:val="25"/>
        </w:rPr>
        <w:t>, I need not address DCF’s final argument that BSEA p</w:t>
      </w:r>
      <w:r w:rsidR="00280C62">
        <w:rPr>
          <w:rFonts w:ascii="Aptos" w:hAnsi="Aptos" w:cs="Times New Roman"/>
          <w:sz w:val="25"/>
          <w:szCs w:val="25"/>
        </w:rPr>
        <w:t xml:space="preserve">roceedings are adjudicatory hearings subject to M.G.L. c. 30A, not civil proceedings within the meaning of 110 C.M.R. </w:t>
      </w:r>
      <w:r w:rsidR="00280C62" w:rsidRPr="005E6B42">
        <w:rPr>
          <w:rFonts w:ascii="Aptos" w:hAnsi="Aptos" w:cs="Times New Roman"/>
          <w:color w:val="000000" w:themeColor="text1"/>
          <w:sz w:val="25"/>
          <w:szCs w:val="25"/>
        </w:rPr>
        <w:t>§</w:t>
      </w:r>
      <w:r w:rsidR="00AD3DA3">
        <w:rPr>
          <w:rFonts w:ascii="Aptos" w:hAnsi="Aptos" w:cs="Times New Roman"/>
          <w:color w:val="000000" w:themeColor="text1"/>
          <w:sz w:val="25"/>
          <w:szCs w:val="25"/>
        </w:rPr>
        <w:t xml:space="preserve"> </w:t>
      </w:r>
      <w:r w:rsidR="00280C62">
        <w:rPr>
          <w:rFonts w:ascii="Aptos" w:hAnsi="Aptos" w:cs="Times New Roman"/>
          <w:sz w:val="25"/>
          <w:szCs w:val="25"/>
        </w:rPr>
        <w:t>12.07.</w:t>
      </w:r>
      <w:r w:rsidR="00090BD9">
        <w:rPr>
          <w:rFonts w:ascii="Aptos" w:hAnsi="Aptos" w:cs="Times New Roman"/>
          <w:sz w:val="25"/>
          <w:szCs w:val="25"/>
        </w:rPr>
        <w:t xml:space="preserve">  </w:t>
      </w:r>
      <w:r w:rsidR="007E3182">
        <w:rPr>
          <w:rFonts w:ascii="Aptos" w:hAnsi="Aptos" w:cs="Times New Roman"/>
          <w:sz w:val="25"/>
          <w:szCs w:val="25"/>
        </w:rPr>
        <w:t>I find that although the material sought is relevant to the matter in question,</w:t>
      </w:r>
      <w:r w:rsidR="002B2544">
        <w:rPr>
          <w:rFonts w:ascii="Aptos" w:hAnsi="Aptos" w:cs="Times New Roman"/>
          <w:sz w:val="25"/>
          <w:szCs w:val="25"/>
        </w:rPr>
        <w:t xml:space="preserve"> in the specific circumstances of this case,</w:t>
      </w:r>
      <w:r w:rsidR="007E3182">
        <w:rPr>
          <w:rFonts w:ascii="Aptos" w:hAnsi="Aptos" w:cs="Times New Roman"/>
          <w:sz w:val="25"/>
          <w:szCs w:val="25"/>
        </w:rPr>
        <w:t xml:space="preserve"> “the breadth of the material sought imposes an undue burden” on</w:t>
      </w:r>
      <w:r w:rsidR="00280C62">
        <w:rPr>
          <w:rFonts w:ascii="Aptos" w:hAnsi="Aptos" w:cs="Times New Roman"/>
          <w:sz w:val="25"/>
          <w:szCs w:val="25"/>
        </w:rPr>
        <w:t xml:space="preserve"> DCF.</w:t>
      </w:r>
      <w:r w:rsidR="00280C62">
        <w:rPr>
          <w:rStyle w:val="FootnoteReference"/>
          <w:rFonts w:ascii="Aptos" w:hAnsi="Aptos" w:cs="Times New Roman"/>
          <w:sz w:val="25"/>
          <w:szCs w:val="25"/>
        </w:rPr>
        <w:footnoteReference w:id="22"/>
      </w:r>
    </w:p>
    <w:p w14:paraId="1A7A8881" w14:textId="77777777" w:rsidR="00217FEC" w:rsidRPr="003125DE" w:rsidRDefault="00217FEC" w:rsidP="00F661D1">
      <w:pPr>
        <w:rPr>
          <w:rFonts w:ascii="Aptos" w:hAnsi="Aptos"/>
          <w:sz w:val="25"/>
          <w:szCs w:val="25"/>
        </w:rPr>
      </w:pPr>
    </w:p>
    <w:p w14:paraId="6A855D6A" w14:textId="5653FF87" w:rsidR="00F661D1" w:rsidRPr="00CE1210" w:rsidRDefault="00F661D1" w:rsidP="00F661D1">
      <w:pPr>
        <w:pStyle w:val="NoSpacing"/>
        <w:rPr>
          <w:rFonts w:ascii="Aptos" w:hAnsi="Aptos" w:cs="Times New Roman"/>
          <w:color w:val="000000" w:themeColor="text1"/>
          <w:sz w:val="25"/>
          <w:szCs w:val="25"/>
          <w:u w:val="single"/>
          <w:shd w:val="clear" w:color="auto" w:fill="FFFFFF"/>
        </w:rPr>
      </w:pPr>
      <w:r w:rsidRPr="00CE1210">
        <w:rPr>
          <w:rFonts w:ascii="Aptos" w:hAnsi="Aptos" w:cs="Times New Roman"/>
          <w:color w:val="000000" w:themeColor="text1"/>
          <w:sz w:val="25"/>
          <w:szCs w:val="25"/>
          <w:u w:val="single"/>
          <w:shd w:val="clear" w:color="auto" w:fill="FFFFFF"/>
        </w:rPr>
        <w:t>CONCLUSION</w:t>
      </w:r>
    </w:p>
    <w:p w14:paraId="195D9143" w14:textId="77777777" w:rsidR="00F661D1" w:rsidRDefault="00F661D1" w:rsidP="00F661D1">
      <w:pPr>
        <w:pStyle w:val="NoSpacing"/>
        <w:rPr>
          <w:rFonts w:ascii="Aptos" w:hAnsi="Aptos" w:cs="Times New Roman"/>
          <w:sz w:val="25"/>
          <w:szCs w:val="25"/>
        </w:rPr>
      </w:pPr>
    </w:p>
    <w:p w14:paraId="2347A791" w14:textId="2A5CF76B" w:rsidR="00FF26F6" w:rsidRPr="00122AA3" w:rsidRDefault="00122AA3" w:rsidP="00280C62">
      <w:pPr>
        <w:pStyle w:val="NoSpacing"/>
        <w:ind w:firstLine="720"/>
        <w:rPr>
          <w:rFonts w:ascii="Aptos" w:hAnsi="Aptos" w:cs="Times New Roman"/>
          <w:sz w:val="25"/>
          <w:szCs w:val="25"/>
        </w:rPr>
      </w:pPr>
      <w:r>
        <w:rPr>
          <w:rFonts w:ascii="Aptos" w:hAnsi="Aptos" w:cs="Times New Roman"/>
          <w:sz w:val="25"/>
          <w:szCs w:val="25"/>
        </w:rPr>
        <w:t>For the reasons above,</w:t>
      </w:r>
      <w:r w:rsidR="00217FEC">
        <w:rPr>
          <w:rFonts w:ascii="Aptos" w:hAnsi="Aptos" w:cs="Times New Roman"/>
          <w:sz w:val="25"/>
          <w:szCs w:val="25"/>
        </w:rPr>
        <w:t xml:space="preserve"> </w:t>
      </w:r>
      <w:r w:rsidR="00217FEC">
        <w:rPr>
          <w:rFonts w:ascii="Aptos" w:hAnsi="Aptos" w:cs="Times New Roman"/>
          <w:i/>
          <w:iCs/>
          <w:sz w:val="25"/>
          <w:szCs w:val="25"/>
        </w:rPr>
        <w:t xml:space="preserve">Non-Party Massachusetts Department of Children and Families’ Objection and Petition to Vacate Plaintiff, Foxborough Public Schools Subpoena Duces Tecum </w:t>
      </w:r>
      <w:r w:rsidR="00217FEC">
        <w:rPr>
          <w:rFonts w:ascii="Aptos" w:hAnsi="Aptos" w:cs="Times New Roman"/>
          <w:sz w:val="25"/>
          <w:szCs w:val="25"/>
        </w:rPr>
        <w:t>is</w:t>
      </w:r>
      <w:r>
        <w:rPr>
          <w:rFonts w:ascii="Aptos" w:hAnsi="Aptos" w:cs="Times New Roman"/>
          <w:sz w:val="25"/>
          <w:szCs w:val="25"/>
        </w:rPr>
        <w:t xml:space="preserve"> hereby </w:t>
      </w:r>
      <w:r w:rsidR="00217FEC">
        <w:rPr>
          <w:rFonts w:ascii="Aptos" w:hAnsi="Aptos" w:cs="Times New Roman"/>
          <w:b/>
          <w:bCs/>
          <w:sz w:val="25"/>
          <w:szCs w:val="25"/>
        </w:rPr>
        <w:t>ALLOWED</w:t>
      </w:r>
      <w:r w:rsidRPr="00122AA3">
        <w:rPr>
          <w:rFonts w:ascii="Aptos" w:hAnsi="Aptos" w:cs="Times New Roman"/>
          <w:b/>
          <w:bCs/>
          <w:sz w:val="25"/>
          <w:szCs w:val="25"/>
        </w:rPr>
        <w:t>.</w:t>
      </w:r>
    </w:p>
    <w:p w14:paraId="47C5E433" w14:textId="77777777" w:rsidR="00FF26F6" w:rsidRPr="00365C93" w:rsidRDefault="00FF26F6" w:rsidP="00F661D1">
      <w:pPr>
        <w:pStyle w:val="NoSpacing"/>
        <w:rPr>
          <w:rFonts w:ascii="Aptos" w:hAnsi="Aptos" w:cs="Times New Roman"/>
          <w:color w:val="000000"/>
          <w:sz w:val="25"/>
          <w:szCs w:val="25"/>
          <w:shd w:val="clear" w:color="auto" w:fill="FFFFFF"/>
        </w:rPr>
      </w:pPr>
    </w:p>
    <w:p w14:paraId="43DABF07" w14:textId="25678003" w:rsidR="00F661D1" w:rsidRPr="00365C93" w:rsidRDefault="00F661D1" w:rsidP="00F661D1">
      <w:pPr>
        <w:pStyle w:val="NoSpacing"/>
        <w:rPr>
          <w:rFonts w:ascii="Aptos" w:hAnsi="Aptos" w:cs="Times New Roman"/>
          <w:b/>
          <w:color w:val="000000" w:themeColor="text1"/>
          <w:sz w:val="25"/>
          <w:szCs w:val="25"/>
        </w:rPr>
      </w:pPr>
      <w:r w:rsidRPr="00365C93">
        <w:rPr>
          <w:rFonts w:ascii="Aptos" w:hAnsi="Aptos" w:cs="Times New Roman"/>
          <w:b/>
          <w:color w:val="000000" w:themeColor="text1"/>
          <w:sz w:val="25"/>
          <w:szCs w:val="25"/>
        </w:rPr>
        <w:t>ORDER</w:t>
      </w:r>
    </w:p>
    <w:p w14:paraId="39DF5286" w14:textId="77777777" w:rsidR="00F661D1" w:rsidRPr="00365C93" w:rsidRDefault="00F661D1" w:rsidP="00F661D1">
      <w:pPr>
        <w:pStyle w:val="NoSpacing"/>
        <w:rPr>
          <w:rFonts w:ascii="Aptos" w:hAnsi="Aptos" w:cs="Times New Roman"/>
          <w:color w:val="000000"/>
          <w:sz w:val="25"/>
          <w:szCs w:val="25"/>
          <w:shd w:val="clear" w:color="auto" w:fill="FFFFFF"/>
        </w:rPr>
      </w:pPr>
    </w:p>
    <w:p w14:paraId="6C0C48B9" w14:textId="2240CB0B" w:rsidR="00F661D1" w:rsidRDefault="00F661D1" w:rsidP="00217FEC">
      <w:pPr>
        <w:pStyle w:val="NoSpacing"/>
        <w:rPr>
          <w:rFonts w:ascii="Aptos" w:hAnsi="Aptos" w:cs="Times New Roman"/>
          <w:bCs/>
          <w:color w:val="000000" w:themeColor="text1"/>
          <w:sz w:val="25"/>
          <w:szCs w:val="25"/>
        </w:rPr>
      </w:pPr>
      <w:r w:rsidRPr="00365C93">
        <w:rPr>
          <w:rFonts w:ascii="Aptos" w:hAnsi="Aptos" w:cs="Times New Roman"/>
          <w:b/>
          <w:color w:val="000000" w:themeColor="text1"/>
          <w:sz w:val="25"/>
          <w:szCs w:val="25"/>
        </w:rPr>
        <w:tab/>
      </w:r>
      <w:r w:rsidR="002E012E">
        <w:rPr>
          <w:rFonts w:ascii="Aptos" w:hAnsi="Aptos" w:cs="Times New Roman"/>
          <w:bCs/>
          <w:color w:val="000000" w:themeColor="text1"/>
          <w:sz w:val="25"/>
          <w:szCs w:val="25"/>
        </w:rPr>
        <w:t>Th</w:t>
      </w:r>
      <w:r w:rsidR="00217FEC">
        <w:rPr>
          <w:rFonts w:ascii="Aptos" w:hAnsi="Aptos" w:cs="Times New Roman"/>
          <w:bCs/>
          <w:color w:val="000000" w:themeColor="text1"/>
          <w:sz w:val="25"/>
          <w:szCs w:val="25"/>
        </w:rPr>
        <w:t xml:space="preserve">e subpoena </w:t>
      </w:r>
      <w:r w:rsidR="00217FEC">
        <w:rPr>
          <w:rFonts w:ascii="Aptos" w:hAnsi="Aptos" w:cs="Times New Roman"/>
          <w:bCs/>
          <w:i/>
          <w:iCs/>
          <w:color w:val="000000" w:themeColor="text1"/>
          <w:sz w:val="25"/>
          <w:szCs w:val="25"/>
        </w:rPr>
        <w:t xml:space="preserve">duces tecum </w:t>
      </w:r>
      <w:r w:rsidR="00217FEC">
        <w:rPr>
          <w:rFonts w:ascii="Aptos" w:hAnsi="Aptos" w:cs="Times New Roman"/>
          <w:bCs/>
          <w:color w:val="000000" w:themeColor="text1"/>
          <w:sz w:val="25"/>
          <w:szCs w:val="25"/>
        </w:rPr>
        <w:t>issued by the BSEA to DCF on October 16, 2025 is hereby VACATED.</w:t>
      </w:r>
      <w:r w:rsidR="00122AA3">
        <w:rPr>
          <w:rFonts w:ascii="Aptos" w:hAnsi="Aptos" w:cs="Times New Roman"/>
          <w:bCs/>
          <w:color w:val="000000" w:themeColor="text1"/>
          <w:sz w:val="25"/>
          <w:szCs w:val="25"/>
        </w:rPr>
        <w:t xml:space="preserve"> </w:t>
      </w:r>
      <w:r w:rsidR="00217FEC">
        <w:rPr>
          <w:rFonts w:ascii="Aptos" w:hAnsi="Aptos" w:cs="Times New Roman"/>
          <w:bCs/>
          <w:color w:val="000000" w:themeColor="text1"/>
          <w:sz w:val="25"/>
          <w:szCs w:val="25"/>
        </w:rPr>
        <w:t xml:space="preserve">The </w:t>
      </w:r>
      <w:r w:rsidR="00122AA3">
        <w:rPr>
          <w:rFonts w:ascii="Aptos" w:hAnsi="Aptos" w:cs="Times New Roman"/>
          <w:bCs/>
          <w:color w:val="000000" w:themeColor="text1"/>
          <w:sz w:val="25"/>
          <w:szCs w:val="25"/>
        </w:rPr>
        <w:t>matter will proceed to Hearing</w:t>
      </w:r>
      <w:r w:rsidR="00217FEC">
        <w:rPr>
          <w:rFonts w:ascii="Aptos" w:hAnsi="Aptos" w:cs="Times New Roman"/>
          <w:bCs/>
          <w:color w:val="000000" w:themeColor="text1"/>
          <w:sz w:val="25"/>
          <w:szCs w:val="25"/>
        </w:rPr>
        <w:t xml:space="preserve"> on </w:t>
      </w:r>
      <w:r w:rsidR="007E3182">
        <w:rPr>
          <w:rFonts w:ascii="Aptos" w:hAnsi="Aptos" w:cs="Times New Roman"/>
          <w:bCs/>
          <w:color w:val="000000" w:themeColor="text1"/>
          <w:sz w:val="25"/>
          <w:szCs w:val="25"/>
        </w:rPr>
        <w:t>written submissions</w:t>
      </w:r>
      <w:r w:rsidR="00217FEC">
        <w:rPr>
          <w:rFonts w:ascii="Aptos" w:hAnsi="Aptos" w:cs="Times New Roman"/>
          <w:bCs/>
          <w:color w:val="000000" w:themeColor="text1"/>
          <w:sz w:val="25"/>
          <w:szCs w:val="25"/>
        </w:rPr>
        <w:t>, with exhibits due by close of business on November 18, 2025, and oral arguments over a virtual platform at 11:00 AM on November 19, 2025.</w:t>
      </w:r>
      <w:r w:rsidR="00122AA3">
        <w:rPr>
          <w:rFonts w:ascii="Aptos" w:hAnsi="Aptos" w:cs="Times New Roman"/>
          <w:bCs/>
          <w:color w:val="000000" w:themeColor="text1"/>
          <w:sz w:val="25"/>
          <w:szCs w:val="25"/>
        </w:rPr>
        <w:t xml:space="preserve"> </w:t>
      </w:r>
    </w:p>
    <w:p w14:paraId="01625E89" w14:textId="77777777" w:rsidR="00217FEC" w:rsidRPr="00365C93" w:rsidRDefault="00217FEC" w:rsidP="00217FEC">
      <w:pPr>
        <w:pStyle w:val="NoSpacing"/>
        <w:rPr>
          <w:rFonts w:ascii="Aptos" w:hAnsi="Aptos" w:cs="Times New Roman"/>
          <w:color w:val="000000" w:themeColor="text1"/>
          <w:sz w:val="25"/>
          <w:szCs w:val="25"/>
        </w:rPr>
      </w:pPr>
    </w:p>
    <w:p w14:paraId="2E4EBF52" w14:textId="77777777" w:rsidR="00F661D1" w:rsidRPr="00365C93" w:rsidRDefault="00F661D1" w:rsidP="00F661D1">
      <w:pPr>
        <w:pStyle w:val="NoSpacing"/>
        <w:rPr>
          <w:rFonts w:ascii="Aptos" w:hAnsi="Aptos" w:cs="Times New Roman"/>
          <w:b/>
          <w:color w:val="000000" w:themeColor="text1"/>
          <w:sz w:val="25"/>
          <w:szCs w:val="25"/>
        </w:rPr>
      </w:pPr>
    </w:p>
    <w:p w14:paraId="5EB1D5F5" w14:textId="30E17B32" w:rsidR="0021167E" w:rsidRDefault="0021167E" w:rsidP="0021167E">
      <w:pPr>
        <w:rPr>
          <w:rFonts w:ascii="Aptos" w:hAnsi="Aptos"/>
          <w:sz w:val="25"/>
          <w:szCs w:val="25"/>
        </w:rPr>
      </w:pPr>
      <w:r w:rsidRPr="00365C93">
        <w:rPr>
          <w:rFonts w:ascii="Aptos" w:hAnsi="Aptos"/>
          <w:sz w:val="25"/>
          <w:szCs w:val="25"/>
        </w:rPr>
        <w:t>By the Hearing Officer,</w:t>
      </w:r>
    </w:p>
    <w:p w14:paraId="0B25BB23" w14:textId="77777777" w:rsidR="00FF26F6" w:rsidRDefault="00FF26F6" w:rsidP="0021167E">
      <w:pPr>
        <w:rPr>
          <w:rFonts w:ascii="Aptos" w:hAnsi="Aptos"/>
          <w:sz w:val="25"/>
          <w:szCs w:val="25"/>
        </w:rPr>
      </w:pPr>
    </w:p>
    <w:p w14:paraId="6D22C480" w14:textId="77777777" w:rsidR="00CE1210" w:rsidRPr="005F32EC" w:rsidRDefault="00CE1210" w:rsidP="0021167E">
      <w:pPr>
        <w:rPr>
          <w:rFonts w:ascii="Aptos" w:hAnsi="Aptos"/>
          <w:sz w:val="25"/>
          <w:szCs w:val="25"/>
        </w:rPr>
      </w:pPr>
    </w:p>
    <w:p w14:paraId="6769F3A4" w14:textId="47B1CED4" w:rsidR="0021167E" w:rsidRPr="00365C93" w:rsidRDefault="0021167E" w:rsidP="0021167E">
      <w:pPr>
        <w:rPr>
          <w:rFonts w:ascii="Lucida Handwriting" w:hAnsi="Lucida Handwriting"/>
          <w:sz w:val="25"/>
          <w:u w:val="single"/>
        </w:rPr>
      </w:pPr>
      <w:r w:rsidRPr="00365C93">
        <w:rPr>
          <w:rFonts w:ascii="Lucida Handwriting" w:hAnsi="Lucida Handwriting"/>
          <w:sz w:val="25"/>
          <w:u w:val="single"/>
        </w:rPr>
        <w:t xml:space="preserve">  /s/  </w:t>
      </w:r>
      <w:r w:rsidRPr="00365C93">
        <w:rPr>
          <w:rFonts w:ascii="Lucida Handwriting" w:hAnsi="Lucida Handwriting"/>
          <w:sz w:val="32"/>
          <w:szCs w:val="32"/>
          <w:u w:val="single"/>
        </w:rPr>
        <w:t>Amy Reichbach</w:t>
      </w:r>
    </w:p>
    <w:p w14:paraId="458E6765" w14:textId="684249E2" w:rsidR="006A167B" w:rsidRPr="00365C93" w:rsidRDefault="0021167E">
      <w:pPr>
        <w:rPr>
          <w:rFonts w:ascii="Aptos" w:hAnsi="Aptos"/>
          <w:sz w:val="25"/>
        </w:rPr>
      </w:pPr>
      <w:r w:rsidRPr="00365C93">
        <w:rPr>
          <w:rFonts w:ascii="Aptos" w:hAnsi="Aptos"/>
          <w:sz w:val="25"/>
        </w:rPr>
        <w:t xml:space="preserve">Date:  </w:t>
      </w:r>
      <w:r w:rsidR="00217FEC">
        <w:rPr>
          <w:rFonts w:ascii="Aptos" w:hAnsi="Aptos"/>
          <w:sz w:val="25"/>
        </w:rPr>
        <w:t xml:space="preserve">November </w:t>
      </w:r>
      <w:r w:rsidR="003B7D42">
        <w:rPr>
          <w:rFonts w:ascii="Aptos" w:hAnsi="Aptos"/>
          <w:sz w:val="25"/>
        </w:rPr>
        <w:t>10</w:t>
      </w:r>
      <w:r w:rsidR="00B309A4">
        <w:rPr>
          <w:rFonts w:ascii="Aptos" w:hAnsi="Aptos"/>
          <w:sz w:val="25"/>
        </w:rPr>
        <w:t>, 2025</w:t>
      </w:r>
    </w:p>
    <w:sectPr w:rsidR="006A167B" w:rsidRPr="00365C93">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6520B7" w14:textId="77777777" w:rsidR="004C077D" w:rsidRDefault="004C077D" w:rsidP="004864A1">
      <w:r>
        <w:separator/>
      </w:r>
    </w:p>
  </w:endnote>
  <w:endnote w:type="continuationSeparator" w:id="0">
    <w:p w14:paraId="64D01CB7" w14:textId="77777777" w:rsidR="004C077D" w:rsidRDefault="004C077D" w:rsidP="004864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Lucida Handwriting">
    <w:panose1 w:val="03010101010101010101"/>
    <w:charset w:val="00"/>
    <w:family w:val="script"/>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ngsana New">
    <w:panose1 w:val="02020603050405020304"/>
    <w:charset w:val="DE"/>
    <w:family w:val="roman"/>
    <w:pitch w:val="variable"/>
    <w:sig w:usb0="81000003" w:usb1="00000000" w:usb2="00000000" w:usb3="00000000" w:csb0="0001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5246984"/>
      <w:docPartObj>
        <w:docPartGallery w:val="Page Numbers (Bottom of Page)"/>
        <w:docPartUnique/>
      </w:docPartObj>
    </w:sdtPr>
    <w:sdtEndPr>
      <w:rPr>
        <w:noProof/>
      </w:rPr>
    </w:sdtEndPr>
    <w:sdtContent>
      <w:p w14:paraId="233BA20A" w14:textId="1C9A2223" w:rsidR="008C37AF" w:rsidRDefault="008C37AF">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645A094" w14:textId="77777777" w:rsidR="008C37AF" w:rsidRDefault="008C37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202CB" w14:textId="77777777" w:rsidR="004C077D" w:rsidRDefault="004C077D" w:rsidP="004864A1">
      <w:r>
        <w:separator/>
      </w:r>
    </w:p>
  </w:footnote>
  <w:footnote w:type="continuationSeparator" w:id="0">
    <w:p w14:paraId="09BAF78F" w14:textId="77777777" w:rsidR="004C077D" w:rsidRDefault="004C077D" w:rsidP="004864A1">
      <w:r>
        <w:continuationSeparator/>
      </w:r>
    </w:p>
  </w:footnote>
  <w:footnote w:id="1">
    <w:p w14:paraId="72B03A3E" w14:textId="65F6CEC8" w:rsidR="0029431C" w:rsidRPr="0029431C" w:rsidRDefault="0029431C">
      <w:pPr>
        <w:pStyle w:val="FootnoteText"/>
        <w:rPr>
          <w:rFonts w:ascii="Aptos" w:hAnsi="Aptos"/>
          <w:sz w:val="20"/>
          <w:szCs w:val="20"/>
        </w:rPr>
      </w:pPr>
      <w:r w:rsidRPr="0029431C">
        <w:rPr>
          <w:rStyle w:val="FootnoteReference"/>
          <w:rFonts w:ascii="Aptos" w:hAnsi="Aptos"/>
          <w:sz w:val="20"/>
          <w:szCs w:val="20"/>
        </w:rPr>
        <w:footnoteRef/>
      </w:r>
      <w:r w:rsidRPr="0029431C">
        <w:rPr>
          <w:rFonts w:ascii="Aptos" w:hAnsi="Aptos"/>
          <w:sz w:val="20"/>
          <w:szCs w:val="20"/>
        </w:rPr>
        <w:t xml:space="preserve"> The facts reviewed in this section are drawn from the parties’ pleadings</w:t>
      </w:r>
      <w:r w:rsidR="00C24E62">
        <w:rPr>
          <w:rFonts w:ascii="Aptos" w:hAnsi="Aptos"/>
          <w:sz w:val="20"/>
          <w:szCs w:val="20"/>
        </w:rPr>
        <w:t xml:space="preserve"> and </w:t>
      </w:r>
      <w:r w:rsidRPr="0029431C">
        <w:rPr>
          <w:rFonts w:ascii="Aptos" w:hAnsi="Aptos"/>
          <w:sz w:val="20"/>
          <w:szCs w:val="20"/>
        </w:rPr>
        <w:t xml:space="preserve">apply only for the purposes of this </w:t>
      </w:r>
      <w:r w:rsidRPr="0029431C">
        <w:rPr>
          <w:rFonts w:ascii="Aptos" w:hAnsi="Aptos"/>
          <w:i/>
          <w:iCs/>
          <w:sz w:val="20"/>
          <w:szCs w:val="20"/>
        </w:rPr>
        <w:t>Ruling</w:t>
      </w:r>
      <w:r w:rsidR="00C24E62">
        <w:rPr>
          <w:rFonts w:ascii="Aptos" w:hAnsi="Aptos"/>
          <w:sz w:val="20"/>
          <w:szCs w:val="20"/>
        </w:rPr>
        <w:t>.</w:t>
      </w:r>
    </w:p>
  </w:footnote>
  <w:footnote w:id="2">
    <w:p w14:paraId="67F659AE" w14:textId="79635AA5" w:rsidR="008F3CDE" w:rsidRPr="008F3CDE" w:rsidRDefault="008F3CDE">
      <w:pPr>
        <w:pStyle w:val="FootnoteText"/>
        <w:rPr>
          <w:rFonts w:ascii="Aptos" w:hAnsi="Aptos"/>
          <w:sz w:val="20"/>
          <w:szCs w:val="20"/>
        </w:rPr>
      </w:pPr>
      <w:r w:rsidRPr="008F3CDE">
        <w:rPr>
          <w:rStyle w:val="FootnoteReference"/>
          <w:rFonts w:ascii="Aptos" w:hAnsi="Aptos"/>
          <w:sz w:val="20"/>
          <w:szCs w:val="20"/>
        </w:rPr>
        <w:footnoteRef/>
      </w:r>
      <w:r w:rsidRPr="008F3CDE">
        <w:rPr>
          <w:rFonts w:ascii="Aptos" w:hAnsi="Aptos"/>
          <w:sz w:val="20"/>
          <w:szCs w:val="20"/>
        </w:rPr>
        <w:t xml:space="preserve"> According to Foxborough, Student attends </w:t>
      </w:r>
      <w:r w:rsidR="003D6B4B">
        <w:rPr>
          <w:rFonts w:ascii="Aptos" w:hAnsi="Aptos"/>
          <w:sz w:val="20"/>
          <w:szCs w:val="20"/>
        </w:rPr>
        <w:t>a</w:t>
      </w:r>
      <w:r w:rsidR="003D6B4B" w:rsidRPr="008F3CDE">
        <w:rPr>
          <w:rFonts w:ascii="Aptos" w:hAnsi="Aptos"/>
          <w:sz w:val="20"/>
          <w:szCs w:val="20"/>
        </w:rPr>
        <w:t xml:space="preserve"> </w:t>
      </w:r>
      <w:r w:rsidRPr="008F3CDE">
        <w:rPr>
          <w:rFonts w:ascii="Aptos" w:hAnsi="Aptos"/>
          <w:sz w:val="20"/>
          <w:szCs w:val="20"/>
        </w:rPr>
        <w:t>separate public day school pursuant to an Individual Education Program (IEP) developed by Norwood for the period November 15, 2024 to November 13, 2025.</w:t>
      </w:r>
      <w:r>
        <w:rPr>
          <w:rFonts w:ascii="Aptos" w:hAnsi="Aptos"/>
          <w:sz w:val="20"/>
          <w:szCs w:val="20"/>
        </w:rPr>
        <w:t xml:space="preserve"> The name of the public day school is withheld to maintain the confidentiality of Student and Parent.</w:t>
      </w:r>
    </w:p>
  </w:footnote>
  <w:footnote w:id="3">
    <w:p w14:paraId="77218E34" w14:textId="6419457D" w:rsidR="008F3CDE" w:rsidRPr="008F3CDE" w:rsidRDefault="008F3CDE">
      <w:pPr>
        <w:pStyle w:val="FootnoteText"/>
        <w:rPr>
          <w:rFonts w:ascii="Aptos" w:hAnsi="Aptos"/>
          <w:sz w:val="20"/>
          <w:szCs w:val="20"/>
        </w:rPr>
      </w:pPr>
      <w:r w:rsidRPr="008F3CDE">
        <w:rPr>
          <w:rStyle w:val="FootnoteReference"/>
          <w:rFonts w:ascii="Aptos" w:hAnsi="Aptos"/>
          <w:sz w:val="20"/>
          <w:szCs w:val="20"/>
        </w:rPr>
        <w:footnoteRef/>
      </w:r>
      <w:r w:rsidRPr="008F3CDE">
        <w:rPr>
          <w:rFonts w:ascii="Aptos" w:hAnsi="Aptos"/>
          <w:sz w:val="20"/>
          <w:szCs w:val="20"/>
        </w:rPr>
        <w:t xml:space="preserve"> The name of the Hotel is withheld to maintain the confidentiality of Student and Parent.</w:t>
      </w:r>
    </w:p>
  </w:footnote>
  <w:footnote w:id="4">
    <w:p w14:paraId="4E2FC0CA" w14:textId="45C1905B" w:rsidR="007D6CB4" w:rsidRPr="00BB5FAA" w:rsidRDefault="007D6CB4">
      <w:pPr>
        <w:pStyle w:val="FootnoteText"/>
        <w:rPr>
          <w:rFonts w:ascii="Aptos" w:hAnsi="Aptos"/>
          <w:sz w:val="20"/>
          <w:szCs w:val="20"/>
        </w:rPr>
      </w:pPr>
      <w:r w:rsidRPr="00BB5FAA">
        <w:rPr>
          <w:rStyle w:val="FootnoteReference"/>
          <w:rFonts w:ascii="Aptos" w:hAnsi="Aptos"/>
          <w:sz w:val="20"/>
          <w:szCs w:val="20"/>
        </w:rPr>
        <w:footnoteRef/>
      </w:r>
      <w:r w:rsidRPr="00BB5FAA">
        <w:rPr>
          <w:rFonts w:ascii="Aptos" w:hAnsi="Aptos"/>
          <w:sz w:val="20"/>
          <w:szCs w:val="20"/>
        </w:rPr>
        <w:t xml:space="preserve"> Foxborough initially requested “complete copies of any and all records, reports, evaluations, assessments, whether formal or informal, correspondence, electronic mail messages, telephone records, tape recording, video recordings, photographs, notes, minutes, diaries, letters, memoranda, agreements, contracts, tests, test data, test protocols, testing/observation notes, work sheets, measurements, bills, invoices, agreements, and contract pertaining to” Student since January 1, 2023.</w:t>
      </w:r>
    </w:p>
  </w:footnote>
  <w:footnote w:id="5">
    <w:p w14:paraId="6196F8F1" w14:textId="20FBE029" w:rsidR="003111AF" w:rsidRPr="00BB5FAA" w:rsidRDefault="003111AF">
      <w:pPr>
        <w:pStyle w:val="FootnoteText"/>
        <w:rPr>
          <w:rFonts w:ascii="Aptos" w:hAnsi="Aptos"/>
          <w:sz w:val="20"/>
          <w:szCs w:val="20"/>
        </w:rPr>
      </w:pPr>
      <w:r w:rsidRPr="00BB5FAA">
        <w:rPr>
          <w:rStyle w:val="FootnoteReference"/>
          <w:rFonts w:ascii="Aptos" w:hAnsi="Aptos"/>
          <w:sz w:val="20"/>
          <w:szCs w:val="20"/>
        </w:rPr>
        <w:footnoteRef/>
      </w:r>
      <w:r w:rsidRPr="00BB5FAA">
        <w:rPr>
          <w:rFonts w:ascii="Aptos" w:hAnsi="Aptos"/>
          <w:sz w:val="20"/>
          <w:szCs w:val="20"/>
        </w:rPr>
        <w:t xml:space="preserve"> </w:t>
      </w:r>
      <w:r w:rsidR="007D6CB4" w:rsidRPr="00BB5FAA">
        <w:rPr>
          <w:rFonts w:ascii="Aptos" w:hAnsi="Aptos"/>
          <w:sz w:val="20"/>
          <w:szCs w:val="20"/>
        </w:rPr>
        <w:t xml:space="preserve">DCF inadvertently named Norwood Public Schools in its </w:t>
      </w:r>
      <w:r w:rsidR="007D6CB4" w:rsidRPr="00BB5FAA">
        <w:rPr>
          <w:rFonts w:ascii="Aptos" w:hAnsi="Aptos"/>
          <w:i/>
          <w:iCs/>
          <w:sz w:val="20"/>
          <w:szCs w:val="20"/>
        </w:rPr>
        <w:t>First Objection</w:t>
      </w:r>
      <w:r w:rsidR="009A70BE">
        <w:rPr>
          <w:rFonts w:ascii="Aptos" w:hAnsi="Aptos"/>
          <w:sz w:val="20"/>
          <w:szCs w:val="20"/>
        </w:rPr>
        <w:t xml:space="preserve"> bu</w:t>
      </w:r>
      <w:r w:rsidR="00836854">
        <w:rPr>
          <w:rFonts w:ascii="Aptos" w:hAnsi="Aptos"/>
          <w:sz w:val="20"/>
          <w:szCs w:val="20"/>
        </w:rPr>
        <w:t>t</w:t>
      </w:r>
      <w:r w:rsidR="009A70BE">
        <w:rPr>
          <w:rFonts w:ascii="Aptos" w:hAnsi="Aptos"/>
          <w:sz w:val="20"/>
          <w:szCs w:val="20"/>
        </w:rPr>
        <w:t xml:space="preserve"> later corrected its filing.</w:t>
      </w:r>
    </w:p>
  </w:footnote>
  <w:footnote w:id="6">
    <w:p w14:paraId="788E7FB9" w14:textId="15D4BB64" w:rsidR="007D6CB4" w:rsidRPr="00BB5FAA" w:rsidRDefault="007D6CB4" w:rsidP="007D6CB4">
      <w:pPr>
        <w:pStyle w:val="FootnoteText"/>
        <w:rPr>
          <w:rFonts w:ascii="Aptos" w:hAnsi="Aptos"/>
          <w:sz w:val="20"/>
          <w:szCs w:val="20"/>
        </w:rPr>
      </w:pPr>
      <w:r w:rsidRPr="00BB5FAA">
        <w:rPr>
          <w:rStyle w:val="FootnoteReference"/>
          <w:rFonts w:ascii="Aptos" w:hAnsi="Aptos"/>
          <w:sz w:val="20"/>
          <w:szCs w:val="20"/>
        </w:rPr>
        <w:footnoteRef/>
      </w:r>
      <w:r w:rsidRPr="00BB5FAA">
        <w:rPr>
          <w:rFonts w:ascii="Aptos" w:hAnsi="Aptos"/>
          <w:sz w:val="20"/>
          <w:szCs w:val="20"/>
        </w:rPr>
        <w:t xml:space="preserve"> The parties filed Objections to each other’s Discovery Requests but have been communicating about those requests and objections without requiring the Hearing Officer’s assistance.</w:t>
      </w:r>
    </w:p>
    <w:p w14:paraId="2CEC5F7E" w14:textId="0DC6C569" w:rsidR="007D6CB4" w:rsidRDefault="007D6CB4">
      <w:pPr>
        <w:pStyle w:val="FootnoteText"/>
      </w:pPr>
    </w:p>
  </w:footnote>
  <w:footnote w:id="7">
    <w:p w14:paraId="468F7C52" w14:textId="05D5AED5" w:rsidR="003A1D3F" w:rsidRPr="005F08B0" w:rsidRDefault="003A1D3F">
      <w:pPr>
        <w:pStyle w:val="FootnoteText"/>
        <w:rPr>
          <w:rFonts w:ascii="Aptos" w:hAnsi="Aptos"/>
          <w:sz w:val="20"/>
          <w:szCs w:val="20"/>
        </w:rPr>
      </w:pPr>
      <w:r w:rsidRPr="005F08B0">
        <w:rPr>
          <w:rStyle w:val="FootnoteReference"/>
          <w:rFonts w:ascii="Aptos" w:hAnsi="Aptos"/>
          <w:sz w:val="20"/>
          <w:szCs w:val="20"/>
        </w:rPr>
        <w:footnoteRef/>
      </w:r>
      <w:r w:rsidRPr="005F08B0">
        <w:rPr>
          <w:rFonts w:ascii="Aptos" w:hAnsi="Aptos"/>
          <w:sz w:val="20"/>
          <w:szCs w:val="20"/>
        </w:rPr>
        <w:t xml:space="preserve"> DCF also incorporated, by reference, the arguments raised in its initial </w:t>
      </w:r>
      <w:r w:rsidRPr="005F08B0">
        <w:rPr>
          <w:rFonts w:ascii="Aptos" w:hAnsi="Aptos"/>
          <w:i/>
          <w:iCs/>
          <w:sz w:val="20"/>
          <w:szCs w:val="20"/>
        </w:rPr>
        <w:t>Objection.</w:t>
      </w:r>
      <w:r w:rsidR="000E5C05" w:rsidRPr="005F08B0">
        <w:rPr>
          <w:rFonts w:ascii="Aptos" w:hAnsi="Aptos"/>
          <w:i/>
          <w:iCs/>
          <w:sz w:val="20"/>
          <w:szCs w:val="20"/>
        </w:rPr>
        <w:t xml:space="preserve"> </w:t>
      </w:r>
      <w:r w:rsidR="000E5C05" w:rsidRPr="005F08B0">
        <w:rPr>
          <w:rFonts w:ascii="Aptos" w:hAnsi="Aptos"/>
          <w:sz w:val="20"/>
          <w:szCs w:val="20"/>
        </w:rPr>
        <w:t xml:space="preserve">In that </w:t>
      </w:r>
      <w:r w:rsidR="000E5C05" w:rsidRPr="005F08B0">
        <w:rPr>
          <w:rFonts w:ascii="Aptos" w:hAnsi="Aptos"/>
          <w:i/>
          <w:iCs/>
          <w:sz w:val="20"/>
          <w:szCs w:val="20"/>
        </w:rPr>
        <w:t>Objection</w:t>
      </w:r>
      <w:r w:rsidR="000E5C05" w:rsidRPr="005F08B0">
        <w:rPr>
          <w:rFonts w:ascii="Aptos" w:hAnsi="Aptos"/>
          <w:sz w:val="20"/>
          <w:szCs w:val="20"/>
        </w:rPr>
        <w:t xml:space="preserve">, among other things, DCF argued that records and information maintained by the </w:t>
      </w:r>
      <w:r w:rsidR="00836854">
        <w:rPr>
          <w:rFonts w:ascii="Aptos" w:hAnsi="Aptos"/>
          <w:sz w:val="20"/>
          <w:szCs w:val="20"/>
        </w:rPr>
        <w:t xml:space="preserve">Department </w:t>
      </w:r>
      <w:r w:rsidR="000E5C05" w:rsidRPr="005F08B0">
        <w:rPr>
          <w:rFonts w:ascii="Aptos" w:hAnsi="Aptos"/>
          <w:sz w:val="20"/>
          <w:szCs w:val="20"/>
        </w:rPr>
        <w:t>are “presumptively privileg</w:t>
      </w:r>
      <w:r w:rsidR="005F08B0">
        <w:rPr>
          <w:rFonts w:ascii="Aptos" w:hAnsi="Aptos"/>
          <w:sz w:val="20"/>
          <w:szCs w:val="20"/>
        </w:rPr>
        <w:t>e</w:t>
      </w:r>
      <w:r w:rsidR="000E5C05" w:rsidRPr="005F08B0">
        <w:rPr>
          <w:rFonts w:ascii="Aptos" w:hAnsi="Aptos"/>
          <w:sz w:val="20"/>
          <w:szCs w:val="20"/>
        </w:rPr>
        <w:t>d and confidential.”</w:t>
      </w:r>
    </w:p>
  </w:footnote>
  <w:footnote w:id="8">
    <w:p w14:paraId="5BC0687D" w14:textId="2940F600" w:rsidR="007B48B6" w:rsidRPr="002256CC" w:rsidRDefault="007B48B6" w:rsidP="007B48B6">
      <w:pPr>
        <w:pStyle w:val="FootnoteText"/>
        <w:tabs>
          <w:tab w:val="left" w:pos="3850"/>
        </w:tabs>
        <w:rPr>
          <w:rFonts w:ascii="Aptos" w:hAnsi="Aptos"/>
          <w:i/>
          <w:iCs/>
          <w:sz w:val="20"/>
          <w:szCs w:val="20"/>
        </w:rPr>
      </w:pPr>
      <w:r w:rsidRPr="002256CC">
        <w:rPr>
          <w:rStyle w:val="FootnoteReference"/>
          <w:rFonts w:ascii="Aptos" w:hAnsi="Aptos"/>
          <w:sz w:val="20"/>
          <w:szCs w:val="20"/>
        </w:rPr>
        <w:footnoteRef/>
      </w:r>
      <w:r w:rsidRPr="002256CC">
        <w:rPr>
          <w:rFonts w:ascii="Aptos" w:hAnsi="Aptos"/>
          <w:sz w:val="20"/>
          <w:szCs w:val="20"/>
        </w:rPr>
        <w:t xml:space="preserve"> </w:t>
      </w:r>
      <w:r w:rsidRPr="002256CC">
        <w:rPr>
          <w:rFonts w:ascii="Aptos" w:hAnsi="Aptos"/>
          <w:i/>
          <w:iCs/>
          <w:sz w:val="20"/>
          <w:szCs w:val="20"/>
        </w:rPr>
        <w:t xml:space="preserve">Cf. </w:t>
      </w:r>
      <w:r w:rsidRPr="002256CC">
        <w:rPr>
          <w:rFonts w:ascii="Aptos" w:hAnsi="Aptos"/>
          <w:sz w:val="20"/>
          <w:szCs w:val="20"/>
        </w:rPr>
        <w:t>M.G.L. c. 30A,</w:t>
      </w:r>
      <w:r w:rsidRPr="002256CC">
        <w:rPr>
          <w:rFonts w:ascii="Aptos" w:hAnsi="Aptos" w:cs="Times New Roman"/>
          <w:color w:val="000000" w:themeColor="text1"/>
          <w:sz w:val="20"/>
          <w:szCs w:val="20"/>
        </w:rPr>
        <w:t xml:space="preserve"> §</w:t>
      </w:r>
      <w:r w:rsidR="00AD3DA3">
        <w:rPr>
          <w:rFonts w:ascii="Aptos" w:hAnsi="Aptos" w:cs="Times New Roman"/>
          <w:color w:val="000000" w:themeColor="text1"/>
          <w:sz w:val="20"/>
          <w:szCs w:val="20"/>
        </w:rPr>
        <w:t xml:space="preserve"> </w:t>
      </w:r>
      <w:r w:rsidRPr="002256CC">
        <w:rPr>
          <w:rFonts w:ascii="Aptos" w:hAnsi="Aptos" w:cs="Times New Roman"/>
          <w:color w:val="000000" w:themeColor="text1"/>
          <w:sz w:val="20"/>
          <w:szCs w:val="20"/>
        </w:rPr>
        <w:t>12(4) (</w:t>
      </w:r>
      <w:r w:rsidR="003A1D3F" w:rsidRPr="002256CC">
        <w:rPr>
          <w:rFonts w:ascii="Aptos" w:hAnsi="Aptos" w:cs="Times New Roman"/>
          <w:color w:val="000000" w:themeColor="text1"/>
          <w:sz w:val="20"/>
          <w:szCs w:val="20"/>
        </w:rPr>
        <w:t>providing standard for vacating or quashing a subpoena within administrative proceedings).</w:t>
      </w:r>
    </w:p>
  </w:footnote>
  <w:footnote w:id="9">
    <w:p w14:paraId="5C4E02D4" w14:textId="6B58C9E9" w:rsidR="001103AE" w:rsidRPr="002256CC" w:rsidRDefault="001103AE">
      <w:pPr>
        <w:pStyle w:val="FootnoteText"/>
        <w:rPr>
          <w:rFonts w:ascii="Aptos" w:hAnsi="Aptos"/>
          <w:sz w:val="20"/>
          <w:szCs w:val="20"/>
        </w:rPr>
      </w:pPr>
      <w:r w:rsidRPr="002256CC">
        <w:rPr>
          <w:rStyle w:val="FootnoteReference"/>
          <w:rFonts w:ascii="Aptos" w:hAnsi="Aptos"/>
          <w:sz w:val="20"/>
          <w:szCs w:val="20"/>
        </w:rPr>
        <w:footnoteRef/>
      </w:r>
      <w:r w:rsidRPr="002256CC">
        <w:rPr>
          <w:rFonts w:ascii="Aptos" w:hAnsi="Aptos"/>
          <w:sz w:val="20"/>
          <w:szCs w:val="20"/>
        </w:rPr>
        <w:t xml:space="preserve"> See BSEA </w:t>
      </w:r>
      <w:r w:rsidRPr="002256CC">
        <w:rPr>
          <w:rFonts w:ascii="Aptos" w:hAnsi="Aptos"/>
          <w:i/>
          <w:iCs/>
          <w:sz w:val="20"/>
          <w:szCs w:val="20"/>
        </w:rPr>
        <w:t xml:space="preserve">Hearing Rule </w:t>
      </w:r>
      <w:r w:rsidRPr="002256CC">
        <w:rPr>
          <w:rFonts w:ascii="Aptos" w:hAnsi="Aptos"/>
          <w:sz w:val="20"/>
          <w:szCs w:val="20"/>
        </w:rPr>
        <w:t xml:space="preserve">VII(C); </w:t>
      </w:r>
      <w:r w:rsidRPr="002256CC">
        <w:rPr>
          <w:rFonts w:ascii="Aptos" w:hAnsi="Aptos"/>
          <w:i/>
          <w:iCs/>
          <w:sz w:val="20"/>
          <w:szCs w:val="20"/>
        </w:rPr>
        <w:t>In Re Dorian &amp; Waltham Public Schools, Ruling on Parent’s Motion to Quash and Vacate Subpoenas and Waltham Public Schools’ Motion to Compel</w:t>
      </w:r>
      <w:r w:rsidRPr="002256CC">
        <w:rPr>
          <w:rFonts w:ascii="Aptos" w:hAnsi="Aptos"/>
          <w:sz w:val="20"/>
          <w:szCs w:val="20"/>
        </w:rPr>
        <w:t xml:space="preserve">, BSEA </w:t>
      </w:r>
      <w:r w:rsidRPr="002256CC">
        <w:rPr>
          <w:rFonts w:ascii="Aptos" w:hAnsi="Aptos" w:cs="Times New Roman"/>
          <w:sz w:val="20"/>
          <w:szCs w:val="20"/>
        </w:rPr>
        <w:t xml:space="preserve">#1702306 (Reichbach, 2017). </w:t>
      </w:r>
    </w:p>
  </w:footnote>
  <w:footnote w:id="10">
    <w:p w14:paraId="0110ACDB" w14:textId="4846EAFA" w:rsidR="003A1D3F" w:rsidRPr="002256CC" w:rsidRDefault="003A1D3F">
      <w:pPr>
        <w:pStyle w:val="FootnoteText"/>
        <w:rPr>
          <w:rFonts w:ascii="Aptos" w:hAnsi="Aptos" w:cs="Times New Roman"/>
          <w:color w:val="000000" w:themeColor="text1"/>
          <w:sz w:val="20"/>
          <w:szCs w:val="20"/>
        </w:rPr>
      </w:pPr>
      <w:r w:rsidRPr="002256CC">
        <w:rPr>
          <w:rStyle w:val="FootnoteReference"/>
          <w:rFonts w:ascii="Aptos" w:hAnsi="Aptos"/>
          <w:sz w:val="20"/>
          <w:szCs w:val="20"/>
        </w:rPr>
        <w:footnoteRef/>
      </w:r>
      <w:r w:rsidRPr="002256CC">
        <w:rPr>
          <w:rFonts w:ascii="Aptos" w:hAnsi="Aptos"/>
          <w:sz w:val="20"/>
          <w:szCs w:val="20"/>
        </w:rPr>
        <w:t xml:space="preserve"> M.G.L. c. 30A,</w:t>
      </w:r>
      <w:r w:rsidRPr="002256CC">
        <w:rPr>
          <w:rFonts w:ascii="Aptos" w:hAnsi="Aptos" w:cs="Times New Roman"/>
          <w:color w:val="000000" w:themeColor="text1"/>
          <w:sz w:val="20"/>
          <w:szCs w:val="20"/>
        </w:rPr>
        <w:t xml:space="preserve"> §</w:t>
      </w:r>
      <w:r w:rsidR="00AD3DA3">
        <w:rPr>
          <w:rFonts w:ascii="Aptos" w:hAnsi="Aptos" w:cs="Times New Roman"/>
          <w:color w:val="000000" w:themeColor="text1"/>
          <w:sz w:val="20"/>
          <w:szCs w:val="20"/>
        </w:rPr>
        <w:t xml:space="preserve"> </w:t>
      </w:r>
      <w:r w:rsidRPr="002256CC">
        <w:rPr>
          <w:rFonts w:ascii="Aptos" w:hAnsi="Aptos" w:cs="Times New Roman"/>
          <w:color w:val="000000" w:themeColor="text1"/>
          <w:sz w:val="20"/>
          <w:szCs w:val="20"/>
        </w:rPr>
        <w:t xml:space="preserve">12(4); see </w:t>
      </w:r>
      <w:r w:rsidRPr="002256CC">
        <w:rPr>
          <w:rFonts w:ascii="Aptos" w:hAnsi="Aptos"/>
          <w:i/>
          <w:iCs/>
          <w:color w:val="000000" w:themeColor="text1"/>
          <w:sz w:val="20"/>
          <w:szCs w:val="20"/>
        </w:rPr>
        <w:t>In Re: Student &amp; Newburyport Public Schools, Ruling on Newburyport Public Schools’ Motion for Summary Judgment and Newburyport Public Schools’ Moti</w:t>
      </w:r>
      <w:r w:rsidR="00280C62">
        <w:rPr>
          <w:rFonts w:ascii="Aptos" w:hAnsi="Aptos"/>
          <w:i/>
          <w:iCs/>
          <w:color w:val="000000" w:themeColor="text1"/>
          <w:sz w:val="20"/>
          <w:szCs w:val="20"/>
        </w:rPr>
        <w:t>o</w:t>
      </w:r>
      <w:r w:rsidRPr="002256CC">
        <w:rPr>
          <w:rFonts w:ascii="Aptos" w:hAnsi="Aptos"/>
          <w:i/>
          <w:iCs/>
          <w:color w:val="000000" w:themeColor="text1"/>
          <w:sz w:val="20"/>
          <w:szCs w:val="20"/>
        </w:rPr>
        <w:t>n to Quash</w:t>
      </w:r>
      <w:r w:rsidRPr="002256CC">
        <w:rPr>
          <w:rFonts w:ascii="Aptos" w:hAnsi="Aptos"/>
          <w:color w:val="000000" w:themeColor="text1"/>
          <w:sz w:val="20"/>
          <w:szCs w:val="20"/>
        </w:rPr>
        <w:t>,</w:t>
      </w:r>
      <w:r w:rsidRPr="002256CC">
        <w:rPr>
          <w:rFonts w:ascii="Aptos" w:hAnsi="Aptos"/>
          <w:i/>
          <w:iCs/>
          <w:color w:val="000000" w:themeColor="text1"/>
          <w:sz w:val="20"/>
          <w:szCs w:val="20"/>
        </w:rPr>
        <w:t xml:space="preserve"> </w:t>
      </w:r>
      <w:r w:rsidRPr="002256CC">
        <w:rPr>
          <w:rFonts w:ascii="Aptos" w:hAnsi="Aptos" w:cs="Times New Roman"/>
          <w:color w:val="000000" w:themeColor="text1"/>
          <w:sz w:val="20"/>
          <w:szCs w:val="20"/>
        </w:rPr>
        <w:t>BSEA #2508136 (Reichbach, 2025).</w:t>
      </w:r>
    </w:p>
  </w:footnote>
  <w:footnote w:id="11">
    <w:p w14:paraId="3CCEA796" w14:textId="58CA1365" w:rsidR="006D3E32" w:rsidRPr="002256CC" w:rsidRDefault="006D3E32">
      <w:pPr>
        <w:pStyle w:val="FootnoteText"/>
        <w:rPr>
          <w:rFonts w:ascii="Aptos" w:hAnsi="Aptos"/>
          <w:sz w:val="20"/>
          <w:szCs w:val="20"/>
        </w:rPr>
      </w:pPr>
      <w:r w:rsidRPr="002256CC">
        <w:rPr>
          <w:rStyle w:val="FootnoteReference"/>
          <w:rFonts w:ascii="Aptos" w:hAnsi="Aptos"/>
          <w:sz w:val="20"/>
          <w:szCs w:val="20"/>
        </w:rPr>
        <w:footnoteRef/>
      </w:r>
      <w:r w:rsidRPr="002256CC">
        <w:rPr>
          <w:rFonts w:ascii="Aptos" w:hAnsi="Aptos"/>
          <w:sz w:val="20"/>
          <w:szCs w:val="20"/>
        </w:rPr>
        <w:t xml:space="preserve"> </w:t>
      </w:r>
      <w:r w:rsidR="00A608CF" w:rsidRPr="002256CC">
        <w:rPr>
          <w:rFonts w:ascii="Aptos" w:hAnsi="Aptos"/>
          <w:sz w:val="20"/>
          <w:szCs w:val="20"/>
        </w:rPr>
        <w:t>M.G.L. c. 30A,</w:t>
      </w:r>
      <w:r w:rsidR="00A608CF" w:rsidRPr="002256CC">
        <w:rPr>
          <w:rFonts w:ascii="Aptos" w:hAnsi="Aptos" w:cs="Times New Roman"/>
          <w:color w:val="000000" w:themeColor="text1"/>
          <w:sz w:val="20"/>
          <w:szCs w:val="20"/>
        </w:rPr>
        <w:t xml:space="preserve"> §</w:t>
      </w:r>
      <w:r w:rsidR="00AD3DA3">
        <w:rPr>
          <w:rFonts w:ascii="Aptos" w:hAnsi="Aptos" w:cs="Times New Roman"/>
          <w:color w:val="000000" w:themeColor="text1"/>
          <w:sz w:val="20"/>
          <w:szCs w:val="20"/>
        </w:rPr>
        <w:t xml:space="preserve"> </w:t>
      </w:r>
      <w:r w:rsidR="00A608CF" w:rsidRPr="002256CC">
        <w:rPr>
          <w:rFonts w:ascii="Aptos" w:hAnsi="Aptos" w:cs="Times New Roman"/>
          <w:color w:val="000000" w:themeColor="text1"/>
          <w:sz w:val="20"/>
          <w:szCs w:val="20"/>
        </w:rPr>
        <w:t>12(5) (</w:t>
      </w:r>
      <w:r w:rsidR="00280C62">
        <w:rPr>
          <w:rFonts w:ascii="Aptos" w:hAnsi="Aptos" w:cs="Times New Roman"/>
          <w:color w:val="000000" w:themeColor="text1"/>
          <w:sz w:val="20"/>
          <w:szCs w:val="20"/>
        </w:rPr>
        <w:t>“</w:t>
      </w:r>
      <w:r w:rsidR="00A608CF" w:rsidRPr="002256CC">
        <w:rPr>
          <w:rFonts w:ascii="Aptos" w:hAnsi="Aptos" w:cs="Times New Roman"/>
          <w:color w:val="000000" w:themeColor="text1"/>
          <w:sz w:val="20"/>
          <w:szCs w:val="20"/>
        </w:rPr>
        <w:t>Upon the failure of any person to comply with a subpoena issued in the name of the agency and not revoked or modified by the agency as provided in this section, any justice of the superior court, upon application by the agency or by the party who requested that the subpoena be issued, may in his discretion issue an order requiring the attendance of such person before the agency and the giving of testimony or production of evidence. Any person failing to obey the court's order may be punished by the court for contempt.”)</w:t>
      </w:r>
      <w:r w:rsidR="003D6B4B">
        <w:rPr>
          <w:rFonts w:ascii="Aptos" w:hAnsi="Aptos" w:cs="Times New Roman"/>
          <w:color w:val="000000" w:themeColor="text1"/>
          <w:sz w:val="20"/>
          <w:szCs w:val="20"/>
        </w:rPr>
        <w:t xml:space="preserve"> </w:t>
      </w:r>
    </w:p>
  </w:footnote>
  <w:footnote w:id="12">
    <w:p w14:paraId="0201045B" w14:textId="0438F535" w:rsidR="002256CC" w:rsidRDefault="002256CC">
      <w:pPr>
        <w:pStyle w:val="FootnoteText"/>
      </w:pPr>
      <w:r w:rsidRPr="002256CC">
        <w:rPr>
          <w:rStyle w:val="FootnoteReference"/>
          <w:rFonts w:ascii="Aptos" w:hAnsi="Aptos"/>
          <w:sz w:val="20"/>
          <w:szCs w:val="20"/>
        </w:rPr>
        <w:footnoteRef/>
      </w:r>
      <w:r w:rsidR="00280C62">
        <w:rPr>
          <w:rFonts w:ascii="Aptos" w:hAnsi="Aptos"/>
          <w:sz w:val="20"/>
          <w:szCs w:val="20"/>
        </w:rPr>
        <w:t xml:space="preserve"> See</w:t>
      </w:r>
      <w:r w:rsidRPr="002256CC">
        <w:rPr>
          <w:rFonts w:ascii="Aptos" w:hAnsi="Aptos"/>
          <w:sz w:val="20"/>
          <w:szCs w:val="20"/>
        </w:rPr>
        <w:t xml:space="preserve"> </w:t>
      </w:r>
      <w:r w:rsidRPr="002256CC">
        <w:rPr>
          <w:rFonts w:ascii="Aptos" w:hAnsi="Aptos" w:cs="Times New Roman"/>
          <w:sz w:val="20"/>
          <w:szCs w:val="20"/>
        </w:rPr>
        <w:t xml:space="preserve">M.G.L. c. 112, </w:t>
      </w:r>
      <w:r w:rsidRPr="002256CC">
        <w:rPr>
          <w:rFonts w:ascii="Aptos" w:hAnsi="Aptos" w:cs="Times New Roman"/>
          <w:color w:val="000000" w:themeColor="text1"/>
          <w:sz w:val="20"/>
          <w:szCs w:val="20"/>
        </w:rPr>
        <w:t xml:space="preserve">§ </w:t>
      </w:r>
      <w:r w:rsidRPr="002256CC">
        <w:rPr>
          <w:rFonts w:ascii="Aptos" w:hAnsi="Aptos" w:cs="Times New Roman"/>
          <w:sz w:val="20"/>
          <w:szCs w:val="20"/>
        </w:rPr>
        <w:t>135A.</w:t>
      </w:r>
    </w:p>
  </w:footnote>
  <w:footnote w:id="13">
    <w:p w14:paraId="206896B0" w14:textId="3EC24EC3" w:rsidR="00172B93" w:rsidRPr="00280C62" w:rsidRDefault="00172B93">
      <w:pPr>
        <w:pStyle w:val="FootnoteText"/>
        <w:rPr>
          <w:rFonts w:ascii="Aptos" w:hAnsi="Aptos"/>
          <w:sz w:val="20"/>
          <w:szCs w:val="20"/>
        </w:rPr>
      </w:pPr>
      <w:r w:rsidRPr="00280C62">
        <w:rPr>
          <w:rStyle w:val="FootnoteReference"/>
          <w:rFonts w:ascii="Aptos" w:hAnsi="Aptos"/>
          <w:sz w:val="20"/>
          <w:szCs w:val="20"/>
        </w:rPr>
        <w:footnoteRef/>
      </w:r>
      <w:r w:rsidRPr="00280C62">
        <w:rPr>
          <w:rFonts w:ascii="Aptos" w:hAnsi="Aptos"/>
          <w:sz w:val="20"/>
          <w:szCs w:val="20"/>
        </w:rPr>
        <w:t xml:space="preserve"> </w:t>
      </w:r>
      <w:r w:rsidRPr="00280C62">
        <w:rPr>
          <w:rFonts w:ascii="Aptos" w:hAnsi="Aptos" w:cs="Times New Roman"/>
          <w:sz w:val="20"/>
          <w:szCs w:val="20"/>
        </w:rPr>
        <w:t xml:space="preserve">M.G.L. c. 112, </w:t>
      </w:r>
      <w:r w:rsidRPr="00280C62">
        <w:rPr>
          <w:rFonts w:ascii="Aptos" w:hAnsi="Aptos" w:cs="Times New Roman"/>
          <w:color w:val="000000" w:themeColor="text1"/>
          <w:sz w:val="20"/>
          <w:szCs w:val="20"/>
        </w:rPr>
        <w:t xml:space="preserve">§ </w:t>
      </w:r>
      <w:r w:rsidRPr="00280C62">
        <w:rPr>
          <w:rFonts w:ascii="Aptos" w:hAnsi="Aptos" w:cs="Times New Roman"/>
          <w:sz w:val="20"/>
          <w:szCs w:val="20"/>
        </w:rPr>
        <w:t>135B.</w:t>
      </w:r>
    </w:p>
  </w:footnote>
  <w:footnote w:id="14">
    <w:p w14:paraId="1E984606" w14:textId="7FF3F9B7" w:rsidR="000E5C05" w:rsidRPr="00280C62" w:rsidRDefault="000E5C05" w:rsidP="000E5C05">
      <w:pPr>
        <w:pStyle w:val="FootnoteText"/>
        <w:rPr>
          <w:rFonts w:ascii="Aptos" w:hAnsi="Aptos"/>
          <w:sz w:val="20"/>
          <w:szCs w:val="20"/>
        </w:rPr>
      </w:pPr>
      <w:r w:rsidRPr="00280C62">
        <w:rPr>
          <w:rStyle w:val="FootnoteReference"/>
          <w:rFonts w:ascii="Aptos" w:hAnsi="Aptos"/>
          <w:sz w:val="20"/>
          <w:szCs w:val="20"/>
        </w:rPr>
        <w:footnoteRef/>
      </w:r>
      <w:r w:rsidRPr="00280C62">
        <w:rPr>
          <w:rFonts w:ascii="Aptos" w:hAnsi="Aptos"/>
          <w:sz w:val="20"/>
          <w:szCs w:val="20"/>
        </w:rPr>
        <w:t xml:space="preserve"> </w:t>
      </w:r>
      <w:r w:rsidR="0039605C" w:rsidRPr="00280C62">
        <w:rPr>
          <w:rFonts w:ascii="Aptos" w:hAnsi="Aptos"/>
          <w:sz w:val="20"/>
          <w:szCs w:val="20"/>
        </w:rPr>
        <w:t xml:space="preserve">M.G.L. c. 119, </w:t>
      </w:r>
      <w:r w:rsidR="0039605C" w:rsidRPr="00280C62">
        <w:rPr>
          <w:rFonts w:ascii="Aptos" w:hAnsi="Aptos" w:cs="Times New Roman"/>
          <w:color w:val="000000" w:themeColor="text1"/>
          <w:sz w:val="20"/>
          <w:szCs w:val="20"/>
        </w:rPr>
        <w:t>§</w:t>
      </w:r>
      <w:r w:rsidR="003D6B4B">
        <w:rPr>
          <w:rFonts w:ascii="Aptos" w:hAnsi="Aptos" w:cs="Times New Roman"/>
          <w:color w:val="000000" w:themeColor="text1"/>
          <w:sz w:val="20"/>
          <w:szCs w:val="20"/>
        </w:rPr>
        <w:t xml:space="preserve"> </w:t>
      </w:r>
      <w:r w:rsidR="0039605C" w:rsidRPr="00280C62">
        <w:rPr>
          <w:rFonts w:ascii="Aptos" w:hAnsi="Aptos"/>
          <w:sz w:val="20"/>
          <w:szCs w:val="20"/>
        </w:rPr>
        <w:t>51F.</w:t>
      </w:r>
    </w:p>
  </w:footnote>
  <w:footnote w:id="15">
    <w:p w14:paraId="4CDDB134" w14:textId="513C57FB" w:rsidR="003A1D3F" w:rsidRPr="00280C62" w:rsidRDefault="003A1D3F">
      <w:pPr>
        <w:pStyle w:val="FootnoteText"/>
        <w:rPr>
          <w:rFonts w:ascii="Aptos" w:hAnsi="Aptos"/>
          <w:sz w:val="20"/>
          <w:szCs w:val="20"/>
        </w:rPr>
      </w:pPr>
      <w:r w:rsidRPr="00280C62">
        <w:rPr>
          <w:rStyle w:val="FootnoteReference"/>
          <w:rFonts w:ascii="Aptos" w:hAnsi="Aptos"/>
          <w:sz w:val="20"/>
          <w:szCs w:val="20"/>
        </w:rPr>
        <w:footnoteRef/>
      </w:r>
      <w:r w:rsidRPr="00280C62">
        <w:rPr>
          <w:rFonts w:ascii="Aptos" w:hAnsi="Aptos"/>
          <w:sz w:val="20"/>
          <w:szCs w:val="20"/>
        </w:rPr>
        <w:t xml:space="preserve"> </w:t>
      </w:r>
      <w:r w:rsidR="0039605C" w:rsidRPr="00280C62">
        <w:rPr>
          <w:rFonts w:ascii="Aptos" w:hAnsi="Aptos"/>
          <w:i/>
          <w:iCs/>
          <w:sz w:val="20"/>
          <w:szCs w:val="20"/>
        </w:rPr>
        <w:t>Id</w:t>
      </w:r>
      <w:r w:rsidR="0039605C" w:rsidRPr="00280C62">
        <w:rPr>
          <w:rFonts w:ascii="Aptos" w:hAnsi="Aptos"/>
          <w:sz w:val="20"/>
          <w:szCs w:val="20"/>
        </w:rPr>
        <w:t xml:space="preserve">.; see </w:t>
      </w:r>
      <w:r w:rsidRPr="00280C62">
        <w:rPr>
          <w:rFonts w:ascii="Aptos" w:hAnsi="Aptos"/>
          <w:sz w:val="20"/>
          <w:szCs w:val="20"/>
        </w:rPr>
        <w:t xml:space="preserve">110 </w:t>
      </w:r>
      <w:r w:rsidR="002B2544">
        <w:rPr>
          <w:rFonts w:ascii="Aptos" w:hAnsi="Aptos"/>
          <w:sz w:val="20"/>
          <w:szCs w:val="20"/>
        </w:rPr>
        <w:t>C.M.R.</w:t>
      </w:r>
      <w:r w:rsidRPr="00280C62">
        <w:rPr>
          <w:rFonts w:ascii="Aptos" w:hAnsi="Aptos"/>
          <w:sz w:val="20"/>
          <w:szCs w:val="20"/>
        </w:rPr>
        <w:t xml:space="preserve"> </w:t>
      </w:r>
      <w:r w:rsidR="0039605C" w:rsidRPr="00280C62">
        <w:rPr>
          <w:rFonts w:ascii="Aptos" w:hAnsi="Aptos" w:cs="Times New Roman"/>
          <w:color w:val="000000" w:themeColor="text1"/>
          <w:sz w:val="20"/>
          <w:szCs w:val="20"/>
        </w:rPr>
        <w:t>§</w:t>
      </w:r>
      <w:r w:rsidRPr="00280C62">
        <w:rPr>
          <w:rFonts w:ascii="Aptos" w:hAnsi="Aptos"/>
          <w:sz w:val="20"/>
          <w:szCs w:val="20"/>
        </w:rPr>
        <w:t xml:space="preserve"> 12.02</w:t>
      </w:r>
      <w:r w:rsidR="006D3E32" w:rsidRPr="00280C62">
        <w:rPr>
          <w:rFonts w:ascii="Aptos" w:hAnsi="Aptos"/>
          <w:sz w:val="20"/>
          <w:szCs w:val="20"/>
        </w:rPr>
        <w:t>.</w:t>
      </w:r>
    </w:p>
  </w:footnote>
  <w:footnote w:id="16">
    <w:p w14:paraId="0872D564" w14:textId="399BD9FC" w:rsidR="00A608CF" w:rsidRPr="00280C62" w:rsidRDefault="00A608CF">
      <w:pPr>
        <w:pStyle w:val="FootnoteText"/>
        <w:rPr>
          <w:rFonts w:ascii="Aptos" w:hAnsi="Aptos"/>
          <w:sz w:val="20"/>
          <w:szCs w:val="20"/>
        </w:rPr>
      </w:pPr>
      <w:r w:rsidRPr="00280C62">
        <w:rPr>
          <w:rStyle w:val="FootnoteReference"/>
          <w:rFonts w:ascii="Aptos" w:hAnsi="Aptos"/>
          <w:sz w:val="20"/>
          <w:szCs w:val="20"/>
        </w:rPr>
        <w:footnoteRef/>
      </w:r>
      <w:r w:rsidRPr="00280C62">
        <w:rPr>
          <w:rFonts w:ascii="Aptos" w:hAnsi="Aptos"/>
          <w:sz w:val="20"/>
          <w:szCs w:val="20"/>
        </w:rPr>
        <w:t xml:space="preserve"> 110 </w:t>
      </w:r>
      <w:r w:rsidR="002B2544">
        <w:rPr>
          <w:rFonts w:ascii="Aptos" w:hAnsi="Aptos"/>
          <w:sz w:val="20"/>
          <w:szCs w:val="20"/>
        </w:rPr>
        <w:t>C.M.R.</w:t>
      </w:r>
      <w:r w:rsidRPr="00280C62">
        <w:rPr>
          <w:rFonts w:ascii="Aptos" w:hAnsi="Aptos"/>
          <w:sz w:val="20"/>
          <w:szCs w:val="20"/>
        </w:rPr>
        <w:t xml:space="preserve"> </w:t>
      </w:r>
      <w:r w:rsidRPr="00280C62">
        <w:rPr>
          <w:rFonts w:ascii="Aptos" w:hAnsi="Aptos" w:cs="Times New Roman"/>
          <w:color w:val="000000" w:themeColor="text1"/>
          <w:sz w:val="20"/>
          <w:szCs w:val="20"/>
        </w:rPr>
        <w:t>§</w:t>
      </w:r>
      <w:r w:rsidR="00AD3DA3">
        <w:rPr>
          <w:rFonts w:ascii="Aptos" w:hAnsi="Aptos" w:cs="Times New Roman"/>
          <w:color w:val="000000" w:themeColor="text1"/>
          <w:sz w:val="20"/>
          <w:szCs w:val="20"/>
        </w:rPr>
        <w:t xml:space="preserve"> </w:t>
      </w:r>
      <w:r w:rsidRPr="00280C62">
        <w:rPr>
          <w:rFonts w:ascii="Aptos" w:hAnsi="Aptos"/>
          <w:sz w:val="20"/>
          <w:szCs w:val="20"/>
        </w:rPr>
        <w:t>12.06.</w:t>
      </w:r>
    </w:p>
  </w:footnote>
  <w:footnote w:id="17">
    <w:p w14:paraId="0BDC9CFA" w14:textId="2D5DDA6A" w:rsidR="005F08B0" w:rsidRPr="00280C62" w:rsidRDefault="005F08B0">
      <w:pPr>
        <w:pStyle w:val="FootnoteText"/>
        <w:rPr>
          <w:rFonts w:ascii="Aptos" w:hAnsi="Aptos"/>
          <w:sz w:val="20"/>
          <w:szCs w:val="20"/>
        </w:rPr>
      </w:pPr>
      <w:r w:rsidRPr="00280C62">
        <w:rPr>
          <w:rStyle w:val="FootnoteReference"/>
          <w:rFonts w:ascii="Aptos" w:hAnsi="Aptos"/>
          <w:sz w:val="20"/>
          <w:szCs w:val="20"/>
        </w:rPr>
        <w:footnoteRef/>
      </w:r>
      <w:r w:rsidRPr="00280C62">
        <w:rPr>
          <w:rFonts w:ascii="Aptos" w:hAnsi="Aptos"/>
          <w:sz w:val="20"/>
          <w:szCs w:val="20"/>
        </w:rPr>
        <w:t xml:space="preserve"> See </w:t>
      </w:r>
      <w:r w:rsidRPr="00280C62">
        <w:rPr>
          <w:rFonts w:ascii="Aptos" w:hAnsi="Aptos"/>
          <w:i/>
          <w:iCs/>
          <w:sz w:val="20"/>
          <w:szCs w:val="20"/>
        </w:rPr>
        <w:t>id</w:t>
      </w:r>
      <w:r w:rsidRPr="00280C62">
        <w:rPr>
          <w:rFonts w:ascii="Aptos" w:hAnsi="Aptos"/>
          <w:sz w:val="20"/>
          <w:szCs w:val="20"/>
        </w:rPr>
        <w:t>.</w:t>
      </w:r>
    </w:p>
  </w:footnote>
  <w:footnote w:id="18">
    <w:p w14:paraId="26226CF7" w14:textId="1958466A" w:rsidR="00AB2EBE" w:rsidRPr="00280C62" w:rsidRDefault="00AB2EBE">
      <w:pPr>
        <w:pStyle w:val="FootnoteText"/>
        <w:rPr>
          <w:rFonts w:ascii="Aptos" w:hAnsi="Aptos"/>
          <w:sz w:val="20"/>
          <w:szCs w:val="20"/>
        </w:rPr>
      </w:pPr>
      <w:r w:rsidRPr="00280C62">
        <w:rPr>
          <w:rStyle w:val="FootnoteReference"/>
          <w:rFonts w:ascii="Aptos" w:hAnsi="Aptos"/>
          <w:sz w:val="20"/>
          <w:szCs w:val="20"/>
        </w:rPr>
        <w:footnoteRef/>
      </w:r>
      <w:r w:rsidRPr="00280C62">
        <w:rPr>
          <w:rFonts w:ascii="Aptos" w:hAnsi="Aptos"/>
          <w:sz w:val="20"/>
          <w:szCs w:val="20"/>
        </w:rPr>
        <w:t xml:space="preserve"> 110 </w:t>
      </w:r>
      <w:r w:rsidR="002B2544">
        <w:rPr>
          <w:rFonts w:ascii="Aptos" w:hAnsi="Aptos"/>
          <w:sz w:val="20"/>
          <w:szCs w:val="20"/>
        </w:rPr>
        <w:t>C.M.R.</w:t>
      </w:r>
      <w:r w:rsidRPr="00280C62">
        <w:rPr>
          <w:rFonts w:ascii="Aptos" w:hAnsi="Aptos"/>
          <w:sz w:val="20"/>
          <w:szCs w:val="20"/>
        </w:rPr>
        <w:t xml:space="preserve"> </w:t>
      </w:r>
      <w:r w:rsidRPr="00280C62">
        <w:rPr>
          <w:rFonts w:ascii="Aptos" w:hAnsi="Aptos" w:cs="Times New Roman"/>
          <w:color w:val="000000" w:themeColor="text1"/>
          <w:sz w:val="20"/>
          <w:szCs w:val="20"/>
        </w:rPr>
        <w:t>§</w:t>
      </w:r>
      <w:r w:rsidR="00AD3DA3">
        <w:rPr>
          <w:rFonts w:ascii="Aptos" w:hAnsi="Aptos" w:cs="Times New Roman"/>
          <w:color w:val="000000" w:themeColor="text1"/>
          <w:sz w:val="20"/>
          <w:szCs w:val="20"/>
        </w:rPr>
        <w:t xml:space="preserve"> </w:t>
      </w:r>
      <w:r w:rsidRPr="00280C62">
        <w:rPr>
          <w:rFonts w:ascii="Aptos" w:hAnsi="Aptos"/>
          <w:sz w:val="20"/>
          <w:szCs w:val="20"/>
        </w:rPr>
        <w:t>12.07.</w:t>
      </w:r>
    </w:p>
  </w:footnote>
  <w:footnote w:id="19">
    <w:p w14:paraId="4F4D4BF6" w14:textId="32B4FEDF" w:rsidR="005F08B0" w:rsidRPr="00AB2EBE" w:rsidRDefault="005F08B0">
      <w:pPr>
        <w:pStyle w:val="FootnoteText"/>
        <w:rPr>
          <w:rFonts w:ascii="Aptos" w:hAnsi="Aptos"/>
          <w:sz w:val="20"/>
          <w:szCs w:val="20"/>
        </w:rPr>
      </w:pPr>
      <w:r w:rsidRPr="00280C62">
        <w:rPr>
          <w:rStyle w:val="FootnoteReference"/>
          <w:rFonts w:ascii="Aptos" w:hAnsi="Aptos"/>
          <w:sz w:val="20"/>
          <w:szCs w:val="20"/>
        </w:rPr>
        <w:footnoteRef/>
      </w:r>
      <w:r w:rsidRPr="00280C62">
        <w:rPr>
          <w:rFonts w:ascii="Aptos" w:hAnsi="Aptos"/>
          <w:sz w:val="20"/>
          <w:szCs w:val="20"/>
        </w:rPr>
        <w:t xml:space="preserve"> </w:t>
      </w:r>
      <w:r w:rsidR="00AB2EBE" w:rsidRPr="00280C62">
        <w:rPr>
          <w:rFonts w:ascii="Aptos" w:hAnsi="Aptos"/>
          <w:i/>
          <w:iCs/>
          <w:sz w:val="20"/>
          <w:szCs w:val="20"/>
        </w:rPr>
        <w:t>Id</w:t>
      </w:r>
      <w:r w:rsidR="00AB2EBE" w:rsidRPr="00280C62">
        <w:rPr>
          <w:rFonts w:ascii="Aptos" w:hAnsi="Aptos"/>
          <w:sz w:val="20"/>
          <w:szCs w:val="20"/>
        </w:rPr>
        <w:t>.</w:t>
      </w:r>
    </w:p>
  </w:footnote>
  <w:footnote w:id="20">
    <w:p w14:paraId="0EB609B8" w14:textId="77777777" w:rsidR="00B252D8" w:rsidRPr="00172B93" w:rsidRDefault="00B252D8" w:rsidP="00B252D8">
      <w:pPr>
        <w:pStyle w:val="FootnoteText"/>
        <w:tabs>
          <w:tab w:val="left" w:pos="7280"/>
        </w:tabs>
        <w:rPr>
          <w:rFonts w:ascii="Aptos" w:hAnsi="Aptos" w:cs="Times New Roman"/>
          <w:sz w:val="20"/>
          <w:szCs w:val="20"/>
        </w:rPr>
      </w:pPr>
      <w:r w:rsidRPr="00172B93">
        <w:rPr>
          <w:rStyle w:val="FootnoteReference"/>
          <w:rFonts w:ascii="Aptos" w:hAnsi="Aptos"/>
          <w:sz w:val="20"/>
          <w:szCs w:val="20"/>
        </w:rPr>
        <w:footnoteRef/>
      </w:r>
      <w:r w:rsidRPr="00172B93">
        <w:rPr>
          <w:rFonts w:ascii="Aptos" w:hAnsi="Aptos"/>
          <w:sz w:val="20"/>
          <w:szCs w:val="20"/>
        </w:rPr>
        <w:t xml:space="preserve"> </w:t>
      </w:r>
      <w:r w:rsidRPr="00172B93">
        <w:rPr>
          <w:rFonts w:ascii="Aptos" w:hAnsi="Aptos"/>
          <w:i/>
          <w:iCs/>
          <w:sz w:val="20"/>
          <w:szCs w:val="20"/>
        </w:rPr>
        <w:t>Id.</w:t>
      </w:r>
      <w:r w:rsidRPr="00172B93">
        <w:rPr>
          <w:rFonts w:ascii="Aptos" w:hAnsi="Aptos"/>
          <w:sz w:val="20"/>
          <w:szCs w:val="20"/>
        </w:rPr>
        <w:t xml:space="preserve"> </w:t>
      </w:r>
      <w:r w:rsidRPr="00172B93">
        <w:rPr>
          <w:rFonts w:ascii="Aptos" w:hAnsi="Aptos" w:cs="Times New Roman"/>
          <w:sz w:val="20"/>
          <w:szCs w:val="20"/>
        </w:rPr>
        <w:t xml:space="preserve">Licensed Department social workers also have a testimonial privilege that, with some exceptions, protects communications regarding a client’s mental or emotional condition. </w:t>
      </w:r>
      <w:r w:rsidRPr="00172B93">
        <w:rPr>
          <w:rFonts w:ascii="Aptos" w:hAnsi="Aptos"/>
          <w:sz w:val="20"/>
          <w:szCs w:val="20"/>
        </w:rPr>
        <w:t xml:space="preserve">See </w:t>
      </w:r>
      <w:r w:rsidRPr="00172B93">
        <w:rPr>
          <w:rFonts w:ascii="Aptos" w:hAnsi="Aptos" w:cs="Times New Roman"/>
          <w:sz w:val="20"/>
          <w:szCs w:val="20"/>
        </w:rPr>
        <w:t xml:space="preserve">M.G.L. c. 112, </w:t>
      </w:r>
      <w:r w:rsidRPr="00172B93">
        <w:rPr>
          <w:rFonts w:ascii="Aptos" w:hAnsi="Aptos" w:cs="Times New Roman"/>
          <w:color w:val="000000" w:themeColor="text1"/>
          <w:sz w:val="20"/>
          <w:szCs w:val="20"/>
        </w:rPr>
        <w:t xml:space="preserve">§ </w:t>
      </w:r>
      <w:r w:rsidRPr="00172B93">
        <w:rPr>
          <w:rFonts w:ascii="Aptos" w:hAnsi="Aptos" w:cs="Times New Roman"/>
          <w:sz w:val="20"/>
          <w:szCs w:val="20"/>
        </w:rPr>
        <w:t>135B.</w:t>
      </w:r>
    </w:p>
  </w:footnote>
  <w:footnote w:id="21">
    <w:p w14:paraId="7514CF76" w14:textId="6ADDF2E6" w:rsidR="00FB3255" w:rsidRPr="00FB3255" w:rsidRDefault="00FB3255">
      <w:pPr>
        <w:pStyle w:val="FootnoteText"/>
      </w:pPr>
      <w:r w:rsidRPr="00172B93">
        <w:rPr>
          <w:rStyle w:val="FootnoteReference"/>
          <w:rFonts w:ascii="Aptos" w:hAnsi="Aptos"/>
          <w:sz w:val="20"/>
          <w:szCs w:val="20"/>
        </w:rPr>
        <w:footnoteRef/>
      </w:r>
      <w:r w:rsidRPr="00172B93">
        <w:rPr>
          <w:rFonts w:ascii="Aptos" w:hAnsi="Aptos"/>
          <w:i/>
          <w:iCs/>
          <w:sz w:val="20"/>
          <w:szCs w:val="20"/>
        </w:rPr>
        <w:t xml:space="preserve"> </w:t>
      </w:r>
      <w:r w:rsidR="00172B93" w:rsidRPr="00172B93">
        <w:rPr>
          <w:rFonts w:ascii="Aptos" w:hAnsi="Aptos"/>
          <w:i/>
          <w:iCs/>
          <w:sz w:val="20"/>
          <w:szCs w:val="20"/>
        </w:rPr>
        <w:t>Cf.</w:t>
      </w:r>
      <w:r w:rsidRPr="00172B93">
        <w:rPr>
          <w:rFonts w:ascii="Aptos" w:hAnsi="Aptos"/>
          <w:sz w:val="20"/>
          <w:szCs w:val="20"/>
        </w:rPr>
        <w:t xml:space="preserve"> </w:t>
      </w:r>
      <w:r w:rsidR="00172B93" w:rsidRPr="00172B93">
        <w:rPr>
          <w:rFonts w:ascii="Aptos" w:hAnsi="Aptos"/>
          <w:sz w:val="20"/>
          <w:szCs w:val="20"/>
        </w:rPr>
        <w:t xml:space="preserve">110 </w:t>
      </w:r>
      <w:r w:rsidR="002B2544">
        <w:rPr>
          <w:rFonts w:ascii="Aptos" w:hAnsi="Aptos"/>
          <w:sz w:val="20"/>
          <w:szCs w:val="20"/>
        </w:rPr>
        <w:t>C.M.R.</w:t>
      </w:r>
      <w:r w:rsidR="00172B93" w:rsidRPr="00172B93">
        <w:rPr>
          <w:rFonts w:ascii="Aptos" w:hAnsi="Aptos"/>
          <w:sz w:val="20"/>
          <w:szCs w:val="20"/>
        </w:rPr>
        <w:t xml:space="preserve"> </w:t>
      </w:r>
      <w:r w:rsidR="00172B93" w:rsidRPr="00172B93">
        <w:rPr>
          <w:rFonts w:ascii="Aptos" w:hAnsi="Aptos" w:cs="Times New Roman"/>
          <w:color w:val="000000" w:themeColor="text1"/>
          <w:sz w:val="20"/>
          <w:szCs w:val="20"/>
        </w:rPr>
        <w:t>§</w:t>
      </w:r>
      <w:r w:rsidR="00AD3DA3">
        <w:rPr>
          <w:rFonts w:ascii="Aptos" w:hAnsi="Aptos" w:cs="Times New Roman"/>
          <w:color w:val="000000" w:themeColor="text1"/>
          <w:sz w:val="20"/>
          <w:szCs w:val="20"/>
        </w:rPr>
        <w:t xml:space="preserve"> </w:t>
      </w:r>
      <w:r w:rsidR="00172B93" w:rsidRPr="00172B93">
        <w:rPr>
          <w:rFonts w:ascii="Aptos" w:hAnsi="Aptos"/>
          <w:sz w:val="20"/>
          <w:szCs w:val="20"/>
        </w:rPr>
        <w:t>12.06 (</w:t>
      </w:r>
      <w:r w:rsidR="00172B93" w:rsidRPr="00172B93">
        <w:rPr>
          <w:rFonts w:ascii="Aptos" w:hAnsi="Aptos" w:cs="Times New Roman"/>
          <w:sz w:val="20"/>
          <w:szCs w:val="20"/>
        </w:rPr>
        <w:t>permitting the Department to release information about children in its care and custody to service providers where that information is, in its judgment, necessary for service delivery to such children).</w:t>
      </w:r>
    </w:p>
  </w:footnote>
  <w:footnote w:id="22">
    <w:p w14:paraId="433655E3" w14:textId="6F1874FB" w:rsidR="00280C62" w:rsidRPr="009478DE" w:rsidRDefault="00280C62" w:rsidP="002B2544">
      <w:pPr>
        <w:pStyle w:val="NoSpacing"/>
        <w:rPr>
          <w:rFonts w:ascii="Aptos" w:hAnsi="Aptos"/>
          <w:sz w:val="25"/>
          <w:szCs w:val="25"/>
        </w:rPr>
      </w:pPr>
      <w:r w:rsidRPr="00280C62">
        <w:rPr>
          <w:rStyle w:val="FootnoteReference"/>
          <w:rFonts w:ascii="Aptos" w:hAnsi="Aptos"/>
          <w:sz w:val="20"/>
          <w:szCs w:val="20"/>
        </w:rPr>
        <w:footnoteRef/>
      </w:r>
      <w:r w:rsidRPr="00280C62">
        <w:rPr>
          <w:rFonts w:ascii="Aptos" w:hAnsi="Aptos"/>
          <w:sz w:val="20"/>
          <w:szCs w:val="20"/>
        </w:rPr>
        <w:t xml:space="preserve"> See BSEA </w:t>
      </w:r>
      <w:r w:rsidRPr="00280C62">
        <w:rPr>
          <w:rFonts w:ascii="Aptos" w:hAnsi="Aptos"/>
          <w:i/>
          <w:iCs/>
          <w:sz w:val="20"/>
          <w:szCs w:val="20"/>
        </w:rPr>
        <w:t xml:space="preserve">Hearing Rule </w:t>
      </w:r>
      <w:r w:rsidRPr="00280C62">
        <w:rPr>
          <w:rFonts w:ascii="Aptos" w:hAnsi="Aptos"/>
          <w:sz w:val="20"/>
          <w:szCs w:val="20"/>
        </w:rPr>
        <w:t>VII(C).</w:t>
      </w:r>
      <w:r>
        <w:rPr>
          <w:rFonts w:ascii="Aptos" w:hAnsi="Aptos"/>
          <w:sz w:val="20"/>
          <w:szCs w:val="20"/>
        </w:rPr>
        <w:t xml:space="preserve"> For </w:t>
      </w:r>
      <w:r w:rsidRPr="00280C62">
        <w:rPr>
          <w:rFonts w:ascii="Aptos" w:hAnsi="Aptos"/>
          <w:sz w:val="20"/>
          <w:szCs w:val="20"/>
        </w:rPr>
        <w:t xml:space="preserve">the same reasons, in the specific circumstances of this case, a subpoena for the production of this evidence is “unreasonable or oppressive.” See MG.C. c. 30A, </w:t>
      </w:r>
      <w:r w:rsidRPr="00280C62">
        <w:rPr>
          <w:rFonts w:ascii="Aptos" w:hAnsi="Aptos" w:cs="Times New Roman"/>
          <w:color w:val="000000" w:themeColor="text1"/>
          <w:sz w:val="20"/>
          <w:szCs w:val="20"/>
        </w:rPr>
        <w:t>§</w:t>
      </w:r>
      <w:r w:rsidR="00090BD9">
        <w:rPr>
          <w:rFonts w:ascii="Aptos" w:hAnsi="Aptos" w:cs="Times New Roman"/>
          <w:color w:val="000000" w:themeColor="text1"/>
          <w:sz w:val="20"/>
          <w:szCs w:val="20"/>
        </w:rPr>
        <w:t xml:space="preserve"> </w:t>
      </w:r>
      <w:r w:rsidRPr="00280C62">
        <w:rPr>
          <w:rFonts w:ascii="Aptos" w:hAnsi="Aptos" w:cs="Times New Roman"/>
          <w:color w:val="000000" w:themeColor="text1"/>
          <w:sz w:val="20"/>
          <w:szCs w:val="20"/>
        </w:rPr>
        <w:t>12(4).</w:t>
      </w:r>
      <w:r w:rsidR="003B7D42">
        <w:rPr>
          <w:rFonts w:ascii="Aptos" w:hAnsi="Aptos" w:cs="Times New Roman"/>
          <w:color w:val="000000" w:themeColor="text1"/>
          <w:sz w:val="20"/>
          <w:szCs w:val="20"/>
        </w:rPr>
        <w:t xml:space="preserve"> My conclusion that this subpoena is unduly burdensome and unreasonable or oppressive is informed by my analysis above regarding the lack of client consent; DCF’s </w:t>
      </w:r>
      <w:r w:rsidR="00D91586">
        <w:rPr>
          <w:rFonts w:ascii="Aptos" w:hAnsi="Aptos" w:cs="Times New Roman"/>
          <w:color w:val="000000" w:themeColor="text1"/>
          <w:sz w:val="20"/>
          <w:szCs w:val="20"/>
        </w:rPr>
        <w:t>decision</w:t>
      </w:r>
      <w:r w:rsidR="003B7D42">
        <w:rPr>
          <w:rFonts w:ascii="Aptos" w:hAnsi="Aptos" w:cs="Times New Roman"/>
          <w:color w:val="000000" w:themeColor="text1"/>
          <w:sz w:val="20"/>
          <w:szCs w:val="20"/>
        </w:rPr>
        <w:t xml:space="preserve"> to challenge the subpoena; and Foxborough’s ability to obtain the information through other means that are less invasive of Student’s and Parent’s confidential relationships with DCF.</w:t>
      </w:r>
    </w:p>
    <w:p w14:paraId="36E7F9A4" w14:textId="1689BE7C" w:rsidR="00280C62" w:rsidRPr="00280C62" w:rsidRDefault="00280C62">
      <w:pPr>
        <w:pStyle w:val="FootnoteText"/>
        <w:rPr>
          <w:rFonts w:ascii="Aptos" w:hAnsi="Aptos"/>
          <w:sz w:val="20"/>
          <w:szCs w:val="20"/>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84E6B"/>
    <w:multiLevelType w:val="hybridMultilevel"/>
    <w:tmpl w:val="473425D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 w15:restartNumberingAfterBreak="0">
    <w:nsid w:val="0B0C057E"/>
    <w:multiLevelType w:val="hybridMultilevel"/>
    <w:tmpl w:val="A69C3FAE"/>
    <w:lvl w:ilvl="0" w:tplc="6068EE96">
      <w:start w:val="1"/>
      <w:numFmt w:val="decimal"/>
      <w:lvlText w:val="%1."/>
      <w:lvlJc w:val="left"/>
      <w:pPr>
        <w:ind w:left="630" w:hanging="360"/>
      </w:pPr>
      <w:rPr>
        <w:rFonts w:hint="default"/>
        <w:i/>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 w15:restartNumberingAfterBreak="0">
    <w:nsid w:val="131240DF"/>
    <w:multiLevelType w:val="hybridMultilevel"/>
    <w:tmpl w:val="473425DE"/>
    <w:lvl w:ilvl="0" w:tplc="B334507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E932AAF"/>
    <w:multiLevelType w:val="hybridMultilevel"/>
    <w:tmpl w:val="87E6F62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4853763"/>
    <w:multiLevelType w:val="hybridMultilevel"/>
    <w:tmpl w:val="4FA611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4F67E0C"/>
    <w:multiLevelType w:val="hybridMultilevel"/>
    <w:tmpl w:val="C79422E6"/>
    <w:lvl w:ilvl="0" w:tplc="1E40E312">
      <w:start w:val="1"/>
      <w:numFmt w:val="upperLetter"/>
      <w:lvlText w:val="%1."/>
      <w:lvlJc w:val="left"/>
      <w:pPr>
        <w:ind w:left="1080" w:hanging="360"/>
      </w:pPr>
      <w:rPr>
        <w:rFonts w:hint="default"/>
        <w:i w:val="0"/>
        <w:iCs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386530EC"/>
    <w:multiLevelType w:val="hybridMultilevel"/>
    <w:tmpl w:val="6E8C550A"/>
    <w:lvl w:ilvl="0" w:tplc="241ED6F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3AE21D8F"/>
    <w:multiLevelType w:val="hybridMultilevel"/>
    <w:tmpl w:val="D4D80622"/>
    <w:lvl w:ilvl="0" w:tplc="122EEB76">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44B47D81"/>
    <w:multiLevelType w:val="hybridMultilevel"/>
    <w:tmpl w:val="E4B48136"/>
    <w:lvl w:ilvl="0" w:tplc="5398811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83D1114"/>
    <w:multiLevelType w:val="hybridMultilevel"/>
    <w:tmpl w:val="60D6545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C843794"/>
    <w:multiLevelType w:val="hybridMultilevel"/>
    <w:tmpl w:val="4AAC15AE"/>
    <w:lvl w:ilvl="0" w:tplc="1C124F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532F72FE"/>
    <w:multiLevelType w:val="hybridMultilevel"/>
    <w:tmpl w:val="579A376C"/>
    <w:lvl w:ilvl="0" w:tplc="FFFFFFFF">
      <w:start w:val="1"/>
      <w:numFmt w:val="decimal"/>
      <w:lvlText w:val="%1."/>
      <w:lvlJc w:val="left"/>
      <w:pPr>
        <w:ind w:left="1080" w:hanging="360"/>
      </w:pPr>
      <w:rPr>
        <w:rFonts w:hint="default"/>
      </w:rPr>
    </w:lvl>
    <w:lvl w:ilvl="1" w:tplc="FFFFFFFF">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2" w15:restartNumberingAfterBreak="0">
    <w:nsid w:val="5AB6540E"/>
    <w:multiLevelType w:val="hybridMultilevel"/>
    <w:tmpl w:val="14B84AF8"/>
    <w:lvl w:ilvl="0" w:tplc="64C66A7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EBF1364"/>
    <w:multiLevelType w:val="hybridMultilevel"/>
    <w:tmpl w:val="CF9ABBD8"/>
    <w:lvl w:ilvl="0" w:tplc="04090015">
      <w:start w:val="1"/>
      <w:numFmt w:val="upperLetter"/>
      <w:lvlText w:val="%1."/>
      <w:lvlJc w:val="left"/>
      <w:pPr>
        <w:ind w:left="720" w:hanging="360"/>
      </w:pPr>
      <w:rPr>
        <w:rFonts w:hint="default"/>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E914DB"/>
    <w:multiLevelType w:val="hybridMultilevel"/>
    <w:tmpl w:val="A96AE5F8"/>
    <w:lvl w:ilvl="0" w:tplc="7040E318">
      <w:start w:val="1"/>
      <w:numFmt w:val="lowerRoman"/>
      <w:lvlText w:val="%1."/>
      <w:lvlJc w:val="left"/>
      <w:pPr>
        <w:ind w:left="2520" w:hanging="72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5" w15:restartNumberingAfterBreak="0">
    <w:nsid w:val="6C083E22"/>
    <w:multiLevelType w:val="hybridMultilevel"/>
    <w:tmpl w:val="6E8C550A"/>
    <w:lvl w:ilvl="0" w:tplc="241ED6F8">
      <w:start w:val="1"/>
      <w:numFmt w:val="decimal"/>
      <w:lvlText w:val="%1."/>
      <w:lvlJc w:val="left"/>
      <w:pPr>
        <w:ind w:left="1080" w:hanging="360"/>
      </w:pPr>
      <w:rPr>
        <w:rFonts w:hint="default"/>
        <w:i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C203B87"/>
    <w:multiLevelType w:val="hybridMultilevel"/>
    <w:tmpl w:val="473425DE"/>
    <w:lvl w:ilvl="0" w:tplc="FFFFFFFF">
      <w:start w:val="1"/>
      <w:numFmt w:val="decimal"/>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num w:numId="1" w16cid:durableId="126973785">
    <w:abstractNumId w:val="13"/>
  </w:num>
  <w:num w:numId="2" w16cid:durableId="267852360">
    <w:abstractNumId w:val="15"/>
  </w:num>
  <w:num w:numId="3" w16cid:durableId="1353143207">
    <w:abstractNumId w:val="9"/>
  </w:num>
  <w:num w:numId="4" w16cid:durableId="1223832751">
    <w:abstractNumId w:val="6"/>
  </w:num>
  <w:num w:numId="5" w16cid:durableId="958412239">
    <w:abstractNumId w:val="3"/>
  </w:num>
  <w:num w:numId="6" w16cid:durableId="1119494297">
    <w:abstractNumId w:val="11"/>
  </w:num>
  <w:num w:numId="7" w16cid:durableId="139739017">
    <w:abstractNumId w:val="12"/>
  </w:num>
  <w:num w:numId="8" w16cid:durableId="1375809292">
    <w:abstractNumId w:val="5"/>
  </w:num>
  <w:num w:numId="9" w16cid:durableId="1666975685">
    <w:abstractNumId w:val="1"/>
  </w:num>
  <w:num w:numId="10" w16cid:durableId="696926002">
    <w:abstractNumId w:val="4"/>
  </w:num>
  <w:num w:numId="11" w16cid:durableId="380861792">
    <w:abstractNumId w:val="10"/>
  </w:num>
  <w:num w:numId="12" w16cid:durableId="949124064">
    <w:abstractNumId w:val="7"/>
  </w:num>
  <w:num w:numId="13" w16cid:durableId="1315449559">
    <w:abstractNumId w:val="8"/>
  </w:num>
  <w:num w:numId="14" w16cid:durableId="1818909546">
    <w:abstractNumId w:val="14"/>
  </w:num>
  <w:num w:numId="15" w16cid:durableId="199249383">
    <w:abstractNumId w:val="2"/>
  </w:num>
  <w:num w:numId="16" w16cid:durableId="1765153982">
    <w:abstractNumId w:val="16"/>
  </w:num>
  <w:num w:numId="17" w16cid:durableId="766314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F4F"/>
    <w:rsid w:val="000070D0"/>
    <w:rsid w:val="00007B6E"/>
    <w:rsid w:val="0001160C"/>
    <w:rsid w:val="00012872"/>
    <w:rsid w:val="00045D03"/>
    <w:rsid w:val="00046483"/>
    <w:rsid w:val="000466FA"/>
    <w:rsid w:val="000523A0"/>
    <w:rsid w:val="0005399C"/>
    <w:rsid w:val="000562E5"/>
    <w:rsid w:val="000636B6"/>
    <w:rsid w:val="00065129"/>
    <w:rsid w:val="00073D8B"/>
    <w:rsid w:val="00080DF2"/>
    <w:rsid w:val="00086253"/>
    <w:rsid w:val="00090BD9"/>
    <w:rsid w:val="00091063"/>
    <w:rsid w:val="000A1D08"/>
    <w:rsid w:val="000C1BFE"/>
    <w:rsid w:val="000C785D"/>
    <w:rsid w:val="000E2537"/>
    <w:rsid w:val="000E5C05"/>
    <w:rsid w:val="000F389D"/>
    <w:rsid w:val="000F3BAF"/>
    <w:rsid w:val="000F3F23"/>
    <w:rsid w:val="000F66B6"/>
    <w:rsid w:val="00101468"/>
    <w:rsid w:val="00107316"/>
    <w:rsid w:val="001103AE"/>
    <w:rsid w:val="00111EBC"/>
    <w:rsid w:val="001139E2"/>
    <w:rsid w:val="00122AA3"/>
    <w:rsid w:val="00123415"/>
    <w:rsid w:val="001332B3"/>
    <w:rsid w:val="001334DA"/>
    <w:rsid w:val="001376D7"/>
    <w:rsid w:val="00143491"/>
    <w:rsid w:val="0014415B"/>
    <w:rsid w:val="00145C82"/>
    <w:rsid w:val="00146A80"/>
    <w:rsid w:val="001471D6"/>
    <w:rsid w:val="00153777"/>
    <w:rsid w:val="001541BE"/>
    <w:rsid w:val="00160C76"/>
    <w:rsid w:val="00167698"/>
    <w:rsid w:val="00172B93"/>
    <w:rsid w:val="0017467E"/>
    <w:rsid w:val="001807B1"/>
    <w:rsid w:val="00191AD4"/>
    <w:rsid w:val="00197A3C"/>
    <w:rsid w:val="001A115D"/>
    <w:rsid w:val="001B194E"/>
    <w:rsid w:val="001C017B"/>
    <w:rsid w:val="001C2AA5"/>
    <w:rsid w:val="001D61B1"/>
    <w:rsid w:val="001E0D3B"/>
    <w:rsid w:val="001E66D6"/>
    <w:rsid w:val="001F4ADA"/>
    <w:rsid w:val="00201195"/>
    <w:rsid w:val="00204DCE"/>
    <w:rsid w:val="002073B5"/>
    <w:rsid w:val="0021167E"/>
    <w:rsid w:val="00217234"/>
    <w:rsid w:val="00217FEC"/>
    <w:rsid w:val="00220810"/>
    <w:rsid w:val="002256CC"/>
    <w:rsid w:val="00225CF9"/>
    <w:rsid w:val="00227735"/>
    <w:rsid w:val="0023408F"/>
    <w:rsid w:val="00235910"/>
    <w:rsid w:val="00245E6C"/>
    <w:rsid w:val="00245E9D"/>
    <w:rsid w:val="00251A0E"/>
    <w:rsid w:val="0025248E"/>
    <w:rsid w:val="00252551"/>
    <w:rsid w:val="0025588F"/>
    <w:rsid w:val="00255E9C"/>
    <w:rsid w:val="002625CE"/>
    <w:rsid w:val="00267A21"/>
    <w:rsid w:val="00267DA9"/>
    <w:rsid w:val="00272D4C"/>
    <w:rsid w:val="00274520"/>
    <w:rsid w:val="002759D5"/>
    <w:rsid w:val="00275BF2"/>
    <w:rsid w:val="002769F0"/>
    <w:rsid w:val="00280C62"/>
    <w:rsid w:val="002901C1"/>
    <w:rsid w:val="002931EA"/>
    <w:rsid w:val="0029431C"/>
    <w:rsid w:val="00295F74"/>
    <w:rsid w:val="002A714B"/>
    <w:rsid w:val="002A7FF7"/>
    <w:rsid w:val="002B205A"/>
    <w:rsid w:val="002B2544"/>
    <w:rsid w:val="002B3A10"/>
    <w:rsid w:val="002B5426"/>
    <w:rsid w:val="002C2DA7"/>
    <w:rsid w:val="002D5611"/>
    <w:rsid w:val="002D5751"/>
    <w:rsid w:val="002E012E"/>
    <w:rsid w:val="002E3296"/>
    <w:rsid w:val="002F1D06"/>
    <w:rsid w:val="002F250D"/>
    <w:rsid w:val="00304DFF"/>
    <w:rsid w:val="00305F15"/>
    <w:rsid w:val="003111AF"/>
    <w:rsid w:val="003125DE"/>
    <w:rsid w:val="00316669"/>
    <w:rsid w:val="003228AE"/>
    <w:rsid w:val="00322C7A"/>
    <w:rsid w:val="003276E8"/>
    <w:rsid w:val="003305C0"/>
    <w:rsid w:val="003337CD"/>
    <w:rsid w:val="00335168"/>
    <w:rsid w:val="00335B0D"/>
    <w:rsid w:val="00344771"/>
    <w:rsid w:val="00353505"/>
    <w:rsid w:val="00362AB1"/>
    <w:rsid w:val="0036551A"/>
    <w:rsid w:val="00365C93"/>
    <w:rsid w:val="0037228F"/>
    <w:rsid w:val="00372824"/>
    <w:rsid w:val="00376F4F"/>
    <w:rsid w:val="00383610"/>
    <w:rsid w:val="0039605C"/>
    <w:rsid w:val="003A1D3F"/>
    <w:rsid w:val="003A4111"/>
    <w:rsid w:val="003B1871"/>
    <w:rsid w:val="003B7D42"/>
    <w:rsid w:val="003C2DB4"/>
    <w:rsid w:val="003D6B4B"/>
    <w:rsid w:val="003E341C"/>
    <w:rsid w:val="003F1914"/>
    <w:rsid w:val="003F3653"/>
    <w:rsid w:val="00404DA9"/>
    <w:rsid w:val="00426546"/>
    <w:rsid w:val="00433A89"/>
    <w:rsid w:val="00433DBE"/>
    <w:rsid w:val="00435415"/>
    <w:rsid w:val="0043673C"/>
    <w:rsid w:val="00446569"/>
    <w:rsid w:val="00454635"/>
    <w:rsid w:val="00457164"/>
    <w:rsid w:val="0046363C"/>
    <w:rsid w:val="00477695"/>
    <w:rsid w:val="00481613"/>
    <w:rsid w:val="004839B2"/>
    <w:rsid w:val="004864A1"/>
    <w:rsid w:val="0049454E"/>
    <w:rsid w:val="0049550B"/>
    <w:rsid w:val="004A6E19"/>
    <w:rsid w:val="004C077D"/>
    <w:rsid w:val="004C609E"/>
    <w:rsid w:val="004D258C"/>
    <w:rsid w:val="004D6EFF"/>
    <w:rsid w:val="004E3ABA"/>
    <w:rsid w:val="004E4C69"/>
    <w:rsid w:val="004E6D83"/>
    <w:rsid w:val="004F0CFD"/>
    <w:rsid w:val="004F3423"/>
    <w:rsid w:val="004F355B"/>
    <w:rsid w:val="004F40CC"/>
    <w:rsid w:val="004F5D42"/>
    <w:rsid w:val="00501F75"/>
    <w:rsid w:val="0050527B"/>
    <w:rsid w:val="0050589E"/>
    <w:rsid w:val="00512794"/>
    <w:rsid w:val="0051306C"/>
    <w:rsid w:val="00541A99"/>
    <w:rsid w:val="00544F86"/>
    <w:rsid w:val="00565D57"/>
    <w:rsid w:val="005733BC"/>
    <w:rsid w:val="00573996"/>
    <w:rsid w:val="0057537F"/>
    <w:rsid w:val="005913A0"/>
    <w:rsid w:val="00595DD1"/>
    <w:rsid w:val="00596896"/>
    <w:rsid w:val="005C0881"/>
    <w:rsid w:val="005D742A"/>
    <w:rsid w:val="005E6B42"/>
    <w:rsid w:val="005F08B0"/>
    <w:rsid w:val="005F32EC"/>
    <w:rsid w:val="005F4F64"/>
    <w:rsid w:val="00600964"/>
    <w:rsid w:val="006014F6"/>
    <w:rsid w:val="006077DC"/>
    <w:rsid w:val="0061114F"/>
    <w:rsid w:val="00611572"/>
    <w:rsid w:val="00611A4D"/>
    <w:rsid w:val="0061489D"/>
    <w:rsid w:val="00620098"/>
    <w:rsid w:val="00640846"/>
    <w:rsid w:val="00640CDA"/>
    <w:rsid w:val="006416BB"/>
    <w:rsid w:val="0064507B"/>
    <w:rsid w:val="006467A5"/>
    <w:rsid w:val="0064769E"/>
    <w:rsid w:val="006512FF"/>
    <w:rsid w:val="006526A3"/>
    <w:rsid w:val="0066059A"/>
    <w:rsid w:val="00661509"/>
    <w:rsid w:val="00661A8B"/>
    <w:rsid w:val="00665DE9"/>
    <w:rsid w:val="00671D5B"/>
    <w:rsid w:val="00674937"/>
    <w:rsid w:val="00683F0C"/>
    <w:rsid w:val="006913D0"/>
    <w:rsid w:val="006A167B"/>
    <w:rsid w:val="006A5632"/>
    <w:rsid w:val="006A796C"/>
    <w:rsid w:val="006B18C2"/>
    <w:rsid w:val="006B3A7E"/>
    <w:rsid w:val="006C2700"/>
    <w:rsid w:val="006C2E3E"/>
    <w:rsid w:val="006C379E"/>
    <w:rsid w:val="006C416A"/>
    <w:rsid w:val="006D30BD"/>
    <w:rsid w:val="006D360A"/>
    <w:rsid w:val="006D3E32"/>
    <w:rsid w:val="006E1E6F"/>
    <w:rsid w:val="006E7D92"/>
    <w:rsid w:val="006F4944"/>
    <w:rsid w:val="007201FF"/>
    <w:rsid w:val="00727CE3"/>
    <w:rsid w:val="00733987"/>
    <w:rsid w:val="007349BB"/>
    <w:rsid w:val="00735F55"/>
    <w:rsid w:val="00744A94"/>
    <w:rsid w:val="007450D4"/>
    <w:rsid w:val="0075096B"/>
    <w:rsid w:val="00760B18"/>
    <w:rsid w:val="00766E84"/>
    <w:rsid w:val="00767B9F"/>
    <w:rsid w:val="00771630"/>
    <w:rsid w:val="007761B5"/>
    <w:rsid w:val="00782BA1"/>
    <w:rsid w:val="00785095"/>
    <w:rsid w:val="00796604"/>
    <w:rsid w:val="00796BCE"/>
    <w:rsid w:val="007A5E8D"/>
    <w:rsid w:val="007B48B6"/>
    <w:rsid w:val="007B7DEB"/>
    <w:rsid w:val="007C54D2"/>
    <w:rsid w:val="007D6CB4"/>
    <w:rsid w:val="007E3182"/>
    <w:rsid w:val="007E4BF9"/>
    <w:rsid w:val="007E59F7"/>
    <w:rsid w:val="007E5E73"/>
    <w:rsid w:val="0080209B"/>
    <w:rsid w:val="00802610"/>
    <w:rsid w:val="0080492F"/>
    <w:rsid w:val="00811E60"/>
    <w:rsid w:val="008124EE"/>
    <w:rsid w:val="0081268B"/>
    <w:rsid w:val="00816A76"/>
    <w:rsid w:val="00820169"/>
    <w:rsid w:val="008208BC"/>
    <w:rsid w:val="0082490C"/>
    <w:rsid w:val="0083004B"/>
    <w:rsid w:val="00832245"/>
    <w:rsid w:val="0083334E"/>
    <w:rsid w:val="008341A9"/>
    <w:rsid w:val="00834CDF"/>
    <w:rsid w:val="00836854"/>
    <w:rsid w:val="00840926"/>
    <w:rsid w:val="00845305"/>
    <w:rsid w:val="00852A4A"/>
    <w:rsid w:val="0087196B"/>
    <w:rsid w:val="008730D5"/>
    <w:rsid w:val="00873CE7"/>
    <w:rsid w:val="00876A0E"/>
    <w:rsid w:val="008A2A90"/>
    <w:rsid w:val="008A2D6D"/>
    <w:rsid w:val="008B5467"/>
    <w:rsid w:val="008C37AF"/>
    <w:rsid w:val="008C5A6E"/>
    <w:rsid w:val="008E16E1"/>
    <w:rsid w:val="008E24D4"/>
    <w:rsid w:val="008F3CDE"/>
    <w:rsid w:val="008F69FB"/>
    <w:rsid w:val="008F72F6"/>
    <w:rsid w:val="00910EC3"/>
    <w:rsid w:val="0091167B"/>
    <w:rsid w:val="00917015"/>
    <w:rsid w:val="0093410A"/>
    <w:rsid w:val="00937160"/>
    <w:rsid w:val="0094043E"/>
    <w:rsid w:val="009478DE"/>
    <w:rsid w:val="009521B1"/>
    <w:rsid w:val="009528B9"/>
    <w:rsid w:val="009557D5"/>
    <w:rsid w:val="009611C9"/>
    <w:rsid w:val="009715A4"/>
    <w:rsid w:val="00974B9A"/>
    <w:rsid w:val="00975159"/>
    <w:rsid w:val="009774FB"/>
    <w:rsid w:val="00994657"/>
    <w:rsid w:val="00997DC2"/>
    <w:rsid w:val="009A0572"/>
    <w:rsid w:val="009A70BE"/>
    <w:rsid w:val="009B04F4"/>
    <w:rsid w:val="009B050A"/>
    <w:rsid w:val="009B2E9B"/>
    <w:rsid w:val="009B51AC"/>
    <w:rsid w:val="009B56BD"/>
    <w:rsid w:val="009B775C"/>
    <w:rsid w:val="009D55B6"/>
    <w:rsid w:val="009E4A2D"/>
    <w:rsid w:val="009E6A8E"/>
    <w:rsid w:val="009F0126"/>
    <w:rsid w:val="009F06D8"/>
    <w:rsid w:val="009F4E78"/>
    <w:rsid w:val="00A16FA1"/>
    <w:rsid w:val="00A17649"/>
    <w:rsid w:val="00A22DAC"/>
    <w:rsid w:val="00A271A3"/>
    <w:rsid w:val="00A30C0F"/>
    <w:rsid w:val="00A40DE5"/>
    <w:rsid w:val="00A4337F"/>
    <w:rsid w:val="00A445CC"/>
    <w:rsid w:val="00A45544"/>
    <w:rsid w:val="00A45E20"/>
    <w:rsid w:val="00A608CF"/>
    <w:rsid w:val="00A62DD6"/>
    <w:rsid w:val="00A70D6C"/>
    <w:rsid w:val="00A83197"/>
    <w:rsid w:val="00A87942"/>
    <w:rsid w:val="00AA1F52"/>
    <w:rsid w:val="00AB2EBE"/>
    <w:rsid w:val="00AB6ADD"/>
    <w:rsid w:val="00AD3DA3"/>
    <w:rsid w:val="00AE0FC3"/>
    <w:rsid w:val="00AF6209"/>
    <w:rsid w:val="00AF65F3"/>
    <w:rsid w:val="00B013D8"/>
    <w:rsid w:val="00B1059E"/>
    <w:rsid w:val="00B1788F"/>
    <w:rsid w:val="00B252D8"/>
    <w:rsid w:val="00B309A4"/>
    <w:rsid w:val="00B3750F"/>
    <w:rsid w:val="00B47D51"/>
    <w:rsid w:val="00B526FE"/>
    <w:rsid w:val="00B54C86"/>
    <w:rsid w:val="00B934BB"/>
    <w:rsid w:val="00BA12D6"/>
    <w:rsid w:val="00BB1D1B"/>
    <w:rsid w:val="00BB33DE"/>
    <w:rsid w:val="00BB5FAA"/>
    <w:rsid w:val="00BB6178"/>
    <w:rsid w:val="00BB7F22"/>
    <w:rsid w:val="00BC0E37"/>
    <w:rsid w:val="00BC5C76"/>
    <w:rsid w:val="00BE3265"/>
    <w:rsid w:val="00C137F1"/>
    <w:rsid w:val="00C16C14"/>
    <w:rsid w:val="00C21FE3"/>
    <w:rsid w:val="00C24E62"/>
    <w:rsid w:val="00C2687C"/>
    <w:rsid w:val="00C4096C"/>
    <w:rsid w:val="00C47E32"/>
    <w:rsid w:val="00C71669"/>
    <w:rsid w:val="00C77D43"/>
    <w:rsid w:val="00C80C35"/>
    <w:rsid w:val="00C85F63"/>
    <w:rsid w:val="00CA1EA0"/>
    <w:rsid w:val="00CA3D2D"/>
    <w:rsid w:val="00CA7A54"/>
    <w:rsid w:val="00CD76AD"/>
    <w:rsid w:val="00CE06B0"/>
    <w:rsid w:val="00CE1210"/>
    <w:rsid w:val="00CE41FE"/>
    <w:rsid w:val="00CE49C1"/>
    <w:rsid w:val="00CE6674"/>
    <w:rsid w:val="00CF3929"/>
    <w:rsid w:val="00D06DA6"/>
    <w:rsid w:val="00D14A9B"/>
    <w:rsid w:val="00D168CD"/>
    <w:rsid w:val="00D20690"/>
    <w:rsid w:val="00D23B3A"/>
    <w:rsid w:val="00D24948"/>
    <w:rsid w:val="00D25437"/>
    <w:rsid w:val="00D42266"/>
    <w:rsid w:val="00D50CF5"/>
    <w:rsid w:val="00D50E40"/>
    <w:rsid w:val="00D60D1C"/>
    <w:rsid w:val="00D61EC9"/>
    <w:rsid w:val="00D62426"/>
    <w:rsid w:val="00D669F6"/>
    <w:rsid w:val="00D67B3F"/>
    <w:rsid w:val="00D91586"/>
    <w:rsid w:val="00D93C20"/>
    <w:rsid w:val="00D944DF"/>
    <w:rsid w:val="00DA0363"/>
    <w:rsid w:val="00DB244C"/>
    <w:rsid w:val="00DB2DF8"/>
    <w:rsid w:val="00DB6A83"/>
    <w:rsid w:val="00DC46B4"/>
    <w:rsid w:val="00DC6069"/>
    <w:rsid w:val="00DD0919"/>
    <w:rsid w:val="00DE33A9"/>
    <w:rsid w:val="00DE3A6E"/>
    <w:rsid w:val="00DE745F"/>
    <w:rsid w:val="00DF24BB"/>
    <w:rsid w:val="00DF62BF"/>
    <w:rsid w:val="00DF6A91"/>
    <w:rsid w:val="00E06B6F"/>
    <w:rsid w:val="00E11C18"/>
    <w:rsid w:val="00E16DDA"/>
    <w:rsid w:val="00E22A53"/>
    <w:rsid w:val="00E317EE"/>
    <w:rsid w:val="00E576A3"/>
    <w:rsid w:val="00E716B7"/>
    <w:rsid w:val="00E77510"/>
    <w:rsid w:val="00E8421C"/>
    <w:rsid w:val="00E85428"/>
    <w:rsid w:val="00E926AB"/>
    <w:rsid w:val="00EA120D"/>
    <w:rsid w:val="00EA6465"/>
    <w:rsid w:val="00EC2654"/>
    <w:rsid w:val="00EC3ACE"/>
    <w:rsid w:val="00EC3C6D"/>
    <w:rsid w:val="00ED5BBA"/>
    <w:rsid w:val="00EE11C4"/>
    <w:rsid w:val="00EF1483"/>
    <w:rsid w:val="00EF3C67"/>
    <w:rsid w:val="00F0090C"/>
    <w:rsid w:val="00F03D24"/>
    <w:rsid w:val="00F04C12"/>
    <w:rsid w:val="00F12AC5"/>
    <w:rsid w:val="00F15643"/>
    <w:rsid w:val="00F40EC0"/>
    <w:rsid w:val="00F42782"/>
    <w:rsid w:val="00F5213A"/>
    <w:rsid w:val="00F5420D"/>
    <w:rsid w:val="00F55E3F"/>
    <w:rsid w:val="00F635EE"/>
    <w:rsid w:val="00F64198"/>
    <w:rsid w:val="00F661D1"/>
    <w:rsid w:val="00F7035C"/>
    <w:rsid w:val="00F71FC9"/>
    <w:rsid w:val="00F814A8"/>
    <w:rsid w:val="00F8559B"/>
    <w:rsid w:val="00F9121D"/>
    <w:rsid w:val="00FB0B16"/>
    <w:rsid w:val="00FB3255"/>
    <w:rsid w:val="00FC2CBB"/>
    <w:rsid w:val="00FC606E"/>
    <w:rsid w:val="00FC6117"/>
    <w:rsid w:val="00FD2FC3"/>
    <w:rsid w:val="00FD50D7"/>
    <w:rsid w:val="00FD69E6"/>
    <w:rsid w:val="00FE0A5E"/>
    <w:rsid w:val="00FF26F6"/>
    <w:rsid w:val="00FF7BA7"/>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F82F7C9"/>
  <w15:docId w15:val="{58709774-13A9-4368-90F6-C4E2D5A62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F63"/>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4864A1"/>
    <w:rPr>
      <w:szCs w:val="24"/>
    </w:rPr>
  </w:style>
  <w:style w:type="paragraph" w:styleId="FootnoteText">
    <w:name w:val="footnote text"/>
    <w:basedOn w:val="Normal"/>
    <w:link w:val="FootnoteTextChar"/>
    <w:uiPriority w:val="99"/>
    <w:unhideWhenUsed/>
    <w:rsid w:val="004864A1"/>
    <w:rPr>
      <w:rFonts w:cstheme="minorBidi"/>
    </w:rPr>
  </w:style>
  <w:style w:type="character" w:customStyle="1" w:styleId="FootnoteTextChar">
    <w:name w:val="Footnote Text Char"/>
    <w:basedOn w:val="DefaultParagraphFont"/>
    <w:link w:val="FootnoteText"/>
    <w:uiPriority w:val="99"/>
    <w:rsid w:val="004864A1"/>
    <w:rPr>
      <w:rFonts w:ascii="Times New Roman" w:hAnsi="Times New Roman"/>
      <w:sz w:val="24"/>
      <w:szCs w:val="24"/>
    </w:rPr>
  </w:style>
  <w:style w:type="character" w:styleId="FootnoteReference">
    <w:name w:val="footnote reference"/>
    <w:basedOn w:val="DefaultParagraphFont"/>
    <w:uiPriority w:val="99"/>
    <w:unhideWhenUsed/>
    <w:rsid w:val="004864A1"/>
    <w:rPr>
      <w:vertAlign w:val="superscript"/>
    </w:rPr>
  </w:style>
  <w:style w:type="paragraph" w:styleId="BodyText2">
    <w:name w:val="Body Text 2"/>
    <w:basedOn w:val="Normal"/>
    <w:link w:val="BodyText2Char"/>
    <w:uiPriority w:val="99"/>
    <w:unhideWhenUsed/>
    <w:rsid w:val="00C85F63"/>
    <w:rPr>
      <w:sz w:val="25"/>
      <w:szCs w:val="25"/>
    </w:rPr>
  </w:style>
  <w:style w:type="character" w:customStyle="1" w:styleId="BodyText2Char">
    <w:name w:val="Body Text 2 Char"/>
    <w:basedOn w:val="DefaultParagraphFont"/>
    <w:link w:val="BodyText2"/>
    <w:uiPriority w:val="99"/>
    <w:rsid w:val="00C85F63"/>
    <w:rPr>
      <w:rFonts w:ascii="Times New Roman" w:hAnsi="Times New Roman" w:cs="Times New Roman"/>
      <w:sz w:val="25"/>
      <w:szCs w:val="25"/>
    </w:rPr>
  </w:style>
  <w:style w:type="paragraph" w:styleId="BodyTextIndent">
    <w:name w:val="Body Text Indent"/>
    <w:basedOn w:val="Normal"/>
    <w:link w:val="BodyTextIndentChar"/>
    <w:uiPriority w:val="99"/>
    <w:semiHidden/>
    <w:unhideWhenUsed/>
    <w:rsid w:val="007C54D2"/>
    <w:pPr>
      <w:spacing w:after="120"/>
      <w:ind w:left="360"/>
    </w:pPr>
  </w:style>
  <w:style w:type="character" w:customStyle="1" w:styleId="BodyTextIndentChar">
    <w:name w:val="Body Text Indent Char"/>
    <w:basedOn w:val="DefaultParagraphFont"/>
    <w:link w:val="BodyTextIndent"/>
    <w:uiPriority w:val="99"/>
    <w:semiHidden/>
    <w:rsid w:val="007C54D2"/>
    <w:rPr>
      <w:rFonts w:ascii="Times New Roman" w:hAnsi="Times New Roman" w:cs="Times New Roman"/>
      <w:sz w:val="24"/>
      <w:szCs w:val="24"/>
    </w:rPr>
  </w:style>
  <w:style w:type="paragraph" w:styleId="BodyTextIndent3">
    <w:name w:val="Body Text Indent 3"/>
    <w:basedOn w:val="Normal"/>
    <w:link w:val="BodyTextIndent3Char"/>
    <w:uiPriority w:val="99"/>
    <w:semiHidden/>
    <w:unhideWhenUsed/>
    <w:rsid w:val="001F4AD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F4ADA"/>
    <w:rPr>
      <w:rFonts w:ascii="Times New Roman" w:hAnsi="Times New Roman" w:cs="Times New Roman"/>
      <w:sz w:val="16"/>
      <w:szCs w:val="16"/>
    </w:rPr>
  </w:style>
  <w:style w:type="character" w:styleId="CommentReference">
    <w:name w:val="annotation reference"/>
    <w:basedOn w:val="DefaultParagraphFont"/>
    <w:uiPriority w:val="99"/>
    <w:semiHidden/>
    <w:unhideWhenUsed/>
    <w:rsid w:val="00255E9C"/>
    <w:rPr>
      <w:sz w:val="16"/>
      <w:szCs w:val="16"/>
    </w:rPr>
  </w:style>
  <w:style w:type="paragraph" w:styleId="CommentText">
    <w:name w:val="annotation text"/>
    <w:basedOn w:val="Normal"/>
    <w:link w:val="CommentTextChar"/>
    <w:uiPriority w:val="99"/>
    <w:semiHidden/>
    <w:unhideWhenUsed/>
    <w:rsid w:val="00255E9C"/>
    <w:rPr>
      <w:sz w:val="20"/>
      <w:szCs w:val="20"/>
    </w:rPr>
  </w:style>
  <w:style w:type="character" w:customStyle="1" w:styleId="CommentTextChar">
    <w:name w:val="Comment Text Char"/>
    <w:basedOn w:val="DefaultParagraphFont"/>
    <w:link w:val="CommentText"/>
    <w:uiPriority w:val="99"/>
    <w:semiHidden/>
    <w:rsid w:val="00255E9C"/>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55E9C"/>
    <w:rPr>
      <w:b/>
      <w:bCs/>
    </w:rPr>
  </w:style>
  <w:style w:type="character" w:customStyle="1" w:styleId="CommentSubjectChar">
    <w:name w:val="Comment Subject Char"/>
    <w:basedOn w:val="CommentTextChar"/>
    <w:link w:val="CommentSubject"/>
    <w:uiPriority w:val="99"/>
    <w:semiHidden/>
    <w:rsid w:val="00255E9C"/>
    <w:rPr>
      <w:rFonts w:ascii="Times New Roman" w:hAnsi="Times New Roman" w:cs="Times New Roman"/>
      <w:b/>
      <w:bCs/>
      <w:sz w:val="20"/>
      <w:szCs w:val="20"/>
    </w:rPr>
  </w:style>
  <w:style w:type="paragraph" w:styleId="Revision">
    <w:name w:val="Revision"/>
    <w:hidden/>
    <w:uiPriority w:val="99"/>
    <w:semiHidden/>
    <w:rsid w:val="00255E9C"/>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255E9C"/>
    <w:rPr>
      <w:rFonts w:ascii="Tahoma" w:hAnsi="Tahoma" w:cs="Tahoma"/>
      <w:sz w:val="16"/>
      <w:szCs w:val="16"/>
    </w:rPr>
  </w:style>
  <w:style w:type="character" w:customStyle="1" w:styleId="BalloonTextChar">
    <w:name w:val="Balloon Text Char"/>
    <w:basedOn w:val="DefaultParagraphFont"/>
    <w:link w:val="BalloonText"/>
    <w:uiPriority w:val="99"/>
    <w:semiHidden/>
    <w:rsid w:val="00255E9C"/>
    <w:rPr>
      <w:rFonts w:ascii="Tahoma" w:hAnsi="Tahoma" w:cs="Tahoma"/>
      <w:sz w:val="16"/>
      <w:szCs w:val="16"/>
    </w:rPr>
  </w:style>
  <w:style w:type="paragraph" w:styleId="Header">
    <w:name w:val="header"/>
    <w:basedOn w:val="Normal"/>
    <w:link w:val="HeaderChar"/>
    <w:uiPriority w:val="99"/>
    <w:unhideWhenUsed/>
    <w:rsid w:val="008C37AF"/>
    <w:pPr>
      <w:tabs>
        <w:tab w:val="center" w:pos="4680"/>
        <w:tab w:val="right" w:pos="9360"/>
      </w:tabs>
    </w:pPr>
  </w:style>
  <w:style w:type="character" w:customStyle="1" w:styleId="HeaderChar">
    <w:name w:val="Header Char"/>
    <w:basedOn w:val="DefaultParagraphFont"/>
    <w:link w:val="Header"/>
    <w:uiPriority w:val="99"/>
    <w:rsid w:val="008C37AF"/>
    <w:rPr>
      <w:rFonts w:ascii="Times New Roman" w:hAnsi="Times New Roman" w:cs="Times New Roman"/>
      <w:sz w:val="24"/>
      <w:szCs w:val="24"/>
    </w:rPr>
  </w:style>
  <w:style w:type="paragraph" w:styleId="Footer">
    <w:name w:val="footer"/>
    <w:basedOn w:val="Normal"/>
    <w:link w:val="FooterChar"/>
    <w:uiPriority w:val="99"/>
    <w:unhideWhenUsed/>
    <w:rsid w:val="008C37AF"/>
    <w:pPr>
      <w:tabs>
        <w:tab w:val="center" w:pos="4680"/>
        <w:tab w:val="right" w:pos="9360"/>
      </w:tabs>
    </w:pPr>
  </w:style>
  <w:style w:type="character" w:customStyle="1" w:styleId="FooterChar">
    <w:name w:val="Footer Char"/>
    <w:basedOn w:val="DefaultParagraphFont"/>
    <w:link w:val="Footer"/>
    <w:uiPriority w:val="99"/>
    <w:rsid w:val="008C37AF"/>
    <w:rPr>
      <w:rFonts w:ascii="Times New Roman" w:hAnsi="Times New Roman" w:cs="Times New Roman"/>
      <w:sz w:val="24"/>
      <w:szCs w:val="24"/>
    </w:rPr>
  </w:style>
  <w:style w:type="paragraph" w:styleId="BodyTextIndent2">
    <w:name w:val="Body Text Indent 2"/>
    <w:basedOn w:val="Normal"/>
    <w:link w:val="BodyTextIndent2Char"/>
    <w:uiPriority w:val="99"/>
    <w:semiHidden/>
    <w:unhideWhenUsed/>
    <w:rsid w:val="00EE11C4"/>
    <w:pPr>
      <w:spacing w:after="120" w:line="480" w:lineRule="auto"/>
      <w:ind w:left="360"/>
    </w:pPr>
  </w:style>
  <w:style w:type="character" w:customStyle="1" w:styleId="BodyTextIndent2Char">
    <w:name w:val="Body Text Indent 2 Char"/>
    <w:basedOn w:val="DefaultParagraphFont"/>
    <w:link w:val="BodyTextIndent2"/>
    <w:uiPriority w:val="99"/>
    <w:semiHidden/>
    <w:rsid w:val="00EE11C4"/>
    <w:rPr>
      <w:rFonts w:ascii="Times New Roman" w:hAnsi="Times New Roman" w:cs="Times New Roman"/>
      <w:sz w:val="24"/>
      <w:szCs w:val="24"/>
    </w:rPr>
  </w:style>
  <w:style w:type="character" w:styleId="Hyperlink">
    <w:name w:val="Hyperlink"/>
    <w:basedOn w:val="DefaultParagraphFont"/>
    <w:uiPriority w:val="99"/>
    <w:unhideWhenUsed/>
    <w:rsid w:val="00CE1210"/>
    <w:rPr>
      <w:color w:val="0000FF"/>
      <w:u w:val="single"/>
    </w:rPr>
  </w:style>
  <w:style w:type="character" w:customStyle="1" w:styleId="NoSpacingChar">
    <w:name w:val="No Spacing Char"/>
    <w:basedOn w:val="DefaultParagraphFont"/>
    <w:link w:val="NoSpacing"/>
    <w:uiPriority w:val="1"/>
    <w:rsid w:val="009D55B6"/>
    <w:rPr>
      <w:szCs w:val="24"/>
    </w:rPr>
  </w:style>
  <w:style w:type="paragraph" w:styleId="BodyText">
    <w:name w:val="Body Text"/>
    <w:basedOn w:val="Normal"/>
    <w:link w:val="BodyTextChar"/>
    <w:uiPriority w:val="99"/>
    <w:unhideWhenUsed/>
    <w:rsid w:val="00F5213A"/>
    <w:pPr>
      <w:spacing w:after="120"/>
    </w:pPr>
  </w:style>
  <w:style w:type="character" w:customStyle="1" w:styleId="BodyTextChar">
    <w:name w:val="Body Text Char"/>
    <w:basedOn w:val="DefaultParagraphFont"/>
    <w:link w:val="BodyText"/>
    <w:uiPriority w:val="99"/>
    <w:rsid w:val="00F5213A"/>
    <w:rPr>
      <w:rFonts w:ascii="Times New Roman" w:hAnsi="Times New Roman" w:cs="Times New Roman"/>
      <w:sz w:val="24"/>
      <w:szCs w:val="24"/>
    </w:rPr>
  </w:style>
  <w:style w:type="character" w:styleId="UnresolvedMention">
    <w:name w:val="Unresolved Mention"/>
    <w:basedOn w:val="DefaultParagraphFont"/>
    <w:uiPriority w:val="99"/>
    <w:semiHidden/>
    <w:unhideWhenUsed/>
    <w:rsid w:val="00BB6178"/>
    <w:rPr>
      <w:color w:val="605E5C"/>
      <w:shd w:val="clear" w:color="auto" w:fill="E1DFDD"/>
    </w:rPr>
  </w:style>
  <w:style w:type="character" w:styleId="FollowedHyperlink">
    <w:name w:val="FollowedHyperlink"/>
    <w:basedOn w:val="DefaultParagraphFont"/>
    <w:uiPriority w:val="99"/>
    <w:semiHidden/>
    <w:unhideWhenUsed/>
    <w:rsid w:val="009611C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40770">
      <w:bodyDiv w:val="1"/>
      <w:marLeft w:val="0"/>
      <w:marRight w:val="0"/>
      <w:marTop w:val="0"/>
      <w:marBottom w:val="0"/>
      <w:divBdr>
        <w:top w:val="none" w:sz="0" w:space="0" w:color="auto"/>
        <w:left w:val="none" w:sz="0" w:space="0" w:color="auto"/>
        <w:bottom w:val="none" w:sz="0" w:space="0" w:color="auto"/>
        <w:right w:val="none" w:sz="0" w:space="0" w:color="auto"/>
      </w:divBdr>
    </w:div>
    <w:div w:id="233711384">
      <w:bodyDiv w:val="1"/>
      <w:marLeft w:val="0"/>
      <w:marRight w:val="0"/>
      <w:marTop w:val="0"/>
      <w:marBottom w:val="0"/>
      <w:divBdr>
        <w:top w:val="none" w:sz="0" w:space="0" w:color="auto"/>
        <w:left w:val="none" w:sz="0" w:space="0" w:color="auto"/>
        <w:bottom w:val="none" w:sz="0" w:space="0" w:color="auto"/>
        <w:right w:val="none" w:sz="0" w:space="0" w:color="auto"/>
      </w:divBdr>
    </w:div>
    <w:div w:id="263728689">
      <w:bodyDiv w:val="1"/>
      <w:marLeft w:val="0"/>
      <w:marRight w:val="0"/>
      <w:marTop w:val="0"/>
      <w:marBottom w:val="0"/>
      <w:divBdr>
        <w:top w:val="none" w:sz="0" w:space="0" w:color="auto"/>
        <w:left w:val="none" w:sz="0" w:space="0" w:color="auto"/>
        <w:bottom w:val="none" w:sz="0" w:space="0" w:color="auto"/>
        <w:right w:val="none" w:sz="0" w:space="0" w:color="auto"/>
      </w:divBdr>
    </w:div>
    <w:div w:id="299768820">
      <w:bodyDiv w:val="1"/>
      <w:marLeft w:val="0"/>
      <w:marRight w:val="0"/>
      <w:marTop w:val="0"/>
      <w:marBottom w:val="0"/>
      <w:divBdr>
        <w:top w:val="none" w:sz="0" w:space="0" w:color="auto"/>
        <w:left w:val="none" w:sz="0" w:space="0" w:color="auto"/>
        <w:bottom w:val="none" w:sz="0" w:space="0" w:color="auto"/>
        <w:right w:val="none" w:sz="0" w:space="0" w:color="auto"/>
      </w:divBdr>
    </w:div>
    <w:div w:id="537279896">
      <w:bodyDiv w:val="1"/>
      <w:marLeft w:val="0"/>
      <w:marRight w:val="0"/>
      <w:marTop w:val="0"/>
      <w:marBottom w:val="0"/>
      <w:divBdr>
        <w:top w:val="none" w:sz="0" w:space="0" w:color="auto"/>
        <w:left w:val="none" w:sz="0" w:space="0" w:color="auto"/>
        <w:bottom w:val="none" w:sz="0" w:space="0" w:color="auto"/>
        <w:right w:val="none" w:sz="0" w:space="0" w:color="auto"/>
      </w:divBdr>
    </w:div>
    <w:div w:id="799036599">
      <w:bodyDiv w:val="1"/>
      <w:marLeft w:val="0"/>
      <w:marRight w:val="0"/>
      <w:marTop w:val="0"/>
      <w:marBottom w:val="0"/>
      <w:divBdr>
        <w:top w:val="none" w:sz="0" w:space="0" w:color="auto"/>
        <w:left w:val="none" w:sz="0" w:space="0" w:color="auto"/>
        <w:bottom w:val="none" w:sz="0" w:space="0" w:color="auto"/>
        <w:right w:val="none" w:sz="0" w:space="0" w:color="auto"/>
      </w:divBdr>
    </w:div>
    <w:div w:id="1609893986">
      <w:bodyDiv w:val="1"/>
      <w:marLeft w:val="0"/>
      <w:marRight w:val="0"/>
      <w:marTop w:val="0"/>
      <w:marBottom w:val="0"/>
      <w:divBdr>
        <w:top w:val="none" w:sz="0" w:space="0" w:color="auto"/>
        <w:left w:val="none" w:sz="0" w:space="0" w:color="auto"/>
        <w:bottom w:val="none" w:sz="0" w:space="0" w:color="auto"/>
        <w:right w:val="none" w:sz="0" w:space="0" w:color="auto"/>
      </w:divBdr>
    </w:div>
    <w:div w:id="2077168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EE5B5BB-3F60-4F0B-93EA-8465437919AC}">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7</Pages>
  <Words>2173</Words>
  <Characters>12391</Characters>
  <Application>Microsoft Office Word</Application>
  <DocSecurity>4</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AMR</dc:creator>
  <cp:lastModifiedBy>Erlichman, Reece (ALA)</cp:lastModifiedBy>
  <cp:revision>2</cp:revision>
  <cp:lastPrinted>2025-11-07T18:01:00Z</cp:lastPrinted>
  <dcterms:created xsi:type="dcterms:W3CDTF">2025-11-14T19:33:00Z</dcterms:created>
  <dcterms:modified xsi:type="dcterms:W3CDTF">2025-11-14T19:33:00Z</dcterms:modified>
</cp:coreProperties>
</file>