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AD59" w14:textId="77777777" w:rsidR="00F4022E" w:rsidRPr="00C55999" w:rsidRDefault="00F4022E" w:rsidP="00F4022E">
      <w:pPr>
        <w:spacing w:after="0" w:line="240" w:lineRule="auto"/>
        <w:jc w:val="center"/>
        <w:rPr>
          <w:rFonts w:ascii="Aptos" w:hAnsi="Aptos" w:cs="Tahoma"/>
          <w:b/>
          <w:sz w:val="26"/>
          <w:szCs w:val="26"/>
        </w:rPr>
      </w:pPr>
      <w:r w:rsidRPr="00C55999">
        <w:rPr>
          <w:rFonts w:ascii="Aptos" w:hAnsi="Aptos" w:cs="Tahoma"/>
          <w:b/>
          <w:sz w:val="26"/>
          <w:szCs w:val="26"/>
        </w:rPr>
        <w:t>COMMONWEALTH OF MASSACHUSETTS</w:t>
      </w:r>
    </w:p>
    <w:p w14:paraId="60C20CEA" w14:textId="77777777" w:rsidR="00F4022E" w:rsidRPr="00C55999" w:rsidRDefault="00F4022E" w:rsidP="00F4022E">
      <w:pPr>
        <w:spacing w:after="0" w:line="240" w:lineRule="auto"/>
        <w:jc w:val="center"/>
        <w:rPr>
          <w:rFonts w:ascii="Aptos" w:hAnsi="Aptos" w:cs="Tahoma"/>
          <w:b/>
          <w:sz w:val="26"/>
          <w:szCs w:val="26"/>
        </w:rPr>
      </w:pPr>
      <w:r w:rsidRPr="00C55999">
        <w:rPr>
          <w:rFonts w:ascii="Aptos" w:hAnsi="Aptos" w:cs="Tahoma"/>
          <w:b/>
          <w:sz w:val="26"/>
          <w:szCs w:val="26"/>
        </w:rPr>
        <w:t>DIVISION OF ADMINISTRATIVE LAW APPEALS</w:t>
      </w:r>
    </w:p>
    <w:p w14:paraId="0F766831" w14:textId="77777777" w:rsidR="00F4022E" w:rsidRDefault="00F4022E" w:rsidP="00F4022E">
      <w:pPr>
        <w:spacing w:after="0" w:line="240" w:lineRule="auto"/>
        <w:jc w:val="center"/>
        <w:rPr>
          <w:rFonts w:ascii="Aptos" w:hAnsi="Aptos" w:cs="Tahoma"/>
          <w:b/>
          <w:sz w:val="26"/>
          <w:szCs w:val="26"/>
        </w:rPr>
      </w:pPr>
      <w:r w:rsidRPr="00C55999">
        <w:rPr>
          <w:rFonts w:ascii="Aptos" w:hAnsi="Aptos" w:cs="Tahoma"/>
          <w:b/>
          <w:sz w:val="26"/>
          <w:szCs w:val="26"/>
        </w:rPr>
        <w:t>BUREAU OF SPECIAL EDUCATION APPEALS</w:t>
      </w:r>
    </w:p>
    <w:p w14:paraId="4C87EAF4" w14:textId="77777777" w:rsidR="00F4022E" w:rsidRDefault="00F4022E" w:rsidP="00F4022E">
      <w:pPr>
        <w:pStyle w:val="NormalWeb"/>
        <w:tabs>
          <w:tab w:val="left" w:pos="3330"/>
        </w:tabs>
        <w:spacing w:before="0" w:beforeAutospacing="0" w:after="0" w:afterAutospacing="0"/>
        <w:rPr>
          <w:rFonts w:ascii="Aptos" w:hAnsi="Aptos" w:cs="Tahoma"/>
          <w:b/>
          <w:sz w:val="25"/>
          <w:szCs w:val="25"/>
        </w:rPr>
      </w:pPr>
    </w:p>
    <w:p w14:paraId="57589012" w14:textId="25E89A44" w:rsidR="00F4022E" w:rsidRDefault="00F4022E" w:rsidP="003A1BF1">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Pr>
          <w:rFonts w:ascii="Aptos" w:hAnsi="Aptos" w:cs="Tahoma"/>
          <w:b/>
          <w:bCs/>
          <w:sz w:val="25"/>
          <w:szCs w:val="25"/>
        </w:rPr>
        <w:t>KB &amp; Ashland Public Schools</w:t>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r>
      <w:r>
        <w:rPr>
          <w:rFonts w:ascii="Aptos" w:hAnsi="Aptos" w:cs="Tahoma"/>
          <w:b/>
          <w:bCs/>
          <w:sz w:val="25"/>
          <w:szCs w:val="25"/>
        </w:rPr>
        <w:tab/>
        <w:t xml:space="preserve">       </w:t>
      </w:r>
      <w:r w:rsidRPr="006A6831">
        <w:rPr>
          <w:rFonts w:ascii="Aptos" w:hAnsi="Aptos" w:cs="Tahoma"/>
          <w:b/>
          <w:bCs/>
          <w:sz w:val="25"/>
          <w:szCs w:val="25"/>
        </w:rPr>
        <w:t>BSEA #</w:t>
      </w:r>
      <w:r>
        <w:rPr>
          <w:rFonts w:ascii="Aptos" w:hAnsi="Aptos" w:cs="Tahoma"/>
          <w:b/>
          <w:bCs/>
          <w:sz w:val="25"/>
          <w:szCs w:val="25"/>
        </w:rPr>
        <w:t xml:space="preserve"> 260197</w:t>
      </w:r>
      <w:r w:rsidR="00B21ADA">
        <w:rPr>
          <w:rFonts w:ascii="Aptos" w:hAnsi="Aptos" w:cs="Tahoma"/>
          <w:b/>
          <w:bCs/>
          <w:sz w:val="25"/>
          <w:szCs w:val="25"/>
        </w:rPr>
        <w:t>2</w:t>
      </w:r>
    </w:p>
    <w:p w14:paraId="6236C007" w14:textId="77777777" w:rsidR="00D74793" w:rsidRPr="003A1BF1" w:rsidRDefault="00D74793" w:rsidP="003A1BF1">
      <w:pPr>
        <w:pStyle w:val="NormalWeb"/>
        <w:tabs>
          <w:tab w:val="left" w:pos="3330"/>
        </w:tabs>
        <w:spacing w:before="0" w:beforeAutospacing="0" w:after="0" w:afterAutospacing="0"/>
        <w:rPr>
          <w:rFonts w:ascii="Aptos" w:hAnsi="Aptos" w:cs="Tahoma"/>
          <w:b/>
          <w:bCs/>
          <w:sz w:val="25"/>
          <w:szCs w:val="25"/>
        </w:rPr>
      </w:pPr>
    </w:p>
    <w:p w14:paraId="7B9BD40F" w14:textId="3EA755DA" w:rsidR="00F4022E" w:rsidRPr="003A1BF1" w:rsidRDefault="00F4022E" w:rsidP="00D74793">
      <w:pPr>
        <w:pStyle w:val="Heading1"/>
        <w:spacing w:before="0" w:after="0" w:line="240" w:lineRule="auto"/>
        <w:jc w:val="center"/>
        <w:rPr>
          <w:rFonts w:ascii="Aptos" w:hAnsi="Aptos"/>
          <w:b/>
          <w:bCs/>
          <w:color w:val="auto"/>
          <w:sz w:val="25"/>
          <w:szCs w:val="25"/>
          <w:u w:val="single"/>
        </w:rPr>
      </w:pPr>
      <w:r w:rsidRPr="003A1BF1">
        <w:rPr>
          <w:rFonts w:ascii="Aptos" w:hAnsi="Aptos"/>
          <w:b/>
          <w:bCs/>
          <w:color w:val="auto"/>
          <w:sz w:val="25"/>
          <w:szCs w:val="25"/>
          <w:u w:val="single"/>
        </w:rPr>
        <w:t>RULING ON THE DISTRICT’S MOTIONS TO JOIN THE DEPARTMENT OF MENTAL HEALTH AND THE DEPARTMENT OF CHILDREN AND FAMILIES</w:t>
      </w:r>
    </w:p>
    <w:p w14:paraId="24233544" w14:textId="77777777" w:rsidR="00F4022E" w:rsidRDefault="00F4022E" w:rsidP="00F4022E">
      <w:pPr>
        <w:spacing w:after="0" w:line="240" w:lineRule="auto"/>
        <w:rPr>
          <w:rFonts w:ascii="Aptos" w:hAnsi="Aptos" w:cs="Times New Roman"/>
          <w:sz w:val="25"/>
          <w:szCs w:val="25"/>
        </w:rPr>
      </w:pPr>
    </w:p>
    <w:p w14:paraId="4DD46E1F" w14:textId="71255D4A" w:rsidR="00D711A0" w:rsidRDefault="00D711A0" w:rsidP="00D711A0">
      <w:pPr>
        <w:spacing w:after="0" w:line="240" w:lineRule="auto"/>
        <w:rPr>
          <w:rFonts w:ascii="Aptos" w:hAnsi="Aptos" w:cs="Times New Roman"/>
          <w:sz w:val="25"/>
          <w:szCs w:val="25"/>
        </w:rPr>
      </w:pPr>
      <w:r w:rsidRPr="000467B1">
        <w:rPr>
          <w:rFonts w:ascii="Aptos" w:hAnsi="Aptos" w:cs="Times New Roman"/>
          <w:sz w:val="25"/>
          <w:szCs w:val="25"/>
        </w:rPr>
        <w:t xml:space="preserve">This matter comes before the Hearing Officer on the </w:t>
      </w:r>
      <w:r>
        <w:rPr>
          <w:rFonts w:ascii="Aptos" w:hAnsi="Aptos" w:cs="Times New Roman"/>
          <w:sz w:val="25"/>
          <w:szCs w:val="25"/>
        </w:rPr>
        <w:t>Ashland Public School</w:t>
      </w:r>
      <w:r w:rsidRPr="000467B1">
        <w:rPr>
          <w:rFonts w:ascii="Aptos" w:hAnsi="Aptos" w:cs="Times New Roman"/>
          <w:sz w:val="25"/>
          <w:szCs w:val="25"/>
        </w:rPr>
        <w:t xml:space="preserve"> District’s (District) </w:t>
      </w:r>
      <w:r>
        <w:rPr>
          <w:rFonts w:ascii="Aptos" w:hAnsi="Aptos" w:cs="Times New Roman"/>
          <w:i/>
          <w:iCs/>
          <w:sz w:val="25"/>
          <w:szCs w:val="25"/>
        </w:rPr>
        <w:t xml:space="preserve">Motion to Join the Department of Mental Health </w:t>
      </w:r>
      <w:r w:rsidRPr="00F4022E">
        <w:rPr>
          <w:rFonts w:ascii="Aptos" w:hAnsi="Aptos" w:cs="Times New Roman"/>
          <w:sz w:val="25"/>
          <w:szCs w:val="25"/>
        </w:rPr>
        <w:t>(DMH)</w:t>
      </w:r>
      <w:r>
        <w:rPr>
          <w:rFonts w:ascii="Aptos" w:hAnsi="Aptos" w:cs="Times New Roman"/>
          <w:sz w:val="25"/>
          <w:szCs w:val="25"/>
        </w:rPr>
        <w:t xml:space="preserve"> and </w:t>
      </w:r>
      <w:r>
        <w:rPr>
          <w:rFonts w:ascii="Aptos" w:hAnsi="Aptos" w:cs="Times New Roman"/>
          <w:i/>
          <w:iCs/>
          <w:sz w:val="25"/>
          <w:szCs w:val="25"/>
        </w:rPr>
        <w:t xml:space="preserve">Motion to Join the Department of Children and Families </w:t>
      </w:r>
      <w:r w:rsidRPr="00F4022E">
        <w:rPr>
          <w:rFonts w:ascii="Aptos" w:hAnsi="Aptos" w:cs="Times New Roman"/>
          <w:sz w:val="25"/>
          <w:szCs w:val="25"/>
        </w:rPr>
        <w:t>(DCF)</w:t>
      </w:r>
      <w:r>
        <w:rPr>
          <w:rFonts w:ascii="Aptos" w:hAnsi="Aptos" w:cs="Times New Roman"/>
          <w:sz w:val="25"/>
          <w:szCs w:val="25"/>
        </w:rPr>
        <w:t xml:space="preserve"> (collectively </w:t>
      </w:r>
      <w:r>
        <w:rPr>
          <w:rFonts w:ascii="Aptos" w:hAnsi="Aptos" w:cs="Times New Roman"/>
          <w:i/>
          <w:iCs/>
          <w:sz w:val="25"/>
          <w:szCs w:val="25"/>
        </w:rPr>
        <w:t>Motions</w:t>
      </w:r>
      <w:r>
        <w:rPr>
          <w:rFonts w:ascii="Aptos" w:hAnsi="Aptos" w:cs="Times New Roman"/>
          <w:sz w:val="25"/>
          <w:szCs w:val="25"/>
        </w:rPr>
        <w:t>)</w:t>
      </w:r>
      <w:r w:rsidRPr="000467B1">
        <w:rPr>
          <w:rFonts w:ascii="Aptos" w:hAnsi="Aptos" w:cs="Times New Roman"/>
          <w:sz w:val="25"/>
          <w:szCs w:val="25"/>
        </w:rPr>
        <w:t xml:space="preserve">, </w:t>
      </w:r>
      <w:r>
        <w:rPr>
          <w:rFonts w:ascii="Aptos" w:hAnsi="Aptos" w:cs="Times New Roman"/>
          <w:sz w:val="25"/>
          <w:szCs w:val="25"/>
        </w:rPr>
        <w:t xml:space="preserve">each </w:t>
      </w:r>
      <w:r w:rsidRPr="000467B1">
        <w:rPr>
          <w:rFonts w:ascii="Aptos" w:hAnsi="Aptos" w:cs="Times New Roman"/>
          <w:sz w:val="25"/>
          <w:szCs w:val="25"/>
        </w:rPr>
        <w:t xml:space="preserve">filed with the </w:t>
      </w:r>
      <w:r>
        <w:rPr>
          <w:rFonts w:ascii="Aptos" w:hAnsi="Aptos" w:cs="Times New Roman"/>
          <w:sz w:val="25"/>
          <w:szCs w:val="25"/>
        </w:rPr>
        <w:t>Bureau of Special Education Appeals (</w:t>
      </w:r>
      <w:r w:rsidRPr="000467B1">
        <w:rPr>
          <w:rFonts w:ascii="Aptos" w:hAnsi="Aptos" w:cs="Times New Roman"/>
          <w:sz w:val="25"/>
          <w:szCs w:val="25"/>
        </w:rPr>
        <w:t>BSEA</w:t>
      </w:r>
      <w:r>
        <w:rPr>
          <w:rFonts w:ascii="Aptos" w:hAnsi="Aptos" w:cs="Times New Roman"/>
          <w:sz w:val="25"/>
          <w:szCs w:val="25"/>
        </w:rPr>
        <w:t>)</w:t>
      </w:r>
      <w:r w:rsidRPr="000467B1">
        <w:rPr>
          <w:rFonts w:ascii="Aptos" w:hAnsi="Aptos" w:cs="Times New Roman"/>
          <w:sz w:val="25"/>
          <w:szCs w:val="25"/>
        </w:rPr>
        <w:t xml:space="preserve"> on </w:t>
      </w:r>
      <w:r>
        <w:rPr>
          <w:rFonts w:ascii="Aptos" w:hAnsi="Aptos" w:cs="Times New Roman"/>
          <w:sz w:val="25"/>
          <w:szCs w:val="25"/>
        </w:rPr>
        <w:t xml:space="preserve">August 14, 2025.  On August 21, 2025, DMH and DCF each filed an </w:t>
      </w:r>
      <w:r>
        <w:rPr>
          <w:rFonts w:ascii="Aptos" w:hAnsi="Aptos" w:cs="Times New Roman"/>
          <w:i/>
          <w:iCs/>
          <w:sz w:val="25"/>
          <w:szCs w:val="25"/>
        </w:rPr>
        <w:t xml:space="preserve">Opposition to Motion to Join </w:t>
      </w:r>
      <w:r>
        <w:rPr>
          <w:rFonts w:ascii="Aptos" w:hAnsi="Aptos" w:cs="Times New Roman"/>
          <w:sz w:val="25"/>
          <w:szCs w:val="25"/>
        </w:rPr>
        <w:t xml:space="preserve">(collectively </w:t>
      </w:r>
      <w:r w:rsidRPr="00F4022E">
        <w:rPr>
          <w:rFonts w:ascii="Aptos" w:hAnsi="Aptos" w:cs="Times New Roman"/>
          <w:i/>
          <w:iCs/>
          <w:sz w:val="25"/>
          <w:szCs w:val="25"/>
        </w:rPr>
        <w:t>Oppositions</w:t>
      </w:r>
      <w:r>
        <w:rPr>
          <w:rFonts w:ascii="Aptos" w:hAnsi="Aptos" w:cs="Times New Roman"/>
          <w:sz w:val="25"/>
          <w:szCs w:val="25"/>
        </w:rPr>
        <w:t xml:space="preserve">) opposing joinder.  DMH also filed an attached </w:t>
      </w:r>
      <w:r>
        <w:rPr>
          <w:rFonts w:ascii="Aptos" w:hAnsi="Aptos" w:cs="Times New Roman"/>
          <w:i/>
          <w:iCs/>
          <w:sz w:val="25"/>
          <w:szCs w:val="25"/>
        </w:rPr>
        <w:t>Memorandum of Law</w:t>
      </w:r>
      <w:r>
        <w:rPr>
          <w:rFonts w:ascii="Aptos" w:hAnsi="Aptos" w:cs="Times New Roman"/>
          <w:sz w:val="25"/>
          <w:szCs w:val="25"/>
        </w:rPr>
        <w:t xml:space="preserve">, while DCF incorporated its memorandum in its </w:t>
      </w:r>
      <w:r>
        <w:rPr>
          <w:rFonts w:ascii="Aptos" w:hAnsi="Aptos" w:cs="Times New Roman"/>
          <w:i/>
          <w:iCs/>
          <w:sz w:val="25"/>
          <w:szCs w:val="25"/>
        </w:rPr>
        <w:t>Opposition</w:t>
      </w:r>
      <w:r w:rsidR="003D112A">
        <w:rPr>
          <w:rFonts w:ascii="Aptos" w:hAnsi="Aptos" w:cs="Times New Roman"/>
          <w:sz w:val="25"/>
          <w:szCs w:val="25"/>
        </w:rPr>
        <w:t xml:space="preserve">.  The </w:t>
      </w:r>
      <w:r w:rsidR="003D112A">
        <w:rPr>
          <w:rFonts w:ascii="Aptos" w:hAnsi="Aptos" w:cs="Times New Roman"/>
          <w:i/>
          <w:iCs/>
          <w:sz w:val="25"/>
          <w:szCs w:val="25"/>
        </w:rPr>
        <w:t xml:space="preserve">Oppositions </w:t>
      </w:r>
      <w:r w:rsidR="003D112A">
        <w:rPr>
          <w:rFonts w:ascii="Aptos" w:hAnsi="Aptos" w:cs="Times New Roman"/>
          <w:sz w:val="25"/>
          <w:szCs w:val="25"/>
        </w:rPr>
        <w:t xml:space="preserve">each </w:t>
      </w:r>
      <w:r>
        <w:rPr>
          <w:rFonts w:ascii="Aptos" w:hAnsi="Aptos" w:cs="Times New Roman"/>
          <w:sz w:val="25"/>
          <w:szCs w:val="25"/>
        </w:rPr>
        <w:t>set forth both agency-specific arguments as to why its joinder was inappropriate as well as a mutual broader legal argument</w:t>
      </w:r>
      <w:r w:rsidR="00A314DE">
        <w:rPr>
          <w:rFonts w:ascii="Aptos" w:hAnsi="Aptos" w:cs="Times New Roman"/>
          <w:sz w:val="25"/>
          <w:szCs w:val="25"/>
        </w:rPr>
        <w:t>.  The broader legal argument posits</w:t>
      </w:r>
      <w:r>
        <w:rPr>
          <w:rFonts w:ascii="Aptos" w:hAnsi="Aptos" w:cs="Times New Roman"/>
          <w:sz w:val="25"/>
          <w:szCs w:val="25"/>
        </w:rPr>
        <w:t xml:space="preserve"> that the BSEA has misinterpreted its authority over each agency under M.G.L. c. 71B s 3, and that joinder of either agency is </w:t>
      </w:r>
      <w:r>
        <w:rPr>
          <w:rFonts w:ascii="Aptos" w:hAnsi="Aptos" w:cs="Times New Roman"/>
          <w:i/>
          <w:iCs/>
          <w:sz w:val="25"/>
          <w:szCs w:val="25"/>
        </w:rPr>
        <w:t>ultra vires</w:t>
      </w:r>
      <w:r>
        <w:rPr>
          <w:rFonts w:ascii="Aptos" w:hAnsi="Aptos" w:cs="Times New Roman"/>
          <w:sz w:val="25"/>
          <w:szCs w:val="25"/>
        </w:rPr>
        <w:t xml:space="preserve">.  On August 21, 2025, Parent also filed a </w:t>
      </w:r>
      <w:r>
        <w:rPr>
          <w:rFonts w:ascii="Aptos" w:hAnsi="Aptos" w:cs="Times New Roman"/>
          <w:i/>
          <w:iCs/>
          <w:sz w:val="25"/>
          <w:szCs w:val="25"/>
        </w:rPr>
        <w:t xml:space="preserve">Response </w:t>
      </w:r>
      <w:r>
        <w:rPr>
          <w:rFonts w:ascii="Aptos" w:hAnsi="Aptos" w:cs="Times New Roman"/>
          <w:sz w:val="25"/>
          <w:szCs w:val="25"/>
        </w:rPr>
        <w:t xml:space="preserve">advising she “takes no position as to whether DCF and DMH are joined as parties, so long as their joinder does not delay the resolution of this matter”.  </w:t>
      </w:r>
      <w:r w:rsidRPr="00C74074">
        <w:rPr>
          <w:rFonts w:ascii="Aptos" w:hAnsi="Aptos" w:cs="Times New Roman"/>
          <w:sz w:val="25"/>
          <w:szCs w:val="25"/>
        </w:rPr>
        <w:t xml:space="preserve">For the reasons articulated below, </w:t>
      </w:r>
      <w:r>
        <w:rPr>
          <w:rFonts w:ascii="Aptos" w:hAnsi="Aptos" w:cs="Times New Roman"/>
          <w:sz w:val="25"/>
          <w:szCs w:val="25"/>
        </w:rPr>
        <w:t xml:space="preserve">the </w:t>
      </w:r>
      <w:r>
        <w:rPr>
          <w:rFonts w:ascii="Aptos" w:hAnsi="Aptos" w:cs="Times New Roman"/>
          <w:i/>
          <w:iCs/>
          <w:sz w:val="25"/>
          <w:szCs w:val="25"/>
        </w:rPr>
        <w:t xml:space="preserve">Motions </w:t>
      </w:r>
      <w:r>
        <w:rPr>
          <w:rFonts w:ascii="Aptos" w:hAnsi="Aptos" w:cs="Times New Roman"/>
          <w:sz w:val="25"/>
          <w:szCs w:val="25"/>
        </w:rPr>
        <w:t xml:space="preserve">are </w:t>
      </w:r>
      <w:r>
        <w:rPr>
          <w:rFonts w:ascii="Aptos" w:hAnsi="Aptos" w:cs="Times New Roman"/>
          <w:b/>
          <w:bCs/>
          <w:sz w:val="25"/>
          <w:szCs w:val="25"/>
        </w:rPr>
        <w:t>ALLOWED</w:t>
      </w:r>
      <w:r>
        <w:rPr>
          <w:rFonts w:ascii="Aptos" w:hAnsi="Aptos" w:cs="Times New Roman"/>
          <w:sz w:val="25"/>
          <w:szCs w:val="25"/>
        </w:rPr>
        <w:t>, and DMH and DCF are joined as parties to this matter</w:t>
      </w:r>
      <w:r>
        <w:rPr>
          <w:rStyle w:val="FootnoteReference"/>
          <w:rFonts w:ascii="Aptos" w:hAnsi="Aptos" w:cs="Times New Roman"/>
          <w:sz w:val="25"/>
          <w:szCs w:val="25"/>
        </w:rPr>
        <w:footnoteReference w:id="1"/>
      </w:r>
      <w:r w:rsidRPr="00C74074">
        <w:rPr>
          <w:rFonts w:ascii="Aptos" w:hAnsi="Aptos" w:cs="Times New Roman"/>
          <w:sz w:val="25"/>
          <w:szCs w:val="25"/>
        </w:rPr>
        <w:t xml:space="preserve">. </w:t>
      </w:r>
    </w:p>
    <w:p w14:paraId="4C674422" w14:textId="77777777" w:rsidR="00F4022E" w:rsidRPr="002267F4" w:rsidRDefault="00F4022E" w:rsidP="00A024CF">
      <w:pPr>
        <w:spacing w:after="0" w:line="240" w:lineRule="auto"/>
        <w:rPr>
          <w:rFonts w:ascii="Aptos" w:hAnsi="Aptos" w:cs="Times New Roman"/>
          <w:sz w:val="25"/>
          <w:szCs w:val="25"/>
        </w:rPr>
      </w:pPr>
    </w:p>
    <w:p w14:paraId="30ADB7BA" w14:textId="64869B36" w:rsidR="00F4022E" w:rsidRPr="00276FBA" w:rsidRDefault="00F4022E" w:rsidP="00A024CF">
      <w:pPr>
        <w:spacing w:line="240" w:lineRule="auto"/>
        <w:rPr>
          <w:rFonts w:ascii="Aptos" w:hAnsi="Aptos"/>
          <w:b/>
          <w:bCs/>
          <w:sz w:val="25"/>
          <w:szCs w:val="25"/>
        </w:rPr>
      </w:pPr>
      <w:r w:rsidRPr="00276FBA">
        <w:rPr>
          <w:rFonts w:ascii="Aptos" w:hAnsi="Aptos"/>
          <w:b/>
          <w:bCs/>
          <w:sz w:val="25"/>
          <w:szCs w:val="25"/>
        </w:rPr>
        <w:t>RELEVANT PROCEDURAL HISTORY</w:t>
      </w:r>
      <w:r w:rsidR="00D04C7A">
        <w:rPr>
          <w:rFonts w:ascii="Aptos" w:hAnsi="Aptos"/>
          <w:b/>
          <w:bCs/>
          <w:sz w:val="25"/>
          <w:szCs w:val="25"/>
        </w:rPr>
        <w:t xml:space="preserve"> AND FACTUAL BACKGROUND</w:t>
      </w:r>
      <w:r w:rsidR="00433472">
        <w:rPr>
          <w:rStyle w:val="FootnoteReference"/>
          <w:rFonts w:ascii="Aptos" w:hAnsi="Aptos"/>
          <w:b/>
          <w:bCs/>
          <w:sz w:val="25"/>
          <w:szCs w:val="25"/>
        </w:rPr>
        <w:footnoteReference w:id="2"/>
      </w:r>
      <w:r w:rsidRPr="00276FBA">
        <w:rPr>
          <w:rFonts w:ascii="Aptos" w:hAnsi="Aptos"/>
          <w:b/>
          <w:bCs/>
          <w:sz w:val="25"/>
          <w:szCs w:val="25"/>
        </w:rPr>
        <w:t>:</w:t>
      </w:r>
    </w:p>
    <w:p w14:paraId="67E51F73" w14:textId="4FD9FE7F" w:rsidR="00D04C7A" w:rsidRDefault="00D04C7A" w:rsidP="00A024CF">
      <w:pPr>
        <w:spacing w:line="240" w:lineRule="auto"/>
        <w:rPr>
          <w:rFonts w:ascii="Aptos" w:hAnsi="Aptos"/>
          <w:sz w:val="25"/>
          <w:szCs w:val="25"/>
        </w:rPr>
      </w:pPr>
      <w:bookmarkStart w:id="0" w:name="N_5_"/>
      <w:r>
        <w:rPr>
          <w:rFonts w:ascii="Aptos" w:hAnsi="Aptos"/>
          <w:sz w:val="25"/>
          <w:szCs w:val="25"/>
        </w:rPr>
        <w:t>Th</w:t>
      </w:r>
      <w:r w:rsidR="000118E1">
        <w:rPr>
          <w:rFonts w:ascii="Aptos" w:hAnsi="Aptos"/>
          <w:sz w:val="25"/>
          <w:szCs w:val="25"/>
        </w:rPr>
        <w:t>e instant</w:t>
      </w:r>
      <w:r>
        <w:rPr>
          <w:rFonts w:ascii="Aptos" w:hAnsi="Aptos"/>
          <w:sz w:val="25"/>
          <w:szCs w:val="25"/>
        </w:rPr>
        <w:t xml:space="preserve"> matter </w:t>
      </w:r>
      <w:r w:rsidR="000118E1">
        <w:rPr>
          <w:rFonts w:ascii="Aptos" w:hAnsi="Aptos"/>
          <w:sz w:val="25"/>
          <w:szCs w:val="25"/>
        </w:rPr>
        <w:t>consists of</w:t>
      </w:r>
      <w:r>
        <w:rPr>
          <w:rFonts w:ascii="Aptos" w:hAnsi="Aptos"/>
          <w:sz w:val="25"/>
          <w:szCs w:val="25"/>
        </w:rPr>
        <w:t xml:space="preserve"> a re</w:t>
      </w:r>
      <w:r w:rsidR="000118E1">
        <w:rPr>
          <w:rFonts w:ascii="Aptos" w:hAnsi="Aptos"/>
          <w:sz w:val="25"/>
          <w:szCs w:val="25"/>
        </w:rPr>
        <w:t>-</w:t>
      </w:r>
      <w:r>
        <w:rPr>
          <w:rFonts w:ascii="Aptos" w:hAnsi="Aptos"/>
          <w:sz w:val="25"/>
          <w:szCs w:val="25"/>
        </w:rPr>
        <w:t xml:space="preserve">filing of a prior </w:t>
      </w:r>
      <w:r>
        <w:rPr>
          <w:rFonts w:ascii="Aptos" w:hAnsi="Aptos"/>
          <w:i/>
          <w:iCs/>
          <w:sz w:val="25"/>
          <w:szCs w:val="25"/>
        </w:rPr>
        <w:t xml:space="preserve">Hearing Request </w:t>
      </w:r>
      <w:r>
        <w:rPr>
          <w:rFonts w:ascii="Aptos" w:hAnsi="Aptos"/>
          <w:sz w:val="25"/>
          <w:szCs w:val="25"/>
        </w:rPr>
        <w:t xml:space="preserve">filed by Parent </w:t>
      </w:r>
      <w:r w:rsidR="00E6578E">
        <w:rPr>
          <w:rFonts w:ascii="Aptos" w:hAnsi="Aptos"/>
          <w:sz w:val="25"/>
          <w:szCs w:val="25"/>
        </w:rPr>
        <w:t>o</w:t>
      </w:r>
      <w:r w:rsidR="00492212">
        <w:rPr>
          <w:rFonts w:ascii="Aptos" w:hAnsi="Aptos"/>
          <w:sz w:val="25"/>
          <w:szCs w:val="25"/>
        </w:rPr>
        <w:t xml:space="preserve">n February 10, 2025 </w:t>
      </w:r>
      <w:r>
        <w:rPr>
          <w:rFonts w:ascii="Aptos" w:hAnsi="Aptos"/>
          <w:sz w:val="25"/>
          <w:szCs w:val="25"/>
        </w:rPr>
        <w:t xml:space="preserve">against the District, DMH and DCF (BSEA No. </w:t>
      </w:r>
      <w:r w:rsidR="00D2137F">
        <w:rPr>
          <w:rFonts w:ascii="Aptos" w:hAnsi="Aptos"/>
          <w:sz w:val="25"/>
          <w:szCs w:val="25"/>
        </w:rPr>
        <w:t>2508203)</w:t>
      </w:r>
      <w:r>
        <w:rPr>
          <w:rFonts w:ascii="Aptos" w:hAnsi="Aptos"/>
          <w:sz w:val="25"/>
          <w:szCs w:val="25"/>
        </w:rPr>
        <w:t xml:space="preserve">, that was ultimately withdrawn without prejudice </w:t>
      </w:r>
      <w:r w:rsidR="00492212">
        <w:rPr>
          <w:rFonts w:ascii="Aptos" w:hAnsi="Aptos"/>
          <w:sz w:val="25"/>
          <w:szCs w:val="25"/>
        </w:rPr>
        <w:t xml:space="preserve">on </w:t>
      </w:r>
      <w:r w:rsidR="00A024CF">
        <w:rPr>
          <w:rFonts w:ascii="Aptos" w:hAnsi="Aptos"/>
          <w:sz w:val="25"/>
          <w:szCs w:val="25"/>
        </w:rPr>
        <w:t xml:space="preserve">May 30, 2025, </w:t>
      </w:r>
      <w:r>
        <w:rPr>
          <w:rFonts w:ascii="Aptos" w:hAnsi="Aptos"/>
          <w:sz w:val="25"/>
          <w:szCs w:val="25"/>
        </w:rPr>
        <w:t xml:space="preserve">for reasons unrelated to the pending </w:t>
      </w:r>
      <w:r>
        <w:rPr>
          <w:rFonts w:ascii="Aptos" w:hAnsi="Aptos"/>
          <w:i/>
          <w:iCs/>
          <w:sz w:val="25"/>
          <w:szCs w:val="25"/>
        </w:rPr>
        <w:t>Motions</w:t>
      </w:r>
      <w:r w:rsidR="00D2137F">
        <w:rPr>
          <w:rFonts w:ascii="Aptos" w:hAnsi="Aptos"/>
          <w:sz w:val="25"/>
          <w:szCs w:val="25"/>
        </w:rPr>
        <w:t xml:space="preserve"> (Prior Matter)</w:t>
      </w:r>
      <w:r>
        <w:rPr>
          <w:rFonts w:ascii="Aptos" w:hAnsi="Aptos"/>
          <w:sz w:val="25"/>
          <w:szCs w:val="25"/>
        </w:rPr>
        <w:t>.</w:t>
      </w:r>
      <w:bookmarkEnd w:id="0"/>
      <w:r w:rsidR="00D2137F">
        <w:rPr>
          <w:rFonts w:ascii="Aptos" w:hAnsi="Aptos"/>
          <w:sz w:val="25"/>
          <w:szCs w:val="25"/>
        </w:rPr>
        <w:t xml:space="preserve">  Prior to being withdrawn, DMH and DCF had requested dismiss</w:t>
      </w:r>
      <w:r w:rsidR="00E6578E">
        <w:rPr>
          <w:rFonts w:ascii="Aptos" w:hAnsi="Aptos"/>
          <w:sz w:val="25"/>
          <w:szCs w:val="25"/>
        </w:rPr>
        <w:t>al</w:t>
      </w:r>
      <w:r w:rsidR="00D2137F">
        <w:rPr>
          <w:rFonts w:ascii="Aptos" w:hAnsi="Aptos"/>
          <w:sz w:val="25"/>
          <w:szCs w:val="25"/>
        </w:rPr>
        <w:t xml:space="preserve"> as Parties, which </w:t>
      </w:r>
      <w:r w:rsidR="00BA35A5">
        <w:rPr>
          <w:rFonts w:ascii="Aptos" w:hAnsi="Aptos"/>
          <w:sz w:val="25"/>
          <w:szCs w:val="25"/>
        </w:rPr>
        <w:t xml:space="preserve">was </w:t>
      </w:r>
      <w:r w:rsidR="00D2137F">
        <w:rPr>
          <w:rFonts w:ascii="Aptos" w:hAnsi="Aptos"/>
          <w:sz w:val="25"/>
          <w:szCs w:val="25"/>
        </w:rPr>
        <w:t>denied via</w:t>
      </w:r>
      <w:r w:rsidR="00CE77A1">
        <w:rPr>
          <w:rFonts w:ascii="Aptos" w:hAnsi="Aptos"/>
          <w:sz w:val="25"/>
          <w:szCs w:val="25"/>
        </w:rPr>
        <w:t xml:space="preserve"> </w:t>
      </w:r>
      <w:proofErr w:type="gramStart"/>
      <w:r w:rsidR="00CE77A1">
        <w:rPr>
          <w:rFonts w:ascii="Aptos" w:hAnsi="Aptos"/>
          <w:sz w:val="25"/>
          <w:szCs w:val="25"/>
        </w:rPr>
        <w:t xml:space="preserve">an </w:t>
      </w:r>
      <w:r w:rsidR="003436CB">
        <w:rPr>
          <w:rFonts w:ascii="Aptos" w:hAnsi="Aptos"/>
          <w:sz w:val="25"/>
          <w:szCs w:val="25"/>
        </w:rPr>
        <w:t>April</w:t>
      </w:r>
      <w:proofErr w:type="gramEnd"/>
      <w:r w:rsidR="003436CB">
        <w:rPr>
          <w:rFonts w:ascii="Aptos" w:hAnsi="Aptos"/>
          <w:sz w:val="25"/>
          <w:szCs w:val="25"/>
        </w:rPr>
        <w:t xml:space="preserve"> 11, 2025</w:t>
      </w:r>
      <w:r w:rsidR="00D2137F">
        <w:rPr>
          <w:rFonts w:ascii="Aptos" w:hAnsi="Aptos"/>
          <w:sz w:val="25"/>
          <w:szCs w:val="25"/>
        </w:rPr>
        <w:t xml:space="preserve"> </w:t>
      </w:r>
      <w:r w:rsidR="00D2137F">
        <w:rPr>
          <w:rFonts w:ascii="Aptos" w:hAnsi="Aptos"/>
          <w:i/>
          <w:iCs/>
          <w:sz w:val="25"/>
          <w:szCs w:val="25"/>
        </w:rPr>
        <w:t>Ruling on Motions to Dismiss</w:t>
      </w:r>
      <w:r w:rsidR="00D2137F">
        <w:rPr>
          <w:rFonts w:ascii="Aptos" w:hAnsi="Aptos"/>
          <w:sz w:val="25"/>
          <w:szCs w:val="25"/>
        </w:rPr>
        <w:t xml:space="preserve"> (</w:t>
      </w:r>
      <w:r w:rsidR="00D2137F">
        <w:rPr>
          <w:rFonts w:ascii="Aptos" w:hAnsi="Aptos"/>
          <w:i/>
          <w:iCs/>
          <w:sz w:val="25"/>
          <w:szCs w:val="25"/>
        </w:rPr>
        <w:t>Prior Matter Ruling</w:t>
      </w:r>
      <w:r w:rsidR="00D2137F">
        <w:rPr>
          <w:rFonts w:ascii="Aptos" w:hAnsi="Aptos"/>
          <w:sz w:val="25"/>
          <w:szCs w:val="25"/>
        </w:rPr>
        <w:t>)</w:t>
      </w:r>
      <w:r w:rsidR="00D2137F">
        <w:rPr>
          <w:rStyle w:val="FootnoteReference"/>
          <w:rFonts w:ascii="Aptos" w:hAnsi="Aptos"/>
          <w:sz w:val="25"/>
          <w:szCs w:val="25"/>
        </w:rPr>
        <w:footnoteReference w:id="3"/>
      </w:r>
      <w:r w:rsidR="00D2137F">
        <w:rPr>
          <w:rFonts w:ascii="Aptos" w:hAnsi="Aptos"/>
          <w:sz w:val="25"/>
          <w:szCs w:val="25"/>
        </w:rPr>
        <w:t xml:space="preserve">.  </w:t>
      </w:r>
    </w:p>
    <w:p w14:paraId="01CA00C4" w14:textId="2BD638F2" w:rsidR="00F4022E" w:rsidRDefault="00F4022E" w:rsidP="00F4022E">
      <w:pPr>
        <w:pStyle w:val="ListParagraph"/>
        <w:numPr>
          <w:ilvl w:val="0"/>
          <w:numId w:val="2"/>
        </w:numPr>
        <w:spacing w:after="0" w:line="240" w:lineRule="auto"/>
        <w:rPr>
          <w:rFonts w:ascii="Aptos" w:hAnsi="Aptos"/>
          <w:sz w:val="25"/>
          <w:szCs w:val="25"/>
        </w:rPr>
      </w:pPr>
      <w:r>
        <w:rPr>
          <w:rFonts w:ascii="Aptos" w:hAnsi="Aptos"/>
          <w:sz w:val="25"/>
          <w:szCs w:val="25"/>
        </w:rPr>
        <w:lastRenderedPageBreak/>
        <w:t>Student is</w:t>
      </w:r>
      <w:r w:rsidR="00EB440B">
        <w:rPr>
          <w:rFonts w:ascii="Aptos" w:hAnsi="Aptos"/>
          <w:sz w:val="25"/>
          <w:szCs w:val="25"/>
        </w:rPr>
        <w:t xml:space="preserve"> 13 years old </w:t>
      </w:r>
      <w:r w:rsidR="005F480D">
        <w:rPr>
          <w:rFonts w:ascii="Aptos" w:hAnsi="Aptos"/>
          <w:sz w:val="25"/>
          <w:szCs w:val="25"/>
        </w:rPr>
        <w:t>and</w:t>
      </w:r>
      <w:r w:rsidR="00754D58">
        <w:rPr>
          <w:rFonts w:ascii="Aptos" w:hAnsi="Aptos"/>
          <w:sz w:val="25"/>
          <w:szCs w:val="25"/>
        </w:rPr>
        <w:t xml:space="preserve"> currently attends a </w:t>
      </w:r>
      <w:r>
        <w:rPr>
          <w:rFonts w:ascii="Aptos" w:hAnsi="Aptos"/>
          <w:sz w:val="25"/>
          <w:szCs w:val="25"/>
        </w:rPr>
        <w:t>day program at Doctor Franklin Perkins School, (Perkins).  He is diagnosed with post-traumatic stress disorder, reactive attachment disorder, mood disorder (unspecified), attention-deficit/hyperactivity disorder, and specific learning disabilities in writing, reading comprehension and mathematics, with additional challenges with emotional and behavior regulation.  (</w:t>
      </w:r>
      <w:r>
        <w:rPr>
          <w:rFonts w:ascii="Aptos" w:hAnsi="Aptos"/>
          <w:i/>
          <w:iCs/>
          <w:sz w:val="25"/>
          <w:szCs w:val="25"/>
        </w:rPr>
        <w:t>Hearing Request</w:t>
      </w:r>
      <w:r>
        <w:rPr>
          <w:rFonts w:ascii="Aptos" w:hAnsi="Aptos"/>
          <w:sz w:val="25"/>
          <w:szCs w:val="25"/>
        </w:rPr>
        <w:t>).</w:t>
      </w:r>
    </w:p>
    <w:p w14:paraId="3D8C1201" w14:textId="77777777" w:rsidR="00F4022E" w:rsidRDefault="00F4022E" w:rsidP="00F4022E">
      <w:pPr>
        <w:pStyle w:val="ListParagraph"/>
        <w:spacing w:after="0" w:line="240" w:lineRule="auto"/>
        <w:rPr>
          <w:rFonts w:ascii="Aptos" w:hAnsi="Aptos"/>
          <w:sz w:val="25"/>
          <w:szCs w:val="25"/>
        </w:rPr>
      </w:pPr>
    </w:p>
    <w:p w14:paraId="419B900D" w14:textId="37A6F9BA" w:rsidR="00F4022E" w:rsidRDefault="00F4022E" w:rsidP="00F4022E">
      <w:pPr>
        <w:pStyle w:val="ListParagraph"/>
        <w:numPr>
          <w:ilvl w:val="0"/>
          <w:numId w:val="2"/>
        </w:numPr>
        <w:spacing w:after="0" w:line="240" w:lineRule="auto"/>
        <w:rPr>
          <w:rFonts w:ascii="Aptos" w:hAnsi="Aptos"/>
          <w:sz w:val="25"/>
          <w:szCs w:val="25"/>
        </w:rPr>
      </w:pPr>
      <w:r>
        <w:rPr>
          <w:rFonts w:ascii="Aptos" w:hAnsi="Aptos"/>
          <w:sz w:val="25"/>
          <w:szCs w:val="25"/>
        </w:rPr>
        <w:t>Student had a substantial trauma history during the first two years of his life and transitioned among ten different foster homes until being placed with Parent when he was 4 years old.  Parent subsequently adopted Student when he was 6.  (</w:t>
      </w:r>
      <w:r>
        <w:rPr>
          <w:rFonts w:ascii="Aptos" w:hAnsi="Aptos"/>
          <w:i/>
          <w:iCs/>
          <w:sz w:val="25"/>
          <w:szCs w:val="25"/>
        </w:rPr>
        <w:t>Hearing Request</w:t>
      </w:r>
      <w:r>
        <w:rPr>
          <w:rFonts w:ascii="Aptos" w:hAnsi="Aptos"/>
          <w:sz w:val="25"/>
          <w:szCs w:val="25"/>
        </w:rPr>
        <w:t>).</w:t>
      </w:r>
    </w:p>
    <w:p w14:paraId="07F20B7B" w14:textId="77777777" w:rsidR="00F4022E" w:rsidRPr="008E34B5" w:rsidRDefault="00F4022E" w:rsidP="00F4022E">
      <w:pPr>
        <w:pStyle w:val="ListParagraph"/>
        <w:rPr>
          <w:rFonts w:ascii="Aptos" w:hAnsi="Aptos"/>
          <w:sz w:val="25"/>
          <w:szCs w:val="25"/>
        </w:rPr>
      </w:pPr>
    </w:p>
    <w:p w14:paraId="254DFF5F" w14:textId="5FB3A964" w:rsidR="00F4022E" w:rsidRDefault="00F4022E" w:rsidP="00C40D11">
      <w:pPr>
        <w:pStyle w:val="ListParagraph"/>
        <w:numPr>
          <w:ilvl w:val="0"/>
          <w:numId w:val="2"/>
        </w:numPr>
        <w:spacing w:after="0" w:line="240" w:lineRule="auto"/>
        <w:rPr>
          <w:rFonts w:ascii="Aptos" w:hAnsi="Aptos"/>
          <w:sz w:val="25"/>
          <w:szCs w:val="25"/>
        </w:rPr>
      </w:pPr>
      <w:r>
        <w:rPr>
          <w:rFonts w:ascii="Aptos" w:hAnsi="Aptos"/>
          <w:sz w:val="25"/>
          <w:szCs w:val="25"/>
        </w:rPr>
        <w:t xml:space="preserve">Prior to moving to Ashland, Student had been placed at the Walker Residential School until transitioning to a day placement at Walker during the summer of 2022.  Parent moved to Ashland that fall, where Student began </w:t>
      </w:r>
      <w:r w:rsidR="005831DD">
        <w:rPr>
          <w:rFonts w:ascii="Aptos" w:hAnsi="Aptos"/>
          <w:sz w:val="25"/>
          <w:szCs w:val="25"/>
        </w:rPr>
        <w:t xml:space="preserve">attending </w:t>
      </w:r>
      <w:r w:rsidR="00DE4EFC">
        <w:rPr>
          <w:rFonts w:ascii="Aptos" w:hAnsi="Aptos"/>
          <w:sz w:val="25"/>
          <w:szCs w:val="25"/>
        </w:rPr>
        <w:t xml:space="preserve">an elementary school in the District.  </w:t>
      </w:r>
      <w:r>
        <w:rPr>
          <w:rFonts w:ascii="Aptos" w:hAnsi="Aptos"/>
          <w:sz w:val="25"/>
          <w:szCs w:val="25"/>
        </w:rPr>
        <w:t>(</w:t>
      </w:r>
      <w:r>
        <w:rPr>
          <w:rFonts w:ascii="Aptos" w:hAnsi="Aptos"/>
          <w:i/>
          <w:iCs/>
          <w:sz w:val="25"/>
          <w:szCs w:val="25"/>
        </w:rPr>
        <w:t>Hearing Request</w:t>
      </w:r>
      <w:r>
        <w:rPr>
          <w:rFonts w:ascii="Aptos" w:hAnsi="Aptos"/>
          <w:sz w:val="25"/>
          <w:szCs w:val="25"/>
        </w:rPr>
        <w:t>;).</w:t>
      </w:r>
    </w:p>
    <w:p w14:paraId="1FE3E595" w14:textId="77777777" w:rsidR="00667339" w:rsidRPr="00667339" w:rsidRDefault="00667339" w:rsidP="00667339">
      <w:pPr>
        <w:pStyle w:val="ListParagraph"/>
        <w:rPr>
          <w:rFonts w:ascii="Aptos" w:hAnsi="Aptos"/>
          <w:sz w:val="25"/>
          <w:szCs w:val="25"/>
        </w:rPr>
      </w:pPr>
    </w:p>
    <w:p w14:paraId="037AFA60" w14:textId="403C932D" w:rsidR="00667339" w:rsidRDefault="00667339" w:rsidP="00C40D11">
      <w:pPr>
        <w:pStyle w:val="ListParagraph"/>
        <w:numPr>
          <w:ilvl w:val="0"/>
          <w:numId w:val="2"/>
        </w:numPr>
        <w:spacing w:after="0" w:line="240" w:lineRule="auto"/>
        <w:rPr>
          <w:rFonts w:ascii="Aptos" w:hAnsi="Aptos"/>
          <w:sz w:val="25"/>
          <w:szCs w:val="25"/>
        </w:rPr>
      </w:pPr>
      <w:r>
        <w:rPr>
          <w:rFonts w:ascii="Aptos" w:hAnsi="Aptos"/>
          <w:sz w:val="25"/>
          <w:szCs w:val="25"/>
        </w:rPr>
        <w:t>Student currently has an open clinical case with DCF</w:t>
      </w:r>
      <w:r w:rsidR="007A0798">
        <w:rPr>
          <w:rFonts w:ascii="Aptos" w:hAnsi="Aptos"/>
          <w:sz w:val="25"/>
          <w:szCs w:val="25"/>
        </w:rPr>
        <w:t xml:space="preserve"> that was opened following a 51A report filed in December 2024 alleging neglect by </w:t>
      </w:r>
      <w:r w:rsidR="00777CDB">
        <w:rPr>
          <w:rFonts w:ascii="Aptos" w:hAnsi="Aptos"/>
          <w:sz w:val="25"/>
          <w:szCs w:val="25"/>
        </w:rPr>
        <w:t>Parent</w:t>
      </w:r>
      <w:r>
        <w:rPr>
          <w:rFonts w:ascii="Aptos" w:hAnsi="Aptos"/>
          <w:sz w:val="25"/>
          <w:szCs w:val="25"/>
        </w:rPr>
        <w:t>.  DCF offer</w:t>
      </w:r>
      <w:r w:rsidR="009C236F">
        <w:rPr>
          <w:rFonts w:ascii="Aptos" w:hAnsi="Aptos"/>
          <w:sz w:val="25"/>
          <w:szCs w:val="25"/>
        </w:rPr>
        <w:t xml:space="preserve">ed services to the family as a result.  In-Home Therapy (IHT) is the only remaining service DCF is currently </w:t>
      </w:r>
      <w:r w:rsidR="00211D36">
        <w:rPr>
          <w:rFonts w:ascii="Aptos" w:hAnsi="Aptos"/>
          <w:sz w:val="25"/>
          <w:szCs w:val="25"/>
        </w:rPr>
        <w:t>providing to</w:t>
      </w:r>
      <w:r w:rsidR="009C236F">
        <w:rPr>
          <w:rFonts w:ascii="Aptos" w:hAnsi="Aptos"/>
          <w:sz w:val="25"/>
          <w:szCs w:val="25"/>
        </w:rPr>
        <w:t xml:space="preserve"> the family</w:t>
      </w:r>
      <w:r w:rsidR="00544F25">
        <w:rPr>
          <w:rFonts w:ascii="Aptos" w:hAnsi="Aptos"/>
          <w:sz w:val="25"/>
          <w:szCs w:val="25"/>
        </w:rPr>
        <w:t xml:space="preserve">.  IHT </w:t>
      </w:r>
      <w:r w:rsidR="009C236F">
        <w:rPr>
          <w:rFonts w:ascii="Aptos" w:hAnsi="Aptos"/>
          <w:sz w:val="25"/>
          <w:szCs w:val="25"/>
        </w:rPr>
        <w:t>is scheduled to cease on September 12, 2025</w:t>
      </w:r>
      <w:r w:rsidR="00355241">
        <w:rPr>
          <w:rFonts w:ascii="Aptos" w:hAnsi="Aptos"/>
          <w:sz w:val="25"/>
          <w:szCs w:val="25"/>
        </w:rPr>
        <w:t>.  DCF has determined that upon cessation of IHT it will be closing its clinical case with the family on the same date (September 12, 2025).  Consistent with DCF</w:t>
      </w:r>
      <w:r w:rsidR="00367387">
        <w:rPr>
          <w:rFonts w:ascii="Aptos" w:hAnsi="Aptos"/>
          <w:sz w:val="25"/>
          <w:szCs w:val="25"/>
        </w:rPr>
        <w:t xml:space="preserve"> Policy #86-007, the decision to close a case must be approved by the Area Program Man</w:t>
      </w:r>
      <w:r w:rsidR="0068515A">
        <w:rPr>
          <w:rFonts w:ascii="Aptos" w:hAnsi="Aptos"/>
          <w:sz w:val="25"/>
          <w:szCs w:val="25"/>
        </w:rPr>
        <w:t>a</w:t>
      </w:r>
      <w:r w:rsidR="00367387">
        <w:rPr>
          <w:rFonts w:ascii="Aptos" w:hAnsi="Aptos"/>
          <w:sz w:val="25"/>
          <w:szCs w:val="25"/>
        </w:rPr>
        <w:t>ger</w:t>
      </w:r>
      <w:r w:rsidR="00485129">
        <w:rPr>
          <w:rFonts w:ascii="Aptos" w:hAnsi="Aptos"/>
          <w:sz w:val="25"/>
          <w:szCs w:val="25"/>
        </w:rPr>
        <w:t xml:space="preserve"> (APM)</w:t>
      </w:r>
      <w:r w:rsidR="00367387">
        <w:rPr>
          <w:rFonts w:ascii="Aptos" w:hAnsi="Aptos"/>
          <w:sz w:val="25"/>
          <w:szCs w:val="25"/>
        </w:rPr>
        <w:t xml:space="preserve"> responsible for the case</w:t>
      </w:r>
      <w:r w:rsidR="00544F25">
        <w:rPr>
          <w:rFonts w:ascii="Aptos" w:hAnsi="Aptos"/>
          <w:sz w:val="25"/>
          <w:szCs w:val="25"/>
        </w:rPr>
        <w:t xml:space="preserve">.  Also consistent with DCF Policy #86-007, within 14 calendar days of receipt of notice of closure, </w:t>
      </w:r>
      <w:r w:rsidR="0068515A">
        <w:rPr>
          <w:rFonts w:ascii="Aptos" w:hAnsi="Aptos"/>
          <w:sz w:val="25"/>
          <w:szCs w:val="25"/>
        </w:rPr>
        <w:t>a family member</w:t>
      </w:r>
      <w:r w:rsidR="00EF73D4">
        <w:rPr>
          <w:rFonts w:ascii="Aptos" w:hAnsi="Aptos"/>
          <w:sz w:val="25"/>
          <w:szCs w:val="25"/>
        </w:rPr>
        <w:t xml:space="preserve"> (</w:t>
      </w:r>
      <w:r w:rsidR="0068515A">
        <w:rPr>
          <w:rFonts w:ascii="Aptos" w:hAnsi="Aptos"/>
          <w:sz w:val="25"/>
          <w:szCs w:val="25"/>
        </w:rPr>
        <w:t xml:space="preserve">or </w:t>
      </w:r>
      <w:r w:rsidR="00EF73D4">
        <w:rPr>
          <w:rFonts w:ascii="Aptos" w:hAnsi="Aptos"/>
          <w:sz w:val="25"/>
          <w:szCs w:val="25"/>
        </w:rPr>
        <w:t xml:space="preserve">within 30 calendar days of receipt of notice of closure </w:t>
      </w:r>
      <w:r w:rsidR="0068515A">
        <w:rPr>
          <w:rFonts w:ascii="Aptos" w:hAnsi="Aptos"/>
          <w:sz w:val="25"/>
          <w:szCs w:val="25"/>
        </w:rPr>
        <w:t>a young adult who is an open consumer</w:t>
      </w:r>
      <w:r w:rsidR="00EF73D4">
        <w:rPr>
          <w:rFonts w:ascii="Aptos" w:hAnsi="Aptos"/>
          <w:sz w:val="25"/>
          <w:szCs w:val="25"/>
        </w:rPr>
        <w:t>)</w:t>
      </w:r>
      <w:r w:rsidR="0068515A">
        <w:rPr>
          <w:rFonts w:ascii="Aptos" w:hAnsi="Aptos"/>
          <w:sz w:val="25"/>
          <w:szCs w:val="25"/>
        </w:rPr>
        <w:t xml:space="preserve"> </w:t>
      </w:r>
      <w:r w:rsidR="00EF73D4">
        <w:rPr>
          <w:rFonts w:ascii="Aptos" w:hAnsi="Aptos"/>
          <w:sz w:val="25"/>
          <w:szCs w:val="25"/>
        </w:rPr>
        <w:t xml:space="preserve">may </w:t>
      </w:r>
      <w:r w:rsidR="0068515A">
        <w:rPr>
          <w:rFonts w:ascii="Aptos" w:hAnsi="Aptos"/>
          <w:sz w:val="25"/>
          <w:szCs w:val="25"/>
        </w:rPr>
        <w:t>appeal the case closure</w:t>
      </w:r>
      <w:r w:rsidR="00DF03F7">
        <w:rPr>
          <w:rStyle w:val="FootnoteReference"/>
          <w:rFonts w:ascii="Aptos" w:hAnsi="Aptos"/>
          <w:sz w:val="25"/>
          <w:szCs w:val="25"/>
        </w:rPr>
        <w:footnoteReference w:id="4"/>
      </w:r>
      <w:r w:rsidR="0068515A">
        <w:rPr>
          <w:rFonts w:ascii="Aptos" w:hAnsi="Aptos"/>
          <w:sz w:val="25"/>
          <w:szCs w:val="25"/>
        </w:rPr>
        <w:t xml:space="preserve">. </w:t>
      </w:r>
      <w:r w:rsidR="00485129">
        <w:rPr>
          <w:rFonts w:ascii="Aptos" w:hAnsi="Aptos"/>
          <w:sz w:val="25"/>
          <w:szCs w:val="25"/>
        </w:rPr>
        <w:t>(</w:t>
      </w:r>
      <w:r w:rsidR="00485129">
        <w:rPr>
          <w:rFonts w:ascii="Aptos" w:hAnsi="Aptos"/>
          <w:i/>
          <w:iCs/>
          <w:sz w:val="25"/>
          <w:szCs w:val="25"/>
        </w:rPr>
        <w:t>Hearing Request</w:t>
      </w:r>
      <w:r w:rsidR="00485129">
        <w:rPr>
          <w:rFonts w:ascii="Aptos" w:hAnsi="Aptos"/>
          <w:sz w:val="25"/>
          <w:szCs w:val="25"/>
        </w:rPr>
        <w:t xml:space="preserve">; </w:t>
      </w:r>
      <w:r w:rsidR="00485129">
        <w:rPr>
          <w:rFonts w:ascii="Aptos" w:hAnsi="Aptos"/>
          <w:i/>
          <w:iCs/>
          <w:sz w:val="25"/>
          <w:szCs w:val="25"/>
        </w:rPr>
        <w:t>DCF Opposition</w:t>
      </w:r>
      <w:r w:rsidR="00485129">
        <w:rPr>
          <w:rFonts w:ascii="Aptos" w:hAnsi="Aptos"/>
          <w:sz w:val="25"/>
          <w:szCs w:val="25"/>
        </w:rPr>
        <w:t>).</w:t>
      </w:r>
    </w:p>
    <w:p w14:paraId="75022FB4" w14:textId="77777777" w:rsidR="00C40D11" w:rsidRPr="00C40D11" w:rsidRDefault="00C40D11" w:rsidP="00C40D11">
      <w:pPr>
        <w:spacing w:after="0" w:line="240" w:lineRule="auto"/>
        <w:rPr>
          <w:rFonts w:ascii="Aptos" w:hAnsi="Aptos"/>
          <w:sz w:val="25"/>
          <w:szCs w:val="25"/>
        </w:rPr>
      </w:pPr>
    </w:p>
    <w:p w14:paraId="5C711046" w14:textId="5A329B99" w:rsidR="00C41A49" w:rsidRPr="007E0572" w:rsidRDefault="004256A7" w:rsidP="00C41A49">
      <w:pPr>
        <w:pStyle w:val="ListParagraph"/>
        <w:numPr>
          <w:ilvl w:val="0"/>
          <w:numId w:val="2"/>
        </w:numPr>
        <w:spacing w:after="0" w:line="240" w:lineRule="auto"/>
        <w:rPr>
          <w:rFonts w:ascii="Aptos" w:hAnsi="Aptos"/>
          <w:sz w:val="25"/>
          <w:szCs w:val="25"/>
        </w:rPr>
      </w:pPr>
      <w:r w:rsidRPr="007E0572">
        <w:rPr>
          <w:rFonts w:ascii="Aptos" w:hAnsi="Aptos"/>
          <w:sz w:val="25"/>
          <w:szCs w:val="25"/>
        </w:rPr>
        <w:t>S</w:t>
      </w:r>
      <w:r w:rsidR="00F4022E" w:rsidRPr="007E0572">
        <w:rPr>
          <w:rFonts w:ascii="Aptos" w:hAnsi="Aptos"/>
          <w:sz w:val="25"/>
          <w:szCs w:val="25"/>
        </w:rPr>
        <w:t xml:space="preserve">ince May 2023, Student has been deemed eligible for and has received services from DMH consisting of </w:t>
      </w:r>
      <w:r w:rsidR="00781898" w:rsidRPr="007E0572">
        <w:rPr>
          <w:rFonts w:ascii="Aptos" w:hAnsi="Aptos"/>
          <w:sz w:val="25"/>
          <w:szCs w:val="25"/>
        </w:rPr>
        <w:t xml:space="preserve">in-home therapy, </w:t>
      </w:r>
      <w:r w:rsidR="00E577AE" w:rsidRPr="007E0572">
        <w:rPr>
          <w:rFonts w:ascii="Aptos" w:hAnsi="Aptos"/>
          <w:sz w:val="25"/>
          <w:szCs w:val="25"/>
        </w:rPr>
        <w:t>out-of-home therapy and a parent partner.  Currently Student receives a Therapeutic Support Specialist (TSS), a Case Manager and Respite</w:t>
      </w:r>
      <w:r w:rsidR="007B7750" w:rsidRPr="007E0572">
        <w:rPr>
          <w:rFonts w:ascii="Aptos" w:hAnsi="Aptos"/>
          <w:sz w:val="25"/>
          <w:szCs w:val="25"/>
        </w:rPr>
        <w:t xml:space="preserve"> support</w:t>
      </w:r>
      <w:r w:rsidR="00C60A72">
        <w:rPr>
          <w:rFonts w:ascii="Aptos" w:hAnsi="Aptos"/>
          <w:sz w:val="25"/>
          <w:szCs w:val="25"/>
        </w:rPr>
        <w:t>,</w:t>
      </w:r>
      <w:r w:rsidR="007B7750" w:rsidRPr="007E0572">
        <w:rPr>
          <w:rFonts w:ascii="Aptos" w:hAnsi="Aptos"/>
          <w:sz w:val="25"/>
          <w:szCs w:val="25"/>
        </w:rPr>
        <w:t xml:space="preserve"> as </w:t>
      </w:r>
      <w:r w:rsidR="006F5C5E">
        <w:rPr>
          <w:rFonts w:ascii="Aptos" w:hAnsi="Aptos"/>
          <w:sz w:val="25"/>
          <w:szCs w:val="25"/>
        </w:rPr>
        <w:t>explained further,</w:t>
      </w:r>
      <w:r w:rsidR="007B7750" w:rsidRPr="007E0572">
        <w:rPr>
          <w:rFonts w:ascii="Aptos" w:hAnsi="Aptos"/>
          <w:sz w:val="25"/>
          <w:szCs w:val="25"/>
        </w:rPr>
        <w:t xml:space="preserve"> below</w:t>
      </w:r>
      <w:r w:rsidR="00593808" w:rsidRPr="007E0572">
        <w:rPr>
          <w:rFonts w:ascii="Aptos" w:hAnsi="Aptos"/>
          <w:sz w:val="25"/>
          <w:szCs w:val="25"/>
        </w:rPr>
        <w:t xml:space="preserve">.  </w:t>
      </w:r>
      <w:r w:rsidR="00F4022E" w:rsidRPr="007E0572">
        <w:rPr>
          <w:rFonts w:ascii="Aptos" w:hAnsi="Aptos"/>
          <w:sz w:val="25"/>
          <w:szCs w:val="25"/>
        </w:rPr>
        <w:t>(</w:t>
      </w:r>
      <w:r w:rsidR="00F4022E" w:rsidRPr="007E0572">
        <w:rPr>
          <w:rFonts w:ascii="Aptos" w:hAnsi="Aptos"/>
          <w:i/>
          <w:iCs/>
          <w:sz w:val="25"/>
          <w:szCs w:val="25"/>
        </w:rPr>
        <w:t>Hearing Request</w:t>
      </w:r>
      <w:r w:rsidR="00F4022E" w:rsidRPr="007E0572">
        <w:rPr>
          <w:rFonts w:ascii="Aptos" w:hAnsi="Aptos"/>
          <w:sz w:val="25"/>
          <w:szCs w:val="25"/>
        </w:rPr>
        <w:t xml:space="preserve">; </w:t>
      </w:r>
      <w:r w:rsidR="00F4022E" w:rsidRPr="007E0572">
        <w:rPr>
          <w:rFonts w:ascii="Aptos" w:hAnsi="Aptos"/>
          <w:i/>
          <w:iCs/>
          <w:sz w:val="25"/>
          <w:szCs w:val="25"/>
        </w:rPr>
        <w:t xml:space="preserve">DMH </w:t>
      </w:r>
      <w:r w:rsidR="00593808" w:rsidRPr="007E0572">
        <w:rPr>
          <w:rFonts w:ascii="Aptos" w:hAnsi="Aptos"/>
          <w:i/>
          <w:iCs/>
          <w:sz w:val="25"/>
          <w:szCs w:val="25"/>
        </w:rPr>
        <w:t>Opposition</w:t>
      </w:r>
      <w:r w:rsidR="00F4022E" w:rsidRPr="007E0572">
        <w:rPr>
          <w:rFonts w:ascii="Aptos" w:hAnsi="Aptos"/>
          <w:sz w:val="25"/>
          <w:szCs w:val="25"/>
        </w:rPr>
        <w:t>).</w:t>
      </w:r>
    </w:p>
    <w:p w14:paraId="3B24BDC4" w14:textId="77777777" w:rsidR="00C41A49" w:rsidRPr="007E0572" w:rsidRDefault="00C41A49" w:rsidP="00C41A49">
      <w:pPr>
        <w:pStyle w:val="ListParagraph"/>
        <w:rPr>
          <w:rFonts w:ascii="Aptos" w:hAnsi="Aptos"/>
          <w:sz w:val="25"/>
          <w:szCs w:val="25"/>
        </w:rPr>
      </w:pPr>
    </w:p>
    <w:p w14:paraId="14A28DC0" w14:textId="4F964EEF" w:rsidR="00C41A49" w:rsidRPr="007E0572" w:rsidRDefault="00C41A49" w:rsidP="00C41A49">
      <w:pPr>
        <w:pStyle w:val="ListParagraph"/>
        <w:numPr>
          <w:ilvl w:val="0"/>
          <w:numId w:val="2"/>
        </w:numPr>
        <w:spacing w:after="0" w:line="240" w:lineRule="auto"/>
        <w:rPr>
          <w:rFonts w:ascii="Aptos" w:hAnsi="Aptos"/>
          <w:sz w:val="25"/>
          <w:szCs w:val="25"/>
        </w:rPr>
      </w:pPr>
      <w:r w:rsidRPr="007E0572">
        <w:rPr>
          <w:rFonts w:ascii="Aptos" w:hAnsi="Aptos"/>
          <w:sz w:val="25"/>
          <w:szCs w:val="25"/>
        </w:rPr>
        <w:lastRenderedPageBreak/>
        <w:t xml:space="preserve">Pursuant to a Settlement Agreement with the District, Student began attending Clearway School (Clearway) starting with </w:t>
      </w:r>
      <w:r w:rsidR="00C60A72">
        <w:rPr>
          <w:rFonts w:ascii="Aptos" w:hAnsi="Aptos"/>
          <w:sz w:val="25"/>
          <w:szCs w:val="25"/>
        </w:rPr>
        <w:t>the</w:t>
      </w:r>
      <w:r w:rsidRPr="007E0572">
        <w:rPr>
          <w:rFonts w:ascii="Aptos" w:hAnsi="Aptos"/>
          <w:sz w:val="25"/>
          <w:szCs w:val="25"/>
        </w:rPr>
        <w:t xml:space="preserve"> summer 2024 program.  (</w:t>
      </w:r>
      <w:r w:rsidRPr="007E0572">
        <w:rPr>
          <w:rFonts w:ascii="Aptos" w:hAnsi="Aptos"/>
          <w:i/>
          <w:iCs/>
          <w:sz w:val="25"/>
          <w:szCs w:val="25"/>
        </w:rPr>
        <w:t>Hearing Request</w:t>
      </w:r>
      <w:r w:rsidRPr="007E0572">
        <w:rPr>
          <w:rFonts w:ascii="Aptos" w:hAnsi="Aptos"/>
          <w:sz w:val="25"/>
          <w:szCs w:val="25"/>
        </w:rPr>
        <w:t>).</w:t>
      </w:r>
    </w:p>
    <w:p w14:paraId="649B8A49" w14:textId="77777777" w:rsidR="00F4022E" w:rsidRPr="007E0572" w:rsidRDefault="00F4022E" w:rsidP="00F4022E">
      <w:pPr>
        <w:pStyle w:val="ListParagraph"/>
        <w:rPr>
          <w:rFonts w:ascii="Aptos" w:hAnsi="Aptos"/>
          <w:sz w:val="25"/>
          <w:szCs w:val="25"/>
        </w:rPr>
      </w:pPr>
    </w:p>
    <w:p w14:paraId="3E150CCE" w14:textId="7040571C" w:rsidR="00F4022E" w:rsidRPr="007E0572" w:rsidRDefault="00F4022E" w:rsidP="00F4022E">
      <w:pPr>
        <w:pStyle w:val="ListParagraph"/>
        <w:numPr>
          <w:ilvl w:val="0"/>
          <w:numId w:val="2"/>
        </w:numPr>
        <w:spacing w:after="0" w:line="240" w:lineRule="auto"/>
        <w:rPr>
          <w:rFonts w:ascii="Aptos" w:hAnsi="Aptos"/>
          <w:sz w:val="25"/>
          <w:szCs w:val="25"/>
        </w:rPr>
      </w:pPr>
      <w:r w:rsidRPr="007E0572">
        <w:rPr>
          <w:rFonts w:ascii="Aptos" w:hAnsi="Aptos"/>
          <w:sz w:val="25"/>
          <w:szCs w:val="25"/>
        </w:rPr>
        <w:t>From September 2024 through the end of th</w:t>
      </w:r>
      <w:r w:rsidR="00064BC0" w:rsidRPr="007E0572">
        <w:rPr>
          <w:rFonts w:ascii="Aptos" w:hAnsi="Aptos"/>
          <w:sz w:val="25"/>
          <w:szCs w:val="25"/>
        </w:rPr>
        <w:t>at calendar</w:t>
      </w:r>
      <w:r w:rsidRPr="007E0572">
        <w:rPr>
          <w:rFonts w:ascii="Aptos" w:hAnsi="Aptos"/>
          <w:sz w:val="25"/>
          <w:szCs w:val="25"/>
        </w:rPr>
        <w:t xml:space="preserve"> year, Student experienced significant instances of behavioral dysregulation both at school and at home, </w:t>
      </w:r>
      <w:r w:rsidR="000445B4">
        <w:rPr>
          <w:rFonts w:ascii="Aptos" w:hAnsi="Aptos"/>
          <w:sz w:val="25"/>
          <w:szCs w:val="25"/>
        </w:rPr>
        <w:t>resulting</w:t>
      </w:r>
      <w:r w:rsidRPr="007E0572">
        <w:rPr>
          <w:rFonts w:ascii="Aptos" w:hAnsi="Aptos"/>
          <w:sz w:val="25"/>
          <w:szCs w:val="25"/>
        </w:rPr>
        <w:t xml:space="preserve"> in hospitalizations on September 25, 2024 through September 30, 2024, October 19, 2024 through October 30, 2024, November 19, 2024 and December 20, 2024, as follows:</w:t>
      </w:r>
    </w:p>
    <w:p w14:paraId="4898FF18" w14:textId="77777777" w:rsidR="00F4022E" w:rsidRPr="007E0572" w:rsidRDefault="00F4022E" w:rsidP="00F4022E">
      <w:pPr>
        <w:pStyle w:val="ListParagraph"/>
        <w:rPr>
          <w:rFonts w:ascii="Aptos" w:hAnsi="Aptos"/>
          <w:sz w:val="25"/>
          <w:szCs w:val="25"/>
        </w:rPr>
      </w:pPr>
    </w:p>
    <w:p w14:paraId="307F27C4" w14:textId="77777777" w:rsidR="00F4022E" w:rsidRPr="007E0572" w:rsidRDefault="00F4022E" w:rsidP="00F4022E">
      <w:pPr>
        <w:pStyle w:val="ListParagraph"/>
        <w:numPr>
          <w:ilvl w:val="0"/>
          <w:numId w:val="4"/>
        </w:numPr>
        <w:spacing w:after="0" w:line="240" w:lineRule="auto"/>
        <w:rPr>
          <w:rFonts w:ascii="Aptos" w:hAnsi="Aptos"/>
          <w:sz w:val="25"/>
          <w:szCs w:val="25"/>
        </w:rPr>
      </w:pPr>
      <w:r w:rsidRPr="007E0572">
        <w:rPr>
          <w:rFonts w:ascii="Aptos" w:hAnsi="Aptos"/>
          <w:sz w:val="25"/>
          <w:szCs w:val="25"/>
        </w:rPr>
        <w:t>On September 4, 2024, Student was suspended from Clearway returning on September 9, 2024, after agreeing to a safety plan</w:t>
      </w:r>
      <w:r w:rsidRPr="007E0572">
        <w:rPr>
          <w:rStyle w:val="FootnoteReference"/>
          <w:rFonts w:ascii="Aptos" w:hAnsi="Aptos"/>
          <w:sz w:val="25"/>
          <w:szCs w:val="25"/>
        </w:rPr>
        <w:footnoteReference w:id="5"/>
      </w:r>
      <w:r w:rsidRPr="007E0572">
        <w:rPr>
          <w:rFonts w:ascii="Aptos" w:hAnsi="Aptos"/>
          <w:sz w:val="25"/>
          <w:szCs w:val="25"/>
        </w:rPr>
        <w:t xml:space="preserve">; </w:t>
      </w:r>
    </w:p>
    <w:p w14:paraId="4A0E9095" w14:textId="3E13CEB2" w:rsidR="00F4022E" w:rsidRPr="005B2F9F" w:rsidRDefault="00F4022E" w:rsidP="00F4022E">
      <w:pPr>
        <w:pStyle w:val="ListParagraph"/>
        <w:numPr>
          <w:ilvl w:val="0"/>
          <w:numId w:val="4"/>
        </w:numPr>
        <w:spacing w:after="0" w:line="240" w:lineRule="auto"/>
        <w:rPr>
          <w:rFonts w:ascii="Aptos" w:hAnsi="Aptos"/>
          <w:sz w:val="25"/>
          <w:szCs w:val="25"/>
        </w:rPr>
      </w:pPr>
      <w:r w:rsidRPr="005B2F9F">
        <w:rPr>
          <w:rFonts w:ascii="Aptos" w:hAnsi="Aptos"/>
          <w:sz w:val="25"/>
          <w:szCs w:val="25"/>
        </w:rPr>
        <w:t>On September 24, 2024, Parent was advised that Student was “making violent drawings, talking about digging a grave for his mother, and contacting a student he was told not to”</w:t>
      </w:r>
      <w:r w:rsidR="005B2F9F" w:rsidRPr="005B2F9F">
        <w:rPr>
          <w:rFonts w:ascii="Aptos" w:hAnsi="Aptos"/>
          <w:sz w:val="25"/>
          <w:szCs w:val="25"/>
        </w:rPr>
        <w:t xml:space="preserve">.  This incident </w:t>
      </w:r>
      <w:r w:rsidRPr="005B2F9F">
        <w:rPr>
          <w:rFonts w:ascii="Aptos" w:hAnsi="Aptos"/>
          <w:sz w:val="25"/>
          <w:szCs w:val="25"/>
        </w:rPr>
        <w:t>led to Student’s hospitalization</w:t>
      </w:r>
      <w:r w:rsidR="003C3DF6">
        <w:rPr>
          <w:rFonts w:ascii="Aptos" w:hAnsi="Aptos"/>
          <w:sz w:val="25"/>
          <w:szCs w:val="25"/>
        </w:rPr>
        <w:t>,</w:t>
      </w:r>
      <w:r w:rsidRPr="005B2F9F">
        <w:rPr>
          <w:rFonts w:ascii="Aptos" w:hAnsi="Aptos"/>
          <w:sz w:val="25"/>
          <w:szCs w:val="25"/>
        </w:rPr>
        <w:t xml:space="preserve"> required Parent to call the police and involved Student “throwing objects, breaking a large picture window in the kitchen, and hitting, kicking, punching and throwing objects at her” while his in-home-therapist was present; </w:t>
      </w:r>
    </w:p>
    <w:p w14:paraId="7E15AEA4" w14:textId="2A5E91EF" w:rsidR="005C0425" w:rsidRPr="007E0572" w:rsidRDefault="005C0425" w:rsidP="00F4022E">
      <w:pPr>
        <w:pStyle w:val="ListParagraph"/>
        <w:numPr>
          <w:ilvl w:val="0"/>
          <w:numId w:val="4"/>
        </w:numPr>
        <w:spacing w:after="0" w:line="240" w:lineRule="auto"/>
        <w:rPr>
          <w:rFonts w:ascii="Aptos" w:hAnsi="Aptos"/>
          <w:sz w:val="25"/>
          <w:szCs w:val="25"/>
        </w:rPr>
      </w:pPr>
      <w:r w:rsidRPr="007E0572">
        <w:rPr>
          <w:rFonts w:ascii="Aptos" w:hAnsi="Aptos"/>
          <w:sz w:val="25"/>
          <w:szCs w:val="25"/>
        </w:rPr>
        <w:t xml:space="preserve">On October 19, 2024 Student was taken back to the emergency room </w:t>
      </w:r>
      <w:r w:rsidR="000445B4">
        <w:rPr>
          <w:rFonts w:ascii="Aptos" w:hAnsi="Aptos"/>
          <w:sz w:val="25"/>
          <w:szCs w:val="25"/>
        </w:rPr>
        <w:t>resulting</w:t>
      </w:r>
      <w:r w:rsidR="00E55967" w:rsidRPr="007E0572">
        <w:rPr>
          <w:rFonts w:ascii="Aptos" w:hAnsi="Aptos"/>
          <w:sz w:val="25"/>
          <w:szCs w:val="25"/>
        </w:rPr>
        <w:t xml:space="preserve"> in another hospitalization </w:t>
      </w:r>
      <w:r w:rsidR="00AF2103" w:rsidRPr="007E0572">
        <w:rPr>
          <w:rFonts w:ascii="Aptos" w:hAnsi="Aptos"/>
          <w:sz w:val="25"/>
          <w:szCs w:val="25"/>
        </w:rPr>
        <w:t>between October 21, 2024 and October 30, 2024 for behavioral dysregulation and attempted medication overdoses;</w:t>
      </w:r>
    </w:p>
    <w:p w14:paraId="2BCD80AB" w14:textId="18ED5157" w:rsidR="00F4022E" w:rsidRPr="007E0572" w:rsidRDefault="005B5452" w:rsidP="00F4022E">
      <w:pPr>
        <w:pStyle w:val="ListParagraph"/>
        <w:numPr>
          <w:ilvl w:val="0"/>
          <w:numId w:val="4"/>
        </w:numPr>
        <w:spacing w:after="0" w:line="240" w:lineRule="auto"/>
        <w:rPr>
          <w:rFonts w:ascii="Aptos" w:hAnsi="Aptos"/>
          <w:sz w:val="25"/>
          <w:szCs w:val="25"/>
        </w:rPr>
      </w:pPr>
      <w:r>
        <w:rPr>
          <w:rFonts w:ascii="Aptos" w:hAnsi="Aptos"/>
          <w:sz w:val="25"/>
          <w:szCs w:val="25"/>
        </w:rPr>
        <w:t xml:space="preserve">On </w:t>
      </w:r>
      <w:r w:rsidR="00F4022E" w:rsidRPr="007E0572">
        <w:rPr>
          <w:rFonts w:ascii="Aptos" w:hAnsi="Aptos"/>
          <w:sz w:val="25"/>
          <w:szCs w:val="25"/>
        </w:rPr>
        <w:t xml:space="preserve">November 19, 2024 Parent </w:t>
      </w:r>
      <w:r>
        <w:rPr>
          <w:rFonts w:ascii="Aptos" w:hAnsi="Aptos"/>
          <w:sz w:val="25"/>
          <w:szCs w:val="25"/>
        </w:rPr>
        <w:t xml:space="preserve">had </w:t>
      </w:r>
      <w:r w:rsidR="00F4022E" w:rsidRPr="007E0572">
        <w:rPr>
          <w:rFonts w:ascii="Aptos" w:hAnsi="Aptos"/>
          <w:sz w:val="25"/>
          <w:szCs w:val="25"/>
        </w:rPr>
        <w:t>to call the police due to Student’s homicidal ideation towards Parent and his in-home therapist</w:t>
      </w:r>
      <w:r w:rsidR="003C3DF6">
        <w:rPr>
          <w:rFonts w:ascii="Aptos" w:hAnsi="Aptos"/>
          <w:sz w:val="25"/>
          <w:szCs w:val="25"/>
        </w:rPr>
        <w:t>,</w:t>
      </w:r>
      <w:r w:rsidR="00BE2137">
        <w:rPr>
          <w:rFonts w:ascii="Aptos" w:hAnsi="Aptos"/>
          <w:sz w:val="25"/>
          <w:szCs w:val="25"/>
        </w:rPr>
        <w:t xml:space="preserve"> </w:t>
      </w:r>
      <w:r w:rsidR="006D12FF">
        <w:rPr>
          <w:rFonts w:ascii="Aptos" w:hAnsi="Aptos"/>
          <w:sz w:val="25"/>
          <w:szCs w:val="25"/>
        </w:rPr>
        <w:t>leading to another hospitalization</w:t>
      </w:r>
      <w:r w:rsidR="00F4022E" w:rsidRPr="007E0572">
        <w:rPr>
          <w:rFonts w:ascii="Aptos" w:hAnsi="Aptos"/>
          <w:sz w:val="25"/>
          <w:szCs w:val="25"/>
        </w:rPr>
        <w:t>.  Student had been prohibited from using his phone so he smashed open the plastic lockbox that held it with a hammer and proceeded to threaten Parent and his in-home therapist with that tool.  When Parent did not agree to pick Student up from the hospital, however, a 51A report was filed with DCF on November 22, 2024; and</w:t>
      </w:r>
    </w:p>
    <w:p w14:paraId="05CDE01D" w14:textId="7FC0C972" w:rsidR="00F4022E" w:rsidRPr="007E0572" w:rsidRDefault="006D12FF" w:rsidP="00F4022E">
      <w:pPr>
        <w:pStyle w:val="ListParagraph"/>
        <w:numPr>
          <w:ilvl w:val="0"/>
          <w:numId w:val="4"/>
        </w:numPr>
        <w:spacing w:after="0" w:line="240" w:lineRule="auto"/>
        <w:rPr>
          <w:rFonts w:ascii="Aptos" w:hAnsi="Aptos"/>
          <w:sz w:val="25"/>
          <w:szCs w:val="25"/>
        </w:rPr>
      </w:pPr>
      <w:r>
        <w:rPr>
          <w:rFonts w:ascii="Aptos" w:hAnsi="Aptos"/>
          <w:sz w:val="25"/>
          <w:szCs w:val="25"/>
        </w:rPr>
        <w:t xml:space="preserve">On </w:t>
      </w:r>
      <w:r w:rsidR="00F4022E" w:rsidRPr="007E0572">
        <w:rPr>
          <w:rFonts w:ascii="Aptos" w:hAnsi="Aptos"/>
          <w:sz w:val="25"/>
          <w:szCs w:val="25"/>
        </w:rPr>
        <w:t xml:space="preserve">December 20, 2024, </w:t>
      </w:r>
      <w:r>
        <w:rPr>
          <w:rFonts w:ascii="Aptos" w:hAnsi="Aptos"/>
          <w:sz w:val="25"/>
          <w:szCs w:val="25"/>
        </w:rPr>
        <w:t xml:space="preserve">Student was hospitalized after an </w:t>
      </w:r>
      <w:r w:rsidR="00F4022E" w:rsidRPr="007E0572">
        <w:rPr>
          <w:rFonts w:ascii="Aptos" w:hAnsi="Aptos"/>
          <w:sz w:val="25"/>
          <w:szCs w:val="25"/>
        </w:rPr>
        <w:t xml:space="preserve">incident </w:t>
      </w:r>
      <w:r>
        <w:rPr>
          <w:rFonts w:ascii="Aptos" w:hAnsi="Aptos"/>
          <w:sz w:val="25"/>
          <w:szCs w:val="25"/>
        </w:rPr>
        <w:t xml:space="preserve">involving </w:t>
      </w:r>
      <w:r w:rsidR="001C089C">
        <w:rPr>
          <w:rFonts w:ascii="Aptos" w:hAnsi="Aptos"/>
          <w:sz w:val="25"/>
          <w:szCs w:val="25"/>
        </w:rPr>
        <w:t>hi</w:t>
      </w:r>
      <w:r w:rsidR="003C3DF6">
        <w:rPr>
          <w:rFonts w:ascii="Aptos" w:hAnsi="Aptos"/>
          <w:sz w:val="25"/>
          <w:szCs w:val="25"/>
        </w:rPr>
        <w:t>s</w:t>
      </w:r>
      <w:r w:rsidR="00F4022E" w:rsidRPr="007E0572">
        <w:rPr>
          <w:rFonts w:ascii="Aptos" w:hAnsi="Aptos"/>
          <w:sz w:val="25"/>
          <w:szCs w:val="25"/>
        </w:rPr>
        <w:t xml:space="preserve"> hitting Parent with a shoe and punching her while driving.</w:t>
      </w:r>
      <w:r w:rsidR="001C089C">
        <w:rPr>
          <w:rFonts w:ascii="Aptos" w:hAnsi="Aptos"/>
          <w:sz w:val="25"/>
          <w:szCs w:val="25"/>
        </w:rPr>
        <w:t xml:space="preserve"> </w:t>
      </w:r>
      <w:r w:rsidR="00F4022E" w:rsidRPr="007E0572">
        <w:rPr>
          <w:rFonts w:ascii="Aptos" w:hAnsi="Aptos"/>
          <w:sz w:val="25"/>
          <w:szCs w:val="25"/>
        </w:rPr>
        <w:t>(</w:t>
      </w:r>
      <w:r w:rsidR="00F4022E" w:rsidRPr="007E0572">
        <w:rPr>
          <w:rFonts w:ascii="Aptos" w:hAnsi="Aptos"/>
          <w:i/>
          <w:iCs/>
          <w:sz w:val="25"/>
          <w:szCs w:val="25"/>
        </w:rPr>
        <w:t>Hearing Request</w:t>
      </w:r>
      <w:r w:rsidR="00F4022E" w:rsidRPr="007E0572">
        <w:rPr>
          <w:rFonts w:ascii="Aptos" w:hAnsi="Aptos"/>
          <w:sz w:val="25"/>
          <w:szCs w:val="25"/>
        </w:rPr>
        <w:t>).</w:t>
      </w:r>
    </w:p>
    <w:p w14:paraId="461B70A8" w14:textId="77777777" w:rsidR="00F4022E" w:rsidRPr="00924689" w:rsidRDefault="00F4022E" w:rsidP="00F4022E">
      <w:pPr>
        <w:pStyle w:val="ListParagraph"/>
        <w:spacing w:after="0" w:line="240" w:lineRule="auto"/>
        <w:ind w:left="1080"/>
        <w:rPr>
          <w:rFonts w:ascii="Aptos" w:hAnsi="Aptos"/>
          <w:sz w:val="25"/>
          <w:szCs w:val="25"/>
        </w:rPr>
      </w:pPr>
    </w:p>
    <w:p w14:paraId="06C0C963" w14:textId="25BC44E5" w:rsidR="004064D7" w:rsidRDefault="00F4022E" w:rsidP="00B214EE">
      <w:pPr>
        <w:pStyle w:val="ListParagraph"/>
        <w:numPr>
          <w:ilvl w:val="0"/>
          <w:numId w:val="2"/>
        </w:numPr>
        <w:spacing w:after="0" w:line="240" w:lineRule="auto"/>
        <w:rPr>
          <w:rFonts w:ascii="Aptos" w:hAnsi="Aptos"/>
          <w:sz w:val="25"/>
          <w:szCs w:val="25"/>
        </w:rPr>
      </w:pPr>
      <w:r>
        <w:rPr>
          <w:rFonts w:ascii="Aptos" w:hAnsi="Aptos"/>
          <w:sz w:val="25"/>
          <w:szCs w:val="25"/>
        </w:rPr>
        <w:t>Parent is currently undergoing radiation treatment for a brain tumor and takes blood thinners making head injuries particularly dangerous.  (</w:t>
      </w:r>
      <w:r>
        <w:rPr>
          <w:rFonts w:ascii="Aptos" w:hAnsi="Aptos"/>
          <w:i/>
          <w:iCs/>
          <w:sz w:val="25"/>
          <w:szCs w:val="25"/>
        </w:rPr>
        <w:t>Hearing Request</w:t>
      </w:r>
      <w:r>
        <w:rPr>
          <w:rFonts w:ascii="Aptos" w:hAnsi="Aptos"/>
          <w:sz w:val="25"/>
          <w:szCs w:val="25"/>
        </w:rPr>
        <w:t>).</w:t>
      </w:r>
    </w:p>
    <w:p w14:paraId="53BDE86D" w14:textId="77777777" w:rsidR="00B214EE" w:rsidRPr="00B214EE" w:rsidRDefault="00B214EE" w:rsidP="00B214EE">
      <w:pPr>
        <w:pStyle w:val="ListParagraph"/>
        <w:spacing w:after="0" w:line="240" w:lineRule="auto"/>
        <w:rPr>
          <w:rFonts w:ascii="Aptos" w:hAnsi="Aptos"/>
          <w:sz w:val="25"/>
          <w:szCs w:val="25"/>
        </w:rPr>
      </w:pPr>
    </w:p>
    <w:p w14:paraId="430CE56E" w14:textId="71974FEF" w:rsidR="00F4022E" w:rsidRPr="004064D7" w:rsidRDefault="00F4022E" w:rsidP="004064D7">
      <w:pPr>
        <w:pStyle w:val="ListParagraph"/>
        <w:numPr>
          <w:ilvl w:val="0"/>
          <w:numId w:val="2"/>
        </w:numPr>
        <w:spacing w:after="0" w:line="240" w:lineRule="auto"/>
        <w:rPr>
          <w:rFonts w:ascii="Aptos" w:hAnsi="Aptos"/>
          <w:sz w:val="25"/>
          <w:szCs w:val="25"/>
        </w:rPr>
      </w:pPr>
      <w:r w:rsidRPr="004064D7">
        <w:rPr>
          <w:rFonts w:ascii="Aptos" w:hAnsi="Aptos"/>
          <w:sz w:val="25"/>
          <w:szCs w:val="25"/>
        </w:rPr>
        <w:t>As a result of Student’s behavioral needs, Parent has received several written recommendations for Student’s placement in a residential program, includin</w:t>
      </w:r>
      <w:r w:rsidR="003040CA" w:rsidRPr="004064D7">
        <w:rPr>
          <w:rFonts w:ascii="Aptos" w:hAnsi="Aptos"/>
          <w:sz w:val="25"/>
          <w:szCs w:val="25"/>
        </w:rPr>
        <w:t>g a</w:t>
      </w:r>
      <w:r w:rsidRPr="004064D7">
        <w:rPr>
          <w:rFonts w:ascii="Aptos" w:hAnsi="Aptos"/>
          <w:sz w:val="25"/>
          <w:szCs w:val="25"/>
        </w:rPr>
        <w:t xml:space="preserve"> letter from Student’s pediatrician</w:t>
      </w:r>
      <w:r w:rsidR="00CD503D">
        <w:rPr>
          <w:rFonts w:ascii="Aptos" w:hAnsi="Aptos"/>
          <w:sz w:val="25"/>
          <w:szCs w:val="25"/>
        </w:rPr>
        <w:t>,</w:t>
      </w:r>
      <w:r w:rsidRPr="004064D7">
        <w:rPr>
          <w:rFonts w:ascii="Aptos" w:hAnsi="Aptos"/>
          <w:sz w:val="25"/>
          <w:szCs w:val="25"/>
        </w:rPr>
        <w:t xml:space="preserve"> dated November 25, 2024, </w:t>
      </w:r>
      <w:r w:rsidR="004064D7" w:rsidRPr="004064D7">
        <w:rPr>
          <w:rFonts w:ascii="Aptos" w:hAnsi="Aptos"/>
          <w:sz w:val="25"/>
          <w:szCs w:val="25"/>
        </w:rPr>
        <w:t xml:space="preserve">a </w:t>
      </w:r>
      <w:r w:rsidRPr="004064D7">
        <w:rPr>
          <w:rFonts w:ascii="Aptos" w:hAnsi="Aptos"/>
          <w:sz w:val="25"/>
          <w:szCs w:val="25"/>
        </w:rPr>
        <w:t xml:space="preserve">letter from an Ashland Police Officer written on behalf of Officers responding to 911 calls </w:t>
      </w:r>
      <w:r w:rsidR="00CD503D">
        <w:rPr>
          <w:rFonts w:ascii="Aptos" w:hAnsi="Aptos"/>
          <w:sz w:val="25"/>
          <w:szCs w:val="25"/>
        </w:rPr>
        <w:t xml:space="preserve">from </w:t>
      </w:r>
      <w:r w:rsidR="00CD503D">
        <w:rPr>
          <w:rFonts w:ascii="Aptos" w:hAnsi="Aptos"/>
          <w:sz w:val="25"/>
          <w:szCs w:val="25"/>
        </w:rPr>
        <w:lastRenderedPageBreak/>
        <w:t xml:space="preserve">Parent, </w:t>
      </w:r>
      <w:r w:rsidRPr="004064D7">
        <w:rPr>
          <w:rFonts w:ascii="Aptos" w:hAnsi="Aptos"/>
          <w:sz w:val="25"/>
          <w:szCs w:val="25"/>
        </w:rPr>
        <w:t>dated December 13, 2024, and</w:t>
      </w:r>
      <w:r w:rsidR="004064D7" w:rsidRPr="004064D7">
        <w:rPr>
          <w:rFonts w:ascii="Aptos" w:hAnsi="Aptos"/>
          <w:sz w:val="25"/>
          <w:szCs w:val="25"/>
        </w:rPr>
        <w:t xml:space="preserve"> a</w:t>
      </w:r>
      <w:r w:rsidRPr="004064D7">
        <w:rPr>
          <w:rFonts w:ascii="Aptos" w:hAnsi="Aptos"/>
          <w:sz w:val="25"/>
          <w:szCs w:val="25"/>
        </w:rPr>
        <w:t xml:space="preserve"> letter from a registered nurse</w:t>
      </w:r>
      <w:r w:rsidR="00CD503D">
        <w:rPr>
          <w:rFonts w:ascii="Aptos" w:hAnsi="Aptos"/>
          <w:sz w:val="25"/>
          <w:szCs w:val="25"/>
        </w:rPr>
        <w:t>,</w:t>
      </w:r>
      <w:r w:rsidRPr="004064D7">
        <w:rPr>
          <w:rFonts w:ascii="Aptos" w:hAnsi="Aptos"/>
          <w:sz w:val="25"/>
          <w:szCs w:val="25"/>
        </w:rPr>
        <w:t xml:space="preserve"> dated December 23, 2024.  (</w:t>
      </w:r>
      <w:r w:rsidRPr="004064D7">
        <w:rPr>
          <w:rFonts w:ascii="Aptos" w:hAnsi="Aptos"/>
          <w:i/>
          <w:iCs/>
          <w:sz w:val="25"/>
          <w:szCs w:val="25"/>
        </w:rPr>
        <w:t>Hearing Request</w:t>
      </w:r>
      <w:r w:rsidRPr="004064D7">
        <w:rPr>
          <w:rFonts w:ascii="Aptos" w:hAnsi="Aptos"/>
          <w:sz w:val="25"/>
          <w:szCs w:val="25"/>
        </w:rPr>
        <w:t xml:space="preserve">).  </w:t>
      </w:r>
    </w:p>
    <w:p w14:paraId="7075DB1B" w14:textId="77777777" w:rsidR="00F4022E" w:rsidRPr="0096347E" w:rsidRDefault="00F4022E" w:rsidP="0096347E">
      <w:pPr>
        <w:spacing w:after="0" w:line="240" w:lineRule="auto"/>
        <w:rPr>
          <w:rFonts w:ascii="Aptos" w:hAnsi="Aptos"/>
          <w:sz w:val="25"/>
          <w:szCs w:val="25"/>
        </w:rPr>
      </w:pPr>
    </w:p>
    <w:p w14:paraId="7463928B" w14:textId="29CEF6A9" w:rsidR="00F4022E" w:rsidRDefault="00F4022E" w:rsidP="00F4022E">
      <w:pPr>
        <w:pStyle w:val="ListParagraph"/>
        <w:numPr>
          <w:ilvl w:val="0"/>
          <w:numId w:val="2"/>
        </w:numPr>
        <w:spacing w:after="0" w:line="240" w:lineRule="auto"/>
        <w:rPr>
          <w:rFonts w:ascii="Aptos" w:hAnsi="Aptos"/>
          <w:sz w:val="25"/>
          <w:szCs w:val="25"/>
        </w:rPr>
      </w:pPr>
      <w:r w:rsidRPr="001372CD">
        <w:rPr>
          <w:rFonts w:ascii="Aptos" w:hAnsi="Aptos"/>
          <w:sz w:val="25"/>
          <w:szCs w:val="25"/>
        </w:rPr>
        <w:t xml:space="preserve">Student was placed at a Youth Community Crisis Stabilization </w:t>
      </w:r>
      <w:r w:rsidR="003357EC">
        <w:rPr>
          <w:rFonts w:ascii="Aptos" w:hAnsi="Aptos"/>
          <w:sz w:val="25"/>
          <w:szCs w:val="25"/>
        </w:rPr>
        <w:t xml:space="preserve">(YCCS) </w:t>
      </w:r>
      <w:r w:rsidRPr="001372CD">
        <w:rPr>
          <w:rFonts w:ascii="Aptos" w:hAnsi="Aptos"/>
          <w:sz w:val="25"/>
          <w:szCs w:val="25"/>
        </w:rPr>
        <w:t xml:space="preserve">program at Clifford Academy between November 25 and December 13, 2024.  </w:t>
      </w:r>
      <w:r w:rsidR="00FB47DF">
        <w:rPr>
          <w:rFonts w:ascii="Aptos" w:hAnsi="Aptos"/>
          <w:sz w:val="25"/>
          <w:szCs w:val="25"/>
        </w:rPr>
        <w:t xml:space="preserve">After </w:t>
      </w:r>
      <w:r w:rsidRPr="00D964A3">
        <w:rPr>
          <w:rFonts w:ascii="Aptos" w:hAnsi="Aptos"/>
          <w:sz w:val="25"/>
          <w:szCs w:val="25"/>
        </w:rPr>
        <w:t xml:space="preserve">discharge from </w:t>
      </w:r>
      <w:r w:rsidR="00BA35A5">
        <w:rPr>
          <w:rFonts w:ascii="Aptos" w:hAnsi="Aptos"/>
          <w:sz w:val="25"/>
          <w:szCs w:val="25"/>
        </w:rPr>
        <w:t xml:space="preserve">this </w:t>
      </w:r>
      <w:r w:rsidRPr="00D964A3">
        <w:rPr>
          <w:rFonts w:ascii="Aptos" w:hAnsi="Aptos"/>
          <w:sz w:val="25"/>
          <w:szCs w:val="25"/>
        </w:rPr>
        <w:t xml:space="preserve">program, </w:t>
      </w:r>
      <w:r w:rsidR="00FB47DF">
        <w:rPr>
          <w:rFonts w:ascii="Aptos" w:hAnsi="Aptos"/>
          <w:sz w:val="25"/>
          <w:szCs w:val="25"/>
        </w:rPr>
        <w:t xml:space="preserve">Student began </w:t>
      </w:r>
      <w:r>
        <w:rPr>
          <w:rFonts w:ascii="Aptos" w:hAnsi="Aptos"/>
          <w:sz w:val="25"/>
          <w:szCs w:val="25"/>
        </w:rPr>
        <w:t xml:space="preserve">spending </w:t>
      </w:r>
      <w:r w:rsidRPr="00D964A3">
        <w:rPr>
          <w:rFonts w:ascii="Aptos" w:hAnsi="Aptos"/>
          <w:sz w:val="25"/>
          <w:szCs w:val="25"/>
        </w:rPr>
        <w:t>three to four nights a week at a DMH respite bed run by Open Sky</w:t>
      </w:r>
      <w:r>
        <w:rPr>
          <w:rFonts w:ascii="Aptos" w:hAnsi="Aptos"/>
          <w:sz w:val="25"/>
          <w:szCs w:val="25"/>
        </w:rPr>
        <w:t>,</w:t>
      </w:r>
      <w:r w:rsidRPr="00D964A3">
        <w:rPr>
          <w:rFonts w:ascii="Aptos" w:hAnsi="Aptos"/>
          <w:sz w:val="25"/>
          <w:szCs w:val="25"/>
        </w:rPr>
        <w:t xml:space="preserve"> with his remaining time spent at home</w:t>
      </w:r>
      <w:r w:rsidR="00CD503D">
        <w:rPr>
          <w:rFonts w:ascii="Aptos" w:hAnsi="Aptos"/>
          <w:sz w:val="25"/>
          <w:szCs w:val="25"/>
        </w:rPr>
        <w:t>.  Currently</w:t>
      </w:r>
      <w:r w:rsidR="00FB47DF">
        <w:rPr>
          <w:rFonts w:ascii="Aptos" w:hAnsi="Aptos"/>
          <w:sz w:val="25"/>
          <w:szCs w:val="25"/>
        </w:rPr>
        <w:t>, Student is typically spending two nights per week at this respite facility</w:t>
      </w:r>
      <w:r w:rsidR="00394C15">
        <w:rPr>
          <w:rFonts w:ascii="Aptos" w:hAnsi="Aptos"/>
          <w:sz w:val="25"/>
          <w:szCs w:val="25"/>
        </w:rPr>
        <w:t xml:space="preserve">.  DMH advises that respite support </w:t>
      </w:r>
      <w:r w:rsidR="009F6381">
        <w:rPr>
          <w:rFonts w:ascii="Aptos" w:hAnsi="Aptos"/>
          <w:sz w:val="25"/>
          <w:szCs w:val="25"/>
        </w:rPr>
        <w:t xml:space="preserve">is </w:t>
      </w:r>
      <w:r w:rsidR="00394C15">
        <w:rPr>
          <w:rFonts w:ascii="Aptos" w:hAnsi="Aptos"/>
          <w:sz w:val="25"/>
          <w:szCs w:val="25"/>
        </w:rPr>
        <w:t>“more typically provided for just one two-night stay per month”</w:t>
      </w:r>
      <w:r w:rsidRPr="00D964A3">
        <w:rPr>
          <w:rFonts w:ascii="Aptos" w:hAnsi="Aptos"/>
          <w:sz w:val="25"/>
          <w:szCs w:val="25"/>
        </w:rPr>
        <w:t>.  (</w:t>
      </w:r>
      <w:r w:rsidRPr="00D964A3">
        <w:rPr>
          <w:rFonts w:ascii="Aptos" w:hAnsi="Aptos"/>
          <w:i/>
          <w:iCs/>
          <w:sz w:val="25"/>
          <w:szCs w:val="25"/>
        </w:rPr>
        <w:t>Hearing Request</w:t>
      </w:r>
      <w:r w:rsidRPr="00D964A3">
        <w:rPr>
          <w:rFonts w:ascii="Aptos" w:hAnsi="Aptos"/>
          <w:sz w:val="25"/>
          <w:szCs w:val="25"/>
        </w:rPr>
        <w:t xml:space="preserve">; </w:t>
      </w:r>
      <w:r w:rsidRPr="00D964A3">
        <w:rPr>
          <w:rFonts w:ascii="Aptos" w:hAnsi="Aptos"/>
          <w:i/>
          <w:iCs/>
          <w:sz w:val="25"/>
          <w:szCs w:val="25"/>
        </w:rPr>
        <w:t xml:space="preserve">DMH </w:t>
      </w:r>
      <w:r w:rsidR="007B7750">
        <w:rPr>
          <w:rFonts w:ascii="Aptos" w:hAnsi="Aptos"/>
          <w:i/>
          <w:iCs/>
          <w:sz w:val="25"/>
          <w:szCs w:val="25"/>
        </w:rPr>
        <w:t>Opposition</w:t>
      </w:r>
      <w:r w:rsidRPr="00D964A3">
        <w:rPr>
          <w:rFonts w:ascii="Aptos" w:hAnsi="Aptos"/>
          <w:sz w:val="25"/>
          <w:szCs w:val="25"/>
        </w:rPr>
        <w:t>).</w:t>
      </w:r>
    </w:p>
    <w:p w14:paraId="46CBEC81" w14:textId="77777777" w:rsidR="00B214EE" w:rsidRPr="00B214EE" w:rsidRDefault="00B214EE" w:rsidP="00B214EE">
      <w:pPr>
        <w:pStyle w:val="ListParagraph"/>
        <w:rPr>
          <w:rFonts w:ascii="Aptos" w:hAnsi="Aptos"/>
          <w:sz w:val="25"/>
          <w:szCs w:val="25"/>
        </w:rPr>
      </w:pPr>
    </w:p>
    <w:p w14:paraId="57A74341" w14:textId="46503DE7" w:rsidR="00B214EE" w:rsidRPr="002D69D2" w:rsidRDefault="00B214EE" w:rsidP="002D69D2">
      <w:pPr>
        <w:pStyle w:val="ListParagraph"/>
        <w:numPr>
          <w:ilvl w:val="0"/>
          <w:numId w:val="2"/>
        </w:numPr>
        <w:spacing w:after="0" w:line="240" w:lineRule="auto"/>
        <w:rPr>
          <w:rFonts w:ascii="Aptos" w:hAnsi="Aptos"/>
          <w:sz w:val="25"/>
          <w:szCs w:val="25"/>
        </w:rPr>
      </w:pPr>
      <w:r>
        <w:rPr>
          <w:rFonts w:ascii="Aptos" w:hAnsi="Aptos"/>
          <w:sz w:val="25"/>
          <w:szCs w:val="25"/>
        </w:rPr>
        <w:t>A school meeting was held at Clearway on October 21, 2024, wherein Clearway advised the family that they needed to look for another school placement.  The District sent out referral packets with Parent’s consent shortly thereafter.  In December 2024, Student was accepted at Perkins, and he started attending that program on January 6, 2024.  (</w:t>
      </w:r>
      <w:r>
        <w:rPr>
          <w:rFonts w:ascii="Aptos" w:hAnsi="Aptos"/>
          <w:i/>
          <w:iCs/>
          <w:sz w:val="25"/>
          <w:szCs w:val="25"/>
        </w:rPr>
        <w:t>Hearing Request</w:t>
      </w:r>
      <w:r>
        <w:rPr>
          <w:rFonts w:ascii="Aptos" w:hAnsi="Aptos"/>
          <w:sz w:val="25"/>
          <w:szCs w:val="25"/>
        </w:rPr>
        <w:t>).</w:t>
      </w:r>
    </w:p>
    <w:p w14:paraId="2AF9C287" w14:textId="77777777" w:rsidR="00F4022E" w:rsidRPr="001372CD" w:rsidRDefault="00F4022E" w:rsidP="00F4022E">
      <w:pPr>
        <w:pStyle w:val="ListParagraph"/>
        <w:rPr>
          <w:rFonts w:ascii="Aptos" w:hAnsi="Aptos"/>
          <w:sz w:val="25"/>
          <w:szCs w:val="25"/>
        </w:rPr>
      </w:pPr>
    </w:p>
    <w:p w14:paraId="3C1640A2" w14:textId="77320A68" w:rsidR="00F4022E" w:rsidRDefault="00F4022E" w:rsidP="00C71BE3">
      <w:pPr>
        <w:pStyle w:val="ListParagraph"/>
        <w:numPr>
          <w:ilvl w:val="0"/>
          <w:numId w:val="2"/>
        </w:numPr>
        <w:spacing w:after="0" w:line="240" w:lineRule="auto"/>
        <w:rPr>
          <w:rFonts w:ascii="Aptos" w:hAnsi="Aptos"/>
          <w:sz w:val="25"/>
          <w:szCs w:val="25"/>
        </w:rPr>
      </w:pPr>
      <w:r>
        <w:rPr>
          <w:rFonts w:ascii="Aptos" w:hAnsi="Aptos"/>
          <w:sz w:val="25"/>
          <w:szCs w:val="25"/>
        </w:rPr>
        <w:t xml:space="preserve">On December 10, 2024, upon Student’s </w:t>
      </w:r>
      <w:r w:rsidRPr="00C22001">
        <w:rPr>
          <w:rFonts w:ascii="Aptos" w:hAnsi="Aptos"/>
          <w:sz w:val="25"/>
          <w:szCs w:val="25"/>
        </w:rPr>
        <w:t>accept</w:t>
      </w:r>
      <w:r>
        <w:rPr>
          <w:rFonts w:ascii="Aptos" w:hAnsi="Aptos"/>
          <w:sz w:val="25"/>
          <w:szCs w:val="25"/>
        </w:rPr>
        <w:t>ance</w:t>
      </w:r>
      <w:r w:rsidRPr="00C22001">
        <w:rPr>
          <w:rFonts w:ascii="Aptos" w:hAnsi="Aptos"/>
          <w:sz w:val="25"/>
          <w:szCs w:val="25"/>
        </w:rPr>
        <w:t xml:space="preserve"> at Perkins</w:t>
      </w:r>
      <w:r>
        <w:rPr>
          <w:rFonts w:ascii="Aptos" w:hAnsi="Aptos"/>
          <w:sz w:val="25"/>
          <w:szCs w:val="25"/>
        </w:rPr>
        <w:t>,</w:t>
      </w:r>
      <w:r w:rsidRPr="00C22001">
        <w:rPr>
          <w:rFonts w:ascii="Aptos" w:hAnsi="Aptos"/>
          <w:sz w:val="25"/>
          <w:szCs w:val="25"/>
        </w:rPr>
        <w:t xml:space="preserve"> Parent asked DCF about voluntary services but was told to wait until </w:t>
      </w:r>
      <w:r w:rsidR="00CD503D">
        <w:rPr>
          <w:rFonts w:ascii="Aptos" w:hAnsi="Aptos"/>
          <w:sz w:val="25"/>
          <w:szCs w:val="25"/>
        </w:rPr>
        <w:t>a pending</w:t>
      </w:r>
      <w:r w:rsidRPr="00C22001">
        <w:rPr>
          <w:rFonts w:ascii="Aptos" w:hAnsi="Aptos"/>
          <w:sz w:val="25"/>
          <w:szCs w:val="25"/>
        </w:rPr>
        <w:t xml:space="preserve"> 51A investigation</w:t>
      </w:r>
      <w:r w:rsidR="00E60DA4">
        <w:rPr>
          <w:rFonts w:ascii="Aptos" w:hAnsi="Aptos"/>
          <w:sz w:val="25"/>
          <w:szCs w:val="25"/>
        </w:rPr>
        <w:t xml:space="preserve"> </w:t>
      </w:r>
      <w:r w:rsidRPr="00C22001">
        <w:rPr>
          <w:rFonts w:ascii="Aptos" w:hAnsi="Aptos"/>
          <w:sz w:val="25"/>
          <w:szCs w:val="25"/>
        </w:rPr>
        <w:t>was completed.  (</w:t>
      </w:r>
      <w:r w:rsidRPr="00C22001">
        <w:rPr>
          <w:rFonts w:ascii="Aptos" w:hAnsi="Aptos"/>
          <w:i/>
          <w:iCs/>
          <w:sz w:val="25"/>
          <w:szCs w:val="25"/>
        </w:rPr>
        <w:t>Hearing Request</w:t>
      </w:r>
      <w:r w:rsidRPr="00C22001">
        <w:rPr>
          <w:rFonts w:ascii="Aptos" w:hAnsi="Aptos"/>
          <w:sz w:val="25"/>
          <w:szCs w:val="25"/>
        </w:rPr>
        <w:t>).</w:t>
      </w:r>
    </w:p>
    <w:p w14:paraId="357A5C49" w14:textId="77777777" w:rsidR="00BA35A5" w:rsidRPr="00BA35A5" w:rsidRDefault="00BA35A5" w:rsidP="00BA35A5">
      <w:pPr>
        <w:spacing w:after="0" w:line="240" w:lineRule="auto"/>
        <w:rPr>
          <w:rFonts w:ascii="Aptos" w:hAnsi="Aptos"/>
          <w:sz w:val="25"/>
          <w:szCs w:val="25"/>
        </w:rPr>
      </w:pPr>
    </w:p>
    <w:p w14:paraId="3CBA5407" w14:textId="2C753B35" w:rsidR="00F4022E" w:rsidRDefault="00F237A7" w:rsidP="00F4022E">
      <w:pPr>
        <w:pStyle w:val="ListParagraph"/>
        <w:numPr>
          <w:ilvl w:val="0"/>
          <w:numId w:val="2"/>
        </w:numPr>
        <w:spacing w:after="0" w:line="240" w:lineRule="auto"/>
        <w:rPr>
          <w:rFonts w:ascii="Aptos" w:hAnsi="Aptos"/>
          <w:sz w:val="25"/>
          <w:szCs w:val="25"/>
        </w:rPr>
      </w:pPr>
      <w:r>
        <w:rPr>
          <w:rFonts w:ascii="Aptos" w:hAnsi="Aptos"/>
          <w:sz w:val="25"/>
          <w:szCs w:val="25"/>
        </w:rPr>
        <w:t>When Student first began</w:t>
      </w:r>
      <w:r w:rsidR="00F4022E">
        <w:rPr>
          <w:rFonts w:ascii="Aptos" w:hAnsi="Aptos"/>
          <w:sz w:val="25"/>
          <w:szCs w:val="25"/>
        </w:rPr>
        <w:t xml:space="preserve"> attending Perkins, </w:t>
      </w:r>
      <w:r>
        <w:rPr>
          <w:rFonts w:ascii="Aptos" w:hAnsi="Aptos"/>
          <w:sz w:val="25"/>
          <w:szCs w:val="25"/>
        </w:rPr>
        <w:t xml:space="preserve">his </w:t>
      </w:r>
      <w:r w:rsidR="00F4022E">
        <w:rPr>
          <w:rFonts w:ascii="Aptos" w:hAnsi="Aptos"/>
          <w:sz w:val="25"/>
          <w:szCs w:val="25"/>
        </w:rPr>
        <w:t>behavioral dysregulation require</w:t>
      </w:r>
      <w:r w:rsidR="004B68BF">
        <w:rPr>
          <w:rFonts w:ascii="Aptos" w:hAnsi="Aptos"/>
          <w:sz w:val="25"/>
          <w:szCs w:val="25"/>
        </w:rPr>
        <w:t>d</w:t>
      </w:r>
      <w:r w:rsidR="00F4022E">
        <w:rPr>
          <w:rFonts w:ascii="Aptos" w:hAnsi="Aptos"/>
          <w:sz w:val="25"/>
          <w:szCs w:val="25"/>
        </w:rPr>
        <w:t xml:space="preserve"> restraints multiple times a week.  </w:t>
      </w:r>
      <w:r w:rsidR="006851D0">
        <w:rPr>
          <w:rFonts w:ascii="Aptos" w:hAnsi="Aptos"/>
          <w:sz w:val="25"/>
          <w:szCs w:val="25"/>
        </w:rPr>
        <w:t>The</w:t>
      </w:r>
      <w:r w:rsidR="00F4022E">
        <w:rPr>
          <w:rFonts w:ascii="Aptos" w:hAnsi="Aptos"/>
          <w:sz w:val="25"/>
          <w:szCs w:val="25"/>
        </w:rPr>
        <w:t xml:space="preserve"> behaviors consist</w:t>
      </w:r>
      <w:r w:rsidR="004B68BF">
        <w:rPr>
          <w:rFonts w:ascii="Aptos" w:hAnsi="Aptos"/>
          <w:sz w:val="25"/>
          <w:szCs w:val="25"/>
        </w:rPr>
        <w:t>ed</w:t>
      </w:r>
      <w:r w:rsidR="00F4022E">
        <w:rPr>
          <w:rFonts w:ascii="Aptos" w:hAnsi="Aptos"/>
          <w:sz w:val="25"/>
          <w:szCs w:val="25"/>
        </w:rPr>
        <w:t xml:space="preserve"> of punching holes in walls to the point of self-injury, ripping baseboards from the wall and putting thumbtacks in his mouth and throwing them at staff. (</w:t>
      </w:r>
      <w:r w:rsidR="00F4022E">
        <w:rPr>
          <w:rFonts w:ascii="Aptos" w:hAnsi="Aptos"/>
          <w:i/>
          <w:iCs/>
          <w:sz w:val="25"/>
          <w:szCs w:val="25"/>
        </w:rPr>
        <w:t>Hearing Request</w:t>
      </w:r>
      <w:r w:rsidR="00F4022E">
        <w:rPr>
          <w:rFonts w:ascii="Aptos" w:hAnsi="Aptos"/>
          <w:sz w:val="25"/>
          <w:szCs w:val="25"/>
        </w:rPr>
        <w:t>).</w:t>
      </w:r>
    </w:p>
    <w:p w14:paraId="53366DD4" w14:textId="77777777" w:rsidR="00F4022E" w:rsidRPr="002D517C" w:rsidRDefault="00F4022E" w:rsidP="00F4022E">
      <w:pPr>
        <w:pStyle w:val="ListParagraph"/>
        <w:rPr>
          <w:rFonts w:ascii="Aptos" w:hAnsi="Aptos"/>
          <w:sz w:val="25"/>
          <w:szCs w:val="25"/>
        </w:rPr>
      </w:pPr>
    </w:p>
    <w:p w14:paraId="6A203D52" w14:textId="2FC89ECD" w:rsidR="00F4022E" w:rsidRDefault="00F4022E" w:rsidP="00F4022E">
      <w:pPr>
        <w:pStyle w:val="ListParagraph"/>
        <w:numPr>
          <w:ilvl w:val="0"/>
          <w:numId w:val="2"/>
        </w:numPr>
        <w:spacing w:after="0" w:line="240" w:lineRule="auto"/>
        <w:rPr>
          <w:rFonts w:ascii="Aptos" w:hAnsi="Aptos"/>
          <w:sz w:val="25"/>
          <w:szCs w:val="25"/>
        </w:rPr>
      </w:pPr>
      <w:r>
        <w:rPr>
          <w:rFonts w:ascii="Aptos" w:hAnsi="Aptos"/>
          <w:sz w:val="25"/>
          <w:szCs w:val="25"/>
        </w:rPr>
        <w:t>During January 2025, Student</w:t>
      </w:r>
      <w:r w:rsidR="00241BC7">
        <w:rPr>
          <w:rFonts w:ascii="Aptos" w:hAnsi="Aptos"/>
          <w:sz w:val="25"/>
          <w:szCs w:val="25"/>
        </w:rPr>
        <w:t xml:space="preserve"> had further</w:t>
      </w:r>
      <w:r>
        <w:rPr>
          <w:rFonts w:ascii="Aptos" w:hAnsi="Aptos"/>
          <w:sz w:val="25"/>
          <w:szCs w:val="25"/>
        </w:rPr>
        <w:t xml:space="preserve"> behavioral incidents at home </w:t>
      </w:r>
      <w:r w:rsidR="00241BC7">
        <w:rPr>
          <w:rFonts w:ascii="Aptos" w:hAnsi="Aptos"/>
          <w:sz w:val="25"/>
          <w:szCs w:val="25"/>
        </w:rPr>
        <w:t xml:space="preserve">that </w:t>
      </w:r>
      <w:r>
        <w:rPr>
          <w:rFonts w:ascii="Aptos" w:hAnsi="Aptos"/>
          <w:sz w:val="25"/>
          <w:szCs w:val="25"/>
        </w:rPr>
        <w:t>involved attacking the family animals, including putting the cat in a trash bag and trying to smother it, throwing things at Parent and the cat, and putting a blanket over Parent’s head to try to strangle and smother her.  A DCF Social Worker was present for at least one of the situations.  Student was also hospitalized at least once that month.  (</w:t>
      </w:r>
      <w:r>
        <w:rPr>
          <w:rFonts w:ascii="Aptos" w:hAnsi="Aptos"/>
          <w:i/>
          <w:iCs/>
          <w:sz w:val="25"/>
          <w:szCs w:val="25"/>
        </w:rPr>
        <w:t>Hearing Request</w:t>
      </w:r>
      <w:r>
        <w:rPr>
          <w:rFonts w:ascii="Aptos" w:hAnsi="Aptos"/>
          <w:sz w:val="25"/>
          <w:szCs w:val="25"/>
        </w:rPr>
        <w:t>).</w:t>
      </w:r>
    </w:p>
    <w:p w14:paraId="71DD74C9" w14:textId="77777777" w:rsidR="00F4022E" w:rsidRPr="002B27ED" w:rsidRDefault="00F4022E" w:rsidP="00F4022E">
      <w:pPr>
        <w:pStyle w:val="ListParagraph"/>
        <w:rPr>
          <w:rFonts w:ascii="Aptos" w:hAnsi="Aptos"/>
          <w:sz w:val="25"/>
          <w:szCs w:val="25"/>
        </w:rPr>
      </w:pPr>
    </w:p>
    <w:p w14:paraId="6D797C41" w14:textId="48EE6E54" w:rsidR="00231462" w:rsidRDefault="00F4022E" w:rsidP="000D01AC">
      <w:pPr>
        <w:pStyle w:val="ListParagraph"/>
        <w:numPr>
          <w:ilvl w:val="0"/>
          <w:numId w:val="2"/>
        </w:numPr>
        <w:spacing w:after="0" w:line="240" w:lineRule="auto"/>
        <w:rPr>
          <w:rFonts w:ascii="Aptos" w:hAnsi="Aptos"/>
          <w:sz w:val="25"/>
          <w:szCs w:val="25"/>
        </w:rPr>
      </w:pPr>
      <w:r>
        <w:rPr>
          <w:rFonts w:ascii="Aptos" w:hAnsi="Aptos"/>
          <w:sz w:val="25"/>
          <w:szCs w:val="25"/>
        </w:rPr>
        <w:t xml:space="preserve">On February 6, 2025, the police were called to Open Sky due to </w:t>
      </w:r>
      <w:r w:rsidR="00596E23">
        <w:rPr>
          <w:rFonts w:ascii="Aptos" w:hAnsi="Aptos"/>
          <w:sz w:val="25"/>
          <w:szCs w:val="25"/>
        </w:rPr>
        <w:t xml:space="preserve">Student’s </w:t>
      </w:r>
      <w:r>
        <w:rPr>
          <w:rFonts w:ascii="Aptos" w:hAnsi="Aptos"/>
          <w:sz w:val="25"/>
          <w:szCs w:val="25"/>
        </w:rPr>
        <w:t xml:space="preserve">interactions with another youth.  Student </w:t>
      </w:r>
      <w:r w:rsidR="00147CA1">
        <w:rPr>
          <w:rFonts w:ascii="Aptos" w:hAnsi="Aptos"/>
          <w:sz w:val="25"/>
          <w:szCs w:val="25"/>
        </w:rPr>
        <w:t xml:space="preserve">was </w:t>
      </w:r>
      <w:r>
        <w:rPr>
          <w:rFonts w:ascii="Aptos" w:hAnsi="Aptos"/>
          <w:sz w:val="25"/>
          <w:szCs w:val="25"/>
        </w:rPr>
        <w:t xml:space="preserve">punching holes in the walls and had to be restrained for </w:t>
      </w:r>
      <w:r w:rsidR="00CD503D">
        <w:rPr>
          <w:rFonts w:ascii="Aptos" w:hAnsi="Aptos"/>
          <w:sz w:val="25"/>
          <w:szCs w:val="25"/>
        </w:rPr>
        <w:t xml:space="preserve">five </w:t>
      </w:r>
      <w:r>
        <w:rPr>
          <w:rFonts w:ascii="Aptos" w:hAnsi="Aptos"/>
          <w:sz w:val="25"/>
          <w:szCs w:val="25"/>
        </w:rPr>
        <w:t>minutes.  The police were able to de-escalate the situation preventing Student from having to be hospitalized.  (</w:t>
      </w:r>
      <w:r>
        <w:rPr>
          <w:rFonts w:ascii="Aptos" w:hAnsi="Aptos"/>
          <w:i/>
          <w:iCs/>
          <w:sz w:val="25"/>
          <w:szCs w:val="25"/>
        </w:rPr>
        <w:t>Hearing Request</w:t>
      </w:r>
      <w:r>
        <w:rPr>
          <w:rFonts w:ascii="Aptos" w:hAnsi="Aptos"/>
          <w:sz w:val="25"/>
          <w:szCs w:val="25"/>
        </w:rPr>
        <w:t>).</w:t>
      </w:r>
    </w:p>
    <w:p w14:paraId="0FB396F1" w14:textId="77777777" w:rsidR="000D01AC" w:rsidRPr="000D01AC" w:rsidRDefault="000D01AC" w:rsidP="000D01AC">
      <w:pPr>
        <w:spacing w:after="0" w:line="240" w:lineRule="auto"/>
        <w:rPr>
          <w:rFonts w:ascii="Aptos" w:hAnsi="Aptos"/>
          <w:sz w:val="25"/>
          <w:szCs w:val="25"/>
        </w:rPr>
      </w:pPr>
    </w:p>
    <w:p w14:paraId="7F3348B6" w14:textId="443289A1" w:rsidR="00231462" w:rsidRDefault="000D01AC" w:rsidP="00F4022E">
      <w:pPr>
        <w:pStyle w:val="ListParagraph"/>
        <w:numPr>
          <w:ilvl w:val="0"/>
          <w:numId w:val="2"/>
        </w:numPr>
        <w:spacing w:after="0" w:line="240" w:lineRule="auto"/>
        <w:rPr>
          <w:rFonts w:ascii="Aptos" w:hAnsi="Aptos"/>
          <w:sz w:val="25"/>
          <w:szCs w:val="25"/>
        </w:rPr>
      </w:pPr>
      <w:r>
        <w:rPr>
          <w:rFonts w:ascii="Aptos" w:hAnsi="Aptos"/>
          <w:sz w:val="25"/>
          <w:szCs w:val="25"/>
        </w:rPr>
        <w:t xml:space="preserve"> On February 14, 2025, four days after filing the </w:t>
      </w:r>
      <w:r>
        <w:rPr>
          <w:rFonts w:ascii="Aptos" w:hAnsi="Aptos"/>
          <w:i/>
          <w:iCs/>
          <w:sz w:val="25"/>
          <w:szCs w:val="25"/>
        </w:rPr>
        <w:t xml:space="preserve">Hearing Request </w:t>
      </w:r>
      <w:r>
        <w:rPr>
          <w:rFonts w:ascii="Aptos" w:hAnsi="Aptos"/>
          <w:sz w:val="25"/>
          <w:szCs w:val="25"/>
        </w:rPr>
        <w:t xml:space="preserve">in the Prior Matter, Student was </w:t>
      </w:r>
      <w:r w:rsidR="0013514D">
        <w:rPr>
          <w:rFonts w:ascii="Aptos" w:hAnsi="Aptos"/>
          <w:sz w:val="25"/>
          <w:szCs w:val="25"/>
        </w:rPr>
        <w:t xml:space="preserve">taken to a local hospital after attacking Mother, throwing </w:t>
      </w:r>
      <w:r w:rsidR="0013514D">
        <w:rPr>
          <w:rFonts w:ascii="Aptos" w:hAnsi="Aptos"/>
          <w:sz w:val="25"/>
          <w:szCs w:val="25"/>
        </w:rPr>
        <w:lastRenderedPageBreak/>
        <w:t xml:space="preserve">objects and spraying hand sanitizer at her.  He was ultimately hospitalized </w:t>
      </w:r>
      <w:r w:rsidR="001B30C7">
        <w:rPr>
          <w:rFonts w:ascii="Aptos" w:hAnsi="Aptos"/>
          <w:sz w:val="25"/>
          <w:szCs w:val="25"/>
        </w:rPr>
        <w:t>from February 17 to February 24, 2025.</w:t>
      </w:r>
      <w:r w:rsidR="00840600">
        <w:rPr>
          <w:rFonts w:ascii="Aptos" w:hAnsi="Aptos"/>
          <w:sz w:val="25"/>
          <w:szCs w:val="25"/>
        </w:rPr>
        <w:t xml:space="preserve">  (</w:t>
      </w:r>
      <w:r w:rsidR="00840600">
        <w:rPr>
          <w:rFonts w:ascii="Aptos" w:hAnsi="Aptos"/>
          <w:i/>
          <w:iCs/>
          <w:sz w:val="25"/>
          <w:szCs w:val="25"/>
        </w:rPr>
        <w:t>Hearing Request</w:t>
      </w:r>
      <w:r w:rsidR="00840600">
        <w:rPr>
          <w:rFonts w:ascii="Aptos" w:hAnsi="Aptos"/>
          <w:sz w:val="25"/>
          <w:szCs w:val="25"/>
        </w:rPr>
        <w:t>).</w:t>
      </w:r>
    </w:p>
    <w:p w14:paraId="5F4A8491" w14:textId="77777777" w:rsidR="001B30C7" w:rsidRPr="001B30C7" w:rsidRDefault="001B30C7" w:rsidP="001B30C7">
      <w:pPr>
        <w:pStyle w:val="ListParagraph"/>
        <w:rPr>
          <w:rFonts w:ascii="Aptos" w:hAnsi="Aptos"/>
          <w:sz w:val="25"/>
          <w:szCs w:val="25"/>
        </w:rPr>
      </w:pPr>
    </w:p>
    <w:p w14:paraId="2E49C655" w14:textId="5EB7D647" w:rsidR="001B30C7" w:rsidRDefault="004B3D50" w:rsidP="00F4022E">
      <w:pPr>
        <w:pStyle w:val="ListParagraph"/>
        <w:numPr>
          <w:ilvl w:val="0"/>
          <w:numId w:val="2"/>
        </w:numPr>
        <w:spacing w:after="0" w:line="240" w:lineRule="auto"/>
        <w:rPr>
          <w:rFonts w:ascii="Aptos" w:hAnsi="Aptos"/>
          <w:sz w:val="25"/>
          <w:szCs w:val="25"/>
        </w:rPr>
      </w:pPr>
      <w:r>
        <w:rPr>
          <w:rFonts w:ascii="Aptos" w:hAnsi="Aptos"/>
          <w:sz w:val="25"/>
          <w:szCs w:val="25"/>
        </w:rPr>
        <w:t xml:space="preserve">In March 2025, Student had </w:t>
      </w:r>
      <w:r w:rsidR="00B5302A">
        <w:rPr>
          <w:rFonts w:ascii="Aptos" w:hAnsi="Aptos"/>
          <w:sz w:val="25"/>
          <w:szCs w:val="25"/>
        </w:rPr>
        <w:t xml:space="preserve">four </w:t>
      </w:r>
      <w:r w:rsidR="00134C00">
        <w:rPr>
          <w:rFonts w:ascii="Aptos" w:hAnsi="Aptos"/>
          <w:sz w:val="25"/>
          <w:szCs w:val="25"/>
        </w:rPr>
        <w:t xml:space="preserve">behavioral incidents </w:t>
      </w:r>
      <w:r w:rsidR="00AB285C">
        <w:rPr>
          <w:rFonts w:ascii="Aptos" w:hAnsi="Aptos"/>
          <w:sz w:val="25"/>
          <w:szCs w:val="25"/>
        </w:rPr>
        <w:t>in</w:t>
      </w:r>
      <w:r w:rsidR="00B5302A">
        <w:rPr>
          <w:rFonts w:ascii="Aptos" w:hAnsi="Aptos"/>
          <w:sz w:val="25"/>
          <w:szCs w:val="25"/>
        </w:rPr>
        <w:t xml:space="preserve"> </w:t>
      </w:r>
      <w:r w:rsidR="00134C00">
        <w:rPr>
          <w:rFonts w:ascii="Aptos" w:hAnsi="Aptos"/>
          <w:sz w:val="25"/>
          <w:szCs w:val="25"/>
        </w:rPr>
        <w:t>respite care as follows:</w:t>
      </w:r>
    </w:p>
    <w:p w14:paraId="7F5166B2" w14:textId="77777777" w:rsidR="005D0D5B" w:rsidRPr="005D0D5B" w:rsidRDefault="005D0D5B" w:rsidP="00BA35A5">
      <w:pPr>
        <w:pStyle w:val="ListParagraph"/>
        <w:spacing w:after="0"/>
        <w:rPr>
          <w:rFonts w:ascii="Aptos" w:hAnsi="Aptos"/>
          <w:sz w:val="25"/>
          <w:szCs w:val="25"/>
        </w:rPr>
      </w:pPr>
    </w:p>
    <w:p w14:paraId="7DF6C786" w14:textId="7E0B641A" w:rsidR="005D0D5B" w:rsidRDefault="005D0D5B" w:rsidP="005D0D5B">
      <w:pPr>
        <w:pStyle w:val="ListParagraph"/>
        <w:numPr>
          <w:ilvl w:val="1"/>
          <w:numId w:val="2"/>
        </w:numPr>
        <w:spacing w:after="0" w:line="240" w:lineRule="auto"/>
        <w:rPr>
          <w:rFonts w:ascii="Aptos" w:hAnsi="Aptos"/>
          <w:sz w:val="25"/>
          <w:szCs w:val="25"/>
        </w:rPr>
      </w:pPr>
      <w:r>
        <w:rPr>
          <w:rFonts w:ascii="Aptos" w:hAnsi="Aptos"/>
          <w:sz w:val="25"/>
          <w:szCs w:val="25"/>
        </w:rPr>
        <w:t>On March 17, 2025 Student flipped furniture, tried to access potential weapons like a fire extinguisher and cleaning supplies, accessed a cable and started to whip it at staff</w:t>
      </w:r>
      <w:r w:rsidR="001639B1">
        <w:rPr>
          <w:rFonts w:ascii="Aptos" w:hAnsi="Aptos"/>
          <w:sz w:val="25"/>
          <w:szCs w:val="25"/>
        </w:rPr>
        <w:t xml:space="preserve">, </w:t>
      </w:r>
      <w:r w:rsidR="000950A7">
        <w:rPr>
          <w:rFonts w:ascii="Aptos" w:hAnsi="Aptos"/>
          <w:sz w:val="25"/>
          <w:szCs w:val="25"/>
        </w:rPr>
        <w:t xml:space="preserve">and </w:t>
      </w:r>
      <w:r w:rsidR="001639B1">
        <w:rPr>
          <w:rFonts w:ascii="Aptos" w:hAnsi="Aptos"/>
          <w:sz w:val="25"/>
          <w:szCs w:val="25"/>
        </w:rPr>
        <w:t>attempted to escape two</w:t>
      </w:r>
      <w:r w:rsidR="00950CDC">
        <w:rPr>
          <w:rFonts w:ascii="Aptos" w:hAnsi="Aptos"/>
          <w:sz w:val="25"/>
          <w:szCs w:val="25"/>
        </w:rPr>
        <w:t xml:space="preserve"> staff</w:t>
      </w:r>
      <w:r w:rsidR="001639B1">
        <w:rPr>
          <w:rFonts w:ascii="Aptos" w:hAnsi="Aptos"/>
          <w:sz w:val="25"/>
          <w:szCs w:val="25"/>
        </w:rPr>
        <w:t xml:space="preserve"> restraints </w:t>
      </w:r>
      <w:r w:rsidR="000950A7">
        <w:rPr>
          <w:rFonts w:ascii="Aptos" w:hAnsi="Aptos"/>
          <w:sz w:val="25"/>
          <w:szCs w:val="25"/>
        </w:rPr>
        <w:t>through kicking and headbutting;</w:t>
      </w:r>
    </w:p>
    <w:p w14:paraId="5CE56121" w14:textId="1A0ED28F" w:rsidR="000950A7" w:rsidRDefault="000950A7" w:rsidP="005D0D5B">
      <w:pPr>
        <w:pStyle w:val="ListParagraph"/>
        <w:numPr>
          <w:ilvl w:val="1"/>
          <w:numId w:val="2"/>
        </w:numPr>
        <w:spacing w:after="0" w:line="240" w:lineRule="auto"/>
        <w:rPr>
          <w:rFonts w:ascii="Aptos" w:hAnsi="Aptos"/>
          <w:sz w:val="25"/>
          <w:szCs w:val="25"/>
        </w:rPr>
      </w:pPr>
      <w:r>
        <w:rPr>
          <w:rFonts w:ascii="Aptos" w:hAnsi="Aptos"/>
          <w:sz w:val="25"/>
          <w:szCs w:val="25"/>
        </w:rPr>
        <w:t>On March 18, 2025, Student threw items at staff resulting in a restraint;</w:t>
      </w:r>
    </w:p>
    <w:p w14:paraId="1B249123" w14:textId="01AF3739" w:rsidR="000950A7" w:rsidRDefault="000950A7" w:rsidP="005D0D5B">
      <w:pPr>
        <w:pStyle w:val="ListParagraph"/>
        <w:numPr>
          <w:ilvl w:val="1"/>
          <w:numId w:val="2"/>
        </w:numPr>
        <w:spacing w:after="0" w:line="240" w:lineRule="auto"/>
        <w:rPr>
          <w:rFonts w:ascii="Aptos" w:hAnsi="Aptos"/>
          <w:sz w:val="25"/>
          <w:szCs w:val="25"/>
        </w:rPr>
      </w:pPr>
      <w:r>
        <w:rPr>
          <w:rFonts w:ascii="Aptos" w:hAnsi="Aptos"/>
          <w:sz w:val="25"/>
          <w:szCs w:val="25"/>
        </w:rPr>
        <w:t xml:space="preserve">On March 24, 2025, Student flipped furniture, threw items </w:t>
      </w:r>
      <w:r w:rsidR="00B0318E">
        <w:rPr>
          <w:rFonts w:ascii="Aptos" w:hAnsi="Aptos"/>
          <w:sz w:val="25"/>
          <w:szCs w:val="25"/>
        </w:rPr>
        <w:t>and broke CDs and DVDs he was attempting to throw at staff; and</w:t>
      </w:r>
    </w:p>
    <w:p w14:paraId="4F355CDF" w14:textId="43425A70" w:rsidR="00B0318E" w:rsidRDefault="00B0318E" w:rsidP="005D0D5B">
      <w:pPr>
        <w:pStyle w:val="ListParagraph"/>
        <w:numPr>
          <w:ilvl w:val="1"/>
          <w:numId w:val="2"/>
        </w:numPr>
        <w:spacing w:after="0" w:line="240" w:lineRule="auto"/>
        <w:rPr>
          <w:rFonts w:ascii="Aptos" w:hAnsi="Aptos"/>
          <w:sz w:val="25"/>
          <w:szCs w:val="25"/>
        </w:rPr>
      </w:pPr>
      <w:r>
        <w:rPr>
          <w:rFonts w:ascii="Aptos" w:hAnsi="Aptos"/>
          <w:sz w:val="25"/>
          <w:szCs w:val="25"/>
        </w:rPr>
        <w:t xml:space="preserve">On March 31, 2025 </w:t>
      </w:r>
      <w:r w:rsidR="00E137DF">
        <w:rPr>
          <w:rFonts w:ascii="Aptos" w:hAnsi="Aptos"/>
          <w:sz w:val="25"/>
          <w:szCs w:val="25"/>
        </w:rPr>
        <w:t xml:space="preserve">crisis was called and Student was taken to the hospital </w:t>
      </w:r>
      <w:proofErr w:type="gramStart"/>
      <w:r w:rsidR="00E137DF">
        <w:rPr>
          <w:rFonts w:ascii="Aptos" w:hAnsi="Aptos"/>
          <w:sz w:val="25"/>
          <w:szCs w:val="25"/>
        </w:rPr>
        <w:t>as a result of</w:t>
      </w:r>
      <w:proofErr w:type="gramEnd"/>
      <w:r w:rsidR="00E137DF">
        <w:rPr>
          <w:rFonts w:ascii="Aptos" w:hAnsi="Aptos"/>
          <w:sz w:val="25"/>
          <w:szCs w:val="25"/>
        </w:rPr>
        <w:t xml:space="preserve"> </w:t>
      </w:r>
      <w:r>
        <w:rPr>
          <w:rFonts w:ascii="Aptos" w:hAnsi="Aptos"/>
          <w:sz w:val="25"/>
          <w:szCs w:val="25"/>
        </w:rPr>
        <w:t xml:space="preserve">escalating behaviors </w:t>
      </w:r>
      <w:r w:rsidR="00840600">
        <w:rPr>
          <w:rFonts w:ascii="Aptos" w:hAnsi="Aptos"/>
          <w:sz w:val="25"/>
          <w:szCs w:val="25"/>
        </w:rPr>
        <w:t>(</w:t>
      </w:r>
      <w:r w:rsidR="00840600">
        <w:rPr>
          <w:rFonts w:ascii="Aptos" w:hAnsi="Aptos"/>
          <w:i/>
          <w:iCs/>
          <w:sz w:val="25"/>
          <w:szCs w:val="25"/>
        </w:rPr>
        <w:t>Hearing Request</w:t>
      </w:r>
      <w:r w:rsidR="00840600">
        <w:rPr>
          <w:rFonts w:ascii="Aptos" w:hAnsi="Aptos"/>
          <w:sz w:val="25"/>
          <w:szCs w:val="25"/>
        </w:rPr>
        <w:t>).</w:t>
      </w:r>
    </w:p>
    <w:p w14:paraId="4FD31E4E" w14:textId="77777777" w:rsidR="00134C00" w:rsidRPr="00134C00" w:rsidRDefault="00134C00" w:rsidP="00134C00">
      <w:pPr>
        <w:pStyle w:val="ListParagraph"/>
        <w:rPr>
          <w:rFonts w:ascii="Aptos" w:hAnsi="Aptos"/>
          <w:sz w:val="25"/>
          <w:szCs w:val="25"/>
        </w:rPr>
      </w:pPr>
    </w:p>
    <w:p w14:paraId="68318BF5" w14:textId="5F7FC2F6" w:rsidR="00134C00" w:rsidRDefault="001C079C" w:rsidP="00F4022E">
      <w:pPr>
        <w:pStyle w:val="ListParagraph"/>
        <w:numPr>
          <w:ilvl w:val="0"/>
          <w:numId w:val="2"/>
        </w:numPr>
        <w:spacing w:after="0" w:line="240" w:lineRule="auto"/>
        <w:rPr>
          <w:rFonts w:ascii="Aptos" w:hAnsi="Aptos"/>
          <w:sz w:val="25"/>
          <w:szCs w:val="25"/>
        </w:rPr>
      </w:pPr>
      <w:r>
        <w:rPr>
          <w:rFonts w:ascii="Aptos" w:hAnsi="Aptos"/>
          <w:sz w:val="25"/>
          <w:szCs w:val="25"/>
        </w:rPr>
        <w:t>Student was in an inpatient facility from Apri</w:t>
      </w:r>
      <w:r w:rsidR="003357EC">
        <w:rPr>
          <w:rFonts w:ascii="Aptos" w:hAnsi="Aptos"/>
          <w:sz w:val="25"/>
          <w:szCs w:val="25"/>
        </w:rPr>
        <w:t xml:space="preserve">l 2, 2025 through April 30, 2025, whereupon he was discharged </w:t>
      </w:r>
      <w:r w:rsidR="00EB0BE3">
        <w:rPr>
          <w:rFonts w:ascii="Aptos" w:hAnsi="Aptos"/>
          <w:sz w:val="25"/>
          <w:szCs w:val="25"/>
        </w:rPr>
        <w:t xml:space="preserve">and returned </w:t>
      </w:r>
      <w:r w:rsidR="003357EC">
        <w:rPr>
          <w:rFonts w:ascii="Aptos" w:hAnsi="Aptos"/>
          <w:sz w:val="25"/>
          <w:szCs w:val="25"/>
        </w:rPr>
        <w:t>to YCCS.</w:t>
      </w:r>
      <w:r w:rsidR="00840600">
        <w:rPr>
          <w:rFonts w:ascii="Aptos" w:hAnsi="Aptos"/>
          <w:sz w:val="25"/>
          <w:szCs w:val="25"/>
        </w:rPr>
        <w:t xml:space="preserve">  (</w:t>
      </w:r>
      <w:r w:rsidR="00840600">
        <w:rPr>
          <w:rFonts w:ascii="Aptos" w:hAnsi="Aptos"/>
          <w:i/>
          <w:iCs/>
          <w:sz w:val="25"/>
          <w:szCs w:val="25"/>
        </w:rPr>
        <w:t>Hearing Request</w:t>
      </w:r>
      <w:r w:rsidR="00840600">
        <w:rPr>
          <w:rFonts w:ascii="Aptos" w:hAnsi="Aptos"/>
          <w:sz w:val="25"/>
          <w:szCs w:val="25"/>
        </w:rPr>
        <w:t>).</w:t>
      </w:r>
    </w:p>
    <w:p w14:paraId="68364734" w14:textId="6921F252" w:rsidR="003357EC" w:rsidRDefault="003357EC" w:rsidP="003357EC">
      <w:pPr>
        <w:pStyle w:val="ListParagraph"/>
        <w:spacing w:after="0" w:line="240" w:lineRule="auto"/>
        <w:rPr>
          <w:rFonts w:ascii="Aptos" w:hAnsi="Aptos"/>
          <w:sz w:val="25"/>
          <w:szCs w:val="25"/>
        </w:rPr>
      </w:pPr>
    </w:p>
    <w:p w14:paraId="19063507" w14:textId="2C8B70D0" w:rsidR="003357EC" w:rsidRDefault="00A82EFA" w:rsidP="00F4022E">
      <w:pPr>
        <w:pStyle w:val="ListParagraph"/>
        <w:numPr>
          <w:ilvl w:val="0"/>
          <w:numId w:val="2"/>
        </w:numPr>
        <w:spacing w:after="0" w:line="240" w:lineRule="auto"/>
        <w:rPr>
          <w:rFonts w:ascii="Aptos" w:hAnsi="Aptos"/>
          <w:sz w:val="25"/>
          <w:szCs w:val="25"/>
        </w:rPr>
      </w:pPr>
      <w:r>
        <w:rPr>
          <w:rFonts w:ascii="Aptos" w:hAnsi="Aptos"/>
          <w:sz w:val="25"/>
          <w:szCs w:val="25"/>
        </w:rPr>
        <w:t xml:space="preserve">In May and early June 2025, Student </w:t>
      </w:r>
      <w:r w:rsidR="002B3ABC">
        <w:rPr>
          <w:rFonts w:ascii="Aptos" w:hAnsi="Aptos"/>
          <w:sz w:val="25"/>
          <w:szCs w:val="25"/>
        </w:rPr>
        <w:t xml:space="preserve">had additional aggressive episodes </w:t>
      </w:r>
      <w:r w:rsidR="00E137DF">
        <w:rPr>
          <w:rFonts w:ascii="Aptos" w:hAnsi="Aptos"/>
          <w:sz w:val="25"/>
          <w:szCs w:val="25"/>
        </w:rPr>
        <w:t xml:space="preserve">in </w:t>
      </w:r>
      <w:r w:rsidR="002B3ABC">
        <w:rPr>
          <w:rFonts w:ascii="Aptos" w:hAnsi="Aptos"/>
          <w:sz w:val="25"/>
          <w:szCs w:val="25"/>
        </w:rPr>
        <w:t xml:space="preserve">respite care including destruction of property, </w:t>
      </w:r>
      <w:r w:rsidR="006776D2">
        <w:rPr>
          <w:rFonts w:ascii="Aptos" w:hAnsi="Aptos"/>
          <w:sz w:val="25"/>
          <w:szCs w:val="25"/>
        </w:rPr>
        <w:t xml:space="preserve">and </w:t>
      </w:r>
      <w:r w:rsidR="002B3ABC">
        <w:rPr>
          <w:rFonts w:ascii="Aptos" w:hAnsi="Aptos"/>
          <w:sz w:val="25"/>
          <w:szCs w:val="25"/>
        </w:rPr>
        <w:t>assault and leaving the program</w:t>
      </w:r>
      <w:r w:rsidR="00EB0BE3">
        <w:rPr>
          <w:rFonts w:ascii="Aptos" w:hAnsi="Aptos"/>
          <w:sz w:val="25"/>
          <w:szCs w:val="25"/>
        </w:rPr>
        <w:t>,</w:t>
      </w:r>
      <w:r w:rsidR="002B3ABC">
        <w:rPr>
          <w:rFonts w:ascii="Aptos" w:hAnsi="Aptos"/>
          <w:sz w:val="25"/>
          <w:szCs w:val="25"/>
        </w:rPr>
        <w:t xml:space="preserve"> </w:t>
      </w:r>
      <w:r w:rsidR="00840600">
        <w:rPr>
          <w:rFonts w:ascii="Aptos" w:hAnsi="Aptos"/>
          <w:sz w:val="25"/>
          <w:szCs w:val="25"/>
        </w:rPr>
        <w:t>resulting in a restraint on May 19, 2025</w:t>
      </w:r>
      <w:r w:rsidR="00840600">
        <w:rPr>
          <w:rStyle w:val="FootnoteReference"/>
          <w:rFonts w:ascii="Aptos" w:hAnsi="Aptos"/>
          <w:sz w:val="25"/>
          <w:szCs w:val="25"/>
        </w:rPr>
        <w:footnoteReference w:id="6"/>
      </w:r>
      <w:r w:rsidR="00840600">
        <w:rPr>
          <w:rFonts w:ascii="Aptos" w:hAnsi="Aptos"/>
          <w:sz w:val="25"/>
          <w:szCs w:val="25"/>
        </w:rPr>
        <w:t xml:space="preserve">; </w:t>
      </w:r>
      <w:r w:rsidR="006E25E1">
        <w:rPr>
          <w:rFonts w:ascii="Aptos" w:hAnsi="Aptos"/>
          <w:sz w:val="25"/>
          <w:szCs w:val="25"/>
        </w:rPr>
        <w:t xml:space="preserve">and </w:t>
      </w:r>
      <w:r w:rsidR="00E3503F">
        <w:rPr>
          <w:rFonts w:ascii="Aptos" w:hAnsi="Aptos"/>
          <w:sz w:val="25"/>
          <w:szCs w:val="25"/>
        </w:rPr>
        <w:t>destroying property</w:t>
      </w:r>
      <w:r w:rsidR="0030744B">
        <w:rPr>
          <w:rFonts w:ascii="Aptos" w:hAnsi="Aptos"/>
          <w:sz w:val="25"/>
          <w:szCs w:val="25"/>
        </w:rPr>
        <w:t xml:space="preserve"> (</w:t>
      </w:r>
      <w:r w:rsidR="00E3503F">
        <w:rPr>
          <w:rFonts w:ascii="Aptos" w:hAnsi="Aptos"/>
          <w:sz w:val="25"/>
          <w:szCs w:val="25"/>
        </w:rPr>
        <w:t>inclusive o</w:t>
      </w:r>
      <w:r w:rsidR="00650CF6">
        <w:rPr>
          <w:rFonts w:ascii="Aptos" w:hAnsi="Aptos"/>
          <w:sz w:val="25"/>
          <w:szCs w:val="25"/>
        </w:rPr>
        <w:t>f</w:t>
      </w:r>
      <w:r w:rsidR="00E3503F">
        <w:rPr>
          <w:rFonts w:ascii="Aptos" w:hAnsi="Aptos"/>
          <w:sz w:val="25"/>
          <w:szCs w:val="25"/>
        </w:rPr>
        <w:t xml:space="preserve"> kicking/breaking staircase spindles, attempting to break a banister, </w:t>
      </w:r>
      <w:r w:rsidR="00C079B3">
        <w:rPr>
          <w:rFonts w:ascii="Aptos" w:hAnsi="Aptos"/>
          <w:sz w:val="25"/>
          <w:szCs w:val="25"/>
        </w:rPr>
        <w:t>us</w:t>
      </w:r>
      <w:r w:rsidR="00E3503F">
        <w:rPr>
          <w:rFonts w:ascii="Aptos" w:hAnsi="Aptos"/>
          <w:sz w:val="25"/>
          <w:szCs w:val="25"/>
        </w:rPr>
        <w:t>ing the spindles as weapons to break an air conditioner, thermostat and two electrical outlet covers</w:t>
      </w:r>
      <w:r w:rsidR="00650CF6">
        <w:rPr>
          <w:rFonts w:ascii="Aptos" w:hAnsi="Aptos"/>
          <w:sz w:val="25"/>
          <w:szCs w:val="25"/>
        </w:rPr>
        <w:t>, and throwing a garbage can that ricocheted to hit him in the head</w:t>
      </w:r>
      <w:r w:rsidR="0030744B">
        <w:rPr>
          <w:rFonts w:ascii="Aptos" w:hAnsi="Aptos"/>
          <w:sz w:val="25"/>
          <w:szCs w:val="25"/>
        </w:rPr>
        <w:t>),</w:t>
      </w:r>
      <w:r w:rsidR="000E2F64">
        <w:rPr>
          <w:rFonts w:ascii="Aptos" w:hAnsi="Aptos"/>
          <w:sz w:val="25"/>
          <w:szCs w:val="25"/>
        </w:rPr>
        <w:t xml:space="preserve"> </w:t>
      </w:r>
      <w:r w:rsidR="00C079B3">
        <w:rPr>
          <w:rFonts w:ascii="Aptos" w:hAnsi="Aptos"/>
          <w:sz w:val="25"/>
          <w:szCs w:val="25"/>
        </w:rPr>
        <w:t xml:space="preserve">resulting </w:t>
      </w:r>
      <w:r w:rsidR="000E2F64">
        <w:rPr>
          <w:rFonts w:ascii="Aptos" w:hAnsi="Aptos"/>
          <w:sz w:val="25"/>
          <w:szCs w:val="25"/>
        </w:rPr>
        <w:t>in a restraint leading to a minor staff injury on June 2, 2025.</w:t>
      </w:r>
      <w:r w:rsidR="006E25E1">
        <w:rPr>
          <w:rFonts w:ascii="Aptos" w:hAnsi="Aptos"/>
          <w:sz w:val="25"/>
          <w:szCs w:val="25"/>
        </w:rPr>
        <w:t xml:space="preserve">  (</w:t>
      </w:r>
      <w:r w:rsidR="006E25E1">
        <w:rPr>
          <w:rFonts w:ascii="Aptos" w:hAnsi="Aptos"/>
          <w:i/>
          <w:iCs/>
          <w:sz w:val="25"/>
          <w:szCs w:val="25"/>
        </w:rPr>
        <w:t>Hearing Request</w:t>
      </w:r>
      <w:r w:rsidR="006E25E1">
        <w:rPr>
          <w:rFonts w:ascii="Aptos" w:hAnsi="Aptos"/>
          <w:sz w:val="25"/>
          <w:szCs w:val="25"/>
        </w:rPr>
        <w:t>).</w:t>
      </w:r>
    </w:p>
    <w:p w14:paraId="2DB00760" w14:textId="77777777" w:rsidR="006E25E1" w:rsidRPr="006E25E1" w:rsidRDefault="006E25E1" w:rsidP="006E25E1">
      <w:pPr>
        <w:pStyle w:val="ListParagraph"/>
        <w:rPr>
          <w:rFonts w:ascii="Aptos" w:hAnsi="Aptos"/>
          <w:sz w:val="25"/>
          <w:szCs w:val="25"/>
        </w:rPr>
      </w:pPr>
    </w:p>
    <w:p w14:paraId="46C9257D" w14:textId="6941EB23" w:rsidR="006E25E1" w:rsidRDefault="006E25E1" w:rsidP="00F4022E">
      <w:pPr>
        <w:pStyle w:val="ListParagraph"/>
        <w:numPr>
          <w:ilvl w:val="0"/>
          <w:numId w:val="2"/>
        </w:numPr>
        <w:spacing w:after="0" w:line="240" w:lineRule="auto"/>
        <w:rPr>
          <w:rFonts w:ascii="Aptos" w:hAnsi="Aptos"/>
          <w:sz w:val="25"/>
          <w:szCs w:val="25"/>
        </w:rPr>
      </w:pPr>
      <w:r>
        <w:rPr>
          <w:rFonts w:ascii="Aptos" w:hAnsi="Aptos"/>
          <w:sz w:val="25"/>
          <w:szCs w:val="25"/>
        </w:rPr>
        <w:t>In June and July of 2025, Student</w:t>
      </w:r>
      <w:r w:rsidR="006F59C7">
        <w:rPr>
          <w:rFonts w:ascii="Aptos" w:hAnsi="Aptos"/>
          <w:sz w:val="25"/>
          <w:szCs w:val="25"/>
        </w:rPr>
        <w:t xml:space="preserve">’s aggressions toward Parent included </w:t>
      </w:r>
      <w:r>
        <w:rPr>
          <w:rFonts w:ascii="Aptos" w:hAnsi="Aptos"/>
          <w:sz w:val="25"/>
          <w:szCs w:val="25"/>
        </w:rPr>
        <w:t>throwing items and kicking her door</w:t>
      </w:r>
      <w:r w:rsidR="00EB0BE3">
        <w:rPr>
          <w:rFonts w:ascii="Aptos" w:hAnsi="Aptos"/>
          <w:sz w:val="25"/>
          <w:szCs w:val="25"/>
        </w:rPr>
        <w:t>,</w:t>
      </w:r>
      <w:r>
        <w:rPr>
          <w:rFonts w:ascii="Aptos" w:hAnsi="Aptos"/>
          <w:sz w:val="25"/>
          <w:szCs w:val="25"/>
        </w:rPr>
        <w:t xml:space="preserve"> causing Parent to call 911 on June 15, 2025; </w:t>
      </w:r>
      <w:r w:rsidR="00C1793A">
        <w:rPr>
          <w:rFonts w:ascii="Aptos" w:hAnsi="Aptos"/>
          <w:sz w:val="25"/>
          <w:szCs w:val="25"/>
        </w:rPr>
        <w:t xml:space="preserve">kicking and attempting to strangle </w:t>
      </w:r>
      <w:r w:rsidR="006F59C7">
        <w:rPr>
          <w:rFonts w:ascii="Aptos" w:hAnsi="Aptos"/>
          <w:sz w:val="25"/>
          <w:szCs w:val="25"/>
        </w:rPr>
        <w:t>her</w:t>
      </w:r>
      <w:r w:rsidR="00C1793A">
        <w:rPr>
          <w:rFonts w:ascii="Aptos" w:hAnsi="Aptos"/>
          <w:sz w:val="25"/>
          <w:szCs w:val="25"/>
        </w:rPr>
        <w:t xml:space="preserve"> on June 16, 2 025; and throwing items, slapping and kicking </w:t>
      </w:r>
      <w:r w:rsidR="006F59C7">
        <w:rPr>
          <w:rFonts w:ascii="Aptos" w:hAnsi="Aptos"/>
          <w:sz w:val="25"/>
          <w:szCs w:val="25"/>
        </w:rPr>
        <w:t>Parent</w:t>
      </w:r>
      <w:r w:rsidR="00C1793A">
        <w:rPr>
          <w:rFonts w:ascii="Aptos" w:hAnsi="Aptos"/>
          <w:sz w:val="25"/>
          <w:szCs w:val="25"/>
        </w:rPr>
        <w:t xml:space="preserve"> in the chest causing </w:t>
      </w:r>
      <w:r w:rsidR="006F59C7">
        <w:rPr>
          <w:rFonts w:ascii="Aptos" w:hAnsi="Aptos"/>
          <w:sz w:val="25"/>
          <w:szCs w:val="25"/>
        </w:rPr>
        <w:t xml:space="preserve">her </w:t>
      </w:r>
      <w:r w:rsidR="00C1793A">
        <w:rPr>
          <w:rFonts w:ascii="Aptos" w:hAnsi="Aptos"/>
          <w:sz w:val="25"/>
          <w:szCs w:val="25"/>
        </w:rPr>
        <w:t xml:space="preserve">to again call </w:t>
      </w:r>
      <w:r w:rsidR="003267A3">
        <w:rPr>
          <w:rFonts w:ascii="Aptos" w:hAnsi="Aptos"/>
          <w:sz w:val="25"/>
          <w:szCs w:val="25"/>
        </w:rPr>
        <w:t xml:space="preserve">911 (with Student then agreeing to go to the group home rather than the hospital) on July 7, 2025.  </w:t>
      </w:r>
      <w:r w:rsidR="00BA1F44">
        <w:rPr>
          <w:rFonts w:ascii="Aptos" w:hAnsi="Aptos"/>
          <w:sz w:val="25"/>
          <w:szCs w:val="25"/>
        </w:rPr>
        <w:t>(</w:t>
      </w:r>
      <w:r w:rsidR="00BA1F44">
        <w:rPr>
          <w:rFonts w:ascii="Aptos" w:hAnsi="Aptos"/>
          <w:i/>
          <w:iCs/>
          <w:sz w:val="25"/>
          <w:szCs w:val="25"/>
        </w:rPr>
        <w:t>Hearing Request</w:t>
      </w:r>
      <w:r w:rsidR="00BA1F44">
        <w:rPr>
          <w:rFonts w:ascii="Aptos" w:hAnsi="Aptos"/>
          <w:sz w:val="25"/>
          <w:szCs w:val="25"/>
        </w:rPr>
        <w:t>).</w:t>
      </w:r>
    </w:p>
    <w:p w14:paraId="1A37D575" w14:textId="77777777" w:rsidR="00BA1F44" w:rsidRPr="00BA1F44" w:rsidRDefault="00BA1F44" w:rsidP="00BA1F44">
      <w:pPr>
        <w:pStyle w:val="ListParagraph"/>
        <w:rPr>
          <w:rFonts w:ascii="Aptos" w:hAnsi="Aptos"/>
          <w:sz w:val="25"/>
          <w:szCs w:val="25"/>
        </w:rPr>
      </w:pPr>
    </w:p>
    <w:p w14:paraId="48B671C8" w14:textId="4EECCC1F" w:rsidR="00BA1F44" w:rsidRPr="00F53C90" w:rsidRDefault="00BA1F44" w:rsidP="00F4022E">
      <w:pPr>
        <w:pStyle w:val="ListParagraph"/>
        <w:numPr>
          <w:ilvl w:val="0"/>
          <w:numId w:val="2"/>
        </w:numPr>
        <w:spacing w:after="0" w:line="240" w:lineRule="auto"/>
        <w:rPr>
          <w:rFonts w:ascii="Aptos" w:hAnsi="Aptos"/>
          <w:sz w:val="25"/>
          <w:szCs w:val="25"/>
        </w:rPr>
      </w:pPr>
      <w:r>
        <w:rPr>
          <w:rFonts w:ascii="Aptos" w:hAnsi="Aptos"/>
          <w:sz w:val="25"/>
          <w:szCs w:val="25"/>
        </w:rPr>
        <w:t xml:space="preserve">Student </w:t>
      </w:r>
      <w:r w:rsidR="00EB0BE3">
        <w:rPr>
          <w:rFonts w:ascii="Aptos" w:hAnsi="Aptos"/>
          <w:sz w:val="25"/>
          <w:szCs w:val="25"/>
        </w:rPr>
        <w:t xml:space="preserve">underwent </w:t>
      </w:r>
      <w:r>
        <w:rPr>
          <w:rFonts w:ascii="Aptos" w:hAnsi="Aptos"/>
          <w:sz w:val="25"/>
          <w:szCs w:val="25"/>
        </w:rPr>
        <w:t xml:space="preserve">a private </w:t>
      </w:r>
      <w:r w:rsidR="00D74793">
        <w:rPr>
          <w:rFonts w:ascii="Aptos" w:hAnsi="Aptos"/>
          <w:sz w:val="25"/>
          <w:szCs w:val="25"/>
        </w:rPr>
        <w:t>Neuropsychological</w:t>
      </w:r>
      <w:r>
        <w:rPr>
          <w:rFonts w:ascii="Aptos" w:hAnsi="Aptos"/>
          <w:sz w:val="25"/>
          <w:szCs w:val="25"/>
        </w:rPr>
        <w:t xml:space="preserve"> Evaluation on July 25, 2025.  The resulting report noted that</w:t>
      </w:r>
      <w:r w:rsidR="00112B3A">
        <w:rPr>
          <w:rFonts w:ascii="Aptos" w:hAnsi="Aptos"/>
          <w:sz w:val="25"/>
          <w:szCs w:val="25"/>
        </w:rPr>
        <w:t xml:space="preserve"> since the fall of 2024,</w:t>
      </w:r>
      <w:r>
        <w:rPr>
          <w:rFonts w:ascii="Aptos" w:hAnsi="Aptos"/>
          <w:sz w:val="25"/>
          <w:szCs w:val="25"/>
        </w:rPr>
        <w:t xml:space="preserve"> despite Student’s “</w:t>
      </w:r>
      <w:proofErr w:type="spellStart"/>
      <w:r>
        <w:rPr>
          <w:rFonts w:ascii="Aptos" w:hAnsi="Aptos"/>
          <w:sz w:val="25"/>
          <w:szCs w:val="25"/>
        </w:rPr>
        <w:t>demonstrat</w:t>
      </w:r>
      <w:proofErr w:type="spellEnd"/>
      <w:r>
        <w:rPr>
          <w:rFonts w:ascii="Aptos" w:hAnsi="Aptos"/>
          <w:sz w:val="25"/>
          <w:szCs w:val="25"/>
        </w:rPr>
        <w:t>[</w:t>
      </w:r>
      <w:proofErr w:type="spellStart"/>
      <w:r>
        <w:rPr>
          <w:rFonts w:ascii="Aptos" w:hAnsi="Aptos"/>
          <w:sz w:val="25"/>
          <w:szCs w:val="25"/>
        </w:rPr>
        <w:t>ing</w:t>
      </w:r>
      <w:proofErr w:type="spellEnd"/>
      <w:r>
        <w:rPr>
          <w:rFonts w:ascii="Aptos" w:hAnsi="Aptos"/>
          <w:sz w:val="25"/>
          <w:szCs w:val="25"/>
        </w:rPr>
        <w:t xml:space="preserve">] recent progress within the structured environment of his therapeutic school, he continues to exhibit highly aggressive, dysregulated and unsafe behaviors at home and in respite care” that have increased in frequency </w:t>
      </w:r>
      <w:r>
        <w:rPr>
          <w:rFonts w:ascii="Aptos" w:hAnsi="Aptos"/>
          <w:sz w:val="25"/>
          <w:szCs w:val="25"/>
        </w:rPr>
        <w:lastRenderedPageBreak/>
        <w:t xml:space="preserve">and severity </w:t>
      </w:r>
      <w:r w:rsidR="00C25DD1">
        <w:rPr>
          <w:rFonts w:ascii="Aptos" w:hAnsi="Aptos"/>
          <w:sz w:val="25"/>
          <w:szCs w:val="25"/>
        </w:rPr>
        <w:t xml:space="preserve">and extend beyond the home and beyond just </w:t>
      </w:r>
      <w:proofErr w:type="gramStart"/>
      <w:r w:rsidR="00C25DD1">
        <w:rPr>
          <w:rFonts w:ascii="Aptos" w:hAnsi="Aptos"/>
          <w:sz w:val="25"/>
          <w:szCs w:val="25"/>
        </w:rPr>
        <w:t>Paren</w:t>
      </w:r>
      <w:r w:rsidR="00112B3A">
        <w:rPr>
          <w:rFonts w:ascii="Aptos" w:hAnsi="Aptos"/>
          <w:sz w:val="25"/>
          <w:szCs w:val="25"/>
        </w:rPr>
        <w:t>t, and</w:t>
      </w:r>
      <w:proofErr w:type="gramEnd"/>
      <w:r w:rsidR="00112B3A">
        <w:rPr>
          <w:rFonts w:ascii="Aptos" w:hAnsi="Aptos"/>
          <w:sz w:val="25"/>
          <w:szCs w:val="25"/>
        </w:rPr>
        <w:t xml:space="preserve"> </w:t>
      </w:r>
      <w:r w:rsidR="00000FD2">
        <w:rPr>
          <w:rFonts w:ascii="Aptos" w:hAnsi="Aptos"/>
          <w:sz w:val="25"/>
          <w:szCs w:val="25"/>
        </w:rPr>
        <w:t xml:space="preserve">have </w:t>
      </w:r>
      <w:r w:rsidR="00112B3A">
        <w:rPr>
          <w:rFonts w:ascii="Aptos" w:hAnsi="Aptos"/>
          <w:sz w:val="25"/>
          <w:szCs w:val="25"/>
        </w:rPr>
        <w:t>resulted in “significant educational disruption</w:t>
      </w:r>
      <w:r w:rsidR="005E1E71">
        <w:rPr>
          <w:rFonts w:ascii="Aptos" w:hAnsi="Aptos"/>
          <w:sz w:val="25"/>
          <w:szCs w:val="25"/>
        </w:rPr>
        <w:t xml:space="preserve"> with several weeks of missed instruction”.</w:t>
      </w:r>
      <w:r w:rsidR="00153E87">
        <w:rPr>
          <w:rFonts w:ascii="Aptos" w:hAnsi="Aptos"/>
          <w:sz w:val="25"/>
          <w:szCs w:val="25"/>
        </w:rPr>
        <w:t xml:space="preserve">  It was also noted that Student’s increasing behavioral dysregulation at the respite care facility was “atypical compared to other residents who tend to struggle initially but settle over time”.</w:t>
      </w:r>
      <w:r w:rsidR="00AE318A">
        <w:rPr>
          <w:rFonts w:ascii="Aptos" w:hAnsi="Aptos"/>
          <w:sz w:val="25"/>
          <w:szCs w:val="25"/>
        </w:rPr>
        <w:t xml:space="preserve">  (</w:t>
      </w:r>
      <w:r w:rsidR="00AE318A">
        <w:rPr>
          <w:rFonts w:ascii="Aptos" w:hAnsi="Aptos"/>
          <w:i/>
          <w:iCs/>
          <w:sz w:val="25"/>
          <w:szCs w:val="25"/>
        </w:rPr>
        <w:t>Hearing Request</w:t>
      </w:r>
      <w:r w:rsidR="00AE318A">
        <w:rPr>
          <w:rFonts w:ascii="Aptos" w:hAnsi="Aptos"/>
          <w:sz w:val="25"/>
          <w:szCs w:val="25"/>
        </w:rPr>
        <w:t>).</w:t>
      </w:r>
    </w:p>
    <w:p w14:paraId="59C466B3" w14:textId="77777777" w:rsidR="00F4022E" w:rsidRDefault="00F4022E" w:rsidP="00F4022E">
      <w:pPr>
        <w:spacing w:after="0" w:line="240" w:lineRule="auto"/>
        <w:rPr>
          <w:rFonts w:ascii="Aptos" w:hAnsi="Aptos"/>
          <w:sz w:val="25"/>
          <w:szCs w:val="25"/>
        </w:rPr>
      </w:pPr>
    </w:p>
    <w:p w14:paraId="5EA4D850" w14:textId="77777777" w:rsidR="00F4022E" w:rsidRPr="009A6BEA" w:rsidRDefault="00F4022E" w:rsidP="00F4022E">
      <w:pPr>
        <w:spacing w:after="0" w:line="240" w:lineRule="auto"/>
        <w:rPr>
          <w:rFonts w:ascii="Aptos" w:hAnsi="Aptos" w:cs="Times New Roman"/>
          <w:b/>
          <w:bCs/>
          <w:sz w:val="25"/>
          <w:szCs w:val="25"/>
        </w:rPr>
      </w:pPr>
      <w:r w:rsidRPr="009A6BEA">
        <w:rPr>
          <w:rFonts w:ascii="Aptos" w:hAnsi="Aptos" w:cs="Times New Roman"/>
          <w:b/>
          <w:bCs/>
          <w:sz w:val="25"/>
          <w:szCs w:val="25"/>
        </w:rPr>
        <w:t>POSITION OF THE PARTIES</w:t>
      </w:r>
    </w:p>
    <w:p w14:paraId="750B557E" w14:textId="77777777" w:rsidR="00F4022E" w:rsidRPr="009A6BEA" w:rsidRDefault="00F4022E" w:rsidP="00F4022E">
      <w:pPr>
        <w:spacing w:after="0" w:line="240" w:lineRule="auto"/>
        <w:rPr>
          <w:rFonts w:ascii="Aptos" w:hAnsi="Aptos" w:cs="Times New Roman"/>
          <w:b/>
          <w:bCs/>
          <w:sz w:val="25"/>
          <w:szCs w:val="25"/>
        </w:rPr>
      </w:pPr>
    </w:p>
    <w:p w14:paraId="71BA5BD9" w14:textId="4DD2A4EF" w:rsidR="0065400D" w:rsidRDefault="0065400D" w:rsidP="00F4022E">
      <w:pPr>
        <w:spacing w:after="0" w:line="240" w:lineRule="auto"/>
        <w:rPr>
          <w:rFonts w:ascii="Aptos" w:hAnsi="Aptos" w:cs="Times New Roman"/>
          <w:sz w:val="25"/>
          <w:szCs w:val="25"/>
        </w:rPr>
      </w:pPr>
      <w:r>
        <w:rPr>
          <w:rFonts w:ascii="Aptos" w:hAnsi="Aptos" w:cs="Times New Roman"/>
          <w:sz w:val="25"/>
          <w:szCs w:val="25"/>
        </w:rPr>
        <w:t xml:space="preserve">The District </w:t>
      </w:r>
      <w:r w:rsidR="007975DB">
        <w:rPr>
          <w:rFonts w:ascii="Aptos" w:hAnsi="Aptos" w:cs="Times New Roman"/>
          <w:sz w:val="25"/>
          <w:szCs w:val="25"/>
        </w:rPr>
        <w:t>seeks to join DMH and DCF based on its contention that such joinder is necessary as “the Hea</w:t>
      </w:r>
      <w:r w:rsidR="00AF3325">
        <w:rPr>
          <w:rFonts w:ascii="Aptos" w:hAnsi="Aptos" w:cs="Times New Roman"/>
          <w:sz w:val="25"/>
          <w:szCs w:val="25"/>
        </w:rPr>
        <w:t>ri</w:t>
      </w:r>
      <w:r w:rsidR="007975DB">
        <w:rPr>
          <w:rFonts w:ascii="Aptos" w:hAnsi="Aptos" w:cs="Times New Roman"/>
          <w:sz w:val="25"/>
          <w:szCs w:val="25"/>
        </w:rPr>
        <w:t>ng Officer can order other remedi</w:t>
      </w:r>
      <w:r w:rsidR="00E5398C">
        <w:rPr>
          <w:rFonts w:ascii="Aptos" w:hAnsi="Aptos" w:cs="Times New Roman"/>
          <w:sz w:val="25"/>
          <w:szCs w:val="25"/>
        </w:rPr>
        <w:t xml:space="preserve">es that are not residential placement” </w:t>
      </w:r>
      <w:r w:rsidR="00EB0BE3">
        <w:rPr>
          <w:rFonts w:ascii="Aptos" w:hAnsi="Aptos" w:cs="Times New Roman"/>
          <w:sz w:val="25"/>
          <w:szCs w:val="25"/>
        </w:rPr>
        <w:t xml:space="preserve">with respect to said agencies, </w:t>
      </w:r>
      <w:r w:rsidR="00AF3325">
        <w:rPr>
          <w:rFonts w:ascii="Aptos" w:hAnsi="Aptos" w:cs="Times New Roman"/>
          <w:sz w:val="25"/>
          <w:szCs w:val="25"/>
        </w:rPr>
        <w:t xml:space="preserve">and </w:t>
      </w:r>
      <w:r w:rsidR="00E5398C">
        <w:rPr>
          <w:rFonts w:ascii="Aptos" w:hAnsi="Aptos" w:cs="Times New Roman"/>
          <w:sz w:val="25"/>
          <w:szCs w:val="25"/>
        </w:rPr>
        <w:t xml:space="preserve">each agency “may be able to provide additional services to provide the student with </w:t>
      </w:r>
      <w:r w:rsidR="00532112">
        <w:rPr>
          <w:rFonts w:ascii="Aptos" w:hAnsi="Aptos" w:cs="Times New Roman"/>
          <w:sz w:val="25"/>
          <w:szCs w:val="25"/>
        </w:rPr>
        <w:t>[a free appropriate public education</w:t>
      </w:r>
      <w:r w:rsidR="00E81457">
        <w:rPr>
          <w:rFonts w:ascii="Aptos" w:hAnsi="Aptos" w:cs="Times New Roman"/>
          <w:sz w:val="25"/>
          <w:szCs w:val="25"/>
        </w:rPr>
        <w:t>] (</w:t>
      </w:r>
      <w:r w:rsidR="00E5398C">
        <w:rPr>
          <w:rFonts w:ascii="Aptos" w:hAnsi="Aptos" w:cs="Times New Roman"/>
          <w:sz w:val="25"/>
          <w:szCs w:val="25"/>
        </w:rPr>
        <w:t>FAPE</w:t>
      </w:r>
      <w:r w:rsidR="00E81457">
        <w:rPr>
          <w:rFonts w:ascii="Aptos" w:hAnsi="Aptos" w:cs="Times New Roman"/>
          <w:sz w:val="25"/>
          <w:szCs w:val="25"/>
        </w:rPr>
        <w:t>)</w:t>
      </w:r>
      <w:r w:rsidR="00E5398C">
        <w:rPr>
          <w:rFonts w:ascii="Aptos" w:hAnsi="Aptos" w:cs="Times New Roman"/>
          <w:sz w:val="25"/>
          <w:szCs w:val="25"/>
        </w:rPr>
        <w:t xml:space="preserve">”.  </w:t>
      </w:r>
      <w:r w:rsidR="00847A2A">
        <w:rPr>
          <w:rFonts w:ascii="Aptos" w:hAnsi="Aptos" w:cs="Times New Roman"/>
          <w:sz w:val="25"/>
          <w:szCs w:val="25"/>
        </w:rPr>
        <w:t xml:space="preserve">The District reiterates its arguments </w:t>
      </w:r>
      <w:r w:rsidR="00556422">
        <w:rPr>
          <w:rFonts w:ascii="Aptos" w:hAnsi="Aptos" w:cs="Times New Roman"/>
          <w:sz w:val="25"/>
          <w:szCs w:val="25"/>
        </w:rPr>
        <w:t xml:space="preserve">made </w:t>
      </w:r>
      <w:r w:rsidR="00EF6E4D">
        <w:rPr>
          <w:rFonts w:ascii="Aptos" w:hAnsi="Aptos" w:cs="Times New Roman"/>
          <w:sz w:val="25"/>
          <w:szCs w:val="25"/>
        </w:rPr>
        <w:t xml:space="preserve">opposing </w:t>
      </w:r>
      <w:r w:rsidR="00556422">
        <w:rPr>
          <w:rFonts w:ascii="Aptos" w:hAnsi="Aptos" w:cs="Times New Roman"/>
          <w:sz w:val="25"/>
          <w:szCs w:val="25"/>
        </w:rPr>
        <w:t>dismissal of DMH and DCF as parties in the Prior Matter</w:t>
      </w:r>
      <w:r w:rsidR="00246BA5">
        <w:rPr>
          <w:rStyle w:val="FootnoteReference"/>
          <w:rFonts w:ascii="Aptos" w:hAnsi="Aptos" w:cs="Times New Roman"/>
          <w:sz w:val="25"/>
          <w:szCs w:val="25"/>
        </w:rPr>
        <w:footnoteReference w:id="7"/>
      </w:r>
      <w:r w:rsidR="00556422">
        <w:rPr>
          <w:rFonts w:ascii="Aptos" w:hAnsi="Aptos" w:cs="Times New Roman"/>
          <w:sz w:val="25"/>
          <w:szCs w:val="25"/>
        </w:rPr>
        <w:t>.  Additionally, c</w:t>
      </w:r>
      <w:r w:rsidR="00847A2A">
        <w:rPr>
          <w:rFonts w:ascii="Aptos" w:hAnsi="Aptos" w:cs="Times New Roman"/>
          <w:sz w:val="25"/>
          <w:szCs w:val="25"/>
        </w:rPr>
        <w:t xml:space="preserve">ontending that the facts have not changed since the withdrawal of the Prior Matter, the District relies on the reasoning provided in the </w:t>
      </w:r>
      <w:r w:rsidR="00847A2A">
        <w:rPr>
          <w:rFonts w:ascii="Aptos" w:hAnsi="Aptos" w:cs="Times New Roman"/>
          <w:i/>
          <w:iCs/>
          <w:sz w:val="25"/>
          <w:szCs w:val="25"/>
        </w:rPr>
        <w:t xml:space="preserve">Prior Matter Ruling </w:t>
      </w:r>
      <w:r w:rsidR="00847A2A">
        <w:rPr>
          <w:rFonts w:ascii="Aptos" w:hAnsi="Aptos" w:cs="Times New Roman"/>
          <w:sz w:val="25"/>
          <w:szCs w:val="25"/>
        </w:rPr>
        <w:t xml:space="preserve">in support of joinder.  </w:t>
      </w:r>
    </w:p>
    <w:p w14:paraId="01D5EF05" w14:textId="77777777" w:rsidR="0065400D" w:rsidRDefault="0065400D" w:rsidP="00F4022E">
      <w:pPr>
        <w:spacing w:after="0" w:line="240" w:lineRule="auto"/>
        <w:rPr>
          <w:rFonts w:ascii="Aptos" w:hAnsi="Aptos" w:cs="Times New Roman"/>
          <w:sz w:val="25"/>
          <w:szCs w:val="25"/>
        </w:rPr>
      </w:pPr>
    </w:p>
    <w:p w14:paraId="6D626772" w14:textId="20F68066" w:rsidR="002D6762" w:rsidRDefault="00F4022E" w:rsidP="00F4022E">
      <w:pPr>
        <w:spacing w:after="0" w:line="240" w:lineRule="auto"/>
        <w:rPr>
          <w:rFonts w:ascii="Aptos" w:hAnsi="Aptos" w:cs="Times New Roman"/>
          <w:sz w:val="25"/>
          <w:szCs w:val="25"/>
        </w:rPr>
      </w:pPr>
      <w:r>
        <w:rPr>
          <w:rFonts w:ascii="Aptos" w:hAnsi="Aptos" w:cs="Times New Roman"/>
          <w:sz w:val="25"/>
          <w:szCs w:val="25"/>
        </w:rPr>
        <w:t>Both DCF and DMH argue that their respective rules, regulations and policies do not allow the</w:t>
      </w:r>
      <w:r w:rsidR="008D65B0">
        <w:rPr>
          <w:rFonts w:ascii="Aptos" w:hAnsi="Aptos" w:cs="Times New Roman"/>
          <w:sz w:val="25"/>
          <w:szCs w:val="25"/>
        </w:rPr>
        <w:t>m to provide the</w:t>
      </w:r>
      <w:r>
        <w:rPr>
          <w:rFonts w:ascii="Aptos" w:hAnsi="Aptos" w:cs="Times New Roman"/>
          <w:sz w:val="25"/>
          <w:szCs w:val="25"/>
        </w:rPr>
        <w:t xml:space="preserve"> relief Parent seeks in this matter</w:t>
      </w:r>
      <w:r w:rsidR="00637BCC">
        <w:rPr>
          <w:rFonts w:ascii="Aptos" w:hAnsi="Aptos" w:cs="Times New Roman"/>
          <w:sz w:val="25"/>
          <w:szCs w:val="25"/>
        </w:rPr>
        <w:t xml:space="preserve"> (i.e., </w:t>
      </w:r>
      <w:r>
        <w:rPr>
          <w:rFonts w:ascii="Aptos" w:hAnsi="Aptos" w:cs="Times New Roman"/>
          <w:sz w:val="25"/>
          <w:szCs w:val="25"/>
        </w:rPr>
        <w:t>a residential placement for Student</w:t>
      </w:r>
      <w:r w:rsidR="00E238FC">
        <w:rPr>
          <w:rFonts w:ascii="Aptos" w:hAnsi="Aptos" w:cs="Times New Roman"/>
          <w:sz w:val="25"/>
          <w:szCs w:val="25"/>
        </w:rPr>
        <w:t xml:space="preserve"> to provide him with a FAPE</w:t>
      </w:r>
      <w:r w:rsidR="00637BCC">
        <w:rPr>
          <w:rFonts w:ascii="Aptos" w:hAnsi="Aptos" w:cs="Times New Roman"/>
          <w:sz w:val="25"/>
          <w:szCs w:val="25"/>
        </w:rPr>
        <w:t xml:space="preserve">), as FAPE </w:t>
      </w:r>
      <w:r w:rsidR="00D54666">
        <w:rPr>
          <w:rFonts w:ascii="Aptos" w:hAnsi="Aptos" w:cs="Times New Roman"/>
          <w:sz w:val="25"/>
          <w:szCs w:val="25"/>
        </w:rPr>
        <w:t>is not the responsibility of either agency</w:t>
      </w:r>
      <w:r>
        <w:rPr>
          <w:rFonts w:ascii="Aptos" w:hAnsi="Aptos" w:cs="Times New Roman"/>
          <w:sz w:val="25"/>
          <w:szCs w:val="25"/>
        </w:rPr>
        <w:t xml:space="preserve">.  </w:t>
      </w:r>
      <w:r w:rsidR="002D6762">
        <w:rPr>
          <w:rFonts w:ascii="Aptos" w:hAnsi="Aptos" w:cs="Times New Roman"/>
          <w:sz w:val="25"/>
          <w:szCs w:val="25"/>
        </w:rPr>
        <w:t xml:space="preserve">To that end, </w:t>
      </w:r>
      <w:r>
        <w:rPr>
          <w:rFonts w:ascii="Aptos" w:hAnsi="Aptos" w:cs="Times New Roman"/>
          <w:sz w:val="25"/>
          <w:szCs w:val="25"/>
        </w:rPr>
        <w:t>DMH submits that despite Student’s ongoing eligibility for DMH services, including its provision of respite services at a higher frequency than is typical,</w:t>
      </w:r>
      <w:r w:rsidR="00CC6F7D">
        <w:rPr>
          <w:rFonts w:ascii="Aptos" w:hAnsi="Aptos" w:cs="Times New Roman"/>
          <w:sz w:val="25"/>
          <w:szCs w:val="25"/>
        </w:rPr>
        <w:t xml:space="preserve"> “it is not within the mandate or expertise of DMH to provide special education services to any individuals including DMH clients”.  </w:t>
      </w:r>
      <w:r>
        <w:rPr>
          <w:rFonts w:ascii="Aptos" w:hAnsi="Aptos" w:cs="Times New Roman"/>
          <w:sz w:val="25"/>
          <w:szCs w:val="25"/>
        </w:rPr>
        <w:t xml:space="preserve"> </w:t>
      </w:r>
      <w:r w:rsidR="00D347FF">
        <w:rPr>
          <w:rFonts w:ascii="Aptos" w:hAnsi="Aptos" w:cs="Times New Roman"/>
          <w:sz w:val="25"/>
          <w:szCs w:val="25"/>
        </w:rPr>
        <w:t>DMH also contends it “</w:t>
      </w:r>
      <w:r w:rsidR="00832B5D">
        <w:rPr>
          <w:rFonts w:ascii="Aptos" w:hAnsi="Aptos" w:cs="Times New Roman"/>
          <w:sz w:val="25"/>
          <w:szCs w:val="25"/>
        </w:rPr>
        <w:t>does not have an interest in how the parties resolve their dispute regar</w:t>
      </w:r>
      <w:r w:rsidR="00F840F2">
        <w:rPr>
          <w:rFonts w:ascii="Aptos" w:hAnsi="Aptos" w:cs="Times New Roman"/>
          <w:sz w:val="25"/>
          <w:szCs w:val="25"/>
        </w:rPr>
        <w:t>ding FAPE”</w:t>
      </w:r>
      <w:r w:rsidR="00D347FF">
        <w:rPr>
          <w:rFonts w:ascii="Aptos" w:hAnsi="Aptos" w:cs="Times New Roman"/>
          <w:sz w:val="25"/>
          <w:szCs w:val="25"/>
        </w:rPr>
        <w:t xml:space="preserve"> and that j</w:t>
      </w:r>
      <w:r w:rsidR="00F840F2">
        <w:rPr>
          <w:rFonts w:ascii="Aptos" w:hAnsi="Aptos" w:cs="Times New Roman"/>
          <w:sz w:val="25"/>
          <w:szCs w:val="25"/>
        </w:rPr>
        <w:t xml:space="preserve">oinder of DMH </w:t>
      </w:r>
      <w:r w:rsidR="0000685E">
        <w:rPr>
          <w:rFonts w:ascii="Aptos" w:hAnsi="Aptos" w:cs="Times New Roman"/>
          <w:sz w:val="25"/>
          <w:szCs w:val="25"/>
        </w:rPr>
        <w:t xml:space="preserve">is not necessary as it </w:t>
      </w:r>
      <w:r w:rsidR="00F840F2">
        <w:rPr>
          <w:rFonts w:ascii="Aptos" w:hAnsi="Aptos" w:cs="Times New Roman"/>
          <w:sz w:val="25"/>
          <w:szCs w:val="25"/>
        </w:rPr>
        <w:t xml:space="preserve">will “only serve to complicate and potentially obfuscate the issue the Parent has squarely placed before the Hearing Officer whether [Student] requires a residential placement for FAPE”.  </w:t>
      </w:r>
    </w:p>
    <w:p w14:paraId="4B02BBCD" w14:textId="77777777" w:rsidR="002D6762" w:rsidRDefault="002D6762" w:rsidP="00F4022E">
      <w:pPr>
        <w:spacing w:after="0" w:line="240" w:lineRule="auto"/>
        <w:rPr>
          <w:rFonts w:ascii="Aptos" w:hAnsi="Aptos" w:cs="Times New Roman"/>
          <w:sz w:val="25"/>
          <w:szCs w:val="25"/>
        </w:rPr>
      </w:pPr>
    </w:p>
    <w:p w14:paraId="4EDBBA35" w14:textId="2F7AD853" w:rsidR="00F4022E" w:rsidRDefault="00BE172D" w:rsidP="00F4022E">
      <w:pPr>
        <w:spacing w:after="0" w:line="240" w:lineRule="auto"/>
        <w:rPr>
          <w:rFonts w:ascii="Aptos" w:hAnsi="Aptos" w:cs="Times New Roman"/>
          <w:sz w:val="25"/>
          <w:szCs w:val="25"/>
        </w:rPr>
      </w:pPr>
      <w:r>
        <w:rPr>
          <w:rFonts w:ascii="Aptos" w:hAnsi="Aptos" w:cs="Times New Roman"/>
          <w:sz w:val="25"/>
          <w:szCs w:val="25"/>
        </w:rPr>
        <w:t xml:space="preserve">Similarly, while DCF currently has an open clinical case for </w:t>
      </w:r>
      <w:r w:rsidR="00E90D79">
        <w:rPr>
          <w:rFonts w:ascii="Aptos" w:hAnsi="Aptos" w:cs="Times New Roman"/>
          <w:sz w:val="25"/>
          <w:szCs w:val="25"/>
        </w:rPr>
        <w:t>Student</w:t>
      </w:r>
      <w:r>
        <w:rPr>
          <w:rFonts w:ascii="Aptos" w:hAnsi="Aptos" w:cs="Times New Roman"/>
          <w:sz w:val="25"/>
          <w:szCs w:val="25"/>
        </w:rPr>
        <w:t>, it contends that its’ inclusion as a Party is premature and/or improper as Student is not in DCF’s “care or custody” and</w:t>
      </w:r>
      <w:r w:rsidR="00A772C8">
        <w:rPr>
          <w:rFonts w:ascii="Aptos" w:hAnsi="Aptos" w:cs="Times New Roman"/>
          <w:sz w:val="25"/>
          <w:szCs w:val="25"/>
        </w:rPr>
        <w:t xml:space="preserve"> further that</w:t>
      </w:r>
      <w:r>
        <w:rPr>
          <w:rFonts w:ascii="Aptos" w:hAnsi="Aptos" w:cs="Times New Roman"/>
          <w:sz w:val="25"/>
          <w:szCs w:val="25"/>
        </w:rPr>
        <w:t xml:space="preserve"> it intends to close </w:t>
      </w:r>
      <w:r w:rsidR="00036DC8">
        <w:rPr>
          <w:rFonts w:ascii="Aptos" w:hAnsi="Aptos" w:cs="Times New Roman"/>
          <w:sz w:val="25"/>
          <w:szCs w:val="25"/>
        </w:rPr>
        <w:t xml:space="preserve">its </w:t>
      </w:r>
      <w:r>
        <w:rPr>
          <w:rFonts w:ascii="Aptos" w:hAnsi="Aptos" w:cs="Times New Roman"/>
          <w:sz w:val="25"/>
          <w:szCs w:val="25"/>
        </w:rPr>
        <w:t xml:space="preserve">open clinical case on September 12, 2025.  </w:t>
      </w:r>
      <w:r w:rsidR="00B030A9">
        <w:rPr>
          <w:rFonts w:ascii="Aptos" w:hAnsi="Aptos" w:cs="Times New Roman"/>
          <w:sz w:val="25"/>
          <w:szCs w:val="25"/>
        </w:rPr>
        <w:t xml:space="preserve">According to </w:t>
      </w:r>
      <w:r>
        <w:rPr>
          <w:rFonts w:ascii="Aptos" w:hAnsi="Aptos" w:cs="Times New Roman"/>
          <w:sz w:val="25"/>
          <w:szCs w:val="25"/>
        </w:rPr>
        <w:t>DCF</w:t>
      </w:r>
      <w:r w:rsidR="00B030A9">
        <w:rPr>
          <w:rFonts w:ascii="Aptos" w:hAnsi="Aptos" w:cs="Times New Roman"/>
          <w:sz w:val="25"/>
          <w:szCs w:val="25"/>
        </w:rPr>
        <w:t>, it</w:t>
      </w:r>
      <w:r>
        <w:rPr>
          <w:rFonts w:ascii="Aptos" w:hAnsi="Aptos" w:cs="Times New Roman"/>
          <w:sz w:val="25"/>
          <w:szCs w:val="25"/>
        </w:rPr>
        <w:t xml:space="preserve"> </w:t>
      </w:r>
      <w:r w:rsidR="00036DC8">
        <w:rPr>
          <w:rFonts w:ascii="Aptos" w:hAnsi="Aptos" w:cs="Times New Roman"/>
          <w:sz w:val="25"/>
          <w:szCs w:val="25"/>
        </w:rPr>
        <w:t xml:space="preserve">has no ability and </w:t>
      </w:r>
      <w:r>
        <w:rPr>
          <w:rFonts w:ascii="Aptos" w:hAnsi="Aptos" w:cs="Times New Roman"/>
          <w:sz w:val="25"/>
          <w:szCs w:val="25"/>
        </w:rPr>
        <w:t xml:space="preserve">cannot be required, under its regulations, to provide placement services to children who are not in its “care or custody”.  </w:t>
      </w:r>
      <w:r w:rsidR="00513F81">
        <w:rPr>
          <w:rFonts w:ascii="Aptos" w:hAnsi="Aptos" w:cs="Times New Roman"/>
          <w:sz w:val="25"/>
          <w:szCs w:val="25"/>
        </w:rPr>
        <w:t xml:space="preserve">Additionally, the BSEA cannot </w:t>
      </w:r>
      <w:r>
        <w:rPr>
          <w:rFonts w:ascii="Aptos" w:hAnsi="Aptos" w:cs="Times New Roman"/>
          <w:sz w:val="25"/>
          <w:szCs w:val="25"/>
        </w:rPr>
        <w:t xml:space="preserve">direct DCF to change its determination to close Student’s open clinical case, as such a determination was made in accordance with its own </w:t>
      </w:r>
      <w:r w:rsidR="00543586">
        <w:rPr>
          <w:rFonts w:ascii="Aptos" w:hAnsi="Aptos" w:cs="Times New Roman"/>
          <w:sz w:val="25"/>
          <w:szCs w:val="25"/>
        </w:rPr>
        <w:t>Case Closure P</w:t>
      </w:r>
      <w:r>
        <w:rPr>
          <w:rFonts w:ascii="Aptos" w:hAnsi="Aptos" w:cs="Times New Roman"/>
          <w:sz w:val="25"/>
          <w:szCs w:val="25"/>
        </w:rPr>
        <w:t>olicy</w:t>
      </w:r>
      <w:r w:rsidR="00543586">
        <w:rPr>
          <w:rFonts w:ascii="Aptos" w:hAnsi="Aptos" w:cs="Times New Roman"/>
          <w:sz w:val="25"/>
          <w:szCs w:val="25"/>
        </w:rPr>
        <w:t xml:space="preserve"> (Policy # 8</w:t>
      </w:r>
      <w:r w:rsidR="002B49F8">
        <w:rPr>
          <w:rFonts w:ascii="Aptos" w:hAnsi="Aptos" w:cs="Times New Roman"/>
          <w:sz w:val="25"/>
          <w:szCs w:val="25"/>
        </w:rPr>
        <w:t xml:space="preserve">6-007).  </w:t>
      </w:r>
      <w:r w:rsidR="00144207">
        <w:rPr>
          <w:rFonts w:ascii="Aptos" w:hAnsi="Aptos" w:cs="Times New Roman"/>
          <w:sz w:val="25"/>
          <w:szCs w:val="25"/>
        </w:rPr>
        <w:t xml:space="preserve">DCF </w:t>
      </w:r>
      <w:r w:rsidR="008144B7">
        <w:rPr>
          <w:rFonts w:ascii="Aptos" w:hAnsi="Aptos" w:cs="Times New Roman"/>
          <w:sz w:val="25"/>
          <w:szCs w:val="25"/>
        </w:rPr>
        <w:t xml:space="preserve">claims that the BSEA has previously held </w:t>
      </w:r>
      <w:r w:rsidR="00144207">
        <w:rPr>
          <w:rFonts w:ascii="Aptos" w:hAnsi="Aptos" w:cs="Times New Roman"/>
          <w:sz w:val="25"/>
          <w:szCs w:val="25"/>
        </w:rPr>
        <w:t xml:space="preserve">that </w:t>
      </w:r>
      <w:r w:rsidR="00967507">
        <w:rPr>
          <w:rFonts w:ascii="Aptos" w:hAnsi="Aptos" w:cs="Times New Roman"/>
          <w:sz w:val="25"/>
          <w:szCs w:val="25"/>
        </w:rPr>
        <w:t>“</w:t>
      </w:r>
      <w:r w:rsidR="00144207">
        <w:rPr>
          <w:rFonts w:ascii="Aptos" w:hAnsi="Aptos" w:cs="Times New Roman"/>
          <w:sz w:val="25"/>
          <w:szCs w:val="25"/>
        </w:rPr>
        <w:t>i</w:t>
      </w:r>
      <w:r w:rsidR="00967507">
        <w:rPr>
          <w:rFonts w:ascii="Aptos" w:hAnsi="Aptos" w:cs="Times New Roman"/>
          <w:sz w:val="25"/>
          <w:szCs w:val="25"/>
        </w:rPr>
        <w:t>n situations where …. Agency involvement in the future is theore</w:t>
      </w:r>
      <w:r w:rsidR="00A011C0">
        <w:rPr>
          <w:rFonts w:ascii="Aptos" w:hAnsi="Aptos" w:cs="Times New Roman"/>
          <w:sz w:val="25"/>
          <w:szCs w:val="25"/>
        </w:rPr>
        <w:t>tically possible but speculative”</w:t>
      </w:r>
      <w:r w:rsidR="002B49F8">
        <w:rPr>
          <w:rFonts w:ascii="Aptos" w:hAnsi="Aptos" w:cs="Times New Roman"/>
          <w:sz w:val="25"/>
          <w:szCs w:val="25"/>
        </w:rPr>
        <w:t xml:space="preserve">, </w:t>
      </w:r>
      <w:r w:rsidR="00BA0E04">
        <w:rPr>
          <w:rFonts w:ascii="Aptos" w:hAnsi="Aptos" w:cs="Times New Roman"/>
          <w:sz w:val="25"/>
          <w:szCs w:val="25"/>
        </w:rPr>
        <w:t>joinder is not warranted</w:t>
      </w:r>
      <w:r w:rsidR="00A011C0">
        <w:rPr>
          <w:rFonts w:ascii="Aptos" w:hAnsi="Aptos" w:cs="Times New Roman"/>
          <w:sz w:val="25"/>
          <w:szCs w:val="25"/>
        </w:rPr>
        <w:t>.</w:t>
      </w:r>
      <w:r w:rsidR="001F2FDF">
        <w:rPr>
          <w:rFonts w:ascii="Aptos" w:hAnsi="Aptos" w:cs="Times New Roman"/>
          <w:sz w:val="25"/>
          <w:szCs w:val="25"/>
        </w:rPr>
        <w:t xml:space="preserve">  </w:t>
      </w:r>
      <w:r w:rsidR="006439FB">
        <w:rPr>
          <w:rFonts w:ascii="Aptos" w:hAnsi="Aptos" w:cs="Times New Roman"/>
          <w:sz w:val="25"/>
          <w:szCs w:val="25"/>
        </w:rPr>
        <w:t>Further</w:t>
      </w:r>
      <w:r w:rsidR="001F2FDF">
        <w:rPr>
          <w:rFonts w:ascii="Aptos" w:hAnsi="Aptos" w:cs="Times New Roman"/>
          <w:sz w:val="25"/>
          <w:szCs w:val="25"/>
        </w:rPr>
        <w:t>, DCF argues that</w:t>
      </w:r>
      <w:r w:rsidR="007260B5">
        <w:rPr>
          <w:rFonts w:ascii="Aptos" w:hAnsi="Aptos" w:cs="Times New Roman"/>
          <w:sz w:val="25"/>
          <w:szCs w:val="25"/>
        </w:rPr>
        <w:t xml:space="preserve"> </w:t>
      </w:r>
      <w:r w:rsidR="00F4075B">
        <w:rPr>
          <w:rFonts w:ascii="Aptos" w:hAnsi="Aptos" w:cs="Times New Roman"/>
          <w:sz w:val="25"/>
          <w:szCs w:val="25"/>
        </w:rPr>
        <w:t xml:space="preserve">ordering it to </w:t>
      </w:r>
      <w:r w:rsidR="004927F9">
        <w:rPr>
          <w:rFonts w:ascii="Aptos" w:hAnsi="Aptos" w:cs="Times New Roman"/>
          <w:sz w:val="25"/>
          <w:szCs w:val="25"/>
        </w:rPr>
        <w:t xml:space="preserve">provide </w:t>
      </w:r>
      <w:r w:rsidR="004927F9">
        <w:rPr>
          <w:rFonts w:ascii="Aptos" w:hAnsi="Aptos" w:cs="Times New Roman"/>
          <w:sz w:val="25"/>
          <w:szCs w:val="25"/>
        </w:rPr>
        <w:lastRenderedPageBreak/>
        <w:t>specific services, even to support Student’s educational needs</w:t>
      </w:r>
      <w:r w:rsidR="00FB5627">
        <w:rPr>
          <w:rFonts w:ascii="Aptos" w:hAnsi="Aptos" w:cs="Times New Roman"/>
          <w:sz w:val="25"/>
          <w:szCs w:val="25"/>
        </w:rPr>
        <w:t>,</w:t>
      </w:r>
      <w:r w:rsidR="004927F9">
        <w:rPr>
          <w:rFonts w:ascii="Aptos" w:hAnsi="Aptos" w:cs="Times New Roman"/>
          <w:sz w:val="25"/>
          <w:szCs w:val="25"/>
        </w:rPr>
        <w:t xml:space="preserve"> is in</w:t>
      </w:r>
      <w:r w:rsidR="001F2FDF">
        <w:rPr>
          <w:rFonts w:ascii="Aptos" w:hAnsi="Aptos" w:cs="Times New Roman"/>
          <w:sz w:val="25"/>
          <w:szCs w:val="25"/>
        </w:rPr>
        <w:t>consistent with its Family Assessment and Action Plan Policy</w:t>
      </w:r>
      <w:r w:rsidR="00A714A1">
        <w:rPr>
          <w:rFonts w:ascii="Aptos" w:hAnsi="Aptos" w:cs="Times New Roman"/>
          <w:sz w:val="25"/>
          <w:szCs w:val="25"/>
        </w:rPr>
        <w:t xml:space="preserve"> (Policy # 2017-01)</w:t>
      </w:r>
      <w:r w:rsidR="00320A5B">
        <w:rPr>
          <w:rFonts w:ascii="Aptos" w:hAnsi="Aptos" w:cs="Times New Roman"/>
          <w:sz w:val="25"/>
          <w:szCs w:val="25"/>
        </w:rPr>
        <w:t xml:space="preserve">.  </w:t>
      </w:r>
      <w:r w:rsidR="006439FB">
        <w:rPr>
          <w:rFonts w:ascii="Aptos" w:hAnsi="Aptos" w:cs="Times New Roman"/>
          <w:sz w:val="25"/>
          <w:szCs w:val="25"/>
        </w:rPr>
        <w:t xml:space="preserve">DCF </w:t>
      </w:r>
      <w:r w:rsidR="00320A5B">
        <w:rPr>
          <w:rFonts w:ascii="Aptos" w:hAnsi="Aptos" w:cs="Times New Roman"/>
          <w:sz w:val="25"/>
          <w:szCs w:val="25"/>
        </w:rPr>
        <w:t xml:space="preserve">also </w:t>
      </w:r>
      <w:r w:rsidR="006439FB">
        <w:rPr>
          <w:rFonts w:ascii="Aptos" w:hAnsi="Aptos" w:cs="Times New Roman"/>
          <w:sz w:val="25"/>
          <w:szCs w:val="25"/>
        </w:rPr>
        <w:t>contends that the issue of whether Student requires a residential placement to receive a FAPE</w:t>
      </w:r>
      <w:r w:rsidR="00B4741B">
        <w:rPr>
          <w:rFonts w:ascii="Aptos" w:hAnsi="Aptos" w:cs="Times New Roman"/>
          <w:sz w:val="25"/>
          <w:szCs w:val="25"/>
        </w:rPr>
        <w:t>, or for any other reason,</w:t>
      </w:r>
      <w:r w:rsidR="006439FB">
        <w:rPr>
          <w:rFonts w:ascii="Aptos" w:hAnsi="Aptos" w:cs="Times New Roman"/>
          <w:sz w:val="25"/>
          <w:szCs w:val="25"/>
        </w:rPr>
        <w:t xml:space="preserve"> can be determined </w:t>
      </w:r>
      <w:r w:rsidR="00B4741B">
        <w:rPr>
          <w:rFonts w:ascii="Aptos" w:hAnsi="Aptos" w:cs="Times New Roman"/>
          <w:sz w:val="25"/>
          <w:szCs w:val="25"/>
        </w:rPr>
        <w:t>without its joinder</w:t>
      </w:r>
      <w:r w:rsidR="009D1CCA">
        <w:rPr>
          <w:rFonts w:ascii="Aptos" w:hAnsi="Aptos" w:cs="Times New Roman"/>
          <w:sz w:val="25"/>
          <w:szCs w:val="25"/>
        </w:rPr>
        <w:t xml:space="preserve">.  </w:t>
      </w:r>
      <w:r w:rsidR="005F2273">
        <w:rPr>
          <w:rFonts w:ascii="Aptos" w:hAnsi="Aptos" w:cs="Times New Roman"/>
          <w:sz w:val="25"/>
          <w:szCs w:val="25"/>
        </w:rPr>
        <w:t xml:space="preserve">DCF </w:t>
      </w:r>
      <w:r w:rsidR="00FB5627">
        <w:rPr>
          <w:rFonts w:ascii="Aptos" w:hAnsi="Aptos" w:cs="Times New Roman"/>
          <w:sz w:val="25"/>
          <w:szCs w:val="25"/>
        </w:rPr>
        <w:t xml:space="preserve">advises it </w:t>
      </w:r>
      <w:r w:rsidR="005F2273">
        <w:rPr>
          <w:rFonts w:ascii="Aptos" w:hAnsi="Aptos" w:cs="Times New Roman"/>
          <w:sz w:val="25"/>
          <w:szCs w:val="25"/>
        </w:rPr>
        <w:t>has no evidence to introduce at a hearing on Student’s FAPE needs, nor would</w:t>
      </w:r>
      <w:r w:rsidR="007260B5">
        <w:rPr>
          <w:rFonts w:ascii="Aptos" w:hAnsi="Aptos" w:cs="Times New Roman"/>
          <w:sz w:val="25"/>
          <w:szCs w:val="25"/>
        </w:rPr>
        <w:t xml:space="preserve"> it</w:t>
      </w:r>
      <w:r w:rsidR="005F2273">
        <w:rPr>
          <w:rFonts w:ascii="Aptos" w:hAnsi="Aptos" w:cs="Times New Roman"/>
          <w:sz w:val="25"/>
          <w:szCs w:val="25"/>
        </w:rPr>
        <w:t xml:space="preserve"> seek to defend itself against the introduction of any </w:t>
      </w:r>
      <w:r w:rsidR="008740AF">
        <w:rPr>
          <w:rFonts w:ascii="Aptos" w:hAnsi="Aptos" w:cs="Times New Roman"/>
          <w:sz w:val="25"/>
          <w:szCs w:val="25"/>
        </w:rPr>
        <w:t xml:space="preserve">such </w:t>
      </w:r>
      <w:r w:rsidR="005F2273">
        <w:rPr>
          <w:rFonts w:ascii="Aptos" w:hAnsi="Aptos" w:cs="Times New Roman"/>
          <w:sz w:val="25"/>
          <w:szCs w:val="25"/>
        </w:rPr>
        <w:t xml:space="preserve">evidence.  </w:t>
      </w:r>
      <w:r w:rsidR="00645C1D">
        <w:rPr>
          <w:rFonts w:ascii="Aptos" w:hAnsi="Aptos" w:cs="Times New Roman"/>
          <w:sz w:val="25"/>
          <w:szCs w:val="25"/>
        </w:rPr>
        <w:br/>
      </w:r>
    </w:p>
    <w:p w14:paraId="24CFE3FE" w14:textId="39126D01" w:rsidR="00645C1D" w:rsidRPr="00606F06" w:rsidRDefault="00320A5B" w:rsidP="00F4022E">
      <w:pPr>
        <w:spacing w:after="0" w:line="240" w:lineRule="auto"/>
        <w:rPr>
          <w:rFonts w:ascii="Aptos" w:hAnsi="Aptos" w:cs="Times New Roman"/>
          <w:sz w:val="25"/>
          <w:szCs w:val="25"/>
        </w:rPr>
      </w:pPr>
      <w:r>
        <w:rPr>
          <w:rFonts w:ascii="Aptos" w:hAnsi="Aptos" w:cs="Times New Roman"/>
          <w:sz w:val="25"/>
          <w:szCs w:val="25"/>
        </w:rPr>
        <w:t>F</w:t>
      </w:r>
      <w:r w:rsidR="00D14866">
        <w:rPr>
          <w:rFonts w:ascii="Aptos" w:hAnsi="Aptos" w:cs="Times New Roman"/>
          <w:sz w:val="25"/>
          <w:szCs w:val="25"/>
        </w:rPr>
        <w:t>inally</w:t>
      </w:r>
      <w:r w:rsidR="007D2006">
        <w:rPr>
          <w:rFonts w:ascii="Aptos" w:hAnsi="Aptos" w:cs="Times New Roman"/>
          <w:sz w:val="25"/>
          <w:szCs w:val="25"/>
        </w:rPr>
        <w:t xml:space="preserve">, both agencies </w:t>
      </w:r>
      <w:r w:rsidR="00F12156">
        <w:rPr>
          <w:rFonts w:ascii="Aptos" w:hAnsi="Aptos" w:cs="Times New Roman"/>
          <w:sz w:val="25"/>
          <w:szCs w:val="25"/>
        </w:rPr>
        <w:t xml:space="preserve">contend that </w:t>
      </w:r>
      <w:r w:rsidR="00B4425A">
        <w:rPr>
          <w:rFonts w:ascii="Aptos" w:hAnsi="Aptos" w:cs="Times New Roman"/>
          <w:sz w:val="25"/>
          <w:szCs w:val="25"/>
        </w:rPr>
        <w:t xml:space="preserve">the BSEA has </w:t>
      </w:r>
      <w:r w:rsidR="00C7354D">
        <w:rPr>
          <w:rFonts w:ascii="Aptos" w:hAnsi="Aptos" w:cs="Times New Roman"/>
          <w:sz w:val="25"/>
          <w:szCs w:val="25"/>
        </w:rPr>
        <w:t xml:space="preserve">“consistently” </w:t>
      </w:r>
      <w:r w:rsidR="00F06AC1">
        <w:rPr>
          <w:rFonts w:ascii="Aptos" w:hAnsi="Aptos" w:cs="Times New Roman"/>
          <w:sz w:val="25"/>
          <w:szCs w:val="25"/>
        </w:rPr>
        <w:t xml:space="preserve">misinterpreted its authority </w:t>
      </w:r>
      <w:proofErr w:type="gramStart"/>
      <w:r w:rsidR="00F06AC1">
        <w:rPr>
          <w:rFonts w:ascii="Aptos" w:hAnsi="Aptos" w:cs="Times New Roman"/>
          <w:sz w:val="25"/>
          <w:szCs w:val="25"/>
        </w:rPr>
        <w:t>with regard to</w:t>
      </w:r>
      <w:proofErr w:type="gramEnd"/>
      <w:r w:rsidR="00F06AC1">
        <w:rPr>
          <w:rFonts w:ascii="Aptos" w:hAnsi="Aptos" w:cs="Times New Roman"/>
          <w:sz w:val="25"/>
          <w:szCs w:val="25"/>
        </w:rPr>
        <w:t xml:space="preserve"> </w:t>
      </w:r>
      <w:r w:rsidR="00793354">
        <w:rPr>
          <w:rFonts w:ascii="Aptos" w:hAnsi="Aptos" w:cs="Times New Roman"/>
          <w:sz w:val="25"/>
          <w:szCs w:val="25"/>
        </w:rPr>
        <w:t xml:space="preserve">its ability to </w:t>
      </w:r>
      <w:r w:rsidR="00795DA0">
        <w:rPr>
          <w:rFonts w:ascii="Aptos" w:hAnsi="Aptos" w:cs="Times New Roman"/>
          <w:sz w:val="25"/>
          <w:szCs w:val="25"/>
        </w:rPr>
        <w:t xml:space="preserve">issue </w:t>
      </w:r>
      <w:r w:rsidR="00793354">
        <w:rPr>
          <w:rFonts w:ascii="Aptos" w:hAnsi="Aptos" w:cs="Times New Roman"/>
          <w:sz w:val="25"/>
          <w:szCs w:val="25"/>
        </w:rPr>
        <w:t>order</w:t>
      </w:r>
      <w:r w:rsidR="00795DA0">
        <w:rPr>
          <w:rFonts w:ascii="Aptos" w:hAnsi="Aptos" w:cs="Times New Roman"/>
          <w:sz w:val="25"/>
          <w:szCs w:val="25"/>
        </w:rPr>
        <w:t>s</w:t>
      </w:r>
      <w:r w:rsidR="00793354">
        <w:rPr>
          <w:rFonts w:ascii="Aptos" w:hAnsi="Aptos" w:cs="Times New Roman"/>
          <w:sz w:val="25"/>
          <w:szCs w:val="25"/>
        </w:rPr>
        <w:t xml:space="preserve"> </w:t>
      </w:r>
      <w:r w:rsidR="00795DA0">
        <w:rPr>
          <w:rFonts w:ascii="Aptos" w:hAnsi="Aptos" w:cs="Times New Roman"/>
          <w:sz w:val="25"/>
          <w:szCs w:val="25"/>
        </w:rPr>
        <w:t xml:space="preserve">to any </w:t>
      </w:r>
      <w:r w:rsidR="00C60E92">
        <w:rPr>
          <w:rFonts w:ascii="Aptos" w:hAnsi="Aptos" w:cs="Times New Roman"/>
          <w:sz w:val="25"/>
          <w:szCs w:val="25"/>
        </w:rPr>
        <w:t xml:space="preserve">of the </w:t>
      </w:r>
      <w:r w:rsidR="00793354">
        <w:rPr>
          <w:rFonts w:ascii="Aptos" w:hAnsi="Aptos" w:cs="Times New Roman"/>
          <w:sz w:val="25"/>
          <w:szCs w:val="25"/>
        </w:rPr>
        <w:t>human services agencies identified in M.G.L. c. 71B §</w:t>
      </w:r>
      <w:r w:rsidR="007D7986">
        <w:rPr>
          <w:rFonts w:ascii="Aptos" w:hAnsi="Aptos" w:cs="Times New Roman"/>
          <w:sz w:val="25"/>
          <w:szCs w:val="25"/>
        </w:rPr>
        <w:t xml:space="preserve"> </w:t>
      </w:r>
      <w:r w:rsidR="00CD324F">
        <w:rPr>
          <w:rFonts w:ascii="Aptos" w:hAnsi="Aptos" w:cs="Times New Roman"/>
          <w:sz w:val="25"/>
          <w:szCs w:val="25"/>
        </w:rPr>
        <w:t>3</w:t>
      </w:r>
      <w:r w:rsidR="00C7354D">
        <w:rPr>
          <w:rFonts w:ascii="Aptos" w:hAnsi="Aptos" w:cs="Times New Roman"/>
          <w:sz w:val="25"/>
          <w:szCs w:val="25"/>
        </w:rPr>
        <w:t xml:space="preserve"> and </w:t>
      </w:r>
      <w:r w:rsidR="00C24FB7">
        <w:rPr>
          <w:rFonts w:ascii="Aptos" w:hAnsi="Aptos" w:cs="Times New Roman"/>
          <w:sz w:val="25"/>
          <w:szCs w:val="25"/>
        </w:rPr>
        <w:t xml:space="preserve">that </w:t>
      </w:r>
      <w:r w:rsidR="00C7354D">
        <w:rPr>
          <w:rFonts w:ascii="Aptos" w:hAnsi="Aptos" w:cs="Times New Roman"/>
          <w:sz w:val="25"/>
          <w:szCs w:val="25"/>
        </w:rPr>
        <w:t xml:space="preserve">BSEA decisions </w:t>
      </w:r>
      <w:r w:rsidR="00C24FB7">
        <w:rPr>
          <w:rFonts w:ascii="Aptos" w:hAnsi="Aptos" w:cs="Times New Roman"/>
          <w:sz w:val="25"/>
          <w:szCs w:val="25"/>
        </w:rPr>
        <w:t xml:space="preserve">ordering these </w:t>
      </w:r>
      <w:r w:rsidR="00C7354D">
        <w:rPr>
          <w:rFonts w:ascii="Aptos" w:hAnsi="Aptos" w:cs="Times New Roman"/>
          <w:sz w:val="25"/>
          <w:szCs w:val="25"/>
        </w:rPr>
        <w:t xml:space="preserve">agencies to provide </w:t>
      </w:r>
      <w:r w:rsidR="00B32B8D">
        <w:rPr>
          <w:rFonts w:ascii="Aptos" w:hAnsi="Aptos" w:cs="Times New Roman"/>
          <w:sz w:val="25"/>
          <w:szCs w:val="25"/>
        </w:rPr>
        <w:t xml:space="preserve">any services to </w:t>
      </w:r>
      <w:r w:rsidR="00C7354D">
        <w:rPr>
          <w:rFonts w:ascii="Aptos" w:hAnsi="Aptos" w:cs="Times New Roman"/>
          <w:sz w:val="25"/>
          <w:szCs w:val="25"/>
        </w:rPr>
        <w:t>s</w:t>
      </w:r>
      <w:r w:rsidR="00B32B8D">
        <w:rPr>
          <w:rFonts w:ascii="Aptos" w:hAnsi="Aptos" w:cs="Times New Roman"/>
          <w:sz w:val="25"/>
          <w:szCs w:val="25"/>
        </w:rPr>
        <w:t>tudent</w:t>
      </w:r>
      <w:r w:rsidR="00C7354D">
        <w:rPr>
          <w:rFonts w:ascii="Aptos" w:hAnsi="Aptos" w:cs="Times New Roman"/>
          <w:sz w:val="25"/>
          <w:szCs w:val="25"/>
        </w:rPr>
        <w:t>s</w:t>
      </w:r>
      <w:r w:rsidR="00B32B8D">
        <w:rPr>
          <w:rFonts w:ascii="Aptos" w:hAnsi="Aptos" w:cs="Times New Roman"/>
          <w:sz w:val="25"/>
          <w:szCs w:val="25"/>
        </w:rPr>
        <w:t xml:space="preserve"> (even if such services are otherwise </w:t>
      </w:r>
      <w:r w:rsidR="0038261F">
        <w:rPr>
          <w:rFonts w:ascii="Aptos" w:hAnsi="Aptos" w:cs="Times New Roman"/>
          <w:sz w:val="25"/>
          <w:szCs w:val="25"/>
        </w:rPr>
        <w:t>consistent with the agency’s</w:t>
      </w:r>
      <w:r w:rsidR="00B32B8D">
        <w:rPr>
          <w:rFonts w:ascii="Aptos" w:hAnsi="Aptos" w:cs="Times New Roman"/>
          <w:sz w:val="25"/>
          <w:szCs w:val="25"/>
        </w:rPr>
        <w:t xml:space="preserve"> rules, regulations or policies)</w:t>
      </w:r>
      <w:r w:rsidR="00C7354D">
        <w:rPr>
          <w:rFonts w:ascii="Aptos" w:hAnsi="Aptos" w:cs="Times New Roman"/>
          <w:sz w:val="25"/>
          <w:szCs w:val="25"/>
        </w:rPr>
        <w:t xml:space="preserve"> </w:t>
      </w:r>
      <w:r w:rsidR="0038261F">
        <w:rPr>
          <w:rFonts w:ascii="Aptos" w:hAnsi="Aptos" w:cs="Times New Roman"/>
          <w:sz w:val="25"/>
          <w:szCs w:val="25"/>
        </w:rPr>
        <w:t xml:space="preserve">are </w:t>
      </w:r>
      <w:r w:rsidR="00C7354D">
        <w:rPr>
          <w:rFonts w:ascii="Aptos" w:hAnsi="Aptos" w:cs="Times New Roman"/>
          <w:i/>
          <w:iCs/>
          <w:sz w:val="25"/>
          <w:szCs w:val="25"/>
        </w:rPr>
        <w:t>ultra vires</w:t>
      </w:r>
      <w:r w:rsidR="007D015C">
        <w:rPr>
          <w:rStyle w:val="FootnoteReference"/>
          <w:rFonts w:ascii="Aptos" w:hAnsi="Aptos" w:cs="Times New Roman"/>
          <w:i/>
          <w:iCs/>
          <w:sz w:val="25"/>
          <w:szCs w:val="25"/>
        </w:rPr>
        <w:footnoteReference w:id="8"/>
      </w:r>
      <w:r w:rsidR="00B32B8D">
        <w:rPr>
          <w:rFonts w:ascii="Aptos" w:hAnsi="Aptos" w:cs="Times New Roman"/>
          <w:sz w:val="25"/>
          <w:szCs w:val="25"/>
        </w:rPr>
        <w:t xml:space="preserve">.  </w:t>
      </w:r>
      <w:r w:rsidR="00431D12">
        <w:rPr>
          <w:rFonts w:ascii="Aptos" w:hAnsi="Aptos" w:cs="Times New Roman"/>
          <w:sz w:val="25"/>
          <w:szCs w:val="25"/>
        </w:rPr>
        <w:t xml:space="preserve">Relying on principles of legislative interpretation, </w:t>
      </w:r>
      <w:r w:rsidR="006C600B">
        <w:rPr>
          <w:rFonts w:ascii="Aptos" w:hAnsi="Aptos" w:cs="Times New Roman"/>
          <w:sz w:val="25"/>
          <w:szCs w:val="25"/>
        </w:rPr>
        <w:t>both agencies contend th</w:t>
      </w:r>
      <w:r w:rsidR="00431D12">
        <w:rPr>
          <w:rFonts w:ascii="Aptos" w:hAnsi="Aptos" w:cs="Times New Roman"/>
          <w:sz w:val="25"/>
          <w:szCs w:val="25"/>
        </w:rPr>
        <w:t>at</w:t>
      </w:r>
      <w:r w:rsidR="006C600B">
        <w:rPr>
          <w:rFonts w:ascii="Aptos" w:hAnsi="Aptos" w:cs="Times New Roman"/>
          <w:sz w:val="25"/>
          <w:szCs w:val="25"/>
        </w:rPr>
        <w:t xml:space="preserve"> the language of the statue (as it uses “determine” not “order” and “in accordance with” not “consistent with”) </w:t>
      </w:r>
      <w:r w:rsidR="00895C89">
        <w:rPr>
          <w:rFonts w:ascii="Aptos" w:hAnsi="Aptos" w:cs="Times New Roman"/>
          <w:sz w:val="25"/>
          <w:szCs w:val="25"/>
        </w:rPr>
        <w:t xml:space="preserve">does not actually grant the BSEA the authority </w:t>
      </w:r>
      <w:r w:rsidR="00363F45">
        <w:rPr>
          <w:rFonts w:ascii="Aptos" w:hAnsi="Aptos" w:cs="Times New Roman"/>
          <w:sz w:val="25"/>
          <w:szCs w:val="25"/>
        </w:rPr>
        <w:t xml:space="preserve">the BSEA </w:t>
      </w:r>
      <w:r w:rsidR="00895C89">
        <w:rPr>
          <w:rFonts w:ascii="Aptos" w:hAnsi="Aptos" w:cs="Times New Roman"/>
          <w:sz w:val="25"/>
          <w:szCs w:val="25"/>
        </w:rPr>
        <w:t xml:space="preserve">has historically interpreted it to </w:t>
      </w:r>
      <w:r w:rsidR="00363F45">
        <w:rPr>
          <w:rFonts w:ascii="Aptos" w:hAnsi="Aptos" w:cs="Times New Roman"/>
          <w:sz w:val="25"/>
          <w:szCs w:val="25"/>
        </w:rPr>
        <w:t>grant</w:t>
      </w:r>
      <w:r w:rsidR="00895C89">
        <w:rPr>
          <w:rFonts w:ascii="Aptos" w:hAnsi="Aptos" w:cs="Times New Roman"/>
          <w:sz w:val="25"/>
          <w:szCs w:val="25"/>
        </w:rPr>
        <w:t xml:space="preserve"> over these agencies</w:t>
      </w:r>
      <w:r w:rsidR="00310D33">
        <w:rPr>
          <w:rFonts w:ascii="Aptos" w:hAnsi="Aptos" w:cs="Times New Roman"/>
          <w:sz w:val="25"/>
          <w:szCs w:val="25"/>
        </w:rPr>
        <w:t>.  Further</w:t>
      </w:r>
      <w:r w:rsidR="00073F70">
        <w:rPr>
          <w:rFonts w:ascii="Aptos" w:hAnsi="Aptos" w:cs="Times New Roman"/>
          <w:sz w:val="25"/>
          <w:szCs w:val="25"/>
        </w:rPr>
        <w:t xml:space="preserve">, </w:t>
      </w:r>
      <w:r w:rsidR="00363F45">
        <w:rPr>
          <w:rFonts w:ascii="Aptos" w:hAnsi="Aptos" w:cs="Times New Roman"/>
          <w:sz w:val="25"/>
          <w:szCs w:val="25"/>
        </w:rPr>
        <w:t>the agencies</w:t>
      </w:r>
      <w:r w:rsidR="00073F70">
        <w:rPr>
          <w:rFonts w:ascii="Aptos" w:hAnsi="Aptos" w:cs="Times New Roman"/>
          <w:sz w:val="25"/>
          <w:szCs w:val="25"/>
        </w:rPr>
        <w:t xml:space="preserve"> mutually claim that</w:t>
      </w:r>
      <w:r w:rsidR="00310D33">
        <w:rPr>
          <w:rFonts w:ascii="Aptos" w:hAnsi="Aptos" w:cs="Times New Roman"/>
          <w:sz w:val="25"/>
          <w:szCs w:val="25"/>
        </w:rPr>
        <w:t xml:space="preserve"> the legislative history of </w:t>
      </w:r>
      <w:r w:rsidR="00D73466">
        <w:rPr>
          <w:rFonts w:ascii="Aptos" w:hAnsi="Aptos" w:cs="Times New Roman"/>
          <w:sz w:val="25"/>
          <w:szCs w:val="25"/>
        </w:rPr>
        <w:t>Chapter 159, s</w:t>
      </w:r>
      <w:r w:rsidR="00310D33">
        <w:rPr>
          <w:rFonts w:ascii="Aptos" w:hAnsi="Aptos" w:cs="Times New Roman"/>
          <w:sz w:val="25"/>
          <w:szCs w:val="25"/>
        </w:rPr>
        <w:t>ection</w:t>
      </w:r>
      <w:r w:rsidR="00D73466">
        <w:rPr>
          <w:rFonts w:ascii="Aptos" w:hAnsi="Aptos" w:cs="Times New Roman"/>
          <w:sz w:val="25"/>
          <w:szCs w:val="25"/>
        </w:rPr>
        <w:t xml:space="preserve"> </w:t>
      </w:r>
      <w:r w:rsidR="00310D33">
        <w:rPr>
          <w:rFonts w:ascii="Aptos" w:hAnsi="Aptos" w:cs="Times New Roman"/>
          <w:sz w:val="25"/>
          <w:szCs w:val="25"/>
        </w:rPr>
        <w:t>162</w:t>
      </w:r>
      <w:r w:rsidR="00D73466">
        <w:rPr>
          <w:rFonts w:ascii="Aptos" w:hAnsi="Aptos" w:cs="Times New Roman"/>
          <w:sz w:val="25"/>
          <w:szCs w:val="25"/>
        </w:rPr>
        <w:t xml:space="preserve"> of the Acts of 2000</w:t>
      </w:r>
      <w:r w:rsidR="00310D33">
        <w:rPr>
          <w:rFonts w:ascii="Aptos" w:hAnsi="Aptos" w:cs="Times New Roman"/>
          <w:sz w:val="25"/>
          <w:szCs w:val="25"/>
        </w:rPr>
        <w:t xml:space="preserve"> </w:t>
      </w:r>
      <w:r w:rsidR="004B07AB">
        <w:rPr>
          <w:rFonts w:ascii="Aptos" w:hAnsi="Aptos" w:cs="Times New Roman"/>
          <w:sz w:val="25"/>
          <w:szCs w:val="25"/>
        </w:rPr>
        <w:t xml:space="preserve">(Section 162) </w:t>
      </w:r>
      <w:r w:rsidR="00310D33">
        <w:rPr>
          <w:rFonts w:ascii="Aptos" w:hAnsi="Aptos" w:cs="Times New Roman"/>
          <w:sz w:val="25"/>
          <w:szCs w:val="25"/>
        </w:rPr>
        <w:t>(</w:t>
      </w:r>
      <w:r w:rsidR="00D73466">
        <w:rPr>
          <w:rFonts w:ascii="Aptos" w:hAnsi="Aptos" w:cs="Times New Roman"/>
          <w:sz w:val="25"/>
          <w:szCs w:val="25"/>
        </w:rPr>
        <w:t xml:space="preserve">the legislation </w:t>
      </w:r>
      <w:r w:rsidR="00D23567">
        <w:rPr>
          <w:rFonts w:ascii="Aptos" w:hAnsi="Aptos" w:cs="Times New Roman"/>
          <w:sz w:val="25"/>
          <w:szCs w:val="25"/>
        </w:rPr>
        <w:t>amending</w:t>
      </w:r>
      <w:r w:rsidR="00D73466">
        <w:rPr>
          <w:rFonts w:ascii="Aptos" w:hAnsi="Aptos" w:cs="Times New Roman"/>
          <w:sz w:val="25"/>
          <w:szCs w:val="25"/>
        </w:rPr>
        <w:t xml:space="preserve"> M.G.L. c. 71B </w:t>
      </w:r>
      <w:r w:rsidR="007D7986">
        <w:rPr>
          <w:rFonts w:ascii="Aptos" w:hAnsi="Aptos" w:cs="Times New Roman"/>
          <w:sz w:val="25"/>
          <w:szCs w:val="25"/>
        </w:rPr>
        <w:t xml:space="preserve">§ 3 </w:t>
      </w:r>
      <w:r w:rsidR="00D73466">
        <w:rPr>
          <w:rFonts w:ascii="Aptos" w:hAnsi="Aptos" w:cs="Times New Roman"/>
          <w:sz w:val="25"/>
          <w:szCs w:val="25"/>
        </w:rPr>
        <w:t xml:space="preserve">to </w:t>
      </w:r>
      <w:r w:rsidR="007C2E33">
        <w:rPr>
          <w:rFonts w:ascii="Aptos" w:hAnsi="Aptos" w:cs="Times New Roman"/>
          <w:sz w:val="25"/>
          <w:szCs w:val="25"/>
        </w:rPr>
        <w:t xml:space="preserve">include the language pertaining to the BSEA’s jurisdiction over state agencies), does not </w:t>
      </w:r>
      <w:r w:rsidR="00B712D7">
        <w:rPr>
          <w:rFonts w:ascii="Aptos" w:hAnsi="Aptos" w:cs="Times New Roman"/>
          <w:sz w:val="25"/>
          <w:szCs w:val="25"/>
        </w:rPr>
        <w:t xml:space="preserve">actually </w:t>
      </w:r>
      <w:r w:rsidR="003B1C8C">
        <w:rPr>
          <w:rFonts w:ascii="Aptos" w:hAnsi="Aptos" w:cs="Times New Roman"/>
          <w:sz w:val="25"/>
          <w:szCs w:val="25"/>
        </w:rPr>
        <w:t xml:space="preserve">support </w:t>
      </w:r>
      <w:r w:rsidR="00B712D7">
        <w:rPr>
          <w:rFonts w:ascii="Aptos" w:hAnsi="Aptos" w:cs="Times New Roman"/>
          <w:sz w:val="25"/>
          <w:szCs w:val="25"/>
        </w:rPr>
        <w:t xml:space="preserve">the BSEA’s long-held and mistaken </w:t>
      </w:r>
      <w:r w:rsidR="002B0930">
        <w:rPr>
          <w:rFonts w:ascii="Aptos" w:hAnsi="Aptos" w:cs="Times New Roman"/>
          <w:sz w:val="25"/>
          <w:szCs w:val="25"/>
        </w:rPr>
        <w:t xml:space="preserve">conclusion that </w:t>
      </w:r>
      <w:r w:rsidR="000C7560">
        <w:rPr>
          <w:rFonts w:ascii="Aptos" w:hAnsi="Aptos" w:cs="Times New Roman"/>
          <w:sz w:val="25"/>
          <w:szCs w:val="25"/>
        </w:rPr>
        <w:t xml:space="preserve">it can </w:t>
      </w:r>
      <w:r w:rsidR="002B0930">
        <w:rPr>
          <w:rFonts w:ascii="Aptos" w:hAnsi="Aptos" w:cs="Times New Roman"/>
          <w:sz w:val="25"/>
          <w:szCs w:val="25"/>
        </w:rPr>
        <w:t>order state agencies to provide services under any circumstances</w:t>
      </w:r>
      <w:r w:rsidR="002B0930">
        <w:rPr>
          <w:rStyle w:val="FootnoteReference"/>
          <w:rFonts w:ascii="Aptos" w:hAnsi="Aptos" w:cs="Times New Roman"/>
          <w:sz w:val="25"/>
          <w:szCs w:val="25"/>
        </w:rPr>
        <w:footnoteReference w:id="9"/>
      </w:r>
      <w:r w:rsidR="002B0930">
        <w:rPr>
          <w:rFonts w:ascii="Aptos" w:hAnsi="Aptos" w:cs="Times New Roman"/>
          <w:sz w:val="25"/>
          <w:szCs w:val="25"/>
        </w:rPr>
        <w:t>.</w:t>
      </w:r>
    </w:p>
    <w:p w14:paraId="556E1A6C" w14:textId="77777777" w:rsidR="00F4022E" w:rsidRDefault="00F4022E" w:rsidP="00F4022E">
      <w:pPr>
        <w:spacing w:after="0" w:line="240" w:lineRule="auto"/>
        <w:rPr>
          <w:rFonts w:ascii="Aptos" w:hAnsi="Aptos" w:cs="Times New Roman"/>
          <w:sz w:val="25"/>
          <w:szCs w:val="25"/>
        </w:rPr>
      </w:pPr>
    </w:p>
    <w:p w14:paraId="7BF87E84" w14:textId="77777777" w:rsidR="00F4022E" w:rsidRPr="000467B1" w:rsidRDefault="00F4022E" w:rsidP="00F4022E">
      <w:pPr>
        <w:spacing w:after="0" w:line="240" w:lineRule="auto"/>
        <w:rPr>
          <w:rFonts w:ascii="Aptos" w:hAnsi="Aptos" w:cs="Times New Roman"/>
          <w:b/>
          <w:bCs/>
          <w:sz w:val="25"/>
          <w:szCs w:val="25"/>
        </w:rPr>
      </w:pPr>
      <w:r w:rsidRPr="000467B1">
        <w:rPr>
          <w:rFonts w:ascii="Aptos" w:hAnsi="Aptos" w:cs="Times New Roman"/>
          <w:b/>
          <w:bCs/>
          <w:sz w:val="25"/>
          <w:szCs w:val="25"/>
        </w:rPr>
        <w:t>LEGAL STANDARD</w:t>
      </w:r>
      <w:r>
        <w:rPr>
          <w:rFonts w:ascii="Aptos" w:hAnsi="Aptos" w:cs="Times New Roman"/>
          <w:b/>
          <w:bCs/>
          <w:sz w:val="25"/>
          <w:szCs w:val="25"/>
        </w:rPr>
        <w:t>S</w:t>
      </w:r>
    </w:p>
    <w:p w14:paraId="2B54E69A" w14:textId="77777777" w:rsidR="00F4022E" w:rsidRDefault="00F4022E" w:rsidP="00F4022E">
      <w:pPr>
        <w:spacing w:after="0" w:line="240" w:lineRule="auto"/>
        <w:rPr>
          <w:rFonts w:ascii="Aptos" w:eastAsia="Times New Roman" w:hAnsi="Aptos" w:cs="Times New Roman"/>
          <w:bCs/>
          <w:color w:val="000000"/>
          <w:sz w:val="25"/>
          <w:szCs w:val="25"/>
        </w:rPr>
      </w:pPr>
    </w:p>
    <w:p w14:paraId="731F5A10" w14:textId="60EBC21A" w:rsidR="00F4022E" w:rsidRPr="000E459D" w:rsidRDefault="00F4022E" w:rsidP="00F4022E">
      <w:pPr>
        <w:spacing w:after="0" w:line="240" w:lineRule="auto"/>
        <w:rPr>
          <w:rFonts w:ascii="Aptos" w:eastAsia="Times New Roman" w:hAnsi="Aptos" w:cs="Times New Roman"/>
          <w:bCs/>
          <w:color w:val="000000"/>
        </w:rPr>
      </w:pPr>
      <w:r w:rsidRPr="00F50CE3">
        <w:rPr>
          <w:rFonts w:ascii="Aptos" w:eastAsia="Times New Roman" w:hAnsi="Aptos" w:cs="Times New Roman"/>
          <w:bCs/>
          <w:color w:val="000000"/>
          <w:sz w:val="25"/>
          <w:szCs w:val="25"/>
        </w:rPr>
        <w:t>Rule</w:t>
      </w:r>
      <w:r w:rsidRPr="000467B1">
        <w:rPr>
          <w:rFonts w:ascii="Aptos" w:eastAsia="Times New Roman" w:hAnsi="Aptos" w:cs="Times New Roman"/>
          <w:bCs/>
          <w:color w:val="000000"/>
          <w:sz w:val="25"/>
          <w:szCs w:val="25"/>
        </w:rPr>
        <w:t xml:space="preserve"> I(J) of the </w:t>
      </w:r>
      <w:r w:rsidRPr="000467B1">
        <w:rPr>
          <w:rFonts w:ascii="Aptos" w:eastAsia="Times New Roman" w:hAnsi="Aptos" w:cs="Times New Roman"/>
          <w:bCs/>
          <w:i/>
          <w:iCs/>
          <w:color w:val="000000"/>
          <w:sz w:val="25"/>
          <w:szCs w:val="25"/>
        </w:rPr>
        <w:t>Hearing Rules</w:t>
      </w:r>
      <w:r w:rsidRPr="000467B1">
        <w:rPr>
          <w:rFonts w:ascii="Aptos" w:eastAsia="Times New Roman" w:hAnsi="Aptos" w:cs="Times New Roman"/>
          <w:bCs/>
          <w:color w:val="000000"/>
          <w:sz w:val="25"/>
          <w:szCs w:val="25"/>
        </w:rPr>
        <w:t xml:space="preserve"> states that, </w:t>
      </w:r>
    </w:p>
    <w:p w14:paraId="14CF19E4" w14:textId="77777777" w:rsidR="00F4022E" w:rsidRPr="000467B1" w:rsidRDefault="00F4022E" w:rsidP="00F4022E">
      <w:pPr>
        <w:spacing w:after="0" w:line="240" w:lineRule="auto"/>
        <w:ind w:left="720" w:right="720"/>
        <w:rPr>
          <w:rFonts w:ascii="Aptos" w:eastAsia="Times New Roman" w:hAnsi="Aptos" w:cs="Times New Roman"/>
          <w:bCs/>
          <w:color w:val="000000"/>
          <w:sz w:val="25"/>
          <w:szCs w:val="25"/>
        </w:rPr>
      </w:pPr>
    </w:p>
    <w:p w14:paraId="6820FFE4" w14:textId="77777777" w:rsidR="00F4022E" w:rsidRPr="000467B1" w:rsidRDefault="00F4022E" w:rsidP="00F4022E">
      <w:pPr>
        <w:spacing w:after="0" w:line="240" w:lineRule="auto"/>
        <w:ind w:left="720" w:right="720"/>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w:t>
      </w:r>
      <w:r w:rsidRPr="000467B1">
        <w:rPr>
          <w:rFonts w:ascii="Aptos" w:eastAsia="Times New Roman" w:hAnsi="Aptos" w:cs="Times New Roman"/>
          <w:bCs/>
          <w:color w:val="000000"/>
          <w:sz w:val="25"/>
          <w:szCs w:val="25"/>
        </w:rPr>
        <w:lastRenderedPageBreak/>
        <w:t>cannot be disposed of in its absence.   Factors considered in</w:t>
      </w:r>
      <w:r>
        <w:rPr>
          <w:rFonts w:ascii="Aptos" w:eastAsia="Times New Roman" w:hAnsi="Aptos" w:cs="Times New Roman"/>
          <w:bCs/>
          <w:color w:val="000000"/>
          <w:sz w:val="25"/>
          <w:szCs w:val="25"/>
        </w:rPr>
        <w:t xml:space="preserve"> </w:t>
      </w:r>
      <w:r w:rsidRPr="000467B1">
        <w:rPr>
          <w:rFonts w:ascii="Aptos" w:eastAsia="Times New Roman" w:hAnsi="Aptos" w:cs="Times New Roman"/>
          <w:bCs/>
          <w:color w:val="000000"/>
          <w:sz w:val="25"/>
          <w:szCs w:val="25"/>
        </w:rPr>
        <w:t xml:space="preserve">determination of joinder </w:t>
      </w:r>
      <w:proofErr w:type="gramStart"/>
      <w:r w:rsidRPr="000467B1">
        <w:rPr>
          <w:rFonts w:ascii="Aptos" w:eastAsia="Times New Roman" w:hAnsi="Aptos" w:cs="Times New Roman"/>
          <w:bCs/>
          <w:color w:val="000000"/>
          <w:sz w:val="25"/>
          <w:szCs w:val="25"/>
        </w:rPr>
        <w:t>are:</w:t>
      </w:r>
      <w:proofErr w:type="gramEnd"/>
      <w:r w:rsidRPr="000467B1">
        <w:rPr>
          <w:rFonts w:ascii="Aptos" w:eastAsia="Times New Roman" w:hAnsi="Aptos" w:cs="Times New Roman"/>
          <w:bCs/>
          <w:color w:val="000000"/>
          <w:sz w:val="25"/>
          <w:szCs w:val="25"/>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5505B348" w14:textId="77777777" w:rsidR="00F4022E" w:rsidRPr="000467B1" w:rsidRDefault="00F4022E" w:rsidP="00F4022E">
      <w:pPr>
        <w:spacing w:after="0" w:line="240" w:lineRule="auto"/>
        <w:rPr>
          <w:rFonts w:ascii="Aptos" w:eastAsia="Times New Roman" w:hAnsi="Aptos" w:cs="Times New Roman"/>
          <w:bCs/>
          <w:color w:val="000000"/>
          <w:sz w:val="25"/>
          <w:szCs w:val="25"/>
        </w:rPr>
      </w:pPr>
    </w:p>
    <w:p w14:paraId="56BBA8BF" w14:textId="77777777" w:rsidR="00F4022E" w:rsidRPr="00331871" w:rsidRDefault="00F4022E" w:rsidP="00F4022E">
      <w:pPr>
        <w:spacing w:after="0" w:line="240" w:lineRule="auto"/>
        <w:rPr>
          <w:rFonts w:ascii="Aptos" w:eastAsia="Times New Roman" w:hAnsi="Aptos" w:cs="Times New Roman"/>
          <w:bCs/>
          <w:color w:val="000000"/>
          <w:sz w:val="25"/>
          <w:szCs w:val="25"/>
        </w:rPr>
      </w:pPr>
      <w:proofErr w:type="gramStart"/>
      <w:r w:rsidRPr="00331871">
        <w:rPr>
          <w:rFonts w:ascii="Aptos" w:eastAsia="Times New Roman" w:hAnsi="Aptos" w:cs="Times New Roman"/>
          <w:bCs/>
          <w:color w:val="000000"/>
          <w:sz w:val="25"/>
          <w:szCs w:val="25"/>
        </w:rPr>
        <w:t>In order for</w:t>
      </w:r>
      <w:proofErr w:type="gramEnd"/>
      <w:r w:rsidRPr="00331871">
        <w:rPr>
          <w:rFonts w:ascii="Aptos" w:eastAsia="Times New Roman" w:hAnsi="Aptos" w:cs="Times New Roman"/>
          <w:bCs/>
          <w:color w:val="000000"/>
          <w:sz w:val="25"/>
          <w:szCs w:val="25"/>
        </w:rPr>
        <w:t xml:space="preserve"> </w:t>
      </w:r>
      <w:r>
        <w:rPr>
          <w:rFonts w:ascii="Aptos" w:eastAsia="Times New Roman" w:hAnsi="Aptos" w:cs="Times New Roman"/>
          <w:bCs/>
          <w:color w:val="000000"/>
          <w:sz w:val="25"/>
          <w:szCs w:val="25"/>
        </w:rPr>
        <w:t xml:space="preserve">the BSEA to order a </w:t>
      </w:r>
      <w:r w:rsidRPr="00331871">
        <w:rPr>
          <w:rFonts w:ascii="Aptos" w:eastAsia="Times New Roman" w:hAnsi="Aptos" w:cs="Times New Roman"/>
          <w:bCs/>
          <w:color w:val="000000"/>
          <w:sz w:val="25"/>
          <w:szCs w:val="25"/>
        </w:rPr>
        <w:t xml:space="preserve">State agency to offer services, </w:t>
      </w:r>
      <w:r>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student must be eligible to receive </w:t>
      </w:r>
      <w:r>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services from that agency.  Under Mass. Gen. Laws c. 71B, § 3:</w:t>
      </w:r>
    </w:p>
    <w:p w14:paraId="78458E2F" w14:textId="77777777" w:rsidR="00F4022E" w:rsidRPr="00331871" w:rsidRDefault="00F4022E" w:rsidP="00F4022E">
      <w:pPr>
        <w:spacing w:after="0" w:line="240" w:lineRule="auto"/>
        <w:rPr>
          <w:rFonts w:ascii="Aptos" w:eastAsia="Times New Roman" w:hAnsi="Aptos" w:cs="Times New Roman"/>
          <w:bCs/>
          <w:color w:val="000000"/>
          <w:sz w:val="25"/>
          <w:szCs w:val="25"/>
        </w:rPr>
      </w:pPr>
    </w:p>
    <w:p w14:paraId="1F6CA95F" w14:textId="77777777" w:rsidR="00F4022E" w:rsidRPr="00331871" w:rsidRDefault="00F4022E" w:rsidP="00F4022E">
      <w:pPr>
        <w:spacing w:after="0" w:line="240" w:lineRule="auto"/>
        <w:ind w:left="720" w:right="720"/>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[BSEA] hearing officer may determine, in accordance with the rules, regulations and policies of the respective agencies, that services shall be provided by </w:t>
      </w:r>
      <w:r>
        <w:rPr>
          <w:rFonts w:ascii="Aptos" w:eastAsia="Times New Roman" w:hAnsi="Aptos" w:cs="Times New Roman"/>
          <w:bCs/>
          <w:color w:val="000000"/>
          <w:sz w:val="25"/>
          <w:szCs w:val="25"/>
        </w:rPr>
        <w:t>… any other state agency or program,</w:t>
      </w:r>
      <w:r w:rsidRPr="00331871">
        <w:rPr>
          <w:rFonts w:ascii="Aptos" w:eastAsia="Times New Roman" w:hAnsi="Aptos" w:cs="Times New Roman"/>
          <w:bCs/>
          <w:color w:val="000000"/>
          <w:sz w:val="25"/>
          <w:szCs w:val="25"/>
        </w:rPr>
        <w:t xml:space="preserve"> in addition to the program and related services to be provided by the school committee”</w:t>
      </w:r>
      <w:r>
        <w:rPr>
          <w:rStyle w:val="FootnoteReference"/>
          <w:rFonts w:ascii="Aptos" w:eastAsia="Times New Roman" w:hAnsi="Aptos" w:cs="Times New Roman"/>
          <w:bCs/>
          <w:color w:val="000000"/>
          <w:sz w:val="25"/>
          <w:szCs w:val="25"/>
        </w:rPr>
        <w:footnoteReference w:id="10"/>
      </w:r>
      <w:r w:rsidRPr="00331871">
        <w:rPr>
          <w:rFonts w:ascii="Aptos" w:eastAsia="Times New Roman" w:hAnsi="Aptos" w:cs="Times New Roman"/>
          <w:bCs/>
          <w:color w:val="000000"/>
          <w:sz w:val="25"/>
          <w:szCs w:val="25"/>
        </w:rPr>
        <w:t>.</w:t>
      </w:r>
    </w:p>
    <w:p w14:paraId="26AA6493" w14:textId="77777777" w:rsidR="00F4022E" w:rsidRPr="00331871" w:rsidRDefault="00F4022E" w:rsidP="00F4022E">
      <w:pPr>
        <w:spacing w:after="0" w:line="240" w:lineRule="auto"/>
        <w:rPr>
          <w:rFonts w:ascii="Aptos" w:eastAsia="Times New Roman" w:hAnsi="Aptos" w:cs="Times New Roman"/>
          <w:bCs/>
          <w:color w:val="000000"/>
          <w:sz w:val="25"/>
          <w:szCs w:val="25"/>
        </w:rPr>
      </w:pPr>
    </w:p>
    <w:p w14:paraId="71E124AE" w14:textId="77777777" w:rsidR="00F4022E" w:rsidRPr="00331871" w:rsidRDefault="00F4022E" w:rsidP="00F4022E">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”in addition to” language within the statute has been consistently interpreted by </w:t>
      </w:r>
      <w:r>
        <w:rPr>
          <w:rFonts w:ascii="Aptos" w:eastAsia="Times New Roman" w:hAnsi="Aptos" w:cs="Times New Roman"/>
          <w:bCs/>
          <w:color w:val="000000"/>
          <w:sz w:val="25"/>
          <w:szCs w:val="25"/>
        </w:rPr>
        <w:t xml:space="preserve">the </w:t>
      </w:r>
      <w:r w:rsidRPr="00331871">
        <w:rPr>
          <w:rFonts w:ascii="Aptos" w:eastAsia="Times New Roman" w:hAnsi="Aptos" w:cs="Times New Roman"/>
          <w:bCs/>
          <w:color w:val="000000"/>
          <w:sz w:val="25"/>
          <w:szCs w:val="25"/>
        </w:rPr>
        <w:t xml:space="preserve">BSEA to mean that if </w:t>
      </w:r>
      <w:r>
        <w:rPr>
          <w:rFonts w:ascii="Aptos" w:eastAsia="Times New Roman" w:hAnsi="Aptos" w:cs="Times New Roman"/>
          <w:bCs/>
          <w:color w:val="000000"/>
          <w:sz w:val="25"/>
          <w:szCs w:val="25"/>
        </w:rPr>
        <w:t xml:space="preserve">there are </w:t>
      </w:r>
      <w:r w:rsidRPr="00331871">
        <w:rPr>
          <w:rFonts w:ascii="Aptos" w:eastAsia="Times New Roman" w:hAnsi="Aptos" w:cs="Times New Roman"/>
          <w:bCs/>
          <w:color w:val="000000"/>
          <w:sz w:val="25"/>
          <w:szCs w:val="25"/>
        </w:rPr>
        <w:t>services that the human service agency provides in accordance with its rules and policies</w:t>
      </w:r>
      <w:r>
        <w:rPr>
          <w:rFonts w:ascii="Aptos" w:eastAsia="Times New Roman" w:hAnsi="Aptos" w:cs="Times New Roman"/>
          <w:bCs/>
          <w:color w:val="000000"/>
          <w:sz w:val="25"/>
          <w:szCs w:val="25"/>
        </w:rPr>
        <w:t xml:space="preserve"> that</w:t>
      </w:r>
      <w:r w:rsidRPr="00331871">
        <w:rPr>
          <w:rFonts w:ascii="Aptos" w:eastAsia="Times New Roman" w:hAnsi="Aptos" w:cs="Times New Roman"/>
          <w:bCs/>
          <w:color w:val="000000"/>
          <w:sz w:val="25"/>
          <w:szCs w:val="25"/>
        </w:rPr>
        <w:t xml:space="preserve"> are necessary for a student to access or benefit from the school district’s special education program “(over and above those services that are the responsibility of the school district)”, joinder may be appropriate</w:t>
      </w:r>
      <w:r w:rsidRPr="00331871">
        <w:rPr>
          <w:rStyle w:val="FootnoteReference"/>
          <w:rFonts w:ascii="Aptos" w:eastAsia="Times New Roman" w:hAnsi="Aptos" w:cs="Times New Roman"/>
          <w:bCs/>
          <w:color w:val="000000"/>
          <w:sz w:val="25"/>
          <w:szCs w:val="25"/>
        </w:rPr>
        <w:footnoteReference w:id="11"/>
      </w:r>
      <w:r w:rsidRPr="00331871">
        <w:rPr>
          <w:rFonts w:ascii="Aptos" w:eastAsia="Times New Roman" w:hAnsi="Aptos" w:cs="Times New Roman"/>
          <w:bCs/>
          <w:color w:val="000000"/>
          <w:sz w:val="25"/>
          <w:szCs w:val="25"/>
        </w:rPr>
        <w:t xml:space="preserve">.  </w:t>
      </w:r>
    </w:p>
    <w:p w14:paraId="726758DE" w14:textId="77777777" w:rsidR="00F4022E" w:rsidRPr="000467B1" w:rsidRDefault="00F4022E" w:rsidP="00F4022E">
      <w:pPr>
        <w:spacing w:after="0" w:line="240" w:lineRule="auto"/>
        <w:rPr>
          <w:rFonts w:ascii="Aptos" w:hAnsi="Aptos" w:cs="Times New Roman"/>
          <w:b/>
          <w:bCs/>
          <w:sz w:val="25"/>
          <w:szCs w:val="25"/>
        </w:rPr>
      </w:pPr>
    </w:p>
    <w:p w14:paraId="01C935A9" w14:textId="77777777" w:rsidR="00F4022E" w:rsidRPr="000467B1" w:rsidRDefault="00F4022E" w:rsidP="00F4022E">
      <w:pPr>
        <w:spacing w:after="0" w:line="240" w:lineRule="auto"/>
        <w:rPr>
          <w:rFonts w:ascii="Aptos" w:hAnsi="Aptos" w:cs="Times New Roman"/>
          <w:b/>
          <w:bCs/>
          <w:sz w:val="25"/>
          <w:szCs w:val="25"/>
        </w:rPr>
      </w:pPr>
      <w:r w:rsidRPr="000467B1">
        <w:rPr>
          <w:rFonts w:ascii="Aptos" w:hAnsi="Aptos" w:cs="Times New Roman"/>
          <w:b/>
          <w:bCs/>
          <w:sz w:val="25"/>
          <w:szCs w:val="25"/>
        </w:rPr>
        <w:t>APPLICATION OF LEGAL STANDARD</w:t>
      </w:r>
      <w:r>
        <w:rPr>
          <w:rFonts w:ascii="Aptos" w:hAnsi="Aptos" w:cs="Times New Roman"/>
          <w:b/>
          <w:bCs/>
          <w:sz w:val="25"/>
          <w:szCs w:val="25"/>
        </w:rPr>
        <w:t>S</w:t>
      </w:r>
    </w:p>
    <w:p w14:paraId="143322B3" w14:textId="77777777" w:rsidR="00F4022E" w:rsidRDefault="00F4022E" w:rsidP="00F4022E">
      <w:pPr>
        <w:spacing w:after="0" w:line="240" w:lineRule="auto"/>
        <w:rPr>
          <w:rFonts w:ascii="Aptos" w:hAnsi="Aptos"/>
          <w:sz w:val="25"/>
          <w:szCs w:val="25"/>
        </w:rPr>
      </w:pPr>
    </w:p>
    <w:p w14:paraId="68A183BD" w14:textId="7991B0D5" w:rsidR="00B41165" w:rsidRDefault="006C30BC" w:rsidP="00F4022E">
      <w:pPr>
        <w:spacing w:after="0" w:line="240" w:lineRule="auto"/>
        <w:rPr>
          <w:rFonts w:ascii="Aptos" w:hAnsi="Aptos"/>
          <w:sz w:val="25"/>
          <w:szCs w:val="25"/>
        </w:rPr>
      </w:pPr>
      <w:r>
        <w:rPr>
          <w:rFonts w:ascii="Aptos" w:hAnsi="Aptos"/>
          <w:sz w:val="25"/>
          <w:szCs w:val="25"/>
        </w:rPr>
        <w:t xml:space="preserve">To the extent that DMH and DCF </w:t>
      </w:r>
      <w:r w:rsidR="001379CB">
        <w:rPr>
          <w:rFonts w:ascii="Aptos" w:hAnsi="Aptos"/>
          <w:sz w:val="25"/>
          <w:szCs w:val="25"/>
        </w:rPr>
        <w:t xml:space="preserve">present the same arguments </w:t>
      </w:r>
      <w:r w:rsidR="006639A1">
        <w:rPr>
          <w:rFonts w:ascii="Aptos" w:hAnsi="Aptos"/>
          <w:sz w:val="25"/>
          <w:szCs w:val="25"/>
        </w:rPr>
        <w:t>made</w:t>
      </w:r>
      <w:r w:rsidR="001379CB">
        <w:rPr>
          <w:rFonts w:ascii="Aptos" w:hAnsi="Aptos"/>
          <w:sz w:val="25"/>
          <w:szCs w:val="25"/>
        </w:rPr>
        <w:t xml:space="preserve"> in their request for dismissal as parties in the Prior Matter, I </w:t>
      </w:r>
      <w:r w:rsidR="006639A1">
        <w:rPr>
          <w:rFonts w:ascii="Aptos" w:hAnsi="Aptos"/>
          <w:sz w:val="25"/>
          <w:szCs w:val="25"/>
        </w:rPr>
        <w:t>find</w:t>
      </w:r>
      <w:r w:rsidR="001379CB">
        <w:rPr>
          <w:rFonts w:ascii="Aptos" w:hAnsi="Aptos"/>
          <w:sz w:val="25"/>
          <w:szCs w:val="25"/>
        </w:rPr>
        <w:t xml:space="preserve"> no reason to </w:t>
      </w:r>
      <w:r w:rsidR="00B161A7">
        <w:rPr>
          <w:rFonts w:ascii="Aptos" w:hAnsi="Aptos"/>
          <w:sz w:val="25"/>
          <w:szCs w:val="25"/>
        </w:rPr>
        <w:t>alter</w:t>
      </w:r>
      <w:r w:rsidR="001379CB">
        <w:rPr>
          <w:rFonts w:ascii="Aptos" w:hAnsi="Aptos"/>
          <w:sz w:val="25"/>
          <w:szCs w:val="25"/>
        </w:rPr>
        <w:t xml:space="preserve"> my </w:t>
      </w:r>
      <w:r w:rsidR="006639A1">
        <w:rPr>
          <w:rFonts w:ascii="Aptos" w:hAnsi="Aptos"/>
          <w:sz w:val="25"/>
          <w:szCs w:val="25"/>
        </w:rPr>
        <w:t xml:space="preserve">prior </w:t>
      </w:r>
      <w:r w:rsidR="001379CB">
        <w:rPr>
          <w:rFonts w:ascii="Aptos" w:hAnsi="Aptos"/>
          <w:sz w:val="25"/>
          <w:szCs w:val="25"/>
        </w:rPr>
        <w:t xml:space="preserve">analysis </w:t>
      </w:r>
      <w:r w:rsidR="00730C11">
        <w:rPr>
          <w:rFonts w:ascii="Aptos" w:hAnsi="Aptos"/>
          <w:sz w:val="25"/>
          <w:szCs w:val="25"/>
        </w:rPr>
        <w:t xml:space="preserve">and rely on and incorporate </w:t>
      </w:r>
      <w:r w:rsidR="003A72E4">
        <w:rPr>
          <w:rFonts w:ascii="Aptos" w:hAnsi="Aptos"/>
          <w:sz w:val="25"/>
          <w:szCs w:val="25"/>
        </w:rPr>
        <w:t>that analysis</w:t>
      </w:r>
      <w:r w:rsidR="00730C11">
        <w:rPr>
          <w:rFonts w:ascii="Aptos" w:hAnsi="Aptos"/>
          <w:sz w:val="25"/>
          <w:szCs w:val="25"/>
        </w:rPr>
        <w:t xml:space="preserve"> herein.  </w:t>
      </w:r>
      <w:r w:rsidR="00B41165">
        <w:rPr>
          <w:rFonts w:ascii="Aptos" w:hAnsi="Aptos"/>
          <w:sz w:val="25"/>
          <w:szCs w:val="25"/>
        </w:rPr>
        <w:t xml:space="preserve">Specifically, </w:t>
      </w:r>
      <w:r w:rsidR="00CE517E">
        <w:rPr>
          <w:rFonts w:ascii="Aptos" w:hAnsi="Aptos"/>
          <w:sz w:val="25"/>
          <w:szCs w:val="25"/>
        </w:rPr>
        <w:t xml:space="preserve">as I reasoned in the </w:t>
      </w:r>
      <w:r w:rsidR="00CE517E">
        <w:rPr>
          <w:rFonts w:ascii="Aptos" w:hAnsi="Aptos"/>
          <w:i/>
          <w:iCs/>
          <w:sz w:val="25"/>
          <w:szCs w:val="25"/>
        </w:rPr>
        <w:t xml:space="preserve">Prior Matter </w:t>
      </w:r>
      <w:r w:rsidR="00CE517E" w:rsidRPr="00CE517E">
        <w:rPr>
          <w:rFonts w:ascii="Aptos" w:hAnsi="Aptos"/>
          <w:i/>
          <w:iCs/>
          <w:sz w:val="25"/>
          <w:szCs w:val="25"/>
        </w:rPr>
        <w:t>Ruling</w:t>
      </w:r>
      <w:r w:rsidR="00CE517E">
        <w:rPr>
          <w:rFonts w:ascii="Aptos" w:hAnsi="Aptos"/>
          <w:sz w:val="25"/>
          <w:szCs w:val="25"/>
        </w:rPr>
        <w:t xml:space="preserve">, </w:t>
      </w:r>
      <w:r w:rsidR="00B41165" w:rsidRPr="00CE517E">
        <w:rPr>
          <w:rFonts w:ascii="Aptos" w:hAnsi="Aptos"/>
          <w:sz w:val="25"/>
          <w:szCs w:val="25"/>
        </w:rPr>
        <w:t>it</w:t>
      </w:r>
      <w:r w:rsidR="00B41165">
        <w:rPr>
          <w:rFonts w:ascii="Aptos" w:hAnsi="Aptos"/>
          <w:sz w:val="25"/>
          <w:szCs w:val="25"/>
        </w:rPr>
        <w:t xml:space="preserve"> is still the case that, </w:t>
      </w:r>
    </w:p>
    <w:p w14:paraId="0B664C39" w14:textId="77777777" w:rsidR="00D65446" w:rsidRDefault="00D65446" w:rsidP="00F4022E">
      <w:pPr>
        <w:spacing w:after="0" w:line="240" w:lineRule="auto"/>
        <w:rPr>
          <w:rFonts w:ascii="Aptos" w:hAnsi="Aptos"/>
          <w:sz w:val="25"/>
          <w:szCs w:val="25"/>
        </w:rPr>
      </w:pPr>
    </w:p>
    <w:p w14:paraId="2667E2AD" w14:textId="2E994686" w:rsidR="00B41165" w:rsidRPr="00756CA6" w:rsidRDefault="00B41165" w:rsidP="00756CA6">
      <w:pPr>
        <w:spacing w:after="0" w:line="240" w:lineRule="auto"/>
        <w:ind w:left="720" w:right="720"/>
        <w:rPr>
          <w:rFonts w:ascii="Aptos" w:eastAsia="Times New Roman" w:hAnsi="Aptos" w:cs="Times New Roman"/>
          <w:bCs/>
          <w:color w:val="000000"/>
          <w:sz w:val="25"/>
          <w:szCs w:val="25"/>
        </w:rPr>
      </w:pPr>
      <w:r>
        <w:rPr>
          <w:rFonts w:ascii="Aptos" w:hAnsi="Aptos"/>
          <w:sz w:val="25"/>
          <w:szCs w:val="25"/>
        </w:rPr>
        <w:t>“</w:t>
      </w:r>
      <w:r w:rsidRPr="000467B1">
        <w:rPr>
          <w:rFonts w:ascii="Aptos" w:eastAsia="Times New Roman" w:hAnsi="Aptos" w:cs="Times New Roman"/>
          <w:bCs/>
          <w:color w:val="000000"/>
          <w:sz w:val="25"/>
          <w:szCs w:val="25"/>
        </w:rPr>
        <w:t xml:space="preserve">all factors </w:t>
      </w:r>
      <w:r>
        <w:rPr>
          <w:rFonts w:ascii="Aptos" w:eastAsia="Times New Roman" w:hAnsi="Aptos" w:cs="Times New Roman"/>
          <w:bCs/>
          <w:color w:val="000000"/>
          <w:sz w:val="25"/>
          <w:szCs w:val="25"/>
        </w:rPr>
        <w:t xml:space="preserve">that are to be </w:t>
      </w:r>
      <w:r w:rsidRPr="000467B1">
        <w:rPr>
          <w:rFonts w:ascii="Aptos" w:eastAsia="Times New Roman" w:hAnsi="Aptos" w:cs="Times New Roman"/>
          <w:bCs/>
          <w:color w:val="000000"/>
          <w:sz w:val="25"/>
          <w:szCs w:val="25"/>
        </w:rPr>
        <w:t>considered for joinder</w:t>
      </w:r>
      <w:r>
        <w:rPr>
          <w:rFonts w:ascii="Aptos" w:eastAsia="Times New Roman" w:hAnsi="Aptos" w:cs="Times New Roman"/>
          <w:bCs/>
          <w:color w:val="000000"/>
          <w:sz w:val="25"/>
          <w:szCs w:val="25"/>
        </w:rPr>
        <w:t xml:space="preserve"> </w:t>
      </w:r>
      <w:r w:rsidRPr="000467B1">
        <w:rPr>
          <w:rFonts w:ascii="Aptos" w:eastAsia="Times New Roman" w:hAnsi="Aptos" w:cs="Times New Roman"/>
          <w:bCs/>
          <w:color w:val="000000"/>
          <w:sz w:val="25"/>
          <w:szCs w:val="25"/>
        </w:rPr>
        <w:t xml:space="preserve">support </w:t>
      </w:r>
      <w:r>
        <w:rPr>
          <w:rFonts w:ascii="Aptos" w:eastAsia="Times New Roman" w:hAnsi="Aptos" w:cs="Times New Roman"/>
          <w:bCs/>
          <w:color w:val="000000"/>
          <w:sz w:val="25"/>
          <w:szCs w:val="25"/>
        </w:rPr>
        <w:t xml:space="preserve">both DCF and DMH remaining </w:t>
      </w:r>
      <w:r w:rsidRPr="000467B1">
        <w:rPr>
          <w:rFonts w:ascii="Aptos" w:eastAsia="Times New Roman" w:hAnsi="Aptos" w:cs="Times New Roman"/>
          <w:bCs/>
          <w:color w:val="000000"/>
          <w:sz w:val="25"/>
          <w:szCs w:val="25"/>
        </w:rPr>
        <w:t xml:space="preserve">as </w:t>
      </w:r>
      <w:r>
        <w:rPr>
          <w:rFonts w:ascii="Aptos" w:eastAsia="Times New Roman" w:hAnsi="Aptos" w:cs="Times New Roman"/>
          <w:bCs/>
          <w:color w:val="000000"/>
          <w:sz w:val="25"/>
          <w:szCs w:val="25"/>
        </w:rPr>
        <w:t>P</w:t>
      </w:r>
      <w:r w:rsidRPr="000467B1">
        <w:rPr>
          <w:rFonts w:ascii="Aptos" w:eastAsia="Times New Roman" w:hAnsi="Aptos" w:cs="Times New Roman"/>
          <w:bCs/>
          <w:color w:val="000000"/>
          <w:sz w:val="25"/>
          <w:szCs w:val="25"/>
        </w:rPr>
        <w:t>art</w:t>
      </w:r>
      <w:r>
        <w:rPr>
          <w:rFonts w:ascii="Aptos" w:eastAsia="Times New Roman" w:hAnsi="Aptos" w:cs="Times New Roman"/>
          <w:bCs/>
          <w:color w:val="000000"/>
          <w:sz w:val="25"/>
          <w:szCs w:val="25"/>
        </w:rPr>
        <w:t>ies</w:t>
      </w:r>
      <w:r w:rsidRPr="000467B1">
        <w:rPr>
          <w:rFonts w:ascii="Aptos" w:eastAsia="Times New Roman" w:hAnsi="Aptos" w:cs="Times New Roman"/>
          <w:bCs/>
          <w:color w:val="000000"/>
          <w:sz w:val="25"/>
          <w:szCs w:val="25"/>
        </w:rPr>
        <w:t>.</w:t>
      </w:r>
      <w:r w:rsidR="00F52B13">
        <w:rPr>
          <w:rFonts w:ascii="Aptos" w:eastAsia="Times New Roman" w:hAnsi="Aptos" w:cs="Times New Roman"/>
          <w:bCs/>
          <w:color w:val="000000"/>
          <w:sz w:val="25"/>
          <w:szCs w:val="25"/>
        </w:rPr>
        <w:t xml:space="preserve">… </w:t>
      </w:r>
      <w:r w:rsidR="00E96019">
        <w:rPr>
          <w:rFonts w:ascii="Aptos" w:eastAsia="Times New Roman" w:hAnsi="Aptos" w:cs="Times New Roman"/>
          <w:bCs/>
          <w:color w:val="000000"/>
          <w:sz w:val="25"/>
          <w:szCs w:val="25"/>
        </w:rPr>
        <w:t xml:space="preserve">  </w:t>
      </w:r>
      <w:r w:rsidR="006D7FDB">
        <w:rPr>
          <w:rFonts w:ascii="Aptos" w:eastAsia="Times New Roman" w:hAnsi="Aptos" w:cs="Times New Roman"/>
          <w:bCs/>
          <w:color w:val="000000"/>
          <w:sz w:val="25"/>
          <w:szCs w:val="25"/>
        </w:rPr>
        <w:t>[</w:t>
      </w:r>
      <w:r w:rsidR="00F52B13">
        <w:rPr>
          <w:rFonts w:ascii="Aptos" w:eastAsia="Times New Roman" w:hAnsi="Aptos" w:cs="Times New Roman"/>
          <w:bCs/>
          <w:color w:val="000000"/>
          <w:sz w:val="25"/>
          <w:szCs w:val="25"/>
        </w:rPr>
        <w:t>T</w:t>
      </w:r>
      <w:r w:rsidR="00F6280A">
        <w:rPr>
          <w:rFonts w:ascii="Aptos" w:eastAsia="Times New Roman" w:hAnsi="Aptos" w:cs="Times New Roman"/>
          <w:bCs/>
          <w:color w:val="000000"/>
          <w:sz w:val="25"/>
          <w:szCs w:val="25"/>
        </w:rPr>
        <w:t>]</w:t>
      </w:r>
      <w:proofErr w:type="gramStart"/>
      <w:r>
        <w:rPr>
          <w:rFonts w:ascii="Aptos" w:eastAsia="Times New Roman" w:hAnsi="Aptos" w:cs="Times New Roman"/>
          <w:bCs/>
          <w:color w:val="000000"/>
          <w:sz w:val="25"/>
          <w:szCs w:val="25"/>
        </w:rPr>
        <w:t>he</w:t>
      </w:r>
      <w:proofErr w:type="gramEnd"/>
      <w:r>
        <w:rPr>
          <w:rFonts w:ascii="Aptos" w:eastAsia="Times New Roman" w:hAnsi="Aptos" w:cs="Times New Roman"/>
          <w:bCs/>
          <w:color w:val="000000"/>
          <w:sz w:val="25"/>
          <w:szCs w:val="25"/>
        </w:rPr>
        <w:t xml:space="preserve"> BSEA is the appropriate forum to resolve the issues in Parent’s </w:t>
      </w:r>
      <w:r>
        <w:rPr>
          <w:rFonts w:ascii="Aptos" w:eastAsia="Times New Roman" w:hAnsi="Aptos" w:cs="Times New Roman"/>
          <w:bCs/>
          <w:i/>
          <w:iCs/>
          <w:color w:val="000000"/>
          <w:sz w:val="25"/>
          <w:szCs w:val="25"/>
        </w:rPr>
        <w:t>Hearing Request</w:t>
      </w:r>
      <w:r w:rsidRPr="000467B1">
        <w:rPr>
          <w:rStyle w:val="FootnoteReference"/>
          <w:rFonts w:ascii="Aptos" w:eastAsia="Times New Roman" w:hAnsi="Aptos" w:cs="Times New Roman"/>
          <w:bCs/>
          <w:color w:val="000000"/>
          <w:sz w:val="25"/>
          <w:szCs w:val="25"/>
        </w:rPr>
        <w:footnoteReference w:id="12"/>
      </w:r>
      <w:r>
        <w:rPr>
          <w:rFonts w:ascii="Aptos" w:eastAsia="Times New Roman" w:hAnsi="Aptos" w:cs="Times New Roman"/>
          <w:bCs/>
          <w:color w:val="000000"/>
          <w:sz w:val="25"/>
          <w:szCs w:val="25"/>
        </w:rPr>
        <w:t xml:space="preserve"> and </w:t>
      </w:r>
      <w:r w:rsidR="000E3469">
        <w:rPr>
          <w:rFonts w:ascii="Aptos" w:eastAsia="Times New Roman" w:hAnsi="Aptos" w:cs="Times New Roman"/>
          <w:bCs/>
          <w:color w:val="000000"/>
          <w:sz w:val="25"/>
          <w:szCs w:val="25"/>
        </w:rPr>
        <w:t>[failing to join]</w:t>
      </w:r>
      <w:r>
        <w:rPr>
          <w:rFonts w:ascii="Aptos" w:eastAsia="Times New Roman" w:hAnsi="Aptos" w:cs="Times New Roman"/>
          <w:bCs/>
          <w:color w:val="000000"/>
          <w:sz w:val="25"/>
          <w:szCs w:val="25"/>
        </w:rPr>
        <w:t xml:space="preserve"> DCF or DMH as a party could prejudice both Parent and the District</w:t>
      </w:r>
      <w:r w:rsidRPr="000467B1">
        <w:rPr>
          <w:rFonts w:ascii="Aptos" w:eastAsia="Times New Roman" w:hAnsi="Aptos" w:cs="Times New Roman"/>
          <w:bCs/>
          <w:color w:val="000000"/>
          <w:sz w:val="25"/>
          <w:szCs w:val="25"/>
        </w:rPr>
        <w:t>.</w:t>
      </w:r>
      <w:r>
        <w:rPr>
          <w:rFonts w:ascii="Aptos" w:eastAsia="Times New Roman" w:hAnsi="Aptos" w:cs="Times New Roman"/>
          <w:bCs/>
          <w:color w:val="000000"/>
          <w:sz w:val="25"/>
          <w:szCs w:val="25"/>
        </w:rPr>
        <w:t xml:space="preserve">  Both DCF and DMH acknowledge their pre-existing and ongoing support of Student’s mental health, behavioral and clinical needs.  </w:t>
      </w:r>
      <w:r w:rsidR="000E3469">
        <w:rPr>
          <w:rFonts w:ascii="Aptos" w:eastAsia="Times New Roman" w:hAnsi="Aptos" w:cs="Times New Roman"/>
          <w:bCs/>
          <w:color w:val="000000"/>
          <w:sz w:val="25"/>
          <w:szCs w:val="25"/>
        </w:rPr>
        <w:t>[</w:t>
      </w:r>
      <w:r w:rsidR="00131CAF">
        <w:rPr>
          <w:rFonts w:ascii="Aptos" w:eastAsia="Times New Roman" w:hAnsi="Aptos" w:cs="Times New Roman"/>
          <w:bCs/>
          <w:color w:val="000000"/>
          <w:sz w:val="25"/>
          <w:szCs w:val="25"/>
        </w:rPr>
        <w:t>Not joining]</w:t>
      </w:r>
      <w:r>
        <w:rPr>
          <w:rFonts w:ascii="Aptos" w:eastAsia="Times New Roman" w:hAnsi="Aptos" w:cs="Times New Roman"/>
          <w:bCs/>
          <w:color w:val="000000"/>
          <w:sz w:val="25"/>
          <w:szCs w:val="25"/>
        </w:rPr>
        <w:t xml:space="preserve"> either as Parties in a matter where evidence and testimony will primarily focus on the historical and current mental health and behavioral aspects of Student’s profile, risks loss of critical input that will be essential in determining the underlying issues to be addressed at hearing.  </w:t>
      </w:r>
      <w:r w:rsidR="00131CAF">
        <w:rPr>
          <w:rFonts w:ascii="Aptos" w:eastAsia="Times New Roman" w:hAnsi="Aptos" w:cs="Times New Roman"/>
          <w:bCs/>
          <w:color w:val="000000"/>
          <w:sz w:val="25"/>
          <w:szCs w:val="25"/>
        </w:rPr>
        <w:t xml:space="preserve">[Failing to </w:t>
      </w:r>
      <w:r w:rsidR="00131CAF">
        <w:rPr>
          <w:rFonts w:ascii="Aptos" w:eastAsia="Times New Roman" w:hAnsi="Aptos" w:cs="Times New Roman"/>
          <w:bCs/>
          <w:color w:val="000000"/>
          <w:sz w:val="25"/>
          <w:szCs w:val="25"/>
        </w:rPr>
        <w:lastRenderedPageBreak/>
        <w:t xml:space="preserve">join both agencies] </w:t>
      </w:r>
      <w:r>
        <w:rPr>
          <w:rFonts w:ascii="Aptos" w:eastAsia="Times New Roman" w:hAnsi="Aptos" w:cs="Times New Roman"/>
          <w:bCs/>
          <w:color w:val="000000"/>
          <w:sz w:val="25"/>
          <w:szCs w:val="25"/>
        </w:rPr>
        <w:t xml:space="preserve">could also prevent comprehensive relief </w:t>
      </w:r>
      <w:r w:rsidRPr="000467B1">
        <w:rPr>
          <w:rFonts w:ascii="Aptos" w:eastAsia="Times New Roman" w:hAnsi="Aptos" w:cs="Times New Roman"/>
          <w:bCs/>
          <w:color w:val="000000"/>
          <w:sz w:val="25"/>
          <w:szCs w:val="25"/>
        </w:rPr>
        <w:t xml:space="preserve">options that </w:t>
      </w:r>
      <w:r>
        <w:rPr>
          <w:rFonts w:ascii="Aptos" w:eastAsia="Times New Roman" w:hAnsi="Aptos" w:cs="Times New Roman"/>
          <w:bCs/>
          <w:color w:val="000000"/>
          <w:sz w:val="25"/>
          <w:szCs w:val="25"/>
        </w:rPr>
        <w:t>are</w:t>
      </w:r>
      <w:r w:rsidRPr="000467B1">
        <w:rPr>
          <w:rFonts w:ascii="Aptos" w:eastAsia="Times New Roman" w:hAnsi="Aptos" w:cs="Times New Roman"/>
          <w:bCs/>
          <w:color w:val="000000"/>
          <w:sz w:val="25"/>
          <w:szCs w:val="25"/>
        </w:rPr>
        <w:t xml:space="preserve"> not possible without </w:t>
      </w:r>
      <w:r>
        <w:rPr>
          <w:rFonts w:ascii="Aptos" w:eastAsia="Times New Roman" w:hAnsi="Aptos" w:cs="Times New Roman"/>
          <w:bCs/>
          <w:color w:val="000000"/>
          <w:sz w:val="25"/>
          <w:szCs w:val="25"/>
        </w:rPr>
        <w:t>the</w:t>
      </w:r>
      <w:r w:rsidRPr="000467B1">
        <w:rPr>
          <w:rFonts w:ascii="Aptos" w:eastAsia="Times New Roman" w:hAnsi="Aptos" w:cs="Times New Roman"/>
          <w:bCs/>
          <w:color w:val="000000"/>
          <w:sz w:val="25"/>
          <w:szCs w:val="25"/>
        </w:rPr>
        <w:t xml:space="preserve"> involvement</w:t>
      </w:r>
      <w:r>
        <w:rPr>
          <w:rFonts w:ascii="Aptos" w:eastAsia="Times New Roman" w:hAnsi="Aptos" w:cs="Times New Roman"/>
          <w:bCs/>
          <w:color w:val="000000"/>
          <w:sz w:val="25"/>
          <w:szCs w:val="25"/>
        </w:rPr>
        <w:t xml:space="preserve"> of either agency. </w:t>
      </w:r>
      <w:r w:rsidRPr="000467B1">
        <w:rPr>
          <w:rFonts w:ascii="Aptos" w:eastAsia="Times New Roman" w:hAnsi="Aptos" w:cs="Times New Roman"/>
          <w:bCs/>
          <w:color w:val="000000"/>
          <w:sz w:val="25"/>
          <w:szCs w:val="25"/>
        </w:rPr>
        <w:t xml:space="preserve"> Specifically, </w:t>
      </w:r>
      <w:r>
        <w:rPr>
          <w:rFonts w:ascii="Aptos" w:eastAsia="Times New Roman" w:hAnsi="Aptos" w:cs="Times New Roman"/>
          <w:bCs/>
          <w:color w:val="000000"/>
          <w:sz w:val="25"/>
          <w:szCs w:val="25"/>
        </w:rPr>
        <w:t>after a hearing on the merits it is feasible that I could determine that Student does not need residential services for educational reasons or otherwise requires ongoing and/or additional ancillary services from DCF and/or DMH to support him at home or to access his education whether at a day or residential school</w:t>
      </w:r>
      <w:r w:rsidRPr="000467B1">
        <w:rPr>
          <w:rFonts w:ascii="Aptos" w:eastAsia="Times New Roman" w:hAnsi="Aptos" w:cs="Times New Roman"/>
          <w:bCs/>
          <w:color w:val="000000"/>
          <w:sz w:val="25"/>
          <w:szCs w:val="25"/>
        </w:rPr>
        <w:t>.</w:t>
      </w:r>
      <w:r>
        <w:rPr>
          <w:rFonts w:ascii="Aptos" w:eastAsia="Times New Roman" w:hAnsi="Aptos" w:cs="Times New Roman"/>
          <w:bCs/>
          <w:color w:val="000000"/>
          <w:sz w:val="25"/>
          <w:szCs w:val="25"/>
        </w:rPr>
        <w:t xml:space="preserve">  I could not, however, order such relief, if I were to </w:t>
      </w:r>
      <w:r w:rsidR="006F206C">
        <w:rPr>
          <w:rFonts w:ascii="Aptos" w:eastAsia="Times New Roman" w:hAnsi="Aptos" w:cs="Times New Roman"/>
          <w:bCs/>
          <w:color w:val="000000"/>
          <w:sz w:val="25"/>
          <w:szCs w:val="25"/>
        </w:rPr>
        <w:t>[not join]</w:t>
      </w:r>
      <w:r>
        <w:rPr>
          <w:rFonts w:ascii="Aptos" w:eastAsia="Times New Roman" w:hAnsi="Aptos" w:cs="Times New Roman"/>
          <w:bCs/>
          <w:color w:val="000000"/>
          <w:sz w:val="25"/>
          <w:szCs w:val="25"/>
        </w:rPr>
        <w:t xml:space="preserve"> DCF or DMH as a party now</w:t>
      </w:r>
      <w:r w:rsidR="00756CA6">
        <w:rPr>
          <w:rFonts w:ascii="Aptos" w:eastAsia="Times New Roman" w:hAnsi="Aptos" w:cs="Times New Roman"/>
          <w:bCs/>
          <w:color w:val="000000"/>
          <w:sz w:val="25"/>
          <w:szCs w:val="25"/>
        </w:rPr>
        <w:t>”</w:t>
      </w:r>
      <w:r w:rsidR="00D975DC">
        <w:rPr>
          <w:rFonts w:ascii="Aptos" w:eastAsia="Times New Roman" w:hAnsi="Aptos" w:cs="Times New Roman"/>
          <w:bCs/>
          <w:color w:val="000000"/>
          <w:sz w:val="25"/>
          <w:szCs w:val="25"/>
        </w:rPr>
        <w:t>.</w:t>
      </w:r>
    </w:p>
    <w:p w14:paraId="3854A078" w14:textId="77777777" w:rsidR="00B41165" w:rsidRDefault="00B41165" w:rsidP="00F4022E">
      <w:pPr>
        <w:spacing w:after="0" w:line="240" w:lineRule="auto"/>
        <w:rPr>
          <w:rFonts w:ascii="Aptos" w:hAnsi="Aptos"/>
          <w:sz w:val="25"/>
          <w:szCs w:val="25"/>
        </w:rPr>
      </w:pPr>
    </w:p>
    <w:p w14:paraId="1FBE981A" w14:textId="493349C9" w:rsidR="004B3E24" w:rsidRDefault="000A3CC1" w:rsidP="00F4022E">
      <w:pPr>
        <w:spacing w:after="0" w:line="240" w:lineRule="auto"/>
        <w:rPr>
          <w:rFonts w:ascii="Aptos" w:hAnsi="Aptos"/>
          <w:sz w:val="25"/>
          <w:szCs w:val="25"/>
        </w:rPr>
      </w:pPr>
      <w:r>
        <w:rPr>
          <w:rFonts w:ascii="Aptos" w:hAnsi="Aptos"/>
          <w:sz w:val="25"/>
          <w:szCs w:val="25"/>
        </w:rPr>
        <w:t xml:space="preserve">DCF also now argues </w:t>
      </w:r>
      <w:r w:rsidRPr="000A3CC1">
        <w:rPr>
          <w:rFonts w:ascii="Aptos" w:hAnsi="Aptos"/>
          <w:sz w:val="25"/>
          <w:szCs w:val="25"/>
        </w:rPr>
        <w:t>that</w:t>
      </w:r>
      <w:r>
        <w:rPr>
          <w:rFonts w:ascii="Aptos" w:hAnsi="Aptos"/>
          <w:i/>
          <w:iCs/>
          <w:sz w:val="25"/>
          <w:szCs w:val="25"/>
        </w:rPr>
        <w:t xml:space="preserve"> </w:t>
      </w:r>
      <w:r w:rsidR="006F206C">
        <w:rPr>
          <w:rFonts w:ascii="Aptos" w:hAnsi="Aptos"/>
          <w:sz w:val="25"/>
          <w:szCs w:val="25"/>
        </w:rPr>
        <w:t xml:space="preserve">it should not be joined as </w:t>
      </w:r>
      <w:r w:rsidR="007326E9">
        <w:rPr>
          <w:rFonts w:ascii="Aptos" w:hAnsi="Aptos"/>
          <w:sz w:val="25"/>
          <w:szCs w:val="25"/>
        </w:rPr>
        <w:t xml:space="preserve">it will be closing its open clinical case on September 12, 2025 when it anticipates that the IHT services it provides to Parent and Student will end.  </w:t>
      </w:r>
      <w:r w:rsidR="00BA0D06">
        <w:rPr>
          <w:rFonts w:ascii="Aptos" w:hAnsi="Aptos"/>
          <w:sz w:val="25"/>
          <w:szCs w:val="25"/>
        </w:rPr>
        <w:t xml:space="preserve">While the closure of DCF’s open clinical case (after all appeal periods pertaining to this determination have run) will </w:t>
      </w:r>
      <w:r w:rsidR="009A45E7">
        <w:rPr>
          <w:rFonts w:ascii="Aptos" w:hAnsi="Aptos"/>
          <w:sz w:val="25"/>
          <w:szCs w:val="25"/>
        </w:rPr>
        <w:t>mean that Student is no longer a client of DCF’s and thus no longer eligible for any services from DCF, th</w:t>
      </w:r>
      <w:r>
        <w:rPr>
          <w:rFonts w:ascii="Aptos" w:hAnsi="Aptos"/>
          <w:sz w:val="25"/>
          <w:szCs w:val="25"/>
        </w:rPr>
        <w:t>is</w:t>
      </w:r>
      <w:r w:rsidR="009A45E7">
        <w:rPr>
          <w:rFonts w:ascii="Aptos" w:hAnsi="Aptos"/>
          <w:sz w:val="25"/>
          <w:szCs w:val="25"/>
        </w:rPr>
        <w:t xml:space="preserve"> has yet to occur</w:t>
      </w:r>
      <w:r w:rsidR="00EB1CC1">
        <w:rPr>
          <w:rStyle w:val="FootnoteReference"/>
          <w:rFonts w:ascii="Aptos" w:hAnsi="Aptos"/>
          <w:sz w:val="25"/>
          <w:szCs w:val="25"/>
        </w:rPr>
        <w:footnoteReference w:id="13"/>
      </w:r>
      <w:r w:rsidR="009A45E7">
        <w:rPr>
          <w:rFonts w:ascii="Aptos" w:hAnsi="Aptos"/>
          <w:sz w:val="25"/>
          <w:szCs w:val="25"/>
        </w:rPr>
        <w:t xml:space="preserve">.  </w:t>
      </w:r>
      <w:r w:rsidR="002B4773">
        <w:rPr>
          <w:rFonts w:ascii="Aptos" w:hAnsi="Aptos"/>
          <w:sz w:val="25"/>
          <w:szCs w:val="25"/>
        </w:rPr>
        <w:t>Currently</w:t>
      </w:r>
      <w:r w:rsidR="00553CBD">
        <w:rPr>
          <w:rFonts w:ascii="Aptos" w:hAnsi="Aptos"/>
          <w:sz w:val="25"/>
          <w:szCs w:val="25"/>
        </w:rPr>
        <w:t xml:space="preserve">, </w:t>
      </w:r>
      <w:r w:rsidR="00553420">
        <w:rPr>
          <w:rFonts w:ascii="Aptos" w:hAnsi="Aptos"/>
          <w:sz w:val="25"/>
          <w:szCs w:val="25"/>
        </w:rPr>
        <w:t>therefore,</w:t>
      </w:r>
      <w:r w:rsidR="00772496">
        <w:rPr>
          <w:rFonts w:ascii="Aptos" w:hAnsi="Aptos"/>
          <w:sz w:val="25"/>
          <w:szCs w:val="25"/>
        </w:rPr>
        <w:t xml:space="preserve"> contrary to DCF’s argument, it is </w:t>
      </w:r>
      <w:r w:rsidR="003D048F">
        <w:rPr>
          <w:rFonts w:ascii="Aptos" w:hAnsi="Aptos"/>
          <w:sz w:val="25"/>
          <w:szCs w:val="25"/>
        </w:rPr>
        <w:t>DCF’s</w:t>
      </w:r>
      <w:r w:rsidR="00772496">
        <w:rPr>
          <w:rFonts w:ascii="Aptos" w:hAnsi="Aptos"/>
          <w:sz w:val="25"/>
          <w:szCs w:val="25"/>
        </w:rPr>
        <w:t xml:space="preserve"> </w:t>
      </w:r>
      <w:r w:rsidR="00553CBD">
        <w:rPr>
          <w:rFonts w:ascii="Aptos" w:hAnsi="Aptos"/>
          <w:sz w:val="25"/>
          <w:szCs w:val="25"/>
        </w:rPr>
        <w:t>cessation of involvement</w:t>
      </w:r>
      <w:r w:rsidR="00553420">
        <w:rPr>
          <w:rFonts w:ascii="Aptos" w:hAnsi="Aptos"/>
          <w:sz w:val="25"/>
          <w:szCs w:val="25"/>
        </w:rPr>
        <w:t xml:space="preserve">, rather than its initiation of services </w:t>
      </w:r>
      <w:r w:rsidR="00772496">
        <w:rPr>
          <w:rFonts w:ascii="Aptos" w:hAnsi="Aptos"/>
          <w:sz w:val="25"/>
          <w:szCs w:val="25"/>
        </w:rPr>
        <w:t xml:space="preserve">that is </w:t>
      </w:r>
      <w:r w:rsidR="003D6D55">
        <w:rPr>
          <w:rFonts w:ascii="Aptos" w:hAnsi="Aptos"/>
          <w:sz w:val="25"/>
          <w:szCs w:val="25"/>
        </w:rPr>
        <w:t>“theoretically possible but speculative”</w:t>
      </w:r>
      <w:r w:rsidR="002B4773">
        <w:rPr>
          <w:rFonts w:ascii="Aptos" w:hAnsi="Aptos"/>
          <w:sz w:val="25"/>
          <w:szCs w:val="25"/>
        </w:rPr>
        <w:t xml:space="preserve">.  Since </w:t>
      </w:r>
      <w:r w:rsidR="00553420">
        <w:rPr>
          <w:rFonts w:ascii="Aptos" w:hAnsi="Aptos"/>
          <w:sz w:val="25"/>
          <w:szCs w:val="25"/>
        </w:rPr>
        <w:t xml:space="preserve">Student continues to receive services from DCF and has appeal rights </w:t>
      </w:r>
      <w:r w:rsidR="00D67AFC">
        <w:rPr>
          <w:rFonts w:ascii="Aptos" w:hAnsi="Aptos"/>
          <w:sz w:val="25"/>
          <w:szCs w:val="25"/>
        </w:rPr>
        <w:t>should such services end, the potential case closure does not provide justification to deny joinder of DCF now</w:t>
      </w:r>
      <w:r w:rsidR="00D90931">
        <w:rPr>
          <w:rFonts w:ascii="Aptos" w:hAnsi="Aptos"/>
          <w:sz w:val="25"/>
          <w:szCs w:val="25"/>
        </w:rPr>
        <w:t xml:space="preserve">.  </w:t>
      </w:r>
    </w:p>
    <w:p w14:paraId="3402EFFA" w14:textId="77777777" w:rsidR="002C47CD" w:rsidRDefault="002C47CD" w:rsidP="00F4022E">
      <w:pPr>
        <w:spacing w:after="0" w:line="240" w:lineRule="auto"/>
        <w:rPr>
          <w:rFonts w:ascii="Aptos" w:hAnsi="Aptos"/>
          <w:sz w:val="25"/>
          <w:szCs w:val="25"/>
        </w:rPr>
      </w:pPr>
    </w:p>
    <w:p w14:paraId="6F0901BD" w14:textId="70CD286C" w:rsidR="00A95E0E" w:rsidRDefault="003547BB" w:rsidP="00F4022E">
      <w:pPr>
        <w:spacing w:after="0" w:line="240" w:lineRule="auto"/>
        <w:rPr>
          <w:rFonts w:ascii="Aptos" w:hAnsi="Aptos"/>
          <w:sz w:val="25"/>
          <w:szCs w:val="25"/>
        </w:rPr>
      </w:pPr>
      <w:r>
        <w:t xml:space="preserve">DCF also argues that </w:t>
      </w:r>
      <w:r w:rsidR="00525B47">
        <w:t xml:space="preserve">a BSEA order that it </w:t>
      </w:r>
      <w:proofErr w:type="gramStart"/>
      <w:r>
        <w:t>provide</w:t>
      </w:r>
      <w:proofErr w:type="gramEnd"/>
      <w:r>
        <w:t xml:space="preserve"> services in support of Student’s educational needs </w:t>
      </w:r>
      <w:r w:rsidR="000758CE">
        <w:t>would be</w:t>
      </w:r>
      <w:r>
        <w:t xml:space="preserve"> contrary to its Family Assessment and Action Plan Policy (Policy #2017-01)</w:t>
      </w:r>
      <w:r w:rsidR="00F6280A">
        <w:t>,</w:t>
      </w:r>
      <w:r>
        <w:t xml:space="preserve"> which requires all services DCF considers </w:t>
      </w:r>
      <w:proofErr w:type="gramStart"/>
      <w:r>
        <w:t>to support</w:t>
      </w:r>
      <w:proofErr w:type="gramEnd"/>
      <w:r>
        <w:t xml:space="preserve"> a child’s receipt of or access to education to be “</w:t>
      </w:r>
      <w:r>
        <w:rPr>
          <w:i/>
          <w:iCs/>
        </w:rPr>
        <w:t xml:space="preserve">determined by the Department </w:t>
      </w:r>
      <w:r>
        <w:t>in partnership with the family” (emphasis in original).  However, this argument fails to account for Section II(D) of DCF’s Education Policy (Policy #97-002) that addresses DCF’s involvement with education for “Children in Open Cases and Not in Department Care or Custody”</w:t>
      </w:r>
      <w:r w:rsidR="00517717">
        <w:t>,</w:t>
      </w:r>
      <w:r>
        <w:t xml:space="preserve"> and requires that in such situations, DCF will “provide support and guidance to the parent(s)/ guardian(s) in addressing the child’s educational needs”, including, “through the action plan, the Social Worker and parent work together to develop a plan to address the child’s difficulties, including but not limited to: … exploring school-based and community-based supportive services; …”.  Although </w:t>
      </w:r>
      <w:r w:rsidR="00876BD0">
        <w:t xml:space="preserve">collaboration between DCF and a parent is part of both Policies, the </w:t>
      </w:r>
      <w:r>
        <w:t xml:space="preserve"> Education Policy does not </w:t>
      </w:r>
      <w:r w:rsidR="00876BD0">
        <w:t>require</w:t>
      </w:r>
      <w:r>
        <w:t xml:space="preserve"> </w:t>
      </w:r>
      <w:r w:rsidR="00451AF3">
        <w:t xml:space="preserve">its work </w:t>
      </w:r>
      <w:r w:rsidR="00876BD0">
        <w:t>to be “</w:t>
      </w:r>
      <w:r>
        <w:t>determined solely by DCF</w:t>
      </w:r>
      <w:proofErr w:type="gramStart"/>
      <w:r w:rsidR="00876BD0">
        <w:t>”</w:t>
      </w:r>
      <w:r>
        <w:t>, and</w:t>
      </w:r>
      <w:proofErr w:type="gramEnd"/>
      <w:r>
        <w:t xml:space="preserve"> thus </w:t>
      </w:r>
      <w:r w:rsidR="00EF32F4">
        <w:t xml:space="preserve">leaves room for a </w:t>
      </w:r>
      <w:r>
        <w:t xml:space="preserve">hearing officer </w:t>
      </w:r>
      <w:r w:rsidR="00EF32F4">
        <w:t xml:space="preserve">to issue orders </w:t>
      </w:r>
      <w:r>
        <w:t xml:space="preserve">that would comport with </w:t>
      </w:r>
      <w:r w:rsidR="00020E87">
        <w:t>it</w:t>
      </w:r>
      <w:r w:rsidR="002C47CD">
        <w:rPr>
          <w:rStyle w:val="FootnoteReference"/>
          <w:rFonts w:ascii="Aptos" w:hAnsi="Aptos"/>
          <w:sz w:val="25"/>
          <w:szCs w:val="25"/>
        </w:rPr>
        <w:footnoteReference w:id="14"/>
      </w:r>
      <w:r>
        <w:t>.</w:t>
      </w:r>
    </w:p>
    <w:p w14:paraId="71544306" w14:textId="77777777" w:rsidR="004B3E24" w:rsidRDefault="004B3E24" w:rsidP="00F4022E">
      <w:pPr>
        <w:spacing w:after="0" w:line="240" w:lineRule="auto"/>
        <w:rPr>
          <w:rFonts w:ascii="Aptos" w:hAnsi="Aptos"/>
          <w:sz w:val="25"/>
          <w:szCs w:val="25"/>
        </w:rPr>
      </w:pPr>
    </w:p>
    <w:p w14:paraId="07A8D1CE" w14:textId="0687EC23" w:rsidR="00C34E0C" w:rsidRDefault="00132900" w:rsidP="00F4022E">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I </w:t>
      </w:r>
      <w:r w:rsidR="006776D2">
        <w:rPr>
          <w:rFonts w:ascii="Aptos" w:eastAsia="Times New Roman" w:hAnsi="Aptos" w:cs="Times New Roman"/>
          <w:bCs/>
          <w:color w:val="000000"/>
          <w:sz w:val="25"/>
          <w:szCs w:val="25"/>
        </w:rPr>
        <w:t xml:space="preserve">turn now to </w:t>
      </w:r>
      <w:r>
        <w:rPr>
          <w:rFonts w:ascii="Aptos" w:eastAsia="Times New Roman" w:hAnsi="Aptos" w:cs="Times New Roman"/>
          <w:bCs/>
          <w:color w:val="000000"/>
          <w:sz w:val="25"/>
          <w:szCs w:val="25"/>
        </w:rPr>
        <w:t xml:space="preserve">address </w:t>
      </w:r>
      <w:r w:rsidR="0066725F">
        <w:rPr>
          <w:rFonts w:ascii="Aptos" w:eastAsia="Times New Roman" w:hAnsi="Aptos" w:cs="Times New Roman"/>
          <w:bCs/>
          <w:color w:val="000000"/>
          <w:sz w:val="25"/>
          <w:szCs w:val="25"/>
        </w:rPr>
        <w:t xml:space="preserve">the </w:t>
      </w:r>
      <w:r>
        <w:rPr>
          <w:rFonts w:ascii="Aptos" w:eastAsia="Times New Roman" w:hAnsi="Aptos" w:cs="Times New Roman"/>
          <w:bCs/>
          <w:i/>
          <w:iCs/>
          <w:color w:val="000000"/>
          <w:sz w:val="25"/>
          <w:szCs w:val="25"/>
        </w:rPr>
        <w:t xml:space="preserve">ultra vires </w:t>
      </w:r>
      <w:r>
        <w:rPr>
          <w:rFonts w:ascii="Aptos" w:eastAsia="Times New Roman" w:hAnsi="Aptos" w:cs="Times New Roman"/>
          <w:bCs/>
          <w:color w:val="000000"/>
          <w:sz w:val="25"/>
          <w:szCs w:val="25"/>
        </w:rPr>
        <w:t xml:space="preserve">claim.  </w:t>
      </w:r>
      <w:r w:rsidR="00ED126B">
        <w:rPr>
          <w:rFonts w:ascii="Aptos" w:eastAsia="Times New Roman" w:hAnsi="Aptos" w:cs="Times New Roman"/>
          <w:bCs/>
          <w:color w:val="000000"/>
          <w:sz w:val="25"/>
          <w:szCs w:val="25"/>
        </w:rPr>
        <w:t xml:space="preserve">Even taking as true the agencies’ premise that the use of “determine” </w:t>
      </w:r>
      <w:r w:rsidR="00E4783B">
        <w:rPr>
          <w:rFonts w:ascii="Aptos" w:eastAsia="Times New Roman" w:hAnsi="Aptos" w:cs="Times New Roman"/>
          <w:bCs/>
          <w:color w:val="000000"/>
          <w:sz w:val="25"/>
          <w:szCs w:val="25"/>
        </w:rPr>
        <w:t xml:space="preserve">in the statute means to make factual determinations, that does not mean there is no legal authority within the statute for the BSEA to issue </w:t>
      </w:r>
      <w:r w:rsidR="00AD7E37">
        <w:rPr>
          <w:rFonts w:ascii="Aptos" w:eastAsia="Times New Roman" w:hAnsi="Aptos" w:cs="Times New Roman"/>
          <w:bCs/>
          <w:color w:val="000000"/>
          <w:sz w:val="25"/>
          <w:szCs w:val="25"/>
        </w:rPr>
        <w:t xml:space="preserve">orders </w:t>
      </w:r>
      <w:r w:rsidR="00A700BA">
        <w:rPr>
          <w:rFonts w:ascii="Aptos" w:eastAsia="Times New Roman" w:hAnsi="Aptos" w:cs="Times New Roman"/>
          <w:bCs/>
          <w:color w:val="000000"/>
          <w:sz w:val="25"/>
          <w:szCs w:val="25"/>
        </w:rPr>
        <w:t xml:space="preserve">requiring them to provide services “in addition to” the </w:t>
      </w:r>
      <w:r w:rsidR="006D0B27">
        <w:rPr>
          <w:rFonts w:ascii="Aptos" w:eastAsia="Times New Roman" w:hAnsi="Aptos" w:cs="Times New Roman"/>
          <w:bCs/>
          <w:color w:val="000000"/>
          <w:sz w:val="25"/>
          <w:szCs w:val="25"/>
        </w:rPr>
        <w:t>services to be provided by the District, “in accordance with the rules, regulations and policies of the respective agencies”</w:t>
      </w:r>
      <w:r w:rsidR="007E5337">
        <w:rPr>
          <w:rStyle w:val="FootnoteReference"/>
          <w:rFonts w:ascii="Aptos" w:eastAsia="Times New Roman" w:hAnsi="Aptos" w:cs="Times New Roman"/>
          <w:bCs/>
          <w:color w:val="000000"/>
          <w:sz w:val="25"/>
          <w:szCs w:val="25"/>
        </w:rPr>
        <w:footnoteReference w:id="15"/>
      </w:r>
      <w:r w:rsidR="006D0B27">
        <w:rPr>
          <w:rFonts w:ascii="Aptos" w:eastAsia="Times New Roman" w:hAnsi="Aptos" w:cs="Times New Roman"/>
          <w:bCs/>
          <w:color w:val="000000"/>
          <w:sz w:val="25"/>
          <w:szCs w:val="25"/>
        </w:rPr>
        <w:t xml:space="preserve">.  </w:t>
      </w:r>
      <w:r w:rsidR="006A1DCB">
        <w:rPr>
          <w:rFonts w:ascii="Aptos" w:eastAsia="Times New Roman" w:hAnsi="Aptos" w:cs="Times New Roman"/>
          <w:bCs/>
          <w:color w:val="000000"/>
          <w:sz w:val="25"/>
          <w:szCs w:val="25"/>
        </w:rPr>
        <w:t>Moreove</w:t>
      </w:r>
      <w:r w:rsidR="00CB08FC">
        <w:rPr>
          <w:rFonts w:ascii="Aptos" w:eastAsia="Times New Roman" w:hAnsi="Aptos" w:cs="Times New Roman"/>
          <w:bCs/>
          <w:color w:val="000000"/>
          <w:sz w:val="25"/>
          <w:szCs w:val="25"/>
        </w:rPr>
        <w:t xml:space="preserve">r, the BSEA’s interpretation of the statutory language in question has </w:t>
      </w:r>
      <w:r w:rsidR="00C114F0">
        <w:rPr>
          <w:rFonts w:ascii="Aptos" w:eastAsia="Times New Roman" w:hAnsi="Aptos" w:cs="Times New Roman"/>
          <w:bCs/>
          <w:color w:val="000000"/>
          <w:sz w:val="25"/>
          <w:szCs w:val="25"/>
        </w:rPr>
        <w:t>been consistently applied for almost a quarter of a cent</w:t>
      </w:r>
      <w:r w:rsidR="004D63B3">
        <w:rPr>
          <w:rFonts w:ascii="Aptos" w:eastAsia="Times New Roman" w:hAnsi="Aptos" w:cs="Times New Roman"/>
          <w:bCs/>
          <w:color w:val="000000"/>
          <w:sz w:val="25"/>
          <w:szCs w:val="25"/>
        </w:rPr>
        <w:t xml:space="preserve">ury, and was based on a detailed, thorough and well-reasoned analysis of the </w:t>
      </w:r>
      <w:r w:rsidR="000F3DCF">
        <w:rPr>
          <w:rFonts w:ascii="Aptos" w:eastAsia="Times New Roman" w:hAnsi="Aptos" w:cs="Times New Roman"/>
          <w:bCs/>
          <w:color w:val="000000"/>
          <w:sz w:val="25"/>
          <w:szCs w:val="25"/>
        </w:rPr>
        <w:t>language, legislative intent and its interaction with the requirements of the IDEA</w:t>
      </w:r>
      <w:r w:rsidR="005129F4">
        <w:rPr>
          <w:rFonts w:ascii="Aptos" w:eastAsia="Times New Roman" w:hAnsi="Aptos" w:cs="Times New Roman"/>
          <w:bCs/>
          <w:color w:val="000000"/>
          <w:sz w:val="25"/>
          <w:szCs w:val="25"/>
        </w:rPr>
        <w:t>,</w:t>
      </w:r>
      <w:r w:rsidR="000F3DCF">
        <w:rPr>
          <w:rFonts w:ascii="Aptos" w:eastAsia="Times New Roman" w:hAnsi="Aptos" w:cs="Times New Roman"/>
          <w:bCs/>
          <w:color w:val="000000"/>
          <w:sz w:val="25"/>
          <w:szCs w:val="25"/>
        </w:rPr>
        <w:t xml:space="preserve"> shortly after the a</w:t>
      </w:r>
      <w:r w:rsidR="008778E5">
        <w:rPr>
          <w:rFonts w:ascii="Aptos" w:eastAsia="Times New Roman" w:hAnsi="Aptos" w:cs="Times New Roman"/>
          <w:bCs/>
          <w:color w:val="000000"/>
          <w:sz w:val="25"/>
          <w:szCs w:val="25"/>
        </w:rPr>
        <w:t>mendment adding this provision was made</w:t>
      </w:r>
      <w:r w:rsidR="001E1953">
        <w:rPr>
          <w:rStyle w:val="FootnoteReference"/>
          <w:rFonts w:ascii="Aptos" w:eastAsia="Times New Roman" w:hAnsi="Aptos" w:cs="Times New Roman"/>
          <w:bCs/>
          <w:color w:val="000000"/>
          <w:sz w:val="25"/>
          <w:szCs w:val="25"/>
        </w:rPr>
        <w:footnoteReference w:id="16"/>
      </w:r>
      <w:r w:rsidR="008778E5">
        <w:rPr>
          <w:rFonts w:ascii="Aptos" w:eastAsia="Times New Roman" w:hAnsi="Aptos" w:cs="Times New Roman"/>
          <w:bCs/>
          <w:color w:val="000000"/>
          <w:sz w:val="25"/>
          <w:szCs w:val="25"/>
        </w:rPr>
        <w:t xml:space="preserve">.  I </w:t>
      </w:r>
      <w:r w:rsidR="00F437A0">
        <w:rPr>
          <w:rFonts w:ascii="Aptos" w:eastAsia="Times New Roman" w:hAnsi="Aptos" w:cs="Times New Roman"/>
          <w:bCs/>
          <w:color w:val="000000"/>
          <w:sz w:val="25"/>
          <w:szCs w:val="25"/>
        </w:rPr>
        <w:t xml:space="preserve">find that analysis was </w:t>
      </w:r>
      <w:r w:rsidR="00281F22">
        <w:rPr>
          <w:rFonts w:ascii="Aptos" w:eastAsia="Times New Roman" w:hAnsi="Aptos" w:cs="Times New Roman"/>
          <w:bCs/>
          <w:color w:val="000000"/>
          <w:sz w:val="25"/>
          <w:szCs w:val="25"/>
        </w:rPr>
        <w:t>proper,</w:t>
      </w:r>
      <w:r w:rsidR="001E1953">
        <w:rPr>
          <w:rFonts w:ascii="Aptos" w:eastAsia="Times New Roman" w:hAnsi="Aptos" w:cs="Times New Roman"/>
          <w:bCs/>
          <w:color w:val="000000"/>
          <w:sz w:val="25"/>
          <w:szCs w:val="25"/>
        </w:rPr>
        <w:t xml:space="preserve"> and </w:t>
      </w:r>
      <w:r w:rsidR="001E1953" w:rsidRPr="001E1953">
        <w:rPr>
          <w:rFonts w:ascii="Aptos" w:eastAsia="Times New Roman" w:hAnsi="Aptos" w:cs="Times New Roman"/>
          <w:bCs/>
          <w:color w:val="000000"/>
          <w:sz w:val="25"/>
          <w:szCs w:val="25"/>
        </w:rPr>
        <w:t xml:space="preserve">I adopt it and incorporate it herein.  Specifically, as Hearing Officer </w:t>
      </w:r>
      <w:r w:rsidR="001E1953">
        <w:rPr>
          <w:rFonts w:ascii="Aptos" w:eastAsia="Times New Roman" w:hAnsi="Aptos" w:cs="Times New Roman"/>
          <w:bCs/>
          <w:color w:val="000000"/>
          <w:sz w:val="25"/>
          <w:szCs w:val="25"/>
        </w:rPr>
        <w:t xml:space="preserve">Crane </w:t>
      </w:r>
      <w:r w:rsidR="00C41879">
        <w:rPr>
          <w:rFonts w:ascii="Aptos" w:eastAsia="Times New Roman" w:hAnsi="Aptos" w:cs="Times New Roman"/>
          <w:bCs/>
          <w:color w:val="000000"/>
          <w:sz w:val="25"/>
          <w:szCs w:val="25"/>
        </w:rPr>
        <w:t>concluded</w:t>
      </w:r>
      <w:r w:rsidR="00EF32F4">
        <w:rPr>
          <w:rFonts w:ascii="Aptos" w:eastAsia="Times New Roman" w:hAnsi="Aptos" w:cs="Times New Roman"/>
          <w:bCs/>
          <w:color w:val="000000"/>
          <w:sz w:val="25"/>
          <w:szCs w:val="25"/>
        </w:rPr>
        <w:t xml:space="preserve"> in </w:t>
      </w:r>
      <w:r w:rsidR="00EF32F4">
        <w:rPr>
          <w:rFonts w:ascii="Aptos" w:eastAsia="Times New Roman" w:hAnsi="Aptos" w:cs="Times New Roman"/>
          <w:bCs/>
          <w:i/>
          <w:iCs/>
          <w:color w:val="000000"/>
          <w:sz w:val="25"/>
          <w:szCs w:val="25"/>
        </w:rPr>
        <w:t>Medford</w:t>
      </w:r>
      <w:r w:rsidR="001E1953">
        <w:rPr>
          <w:rFonts w:ascii="Aptos" w:eastAsia="Times New Roman" w:hAnsi="Aptos" w:cs="Times New Roman"/>
          <w:bCs/>
          <w:color w:val="000000"/>
          <w:sz w:val="25"/>
          <w:szCs w:val="25"/>
        </w:rPr>
        <w:t>,</w:t>
      </w:r>
    </w:p>
    <w:p w14:paraId="05D0F8FB" w14:textId="77777777" w:rsidR="00C34E0C" w:rsidRDefault="00C34E0C" w:rsidP="00F4022E">
      <w:pPr>
        <w:spacing w:after="0" w:line="240" w:lineRule="auto"/>
        <w:rPr>
          <w:rFonts w:ascii="Aptos" w:eastAsia="Times New Roman" w:hAnsi="Aptos" w:cs="Times New Roman"/>
          <w:bCs/>
          <w:color w:val="000000"/>
          <w:sz w:val="25"/>
          <w:szCs w:val="25"/>
        </w:rPr>
      </w:pPr>
    </w:p>
    <w:p w14:paraId="0E8C012A" w14:textId="52178DB8" w:rsidR="00C34E0C" w:rsidRDefault="00C34E0C" w:rsidP="00137D8B">
      <w:pPr>
        <w:spacing w:after="0" w:line="240" w:lineRule="auto"/>
        <w:ind w:left="720" w:right="720"/>
      </w:pPr>
      <w:r>
        <w:rPr>
          <w:rFonts w:ascii="Aptos" w:eastAsia="Times New Roman" w:hAnsi="Aptos" w:cs="Times New Roman"/>
          <w:bCs/>
          <w:color w:val="000000"/>
          <w:sz w:val="25"/>
          <w:szCs w:val="25"/>
        </w:rPr>
        <w:t>“</w:t>
      </w:r>
      <w:r w:rsidR="000939AD" w:rsidRPr="007436FD">
        <w:t>An essential purpose of Section 162 (and accompanying regulations) is to provide a mechanism (through the BSEA) to ensure that all services necessary for a student to receive what he or she is entitled to under special education law will in fact be provided, even when additional services must be provided by one of the referenced human service agencies</w:t>
      </w:r>
      <w:r w:rsidR="000939AD">
        <w:t xml:space="preserve">….  </w:t>
      </w:r>
      <w:r w:rsidR="000939AD">
        <w:rPr>
          <w:rFonts w:ascii="Aptos" w:eastAsia="Times New Roman" w:hAnsi="Aptos" w:cs="Times New Roman"/>
          <w:bCs/>
          <w:color w:val="000000"/>
          <w:sz w:val="25"/>
          <w:szCs w:val="25"/>
        </w:rPr>
        <w:t>A</w:t>
      </w:r>
      <w:r w:rsidRPr="007436FD">
        <w:t xml:space="preserve"> BSEA Hearing Officer has the authority to order a human services agency to provide services beyond what the Hearing Officer determines to be the responsibility of the school district. Such an order should be limited to what is necessary to ensure that the federal and state special education obligations to a child are sati</w:t>
      </w:r>
      <w:r w:rsidR="009F2B6E">
        <w:t xml:space="preserve">sfied … [and] </w:t>
      </w:r>
      <w:r w:rsidRPr="007436FD">
        <w:t>must be consistent with that agency’s statutory, regulatory and policy standards setting forth what services are delivered by the agency and to whom those services are provided. The BSEA Hearing Officer should act pursuant to the federal and state statutes, regulations and procedural rules specifically governing BSEA proceedings rather than stepping into the shoes of (and operating under the statutes, regulations and procedural rules governing) a Hearing Officer appointed by the human service agency</w:t>
      </w:r>
      <w:r w:rsidR="001E2359">
        <w:t>”</w:t>
      </w:r>
      <w:r w:rsidR="009D76FC">
        <w:rPr>
          <w:rStyle w:val="FootnoteReference"/>
        </w:rPr>
        <w:footnoteReference w:id="17"/>
      </w:r>
      <w:r w:rsidR="006A1082">
        <w:t>.</w:t>
      </w:r>
    </w:p>
    <w:p w14:paraId="7A6F18EB" w14:textId="77777777" w:rsidR="00281F22" w:rsidRDefault="00281F22" w:rsidP="00137D8B">
      <w:pPr>
        <w:spacing w:after="0" w:line="240" w:lineRule="auto"/>
        <w:ind w:left="720" w:right="720"/>
      </w:pPr>
    </w:p>
    <w:p w14:paraId="1D259EA5" w14:textId="7F6F0FAB" w:rsidR="00546E67" w:rsidRDefault="00B45DD1" w:rsidP="00546E67">
      <w:pPr>
        <w:spacing w:after="0" w:line="240" w:lineRule="auto"/>
      </w:pPr>
      <w:r w:rsidRPr="00137D8B">
        <w:t xml:space="preserve">Further, Hearing Officer Crane </w:t>
      </w:r>
      <w:r w:rsidR="0066725F">
        <w:t xml:space="preserve">analyzed </w:t>
      </w:r>
      <w:r w:rsidRPr="00137D8B">
        <w:t>the meaning of “in accordance with” as it applied to the</w:t>
      </w:r>
      <w:r w:rsidR="0050059D" w:rsidRPr="00137D8B">
        <w:t xml:space="preserve"> three</w:t>
      </w:r>
      <w:r w:rsidRPr="00137D8B">
        <w:t xml:space="preserve"> agen</w:t>
      </w:r>
      <w:r w:rsidR="002A4B38" w:rsidRPr="00137D8B">
        <w:t xml:space="preserve">cies involved in </w:t>
      </w:r>
      <w:r w:rsidR="002A4B38" w:rsidRPr="00137D8B">
        <w:rPr>
          <w:i/>
          <w:iCs/>
        </w:rPr>
        <w:t>Medford</w:t>
      </w:r>
      <w:r w:rsidR="002A4B38" w:rsidRPr="00137D8B">
        <w:t xml:space="preserve"> </w:t>
      </w:r>
      <w:r w:rsidR="009717A1">
        <w:t>–</w:t>
      </w:r>
      <w:r w:rsidR="00902572">
        <w:t xml:space="preserve"> </w:t>
      </w:r>
      <w:r w:rsidR="009042A9">
        <w:t>D</w:t>
      </w:r>
      <w:r w:rsidR="0050059D" w:rsidRPr="00137D8B">
        <w:t xml:space="preserve">MH, </w:t>
      </w:r>
      <w:r w:rsidR="00E968DB">
        <w:t>DCF</w:t>
      </w:r>
      <w:r w:rsidR="00B40181">
        <w:t xml:space="preserve"> (</w:t>
      </w:r>
      <w:r w:rsidR="002B2F3A">
        <w:t xml:space="preserve">referred to by its prior name </w:t>
      </w:r>
      <w:r w:rsidR="002A4B38" w:rsidRPr="00137D8B">
        <w:t>the</w:t>
      </w:r>
      <w:r w:rsidR="00B1035A">
        <w:t xml:space="preserve"> Department of Social </w:t>
      </w:r>
      <w:r w:rsidR="00095334">
        <w:t>Services</w:t>
      </w:r>
      <w:r w:rsidR="00811DCC">
        <w:t>) and the</w:t>
      </w:r>
      <w:r w:rsidR="002A4B38" w:rsidRPr="00137D8B">
        <w:t xml:space="preserve"> agency </w:t>
      </w:r>
      <w:r w:rsidR="005D5468" w:rsidRPr="00137D8B">
        <w:t>formerly known as the Department of Mental Retardation and currently</w:t>
      </w:r>
      <w:r w:rsidR="002A4B38" w:rsidRPr="00137D8B">
        <w:t xml:space="preserve"> known as the Department of </w:t>
      </w:r>
      <w:r w:rsidR="005D5468" w:rsidRPr="00137D8B">
        <w:t xml:space="preserve">Developmental Services.  </w:t>
      </w:r>
      <w:r w:rsidR="00A2018E">
        <w:t>He concluded</w:t>
      </w:r>
      <w:r w:rsidR="00100B23" w:rsidRPr="00137D8B">
        <w:t xml:space="preserve"> that these agencies’ proposed interpretation of this </w:t>
      </w:r>
      <w:r w:rsidR="00C72D82">
        <w:t>phrase</w:t>
      </w:r>
      <w:r w:rsidR="00776BA7">
        <w:t xml:space="preserve"> (i.e.,</w:t>
      </w:r>
      <w:r w:rsidR="00100B23" w:rsidRPr="00137D8B">
        <w:t xml:space="preserve"> </w:t>
      </w:r>
      <w:r w:rsidR="00CF74D2">
        <w:t>“</w:t>
      </w:r>
      <w:r w:rsidR="0037329E" w:rsidRPr="0037329E">
        <w:t>that the legislature has not created an obligation through Section 162 unless the same obligation separately exists within the DMR statute or regulations</w:t>
      </w:r>
      <w:r w:rsidR="0037329E">
        <w:t>”)</w:t>
      </w:r>
      <w:r w:rsidR="008177B4">
        <w:t xml:space="preserve">, which is the same </w:t>
      </w:r>
      <w:r w:rsidR="00C72D82">
        <w:t>interpretation</w:t>
      </w:r>
      <w:r w:rsidR="001B05CF">
        <w:t xml:space="preserve"> </w:t>
      </w:r>
      <w:r w:rsidR="00F20721">
        <w:t>argued</w:t>
      </w:r>
      <w:r w:rsidR="001B05CF">
        <w:t xml:space="preserve"> </w:t>
      </w:r>
      <w:r w:rsidR="008177B4">
        <w:t xml:space="preserve">in the </w:t>
      </w:r>
      <w:r w:rsidR="008177B4">
        <w:rPr>
          <w:i/>
          <w:iCs/>
        </w:rPr>
        <w:t>Oppositions</w:t>
      </w:r>
      <w:r w:rsidR="0099123C">
        <w:t xml:space="preserve"> in the instant matter</w:t>
      </w:r>
      <w:r w:rsidR="008177B4">
        <w:rPr>
          <w:i/>
          <w:iCs/>
        </w:rPr>
        <w:t>,</w:t>
      </w:r>
      <w:r w:rsidR="00AE7EBA">
        <w:t xml:space="preserve"> </w:t>
      </w:r>
      <w:r w:rsidR="0090133E" w:rsidRPr="00137D8B">
        <w:t>“… would be tantamount to rendering Section 162 meaningless with respect to any disput</w:t>
      </w:r>
      <w:r w:rsidR="00D27C10">
        <w:t>e</w:t>
      </w:r>
      <w:r w:rsidR="0090133E" w:rsidRPr="00137D8B">
        <w:t xml:space="preserve"> before the BSEA involving any state</w:t>
      </w:r>
      <w:r w:rsidR="00F17336">
        <w:t xml:space="preserve"> [</w:t>
      </w:r>
      <w:r w:rsidR="008D1E83">
        <w:t xml:space="preserve">agency </w:t>
      </w:r>
      <w:r w:rsidR="00F17336">
        <w:t>and i</w:t>
      </w:r>
      <w:r w:rsidR="004B4E9B">
        <w:t>]</w:t>
      </w:r>
      <w:r w:rsidR="0090133E" w:rsidRPr="00137D8B">
        <w:t>t is unlikely that the legislature intended to enact a statute that would immediately fall of its own weight and have no practical effect</w:t>
      </w:r>
      <w:r w:rsidR="007B251C" w:rsidRPr="00137D8B">
        <w:t>”</w:t>
      </w:r>
      <w:r w:rsidR="005C23B7" w:rsidRPr="005C23B7">
        <w:rPr>
          <w:rStyle w:val="FootnoteReference"/>
        </w:rPr>
        <w:t xml:space="preserve"> </w:t>
      </w:r>
      <w:r w:rsidR="005C23B7">
        <w:rPr>
          <w:rStyle w:val="FootnoteReference"/>
        </w:rPr>
        <w:footnoteReference w:id="18"/>
      </w:r>
      <w:r w:rsidR="00A2018E">
        <w:t xml:space="preserve">.  </w:t>
      </w:r>
      <w:r w:rsidR="00EC0F95">
        <w:t xml:space="preserve">Rather, </w:t>
      </w:r>
      <w:r w:rsidR="00644321" w:rsidRPr="00137D8B">
        <w:t xml:space="preserve">a reasonable interpretation of Section 162 “consistent with its underlying purpose” </w:t>
      </w:r>
      <w:r w:rsidR="0047571C" w:rsidRPr="00137D8B">
        <w:t>existed to “avoid this result”</w:t>
      </w:r>
      <w:r w:rsidR="004B5069">
        <w:rPr>
          <w:rStyle w:val="FootnoteReference"/>
        </w:rPr>
        <w:footnoteReference w:id="19"/>
      </w:r>
      <w:r w:rsidR="00CD3678">
        <w:t xml:space="preserve">, namely that </w:t>
      </w:r>
      <w:r w:rsidR="005E7A11">
        <w:t>“</w:t>
      </w:r>
      <w:r w:rsidR="00CE3530" w:rsidRPr="00137D8B">
        <w:t xml:space="preserve">the BSEA Hearing Officer must act in a way that is </w:t>
      </w:r>
      <w:r w:rsidR="00CE3530" w:rsidRPr="003B7CA4">
        <w:t>consistent with and in harmony with</w:t>
      </w:r>
      <w:r w:rsidR="00CE3530" w:rsidRPr="00137D8B">
        <w:t xml:space="preserve"> the substance of the state agency statutory, regulatory and policy standards, as they may be read to be relevant to the particular special education student</w:t>
      </w:r>
      <w:r w:rsidR="00844734" w:rsidRPr="00137D8B">
        <w:t>”</w:t>
      </w:r>
      <w:r w:rsidR="003B7CA4">
        <w:t xml:space="preserve"> (emphasis added)</w:t>
      </w:r>
      <w:r w:rsidR="005063B6">
        <w:rPr>
          <w:rStyle w:val="FootnoteReference"/>
        </w:rPr>
        <w:footnoteReference w:id="20"/>
      </w:r>
      <w:r w:rsidR="00844734" w:rsidRPr="00137D8B">
        <w:t xml:space="preserve">.  </w:t>
      </w:r>
      <w:r w:rsidR="000E189D">
        <w:t xml:space="preserve">The </w:t>
      </w:r>
      <w:r w:rsidR="002C5F12" w:rsidRPr="00DE1A1D">
        <w:rPr>
          <w:i/>
          <w:iCs/>
        </w:rPr>
        <w:t>Medford</w:t>
      </w:r>
      <w:r w:rsidR="00844734" w:rsidRPr="00137D8B">
        <w:t xml:space="preserve"> interpretation </w:t>
      </w:r>
      <w:r w:rsidR="009C07F9" w:rsidRPr="00137D8B">
        <w:t>would also</w:t>
      </w:r>
      <w:r w:rsidR="00137D8B" w:rsidRPr="00137D8B">
        <w:t xml:space="preserve"> </w:t>
      </w:r>
      <w:r w:rsidR="00844734" w:rsidRPr="00137D8B">
        <w:t xml:space="preserve">“… </w:t>
      </w:r>
      <w:r w:rsidR="00DF6E12" w:rsidRPr="00137D8B">
        <w:t xml:space="preserve">permit the BSEA to comply with its mandate under federal law – that is, to ensure that Student’s federally-required special education and related services are provided to </w:t>
      </w:r>
      <w:r w:rsidR="009A1072" w:rsidRPr="00137D8B">
        <w:t>[the student] (</w:t>
      </w:r>
      <w:r w:rsidR="003B7CA4">
        <w:t>c</w:t>
      </w:r>
      <w:r w:rsidR="009A1072" w:rsidRPr="00137D8B">
        <w:t>itations omitted)</w:t>
      </w:r>
      <w:r w:rsidR="00137D8B" w:rsidRPr="00137D8B">
        <w:t>”</w:t>
      </w:r>
      <w:r w:rsidR="00850242">
        <w:rPr>
          <w:rStyle w:val="FootnoteReference"/>
        </w:rPr>
        <w:footnoteReference w:id="21"/>
      </w:r>
      <w:r w:rsidR="009A1072" w:rsidRPr="00137D8B">
        <w:t xml:space="preserve">.  </w:t>
      </w:r>
    </w:p>
    <w:p w14:paraId="4DE8DD6C" w14:textId="77777777" w:rsidR="00546E67" w:rsidRDefault="00546E67" w:rsidP="00546E67">
      <w:pPr>
        <w:spacing w:after="0" w:line="240" w:lineRule="auto"/>
      </w:pPr>
    </w:p>
    <w:p w14:paraId="0D13B3EE" w14:textId="4D87E416" w:rsidR="00B5302A" w:rsidRDefault="00546E67" w:rsidP="00F4022E">
      <w:pPr>
        <w:spacing w:after="0" w:line="240" w:lineRule="auto"/>
      </w:pPr>
      <w:r>
        <w:t>Finally,</w:t>
      </w:r>
      <w:r w:rsidR="000E189D">
        <w:t xml:space="preserve"> in both </w:t>
      </w:r>
      <w:r w:rsidR="000E189D">
        <w:rPr>
          <w:i/>
          <w:iCs/>
        </w:rPr>
        <w:t>Medford</w:t>
      </w:r>
      <w:r w:rsidR="000E189D">
        <w:t xml:space="preserve"> and the instant </w:t>
      </w:r>
      <w:r w:rsidR="00917A70">
        <w:rPr>
          <w:i/>
          <w:iCs/>
        </w:rPr>
        <w:t xml:space="preserve">Oppositions </w:t>
      </w:r>
      <w:r w:rsidR="000E189D">
        <w:t xml:space="preserve">it was </w:t>
      </w:r>
      <w:r w:rsidR="002803B6">
        <w:t xml:space="preserve">argued </w:t>
      </w:r>
      <w:r w:rsidR="00B7437A">
        <w:t>that the BSEA’s</w:t>
      </w:r>
      <w:r w:rsidR="002803B6">
        <w:t xml:space="preserve"> </w:t>
      </w:r>
      <w:r>
        <w:t xml:space="preserve">authority </w:t>
      </w:r>
      <w:r w:rsidR="00021FCC">
        <w:t xml:space="preserve">and ability to exercise jurisdiction over </w:t>
      </w:r>
      <w:r w:rsidR="000E189D">
        <w:t>the agencies</w:t>
      </w:r>
      <w:r w:rsidR="00021FCC">
        <w:t xml:space="preserve"> “infringes” </w:t>
      </w:r>
      <w:r w:rsidR="005108FD">
        <w:t>o</w:t>
      </w:r>
      <w:r w:rsidR="00021FCC">
        <w:t xml:space="preserve">n the discretion each agency </w:t>
      </w:r>
      <w:proofErr w:type="gramStart"/>
      <w:r w:rsidR="00021FCC">
        <w:t>has to</w:t>
      </w:r>
      <w:proofErr w:type="gramEnd"/>
      <w:r w:rsidR="00021FCC">
        <w:t xml:space="preserve"> decide the services and supports it provides to </w:t>
      </w:r>
      <w:r w:rsidR="0003152D">
        <w:t>its clients</w:t>
      </w:r>
      <w:r w:rsidR="00B767E1">
        <w:t xml:space="preserve">.  </w:t>
      </w:r>
      <w:r w:rsidR="00B767E1">
        <w:rPr>
          <w:i/>
          <w:iCs/>
        </w:rPr>
        <w:t>Medford</w:t>
      </w:r>
      <w:r w:rsidR="000E30A0">
        <w:t xml:space="preserve"> </w:t>
      </w:r>
      <w:r w:rsidR="0003152D">
        <w:t>properly reasoned that such an argument is not persuasive to exclude joinder of any agency, as “</w:t>
      </w:r>
      <w:r w:rsidR="00752693">
        <w:t>the obvious retort” to this argument is that a BSEA order ne</w:t>
      </w:r>
      <w:r w:rsidR="00E77FBC">
        <w:t>ed not specify</w:t>
      </w:r>
      <w:r w:rsidR="00752693">
        <w:t xml:space="preserve"> a ser</w:t>
      </w:r>
      <w:r w:rsidR="00B318FF">
        <w:t>vi</w:t>
      </w:r>
      <w:r w:rsidR="00752693">
        <w:t>ce or placement, but rather can be</w:t>
      </w:r>
      <w:r w:rsidR="003C044B">
        <w:t xml:space="preserve"> general in nature, </w:t>
      </w:r>
      <w:r w:rsidR="00D26221">
        <w:t xml:space="preserve">“ … </w:t>
      </w:r>
      <w:r w:rsidR="00D26221" w:rsidRPr="007436FD">
        <w:t xml:space="preserve">giving discretion to </w:t>
      </w:r>
      <w:r w:rsidR="00AE6E18">
        <w:t>[the agency]</w:t>
      </w:r>
      <w:r w:rsidR="00D26221" w:rsidRPr="007436FD">
        <w:t>to determine which vendor should provide the services, the location of those services, and ultimately the particular placement</w:t>
      </w:r>
      <w:r w:rsidR="00D26221">
        <w:t>”</w:t>
      </w:r>
      <w:r w:rsidR="009475E5">
        <w:rPr>
          <w:rStyle w:val="FootnoteReference"/>
          <w:rFonts w:ascii="Aptos" w:eastAsia="Times New Roman" w:hAnsi="Aptos" w:cs="Times New Roman"/>
          <w:sz w:val="25"/>
          <w:szCs w:val="25"/>
        </w:rPr>
        <w:footnoteReference w:id="22"/>
      </w:r>
      <w:r w:rsidR="00D26221">
        <w:t>.</w:t>
      </w:r>
    </w:p>
    <w:p w14:paraId="3C3ED8FF" w14:textId="77777777" w:rsidR="009D76FC" w:rsidRPr="009D76FC" w:rsidRDefault="009D76FC" w:rsidP="00F4022E">
      <w:pPr>
        <w:spacing w:after="0" w:line="240" w:lineRule="auto"/>
      </w:pPr>
    </w:p>
    <w:p w14:paraId="7E4C4C36" w14:textId="0CC5C88C" w:rsidR="00F4022E" w:rsidRPr="000F05CE" w:rsidRDefault="00B44AC2" w:rsidP="00367F40">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In conclusion, the </w:t>
      </w:r>
      <w:r w:rsidR="00F4022E">
        <w:rPr>
          <w:rFonts w:ascii="Aptos" w:eastAsia="Times New Roman" w:hAnsi="Aptos" w:cs="Times New Roman"/>
          <w:bCs/>
          <w:i/>
          <w:iCs/>
          <w:color w:val="000000"/>
          <w:sz w:val="25"/>
          <w:szCs w:val="25"/>
        </w:rPr>
        <w:t xml:space="preserve">Motions </w:t>
      </w:r>
      <w:r w:rsidR="00F4022E">
        <w:rPr>
          <w:rFonts w:ascii="Aptos" w:eastAsia="Times New Roman" w:hAnsi="Aptos" w:cs="Times New Roman"/>
          <w:bCs/>
          <w:color w:val="000000"/>
          <w:sz w:val="25"/>
          <w:szCs w:val="25"/>
        </w:rPr>
        <w:t xml:space="preserve">are </w:t>
      </w:r>
      <w:r w:rsidR="004B3E24">
        <w:rPr>
          <w:rFonts w:ascii="Aptos" w:eastAsia="Times New Roman" w:hAnsi="Aptos" w:cs="Times New Roman"/>
          <w:b/>
          <w:color w:val="000000"/>
          <w:sz w:val="25"/>
          <w:szCs w:val="25"/>
        </w:rPr>
        <w:t>ALLOWED</w:t>
      </w:r>
      <w:r w:rsidR="00F4022E">
        <w:rPr>
          <w:rFonts w:ascii="Aptos" w:eastAsia="Times New Roman" w:hAnsi="Aptos" w:cs="Times New Roman"/>
          <w:bCs/>
          <w:color w:val="000000"/>
          <w:sz w:val="25"/>
          <w:szCs w:val="25"/>
        </w:rPr>
        <w:t xml:space="preserve"> and </w:t>
      </w:r>
      <w:r w:rsidR="00AA6FCE">
        <w:rPr>
          <w:rFonts w:ascii="Aptos" w:eastAsia="Times New Roman" w:hAnsi="Aptos" w:cs="Times New Roman"/>
          <w:bCs/>
          <w:color w:val="000000"/>
          <w:sz w:val="25"/>
          <w:szCs w:val="25"/>
        </w:rPr>
        <w:t xml:space="preserve">both </w:t>
      </w:r>
      <w:r w:rsidR="0077202B">
        <w:rPr>
          <w:rFonts w:ascii="Aptos" w:eastAsia="Times New Roman" w:hAnsi="Aptos" w:cs="Times New Roman"/>
          <w:bCs/>
          <w:color w:val="000000"/>
          <w:sz w:val="25"/>
          <w:szCs w:val="25"/>
        </w:rPr>
        <w:t>DMH and DCF are joined as parties to this matter</w:t>
      </w:r>
      <w:r w:rsidR="008C21B2">
        <w:rPr>
          <w:rStyle w:val="FootnoteReference"/>
          <w:rFonts w:ascii="Aptos" w:eastAsia="Times New Roman" w:hAnsi="Aptos" w:cs="Times New Roman"/>
          <w:sz w:val="25"/>
          <w:szCs w:val="25"/>
        </w:rPr>
        <w:footnoteReference w:id="23"/>
      </w:r>
      <w:r w:rsidR="00F4022E" w:rsidRPr="000467B1">
        <w:rPr>
          <w:rFonts w:ascii="Aptos" w:eastAsia="Times New Roman" w:hAnsi="Aptos" w:cs="Times New Roman"/>
          <w:bCs/>
          <w:color w:val="000000"/>
          <w:sz w:val="25"/>
          <w:szCs w:val="25"/>
        </w:rPr>
        <w:t xml:space="preserve">.  </w:t>
      </w:r>
      <w:r w:rsidR="00367F40">
        <w:rPr>
          <w:rFonts w:ascii="Aptos" w:eastAsia="Times New Roman" w:hAnsi="Aptos" w:cs="Times New Roman"/>
          <w:bCs/>
          <w:color w:val="000000"/>
          <w:sz w:val="25"/>
          <w:szCs w:val="25"/>
        </w:rPr>
        <w:t>All Parties will</w:t>
      </w:r>
      <w:r w:rsidR="0078677C">
        <w:rPr>
          <w:rFonts w:ascii="Aptos" w:eastAsia="Times New Roman" w:hAnsi="Aptos" w:cs="Times New Roman"/>
          <w:bCs/>
          <w:color w:val="000000"/>
          <w:sz w:val="25"/>
          <w:szCs w:val="25"/>
        </w:rPr>
        <w:t xml:space="preserve"> participate in the initial </w:t>
      </w:r>
      <w:r w:rsidR="00367F40" w:rsidRPr="00367F40">
        <w:rPr>
          <w:rFonts w:ascii="Aptos" w:eastAsia="Times New Roman" w:hAnsi="Aptos" w:cs="Times New Roman"/>
          <w:bCs/>
          <w:color w:val="000000"/>
          <w:sz w:val="25"/>
          <w:szCs w:val="25"/>
        </w:rPr>
        <w:t>Conference Call scheduled for September 2, 2025 at 4:00 PM</w:t>
      </w:r>
      <w:r w:rsidR="0078677C">
        <w:rPr>
          <w:rFonts w:ascii="Aptos" w:eastAsia="Times New Roman" w:hAnsi="Aptos" w:cs="Times New Roman"/>
          <w:bCs/>
          <w:color w:val="000000"/>
          <w:sz w:val="25"/>
          <w:szCs w:val="25"/>
        </w:rPr>
        <w:t xml:space="preserve"> as set forth in the August 22, 2025 </w:t>
      </w:r>
      <w:r w:rsidR="0078677C" w:rsidRPr="0078677C">
        <w:rPr>
          <w:rFonts w:ascii="Aptos" w:eastAsia="Times New Roman" w:hAnsi="Aptos" w:cs="Times New Roman"/>
          <w:bCs/>
          <w:i/>
          <w:iCs/>
          <w:color w:val="000000"/>
          <w:sz w:val="25"/>
          <w:szCs w:val="25"/>
        </w:rPr>
        <w:t>Order</w:t>
      </w:r>
      <w:r w:rsidR="0078677C">
        <w:rPr>
          <w:rFonts w:ascii="Aptos" w:eastAsia="Times New Roman" w:hAnsi="Aptos" w:cs="Times New Roman"/>
          <w:bCs/>
          <w:color w:val="000000"/>
          <w:sz w:val="25"/>
          <w:szCs w:val="25"/>
        </w:rPr>
        <w:t xml:space="preserve">, </w:t>
      </w:r>
      <w:r w:rsidR="000C603D">
        <w:rPr>
          <w:rFonts w:ascii="Aptos" w:eastAsia="Times New Roman" w:hAnsi="Aptos" w:cs="Times New Roman"/>
          <w:bCs/>
          <w:color w:val="000000"/>
          <w:sz w:val="25"/>
          <w:szCs w:val="25"/>
        </w:rPr>
        <w:t>a copy of which was previously shared with DMH and DCF as a courtesy</w:t>
      </w:r>
      <w:r w:rsidR="00367F40" w:rsidRPr="00367F40">
        <w:rPr>
          <w:rFonts w:ascii="Aptos" w:eastAsia="Times New Roman" w:hAnsi="Aptos" w:cs="Times New Roman"/>
          <w:bCs/>
          <w:color w:val="000000"/>
          <w:sz w:val="25"/>
          <w:szCs w:val="25"/>
        </w:rPr>
        <w:t xml:space="preserve">. </w:t>
      </w:r>
      <w:r w:rsidR="00F4022E" w:rsidRPr="000467B1">
        <w:rPr>
          <w:rFonts w:ascii="Aptos" w:eastAsia="Times New Roman" w:hAnsi="Aptos" w:cs="Times New Roman"/>
          <w:bCs/>
          <w:color w:val="000000"/>
          <w:sz w:val="25"/>
          <w:szCs w:val="25"/>
        </w:rPr>
        <w:t xml:space="preserve"> </w:t>
      </w:r>
    </w:p>
    <w:p w14:paraId="5014A3B6" w14:textId="77777777" w:rsidR="00F4022E" w:rsidRPr="000467B1" w:rsidRDefault="00F4022E" w:rsidP="00F4022E">
      <w:pPr>
        <w:spacing w:after="0" w:line="240" w:lineRule="auto"/>
        <w:rPr>
          <w:rFonts w:ascii="Aptos" w:hAnsi="Aptos" w:cs="Times New Roman"/>
          <w:sz w:val="25"/>
          <w:szCs w:val="25"/>
        </w:rPr>
      </w:pPr>
    </w:p>
    <w:p w14:paraId="2562D844" w14:textId="60F1698A" w:rsidR="00F4022E" w:rsidRDefault="00F4022E" w:rsidP="00D41BF1">
      <w:pPr>
        <w:shd w:val="clear" w:color="auto" w:fill="FFFFFF"/>
        <w:spacing w:after="0"/>
        <w:rPr>
          <w:rFonts w:ascii="Aptos" w:eastAsia="Times New Roman" w:hAnsi="Aptos" w:cs="Times New Roman"/>
          <w:sz w:val="25"/>
          <w:szCs w:val="25"/>
        </w:rPr>
      </w:pPr>
      <w:r w:rsidRPr="000467B1">
        <w:rPr>
          <w:rFonts w:ascii="Aptos" w:eastAsia="Times New Roman" w:hAnsi="Aptos" w:cs="Times New Roman"/>
          <w:sz w:val="25"/>
          <w:szCs w:val="25"/>
        </w:rPr>
        <w:t xml:space="preserve">By the Hearing Officer, </w:t>
      </w:r>
    </w:p>
    <w:p w14:paraId="53EE9B5B" w14:textId="77777777" w:rsidR="00FF5EC6" w:rsidRPr="00D41BF1" w:rsidRDefault="00FF5EC6" w:rsidP="00D41BF1">
      <w:pPr>
        <w:shd w:val="clear" w:color="auto" w:fill="FFFFFF"/>
        <w:spacing w:after="0"/>
        <w:rPr>
          <w:rFonts w:ascii="Aptos" w:eastAsia="Times New Roman" w:hAnsi="Aptos" w:cs="Times New Roman"/>
          <w:sz w:val="25"/>
          <w:szCs w:val="25"/>
        </w:rPr>
      </w:pPr>
    </w:p>
    <w:p w14:paraId="5C0F731B" w14:textId="1720E5B2" w:rsidR="00F4022E" w:rsidRPr="00B14BD6" w:rsidRDefault="00F4022E" w:rsidP="00F4022E">
      <w:pPr>
        <w:spacing w:after="0" w:line="240" w:lineRule="auto"/>
        <w:rPr>
          <w:rFonts w:ascii="Lucida Handwriting" w:eastAsia="Times New Roman" w:hAnsi="Lucida Handwriting" w:cs="Times New Roman"/>
          <w:kern w:val="0"/>
          <w:u w:val="single"/>
        </w:rPr>
      </w:pPr>
      <w:r w:rsidRPr="00406932">
        <w:rPr>
          <w:rFonts w:ascii="Lucida Handwriting" w:eastAsia="Times New Roman" w:hAnsi="Lucida Handwriting" w:cs="Times New Roman"/>
          <w:kern w:val="0"/>
          <w:u w:val="single"/>
        </w:rPr>
        <w:t>/s/  Marguerite M. Mitchell</w:t>
      </w:r>
      <w:r w:rsidRPr="000467B1">
        <w:rPr>
          <w:rFonts w:ascii="Aptos" w:eastAsia="Times New Roman" w:hAnsi="Aptos" w:cs="Times New Roman"/>
          <w:sz w:val="25"/>
          <w:szCs w:val="25"/>
          <w:u w:val="single"/>
        </w:rPr>
        <w:br/>
      </w:r>
      <w:r w:rsidRPr="000467B1">
        <w:rPr>
          <w:rFonts w:ascii="Aptos" w:eastAsia="Times New Roman" w:hAnsi="Aptos" w:cs="Times New Roman"/>
          <w:sz w:val="25"/>
          <w:szCs w:val="25"/>
        </w:rPr>
        <w:t>Marguerite M. Mitchell</w:t>
      </w:r>
    </w:p>
    <w:p w14:paraId="359FD68C" w14:textId="7BDB8372" w:rsidR="002233FB" w:rsidRDefault="00F4022E" w:rsidP="00D41BF1">
      <w:pPr>
        <w:spacing w:line="240" w:lineRule="auto"/>
      </w:pPr>
      <w:r w:rsidRPr="000467B1">
        <w:rPr>
          <w:rFonts w:ascii="Aptos" w:eastAsia="Times New Roman" w:hAnsi="Aptos" w:cs="Times New Roman"/>
          <w:sz w:val="25"/>
          <w:szCs w:val="25"/>
        </w:rPr>
        <w:t xml:space="preserve">Date: </w:t>
      </w:r>
      <w:r w:rsidR="00865940">
        <w:rPr>
          <w:rFonts w:ascii="Aptos" w:eastAsia="Times New Roman" w:hAnsi="Aptos" w:cs="Times New Roman"/>
          <w:sz w:val="25"/>
          <w:szCs w:val="25"/>
        </w:rPr>
        <w:t>September 2</w:t>
      </w:r>
      <w:r>
        <w:rPr>
          <w:rFonts w:ascii="Aptos" w:eastAsia="Times New Roman" w:hAnsi="Aptos" w:cs="Times New Roman"/>
          <w:sz w:val="25"/>
          <w:szCs w:val="25"/>
        </w:rPr>
        <w:t>, 2025</w:t>
      </w:r>
    </w:p>
    <w:sectPr w:rsidR="002233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3299" w14:textId="77777777" w:rsidR="0086511B" w:rsidRDefault="0086511B" w:rsidP="00F4022E">
      <w:pPr>
        <w:spacing w:after="0" w:line="240" w:lineRule="auto"/>
      </w:pPr>
      <w:r>
        <w:separator/>
      </w:r>
    </w:p>
  </w:endnote>
  <w:endnote w:type="continuationSeparator" w:id="0">
    <w:p w14:paraId="734C8269" w14:textId="77777777" w:rsidR="0086511B" w:rsidRDefault="0086511B" w:rsidP="00F4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53551"/>
      <w:docPartObj>
        <w:docPartGallery w:val="Page Numbers (Bottom of Page)"/>
        <w:docPartUnique/>
      </w:docPartObj>
    </w:sdtPr>
    <w:sdtEndPr>
      <w:rPr>
        <w:noProof/>
      </w:rPr>
    </w:sdtEndPr>
    <w:sdtContent>
      <w:p w14:paraId="3BB52F70" w14:textId="6200B1A2" w:rsidR="00E7658F" w:rsidRDefault="00E76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F494C" w14:textId="77777777" w:rsidR="00E7658F" w:rsidRDefault="00E7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767A" w14:textId="77777777" w:rsidR="0086511B" w:rsidRDefault="0086511B" w:rsidP="00F4022E">
      <w:pPr>
        <w:spacing w:after="0" w:line="240" w:lineRule="auto"/>
      </w:pPr>
      <w:r>
        <w:separator/>
      </w:r>
    </w:p>
  </w:footnote>
  <w:footnote w:type="continuationSeparator" w:id="0">
    <w:p w14:paraId="2E7A2D84" w14:textId="77777777" w:rsidR="0086511B" w:rsidRDefault="0086511B" w:rsidP="00F4022E">
      <w:pPr>
        <w:spacing w:after="0" w:line="240" w:lineRule="auto"/>
      </w:pPr>
      <w:r>
        <w:continuationSeparator/>
      </w:r>
    </w:p>
  </w:footnote>
  <w:footnote w:id="1">
    <w:p w14:paraId="69917A1E" w14:textId="0131879D" w:rsidR="00D711A0" w:rsidRPr="002607A0" w:rsidRDefault="00D711A0" w:rsidP="00D711A0">
      <w:pPr>
        <w:pStyle w:val="FootnoteText"/>
      </w:pPr>
      <w:r w:rsidRPr="002607A0">
        <w:rPr>
          <w:rStyle w:val="FootnoteReference"/>
        </w:rPr>
        <w:footnoteRef/>
      </w:r>
      <w:r w:rsidRPr="002607A0">
        <w:t xml:space="preserve">   </w:t>
      </w:r>
      <w:r w:rsidRPr="002607A0">
        <w:rPr>
          <w:rFonts w:ascii="Aptos" w:hAnsi="Aptos" w:cs="Times New Roman"/>
        </w:rPr>
        <w:t xml:space="preserve">No Party or agency requested a hearing on the </w:t>
      </w:r>
      <w:r w:rsidRPr="002607A0">
        <w:rPr>
          <w:rFonts w:ascii="Aptos" w:hAnsi="Aptos" w:cs="Times New Roman"/>
          <w:i/>
          <w:iCs/>
        </w:rPr>
        <w:t xml:space="preserve">Motions.  </w:t>
      </w:r>
      <w:r w:rsidRPr="002607A0">
        <w:rPr>
          <w:rFonts w:ascii="Aptos" w:hAnsi="Aptos" w:cs="Times New Roman"/>
        </w:rPr>
        <w:t xml:space="preserve">As neither testimony nor oral argument would advance the Hearing Officer's understanding of the issues involved, this </w:t>
      </w:r>
      <w:r w:rsidRPr="002607A0">
        <w:rPr>
          <w:rFonts w:ascii="Aptos" w:hAnsi="Aptos" w:cs="Times New Roman"/>
          <w:i/>
          <w:iCs/>
        </w:rPr>
        <w:t>Ruling</w:t>
      </w:r>
      <w:r w:rsidRPr="002607A0">
        <w:rPr>
          <w:rFonts w:ascii="Aptos" w:hAnsi="Aptos" w:cs="Times New Roman"/>
        </w:rPr>
        <w:t xml:space="preserve"> is issued without a hearing pursuant to </w:t>
      </w:r>
      <w:r w:rsidRPr="002607A0">
        <w:rPr>
          <w:rFonts w:ascii="Aptos" w:hAnsi="Aptos" w:cs="Times New Roman"/>
          <w:i/>
          <w:iCs/>
        </w:rPr>
        <w:t xml:space="preserve">Hearing Rules for Special Education Appeals </w:t>
      </w:r>
      <w:r w:rsidRPr="002607A0">
        <w:rPr>
          <w:rFonts w:ascii="Aptos" w:hAnsi="Aptos" w:cs="Times New Roman"/>
        </w:rPr>
        <w:t>(</w:t>
      </w:r>
      <w:r w:rsidRPr="002607A0">
        <w:rPr>
          <w:rFonts w:ascii="Aptos" w:hAnsi="Aptos" w:cs="Times New Roman"/>
          <w:i/>
          <w:iCs/>
        </w:rPr>
        <w:t>Hearing Rules</w:t>
      </w:r>
      <w:r w:rsidRPr="002607A0">
        <w:rPr>
          <w:rFonts w:ascii="Aptos" w:hAnsi="Aptos" w:cs="Times New Roman"/>
        </w:rPr>
        <w:t>)</w:t>
      </w:r>
      <w:r w:rsidRPr="002607A0">
        <w:rPr>
          <w:rFonts w:ascii="Aptos" w:hAnsi="Aptos" w:cs="Times New Roman"/>
          <w:i/>
          <w:iCs/>
        </w:rPr>
        <w:t xml:space="preserve"> </w:t>
      </w:r>
      <w:r w:rsidRPr="002607A0">
        <w:rPr>
          <w:rFonts w:ascii="Aptos" w:hAnsi="Aptos" w:cs="Times New Roman"/>
        </w:rPr>
        <w:t xml:space="preserve">Rule VII(D).  </w:t>
      </w:r>
    </w:p>
  </w:footnote>
  <w:footnote w:id="2">
    <w:p w14:paraId="1AFD51C4" w14:textId="4AF0B3FD" w:rsidR="00433472" w:rsidRPr="002607A0" w:rsidRDefault="00433472" w:rsidP="00433472">
      <w:pPr>
        <w:spacing w:after="0" w:line="240" w:lineRule="auto"/>
        <w:rPr>
          <w:rFonts w:ascii="Aptos" w:hAnsi="Aptos"/>
          <w:sz w:val="20"/>
          <w:szCs w:val="20"/>
        </w:rPr>
      </w:pPr>
      <w:r w:rsidRPr="002607A0">
        <w:rPr>
          <w:rStyle w:val="FootnoteReference"/>
          <w:sz w:val="20"/>
          <w:szCs w:val="20"/>
        </w:rPr>
        <w:footnoteRef/>
      </w:r>
      <w:r w:rsidRPr="002607A0">
        <w:rPr>
          <w:sz w:val="20"/>
          <w:szCs w:val="20"/>
        </w:rPr>
        <w:t xml:space="preserve">   </w:t>
      </w:r>
      <w:r w:rsidRPr="002607A0">
        <w:rPr>
          <w:rFonts w:ascii="Aptos" w:hAnsi="Aptos"/>
          <w:sz w:val="20"/>
          <w:szCs w:val="20"/>
        </w:rPr>
        <w:t>The factual statements set forth are taken as true for purposes of this </w:t>
      </w:r>
      <w:r w:rsidRPr="002607A0">
        <w:rPr>
          <w:rFonts w:ascii="Aptos" w:hAnsi="Aptos"/>
          <w:i/>
          <w:iCs/>
          <w:sz w:val="20"/>
          <w:szCs w:val="20"/>
        </w:rPr>
        <w:t>Ruling</w:t>
      </w:r>
      <w:r w:rsidRPr="002607A0">
        <w:rPr>
          <w:rFonts w:ascii="Aptos" w:hAnsi="Aptos"/>
          <w:sz w:val="20"/>
          <w:szCs w:val="20"/>
        </w:rPr>
        <w:t> only.</w:t>
      </w:r>
    </w:p>
  </w:footnote>
  <w:footnote w:id="3">
    <w:p w14:paraId="5D32C3BD" w14:textId="4C83A5F2" w:rsidR="00D2137F" w:rsidRPr="002607A0" w:rsidRDefault="00D2137F">
      <w:pPr>
        <w:pStyle w:val="FootnoteText"/>
      </w:pPr>
      <w:r w:rsidRPr="002607A0">
        <w:rPr>
          <w:rStyle w:val="FootnoteReference"/>
        </w:rPr>
        <w:footnoteRef/>
      </w:r>
      <w:r w:rsidRPr="002607A0">
        <w:t xml:space="preserve">   The</w:t>
      </w:r>
      <w:r w:rsidR="000E0824" w:rsidRPr="002607A0">
        <w:t xml:space="preserve"> citation for the published</w:t>
      </w:r>
      <w:r w:rsidRPr="002607A0">
        <w:t xml:space="preserve"> </w:t>
      </w:r>
      <w:r w:rsidRPr="002607A0">
        <w:rPr>
          <w:i/>
          <w:iCs/>
        </w:rPr>
        <w:t xml:space="preserve">Prior Matter Ruling </w:t>
      </w:r>
      <w:r w:rsidR="000E0824" w:rsidRPr="002607A0">
        <w:t xml:space="preserve">is </w:t>
      </w:r>
      <w:r w:rsidR="000E0824" w:rsidRPr="002607A0">
        <w:rPr>
          <w:i/>
          <w:iCs/>
        </w:rPr>
        <w:t xml:space="preserve">In Re: Ashland PS &amp; </w:t>
      </w:r>
      <w:r w:rsidR="00B8354F" w:rsidRPr="002607A0">
        <w:rPr>
          <w:i/>
          <w:iCs/>
        </w:rPr>
        <w:t>[</w:t>
      </w:r>
      <w:r w:rsidR="000E0824" w:rsidRPr="002607A0">
        <w:rPr>
          <w:i/>
          <w:iCs/>
        </w:rPr>
        <w:t>DMH</w:t>
      </w:r>
      <w:r w:rsidR="00B8354F" w:rsidRPr="002607A0">
        <w:rPr>
          <w:i/>
          <w:iCs/>
        </w:rPr>
        <w:t>]</w:t>
      </w:r>
      <w:r w:rsidR="000E0824" w:rsidRPr="002607A0">
        <w:rPr>
          <w:i/>
          <w:iCs/>
        </w:rPr>
        <w:t xml:space="preserve"> &amp; </w:t>
      </w:r>
      <w:r w:rsidR="00B8354F" w:rsidRPr="002607A0">
        <w:rPr>
          <w:i/>
          <w:iCs/>
        </w:rPr>
        <w:t>[</w:t>
      </w:r>
      <w:r w:rsidR="000E0824" w:rsidRPr="002607A0">
        <w:rPr>
          <w:i/>
          <w:iCs/>
        </w:rPr>
        <w:t>DCF</w:t>
      </w:r>
      <w:r w:rsidR="00B8354F" w:rsidRPr="002607A0">
        <w:rPr>
          <w:i/>
          <w:iCs/>
        </w:rPr>
        <w:t>]</w:t>
      </w:r>
      <w:r w:rsidR="000E0824" w:rsidRPr="002607A0">
        <w:t>,</w:t>
      </w:r>
      <w:r w:rsidR="000E0824" w:rsidRPr="002607A0">
        <w:rPr>
          <w:i/>
          <w:iCs/>
        </w:rPr>
        <w:t xml:space="preserve"> </w:t>
      </w:r>
      <w:r w:rsidR="0044223A" w:rsidRPr="002607A0">
        <w:t>31 MSER 92</w:t>
      </w:r>
      <w:r w:rsidR="000E0824" w:rsidRPr="002607A0">
        <w:t xml:space="preserve"> (Michell, 2025)</w:t>
      </w:r>
      <w:r w:rsidR="0044223A" w:rsidRPr="002607A0">
        <w:t>.</w:t>
      </w:r>
      <w:r w:rsidRPr="002607A0">
        <w:t xml:space="preserve"> </w:t>
      </w:r>
      <w:r w:rsidR="00D82AED" w:rsidRPr="002607A0">
        <w:rPr>
          <w:rFonts w:ascii="Aptos" w:hAnsi="Aptos"/>
        </w:rPr>
        <w:t>Many of the arguments presented in th</w:t>
      </w:r>
      <w:r w:rsidR="00CE77A1">
        <w:rPr>
          <w:rFonts w:ascii="Aptos" w:hAnsi="Aptos"/>
        </w:rPr>
        <w:t>at matter have been repeated in the instant</w:t>
      </w:r>
      <w:r w:rsidR="00D82AED" w:rsidRPr="002607A0">
        <w:rPr>
          <w:rFonts w:ascii="Aptos" w:hAnsi="Aptos"/>
        </w:rPr>
        <w:t xml:space="preserve"> </w:t>
      </w:r>
      <w:r w:rsidR="00D82AED" w:rsidRPr="002607A0">
        <w:rPr>
          <w:rFonts w:ascii="Aptos" w:hAnsi="Aptos"/>
          <w:i/>
          <w:iCs/>
        </w:rPr>
        <w:t>Motions</w:t>
      </w:r>
      <w:r w:rsidR="00D82AED" w:rsidRPr="002607A0">
        <w:rPr>
          <w:rFonts w:ascii="Aptos" w:hAnsi="Aptos"/>
        </w:rPr>
        <w:t xml:space="preserve"> and </w:t>
      </w:r>
      <w:r w:rsidR="00D82AED" w:rsidRPr="002607A0">
        <w:rPr>
          <w:rFonts w:ascii="Aptos" w:hAnsi="Aptos"/>
          <w:i/>
          <w:iCs/>
        </w:rPr>
        <w:t>Oppositions</w:t>
      </w:r>
      <w:r w:rsidR="00D82AED" w:rsidRPr="002607A0">
        <w:rPr>
          <w:rFonts w:ascii="Aptos" w:hAnsi="Aptos"/>
        </w:rPr>
        <w:t xml:space="preserve">, and thus I rely on my analysis in the </w:t>
      </w:r>
      <w:r w:rsidR="00D82AED" w:rsidRPr="002607A0">
        <w:rPr>
          <w:rFonts w:ascii="Aptos" w:hAnsi="Aptos"/>
          <w:i/>
          <w:iCs/>
        </w:rPr>
        <w:t>Prior Matter Ruling</w:t>
      </w:r>
      <w:r w:rsidR="00D82AED" w:rsidRPr="002607A0">
        <w:rPr>
          <w:rFonts w:ascii="Aptos" w:hAnsi="Aptos"/>
        </w:rPr>
        <w:t xml:space="preserve">, which is incorporated herein as appropriate. </w:t>
      </w:r>
      <w:r w:rsidR="00D82AED" w:rsidRPr="002607A0">
        <w:t xml:space="preserve"> </w:t>
      </w:r>
    </w:p>
  </w:footnote>
  <w:footnote w:id="4">
    <w:p w14:paraId="09FCFB85" w14:textId="7196EEA9" w:rsidR="00DF03F7" w:rsidRPr="002607A0" w:rsidRDefault="00DF03F7">
      <w:pPr>
        <w:pStyle w:val="FootnoteText"/>
      </w:pPr>
      <w:r w:rsidRPr="002607A0">
        <w:rPr>
          <w:rStyle w:val="FootnoteReference"/>
        </w:rPr>
        <w:footnoteRef/>
      </w:r>
      <w:r w:rsidRPr="002607A0">
        <w:t xml:space="preserve">   </w:t>
      </w:r>
      <w:r w:rsidR="00882BC8" w:rsidRPr="002607A0">
        <w:t>DCF Policy# 86-007</w:t>
      </w:r>
      <w:r w:rsidR="001B4EBA" w:rsidRPr="002607A0">
        <w:t xml:space="preserve"> (B)(12) and (C)(1).  </w:t>
      </w:r>
      <w:r w:rsidRPr="002607A0">
        <w:t xml:space="preserve">No information was provided as to whether the APM </w:t>
      </w:r>
      <w:r w:rsidR="00610555" w:rsidRPr="002607A0">
        <w:t xml:space="preserve">has yet </w:t>
      </w:r>
      <w:r w:rsidRPr="002607A0">
        <w:t xml:space="preserve">approved the case closure decision, when the notice of closure was received by Mother or Student, if at all, </w:t>
      </w:r>
      <w:r w:rsidR="00962688" w:rsidRPr="002607A0">
        <w:t>or</w:t>
      </w:r>
      <w:r w:rsidRPr="002607A0">
        <w:t xml:space="preserve"> if </w:t>
      </w:r>
      <w:r w:rsidR="00962688" w:rsidRPr="002607A0">
        <w:t>the appeal period has run at this time</w:t>
      </w:r>
      <w:r w:rsidR="00485129" w:rsidRPr="002607A0">
        <w:t>.</w:t>
      </w:r>
      <w:r w:rsidR="00CD7B83" w:rsidRPr="002607A0">
        <w:t xml:space="preserve">  </w:t>
      </w:r>
    </w:p>
  </w:footnote>
  <w:footnote w:id="5">
    <w:p w14:paraId="6AA0DB44" w14:textId="77777777" w:rsidR="00F4022E" w:rsidRPr="002607A0" w:rsidRDefault="00F4022E" w:rsidP="00F4022E">
      <w:pPr>
        <w:pStyle w:val="FootnoteText"/>
      </w:pPr>
      <w:r w:rsidRPr="002607A0">
        <w:rPr>
          <w:rStyle w:val="FootnoteReference"/>
        </w:rPr>
        <w:footnoteRef/>
      </w:r>
      <w:r w:rsidRPr="002607A0">
        <w:t xml:space="preserve">   No information was provided about the conduct that led to the suspension.</w:t>
      </w:r>
    </w:p>
  </w:footnote>
  <w:footnote w:id="6">
    <w:p w14:paraId="7B7F62C7" w14:textId="0455FA29" w:rsidR="00840600" w:rsidRPr="002607A0" w:rsidRDefault="00840600">
      <w:pPr>
        <w:pStyle w:val="FootnoteText"/>
      </w:pPr>
      <w:r w:rsidRPr="002607A0">
        <w:rPr>
          <w:rStyle w:val="FootnoteReference"/>
        </w:rPr>
        <w:footnoteRef/>
      </w:r>
      <w:r w:rsidRPr="002607A0">
        <w:t xml:space="preserve">   Due to concerns with potential excessive force during this restraint, the respite facility filed a 51A report </w:t>
      </w:r>
      <w:r w:rsidR="00EB0BE3">
        <w:t xml:space="preserve">on itself </w:t>
      </w:r>
      <w:r w:rsidR="006F3199" w:rsidRPr="002607A0">
        <w:t>with DCF</w:t>
      </w:r>
      <w:r w:rsidRPr="002607A0">
        <w:t>. (</w:t>
      </w:r>
      <w:r w:rsidRPr="002607A0">
        <w:rPr>
          <w:i/>
          <w:iCs/>
        </w:rPr>
        <w:t>Hearing Request</w:t>
      </w:r>
      <w:r w:rsidRPr="002607A0">
        <w:t>).</w:t>
      </w:r>
    </w:p>
  </w:footnote>
  <w:footnote w:id="7">
    <w:p w14:paraId="103D2B0B" w14:textId="5197A7D0" w:rsidR="00246BA5" w:rsidRPr="002607A0" w:rsidRDefault="00246BA5">
      <w:pPr>
        <w:pStyle w:val="FootnoteText"/>
      </w:pPr>
      <w:r w:rsidRPr="002607A0">
        <w:rPr>
          <w:rStyle w:val="FootnoteReference"/>
        </w:rPr>
        <w:footnoteRef/>
      </w:r>
      <w:r w:rsidRPr="002607A0">
        <w:t xml:space="preserve">  </w:t>
      </w:r>
      <w:r w:rsidR="00E90D79">
        <w:t>R</w:t>
      </w:r>
      <w:r w:rsidR="00645C1D" w:rsidRPr="002607A0">
        <w:t xml:space="preserve">efer to the “Position of the Parties” </w:t>
      </w:r>
      <w:r w:rsidR="001F50E9" w:rsidRPr="002607A0">
        <w:t xml:space="preserve">section </w:t>
      </w:r>
      <w:r w:rsidR="00645C1D" w:rsidRPr="002607A0">
        <w:t xml:space="preserve">in the </w:t>
      </w:r>
      <w:r w:rsidR="00645C1D" w:rsidRPr="002607A0">
        <w:rPr>
          <w:i/>
          <w:iCs/>
        </w:rPr>
        <w:t>Prior Matter Ruling</w:t>
      </w:r>
      <w:r w:rsidR="00645C1D" w:rsidRPr="002607A0">
        <w:t xml:space="preserve"> for a summary of the District’s arguments </w:t>
      </w:r>
      <w:r w:rsidR="001F50E9" w:rsidRPr="002607A0">
        <w:t>opposing</w:t>
      </w:r>
      <w:r w:rsidR="00645C1D" w:rsidRPr="002607A0">
        <w:t xml:space="preserve"> dismissal of DMH and DCF at that time, which arguments are incorporated herein.  </w:t>
      </w:r>
    </w:p>
  </w:footnote>
  <w:footnote w:id="8">
    <w:p w14:paraId="054B504E" w14:textId="0656C803" w:rsidR="007D015C" w:rsidRPr="002607A0" w:rsidRDefault="007D015C">
      <w:pPr>
        <w:pStyle w:val="FootnoteText"/>
      </w:pPr>
      <w:r w:rsidRPr="002607A0">
        <w:rPr>
          <w:rStyle w:val="FootnoteReference"/>
        </w:rPr>
        <w:footnoteRef/>
      </w:r>
      <w:r w:rsidRPr="002607A0">
        <w:t xml:space="preserve">   The language in question reads “The hearing officer may determine, in accordance with the rules, regulations and policies of the respective agencies, that services shall be provided by </w:t>
      </w:r>
      <w:r w:rsidR="00B53A57" w:rsidRPr="002607A0">
        <w:t xml:space="preserve">[DCF] </w:t>
      </w:r>
      <w:r w:rsidRPr="002607A0">
        <w:t xml:space="preserve">the department of mental retardation, </w:t>
      </w:r>
      <w:r w:rsidR="0064689D" w:rsidRPr="002607A0">
        <w:t>[DMH]</w:t>
      </w:r>
      <w:r w:rsidRPr="002607A0">
        <w:t>, the department of public health, or any other state agency or program, in addition to the program and related services to be provided by the school committee”</w:t>
      </w:r>
      <w:r w:rsidR="0064689D" w:rsidRPr="002607A0">
        <w:t>.</w:t>
      </w:r>
    </w:p>
  </w:footnote>
  <w:footnote w:id="9">
    <w:p w14:paraId="70DD9285" w14:textId="7A2E05EE" w:rsidR="002B0930" w:rsidRPr="002607A0" w:rsidRDefault="002B0930">
      <w:pPr>
        <w:pStyle w:val="FootnoteText"/>
      </w:pPr>
      <w:r w:rsidRPr="002607A0">
        <w:rPr>
          <w:rStyle w:val="FootnoteReference"/>
        </w:rPr>
        <w:footnoteRef/>
      </w:r>
      <w:r w:rsidRPr="002607A0">
        <w:t xml:space="preserve">   As </w:t>
      </w:r>
      <w:r w:rsidR="00FC3B3B" w:rsidRPr="002607A0">
        <w:t xml:space="preserve">an essential </w:t>
      </w:r>
      <w:r w:rsidRPr="002607A0">
        <w:t xml:space="preserve">part of this argument, </w:t>
      </w:r>
      <w:r w:rsidR="00732FCF" w:rsidRPr="002607A0">
        <w:t xml:space="preserve">relying on </w:t>
      </w:r>
      <w:r w:rsidR="007507B5" w:rsidRPr="002607A0">
        <w:t xml:space="preserve">a definition from </w:t>
      </w:r>
      <w:r w:rsidR="00846604" w:rsidRPr="002607A0">
        <w:t xml:space="preserve">Black’s Law </w:t>
      </w:r>
      <w:r w:rsidR="007507B5" w:rsidRPr="002607A0">
        <w:t>Dictionary</w:t>
      </w:r>
      <w:r w:rsidR="0095372C" w:rsidRPr="002607A0">
        <w:t xml:space="preserve"> (which</w:t>
      </w:r>
      <w:r w:rsidR="00846604" w:rsidRPr="002607A0">
        <w:t>,</w:t>
      </w:r>
      <w:r w:rsidR="0095372C" w:rsidRPr="002607A0">
        <w:t xml:space="preserve"> based on the </w:t>
      </w:r>
      <w:r w:rsidR="00846604" w:rsidRPr="002607A0">
        <w:t xml:space="preserve">quoted language, </w:t>
      </w:r>
      <w:r w:rsidR="0095372C" w:rsidRPr="002607A0">
        <w:t xml:space="preserve">appears to be </w:t>
      </w:r>
      <w:r w:rsidR="00846604" w:rsidRPr="002607A0">
        <w:t xml:space="preserve">from </w:t>
      </w:r>
      <w:r w:rsidR="0095372C" w:rsidRPr="002607A0">
        <w:t xml:space="preserve">the Second </w:t>
      </w:r>
      <w:r w:rsidR="005F4A82" w:rsidRPr="002607A0">
        <w:t>e</w:t>
      </w:r>
      <w:r w:rsidR="0095372C" w:rsidRPr="002607A0">
        <w:t>dition)</w:t>
      </w:r>
      <w:r w:rsidR="007507B5" w:rsidRPr="002607A0">
        <w:t xml:space="preserve">, </w:t>
      </w:r>
      <w:r w:rsidRPr="002607A0">
        <w:t>both agencies</w:t>
      </w:r>
      <w:r w:rsidR="00FC3B3B" w:rsidRPr="002607A0">
        <w:t xml:space="preserve"> </w:t>
      </w:r>
      <w:r w:rsidR="000777B3" w:rsidRPr="002607A0">
        <w:t xml:space="preserve">argue </w:t>
      </w:r>
      <w:r w:rsidRPr="002607A0">
        <w:t xml:space="preserve">that the </w:t>
      </w:r>
      <w:r w:rsidR="00FC3B3B" w:rsidRPr="002607A0">
        <w:t>statute’s</w:t>
      </w:r>
      <w:r w:rsidRPr="002607A0">
        <w:t xml:space="preserve"> use of the word “shall</w:t>
      </w:r>
      <w:r w:rsidR="00975DBB" w:rsidRPr="002607A0">
        <w:t>”</w:t>
      </w:r>
      <w:r w:rsidR="007D015C" w:rsidRPr="002607A0">
        <w:t xml:space="preserve"> in the phrase </w:t>
      </w:r>
      <w:r w:rsidR="007C76B5" w:rsidRPr="002607A0">
        <w:t xml:space="preserve">“that services shall be provided by [DCF] … [and DMH] …” is </w:t>
      </w:r>
      <w:r w:rsidR="00732FCF" w:rsidRPr="002607A0">
        <w:t>“unquestionably used as directory and not mandatory”.</w:t>
      </w:r>
      <w:r w:rsidR="0035331E" w:rsidRPr="002607A0">
        <w:t xml:space="preserve">  However, </w:t>
      </w:r>
      <w:r w:rsidR="009D7AB4" w:rsidRPr="002607A0">
        <w:t xml:space="preserve">the </w:t>
      </w:r>
      <w:r w:rsidR="002B06E0" w:rsidRPr="002607A0">
        <w:t xml:space="preserve">Dictionary </w:t>
      </w:r>
      <w:r w:rsidR="009D7AB4" w:rsidRPr="002607A0">
        <w:t xml:space="preserve">explains </w:t>
      </w:r>
      <w:r w:rsidR="002B06E0" w:rsidRPr="002607A0">
        <w:t xml:space="preserve">that </w:t>
      </w:r>
      <w:r w:rsidR="00F97F86" w:rsidRPr="002607A0">
        <w:t>defining “shall” in a permissive or directory context is</w:t>
      </w:r>
      <w:r w:rsidR="004862E9" w:rsidRPr="002607A0">
        <w:t xml:space="preserve"> only</w:t>
      </w:r>
      <w:r w:rsidR="00F97F86" w:rsidRPr="002607A0">
        <w:t xml:space="preserve"> appropriate “in cases where no right or benefit to any one depends on its being taken in the imperative sense</w:t>
      </w:r>
      <w:r w:rsidR="00FF5768" w:rsidRPr="002607A0">
        <w:t>…”</w:t>
      </w:r>
      <w:r w:rsidR="004862E9" w:rsidRPr="002607A0">
        <w:t>, which is not the case here</w:t>
      </w:r>
      <w:r w:rsidR="00FF5768" w:rsidRPr="002607A0">
        <w:t xml:space="preserve">.  </w:t>
      </w:r>
      <w:r w:rsidR="005F4A82" w:rsidRPr="002607A0">
        <w:t>Further</w:t>
      </w:r>
      <w:r w:rsidR="005F4DE6" w:rsidRPr="002607A0">
        <w:t>,</w:t>
      </w:r>
      <w:r w:rsidR="005F4A82" w:rsidRPr="002607A0">
        <w:t xml:space="preserve"> there is language in </w:t>
      </w:r>
      <w:r w:rsidR="00FF5768" w:rsidRPr="002607A0">
        <w:t xml:space="preserve">Second </w:t>
      </w:r>
      <w:r w:rsidR="005F4A82" w:rsidRPr="002607A0">
        <w:t>e</w:t>
      </w:r>
      <w:r w:rsidR="00FF5768" w:rsidRPr="002607A0">
        <w:t>dition that</w:t>
      </w:r>
      <w:r w:rsidR="005F4A82" w:rsidRPr="002607A0">
        <w:t xml:space="preserve"> </w:t>
      </w:r>
      <w:r w:rsidR="00FF5768" w:rsidRPr="002607A0">
        <w:t xml:space="preserve">is not carried over into future </w:t>
      </w:r>
      <w:r w:rsidR="005F4A82" w:rsidRPr="002607A0">
        <w:t>e</w:t>
      </w:r>
      <w:r w:rsidR="00FF5768" w:rsidRPr="002607A0">
        <w:t xml:space="preserve">ditions.  For instance, the Fifth </w:t>
      </w:r>
      <w:r w:rsidR="009D4ADA" w:rsidRPr="002607A0">
        <w:t>e</w:t>
      </w:r>
      <w:r w:rsidR="00FF5768" w:rsidRPr="002607A0">
        <w:t>dition</w:t>
      </w:r>
      <w:r w:rsidR="00B27A32" w:rsidRPr="002607A0">
        <w:t xml:space="preserve">’s </w:t>
      </w:r>
      <w:r w:rsidR="002716FA" w:rsidRPr="002607A0">
        <w:t xml:space="preserve">definition of “shall” does not include the sentence beginning with “also, as against the government …” which </w:t>
      </w:r>
      <w:r w:rsidR="0025767E" w:rsidRPr="002607A0">
        <w:t>the agencies</w:t>
      </w:r>
      <w:r w:rsidR="005F4DE6" w:rsidRPr="002607A0">
        <w:t>’</w:t>
      </w:r>
      <w:r w:rsidR="0025767E" w:rsidRPr="002607A0">
        <w:t xml:space="preserve"> emphasize as part of </w:t>
      </w:r>
      <w:r w:rsidR="00F93E2C" w:rsidRPr="002607A0">
        <w:t xml:space="preserve">their </w:t>
      </w:r>
      <w:r w:rsidR="0025767E" w:rsidRPr="002607A0">
        <w:t>argumen</w:t>
      </w:r>
      <w:r w:rsidR="00F93E2C" w:rsidRPr="002607A0">
        <w:t>t pertaining to the appropriate interpretation of “shall”</w:t>
      </w:r>
      <w:r w:rsidR="0025767E" w:rsidRPr="002607A0">
        <w:t xml:space="preserve">.  At this stage of the proceedings, </w:t>
      </w:r>
      <w:r w:rsidR="00F93E2C" w:rsidRPr="002607A0">
        <w:t xml:space="preserve">however, since </w:t>
      </w:r>
      <w:r w:rsidR="0025767E" w:rsidRPr="002607A0">
        <w:t xml:space="preserve">the question involves joinder of the agencies </w:t>
      </w:r>
      <w:r w:rsidR="00AE7A11" w:rsidRPr="002607A0">
        <w:t>only</w:t>
      </w:r>
      <w:r w:rsidR="00130FC6" w:rsidRPr="002607A0">
        <w:t xml:space="preserve">, it is unnecessary to undertake an extensive analysis of the </w:t>
      </w:r>
      <w:r w:rsidR="00FC3B3B" w:rsidRPr="002607A0">
        <w:t>definition of “shall” across all 12 editions of Black’s Law Dictionary.</w:t>
      </w:r>
    </w:p>
  </w:footnote>
  <w:footnote w:id="10">
    <w:p w14:paraId="47F71E26" w14:textId="0D04196A" w:rsidR="00F4022E" w:rsidRPr="002607A0" w:rsidRDefault="00F4022E" w:rsidP="00F4022E">
      <w:pPr>
        <w:pStyle w:val="FootnoteText"/>
      </w:pPr>
      <w:r w:rsidRPr="002607A0">
        <w:rPr>
          <w:rStyle w:val="FootnoteReference"/>
        </w:rPr>
        <w:footnoteRef/>
      </w:r>
      <w:r w:rsidR="002607A0">
        <w:t xml:space="preserve"> </w:t>
      </w:r>
      <w:r w:rsidRPr="002607A0">
        <w:t xml:space="preserve">  </w:t>
      </w:r>
      <w:r w:rsidRPr="002607A0">
        <w:rPr>
          <w:rFonts w:ascii="Aptos" w:eastAsia="Times New Roman" w:hAnsi="Aptos" w:cs="Times New Roman"/>
          <w:bCs/>
          <w:color w:val="000000"/>
        </w:rPr>
        <w:t>MGL c. 71B, §3; see 603 CMR 28.08(3).</w:t>
      </w:r>
    </w:p>
  </w:footnote>
  <w:footnote w:id="11">
    <w:p w14:paraId="6E4C6487" w14:textId="77777777" w:rsidR="00F4022E" w:rsidRPr="002607A0" w:rsidRDefault="00F4022E" w:rsidP="00F4022E">
      <w:pPr>
        <w:pStyle w:val="FootnoteText"/>
        <w:rPr>
          <w:rFonts w:ascii="Aptos" w:hAnsi="Aptos"/>
        </w:rPr>
      </w:pPr>
      <w:r w:rsidRPr="002607A0">
        <w:rPr>
          <w:rStyle w:val="FootnoteReference"/>
          <w:rFonts w:ascii="Aptos" w:hAnsi="Aptos"/>
        </w:rPr>
        <w:footnoteRef/>
      </w:r>
      <w:r w:rsidRPr="002607A0">
        <w:rPr>
          <w:rFonts w:ascii="Aptos" w:hAnsi="Aptos"/>
        </w:rPr>
        <w:t xml:space="preserve">   </w:t>
      </w:r>
      <w:r w:rsidRPr="002607A0">
        <w:rPr>
          <w:rFonts w:ascii="Aptos" w:hAnsi="Aptos"/>
          <w:i/>
          <w:iCs/>
        </w:rPr>
        <w:t xml:space="preserve">In Re: Plymouth Pub. Sch. </w:t>
      </w:r>
      <w:r w:rsidRPr="002607A0">
        <w:rPr>
          <w:rFonts w:ascii="Aptos" w:hAnsi="Aptos"/>
        </w:rPr>
        <w:t xml:space="preserve">BSEA No. 06-2584, 12 MSER 33 (Ruling Crane, 2006) (internal citations omitted); </w:t>
      </w:r>
      <w:r w:rsidRPr="002607A0">
        <w:rPr>
          <w:rFonts w:ascii="Aptos" w:hAnsi="Aptos"/>
          <w:i/>
          <w:iCs/>
        </w:rPr>
        <w:t>In Re: Fitchburg Pub. Sch.</w:t>
      </w:r>
      <w:r w:rsidRPr="002607A0">
        <w:rPr>
          <w:rFonts w:ascii="Aptos" w:hAnsi="Aptos"/>
        </w:rPr>
        <w:t xml:space="preserve"> BSEA No. 02-0038, 8 MSER 141 (Ruling Byrne, 2002).</w:t>
      </w:r>
    </w:p>
  </w:footnote>
  <w:footnote w:id="12">
    <w:p w14:paraId="4A32CF71" w14:textId="77777777" w:rsidR="00B41165" w:rsidRPr="002607A0" w:rsidRDefault="00B41165" w:rsidP="00B41165">
      <w:pPr>
        <w:pStyle w:val="FootnoteText"/>
        <w:rPr>
          <w:rFonts w:ascii="Aptos" w:hAnsi="Aptos" w:cs="Times New Roman"/>
        </w:rPr>
      </w:pPr>
      <w:r w:rsidRPr="002607A0">
        <w:rPr>
          <w:rStyle w:val="FootnoteReference"/>
          <w:rFonts w:ascii="Aptos" w:hAnsi="Aptos" w:cs="Times New Roman"/>
        </w:rPr>
        <w:footnoteRef/>
      </w:r>
      <w:r w:rsidRPr="002607A0">
        <w:rPr>
          <w:rFonts w:ascii="Aptos" w:hAnsi="Aptos" w:cs="Times New Roman"/>
        </w:rPr>
        <w:t xml:space="preserve">    </w:t>
      </w:r>
      <w:r w:rsidRPr="002607A0">
        <w:rPr>
          <w:rFonts w:ascii="Aptos" w:hAnsi="Aptos" w:cs="Times New Roman"/>
          <w:bCs/>
        </w:rPr>
        <w:t xml:space="preserve">20 USC §1415(b)(6); </w:t>
      </w:r>
      <w:r w:rsidRPr="002607A0">
        <w:rPr>
          <w:rFonts w:ascii="Aptos" w:hAnsi="Aptos" w:cs="Times New Roman"/>
        </w:rPr>
        <w:t>M.G.L. c. 71 § 2A; see 34 CFR 300.507(a)(1); 603 CMR 28.08(3)(a); see 34 CFR 300.507(a)(1); 603 CMR 28.08(3)(a).</w:t>
      </w:r>
    </w:p>
  </w:footnote>
  <w:footnote w:id="13">
    <w:p w14:paraId="29D13107" w14:textId="10122305" w:rsidR="00EB1CC1" w:rsidRPr="002607A0" w:rsidRDefault="00EB1CC1" w:rsidP="00EB1CC1">
      <w:pPr>
        <w:pStyle w:val="FootnoteText"/>
      </w:pPr>
      <w:r w:rsidRPr="002607A0">
        <w:rPr>
          <w:rStyle w:val="FootnoteReference"/>
        </w:rPr>
        <w:footnoteRef/>
      </w:r>
      <w:r w:rsidRPr="002607A0">
        <w:t xml:space="preserve">   Notwithstanding, as </w:t>
      </w:r>
      <w:r w:rsidR="006B33C4" w:rsidRPr="002607A0">
        <w:t xml:space="preserve">M.G.L. c. 71B §3 mandates that I cannot </w:t>
      </w:r>
      <w:r w:rsidR="00594108" w:rsidRPr="002607A0">
        <w:t xml:space="preserve">order relief contrary </w:t>
      </w:r>
      <w:r w:rsidR="00320E62" w:rsidRPr="002607A0">
        <w:t>to the rules, regulations or policies of DCF</w:t>
      </w:r>
      <w:r w:rsidR="00CB5802" w:rsidRPr="002607A0">
        <w:t xml:space="preserve">, should </w:t>
      </w:r>
      <w:r w:rsidRPr="002607A0">
        <w:t xml:space="preserve">DCF close its clinical case on </w:t>
      </w:r>
      <w:r w:rsidR="00CB5802" w:rsidRPr="002607A0">
        <w:t xml:space="preserve">behalf of </w:t>
      </w:r>
      <w:r w:rsidRPr="002607A0">
        <w:t xml:space="preserve">Student </w:t>
      </w:r>
      <w:r w:rsidR="00CB5802" w:rsidRPr="002607A0">
        <w:t xml:space="preserve">with </w:t>
      </w:r>
      <w:r w:rsidRPr="002607A0">
        <w:t>all appeal periods hav</w:t>
      </w:r>
      <w:r w:rsidR="00AD0DC9" w:rsidRPr="002607A0">
        <w:t>ing</w:t>
      </w:r>
      <w:r w:rsidRPr="002607A0">
        <w:t xml:space="preserve"> run, </w:t>
      </w:r>
      <w:r w:rsidR="002E4F5C" w:rsidRPr="002607A0">
        <w:t>it</w:t>
      </w:r>
      <w:r w:rsidRPr="002607A0">
        <w:t xml:space="preserve"> may request reconsideration of </w:t>
      </w:r>
      <w:r w:rsidR="00C14282" w:rsidRPr="002607A0">
        <w:t>its joinder</w:t>
      </w:r>
      <w:r w:rsidRPr="002607A0">
        <w:t xml:space="preserve">.  </w:t>
      </w:r>
      <w:r w:rsidR="002C34B2" w:rsidRPr="002607A0">
        <w:t xml:space="preserve">See </w:t>
      </w:r>
      <w:r w:rsidR="00AD0DC9" w:rsidRPr="002607A0">
        <w:rPr>
          <w:i/>
          <w:iCs/>
        </w:rPr>
        <w:t xml:space="preserve">In Re: Medford Pub. </w:t>
      </w:r>
      <w:proofErr w:type="spellStart"/>
      <w:r w:rsidR="00AD0DC9" w:rsidRPr="002607A0">
        <w:rPr>
          <w:i/>
          <w:iCs/>
        </w:rPr>
        <w:t>Schs</w:t>
      </w:r>
      <w:proofErr w:type="spellEnd"/>
      <w:r w:rsidR="00AD0DC9" w:rsidRPr="002607A0">
        <w:rPr>
          <w:i/>
          <w:iCs/>
        </w:rPr>
        <w:t>.</w:t>
      </w:r>
      <w:r w:rsidR="004B116D" w:rsidRPr="002607A0">
        <w:t>, BSEA No. 01-3941</w:t>
      </w:r>
      <w:r w:rsidR="00FE0AAB" w:rsidRPr="002607A0">
        <w:t xml:space="preserve">, </w:t>
      </w:r>
      <w:r w:rsidR="007C7658" w:rsidRPr="002607A0">
        <w:t>7</w:t>
      </w:r>
      <w:r w:rsidR="00FE0AAB" w:rsidRPr="002607A0">
        <w:t xml:space="preserve"> MSER </w:t>
      </w:r>
      <w:r w:rsidR="007C7658" w:rsidRPr="002607A0">
        <w:t>75</w:t>
      </w:r>
      <w:r w:rsidR="00FE0AAB" w:rsidRPr="002607A0">
        <w:t xml:space="preserve"> (Crane, 2001) </w:t>
      </w:r>
      <w:r w:rsidR="00AD0DC9" w:rsidRPr="002607A0">
        <w:t>(declining to join DMH</w:t>
      </w:r>
      <w:r w:rsidR="0052591B" w:rsidRPr="002607A0">
        <w:t xml:space="preserve"> </w:t>
      </w:r>
      <w:r w:rsidR="002E4F5C" w:rsidRPr="002607A0">
        <w:t xml:space="preserve">without prejudice, </w:t>
      </w:r>
      <w:r w:rsidR="00FE0AAB" w:rsidRPr="002607A0">
        <w:t xml:space="preserve">as DMH had determined </w:t>
      </w:r>
      <w:r w:rsidR="0052591B" w:rsidRPr="002607A0">
        <w:t>that the student was not eligible for continuing care service</w:t>
      </w:r>
      <w:r w:rsidR="00C074A1" w:rsidRPr="002607A0">
        <w:t>s</w:t>
      </w:r>
      <w:r w:rsidR="00FE0AAB" w:rsidRPr="002607A0">
        <w:t xml:space="preserve">, and this determination had been </w:t>
      </w:r>
      <w:r w:rsidR="00D3131E">
        <w:t>up</w:t>
      </w:r>
      <w:r w:rsidR="00FE0AAB" w:rsidRPr="002607A0">
        <w:t>held on appeal</w:t>
      </w:r>
      <w:r w:rsidR="00A074DE" w:rsidRPr="002607A0">
        <w:t xml:space="preserve">, but </w:t>
      </w:r>
      <w:r w:rsidR="00ED3273" w:rsidRPr="002607A0">
        <w:t xml:space="preserve">since, at the hearing on the joinder motion, </w:t>
      </w:r>
      <w:r w:rsidR="002C34B2" w:rsidRPr="002607A0">
        <w:t xml:space="preserve">further appeal rights </w:t>
      </w:r>
      <w:r w:rsidR="002E4F5C" w:rsidRPr="002607A0">
        <w:t>w</w:t>
      </w:r>
      <w:r w:rsidR="00ED3273" w:rsidRPr="002607A0">
        <w:t>ere</w:t>
      </w:r>
      <w:r w:rsidR="002E4F5C" w:rsidRPr="002607A0">
        <w:t xml:space="preserve"> found to exist for the student, </w:t>
      </w:r>
      <w:r w:rsidR="002C34B2" w:rsidRPr="002607A0">
        <w:t>that had not properly been offered</w:t>
      </w:r>
      <w:r w:rsidR="00ED3273" w:rsidRPr="002607A0">
        <w:t xml:space="preserve">, the student was </w:t>
      </w:r>
      <w:r w:rsidR="00D3131E">
        <w:t xml:space="preserve">permitted </w:t>
      </w:r>
      <w:r w:rsidR="00ED3273" w:rsidRPr="002607A0">
        <w:t>to seek DMH’s joinder again</w:t>
      </w:r>
      <w:r w:rsidR="00D3131E">
        <w:t xml:space="preserve"> should the eligibility decision change</w:t>
      </w:r>
      <w:r w:rsidR="00C074A1" w:rsidRPr="002607A0">
        <w:t>).</w:t>
      </w:r>
    </w:p>
  </w:footnote>
  <w:footnote w:id="14">
    <w:p w14:paraId="4444D0A1" w14:textId="1D1CB306" w:rsidR="002C47CD" w:rsidRPr="002607A0" w:rsidRDefault="002C47CD" w:rsidP="002C47CD">
      <w:pPr>
        <w:pStyle w:val="FootnoteText"/>
      </w:pPr>
      <w:r w:rsidRPr="002607A0">
        <w:rPr>
          <w:rStyle w:val="FootnoteReference"/>
        </w:rPr>
        <w:footnoteRef/>
      </w:r>
      <w:r w:rsidRPr="002607A0">
        <w:t xml:space="preserve">   </w:t>
      </w:r>
      <w:r w:rsidR="00020E87" w:rsidRPr="002607A0">
        <w:t>F</w:t>
      </w:r>
      <w:r w:rsidRPr="002607A0">
        <w:t xml:space="preserve">or instance, it may be that after a hearing on the merits, if I conclude Student does not require a residential placement for educational reasons, I could conclude he does need additional community supports to access his education, and thus an order for Student’s Social Worker to meet with Parent to develop an action plan that addresses </w:t>
      </w:r>
      <w:r w:rsidR="001A233D">
        <w:t xml:space="preserve">Student’s receipt of </w:t>
      </w:r>
      <w:r w:rsidRPr="002607A0">
        <w:t xml:space="preserve">community-based supportive services that he is not otherwise receiving, would be appropriate and consistent with </w:t>
      </w:r>
      <w:r w:rsidR="0099123C">
        <w:t>DCF’s</w:t>
      </w:r>
      <w:r w:rsidRPr="002607A0">
        <w:t xml:space="preserve"> Education Policy.</w:t>
      </w:r>
    </w:p>
  </w:footnote>
  <w:footnote w:id="15">
    <w:p w14:paraId="50918736" w14:textId="0FF9CE1E" w:rsidR="007E5337" w:rsidRPr="002607A0" w:rsidRDefault="007E5337">
      <w:pPr>
        <w:pStyle w:val="FootnoteText"/>
      </w:pPr>
      <w:r w:rsidRPr="002607A0">
        <w:rPr>
          <w:rStyle w:val="FootnoteReference"/>
        </w:rPr>
        <w:footnoteRef/>
      </w:r>
      <w:r w:rsidRPr="002607A0">
        <w:t xml:space="preserve">   I also disagree that the use of the word “shall” in this sentence is anything other than mandatory</w:t>
      </w:r>
      <w:r w:rsidR="005B293B" w:rsidRPr="002607A0">
        <w:t xml:space="preserve">, and if this is so, then the entire </w:t>
      </w:r>
      <w:r w:rsidR="005B293B" w:rsidRPr="002607A0">
        <w:rPr>
          <w:i/>
          <w:iCs/>
        </w:rPr>
        <w:t>ultra vires</w:t>
      </w:r>
      <w:r w:rsidR="005B293B" w:rsidRPr="002607A0">
        <w:t xml:space="preserve"> argument fail</w:t>
      </w:r>
      <w:r w:rsidR="004F38FB" w:rsidRPr="002607A0">
        <w:t>s</w:t>
      </w:r>
      <w:r w:rsidRPr="002607A0">
        <w:t xml:space="preserve">.  </w:t>
      </w:r>
      <w:r w:rsidR="005025CA" w:rsidRPr="002607A0">
        <w:t xml:space="preserve">The </w:t>
      </w:r>
      <w:r w:rsidRPr="002607A0">
        <w:t xml:space="preserve">sentence prior to the one </w:t>
      </w:r>
      <w:r w:rsidR="003176E6" w:rsidRPr="002607A0">
        <w:t xml:space="preserve">being </w:t>
      </w:r>
      <w:r w:rsidR="00972289" w:rsidRPr="002607A0">
        <w:t xml:space="preserve">challenged </w:t>
      </w:r>
      <w:r w:rsidR="00031BF3" w:rsidRPr="002607A0">
        <w:t xml:space="preserve">uses “shall” twice and in both instances, the </w:t>
      </w:r>
      <w:r w:rsidR="00637647" w:rsidRPr="002607A0">
        <w:t xml:space="preserve">use of </w:t>
      </w:r>
      <w:r w:rsidR="00031BF3" w:rsidRPr="002607A0">
        <w:t xml:space="preserve">“shall” is </w:t>
      </w:r>
      <w:r w:rsidR="00D43855" w:rsidRPr="002607A0">
        <w:t xml:space="preserve">clearly </w:t>
      </w:r>
      <w:r w:rsidR="00031BF3" w:rsidRPr="002607A0">
        <w:t>mandatory</w:t>
      </w:r>
      <w:r w:rsidR="0099123C">
        <w:t xml:space="preserve">, not permissive, </w:t>
      </w:r>
      <w:r w:rsidR="00B96189" w:rsidRPr="002607A0">
        <w:t xml:space="preserve">as it is used to </w:t>
      </w:r>
      <w:r w:rsidR="00D43855" w:rsidRPr="002607A0">
        <w:t xml:space="preserve">track the requirements of the IDEA.  </w:t>
      </w:r>
      <w:r w:rsidR="00591372" w:rsidRPr="002607A0">
        <w:t>Specifically,</w:t>
      </w:r>
      <w:r w:rsidR="00D43855" w:rsidRPr="002607A0">
        <w:t xml:space="preserve"> th</w:t>
      </w:r>
      <w:r w:rsidR="00FE2563" w:rsidRPr="002607A0">
        <w:t>e</w:t>
      </w:r>
      <w:r w:rsidR="00D43855" w:rsidRPr="002607A0">
        <w:t xml:space="preserve"> prior sentence reads:  “</w:t>
      </w:r>
      <w:r w:rsidR="007F2E71" w:rsidRPr="002607A0">
        <w:t>T</w:t>
      </w:r>
      <w:r w:rsidR="00D43855" w:rsidRPr="002607A0">
        <w:t xml:space="preserve">he hearing officer shall order such educational placement and services as he deems appropriate and consistent with this chapter to assure the child receives a free and appropriate public education in the least restrictive environment; provided, however, that a presumption shall exist to direct such placement to the regular educational </w:t>
      </w:r>
      <w:r w:rsidR="007F2E71" w:rsidRPr="002607A0">
        <w:t>environment”.</w:t>
      </w:r>
      <w:r w:rsidR="00FE6B14" w:rsidRPr="002607A0">
        <w:t xml:space="preserve">  </w:t>
      </w:r>
      <w:r w:rsidR="00C30AFE" w:rsidRPr="002607A0">
        <w:t>As the agencies recognize</w:t>
      </w:r>
      <w:r w:rsidR="005B293B" w:rsidRPr="002607A0">
        <w:t xml:space="preserve"> in their </w:t>
      </w:r>
      <w:r w:rsidR="005B293B" w:rsidRPr="002607A0">
        <w:rPr>
          <w:i/>
          <w:iCs/>
        </w:rPr>
        <w:t>Oppositions</w:t>
      </w:r>
      <w:r w:rsidR="00C30AFE" w:rsidRPr="002607A0">
        <w:t xml:space="preserve">, a canon of statutory </w:t>
      </w:r>
      <w:r w:rsidR="009C4E68" w:rsidRPr="002607A0">
        <w:t>construction</w:t>
      </w:r>
      <w:r w:rsidR="005B293B" w:rsidRPr="002607A0">
        <w:t xml:space="preserve"> is</w:t>
      </w:r>
      <w:r w:rsidR="009C4E68" w:rsidRPr="002607A0">
        <w:t xml:space="preserve"> </w:t>
      </w:r>
      <w:r w:rsidR="005B293B" w:rsidRPr="002607A0">
        <w:t xml:space="preserve">that </w:t>
      </w:r>
      <w:r w:rsidR="001C218C">
        <w:t>“</w:t>
      </w:r>
      <w:r w:rsidR="008E7248" w:rsidRPr="008E7248">
        <w:t>where words are used in one part of a statute in a definite sense, they should be given the same meaning in another part of the statute</w:t>
      </w:r>
      <w:r w:rsidR="001C218C">
        <w:t>”</w:t>
      </w:r>
      <w:r w:rsidR="005B293B" w:rsidRPr="002607A0">
        <w:t xml:space="preserve">.  </w:t>
      </w:r>
      <w:r w:rsidR="0052156A" w:rsidRPr="002607A0">
        <w:t xml:space="preserve">See </w:t>
      </w:r>
      <w:r w:rsidR="0052156A" w:rsidRPr="002607A0">
        <w:rPr>
          <w:i/>
          <w:iCs/>
        </w:rPr>
        <w:t>Beeler v. Downey</w:t>
      </w:r>
      <w:r w:rsidR="0052156A" w:rsidRPr="002607A0">
        <w:t>, 387 Mass. 609, 617 (1982)</w:t>
      </w:r>
      <w:r w:rsidR="001C218C">
        <w:t xml:space="preserve"> (citation omitted)</w:t>
      </w:r>
      <w:r w:rsidR="0052156A" w:rsidRPr="002607A0">
        <w:t>.</w:t>
      </w:r>
    </w:p>
  </w:footnote>
  <w:footnote w:id="16">
    <w:p w14:paraId="14513191" w14:textId="1E77AE81" w:rsidR="001E1953" w:rsidRPr="002607A0" w:rsidRDefault="001E1953">
      <w:pPr>
        <w:pStyle w:val="FootnoteText"/>
      </w:pPr>
      <w:r w:rsidRPr="002607A0">
        <w:rPr>
          <w:rStyle w:val="FootnoteReference"/>
        </w:rPr>
        <w:footnoteRef/>
      </w:r>
      <w:r w:rsidRPr="002607A0">
        <w:t xml:space="preserve"> </w:t>
      </w:r>
      <w:r w:rsidR="001367C5" w:rsidRPr="002607A0">
        <w:t xml:space="preserve">  </w:t>
      </w:r>
      <w:r w:rsidR="00B31E86" w:rsidRPr="002607A0">
        <w:rPr>
          <w:i/>
          <w:iCs/>
        </w:rPr>
        <w:t>In Re: Medford</w:t>
      </w:r>
      <w:r w:rsidR="00B31E86" w:rsidRPr="002607A0">
        <w:t xml:space="preserve">, BSEA No. 01-3941, </w:t>
      </w:r>
      <w:r w:rsidR="009342C2" w:rsidRPr="002607A0">
        <w:t xml:space="preserve">7 MSER 75 </w:t>
      </w:r>
      <w:r w:rsidR="00B31E86" w:rsidRPr="002607A0">
        <w:t>(2001)</w:t>
      </w:r>
      <w:r w:rsidR="001367C5" w:rsidRPr="002607A0">
        <w:t>.</w:t>
      </w:r>
    </w:p>
  </w:footnote>
  <w:footnote w:id="17">
    <w:p w14:paraId="6CA4B8F0" w14:textId="50496DD9" w:rsidR="009D76FC" w:rsidRPr="002607A0" w:rsidRDefault="009D76FC">
      <w:pPr>
        <w:pStyle w:val="FootnoteText"/>
      </w:pPr>
      <w:r w:rsidRPr="002607A0">
        <w:rPr>
          <w:rStyle w:val="FootnoteReference"/>
        </w:rPr>
        <w:footnoteRef/>
      </w:r>
      <w:r w:rsidR="005063B6" w:rsidRPr="002607A0">
        <w:t xml:space="preserve">   </w:t>
      </w:r>
      <w:r w:rsidR="005063B6" w:rsidRPr="002607A0">
        <w:rPr>
          <w:i/>
          <w:iCs/>
        </w:rPr>
        <w:t>Id</w:t>
      </w:r>
      <w:r w:rsidR="005063B6" w:rsidRPr="002607A0">
        <w:t>.</w:t>
      </w:r>
    </w:p>
  </w:footnote>
  <w:footnote w:id="18">
    <w:p w14:paraId="5DB91602" w14:textId="6AFDD13E" w:rsidR="005C23B7" w:rsidRPr="002607A0" w:rsidRDefault="005C23B7" w:rsidP="005C23B7">
      <w:pPr>
        <w:pStyle w:val="FootnoteText"/>
      </w:pPr>
      <w:r w:rsidRPr="002607A0">
        <w:rPr>
          <w:rStyle w:val="FootnoteReference"/>
        </w:rPr>
        <w:footnoteRef/>
      </w:r>
      <w:r w:rsidRPr="002607A0">
        <w:t xml:space="preserve">   </w:t>
      </w:r>
      <w:r w:rsidRPr="002607A0">
        <w:rPr>
          <w:i/>
          <w:iCs/>
        </w:rPr>
        <w:t>Id</w:t>
      </w:r>
      <w:r w:rsidRPr="002607A0">
        <w:t xml:space="preserve">. </w:t>
      </w:r>
    </w:p>
  </w:footnote>
  <w:footnote w:id="19">
    <w:p w14:paraId="1C7E0951" w14:textId="5A2F65D7" w:rsidR="004B5069" w:rsidRPr="002607A0" w:rsidRDefault="004B5069">
      <w:pPr>
        <w:pStyle w:val="FootnoteText"/>
      </w:pPr>
      <w:r w:rsidRPr="002607A0">
        <w:rPr>
          <w:rStyle w:val="FootnoteReference"/>
        </w:rPr>
        <w:footnoteRef/>
      </w:r>
      <w:r w:rsidRPr="002607A0">
        <w:t xml:space="preserve">   </w:t>
      </w:r>
      <w:r w:rsidRPr="002607A0">
        <w:rPr>
          <w:i/>
          <w:iCs/>
        </w:rPr>
        <w:t>Id</w:t>
      </w:r>
      <w:r w:rsidRPr="002607A0">
        <w:t xml:space="preserve">. citing </w:t>
      </w:r>
      <w:r w:rsidRPr="002607A0">
        <w:rPr>
          <w:i/>
          <w:iCs/>
        </w:rPr>
        <w:t>Dowell v. Commissioner of Transitional Assistance</w:t>
      </w:r>
      <w:r w:rsidRPr="002607A0">
        <w:t>, 424 Mass. 610, 613 (1997) (“provisions of legislation addressing similar subject matter are to be construed together to make an harmonious whole consistent with the legislative purpose and to avoid rendering any part of the legislation meaningless”)</w:t>
      </w:r>
      <w:r w:rsidR="002644F8">
        <w:t xml:space="preserve"> (citations omitted)</w:t>
      </w:r>
      <w:r w:rsidRPr="002607A0">
        <w:t xml:space="preserve">; </w:t>
      </w:r>
      <w:r w:rsidRPr="002607A0">
        <w:rPr>
          <w:i/>
          <w:iCs/>
        </w:rPr>
        <w:t>Champigny v. Commonwealth</w:t>
      </w:r>
      <w:r w:rsidRPr="002607A0">
        <w:t>, 422 Mass. 249, 251 (1996) (court declined to read statute in a manner that the “legislative effort would have had no practical effect”)</w:t>
      </w:r>
      <w:r w:rsidR="002079FC" w:rsidRPr="002607A0">
        <w:t>.</w:t>
      </w:r>
    </w:p>
  </w:footnote>
  <w:footnote w:id="20">
    <w:p w14:paraId="4C5009A4" w14:textId="1B8A4805" w:rsidR="005063B6" w:rsidRPr="002607A0" w:rsidRDefault="005063B6">
      <w:pPr>
        <w:pStyle w:val="FootnoteText"/>
      </w:pPr>
      <w:r w:rsidRPr="002607A0">
        <w:rPr>
          <w:rStyle w:val="FootnoteReference"/>
        </w:rPr>
        <w:footnoteRef/>
      </w:r>
      <w:r w:rsidRPr="002607A0">
        <w:t xml:space="preserve"> </w:t>
      </w:r>
      <w:r w:rsidR="00850242" w:rsidRPr="002607A0">
        <w:t xml:space="preserve"> </w:t>
      </w:r>
      <w:r w:rsidR="002079FC" w:rsidRPr="002607A0">
        <w:t xml:space="preserve"> </w:t>
      </w:r>
      <w:r w:rsidR="00741CB0" w:rsidRPr="002607A0">
        <w:rPr>
          <w:i/>
          <w:iCs/>
        </w:rPr>
        <w:t>In Re: Medford</w:t>
      </w:r>
      <w:r w:rsidR="00741CB0" w:rsidRPr="002607A0">
        <w:t xml:space="preserve">, BSEA No. 01-3941, </w:t>
      </w:r>
      <w:r w:rsidR="009342C2" w:rsidRPr="002607A0">
        <w:t xml:space="preserve">7 MSER 75 </w:t>
      </w:r>
      <w:r w:rsidR="00741CB0" w:rsidRPr="002607A0">
        <w:t>(2001</w:t>
      </w:r>
      <w:r w:rsidR="005D5BB5" w:rsidRPr="002607A0">
        <w:t>) (citations omitted).</w:t>
      </w:r>
    </w:p>
  </w:footnote>
  <w:footnote w:id="21">
    <w:p w14:paraId="1C08F10E" w14:textId="7F90FC49" w:rsidR="00850242" w:rsidRPr="002607A0" w:rsidRDefault="00850242">
      <w:pPr>
        <w:pStyle w:val="FootnoteText"/>
      </w:pPr>
      <w:r w:rsidRPr="002607A0">
        <w:rPr>
          <w:rStyle w:val="FootnoteReference"/>
        </w:rPr>
        <w:footnoteRef/>
      </w:r>
      <w:r w:rsidRPr="002607A0">
        <w:t xml:space="preserve">   </w:t>
      </w:r>
      <w:r w:rsidRPr="002607A0">
        <w:rPr>
          <w:i/>
          <w:iCs/>
        </w:rPr>
        <w:t>Id</w:t>
      </w:r>
      <w:r w:rsidRPr="002607A0">
        <w:t>.</w:t>
      </w:r>
    </w:p>
  </w:footnote>
  <w:footnote w:id="22">
    <w:p w14:paraId="560CF8EE" w14:textId="3E96AA42" w:rsidR="009475E5" w:rsidRPr="002607A0" w:rsidRDefault="009475E5" w:rsidP="009475E5">
      <w:pPr>
        <w:pStyle w:val="FootnoteText"/>
      </w:pPr>
      <w:r w:rsidRPr="002607A0">
        <w:rPr>
          <w:rStyle w:val="FootnoteReference"/>
        </w:rPr>
        <w:footnoteRef/>
      </w:r>
      <w:r w:rsidRPr="002607A0">
        <w:t xml:space="preserve">   </w:t>
      </w:r>
      <w:r w:rsidR="00FF3F15" w:rsidRPr="002607A0">
        <w:rPr>
          <w:i/>
          <w:iCs/>
        </w:rPr>
        <w:t>Id</w:t>
      </w:r>
      <w:r w:rsidR="00FF3F15" w:rsidRPr="002607A0">
        <w:t xml:space="preserve">.  </w:t>
      </w:r>
      <w:r w:rsidRPr="002607A0">
        <w:t xml:space="preserve">DMH and DCF also claim there are due process rights expressly available Parents and LEAs at BSEA hearings under the statutory scheme, that </w:t>
      </w:r>
      <w:r w:rsidR="007022EB">
        <w:t xml:space="preserve">are </w:t>
      </w:r>
      <w:r w:rsidRPr="002607A0">
        <w:t xml:space="preserve">not explicitly available to agency parties.  Specifically, they claim the statute does not provide them with the right to appeal, and the right to pursue resolution through mediation.  They also argue that while DESE has the right to require LEAs to comply with BSEA decisions, DESE has no such authority to “direct [either agency] commissioner to provide services  …[or] to enforce BSEA orders against [them]”.  I note, however, that while the statute does not explicitly provide an appeal right to agencies, the provisions of </w:t>
      </w:r>
      <w:r w:rsidRPr="002607A0">
        <w:rPr>
          <w:i/>
          <w:iCs/>
        </w:rPr>
        <w:t>Hearing Rule XIII(A)</w:t>
      </w:r>
      <w:r w:rsidRPr="002607A0">
        <w:t xml:space="preserve"> (which states that “[</w:t>
      </w:r>
      <w:r w:rsidRPr="002607A0">
        <w:rPr>
          <w:i/>
          <w:iCs/>
        </w:rPr>
        <w:t>a</w:t>
      </w:r>
      <w:r w:rsidRPr="002607A0">
        <w:t>]</w:t>
      </w:r>
      <w:r w:rsidRPr="002607A0">
        <w:rPr>
          <w:i/>
          <w:iCs/>
        </w:rPr>
        <w:t xml:space="preserve">ny party </w:t>
      </w:r>
      <w:r w:rsidRPr="002607A0">
        <w:t>aggrieved by the decision of the Hearing Officer may file a complaint for review …” (emphasis added)), does</w:t>
      </w:r>
      <w:r w:rsidR="00F43AD9">
        <w:t xml:space="preserve"> provide such appeal right</w:t>
      </w:r>
      <w:r w:rsidRPr="002607A0">
        <w:t>.  Also, any party to a BSEA proceeding can access the mediation dispute resolution option at any time, with the agreement of all other parties.  Further, regardless of whether DESE can enforce a BSEA decision against either agency, if an agency is the subject of a BSEA order in a Decision made after a hearing on the merits and a party believes that the Decision</w:t>
      </w:r>
      <w:r w:rsidRPr="002607A0">
        <w:rPr>
          <w:i/>
          <w:iCs/>
        </w:rPr>
        <w:t xml:space="preserve"> </w:t>
      </w:r>
      <w:r w:rsidRPr="002607A0">
        <w:t xml:space="preserve">is not being implemented, that party may file a motion requesting an order of compliance with the decision from the BSEA in accordance with </w:t>
      </w:r>
      <w:r w:rsidRPr="002607A0">
        <w:rPr>
          <w:i/>
          <w:iCs/>
        </w:rPr>
        <w:t>Hearing Rule XIV</w:t>
      </w:r>
      <w:r w:rsidRPr="002607A0">
        <w:t xml:space="preserve">.  </w:t>
      </w:r>
    </w:p>
  </w:footnote>
  <w:footnote w:id="23">
    <w:p w14:paraId="03C2C9B7" w14:textId="3C785460" w:rsidR="008C21B2" w:rsidRDefault="008C21B2" w:rsidP="008C21B2">
      <w:pPr>
        <w:pStyle w:val="FootnoteText"/>
      </w:pPr>
      <w:r w:rsidRPr="002607A0">
        <w:rPr>
          <w:rStyle w:val="FootnoteReference"/>
        </w:rPr>
        <w:footnoteRef/>
      </w:r>
      <w:r w:rsidRPr="002607A0">
        <w:t xml:space="preserve">   </w:t>
      </w:r>
      <w:r w:rsidR="009A157A">
        <w:t xml:space="preserve">Additionally, </w:t>
      </w:r>
      <w:r w:rsidRPr="002607A0">
        <w:t xml:space="preserve">DMH and DCF’s </w:t>
      </w:r>
      <w:r w:rsidR="00D50357" w:rsidRPr="002607A0">
        <w:t>claim</w:t>
      </w:r>
      <w:r w:rsidRPr="002607A0">
        <w:t xml:space="preserve"> that its joinder </w:t>
      </w:r>
      <w:r w:rsidR="00D50357" w:rsidRPr="002607A0">
        <w:t>will</w:t>
      </w:r>
      <w:r w:rsidRPr="002607A0">
        <w:t xml:space="preserve"> “divert</w:t>
      </w:r>
      <w:r w:rsidR="00D50357" w:rsidRPr="002607A0">
        <w:t>[]</w:t>
      </w:r>
      <w:r w:rsidRPr="002607A0">
        <w:t xml:space="preserve"> attention and resources away from other crucially important activities that serve vulnerable children adults and families” fails to account for the significant needs that Student</w:t>
      </w:r>
      <w:r w:rsidR="009A157A">
        <w:t xml:space="preserve"> here</w:t>
      </w:r>
      <w:r w:rsidRPr="002607A0">
        <w:t xml:space="preserve"> faces, which both agencies currently and historically have supported.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82E29"/>
    <w:multiLevelType w:val="hybridMultilevel"/>
    <w:tmpl w:val="2A80E0F2"/>
    <w:lvl w:ilvl="0" w:tplc="DCEE2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7C5DE5"/>
    <w:multiLevelType w:val="hybridMultilevel"/>
    <w:tmpl w:val="FAA070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E3F3036"/>
    <w:multiLevelType w:val="hybridMultilevel"/>
    <w:tmpl w:val="FAA07022"/>
    <w:lvl w:ilvl="0" w:tplc="35E64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BE7F13"/>
    <w:multiLevelType w:val="hybridMultilevel"/>
    <w:tmpl w:val="5B7C1C48"/>
    <w:lvl w:ilvl="0" w:tplc="35E64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1B4CD5"/>
    <w:multiLevelType w:val="hybridMultilevel"/>
    <w:tmpl w:val="C0C03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28518">
    <w:abstractNumId w:val="0"/>
  </w:num>
  <w:num w:numId="2" w16cid:durableId="1074476671">
    <w:abstractNumId w:val="5"/>
  </w:num>
  <w:num w:numId="3" w16cid:durableId="576089147">
    <w:abstractNumId w:val="1"/>
  </w:num>
  <w:num w:numId="4" w16cid:durableId="1334188233">
    <w:abstractNumId w:val="3"/>
  </w:num>
  <w:num w:numId="5" w16cid:durableId="1548687296">
    <w:abstractNumId w:val="2"/>
  </w:num>
  <w:num w:numId="6" w16cid:durableId="186182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2E"/>
    <w:rsid w:val="00000FD2"/>
    <w:rsid w:val="000016E5"/>
    <w:rsid w:val="00003426"/>
    <w:rsid w:val="000039F9"/>
    <w:rsid w:val="000055B3"/>
    <w:rsid w:val="0000685E"/>
    <w:rsid w:val="000118E1"/>
    <w:rsid w:val="00020E87"/>
    <w:rsid w:val="00021FCC"/>
    <w:rsid w:val="0002375F"/>
    <w:rsid w:val="000246EE"/>
    <w:rsid w:val="0003152D"/>
    <w:rsid w:val="00031BF3"/>
    <w:rsid w:val="00032428"/>
    <w:rsid w:val="00035962"/>
    <w:rsid w:val="00036DC8"/>
    <w:rsid w:val="0003797A"/>
    <w:rsid w:val="00037BE4"/>
    <w:rsid w:val="000432F1"/>
    <w:rsid w:val="000445B4"/>
    <w:rsid w:val="00046115"/>
    <w:rsid w:val="00046789"/>
    <w:rsid w:val="0005012F"/>
    <w:rsid w:val="00050ED3"/>
    <w:rsid w:val="000541C2"/>
    <w:rsid w:val="00060659"/>
    <w:rsid w:val="000615BB"/>
    <w:rsid w:val="00061B6E"/>
    <w:rsid w:val="00064BC0"/>
    <w:rsid w:val="00066C36"/>
    <w:rsid w:val="00073F70"/>
    <w:rsid w:val="0007497B"/>
    <w:rsid w:val="000758CE"/>
    <w:rsid w:val="000777B3"/>
    <w:rsid w:val="00077F02"/>
    <w:rsid w:val="00080E40"/>
    <w:rsid w:val="00084979"/>
    <w:rsid w:val="000903BA"/>
    <w:rsid w:val="00093422"/>
    <w:rsid w:val="000939AD"/>
    <w:rsid w:val="000950A7"/>
    <w:rsid w:val="000952B6"/>
    <w:rsid w:val="00095334"/>
    <w:rsid w:val="000975C8"/>
    <w:rsid w:val="000A34EB"/>
    <w:rsid w:val="000A3CC1"/>
    <w:rsid w:val="000A48F3"/>
    <w:rsid w:val="000B26E8"/>
    <w:rsid w:val="000B2E77"/>
    <w:rsid w:val="000B30C8"/>
    <w:rsid w:val="000B64AA"/>
    <w:rsid w:val="000C0243"/>
    <w:rsid w:val="000C34BD"/>
    <w:rsid w:val="000C603D"/>
    <w:rsid w:val="000C7560"/>
    <w:rsid w:val="000D01AC"/>
    <w:rsid w:val="000D0B03"/>
    <w:rsid w:val="000D2FB8"/>
    <w:rsid w:val="000D2FD3"/>
    <w:rsid w:val="000D5E09"/>
    <w:rsid w:val="000E0824"/>
    <w:rsid w:val="000E16C6"/>
    <w:rsid w:val="000E189D"/>
    <w:rsid w:val="000E2F64"/>
    <w:rsid w:val="000E30A0"/>
    <w:rsid w:val="000E3469"/>
    <w:rsid w:val="000E35B8"/>
    <w:rsid w:val="000F1F43"/>
    <w:rsid w:val="000F318E"/>
    <w:rsid w:val="000F3DCF"/>
    <w:rsid w:val="000F4824"/>
    <w:rsid w:val="000F7548"/>
    <w:rsid w:val="00100A4E"/>
    <w:rsid w:val="00100B23"/>
    <w:rsid w:val="001012B6"/>
    <w:rsid w:val="00101EE8"/>
    <w:rsid w:val="00105220"/>
    <w:rsid w:val="00111DD7"/>
    <w:rsid w:val="00112A23"/>
    <w:rsid w:val="00112B3A"/>
    <w:rsid w:val="00112D67"/>
    <w:rsid w:val="001136BC"/>
    <w:rsid w:val="0012662D"/>
    <w:rsid w:val="00130FC6"/>
    <w:rsid w:val="00131CAF"/>
    <w:rsid w:val="00131FFE"/>
    <w:rsid w:val="00132900"/>
    <w:rsid w:val="00132BF5"/>
    <w:rsid w:val="00134C00"/>
    <w:rsid w:val="0013514D"/>
    <w:rsid w:val="0013646A"/>
    <w:rsid w:val="001367C5"/>
    <w:rsid w:val="001379CB"/>
    <w:rsid w:val="00137D8B"/>
    <w:rsid w:val="00142E01"/>
    <w:rsid w:val="00142E42"/>
    <w:rsid w:val="001437F9"/>
    <w:rsid w:val="00143B34"/>
    <w:rsid w:val="00144207"/>
    <w:rsid w:val="001451FA"/>
    <w:rsid w:val="00147B25"/>
    <w:rsid w:val="00147CA1"/>
    <w:rsid w:val="00153E87"/>
    <w:rsid w:val="00156668"/>
    <w:rsid w:val="0016096F"/>
    <w:rsid w:val="001610B6"/>
    <w:rsid w:val="00161939"/>
    <w:rsid w:val="001639B1"/>
    <w:rsid w:val="00164BDE"/>
    <w:rsid w:val="0017212F"/>
    <w:rsid w:val="001733BB"/>
    <w:rsid w:val="001806C6"/>
    <w:rsid w:val="00183E82"/>
    <w:rsid w:val="00183FDE"/>
    <w:rsid w:val="001844F4"/>
    <w:rsid w:val="00185B8D"/>
    <w:rsid w:val="00193484"/>
    <w:rsid w:val="00195562"/>
    <w:rsid w:val="001A233D"/>
    <w:rsid w:val="001A528B"/>
    <w:rsid w:val="001A69CF"/>
    <w:rsid w:val="001B05CF"/>
    <w:rsid w:val="001B30C7"/>
    <w:rsid w:val="001B4EBA"/>
    <w:rsid w:val="001B531B"/>
    <w:rsid w:val="001B686B"/>
    <w:rsid w:val="001B6D0F"/>
    <w:rsid w:val="001C079C"/>
    <w:rsid w:val="001C089C"/>
    <w:rsid w:val="001C218C"/>
    <w:rsid w:val="001C24A3"/>
    <w:rsid w:val="001C3A55"/>
    <w:rsid w:val="001C6437"/>
    <w:rsid w:val="001D0079"/>
    <w:rsid w:val="001D1D25"/>
    <w:rsid w:val="001D37E9"/>
    <w:rsid w:val="001D3B4D"/>
    <w:rsid w:val="001D57FE"/>
    <w:rsid w:val="001D5B3E"/>
    <w:rsid w:val="001D6BE4"/>
    <w:rsid w:val="001E0708"/>
    <w:rsid w:val="001E1953"/>
    <w:rsid w:val="001E2359"/>
    <w:rsid w:val="001E29CB"/>
    <w:rsid w:val="001E2E10"/>
    <w:rsid w:val="001E3A8C"/>
    <w:rsid w:val="001E6B3A"/>
    <w:rsid w:val="001F1AAC"/>
    <w:rsid w:val="001F21C4"/>
    <w:rsid w:val="001F2FDF"/>
    <w:rsid w:val="001F3012"/>
    <w:rsid w:val="001F34AA"/>
    <w:rsid w:val="001F50E9"/>
    <w:rsid w:val="001F7894"/>
    <w:rsid w:val="00200672"/>
    <w:rsid w:val="002030ED"/>
    <w:rsid w:val="00203A2E"/>
    <w:rsid w:val="00206715"/>
    <w:rsid w:val="002079FC"/>
    <w:rsid w:val="00211D36"/>
    <w:rsid w:val="00213A66"/>
    <w:rsid w:val="00215B3F"/>
    <w:rsid w:val="0021667E"/>
    <w:rsid w:val="0021760F"/>
    <w:rsid w:val="00222639"/>
    <w:rsid w:val="002233FB"/>
    <w:rsid w:val="00223B73"/>
    <w:rsid w:val="00223C3F"/>
    <w:rsid w:val="00227FCC"/>
    <w:rsid w:val="0023070C"/>
    <w:rsid w:val="00230712"/>
    <w:rsid w:val="00230A73"/>
    <w:rsid w:val="00231462"/>
    <w:rsid w:val="002326EC"/>
    <w:rsid w:val="00232EFF"/>
    <w:rsid w:val="002345FB"/>
    <w:rsid w:val="00237B33"/>
    <w:rsid w:val="00241BC7"/>
    <w:rsid w:val="002435D3"/>
    <w:rsid w:val="00246BA5"/>
    <w:rsid w:val="00251B33"/>
    <w:rsid w:val="0025206A"/>
    <w:rsid w:val="002545B0"/>
    <w:rsid w:val="00255AB7"/>
    <w:rsid w:val="0025767E"/>
    <w:rsid w:val="002607A0"/>
    <w:rsid w:val="00261CDC"/>
    <w:rsid w:val="0026291A"/>
    <w:rsid w:val="00264390"/>
    <w:rsid w:val="002644F8"/>
    <w:rsid w:val="00270C53"/>
    <w:rsid w:val="002716FA"/>
    <w:rsid w:val="00272112"/>
    <w:rsid w:val="00272BDB"/>
    <w:rsid w:val="002803B6"/>
    <w:rsid w:val="00280C80"/>
    <w:rsid w:val="002815EC"/>
    <w:rsid w:val="00281F22"/>
    <w:rsid w:val="0028510B"/>
    <w:rsid w:val="00287039"/>
    <w:rsid w:val="0028789A"/>
    <w:rsid w:val="00291719"/>
    <w:rsid w:val="00292038"/>
    <w:rsid w:val="0029389B"/>
    <w:rsid w:val="002942FE"/>
    <w:rsid w:val="002A07B1"/>
    <w:rsid w:val="002A0A5B"/>
    <w:rsid w:val="002A3ED4"/>
    <w:rsid w:val="002A4721"/>
    <w:rsid w:val="002A4B38"/>
    <w:rsid w:val="002A556F"/>
    <w:rsid w:val="002A5C58"/>
    <w:rsid w:val="002A706B"/>
    <w:rsid w:val="002A7B4A"/>
    <w:rsid w:val="002B06E0"/>
    <w:rsid w:val="002B0930"/>
    <w:rsid w:val="002B1259"/>
    <w:rsid w:val="002B1A2A"/>
    <w:rsid w:val="002B1BA9"/>
    <w:rsid w:val="002B1D5B"/>
    <w:rsid w:val="002B2F3A"/>
    <w:rsid w:val="002B3ABC"/>
    <w:rsid w:val="002B4773"/>
    <w:rsid w:val="002B49F8"/>
    <w:rsid w:val="002B653C"/>
    <w:rsid w:val="002B7607"/>
    <w:rsid w:val="002C1234"/>
    <w:rsid w:val="002C24BE"/>
    <w:rsid w:val="002C34B2"/>
    <w:rsid w:val="002C47CD"/>
    <w:rsid w:val="002C5F12"/>
    <w:rsid w:val="002D01FA"/>
    <w:rsid w:val="002D527F"/>
    <w:rsid w:val="002D6762"/>
    <w:rsid w:val="002D69D2"/>
    <w:rsid w:val="002D73A3"/>
    <w:rsid w:val="002D7E33"/>
    <w:rsid w:val="002E0271"/>
    <w:rsid w:val="002E07D5"/>
    <w:rsid w:val="002E4F5C"/>
    <w:rsid w:val="002E6988"/>
    <w:rsid w:val="002F0030"/>
    <w:rsid w:val="002F0180"/>
    <w:rsid w:val="002F4545"/>
    <w:rsid w:val="002F76E0"/>
    <w:rsid w:val="002F7C0D"/>
    <w:rsid w:val="00300582"/>
    <w:rsid w:val="00300A09"/>
    <w:rsid w:val="00301D44"/>
    <w:rsid w:val="00302992"/>
    <w:rsid w:val="003040CA"/>
    <w:rsid w:val="003055BA"/>
    <w:rsid w:val="00305C95"/>
    <w:rsid w:val="003068A8"/>
    <w:rsid w:val="0030744B"/>
    <w:rsid w:val="00310D33"/>
    <w:rsid w:val="0031388F"/>
    <w:rsid w:val="0031532D"/>
    <w:rsid w:val="00315CF5"/>
    <w:rsid w:val="003176E6"/>
    <w:rsid w:val="00320A5B"/>
    <w:rsid w:val="00320E62"/>
    <w:rsid w:val="003267A3"/>
    <w:rsid w:val="003320A8"/>
    <w:rsid w:val="00332142"/>
    <w:rsid w:val="00334A29"/>
    <w:rsid w:val="003357EC"/>
    <w:rsid w:val="00342937"/>
    <w:rsid w:val="003436CB"/>
    <w:rsid w:val="00344BC6"/>
    <w:rsid w:val="0035331E"/>
    <w:rsid w:val="003547BB"/>
    <w:rsid w:val="00354B02"/>
    <w:rsid w:val="00355241"/>
    <w:rsid w:val="00355DA3"/>
    <w:rsid w:val="00357EFE"/>
    <w:rsid w:val="003600B1"/>
    <w:rsid w:val="00363F45"/>
    <w:rsid w:val="00367387"/>
    <w:rsid w:val="00367F40"/>
    <w:rsid w:val="003707F0"/>
    <w:rsid w:val="0037329E"/>
    <w:rsid w:val="0037524F"/>
    <w:rsid w:val="00377E81"/>
    <w:rsid w:val="0038181F"/>
    <w:rsid w:val="0038261F"/>
    <w:rsid w:val="00382951"/>
    <w:rsid w:val="00382C7A"/>
    <w:rsid w:val="003854F9"/>
    <w:rsid w:val="00393A3C"/>
    <w:rsid w:val="00394C15"/>
    <w:rsid w:val="00396B21"/>
    <w:rsid w:val="003A1BF1"/>
    <w:rsid w:val="003A376D"/>
    <w:rsid w:val="003A72E4"/>
    <w:rsid w:val="003A7E14"/>
    <w:rsid w:val="003B1C8C"/>
    <w:rsid w:val="003B537E"/>
    <w:rsid w:val="003B7CA4"/>
    <w:rsid w:val="003C044B"/>
    <w:rsid w:val="003C3DF6"/>
    <w:rsid w:val="003D048F"/>
    <w:rsid w:val="003D0CBC"/>
    <w:rsid w:val="003D112A"/>
    <w:rsid w:val="003D4964"/>
    <w:rsid w:val="003D6D55"/>
    <w:rsid w:val="003E24B8"/>
    <w:rsid w:val="003E372B"/>
    <w:rsid w:val="003E45D9"/>
    <w:rsid w:val="003E5CE1"/>
    <w:rsid w:val="003F0063"/>
    <w:rsid w:val="003F5A50"/>
    <w:rsid w:val="004064D7"/>
    <w:rsid w:val="0041383F"/>
    <w:rsid w:val="00414F16"/>
    <w:rsid w:val="004203D1"/>
    <w:rsid w:val="004204CC"/>
    <w:rsid w:val="004214A2"/>
    <w:rsid w:val="00423E0B"/>
    <w:rsid w:val="00424744"/>
    <w:rsid w:val="00425378"/>
    <w:rsid w:val="004256A7"/>
    <w:rsid w:val="00425BEC"/>
    <w:rsid w:val="00431D12"/>
    <w:rsid w:val="00431DD1"/>
    <w:rsid w:val="00433472"/>
    <w:rsid w:val="00434E86"/>
    <w:rsid w:val="00440F32"/>
    <w:rsid w:val="0044223A"/>
    <w:rsid w:val="0044235E"/>
    <w:rsid w:val="00442572"/>
    <w:rsid w:val="00444A36"/>
    <w:rsid w:val="00444DC7"/>
    <w:rsid w:val="004474FC"/>
    <w:rsid w:val="00450D86"/>
    <w:rsid w:val="00451953"/>
    <w:rsid w:val="00451AF3"/>
    <w:rsid w:val="004527F6"/>
    <w:rsid w:val="0045650B"/>
    <w:rsid w:val="00464182"/>
    <w:rsid w:val="00467053"/>
    <w:rsid w:val="00467A59"/>
    <w:rsid w:val="004705D3"/>
    <w:rsid w:val="00470FCC"/>
    <w:rsid w:val="004711AB"/>
    <w:rsid w:val="00471A8A"/>
    <w:rsid w:val="00474FEF"/>
    <w:rsid w:val="004754EB"/>
    <w:rsid w:val="0047571C"/>
    <w:rsid w:val="00481C74"/>
    <w:rsid w:val="00485129"/>
    <w:rsid w:val="004862E9"/>
    <w:rsid w:val="00492212"/>
    <w:rsid w:val="004927F9"/>
    <w:rsid w:val="004941F5"/>
    <w:rsid w:val="00496465"/>
    <w:rsid w:val="004A0AFE"/>
    <w:rsid w:val="004A1B77"/>
    <w:rsid w:val="004B07AB"/>
    <w:rsid w:val="004B0B07"/>
    <w:rsid w:val="004B0F77"/>
    <w:rsid w:val="004B116D"/>
    <w:rsid w:val="004B1AAC"/>
    <w:rsid w:val="004B25A2"/>
    <w:rsid w:val="004B3D50"/>
    <w:rsid w:val="004B3E24"/>
    <w:rsid w:val="004B4E9B"/>
    <w:rsid w:val="004B5069"/>
    <w:rsid w:val="004B5198"/>
    <w:rsid w:val="004B68BF"/>
    <w:rsid w:val="004B71CF"/>
    <w:rsid w:val="004C70F5"/>
    <w:rsid w:val="004D48A6"/>
    <w:rsid w:val="004D63B3"/>
    <w:rsid w:val="004E78AD"/>
    <w:rsid w:val="004E7E07"/>
    <w:rsid w:val="004F2FDD"/>
    <w:rsid w:val="004F33E6"/>
    <w:rsid w:val="004F38FB"/>
    <w:rsid w:val="00500568"/>
    <w:rsid w:val="0050059D"/>
    <w:rsid w:val="00500676"/>
    <w:rsid w:val="005007AB"/>
    <w:rsid w:val="0050139B"/>
    <w:rsid w:val="00501A90"/>
    <w:rsid w:val="005025CA"/>
    <w:rsid w:val="00504418"/>
    <w:rsid w:val="005063B6"/>
    <w:rsid w:val="0050740B"/>
    <w:rsid w:val="005108FD"/>
    <w:rsid w:val="005129F4"/>
    <w:rsid w:val="00512D8F"/>
    <w:rsid w:val="00513A16"/>
    <w:rsid w:val="00513E9C"/>
    <w:rsid w:val="00513F81"/>
    <w:rsid w:val="00517717"/>
    <w:rsid w:val="00520102"/>
    <w:rsid w:val="00520528"/>
    <w:rsid w:val="0052156A"/>
    <w:rsid w:val="00523E29"/>
    <w:rsid w:val="0052591B"/>
    <w:rsid w:val="00525B47"/>
    <w:rsid w:val="00532112"/>
    <w:rsid w:val="00532E53"/>
    <w:rsid w:val="00536523"/>
    <w:rsid w:val="00541089"/>
    <w:rsid w:val="00543586"/>
    <w:rsid w:val="00543BEB"/>
    <w:rsid w:val="00544F25"/>
    <w:rsid w:val="00546E67"/>
    <w:rsid w:val="0055113B"/>
    <w:rsid w:val="00552FD9"/>
    <w:rsid w:val="00553420"/>
    <w:rsid w:val="005538CE"/>
    <w:rsid w:val="00553935"/>
    <w:rsid w:val="00553CBD"/>
    <w:rsid w:val="00556422"/>
    <w:rsid w:val="00557170"/>
    <w:rsid w:val="00557D03"/>
    <w:rsid w:val="00557E1D"/>
    <w:rsid w:val="0056112E"/>
    <w:rsid w:val="0056375B"/>
    <w:rsid w:val="005644DC"/>
    <w:rsid w:val="00566F59"/>
    <w:rsid w:val="00567E90"/>
    <w:rsid w:val="00570443"/>
    <w:rsid w:val="00570EF4"/>
    <w:rsid w:val="00573E8A"/>
    <w:rsid w:val="00574E2A"/>
    <w:rsid w:val="00577E18"/>
    <w:rsid w:val="005830EA"/>
    <w:rsid w:val="005831DD"/>
    <w:rsid w:val="00584FB1"/>
    <w:rsid w:val="00585AE6"/>
    <w:rsid w:val="00585D56"/>
    <w:rsid w:val="005905D9"/>
    <w:rsid w:val="00590988"/>
    <w:rsid w:val="00591372"/>
    <w:rsid w:val="00592C5D"/>
    <w:rsid w:val="00593808"/>
    <w:rsid w:val="00594108"/>
    <w:rsid w:val="00594FC6"/>
    <w:rsid w:val="00596E23"/>
    <w:rsid w:val="005A0275"/>
    <w:rsid w:val="005A0296"/>
    <w:rsid w:val="005A4FF2"/>
    <w:rsid w:val="005B138F"/>
    <w:rsid w:val="005B293B"/>
    <w:rsid w:val="005B29A6"/>
    <w:rsid w:val="005B2F9F"/>
    <w:rsid w:val="005B4397"/>
    <w:rsid w:val="005B5452"/>
    <w:rsid w:val="005C002F"/>
    <w:rsid w:val="005C0425"/>
    <w:rsid w:val="005C239E"/>
    <w:rsid w:val="005C23B7"/>
    <w:rsid w:val="005C2E4A"/>
    <w:rsid w:val="005C32AD"/>
    <w:rsid w:val="005C7869"/>
    <w:rsid w:val="005D0D5B"/>
    <w:rsid w:val="005D5468"/>
    <w:rsid w:val="005D5BB5"/>
    <w:rsid w:val="005D66DC"/>
    <w:rsid w:val="005D7923"/>
    <w:rsid w:val="005E128F"/>
    <w:rsid w:val="005E1E71"/>
    <w:rsid w:val="005E7A11"/>
    <w:rsid w:val="005F2273"/>
    <w:rsid w:val="005F480D"/>
    <w:rsid w:val="005F4A82"/>
    <w:rsid w:val="005F4DE6"/>
    <w:rsid w:val="005F5D47"/>
    <w:rsid w:val="005F6821"/>
    <w:rsid w:val="005F72CE"/>
    <w:rsid w:val="00601115"/>
    <w:rsid w:val="00602123"/>
    <w:rsid w:val="00606BB3"/>
    <w:rsid w:val="00606F06"/>
    <w:rsid w:val="0060743D"/>
    <w:rsid w:val="00610555"/>
    <w:rsid w:val="00611232"/>
    <w:rsid w:val="00611C03"/>
    <w:rsid w:val="006128E7"/>
    <w:rsid w:val="00612E94"/>
    <w:rsid w:val="006157B5"/>
    <w:rsid w:val="00616815"/>
    <w:rsid w:val="00617E77"/>
    <w:rsid w:val="006203FC"/>
    <w:rsid w:val="00621C41"/>
    <w:rsid w:val="00624BA6"/>
    <w:rsid w:val="0062548E"/>
    <w:rsid w:val="0062607A"/>
    <w:rsid w:val="00633D1F"/>
    <w:rsid w:val="00634823"/>
    <w:rsid w:val="00637647"/>
    <w:rsid w:val="00637BCC"/>
    <w:rsid w:val="0064107F"/>
    <w:rsid w:val="0064146B"/>
    <w:rsid w:val="006414E6"/>
    <w:rsid w:val="0064164D"/>
    <w:rsid w:val="006416BC"/>
    <w:rsid w:val="00642E3E"/>
    <w:rsid w:val="006439FB"/>
    <w:rsid w:val="00644321"/>
    <w:rsid w:val="006449EC"/>
    <w:rsid w:val="00645C1D"/>
    <w:rsid w:val="0064689D"/>
    <w:rsid w:val="00650CF6"/>
    <w:rsid w:val="00650E6E"/>
    <w:rsid w:val="0065400D"/>
    <w:rsid w:val="00654314"/>
    <w:rsid w:val="0065767C"/>
    <w:rsid w:val="0066130E"/>
    <w:rsid w:val="006639A1"/>
    <w:rsid w:val="0066405C"/>
    <w:rsid w:val="00664FD5"/>
    <w:rsid w:val="0066725F"/>
    <w:rsid w:val="00667339"/>
    <w:rsid w:val="006712BB"/>
    <w:rsid w:val="006776D2"/>
    <w:rsid w:val="00677911"/>
    <w:rsid w:val="006831D1"/>
    <w:rsid w:val="006849DA"/>
    <w:rsid w:val="0068515A"/>
    <w:rsid w:val="006851D0"/>
    <w:rsid w:val="00686019"/>
    <w:rsid w:val="00687B99"/>
    <w:rsid w:val="0069128D"/>
    <w:rsid w:val="00692434"/>
    <w:rsid w:val="00693341"/>
    <w:rsid w:val="006937FD"/>
    <w:rsid w:val="00694EFB"/>
    <w:rsid w:val="00694F44"/>
    <w:rsid w:val="00696EFA"/>
    <w:rsid w:val="006A1082"/>
    <w:rsid w:val="006A1DCB"/>
    <w:rsid w:val="006A2687"/>
    <w:rsid w:val="006A5058"/>
    <w:rsid w:val="006A75C3"/>
    <w:rsid w:val="006B0423"/>
    <w:rsid w:val="006B33C4"/>
    <w:rsid w:val="006B3620"/>
    <w:rsid w:val="006B3BFE"/>
    <w:rsid w:val="006B76F0"/>
    <w:rsid w:val="006C146A"/>
    <w:rsid w:val="006C30BC"/>
    <w:rsid w:val="006C600B"/>
    <w:rsid w:val="006D08B5"/>
    <w:rsid w:val="006D0B27"/>
    <w:rsid w:val="006D12FF"/>
    <w:rsid w:val="006D319A"/>
    <w:rsid w:val="006D7FDB"/>
    <w:rsid w:val="006E25E1"/>
    <w:rsid w:val="006E54C2"/>
    <w:rsid w:val="006E61E9"/>
    <w:rsid w:val="006E6857"/>
    <w:rsid w:val="006E6F3A"/>
    <w:rsid w:val="006F206C"/>
    <w:rsid w:val="006F238B"/>
    <w:rsid w:val="006F3199"/>
    <w:rsid w:val="006F4462"/>
    <w:rsid w:val="006F59C7"/>
    <w:rsid w:val="006F5C5E"/>
    <w:rsid w:val="006F5D77"/>
    <w:rsid w:val="00701DBE"/>
    <w:rsid w:val="00701F67"/>
    <w:rsid w:val="007022EB"/>
    <w:rsid w:val="007026C6"/>
    <w:rsid w:val="00711015"/>
    <w:rsid w:val="00711F19"/>
    <w:rsid w:val="0071330A"/>
    <w:rsid w:val="00717E22"/>
    <w:rsid w:val="0072342C"/>
    <w:rsid w:val="007244E5"/>
    <w:rsid w:val="007260B5"/>
    <w:rsid w:val="00730C11"/>
    <w:rsid w:val="0073247A"/>
    <w:rsid w:val="007326E9"/>
    <w:rsid w:val="00732E58"/>
    <w:rsid w:val="00732FCF"/>
    <w:rsid w:val="007335B9"/>
    <w:rsid w:val="007342C3"/>
    <w:rsid w:val="00734AFE"/>
    <w:rsid w:val="0073565D"/>
    <w:rsid w:val="00736CCF"/>
    <w:rsid w:val="00740B08"/>
    <w:rsid w:val="00740C0C"/>
    <w:rsid w:val="00741A58"/>
    <w:rsid w:val="00741CB0"/>
    <w:rsid w:val="00742A4D"/>
    <w:rsid w:val="00744C6E"/>
    <w:rsid w:val="007463CD"/>
    <w:rsid w:val="007507B5"/>
    <w:rsid w:val="0075105A"/>
    <w:rsid w:val="00752693"/>
    <w:rsid w:val="00754D58"/>
    <w:rsid w:val="0075595C"/>
    <w:rsid w:val="00756CA6"/>
    <w:rsid w:val="00757081"/>
    <w:rsid w:val="007654DC"/>
    <w:rsid w:val="007676D4"/>
    <w:rsid w:val="00767F0F"/>
    <w:rsid w:val="007719C5"/>
    <w:rsid w:val="0077202B"/>
    <w:rsid w:val="00772496"/>
    <w:rsid w:val="00772577"/>
    <w:rsid w:val="00775BE1"/>
    <w:rsid w:val="00776BA7"/>
    <w:rsid w:val="00776D5A"/>
    <w:rsid w:val="00777CDB"/>
    <w:rsid w:val="00781898"/>
    <w:rsid w:val="00785402"/>
    <w:rsid w:val="0078541E"/>
    <w:rsid w:val="00786724"/>
    <w:rsid w:val="0078677C"/>
    <w:rsid w:val="00791640"/>
    <w:rsid w:val="00793354"/>
    <w:rsid w:val="00795DA0"/>
    <w:rsid w:val="007975DB"/>
    <w:rsid w:val="007A0798"/>
    <w:rsid w:val="007A1E0D"/>
    <w:rsid w:val="007A1EB6"/>
    <w:rsid w:val="007A24FC"/>
    <w:rsid w:val="007A3171"/>
    <w:rsid w:val="007A333C"/>
    <w:rsid w:val="007A49DC"/>
    <w:rsid w:val="007A5F05"/>
    <w:rsid w:val="007A7F24"/>
    <w:rsid w:val="007B1E85"/>
    <w:rsid w:val="007B251C"/>
    <w:rsid w:val="007B2DDB"/>
    <w:rsid w:val="007B6AF0"/>
    <w:rsid w:val="007B6CA6"/>
    <w:rsid w:val="007B7750"/>
    <w:rsid w:val="007C2E33"/>
    <w:rsid w:val="007C39A7"/>
    <w:rsid w:val="007C510B"/>
    <w:rsid w:val="007C7658"/>
    <w:rsid w:val="007C76B5"/>
    <w:rsid w:val="007D015C"/>
    <w:rsid w:val="007D2006"/>
    <w:rsid w:val="007D2736"/>
    <w:rsid w:val="007D7177"/>
    <w:rsid w:val="007D795C"/>
    <w:rsid w:val="007D7986"/>
    <w:rsid w:val="007E0572"/>
    <w:rsid w:val="007E0D25"/>
    <w:rsid w:val="007E18A3"/>
    <w:rsid w:val="007E2AB3"/>
    <w:rsid w:val="007E5337"/>
    <w:rsid w:val="007E5BD4"/>
    <w:rsid w:val="007F060C"/>
    <w:rsid w:val="007F2E71"/>
    <w:rsid w:val="007F4B4D"/>
    <w:rsid w:val="007F4CC1"/>
    <w:rsid w:val="007F745E"/>
    <w:rsid w:val="007F7CC1"/>
    <w:rsid w:val="00800809"/>
    <w:rsid w:val="00804E2C"/>
    <w:rsid w:val="00806F5A"/>
    <w:rsid w:val="00807B75"/>
    <w:rsid w:val="00811A30"/>
    <w:rsid w:val="00811DCC"/>
    <w:rsid w:val="00814056"/>
    <w:rsid w:val="008144B7"/>
    <w:rsid w:val="008147DB"/>
    <w:rsid w:val="00815455"/>
    <w:rsid w:val="0081652F"/>
    <w:rsid w:val="00816D31"/>
    <w:rsid w:val="008177B4"/>
    <w:rsid w:val="008202F6"/>
    <w:rsid w:val="00820CC3"/>
    <w:rsid w:val="00822DA7"/>
    <w:rsid w:val="00823912"/>
    <w:rsid w:val="00823BC7"/>
    <w:rsid w:val="00825CA5"/>
    <w:rsid w:val="00826BFB"/>
    <w:rsid w:val="00830917"/>
    <w:rsid w:val="00832B5D"/>
    <w:rsid w:val="008337DC"/>
    <w:rsid w:val="00833AC8"/>
    <w:rsid w:val="008343C0"/>
    <w:rsid w:val="00840600"/>
    <w:rsid w:val="0084349C"/>
    <w:rsid w:val="00844734"/>
    <w:rsid w:val="00844803"/>
    <w:rsid w:val="008454ED"/>
    <w:rsid w:val="00845664"/>
    <w:rsid w:val="00845A71"/>
    <w:rsid w:val="00846604"/>
    <w:rsid w:val="008478CC"/>
    <w:rsid w:val="00847A2A"/>
    <w:rsid w:val="008500B5"/>
    <w:rsid w:val="00850242"/>
    <w:rsid w:val="00853CAA"/>
    <w:rsid w:val="0085592D"/>
    <w:rsid w:val="008613A8"/>
    <w:rsid w:val="00862A55"/>
    <w:rsid w:val="00863B92"/>
    <w:rsid w:val="00864A70"/>
    <w:rsid w:val="0086511B"/>
    <w:rsid w:val="00865940"/>
    <w:rsid w:val="00867C57"/>
    <w:rsid w:val="0087126A"/>
    <w:rsid w:val="008740AF"/>
    <w:rsid w:val="008758A2"/>
    <w:rsid w:val="00876BD0"/>
    <w:rsid w:val="008778E5"/>
    <w:rsid w:val="00880031"/>
    <w:rsid w:val="00882BC8"/>
    <w:rsid w:val="00883A2E"/>
    <w:rsid w:val="00885455"/>
    <w:rsid w:val="008916A5"/>
    <w:rsid w:val="0089253B"/>
    <w:rsid w:val="00895C89"/>
    <w:rsid w:val="008A2A7A"/>
    <w:rsid w:val="008A2CA7"/>
    <w:rsid w:val="008A533C"/>
    <w:rsid w:val="008A64C6"/>
    <w:rsid w:val="008A7A45"/>
    <w:rsid w:val="008B12C8"/>
    <w:rsid w:val="008B3D11"/>
    <w:rsid w:val="008B5205"/>
    <w:rsid w:val="008B6D37"/>
    <w:rsid w:val="008C21B2"/>
    <w:rsid w:val="008C502A"/>
    <w:rsid w:val="008C53BA"/>
    <w:rsid w:val="008D1E83"/>
    <w:rsid w:val="008D4BCA"/>
    <w:rsid w:val="008D65B0"/>
    <w:rsid w:val="008E7248"/>
    <w:rsid w:val="008F0576"/>
    <w:rsid w:val="008F2711"/>
    <w:rsid w:val="008F5539"/>
    <w:rsid w:val="008F676D"/>
    <w:rsid w:val="009001AD"/>
    <w:rsid w:val="00900C66"/>
    <w:rsid w:val="0090133E"/>
    <w:rsid w:val="00902572"/>
    <w:rsid w:val="009036FA"/>
    <w:rsid w:val="009039CA"/>
    <w:rsid w:val="009042A9"/>
    <w:rsid w:val="00906C1D"/>
    <w:rsid w:val="00911100"/>
    <w:rsid w:val="009131F1"/>
    <w:rsid w:val="00917A70"/>
    <w:rsid w:val="0092065F"/>
    <w:rsid w:val="00923217"/>
    <w:rsid w:val="009251A9"/>
    <w:rsid w:val="009251DB"/>
    <w:rsid w:val="009258C3"/>
    <w:rsid w:val="00932731"/>
    <w:rsid w:val="00933EC3"/>
    <w:rsid w:val="009342C2"/>
    <w:rsid w:val="00936112"/>
    <w:rsid w:val="00936B05"/>
    <w:rsid w:val="009414D0"/>
    <w:rsid w:val="00946FC5"/>
    <w:rsid w:val="009475E5"/>
    <w:rsid w:val="00950CDC"/>
    <w:rsid w:val="0095107B"/>
    <w:rsid w:val="00951F44"/>
    <w:rsid w:val="00952557"/>
    <w:rsid w:val="0095372C"/>
    <w:rsid w:val="0095786A"/>
    <w:rsid w:val="00960F07"/>
    <w:rsid w:val="00962688"/>
    <w:rsid w:val="0096347E"/>
    <w:rsid w:val="00963F4D"/>
    <w:rsid w:val="0096475E"/>
    <w:rsid w:val="00967507"/>
    <w:rsid w:val="009717A1"/>
    <w:rsid w:val="00972289"/>
    <w:rsid w:val="00975DBB"/>
    <w:rsid w:val="00977D1E"/>
    <w:rsid w:val="00980C99"/>
    <w:rsid w:val="00984128"/>
    <w:rsid w:val="00990FBB"/>
    <w:rsid w:val="0099123C"/>
    <w:rsid w:val="009918D0"/>
    <w:rsid w:val="00993150"/>
    <w:rsid w:val="00993F96"/>
    <w:rsid w:val="009A1072"/>
    <w:rsid w:val="009A157A"/>
    <w:rsid w:val="009A45E7"/>
    <w:rsid w:val="009A600C"/>
    <w:rsid w:val="009A78A1"/>
    <w:rsid w:val="009B3B67"/>
    <w:rsid w:val="009B57CB"/>
    <w:rsid w:val="009C07F9"/>
    <w:rsid w:val="009C236F"/>
    <w:rsid w:val="009C49E2"/>
    <w:rsid w:val="009C4E68"/>
    <w:rsid w:val="009C58E8"/>
    <w:rsid w:val="009D0290"/>
    <w:rsid w:val="009D0914"/>
    <w:rsid w:val="009D160B"/>
    <w:rsid w:val="009D1CCA"/>
    <w:rsid w:val="009D2F3D"/>
    <w:rsid w:val="009D4ADA"/>
    <w:rsid w:val="009D695F"/>
    <w:rsid w:val="009D76FC"/>
    <w:rsid w:val="009D7AB4"/>
    <w:rsid w:val="009E23E5"/>
    <w:rsid w:val="009F0530"/>
    <w:rsid w:val="009F19E3"/>
    <w:rsid w:val="009F2B6E"/>
    <w:rsid w:val="009F6381"/>
    <w:rsid w:val="00A011C0"/>
    <w:rsid w:val="00A0231D"/>
    <w:rsid w:val="00A024CF"/>
    <w:rsid w:val="00A04DB9"/>
    <w:rsid w:val="00A058E3"/>
    <w:rsid w:val="00A074DE"/>
    <w:rsid w:val="00A13520"/>
    <w:rsid w:val="00A1741B"/>
    <w:rsid w:val="00A2018E"/>
    <w:rsid w:val="00A218EB"/>
    <w:rsid w:val="00A23692"/>
    <w:rsid w:val="00A2515F"/>
    <w:rsid w:val="00A25AB3"/>
    <w:rsid w:val="00A3063D"/>
    <w:rsid w:val="00A314DE"/>
    <w:rsid w:val="00A36338"/>
    <w:rsid w:val="00A36EB8"/>
    <w:rsid w:val="00A37375"/>
    <w:rsid w:val="00A41FEA"/>
    <w:rsid w:val="00A45072"/>
    <w:rsid w:val="00A474C5"/>
    <w:rsid w:val="00A50C11"/>
    <w:rsid w:val="00A530F6"/>
    <w:rsid w:val="00A53F9A"/>
    <w:rsid w:val="00A55E20"/>
    <w:rsid w:val="00A57789"/>
    <w:rsid w:val="00A700BA"/>
    <w:rsid w:val="00A70C5F"/>
    <w:rsid w:val="00A7114C"/>
    <w:rsid w:val="00A714A1"/>
    <w:rsid w:val="00A731E0"/>
    <w:rsid w:val="00A731F8"/>
    <w:rsid w:val="00A744D5"/>
    <w:rsid w:val="00A757FE"/>
    <w:rsid w:val="00A75933"/>
    <w:rsid w:val="00A75CDE"/>
    <w:rsid w:val="00A76037"/>
    <w:rsid w:val="00A76A69"/>
    <w:rsid w:val="00A7716B"/>
    <w:rsid w:val="00A772C8"/>
    <w:rsid w:val="00A81C82"/>
    <w:rsid w:val="00A82EFA"/>
    <w:rsid w:val="00A84653"/>
    <w:rsid w:val="00A84D5B"/>
    <w:rsid w:val="00A85A22"/>
    <w:rsid w:val="00A87905"/>
    <w:rsid w:val="00A91AAD"/>
    <w:rsid w:val="00A91DDB"/>
    <w:rsid w:val="00A93F5E"/>
    <w:rsid w:val="00A95E0E"/>
    <w:rsid w:val="00AA39EC"/>
    <w:rsid w:val="00AA6FCE"/>
    <w:rsid w:val="00AB09AF"/>
    <w:rsid w:val="00AB22E2"/>
    <w:rsid w:val="00AB285C"/>
    <w:rsid w:val="00AC3BDD"/>
    <w:rsid w:val="00AC4F32"/>
    <w:rsid w:val="00AD092F"/>
    <w:rsid w:val="00AD0DC9"/>
    <w:rsid w:val="00AD224E"/>
    <w:rsid w:val="00AD2E20"/>
    <w:rsid w:val="00AD3794"/>
    <w:rsid w:val="00AD3952"/>
    <w:rsid w:val="00AD7E37"/>
    <w:rsid w:val="00AE124B"/>
    <w:rsid w:val="00AE1EC9"/>
    <w:rsid w:val="00AE318A"/>
    <w:rsid w:val="00AE6E18"/>
    <w:rsid w:val="00AE7A11"/>
    <w:rsid w:val="00AE7EBA"/>
    <w:rsid w:val="00AF1149"/>
    <w:rsid w:val="00AF1652"/>
    <w:rsid w:val="00AF2103"/>
    <w:rsid w:val="00AF2647"/>
    <w:rsid w:val="00AF3325"/>
    <w:rsid w:val="00AF65DC"/>
    <w:rsid w:val="00AF70E1"/>
    <w:rsid w:val="00B00682"/>
    <w:rsid w:val="00B0070F"/>
    <w:rsid w:val="00B030A9"/>
    <w:rsid w:val="00B0318E"/>
    <w:rsid w:val="00B07E94"/>
    <w:rsid w:val="00B1035A"/>
    <w:rsid w:val="00B112CE"/>
    <w:rsid w:val="00B14E14"/>
    <w:rsid w:val="00B161A7"/>
    <w:rsid w:val="00B20521"/>
    <w:rsid w:val="00B214EE"/>
    <w:rsid w:val="00B21ADA"/>
    <w:rsid w:val="00B2584A"/>
    <w:rsid w:val="00B25876"/>
    <w:rsid w:val="00B260DC"/>
    <w:rsid w:val="00B27A32"/>
    <w:rsid w:val="00B31037"/>
    <w:rsid w:val="00B313EB"/>
    <w:rsid w:val="00B318FF"/>
    <w:rsid w:val="00B319EE"/>
    <w:rsid w:val="00B31E86"/>
    <w:rsid w:val="00B325C3"/>
    <w:rsid w:val="00B32B8D"/>
    <w:rsid w:val="00B32FEC"/>
    <w:rsid w:val="00B34AE0"/>
    <w:rsid w:val="00B34EA6"/>
    <w:rsid w:val="00B40181"/>
    <w:rsid w:val="00B41165"/>
    <w:rsid w:val="00B4324F"/>
    <w:rsid w:val="00B4425A"/>
    <w:rsid w:val="00B44AC2"/>
    <w:rsid w:val="00B45DD1"/>
    <w:rsid w:val="00B47250"/>
    <w:rsid w:val="00B4741B"/>
    <w:rsid w:val="00B5302A"/>
    <w:rsid w:val="00B53A57"/>
    <w:rsid w:val="00B5400F"/>
    <w:rsid w:val="00B541A6"/>
    <w:rsid w:val="00B5671E"/>
    <w:rsid w:val="00B60573"/>
    <w:rsid w:val="00B60C08"/>
    <w:rsid w:val="00B625B0"/>
    <w:rsid w:val="00B63A75"/>
    <w:rsid w:val="00B6575D"/>
    <w:rsid w:val="00B663B0"/>
    <w:rsid w:val="00B712D7"/>
    <w:rsid w:val="00B721CB"/>
    <w:rsid w:val="00B73983"/>
    <w:rsid w:val="00B7437A"/>
    <w:rsid w:val="00B767E1"/>
    <w:rsid w:val="00B777CD"/>
    <w:rsid w:val="00B8354F"/>
    <w:rsid w:val="00B83B72"/>
    <w:rsid w:val="00B85401"/>
    <w:rsid w:val="00B862EA"/>
    <w:rsid w:val="00B9091B"/>
    <w:rsid w:val="00B90C67"/>
    <w:rsid w:val="00B9295F"/>
    <w:rsid w:val="00B932F4"/>
    <w:rsid w:val="00B95739"/>
    <w:rsid w:val="00B96189"/>
    <w:rsid w:val="00BA0D06"/>
    <w:rsid w:val="00BA0E04"/>
    <w:rsid w:val="00BA1E82"/>
    <w:rsid w:val="00BA1F44"/>
    <w:rsid w:val="00BA2389"/>
    <w:rsid w:val="00BA35A5"/>
    <w:rsid w:val="00BA4955"/>
    <w:rsid w:val="00BA6145"/>
    <w:rsid w:val="00BA6F2B"/>
    <w:rsid w:val="00BA7174"/>
    <w:rsid w:val="00BA72CA"/>
    <w:rsid w:val="00BB03E8"/>
    <w:rsid w:val="00BB0699"/>
    <w:rsid w:val="00BB2FE1"/>
    <w:rsid w:val="00BC742C"/>
    <w:rsid w:val="00BD0E40"/>
    <w:rsid w:val="00BE172D"/>
    <w:rsid w:val="00BE2137"/>
    <w:rsid w:val="00BE398B"/>
    <w:rsid w:val="00BE59C4"/>
    <w:rsid w:val="00BE6962"/>
    <w:rsid w:val="00BE6A96"/>
    <w:rsid w:val="00BE7BCD"/>
    <w:rsid w:val="00BF28BA"/>
    <w:rsid w:val="00BF2FCB"/>
    <w:rsid w:val="00BF39E4"/>
    <w:rsid w:val="00BF536C"/>
    <w:rsid w:val="00C02A4D"/>
    <w:rsid w:val="00C072F5"/>
    <w:rsid w:val="00C074A1"/>
    <w:rsid w:val="00C079B3"/>
    <w:rsid w:val="00C114F0"/>
    <w:rsid w:val="00C11707"/>
    <w:rsid w:val="00C14282"/>
    <w:rsid w:val="00C1793A"/>
    <w:rsid w:val="00C17EBE"/>
    <w:rsid w:val="00C24FB7"/>
    <w:rsid w:val="00C25DD1"/>
    <w:rsid w:val="00C27CA7"/>
    <w:rsid w:val="00C27EAA"/>
    <w:rsid w:val="00C306DE"/>
    <w:rsid w:val="00C30AFE"/>
    <w:rsid w:val="00C32661"/>
    <w:rsid w:val="00C3308C"/>
    <w:rsid w:val="00C34C66"/>
    <w:rsid w:val="00C34E0C"/>
    <w:rsid w:val="00C35D76"/>
    <w:rsid w:val="00C3608F"/>
    <w:rsid w:val="00C37173"/>
    <w:rsid w:val="00C375E3"/>
    <w:rsid w:val="00C37EBF"/>
    <w:rsid w:val="00C40D11"/>
    <w:rsid w:val="00C41879"/>
    <w:rsid w:val="00C41A49"/>
    <w:rsid w:val="00C462B6"/>
    <w:rsid w:val="00C524FB"/>
    <w:rsid w:val="00C60A72"/>
    <w:rsid w:val="00C60AFD"/>
    <w:rsid w:val="00C60E92"/>
    <w:rsid w:val="00C6272B"/>
    <w:rsid w:val="00C71BE3"/>
    <w:rsid w:val="00C71C42"/>
    <w:rsid w:val="00C72D82"/>
    <w:rsid w:val="00C7354D"/>
    <w:rsid w:val="00C752EE"/>
    <w:rsid w:val="00C775EE"/>
    <w:rsid w:val="00C77FB4"/>
    <w:rsid w:val="00C84A70"/>
    <w:rsid w:val="00C9259F"/>
    <w:rsid w:val="00C96BDA"/>
    <w:rsid w:val="00CA08CB"/>
    <w:rsid w:val="00CA27A0"/>
    <w:rsid w:val="00CA442D"/>
    <w:rsid w:val="00CB08FC"/>
    <w:rsid w:val="00CB1F82"/>
    <w:rsid w:val="00CB53DD"/>
    <w:rsid w:val="00CB5802"/>
    <w:rsid w:val="00CC17D4"/>
    <w:rsid w:val="00CC317D"/>
    <w:rsid w:val="00CC362B"/>
    <w:rsid w:val="00CC482D"/>
    <w:rsid w:val="00CC6F7D"/>
    <w:rsid w:val="00CC7340"/>
    <w:rsid w:val="00CD21EB"/>
    <w:rsid w:val="00CD324F"/>
    <w:rsid w:val="00CD3678"/>
    <w:rsid w:val="00CD503D"/>
    <w:rsid w:val="00CD54AF"/>
    <w:rsid w:val="00CD7B83"/>
    <w:rsid w:val="00CE157A"/>
    <w:rsid w:val="00CE213C"/>
    <w:rsid w:val="00CE3530"/>
    <w:rsid w:val="00CE3EE8"/>
    <w:rsid w:val="00CE517E"/>
    <w:rsid w:val="00CE77A1"/>
    <w:rsid w:val="00CE7A4D"/>
    <w:rsid w:val="00CF13C7"/>
    <w:rsid w:val="00CF42DA"/>
    <w:rsid w:val="00CF579E"/>
    <w:rsid w:val="00CF74D2"/>
    <w:rsid w:val="00D026F4"/>
    <w:rsid w:val="00D04C7A"/>
    <w:rsid w:val="00D06E5B"/>
    <w:rsid w:val="00D074FB"/>
    <w:rsid w:val="00D10A53"/>
    <w:rsid w:val="00D10C66"/>
    <w:rsid w:val="00D12D91"/>
    <w:rsid w:val="00D134AA"/>
    <w:rsid w:val="00D14866"/>
    <w:rsid w:val="00D15E99"/>
    <w:rsid w:val="00D2137F"/>
    <w:rsid w:val="00D23567"/>
    <w:rsid w:val="00D26221"/>
    <w:rsid w:val="00D27C10"/>
    <w:rsid w:val="00D30497"/>
    <w:rsid w:val="00D3131E"/>
    <w:rsid w:val="00D34517"/>
    <w:rsid w:val="00D347FF"/>
    <w:rsid w:val="00D36085"/>
    <w:rsid w:val="00D36671"/>
    <w:rsid w:val="00D40136"/>
    <w:rsid w:val="00D4104E"/>
    <w:rsid w:val="00D41BF1"/>
    <w:rsid w:val="00D42A12"/>
    <w:rsid w:val="00D43855"/>
    <w:rsid w:val="00D438EF"/>
    <w:rsid w:val="00D4766B"/>
    <w:rsid w:val="00D50357"/>
    <w:rsid w:val="00D50544"/>
    <w:rsid w:val="00D51A5C"/>
    <w:rsid w:val="00D523B3"/>
    <w:rsid w:val="00D544F1"/>
    <w:rsid w:val="00D54666"/>
    <w:rsid w:val="00D54CB7"/>
    <w:rsid w:val="00D56089"/>
    <w:rsid w:val="00D6012E"/>
    <w:rsid w:val="00D65446"/>
    <w:rsid w:val="00D66363"/>
    <w:rsid w:val="00D67AFC"/>
    <w:rsid w:val="00D70262"/>
    <w:rsid w:val="00D711A0"/>
    <w:rsid w:val="00D71269"/>
    <w:rsid w:val="00D73466"/>
    <w:rsid w:val="00D73DE6"/>
    <w:rsid w:val="00D74793"/>
    <w:rsid w:val="00D77C2F"/>
    <w:rsid w:val="00D82AED"/>
    <w:rsid w:val="00D83371"/>
    <w:rsid w:val="00D85014"/>
    <w:rsid w:val="00D86552"/>
    <w:rsid w:val="00D87073"/>
    <w:rsid w:val="00D90931"/>
    <w:rsid w:val="00D961F4"/>
    <w:rsid w:val="00D96D64"/>
    <w:rsid w:val="00D975DC"/>
    <w:rsid w:val="00DA1EE1"/>
    <w:rsid w:val="00DA2A3F"/>
    <w:rsid w:val="00DA4C90"/>
    <w:rsid w:val="00DA72D4"/>
    <w:rsid w:val="00DB1A62"/>
    <w:rsid w:val="00DB34BD"/>
    <w:rsid w:val="00DB3D60"/>
    <w:rsid w:val="00DC1D19"/>
    <w:rsid w:val="00DC21BE"/>
    <w:rsid w:val="00DC38B0"/>
    <w:rsid w:val="00DC70F4"/>
    <w:rsid w:val="00DD03B4"/>
    <w:rsid w:val="00DD1564"/>
    <w:rsid w:val="00DD45A6"/>
    <w:rsid w:val="00DE1A1D"/>
    <w:rsid w:val="00DE4EFC"/>
    <w:rsid w:val="00DF03F7"/>
    <w:rsid w:val="00DF0B8E"/>
    <w:rsid w:val="00DF0F95"/>
    <w:rsid w:val="00DF0F9B"/>
    <w:rsid w:val="00DF3B7E"/>
    <w:rsid w:val="00DF43D2"/>
    <w:rsid w:val="00DF4554"/>
    <w:rsid w:val="00DF6E12"/>
    <w:rsid w:val="00DF79DD"/>
    <w:rsid w:val="00E0083E"/>
    <w:rsid w:val="00E01630"/>
    <w:rsid w:val="00E02968"/>
    <w:rsid w:val="00E03671"/>
    <w:rsid w:val="00E06FAB"/>
    <w:rsid w:val="00E1293C"/>
    <w:rsid w:val="00E129BE"/>
    <w:rsid w:val="00E137DF"/>
    <w:rsid w:val="00E13F56"/>
    <w:rsid w:val="00E159B4"/>
    <w:rsid w:val="00E179E1"/>
    <w:rsid w:val="00E20567"/>
    <w:rsid w:val="00E2073A"/>
    <w:rsid w:val="00E238FC"/>
    <w:rsid w:val="00E24FC3"/>
    <w:rsid w:val="00E25BC4"/>
    <w:rsid w:val="00E3503F"/>
    <w:rsid w:val="00E3751B"/>
    <w:rsid w:val="00E40571"/>
    <w:rsid w:val="00E413D0"/>
    <w:rsid w:val="00E4783B"/>
    <w:rsid w:val="00E4793E"/>
    <w:rsid w:val="00E47BAF"/>
    <w:rsid w:val="00E47C5B"/>
    <w:rsid w:val="00E533B0"/>
    <w:rsid w:val="00E53430"/>
    <w:rsid w:val="00E5398C"/>
    <w:rsid w:val="00E55967"/>
    <w:rsid w:val="00E56AD8"/>
    <w:rsid w:val="00E56B50"/>
    <w:rsid w:val="00E56C83"/>
    <w:rsid w:val="00E577AE"/>
    <w:rsid w:val="00E57A4F"/>
    <w:rsid w:val="00E60DA4"/>
    <w:rsid w:val="00E626B0"/>
    <w:rsid w:val="00E643FC"/>
    <w:rsid w:val="00E646AF"/>
    <w:rsid w:val="00E6578E"/>
    <w:rsid w:val="00E65D50"/>
    <w:rsid w:val="00E65D61"/>
    <w:rsid w:val="00E707C2"/>
    <w:rsid w:val="00E7085C"/>
    <w:rsid w:val="00E7658F"/>
    <w:rsid w:val="00E77FBC"/>
    <w:rsid w:val="00E807D9"/>
    <w:rsid w:val="00E80CE8"/>
    <w:rsid w:val="00E81457"/>
    <w:rsid w:val="00E83E2D"/>
    <w:rsid w:val="00E90D79"/>
    <w:rsid w:val="00E926BD"/>
    <w:rsid w:val="00E95BE5"/>
    <w:rsid w:val="00E96019"/>
    <w:rsid w:val="00E968DB"/>
    <w:rsid w:val="00EA0F0D"/>
    <w:rsid w:val="00EA3273"/>
    <w:rsid w:val="00EA3681"/>
    <w:rsid w:val="00EB0BE3"/>
    <w:rsid w:val="00EB1CC1"/>
    <w:rsid w:val="00EB440B"/>
    <w:rsid w:val="00EB61B1"/>
    <w:rsid w:val="00EC01F4"/>
    <w:rsid w:val="00EC0646"/>
    <w:rsid w:val="00EC0F95"/>
    <w:rsid w:val="00EC4D90"/>
    <w:rsid w:val="00EC4F55"/>
    <w:rsid w:val="00EC62B5"/>
    <w:rsid w:val="00EC6504"/>
    <w:rsid w:val="00EC75B4"/>
    <w:rsid w:val="00ED126B"/>
    <w:rsid w:val="00ED3273"/>
    <w:rsid w:val="00ED637F"/>
    <w:rsid w:val="00EE627D"/>
    <w:rsid w:val="00EE6C3D"/>
    <w:rsid w:val="00EF15AE"/>
    <w:rsid w:val="00EF32F4"/>
    <w:rsid w:val="00EF589B"/>
    <w:rsid w:val="00EF66E9"/>
    <w:rsid w:val="00EF6E4D"/>
    <w:rsid w:val="00EF73D4"/>
    <w:rsid w:val="00F03BA5"/>
    <w:rsid w:val="00F04E68"/>
    <w:rsid w:val="00F06231"/>
    <w:rsid w:val="00F06AC1"/>
    <w:rsid w:val="00F10B2A"/>
    <w:rsid w:val="00F113CD"/>
    <w:rsid w:val="00F12156"/>
    <w:rsid w:val="00F16750"/>
    <w:rsid w:val="00F17336"/>
    <w:rsid w:val="00F20721"/>
    <w:rsid w:val="00F22459"/>
    <w:rsid w:val="00F22940"/>
    <w:rsid w:val="00F237A7"/>
    <w:rsid w:val="00F23C26"/>
    <w:rsid w:val="00F243E8"/>
    <w:rsid w:val="00F24453"/>
    <w:rsid w:val="00F246F5"/>
    <w:rsid w:val="00F24CAF"/>
    <w:rsid w:val="00F31554"/>
    <w:rsid w:val="00F33F5D"/>
    <w:rsid w:val="00F4022E"/>
    <w:rsid w:val="00F403D4"/>
    <w:rsid w:val="00F4075B"/>
    <w:rsid w:val="00F437A0"/>
    <w:rsid w:val="00F43AD9"/>
    <w:rsid w:val="00F45686"/>
    <w:rsid w:val="00F45FF9"/>
    <w:rsid w:val="00F46AA0"/>
    <w:rsid w:val="00F47834"/>
    <w:rsid w:val="00F50848"/>
    <w:rsid w:val="00F508EE"/>
    <w:rsid w:val="00F521A5"/>
    <w:rsid w:val="00F52B13"/>
    <w:rsid w:val="00F54E9A"/>
    <w:rsid w:val="00F614A4"/>
    <w:rsid w:val="00F6280A"/>
    <w:rsid w:val="00F6304E"/>
    <w:rsid w:val="00F63E82"/>
    <w:rsid w:val="00F72814"/>
    <w:rsid w:val="00F72B93"/>
    <w:rsid w:val="00F776E5"/>
    <w:rsid w:val="00F811B1"/>
    <w:rsid w:val="00F81DDC"/>
    <w:rsid w:val="00F840F2"/>
    <w:rsid w:val="00F843A6"/>
    <w:rsid w:val="00F84971"/>
    <w:rsid w:val="00F8525C"/>
    <w:rsid w:val="00F87D48"/>
    <w:rsid w:val="00F93DD2"/>
    <w:rsid w:val="00F93E2C"/>
    <w:rsid w:val="00F93E8A"/>
    <w:rsid w:val="00F9510B"/>
    <w:rsid w:val="00F95127"/>
    <w:rsid w:val="00F957D2"/>
    <w:rsid w:val="00F97F86"/>
    <w:rsid w:val="00FA5E16"/>
    <w:rsid w:val="00FB0982"/>
    <w:rsid w:val="00FB3981"/>
    <w:rsid w:val="00FB3EAF"/>
    <w:rsid w:val="00FB47DF"/>
    <w:rsid w:val="00FB5627"/>
    <w:rsid w:val="00FC0D5B"/>
    <w:rsid w:val="00FC1DE2"/>
    <w:rsid w:val="00FC3B3B"/>
    <w:rsid w:val="00FC3BBF"/>
    <w:rsid w:val="00FC5A67"/>
    <w:rsid w:val="00FC656E"/>
    <w:rsid w:val="00FD2A16"/>
    <w:rsid w:val="00FD4E47"/>
    <w:rsid w:val="00FD63F3"/>
    <w:rsid w:val="00FE037E"/>
    <w:rsid w:val="00FE0AAB"/>
    <w:rsid w:val="00FE2563"/>
    <w:rsid w:val="00FE2965"/>
    <w:rsid w:val="00FE4183"/>
    <w:rsid w:val="00FE5596"/>
    <w:rsid w:val="00FE5CD7"/>
    <w:rsid w:val="00FE6B14"/>
    <w:rsid w:val="00FE6ED6"/>
    <w:rsid w:val="00FF35AA"/>
    <w:rsid w:val="00FF3F15"/>
    <w:rsid w:val="00FF5768"/>
    <w:rsid w:val="00FF5EC6"/>
    <w:rsid w:val="00FF5EFB"/>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3679"/>
  <w15:chartTrackingRefBased/>
  <w15:docId w15:val="{16BB6146-52B9-48A3-8557-F3FCAFA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2E"/>
    <w:rPr>
      <w:rFonts w:eastAsiaTheme="minorHAnsi"/>
      <w:szCs w:val="24"/>
      <w:lang w:eastAsia="en-US" w:bidi="ar-SA"/>
    </w:rPr>
  </w:style>
  <w:style w:type="paragraph" w:styleId="Heading1">
    <w:name w:val="heading 1"/>
    <w:basedOn w:val="Normal"/>
    <w:next w:val="Normal"/>
    <w:link w:val="Heading1Char"/>
    <w:uiPriority w:val="9"/>
    <w:qFormat/>
    <w:rsid w:val="00F4022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4022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4022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4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22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4022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4022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4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22E"/>
    <w:rPr>
      <w:rFonts w:eastAsiaTheme="majorEastAsia" w:cstheme="majorBidi"/>
      <w:color w:val="272727" w:themeColor="text1" w:themeTint="D8"/>
    </w:rPr>
  </w:style>
  <w:style w:type="paragraph" w:styleId="Title">
    <w:name w:val="Title"/>
    <w:basedOn w:val="Normal"/>
    <w:next w:val="Normal"/>
    <w:link w:val="TitleChar"/>
    <w:uiPriority w:val="10"/>
    <w:qFormat/>
    <w:rsid w:val="00F4022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4022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4022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4022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4022E"/>
    <w:pPr>
      <w:spacing w:before="160"/>
      <w:jc w:val="center"/>
    </w:pPr>
    <w:rPr>
      <w:i/>
      <w:iCs/>
      <w:color w:val="404040" w:themeColor="text1" w:themeTint="BF"/>
    </w:rPr>
  </w:style>
  <w:style w:type="character" w:customStyle="1" w:styleId="QuoteChar">
    <w:name w:val="Quote Char"/>
    <w:basedOn w:val="DefaultParagraphFont"/>
    <w:link w:val="Quote"/>
    <w:uiPriority w:val="29"/>
    <w:rsid w:val="00F4022E"/>
    <w:rPr>
      <w:i/>
      <w:iCs/>
      <w:color w:val="404040" w:themeColor="text1" w:themeTint="BF"/>
    </w:rPr>
  </w:style>
  <w:style w:type="paragraph" w:styleId="ListParagraph">
    <w:name w:val="List Paragraph"/>
    <w:basedOn w:val="Normal"/>
    <w:uiPriority w:val="34"/>
    <w:qFormat/>
    <w:rsid w:val="00F4022E"/>
    <w:pPr>
      <w:ind w:left="720"/>
      <w:contextualSpacing/>
    </w:pPr>
  </w:style>
  <w:style w:type="character" w:styleId="IntenseEmphasis">
    <w:name w:val="Intense Emphasis"/>
    <w:basedOn w:val="DefaultParagraphFont"/>
    <w:uiPriority w:val="21"/>
    <w:qFormat/>
    <w:rsid w:val="00F4022E"/>
    <w:rPr>
      <w:i/>
      <w:iCs/>
      <w:color w:val="0F4761" w:themeColor="accent1" w:themeShade="BF"/>
    </w:rPr>
  </w:style>
  <w:style w:type="paragraph" w:styleId="IntenseQuote">
    <w:name w:val="Intense Quote"/>
    <w:basedOn w:val="Normal"/>
    <w:next w:val="Normal"/>
    <w:link w:val="IntenseQuoteChar"/>
    <w:uiPriority w:val="30"/>
    <w:qFormat/>
    <w:rsid w:val="00F4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22E"/>
    <w:rPr>
      <w:i/>
      <w:iCs/>
      <w:color w:val="0F4761" w:themeColor="accent1" w:themeShade="BF"/>
    </w:rPr>
  </w:style>
  <w:style w:type="character" w:styleId="IntenseReference">
    <w:name w:val="Intense Reference"/>
    <w:basedOn w:val="DefaultParagraphFont"/>
    <w:uiPriority w:val="32"/>
    <w:qFormat/>
    <w:rsid w:val="00F4022E"/>
    <w:rPr>
      <w:b/>
      <w:bCs/>
      <w:smallCaps/>
      <w:color w:val="0F4761" w:themeColor="accent1" w:themeShade="BF"/>
      <w:spacing w:val="5"/>
    </w:rPr>
  </w:style>
  <w:style w:type="paragraph" w:styleId="FootnoteText">
    <w:name w:val="footnote text"/>
    <w:basedOn w:val="Normal"/>
    <w:link w:val="FootnoteTextChar"/>
    <w:uiPriority w:val="99"/>
    <w:unhideWhenUsed/>
    <w:rsid w:val="00F4022E"/>
    <w:pPr>
      <w:spacing w:after="0" w:line="240" w:lineRule="auto"/>
    </w:pPr>
    <w:rPr>
      <w:sz w:val="20"/>
      <w:szCs w:val="20"/>
    </w:rPr>
  </w:style>
  <w:style w:type="character" w:customStyle="1" w:styleId="FootnoteTextChar">
    <w:name w:val="Footnote Text Char"/>
    <w:basedOn w:val="DefaultParagraphFont"/>
    <w:link w:val="FootnoteText"/>
    <w:uiPriority w:val="99"/>
    <w:rsid w:val="00F4022E"/>
    <w:rPr>
      <w:rFonts w:eastAsiaTheme="minorHAnsi"/>
      <w:sz w:val="20"/>
      <w:szCs w:val="20"/>
      <w:lang w:eastAsia="en-US" w:bidi="ar-SA"/>
    </w:rPr>
  </w:style>
  <w:style w:type="character" w:styleId="FootnoteReference">
    <w:name w:val="footnote reference"/>
    <w:basedOn w:val="DefaultParagraphFont"/>
    <w:uiPriority w:val="99"/>
    <w:unhideWhenUsed/>
    <w:rsid w:val="00F4022E"/>
    <w:rPr>
      <w:vertAlign w:val="superscript"/>
    </w:rPr>
  </w:style>
  <w:style w:type="paragraph" w:styleId="NormalWeb">
    <w:name w:val="Normal (Web)"/>
    <w:basedOn w:val="Normal"/>
    <w:uiPriority w:val="99"/>
    <w:unhideWhenUsed/>
    <w:rsid w:val="00F4022E"/>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F40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2E"/>
    <w:rPr>
      <w:rFonts w:eastAsiaTheme="minorHAnsi"/>
      <w:szCs w:val="24"/>
      <w:lang w:eastAsia="en-US" w:bidi="ar-SA"/>
    </w:rPr>
  </w:style>
  <w:style w:type="paragraph" w:styleId="Footer">
    <w:name w:val="footer"/>
    <w:basedOn w:val="Normal"/>
    <w:link w:val="FooterChar"/>
    <w:uiPriority w:val="99"/>
    <w:unhideWhenUsed/>
    <w:rsid w:val="00F40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2E"/>
    <w:rPr>
      <w:rFonts w:eastAsiaTheme="minorHAnsi"/>
      <w:szCs w:val="24"/>
      <w:lang w:eastAsia="en-US" w:bidi="ar-SA"/>
    </w:rPr>
  </w:style>
  <w:style w:type="character" w:styleId="Hyperlink">
    <w:name w:val="Hyperlink"/>
    <w:basedOn w:val="DefaultParagraphFont"/>
    <w:uiPriority w:val="99"/>
    <w:unhideWhenUsed/>
    <w:rsid w:val="00F402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6F1C-B085-4F52-AB4E-07D97119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3872</Words>
  <Characters>22072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2025-09-05T10:15:00Z</dcterms:created>
  <dcterms:modified xsi:type="dcterms:W3CDTF">2025-09-05T10:15:00Z</dcterms:modified>
</cp:coreProperties>
</file>