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1855C" w14:textId="77777777" w:rsidR="00CC0C40" w:rsidRPr="00206650" w:rsidRDefault="00CC0C40" w:rsidP="00CC0C40">
      <w:pPr>
        <w:jc w:val="center"/>
        <w:rPr>
          <w:rFonts w:ascii="Aptos" w:hAnsi="Aptos" w:cs="Times New Roman"/>
          <w:b/>
          <w:sz w:val="28"/>
          <w:szCs w:val="28"/>
        </w:rPr>
      </w:pPr>
      <w:r w:rsidRPr="00206650">
        <w:rPr>
          <w:rFonts w:ascii="Aptos" w:hAnsi="Aptos" w:cs="Times New Roman"/>
          <w:b/>
          <w:sz w:val="28"/>
          <w:szCs w:val="28"/>
        </w:rPr>
        <w:t>COMMONWEALTH OF MASSACHUSETTS</w:t>
      </w:r>
    </w:p>
    <w:p w14:paraId="5155F90E" w14:textId="77777777" w:rsidR="00CC0C40" w:rsidRPr="00206650" w:rsidRDefault="00CC0C40" w:rsidP="00CC0C40">
      <w:pPr>
        <w:jc w:val="center"/>
        <w:rPr>
          <w:rFonts w:ascii="Aptos" w:hAnsi="Aptos" w:cs="Times New Roman"/>
          <w:b/>
          <w:sz w:val="28"/>
          <w:szCs w:val="28"/>
        </w:rPr>
      </w:pPr>
      <w:r w:rsidRPr="00206650">
        <w:rPr>
          <w:rFonts w:ascii="Aptos" w:hAnsi="Aptos" w:cs="Times New Roman"/>
          <w:b/>
          <w:sz w:val="28"/>
          <w:szCs w:val="28"/>
        </w:rPr>
        <w:t>DIVISION OF ADMINISTRATIVE LAW APPEALS</w:t>
      </w:r>
    </w:p>
    <w:p w14:paraId="6A4077BC" w14:textId="77777777" w:rsidR="00CC0C40" w:rsidRPr="00206650" w:rsidRDefault="00CC0C40" w:rsidP="00CC0C40">
      <w:pPr>
        <w:jc w:val="center"/>
        <w:rPr>
          <w:rFonts w:ascii="Aptos" w:hAnsi="Aptos" w:cs="Times New Roman"/>
          <w:b/>
          <w:sz w:val="28"/>
          <w:szCs w:val="28"/>
        </w:rPr>
      </w:pPr>
      <w:r w:rsidRPr="00206650">
        <w:rPr>
          <w:rFonts w:ascii="Aptos" w:hAnsi="Aptos" w:cs="Times New Roman"/>
          <w:b/>
          <w:sz w:val="28"/>
          <w:szCs w:val="28"/>
        </w:rPr>
        <w:t>BUREAU OF SPECIAL EDUCATION APPEALS</w:t>
      </w:r>
    </w:p>
    <w:p w14:paraId="463E457B" w14:textId="5EA09064" w:rsidR="00CC0C40" w:rsidRDefault="00CC0C40" w:rsidP="00CC0C40">
      <w:pPr>
        <w:pStyle w:val="NormalWeb"/>
        <w:tabs>
          <w:tab w:val="left" w:pos="3330"/>
        </w:tabs>
        <w:spacing w:after="0" w:afterAutospacing="0"/>
        <w:rPr>
          <w:rFonts w:ascii="Aptos" w:hAnsi="Aptos"/>
          <w:b/>
          <w:bCs/>
          <w:sz w:val="25"/>
          <w:szCs w:val="25"/>
        </w:rPr>
      </w:pPr>
      <w:r w:rsidRPr="00E4629F">
        <w:rPr>
          <w:rFonts w:ascii="Aptos" w:hAnsi="Aptos"/>
          <w:b/>
          <w:sz w:val="25"/>
          <w:szCs w:val="25"/>
        </w:rPr>
        <w:t>In Re</w:t>
      </w:r>
      <w:r w:rsidRPr="00E4629F">
        <w:rPr>
          <w:rFonts w:ascii="Aptos" w:hAnsi="Aptos"/>
          <w:sz w:val="25"/>
          <w:szCs w:val="25"/>
        </w:rPr>
        <w:t xml:space="preserve">:   </w:t>
      </w:r>
      <w:r w:rsidRPr="00E4629F">
        <w:rPr>
          <w:rFonts w:ascii="Aptos" w:hAnsi="Aptos"/>
          <w:b/>
          <w:bCs/>
          <w:sz w:val="25"/>
          <w:szCs w:val="25"/>
        </w:rPr>
        <w:t xml:space="preserve">Student &amp; </w:t>
      </w:r>
      <w:r>
        <w:rPr>
          <w:rFonts w:ascii="Aptos" w:hAnsi="Aptos"/>
          <w:b/>
          <w:bCs/>
          <w:sz w:val="25"/>
          <w:szCs w:val="25"/>
        </w:rPr>
        <w:t xml:space="preserve">Weston Public Schools </w:t>
      </w:r>
      <w:r>
        <w:rPr>
          <w:rFonts w:ascii="Aptos" w:hAnsi="Aptos"/>
          <w:b/>
          <w:bCs/>
          <w:sz w:val="25"/>
          <w:szCs w:val="25"/>
        </w:rPr>
        <w:tab/>
      </w:r>
      <w:r>
        <w:rPr>
          <w:rFonts w:ascii="Aptos" w:hAnsi="Aptos"/>
          <w:b/>
          <w:bCs/>
          <w:sz w:val="25"/>
          <w:szCs w:val="25"/>
        </w:rPr>
        <w:tab/>
      </w:r>
      <w:r>
        <w:rPr>
          <w:rFonts w:ascii="Aptos" w:hAnsi="Aptos"/>
          <w:b/>
          <w:bCs/>
          <w:sz w:val="25"/>
          <w:szCs w:val="25"/>
        </w:rPr>
        <w:tab/>
      </w:r>
      <w:r w:rsidRPr="00E4629F">
        <w:rPr>
          <w:rFonts w:ascii="Aptos" w:hAnsi="Aptos"/>
          <w:b/>
          <w:bCs/>
          <w:sz w:val="25"/>
          <w:szCs w:val="25"/>
        </w:rPr>
        <w:tab/>
        <w:t xml:space="preserve">        BSEA #</w:t>
      </w:r>
      <w:r w:rsidR="007039A3">
        <w:rPr>
          <w:rFonts w:ascii="Aptos" w:hAnsi="Aptos"/>
          <w:b/>
          <w:bCs/>
          <w:sz w:val="25"/>
          <w:szCs w:val="25"/>
        </w:rPr>
        <w:t>2602235</w:t>
      </w:r>
    </w:p>
    <w:p w14:paraId="70831FF4" w14:textId="77777777" w:rsidR="00E4135F" w:rsidRPr="00E4629F" w:rsidRDefault="00E4135F" w:rsidP="00CC0C40">
      <w:pPr>
        <w:tabs>
          <w:tab w:val="left" w:pos="3330"/>
        </w:tabs>
        <w:rPr>
          <w:rFonts w:ascii="Aptos" w:eastAsia="Times New Roman" w:hAnsi="Aptos" w:cs="Times New Roman"/>
          <w:b/>
          <w:color w:val="000000"/>
          <w:sz w:val="25"/>
          <w:szCs w:val="25"/>
        </w:rPr>
      </w:pPr>
    </w:p>
    <w:p w14:paraId="6B6B050B" w14:textId="670BDDF0" w:rsidR="00CC0C40" w:rsidRPr="00E4629F" w:rsidRDefault="00CC0C40" w:rsidP="00CC0C40">
      <w:pPr>
        <w:shd w:val="clear" w:color="auto" w:fill="FFFFFF"/>
        <w:jc w:val="center"/>
        <w:rPr>
          <w:rFonts w:ascii="Aptos" w:eastAsia="Times New Roman" w:hAnsi="Aptos" w:cs="Times New Roman"/>
          <w:b/>
          <w:bCs/>
          <w:sz w:val="25"/>
          <w:szCs w:val="25"/>
          <w:u w:val="single"/>
        </w:rPr>
      </w:pPr>
      <w:r w:rsidRPr="00E4629F">
        <w:rPr>
          <w:rFonts w:ascii="Aptos" w:eastAsia="Times New Roman" w:hAnsi="Aptos" w:cs="Times New Roman"/>
          <w:b/>
          <w:bCs/>
          <w:sz w:val="25"/>
          <w:szCs w:val="25"/>
          <w:u w:val="single"/>
        </w:rPr>
        <w:t xml:space="preserve">RULING ON </w:t>
      </w:r>
      <w:r>
        <w:rPr>
          <w:rFonts w:ascii="Aptos" w:eastAsia="Times New Roman" w:hAnsi="Aptos" w:cs="Times New Roman"/>
          <w:b/>
          <w:bCs/>
          <w:sz w:val="25"/>
          <w:szCs w:val="25"/>
          <w:u w:val="single"/>
        </w:rPr>
        <w:t>THE DISTRICT’S</w:t>
      </w:r>
      <w:r w:rsidRPr="00E4629F">
        <w:rPr>
          <w:rFonts w:ascii="Aptos" w:eastAsia="Times New Roman" w:hAnsi="Aptos" w:cs="Times New Roman"/>
          <w:b/>
          <w:bCs/>
          <w:sz w:val="25"/>
          <w:szCs w:val="25"/>
          <w:u w:val="single"/>
        </w:rPr>
        <w:t xml:space="preserve"> MOTION TO DISMISS</w:t>
      </w:r>
    </w:p>
    <w:p w14:paraId="03AD5CAE" w14:textId="77777777" w:rsidR="00CC0C40" w:rsidRPr="00E4629F" w:rsidRDefault="00CC0C40" w:rsidP="00CC0C40">
      <w:pPr>
        <w:shd w:val="clear" w:color="auto" w:fill="FFFFFF"/>
        <w:rPr>
          <w:rFonts w:ascii="Aptos" w:eastAsia="Times New Roman" w:hAnsi="Aptos" w:cs="Times New Roman"/>
          <w:sz w:val="25"/>
          <w:szCs w:val="25"/>
        </w:rPr>
      </w:pPr>
    </w:p>
    <w:p w14:paraId="6F78E9B4" w14:textId="39DBAC78" w:rsidR="00CC0C40" w:rsidRPr="000370FF" w:rsidRDefault="00CC0C40" w:rsidP="00CC0C40">
      <w:pPr>
        <w:shd w:val="clear" w:color="auto" w:fill="FFFFFF"/>
        <w:rPr>
          <w:rFonts w:ascii="Aptos" w:hAnsi="Aptos" w:cs="Times New Roman"/>
          <w:color w:val="000000" w:themeColor="text1"/>
          <w:sz w:val="25"/>
          <w:szCs w:val="25"/>
        </w:rPr>
      </w:pPr>
      <w:r w:rsidRPr="000370FF">
        <w:rPr>
          <w:rFonts w:ascii="Aptos" w:eastAsia="Times New Roman" w:hAnsi="Aptos" w:cs="Times New Roman"/>
          <w:sz w:val="25"/>
          <w:szCs w:val="25"/>
        </w:rPr>
        <w:t xml:space="preserve">This matter comes before the Hearing Officer on the </w:t>
      </w:r>
      <w:r>
        <w:rPr>
          <w:rFonts w:ascii="Aptos" w:eastAsia="Times New Roman" w:hAnsi="Aptos" w:cs="Times New Roman"/>
          <w:sz w:val="25"/>
          <w:szCs w:val="25"/>
        </w:rPr>
        <w:t xml:space="preserve">Weston Public School District’s (District) </w:t>
      </w:r>
      <w:r>
        <w:rPr>
          <w:rFonts w:ascii="Aptos" w:eastAsia="Times New Roman" w:hAnsi="Aptos" w:cs="Times New Roman"/>
          <w:i/>
          <w:iCs/>
          <w:sz w:val="25"/>
          <w:szCs w:val="25"/>
        </w:rPr>
        <w:t xml:space="preserve">Motion to Dismiss </w:t>
      </w:r>
      <w:r>
        <w:rPr>
          <w:rFonts w:ascii="Aptos" w:eastAsia="Times New Roman" w:hAnsi="Aptos" w:cs="Times New Roman"/>
          <w:sz w:val="25"/>
          <w:szCs w:val="25"/>
        </w:rPr>
        <w:t>(</w:t>
      </w:r>
      <w:r w:rsidRPr="00CC0C40">
        <w:rPr>
          <w:rFonts w:ascii="Aptos" w:eastAsia="Times New Roman" w:hAnsi="Aptos" w:cs="Times New Roman"/>
          <w:i/>
          <w:iCs/>
          <w:sz w:val="25"/>
          <w:szCs w:val="25"/>
        </w:rPr>
        <w:t>Motion</w:t>
      </w:r>
      <w:r>
        <w:rPr>
          <w:rFonts w:ascii="Aptos" w:eastAsia="Times New Roman" w:hAnsi="Aptos" w:cs="Times New Roman"/>
          <w:sz w:val="25"/>
          <w:szCs w:val="25"/>
        </w:rPr>
        <w:t xml:space="preserve">) </w:t>
      </w:r>
      <w:r w:rsidRPr="000370FF">
        <w:rPr>
          <w:rFonts w:ascii="Aptos" w:eastAsia="Times New Roman" w:hAnsi="Aptos" w:cs="Times New Roman"/>
          <w:sz w:val="25"/>
          <w:szCs w:val="25"/>
        </w:rPr>
        <w:t xml:space="preserve">filed with the BSEA on </w:t>
      </w:r>
      <w:r>
        <w:rPr>
          <w:rFonts w:ascii="Aptos" w:eastAsia="Times New Roman" w:hAnsi="Aptos" w:cs="Times New Roman"/>
          <w:sz w:val="25"/>
          <w:szCs w:val="25"/>
        </w:rPr>
        <w:t xml:space="preserve">September 5, 2025.  On September 8, 2025, Parents filed their </w:t>
      </w:r>
      <w:r>
        <w:rPr>
          <w:rFonts w:ascii="Aptos" w:eastAsia="Times New Roman" w:hAnsi="Aptos" w:cs="Times New Roman"/>
          <w:i/>
          <w:iCs/>
          <w:sz w:val="25"/>
          <w:szCs w:val="25"/>
        </w:rPr>
        <w:t xml:space="preserve">Opposition to Weston Public Schools’ Motion to Dismiss </w:t>
      </w:r>
      <w:r>
        <w:rPr>
          <w:rFonts w:ascii="Aptos" w:eastAsia="Times New Roman" w:hAnsi="Aptos" w:cs="Times New Roman"/>
          <w:sz w:val="25"/>
          <w:szCs w:val="25"/>
        </w:rPr>
        <w:t>(</w:t>
      </w:r>
      <w:r>
        <w:rPr>
          <w:rFonts w:ascii="Aptos" w:eastAsia="Times New Roman" w:hAnsi="Aptos" w:cs="Times New Roman"/>
          <w:i/>
          <w:iCs/>
          <w:sz w:val="25"/>
          <w:szCs w:val="25"/>
        </w:rPr>
        <w:t>Opposition</w:t>
      </w:r>
      <w:r>
        <w:rPr>
          <w:rFonts w:ascii="Aptos" w:eastAsia="Times New Roman" w:hAnsi="Aptos" w:cs="Times New Roman"/>
          <w:sz w:val="25"/>
          <w:szCs w:val="25"/>
        </w:rPr>
        <w:t>)</w:t>
      </w:r>
      <w:r w:rsidR="00DE2079">
        <w:rPr>
          <w:rFonts w:ascii="Aptos" w:eastAsia="Times New Roman" w:hAnsi="Aptos" w:cs="Times New Roman"/>
          <w:sz w:val="25"/>
          <w:szCs w:val="25"/>
        </w:rPr>
        <w:t xml:space="preserve"> as well as a </w:t>
      </w:r>
      <w:r w:rsidR="00DE2079">
        <w:rPr>
          <w:rFonts w:ascii="Aptos" w:eastAsia="Times New Roman" w:hAnsi="Aptos" w:cs="Times New Roman"/>
          <w:i/>
          <w:iCs/>
          <w:sz w:val="25"/>
          <w:szCs w:val="25"/>
        </w:rPr>
        <w:t xml:space="preserve">Supplement to Parent’s (sic) Opposition to Weston Public Schools’ Motion to Dismiss </w:t>
      </w:r>
      <w:r w:rsidR="00DE2079">
        <w:rPr>
          <w:rFonts w:ascii="Aptos" w:eastAsia="Times New Roman" w:hAnsi="Aptos" w:cs="Times New Roman"/>
          <w:sz w:val="25"/>
          <w:szCs w:val="25"/>
        </w:rPr>
        <w:t>(</w:t>
      </w:r>
      <w:r w:rsidR="00DE2079">
        <w:rPr>
          <w:rFonts w:ascii="Aptos" w:eastAsia="Times New Roman" w:hAnsi="Aptos" w:cs="Times New Roman"/>
          <w:i/>
          <w:iCs/>
          <w:sz w:val="25"/>
          <w:szCs w:val="25"/>
        </w:rPr>
        <w:t>Supplemental Opposition</w:t>
      </w:r>
      <w:r w:rsidR="00DE2079">
        <w:rPr>
          <w:rFonts w:ascii="Aptos" w:eastAsia="Times New Roman" w:hAnsi="Aptos" w:cs="Times New Roman"/>
          <w:sz w:val="25"/>
          <w:szCs w:val="25"/>
        </w:rPr>
        <w:t>)</w:t>
      </w:r>
      <w:r>
        <w:rPr>
          <w:rFonts w:ascii="Aptos" w:eastAsia="Times New Roman" w:hAnsi="Aptos" w:cs="Times New Roman"/>
          <w:sz w:val="25"/>
          <w:szCs w:val="25"/>
        </w:rPr>
        <w:t xml:space="preserve">.  </w:t>
      </w:r>
      <w:r w:rsidRPr="000370FF">
        <w:rPr>
          <w:rFonts w:ascii="Aptos" w:hAnsi="Aptos" w:cs="Times New Roman"/>
          <w:color w:val="000000" w:themeColor="text1"/>
          <w:sz w:val="25"/>
          <w:szCs w:val="25"/>
        </w:rPr>
        <w:t xml:space="preserve">Neither party has requested a hearing on </w:t>
      </w:r>
      <w:r w:rsidRPr="000370FF">
        <w:rPr>
          <w:rFonts w:ascii="Aptos" w:eastAsia="Times New Roman" w:hAnsi="Aptos"/>
          <w:color w:val="000000" w:themeColor="text1"/>
          <w:sz w:val="25"/>
          <w:szCs w:val="25"/>
        </w:rPr>
        <w:t xml:space="preserve">the </w:t>
      </w:r>
      <w:r w:rsidRPr="000370FF">
        <w:rPr>
          <w:rFonts w:ascii="Aptos" w:eastAsia="Times New Roman" w:hAnsi="Aptos"/>
          <w:i/>
          <w:iCs/>
          <w:color w:val="000000" w:themeColor="text1"/>
          <w:sz w:val="25"/>
          <w:szCs w:val="25"/>
        </w:rPr>
        <w:t>Motion</w:t>
      </w:r>
      <w:r w:rsidRPr="000370FF">
        <w:rPr>
          <w:rFonts w:ascii="Aptos" w:hAnsi="Aptos" w:cs="Times New Roman"/>
          <w:color w:val="000000" w:themeColor="text1"/>
          <w:sz w:val="25"/>
          <w:szCs w:val="25"/>
        </w:rPr>
        <w:t>.</w:t>
      </w:r>
      <w:r>
        <w:rPr>
          <w:rFonts w:ascii="Aptos" w:hAnsi="Aptos" w:cs="Times New Roman"/>
          <w:color w:val="000000" w:themeColor="text1"/>
          <w:sz w:val="25"/>
          <w:szCs w:val="25"/>
        </w:rPr>
        <w:t xml:space="preserve">  </w:t>
      </w:r>
      <w:r w:rsidRPr="000370FF">
        <w:rPr>
          <w:rFonts w:ascii="Aptos" w:hAnsi="Aptos" w:cs="Times New Roman"/>
          <w:color w:val="000000" w:themeColor="text1"/>
          <w:sz w:val="25"/>
          <w:szCs w:val="25"/>
        </w:rPr>
        <w:t xml:space="preserve">Because neither testimony nor oral argument would advance the Hearing Officer's </w:t>
      </w:r>
      <w:r>
        <w:rPr>
          <w:rFonts w:ascii="Aptos" w:hAnsi="Aptos" w:cs="Times New Roman"/>
          <w:color w:val="000000" w:themeColor="text1"/>
          <w:sz w:val="25"/>
          <w:szCs w:val="25"/>
        </w:rPr>
        <w:t>u</w:t>
      </w:r>
      <w:r w:rsidRPr="000370FF">
        <w:rPr>
          <w:rFonts w:ascii="Aptos" w:hAnsi="Aptos" w:cs="Times New Roman"/>
          <w:color w:val="000000" w:themeColor="text1"/>
          <w:sz w:val="25"/>
          <w:szCs w:val="25"/>
        </w:rPr>
        <w:t xml:space="preserve">nderstanding of the issues involved, this Ruling is issued without </w:t>
      </w:r>
      <w:r w:rsidR="00DE2079" w:rsidRPr="000370FF">
        <w:rPr>
          <w:rFonts w:ascii="Aptos" w:hAnsi="Aptos" w:cs="Times New Roman"/>
          <w:color w:val="000000" w:themeColor="text1"/>
          <w:sz w:val="25"/>
          <w:szCs w:val="25"/>
        </w:rPr>
        <w:t>hearing</w:t>
      </w:r>
      <w:r w:rsidRPr="000370FF">
        <w:rPr>
          <w:rFonts w:ascii="Aptos" w:hAnsi="Aptos" w:cs="Times New Roman"/>
          <w:color w:val="000000" w:themeColor="text1"/>
          <w:sz w:val="25"/>
          <w:szCs w:val="25"/>
        </w:rPr>
        <w:t xml:space="preserve">, pursuant to Bureau of Special Education Appeals Hearing Rule VII(D).  </w:t>
      </w:r>
      <w:r w:rsidRPr="000370FF">
        <w:rPr>
          <w:rFonts w:ascii="Aptos" w:eastAsia="Times New Roman" w:hAnsi="Aptos" w:cs="Times New Roman"/>
          <w:sz w:val="25"/>
          <w:szCs w:val="25"/>
        </w:rPr>
        <w:t xml:space="preserve">For the reasons articulated, the </w:t>
      </w:r>
      <w:r>
        <w:rPr>
          <w:rFonts w:ascii="Aptos" w:eastAsia="Times New Roman" w:hAnsi="Aptos" w:cs="Times New Roman"/>
          <w:i/>
          <w:iCs/>
          <w:sz w:val="25"/>
          <w:szCs w:val="25"/>
        </w:rPr>
        <w:t xml:space="preserve">Motion </w:t>
      </w:r>
      <w:r>
        <w:rPr>
          <w:rFonts w:ascii="Aptos" w:eastAsia="Times New Roman" w:hAnsi="Aptos" w:cs="Times New Roman"/>
          <w:sz w:val="25"/>
          <w:szCs w:val="25"/>
        </w:rPr>
        <w:t xml:space="preserve">is </w:t>
      </w:r>
      <w:r>
        <w:rPr>
          <w:rFonts w:ascii="Aptos" w:eastAsia="Times New Roman" w:hAnsi="Aptos" w:cs="Times New Roman"/>
          <w:b/>
          <w:bCs/>
          <w:sz w:val="25"/>
          <w:szCs w:val="25"/>
        </w:rPr>
        <w:t xml:space="preserve">ALLOWED </w:t>
      </w:r>
      <w:r>
        <w:rPr>
          <w:rFonts w:ascii="Aptos" w:eastAsia="Times New Roman" w:hAnsi="Aptos" w:cs="Times New Roman"/>
          <w:sz w:val="25"/>
          <w:szCs w:val="25"/>
        </w:rPr>
        <w:t>and Parents</w:t>
      </w:r>
      <w:r w:rsidR="007039A3">
        <w:rPr>
          <w:rFonts w:ascii="Aptos" w:eastAsia="Times New Roman" w:hAnsi="Aptos" w:cs="Times New Roman"/>
          <w:sz w:val="25"/>
          <w:szCs w:val="25"/>
        </w:rPr>
        <w:t>’</w:t>
      </w:r>
      <w:r>
        <w:rPr>
          <w:rFonts w:ascii="Aptos" w:eastAsia="Times New Roman" w:hAnsi="Aptos" w:cs="Times New Roman"/>
          <w:sz w:val="25"/>
          <w:szCs w:val="25"/>
        </w:rPr>
        <w:t xml:space="preserve"> </w:t>
      </w:r>
      <w:r>
        <w:rPr>
          <w:rFonts w:ascii="Aptos" w:eastAsia="Times New Roman" w:hAnsi="Aptos" w:cs="Times New Roman"/>
          <w:i/>
          <w:iCs/>
          <w:sz w:val="25"/>
          <w:szCs w:val="25"/>
        </w:rPr>
        <w:t xml:space="preserve">Hearing Request </w:t>
      </w:r>
      <w:r>
        <w:rPr>
          <w:rFonts w:ascii="Aptos" w:eastAsia="Times New Roman" w:hAnsi="Aptos" w:cs="Times New Roman"/>
          <w:sz w:val="25"/>
          <w:szCs w:val="25"/>
        </w:rPr>
        <w:t xml:space="preserve">is </w:t>
      </w:r>
      <w:r w:rsidR="00C61CC4" w:rsidRPr="00C61CC4">
        <w:rPr>
          <w:rFonts w:ascii="Aptos" w:eastAsia="Times New Roman" w:hAnsi="Aptos" w:cs="Times New Roman"/>
          <w:b/>
          <w:bCs/>
          <w:sz w:val="25"/>
          <w:szCs w:val="25"/>
        </w:rPr>
        <w:t>dismissed with prejudice</w:t>
      </w:r>
      <w:r w:rsidRPr="000370FF">
        <w:rPr>
          <w:rFonts w:ascii="Aptos" w:eastAsia="Times New Roman" w:hAnsi="Aptos" w:cs="Times New Roman"/>
          <w:sz w:val="25"/>
          <w:szCs w:val="25"/>
        </w:rPr>
        <w:t xml:space="preserve">.  </w:t>
      </w:r>
    </w:p>
    <w:p w14:paraId="0CAAA3EB" w14:textId="3C9229FD" w:rsidR="00CC0C40" w:rsidRPr="000370FF" w:rsidRDefault="00CC0C40" w:rsidP="00CC0C40">
      <w:pPr>
        <w:shd w:val="clear" w:color="auto" w:fill="FFFFFF"/>
        <w:rPr>
          <w:rFonts w:ascii="Aptos" w:eastAsia="Times New Roman" w:hAnsi="Aptos" w:cs="Times New Roman"/>
          <w:b/>
          <w:bCs/>
          <w:sz w:val="25"/>
          <w:szCs w:val="25"/>
        </w:rPr>
      </w:pPr>
    </w:p>
    <w:p w14:paraId="095F15DD" w14:textId="43DD7404" w:rsidR="00CC0C40" w:rsidRPr="000370FF" w:rsidRDefault="00CC0C40" w:rsidP="003C427C">
      <w:pPr>
        <w:jc w:val="center"/>
        <w:rPr>
          <w:rFonts w:ascii="Aptos" w:eastAsia="Times New Roman" w:hAnsi="Aptos" w:cs="Times New Roman"/>
          <w:b/>
          <w:bCs/>
          <w:sz w:val="25"/>
          <w:szCs w:val="25"/>
        </w:rPr>
      </w:pPr>
      <w:r w:rsidRPr="000370FF">
        <w:rPr>
          <w:rFonts w:ascii="Aptos" w:eastAsia="Times New Roman" w:hAnsi="Aptos" w:cs="Times New Roman"/>
          <w:b/>
          <w:bCs/>
          <w:sz w:val="25"/>
          <w:szCs w:val="25"/>
        </w:rPr>
        <w:t>RELEVANT PROCEDURAL HISTORY</w:t>
      </w:r>
      <w:r w:rsidR="00BD03E5">
        <w:rPr>
          <w:rFonts w:ascii="Aptos" w:eastAsia="Times New Roman" w:hAnsi="Aptos" w:cs="Times New Roman"/>
          <w:b/>
          <w:bCs/>
          <w:sz w:val="25"/>
          <w:szCs w:val="25"/>
        </w:rPr>
        <w:t xml:space="preserve"> AND</w:t>
      </w:r>
      <w:r w:rsidR="003C427C">
        <w:rPr>
          <w:rFonts w:ascii="Aptos" w:eastAsia="Times New Roman" w:hAnsi="Aptos" w:cs="Times New Roman"/>
          <w:b/>
          <w:bCs/>
          <w:sz w:val="25"/>
          <w:szCs w:val="25"/>
        </w:rPr>
        <w:t xml:space="preserve"> </w:t>
      </w:r>
      <w:r w:rsidR="003C427C" w:rsidRPr="000370FF">
        <w:rPr>
          <w:rFonts w:ascii="Aptos" w:eastAsia="Times New Roman" w:hAnsi="Aptos" w:cs="Times New Roman"/>
          <w:b/>
          <w:bCs/>
          <w:sz w:val="25"/>
          <w:szCs w:val="25"/>
        </w:rPr>
        <w:t>FACTUAL BACKGROUND</w:t>
      </w:r>
      <w:r w:rsidR="003C427C" w:rsidRPr="000370FF">
        <w:rPr>
          <w:rStyle w:val="FootnoteReference"/>
          <w:rFonts w:ascii="Aptos" w:eastAsia="Times New Roman" w:hAnsi="Aptos" w:cs="Times New Roman"/>
          <w:b/>
          <w:bCs/>
          <w:sz w:val="25"/>
          <w:szCs w:val="25"/>
        </w:rPr>
        <w:footnoteReference w:id="1"/>
      </w:r>
    </w:p>
    <w:p w14:paraId="1FD66833" w14:textId="77777777" w:rsidR="00CC0C40" w:rsidRPr="000370FF" w:rsidRDefault="00CC0C40" w:rsidP="00CC0C40">
      <w:pPr>
        <w:shd w:val="clear" w:color="auto" w:fill="FFFFFF"/>
        <w:jc w:val="center"/>
        <w:rPr>
          <w:rFonts w:ascii="Aptos" w:eastAsia="Times New Roman" w:hAnsi="Aptos" w:cs="Times New Roman"/>
          <w:sz w:val="25"/>
          <w:szCs w:val="25"/>
        </w:rPr>
      </w:pPr>
    </w:p>
    <w:p w14:paraId="36642AE1" w14:textId="6B6E105E" w:rsidR="003C427C" w:rsidRDefault="00CC0C40" w:rsidP="00CC0C40">
      <w:pPr>
        <w:rPr>
          <w:rFonts w:ascii="Aptos" w:hAnsi="Aptos" w:cs="Times New Roman"/>
          <w:sz w:val="25"/>
          <w:szCs w:val="25"/>
        </w:rPr>
      </w:pPr>
      <w:r w:rsidRPr="000370FF">
        <w:rPr>
          <w:rFonts w:ascii="Aptos" w:hAnsi="Aptos" w:cs="Times New Roman"/>
          <w:sz w:val="25"/>
          <w:szCs w:val="25"/>
        </w:rPr>
        <w:t xml:space="preserve">On </w:t>
      </w:r>
      <w:r>
        <w:rPr>
          <w:rFonts w:ascii="Aptos" w:hAnsi="Aptos" w:cs="Times New Roman"/>
          <w:sz w:val="25"/>
          <w:szCs w:val="25"/>
        </w:rPr>
        <w:t>August 20, 2025</w:t>
      </w:r>
      <w:r w:rsidRPr="000370FF">
        <w:rPr>
          <w:rFonts w:ascii="Aptos" w:hAnsi="Aptos" w:cs="Times New Roman"/>
          <w:sz w:val="25"/>
          <w:szCs w:val="25"/>
        </w:rPr>
        <w:t xml:space="preserve">, </w:t>
      </w:r>
      <w:r>
        <w:rPr>
          <w:rFonts w:ascii="Aptos" w:hAnsi="Aptos" w:cs="Times New Roman"/>
          <w:sz w:val="25"/>
          <w:szCs w:val="25"/>
        </w:rPr>
        <w:t xml:space="preserve">Parents filed </w:t>
      </w:r>
      <w:r w:rsidRPr="000370FF">
        <w:rPr>
          <w:rFonts w:ascii="Aptos" w:hAnsi="Aptos" w:cs="Times New Roman"/>
          <w:sz w:val="25"/>
          <w:szCs w:val="25"/>
        </w:rPr>
        <w:t xml:space="preserve">a </w:t>
      </w:r>
      <w:r w:rsidRPr="000370FF">
        <w:rPr>
          <w:rFonts w:ascii="Aptos" w:hAnsi="Aptos" w:cs="Times New Roman"/>
          <w:i/>
          <w:iCs/>
          <w:sz w:val="25"/>
          <w:szCs w:val="25"/>
        </w:rPr>
        <w:t>Hearing Request</w:t>
      </w:r>
      <w:r w:rsidR="00287312" w:rsidRPr="00287312">
        <w:rPr>
          <w:rStyle w:val="FootnoteReference"/>
          <w:rFonts w:ascii="Aptos" w:hAnsi="Aptos" w:cs="Times New Roman"/>
          <w:sz w:val="25"/>
          <w:szCs w:val="25"/>
        </w:rPr>
        <w:footnoteReference w:id="2"/>
      </w:r>
      <w:r w:rsidRPr="000370FF">
        <w:rPr>
          <w:rFonts w:ascii="Aptos" w:hAnsi="Aptos" w:cs="Times New Roman"/>
          <w:sz w:val="25"/>
          <w:szCs w:val="25"/>
        </w:rPr>
        <w:t xml:space="preserve"> </w:t>
      </w:r>
      <w:r>
        <w:rPr>
          <w:rFonts w:ascii="Aptos" w:hAnsi="Aptos" w:cs="Times New Roman"/>
          <w:sz w:val="25"/>
          <w:szCs w:val="25"/>
        </w:rPr>
        <w:t>on behalf of Student, who is 18 years old and who</w:t>
      </w:r>
      <w:r w:rsidR="00F516F5">
        <w:rPr>
          <w:rFonts w:ascii="Aptos" w:hAnsi="Aptos" w:cs="Times New Roman"/>
          <w:sz w:val="25"/>
          <w:szCs w:val="25"/>
        </w:rPr>
        <w:t>m</w:t>
      </w:r>
      <w:r>
        <w:rPr>
          <w:rFonts w:ascii="Aptos" w:hAnsi="Aptos" w:cs="Times New Roman"/>
          <w:sz w:val="25"/>
          <w:szCs w:val="25"/>
        </w:rPr>
        <w:t xml:space="preserve"> they advised has already graduated from the District</w:t>
      </w:r>
      <w:r w:rsidR="00E65250">
        <w:rPr>
          <w:rStyle w:val="FootnoteReference"/>
          <w:rFonts w:ascii="Aptos" w:hAnsi="Aptos" w:cs="Times New Roman"/>
          <w:sz w:val="25"/>
          <w:szCs w:val="25"/>
        </w:rPr>
        <w:footnoteReference w:id="3"/>
      </w:r>
      <w:r>
        <w:rPr>
          <w:rFonts w:ascii="Aptos" w:hAnsi="Aptos" w:cs="Times New Roman"/>
          <w:sz w:val="25"/>
          <w:szCs w:val="25"/>
        </w:rPr>
        <w:t xml:space="preserve">.  </w:t>
      </w:r>
      <w:r w:rsidR="003C427C">
        <w:rPr>
          <w:rFonts w:ascii="Aptos" w:hAnsi="Aptos" w:cs="Times New Roman"/>
          <w:sz w:val="25"/>
          <w:szCs w:val="25"/>
        </w:rPr>
        <w:t xml:space="preserve">The </w:t>
      </w:r>
      <w:r w:rsidR="003C427C">
        <w:rPr>
          <w:rFonts w:ascii="Aptos" w:hAnsi="Aptos" w:cs="Times New Roman"/>
          <w:i/>
          <w:iCs/>
          <w:sz w:val="25"/>
          <w:szCs w:val="25"/>
        </w:rPr>
        <w:t xml:space="preserve">Hearing Request </w:t>
      </w:r>
      <w:r w:rsidR="003C427C">
        <w:rPr>
          <w:rFonts w:ascii="Aptos" w:hAnsi="Aptos" w:cs="Times New Roman"/>
          <w:sz w:val="25"/>
          <w:szCs w:val="25"/>
        </w:rPr>
        <w:t xml:space="preserve">consisted of a cover letter and </w:t>
      </w:r>
      <w:r w:rsidR="001A0652">
        <w:rPr>
          <w:rFonts w:ascii="Aptos" w:hAnsi="Aptos" w:cs="Times New Roman"/>
          <w:sz w:val="25"/>
          <w:szCs w:val="25"/>
        </w:rPr>
        <w:t xml:space="preserve">an </w:t>
      </w:r>
      <w:r w:rsidR="003C427C">
        <w:rPr>
          <w:rFonts w:ascii="Aptos" w:hAnsi="Aptos" w:cs="Times New Roman"/>
          <w:sz w:val="25"/>
          <w:szCs w:val="25"/>
        </w:rPr>
        <w:t xml:space="preserve">attached document entitled “Hearing Request” separated into sections entitled “Student &amp; Contact Information”, “District Information”, “I. Statement of Facts”, “II. Legal Claims”, and “III. Requested Remedies”.  Additionally, at the end Parents included a paragraph pertaining to a “statute of limitations note”.  </w:t>
      </w:r>
    </w:p>
    <w:p w14:paraId="5E71F205" w14:textId="77777777" w:rsidR="003C427C" w:rsidRDefault="003C427C" w:rsidP="00CC0C40">
      <w:pPr>
        <w:rPr>
          <w:rFonts w:ascii="Aptos" w:hAnsi="Aptos" w:cs="Times New Roman"/>
          <w:sz w:val="25"/>
          <w:szCs w:val="25"/>
        </w:rPr>
      </w:pPr>
    </w:p>
    <w:p w14:paraId="37A4D00D" w14:textId="774B909A" w:rsidR="003C427C" w:rsidRDefault="00FD0351" w:rsidP="00CC0C40">
      <w:pPr>
        <w:rPr>
          <w:rFonts w:ascii="Aptos" w:hAnsi="Aptos" w:cs="Times New Roman"/>
          <w:sz w:val="25"/>
          <w:szCs w:val="25"/>
        </w:rPr>
      </w:pPr>
      <w:r>
        <w:rPr>
          <w:rFonts w:ascii="Aptos" w:hAnsi="Aptos" w:cs="Times New Roman"/>
          <w:sz w:val="25"/>
          <w:szCs w:val="25"/>
        </w:rPr>
        <w:t>According to the</w:t>
      </w:r>
      <w:r w:rsidR="003C427C">
        <w:rPr>
          <w:rFonts w:ascii="Aptos" w:hAnsi="Aptos" w:cs="Times New Roman"/>
          <w:sz w:val="25"/>
          <w:szCs w:val="25"/>
        </w:rPr>
        <w:t xml:space="preserve"> “Statement of Facts” section of the</w:t>
      </w:r>
      <w:r>
        <w:rPr>
          <w:rFonts w:ascii="Aptos" w:hAnsi="Aptos" w:cs="Times New Roman"/>
          <w:sz w:val="25"/>
          <w:szCs w:val="25"/>
        </w:rPr>
        <w:t xml:space="preserve"> </w:t>
      </w:r>
      <w:r>
        <w:rPr>
          <w:rFonts w:ascii="Aptos" w:hAnsi="Aptos" w:cs="Times New Roman"/>
          <w:i/>
          <w:iCs/>
          <w:sz w:val="25"/>
          <w:szCs w:val="25"/>
        </w:rPr>
        <w:t>Hearing Request</w:t>
      </w:r>
      <w:r w:rsidR="003C427C">
        <w:rPr>
          <w:rFonts w:ascii="Aptos" w:hAnsi="Aptos" w:cs="Times New Roman"/>
          <w:sz w:val="25"/>
          <w:szCs w:val="25"/>
        </w:rPr>
        <w:t xml:space="preserve"> (consisting of 7 numbered paragraphs)</w:t>
      </w:r>
      <w:r>
        <w:rPr>
          <w:rFonts w:ascii="Aptos" w:hAnsi="Aptos" w:cs="Times New Roman"/>
          <w:sz w:val="25"/>
          <w:szCs w:val="25"/>
        </w:rPr>
        <w:t>,</w:t>
      </w:r>
      <w:r>
        <w:rPr>
          <w:rFonts w:ascii="Aptos" w:hAnsi="Aptos" w:cs="Times New Roman"/>
          <w:i/>
          <w:iCs/>
          <w:sz w:val="25"/>
          <w:szCs w:val="25"/>
        </w:rPr>
        <w:t xml:space="preserve"> </w:t>
      </w:r>
      <w:r>
        <w:rPr>
          <w:rFonts w:ascii="Aptos" w:hAnsi="Aptos" w:cs="Times New Roman"/>
          <w:sz w:val="25"/>
          <w:szCs w:val="25"/>
        </w:rPr>
        <w:t xml:space="preserve">Student was a student in the District for </w:t>
      </w:r>
      <w:proofErr w:type="gramStart"/>
      <w:r>
        <w:rPr>
          <w:rFonts w:ascii="Aptos" w:hAnsi="Aptos" w:cs="Times New Roman"/>
          <w:sz w:val="25"/>
          <w:szCs w:val="25"/>
        </w:rPr>
        <w:t>the majority of</w:t>
      </w:r>
      <w:proofErr w:type="gramEnd"/>
      <w:r>
        <w:rPr>
          <w:rFonts w:ascii="Aptos" w:hAnsi="Aptos" w:cs="Times New Roman"/>
          <w:sz w:val="25"/>
          <w:szCs w:val="25"/>
        </w:rPr>
        <w:t xml:space="preserve"> his K-12 </w:t>
      </w:r>
      <w:r>
        <w:rPr>
          <w:rFonts w:ascii="Aptos" w:hAnsi="Aptos" w:cs="Times New Roman"/>
          <w:sz w:val="25"/>
          <w:szCs w:val="25"/>
        </w:rPr>
        <w:lastRenderedPageBreak/>
        <w:t>education.  Prior to March 2023, Parents claim the District overidentified Student’s needs and “placed him in special education classes that were unnecessary and disproportionate to his actual needs”.  Parents allege that the District</w:t>
      </w:r>
      <w:r w:rsidR="00130733">
        <w:rPr>
          <w:rFonts w:ascii="Aptos" w:hAnsi="Aptos" w:cs="Times New Roman"/>
          <w:sz w:val="25"/>
          <w:szCs w:val="25"/>
        </w:rPr>
        <w:t xml:space="preserve"> also</w:t>
      </w:r>
      <w:r>
        <w:rPr>
          <w:rFonts w:ascii="Aptos" w:hAnsi="Aptos" w:cs="Times New Roman"/>
          <w:sz w:val="25"/>
          <w:szCs w:val="25"/>
        </w:rPr>
        <w:t xml:space="preserve"> misclassified Student “</w:t>
      </w:r>
      <w:proofErr w:type="spellStart"/>
      <w:r>
        <w:rPr>
          <w:rFonts w:ascii="Aptos" w:hAnsi="Aptos" w:cs="Times New Roman"/>
          <w:sz w:val="25"/>
          <w:szCs w:val="25"/>
        </w:rPr>
        <w:t>culminat</w:t>
      </w:r>
      <w:proofErr w:type="spellEnd"/>
      <w:r>
        <w:rPr>
          <w:rFonts w:ascii="Aptos" w:hAnsi="Aptos" w:cs="Times New Roman"/>
          <w:sz w:val="25"/>
          <w:szCs w:val="25"/>
        </w:rPr>
        <w:t>[</w:t>
      </w:r>
      <w:proofErr w:type="spellStart"/>
      <w:r>
        <w:rPr>
          <w:rFonts w:ascii="Aptos" w:hAnsi="Aptos" w:cs="Times New Roman"/>
          <w:sz w:val="25"/>
          <w:szCs w:val="25"/>
        </w:rPr>
        <w:t>ing</w:t>
      </w:r>
      <w:proofErr w:type="spellEnd"/>
      <w:r>
        <w:rPr>
          <w:rFonts w:ascii="Aptos" w:hAnsi="Aptos" w:cs="Times New Roman"/>
          <w:sz w:val="25"/>
          <w:szCs w:val="25"/>
        </w:rPr>
        <w:t>] in forcing an out-of</w:t>
      </w:r>
      <w:r w:rsidR="00B361A3">
        <w:rPr>
          <w:rFonts w:ascii="Aptos" w:hAnsi="Aptos" w:cs="Times New Roman"/>
          <w:sz w:val="25"/>
          <w:szCs w:val="25"/>
        </w:rPr>
        <w:t>-</w:t>
      </w:r>
      <w:r>
        <w:rPr>
          <w:rFonts w:ascii="Aptos" w:hAnsi="Aptos" w:cs="Times New Roman"/>
          <w:sz w:val="25"/>
          <w:szCs w:val="25"/>
        </w:rPr>
        <w:t xml:space="preserve">district placement that was unjustified”.  </w:t>
      </w:r>
      <w:r w:rsidR="003C427C">
        <w:rPr>
          <w:rFonts w:ascii="Aptos" w:hAnsi="Aptos" w:cs="Times New Roman"/>
          <w:sz w:val="25"/>
          <w:szCs w:val="25"/>
        </w:rPr>
        <w:t xml:space="preserve">According to Parents, Student “could and should have been served within the general education setting with appropriate accommodations and supports”.  </w:t>
      </w:r>
      <w:r>
        <w:rPr>
          <w:rFonts w:ascii="Aptos" w:hAnsi="Aptos" w:cs="Times New Roman"/>
          <w:sz w:val="25"/>
          <w:szCs w:val="25"/>
        </w:rPr>
        <w:t>In March of 2023, when Student was a sophomore, Parents “withdrew [Student] from his IEP”.  Student continued to attend school in the District</w:t>
      </w:r>
      <w:r w:rsidR="00F44072">
        <w:rPr>
          <w:rFonts w:ascii="Aptos" w:hAnsi="Aptos" w:cs="Times New Roman"/>
          <w:sz w:val="25"/>
          <w:szCs w:val="25"/>
        </w:rPr>
        <w:t xml:space="preserve"> after this time</w:t>
      </w:r>
      <w:r>
        <w:rPr>
          <w:rFonts w:ascii="Aptos" w:hAnsi="Aptos" w:cs="Times New Roman"/>
          <w:sz w:val="25"/>
          <w:szCs w:val="25"/>
        </w:rPr>
        <w:t xml:space="preserve"> “and ultimately graduated successfully with limited special education services”.   Parents contend that the District’s “long-standing classifications, placements, and the outplacement decision were inappropriate, harmful and in violation of </w:t>
      </w:r>
      <w:r w:rsidR="003C427C">
        <w:rPr>
          <w:rFonts w:ascii="Aptos" w:hAnsi="Aptos" w:cs="Times New Roman"/>
          <w:sz w:val="25"/>
          <w:szCs w:val="25"/>
        </w:rPr>
        <w:t>[Student’s] rights to a Free Appropriate Public Education (FAPE) in the Leas</w:t>
      </w:r>
      <w:r w:rsidR="00D26D02">
        <w:rPr>
          <w:rFonts w:ascii="Aptos" w:hAnsi="Aptos" w:cs="Times New Roman"/>
          <w:sz w:val="25"/>
          <w:szCs w:val="25"/>
        </w:rPr>
        <w:t>t</w:t>
      </w:r>
      <w:r w:rsidR="003C427C">
        <w:rPr>
          <w:rFonts w:ascii="Aptos" w:hAnsi="Aptos" w:cs="Times New Roman"/>
          <w:sz w:val="25"/>
          <w:szCs w:val="25"/>
        </w:rPr>
        <w:t xml:space="preserve"> Restrictive Environment (LRE)”.  </w:t>
      </w:r>
    </w:p>
    <w:p w14:paraId="7049F4A3" w14:textId="77777777" w:rsidR="003C427C" w:rsidRDefault="003C427C" w:rsidP="00CC0C40">
      <w:pPr>
        <w:rPr>
          <w:rFonts w:ascii="Aptos" w:hAnsi="Aptos" w:cs="Times New Roman"/>
          <w:sz w:val="25"/>
          <w:szCs w:val="25"/>
        </w:rPr>
      </w:pPr>
    </w:p>
    <w:p w14:paraId="51531408" w14:textId="66E3E8A1" w:rsidR="003C427C" w:rsidRDefault="00BA7605" w:rsidP="00CC0C40">
      <w:pPr>
        <w:rPr>
          <w:rFonts w:ascii="Aptos" w:hAnsi="Aptos" w:cs="Times New Roman"/>
          <w:sz w:val="25"/>
          <w:szCs w:val="25"/>
        </w:rPr>
      </w:pPr>
      <w:r>
        <w:rPr>
          <w:rFonts w:ascii="Aptos" w:hAnsi="Aptos" w:cs="Times New Roman"/>
          <w:sz w:val="25"/>
          <w:szCs w:val="25"/>
        </w:rPr>
        <w:t>According to t</w:t>
      </w:r>
      <w:r w:rsidR="003C427C">
        <w:rPr>
          <w:rFonts w:ascii="Aptos" w:hAnsi="Aptos" w:cs="Times New Roman"/>
          <w:sz w:val="25"/>
          <w:szCs w:val="25"/>
        </w:rPr>
        <w:t xml:space="preserve">he “Legal Claims” section of the </w:t>
      </w:r>
      <w:r w:rsidR="003C427C">
        <w:rPr>
          <w:rFonts w:ascii="Aptos" w:hAnsi="Aptos" w:cs="Times New Roman"/>
          <w:i/>
          <w:iCs/>
          <w:sz w:val="25"/>
          <w:szCs w:val="25"/>
        </w:rPr>
        <w:t xml:space="preserve">Hearing Request </w:t>
      </w:r>
      <w:r w:rsidR="003C427C">
        <w:rPr>
          <w:rFonts w:ascii="Aptos" w:hAnsi="Aptos" w:cs="Times New Roman"/>
          <w:sz w:val="25"/>
          <w:szCs w:val="25"/>
        </w:rPr>
        <w:t xml:space="preserve">Parents are bringing claims for a denial of FAPE and a violation of LRE requirements under the IDEA, as well as </w:t>
      </w:r>
      <w:r>
        <w:rPr>
          <w:rFonts w:ascii="Aptos" w:hAnsi="Aptos" w:cs="Times New Roman"/>
          <w:sz w:val="25"/>
          <w:szCs w:val="25"/>
        </w:rPr>
        <w:t xml:space="preserve">a </w:t>
      </w:r>
      <w:r w:rsidR="003C427C">
        <w:rPr>
          <w:rFonts w:ascii="Aptos" w:hAnsi="Aptos" w:cs="Times New Roman"/>
          <w:sz w:val="25"/>
          <w:szCs w:val="25"/>
        </w:rPr>
        <w:t>procedural violation</w:t>
      </w:r>
      <w:r w:rsidR="007A4035">
        <w:rPr>
          <w:rFonts w:ascii="Aptos" w:hAnsi="Aptos" w:cs="Times New Roman"/>
          <w:sz w:val="25"/>
          <w:szCs w:val="25"/>
        </w:rPr>
        <w:t xml:space="preserve"> claim</w:t>
      </w:r>
      <w:r w:rsidR="003C427C">
        <w:rPr>
          <w:rFonts w:ascii="Aptos" w:hAnsi="Aptos" w:cs="Times New Roman"/>
          <w:sz w:val="25"/>
          <w:szCs w:val="25"/>
        </w:rPr>
        <w:t xml:space="preserve"> </w:t>
      </w:r>
      <w:r w:rsidR="007A4035">
        <w:rPr>
          <w:rFonts w:ascii="Aptos" w:hAnsi="Aptos" w:cs="Times New Roman"/>
          <w:sz w:val="25"/>
          <w:szCs w:val="25"/>
        </w:rPr>
        <w:t xml:space="preserve">involving </w:t>
      </w:r>
      <w:r w:rsidR="003C427C">
        <w:rPr>
          <w:rFonts w:ascii="Aptos" w:hAnsi="Aptos" w:cs="Times New Roman"/>
          <w:sz w:val="25"/>
          <w:szCs w:val="25"/>
        </w:rPr>
        <w:t>“improper placement decisions without valid reevaluation appropriate parental participation, or prior written notice” and “Section 504/ADA violations” for “wrongful classification and exclusion based on disability.</w:t>
      </w:r>
    </w:p>
    <w:p w14:paraId="7EF27803" w14:textId="77777777" w:rsidR="003C427C" w:rsidRDefault="003C427C" w:rsidP="00CC0C40">
      <w:pPr>
        <w:rPr>
          <w:rFonts w:ascii="Aptos" w:hAnsi="Aptos" w:cs="Times New Roman"/>
          <w:sz w:val="25"/>
          <w:szCs w:val="25"/>
        </w:rPr>
      </w:pPr>
    </w:p>
    <w:p w14:paraId="25050DFF" w14:textId="1BF1819B" w:rsidR="003C427C" w:rsidRDefault="003C427C" w:rsidP="00CC0C40">
      <w:pPr>
        <w:rPr>
          <w:rFonts w:ascii="Aptos" w:hAnsi="Aptos" w:cs="Times New Roman"/>
          <w:sz w:val="25"/>
          <w:szCs w:val="25"/>
        </w:rPr>
      </w:pPr>
      <w:r>
        <w:rPr>
          <w:rFonts w:ascii="Aptos" w:hAnsi="Aptos" w:cs="Times New Roman"/>
          <w:sz w:val="25"/>
          <w:szCs w:val="25"/>
        </w:rPr>
        <w:t>Parents seek four “Requested Remedies”, to wit</w:t>
      </w:r>
      <w:r w:rsidR="00556780">
        <w:rPr>
          <w:rFonts w:ascii="Aptos" w:hAnsi="Aptos" w:cs="Times New Roman"/>
          <w:sz w:val="25"/>
          <w:szCs w:val="25"/>
        </w:rPr>
        <w:t>:</w:t>
      </w:r>
      <w:r>
        <w:rPr>
          <w:rFonts w:ascii="Aptos" w:hAnsi="Aptos" w:cs="Times New Roman"/>
          <w:sz w:val="25"/>
          <w:szCs w:val="25"/>
        </w:rPr>
        <w:t xml:space="preserve"> 1) a finding of a violation of Student’s rights under the IDEA “by overidentifying his needs, placing him in unnecessarily restrictive settings, and forcing an unjustified out-of</w:t>
      </w:r>
      <w:r w:rsidR="00044D26">
        <w:rPr>
          <w:rFonts w:ascii="Aptos" w:hAnsi="Aptos" w:cs="Times New Roman"/>
          <w:sz w:val="25"/>
          <w:szCs w:val="25"/>
        </w:rPr>
        <w:t>-</w:t>
      </w:r>
      <w:r>
        <w:rPr>
          <w:rFonts w:ascii="Aptos" w:hAnsi="Aptos" w:cs="Times New Roman"/>
          <w:sz w:val="25"/>
          <w:szCs w:val="25"/>
        </w:rPr>
        <w:t xml:space="preserve">district placement”; 2) a finding of violations of the “LRE mandate and procedural safeguards”; 3) an order for “appropriate corrective action, including policy and practice changes to prevent wrongful overidentification and outplacement”; and 4) any other </w:t>
      </w:r>
      <w:r w:rsidR="00AA2D33">
        <w:rPr>
          <w:rFonts w:ascii="Aptos" w:hAnsi="Aptos" w:cs="Times New Roman"/>
          <w:sz w:val="25"/>
          <w:szCs w:val="25"/>
        </w:rPr>
        <w:t xml:space="preserve">appropriate </w:t>
      </w:r>
      <w:r>
        <w:rPr>
          <w:rFonts w:ascii="Aptos" w:hAnsi="Aptos" w:cs="Times New Roman"/>
          <w:sz w:val="25"/>
          <w:szCs w:val="25"/>
        </w:rPr>
        <w:t>relief.</w:t>
      </w:r>
    </w:p>
    <w:p w14:paraId="0AC9DA3B" w14:textId="77777777" w:rsidR="003C427C" w:rsidRDefault="003C427C" w:rsidP="00CC0C40">
      <w:pPr>
        <w:rPr>
          <w:rFonts w:ascii="Aptos" w:hAnsi="Aptos" w:cs="Times New Roman"/>
          <w:sz w:val="25"/>
          <w:szCs w:val="25"/>
        </w:rPr>
      </w:pPr>
    </w:p>
    <w:p w14:paraId="075B5A6B" w14:textId="7C12A5BC" w:rsidR="00815F4C" w:rsidRDefault="003C427C" w:rsidP="00CC0C40">
      <w:pPr>
        <w:rPr>
          <w:rFonts w:ascii="Aptos" w:hAnsi="Aptos" w:cs="Times New Roman"/>
          <w:sz w:val="25"/>
          <w:szCs w:val="25"/>
        </w:rPr>
      </w:pPr>
      <w:r>
        <w:rPr>
          <w:rFonts w:ascii="Aptos" w:hAnsi="Aptos" w:cs="Times New Roman"/>
          <w:sz w:val="25"/>
          <w:szCs w:val="25"/>
        </w:rPr>
        <w:t xml:space="preserve">As for the “statute of limitations note”, Parents </w:t>
      </w:r>
      <w:r w:rsidR="00BD03E5">
        <w:rPr>
          <w:rFonts w:ascii="Aptos" w:hAnsi="Aptos" w:cs="Times New Roman"/>
          <w:sz w:val="25"/>
          <w:szCs w:val="25"/>
        </w:rPr>
        <w:t xml:space="preserve">assert that </w:t>
      </w:r>
      <w:r>
        <w:rPr>
          <w:rFonts w:ascii="Aptos" w:hAnsi="Aptos" w:cs="Times New Roman"/>
          <w:sz w:val="25"/>
          <w:szCs w:val="25"/>
        </w:rPr>
        <w:t>that despite their</w:t>
      </w:r>
      <w:r w:rsidR="00815F4C">
        <w:rPr>
          <w:rFonts w:ascii="Aptos" w:hAnsi="Aptos" w:cs="Times New Roman"/>
          <w:sz w:val="25"/>
          <w:szCs w:val="25"/>
        </w:rPr>
        <w:t>,</w:t>
      </w:r>
    </w:p>
    <w:p w14:paraId="4BB02880" w14:textId="59A8B30F" w:rsidR="003C427C" w:rsidRDefault="003C427C" w:rsidP="00BD03E5">
      <w:pPr>
        <w:ind w:left="720" w:right="720"/>
        <w:rPr>
          <w:rFonts w:ascii="Aptos" w:hAnsi="Aptos" w:cs="Times New Roman"/>
          <w:sz w:val="25"/>
          <w:szCs w:val="25"/>
        </w:rPr>
      </w:pPr>
      <w:r>
        <w:rPr>
          <w:rFonts w:ascii="Aptos" w:hAnsi="Aptos" w:cs="Times New Roman"/>
          <w:sz w:val="25"/>
          <w:szCs w:val="25"/>
        </w:rPr>
        <w:t>“IEP withdrawal</w:t>
      </w:r>
      <w:r w:rsidR="00BD03E5">
        <w:rPr>
          <w:rFonts w:ascii="Aptos" w:hAnsi="Aptos" w:cs="Times New Roman"/>
          <w:sz w:val="25"/>
          <w:szCs w:val="25"/>
        </w:rPr>
        <w:t xml:space="preserve"> [ ] in March 2023, the violations were continuing through graduation.  Additionally, the family did not discover until graduation that [Student] required no special education services, rendering this complaint timely under IDEA’s two-year statute of limitations”.</w:t>
      </w:r>
    </w:p>
    <w:p w14:paraId="7455FE61" w14:textId="77777777" w:rsidR="00BD03E5" w:rsidRDefault="00BD03E5" w:rsidP="00BD03E5">
      <w:pPr>
        <w:ind w:right="720"/>
        <w:rPr>
          <w:rFonts w:ascii="Aptos" w:hAnsi="Aptos" w:cs="Times New Roman"/>
          <w:sz w:val="25"/>
          <w:szCs w:val="25"/>
        </w:rPr>
      </w:pPr>
    </w:p>
    <w:p w14:paraId="6CD60A49" w14:textId="7E0DAA01" w:rsidR="00CC0C40" w:rsidRDefault="00BD03E5" w:rsidP="00CC0C40">
      <w:pPr>
        <w:rPr>
          <w:rFonts w:ascii="Aptos" w:hAnsi="Aptos" w:cs="Times New Roman"/>
          <w:sz w:val="25"/>
          <w:szCs w:val="25"/>
        </w:rPr>
      </w:pPr>
      <w:r>
        <w:rPr>
          <w:rFonts w:ascii="Aptos" w:hAnsi="Aptos" w:cs="Times New Roman"/>
          <w:sz w:val="25"/>
          <w:szCs w:val="25"/>
        </w:rPr>
        <w:t xml:space="preserve">On September 5, 2025, the District filed its </w:t>
      </w:r>
      <w:r>
        <w:rPr>
          <w:rFonts w:ascii="Aptos" w:hAnsi="Aptos" w:cs="Times New Roman"/>
          <w:i/>
          <w:iCs/>
          <w:sz w:val="25"/>
          <w:szCs w:val="25"/>
        </w:rPr>
        <w:t xml:space="preserve">Motion </w:t>
      </w:r>
      <w:r>
        <w:rPr>
          <w:rFonts w:ascii="Aptos" w:hAnsi="Aptos" w:cs="Times New Roman"/>
          <w:sz w:val="25"/>
          <w:szCs w:val="25"/>
        </w:rPr>
        <w:t xml:space="preserve">contending that </w:t>
      </w:r>
      <w:r w:rsidR="005E41BB">
        <w:rPr>
          <w:rFonts w:ascii="Aptos" w:hAnsi="Aptos" w:cs="Times New Roman"/>
          <w:i/>
          <w:iCs/>
          <w:sz w:val="25"/>
          <w:szCs w:val="25"/>
        </w:rPr>
        <w:t xml:space="preserve">Hearing </w:t>
      </w:r>
      <w:r w:rsidR="005E41BB" w:rsidRPr="005E41BB">
        <w:rPr>
          <w:rFonts w:ascii="Aptos" w:hAnsi="Aptos" w:cs="Times New Roman"/>
          <w:i/>
          <w:iCs/>
          <w:sz w:val="25"/>
          <w:szCs w:val="25"/>
        </w:rPr>
        <w:t>Request’s</w:t>
      </w:r>
      <w:r w:rsidR="005E41BB">
        <w:rPr>
          <w:rFonts w:ascii="Aptos" w:hAnsi="Aptos" w:cs="Times New Roman"/>
          <w:sz w:val="25"/>
          <w:szCs w:val="25"/>
        </w:rPr>
        <w:t xml:space="preserve"> </w:t>
      </w:r>
      <w:r>
        <w:rPr>
          <w:rFonts w:ascii="Aptos" w:hAnsi="Aptos" w:cs="Times New Roman"/>
          <w:sz w:val="25"/>
          <w:szCs w:val="25"/>
        </w:rPr>
        <w:t xml:space="preserve">allegations </w:t>
      </w:r>
      <w:r w:rsidR="005E41BB">
        <w:rPr>
          <w:rFonts w:ascii="Aptos" w:hAnsi="Aptos" w:cs="Times New Roman"/>
          <w:sz w:val="25"/>
          <w:szCs w:val="25"/>
        </w:rPr>
        <w:t xml:space="preserve">of </w:t>
      </w:r>
      <w:r>
        <w:rPr>
          <w:rFonts w:ascii="Aptos" w:hAnsi="Aptos" w:cs="Times New Roman"/>
          <w:sz w:val="25"/>
          <w:szCs w:val="25"/>
        </w:rPr>
        <w:t xml:space="preserve">“systemic policy and practice claims and seeking relief in the form of ‘corrective action’ aimed, not at her adult son who has accepted his diploma, but to address the ‘alleged policy and practice’ concerns” </w:t>
      </w:r>
      <w:r w:rsidR="006A3A70">
        <w:rPr>
          <w:rFonts w:ascii="Aptos" w:hAnsi="Aptos" w:cs="Times New Roman"/>
          <w:sz w:val="25"/>
          <w:szCs w:val="25"/>
        </w:rPr>
        <w:t xml:space="preserve">are </w:t>
      </w:r>
      <w:r>
        <w:rPr>
          <w:rFonts w:ascii="Aptos" w:hAnsi="Aptos" w:cs="Times New Roman"/>
          <w:sz w:val="25"/>
          <w:szCs w:val="25"/>
        </w:rPr>
        <w:t xml:space="preserve">beyond the BSEA’s jurisdiction and must be dismissed. </w:t>
      </w:r>
      <w:r w:rsidR="00DB0FB1">
        <w:rPr>
          <w:rFonts w:ascii="Aptos" w:hAnsi="Aptos" w:cs="Times New Roman"/>
          <w:sz w:val="25"/>
          <w:szCs w:val="25"/>
        </w:rPr>
        <w:t xml:space="preserve">The </w:t>
      </w:r>
      <w:r w:rsidR="006A3A70">
        <w:rPr>
          <w:rFonts w:ascii="Aptos" w:hAnsi="Aptos" w:cs="Times New Roman"/>
          <w:sz w:val="25"/>
          <w:szCs w:val="25"/>
        </w:rPr>
        <w:t xml:space="preserve">BSEA </w:t>
      </w:r>
      <w:r w:rsidR="00DB0FB1">
        <w:rPr>
          <w:rFonts w:ascii="Aptos" w:hAnsi="Aptos" w:cs="Times New Roman"/>
          <w:sz w:val="25"/>
          <w:szCs w:val="25"/>
        </w:rPr>
        <w:t xml:space="preserve">also </w:t>
      </w:r>
      <w:r w:rsidR="006A3A70">
        <w:rPr>
          <w:rFonts w:ascii="Aptos" w:hAnsi="Aptos" w:cs="Times New Roman"/>
          <w:sz w:val="25"/>
          <w:szCs w:val="25"/>
        </w:rPr>
        <w:t xml:space="preserve">lacks </w:t>
      </w:r>
      <w:r>
        <w:rPr>
          <w:rFonts w:ascii="Aptos" w:hAnsi="Aptos" w:cs="Times New Roman"/>
          <w:sz w:val="25"/>
          <w:szCs w:val="25"/>
        </w:rPr>
        <w:t>authority to order</w:t>
      </w:r>
      <w:r w:rsidR="00AD6E2F">
        <w:rPr>
          <w:rFonts w:ascii="Aptos" w:hAnsi="Aptos" w:cs="Times New Roman"/>
          <w:sz w:val="25"/>
          <w:szCs w:val="25"/>
        </w:rPr>
        <w:t xml:space="preserve"> the District </w:t>
      </w:r>
      <w:r>
        <w:rPr>
          <w:rFonts w:ascii="Aptos" w:hAnsi="Aptos" w:cs="Times New Roman"/>
          <w:sz w:val="25"/>
          <w:szCs w:val="25"/>
        </w:rPr>
        <w:t xml:space="preserve">to revise its policies or </w:t>
      </w:r>
      <w:r w:rsidR="00284C78">
        <w:rPr>
          <w:rFonts w:ascii="Aptos" w:hAnsi="Aptos" w:cs="Times New Roman"/>
          <w:sz w:val="25"/>
          <w:szCs w:val="25"/>
        </w:rPr>
        <w:t>practices,</w:t>
      </w:r>
      <w:r w:rsidR="00C61CC4">
        <w:rPr>
          <w:rFonts w:ascii="Aptos" w:hAnsi="Aptos" w:cs="Times New Roman"/>
          <w:sz w:val="25"/>
          <w:szCs w:val="25"/>
        </w:rPr>
        <w:t xml:space="preserve"> and</w:t>
      </w:r>
      <w:r>
        <w:rPr>
          <w:rFonts w:ascii="Aptos" w:hAnsi="Aptos" w:cs="Times New Roman"/>
          <w:sz w:val="25"/>
          <w:szCs w:val="25"/>
        </w:rPr>
        <w:t xml:space="preserve"> </w:t>
      </w:r>
      <w:r w:rsidR="00B64B40">
        <w:rPr>
          <w:rFonts w:ascii="Aptos" w:hAnsi="Aptos" w:cs="Times New Roman"/>
          <w:sz w:val="25"/>
          <w:szCs w:val="25"/>
        </w:rPr>
        <w:t xml:space="preserve">the </w:t>
      </w:r>
      <w:r w:rsidR="00B64B40">
        <w:rPr>
          <w:rFonts w:ascii="Aptos" w:hAnsi="Aptos" w:cs="Times New Roman"/>
          <w:i/>
          <w:iCs/>
          <w:sz w:val="25"/>
          <w:szCs w:val="25"/>
        </w:rPr>
        <w:t xml:space="preserve">Hearing Request’s </w:t>
      </w:r>
      <w:r w:rsidR="00B64B40">
        <w:rPr>
          <w:rFonts w:ascii="Aptos" w:hAnsi="Aptos" w:cs="Times New Roman"/>
          <w:sz w:val="25"/>
          <w:szCs w:val="25"/>
        </w:rPr>
        <w:t xml:space="preserve">requested relief is </w:t>
      </w:r>
      <w:r>
        <w:rPr>
          <w:rFonts w:ascii="Aptos" w:hAnsi="Aptos" w:cs="Times New Roman"/>
          <w:sz w:val="25"/>
          <w:szCs w:val="25"/>
        </w:rPr>
        <w:t xml:space="preserve">not for Student, directly, but rather </w:t>
      </w:r>
      <w:r w:rsidR="00B64B40">
        <w:rPr>
          <w:rFonts w:ascii="Aptos" w:hAnsi="Aptos" w:cs="Times New Roman"/>
          <w:sz w:val="25"/>
          <w:szCs w:val="25"/>
        </w:rPr>
        <w:t>improperly seek</w:t>
      </w:r>
      <w:r w:rsidR="004544F1">
        <w:rPr>
          <w:rFonts w:ascii="Aptos" w:hAnsi="Aptos" w:cs="Times New Roman"/>
          <w:sz w:val="25"/>
          <w:szCs w:val="25"/>
        </w:rPr>
        <w:t>s</w:t>
      </w:r>
      <w:r w:rsidR="00B64B40">
        <w:rPr>
          <w:rFonts w:ascii="Aptos" w:hAnsi="Aptos" w:cs="Times New Roman"/>
          <w:sz w:val="25"/>
          <w:szCs w:val="25"/>
        </w:rPr>
        <w:t xml:space="preserve"> </w:t>
      </w:r>
      <w:r>
        <w:rPr>
          <w:rFonts w:ascii="Aptos" w:hAnsi="Aptos" w:cs="Times New Roman"/>
          <w:sz w:val="25"/>
          <w:szCs w:val="25"/>
        </w:rPr>
        <w:t xml:space="preserve">findings and orders directing the District to make prospective </w:t>
      </w:r>
      <w:r w:rsidR="004544F1">
        <w:rPr>
          <w:rFonts w:ascii="Aptos" w:hAnsi="Aptos" w:cs="Times New Roman"/>
          <w:sz w:val="25"/>
          <w:szCs w:val="25"/>
        </w:rPr>
        <w:t xml:space="preserve">operational </w:t>
      </w:r>
      <w:r>
        <w:rPr>
          <w:rFonts w:ascii="Aptos" w:hAnsi="Aptos" w:cs="Times New Roman"/>
          <w:sz w:val="25"/>
          <w:szCs w:val="25"/>
        </w:rPr>
        <w:t>changes</w:t>
      </w:r>
      <w:r w:rsidR="00C61CC4">
        <w:rPr>
          <w:rFonts w:ascii="Aptos" w:hAnsi="Aptos" w:cs="Times New Roman"/>
          <w:sz w:val="25"/>
          <w:szCs w:val="25"/>
        </w:rPr>
        <w:t xml:space="preserve">.  </w:t>
      </w:r>
      <w:r w:rsidR="00F11988">
        <w:rPr>
          <w:rFonts w:ascii="Aptos" w:hAnsi="Aptos" w:cs="Times New Roman"/>
          <w:sz w:val="25"/>
          <w:szCs w:val="25"/>
        </w:rPr>
        <w:t xml:space="preserve">Dismissal is </w:t>
      </w:r>
      <w:r w:rsidR="00DB0FB1">
        <w:rPr>
          <w:rFonts w:ascii="Aptos" w:hAnsi="Aptos" w:cs="Times New Roman"/>
          <w:sz w:val="25"/>
          <w:szCs w:val="25"/>
        </w:rPr>
        <w:t>further</w:t>
      </w:r>
      <w:r w:rsidR="00F11988">
        <w:rPr>
          <w:rFonts w:ascii="Aptos" w:hAnsi="Aptos" w:cs="Times New Roman"/>
          <w:sz w:val="25"/>
          <w:szCs w:val="25"/>
        </w:rPr>
        <w:t xml:space="preserve"> warranted as all claims and allegations in the </w:t>
      </w:r>
      <w:r w:rsidR="00C61CC4">
        <w:rPr>
          <w:rFonts w:ascii="Aptos" w:hAnsi="Aptos" w:cs="Times New Roman"/>
          <w:i/>
          <w:iCs/>
          <w:sz w:val="25"/>
          <w:szCs w:val="25"/>
        </w:rPr>
        <w:t xml:space="preserve">Hearing Request </w:t>
      </w:r>
      <w:r w:rsidR="00F11988">
        <w:rPr>
          <w:rFonts w:ascii="Aptos" w:hAnsi="Aptos" w:cs="Times New Roman"/>
          <w:sz w:val="25"/>
          <w:szCs w:val="25"/>
        </w:rPr>
        <w:t xml:space="preserve">fall </w:t>
      </w:r>
      <w:r w:rsidR="00C61CC4">
        <w:rPr>
          <w:rFonts w:ascii="Aptos" w:hAnsi="Aptos" w:cs="Times New Roman"/>
          <w:sz w:val="25"/>
          <w:szCs w:val="25"/>
        </w:rPr>
        <w:t>outside the IDEA’s two-year statute of limitations and none of the exceptions to this statute of limitations appl</w:t>
      </w:r>
      <w:r w:rsidR="004544F1">
        <w:rPr>
          <w:rFonts w:ascii="Aptos" w:hAnsi="Aptos" w:cs="Times New Roman"/>
          <w:sz w:val="25"/>
          <w:szCs w:val="25"/>
        </w:rPr>
        <w:t>ies</w:t>
      </w:r>
      <w:r w:rsidR="0006003E">
        <w:rPr>
          <w:rFonts w:ascii="Aptos" w:hAnsi="Aptos" w:cs="Times New Roman"/>
          <w:sz w:val="25"/>
          <w:szCs w:val="25"/>
        </w:rPr>
        <w:t xml:space="preserve">, despite </w:t>
      </w:r>
      <w:r w:rsidR="0006003E">
        <w:rPr>
          <w:rFonts w:ascii="Aptos" w:hAnsi="Aptos" w:cs="Times New Roman"/>
          <w:sz w:val="25"/>
          <w:szCs w:val="25"/>
        </w:rPr>
        <w:lastRenderedPageBreak/>
        <w:t>Parents’ contentions</w:t>
      </w:r>
      <w:r w:rsidR="00C61CC4">
        <w:rPr>
          <w:rFonts w:ascii="Aptos" w:hAnsi="Aptos" w:cs="Times New Roman"/>
          <w:sz w:val="25"/>
          <w:szCs w:val="25"/>
        </w:rPr>
        <w:t>.  Specifically, Parents</w:t>
      </w:r>
      <w:r w:rsidR="00A65224">
        <w:rPr>
          <w:rFonts w:ascii="Aptos" w:hAnsi="Aptos" w:cs="Times New Roman"/>
          <w:sz w:val="25"/>
          <w:szCs w:val="25"/>
        </w:rPr>
        <w:t>’</w:t>
      </w:r>
      <w:r w:rsidR="00C61CC4">
        <w:rPr>
          <w:rFonts w:ascii="Aptos" w:hAnsi="Aptos" w:cs="Times New Roman"/>
          <w:sz w:val="25"/>
          <w:szCs w:val="25"/>
        </w:rPr>
        <w:t xml:space="preserve"> claim that they did not “discover” Student did not require special education services until his graduation is undermined by Parents</w:t>
      </w:r>
      <w:r w:rsidR="00F9763E">
        <w:rPr>
          <w:rFonts w:ascii="Aptos" w:hAnsi="Aptos" w:cs="Times New Roman"/>
          <w:sz w:val="25"/>
          <w:szCs w:val="25"/>
        </w:rPr>
        <w:t>’</w:t>
      </w:r>
      <w:r w:rsidR="00C61CC4">
        <w:rPr>
          <w:rFonts w:ascii="Aptos" w:hAnsi="Aptos" w:cs="Times New Roman"/>
          <w:sz w:val="25"/>
          <w:szCs w:val="25"/>
        </w:rPr>
        <w:t xml:space="preserve"> acknowledgement that they “withdrew [Student] from his IEP” in March 2023.  </w:t>
      </w:r>
    </w:p>
    <w:p w14:paraId="13CC2EA3" w14:textId="77777777" w:rsidR="00C61CC4" w:rsidRDefault="00C61CC4" w:rsidP="00CC0C40">
      <w:pPr>
        <w:rPr>
          <w:rFonts w:ascii="Aptos" w:hAnsi="Aptos" w:cs="Times New Roman"/>
          <w:sz w:val="25"/>
          <w:szCs w:val="25"/>
        </w:rPr>
      </w:pPr>
    </w:p>
    <w:p w14:paraId="160331F7" w14:textId="12C52C2B" w:rsidR="00C61CC4" w:rsidRDefault="00C61CC4" w:rsidP="00CC0C40">
      <w:pPr>
        <w:rPr>
          <w:rFonts w:ascii="Aptos" w:hAnsi="Aptos" w:cs="Times New Roman"/>
          <w:sz w:val="25"/>
          <w:szCs w:val="25"/>
        </w:rPr>
      </w:pPr>
      <w:r>
        <w:rPr>
          <w:rFonts w:ascii="Aptos" w:hAnsi="Aptos" w:cs="Times New Roman"/>
          <w:sz w:val="25"/>
          <w:szCs w:val="25"/>
        </w:rPr>
        <w:t xml:space="preserve">On September 8, 2025, Parents filed </w:t>
      </w:r>
      <w:r w:rsidR="00FF1071">
        <w:rPr>
          <w:rFonts w:ascii="Aptos" w:hAnsi="Aptos" w:cs="Times New Roman"/>
          <w:sz w:val="25"/>
          <w:szCs w:val="25"/>
        </w:rPr>
        <w:t>an</w:t>
      </w:r>
      <w:r>
        <w:rPr>
          <w:rFonts w:ascii="Aptos" w:hAnsi="Aptos" w:cs="Times New Roman"/>
          <w:sz w:val="25"/>
          <w:szCs w:val="25"/>
        </w:rPr>
        <w:t xml:space="preserve"> </w:t>
      </w:r>
      <w:r>
        <w:rPr>
          <w:rFonts w:ascii="Aptos" w:hAnsi="Aptos" w:cs="Times New Roman"/>
          <w:i/>
          <w:iCs/>
          <w:sz w:val="25"/>
          <w:szCs w:val="25"/>
        </w:rPr>
        <w:t>Opposition</w:t>
      </w:r>
      <w:r>
        <w:rPr>
          <w:rFonts w:ascii="Aptos" w:hAnsi="Aptos" w:cs="Times New Roman"/>
          <w:sz w:val="25"/>
          <w:szCs w:val="25"/>
        </w:rPr>
        <w:t xml:space="preserve"> </w:t>
      </w:r>
      <w:r w:rsidR="00DB0FB1">
        <w:rPr>
          <w:rFonts w:ascii="Aptos" w:hAnsi="Aptos" w:cs="Times New Roman"/>
          <w:sz w:val="25"/>
          <w:szCs w:val="25"/>
        </w:rPr>
        <w:t>claiming</w:t>
      </w:r>
      <w:r w:rsidR="00FF1071">
        <w:rPr>
          <w:rFonts w:ascii="Aptos" w:hAnsi="Aptos" w:cs="Times New Roman"/>
          <w:sz w:val="25"/>
          <w:szCs w:val="25"/>
        </w:rPr>
        <w:t xml:space="preserve"> </w:t>
      </w:r>
      <w:r>
        <w:rPr>
          <w:rFonts w:ascii="Aptos" w:hAnsi="Aptos" w:cs="Times New Roman"/>
          <w:sz w:val="25"/>
          <w:szCs w:val="25"/>
        </w:rPr>
        <w:t xml:space="preserve">they are </w:t>
      </w:r>
      <w:r w:rsidR="00DB0FB1">
        <w:rPr>
          <w:rFonts w:ascii="Aptos" w:hAnsi="Aptos" w:cs="Times New Roman"/>
          <w:sz w:val="25"/>
          <w:szCs w:val="25"/>
        </w:rPr>
        <w:t xml:space="preserve">in fact </w:t>
      </w:r>
      <w:r>
        <w:rPr>
          <w:rFonts w:ascii="Aptos" w:hAnsi="Aptos" w:cs="Times New Roman"/>
          <w:sz w:val="25"/>
          <w:szCs w:val="25"/>
        </w:rPr>
        <w:t xml:space="preserve">seeking “student-specific relief” </w:t>
      </w:r>
      <w:r w:rsidR="00DB0FB1">
        <w:rPr>
          <w:rFonts w:ascii="Aptos" w:hAnsi="Aptos" w:cs="Times New Roman"/>
          <w:sz w:val="25"/>
          <w:szCs w:val="25"/>
        </w:rPr>
        <w:t>consisting</w:t>
      </w:r>
      <w:r w:rsidR="00FF1071">
        <w:rPr>
          <w:rFonts w:ascii="Aptos" w:hAnsi="Aptos" w:cs="Times New Roman"/>
          <w:sz w:val="25"/>
          <w:szCs w:val="25"/>
        </w:rPr>
        <w:t xml:space="preserve"> of</w:t>
      </w:r>
      <w:r>
        <w:rPr>
          <w:rFonts w:ascii="Aptos" w:hAnsi="Aptos" w:cs="Times New Roman"/>
          <w:sz w:val="25"/>
          <w:szCs w:val="25"/>
        </w:rPr>
        <w:t xml:space="preserve"> “correction and annotation of </w:t>
      </w:r>
      <w:r w:rsidR="00A33131">
        <w:rPr>
          <w:rFonts w:ascii="Aptos" w:hAnsi="Aptos" w:cs="Times New Roman"/>
          <w:sz w:val="25"/>
          <w:szCs w:val="25"/>
        </w:rPr>
        <w:t xml:space="preserve">[Student’s] </w:t>
      </w:r>
      <w:r>
        <w:rPr>
          <w:rFonts w:ascii="Aptos" w:hAnsi="Aptos" w:cs="Times New Roman"/>
          <w:sz w:val="25"/>
          <w:szCs w:val="25"/>
        </w:rPr>
        <w:t xml:space="preserve">educational records to remove inaccurate disability classifications, misplacements, and unjustified outplacement decisions”.  </w:t>
      </w:r>
      <w:r w:rsidR="00A33131">
        <w:rPr>
          <w:rFonts w:ascii="Aptos" w:hAnsi="Aptos" w:cs="Times New Roman"/>
          <w:sz w:val="25"/>
          <w:szCs w:val="25"/>
        </w:rPr>
        <w:t xml:space="preserve">Parents claim </w:t>
      </w:r>
      <w:r>
        <w:rPr>
          <w:rFonts w:ascii="Aptos" w:hAnsi="Aptos" w:cs="Times New Roman"/>
          <w:sz w:val="25"/>
          <w:szCs w:val="25"/>
        </w:rPr>
        <w:t xml:space="preserve">20 USC §1415 and 34 CFR §300.507 </w:t>
      </w:r>
      <w:r w:rsidR="009B75CB">
        <w:rPr>
          <w:rFonts w:ascii="Aptos" w:hAnsi="Aptos" w:cs="Times New Roman"/>
          <w:sz w:val="25"/>
          <w:szCs w:val="25"/>
        </w:rPr>
        <w:t xml:space="preserve">grant </w:t>
      </w:r>
      <w:r>
        <w:rPr>
          <w:rFonts w:ascii="Aptos" w:hAnsi="Aptos" w:cs="Times New Roman"/>
          <w:sz w:val="25"/>
          <w:szCs w:val="25"/>
        </w:rPr>
        <w:t xml:space="preserve">the BSEA jurisdiction to address disputes relating to the “identification evaluation and educational records of a child with a disability” and “record correction is an established remedy within the BSEA’s scope”.  </w:t>
      </w:r>
      <w:r w:rsidR="00BB3323">
        <w:rPr>
          <w:rFonts w:ascii="Aptos" w:hAnsi="Aptos" w:cs="Times New Roman"/>
          <w:sz w:val="25"/>
          <w:szCs w:val="25"/>
        </w:rPr>
        <w:t xml:space="preserve">Regardless of Student having graduated, </w:t>
      </w:r>
      <w:r w:rsidR="00F945F1">
        <w:rPr>
          <w:rFonts w:ascii="Aptos" w:hAnsi="Aptos" w:cs="Times New Roman"/>
          <w:sz w:val="25"/>
          <w:szCs w:val="25"/>
        </w:rPr>
        <w:t xml:space="preserve">the </w:t>
      </w:r>
      <w:r>
        <w:rPr>
          <w:rFonts w:ascii="Aptos" w:hAnsi="Aptos" w:cs="Times New Roman"/>
          <w:sz w:val="25"/>
          <w:szCs w:val="25"/>
        </w:rPr>
        <w:t>BSEA</w:t>
      </w:r>
      <w:r w:rsidR="00F945F1">
        <w:rPr>
          <w:rFonts w:ascii="Aptos" w:hAnsi="Aptos" w:cs="Times New Roman"/>
          <w:sz w:val="25"/>
          <w:szCs w:val="25"/>
        </w:rPr>
        <w:t xml:space="preserve"> continues to have</w:t>
      </w:r>
      <w:r>
        <w:rPr>
          <w:rFonts w:ascii="Aptos" w:hAnsi="Aptos" w:cs="Times New Roman"/>
          <w:sz w:val="25"/>
          <w:szCs w:val="25"/>
        </w:rPr>
        <w:t xml:space="preserve"> jurisdiction over Student’s educational records, </w:t>
      </w:r>
      <w:r w:rsidR="00F945F1">
        <w:rPr>
          <w:rFonts w:ascii="Aptos" w:hAnsi="Aptos" w:cs="Times New Roman"/>
          <w:sz w:val="25"/>
          <w:szCs w:val="25"/>
        </w:rPr>
        <w:t>under both the IDEA and 603 CMR 23.00</w:t>
      </w:r>
      <w:r w:rsidR="000A4E0A">
        <w:rPr>
          <w:rFonts w:ascii="Aptos" w:hAnsi="Aptos" w:cs="Times New Roman"/>
          <w:sz w:val="25"/>
          <w:szCs w:val="25"/>
        </w:rPr>
        <w:t xml:space="preserve"> (</w:t>
      </w:r>
      <w:r w:rsidR="00F945F1">
        <w:rPr>
          <w:rFonts w:ascii="Aptos" w:hAnsi="Aptos" w:cs="Times New Roman"/>
          <w:sz w:val="25"/>
          <w:szCs w:val="25"/>
        </w:rPr>
        <w:t xml:space="preserve">the Massachusetts Student Records </w:t>
      </w:r>
      <w:r w:rsidR="004544F1">
        <w:rPr>
          <w:rFonts w:ascii="Aptos" w:hAnsi="Aptos" w:cs="Times New Roman"/>
          <w:sz w:val="25"/>
          <w:szCs w:val="25"/>
        </w:rPr>
        <w:t>R</w:t>
      </w:r>
      <w:r w:rsidR="00F945F1">
        <w:rPr>
          <w:rFonts w:ascii="Aptos" w:hAnsi="Aptos" w:cs="Times New Roman"/>
          <w:sz w:val="25"/>
          <w:szCs w:val="25"/>
        </w:rPr>
        <w:t>egulations</w:t>
      </w:r>
      <w:r w:rsidR="000A4E0A">
        <w:rPr>
          <w:rFonts w:ascii="Aptos" w:hAnsi="Aptos" w:cs="Times New Roman"/>
          <w:sz w:val="25"/>
          <w:szCs w:val="25"/>
        </w:rPr>
        <w:t>)</w:t>
      </w:r>
      <w:r w:rsidR="00F945F1">
        <w:rPr>
          <w:rFonts w:ascii="Aptos" w:hAnsi="Aptos" w:cs="Times New Roman"/>
          <w:sz w:val="25"/>
          <w:szCs w:val="25"/>
        </w:rPr>
        <w:t xml:space="preserve">.  </w:t>
      </w:r>
      <w:r w:rsidR="000A4E0A">
        <w:rPr>
          <w:rFonts w:ascii="Aptos" w:hAnsi="Aptos" w:cs="Times New Roman"/>
          <w:sz w:val="25"/>
          <w:szCs w:val="25"/>
        </w:rPr>
        <w:t xml:space="preserve">Parents also argue that </w:t>
      </w:r>
      <w:r w:rsidR="00C81CEA">
        <w:rPr>
          <w:rFonts w:ascii="Aptos" w:hAnsi="Aptos" w:cs="Times New Roman"/>
          <w:sz w:val="25"/>
          <w:szCs w:val="25"/>
        </w:rPr>
        <w:t xml:space="preserve">their claims fall within one of the </w:t>
      </w:r>
      <w:r w:rsidR="00C071D9">
        <w:rPr>
          <w:rFonts w:ascii="Aptos" w:hAnsi="Aptos" w:cs="Times New Roman"/>
          <w:sz w:val="25"/>
          <w:szCs w:val="25"/>
        </w:rPr>
        <w:t>exception</w:t>
      </w:r>
      <w:r w:rsidR="00C81CEA">
        <w:rPr>
          <w:rFonts w:ascii="Aptos" w:hAnsi="Aptos" w:cs="Times New Roman"/>
          <w:sz w:val="25"/>
          <w:szCs w:val="25"/>
        </w:rPr>
        <w:t>s</w:t>
      </w:r>
      <w:r w:rsidR="00C071D9">
        <w:rPr>
          <w:rFonts w:ascii="Aptos" w:hAnsi="Aptos" w:cs="Times New Roman"/>
          <w:sz w:val="25"/>
          <w:szCs w:val="25"/>
        </w:rPr>
        <w:t xml:space="preserve"> to the statute of limitations </w:t>
      </w:r>
      <w:r w:rsidR="00C81CEA">
        <w:rPr>
          <w:rFonts w:ascii="Aptos" w:hAnsi="Aptos" w:cs="Times New Roman"/>
          <w:sz w:val="25"/>
          <w:szCs w:val="25"/>
        </w:rPr>
        <w:t xml:space="preserve">based on the District having </w:t>
      </w:r>
      <w:r w:rsidR="00C071D9">
        <w:rPr>
          <w:rFonts w:ascii="Aptos" w:hAnsi="Aptos" w:cs="Times New Roman"/>
          <w:sz w:val="25"/>
          <w:szCs w:val="25"/>
        </w:rPr>
        <w:t>allegedly withh</w:t>
      </w:r>
      <w:r w:rsidR="00C81CEA">
        <w:rPr>
          <w:rFonts w:ascii="Aptos" w:hAnsi="Aptos" w:cs="Times New Roman"/>
          <w:sz w:val="25"/>
          <w:szCs w:val="25"/>
        </w:rPr>
        <w:t>eld</w:t>
      </w:r>
      <w:r w:rsidR="00C071D9">
        <w:rPr>
          <w:rFonts w:ascii="Aptos" w:hAnsi="Aptos" w:cs="Times New Roman"/>
          <w:sz w:val="25"/>
          <w:szCs w:val="25"/>
        </w:rPr>
        <w:t xml:space="preserve"> “critical information, including emails, evaluations and the internal investigation report</w:t>
      </w:r>
      <w:r w:rsidR="00C071D9">
        <w:rPr>
          <w:rStyle w:val="FootnoteReference"/>
          <w:rFonts w:ascii="Aptos" w:hAnsi="Aptos" w:cs="Times New Roman"/>
          <w:sz w:val="25"/>
          <w:szCs w:val="25"/>
        </w:rPr>
        <w:footnoteReference w:id="4"/>
      </w:r>
      <w:r w:rsidR="00C071D9">
        <w:rPr>
          <w:rFonts w:ascii="Aptos" w:hAnsi="Aptos" w:cs="Times New Roman"/>
          <w:sz w:val="25"/>
          <w:szCs w:val="25"/>
        </w:rPr>
        <w:t>”</w:t>
      </w:r>
      <w:r w:rsidR="00974526">
        <w:rPr>
          <w:rFonts w:ascii="Aptos" w:hAnsi="Aptos" w:cs="Times New Roman"/>
          <w:sz w:val="25"/>
          <w:szCs w:val="25"/>
        </w:rPr>
        <w:t>.</w:t>
      </w:r>
      <w:r w:rsidR="0066650B">
        <w:rPr>
          <w:rFonts w:ascii="Aptos" w:hAnsi="Aptos" w:cs="Times New Roman"/>
          <w:sz w:val="25"/>
          <w:szCs w:val="25"/>
        </w:rPr>
        <w:t xml:space="preserve">  </w:t>
      </w:r>
      <w:r w:rsidR="006722AD">
        <w:rPr>
          <w:rFonts w:ascii="Aptos" w:hAnsi="Aptos" w:cs="Times New Roman"/>
          <w:sz w:val="25"/>
          <w:szCs w:val="25"/>
        </w:rPr>
        <w:t xml:space="preserve">Further, Parents request that the District’s strategy, evidenced by the </w:t>
      </w:r>
      <w:r w:rsidR="0066650B">
        <w:rPr>
          <w:rFonts w:ascii="Aptos" w:hAnsi="Aptos" w:cs="Times New Roman"/>
          <w:i/>
          <w:iCs/>
          <w:sz w:val="25"/>
          <w:szCs w:val="25"/>
        </w:rPr>
        <w:t>Motion</w:t>
      </w:r>
      <w:r w:rsidR="003C6B6F">
        <w:rPr>
          <w:rFonts w:ascii="Aptos" w:hAnsi="Aptos" w:cs="Times New Roman"/>
          <w:sz w:val="25"/>
          <w:szCs w:val="25"/>
        </w:rPr>
        <w:t>,</w:t>
      </w:r>
      <w:r w:rsidR="0066650B">
        <w:rPr>
          <w:rFonts w:ascii="Aptos" w:hAnsi="Aptos" w:cs="Times New Roman"/>
          <w:i/>
          <w:iCs/>
          <w:sz w:val="25"/>
          <w:szCs w:val="25"/>
        </w:rPr>
        <w:t xml:space="preserve"> </w:t>
      </w:r>
      <w:r w:rsidR="0066650B">
        <w:rPr>
          <w:rFonts w:ascii="Aptos" w:hAnsi="Aptos" w:cs="Times New Roman"/>
          <w:sz w:val="25"/>
          <w:szCs w:val="25"/>
        </w:rPr>
        <w:t>of avoiding addressing the merits of issues and seeking dismissal on technicalities</w:t>
      </w:r>
      <w:r w:rsidR="00023E18">
        <w:rPr>
          <w:rFonts w:ascii="Aptos" w:hAnsi="Aptos" w:cs="Times New Roman"/>
          <w:sz w:val="25"/>
          <w:szCs w:val="25"/>
        </w:rPr>
        <w:t xml:space="preserve"> </w:t>
      </w:r>
      <w:r w:rsidR="0066650B">
        <w:rPr>
          <w:rFonts w:ascii="Aptos" w:hAnsi="Aptos" w:cs="Times New Roman"/>
          <w:sz w:val="25"/>
          <w:szCs w:val="25"/>
        </w:rPr>
        <w:t xml:space="preserve">should not be “rewarded”. </w:t>
      </w:r>
      <w:r w:rsidR="00BA5428">
        <w:rPr>
          <w:rFonts w:ascii="Aptos" w:hAnsi="Aptos" w:cs="Times New Roman"/>
          <w:sz w:val="25"/>
          <w:szCs w:val="25"/>
        </w:rPr>
        <w:t xml:space="preserve"> Parents conclude that </w:t>
      </w:r>
      <w:r w:rsidR="00A20458">
        <w:rPr>
          <w:rFonts w:ascii="Aptos" w:hAnsi="Aptos" w:cs="Times New Roman"/>
          <w:sz w:val="25"/>
          <w:szCs w:val="25"/>
        </w:rPr>
        <w:t>they are “entitled to pursue record correction an</w:t>
      </w:r>
      <w:r w:rsidR="00023E18">
        <w:rPr>
          <w:rFonts w:ascii="Aptos" w:hAnsi="Aptos" w:cs="Times New Roman"/>
          <w:sz w:val="25"/>
          <w:szCs w:val="25"/>
        </w:rPr>
        <w:t>d</w:t>
      </w:r>
      <w:r w:rsidR="00A20458">
        <w:rPr>
          <w:rFonts w:ascii="Aptos" w:hAnsi="Aptos" w:cs="Times New Roman"/>
          <w:sz w:val="25"/>
          <w:szCs w:val="25"/>
        </w:rPr>
        <w:t xml:space="preserve"> related relief to remedy the harm caused by Weston’s misclassification and unjustified outplacement of [Student]”.</w:t>
      </w:r>
    </w:p>
    <w:p w14:paraId="26D14AA3" w14:textId="77777777" w:rsidR="00DE2079" w:rsidRDefault="00DE2079" w:rsidP="00CC0C40">
      <w:pPr>
        <w:rPr>
          <w:rFonts w:ascii="Aptos" w:hAnsi="Aptos" w:cs="Times New Roman"/>
          <w:sz w:val="25"/>
          <w:szCs w:val="25"/>
        </w:rPr>
      </w:pPr>
    </w:p>
    <w:p w14:paraId="30221D69" w14:textId="4C917F17" w:rsidR="00DE2079" w:rsidRDefault="00DE2079" w:rsidP="00CC0C40">
      <w:pPr>
        <w:rPr>
          <w:rFonts w:ascii="Aptos" w:hAnsi="Aptos" w:cs="Times New Roman"/>
          <w:sz w:val="25"/>
          <w:szCs w:val="25"/>
        </w:rPr>
      </w:pPr>
      <w:r>
        <w:rPr>
          <w:rFonts w:ascii="Aptos" w:hAnsi="Aptos" w:cs="Times New Roman"/>
          <w:sz w:val="25"/>
          <w:szCs w:val="25"/>
        </w:rPr>
        <w:t xml:space="preserve">Also on September 8, 2025, Parents filed </w:t>
      </w:r>
      <w:r w:rsidR="009F5E0A">
        <w:rPr>
          <w:rFonts w:ascii="Aptos" w:hAnsi="Aptos" w:cs="Times New Roman"/>
          <w:sz w:val="25"/>
          <w:szCs w:val="25"/>
        </w:rPr>
        <w:t>a</w:t>
      </w:r>
      <w:r>
        <w:rPr>
          <w:rFonts w:ascii="Aptos" w:hAnsi="Aptos" w:cs="Times New Roman"/>
          <w:sz w:val="25"/>
          <w:szCs w:val="25"/>
        </w:rPr>
        <w:t xml:space="preserve"> </w:t>
      </w:r>
      <w:r>
        <w:rPr>
          <w:rFonts w:ascii="Aptos" w:hAnsi="Aptos" w:cs="Times New Roman"/>
          <w:i/>
          <w:iCs/>
          <w:sz w:val="25"/>
          <w:szCs w:val="25"/>
        </w:rPr>
        <w:t>Supplemental Opposition</w:t>
      </w:r>
      <w:r>
        <w:rPr>
          <w:rFonts w:ascii="Aptos" w:hAnsi="Aptos" w:cs="Times New Roman"/>
          <w:sz w:val="25"/>
          <w:szCs w:val="25"/>
        </w:rPr>
        <w:t xml:space="preserve"> arguing that their delay in filing the </w:t>
      </w:r>
      <w:r>
        <w:rPr>
          <w:rFonts w:ascii="Aptos" w:hAnsi="Aptos" w:cs="Times New Roman"/>
          <w:i/>
          <w:iCs/>
          <w:sz w:val="25"/>
          <w:szCs w:val="25"/>
        </w:rPr>
        <w:t xml:space="preserve">Hearing Request </w:t>
      </w:r>
      <w:r>
        <w:rPr>
          <w:rFonts w:ascii="Aptos" w:hAnsi="Aptos" w:cs="Times New Roman"/>
          <w:sz w:val="25"/>
          <w:szCs w:val="25"/>
        </w:rPr>
        <w:t>was also due to “</w:t>
      </w:r>
      <w:r w:rsidR="001D6041">
        <w:rPr>
          <w:rFonts w:ascii="Aptos" w:hAnsi="Aptos" w:cs="Times New Roman"/>
          <w:sz w:val="25"/>
          <w:szCs w:val="25"/>
        </w:rPr>
        <w:t>fear[ of] retaliation</w:t>
      </w:r>
      <w:r w:rsidR="008A049A">
        <w:rPr>
          <w:rFonts w:ascii="Aptos" w:hAnsi="Aptos" w:cs="Times New Roman"/>
          <w:sz w:val="25"/>
          <w:szCs w:val="25"/>
        </w:rPr>
        <w:t xml:space="preserve"> by </w:t>
      </w:r>
      <w:r w:rsidR="00FF1071">
        <w:rPr>
          <w:rFonts w:ascii="Aptos" w:hAnsi="Aptos" w:cs="Times New Roman"/>
          <w:sz w:val="25"/>
          <w:szCs w:val="25"/>
        </w:rPr>
        <w:t xml:space="preserve">[the District] </w:t>
      </w:r>
      <w:r w:rsidR="008A049A">
        <w:rPr>
          <w:rFonts w:ascii="Aptos" w:hAnsi="Aptos" w:cs="Times New Roman"/>
          <w:sz w:val="25"/>
          <w:szCs w:val="25"/>
        </w:rPr>
        <w:t>because of the way they treated me [(Mother)</w:t>
      </w:r>
      <w:r w:rsidR="00366222">
        <w:rPr>
          <w:rFonts w:ascii="Aptos" w:hAnsi="Aptos" w:cs="Times New Roman"/>
          <w:sz w:val="25"/>
          <w:szCs w:val="25"/>
        </w:rPr>
        <w:t>] and my son throughout this process”.  Parents claim this fear is “genuine and reasonable given the district’s prior actions”</w:t>
      </w:r>
      <w:r w:rsidR="00B8725A">
        <w:rPr>
          <w:rFonts w:ascii="Aptos" w:hAnsi="Aptos" w:cs="Times New Roman"/>
          <w:sz w:val="25"/>
          <w:szCs w:val="25"/>
        </w:rPr>
        <w:t xml:space="preserve"> and ask that the “statute of limitations should not be applied </w:t>
      </w:r>
      <w:r w:rsidR="00A842C9">
        <w:rPr>
          <w:rFonts w:ascii="Aptos" w:hAnsi="Aptos" w:cs="Times New Roman"/>
          <w:sz w:val="25"/>
          <w:szCs w:val="25"/>
        </w:rPr>
        <w:t>rigidly</w:t>
      </w:r>
      <w:r w:rsidR="00B8725A">
        <w:rPr>
          <w:rFonts w:ascii="Aptos" w:hAnsi="Aptos" w:cs="Times New Roman"/>
          <w:sz w:val="25"/>
          <w:szCs w:val="25"/>
        </w:rPr>
        <w:t xml:space="preserve"> in this case”</w:t>
      </w:r>
      <w:r w:rsidR="00366222">
        <w:rPr>
          <w:rFonts w:ascii="Aptos" w:hAnsi="Aptos" w:cs="Times New Roman"/>
          <w:sz w:val="25"/>
          <w:szCs w:val="25"/>
        </w:rPr>
        <w:t xml:space="preserve">.  </w:t>
      </w:r>
    </w:p>
    <w:p w14:paraId="3E9A48B5" w14:textId="77777777" w:rsidR="00FF1071" w:rsidRPr="00DE2079" w:rsidRDefault="00FF1071" w:rsidP="00CC0C40">
      <w:pPr>
        <w:rPr>
          <w:rFonts w:ascii="Aptos" w:hAnsi="Aptos" w:cs="Times New Roman"/>
          <w:sz w:val="25"/>
          <w:szCs w:val="25"/>
        </w:rPr>
      </w:pPr>
    </w:p>
    <w:p w14:paraId="1D8314E3" w14:textId="77777777" w:rsidR="00CC0C40" w:rsidRPr="000370FF" w:rsidRDefault="00CC0C40" w:rsidP="00CC0C40">
      <w:pPr>
        <w:shd w:val="clear" w:color="auto" w:fill="FFFFFF"/>
        <w:jc w:val="center"/>
        <w:rPr>
          <w:rFonts w:ascii="Aptos" w:eastAsia="Times New Roman" w:hAnsi="Aptos" w:cs="Times New Roman"/>
          <w:sz w:val="25"/>
          <w:szCs w:val="25"/>
        </w:rPr>
      </w:pPr>
      <w:r w:rsidRPr="000370FF">
        <w:rPr>
          <w:rFonts w:ascii="Aptos" w:eastAsia="Times New Roman" w:hAnsi="Aptos" w:cs="Times New Roman"/>
          <w:b/>
          <w:bCs/>
          <w:sz w:val="25"/>
          <w:szCs w:val="25"/>
        </w:rPr>
        <w:t>LEGAL STANDARDS</w:t>
      </w:r>
    </w:p>
    <w:p w14:paraId="48C50827" w14:textId="77777777" w:rsidR="00CC0C40" w:rsidRPr="000370FF" w:rsidRDefault="00CC0C40" w:rsidP="00CC0C40">
      <w:pPr>
        <w:shd w:val="clear" w:color="auto" w:fill="FFFFFF"/>
        <w:rPr>
          <w:rFonts w:ascii="Aptos" w:eastAsia="Times New Roman" w:hAnsi="Aptos" w:cs="Times New Roman"/>
          <w:i/>
          <w:iCs/>
          <w:sz w:val="25"/>
          <w:szCs w:val="25"/>
        </w:rPr>
      </w:pPr>
    </w:p>
    <w:p w14:paraId="49D6A924" w14:textId="77777777" w:rsidR="00CC0C40" w:rsidRPr="000370FF" w:rsidRDefault="00CC0C40" w:rsidP="00CC0C40">
      <w:pPr>
        <w:shd w:val="clear" w:color="auto" w:fill="FFFFFF"/>
        <w:rPr>
          <w:rFonts w:ascii="Aptos" w:eastAsia="Times New Roman" w:hAnsi="Aptos" w:cs="Times New Roman"/>
          <w:sz w:val="25"/>
          <w:szCs w:val="25"/>
        </w:rPr>
      </w:pPr>
      <w:r w:rsidRPr="000370FF">
        <w:rPr>
          <w:rFonts w:ascii="Aptos" w:eastAsia="Times New Roman" w:hAnsi="Aptos" w:cs="Times New Roman"/>
          <w:i/>
          <w:iCs/>
          <w:sz w:val="25"/>
          <w:szCs w:val="25"/>
        </w:rPr>
        <w:t xml:space="preserve">1. </w:t>
      </w:r>
      <w:r w:rsidRPr="000370FF">
        <w:rPr>
          <w:rFonts w:ascii="Aptos" w:eastAsia="Times New Roman" w:hAnsi="Aptos" w:cs="Times New Roman"/>
          <w:i/>
          <w:iCs/>
          <w:sz w:val="25"/>
          <w:szCs w:val="25"/>
        </w:rPr>
        <w:tab/>
        <w:t>Legal Standard for a Motion to Dismiss.</w:t>
      </w:r>
    </w:p>
    <w:p w14:paraId="4B23B646" w14:textId="77777777" w:rsidR="00CC0C40" w:rsidRPr="000370FF" w:rsidRDefault="00CC0C40" w:rsidP="00CC0C40">
      <w:pPr>
        <w:shd w:val="clear" w:color="auto" w:fill="FFFFFF"/>
        <w:rPr>
          <w:rFonts w:ascii="Aptos" w:eastAsia="Times New Roman" w:hAnsi="Aptos" w:cs="Times New Roman"/>
          <w:sz w:val="25"/>
          <w:szCs w:val="25"/>
        </w:rPr>
      </w:pPr>
    </w:p>
    <w:p w14:paraId="533BC69F" w14:textId="77777777" w:rsidR="00DF3A1B" w:rsidRPr="00B91983" w:rsidRDefault="00DF3A1B" w:rsidP="00DF3A1B">
      <w:pPr>
        <w:shd w:val="clear" w:color="auto" w:fill="FFFFFF"/>
        <w:rPr>
          <w:rFonts w:ascii="Aptos" w:eastAsia="Times New Roman" w:hAnsi="Aptos" w:cs="Times New Roman"/>
          <w:sz w:val="25"/>
          <w:szCs w:val="25"/>
        </w:rPr>
      </w:pPr>
      <w:r w:rsidRPr="00A73DC5">
        <w:rPr>
          <w:rFonts w:ascii="Aptos" w:eastAsia="Times New Roman" w:hAnsi="Aptos" w:cs="Times New Roman"/>
          <w:bCs/>
          <w:color w:val="000000"/>
          <w:sz w:val="25"/>
          <w:szCs w:val="25"/>
        </w:rPr>
        <w:t>Rule XVI(B)</w:t>
      </w:r>
      <w:r>
        <w:rPr>
          <w:rFonts w:ascii="Aptos" w:eastAsia="Times New Roman" w:hAnsi="Aptos" w:cs="Times New Roman"/>
          <w:bCs/>
          <w:color w:val="000000"/>
          <w:sz w:val="25"/>
          <w:szCs w:val="25"/>
        </w:rPr>
        <w:t>(1) and (4)</w:t>
      </w:r>
      <w:r w:rsidRPr="00A73DC5">
        <w:rPr>
          <w:rFonts w:ascii="Aptos" w:eastAsia="Times New Roman" w:hAnsi="Aptos" w:cs="Times New Roman"/>
          <w:bCs/>
          <w:color w:val="000000"/>
          <w:sz w:val="25"/>
          <w:szCs w:val="25"/>
        </w:rPr>
        <w:t xml:space="preserve"> of the </w:t>
      </w:r>
      <w:r w:rsidRPr="00A73DC5">
        <w:rPr>
          <w:rFonts w:ascii="Aptos" w:eastAsia="Times New Roman" w:hAnsi="Aptos" w:cs="Times New Roman"/>
          <w:bCs/>
          <w:i/>
          <w:iCs/>
          <w:color w:val="000000"/>
          <w:sz w:val="25"/>
          <w:szCs w:val="25"/>
        </w:rPr>
        <w:t>Hearing Rules for Special Education Appeals </w:t>
      </w:r>
      <w:r w:rsidRPr="00A73DC5">
        <w:rPr>
          <w:rFonts w:ascii="Aptos" w:eastAsia="Times New Roman" w:hAnsi="Aptos" w:cs="Times New Roman"/>
          <w:bCs/>
          <w:color w:val="000000"/>
          <w:sz w:val="25"/>
          <w:szCs w:val="25"/>
        </w:rPr>
        <w:t xml:space="preserve">and 801 CMR 1.01(7)(g)(3), allows </w:t>
      </w:r>
      <w:r>
        <w:rPr>
          <w:rFonts w:ascii="Aptos" w:eastAsia="Times New Roman" w:hAnsi="Aptos" w:cs="Times New Roman"/>
          <w:bCs/>
          <w:color w:val="000000"/>
          <w:sz w:val="25"/>
          <w:szCs w:val="25"/>
        </w:rPr>
        <w:t xml:space="preserve">for dismissal of a hearing request if the BSEA </w:t>
      </w:r>
      <w:r w:rsidRPr="00A73DC5">
        <w:rPr>
          <w:rFonts w:ascii="Aptos" w:eastAsia="Times New Roman" w:hAnsi="Aptos" w:cs="Times New Roman"/>
          <w:bCs/>
          <w:color w:val="000000"/>
          <w:sz w:val="25"/>
          <w:szCs w:val="25"/>
        </w:rPr>
        <w:t xml:space="preserve">lacks jurisdiction over </w:t>
      </w:r>
      <w:r w:rsidRPr="00A73DC5">
        <w:rPr>
          <w:rFonts w:ascii="Aptos" w:eastAsia="Times New Roman" w:hAnsi="Aptos" w:cs="Times New Roman"/>
          <w:bCs/>
          <w:color w:val="000000"/>
          <w:sz w:val="25"/>
          <w:szCs w:val="25"/>
        </w:rPr>
        <w:lastRenderedPageBreak/>
        <w:t xml:space="preserve">a claim or if </w:t>
      </w:r>
      <w:r>
        <w:rPr>
          <w:rFonts w:ascii="Aptos" w:eastAsia="Times New Roman" w:hAnsi="Aptos" w:cs="Times New Roman"/>
          <w:bCs/>
          <w:color w:val="000000"/>
          <w:sz w:val="25"/>
          <w:szCs w:val="25"/>
        </w:rPr>
        <w:t xml:space="preserve">a </w:t>
      </w:r>
      <w:r w:rsidRPr="00A73DC5">
        <w:rPr>
          <w:rFonts w:ascii="Aptos" w:eastAsia="Times New Roman" w:hAnsi="Aptos" w:cs="Times New Roman"/>
          <w:bCs/>
          <w:color w:val="000000"/>
          <w:sz w:val="25"/>
          <w:szCs w:val="25"/>
        </w:rPr>
        <w:t>party requesting the hearing fails to state a claim upon which relief can be granted</w:t>
      </w:r>
      <w:r w:rsidRPr="00A73DC5">
        <w:rPr>
          <w:rFonts w:ascii="Aptos" w:eastAsia="Times New Roman" w:hAnsi="Aptos" w:cs="Times New Roman"/>
          <w:bCs/>
          <w:color w:val="000000"/>
          <w:sz w:val="25"/>
          <w:szCs w:val="25"/>
          <w:vertAlign w:val="superscript"/>
        </w:rPr>
        <w:footnoteReference w:id="5"/>
      </w:r>
      <w:r w:rsidRPr="00A73DC5">
        <w:rPr>
          <w:rFonts w:ascii="Aptos" w:eastAsia="Times New Roman" w:hAnsi="Aptos" w:cs="Times New Roman"/>
          <w:bCs/>
          <w:color w:val="000000"/>
          <w:sz w:val="25"/>
          <w:szCs w:val="25"/>
        </w:rPr>
        <w:t>.  To survive a motion to dismiss, there must exist “factual ‘allegations plausibly suggesting (not merely consistent with)’ an entitlement to relief…”</w:t>
      </w:r>
      <w:r w:rsidRPr="00A73DC5">
        <w:rPr>
          <w:rFonts w:ascii="Aptos" w:eastAsia="Times New Roman" w:hAnsi="Aptos" w:cs="Times New Roman"/>
          <w:bCs/>
          <w:color w:val="000000"/>
          <w:sz w:val="25"/>
          <w:szCs w:val="25"/>
          <w:vertAlign w:val="superscript"/>
        </w:rPr>
        <w:footnoteReference w:id="6"/>
      </w:r>
      <w:r w:rsidRPr="00A73DC5">
        <w:rPr>
          <w:rFonts w:ascii="Aptos" w:eastAsia="Times New Roman" w:hAnsi="Aptos" w:cs="Times New Roman"/>
          <w:bCs/>
          <w:color w:val="000000"/>
          <w:sz w:val="25"/>
          <w:szCs w:val="25"/>
        </w:rPr>
        <w:t>.  The hearing officer must take as true “the allegations of the complaint, as well as such inferences as may be drawn therefrom in the plaintiff’s favor”</w:t>
      </w:r>
      <w:r w:rsidRPr="00A73DC5">
        <w:rPr>
          <w:rFonts w:ascii="Aptos" w:eastAsia="Times New Roman" w:hAnsi="Aptos" w:cs="Times New Roman"/>
          <w:bCs/>
          <w:color w:val="000000"/>
          <w:sz w:val="25"/>
          <w:szCs w:val="25"/>
          <w:vertAlign w:val="superscript"/>
        </w:rPr>
        <w:footnoteReference w:id="7"/>
      </w:r>
      <w:r w:rsidRPr="00A73DC5">
        <w:rPr>
          <w:rFonts w:ascii="Aptos" w:eastAsia="Times New Roman" w:hAnsi="Aptos" w:cs="Times New Roman"/>
          <w:bCs/>
          <w:color w:val="000000"/>
          <w:sz w:val="25"/>
          <w:szCs w:val="25"/>
        </w:rPr>
        <w:t>.  “Factual allegations must be enough to raise a right to relief above the speculative level... [based] on the assumption that all the allegations in the [hearing request] (even if doubtful in fact)”</w:t>
      </w:r>
      <w:r>
        <w:rPr>
          <w:rStyle w:val="FootnoteReference"/>
          <w:rFonts w:ascii="Aptos" w:eastAsia="Times New Roman" w:hAnsi="Aptos" w:cs="Times New Roman"/>
          <w:bCs/>
          <w:color w:val="000000"/>
          <w:sz w:val="25"/>
          <w:szCs w:val="25"/>
        </w:rPr>
        <w:footnoteReference w:id="8"/>
      </w:r>
      <w:r>
        <w:rPr>
          <w:rFonts w:ascii="Aptos" w:eastAsia="Times New Roman" w:hAnsi="Aptos" w:cs="Times New Roman"/>
          <w:bCs/>
          <w:color w:val="000000"/>
          <w:sz w:val="25"/>
          <w:szCs w:val="25"/>
        </w:rPr>
        <w:t>.</w:t>
      </w:r>
      <w:r w:rsidRPr="00A73DC5">
        <w:rPr>
          <w:rFonts w:ascii="Aptos" w:eastAsia="Times New Roman" w:hAnsi="Aptos" w:cs="Times New Roman"/>
          <w:bCs/>
          <w:color w:val="000000"/>
          <w:sz w:val="25"/>
          <w:szCs w:val="25"/>
        </w:rPr>
        <w:t xml:space="preserve">  </w:t>
      </w:r>
    </w:p>
    <w:p w14:paraId="373FA98A" w14:textId="77777777" w:rsidR="00DF3A1B" w:rsidRPr="004F6F05" w:rsidRDefault="00DF3A1B" w:rsidP="00DF3A1B">
      <w:pPr>
        <w:shd w:val="clear" w:color="auto" w:fill="FFFFFF"/>
        <w:rPr>
          <w:rFonts w:ascii="Aptos" w:eastAsia="Times New Roman" w:hAnsi="Aptos" w:cs="Times New Roman"/>
          <w:sz w:val="25"/>
          <w:szCs w:val="25"/>
        </w:rPr>
      </w:pPr>
    </w:p>
    <w:p w14:paraId="2057DC91" w14:textId="77777777" w:rsidR="00DF3A1B" w:rsidRPr="00D563EF" w:rsidRDefault="00DF3A1B" w:rsidP="00DF3A1B">
      <w:pPr>
        <w:shd w:val="clear" w:color="auto" w:fill="FFFFFF"/>
        <w:rPr>
          <w:rFonts w:ascii="Aptos" w:eastAsia="Times New Roman" w:hAnsi="Aptos" w:cs="Times New Roman"/>
          <w:sz w:val="25"/>
          <w:szCs w:val="25"/>
        </w:rPr>
      </w:pPr>
      <w:r w:rsidRPr="000B6B25">
        <w:rPr>
          <w:rFonts w:ascii="Aptos" w:eastAsia="Times New Roman" w:hAnsi="Aptos" w:cs="Times New Roman"/>
          <w:sz w:val="25"/>
          <w:szCs w:val="25"/>
        </w:rPr>
        <w:t xml:space="preserve">Motions to </w:t>
      </w:r>
      <w:r>
        <w:rPr>
          <w:rFonts w:ascii="Aptos" w:eastAsia="Times New Roman" w:hAnsi="Aptos" w:cs="Times New Roman"/>
          <w:sz w:val="25"/>
          <w:szCs w:val="25"/>
        </w:rPr>
        <w:t>d</w:t>
      </w:r>
      <w:r w:rsidRPr="000B6B25">
        <w:rPr>
          <w:rFonts w:ascii="Aptos" w:eastAsia="Times New Roman" w:hAnsi="Aptos" w:cs="Times New Roman"/>
          <w:sz w:val="25"/>
          <w:szCs w:val="25"/>
        </w:rPr>
        <w:t>ismiss should be approached with caution, particularly when</w:t>
      </w:r>
      <w:r>
        <w:rPr>
          <w:rFonts w:ascii="Aptos" w:eastAsia="Times New Roman" w:hAnsi="Aptos" w:cs="Times New Roman"/>
          <w:sz w:val="25"/>
          <w:szCs w:val="25"/>
        </w:rPr>
        <w:t>, as in the instant matter,</w:t>
      </w:r>
      <w:r w:rsidRPr="000B6B25">
        <w:rPr>
          <w:rFonts w:ascii="Aptos" w:eastAsia="Times New Roman" w:hAnsi="Aptos" w:cs="Times New Roman"/>
          <w:sz w:val="25"/>
          <w:szCs w:val="25"/>
        </w:rPr>
        <w:t xml:space="preserve"> the party filing the matter is </w:t>
      </w:r>
      <w:r w:rsidRPr="000B6B25">
        <w:rPr>
          <w:rFonts w:ascii="Aptos" w:eastAsia="Times New Roman" w:hAnsi="Aptos" w:cs="Times New Roman"/>
          <w:i/>
          <w:iCs/>
          <w:sz w:val="25"/>
          <w:szCs w:val="25"/>
        </w:rPr>
        <w:t>pro se</w:t>
      </w:r>
      <w:r w:rsidRPr="000B6B25">
        <w:rPr>
          <w:rStyle w:val="FootnoteReference"/>
          <w:rFonts w:ascii="Aptos" w:eastAsia="Times New Roman" w:hAnsi="Aptos" w:cs="Times New Roman"/>
          <w:i/>
          <w:iCs/>
          <w:sz w:val="25"/>
          <w:szCs w:val="25"/>
        </w:rPr>
        <w:footnoteReference w:id="9"/>
      </w:r>
      <w:r w:rsidRPr="000B6B25">
        <w:rPr>
          <w:rFonts w:ascii="Aptos" w:eastAsia="Times New Roman" w:hAnsi="Aptos" w:cs="Times New Roman"/>
          <w:sz w:val="25"/>
          <w:szCs w:val="25"/>
        </w:rPr>
        <w:t xml:space="preserve">.  </w:t>
      </w:r>
      <w:r w:rsidRPr="000B6B25">
        <w:rPr>
          <w:rFonts w:ascii="Aptos" w:hAnsi="Aptos" w:cs="Times New Roman"/>
          <w:color w:val="000000" w:themeColor="text1"/>
          <w:sz w:val="25"/>
          <w:szCs w:val="25"/>
        </w:rPr>
        <w:t>This principle aligns with “[o]</w:t>
      </w:r>
      <w:proofErr w:type="spellStart"/>
      <w:r w:rsidRPr="000B6B25">
        <w:rPr>
          <w:rFonts w:ascii="Aptos" w:hAnsi="Aptos" w:cs="Times New Roman"/>
          <w:color w:val="000000" w:themeColor="text1"/>
          <w:sz w:val="25"/>
          <w:szCs w:val="25"/>
        </w:rPr>
        <w:t>ur</w:t>
      </w:r>
      <w:proofErr w:type="spellEnd"/>
      <w:r w:rsidRPr="000B6B25">
        <w:rPr>
          <w:rFonts w:ascii="Aptos" w:hAnsi="Aptos" w:cs="Times New Roman"/>
          <w:color w:val="000000" w:themeColor="text1"/>
          <w:sz w:val="25"/>
          <w:szCs w:val="25"/>
        </w:rPr>
        <w:t xml:space="preserve"> judicial system [, which] zealously guards the attempts of</w:t>
      </w:r>
      <w:r w:rsidRPr="00A731E0">
        <w:rPr>
          <w:rFonts w:ascii="Aptos" w:hAnsi="Aptos" w:cs="Times New Roman"/>
          <w:i/>
          <w:iCs/>
          <w:color w:val="000000" w:themeColor="text1"/>
          <w:sz w:val="25"/>
          <w:szCs w:val="25"/>
        </w:rPr>
        <w:t xml:space="preserve"> pro se</w:t>
      </w:r>
      <w:r w:rsidRPr="000B6B25">
        <w:rPr>
          <w:rFonts w:ascii="Aptos" w:hAnsi="Aptos" w:cs="Times New Roman"/>
          <w:color w:val="000000" w:themeColor="text1"/>
          <w:sz w:val="25"/>
          <w:szCs w:val="25"/>
        </w:rPr>
        <w:t xml:space="preserve"> litigants on their own behalf” while not ignoring the need for compliance with procedural and substantive law</w:t>
      </w:r>
      <w:r w:rsidRPr="000B6B25">
        <w:rPr>
          <w:rStyle w:val="FootnoteReference"/>
          <w:rFonts w:ascii="Aptos" w:hAnsi="Aptos" w:cs="Times New Roman"/>
          <w:color w:val="000000" w:themeColor="text1"/>
          <w:sz w:val="25"/>
          <w:szCs w:val="25"/>
        </w:rPr>
        <w:footnoteReference w:id="10"/>
      </w:r>
      <w:r w:rsidRPr="000B6B25">
        <w:rPr>
          <w:rFonts w:ascii="Aptos" w:hAnsi="Aptos" w:cs="Times New Roman"/>
          <w:color w:val="000000" w:themeColor="text1"/>
          <w:sz w:val="25"/>
          <w:szCs w:val="25"/>
        </w:rPr>
        <w:t>.</w:t>
      </w:r>
      <w:r>
        <w:rPr>
          <w:rFonts w:ascii="Aptos" w:hAnsi="Aptos" w:cs="Times New Roman"/>
          <w:color w:val="000000" w:themeColor="text1"/>
          <w:sz w:val="25"/>
          <w:szCs w:val="25"/>
        </w:rPr>
        <w:t xml:space="preserve">  </w:t>
      </w:r>
      <w:r>
        <w:rPr>
          <w:rFonts w:ascii="Aptos" w:hAnsi="Aptos" w:cs="Times New Roman"/>
          <w:sz w:val="25"/>
          <w:szCs w:val="25"/>
        </w:rPr>
        <w:t>However, e</w:t>
      </w:r>
      <w:r w:rsidRPr="00BC4CA4">
        <w:rPr>
          <w:rFonts w:ascii="Aptos" w:hAnsi="Aptos" w:cs="Times New Roman"/>
          <w:sz w:val="25"/>
          <w:szCs w:val="25"/>
        </w:rPr>
        <w:t>ven in such cases,</w:t>
      </w:r>
      <w:r>
        <w:rPr>
          <w:rFonts w:ascii="Aptos" w:hAnsi="Aptos" w:cs="Times New Roman"/>
          <w:sz w:val="25"/>
          <w:szCs w:val="25"/>
        </w:rPr>
        <w:t xml:space="preserve"> </w:t>
      </w:r>
      <w:r w:rsidRPr="00BC4CA4">
        <w:rPr>
          <w:rFonts w:ascii="Aptos" w:hAnsi="Aptos" w:cs="Times New Roman"/>
          <w:sz w:val="25"/>
          <w:szCs w:val="25"/>
        </w:rPr>
        <w:t>“[w]</w:t>
      </w:r>
      <w:proofErr w:type="spellStart"/>
      <w:r w:rsidRPr="00BC4CA4">
        <w:rPr>
          <w:rFonts w:ascii="Aptos" w:hAnsi="Aptos" w:cs="Times New Roman"/>
          <w:sz w:val="25"/>
          <w:szCs w:val="25"/>
        </w:rPr>
        <w:t>hile</w:t>
      </w:r>
      <w:proofErr w:type="spellEnd"/>
      <w:r w:rsidRPr="00BC4CA4">
        <w:rPr>
          <w:rFonts w:ascii="Aptos" w:hAnsi="Aptos" w:cs="Times New Roman"/>
          <w:sz w:val="25"/>
          <w:szCs w:val="25"/>
        </w:rPr>
        <w:t xml:space="preserve"> ‘a trial judge is to employ less stringent standards in assessing </w:t>
      </w:r>
      <w:r w:rsidRPr="00BC4CA4">
        <w:rPr>
          <w:rFonts w:ascii="Aptos" w:hAnsi="Aptos" w:cs="Times New Roman"/>
          <w:i/>
          <w:iCs/>
          <w:sz w:val="25"/>
          <w:szCs w:val="25"/>
        </w:rPr>
        <w:t>pro se</w:t>
      </w:r>
      <w:r w:rsidRPr="00BC4CA4">
        <w:rPr>
          <w:rFonts w:ascii="Aptos" w:hAnsi="Aptos" w:cs="Times New Roman"/>
          <w:sz w:val="25"/>
          <w:szCs w:val="25"/>
        </w:rPr>
        <w:t xml:space="preserve"> pleadings ... than would be used to judge the final product of lawyers,’ this leniency does not permit the district court to act as counsel for a party or to rewrite deficient pleadings”</w:t>
      </w:r>
      <w:r>
        <w:rPr>
          <w:rStyle w:val="FootnoteReference"/>
          <w:rFonts w:ascii="Aptos" w:hAnsi="Aptos" w:cs="Times New Roman"/>
          <w:sz w:val="25"/>
          <w:szCs w:val="25"/>
        </w:rPr>
        <w:footnoteReference w:id="11"/>
      </w:r>
      <w:r w:rsidRPr="00BC4CA4">
        <w:rPr>
          <w:rFonts w:ascii="Aptos" w:hAnsi="Aptos" w:cs="Times New Roman"/>
          <w:sz w:val="25"/>
          <w:szCs w:val="25"/>
        </w:rPr>
        <w:t>.</w:t>
      </w:r>
      <w:r>
        <w:rPr>
          <w:rFonts w:ascii="Aptos" w:eastAsia="Times New Roman" w:hAnsi="Aptos" w:cs="Times New Roman"/>
          <w:i/>
          <w:iCs/>
          <w:sz w:val="25"/>
          <w:szCs w:val="25"/>
        </w:rPr>
        <w:t xml:space="preserve"> </w:t>
      </w:r>
    </w:p>
    <w:p w14:paraId="5E2425E0" w14:textId="77777777" w:rsidR="00CC0C40" w:rsidRPr="000370FF" w:rsidRDefault="00CC0C40" w:rsidP="00CC0C40">
      <w:pPr>
        <w:shd w:val="clear" w:color="auto" w:fill="FFFFFF"/>
        <w:rPr>
          <w:rFonts w:ascii="Aptos" w:hAnsi="Aptos"/>
          <w:color w:val="000000" w:themeColor="text1"/>
          <w:sz w:val="25"/>
          <w:szCs w:val="25"/>
        </w:rPr>
      </w:pPr>
      <w:r w:rsidRPr="000370FF">
        <w:rPr>
          <w:rFonts w:ascii="Aptos" w:hAnsi="Aptos"/>
          <w:sz w:val="25"/>
          <w:szCs w:val="25"/>
        </w:rPr>
        <w:t xml:space="preserve">  </w:t>
      </w:r>
    </w:p>
    <w:p w14:paraId="2BCDDA91" w14:textId="6A0F2532" w:rsidR="00CC0C40" w:rsidRDefault="00DF3A1B" w:rsidP="00CC0C40">
      <w:pPr>
        <w:shd w:val="clear" w:color="auto" w:fill="FFFFFF"/>
        <w:rPr>
          <w:rFonts w:ascii="Aptos" w:hAnsi="Aptos" w:cs="Times New Roman"/>
          <w:i/>
          <w:iCs/>
          <w:sz w:val="25"/>
          <w:szCs w:val="25"/>
        </w:rPr>
      </w:pPr>
      <w:r>
        <w:rPr>
          <w:rFonts w:ascii="Aptos" w:eastAsia="Times New Roman" w:hAnsi="Aptos" w:cs="Times New Roman"/>
          <w:i/>
          <w:iCs/>
          <w:sz w:val="25"/>
          <w:szCs w:val="25"/>
        </w:rPr>
        <w:t>2</w:t>
      </w:r>
      <w:r w:rsidR="00CC0C40" w:rsidRPr="000370FF">
        <w:rPr>
          <w:rFonts w:ascii="Aptos" w:eastAsia="Times New Roman" w:hAnsi="Aptos" w:cs="Times New Roman"/>
          <w:i/>
          <w:iCs/>
          <w:sz w:val="25"/>
          <w:szCs w:val="25"/>
        </w:rPr>
        <w:t>.</w:t>
      </w:r>
      <w:r w:rsidR="00CC0C40" w:rsidRPr="000370FF">
        <w:rPr>
          <w:rFonts w:ascii="Aptos" w:eastAsia="Times New Roman" w:hAnsi="Aptos" w:cs="Times New Roman"/>
          <w:i/>
          <w:iCs/>
          <w:sz w:val="25"/>
          <w:szCs w:val="25"/>
        </w:rPr>
        <w:tab/>
      </w:r>
      <w:r w:rsidR="00CC0C40" w:rsidRPr="000370FF">
        <w:rPr>
          <w:rFonts w:ascii="Aptos" w:hAnsi="Aptos" w:cs="Times New Roman"/>
          <w:i/>
          <w:iCs/>
          <w:sz w:val="25"/>
          <w:szCs w:val="25"/>
        </w:rPr>
        <w:t xml:space="preserve">Jurisdiction of BSEA </w:t>
      </w:r>
      <w:r w:rsidR="000E5E5F">
        <w:rPr>
          <w:rFonts w:ascii="Aptos" w:hAnsi="Aptos" w:cs="Times New Roman"/>
          <w:i/>
          <w:iCs/>
          <w:sz w:val="25"/>
          <w:szCs w:val="25"/>
        </w:rPr>
        <w:t>and the Notice Pleading Standard</w:t>
      </w:r>
    </w:p>
    <w:p w14:paraId="0B3F1D48" w14:textId="77777777" w:rsidR="000E5E5F" w:rsidRPr="000370FF" w:rsidRDefault="000E5E5F" w:rsidP="00CC0C40">
      <w:pPr>
        <w:shd w:val="clear" w:color="auto" w:fill="FFFFFF"/>
        <w:rPr>
          <w:rFonts w:ascii="Aptos" w:hAnsi="Aptos" w:cs="Times New Roman"/>
          <w:i/>
          <w:iCs/>
          <w:sz w:val="25"/>
          <w:szCs w:val="25"/>
        </w:rPr>
      </w:pPr>
    </w:p>
    <w:p w14:paraId="6D7930E1" w14:textId="77777777" w:rsidR="000E5E5F" w:rsidRDefault="000E5E5F" w:rsidP="000E5E5F">
      <w:pPr>
        <w:shd w:val="clear" w:color="auto" w:fill="FFFFFF"/>
        <w:rPr>
          <w:rFonts w:ascii="Aptos" w:eastAsia="Times New Roman" w:hAnsi="Aptos" w:cs="Times New Roman"/>
          <w:bCs/>
          <w:color w:val="000000"/>
          <w:sz w:val="25"/>
          <w:szCs w:val="25"/>
        </w:rPr>
      </w:pPr>
      <w:r w:rsidRPr="00B2732F">
        <w:rPr>
          <w:sz w:val="25"/>
          <w:szCs w:val="25"/>
        </w:rPr>
        <w:t>The BSEA is not an agency of general jurisdiction, it is limited to considering “</w:t>
      </w:r>
      <w:r w:rsidRPr="00B2732F">
        <w:rPr>
          <w:rFonts w:ascii="Aptos" w:eastAsia="Times New Roman" w:hAnsi="Aptos" w:cs="Times New Roman"/>
          <w:bCs/>
          <w:color w:val="000000"/>
          <w:sz w:val="25"/>
          <w:szCs w:val="25"/>
        </w:rPr>
        <w:t>only those claims for which enabling statutes and regulations expressly grant authority</w:t>
      </w:r>
      <w:r w:rsidRPr="00B2732F">
        <w:rPr>
          <w:rFonts w:ascii="Aptos" w:hAnsi="Aptos"/>
          <w:sz w:val="25"/>
          <w:szCs w:val="25"/>
        </w:rPr>
        <w:t>”</w:t>
      </w:r>
      <w:r w:rsidRPr="00B2732F">
        <w:rPr>
          <w:rStyle w:val="FootnoteReference"/>
          <w:rFonts w:ascii="Aptos" w:hAnsi="Aptos"/>
          <w:sz w:val="25"/>
          <w:szCs w:val="25"/>
        </w:rPr>
        <w:footnoteReference w:id="12"/>
      </w:r>
      <w:r w:rsidRPr="00B2732F">
        <w:rPr>
          <w:rFonts w:ascii="Aptos" w:hAnsi="Aptos"/>
          <w:sz w:val="25"/>
          <w:szCs w:val="25"/>
        </w:rPr>
        <w:t xml:space="preserve">.  </w:t>
      </w:r>
      <w:r w:rsidRPr="004F6F05">
        <w:rPr>
          <w:rFonts w:ascii="Aptos" w:eastAsia="Times New Roman" w:hAnsi="Aptos" w:cs="Times New Roman"/>
          <w:bCs/>
          <w:color w:val="000000"/>
          <w:sz w:val="25"/>
          <w:szCs w:val="25"/>
        </w:rPr>
        <w:t xml:space="preserve">20 USC §1415(b)(6) grants parties the right to file timely complaints (with the state educational agency designated to hear same) “with respect to any matter relating to the </w:t>
      </w:r>
      <w:r w:rsidRPr="004F6F05">
        <w:rPr>
          <w:rFonts w:ascii="Aptos" w:eastAsia="Times New Roman" w:hAnsi="Aptos" w:cs="Times New Roman"/>
          <w:bCs/>
          <w:color w:val="000000"/>
          <w:sz w:val="25"/>
          <w:szCs w:val="25"/>
        </w:rPr>
        <w:lastRenderedPageBreak/>
        <w:t>identification, evaluation or educational placement of the child, or the provision of a free appropriate public education to such child”</w:t>
      </w:r>
      <w:r w:rsidRPr="004F6F05">
        <w:rPr>
          <w:rStyle w:val="FootnoteReference"/>
          <w:rFonts w:ascii="Aptos" w:eastAsia="Times New Roman" w:hAnsi="Aptos" w:cs="Times New Roman"/>
          <w:bCs/>
          <w:color w:val="000000"/>
          <w:sz w:val="25"/>
          <w:szCs w:val="25"/>
        </w:rPr>
        <w:footnoteReference w:id="13"/>
      </w:r>
      <w:r w:rsidRPr="004F6F05">
        <w:rPr>
          <w:rFonts w:ascii="Aptos" w:eastAsia="Times New Roman" w:hAnsi="Aptos" w:cs="Times New Roman"/>
          <w:bCs/>
          <w:color w:val="000000"/>
          <w:sz w:val="25"/>
          <w:szCs w:val="25"/>
        </w:rPr>
        <w:t xml:space="preserve">.  Similarly, M.G.L. c. 71B §2A, establishing the BSEA, authorizes it to resolve special education disputes concerning, </w:t>
      </w:r>
    </w:p>
    <w:p w14:paraId="5D550AF1" w14:textId="77777777" w:rsidR="000E5E5F" w:rsidRPr="004F6F05" w:rsidRDefault="000E5E5F" w:rsidP="000E5E5F">
      <w:pPr>
        <w:rPr>
          <w:rFonts w:ascii="Aptos" w:eastAsia="Times New Roman" w:hAnsi="Aptos" w:cs="Times New Roman"/>
          <w:bCs/>
          <w:color w:val="000000"/>
          <w:sz w:val="25"/>
          <w:szCs w:val="25"/>
        </w:rPr>
      </w:pPr>
    </w:p>
    <w:p w14:paraId="2291AC46" w14:textId="77777777" w:rsidR="000E5E5F" w:rsidRPr="004F6F05" w:rsidRDefault="000E5E5F" w:rsidP="000E5E5F">
      <w:pPr>
        <w:ind w:left="720" w:right="720"/>
        <w:rPr>
          <w:rFonts w:ascii="Aptos" w:eastAsia="Times New Roman" w:hAnsi="Aptos" w:cs="Times New Roman"/>
          <w:bCs/>
          <w:color w:val="000000"/>
          <w:sz w:val="25"/>
          <w:szCs w:val="25"/>
        </w:rPr>
      </w:pPr>
      <w:r w:rsidRPr="004F6F05">
        <w:rPr>
          <w:rFonts w:ascii="Aptos" w:eastAsia="Times New Roman" w:hAnsi="Aptos" w:cs="Times New Roman"/>
          <w:bCs/>
          <w:color w:val="000000"/>
          <w:sz w:val="25"/>
          <w:szCs w:val="25"/>
        </w:rPr>
        <w:t xml:space="preserve">“…(i) any matter relating to the identification, evaluation, education program or educational placement of a child with a disability or the provision of a </w:t>
      </w:r>
      <w:r>
        <w:rPr>
          <w:rFonts w:ascii="Aptos" w:eastAsia="Times New Roman" w:hAnsi="Aptos" w:cs="Times New Roman"/>
          <w:bCs/>
          <w:color w:val="000000"/>
          <w:sz w:val="25"/>
          <w:szCs w:val="25"/>
        </w:rPr>
        <w:t xml:space="preserve">[FAPE] </w:t>
      </w:r>
      <w:r w:rsidRPr="004F6F05">
        <w:rPr>
          <w:rFonts w:ascii="Aptos" w:eastAsia="Times New Roman" w:hAnsi="Aptos" w:cs="Times New Roman"/>
          <w:bCs/>
          <w:color w:val="000000"/>
          <w:sz w:val="25"/>
          <w:szCs w:val="25"/>
        </w:rPr>
        <w:t xml:space="preserve">to the child arising under this chapter and regulations promulgated hereunder or under the [IDEA], 20 U.S.C. </w:t>
      </w:r>
      <w:r>
        <w:rPr>
          <w:rFonts w:ascii="Aptos" w:eastAsia="Times New Roman" w:hAnsi="Aptos" w:cs="Times New Roman"/>
          <w:bCs/>
          <w:color w:val="000000"/>
          <w:sz w:val="25"/>
          <w:szCs w:val="25"/>
        </w:rPr>
        <w:t>[§]</w:t>
      </w:r>
      <w:r w:rsidRPr="004F6F05">
        <w:rPr>
          <w:rFonts w:ascii="Aptos" w:eastAsia="Times New Roman" w:hAnsi="Aptos" w:cs="Times New Roman"/>
          <w:bCs/>
          <w:color w:val="000000"/>
          <w:sz w:val="25"/>
          <w:szCs w:val="25"/>
        </w:rPr>
        <w:t xml:space="preserve">1400 et seq., and its regulations; or (ii) a student's rights under Section 504 of the Rehabilitation Act of 1973, 29 U.S.C. </w:t>
      </w:r>
      <w:r>
        <w:rPr>
          <w:rFonts w:ascii="Aptos" w:eastAsia="Times New Roman" w:hAnsi="Aptos" w:cs="Times New Roman"/>
          <w:bCs/>
          <w:color w:val="000000"/>
          <w:sz w:val="25"/>
          <w:szCs w:val="25"/>
        </w:rPr>
        <w:t>[§]</w:t>
      </w:r>
      <w:r w:rsidRPr="004F6F05">
        <w:rPr>
          <w:rFonts w:ascii="Aptos" w:eastAsia="Times New Roman" w:hAnsi="Aptos" w:cs="Times New Roman"/>
          <w:bCs/>
          <w:color w:val="000000"/>
          <w:sz w:val="25"/>
          <w:szCs w:val="25"/>
        </w:rPr>
        <w:t>794, and its regulations”</w:t>
      </w:r>
      <w:r>
        <w:rPr>
          <w:rStyle w:val="FootnoteReference"/>
          <w:rFonts w:ascii="Aptos" w:eastAsia="Times New Roman" w:hAnsi="Aptos" w:cs="Times New Roman"/>
          <w:bCs/>
          <w:color w:val="000000"/>
          <w:sz w:val="25"/>
          <w:szCs w:val="25"/>
        </w:rPr>
        <w:footnoteReference w:id="14"/>
      </w:r>
      <w:r w:rsidRPr="004F6F05">
        <w:rPr>
          <w:rFonts w:ascii="Aptos" w:eastAsia="Times New Roman" w:hAnsi="Aptos" w:cs="Times New Roman"/>
          <w:bCs/>
          <w:color w:val="000000"/>
          <w:sz w:val="25"/>
          <w:szCs w:val="25"/>
        </w:rPr>
        <w:t xml:space="preserve">. </w:t>
      </w:r>
    </w:p>
    <w:p w14:paraId="498AC269" w14:textId="77777777" w:rsidR="000E5E5F" w:rsidRDefault="000E5E5F" w:rsidP="000E5E5F">
      <w:pPr>
        <w:jc w:val="both"/>
        <w:rPr>
          <w:rFonts w:ascii="Aptos" w:eastAsia="Times New Roman" w:hAnsi="Aptos" w:cs="Times New Roman"/>
          <w:bCs/>
          <w:color w:val="000000"/>
          <w:sz w:val="25"/>
          <w:szCs w:val="25"/>
        </w:rPr>
      </w:pPr>
    </w:p>
    <w:p w14:paraId="044177FC" w14:textId="50705780" w:rsidR="00CC0C40" w:rsidRPr="000E5E5F" w:rsidRDefault="000E5E5F" w:rsidP="000E5E5F">
      <w:pPr>
        <w:shd w:val="clear" w:color="auto" w:fill="FFFFFF"/>
        <w:rPr>
          <w:rFonts w:ascii="Aptos" w:eastAsia="Times New Roman" w:hAnsi="Aptos" w:cs="Times New Roman"/>
          <w:sz w:val="25"/>
          <w:szCs w:val="25"/>
        </w:rPr>
      </w:pPr>
      <w:r w:rsidRPr="004F6F05">
        <w:rPr>
          <w:rFonts w:ascii="Aptos" w:eastAsia="Times New Roman" w:hAnsi="Aptos" w:cs="Times New Roman"/>
          <w:sz w:val="25"/>
          <w:szCs w:val="25"/>
        </w:rPr>
        <w:t xml:space="preserve">Consistent with the </w:t>
      </w:r>
      <w:r>
        <w:rPr>
          <w:rFonts w:ascii="Aptos" w:eastAsia="Times New Roman" w:hAnsi="Aptos" w:cs="Times New Roman"/>
          <w:sz w:val="25"/>
          <w:szCs w:val="25"/>
        </w:rPr>
        <w:t>FRCP</w:t>
      </w:r>
      <w:r w:rsidRPr="004F6F05">
        <w:rPr>
          <w:rFonts w:ascii="Aptos" w:eastAsia="Times New Roman" w:hAnsi="Aptos" w:cs="Times New Roman"/>
          <w:sz w:val="25"/>
          <w:szCs w:val="25"/>
        </w:rPr>
        <w:t xml:space="preserve">, hearing requests filed under the IDEA need only consist of “notice pleadings”, i.e., sufficient </w:t>
      </w:r>
      <w:proofErr w:type="gramStart"/>
      <w:r w:rsidRPr="004F6F05">
        <w:rPr>
          <w:rFonts w:ascii="Aptos" w:eastAsia="Times New Roman" w:hAnsi="Aptos" w:cs="Times New Roman"/>
          <w:sz w:val="25"/>
          <w:szCs w:val="25"/>
        </w:rPr>
        <w:t>so as to</w:t>
      </w:r>
      <w:proofErr w:type="gramEnd"/>
      <w:r w:rsidRPr="004F6F05">
        <w:rPr>
          <w:rFonts w:ascii="Aptos" w:eastAsia="Times New Roman" w:hAnsi="Aptos" w:cs="Times New Roman"/>
          <w:sz w:val="25"/>
          <w:szCs w:val="25"/>
        </w:rPr>
        <w:t xml:space="preserve"> provide fair notice to the opposing party of the nature of the dispute</w:t>
      </w:r>
      <w:r w:rsidRPr="004F6F05">
        <w:rPr>
          <w:rStyle w:val="FootnoteReference"/>
          <w:rFonts w:ascii="Aptos" w:eastAsia="Times New Roman" w:hAnsi="Aptos" w:cs="Times New Roman"/>
          <w:sz w:val="25"/>
          <w:szCs w:val="25"/>
        </w:rPr>
        <w:footnoteReference w:id="15"/>
      </w:r>
      <w:r w:rsidRPr="004F6F05">
        <w:rPr>
          <w:rFonts w:ascii="Aptos" w:eastAsia="Times New Roman" w:hAnsi="Aptos" w:cs="Times New Roman"/>
          <w:sz w:val="25"/>
          <w:szCs w:val="25"/>
        </w:rPr>
        <w:t>.  However, “[w]</w:t>
      </w:r>
      <w:proofErr w:type="spellStart"/>
      <w:r w:rsidRPr="004F6F05">
        <w:rPr>
          <w:rFonts w:ascii="Aptos" w:eastAsia="Times New Roman" w:hAnsi="Aptos" w:cs="Times New Roman"/>
          <w:sz w:val="25"/>
          <w:szCs w:val="25"/>
        </w:rPr>
        <w:t>hile</w:t>
      </w:r>
      <w:proofErr w:type="spellEnd"/>
      <w:r w:rsidRPr="004F6F05">
        <w:rPr>
          <w:rFonts w:ascii="Aptos" w:eastAsia="Times New Roman" w:hAnsi="Aptos" w:cs="Times New Roman"/>
          <w:sz w:val="25"/>
          <w:szCs w:val="25"/>
        </w:rPr>
        <w:t xml:space="preserve"> …. detailed factual allegations” are not necessary, “… a [Parent and Student’s] obligation to provide the ‘grounds’ of [their] ‘entitle[</w:t>
      </w:r>
      <w:proofErr w:type="spellStart"/>
      <w:r w:rsidRPr="004F6F05">
        <w:rPr>
          <w:rFonts w:ascii="Aptos" w:eastAsia="Times New Roman" w:hAnsi="Aptos" w:cs="Times New Roman"/>
          <w:sz w:val="25"/>
          <w:szCs w:val="25"/>
        </w:rPr>
        <w:t>ment</w:t>
      </w:r>
      <w:proofErr w:type="spellEnd"/>
      <w:r w:rsidRPr="004F6F05">
        <w:rPr>
          <w:rFonts w:ascii="Aptos" w:eastAsia="Times New Roman" w:hAnsi="Aptos" w:cs="Times New Roman"/>
          <w:sz w:val="25"/>
          <w:szCs w:val="25"/>
        </w:rPr>
        <w:t>] to relief’ requires more than labels and conclusions, and a formulaic recitation of the elements of a cause of action will not do”</w:t>
      </w:r>
      <w:r w:rsidRPr="004F6F05">
        <w:rPr>
          <w:rStyle w:val="FootnoteReference"/>
          <w:rFonts w:ascii="Aptos" w:eastAsia="Times New Roman" w:hAnsi="Aptos" w:cs="Times New Roman"/>
          <w:sz w:val="25"/>
          <w:szCs w:val="25"/>
        </w:rPr>
        <w:footnoteReference w:id="16"/>
      </w:r>
      <w:r w:rsidRPr="004F6F05">
        <w:rPr>
          <w:rFonts w:ascii="Aptos" w:eastAsia="Times New Roman" w:hAnsi="Aptos" w:cs="Times New Roman"/>
          <w:sz w:val="25"/>
          <w:szCs w:val="25"/>
        </w:rPr>
        <w:t xml:space="preserve">. </w:t>
      </w:r>
    </w:p>
    <w:p w14:paraId="05D03B78" w14:textId="501A44A5" w:rsidR="00CC0C40" w:rsidRPr="000370FF" w:rsidRDefault="00CC0C40" w:rsidP="00CC0C40">
      <w:pPr>
        <w:rPr>
          <w:rFonts w:ascii="Aptos" w:eastAsia="Times New Roman" w:hAnsi="Aptos" w:cs="Times New Roman"/>
          <w:bCs/>
          <w:color w:val="000000"/>
          <w:sz w:val="25"/>
          <w:szCs w:val="25"/>
        </w:rPr>
      </w:pPr>
      <w:r w:rsidRPr="000370FF">
        <w:rPr>
          <w:rFonts w:ascii="Aptos" w:eastAsia="Times New Roman" w:hAnsi="Aptos" w:cs="Times New Roman"/>
          <w:bCs/>
          <w:color w:val="000000"/>
          <w:sz w:val="25"/>
          <w:szCs w:val="25"/>
        </w:rPr>
        <w:t xml:space="preserve"> </w:t>
      </w:r>
    </w:p>
    <w:p w14:paraId="20861694" w14:textId="7F5D6494" w:rsidR="00CC0C40" w:rsidRPr="000370FF" w:rsidRDefault="000E5E5F" w:rsidP="00CC0C40">
      <w:pPr>
        <w:shd w:val="clear" w:color="auto" w:fill="FFFFFF"/>
        <w:rPr>
          <w:rFonts w:ascii="Aptos" w:hAnsi="Aptos" w:cs="Times New Roman"/>
          <w:i/>
          <w:iCs/>
          <w:sz w:val="25"/>
          <w:szCs w:val="25"/>
        </w:rPr>
      </w:pPr>
      <w:r>
        <w:rPr>
          <w:rFonts w:ascii="Aptos" w:eastAsia="Times New Roman" w:hAnsi="Aptos" w:cs="Times New Roman"/>
          <w:bCs/>
          <w:color w:val="000000"/>
          <w:sz w:val="25"/>
          <w:szCs w:val="25"/>
        </w:rPr>
        <w:t>3</w:t>
      </w:r>
      <w:r w:rsidR="00CC0C40" w:rsidRPr="000370FF">
        <w:rPr>
          <w:rFonts w:ascii="Aptos" w:eastAsia="Times New Roman" w:hAnsi="Aptos" w:cs="Times New Roman"/>
          <w:bCs/>
          <w:color w:val="000000"/>
          <w:sz w:val="25"/>
          <w:szCs w:val="25"/>
        </w:rPr>
        <w:t>.</w:t>
      </w:r>
      <w:r w:rsidR="00CC0C40" w:rsidRPr="000370FF">
        <w:rPr>
          <w:rFonts w:ascii="Aptos" w:eastAsia="Times New Roman" w:hAnsi="Aptos" w:cs="Times New Roman"/>
          <w:bCs/>
          <w:color w:val="000000"/>
          <w:sz w:val="25"/>
          <w:szCs w:val="25"/>
        </w:rPr>
        <w:tab/>
      </w:r>
      <w:r w:rsidR="00CC0C40" w:rsidRPr="000370FF">
        <w:rPr>
          <w:rFonts w:ascii="Aptos" w:hAnsi="Aptos" w:cs="Times New Roman"/>
          <w:i/>
          <w:iCs/>
          <w:sz w:val="25"/>
          <w:szCs w:val="25"/>
        </w:rPr>
        <w:t xml:space="preserve">Statute of Limitations Applicable to BSEA Hearings. </w:t>
      </w:r>
    </w:p>
    <w:p w14:paraId="531CF725" w14:textId="43254863" w:rsidR="00CC0C40" w:rsidRPr="000370FF" w:rsidRDefault="00CC0C40" w:rsidP="00CC0C40">
      <w:pPr>
        <w:shd w:val="clear" w:color="auto" w:fill="FFFFFF"/>
        <w:spacing w:before="240"/>
        <w:rPr>
          <w:rFonts w:ascii="Aptos" w:eastAsia="Times New Roman" w:hAnsi="Aptos" w:cs="Times New Roman"/>
          <w:sz w:val="25"/>
          <w:szCs w:val="25"/>
        </w:rPr>
      </w:pPr>
      <w:r w:rsidRPr="000370FF">
        <w:rPr>
          <w:rFonts w:ascii="Aptos" w:eastAsia="Times New Roman" w:hAnsi="Aptos" w:cs="Times New Roman"/>
          <w:sz w:val="25"/>
          <w:szCs w:val="25"/>
        </w:rPr>
        <w:t xml:space="preserve">Due process proceedings brought under the IDEA must </w:t>
      </w:r>
      <w:proofErr w:type="gramStart"/>
      <w:r w:rsidRPr="000370FF">
        <w:rPr>
          <w:rFonts w:ascii="Aptos" w:eastAsia="Times New Roman" w:hAnsi="Aptos" w:cs="Times New Roman"/>
          <w:sz w:val="25"/>
          <w:szCs w:val="25"/>
        </w:rPr>
        <w:t>be commenced</w:t>
      </w:r>
      <w:proofErr w:type="gramEnd"/>
      <w:r w:rsidRPr="000370FF">
        <w:rPr>
          <w:rFonts w:ascii="Aptos" w:eastAsia="Times New Roman" w:hAnsi="Aptos" w:cs="Times New Roman"/>
          <w:sz w:val="25"/>
          <w:szCs w:val="25"/>
        </w:rPr>
        <w:t xml:space="preserve"> within two years of the date that a party knew or should have known of the actions forming the basis of its hearing request</w:t>
      </w:r>
      <w:r w:rsidRPr="000370FF">
        <w:rPr>
          <w:rStyle w:val="FootnoteReference"/>
          <w:rFonts w:ascii="Aptos" w:eastAsia="Times New Roman" w:hAnsi="Aptos" w:cs="Times New Roman"/>
          <w:sz w:val="25"/>
          <w:szCs w:val="25"/>
        </w:rPr>
        <w:footnoteReference w:id="17"/>
      </w:r>
      <w:r w:rsidRPr="000370FF">
        <w:rPr>
          <w:rFonts w:ascii="Aptos" w:eastAsia="Times New Roman" w:hAnsi="Aptos" w:cs="Times New Roman"/>
          <w:sz w:val="25"/>
          <w:szCs w:val="25"/>
        </w:rPr>
        <w:t xml:space="preserve">.  The only exceptions to this two-year limitation period are if a parent or student is prevented from filing a hearing request because of “(i) specific misrepresentations by the [district] that it had resolved the problem forming the basis of the complaint; or (ii) the [district]’s withholding of information from the parent [or student] </w:t>
      </w:r>
      <w:r w:rsidR="002D65C8" w:rsidRPr="000370FF">
        <w:rPr>
          <w:rFonts w:ascii="Aptos" w:eastAsia="Times New Roman" w:hAnsi="Aptos" w:cs="Times New Roman"/>
          <w:sz w:val="25"/>
          <w:szCs w:val="25"/>
        </w:rPr>
        <w:t xml:space="preserve">that was required </w:t>
      </w:r>
      <w:r w:rsidR="002D65C8">
        <w:rPr>
          <w:rFonts w:ascii="Aptos" w:eastAsia="Times New Roman" w:hAnsi="Aptos" w:cs="Times New Roman"/>
          <w:sz w:val="25"/>
          <w:szCs w:val="25"/>
        </w:rPr>
        <w:t xml:space="preserve">under [the IDEA] </w:t>
      </w:r>
      <w:r w:rsidR="002D65C8" w:rsidRPr="000370FF">
        <w:rPr>
          <w:rFonts w:ascii="Aptos" w:eastAsia="Times New Roman" w:hAnsi="Aptos" w:cs="Times New Roman"/>
          <w:sz w:val="25"/>
          <w:szCs w:val="25"/>
        </w:rPr>
        <w:t>to be provided</w:t>
      </w:r>
      <w:r w:rsidR="002D65C8">
        <w:rPr>
          <w:rFonts w:ascii="Aptos" w:eastAsia="Times New Roman" w:hAnsi="Aptos" w:cs="Times New Roman"/>
          <w:sz w:val="25"/>
          <w:szCs w:val="25"/>
        </w:rPr>
        <w:t xml:space="preserve"> to the parent</w:t>
      </w:r>
      <w:r w:rsidRPr="000370FF">
        <w:rPr>
          <w:rFonts w:ascii="Aptos" w:eastAsia="Times New Roman" w:hAnsi="Aptos" w:cs="Times New Roman"/>
          <w:sz w:val="25"/>
          <w:szCs w:val="25"/>
        </w:rPr>
        <w:t>”</w:t>
      </w:r>
      <w:r w:rsidRPr="000370FF">
        <w:rPr>
          <w:rStyle w:val="FootnoteReference"/>
          <w:rFonts w:ascii="Aptos" w:eastAsia="Times New Roman" w:hAnsi="Aptos" w:cs="Times New Roman"/>
          <w:sz w:val="25"/>
          <w:szCs w:val="25"/>
        </w:rPr>
        <w:footnoteReference w:id="18"/>
      </w:r>
      <w:r w:rsidRPr="000370FF">
        <w:rPr>
          <w:rFonts w:ascii="Aptos" w:eastAsia="Times New Roman" w:hAnsi="Aptos" w:cs="Times New Roman"/>
          <w:sz w:val="25"/>
          <w:szCs w:val="25"/>
        </w:rPr>
        <w:t xml:space="preserve">.  </w:t>
      </w:r>
    </w:p>
    <w:p w14:paraId="3499888F" w14:textId="4EEF88FA" w:rsidR="00CC0C40" w:rsidRPr="000370FF" w:rsidRDefault="005F5137" w:rsidP="00CC0C40">
      <w:pPr>
        <w:shd w:val="clear" w:color="auto" w:fill="FFFFFF"/>
        <w:spacing w:before="240"/>
        <w:rPr>
          <w:rFonts w:ascii="Aptos" w:eastAsia="Times New Roman" w:hAnsi="Aptos" w:cs="Times New Roman"/>
          <w:sz w:val="25"/>
          <w:szCs w:val="25"/>
        </w:rPr>
      </w:pPr>
      <w:r>
        <w:rPr>
          <w:rFonts w:ascii="Aptos" w:eastAsia="Times New Roman" w:hAnsi="Aptos" w:cs="Times New Roman"/>
          <w:sz w:val="25"/>
          <w:szCs w:val="25"/>
        </w:rPr>
        <w:t>It is in the context of this legal authority that</w:t>
      </w:r>
      <w:r w:rsidR="00CC0C40" w:rsidRPr="000370FF">
        <w:rPr>
          <w:rFonts w:ascii="Aptos" w:eastAsia="Times New Roman" w:hAnsi="Aptos" w:cs="Times New Roman"/>
          <w:sz w:val="25"/>
          <w:szCs w:val="25"/>
        </w:rPr>
        <w:t xml:space="preserve"> I </w:t>
      </w:r>
      <w:r w:rsidR="00C7478F">
        <w:rPr>
          <w:rFonts w:ascii="Aptos" w:eastAsia="Times New Roman" w:hAnsi="Aptos" w:cs="Times New Roman"/>
          <w:sz w:val="25"/>
          <w:szCs w:val="25"/>
        </w:rPr>
        <w:t xml:space="preserve">address the </w:t>
      </w:r>
      <w:r w:rsidR="00C7478F">
        <w:rPr>
          <w:rFonts w:ascii="Aptos" w:eastAsia="Times New Roman" w:hAnsi="Aptos" w:cs="Times New Roman"/>
          <w:i/>
          <w:iCs/>
          <w:sz w:val="25"/>
          <w:szCs w:val="25"/>
        </w:rPr>
        <w:t>Motion</w:t>
      </w:r>
      <w:r w:rsidR="00CC0C40" w:rsidRPr="000370FF">
        <w:rPr>
          <w:rFonts w:ascii="Aptos" w:eastAsia="Times New Roman" w:hAnsi="Aptos" w:cs="Times New Roman"/>
          <w:sz w:val="25"/>
          <w:szCs w:val="25"/>
        </w:rPr>
        <w:t>.</w:t>
      </w:r>
    </w:p>
    <w:p w14:paraId="0118A694" w14:textId="77777777" w:rsidR="00CC0C40" w:rsidRPr="000370FF" w:rsidRDefault="00CC0C40" w:rsidP="00CC0C40">
      <w:pPr>
        <w:shd w:val="clear" w:color="auto" w:fill="FFFFFF"/>
        <w:jc w:val="center"/>
        <w:rPr>
          <w:rFonts w:ascii="Aptos" w:eastAsia="Times New Roman" w:hAnsi="Aptos" w:cs="Times New Roman"/>
          <w:b/>
          <w:bCs/>
          <w:sz w:val="25"/>
          <w:szCs w:val="25"/>
        </w:rPr>
      </w:pPr>
    </w:p>
    <w:p w14:paraId="1E142F41" w14:textId="77777777" w:rsidR="00E4135F" w:rsidRDefault="00E4135F" w:rsidP="00CC0C40">
      <w:pPr>
        <w:shd w:val="clear" w:color="auto" w:fill="FFFFFF"/>
        <w:jc w:val="center"/>
        <w:rPr>
          <w:rFonts w:ascii="Aptos" w:eastAsia="Times New Roman" w:hAnsi="Aptos" w:cs="Times New Roman"/>
          <w:b/>
          <w:bCs/>
          <w:sz w:val="25"/>
          <w:szCs w:val="25"/>
        </w:rPr>
      </w:pPr>
    </w:p>
    <w:p w14:paraId="29BB19F7" w14:textId="716DD869" w:rsidR="00CC0C40" w:rsidRPr="000370FF" w:rsidRDefault="00CC0C40" w:rsidP="00CC0C40">
      <w:pPr>
        <w:shd w:val="clear" w:color="auto" w:fill="FFFFFF"/>
        <w:jc w:val="center"/>
        <w:rPr>
          <w:rFonts w:ascii="Aptos" w:eastAsia="Times New Roman" w:hAnsi="Aptos" w:cs="Times New Roman"/>
          <w:sz w:val="25"/>
          <w:szCs w:val="25"/>
        </w:rPr>
      </w:pPr>
      <w:r w:rsidRPr="000370FF">
        <w:rPr>
          <w:rFonts w:ascii="Aptos" w:eastAsia="Times New Roman" w:hAnsi="Aptos" w:cs="Times New Roman"/>
          <w:b/>
          <w:bCs/>
          <w:sz w:val="25"/>
          <w:szCs w:val="25"/>
        </w:rPr>
        <w:lastRenderedPageBreak/>
        <w:t>APPLICATION OF LEGAL STANDARDS</w:t>
      </w:r>
    </w:p>
    <w:p w14:paraId="09DFD3EE" w14:textId="77777777" w:rsidR="00CC0C40" w:rsidRPr="000370FF" w:rsidRDefault="00CC0C40" w:rsidP="00CC0C40">
      <w:pPr>
        <w:shd w:val="clear" w:color="auto" w:fill="FFFFFF"/>
        <w:rPr>
          <w:rFonts w:ascii="Aptos" w:eastAsia="Times New Roman" w:hAnsi="Aptos" w:cs="Times New Roman"/>
          <w:sz w:val="25"/>
          <w:szCs w:val="25"/>
        </w:rPr>
      </w:pPr>
    </w:p>
    <w:p w14:paraId="43A44276" w14:textId="043B73FA" w:rsidR="00F10EEA" w:rsidRDefault="00CC0C40" w:rsidP="00CC0C40">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 xml:space="preserve">After reviewing the </w:t>
      </w:r>
      <w:r w:rsidRPr="000370FF">
        <w:rPr>
          <w:rFonts w:ascii="Aptos" w:eastAsia="Times New Roman" w:hAnsi="Aptos" w:cs="Times New Roman"/>
          <w:i/>
          <w:iCs/>
          <w:sz w:val="25"/>
          <w:szCs w:val="25"/>
        </w:rPr>
        <w:t xml:space="preserve">Hearing Request </w:t>
      </w:r>
      <w:r w:rsidRPr="000370FF">
        <w:rPr>
          <w:rFonts w:ascii="Aptos" w:eastAsia="Times New Roman" w:hAnsi="Aptos" w:cs="Times New Roman"/>
          <w:sz w:val="25"/>
          <w:szCs w:val="25"/>
        </w:rPr>
        <w:t xml:space="preserve">in the light most favorable to </w:t>
      </w:r>
      <w:r w:rsidR="00C7478F">
        <w:rPr>
          <w:rFonts w:ascii="Aptos" w:eastAsia="Times New Roman" w:hAnsi="Aptos" w:cs="Times New Roman"/>
          <w:sz w:val="25"/>
          <w:szCs w:val="25"/>
        </w:rPr>
        <w:t xml:space="preserve">Parents </w:t>
      </w:r>
      <w:r w:rsidR="00E12E06">
        <w:rPr>
          <w:rFonts w:ascii="Aptos" w:eastAsia="Times New Roman" w:hAnsi="Aptos" w:cs="Times New Roman"/>
          <w:sz w:val="25"/>
          <w:szCs w:val="25"/>
        </w:rPr>
        <w:t>(</w:t>
      </w:r>
      <w:r w:rsidR="00C7478F">
        <w:rPr>
          <w:rFonts w:ascii="Aptos" w:eastAsia="Times New Roman" w:hAnsi="Aptos" w:cs="Times New Roman"/>
          <w:sz w:val="25"/>
          <w:szCs w:val="25"/>
        </w:rPr>
        <w:t>and Student</w:t>
      </w:r>
      <w:r w:rsidR="00E12E06">
        <w:rPr>
          <w:rFonts w:ascii="Aptos" w:eastAsia="Times New Roman" w:hAnsi="Aptos" w:cs="Times New Roman"/>
          <w:sz w:val="25"/>
          <w:szCs w:val="25"/>
        </w:rPr>
        <w:t>)</w:t>
      </w:r>
      <w:r w:rsidRPr="000370FF">
        <w:rPr>
          <w:rFonts w:ascii="Aptos" w:eastAsia="Times New Roman" w:hAnsi="Aptos" w:cs="Times New Roman"/>
          <w:sz w:val="25"/>
          <w:szCs w:val="25"/>
        </w:rPr>
        <w:t xml:space="preserve">, </w:t>
      </w:r>
      <w:r w:rsidR="00144CF8">
        <w:rPr>
          <w:rFonts w:ascii="Aptos" w:eastAsia="Times New Roman" w:hAnsi="Aptos" w:cs="Times New Roman"/>
          <w:sz w:val="25"/>
          <w:szCs w:val="25"/>
        </w:rPr>
        <w:t xml:space="preserve">and </w:t>
      </w:r>
      <w:r w:rsidRPr="000370FF">
        <w:rPr>
          <w:rFonts w:ascii="Aptos" w:eastAsia="Times New Roman" w:hAnsi="Aptos" w:cs="Times New Roman"/>
          <w:sz w:val="25"/>
          <w:szCs w:val="25"/>
        </w:rPr>
        <w:t xml:space="preserve">as I am required to do, I find that </w:t>
      </w:r>
      <w:r w:rsidR="00C81D6D">
        <w:rPr>
          <w:rFonts w:ascii="Aptos" w:eastAsia="Times New Roman" w:hAnsi="Aptos" w:cs="Times New Roman"/>
          <w:sz w:val="25"/>
          <w:szCs w:val="25"/>
        </w:rPr>
        <w:t>it does not contain any claims which can proceed to a hearing on the merits</w:t>
      </w:r>
      <w:r w:rsidR="00C7158D">
        <w:rPr>
          <w:rFonts w:ascii="Aptos" w:eastAsia="Times New Roman" w:hAnsi="Aptos" w:cs="Times New Roman"/>
          <w:sz w:val="25"/>
          <w:szCs w:val="25"/>
        </w:rPr>
        <w:t>,</w:t>
      </w:r>
      <w:r w:rsidR="003630F3">
        <w:rPr>
          <w:rFonts w:ascii="Aptos" w:eastAsia="Times New Roman" w:hAnsi="Aptos" w:cs="Times New Roman"/>
          <w:sz w:val="25"/>
          <w:szCs w:val="25"/>
        </w:rPr>
        <w:t xml:space="preserve"> and </w:t>
      </w:r>
      <w:r w:rsidR="00D21397">
        <w:rPr>
          <w:rFonts w:ascii="Aptos" w:eastAsia="Times New Roman" w:hAnsi="Aptos" w:cs="Times New Roman"/>
          <w:sz w:val="25"/>
          <w:szCs w:val="25"/>
        </w:rPr>
        <w:t xml:space="preserve">thus this </w:t>
      </w:r>
      <w:r w:rsidR="00D21397" w:rsidRPr="00D21397">
        <w:rPr>
          <w:rFonts w:ascii="Aptos" w:eastAsia="Times New Roman" w:hAnsi="Aptos" w:cs="Times New Roman"/>
          <w:i/>
          <w:iCs/>
          <w:sz w:val="25"/>
          <w:szCs w:val="25"/>
        </w:rPr>
        <w:t>Hearing Request</w:t>
      </w:r>
      <w:r w:rsidR="00D21397">
        <w:rPr>
          <w:rFonts w:ascii="Aptos" w:eastAsia="Times New Roman" w:hAnsi="Aptos" w:cs="Times New Roman"/>
          <w:sz w:val="25"/>
          <w:szCs w:val="25"/>
        </w:rPr>
        <w:t xml:space="preserve"> must be dismissed</w:t>
      </w:r>
      <w:r w:rsidR="004741B1">
        <w:rPr>
          <w:rFonts w:ascii="Aptos" w:eastAsia="Times New Roman" w:hAnsi="Aptos" w:cs="Times New Roman"/>
          <w:sz w:val="25"/>
          <w:szCs w:val="25"/>
        </w:rPr>
        <w:t xml:space="preserve"> with prejudice</w:t>
      </w:r>
      <w:r w:rsidR="00D21397">
        <w:rPr>
          <w:rFonts w:ascii="Aptos" w:eastAsia="Times New Roman" w:hAnsi="Aptos" w:cs="Times New Roman"/>
          <w:sz w:val="25"/>
          <w:szCs w:val="25"/>
        </w:rPr>
        <w:t xml:space="preserve">. </w:t>
      </w:r>
      <w:r w:rsidR="00A15C07">
        <w:rPr>
          <w:rFonts w:ascii="Aptos" w:eastAsia="Times New Roman" w:hAnsi="Aptos" w:cs="Times New Roman"/>
          <w:sz w:val="25"/>
          <w:szCs w:val="25"/>
        </w:rPr>
        <w:t>Parents</w:t>
      </w:r>
      <w:r w:rsidR="00C7158D">
        <w:rPr>
          <w:rFonts w:ascii="Aptos" w:eastAsia="Times New Roman" w:hAnsi="Aptos" w:cs="Times New Roman"/>
          <w:sz w:val="25"/>
          <w:szCs w:val="25"/>
        </w:rPr>
        <w:t>’</w:t>
      </w:r>
      <w:r w:rsidR="00A15C07">
        <w:rPr>
          <w:rFonts w:ascii="Aptos" w:eastAsia="Times New Roman" w:hAnsi="Aptos" w:cs="Times New Roman"/>
          <w:sz w:val="25"/>
          <w:szCs w:val="25"/>
        </w:rPr>
        <w:t xml:space="preserve"> claims in the </w:t>
      </w:r>
      <w:r w:rsidR="00A15C07">
        <w:rPr>
          <w:rFonts w:ascii="Aptos" w:eastAsia="Times New Roman" w:hAnsi="Aptos" w:cs="Times New Roman"/>
          <w:i/>
          <w:iCs/>
          <w:sz w:val="25"/>
          <w:szCs w:val="25"/>
        </w:rPr>
        <w:t>Hearing Request</w:t>
      </w:r>
      <w:r w:rsidR="00DC38C4">
        <w:rPr>
          <w:rFonts w:ascii="Aptos" w:eastAsia="Times New Roman" w:hAnsi="Aptos" w:cs="Times New Roman"/>
          <w:sz w:val="25"/>
          <w:szCs w:val="25"/>
        </w:rPr>
        <w:t xml:space="preserve">, </w:t>
      </w:r>
      <w:r w:rsidR="002F5572">
        <w:rPr>
          <w:rFonts w:ascii="Aptos" w:eastAsia="Times New Roman" w:hAnsi="Aptos" w:cs="Times New Roman"/>
          <w:sz w:val="25"/>
          <w:szCs w:val="25"/>
        </w:rPr>
        <w:t xml:space="preserve">even viewing them deferentially </w:t>
      </w:r>
      <w:proofErr w:type="gramStart"/>
      <w:r w:rsidR="002F5572">
        <w:rPr>
          <w:rFonts w:ascii="Aptos" w:eastAsia="Times New Roman" w:hAnsi="Aptos" w:cs="Times New Roman"/>
          <w:sz w:val="25"/>
          <w:szCs w:val="25"/>
        </w:rPr>
        <w:t>in light of</w:t>
      </w:r>
      <w:proofErr w:type="gramEnd"/>
      <w:r w:rsidR="002F5572">
        <w:rPr>
          <w:rFonts w:ascii="Aptos" w:eastAsia="Times New Roman" w:hAnsi="Aptos" w:cs="Times New Roman"/>
          <w:sz w:val="25"/>
          <w:szCs w:val="25"/>
        </w:rPr>
        <w:t xml:space="preserve"> Parents’ </w:t>
      </w:r>
      <w:r w:rsidR="002F5572">
        <w:rPr>
          <w:rFonts w:ascii="Aptos" w:eastAsia="Times New Roman" w:hAnsi="Aptos" w:cs="Times New Roman"/>
          <w:i/>
          <w:iCs/>
          <w:sz w:val="25"/>
          <w:szCs w:val="25"/>
        </w:rPr>
        <w:t>pro se</w:t>
      </w:r>
      <w:r w:rsidR="002F5572">
        <w:rPr>
          <w:rFonts w:ascii="Aptos" w:eastAsia="Times New Roman" w:hAnsi="Aptos" w:cs="Times New Roman"/>
          <w:sz w:val="25"/>
          <w:szCs w:val="25"/>
        </w:rPr>
        <w:t xml:space="preserve"> status, </w:t>
      </w:r>
      <w:r w:rsidR="00E423F6">
        <w:rPr>
          <w:rFonts w:ascii="Aptos" w:eastAsia="Times New Roman" w:hAnsi="Aptos" w:cs="Times New Roman"/>
          <w:sz w:val="25"/>
          <w:szCs w:val="25"/>
        </w:rPr>
        <w:t xml:space="preserve">all </w:t>
      </w:r>
      <w:r w:rsidR="002F5572">
        <w:rPr>
          <w:rFonts w:ascii="Aptos" w:eastAsia="Times New Roman" w:hAnsi="Aptos" w:cs="Times New Roman"/>
          <w:sz w:val="25"/>
          <w:szCs w:val="25"/>
        </w:rPr>
        <w:t xml:space="preserve">appear to </w:t>
      </w:r>
      <w:r w:rsidR="00E423F6">
        <w:rPr>
          <w:rFonts w:ascii="Aptos" w:eastAsia="Times New Roman" w:hAnsi="Aptos" w:cs="Times New Roman"/>
          <w:sz w:val="25"/>
          <w:szCs w:val="25"/>
        </w:rPr>
        <w:t xml:space="preserve">pertain </w:t>
      </w:r>
      <w:r w:rsidR="00A15C07">
        <w:rPr>
          <w:rFonts w:ascii="Aptos" w:eastAsia="Times New Roman" w:hAnsi="Aptos" w:cs="Times New Roman"/>
          <w:sz w:val="25"/>
          <w:szCs w:val="25"/>
        </w:rPr>
        <w:t xml:space="preserve">to allegations of </w:t>
      </w:r>
      <w:r w:rsidR="00B12F46">
        <w:rPr>
          <w:rFonts w:ascii="Aptos" w:eastAsia="Times New Roman" w:hAnsi="Aptos" w:cs="Times New Roman"/>
          <w:sz w:val="25"/>
          <w:szCs w:val="25"/>
        </w:rPr>
        <w:t xml:space="preserve">overidentification, misclassification, </w:t>
      </w:r>
      <w:r w:rsidR="005D31E2">
        <w:rPr>
          <w:rFonts w:ascii="Aptos" w:eastAsia="Times New Roman" w:hAnsi="Aptos" w:cs="Times New Roman"/>
          <w:sz w:val="25"/>
          <w:szCs w:val="25"/>
        </w:rPr>
        <w:t xml:space="preserve">and provision of </w:t>
      </w:r>
      <w:r w:rsidR="00E423F6">
        <w:rPr>
          <w:rFonts w:ascii="Aptos" w:eastAsia="Times New Roman" w:hAnsi="Aptos" w:cs="Times New Roman"/>
          <w:sz w:val="25"/>
          <w:szCs w:val="25"/>
        </w:rPr>
        <w:t>a greater amount of</w:t>
      </w:r>
      <w:r w:rsidR="005D31E2">
        <w:rPr>
          <w:rFonts w:ascii="Aptos" w:eastAsia="Times New Roman" w:hAnsi="Aptos" w:cs="Times New Roman"/>
          <w:sz w:val="25"/>
          <w:szCs w:val="25"/>
        </w:rPr>
        <w:t xml:space="preserve"> </w:t>
      </w:r>
      <w:r w:rsidR="006242E7">
        <w:rPr>
          <w:rFonts w:ascii="Aptos" w:eastAsia="Times New Roman" w:hAnsi="Aptos" w:cs="Times New Roman"/>
          <w:sz w:val="25"/>
          <w:szCs w:val="25"/>
        </w:rPr>
        <w:t xml:space="preserve">special education </w:t>
      </w:r>
      <w:r w:rsidR="005D31E2">
        <w:rPr>
          <w:rFonts w:ascii="Aptos" w:eastAsia="Times New Roman" w:hAnsi="Aptos" w:cs="Times New Roman"/>
          <w:sz w:val="25"/>
          <w:szCs w:val="25"/>
        </w:rPr>
        <w:t xml:space="preserve">services, supports and accommodations than Student required that “culminated” in an out-of-district placement Parents </w:t>
      </w:r>
      <w:r w:rsidR="00840714">
        <w:rPr>
          <w:rFonts w:ascii="Aptos" w:eastAsia="Times New Roman" w:hAnsi="Aptos" w:cs="Times New Roman"/>
          <w:sz w:val="25"/>
          <w:szCs w:val="25"/>
        </w:rPr>
        <w:t xml:space="preserve">do not believe was </w:t>
      </w:r>
      <w:r w:rsidR="005D31E2">
        <w:rPr>
          <w:rFonts w:ascii="Aptos" w:eastAsia="Times New Roman" w:hAnsi="Aptos" w:cs="Times New Roman"/>
          <w:sz w:val="25"/>
          <w:szCs w:val="25"/>
        </w:rPr>
        <w:t xml:space="preserve">appropriate.  </w:t>
      </w:r>
      <w:r w:rsidR="0053020F">
        <w:rPr>
          <w:rFonts w:ascii="Aptos" w:eastAsia="Times New Roman" w:hAnsi="Aptos" w:cs="Times New Roman"/>
          <w:sz w:val="25"/>
          <w:szCs w:val="25"/>
        </w:rPr>
        <w:t xml:space="preserve">These </w:t>
      </w:r>
      <w:r w:rsidR="005D31E2">
        <w:rPr>
          <w:rFonts w:ascii="Aptos" w:eastAsia="Times New Roman" w:hAnsi="Aptos" w:cs="Times New Roman"/>
          <w:sz w:val="25"/>
          <w:szCs w:val="25"/>
        </w:rPr>
        <w:t xml:space="preserve">allegations </w:t>
      </w:r>
      <w:r w:rsidR="0053020F">
        <w:rPr>
          <w:rFonts w:ascii="Aptos" w:eastAsia="Times New Roman" w:hAnsi="Aptos" w:cs="Times New Roman"/>
          <w:sz w:val="25"/>
          <w:szCs w:val="25"/>
        </w:rPr>
        <w:t xml:space="preserve">all </w:t>
      </w:r>
      <w:r w:rsidR="005D31E2">
        <w:rPr>
          <w:rFonts w:ascii="Aptos" w:eastAsia="Times New Roman" w:hAnsi="Aptos" w:cs="Times New Roman"/>
          <w:sz w:val="25"/>
          <w:szCs w:val="25"/>
        </w:rPr>
        <w:t>arose prior to Parents</w:t>
      </w:r>
      <w:r w:rsidR="00BA0217">
        <w:rPr>
          <w:rFonts w:ascii="Aptos" w:eastAsia="Times New Roman" w:hAnsi="Aptos" w:cs="Times New Roman"/>
          <w:sz w:val="25"/>
          <w:szCs w:val="25"/>
        </w:rPr>
        <w:t>’</w:t>
      </w:r>
      <w:r w:rsidR="005D31E2">
        <w:rPr>
          <w:rFonts w:ascii="Aptos" w:eastAsia="Times New Roman" w:hAnsi="Aptos" w:cs="Times New Roman"/>
          <w:sz w:val="25"/>
          <w:szCs w:val="25"/>
        </w:rPr>
        <w:t xml:space="preserve"> decision in March 2023 to “withdraw [Student] from his IEP”. </w:t>
      </w:r>
      <w:r w:rsidR="00A44D4F">
        <w:rPr>
          <w:rFonts w:ascii="Aptos" w:eastAsia="Times New Roman" w:hAnsi="Aptos" w:cs="Times New Roman"/>
          <w:sz w:val="25"/>
          <w:szCs w:val="25"/>
        </w:rPr>
        <w:t xml:space="preserve">The District argues that these claims </w:t>
      </w:r>
      <w:r w:rsidRPr="000370FF">
        <w:rPr>
          <w:rFonts w:ascii="Aptos" w:eastAsia="Times New Roman" w:hAnsi="Aptos" w:cs="Times New Roman"/>
          <w:sz w:val="25"/>
          <w:szCs w:val="25"/>
        </w:rPr>
        <w:t>must</w:t>
      </w:r>
      <w:r w:rsidR="0053020F">
        <w:rPr>
          <w:rFonts w:ascii="Aptos" w:eastAsia="Times New Roman" w:hAnsi="Aptos" w:cs="Times New Roman"/>
          <w:sz w:val="25"/>
          <w:szCs w:val="25"/>
        </w:rPr>
        <w:t>, therefore,</w:t>
      </w:r>
      <w:r w:rsidRPr="000370FF">
        <w:rPr>
          <w:rFonts w:ascii="Aptos" w:eastAsia="Times New Roman" w:hAnsi="Aptos" w:cs="Times New Roman"/>
          <w:sz w:val="25"/>
          <w:szCs w:val="25"/>
        </w:rPr>
        <w:t xml:space="preserve"> be dismissed, as being beyond the two-year statutory limitation period.  </w:t>
      </w:r>
      <w:r w:rsidR="00A44D4F">
        <w:rPr>
          <w:rFonts w:ascii="Aptos" w:eastAsia="Times New Roman" w:hAnsi="Aptos" w:cs="Times New Roman"/>
          <w:sz w:val="25"/>
          <w:szCs w:val="25"/>
        </w:rPr>
        <w:t>Parents</w:t>
      </w:r>
      <w:r w:rsidRPr="000370FF">
        <w:rPr>
          <w:rFonts w:ascii="Aptos" w:eastAsia="Times New Roman" w:hAnsi="Aptos" w:cs="Times New Roman"/>
          <w:sz w:val="25"/>
          <w:szCs w:val="25"/>
        </w:rPr>
        <w:t xml:space="preserve"> dispute dismissal on this basis, arguing that an exception to the two</w:t>
      </w:r>
      <w:r w:rsidR="00F10EEA">
        <w:rPr>
          <w:rFonts w:ascii="Aptos" w:eastAsia="Times New Roman" w:hAnsi="Aptos" w:cs="Times New Roman"/>
          <w:sz w:val="25"/>
          <w:szCs w:val="25"/>
        </w:rPr>
        <w:t>-</w:t>
      </w:r>
      <w:r w:rsidRPr="000370FF">
        <w:rPr>
          <w:rFonts w:ascii="Aptos" w:eastAsia="Times New Roman" w:hAnsi="Aptos" w:cs="Times New Roman"/>
          <w:sz w:val="25"/>
          <w:szCs w:val="25"/>
        </w:rPr>
        <w:t xml:space="preserve">year statutory limitation period applies.  </w:t>
      </w:r>
    </w:p>
    <w:p w14:paraId="1E1DF48A" w14:textId="77777777" w:rsidR="00F10EEA" w:rsidRDefault="00F10EEA" w:rsidP="00CC0C40">
      <w:pPr>
        <w:shd w:val="clear" w:color="auto" w:fill="FFFFFF"/>
        <w:rPr>
          <w:rFonts w:ascii="Aptos" w:eastAsia="Times New Roman" w:hAnsi="Aptos" w:cs="Times New Roman"/>
          <w:sz w:val="25"/>
          <w:szCs w:val="25"/>
        </w:rPr>
      </w:pPr>
    </w:p>
    <w:p w14:paraId="3674E877" w14:textId="19985367" w:rsidR="00BE75AD" w:rsidRDefault="00BE75AD" w:rsidP="00CC0C40">
      <w:pPr>
        <w:shd w:val="clear" w:color="auto" w:fill="FFFFFF"/>
        <w:rPr>
          <w:rFonts w:ascii="Aptos" w:eastAsia="Times New Roman" w:hAnsi="Aptos" w:cs="Times New Roman"/>
          <w:sz w:val="25"/>
          <w:szCs w:val="25"/>
        </w:rPr>
      </w:pPr>
      <w:r>
        <w:rPr>
          <w:rFonts w:ascii="Aptos" w:eastAsia="Times New Roman" w:hAnsi="Aptos" w:cs="Times New Roman"/>
          <w:sz w:val="25"/>
          <w:szCs w:val="25"/>
        </w:rPr>
        <w:t>Specifically, Parents contend that they did not discover their claims until Student had successful</w:t>
      </w:r>
      <w:r w:rsidR="00DB7E3D">
        <w:rPr>
          <w:rFonts w:ascii="Aptos" w:eastAsia="Times New Roman" w:hAnsi="Aptos" w:cs="Times New Roman"/>
          <w:sz w:val="25"/>
          <w:szCs w:val="25"/>
        </w:rPr>
        <w:t xml:space="preserve">ly graduated.  They also claim </w:t>
      </w:r>
      <w:r w:rsidR="004C768C">
        <w:rPr>
          <w:rFonts w:ascii="Aptos" w:eastAsia="Times New Roman" w:hAnsi="Aptos" w:cs="Times New Roman"/>
          <w:sz w:val="25"/>
          <w:szCs w:val="25"/>
        </w:rPr>
        <w:t xml:space="preserve">in their </w:t>
      </w:r>
      <w:r w:rsidR="004C768C">
        <w:rPr>
          <w:rFonts w:ascii="Aptos" w:eastAsia="Times New Roman" w:hAnsi="Aptos" w:cs="Times New Roman"/>
          <w:i/>
          <w:iCs/>
          <w:sz w:val="25"/>
          <w:szCs w:val="25"/>
        </w:rPr>
        <w:t xml:space="preserve">Opposition </w:t>
      </w:r>
      <w:r w:rsidR="00FD02BC">
        <w:rPr>
          <w:rFonts w:ascii="Aptos" w:eastAsia="Times New Roman" w:hAnsi="Aptos" w:cs="Times New Roman"/>
          <w:sz w:val="25"/>
          <w:szCs w:val="25"/>
        </w:rPr>
        <w:t>(</w:t>
      </w:r>
      <w:r w:rsidR="004C768C">
        <w:rPr>
          <w:rFonts w:ascii="Aptos" w:eastAsia="Times New Roman" w:hAnsi="Aptos" w:cs="Times New Roman"/>
          <w:sz w:val="25"/>
          <w:szCs w:val="25"/>
        </w:rPr>
        <w:t>without any more context</w:t>
      </w:r>
      <w:r w:rsidR="00FD02BC">
        <w:rPr>
          <w:rFonts w:ascii="Aptos" w:eastAsia="Times New Roman" w:hAnsi="Aptos" w:cs="Times New Roman"/>
          <w:sz w:val="25"/>
          <w:szCs w:val="25"/>
        </w:rPr>
        <w:t>)</w:t>
      </w:r>
      <w:r w:rsidR="004C768C">
        <w:rPr>
          <w:rFonts w:ascii="Aptos" w:eastAsia="Times New Roman" w:hAnsi="Aptos" w:cs="Times New Roman"/>
          <w:sz w:val="25"/>
          <w:szCs w:val="25"/>
        </w:rPr>
        <w:t xml:space="preserve">, </w:t>
      </w:r>
      <w:r w:rsidR="00581ABC">
        <w:rPr>
          <w:rFonts w:ascii="Aptos" w:eastAsia="Times New Roman" w:hAnsi="Aptos" w:cs="Times New Roman"/>
          <w:sz w:val="25"/>
          <w:szCs w:val="25"/>
        </w:rPr>
        <w:t>that the District did not provide them with “</w:t>
      </w:r>
      <w:r w:rsidR="004C768C">
        <w:rPr>
          <w:rFonts w:ascii="Aptos" w:eastAsia="Times New Roman" w:hAnsi="Aptos" w:cs="Times New Roman"/>
          <w:sz w:val="25"/>
          <w:szCs w:val="25"/>
        </w:rPr>
        <w:t>emails, evaluations and an internal investigation report”.  Finally</w:t>
      </w:r>
      <w:r w:rsidR="00CD362B">
        <w:rPr>
          <w:rFonts w:ascii="Aptos" w:eastAsia="Times New Roman" w:hAnsi="Aptos" w:cs="Times New Roman"/>
          <w:sz w:val="25"/>
          <w:szCs w:val="25"/>
        </w:rPr>
        <w:t>,</w:t>
      </w:r>
      <w:r w:rsidR="004C768C">
        <w:rPr>
          <w:rFonts w:ascii="Aptos" w:eastAsia="Times New Roman" w:hAnsi="Aptos" w:cs="Times New Roman"/>
          <w:sz w:val="25"/>
          <w:szCs w:val="25"/>
        </w:rPr>
        <w:t xml:space="preserve"> they claim in their </w:t>
      </w:r>
      <w:r w:rsidR="004C768C">
        <w:rPr>
          <w:rFonts w:ascii="Aptos" w:eastAsia="Times New Roman" w:hAnsi="Aptos" w:cs="Times New Roman"/>
          <w:i/>
          <w:iCs/>
          <w:sz w:val="25"/>
          <w:szCs w:val="25"/>
        </w:rPr>
        <w:t xml:space="preserve">Supplemental Opposition </w:t>
      </w:r>
      <w:r w:rsidR="004C768C">
        <w:rPr>
          <w:rFonts w:ascii="Aptos" w:eastAsia="Times New Roman" w:hAnsi="Aptos" w:cs="Times New Roman"/>
          <w:sz w:val="25"/>
          <w:szCs w:val="25"/>
        </w:rPr>
        <w:t xml:space="preserve">that they had “genuine and reasonable” fear of retaliation in delaying the filing of their due process claims that justifies not applying the statute of limitations “rigidly”.  </w:t>
      </w:r>
    </w:p>
    <w:p w14:paraId="05C674F8" w14:textId="77777777" w:rsidR="004C768C" w:rsidRDefault="004C768C" w:rsidP="00CC0C40">
      <w:pPr>
        <w:shd w:val="clear" w:color="auto" w:fill="FFFFFF"/>
        <w:rPr>
          <w:rFonts w:ascii="Aptos" w:eastAsia="Times New Roman" w:hAnsi="Aptos" w:cs="Times New Roman"/>
          <w:sz w:val="25"/>
          <w:szCs w:val="25"/>
        </w:rPr>
      </w:pPr>
    </w:p>
    <w:p w14:paraId="7C9CC309" w14:textId="1794EA08" w:rsidR="004C768C" w:rsidRDefault="00F0001A" w:rsidP="00CC0C40">
      <w:pPr>
        <w:shd w:val="clear" w:color="auto" w:fill="FFFFFF"/>
        <w:rPr>
          <w:rFonts w:ascii="Aptos" w:eastAsia="Times New Roman" w:hAnsi="Aptos" w:cs="Times New Roman"/>
          <w:sz w:val="25"/>
          <w:szCs w:val="25"/>
        </w:rPr>
      </w:pPr>
      <w:r>
        <w:rPr>
          <w:rFonts w:ascii="Aptos" w:eastAsia="Times New Roman" w:hAnsi="Aptos" w:cs="Times New Roman"/>
          <w:sz w:val="25"/>
          <w:szCs w:val="25"/>
        </w:rPr>
        <w:t xml:space="preserve">Parents’ </w:t>
      </w:r>
      <w:r>
        <w:rPr>
          <w:rFonts w:ascii="Aptos" w:eastAsia="Times New Roman" w:hAnsi="Aptos" w:cs="Times New Roman"/>
          <w:i/>
          <w:iCs/>
          <w:sz w:val="25"/>
          <w:szCs w:val="25"/>
        </w:rPr>
        <w:t xml:space="preserve">pro </w:t>
      </w:r>
      <w:r w:rsidRPr="00F0001A">
        <w:rPr>
          <w:rFonts w:ascii="Aptos" w:eastAsia="Times New Roman" w:hAnsi="Aptos" w:cs="Times New Roman"/>
          <w:sz w:val="25"/>
          <w:szCs w:val="25"/>
        </w:rPr>
        <w:t>se</w:t>
      </w:r>
      <w:r>
        <w:rPr>
          <w:rFonts w:ascii="Aptos" w:eastAsia="Times New Roman" w:hAnsi="Aptos" w:cs="Times New Roman"/>
          <w:sz w:val="25"/>
          <w:szCs w:val="25"/>
        </w:rPr>
        <w:t xml:space="preserve"> status requires leniency in assessment of their pleadings, and that has been afforded here.  However, </w:t>
      </w:r>
      <w:r>
        <w:rPr>
          <w:rFonts w:ascii="Aptos" w:eastAsia="Times New Roman" w:hAnsi="Aptos" w:cs="Times New Roman"/>
          <w:i/>
          <w:iCs/>
          <w:sz w:val="25"/>
          <w:szCs w:val="25"/>
        </w:rPr>
        <w:t xml:space="preserve">pro se </w:t>
      </w:r>
      <w:r>
        <w:rPr>
          <w:rFonts w:ascii="Aptos" w:eastAsia="Times New Roman" w:hAnsi="Aptos" w:cs="Times New Roman"/>
          <w:sz w:val="25"/>
          <w:szCs w:val="25"/>
        </w:rPr>
        <w:t xml:space="preserve">status does not require leniency in application of the law to their pleadings.  </w:t>
      </w:r>
      <w:r w:rsidR="00E072C8">
        <w:rPr>
          <w:rFonts w:ascii="Aptos" w:eastAsia="Times New Roman" w:hAnsi="Aptos" w:cs="Times New Roman"/>
          <w:sz w:val="25"/>
          <w:szCs w:val="25"/>
        </w:rPr>
        <w:t>S</w:t>
      </w:r>
      <w:r w:rsidR="004C768C">
        <w:rPr>
          <w:rFonts w:ascii="Aptos" w:eastAsia="Times New Roman" w:hAnsi="Aptos" w:cs="Times New Roman"/>
          <w:sz w:val="25"/>
          <w:szCs w:val="25"/>
        </w:rPr>
        <w:t xml:space="preserve">tatues of limitations are </w:t>
      </w:r>
      <w:r w:rsidR="00766F85">
        <w:rPr>
          <w:rFonts w:ascii="Aptos" w:eastAsia="Times New Roman" w:hAnsi="Aptos" w:cs="Times New Roman"/>
          <w:sz w:val="25"/>
          <w:szCs w:val="25"/>
        </w:rPr>
        <w:t>applied</w:t>
      </w:r>
      <w:r w:rsidR="004C768C">
        <w:rPr>
          <w:rFonts w:ascii="Aptos" w:eastAsia="Times New Roman" w:hAnsi="Aptos" w:cs="Times New Roman"/>
          <w:sz w:val="25"/>
          <w:szCs w:val="25"/>
        </w:rPr>
        <w:t xml:space="preserve"> strictly</w:t>
      </w:r>
      <w:r w:rsidR="00964351">
        <w:rPr>
          <w:rFonts w:ascii="Aptos" w:eastAsia="Times New Roman" w:hAnsi="Aptos" w:cs="Times New Roman"/>
          <w:sz w:val="25"/>
          <w:szCs w:val="25"/>
        </w:rPr>
        <w:t xml:space="preserve"> and bar the pursuit of legal claims outside their timeframe</w:t>
      </w:r>
      <w:r w:rsidR="004C768C">
        <w:rPr>
          <w:rFonts w:ascii="Aptos" w:eastAsia="Times New Roman" w:hAnsi="Aptos" w:cs="Times New Roman"/>
          <w:sz w:val="25"/>
          <w:szCs w:val="25"/>
        </w:rPr>
        <w:t xml:space="preserve">, unless </w:t>
      </w:r>
      <w:r w:rsidR="00964351">
        <w:rPr>
          <w:rFonts w:ascii="Aptos" w:eastAsia="Times New Roman" w:hAnsi="Aptos" w:cs="Times New Roman"/>
          <w:sz w:val="25"/>
          <w:szCs w:val="25"/>
        </w:rPr>
        <w:t xml:space="preserve">an </w:t>
      </w:r>
      <w:r w:rsidR="004C768C">
        <w:rPr>
          <w:rFonts w:ascii="Aptos" w:eastAsia="Times New Roman" w:hAnsi="Aptos" w:cs="Times New Roman"/>
          <w:sz w:val="25"/>
          <w:szCs w:val="25"/>
        </w:rPr>
        <w:t>identified exception exist</w:t>
      </w:r>
      <w:r w:rsidR="00964351">
        <w:rPr>
          <w:rFonts w:ascii="Aptos" w:eastAsia="Times New Roman" w:hAnsi="Aptos" w:cs="Times New Roman"/>
          <w:sz w:val="25"/>
          <w:szCs w:val="25"/>
        </w:rPr>
        <w:t>s</w:t>
      </w:r>
      <w:r w:rsidR="00AB52E2">
        <w:rPr>
          <w:rStyle w:val="FootnoteReference"/>
          <w:rFonts w:ascii="Aptos" w:eastAsia="Times New Roman" w:hAnsi="Aptos" w:cs="Times New Roman"/>
          <w:sz w:val="25"/>
          <w:szCs w:val="25"/>
        </w:rPr>
        <w:footnoteReference w:id="19"/>
      </w:r>
      <w:r w:rsidR="004C768C">
        <w:rPr>
          <w:rFonts w:ascii="Aptos" w:eastAsia="Times New Roman" w:hAnsi="Aptos" w:cs="Times New Roman"/>
          <w:sz w:val="25"/>
          <w:szCs w:val="25"/>
        </w:rPr>
        <w:t xml:space="preserve">.  The IDEA grants only two exceptions to its established two-year statute of limitations - </w:t>
      </w:r>
      <w:r w:rsidR="004C768C" w:rsidRPr="000370FF">
        <w:rPr>
          <w:rFonts w:ascii="Aptos" w:eastAsia="Times New Roman" w:hAnsi="Aptos" w:cs="Times New Roman"/>
          <w:sz w:val="25"/>
          <w:szCs w:val="25"/>
        </w:rPr>
        <w:t xml:space="preserve">if a parent or student is </w:t>
      </w:r>
      <w:r w:rsidR="004C768C" w:rsidRPr="00D72C77">
        <w:rPr>
          <w:rFonts w:ascii="Aptos" w:eastAsia="Times New Roman" w:hAnsi="Aptos" w:cs="Times New Roman"/>
          <w:i/>
          <w:iCs/>
          <w:sz w:val="25"/>
          <w:szCs w:val="25"/>
        </w:rPr>
        <w:t>prevented from filing a hearing request</w:t>
      </w:r>
      <w:r w:rsidR="004C768C" w:rsidRPr="000370FF">
        <w:rPr>
          <w:rFonts w:ascii="Aptos" w:eastAsia="Times New Roman" w:hAnsi="Aptos" w:cs="Times New Roman"/>
          <w:sz w:val="25"/>
          <w:szCs w:val="25"/>
        </w:rPr>
        <w:t xml:space="preserve"> because of “(i) specific misrepresentations by the [district] that it had resolved the problem forming the basis of the complaint; or (ii) the [district]’s withholding of information from the parent [or student] that was required </w:t>
      </w:r>
      <w:r w:rsidR="002D65C8">
        <w:rPr>
          <w:rFonts w:ascii="Aptos" w:eastAsia="Times New Roman" w:hAnsi="Aptos" w:cs="Times New Roman"/>
          <w:sz w:val="25"/>
          <w:szCs w:val="25"/>
        </w:rPr>
        <w:t xml:space="preserve">under [the IDEA] </w:t>
      </w:r>
      <w:r w:rsidR="004C768C" w:rsidRPr="000370FF">
        <w:rPr>
          <w:rFonts w:ascii="Aptos" w:eastAsia="Times New Roman" w:hAnsi="Aptos" w:cs="Times New Roman"/>
          <w:sz w:val="25"/>
          <w:szCs w:val="25"/>
        </w:rPr>
        <w:t>to be provided</w:t>
      </w:r>
      <w:r w:rsidR="002D65C8">
        <w:rPr>
          <w:rFonts w:ascii="Aptos" w:eastAsia="Times New Roman" w:hAnsi="Aptos" w:cs="Times New Roman"/>
          <w:sz w:val="25"/>
          <w:szCs w:val="25"/>
        </w:rPr>
        <w:t xml:space="preserve"> to the parent</w:t>
      </w:r>
      <w:r w:rsidR="004C768C" w:rsidRPr="000370FF">
        <w:rPr>
          <w:rFonts w:ascii="Aptos" w:eastAsia="Times New Roman" w:hAnsi="Aptos" w:cs="Times New Roman"/>
          <w:sz w:val="25"/>
          <w:szCs w:val="25"/>
        </w:rPr>
        <w:t>”</w:t>
      </w:r>
      <w:r w:rsidR="004C768C" w:rsidRPr="000370FF">
        <w:rPr>
          <w:rStyle w:val="FootnoteReference"/>
          <w:rFonts w:ascii="Aptos" w:eastAsia="Times New Roman" w:hAnsi="Aptos" w:cs="Times New Roman"/>
          <w:sz w:val="25"/>
          <w:szCs w:val="25"/>
        </w:rPr>
        <w:footnoteReference w:id="20"/>
      </w:r>
      <w:r w:rsidR="00D72C77">
        <w:rPr>
          <w:rFonts w:ascii="Aptos" w:eastAsia="Times New Roman" w:hAnsi="Aptos" w:cs="Times New Roman"/>
          <w:sz w:val="25"/>
          <w:szCs w:val="25"/>
        </w:rPr>
        <w:t xml:space="preserve"> (emphasis added)</w:t>
      </w:r>
      <w:r w:rsidR="004C768C" w:rsidRPr="000370FF">
        <w:rPr>
          <w:rFonts w:ascii="Aptos" w:eastAsia="Times New Roman" w:hAnsi="Aptos" w:cs="Times New Roman"/>
          <w:sz w:val="25"/>
          <w:szCs w:val="25"/>
        </w:rPr>
        <w:t xml:space="preserve">.  </w:t>
      </w:r>
      <w:r w:rsidR="00CD362B">
        <w:rPr>
          <w:rFonts w:ascii="Aptos" w:eastAsia="Times New Roman" w:hAnsi="Aptos" w:cs="Times New Roman"/>
          <w:sz w:val="25"/>
          <w:szCs w:val="25"/>
        </w:rPr>
        <w:t xml:space="preserve"> None of Parents</w:t>
      </w:r>
      <w:r w:rsidR="001C3623">
        <w:rPr>
          <w:rFonts w:ascii="Aptos" w:eastAsia="Times New Roman" w:hAnsi="Aptos" w:cs="Times New Roman"/>
          <w:sz w:val="25"/>
          <w:szCs w:val="25"/>
        </w:rPr>
        <w:t>’</w:t>
      </w:r>
      <w:r w:rsidR="00CD362B">
        <w:rPr>
          <w:rFonts w:ascii="Aptos" w:eastAsia="Times New Roman" w:hAnsi="Aptos" w:cs="Times New Roman"/>
          <w:sz w:val="25"/>
          <w:szCs w:val="25"/>
        </w:rPr>
        <w:t xml:space="preserve"> arguments address the first exception</w:t>
      </w:r>
      <w:r w:rsidR="0052161E">
        <w:rPr>
          <w:rFonts w:ascii="Aptos" w:eastAsia="Times New Roman" w:hAnsi="Aptos" w:cs="Times New Roman"/>
          <w:sz w:val="25"/>
          <w:szCs w:val="25"/>
        </w:rPr>
        <w:t xml:space="preserve">.  While </w:t>
      </w:r>
      <w:r w:rsidR="00CD362B">
        <w:rPr>
          <w:rFonts w:ascii="Aptos" w:eastAsia="Times New Roman" w:hAnsi="Aptos" w:cs="Times New Roman"/>
          <w:sz w:val="25"/>
          <w:szCs w:val="25"/>
        </w:rPr>
        <w:t xml:space="preserve">Parents claim </w:t>
      </w:r>
      <w:r w:rsidR="00265507">
        <w:rPr>
          <w:rFonts w:ascii="Aptos" w:eastAsia="Times New Roman" w:hAnsi="Aptos" w:cs="Times New Roman"/>
          <w:sz w:val="25"/>
          <w:szCs w:val="25"/>
        </w:rPr>
        <w:t xml:space="preserve">that they </w:t>
      </w:r>
      <w:r w:rsidR="00CD362B">
        <w:rPr>
          <w:rFonts w:ascii="Aptos" w:eastAsia="Times New Roman" w:hAnsi="Aptos" w:cs="Times New Roman"/>
          <w:sz w:val="25"/>
          <w:szCs w:val="25"/>
        </w:rPr>
        <w:t>did not receive emails, evaluations or an internal investigation report appear</w:t>
      </w:r>
      <w:r w:rsidR="00BB4750">
        <w:rPr>
          <w:rFonts w:ascii="Aptos" w:eastAsia="Times New Roman" w:hAnsi="Aptos" w:cs="Times New Roman"/>
          <w:sz w:val="25"/>
          <w:szCs w:val="25"/>
        </w:rPr>
        <w:t>s</w:t>
      </w:r>
      <w:r w:rsidR="00CD362B">
        <w:rPr>
          <w:rFonts w:ascii="Aptos" w:eastAsia="Times New Roman" w:hAnsi="Aptos" w:cs="Times New Roman"/>
          <w:sz w:val="25"/>
          <w:szCs w:val="25"/>
        </w:rPr>
        <w:t xml:space="preserve"> to relate to the second exception,</w:t>
      </w:r>
      <w:r w:rsidR="00F648B8">
        <w:rPr>
          <w:rFonts w:ascii="Aptos" w:eastAsia="Times New Roman" w:hAnsi="Aptos" w:cs="Times New Roman"/>
          <w:sz w:val="25"/>
          <w:szCs w:val="25"/>
        </w:rPr>
        <w:t xml:space="preserve"> only evaluations, arguably, are required by the </w:t>
      </w:r>
      <w:r w:rsidR="0052161E">
        <w:rPr>
          <w:rFonts w:ascii="Aptos" w:eastAsia="Times New Roman" w:hAnsi="Aptos" w:cs="Times New Roman"/>
          <w:sz w:val="25"/>
          <w:szCs w:val="25"/>
        </w:rPr>
        <w:t xml:space="preserve">IDEA to be provided to a </w:t>
      </w:r>
      <w:r w:rsidR="00265507">
        <w:rPr>
          <w:rFonts w:ascii="Aptos" w:eastAsia="Times New Roman" w:hAnsi="Aptos" w:cs="Times New Roman"/>
          <w:sz w:val="25"/>
          <w:szCs w:val="25"/>
        </w:rPr>
        <w:t>p</w:t>
      </w:r>
      <w:r w:rsidR="0052161E">
        <w:rPr>
          <w:rFonts w:ascii="Aptos" w:eastAsia="Times New Roman" w:hAnsi="Aptos" w:cs="Times New Roman"/>
          <w:sz w:val="25"/>
          <w:szCs w:val="25"/>
        </w:rPr>
        <w:t xml:space="preserve">arent.  However, </w:t>
      </w:r>
      <w:r w:rsidR="00D72C77">
        <w:rPr>
          <w:rFonts w:ascii="Aptos" w:eastAsia="Times New Roman" w:hAnsi="Aptos" w:cs="Times New Roman"/>
          <w:sz w:val="25"/>
          <w:szCs w:val="25"/>
        </w:rPr>
        <w:t xml:space="preserve">none of the claims in the </w:t>
      </w:r>
      <w:r w:rsidR="00D72C77">
        <w:rPr>
          <w:rFonts w:ascii="Aptos" w:eastAsia="Times New Roman" w:hAnsi="Aptos" w:cs="Times New Roman"/>
          <w:i/>
          <w:iCs/>
          <w:sz w:val="25"/>
          <w:szCs w:val="25"/>
        </w:rPr>
        <w:t>Hearing Request</w:t>
      </w:r>
      <w:r w:rsidR="00D72C77">
        <w:rPr>
          <w:rFonts w:ascii="Aptos" w:eastAsia="Times New Roman" w:hAnsi="Aptos" w:cs="Times New Roman"/>
          <w:sz w:val="25"/>
          <w:szCs w:val="25"/>
        </w:rPr>
        <w:t xml:space="preserve"> relate</w:t>
      </w:r>
      <w:r w:rsidR="00B46F8A">
        <w:rPr>
          <w:rFonts w:ascii="Aptos" w:eastAsia="Times New Roman" w:hAnsi="Aptos" w:cs="Times New Roman"/>
          <w:sz w:val="25"/>
          <w:szCs w:val="25"/>
        </w:rPr>
        <w:t>s</w:t>
      </w:r>
      <w:r w:rsidR="00D72C77">
        <w:rPr>
          <w:rFonts w:ascii="Aptos" w:eastAsia="Times New Roman" w:hAnsi="Aptos" w:cs="Times New Roman"/>
          <w:sz w:val="25"/>
          <w:szCs w:val="25"/>
        </w:rPr>
        <w:t xml:space="preserve"> in any way to Parents not being provided with evaluations </w:t>
      </w:r>
      <w:r w:rsidR="00F15B62">
        <w:rPr>
          <w:rFonts w:ascii="Aptos" w:eastAsia="Times New Roman" w:hAnsi="Aptos" w:cs="Times New Roman"/>
          <w:sz w:val="25"/>
          <w:szCs w:val="25"/>
        </w:rPr>
        <w:t xml:space="preserve">that </w:t>
      </w:r>
      <w:r w:rsidR="00D72C77">
        <w:rPr>
          <w:rFonts w:ascii="Aptos" w:eastAsia="Times New Roman" w:hAnsi="Aptos" w:cs="Times New Roman"/>
          <w:sz w:val="25"/>
          <w:szCs w:val="25"/>
        </w:rPr>
        <w:t xml:space="preserve">the District was required </w:t>
      </w:r>
      <w:r w:rsidR="00265507">
        <w:rPr>
          <w:rFonts w:ascii="Aptos" w:eastAsia="Times New Roman" w:hAnsi="Aptos" w:cs="Times New Roman"/>
          <w:sz w:val="25"/>
          <w:szCs w:val="25"/>
        </w:rPr>
        <w:lastRenderedPageBreak/>
        <w:t xml:space="preserve">to provide </w:t>
      </w:r>
      <w:r w:rsidR="00F15B62">
        <w:rPr>
          <w:rFonts w:ascii="Aptos" w:eastAsia="Times New Roman" w:hAnsi="Aptos" w:cs="Times New Roman"/>
          <w:sz w:val="25"/>
          <w:szCs w:val="25"/>
        </w:rPr>
        <w:t xml:space="preserve">to </w:t>
      </w:r>
      <w:r w:rsidR="00265507">
        <w:rPr>
          <w:rFonts w:ascii="Aptos" w:eastAsia="Times New Roman" w:hAnsi="Aptos" w:cs="Times New Roman"/>
          <w:sz w:val="25"/>
          <w:szCs w:val="25"/>
        </w:rPr>
        <w:t>them</w:t>
      </w:r>
      <w:r w:rsidR="00B46F8A">
        <w:rPr>
          <w:rFonts w:ascii="Aptos" w:eastAsia="Times New Roman" w:hAnsi="Aptos" w:cs="Times New Roman"/>
          <w:sz w:val="25"/>
          <w:szCs w:val="25"/>
        </w:rPr>
        <w:t xml:space="preserve"> pursuant to the IDEA, nor</w:t>
      </w:r>
      <w:r w:rsidR="00E936E0">
        <w:rPr>
          <w:rFonts w:ascii="Aptos" w:eastAsia="Times New Roman" w:hAnsi="Aptos" w:cs="Times New Roman"/>
          <w:sz w:val="25"/>
          <w:szCs w:val="25"/>
        </w:rPr>
        <w:t xml:space="preserve"> to </w:t>
      </w:r>
      <w:r w:rsidR="00D72C77">
        <w:rPr>
          <w:rFonts w:ascii="Aptos" w:eastAsia="Times New Roman" w:hAnsi="Aptos" w:cs="Times New Roman"/>
          <w:sz w:val="25"/>
          <w:szCs w:val="25"/>
        </w:rPr>
        <w:t xml:space="preserve">how not receiving alleged missing evaluations prevented Parents from filing their </w:t>
      </w:r>
      <w:r w:rsidR="00D72C77">
        <w:rPr>
          <w:rFonts w:ascii="Aptos" w:eastAsia="Times New Roman" w:hAnsi="Aptos" w:cs="Times New Roman"/>
          <w:i/>
          <w:iCs/>
          <w:sz w:val="25"/>
          <w:szCs w:val="25"/>
        </w:rPr>
        <w:t>Hearing Request</w:t>
      </w:r>
      <w:r w:rsidR="00D72C77">
        <w:rPr>
          <w:rFonts w:ascii="Aptos" w:eastAsia="Times New Roman" w:hAnsi="Aptos" w:cs="Times New Roman"/>
          <w:sz w:val="25"/>
          <w:szCs w:val="25"/>
        </w:rPr>
        <w:t xml:space="preserve">.  Moreover, given that Parents </w:t>
      </w:r>
      <w:r w:rsidR="00BD0B3B">
        <w:rPr>
          <w:rFonts w:ascii="Aptos" w:eastAsia="Times New Roman" w:hAnsi="Aptos" w:cs="Times New Roman"/>
          <w:sz w:val="25"/>
          <w:szCs w:val="25"/>
        </w:rPr>
        <w:t>acknowledge</w:t>
      </w:r>
      <w:r w:rsidR="00E936E0">
        <w:rPr>
          <w:rFonts w:ascii="Aptos" w:eastAsia="Times New Roman" w:hAnsi="Aptos" w:cs="Times New Roman"/>
          <w:sz w:val="25"/>
          <w:szCs w:val="25"/>
        </w:rPr>
        <w:t xml:space="preserve"> that in March 2023</w:t>
      </w:r>
      <w:r w:rsidR="00BD0B3B">
        <w:rPr>
          <w:rFonts w:ascii="Aptos" w:eastAsia="Times New Roman" w:hAnsi="Aptos" w:cs="Times New Roman"/>
          <w:sz w:val="25"/>
          <w:szCs w:val="25"/>
        </w:rPr>
        <w:t xml:space="preserve"> they </w:t>
      </w:r>
      <w:r w:rsidR="00D72C77">
        <w:rPr>
          <w:rFonts w:ascii="Aptos" w:eastAsia="Times New Roman" w:hAnsi="Aptos" w:cs="Times New Roman"/>
          <w:sz w:val="25"/>
          <w:szCs w:val="25"/>
        </w:rPr>
        <w:t xml:space="preserve">removed Student from receiving any of the IEP services and supports that they </w:t>
      </w:r>
      <w:r w:rsidR="00F15B62">
        <w:rPr>
          <w:rFonts w:ascii="Aptos" w:eastAsia="Times New Roman" w:hAnsi="Aptos" w:cs="Times New Roman"/>
          <w:sz w:val="25"/>
          <w:szCs w:val="25"/>
        </w:rPr>
        <w:t>contend</w:t>
      </w:r>
      <w:r w:rsidR="00BD0B3B">
        <w:rPr>
          <w:rFonts w:ascii="Aptos" w:eastAsia="Times New Roman" w:hAnsi="Aptos" w:cs="Times New Roman"/>
          <w:sz w:val="25"/>
          <w:szCs w:val="25"/>
        </w:rPr>
        <w:t xml:space="preserve"> he </w:t>
      </w:r>
      <w:r w:rsidR="00F15B62">
        <w:rPr>
          <w:rFonts w:ascii="Aptos" w:eastAsia="Times New Roman" w:hAnsi="Aptos" w:cs="Times New Roman"/>
          <w:sz w:val="25"/>
          <w:szCs w:val="25"/>
        </w:rPr>
        <w:t>did not need</w:t>
      </w:r>
      <w:r w:rsidR="00BD0B3B">
        <w:rPr>
          <w:rFonts w:ascii="Aptos" w:eastAsia="Times New Roman" w:hAnsi="Aptos" w:cs="Times New Roman"/>
          <w:sz w:val="25"/>
          <w:szCs w:val="25"/>
        </w:rPr>
        <w:t xml:space="preserve">, I agree with the District that </w:t>
      </w:r>
      <w:r w:rsidR="009F3170">
        <w:rPr>
          <w:rFonts w:ascii="Aptos" w:eastAsia="Times New Roman" w:hAnsi="Aptos" w:cs="Times New Roman"/>
          <w:sz w:val="25"/>
          <w:szCs w:val="25"/>
        </w:rPr>
        <w:t xml:space="preserve">this evidences </w:t>
      </w:r>
      <w:r w:rsidR="00064C06">
        <w:rPr>
          <w:rFonts w:ascii="Aptos" w:eastAsia="Times New Roman" w:hAnsi="Aptos" w:cs="Times New Roman"/>
          <w:sz w:val="25"/>
          <w:szCs w:val="25"/>
        </w:rPr>
        <w:t xml:space="preserve">that more than two years before filing the </w:t>
      </w:r>
      <w:r w:rsidR="00064C06">
        <w:rPr>
          <w:rFonts w:ascii="Aptos" w:eastAsia="Times New Roman" w:hAnsi="Aptos" w:cs="Times New Roman"/>
          <w:i/>
          <w:iCs/>
          <w:sz w:val="25"/>
          <w:szCs w:val="25"/>
        </w:rPr>
        <w:t xml:space="preserve">Hearing Request </w:t>
      </w:r>
      <w:r w:rsidR="00064C06">
        <w:rPr>
          <w:rFonts w:ascii="Aptos" w:eastAsia="Times New Roman" w:hAnsi="Aptos" w:cs="Times New Roman"/>
          <w:sz w:val="25"/>
          <w:szCs w:val="25"/>
        </w:rPr>
        <w:t>they “</w:t>
      </w:r>
      <w:r w:rsidR="00E936E0">
        <w:rPr>
          <w:rFonts w:ascii="Aptos" w:eastAsia="Times New Roman" w:hAnsi="Aptos" w:cs="Times New Roman"/>
          <w:sz w:val="25"/>
          <w:szCs w:val="25"/>
        </w:rPr>
        <w:t xml:space="preserve">… </w:t>
      </w:r>
      <w:r w:rsidR="00064C06" w:rsidRPr="000370FF">
        <w:rPr>
          <w:rFonts w:ascii="Aptos" w:eastAsia="Times New Roman" w:hAnsi="Aptos" w:cs="Times New Roman"/>
          <w:sz w:val="25"/>
          <w:szCs w:val="25"/>
        </w:rPr>
        <w:t>knew or should have known of the actions forming the basis</w:t>
      </w:r>
      <w:r w:rsidR="00064C06">
        <w:rPr>
          <w:rFonts w:ascii="Aptos" w:eastAsia="Times New Roman" w:hAnsi="Aptos" w:cs="Times New Roman"/>
          <w:sz w:val="25"/>
          <w:szCs w:val="25"/>
        </w:rPr>
        <w:t>”</w:t>
      </w:r>
      <w:r w:rsidR="00073FBF">
        <w:rPr>
          <w:rFonts w:ascii="Aptos" w:eastAsia="Times New Roman" w:hAnsi="Aptos" w:cs="Times New Roman"/>
          <w:sz w:val="25"/>
          <w:szCs w:val="25"/>
        </w:rPr>
        <w:t xml:space="preserve"> of these claims</w:t>
      </w:r>
      <w:r w:rsidR="00064C06" w:rsidRPr="000370FF">
        <w:rPr>
          <w:rStyle w:val="FootnoteReference"/>
          <w:rFonts w:ascii="Aptos" w:eastAsia="Times New Roman" w:hAnsi="Aptos" w:cs="Times New Roman"/>
          <w:sz w:val="25"/>
          <w:szCs w:val="25"/>
        </w:rPr>
        <w:footnoteReference w:id="21"/>
      </w:r>
      <w:r w:rsidR="00554E53">
        <w:rPr>
          <w:rFonts w:ascii="Aptos" w:eastAsia="Times New Roman" w:hAnsi="Aptos" w:cs="Times New Roman"/>
          <w:sz w:val="25"/>
          <w:szCs w:val="25"/>
        </w:rPr>
        <w:t xml:space="preserve">.  </w:t>
      </w:r>
      <w:r w:rsidR="006125FB">
        <w:rPr>
          <w:rFonts w:ascii="Aptos" w:eastAsia="Times New Roman" w:hAnsi="Aptos" w:cs="Times New Roman"/>
          <w:sz w:val="25"/>
          <w:szCs w:val="25"/>
        </w:rPr>
        <w:t>Thus, all claims in the Hearing Request prior to August 25, 2023</w:t>
      </w:r>
      <w:r w:rsidR="006125FB">
        <w:rPr>
          <w:rStyle w:val="FootnoteReference"/>
          <w:rFonts w:ascii="Aptos" w:eastAsia="Times New Roman" w:hAnsi="Aptos" w:cs="Times New Roman"/>
          <w:sz w:val="25"/>
          <w:szCs w:val="25"/>
        </w:rPr>
        <w:footnoteReference w:id="22"/>
      </w:r>
      <w:r w:rsidR="006125FB">
        <w:rPr>
          <w:rFonts w:ascii="Aptos" w:eastAsia="Times New Roman" w:hAnsi="Aptos" w:cs="Times New Roman"/>
          <w:sz w:val="25"/>
          <w:szCs w:val="25"/>
        </w:rPr>
        <w:t xml:space="preserve"> are hereby </w:t>
      </w:r>
      <w:r w:rsidR="006125FB" w:rsidRPr="006125FB">
        <w:rPr>
          <w:rFonts w:ascii="Aptos" w:eastAsia="Times New Roman" w:hAnsi="Aptos" w:cs="Times New Roman"/>
          <w:b/>
          <w:bCs/>
          <w:sz w:val="25"/>
          <w:szCs w:val="25"/>
        </w:rPr>
        <w:t>dismissed with prejudice</w:t>
      </w:r>
      <w:r w:rsidR="006125FB">
        <w:rPr>
          <w:rFonts w:ascii="Aptos" w:eastAsia="Times New Roman" w:hAnsi="Aptos" w:cs="Times New Roman"/>
          <w:sz w:val="25"/>
          <w:szCs w:val="25"/>
        </w:rPr>
        <w:t>.</w:t>
      </w:r>
    </w:p>
    <w:p w14:paraId="2C1500AB" w14:textId="77777777" w:rsidR="00B83261" w:rsidRDefault="00B83261" w:rsidP="00CC0C40">
      <w:pPr>
        <w:shd w:val="clear" w:color="auto" w:fill="FFFFFF"/>
        <w:rPr>
          <w:rFonts w:ascii="Aptos" w:eastAsia="Times New Roman" w:hAnsi="Aptos" w:cs="Times New Roman"/>
          <w:sz w:val="25"/>
          <w:szCs w:val="25"/>
        </w:rPr>
      </w:pPr>
    </w:p>
    <w:p w14:paraId="1162E1E2" w14:textId="29450409" w:rsidR="004070A3" w:rsidRDefault="00B83261" w:rsidP="00165A4A">
      <w:pPr>
        <w:shd w:val="clear" w:color="auto" w:fill="FFFFFF"/>
        <w:rPr>
          <w:rFonts w:eastAsia="Times New Roman" w:cs="Times New Roman"/>
          <w:sz w:val="25"/>
          <w:szCs w:val="25"/>
        </w:rPr>
      </w:pPr>
      <w:r>
        <w:rPr>
          <w:rFonts w:ascii="Aptos" w:eastAsia="Times New Roman" w:hAnsi="Aptos" w:cs="Times New Roman"/>
          <w:sz w:val="25"/>
          <w:szCs w:val="25"/>
        </w:rPr>
        <w:t xml:space="preserve">Turning to the remainder of the </w:t>
      </w:r>
      <w:r>
        <w:rPr>
          <w:rFonts w:ascii="Aptos" w:eastAsia="Times New Roman" w:hAnsi="Aptos" w:cs="Times New Roman"/>
          <w:i/>
          <w:iCs/>
          <w:sz w:val="25"/>
          <w:szCs w:val="25"/>
        </w:rPr>
        <w:t>Hearing Request</w:t>
      </w:r>
      <w:r>
        <w:rPr>
          <w:rFonts w:ascii="Aptos" w:eastAsia="Times New Roman" w:hAnsi="Aptos" w:cs="Times New Roman"/>
          <w:sz w:val="25"/>
          <w:szCs w:val="25"/>
        </w:rPr>
        <w:t xml:space="preserve">, I do not find anything contained </w:t>
      </w:r>
      <w:r w:rsidR="007A5B87">
        <w:rPr>
          <w:rFonts w:ascii="Aptos" w:eastAsia="Times New Roman" w:hAnsi="Aptos" w:cs="Times New Roman"/>
          <w:sz w:val="25"/>
          <w:szCs w:val="25"/>
        </w:rPr>
        <w:t>there</w:t>
      </w:r>
      <w:r>
        <w:rPr>
          <w:rFonts w:ascii="Aptos" w:eastAsia="Times New Roman" w:hAnsi="Aptos" w:cs="Times New Roman"/>
          <w:sz w:val="25"/>
          <w:szCs w:val="25"/>
        </w:rPr>
        <w:t xml:space="preserve">, even </w:t>
      </w:r>
      <w:r w:rsidR="0084557A">
        <w:rPr>
          <w:rFonts w:ascii="Aptos" w:eastAsia="Times New Roman" w:hAnsi="Aptos" w:cs="Times New Roman"/>
          <w:sz w:val="25"/>
          <w:szCs w:val="25"/>
        </w:rPr>
        <w:t xml:space="preserve">considering </w:t>
      </w:r>
      <w:r w:rsidR="00AB224A">
        <w:rPr>
          <w:rFonts w:ascii="Aptos" w:eastAsia="Times New Roman" w:hAnsi="Aptos" w:cs="Times New Roman"/>
          <w:sz w:val="25"/>
          <w:szCs w:val="25"/>
        </w:rPr>
        <w:t>Parents’</w:t>
      </w:r>
      <w:r w:rsidR="0084557A">
        <w:rPr>
          <w:rFonts w:ascii="Aptos" w:eastAsia="Times New Roman" w:hAnsi="Aptos" w:cs="Times New Roman"/>
          <w:sz w:val="25"/>
          <w:szCs w:val="25"/>
        </w:rPr>
        <w:t xml:space="preserve"> </w:t>
      </w:r>
      <w:r w:rsidR="0084557A">
        <w:rPr>
          <w:rFonts w:ascii="Aptos" w:eastAsia="Times New Roman" w:hAnsi="Aptos" w:cs="Times New Roman"/>
          <w:i/>
          <w:iCs/>
          <w:sz w:val="25"/>
          <w:szCs w:val="25"/>
        </w:rPr>
        <w:t xml:space="preserve">pro se </w:t>
      </w:r>
      <w:r w:rsidR="0084557A">
        <w:rPr>
          <w:rFonts w:ascii="Aptos" w:eastAsia="Times New Roman" w:hAnsi="Aptos" w:cs="Times New Roman"/>
          <w:sz w:val="25"/>
          <w:szCs w:val="25"/>
        </w:rPr>
        <w:t>status</w:t>
      </w:r>
      <w:r w:rsidR="00AB224A">
        <w:rPr>
          <w:rFonts w:ascii="Aptos" w:eastAsia="Times New Roman" w:hAnsi="Aptos" w:cs="Times New Roman"/>
          <w:sz w:val="25"/>
          <w:szCs w:val="25"/>
        </w:rPr>
        <w:t>,</w:t>
      </w:r>
      <w:r w:rsidR="0084557A">
        <w:rPr>
          <w:rFonts w:ascii="Aptos" w:eastAsia="Times New Roman" w:hAnsi="Aptos" w:cs="Times New Roman"/>
          <w:sz w:val="25"/>
          <w:szCs w:val="25"/>
        </w:rPr>
        <w:t xml:space="preserve"> </w:t>
      </w:r>
      <w:r w:rsidR="000E6D4C">
        <w:rPr>
          <w:rFonts w:ascii="Aptos" w:eastAsia="Times New Roman" w:hAnsi="Aptos" w:cs="Times New Roman"/>
          <w:sz w:val="25"/>
          <w:szCs w:val="25"/>
        </w:rPr>
        <w:t>to</w:t>
      </w:r>
      <w:r w:rsidR="0084557A">
        <w:rPr>
          <w:rFonts w:ascii="Aptos" w:eastAsia="Times New Roman" w:hAnsi="Aptos" w:cs="Times New Roman"/>
          <w:sz w:val="25"/>
          <w:szCs w:val="25"/>
        </w:rPr>
        <w:t xml:space="preserve"> </w:t>
      </w:r>
      <w:r w:rsidR="000E6D4C">
        <w:rPr>
          <w:rFonts w:ascii="Aptos" w:eastAsia="Times New Roman" w:hAnsi="Aptos" w:cs="Times New Roman"/>
          <w:sz w:val="25"/>
          <w:szCs w:val="25"/>
        </w:rPr>
        <w:t>involve</w:t>
      </w:r>
      <w:r w:rsidR="0084557A">
        <w:rPr>
          <w:rFonts w:ascii="Aptos" w:eastAsia="Times New Roman" w:hAnsi="Aptos" w:cs="Times New Roman"/>
          <w:sz w:val="25"/>
          <w:szCs w:val="25"/>
        </w:rPr>
        <w:t xml:space="preserve"> </w:t>
      </w:r>
      <w:r w:rsidR="006E03EE">
        <w:rPr>
          <w:rFonts w:ascii="Aptos" w:eastAsia="Times New Roman" w:hAnsi="Aptos" w:cs="Times New Roman"/>
          <w:sz w:val="25"/>
          <w:szCs w:val="25"/>
        </w:rPr>
        <w:t xml:space="preserve">sufficiently pled, </w:t>
      </w:r>
      <w:r w:rsidR="0084557A">
        <w:rPr>
          <w:rFonts w:ascii="Aptos" w:eastAsia="Times New Roman" w:hAnsi="Aptos" w:cs="Times New Roman"/>
          <w:sz w:val="25"/>
          <w:szCs w:val="25"/>
        </w:rPr>
        <w:t xml:space="preserve">timely allegations </w:t>
      </w:r>
      <w:r w:rsidR="00A04003">
        <w:rPr>
          <w:rFonts w:ascii="Aptos" w:eastAsia="Times New Roman" w:hAnsi="Aptos" w:cs="Times New Roman"/>
          <w:sz w:val="25"/>
          <w:szCs w:val="25"/>
        </w:rPr>
        <w:t>within my jurisdiction</w:t>
      </w:r>
      <w:r w:rsidR="002B2D87">
        <w:rPr>
          <w:rStyle w:val="FootnoteReference"/>
          <w:rFonts w:ascii="Aptos" w:eastAsia="Times New Roman" w:hAnsi="Aptos" w:cs="Times New Roman"/>
          <w:sz w:val="25"/>
          <w:szCs w:val="25"/>
        </w:rPr>
        <w:footnoteReference w:id="23"/>
      </w:r>
      <w:r w:rsidR="00A04003">
        <w:rPr>
          <w:rFonts w:ascii="Aptos" w:eastAsia="Times New Roman" w:hAnsi="Aptos" w:cs="Times New Roman"/>
          <w:sz w:val="25"/>
          <w:szCs w:val="25"/>
        </w:rPr>
        <w:t xml:space="preserve">.  </w:t>
      </w:r>
      <w:r w:rsidR="008209F9">
        <w:rPr>
          <w:rFonts w:ascii="Aptos" w:eastAsia="Times New Roman" w:hAnsi="Aptos" w:cs="Times New Roman"/>
          <w:sz w:val="25"/>
          <w:szCs w:val="25"/>
        </w:rPr>
        <w:t xml:space="preserve">Despite </w:t>
      </w:r>
      <w:r w:rsidR="00971850">
        <w:rPr>
          <w:rFonts w:ascii="Aptos" w:eastAsia="Times New Roman" w:hAnsi="Aptos" w:cs="Times New Roman"/>
          <w:sz w:val="25"/>
          <w:szCs w:val="25"/>
        </w:rPr>
        <w:t xml:space="preserve">asserting they are bringing </w:t>
      </w:r>
      <w:r w:rsidR="00EC0697">
        <w:rPr>
          <w:rFonts w:ascii="Aptos" w:eastAsia="Times New Roman" w:hAnsi="Aptos" w:cs="Times New Roman"/>
          <w:sz w:val="25"/>
          <w:szCs w:val="25"/>
        </w:rPr>
        <w:t xml:space="preserve">claims </w:t>
      </w:r>
      <w:r w:rsidR="009E5334">
        <w:rPr>
          <w:rFonts w:ascii="Aptos" w:eastAsia="Times New Roman" w:hAnsi="Aptos" w:cs="Times New Roman"/>
          <w:sz w:val="25"/>
          <w:szCs w:val="25"/>
        </w:rPr>
        <w:t>for a</w:t>
      </w:r>
      <w:r w:rsidR="00971850">
        <w:rPr>
          <w:rFonts w:ascii="Aptos" w:eastAsia="Times New Roman" w:hAnsi="Aptos" w:cs="Times New Roman"/>
          <w:sz w:val="25"/>
          <w:szCs w:val="25"/>
        </w:rPr>
        <w:t xml:space="preserve"> denial of </w:t>
      </w:r>
      <w:r w:rsidR="008209F9">
        <w:rPr>
          <w:rFonts w:ascii="Aptos" w:eastAsia="Times New Roman" w:hAnsi="Aptos" w:cs="Times New Roman"/>
          <w:sz w:val="25"/>
          <w:szCs w:val="25"/>
        </w:rPr>
        <w:t xml:space="preserve">“FAPE” </w:t>
      </w:r>
      <w:r w:rsidR="004A7092">
        <w:rPr>
          <w:rFonts w:ascii="Aptos" w:eastAsia="Times New Roman" w:hAnsi="Aptos" w:cs="Times New Roman"/>
          <w:sz w:val="25"/>
          <w:szCs w:val="25"/>
        </w:rPr>
        <w:t xml:space="preserve">and </w:t>
      </w:r>
      <w:r w:rsidR="00971850">
        <w:rPr>
          <w:rFonts w:ascii="Aptos" w:eastAsia="Times New Roman" w:hAnsi="Aptos" w:cs="Times New Roman"/>
          <w:sz w:val="25"/>
          <w:szCs w:val="25"/>
        </w:rPr>
        <w:t>violation</w:t>
      </w:r>
      <w:r w:rsidR="004A7092">
        <w:rPr>
          <w:rFonts w:ascii="Aptos" w:eastAsia="Times New Roman" w:hAnsi="Aptos" w:cs="Times New Roman"/>
          <w:sz w:val="25"/>
          <w:szCs w:val="25"/>
        </w:rPr>
        <w:t>s</w:t>
      </w:r>
      <w:r w:rsidR="00971850">
        <w:rPr>
          <w:rFonts w:ascii="Aptos" w:eastAsia="Times New Roman" w:hAnsi="Aptos" w:cs="Times New Roman"/>
          <w:sz w:val="25"/>
          <w:szCs w:val="25"/>
        </w:rPr>
        <w:t xml:space="preserve"> of </w:t>
      </w:r>
      <w:r w:rsidR="008209F9">
        <w:rPr>
          <w:rFonts w:ascii="Aptos" w:eastAsia="Times New Roman" w:hAnsi="Aptos" w:cs="Times New Roman"/>
          <w:sz w:val="25"/>
          <w:szCs w:val="25"/>
        </w:rPr>
        <w:t>“LRE”</w:t>
      </w:r>
      <w:r w:rsidR="00971850">
        <w:rPr>
          <w:rFonts w:ascii="Aptos" w:eastAsia="Times New Roman" w:hAnsi="Aptos" w:cs="Times New Roman"/>
          <w:sz w:val="25"/>
          <w:szCs w:val="25"/>
        </w:rPr>
        <w:t xml:space="preserve"> requirements under the IDEA</w:t>
      </w:r>
      <w:r w:rsidR="008209F9">
        <w:rPr>
          <w:rFonts w:ascii="Aptos" w:eastAsia="Times New Roman" w:hAnsi="Aptos" w:cs="Times New Roman"/>
          <w:sz w:val="25"/>
          <w:szCs w:val="25"/>
        </w:rPr>
        <w:t>, Parents do not provide any</w:t>
      </w:r>
      <w:r w:rsidR="009B03F4">
        <w:rPr>
          <w:rFonts w:ascii="Aptos" w:eastAsia="Times New Roman" w:hAnsi="Aptos" w:cs="Times New Roman"/>
          <w:sz w:val="25"/>
          <w:szCs w:val="25"/>
        </w:rPr>
        <w:t xml:space="preserve"> </w:t>
      </w:r>
      <w:r w:rsidR="006125FB">
        <w:rPr>
          <w:rFonts w:ascii="Aptos" w:eastAsia="Times New Roman" w:hAnsi="Aptos" w:cs="Times New Roman"/>
          <w:sz w:val="25"/>
          <w:szCs w:val="25"/>
        </w:rPr>
        <w:t xml:space="preserve">specificity, date (after August 25, 2023) or contextual information </w:t>
      </w:r>
      <w:r w:rsidR="004A7092">
        <w:rPr>
          <w:rFonts w:ascii="Aptos" w:eastAsia="Times New Roman" w:hAnsi="Aptos" w:cs="Times New Roman"/>
          <w:sz w:val="25"/>
          <w:szCs w:val="25"/>
        </w:rPr>
        <w:t>pertaining to these claims</w:t>
      </w:r>
      <w:r w:rsidR="00DA5E1A">
        <w:rPr>
          <w:rFonts w:ascii="Aptos" w:eastAsia="Times New Roman" w:hAnsi="Aptos" w:cs="Times New Roman"/>
          <w:sz w:val="25"/>
          <w:szCs w:val="25"/>
        </w:rPr>
        <w:t xml:space="preserve">.  Thus, </w:t>
      </w:r>
      <w:r w:rsidR="00971850">
        <w:rPr>
          <w:rFonts w:ascii="Aptos" w:eastAsia="Times New Roman" w:hAnsi="Aptos" w:cs="Times New Roman"/>
          <w:sz w:val="25"/>
          <w:szCs w:val="25"/>
        </w:rPr>
        <w:t xml:space="preserve">this language in the </w:t>
      </w:r>
      <w:r w:rsidR="00971850">
        <w:rPr>
          <w:rFonts w:ascii="Aptos" w:eastAsia="Times New Roman" w:hAnsi="Aptos" w:cs="Times New Roman"/>
          <w:i/>
          <w:iCs/>
          <w:sz w:val="25"/>
          <w:szCs w:val="25"/>
        </w:rPr>
        <w:t xml:space="preserve">Hearing Request </w:t>
      </w:r>
      <w:r w:rsidR="00971850">
        <w:rPr>
          <w:rFonts w:ascii="Aptos" w:eastAsia="Times New Roman" w:hAnsi="Aptos" w:cs="Times New Roman"/>
          <w:sz w:val="25"/>
          <w:szCs w:val="25"/>
        </w:rPr>
        <w:t xml:space="preserve">can, </w:t>
      </w:r>
      <w:r w:rsidR="006125FB">
        <w:rPr>
          <w:rFonts w:ascii="Aptos" w:eastAsia="Times New Roman" w:hAnsi="Aptos" w:cs="Times New Roman"/>
          <w:sz w:val="25"/>
          <w:szCs w:val="25"/>
        </w:rPr>
        <w:t>at best</w:t>
      </w:r>
      <w:r w:rsidR="00971850">
        <w:rPr>
          <w:rFonts w:ascii="Aptos" w:eastAsia="Times New Roman" w:hAnsi="Aptos" w:cs="Times New Roman"/>
          <w:sz w:val="25"/>
          <w:szCs w:val="25"/>
        </w:rPr>
        <w:t xml:space="preserve">, </w:t>
      </w:r>
      <w:r w:rsidR="006125FB">
        <w:rPr>
          <w:rFonts w:ascii="Aptos" w:eastAsia="Times New Roman" w:hAnsi="Aptos" w:cs="Times New Roman"/>
          <w:sz w:val="25"/>
          <w:szCs w:val="25"/>
        </w:rPr>
        <w:t xml:space="preserve">only be considered “labels and conclusions” </w:t>
      </w:r>
      <w:r w:rsidR="00EC0697">
        <w:rPr>
          <w:rFonts w:ascii="Aptos" w:eastAsia="Times New Roman" w:hAnsi="Aptos" w:cs="Times New Roman"/>
          <w:sz w:val="25"/>
          <w:szCs w:val="25"/>
        </w:rPr>
        <w:t xml:space="preserve">for anything after August 25, 2023, </w:t>
      </w:r>
      <w:r w:rsidR="0016081C">
        <w:rPr>
          <w:rFonts w:ascii="Aptos" w:eastAsia="Times New Roman" w:hAnsi="Aptos" w:cs="Times New Roman"/>
          <w:sz w:val="25"/>
          <w:szCs w:val="25"/>
        </w:rPr>
        <w:t xml:space="preserve">and </w:t>
      </w:r>
      <w:r w:rsidR="006125FB">
        <w:rPr>
          <w:rFonts w:ascii="Aptos" w:eastAsia="Times New Roman" w:hAnsi="Aptos" w:cs="Times New Roman"/>
          <w:sz w:val="25"/>
          <w:szCs w:val="25"/>
        </w:rPr>
        <w:t>cannot survive a motion to dismiss</w:t>
      </w:r>
      <w:r w:rsidR="006125FB" w:rsidRPr="006125FB">
        <w:rPr>
          <w:rStyle w:val="FootnoteReference"/>
          <w:rFonts w:ascii="Aptos" w:eastAsia="Times New Roman" w:hAnsi="Aptos" w:cs="Times New Roman"/>
          <w:sz w:val="24"/>
          <w:szCs w:val="24"/>
        </w:rPr>
        <w:footnoteReference w:id="24"/>
      </w:r>
      <w:r w:rsidR="006125FB">
        <w:rPr>
          <w:rFonts w:ascii="Aptos" w:eastAsia="Times New Roman" w:hAnsi="Aptos" w:cs="Times New Roman"/>
          <w:sz w:val="25"/>
          <w:szCs w:val="25"/>
        </w:rPr>
        <w:t>.</w:t>
      </w:r>
      <w:r w:rsidR="000E6D4C">
        <w:rPr>
          <w:rFonts w:ascii="Aptos" w:eastAsia="Times New Roman" w:hAnsi="Aptos" w:cs="Times New Roman"/>
          <w:sz w:val="25"/>
          <w:szCs w:val="25"/>
        </w:rPr>
        <w:t xml:space="preserve">  </w:t>
      </w:r>
    </w:p>
    <w:p w14:paraId="69DD7ABD" w14:textId="77777777" w:rsidR="004070A3" w:rsidRDefault="004070A3" w:rsidP="00165A4A">
      <w:pPr>
        <w:shd w:val="clear" w:color="auto" w:fill="FFFFFF"/>
        <w:rPr>
          <w:rFonts w:eastAsia="Times New Roman" w:cs="Times New Roman"/>
          <w:sz w:val="25"/>
          <w:szCs w:val="25"/>
        </w:rPr>
      </w:pPr>
    </w:p>
    <w:p w14:paraId="5E8F4ED2" w14:textId="0199FC61" w:rsidR="0007005C" w:rsidRDefault="00DE51CD" w:rsidP="00165A4A">
      <w:pPr>
        <w:shd w:val="clear" w:color="auto" w:fill="FFFFFF"/>
        <w:rPr>
          <w:rFonts w:eastAsia="Times New Roman" w:cs="Times New Roman"/>
          <w:sz w:val="25"/>
          <w:szCs w:val="25"/>
        </w:rPr>
      </w:pPr>
      <w:r>
        <w:rPr>
          <w:rFonts w:eastAsia="Times New Roman" w:cs="Times New Roman"/>
          <w:sz w:val="25"/>
          <w:szCs w:val="25"/>
        </w:rPr>
        <w:t xml:space="preserve">Parents also </w:t>
      </w:r>
      <w:r w:rsidR="00F73E86" w:rsidRPr="00C95B07">
        <w:rPr>
          <w:rFonts w:eastAsia="Times New Roman" w:cs="Times New Roman"/>
          <w:sz w:val="25"/>
          <w:szCs w:val="25"/>
        </w:rPr>
        <w:t xml:space="preserve">request </w:t>
      </w:r>
      <w:r w:rsidR="00664849" w:rsidRPr="00C95B07">
        <w:rPr>
          <w:rFonts w:eastAsia="Times New Roman" w:cs="Times New Roman"/>
          <w:sz w:val="25"/>
          <w:szCs w:val="25"/>
        </w:rPr>
        <w:t>(</w:t>
      </w:r>
      <w:r>
        <w:rPr>
          <w:rFonts w:eastAsia="Times New Roman" w:cs="Times New Roman"/>
          <w:sz w:val="25"/>
          <w:szCs w:val="25"/>
        </w:rPr>
        <w:t xml:space="preserve">albeit </w:t>
      </w:r>
      <w:r w:rsidR="00664849" w:rsidRPr="00C95B07">
        <w:rPr>
          <w:rFonts w:eastAsia="Times New Roman" w:cs="Times New Roman"/>
          <w:sz w:val="25"/>
          <w:szCs w:val="25"/>
        </w:rPr>
        <w:t xml:space="preserve">only the </w:t>
      </w:r>
      <w:r w:rsidR="00664849" w:rsidRPr="00C95B07">
        <w:rPr>
          <w:rFonts w:eastAsia="Times New Roman" w:cs="Times New Roman"/>
          <w:i/>
          <w:iCs/>
          <w:sz w:val="25"/>
          <w:szCs w:val="25"/>
        </w:rPr>
        <w:t xml:space="preserve">Opposition </w:t>
      </w:r>
      <w:r w:rsidR="007A5B87">
        <w:rPr>
          <w:rFonts w:eastAsia="Times New Roman" w:cs="Times New Roman"/>
          <w:sz w:val="25"/>
          <w:szCs w:val="25"/>
        </w:rPr>
        <w:t xml:space="preserve">and </w:t>
      </w:r>
      <w:r w:rsidR="00664849" w:rsidRPr="00C95B07">
        <w:rPr>
          <w:rFonts w:eastAsia="Times New Roman" w:cs="Times New Roman"/>
          <w:sz w:val="25"/>
          <w:szCs w:val="25"/>
        </w:rPr>
        <w:t xml:space="preserve">not in the </w:t>
      </w:r>
      <w:r w:rsidR="00664849" w:rsidRPr="00C95B07">
        <w:rPr>
          <w:rFonts w:eastAsia="Times New Roman" w:cs="Times New Roman"/>
          <w:i/>
          <w:iCs/>
          <w:sz w:val="25"/>
          <w:szCs w:val="25"/>
        </w:rPr>
        <w:t>Hearing Request</w:t>
      </w:r>
      <w:r w:rsidR="007A5B87">
        <w:rPr>
          <w:rFonts w:eastAsia="Times New Roman" w:cs="Times New Roman"/>
          <w:sz w:val="25"/>
          <w:szCs w:val="25"/>
        </w:rPr>
        <w:t xml:space="preserve"> per se</w:t>
      </w:r>
      <w:r w:rsidR="00664849" w:rsidRPr="00C95B07">
        <w:rPr>
          <w:rFonts w:eastAsia="Times New Roman" w:cs="Times New Roman"/>
          <w:sz w:val="25"/>
          <w:szCs w:val="25"/>
        </w:rPr>
        <w:t>)</w:t>
      </w:r>
      <w:r w:rsidR="00664849" w:rsidRPr="00C95B07">
        <w:rPr>
          <w:rFonts w:eastAsia="Times New Roman" w:cs="Times New Roman"/>
          <w:i/>
          <w:iCs/>
          <w:sz w:val="25"/>
          <w:szCs w:val="25"/>
        </w:rPr>
        <w:t xml:space="preserve"> </w:t>
      </w:r>
      <w:r w:rsidR="00693AFE" w:rsidRPr="00C95B07">
        <w:rPr>
          <w:rFonts w:eastAsia="Times New Roman" w:cs="Times New Roman"/>
          <w:sz w:val="25"/>
          <w:szCs w:val="25"/>
        </w:rPr>
        <w:t>“correction and annotation”</w:t>
      </w:r>
      <w:r w:rsidR="000A6E51" w:rsidRPr="00C95B07">
        <w:rPr>
          <w:rFonts w:eastAsia="Times New Roman" w:cs="Times New Roman"/>
          <w:sz w:val="25"/>
          <w:szCs w:val="25"/>
        </w:rPr>
        <w:t xml:space="preserve"> </w:t>
      </w:r>
      <w:r w:rsidR="00693AFE" w:rsidRPr="00C95B07">
        <w:rPr>
          <w:rFonts w:eastAsia="Times New Roman" w:cs="Times New Roman"/>
          <w:sz w:val="25"/>
          <w:szCs w:val="25"/>
        </w:rPr>
        <w:t>of Students’</w:t>
      </w:r>
      <w:r w:rsidR="000A6E51" w:rsidRPr="00C95B07">
        <w:rPr>
          <w:rFonts w:eastAsia="Times New Roman" w:cs="Times New Roman"/>
          <w:sz w:val="25"/>
          <w:szCs w:val="25"/>
        </w:rPr>
        <w:t xml:space="preserve"> educational records</w:t>
      </w:r>
      <w:r>
        <w:rPr>
          <w:rFonts w:eastAsia="Times New Roman" w:cs="Times New Roman"/>
          <w:sz w:val="25"/>
          <w:szCs w:val="25"/>
        </w:rPr>
        <w:t>.  W</w:t>
      </w:r>
      <w:r w:rsidR="000A6E51" w:rsidRPr="00C95B07">
        <w:rPr>
          <w:rFonts w:eastAsia="Times New Roman" w:cs="Times New Roman"/>
          <w:sz w:val="25"/>
          <w:szCs w:val="25"/>
        </w:rPr>
        <w:t xml:space="preserve">hile </w:t>
      </w:r>
      <w:r w:rsidR="000A6E51" w:rsidRPr="00C95B07">
        <w:rPr>
          <w:rFonts w:eastAsia="Times New Roman" w:cs="Times New Roman"/>
          <w:sz w:val="24"/>
          <w:szCs w:val="24"/>
        </w:rPr>
        <w:t>student records are protected by both federal and state laws and regulations</w:t>
      </w:r>
      <w:r w:rsidR="000A6E51" w:rsidRPr="00C95B07">
        <w:rPr>
          <w:rStyle w:val="FootnoteReference"/>
          <w:rFonts w:eastAsia="Times New Roman" w:cs="Times New Roman"/>
          <w:sz w:val="24"/>
          <w:szCs w:val="24"/>
        </w:rPr>
        <w:footnoteReference w:id="25"/>
      </w:r>
      <w:r w:rsidR="000A6E51" w:rsidRPr="00C95B07">
        <w:rPr>
          <w:rFonts w:eastAsia="Times New Roman" w:cs="Times New Roman"/>
          <w:sz w:val="24"/>
          <w:szCs w:val="24"/>
        </w:rPr>
        <w:t xml:space="preserve"> and FERPA’s confidentiality provisions are specifically incorporated into the IDEA</w:t>
      </w:r>
      <w:r w:rsidR="000A6E51" w:rsidRPr="00C95B07">
        <w:rPr>
          <w:rStyle w:val="FootnoteReference"/>
          <w:rFonts w:eastAsia="Times New Roman" w:cs="Times New Roman"/>
          <w:sz w:val="24"/>
          <w:szCs w:val="24"/>
        </w:rPr>
        <w:footnoteReference w:id="26"/>
      </w:r>
      <w:r>
        <w:rPr>
          <w:rFonts w:eastAsia="Times New Roman" w:cs="Times New Roman"/>
          <w:sz w:val="24"/>
          <w:szCs w:val="24"/>
        </w:rPr>
        <w:t>, t</w:t>
      </w:r>
      <w:r w:rsidR="000A6E51" w:rsidRPr="00C95B07">
        <w:rPr>
          <w:rFonts w:eastAsia="Times New Roman" w:cs="Times New Roman"/>
          <w:sz w:val="24"/>
          <w:szCs w:val="24"/>
        </w:rPr>
        <w:t xml:space="preserve">his does not mean that every student record violation claim is within the jurisdiction of the BSEA.  </w:t>
      </w:r>
      <w:r w:rsidR="00100C4B" w:rsidRPr="00C95B07">
        <w:rPr>
          <w:rFonts w:eastAsia="Times New Roman" w:cs="Times New Roman"/>
          <w:sz w:val="25"/>
          <w:szCs w:val="25"/>
        </w:rPr>
        <w:t>C</w:t>
      </w:r>
      <w:r w:rsidR="00A04003" w:rsidRPr="00C95B07">
        <w:rPr>
          <w:rFonts w:eastAsia="Times New Roman" w:cs="Times New Roman"/>
          <w:sz w:val="25"/>
          <w:szCs w:val="25"/>
        </w:rPr>
        <w:t>ontrary to Parents</w:t>
      </w:r>
      <w:r w:rsidR="00D21CB7" w:rsidRPr="00C95B07">
        <w:rPr>
          <w:rFonts w:eastAsia="Times New Roman" w:cs="Times New Roman"/>
          <w:sz w:val="25"/>
          <w:szCs w:val="25"/>
        </w:rPr>
        <w:t>’</w:t>
      </w:r>
      <w:r w:rsidR="00A04003" w:rsidRPr="00C95B07">
        <w:rPr>
          <w:rFonts w:eastAsia="Times New Roman" w:cs="Times New Roman"/>
          <w:sz w:val="25"/>
          <w:szCs w:val="25"/>
        </w:rPr>
        <w:t xml:space="preserve"> contention, </w:t>
      </w:r>
      <w:r w:rsidR="00DA5E1A" w:rsidRPr="00C95B07">
        <w:rPr>
          <w:rFonts w:eastAsia="Times New Roman" w:cs="Times New Roman"/>
          <w:sz w:val="25"/>
          <w:szCs w:val="25"/>
        </w:rPr>
        <w:t xml:space="preserve">the BSEA does not have </w:t>
      </w:r>
      <w:r w:rsidR="00100C4B" w:rsidRPr="00C95B07">
        <w:rPr>
          <w:rFonts w:eastAsia="Times New Roman" w:cs="Times New Roman"/>
          <w:sz w:val="25"/>
          <w:szCs w:val="25"/>
        </w:rPr>
        <w:t xml:space="preserve">any </w:t>
      </w:r>
      <w:r w:rsidR="00DA5E1A" w:rsidRPr="00C95B07">
        <w:rPr>
          <w:rFonts w:eastAsia="Times New Roman" w:cs="Times New Roman"/>
          <w:sz w:val="25"/>
          <w:szCs w:val="25"/>
        </w:rPr>
        <w:t>authority to require corrections or changes to educational records as is sought</w:t>
      </w:r>
      <w:r w:rsidR="001E122B" w:rsidRPr="00C95B07">
        <w:rPr>
          <w:rFonts w:eastAsia="Times New Roman" w:cs="Times New Roman"/>
          <w:sz w:val="25"/>
          <w:szCs w:val="25"/>
        </w:rPr>
        <w:t xml:space="preserve">.  </w:t>
      </w:r>
      <w:r w:rsidR="00664849" w:rsidRPr="00C95B07">
        <w:rPr>
          <w:rFonts w:eastAsia="Times New Roman" w:cs="Times New Roman"/>
          <w:sz w:val="25"/>
          <w:szCs w:val="25"/>
        </w:rPr>
        <w:t xml:space="preserve">Rather, Parents must pursue these requests in </w:t>
      </w:r>
      <w:r w:rsidR="00165A4A" w:rsidRPr="00C95B07">
        <w:rPr>
          <w:rFonts w:eastAsia="Times New Roman" w:cs="Times New Roman"/>
          <w:sz w:val="25"/>
          <w:szCs w:val="25"/>
        </w:rPr>
        <w:t>the appropriate forums</w:t>
      </w:r>
      <w:r w:rsidR="00664849" w:rsidRPr="00C95B07">
        <w:rPr>
          <w:rStyle w:val="FootnoteReference"/>
          <w:rFonts w:eastAsia="Times New Roman" w:cs="Times New Roman"/>
          <w:sz w:val="24"/>
          <w:szCs w:val="24"/>
        </w:rPr>
        <w:footnoteReference w:id="27"/>
      </w:r>
      <w:r w:rsidR="00C95B07">
        <w:rPr>
          <w:rFonts w:eastAsia="Times New Roman" w:cs="Times New Roman"/>
          <w:sz w:val="25"/>
          <w:szCs w:val="25"/>
        </w:rPr>
        <w:t>.</w:t>
      </w:r>
      <w:r w:rsidR="00CE130D">
        <w:rPr>
          <w:rFonts w:eastAsia="Times New Roman" w:cs="Times New Roman"/>
          <w:sz w:val="25"/>
          <w:szCs w:val="25"/>
        </w:rPr>
        <w:t xml:space="preserve"> </w:t>
      </w:r>
    </w:p>
    <w:p w14:paraId="506292C2" w14:textId="77777777" w:rsidR="0007005C" w:rsidRDefault="0007005C" w:rsidP="00165A4A">
      <w:pPr>
        <w:shd w:val="clear" w:color="auto" w:fill="FFFFFF"/>
        <w:rPr>
          <w:rFonts w:eastAsia="Times New Roman" w:cs="Times New Roman"/>
          <w:sz w:val="25"/>
          <w:szCs w:val="25"/>
        </w:rPr>
      </w:pPr>
    </w:p>
    <w:p w14:paraId="07332BE3" w14:textId="67E332C6" w:rsidR="008966B0" w:rsidRDefault="0007005C" w:rsidP="00165A4A">
      <w:pPr>
        <w:shd w:val="clear" w:color="auto" w:fill="FFFFFF"/>
        <w:rPr>
          <w:rFonts w:eastAsia="Times New Roman" w:cs="Times New Roman"/>
          <w:sz w:val="25"/>
          <w:szCs w:val="25"/>
        </w:rPr>
      </w:pPr>
      <w:r>
        <w:rPr>
          <w:rFonts w:eastAsia="Times New Roman" w:cs="Times New Roman"/>
          <w:sz w:val="25"/>
          <w:szCs w:val="25"/>
        </w:rPr>
        <w:t xml:space="preserve">The only arguable claim that the </w:t>
      </w:r>
      <w:r>
        <w:rPr>
          <w:rFonts w:eastAsia="Times New Roman" w:cs="Times New Roman"/>
          <w:i/>
          <w:iCs/>
          <w:sz w:val="25"/>
          <w:szCs w:val="25"/>
        </w:rPr>
        <w:t xml:space="preserve">Hearing Request </w:t>
      </w:r>
      <w:r>
        <w:rPr>
          <w:rFonts w:eastAsia="Times New Roman" w:cs="Times New Roman"/>
          <w:sz w:val="25"/>
          <w:szCs w:val="25"/>
        </w:rPr>
        <w:t>appears to make that falls within the BSEA’s jurisdiction and contains sufficient specificity t</w:t>
      </w:r>
      <w:r w:rsidR="00A3162F">
        <w:rPr>
          <w:rFonts w:eastAsia="Times New Roman" w:cs="Times New Roman"/>
          <w:sz w:val="25"/>
          <w:szCs w:val="25"/>
        </w:rPr>
        <w:t>o meet the “notice pleading” standard, is the claim for procedural violations involving “improper placement decisions without valid reevaluation, appropriate parental participation, or prior written notice.”  However, no date</w:t>
      </w:r>
      <w:r w:rsidR="006D55E8">
        <w:rPr>
          <w:rFonts w:eastAsia="Times New Roman" w:cs="Times New Roman"/>
          <w:sz w:val="25"/>
          <w:szCs w:val="25"/>
        </w:rPr>
        <w:t xml:space="preserve"> or timeframe</w:t>
      </w:r>
      <w:r w:rsidR="00A3162F">
        <w:rPr>
          <w:rFonts w:eastAsia="Times New Roman" w:cs="Times New Roman"/>
          <w:sz w:val="25"/>
          <w:szCs w:val="25"/>
        </w:rPr>
        <w:t xml:space="preserve"> is attached to this </w:t>
      </w:r>
      <w:r w:rsidR="00283B7C">
        <w:rPr>
          <w:rFonts w:eastAsia="Times New Roman" w:cs="Times New Roman"/>
          <w:sz w:val="25"/>
          <w:szCs w:val="25"/>
        </w:rPr>
        <w:t>claim and</w:t>
      </w:r>
      <w:r w:rsidR="00A3162F">
        <w:rPr>
          <w:rFonts w:eastAsia="Times New Roman" w:cs="Times New Roman"/>
          <w:sz w:val="25"/>
          <w:szCs w:val="25"/>
        </w:rPr>
        <w:t xml:space="preserve"> considering this claim in the context of the</w:t>
      </w:r>
      <w:r w:rsidR="007A5B87">
        <w:rPr>
          <w:rFonts w:eastAsia="Times New Roman" w:cs="Times New Roman"/>
          <w:sz w:val="25"/>
          <w:szCs w:val="25"/>
        </w:rPr>
        <w:t xml:space="preserve"> entire</w:t>
      </w:r>
      <w:r w:rsidR="00A3162F">
        <w:rPr>
          <w:rFonts w:eastAsia="Times New Roman" w:cs="Times New Roman"/>
          <w:sz w:val="25"/>
          <w:szCs w:val="25"/>
        </w:rPr>
        <w:t xml:space="preserve"> </w:t>
      </w:r>
      <w:r w:rsidR="00A3162F">
        <w:rPr>
          <w:rFonts w:eastAsia="Times New Roman" w:cs="Times New Roman"/>
          <w:i/>
          <w:iCs/>
          <w:sz w:val="25"/>
          <w:szCs w:val="25"/>
        </w:rPr>
        <w:t>Hearing Request</w:t>
      </w:r>
      <w:r w:rsidR="00A3162F">
        <w:rPr>
          <w:rFonts w:eastAsia="Times New Roman" w:cs="Times New Roman"/>
          <w:sz w:val="25"/>
          <w:szCs w:val="25"/>
        </w:rPr>
        <w:t xml:space="preserve">, </w:t>
      </w:r>
      <w:r w:rsidR="007A5B87">
        <w:rPr>
          <w:rFonts w:eastAsia="Times New Roman" w:cs="Times New Roman"/>
          <w:sz w:val="25"/>
          <w:szCs w:val="25"/>
        </w:rPr>
        <w:t xml:space="preserve">particularly </w:t>
      </w:r>
      <w:r w:rsidR="00A3162F">
        <w:rPr>
          <w:rFonts w:eastAsia="Times New Roman" w:cs="Times New Roman"/>
          <w:sz w:val="25"/>
          <w:szCs w:val="25"/>
        </w:rPr>
        <w:t>Parents’ acknowledgment that they removed student “from his IEP”</w:t>
      </w:r>
      <w:r w:rsidR="007A5B87">
        <w:rPr>
          <w:rFonts w:eastAsia="Times New Roman" w:cs="Times New Roman"/>
          <w:sz w:val="25"/>
          <w:szCs w:val="25"/>
        </w:rPr>
        <w:t xml:space="preserve"> in March 2023</w:t>
      </w:r>
      <w:r w:rsidR="00A3162F">
        <w:rPr>
          <w:rFonts w:eastAsia="Times New Roman" w:cs="Times New Roman"/>
          <w:sz w:val="25"/>
          <w:szCs w:val="25"/>
        </w:rPr>
        <w:t xml:space="preserve">, this claim can only be understood to pertain to </w:t>
      </w:r>
      <w:r w:rsidR="00F953B2">
        <w:rPr>
          <w:rFonts w:eastAsia="Times New Roman" w:cs="Times New Roman"/>
          <w:sz w:val="25"/>
          <w:szCs w:val="25"/>
        </w:rPr>
        <w:t xml:space="preserve">the </w:t>
      </w:r>
      <w:r w:rsidR="00A3162F">
        <w:rPr>
          <w:rFonts w:eastAsia="Times New Roman" w:cs="Times New Roman"/>
          <w:sz w:val="25"/>
          <w:szCs w:val="25"/>
        </w:rPr>
        <w:t>disputes that occurred prior to August 25, 2023</w:t>
      </w:r>
      <w:r w:rsidR="00283B7C">
        <w:rPr>
          <w:rStyle w:val="FootnoteReference"/>
          <w:rFonts w:eastAsia="Times New Roman" w:cs="Times New Roman"/>
          <w:sz w:val="25"/>
          <w:szCs w:val="25"/>
        </w:rPr>
        <w:footnoteReference w:id="28"/>
      </w:r>
      <w:r w:rsidR="00A3162F">
        <w:rPr>
          <w:rFonts w:eastAsia="Times New Roman" w:cs="Times New Roman"/>
          <w:sz w:val="25"/>
          <w:szCs w:val="25"/>
        </w:rPr>
        <w:t xml:space="preserve">.  </w:t>
      </w:r>
      <w:r w:rsidR="008966B0">
        <w:rPr>
          <w:rFonts w:eastAsia="Times New Roman" w:cs="Times New Roman"/>
          <w:sz w:val="25"/>
          <w:szCs w:val="25"/>
        </w:rPr>
        <w:t>Since b</w:t>
      </w:r>
      <w:r w:rsidR="00A3162F">
        <w:rPr>
          <w:rFonts w:eastAsia="Times New Roman" w:cs="Times New Roman"/>
          <w:sz w:val="25"/>
          <w:szCs w:val="25"/>
        </w:rPr>
        <w:t xml:space="preserve">oth the state and federal special education laws prohibit school districts from challenging a </w:t>
      </w:r>
      <w:r w:rsidR="00855421">
        <w:rPr>
          <w:rFonts w:eastAsia="Times New Roman" w:cs="Times New Roman"/>
          <w:sz w:val="25"/>
          <w:szCs w:val="25"/>
        </w:rPr>
        <w:t>p</w:t>
      </w:r>
      <w:r w:rsidR="00A3162F">
        <w:rPr>
          <w:rFonts w:eastAsia="Times New Roman" w:cs="Times New Roman"/>
          <w:sz w:val="25"/>
          <w:szCs w:val="25"/>
        </w:rPr>
        <w:t>arent’s decision to remove a student from special education services</w:t>
      </w:r>
      <w:r w:rsidR="004A1C53">
        <w:rPr>
          <w:rStyle w:val="FootnoteReference"/>
          <w:rFonts w:eastAsia="Times New Roman" w:cs="Times New Roman"/>
          <w:sz w:val="25"/>
          <w:szCs w:val="25"/>
        </w:rPr>
        <w:footnoteReference w:id="29"/>
      </w:r>
      <w:r w:rsidR="00A3162F">
        <w:rPr>
          <w:rFonts w:eastAsia="Times New Roman" w:cs="Times New Roman"/>
          <w:sz w:val="25"/>
          <w:szCs w:val="25"/>
        </w:rPr>
        <w:t xml:space="preserve">, claims that </w:t>
      </w:r>
      <w:r w:rsidR="004A1C53">
        <w:rPr>
          <w:rFonts w:eastAsia="Times New Roman" w:cs="Times New Roman"/>
          <w:sz w:val="25"/>
          <w:szCs w:val="25"/>
        </w:rPr>
        <w:t xml:space="preserve">pertain to “improper placements” could not conceivably have occurred after </w:t>
      </w:r>
      <w:r w:rsidR="007518C2">
        <w:rPr>
          <w:rFonts w:eastAsia="Times New Roman" w:cs="Times New Roman"/>
          <w:sz w:val="25"/>
          <w:szCs w:val="25"/>
        </w:rPr>
        <w:t>March 2023 and are thus untimely</w:t>
      </w:r>
      <w:r w:rsidR="004A1C53">
        <w:rPr>
          <w:rFonts w:eastAsia="Times New Roman" w:cs="Times New Roman"/>
          <w:sz w:val="25"/>
          <w:szCs w:val="25"/>
        </w:rPr>
        <w:t xml:space="preserve">. </w:t>
      </w:r>
      <w:r w:rsidR="002401EE">
        <w:rPr>
          <w:rFonts w:eastAsia="Times New Roman" w:cs="Times New Roman"/>
          <w:sz w:val="25"/>
          <w:szCs w:val="25"/>
        </w:rPr>
        <w:t xml:space="preserve"> </w:t>
      </w:r>
    </w:p>
    <w:p w14:paraId="6E224301" w14:textId="77777777" w:rsidR="008966B0" w:rsidRDefault="008966B0" w:rsidP="00165A4A">
      <w:pPr>
        <w:shd w:val="clear" w:color="auto" w:fill="FFFFFF"/>
        <w:rPr>
          <w:rFonts w:eastAsia="Times New Roman" w:cs="Times New Roman"/>
          <w:sz w:val="25"/>
          <w:szCs w:val="25"/>
        </w:rPr>
      </w:pPr>
    </w:p>
    <w:p w14:paraId="5E99EB91" w14:textId="2ACF7B8A" w:rsidR="00CE130D" w:rsidRDefault="008966B0" w:rsidP="00165A4A">
      <w:pPr>
        <w:shd w:val="clear" w:color="auto" w:fill="FFFFFF"/>
        <w:rPr>
          <w:rFonts w:eastAsia="Times New Roman" w:cs="Times New Roman"/>
          <w:sz w:val="25"/>
          <w:szCs w:val="25"/>
        </w:rPr>
      </w:pPr>
      <w:r>
        <w:rPr>
          <w:rFonts w:eastAsia="Times New Roman" w:cs="Times New Roman"/>
          <w:sz w:val="25"/>
          <w:szCs w:val="25"/>
        </w:rPr>
        <w:t xml:space="preserve">Having therefore </w:t>
      </w:r>
      <w:r w:rsidR="003F2A85">
        <w:rPr>
          <w:rFonts w:eastAsia="Times New Roman" w:cs="Times New Roman"/>
          <w:sz w:val="25"/>
          <w:szCs w:val="25"/>
        </w:rPr>
        <w:t xml:space="preserve">determined that </w:t>
      </w:r>
      <w:r w:rsidR="00855421">
        <w:rPr>
          <w:rFonts w:eastAsia="Times New Roman" w:cs="Times New Roman"/>
          <w:sz w:val="25"/>
          <w:szCs w:val="25"/>
        </w:rPr>
        <w:t xml:space="preserve">even given a deferential and liberal reading of the </w:t>
      </w:r>
      <w:r w:rsidR="00855421">
        <w:rPr>
          <w:rFonts w:eastAsia="Times New Roman" w:cs="Times New Roman"/>
          <w:i/>
          <w:iCs/>
          <w:sz w:val="25"/>
          <w:szCs w:val="25"/>
        </w:rPr>
        <w:t xml:space="preserve">Hearing Request </w:t>
      </w:r>
      <w:r w:rsidR="003F2A85">
        <w:rPr>
          <w:rFonts w:eastAsia="Times New Roman" w:cs="Times New Roman"/>
          <w:sz w:val="25"/>
          <w:szCs w:val="25"/>
        </w:rPr>
        <w:t>no</w:t>
      </w:r>
      <w:r w:rsidR="00CE130D">
        <w:rPr>
          <w:rFonts w:eastAsia="Times New Roman" w:cs="Times New Roman"/>
          <w:sz w:val="25"/>
          <w:szCs w:val="25"/>
        </w:rPr>
        <w:t xml:space="preserve"> timely allegations </w:t>
      </w:r>
      <w:r w:rsidR="003F2A85">
        <w:rPr>
          <w:rFonts w:eastAsia="Times New Roman" w:cs="Times New Roman"/>
          <w:sz w:val="25"/>
          <w:szCs w:val="25"/>
        </w:rPr>
        <w:t xml:space="preserve">within my jurisdiction are </w:t>
      </w:r>
      <w:r w:rsidR="00CE130D">
        <w:rPr>
          <w:rFonts w:eastAsia="Times New Roman" w:cs="Times New Roman"/>
          <w:sz w:val="25"/>
          <w:szCs w:val="25"/>
        </w:rPr>
        <w:t>made</w:t>
      </w:r>
      <w:r w:rsidR="0035385B">
        <w:rPr>
          <w:rFonts w:eastAsia="Times New Roman" w:cs="Times New Roman"/>
          <w:sz w:val="25"/>
          <w:szCs w:val="25"/>
        </w:rPr>
        <w:t xml:space="preserve">, </w:t>
      </w:r>
      <w:r w:rsidR="00CE130D">
        <w:rPr>
          <w:rFonts w:eastAsia="Times New Roman" w:cs="Times New Roman"/>
          <w:sz w:val="25"/>
          <w:szCs w:val="25"/>
        </w:rPr>
        <w:t xml:space="preserve">the remainder of the </w:t>
      </w:r>
      <w:r w:rsidR="00CE130D">
        <w:rPr>
          <w:rFonts w:eastAsia="Times New Roman" w:cs="Times New Roman"/>
          <w:i/>
          <w:iCs/>
          <w:sz w:val="25"/>
          <w:szCs w:val="25"/>
        </w:rPr>
        <w:t xml:space="preserve">Hearing Request </w:t>
      </w:r>
      <w:r w:rsidR="00CE130D">
        <w:rPr>
          <w:rFonts w:eastAsia="Times New Roman" w:cs="Times New Roman"/>
          <w:sz w:val="25"/>
          <w:szCs w:val="25"/>
        </w:rPr>
        <w:t xml:space="preserve">is also </w:t>
      </w:r>
      <w:r w:rsidR="00CE130D">
        <w:rPr>
          <w:rFonts w:eastAsia="Times New Roman" w:cs="Times New Roman"/>
          <w:b/>
          <w:bCs/>
          <w:sz w:val="25"/>
          <w:szCs w:val="25"/>
        </w:rPr>
        <w:t>dismissed with prejudice</w:t>
      </w:r>
      <w:r w:rsidR="00CE130D">
        <w:rPr>
          <w:rFonts w:eastAsia="Times New Roman" w:cs="Times New Roman"/>
          <w:sz w:val="25"/>
          <w:szCs w:val="25"/>
        </w:rPr>
        <w:t xml:space="preserve">.  </w:t>
      </w:r>
    </w:p>
    <w:p w14:paraId="6392FFA6" w14:textId="77777777" w:rsidR="003F2A85" w:rsidRPr="00CE130D" w:rsidRDefault="003F2A85" w:rsidP="00165A4A">
      <w:pPr>
        <w:shd w:val="clear" w:color="auto" w:fill="FFFFFF"/>
        <w:rPr>
          <w:rFonts w:eastAsia="Times New Roman" w:cs="Times New Roman"/>
          <w:sz w:val="25"/>
          <w:szCs w:val="25"/>
        </w:rPr>
      </w:pPr>
    </w:p>
    <w:p w14:paraId="415063FE" w14:textId="77777777" w:rsidR="00CC0C40" w:rsidRPr="000370FF" w:rsidRDefault="00CC0C40" w:rsidP="00CC0C40">
      <w:pPr>
        <w:shd w:val="clear" w:color="auto" w:fill="FFFFFF"/>
        <w:jc w:val="center"/>
        <w:rPr>
          <w:rFonts w:ascii="Aptos" w:eastAsia="Times New Roman" w:hAnsi="Aptos" w:cs="Times New Roman"/>
          <w:b/>
          <w:bCs/>
          <w:sz w:val="25"/>
          <w:szCs w:val="25"/>
        </w:rPr>
      </w:pPr>
      <w:r w:rsidRPr="000370FF">
        <w:rPr>
          <w:rFonts w:ascii="Aptos" w:eastAsia="Times New Roman" w:hAnsi="Aptos" w:cs="Times New Roman"/>
          <w:b/>
          <w:bCs/>
          <w:sz w:val="25"/>
          <w:szCs w:val="25"/>
        </w:rPr>
        <w:t>ORDER</w:t>
      </w:r>
    </w:p>
    <w:p w14:paraId="4418E802" w14:textId="77777777" w:rsidR="00CC0C40" w:rsidRPr="000370FF" w:rsidRDefault="00CC0C40" w:rsidP="00CC0C40">
      <w:pPr>
        <w:shd w:val="clear" w:color="auto" w:fill="FFFFFF"/>
        <w:jc w:val="center"/>
        <w:rPr>
          <w:rFonts w:ascii="Aptos" w:eastAsia="Times New Roman" w:hAnsi="Aptos" w:cs="Times New Roman"/>
          <w:sz w:val="25"/>
          <w:szCs w:val="25"/>
        </w:rPr>
      </w:pPr>
    </w:p>
    <w:p w14:paraId="2218DBC9" w14:textId="0196113A" w:rsidR="00085F3E" w:rsidRPr="00085F3E" w:rsidRDefault="00085F3E" w:rsidP="00085F3E">
      <w:pPr>
        <w:shd w:val="clear" w:color="auto" w:fill="FFFFFF"/>
        <w:rPr>
          <w:rFonts w:ascii="Aptos" w:eastAsia="Times New Roman" w:hAnsi="Aptos" w:cs="Times New Roman"/>
          <w:sz w:val="25"/>
          <w:szCs w:val="25"/>
        </w:rPr>
      </w:pPr>
      <w:r>
        <w:rPr>
          <w:rFonts w:ascii="Aptos" w:eastAsia="Times New Roman" w:hAnsi="Aptos" w:cs="Times New Roman"/>
          <w:sz w:val="25"/>
          <w:szCs w:val="25"/>
        </w:rPr>
        <w:t>The District’s</w:t>
      </w:r>
      <w:r w:rsidRPr="00085F3E">
        <w:rPr>
          <w:rFonts w:ascii="Aptos" w:eastAsia="Times New Roman" w:hAnsi="Aptos" w:cs="Times New Roman"/>
          <w:sz w:val="25"/>
          <w:szCs w:val="25"/>
        </w:rPr>
        <w:t xml:space="preserve"> </w:t>
      </w:r>
      <w:r w:rsidRPr="00085F3E">
        <w:rPr>
          <w:rFonts w:ascii="Aptos" w:eastAsia="Times New Roman" w:hAnsi="Aptos" w:cs="Times New Roman"/>
          <w:i/>
          <w:iCs/>
          <w:sz w:val="25"/>
          <w:szCs w:val="25"/>
        </w:rPr>
        <w:t>Motion</w:t>
      </w:r>
      <w:r w:rsidRPr="00085F3E">
        <w:rPr>
          <w:rFonts w:ascii="Aptos" w:eastAsia="Times New Roman" w:hAnsi="Aptos" w:cs="Times New Roman"/>
          <w:sz w:val="25"/>
          <w:szCs w:val="25"/>
        </w:rPr>
        <w:t xml:space="preserve"> is </w:t>
      </w:r>
      <w:r w:rsidRPr="00085F3E">
        <w:rPr>
          <w:rFonts w:ascii="Aptos" w:eastAsia="Times New Roman" w:hAnsi="Aptos" w:cs="Times New Roman"/>
          <w:b/>
          <w:bCs/>
          <w:sz w:val="25"/>
          <w:szCs w:val="25"/>
        </w:rPr>
        <w:t xml:space="preserve">ALLOWED </w:t>
      </w:r>
      <w:r w:rsidRPr="00085F3E">
        <w:rPr>
          <w:rFonts w:ascii="Aptos" w:eastAsia="Times New Roman" w:hAnsi="Aptos" w:cs="Times New Roman"/>
          <w:sz w:val="25"/>
          <w:szCs w:val="25"/>
        </w:rPr>
        <w:t xml:space="preserve">as to all claims in the </w:t>
      </w:r>
      <w:r w:rsidRPr="00085F3E">
        <w:rPr>
          <w:rFonts w:ascii="Aptos" w:eastAsia="Times New Roman" w:hAnsi="Aptos" w:cs="Times New Roman"/>
          <w:i/>
          <w:iCs/>
          <w:sz w:val="25"/>
          <w:szCs w:val="25"/>
        </w:rPr>
        <w:t xml:space="preserve">Hearing Request </w:t>
      </w:r>
      <w:r w:rsidRPr="00085F3E">
        <w:rPr>
          <w:rFonts w:ascii="Aptos" w:eastAsia="Times New Roman" w:hAnsi="Aptos" w:cs="Times New Roman"/>
          <w:sz w:val="25"/>
          <w:szCs w:val="25"/>
        </w:rPr>
        <w:t xml:space="preserve">this matter is hereby </w:t>
      </w:r>
      <w:r w:rsidRPr="00085F3E">
        <w:rPr>
          <w:rFonts w:ascii="Aptos" w:eastAsia="Times New Roman" w:hAnsi="Aptos" w:cs="Times New Roman"/>
          <w:b/>
          <w:bCs/>
          <w:sz w:val="25"/>
          <w:szCs w:val="25"/>
        </w:rPr>
        <w:t>DISMISSED with prejudice</w:t>
      </w:r>
      <w:r w:rsidR="0035385B">
        <w:rPr>
          <w:rFonts w:ascii="Aptos" w:eastAsia="Times New Roman" w:hAnsi="Aptos" w:cs="Times New Roman"/>
          <w:b/>
          <w:bCs/>
          <w:i/>
          <w:iCs/>
          <w:sz w:val="25"/>
          <w:szCs w:val="25"/>
        </w:rPr>
        <w:t xml:space="preserve"> </w:t>
      </w:r>
      <w:r w:rsidR="0035385B">
        <w:rPr>
          <w:rFonts w:ascii="Aptos" w:eastAsia="Times New Roman" w:hAnsi="Aptos" w:cs="Times New Roman"/>
          <w:sz w:val="25"/>
          <w:szCs w:val="25"/>
        </w:rPr>
        <w:t>and all events, including the Conference Call on September 15, 2025 and the Hearing on September 30, 2025 will not go forward</w:t>
      </w:r>
      <w:r w:rsidRPr="00085F3E">
        <w:rPr>
          <w:rFonts w:ascii="Aptos" w:eastAsia="Times New Roman" w:hAnsi="Aptos" w:cs="Times New Roman"/>
          <w:sz w:val="25"/>
          <w:szCs w:val="25"/>
        </w:rPr>
        <w:t>.</w:t>
      </w:r>
    </w:p>
    <w:p w14:paraId="0E069EC6" w14:textId="77777777" w:rsidR="00CC0C40" w:rsidRPr="000370FF" w:rsidRDefault="00CC0C40" w:rsidP="00CC0C40">
      <w:pPr>
        <w:shd w:val="clear" w:color="auto" w:fill="FFFFFF"/>
        <w:rPr>
          <w:rFonts w:ascii="Aptos" w:eastAsia="Times New Roman" w:hAnsi="Aptos" w:cs="Times New Roman"/>
          <w:sz w:val="25"/>
          <w:szCs w:val="25"/>
        </w:rPr>
      </w:pPr>
    </w:p>
    <w:p w14:paraId="2F05C76E" w14:textId="77777777" w:rsidR="00CC0C40" w:rsidRPr="000370FF" w:rsidRDefault="00CC0C40" w:rsidP="00CC0C40">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 xml:space="preserve">By the Hearing Officer, </w:t>
      </w:r>
    </w:p>
    <w:p w14:paraId="0BC094F7" w14:textId="77777777" w:rsidR="00CC0C40" w:rsidRPr="000370FF" w:rsidRDefault="00CC0C40" w:rsidP="00CC0C40">
      <w:pPr>
        <w:shd w:val="clear" w:color="auto" w:fill="FFFFFF"/>
        <w:rPr>
          <w:rFonts w:ascii="Aptos" w:eastAsia="Times New Roman" w:hAnsi="Aptos" w:cs="Times New Roman"/>
          <w:sz w:val="25"/>
          <w:szCs w:val="25"/>
          <w:u w:val="single"/>
        </w:rPr>
      </w:pPr>
    </w:p>
    <w:p w14:paraId="761F7E93" w14:textId="77777777" w:rsidR="00CC0C40" w:rsidRPr="000370FF" w:rsidRDefault="00CC0C40" w:rsidP="00CC0C40">
      <w:pPr>
        <w:shd w:val="clear" w:color="auto" w:fill="FFFFFF"/>
        <w:rPr>
          <w:rFonts w:ascii="Aptos" w:eastAsia="Times New Roman" w:hAnsi="Aptos" w:cs="Times New Roman"/>
          <w:sz w:val="25"/>
          <w:szCs w:val="25"/>
        </w:rPr>
      </w:pPr>
      <w:r w:rsidRPr="00085F3E">
        <w:rPr>
          <w:rFonts w:ascii="Lucida Handwriting" w:eastAsia="Times New Roman" w:hAnsi="Lucida Handwriting" w:cs="Times New Roman"/>
          <w:sz w:val="25"/>
          <w:szCs w:val="25"/>
          <w:u w:val="single"/>
        </w:rPr>
        <w:t>/s/ Marguerite M. Mitchell</w:t>
      </w:r>
      <w:r w:rsidRPr="000370FF">
        <w:rPr>
          <w:rFonts w:ascii="Aptos" w:eastAsia="Times New Roman" w:hAnsi="Aptos" w:cs="Times New Roman"/>
          <w:sz w:val="25"/>
          <w:szCs w:val="25"/>
          <w:u w:val="single"/>
        </w:rPr>
        <w:br/>
      </w:r>
      <w:r w:rsidRPr="000370FF">
        <w:rPr>
          <w:rFonts w:ascii="Aptos" w:eastAsia="Times New Roman" w:hAnsi="Aptos" w:cs="Times New Roman"/>
          <w:sz w:val="25"/>
          <w:szCs w:val="25"/>
        </w:rPr>
        <w:t>Marguerite M. Mitchell</w:t>
      </w:r>
    </w:p>
    <w:p w14:paraId="0E145873" w14:textId="77777777" w:rsidR="00A10091" w:rsidRDefault="00CC0C40" w:rsidP="00CC0C40">
      <w:pPr>
        <w:shd w:val="clear" w:color="auto" w:fill="FFFFFF"/>
        <w:rPr>
          <w:rFonts w:ascii="Aptos" w:eastAsia="Times New Roman" w:hAnsi="Aptos" w:cs="Times New Roman"/>
          <w:sz w:val="25"/>
          <w:szCs w:val="25"/>
        </w:rPr>
        <w:sectPr w:rsidR="00A10091" w:rsidSect="00CC0C40">
          <w:footerReference w:type="default" r:id="rId8"/>
          <w:pgSz w:w="12240" w:h="15840"/>
          <w:pgMar w:top="1440" w:right="1440" w:bottom="720" w:left="1440" w:header="720" w:footer="720" w:gutter="0"/>
          <w:cols w:space="720"/>
          <w:docGrid w:linePitch="360"/>
        </w:sectPr>
      </w:pPr>
      <w:r w:rsidRPr="000370FF">
        <w:rPr>
          <w:rFonts w:ascii="Aptos" w:eastAsia="Times New Roman" w:hAnsi="Aptos" w:cs="Times New Roman"/>
          <w:sz w:val="25"/>
          <w:szCs w:val="25"/>
        </w:rPr>
        <w:t xml:space="preserve">Date: </w:t>
      </w:r>
      <w:r w:rsidR="00085F3E">
        <w:rPr>
          <w:rFonts w:ascii="Aptos" w:eastAsia="Times New Roman" w:hAnsi="Aptos" w:cs="Times New Roman"/>
          <w:sz w:val="25"/>
          <w:szCs w:val="25"/>
        </w:rPr>
        <w:t>September 1</w:t>
      </w:r>
      <w:r w:rsidR="000B3174">
        <w:rPr>
          <w:rFonts w:ascii="Aptos" w:eastAsia="Times New Roman" w:hAnsi="Aptos" w:cs="Times New Roman"/>
          <w:sz w:val="25"/>
          <w:szCs w:val="25"/>
        </w:rPr>
        <w:t>0</w:t>
      </w:r>
      <w:r w:rsidR="00085F3E">
        <w:rPr>
          <w:rFonts w:ascii="Aptos" w:eastAsia="Times New Roman" w:hAnsi="Aptos" w:cs="Times New Roman"/>
          <w:sz w:val="25"/>
          <w:szCs w:val="25"/>
        </w:rPr>
        <w:t>, 2025</w:t>
      </w:r>
    </w:p>
    <w:p w14:paraId="3147CC1B" w14:textId="3D91F8F0" w:rsidR="00CC0C40" w:rsidRDefault="00CC0C40" w:rsidP="00CC0C40">
      <w:pPr>
        <w:shd w:val="clear" w:color="auto" w:fill="FFFFFF"/>
        <w:rPr>
          <w:rFonts w:ascii="Times New Roman" w:eastAsia="Times New Roman" w:hAnsi="Times New Roman" w:cs="Times New Roman"/>
          <w:sz w:val="24"/>
          <w:szCs w:val="24"/>
        </w:rPr>
      </w:pPr>
    </w:p>
    <w:p w14:paraId="2A6E07A5" w14:textId="77777777" w:rsidR="00CC0C40" w:rsidRPr="006A114C" w:rsidRDefault="00CC0C40" w:rsidP="00CC0C40">
      <w:pPr>
        <w:spacing w:line="259" w:lineRule="auto"/>
        <w:jc w:val="center"/>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COMMONWEALTH OF MASSACHUSETTS</w:t>
      </w:r>
    </w:p>
    <w:p w14:paraId="5A2804A1" w14:textId="77777777" w:rsidR="00CC0C40" w:rsidRPr="006A114C" w:rsidRDefault="00CC0C40" w:rsidP="00CC0C40">
      <w:pPr>
        <w:spacing w:line="259" w:lineRule="auto"/>
        <w:ind w:right="250"/>
        <w:jc w:val="center"/>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BUREAU OF SPECIAL EDUCATION APPEALS</w:t>
      </w:r>
    </w:p>
    <w:p w14:paraId="4C467D76" w14:textId="77777777" w:rsidR="00CC0C40" w:rsidRPr="006A114C" w:rsidRDefault="00CC0C40" w:rsidP="00CC0C40">
      <w:pPr>
        <w:tabs>
          <w:tab w:val="center" w:pos="440"/>
          <w:tab w:val="center" w:pos="4627"/>
        </w:tabs>
        <w:spacing w:after="533" w:line="259" w:lineRule="auto"/>
        <w:jc w:val="center"/>
        <w:rPr>
          <w:rFonts w:ascii="Aptos" w:eastAsia="Times New Roman" w:hAnsi="Aptos" w:cs="Times New Roman"/>
          <w:color w:val="000000"/>
          <w:sz w:val="24"/>
          <w:szCs w:val="24"/>
        </w:rPr>
      </w:pPr>
      <w:r w:rsidRPr="006A114C">
        <w:rPr>
          <w:rFonts w:ascii="Aptos" w:eastAsia="Times New Roman" w:hAnsi="Aptos" w:cs="Times New Roman"/>
          <w:color w:val="000000"/>
          <w:sz w:val="24"/>
          <w:szCs w:val="24"/>
          <w:u w:val="single" w:color="000000"/>
        </w:rPr>
        <w:t>EFFECT OF FINAL BSEA ACTIONS AND RIGHTS OF APPEAL</w:t>
      </w:r>
    </w:p>
    <w:p w14:paraId="47480410" w14:textId="77777777" w:rsidR="00CC0C40" w:rsidRPr="006A114C" w:rsidRDefault="00CC0C40" w:rsidP="00CC0C40">
      <w:pPr>
        <w:keepNext/>
        <w:keepLines/>
        <w:spacing w:after="261" w:line="259" w:lineRule="auto"/>
        <w:ind w:left="38"/>
        <w:outlineLvl w:val="0"/>
        <w:rPr>
          <w:rFonts w:ascii="Aptos" w:eastAsia="Times New Roman" w:hAnsi="Aptos" w:cs="Times New Roman"/>
          <w:color w:val="000000"/>
          <w:sz w:val="24"/>
          <w:szCs w:val="24"/>
          <w:u w:val="single" w:color="000000"/>
        </w:rPr>
      </w:pPr>
      <w:r w:rsidRPr="006A114C">
        <w:rPr>
          <w:rFonts w:ascii="Aptos" w:eastAsia="Times New Roman" w:hAnsi="Aptos" w:cs="Times New Roman"/>
          <w:color w:val="000000"/>
          <w:sz w:val="24"/>
          <w:szCs w:val="24"/>
          <w:u w:val="single" w:color="000000"/>
        </w:rPr>
        <w:t>Effect of BSEA Decision, Dismissal with Prejudice and Allowance of Motion for Summary Judgment</w:t>
      </w:r>
    </w:p>
    <w:p w14:paraId="30D0BEBE" w14:textId="77777777" w:rsidR="00CC0C40" w:rsidRPr="006A114C" w:rsidRDefault="00CC0C40" w:rsidP="00CC0C40">
      <w:pPr>
        <w:spacing w:after="312" w:line="250" w:lineRule="auto"/>
        <w:ind w:left="43" w:firstLine="5"/>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 xml:space="preserve">20 U.S.C. s. 1415(i)(1)(B) requires that a decision of the Bureau of Special Education Appeals be final and subject to no further agency review. Similarly, </w:t>
      </w:r>
      <w:proofErr w:type="gramStart"/>
      <w:r w:rsidRPr="006A114C">
        <w:rPr>
          <w:rFonts w:ascii="Aptos" w:eastAsia="Times New Roman" w:hAnsi="Aptos" w:cs="Times New Roman"/>
          <w:color w:val="000000"/>
          <w:sz w:val="24"/>
          <w:szCs w:val="24"/>
        </w:rPr>
        <w:t>a Ruling</w:t>
      </w:r>
      <w:proofErr w:type="gramEnd"/>
      <w:r w:rsidRPr="006A114C">
        <w:rPr>
          <w:rFonts w:ascii="Aptos" w:eastAsia="Times New Roman" w:hAnsi="Aptos" w:cs="Times New Roman"/>
          <w:color w:val="000000"/>
          <w:sz w:val="24"/>
          <w:szCs w:val="24"/>
        </w:rPr>
        <w:t xml:space="preserve"> Dismissing a Matter with Prejudice and </w:t>
      </w:r>
      <w:proofErr w:type="gramStart"/>
      <w:r w:rsidRPr="006A114C">
        <w:rPr>
          <w:rFonts w:ascii="Aptos" w:eastAsia="Times New Roman" w:hAnsi="Aptos" w:cs="Times New Roman"/>
          <w:color w:val="000000"/>
          <w:sz w:val="24"/>
          <w:szCs w:val="24"/>
        </w:rPr>
        <w:t>a Ruling</w:t>
      </w:r>
      <w:proofErr w:type="gramEnd"/>
      <w:r w:rsidRPr="006A114C">
        <w:rPr>
          <w:rFonts w:ascii="Aptos" w:eastAsia="Times New Roman" w:hAnsi="Aptos" w:cs="Times New Roman"/>
          <w:color w:val="000000"/>
          <w:sz w:val="24"/>
          <w:szCs w:val="24"/>
        </w:rPr>
        <w:t xml:space="preserve">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53324C33" w14:textId="77777777" w:rsidR="00CC0C40" w:rsidRPr="006A114C" w:rsidRDefault="00CC0C40" w:rsidP="00CC0C40">
      <w:pPr>
        <w:spacing w:after="312" w:line="250" w:lineRule="auto"/>
        <w:ind w:left="43" w:firstLine="5"/>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Accordingly</w:t>
      </w:r>
      <w:r w:rsidRPr="006A114C">
        <w:rPr>
          <w:rFonts w:ascii="Aptos" w:eastAsia="Times New Roman" w:hAnsi="Aptos" w:cs="Times New Roman"/>
          <w:strike/>
          <w:color w:val="000000"/>
          <w:sz w:val="24"/>
          <w:szCs w:val="24"/>
        </w:rPr>
        <w:t>,</w:t>
      </w:r>
      <w:r w:rsidRPr="006A114C">
        <w:rPr>
          <w:rFonts w:ascii="Aptos" w:eastAsia="Times New Roman" w:hAnsi="Aptos" w:cs="Times New Roman"/>
          <w:color w:val="000000"/>
          <w:sz w:val="24"/>
          <w:szCs w:val="24"/>
        </w:rPr>
        <w:t xml:space="preserve"> the Bureau cannot permit motions to reconsider or to re-open either a Bureau decision or the Rulings set forth above once they have issued. They are final subject only to judicial (court) review.</w:t>
      </w:r>
    </w:p>
    <w:p w14:paraId="4BA21DD0" w14:textId="77777777" w:rsidR="00CC0C40" w:rsidRPr="006A114C" w:rsidRDefault="00CC0C40" w:rsidP="00CC0C40">
      <w:pPr>
        <w:spacing w:after="292" w:line="243" w:lineRule="auto"/>
        <w:ind w:left="19" w:right="6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w:t>
      </w:r>
      <w:r>
        <w:rPr>
          <w:rFonts w:ascii="Aptos" w:eastAsia="Times New Roman" w:hAnsi="Aptos" w:cs="Times New Roman"/>
          <w:color w:val="000000"/>
          <w:sz w:val="24"/>
          <w:szCs w:val="24"/>
        </w:rPr>
        <w:t xml:space="preserve"> </w:t>
      </w:r>
      <w:r w:rsidRPr="006A114C">
        <w:rPr>
          <w:rFonts w:ascii="Aptos" w:eastAsia="Times New Roman" w:hAnsi="Aptos" w:cs="Times New Roman"/>
          <w:color w:val="000000"/>
          <w:sz w:val="24"/>
          <w:szCs w:val="24"/>
        </w:rPr>
        <w:t>Rather, a party seeking to stay—that is, delay implementation of-- the decision of the Bureau must request and obtain such stay from the court having jurisdiction over the party’s appeal.</w:t>
      </w:r>
    </w:p>
    <w:p w14:paraId="255E93E0" w14:textId="77777777" w:rsidR="00CC0C40" w:rsidRPr="006A114C" w:rsidRDefault="00CC0C40" w:rsidP="00CC0C40">
      <w:pPr>
        <w:spacing w:after="292" w:line="243" w:lineRule="auto"/>
        <w:ind w:left="19" w:right="6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385BADA6" w14:textId="77777777" w:rsidR="00CC0C40" w:rsidRPr="006A114C" w:rsidRDefault="00CC0C40" w:rsidP="00CC0C40">
      <w:pPr>
        <w:spacing w:after="292" w:line="243" w:lineRule="auto"/>
        <w:ind w:left="19" w:right="6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 xml:space="preserve">Therefore, where the Bureau has ordered the public school to place the child in a new placement, and the parents or guardian agree with that order, the public school shall immediately implement the placement ordered by the Bureau.  </w:t>
      </w:r>
      <w:r w:rsidRPr="006A114C">
        <w:rPr>
          <w:rFonts w:ascii="Aptos" w:eastAsia="Times New Roman" w:hAnsi="Aptos" w:cs="Times New Roman"/>
          <w:i/>
          <w:iCs/>
          <w:color w:val="000000"/>
          <w:sz w:val="24"/>
          <w:szCs w:val="24"/>
        </w:rPr>
        <w:t>School Committee of Burlington v. Massachusetts Department of Education</w:t>
      </w:r>
      <w:r w:rsidRPr="006A114C">
        <w:rPr>
          <w:rFonts w:ascii="Aptos" w:eastAsia="Times New Roman" w:hAnsi="Aptos" w:cs="Times New Roman"/>
          <w:color w:val="000000"/>
          <w:sz w:val="24"/>
          <w:szCs w:val="24"/>
        </w:rPr>
        <w:t xml:space="preserve">, 471 U.S. 359 (1985).  Otherwise, a party seeking to change the child’s placement while judicial proceedings are pending must ask the court </w:t>
      </w:r>
      <w:proofErr w:type="gramStart"/>
      <w:r w:rsidRPr="006A114C">
        <w:rPr>
          <w:rFonts w:ascii="Aptos" w:eastAsia="Times New Roman" w:hAnsi="Aptos" w:cs="Times New Roman"/>
          <w:color w:val="000000"/>
          <w:sz w:val="24"/>
          <w:szCs w:val="24"/>
        </w:rPr>
        <w:t>having</w:t>
      </w:r>
      <w:proofErr w:type="gramEnd"/>
      <w:r w:rsidRPr="006A114C">
        <w:rPr>
          <w:rFonts w:ascii="Aptos" w:eastAsia="Times New Roman" w:hAnsi="Aptos" w:cs="Times New Roman"/>
          <w:color w:val="000000"/>
          <w:sz w:val="24"/>
          <w:szCs w:val="24"/>
        </w:rPr>
        <w:t xml:space="preserve"> jurisdiction over the appeal to grant a preliminary injunction ordering such a change in placement. </w:t>
      </w:r>
      <w:r w:rsidRPr="006A114C">
        <w:rPr>
          <w:rFonts w:ascii="Aptos" w:eastAsia="Times New Roman" w:hAnsi="Aptos" w:cs="Times New Roman"/>
          <w:i/>
          <w:iCs/>
          <w:color w:val="000000"/>
          <w:sz w:val="24"/>
          <w:szCs w:val="24"/>
        </w:rPr>
        <w:t>Honig v. Doe</w:t>
      </w:r>
      <w:r w:rsidRPr="006A114C">
        <w:rPr>
          <w:rFonts w:ascii="Aptos" w:eastAsia="Times New Roman" w:hAnsi="Aptos" w:cs="Times New Roman"/>
          <w:color w:val="000000"/>
          <w:sz w:val="24"/>
          <w:szCs w:val="24"/>
        </w:rPr>
        <w:t xml:space="preserve">, 484 U.S. 305 (1988); </w:t>
      </w:r>
      <w:r w:rsidRPr="006A114C">
        <w:rPr>
          <w:rFonts w:ascii="Aptos" w:eastAsia="Times New Roman" w:hAnsi="Aptos" w:cs="Times New Roman"/>
          <w:i/>
          <w:iCs/>
          <w:color w:val="000000"/>
          <w:sz w:val="24"/>
          <w:szCs w:val="24"/>
        </w:rPr>
        <w:t>Doe v. Brookline</w:t>
      </w:r>
      <w:r w:rsidRPr="006A114C">
        <w:rPr>
          <w:rFonts w:ascii="Aptos" w:eastAsia="Times New Roman" w:hAnsi="Aptos" w:cs="Times New Roman"/>
          <w:color w:val="000000"/>
          <w:sz w:val="24"/>
          <w:szCs w:val="24"/>
        </w:rPr>
        <w:t>, 722 F.2d 910 (1</w:t>
      </w:r>
      <w:r w:rsidRPr="006A114C">
        <w:rPr>
          <w:rFonts w:ascii="Aptos" w:eastAsia="Times New Roman" w:hAnsi="Aptos" w:cs="Times New Roman"/>
          <w:color w:val="000000"/>
          <w:sz w:val="24"/>
          <w:szCs w:val="24"/>
          <w:vertAlign w:val="superscript"/>
        </w:rPr>
        <w:t>st</w:t>
      </w:r>
      <w:r w:rsidRPr="006A114C">
        <w:rPr>
          <w:rFonts w:ascii="Aptos" w:eastAsia="Times New Roman" w:hAnsi="Aptos" w:cs="Times New Roman"/>
          <w:color w:val="000000"/>
          <w:sz w:val="24"/>
          <w:szCs w:val="24"/>
        </w:rPr>
        <w:t xml:space="preserve"> Cir. 1983).</w:t>
      </w:r>
    </w:p>
    <w:p w14:paraId="302198C4" w14:textId="77777777" w:rsidR="00CC0C40" w:rsidRPr="006A114C" w:rsidRDefault="00CC0C40" w:rsidP="00CC0C40">
      <w:pPr>
        <w:keepNext/>
        <w:keepLines/>
        <w:spacing w:after="252" w:line="259" w:lineRule="auto"/>
        <w:ind w:left="96" w:hanging="10"/>
        <w:outlineLvl w:val="0"/>
        <w:rPr>
          <w:rFonts w:ascii="Aptos" w:eastAsia="Times New Roman" w:hAnsi="Aptos" w:cs="Times New Roman"/>
          <w:color w:val="000000"/>
          <w:sz w:val="24"/>
          <w:szCs w:val="24"/>
          <w:u w:val="single" w:color="000000"/>
        </w:rPr>
      </w:pPr>
      <w:r w:rsidRPr="006A114C">
        <w:rPr>
          <w:rFonts w:ascii="Aptos" w:eastAsia="Times New Roman" w:hAnsi="Aptos" w:cs="Times New Roman"/>
          <w:color w:val="000000"/>
          <w:sz w:val="24"/>
          <w:szCs w:val="24"/>
          <w:u w:val="single" w:color="000000"/>
        </w:rPr>
        <w:lastRenderedPageBreak/>
        <w:t>Compliance</w:t>
      </w:r>
    </w:p>
    <w:p w14:paraId="13EE5A6B" w14:textId="77777777" w:rsidR="00CC0C40" w:rsidRPr="006A114C" w:rsidRDefault="00CC0C40" w:rsidP="00CC0C40">
      <w:pPr>
        <w:spacing w:after="292" w:line="243" w:lineRule="auto"/>
        <w:ind w:left="19" w:right="17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w:t>
      </w:r>
      <w:proofErr w:type="gramStart"/>
      <w:r w:rsidRPr="006A114C">
        <w:rPr>
          <w:rFonts w:ascii="Aptos" w:eastAsia="Times New Roman" w:hAnsi="Aptos" w:cs="Times New Roman"/>
          <w:color w:val="000000"/>
          <w:sz w:val="24"/>
          <w:szCs w:val="24"/>
        </w:rPr>
        <w:t>such a</w:t>
      </w:r>
      <w:proofErr w:type="gramEnd"/>
      <w:r w:rsidRPr="006A114C">
        <w:rPr>
          <w:rFonts w:ascii="Aptos" w:eastAsia="Times New Roman" w:hAnsi="Aptos" w:cs="Times New Roman"/>
          <w:color w:val="000000"/>
          <w:sz w:val="24"/>
          <w:szCs w:val="24"/>
        </w:rPr>
        <w:t xml:space="preserve"> nature as to excuse performance, and facts bearing on a remedy. Upon </w:t>
      </w:r>
      <w:proofErr w:type="gramStart"/>
      <w:r w:rsidRPr="006A114C">
        <w:rPr>
          <w:rFonts w:ascii="Aptos" w:eastAsia="Times New Roman" w:hAnsi="Aptos" w:cs="Times New Roman"/>
          <w:color w:val="000000"/>
          <w:sz w:val="24"/>
          <w:szCs w:val="24"/>
        </w:rPr>
        <w:t>a finding of</w:t>
      </w:r>
      <w:proofErr w:type="gramEnd"/>
      <w:r w:rsidRPr="006A114C">
        <w:rPr>
          <w:rFonts w:ascii="Aptos" w:eastAsia="Times New Roman" w:hAnsi="Aptos" w:cs="Times New Roman"/>
          <w:color w:val="000000"/>
          <w:sz w:val="24"/>
          <w:szCs w:val="24"/>
        </w:rPr>
        <w:t xml:space="preserve"> non-compliance, the Hearing Officer may fashion appropriate relief, including referral of the matter to the Legal Office of the Department of Elementary and Secondary Education or other office for appropriate enforcement action. 603 CMR 28.08(6)(b).</w:t>
      </w:r>
    </w:p>
    <w:p w14:paraId="3A0F6BBA" w14:textId="77777777" w:rsidR="00CC0C40" w:rsidRPr="006A114C" w:rsidRDefault="00CC0C40" w:rsidP="00CC0C40">
      <w:pPr>
        <w:keepNext/>
        <w:keepLines/>
        <w:spacing w:after="252" w:line="259" w:lineRule="auto"/>
        <w:ind w:left="-5" w:hanging="10"/>
        <w:outlineLvl w:val="0"/>
        <w:rPr>
          <w:rFonts w:ascii="Aptos" w:eastAsia="Times New Roman" w:hAnsi="Aptos" w:cs="Times New Roman"/>
          <w:color w:val="000000"/>
          <w:sz w:val="24"/>
          <w:szCs w:val="24"/>
          <w:u w:val="single" w:color="000000"/>
        </w:rPr>
      </w:pPr>
      <w:r w:rsidRPr="006A114C">
        <w:rPr>
          <w:rFonts w:ascii="Aptos" w:eastAsia="Times New Roman" w:hAnsi="Aptos" w:cs="Times New Roman"/>
          <w:color w:val="000000"/>
          <w:sz w:val="24"/>
          <w:szCs w:val="24"/>
          <w:u w:val="single" w:color="000000"/>
        </w:rPr>
        <w:t>Rights of Appeal</w:t>
      </w:r>
    </w:p>
    <w:p w14:paraId="7CA48287" w14:textId="77777777" w:rsidR="00CC0C40" w:rsidRPr="006A114C" w:rsidRDefault="00CC0C40" w:rsidP="00CC0C40">
      <w:pPr>
        <w:spacing w:after="292" w:line="243" w:lineRule="auto"/>
        <w:ind w:left="19" w:right="17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4E306B94" w14:textId="77777777" w:rsidR="00CC0C40" w:rsidRDefault="00CC0C40" w:rsidP="00CC0C40">
      <w:pPr>
        <w:spacing w:line="243" w:lineRule="auto"/>
        <w:ind w:left="19" w:right="17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An appeal of a Bureau decision to state superior court or to federal district court must be filed within ninety (90) days from the date of the decision. 20 U.S.C. s. 1415(i)(2)(B).</w:t>
      </w:r>
    </w:p>
    <w:p w14:paraId="329BF465" w14:textId="77777777" w:rsidR="00CC0C40" w:rsidRPr="006A114C" w:rsidRDefault="00CC0C40" w:rsidP="00CC0C40">
      <w:pPr>
        <w:spacing w:line="243" w:lineRule="auto"/>
        <w:ind w:left="19" w:right="172"/>
        <w:jc w:val="both"/>
        <w:rPr>
          <w:rFonts w:ascii="Aptos" w:eastAsia="Times New Roman" w:hAnsi="Aptos" w:cs="Times New Roman"/>
          <w:color w:val="000000"/>
          <w:sz w:val="24"/>
          <w:szCs w:val="24"/>
        </w:rPr>
      </w:pPr>
    </w:p>
    <w:p w14:paraId="23FB8230" w14:textId="77777777" w:rsidR="00CC0C40" w:rsidRPr="006A114C" w:rsidRDefault="00CC0C40" w:rsidP="00CC0C40">
      <w:pPr>
        <w:keepNext/>
        <w:keepLines/>
        <w:spacing w:after="252" w:line="259" w:lineRule="auto"/>
        <w:ind w:left="-5" w:hanging="10"/>
        <w:outlineLvl w:val="0"/>
        <w:rPr>
          <w:rFonts w:ascii="Aptos" w:eastAsia="Times New Roman" w:hAnsi="Aptos" w:cs="Times New Roman"/>
          <w:color w:val="000000"/>
          <w:sz w:val="24"/>
          <w:szCs w:val="24"/>
          <w:u w:val="single" w:color="000000"/>
        </w:rPr>
      </w:pPr>
      <w:r w:rsidRPr="006A114C">
        <w:rPr>
          <w:rFonts w:ascii="Aptos" w:eastAsia="Times New Roman" w:hAnsi="Aptos" w:cs="Times New Roman"/>
          <w:color w:val="000000"/>
          <w:sz w:val="24"/>
          <w:szCs w:val="24"/>
          <w:u w:val="single" w:color="000000"/>
        </w:rPr>
        <w:t>Confidentiality</w:t>
      </w:r>
    </w:p>
    <w:p w14:paraId="02BE2776" w14:textId="77777777" w:rsidR="00CC0C40" w:rsidRPr="006A114C" w:rsidRDefault="00CC0C40" w:rsidP="00CC0C40">
      <w:pPr>
        <w:spacing w:line="243" w:lineRule="auto"/>
        <w:ind w:left="19" w:right="34"/>
        <w:jc w:val="both"/>
        <w:rPr>
          <w:rFonts w:ascii="Aptos" w:eastAsia="Times New Roman" w:hAnsi="Aptos" w:cs="Times New Roman"/>
          <w:i/>
          <w:iCs/>
          <w:color w:val="000000"/>
          <w:sz w:val="24"/>
          <w:szCs w:val="24"/>
        </w:rPr>
      </w:pPr>
      <w:r w:rsidRPr="006A114C">
        <w:rPr>
          <w:rFonts w:ascii="Aptos" w:eastAsia="Times New Roman" w:hAnsi="Aptos" w:cs="Times New Roman"/>
          <w:color w:val="000000"/>
          <w:sz w:val="24"/>
          <w:szCs w:val="24"/>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6A114C">
        <w:rPr>
          <w:rFonts w:ascii="Aptos" w:eastAsia="Times New Roman" w:hAnsi="Aptos" w:cs="Times New Roman"/>
          <w:i/>
          <w:iCs/>
          <w:color w:val="000000"/>
          <w:sz w:val="24"/>
          <w:szCs w:val="24"/>
        </w:rPr>
        <w:t>Webster Grove</w:t>
      </w:r>
      <w:r>
        <w:rPr>
          <w:rFonts w:ascii="Aptos" w:eastAsia="Times New Roman" w:hAnsi="Aptos" w:cs="Times New Roman"/>
          <w:i/>
          <w:iCs/>
          <w:color w:val="000000"/>
          <w:sz w:val="24"/>
          <w:szCs w:val="24"/>
        </w:rPr>
        <w:t xml:space="preserve"> </w:t>
      </w:r>
      <w:r w:rsidRPr="006A114C">
        <w:rPr>
          <w:rFonts w:ascii="Aptos" w:eastAsia="Times New Roman" w:hAnsi="Aptos" w:cs="Times New Roman"/>
          <w:i/>
          <w:iCs/>
          <w:color w:val="000000"/>
          <w:sz w:val="24"/>
          <w:szCs w:val="24"/>
        </w:rPr>
        <w:t>School District v. Pulitzer Publishing</w:t>
      </w:r>
      <w:r>
        <w:rPr>
          <w:rFonts w:ascii="Aptos" w:eastAsia="Times New Roman" w:hAnsi="Aptos" w:cs="Times New Roman"/>
          <w:i/>
          <w:iCs/>
          <w:color w:val="000000"/>
          <w:sz w:val="24"/>
          <w:szCs w:val="24"/>
        </w:rPr>
        <w:t xml:space="preserve"> </w:t>
      </w:r>
      <w:r w:rsidRPr="006A114C">
        <w:rPr>
          <w:rFonts w:ascii="Aptos" w:eastAsia="Times New Roman" w:hAnsi="Aptos" w:cs="Times New Roman"/>
          <w:i/>
          <w:iCs/>
          <w:color w:val="000000"/>
          <w:sz w:val="24"/>
          <w:szCs w:val="24"/>
        </w:rPr>
        <w:t>Company</w:t>
      </w:r>
      <w:r w:rsidRPr="006A114C">
        <w:rPr>
          <w:rFonts w:ascii="Aptos" w:eastAsia="Times New Roman" w:hAnsi="Aptos" w:cs="Times New Roman"/>
          <w:color w:val="000000"/>
          <w:sz w:val="24"/>
          <w:szCs w:val="24"/>
        </w:rPr>
        <w:t>, 898 F.2d 1371 (8th. Cir. 1990). If the appealing party does not seek to impound the documents, the Bureau of Special Education Appeals, through the Attorney General's Office, may move to impound the documents.</w:t>
      </w:r>
    </w:p>
    <w:p w14:paraId="53FC79F0" w14:textId="77777777" w:rsidR="00CC0C40" w:rsidRDefault="00CC0C40" w:rsidP="00CC0C40">
      <w:pPr>
        <w:spacing w:line="259" w:lineRule="auto"/>
        <w:ind w:left="62"/>
        <w:rPr>
          <w:rFonts w:ascii="Aptos" w:eastAsia="Times New Roman" w:hAnsi="Aptos" w:cs="Times New Roman"/>
          <w:color w:val="000000"/>
          <w:sz w:val="24"/>
          <w:szCs w:val="24"/>
          <w:u w:val="single"/>
        </w:rPr>
      </w:pPr>
    </w:p>
    <w:p w14:paraId="17DEBC24" w14:textId="77777777" w:rsidR="00CC0C40" w:rsidRDefault="00CC0C40" w:rsidP="00CC0C40">
      <w:pPr>
        <w:spacing w:line="259" w:lineRule="auto"/>
        <w:rPr>
          <w:rFonts w:ascii="Aptos" w:eastAsia="Times New Roman" w:hAnsi="Aptos" w:cs="Times New Roman"/>
          <w:color w:val="000000"/>
          <w:sz w:val="24"/>
          <w:szCs w:val="24"/>
          <w:u w:val="single"/>
        </w:rPr>
      </w:pPr>
      <w:r w:rsidRPr="006A114C">
        <w:rPr>
          <w:rFonts w:ascii="Aptos" w:eastAsia="Times New Roman" w:hAnsi="Aptos" w:cs="Times New Roman"/>
          <w:color w:val="000000"/>
          <w:sz w:val="24"/>
          <w:szCs w:val="24"/>
          <w:u w:val="single"/>
        </w:rPr>
        <w:t>Record of the Hearing</w:t>
      </w:r>
    </w:p>
    <w:p w14:paraId="56E4744A" w14:textId="77777777" w:rsidR="00CC0C40" w:rsidRPr="006A114C" w:rsidRDefault="00CC0C40" w:rsidP="00CC0C40">
      <w:pPr>
        <w:spacing w:line="259" w:lineRule="auto"/>
        <w:rPr>
          <w:rFonts w:ascii="Aptos" w:eastAsia="Times New Roman" w:hAnsi="Aptos" w:cs="Times New Roman"/>
          <w:color w:val="000000"/>
          <w:sz w:val="24"/>
          <w:szCs w:val="24"/>
          <w:u w:val="single"/>
        </w:rPr>
      </w:pPr>
    </w:p>
    <w:p w14:paraId="154E121A" w14:textId="77777777" w:rsidR="00CC0C40" w:rsidRPr="006A114C" w:rsidRDefault="00CC0C40" w:rsidP="00CC0C40">
      <w:pPr>
        <w:spacing w:after="292" w:line="243" w:lineRule="auto"/>
        <w:ind w:left="19" w:right="17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6F193367" w14:textId="77777777" w:rsidR="00CC0C40" w:rsidRDefault="00CC0C40" w:rsidP="00CC0C40"/>
    <w:p w14:paraId="2C0FD3C5" w14:textId="77777777" w:rsidR="002233FB" w:rsidRDefault="002233FB"/>
    <w:sectPr w:rsidR="002233FB" w:rsidSect="00CC0C40">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AB4F" w14:textId="77777777" w:rsidR="00AF42DC" w:rsidRDefault="00AF42DC" w:rsidP="00CC0C40">
      <w:r>
        <w:separator/>
      </w:r>
    </w:p>
  </w:endnote>
  <w:endnote w:type="continuationSeparator" w:id="0">
    <w:p w14:paraId="41545EE4" w14:textId="77777777" w:rsidR="00AF42DC" w:rsidRDefault="00AF42DC" w:rsidP="00CC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630412"/>
      <w:docPartObj>
        <w:docPartGallery w:val="Page Numbers (Bottom of Page)"/>
        <w:docPartUnique/>
      </w:docPartObj>
    </w:sdtPr>
    <w:sdtEndPr>
      <w:rPr>
        <w:rFonts w:ascii="Aptos" w:hAnsi="Aptos" w:cs="Times New Roman"/>
        <w:noProof/>
        <w:sz w:val="25"/>
        <w:szCs w:val="25"/>
      </w:rPr>
    </w:sdtEndPr>
    <w:sdtContent>
      <w:p w14:paraId="6B59D4E2" w14:textId="77777777" w:rsidR="00CC0C40" w:rsidRPr="00E4135F" w:rsidRDefault="00CC0C40">
        <w:pPr>
          <w:pStyle w:val="Footer"/>
          <w:jc w:val="right"/>
          <w:rPr>
            <w:rFonts w:ascii="Aptos" w:hAnsi="Aptos" w:cs="Times New Roman"/>
            <w:sz w:val="25"/>
            <w:szCs w:val="25"/>
          </w:rPr>
        </w:pPr>
        <w:r w:rsidRPr="00E4135F">
          <w:rPr>
            <w:rFonts w:ascii="Aptos" w:hAnsi="Aptos" w:cs="Times New Roman"/>
            <w:sz w:val="25"/>
            <w:szCs w:val="25"/>
          </w:rPr>
          <w:fldChar w:fldCharType="begin"/>
        </w:r>
        <w:r w:rsidRPr="00E4135F">
          <w:rPr>
            <w:rFonts w:ascii="Aptos" w:hAnsi="Aptos" w:cs="Times New Roman"/>
            <w:sz w:val="25"/>
            <w:szCs w:val="25"/>
          </w:rPr>
          <w:instrText xml:space="preserve"> PAGE   \* MERGEFORMAT </w:instrText>
        </w:r>
        <w:r w:rsidRPr="00E4135F">
          <w:rPr>
            <w:rFonts w:ascii="Aptos" w:hAnsi="Aptos" w:cs="Times New Roman"/>
            <w:sz w:val="25"/>
            <w:szCs w:val="25"/>
          </w:rPr>
          <w:fldChar w:fldCharType="separate"/>
        </w:r>
        <w:r w:rsidRPr="00E4135F">
          <w:rPr>
            <w:rFonts w:ascii="Aptos" w:hAnsi="Aptos" w:cs="Times New Roman"/>
            <w:noProof/>
            <w:sz w:val="25"/>
            <w:szCs w:val="25"/>
          </w:rPr>
          <w:t>2</w:t>
        </w:r>
        <w:r w:rsidRPr="00E4135F">
          <w:rPr>
            <w:rFonts w:ascii="Aptos" w:hAnsi="Aptos" w:cs="Times New Roman"/>
            <w:noProof/>
            <w:sz w:val="25"/>
            <w:szCs w:val="25"/>
          </w:rPr>
          <w:fldChar w:fldCharType="end"/>
        </w:r>
      </w:p>
    </w:sdtContent>
  </w:sdt>
  <w:p w14:paraId="7048CB00" w14:textId="77777777" w:rsidR="00CC0C40" w:rsidRDefault="00CC0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9CBC" w14:textId="601E6DE0" w:rsidR="0078697F" w:rsidRPr="00E4135F" w:rsidRDefault="0078697F">
    <w:pPr>
      <w:pStyle w:val="Footer"/>
      <w:jc w:val="right"/>
      <w:rPr>
        <w:rFonts w:ascii="Aptos" w:hAnsi="Aptos" w:cs="Times New Roman"/>
        <w:sz w:val="25"/>
        <w:szCs w:val="25"/>
      </w:rPr>
    </w:pPr>
  </w:p>
  <w:p w14:paraId="261AB1FD" w14:textId="77777777" w:rsidR="0078697F" w:rsidRDefault="0078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24AEF" w14:textId="77777777" w:rsidR="00AF42DC" w:rsidRDefault="00AF42DC" w:rsidP="00CC0C40">
      <w:r>
        <w:separator/>
      </w:r>
    </w:p>
  </w:footnote>
  <w:footnote w:type="continuationSeparator" w:id="0">
    <w:p w14:paraId="02A0D164" w14:textId="77777777" w:rsidR="00AF42DC" w:rsidRDefault="00AF42DC" w:rsidP="00CC0C40">
      <w:r>
        <w:continuationSeparator/>
      </w:r>
    </w:p>
  </w:footnote>
  <w:footnote w:id="1">
    <w:p w14:paraId="2F96B289" w14:textId="77777777" w:rsidR="003C427C" w:rsidRPr="001C7828" w:rsidRDefault="003C427C" w:rsidP="003C427C">
      <w:pPr>
        <w:pStyle w:val="FootnoteText"/>
        <w:rPr>
          <w:rFonts w:ascii="Aptos" w:hAnsi="Aptos"/>
        </w:rPr>
      </w:pPr>
      <w:r w:rsidRPr="001C7828">
        <w:rPr>
          <w:rStyle w:val="FootnoteReference"/>
          <w:rFonts w:ascii="Aptos" w:hAnsi="Aptos"/>
        </w:rPr>
        <w:footnoteRef/>
      </w:r>
      <w:r w:rsidRPr="001C7828">
        <w:rPr>
          <w:rFonts w:ascii="Aptos" w:hAnsi="Aptos"/>
        </w:rPr>
        <w:t xml:space="preserve">   The factual statements contained herein are taken as true for purposes of this </w:t>
      </w:r>
      <w:r w:rsidRPr="001C7828">
        <w:rPr>
          <w:rFonts w:ascii="Aptos" w:hAnsi="Aptos"/>
          <w:i/>
          <w:iCs/>
        </w:rPr>
        <w:t>Ruling</w:t>
      </w:r>
      <w:r w:rsidRPr="001C7828">
        <w:rPr>
          <w:rFonts w:ascii="Aptos" w:hAnsi="Aptos"/>
        </w:rPr>
        <w:t xml:space="preserve"> only.</w:t>
      </w:r>
    </w:p>
  </w:footnote>
  <w:footnote w:id="2">
    <w:p w14:paraId="55F3F39A" w14:textId="5F77D6C1" w:rsidR="00287312" w:rsidRPr="00FD0351" w:rsidRDefault="00287312" w:rsidP="00287312">
      <w:pPr>
        <w:pStyle w:val="FootnoteText"/>
      </w:pPr>
      <w:r>
        <w:rPr>
          <w:rStyle w:val="FootnoteReference"/>
        </w:rPr>
        <w:footnoteRef/>
      </w:r>
      <w:r>
        <w:t xml:space="preserve">   Parents sent a copy of the </w:t>
      </w:r>
      <w:r>
        <w:rPr>
          <w:i/>
          <w:iCs/>
        </w:rPr>
        <w:t xml:space="preserve">Hearing Request </w:t>
      </w:r>
      <w:r>
        <w:t xml:space="preserve">to the District on August 25, 2025 and a </w:t>
      </w:r>
      <w:r>
        <w:rPr>
          <w:i/>
          <w:iCs/>
        </w:rPr>
        <w:t xml:space="preserve">Recalculated Notice of Hearing </w:t>
      </w:r>
      <w:r>
        <w:t>was issued scheduling this matter for a Hearing on September 30, 2025.</w:t>
      </w:r>
      <w:r w:rsidR="00DE7F7B">
        <w:t xml:space="preserve">  </w:t>
      </w:r>
    </w:p>
  </w:footnote>
  <w:footnote w:id="3">
    <w:p w14:paraId="417638E8" w14:textId="3CFE149C" w:rsidR="00E65250" w:rsidRDefault="00E65250">
      <w:pPr>
        <w:pStyle w:val="FootnoteText"/>
      </w:pPr>
      <w:r>
        <w:rPr>
          <w:rStyle w:val="FootnoteReference"/>
        </w:rPr>
        <w:footnoteRef/>
      </w:r>
      <w:r>
        <w:t xml:space="preserve">   </w:t>
      </w:r>
      <w:r w:rsidR="000E2D08">
        <w:t xml:space="preserve">Parents do not </w:t>
      </w:r>
      <w:r w:rsidR="00B7472E">
        <w:t>provide any information as to educational</w:t>
      </w:r>
      <w:r w:rsidR="006756EE">
        <w:t xml:space="preserve"> </w:t>
      </w:r>
      <w:r w:rsidR="00B7472E">
        <w:t>decision</w:t>
      </w:r>
      <w:r w:rsidR="006756EE">
        <w:t>-</w:t>
      </w:r>
      <w:r w:rsidR="00B7472E">
        <w:t xml:space="preserve">making authority they </w:t>
      </w:r>
      <w:r w:rsidR="00F516F5">
        <w:t xml:space="preserve">may have </w:t>
      </w:r>
      <w:r w:rsidR="00B7472E">
        <w:t>on behalf of Student</w:t>
      </w:r>
      <w:r w:rsidR="00E12E06">
        <w:t>, and it is unclear what authority Parents rely on</w:t>
      </w:r>
      <w:r w:rsidR="00556780">
        <w:t xml:space="preserve"> to</w:t>
      </w:r>
      <w:r w:rsidR="00E12E06">
        <w:t xml:space="preserve"> </w:t>
      </w:r>
      <w:r w:rsidR="00C336C9">
        <w:t xml:space="preserve">bring their </w:t>
      </w:r>
      <w:r w:rsidR="00E12E06">
        <w:t>claim</w:t>
      </w:r>
      <w:r w:rsidR="00C336C9">
        <w:t>s on behalf of Student</w:t>
      </w:r>
      <w:r w:rsidR="00E12E06">
        <w:t>.</w:t>
      </w:r>
      <w:r w:rsidR="00DD0017">
        <w:t xml:space="preserve">  See </w:t>
      </w:r>
      <w:r w:rsidR="00DD0017">
        <w:rPr>
          <w:i/>
          <w:iCs/>
        </w:rPr>
        <w:t xml:space="preserve">In Re:  Lincoln-Sudbury Public Schools </w:t>
      </w:r>
      <w:r w:rsidR="00DD0017">
        <w:t>BSEA No. 11-2546, 1</w:t>
      </w:r>
      <w:r w:rsidR="0007773F">
        <w:t>6 MSER 424 (</w:t>
      </w:r>
      <w:r w:rsidR="00BB40D8">
        <w:t>Figueroa</w:t>
      </w:r>
      <w:r w:rsidR="0007773F">
        <w:t>,</w:t>
      </w:r>
      <w:r w:rsidR="00BB40D8">
        <w:t xml:space="preserve"> 2010) </w:t>
      </w:r>
      <w:r w:rsidR="009D2317">
        <w:t>(concluding that</w:t>
      </w:r>
      <w:r w:rsidR="00C34738">
        <w:t xml:space="preserve"> </w:t>
      </w:r>
      <w:r w:rsidR="00822E75">
        <w:t xml:space="preserve">under </w:t>
      </w:r>
      <w:r w:rsidR="00C34738" w:rsidRPr="00C34738">
        <w:t>20 USC §1415(m) and 603 CMR 28.01(15)</w:t>
      </w:r>
      <w:r w:rsidR="009D2317">
        <w:t xml:space="preserve"> </w:t>
      </w:r>
      <w:r w:rsidR="003658E3">
        <w:t>educational decision making and other related rights transfers to a student when she turns eighteen</w:t>
      </w:r>
      <w:r w:rsidR="00822E75">
        <w:t>.  “</w:t>
      </w:r>
      <w:r w:rsidR="00822E75" w:rsidRPr="00822E75">
        <w:t xml:space="preserve">The plain meaning of the statute and the statutory intent is to transfer educational decision-making to students at the age of majority with few exceptions, none of which has been established by Parents in the instant case. As such, Parents lack standing to request a hearing on Student's behalf. Only Student has standing to request a hearing </w:t>
      </w:r>
      <w:proofErr w:type="gramStart"/>
      <w:r w:rsidR="00822E75" w:rsidRPr="00822E75">
        <w:t>at this time</w:t>
      </w:r>
      <w:proofErr w:type="gramEnd"/>
      <w:r w:rsidR="00822E75">
        <w:t>”).</w:t>
      </w:r>
      <w:r w:rsidR="0084186E">
        <w:t xml:space="preserve">  Although</w:t>
      </w:r>
      <w:r w:rsidR="00556780">
        <w:t>, in the instant case,</w:t>
      </w:r>
      <w:r w:rsidR="0084186E">
        <w:t xml:space="preserve"> this lack of standing provides grounds in and of itself for dismissal</w:t>
      </w:r>
      <w:r w:rsidR="007E0551">
        <w:t xml:space="preserve"> without prejudice</w:t>
      </w:r>
      <w:r w:rsidR="0084186E">
        <w:t>, it was not raised by the District</w:t>
      </w:r>
      <w:r w:rsidR="003F6B14">
        <w:t xml:space="preserve">.  </w:t>
      </w:r>
      <w:r w:rsidR="0084186E">
        <w:t xml:space="preserve">I </w:t>
      </w:r>
      <w:r w:rsidR="003F6B14">
        <w:t xml:space="preserve">therefore </w:t>
      </w:r>
      <w:r w:rsidR="0084186E">
        <w:t xml:space="preserve">address the </w:t>
      </w:r>
      <w:r w:rsidR="007E0551">
        <w:t xml:space="preserve">District’s </w:t>
      </w:r>
      <w:r w:rsidR="0084186E">
        <w:t>arguments</w:t>
      </w:r>
      <w:r w:rsidR="007E0551">
        <w:t xml:space="preserve"> for dismissal with prejudice</w:t>
      </w:r>
      <w:r w:rsidR="0084186E">
        <w:t xml:space="preserve"> </w:t>
      </w:r>
      <w:r w:rsidR="005A6C0E">
        <w:t xml:space="preserve">first.  </w:t>
      </w:r>
    </w:p>
  </w:footnote>
  <w:footnote w:id="4">
    <w:p w14:paraId="146BD9E4" w14:textId="30403BFC" w:rsidR="00C071D9" w:rsidRPr="00C071D9" w:rsidRDefault="00C071D9">
      <w:pPr>
        <w:pStyle w:val="FootnoteText"/>
      </w:pPr>
      <w:r>
        <w:rPr>
          <w:rStyle w:val="FootnoteReference"/>
        </w:rPr>
        <w:footnoteRef/>
      </w:r>
      <w:r>
        <w:t xml:space="preserve">   Although not a part of the </w:t>
      </w:r>
      <w:r>
        <w:rPr>
          <w:i/>
          <w:iCs/>
        </w:rPr>
        <w:t>Hearing Request</w:t>
      </w:r>
      <w:r>
        <w:t xml:space="preserve">, Parents rely on a Ruling issued by the Supervisor of Records of the Commonwealth of Massachusetts, Public Records Division </w:t>
      </w:r>
      <w:r w:rsidR="00974526">
        <w:t xml:space="preserve">regarding </w:t>
      </w:r>
      <w:r>
        <w:t xml:space="preserve">a public records request </w:t>
      </w:r>
      <w:r w:rsidR="00295107">
        <w:t>Mother</w:t>
      </w:r>
      <w:r>
        <w:t xml:space="preserve"> made of the District</w:t>
      </w:r>
      <w:r w:rsidR="00914401">
        <w:t xml:space="preserve"> to support this claim</w:t>
      </w:r>
      <w:r>
        <w:t xml:space="preserve">.  </w:t>
      </w:r>
      <w:r w:rsidR="005F4AB3">
        <w:t>The records sought involve</w:t>
      </w:r>
      <w:r w:rsidR="00A85151">
        <w:t xml:space="preserve"> </w:t>
      </w:r>
      <w:r w:rsidR="005313DD">
        <w:t>emails and communications</w:t>
      </w:r>
      <w:r w:rsidR="00A85151">
        <w:t xml:space="preserve"> and </w:t>
      </w:r>
      <w:r w:rsidR="005313DD">
        <w:t>an internal investigation report</w:t>
      </w:r>
      <w:r w:rsidR="00A85151">
        <w:t xml:space="preserve">.  The Ruling </w:t>
      </w:r>
      <w:r w:rsidR="006B5FF5">
        <w:t>redacts any identifiable information</w:t>
      </w:r>
      <w:r w:rsidR="005313DD">
        <w:t xml:space="preserve"> </w:t>
      </w:r>
      <w:r w:rsidR="006974FD">
        <w:t xml:space="preserve">so there is no evidence that it relates in any way to Student.  Moreover, </w:t>
      </w:r>
      <w:r w:rsidR="003C5ED8">
        <w:t xml:space="preserve">contrary to Parents’ assertion, the Ruling does not </w:t>
      </w:r>
      <w:r w:rsidR="00101CC4">
        <w:t xml:space="preserve">find the District has “improperly attempted to withhold documents confirming this pattern”.  Rather, </w:t>
      </w:r>
      <w:r w:rsidR="006974FD">
        <w:t xml:space="preserve">the Ruling concludes </w:t>
      </w:r>
      <w:r w:rsidR="0078740C">
        <w:t xml:space="preserve">the District properly asserted an exemption to the public records law </w:t>
      </w:r>
      <w:r w:rsidR="00DF3AE5">
        <w:t xml:space="preserve">justifying it not </w:t>
      </w:r>
      <w:r w:rsidR="0078740C">
        <w:t xml:space="preserve">producing </w:t>
      </w:r>
      <w:r w:rsidR="00B163C1">
        <w:t>any of the requested emails or communications</w:t>
      </w:r>
      <w:r w:rsidR="005313DD">
        <w:t xml:space="preserve">, </w:t>
      </w:r>
      <w:r w:rsidR="00DF3AE5">
        <w:t xml:space="preserve">and </w:t>
      </w:r>
      <w:r w:rsidR="0078740C">
        <w:t xml:space="preserve">that the District must provide additional information </w:t>
      </w:r>
      <w:r w:rsidR="00E676EE">
        <w:t>about its asserted</w:t>
      </w:r>
      <w:r w:rsidR="0078740C">
        <w:t xml:space="preserve"> exemption </w:t>
      </w:r>
      <w:r w:rsidR="00E676EE">
        <w:t xml:space="preserve">to </w:t>
      </w:r>
      <w:r w:rsidR="00DF3AE5">
        <w:t xml:space="preserve">not </w:t>
      </w:r>
      <w:r w:rsidR="0078740C">
        <w:t xml:space="preserve">producing the internal investigation report.  </w:t>
      </w:r>
    </w:p>
  </w:footnote>
  <w:footnote w:id="5">
    <w:p w14:paraId="65B55A73" w14:textId="77777777" w:rsidR="00DF3A1B" w:rsidRPr="004E4EE7" w:rsidRDefault="00DF3A1B" w:rsidP="00DF3A1B">
      <w:pPr>
        <w:pStyle w:val="FootnoteText"/>
        <w:rPr>
          <w:rFonts w:ascii="Aptos" w:hAnsi="Aptos" w:cs="Times New Roman"/>
        </w:rPr>
      </w:pPr>
      <w:r w:rsidRPr="004E4EE7">
        <w:rPr>
          <w:rStyle w:val="FootnoteReference"/>
          <w:rFonts w:ascii="Aptos" w:hAnsi="Aptos" w:cs="Times New Roman"/>
        </w:rPr>
        <w:footnoteRef/>
      </w:r>
      <w:r w:rsidRPr="004E4EE7">
        <w:rPr>
          <w:rFonts w:ascii="Aptos" w:hAnsi="Aptos" w:cs="Times New Roman"/>
        </w:rPr>
        <w:t xml:space="preserve">   </w:t>
      </w:r>
      <w:r w:rsidRPr="004E4EE7">
        <w:rPr>
          <w:rFonts w:ascii="Aptos" w:eastAsia="Times New Roman" w:hAnsi="Aptos" w:cs="Times New Roman"/>
        </w:rPr>
        <w:t>As these rules/regulations are analogous to Rule 12(b)(6) of the Federal and Massachusetts Rules of Civil Procedure (FRCP and MRCP, respectively), hearing officers are generally guided by federal court decisions in deciding such motions.</w:t>
      </w:r>
    </w:p>
  </w:footnote>
  <w:footnote w:id="6">
    <w:p w14:paraId="795BDB52" w14:textId="77777777" w:rsidR="00DF3A1B" w:rsidRPr="004E4EE7" w:rsidRDefault="00DF3A1B" w:rsidP="00DF3A1B">
      <w:pPr>
        <w:pStyle w:val="FootnoteText"/>
        <w:rPr>
          <w:rFonts w:ascii="Aptos" w:hAnsi="Aptos" w:cs="Times New Roman"/>
        </w:rPr>
      </w:pPr>
      <w:r w:rsidRPr="004E4EE7">
        <w:rPr>
          <w:rStyle w:val="FootnoteReference"/>
          <w:rFonts w:ascii="Aptos" w:hAnsi="Aptos" w:cs="Times New Roman"/>
        </w:rPr>
        <w:footnoteRef/>
      </w:r>
      <w:r w:rsidRPr="004E4EE7">
        <w:rPr>
          <w:rFonts w:ascii="Aptos" w:hAnsi="Aptos" w:cs="Times New Roman"/>
        </w:rPr>
        <w:t xml:space="preserve">   </w:t>
      </w:r>
      <w:r w:rsidRPr="004E4EE7">
        <w:rPr>
          <w:rFonts w:ascii="Aptos" w:eastAsia="Times New Roman" w:hAnsi="Aptos" w:cs="Times New Roman"/>
          <w:i/>
          <w:iCs/>
        </w:rPr>
        <w:t>Iannocchino v. Ford Motor Co.</w:t>
      </w:r>
      <w:r w:rsidRPr="004E4EE7">
        <w:rPr>
          <w:rFonts w:ascii="Aptos" w:eastAsia="Times New Roman" w:hAnsi="Aptos" w:cs="Times New Roman"/>
        </w:rPr>
        <w:t>, 451 Mass. 623, 636 (2008) quoting </w:t>
      </w:r>
      <w:r w:rsidRPr="004E4EE7">
        <w:rPr>
          <w:rFonts w:ascii="Aptos" w:eastAsia="Times New Roman" w:hAnsi="Aptos" w:cs="Times New Roman"/>
          <w:i/>
          <w:iCs/>
        </w:rPr>
        <w:t>Bell Atl. Corp. v. Twombly</w:t>
      </w:r>
      <w:r w:rsidRPr="004E4EE7">
        <w:rPr>
          <w:rFonts w:ascii="Aptos" w:eastAsia="Times New Roman" w:hAnsi="Aptos" w:cs="Times New Roman"/>
        </w:rPr>
        <w:t>, 550 U.S. 544, 557 (2007).</w:t>
      </w:r>
    </w:p>
  </w:footnote>
  <w:footnote w:id="7">
    <w:p w14:paraId="53F9C80F" w14:textId="77777777" w:rsidR="00DF3A1B" w:rsidRPr="004E4EE7" w:rsidRDefault="00DF3A1B" w:rsidP="00DF3A1B">
      <w:pPr>
        <w:pStyle w:val="FootnoteText"/>
        <w:rPr>
          <w:rFonts w:ascii="Aptos" w:eastAsia="Times New Roman" w:hAnsi="Aptos" w:cs="Times New Roman"/>
        </w:rPr>
      </w:pPr>
      <w:r w:rsidRPr="004E4EE7">
        <w:rPr>
          <w:rStyle w:val="FootnoteReference"/>
          <w:rFonts w:ascii="Aptos" w:hAnsi="Aptos" w:cs="Times New Roman"/>
        </w:rPr>
        <w:footnoteRef/>
      </w:r>
      <w:r w:rsidRPr="004E4EE7">
        <w:rPr>
          <w:rFonts w:ascii="Aptos" w:hAnsi="Aptos" w:cs="Times New Roman"/>
        </w:rPr>
        <w:t xml:space="preserve">   </w:t>
      </w:r>
      <w:r w:rsidRPr="004E4EE7">
        <w:rPr>
          <w:rFonts w:ascii="Aptos" w:eastAsia="Times New Roman" w:hAnsi="Aptos" w:cs="Times New Roman"/>
          <w:i/>
          <w:iCs/>
        </w:rPr>
        <w:t>Blank v. Chelmsford Ob/Gyn, P.C.</w:t>
      </w:r>
      <w:r w:rsidRPr="004E4EE7">
        <w:rPr>
          <w:rFonts w:ascii="Aptos" w:eastAsia="Times New Roman" w:hAnsi="Aptos" w:cs="Times New Roman"/>
        </w:rPr>
        <w:t>, 420 Mass. 404, 407 (1995).</w:t>
      </w:r>
    </w:p>
  </w:footnote>
  <w:footnote w:id="8">
    <w:p w14:paraId="307CB740" w14:textId="77777777" w:rsidR="00DF3A1B" w:rsidRPr="004E4EE7" w:rsidRDefault="00DF3A1B" w:rsidP="00DF3A1B">
      <w:pPr>
        <w:pStyle w:val="FootnoteText"/>
        <w:rPr>
          <w:rFonts w:ascii="Aptos" w:hAnsi="Aptos"/>
        </w:rPr>
      </w:pPr>
      <w:r w:rsidRPr="004E4EE7">
        <w:rPr>
          <w:rStyle w:val="FootnoteReference"/>
          <w:rFonts w:ascii="Aptos" w:hAnsi="Aptos"/>
        </w:rPr>
        <w:footnoteRef/>
      </w:r>
      <w:r w:rsidRPr="004E4EE7">
        <w:rPr>
          <w:rFonts w:ascii="Aptos" w:hAnsi="Aptos"/>
        </w:rPr>
        <w:t xml:space="preserve"> </w:t>
      </w:r>
      <w:r>
        <w:rPr>
          <w:rFonts w:ascii="Aptos" w:hAnsi="Aptos"/>
        </w:rPr>
        <w:t xml:space="preserve">  </w:t>
      </w:r>
      <w:r w:rsidRPr="004E4EE7">
        <w:rPr>
          <w:rFonts w:ascii="Aptos" w:eastAsia="Times New Roman" w:hAnsi="Aptos" w:cs="Times New Roman"/>
          <w:i/>
          <w:iCs/>
        </w:rPr>
        <w:t xml:space="preserve">Iannocchino </w:t>
      </w:r>
      <w:r w:rsidRPr="004E4EE7">
        <w:rPr>
          <w:rFonts w:ascii="Aptos" w:eastAsia="Times New Roman" w:hAnsi="Aptos" w:cs="Times New Roman"/>
        </w:rPr>
        <w:t>451 Mass. at 636 (quoting </w:t>
      </w:r>
      <w:r w:rsidRPr="004E4EE7">
        <w:rPr>
          <w:rFonts w:ascii="Aptos" w:eastAsia="Times New Roman" w:hAnsi="Aptos" w:cs="Times New Roman"/>
          <w:i/>
          <w:iCs/>
        </w:rPr>
        <w:t>Bell Atl. Corp.</w:t>
      </w:r>
      <w:r w:rsidRPr="004E4EE7">
        <w:rPr>
          <w:rFonts w:ascii="Aptos" w:eastAsia="Times New Roman" w:hAnsi="Aptos" w:cs="Times New Roman"/>
        </w:rPr>
        <w:t xml:space="preserve">, 550 U.S. at 555); see </w:t>
      </w:r>
      <w:r w:rsidRPr="004E4EE7">
        <w:rPr>
          <w:rFonts w:ascii="Aptos" w:hAnsi="Aptos" w:cs="Times New Roman"/>
          <w:i/>
          <w:iCs/>
        </w:rPr>
        <w:t>Ocasio-Hernandez v. Fortuno-Burset</w:t>
      </w:r>
      <w:r w:rsidRPr="004E4EE7">
        <w:rPr>
          <w:rFonts w:ascii="Aptos" w:hAnsi="Aptos" w:cs="Times New Roman"/>
        </w:rPr>
        <w:t>, 640 F.3d 1, 12 (1st Cir. 2011)</w:t>
      </w:r>
      <w:r w:rsidRPr="004E4EE7">
        <w:rPr>
          <w:rFonts w:ascii="Aptos" w:eastAsia="Times New Roman" w:hAnsi="Aptos" w:cs="Times New Roman"/>
        </w:rPr>
        <w:t>.</w:t>
      </w:r>
    </w:p>
  </w:footnote>
  <w:footnote w:id="9">
    <w:p w14:paraId="3B8ED6E3" w14:textId="77777777" w:rsidR="00DF3A1B" w:rsidRPr="004E4EE7" w:rsidRDefault="00DF3A1B" w:rsidP="00DF3A1B">
      <w:pPr>
        <w:pStyle w:val="FootnoteText"/>
        <w:rPr>
          <w:rFonts w:ascii="Aptos" w:hAnsi="Aptos"/>
        </w:rPr>
      </w:pPr>
      <w:r w:rsidRPr="004E4EE7">
        <w:rPr>
          <w:rStyle w:val="FootnoteReference"/>
          <w:rFonts w:ascii="Aptos" w:hAnsi="Aptos"/>
        </w:rPr>
        <w:footnoteRef/>
      </w:r>
      <w:r w:rsidRPr="004E4EE7">
        <w:rPr>
          <w:rFonts w:ascii="Aptos" w:hAnsi="Aptos"/>
        </w:rPr>
        <w:t xml:space="preserve">   </w:t>
      </w:r>
      <w:r w:rsidRPr="004E4EE7">
        <w:rPr>
          <w:rFonts w:ascii="Aptos" w:eastAsia="Times New Roman" w:hAnsi="Aptos" w:cs="Times New Roman"/>
          <w:bCs/>
          <w:i/>
          <w:iCs/>
          <w:color w:val="000000"/>
        </w:rPr>
        <w:t>Haines v. Kerner</w:t>
      </w:r>
      <w:r w:rsidRPr="004E4EE7">
        <w:rPr>
          <w:rFonts w:ascii="Aptos" w:eastAsia="Times New Roman" w:hAnsi="Aptos" w:cs="Times New Roman"/>
          <w:bCs/>
          <w:color w:val="000000"/>
        </w:rPr>
        <w:t>, 404 U.S. 519, 520 (1972) (allegations contained in a hearing request are to be held to “less stringent standards than formal pleadings drafted by lawyers”)</w:t>
      </w:r>
      <w:r w:rsidRPr="004E4EE7">
        <w:rPr>
          <w:rFonts w:ascii="Aptos" w:hAnsi="Aptos" w:cs="Times New Roman"/>
        </w:rPr>
        <w:t xml:space="preserve">; </w:t>
      </w:r>
      <w:r w:rsidRPr="004E4EE7">
        <w:rPr>
          <w:rFonts w:ascii="Aptos" w:hAnsi="Aptos" w:cs="Times New Roman"/>
          <w:i/>
          <w:iCs/>
          <w:color w:val="000000" w:themeColor="text1"/>
        </w:rPr>
        <w:t>Ahmed v. Rosenblatt</w:t>
      </w:r>
      <w:r w:rsidRPr="004E4EE7">
        <w:rPr>
          <w:rFonts w:ascii="Aptos" w:hAnsi="Aptos" w:cs="Times New Roman"/>
          <w:color w:val="000000" w:themeColor="text1"/>
        </w:rPr>
        <w:t xml:space="preserve">, 118 F.3d 886, 890 (1st Cir. 1997) </w:t>
      </w:r>
      <w:r w:rsidRPr="004E4EE7">
        <w:rPr>
          <w:rFonts w:ascii="Aptos" w:hAnsi="Aptos" w:cs="Times New Roman"/>
        </w:rPr>
        <w:t>(</w:t>
      </w:r>
      <w:r w:rsidRPr="004E4EE7">
        <w:rPr>
          <w:rFonts w:ascii="Aptos" w:hAnsi="Aptos" w:cs="Times New Roman"/>
          <w:color w:val="000000" w:themeColor="text1"/>
        </w:rPr>
        <w:t>“The policy behind affording pro se plaintiffs liberal interpretation [of their hearing request] is that if they present sufficient facts [to state a claim], the court may intuit the correct cause of action, even if it was imperfectly pled”)</w:t>
      </w:r>
      <w:r w:rsidRPr="004E4EE7">
        <w:rPr>
          <w:rFonts w:ascii="Aptos" w:hAnsi="Aptos" w:cs="Times New Roman"/>
        </w:rPr>
        <w:t xml:space="preserve">; </w:t>
      </w:r>
      <w:r w:rsidRPr="004E4EE7">
        <w:rPr>
          <w:rFonts w:ascii="Aptos" w:hAnsi="Aptos" w:cs="Times New Roman"/>
          <w:i/>
          <w:iCs/>
        </w:rPr>
        <w:t>In Re: Springfield Pub. Schs.</w:t>
      </w:r>
      <w:r w:rsidRPr="004E4EE7">
        <w:rPr>
          <w:rFonts w:ascii="Aptos" w:hAnsi="Aptos" w:cs="Times New Roman"/>
        </w:rPr>
        <w:t xml:space="preserve">, BSEA No. 2203555, 22 MSER 109, (Berman, 2022); see </w:t>
      </w:r>
      <w:r w:rsidRPr="004E4EE7">
        <w:rPr>
          <w:rFonts w:ascii="Aptos" w:hAnsi="Aptos" w:cs="Times New Roman"/>
          <w:i/>
          <w:iCs/>
        </w:rPr>
        <w:t>In Re: Easthampton Pub. Sch.</w:t>
      </w:r>
      <w:r w:rsidRPr="004E4EE7">
        <w:rPr>
          <w:rFonts w:ascii="Aptos" w:hAnsi="Aptos" w:cs="Times New Roman"/>
        </w:rPr>
        <w:t>, BSEA No. 2203513, 28 MSER 35, (Kantor Nir, 2022).</w:t>
      </w:r>
    </w:p>
  </w:footnote>
  <w:footnote w:id="10">
    <w:p w14:paraId="71D684A0" w14:textId="77777777" w:rsidR="00DF3A1B" w:rsidRPr="004E4EE7" w:rsidRDefault="00DF3A1B" w:rsidP="00DF3A1B">
      <w:pPr>
        <w:pStyle w:val="FootnoteText"/>
        <w:rPr>
          <w:rFonts w:ascii="Aptos" w:hAnsi="Aptos" w:cs="Times New Roman"/>
        </w:rPr>
      </w:pPr>
      <w:r w:rsidRPr="004E4EE7">
        <w:rPr>
          <w:rStyle w:val="FootnoteReference"/>
          <w:rFonts w:ascii="Aptos" w:hAnsi="Aptos" w:cs="Times New Roman"/>
        </w:rPr>
        <w:footnoteRef/>
      </w:r>
      <w:r w:rsidRPr="004E4EE7">
        <w:rPr>
          <w:rFonts w:ascii="Aptos" w:hAnsi="Aptos" w:cs="Times New Roman"/>
        </w:rPr>
        <w:t xml:space="preserve">  </w:t>
      </w:r>
      <w:r>
        <w:rPr>
          <w:rFonts w:ascii="Aptos" w:hAnsi="Aptos" w:cs="Times New Roman"/>
        </w:rPr>
        <w:t xml:space="preserve"> </w:t>
      </w:r>
      <w:r w:rsidRPr="004E4EE7">
        <w:rPr>
          <w:rFonts w:ascii="Aptos" w:hAnsi="Aptos" w:cs="Times New Roman"/>
          <w:i/>
          <w:iCs/>
        </w:rPr>
        <w:t>Ahmed</w:t>
      </w:r>
      <w:r w:rsidRPr="004E4EE7">
        <w:rPr>
          <w:rFonts w:ascii="Aptos" w:hAnsi="Aptos" w:cs="Times New Roman"/>
        </w:rPr>
        <w:t>, 118 F.3d at 890.</w:t>
      </w:r>
    </w:p>
  </w:footnote>
  <w:footnote w:id="11">
    <w:p w14:paraId="4DAAD6E0" w14:textId="77777777" w:rsidR="00DF3A1B" w:rsidRPr="004E4EE7" w:rsidRDefault="00DF3A1B" w:rsidP="00DF3A1B">
      <w:pPr>
        <w:pStyle w:val="FootnoteText"/>
        <w:rPr>
          <w:rFonts w:ascii="Aptos" w:hAnsi="Aptos"/>
        </w:rPr>
      </w:pPr>
      <w:r w:rsidRPr="004E4EE7">
        <w:rPr>
          <w:rStyle w:val="FootnoteReference"/>
          <w:rFonts w:ascii="Aptos" w:hAnsi="Aptos"/>
        </w:rPr>
        <w:footnoteRef/>
      </w:r>
      <w:r>
        <w:rPr>
          <w:rFonts w:ascii="Aptos" w:hAnsi="Aptos"/>
        </w:rPr>
        <w:t xml:space="preserve"> </w:t>
      </w:r>
      <w:r w:rsidRPr="004E4EE7">
        <w:rPr>
          <w:rFonts w:ascii="Aptos" w:hAnsi="Aptos"/>
        </w:rPr>
        <w:t xml:space="preserve">  </w:t>
      </w:r>
      <w:r w:rsidRPr="004E4EE7">
        <w:rPr>
          <w:rFonts w:ascii="Aptos" w:hAnsi="Aptos" w:cs="Times New Roman"/>
          <w:i/>
          <w:iCs/>
        </w:rPr>
        <w:t>Lampkin-Asam v. Volusia Cnty. Sch. Bd.</w:t>
      </w:r>
      <w:r w:rsidRPr="004E4EE7">
        <w:rPr>
          <w:rFonts w:ascii="Aptos" w:hAnsi="Aptos" w:cs="Times New Roman"/>
        </w:rPr>
        <w:t xml:space="preserve">, 261 </w:t>
      </w:r>
      <w:proofErr w:type="spellStart"/>
      <w:r w:rsidRPr="004E4EE7">
        <w:rPr>
          <w:rFonts w:ascii="Aptos" w:hAnsi="Aptos" w:cs="Times New Roman"/>
        </w:rPr>
        <w:t>F.App'x</w:t>
      </w:r>
      <w:proofErr w:type="spellEnd"/>
      <w:r w:rsidRPr="004E4EE7">
        <w:rPr>
          <w:rFonts w:ascii="Aptos" w:hAnsi="Aptos" w:cs="Times New Roman"/>
        </w:rPr>
        <w:t xml:space="preserve"> 274, 276–77 (11th Cir. 2008) quoting </w:t>
      </w:r>
      <w:r w:rsidRPr="004E4EE7">
        <w:rPr>
          <w:rFonts w:ascii="Aptos" w:hAnsi="Aptos" w:cs="Times New Roman"/>
          <w:i/>
          <w:iCs/>
        </w:rPr>
        <w:t>Hepperle v. Johnston,</w:t>
      </w:r>
      <w:r w:rsidRPr="004E4EE7">
        <w:rPr>
          <w:rFonts w:ascii="Aptos" w:hAnsi="Aptos" w:cs="Times New Roman"/>
        </w:rPr>
        <w:t xml:space="preserve"> 544 F.2d 201, 202 (5th Cir.1976).</w:t>
      </w:r>
    </w:p>
  </w:footnote>
  <w:footnote w:id="12">
    <w:p w14:paraId="1F664DA7" w14:textId="77777777" w:rsidR="000E5E5F" w:rsidRPr="004E4EE7" w:rsidRDefault="000E5E5F" w:rsidP="000E5E5F">
      <w:pPr>
        <w:rPr>
          <w:rFonts w:ascii="Aptos" w:eastAsia="Times New Roman" w:hAnsi="Aptos" w:cs="Times New Roman"/>
          <w:bCs/>
          <w:color w:val="000000"/>
          <w:sz w:val="20"/>
          <w:szCs w:val="20"/>
        </w:rPr>
      </w:pPr>
      <w:r w:rsidRPr="004E4EE7">
        <w:rPr>
          <w:rStyle w:val="FootnoteReference"/>
          <w:rFonts w:ascii="Aptos" w:hAnsi="Aptos"/>
        </w:rPr>
        <w:footnoteRef/>
      </w:r>
      <w:r w:rsidRPr="004E4EE7">
        <w:rPr>
          <w:rFonts w:ascii="Aptos" w:hAnsi="Aptos"/>
          <w:sz w:val="20"/>
          <w:szCs w:val="20"/>
        </w:rPr>
        <w:t xml:space="preserve">   </w:t>
      </w:r>
      <w:r w:rsidRPr="004E4EE7">
        <w:rPr>
          <w:rFonts w:ascii="Aptos" w:hAnsi="Aptos"/>
          <w:i/>
          <w:iCs/>
          <w:sz w:val="20"/>
          <w:szCs w:val="20"/>
        </w:rPr>
        <w:t>In Re:  Springfield Pub. Schs.</w:t>
      </w:r>
      <w:r w:rsidRPr="004E4EE7">
        <w:rPr>
          <w:rFonts w:ascii="Aptos" w:hAnsi="Aptos"/>
          <w:sz w:val="20"/>
          <w:szCs w:val="20"/>
        </w:rPr>
        <w:t xml:space="preserve">, BSEA No. 2203555, 28 MSER 111 (Berman, 2022) citing </w:t>
      </w:r>
      <w:r w:rsidRPr="004E4EE7">
        <w:rPr>
          <w:rFonts w:ascii="Aptos" w:eastAsia="Times New Roman" w:hAnsi="Aptos" w:cs="Times New Roman"/>
          <w:bCs/>
          <w:i/>
          <w:iCs/>
          <w:color w:val="000000"/>
          <w:sz w:val="20"/>
          <w:szCs w:val="20"/>
        </w:rPr>
        <w:t>Globe Newspaper Co. v. Beacon Hill Architectural Comm.</w:t>
      </w:r>
      <w:r w:rsidRPr="004E4EE7">
        <w:rPr>
          <w:rFonts w:ascii="Aptos" w:eastAsia="Times New Roman" w:hAnsi="Aptos" w:cs="Times New Roman"/>
          <w:bCs/>
          <w:color w:val="000000"/>
          <w:sz w:val="20"/>
          <w:szCs w:val="20"/>
        </w:rPr>
        <w:t>, 421 Mass. 570, 586 (1996) (“Any judicial review of agency action embodies the principle that an agency has no inherent authority beyond its enabling act and therefore it may do nothing that contradicts such legislation”); see</w:t>
      </w:r>
      <w:r w:rsidRPr="004E4EE7">
        <w:rPr>
          <w:rFonts w:ascii="Aptos" w:hAnsi="Aptos"/>
          <w:sz w:val="20"/>
          <w:szCs w:val="20"/>
        </w:rPr>
        <w:t xml:space="preserve"> </w:t>
      </w:r>
      <w:r w:rsidRPr="004E4EE7">
        <w:rPr>
          <w:rFonts w:ascii="Aptos" w:hAnsi="Aptos" w:cs="Times New Roman"/>
          <w:sz w:val="20"/>
          <w:szCs w:val="20"/>
        </w:rPr>
        <w:t>20 U.S.C. §1400 </w:t>
      </w:r>
      <w:r w:rsidRPr="004E4EE7">
        <w:rPr>
          <w:rFonts w:ascii="Aptos" w:hAnsi="Aptos" w:cs="Times New Roman"/>
          <w:i/>
          <w:iCs/>
          <w:sz w:val="20"/>
          <w:szCs w:val="20"/>
        </w:rPr>
        <w:t>et. seq</w:t>
      </w:r>
      <w:r w:rsidRPr="004E4EE7">
        <w:rPr>
          <w:rFonts w:ascii="Aptos" w:hAnsi="Aptos" w:cs="Times New Roman"/>
          <w:sz w:val="20"/>
          <w:szCs w:val="20"/>
        </w:rPr>
        <w:t xml:space="preserve">; M.G.L. 71B; 29 U.S.C. §794; </w:t>
      </w:r>
      <w:r w:rsidRPr="004E4EE7">
        <w:rPr>
          <w:rFonts w:ascii="Aptos" w:hAnsi="Aptos"/>
          <w:i/>
          <w:iCs/>
          <w:sz w:val="20"/>
          <w:szCs w:val="20"/>
        </w:rPr>
        <w:t xml:space="preserve">In Re: Student &amp; Quincy Pub. Sch. and Dept. of Elementary and Secondary Education, </w:t>
      </w:r>
      <w:r w:rsidRPr="004E4EE7">
        <w:rPr>
          <w:rFonts w:ascii="Aptos" w:hAnsi="Aptos"/>
          <w:sz w:val="20"/>
          <w:szCs w:val="20"/>
        </w:rPr>
        <w:t xml:space="preserve">BSEA No. 2408249, 30 MSER 176 (Mitchell, 2024); </w:t>
      </w:r>
      <w:r w:rsidRPr="004E4EE7">
        <w:rPr>
          <w:rFonts w:ascii="Aptos" w:hAnsi="Aptos"/>
          <w:i/>
          <w:iCs/>
          <w:sz w:val="20"/>
          <w:szCs w:val="20"/>
        </w:rPr>
        <w:t>In Re: Holyoke Pub. Sch. and Jay</w:t>
      </w:r>
      <w:r w:rsidRPr="004E4EE7">
        <w:rPr>
          <w:rFonts w:ascii="Aptos" w:hAnsi="Aptos"/>
          <w:sz w:val="20"/>
          <w:szCs w:val="20"/>
        </w:rPr>
        <w:t>, BSEA No. 1800619, 24 MSER 20 (Oliver, 2018).</w:t>
      </w:r>
    </w:p>
  </w:footnote>
  <w:footnote w:id="13">
    <w:p w14:paraId="32BDC654" w14:textId="77777777" w:rsidR="000E5E5F" w:rsidRPr="004E4EE7" w:rsidRDefault="000E5E5F" w:rsidP="000E5E5F">
      <w:pPr>
        <w:pStyle w:val="FootnoteText"/>
        <w:rPr>
          <w:rFonts w:ascii="Aptos" w:hAnsi="Aptos" w:cs="Times New Roman"/>
        </w:rPr>
      </w:pPr>
      <w:r w:rsidRPr="004E4EE7">
        <w:rPr>
          <w:rStyle w:val="FootnoteReference"/>
          <w:rFonts w:ascii="Aptos" w:hAnsi="Aptos" w:cs="Times New Roman"/>
        </w:rPr>
        <w:footnoteRef/>
      </w:r>
      <w:r w:rsidRPr="004E4EE7">
        <w:rPr>
          <w:rFonts w:ascii="Aptos" w:hAnsi="Aptos" w:cs="Times New Roman"/>
        </w:rPr>
        <w:t xml:space="preserve">   See 34 CFR 300.507(a)(1).</w:t>
      </w:r>
    </w:p>
  </w:footnote>
  <w:footnote w:id="14">
    <w:p w14:paraId="356E4302" w14:textId="77777777" w:rsidR="000E5E5F" w:rsidRPr="004E4EE7" w:rsidRDefault="000E5E5F" w:rsidP="000E5E5F">
      <w:pPr>
        <w:pStyle w:val="FootnoteText"/>
        <w:rPr>
          <w:rFonts w:ascii="Aptos" w:hAnsi="Aptos"/>
        </w:rPr>
      </w:pPr>
      <w:r w:rsidRPr="004E4EE7">
        <w:rPr>
          <w:rStyle w:val="FootnoteReference"/>
          <w:rFonts w:ascii="Aptos" w:hAnsi="Aptos"/>
        </w:rPr>
        <w:footnoteRef/>
      </w:r>
      <w:r w:rsidRPr="004E4EE7">
        <w:rPr>
          <w:rFonts w:ascii="Aptos" w:hAnsi="Aptos"/>
        </w:rPr>
        <w:t xml:space="preserve">   See </w:t>
      </w:r>
      <w:r w:rsidRPr="004E4EE7">
        <w:rPr>
          <w:rFonts w:ascii="Aptos" w:hAnsi="Aptos" w:cs="Times New Roman"/>
        </w:rPr>
        <w:t>603 CMR 28.08(3)(a) (providing for the BSEA to hear “… any matter concerning the eligibility, evaluation, placement, IEP, provision of special education in accordance with state and federal law or the procedural protections of state and federal law for students with disabilities”)</w:t>
      </w:r>
    </w:p>
  </w:footnote>
  <w:footnote w:id="15">
    <w:p w14:paraId="620D69EF" w14:textId="29C2A44E" w:rsidR="000E5E5F" w:rsidRPr="004E4EE7" w:rsidRDefault="000E5E5F" w:rsidP="000E5E5F">
      <w:pPr>
        <w:pStyle w:val="FootnoteText"/>
        <w:rPr>
          <w:rFonts w:ascii="Aptos" w:hAnsi="Aptos" w:cs="Times New Roman"/>
        </w:rPr>
      </w:pPr>
      <w:r w:rsidRPr="004E4EE7">
        <w:rPr>
          <w:rStyle w:val="FootnoteReference"/>
          <w:rFonts w:ascii="Aptos" w:hAnsi="Aptos" w:cs="Times New Roman"/>
        </w:rPr>
        <w:footnoteRef/>
      </w:r>
      <w:r w:rsidRPr="004E4EE7">
        <w:rPr>
          <w:rFonts w:ascii="Aptos" w:hAnsi="Aptos" w:cs="Times New Roman"/>
        </w:rPr>
        <w:t xml:space="preserve">   </w:t>
      </w:r>
      <w:r w:rsidRPr="004E4EE7">
        <w:rPr>
          <w:rFonts w:ascii="Aptos" w:hAnsi="Aptos" w:cs="Times New Roman"/>
          <w:i/>
          <w:iCs/>
        </w:rPr>
        <w:t>Bell Atl. Corp.</w:t>
      </w:r>
      <w:r w:rsidRPr="004E4EE7">
        <w:rPr>
          <w:rFonts w:ascii="Aptos" w:hAnsi="Aptos" w:cs="Times New Roman"/>
        </w:rPr>
        <w:t>, 550 U.S. at 555; see FRCP 8(a), “</w:t>
      </w:r>
      <w:r w:rsidRPr="004E4EE7">
        <w:rPr>
          <w:rFonts w:ascii="Aptos" w:hAnsi="Aptos" w:cs="Times New Roman"/>
          <w:i/>
          <w:iCs/>
        </w:rPr>
        <w:t>Claim for Relief.</w:t>
      </w:r>
      <w:r w:rsidRPr="004E4EE7">
        <w:rPr>
          <w:rFonts w:ascii="Aptos" w:hAnsi="Aptos" w:cs="Times New Roman"/>
        </w:rPr>
        <w:t> A pleading that states a claim for relief must contain: … (2)</w:t>
      </w:r>
      <w:r w:rsidRPr="004E4EE7">
        <w:rPr>
          <w:rFonts w:ascii="Aptos" w:hAnsi="Aptos" w:cs="Times New Roman"/>
          <w:b/>
          <w:bCs/>
        </w:rPr>
        <w:t> </w:t>
      </w:r>
      <w:r w:rsidRPr="004E4EE7">
        <w:rPr>
          <w:rFonts w:ascii="Aptos" w:hAnsi="Aptos" w:cs="Times New Roman"/>
        </w:rPr>
        <w:t>a short and plain statement of the claim showing that the pleader is entitled to relief….”</w:t>
      </w:r>
      <w:r w:rsidR="00E4135F">
        <w:rPr>
          <w:rFonts w:ascii="Aptos" w:hAnsi="Aptos" w:cs="Times New Roman"/>
        </w:rPr>
        <w:t>; see 20 USC 1415(7)(ii) setting forth the requirements for a due process complaint under the IDEA.  The only substantive requirements consist of “</w:t>
      </w:r>
      <w:r w:rsidR="00E4135F" w:rsidRPr="00A3078A">
        <w:rPr>
          <w:rFonts w:ascii="Aptos" w:hAnsi="Aptos" w:cs="Times New Roman"/>
        </w:rPr>
        <w:t xml:space="preserve">a description of the nature of the problem of the child relating to such proposed initiation or change, </w:t>
      </w:r>
      <w:r w:rsidR="00E4135F" w:rsidRPr="00292E86">
        <w:rPr>
          <w:rFonts w:ascii="Aptos" w:hAnsi="Aptos" w:cs="Times New Roman"/>
          <w:i/>
          <w:iCs/>
        </w:rPr>
        <w:t>including facts relating to such problem</w:t>
      </w:r>
      <w:r w:rsidR="00E4135F">
        <w:rPr>
          <w:rFonts w:ascii="Aptos" w:hAnsi="Aptos" w:cs="Times New Roman"/>
        </w:rPr>
        <w:t>”</w:t>
      </w:r>
      <w:r w:rsidR="00E4135F" w:rsidRPr="00A3078A">
        <w:rPr>
          <w:rFonts w:ascii="Aptos" w:hAnsi="Aptos" w:cs="Times New Roman"/>
        </w:rPr>
        <w:t xml:space="preserve"> and</w:t>
      </w:r>
      <w:r w:rsidR="00E4135F">
        <w:rPr>
          <w:rFonts w:ascii="Aptos" w:hAnsi="Aptos" w:cs="Times New Roman"/>
        </w:rPr>
        <w:t xml:space="preserve"> “</w:t>
      </w:r>
      <w:r w:rsidR="00E4135F" w:rsidRPr="00A3078A">
        <w:rPr>
          <w:rFonts w:ascii="Aptos" w:hAnsi="Aptos" w:cs="Times New Roman"/>
        </w:rPr>
        <w:t>a proposed resolution of the problem to the extent known and available to the party at the time</w:t>
      </w:r>
      <w:r w:rsidR="00E4135F">
        <w:rPr>
          <w:rFonts w:ascii="Aptos" w:hAnsi="Aptos" w:cs="Times New Roman"/>
        </w:rPr>
        <w:t>” (emphasis added)</w:t>
      </w:r>
      <w:r w:rsidR="00E4135F" w:rsidRPr="004E4EE7">
        <w:rPr>
          <w:rFonts w:ascii="Aptos" w:hAnsi="Aptos" w:cs="Times New Roman"/>
        </w:rPr>
        <w:t>.</w:t>
      </w:r>
    </w:p>
  </w:footnote>
  <w:footnote w:id="16">
    <w:p w14:paraId="37A5D73B" w14:textId="3A3CE602" w:rsidR="000E5E5F" w:rsidRPr="004E4EE7" w:rsidRDefault="000E5E5F" w:rsidP="00A3078A">
      <w:pPr>
        <w:pStyle w:val="FootnoteText"/>
        <w:rPr>
          <w:rFonts w:ascii="Aptos" w:hAnsi="Aptos" w:cs="Times New Roman"/>
        </w:rPr>
      </w:pPr>
      <w:r w:rsidRPr="004E4EE7">
        <w:rPr>
          <w:rStyle w:val="FootnoteReference"/>
          <w:rFonts w:ascii="Aptos" w:hAnsi="Aptos" w:cs="Times New Roman"/>
        </w:rPr>
        <w:footnoteRef/>
      </w:r>
      <w:r w:rsidRPr="004E4EE7">
        <w:rPr>
          <w:rFonts w:ascii="Aptos" w:hAnsi="Aptos" w:cs="Times New Roman"/>
        </w:rPr>
        <w:t xml:space="preserve">   </w:t>
      </w:r>
      <w:r w:rsidRPr="004E4EE7">
        <w:rPr>
          <w:rFonts w:ascii="Aptos" w:hAnsi="Aptos" w:cs="Times New Roman"/>
          <w:i/>
          <w:iCs/>
        </w:rPr>
        <w:t>Id</w:t>
      </w:r>
      <w:r w:rsidRPr="004E4EE7">
        <w:rPr>
          <w:rFonts w:ascii="Aptos" w:hAnsi="Aptos" w:cs="Times New Roman"/>
        </w:rPr>
        <w:t>., citing </w:t>
      </w:r>
      <w:r w:rsidRPr="00F53727">
        <w:rPr>
          <w:rFonts w:ascii="Aptos" w:hAnsi="Aptos" w:cs="Times New Roman"/>
          <w:i/>
          <w:iCs/>
        </w:rPr>
        <w:t>Papasan v. Allain,</w:t>
      </w:r>
      <w:r w:rsidRPr="00F53727">
        <w:rPr>
          <w:rFonts w:ascii="Aptos" w:hAnsi="Aptos" w:cs="Times New Roman"/>
        </w:rPr>
        <w:t> 478 U.S. 265, 286, (1986)</w:t>
      </w:r>
      <w:r w:rsidR="00E4135F">
        <w:rPr>
          <w:rFonts w:ascii="Aptos" w:hAnsi="Aptos" w:cs="Times New Roman"/>
        </w:rPr>
        <w:t>.</w:t>
      </w:r>
    </w:p>
  </w:footnote>
  <w:footnote w:id="17">
    <w:p w14:paraId="5151C0CC" w14:textId="77777777" w:rsidR="00CC0C40" w:rsidRPr="001C7828" w:rsidRDefault="00CC0C40" w:rsidP="00CC0C40">
      <w:pPr>
        <w:pStyle w:val="FootnoteText"/>
        <w:rPr>
          <w:rFonts w:ascii="Aptos" w:hAnsi="Aptos" w:cs="Times New Roman"/>
        </w:rPr>
      </w:pPr>
      <w:r w:rsidRPr="001C7828">
        <w:rPr>
          <w:rStyle w:val="FootnoteReference"/>
          <w:rFonts w:ascii="Aptos" w:hAnsi="Aptos" w:cs="Times New Roman"/>
        </w:rPr>
        <w:footnoteRef/>
      </w:r>
      <w:r w:rsidRPr="00CC0C40">
        <w:rPr>
          <w:rFonts w:ascii="Aptos" w:hAnsi="Aptos" w:cs="Times New Roman"/>
          <w:lang w:val="pt-BR"/>
        </w:rPr>
        <w:t xml:space="preserve">   20 USC 1415(f)(3)(C); 34 CFR 300.507(a)(2); 34 CFR 300.511(e).  </w:t>
      </w:r>
      <w:r w:rsidRPr="001C7828">
        <w:rPr>
          <w:rFonts w:ascii="Aptos" w:hAnsi="Aptos" w:cs="Times New Roman"/>
        </w:rPr>
        <w:t>Massachusetts does not have a different limitation period for special education due process proceedings.</w:t>
      </w:r>
    </w:p>
  </w:footnote>
  <w:footnote w:id="18">
    <w:p w14:paraId="485E376A" w14:textId="77777777" w:rsidR="00CC0C40" w:rsidRPr="001C7828" w:rsidRDefault="00CC0C40" w:rsidP="00CC0C40">
      <w:pPr>
        <w:pStyle w:val="FootnoteText"/>
        <w:rPr>
          <w:rFonts w:ascii="Aptos" w:hAnsi="Aptos" w:cs="Times New Roman"/>
        </w:rPr>
      </w:pPr>
      <w:r w:rsidRPr="001C7828">
        <w:rPr>
          <w:rStyle w:val="FootnoteReference"/>
          <w:rFonts w:ascii="Aptos" w:hAnsi="Aptos" w:cs="Times New Roman"/>
        </w:rPr>
        <w:footnoteRef/>
      </w:r>
      <w:r w:rsidRPr="001C7828">
        <w:rPr>
          <w:rFonts w:ascii="Aptos" w:hAnsi="Aptos" w:cs="Times New Roman"/>
        </w:rPr>
        <w:t xml:space="preserve">   20 USC 1415(f)(3)(D); 34 CFR 300.511(f).</w:t>
      </w:r>
    </w:p>
  </w:footnote>
  <w:footnote w:id="19">
    <w:p w14:paraId="41962283" w14:textId="1F77893F" w:rsidR="00AB52E2" w:rsidRPr="00AB52E2" w:rsidRDefault="00AB52E2">
      <w:pPr>
        <w:pStyle w:val="FootnoteText"/>
      </w:pPr>
      <w:r>
        <w:rPr>
          <w:rStyle w:val="FootnoteReference"/>
        </w:rPr>
        <w:footnoteRef/>
      </w:r>
      <w:r>
        <w:t xml:space="preserve">   See</w:t>
      </w:r>
      <w:r w:rsidR="00654E06">
        <w:t xml:space="preserve"> </w:t>
      </w:r>
      <w:r w:rsidR="00654E06" w:rsidRPr="00654E06">
        <w:rPr>
          <w:i/>
          <w:iCs/>
        </w:rPr>
        <w:t>Vogel v. Linde,</w:t>
      </w:r>
      <w:r w:rsidR="00654E06" w:rsidRPr="00654E06">
        <w:t xml:space="preserve"> 23 F.3d 78, 80 (4th Cir.1994) (“The black-letter rule ... is that a statute of limitations runs against all persons unless the statute expressly provides otherwise”) (internal quotations omitted)</w:t>
      </w:r>
      <w:r w:rsidR="00654E06">
        <w:t>;</w:t>
      </w:r>
      <w:r>
        <w:t xml:space="preserve"> </w:t>
      </w:r>
      <w:r w:rsidRPr="00AB52E2">
        <w:rPr>
          <w:i/>
          <w:iCs/>
        </w:rPr>
        <w:t>Saltares v. Hosp. San Pablo Inc.</w:t>
      </w:r>
      <w:r w:rsidRPr="00AB52E2">
        <w:t>, 371 F. Supp.2d 28, 33 (D.P.R. 2005)</w:t>
      </w:r>
      <w:r>
        <w:t xml:space="preserve"> (</w:t>
      </w:r>
      <w:r w:rsidRPr="00AB52E2">
        <w:t>“Federal statutes of limitations should be strictly construed absent any express tolling exception or any other exception”</w:t>
      </w:r>
      <w:r>
        <w:t xml:space="preserve">) quoting </w:t>
      </w:r>
      <w:r w:rsidR="00C45335" w:rsidRPr="00C45335">
        <w:rPr>
          <w:i/>
          <w:iCs/>
        </w:rPr>
        <w:t xml:space="preserve">Dickey v. Baptist </w:t>
      </w:r>
      <w:proofErr w:type="spellStart"/>
      <w:r w:rsidR="00C45335" w:rsidRPr="00C45335">
        <w:rPr>
          <w:i/>
          <w:iCs/>
        </w:rPr>
        <w:t>Mem'l</w:t>
      </w:r>
      <w:proofErr w:type="spellEnd"/>
      <w:r w:rsidR="00C45335" w:rsidRPr="00C45335">
        <w:rPr>
          <w:i/>
          <w:iCs/>
        </w:rPr>
        <w:t xml:space="preserve"> Hosp.-N. Miss.</w:t>
      </w:r>
      <w:r w:rsidR="00C45335" w:rsidRPr="00C45335">
        <w:t>, 1996 WL 408879, at *1 (N.D. Miss. June 27, 1996)</w:t>
      </w:r>
      <w:r w:rsidR="00C45335">
        <w:t xml:space="preserve"> (unpublished opinion)</w:t>
      </w:r>
      <w:r w:rsidR="00654E06">
        <w:t>.</w:t>
      </w:r>
    </w:p>
  </w:footnote>
  <w:footnote w:id="20">
    <w:p w14:paraId="661948D8" w14:textId="77777777" w:rsidR="004C768C" w:rsidRPr="007039A3" w:rsidRDefault="004C768C" w:rsidP="004C768C">
      <w:pPr>
        <w:pStyle w:val="FootnoteText"/>
        <w:rPr>
          <w:rFonts w:ascii="Aptos" w:hAnsi="Aptos" w:cs="Times New Roman"/>
          <w:lang w:val="pt-BR"/>
        </w:rPr>
      </w:pPr>
      <w:r w:rsidRPr="001C7828">
        <w:rPr>
          <w:rStyle w:val="FootnoteReference"/>
          <w:rFonts w:ascii="Aptos" w:hAnsi="Aptos" w:cs="Times New Roman"/>
        </w:rPr>
        <w:footnoteRef/>
      </w:r>
      <w:r w:rsidRPr="007039A3">
        <w:rPr>
          <w:rFonts w:ascii="Aptos" w:hAnsi="Aptos" w:cs="Times New Roman"/>
          <w:lang w:val="pt-BR"/>
        </w:rPr>
        <w:t xml:space="preserve">   20 USC 1415(f)(3)(D); 34 CFR 300.511(f).</w:t>
      </w:r>
    </w:p>
  </w:footnote>
  <w:footnote w:id="21">
    <w:p w14:paraId="5A6519BF" w14:textId="77777777" w:rsidR="00064C06" w:rsidRPr="001C7828" w:rsidRDefault="00064C06" w:rsidP="00064C06">
      <w:pPr>
        <w:pStyle w:val="FootnoteText"/>
        <w:rPr>
          <w:rFonts w:ascii="Aptos" w:hAnsi="Aptos" w:cs="Times New Roman"/>
        </w:rPr>
      </w:pPr>
      <w:r w:rsidRPr="001C7828">
        <w:rPr>
          <w:rStyle w:val="FootnoteReference"/>
          <w:rFonts w:ascii="Aptos" w:hAnsi="Aptos" w:cs="Times New Roman"/>
        </w:rPr>
        <w:footnoteRef/>
      </w:r>
      <w:r w:rsidRPr="00CC0C40">
        <w:rPr>
          <w:rFonts w:ascii="Aptos" w:hAnsi="Aptos" w:cs="Times New Roman"/>
          <w:lang w:val="pt-BR"/>
        </w:rPr>
        <w:t xml:space="preserve">   20 USC 1415(f)(3)(C); 34 CFR 300.507(a)(2); 34 CFR 300.511(e).  </w:t>
      </w:r>
      <w:r w:rsidRPr="001C7828">
        <w:rPr>
          <w:rFonts w:ascii="Aptos" w:hAnsi="Aptos" w:cs="Times New Roman"/>
        </w:rPr>
        <w:t>Massachusetts does not have a different limitation period for special education due process proceedings.</w:t>
      </w:r>
    </w:p>
  </w:footnote>
  <w:footnote w:id="22">
    <w:p w14:paraId="60DAB207" w14:textId="0F9A5F03" w:rsidR="006125FB" w:rsidRPr="006125FB" w:rsidRDefault="006125FB">
      <w:pPr>
        <w:pStyle w:val="FootnoteText"/>
      </w:pPr>
      <w:r>
        <w:rPr>
          <w:rStyle w:val="FootnoteReference"/>
        </w:rPr>
        <w:footnoteRef/>
      </w:r>
      <w:r>
        <w:t xml:space="preserve">   This is the date Parents provided the District with a copy of the </w:t>
      </w:r>
      <w:r>
        <w:rPr>
          <w:i/>
          <w:iCs/>
        </w:rPr>
        <w:t>Hearing Request</w:t>
      </w:r>
      <w:r w:rsidR="00C327F1">
        <w:t xml:space="preserve"> and is controlling for statute of limitations purposes</w:t>
      </w:r>
      <w:r>
        <w:t>.</w:t>
      </w:r>
    </w:p>
  </w:footnote>
  <w:footnote w:id="23">
    <w:p w14:paraId="3AB797CE" w14:textId="77777777" w:rsidR="002B2D87" w:rsidRPr="00CD268A" w:rsidRDefault="002B2D87" w:rsidP="002B2D87">
      <w:pPr>
        <w:pStyle w:val="FootnoteText"/>
        <w:rPr>
          <w:rFonts w:ascii="Aptos" w:hAnsi="Aptos"/>
          <w:i/>
          <w:iCs/>
        </w:rPr>
      </w:pPr>
      <w:r>
        <w:rPr>
          <w:rStyle w:val="FootnoteReference"/>
        </w:rPr>
        <w:footnoteRef/>
      </w:r>
      <w:r>
        <w:t xml:space="preserve">   Although the District argues that Parents also improperly bring systemic claims, or claims not specific to Student, I do not read the </w:t>
      </w:r>
      <w:r>
        <w:rPr>
          <w:i/>
          <w:iCs/>
        </w:rPr>
        <w:t xml:space="preserve">Hearing Request </w:t>
      </w:r>
      <w:r>
        <w:t xml:space="preserve">this way.  However, to the extent the </w:t>
      </w:r>
      <w:r>
        <w:rPr>
          <w:i/>
          <w:iCs/>
        </w:rPr>
        <w:t xml:space="preserve">Hearing Request </w:t>
      </w:r>
      <w:r>
        <w:t xml:space="preserve">is attempting to bring claims that are not specific to Student, they too are dismissed as beyond the BSEA’s jurisdiction.  </w:t>
      </w:r>
      <w:r w:rsidRPr="001C7828">
        <w:rPr>
          <w:rFonts w:ascii="Aptos" w:hAnsi="Aptos"/>
          <w:i/>
          <w:iCs/>
        </w:rPr>
        <w:t>In Re: Holyoke Pub</w:t>
      </w:r>
      <w:r>
        <w:rPr>
          <w:rFonts w:ascii="Aptos" w:hAnsi="Aptos"/>
          <w:i/>
          <w:iCs/>
        </w:rPr>
        <w:t>.</w:t>
      </w:r>
      <w:r w:rsidRPr="001C7828">
        <w:rPr>
          <w:rFonts w:ascii="Aptos" w:hAnsi="Aptos"/>
          <w:i/>
          <w:iCs/>
        </w:rPr>
        <w:t xml:space="preserve"> Sch</w:t>
      </w:r>
      <w:r>
        <w:rPr>
          <w:rFonts w:ascii="Aptos" w:hAnsi="Aptos"/>
          <w:i/>
          <w:iCs/>
        </w:rPr>
        <w:t>ools</w:t>
      </w:r>
      <w:r w:rsidRPr="001C7828">
        <w:rPr>
          <w:rFonts w:ascii="Aptos" w:hAnsi="Aptos"/>
          <w:i/>
          <w:iCs/>
        </w:rPr>
        <w:t xml:space="preserve"> and Jay</w:t>
      </w:r>
      <w:r w:rsidRPr="001C7828">
        <w:rPr>
          <w:rFonts w:ascii="Aptos" w:hAnsi="Aptos"/>
        </w:rPr>
        <w:t xml:space="preserve">, </w:t>
      </w:r>
      <w:r>
        <w:rPr>
          <w:rFonts w:ascii="Aptos" w:hAnsi="Aptos"/>
        </w:rPr>
        <w:t xml:space="preserve">BSEA #1800619, </w:t>
      </w:r>
      <w:r w:rsidRPr="001C7828">
        <w:rPr>
          <w:rFonts w:ascii="Aptos" w:hAnsi="Aptos"/>
        </w:rPr>
        <w:t>24 MSER 20 (</w:t>
      </w:r>
      <w:r>
        <w:rPr>
          <w:rFonts w:ascii="Aptos" w:hAnsi="Aptos"/>
        </w:rPr>
        <w:t xml:space="preserve">Ruling, </w:t>
      </w:r>
      <w:r w:rsidRPr="001C7828">
        <w:rPr>
          <w:rFonts w:ascii="Aptos" w:hAnsi="Aptos"/>
        </w:rPr>
        <w:t xml:space="preserve">Oliver, 2018); </w:t>
      </w:r>
      <w:r w:rsidRPr="001C7828">
        <w:rPr>
          <w:rFonts w:ascii="Aptos" w:hAnsi="Aptos"/>
          <w:i/>
          <w:iCs/>
        </w:rPr>
        <w:t>In Re: Springfield P</w:t>
      </w:r>
      <w:r>
        <w:rPr>
          <w:rFonts w:ascii="Aptos" w:hAnsi="Aptos"/>
          <w:i/>
          <w:iCs/>
        </w:rPr>
        <w:t xml:space="preserve">ub. </w:t>
      </w:r>
      <w:r w:rsidRPr="001C7828">
        <w:rPr>
          <w:rFonts w:ascii="Aptos" w:hAnsi="Aptos"/>
          <w:i/>
          <w:iCs/>
        </w:rPr>
        <w:t>S</w:t>
      </w:r>
      <w:r>
        <w:rPr>
          <w:rFonts w:ascii="Aptos" w:hAnsi="Aptos"/>
          <w:i/>
          <w:iCs/>
        </w:rPr>
        <w:t>chools</w:t>
      </w:r>
      <w:r w:rsidRPr="001C7828">
        <w:rPr>
          <w:rFonts w:ascii="Aptos" w:hAnsi="Aptos"/>
        </w:rPr>
        <w:t xml:space="preserve">, </w:t>
      </w:r>
      <w:r>
        <w:rPr>
          <w:rFonts w:ascii="Aptos" w:hAnsi="Aptos"/>
        </w:rPr>
        <w:t>BSEA #1309716,</w:t>
      </w:r>
      <w:r w:rsidRPr="001C7828">
        <w:rPr>
          <w:rFonts w:ascii="Aptos" w:hAnsi="Aptos"/>
        </w:rPr>
        <w:t>19 MSER 294 (</w:t>
      </w:r>
      <w:r>
        <w:rPr>
          <w:rFonts w:ascii="Aptos" w:hAnsi="Aptos"/>
        </w:rPr>
        <w:t xml:space="preserve">Ruling, </w:t>
      </w:r>
      <w:r w:rsidRPr="001C7828">
        <w:rPr>
          <w:rFonts w:ascii="Aptos" w:hAnsi="Aptos"/>
        </w:rPr>
        <w:t>Oliver, 2013)</w:t>
      </w:r>
      <w:r>
        <w:rPr>
          <w:rFonts w:ascii="Aptos" w:hAnsi="Aptos"/>
        </w:rPr>
        <w:t xml:space="preserve">; see </w:t>
      </w:r>
      <w:r w:rsidRPr="004E4EE7">
        <w:rPr>
          <w:rFonts w:ascii="Aptos" w:hAnsi="Aptos"/>
          <w:i/>
          <w:iCs/>
        </w:rPr>
        <w:t xml:space="preserve">In Re: Student &amp; Quincy </w:t>
      </w:r>
      <w:r>
        <w:rPr>
          <w:rFonts w:ascii="Aptos" w:hAnsi="Aptos"/>
          <w:i/>
          <w:iCs/>
        </w:rPr>
        <w:t>&amp; DESE</w:t>
      </w:r>
      <w:r w:rsidRPr="004E4EE7">
        <w:rPr>
          <w:rFonts w:ascii="Aptos" w:hAnsi="Aptos"/>
          <w:i/>
          <w:iCs/>
        </w:rPr>
        <w:t xml:space="preserve">, </w:t>
      </w:r>
      <w:r w:rsidRPr="004E4EE7">
        <w:rPr>
          <w:rFonts w:ascii="Aptos" w:hAnsi="Aptos"/>
        </w:rPr>
        <w:t>BSEA No. 2408249</w:t>
      </w:r>
      <w:r>
        <w:rPr>
          <w:rFonts w:ascii="Aptos" w:hAnsi="Aptos"/>
        </w:rPr>
        <w:t xml:space="preserve">.  </w:t>
      </w:r>
    </w:p>
  </w:footnote>
  <w:footnote w:id="24">
    <w:p w14:paraId="4389E4DB" w14:textId="0329C5FD" w:rsidR="006125FB" w:rsidRPr="005A703A" w:rsidRDefault="006125FB" w:rsidP="006125FB">
      <w:pPr>
        <w:pStyle w:val="FootnoteText"/>
        <w:rPr>
          <w:rFonts w:ascii="Aptos" w:hAnsi="Aptos" w:cs="Times New Roman"/>
        </w:rPr>
      </w:pPr>
      <w:r w:rsidRPr="005A703A">
        <w:rPr>
          <w:rStyle w:val="FootnoteReference"/>
          <w:rFonts w:ascii="Aptos" w:hAnsi="Aptos" w:cs="Times New Roman"/>
        </w:rPr>
        <w:footnoteRef/>
      </w:r>
      <w:r w:rsidRPr="005A703A">
        <w:rPr>
          <w:rFonts w:ascii="Aptos" w:hAnsi="Aptos" w:cs="Times New Roman"/>
        </w:rPr>
        <w:t xml:space="preserve">   </w:t>
      </w:r>
      <w:r w:rsidRPr="005A703A">
        <w:rPr>
          <w:rFonts w:ascii="Aptos" w:hAnsi="Aptos" w:cs="Times New Roman"/>
          <w:i/>
          <w:iCs/>
          <w:bdr w:val="none" w:sz="0" w:space="0" w:color="auto" w:frame="1"/>
        </w:rPr>
        <w:t>Bell Atl. Corp.,</w:t>
      </w:r>
      <w:r w:rsidRPr="005A703A">
        <w:rPr>
          <w:rFonts w:ascii="Aptos" w:hAnsi="Aptos" w:cs="Times New Roman"/>
          <w:shd w:val="clear" w:color="auto" w:fill="FFFFFF"/>
        </w:rPr>
        <w:t xml:space="preserve"> 550 U.S. at 555 </w:t>
      </w:r>
      <w:r w:rsidRPr="005A703A">
        <w:rPr>
          <w:rFonts w:ascii="Aptos" w:hAnsi="Aptos" w:cs="Times New Roman"/>
        </w:rPr>
        <w:t>citing </w:t>
      </w:r>
      <w:hyperlink r:id="rId1" w:history="1">
        <w:r w:rsidRPr="005A703A">
          <w:rPr>
            <w:rStyle w:val="Hyperlink"/>
            <w:rFonts w:ascii="Aptos" w:hAnsi="Aptos" w:cs="Times New Roman"/>
            <w:i/>
            <w:iCs/>
            <w:color w:val="auto"/>
            <w:u w:val="none"/>
          </w:rPr>
          <w:t>Papasan,</w:t>
        </w:r>
        <w:r w:rsidRPr="005A703A">
          <w:rPr>
            <w:rStyle w:val="Hyperlink"/>
            <w:rFonts w:ascii="Aptos" w:hAnsi="Aptos" w:cs="Times New Roman"/>
            <w:color w:val="auto"/>
            <w:u w:val="none"/>
          </w:rPr>
          <w:t xml:space="preserve"> 478 U.S. </w:t>
        </w:r>
        <w:r w:rsidR="005A703A">
          <w:rPr>
            <w:rStyle w:val="Hyperlink"/>
            <w:rFonts w:ascii="Aptos" w:hAnsi="Aptos" w:cs="Times New Roman"/>
            <w:color w:val="auto"/>
            <w:u w:val="none"/>
          </w:rPr>
          <w:t xml:space="preserve">at </w:t>
        </w:r>
        <w:r w:rsidRPr="005A703A">
          <w:rPr>
            <w:rStyle w:val="Hyperlink"/>
            <w:rFonts w:ascii="Aptos" w:hAnsi="Aptos" w:cs="Times New Roman"/>
            <w:color w:val="auto"/>
            <w:u w:val="none"/>
          </w:rPr>
          <w:t>286</w:t>
        </w:r>
      </w:hyperlink>
      <w:r w:rsidRPr="005A703A">
        <w:rPr>
          <w:rFonts w:ascii="Aptos" w:hAnsi="Aptos" w:cs="Times New Roman"/>
        </w:rPr>
        <w:t>.</w:t>
      </w:r>
    </w:p>
  </w:footnote>
  <w:footnote w:id="25">
    <w:p w14:paraId="2D16617A" w14:textId="77777777" w:rsidR="000A6E51" w:rsidRPr="00C95B07" w:rsidRDefault="000A6E51" w:rsidP="000A6E51">
      <w:pPr>
        <w:pStyle w:val="FootnoteText"/>
        <w:rPr>
          <w:rFonts w:ascii="Aptos" w:hAnsi="Aptos" w:cs="Times New Roman"/>
        </w:rPr>
      </w:pPr>
      <w:r w:rsidRPr="00C95B07">
        <w:rPr>
          <w:rStyle w:val="FootnoteReference"/>
          <w:rFonts w:ascii="Aptos" w:hAnsi="Aptos" w:cs="Times New Roman"/>
        </w:rPr>
        <w:footnoteRef/>
      </w:r>
      <w:r w:rsidRPr="00C95B07">
        <w:rPr>
          <w:rFonts w:ascii="Aptos" w:hAnsi="Aptos" w:cs="Times New Roman"/>
        </w:rPr>
        <w:t xml:space="preserve">   In the federal law, these rights are protected by the Family Education Rights and Privacy Act (FERPA) 20 USC 1232(g); 34 CFR Part 99.  In Massachusetts, student records are protected by M.G.L. c. 71 §34D; 603 CMR 23.00; see M.G.L. c. 71 §34F.</w:t>
      </w:r>
    </w:p>
  </w:footnote>
  <w:footnote w:id="26">
    <w:p w14:paraId="4EA64635" w14:textId="77777777" w:rsidR="000A6E51" w:rsidRPr="00C95B07" w:rsidRDefault="000A6E51" w:rsidP="000A6E51">
      <w:pPr>
        <w:pStyle w:val="FootnoteText"/>
        <w:rPr>
          <w:rFonts w:ascii="Aptos" w:hAnsi="Aptos" w:cs="Times New Roman"/>
        </w:rPr>
      </w:pPr>
      <w:r w:rsidRPr="00C95B07">
        <w:rPr>
          <w:rStyle w:val="FootnoteReference"/>
          <w:rFonts w:ascii="Aptos" w:hAnsi="Aptos" w:cs="Times New Roman"/>
        </w:rPr>
        <w:footnoteRef/>
      </w:r>
      <w:r w:rsidRPr="00C95B07">
        <w:rPr>
          <w:rFonts w:ascii="Aptos" w:hAnsi="Aptos" w:cs="Times New Roman"/>
        </w:rPr>
        <w:t xml:space="preserve">   20 USC 1417(c); see 20 USC 1412(a)(8).</w:t>
      </w:r>
    </w:p>
  </w:footnote>
  <w:footnote w:id="27">
    <w:p w14:paraId="5F638479" w14:textId="2AD64A75" w:rsidR="00664849" w:rsidRPr="00C95B07" w:rsidRDefault="00664849" w:rsidP="00664849">
      <w:pPr>
        <w:pStyle w:val="FootnoteText"/>
        <w:rPr>
          <w:rFonts w:ascii="Aptos" w:hAnsi="Aptos" w:cs="Times New Roman"/>
        </w:rPr>
      </w:pPr>
      <w:r w:rsidRPr="00C95B07">
        <w:rPr>
          <w:rStyle w:val="FootnoteReference"/>
          <w:rFonts w:ascii="Aptos" w:hAnsi="Aptos" w:cs="Times New Roman"/>
        </w:rPr>
        <w:footnoteRef/>
      </w:r>
      <w:r w:rsidRPr="00C95B07">
        <w:rPr>
          <w:rFonts w:ascii="Aptos" w:hAnsi="Aptos" w:cs="Times New Roman"/>
        </w:rPr>
        <w:t xml:space="preserve">   </w:t>
      </w:r>
      <w:r w:rsidR="003D4435" w:rsidRPr="00C95B07">
        <w:rPr>
          <w:rFonts w:ascii="Aptos" w:eastAsia="Times New Roman" w:hAnsi="Aptos" w:cs="Times New Roman"/>
        </w:rPr>
        <w:t>S</w:t>
      </w:r>
      <w:r w:rsidRPr="00C95B07">
        <w:rPr>
          <w:rFonts w:ascii="Aptos" w:eastAsia="Times New Roman" w:hAnsi="Aptos" w:cs="Times New Roman"/>
        </w:rPr>
        <w:t>ee</w:t>
      </w:r>
      <w:r w:rsidR="003D4435" w:rsidRPr="00C95B07">
        <w:rPr>
          <w:rFonts w:ascii="Aptos" w:eastAsia="Times New Roman" w:hAnsi="Aptos" w:cs="Times New Roman"/>
        </w:rPr>
        <w:t xml:space="preserve"> 34 CFR 99.63; </w:t>
      </w:r>
      <w:r w:rsidRPr="00C95B07">
        <w:rPr>
          <w:rFonts w:ascii="Aptos" w:eastAsia="Times New Roman" w:hAnsi="Aptos" w:cs="Times New Roman"/>
        </w:rPr>
        <w:t xml:space="preserve"> </w:t>
      </w:r>
      <w:r w:rsidRPr="00C95B07">
        <w:rPr>
          <w:rFonts w:ascii="Aptos" w:eastAsia="Times New Roman" w:hAnsi="Aptos" w:cs="Times New Roman"/>
          <w:i/>
          <w:iCs/>
        </w:rPr>
        <w:t>Frazier v. Fairhaven Sch. Comm</w:t>
      </w:r>
      <w:r w:rsidRPr="00C95B07">
        <w:rPr>
          <w:rFonts w:ascii="Aptos" w:eastAsia="Times New Roman" w:hAnsi="Aptos" w:cs="Times New Roman"/>
        </w:rPr>
        <w:t xml:space="preserve">., 276 F.3d 52, 69, holding that there is no private right of action under FERPA, but recognizing that FERPA provides “… parents and students [the option to] file written complaints through </w:t>
      </w:r>
      <w:r w:rsidR="003D4435" w:rsidRPr="00C95B07">
        <w:rPr>
          <w:rFonts w:ascii="Aptos" w:eastAsia="Times New Roman" w:hAnsi="Aptos" w:cs="Times New Roman"/>
        </w:rPr>
        <w:t>[its]</w:t>
      </w:r>
      <w:r w:rsidRPr="00C95B07">
        <w:rPr>
          <w:rFonts w:ascii="Aptos" w:eastAsia="Times New Roman" w:hAnsi="Aptos" w:cs="Times New Roman"/>
        </w:rPr>
        <w:t xml:space="preserve"> administrative machinery”</w:t>
      </w:r>
      <w:r w:rsidR="00E764EB" w:rsidRPr="00C95B07">
        <w:rPr>
          <w:rFonts w:ascii="Aptos" w:eastAsia="Times New Roman" w:hAnsi="Aptos" w:cs="Times New Roman"/>
        </w:rPr>
        <w:t xml:space="preserve">; 603 CMR 23.09 addressing the process for challenging violations of the </w:t>
      </w:r>
      <w:r w:rsidRPr="00C95B07">
        <w:rPr>
          <w:rFonts w:ascii="Aptos" w:eastAsia="Times New Roman" w:hAnsi="Aptos" w:cs="Times New Roman"/>
        </w:rPr>
        <w:t xml:space="preserve">Massachusetts student record laws.  </w:t>
      </w:r>
    </w:p>
  </w:footnote>
  <w:footnote w:id="28">
    <w:p w14:paraId="29C6CD2E" w14:textId="66305181" w:rsidR="00283B7C" w:rsidRPr="00283B7C" w:rsidRDefault="00283B7C">
      <w:pPr>
        <w:pStyle w:val="FootnoteText"/>
      </w:pPr>
      <w:r>
        <w:rPr>
          <w:rStyle w:val="FootnoteReference"/>
        </w:rPr>
        <w:footnoteRef/>
      </w:r>
      <w:r>
        <w:t xml:space="preserve">   Nothing in the </w:t>
      </w:r>
      <w:r>
        <w:rPr>
          <w:i/>
          <w:iCs/>
        </w:rPr>
        <w:t>Hearing Request</w:t>
      </w:r>
      <w:r>
        <w:t xml:space="preserve"> alleges the District acted improperly in response to Parents’ March 2023 decision, either.</w:t>
      </w:r>
    </w:p>
  </w:footnote>
  <w:footnote w:id="29">
    <w:p w14:paraId="30CF02F0" w14:textId="55F94135" w:rsidR="004A1C53" w:rsidRDefault="004A1C53" w:rsidP="00BA2204">
      <w:pPr>
        <w:pStyle w:val="FootnoteText"/>
      </w:pPr>
      <w:r>
        <w:rPr>
          <w:rStyle w:val="FootnoteReference"/>
        </w:rPr>
        <w:footnoteRef/>
      </w:r>
      <w:r>
        <w:t xml:space="preserve">   </w:t>
      </w:r>
      <w:r w:rsidR="00BA2204">
        <w:t>34 CFR 300.300(b)(4) (“If, at any time subsequent to the initial provision of special education and related services, the parent of a child revokes consent in writing for the continued provision of special education and related services, the public agency - (i) May not continue to provide special education and related services to the child, but must provide prior written notice in accordance with § 300.503 before ceasing the provision of special education and related services; (ii) May not use the procedures in subpart E of this part (including the mediation procedures under § 300.506 or the due process procedures under §§ 300.507 through 300.516) in order to obtain agreement or a ruling that the services may be provided to the child; (iii) Will not be considered to be in violation of the requirement to make FAPE available to the child because of the failure to provide the child with further special education and related services; and (iv) Is not required to convene an IEP Team meeting or develop an IEP under §§ 300.320 and 300.324 for the child for further provision of special education and related services</w:t>
      </w:r>
      <w:r w:rsidR="00B16A42">
        <w:t xml:space="preserve">”); </w:t>
      </w:r>
      <w:r w:rsidR="00B3125D">
        <w:t>603 CMR 28.07(1)(a)(4)</w:t>
      </w:r>
      <w:r w:rsidR="00714B7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A83"/>
    <w:multiLevelType w:val="hybridMultilevel"/>
    <w:tmpl w:val="FC7E0FCA"/>
    <w:lvl w:ilvl="0" w:tplc="1B5CDAC2">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55468"/>
    <w:multiLevelType w:val="hybridMultilevel"/>
    <w:tmpl w:val="0A2488B4"/>
    <w:lvl w:ilvl="0" w:tplc="B45499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76AB4"/>
    <w:multiLevelType w:val="hybridMultilevel"/>
    <w:tmpl w:val="37E4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E2468"/>
    <w:multiLevelType w:val="hybridMultilevel"/>
    <w:tmpl w:val="D69CC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32E1D"/>
    <w:multiLevelType w:val="hybridMultilevel"/>
    <w:tmpl w:val="E35619A0"/>
    <w:lvl w:ilvl="0" w:tplc="83804F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CE6487"/>
    <w:multiLevelType w:val="hybridMultilevel"/>
    <w:tmpl w:val="25522E04"/>
    <w:lvl w:ilvl="0" w:tplc="3F0ABD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639E8"/>
    <w:multiLevelType w:val="hybridMultilevel"/>
    <w:tmpl w:val="25522E04"/>
    <w:lvl w:ilvl="0" w:tplc="3F0ABD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814507"/>
    <w:multiLevelType w:val="hybridMultilevel"/>
    <w:tmpl w:val="584E1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E0975"/>
    <w:multiLevelType w:val="hybridMultilevel"/>
    <w:tmpl w:val="AA2E2446"/>
    <w:lvl w:ilvl="0" w:tplc="FDE003CE">
      <w:start w:val="1"/>
      <w:numFmt w:val="lowerLetter"/>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1E5DB5"/>
    <w:multiLevelType w:val="hybridMultilevel"/>
    <w:tmpl w:val="86702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85417"/>
    <w:multiLevelType w:val="hybridMultilevel"/>
    <w:tmpl w:val="54440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387D55"/>
    <w:multiLevelType w:val="hybridMultilevel"/>
    <w:tmpl w:val="57B65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AF4AA3"/>
    <w:multiLevelType w:val="hybridMultilevel"/>
    <w:tmpl w:val="3E046994"/>
    <w:lvl w:ilvl="0" w:tplc="BD10BB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434690">
    <w:abstractNumId w:val="9"/>
  </w:num>
  <w:num w:numId="2" w16cid:durableId="1391003678">
    <w:abstractNumId w:val="2"/>
  </w:num>
  <w:num w:numId="3" w16cid:durableId="1693147343">
    <w:abstractNumId w:val="5"/>
  </w:num>
  <w:num w:numId="4" w16cid:durableId="1600602847">
    <w:abstractNumId w:val="12"/>
  </w:num>
  <w:num w:numId="5" w16cid:durableId="159319497">
    <w:abstractNumId w:val="3"/>
  </w:num>
  <w:num w:numId="6" w16cid:durableId="2137478764">
    <w:abstractNumId w:val="1"/>
  </w:num>
  <w:num w:numId="7" w16cid:durableId="39669027">
    <w:abstractNumId w:val="6"/>
  </w:num>
  <w:num w:numId="8" w16cid:durableId="1085807272">
    <w:abstractNumId w:val="8"/>
  </w:num>
  <w:num w:numId="9" w16cid:durableId="2140026849">
    <w:abstractNumId w:val="11"/>
  </w:num>
  <w:num w:numId="10" w16cid:durableId="283466160">
    <w:abstractNumId w:val="0"/>
  </w:num>
  <w:num w:numId="11" w16cid:durableId="752505878">
    <w:abstractNumId w:val="10"/>
  </w:num>
  <w:num w:numId="12" w16cid:durableId="1198859120">
    <w:abstractNumId w:val="7"/>
  </w:num>
  <w:num w:numId="13" w16cid:durableId="1572622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40"/>
    <w:rsid w:val="000016E5"/>
    <w:rsid w:val="00003426"/>
    <w:rsid w:val="000055B3"/>
    <w:rsid w:val="00023E18"/>
    <w:rsid w:val="000246EE"/>
    <w:rsid w:val="00024DE7"/>
    <w:rsid w:val="00032428"/>
    <w:rsid w:val="00037BE4"/>
    <w:rsid w:val="000432F1"/>
    <w:rsid w:val="00044D26"/>
    <w:rsid w:val="00046115"/>
    <w:rsid w:val="00046789"/>
    <w:rsid w:val="0005012F"/>
    <w:rsid w:val="000541C2"/>
    <w:rsid w:val="0006003E"/>
    <w:rsid w:val="00060659"/>
    <w:rsid w:val="000615BB"/>
    <w:rsid w:val="00061B6E"/>
    <w:rsid w:val="00064C06"/>
    <w:rsid w:val="0007005C"/>
    <w:rsid w:val="00073FBF"/>
    <w:rsid w:val="00074635"/>
    <w:rsid w:val="0007497B"/>
    <w:rsid w:val="0007773F"/>
    <w:rsid w:val="00077F02"/>
    <w:rsid w:val="00080E40"/>
    <w:rsid w:val="00084979"/>
    <w:rsid w:val="00085F3E"/>
    <w:rsid w:val="000903BA"/>
    <w:rsid w:val="00093422"/>
    <w:rsid w:val="000975C8"/>
    <w:rsid w:val="000A48F3"/>
    <w:rsid w:val="000A4E0A"/>
    <w:rsid w:val="000A6E51"/>
    <w:rsid w:val="000B16BA"/>
    <w:rsid w:val="000B26E8"/>
    <w:rsid w:val="000B30C8"/>
    <w:rsid w:val="000B3174"/>
    <w:rsid w:val="000B64AA"/>
    <w:rsid w:val="000C0243"/>
    <w:rsid w:val="000C34BD"/>
    <w:rsid w:val="000D0B03"/>
    <w:rsid w:val="000D2FB8"/>
    <w:rsid w:val="000D2FD3"/>
    <w:rsid w:val="000D5E09"/>
    <w:rsid w:val="000E16C6"/>
    <w:rsid w:val="000E2D08"/>
    <w:rsid w:val="000E35B8"/>
    <w:rsid w:val="000E5E5F"/>
    <w:rsid w:val="000E6D4C"/>
    <w:rsid w:val="000F1F43"/>
    <w:rsid w:val="000F3025"/>
    <w:rsid w:val="000F318E"/>
    <w:rsid w:val="00100A4E"/>
    <w:rsid w:val="00100C4B"/>
    <w:rsid w:val="001012B6"/>
    <w:rsid w:val="00101CC4"/>
    <w:rsid w:val="00101EE8"/>
    <w:rsid w:val="00105220"/>
    <w:rsid w:val="00111DD7"/>
    <w:rsid w:val="00112A23"/>
    <w:rsid w:val="00112D67"/>
    <w:rsid w:val="00130733"/>
    <w:rsid w:val="00131FFE"/>
    <w:rsid w:val="00132BF5"/>
    <w:rsid w:val="00135AB0"/>
    <w:rsid w:val="0013646A"/>
    <w:rsid w:val="001367C0"/>
    <w:rsid w:val="00142E01"/>
    <w:rsid w:val="00142E42"/>
    <w:rsid w:val="001437F9"/>
    <w:rsid w:val="00143B34"/>
    <w:rsid w:val="00144CF8"/>
    <w:rsid w:val="001451FA"/>
    <w:rsid w:val="00147B25"/>
    <w:rsid w:val="00156668"/>
    <w:rsid w:val="0016081C"/>
    <w:rsid w:val="0016096F"/>
    <w:rsid w:val="001610B6"/>
    <w:rsid w:val="00161939"/>
    <w:rsid w:val="00164BDE"/>
    <w:rsid w:val="00165A4A"/>
    <w:rsid w:val="0017212F"/>
    <w:rsid w:val="001733BB"/>
    <w:rsid w:val="001806C6"/>
    <w:rsid w:val="001844F4"/>
    <w:rsid w:val="00193484"/>
    <w:rsid w:val="00195562"/>
    <w:rsid w:val="001A0204"/>
    <w:rsid w:val="001A0652"/>
    <w:rsid w:val="001A528B"/>
    <w:rsid w:val="001B531B"/>
    <w:rsid w:val="001B686B"/>
    <w:rsid w:val="001C24A3"/>
    <w:rsid w:val="001C3623"/>
    <w:rsid w:val="001C3A55"/>
    <w:rsid w:val="001D0079"/>
    <w:rsid w:val="001D1D25"/>
    <w:rsid w:val="001D37E9"/>
    <w:rsid w:val="001D3B4D"/>
    <w:rsid w:val="001D5B3E"/>
    <w:rsid w:val="001D6041"/>
    <w:rsid w:val="001D6BE4"/>
    <w:rsid w:val="001E0708"/>
    <w:rsid w:val="001E122B"/>
    <w:rsid w:val="001E29CB"/>
    <w:rsid w:val="001E2E10"/>
    <w:rsid w:val="001E3A8C"/>
    <w:rsid w:val="001E6B3A"/>
    <w:rsid w:val="001F1AAC"/>
    <w:rsid w:val="001F21C4"/>
    <w:rsid w:val="001F3012"/>
    <w:rsid w:val="001F34AA"/>
    <w:rsid w:val="001F7894"/>
    <w:rsid w:val="002030ED"/>
    <w:rsid w:val="00203A2E"/>
    <w:rsid w:val="00206715"/>
    <w:rsid w:val="00213A66"/>
    <w:rsid w:val="0021760F"/>
    <w:rsid w:val="00222639"/>
    <w:rsid w:val="002233FB"/>
    <w:rsid w:val="00223C3F"/>
    <w:rsid w:val="00227FCC"/>
    <w:rsid w:val="0023070C"/>
    <w:rsid w:val="00230712"/>
    <w:rsid w:val="00230A73"/>
    <w:rsid w:val="002326EC"/>
    <w:rsid w:val="00232EFF"/>
    <w:rsid w:val="00237B33"/>
    <w:rsid w:val="002401EE"/>
    <w:rsid w:val="002435D3"/>
    <w:rsid w:val="00251B33"/>
    <w:rsid w:val="0025206A"/>
    <w:rsid w:val="00255AB7"/>
    <w:rsid w:val="00261CDC"/>
    <w:rsid w:val="0026291A"/>
    <w:rsid w:val="00264390"/>
    <w:rsid w:val="00265507"/>
    <w:rsid w:val="00270C53"/>
    <w:rsid w:val="00272112"/>
    <w:rsid w:val="002815EC"/>
    <w:rsid w:val="00283B7C"/>
    <w:rsid w:val="00284C78"/>
    <w:rsid w:val="00287039"/>
    <w:rsid w:val="00287312"/>
    <w:rsid w:val="0028789A"/>
    <w:rsid w:val="00291719"/>
    <w:rsid w:val="00292038"/>
    <w:rsid w:val="00292E86"/>
    <w:rsid w:val="0029389B"/>
    <w:rsid w:val="002942FE"/>
    <w:rsid w:val="00295107"/>
    <w:rsid w:val="002A0A5B"/>
    <w:rsid w:val="002A3ED4"/>
    <w:rsid w:val="002A4721"/>
    <w:rsid w:val="002A556F"/>
    <w:rsid w:val="002A5C58"/>
    <w:rsid w:val="002A7B4A"/>
    <w:rsid w:val="002B1259"/>
    <w:rsid w:val="002B1A2A"/>
    <w:rsid w:val="002B1BA9"/>
    <w:rsid w:val="002B1D5B"/>
    <w:rsid w:val="002B2D87"/>
    <w:rsid w:val="002B7607"/>
    <w:rsid w:val="002C1234"/>
    <w:rsid w:val="002C24BE"/>
    <w:rsid w:val="002D01FA"/>
    <w:rsid w:val="002D65C8"/>
    <w:rsid w:val="002D73A3"/>
    <w:rsid w:val="002D7B62"/>
    <w:rsid w:val="002D7E33"/>
    <w:rsid w:val="002E0271"/>
    <w:rsid w:val="002E07D5"/>
    <w:rsid w:val="002E6988"/>
    <w:rsid w:val="002F0030"/>
    <w:rsid w:val="002F0180"/>
    <w:rsid w:val="002F4545"/>
    <w:rsid w:val="002F5572"/>
    <w:rsid w:val="002F5766"/>
    <w:rsid w:val="002F7C0D"/>
    <w:rsid w:val="00300582"/>
    <w:rsid w:val="00300A09"/>
    <w:rsid w:val="00301D44"/>
    <w:rsid w:val="00302992"/>
    <w:rsid w:val="003055BA"/>
    <w:rsid w:val="003068A8"/>
    <w:rsid w:val="00306B07"/>
    <w:rsid w:val="0031532D"/>
    <w:rsid w:val="00315CF5"/>
    <w:rsid w:val="0032157A"/>
    <w:rsid w:val="00332142"/>
    <w:rsid w:val="00334A29"/>
    <w:rsid w:val="00342937"/>
    <w:rsid w:val="00344BC6"/>
    <w:rsid w:val="0035385B"/>
    <w:rsid w:val="00354B02"/>
    <w:rsid w:val="00355DA3"/>
    <w:rsid w:val="003563BE"/>
    <w:rsid w:val="00357BED"/>
    <w:rsid w:val="00357EFE"/>
    <w:rsid w:val="003600B1"/>
    <w:rsid w:val="003630F3"/>
    <w:rsid w:val="003633FF"/>
    <w:rsid w:val="003658E3"/>
    <w:rsid w:val="00366222"/>
    <w:rsid w:val="00377E81"/>
    <w:rsid w:val="0038181F"/>
    <w:rsid w:val="00382951"/>
    <w:rsid w:val="00382C7A"/>
    <w:rsid w:val="003854F9"/>
    <w:rsid w:val="00393A3C"/>
    <w:rsid w:val="00396B21"/>
    <w:rsid w:val="003A376D"/>
    <w:rsid w:val="003B537E"/>
    <w:rsid w:val="003C427C"/>
    <w:rsid w:val="003C5ED8"/>
    <w:rsid w:val="003C6B6F"/>
    <w:rsid w:val="003D0CBC"/>
    <w:rsid w:val="003D4435"/>
    <w:rsid w:val="003E24B8"/>
    <w:rsid w:val="003E372B"/>
    <w:rsid w:val="003E45D9"/>
    <w:rsid w:val="003E5CE1"/>
    <w:rsid w:val="003F2A85"/>
    <w:rsid w:val="003F5A50"/>
    <w:rsid w:val="003F6B14"/>
    <w:rsid w:val="004070A3"/>
    <w:rsid w:val="0041383F"/>
    <w:rsid w:val="004204CC"/>
    <w:rsid w:val="004214A2"/>
    <w:rsid w:val="00423E0B"/>
    <w:rsid w:val="00425378"/>
    <w:rsid w:val="004313AE"/>
    <w:rsid w:val="00431DD1"/>
    <w:rsid w:val="00440F32"/>
    <w:rsid w:val="0044235E"/>
    <w:rsid w:val="00442572"/>
    <w:rsid w:val="0044370F"/>
    <w:rsid w:val="00444A36"/>
    <w:rsid w:val="00444DC7"/>
    <w:rsid w:val="004474FC"/>
    <w:rsid w:val="00450D86"/>
    <w:rsid w:val="00451953"/>
    <w:rsid w:val="004527F6"/>
    <w:rsid w:val="004544F1"/>
    <w:rsid w:val="0045650B"/>
    <w:rsid w:val="00464182"/>
    <w:rsid w:val="00467053"/>
    <w:rsid w:val="00467A59"/>
    <w:rsid w:val="004705D3"/>
    <w:rsid w:val="00471A8A"/>
    <w:rsid w:val="004741B1"/>
    <w:rsid w:val="00474FEF"/>
    <w:rsid w:val="00481C74"/>
    <w:rsid w:val="00496465"/>
    <w:rsid w:val="004A1960"/>
    <w:rsid w:val="004A1C53"/>
    <w:rsid w:val="004A7092"/>
    <w:rsid w:val="004B0B07"/>
    <w:rsid w:val="004B0F77"/>
    <w:rsid w:val="004B25A2"/>
    <w:rsid w:val="004B5198"/>
    <w:rsid w:val="004B71CF"/>
    <w:rsid w:val="004C70F5"/>
    <w:rsid w:val="004C768C"/>
    <w:rsid w:val="004D7797"/>
    <w:rsid w:val="004E78AD"/>
    <w:rsid w:val="004E7E07"/>
    <w:rsid w:val="004F2FDD"/>
    <w:rsid w:val="004F33E6"/>
    <w:rsid w:val="004F642C"/>
    <w:rsid w:val="00500568"/>
    <w:rsid w:val="00500676"/>
    <w:rsid w:val="00504418"/>
    <w:rsid w:val="00512D8F"/>
    <w:rsid w:val="00513A16"/>
    <w:rsid w:val="00520102"/>
    <w:rsid w:val="00520528"/>
    <w:rsid w:val="0052161E"/>
    <w:rsid w:val="00523E29"/>
    <w:rsid w:val="0053020F"/>
    <w:rsid w:val="005313DD"/>
    <w:rsid w:val="00532E53"/>
    <w:rsid w:val="00536523"/>
    <w:rsid w:val="00541089"/>
    <w:rsid w:val="00543BEB"/>
    <w:rsid w:val="00547704"/>
    <w:rsid w:val="0055113B"/>
    <w:rsid w:val="005538CE"/>
    <w:rsid w:val="00553935"/>
    <w:rsid w:val="00554E53"/>
    <w:rsid w:val="00556780"/>
    <w:rsid w:val="00557170"/>
    <w:rsid w:val="00557D03"/>
    <w:rsid w:val="0056375B"/>
    <w:rsid w:val="00567E90"/>
    <w:rsid w:val="00570443"/>
    <w:rsid w:val="00570EF4"/>
    <w:rsid w:val="005723DA"/>
    <w:rsid w:val="00573E8A"/>
    <w:rsid w:val="00577E18"/>
    <w:rsid w:val="00581ABC"/>
    <w:rsid w:val="005830EA"/>
    <w:rsid w:val="005831DD"/>
    <w:rsid w:val="00584FB1"/>
    <w:rsid w:val="00585D56"/>
    <w:rsid w:val="005905D9"/>
    <w:rsid w:val="00590988"/>
    <w:rsid w:val="00594FC6"/>
    <w:rsid w:val="005A0275"/>
    <w:rsid w:val="005A4FF2"/>
    <w:rsid w:val="005A6C0E"/>
    <w:rsid w:val="005A703A"/>
    <w:rsid w:val="005B138F"/>
    <w:rsid w:val="005B29A6"/>
    <w:rsid w:val="005B4397"/>
    <w:rsid w:val="005C239E"/>
    <w:rsid w:val="005C2E4A"/>
    <w:rsid w:val="005C32AD"/>
    <w:rsid w:val="005C7869"/>
    <w:rsid w:val="005D31E2"/>
    <w:rsid w:val="005D66DC"/>
    <w:rsid w:val="005D7923"/>
    <w:rsid w:val="005E128F"/>
    <w:rsid w:val="005E41BB"/>
    <w:rsid w:val="005F4AB3"/>
    <w:rsid w:val="005F5137"/>
    <w:rsid w:val="005F6821"/>
    <w:rsid w:val="00601115"/>
    <w:rsid w:val="00602123"/>
    <w:rsid w:val="00602FDB"/>
    <w:rsid w:val="00605F87"/>
    <w:rsid w:val="00607A24"/>
    <w:rsid w:val="00611232"/>
    <w:rsid w:val="00611C03"/>
    <w:rsid w:val="006125FB"/>
    <w:rsid w:val="00612E94"/>
    <w:rsid w:val="00616815"/>
    <w:rsid w:val="00617E77"/>
    <w:rsid w:val="006203FC"/>
    <w:rsid w:val="00621C41"/>
    <w:rsid w:val="006242E7"/>
    <w:rsid w:val="0062607A"/>
    <w:rsid w:val="00633D1F"/>
    <w:rsid w:val="0064107F"/>
    <w:rsid w:val="0064146B"/>
    <w:rsid w:val="006414E6"/>
    <w:rsid w:val="0064164D"/>
    <w:rsid w:val="006416BC"/>
    <w:rsid w:val="00642E3E"/>
    <w:rsid w:val="006449EC"/>
    <w:rsid w:val="00650E6E"/>
    <w:rsid w:val="00654314"/>
    <w:rsid w:val="00654E06"/>
    <w:rsid w:val="0065767C"/>
    <w:rsid w:val="0066130E"/>
    <w:rsid w:val="0066405C"/>
    <w:rsid w:val="00664849"/>
    <w:rsid w:val="00664FD5"/>
    <w:rsid w:val="0066650B"/>
    <w:rsid w:val="006712BB"/>
    <w:rsid w:val="006722AD"/>
    <w:rsid w:val="006756EE"/>
    <w:rsid w:val="006849DA"/>
    <w:rsid w:val="00686019"/>
    <w:rsid w:val="0069128D"/>
    <w:rsid w:val="00692434"/>
    <w:rsid w:val="00693341"/>
    <w:rsid w:val="006937FD"/>
    <w:rsid w:val="00693AFE"/>
    <w:rsid w:val="00694EFB"/>
    <w:rsid w:val="00694F44"/>
    <w:rsid w:val="00696EFA"/>
    <w:rsid w:val="006974FD"/>
    <w:rsid w:val="006A2687"/>
    <w:rsid w:val="006A3A70"/>
    <w:rsid w:val="006A75C3"/>
    <w:rsid w:val="006B0423"/>
    <w:rsid w:val="006B3620"/>
    <w:rsid w:val="006B3BFE"/>
    <w:rsid w:val="006B5FF5"/>
    <w:rsid w:val="006B76F0"/>
    <w:rsid w:val="006C146A"/>
    <w:rsid w:val="006D08B5"/>
    <w:rsid w:val="006D319A"/>
    <w:rsid w:val="006D55E8"/>
    <w:rsid w:val="006E03EE"/>
    <w:rsid w:val="006E54C2"/>
    <w:rsid w:val="006E61E9"/>
    <w:rsid w:val="006E6857"/>
    <w:rsid w:val="006E6F3A"/>
    <w:rsid w:val="006F238B"/>
    <w:rsid w:val="006F2DDD"/>
    <w:rsid w:val="006F4462"/>
    <w:rsid w:val="006F5D77"/>
    <w:rsid w:val="00701DBE"/>
    <w:rsid w:val="00701F67"/>
    <w:rsid w:val="007039A3"/>
    <w:rsid w:val="00711015"/>
    <w:rsid w:val="00711F19"/>
    <w:rsid w:val="0071330A"/>
    <w:rsid w:val="00714B77"/>
    <w:rsid w:val="007244E5"/>
    <w:rsid w:val="0073247A"/>
    <w:rsid w:val="00732E58"/>
    <w:rsid w:val="007335B9"/>
    <w:rsid w:val="007337E2"/>
    <w:rsid w:val="007342C3"/>
    <w:rsid w:val="00736CCF"/>
    <w:rsid w:val="00740B08"/>
    <w:rsid w:val="00740C0C"/>
    <w:rsid w:val="00741A58"/>
    <w:rsid w:val="00742A4D"/>
    <w:rsid w:val="007463CD"/>
    <w:rsid w:val="0075105A"/>
    <w:rsid w:val="007518C2"/>
    <w:rsid w:val="0075595C"/>
    <w:rsid w:val="00757081"/>
    <w:rsid w:val="007654DC"/>
    <w:rsid w:val="00766F85"/>
    <w:rsid w:val="007676D4"/>
    <w:rsid w:val="00767F0F"/>
    <w:rsid w:val="00772577"/>
    <w:rsid w:val="00775BE1"/>
    <w:rsid w:val="00776D5A"/>
    <w:rsid w:val="0078541E"/>
    <w:rsid w:val="00786724"/>
    <w:rsid w:val="0078697F"/>
    <w:rsid w:val="0078740C"/>
    <w:rsid w:val="00791640"/>
    <w:rsid w:val="007A1EB6"/>
    <w:rsid w:val="007A24FC"/>
    <w:rsid w:val="007A333C"/>
    <w:rsid w:val="007A4035"/>
    <w:rsid w:val="007A49DC"/>
    <w:rsid w:val="007A5B87"/>
    <w:rsid w:val="007A5F05"/>
    <w:rsid w:val="007A7F24"/>
    <w:rsid w:val="007B1E85"/>
    <w:rsid w:val="007B2DDB"/>
    <w:rsid w:val="007B6AF0"/>
    <w:rsid w:val="007B6CA6"/>
    <w:rsid w:val="007C39A7"/>
    <w:rsid w:val="007C510B"/>
    <w:rsid w:val="007D7177"/>
    <w:rsid w:val="007D795C"/>
    <w:rsid w:val="007E0551"/>
    <w:rsid w:val="007E18A3"/>
    <w:rsid w:val="007E2AB3"/>
    <w:rsid w:val="007E5BD4"/>
    <w:rsid w:val="007F060C"/>
    <w:rsid w:val="007F4B4D"/>
    <w:rsid w:val="007F4CC1"/>
    <w:rsid w:val="007F745E"/>
    <w:rsid w:val="00800809"/>
    <w:rsid w:val="00804E2C"/>
    <w:rsid w:val="00811A30"/>
    <w:rsid w:val="008147DB"/>
    <w:rsid w:val="00815455"/>
    <w:rsid w:val="00815F4C"/>
    <w:rsid w:val="0081652F"/>
    <w:rsid w:val="008202F6"/>
    <w:rsid w:val="008209F9"/>
    <w:rsid w:val="00820CC3"/>
    <w:rsid w:val="00822E75"/>
    <w:rsid w:val="00823912"/>
    <w:rsid w:val="00823BC7"/>
    <w:rsid w:val="00825CA5"/>
    <w:rsid w:val="00826BFB"/>
    <w:rsid w:val="00830917"/>
    <w:rsid w:val="008337DC"/>
    <w:rsid w:val="00833AC8"/>
    <w:rsid w:val="00840714"/>
    <w:rsid w:val="0084186E"/>
    <w:rsid w:val="00844803"/>
    <w:rsid w:val="008454ED"/>
    <w:rsid w:val="0084557A"/>
    <w:rsid w:val="00845664"/>
    <w:rsid w:val="00845A71"/>
    <w:rsid w:val="008500B5"/>
    <w:rsid w:val="00853CAA"/>
    <w:rsid w:val="00855421"/>
    <w:rsid w:val="008571AA"/>
    <w:rsid w:val="00862A55"/>
    <w:rsid w:val="00862C5C"/>
    <w:rsid w:val="00864A70"/>
    <w:rsid w:val="00867C57"/>
    <w:rsid w:val="008700D4"/>
    <w:rsid w:val="0087126A"/>
    <w:rsid w:val="008758A2"/>
    <w:rsid w:val="00880031"/>
    <w:rsid w:val="00883A2E"/>
    <w:rsid w:val="00885455"/>
    <w:rsid w:val="008916A5"/>
    <w:rsid w:val="0089253B"/>
    <w:rsid w:val="008966B0"/>
    <w:rsid w:val="008A049A"/>
    <w:rsid w:val="008A2A7A"/>
    <w:rsid w:val="008A2CA7"/>
    <w:rsid w:val="008A7A45"/>
    <w:rsid w:val="008B3D11"/>
    <w:rsid w:val="008B5205"/>
    <w:rsid w:val="008C502A"/>
    <w:rsid w:val="008D4BCA"/>
    <w:rsid w:val="008F0576"/>
    <w:rsid w:val="008F676D"/>
    <w:rsid w:val="00900C66"/>
    <w:rsid w:val="009036FA"/>
    <w:rsid w:val="009039CA"/>
    <w:rsid w:val="00906C1D"/>
    <w:rsid w:val="009131F1"/>
    <w:rsid w:val="00914401"/>
    <w:rsid w:val="0092065F"/>
    <w:rsid w:val="00923217"/>
    <w:rsid w:val="009251A9"/>
    <w:rsid w:val="009258C3"/>
    <w:rsid w:val="00932731"/>
    <w:rsid w:val="00933EC3"/>
    <w:rsid w:val="00936112"/>
    <w:rsid w:val="00936B05"/>
    <w:rsid w:val="009414D0"/>
    <w:rsid w:val="00946FC5"/>
    <w:rsid w:val="0095107B"/>
    <w:rsid w:val="00951F44"/>
    <w:rsid w:val="00952557"/>
    <w:rsid w:val="00963F4D"/>
    <w:rsid w:val="00964351"/>
    <w:rsid w:val="0096475E"/>
    <w:rsid w:val="00971850"/>
    <w:rsid w:val="00974526"/>
    <w:rsid w:val="00977D1E"/>
    <w:rsid w:val="00980C99"/>
    <w:rsid w:val="00984128"/>
    <w:rsid w:val="00990FBB"/>
    <w:rsid w:val="009918D0"/>
    <w:rsid w:val="00993F96"/>
    <w:rsid w:val="009945BA"/>
    <w:rsid w:val="009A600C"/>
    <w:rsid w:val="009A78A1"/>
    <w:rsid w:val="009B03F4"/>
    <w:rsid w:val="009B57CB"/>
    <w:rsid w:val="009B75CB"/>
    <w:rsid w:val="009C49E2"/>
    <w:rsid w:val="009C58E8"/>
    <w:rsid w:val="009D0914"/>
    <w:rsid w:val="009D18E4"/>
    <w:rsid w:val="009D2317"/>
    <w:rsid w:val="009D2F3D"/>
    <w:rsid w:val="009D5B80"/>
    <w:rsid w:val="009D695F"/>
    <w:rsid w:val="009E5334"/>
    <w:rsid w:val="009F0530"/>
    <w:rsid w:val="009F19E3"/>
    <w:rsid w:val="009F3170"/>
    <w:rsid w:val="009F5E0A"/>
    <w:rsid w:val="00A0231D"/>
    <w:rsid w:val="00A04003"/>
    <w:rsid w:val="00A10091"/>
    <w:rsid w:val="00A13520"/>
    <w:rsid w:val="00A15C07"/>
    <w:rsid w:val="00A1741B"/>
    <w:rsid w:val="00A17592"/>
    <w:rsid w:val="00A20458"/>
    <w:rsid w:val="00A218EB"/>
    <w:rsid w:val="00A23692"/>
    <w:rsid w:val="00A25AB3"/>
    <w:rsid w:val="00A3063D"/>
    <w:rsid w:val="00A3078A"/>
    <w:rsid w:val="00A3162F"/>
    <w:rsid w:val="00A33131"/>
    <w:rsid w:val="00A36338"/>
    <w:rsid w:val="00A36B0D"/>
    <w:rsid w:val="00A36EB8"/>
    <w:rsid w:val="00A37375"/>
    <w:rsid w:val="00A41FEA"/>
    <w:rsid w:val="00A44D4F"/>
    <w:rsid w:val="00A45072"/>
    <w:rsid w:val="00A474C5"/>
    <w:rsid w:val="00A50C11"/>
    <w:rsid w:val="00A530F6"/>
    <w:rsid w:val="00A53F9A"/>
    <w:rsid w:val="00A55E20"/>
    <w:rsid w:val="00A57789"/>
    <w:rsid w:val="00A65224"/>
    <w:rsid w:val="00A66460"/>
    <w:rsid w:val="00A70C5F"/>
    <w:rsid w:val="00A7114C"/>
    <w:rsid w:val="00A731F8"/>
    <w:rsid w:val="00A744D5"/>
    <w:rsid w:val="00A75933"/>
    <w:rsid w:val="00A75CDE"/>
    <w:rsid w:val="00A76037"/>
    <w:rsid w:val="00A76A69"/>
    <w:rsid w:val="00A7716B"/>
    <w:rsid w:val="00A81C82"/>
    <w:rsid w:val="00A842C9"/>
    <w:rsid w:val="00A84653"/>
    <w:rsid w:val="00A85151"/>
    <w:rsid w:val="00A87905"/>
    <w:rsid w:val="00A91AAD"/>
    <w:rsid w:val="00A91DDB"/>
    <w:rsid w:val="00A93F5E"/>
    <w:rsid w:val="00AA2D33"/>
    <w:rsid w:val="00AA39EC"/>
    <w:rsid w:val="00AB224A"/>
    <w:rsid w:val="00AB22E2"/>
    <w:rsid w:val="00AB52E2"/>
    <w:rsid w:val="00AC3BDD"/>
    <w:rsid w:val="00AC4F32"/>
    <w:rsid w:val="00AD092F"/>
    <w:rsid w:val="00AD224E"/>
    <w:rsid w:val="00AD2E20"/>
    <w:rsid w:val="00AD3794"/>
    <w:rsid w:val="00AD3952"/>
    <w:rsid w:val="00AD6E2F"/>
    <w:rsid w:val="00AE0DF9"/>
    <w:rsid w:val="00AE124B"/>
    <w:rsid w:val="00AE1EC9"/>
    <w:rsid w:val="00AF1652"/>
    <w:rsid w:val="00AF2647"/>
    <w:rsid w:val="00AF42DC"/>
    <w:rsid w:val="00AF65DC"/>
    <w:rsid w:val="00AF70E1"/>
    <w:rsid w:val="00B00682"/>
    <w:rsid w:val="00B0070F"/>
    <w:rsid w:val="00B07E94"/>
    <w:rsid w:val="00B112CE"/>
    <w:rsid w:val="00B12F46"/>
    <w:rsid w:val="00B14E14"/>
    <w:rsid w:val="00B163C1"/>
    <w:rsid w:val="00B16A42"/>
    <w:rsid w:val="00B20521"/>
    <w:rsid w:val="00B25876"/>
    <w:rsid w:val="00B260DC"/>
    <w:rsid w:val="00B31037"/>
    <w:rsid w:val="00B3125D"/>
    <w:rsid w:val="00B313EB"/>
    <w:rsid w:val="00B325C3"/>
    <w:rsid w:val="00B32FEC"/>
    <w:rsid w:val="00B34AE0"/>
    <w:rsid w:val="00B34EA6"/>
    <w:rsid w:val="00B361A3"/>
    <w:rsid w:val="00B4324F"/>
    <w:rsid w:val="00B46F8A"/>
    <w:rsid w:val="00B47250"/>
    <w:rsid w:val="00B541A6"/>
    <w:rsid w:val="00B60573"/>
    <w:rsid w:val="00B60C08"/>
    <w:rsid w:val="00B625B0"/>
    <w:rsid w:val="00B63A75"/>
    <w:rsid w:val="00B64B40"/>
    <w:rsid w:val="00B662F0"/>
    <w:rsid w:val="00B663B0"/>
    <w:rsid w:val="00B73983"/>
    <w:rsid w:val="00B7472E"/>
    <w:rsid w:val="00B83261"/>
    <w:rsid w:val="00B83B72"/>
    <w:rsid w:val="00B85401"/>
    <w:rsid w:val="00B8725A"/>
    <w:rsid w:val="00B90C67"/>
    <w:rsid w:val="00B9295F"/>
    <w:rsid w:val="00B932F4"/>
    <w:rsid w:val="00B95739"/>
    <w:rsid w:val="00BA0217"/>
    <w:rsid w:val="00BA2204"/>
    <w:rsid w:val="00BA2389"/>
    <w:rsid w:val="00BA5428"/>
    <w:rsid w:val="00BA6145"/>
    <w:rsid w:val="00BA6F2B"/>
    <w:rsid w:val="00BA7174"/>
    <w:rsid w:val="00BA7605"/>
    <w:rsid w:val="00BB03E8"/>
    <w:rsid w:val="00BB2FE1"/>
    <w:rsid w:val="00BB3323"/>
    <w:rsid w:val="00BB40D8"/>
    <w:rsid w:val="00BB4750"/>
    <w:rsid w:val="00BC742C"/>
    <w:rsid w:val="00BD03E5"/>
    <w:rsid w:val="00BD0B3B"/>
    <w:rsid w:val="00BE398B"/>
    <w:rsid w:val="00BE59C4"/>
    <w:rsid w:val="00BE6962"/>
    <w:rsid w:val="00BE6A96"/>
    <w:rsid w:val="00BE75AD"/>
    <w:rsid w:val="00BE7BCD"/>
    <w:rsid w:val="00BF28BA"/>
    <w:rsid w:val="00BF2FCB"/>
    <w:rsid w:val="00BF39E4"/>
    <w:rsid w:val="00BF536C"/>
    <w:rsid w:val="00C02A4D"/>
    <w:rsid w:val="00C071D9"/>
    <w:rsid w:val="00C072F5"/>
    <w:rsid w:val="00C11707"/>
    <w:rsid w:val="00C17EBE"/>
    <w:rsid w:val="00C27CA7"/>
    <w:rsid w:val="00C306DE"/>
    <w:rsid w:val="00C327F1"/>
    <w:rsid w:val="00C3308C"/>
    <w:rsid w:val="00C336C9"/>
    <w:rsid w:val="00C34738"/>
    <w:rsid w:val="00C34C66"/>
    <w:rsid w:val="00C35D76"/>
    <w:rsid w:val="00C3608F"/>
    <w:rsid w:val="00C375E3"/>
    <w:rsid w:val="00C45335"/>
    <w:rsid w:val="00C462B6"/>
    <w:rsid w:val="00C524FB"/>
    <w:rsid w:val="00C60AFD"/>
    <w:rsid w:val="00C61CC4"/>
    <w:rsid w:val="00C7158D"/>
    <w:rsid w:val="00C7478F"/>
    <w:rsid w:val="00C775EE"/>
    <w:rsid w:val="00C77FB4"/>
    <w:rsid w:val="00C81CEA"/>
    <w:rsid w:val="00C81D6D"/>
    <w:rsid w:val="00C81DF5"/>
    <w:rsid w:val="00C84A70"/>
    <w:rsid w:val="00C9259F"/>
    <w:rsid w:val="00C95B07"/>
    <w:rsid w:val="00C96BDA"/>
    <w:rsid w:val="00CA08CB"/>
    <w:rsid w:val="00CA27A0"/>
    <w:rsid w:val="00CB1F82"/>
    <w:rsid w:val="00CB4898"/>
    <w:rsid w:val="00CB53DD"/>
    <w:rsid w:val="00CC0C40"/>
    <w:rsid w:val="00CC362B"/>
    <w:rsid w:val="00CC482D"/>
    <w:rsid w:val="00CC7340"/>
    <w:rsid w:val="00CD268A"/>
    <w:rsid w:val="00CD362B"/>
    <w:rsid w:val="00CE130D"/>
    <w:rsid w:val="00CE213C"/>
    <w:rsid w:val="00CE3EE8"/>
    <w:rsid w:val="00CE7A4D"/>
    <w:rsid w:val="00CF0EA6"/>
    <w:rsid w:val="00CF13C7"/>
    <w:rsid w:val="00CF42DA"/>
    <w:rsid w:val="00CF579E"/>
    <w:rsid w:val="00D00AAD"/>
    <w:rsid w:val="00D026F4"/>
    <w:rsid w:val="00D06E5B"/>
    <w:rsid w:val="00D10C66"/>
    <w:rsid w:val="00D12D91"/>
    <w:rsid w:val="00D15E99"/>
    <w:rsid w:val="00D21397"/>
    <w:rsid w:val="00D21CB7"/>
    <w:rsid w:val="00D26D02"/>
    <w:rsid w:val="00D30497"/>
    <w:rsid w:val="00D34517"/>
    <w:rsid w:val="00D36085"/>
    <w:rsid w:val="00D36671"/>
    <w:rsid w:val="00D40136"/>
    <w:rsid w:val="00D4104E"/>
    <w:rsid w:val="00D4766B"/>
    <w:rsid w:val="00D50544"/>
    <w:rsid w:val="00D51A5C"/>
    <w:rsid w:val="00D523B3"/>
    <w:rsid w:val="00D544F1"/>
    <w:rsid w:val="00D56089"/>
    <w:rsid w:val="00D71269"/>
    <w:rsid w:val="00D72C77"/>
    <w:rsid w:val="00D83371"/>
    <w:rsid w:val="00D83D95"/>
    <w:rsid w:val="00D86552"/>
    <w:rsid w:val="00D87073"/>
    <w:rsid w:val="00D961F4"/>
    <w:rsid w:val="00D96D64"/>
    <w:rsid w:val="00DA1EE1"/>
    <w:rsid w:val="00DA2A3F"/>
    <w:rsid w:val="00DA4C90"/>
    <w:rsid w:val="00DA5E1A"/>
    <w:rsid w:val="00DB0A50"/>
    <w:rsid w:val="00DB0FB1"/>
    <w:rsid w:val="00DB34BD"/>
    <w:rsid w:val="00DB3D60"/>
    <w:rsid w:val="00DB7E3D"/>
    <w:rsid w:val="00DC1D19"/>
    <w:rsid w:val="00DC38B0"/>
    <w:rsid w:val="00DC38C4"/>
    <w:rsid w:val="00DC70F4"/>
    <w:rsid w:val="00DD0017"/>
    <w:rsid w:val="00DD03B4"/>
    <w:rsid w:val="00DD45A6"/>
    <w:rsid w:val="00DE2079"/>
    <w:rsid w:val="00DE51CD"/>
    <w:rsid w:val="00DE7F7B"/>
    <w:rsid w:val="00DF0F95"/>
    <w:rsid w:val="00DF3A1B"/>
    <w:rsid w:val="00DF3AE5"/>
    <w:rsid w:val="00DF3B7E"/>
    <w:rsid w:val="00DF4554"/>
    <w:rsid w:val="00E01630"/>
    <w:rsid w:val="00E02968"/>
    <w:rsid w:val="00E06FAB"/>
    <w:rsid w:val="00E072C8"/>
    <w:rsid w:val="00E1293C"/>
    <w:rsid w:val="00E129BE"/>
    <w:rsid w:val="00E12E06"/>
    <w:rsid w:val="00E13F56"/>
    <w:rsid w:val="00E159B4"/>
    <w:rsid w:val="00E20567"/>
    <w:rsid w:val="00E2073A"/>
    <w:rsid w:val="00E24FC3"/>
    <w:rsid w:val="00E25BC4"/>
    <w:rsid w:val="00E3751B"/>
    <w:rsid w:val="00E37A43"/>
    <w:rsid w:val="00E40571"/>
    <w:rsid w:val="00E4135F"/>
    <w:rsid w:val="00E413D0"/>
    <w:rsid w:val="00E423F6"/>
    <w:rsid w:val="00E45D49"/>
    <w:rsid w:val="00E47BAF"/>
    <w:rsid w:val="00E47C5B"/>
    <w:rsid w:val="00E53430"/>
    <w:rsid w:val="00E5782C"/>
    <w:rsid w:val="00E57A4F"/>
    <w:rsid w:val="00E626B0"/>
    <w:rsid w:val="00E643FC"/>
    <w:rsid w:val="00E65250"/>
    <w:rsid w:val="00E65D50"/>
    <w:rsid w:val="00E676EE"/>
    <w:rsid w:val="00E707C2"/>
    <w:rsid w:val="00E72264"/>
    <w:rsid w:val="00E764EB"/>
    <w:rsid w:val="00E807D9"/>
    <w:rsid w:val="00E80CE8"/>
    <w:rsid w:val="00E936E0"/>
    <w:rsid w:val="00E95BE5"/>
    <w:rsid w:val="00EA0F0D"/>
    <w:rsid w:val="00EA3273"/>
    <w:rsid w:val="00EA3681"/>
    <w:rsid w:val="00EA6739"/>
    <w:rsid w:val="00EB61B1"/>
    <w:rsid w:val="00EC0646"/>
    <w:rsid w:val="00EC0697"/>
    <w:rsid w:val="00EC4D90"/>
    <w:rsid w:val="00EC6504"/>
    <w:rsid w:val="00EC75B4"/>
    <w:rsid w:val="00EE5B09"/>
    <w:rsid w:val="00EE627D"/>
    <w:rsid w:val="00EE6C3D"/>
    <w:rsid w:val="00EF15AE"/>
    <w:rsid w:val="00EF589B"/>
    <w:rsid w:val="00EF66E9"/>
    <w:rsid w:val="00F0001A"/>
    <w:rsid w:val="00F03BA5"/>
    <w:rsid w:val="00F04E68"/>
    <w:rsid w:val="00F06231"/>
    <w:rsid w:val="00F10EEA"/>
    <w:rsid w:val="00F113CD"/>
    <w:rsid w:val="00F11988"/>
    <w:rsid w:val="00F15B62"/>
    <w:rsid w:val="00F16750"/>
    <w:rsid w:val="00F22940"/>
    <w:rsid w:val="00F243E8"/>
    <w:rsid w:val="00F24453"/>
    <w:rsid w:val="00F246F5"/>
    <w:rsid w:val="00F24CAF"/>
    <w:rsid w:val="00F31554"/>
    <w:rsid w:val="00F322AD"/>
    <w:rsid w:val="00F33F5D"/>
    <w:rsid w:val="00F400D0"/>
    <w:rsid w:val="00F44072"/>
    <w:rsid w:val="00F46AA0"/>
    <w:rsid w:val="00F50848"/>
    <w:rsid w:val="00F508EE"/>
    <w:rsid w:val="00F516F5"/>
    <w:rsid w:val="00F53727"/>
    <w:rsid w:val="00F54E9A"/>
    <w:rsid w:val="00F63E82"/>
    <w:rsid w:val="00F648B8"/>
    <w:rsid w:val="00F72814"/>
    <w:rsid w:val="00F72B93"/>
    <w:rsid w:val="00F73E86"/>
    <w:rsid w:val="00F776E5"/>
    <w:rsid w:val="00F811B1"/>
    <w:rsid w:val="00F81DDC"/>
    <w:rsid w:val="00F843A6"/>
    <w:rsid w:val="00F84971"/>
    <w:rsid w:val="00F8525C"/>
    <w:rsid w:val="00F85EE8"/>
    <w:rsid w:val="00F87D48"/>
    <w:rsid w:val="00F93DD2"/>
    <w:rsid w:val="00F93E8A"/>
    <w:rsid w:val="00F945F1"/>
    <w:rsid w:val="00F953B2"/>
    <w:rsid w:val="00F957D2"/>
    <w:rsid w:val="00F9763E"/>
    <w:rsid w:val="00FB0982"/>
    <w:rsid w:val="00FB3981"/>
    <w:rsid w:val="00FB3EAF"/>
    <w:rsid w:val="00FC0D5B"/>
    <w:rsid w:val="00FC3BBF"/>
    <w:rsid w:val="00FC656E"/>
    <w:rsid w:val="00FD02BC"/>
    <w:rsid w:val="00FD0351"/>
    <w:rsid w:val="00FE037E"/>
    <w:rsid w:val="00FE2965"/>
    <w:rsid w:val="00FE5596"/>
    <w:rsid w:val="00FE6ED6"/>
    <w:rsid w:val="00FF1071"/>
    <w:rsid w:val="00FF2EE2"/>
    <w:rsid w:val="00FF35AA"/>
    <w:rsid w:val="00FF4F0E"/>
    <w:rsid w:val="00FF6926"/>
    <w:rsid w:val="00FF6E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05820"/>
  <w15:chartTrackingRefBased/>
  <w15:docId w15:val="{0F002B57-4E7A-4B11-9789-AD802B43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C40"/>
    <w:pPr>
      <w:spacing w:after="0" w:line="240"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uiPriority w:val="9"/>
    <w:qFormat/>
    <w:rsid w:val="00CC0C4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CC0C4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C0C40"/>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C0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C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C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C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C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C4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CC0C4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C0C40"/>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C0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C40"/>
    <w:rPr>
      <w:rFonts w:eastAsiaTheme="majorEastAsia" w:cstheme="majorBidi"/>
      <w:color w:val="272727" w:themeColor="text1" w:themeTint="D8"/>
    </w:rPr>
  </w:style>
  <w:style w:type="paragraph" w:styleId="Title">
    <w:name w:val="Title"/>
    <w:basedOn w:val="Normal"/>
    <w:next w:val="Normal"/>
    <w:link w:val="TitleChar"/>
    <w:uiPriority w:val="10"/>
    <w:qFormat/>
    <w:rsid w:val="00CC0C40"/>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C0C4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C0C4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C0C4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C0C40"/>
    <w:pPr>
      <w:spacing w:before="160"/>
      <w:jc w:val="center"/>
    </w:pPr>
    <w:rPr>
      <w:i/>
      <w:iCs/>
      <w:color w:val="404040" w:themeColor="text1" w:themeTint="BF"/>
    </w:rPr>
  </w:style>
  <w:style w:type="character" w:customStyle="1" w:styleId="QuoteChar">
    <w:name w:val="Quote Char"/>
    <w:basedOn w:val="DefaultParagraphFont"/>
    <w:link w:val="Quote"/>
    <w:uiPriority w:val="29"/>
    <w:rsid w:val="00CC0C40"/>
    <w:rPr>
      <w:i/>
      <w:iCs/>
      <w:color w:val="404040" w:themeColor="text1" w:themeTint="BF"/>
    </w:rPr>
  </w:style>
  <w:style w:type="paragraph" w:styleId="ListParagraph">
    <w:name w:val="List Paragraph"/>
    <w:basedOn w:val="Normal"/>
    <w:uiPriority w:val="34"/>
    <w:qFormat/>
    <w:rsid w:val="00CC0C40"/>
    <w:pPr>
      <w:ind w:left="720"/>
      <w:contextualSpacing/>
    </w:pPr>
  </w:style>
  <w:style w:type="character" w:styleId="IntenseEmphasis">
    <w:name w:val="Intense Emphasis"/>
    <w:basedOn w:val="DefaultParagraphFont"/>
    <w:uiPriority w:val="21"/>
    <w:qFormat/>
    <w:rsid w:val="00CC0C40"/>
    <w:rPr>
      <w:i/>
      <w:iCs/>
      <w:color w:val="0F4761" w:themeColor="accent1" w:themeShade="BF"/>
    </w:rPr>
  </w:style>
  <w:style w:type="paragraph" w:styleId="IntenseQuote">
    <w:name w:val="Intense Quote"/>
    <w:basedOn w:val="Normal"/>
    <w:next w:val="Normal"/>
    <w:link w:val="IntenseQuoteChar"/>
    <w:uiPriority w:val="30"/>
    <w:qFormat/>
    <w:rsid w:val="00CC0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C40"/>
    <w:rPr>
      <w:i/>
      <w:iCs/>
      <w:color w:val="0F4761" w:themeColor="accent1" w:themeShade="BF"/>
    </w:rPr>
  </w:style>
  <w:style w:type="character" w:styleId="IntenseReference">
    <w:name w:val="Intense Reference"/>
    <w:basedOn w:val="DefaultParagraphFont"/>
    <w:uiPriority w:val="32"/>
    <w:qFormat/>
    <w:rsid w:val="00CC0C40"/>
    <w:rPr>
      <w:b/>
      <w:bCs/>
      <w:smallCaps/>
      <w:color w:val="0F4761" w:themeColor="accent1" w:themeShade="BF"/>
      <w:spacing w:val="5"/>
    </w:rPr>
  </w:style>
  <w:style w:type="paragraph" w:styleId="Index1">
    <w:name w:val="index 1"/>
    <w:basedOn w:val="Normal"/>
    <w:next w:val="Normal"/>
    <w:autoRedefine/>
    <w:qFormat/>
    <w:rsid w:val="00CC0C40"/>
    <w:pPr>
      <w:ind w:left="240" w:hanging="240"/>
    </w:pPr>
    <w:rPr>
      <w:rFonts w:ascii="Times New Roman" w:eastAsia="Times New Roman" w:hAnsi="Times New Roman" w:cs="Times New Roman"/>
      <w:b/>
      <w:sz w:val="24"/>
      <w:szCs w:val="24"/>
    </w:rPr>
  </w:style>
  <w:style w:type="paragraph" w:styleId="FootnoteText">
    <w:name w:val="footnote text"/>
    <w:basedOn w:val="Normal"/>
    <w:link w:val="FootnoteTextChar"/>
    <w:uiPriority w:val="99"/>
    <w:unhideWhenUsed/>
    <w:rsid w:val="00CC0C40"/>
    <w:rPr>
      <w:sz w:val="20"/>
      <w:szCs w:val="20"/>
    </w:rPr>
  </w:style>
  <w:style w:type="character" w:customStyle="1" w:styleId="FootnoteTextChar">
    <w:name w:val="Footnote Text Char"/>
    <w:basedOn w:val="DefaultParagraphFont"/>
    <w:link w:val="FootnoteText"/>
    <w:uiPriority w:val="99"/>
    <w:rsid w:val="00CC0C40"/>
    <w:rPr>
      <w:rFonts w:eastAsiaTheme="minorHAnsi"/>
      <w:kern w:val="0"/>
      <w:sz w:val="20"/>
      <w:szCs w:val="20"/>
      <w:lang w:eastAsia="en-US" w:bidi="ar-SA"/>
      <w14:ligatures w14:val="none"/>
    </w:rPr>
  </w:style>
  <w:style w:type="character" w:styleId="FootnoteReference">
    <w:name w:val="footnote reference"/>
    <w:basedOn w:val="DefaultParagraphFont"/>
    <w:unhideWhenUsed/>
    <w:rsid w:val="00CC0C40"/>
    <w:rPr>
      <w:vertAlign w:val="superscript"/>
    </w:rPr>
  </w:style>
  <w:style w:type="paragraph" w:styleId="Footer">
    <w:name w:val="footer"/>
    <w:basedOn w:val="Normal"/>
    <w:link w:val="FooterChar"/>
    <w:uiPriority w:val="99"/>
    <w:unhideWhenUsed/>
    <w:rsid w:val="00CC0C40"/>
    <w:pPr>
      <w:tabs>
        <w:tab w:val="center" w:pos="4680"/>
        <w:tab w:val="right" w:pos="9360"/>
      </w:tabs>
    </w:pPr>
  </w:style>
  <w:style w:type="character" w:customStyle="1" w:styleId="FooterChar">
    <w:name w:val="Footer Char"/>
    <w:basedOn w:val="DefaultParagraphFont"/>
    <w:link w:val="Footer"/>
    <w:uiPriority w:val="99"/>
    <w:rsid w:val="00CC0C40"/>
    <w:rPr>
      <w:rFonts w:eastAsiaTheme="minorHAnsi"/>
      <w:kern w:val="0"/>
      <w:sz w:val="22"/>
      <w:szCs w:val="22"/>
      <w:lang w:eastAsia="en-US" w:bidi="ar-SA"/>
      <w14:ligatures w14:val="none"/>
    </w:rPr>
  </w:style>
  <w:style w:type="paragraph" w:styleId="NormalWeb">
    <w:name w:val="Normal (Web)"/>
    <w:basedOn w:val="Normal"/>
    <w:uiPriority w:val="99"/>
    <w:unhideWhenUsed/>
    <w:rsid w:val="00CC0C40"/>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0C40"/>
    <w:rPr>
      <w:color w:val="467886" w:themeColor="hyperlink"/>
      <w:u w:val="single"/>
    </w:rPr>
  </w:style>
  <w:style w:type="character" w:styleId="UnresolvedMention">
    <w:name w:val="Unresolved Mention"/>
    <w:basedOn w:val="DefaultParagraphFont"/>
    <w:uiPriority w:val="99"/>
    <w:semiHidden/>
    <w:unhideWhenUsed/>
    <w:rsid w:val="00CC0C40"/>
    <w:rPr>
      <w:color w:val="605E5C"/>
      <w:shd w:val="clear" w:color="auto" w:fill="E1DFDD"/>
    </w:rPr>
  </w:style>
  <w:style w:type="paragraph" w:styleId="Header">
    <w:name w:val="header"/>
    <w:basedOn w:val="Normal"/>
    <w:link w:val="HeaderChar"/>
    <w:uiPriority w:val="99"/>
    <w:unhideWhenUsed/>
    <w:rsid w:val="00CC0C40"/>
    <w:pPr>
      <w:tabs>
        <w:tab w:val="center" w:pos="4680"/>
        <w:tab w:val="right" w:pos="9360"/>
      </w:tabs>
    </w:pPr>
  </w:style>
  <w:style w:type="character" w:customStyle="1" w:styleId="HeaderChar">
    <w:name w:val="Header Char"/>
    <w:basedOn w:val="DefaultParagraphFont"/>
    <w:link w:val="Header"/>
    <w:uiPriority w:val="99"/>
    <w:rsid w:val="00CC0C40"/>
    <w:rPr>
      <w:rFonts w:eastAsiaTheme="minorHAnsi"/>
      <w:kern w:val="0"/>
      <w:sz w:val="22"/>
      <w:szCs w:val="22"/>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1.next.westlaw.com/Link/Document/FullText?findType=Y&amp;serNum=1986133831&amp;pubNum=0000708&amp;originatingDoc=Ib53eb62e07a011dcb035bac3a32ef289&amp;refType=RP&amp;originationContext=document&amp;transitionType=DocumentItem&amp;ppcid=2fce1817b5564e5d8c182dbd120371cc&amp;contextData=(sc.UserEnteredC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FABDE-F26C-4079-BFFC-74AC9235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3290</Words>
  <Characters>18757</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2025-09-15T13:22:00Z</dcterms:created>
  <dcterms:modified xsi:type="dcterms:W3CDTF">2025-09-15T13:22:00Z</dcterms:modified>
</cp:coreProperties>
</file>