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7F68" w14:textId="77777777" w:rsidR="00194306" w:rsidRPr="00FD4A9D" w:rsidRDefault="00194306" w:rsidP="00194306">
      <w:pPr>
        <w:jc w:val="center"/>
        <w:rPr>
          <w:rFonts w:ascii="Aptos" w:hAnsi="Aptos" w:cs="Times New Roman"/>
          <w:b/>
          <w:sz w:val="28"/>
          <w:szCs w:val="28"/>
        </w:rPr>
      </w:pPr>
      <w:r w:rsidRPr="00FD4A9D">
        <w:rPr>
          <w:rFonts w:ascii="Aptos" w:hAnsi="Aptos" w:cs="Times New Roman"/>
          <w:b/>
          <w:sz w:val="28"/>
          <w:szCs w:val="28"/>
        </w:rPr>
        <w:t>COMMONWEALTH OF MASSACHUSETTS</w:t>
      </w:r>
    </w:p>
    <w:p w14:paraId="469A9E3C" w14:textId="77777777" w:rsidR="00194306" w:rsidRPr="00FD4A9D" w:rsidRDefault="00194306" w:rsidP="00194306">
      <w:pPr>
        <w:jc w:val="center"/>
        <w:rPr>
          <w:rFonts w:ascii="Aptos" w:hAnsi="Aptos" w:cs="Times New Roman"/>
          <w:b/>
          <w:sz w:val="28"/>
          <w:szCs w:val="28"/>
        </w:rPr>
      </w:pPr>
      <w:r w:rsidRPr="00FD4A9D">
        <w:rPr>
          <w:rFonts w:ascii="Aptos" w:hAnsi="Aptos" w:cs="Times New Roman"/>
          <w:b/>
          <w:sz w:val="28"/>
          <w:szCs w:val="28"/>
        </w:rPr>
        <w:t>DIVISION OF ADMINISTRATIVE LAW APPEALS</w:t>
      </w:r>
    </w:p>
    <w:p w14:paraId="34B53B64" w14:textId="77777777" w:rsidR="00194306" w:rsidRPr="00FD4A9D" w:rsidRDefault="00194306" w:rsidP="00194306">
      <w:pPr>
        <w:jc w:val="center"/>
        <w:rPr>
          <w:rFonts w:ascii="Aptos" w:hAnsi="Aptos" w:cs="Times New Roman"/>
          <w:b/>
          <w:sz w:val="28"/>
          <w:szCs w:val="28"/>
        </w:rPr>
      </w:pPr>
      <w:r w:rsidRPr="00FD4A9D">
        <w:rPr>
          <w:rFonts w:ascii="Aptos" w:hAnsi="Aptos" w:cs="Times New Roman"/>
          <w:b/>
          <w:sz w:val="28"/>
          <w:szCs w:val="28"/>
        </w:rPr>
        <w:t>BUREAU OF SPECIAL EDUCATION APPEALS</w:t>
      </w:r>
    </w:p>
    <w:p w14:paraId="27B42BC5" w14:textId="75D4BB1D" w:rsidR="00194306" w:rsidRPr="00FD4A9D" w:rsidRDefault="00194306" w:rsidP="00194306">
      <w:pPr>
        <w:pStyle w:val="NormalWeb"/>
        <w:spacing w:after="0" w:afterAutospacing="0"/>
        <w:rPr>
          <w:rFonts w:ascii="Aptos" w:hAnsi="Aptos"/>
          <w:b/>
          <w:bCs/>
          <w:sz w:val="25"/>
          <w:szCs w:val="25"/>
        </w:rPr>
      </w:pPr>
      <w:r w:rsidRPr="00FD4A9D">
        <w:rPr>
          <w:rFonts w:ascii="Aptos" w:hAnsi="Aptos"/>
          <w:b/>
          <w:sz w:val="25"/>
          <w:szCs w:val="25"/>
        </w:rPr>
        <w:t>In Re</w:t>
      </w:r>
      <w:r w:rsidRPr="00FD4A9D">
        <w:rPr>
          <w:rFonts w:ascii="Aptos" w:hAnsi="Aptos"/>
          <w:sz w:val="25"/>
          <w:szCs w:val="25"/>
        </w:rPr>
        <w:t xml:space="preserve">:   </w:t>
      </w:r>
      <w:r>
        <w:rPr>
          <w:rFonts w:ascii="Aptos" w:hAnsi="Aptos"/>
          <w:b/>
          <w:bCs/>
          <w:sz w:val="25"/>
          <w:szCs w:val="25"/>
        </w:rPr>
        <w:t>Student and Winthrop Public Schools</w:t>
      </w:r>
      <w:r>
        <w:rPr>
          <w:rFonts w:ascii="Aptos" w:hAnsi="Aptos"/>
          <w:b/>
          <w:bCs/>
          <w:sz w:val="25"/>
          <w:szCs w:val="25"/>
        </w:rPr>
        <w:tab/>
      </w:r>
      <w:r>
        <w:rPr>
          <w:rFonts w:ascii="Aptos" w:hAnsi="Aptos"/>
          <w:b/>
          <w:bCs/>
          <w:sz w:val="25"/>
          <w:szCs w:val="25"/>
        </w:rPr>
        <w:tab/>
      </w:r>
      <w:r w:rsidRPr="00FD4A9D">
        <w:rPr>
          <w:rFonts w:ascii="Aptos" w:hAnsi="Aptos"/>
          <w:b/>
          <w:bCs/>
          <w:sz w:val="25"/>
          <w:szCs w:val="25"/>
        </w:rPr>
        <w:tab/>
        <w:t xml:space="preserve">                  BSEA #</w:t>
      </w:r>
      <w:r>
        <w:rPr>
          <w:rFonts w:ascii="Aptos" w:hAnsi="Aptos"/>
          <w:b/>
          <w:bCs/>
          <w:sz w:val="25"/>
          <w:szCs w:val="25"/>
        </w:rPr>
        <w:t>2604116</w:t>
      </w:r>
    </w:p>
    <w:p w14:paraId="45FFE022" w14:textId="77777777" w:rsidR="00194306" w:rsidRPr="00FD4A9D" w:rsidRDefault="00194306" w:rsidP="00194306">
      <w:pPr>
        <w:rPr>
          <w:rFonts w:ascii="Aptos" w:eastAsia="Times New Roman" w:hAnsi="Aptos" w:cs="Times New Roman"/>
          <w:b/>
          <w:color w:val="000000"/>
          <w:sz w:val="25"/>
          <w:szCs w:val="25"/>
          <w:u w:val="single"/>
        </w:rPr>
      </w:pPr>
    </w:p>
    <w:p w14:paraId="044661B4" w14:textId="6EBD48A9" w:rsidR="00194306" w:rsidRPr="00FD4A9D" w:rsidRDefault="00194306" w:rsidP="00194306">
      <w:pPr>
        <w:jc w:val="center"/>
        <w:rPr>
          <w:rFonts w:ascii="Aptos" w:eastAsia="Times New Roman" w:hAnsi="Aptos" w:cs="Times New Roman"/>
          <w:b/>
          <w:color w:val="000000"/>
          <w:sz w:val="25"/>
          <w:szCs w:val="25"/>
          <w:u w:val="single"/>
        </w:rPr>
      </w:pPr>
      <w:r>
        <w:rPr>
          <w:rFonts w:ascii="Aptos" w:eastAsia="Times New Roman" w:hAnsi="Aptos" w:cs="Times New Roman"/>
          <w:b/>
          <w:color w:val="000000"/>
          <w:sz w:val="25"/>
          <w:szCs w:val="25"/>
          <w:u w:val="single"/>
        </w:rPr>
        <w:t>RULING ON PARENTS’ OBJECTION TO POTENTIAL DISTRICT EXHIBIT</w:t>
      </w:r>
    </w:p>
    <w:p w14:paraId="1B1EF8B4" w14:textId="77777777" w:rsidR="00194306" w:rsidRPr="00FD4A9D" w:rsidRDefault="00194306" w:rsidP="00194306">
      <w:pPr>
        <w:rPr>
          <w:rFonts w:ascii="Aptos" w:hAnsi="Aptos" w:cs="Times New Roman"/>
          <w:sz w:val="25"/>
          <w:szCs w:val="25"/>
        </w:rPr>
      </w:pPr>
    </w:p>
    <w:p w14:paraId="0E37E1B8" w14:textId="0CF51B7F" w:rsidR="00194306" w:rsidRPr="002A01B1" w:rsidRDefault="00194306" w:rsidP="00194306">
      <w:pPr>
        <w:rPr>
          <w:rFonts w:ascii="Aptos" w:hAnsi="Aptos" w:cs="Times New Roman"/>
          <w:sz w:val="25"/>
          <w:szCs w:val="25"/>
        </w:rPr>
      </w:pPr>
      <w:r w:rsidRPr="00FD4A9D">
        <w:rPr>
          <w:rFonts w:ascii="Aptos" w:hAnsi="Aptos" w:cs="Times New Roman"/>
          <w:sz w:val="25"/>
          <w:szCs w:val="25"/>
        </w:rPr>
        <w:t xml:space="preserve">This matter comes before the Hearing Officer on </w:t>
      </w:r>
      <w:r>
        <w:rPr>
          <w:rFonts w:ascii="Aptos" w:hAnsi="Aptos" w:cs="Times New Roman"/>
          <w:sz w:val="25"/>
          <w:szCs w:val="25"/>
        </w:rPr>
        <w:t xml:space="preserve">Parents’ </w:t>
      </w:r>
      <w:r>
        <w:rPr>
          <w:rFonts w:ascii="Aptos" w:hAnsi="Aptos" w:cs="Times New Roman"/>
          <w:i/>
          <w:iCs/>
          <w:sz w:val="25"/>
          <w:szCs w:val="25"/>
        </w:rPr>
        <w:t xml:space="preserve">Objection to District Evidence and Request for No Weight </w:t>
      </w:r>
      <w:r>
        <w:rPr>
          <w:rFonts w:ascii="Aptos" w:hAnsi="Aptos" w:cs="Times New Roman"/>
          <w:sz w:val="25"/>
          <w:szCs w:val="25"/>
        </w:rPr>
        <w:t>(</w:t>
      </w:r>
      <w:r>
        <w:rPr>
          <w:rFonts w:ascii="Aptos" w:hAnsi="Aptos" w:cs="Times New Roman"/>
          <w:i/>
          <w:iCs/>
          <w:sz w:val="25"/>
          <w:szCs w:val="25"/>
        </w:rPr>
        <w:t>Parents’ Objection</w:t>
      </w:r>
      <w:r>
        <w:rPr>
          <w:rFonts w:ascii="Aptos" w:hAnsi="Aptos" w:cs="Times New Roman"/>
          <w:sz w:val="25"/>
          <w:szCs w:val="25"/>
        </w:rPr>
        <w:t xml:space="preserve">) filed with the </w:t>
      </w:r>
      <w:r w:rsidR="003B7401">
        <w:rPr>
          <w:rFonts w:ascii="Aptos" w:hAnsi="Aptos" w:cs="Times New Roman"/>
          <w:sz w:val="25"/>
          <w:szCs w:val="25"/>
        </w:rPr>
        <w:t>Bureau of Special Education Appeals (</w:t>
      </w:r>
      <w:r>
        <w:rPr>
          <w:rFonts w:ascii="Aptos" w:hAnsi="Aptos" w:cs="Times New Roman"/>
          <w:sz w:val="25"/>
          <w:szCs w:val="25"/>
        </w:rPr>
        <w:t>BSEA</w:t>
      </w:r>
      <w:r w:rsidR="003B7401">
        <w:rPr>
          <w:rFonts w:ascii="Aptos" w:hAnsi="Aptos" w:cs="Times New Roman"/>
          <w:sz w:val="25"/>
          <w:szCs w:val="25"/>
        </w:rPr>
        <w:t>)</w:t>
      </w:r>
      <w:r>
        <w:rPr>
          <w:rFonts w:ascii="Aptos" w:hAnsi="Aptos" w:cs="Times New Roman"/>
          <w:sz w:val="25"/>
          <w:szCs w:val="25"/>
        </w:rPr>
        <w:t xml:space="preserve"> on November 20, 2025</w:t>
      </w:r>
      <w:r>
        <w:rPr>
          <w:rStyle w:val="FootnoteReference"/>
          <w:rFonts w:ascii="Aptos" w:hAnsi="Aptos" w:cs="Times New Roman"/>
          <w:sz w:val="25"/>
          <w:szCs w:val="25"/>
        </w:rPr>
        <w:footnoteReference w:id="1"/>
      </w:r>
      <w:r>
        <w:rPr>
          <w:rFonts w:ascii="Aptos" w:hAnsi="Aptos" w:cs="Times New Roman"/>
          <w:sz w:val="25"/>
          <w:szCs w:val="25"/>
        </w:rPr>
        <w:t xml:space="preserve">. </w:t>
      </w:r>
      <w:r w:rsidR="00160D9C">
        <w:rPr>
          <w:rFonts w:ascii="Aptos" w:hAnsi="Aptos" w:cs="Times New Roman"/>
          <w:sz w:val="25"/>
          <w:szCs w:val="25"/>
        </w:rPr>
        <w:t xml:space="preserve"> </w:t>
      </w:r>
      <w:r>
        <w:rPr>
          <w:rFonts w:ascii="Aptos" w:hAnsi="Aptos" w:cs="Times New Roman"/>
          <w:sz w:val="25"/>
          <w:szCs w:val="25"/>
        </w:rPr>
        <w:t xml:space="preserve">Specifically, Parents seek to restrict an email chain between </w:t>
      </w:r>
      <w:r w:rsidR="00FC3443">
        <w:rPr>
          <w:rFonts w:ascii="Aptos" w:hAnsi="Aptos" w:cs="Times New Roman"/>
          <w:sz w:val="25"/>
          <w:szCs w:val="25"/>
        </w:rPr>
        <w:t>Winthrop Public Schools (</w:t>
      </w:r>
      <w:r>
        <w:rPr>
          <w:rFonts w:ascii="Aptos" w:hAnsi="Aptos" w:cs="Times New Roman"/>
          <w:sz w:val="25"/>
          <w:szCs w:val="25"/>
        </w:rPr>
        <w:t>District</w:t>
      </w:r>
      <w:r w:rsidR="00FC3443">
        <w:rPr>
          <w:rFonts w:ascii="Aptos" w:hAnsi="Aptos" w:cs="Times New Roman"/>
          <w:sz w:val="25"/>
          <w:szCs w:val="25"/>
        </w:rPr>
        <w:t>)</w:t>
      </w:r>
      <w:r>
        <w:rPr>
          <w:rFonts w:ascii="Aptos" w:hAnsi="Aptos" w:cs="Times New Roman"/>
          <w:sz w:val="25"/>
          <w:szCs w:val="25"/>
        </w:rPr>
        <w:t xml:space="preserve"> </w:t>
      </w:r>
      <w:r w:rsidR="003B7401">
        <w:rPr>
          <w:rFonts w:ascii="Aptos" w:hAnsi="Aptos" w:cs="Times New Roman"/>
          <w:sz w:val="25"/>
          <w:szCs w:val="25"/>
        </w:rPr>
        <w:t>and</w:t>
      </w:r>
      <w:r>
        <w:rPr>
          <w:rFonts w:ascii="Aptos" w:hAnsi="Aptos" w:cs="Times New Roman"/>
          <w:sz w:val="25"/>
          <w:szCs w:val="25"/>
        </w:rPr>
        <w:t xml:space="preserve"> the Problem Resolution System (PRS) of the Department of Elementary and Secondary Education (DESE) (</w:t>
      </w:r>
      <w:r w:rsidR="00617A6E">
        <w:rPr>
          <w:rFonts w:ascii="Aptos" w:hAnsi="Aptos" w:cs="Times New Roman"/>
          <w:sz w:val="25"/>
          <w:szCs w:val="25"/>
        </w:rPr>
        <w:t xml:space="preserve">that the District </w:t>
      </w:r>
      <w:r>
        <w:rPr>
          <w:rFonts w:ascii="Aptos" w:hAnsi="Aptos" w:cs="Times New Roman"/>
          <w:sz w:val="25"/>
          <w:szCs w:val="25"/>
        </w:rPr>
        <w:t xml:space="preserve">shared with Parents at their request on November 19, 2025) from </w:t>
      </w:r>
      <w:r w:rsidR="009F4747">
        <w:rPr>
          <w:rFonts w:ascii="Aptos" w:hAnsi="Aptos" w:cs="Times New Roman"/>
          <w:sz w:val="25"/>
          <w:szCs w:val="25"/>
        </w:rPr>
        <w:t xml:space="preserve">admission </w:t>
      </w:r>
      <w:r>
        <w:rPr>
          <w:rFonts w:ascii="Aptos" w:hAnsi="Aptos" w:cs="Times New Roman"/>
          <w:sz w:val="25"/>
          <w:szCs w:val="25"/>
        </w:rPr>
        <w:t xml:space="preserve">as an exhibit at </w:t>
      </w:r>
      <w:r w:rsidR="002E05D7">
        <w:rPr>
          <w:rFonts w:ascii="Aptos" w:hAnsi="Aptos" w:cs="Times New Roman"/>
          <w:sz w:val="25"/>
          <w:szCs w:val="25"/>
        </w:rPr>
        <w:t xml:space="preserve">the </w:t>
      </w:r>
      <w:r>
        <w:rPr>
          <w:rFonts w:ascii="Aptos" w:hAnsi="Aptos" w:cs="Times New Roman"/>
          <w:sz w:val="25"/>
          <w:szCs w:val="25"/>
        </w:rPr>
        <w:t xml:space="preserve">Hearing currently scheduled for January 26 and 27, 2026.  </w:t>
      </w:r>
      <w:r w:rsidR="00B4623E">
        <w:rPr>
          <w:rFonts w:ascii="Aptos" w:hAnsi="Aptos" w:cs="Times New Roman"/>
          <w:sz w:val="25"/>
          <w:szCs w:val="25"/>
        </w:rPr>
        <w:t>On November 28, 2025, t</w:t>
      </w:r>
      <w:r>
        <w:rPr>
          <w:rFonts w:ascii="Aptos" w:hAnsi="Aptos" w:cs="Times New Roman"/>
          <w:sz w:val="25"/>
          <w:szCs w:val="25"/>
        </w:rPr>
        <w:t>he District submitted a</w:t>
      </w:r>
      <w:r w:rsidR="009F4747">
        <w:rPr>
          <w:rFonts w:ascii="Aptos" w:hAnsi="Aptos" w:cs="Times New Roman"/>
          <w:sz w:val="25"/>
          <w:szCs w:val="25"/>
        </w:rPr>
        <w:t>n</w:t>
      </w:r>
      <w:r>
        <w:rPr>
          <w:rFonts w:ascii="Aptos" w:hAnsi="Aptos" w:cs="Times New Roman"/>
          <w:sz w:val="25"/>
          <w:szCs w:val="25"/>
        </w:rPr>
        <w:t xml:space="preserve"> opposition (</w:t>
      </w:r>
      <w:r>
        <w:rPr>
          <w:rFonts w:ascii="Aptos" w:hAnsi="Aptos" w:cs="Times New Roman"/>
          <w:i/>
          <w:iCs/>
          <w:sz w:val="25"/>
          <w:szCs w:val="25"/>
        </w:rPr>
        <w:t>District Opposition</w:t>
      </w:r>
      <w:r>
        <w:rPr>
          <w:rFonts w:ascii="Aptos" w:hAnsi="Aptos" w:cs="Times New Roman"/>
          <w:sz w:val="25"/>
          <w:szCs w:val="25"/>
        </w:rPr>
        <w:t xml:space="preserve">) </w:t>
      </w:r>
      <w:r w:rsidR="009F4747">
        <w:rPr>
          <w:rFonts w:ascii="Aptos" w:hAnsi="Aptos" w:cs="Times New Roman"/>
          <w:sz w:val="25"/>
          <w:szCs w:val="25"/>
        </w:rPr>
        <w:t xml:space="preserve">and on the same date, </w:t>
      </w:r>
      <w:r>
        <w:rPr>
          <w:rFonts w:ascii="Aptos" w:hAnsi="Aptos" w:cs="Times New Roman"/>
          <w:sz w:val="25"/>
          <w:szCs w:val="25"/>
        </w:rPr>
        <w:t xml:space="preserve">Parents replied via a filing entitled </w:t>
      </w:r>
      <w:r w:rsidR="002E05D7">
        <w:rPr>
          <w:rFonts w:ascii="Aptos" w:hAnsi="Aptos" w:cs="Times New Roman"/>
          <w:sz w:val="25"/>
          <w:szCs w:val="25"/>
        </w:rPr>
        <w:t>“</w:t>
      </w:r>
      <w:r>
        <w:rPr>
          <w:rFonts w:ascii="Aptos" w:hAnsi="Aptos" w:cs="Times New Roman"/>
          <w:i/>
          <w:iCs/>
          <w:sz w:val="25"/>
          <w:szCs w:val="25"/>
        </w:rPr>
        <w:t>Parent</w:t>
      </w:r>
      <w:r w:rsidR="00B4623E">
        <w:rPr>
          <w:rFonts w:ascii="Aptos" w:hAnsi="Aptos" w:cs="Times New Roman"/>
          <w:i/>
          <w:iCs/>
          <w:sz w:val="25"/>
          <w:szCs w:val="25"/>
        </w:rPr>
        <w:t>[s’]</w:t>
      </w:r>
      <w:r>
        <w:rPr>
          <w:rFonts w:ascii="Aptos" w:hAnsi="Aptos" w:cs="Times New Roman"/>
          <w:i/>
          <w:iCs/>
          <w:sz w:val="25"/>
          <w:szCs w:val="25"/>
        </w:rPr>
        <w:t xml:space="preserve"> Response in Opposition</w:t>
      </w:r>
      <w:r w:rsidR="002E05D7">
        <w:rPr>
          <w:rFonts w:ascii="Aptos" w:hAnsi="Aptos" w:cs="Times New Roman"/>
          <w:sz w:val="25"/>
          <w:szCs w:val="25"/>
        </w:rPr>
        <w:t>”</w:t>
      </w:r>
      <w:r>
        <w:rPr>
          <w:rFonts w:ascii="Aptos" w:hAnsi="Aptos" w:cs="Times New Roman"/>
          <w:i/>
          <w:iCs/>
          <w:sz w:val="25"/>
          <w:szCs w:val="25"/>
        </w:rPr>
        <w:t xml:space="preserve"> </w:t>
      </w:r>
      <w:r>
        <w:rPr>
          <w:rFonts w:ascii="Aptos" w:hAnsi="Aptos" w:cs="Times New Roman"/>
          <w:sz w:val="25"/>
          <w:szCs w:val="25"/>
        </w:rPr>
        <w:t>(</w:t>
      </w:r>
      <w:r>
        <w:rPr>
          <w:rFonts w:ascii="Aptos" w:hAnsi="Aptos" w:cs="Times New Roman"/>
          <w:i/>
          <w:iCs/>
          <w:sz w:val="25"/>
          <w:szCs w:val="25"/>
        </w:rPr>
        <w:t>Parents’ Reply</w:t>
      </w:r>
      <w:r>
        <w:rPr>
          <w:rFonts w:ascii="Aptos" w:hAnsi="Aptos" w:cs="Times New Roman"/>
          <w:sz w:val="25"/>
          <w:szCs w:val="25"/>
        </w:rPr>
        <w:t xml:space="preserve">).  </w:t>
      </w:r>
      <w:r w:rsidRPr="00194306">
        <w:rPr>
          <w:rFonts w:ascii="Aptos" w:hAnsi="Aptos" w:cs="Times New Roman"/>
          <w:sz w:val="25"/>
          <w:szCs w:val="25"/>
        </w:rPr>
        <w:t xml:space="preserve">As neither testimony nor oral argument would advance the Hearing Officer's understanding of the issues involved, this Ruling is issued without a hearing pursuant to </w:t>
      </w:r>
      <w:r w:rsidRPr="00194306">
        <w:rPr>
          <w:rFonts w:ascii="Aptos" w:hAnsi="Aptos" w:cs="Times New Roman"/>
          <w:i/>
          <w:iCs/>
          <w:sz w:val="25"/>
          <w:szCs w:val="25"/>
        </w:rPr>
        <w:t xml:space="preserve">Hearing Rules for Special Education Appeals </w:t>
      </w:r>
      <w:r w:rsidRPr="00194306">
        <w:rPr>
          <w:rFonts w:ascii="Aptos" w:hAnsi="Aptos" w:cs="Times New Roman"/>
          <w:sz w:val="25"/>
          <w:szCs w:val="25"/>
        </w:rPr>
        <w:t>(</w:t>
      </w:r>
      <w:r w:rsidRPr="00194306">
        <w:rPr>
          <w:rFonts w:ascii="Aptos" w:hAnsi="Aptos" w:cs="Times New Roman"/>
          <w:i/>
          <w:iCs/>
          <w:sz w:val="25"/>
          <w:szCs w:val="25"/>
        </w:rPr>
        <w:t>Hearing Rules</w:t>
      </w:r>
      <w:r w:rsidRPr="00194306">
        <w:rPr>
          <w:rFonts w:ascii="Aptos" w:hAnsi="Aptos" w:cs="Times New Roman"/>
          <w:sz w:val="25"/>
          <w:szCs w:val="25"/>
        </w:rPr>
        <w:t>)</w:t>
      </w:r>
      <w:r w:rsidRPr="00194306">
        <w:rPr>
          <w:rFonts w:ascii="Aptos" w:hAnsi="Aptos" w:cs="Times New Roman"/>
          <w:i/>
          <w:iCs/>
          <w:sz w:val="25"/>
          <w:szCs w:val="25"/>
        </w:rPr>
        <w:t xml:space="preserve"> </w:t>
      </w:r>
      <w:r w:rsidRPr="00194306">
        <w:rPr>
          <w:rFonts w:ascii="Aptos" w:hAnsi="Aptos" w:cs="Times New Roman"/>
          <w:sz w:val="25"/>
          <w:szCs w:val="25"/>
        </w:rPr>
        <w:t xml:space="preserve">Rule VII(D).  </w:t>
      </w:r>
    </w:p>
    <w:p w14:paraId="10DAF888" w14:textId="77777777" w:rsidR="00194306" w:rsidRPr="00FD4A9D" w:rsidRDefault="00194306" w:rsidP="00194306">
      <w:pPr>
        <w:rPr>
          <w:rFonts w:ascii="Aptos" w:hAnsi="Aptos" w:cs="Times New Roman"/>
          <w:sz w:val="25"/>
          <w:szCs w:val="25"/>
        </w:rPr>
      </w:pPr>
    </w:p>
    <w:p w14:paraId="3B7D4516" w14:textId="3F1BFA0C" w:rsidR="00194306" w:rsidRDefault="00194306" w:rsidP="00194306">
      <w:pPr>
        <w:rPr>
          <w:rFonts w:ascii="Aptos" w:hAnsi="Aptos" w:cs="Times New Roman"/>
          <w:sz w:val="25"/>
          <w:szCs w:val="25"/>
        </w:rPr>
      </w:pPr>
      <w:r w:rsidRPr="00FD4A9D">
        <w:rPr>
          <w:rFonts w:ascii="Aptos" w:hAnsi="Aptos" w:cs="Times New Roman"/>
          <w:sz w:val="25"/>
          <w:szCs w:val="25"/>
        </w:rPr>
        <w:t xml:space="preserve">For the reasons articulated below, </w:t>
      </w:r>
      <w:r>
        <w:rPr>
          <w:rFonts w:ascii="Aptos" w:hAnsi="Aptos" w:cs="Times New Roman"/>
          <w:i/>
          <w:iCs/>
          <w:sz w:val="25"/>
          <w:szCs w:val="25"/>
        </w:rPr>
        <w:t xml:space="preserve">Parents’ Objection </w:t>
      </w:r>
      <w:r>
        <w:rPr>
          <w:rFonts w:ascii="Aptos" w:hAnsi="Aptos" w:cs="Times New Roman"/>
          <w:sz w:val="25"/>
          <w:szCs w:val="25"/>
        </w:rPr>
        <w:t xml:space="preserve">is </w:t>
      </w:r>
      <w:r>
        <w:rPr>
          <w:rFonts w:ascii="Aptos" w:hAnsi="Aptos" w:cs="Times New Roman"/>
          <w:b/>
          <w:bCs/>
          <w:sz w:val="25"/>
          <w:szCs w:val="25"/>
        </w:rPr>
        <w:t>DENIED</w:t>
      </w:r>
      <w:r>
        <w:rPr>
          <w:rFonts w:ascii="Aptos" w:hAnsi="Aptos" w:cs="Times New Roman"/>
          <w:sz w:val="25"/>
          <w:szCs w:val="25"/>
        </w:rPr>
        <w:t xml:space="preserve">.  </w:t>
      </w:r>
    </w:p>
    <w:p w14:paraId="4FD02200" w14:textId="77777777" w:rsidR="00194306" w:rsidRPr="00E618E1" w:rsidRDefault="00194306" w:rsidP="00194306">
      <w:pPr>
        <w:rPr>
          <w:rFonts w:ascii="Aptos" w:hAnsi="Aptos" w:cs="Times New Roman"/>
          <w:sz w:val="25"/>
          <w:szCs w:val="25"/>
        </w:rPr>
      </w:pPr>
    </w:p>
    <w:p w14:paraId="7EB53F00" w14:textId="02778A34" w:rsidR="00194306" w:rsidRPr="009D16D4" w:rsidRDefault="00194306" w:rsidP="00194306">
      <w:pPr>
        <w:pStyle w:val="Heading1"/>
        <w:spacing w:before="0" w:after="0"/>
        <w:rPr>
          <w:b/>
          <w:bCs/>
          <w:sz w:val="25"/>
          <w:szCs w:val="25"/>
        </w:rPr>
      </w:pPr>
      <w:r>
        <w:rPr>
          <w:b/>
          <w:bCs/>
          <w:sz w:val="25"/>
          <w:szCs w:val="25"/>
        </w:rPr>
        <w:t>RELEVANT PROCEDURAL HISTORY AND POSITIONS OF THE PARTIES</w:t>
      </w:r>
    </w:p>
    <w:p w14:paraId="0A3EDD83" w14:textId="77777777" w:rsidR="00194306" w:rsidRDefault="00194306" w:rsidP="00194306">
      <w:pPr>
        <w:rPr>
          <w:rFonts w:ascii="Aptos" w:hAnsi="Aptos" w:cs="Times New Roman"/>
          <w:b/>
          <w:bCs/>
          <w:sz w:val="25"/>
          <w:szCs w:val="25"/>
        </w:rPr>
      </w:pPr>
    </w:p>
    <w:p w14:paraId="7876F0F8" w14:textId="23405EC5" w:rsidR="00475BBF" w:rsidRDefault="00475BBF" w:rsidP="00194306">
      <w:pPr>
        <w:rPr>
          <w:rFonts w:ascii="Aptos" w:hAnsi="Aptos" w:cs="Times New Roman"/>
          <w:sz w:val="25"/>
          <w:szCs w:val="25"/>
        </w:rPr>
      </w:pPr>
      <w:r>
        <w:rPr>
          <w:rFonts w:ascii="Aptos" w:hAnsi="Aptos" w:cs="Times New Roman"/>
          <w:sz w:val="25"/>
          <w:szCs w:val="25"/>
        </w:rPr>
        <w:t xml:space="preserve">On October 8, 2025, </w:t>
      </w:r>
      <w:r w:rsidR="00194306">
        <w:rPr>
          <w:rFonts w:ascii="Aptos" w:hAnsi="Aptos" w:cs="Times New Roman"/>
          <w:sz w:val="25"/>
          <w:szCs w:val="25"/>
        </w:rPr>
        <w:t xml:space="preserve">Parents filed a </w:t>
      </w:r>
      <w:r w:rsidR="00194306">
        <w:rPr>
          <w:rFonts w:ascii="Aptos" w:hAnsi="Aptos" w:cs="Times New Roman"/>
          <w:i/>
          <w:iCs/>
          <w:sz w:val="25"/>
          <w:szCs w:val="25"/>
        </w:rPr>
        <w:t xml:space="preserve">Hearing Request </w:t>
      </w:r>
      <w:r>
        <w:rPr>
          <w:rFonts w:ascii="Aptos" w:hAnsi="Aptos" w:cs="Times New Roman"/>
          <w:sz w:val="25"/>
          <w:szCs w:val="25"/>
        </w:rPr>
        <w:t xml:space="preserve">in the instant matter which was initially scheduled for a Hearing on November 12, 2025 before Hearing Officer Amy Reichbach.  </w:t>
      </w:r>
      <w:r w:rsidR="00B4623E">
        <w:rPr>
          <w:rFonts w:ascii="Aptos" w:hAnsi="Aptos" w:cs="Times New Roman"/>
          <w:sz w:val="25"/>
          <w:szCs w:val="25"/>
        </w:rPr>
        <w:t>On November 3, 2025, t</w:t>
      </w:r>
      <w:r>
        <w:rPr>
          <w:rFonts w:ascii="Aptos" w:hAnsi="Aptos" w:cs="Times New Roman"/>
          <w:sz w:val="25"/>
          <w:szCs w:val="25"/>
        </w:rPr>
        <w:t xml:space="preserve">he matter was administratively reassigned to the underlying Hearing Officer.  The Parties worked diligently </w:t>
      </w:r>
      <w:r w:rsidR="00B4623E">
        <w:rPr>
          <w:rFonts w:ascii="Aptos" w:hAnsi="Aptos" w:cs="Times New Roman"/>
          <w:sz w:val="25"/>
          <w:szCs w:val="25"/>
        </w:rPr>
        <w:t>to clarify the issues for hearing and resolve the matter</w:t>
      </w:r>
      <w:r>
        <w:rPr>
          <w:rFonts w:ascii="Aptos" w:hAnsi="Aptos" w:cs="Times New Roman"/>
          <w:sz w:val="25"/>
          <w:szCs w:val="25"/>
        </w:rPr>
        <w:t xml:space="preserve">, engaging in several pre-hearing Conference Calls resulting in multiple pre-hearing Orders, including a </w:t>
      </w:r>
      <w:r>
        <w:rPr>
          <w:rFonts w:ascii="Aptos" w:hAnsi="Aptos" w:cs="Times New Roman"/>
          <w:i/>
          <w:iCs/>
          <w:sz w:val="25"/>
          <w:szCs w:val="25"/>
        </w:rPr>
        <w:t>Ruling on Joint Request to Postpone Hearing and Extend Deadline to File Exhibits and Witness Lists</w:t>
      </w:r>
      <w:r w:rsidR="009F4747">
        <w:rPr>
          <w:rFonts w:ascii="Aptos" w:hAnsi="Aptos" w:cs="Times New Roman"/>
          <w:sz w:val="25"/>
          <w:szCs w:val="25"/>
        </w:rPr>
        <w:t xml:space="preserve">.  That </w:t>
      </w:r>
      <w:r w:rsidR="009F4747">
        <w:rPr>
          <w:rFonts w:ascii="Aptos" w:hAnsi="Aptos" w:cs="Times New Roman"/>
          <w:i/>
          <w:iCs/>
          <w:sz w:val="25"/>
          <w:szCs w:val="25"/>
        </w:rPr>
        <w:t>Ruling</w:t>
      </w:r>
      <w:r w:rsidR="009F4747">
        <w:rPr>
          <w:rFonts w:ascii="Aptos" w:hAnsi="Aptos" w:cs="Times New Roman"/>
          <w:sz w:val="25"/>
          <w:szCs w:val="25"/>
        </w:rPr>
        <w:t xml:space="preserve">, </w:t>
      </w:r>
      <w:r>
        <w:rPr>
          <w:rFonts w:ascii="Aptos" w:hAnsi="Aptos" w:cs="Times New Roman"/>
          <w:sz w:val="25"/>
          <w:szCs w:val="25"/>
        </w:rPr>
        <w:t>in addition to postponing the Hearing for good cause to November 17 and 18, 2025, confirmed that the issues for Hearing are as follows:</w:t>
      </w:r>
    </w:p>
    <w:p w14:paraId="3E93E28D" w14:textId="77777777" w:rsidR="00BD1FDA" w:rsidRDefault="00BD1FDA" w:rsidP="00BD1FDA">
      <w:pPr>
        <w:pStyle w:val="BodyText"/>
        <w:rPr>
          <w:rFonts w:ascii="Aptos" w:hAnsi="Aptos"/>
          <w:sz w:val="25"/>
          <w:szCs w:val="25"/>
        </w:rPr>
      </w:pPr>
    </w:p>
    <w:p w14:paraId="17CB84A1" w14:textId="6AC9E944" w:rsidR="00475BBF" w:rsidRDefault="00BD1FDA" w:rsidP="00BD1FDA">
      <w:pPr>
        <w:pStyle w:val="BodyText"/>
        <w:rPr>
          <w:rFonts w:ascii="Aptos" w:hAnsi="Aptos"/>
          <w:sz w:val="25"/>
          <w:szCs w:val="25"/>
        </w:rPr>
      </w:pPr>
      <w:r>
        <w:rPr>
          <w:rFonts w:ascii="Aptos" w:hAnsi="Aptos"/>
          <w:sz w:val="25"/>
          <w:szCs w:val="25"/>
        </w:rPr>
        <w:t>“I.</w:t>
      </w:r>
      <w:r>
        <w:rPr>
          <w:rFonts w:ascii="Aptos" w:hAnsi="Aptos"/>
          <w:sz w:val="25"/>
          <w:szCs w:val="25"/>
        </w:rPr>
        <w:tab/>
      </w:r>
      <w:r w:rsidR="00475BBF">
        <w:rPr>
          <w:rFonts w:ascii="Aptos" w:hAnsi="Aptos"/>
          <w:sz w:val="25"/>
          <w:szCs w:val="25"/>
        </w:rPr>
        <w:t>Whether Winthrop denied Student a free appropriate public education by:</w:t>
      </w:r>
    </w:p>
    <w:p w14:paraId="75ABE136" w14:textId="77777777" w:rsidR="00475BBF" w:rsidRDefault="00475BBF" w:rsidP="00475BBF">
      <w:pPr>
        <w:pStyle w:val="BodyText"/>
        <w:numPr>
          <w:ilvl w:val="0"/>
          <w:numId w:val="1"/>
        </w:numPr>
        <w:ind w:left="1080"/>
        <w:rPr>
          <w:rFonts w:ascii="Aptos" w:hAnsi="Aptos"/>
          <w:sz w:val="25"/>
          <w:szCs w:val="25"/>
        </w:rPr>
      </w:pPr>
      <w:r>
        <w:rPr>
          <w:rFonts w:ascii="Aptos" w:hAnsi="Aptos"/>
          <w:sz w:val="25"/>
          <w:szCs w:val="25"/>
        </w:rPr>
        <w:lastRenderedPageBreak/>
        <w:t>failing to provide qualified staff to provide rules-based reading instruction as included on his IEPs dated 12/18/2024 to 12/17/2025 as proposed to be amended on April 18, 2025 and September 11, 2025;</w:t>
      </w:r>
    </w:p>
    <w:p w14:paraId="5DEBD4D1" w14:textId="77777777" w:rsidR="00475BBF" w:rsidRDefault="00475BBF" w:rsidP="00475BBF">
      <w:pPr>
        <w:pStyle w:val="BodyText"/>
        <w:numPr>
          <w:ilvl w:val="0"/>
          <w:numId w:val="1"/>
        </w:numPr>
        <w:ind w:left="1080"/>
        <w:rPr>
          <w:rFonts w:ascii="Aptos" w:hAnsi="Aptos"/>
          <w:sz w:val="25"/>
          <w:szCs w:val="25"/>
        </w:rPr>
      </w:pPr>
      <w:r>
        <w:rPr>
          <w:rFonts w:ascii="Aptos" w:hAnsi="Aptos"/>
          <w:sz w:val="25"/>
          <w:szCs w:val="25"/>
        </w:rPr>
        <w:t>failing to implement the recommendations for speech and language services contained in the following independent educational evaluations:  a Speech evaluation from February 2025; an “Oral &amp; Written Language Evaluation” dated June 29, 2025; and a “Coordination of Findings” evaluation dated June 20, 2025;</w:t>
      </w:r>
    </w:p>
    <w:p w14:paraId="3B504E09" w14:textId="77777777" w:rsidR="00475BBF" w:rsidRPr="00A75D66" w:rsidRDefault="00475BBF" w:rsidP="00475BBF">
      <w:pPr>
        <w:pStyle w:val="BodyText"/>
        <w:numPr>
          <w:ilvl w:val="0"/>
          <w:numId w:val="1"/>
        </w:numPr>
        <w:ind w:left="1080"/>
        <w:rPr>
          <w:rFonts w:ascii="Aptos" w:hAnsi="Aptos"/>
          <w:sz w:val="25"/>
          <w:szCs w:val="25"/>
        </w:rPr>
      </w:pPr>
      <w:r>
        <w:rPr>
          <w:rFonts w:ascii="Aptos" w:hAnsi="Aptos"/>
          <w:sz w:val="25"/>
          <w:szCs w:val="25"/>
        </w:rPr>
        <w:t xml:space="preserve"> failing to implement the recommendations for occupational therapy services contained in in the following independent educational evaluations:  a Speech evaluation from February 2025; an “Oral &amp; Written Language Evaluation” dated June 29, 2025; and a “Coordination of Findings” evaluation dated June 20, 2025; </w:t>
      </w:r>
      <w:r w:rsidRPr="00A75D66">
        <w:rPr>
          <w:rFonts w:ascii="Aptos" w:hAnsi="Aptos"/>
          <w:sz w:val="25"/>
          <w:szCs w:val="25"/>
        </w:rPr>
        <w:t xml:space="preserve">and/or </w:t>
      </w:r>
    </w:p>
    <w:p w14:paraId="12CE8FA1" w14:textId="77777777" w:rsidR="00475BBF" w:rsidRDefault="00475BBF" w:rsidP="00475BBF">
      <w:pPr>
        <w:pStyle w:val="BodyText"/>
        <w:numPr>
          <w:ilvl w:val="0"/>
          <w:numId w:val="1"/>
        </w:numPr>
        <w:ind w:left="1080"/>
        <w:rPr>
          <w:rFonts w:ascii="Aptos" w:hAnsi="Aptos"/>
          <w:sz w:val="25"/>
          <w:szCs w:val="25"/>
        </w:rPr>
      </w:pPr>
      <w:r>
        <w:rPr>
          <w:rFonts w:ascii="Aptos" w:hAnsi="Aptos"/>
          <w:sz w:val="25"/>
          <w:szCs w:val="25"/>
        </w:rPr>
        <w:t>failing to propose and provide Extended School Year Services for speech in the summer of 2025.</w:t>
      </w:r>
    </w:p>
    <w:p w14:paraId="04A3B7B6" w14:textId="4673851A" w:rsidR="00475BBF" w:rsidRDefault="00475BBF" w:rsidP="00475BBF">
      <w:pPr>
        <w:rPr>
          <w:rFonts w:ascii="Aptos" w:hAnsi="Aptos" w:cs="Times New Roman"/>
          <w:sz w:val="25"/>
          <w:szCs w:val="25"/>
        </w:rPr>
      </w:pPr>
      <w:r>
        <w:rPr>
          <w:rFonts w:ascii="Aptos" w:hAnsi="Aptos"/>
          <w:sz w:val="25"/>
          <w:szCs w:val="25"/>
        </w:rPr>
        <w:t>II.</w:t>
      </w:r>
      <w:r>
        <w:rPr>
          <w:rFonts w:ascii="Aptos" w:hAnsi="Aptos"/>
          <w:sz w:val="25"/>
          <w:szCs w:val="25"/>
        </w:rPr>
        <w:tab/>
        <w:t>If the answer to I(a), (b), (c) and/or (d) is yes, what is the appropriate remedy?</w:t>
      </w:r>
      <w:r w:rsidR="00BD1FDA">
        <w:rPr>
          <w:rFonts w:ascii="Aptos" w:hAnsi="Aptos"/>
          <w:sz w:val="25"/>
          <w:szCs w:val="25"/>
        </w:rPr>
        <w:t>”</w:t>
      </w:r>
    </w:p>
    <w:p w14:paraId="1724F4A4" w14:textId="77777777" w:rsidR="00475BBF" w:rsidRDefault="00475BBF" w:rsidP="00194306">
      <w:pPr>
        <w:rPr>
          <w:rFonts w:ascii="Aptos" w:hAnsi="Aptos" w:cs="Times New Roman"/>
          <w:sz w:val="25"/>
          <w:szCs w:val="25"/>
        </w:rPr>
      </w:pPr>
    </w:p>
    <w:p w14:paraId="204946FE" w14:textId="47648489" w:rsidR="00194306" w:rsidRPr="00475BBF" w:rsidRDefault="00475BBF" w:rsidP="00194306">
      <w:pPr>
        <w:rPr>
          <w:rFonts w:ascii="Aptos" w:hAnsi="Aptos" w:cs="Times New Roman"/>
          <w:sz w:val="25"/>
          <w:szCs w:val="25"/>
        </w:rPr>
      </w:pPr>
      <w:r>
        <w:rPr>
          <w:rFonts w:ascii="Aptos" w:hAnsi="Aptos" w:cs="Times New Roman"/>
          <w:sz w:val="25"/>
          <w:szCs w:val="25"/>
        </w:rPr>
        <w:t>Subsequently, on November 14, 2025, at the joint request of the Parties</w:t>
      </w:r>
      <w:r w:rsidR="00341D07">
        <w:rPr>
          <w:rFonts w:ascii="Aptos" w:hAnsi="Aptos" w:cs="Times New Roman"/>
          <w:sz w:val="25"/>
          <w:szCs w:val="25"/>
        </w:rPr>
        <w:t>,</w:t>
      </w:r>
      <w:r>
        <w:rPr>
          <w:rFonts w:ascii="Aptos" w:hAnsi="Aptos" w:cs="Times New Roman"/>
          <w:sz w:val="25"/>
          <w:szCs w:val="25"/>
        </w:rPr>
        <w:t xml:space="preserve"> the </w:t>
      </w:r>
      <w:r w:rsidR="00547343">
        <w:rPr>
          <w:rFonts w:ascii="Aptos" w:hAnsi="Aptos" w:cs="Times New Roman"/>
          <w:sz w:val="25"/>
          <w:szCs w:val="25"/>
        </w:rPr>
        <w:t xml:space="preserve">Hearing was </w:t>
      </w:r>
      <w:r>
        <w:rPr>
          <w:rFonts w:ascii="Aptos" w:hAnsi="Aptos" w:cs="Times New Roman"/>
          <w:sz w:val="25"/>
          <w:szCs w:val="25"/>
        </w:rPr>
        <w:t xml:space="preserve">further postponed </w:t>
      </w:r>
      <w:r w:rsidR="00341D07">
        <w:rPr>
          <w:rFonts w:ascii="Aptos" w:hAnsi="Aptos" w:cs="Times New Roman"/>
          <w:sz w:val="25"/>
          <w:szCs w:val="25"/>
        </w:rPr>
        <w:t xml:space="preserve">for good cause, </w:t>
      </w:r>
      <w:r>
        <w:rPr>
          <w:rFonts w:ascii="Aptos" w:hAnsi="Aptos" w:cs="Times New Roman"/>
          <w:sz w:val="25"/>
          <w:szCs w:val="25"/>
        </w:rPr>
        <w:t>until January 26 and 27, 2026</w:t>
      </w:r>
      <w:r w:rsidR="003D6C95">
        <w:rPr>
          <w:rFonts w:ascii="Aptos" w:hAnsi="Aptos" w:cs="Times New Roman"/>
          <w:sz w:val="25"/>
          <w:szCs w:val="25"/>
        </w:rPr>
        <w:t>, with exhibits and witness lists now scheduled to be filed on January 16, 2026</w:t>
      </w:r>
      <w:r>
        <w:rPr>
          <w:rFonts w:ascii="Aptos" w:hAnsi="Aptos" w:cs="Times New Roman"/>
          <w:sz w:val="25"/>
          <w:szCs w:val="25"/>
        </w:rPr>
        <w:t xml:space="preserve">.  </w:t>
      </w:r>
    </w:p>
    <w:p w14:paraId="347FC4DE" w14:textId="77777777" w:rsidR="00194306" w:rsidRDefault="00194306" w:rsidP="00194306">
      <w:pPr>
        <w:rPr>
          <w:rFonts w:ascii="Aptos" w:hAnsi="Aptos" w:cs="Times New Roman"/>
          <w:sz w:val="25"/>
          <w:szCs w:val="25"/>
        </w:rPr>
      </w:pPr>
    </w:p>
    <w:p w14:paraId="19D9C4E3" w14:textId="2D3F009B" w:rsidR="00194306" w:rsidRDefault="000F0F5A" w:rsidP="00194306">
      <w:pPr>
        <w:rPr>
          <w:rFonts w:ascii="Aptos" w:hAnsi="Aptos" w:cs="Times New Roman"/>
          <w:sz w:val="25"/>
          <w:szCs w:val="25"/>
        </w:rPr>
      </w:pPr>
      <w:r>
        <w:rPr>
          <w:rFonts w:ascii="Aptos" w:hAnsi="Aptos" w:cs="Times New Roman"/>
          <w:sz w:val="25"/>
          <w:szCs w:val="25"/>
        </w:rPr>
        <w:t xml:space="preserve">The email chain that is the subject of the instant </w:t>
      </w:r>
      <w:r>
        <w:rPr>
          <w:rFonts w:ascii="Aptos" w:hAnsi="Aptos" w:cs="Times New Roman"/>
          <w:i/>
          <w:iCs/>
          <w:sz w:val="25"/>
          <w:szCs w:val="25"/>
        </w:rPr>
        <w:t xml:space="preserve">Ruling </w:t>
      </w:r>
      <w:r>
        <w:rPr>
          <w:rFonts w:ascii="Aptos" w:hAnsi="Aptos" w:cs="Times New Roman"/>
          <w:sz w:val="25"/>
          <w:szCs w:val="25"/>
        </w:rPr>
        <w:t xml:space="preserve">occurred between the </w:t>
      </w:r>
      <w:r w:rsidR="00311A24">
        <w:rPr>
          <w:rFonts w:ascii="Aptos" w:hAnsi="Aptos" w:cs="Times New Roman"/>
          <w:sz w:val="25"/>
          <w:szCs w:val="25"/>
        </w:rPr>
        <w:t xml:space="preserve">District’s </w:t>
      </w:r>
      <w:r>
        <w:rPr>
          <w:rFonts w:ascii="Aptos" w:hAnsi="Aptos" w:cs="Times New Roman"/>
          <w:sz w:val="25"/>
          <w:szCs w:val="25"/>
        </w:rPr>
        <w:t xml:space="preserve">then-attorney and </w:t>
      </w:r>
      <w:r w:rsidR="00974ADE">
        <w:rPr>
          <w:rFonts w:ascii="Aptos" w:hAnsi="Aptos" w:cs="Times New Roman"/>
          <w:sz w:val="25"/>
          <w:szCs w:val="25"/>
        </w:rPr>
        <w:t xml:space="preserve">a PRS Program Coordinator </w:t>
      </w:r>
      <w:r w:rsidR="00341D07">
        <w:rPr>
          <w:rFonts w:ascii="Aptos" w:hAnsi="Aptos" w:cs="Times New Roman"/>
          <w:sz w:val="25"/>
          <w:szCs w:val="25"/>
        </w:rPr>
        <w:t>from</w:t>
      </w:r>
      <w:r w:rsidR="00974ADE">
        <w:rPr>
          <w:rFonts w:ascii="Aptos" w:hAnsi="Aptos" w:cs="Times New Roman"/>
          <w:sz w:val="25"/>
          <w:szCs w:val="25"/>
        </w:rPr>
        <w:t xml:space="preserve"> October 21, 2025</w:t>
      </w:r>
      <w:r w:rsidR="00341D07">
        <w:rPr>
          <w:rFonts w:ascii="Aptos" w:hAnsi="Aptos" w:cs="Times New Roman"/>
          <w:sz w:val="25"/>
          <w:szCs w:val="25"/>
        </w:rPr>
        <w:t xml:space="preserve">, to </w:t>
      </w:r>
      <w:r w:rsidR="00974ADE">
        <w:rPr>
          <w:rFonts w:ascii="Aptos" w:hAnsi="Aptos" w:cs="Times New Roman"/>
          <w:sz w:val="25"/>
          <w:szCs w:val="25"/>
        </w:rPr>
        <w:t xml:space="preserve">October 28, 2025 </w:t>
      </w:r>
      <w:r w:rsidR="00341D07">
        <w:rPr>
          <w:rFonts w:ascii="Aptos" w:hAnsi="Aptos" w:cs="Times New Roman"/>
          <w:sz w:val="25"/>
          <w:szCs w:val="25"/>
        </w:rPr>
        <w:t>and contained</w:t>
      </w:r>
      <w:r w:rsidR="00974ADE">
        <w:rPr>
          <w:rFonts w:ascii="Aptos" w:hAnsi="Aptos" w:cs="Times New Roman"/>
          <w:sz w:val="25"/>
          <w:szCs w:val="25"/>
        </w:rPr>
        <w:t xml:space="preserve"> the subject line “Qualifications to deliver rule-based reading”</w:t>
      </w:r>
      <w:r w:rsidR="00BA5001">
        <w:rPr>
          <w:rFonts w:ascii="Aptos" w:hAnsi="Aptos" w:cs="Times New Roman"/>
          <w:sz w:val="25"/>
          <w:szCs w:val="25"/>
        </w:rPr>
        <w:t xml:space="preserve">.  </w:t>
      </w:r>
      <w:r w:rsidR="009F4747">
        <w:rPr>
          <w:rFonts w:ascii="Aptos" w:hAnsi="Aptos" w:cs="Times New Roman"/>
          <w:sz w:val="25"/>
          <w:szCs w:val="25"/>
        </w:rPr>
        <w:t xml:space="preserve">It sought </w:t>
      </w:r>
      <w:r w:rsidR="00974ADE">
        <w:rPr>
          <w:rFonts w:ascii="Aptos" w:hAnsi="Aptos" w:cs="Times New Roman"/>
          <w:sz w:val="25"/>
          <w:szCs w:val="25"/>
        </w:rPr>
        <w:t xml:space="preserve">“MA DESE’s position </w:t>
      </w:r>
      <w:r w:rsidR="00BA5001">
        <w:rPr>
          <w:rFonts w:ascii="Aptos" w:hAnsi="Aptos" w:cs="Times New Roman"/>
          <w:sz w:val="25"/>
          <w:szCs w:val="25"/>
        </w:rPr>
        <w:t xml:space="preserve">[is] </w:t>
      </w:r>
      <w:r w:rsidR="00974ADE">
        <w:rPr>
          <w:rFonts w:ascii="Aptos" w:hAnsi="Aptos" w:cs="Times New Roman"/>
          <w:sz w:val="25"/>
          <w:szCs w:val="25"/>
        </w:rPr>
        <w:t>about the qualifications a provider needs to have to deliver a rule-based reading program … to a public school student on an IEP”</w:t>
      </w:r>
      <w:r w:rsidR="00341D07">
        <w:rPr>
          <w:rFonts w:ascii="Aptos" w:hAnsi="Aptos" w:cs="Times New Roman"/>
          <w:sz w:val="25"/>
          <w:szCs w:val="25"/>
        </w:rPr>
        <w:t xml:space="preserve"> </w:t>
      </w:r>
      <w:r w:rsidR="00671060">
        <w:rPr>
          <w:rFonts w:ascii="Aptos" w:hAnsi="Aptos" w:cs="Times New Roman"/>
          <w:sz w:val="25"/>
          <w:szCs w:val="25"/>
        </w:rPr>
        <w:t xml:space="preserve">and inquired </w:t>
      </w:r>
      <w:r w:rsidR="00974ADE">
        <w:rPr>
          <w:rFonts w:ascii="Aptos" w:hAnsi="Aptos" w:cs="Times New Roman"/>
          <w:sz w:val="25"/>
          <w:szCs w:val="25"/>
        </w:rPr>
        <w:t>“</w:t>
      </w:r>
      <w:r w:rsidR="00042D69">
        <w:rPr>
          <w:rFonts w:ascii="Aptos" w:hAnsi="Aptos" w:cs="Times New Roman"/>
          <w:sz w:val="25"/>
          <w:szCs w:val="25"/>
        </w:rPr>
        <w:t>[A]</w:t>
      </w:r>
      <w:r w:rsidR="00974ADE">
        <w:rPr>
          <w:rFonts w:ascii="Aptos" w:hAnsi="Aptos" w:cs="Times New Roman"/>
          <w:sz w:val="25"/>
          <w:szCs w:val="25"/>
        </w:rPr>
        <w:t xml:space="preserve">re you able to point me in the right direction and/or talk with me about the issue?”  After </w:t>
      </w:r>
      <w:r w:rsidR="00377307">
        <w:rPr>
          <w:rFonts w:ascii="Aptos" w:hAnsi="Aptos" w:cs="Times New Roman"/>
          <w:sz w:val="25"/>
          <w:szCs w:val="25"/>
        </w:rPr>
        <w:t xml:space="preserve">initially </w:t>
      </w:r>
      <w:r w:rsidR="00974ADE">
        <w:rPr>
          <w:rFonts w:ascii="Aptos" w:hAnsi="Aptos" w:cs="Times New Roman"/>
          <w:sz w:val="25"/>
          <w:szCs w:val="25"/>
        </w:rPr>
        <w:t xml:space="preserve">advising that the answer required consultation </w:t>
      </w:r>
      <w:r w:rsidR="0075366E">
        <w:rPr>
          <w:rFonts w:ascii="Aptos" w:hAnsi="Aptos" w:cs="Times New Roman"/>
          <w:sz w:val="25"/>
          <w:szCs w:val="25"/>
        </w:rPr>
        <w:t>with</w:t>
      </w:r>
      <w:r w:rsidR="00974ADE">
        <w:rPr>
          <w:rFonts w:ascii="Aptos" w:hAnsi="Aptos" w:cs="Times New Roman"/>
          <w:sz w:val="25"/>
          <w:szCs w:val="25"/>
        </w:rPr>
        <w:t xml:space="preserve"> a PRS supervisor, </w:t>
      </w:r>
      <w:r w:rsidR="0075366E">
        <w:rPr>
          <w:rFonts w:ascii="Aptos" w:hAnsi="Aptos" w:cs="Times New Roman"/>
          <w:sz w:val="25"/>
          <w:szCs w:val="25"/>
        </w:rPr>
        <w:t xml:space="preserve">the Program Coordinator </w:t>
      </w:r>
      <w:r w:rsidR="00311A24">
        <w:rPr>
          <w:rFonts w:ascii="Aptos" w:hAnsi="Aptos" w:cs="Times New Roman"/>
          <w:sz w:val="25"/>
          <w:szCs w:val="25"/>
        </w:rPr>
        <w:t>subsequently</w:t>
      </w:r>
      <w:r w:rsidR="0075366E">
        <w:rPr>
          <w:rFonts w:ascii="Aptos" w:hAnsi="Aptos" w:cs="Times New Roman"/>
          <w:sz w:val="25"/>
          <w:szCs w:val="25"/>
        </w:rPr>
        <w:t xml:space="preserve"> responded “The Department does not have guidance about provider qualifications for delivering rule-based reading programs …. to special education students in public schools.”</w:t>
      </w:r>
    </w:p>
    <w:p w14:paraId="3C6F2552" w14:textId="77777777" w:rsidR="0075366E" w:rsidRDefault="0075366E" w:rsidP="00194306">
      <w:pPr>
        <w:rPr>
          <w:rFonts w:ascii="Aptos" w:hAnsi="Aptos" w:cs="Times New Roman"/>
          <w:sz w:val="25"/>
          <w:szCs w:val="25"/>
        </w:rPr>
      </w:pPr>
    </w:p>
    <w:p w14:paraId="4BBD0E45" w14:textId="2F6B40B7" w:rsidR="0075366E" w:rsidRPr="003D6C95" w:rsidRDefault="0081573C" w:rsidP="00194306">
      <w:pPr>
        <w:rPr>
          <w:rFonts w:ascii="Aptos" w:hAnsi="Aptos" w:cs="Times New Roman"/>
          <w:sz w:val="25"/>
          <w:szCs w:val="25"/>
        </w:rPr>
      </w:pPr>
      <w:r>
        <w:rPr>
          <w:rFonts w:ascii="Aptos" w:hAnsi="Aptos" w:cs="Times New Roman"/>
          <w:sz w:val="25"/>
          <w:szCs w:val="25"/>
        </w:rPr>
        <w:t xml:space="preserve">In </w:t>
      </w:r>
      <w:r>
        <w:rPr>
          <w:rFonts w:ascii="Aptos" w:hAnsi="Aptos" w:cs="Times New Roman"/>
          <w:i/>
          <w:iCs/>
          <w:sz w:val="25"/>
          <w:szCs w:val="25"/>
        </w:rPr>
        <w:t>Parents</w:t>
      </w:r>
      <w:r w:rsidR="00671060">
        <w:rPr>
          <w:rFonts w:ascii="Aptos" w:hAnsi="Aptos" w:cs="Times New Roman"/>
          <w:i/>
          <w:iCs/>
          <w:sz w:val="25"/>
          <w:szCs w:val="25"/>
        </w:rPr>
        <w:t>’</w:t>
      </w:r>
      <w:r>
        <w:rPr>
          <w:rFonts w:ascii="Aptos" w:hAnsi="Aptos" w:cs="Times New Roman"/>
          <w:i/>
          <w:iCs/>
          <w:sz w:val="25"/>
          <w:szCs w:val="25"/>
        </w:rPr>
        <w:t xml:space="preserve"> Objection </w:t>
      </w:r>
      <w:r>
        <w:rPr>
          <w:rFonts w:ascii="Aptos" w:hAnsi="Aptos" w:cs="Times New Roman"/>
          <w:sz w:val="25"/>
          <w:szCs w:val="25"/>
        </w:rPr>
        <w:t xml:space="preserve">and </w:t>
      </w:r>
      <w:r w:rsidRPr="0081573C">
        <w:rPr>
          <w:rFonts w:ascii="Aptos" w:hAnsi="Aptos" w:cs="Times New Roman"/>
          <w:i/>
          <w:iCs/>
          <w:sz w:val="25"/>
          <w:szCs w:val="25"/>
        </w:rPr>
        <w:t>Parents’ Reply</w:t>
      </w:r>
      <w:r w:rsidR="0075366E">
        <w:rPr>
          <w:rFonts w:ascii="Aptos" w:hAnsi="Aptos" w:cs="Times New Roman"/>
          <w:sz w:val="25"/>
          <w:szCs w:val="25"/>
        </w:rPr>
        <w:t xml:space="preserve">, </w:t>
      </w:r>
      <w:r>
        <w:rPr>
          <w:rFonts w:ascii="Aptos" w:hAnsi="Aptos" w:cs="Times New Roman"/>
          <w:sz w:val="25"/>
          <w:szCs w:val="25"/>
        </w:rPr>
        <w:t xml:space="preserve">Parents seek to exclude this email chain </w:t>
      </w:r>
      <w:r w:rsidR="0075366E">
        <w:rPr>
          <w:rFonts w:ascii="Aptos" w:hAnsi="Aptos" w:cs="Times New Roman"/>
          <w:sz w:val="25"/>
          <w:szCs w:val="25"/>
        </w:rPr>
        <w:t xml:space="preserve">as an exhibit </w:t>
      </w:r>
      <w:r>
        <w:rPr>
          <w:rFonts w:ascii="Aptos" w:hAnsi="Aptos" w:cs="Times New Roman"/>
          <w:sz w:val="25"/>
          <w:szCs w:val="25"/>
        </w:rPr>
        <w:t>claiming it</w:t>
      </w:r>
      <w:r w:rsidR="003D6C95">
        <w:rPr>
          <w:rFonts w:ascii="Aptos" w:hAnsi="Aptos" w:cs="Times New Roman"/>
          <w:sz w:val="25"/>
          <w:szCs w:val="25"/>
        </w:rPr>
        <w:t xml:space="preserve"> is irrelevant in that it</w:t>
      </w:r>
      <w:r w:rsidR="0075366E">
        <w:rPr>
          <w:rFonts w:ascii="Aptos" w:hAnsi="Aptos" w:cs="Times New Roman"/>
          <w:sz w:val="25"/>
          <w:szCs w:val="25"/>
        </w:rPr>
        <w:t xml:space="preserve"> “does not contain any substantive guidance f</w:t>
      </w:r>
      <w:r w:rsidR="003D6C95">
        <w:rPr>
          <w:rFonts w:ascii="Aptos" w:hAnsi="Aptos" w:cs="Times New Roman"/>
          <w:sz w:val="25"/>
          <w:szCs w:val="25"/>
        </w:rPr>
        <w:t>ro</w:t>
      </w:r>
      <w:r w:rsidR="0075366E">
        <w:rPr>
          <w:rFonts w:ascii="Aptos" w:hAnsi="Aptos" w:cs="Times New Roman"/>
          <w:sz w:val="25"/>
          <w:szCs w:val="25"/>
        </w:rPr>
        <w:t xml:space="preserve">m [DESE] about licensure, provider qualifications or who may deliver rule-based reading instruction … [and] does not support any change in provider or justify replacing special education services with speech services”.  Parents contend the email </w:t>
      </w:r>
      <w:r w:rsidR="00513A84">
        <w:rPr>
          <w:rFonts w:ascii="Aptos" w:hAnsi="Aptos" w:cs="Times New Roman"/>
          <w:sz w:val="25"/>
          <w:szCs w:val="25"/>
        </w:rPr>
        <w:t xml:space="preserve">chain </w:t>
      </w:r>
      <w:r w:rsidR="0075366E">
        <w:rPr>
          <w:rFonts w:ascii="Aptos" w:hAnsi="Aptos" w:cs="Times New Roman"/>
          <w:sz w:val="25"/>
          <w:szCs w:val="25"/>
        </w:rPr>
        <w:t xml:space="preserve">is being used “out of context” to justify alleged changes to Student’s IEP including changing the licensure of the service providers </w:t>
      </w:r>
      <w:r w:rsidR="00042D69">
        <w:rPr>
          <w:rFonts w:ascii="Aptos" w:hAnsi="Aptos" w:cs="Times New Roman"/>
          <w:sz w:val="25"/>
          <w:szCs w:val="25"/>
        </w:rPr>
        <w:t>identified</w:t>
      </w:r>
      <w:r w:rsidR="0075366E">
        <w:rPr>
          <w:rFonts w:ascii="Aptos" w:hAnsi="Aptos" w:cs="Times New Roman"/>
          <w:sz w:val="25"/>
          <w:szCs w:val="25"/>
        </w:rPr>
        <w:t xml:space="preserve"> in </w:t>
      </w:r>
      <w:r w:rsidR="005F29A0">
        <w:rPr>
          <w:rFonts w:ascii="Aptos" w:hAnsi="Aptos" w:cs="Times New Roman"/>
          <w:sz w:val="25"/>
          <w:szCs w:val="25"/>
        </w:rPr>
        <w:t xml:space="preserve">his </w:t>
      </w:r>
      <w:r w:rsidR="0075366E">
        <w:rPr>
          <w:rFonts w:ascii="Aptos" w:hAnsi="Aptos" w:cs="Times New Roman"/>
          <w:sz w:val="25"/>
          <w:szCs w:val="25"/>
        </w:rPr>
        <w:t>IEP</w:t>
      </w:r>
      <w:r w:rsidR="003D6C95">
        <w:rPr>
          <w:rFonts w:ascii="Aptos" w:hAnsi="Aptos" w:cs="Times New Roman"/>
          <w:sz w:val="25"/>
          <w:szCs w:val="25"/>
        </w:rPr>
        <w:t xml:space="preserve">, </w:t>
      </w:r>
      <w:r w:rsidR="00F00579">
        <w:rPr>
          <w:rFonts w:ascii="Aptos" w:hAnsi="Aptos" w:cs="Times New Roman"/>
          <w:sz w:val="25"/>
          <w:szCs w:val="25"/>
        </w:rPr>
        <w:t xml:space="preserve">with </w:t>
      </w:r>
      <w:r w:rsidR="003D6C95">
        <w:rPr>
          <w:rFonts w:ascii="Aptos" w:hAnsi="Aptos" w:cs="Times New Roman"/>
          <w:sz w:val="25"/>
          <w:szCs w:val="25"/>
        </w:rPr>
        <w:t xml:space="preserve">which Parents </w:t>
      </w:r>
      <w:r w:rsidR="00F00579">
        <w:rPr>
          <w:rFonts w:ascii="Aptos" w:hAnsi="Aptos" w:cs="Times New Roman"/>
          <w:sz w:val="25"/>
          <w:szCs w:val="25"/>
        </w:rPr>
        <w:t>disagree</w:t>
      </w:r>
      <w:r w:rsidR="003D6C95">
        <w:rPr>
          <w:rFonts w:ascii="Aptos" w:hAnsi="Aptos" w:cs="Times New Roman"/>
          <w:sz w:val="25"/>
          <w:szCs w:val="25"/>
        </w:rPr>
        <w:t xml:space="preserve">.  </w:t>
      </w:r>
      <w:r w:rsidR="00513A84">
        <w:rPr>
          <w:rFonts w:ascii="Aptos" w:hAnsi="Aptos" w:cs="Times New Roman"/>
          <w:sz w:val="25"/>
          <w:szCs w:val="25"/>
        </w:rPr>
        <w:t xml:space="preserve">According to Parents, </w:t>
      </w:r>
      <w:proofErr w:type="gramStart"/>
      <w:r w:rsidR="00513A84">
        <w:rPr>
          <w:rFonts w:ascii="Aptos" w:hAnsi="Aptos" w:cs="Times New Roman"/>
          <w:sz w:val="25"/>
          <w:szCs w:val="25"/>
        </w:rPr>
        <w:t xml:space="preserve">they </w:t>
      </w:r>
      <w:r w:rsidR="00F00579">
        <w:rPr>
          <w:rFonts w:ascii="Aptos" w:hAnsi="Aptos" w:cs="Times New Roman"/>
          <w:sz w:val="25"/>
          <w:szCs w:val="25"/>
        </w:rPr>
        <w:t>too</w:t>
      </w:r>
      <w:proofErr w:type="gramEnd"/>
      <w:r w:rsidR="00513A84">
        <w:rPr>
          <w:rFonts w:ascii="Aptos" w:hAnsi="Aptos" w:cs="Times New Roman"/>
          <w:sz w:val="25"/>
          <w:szCs w:val="25"/>
        </w:rPr>
        <w:t xml:space="preserve"> spoke </w:t>
      </w:r>
      <w:r w:rsidR="003D6C95">
        <w:rPr>
          <w:rFonts w:ascii="Aptos" w:hAnsi="Aptos" w:cs="Times New Roman"/>
          <w:sz w:val="25"/>
          <w:szCs w:val="25"/>
        </w:rPr>
        <w:t xml:space="preserve">with PRS about the email </w:t>
      </w:r>
      <w:r w:rsidR="00513A84">
        <w:rPr>
          <w:rFonts w:ascii="Aptos" w:hAnsi="Aptos" w:cs="Times New Roman"/>
          <w:sz w:val="25"/>
          <w:szCs w:val="25"/>
        </w:rPr>
        <w:t>chain</w:t>
      </w:r>
      <w:r w:rsidR="00ED4238">
        <w:rPr>
          <w:rFonts w:ascii="Aptos" w:hAnsi="Aptos" w:cs="Times New Roman"/>
          <w:sz w:val="25"/>
          <w:szCs w:val="25"/>
        </w:rPr>
        <w:t xml:space="preserve"> and </w:t>
      </w:r>
      <w:r w:rsidR="00AB2313">
        <w:rPr>
          <w:rFonts w:ascii="Aptos" w:hAnsi="Aptos" w:cs="Times New Roman"/>
          <w:sz w:val="25"/>
          <w:szCs w:val="25"/>
        </w:rPr>
        <w:t xml:space="preserve">were advised that </w:t>
      </w:r>
      <w:r w:rsidR="003D6C95">
        <w:rPr>
          <w:rFonts w:ascii="Aptos" w:hAnsi="Aptos" w:cs="Times New Roman"/>
          <w:sz w:val="25"/>
          <w:szCs w:val="25"/>
        </w:rPr>
        <w:t xml:space="preserve">PRS agrees </w:t>
      </w:r>
      <w:r w:rsidR="00ED4238">
        <w:rPr>
          <w:rFonts w:ascii="Aptos" w:hAnsi="Aptos" w:cs="Times New Roman"/>
          <w:sz w:val="25"/>
          <w:szCs w:val="25"/>
        </w:rPr>
        <w:t xml:space="preserve">the </w:t>
      </w:r>
      <w:r w:rsidR="003D6C95">
        <w:rPr>
          <w:rFonts w:ascii="Aptos" w:hAnsi="Aptos" w:cs="Times New Roman"/>
          <w:sz w:val="25"/>
          <w:szCs w:val="25"/>
        </w:rPr>
        <w:t xml:space="preserve">email </w:t>
      </w:r>
      <w:r w:rsidR="00AB2313">
        <w:rPr>
          <w:rFonts w:ascii="Aptos" w:hAnsi="Aptos" w:cs="Times New Roman"/>
          <w:sz w:val="25"/>
          <w:szCs w:val="25"/>
        </w:rPr>
        <w:t xml:space="preserve">chain </w:t>
      </w:r>
      <w:r w:rsidR="003D6C95">
        <w:rPr>
          <w:rFonts w:ascii="Aptos" w:hAnsi="Aptos" w:cs="Times New Roman"/>
          <w:sz w:val="25"/>
          <w:szCs w:val="25"/>
        </w:rPr>
        <w:t>does not support changes to the provider qualifications identified in Student’s IEP</w:t>
      </w:r>
      <w:r w:rsidR="00AB2313">
        <w:rPr>
          <w:rFonts w:ascii="Aptos" w:hAnsi="Aptos" w:cs="Times New Roman"/>
          <w:sz w:val="25"/>
          <w:szCs w:val="25"/>
        </w:rPr>
        <w:t xml:space="preserve">.  Rather PRS merely </w:t>
      </w:r>
      <w:r w:rsidR="003D6C95">
        <w:rPr>
          <w:rFonts w:ascii="Aptos" w:hAnsi="Aptos" w:cs="Times New Roman"/>
          <w:sz w:val="25"/>
          <w:szCs w:val="25"/>
        </w:rPr>
        <w:t xml:space="preserve">responded to the narrow </w:t>
      </w:r>
      <w:r w:rsidR="003D6C95">
        <w:rPr>
          <w:rFonts w:ascii="Aptos" w:hAnsi="Aptos" w:cs="Times New Roman"/>
          <w:sz w:val="25"/>
          <w:szCs w:val="25"/>
        </w:rPr>
        <w:lastRenderedPageBreak/>
        <w:t xml:space="preserve">question the District </w:t>
      </w:r>
      <w:r w:rsidR="00ED4238">
        <w:rPr>
          <w:rFonts w:ascii="Aptos" w:hAnsi="Aptos" w:cs="Times New Roman"/>
          <w:sz w:val="25"/>
          <w:szCs w:val="25"/>
        </w:rPr>
        <w:t>posited</w:t>
      </w:r>
      <w:r w:rsidR="003D6C95">
        <w:rPr>
          <w:rFonts w:ascii="Aptos" w:hAnsi="Aptos" w:cs="Times New Roman"/>
          <w:sz w:val="25"/>
          <w:szCs w:val="25"/>
        </w:rPr>
        <w:t xml:space="preserve">, thus making it an “incomplete” response </w:t>
      </w:r>
      <w:r w:rsidR="002E4045">
        <w:rPr>
          <w:rFonts w:ascii="Aptos" w:hAnsi="Aptos" w:cs="Times New Roman"/>
          <w:sz w:val="25"/>
          <w:szCs w:val="25"/>
        </w:rPr>
        <w:t>with respect to the issues for Hearing</w:t>
      </w:r>
      <w:r w:rsidR="003D6C95">
        <w:rPr>
          <w:rFonts w:ascii="Aptos" w:hAnsi="Aptos" w:cs="Times New Roman"/>
          <w:sz w:val="25"/>
          <w:szCs w:val="25"/>
        </w:rPr>
        <w:t xml:space="preserve">.  Parents </w:t>
      </w:r>
      <w:r w:rsidR="00ED0C3E">
        <w:rPr>
          <w:rFonts w:ascii="Aptos" w:hAnsi="Aptos" w:cs="Times New Roman"/>
          <w:sz w:val="25"/>
          <w:szCs w:val="25"/>
        </w:rPr>
        <w:t xml:space="preserve">also </w:t>
      </w:r>
      <w:r w:rsidR="003D6C95">
        <w:rPr>
          <w:rFonts w:ascii="Aptos" w:hAnsi="Aptos" w:cs="Times New Roman"/>
          <w:sz w:val="25"/>
          <w:szCs w:val="25"/>
        </w:rPr>
        <w:t xml:space="preserve">object to the District’s failure to inform PRS that it was asking the question </w:t>
      </w:r>
      <w:r w:rsidR="00ED0C3E">
        <w:rPr>
          <w:rFonts w:ascii="Aptos" w:hAnsi="Aptos" w:cs="Times New Roman"/>
          <w:sz w:val="25"/>
          <w:szCs w:val="25"/>
        </w:rPr>
        <w:t xml:space="preserve">in the context of </w:t>
      </w:r>
      <w:r w:rsidR="003D6C95">
        <w:rPr>
          <w:rFonts w:ascii="Aptos" w:hAnsi="Aptos" w:cs="Times New Roman"/>
          <w:sz w:val="25"/>
          <w:szCs w:val="25"/>
        </w:rPr>
        <w:t xml:space="preserve">an active </w:t>
      </w:r>
      <w:r w:rsidR="003D6C95">
        <w:rPr>
          <w:rFonts w:ascii="Aptos" w:hAnsi="Aptos" w:cs="Times New Roman"/>
          <w:i/>
          <w:iCs/>
          <w:sz w:val="25"/>
          <w:szCs w:val="25"/>
        </w:rPr>
        <w:t>Hearing Request</w:t>
      </w:r>
      <w:r w:rsidR="003D6C95">
        <w:rPr>
          <w:rFonts w:ascii="Aptos" w:hAnsi="Aptos" w:cs="Times New Roman"/>
          <w:sz w:val="25"/>
          <w:szCs w:val="25"/>
        </w:rPr>
        <w:t>, particularly as PRS is unable to</w:t>
      </w:r>
      <w:r w:rsidR="001853D9">
        <w:rPr>
          <w:rFonts w:ascii="Aptos" w:hAnsi="Aptos" w:cs="Times New Roman"/>
          <w:sz w:val="25"/>
          <w:szCs w:val="25"/>
        </w:rPr>
        <w:t xml:space="preserve"> “provide opinions or interpretations that could influence the hearing until the case has concluded”.</w:t>
      </w:r>
    </w:p>
    <w:p w14:paraId="41257988" w14:textId="77777777" w:rsidR="00974ADE" w:rsidRDefault="00974ADE" w:rsidP="00194306">
      <w:pPr>
        <w:rPr>
          <w:rFonts w:ascii="Aptos" w:hAnsi="Aptos" w:cs="Times New Roman"/>
          <w:sz w:val="25"/>
          <w:szCs w:val="25"/>
        </w:rPr>
      </w:pPr>
    </w:p>
    <w:p w14:paraId="7CF0AF74" w14:textId="385CF569" w:rsidR="00974ADE" w:rsidRPr="003D6C95" w:rsidRDefault="001853D9" w:rsidP="00194306">
      <w:pPr>
        <w:rPr>
          <w:rFonts w:ascii="Aptos" w:hAnsi="Aptos" w:cs="Times New Roman"/>
          <w:sz w:val="25"/>
          <w:szCs w:val="25"/>
        </w:rPr>
      </w:pPr>
      <w:r>
        <w:rPr>
          <w:rFonts w:ascii="Aptos" w:hAnsi="Aptos" w:cs="Times New Roman"/>
          <w:sz w:val="25"/>
          <w:szCs w:val="25"/>
        </w:rPr>
        <w:t xml:space="preserve">In the </w:t>
      </w:r>
      <w:r>
        <w:rPr>
          <w:rFonts w:ascii="Aptos" w:hAnsi="Aptos" w:cs="Times New Roman"/>
          <w:i/>
          <w:iCs/>
          <w:sz w:val="25"/>
          <w:szCs w:val="25"/>
        </w:rPr>
        <w:t>District Opposition</w:t>
      </w:r>
      <w:r>
        <w:rPr>
          <w:rFonts w:ascii="Aptos" w:hAnsi="Aptos" w:cs="Times New Roman"/>
          <w:sz w:val="25"/>
          <w:szCs w:val="25"/>
        </w:rPr>
        <w:t xml:space="preserve">, </w:t>
      </w:r>
      <w:r w:rsidR="000A4C62">
        <w:rPr>
          <w:rFonts w:ascii="Aptos" w:hAnsi="Aptos" w:cs="Times New Roman"/>
          <w:sz w:val="25"/>
          <w:szCs w:val="25"/>
        </w:rPr>
        <w:t xml:space="preserve">the District contends that </w:t>
      </w:r>
      <w:r w:rsidR="000A4C62">
        <w:rPr>
          <w:rFonts w:ascii="Aptos" w:hAnsi="Aptos" w:cs="Times New Roman"/>
          <w:i/>
          <w:iCs/>
          <w:sz w:val="25"/>
          <w:szCs w:val="25"/>
        </w:rPr>
        <w:t xml:space="preserve">Parents’ Objection </w:t>
      </w:r>
      <w:r w:rsidR="000A4C62">
        <w:rPr>
          <w:rFonts w:ascii="Aptos" w:hAnsi="Aptos" w:cs="Times New Roman"/>
          <w:sz w:val="25"/>
          <w:szCs w:val="25"/>
        </w:rPr>
        <w:t xml:space="preserve">is premature, since </w:t>
      </w:r>
      <w:r w:rsidR="00AE2B7E">
        <w:rPr>
          <w:rFonts w:ascii="Aptos" w:hAnsi="Aptos" w:cs="Times New Roman"/>
          <w:sz w:val="25"/>
          <w:szCs w:val="25"/>
        </w:rPr>
        <w:t>although it intends to submit the email</w:t>
      </w:r>
      <w:r w:rsidR="00275D8F">
        <w:rPr>
          <w:rFonts w:ascii="Aptos" w:hAnsi="Aptos" w:cs="Times New Roman"/>
          <w:sz w:val="25"/>
          <w:szCs w:val="25"/>
        </w:rPr>
        <w:t xml:space="preserve"> chain</w:t>
      </w:r>
      <w:r w:rsidR="00AE2B7E">
        <w:rPr>
          <w:rFonts w:ascii="Aptos" w:hAnsi="Aptos" w:cs="Times New Roman"/>
          <w:sz w:val="25"/>
          <w:szCs w:val="25"/>
        </w:rPr>
        <w:t xml:space="preserve"> as an exhibit for the proposition that “MA ESE does not have guidance about provider qualifications needed for delivery of rule-based reading instruction … to student with special education needs”</w:t>
      </w:r>
      <w:r w:rsidR="000A4C62">
        <w:rPr>
          <w:rFonts w:ascii="Aptos" w:hAnsi="Aptos" w:cs="Times New Roman"/>
          <w:sz w:val="25"/>
          <w:szCs w:val="25"/>
        </w:rPr>
        <w:t xml:space="preserve">, </w:t>
      </w:r>
      <w:r>
        <w:rPr>
          <w:rFonts w:ascii="Aptos" w:hAnsi="Aptos" w:cs="Times New Roman"/>
          <w:sz w:val="25"/>
          <w:szCs w:val="25"/>
        </w:rPr>
        <w:t xml:space="preserve">the </w:t>
      </w:r>
      <w:r w:rsidR="003D6C95">
        <w:rPr>
          <w:rFonts w:ascii="Aptos" w:hAnsi="Aptos" w:cs="Times New Roman"/>
          <w:sz w:val="25"/>
          <w:szCs w:val="25"/>
        </w:rPr>
        <w:t xml:space="preserve">District has not yet </w:t>
      </w:r>
      <w:r w:rsidR="00275D8F">
        <w:rPr>
          <w:rFonts w:ascii="Aptos" w:hAnsi="Aptos" w:cs="Times New Roman"/>
          <w:sz w:val="25"/>
          <w:szCs w:val="25"/>
        </w:rPr>
        <w:t xml:space="preserve">so </w:t>
      </w:r>
      <w:r w:rsidR="003D6C95">
        <w:rPr>
          <w:rFonts w:ascii="Aptos" w:hAnsi="Aptos" w:cs="Times New Roman"/>
          <w:sz w:val="25"/>
          <w:szCs w:val="25"/>
        </w:rPr>
        <w:t xml:space="preserve">submitted the email chain, nor are exhibits </w:t>
      </w:r>
      <w:r w:rsidR="00275D8F">
        <w:rPr>
          <w:rFonts w:ascii="Aptos" w:hAnsi="Aptos" w:cs="Times New Roman"/>
          <w:sz w:val="25"/>
          <w:szCs w:val="25"/>
        </w:rPr>
        <w:t xml:space="preserve">currently </w:t>
      </w:r>
      <w:r w:rsidR="003D6C95">
        <w:rPr>
          <w:rFonts w:ascii="Aptos" w:hAnsi="Aptos" w:cs="Times New Roman"/>
          <w:sz w:val="25"/>
          <w:szCs w:val="25"/>
        </w:rPr>
        <w:t xml:space="preserve">due.  </w:t>
      </w:r>
    </w:p>
    <w:p w14:paraId="4F77E9C5" w14:textId="77777777" w:rsidR="00974ADE" w:rsidRPr="003D6785" w:rsidRDefault="00974ADE" w:rsidP="00194306"/>
    <w:p w14:paraId="5F169B45" w14:textId="0E4DAE12" w:rsidR="005268CF" w:rsidRPr="00C93C25" w:rsidRDefault="00CB6A03" w:rsidP="00C93C25">
      <w:pPr>
        <w:pStyle w:val="Heading1"/>
        <w:spacing w:before="0" w:after="0"/>
        <w:rPr>
          <w:b/>
          <w:bCs/>
          <w:sz w:val="25"/>
          <w:szCs w:val="25"/>
        </w:rPr>
      </w:pPr>
      <w:r>
        <w:rPr>
          <w:b/>
          <w:bCs/>
          <w:sz w:val="25"/>
          <w:szCs w:val="25"/>
        </w:rPr>
        <w:t>ANALYSIS/CONCLUSIONS</w:t>
      </w:r>
    </w:p>
    <w:p w14:paraId="2066D839" w14:textId="7AE7EBA1" w:rsidR="005268CF" w:rsidRDefault="005268CF" w:rsidP="00C93C25">
      <w:pPr>
        <w:shd w:val="clear" w:color="auto" w:fill="FFFFFF"/>
        <w:spacing w:before="330"/>
        <w:rPr>
          <w:rFonts w:ascii="Aptos" w:eastAsia="Times New Roman" w:hAnsi="Aptos" w:cs="Open Sans"/>
          <w:color w:val="000000"/>
          <w:sz w:val="25"/>
          <w:szCs w:val="25"/>
          <w:lang w:eastAsia="zh-CN" w:bidi="th-TH"/>
        </w:rPr>
      </w:pPr>
      <w:r w:rsidRPr="005268CF">
        <w:rPr>
          <w:rFonts w:ascii="Aptos" w:eastAsia="Times New Roman" w:hAnsi="Aptos" w:cs="Open Sans"/>
          <w:i/>
          <w:iCs/>
          <w:color w:val="000000"/>
          <w:sz w:val="25"/>
          <w:szCs w:val="25"/>
          <w:lang w:eastAsia="zh-CN" w:bidi="th-TH"/>
        </w:rPr>
        <w:t>Rule XVI(C)</w:t>
      </w:r>
      <w:r w:rsidRPr="005268CF">
        <w:rPr>
          <w:rFonts w:ascii="Aptos" w:eastAsia="Times New Roman" w:hAnsi="Aptos" w:cs="Open Sans"/>
          <w:color w:val="000000"/>
          <w:sz w:val="25"/>
          <w:szCs w:val="25"/>
          <w:lang w:eastAsia="zh-CN" w:bidi="th-TH"/>
        </w:rPr>
        <w:t> of the </w:t>
      </w:r>
      <w:r w:rsidRPr="005268CF">
        <w:rPr>
          <w:rFonts w:ascii="Aptos" w:eastAsia="Times New Roman" w:hAnsi="Aptos" w:cs="Open Sans"/>
          <w:i/>
          <w:iCs/>
          <w:color w:val="000000"/>
          <w:sz w:val="25"/>
          <w:szCs w:val="25"/>
          <w:lang w:eastAsia="zh-CN" w:bidi="th-TH"/>
        </w:rPr>
        <w:t>Hearing Rules for Special Education Appeals</w:t>
      </w:r>
      <w:r w:rsidRPr="005268CF">
        <w:rPr>
          <w:rFonts w:ascii="Aptos" w:eastAsia="Times New Roman" w:hAnsi="Aptos" w:cs="Open Sans"/>
          <w:color w:val="000000"/>
          <w:sz w:val="25"/>
          <w:szCs w:val="25"/>
          <w:lang w:eastAsia="zh-CN" w:bidi="th-TH"/>
        </w:rPr>
        <w:t xml:space="preserve"> provides that although a BSEA Hearing Officer is not bound by the rules of evidence applicable to the courts, except </w:t>
      </w:r>
      <w:proofErr w:type="gramStart"/>
      <w:r w:rsidRPr="005268CF">
        <w:rPr>
          <w:rFonts w:ascii="Aptos" w:eastAsia="Times New Roman" w:hAnsi="Aptos" w:cs="Open Sans"/>
          <w:color w:val="000000"/>
          <w:sz w:val="25"/>
          <w:szCs w:val="25"/>
          <w:lang w:eastAsia="zh-CN" w:bidi="th-TH"/>
        </w:rPr>
        <w:t>with regard to</w:t>
      </w:r>
      <w:proofErr w:type="gramEnd"/>
      <w:r w:rsidRPr="005268CF">
        <w:rPr>
          <w:rFonts w:ascii="Aptos" w:eastAsia="Times New Roman" w:hAnsi="Aptos" w:cs="Open Sans"/>
          <w:color w:val="000000"/>
          <w:sz w:val="25"/>
          <w:szCs w:val="25"/>
          <w:lang w:eastAsia="zh-CN" w:bidi="th-TH"/>
        </w:rPr>
        <w:t xml:space="preserve"> rules of privilege recognized by law, evidence is admissible “… only if it is the kind of evidence upon which reasonable persons are accustomed to rely in the conduct of serious affairs”</w:t>
      </w:r>
      <w:r>
        <w:rPr>
          <w:rStyle w:val="FootnoteReference"/>
          <w:rFonts w:ascii="Aptos" w:eastAsia="Times New Roman" w:hAnsi="Aptos" w:cs="Open Sans"/>
          <w:color w:val="000000"/>
          <w:sz w:val="25"/>
          <w:szCs w:val="25"/>
          <w:lang w:eastAsia="zh-CN" w:bidi="th-TH"/>
        </w:rPr>
        <w:footnoteReference w:id="2"/>
      </w:r>
      <w:r w:rsidRPr="005268CF">
        <w:rPr>
          <w:rFonts w:ascii="Aptos" w:eastAsia="Times New Roman" w:hAnsi="Aptos" w:cs="Open Sans"/>
          <w:color w:val="000000"/>
          <w:sz w:val="25"/>
          <w:szCs w:val="25"/>
          <w:lang w:eastAsia="zh-CN" w:bidi="th-TH"/>
        </w:rPr>
        <w:t>.  Further, under </w:t>
      </w:r>
      <w:r w:rsidRPr="005268CF">
        <w:rPr>
          <w:rFonts w:ascii="Aptos" w:eastAsia="Times New Roman" w:hAnsi="Aptos" w:cs="Open Sans"/>
          <w:i/>
          <w:iCs/>
          <w:color w:val="000000"/>
          <w:sz w:val="25"/>
          <w:szCs w:val="25"/>
          <w:lang w:eastAsia="zh-CN" w:bidi="th-TH"/>
        </w:rPr>
        <w:t>Rule IX(B)</w:t>
      </w:r>
      <w:r w:rsidRPr="005268CF">
        <w:rPr>
          <w:rFonts w:ascii="Aptos" w:eastAsia="Times New Roman" w:hAnsi="Aptos" w:cs="Open Sans"/>
          <w:color w:val="000000"/>
          <w:sz w:val="25"/>
          <w:szCs w:val="25"/>
          <w:lang w:eastAsia="zh-CN" w:bidi="th-TH"/>
        </w:rPr>
        <w:t> Hearing Officers have the duty to “receive and consider all relevant and reliable evidence”. </w:t>
      </w:r>
    </w:p>
    <w:p w14:paraId="3520D1A8" w14:textId="248016E9" w:rsidR="004F5405" w:rsidRPr="004F5405" w:rsidRDefault="000352D6" w:rsidP="004F5405">
      <w:pPr>
        <w:shd w:val="clear" w:color="auto" w:fill="FFFFFF"/>
        <w:spacing w:before="330"/>
        <w:rPr>
          <w:rFonts w:ascii="Aptos" w:eastAsia="Times New Roman" w:hAnsi="Aptos" w:cs="Open Sans"/>
          <w:color w:val="000000"/>
          <w:sz w:val="25"/>
          <w:szCs w:val="25"/>
          <w:lang w:eastAsia="zh-CN" w:bidi="th-TH"/>
        </w:rPr>
      </w:pPr>
      <w:r>
        <w:rPr>
          <w:rFonts w:ascii="Aptos" w:eastAsia="Times New Roman" w:hAnsi="Aptos" w:cs="Open Sans"/>
          <w:color w:val="000000"/>
          <w:sz w:val="25"/>
          <w:szCs w:val="25"/>
          <w:lang w:eastAsia="zh-CN" w:bidi="th-TH"/>
        </w:rPr>
        <w:t>It is well established that the</w:t>
      </w:r>
      <w:r w:rsidR="00931DEA">
        <w:rPr>
          <w:rFonts w:ascii="Aptos" w:eastAsia="Times New Roman" w:hAnsi="Aptos" w:cs="Open Sans"/>
          <w:color w:val="000000"/>
          <w:sz w:val="25"/>
          <w:szCs w:val="25"/>
          <w:lang w:eastAsia="zh-CN" w:bidi="th-TH"/>
        </w:rPr>
        <w:t xml:space="preserve"> BSEA does not have jurisdiction over PRS nor are PRS findings binding on the BSEA</w:t>
      </w:r>
      <w:r>
        <w:rPr>
          <w:rStyle w:val="FootnoteReference"/>
          <w:rFonts w:ascii="Aptos" w:eastAsia="Times New Roman" w:hAnsi="Aptos" w:cs="Open Sans"/>
          <w:color w:val="000000"/>
          <w:sz w:val="25"/>
          <w:szCs w:val="25"/>
          <w:lang w:eastAsia="zh-CN" w:bidi="th-TH"/>
        </w:rPr>
        <w:footnoteReference w:id="3"/>
      </w:r>
      <w:r w:rsidR="00931DEA">
        <w:rPr>
          <w:rFonts w:ascii="Aptos" w:eastAsia="Times New Roman" w:hAnsi="Aptos" w:cs="Open Sans"/>
          <w:color w:val="000000"/>
          <w:sz w:val="25"/>
          <w:szCs w:val="25"/>
          <w:lang w:eastAsia="zh-CN" w:bidi="th-TH"/>
        </w:rPr>
        <w:t xml:space="preserve">.  </w:t>
      </w:r>
      <w:r w:rsidR="004F5405" w:rsidRPr="004F5405">
        <w:rPr>
          <w:rFonts w:ascii="Aptos" w:eastAsia="Times New Roman" w:hAnsi="Aptos" w:cs="Open Sans"/>
          <w:color w:val="000000"/>
          <w:sz w:val="25"/>
          <w:szCs w:val="25"/>
          <w:lang w:eastAsia="zh-CN" w:bidi="th-TH"/>
        </w:rPr>
        <w:t>603 CMR 28.08(2) provides that</w:t>
      </w:r>
    </w:p>
    <w:p w14:paraId="20036E34" w14:textId="1D632E36" w:rsidR="00CB6A03" w:rsidRDefault="00AA647E" w:rsidP="00931DEA">
      <w:pPr>
        <w:shd w:val="clear" w:color="auto" w:fill="FFFFFF"/>
        <w:spacing w:before="330"/>
        <w:ind w:left="720" w:right="720"/>
        <w:rPr>
          <w:rFonts w:ascii="Aptos" w:eastAsia="Times New Roman" w:hAnsi="Aptos" w:cs="Open Sans"/>
          <w:color w:val="000000"/>
          <w:sz w:val="25"/>
          <w:szCs w:val="25"/>
          <w:lang w:eastAsia="zh-CN" w:bidi="th-TH"/>
        </w:rPr>
      </w:pPr>
      <w:r>
        <w:rPr>
          <w:rFonts w:ascii="Aptos" w:eastAsia="Times New Roman" w:hAnsi="Aptos" w:cs="Open Sans"/>
          <w:color w:val="000000"/>
          <w:sz w:val="25"/>
          <w:szCs w:val="25"/>
          <w:lang w:eastAsia="zh-CN" w:bidi="th-TH"/>
        </w:rPr>
        <w:t>“</w:t>
      </w:r>
      <w:r w:rsidR="009A1CB5" w:rsidRPr="009A1CB5">
        <w:rPr>
          <w:rFonts w:ascii="Aptos" w:eastAsia="Times New Roman" w:hAnsi="Aptos" w:cs="Open Sans"/>
          <w:color w:val="000000"/>
          <w:sz w:val="25"/>
          <w:szCs w:val="25"/>
          <w:lang w:eastAsia="zh-CN" w:bidi="th-TH"/>
        </w:rPr>
        <w:t>The Department maintains a Problem Resolution System that provides for the investigation of complaints and the enforcement of compliance with 603 CMR 28.00, as well as with other statutes and regulations relating to the provision of publicly funded education.</w:t>
      </w:r>
      <w:r w:rsidR="009A1CB5">
        <w:rPr>
          <w:rFonts w:ascii="Aptos" w:eastAsia="Times New Roman" w:hAnsi="Aptos" w:cs="Open Sans"/>
          <w:color w:val="000000"/>
          <w:sz w:val="25"/>
          <w:szCs w:val="25"/>
          <w:lang w:eastAsia="zh-CN" w:bidi="th-TH"/>
        </w:rPr>
        <w:t xml:space="preserve">  [</w:t>
      </w:r>
      <w:r w:rsidR="004F5405" w:rsidRPr="004F5405">
        <w:rPr>
          <w:rFonts w:ascii="Aptos" w:eastAsia="Times New Roman" w:hAnsi="Aptos" w:cs="Open Sans"/>
          <w:color w:val="000000"/>
          <w:sz w:val="25"/>
          <w:szCs w:val="25"/>
          <w:lang w:eastAsia="zh-CN" w:bidi="th-TH"/>
        </w:rPr>
        <w:t xml:space="preserve">PRS] </w:t>
      </w:r>
      <w:r w:rsidR="0063566E" w:rsidRPr="0063566E">
        <w:rPr>
          <w:rFonts w:ascii="Aptos" w:eastAsia="Times New Roman" w:hAnsi="Aptos" w:cs="Open Sans"/>
          <w:color w:val="000000"/>
          <w:sz w:val="25"/>
          <w:szCs w:val="25"/>
          <w:lang w:eastAsia="zh-CN" w:bidi="th-TH"/>
        </w:rPr>
        <w:t>can make findings on procedural issues and issues related to implementation of requirements</w:t>
      </w:r>
      <w:r w:rsidR="00601570">
        <w:rPr>
          <w:rFonts w:ascii="Aptos" w:eastAsia="Times New Roman" w:hAnsi="Aptos" w:cs="Open Sans"/>
          <w:color w:val="000000"/>
          <w:sz w:val="25"/>
          <w:szCs w:val="25"/>
          <w:lang w:eastAsia="zh-CN" w:bidi="th-TH"/>
        </w:rPr>
        <w:t xml:space="preserve">….  </w:t>
      </w:r>
      <w:r w:rsidR="0063566E" w:rsidRPr="0063566E">
        <w:rPr>
          <w:rFonts w:ascii="Aptos" w:eastAsia="Times New Roman" w:hAnsi="Aptos" w:cs="Open Sans"/>
          <w:color w:val="000000"/>
          <w:sz w:val="25"/>
          <w:szCs w:val="25"/>
          <w:lang w:eastAsia="zh-CN" w:bidi="th-TH"/>
        </w:rPr>
        <w:t>Findings and orders issued by the Department on complaints and the Department's processing of a complaint are not reviewable by the Bureau of Special Education Appeals. Additionally, the pendency of a complaint before the Department does not make the Department a necessary party to actions on related issues pending before the Bureau of Special Education Appeals</w:t>
      </w:r>
      <w:r w:rsidR="004F5405" w:rsidRPr="004F5405">
        <w:rPr>
          <w:rFonts w:ascii="Aptos" w:eastAsia="Times New Roman" w:hAnsi="Aptos" w:cs="Open Sans"/>
          <w:color w:val="000000"/>
          <w:sz w:val="25"/>
          <w:szCs w:val="25"/>
          <w:lang w:eastAsia="zh-CN" w:bidi="th-TH"/>
        </w:rPr>
        <w:t>.</w:t>
      </w:r>
      <w:r>
        <w:rPr>
          <w:rFonts w:ascii="Aptos" w:eastAsia="Times New Roman" w:hAnsi="Aptos" w:cs="Open Sans"/>
          <w:color w:val="000000"/>
          <w:sz w:val="25"/>
          <w:szCs w:val="25"/>
          <w:lang w:eastAsia="zh-CN" w:bidi="th-TH"/>
        </w:rPr>
        <w:t>”</w:t>
      </w:r>
    </w:p>
    <w:p w14:paraId="3BF71230" w14:textId="77777777" w:rsidR="00C93C25" w:rsidRDefault="00C93C25" w:rsidP="005268CF">
      <w:pPr>
        <w:rPr>
          <w:rFonts w:ascii="Aptos" w:hAnsi="Aptos"/>
          <w:sz w:val="25"/>
          <w:szCs w:val="25"/>
        </w:rPr>
      </w:pPr>
    </w:p>
    <w:p w14:paraId="661528F9" w14:textId="4DBF49F6" w:rsidR="005268CF" w:rsidRDefault="00007300" w:rsidP="005268CF">
      <w:pPr>
        <w:rPr>
          <w:rFonts w:ascii="Aptos" w:hAnsi="Aptos"/>
          <w:sz w:val="25"/>
          <w:szCs w:val="25"/>
        </w:rPr>
      </w:pPr>
      <w:r>
        <w:rPr>
          <w:rFonts w:ascii="Aptos" w:hAnsi="Aptos"/>
          <w:sz w:val="25"/>
          <w:szCs w:val="25"/>
        </w:rPr>
        <w:t xml:space="preserve">Although the District is correct that the email chain has yet to be presented </w:t>
      </w:r>
      <w:r w:rsidR="003A5AB8">
        <w:rPr>
          <w:rFonts w:ascii="Aptos" w:hAnsi="Aptos"/>
          <w:sz w:val="25"/>
          <w:szCs w:val="25"/>
        </w:rPr>
        <w:t xml:space="preserve">as “evidence” </w:t>
      </w:r>
      <w:r>
        <w:rPr>
          <w:rFonts w:ascii="Aptos" w:hAnsi="Aptos"/>
          <w:sz w:val="25"/>
          <w:szCs w:val="25"/>
        </w:rPr>
        <w:t>in this matter</w:t>
      </w:r>
      <w:r w:rsidR="003A5AB8">
        <w:rPr>
          <w:rFonts w:ascii="Aptos" w:hAnsi="Aptos"/>
          <w:sz w:val="25"/>
          <w:szCs w:val="25"/>
        </w:rPr>
        <w:t xml:space="preserve">, since </w:t>
      </w:r>
      <w:r>
        <w:rPr>
          <w:rFonts w:ascii="Aptos" w:hAnsi="Aptos"/>
          <w:sz w:val="25"/>
          <w:szCs w:val="25"/>
        </w:rPr>
        <w:t xml:space="preserve">it has yet to submit it as an exhibit and exhibits are not </w:t>
      </w:r>
      <w:r w:rsidR="003175DE">
        <w:rPr>
          <w:rFonts w:ascii="Aptos" w:hAnsi="Aptos"/>
          <w:sz w:val="25"/>
          <w:szCs w:val="25"/>
        </w:rPr>
        <w:lastRenderedPageBreak/>
        <w:t>presently</w:t>
      </w:r>
      <w:r>
        <w:rPr>
          <w:rFonts w:ascii="Aptos" w:hAnsi="Aptos"/>
          <w:sz w:val="25"/>
          <w:szCs w:val="25"/>
        </w:rPr>
        <w:t xml:space="preserve"> due, </w:t>
      </w:r>
      <w:r w:rsidR="006F1BB7">
        <w:rPr>
          <w:rFonts w:ascii="Aptos" w:hAnsi="Aptos"/>
          <w:sz w:val="25"/>
          <w:szCs w:val="25"/>
        </w:rPr>
        <w:t xml:space="preserve">the District’s confirmation that it </w:t>
      </w:r>
      <w:r>
        <w:rPr>
          <w:rFonts w:ascii="Aptos" w:hAnsi="Aptos"/>
          <w:sz w:val="25"/>
          <w:szCs w:val="25"/>
        </w:rPr>
        <w:t xml:space="preserve">intends to do so, </w:t>
      </w:r>
      <w:r w:rsidR="006F1BB7">
        <w:rPr>
          <w:rFonts w:ascii="Aptos" w:hAnsi="Aptos"/>
          <w:sz w:val="25"/>
          <w:szCs w:val="25"/>
        </w:rPr>
        <w:t xml:space="preserve">makes </w:t>
      </w:r>
      <w:r>
        <w:rPr>
          <w:rFonts w:ascii="Aptos" w:hAnsi="Aptos"/>
          <w:i/>
          <w:iCs/>
          <w:sz w:val="25"/>
          <w:szCs w:val="25"/>
        </w:rPr>
        <w:t xml:space="preserve">Parents’ Objection </w:t>
      </w:r>
      <w:r>
        <w:rPr>
          <w:rFonts w:ascii="Aptos" w:hAnsi="Aptos"/>
          <w:sz w:val="25"/>
          <w:szCs w:val="25"/>
        </w:rPr>
        <w:t>ripe for consideration at this time.  Parents’ claim</w:t>
      </w:r>
      <w:r w:rsidR="0045266F">
        <w:rPr>
          <w:rFonts w:ascii="Aptos" w:hAnsi="Aptos"/>
          <w:sz w:val="25"/>
          <w:szCs w:val="25"/>
        </w:rPr>
        <w:t xml:space="preserve"> </w:t>
      </w:r>
      <w:r>
        <w:rPr>
          <w:rFonts w:ascii="Aptos" w:hAnsi="Aptos"/>
          <w:sz w:val="25"/>
          <w:szCs w:val="25"/>
        </w:rPr>
        <w:t xml:space="preserve">that the email chain is both irrelevant and unreliable </w:t>
      </w:r>
      <w:proofErr w:type="gramStart"/>
      <w:r w:rsidR="003175DE">
        <w:rPr>
          <w:rFonts w:ascii="Aptos" w:hAnsi="Aptos"/>
          <w:sz w:val="25"/>
          <w:szCs w:val="25"/>
        </w:rPr>
        <w:t xml:space="preserve">with regard </w:t>
      </w:r>
      <w:r>
        <w:rPr>
          <w:rFonts w:ascii="Aptos" w:hAnsi="Aptos"/>
          <w:sz w:val="25"/>
          <w:szCs w:val="25"/>
        </w:rPr>
        <w:t>to</w:t>
      </w:r>
      <w:proofErr w:type="gramEnd"/>
      <w:r>
        <w:rPr>
          <w:rFonts w:ascii="Aptos" w:hAnsi="Aptos"/>
          <w:sz w:val="25"/>
          <w:szCs w:val="25"/>
        </w:rPr>
        <w:t xml:space="preserve"> any issues for Hearing.  However, to reach such a conclusion would require that I undertake a substantive review and analysis of the contents of the email chain</w:t>
      </w:r>
      <w:r w:rsidR="00843597">
        <w:rPr>
          <w:rFonts w:ascii="Aptos" w:hAnsi="Aptos"/>
          <w:sz w:val="25"/>
          <w:szCs w:val="25"/>
        </w:rPr>
        <w:t xml:space="preserve"> at this time</w:t>
      </w:r>
      <w:r>
        <w:rPr>
          <w:rFonts w:ascii="Aptos" w:hAnsi="Aptos"/>
          <w:sz w:val="25"/>
          <w:szCs w:val="25"/>
        </w:rPr>
        <w:t>.  Parents are not questioning the authenticity of the emails</w:t>
      </w:r>
      <w:r w:rsidR="0024487A">
        <w:rPr>
          <w:rFonts w:ascii="Aptos" w:hAnsi="Aptos"/>
          <w:sz w:val="25"/>
          <w:szCs w:val="25"/>
        </w:rPr>
        <w:t xml:space="preserve"> or the accuracy of the statements made, rather, their arguments address the weight I should accord </w:t>
      </w:r>
      <w:proofErr w:type="gramStart"/>
      <w:r w:rsidR="0024487A">
        <w:rPr>
          <w:rFonts w:ascii="Aptos" w:hAnsi="Aptos"/>
          <w:sz w:val="25"/>
          <w:szCs w:val="25"/>
        </w:rPr>
        <w:t>to</w:t>
      </w:r>
      <w:proofErr w:type="gramEnd"/>
      <w:r w:rsidR="0024487A">
        <w:rPr>
          <w:rFonts w:ascii="Aptos" w:hAnsi="Aptos"/>
          <w:sz w:val="25"/>
          <w:szCs w:val="25"/>
        </w:rPr>
        <w:t xml:space="preserve"> the </w:t>
      </w:r>
      <w:r>
        <w:rPr>
          <w:rFonts w:ascii="Aptos" w:hAnsi="Aptos"/>
          <w:sz w:val="25"/>
          <w:szCs w:val="25"/>
        </w:rPr>
        <w:t>information contained in the email chain.  Thus, a pre</w:t>
      </w:r>
      <w:r w:rsidR="00DC0876">
        <w:rPr>
          <w:rFonts w:ascii="Aptos" w:hAnsi="Aptos"/>
          <w:sz w:val="25"/>
          <w:szCs w:val="25"/>
        </w:rPr>
        <w:t>-</w:t>
      </w:r>
      <w:r>
        <w:rPr>
          <w:rFonts w:ascii="Aptos" w:hAnsi="Aptos"/>
          <w:sz w:val="25"/>
          <w:szCs w:val="25"/>
        </w:rPr>
        <w:t>emptive exclusion of the email chain is inappropriate at this stage of the proceedings.  Only after completion of a hearing on the merits</w:t>
      </w:r>
      <w:r w:rsidR="001149A3">
        <w:rPr>
          <w:rFonts w:ascii="Aptos" w:hAnsi="Aptos"/>
          <w:sz w:val="25"/>
          <w:szCs w:val="25"/>
        </w:rPr>
        <w:t>, during which both Parties will have the opportunity to present other documentation and testimony, cross-examine opposing witnesses, and present arguments, will I be able to determine what, if any,</w:t>
      </w:r>
      <w:r w:rsidR="005E39A3">
        <w:rPr>
          <w:rFonts w:ascii="Aptos" w:hAnsi="Aptos"/>
          <w:sz w:val="25"/>
          <w:szCs w:val="25"/>
        </w:rPr>
        <w:t xml:space="preserve"> bearing the email chain has on my determination as to Issue I(a).  </w:t>
      </w:r>
    </w:p>
    <w:p w14:paraId="23206013" w14:textId="77777777" w:rsidR="005E39A3" w:rsidRDefault="005E39A3" w:rsidP="005268CF">
      <w:pPr>
        <w:rPr>
          <w:rFonts w:ascii="Aptos" w:hAnsi="Aptos"/>
          <w:sz w:val="25"/>
          <w:szCs w:val="25"/>
        </w:rPr>
      </w:pPr>
    </w:p>
    <w:p w14:paraId="5A673050" w14:textId="55FAA7EB" w:rsidR="005E39A3" w:rsidRPr="00F93B39" w:rsidRDefault="003F22E1" w:rsidP="005268CF">
      <w:pPr>
        <w:rPr>
          <w:rFonts w:ascii="Aptos" w:hAnsi="Aptos"/>
          <w:sz w:val="25"/>
          <w:szCs w:val="25"/>
        </w:rPr>
      </w:pPr>
      <w:r>
        <w:rPr>
          <w:rFonts w:ascii="Aptos" w:hAnsi="Aptos"/>
          <w:sz w:val="25"/>
          <w:szCs w:val="25"/>
        </w:rPr>
        <w:t>I note, however, that t</w:t>
      </w:r>
      <w:r w:rsidR="00F93B39">
        <w:rPr>
          <w:rFonts w:ascii="Aptos" w:hAnsi="Aptos"/>
          <w:sz w:val="25"/>
          <w:szCs w:val="25"/>
        </w:rPr>
        <w:t xml:space="preserve">he </w:t>
      </w:r>
      <w:r w:rsidR="003D1575">
        <w:rPr>
          <w:rFonts w:ascii="Aptos" w:hAnsi="Aptos"/>
          <w:sz w:val="25"/>
          <w:szCs w:val="25"/>
        </w:rPr>
        <w:t>email chain will only be one piece of evidence that I consider (potentially wi</w:t>
      </w:r>
      <w:r w:rsidR="00737E64">
        <w:rPr>
          <w:rFonts w:ascii="Aptos" w:hAnsi="Aptos"/>
          <w:sz w:val="25"/>
          <w:szCs w:val="25"/>
        </w:rPr>
        <w:t>th or without according it substantial weight) in my determination of Issue I(a)</w:t>
      </w:r>
      <w:r w:rsidR="00125A2A">
        <w:rPr>
          <w:rFonts w:ascii="Aptos" w:hAnsi="Aptos"/>
          <w:sz w:val="25"/>
          <w:szCs w:val="25"/>
        </w:rPr>
        <w:t xml:space="preserve">.  That </w:t>
      </w:r>
      <w:r w:rsidR="00EA68B6">
        <w:rPr>
          <w:rFonts w:ascii="Aptos" w:hAnsi="Aptos"/>
          <w:sz w:val="25"/>
          <w:szCs w:val="25"/>
        </w:rPr>
        <w:t>I</w:t>
      </w:r>
      <w:r w:rsidR="00125A2A">
        <w:rPr>
          <w:rFonts w:ascii="Aptos" w:hAnsi="Aptos"/>
          <w:sz w:val="25"/>
          <w:szCs w:val="25"/>
        </w:rPr>
        <w:t>ssue is specific to Student and will thus turn on Student’s educational needs and the provisions of his IEP</w:t>
      </w:r>
      <w:r w:rsidR="0027210B">
        <w:rPr>
          <w:rFonts w:ascii="Aptos" w:hAnsi="Aptos"/>
          <w:sz w:val="25"/>
          <w:szCs w:val="25"/>
        </w:rPr>
        <w:t xml:space="preserve">, not merely general statements </w:t>
      </w:r>
      <w:r>
        <w:rPr>
          <w:rFonts w:ascii="Aptos" w:hAnsi="Aptos"/>
          <w:sz w:val="25"/>
          <w:szCs w:val="25"/>
        </w:rPr>
        <w:t>of licensure requirements or lack thereof</w:t>
      </w:r>
      <w:r w:rsidR="00125A2A">
        <w:rPr>
          <w:rFonts w:ascii="Aptos" w:hAnsi="Aptos"/>
          <w:sz w:val="25"/>
          <w:szCs w:val="25"/>
        </w:rPr>
        <w:t xml:space="preserve">.  </w:t>
      </w:r>
      <w:r w:rsidR="00843597">
        <w:rPr>
          <w:rFonts w:ascii="Aptos" w:hAnsi="Aptos"/>
          <w:sz w:val="25"/>
          <w:szCs w:val="25"/>
        </w:rPr>
        <w:t>Further</w:t>
      </w:r>
      <w:r>
        <w:rPr>
          <w:rFonts w:ascii="Aptos" w:hAnsi="Aptos"/>
          <w:sz w:val="25"/>
          <w:szCs w:val="25"/>
        </w:rPr>
        <w:t xml:space="preserve">, </w:t>
      </w:r>
      <w:r w:rsidR="00D52AC5">
        <w:rPr>
          <w:rFonts w:ascii="Aptos" w:hAnsi="Aptos"/>
          <w:sz w:val="25"/>
          <w:szCs w:val="25"/>
        </w:rPr>
        <w:t>I recognize that there is nothing student-specific about the email chain</w:t>
      </w:r>
      <w:r w:rsidR="003070A1">
        <w:rPr>
          <w:rFonts w:ascii="Aptos" w:hAnsi="Aptos"/>
          <w:sz w:val="25"/>
          <w:szCs w:val="25"/>
        </w:rPr>
        <w:t xml:space="preserve">.  Additionally, </w:t>
      </w:r>
      <w:r w:rsidR="00CB02C0">
        <w:rPr>
          <w:rFonts w:ascii="Aptos" w:hAnsi="Aptos"/>
          <w:sz w:val="25"/>
          <w:szCs w:val="25"/>
        </w:rPr>
        <w:t xml:space="preserve">the BSEA is </w:t>
      </w:r>
      <w:r w:rsidR="00311A24">
        <w:rPr>
          <w:rFonts w:ascii="Aptos" w:hAnsi="Aptos"/>
          <w:sz w:val="25"/>
          <w:szCs w:val="25"/>
        </w:rPr>
        <w:t>neither</w:t>
      </w:r>
      <w:r w:rsidR="00CB02C0">
        <w:rPr>
          <w:rFonts w:ascii="Aptos" w:hAnsi="Aptos"/>
          <w:sz w:val="25"/>
          <w:szCs w:val="25"/>
        </w:rPr>
        <w:t xml:space="preserve"> bound by </w:t>
      </w:r>
      <w:r>
        <w:rPr>
          <w:rFonts w:ascii="Aptos" w:hAnsi="Aptos"/>
          <w:sz w:val="25"/>
          <w:szCs w:val="25"/>
        </w:rPr>
        <w:t>n</w:t>
      </w:r>
      <w:r w:rsidR="00CB02C0">
        <w:rPr>
          <w:rFonts w:ascii="Aptos" w:hAnsi="Aptos"/>
          <w:sz w:val="25"/>
          <w:szCs w:val="25"/>
        </w:rPr>
        <w:t xml:space="preserve">or </w:t>
      </w:r>
      <w:r w:rsidR="00311A24">
        <w:rPr>
          <w:rFonts w:ascii="Aptos" w:hAnsi="Aptos"/>
          <w:sz w:val="25"/>
          <w:szCs w:val="25"/>
        </w:rPr>
        <w:t xml:space="preserve">authorized </w:t>
      </w:r>
      <w:r w:rsidR="007975A8">
        <w:rPr>
          <w:rFonts w:ascii="Aptos" w:hAnsi="Aptos"/>
          <w:sz w:val="25"/>
          <w:szCs w:val="25"/>
        </w:rPr>
        <w:t xml:space="preserve">to review </w:t>
      </w:r>
      <w:r w:rsidR="00676110">
        <w:rPr>
          <w:rFonts w:ascii="Aptos" w:hAnsi="Aptos"/>
          <w:sz w:val="25"/>
          <w:szCs w:val="25"/>
        </w:rPr>
        <w:t>PRS determinations</w:t>
      </w:r>
      <w:r w:rsidR="007975A8">
        <w:rPr>
          <w:rFonts w:ascii="Aptos" w:hAnsi="Aptos"/>
          <w:sz w:val="25"/>
          <w:szCs w:val="25"/>
        </w:rPr>
        <w:t xml:space="preserve">.  </w:t>
      </w:r>
      <w:r w:rsidR="00EA68B6">
        <w:rPr>
          <w:rFonts w:ascii="Aptos" w:hAnsi="Aptos"/>
          <w:sz w:val="25"/>
          <w:szCs w:val="25"/>
        </w:rPr>
        <w:t>Parents</w:t>
      </w:r>
      <w:r w:rsidR="002B690C">
        <w:rPr>
          <w:rFonts w:ascii="Aptos" w:hAnsi="Aptos"/>
          <w:sz w:val="25"/>
          <w:szCs w:val="25"/>
        </w:rPr>
        <w:t>, as the</w:t>
      </w:r>
      <w:r w:rsidR="00AD7A2B">
        <w:rPr>
          <w:rFonts w:ascii="Aptos" w:hAnsi="Aptos"/>
          <w:sz w:val="25"/>
          <w:szCs w:val="25"/>
        </w:rPr>
        <w:t xml:space="preserve"> moving</w:t>
      </w:r>
      <w:r w:rsidR="002B690C">
        <w:rPr>
          <w:rFonts w:ascii="Aptos" w:hAnsi="Aptos"/>
          <w:sz w:val="25"/>
          <w:szCs w:val="25"/>
        </w:rPr>
        <w:t xml:space="preserve"> party </w:t>
      </w:r>
      <w:r w:rsidR="00AD7A2B">
        <w:rPr>
          <w:rFonts w:ascii="Aptos" w:hAnsi="Aptos"/>
          <w:sz w:val="25"/>
          <w:szCs w:val="25"/>
        </w:rPr>
        <w:t xml:space="preserve">in </w:t>
      </w:r>
      <w:r w:rsidR="002B690C">
        <w:rPr>
          <w:rFonts w:ascii="Aptos" w:hAnsi="Aptos"/>
          <w:sz w:val="25"/>
          <w:szCs w:val="25"/>
        </w:rPr>
        <w:t xml:space="preserve">the underlying </w:t>
      </w:r>
      <w:r w:rsidR="002B690C">
        <w:rPr>
          <w:rFonts w:ascii="Aptos" w:hAnsi="Aptos"/>
          <w:i/>
          <w:iCs/>
          <w:sz w:val="25"/>
          <w:szCs w:val="25"/>
        </w:rPr>
        <w:t>Hearing Request,</w:t>
      </w:r>
      <w:r w:rsidR="00EA68B6">
        <w:rPr>
          <w:rFonts w:ascii="Aptos" w:hAnsi="Aptos"/>
          <w:sz w:val="25"/>
          <w:szCs w:val="25"/>
        </w:rPr>
        <w:t xml:space="preserve"> bear the burden of production on all issues in this matter</w:t>
      </w:r>
      <w:r w:rsidR="004942A2">
        <w:rPr>
          <w:rStyle w:val="FootnoteReference"/>
          <w:rFonts w:ascii="Aptos" w:hAnsi="Aptos"/>
          <w:sz w:val="25"/>
          <w:szCs w:val="25"/>
        </w:rPr>
        <w:footnoteReference w:id="4"/>
      </w:r>
      <w:r w:rsidR="00C61A89">
        <w:rPr>
          <w:rFonts w:ascii="Aptos" w:hAnsi="Aptos"/>
          <w:sz w:val="25"/>
          <w:szCs w:val="25"/>
        </w:rPr>
        <w:t>.  T</w:t>
      </w:r>
      <w:r w:rsidR="002B690C">
        <w:rPr>
          <w:rFonts w:ascii="Aptos" w:hAnsi="Aptos"/>
          <w:sz w:val="25"/>
          <w:szCs w:val="25"/>
        </w:rPr>
        <w:t>hus</w:t>
      </w:r>
      <w:r w:rsidR="00E8191B">
        <w:rPr>
          <w:rFonts w:ascii="Aptos" w:hAnsi="Aptos"/>
          <w:sz w:val="25"/>
          <w:szCs w:val="25"/>
        </w:rPr>
        <w:t>,</w:t>
      </w:r>
      <w:r w:rsidR="002B690C">
        <w:rPr>
          <w:rFonts w:ascii="Aptos" w:hAnsi="Aptos"/>
          <w:sz w:val="25"/>
          <w:szCs w:val="25"/>
        </w:rPr>
        <w:t xml:space="preserve"> while it is understandable that they seek to preclude the District from submitting evidence that contradicts their position, the appropriate process for Parents to pursue in addressing the email chain is to present their own testimony and evidence </w:t>
      </w:r>
      <w:r w:rsidR="00C61A89">
        <w:rPr>
          <w:rFonts w:ascii="Aptos" w:hAnsi="Aptos"/>
          <w:sz w:val="25"/>
          <w:szCs w:val="25"/>
        </w:rPr>
        <w:t xml:space="preserve">at Hearing </w:t>
      </w:r>
      <w:r w:rsidR="004A5C69">
        <w:rPr>
          <w:rFonts w:ascii="Aptos" w:hAnsi="Aptos"/>
          <w:sz w:val="25"/>
          <w:szCs w:val="25"/>
        </w:rPr>
        <w:t xml:space="preserve">as to its </w:t>
      </w:r>
      <w:r w:rsidR="00C61A89">
        <w:rPr>
          <w:rFonts w:ascii="Aptos" w:hAnsi="Aptos"/>
          <w:sz w:val="25"/>
          <w:szCs w:val="25"/>
        </w:rPr>
        <w:t xml:space="preserve">relevance, reliability, </w:t>
      </w:r>
      <w:r w:rsidR="004A5C69">
        <w:rPr>
          <w:rFonts w:ascii="Aptos" w:hAnsi="Aptos"/>
          <w:sz w:val="25"/>
          <w:szCs w:val="25"/>
        </w:rPr>
        <w:t xml:space="preserve">or lack thereof, </w:t>
      </w:r>
      <w:r w:rsidR="00E8191B">
        <w:rPr>
          <w:rFonts w:ascii="Aptos" w:hAnsi="Aptos"/>
          <w:sz w:val="25"/>
          <w:szCs w:val="25"/>
        </w:rPr>
        <w:t xml:space="preserve">with respect </w:t>
      </w:r>
      <w:r w:rsidR="004A5C69">
        <w:rPr>
          <w:rFonts w:ascii="Aptos" w:hAnsi="Aptos"/>
          <w:sz w:val="25"/>
          <w:szCs w:val="25"/>
        </w:rPr>
        <w:t>to Issue I(a).</w:t>
      </w:r>
    </w:p>
    <w:p w14:paraId="37221850" w14:textId="77777777" w:rsidR="00194306" w:rsidRDefault="00194306" w:rsidP="00194306"/>
    <w:p w14:paraId="65CD0D83" w14:textId="77777777" w:rsidR="00194306" w:rsidRPr="000535CB" w:rsidRDefault="00194306" w:rsidP="00194306">
      <w:pPr>
        <w:rPr>
          <w:rFonts w:asciiTheme="majorHAnsi" w:eastAsiaTheme="majorEastAsia" w:hAnsiTheme="majorHAnsi" w:cstheme="majorBidi"/>
          <w:b/>
          <w:bCs/>
          <w:sz w:val="25"/>
          <w:szCs w:val="25"/>
        </w:rPr>
      </w:pPr>
      <w:r w:rsidRPr="000535CB">
        <w:rPr>
          <w:rFonts w:asciiTheme="majorHAnsi" w:eastAsiaTheme="majorEastAsia" w:hAnsiTheme="majorHAnsi" w:cstheme="majorBidi"/>
          <w:b/>
          <w:bCs/>
          <w:sz w:val="25"/>
          <w:szCs w:val="25"/>
        </w:rPr>
        <w:t>CONCLUSION</w:t>
      </w:r>
    </w:p>
    <w:p w14:paraId="068C39E7" w14:textId="77777777" w:rsidR="00194306" w:rsidRDefault="00194306" w:rsidP="00194306">
      <w:pPr>
        <w:rPr>
          <w:rFonts w:asciiTheme="majorHAnsi" w:eastAsiaTheme="majorEastAsia" w:hAnsiTheme="majorHAnsi" w:cstheme="majorBidi"/>
          <w:sz w:val="25"/>
          <w:szCs w:val="25"/>
        </w:rPr>
      </w:pPr>
    </w:p>
    <w:p w14:paraId="4C960831" w14:textId="2FCA88AF" w:rsidR="00194306" w:rsidRPr="00B27CB9" w:rsidRDefault="004942A2" w:rsidP="00194306">
      <w:pPr>
        <w:rPr>
          <w:rFonts w:ascii="Aptos" w:eastAsiaTheme="majorEastAsia" w:hAnsi="Aptos" w:cstheme="majorBidi"/>
          <w:sz w:val="25"/>
          <w:szCs w:val="25"/>
        </w:rPr>
      </w:pPr>
      <w:r w:rsidRPr="004942A2">
        <w:rPr>
          <w:rFonts w:ascii="Aptos" w:eastAsiaTheme="majorEastAsia" w:hAnsi="Aptos" w:cstheme="majorBidi"/>
          <w:i/>
          <w:iCs/>
          <w:sz w:val="25"/>
          <w:szCs w:val="25"/>
        </w:rPr>
        <w:t>Parents’ Objection</w:t>
      </w:r>
      <w:r>
        <w:rPr>
          <w:rFonts w:ascii="Aptos" w:eastAsiaTheme="majorEastAsia" w:hAnsi="Aptos" w:cstheme="majorBidi"/>
          <w:sz w:val="25"/>
          <w:szCs w:val="25"/>
        </w:rPr>
        <w:t xml:space="preserve"> is </w:t>
      </w:r>
      <w:r>
        <w:rPr>
          <w:rFonts w:ascii="Aptos" w:eastAsiaTheme="majorEastAsia" w:hAnsi="Aptos" w:cstheme="majorBidi"/>
          <w:b/>
          <w:bCs/>
          <w:sz w:val="25"/>
          <w:szCs w:val="25"/>
        </w:rPr>
        <w:t>DENIED</w:t>
      </w:r>
      <w:r w:rsidR="006B6F47">
        <w:rPr>
          <w:rFonts w:ascii="Aptos" w:eastAsiaTheme="majorEastAsia" w:hAnsi="Aptos" w:cstheme="majorBidi"/>
          <w:sz w:val="25"/>
          <w:szCs w:val="25"/>
        </w:rPr>
        <w:t>.  T</w:t>
      </w:r>
      <w:r>
        <w:rPr>
          <w:rFonts w:ascii="Aptos" w:eastAsiaTheme="majorEastAsia" w:hAnsi="Aptos" w:cstheme="majorBidi"/>
          <w:sz w:val="25"/>
          <w:szCs w:val="25"/>
        </w:rPr>
        <w:t xml:space="preserve">he District shall not be prohibited from </w:t>
      </w:r>
      <w:r w:rsidR="003D6872">
        <w:rPr>
          <w:rFonts w:ascii="Aptos" w:eastAsiaTheme="majorEastAsia" w:hAnsi="Aptos" w:cstheme="majorBidi"/>
          <w:sz w:val="25"/>
          <w:szCs w:val="25"/>
        </w:rPr>
        <w:t xml:space="preserve">presenting the email </w:t>
      </w:r>
      <w:r w:rsidR="00E8191B">
        <w:rPr>
          <w:rFonts w:ascii="Aptos" w:eastAsiaTheme="majorEastAsia" w:hAnsi="Aptos" w:cstheme="majorBidi"/>
          <w:sz w:val="25"/>
          <w:szCs w:val="25"/>
        </w:rPr>
        <w:t xml:space="preserve">chain </w:t>
      </w:r>
      <w:r w:rsidR="003D6872">
        <w:rPr>
          <w:rFonts w:ascii="Aptos" w:eastAsiaTheme="majorEastAsia" w:hAnsi="Aptos" w:cstheme="majorBidi"/>
          <w:sz w:val="25"/>
          <w:szCs w:val="25"/>
        </w:rPr>
        <w:t xml:space="preserve">as an exhibit at Hearing, should it choose to do so.  </w:t>
      </w:r>
    </w:p>
    <w:p w14:paraId="32C51F43" w14:textId="77777777" w:rsidR="00194306" w:rsidRPr="00FD3928" w:rsidRDefault="00194306" w:rsidP="00194306">
      <w:pPr>
        <w:rPr>
          <w:rFonts w:ascii="Aptos" w:hAnsi="Aptos" w:cs="Times New Roman"/>
          <w:sz w:val="25"/>
          <w:szCs w:val="25"/>
        </w:rPr>
      </w:pPr>
    </w:p>
    <w:p w14:paraId="5A80C870" w14:textId="74ABDAB6" w:rsidR="00194306" w:rsidRDefault="00194306" w:rsidP="00194306">
      <w:pPr>
        <w:rPr>
          <w:rFonts w:ascii="Aptos" w:hAnsi="Aptos" w:cs="Times New Roman"/>
          <w:sz w:val="25"/>
          <w:szCs w:val="25"/>
        </w:rPr>
      </w:pPr>
      <w:r w:rsidRPr="00FD4A9D">
        <w:rPr>
          <w:rFonts w:ascii="Aptos" w:hAnsi="Aptos" w:cs="Times New Roman"/>
          <w:sz w:val="25"/>
          <w:szCs w:val="25"/>
        </w:rPr>
        <w:t>So Ordered by the Hearing Officer</w:t>
      </w:r>
      <w:r w:rsidR="003975FE">
        <w:rPr>
          <w:rFonts w:ascii="Aptos" w:hAnsi="Aptos" w:cs="Times New Roman"/>
          <w:sz w:val="25"/>
          <w:szCs w:val="25"/>
        </w:rPr>
        <w:t>,</w:t>
      </w:r>
    </w:p>
    <w:p w14:paraId="499322EC" w14:textId="77777777" w:rsidR="00E8191B" w:rsidRPr="00311A24" w:rsidRDefault="00E8191B" w:rsidP="00194306">
      <w:pPr>
        <w:rPr>
          <w:rFonts w:ascii="Aptos" w:hAnsi="Aptos" w:cs="Times New Roman"/>
          <w:sz w:val="25"/>
          <w:szCs w:val="25"/>
        </w:rPr>
      </w:pPr>
    </w:p>
    <w:p w14:paraId="19965B03" w14:textId="77777777" w:rsidR="00194306" w:rsidRPr="00D81A35" w:rsidRDefault="00194306" w:rsidP="00194306">
      <w:pPr>
        <w:rPr>
          <w:rFonts w:ascii="Times New Roman" w:hAnsi="Times New Roman" w:cs="Times New Roman"/>
          <w:sz w:val="25"/>
          <w:szCs w:val="25"/>
          <w:u w:val="single"/>
        </w:rPr>
      </w:pPr>
      <w:r w:rsidRPr="00D81A35">
        <w:rPr>
          <w:rFonts w:ascii="Times New Roman" w:hAnsi="Times New Roman" w:cs="Times New Roman"/>
          <w:sz w:val="25"/>
          <w:szCs w:val="25"/>
          <w:u w:val="single"/>
        </w:rPr>
        <w:t>/s/</w:t>
      </w:r>
      <w:r w:rsidRPr="00D81A35">
        <w:rPr>
          <w:rFonts w:ascii="Blackadder ITC" w:hAnsi="Blackadder ITC" w:cs="Times New Roman"/>
          <w:sz w:val="25"/>
          <w:szCs w:val="25"/>
          <w:u w:val="single"/>
        </w:rPr>
        <w:t xml:space="preserve"> </w:t>
      </w:r>
      <w:r w:rsidRPr="00D81A35">
        <w:rPr>
          <w:rFonts w:ascii="Lucida Handwriting" w:hAnsi="Lucida Handwriting" w:cs="Times New Roman"/>
          <w:sz w:val="25"/>
          <w:szCs w:val="25"/>
          <w:u w:val="single"/>
        </w:rPr>
        <w:t>Marguerite M. Mitchell</w:t>
      </w:r>
    </w:p>
    <w:p w14:paraId="382E5244" w14:textId="77777777" w:rsidR="00194306" w:rsidRPr="00665153" w:rsidRDefault="00194306" w:rsidP="00194306">
      <w:pPr>
        <w:rPr>
          <w:rFonts w:ascii="Aptos" w:hAnsi="Aptos" w:cs="Times New Roman"/>
          <w:sz w:val="25"/>
          <w:szCs w:val="25"/>
        </w:rPr>
      </w:pPr>
      <w:r w:rsidRPr="00665153">
        <w:rPr>
          <w:rFonts w:ascii="Aptos" w:hAnsi="Aptos" w:cs="Times New Roman"/>
          <w:sz w:val="25"/>
          <w:szCs w:val="25"/>
        </w:rPr>
        <w:t xml:space="preserve">Marguerite M. Mitchell                                            </w:t>
      </w:r>
    </w:p>
    <w:p w14:paraId="383C8E90" w14:textId="38A4BC96" w:rsidR="00194306" w:rsidRDefault="00194306" w:rsidP="00194306">
      <w:r w:rsidRPr="00665153">
        <w:rPr>
          <w:rFonts w:ascii="Aptos" w:hAnsi="Aptos" w:cs="Times New Roman"/>
          <w:sz w:val="25"/>
          <w:szCs w:val="25"/>
        </w:rPr>
        <w:t xml:space="preserve">Dated: </w:t>
      </w:r>
      <w:r w:rsidR="003D6872">
        <w:rPr>
          <w:rFonts w:ascii="Aptos" w:hAnsi="Aptos" w:cs="Times New Roman"/>
          <w:sz w:val="25"/>
          <w:szCs w:val="25"/>
        </w:rPr>
        <w:t>December 9</w:t>
      </w:r>
      <w:r>
        <w:rPr>
          <w:rFonts w:ascii="Aptos" w:hAnsi="Aptos" w:cs="Times New Roman"/>
          <w:sz w:val="25"/>
          <w:szCs w:val="25"/>
        </w:rPr>
        <w:t>, 2025</w:t>
      </w:r>
    </w:p>
    <w:p w14:paraId="0F42989B" w14:textId="77777777" w:rsidR="002233FB" w:rsidRDefault="002233FB"/>
    <w:sectPr w:rsidR="002233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D5B9" w14:textId="77777777" w:rsidR="005C4549" w:rsidRDefault="005C4549" w:rsidP="00194306">
      <w:r>
        <w:separator/>
      </w:r>
    </w:p>
  </w:endnote>
  <w:endnote w:type="continuationSeparator" w:id="0">
    <w:p w14:paraId="0951643C" w14:textId="77777777" w:rsidR="005C4549" w:rsidRDefault="005C4549" w:rsidP="0019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573455"/>
      <w:docPartObj>
        <w:docPartGallery w:val="Page Numbers (Bottom of Page)"/>
        <w:docPartUnique/>
      </w:docPartObj>
    </w:sdtPr>
    <w:sdtEndPr>
      <w:rPr>
        <w:noProof/>
      </w:rPr>
    </w:sdtEndPr>
    <w:sdtContent>
      <w:p w14:paraId="03CCA860" w14:textId="21A874A0" w:rsidR="003D6872" w:rsidRDefault="003D68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C4896" w14:textId="77777777" w:rsidR="003D6872" w:rsidRDefault="003D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2671" w14:textId="77777777" w:rsidR="005C4549" w:rsidRDefault="005C4549" w:rsidP="00194306">
      <w:r>
        <w:separator/>
      </w:r>
    </w:p>
  </w:footnote>
  <w:footnote w:type="continuationSeparator" w:id="0">
    <w:p w14:paraId="76DCCB5E" w14:textId="77777777" w:rsidR="005C4549" w:rsidRDefault="005C4549" w:rsidP="00194306">
      <w:r>
        <w:continuationSeparator/>
      </w:r>
    </w:p>
  </w:footnote>
  <w:footnote w:id="1">
    <w:p w14:paraId="79DD3A6A" w14:textId="3B0C6C3A" w:rsidR="00194306" w:rsidRDefault="00194306">
      <w:pPr>
        <w:pStyle w:val="FootnoteText"/>
      </w:pPr>
      <w:r>
        <w:rPr>
          <w:rStyle w:val="FootnoteReference"/>
        </w:rPr>
        <w:footnoteRef/>
      </w:r>
      <w:r>
        <w:t xml:space="preserve">   Although this was sent on November 19, 2025, as it was received after the close of business that day, it is deemed filed on the next business day.</w:t>
      </w:r>
    </w:p>
  </w:footnote>
  <w:footnote w:id="2">
    <w:p w14:paraId="71CC509B" w14:textId="0CA8A1E0" w:rsidR="005268CF" w:rsidRDefault="005268CF">
      <w:pPr>
        <w:pStyle w:val="FootnoteText"/>
      </w:pPr>
      <w:r>
        <w:rPr>
          <w:rStyle w:val="FootnoteReference"/>
        </w:rPr>
        <w:footnoteRef/>
      </w:r>
      <w:r>
        <w:t xml:space="preserve">   </w:t>
      </w:r>
      <w:r w:rsidRPr="005268CF">
        <w:t>This mirrors the provisions in MGL. c. 30A s 11 for admissibility of evidence. </w:t>
      </w:r>
    </w:p>
  </w:footnote>
  <w:footnote w:id="3">
    <w:p w14:paraId="60FBC03C" w14:textId="43018F85" w:rsidR="000352D6" w:rsidRPr="006A06AB" w:rsidRDefault="000352D6">
      <w:pPr>
        <w:pStyle w:val="FootnoteText"/>
      </w:pPr>
      <w:r>
        <w:rPr>
          <w:rStyle w:val="FootnoteReference"/>
        </w:rPr>
        <w:footnoteRef/>
      </w:r>
      <w:r>
        <w:t xml:space="preserve">    See </w:t>
      </w:r>
      <w:r w:rsidR="00727F62">
        <w:rPr>
          <w:i/>
          <w:iCs/>
        </w:rPr>
        <w:t xml:space="preserve">In Re:  Mass. </w:t>
      </w:r>
      <w:proofErr w:type="spellStart"/>
      <w:r w:rsidR="00727F62">
        <w:rPr>
          <w:i/>
          <w:iCs/>
        </w:rPr>
        <w:t>Dep’t</w:t>
      </w:r>
      <w:proofErr w:type="spellEnd"/>
      <w:r w:rsidR="00727F62">
        <w:rPr>
          <w:i/>
          <w:iCs/>
        </w:rPr>
        <w:t xml:space="preserve"> of Elem. And Secondary Educ.</w:t>
      </w:r>
      <w:r w:rsidR="00727F62">
        <w:t>, BSEA No.  2309949</w:t>
      </w:r>
      <w:r w:rsidR="001C59A7">
        <w:t>,</w:t>
      </w:r>
      <w:r w:rsidR="00727F62">
        <w:t xml:space="preserve"> </w:t>
      </w:r>
      <w:r w:rsidR="0081561D">
        <w:t>29</w:t>
      </w:r>
      <w:r w:rsidR="00727F62">
        <w:t xml:space="preserve"> MSER </w:t>
      </w:r>
      <w:r w:rsidR="0081561D">
        <w:t>10</w:t>
      </w:r>
      <w:r w:rsidR="00727F62">
        <w:t xml:space="preserve"> (</w:t>
      </w:r>
      <w:r w:rsidR="006A06AB">
        <w:t xml:space="preserve">Putney-Yaceshyn, 2023); </w:t>
      </w:r>
      <w:r w:rsidR="006A06AB">
        <w:rPr>
          <w:i/>
          <w:iCs/>
        </w:rPr>
        <w:t xml:space="preserve">In Re:  Brookline Pub. </w:t>
      </w:r>
      <w:proofErr w:type="spellStart"/>
      <w:r w:rsidR="006A06AB">
        <w:rPr>
          <w:i/>
          <w:iCs/>
        </w:rPr>
        <w:t>Schs</w:t>
      </w:r>
      <w:proofErr w:type="spellEnd"/>
      <w:r w:rsidR="006A06AB">
        <w:rPr>
          <w:i/>
          <w:iCs/>
        </w:rPr>
        <w:t>.</w:t>
      </w:r>
      <w:r w:rsidR="006A06AB">
        <w:t>, BSEA No.  2303</w:t>
      </w:r>
      <w:r w:rsidR="001C59A7">
        <w:t xml:space="preserve">670, </w:t>
      </w:r>
      <w:r w:rsidR="00F275F1">
        <w:t>29</w:t>
      </w:r>
      <w:r w:rsidR="001C59A7">
        <w:t xml:space="preserve"> MSER </w:t>
      </w:r>
      <w:r w:rsidR="00F275F1">
        <w:t>101</w:t>
      </w:r>
      <w:r w:rsidR="001C59A7">
        <w:t xml:space="preserve"> (Figueroa, 2023)</w:t>
      </w:r>
    </w:p>
  </w:footnote>
  <w:footnote w:id="4">
    <w:p w14:paraId="7A3A4FB7" w14:textId="1B36AACE" w:rsidR="004942A2" w:rsidRDefault="004942A2" w:rsidP="004942A2">
      <w:pPr>
        <w:pStyle w:val="FootnoteText"/>
      </w:pPr>
      <w:r>
        <w:rPr>
          <w:rStyle w:val="FootnoteReference"/>
        </w:rPr>
        <w:footnoteRef/>
      </w:r>
      <w:r>
        <w:t xml:space="preserve">   </w:t>
      </w:r>
      <w:r w:rsidRPr="009E0B77">
        <w:rPr>
          <w:rFonts w:ascii="Aptos" w:hAnsi="Aptos"/>
          <w:i/>
          <w:iCs/>
          <w:color w:val="000000" w:themeColor="text1"/>
        </w:rPr>
        <w:t>Schaffer v. Weast</w:t>
      </w:r>
      <w:r w:rsidRPr="009E0B77">
        <w:rPr>
          <w:rFonts w:ascii="Aptos" w:hAnsi="Aptos"/>
          <w:color w:val="000000" w:themeColor="text1"/>
        </w:rPr>
        <w:t>, 546 US 49, 56-57, 62 (2005) (placing the burden of proof in an administrative hearing on the party seeking relief).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B1798"/>
    <w:multiLevelType w:val="hybridMultilevel"/>
    <w:tmpl w:val="E0CA278E"/>
    <w:lvl w:ilvl="0" w:tplc="7CF09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5D035A"/>
    <w:multiLevelType w:val="hybridMultilevel"/>
    <w:tmpl w:val="BC0469C2"/>
    <w:lvl w:ilvl="0" w:tplc="2876B8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3B4F00"/>
    <w:multiLevelType w:val="hybridMultilevel"/>
    <w:tmpl w:val="DCF406E6"/>
    <w:lvl w:ilvl="0" w:tplc="E2BCF1F2">
      <w:start w:val="1"/>
      <w:numFmt w:val="lowerLetter"/>
      <w:lvlText w:val="%1)"/>
      <w:lvlJc w:val="left"/>
      <w:pPr>
        <w:ind w:left="2880" w:hanging="360"/>
      </w:pPr>
      <w:rPr>
        <w:rFonts w:ascii="Aptos" w:eastAsia="Times New Roman" w:hAnsi="Aptos"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75924997">
    <w:abstractNumId w:val="2"/>
  </w:num>
  <w:num w:numId="2" w16cid:durableId="624316211">
    <w:abstractNumId w:val="1"/>
  </w:num>
  <w:num w:numId="3" w16cid:durableId="186721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06"/>
    <w:rsid w:val="000016E5"/>
    <w:rsid w:val="00003426"/>
    <w:rsid w:val="000055B3"/>
    <w:rsid w:val="00007300"/>
    <w:rsid w:val="000246EE"/>
    <w:rsid w:val="00025C7B"/>
    <w:rsid w:val="00032428"/>
    <w:rsid w:val="000352D6"/>
    <w:rsid w:val="00037BE4"/>
    <w:rsid w:val="00042D69"/>
    <w:rsid w:val="000432F1"/>
    <w:rsid w:val="00046115"/>
    <w:rsid w:val="00046789"/>
    <w:rsid w:val="0005012F"/>
    <w:rsid w:val="000541C2"/>
    <w:rsid w:val="00060659"/>
    <w:rsid w:val="00060BAC"/>
    <w:rsid w:val="000615BB"/>
    <w:rsid w:val="00061B6E"/>
    <w:rsid w:val="0007497B"/>
    <w:rsid w:val="00077F02"/>
    <w:rsid w:val="00080E40"/>
    <w:rsid w:val="00084979"/>
    <w:rsid w:val="000903BA"/>
    <w:rsid w:val="00093422"/>
    <w:rsid w:val="000975C8"/>
    <w:rsid w:val="000A0984"/>
    <w:rsid w:val="000A48F3"/>
    <w:rsid w:val="000A4C62"/>
    <w:rsid w:val="000B26E8"/>
    <w:rsid w:val="000B30C8"/>
    <w:rsid w:val="000B64AA"/>
    <w:rsid w:val="000C0243"/>
    <w:rsid w:val="000C34BD"/>
    <w:rsid w:val="000D0B03"/>
    <w:rsid w:val="000D2FB8"/>
    <w:rsid w:val="000D2FD3"/>
    <w:rsid w:val="000D5E09"/>
    <w:rsid w:val="000E16C6"/>
    <w:rsid w:val="000E35B8"/>
    <w:rsid w:val="000F0F5A"/>
    <w:rsid w:val="000F1F43"/>
    <w:rsid w:val="000F318E"/>
    <w:rsid w:val="00100A4E"/>
    <w:rsid w:val="001012B6"/>
    <w:rsid w:val="00101EE8"/>
    <w:rsid w:val="00103748"/>
    <w:rsid w:val="00105220"/>
    <w:rsid w:val="00111DD7"/>
    <w:rsid w:val="00112A23"/>
    <w:rsid w:val="00112D67"/>
    <w:rsid w:val="001149A3"/>
    <w:rsid w:val="00125A2A"/>
    <w:rsid w:val="00131FFE"/>
    <w:rsid w:val="00132BF5"/>
    <w:rsid w:val="0013646A"/>
    <w:rsid w:val="00142E01"/>
    <w:rsid w:val="00142E42"/>
    <w:rsid w:val="001437F9"/>
    <w:rsid w:val="00143B34"/>
    <w:rsid w:val="001451FA"/>
    <w:rsid w:val="00147B25"/>
    <w:rsid w:val="00147D8C"/>
    <w:rsid w:val="00156668"/>
    <w:rsid w:val="0016096F"/>
    <w:rsid w:val="00160D9C"/>
    <w:rsid w:val="001610B6"/>
    <w:rsid w:val="00161939"/>
    <w:rsid w:val="00164BDE"/>
    <w:rsid w:val="0017212F"/>
    <w:rsid w:val="001733BB"/>
    <w:rsid w:val="001806C6"/>
    <w:rsid w:val="001844F4"/>
    <w:rsid w:val="001853D9"/>
    <w:rsid w:val="00193484"/>
    <w:rsid w:val="00194306"/>
    <w:rsid w:val="00195562"/>
    <w:rsid w:val="001A528B"/>
    <w:rsid w:val="001B531B"/>
    <w:rsid w:val="001B686B"/>
    <w:rsid w:val="001C24A3"/>
    <w:rsid w:val="001C3A55"/>
    <w:rsid w:val="001C59A7"/>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7B33"/>
    <w:rsid w:val="002435D3"/>
    <w:rsid w:val="0024487A"/>
    <w:rsid w:val="00251B33"/>
    <w:rsid w:val="0025206A"/>
    <w:rsid w:val="00255AB7"/>
    <w:rsid w:val="00261CDC"/>
    <w:rsid w:val="0026291A"/>
    <w:rsid w:val="00264390"/>
    <w:rsid w:val="00270C53"/>
    <w:rsid w:val="0027210B"/>
    <w:rsid w:val="00272112"/>
    <w:rsid w:val="00275D8F"/>
    <w:rsid w:val="002815EC"/>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690C"/>
    <w:rsid w:val="002B7607"/>
    <w:rsid w:val="002C1234"/>
    <w:rsid w:val="002C24BE"/>
    <w:rsid w:val="002D01FA"/>
    <w:rsid w:val="002D73A3"/>
    <w:rsid w:val="002D7E33"/>
    <w:rsid w:val="002E0271"/>
    <w:rsid w:val="002E05D7"/>
    <w:rsid w:val="002E07D5"/>
    <w:rsid w:val="002E4045"/>
    <w:rsid w:val="002E6988"/>
    <w:rsid w:val="002F0030"/>
    <w:rsid w:val="002F0180"/>
    <w:rsid w:val="002F4545"/>
    <w:rsid w:val="002F7C0D"/>
    <w:rsid w:val="00300582"/>
    <w:rsid w:val="00300A09"/>
    <w:rsid w:val="00301D44"/>
    <w:rsid w:val="00302992"/>
    <w:rsid w:val="003055BA"/>
    <w:rsid w:val="003068A8"/>
    <w:rsid w:val="003070A1"/>
    <w:rsid w:val="00311A24"/>
    <w:rsid w:val="0031532D"/>
    <w:rsid w:val="00315CF5"/>
    <w:rsid w:val="003175DE"/>
    <w:rsid w:val="00332142"/>
    <w:rsid w:val="00334A29"/>
    <w:rsid w:val="00341D07"/>
    <w:rsid w:val="00342937"/>
    <w:rsid w:val="00344BC6"/>
    <w:rsid w:val="00354B02"/>
    <w:rsid w:val="00355DA3"/>
    <w:rsid w:val="00357EFE"/>
    <w:rsid w:val="003600B1"/>
    <w:rsid w:val="00377307"/>
    <w:rsid w:val="00377E81"/>
    <w:rsid w:val="0038181F"/>
    <w:rsid w:val="00382951"/>
    <w:rsid w:val="00382C7A"/>
    <w:rsid w:val="003854F9"/>
    <w:rsid w:val="00393A3C"/>
    <w:rsid w:val="00396B21"/>
    <w:rsid w:val="003975FE"/>
    <w:rsid w:val="003A376D"/>
    <w:rsid w:val="003A5AB8"/>
    <w:rsid w:val="003B537E"/>
    <w:rsid w:val="003B7401"/>
    <w:rsid w:val="003D0CBC"/>
    <w:rsid w:val="003D1575"/>
    <w:rsid w:val="003D6872"/>
    <w:rsid w:val="003D6C95"/>
    <w:rsid w:val="003E24B8"/>
    <w:rsid w:val="003E372B"/>
    <w:rsid w:val="003E45D9"/>
    <w:rsid w:val="003E5CE1"/>
    <w:rsid w:val="003F22E1"/>
    <w:rsid w:val="003F5A50"/>
    <w:rsid w:val="0041383F"/>
    <w:rsid w:val="004204CC"/>
    <w:rsid w:val="004214A2"/>
    <w:rsid w:val="00423E0B"/>
    <w:rsid w:val="00425378"/>
    <w:rsid w:val="00431DD1"/>
    <w:rsid w:val="00440F32"/>
    <w:rsid w:val="0044235E"/>
    <w:rsid w:val="00442572"/>
    <w:rsid w:val="00444A36"/>
    <w:rsid w:val="00444DC7"/>
    <w:rsid w:val="004474FC"/>
    <w:rsid w:val="00450D86"/>
    <w:rsid w:val="00451953"/>
    <w:rsid w:val="0045266F"/>
    <w:rsid w:val="004527F6"/>
    <w:rsid w:val="0045650B"/>
    <w:rsid w:val="00464182"/>
    <w:rsid w:val="00467053"/>
    <w:rsid w:val="00467A59"/>
    <w:rsid w:val="004705D3"/>
    <w:rsid w:val="00471A8A"/>
    <w:rsid w:val="00474FEF"/>
    <w:rsid w:val="00475BBF"/>
    <w:rsid w:val="00481C74"/>
    <w:rsid w:val="004942A2"/>
    <w:rsid w:val="00496465"/>
    <w:rsid w:val="004A5C69"/>
    <w:rsid w:val="004B0B07"/>
    <w:rsid w:val="004B0F77"/>
    <w:rsid w:val="004B25A2"/>
    <w:rsid w:val="004B5198"/>
    <w:rsid w:val="004B71CF"/>
    <w:rsid w:val="004C70F5"/>
    <w:rsid w:val="004E78AD"/>
    <w:rsid w:val="004E7E07"/>
    <w:rsid w:val="004F2FDD"/>
    <w:rsid w:val="004F33E6"/>
    <w:rsid w:val="004F5405"/>
    <w:rsid w:val="00500568"/>
    <w:rsid w:val="00500676"/>
    <w:rsid w:val="00504418"/>
    <w:rsid w:val="005077D5"/>
    <w:rsid w:val="00512D8F"/>
    <w:rsid w:val="00513A16"/>
    <w:rsid w:val="00513A84"/>
    <w:rsid w:val="00520102"/>
    <w:rsid w:val="00520528"/>
    <w:rsid w:val="00523E29"/>
    <w:rsid w:val="005268CF"/>
    <w:rsid w:val="00532E53"/>
    <w:rsid w:val="00536523"/>
    <w:rsid w:val="00541089"/>
    <w:rsid w:val="00543BEB"/>
    <w:rsid w:val="00547343"/>
    <w:rsid w:val="0055113B"/>
    <w:rsid w:val="005538CE"/>
    <w:rsid w:val="00553935"/>
    <w:rsid w:val="00555555"/>
    <w:rsid w:val="00557170"/>
    <w:rsid w:val="00557D03"/>
    <w:rsid w:val="0056375B"/>
    <w:rsid w:val="00567E90"/>
    <w:rsid w:val="00570443"/>
    <w:rsid w:val="00570EF4"/>
    <w:rsid w:val="00573E8A"/>
    <w:rsid w:val="00577E18"/>
    <w:rsid w:val="005830EA"/>
    <w:rsid w:val="00584FB1"/>
    <w:rsid w:val="00585D56"/>
    <w:rsid w:val="005905D9"/>
    <w:rsid w:val="00590988"/>
    <w:rsid w:val="00594FC6"/>
    <w:rsid w:val="005A0275"/>
    <w:rsid w:val="005A4FF2"/>
    <w:rsid w:val="005B138F"/>
    <w:rsid w:val="005B29A6"/>
    <w:rsid w:val="005B4397"/>
    <w:rsid w:val="005C239E"/>
    <w:rsid w:val="005C2E4A"/>
    <w:rsid w:val="005C32AD"/>
    <w:rsid w:val="005C4549"/>
    <w:rsid w:val="005C7869"/>
    <w:rsid w:val="005D4AFF"/>
    <w:rsid w:val="005D66DC"/>
    <w:rsid w:val="005D6FB7"/>
    <w:rsid w:val="005D7923"/>
    <w:rsid w:val="005E128F"/>
    <w:rsid w:val="005E39A3"/>
    <w:rsid w:val="005F29A0"/>
    <w:rsid w:val="005F6821"/>
    <w:rsid w:val="00601115"/>
    <w:rsid w:val="00601570"/>
    <w:rsid w:val="00602123"/>
    <w:rsid w:val="00611232"/>
    <w:rsid w:val="00611C03"/>
    <w:rsid w:val="00612E94"/>
    <w:rsid w:val="00616815"/>
    <w:rsid w:val="00617A6E"/>
    <w:rsid w:val="00617E77"/>
    <w:rsid w:val="006203FC"/>
    <w:rsid w:val="00621C41"/>
    <w:rsid w:val="0062607A"/>
    <w:rsid w:val="00633D1F"/>
    <w:rsid w:val="0063566E"/>
    <w:rsid w:val="0064107F"/>
    <w:rsid w:val="0064146B"/>
    <w:rsid w:val="006414E6"/>
    <w:rsid w:val="0064164D"/>
    <w:rsid w:val="006416BC"/>
    <w:rsid w:val="00642E3E"/>
    <w:rsid w:val="006449EC"/>
    <w:rsid w:val="00650E6E"/>
    <w:rsid w:val="00654314"/>
    <w:rsid w:val="0065767C"/>
    <w:rsid w:val="0066130E"/>
    <w:rsid w:val="0066405C"/>
    <w:rsid w:val="00664FD5"/>
    <w:rsid w:val="00671060"/>
    <w:rsid w:val="006712BB"/>
    <w:rsid w:val="00676110"/>
    <w:rsid w:val="006849DA"/>
    <w:rsid w:val="00686019"/>
    <w:rsid w:val="0069128D"/>
    <w:rsid w:val="00692434"/>
    <w:rsid w:val="00693341"/>
    <w:rsid w:val="006937FD"/>
    <w:rsid w:val="00694EFB"/>
    <w:rsid w:val="00694F44"/>
    <w:rsid w:val="00696EFA"/>
    <w:rsid w:val="006A06AB"/>
    <w:rsid w:val="006A2687"/>
    <w:rsid w:val="006A75C3"/>
    <w:rsid w:val="006B0423"/>
    <w:rsid w:val="006B3620"/>
    <w:rsid w:val="006B3BFE"/>
    <w:rsid w:val="006B6F47"/>
    <w:rsid w:val="006B76F0"/>
    <w:rsid w:val="006C146A"/>
    <w:rsid w:val="006D08B5"/>
    <w:rsid w:val="006D319A"/>
    <w:rsid w:val="006E4F78"/>
    <w:rsid w:val="006E54C2"/>
    <w:rsid w:val="006E61E9"/>
    <w:rsid w:val="006E6857"/>
    <w:rsid w:val="006E6F3A"/>
    <w:rsid w:val="006F1BB7"/>
    <w:rsid w:val="006F238B"/>
    <w:rsid w:val="006F4462"/>
    <w:rsid w:val="006F5D77"/>
    <w:rsid w:val="00701DBE"/>
    <w:rsid w:val="00701F67"/>
    <w:rsid w:val="00711015"/>
    <w:rsid w:val="00711F19"/>
    <w:rsid w:val="0071330A"/>
    <w:rsid w:val="007244E5"/>
    <w:rsid w:val="00726DFE"/>
    <w:rsid w:val="00727F62"/>
    <w:rsid w:val="0073247A"/>
    <w:rsid w:val="00732E58"/>
    <w:rsid w:val="007335B9"/>
    <w:rsid w:val="007342C3"/>
    <w:rsid w:val="00736CCF"/>
    <w:rsid w:val="00737E64"/>
    <w:rsid w:val="00740B08"/>
    <w:rsid w:val="00740C0C"/>
    <w:rsid w:val="00741A58"/>
    <w:rsid w:val="00742A4D"/>
    <w:rsid w:val="007463CD"/>
    <w:rsid w:val="0075105A"/>
    <w:rsid w:val="0075366E"/>
    <w:rsid w:val="0075595C"/>
    <w:rsid w:val="00757081"/>
    <w:rsid w:val="007654DC"/>
    <w:rsid w:val="007676D4"/>
    <w:rsid w:val="00767F0F"/>
    <w:rsid w:val="00772577"/>
    <w:rsid w:val="00775BE1"/>
    <w:rsid w:val="00776D5A"/>
    <w:rsid w:val="0078541E"/>
    <w:rsid w:val="00786724"/>
    <w:rsid w:val="00791640"/>
    <w:rsid w:val="007975A8"/>
    <w:rsid w:val="007A1EB6"/>
    <w:rsid w:val="007A24FC"/>
    <w:rsid w:val="007A333C"/>
    <w:rsid w:val="007A49DC"/>
    <w:rsid w:val="007A5F05"/>
    <w:rsid w:val="007A7F24"/>
    <w:rsid w:val="007B1E85"/>
    <w:rsid w:val="007B2DDB"/>
    <w:rsid w:val="007B6AF0"/>
    <w:rsid w:val="007B6CA6"/>
    <w:rsid w:val="007C39A7"/>
    <w:rsid w:val="007C510B"/>
    <w:rsid w:val="007D7177"/>
    <w:rsid w:val="007D795C"/>
    <w:rsid w:val="007E18A3"/>
    <w:rsid w:val="007E2AB3"/>
    <w:rsid w:val="007E5BD4"/>
    <w:rsid w:val="007F060C"/>
    <w:rsid w:val="007F4B4D"/>
    <w:rsid w:val="007F4CC1"/>
    <w:rsid w:val="007F745E"/>
    <w:rsid w:val="00800809"/>
    <w:rsid w:val="00803962"/>
    <w:rsid w:val="00804E2C"/>
    <w:rsid w:val="00811A30"/>
    <w:rsid w:val="008147DB"/>
    <w:rsid w:val="00815455"/>
    <w:rsid w:val="0081561D"/>
    <w:rsid w:val="0081573C"/>
    <w:rsid w:val="0081652F"/>
    <w:rsid w:val="008202F6"/>
    <w:rsid w:val="00820CC3"/>
    <w:rsid w:val="00823912"/>
    <w:rsid w:val="00823BC7"/>
    <w:rsid w:val="00825CA5"/>
    <w:rsid w:val="00826BFB"/>
    <w:rsid w:val="00830917"/>
    <w:rsid w:val="008337DC"/>
    <w:rsid w:val="00833AC8"/>
    <w:rsid w:val="00843597"/>
    <w:rsid w:val="00844803"/>
    <w:rsid w:val="008454ED"/>
    <w:rsid w:val="00845664"/>
    <w:rsid w:val="00845A71"/>
    <w:rsid w:val="008500B5"/>
    <w:rsid w:val="00853CAA"/>
    <w:rsid w:val="00862A55"/>
    <w:rsid w:val="00864A70"/>
    <w:rsid w:val="00867C57"/>
    <w:rsid w:val="0087126A"/>
    <w:rsid w:val="008758A2"/>
    <w:rsid w:val="00880031"/>
    <w:rsid w:val="00883A2E"/>
    <w:rsid w:val="0088454A"/>
    <w:rsid w:val="00885455"/>
    <w:rsid w:val="008916A5"/>
    <w:rsid w:val="0089253B"/>
    <w:rsid w:val="008A2A7A"/>
    <w:rsid w:val="008A2CA7"/>
    <w:rsid w:val="008A6C74"/>
    <w:rsid w:val="008A7A45"/>
    <w:rsid w:val="008B3D11"/>
    <w:rsid w:val="008B5205"/>
    <w:rsid w:val="008C502A"/>
    <w:rsid w:val="008D4BCA"/>
    <w:rsid w:val="008F0576"/>
    <w:rsid w:val="008F676D"/>
    <w:rsid w:val="00900C66"/>
    <w:rsid w:val="009036FA"/>
    <w:rsid w:val="009039CA"/>
    <w:rsid w:val="00906C1D"/>
    <w:rsid w:val="009131F1"/>
    <w:rsid w:val="0092065F"/>
    <w:rsid w:val="00923217"/>
    <w:rsid w:val="009251A9"/>
    <w:rsid w:val="009258C3"/>
    <w:rsid w:val="00931DEA"/>
    <w:rsid w:val="00932731"/>
    <w:rsid w:val="00933EC3"/>
    <w:rsid w:val="00936112"/>
    <w:rsid w:val="00936B05"/>
    <w:rsid w:val="009414D0"/>
    <w:rsid w:val="00946FC5"/>
    <w:rsid w:val="0095107B"/>
    <w:rsid w:val="00951F44"/>
    <w:rsid w:val="00952557"/>
    <w:rsid w:val="00963F4D"/>
    <w:rsid w:val="0096475E"/>
    <w:rsid w:val="00974ADE"/>
    <w:rsid w:val="00977D1E"/>
    <w:rsid w:val="00980C99"/>
    <w:rsid w:val="00984128"/>
    <w:rsid w:val="00990FBB"/>
    <w:rsid w:val="009918D0"/>
    <w:rsid w:val="00993F96"/>
    <w:rsid w:val="009A1CB5"/>
    <w:rsid w:val="009A600C"/>
    <w:rsid w:val="009A78A1"/>
    <w:rsid w:val="009B57CB"/>
    <w:rsid w:val="009C49E2"/>
    <w:rsid w:val="009C58E8"/>
    <w:rsid w:val="009D0914"/>
    <w:rsid w:val="009D2F3D"/>
    <w:rsid w:val="009D695F"/>
    <w:rsid w:val="009F0530"/>
    <w:rsid w:val="009F19E3"/>
    <w:rsid w:val="009F4747"/>
    <w:rsid w:val="00A0231D"/>
    <w:rsid w:val="00A13520"/>
    <w:rsid w:val="00A160DE"/>
    <w:rsid w:val="00A1741B"/>
    <w:rsid w:val="00A218EB"/>
    <w:rsid w:val="00A23692"/>
    <w:rsid w:val="00A25AB3"/>
    <w:rsid w:val="00A3063D"/>
    <w:rsid w:val="00A36338"/>
    <w:rsid w:val="00A36EB8"/>
    <w:rsid w:val="00A37375"/>
    <w:rsid w:val="00A41FEA"/>
    <w:rsid w:val="00A45072"/>
    <w:rsid w:val="00A474C5"/>
    <w:rsid w:val="00A50C11"/>
    <w:rsid w:val="00A530F6"/>
    <w:rsid w:val="00A53F9A"/>
    <w:rsid w:val="00A55E20"/>
    <w:rsid w:val="00A57789"/>
    <w:rsid w:val="00A65B82"/>
    <w:rsid w:val="00A70C5F"/>
    <w:rsid w:val="00A7114C"/>
    <w:rsid w:val="00A731F8"/>
    <w:rsid w:val="00A744D5"/>
    <w:rsid w:val="00A75933"/>
    <w:rsid w:val="00A75CDE"/>
    <w:rsid w:val="00A76037"/>
    <w:rsid w:val="00A76A69"/>
    <w:rsid w:val="00A7716B"/>
    <w:rsid w:val="00A81C82"/>
    <w:rsid w:val="00A84653"/>
    <w:rsid w:val="00A87905"/>
    <w:rsid w:val="00A91AAD"/>
    <w:rsid w:val="00A91DDB"/>
    <w:rsid w:val="00A93F5E"/>
    <w:rsid w:val="00AA39EC"/>
    <w:rsid w:val="00AA647E"/>
    <w:rsid w:val="00AB22E2"/>
    <w:rsid w:val="00AB2313"/>
    <w:rsid w:val="00AC3BDD"/>
    <w:rsid w:val="00AC4F32"/>
    <w:rsid w:val="00AD092F"/>
    <w:rsid w:val="00AD224E"/>
    <w:rsid w:val="00AD2E20"/>
    <w:rsid w:val="00AD3794"/>
    <w:rsid w:val="00AD3952"/>
    <w:rsid w:val="00AD7A2B"/>
    <w:rsid w:val="00AE124B"/>
    <w:rsid w:val="00AE1EC9"/>
    <w:rsid w:val="00AE2B7E"/>
    <w:rsid w:val="00AF1652"/>
    <w:rsid w:val="00AF2647"/>
    <w:rsid w:val="00AF65DC"/>
    <w:rsid w:val="00AF70E1"/>
    <w:rsid w:val="00B00682"/>
    <w:rsid w:val="00B0070F"/>
    <w:rsid w:val="00B07E94"/>
    <w:rsid w:val="00B112CE"/>
    <w:rsid w:val="00B14E14"/>
    <w:rsid w:val="00B20521"/>
    <w:rsid w:val="00B25876"/>
    <w:rsid w:val="00B260DC"/>
    <w:rsid w:val="00B31037"/>
    <w:rsid w:val="00B313EB"/>
    <w:rsid w:val="00B325C3"/>
    <w:rsid w:val="00B32FEC"/>
    <w:rsid w:val="00B34AE0"/>
    <w:rsid w:val="00B34EA6"/>
    <w:rsid w:val="00B4324F"/>
    <w:rsid w:val="00B4623E"/>
    <w:rsid w:val="00B47250"/>
    <w:rsid w:val="00B541A6"/>
    <w:rsid w:val="00B60573"/>
    <w:rsid w:val="00B60C08"/>
    <w:rsid w:val="00B625B0"/>
    <w:rsid w:val="00B63A75"/>
    <w:rsid w:val="00B663B0"/>
    <w:rsid w:val="00B73983"/>
    <w:rsid w:val="00B83B72"/>
    <w:rsid w:val="00B85401"/>
    <w:rsid w:val="00B90C67"/>
    <w:rsid w:val="00B9295F"/>
    <w:rsid w:val="00B932F4"/>
    <w:rsid w:val="00B93B00"/>
    <w:rsid w:val="00B95739"/>
    <w:rsid w:val="00BA2389"/>
    <w:rsid w:val="00BA5001"/>
    <w:rsid w:val="00BA6145"/>
    <w:rsid w:val="00BA6F2B"/>
    <w:rsid w:val="00BA7174"/>
    <w:rsid w:val="00BB03E8"/>
    <w:rsid w:val="00BB2FE1"/>
    <w:rsid w:val="00BC742C"/>
    <w:rsid w:val="00BD1FDA"/>
    <w:rsid w:val="00BE398B"/>
    <w:rsid w:val="00BE59C4"/>
    <w:rsid w:val="00BE6962"/>
    <w:rsid w:val="00BE6A96"/>
    <w:rsid w:val="00BE7BCD"/>
    <w:rsid w:val="00BF28BA"/>
    <w:rsid w:val="00BF2FCB"/>
    <w:rsid w:val="00BF39E4"/>
    <w:rsid w:val="00BF536C"/>
    <w:rsid w:val="00C02A4D"/>
    <w:rsid w:val="00C072F5"/>
    <w:rsid w:val="00C11707"/>
    <w:rsid w:val="00C17EBE"/>
    <w:rsid w:val="00C279A2"/>
    <w:rsid w:val="00C27CA7"/>
    <w:rsid w:val="00C306DE"/>
    <w:rsid w:val="00C3308C"/>
    <w:rsid w:val="00C34C66"/>
    <w:rsid w:val="00C35D76"/>
    <w:rsid w:val="00C3608F"/>
    <w:rsid w:val="00C375E3"/>
    <w:rsid w:val="00C462B6"/>
    <w:rsid w:val="00C524FB"/>
    <w:rsid w:val="00C60AFD"/>
    <w:rsid w:val="00C61A89"/>
    <w:rsid w:val="00C775EE"/>
    <w:rsid w:val="00C77FB4"/>
    <w:rsid w:val="00C84A70"/>
    <w:rsid w:val="00C9259F"/>
    <w:rsid w:val="00C93C25"/>
    <w:rsid w:val="00C96BDA"/>
    <w:rsid w:val="00CA08CB"/>
    <w:rsid w:val="00CA27A0"/>
    <w:rsid w:val="00CB02C0"/>
    <w:rsid w:val="00CB1F82"/>
    <w:rsid w:val="00CB53DD"/>
    <w:rsid w:val="00CB6A03"/>
    <w:rsid w:val="00CC362B"/>
    <w:rsid w:val="00CC482D"/>
    <w:rsid w:val="00CC7340"/>
    <w:rsid w:val="00CE213C"/>
    <w:rsid w:val="00CE3EE8"/>
    <w:rsid w:val="00CE7A4D"/>
    <w:rsid w:val="00CF13C7"/>
    <w:rsid w:val="00CF42DA"/>
    <w:rsid w:val="00CF579E"/>
    <w:rsid w:val="00D026F4"/>
    <w:rsid w:val="00D06E5B"/>
    <w:rsid w:val="00D10C66"/>
    <w:rsid w:val="00D12D91"/>
    <w:rsid w:val="00D15E99"/>
    <w:rsid w:val="00D30497"/>
    <w:rsid w:val="00D34517"/>
    <w:rsid w:val="00D36085"/>
    <w:rsid w:val="00D36671"/>
    <w:rsid w:val="00D40136"/>
    <w:rsid w:val="00D4104E"/>
    <w:rsid w:val="00D4766B"/>
    <w:rsid w:val="00D50544"/>
    <w:rsid w:val="00D51A5C"/>
    <w:rsid w:val="00D523B3"/>
    <w:rsid w:val="00D52AC5"/>
    <w:rsid w:val="00D544F1"/>
    <w:rsid w:val="00D56089"/>
    <w:rsid w:val="00D71269"/>
    <w:rsid w:val="00D83371"/>
    <w:rsid w:val="00D86552"/>
    <w:rsid w:val="00D87073"/>
    <w:rsid w:val="00D961F4"/>
    <w:rsid w:val="00D96D64"/>
    <w:rsid w:val="00DA1EE1"/>
    <w:rsid w:val="00DA2A3F"/>
    <w:rsid w:val="00DA4C90"/>
    <w:rsid w:val="00DB34BD"/>
    <w:rsid w:val="00DB3D60"/>
    <w:rsid w:val="00DC0876"/>
    <w:rsid w:val="00DC1D19"/>
    <w:rsid w:val="00DC38B0"/>
    <w:rsid w:val="00DC70F4"/>
    <w:rsid w:val="00DD03B4"/>
    <w:rsid w:val="00DD45A6"/>
    <w:rsid w:val="00DF0F95"/>
    <w:rsid w:val="00DF3B7E"/>
    <w:rsid w:val="00DF4554"/>
    <w:rsid w:val="00E01630"/>
    <w:rsid w:val="00E02968"/>
    <w:rsid w:val="00E06FAB"/>
    <w:rsid w:val="00E1293C"/>
    <w:rsid w:val="00E129BE"/>
    <w:rsid w:val="00E13F56"/>
    <w:rsid w:val="00E159B4"/>
    <w:rsid w:val="00E20567"/>
    <w:rsid w:val="00E2073A"/>
    <w:rsid w:val="00E24FC3"/>
    <w:rsid w:val="00E25BC4"/>
    <w:rsid w:val="00E3751B"/>
    <w:rsid w:val="00E40571"/>
    <w:rsid w:val="00E413D0"/>
    <w:rsid w:val="00E47BAF"/>
    <w:rsid w:val="00E47C5B"/>
    <w:rsid w:val="00E53430"/>
    <w:rsid w:val="00E57A4F"/>
    <w:rsid w:val="00E626B0"/>
    <w:rsid w:val="00E643FC"/>
    <w:rsid w:val="00E65D50"/>
    <w:rsid w:val="00E707C2"/>
    <w:rsid w:val="00E80730"/>
    <w:rsid w:val="00E807D9"/>
    <w:rsid w:val="00E80CE8"/>
    <w:rsid w:val="00E8191B"/>
    <w:rsid w:val="00E95BE5"/>
    <w:rsid w:val="00EA0F0D"/>
    <w:rsid w:val="00EA3273"/>
    <w:rsid w:val="00EA3681"/>
    <w:rsid w:val="00EA68B6"/>
    <w:rsid w:val="00EB61B1"/>
    <w:rsid w:val="00EC0646"/>
    <w:rsid w:val="00EC4D90"/>
    <w:rsid w:val="00EC6504"/>
    <w:rsid w:val="00EC75B4"/>
    <w:rsid w:val="00ED02A1"/>
    <w:rsid w:val="00ED0C3E"/>
    <w:rsid w:val="00ED4238"/>
    <w:rsid w:val="00EE627D"/>
    <w:rsid w:val="00EE6C3D"/>
    <w:rsid w:val="00EF15AE"/>
    <w:rsid w:val="00EF589B"/>
    <w:rsid w:val="00EF66E9"/>
    <w:rsid w:val="00F00579"/>
    <w:rsid w:val="00F03BA5"/>
    <w:rsid w:val="00F04E68"/>
    <w:rsid w:val="00F06231"/>
    <w:rsid w:val="00F113CD"/>
    <w:rsid w:val="00F16750"/>
    <w:rsid w:val="00F22940"/>
    <w:rsid w:val="00F243E8"/>
    <w:rsid w:val="00F24453"/>
    <w:rsid w:val="00F246F5"/>
    <w:rsid w:val="00F24CAF"/>
    <w:rsid w:val="00F275F1"/>
    <w:rsid w:val="00F30BA3"/>
    <w:rsid w:val="00F31554"/>
    <w:rsid w:val="00F33F5D"/>
    <w:rsid w:val="00F46AA0"/>
    <w:rsid w:val="00F50848"/>
    <w:rsid w:val="00F508EE"/>
    <w:rsid w:val="00F54E9A"/>
    <w:rsid w:val="00F63E82"/>
    <w:rsid w:val="00F72814"/>
    <w:rsid w:val="00F72B93"/>
    <w:rsid w:val="00F776E5"/>
    <w:rsid w:val="00F811B1"/>
    <w:rsid w:val="00F81DDC"/>
    <w:rsid w:val="00F843A6"/>
    <w:rsid w:val="00F84971"/>
    <w:rsid w:val="00F8525C"/>
    <w:rsid w:val="00F87D48"/>
    <w:rsid w:val="00F93B39"/>
    <w:rsid w:val="00F93DD2"/>
    <w:rsid w:val="00F93E8A"/>
    <w:rsid w:val="00F957D2"/>
    <w:rsid w:val="00FB0982"/>
    <w:rsid w:val="00FB3981"/>
    <w:rsid w:val="00FB3EAF"/>
    <w:rsid w:val="00FC0D5B"/>
    <w:rsid w:val="00FC3443"/>
    <w:rsid w:val="00FC3BBF"/>
    <w:rsid w:val="00FC656E"/>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A089A"/>
  <w15:chartTrackingRefBased/>
  <w15:docId w15:val="{A7F3CC16-A38F-4987-ABA9-6814025C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306"/>
    <w:pPr>
      <w:spacing w:after="0" w:line="240"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0A0984"/>
    <w:pPr>
      <w:keepNext/>
      <w:keepLines/>
      <w:spacing w:before="360" w:after="80" w:line="259" w:lineRule="auto"/>
      <w:outlineLvl w:val="0"/>
    </w:pPr>
    <w:rPr>
      <w:rFonts w:eastAsiaTheme="majorEastAsia" w:cstheme="majorBidi"/>
      <w:szCs w:val="40"/>
    </w:rPr>
  </w:style>
  <w:style w:type="paragraph" w:styleId="Heading2">
    <w:name w:val="heading 2"/>
    <w:basedOn w:val="Normal"/>
    <w:next w:val="Normal"/>
    <w:link w:val="Heading2Char"/>
    <w:uiPriority w:val="9"/>
    <w:semiHidden/>
    <w:unhideWhenUsed/>
    <w:qFormat/>
    <w:rsid w:val="0019430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9430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94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3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3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3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3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984"/>
    <w:rPr>
      <w:rFonts w:eastAsiaTheme="majorEastAsia" w:cstheme="majorBidi"/>
      <w:szCs w:val="40"/>
    </w:rPr>
  </w:style>
  <w:style w:type="character" w:customStyle="1" w:styleId="Heading2Char">
    <w:name w:val="Heading 2 Char"/>
    <w:basedOn w:val="DefaultParagraphFont"/>
    <w:link w:val="Heading2"/>
    <w:uiPriority w:val="9"/>
    <w:semiHidden/>
    <w:rsid w:val="0019430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9430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94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306"/>
    <w:rPr>
      <w:rFonts w:eastAsiaTheme="majorEastAsia" w:cstheme="majorBidi"/>
      <w:color w:val="272727" w:themeColor="text1" w:themeTint="D8"/>
    </w:rPr>
  </w:style>
  <w:style w:type="paragraph" w:styleId="Title">
    <w:name w:val="Title"/>
    <w:basedOn w:val="Normal"/>
    <w:next w:val="Normal"/>
    <w:link w:val="TitleChar"/>
    <w:uiPriority w:val="10"/>
    <w:qFormat/>
    <w:rsid w:val="0019430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9430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9430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9430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94306"/>
    <w:pPr>
      <w:spacing w:before="160"/>
      <w:jc w:val="center"/>
    </w:pPr>
    <w:rPr>
      <w:i/>
      <w:iCs/>
      <w:color w:val="404040" w:themeColor="text1" w:themeTint="BF"/>
    </w:rPr>
  </w:style>
  <w:style w:type="character" w:customStyle="1" w:styleId="QuoteChar">
    <w:name w:val="Quote Char"/>
    <w:basedOn w:val="DefaultParagraphFont"/>
    <w:link w:val="Quote"/>
    <w:uiPriority w:val="29"/>
    <w:rsid w:val="00194306"/>
    <w:rPr>
      <w:i/>
      <w:iCs/>
      <w:color w:val="404040" w:themeColor="text1" w:themeTint="BF"/>
    </w:rPr>
  </w:style>
  <w:style w:type="paragraph" w:styleId="ListParagraph">
    <w:name w:val="List Paragraph"/>
    <w:basedOn w:val="Normal"/>
    <w:uiPriority w:val="34"/>
    <w:qFormat/>
    <w:rsid w:val="00194306"/>
    <w:pPr>
      <w:ind w:left="720"/>
      <w:contextualSpacing/>
    </w:pPr>
  </w:style>
  <w:style w:type="character" w:styleId="IntenseEmphasis">
    <w:name w:val="Intense Emphasis"/>
    <w:basedOn w:val="DefaultParagraphFont"/>
    <w:uiPriority w:val="21"/>
    <w:qFormat/>
    <w:rsid w:val="00194306"/>
    <w:rPr>
      <w:i/>
      <w:iCs/>
      <w:color w:val="0F4761" w:themeColor="accent1" w:themeShade="BF"/>
    </w:rPr>
  </w:style>
  <w:style w:type="paragraph" w:styleId="IntenseQuote">
    <w:name w:val="Intense Quote"/>
    <w:basedOn w:val="Normal"/>
    <w:next w:val="Normal"/>
    <w:link w:val="IntenseQuoteChar"/>
    <w:uiPriority w:val="30"/>
    <w:qFormat/>
    <w:rsid w:val="00194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306"/>
    <w:rPr>
      <w:i/>
      <w:iCs/>
      <w:color w:val="0F4761" w:themeColor="accent1" w:themeShade="BF"/>
    </w:rPr>
  </w:style>
  <w:style w:type="character" w:styleId="IntenseReference">
    <w:name w:val="Intense Reference"/>
    <w:basedOn w:val="DefaultParagraphFont"/>
    <w:uiPriority w:val="32"/>
    <w:qFormat/>
    <w:rsid w:val="00194306"/>
    <w:rPr>
      <w:b/>
      <w:bCs/>
      <w:smallCaps/>
      <w:color w:val="0F4761" w:themeColor="accent1" w:themeShade="BF"/>
      <w:spacing w:val="5"/>
    </w:rPr>
  </w:style>
  <w:style w:type="paragraph" w:styleId="NormalWeb">
    <w:name w:val="Normal (Web)"/>
    <w:basedOn w:val="Normal"/>
    <w:uiPriority w:val="99"/>
    <w:unhideWhenUsed/>
    <w:rsid w:val="00194306"/>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94306"/>
    <w:rPr>
      <w:sz w:val="20"/>
      <w:szCs w:val="20"/>
    </w:rPr>
  </w:style>
  <w:style w:type="character" w:customStyle="1" w:styleId="FootnoteTextChar">
    <w:name w:val="Footnote Text Char"/>
    <w:basedOn w:val="DefaultParagraphFont"/>
    <w:link w:val="FootnoteText"/>
    <w:uiPriority w:val="99"/>
    <w:rsid w:val="00194306"/>
    <w:rPr>
      <w:rFonts w:eastAsiaTheme="minorHAnsi"/>
      <w:kern w:val="0"/>
      <w:sz w:val="20"/>
      <w:szCs w:val="20"/>
      <w:lang w:eastAsia="en-US" w:bidi="ar-SA"/>
      <w14:ligatures w14:val="none"/>
    </w:rPr>
  </w:style>
  <w:style w:type="character" w:styleId="FootnoteReference">
    <w:name w:val="footnote reference"/>
    <w:basedOn w:val="DefaultParagraphFont"/>
    <w:uiPriority w:val="99"/>
    <w:unhideWhenUsed/>
    <w:rsid w:val="00194306"/>
    <w:rPr>
      <w:vertAlign w:val="superscript"/>
    </w:rPr>
  </w:style>
  <w:style w:type="paragraph" w:styleId="BodyText">
    <w:name w:val="Body Text"/>
    <w:basedOn w:val="Normal"/>
    <w:link w:val="BodyTextChar"/>
    <w:rsid w:val="00475BBF"/>
    <w:rPr>
      <w:rFonts w:ascii="Times New Roman" w:eastAsia="Times New Roman" w:hAnsi="Times New Roman" w:cs="Times New Roman"/>
      <w:szCs w:val="20"/>
    </w:rPr>
  </w:style>
  <w:style w:type="character" w:customStyle="1" w:styleId="BodyTextChar">
    <w:name w:val="Body Text Char"/>
    <w:basedOn w:val="DefaultParagraphFont"/>
    <w:link w:val="BodyText"/>
    <w:rsid w:val="00475BBF"/>
    <w:rPr>
      <w:rFonts w:ascii="Times New Roman" w:eastAsia="Times New Roman" w:hAnsi="Times New Roman" w:cs="Times New Roman"/>
      <w:kern w:val="0"/>
      <w:sz w:val="22"/>
      <w:szCs w:val="20"/>
      <w:lang w:eastAsia="en-US" w:bidi="ar-SA"/>
      <w14:ligatures w14:val="none"/>
    </w:rPr>
  </w:style>
  <w:style w:type="character" w:styleId="Hyperlink">
    <w:name w:val="Hyperlink"/>
    <w:basedOn w:val="DefaultParagraphFont"/>
    <w:uiPriority w:val="99"/>
    <w:unhideWhenUsed/>
    <w:rsid w:val="005268CF"/>
    <w:rPr>
      <w:color w:val="467886" w:themeColor="hyperlink"/>
      <w:u w:val="single"/>
    </w:rPr>
  </w:style>
  <w:style w:type="character" w:styleId="UnresolvedMention">
    <w:name w:val="Unresolved Mention"/>
    <w:basedOn w:val="DefaultParagraphFont"/>
    <w:uiPriority w:val="99"/>
    <w:semiHidden/>
    <w:unhideWhenUsed/>
    <w:rsid w:val="005268CF"/>
    <w:rPr>
      <w:color w:val="605E5C"/>
      <w:shd w:val="clear" w:color="auto" w:fill="E1DFDD"/>
    </w:rPr>
  </w:style>
  <w:style w:type="character" w:customStyle="1" w:styleId="apple-converted-space">
    <w:name w:val="apple-converted-space"/>
    <w:basedOn w:val="DefaultParagraphFont"/>
    <w:rsid w:val="004942A2"/>
  </w:style>
  <w:style w:type="paragraph" w:styleId="Header">
    <w:name w:val="header"/>
    <w:basedOn w:val="Normal"/>
    <w:link w:val="HeaderChar"/>
    <w:uiPriority w:val="99"/>
    <w:unhideWhenUsed/>
    <w:rsid w:val="003D6872"/>
    <w:pPr>
      <w:tabs>
        <w:tab w:val="center" w:pos="4680"/>
        <w:tab w:val="right" w:pos="9360"/>
      </w:tabs>
    </w:pPr>
  </w:style>
  <w:style w:type="character" w:customStyle="1" w:styleId="HeaderChar">
    <w:name w:val="Header Char"/>
    <w:basedOn w:val="DefaultParagraphFont"/>
    <w:link w:val="Header"/>
    <w:uiPriority w:val="99"/>
    <w:rsid w:val="003D6872"/>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3D6872"/>
    <w:pPr>
      <w:tabs>
        <w:tab w:val="center" w:pos="4680"/>
        <w:tab w:val="right" w:pos="9360"/>
      </w:tabs>
    </w:pPr>
  </w:style>
  <w:style w:type="character" w:customStyle="1" w:styleId="FooterChar">
    <w:name w:val="Footer Char"/>
    <w:basedOn w:val="DefaultParagraphFont"/>
    <w:link w:val="Footer"/>
    <w:uiPriority w:val="99"/>
    <w:rsid w:val="003D6872"/>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EEE8-D6B1-4C62-BF70-29EFE3D59C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8401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2025-12-11T16:54:00Z</dcterms:created>
  <dcterms:modified xsi:type="dcterms:W3CDTF">2025-12-11T16:54:00Z</dcterms:modified>
</cp:coreProperties>
</file>