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3B25A4" w14:textId="77777777" w:rsidR="00A75A2A" w:rsidRPr="00104AC9" w:rsidRDefault="00A75A2A" w:rsidP="00A75A2A">
      <w:pPr>
        <w:pStyle w:val="NoSpacing"/>
        <w:jc w:val="center"/>
        <w:rPr>
          <w:rFonts w:cs="Times New Roman"/>
          <w:b/>
          <w:bCs/>
          <w:sz w:val="28"/>
          <w:szCs w:val="28"/>
        </w:rPr>
      </w:pPr>
      <w:r w:rsidRPr="00104AC9">
        <w:rPr>
          <w:rFonts w:cs="Times New Roman"/>
          <w:b/>
          <w:bCs/>
          <w:sz w:val="28"/>
          <w:szCs w:val="28"/>
        </w:rPr>
        <w:t>COMMOWEALTH OFF MASSACHUSETTS</w:t>
      </w:r>
    </w:p>
    <w:p w14:paraId="6E1FFFD5" w14:textId="77777777" w:rsidR="00A75A2A" w:rsidRPr="00CD345C" w:rsidRDefault="00A75A2A" w:rsidP="00A75A2A">
      <w:pPr>
        <w:pStyle w:val="NoSpacing"/>
        <w:jc w:val="center"/>
        <w:rPr>
          <w:rFonts w:cs="Times New Roman"/>
          <w:b/>
          <w:bCs/>
          <w:i/>
          <w:iCs/>
          <w:sz w:val="25"/>
          <w:szCs w:val="25"/>
        </w:rPr>
      </w:pPr>
      <w:r w:rsidRPr="00CD345C">
        <w:rPr>
          <w:rFonts w:cs="Times New Roman"/>
          <w:b/>
          <w:bCs/>
          <w:i/>
          <w:iCs/>
          <w:sz w:val="25"/>
          <w:szCs w:val="25"/>
        </w:rPr>
        <w:t>DIVISION OF ADMINISTRATIVE LAW APPEALS</w:t>
      </w:r>
    </w:p>
    <w:p w14:paraId="5CA686F0" w14:textId="77777777" w:rsidR="00A75A2A" w:rsidRPr="00CD345C" w:rsidRDefault="00A75A2A" w:rsidP="00A75A2A">
      <w:pPr>
        <w:pStyle w:val="NoSpacing"/>
        <w:jc w:val="center"/>
        <w:rPr>
          <w:rFonts w:cs="Times New Roman"/>
          <w:b/>
          <w:bCs/>
          <w:sz w:val="25"/>
          <w:szCs w:val="25"/>
        </w:rPr>
      </w:pPr>
      <w:r w:rsidRPr="00CD345C">
        <w:rPr>
          <w:rFonts w:cs="Times New Roman"/>
          <w:b/>
          <w:bCs/>
          <w:sz w:val="25"/>
          <w:szCs w:val="25"/>
        </w:rPr>
        <w:t>BUREAU OF SPECIAL EDUCATION APPEALS</w:t>
      </w:r>
    </w:p>
    <w:p w14:paraId="7B938910" w14:textId="77777777" w:rsidR="00A75A2A" w:rsidRPr="00CD345C" w:rsidRDefault="00A75A2A" w:rsidP="00A75A2A">
      <w:pPr>
        <w:pStyle w:val="NoSpacing"/>
        <w:jc w:val="center"/>
        <w:rPr>
          <w:rFonts w:cs="Times New Roman"/>
          <w:b/>
          <w:bCs/>
          <w:sz w:val="25"/>
          <w:szCs w:val="25"/>
        </w:rPr>
      </w:pPr>
    </w:p>
    <w:p w14:paraId="65FE2FE2" w14:textId="77777777" w:rsidR="00A75A2A" w:rsidRPr="00CD345C" w:rsidRDefault="00A75A2A" w:rsidP="00A75A2A">
      <w:pPr>
        <w:pStyle w:val="NoSpacing"/>
        <w:rPr>
          <w:rFonts w:cs="Times New Roman"/>
          <w:sz w:val="25"/>
          <w:szCs w:val="25"/>
        </w:rPr>
      </w:pPr>
      <w:r w:rsidRPr="00CD345C">
        <w:rPr>
          <w:rFonts w:cs="Times New Roman"/>
          <w:b/>
          <w:bCs/>
          <w:sz w:val="25"/>
          <w:szCs w:val="25"/>
        </w:rPr>
        <w:t>In Re:</w:t>
      </w:r>
      <w:r w:rsidRPr="00CD345C">
        <w:rPr>
          <w:rFonts w:cs="Times New Roman"/>
          <w:sz w:val="25"/>
          <w:szCs w:val="25"/>
        </w:rPr>
        <w:t xml:space="preserve"> Student v.</w:t>
      </w:r>
      <w:r w:rsidRPr="00CD345C">
        <w:rPr>
          <w:rFonts w:cs="Times New Roman"/>
          <w:sz w:val="25"/>
          <w:szCs w:val="25"/>
        </w:rPr>
        <w:tab/>
      </w:r>
      <w:r w:rsidRPr="00CD345C">
        <w:rPr>
          <w:rFonts w:cs="Times New Roman"/>
          <w:sz w:val="25"/>
          <w:szCs w:val="25"/>
        </w:rPr>
        <w:tab/>
      </w:r>
      <w:r w:rsidRPr="00CD345C">
        <w:rPr>
          <w:rFonts w:cs="Times New Roman"/>
          <w:sz w:val="25"/>
          <w:szCs w:val="25"/>
        </w:rPr>
        <w:tab/>
      </w:r>
      <w:r w:rsidRPr="00CD345C">
        <w:rPr>
          <w:rFonts w:cs="Times New Roman"/>
          <w:sz w:val="25"/>
          <w:szCs w:val="25"/>
        </w:rPr>
        <w:tab/>
      </w:r>
      <w:r w:rsidRPr="00CD345C">
        <w:rPr>
          <w:rFonts w:cs="Times New Roman"/>
          <w:sz w:val="25"/>
          <w:szCs w:val="25"/>
        </w:rPr>
        <w:tab/>
      </w:r>
      <w:r w:rsidRPr="00CD345C">
        <w:rPr>
          <w:rFonts w:cs="Times New Roman"/>
          <w:sz w:val="25"/>
          <w:szCs w:val="25"/>
        </w:rPr>
        <w:tab/>
      </w:r>
      <w:r w:rsidRPr="00CD345C">
        <w:rPr>
          <w:rFonts w:cs="Times New Roman"/>
          <w:sz w:val="25"/>
          <w:szCs w:val="25"/>
        </w:rPr>
        <w:tab/>
      </w:r>
      <w:r w:rsidRPr="00CD345C">
        <w:rPr>
          <w:rFonts w:cs="Times New Roman"/>
          <w:sz w:val="25"/>
          <w:szCs w:val="25"/>
        </w:rPr>
        <w:tab/>
      </w:r>
      <w:r w:rsidRPr="00CD345C">
        <w:rPr>
          <w:rFonts w:cs="Times New Roman"/>
          <w:b/>
          <w:bCs/>
          <w:sz w:val="25"/>
          <w:szCs w:val="25"/>
        </w:rPr>
        <w:t>BSEA #</w:t>
      </w:r>
      <w:r w:rsidRPr="00CD345C">
        <w:rPr>
          <w:rFonts w:cs="Times New Roman"/>
          <w:sz w:val="25"/>
          <w:szCs w:val="25"/>
        </w:rPr>
        <w:t xml:space="preserve"> 2604877</w:t>
      </w:r>
    </w:p>
    <w:p w14:paraId="637FE1B8" w14:textId="77777777" w:rsidR="00A75A2A" w:rsidRPr="00CD345C" w:rsidRDefault="00A75A2A" w:rsidP="00A75A2A">
      <w:pPr>
        <w:pStyle w:val="NoSpacing"/>
        <w:rPr>
          <w:rFonts w:cs="Times New Roman"/>
          <w:sz w:val="25"/>
          <w:szCs w:val="25"/>
        </w:rPr>
      </w:pPr>
      <w:r w:rsidRPr="00CD345C">
        <w:rPr>
          <w:rFonts w:cs="Times New Roman"/>
          <w:sz w:val="25"/>
          <w:szCs w:val="25"/>
        </w:rPr>
        <w:tab/>
        <w:t xml:space="preserve">Brockton Public Schools </w:t>
      </w:r>
    </w:p>
    <w:p w14:paraId="3C0329E8" w14:textId="77777777" w:rsidR="00A75A2A" w:rsidRPr="00CD345C" w:rsidRDefault="00A75A2A" w:rsidP="00A75A2A">
      <w:pPr>
        <w:pStyle w:val="NoSpacing"/>
        <w:ind w:firstLine="720"/>
        <w:rPr>
          <w:rFonts w:cs="Times New Roman"/>
          <w:sz w:val="25"/>
          <w:szCs w:val="25"/>
        </w:rPr>
      </w:pPr>
    </w:p>
    <w:p w14:paraId="606B8FDB" w14:textId="77777777" w:rsidR="00A75A2A" w:rsidRPr="00CD345C" w:rsidRDefault="00A75A2A" w:rsidP="00A75A2A">
      <w:pPr>
        <w:pStyle w:val="NoSpacing"/>
        <w:ind w:firstLine="720"/>
        <w:rPr>
          <w:rFonts w:cs="Times New Roman"/>
          <w:b/>
          <w:bCs/>
          <w:sz w:val="25"/>
          <w:szCs w:val="25"/>
        </w:rPr>
      </w:pPr>
      <w:r w:rsidRPr="00CD345C">
        <w:rPr>
          <w:rFonts w:cs="Times New Roman"/>
          <w:b/>
          <w:bCs/>
          <w:sz w:val="25"/>
          <w:szCs w:val="25"/>
        </w:rPr>
        <w:t>RULING ON BROCKTON PUBLIC SCHOOLS’ MOTION TO DISMISS</w:t>
      </w:r>
      <w:r>
        <w:rPr>
          <w:rFonts w:cs="Times New Roman"/>
          <w:b/>
          <w:bCs/>
          <w:sz w:val="25"/>
          <w:szCs w:val="25"/>
        </w:rPr>
        <w:t xml:space="preserve"> AND PARENTS’ EMERGENCY MOTION</w:t>
      </w:r>
      <w:r>
        <w:rPr>
          <w:rFonts w:cs="Times New Roman"/>
          <w:sz w:val="25"/>
          <w:szCs w:val="25"/>
        </w:rPr>
        <w:t xml:space="preserve"> </w:t>
      </w:r>
      <w:r w:rsidRPr="004E506A">
        <w:rPr>
          <w:rFonts w:cs="Times New Roman"/>
          <w:b/>
          <w:bCs/>
          <w:sz w:val="25"/>
          <w:szCs w:val="25"/>
        </w:rPr>
        <w:t>FOR EXPEDITED RULING AND STAY-PUT RELIEF</w:t>
      </w:r>
      <w:r w:rsidRPr="004E506A">
        <w:rPr>
          <w:rFonts w:cs="Times New Roman"/>
          <w:sz w:val="25"/>
          <w:szCs w:val="25"/>
        </w:rPr>
        <w:t xml:space="preserve"> </w:t>
      </w:r>
    </w:p>
    <w:p w14:paraId="197AB7F3" w14:textId="77777777" w:rsidR="00A75A2A" w:rsidRPr="00CD345C" w:rsidRDefault="00A75A2A" w:rsidP="00A75A2A">
      <w:pPr>
        <w:pStyle w:val="NoSpacing"/>
        <w:rPr>
          <w:rFonts w:cs="Times New Roman"/>
          <w:sz w:val="25"/>
          <w:szCs w:val="25"/>
        </w:rPr>
      </w:pPr>
    </w:p>
    <w:p w14:paraId="13EFB4A1" w14:textId="0209FD45" w:rsidR="00A75A2A" w:rsidRPr="00104AC9" w:rsidRDefault="00A75A2A" w:rsidP="00A75A2A">
      <w:pPr>
        <w:pStyle w:val="NoSpacing"/>
        <w:rPr>
          <w:rFonts w:cs="Times New Roman"/>
          <w:sz w:val="25"/>
          <w:szCs w:val="25"/>
        </w:rPr>
      </w:pPr>
      <w:r w:rsidRPr="00CD345C">
        <w:rPr>
          <w:rFonts w:cs="Times New Roman"/>
          <w:sz w:val="25"/>
          <w:szCs w:val="25"/>
        </w:rPr>
        <w:t>On</w:t>
      </w:r>
      <w:r w:rsidRPr="00104AC9">
        <w:rPr>
          <w:rFonts w:cs="Times New Roman"/>
          <w:sz w:val="25"/>
          <w:szCs w:val="25"/>
        </w:rPr>
        <w:t xml:space="preserve"> October 31, 2025, 2025, Parents requested a</w:t>
      </w:r>
      <w:r>
        <w:rPr>
          <w:rFonts w:cs="Times New Roman"/>
          <w:sz w:val="25"/>
          <w:szCs w:val="25"/>
        </w:rPr>
        <w:t>n Expedited</w:t>
      </w:r>
      <w:r w:rsidRPr="00104AC9">
        <w:rPr>
          <w:rFonts w:cs="Times New Roman"/>
          <w:sz w:val="25"/>
          <w:szCs w:val="25"/>
        </w:rPr>
        <w:t xml:space="preserve"> Hearing in the above-referenced matter.  </w:t>
      </w:r>
      <w:r>
        <w:rPr>
          <w:rFonts w:cs="Times New Roman"/>
          <w:sz w:val="25"/>
          <w:szCs w:val="25"/>
        </w:rPr>
        <w:t xml:space="preserve">Arguing that per the Parties’ mediation agreement, Student’s last agreed upon placement is READS Collaborative (READS), Parents’ </w:t>
      </w:r>
      <w:r w:rsidRPr="00104AC9">
        <w:rPr>
          <w:rFonts w:cs="Times New Roman"/>
          <w:sz w:val="25"/>
          <w:szCs w:val="25"/>
        </w:rPr>
        <w:t xml:space="preserve">Hearing Request </w:t>
      </w:r>
      <w:r>
        <w:rPr>
          <w:rFonts w:cs="Times New Roman"/>
          <w:sz w:val="25"/>
          <w:szCs w:val="25"/>
        </w:rPr>
        <w:t xml:space="preserve">seeks an order that READS be found to be Student’s stay-put placement, inclusive of transportation and related services.  Parents’ request is based on their concern that removal from READS would cause serious emotional harm and regression to Student who has recently been diagnosed with Autism and presents with a history of trauma.  Parents further seek </w:t>
      </w:r>
      <w:r>
        <w:rPr>
          <w:sz w:val="25"/>
          <w:szCs w:val="25"/>
        </w:rPr>
        <w:t>compensatory services and/ or reimbursement for any out-of-pocket expenses they incur for transportation or other educational services for any periods during which Student’s education at READS is interrupted.  Lastly, they request an order that Student’s Team, inclusive of READS personnel, be convened to properly discuss the results of Student’s extended evaluation.</w:t>
      </w:r>
      <w:r>
        <w:rPr>
          <w:rStyle w:val="FootnoteReference"/>
          <w:sz w:val="25"/>
          <w:szCs w:val="25"/>
        </w:rPr>
        <w:footnoteReference w:id="1"/>
      </w:r>
      <w:r>
        <w:rPr>
          <w:sz w:val="25"/>
          <w:szCs w:val="25"/>
        </w:rPr>
        <w:t xml:space="preserve"> </w:t>
      </w:r>
    </w:p>
    <w:p w14:paraId="6DF145AC" w14:textId="77777777" w:rsidR="00A75A2A" w:rsidRPr="00104AC9" w:rsidRDefault="00A75A2A" w:rsidP="00A75A2A">
      <w:pPr>
        <w:pStyle w:val="NoSpacing"/>
        <w:rPr>
          <w:rFonts w:cs="Times New Roman"/>
          <w:sz w:val="25"/>
          <w:szCs w:val="25"/>
        </w:rPr>
      </w:pPr>
    </w:p>
    <w:p w14:paraId="5C0AD8BC" w14:textId="4FBE248F" w:rsidR="00A75A2A" w:rsidRDefault="00A75A2A" w:rsidP="00A75A2A">
      <w:pPr>
        <w:pStyle w:val="NoSpacing"/>
        <w:rPr>
          <w:rFonts w:cs="Times New Roman"/>
          <w:sz w:val="25"/>
          <w:szCs w:val="25"/>
        </w:rPr>
      </w:pPr>
      <w:r w:rsidRPr="00104AC9">
        <w:rPr>
          <w:rFonts w:cs="Times New Roman"/>
          <w:sz w:val="25"/>
          <w:szCs w:val="25"/>
        </w:rPr>
        <w:t xml:space="preserve">On </w:t>
      </w:r>
      <w:r>
        <w:rPr>
          <w:rFonts w:cs="Times New Roman"/>
          <w:sz w:val="25"/>
          <w:szCs w:val="25"/>
        </w:rPr>
        <w:t xml:space="preserve">October 31, 2025, the District filed an Opposition to Parents’ Request for Expedited Hearing, further reserving its right to file a Motion to Dismiss </w:t>
      </w:r>
      <w:proofErr w:type="gramStart"/>
      <w:r>
        <w:rPr>
          <w:rFonts w:cs="Times New Roman"/>
          <w:sz w:val="25"/>
          <w:szCs w:val="25"/>
        </w:rPr>
        <w:t>at a later time</w:t>
      </w:r>
      <w:proofErr w:type="gramEnd"/>
      <w:r>
        <w:rPr>
          <w:rFonts w:cs="Times New Roman"/>
          <w:sz w:val="25"/>
          <w:szCs w:val="25"/>
        </w:rPr>
        <w:t>.  On</w:t>
      </w:r>
      <w:r w:rsidRPr="005F680F">
        <w:rPr>
          <w:rFonts w:cs="Times New Roman"/>
          <w:sz w:val="25"/>
          <w:szCs w:val="25"/>
        </w:rPr>
        <w:t xml:space="preserve"> </w:t>
      </w:r>
      <w:r>
        <w:rPr>
          <w:rFonts w:cs="Times New Roman"/>
          <w:sz w:val="25"/>
          <w:szCs w:val="25"/>
        </w:rPr>
        <w:t>November 3, 2025, the matter was denied expedited status by the BSEA, as it did not meet the criteria for expedited status under federal standards</w:t>
      </w:r>
      <w:r>
        <w:rPr>
          <w:rStyle w:val="FootnoteReference"/>
          <w:rFonts w:cs="Times New Roman"/>
          <w:sz w:val="25"/>
          <w:szCs w:val="25"/>
        </w:rPr>
        <w:footnoteReference w:id="2"/>
      </w:r>
      <w:r>
        <w:rPr>
          <w:rFonts w:cs="Times New Roman"/>
          <w:sz w:val="25"/>
          <w:szCs w:val="25"/>
        </w:rPr>
        <w:t xml:space="preserve"> or Rule II.C.1 of the </w:t>
      </w:r>
      <w:r w:rsidRPr="00986B46">
        <w:rPr>
          <w:rFonts w:cs="Times New Roman"/>
          <w:i/>
          <w:iCs/>
          <w:sz w:val="25"/>
          <w:szCs w:val="25"/>
        </w:rPr>
        <w:t>Hearing Rules for Special Education Appeals</w:t>
      </w:r>
      <w:r>
        <w:rPr>
          <w:rFonts w:cs="Times New Roman"/>
          <w:sz w:val="25"/>
          <w:szCs w:val="25"/>
        </w:rPr>
        <w:t>.  The hearing was therefore scheduled on the BSEA’s standard track for Parent initiated hearing requests.</w:t>
      </w:r>
    </w:p>
    <w:p w14:paraId="27298AE0" w14:textId="77777777" w:rsidR="00A75A2A" w:rsidRDefault="00A75A2A" w:rsidP="00A75A2A">
      <w:pPr>
        <w:pStyle w:val="NoSpacing"/>
        <w:rPr>
          <w:rFonts w:cs="Times New Roman"/>
          <w:sz w:val="25"/>
          <w:szCs w:val="25"/>
        </w:rPr>
      </w:pPr>
    </w:p>
    <w:p w14:paraId="7FC18066" w14:textId="77777777" w:rsidR="00A75A2A" w:rsidRDefault="00A75A2A" w:rsidP="00A75A2A">
      <w:pPr>
        <w:pStyle w:val="NoSpacing"/>
        <w:rPr>
          <w:rFonts w:cs="Times New Roman"/>
          <w:sz w:val="25"/>
          <w:szCs w:val="25"/>
        </w:rPr>
      </w:pPr>
      <w:r>
        <w:rPr>
          <w:rFonts w:cs="Times New Roman"/>
          <w:sz w:val="25"/>
          <w:szCs w:val="25"/>
        </w:rPr>
        <w:t xml:space="preserve">On </w:t>
      </w:r>
      <w:r w:rsidRPr="00104AC9">
        <w:rPr>
          <w:rFonts w:cs="Times New Roman"/>
          <w:sz w:val="25"/>
          <w:szCs w:val="25"/>
        </w:rPr>
        <w:t xml:space="preserve">November </w:t>
      </w:r>
      <w:r>
        <w:rPr>
          <w:rFonts w:cs="Times New Roman"/>
          <w:sz w:val="25"/>
          <w:szCs w:val="25"/>
        </w:rPr>
        <w:t>6</w:t>
      </w:r>
      <w:r w:rsidRPr="00104AC9">
        <w:rPr>
          <w:rFonts w:cs="Times New Roman"/>
          <w:sz w:val="25"/>
          <w:szCs w:val="25"/>
        </w:rPr>
        <w:t>, 2025, Brockton Public Schools’ (Brockton or District) filed a Motion to Dismiss Student’s Hearing Request</w:t>
      </w:r>
      <w:r>
        <w:rPr>
          <w:rFonts w:cs="Times New Roman"/>
          <w:sz w:val="25"/>
          <w:szCs w:val="25"/>
        </w:rPr>
        <w:t>, arguing that the BSEA lacked jurisdiction over this matter, and, even if it did have jurisdiction, Parents failed to state a claim upon which relief can be granted</w:t>
      </w:r>
      <w:r w:rsidRPr="00104AC9">
        <w:rPr>
          <w:rFonts w:cs="Times New Roman"/>
          <w:sz w:val="25"/>
          <w:szCs w:val="25"/>
        </w:rPr>
        <w:t xml:space="preserve">.  </w:t>
      </w:r>
      <w:r>
        <w:rPr>
          <w:rFonts w:cs="Times New Roman"/>
          <w:sz w:val="25"/>
          <w:szCs w:val="25"/>
        </w:rPr>
        <w:t xml:space="preserve"> </w:t>
      </w:r>
    </w:p>
    <w:p w14:paraId="3D67BEC4" w14:textId="77777777" w:rsidR="00A75A2A" w:rsidRDefault="00A75A2A" w:rsidP="00A75A2A">
      <w:pPr>
        <w:pStyle w:val="NoSpacing"/>
        <w:rPr>
          <w:rFonts w:cs="Times New Roman"/>
          <w:sz w:val="25"/>
          <w:szCs w:val="25"/>
        </w:rPr>
      </w:pPr>
    </w:p>
    <w:p w14:paraId="500E4CD4" w14:textId="77777777" w:rsidR="00A75A2A" w:rsidRDefault="00A75A2A" w:rsidP="00A75A2A">
      <w:pPr>
        <w:pStyle w:val="NoSpacing"/>
        <w:rPr>
          <w:rFonts w:cs="Times New Roman"/>
          <w:sz w:val="25"/>
          <w:szCs w:val="25"/>
        </w:rPr>
      </w:pPr>
      <w:r>
        <w:rPr>
          <w:rFonts w:cs="Times New Roman"/>
          <w:sz w:val="25"/>
          <w:szCs w:val="25"/>
        </w:rPr>
        <w:t xml:space="preserve">On November 7, 2025, Parents filed an Opposition to the District’s Motion and Parents’ Emergency Motion for Expedited Ruling and Stay-Put Relief.  </w:t>
      </w:r>
    </w:p>
    <w:p w14:paraId="4FA642DF" w14:textId="77777777" w:rsidR="00A75A2A" w:rsidRDefault="00A75A2A" w:rsidP="00A75A2A">
      <w:pPr>
        <w:pStyle w:val="NoSpacing"/>
        <w:rPr>
          <w:rFonts w:cs="Times New Roman"/>
          <w:sz w:val="25"/>
          <w:szCs w:val="25"/>
        </w:rPr>
      </w:pPr>
    </w:p>
    <w:p w14:paraId="38604765" w14:textId="718DD1D7" w:rsidR="00A75A2A" w:rsidRPr="00104AC9" w:rsidDel="005142ED" w:rsidRDefault="00A75A2A" w:rsidP="00A75A2A">
      <w:pPr>
        <w:pStyle w:val="NoSpacing"/>
        <w:rPr>
          <w:rFonts w:cs="Times New Roman"/>
          <w:sz w:val="25"/>
          <w:szCs w:val="25"/>
        </w:rPr>
      </w:pPr>
      <w:r>
        <w:rPr>
          <w:rFonts w:cs="Times New Roman"/>
          <w:sz w:val="25"/>
          <w:szCs w:val="25"/>
        </w:rPr>
        <w:lastRenderedPageBreak/>
        <w:t>This Ruling is issued in consideration of Parents’ Hearing Request inclusive of the Parties’ Mediation Agreement.</w:t>
      </w:r>
      <w:r w:rsidRPr="005142ED">
        <w:rPr>
          <w:rFonts w:cs="Times New Roman"/>
          <w:sz w:val="25"/>
          <w:szCs w:val="25"/>
        </w:rPr>
        <w:t xml:space="preserve"> </w:t>
      </w:r>
      <w:r>
        <w:rPr>
          <w:rFonts w:cs="Times New Roman"/>
          <w:sz w:val="25"/>
          <w:szCs w:val="25"/>
        </w:rPr>
        <w:t xml:space="preserve"> For the reasons set forth below, </w:t>
      </w:r>
      <w:r w:rsidDel="005142ED">
        <w:rPr>
          <w:rFonts w:cs="Times New Roman"/>
          <w:sz w:val="25"/>
          <w:szCs w:val="25"/>
        </w:rPr>
        <w:t xml:space="preserve">Parents’ Motion for Expedited Ruling and Stay-Put Relief is </w:t>
      </w:r>
      <w:r>
        <w:rPr>
          <w:rFonts w:cs="Times New Roman"/>
          <w:b/>
          <w:bCs/>
          <w:sz w:val="25"/>
          <w:szCs w:val="25"/>
        </w:rPr>
        <w:t xml:space="preserve">DENIED, and Brockton Public Schools’ Motion to Dismiss is </w:t>
      </w:r>
      <w:r w:rsidR="00292AB5">
        <w:rPr>
          <w:rFonts w:cs="Times New Roman"/>
          <w:b/>
          <w:bCs/>
          <w:sz w:val="25"/>
          <w:szCs w:val="25"/>
        </w:rPr>
        <w:t>ALLOWED</w:t>
      </w:r>
      <w:r>
        <w:rPr>
          <w:rFonts w:cs="Times New Roman"/>
          <w:b/>
          <w:bCs/>
          <w:sz w:val="25"/>
          <w:szCs w:val="25"/>
        </w:rPr>
        <w:t>.</w:t>
      </w:r>
    </w:p>
    <w:p w14:paraId="609FB41F" w14:textId="77777777" w:rsidR="00A75A2A" w:rsidRDefault="00A75A2A" w:rsidP="00A75A2A">
      <w:pPr>
        <w:pStyle w:val="NoSpacing"/>
        <w:rPr>
          <w:rFonts w:cs="Times New Roman"/>
          <w:sz w:val="25"/>
          <w:szCs w:val="25"/>
        </w:rPr>
      </w:pPr>
    </w:p>
    <w:p w14:paraId="1ED27CFA" w14:textId="77777777" w:rsidR="00A75A2A" w:rsidRPr="00104AC9" w:rsidRDefault="00A75A2A" w:rsidP="00A75A2A">
      <w:pPr>
        <w:pStyle w:val="NoSpacing"/>
        <w:rPr>
          <w:rFonts w:cs="Times New Roman"/>
          <w:sz w:val="25"/>
          <w:szCs w:val="25"/>
        </w:rPr>
      </w:pPr>
      <w:r w:rsidRPr="00104AC9">
        <w:rPr>
          <w:rFonts w:cs="Times New Roman"/>
          <w:b/>
          <w:bCs/>
          <w:sz w:val="25"/>
          <w:szCs w:val="25"/>
        </w:rPr>
        <w:t>FACTS</w:t>
      </w:r>
      <w:r w:rsidRPr="00104AC9">
        <w:rPr>
          <w:rFonts w:cs="Times New Roman"/>
          <w:sz w:val="25"/>
          <w:szCs w:val="25"/>
        </w:rPr>
        <w:t xml:space="preserve">:  </w:t>
      </w:r>
    </w:p>
    <w:p w14:paraId="0C113CBE" w14:textId="77777777" w:rsidR="00A75A2A" w:rsidRPr="00104AC9" w:rsidRDefault="00A75A2A" w:rsidP="00A75A2A">
      <w:pPr>
        <w:pStyle w:val="NoSpacing"/>
        <w:rPr>
          <w:rFonts w:cs="Times New Roman"/>
          <w:sz w:val="25"/>
          <w:szCs w:val="25"/>
        </w:rPr>
      </w:pPr>
    </w:p>
    <w:p w14:paraId="0C54082A" w14:textId="77777777" w:rsidR="00A75A2A" w:rsidRPr="00104AC9" w:rsidRDefault="00A75A2A" w:rsidP="00A75A2A">
      <w:pPr>
        <w:pStyle w:val="NoSpacing"/>
        <w:rPr>
          <w:rFonts w:cs="Times New Roman"/>
          <w:sz w:val="25"/>
          <w:szCs w:val="25"/>
        </w:rPr>
      </w:pPr>
      <w:r w:rsidRPr="00104AC9">
        <w:rPr>
          <w:rFonts w:cs="Times New Roman"/>
          <w:sz w:val="25"/>
          <w:szCs w:val="25"/>
        </w:rPr>
        <w:t>The facts cited herein are presumed to be true only for purposes of this Motion to Dismiss</w:t>
      </w:r>
      <w:r>
        <w:rPr>
          <w:rFonts w:cs="Times New Roman"/>
          <w:sz w:val="25"/>
          <w:szCs w:val="25"/>
        </w:rPr>
        <w:t xml:space="preserve"> and are lifted from Parents’ Hearing Request and the attachments to said Hearing Request</w:t>
      </w:r>
      <w:r w:rsidRPr="00104AC9">
        <w:rPr>
          <w:rFonts w:cs="Times New Roman"/>
          <w:sz w:val="25"/>
          <w:szCs w:val="25"/>
        </w:rPr>
        <w:t>.</w:t>
      </w:r>
    </w:p>
    <w:p w14:paraId="0EC9DD25" w14:textId="77777777" w:rsidR="00A75A2A" w:rsidRDefault="00A75A2A" w:rsidP="00A75A2A">
      <w:pPr>
        <w:pStyle w:val="NoSpacing"/>
        <w:rPr>
          <w:rFonts w:cs="Times New Roman"/>
          <w:sz w:val="25"/>
          <w:szCs w:val="25"/>
        </w:rPr>
      </w:pPr>
    </w:p>
    <w:p w14:paraId="71359C85" w14:textId="3A28E536" w:rsidR="00A75A2A" w:rsidRDefault="00A75A2A" w:rsidP="00A75A2A">
      <w:pPr>
        <w:pStyle w:val="NoSpacing"/>
        <w:numPr>
          <w:ilvl w:val="0"/>
          <w:numId w:val="2"/>
        </w:numPr>
        <w:rPr>
          <w:rFonts w:cs="Times New Roman"/>
          <w:sz w:val="25"/>
          <w:szCs w:val="25"/>
        </w:rPr>
      </w:pPr>
      <w:r>
        <w:rPr>
          <w:rFonts w:cs="Times New Roman"/>
          <w:sz w:val="25"/>
          <w:szCs w:val="25"/>
        </w:rPr>
        <w:t xml:space="preserve">Student is a fourth grade Brockton resident who has been diagnosed with ADHD, and most recently Autism Spectrum Disorder.  He presents with trauma-related emotional and behavioral dysregulation. </w:t>
      </w:r>
    </w:p>
    <w:p w14:paraId="30C2907B" w14:textId="4DEE19B0" w:rsidR="00A75A2A" w:rsidRDefault="00A75A2A" w:rsidP="00A75A2A">
      <w:pPr>
        <w:pStyle w:val="NoSpacing"/>
        <w:numPr>
          <w:ilvl w:val="0"/>
          <w:numId w:val="2"/>
        </w:numPr>
        <w:rPr>
          <w:rFonts w:cs="Times New Roman"/>
          <w:sz w:val="25"/>
          <w:szCs w:val="25"/>
        </w:rPr>
      </w:pPr>
      <w:r w:rsidRPr="00EF535A">
        <w:rPr>
          <w:rFonts w:cs="Times New Roman"/>
          <w:sz w:val="25"/>
          <w:szCs w:val="25"/>
        </w:rPr>
        <w:t xml:space="preserve">Student receives special education services under the categories of emotional impairment and autism.  His most recent IEP </w:t>
      </w:r>
      <w:r>
        <w:rPr>
          <w:rFonts w:cs="Times New Roman"/>
          <w:sz w:val="25"/>
          <w:szCs w:val="25"/>
        </w:rPr>
        <w:t xml:space="preserve">for the 2024-2025 school year </w:t>
      </w:r>
      <w:r w:rsidRPr="00EF535A">
        <w:rPr>
          <w:rFonts w:cs="Times New Roman"/>
          <w:sz w:val="25"/>
          <w:szCs w:val="25"/>
        </w:rPr>
        <w:t xml:space="preserve">called for participation in a </w:t>
      </w:r>
      <w:r>
        <w:rPr>
          <w:rFonts w:cs="Times New Roman"/>
          <w:sz w:val="25"/>
          <w:szCs w:val="25"/>
        </w:rPr>
        <w:t>s</w:t>
      </w:r>
      <w:r w:rsidRPr="00EF535A">
        <w:rPr>
          <w:rFonts w:cs="Times New Roman"/>
          <w:sz w:val="25"/>
          <w:szCs w:val="25"/>
        </w:rPr>
        <w:t>ubstantially</w:t>
      </w:r>
      <w:r>
        <w:rPr>
          <w:rFonts w:cs="Times New Roman"/>
          <w:sz w:val="25"/>
          <w:szCs w:val="25"/>
        </w:rPr>
        <w:t xml:space="preserve"> </w:t>
      </w:r>
      <w:r w:rsidRPr="00EF535A">
        <w:rPr>
          <w:rFonts w:cs="Times New Roman"/>
          <w:sz w:val="25"/>
          <w:szCs w:val="25"/>
        </w:rPr>
        <w:t>separate progr</w:t>
      </w:r>
      <w:r>
        <w:rPr>
          <w:rFonts w:cs="Times New Roman"/>
          <w:sz w:val="25"/>
          <w:szCs w:val="25"/>
        </w:rPr>
        <w:t>a</w:t>
      </w:r>
      <w:r w:rsidRPr="00EF535A">
        <w:rPr>
          <w:rFonts w:cs="Times New Roman"/>
          <w:sz w:val="25"/>
          <w:szCs w:val="25"/>
        </w:rPr>
        <w:t>m</w:t>
      </w:r>
      <w:r>
        <w:rPr>
          <w:rFonts w:cs="Times New Roman"/>
          <w:sz w:val="25"/>
          <w:szCs w:val="25"/>
        </w:rPr>
        <w:t xml:space="preserve"> in Brockton.  During this year he had numerous time outs and periods during which he was removed from instruction due to frequent episodes of significant dysregulation.</w:t>
      </w:r>
    </w:p>
    <w:p w14:paraId="332D8365" w14:textId="1DF859E9" w:rsidR="00A75A2A" w:rsidRPr="00B412B8" w:rsidRDefault="00A75A2A" w:rsidP="00A75A2A">
      <w:pPr>
        <w:pStyle w:val="NoSpacing"/>
        <w:numPr>
          <w:ilvl w:val="0"/>
          <w:numId w:val="2"/>
        </w:numPr>
        <w:rPr>
          <w:rFonts w:cs="Times New Roman"/>
          <w:sz w:val="25"/>
          <w:szCs w:val="25"/>
        </w:rPr>
      </w:pPr>
      <w:r w:rsidRPr="00B412B8">
        <w:rPr>
          <w:rFonts w:cs="Times New Roman"/>
          <w:sz w:val="25"/>
          <w:szCs w:val="25"/>
        </w:rPr>
        <w:t xml:space="preserve">On July 18, 2025, the District requested a </w:t>
      </w:r>
      <w:r>
        <w:rPr>
          <w:rFonts w:cs="Times New Roman"/>
          <w:sz w:val="25"/>
          <w:szCs w:val="25"/>
        </w:rPr>
        <w:t>m</w:t>
      </w:r>
      <w:r w:rsidRPr="00B412B8">
        <w:rPr>
          <w:rFonts w:cs="Times New Roman"/>
          <w:sz w:val="25"/>
          <w:szCs w:val="25"/>
        </w:rPr>
        <w:t>ediation (BSEA #2601044), which was held on August 12, 2025</w:t>
      </w:r>
      <w:r>
        <w:rPr>
          <w:rFonts w:cs="Times New Roman"/>
          <w:sz w:val="25"/>
          <w:szCs w:val="25"/>
        </w:rPr>
        <w:t>.  At the mediation, t</w:t>
      </w:r>
      <w:r w:rsidRPr="00B412B8">
        <w:rPr>
          <w:rFonts w:cs="Times New Roman"/>
          <w:sz w:val="25"/>
          <w:szCs w:val="25"/>
        </w:rPr>
        <w:t xml:space="preserve">he Parties </w:t>
      </w:r>
      <w:r>
        <w:rPr>
          <w:rFonts w:cs="Times New Roman"/>
          <w:sz w:val="25"/>
          <w:szCs w:val="25"/>
        </w:rPr>
        <w:t xml:space="preserve">reached </w:t>
      </w:r>
      <w:r w:rsidRPr="00B412B8">
        <w:rPr>
          <w:rFonts w:cs="Times New Roman"/>
          <w:sz w:val="25"/>
          <w:szCs w:val="25"/>
        </w:rPr>
        <w:t xml:space="preserve">a Mediation Agreement </w:t>
      </w:r>
      <w:r>
        <w:rPr>
          <w:rFonts w:cs="Times New Roman"/>
          <w:sz w:val="25"/>
          <w:szCs w:val="25"/>
        </w:rPr>
        <w:t xml:space="preserve">(Agreement) </w:t>
      </w:r>
      <w:r w:rsidRPr="00B412B8">
        <w:rPr>
          <w:rFonts w:cs="Times New Roman"/>
          <w:sz w:val="25"/>
          <w:szCs w:val="25"/>
        </w:rPr>
        <w:t>which called for Student’s participation in a 40-day Extended Evaluation at READS or South Shore Collaborative</w:t>
      </w:r>
      <w:r>
        <w:rPr>
          <w:rFonts w:cs="Times New Roman"/>
          <w:sz w:val="25"/>
          <w:szCs w:val="25"/>
        </w:rPr>
        <w:t>s</w:t>
      </w:r>
      <w:r w:rsidRPr="00B412B8">
        <w:rPr>
          <w:rFonts w:cs="Times New Roman"/>
          <w:sz w:val="25"/>
          <w:szCs w:val="25"/>
        </w:rPr>
        <w:t>,</w:t>
      </w:r>
      <w:r w:rsidRPr="00F5433C">
        <w:rPr>
          <w:rFonts w:cs="Times New Roman"/>
          <w:sz w:val="25"/>
          <w:szCs w:val="25"/>
        </w:rPr>
        <w:t xml:space="preserve"> </w:t>
      </w:r>
      <w:r>
        <w:rPr>
          <w:rFonts w:cs="Times New Roman"/>
          <w:sz w:val="25"/>
          <w:szCs w:val="25"/>
        </w:rPr>
        <w:t xml:space="preserve">including </w:t>
      </w:r>
      <w:r w:rsidRPr="00B412B8">
        <w:rPr>
          <w:rFonts w:cs="Times New Roman"/>
          <w:sz w:val="25"/>
          <w:szCs w:val="25"/>
        </w:rPr>
        <w:t>transportation</w:t>
      </w:r>
      <w:r>
        <w:rPr>
          <w:rFonts w:cs="Times New Roman"/>
          <w:sz w:val="25"/>
          <w:szCs w:val="25"/>
        </w:rPr>
        <w:t>,</w:t>
      </w:r>
      <w:r w:rsidRPr="00B412B8">
        <w:rPr>
          <w:rFonts w:cs="Times New Roman"/>
          <w:sz w:val="25"/>
          <w:szCs w:val="25"/>
        </w:rPr>
        <w:t xml:space="preserve"> funded by Brockton.  </w:t>
      </w:r>
    </w:p>
    <w:p w14:paraId="1EA596EC" w14:textId="23E8BAF4" w:rsidR="00A75A2A" w:rsidRPr="00A75A2A" w:rsidRDefault="00A75A2A" w:rsidP="00A75A2A">
      <w:pPr>
        <w:pStyle w:val="NoSpacing"/>
        <w:numPr>
          <w:ilvl w:val="0"/>
          <w:numId w:val="2"/>
        </w:numPr>
        <w:rPr>
          <w:rFonts w:cs="Times New Roman"/>
          <w:sz w:val="25"/>
          <w:szCs w:val="25"/>
        </w:rPr>
      </w:pPr>
      <w:r w:rsidRPr="00A75A2A">
        <w:rPr>
          <w:rFonts w:cs="Times New Roman"/>
          <w:sz w:val="25"/>
          <w:szCs w:val="25"/>
        </w:rPr>
        <w:t>The Parties’ Agreement further provided at Paragraph #1.a.c, that</w:t>
      </w:r>
      <w:r>
        <w:rPr>
          <w:rFonts w:cs="Times New Roman"/>
          <w:sz w:val="25"/>
          <w:szCs w:val="25"/>
        </w:rPr>
        <w:t>,</w:t>
      </w:r>
      <w:r w:rsidRPr="00A75A2A">
        <w:rPr>
          <w:rFonts w:cs="Times New Roman"/>
          <w:sz w:val="25"/>
          <w:szCs w:val="25"/>
        </w:rPr>
        <w:t xml:space="preserve"> </w:t>
      </w:r>
    </w:p>
    <w:p w14:paraId="736BE25E" w14:textId="56C06F1C" w:rsidR="005F32BE" w:rsidRDefault="00A75A2A" w:rsidP="00292AB5">
      <w:pPr>
        <w:pStyle w:val="NoSpacing"/>
        <w:ind w:left="2160" w:right="864"/>
        <w:jc w:val="both"/>
        <w:rPr>
          <w:rFonts w:cs="Times New Roman"/>
          <w:sz w:val="25"/>
          <w:szCs w:val="25"/>
        </w:rPr>
      </w:pPr>
      <w:r>
        <w:rPr>
          <w:rFonts w:cs="Times New Roman"/>
          <w:sz w:val="25"/>
          <w:szCs w:val="25"/>
        </w:rPr>
        <w:t>“Stay put” placement for [Student] will be his current placement in Brockton Public Schools.</w:t>
      </w:r>
    </w:p>
    <w:p w14:paraId="19494756" w14:textId="3258E734" w:rsidR="00A75A2A" w:rsidRDefault="00A75A2A" w:rsidP="00A75A2A">
      <w:pPr>
        <w:pStyle w:val="NoSpacing"/>
        <w:numPr>
          <w:ilvl w:val="0"/>
          <w:numId w:val="2"/>
        </w:numPr>
        <w:rPr>
          <w:rFonts w:cs="Times New Roman"/>
          <w:sz w:val="25"/>
          <w:szCs w:val="25"/>
        </w:rPr>
      </w:pPr>
      <w:r>
        <w:rPr>
          <w:rFonts w:cs="Times New Roman"/>
          <w:sz w:val="25"/>
          <w:szCs w:val="25"/>
        </w:rPr>
        <w:t>Paragraph #3 of the Agreement provided that,</w:t>
      </w:r>
    </w:p>
    <w:p w14:paraId="2F1B6574" w14:textId="0300FF54" w:rsidR="00A75A2A" w:rsidRDefault="00A75A2A" w:rsidP="00A75A2A">
      <w:pPr>
        <w:pStyle w:val="NoSpacing"/>
        <w:ind w:left="2160" w:right="864"/>
        <w:jc w:val="both"/>
        <w:rPr>
          <w:rFonts w:cs="Times New Roman"/>
          <w:sz w:val="25"/>
          <w:szCs w:val="25"/>
        </w:rPr>
      </w:pPr>
      <w:r w:rsidRPr="00403D0A">
        <w:rPr>
          <w:rFonts w:cs="Times New Roman"/>
          <w:sz w:val="25"/>
          <w:szCs w:val="25"/>
        </w:rPr>
        <w:t xml:space="preserve">Both parties agreed to return to mediation if following the extended evaluation there remains </w:t>
      </w:r>
      <w:r>
        <w:rPr>
          <w:rFonts w:cs="Times New Roman"/>
          <w:sz w:val="25"/>
          <w:szCs w:val="25"/>
        </w:rPr>
        <w:t>a</w:t>
      </w:r>
      <w:r w:rsidRPr="00403D0A">
        <w:rPr>
          <w:rFonts w:cs="Times New Roman"/>
          <w:sz w:val="25"/>
          <w:szCs w:val="25"/>
        </w:rPr>
        <w:t xml:space="preserve"> disagreement as to an appropriate placement and at that time compensatory services will also be discussed by the parties.</w:t>
      </w:r>
    </w:p>
    <w:p w14:paraId="490FE09E" w14:textId="584FD8F2" w:rsidR="00A75A2A" w:rsidRDefault="00A75A2A" w:rsidP="00A75A2A">
      <w:pPr>
        <w:pStyle w:val="NoSpacing"/>
        <w:numPr>
          <w:ilvl w:val="0"/>
          <w:numId w:val="2"/>
        </w:numPr>
        <w:rPr>
          <w:rFonts w:cs="Times New Roman"/>
          <w:sz w:val="25"/>
          <w:szCs w:val="25"/>
        </w:rPr>
      </w:pPr>
      <w:r>
        <w:rPr>
          <w:rFonts w:cs="Times New Roman"/>
          <w:sz w:val="25"/>
          <w:szCs w:val="25"/>
        </w:rPr>
        <w:t xml:space="preserve">Student was accepted at READS and his extended evaluation at said program began in September of 2025. </w:t>
      </w:r>
    </w:p>
    <w:p w14:paraId="0128E033" w14:textId="760D20F1" w:rsidR="00A75A2A" w:rsidRDefault="00A75A2A" w:rsidP="00A75A2A">
      <w:pPr>
        <w:pStyle w:val="NoSpacing"/>
        <w:numPr>
          <w:ilvl w:val="0"/>
          <w:numId w:val="2"/>
        </w:numPr>
        <w:rPr>
          <w:rFonts w:cs="Times New Roman"/>
          <w:sz w:val="25"/>
          <w:szCs w:val="25"/>
        </w:rPr>
      </w:pPr>
      <w:r>
        <w:rPr>
          <w:rFonts w:cs="Times New Roman"/>
          <w:sz w:val="25"/>
          <w:szCs w:val="25"/>
        </w:rPr>
        <w:t xml:space="preserve">On or about October 30, 2025, Student’s Team convened to discuss the results of the Extended Evaluation, and Brockton offered Student placement in a substantially separate program in Brockton.  Parents were informed that as the evaluation period concluded on October 31, 2025, Student should return to Brockton’s substantially separate classroom on Monday, November 3, 2025.  Parents objected on the basis that they did not receive prior written notice proposing such change in placement and requested that Student remain at </w:t>
      </w:r>
      <w:r>
        <w:rPr>
          <w:rFonts w:cs="Times New Roman"/>
          <w:sz w:val="25"/>
          <w:szCs w:val="25"/>
        </w:rPr>
        <w:lastRenderedPageBreak/>
        <w:t>READS pending the Parties</w:t>
      </w:r>
      <w:r w:rsidR="009535F9">
        <w:rPr>
          <w:rFonts w:cs="Times New Roman"/>
          <w:sz w:val="25"/>
          <w:szCs w:val="25"/>
        </w:rPr>
        <w:t>’</w:t>
      </w:r>
      <w:r>
        <w:rPr>
          <w:rFonts w:cs="Times New Roman"/>
          <w:sz w:val="25"/>
          <w:szCs w:val="25"/>
        </w:rPr>
        <w:t xml:space="preserve"> return to mediation, since Parents understood READS to be Student’s stay-put placement.   </w:t>
      </w:r>
    </w:p>
    <w:p w14:paraId="182DACFE" w14:textId="77777777" w:rsidR="00A75A2A" w:rsidRDefault="00A75A2A" w:rsidP="00A75A2A">
      <w:pPr>
        <w:pStyle w:val="NoSpacing"/>
        <w:numPr>
          <w:ilvl w:val="0"/>
          <w:numId w:val="2"/>
        </w:numPr>
        <w:rPr>
          <w:rFonts w:cs="Times New Roman"/>
          <w:sz w:val="25"/>
          <w:szCs w:val="25"/>
        </w:rPr>
      </w:pPr>
      <w:r>
        <w:rPr>
          <w:rFonts w:cs="Times New Roman"/>
          <w:sz w:val="25"/>
          <w:szCs w:val="25"/>
        </w:rPr>
        <w:t>On or about November 6, 2025, the Parties returned to mediation and on November 6, the District filed the instant Motion.</w:t>
      </w:r>
    </w:p>
    <w:p w14:paraId="2B52430C" w14:textId="77777777" w:rsidR="00A75A2A" w:rsidRPr="00EF535A" w:rsidRDefault="00A75A2A" w:rsidP="00A75A2A">
      <w:pPr>
        <w:pStyle w:val="NoSpacing"/>
        <w:numPr>
          <w:ilvl w:val="0"/>
          <w:numId w:val="2"/>
        </w:numPr>
        <w:rPr>
          <w:rFonts w:cs="Times New Roman"/>
          <w:sz w:val="25"/>
          <w:szCs w:val="25"/>
        </w:rPr>
      </w:pPr>
      <w:r>
        <w:rPr>
          <w:rFonts w:cs="Times New Roman"/>
          <w:sz w:val="25"/>
          <w:szCs w:val="25"/>
        </w:rPr>
        <w:t>Parents’ Opposition to the District’s Motion notes that during the Mediation on November 6, 2025, Brockton agreed to hold a Team meeting by no later than November 14, 2025, to review the extended evaluation and develop an IEP.</w:t>
      </w:r>
    </w:p>
    <w:p w14:paraId="0DE3003D" w14:textId="77777777" w:rsidR="00A75A2A" w:rsidRDefault="00A75A2A" w:rsidP="00A75A2A">
      <w:pPr>
        <w:pStyle w:val="NoSpacing"/>
      </w:pPr>
    </w:p>
    <w:p w14:paraId="588CC9F6" w14:textId="77777777" w:rsidR="00A75A2A" w:rsidRPr="00104AC9" w:rsidRDefault="00A75A2A" w:rsidP="00A75A2A">
      <w:pPr>
        <w:spacing w:after="0" w:line="240" w:lineRule="auto"/>
        <w:rPr>
          <w:rFonts w:cs="Times New Roman"/>
          <w:b/>
          <w:bCs/>
          <w:sz w:val="25"/>
          <w:szCs w:val="25"/>
        </w:rPr>
      </w:pPr>
      <w:r w:rsidRPr="00104AC9">
        <w:rPr>
          <w:rFonts w:cs="Times New Roman"/>
          <w:b/>
          <w:bCs/>
          <w:sz w:val="25"/>
          <w:szCs w:val="25"/>
        </w:rPr>
        <w:t>LEGAL STANDARDS:</w:t>
      </w:r>
    </w:p>
    <w:p w14:paraId="2C2CC17D" w14:textId="77777777" w:rsidR="00A75A2A" w:rsidRPr="00104AC9" w:rsidRDefault="00A75A2A" w:rsidP="00A75A2A">
      <w:pPr>
        <w:spacing w:after="0" w:line="240" w:lineRule="auto"/>
        <w:rPr>
          <w:rFonts w:cs="Times New Roman"/>
          <w:b/>
          <w:bCs/>
          <w:sz w:val="25"/>
          <w:szCs w:val="25"/>
        </w:rPr>
      </w:pPr>
    </w:p>
    <w:p w14:paraId="4C07B5C5" w14:textId="77777777" w:rsidR="00A75A2A" w:rsidRPr="00203166" w:rsidRDefault="00A75A2A" w:rsidP="00A75A2A">
      <w:pPr>
        <w:pStyle w:val="ListParagraph"/>
        <w:numPr>
          <w:ilvl w:val="0"/>
          <w:numId w:val="1"/>
        </w:numPr>
        <w:spacing w:after="0" w:line="240" w:lineRule="auto"/>
        <w:rPr>
          <w:rFonts w:eastAsia="Times New Roman" w:cs="Times New Roman"/>
          <w:sz w:val="25"/>
          <w:szCs w:val="25"/>
        </w:rPr>
      </w:pPr>
      <w:r w:rsidRPr="00203166">
        <w:rPr>
          <w:rFonts w:cs="Times New Roman"/>
          <w:sz w:val="25"/>
          <w:szCs w:val="25"/>
          <w:u w:val="single"/>
        </w:rPr>
        <w:t xml:space="preserve">Jurisdiction </w:t>
      </w:r>
      <w:r w:rsidRPr="00203166">
        <w:rPr>
          <w:rFonts w:eastAsia="Times New Roman" w:cs="Times New Roman"/>
          <w:sz w:val="25"/>
          <w:szCs w:val="25"/>
          <w:u w:val="single"/>
        </w:rPr>
        <w:t>of the BSEA</w:t>
      </w:r>
      <w:r w:rsidRPr="00203166">
        <w:rPr>
          <w:rFonts w:eastAsia="Times New Roman" w:cs="Times New Roman"/>
          <w:sz w:val="25"/>
          <w:szCs w:val="25"/>
        </w:rPr>
        <w:t xml:space="preserve">: </w:t>
      </w:r>
    </w:p>
    <w:p w14:paraId="5ED52CD8" w14:textId="77777777" w:rsidR="00A75A2A" w:rsidRPr="00203166" w:rsidRDefault="00A75A2A" w:rsidP="00A75A2A">
      <w:pPr>
        <w:spacing w:after="0" w:line="240" w:lineRule="auto"/>
        <w:rPr>
          <w:rFonts w:eastAsia="Times New Roman" w:cs="Times New Roman"/>
          <w:sz w:val="25"/>
          <w:szCs w:val="25"/>
        </w:rPr>
      </w:pPr>
    </w:p>
    <w:p w14:paraId="332631FC" w14:textId="32F15180" w:rsidR="00A75A2A" w:rsidRPr="00203166" w:rsidRDefault="00A75A2A" w:rsidP="00A75A2A">
      <w:pPr>
        <w:pStyle w:val="NoSpacing"/>
        <w:rPr>
          <w:rFonts w:cs="Times New Roman"/>
          <w:sz w:val="25"/>
          <w:szCs w:val="25"/>
        </w:rPr>
      </w:pPr>
      <w:r w:rsidRPr="00203166">
        <w:rPr>
          <w:rFonts w:cs="Times New Roman"/>
          <w:sz w:val="25"/>
          <w:szCs w:val="25"/>
        </w:rPr>
        <w:t xml:space="preserve">The BSEA’s jurisdictional authority is found in the IDEA, M.G.L. c.71B, and Section 504 of the Rehabilitation Act of 1973, and the regulations promulgated under those statutes, expressly granting special education hearing officers jurisdiction over issues relating to “the identification, evaluation, or educational placement of the child, or the provision of a free appropriate public education to such child”. 20 U.S.C. §1415(b)(6)(A). </w:t>
      </w:r>
      <w:r w:rsidR="00F114FF">
        <w:rPr>
          <w:rFonts w:cs="Times New Roman"/>
          <w:sz w:val="25"/>
          <w:szCs w:val="25"/>
        </w:rPr>
        <w:t xml:space="preserve"> </w:t>
      </w:r>
      <w:r w:rsidRPr="00203166">
        <w:rPr>
          <w:rFonts w:cs="Times New Roman"/>
          <w:sz w:val="25"/>
          <w:szCs w:val="25"/>
        </w:rPr>
        <w:t>M.G.L. ch. 71B, § 2A(a), grants the BSEA jurisdiction to hold adjudicatory hearings involving,</w:t>
      </w:r>
    </w:p>
    <w:p w14:paraId="5B587061" w14:textId="77777777" w:rsidR="00A75A2A" w:rsidRPr="00203166" w:rsidRDefault="00A75A2A" w:rsidP="00A75A2A">
      <w:pPr>
        <w:pStyle w:val="NoSpacing"/>
        <w:ind w:left="1440" w:right="1008"/>
        <w:jc w:val="both"/>
        <w:rPr>
          <w:rFonts w:cs="Times New Roman"/>
          <w:color w:val="252525"/>
          <w:sz w:val="25"/>
          <w:szCs w:val="25"/>
        </w:rPr>
      </w:pPr>
    </w:p>
    <w:p w14:paraId="6ADC1F4A" w14:textId="77777777" w:rsidR="00A75A2A" w:rsidRPr="00203166" w:rsidRDefault="00A75A2A" w:rsidP="00A75A2A">
      <w:pPr>
        <w:pStyle w:val="NoSpacing"/>
        <w:ind w:left="1440" w:right="1008"/>
        <w:jc w:val="both"/>
        <w:rPr>
          <w:rFonts w:cs="Times New Roman"/>
          <w:sz w:val="25"/>
          <w:szCs w:val="25"/>
        </w:rPr>
      </w:pPr>
      <w:r w:rsidRPr="00203166">
        <w:rPr>
          <w:rFonts w:cs="Times New Roman"/>
          <w:color w:val="252525"/>
          <w:sz w:val="25"/>
          <w:szCs w:val="25"/>
        </w:rPr>
        <w:t>disputes between and among parents, school districts, private schools and state agencies concerning: (i) any matter relating to the identification, evaluation, education program or educational placement of a child with a disability or the provision of a free and appropriate public education to the child arising under this chapter and regulations promulgated hereunder or under the Individuals with Disabilities Education Act,</w:t>
      </w:r>
      <w:r w:rsidRPr="00203166">
        <w:rPr>
          <w:rStyle w:val="apple-converted-space"/>
          <w:rFonts w:cs="Times New Roman"/>
          <w:color w:val="252525"/>
          <w:sz w:val="25"/>
          <w:szCs w:val="25"/>
        </w:rPr>
        <w:t> </w:t>
      </w:r>
      <w:r w:rsidRPr="00203166">
        <w:rPr>
          <w:rFonts w:cs="Times New Roman"/>
          <w:sz w:val="25"/>
          <w:szCs w:val="25"/>
        </w:rPr>
        <w:t>20 U.S.C. section 1400 et seq.,</w:t>
      </w:r>
      <w:r w:rsidRPr="00203166">
        <w:rPr>
          <w:rStyle w:val="apple-converted-space"/>
          <w:rFonts w:cs="Times New Roman"/>
          <w:color w:val="252525"/>
          <w:sz w:val="25"/>
          <w:szCs w:val="25"/>
        </w:rPr>
        <w:t> </w:t>
      </w:r>
      <w:r w:rsidRPr="00203166">
        <w:rPr>
          <w:rFonts w:cs="Times New Roman"/>
          <w:color w:val="252525"/>
          <w:sz w:val="25"/>
          <w:szCs w:val="25"/>
        </w:rPr>
        <w:t>and its regulations; or (ii) a student’s rights under Section 504 of the Rehabilitation Act of 1973,</w:t>
      </w:r>
      <w:r w:rsidRPr="00203166">
        <w:rPr>
          <w:rStyle w:val="apple-converted-space"/>
          <w:rFonts w:cs="Times New Roman"/>
          <w:color w:val="252525"/>
          <w:sz w:val="25"/>
          <w:szCs w:val="25"/>
        </w:rPr>
        <w:t> </w:t>
      </w:r>
      <w:r w:rsidRPr="00203166">
        <w:rPr>
          <w:rFonts w:cs="Times New Roman"/>
          <w:sz w:val="25"/>
          <w:szCs w:val="25"/>
        </w:rPr>
        <w:t>29 U.S.C. section 794</w:t>
      </w:r>
      <w:r w:rsidRPr="00203166">
        <w:rPr>
          <w:rFonts w:cs="Times New Roman"/>
          <w:color w:val="252525"/>
          <w:sz w:val="25"/>
          <w:szCs w:val="25"/>
        </w:rPr>
        <w:t xml:space="preserve">, and its regulations. </w:t>
      </w:r>
      <w:r w:rsidRPr="00203166">
        <w:rPr>
          <w:rFonts w:cs="Times New Roman"/>
          <w:sz w:val="25"/>
          <w:szCs w:val="25"/>
        </w:rPr>
        <w:t xml:space="preserve"> </w:t>
      </w:r>
    </w:p>
    <w:p w14:paraId="19A942DC" w14:textId="77777777" w:rsidR="00A75A2A" w:rsidRPr="00203166" w:rsidRDefault="00A75A2A" w:rsidP="00A75A2A">
      <w:pPr>
        <w:pStyle w:val="NoSpacing"/>
        <w:rPr>
          <w:rFonts w:cs="Times New Roman"/>
          <w:sz w:val="25"/>
          <w:szCs w:val="25"/>
        </w:rPr>
      </w:pPr>
    </w:p>
    <w:p w14:paraId="0D76B7D5" w14:textId="77777777" w:rsidR="00A75A2A" w:rsidRPr="00203166" w:rsidRDefault="00A75A2A" w:rsidP="00A75A2A">
      <w:pPr>
        <w:pStyle w:val="NoSpacing"/>
        <w:rPr>
          <w:rFonts w:cs="Times New Roman"/>
          <w:sz w:val="25"/>
          <w:szCs w:val="25"/>
        </w:rPr>
      </w:pPr>
      <w:r w:rsidRPr="00203166">
        <w:rPr>
          <w:rFonts w:cs="Times New Roman"/>
          <w:sz w:val="25"/>
          <w:szCs w:val="25"/>
        </w:rPr>
        <w:t xml:space="preserve">Consistent with 603 CMR 28.08(3), a school district may, among other things, request a hearing before the BSEA at any time on any matter involving the </w:t>
      </w:r>
    </w:p>
    <w:p w14:paraId="1E772BEA" w14:textId="77777777" w:rsidR="00A75A2A" w:rsidRPr="00203166" w:rsidRDefault="00A75A2A" w:rsidP="00A75A2A">
      <w:pPr>
        <w:pStyle w:val="NoSpacing"/>
        <w:ind w:left="1440" w:right="1008"/>
        <w:jc w:val="both"/>
        <w:rPr>
          <w:rFonts w:cs="Times New Roman"/>
          <w:sz w:val="25"/>
          <w:szCs w:val="25"/>
        </w:rPr>
      </w:pPr>
    </w:p>
    <w:p w14:paraId="5CDC7910" w14:textId="77777777" w:rsidR="00A75A2A" w:rsidRPr="00203166" w:rsidRDefault="00A75A2A" w:rsidP="00A75A2A">
      <w:pPr>
        <w:pStyle w:val="NoSpacing"/>
        <w:ind w:left="1440" w:right="1008"/>
        <w:jc w:val="both"/>
        <w:rPr>
          <w:rFonts w:cs="Times New Roman"/>
          <w:sz w:val="25"/>
          <w:szCs w:val="25"/>
        </w:rPr>
      </w:pPr>
      <w:r w:rsidRPr="00203166">
        <w:rPr>
          <w:rFonts w:cs="Times New Roman"/>
          <w:sz w:val="25"/>
          <w:szCs w:val="25"/>
        </w:rPr>
        <w:t>…eligibility, evaluation, placement, IEP, provision of special education in accordance with state and federal law, or procedural protections of state and federal law for student with disabilities…</w:t>
      </w:r>
    </w:p>
    <w:p w14:paraId="111D387A" w14:textId="77777777" w:rsidR="00A75A2A" w:rsidRPr="00203166" w:rsidRDefault="00A75A2A" w:rsidP="00A75A2A">
      <w:pPr>
        <w:pStyle w:val="NoSpacing"/>
        <w:ind w:right="1008"/>
        <w:jc w:val="both"/>
        <w:rPr>
          <w:rFonts w:cs="Times New Roman"/>
          <w:sz w:val="25"/>
          <w:szCs w:val="25"/>
        </w:rPr>
      </w:pPr>
    </w:p>
    <w:p w14:paraId="290C55BF" w14:textId="6ED075A3" w:rsidR="00A75A2A" w:rsidRPr="00203166" w:rsidRDefault="00A75A2A" w:rsidP="00A75A2A">
      <w:pPr>
        <w:pStyle w:val="ListParagraph"/>
        <w:spacing w:after="0" w:line="240" w:lineRule="auto"/>
        <w:rPr>
          <w:rFonts w:cs="Times New Roman"/>
          <w:sz w:val="25"/>
          <w:szCs w:val="25"/>
        </w:rPr>
      </w:pPr>
      <w:r w:rsidRPr="00203166">
        <w:rPr>
          <w:rFonts w:cs="Times New Roman"/>
          <w:sz w:val="25"/>
          <w:szCs w:val="25"/>
        </w:rPr>
        <w:t xml:space="preserve">Consistent with the IDEA, the BSEA may exert its jurisdictional authority over matters brought to the BSEA “within two years of the date on which the parent or </w:t>
      </w:r>
      <w:r w:rsidRPr="00203166">
        <w:rPr>
          <w:rFonts w:cs="Times New Roman"/>
          <w:sz w:val="25"/>
          <w:szCs w:val="25"/>
        </w:rPr>
        <w:lastRenderedPageBreak/>
        <w:t>agency knew or should have known about the alleged action that forms the basis of the complaint”</w:t>
      </w:r>
      <w:r>
        <w:rPr>
          <w:rFonts w:cs="Times New Roman"/>
          <w:sz w:val="25"/>
          <w:szCs w:val="25"/>
        </w:rPr>
        <w:t>.</w:t>
      </w:r>
      <w:r w:rsidRPr="00203166">
        <w:rPr>
          <w:rFonts w:cs="Times New Roman"/>
          <w:sz w:val="25"/>
          <w:szCs w:val="25"/>
        </w:rPr>
        <w:t xml:space="preserve"> </w:t>
      </w:r>
      <w:r w:rsidR="00F114FF">
        <w:rPr>
          <w:rFonts w:cs="Times New Roman"/>
          <w:sz w:val="25"/>
          <w:szCs w:val="25"/>
        </w:rPr>
        <w:t xml:space="preserve"> </w:t>
      </w:r>
      <w:r w:rsidRPr="00203166">
        <w:rPr>
          <w:rFonts w:cs="Times New Roman"/>
          <w:sz w:val="25"/>
          <w:szCs w:val="25"/>
        </w:rPr>
        <w:t xml:space="preserve">20 U.S.C. §1415(f)(3)(C).  </w:t>
      </w:r>
    </w:p>
    <w:p w14:paraId="5942476B" w14:textId="77777777" w:rsidR="00A75A2A" w:rsidRPr="00203166" w:rsidRDefault="00A75A2A" w:rsidP="00A75A2A">
      <w:pPr>
        <w:pStyle w:val="ListParagraph"/>
        <w:spacing w:after="0" w:line="240" w:lineRule="auto"/>
        <w:rPr>
          <w:rFonts w:cs="Times New Roman"/>
          <w:sz w:val="25"/>
          <w:szCs w:val="25"/>
          <w:u w:val="single"/>
        </w:rPr>
      </w:pPr>
    </w:p>
    <w:p w14:paraId="5EBAB534" w14:textId="77777777" w:rsidR="00A75A2A" w:rsidRPr="00104AC9" w:rsidRDefault="00A75A2A" w:rsidP="00A75A2A">
      <w:pPr>
        <w:pStyle w:val="ListParagraph"/>
        <w:numPr>
          <w:ilvl w:val="0"/>
          <w:numId w:val="1"/>
        </w:numPr>
        <w:spacing w:after="0" w:line="240" w:lineRule="auto"/>
        <w:rPr>
          <w:rFonts w:cs="Times New Roman"/>
          <w:sz w:val="25"/>
          <w:szCs w:val="25"/>
          <w:u w:val="single"/>
        </w:rPr>
      </w:pPr>
      <w:r w:rsidRPr="00104AC9">
        <w:rPr>
          <w:rFonts w:cs="Times New Roman"/>
          <w:sz w:val="25"/>
          <w:szCs w:val="25"/>
          <w:u w:val="single"/>
        </w:rPr>
        <w:t>Motion to Dismiss:</w:t>
      </w:r>
    </w:p>
    <w:p w14:paraId="3BC663DB" w14:textId="77777777" w:rsidR="00A75A2A" w:rsidRDefault="00A75A2A" w:rsidP="00A75A2A">
      <w:pPr>
        <w:spacing w:after="0" w:line="240" w:lineRule="auto"/>
        <w:rPr>
          <w:rFonts w:cs="Times New Roman"/>
          <w:sz w:val="25"/>
          <w:szCs w:val="25"/>
        </w:rPr>
      </w:pPr>
    </w:p>
    <w:p w14:paraId="44F1ABD7" w14:textId="4E3DDBC2" w:rsidR="00A75A2A" w:rsidRPr="00FF48D5" w:rsidRDefault="00A75A2A" w:rsidP="00A75A2A">
      <w:pPr>
        <w:pStyle w:val="NoSpacing"/>
        <w:rPr>
          <w:rFonts w:cs="Times New Roman"/>
          <w:sz w:val="25"/>
          <w:szCs w:val="25"/>
        </w:rPr>
      </w:pPr>
      <w:r w:rsidRPr="00FF48D5">
        <w:rPr>
          <w:rFonts w:cs="Times New Roman"/>
          <w:sz w:val="25"/>
          <w:szCs w:val="25"/>
        </w:rPr>
        <w:t xml:space="preserve">Consistent with Rule XVI(B)(4) of the </w:t>
      </w:r>
      <w:r w:rsidRPr="00FF48D5">
        <w:rPr>
          <w:rFonts w:cs="Times New Roman"/>
          <w:i/>
          <w:iCs/>
          <w:sz w:val="25"/>
          <w:szCs w:val="25"/>
        </w:rPr>
        <w:t>Hearing Rules for Special Education Appeals</w:t>
      </w:r>
      <w:r>
        <w:rPr>
          <w:rFonts w:cs="Times New Roman"/>
          <w:i/>
          <w:iCs/>
          <w:sz w:val="25"/>
          <w:szCs w:val="25"/>
        </w:rPr>
        <w:t xml:space="preserve"> </w:t>
      </w:r>
      <w:r>
        <w:rPr>
          <w:rFonts w:cs="Times New Roman"/>
          <w:sz w:val="25"/>
          <w:szCs w:val="25"/>
        </w:rPr>
        <w:t>and</w:t>
      </w:r>
      <w:r w:rsidRPr="00FF48D5">
        <w:rPr>
          <w:rFonts w:cs="Times New Roman"/>
          <w:sz w:val="25"/>
          <w:szCs w:val="25"/>
        </w:rPr>
        <w:t xml:space="preserve"> the </w:t>
      </w:r>
      <w:r w:rsidRPr="00FF48D5">
        <w:rPr>
          <w:rFonts w:cs="Times New Roman"/>
          <w:i/>
          <w:iCs/>
          <w:sz w:val="25"/>
          <w:szCs w:val="25"/>
        </w:rPr>
        <w:t>Standard Adjudicatory Rules of Practice and Procedure,</w:t>
      </w:r>
      <w:r w:rsidRPr="00FF48D5">
        <w:rPr>
          <w:rFonts w:cs="Times New Roman"/>
          <w:sz w:val="25"/>
          <w:szCs w:val="25"/>
        </w:rPr>
        <w:t xml:space="preserve"> 801 CMR 1.01(g)(3</w:t>
      </w:r>
      <w:r>
        <w:rPr>
          <w:rFonts w:cs="Times New Roman"/>
          <w:sz w:val="25"/>
          <w:szCs w:val="25"/>
        </w:rPr>
        <w:t xml:space="preserve"> (as well as Rule </w:t>
      </w:r>
      <w:r w:rsidRPr="00FF48D5">
        <w:rPr>
          <w:rFonts w:cs="Times New Roman"/>
          <w:sz w:val="25"/>
          <w:szCs w:val="25"/>
        </w:rPr>
        <w:t>12(b)(6) of the Federal and Massachusetts Rules of Civil Procedure</w:t>
      </w:r>
      <w:r>
        <w:rPr>
          <w:rFonts w:cs="Times New Roman"/>
          <w:sz w:val="25"/>
          <w:szCs w:val="25"/>
        </w:rPr>
        <w:t>)</w:t>
      </w:r>
      <w:r w:rsidRPr="00FF48D5">
        <w:rPr>
          <w:rFonts w:cs="Times New Roman"/>
          <w:sz w:val="25"/>
          <w:szCs w:val="25"/>
        </w:rPr>
        <w:t xml:space="preserve">, </w:t>
      </w:r>
      <w:r>
        <w:rPr>
          <w:rFonts w:cs="Times New Roman"/>
          <w:sz w:val="25"/>
          <w:szCs w:val="25"/>
        </w:rPr>
        <w:t xml:space="preserve">BSEA Hearing Officers are </w:t>
      </w:r>
      <w:r w:rsidRPr="00FF48D5">
        <w:rPr>
          <w:rFonts w:cs="Times New Roman"/>
          <w:sz w:val="25"/>
          <w:szCs w:val="25"/>
        </w:rPr>
        <w:t>authorize</w:t>
      </w:r>
      <w:r>
        <w:rPr>
          <w:rFonts w:cs="Times New Roman"/>
          <w:sz w:val="25"/>
          <w:szCs w:val="25"/>
        </w:rPr>
        <w:t>d to</w:t>
      </w:r>
      <w:r w:rsidRPr="00FF48D5">
        <w:rPr>
          <w:rFonts w:cs="Times New Roman"/>
          <w:sz w:val="25"/>
          <w:szCs w:val="25"/>
        </w:rPr>
        <w:t xml:space="preserve"> dismiss claims with or without prejudice when the</w:t>
      </w:r>
      <w:r>
        <w:rPr>
          <w:rFonts w:cs="Times New Roman"/>
          <w:sz w:val="25"/>
          <w:szCs w:val="25"/>
        </w:rPr>
        <w:t xml:space="preserve"> party requesting the hearing</w:t>
      </w:r>
      <w:r w:rsidRPr="00FF48D5">
        <w:rPr>
          <w:rFonts w:cs="Times New Roman"/>
          <w:sz w:val="25"/>
          <w:szCs w:val="25"/>
        </w:rPr>
        <w:t xml:space="preserve"> fail</w:t>
      </w:r>
      <w:r>
        <w:rPr>
          <w:rFonts w:cs="Times New Roman"/>
          <w:sz w:val="25"/>
          <w:szCs w:val="25"/>
        </w:rPr>
        <w:t>s</w:t>
      </w:r>
      <w:r w:rsidRPr="00FF48D5">
        <w:rPr>
          <w:rFonts w:cs="Times New Roman"/>
          <w:sz w:val="25"/>
          <w:szCs w:val="25"/>
        </w:rPr>
        <w:t xml:space="preserve"> to state a claim upon which relief may be granted.  </w:t>
      </w:r>
    </w:p>
    <w:p w14:paraId="065A246F" w14:textId="77777777" w:rsidR="00A75A2A" w:rsidRPr="00FF48D5" w:rsidRDefault="00A75A2A" w:rsidP="00A75A2A">
      <w:pPr>
        <w:pStyle w:val="NoSpacing"/>
        <w:rPr>
          <w:rFonts w:cs="Times New Roman"/>
          <w:sz w:val="25"/>
          <w:szCs w:val="25"/>
        </w:rPr>
      </w:pPr>
    </w:p>
    <w:p w14:paraId="4B347B2F" w14:textId="77777777" w:rsidR="00A75A2A" w:rsidRPr="00FF48D5" w:rsidRDefault="00A75A2A" w:rsidP="00A75A2A">
      <w:pPr>
        <w:pStyle w:val="NoSpacing"/>
        <w:rPr>
          <w:rFonts w:cs="Times New Roman"/>
          <w:sz w:val="25"/>
          <w:szCs w:val="25"/>
        </w:rPr>
      </w:pPr>
      <w:r w:rsidRPr="00FF48D5">
        <w:rPr>
          <w:rFonts w:cs="Times New Roman"/>
          <w:sz w:val="25"/>
          <w:szCs w:val="25"/>
        </w:rPr>
        <w:t>To survive a motion to dismiss the party opposing said motion must present “factual ‘allegations plausibly suggesting (not merely consistent with)’ an entitlement to relief.”</w:t>
      </w:r>
      <w:r w:rsidRPr="00FF48D5">
        <w:rPr>
          <w:rStyle w:val="FootnoteReference"/>
          <w:rFonts w:cs="Times New Roman"/>
          <w:sz w:val="25"/>
          <w:szCs w:val="25"/>
        </w:rPr>
        <w:footnoteReference w:id="3"/>
      </w:r>
      <w:r w:rsidRPr="00FF48D5">
        <w:rPr>
          <w:rFonts w:cs="Times New Roman"/>
          <w:sz w:val="25"/>
          <w:szCs w:val="25"/>
        </w:rPr>
        <w:t xml:space="preserve">  In evaluating the complaint, the hearing officer must take as true “the allegations of the complaint, as well as such inferences as may be drawn therefrom in the plaintiff’s favor.”</w:t>
      </w:r>
      <w:r w:rsidRPr="00FF48D5">
        <w:rPr>
          <w:rStyle w:val="FootnoteReference"/>
          <w:rFonts w:cs="Times New Roman"/>
          <w:sz w:val="25"/>
          <w:szCs w:val="25"/>
        </w:rPr>
        <w:footnoteReference w:id="4"/>
      </w:r>
      <w:r w:rsidRPr="00FF48D5">
        <w:rPr>
          <w:rFonts w:cs="Times New Roman"/>
          <w:sz w:val="25"/>
          <w:szCs w:val="25"/>
        </w:rPr>
        <w:t xml:space="preserve">  These “[f]actual allegations must be enough to raise a right to relief above the speculative level . . . [based] on the assumption that all the allegations in the complaint are true (even if doubtful in fact).”</w:t>
      </w:r>
      <w:r w:rsidRPr="00FF48D5">
        <w:rPr>
          <w:rStyle w:val="FootnoteReference"/>
          <w:rFonts w:cs="Times New Roman"/>
          <w:sz w:val="25"/>
          <w:szCs w:val="25"/>
        </w:rPr>
        <w:footnoteReference w:id="5"/>
      </w:r>
      <w:r w:rsidRPr="00FF48D5">
        <w:rPr>
          <w:rFonts w:cs="Times New Roman"/>
          <w:sz w:val="25"/>
          <w:szCs w:val="25"/>
        </w:rPr>
        <w:t xml:space="preserve"> </w:t>
      </w:r>
    </w:p>
    <w:p w14:paraId="37669124" w14:textId="77777777" w:rsidR="00A75A2A" w:rsidRPr="00FF48D5" w:rsidRDefault="00A75A2A" w:rsidP="00A75A2A">
      <w:pPr>
        <w:pStyle w:val="NoSpacing"/>
        <w:rPr>
          <w:rFonts w:cs="Times New Roman"/>
          <w:sz w:val="25"/>
          <w:szCs w:val="25"/>
        </w:rPr>
      </w:pPr>
    </w:p>
    <w:p w14:paraId="74DAEE76" w14:textId="77777777" w:rsidR="00A75A2A" w:rsidRPr="00FF48D5" w:rsidRDefault="00A75A2A" w:rsidP="00A75A2A">
      <w:pPr>
        <w:pStyle w:val="NoSpacing"/>
        <w:rPr>
          <w:rFonts w:cs="Times New Roman"/>
          <w:sz w:val="25"/>
          <w:szCs w:val="25"/>
        </w:rPr>
      </w:pPr>
      <w:r w:rsidRPr="00FF48D5">
        <w:rPr>
          <w:rFonts w:cs="Times New Roman"/>
          <w:sz w:val="25"/>
          <w:szCs w:val="25"/>
        </w:rPr>
        <w:t xml:space="preserve">Lastly, </w:t>
      </w:r>
      <w:proofErr w:type="gramStart"/>
      <w:r w:rsidRPr="00FF48D5">
        <w:rPr>
          <w:rFonts w:cs="Times New Roman"/>
          <w:sz w:val="25"/>
          <w:szCs w:val="25"/>
        </w:rPr>
        <w:t>in order to</w:t>
      </w:r>
      <w:proofErr w:type="gramEnd"/>
      <w:r w:rsidRPr="00FF48D5">
        <w:rPr>
          <w:rFonts w:cs="Times New Roman"/>
          <w:sz w:val="25"/>
          <w:szCs w:val="25"/>
        </w:rPr>
        <w:t xml:space="preserve"> withstand a motion to dismiss, the BSEA hearing officer must be able to grant relief consistent with the federal and state statutes and regulations addressing special education, i.e., the IDEA, M.G.L. c.71B, and Section 504 of the Rehabilitation Act of 1973.  See </w:t>
      </w:r>
      <w:r w:rsidRPr="00FF48D5">
        <w:rPr>
          <w:rFonts w:cs="Times New Roman"/>
          <w:i/>
          <w:sz w:val="25"/>
          <w:szCs w:val="25"/>
        </w:rPr>
        <w:t>Norfolk County Agricultural School</w:t>
      </w:r>
      <w:r w:rsidRPr="00FF48D5">
        <w:rPr>
          <w:rFonts w:cs="Times New Roman"/>
          <w:sz w:val="25"/>
          <w:szCs w:val="25"/>
        </w:rPr>
        <w:t xml:space="preserve">, 45 IDELR 26 (2005).  Moreover, if the facts raised by the party opposing the motion to dismiss (herein Parents) raise even the plausibility of a viable claim giving rise to some form of relief under any of the </w:t>
      </w:r>
      <w:proofErr w:type="gramStart"/>
      <w:r w:rsidRPr="00FF48D5">
        <w:rPr>
          <w:rFonts w:cs="Times New Roman"/>
          <w:sz w:val="25"/>
          <w:szCs w:val="25"/>
        </w:rPr>
        <w:t>aforementioned statutes</w:t>
      </w:r>
      <w:proofErr w:type="gramEnd"/>
      <w:r w:rsidRPr="00FF48D5">
        <w:rPr>
          <w:rFonts w:cs="Times New Roman"/>
          <w:sz w:val="25"/>
          <w:szCs w:val="25"/>
        </w:rPr>
        <w:t xml:space="preserve">, the case may not be dismissed.  See, </w:t>
      </w:r>
      <w:r w:rsidRPr="00FF48D5">
        <w:rPr>
          <w:rFonts w:cs="Times New Roman"/>
          <w:i/>
          <w:sz w:val="25"/>
          <w:szCs w:val="25"/>
        </w:rPr>
        <w:t>Ashcroft v. Iqbal</w:t>
      </w:r>
      <w:r w:rsidRPr="00FF48D5">
        <w:rPr>
          <w:rFonts w:cs="Times New Roman"/>
          <w:sz w:val="25"/>
          <w:szCs w:val="25"/>
        </w:rPr>
        <w:t>, 129 S. Ct. 1937, 1948 (2009).</w:t>
      </w:r>
      <w:r w:rsidRPr="00FF48D5">
        <w:rPr>
          <w:rStyle w:val="FootnoteReference"/>
          <w:rFonts w:cs="Times New Roman"/>
          <w:sz w:val="25"/>
          <w:szCs w:val="25"/>
        </w:rPr>
        <w:footnoteReference w:id="6"/>
      </w:r>
      <w:r w:rsidRPr="00FF48D5">
        <w:rPr>
          <w:rFonts w:cs="Times New Roman"/>
          <w:sz w:val="25"/>
          <w:szCs w:val="25"/>
        </w:rPr>
        <w:t xml:space="preserve">  </w:t>
      </w:r>
    </w:p>
    <w:p w14:paraId="0DFB23A6" w14:textId="77777777" w:rsidR="00A75A2A" w:rsidRDefault="00A75A2A" w:rsidP="00A75A2A">
      <w:pPr>
        <w:pStyle w:val="NoSpacing"/>
        <w:rPr>
          <w:rFonts w:ascii="Times New Roman" w:hAnsi="Times New Roman" w:cs="Times New Roman"/>
          <w:sz w:val="25"/>
          <w:szCs w:val="25"/>
        </w:rPr>
      </w:pPr>
    </w:p>
    <w:p w14:paraId="769357AA" w14:textId="77777777" w:rsidR="00A75A2A" w:rsidRDefault="00A75A2A" w:rsidP="00A75A2A">
      <w:pPr>
        <w:pStyle w:val="ListParagraph"/>
        <w:numPr>
          <w:ilvl w:val="0"/>
          <w:numId w:val="1"/>
        </w:numPr>
        <w:rPr>
          <w:rFonts w:cs="Times New Roman"/>
          <w:sz w:val="25"/>
          <w:szCs w:val="25"/>
          <w:u w:val="single"/>
        </w:rPr>
      </w:pPr>
      <w:r>
        <w:rPr>
          <w:rFonts w:cs="Times New Roman"/>
          <w:sz w:val="25"/>
          <w:szCs w:val="25"/>
          <w:u w:val="single"/>
        </w:rPr>
        <w:t>Placement Pending Appeal (Stay-Put):</w:t>
      </w:r>
    </w:p>
    <w:p w14:paraId="0D971616" w14:textId="77777777" w:rsidR="00A75A2A" w:rsidRDefault="00A75A2A" w:rsidP="00A75A2A">
      <w:pPr>
        <w:rPr>
          <w:rFonts w:cs="Times New Roman"/>
          <w:sz w:val="25"/>
          <w:szCs w:val="25"/>
        </w:rPr>
      </w:pPr>
      <w:r w:rsidRPr="00085FA2">
        <w:rPr>
          <w:rFonts w:cs="Times New Roman"/>
          <w:sz w:val="25"/>
          <w:szCs w:val="25"/>
        </w:rPr>
        <w:t xml:space="preserve">The IDEA </w:t>
      </w:r>
      <w:r>
        <w:rPr>
          <w:rFonts w:cs="Times New Roman"/>
          <w:sz w:val="25"/>
          <w:szCs w:val="25"/>
        </w:rPr>
        <w:t xml:space="preserve">and accompanying special education regulations </w:t>
      </w:r>
      <w:r w:rsidRPr="009F3E59">
        <w:rPr>
          <w:rFonts w:cs="Times New Roman"/>
          <w:sz w:val="25"/>
          <w:szCs w:val="25"/>
        </w:rPr>
        <w:t>entitle students to remain in their then-current educational program and placement during the pendency of any dispute unless the parents and the school district agree otherwise.  20 USC §1415(j); 34 CFR 300.518(a)</w:t>
      </w:r>
      <w:r>
        <w:rPr>
          <w:rFonts w:cs="Times New Roman"/>
          <w:sz w:val="25"/>
          <w:szCs w:val="25"/>
        </w:rPr>
        <w:t>.</w:t>
      </w:r>
      <w:r>
        <w:rPr>
          <w:rStyle w:val="FootnoteReference"/>
          <w:rFonts w:cs="Times New Roman"/>
          <w:sz w:val="25"/>
          <w:szCs w:val="25"/>
        </w:rPr>
        <w:footnoteReference w:id="7"/>
      </w:r>
      <w:r w:rsidRPr="009F3E59">
        <w:rPr>
          <w:rFonts w:cs="Times New Roman"/>
          <w:sz w:val="25"/>
          <w:szCs w:val="25"/>
        </w:rPr>
        <w:t xml:space="preserve">  </w:t>
      </w:r>
      <w:r>
        <w:rPr>
          <w:rFonts w:cs="Times New Roman"/>
          <w:sz w:val="25"/>
          <w:szCs w:val="25"/>
        </w:rPr>
        <w:t xml:space="preserve"> In Massachusetts, the requirement that students remain in their last </w:t>
      </w:r>
      <w:r>
        <w:rPr>
          <w:rFonts w:cs="Times New Roman"/>
          <w:sz w:val="25"/>
          <w:szCs w:val="25"/>
        </w:rPr>
        <w:lastRenderedPageBreak/>
        <w:t>agreed upon placement pending resolution of special education disputes between parents and school districts is embodied in M.G.L. c. 71B</w:t>
      </w:r>
      <w:r w:rsidRPr="009F3E59">
        <w:rPr>
          <w:rFonts w:cs="Times New Roman"/>
          <w:sz w:val="25"/>
          <w:szCs w:val="25"/>
        </w:rPr>
        <w:t>§3</w:t>
      </w:r>
      <w:r>
        <w:rPr>
          <w:rFonts w:cs="Times New Roman"/>
          <w:sz w:val="25"/>
          <w:szCs w:val="25"/>
        </w:rPr>
        <w:t xml:space="preserve"> and</w:t>
      </w:r>
      <w:r w:rsidRPr="00E51DD1">
        <w:rPr>
          <w:rFonts w:cs="Times New Roman"/>
          <w:sz w:val="25"/>
          <w:szCs w:val="25"/>
        </w:rPr>
        <w:t xml:space="preserve"> </w:t>
      </w:r>
      <w:r w:rsidRPr="009F3E59">
        <w:rPr>
          <w:rFonts w:cs="Times New Roman"/>
          <w:sz w:val="25"/>
          <w:szCs w:val="25"/>
        </w:rPr>
        <w:t>603 CMR 28.08(7)</w:t>
      </w:r>
      <w:r w:rsidRPr="009F3E59">
        <w:rPr>
          <w:rStyle w:val="FootnoteReference"/>
          <w:rFonts w:cs="Times New Roman"/>
          <w:sz w:val="25"/>
          <w:szCs w:val="25"/>
        </w:rPr>
        <w:footnoteReference w:id="8"/>
      </w:r>
      <w:r>
        <w:rPr>
          <w:rFonts w:cs="Times New Roman"/>
          <w:sz w:val="25"/>
          <w:szCs w:val="25"/>
        </w:rPr>
        <w:t>,</w:t>
      </w:r>
      <w:r w:rsidRPr="009F3E59">
        <w:rPr>
          <w:rFonts w:cs="Times New Roman"/>
          <w:sz w:val="25"/>
          <w:szCs w:val="25"/>
        </w:rPr>
        <w:t xml:space="preserve"> </w:t>
      </w:r>
      <w:r>
        <w:rPr>
          <w:rFonts w:cs="Times New Roman"/>
          <w:sz w:val="25"/>
          <w:szCs w:val="25"/>
        </w:rPr>
        <w:t xml:space="preserve"> which provides that,</w:t>
      </w:r>
      <w:r w:rsidRPr="009F3E59">
        <w:rPr>
          <w:rFonts w:cs="Times New Roman"/>
          <w:sz w:val="25"/>
          <w:szCs w:val="25"/>
        </w:rPr>
        <w:t xml:space="preserve"> </w:t>
      </w:r>
    </w:p>
    <w:p w14:paraId="7837113F" w14:textId="77777777" w:rsidR="00A75A2A" w:rsidRPr="003F1A28" w:rsidRDefault="00A75A2A" w:rsidP="00A75A2A">
      <w:pPr>
        <w:ind w:left="1440" w:right="864"/>
        <w:jc w:val="both"/>
        <w:rPr>
          <w:rFonts w:cs="Times New Roman"/>
          <w:iCs/>
          <w:sz w:val="25"/>
          <w:szCs w:val="25"/>
        </w:rPr>
      </w:pPr>
      <w:r w:rsidRPr="003F1A28">
        <w:rPr>
          <w:rFonts w:cs="Times New Roman"/>
          <w:iCs/>
          <w:sz w:val="25"/>
          <w:szCs w:val="25"/>
        </w:rPr>
        <w:t>In accordance with state and federal law, during the pendency of any dispute regarding placement or services, the eligible student shall remain in his or her then current education program and placement</w:t>
      </w:r>
      <w:r>
        <w:rPr>
          <w:rFonts w:cs="Times New Roman"/>
          <w:iCs/>
          <w:sz w:val="25"/>
          <w:szCs w:val="25"/>
        </w:rPr>
        <w:t>.</w:t>
      </w:r>
    </w:p>
    <w:p w14:paraId="739D941F" w14:textId="2D831579" w:rsidR="00A75A2A" w:rsidRPr="009F3E59" w:rsidRDefault="00A75A2A" w:rsidP="00A75A2A">
      <w:pPr>
        <w:rPr>
          <w:rFonts w:cs="Times New Roman"/>
          <w:sz w:val="25"/>
          <w:szCs w:val="25"/>
        </w:rPr>
      </w:pPr>
      <w:r>
        <w:rPr>
          <w:rFonts w:cs="Times New Roman"/>
          <w:sz w:val="25"/>
          <w:szCs w:val="25"/>
        </w:rPr>
        <w:t>T</w:t>
      </w:r>
      <w:r w:rsidRPr="009F3E59">
        <w:rPr>
          <w:rFonts w:cs="Times New Roman"/>
          <w:sz w:val="25"/>
          <w:szCs w:val="25"/>
        </w:rPr>
        <w:t>h</w:t>
      </w:r>
      <w:r>
        <w:rPr>
          <w:rFonts w:cs="Times New Roman"/>
          <w:sz w:val="25"/>
          <w:szCs w:val="25"/>
        </w:rPr>
        <w:t>e purpose of th</w:t>
      </w:r>
      <w:r w:rsidRPr="009F3E59">
        <w:rPr>
          <w:rFonts w:cs="Times New Roman"/>
          <w:sz w:val="25"/>
          <w:szCs w:val="25"/>
        </w:rPr>
        <w:t>is right</w:t>
      </w:r>
      <w:r>
        <w:rPr>
          <w:rFonts w:cs="Times New Roman"/>
          <w:sz w:val="25"/>
          <w:szCs w:val="25"/>
        </w:rPr>
        <w:t>,</w:t>
      </w:r>
      <w:r w:rsidRPr="009F3E59">
        <w:rPr>
          <w:rFonts w:cs="Times New Roman"/>
          <w:sz w:val="25"/>
          <w:szCs w:val="25"/>
        </w:rPr>
        <w:t xml:space="preserve"> commonly known as “</w:t>
      </w:r>
      <w:r>
        <w:rPr>
          <w:rFonts w:cs="Times New Roman"/>
          <w:sz w:val="25"/>
          <w:szCs w:val="25"/>
        </w:rPr>
        <w:t>s</w:t>
      </w:r>
      <w:r w:rsidRPr="009F3E59">
        <w:rPr>
          <w:rFonts w:cs="Times New Roman"/>
          <w:sz w:val="25"/>
          <w:szCs w:val="25"/>
        </w:rPr>
        <w:t>tay-put”</w:t>
      </w:r>
      <w:r>
        <w:rPr>
          <w:rFonts w:cs="Times New Roman"/>
          <w:sz w:val="25"/>
          <w:szCs w:val="25"/>
        </w:rPr>
        <w:t>, is to</w:t>
      </w:r>
      <w:r w:rsidRPr="009F3E59">
        <w:rPr>
          <w:rFonts w:cs="Times New Roman"/>
          <w:sz w:val="25"/>
          <w:szCs w:val="25"/>
        </w:rPr>
        <w:t xml:space="preserve"> maintain a student’s educational situation during the pendency of an IDEA appeal</w:t>
      </w:r>
      <w:r>
        <w:rPr>
          <w:rFonts w:cs="Times New Roman"/>
          <w:sz w:val="25"/>
          <w:szCs w:val="25"/>
        </w:rPr>
        <w:t xml:space="preserve">, so that the student’s life is not </w:t>
      </w:r>
      <w:r w:rsidRPr="009F3E59">
        <w:rPr>
          <w:rFonts w:cs="Times New Roman"/>
          <w:sz w:val="25"/>
          <w:szCs w:val="25"/>
        </w:rPr>
        <w:t>disrupt</w:t>
      </w:r>
      <w:r>
        <w:rPr>
          <w:rFonts w:cs="Times New Roman"/>
          <w:sz w:val="25"/>
          <w:szCs w:val="25"/>
        </w:rPr>
        <w:t>ed</w:t>
      </w:r>
      <w:r w:rsidRPr="009F3E59">
        <w:rPr>
          <w:rFonts w:cs="Times New Roman"/>
          <w:sz w:val="25"/>
          <w:szCs w:val="25"/>
        </w:rPr>
        <w:t xml:space="preserve"> unnecessarily while a dispute is being litigated.  In this sense, “current educational placement” is equivalent to “the operative placement actually functioning at the time the dispute first arises”.  </w:t>
      </w:r>
      <w:r w:rsidRPr="009F3E59">
        <w:rPr>
          <w:rFonts w:cs="Times New Roman"/>
          <w:i/>
          <w:sz w:val="25"/>
          <w:szCs w:val="25"/>
        </w:rPr>
        <w:t>L.Y. ex rel. J.Y. v. Bayonne Bd. of Educ</w:t>
      </w:r>
      <w:r w:rsidRPr="009F3E59">
        <w:rPr>
          <w:rFonts w:cs="Times New Roman"/>
          <w:sz w:val="25"/>
          <w:szCs w:val="25"/>
        </w:rPr>
        <w:t>., 384 Fed. Appx. 58, 61, 20110 WL 2340176, *2 (3</w:t>
      </w:r>
      <w:r w:rsidRPr="009F3E59">
        <w:rPr>
          <w:rFonts w:cs="Times New Roman"/>
          <w:sz w:val="25"/>
          <w:szCs w:val="25"/>
          <w:vertAlign w:val="superscript"/>
        </w:rPr>
        <w:t>rd</w:t>
      </w:r>
      <w:r w:rsidRPr="009F3E59">
        <w:rPr>
          <w:rFonts w:cs="Times New Roman"/>
          <w:sz w:val="25"/>
          <w:szCs w:val="25"/>
        </w:rPr>
        <w:t xml:space="preserve"> Cir. 2010) (quoting </w:t>
      </w:r>
      <w:r w:rsidRPr="009F3E59">
        <w:rPr>
          <w:rFonts w:cs="Times New Roman"/>
          <w:i/>
          <w:sz w:val="25"/>
          <w:szCs w:val="25"/>
        </w:rPr>
        <w:t>Thomas v. Cincinnati Bd. of Educ</w:t>
      </w:r>
      <w:r w:rsidRPr="009F3E59">
        <w:rPr>
          <w:rFonts w:cs="Times New Roman"/>
          <w:sz w:val="25"/>
          <w:szCs w:val="25"/>
        </w:rPr>
        <w:t>., 918 F.2d 618, 625-26 (6</w:t>
      </w:r>
      <w:r w:rsidRPr="009F3E59">
        <w:rPr>
          <w:rFonts w:cs="Times New Roman"/>
          <w:sz w:val="25"/>
          <w:szCs w:val="25"/>
          <w:vertAlign w:val="superscript"/>
        </w:rPr>
        <w:t>th</w:t>
      </w:r>
      <w:r w:rsidRPr="009F3E59">
        <w:rPr>
          <w:rFonts w:cs="Times New Roman"/>
          <w:sz w:val="25"/>
          <w:szCs w:val="25"/>
        </w:rPr>
        <w:t xml:space="preserve"> Cir.) 1990).  </w:t>
      </w:r>
    </w:p>
    <w:p w14:paraId="7F485B60" w14:textId="38AB775B" w:rsidR="00A75A2A" w:rsidRPr="00A60799" w:rsidRDefault="00A75A2A" w:rsidP="00A75A2A">
      <w:pPr>
        <w:rPr>
          <w:rFonts w:cs="Times New Roman"/>
          <w:sz w:val="25"/>
          <w:szCs w:val="25"/>
        </w:rPr>
      </w:pPr>
      <w:r>
        <w:rPr>
          <w:rFonts w:cs="Times New Roman"/>
          <w:sz w:val="25"/>
          <w:szCs w:val="25"/>
        </w:rPr>
        <w:t xml:space="preserve">A </w:t>
      </w:r>
      <w:r w:rsidRPr="009F3E59">
        <w:rPr>
          <w:rFonts w:cs="Times New Roman"/>
          <w:sz w:val="25"/>
          <w:szCs w:val="25"/>
        </w:rPr>
        <w:t xml:space="preserve">student’s placement is </w:t>
      </w:r>
      <w:r>
        <w:rPr>
          <w:rFonts w:cs="Times New Roman"/>
          <w:sz w:val="25"/>
          <w:szCs w:val="25"/>
        </w:rPr>
        <w:t xml:space="preserve">generally </w:t>
      </w:r>
      <w:r w:rsidRPr="009F3E59">
        <w:rPr>
          <w:rFonts w:cs="Times New Roman"/>
          <w:sz w:val="25"/>
          <w:szCs w:val="25"/>
        </w:rPr>
        <w:t>predicated upon the accepted IEP, the document which dictates the school district’s responsibility toward a resident student.</w:t>
      </w:r>
      <w:r w:rsidRPr="009F3E59">
        <w:rPr>
          <w:rFonts w:cs="Times New Roman"/>
          <w:i/>
          <w:sz w:val="25"/>
          <w:szCs w:val="25"/>
        </w:rPr>
        <w:t xml:space="preserve"> </w:t>
      </w:r>
      <w:r w:rsidRPr="009F3E59">
        <w:rPr>
          <w:rFonts w:cs="Times New Roman"/>
          <w:sz w:val="25"/>
          <w:szCs w:val="25"/>
        </w:rPr>
        <w:t xml:space="preserve"> </w:t>
      </w:r>
      <w:r>
        <w:rPr>
          <w:rFonts w:cs="Times New Roman"/>
          <w:sz w:val="25"/>
          <w:szCs w:val="25"/>
        </w:rPr>
        <w:t xml:space="preserve">Typically, </w:t>
      </w:r>
      <w:r w:rsidRPr="009F3E59">
        <w:rPr>
          <w:rFonts w:cs="Times New Roman"/>
          <w:sz w:val="25"/>
          <w:szCs w:val="25"/>
        </w:rPr>
        <w:t xml:space="preserve">one must look at the last agreed upon IEP for guidance in determining the program and placement to which a student is entitled during </w:t>
      </w:r>
      <w:proofErr w:type="gramStart"/>
      <w:r w:rsidRPr="009F3E59">
        <w:rPr>
          <w:rFonts w:cs="Times New Roman"/>
          <w:sz w:val="25"/>
          <w:szCs w:val="25"/>
        </w:rPr>
        <w:t>the pendency of a</w:t>
      </w:r>
      <w:proofErr w:type="gramEnd"/>
      <w:r w:rsidRPr="009F3E59">
        <w:rPr>
          <w:rFonts w:cs="Times New Roman"/>
          <w:sz w:val="25"/>
          <w:szCs w:val="25"/>
        </w:rPr>
        <w:t xml:space="preserve"> proceeding</w:t>
      </w:r>
      <w:r>
        <w:rPr>
          <w:rFonts w:cs="Times New Roman"/>
          <w:sz w:val="25"/>
          <w:szCs w:val="25"/>
        </w:rPr>
        <w:t>.  Determinations</w:t>
      </w:r>
      <w:r w:rsidRPr="009F3E59">
        <w:rPr>
          <w:rFonts w:cs="Times New Roman"/>
          <w:sz w:val="25"/>
          <w:szCs w:val="25"/>
        </w:rPr>
        <w:t xml:space="preserve"> regarding </w:t>
      </w:r>
      <w:r>
        <w:rPr>
          <w:rFonts w:cs="Times New Roman"/>
          <w:sz w:val="25"/>
          <w:szCs w:val="25"/>
        </w:rPr>
        <w:t>s</w:t>
      </w:r>
      <w:r w:rsidRPr="009F3E59">
        <w:rPr>
          <w:rFonts w:cs="Times New Roman"/>
          <w:sz w:val="25"/>
          <w:szCs w:val="25"/>
        </w:rPr>
        <w:t xml:space="preserve">tay-put require careful examination of the particular facts and circumstances surrounding the program and placement to which the student is entitled during the pendency of a dispute. </w:t>
      </w:r>
      <w:r w:rsidR="00F114FF">
        <w:rPr>
          <w:rFonts w:cs="Times New Roman"/>
          <w:sz w:val="25"/>
          <w:szCs w:val="25"/>
        </w:rPr>
        <w:t xml:space="preserve"> </w:t>
      </w:r>
      <w:r w:rsidRPr="009F3E59">
        <w:rPr>
          <w:rFonts w:cs="Times New Roman"/>
          <w:sz w:val="25"/>
          <w:szCs w:val="25"/>
        </w:rPr>
        <w:t xml:space="preserve">See </w:t>
      </w:r>
      <w:r w:rsidRPr="009F3E59">
        <w:rPr>
          <w:rFonts w:cs="Times New Roman"/>
          <w:i/>
          <w:sz w:val="25"/>
          <w:szCs w:val="25"/>
        </w:rPr>
        <w:t>Hale v. Poplar Bluff R-1 School District</w:t>
      </w:r>
      <w:r w:rsidRPr="009F3E59">
        <w:rPr>
          <w:rFonts w:cs="Times New Roman"/>
          <w:sz w:val="25"/>
          <w:szCs w:val="25"/>
        </w:rPr>
        <w:t>, 280 F.3d 831 (8</w:t>
      </w:r>
      <w:r w:rsidRPr="009F3E59">
        <w:rPr>
          <w:rFonts w:cs="Times New Roman"/>
          <w:sz w:val="25"/>
          <w:szCs w:val="25"/>
          <w:vertAlign w:val="superscript"/>
        </w:rPr>
        <w:t>th</w:t>
      </w:r>
      <w:r w:rsidRPr="009F3E59">
        <w:rPr>
          <w:rFonts w:cs="Times New Roman"/>
          <w:sz w:val="25"/>
          <w:szCs w:val="25"/>
        </w:rPr>
        <w:t xml:space="preserve"> Cir. 2002) (calling for the fact finder to inquire as to the specific facts of the case to examine the impact that educational changes may have on the student). </w:t>
      </w:r>
      <w:r>
        <w:rPr>
          <w:rFonts w:cs="Times New Roman"/>
          <w:sz w:val="25"/>
          <w:szCs w:val="25"/>
        </w:rPr>
        <w:t>However, when parties agree that placements are for temporary reasons, stay-put rights do not typically attach</w:t>
      </w:r>
      <w:r w:rsidRPr="00A60799">
        <w:rPr>
          <w:rFonts w:cs="Times New Roman"/>
          <w:sz w:val="25"/>
          <w:szCs w:val="25"/>
        </w:rPr>
        <w:t>.</w:t>
      </w:r>
      <w:r>
        <w:rPr>
          <w:rStyle w:val="FootnoteReference"/>
          <w:rFonts w:cs="Times New Roman"/>
          <w:sz w:val="25"/>
          <w:szCs w:val="25"/>
        </w:rPr>
        <w:footnoteReference w:id="9"/>
      </w:r>
      <w:r w:rsidRPr="00A60799">
        <w:rPr>
          <w:rFonts w:cs="Times New Roman"/>
          <w:sz w:val="25"/>
          <w:szCs w:val="25"/>
        </w:rPr>
        <w:t xml:space="preserve"> </w:t>
      </w:r>
      <w:r w:rsidR="00F114FF">
        <w:rPr>
          <w:rFonts w:cs="Times New Roman"/>
          <w:sz w:val="25"/>
          <w:szCs w:val="25"/>
        </w:rPr>
        <w:t xml:space="preserve"> </w:t>
      </w:r>
      <w:r w:rsidRPr="00A60799">
        <w:rPr>
          <w:i/>
          <w:iCs/>
          <w:sz w:val="25"/>
          <w:szCs w:val="25"/>
        </w:rPr>
        <w:t>Verhoven v. Brunswick School Committee</w:t>
      </w:r>
      <w:r w:rsidRPr="00A60799">
        <w:rPr>
          <w:sz w:val="25"/>
          <w:szCs w:val="25"/>
        </w:rPr>
        <w:t>, 207 F. 3d. 1, 10 (1</w:t>
      </w:r>
      <w:r w:rsidRPr="00A60799">
        <w:rPr>
          <w:sz w:val="25"/>
          <w:szCs w:val="25"/>
          <w:vertAlign w:val="superscript"/>
        </w:rPr>
        <w:t>st</w:t>
      </w:r>
      <w:r w:rsidRPr="00A60799">
        <w:rPr>
          <w:sz w:val="25"/>
          <w:szCs w:val="25"/>
        </w:rPr>
        <w:t>Cir. 1999)</w:t>
      </w:r>
      <w:r>
        <w:rPr>
          <w:sz w:val="25"/>
          <w:szCs w:val="25"/>
        </w:rPr>
        <w:t>.</w:t>
      </w:r>
    </w:p>
    <w:p w14:paraId="15E6644B" w14:textId="77777777" w:rsidR="00A75A2A" w:rsidRDefault="00A75A2A" w:rsidP="00A75A2A">
      <w:pPr>
        <w:rPr>
          <w:rFonts w:cs="Times New Roman"/>
          <w:sz w:val="25"/>
          <w:szCs w:val="25"/>
        </w:rPr>
      </w:pPr>
      <w:r>
        <w:rPr>
          <w:rFonts w:cs="Times New Roman"/>
          <w:sz w:val="25"/>
          <w:szCs w:val="25"/>
        </w:rPr>
        <w:t xml:space="preserve">Here, in addition to the definitions of stay-put embodied in federal and state law and regulations, , the language in the Parties’ August 2025 mediated agreement must be examined as well. </w:t>
      </w:r>
      <w:r>
        <w:rPr>
          <w:rFonts w:cs="Times New Roman"/>
          <w:sz w:val="25"/>
          <w:szCs w:val="25"/>
        </w:rPr>
        <w:tab/>
      </w:r>
    </w:p>
    <w:p w14:paraId="7F254105" w14:textId="533C69C1" w:rsidR="00F114FF" w:rsidRPr="00F114FF" w:rsidRDefault="00A75A2A" w:rsidP="00F114FF">
      <w:pPr>
        <w:pStyle w:val="ListParagraph"/>
        <w:numPr>
          <w:ilvl w:val="0"/>
          <w:numId w:val="1"/>
        </w:numPr>
        <w:rPr>
          <w:rFonts w:cs="Times New Roman"/>
          <w:sz w:val="25"/>
          <w:szCs w:val="25"/>
        </w:rPr>
      </w:pPr>
      <w:r w:rsidRPr="00F114FF">
        <w:rPr>
          <w:rFonts w:cs="Times New Roman"/>
          <w:sz w:val="25"/>
          <w:szCs w:val="25"/>
          <w:u w:val="single"/>
        </w:rPr>
        <w:t>Mediated Agreement</w:t>
      </w:r>
      <w:r w:rsidR="00F114FF" w:rsidRPr="00F114FF">
        <w:rPr>
          <w:rFonts w:cs="Times New Roman"/>
          <w:sz w:val="25"/>
          <w:szCs w:val="25"/>
        </w:rPr>
        <w:t>:</w:t>
      </w:r>
    </w:p>
    <w:p w14:paraId="5419CC42" w14:textId="77777777" w:rsidR="00A83832" w:rsidRDefault="00A83832" w:rsidP="00F114FF">
      <w:pPr>
        <w:pStyle w:val="ListParagraph"/>
        <w:rPr>
          <w:rFonts w:cs="Times New Roman"/>
          <w:sz w:val="25"/>
          <w:szCs w:val="25"/>
          <w:highlight w:val="yellow"/>
        </w:rPr>
      </w:pPr>
    </w:p>
    <w:p w14:paraId="044CDF96" w14:textId="26BD4B0E" w:rsidR="00297D4E" w:rsidRDefault="00297D4E" w:rsidP="00A83832">
      <w:pPr>
        <w:rPr>
          <w:sz w:val="25"/>
          <w:szCs w:val="25"/>
        </w:rPr>
      </w:pPr>
      <w:r>
        <w:rPr>
          <w:sz w:val="25"/>
          <w:szCs w:val="25"/>
        </w:rPr>
        <w:lastRenderedPageBreak/>
        <w:t>Adopting federal guidelines regarding mediations, 603 CMR 28.08(4) guarantees Parents and school districts, the right to proceed to mediation as an option for dispute resolution</w:t>
      </w:r>
      <w:r>
        <w:rPr>
          <w:rStyle w:val="FootnoteReference"/>
          <w:sz w:val="25"/>
          <w:szCs w:val="25"/>
        </w:rPr>
        <w:footnoteReference w:id="10"/>
      </w:r>
      <w:r>
        <w:rPr>
          <w:sz w:val="25"/>
          <w:szCs w:val="25"/>
        </w:rPr>
        <w:t xml:space="preserve">.  </w:t>
      </w:r>
      <w:proofErr w:type="gramStart"/>
      <w:r w:rsidR="004B7569">
        <w:rPr>
          <w:sz w:val="25"/>
          <w:szCs w:val="25"/>
        </w:rPr>
        <w:t>Participation is mediation</w:t>
      </w:r>
      <w:proofErr w:type="gramEnd"/>
      <w:r w:rsidR="004B7569">
        <w:rPr>
          <w:sz w:val="25"/>
          <w:szCs w:val="25"/>
        </w:rPr>
        <w:t xml:space="preserve"> is voluntary and </w:t>
      </w:r>
      <w:r w:rsidR="008E52FA">
        <w:rPr>
          <w:sz w:val="25"/>
          <w:szCs w:val="25"/>
        </w:rPr>
        <w:t>it is</w:t>
      </w:r>
      <w:r w:rsidR="004B7569">
        <w:rPr>
          <w:sz w:val="25"/>
          <w:szCs w:val="25"/>
        </w:rPr>
        <w:t xml:space="preserve"> provided at no cost to the parents.  In Massachusetts, </w:t>
      </w:r>
      <w:r w:rsidR="0089098C">
        <w:rPr>
          <w:sz w:val="25"/>
          <w:szCs w:val="25"/>
        </w:rPr>
        <w:t xml:space="preserve">mediations are conducted by a group of independent mediators employed by the </w:t>
      </w:r>
      <w:r w:rsidR="00D352BA">
        <w:rPr>
          <w:sz w:val="25"/>
          <w:szCs w:val="25"/>
        </w:rPr>
        <w:t xml:space="preserve">BSEA. </w:t>
      </w:r>
      <w:r w:rsidR="00E66B3E">
        <w:rPr>
          <w:sz w:val="25"/>
          <w:szCs w:val="25"/>
        </w:rPr>
        <w:t xml:space="preserve"> </w:t>
      </w:r>
      <w:r w:rsidR="00616A39">
        <w:rPr>
          <w:sz w:val="25"/>
          <w:szCs w:val="25"/>
        </w:rPr>
        <w:t xml:space="preserve">The process is confidential and the discussions therein may not be used at Hearing.  </w:t>
      </w:r>
      <w:r w:rsidR="00782069">
        <w:rPr>
          <w:sz w:val="25"/>
          <w:szCs w:val="25"/>
        </w:rPr>
        <w:t>C</w:t>
      </w:r>
      <w:r w:rsidR="008B3DFE">
        <w:rPr>
          <w:sz w:val="25"/>
          <w:szCs w:val="25"/>
        </w:rPr>
        <w:t>onsistent with 603 CMR 28.08(4)</w:t>
      </w:r>
      <w:r w:rsidR="00782069">
        <w:rPr>
          <w:sz w:val="25"/>
          <w:szCs w:val="25"/>
        </w:rPr>
        <w:t>(a)</w:t>
      </w:r>
      <w:r w:rsidR="008B3DFE">
        <w:rPr>
          <w:sz w:val="25"/>
          <w:szCs w:val="25"/>
        </w:rPr>
        <w:t>, if an agreement is reached it must be written</w:t>
      </w:r>
      <w:r w:rsidR="006F5FFD">
        <w:rPr>
          <w:sz w:val="25"/>
          <w:szCs w:val="25"/>
        </w:rPr>
        <w:t xml:space="preserve"> and signed by representatives with </w:t>
      </w:r>
      <w:r w:rsidR="00892710">
        <w:rPr>
          <w:sz w:val="25"/>
          <w:szCs w:val="25"/>
        </w:rPr>
        <w:t>decision- making authority</w:t>
      </w:r>
      <w:r w:rsidR="008B3DFE">
        <w:rPr>
          <w:sz w:val="25"/>
          <w:szCs w:val="25"/>
        </w:rPr>
        <w:t xml:space="preserve">. </w:t>
      </w:r>
      <w:r w:rsidR="00E66B3E">
        <w:rPr>
          <w:sz w:val="25"/>
          <w:szCs w:val="25"/>
        </w:rPr>
        <w:t xml:space="preserve">Participation in mediation is not a pre-requisite to </w:t>
      </w:r>
      <w:r w:rsidR="006D4B6E">
        <w:rPr>
          <w:sz w:val="25"/>
          <w:szCs w:val="25"/>
        </w:rPr>
        <w:t>initiating</w:t>
      </w:r>
      <w:r w:rsidR="00CE5491">
        <w:rPr>
          <w:sz w:val="25"/>
          <w:szCs w:val="25"/>
        </w:rPr>
        <w:t xml:space="preserve"> a hearing.  </w:t>
      </w:r>
      <w:r w:rsidR="00D352BA">
        <w:rPr>
          <w:sz w:val="25"/>
          <w:szCs w:val="25"/>
        </w:rPr>
        <w:t xml:space="preserve">603 CMR 28.08(4). </w:t>
      </w:r>
    </w:p>
    <w:p w14:paraId="579988C3" w14:textId="77777777" w:rsidR="005C7B79" w:rsidRPr="00A83832" w:rsidRDefault="005C7B79" w:rsidP="005C7B79">
      <w:pPr>
        <w:rPr>
          <w:rFonts w:cs="Times New Roman"/>
          <w:sz w:val="25"/>
          <w:szCs w:val="25"/>
          <w:highlight w:val="yellow"/>
        </w:rPr>
      </w:pPr>
      <w:r w:rsidRPr="00A83832">
        <w:rPr>
          <w:sz w:val="25"/>
          <w:szCs w:val="25"/>
        </w:rPr>
        <w:t>Under 28 U.S.C. §1415(e)(2)(F)(ii) and (iii) a signed mediation agreement is a contract which may be used as evidence in due process proceedings and may only be enforced in a State court of competent jurisdiction.</w:t>
      </w:r>
      <w:r>
        <w:rPr>
          <w:rStyle w:val="FootnoteReference"/>
          <w:sz w:val="25"/>
          <w:szCs w:val="25"/>
        </w:rPr>
        <w:footnoteReference w:id="11"/>
      </w:r>
      <w:r w:rsidRPr="00A83832">
        <w:rPr>
          <w:sz w:val="25"/>
          <w:szCs w:val="25"/>
        </w:rPr>
        <w:t xml:space="preserve">  </w:t>
      </w:r>
    </w:p>
    <w:p w14:paraId="041A6835" w14:textId="2C1FFB29" w:rsidR="00A83832" w:rsidRDefault="00E95A3E" w:rsidP="00A83832">
      <w:pPr>
        <w:rPr>
          <w:sz w:val="25"/>
          <w:szCs w:val="25"/>
        </w:rPr>
      </w:pPr>
      <w:r>
        <w:rPr>
          <w:sz w:val="25"/>
          <w:szCs w:val="25"/>
        </w:rPr>
        <w:t>Here, t</w:t>
      </w:r>
      <w:r w:rsidR="00A83832">
        <w:rPr>
          <w:sz w:val="25"/>
          <w:szCs w:val="25"/>
        </w:rPr>
        <w:t>he mediation on August 12, 2025, culminated in an agreement that provid</w:t>
      </w:r>
      <w:r w:rsidR="00297D4E">
        <w:rPr>
          <w:sz w:val="25"/>
          <w:szCs w:val="25"/>
        </w:rPr>
        <w:t>ed</w:t>
      </w:r>
      <w:r w:rsidR="00A83832">
        <w:rPr>
          <w:sz w:val="25"/>
          <w:szCs w:val="25"/>
        </w:rPr>
        <w:t xml:space="preserve"> in pertinent parts </w:t>
      </w:r>
      <w:r w:rsidR="00EE450B">
        <w:rPr>
          <w:sz w:val="25"/>
          <w:szCs w:val="25"/>
        </w:rPr>
        <w:t>of paragraphs #1 and #3</w:t>
      </w:r>
      <w:r w:rsidR="00165D89">
        <w:rPr>
          <w:sz w:val="25"/>
          <w:szCs w:val="25"/>
        </w:rPr>
        <w:t xml:space="preserve"> </w:t>
      </w:r>
      <w:r w:rsidR="00A83832">
        <w:rPr>
          <w:sz w:val="25"/>
          <w:szCs w:val="25"/>
        </w:rPr>
        <w:t>that</w:t>
      </w:r>
      <w:r w:rsidR="00165D89">
        <w:rPr>
          <w:sz w:val="25"/>
          <w:szCs w:val="25"/>
        </w:rPr>
        <w:t xml:space="preserve">: </w:t>
      </w:r>
      <w:r w:rsidR="00A83832">
        <w:rPr>
          <w:sz w:val="25"/>
          <w:szCs w:val="25"/>
        </w:rPr>
        <w:t xml:space="preserve"> Student would participate in an extended evaluation at READS or at South Shore Collaboratives</w:t>
      </w:r>
      <w:r w:rsidR="00165D89">
        <w:rPr>
          <w:sz w:val="25"/>
          <w:szCs w:val="25"/>
        </w:rPr>
        <w:t xml:space="preserve">; </w:t>
      </w:r>
      <w:r w:rsidR="00A83832">
        <w:rPr>
          <w:sz w:val="25"/>
          <w:szCs w:val="25"/>
        </w:rPr>
        <w:t>if at the conclusion of the extended evaluation period the parties disagreed as to the appropriate placement for Student</w:t>
      </w:r>
      <w:r w:rsidR="00965123">
        <w:rPr>
          <w:sz w:val="25"/>
          <w:szCs w:val="25"/>
        </w:rPr>
        <w:t>,</w:t>
      </w:r>
      <w:r w:rsidR="00297D4E">
        <w:rPr>
          <w:sz w:val="25"/>
          <w:szCs w:val="25"/>
        </w:rPr>
        <w:t xml:space="preserve"> </w:t>
      </w:r>
      <w:r w:rsidR="00A83832">
        <w:rPr>
          <w:sz w:val="25"/>
          <w:szCs w:val="25"/>
        </w:rPr>
        <w:t>they would return to mediation</w:t>
      </w:r>
      <w:r w:rsidR="00D07FCE">
        <w:rPr>
          <w:sz w:val="25"/>
          <w:szCs w:val="25"/>
        </w:rPr>
        <w:t xml:space="preserve">; and </w:t>
      </w:r>
      <w:r w:rsidR="00A83832">
        <w:rPr>
          <w:sz w:val="25"/>
          <w:szCs w:val="25"/>
        </w:rPr>
        <w:t xml:space="preserve">during the pendency of the dispute, Student’s stay put placement would be in Brockton.   </w:t>
      </w:r>
      <w:r w:rsidR="00465699">
        <w:rPr>
          <w:sz w:val="25"/>
          <w:szCs w:val="25"/>
        </w:rPr>
        <w:t xml:space="preserve">At the conclusion of the </w:t>
      </w:r>
      <w:r w:rsidR="000D6433">
        <w:rPr>
          <w:sz w:val="25"/>
          <w:szCs w:val="25"/>
        </w:rPr>
        <w:t xml:space="preserve">extended evaluation period, the Parties disagreed as to Student’s stay-put placement and Parents requested </w:t>
      </w:r>
      <w:r w:rsidR="00A808CD">
        <w:rPr>
          <w:sz w:val="25"/>
          <w:szCs w:val="25"/>
        </w:rPr>
        <w:t xml:space="preserve">a </w:t>
      </w:r>
      <w:r w:rsidR="000D6433">
        <w:rPr>
          <w:sz w:val="25"/>
          <w:szCs w:val="25"/>
        </w:rPr>
        <w:t xml:space="preserve">Hearing </w:t>
      </w:r>
      <w:r w:rsidR="00A808CD">
        <w:rPr>
          <w:sz w:val="25"/>
          <w:szCs w:val="25"/>
        </w:rPr>
        <w:t>to clarify stay-put</w:t>
      </w:r>
      <w:r w:rsidR="000D6433">
        <w:rPr>
          <w:sz w:val="25"/>
          <w:szCs w:val="25"/>
        </w:rPr>
        <w:t>.</w:t>
      </w:r>
    </w:p>
    <w:p w14:paraId="684FA690" w14:textId="77777777" w:rsidR="00A75A2A" w:rsidRPr="00F3084D" w:rsidRDefault="00A75A2A" w:rsidP="00A75A2A">
      <w:pPr>
        <w:rPr>
          <w:rFonts w:cs="Times New Roman"/>
          <w:sz w:val="25"/>
          <w:szCs w:val="25"/>
          <w:u w:val="single"/>
        </w:rPr>
      </w:pPr>
      <w:r>
        <w:rPr>
          <w:rFonts w:cs="Times New Roman"/>
          <w:sz w:val="25"/>
          <w:szCs w:val="25"/>
          <w:u w:val="single"/>
        </w:rPr>
        <w:t>5.</w:t>
      </w:r>
      <w:r w:rsidRPr="00F3084D">
        <w:rPr>
          <w:rFonts w:cs="Times New Roman"/>
          <w:sz w:val="25"/>
          <w:szCs w:val="25"/>
          <w:u w:val="single"/>
        </w:rPr>
        <w:t>Extended Evaluations:</w:t>
      </w:r>
    </w:p>
    <w:p w14:paraId="52B5DA92" w14:textId="54BB310D" w:rsidR="00A75A2A" w:rsidRDefault="00A75A2A" w:rsidP="00A75A2A">
      <w:pPr>
        <w:rPr>
          <w:rFonts w:cs="Times New Roman"/>
          <w:sz w:val="25"/>
          <w:szCs w:val="25"/>
        </w:rPr>
      </w:pPr>
      <w:r w:rsidRPr="008965FA">
        <w:rPr>
          <w:rFonts w:cs="Times New Roman"/>
          <w:sz w:val="25"/>
          <w:szCs w:val="25"/>
        </w:rPr>
        <w:t>603 CMR</w:t>
      </w:r>
      <w:r>
        <w:rPr>
          <w:rFonts w:cs="Times New Roman"/>
          <w:sz w:val="25"/>
          <w:szCs w:val="25"/>
        </w:rPr>
        <w:t xml:space="preserve"> 28.05(2)(b) allows parents and districts to agree to extend the evaluation period if the information about the student that is available to the Team is insufficient.  This is known as an extended evaluation. Such extended evaluation requires parental consent.  If consent is obtained, </w:t>
      </w:r>
      <w:r w:rsidRPr="008965FA">
        <w:rPr>
          <w:rFonts w:cs="Times New Roman"/>
          <w:sz w:val="25"/>
          <w:szCs w:val="25"/>
        </w:rPr>
        <w:t>603 CMR</w:t>
      </w:r>
      <w:r>
        <w:rPr>
          <w:rFonts w:cs="Times New Roman"/>
          <w:sz w:val="25"/>
          <w:szCs w:val="25"/>
        </w:rPr>
        <w:t xml:space="preserve"> 28.05(2)(b) provides that,</w:t>
      </w:r>
    </w:p>
    <w:p w14:paraId="258F0156" w14:textId="0CB72F6F" w:rsidR="00A75A2A" w:rsidRDefault="00A75A2A" w:rsidP="00A75A2A">
      <w:pPr>
        <w:pStyle w:val="ListParagraph"/>
        <w:numPr>
          <w:ilvl w:val="0"/>
          <w:numId w:val="3"/>
        </w:numPr>
        <w:rPr>
          <w:rFonts w:cs="Times New Roman"/>
          <w:sz w:val="25"/>
          <w:szCs w:val="25"/>
        </w:rPr>
      </w:pPr>
      <w:r w:rsidRPr="00507259">
        <w:rPr>
          <w:rFonts w:cs="Times New Roman"/>
          <w:sz w:val="25"/>
          <w:szCs w:val="25"/>
        </w:rPr>
        <w:t xml:space="preserve">The extended evaluation </w:t>
      </w:r>
      <w:r>
        <w:rPr>
          <w:rFonts w:cs="Times New Roman"/>
          <w:sz w:val="25"/>
          <w:szCs w:val="25"/>
        </w:rPr>
        <w:t>s</w:t>
      </w:r>
      <w:r w:rsidRPr="00507259">
        <w:rPr>
          <w:rFonts w:cs="Times New Roman"/>
          <w:sz w:val="25"/>
          <w:szCs w:val="25"/>
        </w:rPr>
        <w:t xml:space="preserve">hall not be used to deny programs or services determined to be necessary by the </w:t>
      </w:r>
      <w:r>
        <w:rPr>
          <w:rFonts w:cs="Times New Roman"/>
          <w:sz w:val="25"/>
          <w:szCs w:val="25"/>
        </w:rPr>
        <w:t>T</w:t>
      </w:r>
      <w:r w:rsidRPr="00507259">
        <w:rPr>
          <w:rFonts w:cs="Times New Roman"/>
          <w:sz w:val="25"/>
          <w:szCs w:val="25"/>
        </w:rPr>
        <w:t>eam.</w:t>
      </w:r>
      <w:r w:rsidR="00E0021E">
        <w:rPr>
          <w:rFonts w:cs="Times New Roman"/>
          <w:sz w:val="25"/>
          <w:szCs w:val="25"/>
        </w:rPr>
        <w:t xml:space="preserve"> </w:t>
      </w:r>
      <w:r w:rsidRPr="00507259">
        <w:rPr>
          <w:rFonts w:cs="Times New Roman"/>
          <w:sz w:val="25"/>
          <w:szCs w:val="25"/>
        </w:rPr>
        <w:t xml:space="preserve"> If, prior to the extended evaluation, </w:t>
      </w:r>
      <w:r w:rsidRPr="00E0021E">
        <w:rPr>
          <w:rFonts w:cs="Times New Roman"/>
          <w:sz w:val="25"/>
          <w:szCs w:val="25"/>
        </w:rPr>
        <w:t xml:space="preserve">the Team determines that sufficient information </w:t>
      </w:r>
      <w:r w:rsidR="00E0021E">
        <w:rPr>
          <w:rFonts w:cs="Times New Roman"/>
          <w:sz w:val="25"/>
          <w:szCs w:val="25"/>
        </w:rPr>
        <w:t>is</w:t>
      </w:r>
      <w:r w:rsidRPr="00E0021E">
        <w:rPr>
          <w:rFonts w:cs="Times New Roman"/>
          <w:sz w:val="25"/>
          <w:szCs w:val="25"/>
        </w:rPr>
        <w:t xml:space="preserve"> available to identify some necessary objectives and services</w:t>
      </w:r>
      <w:r w:rsidRPr="00507259">
        <w:rPr>
          <w:rFonts w:cs="Times New Roman"/>
          <w:sz w:val="25"/>
          <w:szCs w:val="25"/>
        </w:rPr>
        <w:t xml:space="preserve">, the </w:t>
      </w:r>
      <w:r w:rsidR="00E0021E">
        <w:rPr>
          <w:rFonts w:cs="Times New Roman"/>
          <w:sz w:val="25"/>
          <w:szCs w:val="25"/>
        </w:rPr>
        <w:t>T</w:t>
      </w:r>
      <w:r w:rsidRPr="00507259">
        <w:rPr>
          <w:rFonts w:cs="Times New Roman"/>
          <w:sz w:val="25"/>
          <w:szCs w:val="25"/>
        </w:rPr>
        <w:t>eam shall write a partial I</w:t>
      </w:r>
      <w:r>
        <w:rPr>
          <w:rFonts w:cs="Times New Roman"/>
          <w:sz w:val="25"/>
          <w:szCs w:val="25"/>
        </w:rPr>
        <w:t>E</w:t>
      </w:r>
      <w:r w:rsidRPr="00507259">
        <w:rPr>
          <w:rFonts w:cs="Times New Roman"/>
          <w:sz w:val="25"/>
          <w:szCs w:val="25"/>
        </w:rPr>
        <w:t xml:space="preserve">P that, if accepted by the parent, shall be </w:t>
      </w:r>
      <w:r w:rsidRPr="00507259">
        <w:rPr>
          <w:rFonts w:cs="Times New Roman"/>
          <w:sz w:val="25"/>
          <w:szCs w:val="25"/>
        </w:rPr>
        <w:lastRenderedPageBreak/>
        <w:t xml:space="preserve">immediately implemented by the district while the extended evaluation is occurring. </w:t>
      </w:r>
    </w:p>
    <w:p w14:paraId="7A33021A" w14:textId="77777777" w:rsidR="00A75A2A" w:rsidRDefault="00A75A2A" w:rsidP="00A75A2A">
      <w:pPr>
        <w:pStyle w:val="ListParagraph"/>
        <w:numPr>
          <w:ilvl w:val="0"/>
          <w:numId w:val="3"/>
        </w:numPr>
        <w:rPr>
          <w:rFonts w:cs="Times New Roman"/>
          <w:sz w:val="25"/>
          <w:szCs w:val="25"/>
        </w:rPr>
      </w:pPr>
      <w:r w:rsidRPr="00507259">
        <w:rPr>
          <w:rFonts w:cs="Times New Roman"/>
          <w:sz w:val="25"/>
          <w:szCs w:val="25"/>
        </w:rPr>
        <w:t>The extended evaluation</w:t>
      </w:r>
      <w:r>
        <w:rPr>
          <w:rFonts w:cs="Times New Roman"/>
          <w:sz w:val="25"/>
          <w:szCs w:val="25"/>
        </w:rPr>
        <w:t xml:space="preserve"> sh</w:t>
      </w:r>
      <w:r w:rsidRPr="00507259">
        <w:rPr>
          <w:rFonts w:cs="Times New Roman"/>
          <w:sz w:val="25"/>
          <w:szCs w:val="25"/>
        </w:rPr>
        <w:t>all not be used to allow additional time to complete the required assessment under</w:t>
      </w:r>
      <w:r>
        <w:rPr>
          <w:rFonts w:cs="Times New Roman"/>
          <w:sz w:val="25"/>
          <w:szCs w:val="25"/>
        </w:rPr>
        <w:t xml:space="preserve"> 603 CMR 28.04(2)(a)</w:t>
      </w:r>
      <w:r w:rsidRPr="00507259">
        <w:rPr>
          <w:rFonts w:cs="Times New Roman"/>
          <w:sz w:val="25"/>
          <w:szCs w:val="25"/>
        </w:rPr>
        <w:t>.</w:t>
      </w:r>
    </w:p>
    <w:p w14:paraId="11E492B0" w14:textId="77777777" w:rsidR="00A75A2A" w:rsidRDefault="00A75A2A" w:rsidP="00A75A2A">
      <w:pPr>
        <w:pStyle w:val="ListParagraph"/>
        <w:numPr>
          <w:ilvl w:val="0"/>
          <w:numId w:val="3"/>
        </w:numPr>
        <w:rPr>
          <w:rFonts w:cs="Times New Roman"/>
          <w:sz w:val="25"/>
          <w:szCs w:val="25"/>
        </w:rPr>
      </w:pPr>
      <w:r w:rsidRPr="00507259">
        <w:rPr>
          <w:rFonts w:cs="Times New Roman"/>
          <w:sz w:val="25"/>
          <w:szCs w:val="25"/>
        </w:rPr>
        <w:t xml:space="preserve">If the parent consents to an extended evaluation the </w:t>
      </w:r>
      <w:r>
        <w:rPr>
          <w:rFonts w:cs="Times New Roman"/>
          <w:sz w:val="25"/>
          <w:szCs w:val="25"/>
        </w:rPr>
        <w:t>T</w:t>
      </w:r>
      <w:r w:rsidRPr="00507259">
        <w:rPr>
          <w:rFonts w:cs="Times New Roman"/>
          <w:sz w:val="25"/>
          <w:szCs w:val="25"/>
        </w:rPr>
        <w:t xml:space="preserve">eam shall document its findings and determine what evaluation </w:t>
      </w:r>
      <w:proofErr w:type="gramStart"/>
      <w:r w:rsidRPr="00507259">
        <w:rPr>
          <w:rFonts w:cs="Times New Roman"/>
          <w:sz w:val="25"/>
          <w:szCs w:val="25"/>
        </w:rPr>
        <w:t>time period</w:t>
      </w:r>
      <w:proofErr w:type="gramEnd"/>
      <w:r w:rsidRPr="00507259">
        <w:rPr>
          <w:rFonts w:cs="Times New Roman"/>
          <w:sz w:val="25"/>
          <w:szCs w:val="25"/>
        </w:rPr>
        <w:t xml:space="preserve"> is necessary and the type of information needed to develop an I</w:t>
      </w:r>
      <w:r>
        <w:rPr>
          <w:rFonts w:cs="Times New Roman"/>
          <w:sz w:val="25"/>
          <w:szCs w:val="25"/>
        </w:rPr>
        <w:t>E</w:t>
      </w:r>
      <w:r w:rsidRPr="00507259">
        <w:rPr>
          <w:rFonts w:cs="Times New Roman"/>
          <w:sz w:val="25"/>
          <w:szCs w:val="25"/>
        </w:rPr>
        <w:t xml:space="preserve">P, if appropriate. The </w:t>
      </w:r>
      <w:r>
        <w:rPr>
          <w:rFonts w:cs="Times New Roman"/>
          <w:sz w:val="25"/>
          <w:szCs w:val="25"/>
        </w:rPr>
        <w:t>T</w:t>
      </w:r>
      <w:r w:rsidRPr="00507259">
        <w:rPr>
          <w:rFonts w:cs="Times New Roman"/>
          <w:sz w:val="25"/>
          <w:szCs w:val="25"/>
        </w:rPr>
        <w:t xml:space="preserve">eam may decide to meet at intervals during the extended evaluation, but in all cases shall reconvene promptly to develop or complete an </w:t>
      </w:r>
      <w:r>
        <w:rPr>
          <w:rFonts w:cs="Times New Roman"/>
          <w:sz w:val="25"/>
          <w:szCs w:val="25"/>
        </w:rPr>
        <w:t>IEP</w:t>
      </w:r>
      <w:r w:rsidRPr="00507259">
        <w:rPr>
          <w:rFonts w:cs="Times New Roman"/>
          <w:sz w:val="25"/>
          <w:szCs w:val="25"/>
        </w:rPr>
        <w:t xml:space="preserve"> when the evaluation is complete</w:t>
      </w:r>
    </w:p>
    <w:p w14:paraId="08DC2B81" w14:textId="77777777" w:rsidR="00A75A2A" w:rsidRDefault="00A75A2A" w:rsidP="00A75A2A">
      <w:pPr>
        <w:pStyle w:val="ListParagraph"/>
        <w:numPr>
          <w:ilvl w:val="0"/>
          <w:numId w:val="3"/>
        </w:numPr>
        <w:rPr>
          <w:rFonts w:cs="Times New Roman"/>
          <w:sz w:val="25"/>
          <w:szCs w:val="25"/>
        </w:rPr>
      </w:pPr>
      <w:r w:rsidRPr="00507259">
        <w:rPr>
          <w:rFonts w:cs="Times New Roman"/>
          <w:sz w:val="25"/>
          <w:szCs w:val="25"/>
        </w:rPr>
        <w:t>The extended evaluation may extend longer than one week but shall not exceed 8 school weeks.</w:t>
      </w:r>
    </w:p>
    <w:p w14:paraId="017DA4DF" w14:textId="77777777" w:rsidR="00A75A2A" w:rsidRDefault="00A75A2A" w:rsidP="00A75A2A">
      <w:pPr>
        <w:pStyle w:val="ListParagraph"/>
        <w:numPr>
          <w:ilvl w:val="0"/>
          <w:numId w:val="3"/>
        </w:numPr>
        <w:rPr>
          <w:rFonts w:cs="Times New Roman"/>
          <w:sz w:val="25"/>
          <w:szCs w:val="25"/>
        </w:rPr>
      </w:pPr>
      <w:r w:rsidRPr="00507259">
        <w:rPr>
          <w:rFonts w:cs="Times New Roman"/>
          <w:sz w:val="25"/>
          <w:szCs w:val="25"/>
        </w:rPr>
        <w:t xml:space="preserve">The extended evaluation </w:t>
      </w:r>
      <w:r w:rsidRPr="00C115DE">
        <w:rPr>
          <w:rFonts w:cs="Times New Roman"/>
          <w:sz w:val="25"/>
          <w:szCs w:val="25"/>
          <w:u w:val="single"/>
        </w:rPr>
        <w:t>shall not be considered a placement</w:t>
      </w:r>
      <w:r w:rsidRPr="00507259">
        <w:rPr>
          <w:rFonts w:cs="Times New Roman"/>
          <w:sz w:val="25"/>
          <w:szCs w:val="25"/>
        </w:rPr>
        <w:t>.</w:t>
      </w:r>
      <w:r>
        <w:rPr>
          <w:rFonts w:cs="Times New Roman"/>
          <w:sz w:val="25"/>
          <w:szCs w:val="25"/>
        </w:rPr>
        <w:t xml:space="preserve"> [Emphasis supplied].</w:t>
      </w:r>
      <w:r>
        <w:rPr>
          <w:rStyle w:val="FootnoteReference"/>
          <w:rFonts w:cs="Times New Roman"/>
          <w:sz w:val="25"/>
          <w:szCs w:val="25"/>
        </w:rPr>
        <w:footnoteReference w:id="12"/>
      </w:r>
    </w:p>
    <w:p w14:paraId="4C2AAA8B" w14:textId="77777777" w:rsidR="00A75A2A" w:rsidRPr="006F0A16" w:rsidRDefault="00A75A2A" w:rsidP="00A75A2A">
      <w:pPr>
        <w:rPr>
          <w:rFonts w:cs="Times New Roman"/>
          <w:sz w:val="25"/>
          <w:szCs w:val="25"/>
        </w:rPr>
      </w:pPr>
      <w:r>
        <w:rPr>
          <w:rFonts w:cs="Times New Roman"/>
          <w:sz w:val="25"/>
          <w:szCs w:val="25"/>
        </w:rPr>
        <w:t>Therefore, by operation of law, extended evaluations cannot exceed eight weeks and cannot be considered a placement.</w:t>
      </w:r>
    </w:p>
    <w:p w14:paraId="1BDD84CB" w14:textId="77777777" w:rsidR="00A75A2A" w:rsidRDefault="00A75A2A" w:rsidP="00A75A2A">
      <w:pPr>
        <w:rPr>
          <w:b/>
          <w:bCs/>
          <w:sz w:val="25"/>
          <w:szCs w:val="25"/>
        </w:rPr>
      </w:pPr>
      <w:r w:rsidRPr="00104AC9">
        <w:rPr>
          <w:b/>
          <w:bCs/>
          <w:sz w:val="25"/>
          <w:szCs w:val="25"/>
        </w:rPr>
        <w:t>D</w:t>
      </w:r>
      <w:r>
        <w:rPr>
          <w:b/>
          <w:bCs/>
          <w:sz w:val="25"/>
          <w:szCs w:val="25"/>
        </w:rPr>
        <w:t>ISCUSSION</w:t>
      </w:r>
      <w:r w:rsidRPr="00104AC9">
        <w:rPr>
          <w:b/>
          <w:bCs/>
          <w:sz w:val="25"/>
          <w:szCs w:val="25"/>
        </w:rPr>
        <w:t>:</w:t>
      </w:r>
    </w:p>
    <w:p w14:paraId="1C3C2D13" w14:textId="08A1D6D4" w:rsidR="00A75A2A" w:rsidRDefault="00A75A2A" w:rsidP="00A75A2A">
      <w:pPr>
        <w:rPr>
          <w:sz w:val="25"/>
          <w:szCs w:val="25"/>
        </w:rPr>
      </w:pPr>
      <w:r>
        <w:rPr>
          <w:sz w:val="25"/>
          <w:szCs w:val="25"/>
        </w:rPr>
        <w:t xml:space="preserve">The sole issue before me involves clarification of Student’s stay-put placement, an issue over which the BSEA has jurisdictional authority.  While the District is correct that the BSEA lacks jurisdiction to enforce mediation agreements, I do not read Parents’ Hearing Request as seeking enforcement of the Meditated Agreement, but rather as a request for clarification of stay-put.  In this context, as explained </w:t>
      </w:r>
      <w:r>
        <w:rPr>
          <w:i/>
          <w:iCs/>
          <w:sz w:val="25"/>
          <w:szCs w:val="25"/>
        </w:rPr>
        <w:t>infra,</w:t>
      </w:r>
      <w:r>
        <w:rPr>
          <w:sz w:val="25"/>
          <w:szCs w:val="25"/>
        </w:rPr>
        <w:t xml:space="preserve"> the Mediation Agreement is but one piece of evidence to be considered.  </w:t>
      </w:r>
    </w:p>
    <w:p w14:paraId="4B99F6C3" w14:textId="43BB30CC" w:rsidR="00A75A2A" w:rsidRDefault="00A75A2A" w:rsidP="00A75A2A">
      <w:pPr>
        <w:rPr>
          <w:sz w:val="25"/>
          <w:szCs w:val="25"/>
        </w:rPr>
      </w:pPr>
      <w:r>
        <w:rPr>
          <w:sz w:val="25"/>
          <w:szCs w:val="25"/>
        </w:rPr>
        <w:t>The evidence is undisputed that Brockton offered Student placement in a substantially-separate in-district program for the 2024-2025 school year, which placement Parents accepted.  Parents became dissatisfied with that placement and disagreed that the substantially separate placement in Brockton was appropriate for Student, as  Student’s dysregulation interfered with his ability to access instruction. The Parties agreed to participate in mediation to address their respective positions on Student’s presentation, needs, and the appropriateness of his educational placement.</w:t>
      </w:r>
      <w:r>
        <w:rPr>
          <w:rStyle w:val="FootnoteReference"/>
          <w:sz w:val="25"/>
          <w:szCs w:val="25"/>
        </w:rPr>
        <w:footnoteReference w:id="13"/>
      </w:r>
      <w:r>
        <w:rPr>
          <w:sz w:val="25"/>
          <w:szCs w:val="25"/>
        </w:rPr>
        <w:t xml:space="preserve">    </w:t>
      </w:r>
    </w:p>
    <w:p w14:paraId="483139AB" w14:textId="0591778A" w:rsidR="00A75A2A" w:rsidRDefault="00A75A2A" w:rsidP="00A75A2A">
      <w:pPr>
        <w:rPr>
          <w:sz w:val="25"/>
          <w:szCs w:val="25"/>
        </w:rPr>
      </w:pPr>
      <w:r>
        <w:rPr>
          <w:sz w:val="25"/>
          <w:szCs w:val="25"/>
        </w:rPr>
        <w:t>The mediation resulted in an Agreement to have Student participate in an extended evaluation</w:t>
      </w:r>
      <w:r w:rsidR="00A83832">
        <w:rPr>
          <w:sz w:val="25"/>
          <w:szCs w:val="25"/>
        </w:rPr>
        <w:t xml:space="preserve">, and Student indeed participated in an extended evaluation at READS, as </w:t>
      </w:r>
      <w:r w:rsidR="00A83832">
        <w:rPr>
          <w:sz w:val="25"/>
          <w:szCs w:val="25"/>
        </w:rPr>
        <w:lastRenderedPageBreak/>
        <w:t>previously noted</w:t>
      </w:r>
      <w:r>
        <w:rPr>
          <w:sz w:val="25"/>
          <w:szCs w:val="25"/>
        </w:rPr>
        <w:t>.</w:t>
      </w:r>
      <w:r w:rsidRPr="005E5D1D">
        <w:rPr>
          <w:sz w:val="25"/>
          <w:szCs w:val="25"/>
        </w:rPr>
        <w:t xml:space="preserve"> </w:t>
      </w:r>
      <w:r w:rsidR="00E0021E">
        <w:rPr>
          <w:sz w:val="25"/>
          <w:szCs w:val="25"/>
        </w:rPr>
        <w:t xml:space="preserve"> </w:t>
      </w:r>
      <w:r>
        <w:rPr>
          <w:sz w:val="25"/>
          <w:szCs w:val="25"/>
        </w:rPr>
        <w:t>At the conclusion of the extended evaluation period, the Parties disagreed as to the appropriate placement for Student.</w:t>
      </w:r>
    </w:p>
    <w:p w14:paraId="237E2D9D" w14:textId="2CFD2FF3" w:rsidR="00A75A2A" w:rsidRDefault="00A75A2A" w:rsidP="00A75A2A">
      <w:pPr>
        <w:rPr>
          <w:sz w:val="25"/>
          <w:szCs w:val="25"/>
        </w:rPr>
      </w:pPr>
      <w:r>
        <w:rPr>
          <w:sz w:val="25"/>
          <w:szCs w:val="25"/>
        </w:rPr>
        <w:t xml:space="preserve">Parents here seek clarification of stay-put, arguing that Student was entitled to remain at READS during the pendency of their dispute.  In support of their position, </w:t>
      </w:r>
      <w:r w:rsidRPr="009E7D71">
        <w:rPr>
          <w:sz w:val="25"/>
          <w:szCs w:val="25"/>
        </w:rPr>
        <w:t>Parents argue</w:t>
      </w:r>
      <w:r>
        <w:rPr>
          <w:sz w:val="25"/>
          <w:szCs w:val="25"/>
        </w:rPr>
        <w:t>d</w:t>
      </w:r>
      <w:r w:rsidRPr="009E7D71">
        <w:rPr>
          <w:sz w:val="25"/>
          <w:szCs w:val="25"/>
        </w:rPr>
        <w:t xml:space="preserve"> that the District </w:t>
      </w:r>
      <w:r>
        <w:rPr>
          <w:sz w:val="25"/>
          <w:szCs w:val="25"/>
        </w:rPr>
        <w:t xml:space="preserve">failed to provide them with prior written notice of their intent to change Student’s placement from READS to the District.  </w:t>
      </w:r>
    </w:p>
    <w:p w14:paraId="3AA8A75E" w14:textId="77777777" w:rsidR="00A75A2A" w:rsidRDefault="00A75A2A" w:rsidP="00A75A2A">
      <w:pPr>
        <w:rPr>
          <w:sz w:val="25"/>
          <w:szCs w:val="25"/>
        </w:rPr>
      </w:pPr>
      <w:r>
        <w:rPr>
          <w:sz w:val="25"/>
          <w:szCs w:val="25"/>
        </w:rPr>
        <w:t xml:space="preserve">Parents argument, however, </w:t>
      </w:r>
      <w:proofErr w:type="gramStart"/>
      <w:r>
        <w:rPr>
          <w:sz w:val="25"/>
          <w:szCs w:val="25"/>
        </w:rPr>
        <w:t>misunderstands</w:t>
      </w:r>
      <w:proofErr w:type="gramEnd"/>
      <w:r>
        <w:rPr>
          <w:sz w:val="25"/>
          <w:szCs w:val="25"/>
        </w:rPr>
        <w:t xml:space="preserve"> the nature of extended evaluations, stay-put, and the effect of the Parties’ mediation agreement in the instant matter.  </w:t>
      </w:r>
    </w:p>
    <w:p w14:paraId="732997FD" w14:textId="261B6D65" w:rsidR="00A75A2A" w:rsidRDefault="00A75A2A" w:rsidP="00A75A2A">
      <w:pPr>
        <w:rPr>
          <w:sz w:val="25"/>
          <w:szCs w:val="25"/>
        </w:rPr>
      </w:pPr>
      <w:r>
        <w:rPr>
          <w:sz w:val="25"/>
          <w:szCs w:val="25"/>
        </w:rPr>
        <w:t xml:space="preserve">Parents’ reasoning that READS constitutes Student’s stay-put placement is legally flawed.   Contrary to Parents’ assertions, Massachusetts law is clear that the location in which an extended evaluation takes place does not constitute “placement” for purposes of stay-put. </w:t>
      </w:r>
      <w:r w:rsidRPr="008965FA">
        <w:rPr>
          <w:rFonts w:cs="Times New Roman"/>
          <w:sz w:val="25"/>
          <w:szCs w:val="25"/>
        </w:rPr>
        <w:t>603 CMR</w:t>
      </w:r>
      <w:r>
        <w:rPr>
          <w:rFonts w:cs="Times New Roman"/>
          <w:sz w:val="25"/>
          <w:szCs w:val="25"/>
        </w:rPr>
        <w:t xml:space="preserve"> 28.05(2)(b)5.</w:t>
      </w:r>
      <w:r>
        <w:rPr>
          <w:sz w:val="25"/>
          <w:szCs w:val="25"/>
        </w:rPr>
        <w:t xml:space="preserve"> </w:t>
      </w:r>
      <w:r w:rsidR="00E0021E">
        <w:rPr>
          <w:sz w:val="25"/>
          <w:szCs w:val="25"/>
        </w:rPr>
        <w:t xml:space="preserve"> </w:t>
      </w:r>
      <w:r>
        <w:rPr>
          <w:sz w:val="25"/>
          <w:szCs w:val="25"/>
        </w:rPr>
        <w:t xml:space="preserve">As Student attended READS as part of an extended evaluation.  READS </w:t>
      </w:r>
      <w:proofErr w:type="gramStart"/>
      <w:r>
        <w:rPr>
          <w:sz w:val="25"/>
          <w:szCs w:val="25"/>
        </w:rPr>
        <w:t>does</w:t>
      </w:r>
      <w:proofErr w:type="gramEnd"/>
      <w:r>
        <w:rPr>
          <w:sz w:val="25"/>
          <w:szCs w:val="25"/>
        </w:rPr>
        <w:t xml:space="preserve"> not qualify as a stay-put placement.</w:t>
      </w:r>
      <w:r>
        <w:rPr>
          <w:rStyle w:val="FootnoteReference"/>
          <w:sz w:val="25"/>
          <w:szCs w:val="25"/>
        </w:rPr>
        <w:footnoteReference w:id="14"/>
      </w:r>
      <w:r>
        <w:rPr>
          <w:sz w:val="25"/>
          <w:szCs w:val="25"/>
        </w:rPr>
        <w:t xml:space="preserve">  </w:t>
      </w:r>
      <w:r w:rsidR="00E0021E">
        <w:rPr>
          <w:sz w:val="25"/>
          <w:szCs w:val="25"/>
        </w:rPr>
        <w:t>Student’s</w:t>
      </w:r>
      <w:r>
        <w:rPr>
          <w:sz w:val="25"/>
          <w:szCs w:val="25"/>
        </w:rPr>
        <w:t xml:space="preserve"> participation in this program was for the limited purpose of offering the Team additional information and insight into his needs and the type of interventions and placement that might be appropriate for him</w:t>
      </w:r>
      <w:r w:rsidR="009535F9">
        <w:rPr>
          <w:sz w:val="25"/>
          <w:szCs w:val="25"/>
        </w:rPr>
        <w:t xml:space="preserve"> to</w:t>
      </w:r>
      <w:r>
        <w:rPr>
          <w:sz w:val="25"/>
          <w:szCs w:val="25"/>
        </w:rPr>
        <w:t xml:space="preserve"> make effective progress.  Regardless of how well Student performed in that program, by operation of law, READS cannot be considered Student’s last agreed upon placement for stay-put purposes.  </w:t>
      </w:r>
    </w:p>
    <w:p w14:paraId="1DB8B2C2" w14:textId="15FAFF04" w:rsidR="00A75A2A" w:rsidRDefault="00A75A2A" w:rsidP="00A75A2A">
      <w:pPr>
        <w:rPr>
          <w:sz w:val="25"/>
          <w:szCs w:val="25"/>
        </w:rPr>
      </w:pPr>
      <w:r>
        <w:rPr>
          <w:sz w:val="25"/>
          <w:szCs w:val="25"/>
        </w:rPr>
        <w:t>Student has a legal right to attend the program and placement specified in the last accepted IEP, prior to his initiating the extended evaluation at READS.  Th</w:t>
      </w:r>
      <w:r w:rsidR="00E0021E">
        <w:rPr>
          <w:sz w:val="25"/>
          <w:szCs w:val="25"/>
        </w:rPr>
        <w:t>at</w:t>
      </w:r>
      <w:r>
        <w:rPr>
          <w:sz w:val="25"/>
          <w:szCs w:val="25"/>
        </w:rPr>
        <w:t xml:space="preserve"> placement</w:t>
      </w:r>
      <w:r w:rsidR="00E0021E">
        <w:rPr>
          <w:sz w:val="25"/>
          <w:szCs w:val="25"/>
        </w:rPr>
        <w:t xml:space="preserve"> </w:t>
      </w:r>
      <w:r>
        <w:rPr>
          <w:sz w:val="25"/>
          <w:szCs w:val="25"/>
        </w:rPr>
        <w:t xml:space="preserve"> </w:t>
      </w:r>
      <w:r w:rsidR="00E0021E">
        <w:rPr>
          <w:sz w:val="25"/>
          <w:szCs w:val="25"/>
        </w:rPr>
        <w:t xml:space="preserve">is </w:t>
      </w:r>
      <w:r>
        <w:rPr>
          <w:sz w:val="25"/>
          <w:szCs w:val="25"/>
        </w:rPr>
        <w:t xml:space="preserve">in Brockton, </w:t>
      </w:r>
      <w:r w:rsidR="00E0021E">
        <w:rPr>
          <w:sz w:val="25"/>
          <w:szCs w:val="25"/>
        </w:rPr>
        <w:t xml:space="preserve">and it </w:t>
      </w:r>
      <w:r>
        <w:rPr>
          <w:sz w:val="25"/>
          <w:szCs w:val="25"/>
        </w:rPr>
        <w:t>is in fact also his stay-put placement</w:t>
      </w:r>
      <w:r w:rsidR="00E0021E">
        <w:rPr>
          <w:sz w:val="25"/>
          <w:szCs w:val="25"/>
        </w:rPr>
        <w:t xml:space="preserve">.  </w:t>
      </w:r>
      <w:proofErr w:type="gramStart"/>
      <w:r w:rsidR="00E0021E">
        <w:rPr>
          <w:sz w:val="25"/>
          <w:szCs w:val="25"/>
        </w:rPr>
        <w:t>Student</w:t>
      </w:r>
      <w:proofErr w:type="gramEnd"/>
      <w:r w:rsidR="009535F9">
        <w:rPr>
          <w:sz w:val="25"/>
          <w:szCs w:val="25"/>
        </w:rPr>
        <w:t>,</w:t>
      </w:r>
      <w:r>
        <w:rPr>
          <w:sz w:val="25"/>
          <w:szCs w:val="25"/>
        </w:rPr>
        <w:t xml:space="preserve"> therefore</w:t>
      </w:r>
      <w:r w:rsidR="009535F9">
        <w:rPr>
          <w:sz w:val="25"/>
          <w:szCs w:val="25"/>
        </w:rPr>
        <w:t>,</w:t>
      </w:r>
      <w:r>
        <w:rPr>
          <w:sz w:val="25"/>
          <w:szCs w:val="25"/>
        </w:rPr>
        <w:t xml:space="preserve"> </w:t>
      </w:r>
      <w:proofErr w:type="gramStart"/>
      <w:r>
        <w:rPr>
          <w:sz w:val="25"/>
          <w:szCs w:val="25"/>
        </w:rPr>
        <w:t>has</w:t>
      </w:r>
      <w:proofErr w:type="gramEnd"/>
      <w:r>
        <w:rPr>
          <w:sz w:val="25"/>
          <w:szCs w:val="25"/>
        </w:rPr>
        <w:t xml:space="preserve"> a right to continue to receive educational services consistent with the last-agreed upon IEP in Brockton’s substantially separate program</w:t>
      </w:r>
      <w:r w:rsidR="00A83832">
        <w:rPr>
          <w:sz w:val="25"/>
          <w:szCs w:val="25"/>
        </w:rPr>
        <w:t xml:space="preserve"> during the pendency of the Parties’ dispute</w:t>
      </w:r>
      <w:r>
        <w:rPr>
          <w:sz w:val="25"/>
          <w:szCs w:val="25"/>
        </w:rPr>
        <w:t>, unless the Parties agree otherwise</w:t>
      </w:r>
      <w:r w:rsidR="00A83832">
        <w:rPr>
          <w:sz w:val="25"/>
          <w:szCs w:val="25"/>
        </w:rPr>
        <w:t>.</w:t>
      </w:r>
      <w:r>
        <w:rPr>
          <w:rStyle w:val="FootnoteReference"/>
          <w:sz w:val="25"/>
          <w:szCs w:val="25"/>
        </w:rPr>
        <w:footnoteReference w:id="15"/>
      </w:r>
      <w:r>
        <w:rPr>
          <w:sz w:val="25"/>
          <w:szCs w:val="25"/>
        </w:rPr>
        <w:t xml:space="preserve"> </w:t>
      </w:r>
    </w:p>
    <w:p w14:paraId="2DB3222C" w14:textId="15ECECF9" w:rsidR="00A75A2A" w:rsidRDefault="00A75A2A" w:rsidP="00A75A2A">
      <w:pPr>
        <w:rPr>
          <w:sz w:val="25"/>
          <w:szCs w:val="25"/>
        </w:rPr>
      </w:pPr>
      <w:r>
        <w:rPr>
          <w:sz w:val="25"/>
          <w:szCs w:val="25"/>
        </w:rPr>
        <w:t xml:space="preserve">The record shows that the Parties’ voluntary participation in mediation on August 12, 2025, culminated in an agreement that altered their duties and responsibilities in three meaningful ways: 1) Student would participate in an extended evaluation at READS or at South Shore Collaboratives; 2) if at the conclusion of the extended evaluation period the parties disagreed as to the appropriate placement for Student moving forward, they would return to mediation; 3) during the pendency of the dispute, Student’s stay put placement would be in Brockton.  As a result of the agreement, Student participated in </w:t>
      </w:r>
      <w:r>
        <w:rPr>
          <w:sz w:val="25"/>
          <w:szCs w:val="25"/>
        </w:rPr>
        <w:lastRenderedPageBreak/>
        <w:t xml:space="preserve">the extended evaluation at READS, and when the Parties did not agree to the placement proposed by Brockton at the conclusion of the evaluation period, Parents refused to return Student to Brockton, the stay-put placement to which they had agreed via mediation.  </w:t>
      </w:r>
    </w:p>
    <w:p w14:paraId="4C32CF45" w14:textId="3D4BBD89" w:rsidR="00A75A2A" w:rsidRDefault="00A75A2A" w:rsidP="00A75A2A">
      <w:pPr>
        <w:rPr>
          <w:sz w:val="25"/>
          <w:szCs w:val="25"/>
        </w:rPr>
      </w:pPr>
      <w:r>
        <w:rPr>
          <w:sz w:val="25"/>
          <w:szCs w:val="25"/>
        </w:rPr>
        <w:t>Under 28 U.S.C. §1415(e)(2)(F)(ii) and (iii) a signed mediation agreement is a contract which may be used as evidence in due process proceedings and may only be enforced in a State court of competent jurisdiction.</w:t>
      </w:r>
      <w:r>
        <w:rPr>
          <w:rStyle w:val="FootnoteReference"/>
          <w:sz w:val="25"/>
          <w:szCs w:val="25"/>
        </w:rPr>
        <w:footnoteReference w:id="16"/>
      </w:r>
      <w:r>
        <w:rPr>
          <w:sz w:val="25"/>
          <w:szCs w:val="25"/>
        </w:rPr>
        <w:t xml:space="preserve">  As contracts, mediation agreements bind parties as to the terms of those agreements when entered in good faith.  Since the Parties’ August 12, 2025 Agreement, submitted by Parents, specifically addresses stay-put, it must be considered, but only for purposes of clarification of Student’s stay-put rights.   See also 34 CFR §300.506(b)(7).</w:t>
      </w:r>
    </w:p>
    <w:p w14:paraId="54466960" w14:textId="04E1729C" w:rsidR="00A75A2A" w:rsidRDefault="00A75A2A" w:rsidP="00A75A2A">
      <w:pPr>
        <w:rPr>
          <w:sz w:val="25"/>
          <w:szCs w:val="25"/>
        </w:rPr>
      </w:pPr>
      <w:r>
        <w:rPr>
          <w:sz w:val="25"/>
          <w:szCs w:val="25"/>
        </w:rPr>
        <w:t xml:space="preserve">Here, both Parties voluntarily and in good faith entered into an agreement which clearly delineated the Parties’ rights and responsibilities.  Relying on the terms of said Agreement, Brockton agreed to fund an extended evaluation of Student which occurred at READS, one of the options stated in the Agreement.  The Parties further agreed that if there was disagreement as to the proposed placement at the conclusion of the extended evaluation period, they would return to mediation and that Student’s stay-put placement would be in Brockton per the last-agreed-upon IEP.  </w:t>
      </w:r>
    </w:p>
    <w:p w14:paraId="2C456384" w14:textId="77777777" w:rsidR="00A75A2A" w:rsidRDefault="00A75A2A" w:rsidP="00A75A2A">
      <w:pPr>
        <w:rPr>
          <w:sz w:val="25"/>
          <w:szCs w:val="25"/>
        </w:rPr>
      </w:pPr>
      <w:r>
        <w:rPr>
          <w:sz w:val="25"/>
          <w:szCs w:val="25"/>
        </w:rPr>
        <w:t xml:space="preserve">In conclusion with respect to the stay-put issue, an extended evaluation is </w:t>
      </w:r>
      <w:r w:rsidRPr="000A00DA">
        <w:rPr>
          <w:sz w:val="25"/>
          <w:szCs w:val="25"/>
          <w:u w:val="single"/>
        </w:rPr>
        <w:t>not</w:t>
      </w:r>
      <w:r>
        <w:rPr>
          <w:sz w:val="25"/>
          <w:szCs w:val="25"/>
        </w:rPr>
        <w:t xml:space="preserve"> a placement for purposes of the stay-put provision and Student was offered the opportunity to return to Brockton.  Therefore, Parents are not entitled to compensatory services or reimbursement for any out-of-pocket expenses incurred on transportation or other educational services, during the stay-put period.</w:t>
      </w:r>
    </w:p>
    <w:p w14:paraId="22954DEF" w14:textId="08CC017E" w:rsidR="00A75A2A" w:rsidRDefault="00A75A2A" w:rsidP="00A75A2A">
      <w:pPr>
        <w:rPr>
          <w:sz w:val="25"/>
          <w:szCs w:val="25"/>
        </w:rPr>
      </w:pPr>
      <w:r>
        <w:rPr>
          <w:sz w:val="25"/>
          <w:szCs w:val="25"/>
        </w:rPr>
        <w:t xml:space="preserve">Parents also request an order that  Brockton  convene Student’s Team, inclusive of READS personnel, to properly discuss the results of Student’s extended evaluation.  </w:t>
      </w:r>
    </w:p>
    <w:p w14:paraId="54DBA11D" w14:textId="77777777" w:rsidR="00A75A2A" w:rsidRDefault="00A75A2A" w:rsidP="00A75A2A">
      <w:pPr>
        <w:rPr>
          <w:sz w:val="25"/>
          <w:szCs w:val="25"/>
        </w:rPr>
      </w:pPr>
      <w:r>
        <w:rPr>
          <w:sz w:val="25"/>
          <w:szCs w:val="25"/>
        </w:rPr>
        <w:t xml:space="preserve">In fact, consistent with the Agreement, the Parties returned to mediation on November 6, 2025, and </w:t>
      </w:r>
      <w:r>
        <w:rPr>
          <w:rFonts w:cs="Times New Roman"/>
          <w:sz w:val="25"/>
          <w:szCs w:val="25"/>
        </w:rPr>
        <w:t>Brockton agreed to hold a Team meeting by no later than November 14, 2025, to review the extended evaluation and develop an IEP.  Concerned that disagreement regarding placement would continue following said Team meeting, P</w:t>
      </w:r>
      <w:r>
        <w:rPr>
          <w:sz w:val="25"/>
          <w:szCs w:val="25"/>
        </w:rPr>
        <w:t xml:space="preserve">arents continued to request a ruling from the BSEA.  To the extent that Parents’ claim includes the District’s failure to return to mediation per their August 12, 2025, Agreement, given that a mediation took place on November 6, 2025, Parents’ claim in </w:t>
      </w:r>
      <w:r>
        <w:rPr>
          <w:sz w:val="25"/>
          <w:szCs w:val="25"/>
        </w:rPr>
        <w:lastRenderedPageBreak/>
        <w:t>this regard is now moot, as is the need to order Brockton to reconvene Student’s Team.</w:t>
      </w:r>
      <w:r>
        <w:rPr>
          <w:rStyle w:val="FootnoteReference"/>
          <w:sz w:val="25"/>
          <w:szCs w:val="25"/>
        </w:rPr>
        <w:footnoteReference w:id="17"/>
      </w:r>
      <w:r>
        <w:rPr>
          <w:sz w:val="25"/>
          <w:szCs w:val="25"/>
        </w:rPr>
        <w:t xml:space="preserve"> </w:t>
      </w:r>
    </w:p>
    <w:p w14:paraId="08C0C6D5" w14:textId="3DB5D191" w:rsidR="00A75A2A" w:rsidRPr="00D8676B" w:rsidRDefault="00A75A2A" w:rsidP="00A75A2A">
      <w:pPr>
        <w:spacing w:after="0" w:line="240" w:lineRule="auto"/>
        <w:rPr>
          <w:rFonts w:eastAsia="Century Schoolbook" w:cs="Times New Roman"/>
          <w:color w:val="000000"/>
          <w:sz w:val="25"/>
          <w:szCs w:val="25"/>
        </w:rPr>
      </w:pPr>
      <w:r w:rsidRPr="00104AC9">
        <w:rPr>
          <w:rFonts w:cs="Times New Roman"/>
          <w:sz w:val="25"/>
          <w:szCs w:val="25"/>
        </w:rPr>
        <w:t>In evaluating the Par</w:t>
      </w:r>
      <w:r>
        <w:rPr>
          <w:rFonts w:cs="Times New Roman"/>
          <w:sz w:val="25"/>
          <w:szCs w:val="25"/>
        </w:rPr>
        <w:t xml:space="preserve">ents’ Hearing Request and Mediation Agreement in the context of </w:t>
      </w:r>
      <w:r w:rsidRPr="00104AC9">
        <w:rPr>
          <w:rFonts w:cs="Times New Roman"/>
          <w:sz w:val="25"/>
          <w:szCs w:val="25"/>
        </w:rPr>
        <w:t xml:space="preserve"> this </w:t>
      </w:r>
      <w:r w:rsidRPr="00104AC9">
        <w:rPr>
          <w:rFonts w:cs="Times New Roman"/>
          <w:i/>
          <w:iCs/>
          <w:sz w:val="25"/>
          <w:szCs w:val="25"/>
        </w:rPr>
        <w:t>Motion to Dismiss</w:t>
      </w:r>
      <w:r w:rsidRPr="00104AC9">
        <w:rPr>
          <w:rFonts w:cs="Times New Roman"/>
          <w:sz w:val="25"/>
          <w:szCs w:val="25"/>
        </w:rPr>
        <w:t xml:space="preserve">, </w:t>
      </w:r>
      <w:r>
        <w:rPr>
          <w:rFonts w:cs="Times New Roman"/>
          <w:sz w:val="25"/>
          <w:szCs w:val="25"/>
        </w:rPr>
        <w:t xml:space="preserve">and </w:t>
      </w:r>
      <w:r w:rsidRPr="00104AC9">
        <w:rPr>
          <w:rFonts w:cs="Times New Roman"/>
          <w:sz w:val="25"/>
          <w:szCs w:val="25"/>
        </w:rPr>
        <w:t>tak</w:t>
      </w:r>
      <w:r>
        <w:rPr>
          <w:rFonts w:cs="Times New Roman"/>
          <w:sz w:val="25"/>
          <w:szCs w:val="25"/>
        </w:rPr>
        <w:t xml:space="preserve">ing </w:t>
      </w:r>
      <w:r w:rsidRPr="00104AC9">
        <w:rPr>
          <w:rFonts w:cs="Times New Roman"/>
          <w:sz w:val="25"/>
          <w:szCs w:val="25"/>
        </w:rPr>
        <w:t xml:space="preserve">as true “the allegations of the complaint, as well </w:t>
      </w:r>
      <w:r w:rsidRPr="00104AC9">
        <w:rPr>
          <w:rFonts w:eastAsia="Century Schoolbook" w:cs="Times New Roman"/>
          <w:color w:val="000000"/>
          <w:sz w:val="25"/>
          <w:szCs w:val="25"/>
        </w:rPr>
        <w:t>as such inferences as may be drawn therefrom in the plaintiff's favor</w:t>
      </w:r>
      <w:r>
        <w:rPr>
          <w:rFonts w:eastAsia="Century Schoolbook" w:cs="Times New Roman"/>
          <w:color w:val="000000"/>
          <w:sz w:val="25"/>
          <w:szCs w:val="25"/>
        </w:rPr>
        <w:t>,</w:t>
      </w:r>
      <w:r w:rsidRPr="00104AC9">
        <w:rPr>
          <w:rFonts w:eastAsia="Century Schoolbook" w:cs="Times New Roman"/>
          <w:color w:val="000000"/>
          <w:sz w:val="25"/>
          <w:szCs w:val="25"/>
        </w:rPr>
        <w:t>”</w:t>
      </w:r>
      <w:r w:rsidRPr="00104AC9">
        <w:rPr>
          <w:rFonts w:eastAsia="Century Schoolbook" w:cs="Times New Roman"/>
          <w:color w:val="000000"/>
          <w:sz w:val="25"/>
          <w:szCs w:val="25"/>
          <w:vertAlign w:val="superscript"/>
        </w:rPr>
        <w:footnoteReference w:id="18"/>
      </w:r>
      <w:r w:rsidRPr="00104AC9">
        <w:rPr>
          <w:rFonts w:eastAsia="Century Schoolbook" w:cs="Times New Roman"/>
          <w:color w:val="000000"/>
          <w:sz w:val="25"/>
          <w:szCs w:val="25"/>
        </w:rPr>
        <w:t xml:space="preserve"> </w:t>
      </w:r>
      <w:r>
        <w:rPr>
          <w:rFonts w:cs="Times New Roman"/>
          <w:sz w:val="25"/>
          <w:szCs w:val="25"/>
        </w:rPr>
        <w:t xml:space="preserve">I find that </w:t>
      </w:r>
      <w:r>
        <w:rPr>
          <w:sz w:val="25"/>
          <w:szCs w:val="25"/>
        </w:rPr>
        <w:t xml:space="preserve">by operation of law and consistent with the language in the Parties’ Mediation Agreement, Student’s stay-put placement is in Brockton.  See </w:t>
      </w:r>
      <w:r w:rsidRPr="00104AC9">
        <w:rPr>
          <w:rFonts w:cs="Times New Roman"/>
          <w:i/>
          <w:iCs/>
          <w:sz w:val="25"/>
          <w:szCs w:val="25"/>
        </w:rPr>
        <w:t>In Re: Zeke and Pembroke Public Schools</w:t>
      </w:r>
      <w:r w:rsidRPr="00104AC9">
        <w:rPr>
          <w:rFonts w:cs="Times New Roman"/>
          <w:sz w:val="25"/>
          <w:szCs w:val="25"/>
        </w:rPr>
        <w:t>, BSEA #2300305 (Reichbach, 8/28/2022)</w:t>
      </w:r>
      <w:r>
        <w:rPr>
          <w:sz w:val="25"/>
          <w:szCs w:val="25"/>
        </w:rPr>
        <w:t>.   The BSEA cannot order READS as Student’s stay-put placement.  Since Parents</w:t>
      </w:r>
      <w:r>
        <w:rPr>
          <w:rFonts w:cs="Times New Roman"/>
          <w:sz w:val="25"/>
          <w:szCs w:val="25"/>
        </w:rPr>
        <w:t xml:space="preserve"> have failed to state a claim upon which relief can be granted</w:t>
      </w:r>
      <w:r w:rsidRPr="00104AC9">
        <w:rPr>
          <w:rFonts w:eastAsia="Century Schoolbook" w:cs="Times New Roman"/>
          <w:color w:val="000000"/>
          <w:sz w:val="25"/>
          <w:szCs w:val="25"/>
          <w:vertAlign w:val="superscript"/>
        </w:rPr>
        <w:footnoteReference w:id="19"/>
      </w:r>
      <w:r>
        <w:rPr>
          <w:rFonts w:cs="Times New Roman"/>
          <w:sz w:val="25"/>
          <w:szCs w:val="25"/>
        </w:rPr>
        <w:t xml:space="preserve">, </w:t>
      </w:r>
      <w:r>
        <w:rPr>
          <w:sz w:val="25"/>
          <w:szCs w:val="25"/>
        </w:rPr>
        <w:t xml:space="preserve">Brockton’s Motion to Dismiss must be </w:t>
      </w:r>
      <w:r w:rsidRPr="00C325D6">
        <w:rPr>
          <w:b/>
          <w:bCs/>
          <w:sz w:val="25"/>
          <w:szCs w:val="25"/>
        </w:rPr>
        <w:t>ALLOWED</w:t>
      </w:r>
      <w:r>
        <w:rPr>
          <w:sz w:val="25"/>
          <w:szCs w:val="25"/>
        </w:rPr>
        <w:t xml:space="preserve">.  This case is </w:t>
      </w:r>
      <w:r w:rsidRPr="00C325D6">
        <w:rPr>
          <w:b/>
          <w:bCs/>
          <w:sz w:val="25"/>
          <w:szCs w:val="25"/>
        </w:rPr>
        <w:t>DISMISSED</w:t>
      </w:r>
      <w:r>
        <w:rPr>
          <w:sz w:val="25"/>
          <w:szCs w:val="25"/>
        </w:rPr>
        <w:t xml:space="preserve"> w</w:t>
      </w:r>
      <w:r w:rsidR="00A83832">
        <w:rPr>
          <w:sz w:val="25"/>
          <w:szCs w:val="25"/>
        </w:rPr>
        <w:t>ith p</w:t>
      </w:r>
      <w:r>
        <w:rPr>
          <w:sz w:val="25"/>
          <w:szCs w:val="25"/>
        </w:rPr>
        <w:t>rejudice</w:t>
      </w:r>
      <w:r w:rsidR="00A83832">
        <w:rPr>
          <w:sz w:val="25"/>
          <w:szCs w:val="25"/>
        </w:rPr>
        <w:t xml:space="preserve"> as to the issue of Student’s current stay-put placement.</w:t>
      </w:r>
    </w:p>
    <w:p w14:paraId="66987F11" w14:textId="77777777" w:rsidR="00A75A2A" w:rsidRDefault="00A75A2A" w:rsidP="00A75A2A">
      <w:pPr>
        <w:pStyle w:val="NoSpacing"/>
      </w:pPr>
    </w:p>
    <w:p w14:paraId="034F9708" w14:textId="77777777" w:rsidR="00A75A2A" w:rsidRDefault="00A75A2A" w:rsidP="00A75A2A">
      <w:pPr>
        <w:rPr>
          <w:sz w:val="25"/>
          <w:szCs w:val="25"/>
        </w:rPr>
      </w:pPr>
      <w:r w:rsidRPr="00F34D7E">
        <w:rPr>
          <w:b/>
          <w:bCs/>
          <w:sz w:val="25"/>
          <w:szCs w:val="25"/>
        </w:rPr>
        <w:t>ORDER</w:t>
      </w:r>
      <w:r>
        <w:rPr>
          <w:sz w:val="25"/>
          <w:szCs w:val="25"/>
        </w:rPr>
        <w:t>:</w:t>
      </w:r>
    </w:p>
    <w:p w14:paraId="1F61B7F1" w14:textId="77777777" w:rsidR="00A75A2A" w:rsidRDefault="00A75A2A" w:rsidP="00A75A2A">
      <w:pPr>
        <w:pStyle w:val="ListParagraph"/>
        <w:numPr>
          <w:ilvl w:val="0"/>
          <w:numId w:val="4"/>
        </w:numPr>
        <w:rPr>
          <w:sz w:val="25"/>
          <w:szCs w:val="25"/>
        </w:rPr>
      </w:pPr>
      <w:r>
        <w:rPr>
          <w:sz w:val="25"/>
          <w:szCs w:val="25"/>
        </w:rPr>
        <w:t xml:space="preserve">Brockton’s Motion to Dismiss is </w:t>
      </w:r>
      <w:r w:rsidRPr="000A5AB9">
        <w:rPr>
          <w:b/>
          <w:bCs/>
          <w:sz w:val="25"/>
          <w:szCs w:val="25"/>
        </w:rPr>
        <w:t>ALLOWED</w:t>
      </w:r>
      <w:r>
        <w:rPr>
          <w:sz w:val="25"/>
          <w:szCs w:val="25"/>
        </w:rPr>
        <w:t>.</w:t>
      </w:r>
    </w:p>
    <w:p w14:paraId="02DA6E93" w14:textId="77777777" w:rsidR="00A75A2A" w:rsidRPr="000A5AB9" w:rsidRDefault="00A75A2A" w:rsidP="00A75A2A">
      <w:pPr>
        <w:pStyle w:val="ListParagraph"/>
        <w:numPr>
          <w:ilvl w:val="0"/>
          <w:numId w:val="4"/>
        </w:numPr>
        <w:rPr>
          <w:sz w:val="25"/>
          <w:szCs w:val="25"/>
        </w:rPr>
      </w:pPr>
      <w:r w:rsidRPr="000A5AB9">
        <w:rPr>
          <w:sz w:val="25"/>
          <w:szCs w:val="25"/>
        </w:rPr>
        <w:t>Student</w:t>
      </w:r>
      <w:r>
        <w:rPr>
          <w:sz w:val="25"/>
          <w:szCs w:val="25"/>
        </w:rPr>
        <w:t>’s s</w:t>
      </w:r>
      <w:r w:rsidRPr="000A5AB9">
        <w:rPr>
          <w:sz w:val="25"/>
          <w:szCs w:val="25"/>
        </w:rPr>
        <w:t>tay-put</w:t>
      </w:r>
      <w:r>
        <w:rPr>
          <w:sz w:val="25"/>
          <w:szCs w:val="25"/>
        </w:rPr>
        <w:t xml:space="preserve"> placement is a substantially separate program</w:t>
      </w:r>
      <w:r w:rsidRPr="000A5AB9">
        <w:rPr>
          <w:sz w:val="25"/>
          <w:szCs w:val="25"/>
        </w:rPr>
        <w:t xml:space="preserve"> in Brockton.</w:t>
      </w:r>
    </w:p>
    <w:p w14:paraId="10D0B59A" w14:textId="77777777" w:rsidR="00A75A2A" w:rsidRDefault="00A75A2A" w:rsidP="00A75A2A">
      <w:pPr>
        <w:rPr>
          <w:sz w:val="25"/>
          <w:szCs w:val="25"/>
        </w:rPr>
      </w:pPr>
    </w:p>
    <w:p w14:paraId="31D39144" w14:textId="77777777" w:rsidR="00A75A2A" w:rsidRDefault="00A75A2A" w:rsidP="00A75A2A">
      <w:pPr>
        <w:rPr>
          <w:sz w:val="25"/>
          <w:szCs w:val="25"/>
        </w:rPr>
      </w:pPr>
      <w:r>
        <w:rPr>
          <w:sz w:val="25"/>
          <w:szCs w:val="25"/>
        </w:rPr>
        <w:t>So Ordered by the Hearing Officer,</w:t>
      </w:r>
    </w:p>
    <w:p w14:paraId="1C78B0A7" w14:textId="268A7C8A" w:rsidR="00A75A2A" w:rsidRPr="009535F9" w:rsidRDefault="009535F9" w:rsidP="00A75A2A">
      <w:pPr>
        <w:pStyle w:val="NoSpacing"/>
        <w:rPr>
          <w:rFonts w:ascii="Brush Script MT" w:hAnsi="Brush Script MT"/>
          <w:sz w:val="36"/>
          <w:szCs w:val="36"/>
          <w:u w:val="single"/>
        </w:rPr>
      </w:pPr>
      <w:r w:rsidRPr="009535F9">
        <w:rPr>
          <w:rFonts w:ascii="Brush Script MT" w:hAnsi="Brush Script MT"/>
          <w:sz w:val="36"/>
          <w:szCs w:val="36"/>
          <w:u w:val="single"/>
        </w:rPr>
        <w:t>Rosa I. Figueora</w:t>
      </w:r>
    </w:p>
    <w:p w14:paraId="5D1DAD11" w14:textId="77777777" w:rsidR="00A75A2A" w:rsidRPr="00F3084D" w:rsidRDefault="00A75A2A" w:rsidP="00A75A2A">
      <w:pPr>
        <w:pStyle w:val="NoSpacing"/>
        <w:rPr>
          <w:sz w:val="25"/>
          <w:szCs w:val="25"/>
        </w:rPr>
      </w:pPr>
      <w:r w:rsidRPr="00F3084D">
        <w:rPr>
          <w:sz w:val="25"/>
          <w:szCs w:val="25"/>
        </w:rPr>
        <w:t>Rosa I. Figueroa</w:t>
      </w:r>
    </w:p>
    <w:p w14:paraId="56853A12" w14:textId="155B0B2F" w:rsidR="00A75A2A" w:rsidRPr="00F3084D" w:rsidRDefault="00A75A2A" w:rsidP="00A75A2A">
      <w:pPr>
        <w:pStyle w:val="NoSpacing"/>
        <w:rPr>
          <w:sz w:val="25"/>
          <w:szCs w:val="25"/>
        </w:rPr>
      </w:pPr>
      <w:r w:rsidRPr="00F3084D">
        <w:rPr>
          <w:sz w:val="25"/>
          <w:szCs w:val="25"/>
        </w:rPr>
        <w:t xml:space="preserve">Dated: November </w:t>
      </w:r>
      <w:r w:rsidR="00A83832">
        <w:rPr>
          <w:sz w:val="25"/>
          <w:szCs w:val="25"/>
        </w:rPr>
        <w:t>17</w:t>
      </w:r>
      <w:r w:rsidRPr="00F3084D">
        <w:rPr>
          <w:sz w:val="25"/>
          <w:szCs w:val="25"/>
        </w:rPr>
        <w:t>, 2025</w:t>
      </w:r>
    </w:p>
    <w:p w14:paraId="501196A9" w14:textId="77777777" w:rsidR="00A75A2A" w:rsidRPr="00F3084D" w:rsidRDefault="00A75A2A" w:rsidP="00A75A2A">
      <w:pPr>
        <w:spacing w:line="278" w:lineRule="auto"/>
        <w:rPr>
          <w:sz w:val="25"/>
          <w:szCs w:val="25"/>
        </w:rPr>
      </w:pPr>
      <w:r w:rsidRPr="00F3084D">
        <w:rPr>
          <w:sz w:val="25"/>
          <w:szCs w:val="25"/>
        </w:rPr>
        <w:br w:type="page"/>
      </w:r>
    </w:p>
    <w:p w14:paraId="4DCDAE3B" w14:textId="77777777" w:rsidR="00A75A2A" w:rsidRDefault="00A75A2A" w:rsidP="00A75A2A">
      <w:pPr>
        <w:spacing w:after="0"/>
        <w:jc w:val="center"/>
        <w:rPr>
          <w:rFonts w:eastAsia="Times New Roman" w:cs="Times New Roman"/>
          <w:b/>
          <w:bCs/>
          <w:color w:val="000000"/>
          <w:sz w:val="28"/>
          <w:szCs w:val="28"/>
        </w:rPr>
      </w:pPr>
      <w:r w:rsidRPr="003E019C">
        <w:rPr>
          <w:rFonts w:eastAsia="Times New Roman" w:cs="Times New Roman"/>
          <w:b/>
          <w:bCs/>
          <w:color w:val="000000"/>
          <w:sz w:val="28"/>
          <w:szCs w:val="28"/>
        </w:rPr>
        <w:lastRenderedPageBreak/>
        <w:t>COMMONWEALTH OF MASSACHUSETTS</w:t>
      </w:r>
    </w:p>
    <w:p w14:paraId="66A1E94B" w14:textId="77777777" w:rsidR="00A75A2A" w:rsidRPr="004C49CB" w:rsidRDefault="00A75A2A" w:rsidP="00A75A2A">
      <w:pPr>
        <w:spacing w:after="0"/>
        <w:jc w:val="center"/>
        <w:rPr>
          <w:rFonts w:eastAsia="Times New Roman" w:cs="Times New Roman"/>
          <w:b/>
          <w:bCs/>
          <w:color w:val="000000"/>
          <w:sz w:val="28"/>
          <w:szCs w:val="28"/>
        </w:rPr>
      </w:pPr>
      <w:r w:rsidRPr="004C49CB">
        <w:rPr>
          <w:rFonts w:eastAsia="Times New Roman" w:cs="Times New Roman"/>
          <w:b/>
          <w:bCs/>
          <w:color w:val="000000"/>
          <w:sz w:val="28"/>
          <w:szCs w:val="28"/>
        </w:rPr>
        <w:t>BUREAU OF SPECIAL EDUCATION APPEALS</w:t>
      </w:r>
    </w:p>
    <w:p w14:paraId="6C7FD69B" w14:textId="77777777" w:rsidR="00A75A2A" w:rsidRDefault="00A75A2A" w:rsidP="00A75A2A">
      <w:pPr>
        <w:spacing w:after="0"/>
        <w:jc w:val="center"/>
        <w:rPr>
          <w:rFonts w:eastAsia="Times New Roman" w:cs="Times New Roman"/>
          <w:b/>
          <w:bCs/>
          <w:color w:val="000000"/>
          <w:sz w:val="26"/>
          <w:szCs w:val="26"/>
          <w:u w:val="single" w:color="000000"/>
        </w:rPr>
      </w:pPr>
      <w:r w:rsidRPr="003E019C">
        <w:rPr>
          <w:rFonts w:eastAsia="Times New Roman" w:cs="Times New Roman"/>
          <w:b/>
          <w:bCs/>
          <w:color w:val="000000"/>
          <w:sz w:val="26"/>
          <w:szCs w:val="26"/>
          <w:u w:val="single" w:color="000000"/>
        </w:rPr>
        <w:t xml:space="preserve">EFFECT OF FINAL BSEA ACTIONS AND </w:t>
      </w:r>
      <w:r w:rsidRPr="003E019C">
        <w:rPr>
          <w:rFonts w:eastAsia="Times New Roman" w:cs="Times New Roman"/>
          <w:b/>
          <w:bCs/>
          <w:noProof/>
          <w:color w:val="000000"/>
          <w:sz w:val="26"/>
          <w:szCs w:val="26"/>
        </w:rPr>
        <w:drawing>
          <wp:inline distT="0" distB="0" distL="0" distR="0" wp14:anchorId="50B0AD6D" wp14:editId="024334ED">
            <wp:extent cx="9144" cy="9147"/>
            <wp:effectExtent l="0" t="0" r="0" b="0"/>
            <wp:docPr id="1475255180" name="Picture 147525518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475255180" name="Picture 1475255180">
                      <a:extLst>
                        <a:ext uri="{C183D7F6-B498-43B3-948B-1728B52AA6E4}">
                          <adec:decorative xmlns:adec="http://schemas.microsoft.com/office/drawing/2017/decorative" val="1"/>
                        </a:ext>
                      </a:extLst>
                    </pic:cNvPr>
                    <pic:cNvPicPr/>
                  </pic:nvPicPr>
                  <pic:blipFill>
                    <a:blip r:embed="rId8"/>
                    <a:stretch>
                      <a:fillRect/>
                    </a:stretch>
                  </pic:blipFill>
                  <pic:spPr>
                    <a:xfrm>
                      <a:off x="0" y="0"/>
                      <a:ext cx="9144" cy="9147"/>
                    </a:xfrm>
                    <a:prstGeom prst="rect">
                      <a:avLst/>
                    </a:prstGeom>
                  </pic:spPr>
                </pic:pic>
              </a:graphicData>
            </a:graphic>
          </wp:inline>
        </w:drawing>
      </w:r>
      <w:r w:rsidRPr="003E019C">
        <w:rPr>
          <w:rFonts w:eastAsia="Times New Roman" w:cs="Times New Roman"/>
          <w:b/>
          <w:bCs/>
          <w:color w:val="000000"/>
          <w:sz w:val="26"/>
          <w:szCs w:val="26"/>
          <w:u w:val="single" w:color="000000"/>
        </w:rPr>
        <w:t>RIGHTS OF APPEAL</w:t>
      </w:r>
    </w:p>
    <w:p w14:paraId="7F58FBE1" w14:textId="77777777" w:rsidR="00A75A2A" w:rsidRPr="003E019C" w:rsidRDefault="00A75A2A" w:rsidP="00A75A2A">
      <w:pPr>
        <w:tabs>
          <w:tab w:val="center" w:pos="440"/>
          <w:tab w:val="center" w:pos="4627"/>
        </w:tabs>
        <w:spacing w:after="0"/>
        <w:jc w:val="center"/>
        <w:rPr>
          <w:rFonts w:eastAsia="Times New Roman" w:cs="Times New Roman"/>
          <w:b/>
          <w:bCs/>
          <w:color w:val="000000"/>
          <w:sz w:val="26"/>
          <w:szCs w:val="26"/>
        </w:rPr>
      </w:pPr>
    </w:p>
    <w:p w14:paraId="13C3E572" w14:textId="77777777" w:rsidR="00A75A2A" w:rsidRPr="003E019C" w:rsidRDefault="00A75A2A" w:rsidP="00A75A2A">
      <w:pPr>
        <w:keepNext/>
        <w:keepLines/>
        <w:spacing w:after="0"/>
        <w:outlineLvl w:val="0"/>
        <w:rPr>
          <w:rFonts w:eastAsia="Times New Roman" w:cs="Times New Roman"/>
          <w:b/>
          <w:bCs/>
          <w:color w:val="000000"/>
          <w:u w:val="single" w:color="000000"/>
        </w:rPr>
      </w:pPr>
      <w:r w:rsidRPr="003E019C">
        <w:rPr>
          <w:rFonts w:eastAsia="Times New Roman" w:cs="Times New Roman"/>
          <w:b/>
          <w:bCs/>
          <w:color w:val="000000"/>
          <w:u w:val="single" w:color="000000"/>
        </w:rPr>
        <w:t>Effect of BSEA Decision, Dismissal with Prejudice and Allowance of Motion for Summary Judgment</w:t>
      </w:r>
    </w:p>
    <w:p w14:paraId="5D45FFE2" w14:textId="77777777" w:rsidR="00A75A2A" w:rsidRPr="003E019C" w:rsidRDefault="00A75A2A" w:rsidP="00A75A2A">
      <w:pPr>
        <w:spacing w:after="312" w:line="250" w:lineRule="auto"/>
        <w:ind w:left="43" w:firstLine="5"/>
        <w:rPr>
          <w:rFonts w:eastAsia="Times New Roman" w:cs="Times New Roman"/>
          <w:color w:val="000000"/>
        </w:rPr>
      </w:pPr>
      <w:r w:rsidRPr="003E019C">
        <w:rPr>
          <w:rFonts w:eastAsia="Times New Roman" w:cs="Times New Roman"/>
          <w:color w:val="000000"/>
        </w:rPr>
        <w:t xml:space="preserve">20 U.S.C. s. 1415(i)(1)(B) requires that a decision of the Bureau of Special Education Appeals be final and subject to no further agency review. Similarly, </w:t>
      </w:r>
      <w:proofErr w:type="gramStart"/>
      <w:r w:rsidRPr="003E019C">
        <w:rPr>
          <w:rFonts w:eastAsia="Times New Roman" w:cs="Times New Roman"/>
          <w:color w:val="000000"/>
        </w:rPr>
        <w:t>a Ruling</w:t>
      </w:r>
      <w:proofErr w:type="gramEnd"/>
      <w:r w:rsidRPr="003E019C">
        <w:rPr>
          <w:rFonts w:eastAsia="Times New Roman" w:cs="Times New Roman"/>
          <w:color w:val="000000"/>
        </w:rPr>
        <w:t xml:space="preserve"> Dismissing a Matter with Prejudice and </w:t>
      </w:r>
      <w:proofErr w:type="gramStart"/>
      <w:r w:rsidRPr="003E019C">
        <w:rPr>
          <w:rFonts w:eastAsia="Times New Roman" w:cs="Times New Roman"/>
          <w:color w:val="000000"/>
        </w:rPr>
        <w:t>a Ruling</w:t>
      </w:r>
      <w:proofErr w:type="gramEnd"/>
      <w:r w:rsidRPr="003E019C">
        <w:rPr>
          <w:rFonts w:eastAsia="Times New Roman" w:cs="Times New Roman"/>
          <w:color w:val="000000"/>
        </w:rPr>
        <w:t xml:space="preserve"> Allowing a Motion for Summary Judgment are final agency actions. If a ruling orders Dismissal with Prejudice of some, but not all claims in the hearing request, or if a ruling orders Summary Judgment with respect to some but not all claims, the ruling of Dismissal with Prejudice or Summary Judgment is final with respect to those claims only.  </w:t>
      </w:r>
    </w:p>
    <w:p w14:paraId="61766727" w14:textId="77777777" w:rsidR="00A75A2A" w:rsidRPr="003E019C" w:rsidRDefault="00A75A2A" w:rsidP="00A75A2A">
      <w:pPr>
        <w:spacing w:after="312" w:line="250" w:lineRule="auto"/>
        <w:ind w:left="43" w:firstLine="5"/>
        <w:rPr>
          <w:rFonts w:eastAsia="Times New Roman" w:cs="Times New Roman"/>
          <w:color w:val="000000"/>
        </w:rPr>
      </w:pPr>
      <w:r w:rsidRPr="003E019C">
        <w:rPr>
          <w:rFonts w:eastAsia="Times New Roman" w:cs="Times New Roman"/>
          <w:color w:val="000000"/>
        </w:rPr>
        <w:t>Accordingly</w:t>
      </w:r>
      <w:r w:rsidRPr="003E019C">
        <w:rPr>
          <w:rFonts w:eastAsia="Times New Roman" w:cs="Times New Roman"/>
          <w:strike/>
          <w:color w:val="000000"/>
        </w:rPr>
        <w:t>,</w:t>
      </w:r>
      <w:r w:rsidRPr="003E019C">
        <w:rPr>
          <w:rFonts w:eastAsia="Times New Roman" w:cs="Times New Roman"/>
          <w:color w:val="000000"/>
        </w:rPr>
        <w:t xml:space="preserve"> the Bureau cannot permit motions to reconsider or to re-open either a Bureau decision or the Rulings set forth above once they have issued. They are final subject only to judicial (court) review.</w:t>
      </w:r>
    </w:p>
    <w:p w14:paraId="16602C25" w14:textId="77777777" w:rsidR="00A75A2A" w:rsidRPr="003E019C" w:rsidRDefault="00A75A2A" w:rsidP="00A75A2A">
      <w:pPr>
        <w:spacing w:after="292" w:line="243" w:lineRule="auto"/>
        <w:ind w:left="19" w:right="62"/>
        <w:jc w:val="both"/>
        <w:rPr>
          <w:rFonts w:eastAsia="Times New Roman" w:cs="Times New Roman"/>
          <w:color w:val="000000"/>
        </w:rPr>
      </w:pPr>
      <w:r w:rsidRPr="003E019C">
        <w:rPr>
          <w:rFonts w:eastAsia="Times New Roman" w:cs="Times New Roman"/>
          <w:color w:val="000000"/>
        </w:rPr>
        <w:t>Except as set forth below, the final decision of the Bureau must be implemented immediately. Pursuant to M.G.L. c. 30A, s. 14(3), appeal of the decision does not operate as a stay.  This means that the decision must be implemented immediately even if the other party files an appeal in court, and implementation cannot be delayed while the appeal is being decided.  Rather, a party seeking to stay—that is, delay implementation of-- the decision of the Bureau must request and obtain such stay from the court having jurisdiction over the party’s appeal.</w:t>
      </w:r>
    </w:p>
    <w:p w14:paraId="028A4D47" w14:textId="77777777" w:rsidR="00A75A2A" w:rsidRPr="003E019C" w:rsidRDefault="00A75A2A" w:rsidP="00A75A2A">
      <w:pPr>
        <w:spacing w:after="292" w:line="243" w:lineRule="auto"/>
        <w:ind w:left="19" w:right="62"/>
        <w:jc w:val="both"/>
        <w:rPr>
          <w:rFonts w:eastAsia="Times New Roman" w:cs="Times New Roman"/>
          <w:color w:val="000000"/>
        </w:rPr>
      </w:pPr>
      <w:r w:rsidRPr="003E019C">
        <w:rPr>
          <w:rFonts w:eastAsia="Times New Roman" w:cs="Times New Roman"/>
          <w:color w:val="000000"/>
        </w:rPr>
        <w:t xml:space="preserve">Under the provisions of 20 U.S.C. s. 1415(j), “unless the State or local education agency and the parents otherwise agree, the child shall remain in the then-current educational placement,” while a judicial appeal of the Bureau decision is pending, unless the child is seeking initial admission to a public school, in which case “with the consent of the parents, the child shall be placed in the public school program.”  </w:t>
      </w:r>
    </w:p>
    <w:p w14:paraId="0EC35B5D" w14:textId="77777777" w:rsidR="00A75A2A" w:rsidRDefault="00A75A2A" w:rsidP="00A75A2A">
      <w:pPr>
        <w:spacing w:after="0" w:line="243" w:lineRule="auto"/>
        <w:ind w:left="19" w:right="62"/>
        <w:jc w:val="both"/>
        <w:rPr>
          <w:rFonts w:eastAsia="Times New Roman" w:cs="Times New Roman"/>
          <w:color w:val="000000"/>
        </w:rPr>
      </w:pPr>
      <w:r w:rsidRPr="003E019C">
        <w:rPr>
          <w:rFonts w:eastAsia="Times New Roman" w:cs="Times New Roman"/>
          <w:color w:val="000000"/>
        </w:rPr>
        <w:t xml:space="preserve">Therefore, where the Bureau has ordered the public school to place the child in a new placement, and the parents or guardian agree with that order, the public school shall immediately implement the placement ordered by the Bureau.  </w:t>
      </w:r>
      <w:r w:rsidRPr="003E019C">
        <w:rPr>
          <w:rFonts w:eastAsia="Times New Roman" w:cs="Times New Roman"/>
          <w:i/>
          <w:iCs/>
          <w:color w:val="000000"/>
        </w:rPr>
        <w:t>School Committee of Burlington v. Massachusetts Department of Education</w:t>
      </w:r>
      <w:r w:rsidRPr="003E019C">
        <w:rPr>
          <w:rFonts w:eastAsia="Times New Roman" w:cs="Times New Roman"/>
          <w:color w:val="000000"/>
        </w:rPr>
        <w:t xml:space="preserve">, 471 U.S. 359 (1985).  Otherwise, a party seeking to change the child’s placement while judicial proceedings are pending must ask the court </w:t>
      </w:r>
      <w:proofErr w:type="gramStart"/>
      <w:r w:rsidRPr="003E019C">
        <w:rPr>
          <w:rFonts w:eastAsia="Times New Roman" w:cs="Times New Roman"/>
          <w:color w:val="000000"/>
        </w:rPr>
        <w:t>having</w:t>
      </w:r>
      <w:proofErr w:type="gramEnd"/>
      <w:r w:rsidRPr="003E019C">
        <w:rPr>
          <w:rFonts w:eastAsia="Times New Roman" w:cs="Times New Roman"/>
          <w:color w:val="000000"/>
        </w:rPr>
        <w:t xml:space="preserve"> jurisdiction over the appeal to grant a preliminary injunction ordering such a change in placement. </w:t>
      </w:r>
      <w:r w:rsidRPr="003E019C">
        <w:rPr>
          <w:rFonts w:eastAsia="Times New Roman" w:cs="Times New Roman"/>
          <w:i/>
          <w:iCs/>
          <w:color w:val="000000"/>
        </w:rPr>
        <w:t>Honig v. Doe</w:t>
      </w:r>
      <w:r w:rsidRPr="003E019C">
        <w:rPr>
          <w:rFonts w:eastAsia="Times New Roman" w:cs="Times New Roman"/>
          <w:color w:val="000000"/>
        </w:rPr>
        <w:t xml:space="preserve">, 484 U.S. 305 (1988); </w:t>
      </w:r>
      <w:r w:rsidRPr="003E019C">
        <w:rPr>
          <w:rFonts w:eastAsia="Times New Roman" w:cs="Times New Roman"/>
          <w:i/>
          <w:iCs/>
          <w:color w:val="000000"/>
        </w:rPr>
        <w:t>Doe v. Brookline</w:t>
      </w:r>
      <w:r w:rsidRPr="003E019C">
        <w:rPr>
          <w:rFonts w:eastAsia="Times New Roman" w:cs="Times New Roman"/>
          <w:color w:val="000000"/>
        </w:rPr>
        <w:t>, 722 F.2d 910 (1</w:t>
      </w:r>
      <w:r w:rsidRPr="003E019C">
        <w:rPr>
          <w:rFonts w:eastAsia="Times New Roman" w:cs="Times New Roman"/>
          <w:color w:val="000000"/>
          <w:vertAlign w:val="superscript"/>
        </w:rPr>
        <w:t>st</w:t>
      </w:r>
      <w:r w:rsidRPr="003E019C">
        <w:rPr>
          <w:rFonts w:eastAsia="Times New Roman" w:cs="Times New Roman"/>
          <w:color w:val="000000"/>
        </w:rPr>
        <w:t xml:space="preserve"> Cir. 1983).</w:t>
      </w:r>
    </w:p>
    <w:p w14:paraId="7794A599" w14:textId="77777777" w:rsidR="00A75A2A" w:rsidRPr="003E019C" w:rsidRDefault="00A75A2A" w:rsidP="00A75A2A">
      <w:pPr>
        <w:spacing w:after="0" w:line="243" w:lineRule="auto"/>
        <w:ind w:left="19" w:right="62"/>
        <w:jc w:val="both"/>
        <w:rPr>
          <w:rFonts w:eastAsia="Times New Roman" w:cs="Times New Roman"/>
          <w:color w:val="000000"/>
        </w:rPr>
      </w:pPr>
    </w:p>
    <w:p w14:paraId="1CA1D2E0" w14:textId="77777777" w:rsidR="00A75A2A" w:rsidRPr="003E019C" w:rsidRDefault="00A75A2A" w:rsidP="00A75A2A">
      <w:pPr>
        <w:keepNext/>
        <w:keepLines/>
        <w:spacing w:after="0"/>
        <w:ind w:hanging="10"/>
        <w:outlineLvl w:val="0"/>
        <w:rPr>
          <w:rFonts w:eastAsia="Times New Roman" w:cs="Times New Roman"/>
          <w:b/>
          <w:bCs/>
          <w:color w:val="000000"/>
          <w:u w:val="single" w:color="000000"/>
        </w:rPr>
      </w:pPr>
      <w:r w:rsidRPr="003E019C">
        <w:rPr>
          <w:rFonts w:eastAsia="Times New Roman" w:cs="Times New Roman"/>
          <w:b/>
          <w:bCs/>
          <w:color w:val="000000"/>
          <w:u w:val="single" w:color="000000"/>
        </w:rPr>
        <w:t>Compliance</w:t>
      </w:r>
    </w:p>
    <w:p w14:paraId="07238B42" w14:textId="77777777" w:rsidR="00A75A2A" w:rsidRDefault="00A75A2A" w:rsidP="00A75A2A">
      <w:pPr>
        <w:spacing w:after="0" w:line="243" w:lineRule="auto"/>
        <w:ind w:left="19" w:right="172"/>
        <w:jc w:val="both"/>
        <w:rPr>
          <w:rFonts w:eastAsia="Times New Roman" w:cs="Times New Roman"/>
          <w:color w:val="000000"/>
        </w:rPr>
      </w:pPr>
      <w:r w:rsidRPr="003E019C">
        <w:rPr>
          <w:rFonts w:eastAsia="Times New Roman" w:cs="Times New Roman"/>
          <w:color w:val="000000"/>
        </w:rPr>
        <w:t xml:space="preserve">A party contending that a Bureau of Special Education Appeals decision is not being implemented may file a motion with the Bureau of Special Education Appeals contending that the decision is not being implemented and setting out the areas of non-compliance. The Hearing Officer may convene a hearing at which the scope of the inquiry shall be limited to the facts on the issue of compliance, facts of </w:t>
      </w:r>
      <w:proofErr w:type="gramStart"/>
      <w:r w:rsidRPr="003E019C">
        <w:rPr>
          <w:rFonts w:eastAsia="Times New Roman" w:cs="Times New Roman"/>
          <w:color w:val="000000"/>
        </w:rPr>
        <w:t>such a</w:t>
      </w:r>
      <w:proofErr w:type="gramEnd"/>
      <w:r w:rsidRPr="003E019C">
        <w:rPr>
          <w:rFonts w:eastAsia="Times New Roman" w:cs="Times New Roman"/>
          <w:color w:val="000000"/>
        </w:rPr>
        <w:t xml:space="preserve"> nature as to excuse performance, and facts bearing on a remedy. Upon </w:t>
      </w:r>
      <w:proofErr w:type="gramStart"/>
      <w:r w:rsidRPr="003E019C">
        <w:rPr>
          <w:rFonts w:eastAsia="Times New Roman" w:cs="Times New Roman"/>
          <w:color w:val="000000"/>
        </w:rPr>
        <w:t>a finding of</w:t>
      </w:r>
      <w:proofErr w:type="gramEnd"/>
      <w:r w:rsidRPr="003E019C">
        <w:rPr>
          <w:rFonts w:eastAsia="Times New Roman" w:cs="Times New Roman"/>
          <w:color w:val="000000"/>
        </w:rPr>
        <w:t xml:space="preserve"> non-compliance, the Hearing Officer may fashion appropriate relief, including referral of the </w:t>
      </w:r>
      <w:r w:rsidRPr="003E019C">
        <w:rPr>
          <w:rFonts w:eastAsia="Times New Roman" w:cs="Times New Roman"/>
          <w:color w:val="000000"/>
        </w:rPr>
        <w:lastRenderedPageBreak/>
        <w:t>matter to the Legal Office of the Department of Elementary and Secondary Education or other office for appropriate enforcement action. 603 CMR 28.08(6)(b).</w:t>
      </w:r>
    </w:p>
    <w:p w14:paraId="79A21912" w14:textId="77777777" w:rsidR="00A75A2A" w:rsidRPr="003E019C" w:rsidRDefault="00A75A2A" w:rsidP="00A75A2A">
      <w:pPr>
        <w:spacing w:after="0" w:line="243" w:lineRule="auto"/>
        <w:ind w:left="19" w:right="172"/>
        <w:jc w:val="both"/>
        <w:rPr>
          <w:rFonts w:eastAsia="Times New Roman" w:cs="Times New Roman"/>
          <w:color w:val="000000"/>
        </w:rPr>
      </w:pPr>
    </w:p>
    <w:p w14:paraId="5AA8CD49" w14:textId="77777777" w:rsidR="00A75A2A" w:rsidRPr="003E019C" w:rsidRDefault="00A75A2A" w:rsidP="00A75A2A">
      <w:pPr>
        <w:keepNext/>
        <w:keepLines/>
        <w:spacing w:after="0"/>
        <w:ind w:left="-5" w:hanging="10"/>
        <w:outlineLvl w:val="0"/>
        <w:rPr>
          <w:rFonts w:eastAsia="Times New Roman" w:cs="Times New Roman"/>
          <w:b/>
          <w:bCs/>
          <w:color w:val="000000"/>
          <w:u w:val="single" w:color="000000"/>
        </w:rPr>
      </w:pPr>
      <w:r w:rsidRPr="003E019C">
        <w:rPr>
          <w:rFonts w:eastAsia="Times New Roman" w:cs="Times New Roman"/>
          <w:b/>
          <w:bCs/>
          <w:color w:val="000000"/>
          <w:u w:val="single" w:color="000000"/>
        </w:rPr>
        <w:t>Rights of Appeal</w:t>
      </w:r>
    </w:p>
    <w:p w14:paraId="18D84C34" w14:textId="77777777" w:rsidR="00A75A2A" w:rsidRPr="003E019C" w:rsidRDefault="00A75A2A" w:rsidP="00A75A2A">
      <w:pPr>
        <w:spacing w:after="292" w:line="243" w:lineRule="auto"/>
        <w:ind w:left="19" w:right="172"/>
        <w:jc w:val="both"/>
        <w:rPr>
          <w:rFonts w:eastAsia="Times New Roman" w:cs="Times New Roman"/>
          <w:color w:val="000000"/>
        </w:rPr>
      </w:pPr>
      <w:r w:rsidRPr="003E019C">
        <w:rPr>
          <w:rFonts w:eastAsia="Times New Roman" w:cs="Times New Roman"/>
          <w:color w:val="000000"/>
        </w:rPr>
        <w:t>Any party aggrieved by a final agency action by the Bureau of Special Education Appeals may file a complaint for review in the state superior court of competent jurisdiction or in the District Court of the United States for Massachusetts. 20 U.S.C. s. 1415(i)(2).</w:t>
      </w:r>
    </w:p>
    <w:p w14:paraId="3CF022D5" w14:textId="77777777" w:rsidR="00A75A2A" w:rsidRDefault="00A75A2A" w:rsidP="00A75A2A">
      <w:pPr>
        <w:spacing w:after="0" w:line="243" w:lineRule="auto"/>
        <w:ind w:left="19" w:right="172"/>
        <w:jc w:val="both"/>
        <w:rPr>
          <w:rFonts w:eastAsia="Times New Roman" w:cs="Times New Roman"/>
          <w:color w:val="000000"/>
        </w:rPr>
      </w:pPr>
      <w:r w:rsidRPr="003E019C">
        <w:rPr>
          <w:rFonts w:eastAsia="Times New Roman" w:cs="Times New Roman"/>
          <w:color w:val="000000"/>
        </w:rPr>
        <w:t>An appeal of a Bureau decision to state superior court or to federal district court must be filed within ninety (90) days from the date of the decision. 20 U.S.C. s. 1415(i)(2)(B).</w:t>
      </w:r>
    </w:p>
    <w:p w14:paraId="63752B34" w14:textId="77777777" w:rsidR="00A75A2A" w:rsidRPr="003E019C" w:rsidRDefault="00A75A2A" w:rsidP="00A75A2A">
      <w:pPr>
        <w:spacing w:after="0" w:line="243" w:lineRule="auto"/>
        <w:ind w:left="19" w:right="172"/>
        <w:jc w:val="both"/>
        <w:rPr>
          <w:rFonts w:eastAsia="Times New Roman" w:cs="Times New Roman"/>
          <w:color w:val="000000"/>
        </w:rPr>
      </w:pPr>
    </w:p>
    <w:p w14:paraId="21076453" w14:textId="77777777" w:rsidR="00A75A2A" w:rsidRPr="003E019C" w:rsidRDefault="00A75A2A" w:rsidP="00A75A2A">
      <w:pPr>
        <w:keepNext/>
        <w:keepLines/>
        <w:spacing w:after="0"/>
        <w:ind w:left="-5" w:hanging="10"/>
        <w:outlineLvl w:val="0"/>
        <w:rPr>
          <w:rFonts w:eastAsia="Times New Roman" w:cs="Times New Roman"/>
          <w:b/>
          <w:bCs/>
          <w:color w:val="000000"/>
          <w:u w:val="single" w:color="000000"/>
        </w:rPr>
      </w:pPr>
      <w:r w:rsidRPr="003E019C">
        <w:rPr>
          <w:rFonts w:eastAsia="Times New Roman" w:cs="Times New Roman"/>
          <w:b/>
          <w:bCs/>
          <w:color w:val="000000"/>
          <w:u w:val="single" w:color="000000"/>
        </w:rPr>
        <w:t>Confidentiality</w:t>
      </w:r>
    </w:p>
    <w:p w14:paraId="33A0965A" w14:textId="77777777" w:rsidR="00A75A2A" w:rsidRDefault="00A75A2A" w:rsidP="00A75A2A">
      <w:pPr>
        <w:spacing w:after="0" w:line="243" w:lineRule="auto"/>
        <w:ind w:left="19" w:right="34"/>
        <w:jc w:val="both"/>
        <w:rPr>
          <w:rFonts w:eastAsia="Times New Roman" w:cs="Times New Roman"/>
          <w:color w:val="000000"/>
        </w:rPr>
      </w:pPr>
      <w:r w:rsidRPr="003E019C">
        <w:rPr>
          <w:rFonts w:eastAsia="Times New Roman" w:cs="Times New Roman"/>
          <w:noProof/>
          <w:color w:val="000000"/>
        </w:rPr>
        <w:drawing>
          <wp:anchor distT="0" distB="0" distL="114300" distR="114300" simplePos="0" relativeHeight="251669504" behindDoc="0" locked="0" layoutInCell="1" allowOverlap="0" wp14:anchorId="2992464C" wp14:editId="541846A7">
            <wp:simplePos x="0" y="0"/>
            <wp:positionH relativeFrom="page">
              <wp:posOffset>271272</wp:posOffset>
            </wp:positionH>
            <wp:positionV relativeFrom="page">
              <wp:posOffset>1670810</wp:posOffset>
            </wp:positionV>
            <wp:extent cx="12192" cy="12196"/>
            <wp:effectExtent l="0" t="0" r="0" b="0"/>
            <wp:wrapSquare wrapText="bothSides"/>
            <wp:docPr id="771246199" name="Picture 77124619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771246199" name="Picture 771246199">
                      <a:extLst>
                        <a:ext uri="{C183D7F6-B498-43B3-948B-1728B52AA6E4}">
                          <adec:decorative xmlns:adec="http://schemas.microsoft.com/office/drawing/2017/decorative" val="1"/>
                        </a:ext>
                      </a:extLst>
                    </pic:cNvPr>
                    <pic:cNvPicPr/>
                  </pic:nvPicPr>
                  <pic:blipFill>
                    <a:blip r:embed="rId9"/>
                    <a:stretch>
                      <a:fillRect/>
                    </a:stretch>
                  </pic:blipFill>
                  <pic:spPr>
                    <a:xfrm>
                      <a:off x="0" y="0"/>
                      <a:ext cx="12192" cy="12196"/>
                    </a:xfrm>
                    <a:prstGeom prst="rect">
                      <a:avLst/>
                    </a:prstGeom>
                  </pic:spPr>
                </pic:pic>
              </a:graphicData>
            </a:graphic>
          </wp:anchor>
        </w:drawing>
      </w:r>
      <w:r w:rsidRPr="003E019C">
        <w:rPr>
          <w:rFonts w:eastAsia="Times New Roman" w:cs="Times New Roman"/>
          <w:noProof/>
          <w:color w:val="000000"/>
        </w:rPr>
        <w:drawing>
          <wp:anchor distT="0" distB="0" distL="114300" distR="114300" simplePos="0" relativeHeight="251670528" behindDoc="0" locked="0" layoutInCell="1" allowOverlap="0" wp14:anchorId="65A6E1C9" wp14:editId="46358800">
            <wp:simplePos x="0" y="0"/>
            <wp:positionH relativeFrom="page">
              <wp:posOffset>624840</wp:posOffset>
            </wp:positionH>
            <wp:positionV relativeFrom="page">
              <wp:posOffset>3841644</wp:posOffset>
            </wp:positionV>
            <wp:extent cx="9144" cy="9147"/>
            <wp:effectExtent l="0" t="0" r="0" b="0"/>
            <wp:wrapSquare wrapText="bothSides"/>
            <wp:docPr id="1564532336" name="Picture 156453233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564532336" name="Picture 1564532336">
                      <a:extLst>
                        <a:ext uri="{C183D7F6-B498-43B3-948B-1728B52AA6E4}">
                          <adec:decorative xmlns:adec="http://schemas.microsoft.com/office/drawing/2017/decorative" val="1"/>
                        </a:ext>
                      </a:extLst>
                    </pic:cNvPr>
                    <pic:cNvPicPr/>
                  </pic:nvPicPr>
                  <pic:blipFill>
                    <a:blip r:embed="rId10"/>
                    <a:stretch>
                      <a:fillRect/>
                    </a:stretch>
                  </pic:blipFill>
                  <pic:spPr>
                    <a:xfrm>
                      <a:off x="0" y="0"/>
                      <a:ext cx="9144" cy="9147"/>
                    </a:xfrm>
                    <a:prstGeom prst="rect">
                      <a:avLst/>
                    </a:prstGeom>
                  </pic:spPr>
                </pic:pic>
              </a:graphicData>
            </a:graphic>
          </wp:anchor>
        </w:drawing>
      </w:r>
      <w:r w:rsidRPr="003E019C">
        <w:rPr>
          <w:rFonts w:eastAsia="Times New Roman" w:cs="Times New Roman"/>
          <w:noProof/>
          <w:color w:val="000000"/>
        </w:rPr>
        <w:drawing>
          <wp:anchor distT="0" distB="0" distL="114300" distR="114300" simplePos="0" relativeHeight="251671552" behindDoc="0" locked="0" layoutInCell="1" allowOverlap="0" wp14:anchorId="41D99B43" wp14:editId="72727E50">
            <wp:simplePos x="0" y="0"/>
            <wp:positionH relativeFrom="page">
              <wp:posOffset>551688</wp:posOffset>
            </wp:positionH>
            <wp:positionV relativeFrom="page">
              <wp:posOffset>4195319</wp:posOffset>
            </wp:positionV>
            <wp:extent cx="9144" cy="9147"/>
            <wp:effectExtent l="0" t="0" r="0" b="0"/>
            <wp:wrapSquare wrapText="bothSides"/>
            <wp:docPr id="420723796" name="Picture 42072379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420723796" name="Picture 420723796">
                      <a:extLst>
                        <a:ext uri="{C183D7F6-B498-43B3-948B-1728B52AA6E4}">
                          <adec:decorative xmlns:adec="http://schemas.microsoft.com/office/drawing/2017/decorative" val="1"/>
                        </a:ext>
                      </a:extLst>
                    </pic:cNvPr>
                    <pic:cNvPicPr/>
                  </pic:nvPicPr>
                  <pic:blipFill>
                    <a:blip r:embed="rId11"/>
                    <a:stretch>
                      <a:fillRect/>
                    </a:stretch>
                  </pic:blipFill>
                  <pic:spPr>
                    <a:xfrm>
                      <a:off x="0" y="0"/>
                      <a:ext cx="9144" cy="9147"/>
                    </a:xfrm>
                    <a:prstGeom prst="rect">
                      <a:avLst/>
                    </a:prstGeom>
                  </pic:spPr>
                </pic:pic>
              </a:graphicData>
            </a:graphic>
          </wp:anchor>
        </w:drawing>
      </w:r>
      <w:r w:rsidRPr="003E019C">
        <w:rPr>
          <w:rFonts w:eastAsia="Times New Roman" w:cs="Times New Roman"/>
          <w:noProof/>
          <w:color w:val="000000"/>
        </w:rPr>
        <w:drawing>
          <wp:anchor distT="0" distB="0" distL="114300" distR="114300" simplePos="0" relativeHeight="251672576" behindDoc="0" locked="0" layoutInCell="1" allowOverlap="0" wp14:anchorId="56A3531C" wp14:editId="0AFD77F9">
            <wp:simplePos x="0" y="0"/>
            <wp:positionH relativeFrom="page">
              <wp:posOffset>6797040</wp:posOffset>
            </wp:positionH>
            <wp:positionV relativeFrom="page">
              <wp:posOffset>1710446</wp:posOffset>
            </wp:positionV>
            <wp:extent cx="9144" cy="12196"/>
            <wp:effectExtent l="0" t="0" r="0" b="0"/>
            <wp:wrapSquare wrapText="bothSides"/>
            <wp:docPr id="50424790" name="Picture 5042479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50424790" name="Picture 50424790">
                      <a:extLst>
                        <a:ext uri="{C183D7F6-B498-43B3-948B-1728B52AA6E4}">
                          <adec:decorative xmlns:adec="http://schemas.microsoft.com/office/drawing/2017/decorative" val="1"/>
                        </a:ext>
                      </a:extLst>
                    </pic:cNvPr>
                    <pic:cNvPicPr/>
                  </pic:nvPicPr>
                  <pic:blipFill>
                    <a:blip r:embed="rId12"/>
                    <a:stretch>
                      <a:fillRect/>
                    </a:stretch>
                  </pic:blipFill>
                  <pic:spPr>
                    <a:xfrm>
                      <a:off x="0" y="0"/>
                      <a:ext cx="9144" cy="12196"/>
                    </a:xfrm>
                    <a:prstGeom prst="rect">
                      <a:avLst/>
                    </a:prstGeom>
                  </pic:spPr>
                </pic:pic>
              </a:graphicData>
            </a:graphic>
          </wp:anchor>
        </w:drawing>
      </w:r>
      <w:r w:rsidRPr="003E019C">
        <w:rPr>
          <w:rFonts w:eastAsia="Times New Roman" w:cs="Times New Roman"/>
          <w:noProof/>
          <w:color w:val="000000"/>
        </w:rPr>
        <w:drawing>
          <wp:anchor distT="0" distB="0" distL="114300" distR="114300" simplePos="0" relativeHeight="251673600" behindDoc="0" locked="0" layoutInCell="1" allowOverlap="0" wp14:anchorId="7FBD896E" wp14:editId="76AAA5F7">
            <wp:simplePos x="0" y="0"/>
            <wp:positionH relativeFrom="page">
              <wp:posOffset>374904</wp:posOffset>
            </wp:positionH>
            <wp:positionV relativeFrom="page">
              <wp:posOffset>3021484</wp:posOffset>
            </wp:positionV>
            <wp:extent cx="15240" cy="12196"/>
            <wp:effectExtent l="0" t="0" r="0" b="0"/>
            <wp:wrapSquare wrapText="bothSides"/>
            <wp:docPr id="434606049" name="Picture 43460604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434606049" name="Picture 434606049">
                      <a:extLst>
                        <a:ext uri="{C183D7F6-B498-43B3-948B-1728B52AA6E4}">
                          <adec:decorative xmlns:adec="http://schemas.microsoft.com/office/drawing/2017/decorative" val="1"/>
                        </a:ext>
                      </a:extLst>
                    </pic:cNvPr>
                    <pic:cNvPicPr/>
                  </pic:nvPicPr>
                  <pic:blipFill>
                    <a:blip r:embed="rId13"/>
                    <a:stretch>
                      <a:fillRect/>
                    </a:stretch>
                  </pic:blipFill>
                  <pic:spPr>
                    <a:xfrm>
                      <a:off x="0" y="0"/>
                      <a:ext cx="15240" cy="12196"/>
                    </a:xfrm>
                    <a:prstGeom prst="rect">
                      <a:avLst/>
                    </a:prstGeom>
                  </pic:spPr>
                </pic:pic>
              </a:graphicData>
            </a:graphic>
          </wp:anchor>
        </w:drawing>
      </w:r>
      <w:r w:rsidRPr="003E019C">
        <w:rPr>
          <w:rFonts w:eastAsia="Times New Roman" w:cs="Times New Roman"/>
          <w:noProof/>
          <w:color w:val="000000"/>
        </w:rPr>
        <w:drawing>
          <wp:anchor distT="0" distB="0" distL="114300" distR="114300" simplePos="0" relativeHeight="251674624" behindDoc="0" locked="0" layoutInCell="1" allowOverlap="0" wp14:anchorId="46773662" wp14:editId="279DD469">
            <wp:simplePos x="0" y="0"/>
            <wp:positionH relativeFrom="page">
              <wp:posOffset>6870193</wp:posOffset>
            </wp:positionH>
            <wp:positionV relativeFrom="page">
              <wp:posOffset>3478822</wp:posOffset>
            </wp:positionV>
            <wp:extent cx="9144" cy="9147"/>
            <wp:effectExtent l="0" t="0" r="0" b="0"/>
            <wp:wrapSquare wrapText="bothSides"/>
            <wp:docPr id="240332517" name="Picture 2403325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40332517" name="Picture 240332517">
                      <a:extLst>
                        <a:ext uri="{C183D7F6-B498-43B3-948B-1728B52AA6E4}">
                          <adec:decorative xmlns:adec="http://schemas.microsoft.com/office/drawing/2017/decorative" val="1"/>
                        </a:ext>
                      </a:extLst>
                    </pic:cNvPr>
                    <pic:cNvPicPr/>
                  </pic:nvPicPr>
                  <pic:blipFill>
                    <a:blip r:embed="rId14"/>
                    <a:stretch>
                      <a:fillRect/>
                    </a:stretch>
                  </pic:blipFill>
                  <pic:spPr>
                    <a:xfrm>
                      <a:off x="0" y="0"/>
                      <a:ext cx="9144" cy="9147"/>
                    </a:xfrm>
                    <a:prstGeom prst="rect">
                      <a:avLst/>
                    </a:prstGeom>
                  </pic:spPr>
                </pic:pic>
              </a:graphicData>
            </a:graphic>
          </wp:anchor>
        </w:drawing>
      </w:r>
      <w:r w:rsidRPr="003E019C">
        <w:rPr>
          <w:rFonts w:eastAsia="Times New Roman" w:cs="Times New Roman"/>
          <w:noProof/>
          <w:color w:val="000000"/>
        </w:rPr>
        <w:drawing>
          <wp:anchor distT="0" distB="0" distL="114300" distR="114300" simplePos="0" relativeHeight="251675648" behindDoc="0" locked="0" layoutInCell="1" allowOverlap="0" wp14:anchorId="2BDA80FD" wp14:editId="7A178448">
            <wp:simplePos x="0" y="0"/>
            <wp:positionH relativeFrom="page">
              <wp:posOffset>566928</wp:posOffset>
            </wp:positionH>
            <wp:positionV relativeFrom="page">
              <wp:posOffset>4695343</wp:posOffset>
            </wp:positionV>
            <wp:extent cx="9144" cy="9147"/>
            <wp:effectExtent l="0" t="0" r="0" b="0"/>
            <wp:wrapSquare wrapText="bothSides"/>
            <wp:docPr id="1517355468" name="Picture 151735546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517355468" name="Picture 1517355468">
                      <a:extLst>
                        <a:ext uri="{C183D7F6-B498-43B3-948B-1728B52AA6E4}">
                          <adec:decorative xmlns:adec="http://schemas.microsoft.com/office/drawing/2017/decorative" val="1"/>
                        </a:ext>
                      </a:extLst>
                    </pic:cNvPr>
                    <pic:cNvPicPr/>
                  </pic:nvPicPr>
                  <pic:blipFill>
                    <a:blip r:embed="rId15"/>
                    <a:stretch>
                      <a:fillRect/>
                    </a:stretch>
                  </pic:blipFill>
                  <pic:spPr>
                    <a:xfrm>
                      <a:off x="0" y="0"/>
                      <a:ext cx="9144" cy="9147"/>
                    </a:xfrm>
                    <a:prstGeom prst="rect">
                      <a:avLst/>
                    </a:prstGeom>
                  </pic:spPr>
                </pic:pic>
              </a:graphicData>
            </a:graphic>
          </wp:anchor>
        </w:drawing>
      </w:r>
      <w:r w:rsidRPr="003E019C">
        <w:rPr>
          <w:rFonts w:eastAsia="Times New Roman" w:cs="Times New Roman"/>
          <w:noProof/>
          <w:color w:val="000000"/>
        </w:rPr>
        <w:drawing>
          <wp:anchor distT="0" distB="0" distL="114300" distR="114300" simplePos="0" relativeHeight="251676672" behindDoc="0" locked="0" layoutInCell="1" allowOverlap="0" wp14:anchorId="450549A3" wp14:editId="30ED526D">
            <wp:simplePos x="0" y="0"/>
            <wp:positionH relativeFrom="page">
              <wp:posOffset>262128</wp:posOffset>
            </wp:positionH>
            <wp:positionV relativeFrom="page">
              <wp:posOffset>1969605</wp:posOffset>
            </wp:positionV>
            <wp:extent cx="9144" cy="9147"/>
            <wp:effectExtent l="0" t="0" r="0" b="0"/>
            <wp:wrapSquare wrapText="bothSides"/>
            <wp:docPr id="9496939" name="Picture 949693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9496939" name="Picture 9496939">
                      <a:extLst>
                        <a:ext uri="{C183D7F6-B498-43B3-948B-1728B52AA6E4}">
                          <adec:decorative xmlns:adec="http://schemas.microsoft.com/office/drawing/2017/decorative" val="1"/>
                        </a:ext>
                      </a:extLst>
                    </pic:cNvPr>
                    <pic:cNvPicPr/>
                  </pic:nvPicPr>
                  <pic:blipFill>
                    <a:blip r:embed="rId16"/>
                    <a:stretch>
                      <a:fillRect/>
                    </a:stretch>
                  </pic:blipFill>
                  <pic:spPr>
                    <a:xfrm>
                      <a:off x="0" y="0"/>
                      <a:ext cx="9144" cy="9147"/>
                    </a:xfrm>
                    <a:prstGeom prst="rect">
                      <a:avLst/>
                    </a:prstGeom>
                  </pic:spPr>
                </pic:pic>
              </a:graphicData>
            </a:graphic>
          </wp:anchor>
        </w:drawing>
      </w:r>
      <w:r w:rsidRPr="003E019C">
        <w:rPr>
          <w:rFonts w:eastAsia="Times New Roman" w:cs="Times New Roman"/>
          <w:noProof/>
          <w:color w:val="000000"/>
        </w:rPr>
        <w:drawing>
          <wp:anchor distT="0" distB="0" distL="114300" distR="114300" simplePos="0" relativeHeight="251677696" behindDoc="0" locked="0" layoutInCell="1" allowOverlap="0" wp14:anchorId="0F4605BA" wp14:editId="1723D447">
            <wp:simplePos x="0" y="0"/>
            <wp:positionH relativeFrom="page">
              <wp:posOffset>381000</wp:posOffset>
            </wp:positionH>
            <wp:positionV relativeFrom="page">
              <wp:posOffset>2021437</wp:posOffset>
            </wp:positionV>
            <wp:extent cx="18288" cy="15245"/>
            <wp:effectExtent l="0" t="0" r="0" b="0"/>
            <wp:wrapSquare wrapText="bothSides"/>
            <wp:docPr id="549640099" name="Picture 54964009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549640099" name="Picture 549640099">
                      <a:extLst>
                        <a:ext uri="{C183D7F6-B498-43B3-948B-1728B52AA6E4}">
                          <adec:decorative xmlns:adec="http://schemas.microsoft.com/office/drawing/2017/decorative" val="1"/>
                        </a:ext>
                      </a:extLst>
                    </pic:cNvPr>
                    <pic:cNvPicPr/>
                  </pic:nvPicPr>
                  <pic:blipFill>
                    <a:blip r:embed="rId17"/>
                    <a:stretch>
                      <a:fillRect/>
                    </a:stretch>
                  </pic:blipFill>
                  <pic:spPr>
                    <a:xfrm>
                      <a:off x="0" y="0"/>
                      <a:ext cx="18288" cy="15245"/>
                    </a:xfrm>
                    <a:prstGeom prst="rect">
                      <a:avLst/>
                    </a:prstGeom>
                  </pic:spPr>
                </pic:pic>
              </a:graphicData>
            </a:graphic>
          </wp:anchor>
        </w:drawing>
      </w:r>
      <w:r w:rsidRPr="003E019C">
        <w:rPr>
          <w:rFonts w:eastAsia="Times New Roman" w:cs="Times New Roman"/>
          <w:color w:val="000000"/>
        </w:rPr>
        <w:t xml:space="preserve">In order to preserve the confidentiality of the student involved in these proceedings, when an </w:t>
      </w:r>
      <w:r w:rsidRPr="003E019C">
        <w:rPr>
          <w:rFonts w:eastAsia="Times New Roman" w:cs="Times New Roman"/>
          <w:noProof/>
          <w:color w:val="000000"/>
        </w:rPr>
        <w:drawing>
          <wp:inline distT="0" distB="0" distL="0" distR="0" wp14:anchorId="6A0C693C" wp14:editId="3488B315">
            <wp:extent cx="6096" cy="12196"/>
            <wp:effectExtent l="0" t="0" r="0" b="0"/>
            <wp:docPr id="1786605413" name="Picture 178660541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786605413" name="Picture 1786605413">
                      <a:extLst>
                        <a:ext uri="{C183D7F6-B498-43B3-948B-1728B52AA6E4}">
                          <adec:decorative xmlns:adec="http://schemas.microsoft.com/office/drawing/2017/decorative" val="1"/>
                        </a:ext>
                      </a:extLst>
                    </pic:cNvPr>
                    <pic:cNvPicPr/>
                  </pic:nvPicPr>
                  <pic:blipFill>
                    <a:blip r:embed="rId18"/>
                    <a:stretch>
                      <a:fillRect/>
                    </a:stretch>
                  </pic:blipFill>
                  <pic:spPr>
                    <a:xfrm>
                      <a:off x="0" y="0"/>
                      <a:ext cx="6096" cy="12196"/>
                    </a:xfrm>
                    <a:prstGeom prst="rect">
                      <a:avLst/>
                    </a:prstGeom>
                  </pic:spPr>
                </pic:pic>
              </a:graphicData>
            </a:graphic>
          </wp:inline>
        </w:drawing>
      </w:r>
      <w:r w:rsidRPr="003E019C">
        <w:rPr>
          <w:rFonts w:eastAsia="Times New Roman" w:cs="Times New Roman"/>
          <w:color w:val="000000"/>
        </w:rPr>
        <w:t xml:space="preserve">appeal is taken to superior court or to federal district court, the parties are strongly urged to file the complaint without identifying the true name of the parents or the child, and to move that all exhibits, including the transcript of the hearing before the Bureau of Special Education Appeals, be impounded by the court. See </w:t>
      </w:r>
      <w:r w:rsidRPr="003E019C">
        <w:rPr>
          <w:rFonts w:eastAsia="Times New Roman" w:cs="Times New Roman"/>
          <w:i/>
          <w:iCs/>
          <w:color w:val="000000"/>
        </w:rPr>
        <w:t>Webster Grove</w:t>
      </w:r>
      <w:r>
        <w:rPr>
          <w:rFonts w:eastAsia="Times New Roman" w:cs="Times New Roman"/>
          <w:i/>
          <w:iCs/>
          <w:color w:val="000000"/>
        </w:rPr>
        <w:t xml:space="preserve"> </w:t>
      </w:r>
      <w:r w:rsidRPr="003E019C">
        <w:rPr>
          <w:rFonts w:eastAsia="Times New Roman" w:cs="Times New Roman"/>
          <w:i/>
          <w:iCs/>
          <w:color w:val="000000"/>
        </w:rPr>
        <w:t>School District v. Pulitzer Publishing</w:t>
      </w:r>
      <w:r>
        <w:rPr>
          <w:rFonts w:eastAsia="Times New Roman" w:cs="Times New Roman"/>
          <w:i/>
          <w:iCs/>
          <w:color w:val="000000"/>
        </w:rPr>
        <w:t xml:space="preserve"> </w:t>
      </w:r>
      <w:r w:rsidRPr="003E019C">
        <w:rPr>
          <w:rFonts w:eastAsia="Times New Roman" w:cs="Times New Roman"/>
          <w:i/>
          <w:iCs/>
          <w:color w:val="000000"/>
        </w:rPr>
        <w:t>Company</w:t>
      </w:r>
      <w:r w:rsidRPr="003E019C">
        <w:rPr>
          <w:rFonts w:eastAsia="Times New Roman" w:cs="Times New Roman"/>
          <w:color w:val="000000"/>
        </w:rPr>
        <w:t>, 898 F.2d 1371 (8th. Cir. 1990). If the appealing party does not seek to impound the documents, the Bureau of Special Education Appeals, through the Attorney General's Office, may move to impound the documents.</w:t>
      </w:r>
    </w:p>
    <w:p w14:paraId="32B4B823" w14:textId="77777777" w:rsidR="00A75A2A" w:rsidRPr="003E019C" w:rsidRDefault="00A75A2A" w:rsidP="00A75A2A">
      <w:pPr>
        <w:spacing w:after="0" w:line="243" w:lineRule="auto"/>
        <w:ind w:left="19" w:right="34"/>
        <w:jc w:val="both"/>
        <w:rPr>
          <w:rFonts w:eastAsia="Times New Roman" w:cs="Times New Roman"/>
          <w:color w:val="000000"/>
        </w:rPr>
      </w:pPr>
    </w:p>
    <w:p w14:paraId="5A08EE74" w14:textId="77777777" w:rsidR="00A75A2A" w:rsidRPr="003E019C" w:rsidRDefault="00A75A2A" w:rsidP="00A75A2A">
      <w:pPr>
        <w:spacing w:after="0"/>
        <w:ind w:left="62"/>
        <w:rPr>
          <w:rFonts w:eastAsia="Times New Roman" w:cs="Times New Roman"/>
          <w:b/>
          <w:bCs/>
          <w:color w:val="000000"/>
          <w:u w:val="single"/>
        </w:rPr>
      </w:pPr>
      <w:r w:rsidRPr="003E019C">
        <w:rPr>
          <w:rFonts w:eastAsia="Times New Roman" w:cs="Times New Roman"/>
          <w:b/>
          <w:bCs/>
          <w:color w:val="000000"/>
          <w:u w:val="single"/>
        </w:rPr>
        <w:t>Record of the Hearing</w:t>
      </w:r>
    </w:p>
    <w:p w14:paraId="49B00DB0" w14:textId="7B51CB1E" w:rsidR="00A75A2A" w:rsidRDefault="00A75A2A" w:rsidP="00657B68">
      <w:pPr>
        <w:spacing w:after="292" w:line="243" w:lineRule="auto"/>
        <w:ind w:left="19" w:right="172"/>
        <w:jc w:val="both"/>
        <w:rPr>
          <w:rFonts w:cs="Times New Roman"/>
          <w:b/>
          <w:bCs/>
          <w:sz w:val="28"/>
          <w:szCs w:val="28"/>
        </w:rPr>
      </w:pPr>
      <w:r w:rsidRPr="003E019C">
        <w:rPr>
          <w:rFonts w:eastAsia="Times New Roman" w:cs="Times New Roman"/>
          <w:color w:val="000000"/>
        </w:rPr>
        <w:t>The Bureau of Special Education Appeals will provide an electronic verbatim record of the hearing to any party, free of charge, upon receipt of a written request. Pursuant to federal law, upon receipt of a written request from any party, the Bureau of Special Education Appeals will arrange for and provide a certified written transcription of the entire proceedings by a certified court reporter, free of charge.</w:t>
      </w:r>
      <w:r>
        <w:rPr>
          <w:rFonts w:eastAsia="Times New Roman" w:cs="Times New Roman"/>
          <w:color w:val="000000"/>
        </w:rPr>
        <w:t xml:space="preserve">  </w:t>
      </w:r>
    </w:p>
    <w:sectPr w:rsidR="00A75A2A">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CE14CF" w14:textId="77777777" w:rsidR="002515C8" w:rsidRDefault="002515C8" w:rsidP="00104AC9">
      <w:pPr>
        <w:spacing w:after="0" w:line="240" w:lineRule="auto"/>
      </w:pPr>
      <w:r>
        <w:separator/>
      </w:r>
    </w:p>
  </w:endnote>
  <w:endnote w:type="continuationSeparator" w:id="0">
    <w:p w14:paraId="45F4C4F1" w14:textId="77777777" w:rsidR="002515C8" w:rsidRDefault="002515C8" w:rsidP="00104A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Century Schoolbook">
    <w:panose1 w:val="02040604050505020304"/>
    <w:charset w:val="00"/>
    <w:family w:val="roman"/>
    <w:pitch w:val="variable"/>
    <w:sig w:usb0="00000287" w:usb1="00000000" w:usb2="00000000" w:usb3="00000000" w:csb0="0000009F" w:csb1="00000000"/>
  </w:font>
  <w:font w:name="Brush Script MT">
    <w:panose1 w:val="030608020404060703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7128221"/>
      <w:docPartObj>
        <w:docPartGallery w:val="Page Numbers (Bottom of Page)"/>
        <w:docPartUnique/>
      </w:docPartObj>
    </w:sdtPr>
    <w:sdtEndPr>
      <w:rPr>
        <w:noProof/>
      </w:rPr>
    </w:sdtEndPr>
    <w:sdtContent>
      <w:p w14:paraId="12F1DB83" w14:textId="4E719BC5" w:rsidR="007E7551" w:rsidRDefault="007E755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D7E5645" w14:textId="77777777" w:rsidR="007E7551" w:rsidRDefault="007E75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3CA551" w14:textId="77777777" w:rsidR="002515C8" w:rsidRDefault="002515C8" w:rsidP="00104AC9">
      <w:pPr>
        <w:spacing w:after="0" w:line="240" w:lineRule="auto"/>
      </w:pPr>
      <w:r>
        <w:separator/>
      </w:r>
    </w:p>
  </w:footnote>
  <w:footnote w:type="continuationSeparator" w:id="0">
    <w:p w14:paraId="64EA988F" w14:textId="77777777" w:rsidR="002515C8" w:rsidRDefault="002515C8" w:rsidP="00104AC9">
      <w:pPr>
        <w:spacing w:after="0" w:line="240" w:lineRule="auto"/>
      </w:pPr>
      <w:r>
        <w:continuationSeparator/>
      </w:r>
    </w:p>
  </w:footnote>
  <w:footnote w:id="1">
    <w:p w14:paraId="782FDD9F" w14:textId="77777777" w:rsidR="00A75A2A" w:rsidRPr="00A75A2A" w:rsidRDefault="00A75A2A" w:rsidP="00A75A2A">
      <w:pPr>
        <w:pStyle w:val="FootnoteText"/>
        <w:rPr>
          <w:rFonts w:asciiTheme="minorHAnsi" w:hAnsiTheme="minorHAnsi"/>
        </w:rPr>
      </w:pPr>
      <w:r w:rsidRPr="00A75A2A">
        <w:rPr>
          <w:rStyle w:val="FootnoteReference"/>
          <w:rFonts w:asciiTheme="minorHAnsi" w:hAnsiTheme="minorHAnsi"/>
        </w:rPr>
        <w:footnoteRef/>
      </w:r>
      <w:r w:rsidRPr="00A75A2A">
        <w:rPr>
          <w:rFonts w:asciiTheme="minorHAnsi" w:hAnsiTheme="minorHAnsi"/>
        </w:rPr>
        <w:t xml:space="preserve">   Parents’ additional concerns of November 3, 2025, were also considered and taken as true for purposes of this Motion.</w:t>
      </w:r>
    </w:p>
  </w:footnote>
  <w:footnote w:id="2">
    <w:p w14:paraId="5F560596" w14:textId="77777777" w:rsidR="00A75A2A" w:rsidRPr="00A75A2A" w:rsidRDefault="00A75A2A" w:rsidP="00A75A2A">
      <w:pPr>
        <w:pStyle w:val="FootnoteText"/>
        <w:rPr>
          <w:rFonts w:asciiTheme="minorHAnsi" w:hAnsiTheme="minorHAnsi"/>
        </w:rPr>
      </w:pPr>
      <w:r w:rsidRPr="00A75A2A">
        <w:rPr>
          <w:rStyle w:val="FootnoteReference"/>
          <w:rFonts w:asciiTheme="minorHAnsi" w:hAnsiTheme="minorHAnsi"/>
        </w:rPr>
        <w:footnoteRef/>
      </w:r>
      <w:r w:rsidRPr="00A75A2A">
        <w:rPr>
          <w:rFonts w:asciiTheme="minorHAnsi" w:hAnsiTheme="minorHAnsi"/>
        </w:rPr>
        <w:t xml:space="preserve">   See 20 U.S.C. </w:t>
      </w:r>
      <w:r w:rsidRPr="00A75A2A">
        <w:rPr>
          <w:rFonts w:asciiTheme="minorHAnsi" w:hAnsiTheme="minorHAnsi" w:cs="Times New Roman"/>
        </w:rPr>
        <w:t>§</w:t>
      </w:r>
      <w:r w:rsidRPr="00A75A2A">
        <w:rPr>
          <w:rFonts w:asciiTheme="minorHAnsi" w:hAnsiTheme="minorHAnsi"/>
        </w:rPr>
        <w:t xml:space="preserve">1415(k) et seq.; 34 CFR </w:t>
      </w:r>
      <w:r w:rsidRPr="00A75A2A">
        <w:rPr>
          <w:rFonts w:asciiTheme="minorHAnsi" w:hAnsiTheme="minorHAnsi" w:cs="Times New Roman"/>
        </w:rPr>
        <w:t>§300.532(a) and (c) addressing expedited hearings in the discipline context.</w:t>
      </w:r>
    </w:p>
  </w:footnote>
  <w:footnote w:id="3">
    <w:p w14:paraId="022129D5" w14:textId="77777777" w:rsidR="00A75A2A" w:rsidRPr="00F114FF" w:rsidRDefault="00A75A2A" w:rsidP="00A75A2A">
      <w:pPr>
        <w:pStyle w:val="NoSpacing"/>
        <w:rPr>
          <w:rFonts w:cs="Times New Roman"/>
          <w:sz w:val="20"/>
          <w:szCs w:val="20"/>
        </w:rPr>
      </w:pPr>
      <w:r w:rsidRPr="00F114FF">
        <w:rPr>
          <w:rStyle w:val="FootnoteReference"/>
          <w:rFonts w:cs="Times New Roman"/>
        </w:rPr>
        <w:footnoteRef/>
      </w:r>
      <w:r w:rsidRPr="00F114FF">
        <w:rPr>
          <w:rFonts w:cs="Times New Roman"/>
          <w:sz w:val="20"/>
          <w:szCs w:val="20"/>
        </w:rPr>
        <w:t xml:space="preserve"> </w:t>
      </w:r>
      <w:r w:rsidRPr="00F114FF">
        <w:rPr>
          <w:rFonts w:cs="Times New Roman"/>
          <w:i/>
          <w:sz w:val="20"/>
          <w:szCs w:val="20"/>
        </w:rPr>
        <w:t>Iannocchino v. Ford Motor Co.</w:t>
      </w:r>
      <w:r w:rsidRPr="00F114FF">
        <w:rPr>
          <w:rFonts w:cs="Times New Roman"/>
          <w:sz w:val="20"/>
          <w:szCs w:val="20"/>
        </w:rPr>
        <w:t xml:space="preserve">, 451 Mass. 623, 636 (2008) (quoting </w:t>
      </w:r>
      <w:r w:rsidRPr="00F114FF">
        <w:rPr>
          <w:rFonts w:cs="Times New Roman"/>
          <w:i/>
          <w:sz w:val="20"/>
          <w:szCs w:val="20"/>
        </w:rPr>
        <w:t>Bell Atl. Corp. v. Twombly</w:t>
      </w:r>
      <w:r w:rsidRPr="00F114FF">
        <w:rPr>
          <w:rFonts w:cs="Times New Roman"/>
          <w:sz w:val="20"/>
          <w:szCs w:val="20"/>
        </w:rPr>
        <w:t xml:space="preserve">, 550 U.S. 544, 557 (2007)).   </w:t>
      </w:r>
    </w:p>
  </w:footnote>
  <w:footnote w:id="4">
    <w:p w14:paraId="4D4E77CA" w14:textId="77777777" w:rsidR="00A75A2A" w:rsidRPr="00F114FF" w:rsidRDefault="00A75A2A" w:rsidP="00A75A2A">
      <w:pPr>
        <w:pStyle w:val="NoSpacing"/>
        <w:rPr>
          <w:rFonts w:cs="Times New Roman"/>
          <w:sz w:val="20"/>
          <w:szCs w:val="20"/>
        </w:rPr>
      </w:pPr>
      <w:r w:rsidRPr="00F114FF">
        <w:rPr>
          <w:rStyle w:val="FootnoteReference"/>
          <w:rFonts w:cs="Times New Roman"/>
        </w:rPr>
        <w:footnoteRef/>
      </w:r>
      <w:r w:rsidRPr="00F114FF">
        <w:rPr>
          <w:rFonts w:cs="Times New Roman"/>
          <w:sz w:val="20"/>
          <w:szCs w:val="20"/>
        </w:rPr>
        <w:t xml:space="preserve"> </w:t>
      </w:r>
      <w:r w:rsidRPr="00F114FF">
        <w:rPr>
          <w:rFonts w:cs="Times New Roman"/>
          <w:i/>
          <w:sz w:val="20"/>
          <w:szCs w:val="20"/>
        </w:rPr>
        <w:t>Blank v. Chelmsford Ob/Gyn, P.C.</w:t>
      </w:r>
      <w:r w:rsidRPr="00F114FF">
        <w:rPr>
          <w:rFonts w:cs="Times New Roman"/>
          <w:sz w:val="20"/>
          <w:szCs w:val="20"/>
        </w:rPr>
        <w:t xml:space="preserve">, 420 Mass. 404, 407 (1995).  </w:t>
      </w:r>
    </w:p>
  </w:footnote>
  <w:footnote w:id="5">
    <w:p w14:paraId="56566F0E" w14:textId="77777777" w:rsidR="00A75A2A" w:rsidRPr="00F114FF" w:rsidRDefault="00A75A2A" w:rsidP="00A75A2A">
      <w:pPr>
        <w:pStyle w:val="NoSpacing"/>
        <w:rPr>
          <w:rFonts w:cs="Times New Roman"/>
          <w:sz w:val="20"/>
          <w:szCs w:val="20"/>
        </w:rPr>
      </w:pPr>
      <w:r w:rsidRPr="00F114FF">
        <w:rPr>
          <w:rStyle w:val="FootnoteReference"/>
          <w:rFonts w:cs="Times New Roman"/>
        </w:rPr>
        <w:footnoteRef/>
      </w:r>
      <w:r w:rsidRPr="00F114FF">
        <w:rPr>
          <w:rFonts w:cs="Times New Roman"/>
          <w:sz w:val="20"/>
          <w:szCs w:val="20"/>
        </w:rPr>
        <w:t xml:space="preserve"> </w:t>
      </w:r>
      <w:r w:rsidRPr="00F114FF">
        <w:rPr>
          <w:rFonts w:cs="Times New Roman"/>
          <w:i/>
          <w:sz w:val="20"/>
          <w:szCs w:val="20"/>
        </w:rPr>
        <w:t>Golchin v. Liberty Mut. Ins. Co.</w:t>
      </w:r>
      <w:r w:rsidRPr="00F114FF">
        <w:rPr>
          <w:rFonts w:cs="Times New Roman"/>
          <w:sz w:val="20"/>
          <w:szCs w:val="20"/>
        </w:rPr>
        <w:t>, 460 Mass. 222, 223 (2011) (internal quotation marks and citations omitted).</w:t>
      </w:r>
    </w:p>
  </w:footnote>
  <w:footnote w:id="6">
    <w:p w14:paraId="4CEF416E" w14:textId="77777777" w:rsidR="00A75A2A" w:rsidRPr="00F114FF" w:rsidRDefault="00A75A2A" w:rsidP="00A75A2A">
      <w:pPr>
        <w:pStyle w:val="NoSpacing"/>
        <w:rPr>
          <w:rFonts w:cs="Times New Roman"/>
          <w:sz w:val="20"/>
          <w:szCs w:val="20"/>
        </w:rPr>
      </w:pPr>
      <w:r w:rsidRPr="00F114FF">
        <w:rPr>
          <w:rStyle w:val="FootnoteReference"/>
          <w:rFonts w:cs="Times New Roman"/>
        </w:rPr>
        <w:footnoteRef/>
      </w:r>
      <w:r w:rsidRPr="00F114FF">
        <w:rPr>
          <w:rFonts w:cs="Times New Roman"/>
          <w:sz w:val="20"/>
          <w:szCs w:val="20"/>
        </w:rPr>
        <w:t xml:space="preserve"> Denying dismissal if “accepting as true all well-pleaded factual averments and indulging all reasonable inference in the plaintiff’s favor…recovery can be justified under any applicable legal theory”.  </w:t>
      </w:r>
      <w:r w:rsidRPr="00F114FF">
        <w:rPr>
          <w:rFonts w:cs="Times New Roman"/>
          <w:i/>
          <w:sz w:val="20"/>
          <w:szCs w:val="20"/>
        </w:rPr>
        <w:t>Ashcroft v. Iqbal</w:t>
      </w:r>
      <w:r w:rsidRPr="00F114FF">
        <w:rPr>
          <w:rFonts w:cs="Times New Roman"/>
          <w:sz w:val="20"/>
          <w:szCs w:val="20"/>
        </w:rPr>
        <w:t>, 129 S. Ct. 1937, 1948 (2009).</w:t>
      </w:r>
    </w:p>
  </w:footnote>
  <w:footnote w:id="7">
    <w:p w14:paraId="11ADEE88" w14:textId="77777777" w:rsidR="00A75A2A" w:rsidRPr="00F114FF" w:rsidRDefault="00A75A2A" w:rsidP="00A75A2A">
      <w:pPr>
        <w:pStyle w:val="FootnoteText"/>
        <w:rPr>
          <w:rFonts w:asciiTheme="minorHAnsi" w:hAnsiTheme="minorHAnsi"/>
        </w:rPr>
      </w:pPr>
      <w:r w:rsidRPr="00F114FF">
        <w:rPr>
          <w:rStyle w:val="FootnoteReference"/>
          <w:rFonts w:asciiTheme="minorHAnsi" w:hAnsiTheme="minorHAnsi"/>
        </w:rPr>
        <w:footnoteRef/>
      </w:r>
      <w:r w:rsidRPr="00F114FF">
        <w:rPr>
          <w:rFonts w:asciiTheme="minorHAnsi" w:hAnsiTheme="minorHAnsi"/>
        </w:rPr>
        <w:t xml:space="preserve">   See </w:t>
      </w:r>
      <w:r w:rsidRPr="00F114FF">
        <w:rPr>
          <w:rFonts w:asciiTheme="minorHAnsi" w:hAnsiTheme="minorHAnsi"/>
          <w:i/>
          <w:iCs/>
        </w:rPr>
        <w:t>Honig v. Doe</w:t>
      </w:r>
      <w:r w:rsidRPr="00F114FF">
        <w:rPr>
          <w:rFonts w:asciiTheme="minorHAnsi" w:hAnsiTheme="minorHAnsi"/>
        </w:rPr>
        <w:t xml:space="preserve">, 484 U.S. 305, 325 (1988); </w:t>
      </w:r>
      <w:r w:rsidRPr="00F114FF">
        <w:rPr>
          <w:rFonts w:asciiTheme="minorHAnsi" w:hAnsiTheme="minorHAnsi"/>
          <w:i/>
          <w:iCs/>
        </w:rPr>
        <w:t>Verhoven v. Brunswick School Committee</w:t>
      </w:r>
      <w:r w:rsidRPr="00F114FF">
        <w:rPr>
          <w:rFonts w:asciiTheme="minorHAnsi" w:hAnsiTheme="minorHAnsi"/>
        </w:rPr>
        <w:t>, 207 F. 3d. 1, 10 (1</w:t>
      </w:r>
      <w:r w:rsidRPr="00F114FF">
        <w:rPr>
          <w:rFonts w:asciiTheme="minorHAnsi" w:hAnsiTheme="minorHAnsi"/>
          <w:vertAlign w:val="superscript"/>
        </w:rPr>
        <w:t>st</w:t>
      </w:r>
      <w:r w:rsidRPr="00F114FF">
        <w:rPr>
          <w:rFonts w:asciiTheme="minorHAnsi" w:hAnsiTheme="minorHAnsi"/>
        </w:rPr>
        <w:t xml:space="preserve">Cir. 1999); </w:t>
      </w:r>
      <w:r w:rsidRPr="00F114FF">
        <w:rPr>
          <w:rFonts w:asciiTheme="minorHAnsi" w:hAnsiTheme="minorHAnsi"/>
          <w:i/>
          <w:iCs/>
        </w:rPr>
        <w:t>M.R and J.R. v. Ridley school District</w:t>
      </w:r>
      <w:r w:rsidRPr="00F114FF">
        <w:rPr>
          <w:rFonts w:asciiTheme="minorHAnsi" w:hAnsiTheme="minorHAnsi"/>
        </w:rPr>
        <w:t xml:space="preserve">, 744 F.3d. 112,117 (3d Cir. 2014); </w:t>
      </w:r>
      <w:r w:rsidRPr="00F114FF">
        <w:rPr>
          <w:rFonts w:asciiTheme="minorHAnsi" w:hAnsiTheme="minorHAnsi"/>
          <w:i/>
          <w:iCs/>
        </w:rPr>
        <w:t>In re: Framingham Public Schools and Quin</w:t>
      </w:r>
      <w:r w:rsidRPr="00F114FF">
        <w:rPr>
          <w:rFonts w:asciiTheme="minorHAnsi" w:hAnsiTheme="minorHAnsi"/>
        </w:rPr>
        <w:t xml:space="preserve">, BSEA # 1605247, 22 MSER 12 (Reichbach, 2016); </w:t>
      </w:r>
      <w:r w:rsidRPr="00F114FF">
        <w:rPr>
          <w:rFonts w:asciiTheme="minorHAnsi" w:hAnsiTheme="minorHAnsi"/>
          <w:i/>
          <w:iCs/>
        </w:rPr>
        <w:t>In Re: Abington Public Schools</w:t>
      </w:r>
      <w:r w:rsidRPr="00F114FF">
        <w:rPr>
          <w:rFonts w:asciiTheme="minorHAnsi" w:hAnsiTheme="minorHAnsi"/>
        </w:rPr>
        <w:t>, BSEA # 1407763, 20 MSER 198 (Figueroa, 2014).</w:t>
      </w:r>
    </w:p>
  </w:footnote>
  <w:footnote w:id="8">
    <w:p w14:paraId="58A49B84" w14:textId="77777777" w:rsidR="00A75A2A" w:rsidRPr="00F114FF" w:rsidRDefault="00A75A2A" w:rsidP="00F114FF">
      <w:pPr>
        <w:pStyle w:val="NoSpacing"/>
        <w:rPr>
          <w:sz w:val="20"/>
          <w:szCs w:val="20"/>
        </w:rPr>
      </w:pPr>
      <w:r w:rsidRPr="00F114FF">
        <w:rPr>
          <w:rStyle w:val="FootnoteReference"/>
          <w:rFonts w:cs="Times New Roman"/>
          <w:sz w:val="20"/>
          <w:szCs w:val="20"/>
        </w:rPr>
        <w:footnoteRef/>
      </w:r>
      <w:r w:rsidRPr="00F114FF">
        <w:rPr>
          <w:sz w:val="20"/>
          <w:szCs w:val="20"/>
        </w:rPr>
        <w:t xml:space="preserve">   Exceptions to stay-put relative to violations of the code of conduct are not applicable in the instant case. </w:t>
      </w:r>
    </w:p>
  </w:footnote>
  <w:footnote w:id="9">
    <w:p w14:paraId="3DEEF510" w14:textId="16B34B70" w:rsidR="00A75A2A" w:rsidRPr="00F114FF" w:rsidRDefault="00A75A2A" w:rsidP="00F114FF">
      <w:pPr>
        <w:pStyle w:val="NoSpacing"/>
        <w:rPr>
          <w:sz w:val="20"/>
          <w:szCs w:val="20"/>
        </w:rPr>
      </w:pPr>
      <w:r w:rsidRPr="00F114FF">
        <w:rPr>
          <w:rStyle w:val="FootnoteReference"/>
        </w:rPr>
        <w:footnoteRef/>
      </w:r>
      <w:r w:rsidRPr="00F114FF">
        <w:t xml:space="preserve">   </w:t>
      </w:r>
      <w:r w:rsidRPr="00F114FF">
        <w:rPr>
          <w:sz w:val="20"/>
          <w:szCs w:val="20"/>
        </w:rPr>
        <w:t xml:space="preserve">See </w:t>
      </w:r>
      <w:r w:rsidRPr="00F114FF">
        <w:rPr>
          <w:i/>
          <w:iCs/>
          <w:sz w:val="20"/>
          <w:szCs w:val="20"/>
        </w:rPr>
        <w:t>Verhoven v. Brunswick School Committee</w:t>
      </w:r>
      <w:r w:rsidRPr="00F114FF">
        <w:rPr>
          <w:sz w:val="20"/>
          <w:szCs w:val="20"/>
        </w:rPr>
        <w:t>, 207 F. 3d. 1, 10 (1</w:t>
      </w:r>
      <w:r w:rsidRPr="00F114FF">
        <w:rPr>
          <w:sz w:val="20"/>
          <w:szCs w:val="20"/>
          <w:vertAlign w:val="superscript"/>
        </w:rPr>
        <w:t>st</w:t>
      </w:r>
      <w:r w:rsidRPr="00F114FF">
        <w:rPr>
          <w:sz w:val="20"/>
          <w:szCs w:val="20"/>
        </w:rPr>
        <w:t>Cir. 1999), (“</w:t>
      </w:r>
      <w:r w:rsidR="00F114FF">
        <w:rPr>
          <w:sz w:val="20"/>
          <w:szCs w:val="20"/>
        </w:rPr>
        <w:t>a</w:t>
      </w:r>
      <w:r w:rsidRPr="00F114FF">
        <w:rPr>
          <w:sz w:val="20"/>
          <w:szCs w:val="20"/>
        </w:rPr>
        <w:t xml:space="preserve"> reading of ‘current educational placement’ that includes the temporary... placement at issue here would </w:t>
      </w:r>
      <w:r w:rsidR="00F114FF">
        <w:rPr>
          <w:sz w:val="20"/>
          <w:szCs w:val="20"/>
        </w:rPr>
        <w:t>thwart</w:t>
      </w:r>
      <w:r w:rsidRPr="00F114FF">
        <w:rPr>
          <w:sz w:val="20"/>
          <w:szCs w:val="20"/>
        </w:rPr>
        <w:t xml:space="preserve"> the purpose of section 1415 (J) and we declined to adopt such a reading”).</w:t>
      </w:r>
    </w:p>
  </w:footnote>
  <w:footnote w:id="10">
    <w:p w14:paraId="6804C171" w14:textId="0F8F24CD" w:rsidR="00297D4E" w:rsidRPr="00297D4E" w:rsidRDefault="00297D4E">
      <w:pPr>
        <w:pStyle w:val="FootnoteText"/>
        <w:rPr>
          <w:rFonts w:asciiTheme="minorHAnsi" w:hAnsiTheme="minorHAnsi"/>
        </w:rPr>
      </w:pPr>
      <w:r w:rsidRPr="00297D4E">
        <w:rPr>
          <w:rStyle w:val="FootnoteReference"/>
          <w:rFonts w:asciiTheme="minorHAnsi" w:hAnsiTheme="minorHAnsi"/>
        </w:rPr>
        <w:footnoteRef/>
      </w:r>
      <w:r w:rsidRPr="00297D4E">
        <w:rPr>
          <w:rFonts w:asciiTheme="minorHAnsi" w:hAnsiTheme="minorHAnsi"/>
        </w:rPr>
        <w:t xml:space="preserve">   In Mass</w:t>
      </w:r>
      <w:r w:rsidR="00B537C0">
        <w:rPr>
          <w:rFonts w:asciiTheme="minorHAnsi" w:hAnsiTheme="minorHAnsi"/>
        </w:rPr>
        <w:t>a</w:t>
      </w:r>
      <w:r w:rsidRPr="00297D4E">
        <w:rPr>
          <w:rFonts w:asciiTheme="minorHAnsi" w:hAnsiTheme="minorHAnsi"/>
        </w:rPr>
        <w:t>chusetts, state agencies and private special education schools may also request BSEA mediations.</w:t>
      </w:r>
    </w:p>
  </w:footnote>
  <w:footnote w:id="11">
    <w:p w14:paraId="3820792E" w14:textId="77777777" w:rsidR="005C7B79" w:rsidRPr="00297D4E" w:rsidRDefault="005C7B79" w:rsidP="005C7B79">
      <w:pPr>
        <w:pStyle w:val="FootnoteText"/>
        <w:rPr>
          <w:rFonts w:asciiTheme="minorHAnsi" w:hAnsiTheme="minorHAnsi"/>
        </w:rPr>
      </w:pPr>
      <w:r w:rsidRPr="00297D4E">
        <w:rPr>
          <w:rStyle w:val="FootnoteReference"/>
          <w:rFonts w:asciiTheme="minorHAnsi" w:hAnsiTheme="minorHAnsi"/>
        </w:rPr>
        <w:footnoteRef/>
      </w:r>
      <w:r w:rsidRPr="00297D4E">
        <w:rPr>
          <w:rFonts w:asciiTheme="minorHAnsi" w:hAnsiTheme="minorHAnsi"/>
        </w:rPr>
        <w:t xml:space="preserve">   See </w:t>
      </w:r>
      <w:r w:rsidRPr="00297D4E">
        <w:rPr>
          <w:rFonts w:asciiTheme="minorHAnsi" w:hAnsiTheme="minorHAnsi"/>
          <w:i/>
          <w:iCs/>
        </w:rPr>
        <w:t>Student v. Worcester Public Schools</w:t>
      </w:r>
      <w:r w:rsidRPr="00297D4E">
        <w:rPr>
          <w:rFonts w:asciiTheme="minorHAnsi" w:hAnsiTheme="minorHAnsi"/>
        </w:rPr>
        <w:t xml:space="preserve">, BSEA #1302473 (Putney-Yaceshyn, 2013), </w:t>
      </w:r>
      <w:r w:rsidRPr="00297D4E">
        <w:rPr>
          <w:rFonts w:asciiTheme="minorHAnsi" w:hAnsiTheme="minorHAnsi"/>
          <w:i/>
          <w:iCs/>
        </w:rPr>
        <w:t>Student v. Lincoln Sudbury Regional School District</w:t>
      </w:r>
      <w:r w:rsidRPr="00297D4E">
        <w:rPr>
          <w:rFonts w:asciiTheme="minorHAnsi" w:hAnsiTheme="minorHAnsi"/>
        </w:rPr>
        <w:t xml:space="preserve">, BSEA 11-2546 (Figueroa, 2010), and </w:t>
      </w:r>
      <w:r w:rsidRPr="00297D4E">
        <w:rPr>
          <w:rFonts w:asciiTheme="minorHAnsi" w:hAnsiTheme="minorHAnsi"/>
          <w:i/>
          <w:iCs/>
        </w:rPr>
        <w:t>In Re: Israel and the Monson Public Schools</w:t>
      </w:r>
      <w:r w:rsidRPr="00297D4E">
        <w:rPr>
          <w:rFonts w:asciiTheme="minorHAnsi" w:hAnsiTheme="minorHAnsi"/>
        </w:rPr>
        <w:t xml:space="preserve">, BSEA #10-5064 (Byrne, 2010), all holding that the BSEA lacks jurisdiction to enforce settlement agreements.  </w:t>
      </w:r>
    </w:p>
  </w:footnote>
  <w:footnote w:id="12">
    <w:p w14:paraId="133C460D" w14:textId="77777777" w:rsidR="00A75A2A" w:rsidRPr="005F32BE" w:rsidRDefault="00A75A2A" w:rsidP="00A75A2A">
      <w:pPr>
        <w:pStyle w:val="FootnoteText"/>
        <w:rPr>
          <w:rFonts w:asciiTheme="minorHAnsi" w:hAnsiTheme="minorHAnsi"/>
        </w:rPr>
      </w:pPr>
      <w:r w:rsidRPr="005F32BE">
        <w:rPr>
          <w:rStyle w:val="FootnoteReference"/>
          <w:rFonts w:asciiTheme="minorHAnsi" w:hAnsiTheme="minorHAnsi"/>
        </w:rPr>
        <w:footnoteRef/>
      </w:r>
      <w:r w:rsidRPr="005F32BE">
        <w:rPr>
          <w:rFonts w:asciiTheme="minorHAnsi" w:hAnsiTheme="minorHAnsi"/>
        </w:rPr>
        <w:t xml:space="preserve">   See also Massachusetts Department of Elementary and Secondary Education Administrative Advisory SPED 2019-2 stating that “[e]</w:t>
      </w:r>
      <w:proofErr w:type="spellStart"/>
      <w:r w:rsidRPr="005F32BE">
        <w:rPr>
          <w:rFonts w:asciiTheme="minorHAnsi" w:hAnsiTheme="minorHAnsi"/>
        </w:rPr>
        <w:t>xtended</w:t>
      </w:r>
      <w:proofErr w:type="spellEnd"/>
      <w:r w:rsidRPr="005F32BE">
        <w:rPr>
          <w:rFonts w:asciiTheme="minorHAnsi" w:hAnsiTheme="minorHAnsi"/>
        </w:rPr>
        <w:t xml:space="preserve"> evaluations, to the contrary, are not a placement and a student's participation in an extended evaluation does not constitute a change in placement.”.</w:t>
      </w:r>
    </w:p>
  </w:footnote>
  <w:footnote w:id="13">
    <w:p w14:paraId="0A580F08" w14:textId="77777777" w:rsidR="00A75A2A" w:rsidRPr="005F32BE" w:rsidRDefault="00A75A2A" w:rsidP="00A75A2A">
      <w:pPr>
        <w:pStyle w:val="FootnoteText"/>
        <w:rPr>
          <w:rFonts w:asciiTheme="minorHAnsi" w:hAnsiTheme="minorHAnsi"/>
        </w:rPr>
      </w:pPr>
      <w:r w:rsidRPr="005F32BE">
        <w:rPr>
          <w:rStyle w:val="FootnoteReference"/>
          <w:rFonts w:asciiTheme="minorHAnsi" w:hAnsiTheme="minorHAnsi"/>
        </w:rPr>
        <w:footnoteRef/>
      </w:r>
      <w:r w:rsidRPr="005F32BE">
        <w:rPr>
          <w:rFonts w:asciiTheme="minorHAnsi" w:hAnsiTheme="minorHAnsi"/>
        </w:rPr>
        <w:t xml:space="preserve">   I note that the appropriateness of Student’s IEPs is not before me.</w:t>
      </w:r>
    </w:p>
  </w:footnote>
  <w:footnote w:id="14">
    <w:p w14:paraId="6F45631F" w14:textId="77777777" w:rsidR="00A75A2A" w:rsidRPr="009535F9" w:rsidRDefault="00A75A2A" w:rsidP="00A75A2A">
      <w:pPr>
        <w:pStyle w:val="FootnoteText"/>
        <w:rPr>
          <w:rFonts w:asciiTheme="minorHAnsi" w:hAnsiTheme="minorHAnsi"/>
        </w:rPr>
      </w:pPr>
      <w:r w:rsidRPr="00E0021E">
        <w:rPr>
          <w:rStyle w:val="FootnoteReference"/>
          <w:rFonts w:asciiTheme="minorHAnsi" w:hAnsiTheme="minorHAnsi"/>
        </w:rPr>
        <w:footnoteRef/>
      </w:r>
      <w:r w:rsidRPr="00E0021E">
        <w:rPr>
          <w:rFonts w:asciiTheme="minorHAnsi" w:hAnsiTheme="minorHAnsi"/>
        </w:rPr>
        <w:t xml:space="preserve">   </w:t>
      </w:r>
      <w:r w:rsidRPr="009535F9">
        <w:rPr>
          <w:rFonts w:asciiTheme="minorHAnsi" w:hAnsiTheme="minorHAnsi"/>
        </w:rPr>
        <w:t xml:space="preserve">See </w:t>
      </w:r>
      <w:r w:rsidRPr="009535F9">
        <w:rPr>
          <w:rFonts w:asciiTheme="minorHAnsi" w:hAnsiTheme="minorHAnsi"/>
          <w:i/>
          <w:iCs/>
        </w:rPr>
        <w:t>In Re: Sharon Public Schools</w:t>
      </w:r>
      <w:r w:rsidRPr="009535F9">
        <w:rPr>
          <w:rFonts w:asciiTheme="minorHAnsi" w:hAnsiTheme="minorHAnsi"/>
        </w:rPr>
        <w:t xml:space="preserve">, BSEA #09-2797, 14 MSER 411 (Crane, 2008); </w:t>
      </w:r>
      <w:r w:rsidRPr="009535F9">
        <w:rPr>
          <w:rFonts w:asciiTheme="minorHAnsi" w:hAnsiTheme="minorHAnsi"/>
          <w:i/>
          <w:iCs/>
        </w:rPr>
        <w:t>In Re: Melrose Public schools &amp; C.M., BSEA # 07-04987</w:t>
      </w:r>
      <w:r w:rsidRPr="009535F9">
        <w:rPr>
          <w:rFonts w:asciiTheme="minorHAnsi" w:hAnsiTheme="minorHAnsi"/>
        </w:rPr>
        <w:t>, 13 MSER 70 (Byrne, 2007) (an extended evaluation is not a placement and stay-put rights do not attach).</w:t>
      </w:r>
    </w:p>
  </w:footnote>
  <w:footnote w:id="15">
    <w:p w14:paraId="53F88576" w14:textId="77777777" w:rsidR="00A75A2A" w:rsidRPr="009535F9" w:rsidRDefault="00A75A2A" w:rsidP="00A75A2A">
      <w:pPr>
        <w:pStyle w:val="FootnoteText"/>
        <w:rPr>
          <w:rFonts w:asciiTheme="minorHAnsi" w:hAnsiTheme="minorHAnsi"/>
        </w:rPr>
      </w:pPr>
      <w:r w:rsidRPr="009535F9">
        <w:rPr>
          <w:rStyle w:val="FootnoteReference"/>
          <w:rFonts w:asciiTheme="minorHAnsi" w:hAnsiTheme="minorHAnsi"/>
        </w:rPr>
        <w:footnoteRef/>
      </w:r>
      <w:r w:rsidRPr="009535F9">
        <w:rPr>
          <w:rFonts w:asciiTheme="minorHAnsi" w:hAnsiTheme="minorHAnsi"/>
        </w:rPr>
        <w:t xml:space="preserve">   Parents’ concerns regarding the inappropriateness of Student’ program in Brockton is not before me.  Thus, their right to bring forth a separate action to dispute the appropriateness of any program offered by Brockton is reserved.</w:t>
      </w:r>
    </w:p>
  </w:footnote>
  <w:footnote w:id="16">
    <w:p w14:paraId="0024DA9C" w14:textId="77777777" w:rsidR="00A75A2A" w:rsidRDefault="00A75A2A" w:rsidP="00A75A2A">
      <w:pPr>
        <w:pStyle w:val="FootnoteText"/>
      </w:pPr>
      <w:r>
        <w:rPr>
          <w:rStyle w:val="FootnoteReference"/>
        </w:rPr>
        <w:footnoteRef/>
      </w:r>
      <w:r>
        <w:t xml:space="preserve">   </w:t>
      </w:r>
      <w:r w:rsidRPr="009535F9">
        <w:rPr>
          <w:rFonts w:asciiTheme="minorHAnsi" w:hAnsiTheme="minorHAnsi"/>
        </w:rPr>
        <w:t xml:space="preserve">See </w:t>
      </w:r>
      <w:r w:rsidRPr="009535F9">
        <w:rPr>
          <w:rFonts w:asciiTheme="minorHAnsi" w:hAnsiTheme="minorHAnsi"/>
          <w:i/>
          <w:iCs/>
        </w:rPr>
        <w:t>Student v. Worcester Public Schools</w:t>
      </w:r>
      <w:r w:rsidRPr="009535F9">
        <w:rPr>
          <w:rFonts w:asciiTheme="minorHAnsi" w:hAnsiTheme="minorHAnsi"/>
        </w:rPr>
        <w:t xml:space="preserve">, BSEA #1302473 (Putney-Yaceshyn, 2013), </w:t>
      </w:r>
      <w:r w:rsidRPr="009535F9">
        <w:rPr>
          <w:rFonts w:asciiTheme="minorHAnsi" w:hAnsiTheme="minorHAnsi"/>
          <w:i/>
          <w:iCs/>
        </w:rPr>
        <w:t>Student v. Lincoln Sudbury Regional School District</w:t>
      </w:r>
      <w:r w:rsidRPr="009535F9">
        <w:rPr>
          <w:rFonts w:asciiTheme="minorHAnsi" w:hAnsiTheme="minorHAnsi"/>
        </w:rPr>
        <w:t xml:space="preserve">, BSEA 11-2546 (Figueroa, 2010), and </w:t>
      </w:r>
      <w:r w:rsidRPr="009535F9">
        <w:rPr>
          <w:rFonts w:asciiTheme="minorHAnsi" w:hAnsiTheme="minorHAnsi"/>
          <w:i/>
          <w:iCs/>
        </w:rPr>
        <w:t>In Re: Israel and the Monson Public Schools</w:t>
      </w:r>
      <w:r w:rsidRPr="009535F9">
        <w:rPr>
          <w:rFonts w:asciiTheme="minorHAnsi" w:hAnsiTheme="minorHAnsi"/>
        </w:rPr>
        <w:t>, BSEA #10-5064 (Byrne, 2010), all holding that the BSEA lacks jurisdiction to enforce settlement agreements.</w:t>
      </w:r>
      <w:r>
        <w:t xml:space="preserve">  </w:t>
      </w:r>
    </w:p>
  </w:footnote>
  <w:footnote w:id="17">
    <w:p w14:paraId="20E344E0" w14:textId="77777777" w:rsidR="00A75A2A" w:rsidRPr="00A02481" w:rsidRDefault="00A75A2A" w:rsidP="00A75A2A">
      <w:pPr>
        <w:pStyle w:val="FootnoteText"/>
        <w:rPr>
          <w:rFonts w:asciiTheme="minorHAnsi" w:hAnsiTheme="minorHAnsi"/>
        </w:rPr>
      </w:pPr>
      <w:r w:rsidRPr="00A02481">
        <w:rPr>
          <w:rStyle w:val="FootnoteReference"/>
          <w:rFonts w:asciiTheme="minorHAnsi" w:hAnsiTheme="minorHAnsi"/>
        </w:rPr>
        <w:footnoteRef/>
      </w:r>
      <w:r w:rsidRPr="00A02481">
        <w:rPr>
          <w:rFonts w:asciiTheme="minorHAnsi" w:hAnsiTheme="minorHAnsi"/>
        </w:rPr>
        <w:t xml:space="preserve">   The mediation agreement </w:t>
      </w:r>
      <w:r>
        <w:rPr>
          <w:rFonts w:asciiTheme="minorHAnsi" w:hAnsiTheme="minorHAnsi"/>
        </w:rPr>
        <w:t>resulting from the November 6, 2025, was not available for review.  However, in correspondence responsive to Parents’ email concerns of November 7, 2025, the District noted the Parties’ agreement to allow Student to remain at READS until the Team reconvenes and a new IEP is issued.  At present, Brockton is offering Student participation in one of two substantially separate programs in Brockton  (Administrative Record).</w:t>
      </w:r>
    </w:p>
  </w:footnote>
  <w:footnote w:id="18">
    <w:p w14:paraId="49D613AD" w14:textId="77777777" w:rsidR="00A75A2A" w:rsidRPr="00CD345C" w:rsidRDefault="00A75A2A" w:rsidP="00A75A2A">
      <w:pPr>
        <w:pStyle w:val="NoSpacing"/>
        <w:rPr>
          <w:rFonts w:cs="Times New Roman"/>
          <w:sz w:val="20"/>
          <w:szCs w:val="20"/>
        </w:rPr>
      </w:pPr>
      <w:r w:rsidRPr="00CD345C">
        <w:rPr>
          <w:rStyle w:val="FootnoteReference"/>
          <w:rFonts w:cs="Times New Roman"/>
        </w:rPr>
        <w:footnoteRef/>
      </w:r>
      <w:r w:rsidRPr="00CD345C">
        <w:rPr>
          <w:rFonts w:cs="Times New Roman"/>
          <w:sz w:val="20"/>
          <w:szCs w:val="20"/>
        </w:rPr>
        <w:t xml:space="preserve">   </w:t>
      </w:r>
      <w:r w:rsidRPr="00CD345C">
        <w:rPr>
          <w:rFonts w:cs="Times New Roman"/>
          <w:i/>
          <w:iCs/>
          <w:sz w:val="20"/>
          <w:szCs w:val="20"/>
        </w:rPr>
        <w:t>Cf</w:t>
      </w:r>
      <w:r w:rsidRPr="00CD345C">
        <w:rPr>
          <w:rFonts w:cs="Times New Roman"/>
          <w:sz w:val="20"/>
          <w:szCs w:val="20"/>
        </w:rPr>
        <w:t xml:space="preserve">. </w:t>
      </w:r>
      <w:r w:rsidRPr="00CD345C">
        <w:rPr>
          <w:rFonts w:cs="Times New Roman"/>
          <w:i/>
          <w:iCs/>
          <w:sz w:val="20"/>
          <w:szCs w:val="20"/>
        </w:rPr>
        <w:t>Blank v. Chelmsford Ob/Gyn, P.C.</w:t>
      </w:r>
      <w:r w:rsidRPr="00CD345C">
        <w:rPr>
          <w:rFonts w:cs="Times New Roman"/>
          <w:sz w:val="20"/>
          <w:szCs w:val="20"/>
        </w:rPr>
        <w:t xml:space="preserve">, 420 Mass. 404, 407 (1995).  </w:t>
      </w:r>
    </w:p>
  </w:footnote>
  <w:footnote w:id="19">
    <w:p w14:paraId="34BDB4F5" w14:textId="77777777" w:rsidR="00A75A2A" w:rsidRPr="00CD345C" w:rsidRDefault="00A75A2A" w:rsidP="00A75A2A">
      <w:pPr>
        <w:pStyle w:val="NoSpacing"/>
        <w:rPr>
          <w:rFonts w:cs="Times New Roman"/>
          <w:sz w:val="20"/>
          <w:szCs w:val="20"/>
        </w:rPr>
      </w:pPr>
      <w:r w:rsidRPr="00CD345C">
        <w:rPr>
          <w:rStyle w:val="FootnoteReference"/>
          <w:rFonts w:cs="Times New Roman"/>
        </w:rPr>
        <w:footnoteRef/>
      </w:r>
      <w:r w:rsidRPr="00CD345C">
        <w:rPr>
          <w:rFonts w:cs="Times New Roman"/>
          <w:sz w:val="20"/>
          <w:szCs w:val="20"/>
        </w:rPr>
        <w:t xml:space="preserve">   </w:t>
      </w:r>
      <w:r w:rsidRPr="00CD345C">
        <w:rPr>
          <w:rFonts w:cs="Times New Roman"/>
          <w:i/>
          <w:iCs/>
          <w:sz w:val="20"/>
          <w:szCs w:val="20"/>
        </w:rPr>
        <w:t>Cf</w:t>
      </w:r>
      <w:r w:rsidRPr="00CD345C">
        <w:rPr>
          <w:rFonts w:cs="Times New Roman"/>
          <w:sz w:val="20"/>
          <w:szCs w:val="20"/>
        </w:rPr>
        <w:t xml:space="preserve">. </w:t>
      </w:r>
      <w:r w:rsidRPr="00CD345C">
        <w:rPr>
          <w:rFonts w:cs="Times New Roman"/>
          <w:i/>
          <w:iCs/>
          <w:sz w:val="20"/>
          <w:szCs w:val="20"/>
        </w:rPr>
        <w:t>Blank v. Chelmsford Ob/Gyn, P.C.</w:t>
      </w:r>
      <w:r w:rsidRPr="00CD345C">
        <w:rPr>
          <w:rFonts w:cs="Times New Roman"/>
          <w:sz w:val="20"/>
          <w:szCs w:val="20"/>
        </w:rPr>
        <w:t xml:space="preserve">, 420 Mass. 404, 407 (1995).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08461E"/>
    <w:multiLevelType w:val="hybridMultilevel"/>
    <w:tmpl w:val="DFF66CD0"/>
    <w:lvl w:ilvl="0" w:tplc="DF3A3B6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D9977A7"/>
    <w:multiLevelType w:val="hybridMultilevel"/>
    <w:tmpl w:val="0B22510C"/>
    <w:lvl w:ilvl="0" w:tplc="A4B07380">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3E447C"/>
    <w:multiLevelType w:val="hybridMultilevel"/>
    <w:tmpl w:val="A8C2AF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32B622E"/>
    <w:multiLevelType w:val="hybridMultilevel"/>
    <w:tmpl w:val="E22AE1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E904F32"/>
    <w:multiLevelType w:val="hybridMultilevel"/>
    <w:tmpl w:val="E3CEF3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18536031">
    <w:abstractNumId w:val="1"/>
  </w:num>
  <w:num w:numId="2" w16cid:durableId="1902672196">
    <w:abstractNumId w:val="3"/>
  </w:num>
  <w:num w:numId="3" w16cid:durableId="1962297247">
    <w:abstractNumId w:val="0"/>
  </w:num>
  <w:num w:numId="4" w16cid:durableId="1678573869">
    <w:abstractNumId w:val="2"/>
  </w:num>
  <w:num w:numId="5" w16cid:durableId="20082432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AC9"/>
    <w:rsid w:val="00006FC5"/>
    <w:rsid w:val="00007CE7"/>
    <w:rsid w:val="000234D2"/>
    <w:rsid w:val="00085FA2"/>
    <w:rsid w:val="000A00DA"/>
    <w:rsid w:val="000A5AB9"/>
    <w:rsid w:val="000D6433"/>
    <w:rsid w:val="000E52FA"/>
    <w:rsid w:val="000F5344"/>
    <w:rsid w:val="00104AC9"/>
    <w:rsid w:val="00165D89"/>
    <w:rsid w:val="001B27AC"/>
    <w:rsid w:val="001F087A"/>
    <w:rsid w:val="00203166"/>
    <w:rsid w:val="00240A85"/>
    <w:rsid w:val="002515C8"/>
    <w:rsid w:val="00281466"/>
    <w:rsid w:val="00283AA2"/>
    <w:rsid w:val="00292AB5"/>
    <w:rsid w:val="002951D5"/>
    <w:rsid w:val="00297D4E"/>
    <w:rsid w:val="002B61A9"/>
    <w:rsid w:val="0030779C"/>
    <w:rsid w:val="00340716"/>
    <w:rsid w:val="00345AA0"/>
    <w:rsid w:val="00345C92"/>
    <w:rsid w:val="00382D0D"/>
    <w:rsid w:val="003A2DDF"/>
    <w:rsid w:val="003E24FE"/>
    <w:rsid w:val="003F1A28"/>
    <w:rsid w:val="003F3E06"/>
    <w:rsid w:val="00403D0A"/>
    <w:rsid w:val="00404B1A"/>
    <w:rsid w:val="00417179"/>
    <w:rsid w:val="00464C88"/>
    <w:rsid w:val="00465699"/>
    <w:rsid w:val="004A2F3C"/>
    <w:rsid w:val="004B7569"/>
    <w:rsid w:val="004E4F49"/>
    <w:rsid w:val="004E506A"/>
    <w:rsid w:val="00507259"/>
    <w:rsid w:val="005A42DD"/>
    <w:rsid w:val="005B458D"/>
    <w:rsid w:val="005C7B79"/>
    <w:rsid w:val="005F32BE"/>
    <w:rsid w:val="00616A39"/>
    <w:rsid w:val="00617EE3"/>
    <w:rsid w:val="00657B68"/>
    <w:rsid w:val="006D4B6E"/>
    <w:rsid w:val="006D6CFD"/>
    <w:rsid w:val="006F0A16"/>
    <w:rsid w:val="006F44DD"/>
    <w:rsid w:val="006F5FFD"/>
    <w:rsid w:val="00775C44"/>
    <w:rsid w:val="00775E1F"/>
    <w:rsid w:val="00777FD7"/>
    <w:rsid w:val="00782069"/>
    <w:rsid w:val="007E7551"/>
    <w:rsid w:val="0089098C"/>
    <w:rsid w:val="00892710"/>
    <w:rsid w:val="008965FA"/>
    <w:rsid w:val="008B3DFE"/>
    <w:rsid w:val="008E52FA"/>
    <w:rsid w:val="00936FDE"/>
    <w:rsid w:val="009535F9"/>
    <w:rsid w:val="00965123"/>
    <w:rsid w:val="00986B46"/>
    <w:rsid w:val="00993203"/>
    <w:rsid w:val="009963A0"/>
    <w:rsid w:val="009D1CAC"/>
    <w:rsid w:val="009E499E"/>
    <w:rsid w:val="009E7D71"/>
    <w:rsid w:val="00A02481"/>
    <w:rsid w:val="00A60799"/>
    <w:rsid w:val="00A75A2A"/>
    <w:rsid w:val="00A808CD"/>
    <w:rsid w:val="00A83832"/>
    <w:rsid w:val="00AD2CC1"/>
    <w:rsid w:val="00AE3EF9"/>
    <w:rsid w:val="00B412B8"/>
    <w:rsid w:val="00B537C0"/>
    <w:rsid w:val="00C115DE"/>
    <w:rsid w:val="00C256E7"/>
    <w:rsid w:val="00C325D6"/>
    <w:rsid w:val="00C76C15"/>
    <w:rsid w:val="00CC4D12"/>
    <w:rsid w:val="00CD345C"/>
    <w:rsid w:val="00CD68C2"/>
    <w:rsid w:val="00CE5491"/>
    <w:rsid w:val="00D07FCE"/>
    <w:rsid w:val="00D31777"/>
    <w:rsid w:val="00D352BA"/>
    <w:rsid w:val="00D45E04"/>
    <w:rsid w:val="00D73556"/>
    <w:rsid w:val="00D8676B"/>
    <w:rsid w:val="00E0021E"/>
    <w:rsid w:val="00E118D7"/>
    <w:rsid w:val="00E147A9"/>
    <w:rsid w:val="00E51DD1"/>
    <w:rsid w:val="00E66B3E"/>
    <w:rsid w:val="00E70670"/>
    <w:rsid w:val="00E95A3E"/>
    <w:rsid w:val="00EE450B"/>
    <w:rsid w:val="00EF30BA"/>
    <w:rsid w:val="00EF535A"/>
    <w:rsid w:val="00F114FF"/>
    <w:rsid w:val="00F34D7E"/>
    <w:rsid w:val="00F34EBC"/>
    <w:rsid w:val="00FC5164"/>
    <w:rsid w:val="00FF48D5"/>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B07C28"/>
  <w15:chartTrackingRefBased/>
  <w15:docId w15:val="{DD303E8A-73FC-4015-B317-7B93D2600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30"/>
        <w:lang w:val="en-US" w:eastAsia="zh-CN" w:bidi="th-TH"/>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4AC9"/>
    <w:pPr>
      <w:spacing w:line="259" w:lineRule="auto"/>
    </w:pPr>
    <w:rPr>
      <w:rFonts w:eastAsiaTheme="minorHAnsi"/>
      <w:kern w:val="0"/>
      <w:sz w:val="22"/>
      <w:szCs w:val="22"/>
      <w:lang w:eastAsia="en-US" w:bidi="ar-SA"/>
      <w14:ligatures w14:val="none"/>
    </w:rPr>
  </w:style>
  <w:style w:type="paragraph" w:styleId="Heading1">
    <w:name w:val="heading 1"/>
    <w:basedOn w:val="Normal"/>
    <w:next w:val="Normal"/>
    <w:link w:val="Heading1Char"/>
    <w:uiPriority w:val="9"/>
    <w:qFormat/>
    <w:rsid w:val="00104AC9"/>
    <w:pPr>
      <w:keepNext/>
      <w:keepLines/>
      <w:spacing w:before="360" w:after="80"/>
      <w:outlineLvl w:val="0"/>
    </w:pPr>
    <w:rPr>
      <w:rFonts w:asciiTheme="majorHAnsi" w:eastAsiaTheme="majorEastAsia" w:hAnsiTheme="majorHAnsi" w:cstheme="majorBidi"/>
      <w:color w:val="0F4761" w:themeColor="accent1" w:themeShade="BF"/>
      <w:sz w:val="40"/>
      <w:szCs w:val="50"/>
    </w:rPr>
  </w:style>
  <w:style w:type="paragraph" w:styleId="Heading2">
    <w:name w:val="heading 2"/>
    <w:basedOn w:val="Normal"/>
    <w:next w:val="Normal"/>
    <w:link w:val="Heading2Char"/>
    <w:uiPriority w:val="9"/>
    <w:semiHidden/>
    <w:unhideWhenUsed/>
    <w:qFormat/>
    <w:rsid w:val="00104AC9"/>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Heading3">
    <w:name w:val="heading 3"/>
    <w:basedOn w:val="Normal"/>
    <w:next w:val="Normal"/>
    <w:link w:val="Heading3Char"/>
    <w:uiPriority w:val="9"/>
    <w:semiHidden/>
    <w:unhideWhenUsed/>
    <w:qFormat/>
    <w:rsid w:val="00104AC9"/>
    <w:pPr>
      <w:keepNext/>
      <w:keepLines/>
      <w:spacing w:before="160" w:after="80"/>
      <w:outlineLvl w:val="2"/>
    </w:pPr>
    <w:rPr>
      <w:rFonts w:eastAsiaTheme="majorEastAsia" w:cstheme="majorBidi"/>
      <w:color w:val="0F4761" w:themeColor="accent1" w:themeShade="BF"/>
      <w:sz w:val="28"/>
      <w:szCs w:val="35"/>
    </w:rPr>
  </w:style>
  <w:style w:type="paragraph" w:styleId="Heading4">
    <w:name w:val="heading 4"/>
    <w:basedOn w:val="Normal"/>
    <w:next w:val="Normal"/>
    <w:link w:val="Heading4Char"/>
    <w:uiPriority w:val="9"/>
    <w:semiHidden/>
    <w:unhideWhenUsed/>
    <w:qFormat/>
    <w:rsid w:val="00104AC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04AC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04A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4A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4A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4AC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4AC9"/>
    <w:rPr>
      <w:rFonts w:asciiTheme="majorHAnsi" w:eastAsiaTheme="majorEastAsia" w:hAnsiTheme="majorHAnsi" w:cstheme="majorBidi"/>
      <w:color w:val="0F4761" w:themeColor="accent1" w:themeShade="BF"/>
      <w:sz w:val="40"/>
      <w:szCs w:val="50"/>
    </w:rPr>
  </w:style>
  <w:style w:type="character" w:customStyle="1" w:styleId="Heading2Char">
    <w:name w:val="Heading 2 Char"/>
    <w:basedOn w:val="DefaultParagraphFont"/>
    <w:link w:val="Heading2"/>
    <w:uiPriority w:val="9"/>
    <w:semiHidden/>
    <w:rsid w:val="00104AC9"/>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semiHidden/>
    <w:rsid w:val="00104AC9"/>
    <w:rPr>
      <w:rFonts w:eastAsiaTheme="majorEastAsia" w:cstheme="majorBidi"/>
      <w:color w:val="0F4761" w:themeColor="accent1" w:themeShade="BF"/>
      <w:sz w:val="28"/>
      <w:szCs w:val="35"/>
    </w:rPr>
  </w:style>
  <w:style w:type="character" w:customStyle="1" w:styleId="Heading4Char">
    <w:name w:val="Heading 4 Char"/>
    <w:basedOn w:val="DefaultParagraphFont"/>
    <w:link w:val="Heading4"/>
    <w:uiPriority w:val="9"/>
    <w:semiHidden/>
    <w:rsid w:val="00104AC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04AC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04A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4A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4A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4AC9"/>
    <w:rPr>
      <w:rFonts w:eastAsiaTheme="majorEastAsia" w:cstheme="majorBidi"/>
      <w:color w:val="272727" w:themeColor="text1" w:themeTint="D8"/>
    </w:rPr>
  </w:style>
  <w:style w:type="paragraph" w:styleId="Title">
    <w:name w:val="Title"/>
    <w:basedOn w:val="Normal"/>
    <w:next w:val="Normal"/>
    <w:link w:val="TitleChar"/>
    <w:uiPriority w:val="10"/>
    <w:qFormat/>
    <w:rsid w:val="00104AC9"/>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104AC9"/>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104AC9"/>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104AC9"/>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104AC9"/>
    <w:pPr>
      <w:spacing w:before="160"/>
      <w:jc w:val="center"/>
    </w:pPr>
    <w:rPr>
      <w:i/>
      <w:iCs/>
      <w:color w:val="404040" w:themeColor="text1" w:themeTint="BF"/>
    </w:rPr>
  </w:style>
  <w:style w:type="character" w:customStyle="1" w:styleId="QuoteChar">
    <w:name w:val="Quote Char"/>
    <w:basedOn w:val="DefaultParagraphFont"/>
    <w:link w:val="Quote"/>
    <w:uiPriority w:val="29"/>
    <w:rsid w:val="00104AC9"/>
    <w:rPr>
      <w:i/>
      <w:iCs/>
      <w:color w:val="404040" w:themeColor="text1" w:themeTint="BF"/>
    </w:rPr>
  </w:style>
  <w:style w:type="paragraph" w:styleId="ListParagraph">
    <w:name w:val="List Paragraph"/>
    <w:basedOn w:val="Normal"/>
    <w:uiPriority w:val="34"/>
    <w:qFormat/>
    <w:rsid w:val="00104AC9"/>
    <w:pPr>
      <w:ind w:left="720"/>
      <w:contextualSpacing/>
    </w:pPr>
  </w:style>
  <w:style w:type="character" w:styleId="IntenseEmphasis">
    <w:name w:val="Intense Emphasis"/>
    <w:basedOn w:val="DefaultParagraphFont"/>
    <w:uiPriority w:val="21"/>
    <w:qFormat/>
    <w:rsid w:val="00104AC9"/>
    <w:rPr>
      <w:i/>
      <w:iCs/>
      <w:color w:val="0F4761" w:themeColor="accent1" w:themeShade="BF"/>
    </w:rPr>
  </w:style>
  <w:style w:type="paragraph" w:styleId="IntenseQuote">
    <w:name w:val="Intense Quote"/>
    <w:basedOn w:val="Normal"/>
    <w:next w:val="Normal"/>
    <w:link w:val="IntenseQuoteChar"/>
    <w:uiPriority w:val="30"/>
    <w:qFormat/>
    <w:rsid w:val="00104A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04AC9"/>
    <w:rPr>
      <w:i/>
      <w:iCs/>
      <w:color w:val="0F4761" w:themeColor="accent1" w:themeShade="BF"/>
    </w:rPr>
  </w:style>
  <w:style w:type="character" w:styleId="IntenseReference">
    <w:name w:val="Intense Reference"/>
    <w:basedOn w:val="DefaultParagraphFont"/>
    <w:uiPriority w:val="32"/>
    <w:qFormat/>
    <w:rsid w:val="00104AC9"/>
    <w:rPr>
      <w:b/>
      <w:bCs/>
      <w:smallCaps/>
      <w:color w:val="0F4761" w:themeColor="accent1" w:themeShade="BF"/>
      <w:spacing w:val="5"/>
    </w:rPr>
  </w:style>
  <w:style w:type="paragraph" w:styleId="NoSpacing">
    <w:name w:val="No Spacing"/>
    <w:link w:val="NoSpacingChar"/>
    <w:uiPriority w:val="1"/>
    <w:qFormat/>
    <w:rsid w:val="00104AC9"/>
    <w:pPr>
      <w:spacing w:after="0" w:line="240" w:lineRule="auto"/>
    </w:pPr>
    <w:rPr>
      <w:rFonts w:eastAsiaTheme="minorHAnsi"/>
      <w:kern w:val="0"/>
      <w:sz w:val="22"/>
      <w:szCs w:val="22"/>
      <w:lang w:eastAsia="en-US" w:bidi="ar-SA"/>
      <w14:ligatures w14:val="none"/>
    </w:rPr>
  </w:style>
  <w:style w:type="paragraph" w:styleId="FootnoteText">
    <w:name w:val="footnote text"/>
    <w:basedOn w:val="Normal"/>
    <w:link w:val="FootnoteTextChar"/>
    <w:uiPriority w:val="99"/>
    <w:unhideWhenUsed/>
    <w:rsid w:val="00104AC9"/>
    <w:pPr>
      <w:spacing w:after="0" w:line="240" w:lineRule="auto"/>
    </w:pPr>
    <w:rPr>
      <w:rFonts w:ascii="Times New Roman" w:hAnsi="Times New Roman"/>
      <w:sz w:val="20"/>
      <w:szCs w:val="20"/>
    </w:rPr>
  </w:style>
  <w:style w:type="character" w:customStyle="1" w:styleId="FootnoteTextChar">
    <w:name w:val="Footnote Text Char"/>
    <w:basedOn w:val="DefaultParagraphFont"/>
    <w:link w:val="FootnoteText"/>
    <w:uiPriority w:val="99"/>
    <w:rsid w:val="00104AC9"/>
    <w:rPr>
      <w:rFonts w:ascii="Times New Roman" w:eastAsiaTheme="minorHAnsi" w:hAnsi="Times New Roman"/>
      <w:kern w:val="0"/>
      <w:sz w:val="20"/>
      <w:szCs w:val="20"/>
      <w:lang w:eastAsia="en-US" w:bidi="ar-SA"/>
      <w14:ligatures w14:val="none"/>
    </w:rPr>
  </w:style>
  <w:style w:type="character" w:styleId="FootnoteReference">
    <w:name w:val="footnote reference"/>
    <w:basedOn w:val="DefaultParagraphFont"/>
    <w:uiPriority w:val="99"/>
    <w:unhideWhenUsed/>
    <w:rsid w:val="00104AC9"/>
    <w:rPr>
      <w:vertAlign w:val="superscript"/>
    </w:rPr>
  </w:style>
  <w:style w:type="paragraph" w:styleId="Header">
    <w:name w:val="header"/>
    <w:basedOn w:val="Normal"/>
    <w:link w:val="HeaderChar"/>
    <w:uiPriority w:val="99"/>
    <w:unhideWhenUsed/>
    <w:rsid w:val="007E75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7551"/>
    <w:rPr>
      <w:rFonts w:eastAsiaTheme="minorHAnsi"/>
      <w:kern w:val="0"/>
      <w:sz w:val="22"/>
      <w:szCs w:val="22"/>
      <w:lang w:eastAsia="en-US" w:bidi="ar-SA"/>
      <w14:ligatures w14:val="none"/>
    </w:rPr>
  </w:style>
  <w:style w:type="paragraph" w:styleId="Footer">
    <w:name w:val="footer"/>
    <w:basedOn w:val="Normal"/>
    <w:link w:val="FooterChar"/>
    <w:uiPriority w:val="99"/>
    <w:unhideWhenUsed/>
    <w:rsid w:val="007E75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7551"/>
    <w:rPr>
      <w:rFonts w:eastAsiaTheme="minorHAnsi"/>
      <w:kern w:val="0"/>
      <w:sz w:val="22"/>
      <w:szCs w:val="22"/>
      <w:lang w:eastAsia="en-US" w:bidi="ar-SA"/>
      <w14:ligatures w14:val="none"/>
    </w:rPr>
  </w:style>
  <w:style w:type="character" w:customStyle="1" w:styleId="apple-converted-space">
    <w:name w:val="apple-converted-space"/>
    <w:basedOn w:val="DefaultParagraphFont"/>
    <w:rsid w:val="00203166"/>
  </w:style>
  <w:style w:type="character" w:customStyle="1" w:styleId="NoSpacingChar">
    <w:name w:val="No Spacing Char"/>
    <w:basedOn w:val="DefaultParagraphFont"/>
    <w:link w:val="NoSpacing"/>
    <w:uiPriority w:val="1"/>
    <w:rsid w:val="00203166"/>
    <w:rPr>
      <w:rFonts w:eastAsiaTheme="minorHAnsi"/>
      <w:kern w:val="0"/>
      <w:sz w:val="22"/>
      <w:szCs w:val="22"/>
      <w:lang w:eastAsia="en-US" w:bidi="ar-SA"/>
      <w14:ligatures w14:val="none"/>
    </w:rPr>
  </w:style>
  <w:style w:type="paragraph" w:styleId="CommentText">
    <w:name w:val="annotation text"/>
    <w:basedOn w:val="Normal"/>
    <w:link w:val="CommentTextChar"/>
    <w:uiPriority w:val="99"/>
    <w:semiHidden/>
    <w:unhideWhenUsed/>
    <w:rsid w:val="00203166"/>
    <w:pPr>
      <w:spacing w:line="240" w:lineRule="auto"/>
    </w:pPr>
    <w:rPr>
      <w:sz w:val="20"/>
      <w:szCs w:val="20"/>
    </w:rPr>
  </w:style>
  <w:style w:type="character" w:customStyle="1" w:styleId="CommentTextChar">
    <w:name w:val="Comment Text Char"/>
    <w:basedOn w:val="DefaultParagraphFont"/>
    <w:link w:val="CommentText"/>
    <w:uiPriority w:val="99"/>
    <w:semiHidden/>
    <w:rsid w:val="00203166"/>
    <w:rPr>
      <w:rFonts w:eastAsiaTheme="minorHAnsi"/>
      <w:kern w:val="0"/>
      <w:sz w:val="20"/>
      <w:szCs w:val="20"/>
      <w:lang w:eastAsia="en-US" w:bidi="ar-SA"/>
      <w14:ligatures w14:val="none"/>
    </w:rPr>
  </w:style>
  <w:style w:type="paragraph" w:styleId="CommentSubject">
    <w:name w:val="annotation subject"/>
    <w:basedOn w:val="CommentText"/>
    <w:next w:val="CommentText"/>
    <w:link w:val="CommentSubjectChar"/>
    <w:uiPriority w:val="99"/>
    <w:semiHidden/>
    <w:unhideWhenUsed/>
    <w:rsid w:val="00203166"/>
    <w:pPr>
      <w:spacing w:after="200"/>
    </w:pPr>
    <w:rPr>
      <w:b/>
      <w:bCs/>
    </w:rPr>
  </w:style>
  <w:style w:type="character" w:customStyle="1" w:styleId="CommentSubjectChar">
    <w:name w:val="Comment Subject Char"/>
    <w:basedOn w:val="CommentTextChar"/>
    <w:link w:val="CommentSubject"/>
    <w:uiPriority w:val="99"/>
    <w:semiHidden/>
    <w:rsid w:val="00203166"/>
    <w:rPr>
      <w:rFonts w:eastAsiaTheme="minorHAnsi"/>
      <w:b/>
      <w:bCs/>
      <w:kern w:val="0"/>
      <w:sz w:val="20"/>
      <w:szCs w:val="20"/>
      <w:lang w:eastAsia="en-US"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jpg"/><Relationship Id="rId18" Type="http://schemas.openxmlformats.org/officeDocument/2006/relationships/image" Target="media/image11.jp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jpg"/><Relationship Id="rId17" Type="http://schemas.openxmlformats.org/officeDocument/2006/relationships/image" Target="media/image10.jpg"/><Relationship Id="rId2" Type="http://schemas.openxmlformats.org/officeDocument/2006/relationships/numbering" Target="numbering.xml"/><Relationship Id="rId16" Type="http://schemas.openxmlformats.org/officeDocument/2006/relationships/image" Target="media/image9.jp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image" Target="media/image8.jpg"/><Relationship Id="rId10" Type="http://schemas.openxmlformats.org/officeDocument/2006/relationships/image" Target="media/image3.jp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B08D10-E365-46F1-B32D-DCF54ED127A4}">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12</Pages>
  <Words>3972</Words>
  <Characters>22647</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Figueroa, Rosa (ALA)</dc:creator>
  <cp:keywords/>
  <dc:description/>
  <cp:lastModifiedBy>Phongsa, Sitthikay (ALA)</cp:lastModifiedBy>
  <cp:revision>3</cp:revision>
  <dcterms:created xsi:type="dcterms:W3CDTF">2025-11-18T18:31:00Z</dcterms:created>
  <dcterms:modified xsi:type="dcterms:W3CDTF">2026-01-06T23:59:00Z</dcterms:modified>
</cp:coreProperties>
</file>