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F2A9" w14:textId="251A4799" w:rsidR="00D66FAD" w:rsidRDefault="3294334C" w:rsidP="71B73CF5">
      <w:pPr>
        <w:pStyle w:val="NoSpacing"/>
        <w:jc w:val="center"/>
        <w:rPr>
          <w:rFonts w:ascii="Aptos" w:eastAsia="Aptos" w:hAnsi="Aptos" w:cs="Aptos"/>
          <w:color w:val="000000" w:themeColor="text1"/>
          <w:sz w:val="25"/>
          <w:szCs w:val="25"/>
        </w:rPr>
      </w:pPr>
      <w:r w:rsidRPr="71B73CF5">
        <w:rPr>
          <w:rFonts w:ascii="Aptos" w:eastAsia="Aptos" w:hAnsi="Aptos" w:cs="Aptos"/>
          <w:b/>
          <w:bCs/>
          <w:color w:val="000000" w:themeColor="text1"/>
          <w:sz w:val="25"/>
          <w:szCs w:val="25"/>
        </w:rPr>
        <w:t>COMMONWEALTH OF MASSACHUSETTS</w:t>
      </w:r>
    </w:p>
    <w:p w14:paraId="7F07E0F4" w14:textId="01605621" w:rsidR="00D66FAD" w:rsidRDefault="3294334C" w:rsidP="71B73CF5">
      <w:pPr>
        <w:pStyle w:val="NoSpacing"/>
        <w:jc w:val="center"/>
        <w:rPr>
          <w:rFonts w:ascii="Aptos" w:eastAsia="Aptos" w:hAnsi="Aptos" w:cs="Aptos"/>
          <w:color w:val="000000" w:themeColor="text1"/>
          <w:sz w:val="25"/>
          <w:szCs w:val="25"/>
        </w:rPr>
      </w:pPr>
      <w:r w:rsidRPr="71B73CF5">
        <w:rPr>
          <w:rFonts w:ascii="Aptos" w:eastAsia="Aptos" w:hAnsi="Aptos" w:cs="Aptos"/>
          <w:b/>
          <w:bCs/>
          <w:color w:val="000000" w:themeColor="text1"/>
          <w:sz w:val="25"/>
          <w:szCs w:val="25"/>
        </w:rPr>
        <w:t>DIVISION OF ADMININSTRATIVE LAW APPEALS</w:t>
      </w:r>
    </w:p>
    <w:p w14:paraId="03E9E281" w14:textId="0A4B2484" w:rsidR="00D66FAD" w:rsidRDefault="3294334C" w:rsidP="71B73CF5">
      <w:pPr>
        <w:pStyle w:val="NoSpacing"/>
        <w:jc w:val="center"/>
        <w:rPr>
          <w:rFonts w:ascii="Aptos" w:eastAsia="Aptos" w:hAnsi="Aptos" w:cs="Aptos"/>
          <w:color w:val="000000" w:themeColor="text1"/>
          <w:sz w:val="25"/>
          <w:szCs w:val="25"/>
        </w:rPr>
      </w:pPr>
      <w:r w:rsidRPr="71B73CF5">
        <w:rPr>
          <w:rFonts w:ascii="Aptos" w:eastAsia="Aptos" w:hAnsi="Aptos" w:cs="Aptos"/>
          <w:b/>
          <w:bCs/>
          <w:color w:val="000000" w:themeColor="text1"/>
          <w:sz w:val="25"/>
          <w:szCs w:val="25"/>
        </w:rPr>
        <w:t>BUREAU OF SPECIAL EDUCATION APPEALS</w:t>
      </w:r>
    </w:p>
    <w:p w14:paraId="7385A318" w14:textId="50DC531C" w:rsidR="00D66FAD" w:rsidRDefault="00D66FAD" w:rsidP="71B73CF5">
      <w:pPr>
        <w:spacing w:after="0" w:line="240" w:lineRule="auto"/>
        <w:jc w:val="center"/>
        <w:rPr>
          <w:rFonts w:ascii="Aptos" w:eastAsia="Aptos" w:hAnsi="Aptos" w:cs="Aptos"/>
          <w:color w:val="000000" w:themeColor="text1"/>
          <w:sz w:val="25"/>
          <w:szCs w:val="25"/>
        </w:rPr>
      </w:pPr>
    </w:p>
    <w:p w14:paraId="4EDF6474" w14:textId="57E1F651" w:rsidR="00D66FAD" w:rsidRDefault="00D66FAD" w:rsidP="71B73CF5">
      <w:pPr>
        <w:spacing w:after="0" w:line="240" w:lineRule="auto"/>
        <w:jc w:val="center"/>
        <w:rPr>
          <w:rFonts w:ascii="Aptos" w:eastAsia="Aptos" w:hAnsi="Aptos" w:cs="Aptos"/>
          <w:color w:val="000000" w:themeColor="text1"/>
          <w:sz w:val="24"/>
          <w:szCs w:val="24"/>
        </w:rPr>
      </w:pPr>
    </w:p>
    <w:p w14:paraId="6B1592F4" w14:textId="2D5279F7" w:rsidR="00D66FAD" w:rsidRPr="00B365DB" w:rsidRDefault="3294334C" w:rsidP="71B73CF5">
      <w:pPr>
        <w:pStyle w:val="NoSpacing"/>
        <w:rPr>
          <w:rFonts w:ascii="Aptos" w:eastAsia="Aptos" w:hAnsi="Aptos" w:cs="Aptos"/>
          <w:b/>
          <w:bCs/>
          <w:color w:val="000000" w:themeColor="text1"/>
          <w:sz w:val="25"/>
          <w:szCs w:val="25"/>
        </w:rPr>
      </w:pPr>
      <w:r w:rsidRPr="00B365DB">
        <w:rPr>
          <w:rFonts w:ascii="Aptos" w:eastAsia="Aptos" w:hAnsi="Aptos" w:cs="Aptos"/>
          <w:b/>
          <w:bCs/>
          <w:color w:val="000000" w:themeColor="text1"/>
          <w:sz w:val="25"/>
          <w:szCs w:val="25"/>
        </w:rPr>
        <w:t>In re:</w:t>
      </w:r>
      <w:r w:rsidR="617CBAD4" w:rsidRPr="00B365DB">
        <w:rPr>
          <w:rFonts w:ascii="Aptos" w:eastAsia="Aptos" w:hAnsi="Aptos" w:cs="Aptos"/>
          <w:b/>
          <w:bCs/>
          <w:color w:val="000000" w:themeColor="text1"/>
          <w:sz w:val="25"/>
          <w:szCs w:val="25"/>
        </w:rPr>
        <w:t xml:space="preserve"> </w:t>
      </w:r>
      <w:r w:rsidR="00FF3EE1" w:rsidRPr="00B365DB">
        <w:rPr>
          <w:rFonts w:ascii="Aptos" w:eastAsia="Aptos" w:hAnsi="Aptos" w:cs="Aptos"/>
          <w:b/>
          <w:bCs/>
          <w:color w:val="000000" w:themeColor="text1"/>
          <w:sz w:val="25"/>
          <w:szCs w:val="25"/>
        </w:rPr>
        <w:t>Belchertown Public Schools</w:t>
      </w:r>
      <w:r w:rsidR="00B365DB" w:rsidRPr="00B365DB">
        <w:rPr>
          <w:rFonts w:ascii="Aptos" w:eastAsia="Aptos" w:hAnsi="Aptos" w:cs="Aptos"/>
          <w:b/>
          <w:bCs/>
          <w:color w:val="000000" w:themeColor="text1"/>
          <w:sz w:val="25"/>
          <w:szCs w:val="25"/>
        </w:rPr>
        <w:t xml:space="preserve"> &amp;</w:t>
      </w:r>
      <w:r w:rsidR="00ED41C5" w:rsidRPr="00B365DB">
        <w:rPr>
          <w:sz w:val="25"/>
          <w:szCs w:val="25"/>
        </w:rPr>
        <w:tab/>
      </w:r>
      <w:r w:rsidR="00ED41C5" w:rsidRPr="00B365DB">
        <w:rPr>
          <w:sz w:val="25"/>
          <w:szCs w:val="25"/>
        </w:rPr>
        <w:tab/>
      </w:r>
      <w:r w:rsidR="5FF58E20" w:rsidRPr="00B365DB">
        <w:rPr>
          <w:rFonts w:ascii="Aptos" w:eastAsia="Aptos" w:hAnsi="Aptos" w:cs="Aptos"/>
          <w:b/>
          <w:bCs/>
          <w:color w:val="000000" w:themeColor="text1"/>
          <w:sz w:val="25"/>
          <w:szCs w:val="25"/>
        </w:rPr>
        <w:t xml:space="preserve">                    </w:t>
      </w:r>
      <w:r w:rsidR="69313145" w:rsidRPr="00B365DB">
        <w:rPr>
          <w:rFonts w:ascii="Aptos" w:eastAsia="Aptos" w:hAnsi="Aptos" w:cs="Aptos"/>
          <w:b/>
          <w:bCs/>
          <w:color w:val="000000" w:themeColor="text1"/>
          <w:sz w:val="25"/>
          <w:szCs w:val="25"/>
        </w:rPr>
        <w:t xml:space="preserve">                </w:t>
      </w:r>
      <w:r w:rsidR="518248C6" w:rsidRPr="00B365DB">
        <w:rPr>
          <w:rFonts w:ascii="Aptos" w:eastAsia="Aptos" w:hAnsi="Aptos" w:cs="Aptos"/>
          <w:b/>
          <w:bCs/>
          <w:color w:val="000000" w:themeColor="text1"/>
          <w:sz w:val="25"/>
          <w:szCs w:val="25"/>
        </w:rPr>
        <w:t xml:space="preserve">    </w:t>
      </w:r>
      <w:r w:rsidRPr="00B365DB">
        <w:rPr>
          <w:rFonts w:ascii="Aptos" w:eastAsia="Aptos" w:hAnsi="Aptos" w:cs="Aptos"/>
          <w:b/>
          <w:bCs/>
          <w:color w:val="000000" w:themeColor="text1"/>
          <w:sz w:val="25"/>
          <w:szCs w:val="25"/>
        </w:rPr>
        <w:t>BSEA #</w:t>
      </w:r>
      <w:r w:rsidR="46DEDF09" w:rsidRPr="00B365DB">
        <w:rPr>
          <w:rFonts w:ascii="Aptos" w:eastAsia="Aptos" w:hAnsi="Aptos" w:cs="Aptos"/>
          <w:b/>
          <w:bCs/>
          <w:color w:val="000000" w:themeColor="text1"/>
          <w:sz w:val="25"/>
          <w:szCs w:val="25"/>
        </w:rPr>
        <w:t xml:space="preserve"> 2</w:t>
      </w:r>
      <w:r w:rsidR="00B365DB" w:rsidRPr="00B365DB">
        <w:rPr>
          <w:rFonts w:ascii="Aptos" w:eastAsia="Aptos" w:hAnsi="Aptos" w:cs="Aptos"/>
          <w:b/>
          <w:bCs/>
          <w:color w:val="000000" w:themeColor="text1"/>
          <w:sz w:val="25"/>
          <w:szCs w:val="25"/>
        </w:rPr>
        <w:t>604884</w:t>
      </w:r>
    </w:p>
    <w:p w14:paraId="7635EF3A" w14:textId="77777777" w:rsidR="00B365DB" w:rsidRDefault="00B365DB" w:rsidP="00B365DB">
      <w:pPr>
        <w:spacing w:after="0"/>
        <w:rPr>
          <w:rFonts w:ascii="Aptos" w:eastAsia="Aptos" w:hAnsi="Aptos" w:cs="Aptos"/>
          <w:b/>
          <w:bCs/>
          <w:sz w:val="25"/>
          <w:szCs w:val="25"/>
        </w:rPr>
      </w:pPr>
      <w:r>
        <w:rPr>
          <w:rFonts w:ascii="Aptos" w:eastAsia="Aptos" w:hAnsi="Aptos" w:cs="Aptos"/>
          <w:b/>
          <w:bCs/>
          <w:sz w:val="25"/>
          <w:szCs w:val="25"/>
        </w:rPr>
        <w:t>Leominster Public Schools, Avon Public Schools,</w:t>
      </w:r>
    </w:p>
    <w:p w14:paraId="2720D611" w14:textId="77777777" w:rsidR="00664538" w:rsidRDefault="00B365DB" w:rsidP="00B365DB">
      <w:pPr>
        <w:spacing w:after="0"/>
        <w:rPr>
          <w:rFonts w:ascii="Aptos" w:eastAsia="Aptos" w:hAnsi="Aptos" w:cs="Aptos"/>
          <w:b/>
          <w:bCs/>
          <w:sz w:val="25"/>
          <w:szCs w:val="25"/>
        </w:rPr>
      </w:pPr>
      <w:r>
        <w:rPr>
          <w:rFonts w:ascii="Aptos" w:eastAsia="Aptos" w:hAnsi="Aptos" w:cs="Aptos"/>
          <w:b/>
          <w:bCs/>
          <w:sz w:val="25"/>
          <w:szCs w:val="25"/>
        </w:rPr>
        <w:t>Hampden-Wilbraham Regional School District</w:t>
      </w:r>
      <w:r w:rsidR="00664538">
        <w:rPr>
          <w:rFonts w:ascii="Aptos" w:eastAsia="Aptos" w:hAnsi="Aptos" w:cs="Aptos"/>
          <w:b/>
          <w:bCs/>
          <w:sz w:val="25"/>
          <w:szCs w:val="25"/>
        </w:rPr>
        <w:t>, &amp;</w:t>
      </w:r>
    </w:p>
    <w:p w14:paraId="6590BE40" w14:textId="77474916" w:rsidR="00B365DB" w:rsidRDefault="00664538" w:rsidP="00B365DB">
      <w:pPr>
        <w:spacing w:after="0"/>
        <w:rPr>
          <w:rFonts w:ascii="Aptos" w:eastAsia="Aptos" w:hAnsi="Aptos" w:cs="Aptos"/>
          <w:b/>
          <w:bCs/>
          <w:sz w:val="25"/>
          <w:szCs w:val="25"/>
        </w:rPr>
      </w:pPr>
      <w:r>
        <w:rPr>
          <w:rFonts w:ascii="Aptos" w:eastAsia="Aptos" w:hAnsi="Aptos" w:cs="Aptos"/>
          <w:b/>
          <w:bCs/>
          <w:sz w:val="25"/>
          <w:szCs w:val="25"/>
        </w:rPr>
        <w:t xml:space="preserve">Department </w:t>
      </w:r>
      <w:r w:rsidR="00B365DB" w:rsidRPr="00B365DB">
        <w:rPr>
          <w:rFonts w:ascii="Aptos" w:eastAsia="Aptos" w:hAnsi="Aptos" w:cs="Aptos"/>
          <w:b/>
          <w:bCs/>
          <w:sz w:val="25"/>
          <w:szCs w:val="25"/>
        </w:rPr>
        <w:t>of Elementary &amp; Secondary Education</w:t>
      </w:r>
    </w:p>
    <w:p w14:paraId="0AD33B85" w14:textId="77777777" w:rsidR="0078604C" w:rsidRDefault="0078604C" w:rsidP="00B365DB">
      <w:pPr>
        <w:spacing w:after="0"/>
        <w:rPr>
          <w:rFonts w:ascii="Aptos" w:eastAsia="Aptos" w:hAnsi="Aptos" w:cs="Aptos"/>
          <w:b/>
          <w:bCs/>
          <w:sz w:val="25"/>
          <w:szCs w:val="25"/>
        </w:rPr>
      </w:pPr>
    </w:p>
    <w:p w14:paraId="17D3C1AE" w14:textId="77777777" w:rsidR="00B365DB" w:rsidRPr="00B365DB" w:rsidRDefault="00B365DB" w:rsidP="00B365DB">
      <w:pPr>
        <w:spacing w:after="0"/>
        <w:rPr>
          <w:rFonts w:ascii="Aptos" w:eastAsia="Aptos" w:hAnsi="Aptos" w:cs="Aptos"/>
          <w:b/>
          <w:bCs/>
          <w:sz w:val="16"/>
          <w:szCs w:val="16"/>
        </w:rPr>
      </w:pPr>
    </w:p>
    <w:p w14:paraId="53910849" w14:textId="598CCF9B" w:rsidR="39CB9B41" w:rsidRPr="00B365DB" w:rsidRDefault="39CB9B41" w:rsidP="00B365DB">
      <w:pPr>
        <w:spacing w:after="0" w:line="240" w:lineRule="auto"/>
        <w:jc w:val="center"/>
        <w:rPr>
          <w:rFonts w:ascii="Aptos" w:eastAsia="Aptos" w:hAnsi="Aptos" w:cs="Aptos"/>
          <w:color w:val="000000" w:themeColor="text1"/>
          <w:sz w:val="25"/>
          <w:szCs w:val="25"/>
        </w:rPr>
      </w:pPr>
      <w:r w:rsidRPr="00B365DB">
        <w:rPr>
          <w:rFonts w:ascii="Aptos" w:eastAsia="Aptos" w:hAnsi="Aptos" w:cs="Aptos"/>
          <w:b/>
          <w:bCs/>
          <w:color w:val="000000" w:themeColor="text1"/>
          <w:sz w:val="25"/>
          <w:szCs w:val="25"/>
          <w:u w:val="single"/>
        </w:rPr>
        <w:t xml:space="preserve">RULING ON </w:t>
      </w:r>
      <w:r w:rsidR="00B365DB">
        <w:rPr>
          <w:rFonts w:ascii="Aptos" w:eastAsia="Aptos" w:hAnsi="Aptos" w:cs="Aptos"/>
          <w:b/>
          <w:bCs/>
          <w:color w:val="000000" w:themeColor="text1"/>
          <w:sz w:val="25"/>
          <w:szCs w:val="25"/>
          <w:u w:val="single"/>
        </w:rPr>
        <w:t>LEOMINSTER PUBLIC SCHOOLS</w:t>
      </w:r>
      <w:r w:rsidRPr="00B365DB">
        <w:rPr>
          <w:rFonts w:ascii="Aptos" w:eastAsia="Aptos" w:hAnsi="Aptos" w:cs="Aptos"/>
          <w:b/>
          <w:bCs/>
          <w:color w:val="000000" w:themeColor="text1"/>
          <w:sz w:val="25"/>
          <w:szCs w:val="25"/>
          <w:u w:val="single"/>
        </w:rPr>
        <w:t xml:space="preserve">’ MOTION TO </w:t>
      </w:r>
      <w:r w:rsidR="00B365DB">
        <w:rPr>
          <w:rFonts w:ascii="Aptos" w:eastAsia="Aptos" w:hAnsi="Aptos" w:cs="Aptos"/>
          <w:b/>
          <w:bCs/>
          <w:color w:val="000000" w:themeColor="text1"/>
          <w:sz w:val="25"/>
          <w:szCs w:val="25"/>
          <w:u w:val="single"/>
        </w:rPr>
        <w:t>DISMISS</w:t>
      </w:r>
    </w:p>
    <w:p w14:paraId="6F0E58EE" w14:textId="4D56570B" w:rsidR="20C4478E" w:rsidRPr="00B365DB" w:rsidRDefault="20C4478E" w:rsidP="71B73CF5">
      <w:pPr>
        <w:spacing w:after="0" w:line="240" w:lineRule="auto"/>
        <w:jc w:val="center"/>
        <w:rPr>
          <w:rFonts w:ascii="Aptos" w:eastAsia="Aptos" w:hAnsi="Aptos" w:cs="Aptos"/>
          <w:b/>
          <w:bCs/>
          <w:color w:val="000000" w:themeColor="text1"/>
          <w:sz w:val="25"/>
          <w:szCs w:val="25"/>
          <w:u w:val="single"/>
        </w:rPr>
      </w:pPr>
    </w:p>
    <w:p w14:paraId="12B2AB2E" w14:textId="62942B83" w:rsidR="00B365DB" w:rsidRPr="008F3CDE" w:rsidRDefault="27A087D6" w:rsidP="00B365DB">
      <w:pPr>
        <w:pStyle w:val="NoSpacing"/>
        <w:ind w:firstLine="720"/>
        <w:rPr>
          <w:rFonts w:ascii="Aptos" w:hAnsi="Aptos" w:cs="Times New Roman"/>
          <w:sz w:val="25"/>
          <w:szCs w:val="25"/>
        </w:rPr>
      </w:pPr>
      <w:r w:rsidRPr="00B365DB">
        <w:rPr>
          <w:rFonts w:ascii="Aptos" w:eastAsia="Aptos" w:hAnsi="Aptos" w:cs="Aptos"/>
          <w:sz w:val="25"/>
          <w:szCs w:val="25"/>
        </w:rPr>
        <w:t xml:space="preserve">This matter comes before the Hearing Officer on </w:t>
      </w:r>
      <w:r w:rsidR="50D92D44" w:rsidRPr="00B365DB">
        <w:rPr>
          <w:rFonts w:ascii="Aptos" w:eastAsia="Aptos" w:hAnsi="Aptos" w:cs="Aptos"/>
          <w:sz w:val="25"/>
          <w:szCs w:val="25"/>
        </w:rPr>
        <w:t xml:space="preserve">the </w:t>
      </w:r>
      <w:r w:rsidRPr="00B365DB">
        <w:rPr>
          <w:rFonts w:ascii="Aptos" w:eastAsia="Aptos" w:hAnsi="Aptos" w:cs="Aptos"/>
          <w:i/>
          <w:iCs/>
          <w:sz w:val="25"/>
          <w:szCs w:val="25"/>
        </w:rPr>
        <w:t xml:space="preserve">Motion </w:t>
      </w:r>
      <w:r w:rsidR="00B365DB">
        <w:rPr>
          <w:rFonts w:ascii="Aptos" w:eastAsia="Aptos" w:hAnsi="Aptos" w:cs="Aptos"/>
          <w:i/>
          <w:iCs/>
          <w:sz w:val="25"/>
          <w:szCs w:val="25"/>
        </w:rPr>
        <w:t>to Dismiss</w:t>
      </w:r>
      <w:r w:rsidR="51C22801" w:rsidRPr="00B365DB">
        <w:rPr>
          <w:rFonts w:ascii="Aptos" w:eastAsia="Aptos" w:hAnsi="Aptos" w:cs="Aptos"/>
          <w:sz w:val="25"/>
          <w:szCs w:val="25"/>
        </w:rPr>
        <w:t xml:space="preserve"> </w:t>
      </w:r>
      <w:r w:rsidR="00B365DB">
        <w:rPr>
          <w:rFonts w:ascii="Aptos" w:eastAsia="Aptos" w:hAnsi="Aptos" w:cs="Aptos"/>
          <w:sz w:val="25"/>
          <w:szCs w:val="25"/>
        </w:rPr>
        <w:t>(</w:t>
      </w:r>
      <w:r w:rsidR="00B365DB">
        <w:rPr>
          <w:rFonts w:ascii="Aptos" w:eastAsia="Aptos" w:hAnsi="Aptos" w:cs="Aptos"/>
          <w:i/>
          <w:iCs/>
          <w:sz w:val="25"/>
          <w:szCs w:val="25"/>
        </w:rPr>
        <w:t>Motion</w:t>
      </w:r>
      <w:r w:rsidR="00B365DB">
        <w:rPr>
          <w:rFonts w:ascii="Aptos" w:eastAsia="Aptos" w:hAnsi="Aptos" w:cs="Aptos"/>
          <w:sz w:val="25"/>
          <w:szCs w:val="25"/>
        </w:rPr>
        <w:t xml:space="preserve">) </w:t>
      </w:r>
      <w:r w:rsidRPr="00B365DB">
        <w:rPr>
          <w:rFonts w:ascii="Aptos" w:eastAsia="Aptos" w:hAnsi="Aptos" w:cs="Aptos"/>
          <w:sz w:val="25"/>
          <w:szCs w:val="25"/>
        </w:rPr>
        <w:t xml:space="preserve">filed by </w:t>
      </w:r>
      <w:r w:rsidR="00B365DB">
        <w:rPr>
          <w:rFonts w:ascii="Aptos" w:eastAsia="Aptos" w:hAnsi="Aptos" w:cs="Aptos"/>
          <w:sz w:val="25"/>
          <w:szCs w:val="25"/>
        </w:rPr>
        <w:t xml:space="preserve">Leominster Public Schools </w:t>
      </w:r>
      <w:r w:rsidR="6ADAB3C1" w:rsidRPr="00B365DB">
        <w:rPr>
          <w:rFonts w:ascii="Aptos" w:eastAsia="Aptos" w:hAnsi="Aptos" w:cs="Aptos"/>
          <w:sz w:val="25"/>
          <w:szCs w:val="25"/>
        </w:rPr>
        <w:t>(</w:t>
      </w:r>
      <w:r w:rsidR="00B365DB">
        <w:rPr>
          <w:rFonts w:ascii="Aptos" w:eastAsia="Aptos" w:hAnsi="Aptos" w:cs="Aptos"/>
          <w:sz w:val="25"/>
          <w:szCs w:val="25"/>
        </w:rPr>
        <w:t>Leominster or LPS</w:t>
      </w:r>
      <w:r w:rsidR="6ADAB3C1" w:rsidRPr="00B365DB">
        <w:rPr>
          <w:rFonts w:ascii="Aptos" w:eastAsia="Aptos" w:hAnsi="Aptos" w:cs="Aptos"/>
          <w:sz w:val="25"/>
          <w:szCs w:val="25"/>
        </w:rPr>
        <w:t xml:space="preserve">) </w:t>
      </w:r>
      <w:r w:rsidR="0082290C" w:rsidRPr="00B365DB">
        <w:rPr>
          <w:rFonts w:ascii="Aptos" w:eastAsia="Aptos" w:hAnsi="Aptos" w:cs="Aptos"/>
          <w:sz w:val="25"/>
          <w:szCs w:val="25"/>
        </w:rPr>
        <w:t xml:space="preserve">on </w:t>
      </w:r>
      <w:r w:rsidR="00B365DB">
        <w:rPr>
          <w:rFonts w:ascii="Aptos" w:eastAsia="Aptos" w:hAnsi="Aptos" w:cs="Aptos"/>
          <w:sz w:val="25"/>
          <w:szCs w:val="25"/>
        </w:rPr>
        <w:t>November 12, 2025</w:t>
      </w:r>
      <w:r w:rsidR="0082290C" w:rsidRPr="00B365DB">
        <w:rPr>
          <w:rFonts w:ascii="Aptos" w:eastAsia="Aptos" w:hAnsi="Aptos" w:cs="Aptos"/>
          <w:sz w:val="25"/>
          <w:szCs w:val="25"/>
        </w:rPr>
        <w:t xml:space="preserve"> </w:t>
      </w:r>
      <w:r w:rsidR="4945C757" w:rsidRPr="00B365DB">
        <w:rPr>
          <w:rFonts w:ascii="Aptos" w:eastAsia="Aptos" w:hAnsi="Aptos" w:cs="Aptos"/>
          <w:sz w:val="25"/>
          <w:szCs w:val="25"/>
        </w:rPr>
        <w:t>in a matter pending before the Bureau of Special Education Appeals</w:t>
      </w:r>
      <w:r w:rsidR="5B37E697" w:rsidRPr="00B365DB">
        <w:rPr>
          <w:rFonts w:ascii="Aptos" w:eastAsia="Aptos" w:hAnsi="Aptos" w:cs="Aptos"/>
          <w:sz w:val="25"/>
          <w:szCs w:val="25"/>
        </w:rPr>
        <w:t xml:space="preserve"> (BSEA)</w:t>
      </w:r>
      <w:r w:rsidR="4945C757" w:rsidRPr="00B365DB">
        <w:rPr>
          <w:rFonts w:ascii="Aptos" w:eastAsia="Aptos" w:hAnsi="Aptos" w:cs="Aptos"/>
          <w:sz w:val="25"/>
          <w:szCs w:val="25"/>
        </w:rPr>
        <w:t>.</w:t>
      </w:r>
      <w:r w:rsidR="00B365DB">
        <w:rPr>
          <w:rFonts w:ascii="Aptos" w:eastAsia="Aptos" w:hAnsi="Aptos" w:cs="Aptos"/>
          <w:sz w:val="25"/>
          <w:szCs w:val="25"/>
        </w:rPr>
        <w:t xml:space="preserve"> </w:t>
      </w:r>
      <w:r w:rsidR="002A0A80">
        <w:rPr>
          <w:rFonts w:ascii="Aptos" w:eastAsia="Aptos" w:hAnsi="Aptos" w:cs="Aptos"/>
          <w:sz w:val="25"/>
          <w:szCs w:val="25"/>
        </w:rPr>
        <w:t xml:space="preserve">On November 19, 2025, Belchertown Public Schools (Belchertown or BPS) filed an </w:t>
      </w:r>
      <w:r w:rsidR="002A0A80">
        <w:rPr>
          <w:rFonts w:ascii="Aptos" w:eastAsia="Aptos" w:hAnsi="Aptos" w:cs="Aptos"/>
          <w:i/>
          <w:iCs/>
          <w:sz w:val="25"/>
          <w:szCs w:val="25"/>
        </w:rPr>
        <w:t xml:space="preserve">Opposition to Leominster’s Motion to </w:t>
      </w:r>
      <w:r w:rsidR="002A0A80" w:rsidRPr="00F37261">
        <w:rPr>
          <w:rFonts w:ascii="Aptos" w:eastAsia="Aptos" w:hAnsi="Aptos" w:cs="Aptos"/>
          <w:i/>
          <w:iCs/>
          <w:sz w:val="25"/>
          <w:szCs w:val="25"/>
        </w:rPr>
        <w:t>Dismiss</w:t>
      </w:r>
      <w:r w:rsidR="002A0A80">
        <w:rPr>
          <w:rFonts w:ascii="Aptos" w:eastAsia="Aptos" w:hAnsi="Aptos" w:cs="Aptos"/>
          <w:sz w:val="25"/>
          <w:szCs w:val="25"/>
        </w:rPr>
        <w:t xml:space="preserve"> (</w:t>
      </w:r>
      <w:r w:rsidR="002A0A80">
        <w:rPr>
          <w:rFonts w:ascii="Aptos" w:eastAsia="Aptos" w:hAnsi="Aptos" w:cs="Aptos"/>
          <w:i/>
          <w:iCs/>
          <w:sz w:val="25"/>
          <w:szCs w:val="25"/>
        </w:rPr>
        <w:t>Opposition</w:t>
      </w:r>
      <w:r w:rsidR="002A0A80">
        <w:rPr>
          <w:rFonts w:ascii="Aptos" w:eastAsia="Aptos" w:hAnsi="Aptos" w:cs="Aptos"/>
          <w:sz w:val="25"/>
          <w:szCs w:val="25"/>
        </w:rPr>
        <w:t xml:space="preserve">). </w:t>
      </w:r>
      <w:r w:rsidR="00B365DB" w:rsidRPr="002A0A80">
        <w:rPr>
          <w:rFonts w:ascii="Aptos" w:eastAsia="Aptos" w:hAnsi="Aptos" w:cs="Aptos"/>
          <w:sz w:val="25"/>
          <w:szCs w:val="25"/>
        </w:rPr>
        <w:t>None</w:t>
      </w:r>
      <w:r w:rsidR="00B365DB">
        <w:rPr>
          <w:rFonts w:ascii="Aptos" w:eastAsia="Aptos" w:hAnsi="Aptos" w:cs="Aptos"/>
          <w:sz w:val="25"/>
          <w:szCs w:val="25"/>
        </w:rPr>
        <w:t xml:space="preserve"> of the other parti</w:t>
      </w:r>
      <w:r w:rsidR="002A0A80">
        <w:rPr>
          <w:rFonts w:ascii="Aptos" w:eastAsia="Aptos" w:hAnsi="Aptos" w:cs="Aptos"/>
          <w:sz w:val="25"/>
          <w:szCs w:val="25"/>
        </w:rPr>
        <w:t>es took a position</w:t>
      </w:r>
      <w:r w:rsidR="00B365DB">
        <w:rPr>
          <w:rFonts w:ascii="Aptos" w:eastAsia="Aptos" w:hAnsi="Aptos" w:cs="Aptos"/>
          <w:i/>
          <w:iCs/>
          <w:sz w:val="25"/>
          <w:szCs w:val="25"/>
        </w:rPr>
        <w:t>.</w:t>
      </w:r>
      <w:r w:rsidR="002B5E1F">
        <w:rPr>
          <w:rFonts w:ascii="Aptos" w:eastAsia="Aptos" w:hAnsi="Aptos" w:cs="Aptos"/>
          <w:i/>
          <w:iCs/>
          <w:sz w:val="25"/>
          <w:szCs w:val="25"/>
        </w:rPr>
        <w:t xml:space="preserve"> </w:t>
      </w:r>
      <w:r w:rsidR="002A0A80">
        <w:rPr>
          <w:rFonts w:ascii="Aptos" w:hAnsi="Aptos" w:cs="Times New Roman"/>
          <w:sz w:val="25"/>
          <w:szCs w:val="25"/>
        </w:rPr>
        <w:t xml:space="preserve">LPS and BPS offered oral arguments on the issue on December 10, 2025. </w:t>
      </w:r>
      <w:r w:rsidR="00472DF7">
        <w:rPr>
          <w:rFonts w:ascii="Aptos" w:hAnsi="Aptos" w:cs="Times New Roman"/>
          <w:sz w:val="25"/>
          <w:szCs w:val="25"/>
        </w:rPr>
        <w:t xml:space="preserve">Pursuant to the parties’ joint request, the record was then held open until December 19, 2025 for submission of additional relevant information, which LPS and BPS anticipated would be provided by the Department of Elementary and Secondary Education (DESE or the Department) in the interim. Belchertown filed its supplemental statement on December 17, 2025. Leominster did so on December 19, 2025. On December 22, 2025, Belchertown withdrew its opposition to Leominster’s </w:t>
      </w:r>
      <w:r w:rsidR="00472DF7">
        <w:rPr>
          <w:rFonts w:ascii="Aptos" w:hAnsi="Aptos" w:cs="Times New Roman"/>
          <w:i/>
          <w:iCs/>
          <w:sz w:val="25"/>
          <w:szCs w:val="25"/>
        </w:rPr>
        <w:t>Motion to Dismiss</w:t>
      </w:r>
      <w:r w:rsidR="00472DF7">
        <w:rPr>
          <w:rFonts w:ascii="Aptos" w:hAnsi="Aptos" w:cs="Times New Roman"/>
          <w:sz w:val="25"/>
          <w:szCs w:val="25"/>
        </w:rPr>
        <w:t xml:space="preserve">. </w:t>
      </w:r>
      <w:r w:rsidR="00B365DB" w:rsidRPr="00365C93">
        <w:rPr>
          <w:rFonts w:ascii="Aptos" w:hAnsi="Aptos" w:cs="Times New Roman"/>
          <w:sz w:val="25"/>
          <w:szCs w:val="25"/>
        </w:rPr>
        <w:t>For the</w:t>
      </w:r>
      <w:r w:rsidR="00F37261">
        <w:rPr>
          <w:rFonts w:ascii="Aptos" w:hAnsi="Aptos" w:cs="Times New Roman"/>
          <w:sz w:val="25"/>
          <w:szCs w:val="25"/>
        </w:rPr>
        <w:t xml:space="preserve">- </w:t>
      </w:r>
      <w:r w:rsidR="00B365DB" w:rsidRPr="00365C93">
        <w:rPr>
          <w:rFonts w:ascii="Aptos" w:hAnsi="Aptos" w:cs="Times New Roman"/>
          <w:sz w:val="25"/>
          <w:szCs w:val="25"/>
        </w:rPr>
        <w:t xml:space="preserve">reasons set forth below, </w:t>
      </w:r>
      <w:r w:rsidR="00B365DB">
        <w:rPr>
          <w:rFonts w:ascii="Aptos" w:hAnsi="Aptos" w:cs="Times New Roman"/>
          <w:sz w:val="25"/>
          <w:szCs w:val="25"/>
        </w:rPr>
        <w:t>L</w:t>
      </w:r>
      <w:r w:rsidR="00F37261">
        <w:rPr>
          <w:rFonts w:ascii="Aptos" w:hAnsi="Aptos" w:cs="Times New Roman"/>
          <w:sz w:val="25"/>
          <w:szCs w:val="25"/>
        </w:rPr>
        <w:t>PS</w:t>
      </w:r>
      <w:r w:rsidR="00B365DB">
        <w:rPr>
          <w:rFonts w:ascii="Aptos" w:hAnsi="Aptos" w:cs="Times New Roman"/>
          <w:sz w:val="25"/>
          <w:szCs w:val="25"/>
        </w:rPr>
        <w:t>’s</w:t>
      </w:r>
      <w:r w:rsidR="00472DF7">
        <w:rPr>
          <w:rFonts w:ascii="Aptos" w:hAnsi="Aptos" w:cs="Times New Roman"/>
          <w:sz w:val="25"/>
          <w:szCs w:val="25"/>
        </w:rPr>
        <w:t xml:space="preserve"> unopposed</w:t>
      </w:r>
      <w:r w:rsidR="00B365DB">
        <w:rPr>
          <w:rFonts w:ascii="Aptos" w:hAnsi="Aptos" w:cs="Times New Roman"/>
          <w:sz w:val="25"/>
          <w:szCs w:val="25"/>
        </w:rPr>
        <w:t xml:space="preserve"> </w:t>
      </w:r>
      <w:r w:rsidR="00B365DB">
        <w:rPr>
          <w:rFonts w:ascii="Aptos" w:hAnsi="Aptos" w:cs="Times New Roman"/>
          <w:i/>
          <w:iCs/>
          <w:sz w:val="25"/>
          <w:szCs w:val="25"/>
        </w:rPr>
        <w:t xml:space="preserve">Motion to Dismiss </w:t>
      </w:r>
      <w:r w:rsidR="00B365DB">
        <w:rPr>
          <w:rFonts w:ascii="Aptos" w:hAnsi="Aptos" w:cs="Times New Roman"/>
          <w:sz w:val="25"/>
          <w:szCs w:val="25"/>
        </w:rPr>
        <w:t xml:space="preserve">is </w:t>
      </w:r>
      <w:r w:rsidR="00472DF7">
        <w:rPr>
          <w:rFonts w:ascii="Aptos" w:hAnsi="Aptos" w:cs="Times New Roman"/>
          <w:sz w:val="25"/>
          <w:szCs w:val="25"/>
        </w:rPr>
        <w:t>hereby ALLOWED.</w:t>
      </w:r>
    </w:p>
    <w:p w14:paraId="3E1D8AA6" w14:textId="77777777" w:rsidR="00B365DB" w:rsidRDefault="00B365DB" w:rsidP="00B365DB">
      <w:pPr>
        <w:rPr>
          <w:rFonts w:ascii="Aptos" w:eastAsia="Aptos" w:hAnsi="Aptos" w:cs="Aptos"/>
          <w:sz w:val="25"/>
          <w:szCs w:val="25"/>
        </w:rPr>
      </w:pPr>
    </w:p>
    <w:p w14:paraId="1876CBA5" w14:textId="724D9ED7" w:rsidR="00B365DB" w:rsidRPr="00B365DB" w:rsidRDefault="00B365DB" w:rsidP="00B365DB">
      <w:pPr>
        <w:rPr>
          <w:rFonts w:ascii="Aptos" w:eastAsia="Aptos" w:hAnsi="Aptos" w:cs="Aptos"/>
          <w:sz w:val="25"/>
          <w:szCs w:val="25"/>
          <w:u w:val="single"/>
        </w:rPr>
      </w:pPr>
      <w:r>
        <w:rPr>
          <w:rFonts w:ascii="Aptos" w:eastAsia="Aptos" w:hAnsi="Aptos" w:cs="Aptos"/>
          <w:sz w:val="25"/>
          <w:szCs w:val="25"/>
          <w:u w:val="single"/>
        </w:rPr>
        <w:t>RELEVANT</w:t>
      </w:r>
      <w:r w:rsidR="00664538">
        <w:rPr>
          <w:rFonts w:ascii="Aptos" w:eastAsia="Aptos" w:hAnsi="Aptos" w:cs="Aptos"/>
          <w:sz w:val="25"/>
          <w:szCs w:val="25"/>
          <w:u w:val="single"/>
        </w:rPr>
        <w:t xml:space="preserve"> FACTUAL AND</w:t>
      </w:r>
      <w:r>
        <w:rPr>
          <w:rFonts w:ascii="Aptos" w:eastAsia="Aptos" w:hAnsi="Aptos" w:cs="Aptos"/>
          <w:sz w:val="25"/>
          <w:szCs w:val="25"/>
          <w:u w:val="single"/>
        </w:rPr>
        <w:t xml:space="preserve"> PROCEDURAL BACKGROUND</w:t>
      </w:r>
    </w:p>
    <w:p w14:paraId="32110F23" w14:textId="3DEEBC40" w:rsidR="00D643DE" w:rsidRDefault="483F3EA2" w:rsidP="005B0FDE">
      <w:pPr>
        <w:ind w:firstLine="720"/>
        <w:rPr>
          <w:rFonts w:ascii="Aptos" w:eastAsia="Aptos" w:hAnsi="Aptos" w:cs="Aptos"/>
          <w:color w:val="000000" w:themeColor="text1"/>
          <w:sz w:val="25"/>
          <w:szCs w:val="25"/>
        </w:rPr>
      </w:pPr>
      <w:r w:rsidRPr="00B365DB">
        <w:rPr>
          <w:rFonts w:ascii="Aptos" w:eastAsia="Aptos" w:hAnsi="Aptos" w:cs="Aptos"/>
          <w:color w:val="000000" w:themeColor="text1"/>
          <w:sz w:val="25"/>
          <w:szCs w:val="25"/>
        </w:rPr>
        <w:t xml:space="preserve">On </w:t>
      </w:r>
      <w:r w:rsidR="00B365DB">
        <w:rPr>
          <w:rFonts w:ascii="Aptos" w:eastAsia="Aptos" w:hAnsi="Aptos" w:cs="Aptos"/>
          <w:color w:val="000000" w:themeColor="text1"/>
          <w:sz w:val="25"/>
          <w:szCs w:val="25"/>
        </w:rPr>
        <w:t>November 3, 2025</w:t>
      </w:r>
      <w:r w:rsidRPr="00B365DB">
        <w:rPr>
          <w:rFonts w:ascii="Aptos" w:eastAsia="Aptos" w:hAnsi="Aptos" w:cs="Aptos"/>
          <w:color w:val="000000" w:themeColor="text1"/>
          <w:sz w:val="25"/>
          <w:szCs w:val="25"/>
        </w:rPr>
        <w:t>,</w:t>
      </w:r>
      <w:r w:rsidR="00B365DB">
        <w:rPr>
          <w:rFonts w:ascii="Aptos" w:eastAsia="Aptos" w:hAnsi="Aptos" w:cs="Aptos"/>
          <w:color w:val="000000" w:themeColor="text1"/>
          <w:sz w:val="25"/>
          <w:szCs w:val="25"/>
        </w:rPr>
        <w:t xml:space="preserve"> Belchertown filed a </w:t>
      </w:r>
      <w:r w:rsidR="00B365DB" w:rsidRPr="00B365DB">
        <w:rPr>
          <w:rFonts w:ascii="Aptos" w:eastAsia="Aptos" w:hAnsi="Aptos" w:cs="Aptos"/>
          <w:i/>
          <w:iCs/>
          <w:color w:val="000000" w:themeColor="text1"/>
          <w:sz w:val="25"/>
          <w:szCs w:val="25"/>
        </w:rPr>
        <w:t>LEA</w:t>
      </w:r>
      <w:r w:rsidR="00B365DB">
        <w:rPr>
          <w:rFonts w:ascii="Aptos" w:eastAsia="Aptos" w:hAnsi="Aptos" w:cs="Aptos"/>
          <w:color w:val="000000" w:themeColor="text1"/>
          <w:sz w:val="25"/>
          <w:szCs w:val="25"/>
        </w:rPr>
        <w:t xml:space="preserve"> (Local Educational Agency) </w:t>
      </w:r>
      <w:r w:rsidR="00B365DB">
        <w:rPr>
          <w:rFonts w:ascii="Aptos" w:eastAsia="Aptos" w:hAnsi="Aptos" w:cs="Aptos"/>
          <w:i/>
          <w:iCs/>
          <w:color w:val="000000" w:themeColor="text1"/>
          <w:sz w:val="25"/>
          <w:szCs w:val="25"/>
        </w:rPr>
        <w:t xml:space="preserve">Assignment Hearing Request </w:t>
      </w:r>
      <w:r w:rsidR="00DA3B54">
        <w:rPr>
          <w:rFonts w:ascii="Aptos" w:eastAsia="Aptos" w:hAnsi="Aptos" w:cs="Aptos"/>
          <w:color w:val="000000" w:themeColor="text1"/>
          <w:sz w:val="25"/>
          <w:szCs w:val="25"/>
        </w:rPr>
        <w:t>(</w:t>
      </w:r>
      <w:r w:rsidR="00B7378F">
        <w:rPr>
          <w:rFonts w:ascii="Aptos" w:eastAsia="Aptos" w:hAnsi="Aptos" w:cs="Aptos"/>
          <w:i/>
          <w:iCs/>
          <w:color w:val="000000" w:themeColor="text1"/>
          <w:sz w:val="25"/>
          <w:szCs w:val="25"/>
        </w:rPr>
        <w:t>Hearing Request</w:t>
      </w:r>
      <w:r w:rsidR="00DA3B54">
        <w:rPr>
          <w:rFonts w:ascii="Aptos" w:eastAsia="Aptos" w:hAnsi="Aptos" w:cs="Aptos"/>
          <w:color w:val="000000" w:themeColor="text1"/>
          <w:sz w:val="25"/>
          <w:szCs w:val="25"/>
        </w:rPr>
        <w:t xml:space="preserve">) </w:t>
      </w:r>
      <w:r w:rsidR="00B365DB">
        <w:rPr>
          <w:rFonts w:ascii="Aptos" w:eastAsia="Aptos" w:hAnsi="Aptos" w:cs="Aptos"/>
          <w:color w:val="000000" w:themeColor="text1"/>
          <w:sz w:val="25"/>
          <w:szCs w:val="25"/>
        </w:rPr>
        <w:t xml:space="preserve">against </w:t>
      </w:r>
      <w:r w:rsidR="00664538">
        <w:rPr>
          <w:rFonts w:ascii="Aptos" w:eastAsia="Aptos" w:hAnsi="Aptos" w:cs="Aptos"/>
          <w:color w:val="000000" w:themeColor="text1"/>
          <w:sz w:val="25"/>
          <w:szCs w:val="25"/>
        </w:rPr>
        <w:t>Leominster, Avon Public Schools (Avon or APS), Hampden-Wilbraham Regional School District (Hampden-Wilbraham or HWRSD)</w:t>
      </w:r>
      <w:r w:rsidR="00B605D1">
        <w:rPr>
          <w:rFonts w:ascii="Aptos" w:eastAsia="Aptos" w:hAnsi="Aptos" w:cs="Aptos"/>
          <w:color w:val="000000" w:themeColor="text1"/>
          <w:sz w:val="25"/>
          <w:szCs w:val="25"/>
        </w:rPr>
        <w:t>, and the Department</w:t>
      </w:r>
      <w:r w:rsidR="00664538">
        <w:rPr>
          <w:rFonts w:ascii="Aptos" w:eastAsia="Aptos" w:hAnsi="Aptos" w:cs="Aptos"/>
          <w:color w:val="000000" w:themeColor="text1"/>
          <w:sz w:val="25"/>
          <w:szCs w:val="25"/>
        </w:rPr>
        <w:t>, challenging DESE’s assignment of financial responsibility for Student to Belchertown.</w:t>
      </w:r>
      <w:r w:rsidR="00A2037A">
        <w:rPr>
          <w:rFonts w:ascii="Aptos" w:eastAsia="Aptos" w:hAnsi="Aptos" w:cs="Aptos"/>
          <w:color w:val="000000" w:themeColor="text1"/>
          <w:sz w:val="25"/>
          <w:szCs w:val="25"/>
        </w:rPr>
        <w:t xml:space="preserve"> Belchertown contends that DESE issued two LEA Assignments in the present matter, both of which erroneously assigned financial responsibility to BPS. </w:t>
      </w:r>
    </w:p>
    <w:p w14:paraId="37CDA659" w14:textId="659C35F4" w:rsidR="00664538" w:rsidRDefault="00D643DE"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According to Belchertown,</w:t>
      </w:r>
      <w:r w:rsidR="00A2037A">
        <w:rPr>
          <w:rFonts w:ascii="Aptos" w:eastAsia="Aptos" w:hAnsi="Aptos" w:cs="Aptos"/>
          <w:color w:val="000000" w:themeColor="text1"/>
          <w:sz w:val="25"/>
          <w:szCs w:val="25"/>
        </w:rPr>
        <w:t xml:space="preserve"> DESE issued an LEA Assignment on</w:t>
      </w:r>
      <w:r w:rsidR="004B173F">
        <w:rPr>
          <w:rFonts w:ascii="Aptos" w:eastAsia="Aptos" w:hAnsi="Aptos" w:cs="Aptos"/>
          <w:color w:val="000000" w:themeColor="text1"/>
          <w:sz w:val="25"/>
          <w:szCs w:val="25"/>
        </w:rPr>
        <w:t xml:space="preserve"> or about</w:t>
      </w:r>
      <w:r w:rsidR="00A2037A">
        <w:rPr>
          <w:rFonts w:ascii="Aptos" w:eastAsia="Aptos" w:hAnsi="Aptos" w:cs="Aptos"/>
          <w:color w:val="000000" w:themeColor="text1"/>
          <w:sz w:val="25"/>
          <w:szCs w:val="25"/>
        </w:rPr>
        <w:t xml:space="preserve"> September 2, 2025 (First Assignment) finding that Hampden-Wilbraham was programmatically responsible for Student</w:t>
      </w:r>
      <w:r w:rsidR="002E257D">
        <w:rPr>
          <w:rFonts w:ascii="Aptos" w:eastAsia="Aptos" w:hAnsi="Aptos" w:cs="Aptos"/>
          <w:color w:val="000000" w:themeColor="text1"/>
          <w:sz w:val="25"/>
          <w:szCs w:val="25"/>
        </w:rPr>
        <w:t xml:space="preserve"> and t</w:t>
      </w:r>
      <w:r w:rsidR="00A2037A">
        <w:rPr>
          <w:rFonts w:ascii="Aptos" w:eastAsia="Aptos" w:hAnsi="Aptos" w:cs="Aptos"/>
          <w:color w:val="000000" w:themeColor="text1"/>
          <w:sz w:val="25"/>
          <w:szCs w:val="25"/>
        </w:rPr>
        <w:t xml:space="preserve">hat Avon was financially responsible for her, </w:t>
      </w:r>
      <w:r w:rsidR="002E257D">
        <w:rPr>
          <w:rFonts w:ascii="Aptos" w:eastAsia="Aptos" w:hAnsi="Aptos" w:cs="Aptos"/>
          <w:color w:val="000000" w:themeColor="text1"/>
          <w:sz w:val="25"/>
          <w:szCs w:val="25"/>
        </w:rPr>
        <w:t>but</w:t>
      </w:r>
      <w:r w:rsidR="00A2037A">
        <w:rPr>
          <w:rFonts w:ascii="Aptos" w:eastAsia="Aptos" w:hAnsi="Aptos" w:cs="Aptos"/>
          <w:color w:val="000000" w:themeColor="text1"/>
          <w:sz w:val="25"/>
          <w:szCs w:val="25"/>
        </w:rPr>
        <w:t xml:space="preserve"> that Belchertown remained financially responsible for the budgeted costs of </w:t>
      </w:r>
      <w:r w:rsidR="00A2037A">
        <w:rPr>
          <w:rFonts w:ascii="Aptos" w:eastAsia="Aptos" w:hAnsi="Aptos" w:cs="Aptos"/>
          <w:color w:val="000000" w:themeColor="text1"/>
          <w:sz w:val="25"/>
          <w:szCs w:val="25"/>
        </w:rPr>
        <w:lastRenderedPageBreak/>
        <w:t xml:space="preserve">Student’s day school placement, including transportation, until June 30, 2026, pursuant to the </w:t>
      </w:r>
      <w:r w:rsidR="00F37261">
        <w:rPr>
          <w:rFonts w:ascii="Aptos" w:eastAsia="Aptos" w:hAnsi="Aptos" w:cs="Aptos"/>
          <w:color w:val="000000" w:themeColor="text1"/>
          <w:sz w:val="25"/>
          <w:szCs w:val="25"/>
        </w:rPr>
        <w:t>“</w:t>
      </w:r>
      <w:r w:rsidR="00A2037A">
        <w:rPr>
          <w:rFonts w:ascii="Aptos" w:eastAsia="Aptos" w:hAnsi="Aptos" w:cs="Aptos"/>
          <w:color w:val="000000" w:themeColor="text1"/>
          <w:sz w:val="25"/>
          <w:szCs w:val="25"/>
        </w:rPr>
        <w:t>Move-In Law</w:t>
      </w:r>
      <w:r w:rsidR="00F37261">
        <w:rPr>
          <w:rFonts w:ascii="Aptos" w:eastAsia="Aptos" w:hAnsi="Aptos" w:cs="Aptos"/>
          <w:color w:val="000000" w:themeColor="text1"/>
          <w:sz w:val="25"/>
          <w:szCs w:val="25"/>
        </w:rPr>
        <w:t xml:space="preserve">,” M.G.L. c. </w:t>
      </w:r>
      <w:r w:rsidR="00F37261" w:rsidRPr="00F37261">
        <w:rPr>
          <w:rFonts w:ascii="Aptos" w:eastAsia="Aptos" w:hAnsi="Aptos" w:cs="Aptos"/>
          <w:color w:val="000000" w:themeColor="text1"/>
          <w:sz w:val="25"/>
          <w:szCs w:val="25"/>
        </w:rPr>
        <w:t xml:space="preserve">71B, </w:t>
      </w:r>
      <w:r w:rsidR="00F37261" w:rsidRPr="00F37261">
        <w:rPr>
          <w:rFonts w:ascii="Aptos" w:hAnsi="Aptos" w:cs="Times New Roman"/>
          <w:sz w:val="25"/>
          <w:szCs w:val="25"/>
        </w:rPr>
        <w:t>§5</w:t>
      </w:r>
      <w:r w:rsidR="00A2037A" w:rsidRPr="00F37261">
        <w:rPr>
          <w:rFonts w:ascii="Aptos" w:eastAsia="Aptos" w:hAnsi="Aptos" w:cs="Aptos"/>
          <w:color w:val="000000" w:themeColor="text1"/>
          <w:sz w:val="25"/>
          <w:szCs w:val="25"/>
        </w:rPr>
        <w:t>.</w:t>
      </w:r>
      <w:r w:rsidR="00A2037A" w:rsidRPr="00F37261">
        <w:rPr>
          <w:rStyle w:val="FootnoteReference"/>
          <w:rFonts w:ascii="Aptos" w:eastAsia="Aptos" w:hAnsi="Aptos" w:cs="Aptos"/>
          <w:color w:val="000000" w:themeColor="text1"/>
          <w:sz w:val="25"/>
          <w:szCs w:val="25"/>
        </w:rPr>
        <w:footnoteReference w:id="1"/>
      </w:r>
      <w:r w:rsidR="00A2037A">
        <w:rPr>
          <w:rFonts w:ascii="Aptos" w:eastAsia="Aptos" w:hAnsi="Aptos" w:cs="Aptos"/>
          <w:color w:val="000000" w:themeColor="text1"/>
          <w:sz w:val="25"/>
          <w:szCs w:val="25"/>
        </w:rPr>
        <w:t xml:space="preserve"> Belchertown challenged this assignment, as </w:t>
      </w:r>
      <w:r w:rsidR="00F37261">
        <w:rPr>
          <w:rFonts w:ascii="Aptos" w:eastAsia="Aptos" w:hAnsi="Aptos" w:cs="Aptos"/>
          <w:color w:val="000000" w:themeColor="text1"/>
          <w:sz w:val="25"/>
          <w:szCs w:val="25"/>
        </w:rPr>
        <w:t>it</w:t>
      </w:r>
      <w:r w:rsidR="00A2037A">
        <w:rPr>
          <w:rFonts w:ascii="Aptos" w:eastAsia="Aptos" w:hAnsi="Aptos" w:cs="Aptos"/>
          <w:color w:val="000000" w:themeColor="text1"/>
          <w:sz w:val="25"/>
          <w:szCs w:val="25"/>
        </w:rPr>
        <w:t xml:space="preserve"> had indicated that Student has lived in foster care within H</w:t>
      </w:r>
      <w:r w:rsidR="008917D9">
        <w:rPr>
          <w:rFonts w:ascii="Aptos" w:eastAsia="Aptos" w:hAnsi="Aptos" w:cs="Aptos"/>
          <w:color w:val="000000" w:themeColor="text1"/>
          <w:sz w:val="25"/>
          <w:szCs w:val="25"/>
        </w:rPr>
        <w:t xml:space="preserve">WRSD </w:t>
      </w:r>
      <w:r w:rsidR="00A2037A">
        <w:rPr>
          <w:rFonts w:ascii="Aptos" w:eastAsia="Aptos" w:hAnsi="Aptos" w:cs="Aptos"/>
          <w:color w:val="000000" w:themeColor="text1"/>
          <w:sz w:val="25"/>
          <w:szCs w:val="25"/>
        </w:rPr>
        <w:t xml:space="preserve">since May 2021 and had been enrolled in </w:t>
      </w:r>
      <w:r w:rsidR="008917D9">
        <w:rPr>
          <w:rFonts w:ascii="Aptos" w:eastAsia="Aptos" w:hAnsi="Aptos" w:cs="Aptos"/>
          <w:color w:val="000000" w:themeColor="text1"/>
          <w:sz w:val="25"/>
          <w:szCs w:val="25"/>
        </w:rPr>
        <w:t>Hampden-Wilbraham</w:t>
      </w:r>
      <w:r w:rsidR="00A2037A">
        <w:rPr>
          <w:rFonts w:ascii="Aptos" w:eastAsia="Aptos" w:hAnsi="Aptos" w:cs="Aptos"/>
          <w:color w:val="000000" w:themeColor="text1"/>
          <w:sz w:val="25"/>
          <w:szCs w:val="25"/>
        </w:rPr>
        <w:t xml:space="preserve"> since August 2022;</w:t>
      </w:r>
      <w:r w:rsidR="004B173F">
        <w:rPr>
          <w:rFonts w:ascii="Aptos" w:eastAsia="Aptos" w:hAnsi="Aptos" w:cs="Aptos"/>
          <w:color w:val="000000" w:themeColor="text1"/>
          <w:sz w:val="25"/>
          <w:szCs w:val="25"/>
        </w:rPr>
        <w:t xml:space="preserve"> </w:t>
      </w:r>
      <w:r w:rsidR="00512151">
        <w:rPr>
          <w:rFonts w:ascii="Aptos" w:eastAsia="Aptos" w:hAnsi="Aptos" w:cs="Aptos"/>
          <w:color w:val="000000" w:themeColor="text1"/>
          <w:sz w:val="25"/>
          <w:szCs w:val="25"/>
        </w:rPr>
        <w:t>and</w:t>
      </w:r>
      <w:r w:rsidR="00CC6579">
        <w:rPr>
          <w:rFonts w:ascii="Aptos" w:eastAsia="Aptos" w:hAnsi="Aptos" w:cs="Aptos"/>
          <w:color w:val="000000" w:themeColor="text1"/>
          <w:sz w:val="25"/>
          <w:szCs w:val="25"/>
        </w:rPr>
        <w:t>, further,</w:t>
      </w:r>
      <w:r w:rsidR="00512151">
        <w:rPr>
          <w:rFonts w:ascii="Aptos" w:eastAsia="Aptos" w:hAnsi="Aptos" w:cs="Aptos"/>
          <w:color w:val="000000" w:themeColor="text1"/>
          <w:sz w:val="25"/>
          <w:szCs w:val="25"/>
        </w:rPr>
        <w:t xml:space="preserve"> </w:t>
      </w:r>
      <w:r w:rsidR="00A2037A">
        <w:rPr>
          <w:rFonts w:ascii="Aptos" w:eastAsia="Aptos" w:hAnsi="Aptos" w:cs="Aptos"/>
          <w:color w:val="000000" w:themeColor="text1"/>
          <w:sz w:val="25"/>
          <w:szCs w:val="25"/>
        </w:rPr>
        <w:t xml:space="preserve">that Student’s Mother’s parental rights had been terminated as of May 21, 2025, at which time Mother was living in Avon, Massachusetts. </w:t>
      </w:r>
      <w:r>
        <w:rPr>
          <w:rFonts w:ascii="Aptos" w:eastAsia="Aptos" w:hAnsi="Aptos" w:cs="Aptos"/>
          <w:color w:val="000000" w:themeColor="text1"/>
          <w:sz w:val="25"/>
          <w:szCs w:val="25"/>
        </w:rPr>
        <w:t>T</w:t>
      </w:r>
      <w:r w:rsidR="00A2037A">
        <w:rPr>
          <w:rFonts w:ascii="Aptos" w:eastAsia="Aptos" w:hAnsi="Aptos" w:cs="Aptos"/>
          <w:color w:val="000000" w:themeColor="text1"/>
          <w:sz w:val="25"/>
          <w:szCs w:val="25"/>
        </w:rPr>
        <w:t>he information provided by H</w:t>
      </w:r>
      <w:r w:rsidR="008917D9">
        <w:rPr>
          <w:rFonts w:ascii="Aptos" w:eastAsia="Aptos" w:hAnsi="Aptos" w:cs="Aptos"/>
          <w:color w:val="000000" w:themeColor="text1"/>
          <w:sz w:val="25"/>
          <w:szCs w:val="25"/>
        </w:rPr>
        <w:t>WRSD</w:t>
      </w:r>
      <w:r w:rsidR="00A2037A">
        <w:rPr>
          <w:rFonts w:ascii="Aptos" w:eastAsia="Aptos" w:hAnsi="Aptos" w:cs="Aptos"/>
          <w:color w:val="000000" w:themeColor="text1"/>
          <w:sz w:val="25"/>
          <w:szCs w:val="25"/>
        </w:rPr>
        <w:t xml:space="preserve"> to DESE indicated that Mother had moved to Avon in</w:t>
      </w:r>
      <w:r>
        <w:rPr>
          <w:rFonts w:ascii="Aptos" w:eastAsia="Aptos" w:hAnsi="Aptos" w:cs="Aptos"/>
          <w:color w:val="000000" w:themeColor="text1"/>
          <w:sz w:val="25"/>
          <w:szCs w:val="25"/>
        </w:rPr>
        <w:t xml:space="preserve"> September of 2024. Furthermore, Student had not moved into a district with a</w:t>
      </w:r>
      <w:r w:rsidR="002E257D">
        <w:rPr>
          <w:rFonts w:ascii="Aptos" w:eastAsia="Aptos" w:hAnsi="Aptos" w:cs="Aptos"/>
          <w:color w:val="000000" w:themeColor="text1"/>
          <w:sz w:val="25"/>
          <w:szCs w:val="25"/>
        </w:rPr>
        <w:t>n individualized education program (IEP) calling for a</w:t>
      </w:r>
      <w:r>
        <w:rPr>
          <w:rFonts w:ascii="Aptos" w:eastAsia="Aptos" w:hAnsi="Aptos" w:cs="Aptos"/>
          <w:color w:val="000000" w:themeColor="text1"/>
          <w:sz w:val="25"/>
          <w:szCs w:val="25"/>
        </w:rPr>
        <w:t xml:space="preserve"> private placement; </w:t>
      </w:r>
      <w:r w:rsidR="002E257D">
        <w:rPr>
          <w:rFonts w:ascii="Aptos" w:eastAsia="Aptos" w:hAnsi="Aptos" w:cs="Aptos"/>
          <w:color w:val="000000" w:themeColor="text1"/>
          <w:sz w:val="25"/>
          <w:szCs w:val="25"/>
        </w:rPr>
        <w:t>rather</w:t>
      </w:r>
      <w:r>
        <w:rPr>
          <w:rFonts w:ascii="Aptos" w:eastAsia="Aptos" w:hAnsi="Aptos" w:cs="Aptos"/>
          <w:color w:val="000000" w:themeColor="text1"/>
          <w:sz w:val="25"/>
          <w:szCs w:val="25"/>
        </w:rPr>
        <w:t>, Hampden-Wilbraham, as the programmatic district, had proposed a private day</w:t>
      </w:r>
      <w:r w:rsidR="00541386">
        <w:rPr>
          <w:rFonts w:ascii="Aptos" w:eastAsia="Aptos" w:hAnsi="Aptos" w:cs="Aptos"/>
          <w:color w:val="000000" w:themeColor="text1"/>
          <w:sz w:val="25"/>
          <w:szCs w:val="25"/>
        </w:rPr>
        <w:t xml:space="preserve"> program</w:t>
      </w:r>
      <w:r w:rsidR="009D3CC3">
        <w:rPr>
          <w:rFonts w:ascii="Aptos" w:eastAsia="Aptos" w:hAnsi="Aptos" w:cs="Aptos"/>
          <w:color w:val="000000" w:themeColor="text1"/>
          <w:sz w:val="25"/>
          <w:szCs w:val="25"/>
        </w:rPr>
        <w:t xml:space="preserve"> while Student was there enrolled</w:t>
      </w:r>
      <w:r w:rsidR="00541386">
        <w:rPr>
          <w:rFonts w:ascii="Aptos" w:eastAsia="Aptos" w:hAnsi="Aptos" w:cs="Aptos"/>
          <w:color w:val="000000" w:themeColor="text1"/>
          <w:sz w:val="25"/>
          <w:szCs w:val="25"/>
        </w:rPr>
        <w:t>.</w:t>
      </w:r>
      <w:r>
        <w:rPr>
          <w:rFonts w:ascii="Aptos" w:eastAsia="Aptos" w:hAnsi="Aptos" w:cs="Aptos"/>
          <w:color w:val="000000" w:themeColor="text1"/>
          <w:sz w:val="25"/>
          <w:szCs w:val="25"/>
        </w:rPr>
        <w:t xml:space="preserve"> </w:t>
      </w:r>
    </w:p>
    <w:p w14:paraId="7D76DF35" w14:textId="2EF3DB94" w:rsidR="00314623" w:rsidRDefault="00D643DE"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On October 30, 2025, DESE issued a revised LEA assignment (Second Assignment), indicating that although the Department of Children and Families (DCF) and Wilbraham initially indicated that Student’s Mother had moved to Avon in September 2024, no evidence was provided to support these claims. Avon had disputed these claims, contending that Mother did not in fact reside in Avon.</w:t>
      </w:r>
      <w:r>
        <w:rPr>
          <w:rStyle w:val="FootnoteReference"/>
          <w:rFonts w:ascii="Aptos" w:eastAsia="Aptos" w:hAnsi="Aptos" w:cs="Aptos"/>
          <w:color w:val="000000" w:themeColor="text1"/>
          <w:sz w:val="25"/>
          <w:szCs w:val="25"/>
        </w:rPr>
        <w:footnoteReference w:id="2"/>
      </w:r>
      <w:r>
        <w:rPr>
          <w:rFonts w:ascii="Aptos" w:eastAsia="Aptos" w:hAnsi="Aptos" w:cs="Aptos"/>
          <w:color w:val="000000" w:themeColor="text1"/>
          <w:sz w:val="25"/>
          <w:szCs w:val="25"/>
        </w:rPr>
        <w:t xml:space="preserve"> Belchertown had recently provided DESE with information about Father’s residence, which had previously been unknown, indicating that he had lived in Leominster, Massachusetts since March 2019, and was residing there at the time Student was determined eligible for special education. DESE’s Second Assignment </w:t>
      </w:r>
      <w:r w:rsidR="00AE4610">
        <w:rPr>
          <w:rFonts w:ascii="Aptos" w:eastAsia="Aptos" w:hAnsi="Aptos" w:cs="Aptos"/>
          <w:color w:val="000000" w:themeColor="text1"/>
          <w:sz w:val="25"/>
          <w:szCs w:val="25"/>
        </w:rPr>
        <w:t>assigned programmatic responsibility to HWRSD</w:t>
      </w:r>
      <w:r>
        <w:rPr>
          <w:rFonts w:ascii="Aptos" w:eastAsia="Aptos" w:hAnsi="Aptos" w:cs="Aptos"/>
          <w:color w:val="000000" w:themeColor="text1"/>
          <w:sz w:val="25"/>
          <w:szCs w:val="25"/>
        </w:rPr>
        <w:t xml:space="preserve"> </w:t>
      </w:r>
      <w:r w:rsidR="00AE4610">
        <w:rPr>
          <w:rFonts w:ascii="Aptos" w:eastAsia="Aptos" w:hAnsi="Aptos" w:cs="Aptos"/>
          <w:color w:val="000000" w:themeColor="text1"/>
          <w:sz w:val="25"/>
          <w:szCs w:val="25"/>
        </w:rPr>
        <w:t>from</w:t>
      </w:r>
      <w:r>
        <w:rPr>
          <w:rFonts w:ascii="Aptos" w:eastAsia="Aptos" w:hAnsi="Aptos" w:cs="Aptos"/>
          <w:color w:val="000000" w:themeColor="text1"/>
          <w:sz w:val="25"/>
          <w:szCs w:val="25"/>
        </w:rPr>
        <w:t xml:space="preserve"> January 9, 2024 to January 23, 2024, </w:t>
      </w:r>
      <w:r w:rsidR="00B605D1">
        <w:rPr>
          <w:rFonts w:ascii="Aptos" w:eastAsia="Aptos" w:hAnsi="Aptos" w:cs="Aptos"/>
          <w:color w:val="000000" w:themeColor="text1"/>
          <w:sz w:val="25"/>
          <w:szCs w:val="25"/>
        </w:rPr>
        <w:t>a</w:t>
      </w:r>
      <w:r w:rsidR="009D3CC3">
        <w:rPr>
          <w:rFonts w:ascii="Aptos" w:eastAsia="Aptos" w:hAnsi="Aptos" w:cs="Aptos"/>
          <w:color w:val="000000" w:themeColor="text1"/>
          <w:sz w:val="25"/>
          <w:szCs w:val="25"/>
        </w:rPr>
        <w:t>n</w:t>
      </w:r>
      <w:r w:rsidR="00B605D1">
        <w:rPr>
          <w:rFonts w:ascii="Aptos" w:eastAsia="Aptos" w:hAnsi="Aptos" w:cs="Aptos"/>
          <w:color w:val="000000" w:themeColor="text1"/>
          <w:sz w:val="25"/>
          <w:szCs w:val="25"/>
        </w:rPr>
        <w:t>d</w:t>
      </w:r>
      <w:r w:rsidR="00AE4610">
        <w:rPr>
          <w:rFonts w:ascii="Aptos" w:eastAsia="Aptos" w:hAnsi="Aptos" w:cs="Aptos"/>
          <w:color w:val="000000" w:themeColor="text1"/>
          <w:sz w:val="25"/>
          <w:szCs w:val="25"/>
        </w:rPr>
        <w:t xml:space="preserve"> assigned shared</w:t>
      </w:r>
      <w:r>
        <w:rPr>
          <w:rFonts w:ascii="Aptos" w:eastAsia="Aptos" w:hAnsi="Aptos" w:cs="Aptos"/>
          <w:color w:val="000000" w:themeColor="text1"/>
          <w:sz w:val="25"/>
          <w:szCs w:val="25"/>
        </w:rPr>
        <w:t xml:space="preserve"> financial responsibility between Belchertown and Leominster. </w:t>
      </w:r>
    </w:p>
    <w:p w14:paraId="09BA9531" w14:textId="43F3D5E3" w:rsidR="00D643DE" w:rsidRDefault="00314623"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 xml:space="preserve">In the underlying </w:t>
      </w:r>
      <w:r>
        <w:rPr>
          <w:rFonts w:ascii="Aptos" w:eastAsia="Aptos" w:hAnsi="Aptos" w:cs="Aptos"/>
          <w:i/>
          <w:iCs/>
          <w:color w:val="000000" w:themeColor="text1"/>
          <w:sz w:val="25"/>
          <w:szCs w:val="25"/>
        </w:rPr>
        <w:t>Hearing Request</w:t>
      </w:r>
      <w:r>
        <w:rPr>
          <w:rFonts w:ascii="Aptos" w:eastAsia="Aptos" w:hAnsi="Aptos" w:cs="Aptos"/>
          <w:color w:val="000000" w:themeColor="text1"/>
          <w:sz w:val="25"/>
          <w:szCs w:val="25"/>
        </w:rPr>
        <w:t xml:space="preserve">, Belchertown contends that Mother did, in fact, live in Avon during the relevant time frame, as DESE concluded in its First Assignment; that to the extent Avon’s information regarding Mother’s address in Fitchburg, Haverhill, or Brockton is correct, no one is contending that Mother ever lived in Belchertown or that Student </w:t>
      </w:r>
      <w:r w:rsidR="00541386">
        <w:rPr>
          <w:rFonts w:ascii="Aptos" w:eastAsia="Aptos" w:hAnsi="Aptos" w:cs="Aptos"/>
          <w:color w:val="000000" w:themeColor="text1"/>
          <w:sz w:val="25"/>
          <w:szCs w:val="25"/>
        </w:rPr>
        <w:t>was ever enrolled within Belchertown’s schools; and that the LEA assignment does not address financial and programmatic responsibility after September 23, 2024.</w:t>
      </w:r>
      <w:r>
        <w:rPr>
          <w:rFonts w:ascii="Aptos" w:eastAsia="Aptos" w:hAnsi="Aptos" w:cs="Aptos"/>
          <w:i/>
          <w:iCs/>
          <w:color w:val="000000" w:themeColor="text1"/>
          <w:sz w:val="25"/>
          <w:szCs w:val="25"/>
        </w:rPr>
        <w:t xml:space="preserve"> </w:t>
      </w:r>
      <w:r w:rsidR="00A31A41">
        <w:rPr>
          <w:rFonts w:ascii="Aptos" w:eastAsia="Aptos" w:hAnsi="Aptos" w:cs="Aptos"/>
          <w:color w:val="000000" w:themeColor="text1"/>
          <w:sz w:val="25"/>
          <w:szCs w:val="25"/>
        </w:rPr>
        <w:t xml:space="preserve">Further, </w:t>
      </w:r>
      <w:r w:rsidR="00541386">
        <w:rPr>
          <w:rFonts w:ascii="Aptos" w:eastAsia="Aptos" w:hAnsi="Aptos" w:cs="Aptos"/>
          <w:color w:val="000000" w:themeColor="text1"/>
          <w:sz w:val="25"/>
          <w:szCs w:val="25"/>
        </w:rPr>
        <w:t xml:space="preserve">Belchertown </w:t>
      </w:r>
      <w:r w:rsidR="009D3CC3">
        <w:rPr>
          <w:rFonts w:ascii="Aptos" w:eastAsia="Aptos" w:hAnsi="Aptos" w:cs="Aptos"/>
          <w:color w:val="000000" w:themeColor="text1"/>
          <w:sz w:val="25"/>
          <w:szCs w:val="25"/>
        </w:rPr>
        <w:t>contended that BPS</w:t>
      </w:r>
      <w:r w:rsidR="00541386">
        <w:rPr>
          <w:rFonts w:ascii="Aptos" w:eastAsia="Aptos" w:hAnsi="Aptos" w:cs="Aptos"/>
          <w:color w:val="000000" w:themeColor="text1"/>
          <w:sz w:val="25"/>
          <w:szCs w:val="25"/>
        </w:rPr>
        <w:t xml:space="preserve"> </w:t>
      </w:r>
      <w:r w:rsidR="00A31A41">
        <w:rPr>
          <w:rFonts w:ascii="Aptos" w:eastAsia="Aptos" w:hAnsi="Aptos" w:cs="Aptos"/>
          <w:color w:val="000000" w:themeColor="text1"/>
          <w:sz w:val="25"/>
          <w:szCs w:val="25"/>
        </w:rPr>
        <w:t xml:space="preserve">was </w:t>
      </w:r>
      <w:r w:rsidR="00541386">
        <w:rPr>
          <w:rFonts w:ascii="Aptos" w:eastAsia="Aptos" w:hAnsi="Aptos" w:cs="Aptos"/>
          <w:color w:val="000000" w:themeColor="text1"/>
          <w:sz w:val="25"/>
          <w:szCs w:val="25"/>
        </w:rPr>
        <w:t>not invited to the Team meeting in May 2025, during which Hampden-Wilbraham proposed an out-of-district placement for Student.</w:t>
      </w:r>
    </w:p>
    <w:p w14:paraId="078A1EE7" w14:textId="48320443" w:rsidR="00512151" w:rsidRDefault="00512151"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The Hearing was scheduled for November 24, 2025.</w:t>
      </w:r>
    </w:p>
    <w:p w14:paraId="7075AE61" w14:textId="21B3544A" w:rsidR="00512151" w:rsidRDefault="00AF27DF"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lastRenderedPageBreak/>
        <w:t xml:space="preserve">On November 10, 2025, </w:t>
      </w:r>
      <w:r w:rsidR="00512151">
        <w:rPr>
          <w:rFonts w:ascii="Aptos" w:eastAsia="Aptos" w:hAnsi="Aptos" w:cs="Aptos"/>
          <w:color w:val="000000" w:themeColor="text1"/>
          <w:sz w:val="25"/>
          <w:szCs w:val="25"/>
        </w:rPr>
        <w:t xml:space="preserve">DESE filed its </w:t>
      </w:r>
      <w:r w:rsidR="00512151">
        <w:rPr>
          <w:rFonts w:ascii="Aptos" w:eastAsia="Aptos" w:hAnsi="Aptos" w:cs="Aptos"/>
          <w:i/>
          <w:iCs/>
          <w:color w:val="000000" w:themeColor="text1"/>
          <w:sz w:val="25"/>
          <w:szCs w:val="25"/>
        </w:rPr>
        <w:t>Response to Belchertown Public Schools’ Request for Hearing</w:t>
      </w:r>
      <w:r w:rsidR="00512151">
        <w:rPr>
          <w:rFonts w:ascii="Aptos" w:eastAsia="Aptos" w:hAnsi="Aptos" w:cs="Aptos"/>
          <w:color w:val="000000" w:themeColor="text1"/>
          <w:sz w:val="25"/>
          <w:szCs w:val="25"/>
        </w:rPr>
        <w:t>, asserting that the</w:t>
      </w:r>
      <w:r w:rsidR="00A31A41">
        <w:rPr>
          <w:rFonts w:ascii="Aptos" w:eastAsia="Aptos" w:hAnsi="Aptos" w:cs="Aptos"/>
          <w:color w:val="000000" w:themeColor="text1"/>
          <w:sz w:val="25"/>
          <w:szCs w:val="25"/>
        </w:rPr>
        <w:t xml:space="preserve"> First</w:t>
      </w:r>
      <w:r w:rsidR="00512151">
        <w:rPr>
          <w:rFonts w:ascii="Aptos" w:eastAsia="Aptos" w:hAnsi="Aptos" w:cs="Aptos"/>
          <w:color w:val="000000" w:themeColor="text1"/>
          <w:sz w:val="25"/>
          <w:szCs w:val="25"/>
        </w:rPr>
        <w:t xml:space="preserve"> Assignment</w:t>
      </w:r>
      <w:r>
        <w:rPr>
          <w:rFonts w:ascii="Aptos" w:eastAsia="Aptos" w:hAnsi="Aptos" w:cs="Aptos"/>
          <w:color w:val="000000" w:themeColor="text1"/>
          <w:sz w:val="25"/>
          <w:szCs w:val="25"/>
        </w:rPr>
        <w:t xml:space="preserve"> properly applied the relevant regulations to the fact</w:t>
      </w:r>
      <w:r w:rsidR="00B605D1">
        <w:rPr>
          <w:rFonts w:ascii="Aptos" w:eastAsia="Aptos" w:hAnsi="Aptos" w:cs="Aptos"/>
          <w:color w:val="000000" w:themeColor="text1"/>
          <w:sz w:val="25"/>
          <w:szCs w:val="25"/>
        </w:rPr>
        <w:t>s</w:t>
      </w:r>
      <w:r>
        <w:rPr>
          <w:rFonts w:ascii="Aptos" w:eastAsia="Aptos" w:hAnsi="Aptos" w:cs="Aptos"/>
          <w:color w:val="000000" w:themeColor="text1"/>
          <w:sz w:val="25"/>
          <w:szCs w:val="25"/>
        </w:rPr>
        <w:t xml:space="preserve"> that the parties submitted in connection with its assignment. The Department noted, however, that to the extent </w:t>
      </w:r>
      <w:r w:rsidR="00A31A41">
        <w:rPr>
          <w:rFonts w:ascii="Aptos" w:eastAsia="Aptos" w:hAnsi="Aptos" w:cs="Aptos"/>
          <w:color w:val="000000" w:themeColor="text1"/>
          <w:sz w:val="25"/>
          <w:szCs w:val="25"/>
        </w:rPr>
        <w:t xml:space="preserve">the </w:t>
      </w:r>
      <w:r w:rsidR="00A31A41">
        <w:rPr>
          <w:rFonts w:ascii="Aptos" w:eastAsia="Aptos" w:hAnsi="Aptos" w:cs="Aptos"/>
          <w:i/>
          <w:iCs/>
          <w:color w:val="000000" w:themeColor="text1"/>
          <w:sz w:val="25"/>
          <w:szCs w:val="25"/>
        </w:rPr>
        <w:t>Hearing Request</w:t>
      </w:r>
      <w:r>
        <w:rPr>
          <w:rFonts w:ascii="Aptos" w:eastAsia="Aptos" w:hAnsi="Aptos" w:cs="Aptos"/>
          <w:color w:val="000000" w:themeColor="text1"/>
          <w:sz w:val="25"/>
          <w:szCs w:val="25"/>
        </w:rPr>
        <w:t xml:space="preserve"> </w:t>
      </w:r>
      <w:r w:rsidR="00A31A41">
        <w:rPr>
          <w:rFonts w:ascii="Aptos" w:eastAsia="Aptos" w:hAnsi="Aptos" w:cs="Aptos"/>
          <w:color w:val="000000" w:themeColor="text1"/>
          <w:sz w:val="25"/>
          <w:szCs w:val="25"/>
        </w:rPr>
        <w:t xml:space="preserve">raises </w:t>
      </w:r>
      <w:r>
        <w:rPr>
          <w:rFonts w:ascii="Aptos" w:eastAsia="Aptos" w:hAnsi="Aptos" w:cs="Aptos"/>
          <w:color w:val="000000" w:themeColor="text1"/>
          <w:sz w:val="25"/>
          <w:szCs w:val="25"/>
        </w:rPr>
        <w:t xml:space="preserve">a question about the accuracy of the </w:t>
      </w:r>
      <w:proofErr w:type="gramStart"/>
      <w:r>
        <w:rPr>
          <w:rFonts w:ascii="Aptos" w:eastAsia="Aptos" w:hAnsi="Aptos" w:cs="Aptos"/>
          <w:color w:val="000000" w:themeColor="text1"/>
          <w:sz w:val="25"/>
          <w:szCs w:val="25"/>
        </w:rPr>
        <w:t>factual information</w:t>
      </w:r>
      <w:proofErr w:type="gramEnd"/>
      <w:r>
        <w:rPr>
          <w:rFonts w:ascii="Aptos" w:eastAsia="Aptos" w:hAnsi="Aptos" w:cs="Aptos"/>
          <w:color w:val="000000" w:themeColor="text1"/>
          <w:sz w:val="25"/>
          <w:szCs w:val="25"/>
        </w:rPr>
        <w:t xml:space="preserve"> submitted to the Department on which the LEA assignment</w:t>
      </w:r>
      <w:r w:rsidR="00A31A41">
        <w:rPr>
          <w:rFonts w:ascii="Aptos" w:eastAsia="Aptos" w:hAnsi="Aptos" w:cs="Aptos"/>
          <w:color w:val="000000" w:themeColor="text1"/>
          <w:sz w:val="25"/>
          <w:szCs w:val="25"/>
        </w:rPr>
        <w:t>s</w:t>
      </w:r>
      <w:r>
        <w:rPr>
          <w:rFonts w:ascii="Aptos" w:eastAsia="Aptos" w:hAnsi="Aptos" w:cs="Aptos"/>
          <w:color w:val="000000" w:themeColor="text1"/>
          <w:sz w:val="25"/>
          <w:szCs w:val="25"/>
        </w:rPr>
        <w:t xml:space="preserve"> w</w:t>
      </w:r>
      <w:r w:rsidR="00A31A41">
        <w:rPr>
          <w:rFonts w:ascii="Aptos" w:eastAsia="Aptos" w:hAnsi="Aptos" w:cs="Aptos"/>
          <w:color w:val="000000" w:themeColor="text1"/>
          <w:sz w:val="25"/>
          <w:szCs w:val="25"/>
        </w:rPr>
        <w:t xml:space="preserve">ere </w:t>
      </w:r>
      <w:r>
        <w:rPr>
          <w:rFonts w:ascii="Aptos" w:eastAsia="Aptos" w:hAnsi="Aptos" w:cs="Aptos"/>
          <w:color w:val="000000" w:themeColor="text1"/>
          <w:sz w:val="25"/>
          <w:szCs w:val="25"/>
        </w:rPr>
        <w:t>based, the Districts were welcome to engage in fact-finding, augment the record, and present it to the Department for further consideration. DESE, therefore, requested postponement of the Hearing to allow for this process.</w:t>
      </w:r>
    </w:p>
    <w:p w14:paraId="37BE5E18" w14:textId="0605CCA1" w:rsidR="00AF27DF" w:rsidRDefault="00AF27DF"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On November 12, 2025, Belchertown filed an assented-to request to postpone the Hearing until February 4, 2026, to allow for discovery and to permit DESE to further reconsider its decision, potentially obviating the need for a hearing. This request was allowed for good cause on November 13, 2025, and the Hearing was postponed to February 4, 2026.</w:t>
      </w:r>
    </w:p>
    <w:p w14:paraId="345B52A0" w14:textId="73698153" w:rsidR="00AF27DF" w:rsidRPr="00AF27DF" w:rsidRDefault="00AF27DF"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 xml:space="preserve">Hampden-Wilbraham filed its </w:t>
      </w:r>
      <w:r>
        <w:rPr>
          <w:rFonts w:ascii="Aptos" w:eastAsia="Aptos" w:hAnsi="Aptos" w:cs="Aptos"/>
          <w:i/>
          <w:iCs/>
          <w:color w:val="000000" w:themeColor="text1"/>
          <w:sz w:val="25"/>
          <w:szCs w:val="25"/>
        </w:rPr>
        <w:t xml:space="preserve">Response </w:t>
      </w:r>
      <w:r>
        <w:rPr>
          <w:rFonts w:ascii="Aptos" w:eastAsia="Aptos" w:hAnsi="Aptos" w:cs="Aptos"/>
          <w:color w:val="000000" w:themeColor="text1"/>
          <w:sz w:val="25"/>
          <w:szCs w:val="25"/>
        </w:rPr>
        <w:t xml:space="preserve">to </w:t>
      </w:r>
      <w:r w:rsidR="00A31A41">
        <w:rPr>
          <w:rFonts w:ascii="Aptos" w:eastAsia="Aptos" w:hAnsi="Aptos" w:cs="Aptos"/>
          <w:color w:val="000000" w:themeColor="text1"/>
          <w:sz w:val="25"/>
          <w:szCs w:val="25"/>
        </w:rPr>
        <w:t>the</w:t>
      </w:r>
      <w:r>
        <w:rPr>
          <w:rFonts w:ascii="Aptos" w:eastAsia="Aptos" w:hAnsi="Aptos" w:cs="Aptos"/>
          <w:color w:val="000000" w:themeColor="text1"/>
          <w:sz w:val="25"/>
          <w:szCs w:val="25"/>
        </w:rPr>
        <w:t xml:space="preserve"> </w:t>
      </w:r>
      <w:r>
        <w:rPr>
          <w:rFonts w:ascii="Aptos" w:eastAsia="Aptos" w:hAnsi="Aptos" w:cs="Aptos"/>
          <w:i/>
          <w:iCs/>
          <w:color w:val="000000" w:themeColor="text1"/>
          <w:sz w:val="25"/>
          <w:szCs w:val="25"/>
        </w:rPr>
        <w:t xml:space="preserve">Hearing Request </w:t>
      </w:r>
      <w:r>
        <w:rPr>
          <w:rFonts w:ascii="Aptos" w:eastAsia="Aptos" w:hAnsi="Aptos" w:cs="Aptos"/>
          <w:color w:val="000000" w:themeColor="text1"/>
          <w:sz w:val="25"/>
          <w:szCs w:val="25"/>
        </w:rPr>
        <w:t xml:space="preserve">on November 19, 2025, </w:t>
      </w:r>
      <w:r w:rsidR="006C4DBA">
        <w:rPr>
          <w:rFonts w:ascii="Aptos" w:eastAsia="Aptos" w:hAnsi="Aptos" w:cs="Aptos"/>
          <w:color w:val="000000" w:themeColor="text1"/>
          <w:sz w:val="25"/>
          <w:szCs w:val="25"/>
        </w:rPr>
        <w:t>acknowledging</w:t>
      </w:r>
      <w:r>
        <w:rPr>
          <w:rFonts w:ascii="Aptos" w:eastAsia="Aptos" w:hAnsi="Aptos" w:cs="Aptos"/>
          <w:color w:val="000000" w:themeColor="text1"/>
          <w:sz w:val="25"/>
          <w:szCs w:val="25"/>
        </w:rPr>
        <w:t xml:space="preserve"> that HWRSD is properly assigned programmatic responsibility for Student and taking no position regarding </w:t>
      </w:r>
      <w:r w:rsidR="006C4DBA">
        <w:rPr>
          <w:rFonts w:ascii="Aptos" w:eastAsia="Aptos" w:hAnsi="Aptos" w:cs="Aptos"/>
          <w:color w:val="000000" w:themeColor="text1"/>
          <w:sz w:val="25"/>
          <w:szCs w:val="25"/>
        </w:rPr>
        <w:t xml:space="preserve">fiscal responsibility. On November 23, 2025, Avon filed a letter </w:t>
      </w:r>
      <w:r w:rsidR="00FE3DD9">
        <w:rPr>
          <w:rFonts w:ascii="Aptos" w:eastAsia="Aptos" w:hAnsi="Aptos" w:cs="Aptos"/>
          <w:color w:val="000000" w:themeColor="text1"/>
          <w:sz w:val="25"/>
          <w:szCs w:val="25"/>
        </w:rPr>
        <w:t xml:space="preserve">asserting that it </w:t>
      </w:r>
      <w:r w:rsidR="006C4DBA">
        <w:rPr>
          <w:rFonts w:ascii="Aptos" w:eastAsia="Aptos" w:hAnsi="Aptos" w:cs="Aptos"/>
          <w:color w:val="000000" w:themeColor="text1"/>
          <w:sz w:val="25"/>
          <w:szCs w:val="25"/>
        </w:rPr>
        <w:t>is neither programmatically nor fiscally</w:t>
      </w:r>
      <w:r w:rsidR="00A31A41">
        <w:rPr>
          <w:rFonts w:ascii="Aptos" w:eastAsia="Aptos" w:hAnsi="Aptos" w:cs="Aptos"/>
          <w:color w:val="000000" w:themeColor="text1"/>
          <w:sz w:val="25"/>
          <w:szCs w:val="25"/>
        </w:rPr>
        <w:t xml:space="preserve"> </w:t>
      </w:r>
      <w:r w:rsidR="006C4DBA">
        <w:rPr>
          <w:rFonts w:ascii="Aptos" w:eastAsia="Aptos" w:hAnsi="Aptos" w:cs="Aptos"/>
          <w:color w:val="000000" w:themeColor="text1"/>
          <w:sz w:val="25"/>
          <w:szCs w:val="25"/>
        </w:rPr>
        <w:t xml:space="preserve">responsible for Student during the relevant </w:t>
      </w:r>
      <w:proofErr w:type="gramStart"/>
      <w:r w:rsidR="006C4DBA">
        <w:rPr>
          <w:rFonts w:ascii="Aptos" w:eastAsia="Aptos" w:hAnsi="Aptos" w:cs="Aptos"/>
          <w:color w:val="000000" w:themeColor="text1"/>
          <w:sz w:val="25"/>
          <w:szCs w:val="25"/>
        </w:rPr>
        <w:t>time period</w:t>
      </w:r>
      <w:proofErr w:type="gramEnd"/>
      <w:r w:rsidR="006C4DBA">
        <w:rPr>
          <w:rFonts w:ascii="Aptos" w:eastAsia="Aptos" w:hAnsi="Aptos" w:cs="Aptos"/>
          <w:color w:val="000000" w:themeColor="text1"/>
          <w:sz w:val="25"/>
          <w:szCs w:val="25"/>
        </w:rPr>
        <w:t xml:space="preserve"> and </w:t>
      </w:r>
      <w:r w:rsidR="00FE3DD9">
        <w:rPr>
          <w:rFonts w:ascii="Aptos" w:eastAsia="Aptos" w:hAnsi="Aptos" w:cs="Aptos"/>
          <w:color w:val="000000" w:themeColor="text1"/>
          <w:sz w:val="25"/>
          <w:szCs w:val="25"/>
        </w:rPr>
        <w:t xml:space="preserve">indicating </w:t>
      </w:r>
      <w:r w:rsidR="006C4DBA">
        <w:rPr>
          <w:rFonts w:ascii="Aptos" w:eastAsia="Aptos" w:hAnsi="Aptos" w:cs="Aptos"/>
          <w:color w:val="000000" w:themeColor="text1"/>
          <w:sz w:val="25"/>
          <w:szCs w:val="25"/>
        </w:rPr>
        <w:t xml:space="preserve">that </w:t>
      </w:r>
      <w:r w:rsidR="00472DF7">
        <w:rPr>
          <w:rFonts w:ascii="Aptos" w:eastAsia="Aptos" w:hAnsi="Aptos" w:cs="Aptos"/>
          <w:color w:val="000000" w:themeColor="text1"/>
          <w:sz w:val="25"/>
          <w:szCs w:val="25"/>
        </w:rPr>
        <w:t>APS</w:t>
      </w:r>
      <w:r w:rsidR="006C4DBA">
        <w:rPr>
          <w:rFonts w:ascii="Aptos" w:eastAsia="Aptos" w:hAnsi="Aptos" w:cs="Aptos"/>
          <w:color w:val="000000" w:themeColor="text1"/>
          <w:sz w:val="25"/>
          <w:szCs w:val="25"/>
        </w:rPr>
        <w:t xml:space="preserve"> would be providing additional information and requesting</w:t>
      </w:r>
      <w:r w:rsidR="00A31A41">
        <w:rPr>
          <w:rFonts w:ascii="Aptos" w:eastAsia="Aptos" w:hAnsi="Aptos" w:cs="Aptos"/>
          <w:color w:val="000000" w:themeColor="text1"/>
          <w:sz w:val="25"/>
          <w:szCs w:val="25"/>
        </w:rPr>
        <w:t xml:space="preserve"> further</w:t>
      </w:r>
      <w:r w:rsidR="006C4DBA">
        <w:rPr>
          <w:rFonts w:ascii="Aptos" w:eastAsia="Aptos" w:hAnsi="Aptos" w:cs="Aptos"/>
          <w:color w:val="000000" w:themeColor="text1"/>
          <w:sz w:val="25"/>
          <w:szCs w:val="25"/>
        </w:rPr>
        <w:t xml:space="preserve"> reconsideration of the LEA Assignment.</w:t>
      </w:r>
    </w:p>
    <w:p w14:paraId="58BF4D13" w14:textId="5DFB41AE" w:rsidR="00512151" w:rsidRDefault="00AF27DF" w:rsidP="005B0FDE">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 xml:space="preserve">In </w:t>
      </w:r>
      <w:r w:rsidR="00A31A41">
        <w:rPr>
          <w:rFonts w:ascii="Aptos" w:eastAsia="Aptos" w:hAnsi="Aptos" w:cs="Aptos"/>
          <w:color w:val="000000" w:themeColor="text1"/>
          <w:sz w:val="25"/>
          <w:szCs w:val="25"/>
        </w:rPr>
        <w:t>the underlying</w:t>
      </w:r>
      <w:r>
        <w:rPr>
          <w:rFonts w:ascii="Aptos" w:eastAsia="Aptos" w:hAnsi="Aptos" w:cs="Aptos"/>
          <w:color w:val="000000" w:themeColor="text1"/>
          <w:sz w:val="25"/>
          <w:szCs w:val="25"/>
        </w:rPr>
        <w:t xml:space="preserve"> </w:t>
      </w:r>
      <w:r w:rsidRPr="00A31A41">
        <w:rPr>
          <w:rFonts w:ascii="Aptos" w:eastAsia="Aptos" w:hAnsi="Aptos" w:cs="Aptos"/>
          <w:i/>
          <w:iCs/>
          <w:color w:val="000000" w:themeColor="text1"/>
          <w:sz w:val="25"/>
          <w:szCs w:val="25"/>
        </w:rPr>
        <w:t>Mot</w:t>
      </w:r>
      <w:r w:rsidR="00A31A41" w:rsidRPr="00A31A41">
        <w:rPr>
          <w:rFonts w:ascii="Aptos" w:eastAsia="Aptos" w:hAnsi="Aptos" w:cs="Aptos"/>
          <w:i/>
          <w:iCs/>
          <w:color w:val="000000" w:themeColor="text1"/>
          <w:sz w:val="25"/>
          <w:szCs w:val="25"/>
        </w:rPr>
        <w:t>ion</w:t>
      </w:r>
      <w:r w:rsidR="00A31A41">
        <w:rPr>
          <w:rFonts w:ascii="Aptos" w:eastAsia="Aptos" w:hAnsi="Aptos" w:cs="Aptos"/>
          <w:color w:val="000000" w:themeColor="text1"/>
          <w:sz w:val="25"/>
          <w:szCs w:val="25"/>
        </w:rPr>
        <w:t xml:space="preserve">, </w:t>
      </w:r>
      <w:r w:rsidRPr="00A31A41">
        <w:rPr>
          <w:rFonts w:ascii="Aptos" w:eastAsia="Aptos" w:hAnsi="Aptos" w:cs="Aptos"/>
          <w:color w:val="000000" w:themeColor="text1"/>
          <w:sz w:val="25"/>
          <w:szCs w:val="25"/>
        </w:rPr>
        <w:t>Leominster</w:t>
      </w:r>
      <w:r w:rsidR="002A0A80">
        <w:rPr>
          <w:rFonts w:ascii="Aptos" w:eastAsia="Aptos" w:hAnsi="Aptos" w:cs="Aptos"/>
          <w:color w:val="000000" w:themeColor="text1"/>
          <w:sz w:val="25"/>
          <w:szCs w:val="25"/>
        </w:rPr>
        <w:t xml:space="preserve"> argues that LPS is not a proper party to Belchertown’s appeal and, therefore, BPS has failed to state a claim upon which relief can be granted </w:t>
      </w:r>
      <w:r w:rsidR="00A31A41">
        <w:rPr>
          <w:rFonts w:ascii="Aptos" w:eastAsia="Aptos" w:hAnsi="Aptos" w:cs="Aptos"/>
          <w:color w:val="000000" w:themeColor="text1"/>
          <w:sz w:val="25"/>
          <w:szCs w:val="25"/>
        </w:rPr>
        <w:t xml:space="preserve">as to </w:t>
      </w:r>
      <w:r w:rsidR="002A0A80">
        <w:rPr>
          <w:rFonts w:ascii="Aptos" w:eastAsia="Aptos" w:hAnsi="Aptos" w:cs="Aptos"/>
          <w:color w:val="000000" w:themeColor="text1"/>
          <w:sz w:val="25"/>
          <w:szCs w:val="25"/>
        </w:rPr>
        <w:t>Leominster. Specifically, Leominster contends t</w:t>
      </w:r>
      <w:r w:rsidR="00512151">
        <w:rPr>
          <w:rFonts w:ascii="Aptos" w:eastAsia="Aptos" w:hAnsi="Aptos" w:cs="Aptos"/>
          <w:color w:val="000000" w:themeColor="text1"/>
          <w:sz w:val="25"/>
          <w:szCs w:val="25"/>
        </w:rPr>
        <w:t>hat</w:t>
      </w:r>
      <w:r w:rsidR="002A0A80">
        <w:rPr>
          <w:rFonts w:ascii="Aptos" w:eastAsia="Aptos" w:hAnsi="Aptos" w:cs="Aptos"/>
          <w:color w:val="000000" w:themeColor="text1"/>
          <w:sz w:val="25"/>
          <w:szCs w:val="25"/>
        </w:rPr>
        <w:t xml:space="preserve"> Student has been placed in a foster care setting in Wilbraham, Massachusetts and has been enrolled in HWRSD since August 30, 2022; Hampden</w:t>
      </w:r>
      <w:r w:rsidR="00B605D1">
        <w:rPr>
          <w:rFonts w:ascii="Aptos" w:eastAsia="Aptos" w:hAnsi="Aptos" w:cs="Aptos"/>
          <w:color w:val="000000" w:themeColor="text1"/>
          <w:sz w:val="25"/>
          <w:szCs w:val="25"/>
        </w:rPr>
        <w:t>-</w:t>
      </w:r>
      <w:r w:rsidR="002A0A80">
        <w:rPr>
          <w:rFonts w:ascii="Aptos" w:eastAsia="Aptos" w:hAnsi="Aptos" w:cs="Aptos"/>
          <w:color w:val="000000" w:themeColor="text1"/>
          <w:sz w:val="25"/>
          <w:szCs w:val="25"/>
        </w:rPr>
        <w:t>Wilbraham found Student eligible for special education services on or about January 9</w:t>
      </w:r>
      <w:r w:rsidR="00FE3DD9">
        <w:rPr>
          <w:rFonts w:ascii="Aptos" w:eastAsia="Aptos" w:hAnsi="Aptos" w:cs="Aptos"/>
          <w:color w:val="000000" w:themeColor="text1"/>
          <w:sz w:val="25"/>
          <w:szCs w:val="25"/>
        </w:rPr>
        <w:t>,</w:t>
      </w:r>
      <w:r w:rsidR="002A0A80">
        <w:rPr>
          <w:rFonts w:ascii="Aptos" w:eastAsia="Aptos" w:hAnsi="Aptos" w:cs="Aptos"/>
          <w:color w:val="000000" w:themeColor="text1"/>
          <w:sz w:val="25"/>
          <w:szCs w:val="25"/>
        </w:rPr>
        <w:t xml:space="preserve"> 2024, at which time Mother allegedly resided in Belchertown, Massachusetts; and</w:t>
      </w:r>
      <w:r w:rsidR="00512151">
        <w:rPr>
          <w:rFonts w:ascii="Aptos" w:eastAsia="Aptos" w:hAnsi="Aptos" w:cs="Aptos"/>
          <w:color w:val="000000" w:themeColor="text1"/>
          <w:sz w:val="25"/>
          <w:szCs w:val="25"/>
        </w:rPr>
        <w:t xml:space="preserve"> H</w:t>
      </w:r>
      <w:r w:rsidR="002A0A80">
        <w:rPr>
          <w:rFonts w:ascii="Aptos" w:eastAsia="Aptos" w:hAnsi="Aptos" w:cs="Aptos"/>
          <w:color w:val="000000" w:themeColor="text1"/>
          <w:sz w:val="25"/>
          <w:szCs w:val="25"/>
        </w:rPr>
        <w:t>ampden</w:t>
      </w:r>
      <w:r w:rsidR="00B605D1">
        <w:rPr>
          <w:rFonts w:ascii="Aptos" w:eastAsia="Aptos" w:hAnsi="Aptos" w:cs="Aptos"/>
          <w:color w:val="000000" w:themeColor="text1"/>
          <w:sz w:val="25"/>
          <w:szCs w:val="25"/>
        </w:rPr>
        <w:t>-</w:t>
      </w:r>
      <w:r w:rsidR="002A0A80">
        <w:rPr>
          <w:rFonts w:ascii="Aptos" w:eastAsia="Aptos" w:hAnsi="Aptos" w:cs="Aptos"/>
          <w:color w:val="000000" w:themeColor="text1"/>
          <w:sz w:val="25"/>
          <w:szCs w:val="25"/>
        </w:rPr>
        <w:t>Wilbraham subsequently placed Student in a non-DESE approved private day school through its Team process.</w:t>
      </w:r>
      <w:r w:rsidR="00512151">
        <w:rPr>
          <w:rFonts w:ascii="Aptos" w:eastAsia="Aptos" w:hAnsi="Aptos" w:cs="Aptos"/>
          <w:color w:val="000000" w:themeColor="text1"/>
          <w:sz w:val="25"/>
          <w:szCs w:val="25"/>
        </w:rPr>
        <w:t xml:space="preserve"> According to Leominster, pursuant to DESE’s most recent communication, LPS bears no financial or programmatic responsibility for Student</w:t>
      </w:r>
      <w:r w:rsidR="006C4DBA">
        <w:rPr>
          <w:rFonts w:ascii="Aptos" w:eastAsia="Aptos" w:hAnsi="Aptos" w:cs="Aptos"/>
          <w:color w:val="000000" w:themeColor="text1"/>
          <w:sz w:val="25"/>
          <w:szCs w:val="25"/>
        </w:rPr>
        <w:t>, and is therefore not an appropriate party in the instant matter.</w:t>
      </w:r>
    </w:p>
    <w:p w14:paraId="1C9EEC68" w14:textId="79BB380A" w:rsidR="00D643DE" w:rsidRDefault="00512151" w:rsidP="005B0FDE">
      <w:pPr>
        <w:ind w:firstLine="720"/>
        <w:rPr>
          <w:rFonts w:ascii="Aptos" w:hAnsi="Aptos"/>
          <w:sz w:val="25"/>
          <w:szCs w:val="25"/>
        </w:rPr>
      </w:pPr>
      <w:r>
        <w:rPr>
          <w:rFonts w:ascii="Aptos" w:eastAsia="Aptos" w:hAnsi="Aptos" w:cs="Aptos"/>
          <w:color w:val="000000" w:themeColor="text1"/>
          <w:sz w:val="25"/>
          <w:szCs w:val="25"/>
        </w:rPr>
        <w:t xml:space="preserve">Specifically, </w:t>
      </w:r>
      <w:r w:rsidR="00F53236">
        <w:rPr>
          <w:rFonts w:ascii="Aptos" w:eastAsia="Aptos" w:hAnsi="Aptos" w:cs="Aptos"/>
          <w:color w:val="000000" w:themeColor="text1"/>
          <w:sz w:val="25"/>
          <w:szCs w:val="25"/>
        </w:rPr>
        <w:t xml:space="preserve">Leominster asserts that in </w:t>
      </w:r>
      <w:r w:rsidR="002A0A80">
        <w:rPr>
          <w:rFonts w:ascii="Aptos" w:eastAsia="Aptos" w:hAnsi="Aptos" w:cs="Aptos"/>
          <w:color w:val="000000" w:themeColor="text1"/>
          <w:sz w:val="25"/>
          <w:szCs w:val="25"/>
        </w:rPr>
        <w:t>in its First Assignment, DESE reported that there was no adjudicated father for Student, and that at the time Mother’s parental rights were terminated on or about May 21, 2025, she allegedly resided in Avon, Massachusetts. Leominster was not a party to the First Assignment, which included HWRSD, BPS, and Avon only.</w:t>
      </w:r>
      <w:r w:rsidR="00F53236">
        <w:rPr>
          <w:rFonts w:ascii="Aptos" w:eastAsia="Aptos" w:hAnsi="Aptos" w:cs="Aptos"/>
          <w:color w:val="000000" w:themeColor="text1"/>
          <w:sz w:val="25"/>
          <w:szCs w:val="25"/>
        </w:rPr>
        <w:t xml:space="preserve"> DESE’s Second Assignment, on the other hand</w:t>
      </w:r>
      <w:r w:rsidR="00A31A41">
        <w:rPr>
          <w:rFonts w:ascii="Aptos" w:eastAsia="Aptos" w:hAnsi="Aptos" w:cs="Aptos"/>
          <w:color w:val="000000" w:themeColor="text1"/>
          <w:sz w:val="25"/>
          <w:szCs w:val="25"/>
        </w:rPr>
        <w:t xml:space="preserve">, </w:t>
      </w:r>
      <w:r w:rsidR="002E257D">
        <w:rPr>
          <w:rFonts w:ascii="Aptos" w:eastAsia="Aptos" w:hAnsi="Aptos" w:cs="Aptos"/>
          <w:color w:val="000000" w:themeColor="text1"/>
          <w:sz w:val="25"/>
          <w:szCs w:val="25"/>
        </w:rPr>
        <w:t xml:space="preserve">included </w:t>
      </w:r>
      <w:r w:rsidR="002E257D">
        <w:rPr>
          <w:rFonts w:ascii="Aptos" w:eastAsia="Aptos" w:hAnsi="Aptos" w:cs="Aptos"/>
          <w:color w:val="000000" w:themeColor="text1"/>
          <w:sz w:val="25"/>
          <w:szCs w:val="25"/>
        </w:rPr>
        <w:lastRenderedPageBreak/>
        <w:t xml:space="preserve">Hampden-Wilbraham, Belchertown, and Leominster, but not Avon. This assignment </w:t>
      </w:r>
      <w:r w:rsidR="00F53236">
        <w:rPr>
          <w:rFonts w:ascii="Aptos" w:eastAsia="Aptos" w:hAnsi="Aptos" w:cs="Aptos"/>
          <w:color w:val="000000" w:themeColor="text1"/>
          <w:sz w:val="25"/>
          <w:szCs w:val="25"/>
        </w:rPr>
        <w:t xml:space="preserve">reported Mother’s residence and identified a biological father who reportedly resided in Leominster, </w:t>
      </w:r>
      <w:proofErr w:type="gramStart"/>
      <w:r w:rsidR="00F53236">
        <w:rPr>
          <w:rFonts w:ascii="Aptos" w:eastAsia="Aptos" w:hAnsi="Aptos" w:cs="Aptos"/>
          <w:color w:val="000000" w:themeColor="text1"/>
          <w:sz w:val="25"/>
          <w:szCs w:val="25"/>
        </w:rPr>
        <w:t>despite the fact that</w:t>
      </w:r>
      <w:proofErr w:type="gramEnd"/>
      <w:r w:rsidR="00F53236">
        <w:rPr>
          <w:rFonts w:ascii="Aptos" w:eastAsia="Aptos" w:hAnsi="Aptos" w:cs="Aptos"/>
          <w:color w:val="000000" w:themeColor="text1"/>
          <w:sz w:val="25"/>
          <w:szCs w:val="25"/>
        </w:rPr>
        <w:t xml:space="preserve"> there is no adjudicated fath</w:t>
      </w:r>
      <w:r>
        <w:rPr>
          <w:rFonts w:ascii="Aptos" w:eastAsia="Aptos" w:hAnsi="Aptos" w:cs="Aptos"/>
          <w:color w:val="000000" w:themeColor="text1"/>
          <w:sz w:val="25"/>
          <w:szCs w:val="25"/>
        </w:rPr>
        <w:t>e</w:t>
      </w:r>
      <w:r w:rsidR="00F53236">
        <w:rPr>
          <w:rFonts w:ascii="Aptos" w:eastAsia="Aptos" w:hAnsi="Aptos" w:cs="Aptos"/>
          <w:color w:val="000000" w:themeColor="text1"/>
          <w:sz w:val="25"/>
          <w:szCs w:val="25"/>
        </w:rPr>
        <w:t xml:space="preserve">r and, to LPS’s knowledge, no evidence of paternity had been provided. According to Leominster, on October 31, 2025, </w:t>
      </w:r>
      <w:r>
        <w:rPr>
          <w:rFonts w:ascii="Aptos" w:hAnsi="Aptos"/>
          <w:sz w:val="25"/>
          <w:szCs w:val="25"/>
        </w:rPr>
        <w:t>DESE rescinded the Second Assignment it has issued the previous day, be</w:t>
      </w:r>
      <w:r w:rsidR="00AC261A">
        <w:rPr>
          <w:rFonts w:ascii="Aptos" w:hAnsi="Aptos"/>
          <w:sz w:val="25"/>
          <w:szCs w:val="25"/>
        </w:rPr>
        <w:t>c</w:t>
      </w:r>
      <w:r>
        <w:rPr>
          <w:rFonts w:ascii="Aptos" w:hAnsi="Aptos"/>
          <w:sz w:val="25"/>
          <w:szCs w:val="25"/>
        </w:rPr>
        <w:t>ause “the facts needed to support the assignment are neither sufficiently reliable nor sufficiently developed to support the assignment.” DESE explained that it had received conflicting information regarding the relationship between Student and “the individual characterized as her father, who is reported to reside in Leominster,” and that until their relationship is clarified, “the basis upon which to hold Leominster responsible is neither reliable nor developed.” At this time, DESE clarified that the First Assignment</w:t>
      </w:r>
      <w:r w:rsidR="00A31A41">
        <w:rPr>
          <w:rFonts w:ascii="Aptos" w:hAnsi="Aptos"/>
          <w:sz w:val="25"/>
          <w:szCs w:val="25"/>
        </w:rPr>
        <w:t xml:space="preserve"> remains</w:t>
      </w:r>
      <w:r>
        <w:rPr>
          <w:rFonts w:ascii="Aptos" w:hAnsi="Aptos"/>
          <w:sz w:val="25"/>
          <w:szCs w:val="25"/>
        </w:rPr>
        <w:t xml:space="preserve"> Student’s current</w:t>
      </w:r>
      <w:r w:rsidR="00FE3DD9">
        <w:rPr>
          <w:rFonts w:ascii="Aptos" w:hAnsi="Aptos"/>
          <w:sz w:val="25"/>
          <w:szCs w:val="25"/>
        </w:rPr>
        <w:t xml:space="preserve"> LEA</w:t>
      </w:r>
      <w:r>
        <w:rPr>
          <w:rFonts w:ascii="Aptos" w:hAnsi="Aptos"/>
          <w:sz w:val="25"/>
          <w:szCs w:val="25"/>
        </w:rPr>
        <w:t xml:space="preserve"> assignment.</w:t>
      </w:r>
    </w:p>
    <w:p w14:paraId="7FECA376" w14:textId="1BA36C9F" w:rsidR="00A8180E" w:rsidRDefault="006C4DBA" w:rsidP="00A8180E">
      <w:pPr>
        <w:ind w:firstLine="720"/>
        <w:rPr>
          <w:rFonts w:ascii="Aptos" w:hAnsi="Aptos"/>
          <w:sz w:val="25"/>
          <w:szCs w:val="25"/>
        </w:rPr>
      </w:pPr>
      <w:r>
        <w:rPr>
          <w:rFonts w:ascii="Aptos" w:hAnsi="Aptos"/>
          <w:sz w:val="25"/>
          <w:szCs w:val="25"/>
        </w:rPr>
        <w:t>Belchertown</w:t>
      </w:r>
      <w:r w:rsidR="00A31A41">
        <w:rPr>
          <w:rFonts w:ascii="Aptos" w:hAnsi="Aptos"/>
          <w:sz w:val="25"/>
          <w:szCs w:val="25"/>
        </w:rPr>
        <w:t>’s</w:t>
      </w:r>
      <w:r>
        <w:rPr>
          <w:rFonts w:ascii="Aptos" w:hAnsi="Aptos"/>
          <w:sz w:val="25"/>
          <w:szCs w:val="25"/>
        </w:rPr>
        <w:t xml:space="preserve"> </w:t>
      </w:r>
      <w:r>
        <w:rPr>
          <w:rFonts w:ascii="Aptos" w:hAnsi="Aptos"/>
          <w:i/>
          <w:iCs/>
          <w:sz w:val="25"/>
          <w:szCs w:val="25"/>
        </w:rPr>
        <w:t>Opposition</w:t>
      </w:r>
      <w:r w:rsidR="00A31A41">
        <w:rPr>
          <w:rFonts w:ascii="Aptos" w:hAnsi="Aptos"/>
          <w:sz w:val="25"/>
          <w:szCs w:val="25"/>
        </w:rPr>
        <w:t>,</w:t>
      </w:r>
      <w:r>
        <w:rPr>
          <w:rFonts w:ascii="Aptos" w:hAnsi="Aptos"/>
          <w:sz w:val="25"/>
          <w:szCs w:val="25"/>
        </w:rPr>
        <w:t xml:space="preserve"> incorporating by reference the factual background and statement of facts included in its </w:t>
      </w:r>
      <w:r>
        <w:rPr>
          <w:rFonts w:ascii="Aptos" w:hAnsi="Aptos"/>
          <w:i/>
          <w:iCs/>
          <w:sz w:val="25"/>
          <w:szCs w:val="25"/>
        </w:rPr>
        <w:t>Request for Hearing</w:t>
      </w:r>
      <w:r w:rsidR="00A31A41">
        <w:rPr>
          <w:rFonts w:ascii="Aptos" w:hAnsi="Aptos"/>
          <w:sz w:val="25"/>
          <w:szCs w:val="25"/>
        </w:rPr>
        <w:t xml:space="preserve">, </w:t>
      </w:r>
      <w:r w:rsidR="00A8180E">
        <w:rPr>
          <w:rFonts w:ascii="Aptos" w:hAnsi="Aptos"/>
          <w:sz w:val="25"/>
          <w:szCs w:val="25"/>
        </w:rPr>
        <w:t>contends that B</w:t>
      </w:r>
      <w:r w:rsidR="00A31A41">
        <w:rPr>
          <w:rFonts w:ascii="Aptos" w:hAnsi="Aptos"/>
          <w:sz w:val="25"/>
          <w:szCs w:val="25"/>
        </w:rPr>
        <w:t xml:space="preserve">PS </w:t>
      </w:r>
      <w:r w:rsidR="00A8180E">
        <w:rPr>
          <w:rFonts w:ascii="Aptos" w:hAnsi="Aptos"/>
          <w:sz w:val="25"/>
          <w:szCs w:val="25"/>
        </w:rPr>
        <w:t>has raised facts beyond a “speculative level” regarding Leominster’s potential fiscal</w:t>
      </w:r>
      <w:r w:rsidR="00A31A41">
        <w:rPr>
          <w:rFonts w:ascii="Aptos" w:hAnsi="Aptos"/>
          <w:sz w:val="25"/>
          <w:szCs w:val="25"/>
        </w:rPr>
        <w:t xml:space="preserve"> </w:t>
      </w:r>
      <w:r w:rsidR="00A8180E">
        <w:rPr>
          <w:rFonts w:ascii="Aptos" w:hAnsi="Aptos"/>
          <w:sz w:val="25"/>
          <w:szCs w:val="25"/>
        </w:rPr>
        <w:t xml:space="preserve">responsibility for Student’s education – namely, it has stated that Student’s Father possibly resides or did reside in Leominster, Massachusetts; that within the factual record of the matter, DESE at one point found Leominster fiscally responsible due to Father’s residence, citing specific addresses; that </w:t>
      </w:r>
      <w:r w:rsidR="00B605D1">
        <w:rPr>
          <w:rFonts w:ascii="Aptos" w:hAnsi="Aptos"/>
          <w:sz w:val="25"/>
          <w:szCs w:val="25"/>
        </w:rPr>
        <w:t>DCF</w:t>
      </w:r>
      <w:r w:rsidR="00A8180E">
        <w:rPr>
          <w:rFonts w:ascii="Aptos" w:hAnsi="Aptos"/>
          <w:sz w:val="25"/>
          <w:szCs w:val="25"/>
        </w:rPr>
        <w:t xml:space="preserve"> indicated that Father’s rights were terminated in May 2025; and that a public records search and court records regarding Father shows his </w:t>
      </w:r>
      <w:r w:rsidR="0078604C">
        <w:rPr>
          <w:rFonts w:ascii="Aptos" w:hAnsi="Aptos"/>
          <w:sz w:val="25"/>
          <w:szCs w:val="25"/>
        </w:rPr>
        <w:t xml:space="preserve">that his </w:t>
      </w:r>
      <w:r w:rsidR="00A8180E">
        <w:rPr>
          <w:rFonts w:ascii="Aptos" w:hAnsi="Aptos"/>
          <w:sz w:val="25"/>
          <w:szCs w:val="25"/>
        </w:rPr>
        <w:t>address</w:t>
      </w:r>
      <w:r w:rsidR="002E257D">
        <w:rPr>
          <w:rFonts w:ascii="Aptos" w:hAnsi="Aptos"/>
          <w:sz w:val="25"/>
          <w:szCs w:val="25"/>
        </w:rPr>
        <w:t xml:space="preserve"> </w:t>
      </w:r>
      <w:r w:rsidR="0078604C">
        <w:rPr>
          <w:rFonts w:ascii="Aptos" w:hAnsi="Aptos"/>
          <w:sz w:val="25"/>
          <w:szCs w:val="25"/>
        </w:rPr>
        <w:t>during the relevant time was (and remains)</w:t>
      </w:r>
      <w:r w:rsidR="00A8180E">
        <w:rPr>
          <w:rFonts w:ascii="Aptos" w:hAnsi="Aptos"/>
          <w:sz w:val="25"/>
          <w:szCs w:val="25"/>
        </w:rPr>
        <w:t xml:space="preserve"> in Leominster.</w:t>
      </w:r>
    </w:p>
    <w:p w14:paraId="5B337956" w14:textId="37DFC919" w:rsidR="00AE4610" w:rsidRPr="00AE4610" w:rsidRDefault="00AE4610" w:rsidP="00A8180E">
      <w:pPr>
        <w:ind w:firstLine="720"/>
        <w:rPr>
          <w:rFonts w:ascii="Aptos" w:hAnsi="Aptos"/>
          <w:sz w:val="25"/>
          <w:szCs w:val="25"/>
        </w:rPr>
      </w:pPr>
      <w:r>
        <w:rPr>
          <w:rFonts w:ascii="Aptos" w:hAnsi="Aptos"/>
          <w:sz w:val="25"/>
          <w:szCs w:val="25"/>
        </w:rPr>
        <w:t>DESE subsequently provided discovery to all parties. On D</w:t>
      </w:r>
      <w:r w:rsidR="00A31A41">
        <w:rPr>
          <w:rFonts w:ascii="Aptos" w:hAnsi="Aptos"/>
          <w:sz w:val="25"/>
          <w:szCs w:val="25"/>
        </w:rPr>
        <w:t xml:space="preserve">ecember 17, 2025, Belchertown filed a supplemental letter, noting that as the discovery DESE had produced did not include any documents clarifying the identity of Student’s Father, the email provided by HWRSD to the Department (which was itself based on information Hampden-Wilbraham had received from DCF) provided evidence beyond a speculative level that Student did have a father who resided in Leominster. On </w:t>
      </w:r>
      <w:r w:rsidR="00AE4F06">
        <w:rPr>
          <w:rFonts w:ascii="Aptos" w:hAnsi="Aptos"/>
          <w:sz w:val="25"/>
          <w:szCs w:val="25"/>
        </w:rPr>
        <w:t>D</w:t>
      </w:r>
      <w:r>
        <w:rPr>
          <w:rFonts w:ascii="Aptos" w:hAnsi="Aptos"/>
          <w:sz w:val="25"/>
          <w:szCs w:val="25"/>
        </w:rPr>
        <w:t xml:space="preserve">ecember 19, 2025, </w:t>
      </w:r>
      <w:r w:rsidR="00AE4F06">
        <w:rPr>
          <w:rFonts w:ascii="Aptos" w:hAnsi="Aptos"/>
          <w:sz w:val="25"/>
          <w:szCs w:val="25"/>
        </w:rPr>
        <w:t xml:space="preserve">Leominster </w:t>
      </w:r>
      <w:r>
        <w:rPr>
          <w:rFonts w:ascii="Aptos" w:hAnsi="Aptos"/>
          <w:sz w:val="25"/>
          <w:szCs w:val="25"/>
        </w:rPr>
        <w:t>filed</w:t>
      </w:r>
      <w:r w:rsidR="00AE4F06">
        <w:rPr>
          <w:rFonts w:ascii="Aptos" w:hAnsi="Aptos"/>
          <w:sz w:val="25"/>
          <w:szCs w:val="25"/>
        </w:rPr>
        <w:t xml:space="preserve"> its own</w:t>
      </w:r>
      <w:r>
        <w:rPr>
          <w:rFonts w:ascii="Aptos" w:hAnsi="Aptos"/>
          <w:sz w:val="25"/>
          <w:szCs w:val="25"/>
        </w:rPr>
        <w:t xml:space="preserve"> supplemental letter, </w:t>
      </w:r>
      <w:r w:rsidR="00AE4F06">
        <w:rPr>
          <w:rFonts w:ascii="Aptos" w:hAnsi="Aptos"/>
          <w:sz w:val="25"/>
          <w:szCs w:val="25"/>
        </w:rPr>
        <w:t>contending</w:t>
      </w:r>
      <w:r>
        <w:rPr>
          <w:rFonts w:ascii="Aptos" w:hAnsi="Aptos"/>
          <w:sz w:val="25"/>
          <w:szCs w:val="25"/>
        </w:rPr>
        <w:t xml:space="preserve"> that th</w:t>
      </w:r>
      <w:r w:rsidR="00AE4F06">
        <w:rPr>
          <w:rFonts w:ascii="Aptos" w:hAnsi="Aptos"/>
          <w:sz w:val="25"/>
          <w:szCs w:val="25"/>
        </w:rPr>
        <w:t xml:space="preserve">e same discovery </w:t>
      </w:r>
      <w:proofErr w:type="gramStart"/>
      <w:r w:rsidR="00AE4F06">
        <w:rPr>
          <w:rFonts w:ascii="Aptos" w:hAnsi="Aptos"/>
          <w:sz w:val="25"/>
          <w:szCs w:val="25"/>
        </w:rPr>
        <w:t xml:space="preserve">actually </w:t>
      </w:r>
      <w:r>
        <w:rPr>
          <w:rFonts w:ascii="Aptos" w:hAnsi="Aptos"/>
          <w:sz w:val="25"/>
          <w:szCs w:val="25"/>
        </w:rPr>
        <w:t>confirms</w:t>
      </w:r>
      <w:proofErr w:type="gramEnd"/>
      <w:r>
        <w:rPr>
          <w:rFonts w:ascii="Aptos" w:hAnsi="Aptos"/>
          <w:sz w:val="25"/>
          <w:szCs w:val="25"/>
        </w:rPr>
        <w:t xml:space="preserve"> the absence of evidence to verify the identity of Student’s biological father. On December 22, 2025, </w:t>
      </w:r>
      <w:r w:rsidR="00AE4F06">
        <w:rPr>
          <w:rFonts w:ascii="Aptos" w:hAnsi="Aptos"/>
          <w:sz w:val="25"/>
          <w:szCs w:val="25"/>
        </w:rPr>
        <w:t>Belchertown</w:t>
      </w:r>
      <w:r>
        <w:rPr>
          <w:rFonts w:ascii="Aptos" w:hAnsi="Aptos"/>
          <w:sz w:val="25"/>
          <w:szCs w:val="25"/>
        </w:rPr>
        <w:t xml:space="preserve"> filed a letter withdrawing its previous opposition to Leominster’s </w:t>
      </w:r>
      <w:r>
        <w:rPr>
          <w:rFonts w:ascii="Aptos" w:hAnsi="Aptos"/>
          <w:i/>
          <w:iCs/>
          <w:sz w:val="25"/>
          <w:szCs w:val="25"/>
        </w:rPr>
        <w:t>Motion</w:t>
      </w:r>
      <w:r>
        <w:rPr>
          <w:rFonts w:ascii="Aptos" w:hAnsi="Aptos"/>
          <w:sz w:val="25"/>
          <w:szCs w:val="25"/>
        </w:rPr>
        <w:t xml:space="preserve"> </w:t>
      </w:r>
      <w:proofErr w:type="gramStart"/>
      <w:r>
        <w:rPr>
          <w:rFonts w:ascii="Aptos" w:hAnsi="Aptos"/>
          <w:sz w:val="25"/>
          <w:szCs w:val="25"/>
        </w:rPr>
        <w:t>on the basis of</w:t>
      </w:r>
      <w:proofErr w:type="gramEnd"/>
      <w:r>
        <w:rPr>
          <w:rFonts w:ascii="Aptos" w:hAnsi="Aptos"/>
          <w:sz w:val="25"/>
          <w:szCs w:val="25"/>
        </w:rPr>
        <w:t xml:space="preserve"> the information produced by the Department</w:t>
      </w:r>
      <w:r w:rsidR="00AE4F06">
        <w:rPr>
          <w:rFonts w:ascii="Aptos" w:hAnsi="Aptos"/>
          <w:sz w:val="25"/>
          <w:szCs w:val="25"/>
        </w:rPr>
        <w:t xml:space="preserve"> on December 19, 2025</w:t>
      </w:r>
      <w:r>
        <w:rPr>
          <w:rFonts w:ascii="Aptos" w:hAnsi="Aptos"/>
          <w:sz w:val="25"/>
          <w:szCs w:val="25"/>
        </w:rPr>
        <w:t>.</w:t>
      </w:r>
    </w:p>
    <w:p w14:paraId="6C338B1A" w14:textId="727C10B9" w:rsidR="00AE4610" w:rsidRDefault="00F87539" w:rsidP="00FE3DD9">
      <w:pPr>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 xml:space="preserve">For the reasons set forth below, </w:t>
      </w:r>
      <w:r w:rsidR="00AE4610">
        <w:rPr>
          <w:rFonts w:ascii="Aptos" w:eastAsia="Aptos" w:hAnsi="Aptos" w:cs="Aptos"/>
          <w:color w:val="000000" w:themeColor="text1"/>
          <w:sz w:val="25"/>
          <w:szCs w:val="25"/>
        </w:rPr>
        <w:t>Leominster</w:t>
      </w:r>
      <w:r>
        <w:rPr>
          <w:rFonts w:ascii="Aptos" w:eastAsia="Aptos" w:hAnsi="Aptos" w:cs="Aptos"/>
          <w:color w:val="000000" w:themeColor="text1"/>
          <w:sz w:val="25"/>
          <w:szCs w:val="25"/>
        </w:rPr>
        <w:t xml:space="preserve">’s </w:t>
      </w:r>
      <w:r w:rsidRPr="00F87539">
        <w:rPr>
          <w:rFonts w:ascii="Aptos" w:eastAsia="Aptos" w:hAnsi="Aptos" w:cs="Aptos"/>
          <w:i/>
          <w:iCs/>
          <w:color w:val="000000" w:themeColor="text1"/>
          <w:sz w:val="25"/>
          <w:szCs w:val="25"/>
        </w:rPr>
        <w:t>Motion</w:t>
      </w:r>
      <w:r w:rsidR="002E1BC7">
        <w:rPr>
          <w:rFonts w:ascii="Aptos" w:eastAsia="Aptos" w:hAnsi="Aptos" w:cs="Aptos"/>
          <w:i/>
          <w:iCs/>
          <w:color w:val="000000" w:themeColor="text1"/>
          <w:sz w:val="25"/>
          <w:szCs w:val="25"/>
        </w:rPr>
        <w:t xml:space="preserve"> to </w:t>
      </w:r>
      <w:r w:rsidR="00AE4610">
        <w:rPr>
          <w:rFonts w:ascii="Aptos" w:eastAsia="Aptos" w:hAnsi="Aptos" w:cs="Aptos"/>
          <w:i/>
          <w:iCs/>
          <w:color w:val="000000" w:themeColor="text1"/>
          <w:sz w:val="25"/>
          <w:szCs w:val="25"/>
        </w:rPr>
        <w:t>Dismiss</w:t>
      </w:r>
      <w:r w:rsidR="002E1BC7">
        <w:rPr>
          <w:rFonts w:ascii="Aptos" w:eastAsia="Aptos" w:hAnsi="Aptos" w:cs="Aptos"/>
          <w:i/>
          <w:iCs/>
          <w:color w:val="000000" w:themeColor="text1"/>
          <w:sz w:val="25"/>
          <w:szCs w:val="25"/>
        </w:rPr>
        <w:t xml:space="preserve"> </w:t>
      </w:r>
      <w:r>
        <w:rPr>
          <w:rFonts w:ascii="Aptos" w:eastAsia="Aptos" w:hAnsi="Aptos" w:cs="Aptos"/>
          <w:color w:val="000000" w:themeColor="text1"/>
          <w:sz w:val="25"/>
          <w:szCs w:val="25"/>
        </w:rPr>
        <w:t xml:space="preserve">is hereby ALLOWED. </w:t>
      </w:r>
    </w:p>
    <w:p w14:paraId="707688CD" w14:textId="77777777" w:rsidR="00FE3DD9" w:rsidRPr="00A621AF" w:rsidRDefault="00FE3DD9" w:rsidP="00FE3DD9">
      <w:pPr>
        <w:ind w:firstLine="720"/>
        <w:rPr>
          <w:rFonts w:ascii="Aptos" w:eastAsia="Aptos" w:hAnsi="Aptos" w:cs="Aptos"/>
          <w:color w:val="000000" w:themeColor="text1"/>
          <w:sz w:val="25"/>
          <w:szCs w:val="25"/>
        </w:rPr>
      </w:pPr>
    </w:p>
    <w:p w14:paraId="1A8AF282" w14:textId="60EDFB06" w:rsidR="00AE4610" w:rsidRPr="00AE4610" w:rsidRDefault="004537A2" w:rsidP="00AE4610">
      <w:pPr>
        <w:spacing w:after="0" w:line="240" w:lineRule="auto"/>
        <w:rPr>
          <w:rFonts w:ascii="Aptos" w:eastAsia="Aptos" w:hAnsi="Aptos" w:cs="Aptos"/>
          <w:color w:val="000000" w:themeColor="text1"/>
          <w:sz w:val="25"/>
          <w:szCs w:val="25"/>
          <w:u w:val="single"/>
        </w:rPr>
      </w:pPr>
      <w:r w:rsidRPr="00AE4610">
        <w:rPr>
          <w:rFonts w:ascii="Aptos" w:eastAsia="Aptos" w:hAnsi="Aptos" w:cs="Aptos"/>
          <w:color w:val="000000" w:themeColor="text1"/>
          <w:sz w:val="25"/>
          <w:szCs w:val="25"/>
          <w:u w:val="single"/>
        </w:rPr>
        <w:lastRenderedPageBreak/>
        <w:t>LEGAL STANDARDS</w:t>
      </w:r>
      <w:r w:rsidR="007D08EE">
        <w:rPr>
          <w:rFonts w:ascii="Aptos" w:eastAsia="Aptos" w:hAnsi="Aptos" w:cs="Aptos"/>
          <w:color w:val="000000" w:themeColor="text1"/>
          <w:sz w:val="25"/>
          <w:szCs w:val="25"/>
        </w:rPr>
        <w:t xml:space="preserve"> </w:t>
      </w:r>
    </w:p>
    <w:p w14:paraId="390C44EE" w14:textId="77777777" w:rsidR="00AE4610" w:rsidRPr="00AE4610" w:rsidRDefault="00AE4610" w:rsidP="00AE4610">
      <w:pPr>
        <w:spacing w:after="0" w:line="240" w:lineRule="auto"/>
        <w:rPr>
          <w:rFonts w:ascii="Aptos" w:eastAsia="Aptos" w:hAnsi="Aptos" w:cs="Aptos"/>
          <w:color w:val="000000" w:themeColor="text1"/>
          <w:sz w:val="25"/>
          <w:szCs w:val="25"/>
          <w:u w:val="single"/>
        </w:rPr>
      </w:pPr>
    </w:p>
    <w:p w14:paraId="3C1CFFF2" w14:textId="5A740405" w:rsidR="00FF3EE1" w:rsidRPr="00B605D1" w:rsidRDefault="00AE4610" w:rsidP="00B605D1">
      <w:pPr>
        <w:pStyle w:val="ListParagraph"/>
        <w:numPr>
          <w:ilvl w:val="0"/>
          <w:numId w:val="6"/>
        </w:numPr>
        <w:spacing w:after="0" w:line="240" w:lineRule="auto"/>
        <w:rPr>
          <w:rFonts w:ascii="Aptos" w:eastAsia="Aptos" w:hAnsi="Aptos" w:cs="Aptos"/>
          <w:color w:val="000000" w:themeColor="text1"/>
          <w:sz w:val="25"/>
          <w:szCs w:val="25"/>
          <w:u w:val="single"/>
        </w:rPr>
      </w:pPr>
      <w:r w:rsidRPr="00AE4610">
        <w:rPr>
          <w:rFonts w:ascii="Aptos" w:hAnsi="Aptos" w:cs="Times New Roman"/>
          <w:sz w:val="25"/>
          <w:szCs w:val="25"/>
        </w:rPr>
        <w:tab/>
      </w:r>
      <w:r w:rsidRPr="00AE4610">
        <w:rPr>
          <w:rFonts w:ascii="Aptos" w:hAnsi="Aptos" w:cs="Times New Roman"/>
          <w:i/>
          <w:iCs/>
          <w:sz w:val="25"/>
          <w:szCs w:val="25"/>
        </w:rPr>
        <w:t>Motion to Dismiss</w:t>
      </w:r>
      <w:r w:rsidR="00FF3EE1" w:rsidRPr="00AE4610">
        <w:rPr>
          <w:rFonts w:ascii="Aptos" w:hAnsi="Aptos" w:cs="Times New Roman"/>
          <w:sz w:val="25"/>
          <w:szCs w:val="25"/>
        </w:rPr>
        <w:tab/>
      </w:r>
    </w:p>
    <w:p w14:paraId="016CF883" w14:textId="226A5733" w:rsidR="00AC261A" w:rsidRPr="009F2251" w:rsidRDefault="00AC261A" w:rsidP="00AC261A">
      <w:pPr>
        <w:spacing w:before="240"/>
        <w:ind w:firstLine="720"/>
        <w:rPr>
          <w:rFonts w:ascii="Aptos" w:hAnsi="Aptos" w:cs="Times New Roman"/>
          <w:sz w:val="25"/>
          <w:szCs w:val="25"/>
        </w:rPr>
      </w:pPr>
      <w:r w:rsidRPr="009F2251">
        <w:rPr>
          <w:rFonts w:ascii="Aptos" w:hAnsi="Aptos" w:cs="Times New Roman"/>
          <w:sz w:val="25"/>
          <w:szCs w:val="25"/>
        </w:rPr>
        <w:t xml:space="preserve">Pursuant to the </w:t>
      </w:r>
      <w:r w:rsidRPr="009F2251">
        <w:rPr>
          <w:rFonts w:ascii="Aptos" w:hAnsi="Aptos" w:cs="Times New Roman"/>
          <w:i/>
          <w:sz w:val="25"/>
          <w:szCs w:val="25"/>
        </w:rPr>
        <w:t>Standard Adjudicatory Rules of Practice and Procedure</w:t>
      </w:r>
      <w:r w:rsidRPr="009F2251">
        <w:rPr>
          <w:rFonts w:ascii="Aptos" w:hAnsi="Aptos" w:cs="Times New Roman"/>
          <w:sz w:val="25"/>
          <w:szCs w:val="25"/>
        </w:rPr>
        <w:t xml:space="preserve">, 801 CMR 1.01(7)(g)(3) and Rule XVIIB of the BSEA </w:t>
      </w:r>
      <w:r w:rsidRPr="009F2251">
        <w:rPr>
          <w:rFonts w:ascii="Aptos" w:hAnsi="Aptos" w:cs="Times New Roman"/>
          <w:i/>
          <w:sz w:val="25"/>
          <w:szCs w:val="25"/>
        </w:rPr>
        <w:t>Hearing Rules</w:t>
      </w:r>
      <w:r>
        <w:rPr>
          <w:rFonts w:ascii="Aptos" w:hAnsi="Aptos" w:cs="Times New Roman"/>
          <w:i/>
          <w:sz w:val="25"/>
          <w:szCs w:val="25"/>
        </w:rPr>
        <w:t xml:space="preserve"> for Special Education Appeals </w:t>
      </w:r>
      <w:r>
        <w:rPr>
          <w:rFonts w:ascii="Aptos" w:hAnsi="Aptos" w:cs="Times New Roman"/>
          <w:iCs/>
          <w:sz w:val="25"/>
          <w:szCs w:val="25"/>
        </w:rPr>
        <w:t xml:space="preserve">(BSEA </w:t>
      </w:r>
      <w:r>
        <w:rPr>
          <w:rFonts w:ascii="Aptos" w:hAnsi="Aptos" w:cs="Times New Roman"/>
          <w:i/>
          <w:sz w:val="25"/>
          <w:szCs w:val="25"/>
        </w:rPr>
        <w:t>Hearing Rules</w:t>
      </w:r>
      <w:r>
        <w:rPr>
          <w:rFonts w:ascii="Aptos" w:hAnsi="Aptos" w:cs="Times New Roman"/>
          <w:iCs/>
          <w:sz w:val="25"/>
          <w:szCs w:val="25"/>
        </w:rPr>
        <w:t>)</w:t>
      </w:r>
      <w:r w:rsidRPr="009F2251">
        <w:rPr>
          <w:rFonts w:ascii="Aptos" w:hAnsi="Aptos" w:cs="Times New Roman"/>
          <w:sz w:val="25"/>
          <w:szCs w:val="25"/>
        </w:rPr>
        <w:t>, a hearing officer may allow a motion to dismiss if the party requesting the appeal fails to state a claim on which relief can be granted.</w:t>
      </w:r>
      <w:r w:rsidR="003031B0">
        <w:rPr>
          <w:rStyle w:val="FootnoteReference"/>
          <w:rFonts w:ascii="Aptos" w:hAnsi="Aptos" w:cs="Times New Roman"/>
          <w:sz w:val="25"/>
          <w:szCs w:val="25"/>
        </w:rPr>
        <w:footnoteReference w:id="3"/>
      </w:r>
      <w:r w:rsidRPr="009F2251">
        <w:rPr>
          <w:rFonts w:ascii="Aptos" w:hAnsi="Aptos" w:cs="Times New Roman"/>
          <w:sz w:val="25"/>
          <w:szCs w:val="25"/>
        </w:rPr>
        <w:t xml:space="preserve"> Specifically, what is required to survive a motion to dismiss “are factual ‘allegations plausibly suggesting (not merely consistent with)’ an entitlement to relief.”</w:t>
      </w:r>
      <w:r w:rsidRPr="009F2251">
        <w:rPr>
          <w:rStyle w:val="FootnoteReference"/>
          <w:rFonts w:ascii="Aptos" w:hAnsi="Aptos" w:cs="Times New Roman"/>
          <w:sz w:val="25"/>
          <w:szCs w:val="25"/>
        </w:rPr>
        <w:footnoteReference w:id="4"/>
      </w:r>
      <w:r w:rsidRPr="009F2251">
        <w:rPr>
          <w:rFonts w:ascii="Aptos" w:hAnsi="Aptos" w:cs="Times New Roman"/>
          <w:sz w:val="25"/>
          <w:szCs w:val="25"/>
        </w:rPr>
        <w:t xml:space="preserve"> In evaluating the complaint, the hearing officer must take as true “the allegations of the complaint, as well as such inferences as may be drawn therefrom in the plaintiff’s favor.”</w:t>
      </w:r>
      <w:r w:rsidRPr="009F2251">
        <w:rPr>
          <w:rStyle w:val="FootnoteReference"/>
          <w:rFonts w:ascii="Aptos" w:hAnsi="Aptos" w:cs="Times New Roman"/>
          <w:sz w:val="25"/>
          <w:szCs w:val="25"/>
        </w:rPr>
        <w:footnoteReference w:id="5"/>
      </w:r>
      <w:r w:rsidRPr="009F2251">
        <w:rPr>
          <w:rFonts w:ascii="Aptos" w:hAnsi="Aptos"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Pr>
          <w:rFonts w:ascii="Aptos" w:hAnsi="Aptos" w:cs="Times New Roman"/>
          <w:sz w:val="25"/>
          <w:szCs w:val="25"/>
        </w:rPr>
        <w:t xml:space="preserve"> .</w:t>
      </w:r>
      <w:r w:rsidRPr="009F2251">
        <w:rPr>
          <w:rFonts w:ascii="Aptos" w:hAnsi="Aptos" w:cs="Times New Roman"/>
          <w:sz w:val="25"/>
          <w:szCs w:val="25"/>
        </w:rPr>
        <w:t>”</w:t>
      </w:r>
      <w:r w:rsidRPr="009F2251">
        <w:rPr>
          <w:rStyle w:val="FootnoteReference"/>
          <w:rFonts w:ascii="Aptos" w:hAnsi="Aptos" w:cs="Times New Roman"/>
          <w:sz w:val="25"/>
          <w:szCs w:val="25"/>
        </w:rPr>
        <w:footnoteReference w:id="6"/>
      </w:r>
      <w:r w:rsidRPr="009F2251">
        <w:rPr>
          <w:rFonts w:ascii="Aptos" w:hAnsi="Aptos" w:cs="Times New Roman"/>
          <w:sz w:val="25"/>
          <w:szCs w:val="25"/>
        </w:rPr>
        <w:t xml:space="preserve"> </w:t>
      </w:r>
    </w:p>
    <w:p w14:paraId="4FDF1D51" w14:textId="5409AC13" w:rsidR="007D08EE" w:rsidRDefault="00AC261A" w:rsidP="003031B0">
      <w:pPr>
        <w:ind w:firstLine="720"/>
        <w:rPr>
          <w:rFonts w:ascii="Aptos" w:hAnsi="Aptos" w:cs="Times New Roman"/>
          <w:sz w:val="25"/>
          <w:szCs w:val="25"/>
        </w:rPr>
      </w:pPr>
      <w:r>
        <w:rPr>
          <w:rFonts w:ascii="Aptos" w:hAnsi="Aptos" w:cs="Times New Roman"/>
          <w:sz w:val="25"/>
          <w:szCs w:val="25"/>
        </w:rPr>
        <w:t>Where one party to</w:t>
      </w:r>
      <w:r w:rsidR="00AE4F06">
        <w:rPr>
          <w:rFonts w:ascii="Aptos" w:hAnsi="Aptos" w:cs="Times New Roman"/>
          <w:sz w:val="25"/>
          <w:szCs w:val="25"/>
        </w:rPr>
        <w:t xml:space="preserve"> a</w:t>
      </w:r>
      <w:r>
        <w:rPr>
          <w:rFonts w:ascii="Aptos" w:hAnsi="Aptos" w:cs="Times New Roman"/>
          <w:sz w:val="25"/>
          <w:szCs w:val="25"/>
        </w:rPr>
        <w:t xml:space="preserve"> BSEA matter files a motion to </w:t>
      </w:r>
      <w:r w:rsidR="0078604C">
        <w:rPr>
          <w:rFonts w:ascii="Aptos" w:hAnsi="Aptos" w:cs="Times New Roman"/>
          <w:sz w:val="25"/>
          <w:szCs w:val="25"/>
        </w:rPr>
        <w:t xml:space="preserve">be </w:t>
      </w:r>
      <w:r>
        <w:rPr>
          <w:rFonts w:ascii="Aptos" w:hAnsi="Aptos" w:cs="Times New Roman"/>
          <w:sz w:val="25"/>
          <w:szCs w:val="25"/>
        </w:rPr>
        <w:t>dismiss</w:t>
      </w:r>
      <w:r w:rsidR="0078604C">
        <w:rPr>
          <w:rFonts w:ascii="Aptos" w:hAnsi="Aptos" w:cs="Times New Roman"/>
          <w:sz w:val="25"/>
          <w:szCs w:val="25"/>
        </w:rPr>
        <w:t>ed</w:t>
      </w:r>
      <w:r>
        <w:rPr>
          <w:rFonts w:ascii="Aptos" w:hAnsi="Aptos" w:cs="Times New Roman"/>
          <w:sz w:val="25"/>
          <w:szCs w:val="25"/>
        </w:rPr>
        <w:t xml:space="preserve"> from the proceedings,</w:t>
      </w:r>
      <w:r w:rsidR="003031B0">
        <w:rPr>
          <w:rFonts w:ascii="Aptos" w:hAnsi="Aptos" w:cs="Times New Roman"/>
          <w:sz w:val="25"/>
          <w:szCs w:val="25"/>
        </w:rPr>
        <w:t xml:space="preserve"> as opposed to a motion to dismiss the entirety of the complaint,</w:t>
      </w:r>
      <w:r>
        <w:rPr>
          <w:rFonts w:ascii="Aptos" w:hAnsi="Aptos" w:cs="Times New Roman"/>
          <w:sz w:val="25"/>
          <w:szCs w:val="25"/>
        </w:rPr>
        <w:t xml:space="preserve"> the analysis turns on whether the complaint plausibly suggests an entitlement to relief from that party.</w:t>
      </w:r>
      <w:r>
        <w:rPr>
          <w:rStyle w:val="FootnoteReference"/>
          <w:rFonts w:ascii="Aptos" w:hAnsi="Aptos" w:cs="Times New Roman"/>
          <w:sz w:val="25"/>
          <w:szCs w:val="25"/>
        </w:rPr>
        <w:footnoteReference w:id="7"/>
      </w:r>
      <w:r>
        <w:rPr>
          <w:rFonts w:ascii="Aptos" w:hAnsi="Aptos" w:cs="Times New Roman"/>
          <w:sz w:val="25"/>
          <w:szCs w:val="25"/>
        </w:rPr>
        <w:t xml:space="preserve"> </w:t>
      </w:r>
      <w:r w:rsidR="00AE4F06">
        <w:rPr>
          <w:rFonts w:ascii="Aptos" w:hAnsi="Aptos" w:cs="Times New Roman"/>
          <w:sz w:val="25"/>
          <w:szCs w:val="25"/>
        </w:rPr>
        <w:t>In the instant matter, th</w:t>
      </w:r>
      <w:r w:rsidR="007D08EE">
        <w:rPr>
          <w:rFonts w:ascii="Aptos" w:hAnsi="Aptos" w:cs="Times New Roman"/>
          <w:sz w:val="25"/>
          <w:szCs w:val="25"/>
        </w:rPr>
        <w:t>is</w:t>
      </w:r>
      <w:r w:rsidR="00FF3EE1" w:rsidRPr="00AE4610">
        <w:rPr>
          <w:rFonts w:ascii="Aptos" w:hAnsi="Aptos" w:cs="Times New Roman"/>
          <w:sz w:val="25"/>
          <w:szCs w:val="25"/>
        </w:rPr>
        <w:t xml:space="preserve"> requires an assessment of whether </w:t>
      </w:r>
      <w:r w:rsidR="007D08EE">
        <w:rPr>
          <w:rFonts w:ascii="Aptos" w:hAnsi="Aptos" w:cs="Times New Roman"/>
          <w:sz w:val="25"/>
          <w:szCs w:val="25"/>
        </w:rPr>
        <w:t>Leominster</w:t>
      </w:r>
      <w:r w:rsidR="00FF3EE1" w:rsidRPr="00AE4610">
        <w:rPr>
          <w:rFonts w:ascii="Aptos" w:hAnsi="Aptos" w:cs="Times New Roman"/>
          <w:sz w:val="25"/>
          <w:szCs w:val="25"/>
        </w:rPr>
        <w:t xml:space="preserve"> is properly before the BSEA as a party at this time. For this reason, although </w:t>
      </w:r>
      <w:r w:rsidR="007D08EE">
        <w:rPr>
          <w:rFonts w:ascii="Aptos" w:hAnsi="Aptos" w:cs="Times New Roman"/>
          <w:sz w:val="25"/>
          <w:szCs w:val="25"/>
        </w:rPr>
        <w:t>Belchertown</w:t>
      </w:r>
      <w:r w:rsidR="00FF3EE1" w:rsidRPr="00AE4610">
        <w:rPr>
          <w:rFonts w:ascii="Aptos" w:hAnsi="Aptos" w:cs="Times New Roman"/>
          <w:sz w:val="25"/>
          <w:szCs w:val="25"/>
        </w:rPr>
        <w:t xml:space="preserve"> initially filed its </w:t>
      </w:r>
      <w:r w:rsidR="0078604C">
        <w:rPr>
          <w:rFonts w:ascii="Aptos" w:hAnsi="Aptos" w:cs="Times New Roman"/>
          <w:i/>
          <w:iCs/>
          <w:sz w:val="25"/>
          <w:szCs w:val="25"/>
        </w:rPr>
        <w:t>H</w:t>
      </w:r>
      <w:r w:rsidR="00FF3EE1" w:rsidRPr="0078604C">
        <w:rPr>
          <w:rFonts w:ascii="Aptos" w:hAnsi="Aptos" w:cs="Times New Roman"/>
          <w:i/>
          <w:iCs/>
          <w:sz w:val="25"/>
          <w:szCs w:val="25"/>
        </w:rPr>
        <w:t>earing</w:t>
      </w:r>
      <w:r w:rsidR="00FF3EE1" w:rsidRPr="00AE4610">
        <w:rPr>
          <w:rFonts w:ascii="Aptos" w:hAnsi="Aptos" w:cs="Times New Roman"/>
          <w:sz w:val="25"/>
          <w:szCs w:val="25"/>
        </w:rPr>
        <w:t xml:space="preserve"> </w:t>
      </w:r>
      <w:r w:rsidR="0078604C" w:rsidRPr="0078604C">
        <w:rPr>
          <w:rFonts w:ascii="Aptos" w:hAnsi="Aptos" w:cs="Times New Roman"/>
          <w:i/>
          <w:iCs/>
          <w:sz w:val="25"/>
          <w:szCs w:val="25"/>
        </w:rPr>
        <w:t>R</w:t>
      </w:r>
      <w:r w:rsidR="00FF3EE1" w:rsidRPr="0078604C">
        <w:rPr>
          <w:rFonts w:ascii="Aptos" w:hAnsi="Aptos" w:cs="Times New Roman"/>
          <w:i/>
          <w:iCs/>
          <w:sz w:val="25"/>
          <w:szCs w:val="25"/>
        </w:rPr>
        <w:t>equest</w:t>
      </w:r>
      <w:r w:rsidR="00FF3EE1" w:rsidRPr="00AE4610">
        <w:rPr>
          <w:rFonts w:ascii="Aptos" w:hAnsi="Aptos" w:cs="Times New Roman"/>
          <w:sz w:val="25"/>
          <w:szCs w:val="25"/>
        </w:rPr>
        <w:t xml:space="preserve"> against LPS, </w:t>
      </w:r>
      <w:r w:rsidR="007D08EE">
        <w:rPr>
          <w:rFonts w:ascii="Aptos" w:hAnsi="Aptos" w:cs="Times New Roman"/>
          <w:sz w:val="25"/>
          <w:szCs w:val="25"/>
        </w:rPr>
        <w:t xml:space="preserve">Avon, HWRSD, </w:t>
      </w:r>
      <w:r w:rsidR="00FF3EE1" w:rsidRPr="00AE4610">
        <w:rPr>
          <w:rFonts w:ascii="Aptos" w:hAnsi="Aptos" w:cs="Times New Roman"/>
          <w:sz w:val="25"/>
          <w:szCs w:val="25"/>
        </w:rPr>
        <w:t xml:space="preserve">and DESE, the outcome </w:t>
      </w:r>
      <w:r w:rsidR="00FE3DD9">
        <w:rPr>
          <w:rFonts w:ascii="Aptos" w:hAnsi="Aptos" w:cs="Times New Roman"/>
          <w:sz w:val="25"/>
          <w:szCs w:val="25"/>
        </w:rPr>
        <w:t xml:space="preserve">of Leominster’s </w:t>
      </w:r>
      <w:r w:rsidR="00FE3DD9">
        <w:rPr>
          <w:rFonts w:ascii="Aptos" w:hAnsi="Aptos" w:cs="Times New Roman"/>
          <w:i/>
          <w:iCs/>
          <w:sz w:val="25"/>
          <w:szCs w:val="25"/>
        </w:rPr>
        <w:t xml:space="preserve">Motion to Dismiss </w:t>
      </w:r>
      <w:r w:rsidR="00FF3EE1" w:rsidRPr="00AE4610">
        <w:rPr>
          <w:rFonts w:ascii="Aptos" w:hAnsi="Aptos" w:cs="Times New Roman"/>
          <w:sz w:val="25"/>
          <w:szCs w:val="25"/>
        </w:rPr>
        <w:t xml:space="preserve">will be governed by the rule for joinder of additional parties. </w:t>
      </w:r>
    </w:p>
    <w:p w14:paraId="25694BA7" w14:textId="20C55FDD" w:rsidR="007D08EE" w:rsidRPr="007D08EE" w:rsidRDefault="007D08EE" w:rsidP="007D08EE">
      <w:pPr>
        <w:pStyle w:val="ListParagraph"/>
        <w:numPr>
          <w:ilvl w:val="0"/>
          <w:numId w:val="6"/>
        </w:numPr>
        <w:rPr>
          <w:rFonts w:ascii="Aptos" w:hAnsi="Aptos" w:cs="Times New Roman"/>
          <w:i/>
          <w:iCs/>
          <w:sz w:val="25"/>
          <w:szCs w:val="25"/>
        </w:rPr>
      </w:pPr>
      <w:r w:rsidRPr="007D08EE">
        <w:rPr>
          <w:rFonts w:ascii="Aptos" w:hAnsi="Aptos" w:cs="Times New Roman"/>
          <w:i/>
          <w:iCs/>
          <w:sz w:val="25"/>
          <w:szCs w:val="25"/>
        </w:rPr>
        <w:t>Joinder</w:t>
      </w:r>
    </w:p>
    <w:p w14:paraId="2084D2BD" w14:textId="4A168F8B" w:rsidR="00FF3EE1" w:rsidRPr="007D08EE" w:rsidRDefault="007D08EE" w:rsidP="007D08EE">
      <w:pPr>
        <w:ind w:firstLine="720"/>
        <w:rPr>
          <w:rFonts w:ascii="Aptos" w:hAnsi="Aptos" w:cs="Times New Roman"/>
          <w:sz w:val="25"/>
          <w:szCs w:val="25"/>
        </w:rPr>
      </w:pPr>
      <w:r>
        <w:rPr>
          <w:rFonts w:ascii="Aptos" w:hAnsi="Aptos" w:cs="Times New Roman"/>
          <w:sz w:val="25"/>
          <w:szCs w:val="25"/>
        </w:rPr>
        <w:t xml:space="preserve">The standards governing joinder in a matter before the BSEA are set forth in </w:t>
      </w:r>
      <w:r w:rsidRPr="007D08EE">
        <w:rPr>
          <w:rFonts w:ascii="Aptos" w:hAnsi="Aptos" w:cs="Times New Roman"/>
          <w:sz w:val="25"/>
          <w:szCs w:val="25"/>
        </w:rPr>
        <w:t xml:space="preserve">BSEA </w:t>
      </w:r>
      <w:r w:rsidRPr="007D08EE">
        <w:rPr>
          <w:rFonts w:ascii="Aptos" w:hAnsi="Aptos" w:cs="Times New Roman"/>
          <w:i/>
          <w:iCs/>
          <w:sz w:val="25"/>
          <w:szCs w:val="25"/>
        </w:rPr>
        <w:t>Hearing</w:t>
      </w:r>
      <w:r w:rsidR="00FF3EE1" w:rsidRPr="007D08EE">
        <w:rPr>
          <w:rFonts w:ascii="Aptos" w:hAnsi="Aptos" w:cs="Times New Roman"/>
          <w:sz w:val="25"/>
          <w:szCs w:val="25"/>
        </w:rPr>
        <w:t xml:space="preserve"> </w:t>
      </w:r>
      <w:r w:rsidR="00FF3EE1" w:rsidRPr="007D08EE">
        <w:rPr>
          <w:rFonts w:ascii="Aptos" w:hAnsi="Aptos" w:cs="Times New Roman"/>
          <w:i/>
          <w:iCs/>
          <w:sz w:val="25"/>
          <w:szCs w:val="25"/>
        </w:rPr>
        <w:t>Rule</w:t>
      </w:r>
      <w:r w:rsidR="00FF3EE1" w:rsidRPr="007D08EE">
        <w:rPr>
          <w:rFonts w:ascii="Aptos" w:hAnsi="Aptos" w:cs="Times New Roman"/>
          <w:sz w:val="25"/>
          <w:szCs w:val="25"/>
        </w:rPr>
        <w:t xml:space="preserve"> I(J),</w:t>
      </w:r>
      <w:r w:rsidR="003031B0">
        <w:rPr>
          <w:rFonts w:ascii="Aptos" w:hAnsi="Aptos" w:cs="Times New Roman"/>
          <w:sz w:val="25"/>
          <w:szCs w:val="25"/>
        </w:rPr>
        <w:t xml:space="preserve"> which</w:t>
      </w:r>
      <w:r w:rsidR="00FF3EE1" w:rsidRPr="007D08EE">
        <w:rPr>
          <w:rFonts w:ascii="Aptos" w:hAnsi="Aptos" w:cs="Times New Roman"/>
          <w:sz w:val="25"/>
          <w:szCs w:val="25"/>
        </w:rPr>
        <w:t xml:space="preserve"> provides as follows:</w:t>
      </w:r>
    </w:p>
    <w:p w14:paraId="22955F20" w14:textId="328F2641" w:rsidR="00FF3EE1" w:rsidRPr="00AE4610" w:rsidRDefault="00FF3EE1" w:rsidP="00FF3EE1">
      <w:pPr>
        <w:ind w:left="1080"/>
        <w:rPr>
          <w:rFonts w:ascii="Aptos" w:hAnsi="Aptos" w:cs="Times New Roman"/>
          <w:sz w:val="25"/>
          <w:szCs w:val="25"/>
        </w:rPr>
      </w:pPr>
      <w:r w:rsidRPr="00AE4610">
        <w:rPr>
          <w:rFonts w:ascii="Aptos" w:hAnsi="Aptos" w:cs="Times New Roman"/>
          <w:sz w:val="25"/>
          <w:szCs w:val="25"/>
        </w:rPr>
        <w:lastRenderedPageBreak/>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w:t>
      </w:r>
      <w:proofErr w:type="gramStart"/>
      <w:r w:rsidRPr="00AE4610">
        <w:rPr>
          <w:rFonts w:ascii="Aptos" w:hAnsi="Aptos" w:cs="Times New Roman"/>
          <w:sz w:val="25"/>
          <w:szCs w:val="25"/>
        </w:rPr>
        <w:t>are:</w:t>
      </w:r>
      <w:proofErr w:type="gramEnd"/>
      <w:r w:rsidRPr="00AE4610">
        <w:rPr>
          <w:rFonts w:ascii="Aptos" w:hAnsi="Aptos" w:cs="Times New Roman"/>
          <w:sz w:val="25"/>
          <w:szCs w:val="25"/>
        </w:rPr>
        <w:t xml:space="preserve"> the risk of prejudice to the present parties in the absence of the proposed party; the range of alternatives for fashioning relief; the inadequacy of a judgment entered in the proposed party’s absence; and the existence of an alternative forum to resolve the issues.</w:t>
      </w:r>
      <w:r w:rsidR="007D08EE">
        <w:rPr>
          <w:rStyle w:val="FootnoteReference"/>
          <w:rFonts w:ascii="Aptos" w:hAnsi="Aptos" w:cs="Times New Roman"/>
          <w:sz w:val="25"/>
          <w:szCs w:val="25"/>
        </w:rPr>
        <w:footnoteReference w:id="8"/>
      </w:r>
    </w:p>
    <w:p w14:paraId="6E2ACCD6" w14:textId="32B85CF8" w:rsidR="00FF3EE1" w:rsidRPr="00AE4610" w:rsidRDefault="00FF3EE1" w:rsidP="00FF3EE1">
      <w:pPr>
        <w:ind w:firstLine="360"/>
        <w:rPr>
          <w:rFonts w:ascii="Aptos" w:hAnsi="Aptos" w:cs="Times New Roman"/>
          <w:sz w:val="25"/>
          <w:szCs w:val="25"/>
        </w:rPr>
      </w:pPr>
      <w:r w:rsidRPr="00AE4610">
        <w:rPr>
          <w:rStyle w:val="apple-converted-space"/>
          <w:rFonts w:ascii="Aptos" w:hAnsi="Aptos" w:cs="Times New Roman"/>
          <w:color w:val="252525"/>
          <w:sz w:val="25"/>
          <w:szCs w:val="25"/>
        </w:rPr>
        <w:t xml:space="preserve">As such, to determine whether </w:t>
      </w:r>
      <w:r w:rsidR="007D08EE">
        <w:rPr>
          <w:rStyle w:val="apple-converted-space"/>
          <w:rFonts w:ascii="Aptos" w:hAnsi="Aptos" w:cs="Times New Roman"/>
          <w:color w:val="252525"/>
          <w:sz w:val="25"/>
          <w:szCs w:val="25"/>
        </w:rPr>
        <w:t>LPS</w:t>
      </w:r>
      <w:r w:rsidRPr="00AE4610">
        <w:rPr>
          <w:rStyle w:val="apple-converted-space"/>
          <w:rFonts w:ascii="Aptos" w:hAnsi="Aptos" w:cs="Times New Roman"/>
          <w:color w:val="252525"/>
          <w:sz w:val="25"/>
          <w:szCs w:val="25"/>
        </w:rPr>
        <w:t xml:space="preserve"> should remain a party in the present case, I must determine – taking into account the factors above – w</w:t>
      </w:r>
      <w:r w:rsidRPr="00AE4610">
        <w:rPr>
          <w:rFonts w:ascii="Aptos" w:hAnsi="Aptos" w:cs="Times New Roman"/>
          <w:sz w:val="25"/>
          <w:szCs w:val="25"/>
        </w:rPr>
        <w:t xml:space="preserve">hether complete relief may be granted among the other parties, or if </w:t>
      </w:r>
      <w:r w:rsidR="007D08EE">
        <w:rPr>
          <w:rFonts w:ascii="Aptos" w:hAnsi="Aptos" w:cs="Times New Roman"/>
          <w:sz w:val="25"/>
          <w:szCs w:val="25"/>
        </w:rPr>
        <w:t>Leominster</w:t>
      </w:r>
      <w:r w:rsidRPr="00AE4610">
        <w:rPr>
          <w:rFonts w:ascii="Aptos" w:hAnsi="Aptos" w:cs="Times New Roman"/>
          <w:sz w:val="25"/>
          <w:szCs w:val="25"/>
        </w:rPr>
        <w:t xml:space="preserve"> has an interest relating to the subject matter of the case and is so situated that the case cannot be disposed of in its absence.</w:t>
      </w:r>
      <w:r w:rsidRPr="00AE4610">
        <w:rPr>
          <w:rStyle w:val="FootnoteReference"/>
          <w:rFonts w:ascii="Aptos" w:hAnsi="Aptos" w:cs="Times New Roman"/>
          <w:sz w:val="25"/>
          <w:szCs w:val="25"/>
        </w:rPr>
        <w:footnoteReference w:id="9"/>
      </w:r>
      <w:r w:rsidRPr="00AE4610">
        <w:rPr>
          <w:rFonts w:ascii="Aptos" w:hAnsi="Aptos" w:cs="Times New Roman"/>
          <w:sz w:val="25"/>
          <w:szCs w:val="25"/>
        </w:rPr>
        <w:t xml:space="preserve">  </w:t>
      </w:r>
    </w:p>
    <w:p w14:paraId="1D45844B" w14:textId="2C7D5894" w:rsidR="008C6561" w:rsidRPr="003031B0" w:rsidRDefault="001B1200" w:rsidP="003031B0">
      <w:pPr>
        <w:spacing w:after="0" w:line="240" w:lineRule="auto"/>
        <w:rPr>
          <w:rFonts w:ascii="Aptos" w:eastAsia="Aptos" w:hAnsi="Aptos" w:cs="Aptos"/>
          <w:color w:val="000000" w:themeColor="text1"/>
          <w:sz w:val="25"/>
          <w:szCs w:val="25"/>
        </w:rPr>
      </w:pPr>
      <w:r w:rsidRPr="00AE4610">
        <w:rPr>
          <w:rFonts w:ascii="Aptos" w:eastAsia="Aptos" w:hAnsi="Aptos" w:cs="Aptos"/>
          <w:color w:val="000000" w:themeColor="text1"/>
          <w:sz w:val="25"/>
          <w:szCs w:val="25"/>
        </w:rPr>
        <w:tab/>
      </w:r>
    </w:p>
    <w:p w14:paraId="3D6CD5DA" w14:textId="54DF0DEF" w:rsidR="005B0FDE" w:rsidRDefault="00B20DB0" w:rsidP="003736F1">
      <w:pPr>
        <w:spacing w:after="0" w:line="240" w:lineRule="auto"/>
        <w:rPr>
          <w:rFonts w:ascii="Aptos" w:eastAsia="Times New Roman" w:hAnsi="Aptos" w:cs="Times New Roman"/>
          <w:color w:val="000000"/>
          <w:sz w:val="25"/>
          <w:szCs w:val="25"/>
          <w:u w:val="single"/>
          <w:shd w:val="clear" w:color="auto" w:fill="FFFFFF"/>
        </w:rPr>
      </w:pPr>
      <w:r w:rsidRPr="00B20DB0">
        <w:rPr>
          <w:rFonts w:ascii="Aptos" w:eastAsia="Times New Roman" w:hAnsi="Aptos" w:cs="Times New Roman"/>
          <w:color w:val="000000"/>
          <w:sz w:val="25"/>
          <w:szCs w:val="25"/>
          <w:u w:val="single"/>
          <w:shd w:val="clear" w:color="auto" w:fill="FFFFFF"/>
        </w:rPr>
        <w:t>ANALYSIS</w:t>
      </w:r>
    </w:p>
    <w:p w14:paraId="0C265E6C" w14:textId="77777777" w:rsidR="003736F1" w:rsidRPr="00FB770C" w:rsidRDefault="003736F1" w:rsidP="003736F1">
      <w:pPr>
        <w:spacing w:after="0" w:line="240" w:lineRule="auto"/>
        <w:rPr>
          <w:rFonts w:ascii="Aptos" w:eastAsia="Times New Roman" w:hAnsi="Aptos" w:cs="Times New Roman"/>
          <w:color w:val="000000"/>
          <w:sz w:val="25"/>
          <w:szCs w:val="25"/>
          <w:u w:val="single"/>
          <w:shd w:val="clear" w:color="auto" w:fill="FFFFFF"/>
        </w:rPr>
      </w:pPr>
    </w:p>
    <w:p w14:paraId="1A1FD438" w14:textId="4E4C43ED" w:rsidR="003031B0" w:rsidRDefault="00CF0F25" w:rsidP="003736F1">
      <w:pPr>
        <w:pStyle w:val="paragraph"/>
        <w:spacing w:before="0" w:beforeAutospacing="0" w:after="0" w:afterAutospacing="0"/>
        <w:textAlignment w:val="baseline"/>
        <w:rPr>
          <w:rFonts w:ascii="Aptos" w:hAnsi="Aptos"/>
          <w:sz w:val="25"/>
          <w:szCs w:val="25"/>
        </w:rPr>
      </w:pPr>
      <w:r>
        <w:rPr>
          <w:rFonts w:ascii="Aptos" w:hAnsi="Aptos"/>
          <w:sz w:val="25"/>
          <w:szCs w:val="25"/>
        </w:rPr>
        <w:tab/>
      </w:r>
      <w:r w:rsidR="00C971E0">
        <w:rPr>
          <w:rFonts w:ascii="Aptos" w:hAnsi="Aptos"/>
          <w:sz w:val="25"/>
          <w:szCs w:val="25"/>
        </w:rPr>
        <w:t xml:space="preserve">Leominster bases its </w:t>
      </w:r>
      <w:r w:rsidR="00C971E0">
        <w:rPr>
          <w:rFonts w:ascii="Aptos" w:hAnsi="Aptos"/>
          <w:i/>
          <w:iCs/>
          <w:sz w:val="25"/>
          <w:szCs w:val="25"/>
        </w:rPr>
        <w:t xml:space="preserve">Motion to Dismiss </w:t>
      </w:r>
      <w:r w:rsidR="00C971E0">
        <w:rPr>
          <w:rFonts w:ascii="Aptos" w:hAnsi="Aptos"/>
          <w:sz w:val="25"/>
          <w:szCs w:val="25"/>
        </w:rPr>
        <w:t xml:space="preserve">on the absence of evidence to support Belchertown’s contention that the individual whom the </w:t>
      </w:r>
      <w:r w:rsidR="00AE4F06">
        <w:rPr>
          <w:rFonts w:ascii="Aptos" w:hAnsi="Aptos"/>
          <w:sz w:val="25"/>
          <w:szCs w:val="25"/>
        </w:rPr>
        <w:t xml:space="preserve">information submitted to DESE </w:t>
      </w:r>
      <w:r w:rsidR="00C971E0">
        <w:rPr>
          <w:rFonts w:ascii="Aptos" w:hAnsi="Aptos"/>
          <w:sz w:val="25"/>
          <w:szCs w:val="25"/>
        </w:rPr>
        <w:t xml:space="preserve">suggests lives, or lived, in Leominster during the relevant </w:t>
      </w:r>
      <w:proofErr w:type="gramStart"/>
      <w:r w:rsidR="00C971E0">
        <w:rPr>
          <w:rFonts w:ascii="Aptos" w:hAnsi="Aptos"/>
          <w:sz w:val="25"/>
          <w:szCs w:val="25"/>
        </w:rPr>
        <w:t>time period</w:t>
      </w:r>
      <w:proofErr w:type="gramEnd"/>
      <w:r w:rsidR="00C971E0">
        <w:rPr>
          <w:rFonts w:ascii="Aptos" w:hAnsi="Aptos"/>
          <w:sz w:val="25"/>
          <w:szCs w:val="25"/>
        </w:rPr>
        <w:t>, is Student’s biological father. Following DESE’s latest production of evidence, Belchertown has acknowledged the absence of such evidence</w:t>
      </w:r>
      <w:r w:rsidR="003031B0">
        <w:rPr>
          <w:rFonts w:ascii="Aptos" w:hAnsi="Aptos"/>
          <w:sz w:val="25"/>
          <w:szCs w:val="25"/>
        </w:rPr>
        <w:t>.</w:t>
      </w:r>
    </w:p>
    <w:p w14:paraId="57F73C07" w14:textId="77777777" w:rsidR="003031B0" w:rsidRDefault="003031B0" w:rsidP="003736F1">
      <w:pPr>
        <w:pStyle w:val="paragraph"/>
        <w:spacing w:before="0" w:beforeAutospacing="0" w:after="0" w:afterAutospacing="0"/>
        <w:textAlignment w:val="baseline"/>
        <w:rPr>
          <w:rFonts w:ascii="Aptos" w:hAnsi="Aptos"/>
          <w:sz w:val="25"/>
          <w:szCs w:val="25"/>
        </w:rPr>
      </w:pPr>
    </w:p>
    <w:p w14:paraId="70C969B4" w14:textId="79DFF829" w:rsidR="003031B0" w:rsidRPr="00AE4610" w:rsidRDefault="003031B0" w:rsidP="002B5E1F">
      <w:pPr>
        <w:pStyle w:val="paragraph"/>
        <w:spacing w:before="0" w:beforeAutospacing="0" w:after="0" w:afterAutospacing="0"/>
        <w:textAlignment w:val="baseline"/>
        <w:rPr>
          <w:rFonts w:ascii="Aptos" w:hAnsi="Aptos"/>
          <w:sz w:val="25"/>
          <w:szCs w:val="25"/>
        </w:rPr>
      </w:pPr>
      <w:r>
        <w:rPr>
          <w:rFonts w:ascii="Aptos" w:hAnsi="Aptos"/>
          <w:sz w:val="25"/>
          <w:szCs w:val="25"/>
        </w:rPr>
        <w:tab/>
        <w:t xml:space="preserve">The lack of evidence to suggest a connection between Leominster and Student </w:t>
      </w:r>
      <w:r w:rsidR="002B5E1F">
        <w:rPr>
          <w:rFonts w:ascii="Aptos" w:hAnsi="Aptos"/>
          <w:sz w:val="25"/>
          <w:szCs w:val="25"/>
        </w:rPr>
        <w:t>indicates that LPS does not have an interest relating to the underlying LEA assignment</w:t>
      </w:r>
      <w:r w:rsidR="00AE4F06">
        <w:rPr>
          <w:rFonts w:ascii="Aptos" w:hAnsi="Aptos"/>
          <w:sz w:val="25"/>
          <w:szCs w:val="25"/>
        </w:rPr>
        <w:t>, and that</w:t>
      </w:r>
      <w:r w:rsidR="002B5E1F">
        <w:rPr>
          <w:rFonts w:ascii="Aptos" w:hAnsi="Aptos"/>
          <w:sz w:val="25"/>
          <w:szCs w:val="25"/>
        </w:rPr>
        <w:t xml:space="preserve"> complete relief may be granted among those who are already parties.</w:t>
      </w:r>
      <w:r w:rsidR="00B605D1">
        <w:rPr>
          <w:rStyle w:val="FootnoteReference"/>
          <w:rFonts w:ascii="Aptos" w:hAnsi="Aptos"/>
          <w:sz w:val="25"/>
          <w:szCs w:val="25"/>
        </w:rPr>
        <w:footnoteReference w:id="10"/>
      </w:r>
      <w:r w:rsidR="002B5E1F">
        <w:rPr>
          <w:rFonts w:ascii="Aptos" w:hAnsi="Aptos"/>
          <w:sz w:val="25"/>
          <w:szCs w:val="25"/>
        </w:rPr>
        <w:t xml:space="preserve"> Moreover, should evidence come to light in the future that does establish a relationship between LPS and Student, the proper course would be for Belchertown to request a new LEA Assignment from DESE, on the basis of newly discovered information. As such, there </w:t>
      </w:r>
      <w:r w:rsidR="00AE4F06">
        <w:rPr>
          <w:rFonts w:ascii="Aptos" w:hAnsi="Aptos"/>
          <w:sz w:val="25"/>
          <w:szCs w:val="25"/>
        </w:rPr>
        <w:t>exists an</w:t>
      </w:r>
      <w:r w:rsidR="002B5E1F">
        <w:rPr>
          <w:rFonts w:ascii="Aptos" w:hAnsi="Aptos"/>
          <w:sz w:val="25"/>
          <w:szCs w:val="25"/>
        </w:rPr>
        <w:t xml:space="preserve"> alternative forum to resolve the issues, and</w:t>
      </w:r>
      <w:r w:rsidR="008917D9">
        <w:rPr>
          <w:rFonts w:ascii="Aptos" w:hAnsi="Aptos"/>
          <w:sz w:val="25"/>
          <w:szCs w:val="25"/>
        </w:rPr>
        <w:t xml:space="preserve"> there is</w:t>
      </w:r>
      <w:r w:rsidR="002B5E1F">
        <w:rPr>
          <w:rFonts w:ascii="Aptos" w:hAnsi="Aptos"/>
          <w:sz w:val="25"/>
          <w:szCs w:val="25"/>
        </w:rPr>
        <w:t xml:space="preserve"> no risk of prejudice to the remaining parties in </w:t>
      </w:r>
      <w:r w:rsidR="0078604C">
        <w:rPr>
          <w:rFonts w:ascii="Aptos" w:hAnsi="Aptos"/>
          <w:sz w:val="25"/>
          <w:szCs w:val="25"/>
        </w:rPr>
        <w:t xml:space="preserve">Leominster’s </w:t>
      </w:r>
      <w:r w:rsidR="002B5E1F">
        <w:rPr>
          <w:rFonts w:ascii="Aptos" w:hAnsi="Aptos"/>
          <w:sz w:val="25"/>
          <w:szCs w:val="25"/>
        </w:rPr>
        <w:t>absence</w:t>
      </w:r>
      <w:r w:rsidRPr="00AE4610">
        <w:rPr>
          <w:rFonts w:ascii="Aptos" w:hAnsi="Aptos"/>
          <w:sz w:val="25"/>
          <w:szCs w:val="25"/>
        </w:rPr>
        <w:t>.</w:t>
      </w:r>
      <w:r>
        <w:rPr>
          <w:rStyle w:val="FootnoteReference"/>
          <w:rFonts w:ascii="Aptos" w:hAnsi="Aptos"/>
          <w:sz w:val="25"/>
          <w:szCs w:val="25"/>
        </w:rPr>
        <w:footnoteReference w:id="11"/>
      </w:r>
    </w:p>
    <w:p w14:paraId="1740F455" w14:textId="77777777" w:rsidR="003736F1" w:rsidRPr="002F652B" w:rsidRDefault="003736F1" w:rsidP="003736F1">
      <w:pPr>
        <w:pStyle w:val="paragraph"/>
        <w:spacing w:before="0" w:beforeAutospacing="0" w:after="0" w:afterAutospacing="0"/>
        <w:textAlignment w:val="baseline"/>
        <w:rPr>
          <w:rFonts w:ascii="AppleSystemUIFont" w:hAnsi="AppleSystemUIFont" w:cs="AppleSystemUIFont"/>
          <w:sz w:val="26"/>
          <w:szCs w:val="26"/>
        </w:rPr>
      </w:pPr>
    </w:p>
    <w:p w14:paraId="461E7C9F" w14:textId="548A83B4" w:rsidR="004C4363" w:rsidRDefault="004C4363" w:rsidP="003736F1">
      <w:pPr>
        <w:pStyle w:val="paragraph"/>
        <w:spacing w:before="0" w:beforeAutospacing="0" w:after="0" w:afterAutospacing="0"/>
        <w:textAlignment w:val="baseline"/>
        <w:rPr>
          <w:rFonts w:ascii="Aptos" w:hAnsi="Aptos"/>
          <w:sz w:val="25"/>
          <w:szCs w:val="25"/>
          <w:u w:val="single"/>
        </w:rPr>
      </w:pPr>
      <w:r w:rsidRPr="004C4363">
        <w:rPr>
          <w:rFonts w:ascii="Aptos" w:hAnsi="Aptos"/>
          <w:sz w:val="25"/>
          <w:szCs w:val="25"/>
          <w:u w:val="single"/>
        </w:rPr>
        <w:t>CONCLUSION</w:t>
      </w:r>
    </w:p>
    <w:p w14:paraId="30C6725E" w14:textId="77777777" w:rsidR="007322DB" w:rsidRDefault="007322DB" w:rsidP="003736F1">
      <w:pPr>
        <w:pStyle w:val="paragraph"/>
        <w:spacing w:before="0" w:beforeAutospacing="0" w:after="0" w:afterAutospacing="0"/>
        <w:textAlignment w:val="baseline"/>
        <w:rPr>
          <w:rFonts w:ascii="Aptos" w:hAnsi="Aptos"/>
          <w:sz w:val="25"/>
          <w:szCs w:val="25"/>
          <w:u w:val="single"/>
        </w:rPr>
      </w:pPr>
    </w:p>
    <w:p w14:paraId="60EB85F4" w14:textId="3CFC00B4" w:rsidR="003E3E9D" w:rsidRDefault="003E3E9D" w:rsidP="003736F1">
      <w:pPr>
        <w:pStyle w:val="paragraph"/>
        <w:spacing w:before="0" w:beforeAutospacing="0" w:after="0" w:afterAutospacing="0"/>
        <w:textAlignment w:val="baseline"/>
        <w:rPr>
          <w:rFonts w:ascii="Aptos" w:hAnsi="Aptos"/>
          <w:sz w:val="25"/>
          <w:szCs w:val="25"/>
        </w:rPr>
      </w:pPr>
      <w:r>
        <w:rPr>
          <w:rFonts w:ascii="Aptos" w:hAnsi="Aptos"/>
          <w:sz w:val="25"/>
          <w:szCs w:val="25"/>
        </w:rPr>
        <w:lastRenderedPageBreak/>
        <w:tab/>
        <w:t xml:space="preserve">For the reasons set forth above, I find that </w:t>
      </w:r>
      <w:r w:rsidR="002B5E1F">
        <w:rPr>
          <w:rFonts w:ascii="Aptos" w:hAnsi="Aptos"/>
          <w:sz w:val="25"/>
          <w:szCs w:val="25"/>
        </w:rPr>
        <w:t xml:space="preserve">Leominster is not a necessary party to this matter. </w:t>
      </w:r>
    </w:p>
    <w:p w14:paraId="5C986483" w14:textId="77777777" w:rsidR="00741173" w:rsidRPr="003E3E9D" w:rsidRDefault="00741173" w:rsidP="003736F1">
      <w:pPr>
        <w:pStyle w:val="paragraph"/>
        <w:spacing w:before="0" w:beforeAutospacing="0" w:after="0" w:afterAutospacing="0"/>
        <w:textAlignment w:val="baseline"/>
        <w:rPr>
          <w:rFonts w:ascii="Aptos" w:hAnsi="Aptos"/>
          <w:sz w:val="25"/>
          <w:szCs w:val="25"/>
        </w:rPr>
      </w:pPr>
    </w:p>
    <w:p w14:paraId="0B6FD6B4" w14:textId="1DC53196" w:rsidR="00F87539" w:rsidRPr="0082290C" w:rsidRDefault="00F87539" w:rsidP="003736F1">
      <w:pPr>
        <w:pStyle w:val="paragraph"/>
        <w:spacing w:before="0" w:beforeAutospacing="0" w:after="0" w:afterAutospacing="0"/>
        <w:textAlignment w:val="baseline"/>
        <w:rPr>
          <w:rFonts w:ascii="Aptos" w:hAnsi="Aptos"/>
          <w:b/>
          <w:bCs/>
          <w:sz w:val="25"/>
          <w:szCs w:val="25"/>
        </w:rPr>
      </w:pPr>
      <w:r w:rsidRPr="0082290C">
        <w:rPr>
          <w:rFonts w:ascii="Aptos" w:hAnsi="Aptos"/>
          <w:b/>
          <w:bCs/>
          <w:sz w:val="25"/>
          <w:szCs w:val="25"/>
        </w:rPr>
        <w:t>ORDER</w:t>
      </w:r>
    </w:p>
    <w:p w14:paraId="1724CDD6" w14:textId="77777777" w:rsidR="00AD63CD" w:rsidRPr="0082290C" w:rsidRDefault="00AD63CD" w:rsidP="003736F1">
      <w:pPr>
        <w:pStyle w:val="paragraph"/>
        <w:spacing w:before="0" w:beforeAutospacing="0" w:after="0" w:afterAutospacing="0"/>
        <w:textAlignment w:val="baseline"/>
        <w:rPr>
          <w:rFonts w:ascii="Aptos" w:hAnsi="Aptos"/>
          <w:b/>
          <w:bCs/>
          <w:sz w:val="25"/>
          <w:szCs w:val="25"/>
        </w:rPr>
      </w:pPr>
    </w:p>
    <w:p w14:paraId="310C0469" w14:textId="336949E6" w:rsidR="00F87539" w:rsidRDefault="002B5E1F" w:rsidP="003736F1">
      <w:pPr>
        <w:pStyle w:val="paragraph"/>
        <w:numPr>
          <w:ilvl w:val="0"/>
          <w:numId w:val="2"/>
        </w:numPr>
        <w:spacing w:before="0" w:beforeAutospacing="0" w:after="0" w:afterAutospacing="0"/>
        <w:textAlignment w:val="baseline"/>
        <w:rPr>
          <w:rFonts w:ascii="Aptos" w:hAnsi="Aptos"/>
          <w:sz w:val="25"/>
          <w:szCs w:val="25"/>
        </w:rPr>
      </w:pPr>
      <w:r>
        <w:rPr>
          <w:rFonts w:ascii="Aptos" w:hAnsi="Aptos"/>
          <w:sz w:val="25"/>
          <w:szCs w:val="25"/>
        </w:rPr>
        <w:t xml:space="preserve">Leominster’s unopposed </w:t>
      </w:r>
      <w:r w:rsidR="00F87539" w:rsidRPr="006D0378">
        <w:rPr>
          <w:rFonts w:ascii="Aptos" w:hAnsi="Aptos"/>
          <w:i/>
          <w:iCs/>
          <w:sz w:val="25"/>
          <w:szCs w:val="25"/>
        </w:rPr>
        <w:t>Motion</w:t>
      </w:r>
      <w:r w:rsidR="00F87539" w:rsidRPr="0082290C">
        <w:rPr>
          <w:rFonts w:ascii="Aptos" w:hAnsi="Aptos"/>
          <w:sz w:val="25"/>
          <w:szCs w:val="25"/>
        </w:rPr>
        <w:t xml:space="preserve"> </w:t>
      </w:r>
      <w:r w:rsidR="00F87539" w:rsidRPr="006D0378">
        <w:rPr>
          <w:rFonts w:ascii="Aptos" w:hAnsi="Aptos"/>
          <w:i/>
          <w:iCs/>
          <w:sz w:val="25"/>
          <w:szCs w:val="25"/>
        </w:rPr>
        <w:t>to</w:t>
      </w:r>
      <w:r w:rsidR="00F87539" w:rsidRPr="0082290C">
        <w:rPr>
          <w:rFonts w:ascii="Aptos" w:hAnsi="Aptos"/>
          <w:sz w:val="25"/>
          <w:szCs w:val="25"/>
        </w:rPr>
        <w:t xml:space="preserve"> </w:t>
      </w:r>
      <w:r>
        <w:rPr>
          <w:rFonts w:ascii="Aptos" w:hAnsi="Aptos"/>
          <w:i/>
          <w:iCs/>
          <w:sz w:val="25"/>
          <w:szCs w:val="25"/>
        </w:rPr>
        <w:t xml:space="preserve">Dismiss </w:t>
      </w:r>
      <w:r>
        <w:rPr>
          <w:rFonts w:ascii="Aptos" w:hAnsi="Aptos"/>
          <w:sz w:val="25"/>
          <w:szCs w:val="25"/>
        </w:rPr>
        <w:t xml:space="preserve">itself as a party from the pending BSEA matter </w:t>
      </w:r>
      <w:r w:rsidR="00F87539" w:rsidRPr="0082290C">
        <w:rPr>
          <w:rFonts w:ascii="Aptos" w:hAnsi="Aptos"/>
          <w:sz w:val="25"/>
          <w:szCs w:val="25"/>
        </w:rPr>
        <w:t xml:space="preserve">is hereby ALLOWED. </w:t>
      </w:r>
    </w:p>
    <w:p w14:paraId="4D234DFB" w14:textId="77777777" w:rsidR="002B5E1F" w:rsidRPr="0082290C" w:rsidRDefault="002B5E1F" w:rsidP="002B5E1F">
      <w:pPr>
        <w:pStyle w:val="paragraph"/>
        <w:spacing w:before="0" w:beforeAutospacing="0" w:after="0" w:afterAutospacing="0"/>
        <w:ind w:left="720"/>
        <w:textAlignment w:val="baseline"/>
        <w:rPr>
          <w:rFonts w:ascii="Aptos" w:hAnsi="Aptos"/>
          <w:sz w:val="25"/>
          <w:szCs w:val="25"/>
        </w:rPr>
      </w:pPr>
    </w:p>
    <w:p w14:paraId="4D203D7D" w14:textId="138584AD" w:rsidR="71B73CF5" w:rsidRPr="0082290C" w:rsidRDefault="00EB403C" w:rsidP="003736F1">
      <w:pPr>
        <w:pStyle w:val="ListParagraph"/>
        <w:numPr>
          <w:ilvl w:val="0"/>
          <w:numId w:val="2"/>
        </w:numPr>
        <w:spacing w:after="0" w:line="240" w:lineRule="auto"/>
        <w:textAlignment w:val="baseline"/>
        <w:rPr>
          <w:rFonts w:ascii="Aptos" w:eastAsia="Times New Roman" w:hAnsi="Aptos" w:cs="Segoe UI"/>
          <w:sz w:val="25"/>
          <w:szCs w:val="25"/>
        </w:rPr>
      </w:pPr>
      <w:r w:rsidRPr="0082290C">
        <w:rPr>
          <w:rFonts w:ascii="Aptos" w:eastAsia="Times New Roman" w:hAnsi="Aptos" w:cs="Segoe UI"/>
          <w:sz w:val="25"/>
          <w:szCs w:val="25"/>
        </w:rPr>
        <w:t xml:space="preserve">The matter will proceed to </w:t>
      </w:r>
      <w:r w:rsidR="00AD63CD" w:rsidRPr="0082290C">
        <w:rPr>
          <w:rFonts w:ascii="Aptos" w:eastAsia="Times New Roman" w:hAnsi="Aptos" w:cs="Segoe UI"/>
          <w:sz w:val="25"/>
          <w:szCs w:val="25"/>
        </w:rPr>
        <w:t>H</w:t>
      </w:r>
      <w:r w:rsidRPr="0082290C">
        <w:rPr>
          <w:rFonts w:ascii="Aptos" w:eastAsia="Times New Roman" w:hAnsi="Aptos" w:cs="Segoe UI"/>
          <w:sz w:val="25"/>
          <w:szCs w:val="25"/>
        </w:rPr>
        <w:t>earing</w:t>
      </w:r>
      <w:r w:rsidR="002B5E1F">
        <w:rPr>
          <w:rFonts w:ascii="Aptos" w:eastAsia="Times New Roman" w:hAnsi="Aptos" w:cs="Segoe UI"/>
          <w:sz w:val="25"/>
          <w:szCs w:val="25"/>
        </w:rPr>
        <w:t>, with the remaining parties,</w:t>
      </w:r>
      <w:r w:rsidRPr="0082290C">
        <w:rPr>
          <w:rFonts w:ascii="Aptos" w:eastAsia="Times New Roman" w:hAnsi="Aptos" w:cs="Segoe UI"/>
          <w:sz w:val="25"/>
          <w:szCs w:val="25"/>
        </w:rPr>
        <w:t xml:space="preserve"> on </w:t>
      </w:r>
      <w:r w:rsidR="002B5E1F">
        <w:rPr>
          <w:rFonts w:ascii="Aptos" w:eastAsia="Times New Roman" w:hAnsi="Aptos" w:cs="Segoe UI"/>
          <w:sz w:val="25"/>
          <w:szCs w:val="25"/>
        </w:rPr>
        <w:t>February 4</w:t>
      </w:r>
      <w:r w:rsidRPr="0082290C">
        <w:rPr>
          <w:rFonts w:ascii="Aptos" w:eastAsia="Times New Roman" w:hAnsi="Aptos" w:cs="Segoe UI"/>
          <w:sz w:val="25"/>
          <w:szCs w:val="25"/>
        </w:rPr>
        <w:t xml:space="preserve">, </w:t>
      </w:r>
      <w:r w:rsidR="002B5E1F">
        <w:rPr>
          <w:rFonts w:ascii="Aptos" w:eastAsia="Times New Roman" w:hAnsi="Aptos" w:cs="Segoe UI"/>
          <w:sz w:val="25"/>
          <w:szCs w:val="25"/>
        </w:rPr>
        <w:t>2026</w:t>
      </w:r>
      <w:r w:rsidRPr="0082290C">
        <w:rPr>
          <w:rFonts w:ascii="Aptos" w:eastAsia="Times New Roman" w:hAnsi="Aptos" w:cs="Segoe UI"/>
          <w:sz w:val="25"/>
          <w:szCs w:val="25"/>
        </w:rPr>
        <w:t>, beginning at 10:00 AM. </w:t>
      </w:r>
    </w:p>
    <w:p w14:paraId="76236C30" w14:textId="77777777" w:rsidR="009D2990" w:rsidRDefault="009D2990" w:rsidP="009D2990">
      <w:pPr>
        <w:spacing w:after="0" w:line="240" w:lineRule="auto"/>
        <w:ind w:left="360"/>
        <w:textAlignment w:val="baseline"/>
        <w:rPr>
          <w:rFonts w:ascii="Segoe UI" w:eastAsia="Times New Roman" w:hAnsi="Segoe UI" w:cs="Segoe UI"/>
          <w:sz w:val="25"/>
          <w:szCs w:val="25"/>
        </w:rPr>
      </w:pPr>
    </w:p>
    <w:p w14:paraId="6AA69CD8" w14:textId="77777777" w:rsidR="009D2990" w:rsidRDefault="009D2990" w:rsidP="009D2990">
      <w:pPr>
        <w:spacing w:after="0" w:line="240" w:lineRule="auto"/>
        <w:ind w:left="360"/>
        <w:textAlignment w:val="baseline"/>
        <w:rPr>
          <w:rFonts w:ascii="Segoe UI" w:eastAsia="Times New Roman" w:hAnsi="Segoe UI" w:cs="Segoe UI"/>
          <w:sz w:val="25"/>
          <w:szCs w:val="25"/>
        </w:rPr>
      </w:pPr>
    </w:p>
    <w:p w14:paraId="55D1F9D7" w14:textId="77777777" w:rsidR="009D2990" w:rsidRDefault="009D2990" w:rsidP="009D2990">
      <w:pPr>
        <w:spacing w:after="0" w:line="240" w:lineRule="auto"/>
        <w:ind w:left="360"/>
        <w:textAlignment w:val="baseline"/>
        <w:rPr>
          <w:rFonts w:ascii="Segoe UI" w:eastAsia="Times New Roman" w:hAnsi="Segoe UI" w:cs="Segoe UI"/>
          <w:sz w:val="25"/>
          <w:szCs w:val="25"/>
        </w:rPr>
      </w:pPr>
    </w:p>
    <w:p w14:paraId="23D61BCB" w14:textId="043FA88F" w:rsidR="009D2990" w:rsidRPr="008E44BF" w:rsidRDefault="009D2990" w:rsidP="009D2990">
      <w:pPr>
        <w:rPr>
          <w:rFonts w:ascii="Aptos" w:hAnsi="Aptos"/>
          <w:sz w:val="25"/>
          <w:szCs w:val="25"/>
        </w:rPr>
      </w:pPr>
      <w:r w:rsidRPr="008E44BF">
        <w:rPr>
          <w:rFonts w:ascii="Aptos" w:hAnsi="Aptos"/>
          <w:sz w:val="25"/>
          <w:szCs w:val="25"/>
        </w:rPr>
        <w:t>By the Hearing Officer</w:t>
      </w:r>
      <w:r>
        <w:rPr>
          <w:rFonts w:ascii="Aptos" w:hAnsi="Aptos"/>
          <w:sz w:val="25"/>
          <w:szCs w:val="25"/>
        </w:rPr>
        <w:t>:</w:t>
      </w:r>
    </w:p>
    <w:p w14:paraId="67F4FE08" w14:textId="77777777" w:rsidR="009D2990" w:rsidRPr="008E44BF" w:rsidRDefault="009D2990" w:rsidP="009D2990">
      <w:pPr>
        <w:spacing w:after="0"/>
        <w:rPr>
          <w:rFonts w:ascii="Aptos" w:hAnsi="Aptos"/>
          <w:sz w:val="25"/>
          <w:szCs w:val="25"/>
        </w:rPr>
      </w:pPr>
    </w:p>
    <w:p w14:paraId="43F40AA3" w14:textId="77777777" w:rsidR="009D2990" w:rsidRDefault="009D2990" w:rsidP="009D2990">
      <w:pPr>
        <w:spacing w:after="0"/>
        <w:rPr>
          <w:rFonts w:ascii="Lucida Handwriting" w:hAnsi="Lucida Handwriting"/>
          <w:sz w:val="32"/>
          <w:szCs w:val="32"/>
          <w:u w:val="single"/>
        </w:rPr>
      </w:pPr>
      <w:r>
        <w:rPr>
          <w:rFonts w:ascii="Aptos" w:hAnsi="Aptos"/>
          <w:sz w:val="32"/>
          <w:szCs w:val="32"/>
          <w:u w:val="single"/>
        </w:rPr>
        <w:t xml:space="preserve">   /s/  </w:t>
      </w:r>
      <w:r w:rsidRPr="000115A3">
        <w:rPr>
          <w:rFonts w:ascii="Lucida Handwriting" w:hAnsi="Lucida Handwriting"/>
          <w:sz w:val="32"/>
          <w:szCs w:val="32"/>
          <w:u w:val="single"/>
        </w:rPr>
        <w:t>Amy Reichbach</w:t>
      </w:r>
    </w:p>
    <w:p w14:paraId="0693F390" w14:textId="49BB8631" w:rsidR="009D2990" w:rsidRPr="009D2990" w:rsidRDefault="009D2990" w:rsidP="009D2990">
      <w:pPr>
        <w:spacing w:after="0"/>
        <w:rPr>
          <w:rFonts w:ascii="Lucida Handwriting" w:hAnsi="Lucida Handwriting"/>
          <w:sz w:val="32"/>
          <w:szCs w:val="32"/>
          <w:u w:val="single"/>
        </w:rPr>
      </w:pPr>
      <w:r>
        <w:rPr>
          <w:rFonts w:ascii="Aptos" w:hAnsi="Aptos"/>
          <w:sz w:val="25"/>
        </w:rPr>
        <w:t>Date:  J</w:t>
      </w:r>
      <w:r w:rsidR="002B5E1F">
        <w:rPr>
          <w:rFonts w:ascii="Aptos" w:hAnsi="Aptos"/>
          <w:sz w:val="25"/>
        </w:rPr>
        <w:t>anuary 5, 2026</w:t>
      </w:r>
    </w:p>
    <w:p w14:paraId="5A8B0F48" w14:textId="77777777" w:rsidR="009D2990" w:rsidRPr="009D2990" w:rsidRDefault="009D2990" w:rsidP="009D2990">
      <w:pPr>
        <w:spacing w:after="0" w:line="240" w:lineRule="auto"/>
        <w:ind w:left="360"/>
        <w:textAlignment w:val="baseline"/>
        <w:rPr>
          <w:rFonts w:ascii="Segoe UI" w:eastAsia="Times New Roman" w:hAnsi="Segoe UI" w:cs="Segoe UI"/>
          <w:sz w:val="25"/>
          <w:szCs w:val="25"/>
        </w:rPr>
      </w:pPr>
    </w:p>
    <w:sectPr w:rsidR="009D2990" w:rsidRPr="009D299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D3FC" w14:textId="77777777" w:rsidR="005D1220" w:rsidRDefault="005D1220">
      <w:pPr>
        <w:spacing w:after="0" w:line="240" w:lineRule="auto"/>
      </w:pPr>
      <w:r>
        <w:separator/>
      </w:r>
    </w:p>
  </w:endnote>
  <w:endnote w:type="continuationSeparator" w:id="0">
    <w:p w14:paraId="1B898217" w14:textId="77777777" w:rsidR="005D1220" w:rsidRDefault="005D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9647"/>
      <w:docPartObj>
        <w:docPartGallery w:val="Page Numbers (Bottom of Page)"/>
        <w:docPartUnique/>
      </w:docPartObj>
    </w:sdtPr>
    <w:sdtEndPr>
      <w:rPr>
        <w:noProof/>
      </w:rPr>
    </w:sdtEndPr>
    <w:sdtContent>
      <w:p w14:paraId="6389A367" w14:textId="2395E6D3" w:rsidR="00C36398" w:rsidRDefault="00C36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A8CDD" w14:textId="77777777" w:rsidR="00C36398" w:rsidRDefault="00C3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0288" w14:textId="77777777" w:rsidR="005D1220" w:rsidRDefault="005D1220">
      <w:pPr>
        <w:spacing w:after="0" w:line="240" w:lineRule="auto"/>
      </w:pPr>
      <w:r>
        <w:separator/>
      </w:r>
    </w:p>
  </w:footnote>
  <w:footnote w:type="continuationSeparator" w:id="0">
    <w:p w14:paraId="70FE086A" w14:textId="77777777" w:rsidR="005D1220" w:rsidRDefault="005D1220">
      <w:pPr>
        <w:spacing w:after="0" w:line="240" w:lineRule="auto"/>
      </w:pPr>
      <w:r>
        <w:continuationSeparator/>
      </w:r>
    </w:p>
  </w:footnote>
  <w:footnote w:id="1">
    <w:p w14:paraId="73018A85" w14:textId="01624F38" w:rsidR="00A2037A" w:rsidRPr="00472DF7" w:rsidRDefault="00A2037A">
      <w:pPr>
        <w:pStyle w:val="FootnoteText"/>
        <w:rPr>
          <w:rFonts w:ascii="Aptos" w:hAnsi="Aptos"/>
        </w:rPr>
      </w:pPr>
      <w:r w:rsidRPr="00472DF7">
        <w:rPr>
          <w:rStyle w:val="FootnoteReference"/>
          <w:rFonts w:ascii="Aptos" w:hAnsi="Aptos"/>
        </w:rPr>
        <w:footnoteRef/>
      </w:r>
      <w:r w:rsidRPr="00472DF7">
        <w:rPr>
          <w:rFonts w:ascii="Aptos" w:hAnsi="Aptos"/>
        </w:rPr>
        <w:t xml:space="preserve"> According to Belchertown, DESE’s First Assignment specified that in the event the actual costs of Student’s day school placement and transportation exceed the costs budgeted by BPS for that placement, Avon’s financial responsibility shall include the difference. </w:t>
      </w:r>
    </w:p>
  </w:footnote>
  <w:footnote w:id="2">
    <w:p w14:paraId="58BD5868" w14:textId="582DB443" w:rsidR="00D643DE" w:rsidRDefault="00D643DE">
      <w:pPr>
        <w:pStyle w:val="FootnoteText"/>
      </w:pPr>
      <w:r w:rsidRPr="00472DF7">
        <w:rPr>
          <w:rStyle w:val="FootnoteReference"/>
          <w:rFonts w:ascii="Aptos" w:hAnsi="Aptos"/>
        </w:rPr>
        <w:footnoteRef/>
      </w:r>
      <w:r w:rsidRPr="00472DF7">
        <w:rPr>
          <w:rFonts w:ascii="Aptos" w:hAnsi="Aptos"/>
        </w:rPr>
        <w:t xml:space="preserve"> According to Belchertown, A</w:t>
      </w:r>
      <w:r w:rsidR="00FE3DD9">
        <w:rPr>
          <w:rFonts w:ascii="Aptos" w:hAnsi="Aptos"/>
        </w:rPr>
        <w:t>PS</w:t>
      </w:r>
      <w:r w:rsidRPr="00472DF7">
        <w:rPr>
          <w:rFonts w:ascii="Aptos" w:hAnsi="Aptos"/>
        </w:rPr>
        <w:t xml:space="preserve"> </w:t>
      </w:r>
      <w:r w:rsidR="00DA1EFB" w:rsidRPr="00472DF7">
        <w:rPr>
          <w:rFonts w:ascii="Aptos" w:hAnsi="Aptos"/>
        </w:rPr>
        <w:t>disputed claims that Mother lived in Avon, providing evidence that the property had been abandoned and sharing other indicators that Mother did not reside there.</w:t>
      </w:r>
      <w:r w:rsidR="00DA1EFB">
        <w:t xml:space="preserve"> </w:t>
      </w:r>
    </w:p>
  </w:footnote>
  <w:footnote w:id="3">
    <w:p w14:paraId="51359E43" w14:textId="64A016F7" w:rsidR="003031B0" w:rsidRPr="00B605D1" w:rsidRDefault="003031B0">
      <w:pPr>
        <w:pStyle w:val="FootnoteText"/>
        <w:rPr>
          <w:rFonts w:ascii="Aptos" w:hAnsi="Aptos"/>
        </w:rPr>
      </w:pPr>
      <w:r w:rsidRPr="003031B0">
        <w:rPr>
          <w:rStyle w:val="FootnoteReference"/>
          <w:rFonts w:ascii="Aptos" w:hAnsi="Aptos"/>
        </w:rPr>
        <w:footnoteRef/>
      </w:r>
      <w:r w:rsidRPr="003031B0">
        <w:rPr>
          <w:rFonts w:ascii="Aptos" w:hAnsi="Aptos"/>
        </w:rPr>
        <w:t xml:space="preserve"> </w:t>
      </w:r>
      <w:r w:rsidRPr="003031B0">
        <w:rPr>
          <w:rFonts w:ascii="Aptos" w:hAnsi="Aptos" w:cs="Times New Roman"/>
        </w:rPr>
        <w:t xml:space="preserve">This rule is analogous to Rule 12(b)(6) of the Federal Rules of Civil Procedure and as such hearing officers have generally used the same standards as the courts in deciding motions to dismiss for failure to state a </w:t>
      </w:r>
      <w:r w:rsidRPr="00B605D1">
        <w:rPr>
          <w:rFonts w:ascii="Aptos" w:hAnsi="Aptos" w:cs="Times New Roman"/>
        </w:rPr>
        <w:t>claim.</w:t>
      </w:r>
    </w:p>
  </w:footnote>
  <w:footnote w:id="4">
    <w:p w14:paraId="4C86632D" w14:textId="77777777" w:rsidR="00AC261A" w:rsidRPr="00B605D1" w:rsidRDefault="00AC261A" w:rsidP="00AC261A">
      <w:pPr>
        <w:pStyle w:val="FootnoteText"/>
        <w:rPr>
          <w:rFonts w:ascii="Aptos" w:hAnsi="Aptos" w:cs="Times New Roman"/>
        </w:rPr>
      </w:pPr>
      <w:r w:rsidRPr="00B605D1">
        <w:rPr>
          <w:rStyle w:val="FootnoteReference"/>
          <w:rFonts w:ascii="Aptos" w:hAnsi="Aptos" w:cs="Times New Roman"/>
        </w:rPr>
        <w:footnoteRef/>
      </w:r>
      <w:r w:rsidRPr="00B605D1">
        <w:rPr>
          <w:rFonts w:ascii="Aptos" w:hAnsi="Aptos" w:cs="Times New Roman"/>
        </w:rPr>
        <w:t xml:space="preserve"> </w:t>
      </w:r>
      <w:r w:rsidRPr="00B605D1">
        <w:rPr>
          <w:rFonts w:ascii="Aptos" w:hAnsi="Aptos" w:cs="Times New Roman"/>
          <w:i/>
        </w:rPr>
        <w:t>Iannocchino v. Ford Motor Co.</w:t>
      </w:r>
      <w:r w:rsidRPr="00B605D1">
        <w:rPr>
          <w:rFonts w:ascii="Aptos" w:hAnsi="Aptos" w:cs="Times New Roman"/>
        </w:rPr>
        <w:t xml:space="preserve">, 451 Mass. 623, 636 (2008) (quoting </w:t>
      </w:r>
      <w:r w:rsidRPr="00B605D1">
        <w:rPr>
          <w:rFonts w:ascii="Aptos" w:hAnsi="Aptos" w:cs="Times New Roman"/>
          <w:i/>
        </w:rPr>
        <w:t>Bell Atl. Corp. v. Twombly</w:t>
      </w:r>
      <w:r w:rsidRPr="00B605D1">
        <w:rPr>
          <w:rFonts w:ascii="Aptos" w:hAnsi="Aptos" w:cs="Times New Roman"/>
        </w:rPr>
        <w:t xml:space="preserve">, 550 U.S. 544, 557 (2007)).   </w:t>
      </w:r>
    </w:p>
  </w:footnote>
  <w:footnote w:id="5">
    <w:p w14:paraId="5A9787EB" w14:textId="77777777" w:rsidR="00AC261A" w:rsidRPr="00B605D1" w:rsidRDefault="00AC261A" w:rsidP="00AC261A">
      <w:pPr>
        <w:pStyle w:val="FootnoteText"/>
        <w:tabs>
          <w:tab w:val="left" w:pos="7200"/>
        </w:tabs>
        <w:rPr>
          <w:rFonts w:ascii="Aptos" w:hAnsi="Aptos" w:cs="Times New Roman"/>
        </w:rPr>
      </w:pPr>
      <w:r w:rsidRPr="00B605D1">
        <w:rPr>
          <w:rStyle w:val="FootnoteReference"/>
          <w:rFonts w:ascii="Aptos" w:hAnsi="Aptos" w:cs="Times New Roman"/>
        </w:rPr>
        <w:footnoteRef/>
      </w:r>
      <w:r w:rsidRPr="00B605D1">
        <w:rPr>
          <w:rFonts w:ascii="Aptos" w:hAnsi="Aptos" w:cs="Times New Roman"/>
        </w:rPr>
        <w:t xml:space="preserve"> </w:t>
      </w:r>
      <w:r w:rsidRPr="00B605D1">
        <w:rPr>
          <w:rFonts w:ascii="Aptos" w:hAnsi="Aptos" w:cs="Times New Roman"/>
          <w:i/>
        </w:rPr>
        <w:t>Blank v. Chelmsford Ob/Gyn, P.C.</w:t>
      </w:r>
      <w:r w:rsidRPr="00B605D1">
        <w:rPr>
          <w:rFonts w:ascii="Aptos" w:hAnsi="Aptos" w:cs="Times New Roman"/>
        </w:rPr>
        <w:t>, 420 Mass. 404, 407 (1995).</w:t>
      </w:r>
      <w:r w:rsidRPr="00B605D1">
        <w:rPr>
          <w:rFonts w:ascii="Aptos" w:hAnsi="Aptos" w:cs="Times New Roman"/>
        </w:rPr>
        <w:tab/>
      </w:r>
    </w:p>
  </w:footnote>
  <w:footnote w:id="6">
    <w:p w14:paraId="02462E1F" w14:textId="77777777" w:rsidR="00AC261A" w:rsidRPr="00B605D1" w:rsidRDefault="00AC261A" w:rsidP="00AC261A">
      <w:pPr>
        <w:pStyle w:val="FootnoteText"/>
        <w:rPr>
          <w:rFonts w:ascii="Aptos" w:hAnsi="Aptos" w:cs="Times New Roman"/>
        </w:rPr>
      </w:pPr>
      <w:r w:rsidRPr="00B605D1">
        <w:rPr>
          <w:rStyle w:val="FootnoteReference"/>
          <w:rFonts w:ascii="Aptos" w:hAnsi="Aptos" w:cs="Times New Roman"/>
        </w:rPr>
        <w:footnoteRef/>
      </w:r>
      <w:r w:rsidRPr="00B605D1">
        <w:rPr>
          <w:rFonts w:ascii="Aptos" w:hAnsi="Aptos" w:cs="Times New Roman"/>
        </w:rPr>
        <w:t xml:space="preserve"> </w:t>
      </w:r>
      <w:r w:rsidRPr="00B605D1">
        <w:rPr>
          <w:rFonts w:ascii="Aptos" w:hAnsi="Aptos" w:cs="Times New Roman"/>
          <w:i/>
        </w:rPr>
        <w:t>Golchin v. Liberty Mut. Ins. Co.</w:t>
      </w:r>
      <w:r w:rsidRPr="00B605D1">
        <w:rPr>
          <w:rFonts w:ascii="Aptos" w:hAnsi="Aptos" w:cs="Times New Roman"/>
        </w:rPr>
        <w:t xml:space="preserve">, 460 Mass. 222, 223 (2011) (internal quotation marks and citations omitted); see </w:t>
      </w:r>
      <w:r w:rsidRPr="00B605D1">
        <w:rPr>
          <w:rFonts w:ascii="Aptos" w:hAnsi="Aptos" w:cs="Times New Roman"/>
          <w:i/>
          <w:iCs/>
        </w:rPr>
        <w:t>Ocasio-Hernandez v. Fortuno-Burset,</w:t>
      </w:r>
      <w:r w:rsidRPr="00B605D1">
        <w:rPr>
          <w:rFonts w:ascii="Aptos" w:hAnsi="Aptos" w:cs="Times New Roman"/>
        </w:rPr>
        <w:t xml:space="preserve"> 640 F.3d 1, 12 (1st Cir. 2011) (internal citation omitted) (“in order to ‘show’ an entitlement to relief a complaint must contain enough factual material ‘to raise a right to relief above the speculative level on the assumption that all the allegations in the complaint are true (even if doubtful in fact)’”).</w:t>
      </w:r>
    </w:p>
  </w:footnote>
  <w:footnote w:id="7">
    <w:p w14:paraId="55E8C19B" w14:textId="2FCB081D" w:rsidR="00AC261A" w:rsidRPr="00AC261A" w:rsidRDefault="00AC261A">
      <w:pPr>
        <w:pStyle w:val="FootnoteText"/>
        <w:rPr>
          <w:i/>
          <w:iCs/>
        </w:rPr>
      </w:pPr>
      <w:r w:rsidRPr="00B605D1">
        <w:rPr>
          <w:rStyle w:val="FootnoteReference"/>
          <w:rFonts w:ascii="Aptos" w:hAnsi="Aptos"/>
        </w:rPr>
        <w:footnoteRef/>
      </w:r>
      <w:r w:rsidRPr="00B605D1">
        <w:rPr>
          <w:rFonts w:ascii="Aptos" w:hAnsi="Aptos"/>
        </w:rPr>
        <w:t xml:space="preserve"> See</w:t>
      </w:r>
      <w:r w:rsidR="003031B0" w:rsidRPr="00B605D1">
        <w:rPr>
          <w:rFonts w:ascii="Aptos" w:hAnsi="Aptos"/>
        </w:rPr>
        <w:t xml:space="preserve"> </w:t>
      </w:r>
      <w:r w:rsidRPr="00B605D1">
        <w:rPr>
          <w:rFonts w:ascii="Aptos" w:hAnsi="Aptos"/>
          <w:i/>
          <w:iCs/>
        </w:rPr>
        <w:t xml:space="preserve">In Re: Hudson, </w:t>
      </w:r>
      <w:r w:rsidRPr="00B605D1">
        <w:rPr>
          <w:rFonts w:ascii="Aptos" w:hAnsi="Aptos"/>
          <w:i/>
          <w:iCs/>
        </w:rPr>
        <w:t>Ruling on Taunton Public Schools’ Motion to Dismiss Itself as a Party</w:t>
      </w:r>
      <w:r w:rsidRPr="00B605D1">
        <w:rPr>
          <w:rFonts w:ascii="Aptos" w:hAnsi="Aptos"/>
        </w:rPr>
        <w:t>,</w:t>
      </w:r>
      <w:r w:rsidRPr="00B605D1">
        <w:rPr>
          <w:rFonts w:ascii="Aptos" w:hAnsi="Aptos"/>
          <w:i/>
          <w:iCs/>
        </w:rPr>
        <w:t xml:space="preserve"> </w:t>
      </w:r>
      <w:r w:rsidRPr="00B605D1">
        <w:rPr>
          <w:rFonts w:ascii="Aptos" w:hAnsi="Aptos"/>
        </w:rPr>
        <w:t>BSEA #</w:t>
      </w:r>
      <w:r w:rsidR="003031B0" w:rsidRPr="00B605D1">
        <w:rPr>
          <w:rFonts w:ascii="Aptos" w:hAnsi="Aptos"/>
        </w:rPr>
        <w:t>1810830 (Reichbach, 2018)</w:t>
      </w:r>
      <w:r w:rsidR="00B605D1" w:rsidRPr="00B605D1">
        <w:rPr>
          <w:rFonts w:ascii="Aptos" w:hAnsi="Aptos"/>
        </w:rPr>
        <w:t>.</w:t>
      </w:r>
    </w:p>
  </w:footnote>
  <w:footnote w:id="8">
    <w:p w14:paraId="38BB5891" w14:textId="47441B26" w:rsidR="007D08EE" w:rsidRPr="00C711DE" w:rsidRDefault="007D08EE">
      <w:pPr>
        <w:pStyle w:val="FootnoteText"/>
        <w:rPr>
          <w:rFonts w:ascii="Aptos" w:hAnsi="Aptos"/>
        </w:rPr>
      </w:pPr>
      <w:r w:rsidRPr="00C711DE">
        <w:rPr>
          <w:rStyle w:val="FootnoteReference"/>
          <w:rFonts w:ascii="Aptos" w:hAnsi="Aptos"/>
        </w:rPr>
        <w:footnoteRef/>
      </w:r>
      <w:r w:rsidRPr="00C711DE">
        <w:rPr>
          <w:rFonts w:ascii="Aptos" w:hAnsi="Aptos"/>
        </w:rPr>
        <w:t xml:space="preserve"> As the party seeking dismissal of itself in the instant matter is a school district, I need not consider limitations on the BSEA’s authority to order state agencies to provide services to students, such as those set forth in </w:t>
      </w:r>
      <w:r w:rsidRPr="00C711DE">
        <w:rPr>
          <w:rFonts w:ascii="Aptos" w:hAnsi="Aptos" w:cs="Times New Roman"/>
        </w:rPr>
        <w:t xml:space="preserve">Mass. Gen. Laws </w:t>
      </w:r>
      <w:r w:rsidRPr="00C711DE">
        <w:rPr>
          <w:rFonts w:ascii="Aptos" w:hAnsi="Aptos" w:cs="Times New Roman"/>
        </w:rPr>
        <w:t>ch. 71B, § 3.</w:t>
      </w:r>
    </w:p>
  </w:footnote>
  <w:footnote w:id="9">
    <w:p w14:paraId="731F1EC4" w14:textId="77777777" w:rsidR="00FF3EE1" w:rsidRPr="00C711DE" w:rsidRDefault="00FF3EE1" w:rsidP="00FF3EE1">
      <w:pPr>
        <w:pStyle w:val="FootnoteText"/>
        <w:rPr>
          <w:rFonts w:ascii="Aptos" w:hAnsi="Aptos" w:cs="Times New Roman"/>
        </w:rPr>
      </w:pPr>
      <w:r w:rsidRPr="00C711DE">
        <w:rPr>
          <w:rStyle w:val="FootnoteReference"/>
          <w:rFonts w:ascii="Aptos" w:hAnsi="Aptos" w:cs="Times New Roman"/>
        </w:rPr>
        <w:footnoteRef/>
      </w:r>
      <w:r w:rsidRPr="00C711DE">
        <w:rPr>
          <w:rFonts w:ascii="Aptos" w:hAnsi="Aptos" w:cs="Times New Roman"/>
        </w:rPr>
        <w:t xml:space="preserve"> BSEA </w:t>
      </w:r>
      <w:r w:rsidRPr="00C711DE">
        <w:rPr>
          <w:rFonts w:ascii="Aptos" w:hAnsi="Aptos" w:cs="Times New Roman"/>
          <w:i/>
        </w:rPr>
        <w:t>Hearing Rule</w:t>
      </w:r>
      <w:r w:rsidRPr="00C711DE">
        <w:rPr>
          <w:rFonts w:ascii="Aptos" w:hAnsi="Aptos" w:cs="Times New Roman"/>
        </w:rPr>
        <w:t xml:space="preserve"> I(J).</w:t>
      </w:r>
    </w:p>
  </w:footnote>
  <w:footnote w:id="10">
    <w:p w14:paraId="5D54B1DF" w14:textId="2D6B4C74" w:rsidR="00B605D1" w:rsidRPr="00C711DE" w:rsidRDefault="00B605D1">
      <w:pPr>
        <w:pStyle w:val="FootnoteText"/>
        <w:rPr>
          <w:rFonts w:ascii="Aptos" w:hAnsi="Aptos"/>
        </w:rPr>
      </w:pPr>
      <w:r w:rsidRPr="00C711DE">
        <w:rPr>
          <w:rStyle w:val="FootnoteReference"/>
          <w:rFonts w:ascii="Aptos" w:hAnsi="Aptos"/>
        </w:rPr>
        <w:footnoteRef/>
      </w:r>
      <w:r w:rsidRPr="00C711DE">
        <w:rPr>
          <w:rFonts w:ascii="Aptos" w:hAnsi="Aptos"/>
        </w:rPr>
        <w:t xml:space="preserve"> </w:t>
      </w:r>
      <w:r w:rsidR="00C711DE" w:rsidRPr="00C711DE">
        <w:rPr>
          <w:rFonts w:ascii="Aptos" w:hAnsi="Aptos"/>
        </w:rPr>
        <w:t xml:space="preserve">See </w:t>
      </w:r>
      <w:r w:rsidR="00C711DE" w:rsidRPr="00C711DE">
        <w:rPr>
          <w:rFonts w:ascii="Aptos" w:hAnsi="Aptos"/>
          <w:i/>
          <w:iCs/>
        </w:rPr>
        <w:t>id</w:t>
      </w:r>
      <w:r w:rsidR="00C711DE" w:rsidRPr="00C711DE">
        <w:rPr>
          <w:rFonts w:ascii="Aptos" w:hAnsi="Aptos"/>
        </w:rPr>
        <w:t>.</w:t>
      </w:r>
    </w:p>
  </w:footnote>
  <w:footnote w:id="11">
    <w:p w14:paraId="79E90D5B" w14:textId="64A2E62B" w:rsidR="003031B0" w:rsidRPr="00C711DE" w:rsidRDefault="003031B0" w:rsidP="003031B0">
      <w:pPr>
        <w:pStyle w:val="FootnoteText"/>
        <w:rPr>
          <w:rFonts w:ascii="Aptos" w:hAnsi="Aptos"/>
        </w:rPr>
      </w:pPr>
      <w:r w:rsidRPr="00C711DE">
        <w:rPr>
          <w:rStyle w:val="FootnoteReference"/>
          <w:rFonts w:ascii="Aptos" w:hAnsi="Aptos"/>
        </w:rPr>
        <w:footnoteRef/>
      </w:r>
      <w:r w:rsidRPr="00C711DE">
        <w:rPr>
          <w:rFonts w:ascii="Aptos" w:hAnsi="Aptos"/>
        </w:rPr>
        <w:t xml:space="preserve"> </w:t>
      </w:r>
      <w:r w:rsidR="00C711DE" w:rsidRPr="00C711DE">
        <w:rPr>
          <w:rFonts w:ascii="Aptos" w:hAnsi="Aptos"/>
        </w:rPr>
        <w:t xml:space="preserve">See </w:t>
      </w:r>
      <w:r w:rsidR="00C711DE" w:rsidRPr="00C711DE">
        <w:rPr>
          <w:rFonts w:ascii="Aptos" w:hAnsi="Aptos"/>
          <w:i/>
          <w:iCs/>
        </w:rPr>
        <w:t>id</w:t>
      </w:r>
      <w:r w:rsidR="00C711DE" w:rsidRPr="00C711DE">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3E6"/>
    <w:multiLevelType w:val="hybridMultilevel"/>
    <w:tmpl w:val="49F822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A50C86"/>
    <w:multiLevelType w:val="hybridMultilevel"/>
    <w:tmpl w:val="A53A5598"/>
    <w:lvl w:ilvl="0" w:tplc="F2A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26B830"/>
    <w:multiLevelType w:val="hybridMultilevel"/>
    <w:tmpl w:val="9F725B9E"/>
    <w:lvl w:ilvl="0" w:tplc="0F92D5C8">
      <w:start w:val="1"/>
      <w:numFmt w:val="decimal"/>
      <w:lvlText w:val="%1."/>
      <w:lvlJc w:val="left"/>
      <w:pPr>
        <w:ind w:left="720" w:hanging="360"/>
      </w:pPr>
    </w:lvl>
    <w:lvl w:ilvl="1" w:tplc="0180EF0C">
      <w:start w:val="1"/>
      <w:numFmt w:val="lowerLetter"/>
      <w:lvlText w:val="%2."/>
      <w:lvlJc w:val="left"/>
      <w:pPr>
        <w:ind w:left="1440" w:hanging="360"/>
      </w:pPr>
    </w:lvl>
    <w:lvl w:ilvl="2" w:tplc="4E48A548">
      <w:start w:val="1"/>
      <w:numFmt w:val="lowerRoman"/>
      <w:lvlText w:val="%3."/>
      <w:lvlJc w:val="right"/>
      <w:pPr>
        <w:ind w:left="2160" w:hanging="180"/>
      </w:pPr>
    </w:lvl>
    <w:lvl w:ilvl="3" w:tplc="50344D2A">
      <w:start w:val="1"/>
      <w:numFmt w:val="decimal"/>
      <w:lvlText w:val="%4."/>
      <w:lvlJc w:val="left"/>
      <w:pPr>
        <w:ind w:left="2880" w:hanging="360"/>
      </w:pPr>
    </w:lvl>
    <w:lvl w:ilvl="4" w:tplc="A96405D0">
      <w:start w:val="1"/>
      <w:numFmt w:val="lowerLetter"/>
      <w:lvlText w:val="%5."/>
      <w:lvlJc w:val="left"/>
      <w:pPr>
        <w:ind w:left="3600" w:hanging="360"/>
      </w:pPr>
    </w:lvl>
    <w:lvl w:ilvl="5" w:tplc="6D304A12">
      <w:start w:val="1"/>
      <w:numFmt w:val="lowerRoman"/>
      <w:lvlText w:val="%6."/>
      <w:lvlJc w:val="right"/>
      <w:pPr>
        <w:ind w:left="4320" w:hanging="180"/>
      </w:pPr>
    </w:lvl>
    <w:lvl w:ilvl="6" w:tplc="E98AD152">
      <w:start w:val="1"/>
      <w:numFmt w:val="decimal"/>
      <w:lvlText w:val="%7."/>
      <w:lvlJc w:val="left"/>
      <w:pPr>
        <w:ind w:left="5040" w:hanging="360"/>
      </w:pPr>
    </w:lvl>
    <w:lvl w:ilvl="7" w:tplc="B4360800">
      <w:start w:val="1"/>
      <w:numFmt w:val="lowerLetter"/>
      <w:lvlText w:val="%8."/>
      <w:lvlJc w:val="left"/>
      <w:pPr>
        <w:ind w:left="5760" w:hanging="360"/>
      </w:pPr>
    </w:lvl>
    <w:lvl w:ilvl="8" w:tplc="22C2B50C">
      <w:start w:val="1"/>
      <w:numFmt w:val="lowerRoman"/>
      <w:lvlText w:val="%9."/>
      <w:lvlJc w:val="right"/>
      <w:pPr>
        <w:ind w:left="6480" w:hanging="180"/>
      </w:pPr>
    </w:lvl>
  </w:abstractNum>
  <w:abstractNum w:abstractNumId="3" w15:restartNumberingAfterBreak="0">
    <w:nsid w:val="40A548F6"/>
    <w:multiLevelType w:val="hybridMultilevel"/>
    <w:tmpl w:val="3DA2E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53FA7"/>
    <w:multiLevelType w:val="hybridMultilevel"/>
    <w:tmpl w:val="49F82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0694F"/>
    <w:multiLevelType w:val="hybridMultilevel"/>
    <w:tmpl w:val="229AB44A"/>
    <w:lvl w:ilvl="0" w:tplc="F7AAEE2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5F7D3B"/>
    <w:multiLevelType w:val="hybridMultilevel"/>
    <w:tmpl w:val="A574EDE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497074">
    <w:abstractNumId w:val="2"/>
  </w:num>
  <w:num w:numId="2" w16cid:durableId="2098358405">
    <w:abstractNumId w:val="3"/>
  </w:num>
  <w:num w:numId="3" w16cid:durableId="1611934698">
    <w:abstractNumId w:val="4"/>
  </w:num>
  <w:num w:numId="4" w16cid:durableId="960385396">
    <w:abstractNumId w:val="0"/>
  </w:num>
  <w:num w:numId="5" w16cid:durableId="1287858634">
    <w:abstractNumId w:val="6"/>
  </w:num>
  <w:num w:numId="6" w16cid:durableId="1963807608">
    <w:abstractNumId w:val="5"/>
  </w:num>
  <w:num w:numId="7" w16cid:durableId="102682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5536A"/>
    <w:rsid w:val="00027F84"/>
    <w:rsid w:val="00030462"/>
    <w:rsid w:val="00040A07"/>
    <w:rsid w:val="00046860"/>
    <w:rsid w:val="0005248B"/>
    <w:rsid w:val="000610DC"/>
    <w:rsid w:val="00070554"/>
    <w:rsid w:val="0007499C"/>
    <w:rsid w:val="000901AB"/>
    <w:rsid w:val="000950C1"/>
    <w:rsid w:val="000A5F6B"/>
    <w:rsid w:val="000E6B0B"/>
    <w:rsid w:val="00102E52"/>
    <w:rsid w:val="001127C6"/>
    <w:rsid w:val="0011349D"/>
    <w:rsid w:val="001260EC"/>
    <w:rsid w:val="00161885"/>
    <w:rsid w:val="001B1200"/>
    <w:rsid w:val="001B54D4"/>
    <w:rsid w:val="001C75ED"/>
    <w:rsid w:val="001D26C7"/>
    <w:rsid w:val="001D3866"/>
    <w:rsid w:val="0020705D"/>
    <w:rsid w:val="00210CD8"/>
    <w:rsid w:val="002225BD"/>
    <w:rsid w:val="00260645"/>
    <w:rsid w:val="002A0A80"/>
    <w:rsid w:val="002B1A64"/>
    <w:rsid w:val="002B5E1F"/>
    <w:rsid w:val="002E1BC7"/>
    <w:rsid w:val="002E257D"/>
    <w:rsid w:val="002E2842"/>
    <w:rsid w:val="002F2DE8"/>
    <w:rsid w:val="002F5846"/>
    <w:rsid w:val="002F652B"/>
    <w:rsid w:val="003031B0"/>
    <w:rsid w:val="00304DFF"/>
    <w:rsid w:val="00311480"/>
    <w:rsid w:val="00314623"/>
    <w:rsid w:val="00334CAD"/>
    <w:rsid w:val="003736F1"/>
    <w:rsid w:val="00373D68"/>
    <w:rsid w:val="003A693F"/>
    <w:rsid w:val="003E3E9D"/>
    <w:rsid w:val="003F743E"/>
    <w:rsid w:val="00404014"/>
    <w:rsid w:val="00407787"/>
    <w:rsid w:val="004125DE"/>
    <w:rsid w:val="004470CF"/>
    <w:rsid w:val="004537A2"/>
    <w:rsid w:val="00472DF7"/>
    <w:rsid w:val="00474171"/>
    <w:rsid w:val="00482702"/>
    <w:rsid w:val="004A39A8"/>
    <w:rsid w:val="004B173F"/>
    <w:rsid w:val="004C4363"/>
    <w:rsid w:val="004D4B23"/>
    <w:rsid w:val="005073A9"/>
    <w:rsid w:val="00512151"/>
    <w:rsid w:val="0051450B"/>
    <w:rsid w:val="005316DE"/>
    <w:rsid w:val="00541386"/>
    <w:rsid w:val="005425E4"/>
    <w:rsid w:val="00547055"/>
    <w:rsid w:val="00563CF4"/>
    <w:rsid w:val="00567ED3"/>
    <w:rsid w:val="005732F9"/>
    <w:rsid w:val="005816F5"/>
    <w:rsid w:val="005B0FDE"/>
    <w:rsid w:val="005D1220"/>
    <w:rsid w:val="005F2828"/>
    <w:rsid w:val="0062544B"/>
    <w:rsid w:val="006434B8"/>
    <w:rsid w:val="0065763F"/>
    <w:rsid w:val="00664538"/>
    <w:rsid w:val="006730BC"/>
    <w:rsid w:val="00695F17"/>
    <w:rsid w:val="006A420E"/>
    <w:rsid w:val="006C4DBA"/>
    <w:rsid w:val="006C5F67"/>
    <w:rsid w:val="006D0378"/>
    <w:rsid w:val="006F528B"/>
    <w:rsid w:val="007034DA"/>
    <w:rsid w:val="007057A4"/>
    <w:rsid w:val="0072027E"/>
    <w:rsid w:val="00720FAE"/>
    <w:rsid w:val="00730347"/>
    <w:rsid w:val="007322DB"/>
    <w:rsid w:val="00741173"/>
    <w:rsid w:val="0074486A"/>
    <w:rsid w:val="00757DCE"/>
    <w:rsid w:val="00761F68"/>
    <w:rsid w:val="0078604C"/>
    <w:rsid w:val="00796735"/>
    <w:rsid w:val="007A629B"/>
    <w:rsid w:val="007C36DA"/>
    <w:rsid w:val="007C413C"/>
    <w:rsid w:val="007D08EE"/>
    <w:rsid w:val="00812EC6"/>
    <w:rsid w:val="0082290C"/>
    <w:rsid w:val="00822CDE"/>
    <w:rsid w:val="008326CE"/>
    <w:rsid w:val="00891131"/>
    <w:rsid w:val="008917D9"/>
    <w:rsid w:val="008A6BCB"/>
    <w:rsid w:val="008B0D14"/>
    <w:rsid w:val="008C6561"/>
    <w:rsid w:val="008E344B"/>
    <w:rsid w:val="009017B9"/>
    <w:rsid w:val="00902181"/>
    <w:rsid w:val="00904BBF"/>
    <w:rsid w:val="00923B4F"/>
    <w:rsid w:val="00970404"/>
    <w:rsid w:val="00995B84"/>
    <w:rsid w:val="0099740F"/>
    <w:rsid w:val="009B589F"/>
    <w:rsid w:val="009D2990"/>
    <w:rsid w:val="009D3CC3"/>
    <w:rsid w:val="009F29EE"/>
    <w:rsid w:val="00A010A5"/>
    <w:rsid w:val="00A04EFD"/>
    <w:rsid w:val="00A13F57"/>
    <w:rsid w:val="00A2037A"/>
    <w:rsid w:val="00A26012"/>
    <w:rsid w:val="00A31A41"/>
    <w:rsid w:val="00A337AA"/>
    <w:rsid w:val="00A621AF"/>
    <w:rsid w:val="00A62A89"/>
    <w:rsid w:val="00A763E7"/>
    <w:rsid w:val="00A8180E"/>
    <w:rsid w:val="00A93A36"/>
    <w:rsid w:val="00AB2BA3"/>
    <w:rsid w:val="00AC261A"/>
    <w:rsid w:val="00AD63CD"/>
    <w:rsid w:val="00AE19E1"/>
    <w:rsid w:val="00AE4610"/>
    <w:rsid w:val="00AE4F06"/>
    <w:rsid w:val="00AF27DF"/>
    <w:rsid w:val="00B20DB0"/>
    <w:rsid w:val="00B3206C"/>
    <w:rsid w:val="00B333B8"/>
    <w:rsid w:val="00B365DB"/>
    <w:rsid w:val="00B605D1"/>
    <w:rsid w:val="00B7378F"/>
    <w:rsid w:val="00B80F75"/>
    <w:rsid w:val="00B80FC7"/>
    <w:rsid w:val="00B81218"/>
    <w:rsid w:val="00B81EBF"/>
    <w:rsid w:val="00BA1E6B"/>
    <w:rsid w:val="00BD6FEB"/>
    <w:rsid w:val="00BF048C"/>
    <w:rsid w:val="00C07DE1"/>
    <w:rsid w:val="00C23673"/>
    <w:rsid w:val="00C36398"/>
    <w:rsid w:val="00C363DD"/>
    <w:rsid w:val="00C4694E"/>
    <w:rsid w:val="00C6380E"/>
    <w:rsid w:val="00C67666"/>
    <w:rsid w:val="00C711DE"/>
    <w:rsid w:val="00C840D6"/>
    <w:rsid w:val="00C91ACA"/>
    <w:rsid w:val="00C971E0"/>
    <w:rsid w:val="00CA41EA"/>
    <w:rsid w:val="00CA6102"/>
    <w:rsid w:val="00CC6579"/>
    <w:rsid w:val="00CE4B98"/>
    <w:rsid w:val="00CE788A"/>
    <w:rsid w:val="00CF0F25"/>
    <w:rsid w:val="00CF6516"/>
    <w:rsid w:val="00D51B48"/>
    <w:rsid w:val="00D643DE"/>
    <w:rsid w:val="00D66FAD"/>
    <w:rsid w:val="00D755F5"/>
    <w:rsid w:val="00D917DC"/>
    <w:rsid w:val="00DA1EFB"/>
    <w:rsid w:val="00DA3B54"/>
    <w:rsid w:val="00DA68F3"/>
    <w:rsid w:val="00DB402C"/>
    <w:rsid w:val="00DC7E50"/>
    <w:rsid w:val="00DE3984"/>
    <w:rsid w:val="00DE73AC"/>
    <w:rsid w:val="00DF54E0"/>
    <w:rsid w:val="00E01003"/>
    <w:rsid w:val="00E0414D"/>
    <w:rsid w:val="00E079BC"/>
    <w:rsid w:val="00E0F6A2"/>
    <w:rsid w:val="00E103CE"/>
    <w:rsid w:val="00E27260"/>
    <w:rsid w:val="00E61A3E"/>
    <w:rsid w:val="00E64D09"/>
    <w:rsid w:val="00E66A62"/>
    <w:rsid w:val="00EA176A"/>
    <w:rsid w:val="00EB403C"/>
    <w:rsid w:val="00EC574E"/>
    <w:rsid w:val="00ED41C5"/>
    <w:rsid w:val="00EE1066"/>
    <w:rsid w:val="00F009D6"/>
    <w:rsid w:val="00F23F4D"/>
    <w:rsid w:val="00F2697D"/>
    <w:rsid w:val="00F26DD9"/>
    <w:rsid w:val="00F27AC4"/>
    <w:rsid w:val="00F33707"/>
    <w:rsid w:val="00F37261"/>
    <w:rsid w:val="00F44A03"/>
    <w:rsid w:val="00F454CF"/>
    <w:rsid w:val="00F53236"/>
    <w:rsid w:val="00F55C0D"/>
    <w:rsid w:val="00F87539"/>
    <w:rsid w:val="00F962F4"/>
    <w:rsid w:val="00FA478E"/>
    <w:rsid w:val="00FB770C"/>
    <w:rsid w:val="00FD0C60"/>
    <w:rsid w:val="00FE3DD9"/>
    <w:rsid w:val="00FF3D7E"/>
    <w:rsid w:val="00FF3EE1"/>
    <w:rsid w:val="00FF46BE"/>
    <w:rsid w:val="012DC922"/>
    <w:rsid w:val="05C27A61"/>
    <w:rsid w:val="0716D887"/>
    <w:rsid w:val="08403D45"/>
    <w:rsid w:val="09CE8151"/>
    <w:rsid w:val="0AAB15C0"/>
    <w:rsid w:val="0B31E7E9"/>
    <w:rsid w:val="0C29AA53"/>
    <w:rsid w:val="0E01A2CA"/>
    <w:rsid w:val="0E180095"/>
    <w:rsid w:val="0F85536A"/>
    <w:rsid w:val="13E29668"/>
    <w:rsid w:val="16570D1D"/>
    <w:rsid w:val="16ABDE72"/>
    <w:rsid w:val="173AD4D2"/>
    <w:rsid w:val="17A06D1E"/>
    <w:rsid w:val="17E3BA33"/>
    <w:rsid w:val="1AF79A25"/>
    <w:rsid w:val="1BC19BE8"/>
    <w:rsid w:val="1C9E4BC4"/>
    <w:rsid w:val="1D76259F"/>
    <w:rsid w:val="1EC604FA"/>
    <w:rsid w:val="1F461DC6"/>
    <w:rsid w:val="200AFD84"/>
    <w:rsid w:val="20C4478E"/>
    <w:rsid w:val="21F27863"/>
    <w:rsid w:val="221DB82B"/>
    <w:rsid w:val="22416F38"/>
    <w:rsid w:val="22D2AE25"/>
    <w:rsid w:val="2309779B"/>
    <w:rsid w:val="239C0E03"/>
    <w:rsid w:val="2470E127"/>
    <w:rsid w:val="261D262C"/>
    <w:rsid w:val="27814002"/>
    <w:rsid w:val="27A087D6"/>
    <w:rsid w:val="27C5BE8E"/>
    <w:rsid w:val="2A563765"/>
    <w:rsid w:val="2CB6586D"/>
    <w:rsid w:val="2F946516"/>
    <w:rsid w:val="2FDE1435"/>
    <w:rsid w:val="30C4CF63"/>
    <w:rsid w:val="3251CD50"/>
    <w:rsid w:val="3294334C"/>
    <w:rsid w:val="335075AC"/>
    <w:rsid w:val="35133327"/>
    <w:rsid w:val="365253FB"/>
    <w:rsid w:val="37500D64"/>
    <w:rsid w:val="37A7178C"/>
    <w:rsid w:val="38C94435"/>
    <w:rsid w:val="394AD75F"/>
    <w:rsid w:val="39CB9B41"/>
    <w:rsid w:val="3A411C32"/>
    <w:rsid w:val="3AAB0C7D"/>
    <w:rsid w:val="3BBF515B"/>
    <w:rsid w:val="3C4AE9AE"/>
    <w:rsid w:val="3CA0F0FC"/>
    <w:rsid w:val="3F150E23"/>
    <w:rsid w:val="3F746680"/>
    <w:rsid w:val="40061006"/>
    <w:rsid w:val="42E6F133"/>
    <w:rsid w:val="46DEDF09"/>
    <w:rsid w:val="47C7DAF7"/>
    <w:rsid w:val="483F3EA2"/>
    <w:rsid w:val="492B2214"/>
    <w:rsid w:val="4945C757"/>
    <w:rsid w:val="49A0571E"/>
    <w:rsid w:val="4AA043F0"/>
    <w:rsid w:val="4C40066C"/>
    <w:rsid w:val="4F449339"/>
    <w:rsid w:val="4F7F0E3D"/>
    <w:rsid w:val="4FB2F966"/>
    <w:rsid w:val="4FCC0962"/>
    <w:rsid w:val="5016F474"/>
    <w:rsid w:val="503AC2CB"/>
    <w:rsid w:val="50D92D44"/>
    <w:rsid w:val="50FEF3A0"/>
    <w:rsid w:val="514E4932"/>
    <w:rsid w:val="518248C6"/>
    <w:rsid w:val="51C22801"/>
    <w:rsid w:val="524A2EF6"/>
    <w:rsid w:val="53865953"/>
    <w:rsid w:val="539C9429"/>
    <w:rsid w:val="53A63312"/>
    <w:rsid w:val="54A4DE36"/>
    <w:rsid w:val="5931B47E"/>
    <w:rsid w:val="59DCF5AC"/>
    <w:rsid w:val="5A2D846A"/>
    <w:rsid w:val="5B37E697"/>
    <w:rsid w:val="5B3E2FBA"/>
    <w:rsid w:val="5B4A96A8"/>
    <w:rsid w:val="5BA6ABC5"/>
    <w:rsid w:val="5C421AFF"/>
    <w:rsid w:val="5C423CB4"/>
    <w:rsid w:val="5CF7BE77"/>
    <w:rsid w:val="5D7DB6F8"/>
    <w:rsid w:val="5D91E65A"/>
    <w:rsid w:val="5E229D25"/>
    <w:rsid w:val="5F418376"/>
    <w:rsid w:val="5FF58E20"/>
    <w:rsid w:val="601A06BA"/>
    <w:rsid w:val="6054F30F"/>
    <w:rsid w:val="617CBAD4"/>
    <w:rsid w:val="61C0FB83"/>
    <w:rsid w:val="63182E3F"/>
    <w:rsid w:val="63B841A9"/>
    <w:rsid w:val="66A1DB4F"/>
    <w:rsid w:val="66D12A21"/>
    <w:rsid w:val="671F5DE6"/>
    <w:rsid w:val="68521BA8"/>
    <w:rsid w:val="68A5BAA9"/>
    <w:rsid w:val="69313145"/>
    <w:rsid w:val="6ADAB3C1"/>
    <w:rsid w:val="6BC020C2"/>
    <w:rsid w:val="6CC28E6D"/>
    <w:rsid w:val="6D9DE8AF"/>
    <w:rsid w:val="70245219"/>
    <w:rsid w:val="71B73CF5"/>
    <w:rsid w:val="72388B83"/>
    <w:rsid w:val="72789C10"/>
    <w:rsid w:val="742387BF"/>
    <w:rsid w:val="74B71B89"/>
    <w:rsid w:val="750A2AC6"/>
    <w:rsid w:val="7604534A"/>
    <w:rsid w:val="76819265"/>
    <w:rsid w:val="784AC013"/>
    <w:rsid w:val="7ADC6470"/>
    <w:rsid w:val="7B89AE6B"/>
    <w:rsid w:val="7D30E762"/>
    <w:rsid w:val="7EC3EF91"/>
    <w:rsid w:val="7EFDB8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536A"/>
  <w15:chartTrackingRefBased/>
  <w15:docId w15:val="{886C26C4-D95A-4612-A526-AEF32B5B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normaltextrun">
    <w:name w:val="normaltextrun"/>
    <w:basedOn w:val="DefaultParagraphFont"/>
    <w:rsid w:val="000A5F6B"/>
  </w:style>
  <w:style w:type="paragraph" w:customStyle="1" w:styleId="paragraph">
    <w:name w:val="paragraph"/>
    <w:basedOn w:val="Normal"/>
    <w:rsid w:val="000A5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A5F6B"/>
  </w:style>
  <w:style w:type="character" w:styleId="CommentReference">
    <w:name w:val="annotation reference"/>
    <w:basedOn w:val="DefaultParagraphFont"/>
    <w:uiPriority w:val="99"/>
    <w:semiHidden/>
    <w:unhideWhenUsed/>
    <w:rsid w:val="00F44A03"/>
    <w:rPr>
      <w:sz w:val="16"/>
      <w:szCs w:val="16"/>
    </w:rPr>
  </w:style>
  <w:style w:type="paragraph" w:styleId="CommentText">
    <w:name w:val="annotation text"/>
    <w:basedOn w:val="Normal"/>
    <w:link w:val="CommentTextChar"/>
    <w:uiPriority w:val="99"/>
    <w:unhideWhenUsed/>
    <w:rsid w:val="00F44A03"/>
    <w:pPr>
      <w:spacing w:line="240" w:lineRule="auto"/>
    </w:pPr>
    <w:rPr>
      <w:sz w:val="20"/>
      <w:szCs w:val="20"/>
    </w:rPr>
  </w:style>
  <w:style w:type="character" w:customStyle="1" w:styleId="CommentTextChar">
    <w:name w:val="Comment Text Char"/>
    <w:basedOn w:val="DefaultParagraphFont"/>
    <w:link w:val="CommentText"/>
    <w:uiPriority w:val="99"/>
    <w:rsid w:val="00F44A03"/>
    <w:rPr>
      <w:sz w:val="20"/>
      <w:szCs w:val="20"/>
    </w:rPr>
  </w:style>
  <w:style w:type="paragraph" w:styleId="CommentSubject">
    <w:name w:val="annotation subject"/>
    <w:basedOn w:val="CommentText"/>
    <w:next w:val="CommentText"/>
    <w:link w:val="CommentSubjectChar"/>
    <w:uiPriority w:val="99"/>
    <w:semiHidden/>
    <w:unhideWhenUsed/>
    <w:rsid w:val="00F44A03"/>
    <w:rPr>
      <w:b/>
      <w:bCs/>
    </w:rPr>
  </w:style>
  <w:style w:type="character" w:customStyle="1" w:styleId="CommentSubjectChar">
    <w:name w:val="Comment Subject Char"/>
    <w:basedOn w:val="CommentTextChar"/>
    <w:link w:val="CommentSubject"/>
    <w:uiPriority w:val="99"/>
    <w:semiHidden/>
    <w:rsid w:val="00F44A03"/>
    <w:rPr>
      <w:b/>
      <w:bCs/>
      <w:sz w:val="20"/>
      <w:szCs w:val="20"/>
    </w:rPr>
  </w:style>
  <w:style w:type="paragraph" w:styleId="Header">
    <w:name w:val="header"/>
    <w:basedOn w:val="Normal"/>
    <w:link w:val="HeaderChar"/>
    <w:uiPriority w:val="99"/>
    <w:unhideWhenUsed/>
    <w:rsid w:val="00C36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398"/>
  </w:style>
  <w:style w:type="paragraph" w:styleId="Footer">
    <w:name w:val="footer"/>
    <w:basedOn w:val="Normal"/>
    <w:link w:val="FooterChar"/>
    <w:uiPriority w:val="99"/>
    <w:unhideWhenUsed/>
    <w:rsid w:val="00C36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398"/>
  </w:style>
  <w:style w:type="character" w:customStyle="1" w:styleId="apple-converted-space">
    <w:name w:val="apple-converted-space"/>
    <w:basedOn w:val="DefaultParagraphFont"/>
    <w:rsid w:val="00FF3EE1"/>
  </w:style>
  <w:style w:type="character" w:customStyle="1" w:styleId="NoSpacingChar">
    <w:name w:val="No Spacing Char"/>
    <w:basedOn w:val="DefaultParagraphFont"/>
    <w:link w:val="NoSpacing"/>
    <w:uiPriority w:val="1"/>
    <w:rsid w:val="00B3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053">
      <w:bodyDiv w:val="1"/>
      <w:marLeft w:val="0"/>
      <w:marRight w:val="0"/>
      <w:marTop w:val="0"/>
      <w:marBottom w:val="0"/>
      <w:divBdr>
        <w:top w:val="none" w:sz="0" w:space="0" w:color="auto"/>
        <w:left w:val="none" w:sz="0" w:space="0" w:color="auto"/>
        <w:bottom w:val="none" w:sz="0" w:space="0" w:color="auto"/>
        <w:right w:val="none" w:sz="0" w:space="0" w:color="auto"/>
      </w:divBdr>
    </w:div>
    <w:div w:id="243028364">
      <w:bodyDiv w:val="1"/>
      <w:marLeft w:val="0"/>
      <w:marRight w:val="0"/>
      <w:marTop w:val="0"/>
      <w:marBottom w:val="0"/>
      <w:divBdr>
        <w:top w:val="none" w:sz="0" w:space="0" w:color="auto"/>
        <w:left w:val="none" w:sz="0" w:space="0" w:color="auto"/>
        <w:bottom w:val="none" w:sz="0" w:space="0" w:color="auto"/>
        <w:right w:val="none" w:sz="0" w:space="0" w:color="auto"/>
      </w:divBdr>
    </w:div>
    <w:div w:id="546332145">
      <w:bodyDiv w:val="1"/>
      <w:marLeft w:val="0"/>
      <w:marRight w:val="0"/>
      <w:marTop w:val="0"/>
      <w:marBottom w:val="0"/>
      <w:divBdr>
        <w:top w:val="none" w:sz="0" w:space="0" w:color="auto"/>
        <w:left w:val="none" w:sz="0" w:space="0" w:color="auto"/>
        <w:bottom w:val="none" w:sz="0" w:space="0" w:color="auto"/>
        <w:right w:val="none" w:sz="0" w:space="0" w:color="auto"/>
      </w:divBdr>
    </w:div>
    <w:div w:id="713239133">
      <w:bodyDiv w:val="1"/>
      <w:marLeft w:val="0"/>
      <w:marRight w:val="0"/>
      <w:marTop w:val="0"/>
      <w:marBottom w:val="0"/>
      <w:divBdr>
        <w:top w:val="none" w:sz="0" w:space="0" w:color="auto"/>
        <w:left w:val="none" w:sz="0" w:space="0" w:color="auto"/>
        <w:bottom w:val="none" w:sz="0" w:space="0" w:color="auto"/>
        <w:right w:val="none" w:sz="0" w:space="0" w:color="auto"/>
      </w:divBdr>
    </w:div>
    <w:div w:id="721054648">
      <w:bodyDiv w:val="1"/>
      <w:marLeft w:val="0"/>
      <w:marRight w:val="0"/>
      <w:marTop w:val="0"/>
      <w:marBottom w:val="0"/>
      <w:divBdr>
        <w:top w:val="none" w:sz="0" w:space="0" w:color="auto"/>
        <w:left w:val="none" w:sz="0" w:space="0" w:color="auto"/>
        <w:bottom w:val="none" w:sz="0" w:space="0" w:color="auto"/>
        <w:right w:val="none" w:sz="0" w:space="0" w:color="auto"/>
      </w:divBdr>
    </w:div>
    <w:div w:id="1237399088">
      <w:bodyDiv w:val="1"/>
      <w:marLeft w:val="0"/>
      <w:marRight w:val="0"/>
      <w:marTop w:val="0"/>
      <w:marBottom w:val="0"/>
      <w:divBdr>
        <w:top w:val="none" w:sz="0" w:space="0" w:color="auto"/>
        <w:left w:val="none" w:sz="0" w:space="0" w:color="auto"/>
        <w:bottom w:val="none" w:sz="0" w:space="0" w:color="auto"/>
        <w:right w:val="none" w:sz="0" w:space="0" w:color="auto"/>
      </w:divBdr>
    </w:div>
    <w:div w:id="1382362953">
      <w:bodyDiv w:val="1"/>
      <w:marLeft w:val="0"/>
      <w:marRight w:val="0"/>
      <w:marTop w:val="0"/>
      <w:marBottom w:val="0"/>
      <w:divBdr>
        <w:top w:val="none" w:sz="0" w:space="0" w:color="auto"/>
        <w:left w:val="none" w:sz="0" w:space="0" w:color="auto"/>
        <w:bottom w:val="none" w:sz="0" w:space="0" w:color="auto"/>
        <w:right w:val="none" w:sz="0" w:space="0" w:color="auto"/>
      </w:divBdr>
      <w:divsChild>
        <w:div w:id="888305725">
          <w:marLeft w:val="0"/>
          <w:marRight w:val="0"/>
          <w:marTop w:val="0"/>
          <w:marBottom w:val="0"/>
          <w:divBdr>
            <w:top w:val="none" w:sz="0" w:space="0" w:color="auto"/>
            <w:left w:val="none" w:sz="0" w:space="0" w:color="auto"/>
            <w:bottom w:val="none" w:sz="0" w:space="0" w:color="auto"/>
            <w:right w:val="none" w:sz="0" w:space="0" w:color="auto"/>
          </w:divBdr>
        </w:div>
        <w:div w:id="1884710704">
          <w:marLeft w:val="0"/>
          <w:marRight w:val="0"/>
          <w:marTop w:val="0"/>
          <w:marBottom w:val="0"/>
          <w:divBdr>
            <w:top w:val="none" w:sz="0" w:space="0" w:color="auto"/>
            <w:left w:val="none" w:sz="0" w:space="0" w:color="auto"/>
            <w:bottom w:val="none" w:sz="0" w:space="0" w:color="auto"/>
            <w:right w:val="none" w:sz="0" w:space="0" w:color="auto"/>
          </w:divBdr>
        </w:div>
      </w:divsChild>
    </w:div>
    <w:div w:id="1427729761">
      <w:bodyDiv w:val="1"/>
      <w:marLeft w:val="0"/>
      <w:marRight w:val="0"/>
      <w:marTop w:val="0"/>
      <w:marBottom w:val="0"/>
      <w:divBdr>
        <w:top w:val="none" w:sz="0" w:space="0" w:color="auto"/>
        <w:left w:val="none" w:sz="0" w:space="0" w:color="auto"/>
        <w:bottom w:val="none" w:sz="0" w:space="0" w:color="auto"/>
        <w:right w:val="none" w:sz="0" w:space="0" w:color="auto"/>
      </w:divBdr>
    </w:div>
    <w:div w:id="1860653426">
      <w:bodyDiv w:val="1"/>
      <w:marLeft w:val="0"/>
      <w:marRight w:val="0"/>
      <w:marTop w:val="0"/>
      <w:marBottom w:val="0"/>
      <w:divBdr>
        <w:top w:val="none" w:sz="0" w:space="0" w:color="auto"/>
        <w:left w:val="none" w:sz="0" w:space="0" w:color="auto"/>
        <w:bottom w:val="none" w:sz="0" w:space="0" w:color="auto"/>
        <w:right w:val="none" w:sz="0" w:space="0" w:color="auto"/>
      </w:divBdr>
      <w:divsChild>
        <w:div w:id="1042562735">
          <w:marLeft w:val="0"/>
          <w:marRight w:val="0"/>
          <w:marTop w:val="0"/>
          <w:marBottom w:val="0"/>
          <w:divBdr>
            <w:top w:val="none" w:sz="0" w:space="0" w:color="auto"/>
            <w:left w:val="none" w:sz="0" w:space="0" w:color="auto"/>
            <w:bottom w:val="none" w:sz="0" w:space="0" w:color="auto"/>
            <w:right w:val="none" w:sz="0" w:space="0" w:color="auto"/>
          </w:divBdr>
        </w:div>
        <w:div w:id="1562138143">
          <w:marLeft w:val="0"/>
          <w:marRight w:val="0"/>
          <w:marTop w:val="0"/>
          <w:marBottom w:val="0"/>
          <w:divBdr>
            <w:top w:val="none" w:sz="0" w:space="0" w:color="auto"/>
            <w:left w:val="none" w:sz="0" w:space="0" w:color="auto"/>
            <w:bottom w:val="none" w:sz="0" w:space="0" w:color="auto"/>
            <w:right w:val="none" w:sz="0" w:space="0" w:color="auto"/>
          </w:divBdr>
        </w:div>
        <w:div w:id="135799827">
          <w:marLeft w:val="0"/>
          <w:marRight w:val="0"/>
          <w:marTop w:val="0"/>
          <w:marBottom w:val="0"/>
          <w:divBdr>
            <w:top w:val="none" w:sz="0" w:space="0" w:color="auto"/>
            <w:left w:val="none" w:sz="0" w:space="0" w:color="auto"/>
            <w:bottom w:val="none" w:sz="0" w:space="0" w:color="auto"/>
            <w:right w:val="none" w:sz="0" w:space="0" w:color="auto"/>
          </w:divBdr>
        </w:div>
      </w:divsChild>
    </w:div>
    <w:div w:id="18665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0d11e602faddf29ba8a159cdea40204d">
  <xsd:schema xmlns:xsd="http://www.w3.org/2001/XMLSchema" xmlns:xs="http://www.w3.org/2001/XMLSchema" xmlns:p="http://schemas.microsoft.com/office/2006/metadata/properties" xmlns:ns3="6d1ab2f6-91f9-4f14-952a-3f3eb0d68341" targetNamespace="http://schemas.microsoft.com/office/2006/metadata/properties" ma:root="true" ma:fieldsID="3c457588c8dbc684ac3b823e2d9f2d7a"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A1B4-BACD-440D-8FD5-FF75CD95B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08504-2591-4488-8698-BD66E4DF0CB9}">
  <ds:schemaRefs>
    <ds:schemaRef ds:uri="http://schemas.microsoft.com/sharepoint/v3/contenttype/forms"/>
  </ds:schemaRefs>
</ds:datastoreItem>
</file>

<file path=customXml/itemProps3.xml><?xml version="1.0" encoding="utf-8"?>
<ds:datastoreItem xmlns:ds="http://schemas.openxmlformats.org/officeDocument/2006/customXml" ds:itemID="{16FE2D4F-CFBA-422A-82E8-D0B8511C0E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6A009-D8BC-4576-BAB5-D03C9954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
  <dc:description/>
  <cp:lastModifiedBy>Erlichman, Reece (ALA)</cp:lastModifiedBy>
  <cp:revision>2</cp:revision>
  <cp:lastPrinted>2026-01-02T14:55:00Z</cp:lastPrinted>
  <dcterms:created xsi:type="dcterms:W3CDTF">2026-01-07T12:55:00Z</dcterms:created>
  <dcterms:modified xsi:type="dcterms:W3CDTF">2026-01-07T12:55:00Z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