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975F" w14:textId="77777777" w:rsidR="006C7D6B" w:rsidRPr="00F06204" w:rsidRDefault="006C7D6B" w:rsidP="006C7D6B">
      <w:pPr>
        <w:pStyle w:val="NormalWeb"/>
        <w:spacing w:before="330" w:beforeAutospacing="0" w:after="330" w:afterAutospacing="0"/>
        <w:rPr>
          <w:rFonts w:ascii="Aptos" w:hAnsi="Aptos" w:cs="Open Sans"/>
          <w:color w:val="000000" w:themeColor="text1"/>
        </w:rPr>
      </w:pPr>
    </w:p>
    <w:p w14:paraId="2CCEDA06" w14:textId="77777777" w:rsidR="006C7D6B" w:rsidRPr="00F06204" w:rsidRDefault="006C7D6B" w:rsidP="006C7D6B">
      <w:pPr>
        <w:jc w:val="center"/>
        <w:rPr>
          <w:rFonts w:ascii="Aptos" w:hAnsi="Aptos" w:cs="Times New Roman"/>
          <w:b/>
          <w:color w:val="000000" w:themeColor="text1"/>
        </w:rPr>
      </w:pPr>
      <w:r w:rsidRPr="00F06204">
        <w:rPr>
          <w:rFonts w:ascii="Aptos" w:hAnsi="Aptos" w:cs="Times New Roman"/>
          <w:b/>
          <w:color w:val="000000" w:themeColor="text1"/>
        </w:rPr>
        <w:t>COMMONWEALTH OF MASSACHUSETTS</w:t>
      </w:r>
    </w:p>
    <w:p w14:paraId="168EF2D9" w14:textId="77777777" w:rsidR="006C7D6B" w:rsidRPr="00F06204" w:rsidRDefault="006C7D6B" w:rsidP="006C7D6B">
      <w:pPr>
        <w:jc w:val="center"/>
        <w:rPr>
          <w:rFonts w:ascii="Aptos" w:hAnsi="Aptos" w:cs="Times New Roman"/>
          <w:b/>
          <w:color w:val="000000" w:themeColor="text1"/>
        </w:rPr>
      </w:pPr>
      <w:r w:rsidRPr="00F06204">
        <w:rPr>
          <w:rFonts w:ascii="Aptos" w:hAnsi="Aptos" w:cs="Times New Roman"/>
          <w:b/>
          <w:color w:val="000000" w:themeColor="text1"/>
        </w:rPr>
        <w:t>DIVISION OF ADMINISTRATIVE LAW APPEALS</w:t>
      </w:r>
    </w:p>
    <w:p w14:paraId="05071A12" w14:textId="77777777" w:rsidR="006C7D6B" w:rsidRPr="00F06204" w:rsidRDefault="006C7D6B" w:rsidP="006C7D6B">
      <w:pPr>
        <w:jc w:val="center"/>
        <w:rPr>
          <w:rFonts w:ascii="Aptos" w:hAnsi="Aptos" w:cs="Times New Roman"/>
          <w:b/>
          <w:color w:val="000000" w:themeColor="text1"/>
        </w:rPr>
      </w:pPr>
      <w:r w:rsidRPr="00F06204">
        <w:rPr>
          <w:rFonts w:ascii="Aptos" w:hAnsi="Aptos" w:cs="Times New Roman"/>
          <w:b/>
          <w:color w:val="000000" w:themeColor="text1"/>
        </w:rPr>
        <w:t>BUREAU OF SPECIAL EDUCATION APPEALS</w:t>
      </w:r>
    </w:p>
    <w:p w14:paraId="7C7FD098" w14:textId="77777777" w:rsidR="006C7D6B" w:rsidRPr="00F06204" w:rsidRDefault="006C7D6B" w:rsidP="006C7D6B">
      <w:pPr>
        <w:rPr>
          <w:rFonts w:ascii="Aptos" w:hAnsi="Aptos" w:cs="Times New Roman"/>
          <w:b/>
          <w:color w:val="000000" w:themeColor="text1"/>
        </w:rPr>
      </w:pPr>
    </w:p>
    <w:p w14:paraId="4E724FED" w14:textId="1D9EF576" w:rsidR="006C7D6B" w:rsidRPr="00F06204" w:rsidRDefault="006C7D6B" w:rsidP="003561EA">
      <w:pPr>
        <w:pStyle w:val="Default"/>
        <w:rPr>
          <w:rFonts w:ascii="Aptos" w:hAnsi="Aptos"/>
        </w:rPr>
      </w:pPr>
      <w:r w:rsidRPr="00F06204">
        <w:rPr>
          <w:rFonts w:ascii="Aptos" w:hAnsi="Aptos"/>
          <w:b/>
          <w:color w:val="000000" w:themeColor="text1"/>
        </w:rPr>
        <w:t xml:space="preserve">In Re: Student v. </w:t>
      </w:r>
      <w:r w:rsidR="003561EA" w:rsidRPr="00F06204">
        <w:rPr>
          <w:rFonts w:ascii="Aptos" w:hAnsi="Aptos"/>
          <w:b/>
          <w:color w:val="000000" w:themeColor="text1"/>
        </w:rPr>
        <w:t>Springfield Public Schools</w:t>
      </w:r>
      <w:r w:rsidRPr="00F06204">
        <w:rPr>
          <w:rFonts w:ascii="Aptos" w:hAnsi="Aptos"/>
          <w:b/>
          <w:color w:val="000000" w:themeColor="text1"/>
        </w:rPr>
        <w:tab/>
      </w:r>
      <w:r w:rsidR="003561EA" w:rsidRPr="00F06204">
        <w:rPr>
          <w:rFonts w:ascii="Aptos" w:hAnsi="Aptos"/>
          <w:b/>
          <w:color w:val="000000" w:themeColor="text1"/>
        </w:rPr>
        <w:tab/>
      </w:r>
      <w:r w:rsidR="003561EA" w:rsidRPr="00F06204">
        <w:rPr>
          <w:rFonts w:ascii="Aptos" w:hAnsi="Aptos"/>
          <w:b/>
          <w:color w:val="000000" w:themeColor="text1"/>
        </w:rPr>
        <w:tab/>
      </w:r>
      <w:r w:rsidR="00517C98" w:rsidRPr="00F06204">
        <w:rPr>
          <w:rFonts w:ascii="Aptos" w:hAnsi="Aptos"/>
          <w:b/>
          <w:color w:val="000000" w:themeColor="text1"/>
        </w:rPr>
        <w:tab/>
      </w:r>
      <w:r w:rsidRPr="00F06204">
        <w:rPr>
          <w:rFonts w:ascii="Aptos" w:hAnsi="Aptos"/>
          <w:b/>
          <w:color w:val="000000" w:themeColor="text1"/>
        </w:rPr>
        <w:t xml:space="preserve">BSEA # </w:t>
      </w:r>
      <w:r w:rsidR="003561EA" w:rsidRPr="00F06204">
        <w:rPr>
          <w:rFonts w:ascii="Aptos" w:hAnsi="Aptos"/>
          <w:b/>
          <w:color w:val="000000" w:themeColor="text1"/>
        </w:rPr>
        <w:t xml:space="preserve"> </w:t>
      </w:r>
      <w:r w:rsidR="003561EA" w:rsidRPr="00F06204">
        <w:rPr>
          <w:rFonts w:ascii="Aptos" w:hAnsi="Aptos"/>
          <w:b/>
          <w:bCs/>
        </w:rPr>
        <w:t>2605261</w:t>
      </w:r>
    </w:p>
    <w:p w14:paraId="127128EB" w14:textId="77777777" w:rsidR="006C7D6B" w:rsidRPr="00F06204" w:rsidRDefault="006C7D6B" w:rsidP="006C7D6B">
      <w:pPr>
        <w:rPr>
          <w:rFonts w:ascii="Aptos" w:hAnsi="Aptos" w:cs="Times New Roman"/>
          <w:b/>
          <w:color w:val="000000" w:themeColor="text1"/>
        </w:rPr>
      </w:pPr>
    </w:p>
    <w:p w14:paraId="29EF3446" w14:textId="258512B1" w:rsidR="00090625" w:rsidRPr="00F06204" w:rsidRDefault="006C7D6B" w:rsidP="00090625">
      <w:pPr>
        <w:jc w:val="center"/>
        <w:rPr>
          <w:rFonts w:ascii="Aptos" w:eastAsia="Times New Roman" w:hAnsi="Aptos" w:cs="Times New Roman"/>
          <w:b/>
          <w:color w:val="000000" w:themeColor="text1"/>
          <w:u w:val="single"/>
        </w:rPr>
      </w:pPr>
      <w:r w:rsidRPr="00F06204">
        <w:rPr>
          <w:rFonts w:ascii="Aptos" w:eastAsia="Times New Roman" w:hAnsi="Aptos" w:cs="Times New Roman"/>
          <w:b/>
          <w:color w:val="000000" w:themeColor="text1"/>
          <w:u w:val="single"/>
        </w:rPr>
        <w:t xml:space="preserve">RULING ON </w:t>
      </w:r>
      <w:r w:rsidR="00965B0A" w:rsidRPr="00F06204">
        <w:rPr>
          <w:rFonts w:ascii="Aptos" w:eastAsia="Times New Roman" w:hAnsi="Aptos" w:cs="Times New Roman"/>
          <w:b/>
          <w:color w:val="000000" w:themeColor="text1"/>
          <w:u w:val="single"/>
        </w:rPr>
        <w:t xml:space="preserve">EMERGENCY </w:t>
      </w:r>
      <w:r w:rsidR="00090625" w:rsidRPr="00F06204">
        <w:rPr>
          <w:rFonts w:ascii="Aptos" w:eastAsia="Times New Roman" w:hAnsi="Aptos" w:cs="Times New Roman"/>
          <w:b/>
          <w:color w:val="000000" w:themeColor="text1"/>
          <w:u w:val="single"/>
        </w:rPr>
        <w:t xml:space="preserve"> REQUEST FOR INTERIM ORDER</w:t>
      </w:r>
    </w:p>
    <w:p w14:paraId="27095487" w14:textId="58B53B6B" w:rsidR="006C7D6B" w:rsidRPr="00F06204" w:rsidRDefault="00090625" w:rsidP="00090625">
      <w:pPr>
        <w:jc w:val="center"/>
        <w:rPr>
          <w:rFonts w:ascii="Aptos" w:eastAsia="Times New Roman" w:hAnsi="Aptos" w:cs="Times New Roman"/>
          <w:b/>
          <w:color w:val="000000" w:themeColor="text1"/>
          <w:u w:val="single"/>
        </w:rPr>
      </w:pPr>
      <w:r w:rsidRPr="00F06204">
        <w:rPr>
          <w:rFonts w:ascii="Aptos" w:eastAsia="Times New Roman" w:hAnsi="Aptos" w:cs="Times New Roman"/>
          <w:b/>
          <w:color w:val="000000" w:themeColor="text1"/>
          <w:u w:val="single"/>
        </w:rPr>
        <w:t>FOR DOOR-TO-DOOR TRANSPORTATION</w:t>
      </w:r>
    </w:p>
    <w:p w14:paraId="250217C5" w14:textId="49C67C0D" w:rsidR="006C7D6B" w:rsidRPr="00F06204" w:rsidRDefault="006C7D6B" w:rsidP="006C7D6B">
      <w:pPr>
        <w:rPr>
          <w:rFonts w:ascii="Aptos" w:hAnsi="Aptos" w:cs="Times New Roman"/>
          <w:color w:val="000000" w:themeColor="text1"/>
        </w:rPr>
      </w:pPr>
    </w:p>
    <w:p w14:paraId="03E6D5B3" w14:textId="75E45668" w:rsidR="00894638" w:rsidRDefault="006C7D6B" w:rsidP="00090625">
      <w:pPr>
        <w:rPr>
          <w:rFonts w:ascii="Aptos" w:hAnsi="Aptos" w:cs="ƒ-•õ•"/>
          <w:kern w:val="0"/>
        </w:rPr>
      </w:pPr>
      <w:r w:rsidRPr="00F06204">
        <w:rPr>
          <w:rFonts w:ascii="Aptos" w:hAnsi="Aptos" w:cs="Times New Roman"/>
          <w:color w:val="000000" w:themeColor="text1"/>
        </w:rPr>
        <w:t xml:space="preserve">This matter comes to the Hearing Officer on the </w:t>
      </w:r>
      <w:r w:rsidR="00142F35" w:rsidRPr="00F06204">
        <w:rPr>
          <w:rFonts w:ascii="Aptos" w:hAnsi="Aptos" w:cs="Times New Roman"/>
          <w:color w:val="000000" w:themeColor="text1"/>
        </w:rPr>
        <w:t xml:space="preserve">Guardian Ad </w:t>
      </w:r>
      <w:proofErr w:type="spellStart"/>
      <w:r w:rsidR="00142F35" w:rsidRPr="00F06204">
        <w:rPr>
          <w:rFonts w:ascii="Aptos" w:hAnsi="Aptos" w:cs="Times New Roman"/>
          <w:color w:val="000000" w:themeColor="text1"/>
        </w:rPr>
        <w:t>Litem’s</w:t>
      </w:r>
      <w:proofErr w:type="spellEnd"/>
      <w:r w:rsidRPr="00F06204">
        <w:rPr>
          <w:rFonts w:ascii="Aptos" w:hAnsi="Aptos" w:cs="Times New Roman"/>
          <w:color w:val="000000" w:themeColor="text1"/>
        </w:rPr>
        <w:t xml:space="preserve"> </w:t>
      </w:r>
      <w:r w:rsidR="00965B0A" w:rsidRPr="00F06204">
        <w:rPr>
          <w:rFonts w:ascii="Aptos" w:hAnsi="Aptos" w:cs="Times New Roman"/>
          <w:color w:val="000000" w:themeColor="text1"/>
        </w:rPr>
        <w:t xml:space="preserve"> (GAL) </w:t>
      </w:r>
      <w:r w:rsidR="00090625" w:rsidRPr="00F06204">
        <w:rPr>
          <w:rFonts w:ascii="Aptos" w:hAnsi="Aptos" w:cs="Times New Roman"/>
          <w:color w:val="000000" w:themeColor="text1"/>
        </w:rPr>
        <w:t>February 2</w:t>
      </w:r>
      <w:r w:rsidRPr="00F06204">
        <w:rPr>
          <w:rFonts w:ascii="Aptos" w:hAnsi="Aptos" w:cs="Times New Roman"/>
          <w:color w:val="000000" w:themeColor="text1"/>
        </w:rPr>
        <w:t>, 202</w:t>
      </w:r>
      <w:r w:rsidR="00090625" w:rsidRPr="00F06204">
        <w:rPr>
          <w:rFonts w:ascii="Aptos" w:hAnsi="Aptos" w:cs="Times New Roman"/>
          <w:color w:val="000000" w:themeColor="text1"/>
        </w:rPr>
        <w:t>6,</w:t>
      </w:r>
      <w:r w:rsidRPr="00F06204">
        <w:rPr>
          <w:rFonts w:ascii="Aptos" w:hAnsi="Aptos" w:cs="Times New Roman"/>
          <w:color w:val="000000" w:themeColor="text1"/>
        </w:rPr>
        <w:t xml:space="preserve"> </w:t>
      </w:r>
      <w:r w:rsidR="00401D35" w:rsidRPr="00F06204">
        <w:rPr>
          <w:rFonts w:ascii="Aptos" w:hAnsi="Aptos" w:cs="Times New Roman"/>
          <w:color w:val="000000" w:themeColor="text1"/>
        </w:rPr>
        <w:t>Emergency Request For Interim Order For Door-To-Door Transportation</w:t>
      </w:r>
      <w:r w:rsidR="00090625" w:rsidRPr="00F06204">
        <w:rPr>
          <w:rFonts w:ascii="Aptos" w:hAnsi="Aptos" w:cs="Times New Roman"/>
          <w:color w:val="000000" w:themeColor="text1"/>
        </w:rPr>
        <w:t xml:space="preserve">. </w:t>
      </w:r>
      <w:r w:rsidR="00965B0A" w:rsidRPr="00F06204">
        <w:rPr>
          <w:rFonts w:ascii="Aptos" w:hAnsi="Aptos" w:cs="Times New Roman"/>
          <w:color w:val="000000" w:themeColor="text1"/>
        </w:rPr>
        <w:t xml:space="preserve"> In it, GAL </w:t>
      </w:r>
      <w:r w:rsidR="00401D35" w:rsidRPr="00F06204">
        <w:rPr>
          <w:rFonts w:ascii="Aptos" w:hAnsi="Aptos" w:cs="Times New Roman"/>
          <w:color w:val="000000" w:themeColor="text1"/>
        </w:rPr>
        <w:t>requests an emergency interim order requiring Springfield Public Schools to immediately provide door-to-door transportation for Student</w:t>
      </w:r>
      <w:r w:rsidR="000712C7" w:rsidRPr="00F06204">
        <w:rPr>
          <w:rFonts w:ascii="Aptos" w:hAnsi="Aptos" w:cs="Times New Roman"/>
          <w:color w:val="000000" w:themeColor="text1"/>
        </w:rPr>
        <w:t xml:space="preserve"> due to “</w:t>
      </w:r>
      <w:r w:rsidR="00401D35" w:rsidRPr="00F06204">
        <w:rPr>
          <w:rFonts w:ascii="Aptos" w:hAnsi="Aptos" w:cs="Times New Roman"/>
          <w:color w:val="000000" w:themeColor="text1"/>
        </w:rPr>
        <w:t>documented safety failures, unsupervised absences, and the</w:t>
      </w:r>
      <w:r w:rsidR="000712C7" w:rsidRPr="00F06204">
        <w:rPr>
          <w:rFonts w:ascii="Aptos" w:hAnsi="Aptos" w:cs="Times New Roman"/>
          <w:color w:val="000000" w:themeColor="text1"/>
        </w:rPr>
        <w:t xml:space="preserve"> </w:t>
      </w:r>
      <w:r w:rsidR="00401D35" w:rsidRPr="00F06204">
        <w:rPr>
          <w:rFonts w:ascii="Aptos" w:hAnsi="Aptos" w:cs="Times New Roman"/>
          <w:color w:val="000000" w:themeColor="text1"/>
        </w:rPr>
        <w:t>District’s complete failure to respond or intervene, despite actual notice of serious risk</w:t>
      </w:r>
      <w:r w:rsidR="000712C7" w:rsidRPr="00F06204">
        <w:rPr>
          <w:rFonts w:ascii="Aptos" w:hAnsi="Aptos" w:cs="Times New Roman"/>
          <w:color w:val="000000" w:themeColor="text1"/>
        </w:rPr>
        <w:t>.”</w:t>
      </w:r>
      <w:r w:rsidR="00894638" w:rsidRPr="00F06204">
        <w:rPr>
          <w:rFonts w:ascii="Aptos" w:hAnsi="Aptos" w:cs="Times New Roman"/>
          <w:color w:val="000000" w:themeColor="text1"/>
        </w:rPr>
        <w:t xml:space="preserve"> </w:t>
      </w:r>
      <w:r w:rsidR="00F85F9B" w:rsidRPr="00F85F9B">
        <w:rPr>
          <w:rFonts w:ascii="Aptos" w:hAnsi="Aptos" w:cs="ƒ-•õ•"/>
          <w:kern w:val="0"/>
        </w:rPr>
        <w:t>The request is based on recent safety failures</w:t>
      </w:r>
      <w:r w:rsidR="000C771E">
        <w:rPr>
          <w:rFonts w:ascii="Aptos" w:hAnsi="Aptos" w:cs="ƒ-•õ•"/>
          <w:kern w:val="0"/>
        </w:rPr>
        <w:t xml:space="preserve"> as alleged below.</w:t>
      </w:r>
      <w:r w:rsidR="00F85F9B" w:rsidRPr="00F85F9B">
        <w:rPr>
          <w:rFonts w:ascii="Aptos" w:hAnsi="Aptos" w:cs="ƒ-•õ•"/>
          <w:kern w:val="0"/>
        </w:rPr>
        <w:t xml:space="preserve"> </w:t>
      </w:r>
      <w:r w:rsidR="00894638" w:rsidRPr="00F06204">
        <w:rPr>
          <w:rFonts w:ascii="Aptos" w:hAnsi="Aptos" w:cs="ƒ-•õ•"/>
          <w:kern w:val="0"/>
        </w:rPr>
        <w:t>Student</w:t>
      </w:r>
      <w:r w:rsidR="00F85F9B" w:rsidRPr="00F85F9B">
        <w:rPr>
          <w:rFonts w:ascii="Aptos" w:hAnsi="Aptos" w:cs="ƒ-•õ•"/>
          <w:kern w:val="0"/>
        </w:rPr>
        <w:t xml:space="preserve"> </w:t>
      </w:r>
      <w:r w:rsidR="000C771E">
        <w:rPr>
          <w:rFonts w:ascii="Aptos" w:hAnsi="Aptos" w:cs="ƒ-•õ•"/>
          <w:kern w:val="0"/>
        </w:rPr>
        <w:t>(</w:t>
      </w:r>
      <w:r w:rsidR="00F85F9B" w:rsidRPr="00F85F9B">
        <w:rPr>
          <w:rFonts w:ascii="Aptos" w:hAnsi="Aptos" w:cs="ƒ-•õ•"/>
          <w:kern w:val="0"/>
        </w:rPr>
        <w:t>a student with disabilities in DCF custody living in a congregate care program</w:t>
      </w:r>
      <w:r w:rsidR="002A2ED7">
        <w:rPr>
          <w:rStyle w:val="FootnoteReference"/>
          <w:rFonts w:ascii="Aptos" w:hAnsi="Aptos" w:cs="ƒ-•õ•"/>
          <w:kern w:val="0"/>
        </w:rPr>
        <w:footnoteReference w:id="1"/>
      </w:r>
      <w:r w:rsidR="000C771E">
        <w:rPr>
          <w:rFonts w:ascii="Aptos" w:hAnsi="Aptos" w:cs="ƒ-•õ•"/>
          <w:kern w:val="0"/>
        </w:rPr>
        <w:t>)</w:t>
      </w:r>
      <w:r w:rsidR="001755A9">
        <w:rPr>
          <w:rFonts w:ascii="Aptos" w:hAnsi="Aptos" w:cs="ƒ-•õ•"/>
          <w:kern w:val="0"/>
        </w:rPr>
        <w:t xml:space="preserve"> </w:t>
      </w:r>
      <w:r w:rsidR="00F85F9B" w:rsidRPr="00F85F9B">
        <w:rPr>
          <w:rFonts w:ascii="Aptos" w:hAnsi="Aptos" w:cs="ƒ-•õ•"/>
          <w:kern w:val="0"/>
        </w:rPr>
        <w:t>has repeatedly failed to arrive at school as expected</w:t>
      </w:r>
      <w:r w:rsidR="00425AFB">
        <w:rPr>
          <w:rFonts w:ascii="Aptos" w:hAnsi="Aptos" w:cs="ƒ-•õ•"/>
          <w:kern w:val="0"/>
        </w:rPr>
        <w:t>.</w:t>
      </w:r>
      <w:r w:rsidR="00F85F9B" w:rsidRPr="00F85F9B">
        <w:rPr>
          <w:rFonts w:ascii="Aptos" w:hAnsi="Aptos" w:cs="ƒ-•õ•"/>
          <w:kern w:val="0"/>
        </w:rPr>
        <w:t xml:space="preserve"> </w:t>
      </w:r>
      <w:r w:rsidR="000C771E">
        <w:rPr>
          <w:rFonts w:ascii="Aptos" w:hAnsi="Aptos" w:cs="ƒ-•õ•"/>
          <w:kern w:val="0"/>
        </w:rPr>
        <w:t>O</w:t>
      </w:r>
      <w:r w:rsidR="00F85F9B" w:rsidRPr="00F85F9B">
        <w:rPr>
          <w:rFonts w:ascii="Aptos" w:hAnsi="Aptos" w:cs="ƒ-•õ•"/>
          <w:kern w:val="0"/>
        </w:rPr>
        <w:t>n February 2, 2026</w:t>
      </w:r>
      <w:r w:rsidR="007648EA" w:rsidRPr="00F06204">
        <w:rPr>
          <w:rFonts w:ascii="Aptos" w:hAnsi="Aptos" w:cs="ƒ-•õ•"/>
          <w:kern w:val="0"/>
        </w:rPr>
        <w:t>,</w:t>
      </w:r>
      <w:r w:rsidR="00F85F9B" w:rsidRPr="00F85F9B">
        <w:rPr>
          <w:rFonts w:ascii="Aptos" w:hAnsi="Aptos" w:cs="ƒ-•õ•"/>
          <w:kern w:val="0"/>
        </w:rPr>
        <w:t xml:space="preserve"> </w:t>
      </w:r>
      <w:r w:rsidR="000C771E">
        <w:rPr>
          <w:rFonts w:ascii="Aptos" w:hAnsi="Aptos" w:cs="ƒ-•õ•"/>
          <w:kern w:val="0"/>
        </w:rPr>
        <w:t xml:space="preserve">Student </w:t>
      </w:r>
      <w:r w:rsidR="00F85F9B" w:rsidRPr="00F85F9B">
        <w:rPr>
          <w:rFonts w:ascii="Aptos" w:hAnsi="Aptos" w:cs="ƒ-•õ•"/>
          <w:kern w:val="0"/>
        </w:rPr>
        <w:t xml:space="preserve">traveled unsupervised in the community during school hours, including to unapproved locations. He contacted his DCF worker while unsupervised and arrived late to school, missing instruction. DCF had to step in to transport </w:t>
      </w:r>
      <w:r w:rsidR="000C771E">
        <w:rPr>
          <w:rFonts w:ascii="Aptos" w:hAnsi="Aptos" w:cs="ƒ-•õ•"/>
          <w:kern w:val="0"/>
        </w:rPr>
        <w:t>Student</w:t>
      </w:r>
      <w:r w:rsidR="00F85F9B" w:rsidRPr="00F85F9B">
        <w:rPr>
          <w:rFonts w:ascii="Aptos" w:hAnsi="Aptos" w:cs="ƒ-•õ•"/>
          <w:kern w:val="0"/>
        </w:rPr>
        <w:t xml:space="preserve"> because the District had no safe plan.</w:t>
      </w:r>
      <w:r w:rsidR="00894638" w:rsidRPr="00F06204">
        <w:rPr>
          <w:rFonts w:ascii="Aptos" w:hAnsi="Aptos" w:cs="Times New Roman"/>
          <w:color w:val="000000" w:themeColor="text1"/>
        </w:rPr>
        <w:t xml:space="preserve"> </w:t>
      </w:r>
      <w:r w:rsidR="00F85F9B" w:rsidRPr="00F85F9B">
        <w:rPr>
          <w:rFonts w:ascii="Aptos" w:hAnsi="Aptos" w:cs="ƒ-•õ•"/>
          <w:kern w:val="0"/>
        </w:rPr>
        <w:t xml:space="preserve">Despite actual notice of these risks, the District did not contact the Guardian ad Litem; did not investigate; did not convene a safety or transportation meeting; and did not modify </w:t>
      </w:r>
      <w:r w:rsidR="00894638" w:rsidRPr="00F06204">
        <w:rPr>
          <w:rFonts w:ascii="Aptos" w:hAnsi="Aptos" w:cs="ƒ-•õ•"/>
          <w:kern w:val="0"/>
        </w:rPr>
        <w:t>Student’s</w:t>
      </w:r>
      <w:r w:rsidR="00F85F9B" w:rsidRPr="00F85F9B">
        <w:rPr>
          <w:rFonts w:ascii="Aptos" w:hAnsi="Aptos" w:cs="ƒ-•õ•"/>
          <w:kern w:val="0"/>
        </w:rPr>
        <w:t xml:space="preserve"> transportation. </w:t>
      </w:r>
      <w:r w:rsidR="00894638" w:rsidRPr="00F06204">
        <w:rPr>
          <w:rFonts w:ascii="Aptos" w:hAnsi="Aptos" w:cs="ƒ-•õ•"/>
          <w:kern w:val="0"/>
        </w:rPr>
        <w:t xml:space="preserve"> </w:t>
      </w:r>
      <w:r w:rsidR="00894638" w:rsidRPr="00F06204">
        <w:rPr>
          <w:rFonts w:ascii="Aptos" w:hAnsi="Aptos" w:cs="Times New Roman"/>
          <w:color w:val="000000" w:themeColor="text1"/>
        </w:rPr>
        <w:t xml:space="preserve">GAL </w:t>
      </w:r>
      <w:r w:rsidR="00F85F9B" w:rsidRPr="00F85F9B">
        <w:rPr>
          <w:rFonts w:ascii="Aptos" w:hAnsi="Aptos" w:cs="ƒ-•õ•"/>
          <w:kern w:val="0"/>
        </w:rPr>
        <w:t>argues that transportation is a related service under IDEA when necessary for safe access to education, that districts cannot offer transportation they know is unsafe for a particular student, and that Hearing Officers may order interim relief to prevent harm and ensure access to FAPE. Because harm has already occurred, the risk is not speculative.</w:t>
      </w:r>
    </w:p>
    <w:p w14:paraId="5C932A33" w14:textId="77777777" w:rsidR="00EC44BA" w:rsidRDefault="00EC44BA" w:rsidP="00090625">
      <w:pPr>
        <w:rPr>
          <w:rFonts w:ascii="Aptos" w:hAnsi="Aptos" w:cs="ƒ-•õ•"/>
          <w:kern w:val="0"/>
        </w:rPr>
      </w:pPr>
    </w:p>
    <w:p w14:paraId="29CB70EE" w14:textId="7D116F71" w:rsidR="00EC44BA" w:rsidRPr="00EC44BA" w:rsidRDefault="00EC44BA" w:rsidP="00EC44BA">
      <w:pPr>
        <w:rPr>
          <w:rFonts w:ascii="Aptos" w:hAnsi="Aptos" w:cs="ƒ-•õ•"/>
          <w:i/>
          <w:iCs/>
          <w:kern w:val="0"/>
        </w:rPr>
      </w:pPr>
      <w:r>
        <w:rPr>
          <w:rFonts w:ascii="Aptos" w:hAnsi="Aptos" w:cs="ƒ-•õ•"/>
          <w:kern w:val="0"/>
        </w:rPr>
        <w:t xml:space="preserve">On February 9, 2026, Springfield Public Schools filed </w:t>
      </w:r>
      <w:r w:rsidRPr="00EC44BA">
        <w:rPr>
          <w:rFonts w:ascii="Aptos" w:hAnsi="Aptos" w:cs="ƒ-•õ•"/>
          <w:i/>
          <w:iCs/>
          <w:kern w:val="0"/>
        </w:rPr>
        <w:t>Opposition To G</w:t>
      </w:r>
      <w:r>
        <w:rPr>
          <w:rFonts w:ascii="Aptos" w:hAnsi="Aptos" w:cs="ƒ-•õ•"/>
          <w:i/>
          <w:iCs/>
          <w:kern w:val="0"/>
        </w:rPr>
        <w:t>AL</w:t>
      </w:r>
      <w:r w:rsidRPr="00EC44BA">
        <w:rPr>
          <w:rFonts w:ascii="Aptos" w:hAnsi="Aptos" w:cs="ƒ-•õ•"/>
          <w:i/>
          <w:iCs/>
          <w:kern w:val="0"/>
        </w:rPr>
        <w:t>’s Motion Regarding Door</w:t>
      </w:r>
      <w:r>
        <w:rPr>
          <w:rFonts w:ascii="Aptos" w:hAnsi="Aptos" w:cs="ƒ-•õ•"/>
          <w:i/>
          <w:iCs/>
          <w:kern w:val="0"/>
        </w:rPr>
        <w:t>-to-</w:t>
      </w:r>
      <w:r w:rsidRPr="00EC44BA">
        <w:rPr>
          <w:rFonts w:ascii="Aptos" w:hAnsi="Aptos" w:cs="ƒ-•õ•"/>
          <w:i/>
          <w:iCs/>
          <w:kern w:val="0"/>
        </w:rPr>
        <w:t>Door Transportation</w:t>
      </w:r>
      <w:r w:rsidRPr="00EC44BA">
        <w:rPr>
          <w:rFonts w:ascii="Aptos" w:hAnsi="Aptos" w:cs="ƒ-•õ•"/>
          <w:kern w:val="0"/>
        </w:rPr>
        <w:t>, asserting that</w:t>
      </w:r>
      <w:r>
        <w:rPr>
          <w:rFonts w:ascii="Aptos" w:hAnsi="Aptos" w:cs="ƒ-•õ•"/>
          <w:kern w:val="0"/>
        </w:rPr>
        <w:t xml:space="preserve"> “T</w:t>
      </w:r>
      <w:r w:rsidRPr="00EC44BA">
        <w:rPr>
          <w:rFonts w:ascii="Aptos" w:hAnsi="Aptos" w:cs="ƒ-•õ•"/>
          <w:kern w:val="0"/>
        </w:rPr>
        <w:t xml:space="preserve">he matter of specialized transportation is outside the matters before the hearing officer and there has been no clinical or legal finding that </w:t>
      </w:r>
      <w:r>
        <w:rPr>
          <w:rFonts w:ascii="Aptos" w:hAnsi="Aptos" w:cs="ƒ-•õ•"/>
          <w:kern w:val="0"/>
        </w:rPr>
        <w:t>[STUDENT]</w:t>
      </w:r>
      <w:r w:rsidRPr="00EC44BA">
        <w:rPr>
          <w:rFonts w:ascii="Aptos" w:hAnsi="Aptos" w:cs="ƒ-•õ•"/>
          <w:kern w:val="0"/>
        </w:rPr>
        <w:t xml:space="preserve"> requires a more restrictive related service. Springfield, however, shall generate a team meeting notice to discuss specialized transportation (and the IEP in general) forthwith.</w:t>
      </w:r>
      <w:r>
        <w:rPr>
          <w:rFonts w:ascii="Aptos" w:hAnsi="Aptos" w:cs="ƒ-•õ•"/>
          <w:kern w:val="0"/>
        </w:rPr>
        <w:t>”</w:t>
      </w:r>
    </w:p>
    <w:p w14:paraId="3E176370" w14:textId="77777777" w:rsidR="00894638" w:rsidRPr="00F06204" w:rsidRDefault="00894638" w:rsidP="00090625">
      <w:pPr>
        <w:rPr>
          <w:rFonts w:ascii="Aptos" w:hAnsi="Aptos" w:cs="ƒ-•õ•"/>
          <w:b/>
          <w:bCs/>
          <w:kern w:val="0"/>
        </w:rPr>
      </w:pPr>
    </w:p>
    <w:p w14:paraId="35EFE467" w14:textId="015E31F4" w:rsidR="00922A44" w:rsidRPr="00F06204" w:rsidRDefault="00894638" w:rsidP="00F06204">
      <w:pPr>
        <w:rPr>
          <w:rFonts w:ascii="Aptos" w:hAnsi="Aptos"/>
          <w:color w:val="000000"/>
        </w:rPr>
      </w:pPr>
      <w:r w:rsidRPr="00F06204">
        <w:rPr>
          <w:rFonts w:ascii="Aptos" w:hAnsi="Aptos" w:cs="ƒ-•õ•"/>
          <w:kern w:val="0"/>
        </w:rPr>
        <w:t>Of note,</w:t>
      </w:r>
      <w:r w:rsidRPr="00F06204">
        <w:rPr>
          <w:rFonts w:ascii="Aptos" w:hAnsi="Aptos" w:cs="ƒ-•õ•"/>
          <w:b/>
          <w:bCs/>
          <w:kern w:val="0"/>
        </w:rPr>
        <w:t xml:space="preserve"> </w:t>
      </w:r>
      <w:r w:rsidR="00965B0A" w:rsidRPr="00F06204">
        <w:rPr>
          <w:rFonts w:ascii="Aptos" w:hAnsi="Aptos"/>
          <w:color w:val="000000"/>
        </w:rPr>
        <w:t>the BSEA ha</w:t>
      </w:r>
      <w:r w:rsidRPr="00F06204">
        <w:rPr>
          <w:rFonts w:ascii="Aptos" w:hAnsi="Aptos"/>
          <w:color w:val="000000"/>
        </w:rPr>
        <w:t>s</w:t>
      </w:r>
      <w:r w:rsidR="00965B0A" w:rsidRPr="00F06204">
        <w:rPr>
          <w:rFonts w:ascii="Aptos" w:hAnsi="Aptos"/>
          <w:color w:val="000000"/>
        </w:rPr>
        <w:t xml:space="preserve"> already narrowed </w:t>
      </w:r>
      <w:r w:rsidRPr="00F06204">
        <w:rPr>
          <w:rFonts w:ascii="Aptos" w:hAnsi="Aptos"/>
          <w:color w:val="000000"/>
        </w:rPr>
        <w:t xml:space="preserve"> the issues in this matter </w:t>
      </w:r>
      <w:r w:rsidR="00965B0A" w:rsidRPr="00F06204">
        <w:rPr>
          <w:rFonts w:ascii="Aptos" w:hAnsi="Aptos"/>
          <w:color w:val="000000"/>
        </w:rPr>
        <w:t>to placement comparability and consultation with the GAL.</w:t>
      </w:r>
    </w:p>
    <w:p w14:paraId="16303BB2" w14:textId="246E26B8" w:rsidR="00922A44" w:rsidRPr="00F06204" w:rsidRDefault="00D56454" w:rsidP="00922A44">
      <w:pPr>
        <w:pStyle w:val="NormalWeb"/>
        <w:rPr>
          <w:rFonts w:ascii="Aptos" w:hAnsi="Aptos"/>
          <w:b/>
          <w:bCs/>
          <w:color w:val="000000"/>
        </w:rPr>
      </w:pPr>
      <w:r w:rsidRPr="00F06204">
        <w:rPr>
          <w:rFonts w:ascii="Aptos" w:hAnsi="Aptos"/>
          <w:b/>
          <w:bCs/>
          <w:color w:val="000000"/>
        </w:rPr>
        <w:lastRenderedPageBreak/>
        <w:t>LEGLA STANDARDS</w:t>
      </w:r>
      <w:r w:rsidR="008D461A" w:rsidRPr="00F06204">
        <w:rPr>
          <w:rFonts w:ascii="Aptos" w:hAnsi="Aptos"/>
          <w:b/>
          <w:bCs/>
          <w:color w:val="000000"/>
        </w:rPr>
        <w:t xml:space="preserve"> AND APPLICATION OF LEGAL STANDARDS</w:t>
      </w:r>
      <w:r w:rsidRPr="00F06204">
        <w:rPr>
          <w:rFonts w:ascii="Aptos" w:hAnsi="Aptos"/>
          <w:b/>
          <w:bCs/>
          <w:color w:val="000000"/>
        </w:rPr>
        <w:t>:</w:t>
      </w:r>
    </w:p>
    <w:p w14:paraId="350B4101" w14:textId="7C2D7ACE" w:rsidR="003D0203" w:rsidRPr="00F06204" w:rsidRDefault="003D0203" w:rsidP="00CF56DA">
      <w:pPr>
        <w:pStyle w:val="NormalWeb"/>
        <w:rPr>
          <w:rFonts w:ascii="Aptos" w:hAnsi="Aptos"/>
          <w:color w:val="000000"/>
        </w:rPr>
      </w:pPr>
      <w:r w:rsidRPr="00F06204">
        <w:rPr>
          <w:rFonts w:ascii="Aptos" w:hAnsi="Aptos"/>
          <w:color w:val="000000"/>
        </w:rPr>
        <w:t>The directive to ensure that children with disabilities are educated with children who are nondisabled to the maximum extent appropriate is set out in 34 CFR 300.114 (a)(2)(i). This requirement applies to all special education services and in "nonacademic settings," which includes transportation.</w:t>
      </w:r>
      <w:r w:rsidR="00387757" w:rsidRPr="00F06204">
        <w:rPr>
          <w:rStyle w:val="FootnoteReference"/>
          <w:rFonts w:ascii="Aptos" w:hAnsi="Aptos"/>
          <w:color w:val="000000"/>
        </w:rPr>
        <w:footnoteReference w:id="2"/>
      </w:r>
      <w:r w:rsidRPr="00F06204">
        <w:rPr>
          <w:rFonts w:ascii="Aptos" w:hAnsi="Aptos"/>
          <w:color w:val="000000"/>
        </w:rPr>
        <w:t xml:space="preserve"> The regulations implementing the IDEA state that transportation includes</w:t>
      </w:r>
      <w:r w:rsidR="00387757" w:rsidRPr="00F06204">
        <w:rPr>
          <w:rFonts w:ascii="Aptos" w:hAnsi="Aptos"/>
          <w:color w:val="000000"/>
        </w:rPr>
        <w:t xml:space="preserve"> t</w:t>
      </w:r>
      <w:r w:rsidRPr="00F06204">
        <w:rPr>
          <w:rFonts w:ascii="Aptos" w:hAnsi="Aptos"/>
          <w:color w:val="000000"/>
        </w:rPr>
        <w:t>ravel to and from school and between schools</w:t>
      </w:r>
      <w:r w:rsidR="00387757" w:rsidRPr="00F06204">
        <w:rPr>
          <w:rFonts w:ascii="Aptos" w:hAnsi="Aptos"/>
          <w:color w:val="000000"/>
        </w:rPr>
        <w:t>; t</w:t>
      </w:r>
      <w:r w:rsidRPr="00F06204">
        <w:rPr>
          <w:rFonts w:ascii="Aptos" w:hAnsi="Aptos"/>
          <w:color w:val="000000"/>
        </w:rPr>
        <w:t>ravel in and around school buildings; an</w:t>
      </w:r>
      <w:r w:rsidR="00387757" w:rsidRPr="00F06204">
        <w:rPr>
          <w:rFonts w:ascii="Aptos" w:hAnsi="Aptos"/>
          <w:color w:val="000000"/>
        </w:rPr>
        <w:t>d s</w:t>
      </w:r>
      <w:r w:rsidRPr="00F06204">
        <w:rPr>
          <w:rFonts w:ascii="Aptos" w:hAnsi="Aptos"/>
          <w:color w:val="000000"/>
        </w:rPr>
        <w:t>pecialized equipment if required to provide special transportation for a child with a disability.</w:t>
      </w:r>
      <w:r w:rsidR="00387757" w:rsidRPr="00F06204">
        <w:rPr>
          <w:rStyle w:val="FootnoteReference"/>
          <w:rFonts w:ascii="Aptos" w:hAnsi="Aptos"/>
          <w:color w:val="000000"/>
        </w:rPr>
        <w:footnoteReference w:id="3"/>
      </w:r>
      <w:r w:rsidR="00292B4A" w:rsidRPr="00F06204">
        <w:rPr>
          <w:rFonts w:ascii="Aptos" w:hAnsi="Aptos"/>
          <w:color w:val="000000"/>
        </w:rPr>
        <w:t xml:space="preserve"> </w:t>
      </w:r>
      <w:r w:rsidR="00BD6D66" w:rsidRPr="00F06204">
        <w:rPr>
          <w:rFonts w:ascii="Aptos" w:hAnsi="Aptos"/>
          <w:color w:val="000000"/>
        </w:rPr>
        <w:t>The IEP team determines "if transportation is required to assist a child with a disability to benefit from special education and related services, and how the transportation services should be implemented. Districts should start with the presumption that a student with a disability will ride regular transportation with nondisabled peers as long as such transportation is appropriate to meet the child's educational needs.</w:t>
      </w:r>
      <w:r w:rsidR="00292B4A" w:rsidRPr="00F06204">
        <w:rPr>
          <w:rStyle w:val="FootnoteReference"/>
          <w:rFonts w:ascii="Aptos" w:hAnsi="Aptos"/>
          <w:color w:val="000000"/>
        </w:rPr>
        <w:footnoteReference w:id="4"/>
      </w:r>
      <w:r w:rsidR="00BD6D66" w:rsidRPr="00F06204">
        <w:rPr>
          <w:rFonts w:ascii="Aptos" w:hAnsi="Aptos"/>
          <w:color w:val="000000"/>
        </w:rPr>
        <w:t>  </w:t>
      </w:r>
      <w:r w:rsidR="00A73DF5" w:rsidRPr="00F06204">
        <w:rPr>
          <w:rFonts w:ascii="Aptos" w:hAnsi="Aptos"/>
          <w:color w:val="000000"/>
        </w:rPr>
        <w:t xml:space="preserve"> The decision of whether to transport a child from the home or from a local bus stop must be made on an individual basis when developing the child's IEP.</w:t>
      </w:r>
      <w:r w:rsidR="009D3C8A" w:rsidRPr="00F06204">
        <w:rPr>
          <w:rStyle w:val="FootnoteReference"/>
          <w:rFonts w:ascii="Aptos" w:hAnsi="Aptos"/>
          <w:color w:val="000000"/>
        </w:rPr>
        <w:footnoteReference w:id="5"/>
      </w:r>
      <w:r w:rsidR="00A73DF5" w:rsidRPr="00F06204">
        <w:rPr>
          <w:rFonts w:ascii="Aptos" w:hAnsi="Aptos"/>
          <w:color w:val="000000"/>
        </w:rPr>
        <w:t xml:space="preserve"> </w:t>
      </w:r>
    </w:p>
    <w:p w14:paraId="538FEDE3" w14:textId="64E6B9F8" w:rsidR="00D56454" w:rsidRPr="00F06204" w:rsidRDefault="006C307D" w:rsidP="00922A44">
      <w:pPr>
        <w:pStyle w:val="NormalWeb"/>
        <w:rPr>
          <w:rFonts w:ascii="Aptos" w:hAnsi="Aptos"/>
          <w:color w:val="000000"/>
        </w:rPr>
      </w:pPr>
      <w:r w:rsidRPr="00F06204">
        <w:rPr>
          <w:rFonts w:ascii="Aptos" w:hAnsi="Aptos"/>
          <w:color w:val="000000"/>
        </w:rPr>
        <w:t xml:space="preserve">Although </w:t>
      </w:r>
      <w:r w:rsidR="008D461A" w:rsidRPr="00F06204">
        <w:rPr>
          <w:rFonts w:ascii="Aptos" w:hAnsi="Aptos"/>
          <w:color w:val="000000"/>
        </w:rPr>
        <w:t xml:space="preserve">BSEA Hearing Officers have </w:t>
      </w:r>
      <w:r w:rsidR="00B41EA9" w:rsidRPr="00F06204">
        <w:rPr>
          <w:rFonts w:ascii="Aptos" w:hAnsi="Aptos"/>
          <w:color w:val="000000"/>
        </w:rPr>
        <w:t>broad authority to fashion relief</w:t>
      </w:r>
      <w:r w:rsidR="00B41EA9" w:rsidRPr="00F06204">
        <w:rPr>
          <w:rStyle w:val="FootnoteReference"/>
          <w:rFonts w:ascii="Aptos" w:hAnsi="Aptos"/>
          <w:color w:val="000000"/>
        </w:rPr>
        <w:footnoteReference w:id="6"/>
      </w:r>
      <w:r w:rsidR="00B41EA9" w:rsidRPr="00F06204">
        <w:rPr>
          <w:rFonts w:ascii="Aptos" w:hAnsi="Aptos"/>
          <w:color w:val="000000"/>
        </w:rPr>
        <w:t xml:space="preserve">, </w:t>
      </w:r>
      <w:r w:rsidR="00485C41" w:rsidRPr="00F06204">
        <w:rPr>
          <w:rFonts w:ascii="Aptos" w:hAnsi="Aptos"/>
          <w:color w:val="000000"/>
        </w:rPr>
        <w:t xml:space="preserve">I decline to order </w:t>
      </w:r>
      <w:r w:rsidR="007C200C" w:rsidRPr="00F06204">
        <w:rPr>
          <w:rFonts w:ascii="Aptos" w:hAnsi="Aptos"/>
          <w:color w:val="000000"/>
        </w:rPr>
        <w:t xml:space="preserve">interim relief </w:t>
      </w:r>
      <w:r w:rsidR="00485C41" w:rsidRPr="00F06204">
        <w:rPr>
          <w:rFonts w:ascii="Aptos" w:hAnsi="Aptos"/>
          <w:color w:val="000000"/>
        </w:rPr>
        <w:t xml:space="preserve">in this matter. </w:t>
      </w:r>
      <w:r w:rsidR="007C200C" w:rsidRPr="00F06204">
        <w:rPr>
          <w:rFonts w:ascii="Aptos" w:hAnsi="Aptos"/>
          <w:color w:val="000000"/>
        </w:rPr>
        <w:t xml:space="preserve"> </w:t>
      </w:r>
      <w:r w:rsidR="00B15D23" w:rsidRPr="00F06204">
        <w:rPr>
          <w:rFonts w:ascii="Aptos" w:hAnsi="Aptos"/>
          <w:color w:val="000000"/>
        </w:rPr>
        <w:t>Transportation decisions must be made by the Team.</w:t>
      </w:r>
      <w:r w:rsidR="002A216C">
        <w:rPr>
          <w:rFonts w:ascii="Aptos" w:hAnsi="Aptos"/>
          <w:color w:val="000000"/>
        </w:rPr>
        <w:t xml:space="preserve"> Here, the Team has not had an opportunity to assess whether such a related service is necessary.</w:t>
      </w:r>
      <w:r w:rsidR="00B15D23" w:rsidRPr="00F06204">
        <w:rPr>
          <w:rFonts w:ascii="Aptos" w:hAnsi="Aptos"/>
          <w:color w:val="000000"/>
        </w:rPr>
        <w:t xml:space="preserve"> </w:t>
      </w:r>
      <w:r w:rsidR="002A216C">
        <w:rPr>
          <w:rFonts w:ascii="Aptos" w:hAnsi="Aptos"/>
          <w:color w:val="000000"/>
        </w:rPr>
        <w:t xml:space="preserve">GAL is an experienced and knowledgeable educational advocate. </w:t>
      </w:r>
      <w:r w:rsidR="00B15D23" w:rsidRPr="00F06204">
        <w:rPr>
          <w:rFonts w:ascii="Aptos" w:hAnsi="Aptos"/>
          <w:color w:val="000000"/>
        </w:rPr>
        <w:t xml:space="preserve">If GAL believes that Student requires specialized transportation, such as door-to-door transportation, the proper recourse is to </w:t>
      </w:r>
      <w:r w:rsidR="002A216C">
        <w:rPr>
          <w:rFonts w:ascii="Aptos" w:hAnsi="Aptos"/>
          <w:color w:val="000000"/>
        </w:rPr>
        <w:t>request</w:t>
      </w:r>
      <w:r w:rsidR="00B15D23" w:rsidRPr="00F06204">
        <w:rPr>
          <w:rFonts w:ascii="Aptos" w:hAnsi="Aptos"/>
          <w:color w:val="000000"/>
        </w:rPr>
        <w:t xml:space="preserve"> </w:t>
      </w:r>
      <w:r w:rsidR="002A216C">
        <w:rPr>
          <w:rFonts w:ascii="Aptos" w:hAnsi="Aptos"/>
          <w:color w:val="000000"/>
        </w:rPr>
        <w:t>that</w:t>
      </w:r>
      <w:r w:rsidR="00B15D23" w:rsidRPr="00F06204">
        <w:rPr>
          <w:rFonts w:ascii="Aptos" w:hAnsi="Aptos"/>
          <w:color w:val="000000"/>
        </w:rPr>
        <w:t xml:space="preserve"> the Team </w:t>
      </w:r>
      <w:r w:rsidR="002A216C">
        <w:rPr>
          <w:rFonts w:ascii="Aptos" w:hAnsi="Aptos"/>
          <w:color w:val="000000"/>
        </w:rPr>
        <w:t xml:space="preserve">reconvene </w:t>
      </w:r>
      <w:r w:rsidR="00B15D23" w:rsidRPr="00F06204">
        <w:rPr>
          <w:rFonts w:ascii="Aptos" w:hAnsi="Aptos"/>
          <w:color w:val="000000"/>
        </w:rPr>
        <w:t xml:space="preserve">to assess </w:t>
      </w:r>
      <w:r w:rsidR="007D6801">
        <w:rPr>
          <w:rFonts w:ascii="Aptos" w:hAnsi="Aptos"/>
          <w:color w:val="000000"/>
        </w:rPr>
        <w:t>Student’s</w:t>
      </w:r>
      <w:r w:rsidR="00B15D23" w:rsidRPr="00F06204">
        <w:rPr>
          <w:rFonts w:ascii="Aptos" w:hAnsi="Aptos"/>
          <w:color w:val="000000"/>
        </w:rPr>
        <w:t xml:space="preserve"> need</w:t>
      </w:r>
      <w:r w:rsidR="007D6801">
        <w:rPr>
          <w:rFonts w:ascii="Aptos" w:hAnsi="Aptos"/>
          <w:color w:val="000000"/>
        </w:rPr>
        <w:t xml:space="preserve"> for door-to-door transportation</w:t>
      </w:r>
      <w:r w:rsidR="00CF56DA" w:rsidRPr="00F06204">
        <w:rPr>
          <w:rFonts w:ascii="Aptos" w:hAnsi="Aptos"/>
          <w:color w:val="000000"/>
        </w:rPr>
        <w:t>.</w:t>
      </w:r>
    </w:p>
    <w:p w14:paraId="247715B2" w14:textId="357BE16E" w:rsidR="00D56454" w:rsidRPr="00F06204" w:rsidRDefault="00D56454" w:rsidP="00922A44">
      <w:pPr>
        <w:pStyle w:val="NormalWeb"/>
        <w:rPr>
          <w:rFonts w:ascii="Aptos" w:hAnsi="Aptos"/>
          <w:b/>
          <w:bCs/>
          <w:color w:val="000000"/>
        </w:rPr>
      </w:pPr>
      <w:r w:rsidRPr="00F06204">
        <w:rPr>
          <w:rFonts w:ascii="Aptos" w:hAnsi="Aptos"/>
          <w:b/>
          <w:bCs/>
          <w:color w:val="000000"/>
        </w:rPr>
        <w:t>ORDER:</w:t>
      </w:r>
    </w:p>
    <w:p w14:paraId="1BBD09B3" w14:textId="26EC5C86" w:rsidR="00965B0A" w:rsidRPr="00F06204" w:rsidRDefault="00B41EA9" w:rsidP="00B41EA9">
      <w:pPr>
        <w:pStyle w:val="NormalWeb"/>
        <w:rPr>
          <w:rFonts w:ascii="Aptos" w:hAnsi="Aptos"/>
          <w:color w:val="000000"/>
        </w:rPr>
      </w:pPr>
      <w:r w:rsidRPr="00F06204">
        <w:rPr>
          <w:rFonts w:ascii="Aptos" w:hAnsi="Aptos"/>
          <w:color w:val="000000" w:themeColor="text1"/>
        </w:rPr>
        <w:t xml:space="preserve">GAL’s </w:t>
      </w:r>
      <w:r w:rsidR="00F06204" w:rsidRPr="00F06204">
        <w:rPr>
          <w:rFonts w:ascii="Aptos" w:hAnsi="Aptos"/>
          <w:color w:val="000000" w:themeColor="text1"/>
        </w:rPr>
        <w:t xml:space="preserve">Emergency Request For Interim Order For Door-To-Door Transportation </w:t>
      </w:r>
      <w:r w:rsidRPr="00F06204">
        <w:rPr>
          <w:rFonts w:ascii="Aptos" w:hAnsi="Aptos"/>
          <w:color w:val="000000" w:themeColor="text1"/>
        </w:rPr>
        <w:t>is hereby DENIED.</w:t>
      </w:r>
    </w:p>
    <w:p w14:paraId="5E91E1C7" w14:textId="089F3A71" w:rsidR="006C7D6B" w:rsidRPr="00F06204" w:rsidRDefault="006C7D6B" w:rsidP="000C4F62">
      <w:pPr>
        <w:rPr>
          <w:rFonts w:ascii="Aptos" w:hAnsi="Aptos" w:cs="Times New Roman"/>
          <w:color w:val="000000" w:themeColor="text1"/>
        </w:rPr>
      </w:pPr>
      <w:r w:rsidRPr="00F06204">
        <w:rPr>
          <w:rFonts w:ascii="Aptos" w:hAnsi="Aptos" w:cs="Times New Roman"/>
          <w:color w:val="000000" w:themeColor="text1"/>
        </w:rPr>
        <w:t>So Ordered by the Hearing Officer,</w:t>
      </w:r>
    </w:p>
    <w:p w14:paraId="1D8F6E14" w14:textId="77777777" w:rsidR="006C7D6B" w:rsidRPr="00F06204" w:rsidRDefault="006C7D6B" w:rsidP="006C7D6B">
      <w:pPr>
        <w:rPr>
          <w:rFonts w:ascii="Aptos" w:hAnsi="Aptos" w:cs="Times New Roman"/>
          <w:color w:val="000000" w:themeColor="text1"/>
        </w:rPr>
      </w:pPr>
    </w:p>
    <w:p w14:paraId="227EC67D" w14:textId="77777777" w:rsidR="006C7D6B" w:rsidRPr="00F06204" w:rsidRDefault="006C7D6B" w:rsidP="006C7D6B">
      <w:pPr>
        <w:rPr>
          <w:rFonts w:ascii="Aptos" w:hAnsi="Aptos" w:cs="Apple Chancery"/>
          <w:color w:val="000000" w:themeColor="text1"/>
          <w:u w:val="single"/>
          <w:lang w:val="pt-BR"/>
        </w:rPr>
      </w:pPr>
      <w:r w:rsidRPr="00F06204">
        <w:rPr>
          <w:rFonts w:ascii="Aptos" w:hAnsi="Aptos" w:cs="Times New Roman"/>
          <w:color w:val="000000" w:themeColor="text1"/>
          <w:u w:val="single"/>
          <w:lang w:val="pt-BR"/>
        </w:rPr>
        <w:t xml:space="preserve">/s/ </w:t>
      </w:r>
      <w:r w:rsidRPr="00F06204">
        <w:rPr>
          <w:rFonts w:ascii="Aptos" w:hAnsi="Aptos" w:cs="Apple Chancery"/>
          <w:color w:val="000000" w:themeColor="text1"/>
          <w:u w:val="single"/>
          <w:lang w:val="pt-BR"/>
        </w:rPr>
        <w:t>Alina Kantor Nir</w:t>
      </w:r>
    </w:p>
    <w:p w14:paraId="74917F5A" w14:textId="77777777" w:rsidR="006C7D6B" w:rsidRPr="00F06204" w:rsidRDefault="006C7D6B" w:rsidP="006C7D6B">
      <w:pPr>
        <w:rPr>
          <w:rFonts w:ascii="Aptos" w:hAnsi="Aptos" w:cs="Times New Roman"/>
          <w:color w:val="000000" w:themeColor="text1"/>
          <w:lang w:val="pt-BR"/>
        </w:rPr>
      </w:pPr>
      <w:r w:rsidRPr="00F06204">
        <w:rPr>
          <w:rFonts w:ascii="Aptos" w:hAnsi="Aptos" w:cs="Times New Roman"/>
          <w:color w:val="000000" w:themeColor="text1"/>
          <w:lang w:val="pt-BR"/>
        </w:rPr>
        <w:t>Alina Kantor Nir</w:t>
      </w:r>
    </w:p>
    <w:p w14:paraId="6C89CE52" w14:textId="3C614038" w:rsidR="00746578" w:rsidRPr="00F06204" w:rsidRDefault="006C7D6B" w:rsidP="006C7D6B">
      <w:pPr>
        <w:rPr>
          <w:rFonts w:ascii="Aptos" w:hAnsi="Aptos"/>
          <w:color w:val="000000" w:themeColor="text1"/>
        </w:rPr>
      </w:pPr>
      <w:r w:rsidRPr="00F06204">
        <w:rPr>
          <w:rFonts w:ascii="Aptos" w:hAnsi="Aptos" w:cs="Times New Roman"/>
          <w:color w:val="000000" w:themeColor="text1"/>
        </w:rPr>
        <w:t xml:space="preserve">Dated: </w:t>
      </w:r>
      <w:r w:rsidR="00CF56DA" w:rsidRPr="00F06204">
        <w:rPr>
          <w:rFonts w:ascii="Aptos" w:hAnsi="Aptos" w:cs="Times New Roman"/>
          <w:color w:val="000000" w:themeColor="text1"/>
        </w:rPr>
        <w:t>February 9</w:t>
      </w:r>
      <w:r w:rsidR="00CE06E5" w:rsidRPr="00F06204">
        <w:rPr>
          <w:rFonts w:ascii="Aptos" w:hAnsi="Aptos" w:cs="Times New Roman"/>
          <w:color w:val="000000" w:themeColor="text1"/>
        </w:rPr>
        <w:t>, 202</w:t>
      </w:r>
      <w:r w:rsidR="008D461A" w:rsidRPr="00F06204">
        <w:rPr>
          <w:rFonts w:ascii="Aptos" w:hAnsi="Aptos" w:cs="Times New Roman"/>
          <w:color w:val="000000" w:themeColor="text1"/>
        </w:rPr>
        <w:t>6</w:t>
      </w:r>
    </w:p>
    <w:sectPr w:rsidR="00746578" w:rsidRPr="00F0620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DA81" w14:textId="77777777" w:rsidR="00B34745" w:rsidRDefault="00B34745" w:rsidP="006C7D6B">
      <w:r>
        <w:separator/>
      </w:r>
    </w:p>
  </w:endnote>
  <w:endnote w:type="continuationSeparator" w:id="0">
    <w:p w14:paraId="133EAC1A" w14:textId="77777777" w:rsidR="00B34745" w:rsidRDefault="00B34745" w:rsidP="006C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 w:name="ƒ-•õ•">
    <w:altName w:val="Calibri"/>
    <w:panose1 w:val="00000000000000000000"/>
    <w:charset w:val="4D"/>
    <w:family w:val="auto"/>
    <w:notTrueType/>
    <w:pitch w:val="default"/>
    <w:sig w:usb0="00000003" w:usb1="00000000" w:usb2="00000000" w:usb3="00000000" w:csb0="00000001" w:csb1="00000000"/>
  </w:font>
  <w:font w:name="Apple Chancery">
    <w:altName w:val="APPLE CHANCERY"/>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277064"/>
      <w:docPartObj>
        <w:docPartGallery w:val="Page Numbers (Bottom of Page)"/>
        <w:docPartUnique/>
      </w:docPartObj>
    </w:sdtPr>
    <w:sdtEndPr>
      <w:rPr>
        <w:rStyle w:val="PageNumber"/>
      </w:rPr>
    </w:sdtEndPr>
    <w:sdtContent>
      <w:p w14:paraId="05D59D3A" w14:textId="08F38178" w:rsidR="00485C41" w:rsidRDefault="00485C41" w:rsidP="006701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F68E2E7" w14:textId="77777777" w:rsidR="00485C41" w:rsidRDefault="00485C41" w:rsidP="00485C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600000"/>
      <w:docPartObj>
        <w:docPartGallery w:val="Page Numbers (Bottom of Page)"/>
        <w:docPartUnique/>
      </w:docPartObj>
    </w:sdtPr>
    <w:sdtEndPr>
      <w:rPr>
        <w:rStyle w:val="PageNumber"/>
      </w:rPr>
    </w:sdtEndPr>
    <w:sdtContent>
      <w:p w14:paraId="53C55CDF" w14:textId="05A9570B" w:rsidR="00485C41" w:rsidRDefault="00485C41" w:rsidP="006701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5CB62A" w14:textId="77777777" w:rsidR="00485C41" w:rsidRDefault="00485C41" w:rsidP="00485C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1456" w14:textId="77777777" w:rsidR="00B34745" w:rsidRDefault="00B34745" w:rsidP="006C7D6B">
      <w:r>
        <w:separator/>
      </w:r>
    </w:p>
  </w:footnote>
  <w:footnote w:type="continuationSeparator" w:id="0">
    <w:p w14:paraId="65EDCA87" w14:textId="77777777" w:rsidR="00B34745" w:rsidRDefault="00B34745" w:rsidP="006C7D6B">
      <w:r>
        <w:continuationSeparator/>
      </w:r>
    </w:p>
  </w:footnote>
  <w:footnote w:id="1">
    <w:p w14:paraId="635E682E" w14:textId="7D9E6CA7" w:rsidR="002A2ED7" w:rsidRDefault="002A2ED7">
      <w:pPr>
        <w:pStyle w:val="FootnoteText"/>
      </w:pPr>
      <w:r>
        <w:rPr>
          <w:rStyle w:val="FootnoteReference"/>
        </w:rPr>
        <w:footnoteRef/>
      </w:r>
      <w:r>
        <w:t xml:space="preserve"> Student transferred from </w:t>
      </w:r>
      <w:r w:rsidR="001755A9">
        <w:t>a different district to</w:t>
      </w:r>
      <w:r>
        <w:t xml:space="preserve"> Springfield P</w:t>
      </w:r>
      <w:r w:rsidR="001755A9">
        <w:t>ublic Schools.</w:t>
      </w:r>
    </w:p>
  </w:footnote>
  <w:footnote w:id="2">
    <w:p w14:paraId="647CDF8F" w14:textId="6A9DAC02" w:rsidR="00387757" w:rsidRDefault="00387757">
      <w:pPr>
        <w:pStyle w:val="FootnoteText"/>
      </w:pPr>
      <w:r>
        <w:rPr>
          <w:rStyle w:val="FootnoteReference"/>
        </w:rPr>
        <w:footnoteRef/>
      </w:r>
      <w:r>
        <w:t xml:space="preserve"> </w:t>
      </w:r>
      <w:r w:rsidRPr="00F85F9B">
        <w:rPr>
          <w:rFonts w:ascii="Aptos" w:hAnsi="Aptos"/>
          <w:color w:val="000000"/>
        </w:rPr>
        <w:t>34 CFR 300.117; and 71 Fed. Reg. 46,576 (2006).</w:t>
      </w:r>
    </w:p>
  </w:footnote>
  <w:footnote w:id="3">
    <w:p w14:paraId="5A50595F" w14:textId="5B51EA4D" w:rsidR="00387757" w:rsidRDefault="00387757">
      <w:pPr>
        <w:pStyle w:val="FootnoteText"/>
      </w:pPr>
      <w:r>
        <w:rPr>
          <w:rStyle w:val="FootnoteReference"/>
        </w:rPr>
        <w:footnoteRef/>
      </w:r>
      <w:r>
        <w:t xml:space="preserve"> </w:t>
      </w:r>
      <w:r w:rsidRPr="00F85F9B">
        <w:rPr>
          <w:rFonts w:ascii="Aptos" w:hAnsi="Aptos"/>
          <w:color w:val="000000"/>
        </w:rPr>
        <w:t>34 CFR 300.34 (c)(16).</w:t>
      </w:r>
    </w:p>
  </w:footnote>
  <w:footnote w:id="4">
    <w:p w14:paraId="43004C23" w14:textId="17D2C12F" w:rsidR="00292B4A" w:rsidRDefault="00292B4A">
      <w:pPr>
        <w:pStyle w:val="FootnoteText"/>
      </w:pPr>
      <w:r>
        <w:rPr>
          <w:rStyle w:val="FootnoteReference"/>
        </w:rPr>
        <w:footnoteRef/>
      </w:r>
      <w:r>
        <w:t xml:space="preserve"> </w:t>
      </w:r>
      <w:r w:rsidRPr="00F85F9B">
        <w:rPr>
          <w:rFonts w:ascii="Aptos" w:hAnsi="Aptos"/>
          <w:color w:val="000000"/>
        </w:rPr>
        <w:t>See</w:t>
      </w:r>
      <w:r w:rsidRPr="00F85F9B">
        <w:rPr>
          <w:rFonts w:ascii="Aptos" w:eastAsia="Times New Roman" w:hAnsi="Aptos"/>
          <w:color w:val="000000"/>
        </w:rPr>
        <w:t> </w:t>
      </w:r>
      <w:r w:rsidRPr="00F85F9B">
        <w:rPr>
          <w:rFonts w:ascii="Aptos" w:hAnsi="Aptos"/>
          <w:color w:val="000000"/>
        </w:rPr>
        <w:t>71 Fed. Reg. 46,576 (2006).</w:t>
      </w:r>
    </w:p>
  </w:footnote>
  <w:footnote w:id="5">
    <w:p w14:paraId="43C2A197" w14:textId="7E4A33A8" w:rsidR="009D3C8A" w:rsidRDefault="009D3C8A">
      <w:pPr>
        <w:pStyle w:val="FootnoteText"/>
      </w:pPr>
      <w:r>
        <w:rPr>
          <w:rStyle w:val="FootnoteReference"/>
        </w:rPr>
        <w:footnoteRef/>
      </w:r>
      <w:r>
        <w:t xml:space="preserve"> </w:t>
      </w:r>
      <w:r w:rsidRPr="00F85F9B">
        <w:rPr>
          <w:rFonts w:ascii="Aptos" w:hAnsi="Aptos"/>
          <w:color w:val="000000"/>
        </w:rPr>
        <w:t>71 Fed. Reg. 46,576 (2006).</w:t>
      </w:r>
      <w:r w:rsidRPr="00F85F9B">
        <w:rPr>
          <w:rFonts w:ascii="Aptos" w:eastAsia="Times New Roman" w:hAnsi="Aptos"/>
          <w:color w:val="000000"/>
        </w:rPr>
        <w:t> </w:t>
      </w:r>
      <w:r>
        <w:rPr>
          <w:rFonts w:ascii="Aptos" w:hAnsi="Aptos"/>
          <w:color w:val="000000"/>
        </w:rPr>
        <w:t xml:space="preserve"> </w:t>
      </w:r>
    </w:p>
  </w:footnote>
  <w:footnote w:id="6">
    <w:p w14:paraId="621C0AFB" w14:textId="56DA2CD2" w:rsidR="00B41EA9" w:rsidRDefault="00B41EA9">
      <w:pPr>
        <w:pStyle w:val="FootnoteText"/>
      </w:pPr>
      <w:r>
        <w:rPr>
          <w:rStyle w:val="FootnoteReference"/>
        </w:rPr>
        <w:footnoteRef/>
      </w:r>
      <w:r>
        <w:t xml:space="preserve"> See </w:t>
      </w:r>
      <w:r w:rsidRPr="00B41EA9">
        <w:t>M.G.L. c. 71B, § 3</w:t>
      </w:r>
      <w:r>
        <w:t xml:space="preserve"> (</w:t>
      </w:r>
      <w:r w:rsidRPr="00B41EA9">
        <w:t>in rendering her decision, the Hearing Officer has broad authority to “order such educational placement and services as [s]he deems appropriate and consistent with this chapter to assure the child receives a free and appropriate public education in the least restrictive environment”</w:t>
      </w:r>
      <w:r>
        <w:t>).</w:t>
      </w:r>
      <w:r w:rsidRPr="00B41EA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F53C6"/>
    <w:multiLevelType w:val="multilevel"/>
    <w:tmpl w:val="36B2B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227141">
    <w:abstractNumId w:val="1"/>
  </w:num>
  <w:num w:numId="2" w16cid:durableId="85697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6B"/>
    <w:rsid w:val="000712C7"/>
    <w:rsid w:val="00090625"/>
    <w:rsid w:val="000C4F62"/>
    <w:rsid w:val="000C771E"/>
    <w:rsid w:val="000E2182"/>
    <w:rsid w:val="00142F35"/>
    <w:rsid w:val="001755A9"/>
    <w:rsid w:val="002179D1"/>
    <w:rsid w:val="00292B4A"/>
    <w:rsid w:val="002A216C"/>
    <w:rsid w:val="002A2ED7"/>
    <w:rsid w:val="002B398C"/>
    <w:rsid w:val="002E5312"/>
    <w:rsid w:val="0035243B"/>
    <w:rsid w:val="003561EA"/>
    <w:rsid w:val="00387757"/>
    <w:rsid w:val="003D0203"/>
    <w:rsid w:val="003D30AD"/>
    <w:rsid w:val="00401D35"/>
    <w:rsid w:val="00425AFB"/>
    <w:rsid w:val="004701E9"/>
    <w:rsid w:val="00475D1C"/>
    <w:rsid w:val="00485C41"/>
    <w:rsid w:val="00517C98"/>
    <w:rsid w:val="00540060"/>
    <w:rsid w:val="005473F9"/>
    <w:rsid w:val="005E7BBD"/>
    <w:rsid w:val="006724C6"/>
    <w:rsid w:val="00686071"/>
    <w:rsid w:val="006C307D"/>
    <w:rsid w:val="006C7D6B"/>
    <w:rsid w:val="0071748F"/>
    <w:rsid w:val="00746578"/>
    <w:rsid w:val="00753A77"/>
    <w:rsid w:val="007648EA"/>
    <w:rsid w:val="007C200C"/>
    <w:rsid w:val="007D6801"/>
    <w:rsid w:val="00803F90"/>
    <w:rsid w:val="00870942"/>
    <w:rsid w:val="00894638"/>
    <w:rsid w:val="00894D81"/>
    <w:rsid w:val="008A2809"/>
    <w:rsid w:val="008D461A"/>
    <w:rsid w:val="008F3C69"/>
    <w:rsid w:val="00910867"/>
    <w:rsid w:val="00922A44"/>
    <w:rsid w:val="0093015A"/>
    <w:rsid w:val="00965B0A"/>
    <w:rsid w:val="009D3C8A"/>
    <w:rsid w:val="009F6688"/>
    <w:rsid w:val="00A1019B"/>
    <w:rsid w:val="00A433D3"/>
    <w:rsid w:val="00A661CD"/>
    <w:rsid w:val="00A73DF5"/>
    <w:rsid w:val="00A83EED"/>
    <w:rsid w:val="00AD2578"/>
    <w:rsid w:val="00AF14D1"/>
    <w:rsid w:val="00B15D23"/>
    <w:rsid w:val="00B34745"/>
    <w:rsid w:val="00B41EA9"/>
    <w:rsid w:val="00BC22AA"/>
    <w:rsid w:val="00BD6D66"/>
    <w:rsid w:val="00C62543"/>
    <w:rsid w:val="00C70FC5"/>
    <w:rsid w:val="00C8176F"/>
    <w:rsid w:val="00CA386E"/>
    <w:rsid w:val="00CE06E5"/>
    <w:rsid w:val="00CF56DA"/>
    <w:rsid w:val="00D35881"/>
    <w:rsid w:val="00D56454"/>
    <w:rsid w:val="00D67643"/>
    <w:rsid w:val="00EC44BA"/>
    <w:rsid w:val="00F06204"/>
    <w:rsid w:val="00F81EDD"/>
    <w:rsid w:val="00F85F9B"/>
    <w:rsid w:val="00FB5E29"/>
    <w:rsid w:val="00FD38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2CB7E"/>
  <w15:chartTrackingRefBased/>
  <w15:docId w15:val="{CE62B035-2622-AA46-82D3-47D7C90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D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D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D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D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D6B"/>
    <w:rPr>
      <w:rFonts w:eastAsiaTheme="majorEastAsia" w:cstheme="majorBidi"/>
      <w:color w:val="272727" w:themeColor="text1" w:themeTint="D8"/>
    </w:rPr>
  </w:style>
  <w:style w:type="paragraph" w:styleId="Title">
    <w:name w:val="Title"/>
    <w:basedOn w:val="Normal"/>
    <w:next w:val="Normal"/>
    <w:link w:val="TitleChar"/>
    <w:uiPriority w:val="10"/>
    <w:qFormat/>
    <w:rsid w:val="006C7D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D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D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7D6B"/>
    <w:rPr>
      <w:i/>
      <w:iCs/>
      <w:color w:val="404040" w:themeColor="text1" w:themeTint="BF"/>
    </w:rPr>
  </w:style>
  <w:style w:type="paragraph" w:styleId="ListParagraph">
    <w:name w:val="List Paragraph"/>
    <w:basedOn w:val="Normal"/>
    <w:uiPriority w:val="34"/>
    <w:qFormat/>
    <w:rsid w:val="006C7D6B"/>
    <w:pPr>
      <w:ind w:left="720"/>
      <w:contextualSpacing/>
    </w:pPr>
  </w:style>
  <w:style w:type="character" w:styleId="IntenseEmphasis">
    <w:name w:val="Intense Emphasis"/>
    <w:basedOn w:val="DefaultParagraphFont"/>
    <w:uiPriority w:val="21"/>
    <w:qFormat/>
    <w:rsid w:val="006C7D6B"/>
    <w:rPr>
      <w:i/>
      <w:iCs/>
      <w:color w:val="0F4761" w:themeColor="accent1" w:themeShade="BF"/>
    </w:rPr>
  </w:style>
  <w:style w:type="paragraph" w:styleId="IntenseQuote">
    <w:name w:val="Intense Quote"/>
    <w:basedOn w:val="Normal"/>
    <w:next w:val="Normal"/>
    <w:link w:val="IntenseQuoteChar"/>
    <w:uiPriority w:val="30"/>
    <w:qFormat/>
    <w:rsid w:val="006C7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D6B"/>
    <w:rPr>
      <w:i/>
      <w:iCs/>
      <w:color w:val="0F4761" w:themeColor="accent1" w:themeShade="BF"/>
    </w:rPr>
  </w:style>
  <w:style w:type="character" w:styleId="IntenseReference">
    <w:name w:val="Intense Reference"/>
    <w:basedOn w:val="DefaultParagraphFont"/>
    <w:uiPriority w:val="32"/>
    <w:qFormat/>
    <w:rsid w:val="006C7D6B"/>
    <w:rPr>
      <w:b/>
      <w:bCs/>
      <w:smallCaps/>
      <w:color w:val="0F4761" w:themeColor="accent1" w:themeShade="BF"/>
      <w:spacing w:val="5"/>
    </w:rPr>
  </w:style>
  <w:style w:type="paragraph" w:styleId="NormalWeb">
    <w:name w:val="Normal (Web)"/>
    <w:basedOn w:val="Normal"/>
    <w:uiPriority w:val="99"/>
    <w:unhideWhenUsed/>
    <w:rsid w:val="006C7D6B"/>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C7D6B"/>
  </w:style>
  <w:style w:type="character" w:styleId="Emphasis">
    <w:name w:val="Emphasis"/>
    <w:basedOn w:val="DefaultParagraphFont"/>
    <w:uiPriority w:val="20"/>
    <w:qFormat/>
    <w:rsid w:val="006C7D6B"/>
    <w:rPr>
      <w:i/>
      <w:iCs/>
    </w:rPr>
  </w:style>
  <w:style w:type="paragraph" w:customStyle="1" w:styleId="western">
    <w:name w:val="western"/>
    <w:basedOn w:val="Normal"/>
    <w:rsid w:val="006C7D6B"/>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6C7D6B"/>
    <w:rPr>
      <w:kern w:val="0"/>
      <w:sz w:val="20"/>
      <w:szCs w:val="20"/>
      <w14:ligatures w14:val="none"/>
    </w:rPr>
  </w:style>
  <w:style w:type="character" w:customStyle="1" w:styleId="FootnoteTextChar">
    <w:name w:val="Footnote Text Char"/>
    <w:basedOn w:val="DefaultParagraphFont"/>
    <w:link w:val="FootnoteText"/>
    <w:uiPriority w:val="99"/>
    <w:semiHidden/>
    <w:rsid w:val="006C7D6B"/>
    <w:rPr>
      <w:kern w:val="0"/>
      <w:sz w:val="20"/>
      <w:szCs w:val="20"/>
      <w14:ligatures w14:val="none"/>
    </w:rPr>
  </w:style>
  <w:style w:type="character" w:styleId="FootnoteReference">
    <w:name w:val="footnote reference"/>
    <w:basedOn w:val="DefaultParagraphFont"/>
    <w:uiPriority w:val="99"/>
    <w:unhideWhenUsed/>
    <w:rsid w:val="006C7D6B"/>
    <w:rPr>
      <w:vertAlign w:val="superscript"/>
    </w:rPr>
  </w:style>
  <w:style w:type="paragraph" w:customStyle="1" w:styleId="Default">
    <w:name w:val="Default"/>
    <w:rsid w:val="00965B0A"/>
    <w:pPr>
      <w:autoSpaceDE w:val="0"/>
      <w:autoSpaceDN w:val="0"/>
      <w:adjustRightInd w:val="0"/>
    </w:pPr>
    <w:rPr>
      <w:rFonts w:ascii="Times New Roman" w:hAnsi="Times New Roman" w:cs="Times New Roman"/>
      <w:color w:val="000000"/>
      <w:kern w:val="0"/>
    </w:rPr>
  </w:style>
  <w:style w:type="paragraph" w:styleId="Footer">
    <w:name w:val="footer"/>
    <w:basedOn w:val="Normal"/>
    <w:link w:val="FooterChar"/>
    <w:uiPriority w:val="99"/>
    <w:unhideWhenUsed/>
    <w:rsid w:val="00485C41"/>
    <w:pPr>
      <w:tabs>
        <w:tab w:val="center" w:pos="4680"/>
        <w:tab w:val="right" w:pos="9360"/>
      </w:tabs>
    </w:pPr>
  </w:style>
  <w:style w:type="character" w:customStyle="1" w:styleId="FooterChar">
    <w:name w:val="Footer Char"/>
    <w:basedOn w:val="DefaultParagraphFont"/>
    <w:link w:val="Footer"/>
    <w:uiPriority w:val="99"/>
    <w:rsid w:val="00485C41"/>
  </w:style>
  <w:style w:type="character" w:styleId="PageNumber">
    <w:name w:val="page number"/>
    <w:basedOn w:val="DefaultParagraphFont"/>
    <w:uiPriority w:val="99"/>
    <w:semiHidden/>
    <w:unhideWhenUsed/>
    <w:rsid w:val="00485C41"/>
  </w:style>
  <w:style w:type="paragraph" w:styleId="Revision">
    <w:name w:val="Revision"/>
    <w:hidden/>
    <w:uiPriority w:val="99"/>
    <w:semiHidden/>
    <w:rsid w:val="0035243B"/>
  </w:style>
  <w:style w:type="character" w:styleId="Hyperlink">
    <w:name w:val="Hyperlink"/>
    <w:basedOn w:val="DefaultParagraphFont"/>
    <w:uiPriority w:val="99"/>
    <w:unhideWhenUsed/>
    <w:rsid w:val="00A73DF5"/>
    <w:rPr>
      <w:color w:val="467886" w:themeColor="hyperlink"/>
      <w:u w:val="single"/>
    </w:rPr>
  </w:style>
  <w:style w:type="character" w:styleId="UnresolvedMention">
    <w:name w:val="Unresolved Mention"/>
    <w:basedOn w:val="DefaultParagraphFont"/>
    <w:uiPriority w:val="99"/>
    <w:semiHidden/>
    <w:unhideWhenUsed/>
    <w:rsid w:val="00A73DF5"/>
    <w:rPr>
      <w:color w:val="605E5C"/>
      <w:shd w:val="clear" w:color="auto" w:fill="E1DFDD"/>
    </w:rPr>
  </w:style>
  <w:style w:type="paragraph" w:styleId="Header">
    <w:name w:val="header"/>
    <w:basedOn w:val="Normal"/>
    <w:link w:val="HeaderChar"/>
    <w:uiPriority w:val="99"/>
    <w:unhideWhenUsed/>
    <w:rsid w:val="000C771E"/>
    <w:pPr>
      <w:tabs>
        <w:tab w:val="center" w:pos="4680"/>
        <w:tab w:val="right" w:pos="9360"/>
      </w:tabs>
    </w:pPr>
  </w:style>
  <w:style w:type="character" w:customStyle="1" w:styleId="HeaderChar">
    <w:name w:val="Header Char"/>
    <w:basedOn w:val="DefaultParagraphFont"/>
    <w:link w:val="Header"/>
    <w:uiPriority w:val="99"/>
    <w:rsid w:val="000C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92D4D-F5EA-A741-9DFD-A9491EE3983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2026-02-09T20:39:00Z</cp:lastPrinted>
  <dcterms:created xsi:type="dcterms:W3CDTF">2026-02-09T22:32:00Z</dcterms:created>
  <dcterms:modified xsi:type="dcterms:W3CDTF">2026-02-09T22:32:00Z</dcterms:modified>
</cp:coreProperties>
</file>