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5C43D" w14:textId="70DE93A8" w:rsidR="00E54083" w:rsidRPr="005C1236" w:rsidRDefault="00115810" w:rsidP="007F0EC6">
      <w:pPr>
        <w:pStyle w:val="Heading1"/>
        <w:spacing w:before="0"/>
        <w:jc w:val="center"/>
        <w:rPr>
          <w:rFonts w:ascii="Aptos" w:hAnsi="Aptos"/>
          <w:b/>
          <w:bCs/>
          <w:color w:val="000000" w:themeColor="text1"/>
          <w:sz w:val="24"/>
          <w:szCs w:val="24"/>
        </w:rPr>
      </w:pPr>
      <w:r>
        <w:rPr>
          <w:rFonts w:ascii="Aptos" w:hAnsi="Aptos"/>
          <w:b/>
          <w:bCs/>
          <w:color w:val="000000" w:themeColor="text1"/>
          <w:sz w:val="24"/>
          <w:szCs w:val="24"/>
        </w:rPr>
        <w:t xml:space="preserve">THE </w:t>
      </w:r>
      <w:r w:rsidR="00DA0B06" w:rsidRPr="005C1236">
        <w:rPr>
          <w:rFonts w:ascii="Aptos" w:hAnsi="Aptos"/>
          <w:b/>
          <w:bCs/>
          <w:color w:val="000000" w:themeColor="text1"/>
          <w:sz w:val="24"/>
          <w:szCs w:val="24"/>
        </w:rPr>
        <w:t>COMMONWEALTH OF MASSACHUSETTS</w:t>
      </w:r>
    </w:p>
    <w:p w14:paraId="060650E0" w14:textId="77777777" w:rsidR="00E54083" w:rsidRPr="005C1236" w:rsidRDefault="00E54083" w:rsidP="007F0EC6">
      <w:pPr>
        <w:jc w:val="center"/>
        <w:rPr>
          <w:rFonts w:ascii="Aptos" w:hAnsi="Aptos"/>
          <w:b/>
          <w:color w:val="000000" w:themeColor="text1"/>
        </w:rPr>
      </w:pPr>
      <w:r w:rsidRPr="005C1236">
        <w:rPr>
          <w:rFonts w:ascii="Aptos" w:hAnsi="Aptos"/>
          <w:b/>
          <w:color w:val="000000" w:themeColor="text1"/>
        </w:rPr>
        <w:t>DIVISION OF ADMINISTRATIVE LAW APPEALS</w:t>
      </w:r>
    </w:p>
    <w:p w14:paraId="3B594664" w14:textId="77777777" w:rsidR="00E54083" w:rsidRPr="005C1236" w:rsidRDefault="00E54083" w:rsidP="007F0EC6">
      <w:pPr>
        <w:jc w:val="center"/>
        <w:rPr>
          <w:rFonts w:ascii="Aptos" w:hAnsi="Aptos"/>
          <w:b/>
          <w:color w:val="000000" w:themeColor="text1"/>
        </w:rPr>
      </w:pPr>
      <w:r w:rsidRPr="005C1236">
        <w:rPr>
          <w:rFonts w:ascii="Aptos" w:hAnsi="Aptos"/>
          <w:b/>
          <w:color w:val="000000" w:themeColor="text1"/>
        </w:rPr>
        <w:t>BUREAU OF SPECIAL EDUCATION APPEALS</w:t>
      </w:r>
    </w:p>
    <w:p w14:paraId="6AEE39D3" w14:textId="77777777" w:rsidR="00E54083" w:rsidRPr="005C1236" w:rsidRDefault="00E54083" w:rsidP="007F0EC6">
      <w:pPr>
        <w:rPr>
          <w:rFonts w:ascii="Aptos" w:hAnsi="Aptos"/>
          <w:b/>
          <w:color w:val="000000" w:themeColor="text1"/>
        </w:rPr>
      </w:pPr>
    </w:p>
    <w:p w14:paraId="502D4924" w14:textId="2E91E1F1" w:rsidR="00E54083" w:rsidRPr="005C1236" w:rsidRDefault="00E54083" w:rsidP="007F0EC6">
      <w:pPr>
        <w:rPr>
          <w:rFonts w:ascii="Aptos" w:hAnsi="Aptos"/>
          <w:b/>
          <w:bCs/>
          <w:color w:val="000000" w:themeColor="text1"/>
        </w:rPr>
      </w:pPr>
      <w:r w:rsidRPr="005C1236">
        <w:rPr>
          <w:rFonts w:ascii="Aptos" w:hAnsi="Aptos"/>
          <w:b/>
          <w:bCs/>
          <w:color w:val="000000" w:themeColor="text1"/>
        </w:rPr>
        <w:t xml:space="preserve">In Re: Student v. </w:t>
      </w:r>
      <w:r w:rsidR="005026A7" w:rsidRPr="005C1236">
        <w:rPr>
          <w:rFonts w:ascii="Aptos" w:hAnsi="Aptos"/>
          <w:b/>
          <w:bCs/>
          <w:color w:val="000000" w:themeColor="text1"/>
        </w:rPr>
        <w:t>Lawrence</w:t>
      </w:r>
      <w:r w:rsidR="00D54D4C" w:rsidRPr="005C1236">
        <w:rPr>
          <w:rFonts w:ascii="Aptos" w:hAnsi="Aptos"/>
          <w:b/>
          <w:bCs/>
          <w:color w:val="000000" w:themeColor="text1"/>
        </w:rPr>
        <w:t xml:space="preserve"> Public Schools</w:t>
      </w:r>
      <w:r w:rsidRPr="005C1236">
        <w:rPr>
          <w:rFonts w:ascii="Aptos" w:hAnsi="Aptos"/>
          <w:b/>
          <w:bCs/>
          <w:color w:val="000000" w:themeColor="text1"/>
        </w:rPr>
        <w:tab/>
      </w:r>
      <w:r w:rsidRPr="005C1236">
        <w:rPr>
          <w:rFonts w:ascii="Aptos" w:hAnsi="Aptos"/>
          <w:b/>
          <w:bCs/>
          <w:color w:val="000000" w:themeColor="text1"/>
        </w:rPr>
        <w:tab/>
      </w:r>
      <w:r w:rsidRPr="005C1236">
        <w:rPr>
          <w:rFonts w:ascii="Aptos" w:hAnsi="Aptos"/>
          <w:b/>
          <w:bCs/>
          <w:color w:val="000000" w:themeColor="text1"/>
        </w:rPr>
        <w:tab/>
      </w:r>
      <w:r w:rsidR="001546D6" w:rsidRPr="005C1236">
        <w:rPr>
          <w:rFonts w:ascii="Aptos" w:hAnsi="Aptos"/>
          <w:b/>
          <w:bCs/>
          <w:color w:val="000000" w:themeColor="text1"/>
        </w:rPr>
        <w:tab/>
      </w:r>
      <w:r w:rsidR="00D54D4C" w:rsidRPr="005C1236">
        <w:rPr>
          <w:rFonts w:ascii="Aptos" w:hAnsi="Aptos"/>
          <w:b/>
          <w:bCs/>
          <w:color w:val="000000" w:themeColor="text1"/>
        </w:rPr>
        <w:t xml:space="preserve">BSEA # </w:t>
      </w:r>
      <w:r w:rsidR="004047CB" w:rsidRPr="005C1236">
        <w:rPr>
          <w:rFonts w:ascii="Aptos" w:hAnsi="Aptos"/>
          <w:b/>
          <w:bCs/>
          <w:color w:val="000000" w:themeColor="text1"/>
        </w:rPr>
        <w:t>2605723</w:t>
      </w:r>
      <w:r w:rsidRPr="005C1236">
        <w:rPr>
          <w:rFonts w:ascii="Aptos" w:hAnsi="Aptos"/>
          <w:b/>
          <w:bCs/>
          <w:color w:val="000000" w:themeColor="text1"/>
        </w:rPr>
        <w:tab/>
      </w:r>
    </w:p>
    <w:p w14:paraId="745BBCB9" w14:textId="77777777" w:rsidR="00E54083" w:rsidRPr="005C1236" w:rsidRDefault="00E54083" w:rsidP="007F0EC6">
      <w:pPr>
        <w:jc w:val="center"/>
        <w:rPr>
          <w:rFonts w:ascii="Aptos" w:hAnsi="Aptos"/>
          <w:b/>
          <w:bCs/>
          <w:color w:val="000000" w:themeColor="text1"/>
        </w:rPr>
      </w:pPr>
    </w:p>
    <w:p w14:paraId="4F1893F6" w14:textId="77777777" w:rsidR="004047CB" w:rsidRPr="005C1236" w:rsidRDefault="00AC7469" w:rsidP="007F0EC6">
      <w:pPr>
        <w:jc w:val="center"/>
        <w:rPr>
          <w:rFonts w:ascii="Aptos" w:hAnsi="Aptos"/>
          <w:b/>
          <w:bCs/>
          <w:color w:val="000000" w:themeColor="text1"/>
          <w:u w:val="single"/>
        </w:rPr>
      </w:pPr>
      <w:r w:rsidRPr="005C1236">
        <w:rPr>
          <w:rFonts w:ascii="Aptos" w:hAnsi="Aptos"/>
          <w:b/>
          <w:bCs/>
          <w:color w:val="000000" w:themeColor="text1"/>
          <w:u w:val="single"/>
        </w:rPr>
        <w:t xml:space="preserve">RULING ON </w:t>
      </w:r>
      <w:r w:rsidR="005026A7" w:rsidRPr="005C1236">
        <w:rPr>
          <w:rFonts w:ascii="Aptos" w:hAnsi="Aptos"/>
          <w:b/>
          <w:bCs/>
          <w:color w:val="000000" w:themeColor="text1"/>
          <w:u w:val="single"/>
        </w:rPr>
        <w:t>LAWRENCE</w:t>
      </w:r>
      <w:r w:rsidR="00D54D4C" w:rsidRPr="005C1236">
        <w:rPr>
          <w:rFonts w:ascii="Aptos" w:hAnsi="Aptos"/>
          <w:b/>
          <w:bCs/>
          <w:color w:val="000000" w:themeColor="text1"/>
          <w:u w:val="single"/>
        </w:rPr>
        <w:t xml:space="preserve"> PUBLIC SCHOOLS’ </w:t>
      </w:r>
      <w:r w:rsidR="004047CB" w:rsidRPr="005C1236">
        <w:rPr>
          <w:rFonts w:ascii="Aptos" w:hAnsi="Aptos"/>
          <w:b/>
          <w:bCs/>
          <w:color w:val="000000" w:themeColor="text1"/>
          <w:u w:val="single"/>
        </w:rPr>
        <w:t>MOTION TO DISMISS FOR LACK OF SUBJECT MATTER JURISDICTION OR, IN</w:t>
      </w:r>
    </w:p>
    <w:p w14:paraId="7E63EC74" w14:textId="7CF12120" w:rsidR="00E54083" w:rsidRDefault="004047CB" w:rsidP="007F0EC6">
      <w:pPr>
        <w:jc w:val="center"/>
        <w:rPr>
          <w:rFonts w:ascii="Aptos" w:hAnsi="Aptos"/>
          <w:b/>
          <w:bCs/>
          <w:color w:val="000000" w:themeColor="text1"/>
          <w:u w:val="single"/>
        </w:rPr>
      </w:pPr>
      <w:r w:rsidRPr="005C1236">
        <w:rPr>
          <w:rFonts w:ascii="Aptos" w:hAnsi="Aptos"/>
          <w:b/>
          <w:bCs/>
          <w:color w:val="000000" w:themeColor="text1"/>
          <w:u w:val="single"/>
        </w:rPr>
        <w:t>THE ALTERNATIVE, FOR FAILURE TO STATE A CLAIM</w:t>
      </w:r>
    </w:p>
    <w:p w14:paraId="0ADA0188" w14:textId="13C866A0" w:rsidR="005A4921" w:rsidRDefault="005A4921" w:rsidP="007F0EC6">
      <w:pPr>
        <w:jc w:val="center"/>
        <w:rPr>
          <w:rFonts w:ascii="Aptos" w:hAnsi="Aptos"/>
          <w:b/>
          <w:bCs/>
          <w:color w:val="000000" w:themeColor="text1"/>
          <w:u w:val="single"/>
        </w:rPr>
      </w:pPr>
      <w:r>
        <w:rPr>
          <w:rFonts w:ascii="Aptos" w:hAnsi="Aptos"/>
          <w:b/>
          <w:bCs/>
          <w:color w:val="000000" w:themeColor="text1"/>
          <w:u w:val="single"/>
        </w:rPr>
        <w:t>AND ON</w:t>
      </w:r>
    </w:p>
    <w:p w14:paraId="02AD67E0" w14:textId="71A1EB93" w:rsidR="005A4921" w:rsidRPr="005C1236" w:rsidRDefault="005A4921" w:rsidP="007F0EC6">
      <w:pPr>
        <w:jc w:val="center"/>
        <w:rPr>
          <w:rFonts w:ascii="Aptos" w:hAnsi="Aptos"/>
          <w:b/>
          <w:color w:val="000000" w:themeColor="text1"/>
          <w:u w:val="single"/>
        </w:rPr>
      </w:pPr>
      <w:r>
        <w:rPr>
          <w:rFonts w:ascii="Aptos" w:hAnsi="Aptos"/>
          <w:b/>
          <w:bCs/>
          <w:color w:val="000000" w:themeColor="text1"/>
          <w:u w:val="single"/>
        </w:rPr>
        <w:t>PARENT’S MOTION FOR STAY PUT</w:t>
      </w:r>
    </w:p>
    <w:p w14:paraId="55CEF268" w14:textId="77777777" w:rsidR="009D1826" w:rsidRPr="005C1236" w:rsidRDefault="009D1826" w:rsidP="007F0EC6">
      <w:pPr>
        <w:rPr>
          <w:rFonts w:ascii="Aptos" w:hAnsi="Aptos"/>
          <w:color w:val="000000" w:themeColor="text1"/>
        </w:rPr>
      </w:pPr>
    </w:p>
    <w:p w14:paraId="460732DC" w14:textId="25D38B8B" w:rsidR="00686B78" w:rsidRPr="005C1236" w:rsidRDefault="009D1826" w:rsidP="007F0EC6">
      <w:pPr>
        <w:autoSpaceDE w:val="0"/>
        <w:autoSpaceDN w:val="0"/>
        <w:adjustRightInd w:val="0"/>
        <w:rPr>
          <w:rFonts w:ascii="Aptos" w:hAnsi="Aptos"/>
          <w:color w:val="000000" w:themeColor="text1"/>
        </w:rPr>
      </w:pPr>
      <w:r w:rsidRPr="005C1236">
        <w:rPr>
          <w:rFonts w:ascii="Aptos" w:hAnsi="Aptos"/>
          <w:color w:val="000000" w:themeColor="text1"/>
        </w:rPr>
        <w:t>On</w:t>
      </w:r>
      <w:r w:rsidR="00DB7391" w:rsidRPr="005C1236">
        <w:rPr>
          <w:rFonts w:ascii="Aptos" w:hAnsi="Aptos"/>
          <w:color w:val="000000" w:themeColor="text1"/>
        </w:rPr>
        <w:t xml:space="preserve"> </w:t>
      </w:r>
      <w:r w:rsidR="00517559" w:rsidRPr="005C1236">
        <w:rPr>
          <w:rFonts w:ascii="Aptos" w:hAnsi="Aptos"/>
          <w:color w:val="000000" w:themeColor="text1"/>
        </w:rPr>
        <w:t>November 24, 2025</w:t>
      </w:r>
      <w:r w:rsidRPr="005C1236">
        <w:rPr>
          <w:rFonts w:ascii="Aptos" w:hAnsi="Aptos"/>
          <w:color w:val="000000" w:themeColor="text1"/>
        </w:rPr>
        <w:t xml:space="preserve">, </w:t>
      </w:r>
      <w:r w:rsidR="004F03F6" w:rsidRPr="005C1236">
        <w:rPr>
          <w:rFonts w:ascii="Aptos" w:hAnsi="Aptos"/>
          <w:color w:val="000000" w:themeColor="text1"/>
        </w:rPr>
        <w:t xml:space="preserve">the Bureau of Special Education Appeals (BSEA) received a Hearing Request against the </w:t>
      </w:r>
      <w:r w:rsidR="004047CB" w:rsidRPr="005C1236">
        <w:rPr>
          <w:rFonts w:ascii="Aptos" w:hAnsi="Aptos"/>
          <w:color w:val="000000" w:themeColor="text1"/>
        </w:rPr>
        <w:t>Lawrence</w:t>
      </w:r>
      <w:r w:rsidR="004F03F6" w:rsidRPr="005C1236">
        <w:rPr>
          <w:rFonts w:ascii="Aptos" w:hAnsi="Aptos"/>
          <w:color w:val="000000" w:themeColor="text1"/>
        </w:rPr>
        <w:t xml:space="preserve"> Public Schools (</w:t>
      </w:r>
      <w:r w:rsidR="004047CB" w:rsidRPr="005C1236">
        <w:rPr>
          <w:rFonts w:ascii="Aptos" w:hAnsi="Aptos"/>
          <w:color w:val="000000" w:themeColor="text1"/>
        </w:rPr>
        <w:t>Lawrence</w:t>
      </w:r>
      <w:r w:rsidR="004F03F6" w:rsidRPr="005C1236">
        <w:rPr>
          <w:rFonts w:ascii="Aptos" w:hAnsi="Aptos"/>
          <w:color w:val="000000" w:themeColor="text1"/>
        </w:rPr>
        <w:t xml:space="preserve"> or the District) filed </w:t>
      </w:r>
      <w:r w:rsidR="00DE3303" w:rsidRPr="005C1236">
        <w:rPr>
          <w:rFonts w:ascii="Aptos" w:hAnsi="Aptos"/>
          <w:color w:val="000000" w:themeColor="text1"/>
        </w:rPr>
        <w:t xml:space="preserve">by </w:t>
      </w:r>
      <w:r w:rsidRPr="005C1236">
        <w:rPr>
          <w:rFonts w:ascii="Aptos" w:hAnsi="Aptos"/>
          <w:color w:val="000000" w:themeColor="text1"/>
        </w:rPr>
        <w:t xml:space="preserve">Parent, who </w:t>
      </w:r>
      <w:r w:rsidR="00AB1874" w:rsidRPr="005C1236">
        <w:rPr>
          <w:rFonts w:ascii="Aptos" w:hAnsi="Aptos"/>
          <w:color w:val="000000" w:themeColor="text1"/>
        </w:rPr>
        <w:t xml:space="preserve">is </w:t>
      </w:r>
      <w:r w:rsidRPr="005C1236">
        <w:rPr>
          <w:rFonts w:ascii="Aptos" w:hAnsi="Aptos"/>
          <w:i/>
          <w:iCs/>
          <w:color w:val="000000" w:themeColor="text1"/>
        </w:rPr>
        <w:t>pro se</w:t>
      </w:r>
      <w:r w:rsidRPr="005C1236">
        <w:rPr>
          <w:rFonts w:ascii="Aptos" w:hAnsi="Aptos"/>
          <w:color w:val="000000" w:themeColor="text1"/>
        </w:rPr>
        <w:t xml:space="preserve">, </w:t>
      </w:r>
      <w:r w:rsidR="008A1296" w:rsidRPr="005C1236">
        <w:rPr>
          <w:rFonts w:ascii="Aptos" w:hAnsi="Aptos"/>
          <w:color w:val="000000" w:themeColor="text1"/>
        </w:rPr>
        <w:t xml:space="preserve">alleging </w:t>
      </w:r>
      <w:r w:rsidR="00517559" w:rsidRPr="005C1236">
        <w:rPr>
          <w:rFonts w:ascii="Aptos" w:hAnsi="Aptos"/>
          <w:color w:val="000000" w:themeColor="text1"/>
        </w:rPr>
        <w:t xml:space="preserve">that Lawrence violated Student’s rights under the Individuals with Disabilities Education Act (IDEA) when it decided to revoke </w:t>
      </w:r>
      <w:r w:rsidR="00A118E1">
        <w:rPr>
          <w:rFonts w:ascii="Aptos" w:hAnsi="Aptos"/>
          <w:color w:val="000000" w:themeColor="text1"/>
        </w:rPr>
        <w:t>a</w:t>
      </w:r>
      <w:r w:rsidR="00517559" w:rsidRPr="005C1236">
        <w:rPr>
          <w:rFonts w:ascii="Aptos" w:hAnsi="Aptos"/>
          <w:color w:val="000000" w:themeColor="text1"/>
        </w:rPr>
        <w:t xml:space="preserve"> variance </w:t>
      </w:r>
      <w:r w:rsidR="00A118E1">
        <w:rPr>
          <w:rFonts w:ascii="Aptos" w:hAnsi="Aptos"/>
          <w:color w:val="000000" w:themeColor="text1"/>
        </w:rPr>
        <w:t xml:space="preserve">that had been granted to </w:t>
      </w:r>
      <w:r w:rsidR="001C1FD6">
        <w:rPr>
          <w:rFonts w:ascii="Aptos" w:hAnsi="Aptos"/>
          <w:color w:val="000000" w:themeColor="text1"/>
        </w:rPr>
        <w:t xml:space="preserve">her </w:t>
      </w:r>
      <w:r w:rsidR="00517559" w:rsidRPr="005C1236">
        <w:rPr>
          <w:rFonts w:ascii="Aptos" w:hAnsi="Aptos"/>
          <w:color w:val="000000" w:themeColor="text1"/>
        </w:rPr>
        <w:t xml:space="preserve">and remove </w:t>
      </w:r>
      <w:r w:rsidR="00A118E1">
        <w:rPr>
          <w:rFonts w:ascii="Aptos" w:hAnsi="Aptos"/>
          <w:color w:val="000000" w:themeColor="text1"/>
        </w:rPr>
        <w:t>Student</w:t>
      </w:r>
      <w:r w:rsidR="00517559" w:rsidRPr="005C1236">
        <w:rPr>
          <w:rFonts w:ascii="Aptos" w:hAnsi="Aptos"/>
          <w:color w:val="000000" w:themeColor="text1"/>
        </w:rPr>
        <w:t xml:space="preserve"> from Parthum School, where she ha</w:t>
      </w:r>
      <w:r w:rsidR="003914D3">
        <w:rPr>
          <w:rFonts w:ascii="Aptos" w:hAnsi="Aptos"/>
          <w:color w:val="000000" w:themeColor="text1"/>
        </w:rPr>
        <w:t>d</w:t>
      </w:r>
      <w:r w:rsidR="00517559" w:rsidRPr="005C1236">
        <w:rPr>
          <w:rFonts w:ascii="Aptos" w:hAnsi="Aptos"/>
          <w:color w:val="000000" w:themeColor="text1"/>
        </w:rPr>
        <w:t xml:space="preserve"> been placed since first grade. According to Parent, Student, who is diagnosed with Autism, requires a stable, predictable environment, and revoking the variance constitutes an unlawful change in placement without consent, in violation of IDEA, Section 504, the </w:t>
      </w:r>
      <w:r w:rsidR="00A50E82">
        <w:rPr>
          <w:rFonts w:ascii="Aptos" w:hAnsi="Aptos"/>
          <w:color w:val="000000" w:themeColor="text1"/>
        </w:rPr>
        <w:t>Americans with Disabilities Act (</w:t>
      </w:r>
      <w:r w:rsidR="00A50E82" w:rsidRPr="005C1236">
        <w:rPr>
          <w:rFonts w:ascii="Aptos" w:hAnsi="Aptos"/>
          <w:color w:val="000000" w:themeColor="text1"/>
        </w:rPr>
        <w:t>ADA</w:t>
      </w:r>
      <w:r w:rsidR="00A50E82">
        <w:rPr>
          <w:rFonts w:ascii="Aptos" w:hAnsi="Aptos"/>
          <w:color w:val="000000" w:themeColor="text1"/>
        </w:rPr>
        <w:t>)</w:t>
      </w:r>
      <w:r w:rsidR="00517559" w:rsidRPr="005C1236">
        <w:rPr>
          <w:rFonts w:ascii="Aptos" w:hAnsi="Aptos"/>
          <w:color w:val="000000" w:themeColor="text1"/>
        </w:rPr>
        <w:t xml:space="preserve">, and Massachusetts special education regulations. Parent asked the Hearing Officer to determine </w:t>
      </w:r>
      <w:r w:rsidR="002F7B68">
        <w:rPr>
          <w:rFonts w:ascii="Aptos" w:hAnsi="Aptos"/>
          <w:color w:val="000000" w:themeColor="text1"/>
        </w:rPr>
        <w:t>that</w:t>
      </w:r>
      <w:r w:rsidR="00517559" w:rsidRPr="005C1236">
        <w:rPr>
          <w:rFonts w:ascii="Aptos" w:hAnsi="Aptos"/>
          <w:color w:val="000000" w:themeColor="text1"/>
        </w:rPr>
        <w:t xml:space="preserve"> the variance revocation was an unlawful change in placement, </w:t>
      </w:r>
      <w:r w:rsidR="002F7B68">
        <w:rPr>
          <w:rFonts w:ascii="Aptos" w:hAnsi="Aptos"/>
          <w:color w:val="000000" w:themeColor="text1"/>
        </w:rPr>
        <w:t>that</w:t>
      </w:r>
      <w:r w:rsidR="00517559" w:rsidRPr="005C1236">
        <w:rPr>
          <w:rFonts w:ascii="Aptos" w:hAnsi="Aptos"/>
          <w:color w:val="000000" w:themeColor="text1"/>
        </w:rPr>
        <w:t xml:space="preserve"> the District failed to consider Student’s disability-related needs and history, </w:t>
      </w:r>
      <w:r w:rsidR="002F7B68">
        <w:rPr>
          <w:rFonts w:ascii="Aptos" w:hAnsi="Aptos"/>
          <w:color w:val="000000" w:themeColor="text1"/>
        </w:rPr>
        <w:t>that</w:t>
      </w:r>
      <w:r w:rsidR="00517559" w:rsidRPr="005C1236">
        <w:rPr>
          <w:rFonts w:ascii="Aptos" w:hAnsi="Aptos"/>
          <w:color w:val="000000" w:themeColor="text1"/>
        </w:rPr>
        <w:t xml:space="preserve"> accessibility and family circumstances were </w:t>
      </w:r>
      <w:r w:rsidR="002F7B68">
        <w:rPr>
          <w:rFonts w:ascii="Aptos" w:hAnsi="Aptos"/>
          <w:color w:val="000000" w:themeColor="text1"/>
        </w:rPr>
        <w:t xml:space="preserve">not </w:t>
      </w:r>
      <w:r w:rsidR="00517559" w:rsidRPr="005C1236">
        <w:rPr>
          <w:rFonts w:ascii="Aptos" w:hAnsi="Aptos"/>
          <w:color w:val="000000" w:themeColor="text1"/>
        </w:rPr>
        <w:t xml:space="preserve">properly weighed </w:t>
      </w:r>
      <w:r w:rsidR="002F7B68">
        <w:rPr>
          <w:rFonts w:ascii="Aptos" w:hAnsi="Aptos"/>
          <w:color w:val="000000" w:themeColor="text1"/>
        </w:rPr>
        <w:t>by</w:t>
      </w:r>
      <w:r w:rsidR="00517559" w:rsidRPr="005C1236">
        <w:rPr>
          <w:rFonts w:ascii="Aptos" w:hAnsi="Aptos"/>
          <w:color w:val="000000" w:themeColor="text1"/>
        </w:rPr>
        <w:t xml:space="preserve"> the District, </w:t>
      </w:r>
      <w:r w:rsidR="002F7B68">
        <w:rPr>
          <w:rFonts w:ascii="Aptos" w:hAnsi="Aptos"/>
          <w:color w:val="000000" w:themeColor="text1"/>
        </w:rPr>
        <w:t>that</w:t>
      </w:r>
      <w:r w:rsidR="00517559" w:rsidRPr="005C1236">
        <w:rPr>
          <w:rFonts w:ascii="Aptos" w:hAnsi="Aptos"/>
          <w:color w:val="000000" w:themeColor="text1"/>
        </w:rPr>
        <w:t xml:space="preserve"> the proposed placement was </w:t>
      </w:r>
      <w:r w:rsidR="00D277EE">
        <w:rPr>
          <w:rFonts w:ascii="Aptos" w:hAnsi="Aptos"/>
          <w:color w:val="000000" w:themeColor="text1"/>
        </w:rPr>
        <w:t xml:space="preserve">not </w:t>
      </w:r>
      <w:r w:rsidR="00517559" w:rsidRPr="005C1236">
        <w:rPr>
          <w:rFonts w:ascii="Aptos" w:hAnsi="Aptos"/>
          <w:color w:val="000000" w:themeColor="text1"/>
        </w:rPr>
        <w:t xml:space="preserve">appropriate, and </w:t>
      </w:r>
      <w:r w:rsidR="002F7B68">
        <w:rPr>
          <w:rFonts w:ascii="Aptos" w:hAnsi="Aptos"/>
          <w:color w:val="000000" w:themeColor="text1"/>
        </w:rPr>
        <w:t>that</w:t>
      </w:r>
      <w:r w:rsidR="00517559" w:rsidRPr="005C1236">
        <w:rPr>
          <w:rFonts w:ascii="Aptos" w:hAnsi="Aptos"/>
          <w:color w:val="000000" w:themeColor="text1"/>
        </w:rPr>
        <w:t xml:space="preserve"> Stay Put should be enforced.</w:t>
      </w:r>
      <w:r w:rsidR="00B84283" w:rsidRPr="005C1236">
        <w:rPr>
          <w:rFonts w:ascii="Aptos" w:hAnsi="Aptos"/>
          <w:color w:val="000000" w:themeColor="text1"/>
        </w:rPr>
        <w:t xml:space="preserve"> For relief, Parent requested an order reinstating </w:t>
      </w:r>
      <w:r w:rsidR="00C02BA2">
        <w:rPr>
          <w:rFonts w:ascii="Aptos" w:hAnsi="Aptos"/>
          <w:color w:val="000000" w:themeColor="text1"/>
        </w:rPr>
        <w:t>the</w:t>
      </w:r>
      <w:r w:rsidR="00B84283" w:rsidRPr="005C1236">
        <w:rPr>
          <w:rFonts w:ascii="Aptos" w:hAnsi="Aptos"/>
          <w:color w:val="000000" w:themeColor="text1"/>
        </w:rPr>
        <w:t xml:space="preserve"> variance so </w:t>
      </w:r>
      <w:r w:rsidR="00C273C8">
        <w:rPr>
          <w:rFonts w:ascii="Aptos" w:hAnsi="Aptos"/>
          <w:color w:val="000000" w:themeColor="text1"/>
        </w:rPr>
        <w:t>Student</w:t>
      </w:r>
      <w:r w:rsidR="00B84283" w:rsidRPr="005C1236">
        <w:rPr>
          <w:rFonts w:ascii="Aptos" w:hAnsi="Aptos"/>
          <w:color w:val="000000" w:themeColor="text1"/>
        </w:rPr>
        <w:t xml:space="preserve"> may continue attending Parthum School; enforcing Stay Put to maintain </w:t>
      </w:r>
      <w:r w:rsidR="00C02BA2">
        <w:rPr>
          <w:rFonts w:ascii="Aptos" w:hAnsi="Aptos"/>
          <w:color w:val="000000" w:themeColor="text1"/>
        </w:rPr>
        <w:t>Student’s</w:t>
      </w:r>
      <w:r w:rsidR="00B84283" w:rsidRPr="005C1236">
        <w:rPr>
          <w:rFonts w:ascii="Aptos" w:hAnsi="Aptos"/>
          <w:color w:val="000000" w:themeColor="text1"/>
        </w:rPr>
        <w:t xml:space="preserve"> current placement, services, program, transportation, and support during the pendency of this dispute; requiring the District to fully consider and address Student’s Autism diagnosis, her sensory, social, and emotional needs, her documented bullying history at a different school within the District, her long-term stable placement at Parthum,</w:t>
      </w:r>
      <w:r w:rsidR="00942FFB">
        <w:rPr>
          <w:rFonts w:ascii="Aptos" w:hAnsi="Aptos"/>
          <w:color w:val="000000" w:themeColor="text1"/>
        </w:rPr>
        <w:t xml:space="preserve"> and</w:t>
      </w:r>
      <w:r w:rsidR="00B84283" w:rsidRPr="005C1236">
        <w:rPr>
          <w:rFonts w:ascii="Aptos" w:hAnsi="Aptos"/>
          <w:color w:val="000000" w:themeColor="text1"/>
        </w:rPr>
        <w:t xml:space="preserve"> </w:t>
      </w:r>
      <w:r w:rsidR="0016404F">
        <w:rPr>
          <w:rFonts w:ascii="Aptos" w:hAnsi="Aptos"/>
          <w:color w:val="000000" w:themeColor="text1"/>
        </w:rPr>
        <w:t xml:space="preserve">Parent’s </w:t>
      </w:r>
      <w:r w:rsidR="00B84283" w:rsidRPr="005C1236">
        <w:rPr>
          <w:rFonts w:ascii="Aptos" w:hAnsi="Aptos"/>
          <w:color w:val="000000" w:themeColor="text1"/>
        </w:rPr>
        <w:t xml:space="preserve">ADA accessibility factors and documented medical circumstances; </w:t>
      </w:r>
      <w:r w:rsidR="0016404F">
        <w:rPr>
          <w:rFonts w:ascii="Aptos" w:hAnsi="Aptos"/>
          <w:color w:val="000000" w:themeColor="text1"/>
        </w:rPr>
        <w:t xml:space="preserve">and </w:t>
      </w:r>
      <w:r w:rsidR="00B84283" w:rsidRPr="005C1236">
        <w:rPr>
          <w:rFonts w:ascii="Aptos" w:hAnsi="Aptos"/>
          <w:color w:val="000000" w:themeColor="text1"/>
        </w:rPr>
        <w:t>ensuring that any future placement decisions comply fully with IDEA, Section 504, ADA,</w:t>
      </w:r>
      <w:r w:rsidR="009257FD" w:rsidRPr="005C1236">
        <w:rPr>
          <w:rFonts w:ascii="Aptos" w:hAnsi="Aptos"/>
          <w:color w:val="000000" w:themeColor="text1"/>
        </w:rPr>
        <w:t xml:space="preserve"> and 603 CMR 28.00 et seq.</w:t>
      </w:r>
    </w:p>
    <w:p w14:paraId="037F9C9C" w14:textId="77777777" w:rsidR="005026A7" w:rsidRPr="005C1236" w:rsidRDefault="005026A7" w:rsidP="007F0EC6">
      <w:pPr>
        <w:autoSpaceDE w:val="0"/>
        <w:autoSpaceDN w:val="0"/>
        <w:adjustRightInd w:val="0"/>
        <w:rPr>
          <w:rFonts w:ascii="Aptos" w:hAnsi="Aptos"/>
          <w:color w:val="000000" w:themeColor="text1"/>
        </w:rPr>
      </w:pPr>
    </w:p>
    <w:p w14:paraId="5E17C3BD" w14:textId="0998EA9D" w:rsidR="009141DB" w:rsidRDefault="00596F5D" w:rsidP="00B37AE5">
      <w:pPr>
        <w:pStyle w:val="Default"/>
        <w:rPr>
          <w:rFonts w:ascii="Aptos" w:hAnsi="Aptos"/>
          <w:color w:val="000000" w:themeColor="text1"/>
        </w:rPr>
      </w:pPr>
      <w:r w:rsidRPr="005C1236">
        <w:rPr>
          <w:rFonts w:ascii="Aptos" w:hAnsi="Aptos"/>
          <w:color w:val="000000" w:themeColor="text1"/>
        </w:rPr>
        <w:t xml:space="preserve">On </w:t>
      </w:r>
      <w:r w:rsidR="004047CB" w:rsidRPr="005C1236">
        <w:rPr>
          <w:rFonts w:ascii="Aptos" w:hAnsi="Aptos"/>
          <w:color w:val="000000" w:themeColor="text1"/>
        </w:rPr>
        <w:t>April 6</w:t>
      </w:r>
      <w:r w:rsidR="004047CB" w:rsidRPr="005C1236">
        <w:rPr>
          <w:rStyle w:val="FootnoteReference"/>
          <w:rFonts w:ascii="Aptos" w:hAnsi="Aptos"/>
          <w:color w:val="000000" w:themeColor="text1"/>
        </w:rPr>
        <w:footnoteReference w:id="1"/>
      </w:r>
      <w:r w:rsidR="004047CB" w:rsidRPr="005C1236">
        <w:rPr>
          <w:rFonts w:ascii="Aptos" w:hAnsi="Aptos"/>
          <w:color w:val="000000" w:themeColor="text1"/>
        </w:rPr>
        <w:t>, 2026</w:t>
      </w:r>
      <w:r w:rsidRPr="005C1236">
        <w:rPr>
          <w:rFonts w:ascii="Aptos" w:hAnsi="Aptos"/>
          <w:color w:val="000000" w:themeColor="text1"/>
        </w:rPr>
        <w:t xml:space="preserve">, </w:t>
      </w:r>
      <w:r w:rsidR="005026A7" w:rsidRPr="005C1236">
        <w:rPr>
          <w:rFonts w:ascii="Aptos" w:hAnsi="Aptos"/>
          <w:color w:val="000000" w:themeColor="text1"/>
        </w:rPr>
        <w:t>Lawrence</w:t>
      </w:r>
      <w:r w:rsidRPr="005C1236">
        <w:rPr>
          <w:rFonts w:ascii="Aptos" w:hAnsi="Aptos"/>
          <w:color w:val="000000" w:themeColor="text1"/>
        </w:rPr>
        <w:t xml:space="preserve"> filed </w:t>
      </w:r>
      <w:r w:rsidR="005026A7" w:rsidRPr="005C1236">
        <w:rPr>
          <w:rFonts w:ascii="Aptos" w:hAnsi="Aptos"/>
          <w:i/>
          <w:iCs/>
          <w:color w:val="000000" w:themeColor="text1"/>
        </w:rPr>
        <w:t>Lawrence</w:t>
      </w:r>
      <w:r w:rsidR="00670066" w:rsidRPr="005C1236">
        <w:rPr>
          <w:rFonts w:ascii="Aptos" w:hAnsi="Aptos"/>
          <w:i/>
          <w:iCs/>
          <w:color w:val="000000" w:themeColor="text1"/>
        </w:rPr>
        <w:t xml:space="preserve"> Public Schools' </w:t>
      </w:r>
      <w:r w:rsidR="004047CB" w:rsidRPr="005C1236">
        <w:rPr>
          <w:rFonts w:ascii="Aptos" w:hAnsi="Aptos"/>
          <w:i/>
          <w:iCs/>
          <w:color w:val="000000" w:themeColor="text1"/>
        </w:rPr>
        <w:t xml:space="preserve">Motion To Dismiss For Lack Of Subject Matter Jurisdiction Or, In The Alternative, For Failure To State A Claim </w:t>
      </w:r>
      <w:r w:rsidR="00670066" w:rsidRPr="005C1236">
        <w:rPr>
          <w:rFonts w:ascii="Aptos" w:hAnsi="Aptos"/>
          <w:color w:val="000000" w:themeColor="text1"/>
        </w:rPr>
        <w:t xml:space="preserve">(hereinafter, </w:t>
      </w:r>
      <w:r w:rsidR="00670066" w:rsidRPr="005C1236">
        <w:rPr>
          <w:rFonts w:ascii="Aptos" w:hAnsi="Aptos"/>
          <w:i/>
          <w:iCs/>
          <w:color w:val="000000" w:themeColor="text1"/>
        </w:rPr>
        <w:t>Mot</w:t>
      </w:r>
      <w:r w:rsidR="00A96E43" w:rsidRPr="005C1236">
        <w:rPr>
          <w:rFonts w:ascii="Aptos" w:hAnsi="Aptos"/>
          <w:i/>
          <w:iCs/>
          <w:color w:val="000000" w:themeColor="text1"/>
        </w:rPr>
        <w:t>ion to Dismiss</w:t>
      </w:r>
      <w:r w:rsidR="00A96E43" w:rsidRPr="005C1236">
        <w:rPr>
          <w:rFonts w:ascii="Aptos" w:hAnsi="Aptos"/>
          <w:color w:val="000000" w:themeColor="text1"/>
        </w:rPr>
        <w:t>)</w:t>
      </w:r>
      <w:r w:rsidR="00875673" w:rsidRPr="005C1236">
        <w:rPr>
          <w:rFonts w:ascii="Aptos" w:hAnsi="Aptos"/>
          <w:color w:val="000000" w:themeColor="text1"/>
        </w:rPr>
        <w:t xml:space="preserve">, </w:t>
      </w:r>
      <w:r w:rsidRPr="005C1236">
        <w:rPr>
          <w:rFonts w:ascii="Aptos" w:hAnsi="Aptos"/>
          <w:color w:val="000000" w:themeColor="text1"/>
        </w:rPr>
        <w:t>assert</w:t>
      </w:r>
      <w:r w:rsidR="00875673" w:rsidRPr="005C1236">
        <w:rPr>
          <w:rFonts w:ascii="Aptos" w:hAnsi="Aptos"/>
          <w:color w:val="000000" w:themeColor="text1"/>
        </w:rPr>
        <w:t>ing</w:t>
      </w:r>
      <w:r w:rsidRPr="005C1236">
        <w:rPr>
          <w:rFonts w:ascii="Aptos" w:hAnsi="Aptos"/>
          <w:color w:val="000000" w:themeColor="text1"/>
        </w:rPr>
        <w:t xml:space="preserve"> that</w:t>
      </w:r>
      <w:r w:rsidR="004047CB" w:rsidRPr="005C1236">
        <w:rPr>
          <w:rFonts w:ascii="Aptos" w:hAnsi="Aptos"/>
          <w:color w:val="000000" w:themeColor="text1"/>
        </w:rPr>
        <w:t xml:space="preserve"> because Parent’s claim is a variance dispute governed by </w:t>
      </w:r>
      <w:r w:rsidR="00D6466D" w:rsidRPr="00473DE9">
        <w:rPr>
          <w:rFonts w:ascii="Aptos" w:hAnsi="Aptos"/>
          <w:color w:val="000000" w:themeColor="text1"/>
        </w:rPr>
        <w:t>D</w:t>
      </w:r>
      <w:r w:rsidR="004047CB" w:rsidRPr="005C1236">
        <w:rPr>
          <w:rFonts w:ascii="Aptos" w:hAnsi="Aptos"/>
          <w:color w:val="000000" w:themeColor="text1"/>
        </w:rPr>
        <w:t>istrict policy, it is not a dispute within the BSEA’s limited jurisdiction. Specifically, Parent’s Hearing Request does not plausibly allege a dispute concerning</w:t>
      </w:r>
      <w:r w:rsidR="00DF490D">
        <w:rPr>
          <w:rFonts w:ascii="Aptos" w:hAnsi="Aptos"/>
          <w:color w:val="000000" w:themeColor="text1"/>
        </w:rPr>
        <w:t xml:space="preserve"> </w:t>
      </w:r>
      <w:r w:rsidR="004047CB" w:rsidRPr="005C1236">
        <w:rPr>
          <w:rFonts w:ascii="Aptos" w:hAnsi="Aptos"/>
          <w:color w:val="000000" w:themeColor="text1"/>
        </w:rPr>
        <w:t>eligibility, evaluation, placement, an I</w:t>
      </w:r>
      <w:r w:rsidR="00764815">
        <w:rPr>
          <w:rFonts w:ascii="Aptos" w:hAnsi="Aptos"/>
          <w:color w:val="000000" w:themeColor="text1"/>
        </w:rPr>
        <w:t>ndividual</w:t>
      </w:r>
      <w:r w:rsidR="00C26422">
        <w:rPr>
          <w:rFonts w:ascii="Aptos" w:hAnsi="Aptos"/>
          <w:color w:val="000000" w:themeColor="text1"/>
        </w:rPr>
        <w:t>ized</w:t>
      </w:r>
      <w:r w:rsidR="00764815">
        <w:rPr>
          <w:rFonts w:ascii="Aptos" w:hAnsi="Aptos"/>
          <w:color w:val="000000" w:themeColor="text1"/>
        </w:rPr>
        <w:t xml:space="preserve"> </w:t>
      </w:r>
      <w:r w:rsidR="004047CB" w:rsidRPr="005C1236">
        <w:rPr>
          <w:rFonts w:ascii="Aptos" w:hAnsi="Aptos"/>
          <w:color w:val="000000" w:themeColor="text1"/>
        </w:rPr>
        <w:t>E</w:t>
      </w:r>
      <w:r w:rsidR="00764815">
        <w:rPr>
          <w:rFonts w:ascii="Aptos" w:hAnsi="Aptos"/>
          <w:color w:val="000000" w:themeColor="text1"/>
        </w:rPr>
        <w:t xml:space="preserve">ducation </w:t>
      </w:r>
      <w:r w:rsidR="004047CB" w:rsidRPr="005C1236">
        <w:rPr>
          <w:rFonts w:ascii="Aptos" w:hAnsi="Aptos"/>
          <w:color w:val="000000" w:themeColor="text1"/>
        </w:rPr>
        <w:t>P</w:t>
      </w:r>
      <w:r w:rsidR="00764815">
        <w:rPr>
          <w:rFonts w:ascii="Aptos" w:hAnsi="Aptos"/>
          <w:color w:val="000000" w:themeColor="text1"/>
        </w:rPr>
        <w:t>rogram (I</w:t>
      </w:r>
      <w:r w:rsidR="00C26422">
        <w:rPr>
          <w:rFonts w:ascii="Aptos" w:hAnsi="Aptos"/>
          <w:color w:val="000000" w:themeColor="text1"/>
        </w:rPr>
        <w:t>EP)</w:t>
      </w:r>
      <w:r w:rsidR="004047CB" w:rsidRPr="005C1236">
        <w:rPr>
          <w:rFonts w:ascii="Aptos" w:hAnsi="Aptos"/>
          <w:color w:val="000000" w:themeColor="text1"/>
        </w:rPr>
        <w:t xml:space="preserve">, the provision of special </w:t>
      </w:r>
      <w:r w:rsidR="004047CB" w:rsidRPr="005C1236">
        <w:rPr>
          <w:rFonts w:ascii="Aptos" w:hAnsi="Aptos"/>
          <w:color w:val="000000" w:themeColor="text1"/>
        </w:rPr>
        <w:lastRenderedPageBreak/>
        <w:t xml:space="preserve">education, or any denial of a free appropriate public education (“FAPE”). </w:t>
      </w:r>
      <w:r w:rsidR="00517559" w:rsidRPr="005C1236">
        <w:rPr>
          <w:rFonts w:ascii="Aptos" w:hAnsi="Aptos"/>
          <w:color w:val="000000" w:themeColor="text1"/>
        </w:rPr>
        <w:t>According to Lawrence</w:t>
      </w:r>
      <w:r w:rsidR="004047CB" w:rsidRPr="005C1236">
        <w:rPr>
          <w:rFonts w:ascii="Aptos" w:hAnsi="Aptos"/>
          <w:color w:val="000000" w:themeColor="text1"/>
        </w:rPr>
        <w:t xml:space="preserve">, the Hearing Request rests on the revocation of a variance previously granted by the District </w:t>
      </w:r>
      <w:r w:rsidR="00B84283" w:rsidRPr="005C1236">
        <w:rPr>
          <w:rFonts w:ascii="Aptos" w:hAnsi="Aptos"/>
          <w:color w:val="000000" w:themeColor="text1"/>
        </w:rPr>
        <w:t xml:space="preserve">to Parent, not to Student, </w:t>
      </w:r>
      <w:r w:rsidR="00517559" w:rsidRPr="005C1236">
        <w:rPr>
          <w:rFonts w:ascii="Aptos" w:hAnsi="Aptos"/>
          <w:color w:val="000000" w:themeColor="text1"/>
        </w:rPr>
        <w:t xml:space="preserve">and </w:t>
      </w:r>
      <w:r w:rsidR="004047CB" w:rsidRPr="005C1236">
        <w:rPr>
          <w:rFonts w:ascii="Aptos" w:hAnsi="Aptos"/>
          <w:color w:val="000000" w:themeColor="text1"/>
        </w:rPr>
        <w:t>asks the BSEA to review and overturn an exercise of District policy</w:t>
      </w:r>
      <w:r w:rsidR="00DF490D">
        <w:rPr>
          <w:rFonts w:ascii="Aptos" w:hAnsi="Aptos"/>
          <w:color w:val="000000" w:themeColor="text1"/>
        </w:rPr>
        <w:t>;</w:t>
      </w:r>
      <w:r w:rsidR="004047CB" w:rsidRPr="005C1236">
        <w:rPr>
          <w:rFonts w:ascii="Aptos" w:hAnsi="Aptos"/>
          <w:color w:val="000000" w:themeColor="text1"/>
        </w:rPr>
        <w:t xml:space="preserve"> thus</w:t>
      </w:r>
      <w:r w:rsidR="00DF490D">
        <w:rPr>
          <w:rFonts w:ascii="Aptos" w:hAnsi="Aptos"/>
          <w:color w:val="000000" w:themeColor="text1"/>
        </w:rPr>
        <w:t>, it</w:t>
      </w:r>
      <w:r w:rsidR="004047CB" w:rsidRPr="005C1236">
        <w:rPr>
          <w:rFonts w:ascii="Aptos" w:hAnsi="Aptos"/>
          <w:color w:val="000000" w:themeColor="text1"/>
        </w:rPr>
        <w:t xml:space="preserve"> must be dismissed for lack of jurisdiction. </w:t>
      </w:r>
    </w:p>
    <w:p w14:paraId="0A5E228B" w14:textId="77777777" w:rsidR="006D255F" w:rsidRDefault="006D255F" w:rsidP="007F0EC6">
      <w:pPr>
        <w:pStyle w:val="Default"/>
        <w:rPr>
          <w:rFonts w:ascii="Aptos" w:hAnsi="Aptos"/>
          <w:color w:val="000000" w:themeColor="text1"/>
        </w:rPr>
      </w:pPr>
    </w:p>
    <w:p w14:paraId="736C881B" w14:textId="338FE17B" w:rsidR="006D255F" w:rsidRPr="005C1236" w:rsidRDefault="006D255F" w:rsidP="00306D75">
      <w:pPr>
        <w:pStyle w:val="Default"/>
        <w:rPr>
          <w:rFonts w:ascii="Aptos" w:hAnsi="Aptos"/>
          <w:color w:val="000000" w:themeColor="text1"/>
        </w:rPr>
      </w:pPr>
      <w:r>
        <w:rPr>
          <w:rFonts w:ascii="Aptos" w:hAnsi="Aptos"/>
          <w:color w:val="000000" w:themeColor="text1"/>
        </w:rPr>
        <w:t xml:space="preserve">On April </w:t>
      </w:r>
      <w:r w:rsidR="00296E7B">
        <w:rPr>
          <w:rFonts w:ascii="Aptos" w:hAnsi="Aptos"/>
          <w:color w:val="000000" w:themeColor="text1"/>
        </w:rPr>
        <w:t>22</w:t>
      </w:r>
      <w:r>
        <w:rPr>
          <w:rFonts w:ascii="Aptos" w:hAnsi="Aptos"/>
          <w:color w:val="000000" w:themeColor="text1"/>
        </w:rPr>
        <w:t>, 2026, Parent</w:t>
      </w:r>
      <w:r w:rsidR="00296E7B">
        <w:rPr>
          <w:rFonts w:ascii="Aptos" w:hAnsi="Aptos"/>
          <w:color w:val="000000" w:themeColor="text1"/>
        </w:rPr>
        <w:t xml:space="preserve"> filed </w:t>
      </w:r>
      <w:r w:rsidR="00296E7B" w:rsidRPr="00296E7B">
        <w:rPr>
          <w:rFonts w:ascii="Aptos" w:hAnsi="Aptos"/>
          <w:i/>
          <w:iCs/>
          <w:color w:val="000000" w:themeColor="text1"/>
        </w:rPr>
        <w:t>Parent’s Opposition To District’s Motion To Dismiss</w:t>
      </w:r>
      <w:r w:rsidR="00296E7B" w:rsidRPr="00296E7B">
        <w:rPr>
          <w:rFonts w:ascii="Aptos" w:hAnsi="Aptos"/>
          <w:color w:val="000000" w:themeColor="text1"/>
        </w:rPr>
        <w:t xml:space="preserve">, arguing that the dispute is not merely a general education “variance policy” issue, but instead involves a forced school transfer that constitutes a change in placement and directly affects </w:t>
      </w:r>
      <w:r w:rsidR="00896D9D">
        <w:rPr>
          <w:rFonts w:ascii="Aptos" w:hAnsi="Aptos"/>
          <w:color w:val="000000" w:themeColor="text1"/>
        </w:rPr>
        <w:t>S</w:t>
      </w:r>
      <w:r w:rsidR="00296E7B" w:rsidRPr="00296E7B">
        <w:rPr>
          <w:rFonts w:ascii="Aptos" w:hAnsi="Aptos"/>
          <w:color w:val="000000" w:themeColor="text1"/>
        </w:rPr>
        <w:t xml:space="preserve">tudent’s right to a FAPE. </w:t>
      </w:r>
      <w:r w:rsidR="00896D9D">
        <w:rPr>
          <w:rFonts w:ascii="Aptos" w:hAnsi="Aptos"/>
          <w:color w:val="000000" w:themeColor="text1"/>
        </w:rPr>
        <w:t>S</w:t>
      </w:r>
      <w:r w:rsidR="00296E7B" w:rsidRPr="00296E7B">
        <w:rPr>
          <w:rFonts w:ascii="Aptos" w:hAnsi="Aptos"/>
          <w:color w:val="000000" w:themeColor="text1"/>
        </w:rPr>
        <w:t xml:space="preserve">tudent, who has autism and a specific learning disability, receives services under an IEP, and revoking </w:t>
      </w:r>
      <w:r w:rsidR="00EE6F90">
        <w:rPr>
          <w:rFonts w:ascii="Aptos" w:hAnsi="Aptos"/>
          <w:color w:val="000000" w:themeColor="text1"/>
        </w:rPr>
        <w:t>the</w:t>
      </w:r>
      <w:r w:rsidR="00296E7B" w:rsidRPr="00296E7B">
        <w:rPr>
          <w:rFonts w:ascii="Aptos" w:hAnsi="Aptos"/>
          <w:color w:val="000000" w:themeColor="text1"/>
        </w:rPr>
        <w:t xml:space="preserve"> variance and requiring a transfer will disrupt </w:t>
      </w:r>
      <w:r w:rsidR="00EE6F90">
        <w:rPr>
          <w:rFonts w:ascii="Aptos" w:hAnsi="Aptos"/>
          <w:color w:val="000000" w:themeColor="text1"/>
        </w:rPr>
        <w:t>Student’s</w:t>
      </w:r>
      <w:r w:rsidR="00296E7B" w:rsidRPr="00296E7B">
        <w:rPr>
          <w:rFonts w:ascii="Aptos" w:hAnsi="Aptos"/>
          <w:color w:val="000000" w:themeColor="text1"/>
        </w:rPr>
        <w:t xml:space="preserve"> educational stability</w:t>
      </w:r>
      <w:r w:rsidR="00296E7B" w:rsidRPr="00473DE9">
        <w:rPr>
          <w:rFonts w:ascii="Aptos" w:hAnsi="Aptos"/>
          <w:color w:val="000000" w:themeColor="text1"/>
        </w:rPr>
        <w:t xml:space="preserve">, </w:t>
      </w:r>
      <w:r w:rsidR="00D6466D" w:rsidRPr="00473DE9">
        <w:rPr>
          <w:rFonts w:ascii="Aptos" w:hAnsi="Aptos"/>
          <w:color w:val="000000" w:themeColor="text1"/>
        </w:rPr>
        <w:t>and</w:t>
      </w:r>
      <w:r w:rsidR="00D6466D">
        <w:rPr>
          <w:rFonts w:ascii="Aptos" w:hAnsi="Aptos"/>
          <w:color w:val="000000" w:themeColor="text1"/>
        </w:rPr>
        <w:t xml:space="preserve"> </w:t>
      </w:r>
      <w:r w:rsidR="00296E7B" w:rsidRPr="00296E7B">
        <w:rPr>
          <w:rFonts w:ascii="Aptos" w:hAnsi="Aptos"/>
          <w:color w:val="000000" w:themeColor="text1"/>
        </w:rPr>
        <w:t xml:space="preserve">negatively impact her emotional, behavioral, and academic functioning. Parent asserts that a change in school can qualify as a change in placement when it significantly alters the student’s educational experience. Because the District’s actions affect </w:t>
      </w:r>
      <w:r w:rsidR="00053EE3">
        <w:rPr>
          <w:rFonts w:ascii="Aptos" w:hAnsi="Aptos"/>
          <w:color w:val="000000" w:themeColor="text1"/>
        </w:rPr>
        <w:t>S</w:t>
      </w:r>
      <w:r w:rsidR="00296E7B" w:rsidRPr="00296E7B">
        <w:rPr>
          <w:rFonts w:ascii="Aptos" w:hAnsi="Aptos"/>
          <w:color w:val="000000" w:themeColor="text1"/>
        </w:rPr>
        <w:t>tudent’s placement, service delivery, and ability to make effective progress, Parent argues that the matter falls squarely within BSEA jurisdiction.</w:t>
      </w:r>
      <w:r w:rsidR="00306D75">
        <w:rPr>
          <w:rFonts w:ascii="Aptos" w:hAnsi="Aptos"/>
          <w:color w:val="000000" w:themeColor="text1"/>
        </w:rPr>
        <w:t xml:space="preserve"> In addition to asking that the BSE</w:t>
      </w:r>
      <w:r w:rsidR="00044663">
        <w:rPr>
          <w:rFonts w:ascii="Aptos" w:hAnsi="Aptos"/>
          <w:color w:val="000000" w:themeColor="text1"/>
        </w:rPr>
        <w:t>A</w:t>
      </w:r>
      <w:r w:rsidR="00306D75">
        <w:rPr>
          <w:rFonts w:ascii="Aptos" w:hAnsi="Aptos"/>
          <w:color w:val="000000" w:themeColor="text1"/>
        </w:rPr>
        <w:t xml:space="preserve"> d</w:t>
      </w:r>
      <w:r w:rsidR="00306D75" w:rsidRPr="00306D75">
        <w:rPr>
          <w:rFonts w:ascii="Aptos" w:hAnsi="Aptos"/>
          <w:color w:val="000000" w:themeColor="text1"/>
        </w:rPr>
        <w:t xml:space="preserve">eny the District’s </w:t>
      </w:r>
      <w:r w:rsidR="00306D75" w:rsidRPr="00044663">
        <w:rPr>
          <w:rFonts w:ascii="Aptos" w:hAnsi="Aptos"/>
          <w:i/>
          <w:iCs/>
          <w:color w:val="000000" w:themeColor="text1"/>
        </w:rPr>
        <w:t>Motion to Dismiss</w:t>
      </w:r>
      <w:r w:rsidR="00306D75" w:rsidRPr="00306D75">
        <w:rPr>
          <w:rFonts w:ascii="Aptos" w:hAnsi="Aptos"/>
          <w:color w:val="000000" w:themeColor="text1"/>
        </w:rPr>
        <w:t xml:space="preserve"> in its entirety</w:t>
      </w:r>
      <w:r w:rsidR="00306D75">
        <w:rPr>
          <w:rFonts w:ascii="Aptos" w:hAnsi="Aptos"/>
          <w:color w:val="000000" w:themeColor="text1"/>
        </w:rPr>
        <w:t xml:space="preserve"> and f</w:t>
      </w:r>
      <w:r w:rsidR="00306D75" w:rsidRPr="00306D75">
        <w:rPr>
          <w:rFonts w:ascii="Aptos" w:hAnsi="Aptos"/>
          <w:color w:val="000000" w:themeColor="text1"/>
        </w:rPr>
        <w:t>ind that the BSEA has jurisdiction over this matter</w:t>
      </w:r>
      <w:r w:rsidR="00306D75">
        <w:rPr>
          <w:rFonts w:ascii="Aptos" w:hAnsi="Aptos"/>
          <w:color w:val="000000" w:themeColor="text1"/>
        </w:rPr>
        <w:t>, Parent asked the Hearing Officer to d</w:t>
      </w:r>
      <w:r w:rsidR="00306D75" w:rsidRPr="00306D75">
        <w:rPr>
          <w:rFonts w:ascii="Aptos" w:hAnsi="Aptos"/>
          <w:color w:val="000000" w:themeColor="text1"/>
        </w:rPr>
        <w:t>etermine whether the district’s action constitutes a change in placement or a significant alteration of</w:t>
      </w:r>
      <w:r w:rsidR="00044663">
        <w:rPr>
          <w:rFonts w:ascii="Aptos" w:hAnsi="Aptos"/>
          <w:color w:val="000000" w:themeColor="text1"/>
        </w:rPr>
        <w:t xml:space="preserve"> S</w:t>
      </w:r>
      <w:r w:rsidR="00306D75" w:rsidRPr="00306D75">
        <w:rPr>
          <w:rFonts w:ascii="Aptos" w:hAnsi="Aptos"/>
          <w:color w:val="000000" w:themeColor="text1"/>
        </w:rPr>
        <w:t>tudent’s educational program</w:t>
      </w:r>
      <w:r w:rsidR="00306D75">
        <w:rPr>
          <w:rFonts w:ascii="Aptos" w:hAnsi="Aptos"/>
          <w:color w:val="000000" w:themeColor="text1"/>
        </w:rPr>
        <w:t xml:space="preserve"> and </w:t>
      </w:r>
      <w:r w:rsidR="00044663">
        <w:rPr>
          <w:rFonts w:ascii="Aptos" w:hAnsi="Aptos"/>
          <w:color w:val="000000" w:themeColor="text1"/>
        </w:rPr>
        <w:t>to o</w:t>
      </w:r>
      <w:r w:rsidR="00306D75" w:rsidRPr="00306D75">
        <w:rPr>
          <w:rFonts w:ascii="Aptos" w:hAnsi="Aptos"/>
          <w:color w:val="000000" w:themeColor="text1"/>
        </w:rPr>
        <w:t>rder that</w:t>
      </w:r>
      <w:r w:rsidR="00044663">
        <w:rPr>
          <w:rFonts w:ascii="Aptos" w:hAnsi="Aptos"/>
          <w:color w:val="000000" w:themeColor="text1"/>
        </w:rPr>
        <w:t xml:space="preserve"> S</w:t>
      </w:r>
      <w:r w:rsidR="00306D75" w:rsidRPr="00306D75">
        <w:rPr>
          <w:rFonts w:ascii="Aptos" w:hAnsi="Aptos"/>
          <w:color w:val="000000" w:themeColor="text1"/>
        </w:rPr>
        <w:t>tudent remain in her current school placement pending resolution of this dispute</w:t>
      </w:r>
      <w:r w:rsidR="00044663">
        <w:rPr>
          <w:rFonts w:ascii="Aptos" w:hAnsi="Aptos"/>
          <w:color w:val="000000" w:themeColor="text1"/>
        </w:rPr>
        <w:t xml:space="preserve"> (</w:t>
      </w:r>
      <w:r w:rsidR="00044663" w:rsidRPr="00044663">
        <w:rPr>
          <w:rFonts w:ascii="Aptos" w:hAnsi="Aptos"/>
          <w:i/>
          <w:iCs/>
          <w:color w:val="000000" w:themeColor="text1"/>
        </w:rPr>
        <w:t>Parent’s Mot</w:t>
      </w:r>
      <w:r w:rsidR="00044663">
        <w:rPr>
          <w:rFonts w:ascii="Aptos" w:hAnsi="Aptos"/>
          <w:i/>
          <w:iCs/>
          <w:color w:val="000000" w:themeColor="text1"/>
        </w:rPr>
        <w:t>i</w:t>
      </w:r>
      <w:r w:rsidR="009C21E3">
        <w:rPr>
          <w:rFonts w:ascii="Aptos" w:hAnsi="Aptos"/>
          <w:i/>
          <w:iCs/>
          <w:color w:val="000000" w:themeColor="text1"/>
        </w:rPr>
        <w:t>o</w:t>
      </w:r>
      <w:r w:rsidR="00044663" w:rsidRPr="00044663">
        <w:rPr>
          <w:rFonts w:ascii="Aptos" w:hAnsi="Aptos"/>
          <w:i/>
          <w:iCs/>
          <w:color w:val="000000" w:themeColor="text1"/>
        </w:rPr>
        <w:t>n for Stay Put</w:t>
      </w:r>
      <w:r w:rsidR="00044663">
        <w:rPr>
          <w:rFonts w:ascii="Aptos" w:hAnsi="Aptos"/>
          <w:color w:val="000000" w:themeColor="text1"/>
        </w:rPr>
        <w:t>)</w:t>
      </w:r>
      <w:r w:rsidR="00306D75" w:rsidRPr="00306D75">
        <w:rPr>
          <w:rFonts w:ascii="Aptos" w:hAnsi="Aptos"/>
          <w:color w:val="000000" w:themeColor="text1"/>
        </w:rPr>
        <w:t>.</w:t>
      </w:r>
      <w:r w:rsidR="00306D75" w:rsidRPr="00306D75">
        <w:rPr>
          <w:rStyle w:val="FootnoteReference"/>
          <w:rFonts w:ascii="Aptos" w:hAnsi="Aptos"/>
          <w:color w:val="000000" w:themeColor="text1"/>
        </w:rPr>
        <w:t xml:space="preserve"> </w:t>
      </w:r>
      <w:r w:rsidR="00E45780">
        <w:rPr>
          <w:rStyle w:val="FootnoteReference"/>
          <w:rFonts w:ascii="Aptos" w:hAnsi="Aptos"/>
          <w:color w:val="000000" w:themeColor="text1"/>
        </w:rPr>
        <w:footnoteReference w:id="2"/>
      </w:r>
      <w:r w:rsidR="00296E7B" w:rsidRPr="00296E7B">
        <w:rPr>
          <w:rFonts w:ascii="Aptos" w:hAnsi="Aptos"/>
          <w:color w:val="000000" w:themeColor="text1"/>
        </w:rPr>
        <w:t xml:space="preserve"> </w:t>
      </w:r>
      <w:r w:rsidR="00053EE3">
        <w:rPr>
          <w:rFonts w:ascii="Aptos" w:hAnsi="Aptos"/>
          <w:color w:val="000000" w:themeColor="text1"/>
        </w:rPr>
        <w:t xml:space="preserve"> </w:t>
      </w:r>
    </w:p>
    <w:p w14:paraId="3FA52442" w14:textId="77777777" w:rsidR="004047CB" w:rsidRPr="005C1236" w:rsidRDefault="004047CB" w:rsidP="007F0EC6">
      <w:pPr>
        <w:pStyle w:val="Default"/>
        <w:rPr>
          <w:rFonts w:ascii="Aptos" w:hAnsi="Aptos"/>
          <w:color w:val="000000" w:themeColor="text1"/>
        </w:rPr>
      </w:pPr>
    </w:p>
    <w:p w14:paraId="6592EC79" w14:textId="3F2A17EC" w:rsidR="00811750" w:rsidRDefault="003258B2" w:rsidP="007F0EC6">
      <w:pPr>
        <w:pStyle w:val="NormalWeb"/>
        <w:spacing w:before="0" w:beforeAutospacing="0" w:after="0" w:afterAutospacing="0"/>
        <w:rPr>
          <w:rFonts w:ascii="Aptos" w:hAnsi="Aptos"/>
          <w:color w:val="000000" w:themeColor="text1"/>
        </w:rPr>
      </w:pPr>
      <w:r>
        <w:rPr>
          <w:rFonts w:ascii="Aptos" w:hAnsi="Aptos"/>
          <w:color w:val="000000" w:themeColor="text1"/>
        </w:rPr>
        <w:t xml:space="preserve">The District </w:t>
      </w:r>
      <w:r w:rsidR="00FE2647">
        <w:rPr>
          <w:rFonts w:ascii="Aptos" w:hAnsi="Aptos"/>
          <w:color w:val="000000" w:themeColor="text1"/>
        </w:rPr>
        <w:t>requested a he</w:t>
      </w:r>
      <w:r w:rsidR="009106C5">
        <w:rPr>
          <w:rFonts w:ascii="Aptos" w:hAnsi="Aptos"/>
          <w:color w:val="000000" w:themeColor="text1"/>
        </w:rPr>
        <w:t>a</w:t>
      </w:r>
      <w:r w:rsidR="00FE2647">
        <w:rPr>
          <w:rFonts w:ascii="Aptos" w:hAnsi="Aptos"/>
          <w:color w:val="000000" w:themeColor="text1"/>
        </w:rPr>
        <w:t xml:space="preserve">ring on the </w:t>
      </w:r>
      <w:r w:rsidR="00FE2647" w:rsidRPr="009106C5">
        <w:rPr>
          <w:rFonts w:ascii="Aptos" w:hAnsi="Aptos"/>
          <w:i/>
          <w:iCs/>
          <w:color w:val="000000" w:themeColor="text1"/>
        </w:rPr>
        <w:t>Motion to Dismiss</w:t>
      </w:r>
      <w:r w:rsidR="009106C5">
        <w:rPr>
          <w:rFonts w:ascii="Aptos" w:hAnsi="Aptos"/>
          <w:color w:val="000000" w:themeColor="text1"/>
        </w:rPr>
        <w:t xml:space="preserve">. </w:t>
      </w:r>
      <w:r w:rsidR="004047CB" w:rsidRPr="005C1236">
        <w:rPr>
          <w:rFonts w:ascii="Aptos" w:hAnsi="Aptos"/>
          <w:color w:val="000000" w:themeColor="text1"/>
        </w:rPr>
        <w:t>A</w:t>
      </w:r>
      <w:r w:rsidR="00164D67" w:rsidRPr="005C1236">
        <w:rPr>
          <w:rFonts w:ascii="Aptos" w:hAnsi="Aptos"/>
          <w:color w:val="000000" w:themeColor="text1"/>
        </w:rPr>
        <w:t xml:space="preserve"> </w:t>
      </w:r>
      <w:r w:rsidR="009106C5">
        <w:rPr>
          <w:rFonts w:ascii="Aptos" w:hAnsi="Aptos"/>
          <w:color w:val="000000" w:themeColor="text1"/>
        </w:rPr>
        <w:t xml:space="preserve">motion </w:t>
      </w:r>
      <w:r w:rsidR="00EF7301" w:rsidRPr="005C1236">
        <w:rPr>
          <w:rFonts w:ascii="Aptos" w:hAnsi="Aptos"/>
          <w:color w:val="000000" w:themeColor="text1"/>
        </w:rPr>
        <w:t xml:space="preserve">hearing </w:t>
      </w:r>
      <w:r w:rsidR="004047CB" w:rsidRPr="005C1236">
        <w:rPr>
          <w:rFonts w:ascii="Aptos" w:hAnsi="Aptos"/>
          <w:color w:val="000000" w:themeColor="text1"/>
        </w:rPr>
        <w:t xml:space="preserve">was held on April 30, 2026, in the presence of a court stenographer.  </w:t>
      </w:r>
      <w:r w:rsidR="00044663">
        <w:rPr>
          <w:rFonts w:ascii="Aptos" w:hAnsi="Aptos"/>
          <w:color w:val="000000" w:themeColor="text1"/>
        </w:rPr>
        <w:t xml:space="preserve">The parties presented arguments on both the District’s </w:t>
      </w:r>
      <w:r w:rsidR="00044663" w:rsidRPr="00044663">
        <w:rPr>
          <w:rFonts w:ascii="Aptos" w:hAnsi="Aptos"/>
          <w:i/>
          <w:iCs/>
          <w:color w:val="000000" w:themeColor="text1"/>
        </w:rPr>
        <w:t>Motion to Dismiss</w:t>
      </w:r>
      <w:r w:rsidR="00044663">
        <w:rPr>
          <w:rFonts w:ascii="Aptos" w:hAnsi="Aptos"/>
          <w:color w:val="000000" w:themeColor="text1"/>
        </w:rPr>
        <w:t xml:space="preserve"> and </w:t>
      </w:r>
      <w:r w:rsidR="00044663" w:rsidRPr="00044663">
        <w:rPr>
          <w:rFonts w:ascii="Aptos" w:hAnsi="Aptos"/>
          <w:i/>
          <w:iCs/>
          <w:color w:val="000000" w:themeColor="text1"/>
        </w:rPr>
        <w:t>Parent’s Mot</w:t>
      </w:r>
      <w:r w:rsidR="00044663">
        <w:rPr>
          <w:rFonts w:ascii="Aptos" w:hAnsi="Aptos"/>
          <w:i/>
          <w:iCs/>
          <w:color w:val="000000" w:themeColor="text1"/>
        </w:rPr>
        <w:t>i</w:t>
      </w:r>
      <w:r w:rsidR="00044663" w:rsidRPr="00044663">
        <w:rPr>
          <w:rFonts w:ascii="Aptos" w:hAnsi="Aptos"/>
          <w:i/>
          <w:iCs/>
          <w:color w:val="000000" w:themeColor="text1"/>
        </w:rPr>
        <w:t>on for Stay Put</w:t>
      </w:r>
      <w:r w:rsidR="00044663">
        <w:rPr>
          <w:rFonts w:ascii="Aptos" w:hAnsi="Aptos"/>
          <w:i/>
          <w:iCs/>
          <w:color w:val="000000" w:themeColor="text1"/>
        </w:rPr>
        <w:t>.</w:t>
      </w:r>
    </w:p>
    <w:p w14:paraId="334E42E2" w14:textId="77777777" w:rsidR="00ED1571" w:rsidRPr="005C1236" w:rsidRDefault="00ED1571" w:rsidP="007F0EC6">
      <w:pPr>
        <w:pStyle w:val="NormalWeb"/>
        <w:spacing w:before="0" w:beforeAutospacing="0" w:after="0" w:afterAutospacing="0"/>
        <w:rPr>
          <w:rFonts w:ascii="Aptos" w:hAnsi="Aptos"/>
          <w:color w:val="000000" w:themeColor="text1"/>
        </w:rPr>
      </w:pPr>
    </w:p>
    <w:p w14:paraId="5BE6D78A" w14:textId="1154B7D4" w:rsidR="00811750" w:rsidRPr="005C1236" w:rsidRDefault="00811750" w:rsidP="007F0EC6">
      <w:pPr>
        <w:pStyle w:val="NormalWeb"/>
        <w:spacing w:before="0" w:beforeAutospacing="0" w:after="0" w:afterAutospacing="0"/>
        <w:rPr>
          <w:rFonts w:ascii="Aptos" w:hAnsi="Aptos"/>
          <w:b/>
          <w:bCs/>
          <w:color w:val="000000" w:themeColor="text1"/>
        </w:rPr>
      </w:pPr>
      <w:r w:rsidRPr="005C1236">
        <w:rPr>
          <w:rFonts w:ascii="Aptos" w:hAnsi="Aptos"/>
          <w:b/>
          <w:bCs/>
          <w:color w:val="000000" w:themeColor="text1"/>
        </w:rPr>
        <w:t>RELEVANT FACTS</w:t>
      </w:r>
      <w:r w:rsidRPr="005C1236">
        <w:rPr>
          <w:rStyle w:val="FootnoteReference"/>
          <w:rFonts w:ascii="Aptos" w:hAnsi="Aptos"/>
          <w:b/>
          <w:bCs/>
          <w:color w:val="000000" w:themeColor="text1"/>
        </w:rPr>
        <w:footnoteReference w:id="3"/>
      </w:r>
      <w:r w:rsidRPr="005C1236">
        <w:rPr>
          <w:rFonts w:ascii="Aptos" w:hAnsi="Aptos"/>
          <w:b/>
          <w:bCs/>
          <w:color w:val="000000" w:themeColor="text1"/>
        </w:rPr>
        <w:t xml:space="preserve"> AND PROCEDURAL HISTORY:</w:t>
      </w:r>
    </w:p>
    <w:p w14:paraId="69FCACDF" w14:textId="77777777" w:rsidR="00576D4E" w:rsidRPr="005C1236" w:rsidRDefault="00576D4E" w:rsidP="007F0EC6">
      <w:pPr>
        <w:pStyle w:val="NormalWeb"/>
        <w:spacing w:before="0" w:beforeAutospacing="0" w:after="0" w:afterAutospacing="0"/>
        <w:rPr>
          <w:rFonts w:ascii="Aptos" w:hAnsi="Aptos"/>
          <w:b/>
          <w:bCs/>
          <w:color w:val="000000" w:themeColor="text1"/>
        </w:rPr>
      </w:pPr>
    </w:p>
    <w:p w14:paraId="7975CAED" w14:textId="327C1596" w:rsidR="00D210FE" w:rsidRPr="005C1236" w:rsidRDefault="00A007AB" w:rsidP="00D210FE">
      <w:pPr>
        <w:pStyle w:val="Default"/>
        <w:numPr>
          <w:ilvl w:val="0"/>
          <w:numId w:val="32"/>
        </w:numPr>
        <w:rPr>
          <w:rFonts w:ascii="Aptos" w:hAnsi="Aptos"/>
          <w:color w:val="000000" w:themeColor="text1"/>
        </w:rPr>
      </w:pPr>
      <w:r w:rsidRPr="005C1236">
        <w:rPr>
          <w:rFonts w:ascii="Aptos" w:hAnsi="Aptos"/>
          <w:color w:val="000000" w:themeColor="text1"/>
        </w:rPr>
        <w:t>S</w:t>
      </w:r>
      <w:r w:rsidR="005520EC" w:rsidRPr="005C1236">
        <w:rPr>
          <w:rFonts w:ascii="Aptos" w:hAnsi="Aptos"/>
          <w:color w:val="000000" w:themeColor="text1"/>
        </w:rPr>
        <w:t>tudent</w:t>
      </w:r>
      <w:r w:rsidR="00B84283" w:rsidRPr="005C1236">
        <w:rPr>
          <w:rFonts w:ascii="Aptos" w:hAnsi="Aptos"/>
          <w:color w:val="000000" w:themeColor="text1"/>
        </w:rPr>
        <w:t xml:space="preserve"> is a 6th grade resident of Lawrence, Massachusetts. </w:t>
      </w:r>
      <w:r w:rsidR="00192E0C" w:rsidRPr="005C1236">
        <w:rPr>
          <w:rFonts w:ascii="Aptos" w:hAnsi="Aptos"/>
          <w:color w:val="000000" w:themeColor="text1"/>
        </w:rPr>
        <w:t>Student is receiving special education and related services pursuant to a</w:t>
      </w:r>
      <w:r w:rsidR="00192E0C">
        <w:rPr>
          <w:rFonts w:ascii="Aptos" w:hAnsi="Aptos"/>
          <w:color w:val="000000" w:themeColor="text1"/>
        </w:rPr>
        <w:t xml:space="preserve">n accepted </w:t>
      </w:r>
      <w:r w:rsidR="00192E0C" w:rsidRPr="005C1236">
        <w:rPr>
          <w:rFonts w:ascii="Aptos" w:hAnsi="Aptos"/>
          <w:color w:val="000000" w:themeColor="text1"/>
        </w:rPr>
        <w:t>IEP</w:t>
      </w:r>
      <w:r w:rsidR="00192E0C">
        <w:rPr>
          <w:rFonts w:ascii="Aptos" w:hAnsi="Aptos"/>
          <w:color w:val="000000" w:themeColor="text1"/>
        </w:rPr>
        <w:t xml:space="preserve"> </w:t>
      </w:r>
      <w:r w:rsidR="00192E0C" w:rsidRPr="005C1236">
        <w:rPr>
          <w:rFonts w:ascii="Aptos" w:hAnsi="Aptos"/>
          <w:color w:val="000000" w:themeColor="text1"/>
        </w:rPr>
        <w:t xml:space="preserve">under the Disability Categories of Specific Learning </w:t>
      </w:r>
      <w:r w:rsidR="00192E0C">
        <w:rPr>
          <w:rFonts w:ascii="Aptos" w:hAnsi="Aptos"/>
          <w:color w:val="000000" w:themeColor="text1"/>
        </w:rPr>
        <w:t xml:space="preserve">Disability </w:t>
      </w:r>
      <w:r w:rsidR="00192E0C" w:rsidRPr="005C1236">
        <w:rPr>
          <w:rFonts w:ascii="Aptos" w:hAnsi="Aptos"/>
          <w:color w:val="000000" w:themeColor="text1"/>
        </w:rPr>
        <w:t>and Autism.</w:t>
      </w:r>
      <w:r w:rsidR="00192E0C">
        <w:rPr>
          <w:rFonts w:ascii="Aptos" w:hAnsi="Aptos"/>
          <w:color w:val="000000" w:themeColor="text1"/>
        </w:rPr>
        <w:t xml:space="preserve"> Her IEP calls for partial inclusion placement in the Lawrence Public Schools. Services </w:t>
      </w:r>
      <w:r w:rsidR="00D210FE">
        <w:rPr>
          <w:rFonts w:ascii="Aptos" w:hAnsi="Aptos"/>
          <w:color w:val="000000" w:themeColor="text1"/>
        </w:rPr>
        <w:t>i</w:t>
      </w:r>
      <w:r w:rsidR="00192E0C">
        <w:rPr>
          <w:rFonts w:ascii="Aptos" w:hAnsi="Aptos"/>
          <w:color w:val="000000" w:themeColor="text1"/>
        </w:rPr>
        <w:t>nclude the following: Grid A</w:t>
      </w:r>
      <w:r w:rsidR="00D012B0">
        <w:rPr>
          <w:rFonts w:ascii="Aptos" w:hAnsi="Aptos"/>
          <w:color w:val="000000" w:themeColor="text1"/>
        </w:rPr>
        <w:t>: OT consultation  (1x15 minutes/month), BCBA consultation  (1x15 minutes/month),</w:t>
      </w:r>
      <w:r w:rsidR="00D210FE">
        <w:rPr>
          <w:rFonts w:ascii="Aptos" w:hAnsi="Aptos"/>
          <w:color w:val="000000" w:themeColor="text1"/>
        </w:rPr>
        <w:t xml:space="preserve"> and PT consultation  (1x15 minutes/month); Grid B: Academic Support ELA (60 minutes daily) and Academic Support Math (60 minutes daily); Grid C: SLP (30 minutes/week), specialized instruction reading (60 minutes daily), and specialized instruction math (60 minutes daily).</w:t>
      </w:r>
      <w:r w:rsidR="0082273A">
        <w:rPr>
          <w:rFonts w:ascii="Aptos" w:hAnsi="Aptos"/>
          <w:color w:val="000000" w:themeColor="text1"/>
        </w:rPr>
        <w:t xml:space="preserve"> </w:t>
      </w:r>
    </w:p>
    <w:p w14:paraId="0907B3A3" w14:textId="36CA3DD6" w:rsidR="005D72B3" w:rsidRDefault="0082273A" w:rsidP="005D72B3">
      <w:pPr>
        <w:pStyle w:val="Default"/>
        <w:numPr>
          <w:ilvl w:val="0"/>
          <w:numId w:val="32"/>
        </w:numPr>
        <w:rPr>
          <w:rFonts w:ascii="Aptos" w:hAnsi="Aptos"/>
          <w:color w:val="000000" w:themeColor="text1"/>
        </w:rPr>
      </w:pPr>
      <w:r>
        <w:rPr>
          <w:rFonts w:ascii="Aptos" w:hAnsi="Aptos"/>
          <w:color w:val="000000" w:themeColor="text1"/>
        </w:rPr>
        <w:lastRenderedPageBreak/>
        <w:t>Student’s partial inclusion IEP</w:t>
      </w:r>
      <w:r w:rsidR="00921618">
        <w:rPr>
          <w:rFonts w:ascii="Aptos" w:hAnsi="Aptos"/>
          <w:color w:val="000000" w:themeColor="text1"/>
        </w:rPr>
        <w:t xml:space="preserve">, and all the services delineated therein, </w:t>
      </w:r>
      <w:r>
        <w:rPr>
          <w:rFonts w:ascii="Aptos" w:hAnsi="Aptos"/>
          <w:color w:val="000000" w:themeColor="text1"/>
        </w:rPr>
        <w:t>can be implemented in any of the Lawrence Public Schools.</w:t>
      </w:r>
      <w:r>
        <w:rPr>
          <w:rStyle w:val="FootnoteReference"/>
          <w:rFonts w:ascii="Aptos" w:hAnsi="Aptos"/>
          <w:color w:val="000000" w:themeColor="text1"/>
        </w:rPr>
        <w:footnoteReference w:id="4"/>
      </w:r>
    </w:p>
    <w:p w14:paraId="756E1FE2" w14:textId="6A9F3114" w:rsidR="00FB3B66" w:rsidRPr="00115810" w:rsidRDefault="00FB3B66" w:rsidP="00115810">
      <w:pPr>
        <w:pStyle w:val="Default"/>
        <w:numPr>
          <w:ilvl w:val="0"/>
          <w:numId w:val="32"/>
        </w:numPr>
        <w:rPr>
          <w:rFonts w:ascii="Aptos" w:hAnsi="Aptos"/>
          <w:color w:val="000000" w:themeColor="text1"/>
        </w:rPr>
      </w:pPr>
      <w:r>
        <w:rPr>
          <w:rFonts w:ascii="Aptos" w:hAnsi="Aptos"/>
          <w:color w:val="000000" w:themeColor="text1"/>
        </w:rPr>
        <w:t>S</w:t>
      </w:r>
      <w:r w:rsidRPr="005C1236">
        <w:rPr>
          <w:rFonts w:ascii="Aptos" w:hAnsi="Aptos"/>
          <w:color w:val="000000" w:themeColor="text1"/>
        </w:rPr>
        <w:t xml:space="preserve">tudent’s </w:t>
      </w:r>
      <w:r>
        <w:rPr>
          <w:rFonts w:ascii="Aptos" w:hAnsi="Aptos"/>
          <w:color w:val="000000" w:themeColor="text1"/>
        </w:rPr>
        <w:t xml:space="preserve">current </w:t>
      </w:r>
      <w:r w:rsidRPr="005C1236">
        <w:rPr>
          <w:rFonts w:ascii="Aptos" w:hAnsi="Aptos"/>
          <w:color w:val="000000" w:themeColor="text1"/>
        </w:rPr>
        <w:t>neighborhood school</w:t>
      </w:r>
      <w:r>
        <w:rPr>
          <w:rFonts w:ascii="Aptos" w:hAnsi="Aptos"/>
          <w:color w:val="000000" w:themeColor="text1"/>
        </w:rPr>
        <w:t xml:space="preserve">, at which the District is </w:t>
      </w:r>
      <w:r w:rsidR="001C64DE">
        <w:rPr>
          <w:rFonts w:ascii="Aptos" w:hAnsi="Aptos"/>
          <w:color w:val="000000" w:themeColor="text1"/>
        </w:rPr>
        <w:t>proposing</w:t>
      </w:r>
      <w:r>
        <w:rPr>
          <w:rFonts w:ascii="Aptos" w:hAnsi="Aptos"/>
          <w:color w:val="000000" w:themeColor="text1"/>
        </w:rPr>
        <w:t xml:space="preserve"> placement,</w:t>
      </w:r>
      <w:r w:rsidRPr="005C1236">
        <w:rPr>
          <w:rFonts w:ascii="Aptos" w:hAnsi="Aptos"/>
          <w:color w:val="000000" w:themeColor="text1"/>
        </w:rPr>
        <w:t xml:space="preserve"> is Oliver Middle School</w:t>
      </w:r>
      <w:r>
        <w:rPr>
          <w:rFonts w:ascii="Aptos" w:hAnsi="Aptos"/>
          <w:color w:val="000000" w:themeColor="text1"/>
        </w:rPr>
        <w:t>, a new school building that has wheelchair access.</w:t>
      </w:r>
    </w:p>
    <w:p w14:paraId="0849345C" w14:textId="43DB5DAF" w:rsidR="00C02A63" w:rsidRPr="002D000B" w:rsidRDefault="00192E0C" w:rsidP="002D000B">
      <w:pPr>
        <w:pStyle w:val="Default"/>
        <w:numPr>
          <w:ilvl w:val="0"/>
          <w:numId w:val="32"/>
        </w:numPr>
        <w:rPr>
          <w:rFonts w:ascii="Aptos" w:hAnsi="Aptos"/>
          <w:color w:val="000000" w:themeColor="text1"/>
        </w:rPr>
      </w:pPr>
      <w:r w:rsidRPr="005D72B3">
        <w:rPr>
          <w:rFonts w:ascii="Aptos" w:hAnsi="Aptos"/>
          <w:color w:val="000000" w:themeColor="text1"/>
        </w:rPr>
        <w:t>Student</w:t>
      </w:r>
      <w:r w:rsidR="00C02A63" w:rsidRPr="005D72B3">
        <w:rPr>
          <w:rFonts w:ascii="Aptos" w:hAnsi="Aptos"/>
          <w:color w:val="000000" w:themeColor="text1"/>
        </w:rPr>
        <w:t xml:space="preserve"> is currently attending Parthum Middle School in Lawrence, Massachusetts</w:t>
      </w:r>
      <w:r w:rsidR="003C09E3">
        <w:rPr>
          <w:rFonts w:ascii="Aptos" w:hAnsi="Aptos"/>
          <w:color w:val="000000" w:themeColor="text1"/>
        </w:rPr>
        <w:t>.</w:t>
      </w:r>
      <w:r w:rsidR="002D000B">
        <w:rPr>
          <w:rFonts w:ascii="Aptos" w:hAnsi="Aptos"/>
          <w:color w:val="000000" w:themeColor="text1"/>
        </w:rPr>
        <w:t xml:space="preserve"> </w:t>
      </w:r>
      <w:r w:rsidR="005F5BC0">
        <w:rPr>
          <w:rFonts w:ascii="Aptos" w:hAnsi="Aptos"/>
          <w:color w:val="000000" w:themeColor="text1"/>
        </w:rPr>
        <w:t>S</w:t>
      </w:r>
      <w:r w:rsidR="002D000B">
        <w:rPr>
          <w:rFonts w:ascii="Aptos" w:hAnsi="Aptos"/>
          <w:color w:val="000000" w:themeColor="text1"/>
        </w:rPr>
        <w:t xml:space="preserve">he </w:t>
      </w:r>
      <w:r w:rsidR="005F5BC0">
        <w:rPr>
          <w:rFonts w:ascii="Aptos" w:hAnsi="Aptos"/>
          <w:color w:val="000000" w:themeColor="text1"/>
        </w:rPr>
        <w:t xml:space="preserve">began </w:t>
      </w:r>
      <w:r w:rsidR="002D000B">
        <w:rPr>
          <w:rFonts w:ascii="Aptos" w:hAnsi="Aptos"/>
          <w:color w:val="000000" w:themeColor="text1"/>
        </w:rPr>
        <w:t>attend</w:t>
      </w:r>
      <w:r w:rsidR="005F5BC0">
        <w:rPr>
          <w:rFonts w:ascii="Aptos" w:hAnsi="Aptos"/>
          <w:color w:val="000000" w:themeColor="text1"/>
        </w:rPr>
        <w:t xml:space="preserve">ing Parthum </w:t>
      </w:r>
      <w:r w:rsidR="002D000B">
        <w:rPr>
          <w:rFonts w:ascii="Aptos" w:hAnsi="Aptos"/>
          <w:color w:val="000000" w:themeColor="text1"/>
        </w:rPr>
        <w:t xml:space="preserve"> </w:t>
      </w:r>
      <w:r w:rsidR="0017695E">
        <w:rPr>
          <w:rFonts w:ascii="Aptos" w:hAnsi="Aptos"/>
          <w:color w:val="000000" w:themeColor="text1"/>
        </w:rPr>
        <w:t xml:space="preserve">in academic </w:t>
      </w:r>
      <w:r w:rsidR="002D000B">
        <w:rPr>
          <w:rFonts w:ascii="Aptos" w:hAnsi="Aptos"/>
          <w:color w:val="000000" w:themeColor="text1"/>
        </w:rPr>
        <w:t>2020-2021</w:t>
      </w:r>
      <w:r w:rsidR="00C02A63" w:rsidRPr="002D000B">
        <w:rPr>
          <w:rFonts w:ascii="Aptos" w:hAnsi="Aptos"/>
          <w:color w:val="000000" w:themeColor="text1"/>
        </w:rPr>
        <w:t>,</w:t>
      </w:r>
      <w:r w:rsidR="002D000B">
        <w:rPr>
          <w:rFonts w:ascii="Aptos" w:hAnsi="Aptos"/>
          <w:color w:val="000000" w:themeColor="text1"/>
        </w:rPr>
        <w:t xml:space="preserve"> when</w:t>
      </w:r>
      <w:r w:rsidR="00C02A63" w:rsidRPr="002D000B">
        <w:rPr>
          <w:rFonts w:ascii="Aptos" w:hAnsi="Aptos"/>
          <w:color w:val="000000" w:themeColor="text1"/>
        </w:rPr>
        <w:t xml:space="preserve"> </w:t>
      </w:r>
      <w:r w:rsidR="00154FAA" w:rsidRPr="002D000B">
        <w:rPr>
          <w:rFonts w:ascii="Aptos" w:hAnsi="Aptos"/>
          <w:color w:val="000000" w:themeColor="text1"/>
        </w:rPr>
        <w:t xml:space="preserve">Lawrence granted </w:t>
      </w:r>
      <w:r w:rsidR="00C5337C" w:rsidRPr="002D000B">
        <w:rPr>
          <w:rFonts w:ascii="Aptos" w:hAnsi="Aptos"/>
          <w:color w:val="000000" w:themeColor="text1"/>
        </w:rPr>
        <w:t>Student</w:t>
      </w:r>
      <w:r w:rsidR="003C071F">
        <w:rPr>
          <w:rStyle w:val="FootnoteReference"/>
          <w:rFonts w:ascii="Aptos" w:hAnsi="Aptos"/>
          <w:color w:val="000000" w:themeColor="text1"/>
        </w:rPr>
        <w:footnoteReference w:id="5"/>
      </w:r>
      <w:r w:rsidR="00C02A63" w:rsidRPr="002D000B">
        <w:rPr>
          <w:rFonts w:ascii="Aptos" w:hAnsi="Aptos"/>
          <w:color w:val="000000" w:themeColor="text1"/>
        </w:rPr>
        <w:t xml:space="preserve"> a variance to attend Parthum School “because </w:t>
      </w:r>
      <w:r w:rsidR="00C5337C" w:rsidRPr="002D000B">
        <w:rPr>
          <w:rFonts w:ascii="Aptos" w:hAnsi="Aptos"/>
          <w:color w:val="000000" w:themeColor="text1"/>
        </w:rPr>
        <w:t>[Student’s]</w:t>
      </w:r>
      <w:r w:rsidR="00C02A63" w:rsidRPr="002D000B">
        <w:rPr>
          <w:rFonts w:ascii="Aptos" w:hAnsi="Aptos"/>
          <w:color w:val="000000" w:themeColor="text1"/>
        </w:rPr>
        <w:t xml:space="preserve"> zoned school at that time lacked ADA accessibility, and [Parent is] а wheelchair user.” </w:t>
      </w:r>
    </w:p>
    <w:p w14:paraId="1797E943" w14:textId="4ECF7081" w:rsidR="00C02A63" w:rsidRDefault="00C02A63" w:rsidP="007F0EC6">
      <w:pPr>
        <w:pStyle w:val="Default"/>
        <w:numPr>
          <w:ilvl w:val="0"/>
          <w:numId w:val="32"/>
        </w:numPr>
        <w:rPr>
          <w:rFonts w:ascii="Aptos" w:hAnsi="Aptos"/>
          <w:color w:val="000000" w:themeColor="text1"/>
        </w:rPr>
      </w:pPr>
      <w:r>
        <w:rPr>
          <w:rFonts w:ascii="Aptos" w:hAnsi="Aptos"/>
          <w:color w:val="000000" w:themeColor="text1"/>
        </w:rPr>
        <w:t>During</w:t>
      </w:r>
      <w:r w:rsidRPr="00C02A63">
        <w:rPr>
          <w:rFonts w:ascii="Aptos" w:hAnsi="Aptos"/>
          <w:color w:val="000000" w:themeColor="text1"/>
        </w:rPr>
        <w:t xml:space="preserve"> the 2023-2024 school year, </w:t>
      </w:r>
      <w:r>
        <w:rPr>
          <w:rFonts w:ascii="Aptos" w:hAnsi="Aptos"/>
          <w:color w:val="000000" w:themeColor="text1"/>
        </w:rPr>
        <w:t>Student attended</w:t>
      </w:r>
      <w:r w:rsidRPr="00C02A63">
        <w:rPr>
          <w:rFonts w:ascii="Aptos" w:hAnsi="Aptos"/>
          <w:color w:val="000000" w:themeColor="text1"/>
        </w:rPr>
        <w:t xml:space="preserve"> Leahy School</w:t>
      </w:r>
      <w:r>
        <w:rPr>
          <w:rFonts w:ascii="Aptos" w:hAnsi="Aptos"/>
          <w:color w:val="000000" w:themeColor="text1"/>
        </w:rPr>
        <w:t xml:space="preserve"> within the District</w:t>
      </w:r>
      <w:r w:rsidRPr="00C02A63">
        <w:rPr>
          <w:rFonts w:ascii="Aptos" w:hAnsi="Aptos"/>
          <w:color w:val="000000" w:themeColor="text1"/>
        </w:rPr>
        <w:t>, where</w:t>
      </w:r>
      <w:r>
        <w:rPr>
          <w:rFonts w:ascii="Aptos" w:hAnsi="Aptos"/>
          <w:color w:val="000000" w:themeColor="text1"/>
        </w:rPr>
        <w:t>, according to Parent,</w:t>
      </w:r>
      <w:r w:rsidRPr="00C02A63">
        <w:rPr>
          <w:rFonts w:ascii="Aptos" w:hAnsi="Aptos"/>
          <w:color w:val="000000" w:themeColor="text1"/>
        </w:rPr>
        <w:t xml:space="preserve"> she experienced significant bullying</w:t>
      </w:r>
      <w:r>
        <w:rPr>
          <w:rFonts w:ascii="Aptos" w:hAnsi="Aptos"/>
          <w:color w:val="000000" w:themeColor="text1"/>
        </w:rPr>
        <w:t>.</w:t>
      </w:r>
      <w:r w:rsidR="005C4C48">
        <w:rPr>
          <w:rStyle w:val="FootnoteReference"/>
          <w:rFonts w:ascii="Aptos" w:hAnsi="Aptos"/>
          <w:color w:val="000000" w:themeColor="text1"/>
        </w:rPr>
        <w:footnoteReference w:id="6"/>
      </w:r>
      <w:r w:rsidR="005C4C48">
        <w:rPr>
          <w:rFonts w:ascii="Aptos" w:hAnsi="Aptos"/>
          <w:color w:val="000000" w:themeColor="text1"/>
        </w:rPr>
        <w:t xml:space="preserve"> </w:t>
      </w:r>
      <w:r>
        <w:rPr>
          <w:rFonts w:ascii="Aptos" w:hAnsi="Aptos"/>
          <w:color w:val="000000" w:themeColor="text1"/>
        </w:rPr>
        <w:t xml:space="preserve"> </w:t>
      </w:r>
      <w:r w:rsidR="00050F57">
        <w:rPr>
          <w:rFonts w:ascii="Aptos" w:hAnsi="Aptos"/>
          <w:color w:val="000000" w:themeColor="text1"/>
        </w:rPr>
        <w:t xml:space="preserve">The transition to </w:t>
      </w:r>
      <w:r w:rsidR="00050F57" w:rsidRPr="00C02A63">
        <w:rPr>
          <w:rFonts w:ascii="Aptos" w:hAnsi="Aptos"/>
          <w:color w:val="000000" w:themeColor="text1"/>
        </w:rPr>
        <w:t>Leahy School</w:t>
      </w:r>
      <w:r w:rsidR="00050F57">
        <w:rPr>
          <w:rFonts w:ascii="Aptos" w:hAnsi="Aptos"/>
          <w:color w:val="000000" w:themeColor="text1"/>
        </w:rPr>
        <w:t xml:space="preserve"> from Parthum </w:t>
      </w:r>
      <w:r w:rsidR="00273849">
        <w:rPr>
          <w:rFonts w:ascii="Aptos" w:hAnsi="Aptos"/>
          <w:color w:val="000000" w:themeColor="text1"/>
        </w:rPr>
        <w:t xml:space="preserve">Middle School was </w:t>
      </w:r>
      <w:r w:rsidR="000F7481">
        <w:rPr>
          <w:rFonts w:ascii="Aptos" w:hAnsi="Aptos"/>
          <w:color w:val="000000" w:themeColor="text1"/>
        </w:rPr>
        <w:t>difficult</w:t>
      </w:r>
      <w:r w:rsidR="00273849">
        <w:rPr>
          <w:rFonts w:ascii="Aptos" w:hAnsi="Aptos"/>
          <w:color w:val="000000" w:themeColor="text1"/>
        </w:rPr>
        <w:t xml:space="preserve">, and </w:t>
      </w:r>
      <w:r w:rsidR="001D5998">
        <w:rPr>
          <w:rFonts w:ascii="Aptos" w:hAnsi="Aptos"/>
          <w:color w:val="000000" w:themeColor="text1"/>
        </w:rPr>
        <w:t>Student suffered anxiety</w:t>
      </w:r>
      <w:r w:rsidR="000F7481">
        <w:rPr>
          <w:rFonts w:ascii="Aptos" w:hAnsi="Aptos"/>
          <w:color w:val="000000" w:themeColor="text1"/>
        </w:rPr>
        <w:t xml:space="preserve"> and school refusal</w:t>
      </w:r>
      <w:r w:rsidR="001D5998">
        <w:rPr>
          <w:rFonts w:ascii="Aptos" w:hAnsi="Aptos"/>
          <w:color w:val="000000" w:themeColor="text1"/>
        </w:rPr>
        <w:t xml:space="preserve"> and required </w:t>
      </w:r>
      <w:r w:rsidR="00273849">
        <w:rPr>
          <w:rFonts w:ascii="Aptos" w:hAnsi="Aptos"/>
          <w:color w:val="000000" w:themeColor="text1"/>
        </w:rPr>
        <w:t>medication.</w:t>
      </w:r>
    </w:p>
    <w:p w14:paraId="15D26E1C" w14:textId="51A5CC27" w:rsidR="006530F9" w:rsidRPr="005C1236" w:rsidRDefault="00C02A63" w:rsidP="007F0EC6">
      <w:pPr>
        <w:pStyle w:val="Default"/>
        <w:numPr>
          <w:ilvl w:val="0"/>
          <w:numId w:val="32"/>
        </w:numPr>
        <w:rPr>
          <w:rFonts w:ascii="Aptos" w:hAnsi="Aptos"/>
          <w:color w:val="000000" w:themeColor="text1"/>
        </w:rPr>
      </w:pPr>
      <w:r>
        <w:rPr>
          <w:rFonts w:ascii="Aptos" w:hAnsi="Aptos"/>
          <w:color w:val="000000" w:themeColor="text1"/>
        </w:rPr>
        <w:t xml:space="preserve">At an undisclosed time, Parent was again granted a variance to have Student </w:t>
      </w:r>
      <w:r w:rsidR="002E01D5">
        <w:rPr>
          <w:rFonts w:ascii="Aptos" w:hAnsi="Aptos"/>
          <w:color w:val="000000" w:themeColor="text1"/>
        </w:rPr>
        <w:t xml:space="preserve">return to </w:t>
      </w:r>
      <w:r>
        <w:rPr>
          <w:rFonts w:ascii="Aptos" w:hAnsi="Aptos"/>
          <w:color w:val="000000" w:themeColor="text1"/>
        </w:rPr>
        <w:t xml:space="preserve"> Parthum Middle School.  </w:t>
      </w:r>
    </w:p>
    <w:p w14:paraId="3522E95F" w14:textId="4201D046" w:rsidR="002A0987" w:rsidRDefault="00C02A63" w:rsidP="007F0EC6">
      <w:pPr>
        <w:pStyle w:val="Default"/>
        <w:numPr>
          <w:ilvl w:val="0"/>
          <w:numId w:val="32"/>
        </w:numPr>
        <w:rPr>
          <w:rFonts w:ascii="Aptos" w:hAnsi="Aptos"/>
          <w:color w:val="000000" w:themeColor="text1"/>
        </w:rPr>
      </w:pPr>
      <w:r w:rsidRPr="00C02A63">
        <w:rPr>
          <w:rFonts w:ascii="Aptos" w:hAnsi="Aptos"/>
          <w:color w:val="000000" w:themeColor="text1"/>
        </w:rPr>
        <w:t>On or about November 2025,</w:t>
      </w:r>
      <w:r w:rsidR="002A0987" w:rsidRPr="00C02A63">
        <w:rPr>
          <w:rFonts w:ascii="Aptos" w:hAnsi="Aptos"/>
          <w:color w:val="000000" w:themeColor="text1"/>
        </w:rPr>
        <w:t xml:space="preserve"> Lawrence</w:t>
      </w:r>
      <w:r w:rsidRPr="00C02A63">
        <w:rPr>
          <w:rFonts w:ascii="Aptos" w:hAnsi="Aptos"/>
          <w:color w:val="000000" w:themeColor="text1"/>
        </w:rPr>
        <w:t xml:space="preserve"> revoked the</w:t>
      </w:r>
      <w:r w:rsidR="002A0987" w:rsidRPr="00C02A63">
        <w:rPr>
          <w:rFonts w:ascii="Aptos" w:hAnsi="Aptos"/>
          <w:color w:val="000000" w:themeColor="text1"/>
        </w:rPr>
        <w:t xml:space="preserve"> variance.</w:t>
      </w:r>
      <w:r w:rsidRPr="00C02A63">
        <w:rPr>
          <w:rFonts w:ascii="Aptos" w:hAnsi="Aptos"/>
          <w:color w:val="000000" w:themeColor="text1"/>
        </w:rPr>
        <w:t xml:space="preserve"> According to Parent, the variance was revoked “based on medical absences. However, these absences were medically documented and occurred during а period when [Student] was experiencing her own medical needs. At the same time, [Parent] was managing major medical challenges that required ongoing appointments and treatment.</w:t>
      </w:r>
      <w:r>
        <w:rPr>
          <w:rFonts w:ascii="Aptos" w:hAnsi="Aptos"/>
          <w:color w:val="000000" w:themeColor="text1"/>
        </w:rPr>
        <w:t>”</w:t>
      </w:r>
      <w:r w:rsidR="00CE320E">
        <w:rPr>
          <w:rFonts w:ascii="Aptos" w:hAnsi="Aptos"/>
          <w:color w:val="000000" w:themeColor="text1"/>
        </w:rPr>
        <w:t xml:space="preserve"> Lawrence intended to transition Student to Oliver Middle School in January </w:t>
      </w:r>
      <w:r w:rsidR="000232D5">
        <w:rPr>
          <w:rFonts w:ascii="Aptos" w:hAnsi="Aptos"/>
          <w:color w:val="000000" w:themeColor="text1"/>
        </w:rPr>
        <w:t>2026 at the start of the new semester. To date, Student has not been transferred due to the ongoing dispute.</w:t>
      </w:r>
    </w:p>
    <w:p w14:paraId="7C70357F" w14:textId="57646844" w:rsidR="001D5998" w:rsidRDefault="00705C7A" w:rsidP="007F0EC6">
      <w:pPr>
        <w:pStyle w:val="Default"/>
        <w:numPr>
          <w:ilvl w:val="0"/>
          <w:numId w:val="32"/>
        </w:numPr>
        <w:rPr>
          <w:rFonts w:ascii="Aptos" w:hAnsi="Aptos"/>
          <w:color w:val="000000" w:themeColor="text1"/>
        </w:rPr>
      </w:pPr>
      <w:r>
        <w:rPr>
          <w:rFonts w:ascii="Aptos" w:hAnsi="Aptos"/>
          <w:color w:val="000000" w:themeColor="text1"/>
        </w:rPr>
        <w:t>Parent believes that due to Student’s Autism diagnosis</w:t>
      </w:r>
      <w:r w:rsidR="00866E18">
        <w:rPr>
          <w:rFonts w:ascii="Aptos" w:hAnsi="Aptos"/>
          <w:color w:val="000000" w:themeColor="text1"/>
        </w:rPr>
        <w:t>,</w:t>
      </w:r>
      <w:r>
        <w:rPr>
          <w:rFonts w:ascii="Aptos" w:hAnsi="Aptos"/>
          <w:color w:val="000000" w:themeColor="text1"/>
        </w:rPr>
        <w:t xml:space="preserve"> she requires stability and should remain at Parthum Middle School until the end of </w:t>
      </w:r>
      <w:r w:rsidR="00866E18">
        <w:rPr>
          <w:rFonts w:ascii="Aptos" w:hAnsi="Aptos"/>
          <w:color w:val="000000" w:themeColor="text1"/>
        </w:rPr>
        <w:t>her 8</w:t>
      </w:r>
      <w:r w:rsidR="00866E18" w:rsidRPr="00866E18">
        <w:rPr>
          <w:rFonts w:ascii="Aptos" w:hAnsi="Aptos"/>
          <w:color w:val="000000" w:themeColor="text1"/>
          <w:vertAlign w:val="superscript"/>
        </w:rPr>
        <w:t>th</w:t>
      </w:r>
      <w:r w:rsidR="000232D5">
        <w:rPr>
          <w:rFonts w:ascii="Aptos" w:hAnsi="Aptos"/>
          <w:color w:val="000000" w:themeColor="text1"/>
        </w:rPr>
        <w:t>-</w:t>
      </w:r>
      <w:r w:rsidR="00866E18">
        <w:rPr>
          <w:rFonts w:ascii="Aptos" w:hAnsi="Aptos"/>
          <w:color w:val="000000" w:themeColor="text1"/>
        </w:rPr>
        <w:t>grade school year</w:t>
      </w:r>
      <w:r>
        <w:rPr>
          <w:rFonts w:ascii="Aptos" w:hAnsi="Aptos"/>
          <w:color w:val="000000" w:themeColor="text1"/>
        </w:rPr>
        <w:t>.</w:t>
      </w:r>
      <w:r w:rsidR="0052420D">
        <w:rPr>
          <w:rFonts w:ascii="Aptos" w:hAnsi="Aptos"/>
          <w:color w:val="000000" w:themeColor="text1"/>
        </w:rPr>
        <w:t xml:space="preserve"> Any transition to a new school would be </w:t>
      </w:r>
      <w:r w:rsidR="000F7481">
        <w:rPr>
          <w:rFonts w:ascii="Aptos" w:hAnsi="Aptos"/>
          <w:color w:val="000000" w:themeColor="text1"/>
        </w:rPr>
        <w:t>“</w:t>
      </w:r>
      <w:r w:rsidR="0052420D">
        <w:rPr>
          <w:rFonts w:ascii="Aptos" w:hAnsi="Aptos"/>
          <w:color w:val="000000" w:themeColor="text1"/>
        </w:rPr>
        <w:t>hard</w:t>
      </w:r>
      <w:r w:rsidR="000F7481">
        <w:rPr>
          <w:rFonts w:ascii="Aptos" w:hAnsi="Aptos"/>
          <w:color w:val="000000" w:themeColor="text1"/>
        </w:rPr>
        <w:t xml:space="preserve">” </w:t>
      </w:r>
      <w:r w:rsidR="0052420D">
        <w:rPr>
          <w:rFonts w:ascii="Aptos" w:hAnsi="Aptos"/>
          <w:color w:val="000000" w:themeColor="text1"/>
        </w:rPr>
        <w:t>on Student</w:t>
      </w:r>
      <w:r w:rsidR="000F7481">
        <w:rPr>
          <w:rFonts w:ascii="Aptos" w:hAnsi="Aptos"/>
          <w:color w:val="000000" w:themeColor="text1"/>
        </w:rPr>
        <w:t xml:space="preserve"> and will “affect her to the fullest.”</w:t>
      </w:r>
    </w:p>
    <w:p w14:paraId="6EDA0CE1" w14:textId="5A2B366F" w:rsidR="00866E18" w:rsidRDefault="00866E18" w:rsidP="007F0EC6">
      <w:pPr>
        <w:pStyle w:val="Default"/>
        <w:numPr>
          <w:ilvl w:val="0"/>
          <w:numId w:val="32"/>
        </w:numPr>
        <w:rPr>
          <w:rFonts w:ascii="Aptos" w:hAnsi="Aptos"/>
          <w:color w:val="000000" w:themeColor="text1"/>
        </w:rPr>
      </w:pPr>
      <w:r>
        <w:rPr>
          <w:rFonts w:ascii="Aptos" w:hAnsi="Aptos"/>
          <w:color w:val="000000" w:themeColor="text1"/>
        </w:rPr>
        <w:t xml:space="preserve">Lawrence </w:t>
      </w:r>
      <w:r w:rsidR="000232D5">
        <w:rPr>
          <w:rFonts w:ascii="Aptos" w:hAnsi="Aptos"/>
          <w:color w:val="000000" w:themeColor="text1"/>
        </w:rPr>
        <w:t xml:space="preserve">seeks to transition Student at the start of the 2026-2027 school year after transition planning </w:t>
      </w:r>
      <w:r w:rsidR="0052420D">
        <w:rPr>
          <w:rFonts w:ascii="Aptos" w:hAnsi="Aptos"/>
          <w:color w:val="000000" w:themeColor="text1"/>
        </w:rPr>
        <w:t>for the move</w:t>
      </w:r>
      <w:r w:rsidR="009C0DDC">
        <w:rPr>
          <w:rFonts w:ascii="Aptos" w:hAnsi="Aptos"/>
          <w:color w:val="000000" w:themeColor="text1"/>
        </w:rPr>
        <w:t xml:space="preserve"> takes place</w:t>
      </w:r>
      <w:r w:rsidR="0052420D">
        <w:rPr>
          <w:rFonts w:ascii="Aptos" w:hAnsi="Aptos"/>
          <w:color w:val="000000" w:themeColor="text1"/>
        </w:rPr>
        <w:t xml:space="preserve"> </w:t>
      </w:r>
      <w:r w:rsidR="000232D5">
        <w:rPr>
          <w:rFonts w:ascii="Aptos" w:hAnsi="Aptos"/>
          <w:color w:val="000000" w:themeColor="text1"/>
        </w:rPr>
        <w:t>at the upcoming IEP Team meeting</w:t>
      </w:r>
      <w:r w:rsidR="0052420D">
        <w:rPr>
          <w:rFonts w:ascii="Aptos" w:hAnsi="Aptos"/>
          <w:color w:val="000000" w:themeColor="text1"/>
        </w:rPr>
        <w:t>.</w:t>
      </w:r>
    </w:p>
    <w:p w14:paraId="05E10008" w14:textId="77777777" w:rsidR="00C02A63" w:rsidRPr="00C02A63" w:rsidRDefault="00C02A63" w:rsidP="007F0EC6">
      <w:pPr>
        <w:pStyle w:val="Default"/>
        <w:ind w:left="720"/>
        <w:rPr>
          <w:rFonts w:ascii="Aptos" w:hAnsi="Aptos"/>
          <w:color w:val="000000" w:themeColor="text1"/>
        </w:rPr>
      </w:pPr>
    </w:p>
    <w:p w14:paraId="303C751B" w14:textId="269AA5AC" w:rsidR="0070458D" w:rsidRPr="005C1236" w:rsidRDefault="0070458D" w:rsidP="007F0EC6">
      <w:pPr>
        <w:rPr>
          <w:rFonts w:ascii="Aptos" w:hAnsi="Aptos"/>
          <w:b/>
          <w:bCs/>
          <w:color w:val="000000" w:themeColor="text1"/>
        </w:rPr>
      </w:pPr>
      <w:r w:rsidRPr="005C1236">
        <w:rPr>
          <w:rFonts w:ascii="Aptos" w:hAnsi="Aptos"/>
          <w:b/>
          <w:bCs/>
          <w:color w:val="000000" w:themeColor="text1"/>
        </w:rPr>
        <w:t xml:space="preserve">LEGAL </w:t>
      </w:r>
      <w:r w:rsidR="000D376B" w:rsidRPr="005C1236">
        <w:rPr>
          <w:rFonts w:ascii="Aptos" w:hAnsi="Aptos"/>
          <w:b/>
          <w:bCs/>
          <w:color w:val="000000" w:themeColor="text1"/>
        </w:rPr>
        <w:t>STANDARDS</w:t>
      </w:r>
      <w:r w:rsidR="00686B78" w:rsidRPr="005C1236">
        <w:rPr>
          <w:rFonts w:ascii="Aptos" w:hAnsi="Aptos"/>
          <w:b/>
          <w:bCs/>
          <w:color w:val="000000" w:themeColor="text1"/>
        </w:rPr>
        <w:t xml:space="preserve"> AND APPLICATION OF LEGAL STANDARDS</w:t>
      </w:r>
      <w:r w:rsidRPr="005C1236">
        <w:rPr>
          <w:rFonts w:ascii="Aptos" w:hAnsi="Aptos"/>
          <w:b/>
          <w:bCs/>
          <w:color w:val="000000" w:themeColor="text1"/>
        </w:rPr>
        <w:t>:</w:t>
      </w:r>
    </w:p>
    <w:p w14:paraId="738E6454" w14:textId="77777777" w:rsidR="00E90201" w:rsidRPr="005C1236" w:rsidRDefault="00E90201" w:rsidP="007F0EC6">
      <w:pPr>
        <w:rPr>
          <w:rFonts w:ascii="Aptos" w:hAnsi="Aptos"/>
          <w:b/>
          <w:bCs/>
          <w:color w:val="000000" w:themeColor="text1"/>
        </w:rPr>
      </w:pPr>
    </w:p>
    <w:p w14:paraId="6A440881" w14:textId="3636CFB0" w:rsidR="00D357B5" w:rsidRPr="005C1236" w:rsidRDefault="00D357B5" w:rsidP="007F0EC6">
      <w:pPr>
        <w:rPr>
          <w:rFonts w:ascii="Aptos" w:hAnsi="Aptos"/>
          <w:color w:val="000000" w:themeColor="text1"/>
        </w:rPr>
      </w:pPr>
      <w:r w:rsidRPr="005C1236">
        <w:rPr>
          <w:rFonts w:ascii="Aptos" w:hAnsi="Aptos"/>
          <w:color w:val="000000" w:themeColor="text1"/>
        </w:rPr>
        <w:t xml:space="preserve">In applying the legal standards set out </w:t>
      </w:r>
      <w:r w:rsidR="006353F3" w:rsidRPr="005C1236">
        <w:rPr>
          <w:rFonts w:ascii="Aptos" w:hAnsi="Aptos"/>
          <w:i/>
          <w:iCs/>
          <w:color w:val="000000" w:themeColor="text1"/>
        </w:rPr>
        <w:t>infra</w:t>
      </w:r>
      <w:r w:rsidRPr="005C1236">
        <w:rPr>
          <w:rFonts w:ascii="Aptos" w:hAnsi="Aptos"/>
          <w:color w:val="000000" w:themeColor="text1"/>
        </w:rPr>
        <w:t xml:space="preserve"> to </w:t>
      </w:r>
      <w:r w:rsidR="006353F3" w:rsidRPr="005C1236">
        <w:rPr>
          <w:rFonts w:ascii="Aptos" w:hAnsi="Aptos"/>
          <w:color w:val="000000" w:themeColor="text1"/>
        </w:rPr>
        <w:t xml:space="preserve">the </w:t>
      </w:r>
      <w:r w:rsidRPr="005C1236">
        <w:rPr>
          <w:rFonts w:ascii="Aptos" w:hAnsi="Aptos"/>
          <w:color w:val="000000" w:themeColor="text1"/>
        </w:rPr>
        <w:t xml:space="preserve">instant matter, I bear in mind that complaints filed by </w:t>
      </w:r>
      <w:r w:rsidRPr="005C1236">
        <w:rPr>
          <w:rFonts w:ascii="Aptos" w:hAnsi="Aptos"/>
          <w:i/>
          <w:iCs/>
          <w:color w:val="000000" w:themeColor="text1"/>
        </w:rPr>
        <w:t>pro se</w:t>
      </w:r>
      <w:r w:rsidRPr="005C1236">
        <w:rPr>
          <w:rFonts w:ascii="Aptos" w:hAnsi="Aptos"/>
          <w:color w:val="000000" w:themeColor="text1"/>
        </w:rPr>
        <w:t xml:space="preserve"> parties, as in the instant matter, are to be construed liberally.</w:t>
      </w:r>
      <w:r w:rsidRPr="005C1236">
        <w:rPr>
          <w:rStyle w:val="FootnoteReference"/>
          <w:rFonts w:ascii="Aptos" w:hAnsi="Aptos"/>
          <w:color w:val="000000" w:themeColor="text1"/>
        </w:rPr>
        <w:footnoteReference w:id="7"/>
      </w:r>
      <w:r w:rsidRPr="005C1236">
        <w:rPr>
          <w:rFonts w:ascii="Aptos" w:hAnsi="Aptos"/>
          <w:color w:val="000000" w:themeColor="text1"/>
        </w:rPr>
        <w:t xml:space="preserve"> </w:t>
      </w:r>
      <w:r w:rsidRPr="005C1236">
        <w:rPr>
          <w:rFonts w:ascii="Aptos" w:hAnsi="Aptos"/>
          <w:color w:val="000000" w:themeColor="text1"/>
        </w:rPr>
        <w:lastRenderedPageBreak/>
        <w:t>As explained by the First Circuit Court of Appeals, “[t]he policy behind affording pro se plaintiffs liberal interpretation is that if they present sufficient facts [to state a claim], the Court may intuit the correct cause of action, even if it was imperfectly pled.”</w:t>
      </w:r>
      <w:r w:rsidR="00313A19" w:rsidRPr="005C1236">
        <w:rPr>
          <w:rStyle w:val="FootnoteReference"/>
          <w:rFonts w:ascii="Aptos" w:hAnsi="Aptos"/>
          <w:color w:val="000000" w:themeColor="text1"/>
        </w:rPr>
        <w:footnoteReference w:id="8"/>
      </w:r>
      <w:r w:rsidR="00313A19" w:rsidRPr="005C1236">
        <w:rPr>
          <w:rFonts w:ascii="Aptos" w:hAnsi="Aptos"/>
          <w:color w:val="000000" w:themeColor="text1"/>
        </w:rPr>
        <w:t xml:space="preserve"> </w:t>
      </w:r>
      <w:r w:rsidRPr="005C1236">
        <w:rPr>
          <w:rFonts w:ascii="Aptos" w:hAnsi="Aptos"/>
          <w:color w:val="000000" w:themeColor="text1"/>
        </w:rPr>
        <w:t>This principle aligns with “[o]ur judicial system[, which] zealously guards the attempts of pro se litigants on their own behalf” while not ignoring the need for compliance with procedural and substantive law.</w:t>
      </w:r>
      <w:r w:rsidR="00313A19" w:rsidRPr="005C1236">
        <w:rPr>
          <w:rStyle w:val="FootnoteReference"/>
          <w:rFonts w:ascii="Aptos" w:hAnsi="Aptos"/>
          <w:color w:val="000000" w:themeColor="text1"/>
        </w:rPr>
        <w:footnoteReference w:id="9"/>
      </w:r>
    </w:p>
    <w:p w14:paraId="05640A60" w14:textId="77777777" w:rsidR="00313A19" w:rsidRPr="005C1236" w:rsidRDefault="00313A19" w:rsidP="007F0EC6">
      <w:pPr>
        <w:rPr>
          <w:rFonts w:ascii="Aptos" w:hAnsi="Aptos"/>
          <w:color w:val="000000" w:themeColor="text1"/>
        </w:rPr>
      </w:pPr>
    </w:p>
    <w:p w14:paraId="2653189C" w14:textId="77777777" w:rsidR="00E90201" w:rsidRPr="005C1236" w:rsidRDefault="00E90201" w:rsidP="007F0EC6">
      <w:pPr>
        <w:pStyle w:val="ListParagraph"/>
        <w:numPr>
          <w:ilvl w:val="1"/>
          <w:numId w:val="14"/>
        </w:numPr>
        <w:tabs>
          <w:tab w:val="left" w:pos="2792"/>
        </w:tabs>
        <w:rPr>
          <w:rFonts w:ascii="Aptos" w:hAnsi="Aptos" w:cs="Apple Chancery"/>
          <w:color w:val="000000" w:themeColor="text1"/>
          <w:u w:val="single"/>
        </w:rPr>
      </w:pPr>
      <w:r w:rsidRPr="005C1236">
        <w:rPr>
          <w:rFonts w:ascii="Aptos" w:hAnsi="Aptos" w:cs="Apple Chancery"/>
          <w:color w:val="000000" w:themeColor="text1"/>
          <w:u w:val="single"/>
        </w:rPr>
        <w:t>Legal Standards:</w:t>
      </w:r>
    </w:p>
    <w:p w14:paraId="5CE3D5BD" w14:textId="77777777" w:rsidR="00E90201" w:rsidRPr="005C1236" w:rsidRDefault="00E90201" w:rsidP="007F0EC6">
      <w:pPr>
        <w:pStyle w:val="ListParagraph"/>
        <w:tabs>
          <w:tab w:val="left" w:pos="2792"/>
        </w:tabs>
        <w:ind w:left="1440"/>
        <w:rPr>
          <w:rFonts w:ascii="Aptos" w:hAnsi="Aptos" w:cs="Apple Chancery"/>
          <w:color w:val="000000" w:themeColor="text1"/>
        </w:rPr>
      </w:pPr>
    </w:p>
    <w:p w14:paraId="652AB443" w14:textId="6437AFDD" w:rsidR="001B6C5E" w:rsidRPr="005C1236" w:rsidRDefault="00813AAA" w:rsidP="007F0EC6">
      <w:pPr>
        <w:pStyle w:val="ListParagraph"/>
        <w:numPr>
          <w:ilvl w:val="2"/>
          <w:numId w:val="14"/>
        </w:numPr>
        <w:tabs>
          <w:tab w:val="left" w:pos="2792"/>
        </w:tabs>
        <w:rPr>
          <w:rFonts w:ascii="Aptos" w:hAnsi="Aptos"/>
          <w:color w:val="000000" w:themeColor="text1"/>
          <w:u w:val="single"/>
        </w:rPr>
      </w:pPr>
      <w:r w:rsidRPr="005C1236">
        <w:rPr>
          <w:rFonts w:ascii="Aptos" w:hAnsi="Aptos"/>
          <w:color w:val="000000" w:themeColor="text1"/>
          <w:u w:val="single"/>
        </w:rPr>
        <w:t>Stay</w:t>
      </w:r>
      <w:r w:rsidR="0087760F">
        <w:rPr>
          <w:rFonts w:ascii="Aptos" w:hAnsi="Aptos"/>
          <w:color w:val="000000" w:themeColor="text1"/>
          <w:u w:val="single"/>
        </w:rPr>
        <w:t xml:space="preserve"> </w:t>
      </w:r>
      <w:r w:rsidRPr="005C1236">
        <w:rPr>
          <w:rFonts w:ascii="Aptos" w:hAnsi="Aptos"/>
          <w:color w:val="000000" w:themeColor="text1"/>
          <w:u w:val="single"/>
        </w:rPr>
        <w:t>Put</w:t>
      </w:r>
    </w:p>
    <w:p w14:paraId="32525DD6" w14:textId="77777777" w:rsidR="001B6C5E" w:rsidRPr="005C1236" w:rsidRDefault="001B6C5E" w:rsidP="007F0EC6">
      <w:pPr>
        <w:rPr>
          <w:rFonts w:ascii="Aptos" w:hAnsi="Aptos"/>
          <w:color w:val="000000" w:themeColor="text1"/>
        </w:rPr>
      </w:pPr>
    </w:p>
    <w:p w14:paraId="1CE69903" w14:textId="13C4AAA6" w:rsidR="001B6C5E" w:rsidRPr="005C1236" w:rsidRDefault="001B6C5E" w:rsidP="007F0EC6">
      <w:pPr>
        <w:rPr>
          <w:rFonts w:ascii="Aptos" w:hAnsi="Aptos"/>
          <w:color w:val="000000" w:themeColor="text1"/>
        </w:rPr>
      </w:pPr>
      <w:r w:rsidRPr="005C1236">
        <w:rPr>
          <w:rFonts w:ascii="Aptos" w:hAnsi="Aptos"/>
          <w:color w:val="000000" w:themeColor="text1"/>
        </w:rPr>
        <w:t>The IDEA’s “stay</w:t>
      </w:r>
      <w:r w:rsidR="0087760F">
        <w:rPr>
          <w:rFonts w:ascii="Aptos" w:hAnsi="Aptos"/>
          <w:color w:val="000000" w:themeColor="text1"/>
        </w:rPr>
        <w:t xml:space="preserve"> </w:t>
      </w:r>
      <w:r w:rsidRPr="005C1236">
        <w:rPr>
          <w:rFonts w:ascii="Aptos" w:hAnsi="Aptos"/>
          <w:color w:val="000000" w:themeColor="text1"/>
        </w:rPr>
        <w:t>put” provision requires that unless the State or local educational agency and the parents otherwise agree, during the time that a parent and school district are engaged in an IDEA dispute resolution process, “… the child shall remain in the then-current educational placement of the child, or, if applying for initial admission to a public school, shall, with the consent of the parents, be placed in the public school program until all such proceedings have been completed.”</w:t>
      </w:r>
      <w:r w:rsidRPr="005C1236">
        <w:rPr>
          <w:rStyle w:val="FootnoteReference"/>
          <w:rFonts w:ascii="Aptos" w:hAnsi="Aptos"/>
          <w:color w:val="000000" w:themeColor="text1"/>
        </w:rPr>
        <w:footnoteReference w:id="10"/>
      </w:r>
      <w:r w:rsidRPr="005C1236">
        <w:rPr>
          <w:rFonts w:ascii="Aptos" w:hAnsi="Aptos"/>
          <w:color w:val="000000" w:themeColor="text1"/>
        </w:rPr>
        <w:t xml:space="preserve"> Preservation of the “status quo” assures that the student “stays</w:t>
      </w:r>
      <w:r w:rsidR="0087760F">
        <w:rPr>
          <w:rFonts w:ascii="Aptos" w:hAnsi="Aptos"/>
          <w:color w:val="000000" w:themeColor="text1"/>
        </w:rPr>
        <w:t xml:space="preserve"> </w:t>
      </w:r>
      <w:r w:rsidRPr="005C1236">
        <w:rPr>
          <w:rFonts w:ascii="Aptos" w:hAnsi="Aptos"/>
          <w:color w:val="000000" w:themeColor="text1"/>
        </w:rPr>
        <w:t>put” in the last placement the parents and the school district agreed was appropriate for her.</w:t>
      </w:r>
      <w:r w:rsidRPr="005C1236">
        <w:rPr>
          <w:rStyle w:val="FootnoteReference"/>
          <w:rFonts w:ascii="Aptos" w:hAnsi="Aptos"/>
          <w:color w:val="000000" w:themeColor="text1"/>
        </w:rPr>
        <w:footnoteReference w:id="11"/>
      </w:r>
      <w:r w:rsidRPr="005C1236">
        <w:rPr>
          <w:rFonts w:ascii="Aptos" w:hAnsi="Aptos"/>
          <w:color w:val="000000" w:themeColor="text1"/>
        </w:rPr>
        <w:t xml:space="preserve"> In addition, the stay</w:t>
      </w:r>
      <w:r w:rsidR="0087760F">
        <w:rPr>
          <w:rFonts w:ascii="Aptos" w:hAnsi="Aptos"/>
          <w:color w:val="000000" w:themeColor="text1"/>
        </w:rPr>
        <w:t xml:space="preserve"> </w:t>
      </w:r>
      <w:r w:rsidRPr="005C1236">
        <w:rPr>
          <w:rFonts w:ascii="Aptos" w:hAnsi="Aptos"/>
          <w:color w:val="000000" w:themeColor="text1"/>
        </w:rPr>
        <w:t>put provision reflects “the preference of Congress for maintaining the stability of a disabled child’s placement and minimizing disruption to the child while the parents and school are resolving disputes.”</w:t>
      </w:r>
      <w:r w:rsidRPr="005C1236">
        <w:rPr>
          <w:rStyle w:val="FootnoteReference"/>
          <w:rFonts w:ascii="Aptos" w:hAnsi="Aptos"/>
          <w:color w:val="000000" w:themeColor="text1"/>
        </w:rPr>
        <w:footnoteReference w:id="12"/>
      </w:r>
      <w:r w:rsidRPr="005C1236">
        <w:rPr>
          <w:rFonts w:ascii="Aptos" w:hAnsi="Aptos"/>
          <w:color w:val="000000" w:themeColor="text1"/>
        </w:rPr>
        <w:t xml:space="preserve"> Generally, the last accepted IEP is the stay</w:t>
      </w:r>
      <w:r w:rsidR="0087760F">
        <w:rPr>
          <w:rFonts w:ascii="Aptos" w:hAnsi="Aptos"/>
          <w:color w:val="000000" w:themeColor="text1"/>
        </w:rPr>
        <w:t>[]</w:t>
      </w:r>
      <w:r w:rsidRPr="005C1236">
        <w:rPr>
          <w:rFonts w:ascii="Aptos" w:hAnsi="Aptos"/>
          <w:color w:val="000000" w:themeColor="text1"/>
        </w:rPr>
        <w:t>put IEP.</w:t>
      </w:r>
      <w:r w:rsidRPr="005C1236">
        <w:rPr>
          <w:rStyle w:val="FootnoteReference"/>
          <w:rFonts w:ascii="Aptos" w:hAnsi="Aptos"/>
          <w:color w:val="000000" w:themeColor="text1"/>
        </w:rPr>
        <w:footnoteReference w:id="13"/>
      </w:r>
      <w:r w:rsidRPr="005C1236">
        <w:rPr>
          <w:rFonts w:ascii="Aptos" w:hAnsi="Aptos"/>
          <w:color w:val="000000" w:themeColor="text1"/>
        </w:rPr>
        <w:t xml:space="preserve"> To determine a child’s “stay</w:t>
      </w:r>
      <w:r w:rsidR="0087760F">
        <w:rPr>
          <w:rFonts w:ascii="Aptos" w:hAnsi="Aptos"/>
          <w:color w:val="000000" w:themeColor="text1"/>
        </w:rPr>
        <w:t xml:space="preserve"> </w:t>
      </w:r>
      <w:r w:rsidRPr="005C1236">
        <w:rPr>
          <w:rFonts w:ascii="Aptos" w:hAnsi="Aptos"/>
          <w:color w:val="000000" w:themeColor="text1"/>
        </w:rPr>
        <w:t>put,” Courts often look for the “operative placement,” or the IEP that is “actually functioning at the time the dispute first arises.”</w:t>
      </w:r>
      <w:r w:rsidRPr="005C1236">
        <w:rPr>
          <w:rStyle w:val="FootnoteReference"/>
          <w:rFonts w:ascii="Aptos" w:hAnsi="Aptos"/>
          <w:color w:val="000000" w:themeColor="text1"/>
        </w:rPr>
        <w:footnoteReference w:id="14"/>
      </w:r>
      <w:r w:rsidRPr="005C1236">
        <w:rPr>
          <w:rFonts w:ascii="Aptos" w:hAnsi="Aptos"/>
          <w:color w:val="000000" w:themeColor="text1"/>
        </w:rPr>
        <w:t xml:space="preserve"> </w:t>
      </w:r>
    </w:p>
    <w:p w14:paraId="5588B964" w14:textId="77777777" w:rsidR="001B6C5E" w:rsidRPr="005C1236" w:rsidRDefault="001B6C5E" w:rsidP="007F0EC6">
      <w:pPr>
        <w:rPr>
          <w:rFonts w:ascii="Aptos" w:hAnsi="Aptos"/>
          <w:color w:val="000000" w:themeColor="text1"/>
        </w:rPr>
      </w:pPr>
    </w:p>
    <w:p w14:paraId="793D1F18" w14:textId="77777777" w:rsidR="001B6C5E" w:rsidRPr="005C1236" w:rsidRDefault="001B6C5E" w:rsidP="007F0EC6">
      <w:pPr>
        <w:rPr>
          <w:rFonts w:ascii="Aptos" w:hAnsi="Aptos"/>
          <w:color w:val="000000" w:themeColor="text1"/>
        </w:rPr>
      </w:pPr>
      <w:r w:rsidRPr="005C1236">
        <w:rPr>
          <w:rFonts w:ascii="Aptos" w:hAnsi="Aptos"/>
          <w:color w:val="000000" w:themeColor="text1"/>
        </w:rPr>
        <w:t>It is established law that the “physical school alone does not constitute an ‘educational placement.’ [An] educational placement consists of the instruction and services spelled out in [Student’s] IEP.”</w:t>
      </w:r>
      <w:r w:rsidRPr="005C1236">
        <w:rPr>
          <w:rStyle w:val="FootnoteReference"/>
          <w:rFonts w:ascii="Aptos" w:hAnsi="Aptos"/>
          <w:color w:val="000000" w:themeColor="text1"/>
        </w:rPr>
        <w:footnoteReference w:id="15"/>
      </w:r>
      <w:r w:rsidRPr="005C1236">
        <w:rPr>
          <w:rFonts w:ascii="Aptos" w:hAnsi="Aptos"/>
          <w:color w:val="000000" w:themeColor="text1"/>
        </w:rPr>
        <w:t xml:space="preserve"> According to the Office of Special Education Programs (OSEP), case-by-case analysis is required to determine whether a change in location materially or substantially alters a student's program, thereby constituting a change in placement, with the analysis based on whether 1) the IEP is being revised concurrently; 2) Student will be educated with nondisabled peers to the same extent in the new program; 3) Student will </w:t>
      </w:r>
      <w:r w:rsidRPr="005C1236">
        <w:rPr>
          <w:rFonts w:ascii="Aptos" w:hAnsi="Aptos"/>
          <w:color w:val="000000" w:themeColor="text1"/>
        </w:rPr>
        <w:lastRenderedPageBreak/>
        <w:t>have the same opportunities to participate in extracurricular and nonacademic services; and 4) the new location is the same option on the continuum of alternative placements.</w:t>
      </w:r>
      <w:r w:rsidRPr="005C1236">
        <w:rPr>
          <w:rStyle w:val="FootnoteReference"/>
          <w:rFonts w:ascii="Aptos" w:hAnsi="Aptos"/>
          <w:color w:val="000000" w:themeColor="text1"/>
        </w:rPr>
        <w:footnoteReference w:id="16"/>
      </w:r>
      <w:r w:rsidRPr="005C1236">
        <w:rPr>
          <w:rFonts w:ascii="Aptos" w:hAnsi="Aptos"/>
          <w:color w:val="000000" w:themeColor="text1"/>
        </w:rPr>
        <w:t xml:space="preserve"> </w:t>
      </w:r>
    </w:p>
    <w:p w14:paraId="38DEDFE5" w14:textId="77777777" w:rsidR="001B6C5E" w:rsidRPr="005C1236" w:rsidRDefault="001B6C5E" w:rsidP="007F0EC6">
      <w:pPr>
        <w:rPr>
          <w:rFonts w:ascii="Aptos" w:hAnsi="Aptos"/>
          <w:color w:val="000000" w:themeColor="text1"/>
        </w:rPr>
      </w:pPr>
    </w:p>
    <w:p w14:paraId="5940178D" w14:textId="58024B1C" w:rsidR="001B6C5E" w:rsidRPr="005C1236" w:rsidRDefault="001B6C5E" w:rsidP="007F0EC6">
      <w:pPr>
        <w:rPr>
          <w:rFonts w:ascii="Aptos" w:hAnsi="Aptos"/>
          <w:color w:val="000000" w:themeColor="text1"/>
        </w:rPr>
      </w:pPr>
      <w:r w:rsidRPr="005C1236">
        <w:rPr>
          <w:rFonts w:ascii="Aptos" w:hAnsi="Aptos"/>
          <w:color w:val="000000" w:themeColor="text1"/>
        </w:rPr>
        <w:t>In general, Courts have held that a change in placement for this purpose occurs when "a fundamental change in, or elimination of, a basic element of the educational program has occurred,"</w:t>
      </w:r>
      <w:r w:rsidRPr="005C1236">
        <w:rPr>
          <w:rStyle w:val="FootnoteReference"/>
          <w:rFonts w:ascii="Aptos" w:hAnsi="Aptos"/>
          <w:color w:val="000000" w:themeColor="text1"/>
        </w:rPr>
        <w:footnoteReference w:id="17"/>
      </w:r>
      <w:r w:rsidRPr="005C1236">
        <w:rPr>
          <w:rFonts w:ascii="Aptos" w:hAnsi="Aptos"/>
          <w:color w:val="000000" w:themeColor="text1"/>
        </w:rPr>
        <w:t xml:space="preserve"> or when a change in location "results in dilution of the quality of a student's education or a departure from the student's LRE [least restrictive environment]-compliant setting."</w:t>
      </w:r>
      <w:r w:rsidRPr="005C1236">
        <w:rPr>
          <w:rStyle w:val="FootnoteReference"/>
          <w:rFonts w:ascii="Aptos" w:hAnsi="Aptos"/>
          <w:color w:val="000000" w:themeColor="text1"/>
        </w:rPr>
        <w:footnoteReference w:id="18"/>
      </w:r>
      <w:r w:rsidRPr="005C1236">
        <w:rPr>
          <w:rFonts w:ascii="Aptos" w:hAnsi="Aptos"/>
          <w:color w:val="000000" w:themeColor="text1"/>
        </w:rPr>
        <w:t xml:space="preserve"> "[M]inor decision[s] alter[ing] the school day" such as modifications to the method of transportation to and from school or replacing one teacher or aide with another do not constitute changes in placement that would violate the stay put provision.</w:t>
      </w:r>
      <w:r w:rsidRPr="005C1236">
        <w:rPr>
          <w:rStyle w:val="FootnoteReference"/>
          <w:rFonts w:ascii="Aptos" w:hAnsi="Aptos"/>
          <w:color w:val="000000" w:themeColor="text1"/>
        </w:rPr>
        <w:footnoteReference w:id="19"/>
      </w:r>
      <w:r w:rsidR="00E676EA">
        <w:rPr>
          <w:rFonts w:ascii="Aptos" w:hAnsi="Aptos"/>
          <w:color w:val="000000" w:themeColor="text1"/>
        </w:rPr>
        <w:t xml:space="preserve"> </w:t>
      </w:r>
      <w:r w:rsidRPr="005C1236">
        <w:rPr>
          <w:rFonts w:ascii="Aptos" w:hAnsi="Aptos"/>
          <w:color w:val="000000" w:themeColor="text1"/>
        </w:rPr>
        <w:t>Changes in programs or classrooms do not constitute changes in placement, either, where the school district provides "substantially similar classes."</w:t>
      </w:r>
      <w:r w:rsidRPr="005C1236">
        <w:rPr>
          <w:rStyle w:val="FootnoteReference"/>
          <w:rFonts w:ascii="Aptos" w:hAnsi="Aptos"/>
          <w:color w:val="000000" w:themeColor="text1"/>
        </w:rPr>
        <w:footnoteReference w:id="20"/>
      </w:r>
      <w:r w:rsidRPr="005C1236">
        <w:rPr>
          <w:rFonts w:ascii="Aptos" w:hAnsi="Aptos"/>
          <w:color w:val="000000" w:themeColor="text1"/>
        </w:rPr>
        <w:t xml:space="preserve">  </w:t>
      </w:r>
    </w:p>
    <w:p w14:paraId="0AD46161" w14:textId="77777777" w:rsidR="001B6C5E" w:rsidRPr="005C1236" w:rsidRDefault="001B6C5E" w:rsidP="007F0EC6">
      <w:pPr>
        <w:rPr>
          <w:rFonts w:ascii="Aptos" w:hAnsi="Aptos"/>
          <w:color w:val="000000" w:themeColor="text1"/>
        </w:rPr>
      </w:pPr>
    </w:p>
    <w:p w14:paraId="2B8E64EE" w14:textId="4A377D9A" w:rsidR="001B6C5E" w:rsidRPr="005C1236" w:rsidRDefault="001B6C5E" w:rsidP="007F0EC6">
      <w:pPr>
        <w:rPr>
          <w:rFonts w:ascii="Aptos" w:hAnsi="Aptos"/>
          <w:color w:val="000000" w:themeColor="text1"/>
        </w:rPr>
      </w:pPr>
      <w:r w:rsidRPr="005C1236">
        <w:rPr>
          <w:rFonts w:ascii="Aptos" w:hAnsi="Aptos"/>
          <w:color w:val="000000" w:themeColor="text1"/>
        </w:rPr>
        <w:t>In deciding issues of stay</w:t>
      </w:r>
      <w:r w:rsidR="005F3863">
        <w:rPr>
          <w:rFonts w:ascii="Aptos" w:hAnsi="Aptos"/>
          <w:color w:val="000000" w:themeColor="text1"/>
        </w:rPr>
        <w:t xml:space="preserve"> </w:t>
      </w:r>
      <w:r w:rsidRPr="005C1236">
        <w:rPr>
          <w:rFonts w:ascii="Aptos" w:hAnsi="Aptos"/>
          <w:color w:val="000000" w:themeColor="text1"/>
        </w:rPr>
        <w:t>put, Courts have examined the impact of the proposed change on the student rather than the precise classroom location.</w:t>
      </w:r>
      <w:r w:rsidRPr="005C1236">
        <w:rPr>
          <w:rStyle w:val="FootnoteReference"/>
          <w:rFonts w:ascii="Aptos" w:hAnsi="Aptos"/>
          <w:color w:val="000000" w:themeColor="text1"/>
        </w:rPr>
        <w:footnoteReference w:id="21"/>
      </w:r>
      <w:r w:rsidRPr="005C1236">
        <w:rPr>
          <w:rFonts w:ascii="Aptos" w:hAnsi="Aptos"/>
          <w:color w:val="000000" w:themeColor="text1"/>
        </w:rPr>
        <w:t xml:space="preserve">  Similarly, the BSEA has applied these principles to identify the “operative placement” a</w:t>
      </w:r>
      <w:r w:rsidR="005F3863">
        <w:rPr>
          <w:rFonts w:ascii="Aptos" w:hAnsi="Aptos"/>
          <w:color w:val="000000" w:themeColor="text1"/>
        </w:rPr>
        <w:t>nd</w:t>
      </w:r>
      <w:r w:rsidRPr="005C1236">
        <w:rPr>
          <w:rFonts w:ascii="Aptos" w:hAnsi="Aptos"/>
          <w:color w:val="000000" w:themeColor="text1"/>
        </w:rPr>
        <w:t xml:space="preserve"> to examine the impact on the student of the proposed change.</w:t>
      </w:r>
      <w:r w:rsidRPr="005C1236">
        <w:rPr>
          <w:rStyle w:val="FootnoteReference"/>
          <w:rFonts w:ascii="Aptos" w:hAnsi="Aptos"/>
          <w:color w:val="000000" w:themeColor="text1"/>
        </w:rPr>
        <w:footnoteReference w:id="22"/>
      </w:r>
      <w:r w:rsidRPr="005C1236">
        <w:rPr>
          <w:rFonts w:ascii="Aptos" w:hAnsi="Aptos"/>
          <w:color w:val="000000" w:themeColor="text1"/>
        </w:rPr>
        <w:t xml:space="preserve"> </w:t>
      </w:r>
    </w:p>
    <w:p w14:paraId="3906979B" w14:textId="77777777" w:rsidR="001B6C5E" w:rsidRPr="005C1236" w:rsidRDefault="001B6C5E" w:rsidP="007F0EC6">
      <w:pPr>
        <w:pStyle w:val="ListParagraph"/>
        <w:tabs>
          <w:tab w:val="left" w:pos="2792"/>
        </w:tabs>
        <w:ind w:left="2160"/>
        <w:rPr>
          <w:rFonts w:ascii="Aptos" w:hAnsi="Aptos"/>
          <w:color w:val="000000" w:themeColor="text1"/>
        </w:rPr>
      </w:pPr>
    </w:p>
    <w:p w14:paraId="6E68F3C8" w14:textId="43AAE0EE" w:rsidR="009A18D6" w:rsidRPr="005C1236" w:rsidRDefault="003E3E8D" w:rsidP="007D186F">
      <w:pPr>
        <w:pStyle w:val="ListParagraph"/>
        <w:tabs>
          <w:tab w:val="left" w:pos="2792"/>
        </w:tabs>
        <w:ind w:left="2340"/>
        <w:rPr>
          <w:rFonts w:ascii="Aptos" w:hAnsi="Aptos" w:cs="Apple Chancery"/>
          <w:color w:val="000000" w:themeColor="text1"/>
          <w:u w:val="single"/>
        </w:rPr>
      </w:pPr>
      <w:r>
        <w:rPr>
          <w:rFonts w:ascii="Aptos" w:hAnsi="Aptos" w:cs="Apple Chancery"/>
          <w:color w:val="000000" w:themeColor="text1"/>
          <w:u w:val="single"/>
        </w:rPr>
        <w:t>ii.</w:t>
      </w:r>
      <w:r>
        <w:rPr>
          <w:rFonts w:ascii="Aptos" w:hAnsi="Aptos" w:cs="Apple Chancery"/>
          <w:color w:val="000000" w:themeColor="text1"/>
          <w:u w:val="single"/>
        </w:rPr>
        <w:tab/>
      </w:r>
      <w:r w:rsidR="009A18D6" w:rsidRPr="005C1236">
        <w:rPr>
          <w:rFonts w:ascii="Aptos" w:hAnsi="Aptos" w:cs="Apple Chancery"/>
          <w:color w:val="000000" w:themeColor="text1"/>
          <w:u w:val="single"/>
        </w:rPr>
        <w:t>Motion to Dismiss</w:t>
      </w:r>
    </w:p>
    <w:p w14:paraId="4B5D3824" w14:textId="77777777" w:rsidR="009A18D6" w:rsidRPr="005C1236" w:rsidRDefault="009A18D6" w:rsidP="009A18D6">
      <w:pPr>
        <w:tabs>
          <w:tab w:val="left" w:pos="2792"/>
        </w:tabs>
        <w:ind w:left="1080"/>
        <w:rPr>
          <w:rFonts w:ascii="Aptos" w:hAnsi="Aptos" w:cs="Apple Chancery"/>
          <w:color w:val="000000" w:themeColor="text1"/>
        </w:rPr>
      </w:pPr>
    </w:p>
    <w:p w14:paraId="523F99EA" w14:textId="77777777" w:rsidR="009A18D6" w:rsidRPr="005C1236" w:rsidRDefault="009A18D6" w:rsidP="009A18D6">
      <w:pPr>
        <w:tabs>
          <w:tab w:val="left" w:pos="2792"/>
        </w:tabs>
        <w:rPr>
          <w:rFonts w:ascii="Aptos" w:hAnsi="Aptos" w:cs="Apple Chancery"/>
          <w:color w:val="000000" w:themeColor="text1"/>
        </w:rPr>
      </w:pPr>
      <w:r w:rsidRPr="005C1236">
        <w:rPr>
          <w:rFonts w:ascii="Aptos" w:hAnsi="Aptos" w:cs="Apple Chancery"/>
          <w:color w:val="000000" w:themeColor="text1"/>
        </w:rPr>
        <w:t>Pursuant to Hearing Rule XVI(A) and (B) and 801 CMR 1.01(7)(g)(3)</w:t>
      </w:r>
      <w:r w:rsidRPr="005C1236">
        <w:rPr>
          <w:rStyle w:val="FootnoteReference"/>
          <w:rFonts w:ascii="Aptos" w:hAnsi="Aptos" w:cs="Apple Chancery"/>
          <w:color w:val="000000" w:themeColor="text1"/>
        </w:rPr>
        <w:footnoteReference w:id="23"/>
      </w:r>
      <w:r w:rsidRPr="005C1236">
        <w:rPr>
          <w:rFonts w:ascii="Aptos" w:hAnsi="Aptos" w:cs="Apple Chancery"/>
          <w:color w:val="000000" w:themeColor="text1"/>
        </w:rPr>
        <w:t>, a hearing officer may allow a motion to dismiss if the party requesting the hearing fails to state a claim upon which relief can be granted. These rules are analogous to Rule 12(b)(6) of the Federal Rules of Civil Procedure. As such, hearing officers have generally used the same standards as the courts in deciding motions to dismiss for failure to state a claim. To survive a motion to dismiss, there must exist “factual ‘allegations plausibly suggesting (not merely consistent with)’ an entitlement to relief.”</w:t>
      </w:r>
      <w:r w:rsidRPr="005C1236">
        <w:rPr>
          <w:rStyle w:val="FootnoteReference"/>
          <w:rFonts w:ascii="Aptos" w:hAnsi="Aptos" w:cs="Apple Chancery"/>
          <w:color w:val="000000" w:themeColor="text1"/>
        </w:rPr>
        <w:footnoteReference w:id="24"/>
      </w:r>
      <w:r w:rsidRPr="005C1236">
        <w:rPr>
          <w:rFonts w:ascii="Aptos" w:hAnsi="Aptos" w:cs="Apple Chancery"/>
          <w:color w:val="000000" w:themeColor="text1"/>
        </w:rPr>
        <w:t xml:space="preserve"> The hearing officer must take as true “the allegations of the complaint, as well as such inferences as may be drawn therefrom in the plaintiff’s favor.”</w:t>
      </w:r>
      <w:r w:rsidRPr="005C1236">
        <w:rPr>
          <w:rStyle w:val="FootnoteReference"/>
          <w:rFonts w:ascii="Aptos" w:hAnsi="Aptos" w:cs="Apple Chancery"/>
          <w:color w:val="000000" w:themeColor="text1"/>
        </w:rPr>
        <w:footnoteReference w:id="25"/>
      </w:r>
      <w:r w:rsidRPr="005C1236">
        <w:rPr>
          <w:rFonts w:ascii="Aptos" w:hAnsi="Aptos" w:cs="Apple Chancery"/>
          <w:color w:val="000000" w:themeColor="text1"/>
        </w:rPr>
        <w:t xml:space="preserve"> These “[f]actual allegations must be enough to raise a right to relief above the speculative level.”</w:t>
      </w:r>
      <w:r w:rsidRPr="005C1236">
        <w:rPr>
          <w:rStyle w:val="FootnoteReference"/>
          <w:rFonts w:ascii="Aptos" w:hAnsi="Aptos" w:cs="Apple Chancery"/>
          <w:color w:val="000000" w:themeColor="text1"/>
        </w:rPr>
        <w:footnoteReference w:id="26"/>
      </w:r>
    </w:p>
    <w:p w14:paraId="6D0081DE" w14:textId="77777777" w:rsidR="009A18D6" w:rsidRPr="005C1236" w:rsidRDefault="009A18D6" w:rsidP="009A18D6">
      <w:pPr>
        <w:tabs>
          <w:tab w:val="left" w:pos="2792"/>
        </w:tabs>
        <w:rPr>
          <w:rFonts w:ascii="Aptos" w:hAnsi="Aptos" w:cs="Apple Chancery"/>
          <w:color w:val="000000" w:themeColor="text1"/>
        </w:rPr>
      </w:pPr>
    </w:p>
    <w:p w14:paraId="47831603" w14:textId="77777777" w:rsidR="009A18D6" w:rsidRPr="005C1236" w:rsidRDefault="009A18D6" w:rsidP="009A18D6">
      <w:pPr>
        <w:pStyle w:val="ListParagraph"/>
        <w:numPr>
          <w:ilvl w:val="1"/>
          <w:numId w:val="36"/>
        </w:numPr>
        <w:tabs>
          <w:tab w:val="left" w:pos="2792"/>
        </w:tabs>
        <w:rPr>
          <w:rFonts w:ascii="Aptos" w:eastAsiaTheme="minorHAnsi" w:hAnsi="Aptos"/>
          <w:color w:val="000000" w:themeColor="text1"/>
          <w:u w:val="single"/>
        </w:rPr>
      </w:pPr>
      <w:r w:rsidRPr="005C1236">
        <w:rPr>
          <w:rFonts w:ascii="Aptos" w:eastAsiaTheme="minorHAnsi" w:hAnsi="Aptos"/>
          <w:color w:val="000000" w:themeColor="text1"/>
          <w:u w:val="single"/>
        </w:rPr>
        <w:t>Jurisdiction of the BSEA</w:t>
      </w:r>
    </w:p>
    <w:p w14:paraId="0AF04E61" w14:textId="77777777" w:rsidR="009A18D6" w:rsidRPr="005C1236" w:rsidRDefault="009A18D6" w:rsidP="009A18D6">
      <w:pPr>
        <w:tabs>
          <w:tab w:val="left" w:pos="2792"/>
        </w:tabs>
        <w:rPr>
          <w:rFonts w:ascii="Aptos" w:hAnsi="Aptos"/>
          <w:color w:val="000000" w:themeColor="text1"/>
        </w:rPr>
      </w:pPr>
    </w:p>
    <w:p w14:paraId="3FFB982F" w14:textId="77777777" w:rsidR="009A18D6" w:rsidRPr="005C1236" w:rsidRDefault="009A18D6" w:rsidP="009A18D6">
      <w:pPr>
        <w:tabs>
          <w:tab w:val="left" w:pos="2792"/>
        </w:tabs>
        <w:rPr>
          <w:rFonts w:ascii="Aptos" w:hAnsi="Aptos"/>
          <w:color w:val="000000" w:themeColor="text1"/>
        </w:rPr>
      </w:pPr>
      <w:r w:rsidRPr="005C1236">
        <w:rPr>
          <w:rFonts w:ascii="Aptos" w:hAnsi="Aptos"/>
          <w:color w:val="000000" w:themeColor="text1"/>
        </w:rPr>
        <w:t>20 U.S.C. § 1415(b)(6) grants the BSEA jurisdiction over timely complaints filed by a parent/guardian or a school district "with respect to any matter relating to the identification, evaluation, or educational placement of the child, or the provision of a free appropriate public education to such child."</w:t>
      </w:r>
      <w:r w:rsidRPr="005C1236">
        <w:rPr>
          <w:rStyle w:val="FootnoteReference"/>
          <w:rFonts w:ascii="Aptos" w:hAnsi="Aptos"/>
          <w:color w:val="000000" w:themeColor="text1"/>
        </w:rPr>
        <w:footnoteReference w:id="27"/>
      </w:r>
      <w:r w:rsidRPr="005C1236">
        <w:rPr>
          <w:rFonts w:ascii="Aptos" w:hAnsi="Aptos"/>
          <w:color w:val="000000" w:themeColor="text1"/>
        </w:rPr>
        <w:t xml:space="preserve">  In Massachusetts, a parent or a school district, "may request mediation and/or a hearing at any time on any matter</w:t>
      </w:r>
      <w:r w:rsidRPr="005C1236">
        <w:rPr>
          <w:rStyle w:val="FootnoteReference"/>
          <w:rFonts w:ascii="Aptos" w:hAnsi="Aptos"/>
          <w:color w:val="000000" w:themeColor="text1"/>
        </w:rPr>
        <w:footnoteReference w:id="28"/>
      </w:r>
      <w:r w:rsidRPr="005C1236">
        <w:rPr>
          <w:rFonts w:ascii="Aptos" w:hAnsi="Aptos"/>
          <w:color w:val="000000" w:themeColor="text1"/>
        </w:rPr>
        <w:t xml:space="preserve"> concerning the eligibility, evaluation, placement, IEP, provision of special education in accordance with state and federal law, or procedural protections of state and federal law for students with disabilities."</w:t>
      </w:r>
      <w:r w:rsidRPr="005C1236">
        <w:rPr>
          <w:rStyle w:val="FootnoteReference"/>
          <w:rFonts w:ascii="Aptos" w:hAnsi="Aptos"/>
          <w:color w:val="000000" w:themeColor="text1"/>
        </w:rPr>
        <w:footnoteReference w:id="29"/>
      </w:r>
      <w:r w:rsidRPr="005C1236">
        <w:rPr>
          <w:rFonts w:ascii="Aptos" w:hAnsi="Aptos"/>
          <w:color w:val="000000" w:themeColor="text1"/>
        </w:rPr>
        <w:t xml:space="preserve"> </w:t>
      </w:r>
      <w:r>
        <w:rPr>
          <w:rFonts w:ascii="Aptos" w:hAnsi="Aptos"/>
          <w:color w:val="000000" w:themeColor="text1"/>
        </w:rPr>
        <w:t>T</w:t>
      </w:r>
      <w:r w:rsidRPr="005C1236">
        <w:rPr>
          <w:rFonts w:ascii="Aptos" w:hAnsi="Aptos"/>
          <w:color w:val="000000" w:themeColor="text1"/>
        </w:rPr>
        <w:t>he BSEA "can only grant relief that is authorized by these statutes and regulations, which generally encompasses orders for changed or additional services, specific placements, additional evaluations, reimbursement for services obtained privately by parents or compensatory services."</w:t>
      </w:r>
      <w:r w:rsidRPr="005C1236">
        <w:rPr>
          <w:rStyle w:val="FootnoteReference"/>
          <w:rFonts w:ascii="Aptos" w:hAnsi="Aptos"/>
          <w:color w:val="000000" w:themeColor="text1"/>
        </w:rPr>
        <w:footnoteReference w:id="30"/>
      </w:r>
      <w:r w:rsidRPr="005C1236">
        <w:rPr>
          <w:rFonts w:ascii="Aptos" w:hAnsi="Aptos"/>
          <w:color w:val="000000" w:themeColor="text1"/>
        </w:rPr>
        <w:t xml:space="preserve"> </w:t>
      </w:r>
    </w:p>
    <w:p w14:paraId="320A1EB6" w14:textId="77777777" w:rsidR="009A18D6" w:rsidRPr="005C1236" w:rsidRDefault="009A18D6" w:rsidP="009A18D6">
      <w:pPr>
        <w:tabs>
          <w:tab w:val="left" w:pos="2792"/>
        </w:tabs>
        <w:rPr>
          <w:rFonts w:ascii="Aptos" w:hAnsi="Aptos"/>
          <w:color w:val="000000" w:themeColor="text1"/>
        </w:rPr>
      </w:pPr>
    </w:p>
    <w:p w14:paraId="49490B93" w14:textId="2043D3D6" w:rsidR="009A18D6" w:rsidRPr="001B6C5E" w:rsidRDefault="009A18D6" w:rsidP="009A18D6">
      <w:pPr>
        <w:tabs>
          <w:tab w:val="left" w:pos="2792"/>
        </w:tabs>
        <w:rPr>
          <w:rFonts w:ascii="Aptos" w:hAnsi="Aptos"/>
          <w:color w:val="000000" w:themeColor="text1"/>
        </w:rPr>
      </w:pPr>
      <w:r>
        <w:rPr>
          <w:rFonts w:ascii="Aptos" w:hAnsi="Aptos"/>
          <w:color w:val="000000" w:themeColor="text1"/>
        </w:rPr>
        <w:t xml:space="preserve">In addition, the </w:t>
      </w:r>
      <w:r w:rsidRPr="001B6C5E">
        <w:rPr>
          <w:rFonts w:ascii="Aptos" w:hAnsi="Aptos"/>
          <w:color w:val="000000" w:themeColor="text1"/>
        </w:rPr>
        <w:t>BSEA jurisdiction extends to IDEA-based claims.</w:t>
      </w:r>
      <w:r w:rsidRPr="005C1236">
        <w:rPr>
          <w:rStyle w:val="FootnoteReference"/>
          <w:rFonts w:ascii="Aptos" w:hAnsi="Aptos"/>
          <w:color w:val="000000" w:themeColor="text1"/>
        </w:rPr>
        <w:footnoteReference w:id="31"/>
      </w:r>
      <w:r w:rsidRPr="001B6C5E">
        <w:rPr>
          <w:rFonts w:ascii="Aptos" w:hAnsi="Aptos"/>
          <w:color w:val="000000" w:themeColor="text1"/>
        </w:rPr>
        <w:t> The First Circuit held, in a case addressing exhaustion of claims filed under 42 U.S.C. § 1983, that the BSEA is not deprived of jurisdiction by the fact that certain claims are not based directly upon violations of the IDEA, nor by the fact that the relief a complainant seeks cannot be awarded by the agency.</w:t>
      </w:r>
      <w:r>
        <w:rPr>
          <w:rFonts w:ascii="Aptos" w:hAnsi="Aptos"/>
          <w:color w:val="000000" w:themeColor="text1"/>
        </w:rPr>
        <w:t xml:space="preserve"> </w:t>
      </w:r>
      <w:r w:rsidRPr="001B6C5E">
        <w:rPr>
          <w:rFonts w:ascii="Aptos" w:hAnsi="Aptos"/>
          <w:color w:val="000000" w:themeColor="text1"/>
        </w:rPr>
        <w:t>The IDEA’s exhaustion requirement ensures that the BSEA is able to develop a factual record and apply its “specialized knowledge” in an IDEA-based claim.</w:t>
      </w:r>
      <w:r w:rsidRPr="005C1236">
        <w:rPr>
          <w:rStyle w:val="FootnoteReference"/>
          <w:rFonts w:ascii="Aptos" w:hAnsi="Aptos"/>
          <w:color w:val="000000" w:themeColor="text1"/>
        </w:rPr>
        <w:footnoteReference w:id="32"/>
      </w:r>
      <w:r w:rsidRPr="005C1236">
        <w:rPr>
          <w:rFonts w:ascii="Aptos" w:hAnsi="Aptos"/>
          <w:color w:val="000000" w:themeColor="text1"/>
        </w:rPr>
        <w:t xml:space="preserve"> </w:t>
      </w:r>
      <w:r w:rsidRPr="001B6C5E">
        <w:rPr>
          <w:rFonts w:ascii="Aptos" w:hAnsi="Aptos"/>
          <w:color w:val="000000" w:themeColor="text1"/>
        </w:rPr>
        <w:t>The IDEA’s exhaustion requirement “applies even when the suit is brought pursuant to a different statute so long as the party is seeking relief that is available under subchapter II of IDEA.”</w:t>
      </w:r>
      <w:r w:rsidRPr="005C1236">
        <w:rPr>
          <w:rStyle w:val="FootnoteReference"/>
          <w:rFonts w:ascii="Aptos" w:hAnsi="Aptos"/>
          <w:color w:val="000000" w:themeColor="text1"/>
        </w:rPr>
        <w:footnoteReference w:id="33"/>
      </w:r>
      <w:r w:rsidRPr="005C1236">
        <w:rPr>
          <w:rFonts w:ascii="Aptos" w:hAnsi="Aptos"/>
          <w:color w:val="000000" w:themeColor="text1"/>
        </w:rPr>
        <w:t xml:space="preserve"> </w:t>
      </w:r>
      <w:r>
        <w:rPr>
          <w:rFonts w:ascii="Aptos" w:hAnsi="Aptos"/>
          <w:color w:val="000000" w:themeColor="text1"/>
        </w:rPr>
        <w:t xml:space="preserve"> </w:t>
      </w:r>
      <w:r w:rsidRPr="001B6C5E">
        <w:rPr>
          <w:rFonts w:ascii="Aptos" w:hAnsi="Aptos"/>
          <w:color w:val="000000" w:themeColor="text1"/>
        </w:rPr>
        <w:t>However, </w:t>
      </w:r>
      <w:r w:rsidRPr="001B6C5E">
        <w:rPr>
          <w:rFonts w:ascii="Aptos" w:hAnsi="Aptos"/>
          <w:i/>
          <w:iCs/>
          <w:color w:val="000000" w:themeColor="text1"/>
        </w:rPr>
        <w:t>in Fry v. Napolean Community Schools</w:t>
      </w:r>
      <w:r w:rsidRPr="001B6C5E">
        <w:rPr>
          <w:rFonts w:ascii="Aptos" w:hAnsi="Aptos"/>
          <w:color w:val="000000" w:themeColor="text1"/>
        </w:rPr>
        <w:t>, 137 S.Ct. 743, 752 (2017), the U.S. Supreme Court held that “exhaustion is not necessary when the gravamen of the plaintiff’s suit is something other than the denial of the IDEA’s core guarantee – what the Act calls a ‘free appropriate public education.’” Whether a claim is IDEA-based turns on whether the underlying claim is one of violation of the IDEA, or “where there are no factual allegations to indicate that a dispute exists concerning the individual student’s eligibility under the IDEA or Section 504 or the discharge of the School’s procedural and substantive responsibilities under the IDEA or [Section 504 of the Rehabilitation Act of 1973].”</w:t>
      </w:r>
      <w:r w:rsidRPr="005C1236">
        <w:rPr>
          <w:rStyle w:val="FootnoteReference"/>
          <w:rFonts w:ascii="Aptos" w:hAnsi="Aptos"/>
          <w:color w:val="000000" w:themeColor="text1"/>
        </w:rPr>
        <w:footnoteReference w:id="34"/>
      </w:r>
    </w:p>
    <w:p w14:paraId="60386433" w14:textId="77777777" w:rsidR="009A18D6" w:rsidRPr="009A18D6" w:rsidRDefault="009A18D6" w:rsidP="009A18D6">
      <w:pPr>
        <w:tabs>
          <w:tab w:val="left" w:pos="2792"/>
        </w:tabs>
        <w:rPr>
          <w:rFonts w:ascii="Aptos" w:hAnsi="Aptos"/>
          <w:color w:val="000000" w:themeColor="text1"/>
          <w:u w:val="single"/>
        </w:rPr>
      </w:pPr>
    </w:p>
    <w:p w14:paraId="34148651" w14:textId="4EFC6BBF" w:rsidR="009257FD" w:rsidRPr="005C1236" w:rsidRDefault="009257FD" w:rsidP="009A18D6">
      <w:pPr>
        <w:pStyle w:val="ListParagraph"/>
        <w:numPr>
          <w:ilvl w:val="1"/>
          <w:numId w:val="36"/>
        </w:numPr>
        <w:tabs>
          <w:tab w:val="left" w:pos="2792"/>
        </w:tabs>
        <w:rPr>
          <w:rFonts w:ascii="Aptos" w:hAnsi="Aptos"/>
          <w:color w:val="000000" w:themeColor="text1"/>
          <w:u w:val="single"/>
        </w:rPr>
      </w:pPr>
      <w:r w:rsidRPr="005C1236">
        <w:rPr>
          <w:rFonts w:ascii="Aptos" w:hAnsi="Aptos"/>
          <w:color w:val="000000" w:themeColor="text1"/>
          <w:u w:val="single"/>
        </w:rPr>
        <w:t>Lawrence Public Schools’ Policy JFB “Inter-School Variance” (Variance Policy)</w:t>
      </w:r>
      <w:r w:rsidR="00CA32AC">
        <w:rPr>
          <w:rFonts w:ascii="Aptos" w:hAnsi="Aptos"/>
          <w:color w:val="000000" w:themeColor="text1"/>
          <w:u w:val="single"/>
        </w:rPr>
        <w:t xml:space="preserve">  </w:t>
      </w:r>
    </w:p>
    <w:p w14:paraId="043CD7D4" w14:textId="77777777" w:rsidR="009257FD" w:rsidRPr="005C1236" w:rsidRDefault="009257FD" w:rsidP="007F0EC6">
      <w:pPr>
        <w:tabs>
          <w:tab w:val="left" w:pos="2792"/>
        </w:tabs>
        <w:rPr>
          <w:rFonts w:ascii="Aptos" w:hAnsi="Aptos"/>
          <w:color w:val="000000" w:themeColor="text1"/>
        </w:rPr>
      </w:pPr>
    </w:p>
    <w:p w14:paraId="2B670664" w14:textId="29ACF660" w:rsidR="00E86A0D" w:rsidRPr="005C1236" w:rsidRDefault="009257FD" w:rsidP="007F0EC6">
      <w:pPr>
        <w:tabs>
          <w:tab w:val="left" w:pos="2792"/>
        </w:tabs>
        <w:rPr>
          <w:rFonts w:ascii="Aptos" w:hAnsi="Aptos"/>
          <w:color w:val="000000" w:themeColor="text1"/>
        </w:rPr>
      </w:pPr>
      <w:r w:rsidRPr="005C1236">
        <w:rPr>
          <w:rFonts w:ascii="Aptos" w:hAnsi="Aptos"/>
          <w:color w:val="000000" w:themeColor="text1"/>
        </w:rPr>
        <w:lastRenderedPageBreak/>
        <w:t xml:space="preserve">In this Ruling, I </w:t>
      </w:r>
      <w:r w:rsidRPr="00CB46AC">
        <w:rPr>
          <w:rFonts w:ascii="Aptos" w:hAnsi="Aptos"/>
          <w:color w:val="000000" w:themeColor="text1"/>
        </w:rPr>
        <w:t xml:space="preserve">take </w:t>
      </w:r>
      <w:r w:rsidR="00444E25" w:rsidRPr="00CB46AC">
        <w:rPr>
          <w:rFonts w:ascii="Aptos" w:hAnsi="Aptos"/>
          <w:color w:val="000000" w:themeColor="text1"/>
        </w:rPr>
        <w:t xml:space="preserve">administrative </w:t>
      </w:r>
      <w:r w:rsidRPr="00CB46AC">
        <w:rPr>
          <w:rFonts w:ascii="Aptos" w:hAnsi="Aptos"/>
          <w:color w:val="000000" w:themeColor="text1"/>
        </w:rPr>
        <w:t>notice</w:t>
      </w:r>
      <w:r w:rsidRPr="005C1236">
        <w:rPr>
          <w:rFonts w:ascii="Aptos" w:hAnsi="Aptos"/>
          <w:color w:val="000000" w:themeColor="text1"/>
        </w:rPr>
        <w:t xml:space="preserve"> of Lawrence Public Schools’ Variance Policy</w:t>
      </w:r>
      <w:r w:rsidR="005F3863">
        <w:rPr>
          <w:rFonts w:ascii="Aptos" w:hAnsi="Aptos"/>
          <w:color w:val="000000" w:themeColor="text1"/>
        </w:rPr>
        <w:t>,</w:t>
      </w:r>
      <w:r w:rsidRPr="005C1236">
        <w:rPr>
          <w:rFonts w:ascii="Aptos" w:hAnsi="Aptos"/>
          <w:color w:val="000000" w:themeColor="text1"/>
        </w:rPr>
        <w:t xml:space="preserve"> which states, in relevant part, as follows:</w:t>
      </w:r>
    </w:p>
    <w:p w14:paraId="3DEADE55" w14:textId="13010215" w:rsidR="009257FD" w:rsidRPr="005C1236" w:rsidRDefault="00E86A0D" w:rsidP="007F0EC6">
      <w:pPr>
        <w:tabs>
          <w:tab w:val="left" w:pos="2792"/>
        </w:tabs>
        <w:ind w:left="1440"/>
        <w:rPr>
          <w:rFonts w:ascii="Aptos" w:hAnsi="Aptos"/>
          <w:color w:val="000000" w:themeColor="text1"/>
        </w:rPr>
      </w:pPr>
      <w:r w:rsidRPr="005C1236">
        <w:rPr>
          <w:rFonts w:ascii="Aptos" w:hAnsi="Aptos"/>
          <w:color w:val="000000" w:themeColor="text1"/>
        </w:rPr>
        <w:t>“</w:t>
      </w:r>
      <w:r w:rsidR="009257FD" w:rsidRPr="005C1236">
        <w:rPr>
          <w:rFonts w:ascii="Aptos" w:hAnsi="Aptos"/>
          <w:color w:val="000000" w:themeColor="text1"/>
        </w:rPr>
        <w:t>The school assignment policy for Lawrence Public Schools is centered on neighborhood schools, assigning students to</w:t>
      </w:r>
      <w:r w:rsidRPr="005C1236">
        <w:rPr>
          <w:rFonts w:ascii="Aptos" w:hAnsi="Aptos"/>
          <w:color w:val="000000" w:themeColor="text1"/>
        </w:rPr>
        <w:t xml:space="preserve"> </w:t>
      </w:r>
      <w:r w:rsidR="009257FD" w:rsidRPr="005C1236">
        <w:rPr>
          <w:rFonts w:ascii="Aptos" w:hAnsi="Aptos"/>
          <w:color w:val="000000" w:themeColor="text1"/>
        </w:rPr>
        <w:t>the schools closest to their homes, with minimal exceptions for substantially separate specialized learning programs, or</w:t>
      </w:r>
      <w:r w:rsidRPr="005C1236">
        <w:rPr>
          <w:rFonts w:ascii="Aptos" w:hAnsi="Aptos"/>
          <w:color w:val="000000" w:themeColor="text1"/>
        </w:rPr>
        <w:t xml:space="preserve"> </w:t>
      </w:r>
      <w:r w:rsidR="009257FD" w:rsidRPr="005C1236">
        <w:rPr>
          <w:rFonts w:ascii="Aptos" w:hAnsi="Aptos"/>
          <w:color w:val="000000" w:themeColor="text1"/>
        </w:rPr>
        <w:t>when a school reaches maximum capacity for any grade.</w:t>
      </w:r>
    </w:p>
    <w:p w14:paraId="77960D39" w14:textId="77777777" w:rsidR="00E86A0D" w:rsidRPr="005C1236" w:rsidRDefault="00E86A0D" w:rsidP="007F0EC6">
      <w:pPr>
        <w:tabs>
          <w:tab w:val="left" w:pos="2792"/>
        </w:tabs>
        <w:rPr>
          <w:rFonts w:ascii="Aptos" w:hAnsi="Aptos"/>
          <w:color w:val="000000" w:themeColor="text1"/>
        </w:rPr>
      </w:pPr>
    </w:p>
    <w:p w14:paraId="36D0CB44" w14:textId="3020481E" w:rsidR="009257FD" w:rsidRPr="005C1236" w:rsidRDefault="00E86A0D" w:rsidP="007F0EC6">
      <w:pPr>
        <w:tabs>
          <w:tab w:val="left" w:pos="2792"/>
        </w:tabs>
        <w:ind w:left="1440"/>
        <w:rPr>
          <w:rFonts w:ascii="Aptos" w:hAnsi="Aptos"/>
          <w:color w:val="000000" w:themeColor="text1"/>
        </w:rPr>
      </w:pPr>
      <w:r w:rsidRPr="005C1236">
        <w:rPr>
          <w:rFonts w:ascii="Aptos" w:hAnsi="Aptos"/>
          <w:color w:val="000000" w:themeColor="text1"/>
        </w:rPr>
        <w:t>..</w:t>
      </w:r>
      <w:r w:rsidR="009257FD" w:rsidRPr="005C1236">
        <w:rPr>
          <w:rFonts w:ascii="Aptos" w:hAnsi="Aptos"/>
          <w:color w:val="000000" w:themeColor="text1"/>
        </w:rPr>
        <w:t>.</w:t>
      </w:r>
      <w:r w:rsidRPr="005C1236">
        <w:rPr>
          <w:rFonts w:ascii="Aptos" w:hAnsi="Aptos"/>
          <w:color w:val="000000" w:themeColor="text1"/>
        </w:rPr>
        <w:t xml:space="preserve"> </w:t>
      </w:r>
      <w:r w:rsidR="009257FD" w:rsidRPr="005C1236">
        <w:rPr>
          <w:rFonts w:ascii="Aptos" w:hAnsi="Aptos"/>
          <w:color w:val="000000" w:themeColor="text1"/>
        </w:rPr>
        <w:t>A student must meet one or more of the criteria outlined below:</w:t>
      </w:r>
    </w:p>
    <w:p w14:paraId="032F46A5" w14:textId="405C1306" w:rsidR="009257FD" w:rsidRPr="005C1236" w:rsidRDefault="009257FD" w:rsidP="007F0EC6">
      <w:pPr>
        <w:tabs>
          <w:tab w:val="left" w:pos="2792"/>
        </w:tabs>
        <w:ind w:left="1440"/>
        <w:rPr>
          <w:rFonts w:ascii="Aptos" w:hAnsi="Aptos"/>
          <w:color w:val="000000" w:themeColor="text1"/>
        </w:rPr>
      </w:pPr>
      <w:r w:rsidRPr="005C1236">
        <w:rPr>
          <w:rFonts w:ascii="Aptos" w:hAnsi="Aptos"/>
          <w:color w:val="000000" w:themeColor="text1"/>
        </w:rPr>
        <w:t>1. The student will be entering the last grade of their current elementary or middle school and would benefit</w:t>
      </w:r>
      <w:r w:rsidR="00E86A0D" w:rsidRPr="005C1236">
        <w:rPr>
          <w:rFonts w:ascii="Aptos" w:hAnsi="Aptos"/>
          <w:color w:val="000000" w:themeColor="text1"/>
        </w:rPr>
        <w:t xml:space="preserve"> </w:t>
      </w:r>
      <w:r w:rsidRPr="005C1236">
        <w:rPr>
          <w:rFonts w:ascii="Aptos" w:hAnsi="Aptos"/>
          <w:color w:val="000000" w:themeColor="text1"/>
        </w:rPr>
        <w:t>by remaining for the final year, even though s/he has moved outside of the catchment area for that school;</w:t>
      </w:r>
    </w:p>
    <w:p w14:paraId="27FFD169" w14:textId="28D1CFE0" w:rsidR="009257FD" w:rsidRPr="005C1236" w:rsidRDefault="009257FD" w:rsidP="007F0EC6">
      <w:pPr>
        <w:tabs>
          <w:tab w:val="left" w:pos="2792"/>
        </w:tabs>
        <w:ind w:left="1440"/>
        <w:rPr>
          <w:rFonts w:ascii="Aptos" w:hAnsi="Aptos"/>
          <w:color w:val="000000" w:themeColor="text1"/>
        </w:rPr>
      </w:pPr>
      <w:r w:rsidRPr="005C1236">
        <w:rPr>
          <w:rFonts w:ascii="Aptos" w:hAnsi="Aptos"/>
          <w:color w:val="000000" w:themeColor="text1"/>
        </w:rPr>
        <w:t>2. The student has a sibling who lives in the same household, but attends a different</w:t>
      </w:r>
      <w:r w:rsidR="00E86A0D" w:rsidRPr="005C1236">
        <w:rPr>
          <w:rFonts w:ascii="Aptos" w:hAnsi="Aptos"/>
          <w:color w:val="000000" w:themeColor="text1"/>
        </w:rPr>
        <w:t xml:space="preserve"> </w:t>
      </w:r>
      <w:r w:rsidRPr="005C1236">
        <w:rPr>
          <w:rFonts w:ascii="Aptos" w:hAnsi="Aptos"/>
          <w:color w:val="000000" w:themeColor="text1"/>
        </w:rPr>
        <w:t>school and the parents</w:t>
      </w:r>
      <w:r w:rsidR="00E86A0D" w:rsidRPr="005C1236">
        <w:rPr>
          <w:rFonts w:ascii="Aptos" w:hAnsi="Aptos"/>
          <w:color w:val="000000" w:themeColor="text1"/>
        </w:rPr>
        <w:t xml:space="preserve"> </w:t>
      </w:r>
      <w:r w:rsidRPr="005C1236">
        <w:rPr>
          <w:rFonts w:ascii="Aptos" w:hAnsi="Aptos"/>
          <w:color w:val="000000" w:themeColor="text1"/>
        </w:rPr>
        <w:t>would like the students to be assigned to one location for practical and engagement purposes; and/or</w:t>
      </w:r>
    </w:p>
    <w:p w14:paraId="78FEFD4D" w14:textId="77777777" w:rsidR="00E86A0D" w:rsidRPr="005C1236" w:rsidRDefault="009257FD" w:rsidP="007F0EC6">
      <w:pPr>
        <w:tabs>
          <w:tab w:val="left" w:pos="2792"/>
        </w:tabs>
        <w:ind w:left="1440"/>
        <w:rPr>
          <w:rFonts w:ascii="Aptos" w:hAnsi="Aptos"/>
          <w:color w:val="000000" w:themeColor="text1"/>
        </w:rPr>
      </w:pPr>
      <w:r w:rsidRPr="005C1236">
        <w:rPr>
          <w:rFonts w:ascii="Aptos" w:hAnsi="Aptos"/>
          <w:color w:val="000000" w:themeColor="text1"/>
        </w:rPr>
        <w:t>3. The requested school is physically located closer to the student’s home than the than</w:t>
      </w:r>
      <w:r w:rsidR="00E86A0D" w:rsidRPr="005C1236">
        <w:rPr>
          <w:rFonts w:ascii="Aptos" w:hAnsi="Aptos"/>
          <w:color w:val="000000" w:themeColor="text1"/>
        </w:rPr>
        <w:t xml:space="preserve"> </w:t>
      </w:r>
      <w:r w:rsidRPr="005C1236">
        <w:rPr>
          <w:rFonts w:ascii="Aptos" w:hAnsi="Aptos"/>
          <w:color w:val="000000" w:themeColor="text1"/>
        </w:rPr>
        <w:t>the assigned school, as</w:t>
      </w:r>
      <w:r w:rsidR="00E86A0D" w:rsidRPr="005C1236">
        <w:rPr>
          <w:rFonts w:ascii="Aptos" w:hAnsi="Aptos"/>
          <w:color w:val="000000" w:themeColor="text1"/>
        </w:rPr>
        <w:t xml:space="preserve"> </w:t>
      </w:r>
      <w:r w:rsidRPr="005C1236">
        <w:rPr>
          <w:rFonts w:ascii="Aptos" w:hAnsi="Aptos"/>
          <w:color w:val="000000" w:themeColor="text1"/>
        </w:rPr>
        <w:t>measured by walking distance via an online source such as Google Maps.</w:t>
      </w:r>
    </w:p>
    <w:p w14:paraId="17F67F72" w14:textId="77777777" w:rsidR="00E86A0D" w:rsidRPr="005C1236" w:rsidRDefault="00E86A0D" w:rsidP="007F0EC6">
      <w:pPr>
        <w:tabs>
          <w:tab w:val="left" w:pos="2792"/>
        </w:tabs>
        <w:ind w:left="1440"/>
        <w:rPr>
          <w:rFonts w:ascii="Aptos" w:hAnsi="Aptos"/>
          <w:color w:val="000000" w:themeColor="text1"/>
        </w:rPr>
      </w:pPr>
    </w:p>
    <w:p w14:paraId="3C2B28E7" w14:textId="69485BCC" w:rsidR="009257FD" w:rsidRPr="005C1236" w:rsidRDefault="009257FD" w:rsidP="007F0EC6">
      <w:pPr>
        <w:tabs>
          <w:tab w:val="left" w:pos="2792"/>
        </w:tabs>
        <w:ind w:left="1440"/>
        <w:rPr>
          <w:rFonts w:ascii="Aptos" w:hAnsi="Aptos"/>
          <w:color w:val="000000" w:themeColor="text1"/>
        </w:rPr>
      </w:pPr>
      <w:r w:rsidRPr="005C1236">
        <w:rPr>
          <w:rFonts w:ascii="Aptos" w:hAnsi="Aptos"/>
          <w:color w:val="000000" w:themeColor="text1"/>
        </w:rPr>
        <w:t>Rules for enrollment under a variance:</w:t>
      </w:r>
    </w:p>
    <w:p w14:paraId="7400D03E" w14:textId="44BE5FB8" w:rsidR="009257FD" w:rsidRPr="005C1236" w:rsidRDefault="00E86A0D" w:rsidP="007F0EC6">
      <w:pPr>
        <w:tabs>
          <w:tab w:val="left" w:pos="2792"/>
        </w:tabs>
        <w:ind w:left="1440"/>
        <w:rPr>
          <w:rFonts w:ascii="Aptos" w:hAnsi="Aptos"/>
          <w:color w:val="000000" w:themeColor="text1"/>
        </w:rPr>
      </w:pPr>
      <w:r w:rsidRPr="005C1236">
        <w:rPr>
          <w:rFonts w:ascii="Aptos" w:hAnsi="Aptos"/>
          <w:color w:val="000000" w:themeColor="text1"/>
        </w:rPr>
        <w:t xml:space="preserve">… </w:t>
      </w:r>
      <w:r w:rsidR="009257FD" w:rsidRPr="005C1236">
        <w:rPr>
          <w:rFonts w:ascii="Aptos" w:hAnsi="Aptos"/>
          <w:color w:val="000000" w:themeColor="text1"/>
        </w:rPr>
        <w:t>5. The granting of a variance is</w:t>
      </w:r>
      <w:r w:rsidR="008402FE">
        <w:rPr>
          <w:rFonts w:ascii="Aptos" w:hAnsi="Aptos"/>
          <w:color w:val="000000" w:themeColor="text1"/>
        </w:rPr>
        <w:t xml:space="preserve"> a</w:t>
      </w:r>
      <w:r w:rsidR="009257FD" w:rsidRPr="005C1236">
        <w:rPr>
          <w:rFonts w:ascii="Aptos" w:hAnsi="Aptos"/>
          <w:color w:val="000000" w:themeColor="text1"/>
        </w:rPr>
        <w:t xml:space="preserve"> privilege. As such, it can be revoked and students re-assigned to their</w:t>
      </w:r>
      <w:r w:rsidRPr="005C1236">
        <w:rPr>
          <w:rFonts w:ascii="Aptos" w:hAnsi="Aptos"/>
          <w:color w:val="000000" w:themeColor="text1"/>
        </w:rPr>
        <w:t xml:space="preserve"> </w:t>
      </w:r>
      <w:r w:rsidR="009257FD" w:rsidRPr="005C1236">
        <w:rPr>
          <w:rFonts w:ascii="Aptos" w:hAnsi="Aptos"/>
          <w:color w:val="000000" w:themeColor="text1"/>
        </w:rPr>
        <w:t>neighborhood school at the end of any given marking period if:</w:t>
      </w:r>
    </w:p>
    <w:p w14:paraId="1E54500C" w14:textId="6DCBEF86" w:rsidR="009257FD" w:rsidRPr="005C1236" w:rsidRDefault="009257FD" w:rsidP="007F0EC6">
      <w:pPr>
        <w:tabs>
          <w:tab w:val="left" w:pos="2792"/>
        </w:tabs>
        <w:ind w:left="2880"/>
        <w:rPr>
          <w:rFonts w:ascii="Aptos" w:hAnsi="Aptos"/>
          <w:color w:val="000000" w:themeColor="text1"/>
        </w:rPr>
      </w:pPr>
      <w:r w:rsidRPr="005C1236">
        <w:rPr>
          <w:rFonts w:ascii="Aptos" w:hAnsi="Aptos"/>
          <w:color w:val="000000" w:themeColor="text1"/>
        </w:rPr>
        <w:t>a. A student’s attendance in school falls below Massachusetts’ definition of Chronic</w:t>
      </w:r>
      <w:r w:rsidR="00E86A0D" w:rsidRPr="005C1236">
        <w:rPr>
          <w:rFonts w:ascii="Aptos" w:hAnsi="Aptos"/>
          <w:color w:val="000000" w:themeColor="text1"/>
        </w:rPr>
        <w:t xml:space="preserve"> </w:t>
      </w:r>
      <w:r w:rsidRPr="005C1236">
        <w:rPr>
          <w:rFonts w:ascii="Aptos" w:hAnsi="Aptos"/>
          <w:color w:val="000000" w:themeColor="text1"/>
        </w:rPr>
        <w:t>Absenteeism of at</w:t>
      </w:r>
      <w:r w:rsidR="00E86A0D" w:rsidRPr="005C1236">
        <w:rPr>
          <w:rFonts w:ascii="Aptos" w:hAnsi="Aptos"/>
          <w:color w:val="000000" w:themeColor="text1"/>
        </w:rPr>
        <w:t xml:space="preserve"> </w:t>
      </w:r>
      <w:r w:rsidRPr="005C1236">
        <w:rPr>
          <w:rFonts w:ascii="Aptos" w:hAnsi="Aptos"/>
          <w:color w:val="000000" w:themeColor="text1"/>
        </w:rPr>
        <w:t>least</w:t>
      </w:r>
      <w:r w:rsidR="00E86A0D" w:rsidRPr="005C1236">
        <w:rPr>
          <w:rFonts w:ascii="Aptos" w:hAnsi="Aptos"/>
          <w:color w:val="000000" w:themeColor="text1"/>
        </w:rPr>
        <w:t xml:space="preserve"> </w:t>
      </w:r>
      <w:r w:rsidRPr="005C1236">
        <w:rPr>
          <w:rFonts w:ascii="Aptos" w:hAnsi="Aptos"/>
          <w:color w:val="000000" w:themeColor="text1"/>
        </w:rPr>
        <w:t>10% of days enrolled (e.g., 18 days absent if enrolled for 180)**</w:t>
      </w:r>
    </w:p>
    <w:p w14:paraId="238FA7BD" w14:textId="30EDC034" w:rsidR="009257FD" w:rsidRPr="005C1236" w:rsidRDefault="009257FD" w:rsidP="007F0EC6">
      <w:pPr>
        <w:tabs>
          <w:tab w:val="left" w:pos="2792"/>
        </w:tabs>
        <w:ind w:left="2880"/>
        <w:rPr>
          <w:rFonts w:ascii="Aptos" w:hAnsi="Aptos"/>
          <w:color w:val="000000" w:themeColor="text1"/>
        </w:rPr>
      </w:pPr>
      <w:r w:rsidRPr="005C1236">
        <w:rPr>
          <w:rFonts w:ascii="Aptos" w:hAnsi="Aptos"/>
          <w:color w:val="000000" w:themeColor="text1"/>
        </w:rPr>
        <w:t>b. A student receives out of school suspension for a total of five or more cumulative days.</w:t>
      </w:r>
    </w:p>
    <w:p w14:paraId="414C85FD" w14:textId="49AF3F47" w:rsidR="009257FD" w:rsidRPr="005C1236" w:rsidRDefault="009257FD" w:rsidP="007F0EC6">
      <w:pPr>
        <w:tabs>
          <w:tab w:val="left" w:pos="2792"/>
        </w:tabs>
        <w:ind w:left="1440"/>
        <w:rPr>
          <w:rFonts w:ascii="Aptos" w:hAnsi="Aptos"/>
          <w:color w:val="000000" w:themeColor="text1"/>
        </w:rPr>
      </w:pPr>
      <w:r w:rsidRPr="005C1236">
        <w:rPr>
          <w:rFonts w:ascii="Aptos" w:hAnsi="Aptos"/>
          <w:color w:val="000000" w:themeColor="text1"/>
        </w:rPr>
        <w:t>6. Requests will not be denied based on academic performance, special needs, or ELL status, provided the school</w:t>
      </w:r>
      <w:r w:rsidR="00E86A0D" w:rsidRPr="005C1236">
        <w:rPr>
          <w:rFonts w:ascii="Aptos" w:hAnsi="Aptos"/>
          <w:color w:val="000000" w:themeColor="text1"/>
        </w:rPr>
        <w:t xml:space="preserve"> </w:t>
      </w:r>
      <w:r w:rsidRPr="005C1236">
        <w:rPr>
          <w:rFonts w:ascii="Aptos" w:hAnsi="Aptos"/>
          <w:color w:val="000000" w:themeColor="text1"/>
        </w:rPr>
        <w:t>(or program) can meet any mandated requirements. Schools are not required to establish services to meet the</w:t>
      </w:r>
      <w:r w:rsidR="00E86A0D" w:rsidRPr="005C1236">
        <w:rPr>
          <w:rFonts w:ascii="Aptos" w:hAnsi="Aptos"/>
          <w:color w:val="000000" w:themeColor="text1"/>
        </w:rPr>
        <w:t xml:space="preserve"> </w:t>
      </w:r>
      <w:r w:rsidRPr="005C1236">
        <w:rPr>
          <w:rFonts w:ascii="Aptos" w:hAnsi="Aptos"/>
          <w:color w:val="000000" w:themeColor="text1"/>
        </w:rPr>
        <w:t>needs of students requesting variances.</w:t>
      </w:r>
    </w:p>
    <w:p w14:paraId="485B7861" w14:textId="77777777" w:rsidR="00C02A63" w:rsidRDefault="00C02A63" w:rsidP="007F0EC6">
      <w:pPr>
        <w:pStyle w:val="Default"/>
        <w:ind w:left="1440"/>
        <w:rPr>
          <w:rFonts w:ascii="Aptos" w:hAnsi="Aptos" w:cs="Times New Roman"/>
          <w:bCs/>
          <w:color w:val="000000" w:themeColor="text1"/>
        </w:rPr>
      </w:pPr>
    </w:p>
    <w:p w14:paraId="5231B312" w14:textId="736016E6" w:rsidR="000E1DD8" w:rsidRPr="005C1236" w:rsidRDefault="00813AAA" w:rsidP="007F0EC6">
      <w:pPr>
        <w:pStyle w:val="Default"/>
        <w:ind w:left="1440"/>
        <w:rPr>
          <w:rFonts w:ascii="Aptos" w:hAnsi="Aptos" w:cs="Times New Roman"/>
          <w:bCs/>
          <w:color w:val="000000" w:themeColor="text1"/>
        </w:rPr>
      </w:pPr>
      <w:r w:rsidRPr="005C1236">
        <w:rPr>
          <w:rFonts w:ascii="Aptos" w:hAnsi="Aptos" w:cs="Times New Roman"/>
          <w:bCs/>
          <w:color w:val="000000" w:themeColor="text1"/>
        </w:rPr>
        <w:t>*Absences due to significant illness, when documented by a physician’s note, will be reviewed by the</w:t>
      </w:r>
      <w:r w:rsidR="00E86A0D" w:rsidRPr="005C1236">
        <w:rPr>
          <w:rFonts w:ascii="Aptos" w:hAnsi="Aptos" w:cs="Times New Roman"/>
          <w:bCs/>
          <w:color w:val="000000" w:themeColor="text1"/>
        </w:rPr>
        <w:t xml:space="preserve"> </w:t>
      </w:r>
      <w:r w:rsidRPr="005C1236">
        <w:rPr>
          <w:rFonts w:ascii="Aptos" w:hAnsi="Aptos" w:cs="Times New Roman"/>
          <w:bCs/>
          <w:color w:val="000000" w:themeColor="text1"/>
        </w:rPr>
        <w:t>principal on a case by case basis.</w:t>
      </w:r>
      <w:r w:rsidR="00E86A0D" w:rsidRPr="005C1236">
        <w:rPr>
          <w:rFonts w:ascii="Aptos" w:hAnsi="Aptos" w:cs="Times New Roman"/>
          <w:bCs/>
          <w:color w:val="000000" w:themeColor="text1"/>
        </w:rPr>
        <w:t>”</w:t>
      </w:r>
    </w:p>
    <w:p w14:paraId="79A84A95" w14:textId="77777777" w:rsidR="00813AAA" w:rsidRPr="005C1236" w:rsidRDefault="00813AAA" w:rsidP="007F0EC6">
      <w:pPr>
        <w:pStyle w:val="Default"/>
        <w:rPr>
          <w:rFonts w:ascii="Aptos" w:hAnsi="Aptos" w:cs="Times New Roman"/>
          <w:bCs/>
          <w:color w:val="000000" w:themeColor="text1"/>
        </w:rPr>
      </w:pPr>
    </w:p>
    <w:p w14:paraId="70BBEC5C" w14:textId="6A9FCC36" w:rsidR="003B262F" w:rsidRPr="00380594" w:rsidRDefault="008B1AC9" w:rsidP="007F0EC6">
      <w:pPr>
        <w:pStyle w:val="Default"/>
        <w:numPr>
          <w:ilvl w:val="1"/>
          <w:numId w:val="14"/>
        </w:numPr>
        <w:rPr>
          <w:rFonts w:ascii="Aptos" w:hAnsi="Aptos" w:cs="Times New Roman"/>
          <w:bCs/>
          <w:color w:val="000000" w:themeColor="text1"/>
          <w:u w:val="single"/>
        </w:rPr>
      </w:pPr>
      <w:r w:rsidRPr="00380594">
        <w:rPr>
          <w:rFonts w:ascii="Aptos" w:hAnsi="Aptos" w:cs="Times New Roman"/>
          <w:bCs/>
          <w:color w:val="000000" w:themeColor="text1"/>
          <w:u w:val="single"/>
        </w:rPr>
        <w:t>Application of Legal Standards</w:t>
      </w:r>
      <w:r w:rsidR="00380594">
        <w:rPr>
          <w:rFonts w:ascii="Aptos" w:hAnsi="Aptos" w:cs="Times New Roman"/>
          <w:bCs/>
          <w:color w:val="000000" w:themeColor="text1"/>
          <w:u w:val="single"/>
        </w:rPr>
        <w:t>:</w:t>
      </w:r>
      <w:r w:rsidRPr="00380594">
        <w:rPr>
          <w:rFonts w:ascii="Aptos" w:hAnsi="Aptos" w:cs="Times New Roman"/>
          <w:bCs/>
          <w:color w:val="000000" w:themeColor="text1"/>
          <w:u w:val="single"/>
        </w:rPr>
        <w:t xml:space="preserve">  </w:t>
      </w:r>
    </w:p>
    <w:p w14:paraId="221BFA94" w14:textId="27CC19FF" w:rsidR="00281099" w:rsidRPr="00281099" w:rsidRDefault="00281099" w:rsidP="007F0EC6">
      <w:pPr>
        <w:autoSpaceDE w:val="0"/>
        <w:autoSpaceDN w:val="0"/>
        <w:adjustRightInd w:val="0"/>
        <w:rPr>
          <w:rFonts w:ascii="Aptos" w:hAnsi="Aptos"/>
          <w:color w:val="000000" w:themeColor="text1"/>
        </w:rPr>
      </w:pPr>
    </w:p>
    <w:p w14:paraId="4627261E" w14:textId="66EE722B" w:rsidR="00B170C4" w:rsidRPr="009A18D6" w:rsidRDefault="00574372" w:rsidP="00B170C4">
      <w:pPr>
        <w:pStyle w:val="ListParagraph"/>
        <w:numPr>
          <w:ilvl w:val="0"/>
          <w:numId w:val="35"/>
        </w:numPr>
        <w:autoSpaceDE w:val="0"/>
        <w:autoSpaceDN w:val="0"/>
        <w:adjustRightInd w:val="0"/>
        <w:rPr>
          <w:rFonts w:ascii="Aptos" w:hAnsi="Aptos"/>
          <w:color w:val="000000" w:themeColor="text1"/>
          <w:u w:val="single"/>
        </w:rPr>
      </w:pPr>
      <w:r w:rsidRPr="009A18D6">
        <w:rPr>
          <w:rFonts w:ascii="Aptos" w:hAnsi="Aptos"/>
          <w:color w:val="000000" w:themeColor="text1"/>
          <w:u w:val="single"/>
        </w:rPr>
        <w:t>Motion for Stay Put is DENIED.</w:t>
      </w:r>
    </w:p>
    <w:p w14:paraId="3BEB7044" w14:textId="77777777" w:rsidR="00574372" w:rsidRPr="00B170C4" w:rsidRDefault="00574372" w:rsidP="00574372">
      <w:pPr>
        <w:pStyle w:val="ListParagraph"/>
        <w:autoSpaceDE w:val="0"/>
        <w:autoSpaceDN w:val="0"/>
        <w:adjustRightInd w:val="0"/>
        <w:rPr>
          <w:rFonts w:ascii="Aptos" w:hAnsi="Aptos"/>
          <w:color w:val="000000" w:themeColor="text1"/>
        </w:rPr>
      </w:pPr>
    </w:p>
    <w:p w14:paraId="614A7A8B" w14:textId="5F32017A" w:rsidR="00087DCB" w:rsidRPr="00281099" w:rsidRDefault="00281099" w:rsidP="00087DCB">
      <w:pPr>
        <w:autoSpaceDE w:val="0"/>
        <w:autoSpaceDN w:val="0"/>
        <w:adjustRightInd w:val="0"/>
        <w:rPr>
          <w:rFonts w:ascii="Aptos" w:hAnsi="Aptos"/>
          <w:color w:val="000000" w:themeColor="text1"/>
        </w:rPr>
      </w:pPr>
      <w:r w:rsidRPr="00281099">
        <w:rPr>
          <w:rFonts w:ascii="Aptos" w:hAnsi="Aptos"/>
          <w:color w:val="000000" w:themeColor="text1"/>
        </w:rPr>
        <w:t xml:space="preserve">The threshold issue is whether the </w:t>
      </w:r>
      <w:r w:rsidR="00A618D9">
        <w:rPr>
          <w:rFonts w:ascii="Aptos" w:hAnsi="Aptos"/>
          <w:color w:val="000000" w:themeColor="text1"/>
        </w:rPr>
        <w:t xml:space="preserve">District’s </w:t>
      </w:r>
      <w:r w:rsidR="00A5701B">
        <w:rPr>
          <w:rFonts w:ascii="Aptos" w:hAnsi="Aptos"/>
          <w:color w:val="000000" w:themeColor="text1"/>
        </w:rPr>
        <w:t>revocation of the variance is a unilateral</w:t>
      </w:r>
      <w:r w:rsidRPr="00281099">
        <w:rPr>
          <w:rFonts w:ascii="Aptos" w:hAnsi="Aptos"/>
          <w:color w:val="000000" w:themeColor="text1"/>
        </w:rPr>
        <w:t xml:space="preserve"> change in placement sufficient to trigger Student’s stay</w:t>
      </w:r>
      <w:r w:rsidR="007B089A">
        <w:rPr>
          <w:rFonts w:ascii="Aptos" w:hAnsi="Aptos"/>
          <w:color w:val="000000" w:themeColor="text1"/>
        </w:rPr>
        <w:t xml:space="preserve"> </w:t>
      </w:r>
      <w:r w:rsidRPr="00281099">
        <w:rPr>
          <w:rFonts w:ascii="Aptos" w:hAnsi="Aptos"/>
          <w:color w:val="000000" w:themeColor="text1"/>
        </w:rPr>
        <w:t xml:space="preserve">put rights. </w:t>
      </w:r>
      <w:r w:rsidR="00087DCB">
        <w:rPr>
          <w:rFonts w:ascii="Aptos" w:hAnsi="Aptos"/>
          <w:color w:val="000000" w:themeColor="text1"/>
        </w:rPr>
        <w:t xml:space="preserve">The first step in this analysis is to identify Student’s “then current” placement at the time when the dispute </w:t>
      </w:r>
      <w:r w:rsidR="00087DCB">
        <w:rPr>
          <w:rFonts w:ascii="Aptos" w:hAnsi="Aptos"/>
          <w:color w:val="000000" w:themeColor="text1"/>
        </w:rPr>
        <w:lastRenderedPageBreak/>
        <w:t>arose.</w:t>
      </w:r>
      <w:r w:rsidR="001D6C04">
        <w:rPr>
          <w:rStyle w:val="FootnoteReference"/>
          <w:rFonts w:ascii="Aptos" w:hAnsi="Aptos"/>
          <w:color w:val="000000" w:themeColor="text1"/>
        </w:rPr>
        <w:footnoteReference w:id="35"/>
      </w:r>
      <w:r w:rsidR="00087DCB">
        <w:rPr>
          <w:rFonts w:ascii="Aptos" w:hAnsi="Aptos"/>
          <w:color w:val="000000" w:themeColor="text1"/>
        </w:rPr>
        <w:t xml:space="preserve"> </w:t>
      </w:r>
      <w:r w:rsidR="00087DCB" w:rsidRPr="00281099">
        <w:rPr>
          <w:rFonts w:ascii="Aptos" w:hAnsi="Aptos"/>
          <w:color w:val="000000" w:themeColor="text1"/>
        </w:rPr>
        <w:t>The United States Court of Appeals for the First Circuit defines “then-current placement” as “the last placement that the parents and the educational authority agreed to be appropriate.”</w:t>
      </w:r>
      <w:r w:rsidR="00087DCB">
        <w:rPr>
          <w:rStyle w:val="FootnoteReference"/>
          <w:rFonts w:ascii="Aptos" w:hAnsi="Aptos"/>
          <w:color w:val="000000" w:themeColor="text1"/>
        </w:rPr>
        <w:footnoteReference w:id="36"/>
      </w:r>
      <w:r w:rsidR="00087DCB">
        <w:rPr>
          <w:rFonts w:ascii="Aptos" w:hAnsi="Aptos"/>
          <w:color w:val="000000" w:themeColor="text1"/>
        </w:rPr>
        <w:t xml:space="preserve"> </w:t>
      </w:r>
      <w:r w:rsidR="00087DCB" w:rsidRPr="00C02A63">
        <w:rPr>
          <w:rFonts w:ascii="Aptos" w:hAnsi="Aptos"/>
          <w:color w:val="000000" w:themeColor="text1"/>
        </w:rPr>
        <w:t> </w:t>
      </w:r>
      <w:r w:rsidR="00E456CD">
        <w:rPr>
          <w:rFonts w:ascii="Aptos" w:hAnsi="Aptos"/>
          <w:color w:val="000000" w:themeColor="text1"/>
        </w:rPr>
        <w:t xml:space="preserve">Here, </w:t>
      </w:r>
      <w:r w:rsidR="007E3ED8">
        <w:rPr>
          <w:rFonts w:ascii="Aptos" w:hAnsi="Aptos"/>
          <w:color w:val="000000" w:themeColor="text1"/>
        </w:rPr>
        <w:t xml:space="preserve">the team had agreed that Student’s </w:t>
      </w:r>
      <w:r w:rsidR="0040169A">
        <w:rPr>
          <w:rFonts w:ascii="Aptos" w:hAnsi="Aptos"/>
          <w:color w:val="000000" w:themeColor="text1"/>
        </w:rPr>
        <w:t xml:space="preserve">needs could be met in a partial inclusion placement within the Lawrence Public </w:t>
      </w:r>
      <w:r w:rsidR="0040169A" w:rsidRPr="00CB46AC">
        <w:rPr>
          <w:rFonts w:ascii="Aptos" w:hAnsi="Aptos"/>
          <w:color w:val="000000" w:themeColor="text1"/>
        </w:rPr>
        <w:t>School</w:t>
      </w:r>
      <w:r w:rsidR="00444E25" w:rsidRPr="00CB46AC">
        <w:rPr>
          <w:rFonts w:ascii="Aptos" w:hAnsi="Aptos"/>
          <w:color w:val="000000" w:themeColor="text1"/>
        </w:rPr>
        <w:t>s</w:t>
      </w:r>
      <w:r w:rsidR="0040169A" w:rsidRPr="00CB46AC">
        <w:rPr>
          <w:rFonts w:ascii="Aptos" w:hAnsi="Aptos"/>
          <w:color w:val="000000" w:themeColor="text1"/>
        </w:rPr>
        <w:t>.</w:t>
      </w:r>
      <w:r w:rsidR="0040169A">
        <w:rPr>
          <w:rFonts w:ascii="Aptos" w:hAnsi="Aptos"/>
          <w:color w:val="000000" w:themeColor="text1"/>
        </w:rPr>
        <w:t xml:space="preserve"> E</w:t>
      </w:r>
      <w:r w:rsidR="00087DCB" w:rsidRPr="00281099">
        <w:rPr>
          <w:rFonts w:ascii="Aptos" w:hAnsi="Aptos"/>
          <w:color w:val="000000" w:themeColor="text1"/>
        </w:rPr>
        <w:t>ven accepting Parent’s allegations as true and drawing all reasonable inferences in her favor,</w:t>
      </w:r>
      <w:r w:rsidR="00087DCB" w:rsidRPr="00993A64">
        <w:rPr>
          <w:rStyle w:val="FootnoteReference"/>
          <w:rFonts w:ascii="Aptos" w:hAnsi="Aptos" w:cs="Apple Chancery"/>
          <w:color w:val="000000" w:themeColor="text1"/>
        </w:rPr>
        <w:t xml:space="preserve"> </w:t>
      </w:r>
      <w:r w:rsidR="00087DCB" w:rsidRPr="005C1236">
        <w:rPr>
          <w:rStyle w:val="FootnoteReference"/>
          <w:rFonts w:ascii="Aptos" w:hAnsi="Aptos" w:cs="Apple Chancery"/>
          <w:color w:val="000000" w:themeColor="text1"/>
        </w:rPr>
        <w:footnoteReference w:id="37"/>
      </w:r>
      <w:r w:rsidR="00087DCB" w:rsidRPr="00281099">
        <w:rPr>
          <w:rFonts w:ascii="Aptos" w:hAnsi="Aptos"/>
          <w:color w:val="000000" w:themeColor="text1"/>
        </w:rPr>
        <w:t xml:space="preserve"> I cannot </w:t>
      </w:r>
      <w:r w:rsidR="00E456CD">
        <w:rPr>
          <w:rFonts w:ascii="Aptos" w:hAnsi="Aptos"/>
          <w:color w:val="000000" w:themeColor="text1"/>
        </w:rPr>
        <w:t>find</w:t>
      </w:r>
      <w:r w:rsidR="00087DCB" w:rsidRPr="00281099">
        <w:rPr>
          <w:rFonts w:ascii="Aptos" w:hAnsi="Aptos"/>
          <w:color w:val="000000" w:themeColor="text1"/>
        </w:rPr>
        <w:t xml:space="preserve"> that Student’s then-current placement is Parthum Middle School</w:t>
      </w:r>
      <w:r w:rsidR="00FA50F3">
        <w:rPr>
          <w:rFonts w:ascii="Aptos" w:hAnsi="Aptos"/>
          <w:color w:val="000000" w:themeColor="text1"/>
        </w:rPr>
        <w:t xml:space="preserve"> as it was not the placement</w:t>
      </w:r>
      <w:r w:rsidR="00087DCB" w:rsidRPr="00281099">
        <w:rPr>
          <w:rFonts w:ascii="Aptos" w:hAnsi="Aptos"/>
          <w:color w:val="000000" w:themeColor="text1"/>
        </w:rPr>
        <w:t xml:space="preserve"> </w:t>
      </w:r>
      <w:r w:rsidR="00087DCB">
        <w:rPr>
          <w:rFonts w:ascii="Aptos" w:hAnsi="Aptos"/>
          <w:color w:val="000000" w:themeColor="text1"/>
        </w:rPr>
        <w:t xml:space="preserve">“agreed to be appropriate” or </w:t>
      </w:r>
      <w:r w:rsidR="00087DCB" w:rsidRPr="00281099">
        <w:rPr>
          <w:rFonts w:ascii="Aptos" w:hAnsi="Aptos"/>
          <w:color w:val="000000" w:themeColor="text1"/>
        </w:rPr>
        <w:t>selected by the IEP Team; rather, Student’s attendance there resulted from a variance</w:t>
      </w:r>
      <w:r w:rsidR="00087DCB">
        <w:rPr>
          <w:rFonts w:ascii="Aptos" w:hAnsi="Aptos"/>
          <w:color w:val="000000" w:themeColor="text1"/>
        </w:rPr>
        <w:t xml:space="preserve"> that was independent of Student’s special </w:t>
      </w:r>
      <w:r w:rsidR="002E28BB">
        <w:rPr>
          <w:rFonts w:ascii="Aptos" w:hAnsi="Aptos"/>
          <w:color w:val="000000" w:themeColor="text1"/>
        </w:rPr>
        <w:t xml:space="preserve">education </w:t>
      </w:r>
      <w:r w:rsidR="00087DCB">
        <w:rPr>
          <w:rFonts w:ascii="Aptos" w:hAnsi="Aptos"/>
          <w:color w:val="000000" w:themeColor="text1"/>
        </w:rPr>
        <w:t>needs.</w:t>
      </w:r>
      <w:r w:rsidR="000C7552" w:rsidRPr="000C7552">
        <w:rPr>
          <w:rStyle w:val="FootnoteReference"/>
          <w:rFonts w:ascii="Aptos" w:hAnsi="Aptos"/>
          <w:color w:val="000000" w:themeColor="text1"/>
        </w:rPr>
        <w:t xml:space="preserve"> </w:t>
      </w:r>
      <w:r w:rsidR="00B861C6">
        <w:rPr>
          <w:rFonts w:ascii="Aptos" w:hAnsi="Aptos"/>
          <w:color w:val="000000" w:themeColor="text1"/>
        </w:rPr>
        <w:t>In other words, the District and Parent did not agree</w:t>
      </w:r>
      <w:r w:rsidR="00B861C6" w:rsidRPr="00281099">
        <w:rPr>
          <w:rFonts w:ascii="Aptos" w:hAnsi="Aptos"/>
          <w:color w:val="000000" w:themeColor="text1"/>
        </w:rPr>
        <w:t xml:space="preserve"> </w:t>
      </w:r>
      <w:r w:rsidR="00B861C6">
        <w:rPr>
          <w:rFonts w:ascii="Aptos" w:hAnsi="Aptos"/>
          <w:color w:val="000000" w:themeColor="text1"/>
        </w:rPr>
        <w:t xml:space="preserve">that </w:t>
      </w:r>
      <w:r w:rsidR="00B861C6" w:rsidRPr="00281099">
        <w:rPr>
          <w:rFonts w:ascii="Aptos" w:hAnsi="Aptos"/>
          <w:color w:val="000000" w:themeColor="text1"/>
        </w:rPr>
        <w:t>Student’s disability-related needs require</w:t>
      </w:r>
      <w:r w:rsidR="00B861C6">
        <w:rPr>
          <w:rFonts w:ascii="Aptos" w:hAnsi="Aptos"/>
          <w:color w:val="000000" w:themeColor="text1"/>
        </w:rPr>
        <w:t>d</w:t>
      </w:r>
      <w:r w:rsidR="00B861C6" w:rsidRPr="00281099">
        <w:rPr>
          <w:rFonts w:ascii="Aptos" w:hAnsi="Aptos"/>
          <w:color w:val="000000" w:themeColor="text1"/>
        </w:rPr>
        <w:t xml:space="preserve"> placement outside the neighborhood school</w:t>
      </w:r>
      <w:r w:rsidR="008E2ECA">
        <w:rPr>
          <w:rFonts w:ascii="Aptos" w:hAnsi="Aptos"/>
          <w:color w:val="000000" w:themeColor="text1"/>
        </w:rPr>
        <w:t xml:space="preserve"> specifically at Parthum </w:t>
      </w:r>
      <w:r w:rsidR="00B861C6">
        <w:rPr>
          <w:rFonts w:ascii="Aptos" w:hAnsi="Aptos"/>
          <w:color w:val="000000" w:themeColor="text1"/>
        </w:rPr>
        <w:t>.</w:t>
      </w:r>
      <w:r w:rsidR="000835ED" w:rsidRPr="000835ED">
        <w:rPr>
          <w:rStyle w:val="FootnoteReference"/>
          <w:rFonts w:ascii="Aptos" w:hAnsi="Aptos"/>
          <w:color w:val="000000" w:themeColor="text1"/>
        </w:rPr>
        <w:t xml:space="preserve"> </w:t>
      </w:r>
      <w:r w:rsidR="000835ED">
        <w:rPr>
          <w:rFonts w:ascii="Aptos" w:hAnsi="Aptos"/>
          <w:color w:val="000000" w:themeColor="text1"/>
        </w:rPr>
        <w:t xml:space="preserve"> </w:t>
      </w:r>
      <w:r w:rsidR="00FE4389">
        <w:rPr>
          <w:rFonts w:ascii="Aptos" w:hAnsi="Aptos"/>
          <w:color w:val="000000" w:themeColor="text1"/>
        </w:rPr>
        <w:t>Rather, i</w:t>
      </w:r>
      <w:r w:rsidR="000835ED">
        <w:rPr>
          <w:rFonts w:ascii="Aptos" w:hAnsi="Aptos"/>
          <w:color w:val="000000" w:themeColor="text1"/>
        </w:rPr>
        <w:t>t was Parent’s disability that necessitated Student’s attendance at a non-neighborhood school.</w:t>
      </w:r>
      <w:r w:rsidR="000835ED" w:rsidRPr="005C1236">
        <w:rPr>
          <w:rStyle w:val="FootnoteReference"/>
          <w:rFonts w:ascii="Aptos" w:hAnsi="Aptos"/>
          <w:color w:val="000000" w:themeColor="text1"/>
        </w:rPr>
        <w:footnoteReference w:id="38"/>
      </w:r>
      <w:r w:rsidR="002D34B8">
        <w:rPr>
          <w:rFonts w:ascii="Aptos" w:hAnsi="Aptos"/>
          <w:color w:val="000000" w:themeColor="text1"/>
        </w:rPr>
        <w:t xml:space="preserve"> </w:t>
      </w:r>
    </w:p>
    <w:p w14:paraId="25A5C900" w14:textId="77777777" w:rsidR="00731AF7" w:rsidRDefault="00731AF7" w:rsidP="007F0EC6">
      <w:pPr>
        <w:autoSpaceDE w:val="0"/>
        <w:autoSpaceDN w:val="0"/>
        <w:adjustRightInd w:val="0"/>
        <w:rPr>
          <w:rFonts w:ascii="Aptos" w:hAnsi="Aptos"/>
          <w:color w:val="000000" w:themeColor="text1"/>
        </w:rPr>
      </w:pPr>
    </w:p>
    <w:p w14:paraId="4A431DD1" w14:textId="5E32541D" w:rsidR="00134EED" w:rsidRDefault="002922A6" w:rsidP="00944538">
      <w:pPr>
        <w:autoSpaceDE w:val="0"/>
        <w:autoSpaceDN w:val="0"/>
        <w:adjustRightInd w:val="0"/>
        <w:rPr>
          <w:rFonts w:ascii="Aptos" w:hAnsi="Aptos"/>
          <w:color w:val="000000" w:themeColor="text1"/>
        </w:rPr>
      </w:pPr>
      <w:r>
        <w:rPr>
          <w:rFonts w:ascii="Aptos" w:hAnsi="Aptos"/>
          <w:color w:val="000000" w:themeColor="text1"/>
        </w:rPr>
        <w:t>In addition, i</w:t>
      </w:r>
      <w:r w:rsidRPr="00281099">
        <w:rPr>
          <w:rFonts w:ascii="Aptos" w:hAnsi="Aptos"/>
          <w:color w:val="000000" w:themeColor="text1"/>
        </w:rPr>
        <w:t>t is well established that a physical location, standing alone, does not constitute an educational placement</w:t>
      </w:r>
      <w:r>
        <w:rPr>
          <w:rFonts w:ascii="Aptos" w:hAnsi="Aptos"/>
          <w:color w:val="000000" w:themeColor="text1"/>
        </w:rPr>
        <w:t>;</w:t>
      </w:r>
      <w:r w:rsidRPr="00281099">
        <w:rPr>
          <w:rFonts w:ascii="Aptos" w:hAnsi="Aptos"/>
          <w:color w:val="000000" w:themeColor="text1"/>
        </w:rPr>
        <w:t xml:space="preserve"> </w:t>
      </w:r>
      <w:r>
        <w:rPr>
          <w:rFonts w:ascii="Aptos" w:hAnsi="Aptos"/>
          <w:color w:val="000000" w:themeColor="text1"/>
        </w:rPr>
        <w:t xml:space="preserve"> rather, a</w:t>
      </w:r>
      <w:r w:rsidRPr="00281099">
        <w:rPr>
          <w:rFonts w:ascii="Aptos" w:hAnsi="Aptos"/>
          <w:color w:val="000000" w:themeColor="text1"/>
        </w:rPr>
        <w:t>n educational placement is defined by the services and instruction set forth in the student’s IEP.</w:t>
      </w:r>
      <w:r w:rsidRPr="007B4CD3">
        <w:rPr>
          <w:rStyle w:val="FootnoteReference"/>
          <w:rFonts w:ascii="Aptos" w:hAnsi="Aptos"/>
          <w:color w:val="000000" w:themeColor="text1"/>
        </w:rPr>
        <w:t xml:space="preserve"> </w:t>
      </w:r>
      <w:r w:rsidRPr="005C1236">
        <w:rPr>
          <w:rStyle w:val="FootnoteReference"/>
          <w:rFonts w:ascii="Aptos" w:hAnsi="Aptos"/>
          <w:color w:val="000000" w:themeColor="text1"/>
        </w:rPr>
        <w:footnoteReference w:id="39"/>
      </w:r>
      <w:r>
        <w:rPr>
          <w:rFonts w:ascii="Aptos" w:hAnsi="Aptos"/>
          <w:color w:val="000000" w:themeColor="text1"/>
        </w:rPr>
        <w:t xml:space="preserve"> </w:t>
      </w:r>
      <w:r w:rsidRPr="00281099">
        <w:rPr>
          <w:rFonts w:ascii="Aptos" w:hAnsi="Aptos"/>
          <w:color w:val="000000" w:themeColor="text1"/>
        </w:rPr>
        <w:t xml:space="preserve"> </w:t>
      </w:r>
      <w:r w:rsidR="00581705">
        <w:rPr>
          <w:rFonts w:ascii="Aptos" w:hAnsi="Aptos"/>
          <w:color w:val="000000" w:themeColor="text1"/>
        </w:rPr>
        <w:t>Here</w:t>
      </w:r>
      <w:r w:rsidR="00F9311B">
        <w:rPr>
          <w:rFonts w:ascii="Aptos" w:hAnsi="Aptos"/>
          <w:color w:val="000000" w:themeColor="text1"/>
        </w:rPr>
        <w:t>, the services delineated in Student’s partial inclusion IEP</w:t>
      </w:r>
      <w:r w:rsidR="00B6648B">
        <w:rPr>
          <w:rStyle w:val="FootnoteReference"/>
          <w:rFonts w:ascii="Aptos" w:hAnsi="Aptos"/>
          <w:color w:val="000000" w:themeColor="text1"/>
        </w:rPr>
        <w:footnoteReference w:id="40"/>
      </w:r>
      <w:r w:rsidR="00215159">
        <w:rPr>
          <w:rFonts w:ascii="Aptos" w:hAnsi="Aptos"/>
          <w:color w:val="000000" w:themeColor="text1"/>
        </w:rPr>
        <w:t xml:space="preserve"> </w:t>
      </w:r>
      <w:r w:rsidR="00671657">
        <w:rPr>
          <w:rFonts w:ascii="Aptos" w:hAnsi="Aptos"/>
          <w:color w:val="000000" w:themeColor="text1"/>
        </w:rPr>
        <w:t xml:space="preserve">can be implemented in any middle school </w:t>
      </w:r>
      <w:r w:rsidR="00A60413">
        <w:rPr>
          <w:rFonts w:ascii="Aptos" w:hAnsi="Aptos"/>
          <w:color w:val="000000" w:themeColor="text1"/>
        </w:rPr>
        <w:t>with</w:t>
      </w:r>
      <w:r w:rsidR="00671657">
        <w:rPr>
          <w:rFonts w:ascii="Aptos" w:hAnsi="Aptos"/>
          <w:color w:val="000000" w:themeColor="text1"/>
        </w:rPr>
        <w:t xml:space="preserve">in  Lawrence Public Schools. </w:t>
      </w:r>
      <w:r w:rsidR="00671657" w:rsidRPr="00281099">
        <w:rPr>
          <w:rFonts w:ascii="Aptos" w:hAnsi="Aptos"/>
          <w:color w:val="000000" w:themeColor="text1"/>
        </w:rPr>
        <w:t>Parent does not allege any fundamental change in, or elimination of, a basic element of Student’s educational program.</w:t>
      </w:r>
      <w:r w:rsidR="00671657" w:rsidRPr="00731AF7">
        <w:rPr>
          <w:rStyle w:val="FootnoteReference"/>
          <w:rFonts w:ascii="Aptos" w:hAnsi="Aptos"/>
          <w:color w:val="000000" w:themeColor="text1"/>
        </w:rPr>
        <w:t xml:space="preserve"> </w:t>
      </w:r>
      <w:r w:rsidR="00671657" w:rsidRPr="005C1236">
        <w:rPr>
          <w:rStyle w:val="FootnoteReference"/>
          <w:rFonts w:ascii="Aptos" w:hAnsi="Aptos"/>
          <w:color w:val="000000" w:themeColor="text1"/>
        </w:rPr>
        <w:footnoteReference w:id="41"/>
      </w:r>
      <w:r w:rsidR="00671657">
        <w:rPr>
          <w:rFonts w:ascii="Aptos" w:hAnsi="Aptos"/>
          <w:color w:val="000000" w:themeColor="text1"/>
        </w:rPr>
        <w:t xml:space="preserve"> </w:t>
      </w:r>
      <w:r w:rsidR="00671657" w:rsidRPr="00281099">
        <w:rPr>
          <w:rFonts w:ascii="Aptos" w:hAnsi="Aptos"/>
          <w:color w:val="000000" w:themeColor="text1"/>
        </w:rPr>
        <w:t xml:space="preserve"> </w:t>
      </w:r>
      <w:r w:rsidRPr="00281099">
        <w:rPr>
          <w:rFonts w:ascii="Aptos" w:hAnsi="Aptos"/>
          <w:color w:val="000000" w:themeColor="text1"/>
        </w:rPr>
        <w:t xml:space="preserve">Instead, </w:t>
      </w:r>
      <w:r w:rsidR="004F59D7" w:rsidRPr="00D04AC2">
        <w:rPr>
          <w:rFonts w:ascii="Aptos" w:hAnsi="Aptos"/>
          <w:color w:val="000000" w:themeColor="text1"/>
        </w:rPr>
        <w:t xml:space="preserve">Parent argues that the revocation of the variance and </w:t>
      </w:r>
      <w:r w:rsidR="0089758C">
        <w:rPr>
          <w:rFonts w:ascii="Aptos" w:hAnsi="Aptos"/>
          <w:color w:val="000000" w:themeColor="text1"/>
        </w:rPr>
        <w:t xml:space="preserve">the </w:t>
      </w:r>
      <w:r w:rsidR="004F59D7" w:rsidRPr="00D04AC2">
        <w:rPr>
          <w:rFonts w:ascii="Aptos" w:hAnsi="Aptos"/>
          <w:color w:val="000000" w:themeColor="text1"/>
        </w:rPr>
        <w:t>resulting transfer from Parthum Middle School will disrupt Student’s stability and negatively impact her emotional, behavioral, and academic functioning, particularly in light of her Autism diagnosis, prior bullying experiences, and need for a consistent educational environment. While I do not discount the importance of these concerns, they do not establish that the change in school location constitutes a change in educational placement within the meaning of the IDEA.</w:t>
      </w:r>
      <w:r w:rsidR="006E74B4" w:rsidRPr="005C1236">
        <w:rPr>
          <w:rStyle w:val="FootnoteReference"/>
          <w:rFonts w:ascii="Aptos" w:hAnsi="Aptos"/>
          <w:color w:val="000000" w:themeColor="text1"/>
        </w:rPr>
        <w:footnoteReference w:id="42"/>
      </w:r>
      <w:r w:rsidR="004F59D7" w:rsidRPr="00D04AC2">
        <w:rPr>
          <w:rFonts w:ascii="Aptos" w:hAnsi="Aptos"/>
          <w:color w:val="000000" w:themeColor="text1"/>
        </w:rPr>
        <w:t xml:space="preserve"> The inquiry is not whether Student may experience disruption or whether Parthum is preferable, but whether the proposed transfer would materially or substantially alter the services, supports, or program set forth in Student’s IEP. </w:t>
      </w:r>
      <w:r w:rsidR="00B8736B">
        <w:rPr>
          <w:rFonts w:ascii="Aptos" w:hAnsi="Aptos"/>
          <w:color w:val="000000" w:themeColor="text1"/>
        </w:rPr>
        <w:t>Although “[m]</w:t>
      </w:r>
      <w:r w:rsidR="00B8736B" w:rsidRPr="00B8736B">
        <w:rPr>
          <w:rFonts w:ascii="Aptos" w:hAnsi="Aptos"/>
          <w:color w:val="000000" w:themeColor="text1"/>
        </w:rPr>
        <w:t xml:space="preserve">ore recent </w:t>
      </w:r>
      <w:r w:rsidR="00B8736B" w:rsidRPr="00B8736B">
        <w:rPr>
          <w:rFonts w:ascii="Aptos" w:hAnsi="Aptos"/>
          <w:color w:val="000000" w:themeColor="text1"/>
        </w:rPr>
        <w:lastRenderedPageBreak/>
        <w:t xml:space="preserve">decisions in other circuits have elaborated on this </w:t>
      </w:r>
      <w:r w:rsidR="005C3197">
        <w:rPr>
          <w:rFonts w:ascii="Aptos" w:hAnsi="Aptos"/>
          <w:color w:val="000000" w:themeColor="text1"/>
        </w:rPr>
        <w:t>[stay put] standard</w:t>
      </w:r>
      <w:r w:rsidR="00B8736B" w:rsidRPr="00B8736B">
        <w:rPr>
          <w:rFonts w:ascii="Aptos" w:hAnsi="Aptos"/>
          <w:color w:val="000000" w:themeColor="text1"/>
        </w:rPr>
        <w:t xml:space="preserve"> to emphasize the impact on the student</w:t>
      </w:r>
      <w:r w:rsidR="00B8736B">
        <w:rPr>
          <w:rFonts w:ascii="Aptos" w:hAnsi="Aptos"/>
          <w:color w:val="000000" w:themeColor="text1"/>
        </w:rPr>
        <w:t>,”</w:t>
      </w:r>
      <w:r w:rsidR="00B8736B">
        <w:rPr>
          <w:rStyle w:val="FootnoteReference"/>
          <w:rFonts w:ascii="Aptos" w:hAnsi="Aptos"/>
          <w:color w:val="000000" w:themeColor="text1"/>
        </w:rPr>
        <w:footnoteReference w:id="43"/>
      </w:r>
      <w:r w:rsidR="00B8736B">
        <w:rPr>
          <w:rFonts w:ascii="Aptos" w:hAnsi="Aptos"/>
          <w:color w:val="000000" w:themeColor="text1"/>
        </w:rPr>
        <w:t xml:space="preserve"> </w:t>
      </w:r>
      <w:r w:rsidR="005C3197">
        <w:rPr>
          <w:rFonts w:ascii="Aptos" w:hAnsi="Aptos"/>
          <w:color w:val="000000" w:themeColor="text1"/>
        </w:rPr>
        <w:t xml:space="preserve">an examination of such </w:t>
      </w:r>
      <w:r w:rsidR="00BD3C0C">
        <w:rPr>
          <w:rFonts w:ascii="Aptos" w:hAnsi="Aptos"/>
          <w:color w:val="000000" w:themeColor="text1"/>
        </w:rPr>
        <w:t>decisions reflects an emphasis on the dilution of services</w:t>
      </w:r>
      <w:r w:rsidR="00C514EE">
        <w:rPr>
          <w:rStyle w:val="FootnoteReference"/>
          <w:rFonts w:ascii="Aptos" w:hAnsi="Aptos"/>
          <w:color w:val="000000" w:themeColor="text1"/>
        </w:rPr>
        <w:footnoteReference w:id="44"/>
      </w:r>
      <w:r w:rsidR="00D774FE">
        <w:rPr>
          <w:rFonts w:ascii="Aptos" w:hAnsi="Aptos"/>
          <w:color w:val="000000" w:themeColor="text1"/>
        </w:rPr>
        <w:t xml:space="preserve"> or the “impact </w:t>
      </w:r>
      <w:r w:rsidR="006305C7">
        <w:rPr>
          <w:rFonts w:ascii="Aptos" w:hAnsi="Aptos"/>
          <w:color w:val="000000" w:themeColor="text1"/>
        </w:rPr>
        <w:t xml:space="preserve">of this change [in location] </w:t>
      </w:r>
      <w:r w:rsidR="00D774FE">
        <w:rPr>
          <w:rFonts w:ascii="Aptos" w:hAnsi="Aptos"/>
          <w:color w:val="000000" w:themeColor="text1"/>
        </w:rPr>
        <w:t xml:space="preserve">on </w:t>
      </w:r>
      <w:r w:rsidR="006305C7">
        <w:rPr>
          <w:rFonts w:ascii="Aptos" w:hAnsi="Aptos"/>
          <w:color w:val="000000" w:themeColor="text1"/>
        </w:rPr>
        <w:t xml:space="preserve">[the student’s] </w:t>
      </w:r>
      <w:r w:rsidR="00D774FE">
        <w:rPr>
          <w:rFonts w:ascii="Aptos" w:hAnsi="Aptos"/>
          <w:color w:val="000000" w:themeColor="text1"/>
        </w:rPr>
        <w:t>education,”</w:t>
      </w:r>
      <w:r w:rsidR="006305C7">
        <w:rPr>
          <w:rStyle w:val="FootnoteReference"/>
          <w:rFonts w:ascii="Aptos" w:hAnsi="Aptos"/>
          <w:color w:val="000000" w:themeColor="text1"/>
        </w:rPr>
        <w:footnoteReference w:id="45"/>
      </w:r>
      <w:r w:rsidR="0073129F">
        <w:rPr>
          <w:rFonts w:ascii="Aptos" w:hAnsi="Aptos"/>
          <w:color w:val="000000" w:themeColor="text1"/>
        </w:rPr>
        <w:t xml:space="preserve"> </w:t>
      </w:r>
      <w:r w:rsidR="00DD65FA">
        <w:rPr>
          <w:rFonts w:ascii="Aptos" w:hAnsi="Aptos"/>
          <w:color w:val="000000" w:themeColor="text1"/>
        </w:rPr>
        <w:t>not the impact of the change on the student herself or the</w:t>
      </w:r>
      <w:r w:rsidR="00C71787">
        <w:rPr>
          <w:rFonts w:ascii="Aptos" w:hAnsi="Aptos"/>
          <w:color w:val="000000" w:themeColor="text1"/>
        </w:rPr>
        <w:t xml:space="preserve"> possible exacerbation of </w:t>
      </w:r>
      <w:r w:rsidR="00DD65FA">
        <w:rPr>
          <w:rFonts w:ascii="Aptos" w:hAnsi="Aptos"/>
          <w:color w:val="000000" w:themeColor="text1"/>
        </w:rPr>
        <w:t xml:space="preserve">student’s </w:t>
      </w:r>
      <w:r w:rsidR="00C71787">
        <w:rPr>
          <w:rFonts w:ascii="Aptos" w:hAnsi="Aptos"/>
          <w:color w:val="000000" w:themeColor="text1"/>
        </w:rPr>
        <w:t xml:space="preserve">symptoms resulting from </w:t>
      </w:r>
      <w:r w:rsidR="00DD65FA">
        <w:rPr>
          <w:rFonts w:ascii="Aptos" w:hAnsi="Aptos"/>
          <w:color w:val="000000" w:themeColor="text1"/>
        </w:rPr>
        <w:t>such</w:t>
      </w:r>
      <w:r w:rsidR="00C71787">
        <w:rPr>
          <w:rFonts w:ascii="Aptos" w:hAnsi="Aptos"/>
          <w:color w:val="000000" w:themeColor="text1"/>
        </w:rPr>
        <w:t xml:space="preserve"> transfer</w:t>
      </w:r>
      <w:r w:rsidR="00C514EE">
        <w:rPr>
          <w:rFonts w:ascii="Aptos" w:hAnsi="Aptos"/>
          <w:color w:val="000000" w:themeColor="text1"/>
        </w:rPr>
        <w:t>.</w:t>
      </w:r>
      <w:r w:rsidR="00134EED">
        <w:rPr>
          <w:rFonts w:ascii="Aptos" w:hAnsi="Aptos"/>
          <w:color w:val="000000" w:themeColor="text1"/>
        </w:rPr>
        <w:t xml:space="preserve"> </w:t>
      </w:r>
    </w:p>
    <w:p w14:paraId="4C1828E7" w14:textId="77777777" w:rsidR="00AB550D" w:rsidRDefault="00AB550D" w:rsidP="00944538">
      <w:pPr>
        <w:autoSpaceDE w:val="0"/>
        <w:autoSpaceDN w:val="0"/>
        <w:adjustRightInd w:val="0"/>
        <w:rPr>
          <w:rFonts w:ascii="Aptos" w:hAnsi="Aptos"/>
          <w:color w:val="000000" w:themeColor="text1"/>
        </w:rPr>
      </w:pPr>
    </w:p>
    <w:p w14:paraId="751B556E" w14:textId="05F822B6" w:rsidR="00AB550D" w:rsidRDefault="00AB550D" w:rsidP="00944538">
      <w:pPr>
        <w:autoSpaceDE w:val="0"/>
        <w:autoSpaceDN w:val="0"/>
        <w:adjustRightInd w:val="0"/>
        <w:rPr>
          <w:rFonts w:ascii="Aptos" w:hAnsi="Aptos"/>
          <w:color w:val="000000" w:themeColor="text1"/>
        </w:rPr>
      </w:pPr>
      <w:r>
        <w:rPr>
          <w:rFonts w:ascii="Aptos" w:hAnsi="Aptos"/>
          <w:color w:val="000000" w:themeColor="text1"/>
        </w:rPr>
        <w:t>As such, I cannot find that Parthum is Student’s stay put placement</w:t>
      </w:r>
      <w:r w:rsidR="00CC6561">
        <w:rPr>
          <w:rFonts w:ascii="Aptos" w:hAnsi="Aptos"/>
          <w:color w:val="000000" w:themeColor="text1"/>
        </w:rPr>
        <w:t>,</w:t>
      </w:r>
      <w:r w:rsidR="000A1E02">
        <w:rPr>
          <w:rFonts w:ascii="Aptos" w:hAnsi="Aptos"/>
          <w:color w:val="000000" w:themeColor="text1"/>
        </w:rPr>
        <w:t xml:space="preserve"> and Student is not entitled to remain there </w:t>
      </w:r>
      <w:r w:rsidR="000A1E02" w:rsidRPr="000A1E02">
        <w:rPr>
          <w:rFonts w:ascii="Aptos" w:hAnsi="Aptos"/>
          <w:color w:val="000000" w:themeColor="text1"/>
        </w:rPr>
        <w:t>pending resolution of this dispute</w:t>
      </w:r>
      <w:r w:rsidR="000A1E02">
        <w:rPr>
          <w:rFonts w:ascii="Aptos" w:hAnsi="Aptos"/>
          <w:color w:val="000000" w:themeColor="text1"/>
        </w:rPr>
        <w:t>.</w:t>
      </w:r>
    </w:p>
    <w:p w14:paraId="42D066E7" w14:textId="77777777" w:rsidR="000A1E02" w:rsidRDefault="000A1E02" w:rsidP="00944538">
      <w:pPr>
        <w:autoSpaceDE w:val="0"/>
        <w:autoSpaceDN w:val="0"/>
        <w:adjustRightInd w:val="0"/>
        <w:rPr>
          <w:rFonts w:ascii="Aptos" w:hAnsi="Aptos"/>
          <w:color w:val="000000" w:themeColor="text1"/>
        </w:rPr>
      </w:pPr>
    </w:p>
    <w:p w14:paraId="6FE3CD76" w14:textId="3740B4DB" w:rsidR="000A1E02" w:rsidRPr="00E564C2" w:rsidRDefault="000A1E02" w:rsidP="000A1E02">
      <w:pPr>
        <w:pStyle w:val="ListParagraph"/>
        <w:numPr>
          <w:ilvl w:val="0"/>
          <w:numId w:val="35"/>
        </w:numPr>
        <w:autoSpaceDE w:val="0"/>
        <w:autoSpaceDN w:val="0"/>
        <w:adjustRightInd w:val="0"/>
        <w:rPr>
          <w:rFonts w:ascii="Aptos" w:hAnsi="Aptos"/>
          <w:color w:val="000000" w:themeColor="text1"/>
          <w:u w:val="single"/>
        </w:rPr>
      </w:pPr>
      <w:r w:rsidRPr="00E564C2">
        <w:rPr>
          <w:rFonts w:ascii="Aptos" w:hAnsi="Aptos"/>
          <w:color w:val="000000" w:themeColor="text1"/>
          <w:u w:val="single"/>
        </w:rPr>
        <w:t>Motion to Dismiss is ALLOWED.</w:t>
      </w:r>
    </w:p>
    <w:p w14:paraId="245E22D1" w14:textId="77777777" w:rsidR="00993A64" w:rsidRDefault="00993A64" w:rsidP="007F0EC6">
      <w:pPr>
        <w:autoSpaceDE w:val="0"/>
        <w:autoSpaceDN w:val="0"/>
        <w:adjustRightInd w:val="0"/>
        <w:rPr>
          <w:rFonts w:ascii="Aptos" w:hAnsi="Aptos"/>
          <w:color w:val="000000" w:themeColor="text1"/>
        </w:rPr>
      </w:pPr>
    </w:p>
    <w:p w14:paraId="52CDEBF6" w14:textId="17E12FC9" w:rsidR="00473B9B" w:rsidRDefault="00A618D9" w:rsidP="00473B9B">
      <w:pPr>
        <w:shd w:val="clear" w:color="auto" w:fill="FFFFFF"/>
        <w:rPr>
          <w:rFonts w:ascii="Aptos" w:hAnsi="Aptos"/>
          <w:color w:val="000000" w:themeColor="text1"/>
        </w:rPr>
      </w:pPr>
      <w:r w:rsidRPr="00281099">
        <w:rPr>
          <w:rFonts w:ascii="Aptos" w:hAnsi="Aptos"/>
          <w:color w:val="000000" w:themeColor="text1"/>
        </w:rPr>
        <w:t xml:space="preserve">The District argues that Parent’s Hearing Request seeks review of an exercise of </w:t>
      </w:r>
      <w:r>
        <w:rPr>
          <w:rFonts w:ascii="Aptos" w:hAnsi="Aptos"/>
          <w:color w:val="000000" w:themeColor="text1"/>
        </w:rPr>
        <w:t xml:space="preserve">the </w:t>
      </w:r>
      <w:r w:rsidRPr="00281099">
        <w:rPr>
          <w:rFonts w:ascii="Aptos" w:hAnsi="Aptos"/>
          <w:color w:val="000000" w:themeColor="text1"/>
        </w:rPr>
        <w:t>District</w:t>
      </w:r>
      <w:r>
        <w:rPr>
          <w:rFonts w:ascii="Aptos" w:hAnsi="Aptos"/>
          <w:color w:val="000000" w:themeColor="text1"/>
        </w:rPr>
        <w:t>’s variance</w:t>
      </w:r>
      <w:r w:rsidRPr="00281099">
        <w:rPr>
          <w:rFonts w:ascii="Aptos" w:hAnsi="Aptos"/>
          <w:color w:val="000000" w:themeColor="text1"/>
        </w:rPr>
        <w:t xml:space="preserve"> policy</w:t>
      </w:r>
      <w:r>
        <w:rPr>
          <w:rFonts w:ascii="Aptos" w:hAnsi="Aptos"/>
          <w:color w:val="000000" w:themeColor="text1"/>
        </w:rPr>
        <w:t xml:space="preserve"> </w:t>
      </w:r>
      <w:r w:rsidRPr="00281099">
        <w:rPr>
          <w:rFonts w:ascii="Aptos" w:hAnsi="Aptos"/>
          <w:color w:val="000000" w:themeColor="text1"/>
        </w:rPr>
        <w:t xml:space="preserve">and therefore must be dismissed for lack of jurisdiction. </w:t>
      </w:r>
      <w:r w:rsidR="00473B9B">
        <w:rPr>
          <w:rFonts w:ascii="Aptos" w:hAnsi="Aptos"/>
          <w:color w:val="000000" w:themeColor="text1"/>
        </w:rPr>
        <w:t>Having found that Student has no stay put right to Parthum, and, b</w:t>
      </w:r>
      <w:r w:rsidR="00B91B1D">
        <w:rPr>
          <w:rFonts w:ascii="Aptos" w:hAnsi="Aptos"/>
          <w:color w:val="000000" w:themeColor="text1"/>
        </w:rPr>
        <w:t>ecause the</w:t>
      </w:r>
      <w:r w:rsidR="00B91B1D" w:rsidRPr="005C1236">
        <w:rPr>
          <w:rFonts w:ascii="Aptos" w:hAnsi="Aptos"/>
          <w:color w:val="000000" w:themeColor="text1"/>
        </w:rPr>
        <w:t xml:space="preserve"> BSEA "can only grant relief that is authorized</w:t>
      </w:r>
      <w:r w:rsidR="00540882">
        <w:rPr>
          <w:rFonts w:ascii="Aptos" w:hAnsi="Aptos"/>
          <w:color w:val="000000" w:themeColor="text1"/>
        </w:rPr>
        <w:t>”</w:t>
      </w:r>
      <w:r w:rsidR="00B91B1D" w:rsidRPr="005C1236">
        <w:rPr>
          <w:rFonts w:ascii="Aptos" w:hAnsi="Aptos"/>
          <w:color w:val="000000" w:themeColor="text1"/>
        </w:rPr>
        <w:t xml:space="preserve"> by </w:t>
      </w:r>
      <w:r w:rsidR="007D186F">
        <w:rPr>
          <w:rFonts w:ascii="Aptos" w:hAnsi="Aptos"/>
          <w:color w:val="000000" w:themeColor="text1"/>
        </w:rPr>
        <w:t>state and federal special education laws,</w:t>
      </w:r>
      <w:r w:rsidR="00B91B1D" w:rsidRPr="005C1236">
        <w:rPr>
          <w:rStyle w:val="FootnoteReference"/>
          <w:rFonts w:ascii="Aptos" w:hAnsi="Aptos"/>
          <w:color w:val="000000" w:themeColor="text1"/>
        </w:rPr>
        <w:footnoteReference w:id="46"/>
      </w:r>
      <w:r w:rsidR="00B91B1D">
        <w:rPr>
          <w:rFonts w:ascii="Aptos" w:hAnsi="Aptos"/>
          <w:color w:val="000000" w:themeColor="text1"/>
        </w:rPr>
        <w:t xml:space="preserve"> I </w:t>
      </w:r>
      <w:r w:rsidR="004D497F">
        <w:rPr>
          <w:rFonts w:ascii="Aptos" w:hAnsi="Aptos"/>
          <w:color w:val="000000" w:themeColor="text1"/>
        </w:rPr>
        <w:t xml:space="preserve">find that I </w:t>
      </w:r>
      <w:r w:rsidR="00B91B1D">
        <w:rPr>
          <w:rFonts w:ascii="Aptos" w:hAnsi="Aptos"/>
          <w:color w:val="000000" w:themeColor="text1"/>
        </w:rPr>
        <w:t>cannot order</w:t>
      </w:r>
      <w:r w:rsidR="009F36EE">
        <w:rPr>
          <w:rFonts w:ascii="Aptos" w:hAnsi="Aptos"/>
          <w:color w:val="000000" w:themeColor="text1"/>
        </w:rPr>
        <w:t xml:space="preserve"> the relief sought by Parent (i.e., the rei</w:t>
      </w:r>
      <w:r w:rsidR="00D55981">
        <w:rPr>
          <w:rFonts w:ascii="Aptos" w:hAnsi="Aptos"/>
          <w:color w:val="000000" w:themeColor="text1"/>
        </w:rPr>
        <w:t>nstatement</w:t>
      </w:r>
      <w:r w:rsidR="009F36EE">
        <w:rPr>
          <w:rFonts w:ascii="Aptos" w:hAnsi="Aptos"/>
          <w:color w:val="000000" w:themeColor="text1"/>
        </w:rPr>
        <w:t xml:space="preserve"> of the variance)</w:t>
      </w:r>
      <w:r w:rsidR="00D55981">
        <w:rPr>
          <w:rFonts w:ascii="Aptos" w:hAnsi="Aptos"/>
          <w:color w:val="000000" w:themeColor="text1"/>
        </w:rPr>
        <w:t>.</w:t>
      </w:r>
      <w:r w:rsidR="00B91B1D" w:rsidRPr="005C1236">
        <w:rPr>
          <w:rFonts w:ascii="Aptos" w:hAnsi="Aptos"/>
          <w:color w:val="000000" w:themeColor="text1"/>
        </w:rPr>
        <w:t xml:space="preserve"> </w:t>
      </w:r>
      <w:r w:rsidR="00473B9B" w:rsidRPr="005C1236">
        <w:rPr>
          <w:rFonts w:ascii="Aptos" w:hAnsi="Aptos"/>
          <w:color w:val="000000" w:themeColor="text1"/>
        </w:rPr>
        <w:t xml:space="preserve">As explained in </w:t>
      </w:r>
      <w:r w:rsidR="00473B9B" w:rsidRPr="005C1236">
        <w:rPr>
          <w:rFonts w:ascii="Aptos" w:hAnsi="Aptos"/>
          <w:i/>
          <w:iCs/>
          <w:color w:val="000000" w:themeColor="text1"/>
          <w:bdr w:val="none" w:sz="0" w:space="0" w:color="auto" w:frame="1"/>
        </w:rPr>
        <w:t>Fry v. Napoleon Cmty. Schs.</w:t>
      </w:r>
      <w:r w:rsidR="00473B9B" w:rsidRPr="005C1236">
        <w:rPr>
          <w:rFonts w:ascii="Aptos" w:hAnsi="Aptos"/>
          <w:i/>
          <w:iCs/>
          <w:color w:val="000000" w:themeColor="text1"/>
        </w:rPr>
        <w:t>,</w:t>
      </w:r>
      <w:r w:rsidR="00473B9B" w:rsidRPr="005C1236">
        <w:rPr>
          <w:rFonts w:ascii="Aptos" w:hAnsi="Aptos"/>
          <w:color w:val="000000" w:themeColor="text1"/>
        </w:rPr>
        <w:t xml:space="preserve"> 580 U.S. 154 (2017), if an </w:t>
      </w:r>
    </w:p>
    <w:p w14:paraId="09FC669B" w14:textId="351D7E9C" w:rsidR="00473B9B" w:rsidRDefault="00473B9B" w:rsidP="00977055">
      <w:pPr>
        <w:shd w:val="clear" w:color="auto" w:fill="FFFFFF"/>
        <w:ind w:left="1440"/>
        <w:rPr>
          <w:rFonts w:ascii="Aptos" w:hAnsi="Aptos"/>
          <w:color w:val="000000" w:themeColor="text1"/>
        </w:rPr>
      </w:pPr>
      <w:r w:rsidRPr="005C1236">
        <w:rPr>
          <w:rFonts w:ascii="Aptos" w:hAnsi="Aptos"/>
          <w:color w:val="000000" w:themeColor="text1"/>
        </w:rPr>
        <w:t>“accommodation is needed to fulfill the</w:t>
      </w:r>
      <w:r w:rsidRPr="005C1236">
        <w:rPr>
          <w:rStyle w:val="apple-converted-space"/>
          <w:rFonts w:ascii="Aptos" w:hAnsi="Aptos"/>
          <w:color w:val="000000" w:themeColor="text1"/>
        </w:rPr>
        <w:t> </w:t>
      </w:r>
      <w:r w:rsidRPr="005C1236">
        <w:rPr>
          <w:rStyle w:val="coconcept14"/>
          <w:rFonts w:ascii="Aptos" w:hAnsi="Aptos"/>
          <w:color w:val="000000" w:themeColor="text1"/>
          <w:bdr w:val="none" w:sz="0" w:space="0" w:color="auto" w:frame="1"/>
          <w:shd w:val="clear" w:color="auto" w:fill="FFFFFF"/>
        </w:rPr>
        <w:t>IDEA's</w:t>
      </w:r>
      <w:r w:rsidRPr="005C1236">
        <w:rPr>
          <w:rStyle w:val="apple-converted-space"/>
          <w:rFonts w:ascii="Aptos" w:hAnsi="Aptos"/>
          <w:color w:val="000000" w:themeColor="text1"/>
        </w:rPr>
        <w:t> </w:t>
      </w:r>
      <w:r w:rsidRPr="005C1236">
        <w:rPr>
          <w:rStyle w:val="coconcept69"/>
          <w:rFonts w:ascii="Aptos" w:hAnsi="Aptos"/>
          <w:color w:val="000000" w:themeColor="text1"/>
          <w:bdr w:val="none" w:sz="0" w:space="0" w:color="auto" w:frame="1"/>
          <w:shd w:val="clear" w:color="auto" w:fill="FFFFFF"/>
        </w:rPr>
        <w:t>FAPE</w:t>
      </w:r>
      <w:r w:rsidRPr="005C1236">
        <w:rPr>
          <w:rStyle w:val="apple-converted-space"/>
          <w:rFonts w:ascii="Aptos" w:hAnsi="Aptos"/>
          <w:color w:val="000000" w:themeColor="text1"/>
        </w:rPr>
        <w:t> </w:t>
      </w:r>
      <w:r w:rsidRPr="005C1236">
        <w:rPr>
          <w:rFonts w:ascii="Aptos" w:hAnsi="Aptos"/>
          <w:color w:val="000000" w:themeColor="text1"/>
        </w:rPr>
        <w:t>requirement, the hearing officer must order relief. But if it is not, he cannot—even though the dispute is between a child with a disability and the school she attends. There might be good reasons, unrelated to a</w:t>
      </w:r>
      <w:r w:rsidRPr="005C1236">
        <w:rPr>
          <w:rStyle w:val="apple-converted-space"/>
          <w:rFonts w:ascii="Aptos" w:hAnsi="Aptos"/>
          <w:color w:val="000000" w:themeColor="text1"/>
        </w:rPr>
        <w:t> </w:t>
      </w:r>
      <w:r w:rsidRPr="005C1236">
        <w:rPr>
          <w:rStyle w:val="coconcept69"/>
          <w:rFonts w:ascii="Aptos" w:hAnsi="Aptos"/>
          <w:color w:val="000000" w:themeColor="text1"/>
          <w:bdr w:val="none" w:sz="0" w:space="0" w:color="auto" w:frame="1"/>
          <w:shd w:val="clear" w:color="auto" w:fill="FFFFFF"/>
        </w:rPr>
        <w:t>FAPE</w:t>
      </w:r>
      <w:r w:rsidRPr="005C1236">
        <w:rPr>
          <w:rFonts w:ascii="Aptos" w:hAnsi="Aptos"/>
          <w:color w:val="000000" w:themeColor="text1"/>
        </w:rPr>
        <w:t>, for the school to make the</w:t>
      </w:r>
      <w:r w:rsidRPr="005C1236">
        <w:rPr>
          <w:rStyle w:val="apple-converted-space"/>
          <w:rFonts w:ascii="Aptos" w:hAnsi="Aptos"/>
          <w:color w:val="000000" w:themeColor="text1"/>
        </w:rPr>
        <w:t> </w:t>
      </w:r>
      <w:r w:rsidRPr="005C1236">
        <w:rPr>
          <w:rFonts w:ascii="Aptos" w:hAnsi="Aptos"/>
          <w:color w:val="000000" w:themeColor="text1"/>
        </w:rPr>
        <w:t>requested accommodation. Indeed, another federal law (like the ADA or Rehabilitation Act) might</w:t>
      </w:r>
      <w:r w:rsidRPr="005C1236">
        <w:rPr>
          <w:rStyle w:val="apple-converted-space"/>
          <w:rFonts w:ascii="Aptos" w:hAnsi="Aptos"/>
          <w:color w:val="000000" w:themeColor="text1"/>
        </w:rPr>
        <w:t> </w:t>
      </w:r>
      <w:r w:rsidRPr="005C1236">
        <w:rPr>
          <w:rStyle w:val="Emphasis"/>
          <w:rFonts w:ascii="Aptos" w:hAnsi="Aptos"/>
          <w:color w:val="000000" w:themeColor="text1"/>
          <w:bdr w:val="none" w:sz="0" w:space="0" w:color="auto" w:frame="1"/>
        </w:rPr>
        <w:t>require</w:t>
      </w:r>
      <w:r w:rsidRPr="005C1236">
        <w:rPr>
          <w:rStyle w:val="apple-converted-space"/>
          <w:rFonts w:ascii="Aptos" w:hAnsi="Aptos"/>
          <w:i/>
          <w:iCs/>
          <w:color w:val="000000" w:themeColor="text1"/>
          <w:bdr w:val="none" w:sz="0" w:space="0" w:color="auto" w:frame="1"/>
        </w:rPr>
        <w:t> </w:t>
      </w:r>
      <w:r w:rsidRPr="005C1236">
        <w:rPr>
          <w:rFonts w:ascii="Aptos" w:hAnsi="Aptos"/>
          <w:color w:val="000000" w:themeColor="text1"/>
        </w:rPr>
        <w:t>the accommodation on one of those alternative grounds. But still, the hearing officer cannot provide the requested relief. His role, under the</w:t>
      </w:r>
      <w:r w:rsidRPr="005C1236">
        <w:rPr>
          <w:rStyle w:val="apple-converted-space"/>
          <w:rFonts w:ascii="Aptos" w:hAnsi="Aptos"/>
          <w:color w:val="000000" w:themeColor="text1"/>
        </w:rPr>
        <w:t> </w:t>
      </w:r>
      <w:r w:rsidRPr="005C1236">
        <w:rPr>
          <w:rStyle w:val="coconcept14"/>
          <w:rFonts w:ascii="Aptos" w:hAnsi="Aptos"/>
          <w:color w:val="000000" w:themeColor="text1"/>
          <w:bdr w:val="none" w:sz="0" w:space="0" w:color="auto" w:frame="1"/>
          <w:shd w:val="clear" w:color="auto" w:fill="FFFFFF"/>
        </w:rPr>
        <w:t>IDEA</w:t>
      </w:r>
      <w:r w:rsidRPr="005C1236">
        <w:rPr>
          <w:rFonts w:ascii="Aptos" w:hAnsi="Aptos"/>
          <w:color w:val="000000" w:themeColor="text1"/>
        </w:rPr>
        <w:t>, is to enforce the child's ‘substantive right’ to a</w:t>
      </w:r>
      <w:r w:rsidRPr="005C1236">
        <w:rPr>
          <w:rStyle w:val="apple-converted-space"/>
          <w:rFonts w:ascii="Aptos" w:hAnsi="Aptos"/>
          <w:color w:val="000000" w:themeColor="text1"/>
        </w:rPr>
        <w:t> </w:t>
      </w:r>
      <w:r w:rsidRPr="005C1236">
        <w:rPr>
          <w:rStyle w:val="coconcept69"/>
          <w:rFonts w:ascii="Aptos" w:hAnsi="Aptos"/>
          <w:color w:val="000000" w:themeColor="text1"/>
          <w:bdr w:val="none" w:sz="0" w:space="0" w:color="auto" w:frame="1"/>
          <w:shd w:val="clear" w:color="auto" w:fill="FFFFFF"/>
        </w:rPr>
        <w:t>FAPE</w:t>
      </w:r>
      <w:r w:rsidRPr="005C1236">
        <w:rPr>
          <w:rFonts w:ascii="Aptos" w:hAnsi="Aptos"/>
          <w:color w:val="000000" w:themeColor="text1"/>
        </w:rPr>
        <w:t>.</w:t>
      </w:r>
      <w:r w:rsidRPr="005C1236">
        <w:rPr>
          <w:rStyle w:val="apple-converted-space"/>
          <w:rFonts w:ascii="Aptos" w:hAnsi="Aptos"/>
          <w:color w:val="000000" w:themeColor="text1"/>
        </w:rPr>
        <w:t>”</w:t>
      </w:r>
      <w:r w:rsidRPr="005C1236">
        <w:rPr>
          <w:rStyle w:val="FootnoteReference"/>
          <w:rFonts w:ascii="Aptos" w:hAnsi="Aptos"/>
          <w:color w:val="000000" w:themeColor="text1"/>
        </w:rPr>
        <w:footnoteReference w:id="47"/>
      </w:r>
      <w:r w:rsidRPr="005C1236">
        <w:rPr>
          <w:rFonts w:ascii="Aptos" w:hAnsi="Aptos"/>
          <w:color w:val="000000" w:themeColor="text1"/>
        </w:rPr>
        <w:t xml:space="preserve"> </w:t>
      </w:r>
    </w:p>
    <w:p w14:paraId="440E766E" w14:textId="00B251B1" w:rsidR="00281099" w:rsidRPr="00281099" w:rsidRDefault="00977055" w:rsidP="00EB3709">
      <w:pPr>
        <w:autoSpaceDE w:val="0"/>
        <w:autoSpaceDN w:val="0"/>
        <w:adjustRightInd w:val="0"/>
        <w:rPr>
          <w:rFonts w:ascii="Aptos" w:hAnsi="Aptos"/>
          <w:color w:val="000000" w:themeColor="text1"/>
        </w:rPr>
      </w:pPr>
      <w:r>
        <w:rPr>
          <w:rFonts w:ascii="Aptos" w:hAnsi="Aptos"/>
          <w:color w:val="000000" w:themeColor="text1"/>
        </w:rPr>
        <w:t>Here</w:t>
      </w:r>
      <w:r w:rsidR="00CC6607">
        <w:rPr>
          <w:rFonts w:ascii="Aptos" w:hAnsi="Aptos"/>
          <w:color w:val="000000" w:themeColor="text1"/>
        </w:rPr>
        <w:t xml:space="preserve">, </w:t>
      </w:r>
      <w:r w:rsidR="00EB3709">
        <w:rPr>
          <w:rFonts w:ascii="Aptos" w:hAnsi="Aptos"/>
          <w:color w:val="000000" w:themeColor="text1"/>
        </w:rPr>
        <w:t>because the</w:t>
      </w:r>
      <w:r w:rsidR="00EB3709" w:rsidRPr="00EB3709">
        <w:rPr>
          <w:rFonts w:ascii="Aptos" w:hAnsi="Aptos"/>
          <w:color w:val="000000" w:themeColor="text1"/>
        </w:rPr>
        <w:t xml:space="preserve"> variance dispute </w:t>
      </w:r>
      <w:r w:rsidR="00EB3709">
        <w:rPr>
          <w:rFonts w:ascii="Aptos" w:hAnsi="Aptos"/>
          <w:color w:val="000000" w:themeColor="text1"/>
        </w:rPr>
        <w:t xml:space="preserve">is completely independent of Student’s eligibility for </w:t>
      </w:r>
      <w:r w:rsidR="00E01C05">
        <w:rPr>
          <w:rFonts w:ascii="Aptos" w:hAnsi="Aptos"/>
          <w:color w:val="000000" w:themeColor="text1"/>
        </w:rPr>
        <w:t xml:space="preserve">and rights to </w:t>
      </w:r>
      <w:r w:rsidR="00EB3709">
        <w:rPr>
          <w:rFonts w:ascii="Aptos" w:hAnsi="Aptos"/>
          <w:color w:val="000000" w:themeColor="text1"/>
        </w:rPr>
        <w:t>special education</w:t>
      </w:r>
      <w:r>
        <w:rPr>
          <w:rFonts w:ascii="Aptos" w:hAnsi="Aptos"/>
          <w:color w:val="000000" w:themeColor="text1"/>
        </w:rPr>
        <w:t xml:space="preserve">, </w:t>
      </w:r>
      <w:r w:rsidR="00A04319">
        <w:rPr>
          <w:rFonts w:ascii="Aptos" w:hAnsi="Aptos"/>
          <w:color w:val="000000" w:themeColor="text1"/>
        </w:rPr>
        <w:t>t</w:t>
      </w:r>
      <w:r w:rsidR="00281099" w:rsidRPr="00281099">
        <w:rPr>
          <w:rFonts w:ascii="Aptos" w:hAnsi="Aptos"/>
          <w:color w:val="000000" w:themeColor="text1"/>
        </w:rPr>
        <w:t>he gravamen of Parent’s claims concern</w:t>
      </w:r>
      <w:r>
        <w:rPr>
          <w:rFonts w:ascii="Aptos" w:hAnsi="Aptos"/>
          <w:color w:val="000000" w:themeColor="text1"/>
        </w:rPr>
        <w:t xml:space="preserve">s not a </w:t>
      </w:r>
      <w:r w:rsidR="00281099" w:rsidRPr="00281099">
        <w:rPr>
          <w:rFonts w:ascii="Aptos" w:hAnsi="Aptos"/>
          <w:color w:val="000000" w:themeColor="text1"/>
        </w:rPr>
        <w:t xml:space="preserve">denial of </w:t>
      </w:r>
      <w:r w:rsidR="00A04319">
        <w:rPr>
          <w:rFonts w:ascii="Aptos" w:hAnsi="Aptos"/>
          <w:color w:val="000000" w:themeColor="text1"/>
        </w:rPr>
        <w:t xml:space="preserve">a </w:t>
      </w:r>
      <w:r w:rsidR="00281099" w:rsidRPr="00281099">
        <w:rPr>
          <w:rFonts w:ascii="Aptos" w:hAnsi="Aptos"/>
          <w:color w:val="000000" w:themeColor="text1"/>
        </w:rPr>
        <w:t>FAPE</w:t>
      </w:r>
      <w:r w:rsidR="00A04319">
        <w:rPr>
          <w:rFonts w:ascii="Aptos" w:hAnsi="Aptos"/>
          <w:color w:val="000000" w:themeColor="text1"/>
        </w:rPr>
        <w:t>, but rather the denial of a variance</w:t>
      </w:r>
      <w:r w:rsidR="00281099" w:rsidRPr="00281099">
        <w:rPr>
          <w:rFonts w:ascii="Aptos" w:hAnsi="Aptos"/>
          <w:color w:val="000000" w:themeColor="text1"/>
        </w:rPr>
        <w:t>.</w:t>
      </w:r>
      <w:r w:rsidR="00CC6607">
        <w:rPr>
          <w:rFonts w:ascii="Aptos" w:hAnsi="Aptos"/>
          <w:color w:val="000000" w:themeColor="text1"/>
        </w:rPr>
        <w:t xml:space="preserve"> </w:t>
      </w:r>
      <w:r>
        <w:rPr>
          <w:rFonts w:ascii="Aptos" w:hAnsi="Aptos"/>
          <w:color w:val="000000" w:themeColor="text1"/>
        </w:rPr>
        <w:t xml:space="preserve"> </w:t>
      </w:r>
      <w:r w:rsidR="00281099" w:rsidRPr="00281099">
        <w:rPr>
          <w:rFonts w:ascii="Aptos" w:hAnsi="Aptos"/>
          <w:color w:val="000000" w:themeColor="text1"/>
        </w:rPr>
        <w:t xml:space="preserve"> Accordingly, Parent’s claims relating to the </w:t>
      </w:r>
      <w:r w:rsidR="00281099" w:rsidRPr="00281099">
        <w:rPr>
          <w:rFonts w:ascii="Aptos" w:hAnsi="Aptos"/>
          <w:color w:val="000000" w:themeColor="text1"/>
        </w:rPr>
        <w:lastRenderedPageBreak/>
        <w:t>issuance and revocation of the variance</w:t>
      </w:r>
      <w:r w:rsidR="00824334">
        <w:rPr>
          <w:rFonts w:ascii="Aptos" w:hAnsi="Aptos"/>
          <w:color w:val="000000" w:themeColor="text1"/>
        </w:rPr>
        <w:t xml:space="preserve"> </w:t>
      </w:r>
      <w:r w:rsidR="00281099" w:rsidRPr="00281099">
        <w:rPr>
          <w:rFonts w:ascii="Aptos" w:hAnsi="Aptos"/>
          <w:color w:val="000000" w:themeColor="text1"/>
        </w:rPr>
        <w:t>are dismissed with prejudice for lack of subject matter jurisdiction.</w:t>
      </w:r>
    </w:p>
    <w:p w14:paraId="3D608FEB" w14:textId="77777777" w:rsidR="00134EED" w:rsidRDefault="00134EED" w:rsidP="007F0EC6">
      <w:pPr>
        <w:autoSpaceDE w:val="0"/>
        <w:autoSpaceDN w:val="0"/>
        <w:adjustRightInd w:val="0"/>
        <w:rPr>
          <w:rFonts w:ascii="Aptos" w:hAnsi="Aptos"/>
          <w:color w:val="000000" w:themeColor="text1"/>
        </w:rPr>
      </w:pPr>
    </w:p>
    <w:p w14:paraId="79E22E1A" w14:textId="359B3584" w:rsidR="00281099" w:rsidRPr="00281099" w:rsidRDefault="001C1332" w:rsidP="007F0EC6">
      <w:pPr>
        <w:autoSpaceDE w:val="0"/>
        <w:autoSpaceDN w:val="0"/>
        <w:adjustRightInd w:val="0"/>
        <w:rPr>
          <w:rFonts w:ascii="Aptos" w:hAnsi="Aptos"/>
          <w:color w:val="000000" w:themeColor="text1"/>
        </w:rPr>
      </w:pPr>
      <w:r>
        <w:rPr>
          <w:rFonts w:ascii="Aptos" w:hAnsi="Aptos"/>
          <w:color w:val="000000" w:themeColor="text1"/>
        </w:rPr>
        <w:t xml:space="preserve">Parent has not raised any facts suggesting that Oliver Middle School is </w:t>
      </w:r>
      <w:r w:rsidRPr="00CB46AC">
        <w:rPr>
          <w:rFonts w:ascii="Aptos" w:hAnsi="Aptos"/>
          <w:color w:val="000000" w:themeColor="text1"/>
        </w:rPr>
        <w:t xml:space="preserve">incapable </w:t>
      </w:r>
      <w:r w:rsidR="00444E25" w:rsidRPr="00CB46AC">
        <w:rPr>
          <w:rFonts w:ascii="Aptos" w:hAnsi="Aptos"/>
          <w:color w:val="000000" w:themeColor="text1"/>
        </w:rPr>
        <w:t>o</w:t>
      </w:r>
      <w:r w:rsidRPr="00CB46AC">
        <w:rPr>
          <w:rFonts w:ascii="Aptos" w:hAnsi="Aptos"/>
          <w:color w:val="000000" w:themeColor="text1"/>
        </w:rPr>
        <w:t>f</w:t>
      </w:r>
      <w:r>
        <w:rPr>
          <w:rFonts w:ascii="Aptos" w:hAnsi="Aptos"/>
          <w:color w:val="000000" w:themeColor="text1"/>
        </w:rPr>
        <w:t xml:space="preserve"> implementing Student’s IEP or meeting her disability related needs. Even</w:t>
      </w:r>
      <w:r w:rsidR="006F3F43">
        <w:rPr>
          <w:rFonts w:ascii="Aptos" w:hAnsi="Aptos"/>
          <w:color w:val="000000" w:themeColor="text1"/>
        </w:rPr>
        <w:t xml:space="preserve"> </w:t>
      </w:r>
      <w:r w:rsidR="003A6A81" w:rsidRPr="00281099">
        <w:rPr>
          <w:rFonts w:ascii="Aptos" w:hAnsi="Aptos"/>
          <w:color w:val="000000" w:themeColor="text1"/>
        </w:rPr>
        <w:t xml:space="preserve">liberally construing the Hearing Request, </w:t>
      </w:r>
      <w:r w:rsidR="006F3F43">
        <w:rPr>
          <w:rFonts w:ascii="Aptos" w:hAnsi="Aptos"/>
          <w:color w:val="000000" w:themeColor="text1"/>
        </w:rPr>
        <w:t xml:space="preserve">I cannot find that </w:t>
      </w:r>
      <w:r w:rsidR="003A6A81" w:rsidRPr="00281099">
        <w:rPr>
          <w:rFonts w:ascii="Aptos" w:hAnsi="Aptos"/>
          <w:color w:val="000000" w:themeColor="text1"/>
        </w:rPr>
        <w:t>Parent’s references to Student’s diagnosis of Autism Spectrum Disorder and her sensory, social, and emotional needs raise a separate issue</w:t>
      </w:r>
      <w:r w:rsidR="00D04AC2" w:rsidRPr="00D04AC2">
        <w:rPr>
          <w:rFonts w:ascii="Aptos" w:hAnsi="Aptos"/>
          <w:color w:val="000000" w:themeColor="text1"/>
        </w:rPr>
        <w:t xml:space="preserve"> of whether the IEP can be properly implemented at the neighborhood school.</w:t>
      </w:r>
      <w:r w:rsidR="00B44D98">
        <w:rPr>
          <w:rFonts w:ascii="Aptos" w:hAnsi="Aptos"/>
          <w:color w:val="000000" w:themeColor="text1"/>
        </w:rPr>
        <w:t xml:space="preserve"> </w:t>
      </w:r>
      <w:r>
        <w:rPr>
          <w:rFonts w:ascii="Aptos" w:hAnsi="Aptos"/>
          <w:color w:val="000000" w:themeColor="text1"/>
        </w:rPr>
        <w:t>As such, the hearing request must be dismissed in its entirety for lack of subject matter jurisdiction.</w:t>
      </w:r>
      <w:r w:rsidR="00491603">
        <w:rPr>
          <w:rFonts w:ascii="Aptos" w:hAnsi="Aptos"/>
          <w:color w:val="000000" w:themeColor="text1"/>
        </w:rPr>
        <w:t xml:space="preserve"> Parent is not</w:t>
      </w:r>
      <w:r w:rsidR="00132240">
        <w:rPr>
          <w:rFonts w:ascii="Aptos" w:hAnsi="Aptos"/>
          <w:color w:val="000000" w:themeColor="text1"/>
        </w:rPr>
        <w:t>, however, precluded f</w:t>
      </w:r>
      <w:r w:rsidR="00134A7B">
        <w:rPr>
          <w:rFonts w:ascii="Aptos" w:hAnsi="Aptos"/>
          <w:color w:val="000000" w:themeColor="text1"/>
        </w:rPr>
        <w:t>rom</w:t>
      </w:r>
      <w:r w:rsidR="00132240">
        <w:rPr>
          <w:rFonts w:ascii="Aptos" w:hAnsi="Aptos"/>
          <w:color w:val="000000" w:themeColor="text1"/>
        </w:rPr>
        <w:t xml:space="preserve"> </w:t>
      </w:r>
      <w:r w:rsidR="00D96A90">
        <w:rPr>
          <w:rFonts w:ascii="Aptos" w:hAnsi="Aptos"/>
          <w:color w:val="000000" w:themeColor="text1"/>
        </w:rPr>
        <w:t>filing</w:t>
      </w:r>
      <w:r w:rsidR="00132240">
        <w:rPr>
          <w:rFonts w:ascii="Aptos" w:hAnsi="Aptos"/>
          <w:color w:val="000000" w:themeColor="text1"/>
        </w:rPr>
        <w:t xml:space="preserve"> a subsequent </w:t>
      </w:r>
      <w:r w:rsidR="00134A7B">
        <w:rPr>
          <w:rFonts w:ascii="Aptos" w:hAnsi="Aptos"/>
          <w:color w:val="000000" w:themeColor="text1"/>
        </w:rPr>
        <w:t xml:space="preserve">hearing </w:t>
      </w:r>
      <w:r w:rsidR="00132240">
        <w:rPr>
          <w:rFonts w:ascii="Aptos" w:hAnsi="Aptos"/>
          <w:color w:val="000000" w:themeColor="text1"/>
        </w:rPr>
        <w:t xml:space="preserve">request </w:t>
      </w:r>
      <w:r w:rsidR="00134A7B">
        <w:rPr>
          <w:rFonts w:ascii="Aptos" w:hAnsi="Aptos"/>
          <w:color w:val="000000" w:themeColor="text1"/>
        </w:rPr>
        <w:t>specifically</w:t>
      </w:r>
      <w:r w:rsidR="00A45889">
        <w:rPr>
          <w:rFonts w:ascii="Aptos" w:hAnsi="Aptos"/>
          <w:color w:val="000000" w:themeColor="text1"/>
        </w:rPr>
        <w:t xml:space="preserve"> </w:t>
      </w:r>
      <w:r w:rsidR="00D96A90">
        <w:rPr>
          <w:rFonts w:ascii="Aptos" w:hAnsi="Aptos"/>
          <w:color w:val="000000" w:themeColor="text1"/>
        </w:rPr>
        <w:t>raising</w:t>
      </w:r>
      <w:r w:rsidR="00A45889">
        <w:rPr>
          <w:rFonts w:ascii="Aptos" w:hAnsi="Aptos"/>
          <w:color w:val="000000" w:themeColor="text1"/>
        </w:rPr>
        <w:t xml:space="preserve"> FAPE issu</w:t>
      </w:r>
      <w:r w:rsidR="0039002A">
        <w:rPr>
          <w:rFonts w:ascii="Aptos" w:hAnsi="Aptos"/>
          <w:color w:val="000000" w:themeColor="text1"/>
        </w:rPr>
        <w:t>e</w:t>
      </w:r>
      <w:r w:rsidR="00134A7B">
        <w:rPr>
          <w:rFonts w:ascii="Aptos" w:hAnsi="Aptos"/>
          <w:color w:val="000000" w:themeColor="text1"/>
        </w:rPr>
        <w:t>(s)</w:t>
      </w:r>
      <w:r w:rsidR="00A45889">
        <w:rPr>
          <w:rFonts w:ascii="Aptos" w:hAnsi="Aptos"/>
          <w:color w:val="000000" w:themeColor="text1"/>
        </w:rPr>
        <w:t xml:space="preserve"> with regard to the </w:t>
      </w:r>
      <w:r w:rsidR="00134A7B">
        <w:rPr>
          <w:rFonts w:ascii="Aptos" w:hAnsi="Aptos"/>
          <w:color w:val="000000" w:themeColor="text1"/>
        </w:rPr>
        <w:t xml:space="preserve">change in placement from Parthum to Oliver. </w:t>
      </w:r>
    </w:p>
    <w:p w14:paraId="49CC925F" w14:textId="5995CE0C" w:rsidR="00EB4A51" w:rsidRPr="00C02A63" w:rsidRDefault="00EB4A51" w:rsidP="007F0EC6">
      <w:pPr>
        <w:shd w:val="clear" w:color="auto" w:fill="FFFFFF"/>
        <w:rPr>
          <w:rFonts w:ascii="Aptos" w:hAnsi="Aptos"/>
          <w:color w:val="000000" w:themeColor="text1"/>
        </w:rPr>
      </w:pPr>
    </w:p>
    <w:p w14:paraId="7587FA24" w14:textId="25575398" w:rsidR="004E5432" w:rsidRPr="005C1236" w:rsidRDefault="004E5432" w:rsidP="007F0EC6">
      <w:pPr>
        <w:shd w:val="clear" w:color="auto" w:fill="FFFFFF"/>
        <w:rPr>
          <w:rFonts w:ascii="Aptos" w:hAnsi="Aptos"/>
          <w:color w:val="000000" w:themeColor="text1"/>
        </w:rPr>
      </w:pPr>
      <w:r w:rsidRPr="005C1236">
        <w:rPr>
          <w:rFonts w:ascii="Aptos" w:hAnsi="Aptos"/>
          <w:b/>
          <w:bCs/>
          <w:color w:val="000000" w:themeColor="text1"/>
        </w:rPr>
        <w:t>ORDER:</w:t>
      </w:r>
    </w:p>
    <w:p w14:paraId="7C9430FC" w14:textId="77777777" w:rsidR="004E5432" w:rsidRPr="005C1236" w:rsidRDefault="004E5432" w:rsidP="007F0EC6">
      <w:pPr>
        <w:shd w:val="clear" w:color="auto" w:fill="FFFFFF"/>
        <w:rPr>
          <w:rFonts w:ascii="Aptos" w:hAnsi="Aptos"/>
          <w:color w:val="000000" w:themeColor="text1"/>
        </w:rPr>
      </w:pPr>
    </w:p>
    <w:p w14:paraId="56569EBF" w14:textId="56E1312D" w:rsidR="00583DD0" w:rsidRDefault="00583DD0" w:rsidP="007F0EC6">
      <w:pPr>
        <w:shd w:val="clear" w:color="auto" w:fill="FFFFFF"/>
        <w:rPr>
          <w:rFonts w:ascii="Aptos" w:hAnsi="Aptos"/>
          <w:color w:val="000000" w:themeColor="text1"/>
        </w:rPr>
      </w:pPr>
      <w:r>
        <w:rPr>
          <w:rFonts w:ascii="Aptos" w:hAnsi="Aptos"/>
          <w:color w:val="000000" w:themeColor="text1"/>
        </w:rPr>
        <w:t>Parent’s Motion for Stay Put is DENIED.</w:t>
      </w:r>
    </w:p>
    <w:p w14:paraId="09A67A32" w14:textId="77777777" w:rsidR="00583DD0" w:rsidRDefault="00583DD0" w:rsidP="007F0EC6">
      <w:pPr>
        <w:shd w:val="clear" w:color="auto" w:fill="FFFFFF"/>
        <w:rPr>
          <w:rFonts w:ascii="Aptos" w:hAnsi="Aptos"/>
          <w:color w:val="000000" w:themeColor="text1"/>
        </w:rPr>
      </w:pPr>
    </w:p>
    <w:p w14:paraId="4B91E579" w14:textId="45AEC4C4" w:rsidR="00C02A63" w:rsidRPr="005C1236" w:rsidRDefault="00583DD0" w:rsidP="007F0EC6">
      <w:pPr>
        <w:shd w:val="clear" w:color="auto" w:fill="FFFFFF"/>
        <w:rPr>
          <w:rFonts w:ascii="Aptos" w:hAnsi="Aptos"/>
          <w:color w:val="000000" w:themeColor="text1"/>
        </w:rPr>
      </w:pPr>
      <w:r>
        <w:rPr>
          <w:rFonts w:ascii="Aptos" w:hAnsi="Aptos"/>
          <w:color w:val="000000" w:themeColor="text1"/>
        </w:rPr>
        <w:t>Lawrence’s</w:t>
      </w:r>
      <w:r w:rsidR="000B05B3" w:rsidRPr="005C1236">
        <w:rPr>
          <w:rFonts w:ascii="Aptos" w:hAnsi="Aptos"/>
          <w:color w:val="000000" w:themeColor="text1"/>
        </w:rPr>
        <w:t xml:space="preserve"> </w:t>
      </w:r>
      <w:r w:rsidR="000B05B3" w:rsidRPr="00C02A63">
        <w:rPr>
          <w:rFonts w:ascii="Aptos" w:hAnsi="Aptos"/>
          <w:i/>
          <w:iCs/>
          <w:color w:val="000000" w:themeColor="text1"/>
        </w:rPr>
        <w:t>Motion to Dismiss</w:t>
      </w:r>
      <w:r w:rsidR="000B05B3" w:rsidRPr="005C1236">
        <w:rPr>
          <w:rFonts w:ascii="Aptos" w:hAnsi="Aptos"/>
          <w:color w:val="000000" w:themeColor="text1"/>
        </w:rPr>
        <w:t xml:space="preserve"> is ALLOWED</w:t>
      </w:r>
      <w:r w:rsidR="00D57630">
        <w:rPr>
          <w:rFonts w:ascii="Aptos" w:hAnsi="Aptos"/>
          <w:color w:val="000000" w:themeColor="text1"/>
        </w:rPr>
        <w:t>.</w:t>
      </w:r>
      <w:r w:rsidR="00C60EDD">
        <w:rPr>
          <w:rFonts w:ascii="Aptos" w:hAnsi="Aptos"/>
          <w:color w:val="000000" w:themeColor="text1"/>
        </w:rPr>
        <w:t xml:space="preserve"> The Hearing Request is dismissed</w:t>
      </w:r>
      <w:r w:rsidR="0054334A">
        <w:rPr>
          <w:rFonts w:ascii="Aptos" w:hAnsi="Aptos"/>
          <w:color w:val="000000" w:themeColor="text1"/>
        </w:rPr>
        <w:t xml:space="preserve"> </w:t>
      </w:r>
      <w:r w:rsidR="002D295D" w:rsidRPr="002D295D">
        <w:rPr>
          <w:rFonts w:ascii="Aptos" w:hAnsi="Aptos"/>
          <w:color w:val="000000" w:themeColor="text1"/>
        </w:rPr>
        <w:t>with prejudice as to jurisdiction (variance claim), but without prejudice</w:t>
      </w:r>
      <w:r w:rsidR="00A25A38">
        <w:rPr>
          <w:rFonts w:ascii="Aptos" w:hAnsi="Aptos"/>
          <w:color w:val="000000" w:themeColor="text1"/>
        </w:rPr>
        <w:t xml:space="preserve"> as</w:t>
      </w:r>
      <w:r w:rsidR="002D295D" w:rsidRPr="002D295D">
        <w:rPr>
          <w:rFonts w:ascii="Aptos" w:hAnsi="Aptos"/>
          <w:color w:val="000000" w:themeColor="text1"/>
        </w:rPr>
        <w:t xml:space="preserve"> to any future FAPE/IEP-based claim</w:t>
      </w:r>
      <w:r w:rsidR="008A590B">
        <w:rPr>
          <w:rFonts w:ascii="Aptos" w:hAnsi="Aptos"/>
          <w:color w:val="000000" w:themeColor="text1"/>
        </w:rPr>
        <w:t>s</w:t>
      </w:r>
      <w:r w:rsidR="002D295D" w:rsidRPr="002D295D">
        <w:rPr>
          <w:rFonts w:ascii="Aptos" w:hAnsi="Aptos"/>
          <w:color w:val="000000" w:themeColor="text1"/>
        </w:rPr>
        <w:t>.</w:t>
      </w:r>
      <w:r w:rsidR="00D57630">
        <w:rPr>
          <w:rFonts w:ascii="Aptos" w:hAnsi="Aptos"/>
          <w:color w:val="000000" w:themeColor="text1"/>
        </w:rPr>
        <w:t xml:space="preserve"> </w:t>
      </w:r>
    </w:p>
    <w:p w14:paraId="0CC664F7" w14:textId="76FF4A17" w:rsidR="004E5432" w:rsidRPr="005C1236" w:rsidRDefault="004E5432" w:rsidP="007F0EC6">
      <w:pPr>
        <w:pStyle w:val="Default"/>
        <w:rPr>
          <w:rFonts w:ascii="Aptos" w:hAnsi="Aptos"/>
          <w:bCs/>
          <w:color w:val="000000" w:themeColor="text1"/>
        </w:rPr>
      </w:pPr>
    </w:p>
    <w:p w14:paraId="321C1FF6" w14:textId="77777777" w:rsidR="004E5432" w:rsidRPr="005C1236" w:rsidRDefault="004E5432" w:rsidP="007F0EC6">
      <w:pPr>
        <w:shd w:val="clear" w:color="auto" w:fill="FFFFFF"/>
        <w:rPr>
          <w:rFonts w:ascii="Aptos" w:hAnsi="Aptos"/>
          <w:color w:val="000000" w:themeColor="text1"/>
        </w:rPr>
      </w:pPr>
      <w:r w:rsidRPr="005C1236">
        <w:rPr>
          <w:rFonts w:ascii="Aptos" w:hAnsi="Aptos"/>
          <w:color w:val="000000" w:themeColor="text1"/>
        </w:rPr>
        <w:t>By the Hearing Officer:</w:t>
      </w:r>
    </w:p>
    <w:p w14:paraId="7C02FE19" w14:textId="77777777" w:rsidR="004E5432" w:rsidRPr="005C1236" w:rsidRDefault="004E5432" w:rsidP="007F0EC6">
      <w:pPr>
        <w:shd w:val="clear" w:color="auto" w:fill="FFFFFF"/>
        <w:rPr>
          <w:rFonts w:ascii="Aptos" w:hAnsi="Aptos"/>
          <w:color w:val="000000" w:themeColor="text1"/>
        </w:rPr>
      </w:pPr>
    </w:p>
    <w:p w14:paraId="19DB0E34" w14:textId="77777777" w:rsidR="004E5432" w:rsidRPr="005C1236" w:rsidRDefault="004E5432" w:rsidP="007F0EC6">
      <w:pPr>
        <w:shd w:val="clear" w:color="auto" w:fill="FFFFFF"/>
        <w:rPr>
          <w:rFonts w:ascii="Aptos" w:hAnsi="Aptos"/>
          <w:color w:val="000000" w:themeColor="text1"/>
          <w:u w:val="single"/>
        </w:rPr>
      </w:pPr>
      <w:r w:rsidRPr="005C1236">
        <w:rPr>
          <w:rFonts w:ascii="Aptos" w:hAnsi="Aptos"/>
          <w:color w:val="000000" w:themeColor="text1"/>
          <w:u w:val="single"/>
        </w:rPr>
        <w:t>/s/ Alina Kantor Nir</w:t>
      </w:r>
      <w:r w:rsidRPr="005C1236">
        <w:rPr>
          <w:rFonts w:ascii="Aptos" w:hAnsi="Aptos" w:cs="Cambria"/>
          <w:color w:val="000000" w:themeColor="text1"/>
          <w:u w:val="single"/>
        </w:rPr>
        <w:t> </w:t>
      </w:r>
    </w:p>
    <w:p w14:paraId="005FC7FE" w14:textId="34F2FE86" w:rsidR="004E5432" w:rsidRPr="005C1236" w:rsidRDefault="004E5432" w:rsidP="007F0EC6">
      <w:pPr>
        <w:shd w:val="clear" w:color="auto" w:fill="FFFFFF"/>
        <w:rPr>
          <w:rFonts w:ascii="Aptos" w:hAnsi="Aptos"/>
          <w:color w:val="000000" w:themeColor="text1"/>
        </w:rPr>
      </w:pPr>
      <w:r w:rsidRPr="005C1236">
        <w:rPr>
          <w:rFonts w:ascii="Aptos" w:hAnsi="Aptos"/>
          <w:color w:val="000000" w:themeColor="text1"/>
        </w:rPr>
        <w:t>Alina Kantor Nir</w:t>
      </w:r>
      <w:r w:rsidRPr="005C1236">
        <w:rPr>
          <w:rFonts w:ascii="Aptos" w:hAnsi="Aptos"/>
          <w:color w:val="000000" w:themeColor="text1"/>
        </w:rPr>
        <w:br/>
        <w:t xml:space="preserve">Dated: </w:t>
      </w:r>
      <w:r w:rsidR="0054334A">
        <w:rPr>
          <w:rFonts w:ascii="Aptos" w:hAnsi="Aptos"/>
          <w:color w:val="000000" w:themeColor="text1"/>
        </w:rPr>
        <w:t xml:space="preserve">May </w:t>
      </w:r>
      <w:r w:rsidR="007D186F">
        <w:rPr>
          <w:rFonts w:ascii="Aptos" w:hAnsi="Aptos"/>
          <w:color w:val="000000" w:themeColor="text1"/>
        </w:rPr>
        <w:t>5</w:t>
      </w:r>
      <w:r w:rsidR="0054334A">
        <w:rPr>
          <w:rFonts w:ascii="Aptos" w:hAnsi="Aptos"/>
          <w:color w:val="000000" w:themeColor="text1"/>
        </w:rPr>
        <w:t xml:space="preserve">, </w:t>
      </w:r>
      <w:r w:rsidR="009922AD" w:rsidRPr="005C1236">
        <w:rPr>
          <w:rFonts w:ascii="Aptos" w:hAnsi="Aptos"/>
          <w:color w:val="000000" w:themeColor="text1"/>
        </w:rPr>
        <w:t>2026</w:t>
      </w:r>
    </w:p>
    <w:p w14:paraId="6034F190" w14:textId="6A241034" w:rsidR="009F40AC" w:rsidRPr="005C1236" w:rsidRDefault="009F40AC" w:rsidP="007F0EC6">
      <w:pPr>
        <w:rPr>
          <w:rFonts w:ascii="Aptos" w:hAnsi="Aptos"/>
          <w:color w:val="000000" w:themeColor="text1"/>
        </w:rPr>
      </w:pPr>
      <w:r w:rsidRPr="005C1236">
        <w:rPr>
          <w:rFonts w:ascii="Aptos" w:hAnsi="Aptos"/>
          <w:color w:val="000000" w:themeColor="text1"/>
        </w:rPr>
        <w:br w:type="page"/>
      </w:r>
    </w:p>
    <w:p w14:paraId="286ABF0A" w14:textId="77777777" w:rsidR="009F40AC" w:rsidRPr="005C1236" w:rsidRDefault="009F40AC" w:rsidP="007F0EC6">
      <w:pPr>
        <w:shd w:val="clear" w:color="auto" w:fill="FFFFFF"/>
        <w:jc w:val="center"/>
        <w:rPr>
          <w:rFonts w:ascii="Aptos" w:hAnsi="Aptos"/>
          <w:b/>
          <w:bCs/>
          <w:color w:val="000000" w:themeColor="text1"/>
        </w:rPr>
      </w:pPr>
      <w:r w:rsidRPr="005C1236">
        <w:rPr>
          <w:rFonts w:ascii="Aptos" w:hAnsi="Aptos"/>
          <w:b/>
          <w:bCs/>
          <w:color w:val="000000" w:themeColor="text1"/>
        </w:rPr>
        <w:lastRenderedPageBreak/>
        <w:t>COMMONWEALTH OF MASSACHUSETTS</w:t>
      </w:r>
    </w:p>
    <w:p w14:paraId="222FA552" w14:textId="77777777" w:rsidR="009F40AC" w:rsidRPr="005C1236" w:rsidRDefault="009F40AC" w:rsidP="007F0EC6">
      <w:pPr>
        <w:shd w:val="clear" w:color="auto" w:fill="FFFFFF"/>
        <w:jc w:val="center"/>
        <w:rPr>
          <w:rFonts w:ascii="Aptos" w:hAnsi="Aptos"/>
          <w:b/>
          <w:bCs/>
          <w:color w:val="000000" w:themeColor="text1"/>
        </w:rPr>
      </w:pPr>
      <w:r w:rsidRPr="005C1236">
        <w:rPr>
          <w:rFonts w:ascii="Aptos" w:hAnsi="Aptos"/>
          <w:b/>
          <w:bCs/>
          <w:color w:val="000000" w:themeColor="text1"/>
        </w:rPr>
        <w:t>BUREAU OF SPECIAL EDUCATION APPEALS</w:t>
      </w:r>
    </w:p>
    <w:p w14:paraId="18E60798" w14:textId="77777777" w:rsidR="009F40AC" w:rsidRPr="005C1236" w:rsidRDefault="009F40AC" w:rsidP="007F0EC6">
      <w:pPr>
        <w:shd w:val="clear" w:color="auto" w:fill="FFFFFF"/>
        <w:jc w:val="center"/>
        <w:rPr>
          <w:rFonts w:ascii="Aptos" w:hAnsi="Aptos"/>
          <w:b/>
          <w:bCs/>
          <w:color w:val="000000" w:themeColor="text1"/>
          <w:u w:val="single"/>
        </w:rPr>
      </w:pPr>
      <w:r w:rsidRPr="005C1236">
        <w:rPr>
          <w:rFonts w:ascii="Aptos" w:hAnsi="Aptos"/>
          <w:b/>
          <w:bCs/>
          <w:color w:val="000000" w:themeColor="text1"/>
          <w:u w:val="single"/>
        </w:rPr>
        <w:t>EFFECT OF FINAL BSEA ACTIONS AND RIGHTS OF APPEAL</w:t>
      </w:r>
    </w:p>
    <w:p w14:paraId="4BBE0CAA" w14:textId="77777777" w:rsidR="009F40AC" w:rsidRPr="005C1236" w:rsidRDefault="009F40AC" w:rsidP="007F0EC6">
      <w:pPr>
        <w:shd w:val="clear" w:color="auto" w:fill="FFFFFF"/>
        <w:rPr>
          <w:rFonts w:ascii="Aptos" w:hAnsi="Aptos"/>
          <w:b/>
          <w:bCs/>
          <w:color w:val="000000" w:themeColor="text1"/>
        </w:rPr>
      </w:pPr>
    </w:p>
    <w:p w14:paraId="54F8A34F" w14:textId="77777777" w:rsidR="009F40AC" w:rsidRPr="005C1236" w:rsidRDefault="009F40AC" w:rsidP="007F0EC6">
      <w:pPr>
        <w:shd w:val="clear" w:color="auto" w:fill="FFFFFF"/>
        <w:rPr>
          <w:rFonts w:ascii="Aptos" w:hAnsi="Aptos"/>
          <w:b/>
          <w:bCs/>
          <w:color w:val="000000" w:themeColor="text1"/>
          <w:u w:val="single"/>
        </w:rPr>
      </w:pPr>
      <w:r w:rsidRPr="005C1236">
        <w:rPr>
          <w:rFonts w:ascii="Aptos" w:hAnsi="Aptos"/>
          <w:b/>
          <w:bCs/>
          <w:color w:val="000000" w:themeColor="text1"/>
          <w:u w:val="single"/>
        </w:rPr>
        <w:t>Effect of BSEA Decision, Dismissal with Prejudice and Allowance of Motion for Summary Judgment</w:t>
      </w:r>
    </w:p>
    <w:p w14:paraId="619DE776" w14:textId="77777777" w:rsidR="009F40AC" w:rsidRPr="005C1236" w:rsidRDefault="009F40AC" w:rsidP="007F0EC6">
      <w:pPr>
        <w:shd w:val="clear" w:color="auto" w:fill="FFFFFF"/>
        <w:rPr>
          <w:rFonts w:ascii="Aptos" w:hAnsi="Aptos"/>
          <w:color w:val="000000" w:themeColor="text1"/>
        </w:rPr>
      </w:pPr>
      <w:r w:rsidRPr="005C1236">
        <w:rPr>
          <w:rFonts w:ascii="Aptos" w:hAnsi="Aptos"/>
          <w:color w:val="000000" w:themeColor="text1"/>
        </w:rPr>
        <w:t xml:space="preserve">20 U.S.C. s. 1415(i)(1)(B) requires that a decision of the Bureau of Special Education Appeals be final and subject to no further agency review. Similarly, a Ruling Dismissing a Matter with Prejudice and a Ruling Allowing a Motion for Summary Judgment are final agency actions. If a ruling orders Dismissal with Prejudice of some, but not all claims in the hearing request, or if a ruling orders Summary Judgment with respect to some but not all claims, the ruling of Dismissal with Prejudice or Summary Judgment is final with respect to those claims only.  </w:t>
      </w:r>
    </w:p>
    <w:p w14:paraId="2758B25B" w14:textId="77777777" w:rsidR="0062077C" w:rsidRPr="005C1236" w:rsidRDefault="0062077C" w:rsidP="007F0EC6">
      <w:pPr>
        <w:shd w:val="clear" w:color="auto" w:fill="FFFFFF"/>
        <w:rPr>
          <w:rFonts w:ascii="Aptos" w:hAnsi="Aptos"/>
          <w:color w:val="000000" w:themeColor="text1"/>
        </w:rPr>
      </w:pPr>
    </w:p>
    <w:p w14:paraId="01C58AF0" w14:textId="2C648540" w:rsidR="009F40AC" w:rsidRPr="005C1236" w:rsidRDefault="009F40AC" w:rsidP="007F0EC6">
      <w:pPr>
        <w:shd w:val="clear" w:color="auto" w:fill="FFFFFF"/>
        <w:rPr>
          <w:rFonts w:ascii="Aptos" w:hAnsi="Aptos"/>
          <w:color w:val="000000" w:themeColor="text1"/>
        </w:rPr>
      </w:pPr>
      <w:r w:rsidRPr="005C1236">
        <w:rPr>
          <w:rFonts w:ascii="Aptos" w:hAnsi="Aptos"/>
          <w:color w:val="000000" w:themeColor="text1"/>
        </w:rPr>
        <w:t>Accordingly, the Bureau cannot permit motions to reconsider or to re-open either a Bureau decision or the Rulings set forth above once they have issued. They are final subject only to judicial (court) review.</w:t>
      </w:r>
    </w:p>
    <w:p w14:paraId="3AB05FCD" w14:textId="77777777" w:rsidR="0062077C" w:rsidRPr="005C1236" w:rsidRDefault="0062077C" w:rsidP="007F0EC6">
      <w:pPr>
        <w:shd w:val="clear" w:color="auto" w:fill="FFFFFF"/>
        <w:rPr>
          <w:rFonts w:ascii="Aptos" w:hAnsi="Aptos"/>
          <w:color w:val="000000" w:themeColor="text1"/>
        </w:rPr>
      </w:pPr>
    </w:p>
    <w:p w14:paraId="126FD056" w14:textId="446D9315" w:rsidR="009F40AC" w:rsidRPr="005C1236" w:rsidRDefault="009F40AC" w:rsidP="007F0EC6">
      <w:pPr>
        <w:shd w:val="clear" w:color="auto" w:fill="FFFFFF"/>
        <w:rPr>
          <w:rFonts w:ascii="Aptos" w:hAnsi="Aptos"/>
          <w:color w:val="000000" w:themeColor="text1"/>
        </w:rPr>
      </w:pPr>
      <w:r w:rsidRPr="005C1236">
        <w:rPr>
          <w:rFonts w:ascii="Aptos" w:hAnsi="Aptos"/>
          <w:color w:val="000000" w:themeColor="text1"/>
        </w:rPr>
        <w:t>Except as set forth below, the final decision of the Bureau must be implemented immediately. Pursuant to M.G.L. c. 30A, s. 14(3), appeal of the decision does not operate as a stay.  This means that the decision must be implemented immediately even if the other party files an appeal in court, and implementation cannot be delayed while the appeal is being decided.  Rather, a party seeking to stay—that is, delay implementation of-- the decision of the Bureau must request and obtain such stay from the court having jurisdiction over the party’s appeal.</w:t>
      </w:r>
    </w:p>
    <w:p w14:paraId="52149ACA" w14:textId="77777777" w:rsidR="0062077C" w:rsidRPr="005C1236" w:rsidRDefault="0062077C" w:rsidP="007F0EC6">
      <w:pPr>
        <w:shd w:val="clear" w:color="auto" w:fill="FFFFFF"/>
        <w:rPr>
          <w:rFonts w:ascii="Aptos" w:hAnsi="Aptos"/>
          <w:color w:val="000000" w:themeColor="text1"/>
        </w:rPr>
      </w:pPr>
    </w:p>
    <w:p w14:paraId="66984118" w14:textId="1F71213B" w:rsidR="009F40AC" w:rsidRPr="005C1236" w:rsidRDefault="009F40AC" w:rsidP="007F0EC6">
      <w:pPr>
        <w:shd w:val="clear" w:color="auto" w:fill="FFFFFF"/>
        <w:rPr>
          <w:rFonts w:ascii="Aptos" w:hAnsi="Aptos"/>
          <w:color w:val="000000" w:themeColor="text1"/>
        </w:rPr>
      </w:pPr>
      <w:r w:rsidRPr="005C1236">
        <w:rPr>
          <w:rFonts w:ascii="Aptos" w:hAnsi="Aptos"/>
          <w:color w:val="000000" w:themeColor="text1"/>
        </w:rPr>
        <w:t xml:space="preserve">Under the provisions of 20 U.S.C. s. 1415(j), “unless the State or local education agency and the parents otherwise agree, the child shall remain in the then-current educational placement,” while a judicial appeal of the Bureau decision is pending, unless the child is seeking initial admission to a public school, in which case “with the consent of the parents, the child shall be placed in the public school program.”  </w:t>
      </w:r>
    </w:p>
    <w:p w14:paraId="48FF87AA" w14:textId="77777777" w:rsidR="0062077C" w:rsidRPr="005C1236" w:rsidRDefault="0062077C" w:rsidP="007F0EC6">
      <w:pPr>
        <w:shd w:val="clear" w:color="auto" w:fill="FFFFFF"/>
        <w:rPr>
          <w:rFonts w:ascii="Aptos" w:hAnsi="Aptos"/>
          <w:color w:val="000000" w:themeColor="text1"/>
        </w:rPr>
      </w:pPr>
    </w:p>
    <w:p w14:paraId="7A061BFE" w14:textId="01418107" w:rsidR="009F40AC" w:rsidRPr="005C1236" w:rsidRDefault="009F40AC" w:rsidP="007F0EC6">
      <w:pPr>
        <w:shd w:val="clear" w:color="auto" w:fill="FFFFFF"/>
        <w:rPr>
          <w:rFonts w:ascii="Aptos" w:hAnsi="Aptos"/>
          <w:color w:val="000000" w:themeColor="text1"/>
        </w:rPr>
      </w:pPr>
      <w:r w:rsidRPr="005C1236">
        <w:rPr>
          <w:rFonts w:ascii="Aptos" w:hAnsi="Aptos"/>
          <w:color w:val="000000" w:themeColor="text1"/>
        </w:rPr>
        <w:t>Therefore, where the Bureau has ordered the public school to place the child in a new placement, and the parents or guardian agree with that order, the public school shall immediately implement the placement ordered by the Bureau.  School Committee of Burlington v. Massachusetts Department of Education, 471 U.S. 359 (1985).  Otherwise, a party seeking to change the child’s placement while judicial proceedings are pending must ask the court having jurisdiction over the appeal to grant a preliminary injunction ordering such a change in placement. Honig v. Doe, 484 U.S. 305 (1988); Doe v. Brookline, 722 F.2d 910 (1</w:t>
      </w:r>
      <w:r w:rsidRPr="005C1236">
        <w:rPr>
          <w:rFonts w:ascii="Aptos" w:hAnsi="Aptos"/>
          <w:color w:val="000000" w:themeColor="text1"/>
          <w:vertAlign w:val="superscript"/>
        </w:rPr>
        <w:t>st</w:t>
      </w:r>
      <w:r w:rsidRPr="005C1236">
        <w:rPr>
          <w:rFonts w:ascii="Aptos" w:hAnsi="Aptos"/>
          <w:color w:val="000000" w:themeColor="text1"/>
        </w:rPr>
        <w:t xml:space="preserve"> Cir. 1983).</w:t>
      </w:r>
    </w:p>
    <w:p w14:paraId="576CDD27" w14:textId="77777777" w:rsidR="009F40AC" w:rsidRPr="005C1236" w:rsidRDefault="009F40AC" w:rsidP="007F0EC6">
      <w:pPr>
        <w:shd w:val="clear" w:color="auto" w:fill="FFFFFF"/>
        <w:rPr>
          <w:rFonts w:ascii="Aptos" w:hAnsi="Aptos"/>
          <w:color w:val="000000" w:themeColor="text1"/>
        </w:rPr>
      </w:pPr>
    </w:p>
    <w:p w14:paraId="066D0101" w14:textId="77777777" w:rsidR="009F40AC" w:rsidRPr="005C1236" w:rsidRDefault="009F40AC" w:rsidP="007F0EC6">
      <w:pPr>
        <w:shd w:val="clear" w:color="auto" w:fill="FFFFFF"/>
        <w:rPr>
          <w:rFonts w:ascii="Aptos" w:hAnsi="Aptos"/>
          <w:b/>
          <w:bCs/>
          <w:color w:val="000000" w:themeColor="text1"/>
          <w:u w:val="single"/>
        </w:rPr>
      </w:pPr>
      <w:r w:rsidRPr="005C1236">
        <w:rPr>
          <w:rFonts w:ascii="Aptos" w:hAnsi="Aptos"/>
          <w:b/>
          <w:bCs/>
          <w:color w:val="000000" w:themeColor="text1"/>
          <w:u w:val="single"/>
        </w:rPr>
        <w:t>Compliance</w:t>
      </w:r>
    </w:p>
    <w:p w14:paraId="1ECC430E" w14:textId="77777777" w:rsidR="009F40AC" w:rsidRPr="005C1236" w:rsidRDefault="009F40AC" w:rsidP="007F0EC6">
      <w:pPr>
        <w:shd w:val="clear" w:color="auto" w:fill="FFFFFF"/>
        <w:rPr>
          <w:rFonts w:ascii="Aptos" w:hAnsi="Aptos"/>
          <w:color w:val="000000" w:themeColor="text1"/>
        </w:rPr>
      </w:pPr>
      <w:r w:rsidRPr="005C1236">
        <w:rPr>
          <w:rFonts w:ascii="Aptos" w:hAnsi="Aptos"/>
          <w:color w:val="000000" w:themeColor="text1"/>
        </w:rPr>
        <w:t xml:space="preserve">A party contending that a Bureau of Special Education Appeals decision is not being implemented may file a motion with the Bureau of Special Education Appeals contending </w:t>
      </w:r>
      <w:r w:rsidRPr="005C1236">
        <w:rPr>
          <w:rFonts w:ascii="Aptos" w:hAnsi="Aptos"/>
          <w:color w:val="000000" w:themeColor="text1"/>
        </w:rPr>
        <w:lastRenderedPageBreak/>
        <w:t>that the decision is not being implemented and setting out the areas of non-compliance. The Hearing Officer may convene a hearing at which the scope of the inquiry shall be limited to the facts on the issue of compliance, facts of such a nature as to excuse performance, and facts bearing on a remedy. Upon a finding of non-compliance, the Hearing Officer may fashion appropriate relief, including referral of the matter to the Legal Office of the Department of Elementary and Secondary Education or other office for appropriate enforcement action. 603 CMR 28.08(6)(b).</w:t>
      </w:r>
    </w:p>
    <w:p w14:paraId="1D3532B3" w14:textId="77777777" w:rsidR="009F40AC" w:rsidRPr="005C1236" w:rsidRDefault="009F40AC" w:rsidP="007F0EC6">
      <w:pPr>
        <w:shd w:val="clear" w:color="auto" w:fill="FFFFFF"/>
        <w:rPr>
          <w:rFonts w:ascii="Aptos" w:hAnsi="Aptos"/>
          <w:color w:val="000000" w:themeColor="text1"/>
        </w:rPr>
      </w:pPr>
    </w:p>
    <w:p w14:paraId="1CE6C2DD" w14:textId="77777777" w:rsidR="009F40AC" w:rsidRPr="005C1236" w:rsidRDefault="009F40AC" w:rsidP="007F0EC6">
      <w:pPr>
        <w:shd w:val="clear" w:color="auto" w:fill="FFFFFF"/>
        <w:rPr>
          <w:rFonts w:ascii="Aptos" w:hAnsi="Aptos"/>
          <w:b/>
          <w:bCs/>
          <w:color w:val="000000" w:themeColor="text1"/>
          <w:u w:val="single"/>
        </w:rPr>
      </w:pPr>
      <w:r w:rsidRPr="005C1236">
        <w:rPr>
          <w:rFonts w:ascii="Aptos" w:hAnsi="Aptos"/>
          <w:b/>
          <w:bCs/>
          <w:color w:val="000000" w:themeColor="text1"/>
          <w:u w:val="single"/>
        </w:rPr>
        <w:t>Rights of Appeal</w:t>
      </w:r>
    </w:p>
    <w:p w14:paraId="5BCE56D9" w14:textId="77777777" w:rsidR="009F40AC" w:rsidRPr="005C1236" w:rsidRDefault="009F40AC" w:rsidP="007F0EC6">
      <w:pPr>
        <w:shd w:val="clear" w:color="auto" w:fill="FFFFFF"/>
        <w:rPr>
          <w:rFonts w:ascii="Aptos" w:hAnsi="Aptos"/>
          <w:color w:val="000000" w:themeColor="text1"/>
        </w:rPr>
      </w:pPr>
      <w:r w:rsidRPr="005C1236">
        <w:rPr>
          <w:rFonts w:ascii="Aptos" w:hAnsi="Aptos"/>
          <w:color w:val="000000" w:themeColor="text1"/>
        </w:rPr>
        <w:t>Any party aggrieved by a final agency action by the Bureau of Special Education Appeals may file a complaint for review in the state superior court of competent jurisdiction or in the District Court of the United States for Massachusetts. 20 U.S.C. s. 1415(i)(2).</w:t>
      </w:r>
    </w:p>
    <w:p w14:paraId="15E6B660" w14:textId="77777777" w:rsidR="009F40AC" w:rsidRPr="005C1236" w:rsidRDefault="009F40AC" w:rsidP="007F0EC6">
      <w:pPr>
        <w:shd w:val="clear" w:color="auto" w:fill="FFFFFF"/>
        <w:rPr>
          <w:rFonts w:ascii="Aptos" w:hAnsi="Aptos"/>
          <w:color w:val="000000" w:themeColor="text1"/>
        </w:rPr>
      </w:pPr>
      <w:r w:rsidRPr="005C1236">
        <w:rPr>
          <w:rFonts w:ascii="Aptos" w:hAnsi="Aptos"/>
          <w:color w:val="000000" w:themeColor="text1"/>
        </w:rPr>
        <w:t>An appeal of a Bureau decision to state superior court or to federal district court must be filed within ninety (90) days from the date of the decision. 20 U.S.C. s. 1415(i)(2)(B).</w:t>
      </w:r>
    </w:p>
    <w:p w14:paraId="4EEF37CC" w14:textId="77777777" w:rsidR="009F40AC" w:rsidRPr="005C1236" w:rsidRDefault="009F40AC" w:rsidP="007F0EC6">
      <w:pPr>
        <w:shd w:val="clear" w:color="auto" w:fill="FFFFFF"/>
        <w:rPr>
          <w:rFonts w:ascii="Aptos" w:hAnsi="Aptos"/>
          <w:color w:val="000000" w:themeColor="text1"/>
        </w:rPr>
      </w:pPr>
    </w:p>
    <w:p w14:paraId="4A3C6C6B" w14:textId="77777777" w:rsidR="009F40AC" w:rsidRPr="005C1236" w:rsidRDefault="009F40AC" w:rsidP="007F0EC6">
      <w:pPr>
        <w:shd w:val="clear" w:color="auto" w:fill="FFFFFF"/>
        <w:rPr>
          <w:rFonts w:ascii="Aptos" w:hAnsi="Aptos"/>
          <w:b/>
          <w:bCs/>
          <w:color w:val="000000" w:themeColor="text1"/>
          <w:u w:val="single"/>
        </w:rPr>
      </w:pPr>
      <w:r w:rsidRPr="005C1236">
        <w:rPr>
          <w:rFonts w:ascii="Aptos" w:hAnsi="Aptos"/>
          <w:b/>
          <w:bCs/>
          <w:color w:val="000000" w:themeColor="text1"/>
          <w:u w:val="single"/>
        </w:rPr>
        <w:t>Confidentiality</w:t>
      </w:r>
    </w:p>
    <w:p w14:paraId="0B182083" w14:textId="77777777" w:rsidR="009F40AC" w:rsidRPr="005C1236" w:rsidRDefault="009F40AC" w:rsidP="007F0EC6">
      <w:pPr>
        <w:shd w:val="clear" w:color="auto" w:fill="FFFFFF"/>
        <w:rPr>
          <w:rFonts w:ascii="Aptos" w:hAnsi="Aptos"/>
          <w:color w:val="000000" w:themeColor="text1"/>
        </w:rPr>
      </w:pPr>
      <w:r w:rsidRPr="005C1236">
        <w:rPr>
          <w:rFonts w:ascii="Aptos" w:hAnsi="Aptos"/>
          <w:color w:val="000000" w:themeColor="text1"/>
        </w:rPr>
        <w:t>In order to preserve the confidentiality of the student involved in these proceedings, when an appeal is taken to superior court or to federal district court, the parties are strongly urged to file the complaint without identifying the true name of the parents or the child, and to move that all exhibits, including the transcript of the hearing before the Bureau of Special Education Appeals, be impounded by the court. See Webster Grove School District v. Pulitzer Publishing Company, 898 F.2d 1371 (8th. Cir. 1990). If the appealing party does not seek to impound the documents, the Bureau of Special Education Appeals, through the Attorney General's Office, may move to impound the documents.</w:t>
      </w:r>
    </w:p>
    <w:p w14:paraId="37A3FAB0" w14:textId="77777777" w:rsidR="009F40AC" w:rsidRPr="005C1236" w:rsidRDefault="009F40AC" w:rsidP="007F0EC6">
      <w:pPr>
        <w:shd w:val="clear" w:color="auto" w:fill="FFFFFF"/>
        <w:rPr>
          <w:rFonts w:ascii="Aptos" w:hAnsi="Aptos"/>
          <w:color w:val="000000" w:themeColor="text1"/>
        </w:rPr>
      </w:pPr>
    </w:p>
    <w:p w14:paraId="28D4F526" w14:textId="77777777" w:rsidR="009F40AC" w:rsidRPr="005C1236" w:rsidRDefault="009F40AC" w:rsidP="007F0EC6">
      <w:pPr>
        <w:shd w:val="clear" w:color="auto" w:fill="FFFFFF"/>
        <w:rPr>
          <w:rFonts w:ascii="Aptos" w:hAnsi="Aptos"/>
          <w:b/>
          <w:bCs/>
          <w:color w:val="000000" w:themeColor="text1"/>
          <w:u w:val="single"/>
        </w:rPr>
      </w:pPr>
      <w:r w:rsidRPr="005C1236">
        <w:rPr>
          <w:rFonts w:ascii="Aptos" w:hAnsi="Aptos"/>
          <w:b/>
          <w:bCs/>
          <w:color w:val="000000" w:themeColor="text1"/>
          <w:u w:val="single"/>
        </w:rPr>
        <w:t>Record of the Hearing</w:t>
      </w:r>
    </w:p>
    <w:p w14:paraId="0CCD8A06" w14:textId="77777777" w:rsidR="009F40AC" w:rsidRPr="005C1236" w:rsidRDefault="009F40AC" w:rsidP="007F0EC6">
      <w:pPr>
        <w:shd w:val="clear" w:color="auto" w:fill="FFFFFF"/>
        <w:rPr>
          <w:rFonts w:ascii="Aptos" w:hAnsi="Aptos"/>
          <w:color w:val="000000" w:themeColor="text1"/>
        </w:rPr>
      </w:pPr>
      <w:r w:rsidRPr="005C1236">
        <w:rPr>
          <w:rFonts w:ascii="Aptos" w:hAnsi="Aptos"/>
          <w:color w:val="000000" w:themeColor="text1"/>
        </w:rPr>
        <w:t>The Bureau of Special Education Appeals will provide an electronic verbatim record of the hearing to any party, free of charge, upon receipt of a written request. Pursuant to federal law, upon receipt of a written request from any party, the Bureau of Special Education Appeals will arrange for and provide a certified written transcription of the entire proceedings by a certified court reporter, free of charge.</w:t>
      </w:r>
    </w:p>
    <w:p w14:paraId="4434CC24" w14:textId="77777777" w:rsidR="009F40AC" w:rsidRPr="005C1236" w:rsidRDefault="009F40AC" w:rsidP="007F0EC6">
      <w:pPr>
        <w:shd w:val="clear" w:color="auto" w:fill="FFFFFF"/>
        <w:rPr>
          <w:rFonts w:ascii="Aptos" w:hAnsi="Aptos"/>
          <w:color w:val="000000" w:themeColor="text1"/>
        </w:rPr>
      </w:pPr>
    </w:p>
    <w:p w14:paraId="048E9481" w14:textId="77777777" w:rsidR="009F40AC" w:rsidRPr="005C1236" w:rsidRDefault="009F40AC" w:rsidP="007F0EC6">
      <w:pPr>
        <w:shd w:val="clear" w:color="auto" w:fill="FFFFFF"/>
        <w:rPr>
          <w:rFonts w:ascii="Aptos" w:hAnsi="Aptos"/>
          <w:color w:val="000000" w:themeColor="text1"/>
        </w:rPr>
      </w:pPr>
    </w:p>
    <w:sectPr w:rsidR="009F40AC" w:rsidRPr="005C1236">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8C3D4" w14:textId="77777777" w:rsidR="004613C1" w:rsidRDefault="004613C1" w:rsidP="00E54083">
      <w:r>
        <w:separator/>
      </w:r>
    </w:p>
  </w:endnote>
  <w:endnote w:type="continuationSeparator" w:id="0">
    <w:p w14:paraId="407D379E" w14:textId="77777777" w:rsidR="004613C1" w:rsidRDefault="004613C1" w:rsidP="00E54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Apple Chancery">
    <w:altName w:val="APPLE CHANCERY"/>
    <w:charset w:val="B1"/>
    <w:family w:val="script"/>
    <w:pitch w:val="variable"/>
    <w:sig w:usb0="80000867" w:usb1="00000003" w:usb2="00000000" w:usb3="00000000" w:csb0="000001F3" w:csb1="00000000"/>
  </w:font>
  <w:font w:name="Cambria">
    <w:panose1 w:val="02040503050406030204"/>
    <w:charset w:val="00"/>
    <w:family w:val="roman"/>
    <w:pitch w:val="variable"/>
    <w:sig w:usb0="E00006FF" w:usb1="420024FF" w:usb2="02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2518382"/>
      <w:docPartObj>
        <w:docPartGallery w:val="Page Numbers (Bottom of Page)"/>
        <w:docPartUnique/>
      </w:docPartObj>
    </w:sdtPr>
    <w:sdtEndPr>
      <w:rPr>
        <w:rStyle w:val="PageNumber"/>
      </w:rPr>
    </w:sdtEndPr>
    <w:sdtContent>
      <w:p w14:paraId="0B649117" w14:textId="18F4E5E7" w:rsidR="00B71C08" w:rsidRDefault="00B71C0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D4435">
          <w:rPr>
            <w:rStyle w:val="PageNumber"/>
            <w:noProof/>
          </w:rPr>
          <w:t>10</w:t>
        </w:r>
        <w:r>
          <w:rPr>
            <w:rStyle w:val="PageNumber"/>
          </w:rPr>
          <w:fldChar w:fldCharType="end"/>
        </w:r>
      </w:p>
    </w:sdtContent>
  </w:sdt>
  <w:p w14:paraId="1558D15D" w14:textId="77777777" w:rsidR="00B71C08" w:rsidRDefault="00B71C08" w:rsidP="00B71C0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45772300"/>
      <w:docPartObj>
        <w:docPartGallery w:val="Page Numbers (Bottom of Page)"/>
        <w:docPartUnique/>
      </w:docPartObj>
    </w:sdtPr>
    <w:sdtEndPr>
      <w:rPr>
        <w:rStyle w:val="PageNumber"/>
      </w:rPr>
    </w:sdtEndPr>
    <w:sdtContent>
      <w:p w14:paraId="3CFFC5BD" w14:textId="7B9687FB" w:rsidR="00B71C08" w:rsidRDefault="00B71C0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0F7C9A7" w14:textId="77777777" w:rsidR="00B71C08" w:rsidRDefault="00B71C08" w:rsidP="00B71C0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823B7" w14:textId="77777777" w:rsidR="004613C1" w:rsidRDefault="004613C1" w:rsidP="00E54083">
      <w:r>
        <w:separator/>
      </w:r>
    </w:p>
  </w:footnote>
  <w:footnote w:type="continuationSeparator" w:id="0">
    <w:p w14:paraId="01003F7F" w14:textId="77777777" w:rsidR="004613C1" w:rsidRDefault="004613C1" w:rsidP="00E54083">
      <w:r>
        <w:continuationSeparator/>
      </w:r>
    </w:p>
  </w:footnote>
  <w:footnote w:id="1">
    <w:p w14:paraId="0822568F" w14:textId="6E0155A0" w:rsidR="004047CB" w:rsidRPr="000F7481" w:rsidRDefault="004047CB" w:rsidP="00C301FD">
      <w:pPr>
        <w:pStyle w:val="FootnoteText"/>
        <w:rPr>
          <w:rFonts w:ascii="Aptos" w:hAnsi="Aptos"/>
          <w:color w:val="000000" w:themeColor="text1"/>
        </w:rPr>
      </w:pPr>
      <w:r w:rsidRPr="000F7481">
        <w:rPr>
          <w:rStyle w:val="FootnoteReference"/>
          <w:rFonts w:ascii="Aptos" w:hAnsi="Aptos"/>
          <w:color w:val="000000" w:themeColor="text1"/>
        </w:rPr>
        <w:footnoteRef/>
      </w:r>
      <w:r w:rsidRPr="000F7481">
        <w:rPr>
          <w:rFonts w:ascii="Aptos" w:hAnsi="Aptos"/>
          <w:color w:val="000000" w:themeColor="text1"/>
        </w:rPr>
        <w:t xml:space="preserve"> The </w:t>
      </w:r>
      <w:r w:rsidRPr="000F7481">
        <w:rPr>
          <w:rFonts w:ascii="Aptos" w:hAnsi="Aptos"/>
          <w:i/>
          <w:iCs/>
          <w:color w:val="000000" w:themeColor="text1"/>
        </w:rPr>
        <w:t>Motion to Dismiss</w:t>
      </w:r>
      <w:r w:rsidRPr="000F7481">
        <w:rPr>
          <w:rFonts w:ascii="Aptos" w:hAnsi="Aptos"/>
          <w:color w:val="000000" w:themeColor="text1"/>
        </w:rPr>
        <w:t xml:space="preserve"> was filed on Saturday, April 4, 2026, and, as such, it is deemed to have been filed on the next business day, April 6, 2026.</w:t>
      </w:r>
    </w:p>
  </w:footnote>
  <w:footnote w:id="2">
    <w:p w14:paraId="13AA0D95" w14:textId="691B1F9D" w:rsidR="00E45780" w:rsidRPr="000F7481" w:rsidRDefault="00E45780" w:rsidP="00C301FD">
      <w:pPr>
        <w:pStyle w:val="FootnoteText"/>
        <w:rPr>
          <w:rFonts w:ascii="Aptos" w:hAnsi="Aptos"/>
          <w:color w:val="000000" w:themeColor="text1"/>
        </w:rPr>
      </w:pPr>
      <w:r w:rsidRPr="000F7481">
        <w:rPr>
          <w:rStyle w:val="FootnoteReference"/>
          <w:rFonts w:ascii="Aptos" w:hAnsi="Aptos"/>
          <w:color w:val="000000" w:themeColor="text1"/>
        </w:rPr>
        <w:footnoteRef/>
      </w:r>
      <w:r w:rsidRPr="000F7481">
        <w:rPr>
          <w:rFonts w:ascii="Aptos" w:hAnsi="Aptos"/>
          <w:color w:val="000000" w:themeColor="text1"/>
        </w:rPr>
        <w:t xml:space="preserve"> </w:t>
      </w:r>
      <w:r w:rsidR="00044663" w:rsidRPr="000F7481">
        <w:rPr>
          <w:rFonts w:ascii="Aptos" w:hAnsi="Aptos"/>
          <w:color w:val="000000" w:themeColor="text1"/>
        </w:rPr>
        <w:t xml:space="preserve">Because Parent’s </w:t>
      </w:r>
      <w:r w:rsidR="00F515D3" w:rsidRPr="000F7481">
        <w:rPr>
          <w:rFonts w:ascii="Aptos" w:hAnsi="Aptos"/>
          <w:i/>
          <w:iCs/>
          <w:color w:val="000000" w:themeColor="text1"/>
        </w:rPr>
        <w:t xml:space="preserve">Opposition To District’s Motion To Dismiss </w:t>
      </w:r>
      <w:r w:rsidR="00044663" w:rsidRPr="000F7481">
        <w:rPr>
          <w:rFonts w:ascii="Aptos" w:hAnsi="Aptos"/>
          <w:color w:val="000000" w:themeColor="text1"/>
        </w:rPr>
        <w:t xml:space="preserve">seeks an order that Student remain in her current school placement pending resolution of this dispute, I interpret it as a </w:t>
      </w:r>
      <w:r w:rsidR="00F515D3" w:rsidRPr="000F7481">
        <w:rPr>
          <w:rFonts w:ascii="Aptos" w:hAnsi="Aptos"/>
          <w:i/>
          <w:iCs/>
          <w:color w:val="000000" w:themeColor="text1"/>
        </w:rPr>
        <w:t>Motion for Stay Put.</w:t>
      </w:r>
    </w:p>
  </w:footnote>
  <w:footnote w:id="3">
    <w:p w14:paraId="7A1D047F" w14:textId="5CA7A6ED" w:rsidR="00811750" w:rsidRPr="000F7481" w:rsidRDefault="00811750" w:rsidP="00C301FD">
      <w:pPr>
        <w:pStyle w:val="FootnoteText"/>
        <w:rPr>
          <w:rFonts w:ascii="Aptos" w:hAnsi="Aptos"/>
          <w:color w:val="000000" w:themeColor="text1"/>
        </w:rPr>
      </w:pPr>
      <w:r w:rsidRPr="000F7481">
        <w:rPr>
          <w:rStyle w:val="FootnoteReference"/>
          <w:rFonts w:ascii="Aptos" w:hAnsi="Aptos"/>
          <w:color w:val="000000" w:themeColor="text1"/>
        </w:rPr>
        <w:footnoteRef/>
      </w:r>
      <w:r w:rsidRPr="000F7481">
        <w:rPr>
          <w:rFonts w:ascii="Aptos" w:hAnsi="Aptos"/>
          <w:color w:val="000000" w:themeColor="text1"/>
        </w:rPr>
        <w:t xml:space="preserve"> </w:t>
      </w:r>
      <w:r w:rsidR="000808C6" w:rsidRPr="000F7481">
        <w:rPr>
          <w:rFonts w:ascii="Aptos" w:hAnsi="Aptos"/>
          <w:color w:val="000000" w:themeColor="text1"/>
        </w:rPr>
        <w:t xml:space="preserve">The following facts are derived from the pleadings </w:t>
      </w:r>
      <w:r w:rsidR="001A04A3" w:rsidRPr="000F7481">
        <w:rPr>
          <w:rFonts w:ascii="Aptos" w:hAnsi="Aptos"/>
          <w:color w:val="000000" w:themeColor="text1"/>
        </w:rPr>
        <w:t>and are subject to change in subsequent rulings or decision</w:t>
      </w:r>
      <w:r w:rsidR="000808C6" w:rsidRPr="000F7481">
        <w:rPr>
          <w:rFonts w:ascii="Aptos" w:hAnsi="Aptos"/>
          <w:color w:val="000000" w:themeColor="text1"/>
        </w:rPr>
        <w:t xml:space="preserve">. I take those </w:t>
      </w:r>
      <w:r w:rsidR="00CC17DB" w:rsidRPr="000F7481">
        <w:rPr>
          <w:rFonts w:ascii="Aptos" w:hAnsi="Aptos"/>
          <w:color w:val="000000" w:themeColor="text1"/>
        </w:rPr>
        <w:t xml:space="preserve">facts </w:t>
      </w:r>
      <w:r w:rsidR="000808C6" w:rsidRPr="000F7481">
        <w:rPr>
          <w:rFonts w:ascii="Aptos" w:hAnsi="Aptos"/>
          <w:color w:val="000000" w:themeColor="text1"/>
        </w:rPr>
        <w:t xml:space="preserve">pled by </w:t>
      </w:r>
      <w:r w:rsidR="001A04A3" w:rsidRPr="000F7481">
        <w:rPr>
          <w:rFonts w:ascii="Aptos" w:hAnsi="Aptos"/>
          <w:color w:val="000000" w:themeColor="text1"/>
        </w:rPr>
        <w:t>Parent</w:t>
      </w:r>
      <w:r w:rsidR="000808C6" w:rsidRPr="000F7481">
        <w:rPr>
          <w:rFonts w:ascii="Aptos" w:hAnsi="Aptos"/>
          <w:color w:val="000000" w:themeColor="text1"/>
        </w:rPr>
        <w:t xml:space="preserve"> as true for purposes of </w:t>
      </w:r>
      <w:r w:rsidR="005D1639" w:rsidRPr="000F7481">
        <w:rPr>
          <w:rFonts w:ascii="Aptos" w:hAnsi="Aptos"/>
          <w:color w:val="000000" w:themeColor="text1"/>
        </w:rPr>
        <w:t>the District’s</w:t>
      </w:r>
      <w:r w:rsidR="000808C6" w:rsidRPr="000F7481">
        <w:rPr>
          <w:rFonts w:ascii="Aptos" w:hAnsi="Aptos"/>
          <w:color w:val="000000" w:themeColor="text1"/>
        </w:rPr>
        <w:t> </w:t>
      </w:r>
      <w:r w:rsidR="006A504B" w:rsidRPr="000F7481">
        <w:rPr>
          <w:rFonts w:ascii="Aptos" w:hAnsi="Aptos"/>
          <w:i/>
          <w:iCs/>
          <w:color w:val="000000" w:themeColor="text1"/>
        </w:rPr>
        <w:t xml:space="preserve"> </w:t>
      </w:r>
      <w:r w:rsidR="000808C6" w:rsidRPr="000F7481">
        <w:rPr>
          <w:rFonts w:ascii="Aptos" w:hAnsi="Aptos"/>
          <w:i/>
          <w:iCs/>
          <w:color w:val="000000" w:themeColor="text1"/>
        </w:rPr>
        <w:t>Motion to Dismiss</w:t>
      </w:r>
      <w:r w:rsidR="000808C6" w:rsidRPr="000F7481">
        <w:rPr>
          <w:rFonts w:ascii="Aptos" w:hAnsi="Aptos"/>
          <w:color w:val="000000" w:themeColor="text1"/>
        </w:rPr>
        <w:t>, as well as any inferences that may be drawn therefrom</w:t>
      </w:r>
      <w:r w:rsidR="00576D4E" w:rsidRPr="000F7481">
        <w:rPr>
          <w:rFonts w:ascii="Aptos" w:hAnsi="Aptos"/>
          <w:color w:val="000000" w:themeColor="text1"/>
        </w:rPr>
        <w:t xml:space="preserve">. </w:t>
      </w:r>
      <w:r w:rsidR="00AA7BD4" w:rsidRPr="000F7481">
        <w:rPr>
          <w:rFonts w:ascii="Aptos" w:hAnsi="Aptos"/>
          <w:color w:val="000000" w:themeColor="text1"/>
        </w:rPr>
        <w:t>See </w:t>
      </w:r>
      <w:r w:rsidR="00AA7BD4" w:rsidRPr="000F7481">
        <w:rPr>
          <w:rFonts w:ascii="Aptos" w:hAnsi="Aptos"/>
          <w:i/>
          <w:iCs/>
          <w:color w:val="000000" w:themeColor="text1"/>
        </w:rPr>
        <w:t>Blank v. Chelmsford Ob/Gyn, P.C.</w:t>
      </w:r>
      <w:r w:rsidR="00AA7BD4" w:rsidRPr="000F7481">
        <w:rPr>
          <w:rFonts w:ascii="Aptos" w:hAnsi="Aptos"/>
          <w:color w:val="000000" w:themeColor="text1"/>
        </w:rPr>
        <w:t>, 420 Mass. 404, 407 (1995)</w:t>
      </w:r>
      <w:r w:rsidR="00CC17DB" w:rsidRPr="000F7481">
        <w:rPr>
          <w:rFonts w:ascii="Aptos" w:hAnsi="Aptos"/>
          <w:color w:val="000000" w:themeColor="text1"/>
        </w:rPr>
        <w:t>.</w:t>
      </w:r>
    </w:p>
  </w:footnote>
  <w:footnote w:id="4">
    <w:p w14:paraId="1FE78BCB" w14:textId="6D772B7D" w:rsidR="0082273A" w:rsidRPr="000F7481" w:rsidRDefault="0082273A">
      <w:pPr>
        <w:pStyle w:val="FootnoteText"/>
        <w:rPr>
          <w:rFonts w:ascii="Aptos" w:hAnsi="Aptos"/>
        </w:rPr>
      </w:pPr>
      <w:r w:rsidRPr="000F7481">
        <w:rPr>
          <w:rStyle w:val="FootnoteReference"/>
          <w:rFonts w:ascii="Aptos" w:hAnsi="Aptos"/>
        </w:rPr>
        <w:footnoteRef/>
      </w:r>
      <w:r w:rsidRPr="000F7481">
        <w:rPr>
          <w:rFonts w:ascii="Aptos" w:hAnsi="Aptos"/>
        </w:rPr>
        <w:t xml:space="preserve"> Parent presented no facts or evidence to the contrary in her pleading</w:t>
      </w:r>
      <w:r w:rsidR="000F7481" w:rsidRPr="000F7481">
        <w:rPr>
          <w:rFonts w:ascii="Aptos" w:hAnsi="Aptos"/>
        </w:rPr>
        <w:t>s</w:t>
      </w:r>
      <w:r w:rsidRPr="000F7481">
        <w:rPr>
          <w:rFonts w:ascii="Aptos" w:hAnsi="Aptos"/>
        </w:rPr>
        <w:t xml:space="preserve"> </w:t>
      </w:r>
      <w:r w:rsidR="005D72B3" w:rsidRPr="000F7481">
        <w:rPr>
          <w:rFonts w:ascii="Aptos" w:hAnsi="Aptos"/>
        </w:rPr>
        <w:t>and</w:t>
      </w:r>
      <w:r w:rsidR="000F7481" w:rsidRPr="000F7481">
        <w:rPr>
          <w:rFonts w:ascii="Aptos" w:hAnsi="Aptos"/>
        </w:rPr>
        <w:t>/or</w:t>
      </w:r>
      <w:r w:rsidR="005D72B3" w:rsidRPr="000F7481">
        <w:rPr>
          <w:rFonts w:ascii="Aptos" w:hAnsi="Aptos"/>
        </w:rPr>
        <w:t xml:space="preserve"> oral </w:t>
      </w:r>
      <w:r w:rsidR="000F7481" w:rsidRPr="000F7481">
        <w:rPr>
          <w:rFonts w:ascii="Aptos" w:hAnsi="Aptos"/>
        </w:rPr>
        <w:t>argument</w:t>
      </w:r>
      <w:r w:rsidR="005D72B3" w:rsidRPr="000F7481">
        <w:rPr>
          <w:rFonts w:ascii="Aptos" w:hAnsi="Aptos"/>
        </w:rPr>
        <w:t>.</w:t>
      </w:r>
    </w:p>
  </w:footnote>
  <w:footnote w:id="5">
    <w:p w14:paraId="14533F25" w14:textId="7380FA54" w:rsidR="003C071F" w:rsidRPr="000F7481" w:rsidRDefault="003C071F">
      <w:pPr>
        <w:pStyle w:val="FootnoteText"/>
        <w:rPr>
          <w:rFonts w:ascii="Aptos" w:hAnsi="Aptos"/>
        </w:rPr>
      </w:pPr>
      <w:r w:rsidRPr="000F7481">
        <w:rPr>
          <w:rStyle w:val="FootnoteReference"/>
          <w:rFonts w:ascii="Aptos" w:hAnsi="Aptos"/>
        </w:rPr>
        <w:footnoteRef/>
      </w:r>
      <w:r w:rsidRPr="000F7481">
        <w:rPr>
          <w:rFonts w:ascii="Aptos" w:hAnsi="Aptos"/>
        </w:rPr>
        <w:t xml:space="preserve"> Lawrence argued that the variance had been granted to Parent, not to Student. However, </w:t>
      </w:r>
      <w:r w:rsidRPr="000F7481">
        <w:rPr>
          <w:rFonts w:ascii="Aptos" w:hAnsi="Aptos"/>
          <w:color w:val="000000" w:themeColor="text1"/>
        </w:rPr>
        <w:t xml:space="preserve">taking the facts pled by Parent as true, I </w:t>
      </w:r>
      <w:r w:rsidR="0039518E">
        <w:rPr>
          <w:rFonts w:ascii="Aptos" w:hAnsi="Aptos"/>
          <w:color w:val="000000" w:themeColor="text1"/>
        </w:rPr>
        <w:t>indicate</w:t>
      </w:r>
      <w:r w:rsidR="00C403EB">
        <w:rPr>
          <w:rFonts w:ascii="Aptos" w:hAnsi="Aptos"/>
          <w:color w:val="000000" w:themeColor="text1"/>
        </w:rPr>
        <w:t xml:space="preserve"> </w:t>
      </w:r>
      <w:r w:rsidR="004E76CB" w:rsidRPr="000F7481">
        <w:rPr>
          <w:rFonts w:ascii="Aptos" w:hAnsi="Aptos"/>
          <w:color w:val="000000" w:themeColor="text1"/>
        </w:rPr>
        <w:t xml:space="preserve">that the variance had been granted to Student but further </w:t>
      </w:r>
      <w:r w:rsidR="00CF4DCC">
        <w:rPr>
          <w:rFonts w:ascii="Aptos" w:hAnsi="Aptos"/>
          <w:color w:val="000000" w:themeColor="text1"/>
        </w:rPr>
        <w:t xml:space="preserve">indicate </w:t>
      </w:r>
      <w:r w:rsidR="004E76CB" w:rsidRPr="000F7481">
        <w:rPr>
          <w:rFonts w:ascii="Aptos" w:hAnsi="Aptos"/>
          <w:color w:val="000000" w:themeColor="text1"/>
        </w:rPr>
        <w:t xml:space="preserve"> the uncontested fact that the variance was granted based on Parent’s disability related needs, not Student’s disability related needs</w:t>
      </w:r>
      <w:r w:rsidRPr="000F7481">
        <w:rPr>
          <w:rFonts w:ascii="Aptos" w:hAnsi="Aptos"/>
          <w:color w:val="000000" w:themeColor="text1"/>
        </w:rPr>
        <w:t>. See </w:t>
      </w:r>
      <w:r w:rsidRPr="000F7481">
        <w:rPr>
          <w:rFonts w:ascii="Aptos" w:hAnsi="Aptos"/>
          <w:i/>
          <w:iCs/>
          <w:color w:val="000000" w:themeColor="text1"/>
        </w:rPr>
        <w:t>Blank</w:t>
      </w:r>
      <w:r w:rsidRPr="000F7481">
        <w:rPr>
          <w:rFonts w:ascii="Aptos" w:hAnsi="Aptos"/>
          <w:color w:val="000000" w:themeColor="text1"/>
        </w:rPr>
        <w:t xml:space="preserve">, 420 Mass. </w:t>
      </w:r>
      <w:r w:rsidR="004E76CB" w:rsidRPr="000F7481">
        <w:rPr>
          <w:rFonts w:ascii="Aptos" w:hAnsi="Aptos"/>
          <w:color w:val="000000" w:themeColor="text1"/>
        </w:rPr>
        <w:t xml:space="preserve">at 407. </w:t>
      </w:r>
    </w:p>
  </w:footnote>
  <w:footnote w:id="6">
    <w:p w14:paraId="61FF0D21" w14:textId="6238628D" w:rsidR="005C4C48" w:rsidRPr="000F7481" w:rsidRDefault="005C4C48" w:rsidP="00C301FD">
      <w:pPr>
        <w:pStyle w:val="FootnoteText"/>
        <w:rPr>
          <w:rFonts w:ascii="Aptos" w:hAnsi="Aptos"/>
          <w:color w:val="000000" w:themeColor="text1"/>
        </w:rPr>
      </w:pPr>
      <w:r w:rsidRPr="000F7481">
        <w:rPr>
          <w:rStyle w:val="FootnoteReference"/>
          <w:rFonts w:ascii="Aptos" w:hAnsi="Aptos"/>
          <w:color w:val="000000" w:themeColor="text1"/>
        </w:rPr>
        <w:footnoteRef/>
      </w:r>
      <w:r w:rsidRPr="000F7481">
        <w:rPr>
          <w:rFonts w:ascii="Aptos" w:hAnsi="Aptos"/>
          <w:color w:val="000000" w:themeColor="text1"/>
        </w:rPr>
        <w:t xml:space="preserve"> Parent asserts that “[r]eturning [Student] to that school [(i.e., Leahy School) is unsafe, inappropriate, and does not meet her disability-related needs.” However, based on the pleadings, Student’s neighborhood school </w:t>
      </w:r>
      <w:r w:rsidR="00921618">
        <w:rPr>
          <w:rFonts w:ascii="Aptos" w:hAnsi="Aptos"/>
          <w:color w:val="000000" w:themeColor="text1"/>
        </w:rPr>
        <w:t xml:space="preserve">currently </w:t>
      </w:r>
      <w:r w:rsidRPr="000F7481">
        <w:rPr>
          <w:rFonts w:ascii="Aptos" w:hAnsi="Aptos"/>
          <w:color w:val="000000" w:themeColor="text1"/>
        </w:rPr>
        <w:t>is Oliver Middle School, not Leahy School, and no proposal has been made to reassign Student to Leahy</w:t>
      </w:r>
      <w:r w:rsidR="00921618">
        <w:rPr>
          <w:rFonts w:ascii="Aptos" w:hAnsi="Aptos"/>
          <w:color w:val="000000" w:themeColor="text1"/>
        </w:rPr>
        <w:t>, which was, at some point, Student’s neighborhood school</w:t>
      </w:r>
      <w:r w:rsidRPr="000F7481">
        <w:rPr>
          <w:rFonts w:ascii="Aptos" w:hAnsi="Aptos"/>
          <w:color w:val="000000" w:themeColor="text1"/>
        </w:rPr>
        <w:t>.</w:t>
      </w:r>
    </w:p>
  </w:footnote>
  <w:footnote w:id="7">
    <w:p w14:paraId="61CDC885" w14:textId="21E0C829" w:rsidR="00D357B5" w:rsidRPr="000F7481" w:rsidRDefault="00D357B5" w:rsidP="00C301FD">
      <w:pPr>
        <w:pStyle w:val="FootnoteText"/>
        <w:rPr>
          <w:rFonts w:ascii="Aptos" w:hAnsi="Aptos"/>
          <w:color w:val="000000" w:themeColor="text1"/>
        </w:rPr>
      </w:pPr>
      <w:r w:rsidRPr="000F7481">
        <w:rPr>
          <w:rStyle w:val="FootnoteReference"/>
          <w:rFonts w:ascii="Aptos" w:hAnsi="Aptos"/>
          <w:color w:val="000000" w:themeColor="text1"/>
        </w:rPr>
        <w:footnoteRef/>
      </w:r>
      <w:r w:rsidRPr="000F7481">
        <w:rPr>
          <w:rFonts w:ascii="Aptos" w:hAnsi="Aptos"/>
          <w:color w:val="000000" w:themeColor="text1"/>
        </w:rPr>
        <w:t xml:space="preserve"> </w:t>
      </w:r>
      <w:r w:rsidR="00313A19" w:rsidRPr="000F7481">
        <w:rPr>
          <w:rFonts w:ascii="Aptos" w:hAnsi="Aptos"/>
          <w:color w:val="000000" w:themeColor="text1"/>
        </w:rPr>
        <w:t xml:space="preserve">See </w:t>
      </w:r>
      <w:r w:rsidR="00313A19" w:rsidRPr="000F7481">
        <w:rPr>
          <w:rFonts w:ascii="Aptos" w:hAnsi="Aptos"/>
          <w:i/>
          <w:iCs/>
          <w:color w:val="000000" w:themeColor="text1"/>
        </w:rPr>
        <w:t>Ahmed v. Rosenblatt</w:t>
      </w:r>
      <w:r w:rsidR="00313A19" w:rsidRPr="000F7481">
        <w:rPr>
          <w:rFonts w:ascii="Aptos" w:hAnsi="Aptos"/>
          <w:color w:val="000000" w:themeColor="text1"/>
        </w:rPr>
        <w:t>, 118 F.3d 886, 890 (1st Cir. 1997).</w:t>
      </w:r>
    </w:p>
  </w:footnote>
  <w:footnote w:id="8">
    <w:p w14:paraId="54F2592B" w14:textId="0541476A" w:rsidR="00313A19" w:rsidRPr="000F7481" w:rsidRDefault="00313A19" w:rsidP="00C301FD">
      <w:pPr>
        <w:pStyle w:val="FootnoteText"/>
        <w:rPr>
          <w:rFonts w:ascii="Aptos" w:hAnsi="Aptos"/>
          <w:color w:val="000000" w:themeColor="text1"/>
        </w:rPr>
      </w:pPr>
      <w:r w:rsidRPr="000F7481">
        <w:rPr>
          <w:rStyle w:val="FootnoteReference"/>
          <w:rFonts w:ascii="Aptos" w:hAnsi="Aptos"/>
          <w:color w:val="000000" w:themeColor="text1"/>
        </w:rPr>
        <w:footnoteRef/>
      </w:r>
      <w:r w:rsidRPr="000F7481">
        <w:rPr>
          <w:rFonts w:ascii="Aptos" w:hAnsi="Aptos"/>
          <w:color w:val="000000" w:themeColor="text1"/>
        </w:rPr>
        <w:t xml:space="preserve"> </w:t>
      </w:r>
      <w:r w:rsidRPr="000F7481">
        <w:rPr>
          <w:rFonts w:ascii="Aptos" w:hAnsi="Aptos"/>
          <w:i/>
          <w:iCs/>
          <w:color w:val="000000" w:themeColor="text1"/>
        </w:rPr>
        <w:t>Id.</w:t>
      </w:r>
    </w:p>
  </w:footnote>
  <w:footnote w:id="9">
    <w:p w14:paraId="13DBD28B" w14:textId="534CC296" w:rsidR="00313A19" w:rsidRPr="000F7481" w:rsidRDefault="00313A19" w:rsidP="00C301FD">
      <w:pPr>
        <w:pStyle w:val="FootnoteText"/>
        <w:rPr>
          <w:rFonts w:ascii="Aptos" w:hAnsi="Aptos"/>
          <w:color w:val="000000" w:themeColor="text1"/>
        </w:rPr>
      </w:pPr>
      <w:r w:rsidRPr="000F7481">
        <w:rPr>
          <w:rStyle w:val="FootnoteReference"/>
          <w:rFonts w:ascii="Aptos" w:hAnsi="Aptos"/>
          <w:color w:val="000000" w:themeColor="text1"/>
        </w:rPr>
        <w:footnoteRef/>
      </w:r>
      <w:r w:rsidRPr="000F7481">
        <w:rPr>
          <w:rFonts w:ascii="Aptos" w:hAnsi="Aptos"/>
          <w:color w:val="000000" w:themeColor="text1"/>
        </w:rPr>
        <w:t xml:space="preserve"> </w:t>
      </w:r>
      <w:r w:rsidRPr="000F7481">
        <w:rPr>
          <w:rFonts w:ascii="Aptos" w:hAnsi="Aptos"/>
          <w:i/>
          <w:iCs/>
          <w:color w:val="000000" w:themeColor="text1"/>
        </w:rPr>
        <w:t>Id</w:t>
      </w:r>
      <w:r w:rsidRPr="000F7481">
        <w:rPr>
          <w:rFonts w:ascii="Aptos" w:hAnsi="Aptos"/>
          <w:color w:val="000000" w:themeColor="text1"/>
        </w:rPr>
        <w:t>.</w:t>
      </w:r>
    </w:p>
  </w:footnote>
  <w:footnote w:id="10">
    <w:p w14:paraId="10C2B889" w14:textId="77777777" w:rsidR="001B6C5E" w:rsidRPr="000F7481" w:rsidRDefault="001B6C5E" w:rsidP="00C301FD">
      <w:pPr>
        <w:pStyle w:val="FootnoteText"/>
        <w:rPr>
          <w:rFonts w:ascii="Aptos" w:hAnsi="Aptos"/>
          <w:color w:val="000000" w:themeColor="text1"/>
        </w:rPr>
      </w:pPr>
      <w:r w:rsidRPr="000F7481">
        <w:rPr>
          <w:rStyle w:val="FootnoteReference"/>
          <w:rFonts w:ascii="Aptos" w:hAnsi="Aptos"/>
          <w:color w:val="000000" w:themeColor="text1"/>
        </w:rPr>
        <w:footnoteRef/>
      </w:r>
      <w:r w:rsidRPr="000F7481">
        <w:rPr>
          <w:rFonts w:ascii="Aptos" w:hAnsi="Aptos"/>
          <w:color w:val="000000" w:themeColor="text1"/>
        </w:rPr>
        <w:t xml:space="preserve"> 20 U.S.C. §1415(j); see 34 CFR §300.514; M.G.L. c. 71B; 603 CMR 28.08(7); see </w:t>
      </w:r>
      <w:r w:rsidRPr="000F7481">
        <w:rPr>
          <w:rFonts w:ascii="Aptos" w:hAnsi="Aptos"/>
          <w:i/>
          <w:iCs/>
          <w:color w:val="000000" w:themeColor="text1"/>
        </w:rPr>
        <w:t>Honig v. Doe</w:t>
      </w:r>
      <w:r w:rsidRPr="000F7481">
        <w:rPr>
          <w:rFonts w:ascii="Aptos" w:hAnsi="Aptos"/>
          <w:color w:val="000000" w:themeColor="text1"/>
        </w:rPr>
        <w:t xml:space="preserve">, 484 U.S. 305, 325 (1988); </w:t>
      </w:r>
      <w:r w:rsidRPr="000F7481">
        <w:rPr>
          <w:rFonts w:ascii="Aptos" w:hAnsi="Aptos"/>
          <w:i/>
          <w:iCs/>
          <w:color w:val="000000" w:themeColor="text1"/>
        </w:rPr>
        <w:t>Verhoven v. Brunswick School Committee</w:t>
      </w:r>
      <w:r w:rsidRPr="000F7481">
        <w:rPr>
          <w:rFonts w:ascii="Aptos" w:hAnsi="Aptos"/>
          <w:color w:val="000000" w:themeColor="text1"/>
        </w:rPr>
        <w:t xml:space="preserve">, 207 F.3d 1, 10 (1st Cir. 1999); </w:t>
      </w:r>
      <w:r w:rsidRPr="000F7481">
        <w:rPr>
          <w:rFonts w:ascii="Aptos" w:hAnsi="Aptos"/>
          <w:i/>
          <w:iCs/>
          <w:color w:val="000000" w:themeColor="text1"/>
        </w:rPr>
        <w:t>M.R. and J.R. v. Ridley School District</w:t>
      </w:r>
      <w:r w:rsidRPr="000F7481">
        <w:rPr>
          <w:rFonts w:ascii="Aptos" w:hAnsi="Aptos"/>
          <w:color w:val="000000" w:themeColor="text1"/>
        </w:rPr>
        <w:t xml:space="preserve">, 744 F.3d 112, 117 (3d Cir. 2014); see also </w:t>
      </w:r>
      <w:r w:rsidRPr="000F7481">
        <w:rPr>
          <w:rFonts w:ascii="Aptos" w:hAnsi="Aptos"/>
          <w:i/>
          <w:iCs/>
          <w:color w:val="000000" w:themeColor="text1"/>
        </w:rPr>
        <w:t>In Re: Framingham Public Schools and Quin</w:t>
      </w:r>
      <w:r w:rsidRPr="000F7481">
        <w:rPr>
          <w:rFonts w:ascii="Aptos" w:hAnsi="Aptos"/>
          <w:color w:val="000000" w:themeColor="text1"/>
        </w:rPr>
        <w:t xml:space="preserve">, BSEA # 1605247 (Reichbach, 2016); </w:t>
      </w:r>
      <w:r w:rsidRPr="000F7481">
        <w:rPr>
          <w:rFonts w:ascii="Aptos" w:hAnsi="Aptos"/>
          <w:i/>
          <w:iCs/>
          <w:color w:val="000000" w:themeColor="text1"/>
        </w:rPr>
        <w:t>In Re: Abington Public Schools</w:t>
      </w:r>
      <w:r w:rsidRPr="000F7481">
        <w:rPr>
          <w:rFonts w:ascii="Aptos" w:hAnsi="Aptos"/>
          <w:color w:val="000000" w:themeColor="text1"/>
        </w:rPr>
        <w:t>, BSEA # 1407763 (Figueroa, 2014).</w:t>
      </w:r>
    </w:p>
  </w:footnote>
  <w:footnote w:id="11">
    <w:p w14:paraId="192E0A7B" w14:textId="77777777" w:rsidR="001B6C5E" w:rsidRPr="000F7481" w:rsidRDefault="001B6C5E" w:rsidP="00C301FD">
      <w:pPr>
        <w:pStyle w:val="FootnoteText"/>
        <w:rPr>
          <w:rFonts w:ascii="Aptos" w:hAnsi="Aptos"/>
          <w:color w:val="000000" w:themeColor="text1"/>
        </w:rPr>
      </w:pPr>
      <w:r w:rsidRPr="000F7481">
        <w:rPr>
          <w:rStyle w:val="FootnoteReference"/>
          <w:rFonts w:ascii="Aptos" w:hAnsi="Aptos"/>
          <w:color w:val="000000" w:themeColor="text1"/>
        </w:rPr>
        <w:footnoteRef/>
      </w:r>
      <w:r w:rsidRPr="000F7481">
        <w:rPr>
          <w:rFonts w:ascii="Aptos" w:hAnsi="Aptos"/>
          <w:color w:val="000000" w:themeColor="text1"/>
        </w:rPr>
        <w:t xml:space="preserve"> See </w:t>
      </w:r>
      <w:r w:rsidRPr="000F7481">
        <w:rPr>
          <w:rFonts w:ascii="Aptos" w:hAnsi="Aptos"/>
          <w:i/>
          <w:iCs/>
          <w:color w:val="000000" w:themeColor="text1"/>
        </w:rPr>
        <w:t>Doe v. Brookline School Committee</w:t>
      </w:r>
      <w:r w:rsidRPr="000F7481">
        <w:rPr>
          <w:rFonts w:ascii="Aptos" w:hAnsi="Aptos"/>
          <w:color w:val="000000" w:themeColor="text1"/>
        </w:rPr>
        <w:t>, 722 F.2d 910, 918 (1st Cir. 1983).</w:t>
      </w:r>
    </w:p>
  </w:footnote>
  <w:footnote w:id="12">
    <w:p w14:paraId="1654D8B1" w14:textId="77777777" w:rsidR="001B6C5E" w:rsidRPr="000F7481" w:rsidRDefault="001B6C5E" w:rsidP="00C301FD">
      <w:pPr>
        <w:pStyle w:val="FootnoteText"/>
        <w:rPr>
          <w:rFonts w:ascii="Aptos" w:hAnsi="Aptos"/>
          <w:color w:val="000000" w:themeColor="text1"/>
        </w:rPr>
      </w:pPr>
      <w:r w:rsidRPr="000F7481">
        <w:rPr>
          <w:rStyle w:val="FootnoteReference"/>
          <w:rFonts w:ascii="Aptos" w:hAnsi="Aptos"/>
          <w:color w:val="000000" w:themeColor="text1"/>
        </w:rPr>
        <w:footnoteRef/>
      </w:r>
      <w:r w:rsidRPr="000F7481">
        <w:rPr>
          <w:rFonts w:ascii="Aptos" w:hAnsi="Aptos"/>
          <w:color w:val="000000" w:themeColor="text1"/>
        </w:rPr>
        <w:t xml:space="preserve"> </w:t>
      </w:r>
      <w:r w:rsidRPr="000F7481">
        <w:rPr>
          <w:rFonts w:ascii="Aptos" w:hAnsi="Aptos"/>
          <w:i/>
          <w:iCs/>
          <w:color w:val="000000" w:themeColor="text1"/>
        </w:rPr>
        <w:t>Student &amp; Concord &amp; Natick Public Schools (Corrected Ruling on Mother’s Request for “Stay Put” Order),</w:t>
      </w:r>
      <w:r w:rsidRPr="000F7481">
        <w:rPr>
          <w:rFonts w:ascii="Aptos" w:hAnsi="Aptos"/>
          <w:color w:val="000000" w:themeColor="text1"/>
        </w:rPr>
        <w:t xml:space="preserve"> BSEA # 18-00182 (Berman, 2017).</w:t>
      </w:r>
    </w:p>
  </w:footnote>
  <w:footnote w:id="13">
    <w:p w14:paraId="5009C721" w14:textId="77777777" w:rsidR="001B6C5E" w:rsidRPr="000F7481" w:rsidRDefault="001B6C5E" w:rsidP="00C301FD">
      <w:pPr>
        <w:pStyle w:val="FootnoteText"/>
        <w:rPr>
          <w:rFonts w:ascii="Aptos" w:hAnsi="Aptos"/>
          <w:color w:val="000000" w:themeColor="text1"/>
        </w:rPr>
      </w:pPr>
      <w:r w:rsidRPr="000F7481">
        <w:rPr>
          <w:rStyle w:val="FootnoteReference"/>
          <w:rFonts w:ascii="Aptos" w:hAnsi="Aptos"/>
          <w:color w:val="000000" w:themeColor="text1"/>
        </w:rPr>
        <w:footnoteRef/>
      </w:r>
      <w:r w:rsidRPr="000F7481">
        <w:rPr>
          <w:rFonts w:ascii="Aptos" w:hAnsi="Aptos"/>
          <w:color w:val="000000" w:themeColor="text1"/>
        </w:rPr>
        <w:t xml:space="preserve"> See 20 U.S.C. §1415(j); 34 CFR §300.514.</w:t>
      </w:r>
    </w:p>
  </w:footnote>
  <w:footnote w:id="14">
    <w:p w14:paraId="22292C1C" w14:textId="77777777" w:rsidR="001B6C5E" w:rsidRPr="000F7481" w:rsidRDefault="001B6C5E" w:rsidP="00C301FD">
      <w:pPr>
        <w:pStyle w:val="FootnoteText"/>
        <w:rPr>
          <w:rFonts w:ascii="Aptos" w:hAnsi="Aptos"/>
          <w:color w:val="000000" w:themeColor="text1"/>
        </w:rPr>
      </w:pPr>
      <w:r w:rsidRPr="000F7481">
        <w:rPr>
          <w:rStyle w:val="FootnoteReference"/>
          <w:rFonts w:ascii="Aptos" w:hAnsi="Aptos"/>
          <w:color w:val="000000" w:themeColor="text1"/>
        </w:rPr>
        <w:footnoteRef/>
      </w:r>
      <w:r w:rsidRPr="000F7481">
        <w:rPr>
          <w:rFonts w:ascii="Aptos" w:hAnsi="Aptos"/>
          <w:color w:val="000000" w:themeColor="text1"/>
        </w:rPr>
        <w:t xml:space="preserve"> </w:t>
      </w:r>
      <w:r w:rsidRPr="000F7481">
        <w:rPr>
          <w:rFonts w:ascii="Aptos" w:hAnsi="Aptos"/>
          <w:i/>
          <w:iCs/>
          <w:color w:val="000000" w:themeColor="text1"/>
        </w:rPr>
        <w:t>Drinker v. Colonial Sch. Dist.</w:t>
      </w:r>
      <w:r w:rsidRPr="000F7481">
        <w:rPr>
          <w:rFonts w:ascii="Aptos" w:hAnsi="Aptos"/>
          <w:color w:val="000000" w:themeColor="text1"/>
        </w:rPr>
        <w:t xml:space="preserve">, 73 F.3d 859, 867 (3rd Cir. 1996); </w:t>
      </w:r>
      <w:r w:rsidRPr="000F7481">
        <w:rPr>
          <w:rFonts w:ascii="Aptos" w:hAnsi="Aptos"/>
          <w:i/>
          <w:iCs/>
          <w:color w:val="000000" w:themeColor="text1"/>
        </w:rPr>
        <w:t>Thomas v. Cincinnati Bd. of Edu.</w:t>
      </w:r>
      <w:r w:rsidRPr="000F7481">
        <w:rPr>
          <w:rFonts w:ascii="Aptos" w:hAnsi="Aptos"/>
          <w:color w:val="000000" w:themeColor="text1"/>
        </w:rPr>
        <w:t>, 918 F. 2d 618. 626 (6th Cir., 1990).</w:t>
      </w:r>
    </w:p>
  </w:footnote>
  <w:footnote w:id="15">
    <w:p w14:paraId="208DEFF6" w14:textId="77777777" w:rsidR="001B6C5E" w:rsidRPr="000F7481" w:rsidRDefault="001B6C5E" w:rsidP="00C301FD">
      <w:pPr>
        <w:shd w:val="clear" w:color="auto" w:fill="FFFFFF"/>
        <w:rPr>
          <w:rFonts w:ascii="Aptos" w:hAnsi="Aptos"/>
          <w:color w:val="000000" w:themeColor="text1"/>
          <w:sz w:val="20"/>
          <w:szCs w:val="20"/>
        </w:rPr>
      </w:pPr>
      <w:r w:rsidRPr="000F7481">
        <w:rPr>
          <w:rStyle w:val="FootnoteReference"/>
          <w:rFonts w:ascii="Aptos" w:hAnsi="Aptos"/>
          <w:color w:val="000000" w:themeColor="text1"/>
          <w:sz w:val="20"/>
          <w:szCs w:val="20"/>
        </w:rPr>
        <w:footnoteRef/>
      </w:r>
      <w:r w:rsidRPr="000F7481">
        <w:rPr>
          <w:rFonts w:ascii="Aptos" w:hAnsi="Aptos"/>
          <w:color w:val="000000" w:themeColor="text1"/>
          <w:sz w:val="20"/>
          <w:szCs w:val="20"/>
        </w:rPr>
        <w:t xml:space="preserve"> </w:t>
      </w:r>
      <w:r w:rsidRPr="000F7481">
        <w:rPr>
          <w:rFonts w:ascii="Aptos" w:hAnsi="Aptos"/>
          <w:i/>
          <w:iCs/>
          <w:color w:val="000000" w:themeColor="text1"/>
          <w:sz w:val="20"/>
          <w:szCs w:val="20"/>
          <w:bdr w:val="none" w:sz="0" w:space="0" w:color="auto" w:frame="1"/>
        </w:rPr>
        <w:t>D.K. v. D.C.</w:t>
      </w:r>
      <w:r w:rsidRPr="000F7481">
        <w:rPr>
          <w:rFonts w:ascii="Aptos" w:hAnsi="Aptos"/>
          <w:i/>
          <w:iCs/>
          <w:color w:val="000000" w:themeColor="text1"/>
          <w:sz w:val="20"/>
          <w:szCs w:val="20"/>
        </w:rPr>
        <w:t>,</w:t>
      </w:r>
      <w:r w:rsidRPr="000F7481">
        <w:rPr>
          <w:rFonts w:ascii="Aptos" w:hAnsi="Aptos"/>
          <w:color w:val="000000" w:themeColor="text1"/>
          <w:sz w:val="20"/>
          <w:szCs w:val="20"/>
        </w:rPr>
        <w:t xml:space="preserve"> 983 F. Supp. 2d 138, 146 (D.D.C. 2013).</w:t>
      </w:r>
    </w:p>
  </w:footnote>
  <w:footnote w:id="16">
    <w:p w14:paraId="003B7648" w14:textId="77777777" w:rsidR="001B6C5E" w:rsidRPr="000F7481" w:rsidRDefault="001B6C5E" w:rsidP="00C301FD">
      <w:pPr>
        <w:pStyle w:val="FootnoteText"/>
        <w:rPr>
          <w:rFonts w:ascii="Aptos" w:hAnsi="Aptos"/>
          <w:color w:val="000000" w:themeColor="text1"/>
        </w:rPr>
      </w:pPr>
      <w:r w:rsidRPr="000F7481">
        <w:rPr>
          <w:rStyle w:val="FootnoteReference"/>
          <w:rFonts w:ascii="Aptos" w:hAnsi="Aptos"/>
          <w:color w:val="000000" w:themeColor="text1"/>
        </w:rPr>
        <w:footnoteRef/>
      </w:r>
      <w:r w:rsidRPr="000F7481">
        <w:rPr>
          <w:rFonts w:ascii="Aptos" w:hAnsi="Aptos"/>
          <w:color w:val="000000" w:themeColor="text1"/>
        </w:rPr>
        <w:t xml:space="preserve"> </w:t>
      </w:r>
      <w:r w:rsidRPr="000F7481">
        <w:rPr>
          <w:rFonts w:ascii="Aptos" w:hAnsi="Aptos"/>
          <w:i/>
          <w:iCs/>
          <w:color w:val="000000" w:themeColor="text1"/>
        </w:rPr>
        <w:t>Letter to Fisher</w:t>
      </w:r>
      <w:r w:rsidRPr="000F7481">
        <w:rPr>
          <w:rFonts w:ascii="Aptos" w:hAnsi="Aptos"/>
          <w:color w:val="000000" w:themeColor="text1"/>
        </w:rPr>
        <w:t>, 21 IDELR 992 (OSEP 1994).</w:t>
      </w:r>
    </w:p>
  </w:footnote>
  <w:footnote w:id="17">
    <w:p w14:paraId="04354755" w14:textId="77777777" w:rsidR="001B6C5E" w:rsidRPr="000F7481" w:rsidRDefault="001B6C5E" w:rsidP="00C301FD">
      <w:pPr>
        <w:rPr>
          <w:rFonts w:ascii="Aptos" w:hAnsi="Aptos"/>
          <w:color w:val="000000" w:themeColor="text1"/>
          <w:sz w:val="20"/>
          <w:szCs w:val="20"/>
        </w:rPr>
      </w:pPr>
      <w:r w:rsidRPr="000F7481">
        <w:rPr>
          <w:rStyle w:val="FootnoteReference"/>
          <w:rFonts w:ascii="Aptos" w:hAnsi="Aptos"/>
          <w:color w:val="000000" w:themeColor="text1"/>
          <w:sz w:val="20"/>
          <w:szCs w:val="20"/>
        </w:rPr>
        <w:footnoteRef/>
      </w:r>
      <w:r w:rsidRPr="000F7481">
        <w:rPr>
          <w:rFonts w:ascii="Aptos" w:hAnsi="Aptos"/>
          <w:color w:val="000000" w:themeColor="text1"/>
          <w:sz w:val="20"/>
          <w:szCs w:val="20"/>
        </w:rPr>
        <w:t xml:space="preserve"> </w:t>
      </w:r>
      <w:r w:rsidRPr="000F7481">
        <w:rPr>
          <w:rFonts w:ascii="Aptos" w:hAnsi="Aptos"/>
          <w:i/>
          <w:iCs/>
          <w:color w:val="000000" w:themeColor="text1"/>
          <w:sz w:val="20"/>
          <w:szCs w:val="20"/>
        </w:rPr>
        <w:t>Sherri A.D. v. Kirby,</w:t>
      </w:r>
      <w:r w:rsidRPr="000F7481">
        <w:rPr>
          <w:rFonts w:ascii="Aptos" w:hAnsi="Aptos"/>
          <w:color w:val="000000" w:themeColor="text1"/>
          <w:sz w:val="20"/>
          <w:szCs w:val="20"/>
        </w:rPr>
        <w:t xml:space="preserve"> 975 F.2d 193, 206 (5th Cir. 1992).</w:t>
      </w:r>
    </w:p>
  </w:footnote>
  <w:footnote w:id="18">
    <w:p w14:paraId="0AFE2A93" w14:textId="77777777" w:rsidR="001B6C5E" w:rsidRPr="000F7481" w:rsidRDefault="001B6C5E" w:rsidP="00C301FD">
      <w:pPr>
        <w:rPr>
          <w:rFonts w:ascii="Aptos" w:hAnsi="Aptos"/>
          <w:color w:val="000000" w:themeColor="text1"/>
          <w:sz w:val="20"/>
          <w:szCs w:val="20"/>
        </w:rPr>
      </w:pPr>
      <w:r w:rsidRPr="000F7481">
        <w:rPr>
          <w:rStyle w:val="FootnoteReference"/>
          <w:rFonts w:ascii="Aptos" w:hAnsi="Aptos"/>
          <w:color w:val="000000" w:themeColor="text1"/>
          <w:sz w:val="20"/>
          <w:szCs w:val="20"/>
        </w:rPr>
        <w:footnoteRef/>
      </w:r>
      <w:r w:rsidRPr="000F7481">
        <w:rPr>
          <w:rFonts w:ascii="Aptos" w:hAnsi="Aptos"/>
          <w:color w:val="000000" w:themeColor="text1"/>
          <w:sz w:val="20"/>
          <w:szCs w:val="20"/>
        </w:rPr>
        <w:t xml:space="preserve"> </w:t>
      </w:r>
      <w:r w:rsidRPr="000F7481">
        <w:rPr>
          <w:rFonts w:ascii="Aptos" w:hAnsi="Aptos"/>
          <w:i/>
          <w:iCs/>
          <w:color w:val="000000" w:themeColor="text1"/>
          <w:sz w:val="20"/>
          <w:szCs w:val="20"/>
        </w:rPr>
        <w:t>A.W. v. Fairfax County Sch. Bd.,</w:t>
      </w:r>
      <w:r w:rsidRPr="000F7481">
        <w:rPr>
          <w:rFonts w:ascii="Aptos" w:hAnsi="Aptos"/>
          <w:color w:val="000000" w:themeColor="text1"/>
          <w:sz w:val="20"/>
          <w:szCs w:val="20"/>
        </w:rPr>
        <w:t> 372 F.3d 674, 682 (4th Cir. 1991).</w:t>
      </w:r>
    </w:p>
  </w:footnote>
  <w:footnote w:id="19">
    <w:p w14:paraId="53B40F12" w14:textId="77777777" w:rsidR="001B6C5E" w:rsidRPr="000F7481" w:rsidRDefault="001B6C5E" w:rsidP="00C301FD">
      <w:pPr>
        <w:pStyle w:val="FootnoteText"/>
        <w:rPr>
          <w:rFonts w:ascii="Aptos" w:hAnsi="Aptos"/>
          <w:color w:val="000000" w:themeColor="text1"/>
        </w:rPr>
      </w:pPr>
      <w:r w:rsidRPr="000F7481">
        <w:rPr>
          <w:rStyle w:val="FootnoteReference"/>
          <w:rFonts w:ascii="Aptos" w:hAnsi="Aptos"/>
          <w:color w:val="000000" w:themeColor="text1"/>
        </w:rPr>
        <w:footnoteRef/>
      </w:r>
      <w:r w:rsidRPr="000F7481">
        <w:rPr>
          <w:rFonts w:ascii="Aptos" w:hAnsi="Aptos"/>
          <w:color w:val="000000" w:themeColor="text1"/>
        </w:rPr>
        <w:t xml:space="preserve"> </w:t>
      </w:r>
      <w:r w:rsidRPr="000F7481">
        <w:rPr>
          <w:rFonts w:ascii="Aptos" w:hAnsi="Aptos"/>
          <w:i/>
          <w:iCs/>
          <w:color w:val="000000" w:themeColor="text1"/>
        </w:rPr>
        <w:t>G.B. v. Distr. of Columbia</w:t>
      </w:r>
      <w:r w:rsidRPr="000F7481">
        <w:rPr>
          <w:rFonts w:ascii="Aptos" w:hAnsi="Aptos"/>
          <w:color w:val="000000" w:themeColor="text1"/>
        </w:rPr>
        <w:t>, 78 F. Supp. 3d 109, 116 (D.D.C. 2015).</w:t>
      </w:r>
    </w:p>
  </w:footnote>
  <w:footnote w:id="20">
    <w:p w14:paraId="3DB30C03" w14:textId="77777777" w:rsidR="001B6C5E" w:rsidRPr="000F7481" w:rsidRDefault="001B6C5E" w:rsidP="00C301FD">
      <w:pPr>
        <w:pStyle w:val="FootnoteText"/>
        <w:rPr>
          <w:rFonts w:ascii="Aptos" w:hAnsi="Aptos"/>
          <w:color w:val="000000" w:themeColor="text1"/>
        </w:rPr>
      </w:pPr>
      <w:r w:rsidRPr="000F7481">
        <w:rPr>
          <w:rStyle w:val="FootnoteReference"/>
          <w:rFonts w:ascii="Aptos" w:hAnsi="Aptos"/>
          <w:color w:val="000000" w:themeColor="text1"/>
        </w:rPr>
        <w:footnoteRef/>
      </w:r>
      <w:r w:rsidRPr="000F7481">
        <w:rPr>
          <w:rFonts w:ascii="Aptos" w:hAnsi="Aptos"/>
          <w:color w:val="000000" w:themeColor="text1"/>
        </w:rPr>
        <w:t xml:space="preserve"> </w:t>
      </w:r>
      <w:r w:rsidRPr="000F7481">
        <w:rPr>
          <w:rFonts w:ascii="Aptos" w:hAnsi="Aptos"/>
          <w:i/>
          <w:iCs/>
          <w:color w:val="000000" w:themeColor="text1"/>
        </w:rPr>
        <w:t>Weil v. Bd. of Elem. &amp; Sec. Educ.,</w:t>
      </w:r>
      <w:r w:rsidRPr="000F7481">
        <w:rPr>
          <w:rFonts w:ascii="Aptos" w:hAnsi="Aptos"/>
          <w:color w:val="000000" w:themeColor="text1"/>
        </w:rPr>
        <w:t xml:space="preserve"> 931 F.2d, 1069, 1072 (5th Cir. 1991).  </w:t>
      </w:r>
    </w:p>
  </w:footnote>
  <w:footnote w:id="21">
    <w:p w14:paraId="18E0B419" w14:textId="77777777" w:rsidR="001B6C5E" w:rsidRPr="000F7481" w:rsidRDefault="001B6C5E" w:rsidP="00C301FD">
      <w:pPr>
        <w:pStyle w:val="FootnoteText"/>
        <w:rPr>
          <w:rFonts w:ascii="Aptos" w:hAnsi="Aptos"/>
          <w:color w:val="000000" w:themeColor="text1"/>
        </w:rPr>
      </w:pPr>
      <w:r w:rsidRPr="000F7481">
        <w:rPr>
          <w:rStyle w:val="FootnoteReference"/>
          <w:rFonts w:ascii="Aptos" w:hAnsi="Aptos"/>
          <w:color w:val="000000" w:themeColor="text1"/>
        </w:rPr>
        <w:footnoteRef/>
      </w:r>
      <w:r w:rsidRPr="000F7481">
        <w:rPr>
          <w:rFonts w:ascii="Aptos" w:hAnsi="Aptos"/>
          <w:color w:val="000000" w:themeColor="text1"/>
        </w:rPr>
        <w:t xml:space="preserve"> See</w:t>
      </w:r>
      <w:r w:rsidRPr="000F7481">
        <w:rPr>
          <w:rFonts w:ascii="Aptos" w:hAnsi="Aptos"/>
          <w:i/>
          <w:iCs/>
          <w:color w:val="000000" w:themeColor="text1"/>
        </w:rPr>
        <w:t> A.W.,</w:t>
      </w:r>
      <w:r w:rsidRPr="000F7481">
        <w:rPr>
          <w:rFonts w:ascii="Aptos" w:hAnsi="Aptos"/>
          <w:color w:val="000000" w:themeColor="text1"/>
        </w:rPr>
        <w:t xml:space="preserve"> 372 F.3d at 681–83 (concluding that educational placement referred to an “instructional setting” rather than to the “precise location of that setting” or the “precise physical location where the disabled student is educated”).  </w:t>
      </w:r>
    </w:p>
  </w:footnote>
  <w:footnote w:id="22">
    <w:p w14:paraId="7F69D0DC" w14:textId="42FB0799" w:rsidR="001B6C5E" w:rsidRPr="000F7481" w:rsidRDefault="001B6C5E" w:rsidP="00C301FD">
      <w:pPr>
        <w:pStyle w:val="FootnoteText"/>
        <w:rPr>
          <w:rFonts w:ascii="Aptos" w:hAnsi="Aptos"/>
          <w:color w:val="000000" w:themeColor="text1"/>
        </w:rPr>
      </w:pPr>
      <w:r w:rsidRPr="000F7481">
        <w:rPr>
          <w:rStyle w:val="FootnoteReference"/>
          <w:rFonts w:ascii="Aptos" w:hAnsi="Aptos"/>
          <w:color w:val="000000" w:themeColor="text1"/>
        </w:rPr>
        <w:footnoteRef/>
      </w:r>
      <w:r w:rsidRPr="000F7481">
        <w:rPr>
          <w:rFonts w:ascii="Aptos" w:hAnsi="Aptos"/>
          <w:color w:val="000000" w:themeColor="text1"/>
        </w:rPr>
        <w:t xml:space="preserve"> See </w:t>
      </w:r>
      <w:r w:rsidRPr="000F7481">
        <w:rPr>
          <w:rFonts w:ascii="Aptos" w:hAnsi="Aptos"/>
          <w:i/>
          <w:iCs/>
          <w:color w:val="000000" w:themeColor="text1"/>
        </w:rPr>
        <w:t>In Re: Agawam Public Schools and Melmark-New England</w:t>
      </w:r>
      <w:r w:rsidR="00D02B45" w:rsidRPr="000F7481">
        <w:rPr>
          <w:rFonts w:ascii="Aptos" w:hAnsi="Aptos"/>
          <w:i/>
          <w:iCs/>
          <w:color w:val="000000" w:themeColor="text1"/>
        </w:rPr>
        <w:t xml:space="preserve"> (Ruling)</w:t>
      </w:r>
      <w:r w:rsidRPr="000F7481">
        <w:rPr>
          <w:rFonts w:ascii="Aptos" w:hAnsi="Aptos"/>
          <w:color w:val="000000" w:themeColor="text1"/>
        </w:rPr>
        <w:t>, BSEA # 1504488 (Berman, 2015).</w:t>
      </w:r>
    </w:p>
  </w:footnote>
  <w:footnote w:id="23">
    <w:p w14:paraId="52FC2109" w14:textId="77777777" w:rsidR="009A18D6" w:rsidRPr="000F7481" w:rsidRDefault="009A18D6" w:rsidP="009A18D6">
      <w:pPr>
        <w:pStyle w:val="FootnoteText"/>
        <w:rPr>
          <w:rFonts w:ascii="Aptos" w:hAnsi="Aptos"/>
          <w:color w:val="000000" w:themeColor="text1"/>
        </w:rPr>
      </w:pPr>
      <w:r w:rsidRPr="000F7481">
        <w:rPr>
          <w:rStyle w:val="FootnoteReference"/>
          <w:rFonts w:ascii="Aptos" w:hAnsi="Aptos"/>
          <w:color w:val="000000" w:themeColor="text1"/>
        </w:rPr>
        <w:footnoteRef/>
      </w:r>
      <w:r w:rsidRPr="000F7481">
        <w:rPr>
          <w:rFonts w:ascii="Aptos" w:hAnsi="Aptos"/>
          <w:color w:val="000000" w:themeColor="text1"/>
        </w:rPr>
        <w:t xml:space="preserve"> Hearing Officers are bound by the BSEA </w:t>
      </w:r>
      <w:r w:rsidRPr="000F7481">
        <w:rPr>
          <w:rFonts w:ascii="Aptos" w:hAnsi="Aptos"/>
          <w:i/>
          <w:iCs/>
          <w:color w:val="000000" w:themeColor="text1"/>
        </w:rPr>
        <w:t>Hearing Rules</w:t>
      </w:r>
      <w:r w:rsidRPr="000F7481">
        <w:rPr>
          <w:rFonts w:ascii="Aptos" w:hAnsi="Aptos"/>
          <w:color w:val="000000" w:themeColor="text1"/>
        </w:rPr>
        <w:t xml:space="preserve"> and the </w:t>
      </w:r>
      <w:r w:rsidRPr="000F7481">
        <w:rPr>
          <w:rFonts w:ascii="Aptos" w:hAnsi="Aptos"/>
          <w:i/>
          <w:iCs/>
          <w:color w:val="000000" w:themeColor="text1"/>
        </w:rPr>
        <w:t>Standard Rules of Adjudicatory Practice and Procedure</w:t>
      </w:r>
      <w:r w:rsidRPr="000F7481">
        <w:rPr>
          <w:rFonts w:ascii="Aptos" w:hAnsi="Aptos"/>
          <w:color w:val="000000" w:themeColor="text1"/>
        </w:rPr>
        <w:t>, 801 Code Mass Regs 1.01.</w:t>
      </w:r>
    </w:p>
  </w:footnote>
  <w:footnote w:id="24">
    <w:p w14:paraId="2D8C4098" w14:textId="77777777" w:rsidR="009A18D6" w:rsidRPr="000F7481" w:rsidRDefault="009A18D6" w:rsidP="009A18D6">
      <w:pPr>
        <w:pStyle w:val="FootnoteText"/>
        <w:rPr>
          <w:rFonts w:ascii="Aptos" w:hAnsi="Aptos"/>
          <w:color w:val="000000" w:themeColor="text1"/>
        </w:rPr>
      </w:pPr>
      <w:r w:rsidRPr="000F7481">
        <w:rPr>
          <w:rStyle w:val="FootnoteReference"/>
          <w:rFonts w:ascii="Aptos" w:hAnsi="Aptos"/>
          <w:color w:val="000000" w:themeColor="text1"/>
        </w:rPr>
        <w:footnoteRef/>
      </w:r>
      <w:r w:rsidRPr="000F7481">
        <w:rPr>
          <w:rFonts w:ascii="Aptos" w:hAnsi="Aptos"/>
          <w:color w:val="000000" w:themeColor="text1"/>
        </w:rPr>
        <w:t xml:space="preserve"> </w:t>
      </w:r>
      <w:r w:rsidRPr="000F7481">
        <w:rPr>
          <w:rFonts w:ascii="Aptos" w:hAnsi="Aptos"/>
          <w:i/>
          <w:iCs/>
          <w:color w:val="000000" w:themeColor="text1"/>
        </w:rPr>
        <w:t>Iannocchino v. Ford Motor Co.,</w:t>
      </w:r>
      <w:r w:rsidRPr="000F7481">
        <w:rPr>
          <w:rFonts w:ascii="Aptos" w:hAnsi="Aptos"/>
          <w:color w:val="000000" w:themeColor="text1"/>
        </w:rPr>
        <w:t xml:space="preserve"> 451 Mass. 623, 636 (2008) (quoting </w:t>
      </w:r>
      <w:r w:rsidRPr="000F7481">
        <w:rPr>
          <w:rFonts w:ascii="Aptos" w:hAnsi="Aptos"/>
          <w:i/>
          <w:iCs/>
          <w:color w:val="000000" w:themeColor="text1"/>
        </w:rPr>
        <w:t>Bell Atl. Corp. v. Twombly</w:t>
      </w:r>
      <w:r w:rsidRPr="000F7481">
        <w:rPr>
          <w:rFonts w:ascii="Aptos" w:hAnsi="Aptos"/>
          <w:color w:val="000000" w:themeColor="text1"/>
        </w:rPr>
        <w:t>, 550 U.S. 544, 557 (2007)).</w:t>
      </w:r>
    </w:p>
  </w:footnote>
  <w:footnote w:id="25">
    <w:p w14:paraId="7896D764" w14:textId="77777777" w:rsidR="009A18D6" w:rsidRPr="000F7481" w:rsidRDefault="009A18D6" w:rsidP="009A18D6">
      <w:pPr>
        <w:pStyle w:val="FootnoteText"/>
        <w:rPr>
          <w:rFonts w:ascii="Aptos" w:hAnsi="Aptos"/>
          <w:color w:val="000000" w:themeColor="text1"/>
        </w:rPr>
      </w:pPr>
      <w:r w:rsidRPr="000F7481">
        <w:rPr>
          <w:rStyle w:val="FootnoteReference"/>
          <w:rFonts w:ascii="Aptos" w:hAnsi="Aptos"/>
          <w:color w:val="000000" w:themeColor="text1"/>
        </w:rPr>
        <w:footnoteRef/>
      </w:r>
      <w:r w:rsidRPr="000F7481">
        <w:rPr>
          <w:rFonts w:ascii="Aptos" w:hAnsi="Aptos"/>
          <w:color w:val="000000" w:themeColor="text1"/>
        </w:rPr>
        <w:t xml:space="preserve"> </w:t>
      </w:r>
      <w:r w:rsidRPr="000F7481">
        <w:rPr>
          <w:rFonts w:ascii="Aptos" w:hAnsi="Aptos"/>
          <w:i/>
          <w:iCs/>
          <w:color w:val="000000" w:themeColor="text1"/>
        </w:rPr>
        <w:t> Blank v. Chelmsford Ob/Gyn, P.C</w:t>
      </w:r>
      <w:r w:rsidRPr="000F7481">
        <w:rPr>
          <w:rFonts w:ascii="Aptos" w:hAnsi="Aptos"/>
          <w:color w:val="000000" w:themeColor="text1"/>
        </w:rPr>
        <w:t>., 420 Mass. 404, 407 (1995).</w:t>
      </w:r>
    </w:p>
  </w:footnote>
  <w:footnote w:id="26">
    <w:p w14:paraId="4DD1FECE" w14:textId="77777777" w:rsidR="009A18D6" w:rsidRPr="000F7481" w:rsidRDefault="009A18D6" w:rsidP="009A18D6">
      <w:pPr>
        <w:pStyle w:val="FootnoteText"/>
        <w:rPr>
          <w:rFonts w:ascii="Aptos" w:hAnsi="Aptos"/>
          <w:color w:val="000000" w:themeColor="text1"/>
        </w:rPr>
      </w:pPr>
      <w:r w:rsidRPr="000F7481">
        <w:rPr>
          <w:rStyle w:val="FootnoteReference"/>
          <w:rFonts w:ascii="Aptos" w:hAnsi="Aptos"/>
          <w:color w:val="000000" w:themeColor="text1"/>
        </w:rPr>
        <w:footnoteRef/>
      </w:r>
      <w:r w:rsidRPr="000F7481">
        <w:rPr>
          <w:rFonts w:ascii="Aptos" w:hAnsi="Aptos"/>
          <w:color w:val="000000" w:themeColor="text1"/>
        </w:rPr>
        <w:t xml:space="preserve"> </w:t>
      </w:r>
      <w:r w:rsidRPr="000F7481">
        <w:rPr>
          <w:rFonts w:ascii="Aptos" w:hAnsi="Aptos"/>
          <w:i/>
          <w:iCs/>
          <w:color w:val="000000" w:themeColor="text1"/>
        </w:rPr>
        <w:t>Golchin v. Liberty Mut. Ins. Co.</w:t>
      </w:r>
      <w:r w:rsidRPr="000F7481">
        <w:rPr>
          <w:rFonts w:ascii="Aptos" w:hAnsi="Aptos"/>
          <w:color w:val="000000" w:themeColor="text1"/>
        </w:rPr>
        <w:t>, 460 Mass. 222, 223 (2011) (internal quotation marks and citations omitted).</w:t>
      </w:r>
    </w:p>
  </w:footnote>
  <w:footnote w:id="27">
    <w:p w14:paraId="0C28F8D6" w14:textId="77777777" w:rsidR="009A18D6" w:rsidRPr="000F7481" w:rsidRDefault="009A18D6" w:rsidP="009A18D6">
      <w:pPr>
        <w:pStyle w:val="FootnoteText"/>
        <w:rPr>
          <w:rFonts w:ascii="Aptos" w:hAnsi="Aptos"/>
          <w:color w:val="000000" w:themeColor="text1"/>
        </w:rPr>
      </w:pPr>
      <w:r w:rsidRPr="000F7481">
        <w:rPr>
          <w:rStyle w:val="FootnoteReference"/>
          <w:rFonts w:ascii="Aptos" w:hAnsi="Aptos"/>
          <w:color w:val="000000" w:themeColor="text1"/>
        </w:rPr>
        <w:footnoteRef/>
      </w:r>
      <w:r w:rsidRPr="000F7481">
        <w:rPr>
          <w:rFonts w:ascii="Aptos" w:hAnsi="Aptos"/>
          <w:color w:val="000000" w:themeColor="text1"/>
        </w:rPr>
        <w:t xml:space="preserve"> See 34 C.F.R. §300.507(a)(1).</w:t>
      </w:r>
    </w:p>
  </w:footnote>
  <w:footnote w:id="28">
    <w:p w14:paraId="1ADECE9C" w14:textId="77777777" w:rsidR="009A18D6" w:rsidRPr="000F7481" w:rsidRDefault="009A18D6" w:rsidP="009A18D6">
      <w:pPr>
        <w:pStyle w:val="FootnoteText"/>
        <w:rPr>
          <w:rFonts w:ascii="Aptos" w:hAnsi="Aptos"/>
          <w:color w:val="000000" w:themeColor="text1"/>
        </w:rPr>
      </w:pPr>
      <w:r w:rsidRPr="000F7481">
        <w:rPr>
          <w:rStyle w:val="FootnoteReference"/>
          <w:rFonts w:ascii="Aptos" w:hAnsi="Aptos"/>
          <w:color w:val="000000" w:themeColor="text1"/>
        </w:rPr>
        <w:footnoteRef/>
      </w:r>
      <w:r w:rsidRPr="000F7481">
        <w:rPr>
          <w:rFonts w:ascii="Aptos" w:hAnsi="Aptos"/>
          <w:color w:val="000000" w:themeColor="text1"/>
        </w:rPr>
        <w:t xml:space="preserve"> Limited exceptions exist that are not here applicable.</w:t>
      </w:r>
    </w:p>
  </w:footnote>
  <w:footnote w:id="29">
    <w:p w14:paraId="70A8F83B" w14:textId="77777777" w:rsidR="009A18D6" w:rsidRPr="000F7481" w:rsidRDefault="009A18D6" w:rsidP="009A18D6">
      <w:pPr>
        <w:pStyle w:val="FootnoteText"/>
        <w:rPr>
          <w:rFonts w:ascii="Aptos" w:hAnsi="Aptos"/>
          <w:color w:val="000000" w:themeColor="text1"/>
        </w:rPr>
      </w:pPr>
      <w:r w:rsidRPr="000F7481">
        <w:rPr>
          <w:rStyle w:val="FootnoteReference"/>
          <w:rFonts w:ascii="Aptos" w:hAnsi="Aptos"/>
          <w:color w:val="000000" w:themeColor="text1"/>
        </w:rPr>
        <w:footnoteRef/>
      </w:r>
      <w:r w:rsidRPr="000F7481">
        <w:rPr>
          <w:rFonts w:ascii="Aptos" w:hAnsi="Aptos"/>
          <w:color w:val="000000" w:themeColor="text1"/>
        </w:rPr>
        <w:t xml:space="preserve"> 603 CMR 28.08(3)(a).</w:t>
      </w:r>
    </w:p>
  </w:footnote>
  <w:footnote w:id="30">
    <w:p w14:paraId="1D47ED2A" w14:textId="77777777" w:rsidR="009A18D6" w:rsidRPr="000F7481" w:rsidRDefault="009A18D6" w:rsidP="009A18D6">
      <w:pPr>
        <w:tabs>
          <w:tab w:val="left" w:pos="2792"/>
        </w:tabs>
        <w:rPr>
          <w:rFonts w:ascii="Aptos" w:hAnsi="Aptos"/>
          <w:color w:val="000000" w:themeColor="text1"/>
          <w:sz w:val="20"/>
          <w:szCs w:val="20"/>
        </w:rPr>
      </w:pPr>
      <w:r w:rsidRPr="000F7481">
        <w:rPr>
          <w:rStyle w:val="FootnoteReference"/>
          <w:rFonts w:ascii="Aptos" w:hAnsi="Aptos"/>
          <w:color w:val="000000" w:themeColor="text1"/>
          <w:sz w:val="20"/>
          <w:szCs w:val="20"/>
        </w:rPr>
        <w:footnoteRef/>
      </w:r>
      <w:r w:rsidRPr="000F7481">
        <w:rPr>
          <w:rFonts w:ascii="Aptos" w:hAnsi="Aptos"/>
          <w:color w:val="000000" w:themeColor="text1"/>
          <w:sz w:val="20"/>
          <w:szCs w:val="20"/>
        </w:rPr>
        <w:t xml:space="preserve"> </w:t>
      </w:r>
      <w:r w:rsidRPr="000F7481">
        <w:rPr>
          <w:rFonts w:ascii="Aptos" w:hAnsi="Aptos"/>
          <w:i/>
          <w:iCs/>
          <w:color w:val="000000" w:themeColor="text1"/>
          <w:sz w:val="20"/>
          <w:szCs w:val="20"/>
        </w:rPr>
        <w:t>In Re: Georgetown Pub. Sch</w:t>
      </w:r>
      <w:r w:rsidRPr="000F7481">
        <w:rPr>
          <w:rFonts w:ascii="Aptos" w:hAnsi="Aptos"/>
          <w:color w:val="000000" w:themeColor="text1"/>
          <w:sz w:val="20"/>
          <w:szCs w:val="20"/>
        </w:rPr>
        <w:t>., BSEA # 1405352 (Berman, 2014).</w:t>
      </w:r>
    </w:p>
  </w:footnote>
  <w:footnote w:id="31">
    <w:p w14:paraId="6B623627" w14:textId="77777777" w:rsidR="009A18D6" w:rsidRPr="000F7481" w:rsidRDefault="009A18D6" w:rsidP="009A18D6">
      <w:pPr>
        <w:pStyle w:val="FootnoteText"/>
        <w:rPr>
          <w:rFonts w:ascii="Aptos" w:hAnsi="Aptos"/>
          <w:color w:val="000000" w:themeColor="text1"/>
        </w:rPr>
      </w:pPr>
      <w:r w:rsidRPr="000F7481">
        <w:rPr>
          <w:rStyle w:val="FootnoteReference"/>
          <w:rFonts w:ascii="Aptos" w:hAnsi="Aptos"/>
          <w:color w:val="000000" w:themeColor="text1"/>
        </w:rPr>
        <w:footnoteRef/>
      </w:r>
      <w:r w:rsidRPr="000F7481">
        <w:rPr>
          <w:rFonts w:ascii="Aptos" w:hAnsi="Aptos"/>
          <w:color w:val="000000" w:themeColor="text1"/>
        </w:rPr>
        <w:t xml:space="preserve"> See </w:t>
      </w:r>
      <w:r w:rsidRPr="000F7481">
        <w:rPr>
          <w:rFonts w:ascii="Aptos" w:hAnsi="Aptos"/>
          <w:i/>
          <w:iCs/>
          <w:color w:val="000000" w:themeColor="text1"/>
        </w:rPr>
        <w:t>Frazier v. Fairhaven Sch. Comm</w:t>
      </w:r>
      <w:r w:rsidRPr="000F7481">
        <w:rPr>
          <w:rFonts w:ascii="Aptos" w:hAnsi="Aptos"/>
          <w:color w:val="000000" w:themeColor="text1"/>
        </w:rPr>
        <w:t>., 276 F.3d 52, 59, 64 (1st Cir. 2002).</w:t>
      </w:r>
    </w:p>
  </w:footnote>
  <w:footnote w:id="32">
    <w:p w14:paraId="31C46477" w14:textId="77777777" w:rsidR="009A18D6" w:rsidRPr="000F7481" w:rsidRDefault="009A18D6" w:rsidP="009A18D6">
      <w:pPr>
        <w:pStyle w:val="FootnoteText"/>
        <w:rPr>
          <w:rFonts w:ascii="Aptos" w:hAnsi="Aptos"/>
          <w:color w:val="000000" w:themeColor="text1"/>
        </w:rPr>
      </w:pPr>
      <w:r w:rsidRPr="000F7481">
        <w:rPr>
          <w:rStyle w:val="FootnoteReference"/>
          <w:rFonts w:ascii="Aptos" w:hAnsi="Aptos"/>
          <w:color w:val="000000" w:themeColor="text1"/>
        </w:rPr>
        <w:footnoteRef/>
      </w:r>
      <w:r w:rsidRPr="000F7481">
        <w:rPr>
          <w:rFonts w:ascii="Aptos" w:hAnsi="Aptos"/>
          <w:color w:val="000000" w:themeColor="text1"/>
        </w:rPr>
        <w:t xml:space="preserve"> </w:t>
      </w:r>
      <w:r w:rsidRPr="000F7481">
        <w:rPr>
          <w:rFonts w:ascii="Aptos" w:hAnsi="Aptos"/>
          <w:i/>
          <w:iCs/>
          <w:color w:val="000000" w:themeColor="text1"/>
        </w:rPr>
        <w:t>Id</w:t>
      </w:r>
      <w:r w:rsidRPr="000F7481">
        <w:rPr>
          <w:rFonts w:ascii="Aptos" w:hAnsi="Aptos"/>
          <w:color w:val="000000" w:themeColor="text1"/>
        </w:rPr>
        <w:t>. at 60.</w:t>
      </w:r>
    </w:p>
  </w:footnote>
  <w:footnote w:id="33">
    <w:p w14:paraId="564EEB17" w14:textId="77777777" w:rsidR="009A18D6" w:rsidRPr="000F7481" w:rsidRDefault="009A18D6" w:rsidP="009A18D6">
      <w:pPr>
        <w:pStyle w:val="FootnoteText"/>
        <w:rPr>
          <w:rFonts w:ascii="Aptos" w:hAnsi="Aptos"/>
          <w:color w:val="000000" w:themeColor="text1"/>
        </w:rPr>
      </w:pPr>
      <w:r w:rsidRPr="000F7481">
        <w:rPr>
          <w:rStyle w:val="FootnoteReference"/>
          <w:rFonts w:ascii="Aptos" w:hAnsi="Aptos"/>
          <w:color w:val="000000" w:themeColor="text1"/>
        </w:rPr>
        <w:footnoteRef/>
      </w:r>
      <w:r w:rsidRPr="000F7481">
        <w:rPr>
          <w:rFonts w:ascii="Aptos" w:hAnsi="Aptos"/>
          <w:color w:val="000000" w:themeColor="text1"/>
        </w:rPr>
        <w:t xml:space="preserve"> </w:t>
      </w:r>
      <w:r w:rsidRPr="000F7481">
        <w:rPr>
          <w:rFonts w:ascii="Aptos" w:hAnsi="Aptos"/>
          <w:i/>
          <w:iCs/>
          <w:color w:val="000000" w:themeColor="text1"/>
        </w:rPr>
        <w:t>Rose v. Yeaw</w:t>
      </w:r>
      <w:r w:rsidRPr="000F7481">
        <w:rPr>
          <w:rFonts w:ascii="Aptos" w:hAnsi="Aptos"/>
          <w:color w:val="000000" w:themeColor="text1"/>
        </w:rPr>
        <w:t>, 214 F.3d 206, 210 (1st Cir. 2000).</w:t>
      </w:r>
    </w:p>
  </w:footnote>
  <w:footnote w:id="34">
    <w:p w14:paraId="2C9DC499" w14:textId="77777777" w:rsidR="009A18D6" w:rsidRPr="007D186F" w:rsidRDefault="009A18D6" w:rsidP="009A18D6">
      <w:pPr>
        <w:pStyle w:val="FootnoteText"/>
        <w:rPr>
          <w:rFonts w:ascii="Aptos" w:hAnsi="Aptos"/>
          <w:color w:val="000000" w:themeColor="text1"/>
          <w:lang w:val="es-ES"/>
        </w:rPr>
      </w:pPr>
      <w:r w:rsidRPr="000F7481">
        <w:rPr>
          <w:rStyle w:val="FootnoteReference"/>
          <w:rFonts w:ascii="Aptos" w:hAnsi="Aptos"/>
          <w:color w:val="000000" w:themeColor="text1"/>
        </w:rPr>
        <w:footnoteRef/>
      </w:r>
      <w:r w:rsidRPr="007D186F">
        <w:rPr>
          <w:rFonts w:ascii="Aptos" w:hAnsi="Aptos"/>
          <w:color w:val="000000" w:themeColor="text1"/>
          <w:lang w:val="es-ES"/>
        </w:rPr>
        <w:t xml:space="preserve"> </w:t>
      </w:r>
      <w:r w:rsidRPr="007D186F">
        <w:rPr>
          <w:rFonts w:ascii="Aptos" w:hAnsi="Aptos"/>
          <w:i/>
          <w:iCs/>
          <w:color w:val="000000" w:themeColor="text1"/>
          <w:lang w:val="es-ES"/>
        </w:rPr>
        <w:t>In Re Xylia</w:t>
      </w:r>
      <w:r w:rsidRPr="007D186F">
        <w:rPr>
          <w:rFonts w:ascii="Aptos" w:hAnsi="Aptos"/>
          <w:color w:val="000000" w:themeColor="text1"/>
          <w:lang w:val="es-ES"/>
        </w:rPr>
        <w:t xml:space="preserve">, BSEA # 12-0781 (Byrne 2012); see </w:t>
      </w:r>
      <w:r w:rsidRPr="007D186F">
        <w:rPr>
          <w:rFonts w:ascii="Aptos" w:hAnsi="Aptos"/>
          <w:i/>
          <w:iCs/>
          <w:color w:val="000000" w:themeColor="text1"/>
          <w:lang w:val="es-ES"/>
        </w:rPr>
        <w:t>Diaz-Fonseca v. Puerto Rico</w:t>
      </w:r>
      <w:r w:rsidRPr="007D186F">
        <w:rPr>
          <w:rFonts w:ascii="Aptos" w:hAnsi="Aptos"/>
          <w:color w:val="000000" w:themeColor="text1"/>
          <w:lang w:val="es-ES"/>
        </w:rPr>
        <w:t>, 451 F.3d 13, 29 (2006).</w:t>
      </w:r>
    </w:p>
  </w:footnote>
  <w:footnote w:id="35">
    <w:p w14:paraId="62294EDF" w14:textId="01387B82" w:rsidR="001D6C04" w:rsidRPr="000F7481" w:rsidRDefault="001D6C04" w:rsidP="00C301FD">
      <w:pPr>
        <w:pStyle w:val="FootnoteText"/>
        <w:rPr>
          <w:rFonts w:ascii="Aptos" w:hAnsi="Aptos"/>
          <w:color w:val="000000" w:themeColor="text1"/>
        </w:rPr>
      </w:pPr>
      <w:r w:rsidRPr="000F7481">
        <w:rPr>
          <w:rStyle w:val="FootnoteReference"/>
          <w:rFonts w:ascii="Aptos" w:hAnsi="Aptos"/>
          <w:color w:val="000000" w:themeColor="text1"/>
        </w:rPr>
        <w:footnoteRef/>
      </w:r>
      <w:r w:rsidRPr="000F7481">
        <w:rPr>
          <w:rFonts w:ascii="Aptos" w:hAnsi="Aptos"/>
          <w:color w:val="000000" w:themeColor="text1"/>
        </w:rPr>
        <w:t xml:space="preserve"> See </w:t>
      </w:r>
      <w:r w:rsidRPr="000F7481">
        <w:rPr>
          <w:rFonts w:ascii="Aptos" w:hAnsi="Aptos"/>
          <w:i/>
          <w:iCs/>
          <w:color w:val="000000" w:themeColor="text1"/>
        </w:rPr>
        <w:t>In Re: Agawam Public Schools and Melmark-New England (Ruling)</w:t>
      </w:r>
      <w:r w:rsidRPr="000F7481">
        <w:rPr>
          <w:rFonts w:ascii="Aptos" w:hAnsi="Aptos"/>
          <w:color w:val="000000" w:themeColor="text1"/>
        </w:rPr>
        <w:t>, BSEA # 1504488 (Berman, 2015) (“The critical question is identifying the child’s ‘then current placement,’ because not every alteration in a child’s educational services constitutes a change in such placement”)</w:t>
      </w:r>
    </w:p>
  </w:footnote>
  <w:footnote w:id="36">
    <w:p w14:paraId="5E70357C" w14:textId="77777777" w:rsidR="00087DCB" w:rsidRPr="000F7481" w:rsidRDefault="00087DCB" w:rsidP="00C301FD">
      <w:pPr>
        <w:rPr>
          <w:rFonts w:ascii="Aptos" w:hAnsi="Aptos"/>
          <w:color w:val="000000" w:themeColor="text1"/>
          <w:sz w:val="20"/>
          <w:szCs w:val="20"/>
        </w:rPr>
      </w:pPr>
      <w:r w:rsidRPr="000F7481">
        <w:rPr>
          <w:rStyle w:val="FootnoteReference"/>
          <w:rFonts w:ascii="Aptos" w:hAnsi="Aptos"/>
          <w:color w:val="000000" w:themeColor="text1"/>
          <w:sz w:val="20"/>
          <w:szCs w:val="20"/>
        </w:rPr>
        <w:footnoteRef/>
      </w:r>
      <w:r w:rsidRPr="000F7481">
        <w:rPr>
          <w:rFonts w:ascii="Aptos" w:hAnsi="Aptos"/>
          <w:color w:val="000000" w:themeColor="text1"/>
          <w:sz w:val="20"/>
          <w:szCs w:val="20"/>
        </w:rPr>
        <w:t xml:space="preserve"> Doe v. Portland Pub. Schs., 30 F.4th 85, 91 (1st Cir. 2022). </w:t>
      </w:r>
    </w:p>
  </w:footnote>
  <w:footnote w:id="37">
    <w:p w14:paraId="11C0D1D5" w14:textId="77777777" w:rsidR="00087DCB" w:rsidRPr="000F7481" w:rsidRDefault="00087DCB" w:rsidP="00C301FD">
      <w:pPr>
        <w:pStyle w:val="FootnoteText"/>
        <w:rPr>
          <w:rFonts w:ascii="Aptos" w:hAnsi="Aptos"/>
          <w:color w:val="000000" w:themeColor="text1"/>
        </w:rPr>
      </w:pPr>
      <w:r w:rsidRPr="000F7481">
        <w:rPr>
          <w:rStyle w:val="FootnoteReference"/>
          <w:rFonts w:ascii="Aptos" w:hAnsi="Aptos"/>
          <w:color w:val="000000" w:themeColor="text1"/>
        </w:rPr>
        <w:footnoteRef/>
      </w:r>
      <w:r w:rsidRPr="000F7481">
        <w:rPr>
          <w:rFonts w:ascii="Aptos" w:hAnsi="Aptos"/>
          <w:color w:val="000000" w:themeColor="text1"/>
        </w:rPr>
        <w:t xml:space="preserve"> </w:t>
      </w:r>
      <w:r w:rsidRPr="000F7481">
        <w:rPr>
          <w:rFonts w:ascii="Aptos" w:hAnsi="Aptos"/>
          <w:i/>
          <w:iCs/>
          <w:color w:val="000000" w:themeColor="text1"/>
        </w:rPr>
        <w:t> Blank v. Chelmsford Ob/Gyn, P.C</w:t>
      </w:r>
      <w:r w:rsidRPr="000F7481">
        <w:rPr>
          <w:rFonts w:ascii="Aptos" w:hAnsi="Aptos"/>
          <w:color w:val="000000" w:themeColor="text1"/>
        </w:rPr>
        <w:t>., 420 Mass. 404, 407 (1995).</w:t>
      </w:r>
    </w:p>
  </w:footnote>
  <w:footnote w:id="38">
    <w:p w14:paraId="5154F592" w14:textId="77777777" w:rsidR="000835ED" w:rsidRPr="000F7481" w:rsidRDefault="000835ED" w:rsidP="00C301FD">
      <w:pPr>
        <w:pStyle w:val="FootnoteText"/>
        <w:rPr>
          <w:rFonts w:ascii="Aptos" w:hAnsi="Aptos"/>
          <w:color w:val="000000" w:themeColor="text1"/>
        </w:rPr>
      </w:pPr>
      <w:r w:rsidRPr="000F7481">
        <w:rPr>
          <w:rStyle w:val="FootnoteReference"/>
          <w:rFonts w:ascii="Aptos" w:hAnsi="Aptos"/>
          <w:color w:val="000000" w:themeColor="text1"/>
        </w:rPr>
        <w:footnoteRef/>
      </w:r>
      <w:r w:rsidRPr="000F7481">
        <w:rPr>
          <w:rFonts w:ascii="Aptos" w:hAnsi="Aptos"/>
          <w:color w:val="000000" w:themeColor="text1"/>
        </w:rPr>
        <w:t xml:space="preserve">  See 34 CFR 300.116 (b)(3) (Under the IDEA, a district must ensure that a student is educated as close as possible to home, provided the neighborhood school can implement the IEP); see also 34 CFR 300.116 (c) (A student with a disability should attend the school he or she would otherwise attend unless the IEP requires a different placement”). </w:t>
      </w:r>
    </w:p>
  </w:footnote>
  <w:footnote w:id="39">
    <w:p w14:paraId="3792867D" w14:textId="77777777" w:rsidR="002922A6" w:rsidRPr="000F7481" w:rsidRDefault="002922A6" w:rsidP="00C301FD">
      <w:pPr>
        <w:shd w:val="clear" w:color="auto" w:fill="FFFFFF"/>
        <w:rPr>
          <w:rFonts w:ascii="Aptos" w:hAnsi="Aptos"/>
          <w:color w:val="000000" w:themeColor="text1"/>
          <w:sz w:val="20"/>
          <w:szCs w:val="20"/>
        </w:rPr>
      </w:pPr>
      <w:r w:rsidRPr="000F7481">
        <w:rPr>
          <w:rStyle w:val="FootnoteReference"/>
          <w:rFonts w:ascii="Aptos" w:hAnsi="Aptos"/>
          <w:color w:val="000000" w:themeColor="text1"/>
          <w:sz w:val="20"/>
          <w:szCs w:val="20"/>
        </w:rPr>
        <w:footnoteRef/>
      </w:r>
      <w:r w:rsidRPr="000F7481">
        <w:rPr>
          <w:rFonts w:ascii="Aptos" w:hAnsi="Aptos"/>
          <w:color w:val="000000" w:themeColor="text1"/>
          <w:sz w:val="20"/>
          <w:szCs w:val="20"/>
        </w:rPr>
        <w:t xml:space="preserve"> </w:t>
      </w:r>
      <w:r w:rsidRPr="000F7481">
        <w:rPr>
          <w:rFonts w:ascii="Aptos" w:hAnsi="Aptos"/>
          <w:i/>
          <w:iCs/>
          <w:color w:val="000000" w:themeColor="text1"/>
          <w:sz w:val="20"/>
          <w:szCs w:val="20"/>
          <w:bdr w:val="none" w:sz="0" w:space="0" w:color="auto" w:frame="1"/>
        </w:rPr>
        <w:t>D.K. v. D.C.</w:t>
      </w:r>
      <w:r w:rsidRPr="000F7481">
        <w:rPr>
          <w:rFonts w:ascii="Aptos" w:hAnsi="Aptos"/>
          <w:i/>
          <w:iCs/>
          <w:color w:val="000000" w:themeColor="text1"/>
          <w:sz w:val="20"/>
          <w:szCs w:val="20"/>
        </w:rPr>
        <w:t>,</w:t>
      </w:r>
      <w:r w:rsidRPr="000F7481">
        <w:rPr>
          <w:rFonts w:ascii="Aptos" w:hAnsi="Aptos"/>
          <w:color w:val="000000" w:themeColor="text1"/>
          <w:sz w:val="20"/>
          <w:szCs w:val="20"/>
        </w:rPr>
        <w:t xml:space="preserve"> 983 F. Supp. 2d 138, 146 (D.D.C. 2013).</w:t>
      </w:r>
    </w:p>
  </w:footnote>
  <w:footnote w:id="40">
    <w:p w14:paraId="54BE154B" w14:textId="3610553D" w:rsidR="00B6648B" w:rsidRDefault="00B6648B">
      <w:pPr>
        <w:pStyle w:val="FootnoteText"/>
      </w:pPr>
      <w:r>
        <w:rPr>
          <w:rStyle w:val="FootnoteReference"/>
        </w:rPr>
        <w:footnoteRef/>
      </w:r>
      <w:r>
        <w:t xml:space="preserve"> </w:t>
      </w:r>
      <w:r w:rsidR="00116B78">
        <w:rPr>
          <w:rFonts w:ascii="Aptos" w:hAnsi="Aptos"/>
          <w:color w:val="000000" w:themeColor="text1"/>
        </w:rPr>
        <w:t>The IEP</w:t>
      </w:r>
      <w:r w:rsidR="000156F4">
        <w:rPr>
          <w:rFonts w:ascii="Aptos" w:hAnsi="Aptos"/>
          <w:color w:val="000000" w:themeColor="text1"/>
        </w:rPr>
        <w:t xml:space="preserve"> services comprise OT consultation  (1x15 minutes/month), BCBA consultation  (1x15 minutes/month), PT consultation  (1x15 minutes/month), General Education Academic Support ELA (60 minutes daily) and Academic Support Math (60 minutes daily) in the general education classroom, and SLP (30 minutes/week), specialized instruction reading (60 minutes daily), and specialized instruction math (60 minutes daily) outside of the general education classroom</w:t>
      </w:r>
      <w:r w:rsidR="00215159">
        <w:rPr>
          <w:rFonts w:ascii="Aptos" w:hAnsi="Aptos"/>
          <w:color w:val="000000" w:themeColor="text1"/>
        </w:rPr>
        <w:t>.</w:t>
      </w:r>
    </w:p>
  </w:footnote>
  <w:footnote w:id="41">
    <w:p w14:paraId="69081E5D" w14:textId="77777777" w:rsidR="00671657" w:rsidRPr="000F7481" w:rsidRDefault="00671657" w:rsidP="00671657">
      <w:pPr>
        <w:pStyle w:val="FootnoteText"/>
        <w:rPr>
          <w:rFonts w:ascii="Aptos" w:hAnsi="Aptos"/>
          <w:color w:val="000000" w:themeColor="text1"/>
        </w:rPr>
      </w:pPr>
      <w:r w:rsidRPr="000F7481">
        <w:rPr>
          <w:rStyle w:val="FootnoteReference"/>
          <w:rFonts w:ascii="Aptos" w:hAnsi="Aptos"/>
          <w:color w:val="000000" w:themeColor="text1"/>
        </w:rPr>
        <w:footnoteRef/>
      </w:r>
      <w:r w:rsidRPr="000F7481">
        <w:rPr>
          <w:rFonts w:ascii="Aptos" w:hAnsi="Aptos"/>
          <w:color w:val="000000" w:themeColor="text1"/>
        </w:rPr>
        <w:t xml:space="preserve"> </w:t>
      </w:r>
      <w:r w:rsidRPr="000F7481">
        <w:rPr>
          <w:rFonts w:ascii="Aptos" w:hAnsi="Aptos"/>
          <w:i/>
          <w:iCs/>
          <w:color w:val="000000" w:themeColor="text1"/>
        </w:rPr>
        <w:t>Lunceford v. D.C. Bd. of Educ.,</w:t>
      </w:r>
      <w:r w:rsidRPr="000F7481">
        <w:rPr>
          <w:rFonts w:ascii="Aptos" w:hAnsi="Aptos"/>
          <w:color w:val="000000" w:themeColor="text1"/>
        </w:rPr>
        <w:t> 745 F.2d 1577, 1582 (D.C.Cir.1984).</w:t>
      </w:r>
    </w:p>
  </w:footnote>
  <w:footnote w:id="42">
    <w:p w14:paraId="795B36D4" w14:textId="77777777" w:rsidR="006E74B4" w:rsidRPr="000F7481" w:rsidRDefault="006E74B4" w:rsidP="00C301FD">
      <w:pPr>
        <w:pStyle w:val="FootnoteText"/>
        <w:rPr>
          <w:rFonts w:ascii="Aptos" w:hAnsi="Aptos"/>
          <w:color w:val="000000" w:themeColor="text1"/>
        </w:rPr>
      </w:pPr>
      <w:r w:rsidRPr="000F7481">
        <w:rPr>
          <w:rStyle w:val="FootnoteReference"/>
          <w:rFonts w:ascii="Aptos" w:hAnsi="Aptos"/>
          <w:color w:val="000000" w:themeColor="text1"/>
        </w:rPr>
        <w:footnoteRef/>
      </w:r>
      <w:r w:rsidRPr="000F7481">
        <w:rPr>
          <w:rFonts w:ascii="Aptos" w:hAnsi="Aptos"/>
          <w:color w:val="000000" w:themeColor="text1"/>
        </w:rPr>
        <w:t xml:space="preserve"> </w:t>
      </w:r>
      <w:r w:rsidRPr="000F7481">
        <w:rPr>
          <w:rFonts w:ascii="Aptos" w:hAnsi="Aptos"/>
          <w:i/>
          <w:iCs/>
          <w:color w:val="000000" w:themeColor="text1"/>
        </w:rPr>
        <w:t>White ex rel. White v. Ascension Par. Sch. Bd.,</w:t>
      </w:r>
      <w:r w:rsidRPr="000F7481">
        <w:rPr>
          <w:rFonts w:ascii="Aptos" w:hAnsi="Aptos"/>
          <w:color w:val="000000" w:themeColor="text1"/>
        </w:rPr>
        <w:t xml:space="preserve"> 343 F.3d 373, 383 (5th Cir. 2003) (parents improperly “conflate[d] site selection and educational placement”).</w:t>
      </w:r>
    </w:p>
  </w:footnote>
  <w:footnote w:id="43">
    <w:p w14:paraId="75DCB094" w14:textId="3741B184" w:rsidR="00B8736B" w:rsidRPr="000F7481" w:rsidRDefault="00B8736B" w:rsidP="00C301FD">
      <w:pPr>
        <w:pStyle w:val="FootnoteText"/>
        <w:rPr>
          <w:rFonts w:ascii="Aptos" w:hAnsi="Aptos"/>
          <w:color w:val="000000" w:themeColor="text1"/>
        </w:rPr>
      </w:pPr>
      <w:r w:rsidRPr="000F7481">
        <w:rPr>
          <w:rStyle w:val="FootnoteReference"/>
          <w:rFonts w:ascii="Aptos" w:hAnsi="Aptos"/>
          <w:color w:val="000000" w:themeColor="text1"/>
        </w:rPr>
        <w:footnoteRef/>
      </w:r>
      <w:r w:rsidRPr="000F7481">
        <w:rPr>
          <w:rFonts w:ascii="Aptos" w:hAnsi="Aptos"/>
          <w:color w:val="000000" w:themeColor="text1"/>
        </w:rPr>
        <w:t xml:space="preserve"> </w:t>
      </w:r>
      <w:r w:rsidR="000E0EA6" w:rsidRPr="000F7481">
        <w:rPr>
          <w:rFonts w:ascii="Aptos" w:hAnsi="Aptos"/>
          <w:i/>
          <w:iCs/>
          <w:color w:val="000000" w:themeColor="text1"/>
        </w:rPr>
        <w:t>In Re: Agawam Public Schools and Melmark-New England (Ruling)</w:t>
      </w:r>
      <w:r w:rsidR="000E0EA6" w:rsidRPr="000F7481">
        <w:rPr>
          <w:rFonts w:ascii="Aptos" w:hAnsi="Aptos"/>
          <w:color w:val="000000" w:themeColor="text1"/>
        </w:rPr>
        <w:t>, BSEA # 1504488 (Berman, 2015)</w:t>
      </w:r>
      <w:r w:rsidR="00056B33" w:rsidRPr="000F7481">
        <w:rPr>
          <w:rFonts w:ascii="Aptos" w:hAnsi="Aptos"/>
          <w:color w:val="000000" w:themeColor="text1"/>
        </w:rPr>
        <w:t xml:space="preserve">. </w:t>
      </w:r>
      <w:r w:rsidR="00DF5B39" w:rsidRPr="000F7481">
        <w:rPr>
          <w:rFonts w:ascii="Aptos" w:hAnsi="Aptos"/>
          <w:color w:val="000000" w:themeColor="text1"/>
        </w:rPr>
        <w:t xml:space="preserve">In </w:t>
      </w:r>
      <w:r w:rsidR="00DF5B39" w:rsidRPr="000F7481">
        <w:rPr>
          <w:rFonts w:ascii="Aptos" w:hAnsi="Aptos"/>
          <w:i/>
          <w:iCs/>
          <w:color w:val="000000" w:themeColor="text1"/>
        </w:rPr>
        <w:t>In Re: Agawam Public Schools and Melmark-New England (Ruling)</w:t>
      </w:r>
      <w:r w:rsidR="00DF5B39" w:rsidRPr="000F7481">
        <w:rPr>
          <w:rFonts w:ascii="Aptos" w:hAnsi="Aptos"/>
          <w:color w:val="000000" w:themeColor="text1"/>
        </w:rPr>
        <w:t xml:space="preserve">, </w:t>
      </w:r>
      <w:r w:rsidR="00056B33" w:rsidRPr="000F7481">
        <w:rPr>
          <w:rFonts w:ascii="Aptos" w:hAnsi="Aptos"/>
          <w:color w:val="000000" w:themeColor="text1"/>
        </w:rPr>
        <w:t xml:space="preserve">Hearing Officer Sara Berman </w:t>
      </w:r>
      <w:r w:rsidR="000E0EA6" w:rsidRPr="000F7481">
        <w:rPr>
          <w:rFonts w:ascii="Aptos" w:hAnsi="Aptos"/>
          <w:color w:val="000000" w:themeColor="text1"/>
        </w:rPr>
        <w:t>cit</w:t>
      </w:r>
      <w:r w:rsidR="00056B33" w:rsidRPr="000F7481">
        <w:rPr>
          <w:rFonts w:ascii="Aptos" w:hAnsi="Aptos"/>
          <w:color w:val="000000" w:themeColor="text1"/>
        </w:rPr>
        <w:t>ed</w:t>
      </w:r>
      <w:r w:rsidR="000E0EA6" w:rsidRPr="000F7481">
        <w:rPr>
          <w:rFonts w:ascii="Aptos" w:hAnsi="Aptos"/>
          <w:color w:val="000000" w:themeColor="text1"/>
        </w:rPr>
        <w:t xml:space="preserve"> </w:t>
      </w:r>
      <w:r w:rsidR="00BE4466" w:rsidRPr="000F7481">
        <w:rPr>
          <w:rFonts w:ascii="Aptos" w:hAnsi="Aptos"/>
          <w:color w:val="000000" w:themeColor="text1"/>
        </w:rPr>
        <w:t>to</w:t>
      </w:r>
      <w:r w:rsidRPr="000F7481">
        <w:rPr>
          <w:rFonts w:ascii="Aptos" w:hAnsi="Aptos"/>
          <w:color w:val="000000" w:themeColor="text1"/>
        </w:rPr>
        <w:t xml:space="preserve"> </w:t>
      </w:r>
      <w:r w:rsidRPr="000F7481">
        <w:rPr>
          <w:rFonts w:ascii="Aptos" w:hAnsi="Aptos"/>
          <w:i/>
          <w:iCs/>
          <w:color w:val="000000" w:themeColor="text1"/>
        </w:rPr>
        <w:t>AW. v. Fairfax County School</w:t>
      </w:r>
      <w:r w:rsidR="00BE4466" w:rsidRPr="000F7481">
        <w:rPr>
          <w:rFonts w:ascii="Aptos" w:hAnsi="Aptos"/>
          <w:i/>
          <w:iCs/>
          <w:color w:val="000000" w:themeColor="text1"/>
        </w:rPr>
        <w:t xml:space="preserve"> </w:t>
      </w:r>
      <w:r w:rsidRPr="000F7481">
        <w:rPr>
          <w:rFonts w:ascii="Aptos" w:hAnsi="Aptos"/>
          <w:i/>
          <w:iCs/>
          <w:color w:val="000000" w:themeColor="text1"/>
        </w:rPr>
        <w:t>Board</w:t>
      </w:r>
      <w:r w:rsidRPr="000F7481">
        <w:rPr>
          <w:rFonts w:ascii="Aptos" w:hAnsi="Aptos"/>
          <w:color w:val="000000" w:themeColor="text1"/>
        </w:rPr>
        <w:t xml:space="preserve">, </w:t>
      </w:r>
      <w:r w:rsidR="00B12BAA" w:rsidRPr="000F7481">
        <w:rPr>
          <w:rFonts w:ascii="Aptos" w:hAnsi="Aptos"/>
          <w:color w:val="000000" w:themeColor="text1"/>
        </w:rPr>
        <w:t>372 F.3d 674</w:t>
      </w:r>
      <w:r w:rsidRPr="000F7481">
        <w:rPr>
          <w:rFonts w:ascii="Aptos" w:hAnsi="Aptos"/>
          <w:color w:val="000000" w:themeColor="text1"/>
        </w:rPr>
        <w:t xml:space="preserve"> (4th Cir. 2004)</w:t>
      </w:r>
      <w:r w:rsidR="00056B33" w:rsidRPr="000F7481">
        <w:rPr>
          <w:rFonts w:ascii="Aptos" w:hAnsi="Aptos"/>
          <w:color w:val="000000" w:themeColor="text1"/>
        </w:rPr>
        <w:t>,</w:t>
      </w:r>
      <w:r w:rsidR="00B12BAA" w:rsidRPr="000F7481">
        <w:rPr>
          <w:rFonts w:ascii="Aptos" w:hAnsi="Aptos"/>
          <w:color w:val="000000" w:themeColor="text1"/>
        </w:rPr>
        <w:t xml:space="preserve"> stating that “</w:t>
      </w:r>
      <w:r w:rsidRPr="000F7481">
        <w:rPr>
          <w:rFonts w:ascii="Aptos" w:hAnsi="Aptos"/>
          <w:color w:val="000000" w:themeColor="text1"/>
        </w:rPr>
        <w:t xml:space="preserve">the Fourth Circuit reviewed several </w:t>
      </w:r>
      <w:r w:rsidR="00B12BAA" w:rsidRPr="000F7481">
        <w:rPr>
          <w:rFonts w:ascii="Aptos" w:hAnsi="Aptos"/>
          <w:color w:val="000000" w:themeColor="text1"/>
        </w:rPr>
        <w:t>‘</w:t>
      </w:r>
      <w:r w:rsidRPr="000F7481">
        <w:rPr>
          <w:rFonts w:ascii="Aptos" w:hAnsi="Aptos"/>
          <w:color w:val="000000" w:themeColor="text1"/>
        </w:rPr>
        <w:t>stay put</w:t>
      </w:r>
      <w:r w:rsidR="00B12BAA" w:rsidRPr="000F7481">
        <w:rPr>
          <w:rFonts w:ascii="Aptos" w:hAnsi="Aptos"/>
          <w:color w:val="000000" w:themeColor="text1"/>
        </w:rPr>
        <w:t>’</w:t>
      </w:r>
      <w:r w:rsidRPr="000F7481">
        <w:rPr>
          <w:rFonts w:ascii="Aptos" w:hAnsi="Aptos"/>
          <w:color w:val="000000" w:themeColor="text1"/>
        </w:rPr>
        <w:t xml:space="preserve"> decisions and noted that important factors to be considered in deciding whether a change (in location, in that case) is a true </w:t>
      </w:r>
      <w:r w:rsidR="00B12BAA" w:rsidRPr="000F7481">
        <w:rPr>
          <w:rFonts w:ascii="Aptos" w:hAnsi="Aptos"/>
          <w:color w:val="000000" w:themeColor="text1"/>
        </w:rPr>
        <w:t>‘</w:t>
      </w:r>
      <w:r w:rsidRPr="000F7481">
        <w:rPr>
          <w:rFonts w:ascii="Aptos" w:hAnsi="Aptos"/>
          <w:color w:val="000000" w:themeColor="text1"/>
        </w:rPr>
        <w:t>change in placement</w:t>
      </w:r>
      <w:r w:rsidR="00B12BAA" w:rsidRPr="000F7481">
        <w:rPr>
          <w:rFonts w:ascii="Aptos" w:hAnsi="Aptos"/>
          <w:color w:val="000000" w:themeColor="text1"/>
        </w:rPr>
        <w:t>’</w:t>
      </w:r>
      <w:r w:rsidRPr="000F7481">
        <w:rPr>
          <w:rFonts w:ascii="Aptos" w:hAnsi="Aptos"/>
          <w:color w:val="000000" w:themeColor="text1"/>
        </w:rPr>
        <w:t xml:space="preserve"> are whether the change impacts FAPE by “diluting” the quality of services or increasing the restrictiveness of the student’s program</w:t>
      </w:r>
      <w:r w:rsidR="00056B33" w:rsidRPr="000F7481">
        <w:rPr>
          <w:rFonts w:ascii="Aptos" w:hAnsi="Aptos"/>
          <w:color w:val="000000" w:themeColor="text1"/>
        </w:rPr>
        <w:t>.</w:t>
      </w:r>
      <w:r w:rsidR="00B12BAA" w:rsidRPr="000F7481">
        <w:rPr>
          <w:rFonts w:ascii="Aptos" w:hAnsi="Aptos"/>
          <w:color w:val="000000" w:themeColor="text1"/>
        </w:rPr>
        <w:t>”</w:t>
      </w:r>
      <w:r w:rsidR="009D7735" w:rsidRPr="000F7481">
        <w:rPr>
          <w:rFonts w:ascii="Aptos" w:hAnsi="Aptos"/>
          <w:color w:val="000000" w:themeColor="text1"/>
        </w:rPr>
        <w:t xml:space="preserve"> </w:t>
      </w:r>
      <w:r w:rsidR="00056B33" w:rsidRPr="000F7481">
        <w:rPr>
          <w:rFonts w:ascii="Aptos" w:hAnsi="Aptos"/>
          <w:color w:val="000000" w:themeColor="text1"/>
        </w:rPr>
        <w:t xml:space="preserve">She also cited to </w:t>
      </w:r>
      <w:r w:rsidR="00056B33" w:rsidRPr="000F7481">
        <w:rPr>
          <w:rFonts w:ascii="Aptos" w:hAnsi="Aptos"/>
          <w:i/>
          <w:iCs/>
          <w:color w:val="000000" w:themeColor="text1"/>
          <w:bdr w:val="none" w:sz="0" w:space="0" w:color="auto" w:frame="1"/>
        </w:rPr>
        <w:t>Hale ex rel. Hale v. Poplar Bluffs R-I Sch. Dist.</w:t>
      </w:r>
      <w:r w:rsidR="00056B33" w:rsidRPr="000F7481">
        <w:rPr>
          <w:rFonts w:ascii="Aptos" w:hAnsi="Aptos"/>
          <w:i/>
          <w:iCs/>
          <w:color w:val="000000" w:themeColor="text1"/>
        </w:rPr>
        <w:t>,</w:t>
      </w:r>
      <w:r w:rsidR="00056B33" w:rsidRPr="000F7481">
        <w:rPr>
          <w:rFonts w:ascii="Aptos" w:hAnsi="Aptos"/>
          <w:color w:val="000000" w:themeColor="text1"/>
        </w:rPr>
        <w:t xml:space="preserve"> 280 F.3d 831 (8th Cir. 2002), stating, “The 8th Circuit decided similarly … [finding] that providing identical services in a different setting constituted a change in placement under the facts of that particular case because of the impact of the change.</w:t>
      </w:r>
      <w:r w:rsidR="00DF5B39" w:rsidRPr="000F7481">
        <w:rPr>
          <w:rFonts w:ascii="Aptos" w:hAnsi="Aptos"/>
          <w:color w:val="000000" w:themeColor="text1"/>
        </w:rPr>
        <w:t>”</w:t>
      </w:r>
    </w:p>
  </w:footnote>
  <w:footnote w:id="44">
    <w:p w14:paraId="1671C43D" w14:textId="63348C4F" w:rsidR="00C514EE" w:rsidRPr="000F7481" w:rsidRDefault="00C514EE" w:rsidP="00C301FD">
      <w:pPr>
        <w:shd w:val="clear" w:color="auto" w:fill="FFFFFF"/>
        <w:rPr>
          <w:rFonts w:ascii="Aptos" w:hAnsi="Aptos"/>
          <w:color w:val="000000" w:themeColor="text1"/>
          <w:sz w:val="20"/>
          <w:szCs w:val="20"/>
        </w:rPr>
      </w:pPr>
      <w:r w:rsidRPr="000F7481">
        <w:rPr>
          <w:rStyle w:val="FootnoteReference"/>
          <w:rFonts w:ascii="Aptos" w:hAnsi="Aptos"/>
          <w:color w:val="000000" w:themeColor="text1"/>
          <w:sz w:val="20"/>
          <w:szCs w:val="20"/>
        </w:rPr>
        <w:footnoteRef/>
      </w:r>
      <w:r w:rsidRPr="000F7481">
        <w:rPr>
          <w:rFonts w:ascii="Aptos" w:hAnsi="Aptos"/>
          <w:color w:val="000000" w:themeColor="text1"/>
          <w:sz w:val="20"/>
          <w:szCs w:val="20"/>
        </w:rPr>
        <w:t xml:space="preserve"> See </w:t>
      </w:r>
      <w:r w:rsidRPr="000F7481">
        <w:rPr>
          <w:rFonts w:ascii="Aptos" w:hAnsi="Aptos"/>
          <w:i/>
          <w:iCs/>
          <w:color w:val="000000" w:themeColor="text1"/>
          <w:sz w:val="20"/>
          <w:szCs w:val="20"/>
          <w:bdr w:val="none" w:sz="0" w:space="0" w:color="auto" w:frame="1"/>
        </w:rPr>
        <w:t>AW</w:t>
      </w:r>
      <w:r w:rsidRPr="000F7481">
        <w:rPr>
          <w:rFonts w:ascii="Aptos" w:hAnsi="Aptos"/>
          <w:color w:val="000000" w:themeColor="text1"/>
          <w:sz w:val="20"/>
          <w:szCs w:val="20"/>
        </w:rPr>
        <w:t>, 372 F.3d at 681 (“changes in location do not violate the ‘</w:t>
      </w:r>
      <w:r w:rsidRPr="000F7481">
        <w:rPr>
          <w:rStyle w:val="coconcept14"/>
          <w:rFonts w:ascii="Aptos" w:hAnsi="Aptos"/>
          <w:color w:val="000000" w:themeColor="text1"/>
          <w:sz w:val="20"/>
          <w:szCs w:val="20"/>
          <w:bdr w:val="none" w:sz="0" w:space="0" w:color="auto" w:frame="1"/>
          <w:shd w:val="clear" w:color="auto" w:fill="FFFFFF"/>
        </w:rPr>
        <w:t>stay</w:t>
      </w:r>
      <w:r w:rsidR="004B6D3D">
        <w:rPr>
          <w:rFonts w:ascii="Aptos" w:hAnsi="Aptos"/>
          <w:color w:val="000000" w:themeColor="text1"/>
          <w:sz w:val="20"/>
          <w:szCs w:val="20"/>
        </w:rPr>
        <w:t>[]</w:t>
      </w:r>
      <w:r w:rsidRPr="000F7481">
        <w:rPr>
          <w:rStyle w:val="coconcept68"/>
          <w:rFonts w:ascii="Aptos" w:hAnsi="Aptos"/>
          <w:color w:val="000000" w:themeColor="text1"/>
          <w:sz w:val="20"/>
          <w:szCs w:val="20"/>
          <w:bdr w:val="none" w:sz="0" w:space="0" w:color="auto" w:frame="1"/>
          <w:shd w:val="clear" w:color="auto" w:fill="FFFFFF"/>
        </w:rPr>
        <w:t>put</w:t>
      </w:r>
      <w:r w:rsidRPr="000F7481">
        <w:rPr>
          <w:rFonts w:ascii="Aptos" w:hAnsi="Aptos"/>
          <w:color w:val="000000" w:themeColor="text1"/>
          <w:sz w:val="20"/>
          <w:szCs w:val="20"/>
        </w:rPr>
        <w:t>’ provision provided they do not result in a diminution of the educational</w:t>
      </w:r>
      <w:r w:rsidRPr="000F7481">
        <w:rPr>
          <w:rStyle w:val="apple-converted-space"/>
          <w:rFonts w:ascii="Aptos" w:hAnsi="Aptos"/>
          <w:color w:val="000000" w:themeColor="text1"/>
          <w:sz w:val="20"/>
          <w:szCs w:val="20"/>
        </w:rPr>
        <w:t> </w:t>
      </w:r>
      <w:r w:rsidRPr="000F7481">
        <w:rPr>
          <w:rStyle w:val="coconcept2229"/>
          <w:rFonts w:ascii="Aptos" w:hAnsi="Aptos"/>
          <w:color w:val="000000" w:themeColor="text1"/>
          <w:sz w:val="20"/>
          <w:szCs w:val="20"/>
          <w:bdr w:val="none" w:sz="0" w:space="0" w:color="auto" w:frame="1"/>
          <w:shd w:val="clear" w:color="auto" w:fill="FFFFFF"/>
        </w:rPr>
        <w:t>services</w:t>
      </w:r>
      <w:r w:rsidRPr="000F7481">
        <w:rPr>
          <w:rStyle w:val="apple-converted-space"/>
          <w:rFonts w:ascii="Aptos" w:hAnsi="Aptos"/>
          <w:color w:val="000000" w:themeColor="text1"/>
          <w:sz w:val="20"/>
          <w:szCs w:val="20"/>
        </w:rPr>
        <w:t> </w:t>
      </w:r>
      <w:r w:rsidRPr="000F7481">
        <w:rPr>
          <w:rFonts w:ascii="Aptos" w:hAnsi="Aptos"/>
          <w:color w:val="000000" w:themeColor="text1"/>
          <w:sz w:val="20"/>
          <w:szCs w:val="20"/>
        </w:rPr>
        <w:t>to which the student is entitled”)</w:t>
      </w:r>
      <w:r w:rsidR="006305C7" w:rsidRPr="000F7481">
        <w:rPr>
          <w:rFonts w:ascii="Aptos" w:hAnsi="Aptos"/>
          <w:color w:val="000000" w:themeColor="text1"/>
          <w:sz w:val="20"/>
          <w:szCs w:val="20"/>
        </w:rPr>
        <w:t>.</w:t>
      </w:r>
    </w:p>
  </w:footnote>
  <w:footnote w:id="45">
    <w:p w14:paraId="2F4FD57B" w14:textId="75013F13" w:rsidR="006305C7" w:rsidRPr="000F7481" w:rsidRDefault="006305C7" w:rsidP="00C301FD">
      <w:pPr>
        <w:pStyle w:val="FootnoteText"/>
        <w:rPr>
          <w:rFonts w:ascii="Aptos" w:hAnsi="Aptos"/>
          <w:color w:val="000000" w:themeColor="text1"/>
        </w:rPr>
      </w:pPr>
      <w:r w:rsidRPr="000F7481">
        <w:rPr>
          <w:rStyle w:val="FootnoteReference"/>
          <w:rFonts w:ascii="Aptos" w:hAnsi="Aptos"/>
          <w:color w:val="000000" w:themeColor="text1"/>
        </w:rPr>
        <w:footnoteRef/>
      </w:r>
      <w:r w:rsidRPr="000F7481">
        <w:rPr>
          <w:rFonts w:ascii="Aptos" w:hAnsi="Aptos"/>
          <w:color w:val="000000" w:themeColor="text1"/>
        </w:rPr>
        <w:t xml:space="preserve"> See </w:t>
      </w:r>
      <w:r w:rsidRPr="000F7481">
        <w:rPr>
          <w:rFonts w:ascii="Aptos" w:hAnsi="Aptos"/>
          <w:i/>
          <w:iCs/>
          <w:color w:val="000000" w:themeColor="text1"/>
          <w:bdr w:val="none" w:sz="0" w:space="0" w:color="auto" w:frame="1"/>
        </w:rPr>
        <w:t>Hale</w:t>
      </w:r>
      <w:r w:rsidRPr="000F7481">
        <w:rPr>
          <w:rFonts w:ascii="Aptos" w:hAnsi="Aptos"/>
          <w:color w:val="000000" w:themeColor="text1"/>
        </w:rPr>
        <w:t>, 280 F.3d at 833-4 (agreeing with district court that the District's unilateral decision to change the location of Jeffrey's</w:t>
      </w:r>
      <w:r w:rsidRPr="000F7481">
        <w:rPr>
          <w:rStyle w:val="apple-converted-space"/>
          <w:rFonts w:ascii="Aptos" w:hAnsi="Aptos"/>
          <w:color w:val="000000" w:themeColor="text1"/>
        </w:rPr>
        <w:t> </w:t>
      </w:r>
      <w:r w:rsidRPr="000F7481">
        <w:rPr>
          <w:rStyle w:val="coconcept2631"/>
          <w:rFonts w:ascii="Aptos" w:hAnsi="Aptos"/>
          <w:color w:val="000000" w:themeColor="text1"/>
          <w:bdr w:val="none" w:sz="0" w:space="0" w:color="auto" w:frame="1"/>
          <w:shd w:val="clear" w:color="auto" w:fill="FFFFFF"/>
        </w:rPr>
        <w:t xml:space="preserve">schooling </w:t>
      </w:r>
      <w:r w:rsidRPr="000F7481">
        <w:rPr>
          <w:rFonts w:ascii="Aptos" w:hAnsi="Aptos"/>
          <w:color w:val="000000" w:themeColor="text1"/>
        </w:rPr>
        <w:t>from home to</w:t>
      </w:r>
      <w:r w:rsidRPr="000F7481">
        <w:rPr>
          <w:rStyle w:val="apple-converted-space"/>
          <w:rFonts w:ascii="Aptos" w:hAnsi="Aptos"/>
          <w:color w:val="000000" w:themeColor="text1"/>
        </w:rPr>
        <w:t> </w:t>
      </w:r>
      <w:r w:rsidRPr="000F7481">
        <w:rPr>
          <w:rStyle w:val="coconcept2631"/>
          <w:rFonts w:ascii="Aptos" w:hAnsi="Aptos"/>
          <w:color w:val="000000" w:themeColor="text1"/>
          <w:bdr w:val="none" w:sz="0" w:space="0" w:color="auto" w:frame="1"/>
          <w:shd w:val="clear" w:color="auto" w:fill="FFFFFF"/>
        </w:rPr>
        <w:t>school</w:t>
      </w:r>
      <w:r w:rsidRPr="000F7481">
        <w:rPr>
          <w:rStyle w:val="apple-converted-space"/>
          <w:rFonts w:ascii="Aptos" w:hAnsi="Aptos"/>
          <w:color w:val="000000" w:themeColor="text1"/>
        </w:rPr>
        <w:t> </w:t>
      </w:r>
      <w:r w:rsidRPr="000F7481">
        <w:rPr>
          <w:rFonts w:ascii="Aptos" w:hAnsi="Aptos"/>
          <w:color w:val="000000" w:themeColor="text1"/>
        </w:rPr>
        <w:t>violated the stay</w:t>
      </w:r>
      <w:r w:rsidR="004B6D3D">
        <w:rPr>
          <w:rFonts w:ascii="Aptos" w:hAnsi="Aptos"/>
          <w:color w:val="000000" w:themeColor="text1"/>
        </w:rPr>
        <w:t>[]</w:t>
      </w:r>
      <w:r w:rsidRPr="000F7481">
        <w:rPr>
          <w:rFonts w:ascii="Aptos" w:hAnsi="Aptos"/>
          <w:color w:val="000000" w:themeColor="text1"/>
        </w:rPr>
        <w:t>put provision because  the court made “specific findings as to the impact of this change on Jeffrey's education”).</w:t>
      </w:r>
    </w:p>
  </w:footnote>
  <w:footnote w:id="46">
    <w:p w14:paraId="4DB5E945" w14:textId="77777777" w:rsidR="00B91B1D" w:rsidRPr="000F7481" w:rsidRDefault="00B91B1D" w:rsidP="00B91B1D">
      <w:pPr>
        <w:tabs>
          <w:tab w:val="left" w:pos="2792"/>
        </w:tabs>
        <w:rPr>
          <w:rFonts w:ascii="Aptos" w:hAnsi="Aptos"/>
          <w:color w:val="000000" w:themeColor="text1"/>
          <w:sz w:val="20"/>
          <w:szCs w:val="20"/>
        </w:rPr>
      </w:pPr>
      <w:r w:rsidRPr="000F7481">
        <w:rPr>
          <w:rStyle w:val="FootnoteReference"/>
          <w:rFonts w:ascii="Aptos" w:hAnsi="Aptos"/>
          <w:color w:val="000000" w:themeColor="text1"/>
          <w:sz w:val="20"/>
          <w:szCs w:val="20"/>
        </w:rPr>
        <w:footnoteRef/>
      </w:r>
      <w:r w:rsidRPr="000F7481">
        <w:rPr>
          <w:rFonts w:ascii="Aptos" w:hAnsi="Aptos"/>
          <w:color w:val="000000" w:themeColor="text1"/>
          <w:sz w:val="20"/>
          <w:szCs w:val="20"/>
        </w:rPr>
        <w:t xml:space="preserve"> </w:t>
      </w:r>
      <w:r w:rsidRPr="000F7481">
        <w:rPr>
          <w:rFonts w:ascii="Aptos" w:hAnsi="Aptos"/>
          <w:i/>
          <w:iCs/>
          <w:color w:val="000000" w:themeColor="text1"/>
          <w:sz w:val="20"/>
          <w:szCs w:val="20"/>
        </w:rPr>
        <w:t>In Re: Georgetown Pub. Sch</w:t>
      </w:r>
      <w:r w:rsidRPr="000F7481">
        <w:rPr>
          <w:rFonts w:ascii="Aptos" w:hAnsi="Aptos"/>
          <w:color w:val="000000" w:themeColor="text1"/>
          <w:sz w:val="20"/>
          <w:szCs w:val="20"/>
        </w:rPr>
        <w:t>., BSEA # 1405352 (Berman, 2014).</w:t>
      </w:r>
    </w:p>
  </w:footnote>
  <w:footnote w:id="47">
    <w:p w14:paraId="657E26BE" w14:textId="77777777" w:rsidR="00473B9B" w:rsidRPr="000F7481" w:rsidRDefault="00473B9B" w:rsidP="00473B9B">
      <w:pPr>
        <w:pStyle w:val="FootnoteText"/>
        <w:rPr>
          <w:rFonts w:ascii="Aptos" w:hAnsi="Aptos"/>
          <w:color w:val="000000" w:themeColor="text1"/>
        </w:rPr>
      </w:pPr>
      <w:r w:rsidRPr="000F7481">
        <w:rPr>
          <w:rStyle w:val="FootnoteReference"/>
          <w:rFonts w:ascii="Aptos" w:hAnsi="Aptos"/>
          <w:color w:val="000000" w:themeColor="text1"/>
        </w:rPr>
        <w:footnoteRef/>
      </w:r>
      <w:r w:rsidRPr="000F7481">
        <w:rPr>
          <w:rFonts w:ascii="Aptos" w:hAnsi="Aptos"/>
          <w:color w:val="000000" w:themeColor="text1"/>
        </w:rPr>
        <w:t xml:space="preserve"> 580 U.S. at 167–68.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27D87"/>
    <w:multiLevelType w:val="multilevel"/>
    <w:tmpl w:val="DF8CBE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60700E"/>
    <w:multiLevelType w:val="hybridMultilevel"/>
    <w:tmpl w:val="8718063A"/>
    <w:lvl w:ilvl="0" w:tplc="FFFFFFFF">
      <w:start w:val="1"/>
      <w:numFmt w:val="decimal"/>
      <w:lvlText w:val="%1."/>
      <w:lvlJc w:val="left"/>
      <w:pPr>
        <w:ind w:left="720" w:hanging="360"/>
      </w:pPr>
      <w:rPr>
        <w:rFonts w:eastAsia="Times New Roman"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16678F"/>
    <w:multiLevelType w:val="hybridMultilevel"/>
    <w:tmpl w:val="580C1520"/>
    <w:lvl w:ilvl="0" w:tplc="4B00D6BA">
      <w:start w:val="1"/>
      <w:numFmt w:val="upperLetter"/>
      <w:lvlText w:val="%1."/>
      <w:lvlJc w:val="left"/>
      <w:pPr>
        <w:ind w:left="1620" w:hanging="360"/>
      </w:pPr>
      <w:rPr>
        <w:rFonts w:hint="default"/>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15:restartNumberingAfterBreak="0">
    <w:nsid w:val="0975039A"/>
    <w:multiLevelType w:val="hybridMultilevel"/>
    <w:tmpl w:val="ABB4B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886856"/>
    <w:multiLevelType w:val="hybridMultilevel"/>
    <w:tmpl w:val="51664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9C67C3"/>
    <w:multiLevelType w:val="hybridMultilevel"/>
    <w:tmpl w:val="7B063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8F1A0F"/>
    <w:multiLevelType w:val="hybridMultilevel"/>
    <w:tmpl w:val="64684C82"/>
    <w:lvl w:ilvl="0" w:tplc="289EA5F6">
      <w:start w:val="1"/>
      <w:numFmt w:val="decimal"/>
      <w:lvlText w:val="%1."/>
      <w:lvlJc w:val="left"/>
      <w:pPr>
        <w:ind w:left="360" w:hanging="360"/>
      </w:pPr>
      <w:rPr>
        <w:rFonts w:hint="default"/>
        <w:i/>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57D146D"/>
    <w:multiLevelType w:val="hybridMultilevel"/>
    <w:tmpl w:val="527CD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E059E3"/>
    <w:multiLevelType w:val="hybridMultilevel"/>
    <w:tmpl w:val="8718063A"/>
    <w:lvl w:ilvl="0" w:tplc="FFFFFFFF">
      <w:start w:val="1"/>
      <w:numFmt w:val="decimal"/>
      <w:lvlText w:val="%1."/>
      <w:lvlJc w:val="left"/>
      <w:pPr>
        <w:ind w:left="720" w:hanging="360"/>
      </w:pPr>
      <w:rPr>
        <w:rFonts w:eastAsia="Times New Roman"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6832C78"/>
    <w:multiLevelType w:val="multilevel"/>
    <w:tmpl w:val="5B0AE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A654D1"/>
    <w:multiLevelType w:val="hybridMultilevel"/>
    <w:tmpl w:val="C4A6C274"/>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F562D6B"/>
    <w:multiLevelType w:val="hybridMultilevel"/>
    <w:tmpl w:val="8718063A"/>
    <w:lvl w:ilvl="0" w:tplc="492A3084">
      <w:start w:val="1"/>
      <w:numFmt w:val="decimal"/>
      <w:lvlText w:val="%1."/>
      <w:lvlJc w:val="left"/>
      <w:pPr>
        <w:ind w:left="720" w:hanging="360"/>
      </w:pPr>
      <w:rPr>
        <w:rFonts w:eastAsia="Times New Roman"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1A21E6"/>
    <w:multiLevelType w:val="multilevel"/>
    <w:tmpl w:val="4B1A9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6D810BE"/>
    <w:multiLevelType w:val="hybridMultilevel"/>
    <w:tmpl w:val="8718063A"/>
    <w:lvl w:ilvl="0" w:tplc="FFFFFFFF">
      <w:start w:val="1"/>
      <w:numFmt w:val="decimal"/>
      <w:lvlText w:val="%1."/>
      <w:lvlJc w:val="left"/>
      <w:pPr>
        <w:ind w:left="720" w:hanging="360"/>
      </w:pPr>
      <w:rPr>
        <w:rFonts w:eastAsia="Times New Roman"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A2D6B6C"/>
    <w:multiLevelType w:val="hybridMultilevel"/>
    <w:tmpl w:val="9708A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BC4931"/>
    <w:multiLevelType w:val="multilevel"/>
    <w:tmpl w:val="61E28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83076C"/>
    <w:multiLevelType w:val="hybridMultilevel"/>
    <w:tmpl w:val="F2E4BB64"/>
    <w:lvl w:ilvl="0" w:tplc="0409001B">
      <w:start w:val="1"/>
      <w:numFmt w:val="lowerRoman"/>
      <w:lvlText w:val="%1."/>
      <w:lvlJc w:val="right"/>
      <w:pPr>
        <w:ind w:left="2340" w:hanging="360"/>
      </w:p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7" w15:restartNumberingAfterBreak="0">
    <w:nsid w:val="54A21DC7"/>
    <w:multiLevelType w:val="hybridMultilevel"/>
    <w:tmpl w:val="4C8C2C9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6A36882"/>
    <w:multiLevelType w:val="hybridMultilevel"/>
    <w:tmpl w:val="F0F462E6"/>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9" w15:restartNumberingAfterBreak="0">
    <w:nsid w:val="5B7026DF"/>
    <w:multiLevelType w:val="hybridMultilevel"/>
    <w:tmpl w:val="F0F462E6"/>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0" w15:restartNumberingAfterBreak="0">
    <w:nsid w:val="5E03646B"/>
    <w:multiLevelType w:val="hybridMultilevel"/>
    <w:tmpl w:val="F0F462E6"/>
    <w:lvl w:ilvl="0" w:tplc="821A7DF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E194248"/>
    <w:multiLevelType w:val="hybridMultilevel"/>
    <w:tmpl w:val="14A8C7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57743F"/>
    <w:multiLevelType w:val="hybridMultilevel"/>
    <w:tmpl w:val="8718063A"/>
    <w:lvl w:ilvl="0" w:tplc="FFFFFFFF">
      <w:start w:val="1"/>
      <w:numFmt w:val="decimal"/>
      <w:lvlText w:val="%1."/>
      <w:lvlJc w:val="left"/>
      <w:pPr>
        <w:ind w:left="720" w:hanging="360"/>
      </w:pPr>
      <w:rPr>
        <w:rFonts w:eastAsia="Times New Roman"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10D7A14"/>
    <w:multiLevelType w:val="hybridMultilevel"/>
    <w:tmpl w:val="9CFABF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346DA0"/>
    <w:multiLevelType w:val="multilevel"/>
    <w:tmpl w:val="D91EE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96F20B1"/>
    <w:multiLevelType w:val="hybridMultilevel"/>
    <w:tmpl w:val="8718063A"/>
    <w:lvl w:ilvl="0" w:tplc="FFFFFFFF">
      <w:start w:val="1"/>
      <w:numFmt w:val="decimal"/>
      <w:lvlText w:val="%1."/>
      <w:lvlJc w:val="left"/>
      <w:pPr>
        <w:ind w:left="720" w:hanging="360"/>
      </w:pPr>
      <w:rPr>
        <w:rFonts w:eastAsia="Times New Roman"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98A0EE4"/>
    <w:multiLevelType w:val="hybridMultilevel"/>
    <w:tmpl w:val="30BE4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0512FC"/>
    <w:multiLevelType w:val="hybridMultilevel"/>
    <w:tmpl w:val="8718063A"/>
    <w:lvl w:ilvl="0" w:tplc="FFFFFFFF">
      <w:start w:val="1"/>
      <w:numFmt w:val="decimal"/>
      <w:lvlText w:val="%1."/>
      <w:lvlJc w:val="left"/>
      <w:pPr>
        <w:ind w:left="720" w:hanging="360"/>
      </w:pPr>
      <w:rPr>
        <w:rFonts w:eastAsia="Times New Roman"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B8934CA"/>
    <w:multiLevelType w:val="hybridMultilevel"/>
    <w:tmpl w:val="8718063A"/>
    <w:lvl w:ilvl="0" w:tplc="FFFFFFFF">
      <w:start w:val="1"/>
      <w:numFmt w:val="decimal"/>
      <w:lvlText w:val="%1."/>
      <w:lvlJc w:val="left"/>
      <w:pPr>
        <w:ind w:left="720" w:hanging="360"/>
      </w:pPr>
      <w:rPr>
        <w:rFonts w:eastAsia="Times New Roman"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F8E6250"/>
    <w:multiLevelType w:val="hybridMultilevel"/>
    <w:tmpl w:val="3A040C42"/>
    <w:lvl w:ilvl="0" w:tplc="242ACE76">
      <w:start w:val="1"/>
      <w:numFmt w:val="upperRoman"/>
      <w:lvlText w:val="%1."/>
      <w:lvlJc w:val="left"/>
      <w:pPr>
        <w:ind w:left="1080" w:hanging="720"/>
      </w:pPr>
      <w:rPr>
        <w:rFonts w:hint="default"/>
        <w:i w:val="0"/>
      </w:rPr>
    </w:lvl>
    <w:lvl w:ilvl="1" w:tplc="04090019">
      <w:start w:val="1"/>
      <w:numFmt w:val="lowerLetter"/>
      <w:lvlText w:val="%2."/>
      <w:lvlJc w:val="left"/>
      <w:pPr>
        <w:ind w:left="1620" w:hanging="360"/>
      </w:pPr>
    </w:lvl>
    <w:lvl w:ilvl="2" w:tplc="0409001B">
      <w:start w:val="1"/>
      <w:numFmt w:val="lowerRoman"/>
      <w:lvlText w:val="%3."/>
      <w:lvlJc w:val="right"/>
      <w:pPr>
        <w:ind w:left="2160" w:hanging="180"/>
      </w:pPr>
    </w:lvl>
    <w:lvl w:ilvl="3" w:tplc="9F9E0764">
      <w:start w:val="1"/>
      <w:numFmt w:val="lowerLetter"/>
      <w:lvlText w:val="%4."/>
      <w:lvlJc w:val="left"/>
      <w:pPr>
        <w:ind w:left="2880" w:hanging="360"/>
      </w:pPr>
      <w:rPr>
        <w:rFonts w:ascii="Aptos" w:eastAsia="Times New Roman" w:hAnsi="Aptos" w:cs="Times New Roman"/>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FE287B"/>
    <w:multiLevelType w:val="hybridMultilevel"/>
    <w:tmpl w:val="8718063A"/>
    <w:lvl w:ilvl="0" w:tplc="FFFFFFFF">
      <w:start w:val="1"/>
      <w:numFmt w:val="decimal"/>
      <w:lvlText w:val="%1."/>
      <w:lvlJc w:val="left"/>
      <w:pPr>
        <w:ind w:left="720" w:hanging="360"/>
      </w:pPr>
      <w:rPr>
        <w:rFonts w:eastAsia="Times New Roman"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6417B0F"/>
    <w:multiLevelType w:val="hybridMultilevel"/>
    <w:tmpl w:val="848433F2"/>
    <w:lvl w:ilvl="0" w:tplc="3530DE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96289F"/>
    <w:multiLevelType w:val="hybridMultilevel"/>
    <w:tmpl w:val="04520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915898"/>
    <w:multiLevelType w:val="multilevel"/>
    <w:tmpl w:val="0792B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9451090"/>
    <w:multiLevelType w:val="hybridMultilevel"/>
    <w:tmpl w:val="6854B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F66FD6"/>
    <w:multiLevelType w:val="hybridMultilevel"/>
    <w:tmpl w:val="8718063A"/>
    <w:lvl w:ilvl="0" w:tplc="FFFFFFFF">
      <w:start w:val="1"/>
      <w:numFmt w:val="decimal"/>
      <w:lvlText w:val="%1."/>
      <w:lvlJc w:val="left"/>
      <w:pPr>
        <w:ind w:left="720" w:hanging="360"/>
      </w:pPr>
      <w:rPr>
        <w:rFonts w:eastAsia="Times New Roman"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932127">
    <w:abstractNumId w:val="5"/>
  </w:num>
  <w:num w:numId="2" w16cid:durableId="981539828">
    <w:abstractNumId w:val="21"/>
  </w:num>
  <w:num w:numId="3" w16cid:durableId="950011309">
    <w:abstractNumId w:val="0"/>
  </w:num>
  <w:num w:numId="4" w16cid:durableId="232744372">
    <w:abstractNumId w:val="9"/>
  </w:num>
  <w:num w:numId="5" w16cid:durableId="343629977">
    <w:abstractNumId w:val="15"/>
  </w:num>
  <w:num w:numId="6" w16cid:durableId="474032604">
    <w:abstractNumId w:val="24"/>
  </w:num>
  <w:num w:numId="7" w16cid:durableId="337925527">
    <w:abstractNumId w:val="14"/>
  </w:num>
  <w:num w:numId="8" w16cid:durableId="1999453163">
    <w:abstractNumId w:val="3"/>
  </w:num>
  <w:num w:numId="9" w16cid:durableId="1066296128">
    <w:abstractNumId w:val="10"/>
  </w:num>
  <w:num w:numId="10" w16cid:durableId="1330869314">
    <w:abstractNumId w:val="23"/>
  </w:num>
  <w:num w:numId="11" w16cid:durableId="584414947">
    <w:abstractNumId w:val="17"/>
  </w:num>
  <w:num w:numId="12" w16cid:durableId="1389063315">
    <w:abstractNumId w:val="6"/>
  </w:num>
  <w:num w:numId="13" w16cid:durableId="502355931">
    <w:abstractNumId w:val="2"/>
  </w:num>
  <w:num w:numId="14" w16cid:durableId="1788500808">
    <w:abstractNumId w:val="29"/>
  </w:num>
  <w:num w:numId="15" w16cid:durableId="2106881025">
    <w:abstractNumId w:val="31"/>
  </w:num>
  <w:num w:numId="16" w16cid:durableId="739330411">
    <w:abstractNumId w:val="20"/>
  </w:num>
  <w:num w:numId="17" w16cid:durableId="1082064914">
    <w:abstractNumId w:val="12"/>
  </w:num>
  <w:num w:numId="18" w16cid:durableId="380861040">
    <w:abstractNumId w:val="18"/>
  </w:num>
  <w:num w:numId="19" w16cid:durableId="2032487266">
    <w:abstractNumId w:val="19"/>
  </w:num>
  <w:num w:numId="20" w16cid:durableId="383019502">
    <w:abstractNumId w:val="26"/>
  </w:num>
  <w:num w:numId="21" w16cid:durableId="1167402664">
    <w:abstractNumId w:val="34"/>
  </w:num>
  <w:num w:numId="22" w16cid:durableId="202865402">
    <w:abstractNumId w:val="11"/>
  </w:num>
  <w:num w:numId="23" w16cid:durableId="1641225228">
    <w:abstractNumId w:val="25"/>
  </w:num>
  <w:num w:numId="24" w16cid:durableId="680736908">
    <w:abstractNumId w:val="1"/>
  </w:num>
  <w:num w:numId="25" w16cid:durableId="211355717">
    <w:abstractNumId w:val="27"/>
  </w:num>
  <w:num w:numId="26" w16cid:durableId="1768847753">
    <w:abstractNumId w:val="22"/>
  </w:num>
  <w:num w:numId="27" w16cid:durableId="301348899">
    <w:abstractNumId w:val="8"/>
  </w:num>
  <w:num w:numId="28" w16cid:durableId="576016463">
    <w:abstractNumId w:val="30"/>
  </w:num>
  <w:num w:numId="29" w16cid:durableId="1756365826">
    <w:abstractNumId w:val="28"/>
  </w:num>
  <w:num w:numId="30" w16cid:durableId="583419465">
    <w:abstractNumId w:val="35"/>
  </w:num>
  <w:num w:numId="31" w16cid:durableId="1948342970">
    <w:abstractNumId w:val="13"/>
  </w:num>
  <w:num w:numId="32" w16cid:durableId="605621364">
    <w:abstractNumId w:val="32"/>
  </w:num>
  <w:num w:numId="33" w16cid:durableId="1932010545">
    <w:abstractNumId w:val="4"/>
  </w:num>
  <w:num w:numId="34" w16cid:durableId="427777812">
    <w:abstractNumId w:val="33"/>
  </w:num>
  <w:num w:numId="35" w16cid:durableId="1657150312">
    <w:abstractNumId w:val="7"/>
  </w:num>
  <w:num w:numId="36" w16cid:durableId="11194019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083"/>
    <w:rsid w:val="000120FD"/>
    <w:rsid w:val="00012D3D"/>
    <w:rsid w:val="00012FE5"/>
    <w:rsid w:val="000156F4"/>
    <w:rsid w:val="000169A0"/>
    <w:rsid w:val="00016FFD"/>
    <w:rsid w:val="00020D5B"/>
    <w:rsid w:val="00021853"/>
    <w:rsid w:val="000218C7"/>
    <w:rsid w:val="000223FD"/>
    <w:rsid w:val="000229FD"/>
    <w:rsid w:val="00022DD5"/>
    <w:rsid w:val="000232D5"/>
    <w:rsid w:val="000317CD"/>
    <w:rsid w:val="00031B67"/>
    <w:rsid w:val="00032B77"/>
    <w:rsid w:val="00033F6F"/>
    <w:rsid w:val="00036F18"/>
    <w:rsid w:val="000377A2"/>
    <w:rsid w:val="000439ED"/>
    <w:rsid w:val="00043DE3"/>
    <w:rsid w:val="00044663"/>
    <w:rsid w:val="00044D48"/>
    <w:rsid w:val="00050D21"/>
    <w:rsid w:val="00050F57"/>
    <w:rsid w:val="0005232F"/>
    <w:rsid w:val="00052BC0"/>
    <w:rsid w:val="00053762"/>
    <w:rsid w:val="0005397F"/>
    <w:rsid w:val="00053EE3"/>
    <w:rsid w:val="00056B33"/>
    <w:rsid w:val="000571BA"/>
    <w:rsid w:val="00060BAC"/>
    <w:rsid w:val="00060D5F"/>
    <w:rsid w:val="00060EB6"/>
    <w:rsid w:val="00062BBF"/>
    <w:rsid w:val="00062D64"/>
    <w:rsid w:val="000635A4"/>
    <w:rsid w:val="000663F9"/>
    <w:rsid w:val="0007198F"/>
    <w:rsid w:val="00074B33"/>
    <w:rsid w:val="000808C6"/>
    <w:rsid w:val="00082587"/>
    <w:rsid w:val="000835ED"/>
    <w:rsid w:val="0008397F"/>
    <w:rsid w:val="00086615"/>
    <w:rsid w:val="00087DCB"/>
    <w:rsid w:val="000932C0"/>
    <w:rsid w:val="00097D5B"/>
    <w:rsid w:val="000A1E02"/>
    <w:rsid w:val="000A341B"/>
    <w:rsid w:val="000A399E"/>
    <w:rsid w:val="000A47DC"/>
    <w:rsid w:val="000A6B9F"/>
    <w:rsid w:val="000B05B3"/>
    <w:rsid w:val="000B1E5A"/>
    <w:rsid w:val="000B2072"/>
    <w:rsid w:val="000B53D7"/>
    <w:rsid w:val="000B5ADE"/>
    <w:rsid w:val="000B615A"/>
    <w:rsid w:val="000B617A"/>
    <w:rsid w:val="000B66B9"/>
    <w:rsid w:val="000B6850"/>
    <w:rsid w:val="000B6CD3"/>
    <w:rsid w:val="000B7DD9"/>
    <w:rsid w:val="000B7EA7"/>
    <w:rsid w:val="000C1DD9"/>
    <w:rsid w:val="000C268A"/>
    <w:rsid w:val="000C2F53"/>
    <w:rsid w:val="000C7552"/>
    <w:rsid w:val="000D0A55"/>
    <w:rsid w:val="000D2101"/>
    <w:rsid w:val="000D376B"/>
    <w:rsid w:val="000D3E63"/>
    <w:rsid w:val="000D7360"/>
    <w:rsid w:val="000D78B6"/>
    <w:rsid w:val="000E0EA6"/>
    <w:rsid w:val="000E1DD8"/>
    <w:rsid w:val="000E3C55"/>
    <w:rsid w:val="000E64D8"/>
    <w:rsid w:val="000F013B"/>
    <w:rsid w:val="000F0F8B"/>
    <w:rsid w:val="000F19C5"/>
    <w:rsid w:val="000F4181"/>
    <w:rsid w:val="000F6A96"/>
    <w:rsid w:val="000F7481"/>
    <w:rsid w:val="0010143B"/>
    <w:rsid w:val="001031D3"/>
    <w:rsid w:val="0010321F"/>
    <w:rsid w:val="0010472A"/>
    <w:rsid w:val="00107F04"/>
    <w:rsid w:val="0011061B"/>
    <w:rsid w:val="00112A6E"/>
    <w:rsid w:val="001131AC"/>
    <w:rsid w:val="00115810"/>
    <w:rsid w:val="00115D96"/>
    <w:rsid w:val="00116B78"/>
    <w:rsid w:val="00120095"/>
    <w:rsid w:val="00121B33"/>
    <w:rsid w:val="00122662"/>
    <w:rsid w:val="001230F0"/>
    <w:rsid w:val="00125E1D"/>
    <w:rsid w:val="00132240"/>
    <w:rsid w:val="00133737"/>
    <w:rsid w:val="00133EB3"/>
    <w:rsid w:val="00133FAD"/>
    <w:rsid w:val="00134A7B"/>
    <w:rsid w:val="00134EED"/>
    <w:rsid w:val="00144CAD"/>
    <w:rsid w:val="00145DC7"/>
    <w:rsid w:val="00151CB7"/>
    <w:rsid w:val="00151F0F"/>
    <w:rsid w:val="001533F1"/>
    <w:rsid w:val="00153B7C"/>
    <w:rsid w:val="001546D6"/>
    <w:rsid w:val="00154FAA"/>
    <w:rsid w:val="00155D47"/>
    <w:rsid w:val="001572F0"/>
    <w:rsid w:val="00163268"/>
    <w:rsid w:val="0016404F"/>
    <w:rsid w:val="00164D67"/>
    <w:rsid w:val="00165536"/>
    <w:rsid w:val="00166585"/>
    <w:rsid w:val="00167E83"/>
    <w:rsid w:val="0017084D"/>
    <w:rsid w:val="00170C47"/>
    <w:rsid w:val="00172B70"/>
    <w:rsid w:val="00173C45"/>
    <w:rsid w:val="00176548"/>
    <w:rsid w:val="0017695E"/>
    <w:rsid w:val="00180264"/>
    <w:rsid w:val="001803A3"/>
    <w:rsid w:val="00180D8B"/>
    <w:rsid w:val="00180F64"/>
    <w:rsid w:val="00184EBB"/>
    <w:rsid w:val="00187563"/>
    <w:rsid w:val="00192E0C"/>
    <w:rsid w:val="00195A7D"/>
    <w:rsid w:val="00196947"/>
    <w:rsid w:val="001A04A3"/>
    <w:rsid w:val="001A0D16"/>
    <w:rsid w:val="001A2237"/>
    <w:rsid w:val="001A55ED"/>
    <w:rsid w:val="001A627F"/>
    <w:rsid w:val="001A6F9E"/>
    <w:rsid w:val="001B0236"/>
    <w:rsid w:val="001B3770"/>
    <w:rsid w:val="001B4F4F"/>
    <w:rsid w:val="001B6ABA"/>
    <w:rsid w:val="001B6C5E"/>
    <w:rsid w:val="001B7B98"/>
    <w:rsid w:val="001C0AC9"/>
    <w:rsid w:val="001C1332"/>
    <w:rsid w:val="001C155D"/>
    <w:rsid w:val="001C1FD6"/>
    <w:rsid w:val="001C64DE"/>
    <w:rsid w:val="001C7BE4"/>
    <w:rsid w:val="001D0926"/>
    <w:rsid w:val="001D492E"/>
    <w:rsid w:val="001D5998"/>
    <w:rsid w:val="001D6C04"/>
    <w:rsid w:val="001E441F"/>
    <w:rsid w:val="001E6CE7"/>
    <w:rsid w:val="001F086E"/>
    <w:rsid w:val="001F1577"/>
    <w:rsid w:val="0020025D"/>
    <w:rsid w:val="00201758"/>
    <w:rsid w:val="002060BF"/>
    <w:rsid w:val="002067DB"/>
    <w:rsid w:val="00207308"/>
    <w:rsid w:val="00207F0E"/>
    <w:rsid w:val="00211893"/>
    <w:rsid w:val="00215159"/>
    <w:rsid w:val="00216F90"/>
    <w:rsid w:val="00217DEA"/>
    <w:rsid w:val="002238D1"/>
    <w:rsid w:val="0022700E"/>
    <w:rsid w:val="00230761"/>
    <w:rsid w:val="00234A85"/>
    <w:rsid w:val="002413E7"/>
    <w:rsid w:val="00242551"/>
    <w:rsid w:val="002456B3"/>
    <w:rsid w:val="00245AD0"/>
    <w:rsid w:val="00247259"/>
    <w:rsid w:val="00247B9D"/>
    <w:rsid w:val="00247C0F"/>
    <w:rsid w:val="0025134E"/>
    <w:rsid w:val="00252252"/>
    <w:rsid w:val="00263B7E"/>
    <w:rsid w:val="00263BFA"/>
    <w:rsid w:val="00265422"/>
    <w:rsid w:val="00270BD9"/>
    <w:rsid w:val="00273849"/>
    <w:rsid w:val="00274F9A"/>
    <w:rsid w:val="00275ABA"/>
    <w:rsid w:val="00276B9E"/>
    <w:rsid w:val="00281099"/>
    <w:rsid w:val="00284069"/>
    <w:rsid w:val="0028773B"/>
    <w:rsid w:val="00287F5D"/>
    <w:rsid w:val="002918FA"/>
    <w:rsid w:val="0029226A"/>
    <w:rsid w:val="002922A6"/>
    <w:rsid w:val="00296BA5"/>
    <w:rsid w:val="00296E7B"/>
    <w:rsid w:val="002A0987"/>
    <w:rsid w:val="002A1421"/>
    <w:rsid w:val="002A4A1C"/>
    <w:rsid w:val="002A5137"/>
    <w:rsid w:val="002A5EB5"/>
    <w:rsid w:val="002B17E9"/>
    <w:rsid w:val="002B5910"/>
    <w:rsid w:val="002B7815"/>
    <w:rsid w:val="002C4E5E"/>
    <w:rsid w:val="002C6124"/>
    <w:rsid w:val="002C7053"/>
    <w:rsid w:val="002C79D2"/>
    <w:rsid w:val="002D000B"/>
    <w:rsid w:val="002D2575"/>
    <w:rsid w:val="002D295D"/>
    <w:rsid w:val="002D32AE"/>
    <w:rsid w:val="002D34B8"/>
    <w:rsid w:val="002D5C04"/>
    <w:rsid w:val="002D7032"/>
    <w:rsid w:val="002E01D5"/>
    <w:rsid w:val="002E04A8"/>
    <w:rsid w:val="002E23BD"/>
    <w:rsid w:val="002E28BB"/>
    <w:rsid w:val="002E3764"/>
    <w:rsid w:val="002E5D28"/>
    <w:rsid w:val="002E6073"/>
    <w:rsid w:val="002E61E1"/>
    <w:rsid w:val="002E6AAD"/>
    <w:rsid w:val="002F2466"/>
    <w:rsid w:val="002F2DD9"/>
    <w:rsid w:val="002F340F"/>
    <w:rsid w:val="002F7B68"/>
    <w:rsid w:val="0030015A"/>
    <w:rsid w:val="0030085D"/>
    <w:rsid w:val="00301323"/>
    <w:rsid w:val="0030234C"/>
    <w:rsid w:val="00302B5E"/>
    <w:rsid w:val="003038E2"/>
    <w:rsid w:val="003056BF"/>
    <w:rsid w:val="00306D75"/>
    <w:rsid w:val="00307FE1"/>
    <w:rsid w:val="003107C9"/>
    <w:rsid w:val="0031170F"/>
    <w:rsid w:val="00313A19"/>
    <w:rsid w:val="003143D7"/>
    <w:rsid w:val="00314795"/>
    <w:rsid w:val="00316256"/>
    <w:rsid w:val="00317914"/>
    <w:rsid w:val="0032194C"/>
    <w:rsid w:val="003258B2"/>
    <w:rsid w:val="00325EFD"/>
    <w:rsid w:val="00331768"/>
    <w:rsid w:val="003441F2"/>
    <w:rsid w:val="00346FCE"/>
    <w:rsid w:val="00350479"/>
    <w:rsid w:val="00352299"/>
    <w:rsid w:val="00352D66"/>
    <w:rsid w:val="00353540"/>
    <w:rsid w:val="003556D3"/>
    <w:rsid w:val="00355BBF"/>
    <w:rsid w:val="00360481"/>
    <w:rsid w:val="00362FB5"/>
    <w:rsid w:val="003651F4"/>
    <w:rsid w:val="00365A54"/>
    <w:rsid w:val="0036738B"/>
    <w:rsid w:val="00371DE9"/>
    <w:rsid w:val="00372323"/>
    <w:rsid w:val="00372582"/>
    <w:rsid w:val="00372DD9"/>
    <w:rsid w:val="003766A8"/>
    <w:rsid w:val="003770BB"/>
    <w:rsid w:val="00380594"/>
    <w:rsid w:val="00387EC1"/>
    <w:rsid w:val="0039002A"/>
    <w:rsid w:val="003914D3"/>
    <w:rsid w:val="003936E9"/>
    <w:rsid w:val="00393900"/>
    <w:rsid w:val="003948B4"/>
    <w:rsid w:val="0039518E"/>
    <w:rsid w:val="003A3E0F"/>
    <w:rsid w:val="003A6A81"/>
    <w:rsid w:val="003A6DD1"/>
    <w:rsid w:val="003A7673"/>
    <w:rsid w:val="003B1417"/>
    <w:rsid w:val="003B262F"/>
    <w:rsid w:val="003C071F"/>
    <w:rsid w:val="003C09E3"/>
    <w:rsid w:val="003C43EA"/>
    <w:rsid w:val="003C4EB4"/>
    <w:rsid w:val="003C54A4"/>
    <w:rsid w:val="003D3663"/>
    <w:rsid w:val="003D78BD"/>
    <w:rsid w:val="003E3577"/>
    <w:rsid w:val="003E3E8D"/>
    <w:rsid w:val="003E4075"/>
    <w:rsid w:val="003F1DEB"/>
    <w:rsid w:val="003F34A2"/>
    <w:rsid w:val="003F4F9C"/>
    <w:rsid w:val="0040169A"/>
    <w:rsid w:val="004047CB"/>
    <w:rsid w:val="00407FD7"/>
    <w:rsid w:val="00410E1A"/>
    <w:rsid w:val="00412FDC"/>
    <w:rsid w:val="00413E14"/>
    <w:rsid w:val="00415395"/>
    <w:rsid w:val="004154DF"/>
    <w:rsid w:val="00415F0B"/>
    <w:rsid w:val="00417F15"/>
    <w:rsid w:val="004234A9"/>
    <w:rsid w:val="00425FC7"/>
    <w:rsid w:val="00427300"/>
    <w:rsid w:val="00430482"/>
    <w:rsid w:val="00430DCA"/>
    <w:rsid w:val="00430EE8"/>
    <w:rsid w:val="0043535C"/>
    <w:rsid w:val="00436902"/>
    <w:rsid w:val="00442303"/>
    <w:rsid w:val="00442392"/>
    <w:rsid w:val="004427A2"/>
    <w:rsid w:val="0044441A"/>
    <w:rsid w:val="00444E25"/>
    <w:rsid w:val="00452605"/>
    <w:rsid w:val="00453791"/>
    <w:rsid w:val="00454E37"/>
    <w:rsid w:val="00460B46"/>
    <w:rsid w:val="004613C1"/>
    <w:rsid w:val="00461524"/>
    <w:rsid w:val="00461AFB"/>
    <w:rsid w:val="004646B1"/>
    <w:rsid w:val="00464D48"/>
    <w:rsid w:val="004656B5"/>
    <w:rsid w:val="0046706B"/>
    <w:rsid w:val="00473B5B"/>
    <w:rsid w:val="00473B9B"/>
    <w:rsid w:val="00473D34"/>
    <w:rsid w:val="00473DE9"/>
    <w:rsid w:val="00474B3D"/>
    <w:rsid w:val="004760D9"/>
    <w:rsid w:val="00477DFD"/>
    <w:rsid w:val="004838A0"/>
    <w:rsid w:val="0048652D"/>
    <w:rsid w:val="00487C36"/>
    <w:rsid w:val="00490397"/>
    <w:rsid w:val="00491603"/>
    <w:rsid w:val="0049249A"/>
    <w:rsid w:val="004929B1"/>
    <w:rsid w:val="00495DC0"/>
    <w:rsid w:val="00495F78"/>
    <w:rsid w:val="004A21AF"/>
    <w:rsid w:val="004A258F"/>
    <w:rsid w:val="004A3B88"/>
    <w:rsid w:val="004A4791"/>
    <w:rsid w:val="004A56A2"/>
    <w:rsid w:val="004A657B"/>
    <w:rsid w:val="004A680B"/>
    <w:rsid w:val="004B0993"/>
    <w:rsid w:val="004B0D1D"/>
    <w:rsid w:val="004B484E"/>
    <w:rsid w:val="004B6D3D"/>
    <w:rsid w:val="004C06B7"/>
    <w:rsid w:val="004C456A"/>
    <w:rsid w:val="004C5CB6"/>
    <w:rsid w:val="004C600A"/>
    <w:rsid w:val="004C6C09"/>
    <w:rsid w:val="004D1B78"/>
    <w:rsid w:val="004D3B34"/>
    <w:rsid w:val="004D4109"/>
    <w:rsid w:val="004D497F"/>
    <w:rsid w:val="004E49F8"/>
    <w:rsid w:val="004E5432"/>
    <w:rsid w:val="004E58C8"/>
    <w:rsid w:val="004E58DF"/>
    <w:rsid w:val="004E72BF"/>
    <w:rsid w:val="004E76CB"/>
    <w:rsid w:val="004F03F6"/>
    <w:rsid w:val="004F2EFA"/>
    <w:rsid w:val="004F39AF"/>
    <w:rsid w:val="004F4CA2"/>
    <w:rsid w:val="004F5993"/>
    <w:rsid w:val="004F59D7"/>
    <w:rsid w:val="004F5B0F"/>
    <w:rsid w:val="004F68FE"/>
    <w:rsid w:val="00501916"/>
    <w:rsid w:val="00501D6C"/>
    <w:rsid w:val="005020D7"/>
    <w:rsid w:val="005026A7"/>
    <w:rsid w:val="00507497"/>
    <w:rsid w:val="005079C4"/>
    <w:rsid w:val="005124BC"/>
    <w:rsid w:val="005126FD"/>
    <w:rsid w:val="0051295F"/>
    <w:rsid w:val="0051343B"/>
    <w:rsid w:val="00514EF4"/>
    <w:rsid w:val="00517559"/>
    <w:rsid w:val="00520121"/>
    <w:rsid w:val="00521A98"/>
    <w:rsid w:val="00521BB4"/>
    <w:rsid w:val="00522B74"/>
    <w:rsid w:val="0052420D"/>
    <w:rsid w:val="005253F2"/>
    <w:rsid w:val="00526FE4"/>
    <w:rsid w:val="00530D23"/>
    <w:rsid w:val="00532698"/>
    <w:rsid w:val="005328C5"/>
    <w:rsid w:val="00534087"/>
    <w:rsid w:val="005342C9"/>
    <w:rsid w:val="00534532"/>
    <w:rsid w:val="005363CC"/>
    <w:rsid w:val="005367D0"/>
    <w:rsid w:val="0053785D"/>
    <w:rsid w:val="00540599"/>
    <w:rsid w:val="00540882"/>
    <w:rsid w:val="0054334A"/>
    <w:rsid w:val="00544AE3"/>
    <w:rsid w:val="005464B4"/>
    <w:rsid w:val="00546D27"/>
    <w:rsid w:val="00547BC0"/>
    <w:rsid w:val="00552063"/>
    <w:rsid w:val="005520EC"/>
    <w:rsid w:val="00552BB8"/>
    <w:rsid w:val="0055440C"/>
    <w:rsid w:val="00555157"/>
    <w:rsid w:val="0055633B"/>
    <w:rsid w:val="0055657B"/>
    <w:rsid w:val="0056042D"/>
    <w:rsid w:val="0056211B"/>
    <w:rsid w:val="00563BC8"/>
    <w:rsid w:val="00566BA2"/>
    <w:rsid w:val="00567D73"/>
    <w:rsid w:val="00571C72"/>
    <w:rsid w:val="00572C77"/>
    <w:rsid w:val="00574372"/>
    <w:rsid w:val="0057558A"/>
    <w:rsid w:val="005761F3"/>
    <w:rsid w:val="00576D4E"/>
    <w:rsid w:val="00581705"/>
    <w:rsid w:val="00582894"/>
    <w:rsid w:val="00583DD0"/>
    <w:rsid w:val="00584DA0"/>
    <w:rsid w:val="00584E84"/>
    <w:rsid w:val="00587108"/>
    <w:rsid w:val="0059393D"/>
    <w:rsid w:val="00595C95"/>
    <w:rsid w:val="00596F5D"/>
    <w:rsid w:val="00597390"/>
    <w:rsid w:val="005A102F"/>
    <w:rsid w:val="005A4921"/>
    <w:rsid w:val="005B21D1"/>
    <w:rsid w:val="005C1236"/>
    <w:rsid w:val="005C1842"/>
    <w:rsid w:val="005C3197"/>
    <w:rsid w:val="005C4C48"/>
    <w:rsid w:val="005C7A5D"/>
    <w:rsid w:val="005D1639"/>
    <w:rsid w:val="005D273E"/>
    <w:rsid w:val="005D72B3"/>
    <w:rsid w:val="005D758D"/>
    <w:rsid w:val="005E2705"/>
    <w:rsid w:val="005E4A04"/>
    <w:rsid w:val="005E4D94"/>
    <w:rsid w:val="005E66BF"/>
    <w:rsid w:val="005E66EC"/>
    <w:rsid w:val="005E76B7"/>
    <w:rsid w:val="005F2CB0"/>
    <w:rsid w:val="005F3863"/>
    <w:rsid w:val="005F4052"/>
    <w:rsid w:val="005F5BC0"/>
    <w:rsid w:val="005F6D81"/>
    <w:rsid w:val="006014EB"/>
    <w:rsid w:val="00610FBA"/>
    <w:rsid w:val="00620246"/>
    <w:rsid w:val="00620249"/>
    <w:rsid w:val="0062077C"/>
    <w:rsid w:val="00622C9A"/>
    <w:rsid w:val="00625CD2"/>
    <w:rsid w:val="006305C7"/>
    <w:rsid w:val="00631801"/>
    <w:rsid w:val="00632853"/>
    <w:rsid w:val="006353F3"/>
    <w:rsid w:val="00636273"/>
    <w:rsid w:val="00637F73"/>
    <w:rsid w:val="00640657"/>
    <w:rsid w:val="006426DC"/>
    <w:rsid w:val="006426FC"/>
    <w:rsid w:val="006440E7"/>
    <w:rsid w:val="0064479F"/>
    <w:rsid w:val="00644933"/>
    <w:rsid w:val="00646460"/>
    <w:rsid w:val="006530F9"/>
    <w:rsid w:val="0065345C"/>
    <w:rsid w:val="00653BF6"/>
    <w:rsid w:val="00655DF6"/>
    <w:rsid w:val="00663C54"/>
    <w:rsid w:val="00670066"/>
    <w:rsid w:val="00670639"/>
    <w:rsid w:val="00671657"/>
    <w:rsid w:val="00672ED8"/>
    <w:rsid w:val="00674FCE"/>
    <w:rsid w:val="006824FC"/>
    <w:rsid w:val="00686B78"/>
    <w:rsid w:val="00690BBA"/>
    <w:rsid w:val="0069151A"/>
    <w:rsid w:val="00693485"/>
    <w:rsid w:val="006958A0"/>
    <w:rsid w:val="006965B8"/>
    <w:rsid w:val="006A504B"/>
    <w:rsid w:val="006A61F9"/>
    <w:rsid w:val="006A7B0F"/>
    <w:rsid w:val="006B242E"/>
    <w:rsid w:val="006B3624"/>
    <w:rsid w:val="006B7961"/>
    <w:rsid w:val="006B7A52"/>
    <w:rsid w:val="006C077A"/>
    <w:rsid w:val="006C0C68"/>
    <w:rsid w:val="006C4AAD"/>
    <w:rsid w:val="006C72C0"/>
    <w:rsid w:val="006D0BDA"/>
    <w:rsid w:val="006D255F"/>
    <w:rsid w:val="006D45A1"/>
    <w:rsid w:val="006E6944"/>
    <w:rsid w:val="006E74B4"/>
    <w:rsid w:val="006F087E"/>
    <w:rsid w:val="006F3D4B"/>
    <w:rsid w:val="006F3F43"/>
    <w:rsid w:val="0070458D"/>
    <w:rsid w:val="00705C7A"/>
    <w:rsid w:val="00707744"/>
    <w:rsid w:val="00710167"/>
    <w:rsid w:val="007146EE"/>
    <w:rsid w:val="00721495"/>
    <w:rsid w:val="00721A34"/>
    <w:rsid w:val="00724451"/>
    <w:rsid w:val="00725C01"/>
    <w:rsid w:val="00725C08"/>
    <w:rsid w:val="00727433"/>
    <w:rsid w:val="00727519"/>
    <w:rsid w:val="00727D0C"/>
    <w:rsid w:val="0073129F"/>
    <w:rsid w:val="00731379"/>
    <w:rsid w:val="00731AF7"/>
    <w:rsid w:val="00736138"/>
    <w:rsid w:val="00737412"/>
    <w:rsid w:val="00743593"/>
    <w:rsid w:val="00746EA4"/>
    <w:rsid w:val="0075013F"/>
    <w:rsid w:val="00750F21"/>
    <w:rsid w:val="0075123A"/>
    <w:rsid w:val="007513D4"/>
    <w:rsid w:val="00751B8B"/>
    <w:rsid w:val="00755AD4"/>
    <w:rsid w:val="00757AD9"/>
    <w:rsid w:val="00764815"/>
    <w:rsid w:val="00765319"/>
    <w:rsid w:val="00765648"/>
    <w:rsid w:val="00765D76"/>
    <w:rsid w:val="00766593"/>
    <w:rsid w:val="00766AAF"/>
    <w:rsid w:val="007679B8"/>
    <w:rsid w:val="00771C9E"/>
    <w:rsid w:val="00772CD1"/>
    <w:rsid w:val="007816AC"/>
    <w:rsid w:val="00781D61"/>
    <w:rsid w:val="00782AE8"/>
    <w:rsid w:val="00782CFB"/>
    <w:rsid w:val="00796AEF"/>
    <w:rsid w:val="007A35EF"/>
    <w:rsid w:val="007A39CE"/>
    <w:rsid w:val="007A3D19"/>
    <w:rsid w:val="007B089A"/>
    <w:rsid w:val="007B240E"/>
    <w:rsid w:val="007B4791"/>
    <w:rsid w:val="007B4CD3"/>
    <w:rsid w:val="007B648C"/>
    <w:rsid w:val="007C4E9B"/>
    <w:rsid w:val="007C7408"/>
    <w:rsid w:val="007D0504"/>
    <w:rsid w:val="007D0721"/>
    <w:rsid w:val="007D0725"/>
    <w:rsid w:val="007D186F"/>
    <w:rsid w:val="007D59E7"/>
    <w:rsid w:val="007D75BA"/>
    <w:rsid w:val="007E29B1"/>
    <w:rsid w:val="007E39FB"/>
    <w:rsid w:val="007E3ED8"/>
    <w:rsid w:val="007E41E5"/>
    <w:rsid w:val="007E6086"/>
    <w:rsid w:val="007E6868"/>
    <w:rsid w:val="007E75A8"/>
    <w:rsid w:val="007F0EC6"/>
    <w:rsid w:val="007F17EB"/>
    <w:rsid w:val="008006E5"/>
    <w:rsid w:val="0080258A"/>
    <w:rsid w:val="00802D23"/>
    <w:rsid w:val="00804731"/>
    <w:rsid w:val="008050A8"/>
    <w:rsid w:val="0080767F"/>
    <w:rsid w:val="00811750"/>
    <w:rsid w:val="008123AC"/>
    <w:rsid w:val="00813998"/>
    <w:rsid w:val="00813AAA"/>
    <w:rsid w:val="0081583E"/>
    <w:rsid w:val="00816A6F"/>
    <w:rsid w:val="00817EE4"/>
    <w:rsid w:val="00821810"/>
    <w:rsid w:val="00822232"/>
    <w:rsid w:val="0082273A"/>
    <w:rsid w:val="00824334"/>
    <w:rsid w:val="00824D34"/>
    <w:rsid w:val="008258E5"/>
    <w:rsid w:val="0082688B"/>
    <w:rsid w:val="00827514"/>
    <w:rsid w:val="0083177C"/>
    <w:rsid w:val="008325DF"/>
    <w:rsid w:val="00833161"/>
    <w:rsid w:val="00836B78"/>
    <w:rsid w:val="008402FE"/>
    <w:rsid w:val="00840E93"/>
    <w:rsid w:val="00844C54"/>
    <w:rsid w:val="008535F8"/>
    <w:rsid w:val="00861097"/>
    <w:rsid w:val="008614DB"/>
    <w:rsid w:val="0086168A"/>
    <w:rsid w:val="0086309B"/>
    <w:rsid w:val="00866E18"/>
    <w:rsid w:val="00867EFF"/>
    <w:rsid w:val="00874FEA"/>
    <w:rsid w:val="00875673"/>
    <w:rsid w:val="0087760F"/>
    <w:rsid w:val="0088029F"/>
    <w:rsid w:val="00882132"/>
    <w:rsid w:val="00891CF6"/>
    <w:rsid w:val="00896D9D"/>
    <w:rsid w:val="0089758C"/>
    <w:rsid w:val="00897A50"/>
    <w:rsid w:val="008A1296"/>
    <w:rsid w:val="008A2809"/>
    <w:rsid w:val="008A3C66"/>
    <w:rsid w:val="008A590B"/>
    <w:rsid w:val="008A5CAA"/>
    <w:rsid w:val="008B08F7"/>
    <w:rsid w:val="008B1AC9"/>
    <w:rsid w:val="008B2C5A"/>
    <w:rsid w:val="008B46DC"/>
    <w:rsid w:val="008B491F"/>
    <w:rsid w:val="008B5F49"/>
    <w:rsid w:val="008C1882"/>
    <w:rsid w:val="008C70C7"/>
    <w:rsid w:val="008D000C"/>
    <w:rsid w:val="008D08B9"/>
    <w:rsid w:val="008D255A"/>
    <w:rsid w:val="008D25EB"/>
    <w:rsid w:val="008D556E"/>
    <w:rsid w:val="008E2ECA"/>
    <w:rsid w:val="008E567F"/>
    <w:rsid w:val="008E6C93"/>
    <w:rsid w:val="008F177B"/>
    <w:rsid w:val="008F35D4"/>
    <w:rsid w:val="008F3F6E"/>
    <w:rsid w:val="008F49E4"/>
    <w:rsid w:val="008F6DB1"/>
    <w:rsid w:val="009002A5"/>
    <w:rsid w:val="009007DC"/>
    <w:rsid w:val="00901979"/>
    <w:rsid w:val="009033A7"/>
    <w:rsid w:val="00905434"/>
    <w:rsid w:val="009077E3"/>
    <w:rsid w:val="009106C5"/>
    <w:rsid w:val="00912685"/>
    <w:rsid w:val="00912706"/>
    <w:rsid w:val="0091379E"/>
    <w:rsid w:val="009141DB"/>
    <w:rsid w:val="009157F5"/>
    <w:rsid w:val="00917D39"/>
    <w:rsid w:val="009204EA"/>
    <w:rsid w:val="00921618"/>
    <w:rsid w:val="00922F96"/>
    <w:rsid w:val="009257FD"/>
    <w:rsid w:val="00926241"/>
    <w:rsid w:val="00926C8E"/>
    <w:rsid w:val="0092730A"/>
    <w:rsid w:val="0093442D"/>
    <w:rsid w:val="00937228"/>
    <w:rsid w:val="00937F14"/>
    <w:rsid w:val="0094016D"/>
    <w:rsid w:val="009411F0"/>
    <w:rsid w:val="0094184B"/>
    <w:rsid w:val="00941892"/>
    <w:rsid w:val="00942FFB"/>
    <w:rsid w:val="00944538"/>
    <w:rsid w:val="00947DCD"/>
    <w:rsid w:val="00953434"/>
    <w:rsid w:val="0095760B"/>
    <w:rsid w:val="00957B67"/>
    <w:rsid w:val="00960818"/>
    <w:rsid w:val="00960B38"/>
    <w:rsid w:val="009653CD"/>
    <w:rsid w:val="00971CAD"/>
    <w:rsid w:val="0097316C"/>
    <w:rsid w:val="00977055"/>
    <w:rsid w:val="00977520"/>
    <w:rsid w:val="00983BC2"/>
    <w:rsid w:val="00984F70"/>
    <w:rsid w:val="0099141A"/>
    <w:rsid w:val="009919DD"/>
    <w:rsid w:val="009922AD"/>
    <w:rsid w:val="00993A64"/>
    <w:rsid w:val="00993F13"/>
    <w:rsid w:val="00995496"/>
    <w:rsid w:val="00997902"/>
    <w:rsid w:val="009A05E3"/>
    <w:rsid w:val="009A18D6"/>
    <w:rsid w:val="009A5EB7"/>
    <w:rsid w:val="009A6248"/>
    <w:rsid w:val="009B0B50"/>
    <w:rsid w:val="009B0BCE"/>
    <w:rsid w:val="009B1154"/>
    <w:rsid w:val="009B4438"/>
    <w:rsid w:val="009B5330"/>
    <w:rsid w:val="009C0DDC"/>
    <w:rsid w:val="009C1619"/>
    <w:rsid w:val="009C1C85"/>
    <w:rsid w:val="009C21E3"/>
    <w:rsid w:val="009C3D64"/>
    <w:rsid w:val="009C6BF9"/>
    <w:rsid w:val="009D1826"/>
    <w:rsid w:val="009D5C22"/>
    <w:rsid w:val="009D7735"/>
    <w:rsid w:val="009E0D70"/>
    <w:rsid w:val="009E288F"/>
    <w:rsid w:val="009E2CDA"/>
    <w:rsid w:val="009E45FD"/>
    <w:rsid w:val="009E5182"/>
    <w:rsid w:val="009E5351"/>
    <w:rsid w:val="009E58CB"/>
    <w:rsid w:val="009E61D0"/>
    <w:rsid w:val="009E68C4"/>
    <w:rsid w:val="009F28EE"/>
    <w:rsid w:val="009F290F"/>
    <w:rsid w:val="009F36EE"/>
    <w:rsid w:val="009F40AC"/>
    <w:rsid w:val="009F569F"/>
    <w:rsid w:val="009F660F"/>
    <w:rsid w:val="009F6688"/>
    <w:rsid w:val="009F779E"/>
    <w:rsid w:val="00A007AB"/>
    <w:rsid w:val="00A00AAC"/>
    <w:rsid w:val="00A01B6A"/>
    <w:rsid w:val="00A0292E"/>
    <w:rsid w:val="00A04319"/>
    <w:rsid w:val="00A1027E"/>
    <w:rsid w:val="00A11611"/>
    <w:rsid w:val="00A118E1"/>
    <w:rsid w:val="00A12AB3"/>
    <w:rsid w:val="00A12C3C"/>
    <w:rsid w:val="00A14067"/>
    <w:rsid w:val="00A1701B"/>
    <w:rsid w:val="00A22019"/>
    <w:rsid w:val="00A237B2"/>
    <w:rsid w:val="00A259A0"/>
    <w:rsid w:val="00A25A38"/>
    <w:rsid w:val="00A27679"/>
    <w:rsid w:val="00A324F6"/>
    <w:rsid w:val="00A3303C"/>
    <w:rsid w:val="00A339BE"/>
    <w:rsid w:val="00A349B9"/>
    <w:rsid w:val="00A3535F"/>
    <w:rsid w:val="00A36811"/>
    <w:rsid w:val="00A42137"/>
    <w:rsid w:val="00A4507D"/>
    <w:rsid w:val="00A450D3"/>
    <w:rsid w:val="00A45889"/>
    <w:rsid w:val="00A5055C"/>
    <w:rsid w:val="00A50E82"/>
    <w:rsid w:val="00A54FEB"/>
    <w:rsid w:val="00A55A51"/>
    <w:rsid w:val="00A5701B"/>
    <w:rsid w:val="00A60413"/>
    <w:rsid w:val="00A618D9"/>
    <w:rsid w:val="00A6225F"/>
    <w:rsid w:val="00A625E1"/>
    <w:rsid w:val="00A62AB5"/>
    <w:rsid w:val="00A65EC2"/>
    <w:rsid w:val="00A70435"/>
    <w:rsid w:val="00A72741"/>
    <w:rsid w:val="00A72FE3"/>
    <w:rsid w:val="00A74582"/>
    <w:rsid w:val="00A75C41"/>
    <w:rsid w:val="00A77A27"/>
    <w:rsid w:val="00A80B51"/>
    <w:rsid w:val="00A8493B"/>
    <w:rsid w:val="00A858CB"/>
    <w:rsid w:val="00A86F43"/>
    <w:rsid w:val="00A926B5"/>
    <w:rsid w:val="00A92E7E"/>
    <w:rsid w:val="00A938D7"/>
    <w:rsid w:val="00A942C6"/>
    <w:rsid w:val="00A963C5"/>
    <w:rsid w:val="00A96E43"/>
    <w:rsid w:val="00A9761E"/>
    <w:rsid w:val="00A97949"/>
    <w:rsid w:val="00AA0D32"/>
    <w:rsid w:val="00AA5C96"/>
    <w:rsid w:val="00AA602F"/>
    <w:rsid w:val="00AA73C8"/>
    <w:rsid w:val="00AA759B"/>
    <w:rsid w:val="00AA7BD4"/>
    <w:rsid w:val="00AA7CAF"/>
    <w:rsid w:val="00AB0640"/>
    <w:rsid w:val="00AB1874"/>
    <w:rsid w:val="00AB3E7E"/>
    <w:rsid w:val="00AB4CDB"/>
    <w:rsid w:val="00AB5126"/>
    <w:rsid w:val="00AB550D"/>
    <w:rsid w:val="00AC15D3"/>
    <w:rsid w:val="00AC2299"/>
    <w:rsid w:val="00AC59F4"/>
    <w:rsid w:val="00AC7469"/>
    <w:rsid w:val="00AD0B67"/>
    <w:rsid w:val="00AD2B94"/>
    <w:rsid w:val="00AD2DE7"/>
    <w:rsid w:val="00AD68C3"/>
    <w:rsid w:val="00AE0ADC"/>
    <w:rsid w:val="00AE0DD3"/>
    <w:rsid w:val="00AE1E01"/>
    <w:rsid w:val="00AE210A"/>
    <w:rsid w:val="00AE31E1"/>
    <w:rsid w:val="00AE359E"/>
    <w:rsid w:val="00AE3D40"/>
    <w:rsid w:val="00AE48B7"/>
    <w:rsid w:val="00AE4BD7"/>
    <w:rsid w:val="00AE64B5"/>
    <w:rsid w:val="00AE7E39"/>
    <w:rsid w:val="00AF071E"/>
    <w:rsid w:val="00AF21FB"/>
    <w:rsid w:val="00AF2524"/>
    <w:rsid w:val="00AF3779"/>
    <w:rsid w:val="00AF4B91"/>
    <w:rsid w:val="00AF6061"/>
    <w:rsid w:val="00AF79CF"/>
    <w:rsid w:val="00B01E2B"/>
    <w:rsid w:val="00B04444"/>
    <w:rsid w:val="00B05A0B"/>
    <w:rsid w:val="00B05ADC"/>
    <w:rsid w:val="00B06F3D"/>
    <w:rsid w:val="00B109D5"/>
    <w:rsid w:val="00B11181"/>
    <w:rsid w:val="00B12BAA"/>
    <w:rsid w:val="00B14676"/>
    <w:rsid w:val="00B147E2"/>
    <w:rsid w:val="00B170C4"/>
    <w:rsid w:val="00B20D6C"/>
    <w:rsid w:val="00B23AD9"/>
    <w:rsid w:val="00B2421C"/>
    <w:rsid w:val="00B24CE6"/>
    <w:rsid w:val="00B24E83"/>
    <w:rsid w:val="00B32A47"/>
    <w:rsid w:val="00B33EA8"/>
    <w:rsid w:val="00B34420"/>
    <w:rsid w:val="00B345E7"/>
    <w:rsid w:val="00B3524B"/>
    <w:rsid w:val="00B3612B"/>
    <w:rsid w:val="00B37AE2"/>
    <w:rsid w:val="00B37AE5"/>
    <w:rsid w:val="00B37B63"/>
    <w:rsid w:val="00B4054B"/>
    <w:rsid w:val="00B41F9F"/>
    <w:rsid w:val="00B43FAF"/>
    <w:rsid w:val="00B44D98"/>
    <w:rsid w:val="00B46FA0"/>
    <w:rsid w:val="00B47EA9"/>
    <w:rsid w:val="00B5044E"/>
    <w:rsid w:val="00B57498"/>
    <w:rsid w:val="00B64599"/>
    <w:rsid w:val="00B6648B"/>
    <w:rsid w:val="00B71281"/>
    <w:rsid w:val="00B71A5D"/>
    <w:rsid w:val="00B71C08"/>
    <w:rsid w:val="00B7735F"/>
    <w:rsid w:val="00B77D6F"/>
    <w:rsid w:val="00B804D9"/>
    <w:rsid w:val="00B83792"/>
    <w:rsid w:val="00B84283"/>
    <w:rsid w:val="00B8436A"/>
    <w:rsid w:val="00B843D0"/>
    <w:rsid w:val="00B861C6"/>
    <w:rsid w:val="00B8736B"/>
    <w:rsid w:val="00B91484"/>
    <w:rsid w:val="00B91B1D"/>
    <w:rsid w:val="00B928B6"/>
    <w:rsid w:val="00B93207"/>
    <w:rsid w:val="00B977CC"/>
    <w:rsid w:val="00BA1F44"/>
    <w:rsid w:val="00BA220B"/>
    <w:rsid w:val="00BA33E9"/>
    <w:rsid w:val="00BA4BB3"/>
    <w:rsid w:val="00BA4D1A"/>
    <w:rsid w:val="00BA7518"/>
    <w:rsid w:val="00BA7850"/>
    <w:rsid w:val="00BB2461"/>
    <w:rsid w:val="00BB277B"/>
    <w:rsid w:val="00BC22AA"/>
    <w:rsid w:val="00BD12F7"/>
    <w:rsid w:val="00BD27E1"/>
    <w:rsid w:val="00BD2A07"/>
    <w:rsid w:val="00BD3C0C"/>
    <w:rsid w:val="00BD4152"/>
    <w:rsid w:val="00BD4435"/>
    <w:rsid w:val="00BD5637"/>
    <w:rsid w:val="00BD5699"/>
    <w:rsid w:val="00BD641E"/>
    <w:rsid w:val="00BE1FD2"/>
    <w:rsid w:val="00BE4466"/>
    <w:rsid w:val="00BE537D"/>
    <w:rsid w:val="00BE6676"/>
    <w:rsid w:val="00BE7D0E"/>
    <w:rsid w:val="00BF5F47"/>
    <w:rsid w:val="00BF6204"/>
    <w:rsid w:val="00C02A63"/>
    <w:rsid w:val="00C02BA2"/>
    <w:rsid w:val="00C13366"/>
    <w:rsid w:val="00C14D7D"/>
    <w:rsid w:val="00C166F0"/>
    <w:rsid w:val="00C20041"/>
    <w:rsid w:val="00C20D4E"/>
    <w:rsid w:val="00C26422"/>
    <w:rsid w:val="00C273C8"/>
    <w:rsid w:val="00C301FD"/>
    <w:rsid w:val="00C32D32"/>
    <w:rsid w:val="00C33D25"/>
    <w:rsid w:val="00C36163"/>
    <w:rsid w:val="00C362E9"/>
    <w:rsid w:val="00C376D7"/>
    <w:rsid w:val="00C37FE7"/>
    <w:rsid w:val="00C403EB"/>
    <w:rsid w:val="00C40C8A"/>
    <w:rsid w:val="00C4348E"/>
    <w:rsid w:val="00C449E6"/>
    <w:rsid w:val="00C465FB"/>
    <w:rsid w:val="00C47668"/>
    <w:rsid w:val="00C50236"/>
    <w:rsid w:val="00C50B34"/>
    <w:rsid w:val="00C5142A"/>
    <w:rsid w:val="00C514EE"/>
    <w:rsid w:val="00C526F7"/>
    <w:rsid w:val="00C5337C"/>
    <w:rsid w:val="00C54123"/>
    <w:rsid w:val="00C542D7"/>
    <w:rsid w:val="00C57A73"/>
    <w:rsid w:val="00C60EDD"/>
    <w:rsid w:val="00C632B0"/>
    <w:rsid w:val="00C6653E"/>
    <w:rsid w:val="00C66A09"/>
    <w:rsid w:val="00C677DA"/>
    <w:rsid w:val="00C67CE5"/>
    <w:rsid w:val="00C70FC5"/>
    <w:rsid w:val="00C71787"/>
    <w:rsid w:val="00C73873"/>
    <w:rsid w:val="00C749E5"/>
    <w:rsid w:val="00C81604"/>
    <w:rsid w:val="00C8452D"/>
    <w:rsid w:val="00C86113"/>
    <w:rsid w:val="00C8623C"/>
    <w:rsid w:val="00C901D1"/>
    <w:rsid w:val="00C91873"/>
    <w:rsid w:val="00C9387D"/>
    <w:rsid w:val="00C93E1C"/>
    <w:rsid w:val="00C94159"/>
    <w:rsid w:val="00C9431A"/>
    <w:rsid w:val="00C96304"/>
    <w:rsid w:val="00C97B52"/>
    <w:rsid w:val="00CA32AC"/>
    <w:rsid w:val="00CA4581"/>
    <w:rsid w:val="00CA571C"/>
    <w:rsid w:val="00CA6D4E"/>
    <w:rsid w:val="00CB3435"/>
    <w:rsid w:val="00CB3960"/>
    <w:rsid w:val="00CB46AC"/>
    <w:rsid w:val="00CB5C7A"/>
    <w:rsid w:val="00CC0865"/>
    <w:rsid w:val="00CC17DB"/>
    <w:rsid w:val="00CC22C9"/>
    <w:rsid w:val="00CC5E5D"/>
    <w:rsid w:val="00CC5F32"/>
    <w:rsid w:val="00CC6561"/>
    <w:rsid w:val="00CC6607"/>
    <w:rsid w:val="00CD020E"/>
    <w:rsid w:val="00CD190E"/>
    <w:rsid w:val="00CD36FF"/>
    <w:rsid w:val="00CE1B76"/>
    <w:rsid w:val="00CE1C7A"/>
    <w:rsid w:val="00CE2984"/>
    <w:rsid w:val="00CE320E"/>
    <w:rsid w:val="00CE3C68"/>
    <w:rsid w:val="00CE4F1E"/>
    <w:rsid w:val="00CE5B8F"/>
    <w:rsid w:val="00CE7F93"/>
    <w:rsid w:val="00CF20FE"/>
    <w:rsid w:val="00CF4DCC"/>
    <w:rsid w:val="00CF6DE8"/>
    <w:rsid w:val="00D012B0"/>
    <w:rsid w:val="00D02B45"/>
    <w:rsid w:val="00D04AC2"/>
    <w:rsid w:val="00D061C0"/>
    <w:rsid w:val="00D074B3"/>
    <w:rsid w:val="00D12545"/>
    <w:rsid w:val="00D210FE"/>
    <w:rsid w:val="00D22437"/>
    <w:rsid w:val="00D2662B"/>
    <w:rsid w:val="00D27426"/>
    <w:rsid w:val="00D2743E"/>
    <w:rsid w:val="00D277EE"/>
    <w:rsid w:val="00D30245"/>
    <w:rsid w:val="00D31DFF"/>
    <w:rsid w:val="00D32B78"/>
    <w:rsid w:val="00D340B1"/>
    <w:rsid w:val="00D354E1"/>
    <w:rsid w:val="00D357B5"/>
    <w:rsid w:val="00D3678B"/>
    <w:rsid w:val="00D40C2D"/>
    <w:rsid w:val="00D429AA"/>
    <w:rsid w:val="00D45584"/>
    <w:rsid w:val="00D51696"/>
    <w:rsid w:val="00D52A7F"/>
    <w:rsid w:val="00D54D4C"/>
    <w:rsid w:val="00D55981"/>
    <w:rsid w:val="00D5691E"/>
    <w:rsid w:val="00D57630"/>
    <w:rsid w:val="00D57DAC"/>
    <w:rsid w:val="00D6127B"/>
    <w:rsid w:val="00D6466D"/>
    <w:rsid w:val="00D654C6"/>
    <w:rsid w:val="00D660F7"/>
    <w:rsid w:val="00D72BE5"/>
    <w:rsid w:val="00D7459F"/>
    <w:rsid w:val="00D769AE"/>
    <w:rsid w:val="00D774FE"/>
    <w:rsid w:val="00D77CCC"/>
    <w:rsid w:val="00D815F6"/>
    <w:rsid w:val="00D82431"/>
    <w:rsid w:val="00D846D3"/>
    <w:rsid w:val="00D920FF"/>
    <w:rsid w:val="00D940F3"/>
    <w:rsid w:val="00D94780"/>
    <w:rsid w:val="00D961D8"/>
    <w:rsid w:val="00D96A90"/>
    <w:rsid w:val="00DA0B06"/>
    <w:rsid w:val="00DA0F03"/>
    <w:rsid w:val="00DA4F0D"/>
    <w:rsid w:val="00DA5EDF"/>
    <w:rsid w:val="00DA7C1F"/>
    <w:rsid w:val="00DA7E19"/>
    <w:rsid w:val="00DB1C8D"/>
    <w:rsid w:val="00DB4CD9"/>
    <w:rsid w:val="00DB577F"/>
    <w:rsid w:val="00DB624F"/>
    <w:rsid w:val="00DB6736"/>
    <w:rsid w:val="00DB7391"/>
    <w:rsid w:val="00DC0548"/>
    <w:rsid w:val="00DC0551"/>
    <w:rsid w:val="00DC17F0"/>
    <w:rsid w:val="00DD00F5"/>
    <w:rsid w:val="00DD1536"/>
    <w:rsid w:val="00DD4991"/>
    <w:rsid w:val="00DD51D9"/>
    <w:rsid w:val="00DD63E0"/>
    <w:rsid w:val="00DD6440"/>
    <w:rsid w:val="00DD65FA"/>
    <w:rsid w:val="00DD74FB"/>
    <w:rsid w:val="00DE162E"/>
    <w:rsid w:val="00DE3303"/>
    <w:rsid w:val="00DE3570"/>
    <w:rsid w:val="00DE5247"/>
    <w:rsid w:val="00DE5E04"/>
    <w:rsid w:val="00DE662C"/>
    <w:rsid w:val="00DF490D"/>
    <w:rsid w:val="00DF54F7"/>
    <w:rsid w:val="00DF5B39"/>
    <w:rsid w:val="00DF6884"/>
    <w:rsid w:val="00E00262"/>
    <w:rsid w:val="00E01C05"/>
    <w:rsid w:val="00E02CAD"/>
    <w:rsid w:val="00E02CE9"/>
    <w:rsid w:val="00E10BD2"/>
    <w:rsid w:val="00E17C46"/>
    <w:rsid w:val="00E205EC"/>
    <w:rsid w:val="00E21988"/>
    <w:rsid w:val="00E2229A"/>
    <w:rsid w:val="00E23DE2"/>
    <w:rsid w:val="00E2723A"/>
    <w:rsid w:val="00E31CB3"/>
    <w:rsid w:val="00E31F3B"/>
    <w:rsid w:val="00E339A7"/>
    <w:rsid w:val="00E3564F"/>
    <w:rsid w:val="00E411EC"/>
    <w:rsid w:val="00E43784"/>
    <w:rsid w:val="00E456CD"/>
    <w:rsid w:val="00E45780"/>
    <w:rsid w:val="00E457AC"/>
    <w:rsid w:val="00E47F21"/>
    <w:rsid w:val="00E47F27"/>
    <w:rsid w:val="00E513B2"/>
    <w:rsid w:val="00E51985"/>
    <w:rsid w:val="00E520AB"/>
    <w:rsid w:val="00E52A11"/>
    <w:rsid w:val="00E53924"/>
    <w:rsid w:val="00E53F2E"/>
    <w:rsid w:val="00E54083"/>
    <w:rsid w:val="00E550FB"/>
    <w:rsid w:val="00E564C2"/>
    <w:rsid w:val="00E564D8"/>
    <w:rsid w:val="00E57929"/>
    <w:rsid w:val="00E6148C"/>
    <w:rsid w:val="00E619BF"/>
    <w:rsid w:val="00E67568"/>
    <w:rsid w:val="00E676EA"/>
    <w:rsid w:val="00E70DE2"/>
    <w:rsid w:val="00E721F0"/>
    <w:rsid w:val="00E72B8B"/>
    <w:rsid w:val="00E74AA4"/>
    <w:rsid w:val="00E837F0"/>
    <w:rsid w:val="00E841F1"/>
    <w:rsid w:val="00E86500"/>
    <w:rsid w:val="00E86A0D"/>
    <w:rsid w:val="00E8747A"/>
    <w:rsid w:val="00E90201"/>
    <w:rsid w:val="00E9209D"/>
    <w:rsid w:val="00E92894"/>
    <w:rsid w:val="00E94A7F"/>
    <w:rsid w:val="00E94ECA"/>
    <w:rsid w:val="00E964D2"/>
    <w:rsid w:val="00E97271"/>
    <w:rsid w:val="00E97678"/>
    <w:rsid w:val="00EA0C88"/>
    <w:rsid w:val="00EA341B"/>
    <w:rsid w:val="00EA6941"/>
    <w:rsid w:val="00EA7D6F"/>
    <w:rsid w:val="00EA7E06"/>
    <w:rsid w:val="00EB11CC"/>
    <w:rsid w:val="00EB17DB"/>
    <w:rsid w:val="00EB3709"/>
    <w:rsid w:val="00EB3F7D"/>
    <w:rsid w:val="00EB4A51"/>
    <w:rsid w:val="00EB4DE7"/>
    <w:rsid w:val="00EB70C5"/>
    <w:rsid w:val="00EB7858"/>
    <w:rsid w:val="00EB7E9B"/>
    <w:rsid w:val="00EC04B4"/>
    <w:rsid w:val="00EC33A7"/>
    <w:rsid w:val="00EC4508"/>
    <w:rsid w:val="00EC5281"/>
    <w:rsid w:val="00EC739B"/>
    <w:rsid w:val="00ED0CAD"/>
    <w:rsid w:val="00ED108D"/>
    <w:rsid w:val="00ED1571"/>
    <w:rsid w:val="00ED5CC9"/>
    <w:rsid w:val="00EE0C5A"/>
    <w:rsid w:val="00EE5930"/>
    <w:rsid w:val="00EE6F90"/>
    <w:rsid w:val="00EF0B20"/>
    <w:rsid w:val="00EF5697"/>
    <w:rsid w:val="00EF5D70"/>
    <w:rsid w:val="00EF7289"/>
    <w:rsid w:val="00EF7301"/>
    <w:rsid w:val="00F02166"/>
    <w:rsid w:val="00F07288"/>
    <w:rsid w:val="00F1025A"/>
    <w:rsid w:val="00F10CDC"/>
    <w:rsid w:val="00F13701"/>
    <w:rsid w:val="00F13A64"/>
    <w:rsid w:val="00F146FF"/>
    <w:rsid w:val="00F16E93"/>
    <w:rsid w:val="00F22A89"/>
    <w:rsid w:val="00F2620F"/>
    <w:rsid w:val="00F26FE4"/>
    <w:rsid w:val="00F30C06"/>
    <w:rsid w:val="00F33C61"/>
    <w:rsid w:val="00F34588"/>
    <w:rsid w:val="00F46575"/>
    <w:rsid w:val="00F5037D"/>
    <w:rsid w:val="00F5098D"/>
    <w:rsid w:val="00F515D3"/>
    <w:rsid w:val="00F52673"/>
    <w:rsid w:val="00F54A2A"/>
    <w:rsid w:val="00F54D37"/>
    <w:rsid w:val="00F55C29"/>
    <w:rsid w:val="00F56EE5"/>
    <w:rsid w:val="00F6036C"/>
    <w:rsid w:val="00F61675"/>
    <w:rsid w:val="00F62514"/>
    <w:rsid w:val="00F62D98"/>
    <w:rsid w:val="00F62F44"/>
    <w:rsid w:val="00F63BC5"/>
    <w:rsid w:val="00F64646"/>
    <w:rsid w:val="00F722FD"/>
    <w:rsid w:val="00F73F77"/>
    <w:rsid w:val="00F7417D"/>
    <w:rsid w:val="00F741E7"/>
    <w:rsid w:val="00F749FB"/>
    <w:rsid w:val="00F80AA2"/>
    <w:rsid w:val="00F81EDD"/>
    <w:rsid w:val="00F82A0A"/>
    <w:rsid w:val="00F84AA8"/>
    <w:rsid w:val="00F91A30"/>
    <w:rsid w:val="00F9311B"/>
    <w:rsid w:val="00F94375"/>
    <w:rsid w:val="00F943F3"/>
    <w:rsid w:val="00F95E6B"/>
    <w:rsid w:val="00F96EF8"/>
    <w:rsid w:val="00F97D05"/>
    <w:rsid w:val="00F97E44"/>
    <w:rsid w:val="00FA50F3"/>
    <w:rsid w:val="00FA5D33"/>
    <w:rsid w:val="00FB14A3"/>
    <w:rsid w:val="00FB3B66"/>
    <w:rsid w:val="00FB3D91"/>
    <w:rsid w:val="00FB408D"/>
    <w:rsid w:val="00FB5463"/>
    <w:rsid w:val="00FC009D"/>
    <w:rsid w:val="00FC0F56"/>
    <w:rsid w:val="00FC1890"/>
    <w:rsid w:val="00FC30A4"/>
    <w:rsid w:val="00FC3945"/>
    <w:rsid w:val="00FC40C4"/>
    <w:rsid w:val="00FC5492"/>
    <w:rsid w:val="00FC65F0"/>
    <w:rsid w:val="00FC7C36"/>
    <w:rsid w:val="00FD0EB4"/>
    <w:rsid w:val="00FD306A"/>
    <w:rsid w:val="00FD3F5C"/>
    <w:rsid w:val="00FD4F9B"/>
    <w:rsid w:val="00FE0859"/>
    <w:rsid w:val="00FE224A"/>
    <w:rsid w:val="00FE2647"/>
    <w:rsid w:val="00FE32D8"/>
    <w:rsid w:val="00FE4389"/>
    <w:rsid w:val="00FE6069"/>
    <w:rsid w:val="00FF2F60"/>
    <w:rsid w:val="00FF6E6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725B0"/>
  <w15:chartTrackingRefBased/>
  <w15:docId w15:val="{A4110B6F-774B-D545-B455-406349A02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29F"/>
    <w:rPr>
      <w:rFonts w:ascii="Times New Roman" w:eastAsia="Times New Roman" w:hAnsi="Times New Roman" w:cs="Times New Roman"/>
    </w:rPr>
  </w:style>
  <w:style w:type="paragraph" w:styleId="Heading1">
    <w:name w:val="heading 1"/>
    <w:basedOn w:val="Normal"/>
    <w:next w:val="Normal"/>
    <w:link w:val="Heading1Char"/>
    <w:uiPriority w:val="9"/>
    <w:qFormat/>
    <w:rsid w:val="001B377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C91873"/>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54083"/>
    <w:rPr>
      <w:sz w:val="20"/>
      <w:szCs w:val="20"/>
    </w:rPr>
  </w:style>
  <w:style w:type="character" w:customStyle="1" w:styleId="FootnoteTextChar">
    <w:name w:val="Footnote Text Char"/>
    <w:basedOn w:val="DefaultParagraphFont"/>
    <w:link w:val="FootnoteText"/>
    <w:uiPriority w:val="99"/>
    <w:rsid w:val="00E54083"/>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E54083"/>
    <w:rPr>
      <w:vertAlign w:val="superscript"/>
    </w:rPr>
  </w:style>
  <w:style w:type="paragraph" w:styleId="ListParagraph">
    <w:name w:val="List Paragraph"/>
    <w:basedOn w:val="Normal"/>
    <w:uiPriority w:val="34"/>
    <w:qFormat/>
    <w:rsid w:val="00AB0640"/>
    <w:pPr>
      <w:ind w:left="720"/>
      <w:contextualSpacing/>
    </w:pPr>
  </w:style>
  <w:style w:type="paragraph" w:styleId="NormalWeb">
    <w:name w:val="Normal (Web)"/>
    <w:basedOn w:val="Normal"/>
    <w:uiPriority w:val="99"/>
    <w:unhideWhenUsed/>
    <w:rsid w:val="00C91873"/>
    <w:pPr>
      <w:spacing w:before="100" w:beforeAutospacing="1" w:after="100" w:afterAutospacing="1"/>
    </w:pPr>
  </w:style>
  <w:style w:type="character" w:customStyle="1" w:styleId="apple-converted-space">
    <w:name w:val="apple-converted-space"/>
    <w:basedOn w:val="DefaultParagraphFont"/>
    <w:rsid w:val="00C91873"/>
  </w:style>
  <w:style w:type="character" w:styleId="Hyperlink">
    <w:name w:val="Hyperlink"/>
    <w:basedOn w:val="DefaultParagraphFont"/>
    <w:uiPriority w:val="99"/>
    <w:unhideWhenUsed/>
    <w:rsid w:val="00C91873"/>
    <w:rPr>
      <w:color w:val="0000FF"/>
      <w:u w:val="single"/>
    </w:rPr>
  </w:style>
  <w:style w:type="character" w:customStyle="1" w:styleId="Heading3Char">
    <w:name w:val="Heading 3 Char"/>
    <w:basedOn w:val="DefaultParagraphFont"/>
    <w:link w:val="Heading3"/>
    <w:uiPriority w:val="9"/>
    <w:rsid w:val="00C91873"/>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1B3770"/>
    <w:rPr>
      <w:rFonts w:asciiTheme="majorHAnsi" w:eastAsiaTheme="majorEastAsia" w:hAnsiTheme="majorHAnsi" w:cstheme="majorBidi"/>
      <w:color w:val="2F5496" w:themeColor="accent1" w:themeShade="BF"/>
      <w:sz w:val="32"/>
      <w:szCs w:val="32"/>
    </w:rPr>
  </w:style>
  <w:style w:type="character" w:customStyle="1" w:styleId="tm22">
    <w:name w:val="tm22"/>
    <w:basedOn w:val="DefaultParagraphFont"/>
    <w:rsid w:val="004E5432"/>
  </w:style>
  <w:style w:type="paragraph" w:styleId="Footer">
    <w:name w:val="footer"/>
    <w:basedOn w:val="Normal"/>
    <w:link w:val="FooterChar"/>
    <w:uiPriority w:val="99"/>
    <w:unhideWhenUsed/>
    <w:rsid w:val="00B71C08"/>
    <w:pPr>
      <w:tabs>
        <w:tab w:val="center" w:pos="4680"/>
        <w:tab w:val="right" w:pos="9360"/>
      </w:tabs>
    </w:pPr>
  </w:style>
  <w:style w:type="character" w:customStyle="1" w:styleId="FooterChar">
    <w:name w:val="Footer Char"/>
    <w:basedOn w:val="DefaultParagraphFont"/>
    <w:link w:val="Footer"/>
    <w:uiPriority w:val="99"/>
    <w:rsid w:val="00B71C08"/>
    <w:rPr>
      <w:rFonts w:ascii="Times New Roman" w:eastAsia="Times New Roman" w:hAnsi="Times New Roman" w:cs="Times New Roman"/>
    </w:rPr>
  </w:style>
  <w:style w:type="character" w:styleId="PageNumber">
    <w:name w:val="page number"/>
    <w:basedOn w:val="DefaultParagraphFont"/>
    <w:uiPriority w:val="99"/>
    <w:semiHidden/>
    <w:unhideWhenUsed/>
    <w:rsid w:val="00B71C08"/>
  </w:style>
  <w:style w:type="paragraph" w:customStyle="1" w:styleId="Default">
    <w:name w:val="Default"/>
    <w:rsid w:val="005E66BF"/>
    <w:pPr>
      <w:autoSpaceDE w:val="0"/>
      <w:autoSpaceDN w:val="0"/>
      <w:adjustRightInd w:val="0"/>
    </w:pPr>
    <w:rPr>
      <w:rFonts w:ascii="Bookman Old Style" w:hAnsi="Bookman Old Style" w:cs="Bookman Old Style"/>
      <w:color w:val="000000"/>
    </w:rPr>
  </w:style>
  <w:style w:type="paragraph" w:customStyle="1" w:styleId="Normal1">
    <w:name w:val="Normal1"/>
    <w:basedOn w:val="Normal"/>
    <w:rsid w:val="007E75A8"/>
    <w:pPr>
      <w:spacing w:before="100" w:beforeAutospacing="1" w:after="100" w:afterAutospacing="1"/>
    </w:pPr>
  </w:style>
  <w:style w:type="character" w:customStyle="1" w:styleId="tm14">
    <w:name w:val="tm14"/>
    <w:basedOn w:val="DefaultParagraphFont"/>
    <w:rsid w:val="007E75A8"/>
  </w:style>
  <w:style w:type="character" w:customStyle="1" w:styleId="tm18">
    <w:name w:val="tm18"/>
    <w:basedOn w:val="DefaultParagraphFont"/>
    <w:rsid w:val="007E75A8"/>
  </w:style>
  <w:style w:type="paragraph" w:customStyle="1" w:styleId="footnotetext0">
    <w:name w:val="footnotetext"/>
    <w:basedOn w:val="Normal"/>
    <w:rsid w:val="007E75A8"/>
    <w:pPr>
      <w:spacing w:before="100" w:beforeAutospacing="1" w:after="100" w:afterAutospacing="1"/>
    </w:pPr>
  </w:style>
  <w:style w:type="character" w:styleId="Emphasis">
    <w:name w:val="Emphasis"/>
    <w:basedOn w:val="DefaultParagraphFont"/>
    <w:uiPriority w:val="20"/>
    <w:qFormat/>
    <w:rsid w:val="007E75A8"/>
    <w:rPr>
      <w:i/>
      <w:iCs/>
    </w:rPr>
  </w:style>
  <w:style w:type="character" w:customStyle="1" w:styleId="tm20">
    <w:name w:val="tm20"/>
    <w:basedOn w:val="DefaultParagraphFont"/>
    <w:rsid w:val="007E75A8"/>
  </w:style>
  <w:style w:type="character" w:customStyle="1" w:styleId="tm13">
    <w:name w:val="tm13"/>
    <w:basedOn w:val="DefaultParagraphFont"/>
    <w:rsid w:val="007E75A8"/>
  </w:style>
  <w:style w:type="character" w:styleId="FollowedHyperlink">
    <w:name w:val="FollowedHyperlink"/>
    <w:basedOn w:val="DefaultParagraphFont"/>
    <w:uiPriority w:val="99"/>
    <w:semiHidden/>
    <w:unhideWhenUsed/>
    <w:rsid w:val="0056211B"/>
    <w:rPr>
      <w:color w:val="954F72" w:themeColor="followedHyperlink"/>
      <w:u w:val="single"/>
    </w:rPr>
  </w:style>
  <w:style w:type="character" w:styleId="Strong">
    <w:name w:val="Strong"/>
    <w:basedOn w:val="DefaultParagraphFont"/>
    <w:uiPriority w:val="22"/>
    <w:qFormat/>
    <w:rsid w:val="00331768"/>
    <w:rPr>
      <w:b/>
      <w:bCs/>
    </w:rPr>
  </w:style>
  <w:style w:type="character" w:customStyle="1" w:styleId="coconcept914">
    <w:name w:val="co_concept_9_14"/>
    <w:basedOn w:val="DefaultParagraphFont"/>
    <w:rsid w:val="00A77A27"/>
  </w:style>
  <w:style w:type="paragraph" w:styleId="Revision">
    <w:name w:val="Revision"/>
    <w:hidden/>
    <w:uiPriority w:val="99"/>
    <w:semiHidden/>
    <w:rsid w:val="00461524"/>
    <w:rPr>
      <w:rFonts w:ascii="Times New Roman" w:eastAsia="Times New Roman" w:hAnsi="Times New Roman" w:cs="Times New Roman"/>
    </w:rPr>
  </w:style>
  <w:style w:type="paragraph" w:styleId="Header">
    <w:name w:val="header"/>
    <w:basedOn w:val="Normal"/>
    <w:link w:val="HeaderChar"/>
    <w:uiPriority w:val="99"/>
    <w:unhideWhenUsed/>
    <w:rsid w:val="00BD4435"/>
    <w:pPr>
      <w:tabs>
        <w:tab w:val="center" w:pos="4680"/>
        <w:tab w:val="right" w:pos="9360"/>
      </w:tabs>
    </w:pPr>
  </w:style>
  <w:style w:type="character" w:customStyle="1" w:styleId="HeaderChar">
    <w:name w:val="Header Char"/>
    <w:basedOn w:val="DefaultParagraphFont"/>
    <w:link w:val="Header"/>
    <w:uiPriority w:val="99"/>
    <w:rsid w:val="00BD4435"/>
    <w:rPr>
      <w:rFonts w:ascii="Times New Roman" w:eastAsia="Times New Roman" w:hAnsi="Times New Roman" w:cs="Times New Roman"/>
    </w:rPr>
  </w:style>
  <w:style w:type="paragraph" w:customStyle="1" w:styleId="p1">
    <w:name w:val="p1"/>
    <w:basedOn w:val="Normal"/>
    <w:rsid w:val="002238D1"/>
    <w:rPr>
      <w:rFonts w:ascii="Helvetica" w:hAnsi="Helvetica"/>
      <w:color w:val="000000"/>
      <w:sz w:val="18"/>
      <w:szCs w:val="18"/>
    </w:rPr>
  </w:style>
  <w:style w:type="character" w:styleId="CommentReference">
    <w:name w:val="annotation reference"/>
    <w:basedOn w:val="DefaultParagraphFont"/>
    <w:uiPriority w:val="99"/>
    <w:semiHidden/>
    <w:unhideWhenUsed/>
    <w:rsid w:val="00874FEA"/>
    <w:rPr>
      <w:sz w:val="16"/>
      <w:szCs w:val="16"/>
    </w:rPr>
  </w:style>
  <w:style w:type="paragraph" w:styleId="CommentText">
    <w:name w:val="annotation text"/>
    <w:basedOn w:val="Normal"/>
    <w:link w:val="CommentTextChar"/>
    <w:uiPriority w:val="99"/>
    <w:unhideWhenUsed/>
    <w:rsid w:val="00874FEA"/>
    <w:rPr>
      <w:sz w:val="20"/>
      <w:szCs w:val="20"/>
    </w:rPr>
  </w:style>
  <w:style w:type="character" w:customStyle="1" w:styleId="CommentTextChar">
    <w:name w:val="Comment Text Char"/>
    <w:basedOn w:val="DefaultParagraphFont"/>
    <w:link w:val="CommentText"/>
    <w:uiPriority w:val="99"/>
    <w:rsid w:val="00874FE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4FEA"/>
    <w:rPr>
      <w:b/>
      <w:bCs/>
    </w:rPr>
  </w:style>
  <w:style w:type="character" w:customStyle="1" w:styleId="CommentSubjectChar">
    <w:name w:val="Comment Subject Char"/>
    <w:basedOn w:val="CommentTextChar"/>
    <w:link w:val="CommentSubject"/>
    <w:uiPriority w:val="99"/>
    <w:semiHidden/>
    <w:rsid w:val="00874FEA"/>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C40C8A"/>
    <w:rPr>
      <w:color w:val="605E5C"/>
      <w:shd w:val="clear" w:color="auto" w:fill="E1DFDD"/>
    </w:rPr>
  </w:style>
  <w:style w:type="character" w:customStyle="1" w:styleId="whitespace-normal">
    <w:name w:val="whitespace-normal"/>
    <w:basedOn w:val="DefaultParagraphFont"/>
    <w:rsid w:val="00D72BE5"/>
  </w:style>
  <w:style w:type="character" w:customStyle="1" w:styleId="coconcept4753">
    <w:name w:val="co_concept_47_53"/>
    <w:basedOn w:val="DefaultParagraphFont"/>
    <w:rsid w:val="00033F6F"/>
  </w:style>
  <w:style w:type="character" w:customStyle="1" w:styleId="coconcept5868">
    <w:name w:val="co_concept_58_68"/>
    <w:basedOn w:val="DefaultParagraphFont"/>
    <w:rsid w:val="00033F6F"/>
  </w:style>
  <w:style w:type="character" w:customStyle="1" w:styleId="coconcept2837">
    <w:name w:val="co_concept_28_37"/>
    <w:basedOn w:val="DefaultParagraphFont"/>
    <w:rsid w:val="00033F6F"/>
  </w:style>
  <w:style w:type="character" w:customStyle="1" w:styleId="coconcept14">
    <w:name w:val="co_concept_1_4"/>
    <w:basedOn w:val="DefaultParagraphFont"/>
    <w:rsid w:val="00033F6F"/>
  </w:style>
  <w:style w:type="character" w:customStyle="1" w:styleId="coconcept4245">
    <w:name w:val="co_concept_42_45"/>
    <w:basedOn w:val="DefaultParagraphFont"/>
    <w:rsid w:val="00033F6F"/>
  </w:style>
  <w:style w:type="character" w:customStyle="1" w:styleId="coconcept69">
    <w:name w:val="co_concept_6_9"/>
    <w:basedOn w:val="DefaultParagraphFont"/>
    <w:rsid w:val="00655DF6"/>
  </w:style>
  <w:style w:type="character" w:customStyle="1" w:styleId="costarpage">
    <w:name w:val="co_starpage"/>
    <w:basedOn w:val="DefaultParagraphFont"/>
    <w:rsid w:val="00655DF6"/>
  </w:style>
  <w:style w:type="character" w:customStyle="1" w:styleId="coconcept68">
    <w:name w:val="co_concept_6_8"/>
    <w:basedOn w:val="DefaultParagraphFont"/>
    <w:rsid w:val="0073129F"/>
  </w:style>
  <w:style w:type="character" w:customStyle="1" w:styleId="coconcept2229">
    <w:name w:val="co_concept_22_29"/>
    <w:basedOn w:val="DefaultParagraphFont"/>
    <w:rsid w:val="0073129F"/>
  </w:style>
  <w:style w:type="character" w:customStyle="1" w:styleId="coconcept2631">
    <w:name w:val="co_concept_26_31"/>
    <w:basedOn w:val="DefaultParagraphFont"/>
    <w:rsid w:val="009D7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331812">
      <w:bodyDiv w:val="1"/>
      <w:marLeft w:val="0"/>
      <w:marRight w:val="0"/>
      <w:marTop w:val="0"/>
      <w:marBottom w:val="0"/>
      <w:divBdr>
        <w:top w:val="none" w:sz="0" w:space="0" w:color="auto"/>
        <w:left w:val="none" w:sz="0" w:space="0" w:color="auto"/>
        <w:bottom w:val="none" w:sz="0" w:space="0" w:color="auto"/>
        <w:right w:val="none" w:sz="0" w:space="0" w:color="auto"/>
      </w:divBdr>
    </w:div>
    <w:div w:id="366414555">
      <w:bodyDiv w:val="1"/>
      <w:marLeft w:val="0"/>
      <w:marRight w:val="0"/>
      <w:marTop w:val="0"/>
      <w:marBottom w:val="0"/>
      <w:divBdr>
        <w:top w:val="none" w:sz="0" w:space="0" w:color="auto"/>
        <w:left w:val="none" w:sz="0" w:space="0" w:color="auto"/>
        <w:bottom w:val="none" w:sz="0" w:space="0" w:color="auto"/>
        <w:right w:val="none" w:sz="0" w:space="0" w:color="auto"/>
      </w:divBdr>
    </w:div>
    <w:div w:id="377558628">
      <w:bodyDiv w:val="1"/>
      <w:marLeft w:val="0"/>
      <w:marRight w:val="0"/>
      <w:marTop w:val="0"/>
      <w:marBottom w:val="0"/>
      <w:divBdr>
        <w:top w:val="none" w:sz="0" w:space="0" w:color="auto"/>
        <w:left w:val="none" w:sz="0" w:space="0" w:color="auto"/>
        <w:bottom w:val="none" w:sz="0" w:space="0" w:color="auto"/>
        <w:right w:val="none" w:sz="0" w:space="0" w:color="auto"/>
      </w:divBdr>
    </w:div>
    <w:div w:id="422461994">
      <w:bodyDiv w:val="1"/>
      <w:marLeft w:val="0"/>
      <w:marRight w:val="0"/>
      <w:marTop w:val="0"/>
      <w:marBottom w:val="0"/>
      <w:divBdr>
        <w:top w:val="none" w:sz="0" w:space="0" w:color="auto"/>
        <w:left w:val="none" w:sz="0" w:space="0" w:color="auto"/>
        <w:bottom w:val="none" w:sz="0" w:space="0" w:color="auto"/>
        <w:right w:val="none" w:sz="0" w:space="0" w:color="auto"/>
      </w:divBdr>
    </w:div>
    <w:div w:id="427819094">
      <w:bodyDiv w:val="1"/>
      <w:marLeft w:val="0"/>
      <w:marRight w:val="0"/>
      <w:marTop w:val="0"/>
      <w:marBottom w:val="0"/>
      <w:divBdr>
        <w:top w:val="none" w:sz="0" w:space="0" w:color="auto"/>
        <w:left w:val="none" w:sz="0" w:space="0" w:color="auto"/>
        <w:bottom w:val="none" w:sz="0" w:space="0" w:color="auto"/>
        <w:right w:val="none" w:sz="0" w:space="0" w:color="auto"/>
      </w:divBdr>
      <w:divsChild>
        <w:div w:id="240212382">
          <w:marLeft w:val="0"/>
          <w:marRight w:val="0"/>
          <w:marTop w:val="0"/>
          <w:marBottom w:val="0"/>
          <w:divBdr>
            <w:top w:val="none" w:sz="0" w:space="0" w:color="3D3D3D"/>
            <w:left w:val="none" w:sz="0" w:space="0" w:color="3D3D3D"/>
            <w:bottom w:val="none" w:sz="0" w:space="0" w:color="3D3D3D"/>
            <w:right w:val="none" w:sz="0" w:space="0" w:color="3D3D3D"/>
          </w:divBdr>
          <w:divsChild>
            <w:div w:id="174248771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58111379">
      <w:bodyDiv w:val="1"/>
      <w:marLeft w:val="0"/>
      <w:marRight w:val="0"/>
      <w:marTop w:val="0"/>
      <w:marBottom w:val="0"/>
      <w:divBdr>
        <w:top w:val="none" w:sz="0" w:space="0" w:color="auto"/>
        <w:left w:val="none" w:sz="0" w:space="0" w:color="auto"/>
        <w:bottom w:val="none" w:sz="0" w:space="0" w:color="auto"/>
        <w:right w:val="none" w:sz="0" w:space="0" w:color="auto"/>
      </w:divBdr>
    </w:div>
    <w:div w:id="519248488">
      <w:bodyDiv w:val="1"/>
      <w:marLeft w:val="0"/>
      <w:marRight w:val="0"/>
      <w:marTop w:val="0"/>
      <w:marBottom w:val="0"/>
      <w:divBdr>
        <w:top w:val="none" w:sz="0" w:space="0" w:color="auto"/>
        <w:left w:val="none" w:sz="0" w:space="0" w:color="auto"/>
        <w:bottom w:val="none" w:sz="0" w:space="0" w:color="auto"/>
        <w:right w:val="none" w:sz="0" w:space="0" w:color="auto"/>
      </w:divBdr>
    </w:div>
    <w:div w:id="543247947">
      <w:bodyDiv w:val="1"/>
      <w:marLeft w:val="0"/>
      <w:marRight w:val="0"/>
      <w:marTop w:val="0"/>
      <w:marBottom w:val="0"/>
      <w:divBdr>
        <w:top w:val="none" w:sz="0" w:space="0" w:color="auto"/>
        <w:left w:val="none" w:sz="0" w:space="0" w:color="auto"/>
        <w:bottom w:val="none" w:sz="0" w:space="0" w:color="auto"/>
        <w:right w:val="none" w:sz="0" w:space="0" w:color="auto"/>
      </w:divBdr>
    </w:div>
    <w:div w:id="719860850">
      <w:bodyDiv w:val="1"/>
      <w:marLeft w:val="0"/>
      <w:marRight w:val="0"/>
      <w:marTop w:val="0"/>
      <w:marBottom w:val="0"/>
      <w:divBdr>
        <w:top w:val="none" w:sz="0" w:space="0" w:color="auto"/>
        <w:left w:val="none" w:sz="0" w:space="0" w:color="auto"/>
        <w:bottom w:val="none" w:sz="0" w:space="0" w:color="auto"/>
        <w:right w:val="none" w:sz="0" w:space="0" w:color="auto"/>
      </w:divBdr>
    </w:div>
    <w:div w:id="750932040">
      <w:bodyDiv w:val="1"/>
      <w:marLeft w:val="0"/>
      <w:marRight w:val="0"/>
      <w:marTop w:val="0"/>
      <w:marBottom w:val="0"/>
      <w:divBdr>
        <w:top w:val="none" w:sz="0" w:space="0" w:color="auto"/>
        <w:left w:val="none" w:sz="0" w:space="0" w:color="auto"/>
        <w:bottom w:val="none" w:sz="0" w:space="0" w:color="auto"/>
        <w:right w:val="none" w:sz="0" w:space="0" w:color="auto"/>
      </w:divBdr>
    </w:div>
    <w:div w:id="805317823">
      <w:bodyDiv w:val="1"/>
      <w:marLeft w:val="0"/>
      <w:marRight w:val="0"/>
      <w:marTop w:val="0"/>
      <w:marBottom w:val="0"/>
      <w:divBdr>
        <w:top w:val="none" w:sz="0" w:space="0" w:color="auto"/>
        <w:left w:val="none" w:sz="0" w:space="0" w:color="auto"/>
        <w:bottom w:val="none" w:sz="0" w:space="0" w:color="auto"/>
        <w:right w:val="none" w:sz="0" w:space="0" w:color="auto"/>
      </w:divBdr>
    </w:div>
    <w:div w:id="821853470">
      <w:bodyDiv w:val="1"/>
      <w:marLeft w:val="0"/>
      <w:marRight w:val="0"/>
      <w:marTop w:val="0"/>
      <w:marBottom w:val="0"/>
      <w:divBdr>
        <w:top w:val="none" w:sz="0" w:space="0" w:color="auto"/>
        <w:left w:val="none" w:sz="0" w:space="0" w:color="auto"/>
        <w:bottom w:val="none" w:sz="0" w:space="0" w:color="auto"/>
        <w:right w:val="none" w:sz="0" w:space="0" w:color="auto"/>
      </w:divBdr>
    </w:div>
    <w:div w:id="949969342">
      <w:bodyDiv w:val="1"/>
      <w:marLeft w:val="0"/>
      <w:marRight w:val="0"/>
      <w:marTop w:val="0"/>
      <w:marBottom w:val="0"/>
      <w:divBdr>
        <w:top w:val="none" w:sz="0" w:space="0" w:color="auto"/>
        <w:left w:val="none" w:sz="0" w:space="0" w:color="auto"/>
        <w:bottom w:val="none" w:sz="0" w:space="0" w:color="auto"/>
        <w:right w:val="none" w:sz="0" w:space="0" w:color="auto"/>
      </w:divBdr>
      <w:divsChild>
        <w:div w:id="1816293665">
          <w:marLeft w:val="0"/>
          <w:marRight w:val="0"/>
          <w:marTop w:val="0"/>
          <w:marBottom w:val="0"/>
          <w:divBdr>
            <w:top w:val="none" w:sz="0" w:space="0" w:color="3D3D3D"/>
            <w:left w:val="none" w:sz="0" w:space="0" w:color="3D3D3D"/>
            <w:bottom w:val="none" w:sz="0" w:space="0" w:color="3D3D3D"/>
            <w:right w:val="none" w:sz="0" w:space="0" w:color="3D3D3D"/>
          </w:divBdr>
        </w:div>
      </w:divsChild>
    </w:div>
    <w:div w:id="1027414358">
      <w:bodyDiv w:val="1"/>
      <w:marLeft w:val="0"/>
      <w:marRight w:val="0"/>
      <w:marTop w:val="0"/>
      <w:marBottom w:val="0"/>
      <w:divBdr>
        <w:top w:val="none" w:sz="0" w:space="0" w:color="auto"/>
        <w:left w:val="none" w:sz="0" w:space="0" w:color="auto"/>
        <w:bottom w:val="none" w:sz="0" w:space="0" w:color="auto"/>
        <w:right w:val="none" w:sz="0" w:space="0" w:color="auto"/>
      </w:divBdr>
    </w:div>
    <w:div w:id="1027676778">
      <w:bodyDiv w:val="1"/>
      <w:marLeft w:val="0"/>
      <w:marRight w:val="0"/>
      <w:marTop w:val="0"/>
      <w:marBottom w:val="0"/>
      <w:divBdr>
        <w:top w:val="none" w:sz="0" w:space="0" w:color="auto"/>
        <w:left w:val="none" w:sz="0" w:space="0" w:color="auto"/>
        <w:bottom w:val="none" w:sz="0" w:space="0" w:color="auto"/>
        <w:right w:val="none" w:sz="0" w:space="0" w:color="auto"/>
      </w:divBdr>
    </w:div>
    <w:div w:id="1039666209">
      <w:bodyDiv w:val="1"/>
      <w:marLeft w:val="0"/>
      <w:marRight w:val="0"/>
      <w:marTop w:val="0"/>
      <w:marBottom w:val="0"/>
      <w:divBdr>
        <w:top w:val="none" w:sz="0" w:space="0" w:color="auto"/>
        <w:left w:val="none" w:sz="0" w:space="0" w:color="auto"/>
        <w:bottom w:val="none" w:sz="0" w:space="0" w:color="auto"/>
        <w:right w:val="none" w:sz="0" w:space="0" w:color="auto"/>
      </w:divBdr>
    </w:div>
    <w:div w:id="1201432055">
      <w:bodyDiv w:val="1"/>
      <w:marLeft w:val="0"/>
      <w:marRight w:val="0"/>
      <w:marTop w:val="0"/>
      <w:marBottom w:val="0"/>
      <w:divBdr>
        <w:top w:val="none" w:sz="0" w:space="0" w:color="auto"/>
        <w:left w:val="none" w:sz="0" w:space="0" w:color="auto"/>
        <w:bottom w:val="none" w:sz="0" w:space="0" w:color="auto"/>
        <w:right w:val="none" w:sz="0" w:space="0" w:color="auto"/>
      </w:divBdr>
    </w:div>
    <w:div w:id="1220363461">
      <w:bodyDiv w:val="1"/>
      <w:marLeft w:val="0"/>
      <w:marRight w:val="0"/>
      <w:marTop w:val="0"/>
      <w:marBottom w:val="0"/>
      <w:divBdr>
        <w:top w:val="none" w:sz="0" w:space="0" w:color="auto"/>
        <w:left w:val="none" w:sz="0" w:space="0" w:color="auto"/>
        <w:bottom w:val="none" w:sz="0" w:space="0" w:color="auto"/>
        <w:right w:val="none" w:sz="0" w:space="0" w:color="auto"/>
      </w:divBdr>
      <w:divsChild>
        <w:div w:id="752505710">
          <w:marLeft w:val="0"/>
          <w:marRight w:val="0"/>
          <w:marTop w:val="0"/>
          <w:marBottom w:val="0"/>
          <w:divBdr>
            <w:top w:val="none" w:sz="0" w:space="0" w:color="3D3D3D"/>
            <w:left w:val="none" w:sz="0" w:space="0" w:color="3D3D3D"/>
            <w:bottom w:val="none" w:sz="0" w:space="0" w:color="3D3D3D"/>
            <w:right w:val="none" w:sz="0" w:space="0" w:color="3D3D3D"/>
          </w:divBdr>
          <w:divsChild>
            <w:div w:id="78389191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84729021">
      <w:bodyDiv w:val="1"/>
      <w:marLeft w:val="0"/>
      <w:marRight w:val="0"/>
      <w:marTop w:val="0"/>
      <w:marBottom w:val="0"/>
      <w:divBdr>
        <w:top w:val="none" w:sz="0" w:space="0" w:color="auto"/>
        <w:left w:val="none" w:sz="0" w:space="0" w:color="auto"/>
        <w:bottom w:val="none" w:sz="0" w:space="0" w:color="auto"/>
        <w:right w:val="none" w:sz="0" w:space="0" w:color="auto"/>
      </w:divBdr>
    </w:div>
    <w:div w:id="1300498850">
      <w:bodyDiv w:val="1"/>
      <w:marLeft w:val="0"/>
      <w:marRight w:val="0"/>
      <w:marTop w:val="0"/>
      <w:marBottom w:val="0"/>
      <w:divBdr>
        <w:top w:val="none" w:sz="0" w:space="0" w:color="auto"/>
        <w:left w:val="none" w:sz="0" w:space="0" w:color="auto"/>
        <w:bottom w:val="none" w:sz="0" w:space="0" w:color="auto"/>
        <w:right w:val="none" w:sz="0" w:space="0" w:color="auto"/>
      </w:divBdr>
    </w:div>
    <w:div w:id="1366910625">
      <w:bodyDiv w:val="1"/>
      <w:marLeft w:val="0"/>
      <w:marRight w:val="0"/>
      <w:marTop w:val="0"/>
      <w:marBottom w:val="0"/>
      <w:divBdr>
        <w:top w:val="none" w:sz="0" w:space="0" w:color="auto"/>
        <w:left w:val="none" w:sz="0" w:space="0" w:color="auto"/>
        <w:bottom w:val="none" w:sz="0" w:space="0" w:color="auto"/>
        <w:right w:val="none" w:sz="0" w:space="0" w:color="auto"/>
      </w:divBdr>
      <w:divsChild>
        <w:div w:id="2032487541">
          <w:marLeft w:val="0"/>
          <w:marRight w:val="0"/>
          <w:marTop w:val="0"/>
          <w:marBottom w:val="0"/>
          <w:divBdr>
            <w:top w:val="none" w:sz="0" w:space="0" w:color="3D3D3D"/>
            <w:left w:val="none" w:sz="0" w:space="0" w:color="3D3D3D"/>
            <w:bottom w:val="none" w:sz="0" w:space="0" w:color="3D3D3D"/>
            <w:right w:val="none" w:sz="0" w:space="0" w:color="3D3D3D"/>
          </w:divBdr>
          <w:divsChild>
            <w:div w:id="203175393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72143857">
      <w:bodyDiv w:val="1"/>
      <w:marLeft w:val="0"/>
      <w:marRight w:val="0"/>
      <w:marTop w:val="0"/>
      <w:marBottom w:val="0"/>
      <w:divBdr>
        <w:top w:val="none" w:sz="0" w:space="0" w:color="auto"/>
        <w:left w:val="none" w:sz="0" w:space="0" w:color="auto"/>
        <w:bottom w:val="none" w:sz="0" w:space="0" w:color="auto"/>
        <w:right w:val="none" w:sz="0" w:space="0" w:color="auto"/>
      </w:divBdr>
    </w:div>
    <w:div w:id="1489174579">
      <w:bodyDiv w:val="1"/>
      <w:marLeft w:val="0"/>
      <w:marRight w:val="0"/>
      <w:marTop w:val="0"/>
      <w:marBottom w:val="0"/>
      <w:divBdr>
        <w:top w:val="none" w:sz="0" w:space="0" w:color="auto"/>
        <w:left w:val="none" w:sz="0" w:space="0" w:color="auto"/>
        <w:bottom w:val="none" w:sz="0" w:space="0" w:color="auto"/>
        <w:right w:val="none" w:sz="0" w:space="0" w:color="auto"/>
      </w:divBdr>
    </w:div>
    <w:div w:id="1549339349">
      <w:bodyDiv w:val="1"/>
      <w:marLeft w:val="0"/>
      <w:marRight w:val="0"/>
      <w:marTop w:val="0"/>
      <w:marBottom w:val="0"/>
      <w:divBdr>
        <w:top w:val="none" w:sz="0" w:space="0" w:color="auto"/>
        <w:left w:val="none" w:sz="0" w:space="0" w:color="auto"/>
        <w:bottom w:val="none" w:sz="0" w:space="0" w:color="auto"/>
        <w:right w:val="none" w:sz="0" w:space="0" w:color="auto"/>
      </w:divBdr>
      <w:divsChild>
        <w:div w:id="757483848">
          <w:marLeft w:val="0"/>
          <w:marRight w:val="0"/>
          <w:marTop w:val="0"/>
          <w:marBottom w:val="0"/>
          <w:divBdr>
            <w:top w:val="none" w:sz="0" w:space="0" w:color="3D3D3D"/>
            <w:left w:val="none" w:sz="0" w:space="0" w:color="3D3D3D"/>
            <w:bottom w:val="none" w:sz="0" w:space="0" w:color="3D3D3D"/>
            <w:right w:val="none" w:sz="0" w:space="0" w:color="3D3D3D"/>
          </w:divBdr>
        </w:div>
      </w:divsChild>
    </w:div>
    <w:div w:id="1552422933">
      <w:bodyDiv w:val="1"/>
      <w:marLeft w:val="0"/>
      <w:marRight w:val="0"/>
      <w:marTop w:val="0"/>
      <w:marBottom w:val="0"/>
      <w:divBdr>
        <w:top w:val="none" w:sz="0" w:space="0" w:color="auto"/>
        <w:left w:val="none" w:sz="0" w:space="0" w:color="auto"/>
        <w:bottom w:val="none" w:sz="0" w:space="0" w:color="auto"/>
        <w:right w:val="none" w:sz="0" w:space="0" w:color="auto"/>
      </w:divBdr>
    </w:div>
    <w:div w:id="1561594041">
      <w:bodyDiv w:val="1"/>
      <w:marLeft w:val="0"/>
      <w:marRight w:val="0"/>
      <w:marTop w:val="0"/>
      <w:marBottom w:val="0"/>
      <w:divBdr>
        <w:top w:val="none" w:sz="0" w:space="0" w:color="auto"/>
        <w:left w:val="none" w:sz="0" w:space="0" w:color="auto"/>
        <w:bottom w:val="none" w:sz="0" w:space="0" w:color="auto"/>
        <w:right w:val="none" w:sz="0" w:space="0" w:color="auto"/>
      </w:divBdr>
    </w:div>
    <w:div w:id="1708679989">
      <w:bodyDiv w:val="1"/>
      <w:marLeft w:val="0"/>
      <w:marRight w:val="0"/>
      <w:marTop w:val="0"/>
      <w:marBottom w:val="0"/>
      <w:divBdr>
        <w:top w:val="none" w:sz="0" w:space="0" w:color="auto"/>
        <w:left w:val="none" w:sz="0" w:space="0" w:color="auto"/>
        <w:bottom w:val="none" w:sz="0" w:space="0" w:color="auto"/>
        <w:right w:val="none" w:sz="0" w:space="0" w:color="auto"/>
      </w:divBdr>
    </w:div>
    <w:div w:id="1740904780">
      <w:bodyDiv w:val="1"/>
      <w:marLeft w:val="0"/>
      <w:marRight w:val="0"/>
      <w:marTop w:val="0"/>
      <w:marBottom w:val="0"/>
      <w:divBdr>
        <w:top w:val="none" w:sz="0" w:space="0" w:color="auto"/>
        <w:left w:val="none" w:sz="0" w:space="0" w:color="auto"/>
        <w:bottom w:val="none" w:sz="0" w:space="0" w:color="auto"/>
        <w:right w:val="none" w:sz="0" w:space="0" w:color="auto"/>
      </w:divBdr>
      <w:divsChild>
        <w:div w:id="675379688">
          <w:marLeft w:val="0"/>
          <w:marRight w:val="0"/>
          <w:marTop w:val="0"/>
          <w:marBottom w:val="0"/>
          <w:divBdr>
            <w:top w:val="none" w:sz="0" w:space="0" w:color="3D3D3D"/>
            <w:left w:val="none" w:sz="0" w:space="0" w:color="3D3D3D"/>
            <w:bottom w:val="none" w:sz="0" w:space="0" w:color="3D3D3D"/>
            <w:right w:val="none" w:sz="0" w:space="0" w:color="3D3D3D"/>
          </w:divBdr>
          <w:divsChild>
            <w:div w:id="68343417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17649433">
      <w:bodyDiv w:val="1"/>
      <w:marLeft w:val="0"/>
      <w:marRight w:val="0"/>
      <w:marTop w:val="0"/>
      <w:marBottom w:val="0"/>
      <w:divBdr>
        <w:top w:val="none" w:sz="0" w:space="0" w:color="auto"/>
        <w:left w:val="none" w:sz="0" w:space="0" w:color="auto"/>
        <w:bottom w:val="none" w:sz="0" w:space="0" w:color="auto"/>
        <w:right w:val="none" w:sz="0" w:space="0" w:color="auto"/>
      </w:divBdr>
    </w:div>
    <w:div w:id="1949390332">
      <w:bodyDiv w:val="1"/>
      <w:marLeft w:val="0"/>
      <w:marRight w:val="0"/>
      <w:marTop w:val="0"/>
      <w:marBottom w:val="0"/>
      <w:divBdr>
        <w:top w:val="none" w:sz="0" w:space="0" w:color="auto"/>
        <w:left w:val="none" w:sz="0" w:space="0" w:color="auto"/>
        <w:bottom w:val="none" w:sz="0" w:space="0" w:color="auto"/>
        <w:right w:val="none" w:sz="0" w:space="0" w:color="auto"/>
      </w:divBdr>
    </w:div>
    <w:div w:id="2062748478">
      <w:bodyDiv w:val="1"/>
      <w:marLeft w:val="0"/>
      <w:marRight w:val="0"/>
      <w:marTop w:val="0"/>
      <w:marBottom w:val="0"/>
      <w:divBdr>
        <w:top w:val="none" w:sz="0" w:space="0" w:color="auto"/>
        <w:left w:val="none" w:sz="0" w:space="0" w:color="auto"/>
        <w:bottom w:val="none" w:sz="0" w:space="0" w:color="auto"/>
        <w:right w:val="none" w:sz="0" w:space="0" w:color="auto"/>
      </w:divBdr>
    </w:div>
    <w:div w:id="2073767314">
      <w:bodyDiv w:val="1"/>
      <w:marLeft w:val="0"/>
      <w:marRight w:val="0"/>
      <w:marTop w:val="0"/>
      <w:marBottom w:val="0"/>
      <w:divBdr>
        <w:top w:val="none" w:sz="0" w:space="0" w:color="auto"/>
        <w:left w:val="none" w:sz="0" w:space="0" w:color="auto"/>
        <w:bottom w:val="none" w:sz="0" w:space="0" w:color="auto"/>
        <w:right w:val="none" w:sz="0" w:space="0" w:color="auto"/>
      </w:divBdr>
    </w:div>
    <w:div w:id="2082024090">
      <w:bodyDiv w:val="1"/>
      <w:marLeft w:val="0"/>
      <w:marRight w:val="0"/>
      <w:marTop w:val="0"/>
      <w:marBottom w:val="0"/>
      <w:divBdr>
        <w:top w:val="none" w:sz="0" w:space="0" w:color="auto"/>
        <w:left w:val="none" w:sz="0" w:space="0" w:color="auto"/>
        <w:bottom w:val="none" w:sz="0" w:space="0" w:color="auto"/>
        <w:right w:val="none" w:sz="0" w:space="0" w:color="auto"/>
      </w:divBdr>
    </w:div>
    <w:div w:id="2090346577">
      <w:bodyDiv w:val="1"/>
      <w:marLeft w:val="0"/>
      <w:marRight w:val="0"/>
      <w:marTop w:val="0"/>
      <w:marBottom w:val="0"/>
      <w:divBdr>
        <w:top w:val="none" w:sz="0" w:space="0" w:color="auto"/>
        <w:left w:val="none" w:sz="0" w:space="0" w:color="auto"/>
        <w:bottom w:val="none" w:sz="0" w:space="0" w:color="auto"/>
        <w:right w:val="none" w:sz="0" w:space="0" w:color="auto"/>
      </w:divBdr>
    </w:div>
    <w:div w:id="210849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64F0F-B346-8546-9204-FA16785FDB4E}">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4056</Words>
  <Characters>23124</Characters>
  <Application>Microsoft Office Word</Application>
  <DocSecurity>4</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Kantor Nir</dc:creator>
  <cp:keywords/>
  <dc:description/>
  <cp:lastModifiedBy>Erlichman, Reece (ALA)</cp:lastModifiedBy>
  <cp:revision>2</cp:revision>
  <cp:lastPrinted>2026-05-05T17:55:00Z</cp:lastPrinted>
  <dcterms:created xsi:type="dcterms:W3CDTF">2026-05-05T21:42:00Z</dcterms:created>
  <dcterms:modified xsi:type="dcterms:W3CDTF">2026-05-05T21:42:00Z</dcterms:modified>
</cp:coreProperties>
</file>